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548C9" w14:textId="77777777" w:rsidR="0065435E" w:rsidRPr="00FF7212" w:rsidRDefault="0065435E" w:rsidP="0065435E">
      <w:pPr>
        <w:jc w:val="right"/>
        <w:rPr>
          <w:rFonts w:ascii="Arial" w:hAnsi="Arial" w:cs="Arial"/>
          <w:b/>
          <w:bCs/>
          <w:color w:val="000000" w:themeColor="text1"/>
          <w:sz w:val="20"/>
          <w:szCs w:val="20"/>
          <w:lang w:val="es-ES"/>
        </w:rPr>
      </w:pPr>
    </w:p>
    <w:p w14:paraId="252378B6" w14:textId="77777777" w:rsidR="00E85B3F" w:rsidRDefault="00E85B3F" w:rsidP="0065435E">
      <w:pPr>
        <w:jc w:val="both"/>
        <w:rPr>
          <w:rFonts w:ascii="Arial" w:eastAsia="Calibri" w:hAnsi="Arial" w:cs="Arial"/>
          <w:b/>
          <w:sz w:val="22"/>
          <w:lang w:val="es-ES"/>
        </w:rPr>
      </w:pPr>
    </w:p>
    <w:p w14:paraId="17235725" w14:textId="063472C4" w:rsidR="00884796" w:rsidRDefault="0065435E" w:rsidP="0065435E">
      <w:pPr>
        <w:jc w:val="both"/>
        <w:rPr>
          <w:rFonts w:ascii="Arial" w:hAnsi="Arial" w:cs="Arial"/>
          <w:color w:val="000000" w:themeColor="text1"/>
          <w:sz w:val="20"/>
          <w:szCs w:val="20"/>
          <w:lang w:val="es-CO"/>
        </w:rPr>
      </w:pPr>
      <w:r>
        <w:rPr>
          <w:rFonts w:ascii="Arial" w:eastAsia="Calibri" w:hAnsi="Arial" w:cs="Arial"/>
          <w:b/>
          <w:sz w:val="22"/>
          <w:lang w:val="es-ES"/>
        </w:rPr>
        <w:t>GARANTÍAS</w:t>
      </w:r>
      <w:r w:rsidRPr="000E0DE9">
        <w:rPr>
          <w:rFonts w:ascii="Arial" w:eastAsia="Calibri" w:hAnsi="Arial" w:cs="Arial"/>
          <w:b/>
          <w:sz w:val="22"/>
          <w:lang w:val="es-ES"/>
        </w:rPr>
        <w:t xml:space="preserve"> – </w:t>
      </w:r>
      <w:r w:rsidRPr="009B7D86">
        <w:rPr>
          <w:rFonts w:ascii="Arial" w:eastAsia="Calibri" w:hAnsi="Arial" w:cs="Arial"/>
          <w:b/>
          <w:sz w:val="22"/>
          <w:lang w:val="es-ES"/>
        </w:rPr>
        <w:t>Contratación estatal – Constitución de garantías – Finalidad – Cumplimiento – Obligaciones contractuales</w:t>
      </w:r>
    </w:p>
    <w:p w14:paraId="54D5F1D0" w14:textId="77777777" w:rsidR="00884796" w:rsidRDefault="00884796" w:rsidP="001F0B64">
      <w:pPr>
        <w:jc w:val="both"/>
        <w:rPr>
          <w:rFonts w:ascii="Arial" w:hAnsi="Arial" w:cs="Arial"/>
          <w:color w:val="000000" w:themeColor="text1"/>
          <w:sz w:val="20"/>
          <w:szCs w:val="20"/>
          <w:lang w:val="es-CO"/>
        </w:rPr>
      </w:pPr>
    </w:p>
    <w:p w14:paraId="26EFA991" w14:textId="1001A2FF" w:rsidR="00884796" w:rsidRDefault="00F7642C" w:rsidP="001F0B64">
      <w:pPr>
        <w:jc w:val="both"/>
        <w:rPr>
          <w:rFonts w:ascii="Arial" w:eastAsia="Calibri" w:hAnsi="Arial" w:cs="Arial"/>
          <w:bCs/>
          <w:sz w:val="20"/>
          <w:szCs w:val="20"/>
          <w:lang w:val="es-ES"/>
        </w:rPr>
      </w:pPr>
      <w:r>
        <w:rPr>
          <w:rFonts w:ascii="Arial" w:eastAsia="Calibri" w:hAnsi="Arial" w:cs="Arial"/>
          <w:bCs/>
          <w:sz w:val="20"/>
          <w:szCs w:val="20"/>
          <w:lang w:val="es-ES_tradnl"/>
        </w:rPr>
        <w:t xml:space="preserve">[…] </w:t>
      </w:r>
      <w:r w:rsidRPr="00F7642C">
        <w:rPr>
          <w:rFonts w:ascii="Arial" w:eastAsia="Calibri" w:hAnsi="Arial" w:cs="Arial"/>
          <w:bCs/>
          <w:sz w:val="20"/>
          <w:szCs w:val="20"/>
          <w:lang w:val="es-ES_tradnl"/>
        </w:rPr>
        <w:t xml:space="preserve">por regla general, </w:t>
      </w:r>
      <w:r w:rsidRPr="00F7642C">
        <w:rPr>
          <w:rFonts w:ascii="Arial" w:eastAsia="Calibri" w:hAnsi="Arial" w:cs="Arial"/>
          <w:bCs/>
          <w:sz w:val="20"/>
          <w:szCs w:val="20"/>
          <w:lang w:val="es-ES"/>
        </w:rPr>
        <w:t>para seleccionar a los contratistas y para ejecutar los contratos estatales, que se requiere la constitución de garantías</w:t>
      </w:r>
      <w:r w:rsidRPr="00F7642C">
        <w:rPr>
          <w:rFonts w:ascii="Arial" w:eastAsia="Calibri" w:hAnsi="Arial" w:cs="Arial"/>
          <w:bCs/>
          <w:sz w:val="20"/>
          <w:szCs w:val="20"/>
          <w:lang w:val="es-ES_tradnl"/>
        </w:rPr>
        <w:t>. Por ello, el artículo 7 de la Ley 1150 de 2007 dispone que los contratistas tienen la obligación de constituir garantías para el cumplimiento de las obligaciones surgidas del contrato, y los proponentes por el ofrecimiento realizado, pudiendo consistir en pólizas expedidas por compañías aseguradoras, garantías bancarias u otros mecanismos permitidos por la ley y el reglamento</w:t>
      </w:r>
      <w:r w:rsidR="008679AE">
        <w:rPr>
          <w:rFonts w:ascii="Arial" w:eastAsia="Calibri" w:hAnsi="Arial" w:cs="Arial"/>
          <w:bCs/>
          <w:sz w:val="20"/>
          <w:szCs w:val="20"/>
          <w:lang w:val="es-ES"/>
        </w:rPr>
        <w:t>.</w:t>
      </w:r>
    </w:p>
    <w:p w14:paraId="5F236EF4" w14:textId="77777777" w:rsidR="00A472E0" w:rsidRPr="00987F41" w:rsidRDefault="00A472E0" w:rsidP="001F0B64">
      <w:pPr>
        <w:jc w:val="both"/>
        <w:rPr>
          <w:rFonts w:ascii="Arial" w:hAnsi="Arial" w:cs="Arial"/>
          <w:color w:val="000000" w:themeColor="text1"/>
          <w:sz w:val="20"/>
          <w:szCs w:val="20"/>
          <w:lang w:val="es-ES"/>
        </w:rPr>
      </w:pPr>
    </w:p>
    <w:p w14:paraId="3F34FC17" w14:textId="1F428C6D" w:rsidR="00A472E0" w:rsidRPr="00240326" w:rsidRDefault="00240326" w:rsidP="001F0B64">
      <w:pPr>
        <w:jc w:val="both"/>
        <w:rPr>
          <w:rFonts w:ascii="Arial" w:hAnsi="Arial" w:cs="Arial"/>
          <w:b/>
          <w:bCs/>
          <w:color w:val="000000" w:themeColor="text1"/>
          <w:sz w:val="22"/>
          <w:lang w:val="es-CO"/>
        </w:rPr>
      </w:pPr>
      <w:r w:rsidRPr="00240326">
        <w:rPr>
          <w:rFonts w:ascii="Arial" w:hAnsi="Arial" w:cs="Arial"/>
          <w:b/>
          <w:bCs/>
          <w:color w:val="000000" w:themeColor="text1"/>
          <w:sz w:val="22"/>
          <w:lang w:val="es-CO"/>
        </w:rPr>
        <w:t>PRINCIPIO DE INDIVISIBILIDAD DE LA GARANTÍA – Noción – Alcance</w:t>
      </w:r>
    </w:p>
    <w:p w14:paraId="1ABD6C91" w14:textId="77777777" w:rsidR="00A472E0" w:rsidRDefault="00A472E0" w:rsidP="001F0B64">
      <w:pPr>
        <w:jc w:val="both"/>
        <w:rPr>
          <w:rFonts w:ascii="Arial" w:hAnsi="Arial" w:cs="Arial"/>
          <w:color w:val="000000" w:themeColor="text1"/>
          <w:sz w:val="20"/>
          <w:szCs w:val="20"/>
          <w:lang w:val="es-CO"/>
        </w:rPr>
      </w:pPr>
    </w:p>
    <w:p w14:paraId="1168B8A1" w14:textId="77777777" w:rsidR="00F7642C" w:rsidRPr="00F7642C" w:rsidRDefault="00F7642C" w:rsidP="00F7642C">
      <w:pPr>
        <w:jc w:val="both"/>
        <w:rPr>
          <w:rFonts w:ascii="Arial" w:hAnsi="Arial" w:cs="Arial"/>
          <w:color w:val="000000" w:themeColor="text1"/>
          <w:sz w:val="20"/>
          <w:szCs w:val="20"/>
        </w:rPr>
      </w:pPr>
      <w:r w:rsidRPr="00F7642C">
        <w:rPr>
          <w:rFonts w:ascii="Arial" w:hAnsi="Arial" w:cs="Arial"/>
          <w:color w:val="000000" w:themeColor="text1"/>
          <w:sz w:val="20"/>
          <w:szCs w:val="20"/>
        </w:rPr>
        <w:t xml:space="preserve">En relación con esta exigencia es importante mencionar que por regla general un contrato estatal debe estar amparado mediante una sola garantía, sin perjuicio de algunas excepciones, como la que se deriva de la norma analizada. En efecto, en los contratos cuyo plazo de ejecución sea mayor a cinco (5) años se podrá dividir la garantía, tal como lo prevé el Decreto 1082 de 2015: «La garantía de cobertura del Riesgo es indivisible. Sin embargo, en los contratos con un plazo mayor a cinco (5) años las garantías pueden cubrir los Riesgos de la Etapa del Contrato o del Periodo Contractual, de acuerdo con lo previsto en el contrato». </w:t>
      </w:r>
    </w:p>
    <w:p w14:paraId="28BAAB8C" w14:textId="77777777" w:rsidR="00240326" w:rsidRPr="0029799D" w:rsidRDefault="00240326" w:rsidP="001F0B64">
      <w:pPr>
        <w:jc w:val="both"/>
        <w:rPr>
          <w:rFonts w:ascii="Arial" w:hAnsi="Arial" w:cs="Arial"/>
          <w:color w:val="000000" w:themeColor="text1"/>
          <w:sz w:val="22"/>
          <w:lang w:val="es-CO"/>
        </w:rPr>
      </w:pPr>
    </w:p>
    <w:p w14:paraId="595D46DB" w14:textId="2292AFA6" w:rsidR="00240326" w:rsidRDefault="0030438C" w:rsidP="001F0B64">
      <w:pPr>
        <w:jc w:val="both"/>
        <w:rPr>
          <w:rFonts w:ascii="Arial" w:hAnsi="Arial" w:cs="Arial"/>
          <w:color w:val="000000" w:themeColor="text1"/>
          <w:sz w:val="20"/>
          <w:szCs w:val="20"/>
          <w:lang w:val="es-CO"/>
        </w:rPr>
      </w:pPr>
      <w:r w:rsidRPr="0029799D">
        <w:rPr>
          <w:rFonts w:ascii="Arial" w:hAnsi="Arial" w:cs="Arial"/>
          <w:b/>
          <w:bCs/>
          <w:color w:val="000000" w:themeColor="text1"/>
          <w:sz w:val="22"/>
          <w:lang w:val="es-CO"/>
        </w:rPr>
        <w:t>PRINCIPIO DE INDIVISIBILIDAD DE LA GARANTÍA</w:t>
      </w:r>
      <w:r w:rsidRPr="0029799D">
        <w:rPr>
          <w:rFonts w:ascii="Arial" w:hAnsi="Arial" w:cs="Arial"/>
          <w:color w:val="000000" w:themeColor="text1"/>
          <w:sz w:val="22"/>
          <w:lang w:val="es-CO"/>
        </w:rPr>
        <w:t xml:space="preserve"> </w:t>
      </w:r>
      <w:r w:rsidRPr="00240326">
        <w:rPr>
          <w:rFonts w:ascii="Arial" w:hAnsi="Arial" w:cs="Arial"/>
          <w:b/>
          <w:bCs/>
          <w:color w:val="000000" w:themeColor="text1"/>
          <w:sz w:val="22"/>
          <w:lang w:val="es-CO"/>
        </w:rPr>
        <w:t>–</w:t>
      </w:r>
      <w:r>
        <w:rPr>
          <w:rFonts w:ascii="Arial" w:hAnsi="Arial" w:cs="Arial"/>
          <w:b/>
          <w:bCs/>
          <w:color w:val="000000" w:themeColor="text1"/>
          <w:sz w:val="22"/>
          <w:lang w:val="es-CO"/>
        </w:rPr>
        <w:t xml:space="preserve"> Requisitos</w:t>
      </w:r>
      <w:r w:rsidR="00D03617">
        <w:rPr>
          <w:rFonts w:ascii="Arial" w:hAnsi="Arial" w:cs="Arial"/>
          <w:color w:val="000000" w:themeColor="text1"/>
          <w:sz w:val="20"/>
          <w:szCs w:val="20"/>
          <w:lang w:val="es-CO"/>
        </w:rPr>
        <w:t xml:space="preserve"> </w:t>
      </w:r>
      <w:r w:rsidR="00D03617" w:rsidRPr="00240326">
        <w:rPr>
          <w:rFonts w:ascii="Arial" w:hAnsi="Arial" w:cs="Arial"/>
          <w:b/>
          <w:bCs/>
          <w:color w:val="000000" w:themeColor="text1"/>
          <w:sz w:val="22"/>
          <w:lang w:val="es-CO"/>
        </w:rPr>
        <w:t>–</w:t>
      </w:r>
      <w:r w:rsidR="00D03617">
        <w:rPr>
          <w:rFonts w:ascii="Arial" w:hAnsi="Arial" w:cs="Arial"/>
          <w:b/>
          <w:bCs/>
          <w:color w:val="000000" w:themeColor="text1"/>
          <w:sz w:val="22"/>
          <w:lang w:val="es-CO"/>
        </w:rPr>
        <w:t xml:space="preserve"> Pliego de condiciones</w:t>
      </w:r>
    </w:p>
    <w:p w14:paraId="397BFA03" w14:textId="77777777" w:rsidR="00A472E0" w:rsidRDefault="00A472E0" w:rsidP="001F0B64">
      <w:pPr>
        <w:jc w:val="both"/>
        <w:rPr>
          <w:rFonts w:ascii="Arial" w:hAnsi="Arial" w:cs="Arial"/>
          <w:color w:val="000000" w:themeColor="text1"/>
          <w:sz w:val="20"/>
          <w:szCs w:val="20"/>
          <w:lang w:val="es-CO"/>
        </w:rPr>
      </w:pPr>
    </w:p>
    <w:p w14:paraId="493769FD" w14:textId="008A7433" w:rsidR="00D03617" w:rsidRPr="00D03617" w:rsidRDefault="00D03617" w:rsidP="00D03617">
      <w:pPr>
        <w:jc w:val="both"/>
        <w:rPr>
          <w:rFonts w:ascii="Arial" w:hAnsi="Arial" w:cs="Arial"/>
          <w:color w:val="000000" w:themeColor="text1"/>
          <w:sz w:val="20"/>
          <w:szCs w:val="20"/>
          <w:lang w:val="es-CO"/>
        </w:rPr>
      </w:pPr>
      <w:r w:rsidRPr="00D03617">
        <w:rPr>
          <w:rStyle w:val="normaltextrun"/>
          <w:rFonts w:ascii="Arial" w:hAnsi="Arial" w:cs="Arial"/>
          <w:color w:val="000000"/>
          <w:sz w:val="20"/>
          <w:szCs w:val="20"/>
        </w:rPr>
        <w:t xml:space="preserve">[…] </w:t>
      </w:r>
      <w:r w:rsidR="00F7642C" w:rsidRPr="00F7642C">
        <w:rPr>
          <w:rFonts w:ascii="Arial" w:hAnsi="Arial" w:cs="Arial"/>
          <w:color w:val="000000"/>
          <w:sz w:val="20"/>
          <w:szCs w:val="20"/>
        </w:rPr>
        <w:t>el artículo 2.2.1.2.3.1.3 del Decreto 1082 de 2015 establece que la entidad estatal en el pliego de condiciones debe indicar las garantías que exige en cada etapa del contrato o periodo contractual, de acuerdo con las siguientes reglas</w:t>
      </w:r>
      <w:r w:rsidRPr="00D03617">
        <w:rPr>
          <w:rStyle w:val="Refdenotaalpie"/>
          <w:rFonts w:ascii="Arial" w:hAnsi="Arial" w:cs="Arial"/>
          <w:color w:val="000000"/>
          <w:sz w:val="20"/>
          <w:szCs w:val="20"/>
        </w:rPr>
        <w:footnoteReference w:id="1"/>
      </w:r>
      <w:r w:rsidRPr="00D03617">
        <w:rPr>
          <w:rStyle w:val="normaltextrun"/>
          <w:rFonts w:ascii="Arial" w:hAnsi="Arial" w:cs="Arial"/>
          <w:color w:val="000000"/>
          <w:sz w:val="20"/>
          <w:szCs w:val="20"/>
        </w:rPr>
        <w:t>:</w:t>
      </w:r>
    </w:p>
    <w:p w14:paraId="2E3D877A" w14:textId="48837DAB" w:rsidR="00904418" w:rsidRDefault="00904418" w:rsidP="00D03617">
      <w:pPr>
        <w:spacing w:before="120"/>
        <w:jc w:val="both"/>
        <w:rPr>
          <w:rStyle w:val="normaltextrun"/>
          <w:rFonts w:ascii="Arial" w:hAnsi="Arial" w:cs="Arial"/>
          <w:color w:val="000000"/>
          <w:sz w:val="20"/>
          <w:szCs w:val="20"/>
        </w:rPr>
      </w:pPr>
      <w:r>
        <w:rPr>
          <w:rStyle w:val="normaltextrun"/>
          <w:rFonts w:ascii="Arial" w:hAnsi="Arial" w:cs="Arial"/>
          <w:color w:val="000000"/>
          <w:sz w:val="20"/>
          <w:szCs w:val="20"/>
        </w:rPr>
        <w:t>[…]</w:t>
      </w:r>
    </w:p>
    <w:p w14:paraId="3CC2082B" w14:textId="77777777" w:rsidR="00F7642C" w:rsidRDefault="00F7642C" w:rsidP="00D03617">
      <w:pPr>
        <w:jc w:val="both"/>
        <w:rPr>
          <w:rFonts w:ascii="Arial" w:hAnsi="Arial" w:cs="Arial"/>
          <w:color w:val="000000"/>
          <w:sz w:val="20"/>
          <w:szCs w:val="20"/>
        </w:rPr>
      </w:pPr>
    </w:p>
    <w:p w14:paraId="197573C8" w14:textId="28658C81" w:rsidR="00A472E0" w:rsidRDefault="00F7642C" w:rsidP="00D03617">
      <w:pPr>
        <w:jc w:val="both"/>
        <w:rPr>
          <w:rFonts w:ascii="Arial" w:hAnsi="Arial" w:cs="Arial"/>
          <w:color w:val="000000"/>
          <w:sz w:val="20"/>
          <w:szCs w:val="20"/>
        </w:rPr>
      </w:pPr>
      <w:r w:rsidRPr="00F7642C">
        <w:rPr>
          <w:rFonts w:ascii="Arial" w:hAnsi="Arial" w:cs="Arial"/>
          <w:color w:val="000000"/>
          <w:sz w:val="20"/>
          <w:szCs w:val="20"/>
        </w:rPr>
        <w:t xml:space="preserve">Conforme a lo anterior, si la entidad estatal celebra un contrato cuyo plazo de ejecución es mayor a cinco (5) años, puede pactar en el contrato que las garantías cubran los riegos de cada </w:t>
      </w:r>
      <w:r w:rsidRPr="00F7642C">
        <w:rPr>
          <w:rFonts w:ascii="Arial" w:hAnsi="Arial" w:cs="Arial"/>
          <w:i/>
          <w:iCs/>
          <w:color w:val="000000"/>
          <w:sz w:val="20"/>
          <w:szCs w:val="20"/>
        </w:rPr>
        <w:t>etapa del contrato</w:t>
      </w:r>
      <w:r w:rsidRPr="00F7642C">
        <w:rPr>
          <w:rFonts w:ascii="Arial" w:hAnsi="Arial" w:cs="Arial"/>
          <w:color w:val="000000"/>
          <w:sz w:val="20"/>
          <w:szCs w:val="20"/>
        </w:rPr>
        <w:t xml:space="preserve">, </w:t>
      </w:r>
      <w:r w:rsidRPr="00F7642C">
        <w:rPr>
          <w:rFonts w:ascii="Arial" w:hAnsi="Arial" w:cs="Arial"/>
          <w:i/>
          <w:iCs/>
          <w:color w:val="000000"/>
          <w:sz w:val="20"/>
          <w:szCs w:val="20"/>
        </w:rPr>
        <w:t xml:space="preserve">periodo contractual o unidad </w:t>
      </w:r>
      <w:r w:rsidRPr="00F7642C">
        <w:rPr>
          <w:rFonts w:ascii="Arial" w:hAnsi="Arial" w:cs="Arial"/>
          <w:color w:val="000000"/>
          <w:sz w:val="20"/>
          <w:szCs w:val="20"/>
        </w:rPr>
        <w:t xml:space="preserve">funcional, caso en el cual el pliego de condiciones regulará las garantías teniendo en cuenta lo siguiente: i) se identificará la garantía que ampara los riesgos para cada etapa del contrato o periodo contractual, pero, además, la vigencia que rige para cada uno –que en todo caso no puede ser menor al plazo de ejecución definido para cada etapa del contrato o periodo contractual–, y ii) el monto de los amparos se calculará tomando el valor de las obligaciones </w:t>
      </w:r>
      <w:r w:rsidRPr="00F7642C">
        <w:rPr>
          <w:rFonts w:ascii="Arial" w:hAnsi="Arial" w:cs="Arial"/>
          <w:color w:val="000000"/>
          <w:sz w:val="20"/>
          <w:szCs w:val="20"/>
        </w:rPr>
        <w:lastRenderedPageBreak/>
        <w:t xml:space="preserve">del contratista para cada etapa del contrato o periodo contractual, y además, regirán las reglas de suficiencia definidas en los artículos 2.2.1.2.3.1.9. al 2.2.1.2.3.1.17. del Decreto 1082 de 2015. </w:t>
      </w:r>
    </w:p>
    <w:p w14:paraId="5BA17758" w14:textId="77777777" w:rsidR="00A84B4C" w:rsidRPr="00D03617" w:rsidRDefault="00A84B4C" w:rsidP="00D03617">
      <w:pPr>
        <w:jc w:val="both"/>
        <w:rPr>
          <w:rFonts w:ascii="Arial" w:hAnsi="Arial" w:cs="Arial"/>
          <w:color w:val="000000" w:themeColor="text1"/>
          <w:sz w:val="20"/>
          <w:szCs w:val="20"/>
        </w:rPr>
      </w:pPr>
    </w:p>
    <w:p w14:paraId="038161F6" w14:textId="161FF6A3" w:rsidR="00A472E0" w:rsidRDefault="009372E7" w:rsidP="00D03617">
      <w:pPr>
        <w:jc w:val="both"/>
        <w:rPr>
          <w:rFonts w:ascii="Arial" w:hAnsi="Arial" w:cs="Arial"/>
          <w:b/>
          <w:bCs/>
          <w:color w:val="000000" w:themeColor="text1"/>
          <w:sz w:val="22"/>
          <w:lang w:val="es-CO"/>
        </w:rPr>
      </w:pPr>
      <w:r w:rsidRPr="009372E7">
        <w:rPr>
          <w:rFonts w:ascii="Arial" w:hAnsi="Arial" w:cs="Arial"/>
          <w:b/>
          <w:bCs/>
          <w:color w:val="000000" w:themeColor="text1"/>
          <w:sz w:val="22"/>
          <w:lang w:val="es-CO"/>
        </w:rPr>
        <w:t>PRINCIPIO DE INDIVISIBILIDAD DE LA GARANTÍA</w:t>
      </w:r>
      <w:r>
        <w:rPr>
          <w:rFonts w:ascii="Arial" w:hAnsi="Arial" w:cs="Arial"/>
          <w:color w:val="000000" w:themeColor="text1"/>
          <w:sz w:val="20"/>
          <w:szCs w:val="20"/>
          <w:lang w:val="es-CO"/>
        </w:rPr>
        <w:t xml:space="preserve"> </w:t>
      </w:r>
      <w:r w:rsidRPr="00240326">
        <w:rPr>
          <w:rFonts w:ascii="Arial" w:hAnsi="Arial" w:cs="Arial"/>
          <w:b/>
          <w:bCs/>
          <w:color w:val="000000" w:themeColor="text1"/>
          <w:sz w:val="22"/>
          <w:lang w:val="es-CO"/>
        </w:rPr>
        <w:t>–</w:t>
      </w:r>
      <w:r>
        <w:rPr>
          <w:rFonts w:ascii="Arial" w:hAnsi="Arial" w:cs="Arial"/>
          <w:b/>
          <w:bCs/>
          <w:color w:val="000000" w:themeColor="text1"/>
          <w:sz w:val="22"/>
          <w:lang w:val="es-CO"/>
        </w:rPr>
        <w:t xml:space="preserve"> Obligación del garante </w:t>
      </w:r>
      <w:r w:rsidRPr="00240326">
        <w:rPr>
          <w:rFonts w:ascii="Arial" w:hAnsi="Arial" w:cs="Arial"/>
          <w:b/>
          <w:bCs/>
          <w:color w:val="000000" w:themeColor="text1"/>
          <w:sz w:val="22"/>
          <w:lang w:val="es-CO"/>
        </w:rPr>
        <w:t>–</w:t>
      </w:r>
      <w:r>
        <w:rPr>
          <w:rFonts w:ascii="Arial" w:hAnsi="Arial" w:cs="Arial"/>
          <w:b/>
          <w:bCs/>
          <w:color w:val="000000" w:themeColor="text1"/>
          <w:sz w:val="22"/>
          <w:lang w:val="es-CO"/>
        </w:rPr>
        <w:t xml:space="preserve"> Decisión de no continuar garantizando</w:t>
      </w:r>
      <w:r w:rsidR="00904418">
        <w:rPr>
          <w:rFonts w:ascii="Arial" w:hAnsi="Arial" w:cs="Arial"/>
          <w:b/>
          <w:bCs/>
          <w:color w:val="000000" w:themeColor="text1"/>
          <w:sz w:val="22"/>
          <w:lang w:val="es-CO"/>
        </w:rPr>
        <w:t xml:space="preserve"> </w:t>
      </w:r>
      <w:r w:rsidR="00904418" w:rsidRPr="00240326">
        <w:rPr>
          <w:rFonts w:ascii="Arial" w:hAnsi="Arial" w:cs="Arial"/>
          <w:b/>
          <w:bCs/>
          <w:color w:val="000000" w:themeColor="text1"/>
          <w:sz w:val="22"/>
          <w:lang w:val="es-CO"/>
        </w:rPr>
        <w:t>–</w:t>
      </w:r>
      <w:r w:rsidR="00904418">
        <w:rPr>
          <w:rFonts w:ascii="Arial" w:hAnsi="Arial" w:cs="Arial"/>
          <w:b/>
          <w:bCs/>
          <w:color w:val="000000" w:themeColor="text1"/>
          <w:sz w:val="22"/>
          <w:lang w:val="es-CO"/>
        </w:rPr>
        <w:t xml:space="preserve"> </w:t>
      </w:r>
      <w:r w:rsidR="005C1BB6">
        <w:rPr>
          <w:rFonts w:ascii="Arial" w:hAnsi="Arial" w:cs="Arial"/>
          <w:b/>
          <w:bCs/>
          <w:color w:val="000000" w:themeColor="text1"/>
          <w:sz w:val="22"/>
          <w:lang w:val="es-CO"/>
        </w:rPr>
        <w:t>E</w:t>
      </w:r>
      <w:r w:rsidR="00904418">
        <w:rPr>
          <w:rFonts w:ascii="Arial" w:hAnsi="Arial" w:cs="Arial"/>
          <w:b/>
          <w:bCs/>
          <w:color w:val="000000" w:themeColor="text1"/>
          <w:sz w:val="22"/>
          <w:lang w:val="es-CO"/>
        </w:rPr>
        <w:t xml:space="preserve">tapa del </w:t>
      </w:r>
      <w:r w:rsidR="005C1BB6">
        <w:rPr>
          <w:rFonts w:ascii="Arial" w:hAnsi="Arial" w:cs="Arial"/>
          <w:b/>
          <w:bCs/>
          <w:color w:val="000000" w:themeColor="text1"/>
          <w:sz w:val="22"/>
          <w:lang w:val="es-CO"/>
        </w:rPr>
        <w:t>contrato subsiguiente</w:t>
      </w:r>
    </w:p>
    <w:p w14:paraId="4B7FD4E1" w14:textId="77777777" w:rsidR="006160ED" w:rsidRDefault="006160ED" w:rsidP="005C1BB6">
      <w:pPr>
        <w:jc w:val="both"/>
        <w:rPr>
          <w:rStyle w:val="normaltextrun"/>
          <w:rFonts w:ascii="Arial" w:hAnsi="Arial" w:cs="Arial"/>
          <w:color w:val="000000"/>
          <w:sz w:val="20"/>
          <w:szCs w:val="20"/>
        </w:rPr>
      </w:pPr>
    </w:p>
    <w:p w14:paraId="2EC3C26E" w14:textId="77777777" w:rsidR="00F7642C" w:rsidRPr="00F7642C" w:rsidRDefault="00F7642C" w:rsidP="00F7642C">
      <w:pPr>
        <w:jc w:val="both"/>
        <w:rPr>
          <w:rFonts w:ascii="Arial" w:hAnsi="Arial" w:cs="Arial"/>
          <w:color w:val="000000"/>
          <w:sz w:val="20"/>
          <w:szCs w:val="20"/>
          <w:lang w:val="es-ES_tradnl"/>
        </w:rPr>
      </w:pPr>
      <w:r w:rsidRPr="00F7642C">
        <w:rPr>
          <w:rFonts w:ascii="Arial" w:hAnsi="Arial" w:cs="Arial"/>
          <w:color w:val="000000"/>
          <w:sz w:val="20"/>
          <w:szCs w:val="20"/>
          <w:lang w:val="es-ES_tradnl"/>
        </w:rPr>
        <w:t xml:space="preserve">En los términos del artículo 2.2.1.2.3.1.3. del Decreto 1082 de 2015, si el garante decide no continuar garantizando la etapa del contrato o periodo contractual subsiguiente, asume la obligación de informar su decisión por escrito a la entidad estatal garantizada seis (6) meses antes del vencimiento del plazo de la garantía. Esto quiere decir que son dos (2) requisitos los que establece la norma: i) avisar con un tiempo de antelación de seis (6) meses antes de la fecha de vencimiento del plazo de la garantía e ii) informar por </w:t>
      </w:r>
      <w:r w:rsidRPr="00F7642C">
        <w:rPr>
          <w:rFonts w:ascii="Arial" w:hAnsi="Arial" w:cs="Arial"/>
          <w:i/>
          <w:iCs/>
          <w:color w:val="000000"/>
          <w:sz w:val="20"/>
          <w:szCs w:val="20"/>
          <w:lang w:val="es-ES_tradnl"/>
        </w:rPr>
        <w:t>escrito</w:t>
      </w:r>
      <w:r w:rsidRPr="00F7642C">
        <w:rPr>
          <w:rFonts w:ascii="Arial" w:hAnsi="Arial" w:cs="Arial"/>
          <w:color w:val="000000"/>
          <w:sz w:val="20"/>
          <w:szCs w:val="20"/>
          <w:lang w:val="es-ES_tradnl"/>
        </w:rPr>
        <w:t xml:space="preserve"> a la entidad; es decir, que no se tendrán en cuenta las manifestaciones verbales.</w:t>
      </w:r>
    </w:p>
    <w:p w14:paraId="1517DDF0" w14:textId="77777777" w:rsidR="005C1BB6" w:rsidRPr="005C1BB6" w:rsidRDefault="005C1BB6" w:rsidP="005C1BB6">
      <w:pPr>
        <w:jc w:val="both"/>
        <w:rPr>
          <w:rStyle w:val="normaltextrun"/>
          <w:rFonts w:ascii="Arial" w:hAnsi="Arial" w:cs="Arial"/>
          <w:color w:val="000000"/>
          <w:sz w:val="20"/>
          <w:szCs w:val="20"/>
        </w:rPr>
      </w:pPr>
    </w:p>
    <w:p w14:paraId="51F5D013" w14:textId="77777777" w:rsidR="00F7642C" w:rsidRPr="00F7642C" w:rsidRDefault="00F7642C" w:rsidP="00F7642C">
      <w:pPr>
        <w:jc w:val="both"/>
        <w:rPr>
          <w:rFonts w:ascii="Arial" w:hAnsi="Arial" w:cs="Arial"/>
          <w:color w:val="000000"/>
          <w:sz w:val="20"/>
          <w:szCs w:val="20"/>
          <w:lang w:val="es-ES_tradnl"/>
        </w:rPr>
      </w:pPr>
      <w:r w:rsidRPr="00F7642C">
        <w:rPr>
          <w:rFonts w:ascii="Arial" w:hAnsi="Arial" w:cs="Arial"/>
          <w:color w:val="000000"/>
          <w:sz w:val="20"/>
          <w:szCs w:val="20"/>
          <w:lang w:val="es-ES_tradnl"/>
        </w:rPr>
        <w:t xml:space="preserve">En este sentido, frente a su inquietud particular si el garante tiene el deber de justificar su decisión de no continuar garantizando la etapa del contrato o periodo contractual subsiguiente, es importante resaltar que el artículo 2.2.1.2.3.1.3. del Decreto 1082 de 2015 no establece este requisito. En efecto, la exigencia de </w:t>
      </w:r>
      <w:r w:rsidRPr="00F7642C">
        <w:rPr>
          <w:rFonts w:ascii="Arial" w:hAnsi="Arial" w:cs="Arial"/>
          <w:i/>
          <w:iCs/>
          <w:color w:val="000000"/>
          <w:sz w:val="20"/>
          <w:szCs w:val="20"/>
          <w:lang w:val="es-ES_tradnl"/>
        </w:rPr>
        <w:t>justificar</w:t>
      </w:r>
      <w:r w:rsidRPr="00F7642C">
        <w:rPr>
          <w:rFonts w:ascii="Arial" w:hAnsi="Arial" w:cs="Arial"/>
          <w:color w:val="000000"/>
          <w:sz w:val="20"/>
          <w:szCs w:val="20"/>
          <w:lang w:val="es-ES_tradnl"/>
        </w:rPr>
        <w:t xml:space="preserve"> la decisión de no continuar garantizando el contrato no es un requisito que se derive del Decreto 1082 de 2015; por el contrario, la norma citada establece que cuando el garante decide no continuar garantizando la etapa o periodo contractual siguiente «debe informar su decisión por escrito», esto es, que basta con comunicar dicha decisión, sin que se establezcan requisitos adicionales o que tal decisión se someta a una justificación o razón particular. En tal sentido, la exigencia de una justificación específica, al no originarse en el ordenamiento jurídico afectaría la libertad contractual del garante de decidir si desea celebrar un nuevo negocio jurídico para amparar los riesgos de la etapa del contrato subsiguiente. Lo anterior, sin perjuicio de la obligación que tiene el </w:t>
      </w:r>
      <w:r w:rsidRPr="00F7642C">
        <w:rPr>
          <w:rFonts w:ascii="Arial" w:hAnsi="Arial" w:cs="Arial"/>
          <w:i/>
          <w:iCs/>
          <w:color w:val="000000"/>
          <w:sz w:val="20"/>
          <w:szCs w:val="20"/>
          <w:lang w:val="es-ES_tradnl"/>
        </w:rPr>
        <w:t>contratista</w:t>
      </w:r>
      <w:r w:rsidRPr="00F7642C">
        <w:rPr>
          <w:rFonts w:ascii="Arial" w:hAnsi="Arial" w:cs="Arial"/>
          <w:color w:val="000000"/>
          <w:sz w:val="20"/>
          <w:szCs w:val="20"/>
          <w:lang w:val="es-ES_tradnl"/>
        </w:rPr>
        <w:t xml:space="preserve"> de contar con la nueva garantía que ampare la siguiente etapa o periodo contractual.</w:t>
      </w:r>
    </w:p>
    <w:p w14:paraId="1782239C" w14:textId="77777777" w:rsidR="004128F2" w:rsidRDefault="004128F2">
      <w:pPr>
        <w:spacing w:after="160" w:line="259" w:lineRule="auto"/>
        <w:rPr>
          <w:rFonts w:ascii="Arial" w:hAnsi="Arial" w:cs="Arial"/>
          <w:color w:val="000000" w:themeColor="text1"/>
          <w:sz w:val="22"/>
          <w:lang w:val="es-CO"/>
        </w:rPr>
      </w:pPr>
      <w:r>
        <w:rPr>
          <w:rFonts w:ascii="Arial" w:hAnsi="Arial" w:cs="Arial"/>
          <w:color w:val="000000" w:themeColor="text1"/>
          <w:sz w:val="22"/>
          <w:lang w:val="es-CO"/>
        </w:rPr>
        <w:br w:type="page"/>
      </w:r>
    </w:p>
    <w:p w14:paraId="2B4A2E89" w14:textId="77777777" w:rsidR="00073CBD" w:rsidRDefault="00073CBD" w:rsidP="001F0B64">
      <w:pPr>
        <w:jc w:val="both"/>
        <w:rPr>
          <w:rFonts w:ascii="Arial" w:hAnsi="Arial" w:cs="Arial"/>
          <w:color w:val="000000" w:themeColor="text1"/>
          <w:sz w:val="22"/>
          <w:lang w:val="es-CO"/>
        </w:rPr>
      </w:pPr>
    </w:p>
    <w:p w14:paraId="79F63A59" w14:textId="77777777" w:rsidR="00073CBD" w:rsidRDefault="00073CBD" w:rsidP="001F0B64">
      <w:pPr>
        <w:jc w:val="both"/>
        <w:rPr>
          <w:rFonts w:ascii="Arial" w:hAnsi="Arial" w:cs="Arial"/>
          <w:color w:val="000000" w:themeColor="text1"/>
          <w:sz w:val="22"/>
          <w:lang w:val="es-CO"/>
        </w:rPr>
      </w:pPr>
    </w:p>
    <w:p w14:paraId="5460FBBC" w14:textId="51DD2220" w:rsidR="001F0B64" w:rsidRPr="001C7398" w:rsidRDefault="001F0B64" w:rsidP="001F0B64">
      <w:pPr>
        <w:jc w:val="both"/>
        <w:rPr>
          <w:rFonts w:ascii="Arial" w:eastAsia="Calibri" w:hAnsi="Arial" w:cs="Arial"/>
          <w:color w:val="000000" w:themeColor="text1"/>
          <w:sz w:val="22"/>
          <w:lang w:val="es-CO"/>
        </w:rPr>
      </w:pPr>
      <w:r w:rsidRPr="001C7398">
        <w:rPr>
          <w:rFonts w:ascii="Arial" w:hAnsi="Arial" w:cs="Arial"/>
          <w:color w:val="000000" w:themeColor="text1"/>
          <w:sz w:val="22"/>
          <w:lang w:val="es-CO"/>
        </w:rPr>
        <w:t xml:space="preserve">Bogotá D.C., </w:t>
      </w:r>
      <w:r w:rsidR="006459F1" w:rsidRPr="006459F1">
        <w:rPr>
          <w:rFonts w:ascii="Arial" w:hAnsi="Arial" w:cs="Arial"/>
          <w:color w:val="000000" w:themeColor="text1"/>
          <w:sz w:val="22"/>
        </w:rPr>
        <w:t xml:space="preserve">28 </w:t>
      </w:r>
      <w:proofErr w:type="gramStart"/>
      <w:r w:rsidR="006459F1" w:rsidRPr="006459F1">
        <w:rPr>
          <w:rFonts w:ascii="Arial" w:hAnsi="Arial" w:cs="Arial"/>
          <w:color w:val="000000" w:themeColor="text1"/>
          <w:sz w:val="22"/>
        </w:rPr>
        <w:t>Febrero</w:t>
      </w:r>
      <w:proofErr w:type="gramEnd"/>
      <w:r w:rsidR="006459F1" w:rsidRPr="006459F1">
        <w:rPr>
          <w:rFonts w:ascii="Arial" w:hAnsi="Arial" w:cs="Arial"/>
          <w:color w:val="000000" w:themeColor="text1"/>
          <w:sz w:val="22"/>
        </w:rPr>
        <w:t xml:space="preserve"> 202</w:t>
      </w:r>
      <w:r w:rsidR="006459F1">
        <w:rPr>
          <w:rFonts w:ascii="Arial" w:hAnsi="Arial" w:cs="Arial"/>
          <w:color w:val="000000" w:themeColor="text1"/>
          <w:sz w:val="22"/>
        </w:rPr>
        <w:t>2</w:t>
      </w:r>
    </w:p>
    <w:p w14:paraId="27A646BF" w14:textId="77777777" w:rsidR="001F0B64" w:rsidRPr="001C7398" w:rsidRDefault="001F0B64" w:rsidP="001F0B64">
      <w:pPr>
        <w:jc w:val="right"/>
        <w:rPr>
          <w:rFonts w:ascii="Arial" w:hAnsi="Arial" w:cs="Arial"/>
          <w:b/>
          <w:color w:val="000000" w:themeColor="text1"/>
          <w:sz w:val="22"/>
          <w:lang w:val="es-CO"/>
        </w:rPr>
      </w:pPr>
    </w:p>
    <w:p w14:paraId="6CD63CEE" w14:textId="77777777" w:rsidR="001F0B64" w:rsidRDefault="001F0B64" w:rsidP="001F0B64">
      <w:pPr>
        <w:tabs>
          <w:tab w:val="left" w:pos="1535"/>
        </w:tabs>
        <w:jc w:val="both"/>
        <w:rPr>
          <w:rFonts w:ascii="Arial" w:eastAsia="Calibri" w:hAnsi="Arial" w:cs="Arial"/>
          <w:color w:val="000000" w:themeColor="text1"/>
          <w:sz w:val="22"/>
          <w:lang w:val="es-CO"/>
        </w:rPr>
      </w:pPr>
    </w:p>
    <w:p w14:paraId="4893F696" w14:textId="77777777" w:rsidR="00E37412" w:rsidRDefault="00E37412" w:rsidP="00E37412">
      <w:pPr>
        <w:tabs>
          <w:tab w:val="left" w:pos="1535"/>
        </w:tabs>
        <w:jc w:val="right"/>
        <w:rPr>
          <w:noProof/>
        </w:rPr>
      </w:pPr>
    </w:p>
    <w:p w14:paraId="5A12AAC6" w14:textId="1F09732B" w:rsidR="00E37412" w:rsidRDefault="00E37412" w:rsidP="00E37412">
      <w:pPr>
        <w:tabs>
          <w:tab w:val="left" w:pos="1535"/>
        </w:tabs>
        <w:jc w:val="right"/>
        <w:rPr>
          <w:rFonts w:ascii="Arial" w:eastAsia="Calibri" w:hAnsi="Arial" w:cs="Arial"/>
          <w:color w:val="000000" w:themeColor="text1"/>
          <w:sz w:val="22"/>
          <w:lang w:val="es-CO"/>
        </w:rPr>
      </w:pPr>
      <w:r>
        <w:rPr>
          <w:noProof/>
        </w:rPr>
        <w:drawing>
          <wp:inline distT="0" distB="0" distL="0" distR="0" wp14:anchorId="022242F8" wp14:editId="7985DA02">
            <wp:extent cx="3016885" cy="866754"/>
            <wp:effectExtent l="0" t="0" r="0" b="0"/>
            <wp:docPr id="4" name="Imagen 4"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Aplicación&#10;&#10;Descripción generada automáticamente"/>
                    <pic:cNvPicPr/>
                  </pic:nvPicPr>
                  <pic:blipFill rotWithShape="1">
                    <a:blip r:embed="rId11"/>
                    <a:srcRect t="7143"/>
                    <a:stretch/>
                  </pic:blipFill>
                  <pic:spPr bwMode="auto">
                    <a:xfrm>
                      <a:off x="0" y="0"/>
                      <a:ext cx="3026290" cy="869456"/>
                    </a:xfrm>
                    <a:prstGeom prst="rect">
                      <a:avLst/>
                    </a:prstGeom>
                    <a:ln>
                      <a:noFill/>
                    </a:ln>
                    <a:extLst>
                      <a:ext uri="{53640926-AAD7-44D8-BBD7-CCE9431645EC}">
                        <a14:shadowObscured xmlns:a14="http://schemas.microsoft.com/office/drawing/2010/main"/>
                      </a:ext>
                    </a:extLst>
                  </pic:spPr>
                </pic:pic>
              </a:graphicData>
            </a:graphic>
          </wp:inline>
        </w:drawing>
      </w:r>
    </w:p>
    <w:p w14:paraId="23F38F28" w14:textId="77777777" w:rsidR="00E37412" w:rsidRDefault="00E37412" w:rsidP="001F0B64">
      <w:pPr>
        <w:tabs>
          <w:tab w:val="left" w:pos="1535"/>
        </w:tabs>
        <w:jc w:val="both"/>
        <w:rPr>
          <w:rFonts w:ascii="Arial" w:eastAsia="Calibri" w:hAnsi="Arial" w:cs="Arial"/>
          <w:color w:val="000000" w:themeColor="text1"/>
          <w:sz w:val="22"/>
          <w:lang w:val="es-CO"/>
        </w:rPr>
      </w:pPr>
    </w:p>
    <w:p w14:paraId="2C984E94" w14:textId="77777777" w:rsidR="00E37412" w:rsidRDefault="00E37412" w:rsidP="001F0B64">
      <w:pPr>
        <w:tabs>
          <w:tab w:val="left" w:pos="1535"/>
        </w:tabs>
        <w:jc w:val="both"/>
        <w:rPr>
          <w:rFonts w:ascii="Arial" w:eastAsia="Calibri" w:hAnsi="Arial" w:cs="Arial"/>
          <w:color w:val="000000" w:themeColor="text1"/>
          <w:sz w:val="22"/>
          <w:lang w:val="es-CO"/>
        </w:rPr>
      </w:pPr>
    </w:p>
    <w:p w14:paraId="501E7FF9" w14:textId="77777777" w:rsidR="00E37412" w:rsidRPr="001C7398" w:rsidRDefault="00E37412" w:rsidP="001F0B64">
      <w:pPr>
        <w:tabs>
          <w:tab w:val="left" w:pos="1535"/>
        </w:tabs>
        <w:jc w:val="both"/>
        <w:rPr>
          <w:rFonts w:ascii="Arial" w:eastAsia="Calibri" w:hAnsi="Arial" w:cs="Arial"/>
          <w:color w:val="000000" w:themeColor="text1"/>
          <w:sz w:val="22"/>
          <w:lang w:val="es-CO"/>
        </w:rPr>
      </w:pPr>
    </w:p>
    <w:p w14:paraId="71EC78FC" w14:textId="59BB443D" w:rsidR="001F0B64" w:rsidRDefault="001F0B64" w:rsidP="001F0B64">
      <w:pPr>
        <w:tabs>
          <w:tab w:val="left" w:pos="1535"/>
        </w:tabs>
        <w:jc w:val="both"/>
        <w:rPr>
          <w:rFonts w:ascii="Arial" w:eastAsia="Calibri" w:hAnsi="Arial" w:cs="Arial"/>
          <w:color w:val="000000" w:themeColor="text1"/>
          <w:sz w:val="22"/>
          <w:lang w:val="es-ES_tradnl"/>
        </w:rPr>
      </w:pPr>
      <w:r w:rsidRPr="0069239E">
        <w:rPr>
          <w:rFonts w:ascii="Arial" w:eastAsia="Calibri" w:hAnsi="Arial" w:cs="Arial"/>
          <w:color w:val="000000" w:themeColor="text1"/>
          <w:sz w:val="22"/>
          <w:lang w:val="es-ES_tradnl"/>
        </w:rPr>
        <w:t>Señor</w:t>
      </w:r>
    </w:p>
    <w:p w14:paraId="6096E964" w14:textId="2A35CA83" w:rsidR="001F0B64" w:rsidRDefault="00915D35" w:rsidP="00915D35">
      <w:pPr>
        <w:tabs>
          <w:tab w:val="left" w:pos="1535"/>
        </w:tabs>
        <w:jc w:val="both"/>
        <w:rPr>
          <w:rFonts w:ascii="Arial" w:eastAsia="Calibri" w:hAnsi="Arial" w:cs="Arial"/>
          <w:color w:val="000000" w:themeColor="text1"/>
          <w:sz w:val="22"/>
          <w:lang w:val="es-ES_tradnl"/>
        </w:rPr>
      </w:pPr>
      <w:r>
        <w:rPr>
          <w:rFonts w:ascii="Arial" w:eastAsia="Calibri" w:hAnsi="Arial" w:cs="Arial"/>
          <w:b/>
          <w:bCs/>
          <w:color w:val="000000" w:themeColor="text1"/>
          <w:sz w:val="22"/>
          <w:lang w:val="es-ES_tradnl"/>
        </w:rPr>
        <w:t>Gustavo Adolfo Santos Callejas</w:t>
      </w:r>
    </w:p>
    <w:p w14:paraId="117BCCC8" w14:textId="17C70CD2" w:rsidR="001F0B64" w:rsidRPr="0069239E" w:rsidRDefault="00915D35" w:rsidP="001F0B64">
      <w:pPr>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Barranquilla, Atlántico</w:t>
      </w:r>
    </w:p>
    <w:p w14:paraId="556BC6DB" w14:textId="77777777" w:rsidR="001F0B64" w:rsidRDefault="001F0B64" w:rsidP="001F0B64">
      <w:pPr>
        <w:jc w:val="both"/>
        <w:rPr>
          <w:rFonts w:ascii="Arial" w:eastAsia="Calibri" w:hAnsi="Arial" w:cs="Arial"/>
          <w:color w:val="000000" w:themeColor="text1"/>
          <w:sz w:val="22"/>
          <w:lang w:val="es-ES_tradnl"/>
        </w:rPr>
      </w:pPr>
    </w:p>
    <w:p w14:paraId="22B8B439" w14:textId="77777777" w:rsidR="001F0B64" w:rsidRPr="0069239E" w:rsidRDefault="001F0B64" w:rsidP="001F0B64">
      <w:pPr>
        <w:jc w:val="both"/>
        <w:rPr>
          <w:rFonts w:ascii="Arial" w:eastAsia="Calibri" w:hAnsi="Arial" w:cs="Arial"/>
          <w:color w:val="000000" w:themeColor="text1"/>
          <w:sz w:val="22"/>
          <w:lang w:val="es-ES_tradnl"/>
        </w:rPr>
      </w:pPr>
    </w:p>
    <w:p w14:paraId="22E6C16E" w14:textId="1441BB3D" w:rsidR="001F0B64" w:rsidRDefault="001F0B64" w:rsidP="001F0B64">
      <w:pPr>
        <w:rPr>
          <w:rFonts w:ascii="Arial" w:eastAsia="Calibri" w:hAnsi="Arial" w:cs="Arial"/>
          <w:b/>
          <w:bCs/>
          <w:color w:val="000000" w:themeColor="text1"/>
          <w:sz w:val="22"/>
          <w:lang w:val="es-ES_tradnl"/>
        </w:rPr>
      </w:pPr>
      <w:r>
        <w:rPr>
          <w:rFonts w:ascii="Arial" w:eastAsia="Calibri" w:hAnsi="Arial" w:cs="Arial"/>
          <w:b/>
          <w:bCs/>
          <w:color w:val="000000" w:themeColor="text1"/>
          <w:sz w:val="22"/>
          <w:lang w:val="es-ES_tradnl"/>
        </w:rPr>
        <w:t xml:space="preserve">                                            </w:t>
      </w:r>
      <w:r w:rsidRPr="0069239E">
        <w:rPr>
          <w:rFonts w:ascii="Arial" w:eastAsia="Calibri" w:hAnsi="Arial" w:cs="Arial"/>
          <w:b/>
          <w:bCs/>
          <w:color w:val="000000" w:themeColor="text1"/>
          <w:sz w:val="22"/>
          <w:lang w:val="es-ES_tradnl"/>
        </w:rPr>
        <w:t xml:space="preserve">Concepto C ‒ </w:t>
      </w:r>
      <w:r w:rsidR="00EA276D">
        <w:rPr>
          <w:rFonts w:ascii="Arial" w:eastAsia="Calibri" w:hAnsi="Arial" w:cs="Arial"/>
          <w:b/>
          <w:bCs/>
          <w:color w:val="000000" w:themeColor="text1"/>
          <w:sz w:val="22"/>
          <w:lang w:val="es-ES_tradnl"/>
        </w:rPr>
        <w:t>036</w:t>
      </w:r>
      <w:r w:rsidRPr="0069239E">
        <w:rPr>
          <w:rFonts w:ascii="Arial" w:eastAsia="Calibri" w:hAnsi="Arial" w:cs="Arial"/>
          <w:b/>
          <w:bCs/>
          <w:color w:val="000000" w:themeColor="text1"/>
          <w:sz w:val="22"/>
          <w:lang w:val="es-ES_tradnl"/>
        </w:rPr>
        <w:t xml:space="preserve"> de 202</w:t>
      </w:r>
      <w:r w:rsidR="00EA276D">
        <w:rPr>
          <w:rFonts w:ascii="Arial" w:eastAsia="Calibri" w:hAnsi="Arial" w:cs="Arial"/>
          <w:b/>
          <w:bCs/>
          <w:color w:val="000000" w:themeColor="text1"/>
          <w:sz w:val="22"/>
          <w:lang w:val="es-ES_tradnl"/>
        </w:rPr>
        <w:t>2</w:t>
      </w:r>
    </w:p>
    <w:p w14:paraId="099760D2" w14:textId="77777777" w:rsidR="001F0B64" w:rsidRPr="0069239E" w:rsidRDefault="001F0B64" w:rsidP="001F0B64">
      <w:pPr>
        <w:rPr>
          <w:rFonts w:ascii="Arial" w:eastAsia="Calibri" w:hAnsi="Arial" w:cs="Arial"/>
          <w:b/>
          <w:bCs/>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1F0B64" w:rsidRPr="00884796" w14:paraId="257F9A81" w14:textId="77777777" w:rsidTr="00D02BAC">
        <w:trPr>
          <w:trHeight w:val="1174"/>
        </w:trPr>
        <w:tc>
          <w:tcPr>
            <w:tcW w:w="2689" w:type="dxa"/>
          </w:tcPr>
          <w:p w14:paraId="0F6A1330" w14:textId="77777777" w:rsidR="001F0B64" w:rsidRPr="0069239E" w:rsidRDefault="001F0B64" w:rsidP="00D02BAC">
            <w:pPr>
              <w:jc w:val="both"/>
              <w:rPr>
                <w:rFonts w:ascii="Arial" w:eastAsia="Calibri" w:hAnsi="Arial" w:cs="Arial"/>
                <w:color w:val="000000" w:themeColor="text1"/>
                <w:sz w:val="22"/>
                <w:lang w:val="es-ES_tradnl"/>
              </w:rPr>
            </w:pPr>
            <w:r w:rsidRPr="0069239E">
              <w:rPr>
                <w:rFonts w:ascii="Arial" w:eastAsia="Calibri" w:hAnsi="Arial" w:cs="Arial"/>
                <w:b/>
                <w:color w:val="000000" w:themeColor="text1"/>
                <w:sz w:val="22"/>
                <w:lang w:val="es-ES_tradnl"/>
              </w:rPr>
              <w:t>Temas:</w:t>
            </w:r>
            <w:r w:rsidRPr="0069239E">
              <w:rPr>
                <w:rFonts w:ascii="Arial" w:eastAsia="Calibri" w:hAnsi="Arial" w:cs="Arial"/>
                <w:color w:val="000000" w:themeColor="text1"/>
                <w:sz w:val="22"/>
                <w:lang w:val="es-ES_tradnl"/>
              </w:rPr>
              <w:t xml:space="preserve"> </w:t>
            </w:r>
          </w:p>
        </w:tc>
        <w:tc>
          <w:tcPr>
            <w:tcW w:w="6237" w:type="dxa"/>
          </w:tcPr>
          <w:p w14:paraId="7B3E70F0" w14:textId="6C00331E" w:rsidR="001F0B64" w:rsidRPr="00E85B3F" w:rsidRDefault="00486082" w:rsidP="00E85B3F">
            <w:pPr>
              <w:jc w:val="both"/>
              <w:rPr>
                <w:rFonts w:ascii="Arial" w:hAnsi="Arial" w:cs="Arial"/>
                <w:b/>
                <w:bCs/>
                <w:color w:val="000000" w:themeColor="text1"/>
                <w:sz w:val="22"/>
                <w:lang w:val="es-CO"/>
              </w:rPr>
            </w:pPr>
            <w:r w:rsidRPr="00437DE0">
              <w:rPr>
                <w:rFonts w:ascii="Arial" w:eastAsia="Calibri" w:hAnsi="Arial" w:cs="Arial"/>
                <w:sz w:val="22"/>
                <w:lang w:val="es-ES"/>
              </w:rPr>
              <w:t xml:space="preserve">GARANTÍAS – Contratación estatal – Constitución de garantías </w:t>
            </w:r>
            <w:r w:rsidRPr="00E85B3F">
              <w:rPr>
                <w:rFonts w:ascii="Arial" w:eastAsia="Calibri" w:hAnsi="Arial" w:cs="Arial"/>
                <w:sz w:val="22"/>
                <w:lang w:val="es-ES"/>
              </w:rPr>
              <w:t xml:space="preserve">– Finalidad – Cumplimiento – Obligaciones contractuales / </w:t>
            </w:r>
            <w:r w:rsidR="00E85B3F" w:rsidRPr="00E85B3F">
              <w:rPr>
                <w:rFonts w:ascii="Arial" w:hAnsi="Arial" w:cs="Arial"/>
                <w:color w:val="000000" w:themeColor="text1"/>
                <w:sz w:val="22"/>
                <w:lang w:val="es-CO"/>
              </w:rPr>
              <w:t xml:space="preserve">PRINCIPIO DE INDIVISIBILIDAD DE LA GARANTÍA – Noción – Alcance / </w:t>
            </w:r>
            <w:r w:rsidR="00E85B3F" w:rsidRPr="00E85B3F">
              <w:rPr>
                <w:rFonts w:ascii="Arial" w:hAnsi="Arial" w:cs="Arial"/>
                <w:color w:val="000000" w:themeColor="text1"/>
                <w:sz w:val="20"/>
                <w:szCs w:val="20"/>
                <w:lang w:val="es-CO"/>
              </w:rPr>
              <w:t xml:space="preserve">PRINCIPIO DE INDIVISIBILIDAD DE LA GARANTÍA </w:t>
            </w:r>
            <w:r w:rsidR="00E85B3F" w:rsidRPr="00E85B3F">
              <w:rPr>
                <w:rFonts w:ascii="Arial" w:hAnsi="Arial" w:cs="Arial"/>
                <w:color w:val="000000" w:themeColor="text1"/>
                <w:sz w:val="22"/>
                <w:lang w:val="es-CO"/>
              </w:rPr>
              <w:t>– Requisitos</w:t>
            </w:r>
            <w:r w:rsidR="00E85B3F" w:rsidRPr="00E85B3F">
              <w:rPr>
                <w:rFonts w:ascii="Arial" w:hAnsi="Arial" w:cs="Arial"/>
                <w:color w:val="000000" w:themeColor="text1"/>
                <w:sz w:val="20"/>
                <w:szCs w:val="20"/>
                <w:lang w:val="es-CO"/>
              </w:rPr>
              <w:t xml:space="preserve"> </w:t>
            </w:r>
            <w:r w:rsidR="00E85B3F" w:rsidRPr="00E85B3F">
              <w:rPr>
                <w:rFonts w:ascii="Arial" w:hAnsi="Arial" w:cs="Arial"/>
                <w:color w:val="000000" w:themeColor="text1"/>
                <w:sz w:val="22"/>
                <w:lang w:val="es-CO"/>
              </w:rPr>
              <w:t>– Pliego de condiciones / PRINCIPIO DE INDIVISIBILIDAD DE LA GARANTÍA</w:t>
            </w:r>
            <w:r w:rsidR="00E85B3F" w:rsidRPr="00E85B3F">
              <w:rPr>
                <w:rFonts w:ascii="Arial" w:hAnsi="Arial" w:cs="Arial"/>
                <w:color w:val="000000" w:themeColor="text1"/>
                <w:sz w:val="20"/>
                <w:szCs w:val="20"/>
                <w:lang w:val="es-CO"/>
              </w:rPr>
              <w:t xml:space="preserve"> </w:t>
            </w:r>
            <w:r w:rsidR="00E85B3F" w:rsidRPr="00E85B3F">
              <w:rPr>
                <w:rFonts w:ascii="Arial" w:hAnsi="Arial" w:cs="Arial"/>
                <w:color w:val="000000" w:themeColor="text1"/>
                <w:sz w:val="22"/>
                <w:lang w:val="es-CO"/>
              </w:rPr>
              <w:t>– Obligación del garante – Decisión de no continuar garantizando – Etapa del contrato subsiguiente</w:t>
            </w:r>
          </w:p>
        </w:tc>
      </w:tr>
      <w:tr w:rsidR="001F0B64" w:rsidRPr="0069239E" w14:paraId="2ADE2792" w14:textId="77777777" w:rsidTr="00D02BAC">
        <w:tc>
          <w:tcPr>
            <w:tcW w:w="2689" w:type="dxa"/>
          </w:tcPr>
          <w:p w14:paraId="2B570F52" w14:textId="77777777" w:rsidR="001F0B64" w:rsidRPr="0069239E" w:rsidRDefault="001F0B64" w:rsidP="00D02BAC">
            <w:pPr>
              <w:spacing w:before="120"/>
              <w:jc w:val="both"/>
              <w:rPr>
                <w:rFonts w:ascii="Arial" w:eastAsia="Calibri" w:hAnsi="Arial" w:cs="Arial"/>
                <w:b/>
                <w:color w:val="000000" w:themeColor="text1"/>
                <w:sz w:val="22"/>
                <w:lang w:val="es-ES_tradnl"/>
              </w:rPr>
            </w:pPr>
            <w:r w:rsidRPr="0069239E">
              <w:rPr>
                <w:rFonts w:ascii="Arial" w:eastAsia="Calibri" w:hAnsi="Arial" w:cs="Arial"/>
                <w:b/>
                <w:color w:val="000000" w:themeColor="text1"/>
                <w:sz w:val="22"/>
                <w:lang w:val="es-ES_tradnl"/>
              </w:rPr>
              <w:t>Radicación:</w:t>
            </w:r>
            <w:r w:rsidRPr="0069239E">
              <w:rPr>
                <w:rFonts w:ascii="Arial" w:eastAsia="Calibri" w:hAnsi="Arial" w:cs="Arial"/>
                <w:color w:val="000000" w:themeColor="text1"/>
                <w:sz w:val="22"/>
                <w:lang w:val="es-ES_tradnl"/>
              </w:rPr>
              <w:t xml:space="preserve"> </w:t>
            </w:r>
          </w:p>
        </w:tc>
        <w:tc>
          <w:tcPr>
            <w:tcW w:w="6237" w:type="dxa"/>
          </w:tcPr>
          <w:p w14:paraId="45F38911" w14:textId="40B5C543" w:rsidR="001F0B64" w:rsidRPr="0069239E" w:rsidRDefault="001F0B64" w:rsidP="00D02BAC">
            <w:pPr>
              <w:spacing w:before="120"/>
              <w:jc w:val="both"/>
              <w:rPr>
                <w:rFonts w:ascii="Arial" w:eastAsia="Calibri" w:hAnsi="Arial" w:cs="Arial"/>
                <w:color w:val="000000" w:themeColor="text1"/>
                <w:sz w:val="22"/>
                <w:lang w:val="es-ES_tradnl"/>
              </w:rPr>
            </w:pPr>
            <w:r w:rsidRPr="0069239E">
              <w:rPr>
                <w:rFonts w:ascii="Arial" w:eastAsia="Calibri" w:hAnsi="Arial" w:cs="Arial"/>
                <w:color w:val="000000" w:themeColor="text1"/>
                <w:sz w:val="22"/>
                <w:lang w:val="es-ES_tradnl"/>
              </w:rPr>
              <w:t xml:space="preserve">Respuesta a la consulta </w:t>
            </w:r>
            <w:r w:rsidR="00EC715A" w:rsidRPr="00EC715A">
              <w:rPr>
                <w:rFonts w:ascii="Arial" w:eastAsia="Calibri" w:hAnsi="Arial" w:cs="Arial"/>
                <w:color w:val="000000" w:themeColor="text1"/>
                <w:sz w:val="22"/>
              </w:rPr>
              <w:t>P202</w:t>
            </w:r>
            <w:r w:rsidR="00CE77E4">
              <w:rPr>
                <w:rFonts w:ascii="Arial" w:eastAsia="Calibri" w:hAnsi="Arial" w:cs="Arial"/>
                <w:color w:val="000000" w:themeColor="text1"/>
                <w:sz w:val="22"/>
              </w:rPr>
              <w:t>2119000375</w:t>
            </w:r>
          </w:p>
        </w:tc>
      </w:tr>
    </w:tbl>
    <w:p w14:paraId="27A0D013" w14:textId="77777777" w:rsidR="001F0B64" w:rsidRDefault="001F0B64" w:rsidP="001F0B64">
      <w:pPr>
        <w:jc w:val="both"/>
        <w:rPr>
          <w:rFonts w:ascii="Arial" w:eastAsia="Calibri" w:hAnsi="Arial" w:cs="Arial"/>
          <w:color w:val="000000" w:themeColor="text1"/>
          <w:sz w:val="22"/>
          <w:lang w:val="es-ES_tradnl"/>
        </w:rPr>
      </w:pPr>
    </w:p>
    <w:p w14:paraId="5F5B400B" w14:textId="77777777" w:rsidR="001F0B64" w:rsidRDefault="001F0B64" w:rsidP="001F0B64">
      <w:pPr>
        <w:jc w:val="both"/>
        <w:rPr>
          <w:rFonts w:ascii="Arial" w:eastAsia="Calibri" w:hAnsi="Arial" w:cs="Arial"/>
          <w:color w:val="000000" w:themeColor="text1"/>
          <w:sz w:val="22"/>
          <w:lang w:val="es-ES_tradnl"/>
        </w:rPr>
      </w:pPr>
    </w:p>
    <w:p w14:paraId="4AB4C95A" w14:textId="7E76348C" w:rsidR="001F0B64" w:rsidRPr="0069239E" w:rsidRDefault="001F0B64" w:rsidP="001F0B64">
      <w:pPr>
        <w:jc w:val="both"/>
        <w:rPr>
          <w:rFonts w:ascii="Arial" w:eastAsia="Calibri" w:hAnsi="Arial" w:cs="Arial"/>
          <w:color w:val="000000" w:themeColor="text1"/>
          <w:sz w:val="22"/>
          <w:lang w:val="es-ES_tradnl"/>
        </w:rPr>
      </w:pPr>
      <w:r w:rsidRPr="0069239E">
        <w:rPr>
          <w:rFonts w:ascii="Arial" w:eastAsia="Calibri" w:hAnsi="Arial" w:cs="Arial"/>
          <w:color w:val="000000" w:themeColor="text1"/>
          <w:sz w:val="22"/>
          <w:lang w:val="es-ES_tradnl"/>
        </w:rPr>
        <w:t>Estimad</w:t>
      </w:r>
      <w:r w:rsidR="00915D35">
        <w:rPr>
          <w:rFonts w:ascii="Arial" w:eastAsia="Calibri" w:hAnsi="Arial" w:cs="Arial"/>
          <w:color w:val="000000" w:themeColor="text1"/>
          <w:sz w:val="22"/>
          <w:lang w:val="es-ES_tradnl"/>
        </w:rPr>
        <w:t>o</w:t>
      </w:r>
      <w:r w:rsidRPr="0069239E">
        <w:rPr>
          <w:rFonts w:ascii="Arial" w:eastAsia="Calibri" w:hAnsi="Arial" w:cs="Arial"/>
          <w:color w:val="000000" w:themeColor="text1"/>
          <w:sz w:val="22"/>
          <w:lang w:val="es-ES_tradnl"/>
        </w:rPr>
        <w:t xml:space="preserve"> señor</w:t>
      </w:r>
      <w:r>
        <w:rPr>
          <w:rFonts w:ascii="Arial" w:eastAsia="Calibri" w:hAnsi="Arial" w:cs="Arial"/>
          <w:color w:val="000000" w:themeColor="text1"/>
          <w:sz w:val="22"/>
          <w:lang w:val="es-ES_tradnl"/>
        </w:rPr>
        <w:t xml:space="preserve"> </w:t>
      </w:r>
      <w:r w:rsidR="00915D35">
        <w:rPr>
          <w:rFonts w:ascii="Arial" w:eastAsia="Calibri" w:hAnsi="Arial" w:cs="Arial"/>
          <w:color w:val="000000" w:themeColor="text1"/>
          <w:sz w:val="22"/>
          <w:lang w:val="es-ES_tradnl"/>
        </w:rPr>
        <w:t>Santos</w:t>
      </w:r>
      <w:r w:rsidRPr="0069239E">
        <w:rPr>
          <w:rFonts w:ascii="Arial" w:eastAsia="Calibri" w:hAnsi="Arial" w:cs="Arial"/>
          <w:color w:val="000000" w:themeColor="text1"/>
          <w:sz w:val="22"/>
          <w:lang w:val="es-ES_tradnl"/>
        </w:rPr>
        <w:t>:</w:t>
      </w:r>
    </w:p>
    <w:p w14:paraId="149D55FE" w14:textId="77777777" w:rsidR="001F0B64" w:rsidRPr="0069239E" w:rsidRDefault="001F0B64" w:rsidP="001F0B64">
      <w:pPr>
        <w:jc w:val="both"/>
        <w:rPr>
          <w:rFonts w:ascii="Arial" w:eastAsia="Calibri" w:hAnsi="Arial" w:cs="Arial"/>
          <w:color w:val="000000" w:themeColor="text1"/>
          <w:sz w:val="22"/>
          <w:lang w:val="es-ES_tradnl"/>
        </w:rPr>
      </w:pPr>
    </w:p>
    <w:p w14:paraId="72F8B202" w14:textId="18B61251" w:rsidR="001F0B64" w:rsidRPr="0069239E" w:rsidRDefault="001F0B64" w:rsidP="001F0B64">
      <w:pPr>
        <w:spacing w:line="276" w:lineRule="auto"/>
        <w:jc w:val="both"/>
        <w:rPr>
          <w:rFonts w:ascii="Arial" w:eastAsia="Calibri" w:hAnsi="Arial" w:cs="Arial"/>
          <w:color w:val="000000" w:themeColor="text1"/>
          <w:sz w:val="22"/>
          <w:lang w:val="es-ES_tradnl"/>
        </w:rPr>
      </w:pPr>
      <w:r w:rsidRPr="0069239E">
        <w:rPr>
          <w:rFonts w:ascii="Arial" w:eastAsia="Calibri" w:hAnsi="Arial" w:cs="Arial"/>
          <w:color w:val="000000" w:themeColor="text1"/>
          <w:sz w:val="22"/>
          <w:lang w:val="es-ES_tradnl"/>
        </w:rPr>
        <w:t>En ejercicio de la competencia otorgada por el numeral 8 del artículo 11 y el numeral 5 del artículo 3 del Decreto Ley 4170 de 2011, la Agencia Nacional de Contratación Pública – Colombia Compra Eficiente responde s</w:t>
      </w:r>
      <w:r>
        <w:rPr>
          <w:rFonts w:ascii="Arial" w:eastAsia="Calibri" w:hAnsi="Arial" w:cs="Arial"/>
          <w:color w:val="000000" w:themeColor="text1"/>
          <w:sz w:val="22"/>
          <w:lang w:val="es-ES_tradnl"/>
        </w:rPr>
        <w:t>u consulta</w:t>
      </w:r>
      <w:r w:rsidR="004128F2" w:rsidRPr="004128F2">
        <w:rPr>
          <w:rFonts w:ascii="Arial" w:eastAsia="Calibri" w:hAnsi="Arial" w:cs="Arial"/>
          <w:color w:val="000000" w:themeColor="text1"/>
          <w:sz w:val="22"/>
        </w:rPr>
        <w:t xml:space="preserve"> </w:t>
      </w:r>
      <w:r w:rsidR="004128F2" w:rsidRPr="00EC715A">
        <w:rPr>
          <w:rFonts w:ascii="Arial" w:eastAsia="Calibri" w:hAnsi="Arial" w:cs="Arial"/>
          <w:color w:val="000000" w:themeColor="text1"/>
          <w:sz w:val="22"/>
        </w:rPr>
        <w:t>P202</w:t>
      </w:r>
      <w:r w:rsidR="004128F2">
        <w:rPr>
          <w:rFonts w:ascii="Arial" w:eastAsia="Calibri" w:hAnsi="Arial" w:cs="Arial"/>
          <w:color w:val="000000" w:themeColor="text1"/>
          <w:sz w:val="22"/>
        </w:rPr>
        <w:t>2119000375</w:t>
      </w:r>
      <w:r w:rsidR="00183970">
        <w:rPr>
          <w:rFonts w:ascii="Arial" w:eastAsia="Calibri" w:hAnsi="Arial" w:cs="Arial"/>
          <w:color w:val="000000" w:themeColor="text1"/>
          <w:sz w:val="22"/>
          <w:lang w:val="es-ES_tradnl"/>
        </w:rPr>
        <w:t xml:space="preserve">, </w:t>
      </w:r>
      <w:r w:rsidR="00F27AE1">
        <w:rPr>
          <w:rFonts w:ascii="Arial" w:eastAsia="Calibri" w:hAnsi="Arial" w:cs="Arial"/>
          <w:color w:val="000000" w:themeColor="text1"/>
          <w:sz w:val="22"/>
          <w:lang w:val="es-ES_tradnl"/>
        </w:rPr>
        <w:t xml:space="preserve">la cual </w:t>
      </w:r>
      <w:r w:rsidR="00183970">
        <w:rPr>
          <w:rFonts w:ascii="Arial" w:eastAsia="Calibri" w:hAnsi="Arial" w:cs="Arial"/>
          <w:color w:val="000000" w:themeColor="text1"/>
          <w:sz w:val="22"/>
          <w:lang w:val="es-ES_tradnl"/>
        </w:rPr>
        <w:t xml:space="preserve">fue </w:t>
      </w:r>
      <w:r w:rsidR="00E47AD6">
        <w:rPr>
          <w:rFonts w:ascii="Arial" w:eastAsia="Calibri" w:hAnsi="Arial" w:cs="Arial"/>
          <w:color w:val="000000" w:themeColor="text1"/>
          <w:sz w:val="22"/>
          <w:lang w:val="es-ES_tradnl"/>
        </w:rPr>
        <w:t>remitida por la Superintendencia Financiera de Colombia mediante el radicado No. 2022005681-001-000</w:t>
      </w:r>
      <w:r w:rsidR="00B3069E">
        <w:rPr>
          <w:rFonts w:ascii="Arial" w:eastAsia="Calibri" w:hAnsi="Arial" w:cs="Arial"/>
          <w:color w:val="000000" w:themeColor="text1"/>
          <w:sz w:val="22"/>
          <w:lang w:val="es-ES_tradnl"/>
        </w:rPr>
        <w:t>,</w:t>
      </w:r>
      <w:r w:rsidR="0045658C">
        <w:rPr>
          <w:rFonts w:ascii="Arial" w:eastAsia="Calibri" w:hAnsi="Arial" w:cs="Arial"/>
          <w:color w:val="000000" w:themeColor="text1"/>
          <w:sz w:val="22"/>
          <w:lang w:val="es-ES_tradnl"/>
        </w:rPr>
        <w:t xml:space="preserve"> el </w:t>
      </w:r>
      <w:r w:rsidR="00305915">
        <w:rPr>
          <w:rFonts w:ascii="Arial" w:eastAsia="Calibri" w:hAnsi="Arial" w:cs="Arial"/>
          <w:color w:val="000000" w:themeColor="text1"/>
          <w:sz w:val="22"/>
          <w:lang w:val="es-ES_tradnl"/>
        </w:rPr>
        <w:t>17 de enero de 2022</w:t>
      </w:r>
      <w:r w:rsidR="00E47AD6">
        <w:rPr>
          <w:rFonts w:ascii="Arial" w:eastAsia="Calibri" w:hAnsi="Arial" w:cs="Arial"/>
          <w:color w:val="000000" w:themeColor="text1"/>
          <w:sz w:val="22"/>
          <w:lang w:val="es-ES_tradnl"/>
        </w:rPr>
        <w:t>.</w:t>
      </w:r>
    </w:p>
    <w:p w14:paraId="3E5F0336" w14:textId="77777777" w:rsidR="005C1BB6" w:rsidRDefault="005C1BB6" w:rsidP="001F0B64">
      <w:pPr>
        <w:spacing w:line="276" w:lineRule="auto"/>
        <w:jc w:val="both"/>
        <w:rPr>
          <w:rFonts w:ascii="Arial" w:eastAsia="Calibri" w:hAnsi="Arial" w:cs="Arial"/>
          <w:b/>
          <w:color w:val="000000" w:themeColor="text1"/>
          <w:sz w:val="22"/>
          <w:lang w:val="es-ES_tradnl"/>
        </w:rPr>
      </w:pPr>
    </w:p>
    <w:p w14:paraId="169EDE59" w14:textId="77777777" w:rsidR="001F0B64" w:rsidRPr="0069239E" w:rsidRDefault="001F0B64" w:rsidP="001F0B64">
      <w:pPr>
        <w:pStyle w:val="Prrafodelista"/>
        <w:numPr>
          <w:ilvl w:val="0"/>
          <w:numId w:val="1"/>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69239E">
        <w:rPr>
          <w:rFonts w:ascii="Arial" w:eastAsia="Calibri" w:hAnsi="Arial" w:cs="Arial"/>
          <w:b/>
          <w:color w:val="000000" w:themeColor="text1"/>
          <w:sz w:val="22"/>
          <w:lang w:val="es-ES_tradnl"/>
        </w:rPr>
        <w:t xml:space="preserve">Problema planteado </w:t>
      </w:r>
    </w:p>
    <w:p w14:paraId="67C4C71C" w14:textId="77777777" w:rsidR="001F0B64" w:rsidRPr="0069239E" w:rsidRDefault="001F0B64" w:rsidP="001F0B64">
      <w:pPr>
        <w:tabs>
          <w:tab w:val="left" w:pos="426"/>
        </w:tabs>
        <w:spacing w:line="276" w:lineRule="auto"/>
        <w:jc w:val="both"/>
        <w:rPr>
          <w:rFonts w:ascii="Arial" w:eastAsia="Calibri" w:hAnsi="Arial" w:cs="Arial"/>
          <w:b/>
          <w:color w:val="000000" w:themeColor="text1"/>
          <w:sz w:val="22"/>
          <w:lang w:val="es-ES_tradnl"/>
        </w:rPr>
      </w:pPr>
    </w:p>
    <w:p w14:paraId="7C6B12DC" w14:textId="77C8C071" w:rsidR="002F5079" w:rsidRPr="00BB609D" w:rsidRDefault="001F0B64" w:rsidP="00BB609D">
      <w:pPr>
        <w:pStyle w:val="Sinespaciado"/>
        <w:spacing w:line="276" w:lineRule="auto"/>
        <w:jc w:val="both"/>
        <w:rPr>
          <w:rFonts w:ascii="Arial" w:eastAsia="Calibri" w:hAnsi="Arial" w:cs="Arial"/>
          <w:bCs/>
          <w:color w:val="000000" w:themeColor="text1"/>
          <w:sz w:val="22"/>
          <w:lang w:val="es-ES_tradnl"/>
        </w:rPr>
      </w:pPr>
      <w:r>
        <w:rPr>
          <w:rFonts w:ascii="Arial" w:eastAsia="Calibri" w:hAnsi="Arial" w:cs="Arial"/>
          <w:bCs/>
          <w:color w:val="000000" w:themeColor="text1"/>
          <w:sz w:val="22"/>
          <w:lang w:val="es-ES_tradnl"/>
        </w:rPr>
        <w:t xml:space="preserve">En relación </w:t>
      </w:r>
      <w:r w:rsidRPr="00C3441A">
        <w:rPr>
          <w:rFonts w:ascii="Arial" w:eastAsia="Calibri" w:hAnsi="Arial" w:cs="Arial"/>
          <w:bCs/>
          <w:color w:val="000000" w:themeColor="text1"/>
          <w:sz w:val="22"/>
        </w:rPr>
        <w:t xml:space="preserve">con </w:t>
      </w:r>
      <w:r w:rsidR="00F27AE1">
        <w:rPr>
          <w:rFonts w:ascii="Arial" w:eastAsia="Calibri" w:hAnsi="Arial" w:cs="Arial"/>
          <w:bCs/>
          <w:color w:val="000000" w:themeColor="text1"/>
          <w:sz w:val="22"/>
        </w:rPr>
        <w:t>lo previsto en el artículo 2.2.1.2.3.1.1</w:t>
      </w:r>
      <w:r w:rsidR="00FF1840">
        <w:rPr>
          <w:rFonts w:ascii="Arial" w:eastAsia="Calibri" w:hAnsi="Arial" w:cs="Arial"/>
          <w:bCs/>
          <w:color w:val="000000" w:themeColor="text1"/>
          <w:sz w:val="22"/>
        </w:rPr>
        <w:t>.</w:t>
      </w:r>
      <w:r w:rsidR="00F27AE1">
        <w:rPr>
          <w:rFonts w:ascii="Arial" w:eastAsia="Calibri" w:hAnsi="Arial" w:cs="Arial"/>
          <w:bCs/>
          <w:color w:val="000000" w:themeColor="text1"/>
          <w:sz w:val="22"/>
        </w:rPr>
        <w:t xml:space="preserve"> del Decreto 1082 de 2015, referido a la indivisibilidad de la garantía</w:t>
      </w:r>
      <w:r w:rsidRPr="00C3441A">
        <w:rPr>
          <w:rFonts w:ascii="Arial" w:eastAsia="Calibri" w:hAnsi="Arial" w:cs="Arial"/>
          <w:bCs/>
          <w:color w:val="000000" w:themeColor="text1"/>
          <w:sz w:val="22"/>
        </w:rPr>
        <w:t>,</w:t>
      </w:r>
      <w:r>
        <w:rPr>
          <w:rFonts w:ascii="Arial" w:eastAsia="Calibri" w:hAnsi="Arial" w:cs="Arial"/>
          <w:bCs/>
          <w:color w:val="000000" w:themeColor="text1"/>
          <w:sz w:val="22"/>
          <w:lang w:val="es-ES_tradnl"/>
        </w:rPr>
        <w:t xml:space="preserve"> usted pregunta lo siguiente</w:t>
      </w:r>
      <w:r w:rsidRPr="0069239E">
        <w:rPr>
          <w:rFonts w:ascii="Arial" w:eastAsia="Calibri" w:hAnsi="Arial" w:cs="Arial"/>
          <w:bCs/>
          <w:color w:val="000000" w:themeColor="text1"/>
          <w:sz w:val="22"/>
          <w:lang w:val="es-ES_tradnl"/>
        </w:rPr>
        <w:t xml:space="preserve">: </w:t>
      </w:r>
      <w:bookmarkStart w:id="0" w:name="_Hlk94774807"/>
      <w:r>
        <w:rPr>
          <w:rFonts w:ascii="Arial" w:hAnsi="Arial" w:cs="Arial"/>
          <w:bCs/>
          <w:sz w:val="22"/>
          <w:shd w:val="clear" w:color="auto" w:fill="FFFFFF"/>
        </w:rPr>
        <w:t>«</w:t>
      </w:r>
      <w:r w:rsidR="00290617">
        <w:rPr>
          <w:rFonts w:ascii="Arial" w:hAnsi="Arial" w:cs="Arial"/>
          <w:sz w:val="22"/>
          <w:shd w:val="clear" w:color="auto" w:fill="FFFFFF"/>
        </w:rPr>
        <w:t>S</w:t>
      </w:r>
      <w:r w:rsidR="00F27AE1">
        <w:rPr>
          <w:rFonts w:ascii="Arial" w:hAnsi="Arial" w:cs="Arial"/>
          <w:sz w:val="22"/>
          <w:shd w:val="clear" w:color="auto" w:fill="FFFFFF"/>
          <w:lang w:val="es-ES_tradnl"/>
        </w:rPr>
        <w:t xml:space="preserve">i el garante de una etapa del contrato </w:t>
      </w:r>
      <w:r w:rsidR="00290617">
        <w:rPr>
          <w:rFonts w:ascii="Arial" w:hAnsi="Arial" w:cs="Arial"/>
          <w:sz w:val="22"/>
          <w:shd w:val="clear" w:color="auto" w:fill="FFFFFF"/>
          <w:lang w:val="es-ES_tradnl"/>
        </w:rPr>
        <w:t>o un periodo contractual decide no continuar garantizando la etapa del contrato o periodo contractual subsiguiente, debe informar su decisión</w:t>
      </w:r>
      <w:r w:rsidR="00305915">
        <w:rPr>
          <w:rFonts w:ascii="Arial" w:hAnsi="Arial" w:cs="Arial"/>
          <w:sz w:val="22"/>
          <w:shd w:val="clear" w:color="auto" w:fill="FFFFFF"/>
          <w:lang w:val="es-ES_tradnl"/>
        </w:rPr>
        <w:t xml:space="preserve"> por escrito a la entidad estatal </w:t>
      </w:r>
      <w:r w:rsidR="00305915">
        <w:rPr>
          <w:rFonts w:ascii="Arial" w:hAnsi="Arial" w:cs="Arial"/>
          <w:sz w:val="22"/>
          <w:shd w:val="clear" w:color="auto" w:fill="FFFFFF"/>
          <w:lang w:val="es-ES_tradnl"/>
        </w:rPr>
        <w:lastRenderedPageBreak/>
        <w:t xml:space="preserve">garantizada seis (6) meses antes del vencimiento del plazo de la </w:t>
      </w:r>
      <w:r w:rsidR="00956D55">
        <w:rPr>
          <w:rFonts w:ascii="Arial" w:hAnsi="Arial" w:cs="Arial"/>
          <w:sz w:val="22"/>
          <w:shd w:val="clear" w:color="auto" w:fill="FFFFFF"/>
          <w:lang w:val="es-ES_tradnl"/>
        </w:rPr>
        <w:t>garantía. ¿Es necesario que el garante justifique su decisión de no continuar garantizando el contrato?</w:t>
      </w:r>
      <w:r w:rsidR="00956D55">
        <w:rPr>
          <w:rFonts w:ascii="Arial" w:hAnsi="Arial" w:cs="Arial"/>
          <w:sz w:val="22"/>
          <w:shd w:val="clear" w:color="auto" w:fill="FFFFFF"/>
        </w:rPr>
        <w:t>».</w:t>
      </w:r>
    </w:p>
    <w:bookmarkEnd w:id="0"/>
    <w:p w14:paraId="7906AAC0" w14:textId="77777777" w:rsidR="002F5079" w:rsidRPr="0069239E" w:rsidRDefault="002F5079" w:rsidP="001F0B64">
      <w:pPr>
        <w:spacing w:line="276" w:lineRule="auto"/>
        <w:jc w:val="both"/>
        <w:rPr>
          <w:rFonts w:ascii="Arial" w:hAnsi="Arial" w:cs="Arial"/>
          <w:color w:val="000000" w:themeColor="text1"/>
          <w:sz w:val="22"/>
          <w:lang w:val="es-ES_tradnl"/>
        </w:rPr>
      </w:pPr>
    </w:p>
    <w:p w14:paraId="23B0D1B5" w14:textId="77777777" w:rsidR="001F0B64" w:rsidRPr="0069239E" w:rsidRDefault="001F0B64" w:rsidP="001F0B64">
      <w:pPr>
        <w:pStyle w:val="Prrafodelista"/>
        <w:numPr>
          <w:ilvl w:val="0"/>
          <w:numId w:val="1"/>
        </w:numPr>
        <w:tabs>
          <w:tab w:val="left" w:pos="0"/>
          <w:tab w:val="left" w:pos="284"/>
        </w:tabs>
        <w:ind w:left="0" w:firstLine="0"/>
        <w:jc w:val="both"/>
        <w:rPr>
          <w:rFonts w:ascii="Arial" w:eastAsia="Calibri" w:hAnsi="Arial" w:cs="Arial"/>
          <w:b/>
          <w:color w:val="000000" w:themeColor="text1"/>
          <w:sz w:val="22"/>
          <w:lang w:val="es-ES_tradnl"/>
        </w:rPr>
      </w:pPr>
      <w:r w:rsidRPr="0069239E">
        <w:rPr>
          <w:rFonts w:ascii="Arial" w:eastAsia="Calibri" w:hAnsi="Arial" w:cs="Arial"/>
          <w:b/>
          <w:color w:val="000000" w:themeColor="text1"/>
          <w:sz w:val="22"/>
          <w:lang w:val="es-ES_tradnl"/>
        </w:rPr>
        <w:t>Consideraciones</w:t>
      </w:r>
    </w:p>
    <w:p w14:paraId="5169DA74" w14:textId="77777777" w:rsidR="001F0B64" w:rsidRPr="0069239E" w:rsidRDefault="001F0B64" w:rsidP="001F0B64">
      <w:pPr>
        <w:tabs>
          <w:tab w:val="left" w:pos="0"/>
          <w:tab w:val="left" w:pos="284"/>
        </w:tabs>
        <w:spacing w:line="276" w:lineRule="auto"/>
        <w:jc w:val="both"/>
        <w:rPr>
          <w:rFonts w:ascii="Arial" w:eastAsia="Calibri" w:hAnsi="Arial" w:cs="Arial"/>
          <w:b/>
          <w:color w:val="000000" w:themeColor="text1"/>
          <w:sz w:val="22"/>
          <w:lang w:val="es-ES_tradnl"/>
        </w:rPr>
      </w:pPr>
    </w:p>
    <w:p w14:paraId="15C0E9CA" w14:textId="6330017A" w:rsidR="00683DD1" w:rsidRDefault="00683DD1" w:rsidP="001F0B64">
      <w:pPr>
        <w:spacing w:after="120" w:line="276" w:lineRule="auto"/>
        <w:jc w:val="both"/>
        <w:rPr>
          <w:rFonts w:ascii="Arial" w:hAnsi="Arial" w:cs="Arial"/>
          <w:bCs/>
          <w:sz w:val="22"/>
        </w:rPr>
      </w:pPr>
      <w:r>
        <w:rPr>
          <w:rFonts w:ascii="Arial" w:hAnsi="Arial" w:cs="Arial"/>
          <w:bCs/>
          <w:sz w:val="22"/>
        </w:rPr>
        <w:t xml:space="preserve">Para absolver el interrogante formulado, esta dependencia </w:t>
      </w:r>
      <w:r w:rsidR="00A7595F">
        <w:rPr>
          <w:rFonts w:ascii="Arial" w:hAnsi="Arial" w:cs="Arial"/>
          <w:bCs/>
          <w:sz w:val="22"/>
        </w:rPr>
        <w:t xml:space="preserve">analizará los siguientes temas: i) las garantías en la contratación estatal y ii) el principio de indivisibilidad de la garantía. </w:t>
      </w:r>
    </w:p>
    <w:p w14:paraId="71DE2A0A" w14:textId="58166E2D" w:rsidR="002F5079" w:rsidRDefault="00A44BEA" w:rsidP="00111101">
      <w:pPr>
        <w:spacing w:line="276" w:lineRule="auto"/>
        <w:ind w:firstLine="709"/>
        <w:jc w:val="both"/>
        <w:rPr>
          <w:rFonts w:ascii="Arial" w:hAnsi="Arial" w:cs="Arial"/>
          <w:color w:val="000000" w:themeColor="text1"/>
          <w:sz w:val="22"/>
          <w:lang w:val="es-ES"/>
        </w:rPr>
      </w:pPr>
      <w:r w:rsidRPr="0067638F">
        <w:rPr>
          <w:rFonts w:ascii="Arial" w:hAnsi="Arial" w:cs="Arial"/>
          <w:color w:val="000000" w:themeColor="text1"/>
          <w:sz w:val="22"/>
          <w:lang w:val="es-ES"/>
        </w:rPr>
        <w:t xml:space="preserve">La Agencia Nacional de Contratación Pública – Colombia Compra Eficiente se pronunció </w:t>
      </w:r>
      <w:r>
        <w:rPr>
          <w:rFonts w:ascii="Arial" w:hAnsi="Arial" w:cs="Arial"/>
          <w:color w:val="000000" w:themeColor="text1"/>
          <w:sz w:val="22"/>
          <w:lang w:val="es-ES"/>
        </w:rPr>
        <w:t xml:space="preserve">en términos generales </w:t>
      </w:r>
      <w:r w:rsidR="004128F2">
        <w:rPr>
          <w:rFonts w:ascii="Arial" w:hAnsi="Arial" w:cs="Arial"/>
          <w:color w:val="000000" w:themeColor="text1"/>
          <w:sz w:val="22"/>
          <w:lang w:val="es-ES"/>
        </w:rPr>
        <w:t xml:space="preserve">sobre </w:t>
      </w:r>
      <w:r>
        <w:rPr>
          <w:rFonts w:ascii="Arial" w:hAnsi="Arial" w:cs="Arial"/>
          <w:color w:val="000000" w:themeColor="text1"/>
          <w:sz w:val="22"/>
          <w:lang w:val="es-ES"/>
        </w:rPr>
        <w:t>las garantías en la contratación estatal</w:t>
      </w:r>
      <w:r w:rsidR="004128F2">
        <w:rPr>
          <w:rFonts w:ascii="Arial" w:hAnsi="Arial" w:cs="Arial"/>
          <w:color w:val="000000" w:themeColor="text1"/>
          <w:sz w:val="22"/>
          <w:lang w:val="es-ES"/>
        </w:rPr>
        <w:t>, entre otros,</w:t>
      </w:r>
      <w:r>
        <w:rPr>
          <w:rFonts w:ascii="Arial" w:hAnsi="Arial" w:cs="Arial"/>
          <w:color w:val="000000" w:themeColor="text1"/>
          <w:sz w:val="22"/>
          <w:lang w:val="es-ES"/>
        </w:rPr>
        <w:t xml:space="preserve"> en los conceptos </w:t>
      </w:r>
      <w:r w:rsidRPr="009B7D86">
        <w:rPr>
          <w:rFonts w:ascii="Arial" w:hAnsi="Arial" w:cs="Arial"/>
          <w:color w:val="000000" w:themeColor="text1"/>
          <w:sz w:val="22"/>
          <w:lang w:val="es-ES"/>
        </w:rPr>
        <w:t>2201913000009075</w:t>
      </w:r>
      <w:r>
        <w:rPr>
          <w:rFonts w:ascii="Arial" w:hAnsi="Arial" w:cs="Arial"/>
          <w:color w:val="000000" w:themeColor="text1"/>
          <w:sz w:val="22"/>
          <w:lang w:val="es-ES"/>
        </w:rPr>
        <w:t xml:space="preserve"> del 9 de diciembre de </w:t>
      </w:r>
      <w:r w:rsidR="004128F2">
        <w:rPr>
          <w:rFonts w:ascii="Arial" w:hAnsi="Arial" w:cs="Arial"/>
          <w:color w:val="000000" w:themeColor="text1"/>
          <w:sz w:val="22"/>
          <w:lang w:val="es-ES"/>
        </w:rPr>
        <w:t>2019</w:t>
      </w:r>
      <w:r>
        <w:rPr>
          <w:rFonts w:ascii="Arial" w:hAnsi="Arial" w:cs="Arial"/>
          <w:color w:val="000000" w:themeColor="text1"/>
          <w:sz w:val="22"/>
          <w:lang w:val="es-ES"/>
        </w:rPr>
        <w:t>, C-080 del 8 de abril de 2021 y C-525</w:t>
      </w:r>
      <w:r w:rsidR="005B7B4E">
        <w:rPr>
          <w:rFonts w:ascii="Arial" w:hAnsi="Arial" w:cs="Arial"/>
          <w:color w:val="000000" w:themeColor="text1"/>
          <w:sz w:val="22"/>
          <w:lang w:val="es-ES"/>
        </w:rPr>
        <w:t xml:space="preserve"> del </w:t>
      </w:r>
      <w:r w:rsidR="00E56BE2">
        <w:rPr>
          <w:rFonts w:ascii="Arial" w:hAnsi="Arial" w:cs="Arial"/>
          <w:color w:val="000000" w:themeColor="text1"/>
          <w:sz w:val="22"/>
          <w:lang w:val="es-ES"/>
        </w:rPr>
        <w:t>27 de septiembre de 2021</w:t>
      </w:r>
      <w:r>
        <w:rPr>
          <w:rFonts w:ascii="Arial" w:hAnsi="Arial" w:cs="Arial"/>
          <w:color w:val="000000" w:themeColor="text1"/>
          <w:sz w:val="22"/>
          <w:lang w:val="es-ES"/>
        </w:rPr>
        <w:t>. En lo pertinente, algunas de las consideraciones realizadas en dichos conceptos se reiteran a continuación.</w:t>
      </w:r>
    </w:p>
    <w:p w14:paraId="1723EAF6" w14:textId="77777777" w:rsidR="004128F2" w:rsidRPr="00922679" w:rsidRDefault="004128F2" w:rsidP="00111101">
      <w:pPr>
        <w:spacing w:line="276" w:lineRule="auto"/>
        <w:ind w:firstLine="709"/>
        <w:jc w:val="both"/>
        <w:rPr>
          <w:rStyle w:val="normaltextrun"/>
          <w:rFonts w:ascii="Arial" w:eastAsia="Arial" w:hAnsi="Arial" w:cs="Arial"/>
          <w:sz w:val="22"/>
          <w:lang w:val="es-ES"/>
        </w:rPr>
      </w:pPr>
    </w:p>
    <w:p w14:paraId="59DD9255" w14:textId="1389D7BF" w:rsidR="001F0B64" w:rsidRPr="0069239E" w:rsidRDefault="001F0B64" w:rsidP="001F0B64">
      <w:pPr>
        <w:spacing w:line="276" w:lineRule="auto"/>
        <w:jc w:val="both"/>
        <w:rPr>
          <w:rStyle w:val="normaltextrun"/>
          <w:rFonts w:ascii="Arial" w:hAnsi="Arial" w:cs="Arial"/>
          <w:b/>
          <w:bCs/>
          <w:color w:val="000000"/>
          <w:sz w:val="22"/>
          <w:shd w:val="clear" w:color="auto" w:fill="FFFFFF"/>
        </w:rPr>
      </w:pPr>
      <w:r w:rsidRPr="0069239E">
        <w:rPr>
          <w:rStyle w:val="normaltextrun"/>
          <w:rFonts w:ascii="Arial" w:hAnsi="Arial" w:cs="Arial"/>
          <w:b/>
          <w:bCs/>
          <w:color w:val="000000"/>
          <w:sz w:val="22"/>
          <w:shd w:val="clear" w:color="auto" w:fill="FFFFFF"/>
        </w:rPr>
        <w:t xml:space="preserve">2.1. </w:t>
      </w:r>
      <w:r w:rsidR="00922679">
        <w:rPr>
          <w:rStyle w:val="normaltextrun"/>
          <w:rFonts w:ascii="Arial" w:hAnsi="Arial" w:cs="Arial"/>
          <w:b/>
          <w:bCs/>
          <w:color w:val="000000"/>
          <w:sz w:val="22"/>
          <w:shd w:val="clear" w:color="auto" w:fill="FFFFFF"/>
        </w:rPr>
        <w:t>Garantías en la contratación estatal</w:t>
      </w:r>
    </w:p>
    <w:p w14:paraId="24439EC6" w14:textId="77777777" w:rsidR="001F0B64" w:rsidRPr="00393D57" w:rsidRDefault="001F0B64" w:rsidP="00F20EAF">
      <w:pPr>
        <w:spacing w:line="276" w:lineRule="auto"/>
        <w:jc w:val="both"/>
        <w:rPr>
          <w:rStyle w:val="normaltextrun"/>
          <w:rFonts w:ascii="Arial" w:hAnsi="Arial" w:cs="Arial"/>
          <w:b/>
          <w:bCs/>
          <w:color w:val="000000"/>
          <w:sz w:val="22"/>
          <w:shd w:val="clear" w:color="auto" w:fill="FFFFFF"/>
        </w:rPr>
      </w:pPr>
    </w:p>
    <w:p w14:paraId="6C53F3C5" w14:textId="77777777" w:rsidR="00393D57" w:rsidRPr="00FE129C" w:rsidRDefault="00393D57" w:rsidP="00F20EAF">
      <w:pPr>
        <w:spacing w:line="276" w:lineRule="auto"/>
        <w:jc w:val="both"/>
        <w:rPr>
          <w:rFonts w:ascii="Arial" w:eastAsia="Calibri" w:hAnsi="Arial" w:cs="Arial"/>
          <w:color w:val="000000"/>
          <w:sz w:val="22"/>
          <w:lang w:val="es-ES_tradnl"/>
        </w:rPr>
      </w:pPr>
      <w:bookmarkStart w:id="1" w:name="_Hlk35876968"/>
      <w:r>
        <w:rPr>
          <w:rFonts w:ascii="Arial" w:eastAsia="Calibri" w:hAnsi="Arial" w:cs="Arial"/>
          <w:color w:val="000000"/>
          <w:sz w:val="22"/>
          <w:szCs w:val="24"/>
          <w:lang w:val="es-ES_tradnl" w:eastAsia="es-ES_tradnl"/>
        </w:rPr>
        <w:t>El Estatuto General de Contratación de la Administración Pública exige, p</w:t>
      </w:r>
      <w:r w:rsidRPr="00FE129C">
        <w:rPr>
          <w:rFonts w:ascii="Arial" w:eastAsia="Calibri" w:hAnsi="Arial" w:cs="Arial"/>
          <w:color w:val="000000"/>
          <w:sz w:val="22"/>
          <w:szCs w:val="24"/>
          <w:lang w:val="es-ES_tradnl" w:eastAsia="es-ES_tradnl"/>
        </w:rPr>
        <w:t xml:space="preserve">or regla general, </w:t>
      </w:r>
      <w:r w:rsidRPr="00FE129C">
        <w:rPr>
          <w:rFonts w:ascii="Arial" w:eastAsia="Calibri" w:hAnsi="Arial" w:cs="Arial"/>
          <w:color w:val="000000"/>
          <w:sz w:val="22"/>
          <w:szCs w:val="24"/>
          <w:lang w:val="es-ES" w:eastAsia="es-ES_tradnl"/>
        </w:rPr>
        <w:t xml:space="preserve">para seleccionar </w:t>
      </w:r>
      <w:r>
        <w:rPr>
          <w:rFonts w:ascii="Arial" w:eastAsia="Calibri" w:hAnsi="Arial" w:cs="Arial"/>
          <w:color w:val="000000"/>
          <w:sz w:val="22"/>
          <w:szCs w:val="24"/>
          <w:lang w:val="es-ES" w:eastAsia="es-ES_tradnl"/>
        </w:rPr>
        <w:t xml:space="preserve">a </w:t>
      </w:r>
      <w:r w:rsidRPr="00FE129C">
        <w:rPr>
          <w:rFonts w:ascii="Arial" w:eastAsia="Calibri" w:hAnsi="Arial" w:cs="Arial"/>
          <w:color w:val="000000"/>
          <w:sz w:val="22"/>
          <w:szCs w:val="24"/>
          <w:lang w:val="es-ES" w:eastAsia="es-ES_tradnl"/>
        </w:rPr>
        <w:t xml:space="preserve">los contratistas y para ejecutar los contratos </w:t>
      </w:r>
      <w:r>
        <w:rPr>
          <w:rFonts w:ascii="Arial" w:eastAsia="Calibri" w:hAnsi="Arial" w:cs="Arial"/>
          <w:color w:val="000000"/>
          <w:sz w:val="22"/>
          <w:szCs w:val="24"/>
          <w:lang w:val="es-ES" w:eastAsia="es-ES_tradnl"/>
        </w:rPr>
        <w:t xml:space="preserve">estatales, que </w:t>
      </w:r>
      <w:r w:rsidRPr="00FE129C">
        <w:rPr>
          <w:rFonts w:ascii="Arial" w:eastAsia="Calibri" w:hAnsi="Arial" w:cs="Arial"/>
          <w:color w:val="000000"/>
          <w:sz w:val="22"/>
          <w:szCs w:val="24"/>
          <w:lang w:val="es-ES" w:eastAsia="es-ES_tradnl"/>
        </w:rPr>
        <w:t>se requiere la constitución de garantías</w:t>
      </w:r>
      <w:r w:rsidRPr="00FE129C">
        <w:rPr>
          <w:rFonts w:ascii="Arial" w:eastAsia="Calibri" w:hAnsi="Arial" w:cs="Arial"/>
          <w:color w:val="000000"/>
          <w:sz w:val="22"/>
          <w:szCs w:val="24"/>
          <w:lang w:val="es-ES_tradnl" w:eastAsia="es-ES_tradnl"/>
        </w:rPr>
        <w:t xml:space="preserve">. Por ello, </w:t>
      </w:r>
      <w:r w:rsidRPr="00FE129C">
        <w:rPr>
          <w:rFonts w:ascii="Arial" w:eastAsia="Calibri" w:hAnsi="Arial" w:cs="Arial"/>
          <w:color w:val="000000"/>
          <w:sz w:val="22"/>
          <w:lang w:val="es-ES_tradnl"/>
        </w:rPr>
        <w:t>el artículo 7 de la Ley 1150 de 2007 dispone que los contratistas tienen la obligación de constituir garantías para el cumplimiento de las obligaciones surgidas del contrato, y los proponentes por el ofrecimiento realizado, pudiendo consistir en pólizas expedidas por compañías aseguradoras, garantías bancarias u otros mecanismos permitidos por la ley y el reglamento. Esta norma señala lo siguiente:</w:t>
      </w:r>
    </w:p>
    <w:p w14:paraId="6BBBB204" w14:textId="77777777" w:rsidR="00393D57" w:rsidRPr="00FE129C" w:rsidRDefault="00393D57" w:rsidP="00393D57">
      <w:pPr>
        <w:spacing w:line="276" w:lineRule="auto"/>
        <w:jc w:val="both"/>
        <w:rPr>
          <w:rFonts w:ascii="Arial" w:eastAsia="Calibri" w:hAnsi="Arial" w:cs="Arial"/>
          <w:color w:val="000000"/>
          <w:sz w:val="22"/>
          <w:lang w:val="es-ES_tradnl"/>
        </w:rPr>
      </w:pPr>
    </w:p>
    <w:p w14:paraId="1AA9418F" w14:textId="77777777" w:rsidR="00393D57" w:rsidRPr="00FE129C" w:rsidRDefault="00393D57" w:rsidP="00393D57">
      <w:pPr>
        <w:ind w:left="709" w:right="709"/>
        <w:jc w:val="both"/>
        <w:rPr>
          <w:rFonts w:ascii="Arial" w:eastAsia="Calibri" w:hAnsi="Arial" w:cs="Arial"/>
          <w:color w:val="000000"/>
          <w:sz w:val="21"/>
          <w:szCs w:val="21"/>
          <w:lang w:val="es-ES_tradnl"/>
        </w:rPr>
      </w:pPr>
      <w:r w:rsidRPr="00FE129C">
        <w:rPr>
          <w:rFonts w:ascii="Arial" w:eastAsia="Calibri" w:hAnsi="Arial" w:cs="Arial"/>
          <w:color w:val="000000"/>
          <w:sz w:val="21"/>
          <w:szCs w:val="21"/>
          <w:lang w:val="es-ES_tradnl"/>
        </w:rPr>
        <w:t xml:space="preserve">Los contratistas prestarán garantía única para el cumplimiento de las obligaciones surgidas del contrato. Los proponentes prestarán garantía de seriedad de los ofrecimientos hechos. </w:t>
      </w:r>
    </w:p>
    <w:p w14:paraId="6A44D966" w14:textId="77777777" w:rsidR="00393D57" w:rsidRPr="00FE129C" w:rsidRDefault="00393D57" w:rsidP="00393D57">
      <w:pPr>
        <w:spacing w:before="120"/>
        <w:ind w:left="709" w:right="709"/>
        <w:jc w:val="both"/>
        <w:rPr>
          <w:rFonts w:ascii="Arial" w:eastAsia="Calibri" w:hAnsi="Arial" w:cs="Arial"/>
          <w:color w:val="000000"/>
          <w:sz w:val="21"/>
          <w:szCs w:val="21"/>
          <w:lang w:val="es-ES_tradnl"/>
        </w:rPr>
      </w:pPr>
      <w:r w:rsidRPr="00FE129C">
        <w:rPr>
          <w:rFonts w:ascii="Arial" w:eastAsia="Calibri" w:hAnsi="Arial" w:cs="Arial"/>
          <w:color w:val="000000"/>
          <w:sz w:val="21"/>
          <w:szCs w:val="21"/>
          <w:lang w:val="es-ES_tradnl"/>
        </w:rPr>
        <w:t xml:space="preserve">Las garantías consistirán en pólizas expedidas por compañías de seguros legalmente autorizadas para funcionar en Colombia, en garantías bancarias y en general, en los demás mecanismos de cobertura del riesgo autorizados por el reglamento para el efecto. Tratándose de pólizas, las mismas no expirarán por falta de pago de la prima o por revocatoria unilateral. El Gobierno Nacional señalará las condiciones generales que deberán ser incluidas en las pólizas de cumplimiento de los contratos estatales. </w:t>
      </w:r>
    </w:p>
    <w:p w14:paraId="6E54FEB6" w14:textId="77777777" w:rsidR="00393D57" w:rsidRPr="00FE129C" w:rsidRDefault="00393D57" w:rsidP="00393D57">
      <w:pPr>
        <w:spacing w:before="120"/>
        <w:ind w:left="709" w:right="709"/>
        <w:jc w:val="both"/>
        <w:rPr>
          <w:rFonts w:ascii="Arial" w:eastAsia="Calibri" w:hAnsi="Arial" w:cs="Arial"/>
          <w:color w:val="000000"/>
          <w:sz w:val="21"/>
          <w:szCs w:val="21"/>
          <w:lang w:val="es-ES_tradnl"/>
        </w:rPr>
      </w:pPr>
      <w:r w:rsidRPr="00FE129C">
        <w:rPr>
          <w:rFonts w:ascii="Arial" w:eastAsia="Calibri" w:hAnsi="Arial" w:cs="Arial"/>
          <w:color w:val="000000"/>
          <w:sz w:val="21"/>
          <w:szCs w:val="21"/>
          <w:lang w:val="es-ES_tradnl"/>
        </w:rPr>
        <w:t xml:space="preserve">El Gobierno Nacional señalará los criterios que seguirán las entidades para la exigencia de garantías, las clases y niveles de amparo de los riesgos de los contratos, así como los casos en </w:t>
      </w:r>
      <w:proofErr w:type="gramStart"/>
      <w:r w:rsidRPr="00FE129C">
        <w:rPr>
          <w:rFonts w:ascii="Arial" w:eastAsia="Calibri" w:hAnsi="Arial" w:cs="Arial"/>
          <w:color w:val="000000"/>
          <w:sz w:val="21"/>
          <w:szCs w:val="21"/>
          <w:lang w:val="es-ES_tradnl"/>
        </w:rPr>
        <w:t>que</w:t>
      </w:r>
      <w:proofErr w:type="gramEnd"/>
      <w:r w:rsidRPr="00FE129C">
        <w:rPr>
          <w:rFonts w:ascii="Arial" w:eastAsia="Calibri" w:hAnsi="Arial" w:cs="Arial"/>
          <w:color w:val="000000"/>
          <w:sz w:val="21"/>
          <w:szCs w:val="21"/>
          <w:lang w:val="es-ES_tradnl"/>
        </w:rPr>
        <w:t xml:space="preserve"> por las características y complejidad del contrato a celebrar, la garantía pueda ser dividida teniendo en cuenta las etapas o riesgos relativos a la ejecución del respectivo contrato. </w:t>
      </w:r>
    </w:p>
    <w:p w14:paraId="4DBC7218" w14:textId="77777777" w:rsidR="00393D57" w:rsidRPr="00FE129C" w:rsidRDefault="00393D57" w:rsidP="00393D57">
      <w:pPr>
        <w:spacing w:before="120"/>
        <w:ind w:left="709" w:right="709"/>
        <w:jc w:val="both"/>
        <w:rPr>
          <w:rFonts w:ascii="Arial" w:eastAsia="Calibri" w:hAnsi="Arial" w:cs="Arial"/>
          <w:color w:val="000000"/>
          <w:sz w:val="21"/>
          <w:szCs w:val="21"/>
          <w:lang w:val="es-ES_tradnl"/>
        </w:rPr>
      </w:pPr>
      <w:r w:rsidRPr="00FE129C">
        <w:rPr>
          <w:rFonts w:ascii="Arial" w:eastAsia="Calibri" w:hAnsi="Arial" w:cs="Arial"/>
          <w:color w:val="000000"/>
          <w:sz w:val="21"/>
          <w:szCs w:val="21"/>
          <w:lang w:val="es-ES_tradnl"/>
        </w:rPr>
        <w:t xml:space="preserve">El acaecimiento del siniestro que amparan las garantías será comunicado por la entidad pública al respectivo asegurador mediante la notificación del acto administrativo que así lo declare. </w:t>
      </w:r>
    </w:p>
    <w:p w14:paraId="5171E4CD" w14:textId="77777777" w:rsidR="00393D57" w:rsidRPr="00FE129C" w:rsidRDefault="00393D57" w:rsidP="00393D57">
      <w:pPr>
        <w:spacing w:before="120"/>
        <w:ind w:left="709" w:right="709"/>
        <w:jc w:val="both"/>
        <w:rPr>
          <w:rFonts w:ascii="Arial" w:eastAsia="Calibri" w:hAnsi="Arial" w:cs="Arial"/>
          <w:color w:val="000000"/>
          <w:sz w:val="21"/>
          <w:szCs w:val="21"/>
          <w:lang w:val="es-ES_tradnl"/>
        </w:rPr>
      </w:pPr>
      <w:r w:rsidRPr="00FE129C">
        <w:rPr>
          <w:rFonts w:ascii="Arial" w:eastAsia="Calibri" w:hAnsi="Arial" w:cs="Arial"/>
          <w:color w:val="000000"/>
          <w:sz w:val="21"/>
          <w:szCs w:val="21"/>
          <w:lang w:val="es-ES_tradnl"/>
        </w:rPr>
        <w:t xml:space="preserve">Las garantías no serán obligatorias en los contratos de empréstito, en los interadministrativos, en los de seguro y en los contratos cuyo valor sea inferior </w:t>
      </w:r>
      <w:r w:rsidRPr="00FE129C">
        <w:rPr>
          <w:rFonts w:ascii="Arial" w:eastAsia="Calibri" w:hAnsi="Arial" w:cs="Arial"/>
          <w:color w:val="000000"/>
          <w:sz w:val="21"/>
          <w:szCs w:val="21"/>
          <w:lang w:val="es-ES_tradnl"/>
        </w:rPr>
        <w:lastRenderedPageBreak/>
        <w:t>al 10% de la menor cuantía a que se refiere esta ley, caso en el cual corresponderá a la entidad determinar la necesidad de exigirla, atendiendo a la naturaleza del objeto del contrato y a la forma de pago, así como en los demás que señale el reglamento.</w:t>
      </w:r>
      <w:bookmarkEnd w:id="1"/>
    </w:p>
    <w:p w14:paraId="19635D66" w14:textId="77777777" w:rsidR="00393D57" w:rsidRPr="00FE129C" w:rsidRDefault="00393D57" w:rsidP="00393D57">
      <w:pPr>
        <w:spacing w:line="276" w:lineRule="auto"/>
        <w:ind w:left="709" w:right="709"/>
        <w:jc w:val="both"/>
        <w:rPr>
          <w:rFonts w:ascii="Arial" w:eastAsia="Calibri" w:hAnsi="Arial" w:cs="Arial"/>
          <w:color w:val="000000"/>
          <w:sz w:val="22"/>
          <w:lang w:val="es-ES_tradnl"/>
        </w:rPr>
      </w:pPr>
    </w:p>
    <w:p w14:paraId="1402CC21" w14:textId="77777777" w:rsidR="00393D57" w:rsidRDefault="00393D57" w:rsidP="00393D57">
      <w:pPr>
        <w:spacing w:after="120" w:line="276" w:lineRule="auto"/>
        <w:ind w:firstLine="709"/>
        <w:jc w:val="both"/>
        <w:rPr>
          <w:rFonts w:ascii="Arial" w:eastAsia="Calibri" w:hAnsi="Arial" w:cs="Arial"/>
          <w:color w:val="000000"/>
          <w:sz w:val="22"/>
          <w:lang w:val="es-ES_tradnl"/>
        </w:rPr>
      </w:pPr>
      <w:r w:rsidRPr="00FE129C">
        <w:rPr>
          <w:rFonts w:ascii="Arial" w:eastAsia="Calibri" w:hAnsi="Arial" w:cs="Arial"/>
          <w:color w:val="000000"/>
          <w:sz w:val="22"/>
          <w:lang w:val="es-ES_tradnl"/>
        </w:rPr>
        <w:t>Las condiciones para el cumplimiento de esta</w:t>
      </w:r>
      <w:r>
        <w:rPr>
          <w:rFonts w:ascii="Arial" w:eastAsia="Calibri" w:hAnsi="Arial" w:cs="Arial"/>
          <w:color w:val="000000"/>
          <w:sz w:val="22"/>
          <w:lang w:val="es-ES_tradnl"/>
        </w:rPr>
        <w:t>s</w:t>
      </w:r>
      <w:r w:rsidRPr="00FE129C">
        <w:rPr>
          <w:rFonts w:ascii="Arial" w:eastAsia="Calibri" w:hAnsi="Arial" w:cs="Arial"/>
          <w:color w:val="000000"/>
          <w:sz w:val="22"/>
          <w:lang w:val="es-ES_tradnl"/>
        </w:rPr>
        <w:t xml:space="preserve"> obligaci</w:t>
      </w:r>
      <w:r>
        <w:rPr>
          <w:rFonts w:ascii="Arial" w:eastAsia="Calibri" w:hAnsi="Arial" w:cs="Arial"/>
          <w:color w:val="000000"/>
          <w:sz w:val="22"/>
          <w:lang w:val="es-ES_tradnl"/>
        </w:rPr>
        <w:t>o</w:t>
      </w:r>
      <w:r w:rsidRPr="00FE129C">
        <w:rPr>
          <w:rFonts w:ascii="Arial" w:eastAsia="Calibri" w:hAnsi="Arial" w:cs="Arial"/>
          <w:color w:val="000000"/>
          <w:sz w:val="22"/>
          <w:lang w:val="es-ES_tradnl"/>
        </w:rPr>
        <w:t>n</w:t>
      </w:r>
      <w:r>
        <w:rPr>
          <w:rFonts w:ascii="Arial" w:eastAsia="Calibri" w:hAnsi="Arial" w:cs="Arial"/>
          <w:color w:val="000000"/>
          <w:sz w:val="22"/>
          <w:lang w:val="es-ES_tradnl"/>
        </w:rPr>
        <w:t>es</w:t>
      </w:r>
      <w:r w:rsidRPr="00FE129C">
        <w:rPr>
          <w:rFonts w:ascii="Arial" w:eastAsia="Calibri" w:hAnsi="Arial" w:cs="Arial"/>
          <w:color w:val="000000"/>
          <w:sz w:val="22"/>
          <w:lang w:val="es-ES_tradnl"/>
        </w:rPr>
        <w:t xml:space="preserve"> fueron reglamentadas por el Decreto 1082 de 2015, el cual se refiere en los artículos 2.2.1.2.3.1.1. </w:t>
      </w:r>
      <w:r>
        <w:rPr>
          <w:rFonts w:ascii="Arial" w:eastAsia="Calibri" w:hAnsi="Arial" w:cs="Arial"/>
          <w:color w:val="000000"/>
          <w:sz w:val="22"/>
          <w:lang w:val="es-ES_tradnl"/>
        </w:rPr>
        <w:t>a</w:t>
      </w:r>
      <w:r w:rsidRPr="00FE129C">
        <w:rPr>
          <w:rFonts w:ascii="Arial" w:eastAsia="Calibri" w:hAnsi="Arial" w:cs="Arial"/>
          <w:color w:val="000000"/>
          <w:sz w:val="22"/>
          <w:lang w:val="es-ES_tradnl"/>
        </w:rPr>
        <w:t xml:space="preserve"> 2.2.1.2.3.1.19 a las clases de garantías permitidas</w:t>
      </w:r>
      <w:r>
        <w:rPr>
          <w:rFonts w:ascii="Arial" w:eastAsia="Calibri" w:hAnsi="Arial" w:cs="Arial"/>
          <w:color w:val="000000"/>
          <w:sz w:val="22"/>
          <w:lang w:val="es-ES_tradnl"/>
        </w:rPr>
        <w:t>;</w:t>
      </w:r>
      <w:r w:rsidRPr="00FE129C">
        <w:rPr>
          <w:rFonts w:ascii="Arial" w:eastAsia="Calibri" w:hAnsi="Arial" w:cs="Arial"/>
          <w:color w:val="000000"/>
          <w:sz w:val="22"/>
          <w:lang w:val="es-ES_tradnl"/>
        </w:rPr>
        <w:t xml:space="preserve"> la indivisibilidad</w:t>
      </w:r>
      <w:r>
        <w:rPr>
          <w:rFonts w:ascii="Arial" w:eastAsia="Calibri" w:hAnsi="Arial" w:cs="Arial"/>
          <w:color w:val="000000"/>
          <w:sz w:val="22"/>
          <w:lang w:val="es-ES_tradnl"/>
        </w:rPr>
        <w:t xml:space="preserve">, por regla general, </w:t>
      </w:r>
      <w:r w:rsidRPr="00FE129C">
        <w:rPr>
          <w:rFonts w:ascii="Arial" w:eastAsia="Calibri" w:hAnsi="Arial" w:cs="Arial"/>
          <w:color w:val="000000"/>
          <w:sz w:val="22"/>
          <w:lang w:val="es-ES_tradnl"/>
        </w:rPr>
        <w:t>de las mismas</w:t>
      </w:r>
      <w:r>
        <w:rPr>
          <w:rFonts w:ascii="Arial" w:eastAsia="Calibri" w:hAnsi="Arial" w:cs="Arial"/>
          <w:color w:val="000000"/>
          <w:sz w:val="22"/>
          <w:lang w:val="es-ES_tradnl"/>
        </w:rPr>
        <w:t>;</w:t>
      </w:r>
      <w:r w:rsidRPr="00FE129C">
        <w:rPr>
          <w:rFonts w:ascii="Arial" w:eastAsia="Calibri" w:hAnsi="Arial" w:cs="Arial"/>
          <w:color w:val="000000"/>
          <w:sz w:val="22"/>
          <w:lang w:val="es-ES_tradnl"/>
        </w:rPr>
        <w:t xml:space="preserve"> los riesgos objeto de cobertura</w:t>
      </w:r>
      <w:r>
        <w:rPr>
          <w:rFonts w:ascii="Arial" w:eastAsia="Calibri" w:hAnsi="Arial" w:cs="Arial"/>
          <w:color w:val="000000"/>
          <w:sz w:val="22"/>
          <w:lang w:val="es-ES_tradnl"/>
        </w:rPr>
        <w:t>;</w:t>
      </w:r>
      <w:r w:rsidRPr="00FE129C">
        <w:rPr>
          <w:rFonts w:ascii="Arial" w:eastAsia="Calibri" w:hAnsi="Arial" w:cs="Arial"/>
          <w:color w:val="000000"/>
          <w:sz w:val="22"/>
          <w:lang w:val="es-ES_tradnl"/>
        </w:rPr>
        <w:t xml:space="preserve"> la vigencia y valores mínimos, entre otros aspectos que debe</w:t>
      </w:r>
      <w:r>
        <w:rPr>
          <w:rFonts w:ascii="Arial" w:eastAsia="Calibri" w:hAnsi="Arial" w:cs="Arial"/>
          <w:color w:val="000000"/>
          <w:sz w:val="22"/>
          <w:lang w:val="es-ES_tradnl"/>
        </w:rPr>
        <w:t>n</w:t>
      </w:r>
      <w:r w:rsidRPr="00FE129C">
        <w:rPr>
          <w:rFonts w:ascii="Arial" w:eastAsia="Calibri" w:hAnsi="Arial" w:cs="Arial"/>
          <w:color w:val="000000"/>
          <w:sz w:val="22"/>
          <w:lang w:val="es-ES_tradnl"/>
        </w:rPr>
        <w:t xml:space="preserve"> cumplir las garantías constituidas, ya sea </w:t>
      </w:r>
      <w:r>
        <w:rPr>
          <w:rFonts w:ascii="Arial" w:eastAsia="Calibri" w:hAnsi="Arial" w:cs="Arial"/>
          <w:color w:val="000000"/>
          <w:sz w:val="22"/>
          <w:lang w:val="es-ES_tradnl"/>
        </w:rPr>
        <w:t>mediante</w:t>
      </w:r>
      <w:r w:rsidRPr="00FE129C">
        <w:rPr>
          <w:rFonts w:ascii="Arial" w:eastAsia="Calibri" w:hAnsi="Arial" w:cs="Arial"/>
          <w:color w:val="000000"/>
          <w:sz w:val="22"/>
          <w:lang w:val="es-ES_tradnl"/>
        </w:rPr>
        <w:t xml:space="preserve"> pólizas de seguro, garantías bancarias o patrimonios autónomos. </w:t>
      </w:r>
    </w:p>
    <w:p w14:paraId="4A5DB8B2" w14:textId="77777777" w:rsidR="00393D57" w:rsidRPr="00FE129C" w:rsidRDefault="00393D57" w:rsidP="00393D57">
      <w:pPr>
        <w:spacing w:line="276" w:lineRule="auto"/>
        <w:ind w:firstLine="708"/>
        <w:jc w:val="both"/>
        <w:rPr>
          <w:rFonts w:ascii="Arial" w:eastAsia="Calibri" w:hAnsi="Arial" w:cs="Arial"/>
          <w:color w:val="000000"/>
          <w:sz w:val="22"/>
          <w:lang w:val="es-ES_tradnl"/>
        </w:rPr>
      </w:pPr>
      <w:r>
        <w:rPr>
          <w:rFonts w:ascii="Arial" w:eastAsia="Calibri" w:hAnsi="Arial" w:cs="Arial"/>
          <w:color w:val="000000"/>
          <w:sz w:val="22"/>
          <w:lang w:val="es-ES_tradnl"/>
        </w:rPr>
        <w:t xml:space="preserve">Teniendo en cuenta que las garantías bancarias se limitan al cubrimiento de la seriedad de la oferta y al cumplimiento de las obligaciones contractuales, a continuación, se presentan algunas consideraciones relacionadas con la garantía de seriedad de la oferta y la garantía de cumplimiento. </w:t>
      </w:r>
    </w:p>
    <w:p w14:paraId="0883730A" w14:textId="77777777" w:rsidR="00393D57" w:rsidRPr="00FE129C" w:rsidRDefault="00393D57" w:rsidP="00393D57">
      <w:pPr>
        <w:spacing w:before="120" w:line="276" w:lineRule="auto"/>
        <w:ind w:firstLine="708"/>
        <w:jc w:val="both"/>
        <w:rPr>
          <w:rFonts w:ascii="Arial" w:eastAsia="Calibri" w:hAnsi="Arial" w:cs="Arial"/>
          <w:color w:val="000000"/>
          <w:sz w:val="22"/>
          <w:szCs w:val="24"/>
          <w:lang w:val="es-ES" w:eastAsia="es-ES_tradnl"/>
        </w:rPr>
      </w:pPr>
      <w:r w:rsidRPr="00FE129C">
        <w:rPr>
          <w:rFonts w:ascii="Arial" w:eastAsia="Calibri" w:hAnsi="Arial" w:cs="Arial"/>
          <w:color w:val="000000"/>
          <w:sz w:val="22"/>
          <w:lang w:val="es-ES_tradnl"/>
        </w:rPr>
        <w:t xml:space="preserve">La </w:t>
      </w:r>
      <w:r w:rsidRPr="00FE129C">
        <w:rPr>
          <w:rFonts w:ascii="Arial" w:eastAsia="Calibri" w:hAnsi="Arial" w:cs="Arial"/>
          <w:i/>
          <w:iCs/>
          <w:color w:val="000000"/>
          <w:sz w:val="22"/>
          <w:lang w:val="es-ES_tradnl"/>
        </w:rPr>
        <w:t>garantía de seriedad</w:t>
      </w:r>
      <w:r w:rsidRPr="00FE129C">
        <w:rPr>
          <w:rFonts w:ascii="Arial" w:eastAsia="Calibri" w:hAnsi="Arial" w:cs="Arial"/>
          <w:color w:val="000000"/>
          <w:sz w:val="22"/>
          <w:lang w:val="es-ES_tradnl"/>
        </w:rPr>
        <w:t xml:space="preserve"> implica una caución provisional que avala la propuesta y es una garantía precontractual –y parcialmente contractual– destinada a asegurar la suscripción del </w:t>
      </w:r>
      <w:r>
        <w:rPr>
          <w:rFonts w:ascii="Arial" w:eastAsia="Calibri" w:hAnsi="Arial" w:cs="Arial"/>
          <w:color w:val="000000"/>
          <w:sz w:val="22"/>
          <w:lang w:val="es-ES_tradnl"/>
        </w:rPr>
        <w:t xml:space="preserve">futuro </w:t>
      </w:r>
      <w:r w:rsidRPr="00FE129C">
        <w:rPr>
          <w:rFonts w:ascii="Arial" w:eastAsia="Calibri" w:hAnsi="Arial" w:cs="Arial"/>
          <w:color w:val="000000"/>
          <w:sz w:val="22"/>
          <w:lang w:val="es-ES_tradnl"/>
        </w:rPr>
        <w:t xml:space="preserve">acuerdo, entre otras obligaciones. En contraste, la </w:t>
      </w:r>
      <w:r w:rsidRPr="00FE129C">
        <w:rPr>
          <w:rFonts w:ascii="Arial" w:eastAsia="Calibri" w:hAnsi="Arial" w:cs="Arial"/>
          <w:i/>
          <w:iCs/>
          <w:color w:val="000000"/>
          <w:sz w:val="22"/>
          <w:lang w:val="es-ES_tradnl"/>
        </w:rPr>
        <w:t>garantía de cumplimiento</w:t>
      </w:r>
      <w:r w:rsidRPr="00FE129C">
        <w:rPr>
          <w:rFonts w:ascii="Arial" w:eastAsia="Calibri" w:hAnsi="Arial" w:cs="Arial"/>
          <w:color w:val="000000"/>
          <w:sz w:val="22"/>
          <w:lang w:val="es-ES_tradnl"/>
        </w:rPr>
        <w:t xml:space="preserve"> es un mecanismo de cobertura del riesgo derivado del incumplimiento de las obligaciones del contrato. Desde esta perspectiva, ambas constituyen una obligación de seguridad, es decir, aquella donde el interés del acreedor no consiste en una utilidad específica y tangible, sino en la tranquilidad frente a ciertos riesgos por la cobertura de sus consecuencias nocivas.</w:t>
      </w:r>
    </w:p>
    <w:p w14:paraId="35E0E91A" w14:textId="77777777" w:rsidR="00393D57" w:rsidRDefault="00393D57" w:rsidP="00393D57">
      <w:pPr>
        <w:spacing w:before="120" w:line="276" w:lineRule="auto"/>
        <w:ind w:firstLine="708"/>
        <w:jc w:val="both"/>
        <w:rPr>
          <w:rFonts w:ascii="Arial" w:eastAsia="Calibri" w:hAnsi="Arial" w:cs="Arial"/>
          <w:color w:val="000000"/>
          <w:sz w:val="22"/>
          <w:szCs w:val="24"/>
          <w:lang w:val="es-ES" w:eastAsia="es-ES_tradnl"/>
        </w:rPr>
      </w:pPr>
      <w:r w:rsidRPr="00FE129C">
        <w:rPr>
          <w:rFonts w:ascii="Arial" w:eastAsia="Calibri" w:hAnsi="Arial" w:cs="Arial"/>
          <w:color w:val="000000"/>
          <w:sz w:val="22"/>
          <w:szCs w:val="24"/>
          <w:lang w:val="es-ES" w:eastAsia="es-ES_tradnl"/>
        </w:rPr>
        <w:t xml:space="preserve">Sobre la </w:t>
      </w:r>
      <w:r w:rsidRPr="00FE129C">
        <w:rPr>
          <w:rFonts w:ascii="Arial" w:eastAsia="Calibri" w:hAnsi="Arial" w:cs="Arial"/>
          <w:i/>
          <w:iCs/>
          <w:color w:val="000000"/>
          <w:sz w:val="22"/>
          <w:szCs w:val="24"/>
          <w:lang w:val="es-ES" w:eastAsia="es-ES_tradnl"/>
        </w:rPr>
        <w:t>garantía de seriedad</w:t>
      </w:r>
      <w:r w:rsidRPr="00FE129C">
        <w:rPr>
          <w:rFonts w:ascii="Arial" w:eastAsia="Calibri" w:hAnsi="Arial" w:cs="Arial"/>
          <w:color w:val="000000"/>
          <w:sz w:val="22"/>
          <w:szCs w:val="24"/>
          <w:lang w:val="es-ES" w:eastAsia="es-ES_tradnl"/>
        </w:rPr>
        <w:t xml:space="preserve"> se destaca que respalda al principio de irrevocabilidad de la oferta, caso en el cual los proponentes que pierdan interés en la adjudicación resarcirán los perjuicios causados por su retiro del procedimiento de selección. El carácter serio y vinculante implica no solo que la propuesta tenga que sostenerse ante la Administración, y en caso de resultar elegida obligue a quien la realizó, sino que una vez presentada no puede modificarse, pues esto </w:t>
      </w:r>
      <w:r>
        <w:rPr>
          <w:rFonts w:ascii="Arial" w:eastAsia="Calibri" w:hAnsi="Arial" w:cs="Arial"/>
          <w:color w:val="000000"/>
          <w:sz w:val="22"/>
          <w:szCs w:val="24"/>
          <w:lang w:val="es-ES" w:eastAsia="es-ES_tradnl"/>
        </w:rPr>
        <w:t>pondría</w:t>
      </w:r>
      <w:r w:rsidRPr="00FE129C">
        <w:rPr>
          <w:rFonts w:ascii="Arial" w:eastAsia="Calibri" w:hAnsi="Arial" w:cs="Arial"/>
          <w:color w:val="000000"/>
          <w:sz w:val="22"/>
          <w:szCs w:val="24"/>
          <w:lang w:val="es-ES" w:eastAsia="es-ES_tradnl"/>
        </w:rPr>
        <w:t xml:space="preserve"> en desventaja a los demás oferentes, en perjuicio de los principios de igualdad y buena fe. </w:t>
      </w:r>
    </w:p>
    <w:p w14:paraId="105B5334" w14:textId="77777777" w:rsidR="00393D57" w:rsidRDefault="00393D57" w:rsidP="00393D57">
      <w:pPr>
        <w:spacing w:before="120" w:line="276" w:lineRule="auto"/>
        <w:ind w:firstLine="708"/>
        <w:jc w:val="both"/>
        <w:rPr>
          <w:rFonts w:ascii="Arial" w:eastAsia="Calibri" w:hAnsi="Arial" w:cs="Arial"/>
          <w:color w:val="000000" w:themeColor="text1"/>
          <w:sz w:val="22"/>
          <w:lang w:val="es-ES"/>
        </w:rPr>
      </w:pPr>
      <w:r w:rsidRPr="00AC5B83">
        <w:rPr>
          <w:rFonts w:ascii="Arial" w:eastAsia="Calibri" w:hAnsi="Arial" w:cs="Arial"/>
          <w:color w:val="000000" w:themeColor="text1"/>
          <w:sz w:val="22"/>
          <w:lang w:val="es-ES"/>
        </w:rPr>
        <w:t xml:space="preserve">El inciso primero del artículo 846 del Código de Comercio dispone que «La propuesta será irrevocable, por lo tanto, una vez comunicada, no podrá retractarse el proponente, so pena de indemnizar los perjuicios que con su revocación cause al destinatario». Aunque la contratación estatal se rige por una regla similar, son evidentes los matices introducidos en el régimen de la garantía precontractual, pues el artículo </w:t>
      </w:r>
      <w:bookmarkStart w:id="2" w:name="_Hlk50454376"/>
      <w:r w:rsidRPr="00AC5B83">
        <w:rPr>
          <w:rFonts w:ascii="Arial" w:eastAsia="Calibri" w:hAnsi="Arial" w:cs="Arial"/>
          <w:color w:val="000000" w:themeColor="text1"/>
          <w:sz w:val="22"/>
          <w:lang w:val="es-ES"/>
        </w:rPr>
        <w:t>2.2.1.2.3.2.8</w:t>
      </w:r>
      <w:bookmarkEnd w:id="2"/>
      <w:r w:rsidRPr="00AC5B83">
        <w:rPr>
          <w:rFonts w:ascii="Arial" w:eastAsia="Calibri" w:hAnsi="Arial" w:cs="Arial"/>
          <w:color w:val="000000" w:themeColor="text1"/>
          <w:sz w:val="22"/>
          <w:lang w:val="es-ES"/>
        </w:rPr>
        <w:t xml:space="preserve"> del Decreto 1082 de 2015 dispone que «En caso de siniestro en la garantía de la seriedad de la oferta, la compañía de seguros debe responder por el total del valor asegurado</w:t>
      </w:r>
      <w:r>
        <w:rPr>
          <w:rFonts w:ascii="Arial" w:eastAsia="Calibri" w:hAnsi="Arial" w:cs="Arial"/>
          <w:color w:val="000000" w:themeColor="text1"/>
          <w:sz w:val="22"/>
          <w:lang w:val="es-ES"/>
        </w:rPr>
        <w:t xml:space="preserve"> a</w:t>
      </w:r>
      <w:r w:rsidRPr="00AC5B83">
        <w:rPr>
          <w:rFonts w:ascii="Arial" w:eastAsia="Calibri" w:hAnsi="Arial" w:cs="Arial"/>
          <w:color w:val="000000" w:themeColor="text1"/>
          <w:sz w:val="22"/>
          <w:lang w:val="es-ES"/>
        </w:rPr>
        <w:t xml:space="preserve"> título de sanción».</w:t>
      </w:r>
    </w:p>
    <w:p w14:paraId="1A93B3AE" w14:textId="77777777" w:rsidR="00393D57" w:rsidRPr="003E0E3E" w:rsidRDefault="00393D57" w:rsidP="00393D57">
      <w:pPr>
        <w:spacing w:before="120" w:after="120" w:line="276" w:lineRule="auto"/>
        <w:ind w:firstLine="709"/>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t xml:space="preserve">Naturalmente, esta garantía de seriedad solo la constituyen quienes presenten oferta, motivo por el cual sus efectos no se extienden a personas ajenas a la actividad precontractual; sin perjuicio de que la garantía sea un mecanismo conminatorio, en la </w:t>
      </w:r>
      <w:r>
        <w:rPr>
          <w:rFonts w:ascii="Arial" w:eastAsia="Calibri" w:hAnsi="Arial" w:cs="Arial"/>
          <w:color w:val="000000" w:themeColor="text1"/>
          <w:sz w:val="22"/>
          <w:lang w:val="es-ES"/>
        </w:rPr>
        <w:lastRenderedPageBreak/>
        <w:t>medida en que obliga a celebrar el contrato y a suscribir la garantía única de cumplimiento, so pena de hacerla efectiva. De esta manera, la exigencia permite que solo se presenten personas con la capacidad técnica y financiera suficiente para ejecutarlo en caso de adjudicación, desestimulando la presentación de ofertas que no son serias, cuya evaluación entorpece la buena marcha de la Administración, y en especial la celeridad y eficiencia de los procedimientos contractuales</w:t>
      </w:r>
      <w:r>
        <w:rPr>
          <w:rStyle w:val="Refdenotaalpie"/>
          <w:rFonts w:ascii="Arial" w:eastAsia="Calibri" w:hAnsi="Arial" w:cs="Arial"/>
          <w:color w:val="000000" w:themeColor="text1"/>
          <w:sz w:val="22"/>
          <w:lang w:val="es-ES"/>
        </w:rPr>
        <w:footnoteReference w:id="2"/>
      </w:r>
      <w:r>
        <w:rPr>
          <w:rFonts w:ascii="Arial" w:eastAsia="Calibri" w:hAnsi="Arial" w:cs="Arial"/>
          <w:color w:val="000000" w:themeColor="text1"/>
          <w:sz w:val="22"/>
          <w:lang w:val="es-ES"/>
        </w:rPr>
        <w:t>.</w:t>
      </w:r>
    </w:p>
    <w:p w14:paraId="2F60E01F" w14:textId="6F8D9441" w:rsidR="00393D57" w:rsidRPr="003E0E3E" w:rsidRDefault="004128F2" w:rsidP="00393D57">
      <w:pPr>
        <w:spacing w:line="276" w:lineRule="auto"/>
        <w:ind w:firstLine="708"/>
        <w:jc w:val="both"/>
        <w:rPr>
          <w:rFonts w:ascii="Arial" w:eastAsia="Times New Roman" w:hAnsi="Arial" w:cs="Arial"/>
          <w:bCs/>
          <w:color w:val="000000" w:themeColor="text1"/>
          <w:sz w:val="22"/>
          <w:szCs w:val="24"/>
          <w:lang w:val="es-ES_tradnl"/>
        </w:rPr>
      </w:pPr>
      <w:r>
        <w:rPr>
          <w:rFonts w:ascii="Arial" w:eastAsia="Calibri" w:hAnsi="Arial" w:cs="Arial"/>
          <w:color w:val="000000" w:themeColor="text1"/>
          <w:sz w:val="22"/>
          <w:lang w:val="es-ES_tradnl"/>
        </w:rPr>
        <w:t>De otro lado, e</w:t>
      </w:r>
      <w:r w:rsidR="00393D57">
        <w:rPr>
          <w:rFonts w:ascii="Arial" w:eastAsia="Calibri" w:hAnsi="Arial" w:cs="Arial"/>
          <w:color w:val="000000" w:themeColor="text1"/>
          <w:sz w:val="22"/>
          <w:lang w:val="es-ES_tradnl"/>
        </w:rPr>
        <w:t xml:space="preserve">n lo que atañe a la </w:t>
      </w:r>
      <w:r w:rsidR="00393D57" w:rsidRPr="00CB776B">
        <w:rPr>
          <w:rFonts w:ascii="Arial" w:eastAsia="Calibri" w:hAnsi="Arial" w:cs="Arial"/>
          <w:i/>
          <w:iCs/>
          <w:color w:val="000000" w:themeColor="text1"/>
          <w:sz w:val="22"/>
          <w:lang w:val="es-ES_tradnl"/>
        </w:rPr>
        <w:t>garantía de cumplimiento</w:t>
      </w:r>
      <w:r w:rsidR="00393D57">
        <w:rPr>
          <w:rFonts w:ascii="Arial" w:eastAsia="Calibri" w:hAnsi="Arial" w:cs="Arial"/>
          <w:i/>
          <w:iCs/>
          <w:color w:val="000000" w:themeColor="text1"/>
          <w:sz w:val="22"/>
          <w:lang w:val="es-ES_tradnl"/>
        </w:rPr>
        <w:t xml:space="preserve">, </w:t>
      </w:r>
      <w:r w:rsidR="00393D57" w:rsidRPr="003E0E3E">
        <w:rPr>
          <w:rFonts w:ascii="Arial" w:eastAsia="Times New Roman" w:hAnsi="Arial" w:cs="Arial"/>
          <w:bCs/>
          <w:color w:val="000000" w:themeColor="text1"/>
          <w:sz w:val="22"/>
          <w:szCs w:val="24"/>
          <w:lang w:val="es-ES_tradnl"/>
        </w:rPr>
        <w:t>la Agencia Nacional de Contratación Pública ha sostenido lo siguiente:</w:t>
      </w:r>
    </w:p>
    <w:p w14:paraId="3282CACC" w14:textId="77777777" w:rsidR="00393D57" w:rsidRPr="003E0E3E" w:rsidRDefault="00393D57" w:rsidP="00393D57">
      <w:pPr>
        <w:ind w:left="709" w:right="758"/>
        <w:jc w:val="both"/>
        <w:rPr>
          <w:rFonts w:ascii="Arial" w:eastAsia="Times New Roman" w:hAnsi="Arial" w:cs="Arial"/>
          <w:bCs/>
          <w:color w:val="000000" w:themeColor="text1"/>
          <w:sz w:val="21"/>
          <w:szCs w:val="21"/>
          <w:lang w:val="es-ES_tradnl"/>
        </w:rPr>
      </w:pPr>
    </w:p>
    <w:p w14:paraId="5EAABD2A" w14:textId="77777777" w:rsidR="00393D57" w:rsidRPr="003E0E3E" w:rsidRDefault="00393D57" w:rsidP="00393D57">
      <w:pPr>
        <w:ind w:left="709" w:right="758"/>
        <w:jc w:val="both"/>
        <w:rPr>
          <w:rFonts w:ascii="Arial" w:eastAsia="Times New Roman" w:hAnsi="Arial" w:cs="Arial"/>
          <w:bCs/>
          <w:color w:val="000000" w:themeColor="text1"/>
          <w:sz w:val="21"/>
          <w:szCs w:val="21"/>
          <w:lang w:val="es-ES_tradnl"/>
        </w:rPr>
      </w:pPr>
      <w:r w:rsidRPr="003E0E3E">
        <w:rPr>
          <w:rFonts w:ascii="Arial" w:eastAsia="Times New Roman" w:hAnsi="Arial" w:cs="Arial"/>
          <w:bCs/>
          <w:color w:val="000000" w:themeColor="text1"/>
          <w:sz w:val="21"/>
          <w:szCs w:val="21"/>
          <w:lang w:val="es-ES_tradnl"/>
        </w:rPr>
        <w:t>Tiene carácter indemnizatorio dado que su finalidad es proteger el patrimonio público del daño que le puede ocasionar el posible incumplimiento de las obligaciones contractuales por parte del particular contratista, para de esta manera evitar que dicho patrimonio se vea afectado o empobrecido.</w:t>
      </w:r>
    </w:p>
    <w:p w14:paraId="5727D1EB" w14:textId="77777777" w:rsidR="00393D57" w:rsidRPr="003E0E3E" w:rsidRDefault="00393D57" w:rsidP="00393D57">
      <w:pPr>
        <w:ind w:left="709" w:right="758"/>
        <w:jc w:val="both"/>
        <w:rPr>
          <w:rFonts w:ascii="Arial" w:eastAsia="Times New Roman" w:hAnsi="Arial" w:cs="Arial"/>
          <w:bCs/>
          <w:color w:val="000000" w:themeColor="text1"/>
          <w:sz w:val="21"/>
          <w:szCs w:val="21"/>
          <w:lang w:val="es-ES_tradnl"/>
        </w:rPr>
      </w:pPr>
    </w:p>
    <w:p w14:paraId="2DAD0029" w14:textId="77777777" w:rsidR="00393D57" w:rsidRPr="003E0E3E" w:rsidRDefault="00393D57" w:rsidP="00393D57">
      <w:pPr>
        <w:ind w:left="709" w:right="758"/>
        <w:jc w:val="both"/>
        <w:rPr>
          <w:rFonts w:ascii="Arial" w:eastAsia="Times New Roman" w:hAnsi="Arial" w:cs="Arial"/>
          <w:bCs/>
          <w:color w:val="000000" w:themeColor="text1"/>
          <w:sz w:val="21"/>
          <w:szCs w:val="21"/>
          <w:lang w:val="es-ES_tradnl"/>
        </w:rPr>
      </w:pPr>
      <w:r w:rsidRPr="003E0E3E">
        <w:rPr>
          <w:rFonts w:ascii="Arial" w:eastAsia="Times New Roman" w:hAnsi="Arial" w:cs="Arial"/>
          <w:bCs/>
          <w:color w:val="000000" w:themeColor="text1"/>
          <w:sz w:val="21"/>
          <w:szCs w:val="21"/>
          <w:lang w:val="es-ES_tradnl"/>
        </w:rPr>
        <w:t>Tiene por finalidad asegurar la ejecución total y oportuna del objeto contratado y proteger el patrimonio público del daño que le puede ocasionar el posible incumplimiento de las obligaciones contractuales por parte del particular contratista. Esta cláusula es de forzosa estipulación, a tal punto que si no es pactada en aquellos contratos en los cuales la ley establece su obligatoriedad, se presume incorporada en el respectivo contrato y no podrá ser renunciada por la Administración</w:t>
      </w:r>
      <w:r w:rsidRPr="003E0E3E">
        <w:rPr>
          <w:rFonts w:ascii="Arial" w:eastAsia="Times New Roman" w:hAnsi="Arial" w:cs="Arial"/>
          <w:bCs/>
          <w:color w:val="000000" w:themeColor="text1"/>
          <w:sz w:val="21"/>
          <w:szCs w:val="21"/>
          <w:vertAlign w:val="superscript"/>
          <w:lang w:val="es-ES_tradnl"/>
        </w:rPr>
        <w:footnoteReference w:id="3"/>
      </w:r>
      <w:r w:rsidRPr="003E0E3E">
        <w:rPr>
          <w:rFonts w:ascii="Arial" w:eastAsia="Times New Roman" w:hAnsi="Arial" w:cs="Arial"/>
          <w:bCs/>
          <w:color w:val="000000" w:themeColor="text1"/>
          <w:sz w:val="21"/>
          <w:szCs w:val="21"/>
          <w:lang w:val="es-ES_tradnl"/>
        </w:rPr>
        <w:t>.</w:t>
      </w:r>
    </w:p>
    <w:p w14:paraId="60EBEBED" w14:textId="77777777" w:rsidR="00393D57" w:rsidRPr="003E0E3E" w:rsidRDefault="00393D57" w:rsidP="00393D57">
      <w:pPr>
        <w:spacing w:line="276" w:lineRule="auto"/>
        <w:jc w:val="both"/>
        <w:rPr>
          <w:rFonts w:ascii="Arial" w:eastAsia="Times New Roman" w:hAnsi="Arial" w:cs="Arial"/>
          <w:bCs/>
          <w:color w:val="000000" w:themeColor="text1"/>
          <w:sz w:val="22"/>
          <w:szCs w:val="24"/>
          <w:lang w:val="es-ES_tradnl"/>
        </w:rPr>
      </w:pPr>
    </w:p>
    <w:p w14:paraId="55C6C46E" w14:textId="77777777" w:rsidR="00393D57" w:rsidRPr="003E0E3E" w:rsidRDefault="00393D57" w:rsidP="00393D57">
      <w:pPr>
        <w:spacing w:after="120" w:line="276" w:lineRule="auto"/>
        <w:ind w:firstLine="709"/>
        <w:jc w:val="both"/>
        <w:rPr>
          <w:rFonts w:ascii="Arial" w:eastAsia="Times New Roman" w:hAnsi="Arial" w:cs="Arial"/>
          <w:bCs/>
          <w:color w:val="000000" w:themeColor="text1"/>
          <w:sz w:val="22"/>
          <w:szCs w:val="24"/>
          <w:lang w:val="es-ES_tradnl"/>
        </w:rPr>
      </w:pPr>
      <w:r w:rsidRPr="003E0E3E">
        <w:rPr>
          <w:rFonts w:ascii="Arial" w:eastAsia="Times New Roman" w:hAnsi="Arial" w:cs="Arial"/>
          <w:bCs/>
          <w:color w:val="000000" w:themeColor="text1"/>
          <w:sz w:val="22"/>
          <w:szCs w:val="24"/>
          <w:lang w:val="es-ES_tradnl"/>
        </w:rPr>
        <w:t xml:space="preserve">Como </w:t>
      </w:r>
      <w:r>
        <w:rPr>
          <w:rFonts w:ascii="Arial" w:eastAsia="Times New Roman" w:hAnsi="Arial" w:cs="Arial"/>
          <w:bCs/>
          <w:color w:val="000000" w:themeColor="text1"/>
          <w:sz w:val="22"/>
          <w:szCs w:val="24"/>
          <w:lang w:val="es-ES_tradnl"/>
        </w:rPr>
        <w:t>se observa</w:t>
      </w:r>
      <w:r w:rsidRPr="003E0E3E">
        <w:rPr>
          <w:rFonts w:ascii="Arial" w:eastAsia="Times New Roman" w:hAnsi="Arial" w:cs="Arial"/>
          <w:bCs/>
          <w:color w:val="000000" w:themeColor="text1"/>
          <w:sz w:val="22"/>
          <w:szCs w:val="24"/>
          <w:lang w:val="es-ES_tradnl"/>
        </w:rPr>
        <w:t xml:space="preserve">, la finalidad y principal objetivo de la garantía de cumplimiento es proteger el patrimonio de la entidad de los potenciales riesgos y efectos derivados de un incumplimiento del contratista. Esta función, se advierte, debe irradiar la comprensión de las normas sobre garantías en general y sobre su vigencia en particular. </w:t>
      </w:r>
    </w:p>
    <w:p w14:paraId="5C6430C1" w14:textId="0D3147A2" w:rsidR="00393D57" w:rsidRDefault="00393D57" w:rsidP="004128F2">
      <w:pPr>
        <w:spacing w:line="276" w:lineRule="auto"/>
        <w:ind w:firstLine="708"/>
        <w:jc w:val="both"/>
        <w:rPr>
          <w:rFonts w:ascii="Arial" w:eastAsia="Calibri" w:hAnsi="Arial" w:cs="Arial"/>
          <w:color w:val="000000"/>
          <w:sz w:val="22"/>
          <w:lang w:val="es-ES_tradnl"/>
        </w:rPr>
      </w:pPr>
      <w:r>
        <w:rPr>
          <w:rFonts w:ascii="Arial" w:eastAsia="Times New Roman" w:hAnsi="Arial" w:cs="Arial"/>
          <w:bCs/>
          <w:color w:val="000000" w:themeColor="text1"/>
          <w:sz w:val="22"/>
          <w:szCs w:val="24"/>
          <w:lang w:val="es-ES_tradnl"/>
        </w:rPr>
        <w:t xml:space="preserve">Finalizando con el análisis general del régimen de garantías en el Decreto 1082 de 2015, </w:t>
      </w:r>
      <w:r>
        <w:rPr>
          <w:rFonts w:ascii="Arial" w:eastAsia="Calibri" w:hAnsi="Arial" w:cs="Arial"/>
          <w:color w:val="000000"/>
          <w:sz w:val="22"/>
          <w:szCs w:val="24"/>
          <w:lang w:val="es-ES" w:eastAsia="es-ES_tradnl"/>
        </w:rPr>
        <w:t>l</w:t>
      </w:r>
      <w:r w:rsidRPr="00FE129C">
        <w:rPr>
          <w:rFonts w:ascii="Arial" w:eastAsia="Calibri" w:hAnsi="Arial" w:cs="Arial"/>
          <w:color w:val="000000"/>
          <w:sz w:val="22"/>
          <w:szCs w:val="24"/>
          <w:lang w:val="es-ES" w:eastAsia="es-ES_tradnl"/>
        </w:rPr>
        <w:t xml:space="preserve">os artículos 2.2.1.2.3.1.6 y 2.2.1.2.3.1.9 establecen las condiciones que debe cumplir la garantía de los riesgos derivados del incumplimiento de la oferta. </w:t>
      </w:r>
      <w:r>
        <w:rPr>
          <w:rFonts w:ascii="Arial" w:eastAsia="Calibri" w:hAnsi="Arial" w:cs="Arial"/>
          <w:color w:val="000000"/>
          <w:sz w:val="22"/>
          <w:lang w:val="es-ES_tradnl"/>
        </w:rPr>
        <w:t>De otro lado</w:t>
      </w:r>
      <w:r w:rsidRPr="00FE129C">
        <w:rPr>
          <w:rFonts w:ascii="Arial" w:eastAsia="Calibri" w:hAnsi="Arial" w:cs="Arial"/>
          <w:color w:val="000000"/>
          <w:sz w:val="22"/>
          <w:lang w:val="es-ES_tradnl"/>
        </w:rPr>
        <w:t xml:space="preserve">, el artículo 2.2.1.3.1.7 prescribe que la garantía de cumplimiento debe cubrir: i) el buen manejo y correcta inversión del anticipo; ii) la devolución del pago anticipado; iii) el cumplimiento del contrato; </w:t>
      </w:r>
      <w:proofErr w:type="spellStart"/>
      <w:r w:rsidRPr="00FE129C">
        <w:rPr>
          <w:rFonts w:ascii="Arial" w:eastAsia="Calibri" w:hAnsi="Arial" w:cs="Arial"/>
          <w:color w:val="000000"/>
          <w:sz w:val="22"/>
          <w:lang w:val="es-ES_tradnl"/>
        </w:rPr>
        <w:t>iv</w:t>
      </w:r>
      <w:proofErr w:type="spellEnd"/>
      <w:r w:rsidRPr="00FE129C">
        <w:rPr>
          <w:rFonts w:ascii="Arial" w:eastAsia="Calibri" w:hAnsi="Arial" w:cs="Arial"/>
          <w:color w:val="000000"/>
          <w:sz w:val="22"/>
          <w:lang w:val="es-ES_tradnl"/>
        </w:rPr>
        <w:t xml:space="preserve">) el pago de salarios, prestaciones sociales legales e indemnizaciones laborales; v) la estabilidad y calidad de la obra; vi) la calidad del servicio; </w:t>
      </w:r>
      <w:proofErr w:type="spellStart"/>
      <w:r w:rsidRPr="00FE129C">
        <w:rPr>
          <w:rFonts w:ascii="Arial" w:eastAsia="Calibri" w:hAnsi="Arial" w:cs="Arial"/>
          <w:color w:val="000000"/>
          <w:sz w:val="22"/>
          <w:lang w:val="es-ES_tradnl"/>
        </w:rPr>
        <w:t>vii</w:t>
      </w:r>
      <w:proofErr w:type="spellEnd"/>
      <w:r w:rsidRPr="00FE129C">
        <w:rPr>
          <w:rFonts w:ascii="Arial" w:eastAsia="Calibri" w:hAnsi="Arial" w:cs="Arial"/>
          <w:color w:val="000000"/>
          <w:sz w:val="22"/>
          <w:lang w:val="es-ES_tradnl"/>
        </w:rPr>
        <w:t xml:space="preserve">) la calidad y correcto funcionamiento de los bienes; y </w:t>
      </w:r>
      <w:proofErr w:type="spellStart"/>
      <w:r w:rsidRPr="00FE129C">
        <w:rPr>
          <w:rFonts w:ascii="Arial" w:eastAsia="Calibri" w:hAnsi="Arial" w:cs="Arial"/>
          <w:color w:val="000000"/>
          <w:sz w:val="22"/>
          <w:lang w:val="es-ES_tradnl"/>
        </w:rPr>
        <w:t>viii</w:t>
      </w:r>
      <w:proofErr w:type="spellEnd"/>
      <w:r w:rsidRPr="00FE129C">
        <w:rPr>
          <w:rFonts w:ascii="Arial" w:eastAsia="Calibri" w:hAnsi="Arial" w:cs="Arial"/>
          <w:color w:val="000000"/>
          <w:sz w:val="22"/>
          <w:lang w:val="es-ES_tradnl"/>
        </w:rPr>
        <w:t>) los demás incumplimientos de las obligaciones que la entidad estatal considere deben ser amparados.</w:t>
      </w:r>
    </w:p>
    <w:p w14:paraId="3695CF5E" w14:textId="77777777" w:rsidR="004128F2" w:rsidRDefault="004128F2" w:rsidP="00111101">
      <w:pPr>
        <w:spacing w:line="276" w:lineRule="auto"/>
        <w:ind w:firstLine="708"/>
        <w:jc w:val="both"/>
        <w:rPr>
          <w:rFonts w:ascii="Arial" w:eastAsia="Calibri" w:hAnsi="Arial" w:cs="Arial"/>
          <w:color w:val="000000"/>
          <w:sz w:val="22"/>
          <w:lang w:val="es-ES_tradnl"/>
        </w:rPr>
      </w:pPr>
    </w:p>
    <w:p w14:paraId="1E337C33" w14:textId="4C175710" w:rsidR="00275AF4" w:rsidRPr="00111101" w:rsidRDefault="008C65C8" w:rsidP="004128F2">
      <w:pPr>
        <w:spacing w:line="276" w:lineRule="auto"/>
        <w:jc w:val="both"/>
        <w:rPr>
          <w:rStyle w:val="normaltextrun"/>
          <w:rFonts w:ascii="Arial" w:hAnsi="Arial" w:cs="Arial"/>
          <w:b/>
          <w:bCs/>
          <w:color w:val="000000"/>
          <w:sz w:val="22"/>
        </w:rPr>
      </w:pPr>
      <w:r w:rsidRPr="00111101">
        <w:rPr>
          <w:rStyle w:val="normaltextrun"/>
          <w:rFonts w:ascii="Arial" w:hAnsi="Arial" w:cs="Arial"/>
          <w:b/>
          <w:bCs/>
          <w:color w:val="000000"/>
          <w:sz w:val="22"/>
        </w:rPr>
        <w:t>2</w:t>
      </w:r>
      <w:r w:rsidR="00275AF4" w:rsidRPr="00111101">
        <w:rPr>
          <w:rStyle w:val="normaltextrun"/>
          <w:rFonts w:ascii="Arial" w:hAnsi="Arial" w:cs="Arial"/>
          <w:b/>
          <w:bCs/>
          <w:color w:val="000000"/>
          <w:sz w:val="22"/>
        </w:rPr>
        <w:t xml:space="preserve">.2 </w:t>
      </w:r>
      <w:r w:rsidRPr="00111101">
        <w:rPr>
          <w:rStyle w:val="normaltextrun"/>
          <w:rFonts w:ascii="Arial" w:hAnsi="Arial" w:cs="Arial"/>
          <w:b/>
          <w:bCs/>
          <w:color w:val="000000"/>
          <w:sz w:val="22"/>
        </w:rPr>
        <w:t>Principio de indivisibilidad de la</w:t>
      </w:r>
      <w:r w:rsidR="004128F2" w:rsidRPr="00111101">
        <w:rPr>
          <w:rStyle w:val="normaltextrun"/>
          <w:rFonts w:ascii="Arial" w:hAnsi="Arial" w:cs="Arial"/>
          <w:b/>
          <w:bCs/>
          <w:color w:val="000000"/>
          <w:sz w:val="22"/>
        </w:rPr>
        <w:t>s</w:t>
      </w:r>
      <w:r w:rsidRPr="00111101">
        <w:rPr>
          <w:rStyle w:val="normaltextrun"/>
          <w:rFonts w:ascii="Arial" w:hAnsi="Arial" w:cs="Arial"/>
          <w:b/>
          <w:bCs/>
          <w:color w:val="000000"/>
          <w:sz w:val="22"/>
        </w:rPr>
        <w:t xml:space="preserve"> garantía</w:t>
      </w:r>
      <w:r w:rsidR="004128F2" w:rsidRPr="00111101">
        <w:rPr>
          <w:rStyle w:val="normaltextrun"/>
          <w:rFonts w:ascii="Arial" w:hAnsi="Arial" w:cs="Arial"/>
          <w:b/>
          <w:bCs/>
          <w:color w:val="000000"/>
          <w:sz w:val="22"/>
        </w:rPr>
        <w:t>s</w:t>
      </w:r>
      <w:r w:rsidRPr="00111101">
        <w:rPr>
          <w:rStyle w:val="normaltextrun"/>
          <w:rFonts w:ascii="Arial" w:hAnsi="Arial" w:cs="Arial"/>
          <w:b/>
          <w:bCs/>
          <w:color w:val="000000"/>
          <w:sz w:val="22"/>
        </w:rPr>
        <w:t xml:space="preserve"> </w:t>
      </w:r>
    </w:p>
    <w:p w14:paraId="5B42516F" w14:textId="77777777" w:rsidR="004128F2" w:rsidRPr="00111101" w:rsidRDefault="004128F2" w:rsidP="00111101">
      <w:pPr>
        <w:spacing w:line="276" w:lineRule="auto"/>
        <w:jc w:val="both"/>
        <w:rPr>
          <w:rStyle w:val="normaltextrun"/>
          <w:rFonts w:ascii="Arial" w:hAnsi="Arial" w:cs="Arial"/>
          <w:b/>
          <w:bCs/>
          <w:color w:val="000000"/>
          <w:sz w:val="22"/>
        </w:rPr>
      </w:pPr>
    </w:p>
    <w:p w14:paraId="6460E339" w14:textId="27AACB70" w:rsidR="009A5BF6" w:rsidRPr="00111101" w:rsidRDefault="006A326C" w:rsidP="00111101">
      <w:pPr>
        <w:spacing w:line="276" w:lineRule="auto"/>
        <w:jc w:val="both"/>
        <w:rPr>
          <w:rStyle w:val="normaltextrun"/>
          <w:rFonts w:ascii="Arial" w:hAnsi="Arial" w:cs="Arial"/>
          <w:color w:val="000000"/>
          <w:sz w:val="22"/>
        </w:rPr>
      </w:pPr>
      <w:r w:rsidRPr="00111101">
        <w:rPr>
          <w:rStyle w:val="normaltextrun"/>
          <w:rFonts w:ascii="Arial" w:hAnsi="Arial" w:cs="Arial"/>
          <w:color w:val="000000"/>
          <w:sz w:val="22"/>
        </w:rPr>
        <w:lastRenderedPageBreak/>
        <w:t xml:space="preserve">Explicado el contexto general de las garantías en la contratación estatal, a </w:t>
      </w:r>
      <w:proofErr w:type="gramStart"/>
      <w:r w:rsidRPr="00111101">
        <w:rPr>
          <w:rStyle w:val="normaltextrun"/>
          <w:rFonts w:ascii="Arial" w:hAnsi="Arial" w:cs="Arial"/>
          <w:color w:val="000000"/>
          <w:sz w:val="22"/>
        </w:rPr>
        <w:t>continuación</w:t>
      </w:r>
      <w:proofErr w:type="gramEnd"/>
      <w:r w:rsidRPr="00111101">
        <w:rPr>
          <w:rStyle w:val="normaltextrun"/>
          <w:rFonts w:ascii="Arial" w:hAnsi="Arial" w:cs="Arial"/>
          <w:color w:val="000000"/>
          <w:sz w:val="22"/>
        </w:rPr>
        <w:t xml:space="preserve"> se analizará lo previsto en el </w:t>
      </w:r>
      <w:r w:rsidR="000B4FED" w:rsidRPr="00111101">
        <w:rPr>
          <w:rStyle w:val="normaltextrun"/>
          <w:rFonts w:ascii="Arial" w:hAnsi="Arial" w:cs="Arial"/>
          <w:color w:val="000000"/>
          <w:sz w:val="22"/>
        </w:rPr>
        <w:t xml:space="preserve">artículo </w:t>
      </w:r>
      <w:r w:rsidR="00190A1F" w:rsidRPr="00111101">
        <w:rPr>
          <w:rStyle w:val="normaltextrun"/>
          <w:rFonts w:ascii="Arial" w:hAnsi="Arial" w:cs="Arial"/>
          <w:color w:val="000000"/>
          <w:sz w:val="22"/>
        </w:rPr>
        <w:t>2.2.1.2.3.1.3</w:t>
      </w:r>
      <w:r w:rsidR="00A32DFA" w:rsidRPr="00111101">
        <w:rPr>
          <w:rStyle w:val="normaltextrun"/>
          <w:rFonts w:ascii="Arial" w:hAnsi="Arial" w:cs="Arial"/>
          <w:color w:val="000000"/>
          <w:sz w:val="22"/>
        </w:rPr>
        <w:t xml:space="preserve"> del Decreto 1082 de 2015</w:t>
      </w:r>
      <w:r w:rsidR="00A21D51" w:rsidRPr="00111101">
        <w:rPr>
          <w:rStyle w:val="normaltextrun"/>
          <w:rFonts w:ascii="Arial" w:hAnsi="Arial" w:cs="Arial"/>
          <w:color w:val="000000"/>
          <w:sz w:val="22"/>
        </w:rPr>
        <w:t>,</w:t>
      </w:r>
      <w:r w:rsidR="001C598A" w:rsidRPr="00111101">
        <w:rPr>
          <w:rStyle w:val="normaltextrun"/>
          <w:rFonts w:ascii="Arial" w:hAnsi="Arial" w:cs="Arial"/>
          <w:color w:val="000000"/>
          <w:sz w:val="22"/>
        </w:rPr>
        <w:t xml:space="preserve"> que</w:t>
      </w:r>
      <w:r w:rsidR="00190A1F" w:rsidRPr="00111101">
        <w:rPr>
          <w:rStyle w:val="normaltextrun"/>
          <w:rFonts w:ascii="Arial" w:hAnsi="Arial" w:cs="Arial"/>
          <w:color w:val="000000"/>
          <w:sz w:val="22"/>
        </w:rPr>
        <w:t xml:space="preserve"> regula </w:t>
      </w:r>
      <w:r w:rsidR="00161592" w:rsidRPr="00111101">
        <w:rPr>
          <w:rStyle w:val="normaltextrun"/>
          <w:rFonts w:ascii="Arial" w:hAnsi="Arial" w:cs="Arial"/>
          <w:color w:val="000000"/>
          <w:sz w:val="22"/>
        </w:rPr>
        <w:t>la</w:t>
      </w:r>
      <w:r w:rsidR="00190A1F" w:rsidRPr="00111101">
        <w:rPr>
          <w:rStyle w:val="normaltextrun"/>
          <w:rFonts w:ascii="Arial" w:hAnsi="Arial" w:cs="Arial"/>
          <w:color w:val="000000"/>
          <w:sz w:val="22"/>
        </w:rPr>
        <w:t xml:space="preserve"> </w:t>
      </w:r>
      <w:r w:rsidR="00190A1F" w:rsidRPr="00111101">
        <w:rPr>
          <w:rStyle w:val="normaltextrun"/>
          <w:rFonts w:ascii="Arial" w:hAnsi="Arial" w:cs="Arial"/>
          <w:i/>
          <w:iCs/>
          <w:color w:val="000000"/>
          <w:sz w:val="22"/>
        </w:rPr>
        <w:t>indivisibilidad</w:t>
      </w:r>
      <w:r w:rsidR="00190A1F" w:rsidRPr="00111101">
        <w:rPr>
          <w:rStyle w:val="normaltextrun"/>
          <w:rFonts w:ascii="Arial" w:hAnsi="Arial" w:cs="Arial"/>
          <w:color w:val="000000"/>
          <w:sz w:val="22"/>
        </w:rPr>
        <w:t xml:space="preserve"> de la garantía.</w:t>
      </w:r>
      <w:r w:rsidR="00CA3340" w:rsidRPr="00111101">
        <w:rPr>
          <w:rStyle w:val="normaltextrun"/>
          <w:rFonts w:ascii="Arial" w:hAnsi="Arial" w:cs="Arial"/>
          <w:color w:val="000000"/>
          <w:sz w:val="22"/>
        </w:rPr>
        <w:t xml:space="preserve"> </w:t>
      </w:r>
      <w:r w:rsidR="00CE5D87" w:rsidRPr="00111101">
        <w:rPr>
          <w:rStyle w:val="normaltextrun"/>
          <w:rFonts w:ascii="Arial" w:hAnsi="Arial" w:cs="Arial"/>
          <w:color w:val="000000"/>
          <w:sz w:val="22"/>
        </w:rPr>
        <w:t xml:space="preserve">En relación con </w:t>
      </w:r>
      <w:r w:rsidR="00161592" w:rsidRPr="00111101">
        <w:rPr>
          <w:rStyle w:val="normaltextrun"/>
          <w:rFonts w:ascii="Arial" w:hAnsi="Arial" w:cs="Arial"/>
          <w:color w:val="000000"/>
          <w:sz w:val="22"/>
        </w:rPr>
        <w:t>esta</w:t>
      </w:r>
      <w:r w:rsidR="003D5E36" w:rsidRPr="00111101">
        <w:rPr>
          <w:rStyle w:val="normaltextrun"/>
          <w:rFonts w:ascii="Arial" w:hAnsi="Arial" w:cs="Arial"/>
          <w:color w:val="000000"/>
          <w:sz w:val="22"/>
        </w:rPr>
        <w:t xml:space="preserve"> </w:t>
      </w:r>
      <w:r w:rsidR="00161592" w:rsidRPr="00111101">
        <w:rPr>
          <w:rStyle w:val="normaltextrun"/>
          <w:rFonts w:ascii="Arial" w:hAnsi="Arial" w:cs="Arial"/>
          <w:color w:val="000000"/>
          <w:sz w:val="22"/>
        </w:rPr>
        <w:t>exigencia</w:t>
      </w:r>
      <w:r w:rsidR="00D32DAB" w:rsidRPr="00111101">
        <w:rPr>
          <w:rStyle w:val="normaltextrun"/>
          <w:rFonts w:ascii="Arial" w:hAnsi="Arial" w:cs="Arial"/>
          <w:color w:val="000000"/>
          <w:sz w:val="22"/>
        </w:rPr>
        <w:t xml:space="preserve"> es </w:t>
      </w:r>
      <w:r w:rsidR="00CA3340" w:rsidRPr="00111101">
        <w:rPr>
          <w:rStyle w:val="normaltextrun"/>
          <w:rFonts w:ascii="Arial" w:hAnsi="Arial" w:cs="Arial"/>
          <w:color w:val="000000"/>
          <w:sz w:val="22"/>
        </w:rPr>
        <w:t xml:space="preserve">importante mencionar que por regla general un contrato estatal debe estar amparado </w:t>
      </w:r>
      <w:r w:rsidR="00161592" w:rsidRPr="00111101">
        <w:rPr>
          <w:rStyle w:val="normaltextrun"/>
          <w:rFonts w:ascii="Arial" w:hAnsi="Arial" w:cs="Arial"/>
          <w:color w:val="000000"/>
          <w:sz w:val="22"/>
        </w:rPr>
        <w:t>mediante</w:t>
      </w:r>
      <w:r w:rsidR="00CA3340" w:rsidRPr="00111101">
        <w:rPr>
          <w:rStyle w:val="normaltextrun"/>
          <w:rFonts w:ascii="Arial" w:hAnsi="Arial" w:cs="Arial"/>
          <w:color w:val="000000"/>
          <w:sz w:val="22"/>
        </w:rPr>
        <w:t xml:space="preserve"> una </w:t>
      </w:r>
      <w:r w:rsidR="00536C51" w:rsidRPr="00111101">
        <w:rPr>
          <w:rStyle w:val="normaltextrun"/>
          <w:rFonts w:ascii="Arial" w:hAnsi="Arial" w:cs="Arial"/>
          <w:color w:val="000000"/>
          <w:sz w:val="22"/>
        </w:rPr>
        <w:t>sola garantía</w:t>
      </w:r>
      <w:r w:rsidR="00161592" w:rsidRPr="00111101">
        <w:rPr>
          <w:rStyle w:val="normaltextrun"/>
          <w:rFonts w:ascii="Arial" w:hAnsi="Arial" w:cs="Arial"/>
          <w:color w:val="000000"/>
          <w:sz w:val="22"/>
        </w:rPr>
        <w:t>, sin perjuicio de algunas excepciones, como la que se deriva de la norma analizada</w:t>
      </w:r>
      <w:r w:rsidR="00536C51" w:rsidRPr="00111101">
        <w:rPr>
          <w:rStyle w:val="normaltextrun"/>
          <w:rFonts w:ascii="Arial" w:hAnsi="Arial" w:cs="Arial"/>
          <w:color w:val="000000"/>
          <w:sz w:val="22"/>
        </w:rPr>
        <w:t xml:space="preserve">. </w:t>
      </w:r>
      <w:r w:rsidR="00161592" w:rsidRPr="00111101">
        <w:rPr>
          <w:rStyle w:val="normaltextrun"/>
          <w:rFonts w:ascii="Arial" w:hAnsi="Arial" w:cs="Arial"/>
          <w:color w:val="000000"/>
          <w:sz w:val="22"/>
        </w:rPr>
        <w:t>En efecto</w:t>
      </w:r>
      <w:r w:rsidR="00536C51" w:rsidRPr="00111101">
        <w:rPr>
          <w:rStyle w:val="normaltextrun"/>
          <w:rFonts w:ascii="Arial" w:hAnsi="Arial" w:cs="Arial"/>
          <w:color w:val="000000"/>
          <w:sz w:val="22"/>
        </w:rPr>
        <w:t>, en los contratos cuyo plazo de ejecución sea mayor a cinco (5) años se podrá dividir la garantía</w:t>
      </w:r>
      <w:r w:rsidR="00D02CF7" w:rsidRPr="00111101">
        <w:rPr>
          <w:rStyle w:val="normaltextrun"/>
          <w:rFonts w:ascii="Arial" w:hAnsi="Arial" w:cs="Arial"/>
          <w:color w:val="000000"/>
          <w:sz w:val="22"/>
        </w:rPr>
        <w:t xml:space="preserve">, tal como </w:t>
      </w:r>
      <w:r w:rsidR="005F4C9D" w:rsidRPr="00111101">
        <w:rPr>
          <w:rStyle w:val="normaltextrun"/>
          <w:rFonts w:ascii="Arial" w:hAnsi="Arial" w:cs="Arial"/>
          <w:color w:val="000000"/>
          <w:sz w:val="22"/>
        </w:rPr>
        <w:t xml:space="preserve">lo </w:t>
      </w:r>
      <w:r w:rsidR="00D32DAB" w:rsidRPr="00111101">
        <w:rPr>
          <w:rStyle w:val="normaltextrun"/>
          <w:rFonts w:ascii="Arial" w:hAnsi="Arial" w:cs="Arial"/>
          <w:color w:val="000000"/>
          <w:sz w:val="22"/>
        </w:rPr>
        <w:t xml:space="preserve">prevé el Decreto 1082 de 2015: </w:t>
      </w:r>
      <w:r w:rsidR="00DB0458" w:rsidRPr="00111101">
        <w:rPr>
          <w:rStyle w:val="normaltextrun"/>
          <w:rFonts w:ascii="Arial" w:hAnsi="Arial" w:cs="Arial"/>
          <w:color w:val="000000"/>
          <w:sz w:val="22"/>
        </w:rPr>
        <w:t>«</w:t>
      </w:r>
      <w:r w:rsidR="006D545D" w:rsidRPr="00111101">
        <w:rPr>
          <w:rStyle w:val="normaltextrun"/>
          <w:rFonts w:ascii="Arial" w:hAnsi="Arial" w:cs="Arial"/>
          <w:color w:val="000000"/>
          <w:sz w:val="22"/>
        </w:rPr>
        <w:t>La garantía de cobertura del Riesgo es indivisible. Sin embargo, en los contratos con un plazo mayor a cinco (5) años las garantías pueden cubrir los Riesgos de la Etapa del Contrato o del Periodo Contractual, de acuerdo con lo previsto en el contrato</w:t>
      </w:r>
      <w:r w:rsidR="00DB0458" w:rsidRPr="00111101">
        <w:rPr>
          <w:rStyle w:val="normaltextrun"/>
          <w:rFonts w:ascii="Arial" w:hAnsi="Arial" w:cs="Arial"/>
          <w:color w:val="000000"/>
          <w:sz w:val="22"/>
        </w:rPr>
        <w:t>»</w:t>
      </w:r>
      <w:r w:rsidR="006D545D" w:rsidRPr="00111101">
        <w:rPr>
          <w:rStyle w:val="normaltextrun"/>
          <w:rFonts w:ascii="Arial" w:hAnsi="Arial" w:cs="Arial"/>
          <w:color w:val="000000"/>
          <w:sz w:val="22"/>
        </w:rPr>
        <w:t>.</w:t>
      </w:r>
      <w:r w:rsidR="00871EDB" w:rsidRPr="00111101">
        <w:rPr>
          <w:rStyle w:val="normaltextrun"/>
          <w:rFonts w:ascii="Arial" w:hAnsi="Arial" w:cs="Arial"/>
          <w:color w:val="000000"/>
          <w:sz w:val="22"/>
        </w:rPr>
        <w:t xml:space="preserve"> </w:t>
      </w:r>
    </w:p>
    <w:p w14:paraId="0E3F025D" w14:textId="45EC1AA8" w:rsidR="004D6D6E" w:rsidRPr="00111101" w:rsidRDefault="004955EB" w:rsidP="00DD303A">
      <w:pPr>
        <w:spacing w:before="120" w:line="276" w:lineRule="auto"/>
        <w:ind w:firstLine="705"/>
        <w:jc w:val="both"/>
        <w:rPr>
          <w:rStyle w:val="normaltextrun"/>
          <w:rFonts w:ascii="Arial" w:hAnsi="Arial" w:cs="Arial"/>
          <w:color w:val="000000"/>
          <w:sz w:val="22"/>
        </w:rPr>
      </w:pPr>
      <w:r w:rsidRPr="00111101">
        <w:rPr>
          <w:rStyle w:val="normaltextrun"/>
          <w:rFonts w:ascii="Arial" w:hAnsi="Arial" w:cs="Arial"/>
          <w:color w:val="000000"/>
          <w:sz w:val="22"/>
        </w:rPr>
        <w:t>A</w:t>
      </w:r>
      <w:r w:rsidR="00DE378A" w:rsidRPr="00111101">
        <w:rPr>
          <w:rStyle w:val="normaltextrun"/>
          <w:rFonts w:ascii="Arial" w:hAnsi="Arial" w:cs="Arial"/>
          <w:color w:val="000000"/>
          <w:sz w:val="22"/>
        </w:rPr>
        <w:t xml:space="preserve">hora bien, el </w:t>
      </w:r>
      <w:r w:rsidR="00993C9E" w:rsidRPr="00111101">
        <w:rPr>
          <w:rStyle w:val="normaltextrun"/>
          <w:rFonts w:ascii="Arial" w:hAnsi="Arial" w:cs="Arial"/>
          <w:color w:val="000000"/>
          <w:sz w:val="22"/>
        </w:rPr>
        <w:t xml:space="preserve">artículo </w:t>
      </w:r>
      <w:r w:rsidR="00630043" w:rsidRPr="00111101">
        <w:rPr>
          <w:rStyle w:val="normaltextrun"/>
          <w:rFonts w:ascii="Arial" w:hAnsi="Arial" w:cs="Arial"/>
          <w:color w:val="000000"/>
          <w:sz w:val="22"/>
        </w:rPr>
        <w:t xml:space="preserve">2.2.1.2.3.1.3 del </w:t>
      </w:r>
      <w:r w:rsidR="00DE378A" w:rsidRPr="00111101">
        <w:rPr>
          <w:rStyle w:val="normaltextrun"/>
          <w:rFonts w:ascii="Arial" w:hAnsi="Arial" w:cs="Arial"/>
          <w:color w:val="000000"/>
          <w:sz w:val="22"/>
        </w:rPr>
        <w:t xml:space="preserve">Decreto 1082 de 2015 </w:t>
      </w:r>
      <w:r w:rsidR="00C31DA0" w:rsidRPr="00111101">
        <w:rPr>
          <w:rStyle w:val="normaltextrun"/>
          <w:rFonts w:ascii="Arial" w:hAnsi="Arial" w:cs="Arial"/>
          <w:color w:val="000000"/>
          <w:sz w:val="22"/>
        </w:rPr>
        <w:t>establece</w:t>
      </w:r>
      <w:r w:rsidR="004D6D6E" w:rsidRPr="00111101">
        <w:rPr>
          <w:rStyle w:val="normaltextrun"/>
          <w:rFonts w:ascii="Arial" w:hAnsi="Arial" w:cs="Arial"/>
          <w:color w:val="000000"/>
          <w:sz w:val="22"/>
        </w:rPr>
        <w:t xml:space="preserve"> que</w:t>
      </w:r>
      <w:r w:rsidR="00FB2E02" w:rsidRPr="00111101">
        <w:rPr>
          <w:rStyle w:val="normaltextrun"/>
          <w:rFonts w:ascii="Arial" w:hAnsi="Arial" w:cs="Arial"/>
          <w:color w:val="000000"/>
          <w:sz w:val="22"/>
        </w:rPr>
        <w:t xml:space="preserve"> la entidad estatal</w:t>
      </w:r>
      <w:r w:rsidR="00EC137A" w:rsidRPr="00111101">
        <w:rPr>
          <w:rStyle w:val="normaltextrun"/>
          <w:rFonts w:ascii="Arial" w:hAnsi="Arial" w:cs="Arial"/>
          <w:color w:val="000000"/>
          <w:sz w:val="22"/>
        </w:rPr>
        <w:t xml:space="preserve"> en el pliego de condiciones debe indicar las garantías que exige en cada </w:t>
      </w:r>
      <w:r w:rsidR="00F4447D" w:rsidRPr="00111101">
        <w:rPr>
          <w:rStyle w:val="normaltextrun"/>
          <w:rFonts w:ascii="Arial" w:hAnsi="Arial" w:cs="Arial"/>
          <w:color w:val="000000"/>
          <w:sz w:val="22"/>
        </w:rPr>
        <w:t>e</w:t>
      </w:r>
      <w:r w:rsidR="00EC137A" w:rsidRPr="00111101">
        <w:rPr>
          <w:rStyle w:val="normaltextrun"/>
          <w:rFonts w:ascii="Arial" w:hAnsi="Arial" w:cs="Arial"/>
          <w:color w:val="000000"/>
          <w:sz w:val="22"/>
        </w:rPr>
        <w:t xml:space="preserve">tapa del </w:t>
      </w:r>
      <w:r w:rsidR="00F4447D" w:rsidRPr="00111101">
        <w:rPr>
          <w:rStyle w:val="normaltextrun"/>
          <w:rFonts w:ascii="Arial" w:hAnsi="Arial" w:cs="Arial"/>
          <w:color w:val="000000"/>
          <w:sz w:val="22"/>
        </w:rPr>
        <w:t>c</w:t>
      </w:r>
      <w:r w:rsidR="00EC137A" w:rsidRPr="00111101">
        <w:rPr>
          <w:rStyle w:val="normaltextrun"/>
          <w:rFonts w:ascii="Arial" w:hAnsi="Arial" w:cs="Arial"/>
          <w:color w:val="000000"/>
          <w:sz w:val="22"/>
        </w:rPr>
        <w:t>ontrato</w:t>
      </w:r>
      <w:r w:rsidR="004D6D6E" w:rsidRPr="00111101">
        <w:rPr>
          <w:rStyle w:val="normaltextrun"/>
          <w:rFonts w:ascii="Arial" w:hAnsi="Arial" w:cs="Arial"/>
          <w:color w:val="000000"/>
          <w:sz w:val="22"/>
        </w:rPr>
        <w:t xml:space="preserve"> o </w:t>
      </w:r>
      <w:r w:rsidR="00B02832" w:rsidRPr="00111101">
        <w:rPr>
          <w:rStyle w:val="normaltextrun"/>
          <w:rFonts w:ascii="Arial" w:hAnsi="Arial" w:cs="Arial"/>
          <w:color w:val="000000"/>
          <w:sz w:val="22"/>
        </w:rPr>
        <w:t>p</w:t>
      </w:r>
      <w:r w:rsidR="004D6D6E" w:rsidRPr="00111101">
        <w:rPr>
          <w:rStyle w:val="normaltextrun"/>
          <w:rFonts w:ascii="Arial" w:hAnsi="Arial" w:cs="Arial"/>
          <w:color w:val="000000"/>
          <w:sz w:val="22"/>
        </w:rPr>
        <w:t xml:space="preserve">eriodo </w:t>
      </w:r>
      <w:r w:rsidR="00B02832" w:rsidRPr="00111101">
        <w:rPr>
          <w:rStyle w:val="normaltextrun"/>
          <w:rFonts w:ascii="Arial" w:hAnsi="Arial" w:cs="Arial"/>
          <w:color w:val="000000"/>
          <w:sz w:val="22"/>
        </w:rPr>
        <w:t>c</w:t>
      </w:r>
      <w:r w:rsidR="004D6D6E" w:rsidRPr="00111101">
        <w:rPr>
          <w:rStyle w:val="normaltextrun"/>
          <w:rFonts w:ascii="Arial" w:hAnsi="Arial" w:cs="Arial"/>
          <w:color w:val="000000"/>
          <w:sz w:val="22"/>
        </w:rPr>
        <w:t>ontractual</w:t>
      </w:r>
      <w:r w:rsidR="00EC137A" w:rsidRPr="00111101">
        <w:rPr>
          <w:rStyle w:val="normaltextrun"/>
          <w:rFonts w:ascii="Arial" w:hAnsi="Arial" w:cs="Arial"/>
          <w:color w:val="000000"/>
          <w:sz w:val="22"/>
        </w:rPr>
        <w:t xml:space="preserve">, de acuerdo con </w:t>
      </w:r>
      <w:r w:rsidR="00867998" w:rsidRPr="00111101">
        <w:rPr>
          <w:rStyle w:val="normaltextrun"/>
          <w:rFonts w:ascii="Arial" w:hAnsi="Arial" w:cs="Arial"/>
          <w:color w:val="000000"/>
          <w:sz w:val="22"/>
        </w:rPr>
        <w:t>las siguientes reglas</w:t>
      </w:r>
      <w:r w:rsidR="001C598A" w:rsidRPr="00111101">
        <w:rPr>
          <w:rStyle w:val="Refdenotaalpie"/>
          <w:rFonts w:ascii="Arial" w:hAnsi="Arial" w:cs="Arial"/>
          <w:color w:val="000000"/>
          <w:sz w:val="22"/>
        </w:rPr>
        <w:footnoteReference w:id="4"/>
      </w:r>
      <w:r w:rsidR="00867998" w:rsidRPr="00111101">
        <w:rPr>
          <w:rStyle w:val="normaltextrun"/>
          <w:rFonts w:ascii="Arial" w:hAnsi="Arial" w:cs="Arial"/>
          <w:color w:val="000000"/>
          <w:sz w:val="22"/>
        </w:rPr>
        <w:t xml:space="preserve">: </w:t>
      </w:r>
    </w:p>
    <w:p w14:paraId="733CFECF" w14:textId="7B05C741" w:rsidR="00B2101E" w:rsidRPr="00111101" w:rsidRDefault="00867998" w:rsidP="00DD303A">
      <w:pPr>
        <w:spacing w:before="120" w:line="276" w:lineRule="auto"/>
        <w:ind w:firstLine="705"/>
        <w:jc w:val="both"/>
        <w:rPr>
          <w:rStyle w:val="normaltextrun"/>
          <w:rFonts w:ascii="Arial" w:hAnsi="Arial" w:cs="Arial"/>
          <w:color w:val="000000"/>
          <w:sz w:val="22"/>
        </w:rPr>
      </w:pPr>
      <w:r w:rsidRPr="00111101">
        <w:rPr>
          <w:rStyle w:val="normaltextrun"/>
          <w:rFonts w:ascii="Arial" w:hAnsi="Arial" w:cs="Arial"/>
          <w:color w:val="000000"/>
          <w:sz w:val="22"/>
        </w:rPr>
        <w:t xml:space="preserve">i) </w:t>
      </w:r>
      <w:r w:rsidR="00B2101E" w:rsidRPr="00111101">
        <w:rPr>
          <w:rStyle w:val="normaltextrun"/>
          <w:rFonts w:ascii="Arial" w:hAnsi="Arial" w:cs="Arial"/>
          <w:color w:val="000000"/>
          <w:sz w:val="22"/>
        </w:rPr>
        <w:t>L</w:t>
      </w:r>
      <w:r w:rsidRPr="00111101">
        <w:rPr>
          <w:rStyle w:val="normaltextrun"/>
          <w:rFonts w:ascii="Arial" w:hAnsi="Arial" w:cs="Arial"/>
          <w:color w:val="000000"/>
          <w:sz w:val="22"/>
        </w:rPr>
        <w:t xml:space="preserve">a </w:t>
      </w:r>
      <w:r w:rsidR="00F4447D" w:rsidRPr="00111101">
        <w:rPr>
          <w:rStyle w:val="normaltextrun"/>
          <w:rFonts w:ascii="Arial" w:hAnsi="Arial" w:cs="Arial"/>
          <w:color w:val="000000"/>
          <w:sz w:val="22"/>
        </w:rPr>
        <w:t>e</w:t>
      </w:r>
      <w:r w:rsidRPr="00111101">
        <w:rPr>
          <w:rStyle w:val="normaltextrun"/>
          <w:rFonts w:ascii="Arial" w:hAnsi="Arial" w:cs="Arial"/>
          <w:color w:val="000000"/>
          <w:sz w:val="22"/>
        </w:rPr>
        <w:t>ntidad</w:t>
      </w:r>
      <w:r w:rsidR="00B2101E" w:rsidRPr="00111101">
        <w:rPr>
          <w:rStyle w:val="normaltextrun"/>
          <w:rFonts w:ascii="Arial" w:hAnsi="Arial" w:cs="Arial"/>
          <w:color w:val="000000"/>
          <w:sz w:val="22"/>
        </w:rPr>
        <w:t xml:space="preserve"> estatal</w:t>
      </w:r>
      <w:r w:rsidRPr="00111101">
        <w:rPr>
          <w:rStyle w:val="normaltextrun"/>
          <w:rFonts w:ascii="Arial" w:hAnsi="Arial" w:cs="Arial"/>
          <w:color w:val="000000"/>
          <w:sz w:val="22"/>
        </w:rPr>
        <w:t xml:space="preserve"> solicitará una garantía independiente para cada etapa del contrato o cada periodo contractua</w:t>
      </w:r>
      <w:r w:rsidR="00FB2E02" w:rsidRPr="00111101">
        <w:rPr>
          <w:rStyle w:val="normaltextrun"/>
          <w:rFonts w:ascii="Arial" w:hAnsi="Arial" w:cs="Arial"/>
          <w:color w:val="000000"/>
          <w:sz w:val="22"/>
        </w:rPr>
        <w:t>l</w:t>
      </w:r>
      <w:r w:rsidR="004D6D6E" w:rsidRPr="00111101">
        <w:rPr>
          <w:rStyle w:val="normaltextrun"/>
          <w:rFonts w:ascii="Arial" w:hAnsi="Arial" w:cs="Arial"/>
          <w:color w:val="000000"/>
          <w:sz w:val="22"/>
        </w:rPr>
        <w:t xml:space="preserve"> o cada unidad funcional </w:t>
      </w:r>
      <w:r w:rsidR="003B42D8" w:rsidRPr="00111101">
        <w:rPr>
          <w:rStyle w:val="normaltextrun"/>
          <w:rFonts w:ascii="Arial" w:hAnsi="Arial" w:cs="Arial"/>
          <w:color w:val="000000"/>
          <w:sz w:val="22"/>
        </w:rPr>
        <w:t xml:space="preserve">en el caso de las Asociaciones </w:t>
      </w:r>
      <w:r w:rsidR="00F4447D" w:rsidRPr="00111101">
        <w:rPr>
          <w:rStyle w:val="normaltextrun"/>
          <w:rFonts w:ascii="Arial" w:hAnsi="Arial" w:cs="Arial"/>
          <w:color w:val="000000"/>
          <w:sz w:val="22"/>
        </w:rPr>
        <w:t>Público-Privadas</w:t>
      </w:r>
      <w:r w:rsidR="00A47B35" w:rsidRPr="00111101">
        <w:rPr>
          <w:rStyle w:val="normaltextrun"/>
          <w:rFonts w:ascii="Arial" w:hAnsi="Arial" w:cs="Arial"/>
          <w:color w:val="000000"/>
          <w:sz w:val="22"/>
        </w:rPr>
        <w:t>,</w:t>
      </w:r>
      <w:r w:rsidR="003D26C8" w:rsidRPr="00111101">
        <w:rPr>
          <w:rStyle w:val="normaltextrun"/>
          <w:rFonts w:ascii="Arial" w:hAnsi="Arial" w:cs="Arial"/>
          <w:color w:val="000000"/>
          <w:sz w:val="22"/>
        </w:rPr>
        <w:t xml:space="preserve"> cuya vigencia debe ser por lo menos la misma establecida para la </w:t>
      </w:r>
      <w:r w:rsidR="00B02832" w:rsidRPr="00111101">
        <w:rPr>
          <w:rStyle w:val="normaltextrun"/>
          <w:rFonts w:ascii="Arial" w:hAnsi="Arial" w:cs="Arial"/>
          <w:color w:val="000000"/>
          <w:sz w:val="22"/>
        </w:rPr>
        <w:t>e</w:t>
      </w:r>
      <w:r w:rsidR="003D26C8" w:rsidRPr="00111101">
        <w:rPr>
          <w:rStyle w:val="normaltextrun"/>
          <w:rFonts w:ascii="Arial" w:hAnsi="Arial" w:cs="Arial"/>
          <w:color w:val="000000"/>
          <w:sz w:val="22"/>
        </w:rPr>
        <w:t xml:space="preserve">tapa del </w:t>
      </w:r>
      <w:r w:rsidR="00B02832" w:rsidRPr="00111101">
        <w:rPr>
          <w:rStyle w:val="normaltextrun"/>
          <w:rFonts w:ascii="Arial" w:hAnsi="Arial" w:cs="Arial"/>
          <w:color w:val="000000"/>
          <w:sz w:val="22"/>
        </w:rPr>
        <w:t>c</w:t>
      </w:r>
      <w:r w:rsidR="003D26C8" w:rsidRPr="00111101">
        <w:rPr>
          <w:rStyle w:val="normaltextrun"/>
          <w:rFonts w:ascii="Arial" w:hAnsi="Arial" w:cs="Arial"/>
          <w:color w:val="000000"/>
          <w:sz w:val="22"/>
        </w:rPr>
        <w:t xml:space="preserve">ontrato o </w:t>
      </w:r>
      <w:r w:rsidR="00B02832" w:rsidRPr="00111101">
        <w:rPr>
          <w:rStyle w:val="normaltextrun"/>
          <w:rFonts w:ascii="Arial" w:hAnsi="Arial" w:cs="Arial"/>
          <w:color w:val="000000"/>
          <w:sz w:val="22"/>
        </w:rPr>
        <w:t>p</w:t>
      </w:r>
      <w:r w:rsidR="003D26C8" w:rsidRPr="00111101">
        <w:rPr>
          <w:rStyle w:val="normaltextrun"/>
          <w:rFonts w:ascii="Arial" w:hAnsi="Arial" w:cs="Arial"/>
          <w:color w:val="000000"/>
          <w:sz w:val="22"/>
        </w:rPr>
        <w:t xml:space="preserve">eriodo </w:t>
      </w:r>
      <w:r w:rsidR="00B02832" w:rsidRPr="00111101">
        <w:rPr>
          <w:rStyle w:val="normaltextrun"/>
          <w:rFonts w:ascii="Arial" w:hAnsi="Arial" w:cs="Arial"/>
          <w:color w:val="000000"/>
          <w:sz w:val="22"/>
        </w:rPr>
        <w:t>c</w:t>
      </w:r>
      <w:r w:rsidR="003D26C8" w:rsidRPr="00111101">
        <w:rPr>
          <w:rStyle w:val="normaltextrun"/>
          <w:rFonts w:ascii="Arial" w:hAnsi="Arial" w:cs="Arial"/>
          <w:color w:val="000000"/>
          <w:sz w:val="22"/>
        </w:rPr>
        <w:t xml:space="preserve">ontractual respectivo. </w:t>
      </w:r>
    </w:p>
    <w:p w14:paraId="6FE5E0C5" w14:textId="5E4B5875" w:rsidR="00FB2E02" w:rsidRPr="00111101" w:rsidRDefault="00B2101E" w:rsidP="00DD303A">
      <w:pPr>
        <w:spacing w:before="120" w:line="276" w:lineRule="auto"/>
        <w:ind w:firstLine="705"/>
        <w:jc w:val="both"/>
        <w:rPr>
          <w:rStyle w:val="normaltextrun"/>
          <w:rFonts w:ascii="Arial" w:hAnsi="Arial" w:cs="Arial"/>
          <w:color w:val="000000"/>
          <w:sz w:val="22"/>
        </w:rPr>
      </w:pPr>
      <w:r w:rsidRPr="00111101">
        <w:rPr>
          <w:rStyle w:val="normaltextrun"/>
          <w:rFonts w:ascii="Arial" w:hAnsi="Arial" w:cs="Arial"/>
          <w:color w:val="000000"/>
          <w:sz w:val="22"/>
        </w:rPr>
        <w:t xml:space="preserve">ii) </w:t>
      </w:r>
      <w:r w:rsidR="00F4447D" w:rsidRPr="00111101">
        <w:rPr>
          <w:rStyle w:val="normaltextrun"/>
          <w:rFonts w:ascii="Arial" w:hAnsi="Arial" w:cs="Arial"/>
          <w:color w:val="000000"/>
          <w:sz w:val="22"/>
        </w:rPr>
        <w:t xml:space="preserve"> </w:t>
      </w:r>
      <w:r w:rsidRPr="00111101">
        <w:rPr>
          <w:rStyle w:val="normaltextrun"/>
          <w:rFonts w:ascii="Arial" w:hAnsi="Arial" w:cs="Arial"/>
          <w:color w:val="000000"/>
          <w:sz w:val="22"/>
        </w:rPr>
        <w:t xml:space="preserve">La </w:t>
      </w:r>
      <w:r w:rsidR="00CF0BA5" w:rsidRPr="00111101">
        <w:rPr>
          <w:rStyle w:val="normaltextrun"/>
          <w:rFonts w:ascii="Arial" w:hAnsi="Arial" w:cs="Arial"/>
          <w:color w:val="000000"/>
          <w:sz w:val="22"/>
        </w:rPr>
        <w:t xml:space="preserve">entidad calculará el valor asegurado para cada etapa del contrato, periodo contractual o unidad funcional, tomando el valor de las obligaciones del contratista para cada etapa del contrato, periodo contractual o unidad funcional y de acuerdo con las </w:t>
      </w:r>
      <w:r w:rsidR="00797BF7" w:rsidRPr="00111101">
        <w:rPr>
          <w:rStyle w:val="normaltextrun"/>
          <w:rFonts w:ascii="Arial" w:hAnsi="Arial" w:cs="Arial"/>
          <w:color w:val="000000"/>
          <w:sz w:val="22"/>
        </w:rPr>
        <w:t>reglas de suficiencia</w:t>
      </w:r>
      <w:r w:rsidR="00161592" w:rsidRPr="00111101">
        <w:rPr>
          <w:rStyle w:val="normaltextrun"/>
          <w:rFonts w:ascii="Arial" w:hAnsi="Arial" w:cs="Arial"/>
          <w:color w:val="000000"/>
          <w:sz w:val="22"/>
        </w:rPr>
        <w:t xml:space="preserve"> que establece el Decreto 1082 de 2015 frente a los diferentes amparos de las garantías.</w:t>
      </w:r>
      <w:r w:rsidR="00797BF7" w:rsidRPr="00111101">
        <w:rPr>
          <w:rStyle w:val="normaltextrun"/>
          <w:rFonts w:ascii="Arial" w:hAnsi="Arial" w:cs="Arial"/>
          <w:color w:val="000000"/>
          <w:sz w:val="22"/>
        </w:rPr>
        <w:t xml:space="preserve"> </w:t>
      </w:r>
    </w:p>
    <w:p w14:paraId="1B71AAD0" w14:textId="414F1AC9" w:rsidR="001806D8" w:rsidRPr="00111101" w:rsidRDefault="001806D8" w:rsidP="00DD303A">
      <w:pPr>
        <w:spacing w:before="120" w:line="276" w:lineRule="auto"/>
        <w:ind w:firstLine="705"/>
        <w:jc w:val="both"/>
        <w:rPr>
          <w:rStyle w:val="normaltextrun"/>
          <w:rFonts w:ascii="Arial" w:hAnsi="Arial" w:cs="Arial"/>
          <w:color w:val="000000"/>
          <w:sz w:val="22"/>
        </w:rPr>
      </w:pPr>
      <w:r w:rsidRPr="00111101">
        <w:rPr>
          <w:rStyle w:val="normaltextrun"/>
          <w:rFonts w:ascii="Arial" w:hAnsi="Arial" w:cs="Arial"/>
          <w:color w:val="000000"/>
          <w:sz w:val="22"/>
        </w:rPr>
        <w:t xml:space="preserve">Conforme a lo anterior, si la entidad estatal </w:t>
      </w:r>
      <w:r w:rsidR="00817C8D" w:rsidRPr="00111101">
        <w:rPr>
          <w:rStyle w:val="normaltextrun"/>
          <w:rFonts w:ascii="Arial" w:hAnsi="Arial" w:cs="Arial"/>
          <w:color w:val="000000"/>
          <w:sz w:val="22"/>
        </w:rPr>
        <w:t>celebra un contrato</w:t>
      </w:r>
      <w:r w:rsidRPr="00111101">
        <w:rPr>
          <w:rStyle w:val="normaltextrun"/>
          <w:rFonts w:ascii="Arial" w:hAnsi="Arial" w:cs="Arial"/>
          <w:color w:val="000000"/>
          <w:sz w:val="22"/>
        </w:rPr>
        <w:t xml:space="preserve"> cuyo plazo de ejecución es mayor a cinco (5) años, </w:t>
      </w:r>
      <w:r w:rsidR="00161592" w:rsidRPr="00111101">
        <w:rPr>
          <w:rStyle w:val="normaltextrun"/>
          <w:rFonts w:ascii="Arial" w:hAnsi="Arial" w:cs="Arial"/>
          <w:color w:val="000000"/>
          <w:sz w:val="22"/>
        </w:rPr>
        <w:t xml:space="preserve">puede pactar en el contrato que las garantías cubran los riegos de cada </w:t>
      </w:r>
      <w:r w:rsidR="00161592" w:rsidRPr="00111101">
        <w:rPr>
          <w:rStyle w:val="normaltextrun"/>
          <w:rFonts w:ascii="Arial" w:hAnsi="Arial" w:cs="Arial"/>
          <w:i/>
          <w:iCs/>
          <w:color w:val="000000"/>
          <w:sz w:val="22"/>
        </w:rPr>
        <w:t>etapa del contrato</w:t>
      </w:r>
      <w:r w:rsidR="00161592" w:rsidRPr="00111101">
        <w:rPr>
          <w:rStyle w:val="normaltextrun"/>
          <w:rFonts w:ascii="Arial" w:hAnsi="Arial" w:cs="Arial"/>
          <w:color w:val="000000"/>
          <w:sz w:val="22"/>
        </w:rPr>
        <w:t xml:space="preserve">, </w:t>
      </w:r>
      <w:r w:rsidR="00161592" w:rsidRPr="00111101">
        <w:rPr>
          <w:rStyle w:val="normaltextrun"/>
          <w:rFonts w:ascii="Arial" w:hAnsi="Arial" w:cs="Arial"/>
          <w:i/>
          <w:iCs/>
          <w:color w:val="000000"/>
          <w:sz w:val="22"/>
        </w:rPr>
        <w:t xml:space="preserve">periodo contractual o unidad </w:t>
      </w:r>
      <w:r w:rsidR="00161592" w:rsidRPr="00111101">
        <w:rPr>
          <w:rStyle w:val="normaltextrun"/>
          <w:rFonts w:ascii="Arial" w:hAnsi="Arial" w:cs="Arial"/>
          <w:color w:val="000000"/>
          <w:sz w:val="22"/>
        </w:rPr>
        <w:t xml:space="preserve">funcional, caso </w:t>
      </w:r>
      <w:r w:rsidR="004A4F3D" w:rsidRPr="00111101">
        <w:rPr>
          <w:rStyle w:val="normaltextrun"/>
          <w:rFonts w:ascii="Arial" w:hAnsi="Arial" w:cs="Arial"/>
          <w:color w:val="000000"/>
          <w:sz w:val="22"/>
        </w:rPr>
        <w:t xml:space="preserve">en </w:t>
      </w:r>
      <w:r w:rsidR="00161592" w:rsidRPr="00111101">
        <w:rPr>
          <w:rStyle w:val="normaltextrun"/>
          <w:rFonts w:ascii="Arial" w:hAnsi="Arial" w:cs="Arial"/>
          <w:color w:val="000000"/>
          <w:sz w:val="22"/>
        </w:rPr>
        <w:t xml:space="preserve">el cual el </w:t>
      </w:r>
      <w:r w:rsidRPr="00111101">
        <w:rPr>
          <w:rStyle w:val="normaltextrun"/>
          <w:rFonts w:ascii="Arial" w:hAnsi="Arial" w:cs="Arial"/>
          <w:color w:val="000000"/>
          <w:sz w:val="22"/>
        </w:rPr>
        <w:t xml:space="preserve">pliego de condiciones </w:t>
      </w:r>
      <w:r w:rsidR="0035018E" w:rsidRPr="00111101">
        <w:rPr>
          <w:rStyle w:val="normaltextrun"/>
          <w:rFonts w:ascii="Arial" w:hAnsi="Arial" w:cs="Arial"/>
          <w:color w:val="000000"/>
          <w:sz w:val="22"/>
        </w:rPr>
        <w:t>regulará las garantías teniendo en cuenta lo siguiente</w:t>
      </w:r>
      <w:r w:rsidRPr="00111101">
        <w:rPr>
          <w:rStyle w:val="normaltextrun"/>
          <w:rFonts w:ascii="Arial" w:hAnsi="Arial" w:cs="Arial"/>
          <w:color w:val="000000"/>
          <w:sz w:val="22"/>
        </w:rPr>
        <w:t xml:space="preserve">: i) se identificará la garantía que ampara </w:t>
      </w:r>
      <w:r w:rsidR="00FF1A84" w:rsidRPr="00111101">
        <w:rPr>
          <w:rStyle w:val="normaltextrun"/>
          <w:rFonts w:ascii="Arial" w:hAnsi="Arial" w:cs="Arial"/>
          <w:color w:val="000000"/>
          <w:sz w:val="22"/>
        </w:rPr>
        <w:t xml:space="preserve">los riesgos para </w:t>
      </w:r>
      <w:r w:rsidRPr="00111101">
        <w:rPr>
          <w:rStyle w:val="normaltextrun"/>
          <w:rFonts w:ascii="Arial" w:hAnsi="Arial" w:cs="Arial"/>
          <w:color w:val="000000"/>
          <w:sz w:val="22"/>
        </w:rPr>
        <w:t>cada etapa del contrato o periodo contractual</w:t>
      </w:r>
      <w:r w:rsidR="00CF3128" w:rsidRPr="00111101">
        <w:rPr>
          <w:rStyle w:val="normaltextrun"/>
          <w:rFonts w:ascii="Arial" w:hAnsi="Arial" w:cs="Arial"/>
          <w:color w:val="000000"/>
          <w:sz w:val="22"/>
        </w:rPr>
        <w:t>, pero, además, la vigencia que rige para cada uno</w:t>
      </w:r>
      <w:r w:rsidR="00A754B0" w:rsidRPr="00111101">
        <w:rPr>
          <w:rStyle w:val="normaltextrun"/>
          <w:rFonts w:ascii="Arial" w:hAnsi="Arial" w:cs="Arial"/>
          <w:color w:val="000000"/>
          <w:sz w:val="22"/>
        </w:rPr>
        <w:t xml:space="preserve"> </w:t>
      </w:r>
      <w:r w:rsidR="0035018E" w:rsidRPr="00111101">
        <w:rPr>
          <w:rStyle w:val="normaltextrun"/>
          <w:rFonts w:ascii="Arial" w:hAnsi="Arial" w:cs="Arial"/>
          <w:color w:val="000000"/>
          <w:sz w:val="22"/>
        </w:rPr>
        <w:t>–</w:t>
      </w:r>
      <w:r w:rsidR="00A754B0" w:rsidRPr="00111101">
        <w:rPr>
          <w:rStyle w:val="normaltextrun"/>
          <w:rFonts w:ascii="Arial" w:hAnsi="Arial" w:cs="Arial"/>
          <w:color w:val="000000"/>
          <w:sz w:val="22"/>
        </w:rPr>
        <w:t xml:space="preserve">que en todo caso no puede ser menor al plazo </w:t>
      </w:r>
      <w:r w:rsidR="0077159D" w:rsidRPr="00111101">
        <w:rPr>
          <w:rStyle w:val="normaltextrun"/>
          <w:rFonts w:ascii="Arial" w:hAnsi="Arial" w:cs="Arial"/>
          <w:color w:val="000000"/>
          <w:sz w:val="22"/>
        </w:rPr>
        <w:t xml:space="preserve">de ejecución </w:t>
      </w:r>
      <w:r w:rsidR="00A754B0" w:rsidRPr="00111101">
        <w:rPr>
          <w:rStyle w:val="normaltextrun"/>
          <w:rFonts w:ascii="Arial" w:hAnsi="Arial" w:cs="Arial"/>
          <w:color w:val="000000"/>
          <w:sz w:val="22"/>
        </w:rPr>
        <w:t xml:space="preserve">definido para cada </w:t>
      </w:r>
      <w:r w:rsidR="00570259" w:rsidRPr="00111101">
        <w:rPr>
          <w:rStyle w:val="normaltextrun"/>
          <w:rFonts w:ascii="Arial" w:hAnsi="Arial" w:cs="Arial"/>
          <w:color w:val="000000"/>
          <w:sz w:val="22"/>
        </w:rPr>
        <w:t>etapa</w:t>
      </w:r>
      <w:r w:rsidR="00F12638" w:rsidRPr="00111101">
        <w:rPr>
          <w:rStyle w:val="normaltextrun"/>
          <w:rFonts w:ascii="Arial" w:hAnsi="Arial" w:cs="Arial"/>
          <w:color w:val="000000"/>
          <w:sz w:val="22"/>
        </w:rPr>
        <w:t xml:space="preserve"> del contrato</w:t>
      </w:r>
      <w:r w:rsidR="0035018E" w:rsidRPr="00111101">
        <w:rPr>
          <w:rStyle w:val="normaltextrun"/>
          <w:rFonts w:ascii="Arial" w:hAnsi="Arial" w:cs="Arial"/>
          <w:color w:val="000000"/>
          <w:sz w:val="22"/>
        </w:rPr>
        <w:t xml:space="preserve"> o periodo contractual–</w:t>
      </w:r>
      <w:r w:rsidR="00CF3128" w:rsidRPr="00111101">
        <w:rPr>
          <w:rStyle w:val="normaltextrun"/>
          <w:rFonts w:ascii="Arial" w:hAnsi="Arial" w:cs="Arial"/>
          <w:color w:val="000000"/>
          <w:sz w:val="22"/>
        </w:rPr>
        <w:lastRenderedPageBreak/>
        <w:t xml:space="preserve">, y ii) el </w:t>
      </w:r>
      <w:r w:rsidR="00136323" w:rsidRPr="00111101">
        <w:rPr>
          <w:rStyle w:val="normaltextrun"/>
          <w:rFonts w:ascii="Arial" w:hAnsi="Arial" w:cs="Arial"/>
          <w:color w:val="000000"/>
          <w:sz w:val="22"/>
        </w:rPr>
        <w:t xml:space="preserve">monto </w:t>
      </w:r>
      <w:r w:rsidR="00CF3128" w:rsidRPr="00111101">
        <w:rPr>
          <w:rStyle w:val="normaltextrun"/>
          <w:rFonts w:ascii="Arial" w:hAnsi="Arial" w:cs="Arial"/>
          <w:color w:val="000000"/>
          <w:sz w:val="22"/>
        </w:rPr>
        <w:t>de</w:t>
      </w:r>
      <w:r w:rsidR="0035018E" w:rsidRPr="00111101">
        <w:rPr>
          <w:rStyle w:val="normaltextrun"/>
          <w:rFonts w:ascii="Arial" w:hAnsi="Arial" w:cs="Arial"/>
          <w:color w:val="000000"/>
          <w:sz w:val="22"/>
        </w:rPr>
        <w:t xml:space="preserve"> </w:t>
      </w:r>
      <w:r w:rsidR="00CF3128" w:rsidRPr="00111101">
        <w:rPr>
          <w:rStyle w:val="normaltextrun"/>
          <w:rFonts w:ascii="Arial" w:hAnsi="Arial" w:cs="Arial"/>
          <w:color w:val="000000"/>
          <w:sz w:val="22"/>
        </w:rPr>
        <w:t>l</w:t>
      </w:r>
      <w:r w:rsidR="0035018E" w:rsidRPr="00111101">
        <w:rPr>
          <w:rStyle w:val="normaltextrun"/>
          <w:rFonts w:ascii="Arial" w:hAnsi="Arial" w:cs="Arial"/>
          <w:color w:val="000000"/>
          <w:sz w:val="22"/>
        </w:rPr>
        <w:t>os</w:t>
      </w:r>
      <w:r w:rsidR="00CF3128" w:rsidRPr="00111101">
        <w:rPr>
          <w:rStyle w:val="normaltextrun"/>
          <w:rFonts w:ascii="Arial" w:hAnsi="Arial" w:cs="Arial"/>
          <w:color w:val="000000"/>
          <w:sz w:val="22"/>
        </w:rPr>
        <w:t xml:space="preserve"> amparo</w:t>
      </w:r>
      <w:r w:rsidR="0035018E" w:rsidRPr="00111101">
        <w:rPr>
          <w:rStyle w:val="normaltextrun"/>
          <w:rFonts w:ascii="Arial" w:hAnsi="Arial" w:cs="Arial"/>
          <w:color w:val="000000"/>
          <w:sz w:val="22"/>
        </w:rPr>
        <w:t>s</w:t>
      </w:r>
      <w:r w:rsidR="00CF3128" w:rsidRPr="00111101">
        <w:rPr>
          <w:rStyle w:val="normaltextrun"/>
          <w:rFonts w:ascii="Arial" w:hAnsi="Arial" w:cs="Arial"/>
          <w:color w:val="000000"/>
          <w:sz w:val="22"/>
        </w:rPr>
        <w:t xml:space="preserve"> se ca</w:t>
      </w:r>
      <w:r w:rsidR="00570259" w:rsidRPr="00111101">
        <w:rPr>
          <w:rStyle w:val="normaltextrun"/>
          <w:rFonts w:ascii="Arial" w:hAnsi="Arial" w:cs="Arial"/>
          <w:color w:val="000000"/>
          <w:sz w:val="22"/>
        </w:rPr>
        <w:t xml:space="preserve">lculará tomando el valor de las obligaciones del contratista para cada etapa del contrato </w:t>
      </w:r>
      <w:r w:rsidR="00A650EB" w:rsidRPr="00111101">
        <w:rPr>
          <w:rStyle w:val="normaltextrun"/>
          <w:rFonts w:ascii="Arial" w:hAnsi="Arial" w:cs="Arial"/>
          <w:color w:val="000000"/>
          <w:sz w:val="22"/>
        </w:rPr>
        <w:t>o</w:t>
      </w:r>
      <w:r w:rsidR="00570259" w:rsidRPr="00111101">
        <w:rPr>
          <w:rStyle w:val="normaltextrun"/>
          <w:rFonts w:ascii="Arial" w:hAnsi="Arial" w:cs="Arial"/>
          <w:color w:val="000000"/>
          <w:sz w:val="22"/>
        </w:rPr>
        <w:t xml:space="preserve"> periodo contractual, y además, regirán las reglas de suficiencia </w:t>
      </w:r>
      <w:r w:rsidR="00A650EB" w:rsidRPr="00111101">
        <w:rPr>
          <w:rStyle w:val="normaltextrun"/>
          <w:rFonts w:ascii="Arial" w:hAnsi="Arial" w:cs="Arial"/>
          <w:color w:val="000000"/>
          <w:sz w:val="22"/>
        </w:rPr>
        <w:t>definidas en los artículos 2.2.1.2.3.1.9</w:t>
      </w:r>
      <w:r w:rsidR="00C364EB" w:rsidRPr="00111101">
        <w:rPr>
          <w:rStyle w:val="normaltextrun"/>
          <w:rFonts w:ascii="Arial" w:hAnsi="Arial" w:cs="Arial"/>
          <w:color w:val="000000"/>
          <w:sz w:val="22"/>
        </w:rPr>
        <w:t>.</w:t>
      </w:r>
      <w:r w:rsidR="00A650EB" w:rsidRPr="00111101">
        <w:rPr>
          <w:rStyle w:val="normaltextrun"/>
          <w:rFonts w:ascii="Arial" w:hAnsi="Arial" w:cs="Arial"/>
          <w:color w:val="000000"/>
          <w:sz w:val="22"/>
        </w:rPr>
        <w:t xml:space="preserve"> al 2.2.1.2.3.1.17</w:t>
      </w:r>
      <w:r w:rsidR="00C364EB" w:rsidRPr="00111101">
        <w:rPr>
          <w:rStyle w:val="normaltextrun"/>
          <w:rFonts w:ascii="Arial" w:hAnsi="Arial" w:cs="Arial"/>
          <w:color w:val="000000"/>
          <w:sz w:val="22"/>
        </w:rPr>
        <w:t>.</w:t>
      </w:r>
      <w:r w:rsidR="00A650EB" w:rsidRPr="00111101">
        <w:rPr>
          <w:rStyle w:val="normaltextrun"/>
          <w:rFonts w:ascii="Arial" w:hAnsi="Arial" w:cs="Arial"/>
          <w:color w:val="000000"/>
          <w:sz w:val="22"/>
        </w:rPr>
        <w:t xml:space="preserve"> del Decreto 1082 de 2015. </w:t>
      </w:r>
    </w:p>
    <w:p w14:paraId="4AE70226" w14:textId="79045E76" w:rsidR="001806D8" w:rsidRPr="00111101" w:rsidRDefault="002C50E7" w:rsidP="00DD303A">
      <w:pPr>
        <w:spacing w:before="120" w:line="276" w:lineRule="auto"/>
        <w:ind w:firstLine="705"/>
        <w:jc w:val="both"/>
        <w:rPr>
          <w:rStyle w:val="normaltextrun"/>
          <w:rFonts w:ascii="Arial" w:hAnsi="Arial" w:cs="Arial"/>
          <w:color w:val="000000"/>
          <w:sz w:val="22"/>
        </w:rPr>
      </w:pPr>
      <w:r w:rsidRPr="00111101">
        <w:rPr>
          <w:rStyle w:val="normaltextrun"/>
          <w:rFonts w:ascii="Arial" w:hAnsi="Arial" w:cs="Arial"/>
          <w:color w:val="000000"/>
          <w:sz w:val="22"/>
        </w:rPr>
        <w:t xml:space="preserve">Ahora bien, definidas las reglas para solicitar las garantías en el pliego de condiciones, </w:t>
      </w:r>
      <w:r w:rsidR="00B22345" w:rsidRPr="00111101">
        <w:rPr>
          <w:rStyle w:val="normaltextrun"/>
          <w:rFonts w:ascii="Arial" w:hAnsi="Arial" w:cs="Arial"/>
          <w:color w:val="000000"/>
          <w:sz w:val="22"/>
        </w:rPr>
        <w:t xml:space="preserve">surge el siguiente interrogante: </w:t>
      </w:r>
      <w:r w:rsidR="00F76150" w:rsidRPr="00111101">
        <w:rPr>
          <w:rStyle w:val="normaltextrun"/>
          <w:rFonts w:ascii="Arial" w:hAnsi="Arial" w:cs="Arial"/>
          <w:color w:val="000000"/>
          <w:sz w:val="22"/>
        </w:rPr>
        <w:t xml:space="preserve">¿cuáles obligaciones asume el contratista para amparar </w:t>
      </w:r>
      <w:r w:rsidR="00246BA0" w:rsidRPr="00111101">
        <w:rPr>
          <w:rStyle w:val="normaltextrun"/>
          <w:rFonts w:ascii="Arial" w:hAnsi="Arial" w:cs="Arial"/>
          <w:color w:val="000000"/>
          <w:sz w:val="22"/>
        </w:rPr>
        <w:t xml:space="preserve">los riesgos de cada etapa del contrato o periodo contractual? Atendiendo </w:t>
      </w:r>
      <w:r w:rsidR="001508DE" w:rsidRPr="00111101">
        <w:rPr>
          <w:rStyle w:val="normaltextrun"/>
          <w:rFonts w:ascii="Arial" w:hAnsi="Arial" w:cs="Arial"/>
          <w:color w:val="000000"/>
          <w:sz w:val="22"/>
        </w:rPr>
        <w:t xml:space="preserve">el mandato previsto en el artículo 2.2.1.2.3.1.3. del Decreto 1082 de 2015, antes del </w:t>
      </w:r>
      <w:r w:rsidR="00B65B4A" w:rsidRPr="00111101">
        <w:rPr>
          <w:rStyle w:val="normaltextrun"/>
          <w:rFonts w:ascii="Arial" w:hAnsi="Arial" w:cs="Arial"/>
          <w:color w:val="000000"/>
          <w:sz w:val="22"/>
        </w:rPr>
        <w:t>vencimiento de cada etapa del contrato o cada periodo contractual</w:t>
      </w:r>
      <w:r w:rsidR="0090068B" w:rsidRPr="00111101">
        <w:rPr>
          <w:rStyle w:val="normaltextrun"/>
          <w:rFonts w:ascii="Arial" w:hAnsi="Arial" w:cs="Arial"/>
          <w:color w:val="000000"/>
          <w:sz w:val="22"/>
        </w:rPr>
        <w:t xml:space="preserve">, el contratista está obligado a obtener una nueva garantía que ampare el </w:t>
      </w:r>
      <w:r w:rsidR="00FB47E1" w:rsidRPr="00111101">
        <w:rPr>
          <w:rStyle w:val="normaltextrun"/>
          <w:rFonts w:ascii="Arial" w:hAnsi="Arial" w:cs="Arial"/>
          <w:color w:val="000000"/>
          <w:sz w:val="22"/>
        </w:rPr>
        <w:t>cumplimiento de sus obligaciones para la etapa del contrato o periodo contractual</w:t>
      </w:r>
      <w:r w:rsidR="008E76E4" w:rsidRPr="00111101">
        <w:rPr>
          <w:rStyle w:val="normaltextrun"/>
          <w:rFonts w:ascii="Arial" w:hAnsi="Arial" w:cs="Arial"/>
          <w:color w:val="000000"/>
          <w:sz w:val="22"/>
        </w:rPr>
        <w:t xml:space="preserve"> siguiente</w:t>
      </w:r>
      <w:r w:rsidR="00742263" w:rsidRPr="00111101">
        <w:rPr>
          <w:rStyle w:val="Refdenotaalpie"/>
          <w:rFonts w:ascii="Arial" w:hAnsi="Arial" w:cs="Arial"/>
          <w:color w:val="000000"/>
          <w:sz w:val="22"/>
        </w:rPr>
        <w:footnoteReference w:id="5"/>
      </w:r>
      <w:r w:rsidR="00FB47E1" w:rsidRPr="00111101">
        <w:rPr>
          <w:rStyle w:val="normaltextrun"/>
          <w:rFonts w:ascii="Arial" w:hAnsi="Arial" w:cs="Arial"/>
          <w:color w:val="000000"/>
          <w:sz w:val="22"/>
        </w:rPr>
        <w:t xml:space="preserve">. Esto significa que antes del vencimiento de la etapa del </w:t>
      </w:r>
      <w:r w:rsidR="00C364EB" w:rsidRPr="00111101">
        <w:rPr>
          <w:rStyle w:val="normaltextrun"/>
          <w:rFonts w:ascii="Arial" w:hAnsi="Arial" w:cs="Arial"/>
          <w:color w:val="000000"/>
          <w:sz w:val="22"/>
        </w:rPr>
        <w:t xml:space="preserve">contrato </w:t>
      </w:r>
      <w:r w:rsidR="000F417B" w:rsidRPr="00111101">
        <w:rPr>
          <w:rStyle w:val="normaltextrun"/>
          <w:rFonts w:ascii="Arial" w:hAnsi="Arial" w:cs="Arial"/>
          <w:color w:val="000000"/>
          <w:sz w:val="22"/>
        </w:rPr>
        <w:t xml:space="preserve">que </w:t>
      </w:r>
      <w:r w:rsidR="001F5A98" w:rsidRPr="00111101">
        <w:rPr>
          <w:rStyle w:val="normaltextrun"/>
          <w:rFonts w:ascii="Arial" w:hAnsi="Arial" w:cs="Arial"/>
          <w:color w:val="000000"/>
          <w:sz w:val="22"/>
        </w:rPr>
        <w:t xml:space="preserve">se </w:t>
      </w:r>
      <w:r w:rsidR="005A1831" w:rsidRPr="00111101">
        <w:rPr>
          <w:rStyle w:val="normaltextrun"/>
          <w:rFonts w:ascii="Arial" w:hAnsi="Arial" w:cs="Arial"/>
          <w:color w:val="000000"/>
          <w:sz w:val="22"/>
        </w:rPr>
        <w:t>está</w:t>
      </w:r>
      <w:r w:rsidR="000F417B" w:rsidRPr="00111101">
        <w:rPr>
          <w:rStyle w:val="normaltextrun"/>
          <w:rFonts w:ascii="Arial" w:hAnsi="Arial" w:cs="Arial"/>
          <w:color w:val="000000"/>
          <w:sz w:val="22"/>
        </w:rPr>
        <w:t xml:space="preserve"> </w:t>
      </w:r>
      <w:r w:rsidR="001F5A98" w:rsidRPr="00111101">
        <w:rPr>
          <w:rStyle w:val="normaltextrun"/>
          <w:rFonts w:ascii="Arial" w:hAnsi="Arial" w:cs="Arial"/>
          <w:color w:val="000000"/>
          <w:sz w:val="22"/>
        </w:rPr>
        <w:t>ejecutando</w:t>
      </w:r>
      <w:r w:rsidR="00FB47E1" w:rsidRPr="00111101">
        <w:rPr>
          <w:rStyle w:val="normaltextrun"/>
          <w:rFonts w:ascii="Arial" w:hAnsi="Arial" w:cs="Arial"/>
          <w:color w:val="000000"/>
          <w:sz w:val="22"/>
        </w:rPr>
        <w:t>, el contratista deb</w:t>
      </w:r>
      <w:r w:rsidR="000F417B" w:rsidRPr="00111101">
        <w:rPr>
          <w:rStyle w:val="normaltextrun"/>
          <w:rFonts w:ascii="Arial" w:hAnsi="Arial" w:cs="Arial"/>
          <w:color w:val="000000"/>
          <w:sz w:val="22"/>
        </w:rPr>
        <w:t>e</w:t>
      </w:r>
      <w:r w:rsidR="00FB47E1" w:rsidRPr="00111101">
        <w:rPr>
          <w:rStyle w:val="normaltextrun"/>
          <w:rFonts w:ascii="Arial" w:hAnsi="Arial" w:cs="Arial"/>
          <w:color w:val="000000"/>
          <w:sz w:val="22"/>
        </w:rPr>
        <w:t xml:space="preserve"> </w:t>
      </w:r>
      <w:r w:rsidR="0035018E" w:rsidRPr="00111101">
        <w:rPr>
          <w:rStyle w:val="normaltextrun"/>
          <w:rFonts w:ascii="Arial" w:hAnsi="Arial" w:cs="Arial"/>
          <w:color w:val="000000"/>
          <w:sz w:val="22"/>
        </w:rPr>
        <w:t>contar con la nueva garantía</w:t>
      </w:r>
      <w:r w:rsidR="00FB47E1" w:rsidRPr="00111101">
        <w:rPr>
          <w:rStyle w:val="normaltextrun"/>
          <w:rFonts w:ascii="Arial" w:hAnsi="Arial" w:cs="Arial"/>
          <w:color w:val="000000"/>
          <w:sz w:val="22"/>
        </w:rPr>
        <w:t xml:space="preserve"> </w:t>
      </w:r>
      <w:r w:rsidR="00A9111D" w:rsidRPr="00111101">
        <w:rPr>
          <w:rStyle w:val="normaltextrun"/>
          <w:rFonts w:ascii="Arial" w:hAnsi="Arial" w:cs="Arial"/>
          <w:color w:val="000000"/>
          <w:sz w:val="22"/>
        </w:rPr>
        <w:t>para amparar los riesgos de la siguiente etapa.</w:t>
      </w:r>
    </w:p>
    <w:p w14:paraId="754D937E" w14:textId="53EF2720" w:rsidR="00C614EF" w:rsidRPr="00111101" w:rsidRDefault="00C63D6D" w:rsidP="008A0771">
      <w:pPr>
        <w:spacing w:before="120" w:line="276" w:lineRule="auto"/>
        <w:ind w:firstLine="705"/>
        <w:jc w:val="both"/>
        <w:rPr>
          <w:rStyle w:val="normaltextrun"/>
          <w:rFonts w:ascii="Arial" w:hAnsi="Arial" w:cs="Arial"/>
          <w:color w:val="000000"/>
          <w:sz w:val="22"/>
        </w:rPr>
      </w:pPr>
      <w:r w:rsidRPr="00111101">
        <w:rPr>
          <w:rStyle w:val="normaltextrun"/>
          <w:rFonts w:ascii="Arial" w:hAnsi="Arial" w:cs="Arial"/>
          <w:color w:val="000000"/>
          <w:sz w:val="22"/>
        </w:rPr>
        <w:t>Por su parte,</w:t>
      </w:r>
      <w:r w:rsidR="0096474F" w:rsidRPr="00111101">
        <w:rPr>
          <w:rStyle w:val="normaltextrun"/>
          <w:rFonts w:ascii="Arial" w:hAnsi="Arial" w:cs="Arial"/>
          <w:color w:val="000000"/>
          <w:sz w:val="22"/>
        </w:rPr>
        <w:t xml:space="preserve"> en caso </w:t>
      </w:r>
      <w:r w:rsidR="008A0771" w:rsidRPr="00111101">
        <w:rPr>
          <w:rStyle w:val="normaltextrun"/>
          <w:rFonts w:ascii="Arial" w:hAnsi="Arial" w:cs="Arial"/>
          <w:color w:val="000000"/>
          <w:sz w:val="22"/>
        </w:rPr>
        <w:t xml:space="preserve">de </w:t>
      </w:r>
      <w:r w:rsidR="0096474F" w:rsidRPr="00111101">
        <w:rPr>
          <w:rStyle w:val="normaltextrun"/>
          <w:rFonts w:ascii="Arial" w:hAnsi="Arial" w:cs="Arial"/>
          <w:color w:val="000000"/>
          <w:sz w:val="22"/>
        </w:rPr>
        <w:t xml:space="preserve">que </w:t>
      </w:r>
      <w:r w:rsidR="00F62C18" w:rsidRPr="00111101">
        <w:rPr>
          <w:rStyle w:val="normaltextrun"/>
          <w:rFonts w:ascii="Arial" w:hAnsi="Arial" w:cs="Arial"/>
          <w:color w:val="000000"/>
          <w:sz w:val="22"/>
        </w:rPr>
        <w:t xml:space="preserve">el contratista no </w:t>
      </w:r>
      <w:r w:rsidR="0035018E" w:rsidRPr="00111101">
        <w:rPr>
          <w:rStyle w:val="normaltextrun"/>
          <w:rFonts w:ascii="Arial" w:hAnsi="Arial" w:cs="Arial"/>
          <w:color w:val="000000"/>
          <w:sz w:val="22"/>
        </w:rPr>
        <w:t>cuente con la nueva garantía</w:t>
      </w:r>
      <w:r w:rsidR="008A0771" w:rsidRPr="00111101">
        <w:rPr>
          <w:rStyle w:val="normaltextrun"/>
          <w:rFonts w:ascii="Arial" w:hAnsi="Arial" w:cs="Arial"/>
          <w:color w:val="000000"/>
          <w:sz w:val="22"/>
        </w:rPr>
        <w:t xml:space="preserve"> antes del vencimiento de cada etapa </w:t>
      </w:r>
      <w:r w:rsidR="0035018E" w:rsidRPr="00111101">
        <w:rPr>
          <w:rStyle w:val="normaltextrun"/>
          <w:rFonts w:ascii="Arial" w:hAnsi="Arial" w:cs="Arial"/>
          <w:color w:val="000000"/>
          <w:sz w:val="22"/>
        </w:rPr>
        <w:t xml:space="preserve">o periodo </w:t>
      </w:r>
      <w:r w:rsidR="008A0771" w:rsidRPr="00111101">
        <w:rPr>
          <w:rStyle w:val="normaltextrun"/>
          <w:rFonts w:ascii="Arial" w:hAnsi="Arial" w:cs="Arial"/>
          <w:color w:val="000000"/>
          <w:sz w:val="22"/>
        </w:rPr>
        <w:t xml:space="preserve">contractual aplicarán </w:t>
      </w:r>
      <w:r w:rsidR="00231696" w:rsidRPr="00111101">
        <w:rPr>
          <w:rStyle w:val="normaltextrun"/>
          <w:rFonts w:ascii="Arial" w:hAnsi="Arial" w:cs="Arial"/>
          <w:color w:val="000000"/>
          <w:sz w:val="22"/>
        </w:rPr>
        <w:t xml:space="preserve">las reglas de restablecimiento de la garantía definidas en el artículo </w:t>
      </w:r>
      <w:r w:rsidR="00865B5B" w:rsidRPr="00111101">
        <w:rPr>
          <w:rStyle w:val="normaltextrun"/>
          <w:rFonts w:ascii="Arial" w:hAnsi="Arial" w:cs="Arial"/>
          <w:color w:val="000000"/>
          <w:sz w:val="22"/>
        </w:rPr>
        <w:t>2.2.1.2.3.1.18. del Decreto 1082 de 2015</w:t>
      </w:r>
      <w:r w:rsidR="008E2A52" w:rsidRPr="00111101">
        <w:rPr>
          <w:rStyle w:val="Refdenotaalpie"/>
          <w:rFonts w:ascii="Arial" w:hAnsi="Arial" w:cs="Arial"/>
          <w:color w:val="000000"/>
          <w:sz w:val="22"/>
        </w:rPr>
        <w:footnoteReference w:id="6"/>
      </w:r>
      <w:r w:rsidR="00865B5B" w:rsidRPr="00111101">
        <w:rPr>
          <w:rStyle w:val="normaltextrun"/>
          <w:rFonts w:ascii="Arial" w:hAnsi="Arial" w:cs="Arial"/>
          <w:color w:val="000000"/>
          <w:sz w:val="22"/>
        </w:rPr>
        <w:t>.</w:t>
      </w:r>
      <w:r w:rsidR="004706E1" w:rsidRPr="00111101">
        <w:rPr>
          <w:rStyle w:val="normaltextrun"/>
          <w:rFonts w:ascii="Arial" w:hAnsi="Arial" w:cs="Arial"/>
          <w:color w:val="000000"/>
          <w:sz w:val="22"/>
        </w:rPr>
        <w:t xml:space="preserve"> </w:t>
      </w:r>
      <w:r w:rsidR="008A0771" w:rsidRPr="00111101">
        <w:rPr>
          <w:rStyle w:val="normaltextrun"/>
          <w:rFonts w:ascii="Arial" w:hAnsi="Arial" w:cs="Arial"/>
          <w:color w:val="000000"/>
          <w:sz w:val="22"/>
        </w:rPr>
        <w:t>Es decir</w:t>
      </w:r>
      <w:r w:rsidR="000362E6" w:rsidRPr="00111101">
        <w:rPr>
          <w:rStyle w:val="normaltextrun"/>
          <w:rFonts w:ascii="Arial" w:hAnsi="Arial" w:cs="Arial"/>
          <w:color w:val="000000"/>
          <w:sz w:val="22"/>
        </w:rPr>
        <w:t xml:space="preserve"> que la entidad estatal debe prever</w:t>
      </w:r>
      <w:r w:rsidR="00136323" w:rsidRPr="00111101">
        <w:rPr>
          <w:rStyle w:val="normaltextrun"/>
          <w:rFonts w:ascii="Arial" w:hAnsi="Arial" w:cs="Arial"/>
          <w:color w:val="000000"/>
          <w:sz w:val="22"/>
        </w:rPr>
        <w:t>,</w:t>
      </w:r>
      <w:r w:rsidR="000362E6" w:rsidRPr="00111101">
        <w:rPr>
          <w:rStyle w:val="normaltextrun"/>
          <w:rFonts w:ascii="Arial" w:hAnsi="Arial" w:cs="Arial"/>
          <w:color w:val="000000"/>
          <w:sz w:val="22"/>
        </w:rPr>
        <w:t xml:space="preserve"> en el plie</w:t>
      </w:r>
      <w:r w:rsidR="0028419D" w:rsidRPr="00111101">
        <w:rPr>
          <w:rStyle w:val="normaltextrun"/>
          <w:rFonts w:ascii="Arial" w:hAnsi="Arial" w:cs="Arial"/>
          <w:color w:val="000000"/>
          <w:sz w:val="22"/>
        </w:rPr>
        <w:t xml:space="preserve">go de condiciones, el mecanismo que proceda para restablecer la garantía cuando el contratista incumpla su obligación de obtenerla, ampliarla o adicionarla. </w:t>
      </w:r>
    </w:p>
    <w:p w14:paraId="2108E3F1" w14:textId="707D9D71" w:rsidR="006069E4" w:rsidRPr="00111101" w:rsidRDefault="00B80FA0" w:rsidP="000033D5">
      <w:pPr>
        <w:spacing w:before="120" w:line="276" w:lineRule="auto"/>
        <w:ind w:firstLine="705"/>
        <w:jc w:val="both"/>
        <w:rPr>
          <w:rStyle w:val="normaltextrun"/>
          <w:rFonts w:ascii="Arial" w:hAnsi="Arial" w:cs="Arial"/>
          <w:color w:val="000000"/>
          <w:sz w:val="22"/>
        </w:rPr>
      </w:pPr>
      <w:r w:rsidRPr="00111101">
        <w:rPr>
          <w:rStyle w:val="normaltextrun"/>
          <w:rFonts w:ascii="Arial" w:hAnsi="Arial" w:cs="Arial"/>
          <w:color w:val="000000"/>
          <w:sz w:val="22"/>
        </w:rPr>
        <w:t>Al respecto</w:t>
      </w:r>
      <w:r w:rsidR="001F713B" w:rsidRPr="00111101">
        <w:rPr>
          <w:rStyle w:val="normaltextrun"/>
          <w:rFonts w:ascii="Arial" w:hAnsi="Arial" w:cs="Arial"/>
          <w:color w:val="000000"/>
          <w:sz w:val="22"/>
        </w:rPr>
        <w:t xml:space="preserve">, </w:t>
      </w:r>
      <w:r w:rsidRPr="00111101">
        <w:rPr>
          <w:rStyle w:val="normaltextrun"/>
          <w:rFonts w:ascii="Arial" w:hAnsi="Arial" w:cs="Arial"/>
          <w:color w:val="000000"/>
          <w:sz w:val="22"/>
        </w:rPr>
        <w:t xml:space="preserve">es importante destacar que </w:t>
      </w:r>
      <w:r w:rsidR="004D4BAB" w:rsidRPr="00111101">
        <w:rPr>
          <w:rStyle w:val="normaltextrun"/>
          <w:rFonts w:ascii="Arial" w:hAnsi="Arial" w:cs="Arial"/>
          <w:color w:val="000000"/>
          <w:sz w:val="22"/>
        </w:rPr>
        <w:t xml:space="preserve">el artículo 2.2.1.2.3.1.3 del Decreto 1082 de 2015 </w:t>
      </w:r>
      <w:r w:rsidR="0035018E" w:rsidRPr="00111101">
        <w:rPr>
          <w:rStyle w:val="normaltextrun"/>
          <w:rFonts w:ascii="Arial" w:hAnsi="Arial" w:cs="Arial"/>
          <w:color w:val="000000"/>
          <w:sz w:val="22"/>
        </w:rPr>
        <w:t>regula lo que ocurre</w:t>
      </w:r>
      <w:r w:rsidR="004D4BAB" w:rsidRPr="00111101">
        <w:rPr>
          <w:rStyle w:val="normaltextrun"/>
          <w:rFonts w:ascii="Arial" w:hAnsi="Arial" w:cs="Arial"/>
          <w:color w:val="000000"/>
          <w:sz w:val="22"/>
        </w:rPr>
        <w:t xml:space="preserve"> cuando el garante de una etapa del contrato o periodo contractual decide</w:t>
      </w:r>
      <w:r w:rsidR="005522B2" w:rsidRPr="00111101">
        <w:rPr>
          <w:rStyle w:val="normaltextrun"/>
          <w:rFonts w:ascii="Arial" w:hAnsi="Arial" w:cs="Arial"/>
          <w:color w:val="000000"/>
          <w:sz w:val="22"/>
        </w:rPr>
        <w:t xml:space="preserve"> </w:t>
      </w:r>
      <w:r w:rsidR="004D4BAB" w:rsidRPr="00111101">
        <w:rPr>
          <w:rStyle w:val="normaltextrun"/>
          <w:rFonts w:ascii="Arial" w:hAnsi="Arial" w:cs="Arial"/>
          <w:color w:val="000000"/>
          <w:sz w:val="22"/>
        </w:rPr>
        <w:t>no continuar garanti</w:t>
      </w:r>
      <w:r w:rsidR="00311B54" w:rsidRPr="00111101">
        <w:rPr>
          <w:rStyle w:val="normaltextrun"/>
          <w:rFonts w:ascii="Arial" w:hAnsi="Arial" w:cs="Arial"/>
          <w:color w:val="000000"/>
          <w:sz w:val="22"/>
        </w:rPr>
        <w:t>zando</w:t>
      </w:r>
      <w:r w:rsidR="005522B2" w:rsidRPr="00111101">
        <w:rPr>
          <w:rStyle w:val="normaltextrun"/>
          <w:rFonts w:ascii="Arial" w:hAnsi="Arial" w:cs="Arial"/>
          <w:color w:val="000000"/>
          <w:sz w:val="22"/>
        </w:rPr>
        <w:t xml:space="preserve"> la etapa del contrato o periodo contractual subsiguiente</w:t>
      </w:r>
      <w:r w:rsidR="000D1FF5" w:rsidRPr="00111101">
        <w:rPr>
          <w:rStyle w:val="normaltextrun"/>
          <w:rFonts w:ascii="Arial" w:hAnsi="Arial" w:cs="Arial"/>
          <w:color w:val="000000"/>
          <w:sz w:val="22"/>
        </w:rPr>
        <w:t>.</w:t>
      </w:r>
      <w:r w:rsidR="004C6B9D" w:rsidRPr="00111101">
        <w:rPr>
          <w:rStyle w:val="normaltextrun"/>
          <w:rFonts w:ascii="Arial" w:hAnsi="Arial" w:cs="Arial"/>
          <w:color w:val="000000"/>
          <w:sz w:val="22"/>
        </w:rPr>
        <w:t xml:space="preserve"> </w:t>
      </w:r>
      <w:r w:rsidR="0035018E" w:rsidRPr="00111101">
        <w:rPr>
          <w:rStyle w:val="normaltextrun"/>
          <w:rFonts w:ascii="Arial" w:hAnsi="Arial" w:cs="Arial"/>
          <w:color w:val="000000"/>
          <w:sz w:val="22"/>
        </w:rPr>
        <w:lastRenderedPageBreak/>
        <w:t>En efecto, establece</w:t>
      </w:r>
      <w:r w:rsidR="004C6B9D" w:rsidRPr="00111101">
        <w:rPr>
          <w:rStyle w:val="normaltextrun"/>
          <w:rFonts w:ascii="Arial" w:hAnsi="Arial" w:cs="Arial"/>
          <w:color w:val="000000"/>
          <w:sz w:val="22"/>
        </w:rPr>
        <w:t xml:space="preserve"> </w:t>
      </w:r>
      <w:r w:rsidR="000D1FF5" w:rsidRPr="00111101">
        <w:rPr>
          <w:rStyle w:val="normaltextrun"/>
          <w:rFonts w:ascii="Arial" w:hAnsi="Arial" w:cs="Arial"/>
          <w:color w:val="000000"/>
          <w:sz w:val="22"/>
        </w:rPr>
        <w:t>que</w:t>
      </w:r>
      <w:r w:rsidR="000033D5" w:rsidRPr="00111101">
        <w:rPr>
          <w:rStyle w:val="normaltextrun"/>
          <w:rFonts w:ascii="Arial" w:hAnsi="Arial" w:cs="Arial"/>
          <w:color w:val="000000"/>
          <w:sz w:val="22"/>
        </w:rPr>
        <w:t xml:space="preserve"> el garante de la etapa del contrato o periodo contractual </w:t>
      </w:r>
      <w:r w:rsidR="009D131F" w:rsidRPr="00111101">
        <w:rPr>
          <w:rStyle w:val="normaltextrun"/>
          <w:rFonts w:ascii="Arial" w:hAnsi="Arial" w:cs="Arial"/>
          <w:color w:val="000000"/>
          <w:sz w:val="22"/>
        </w:rPr>
        <w:t xml:space="preserve">asume </w:t>
      </w:r>
      <w:r w:rsidR="005E0E6A" w:rsidRPr="00111101">
        <w:rPr>
          <w:rStyle w:val="normaltextrun"/>
          <w:rFonts w:ascii="Arial" w:hAnsi="Arial" w:cs="Arial"/>
          <w:color w:val="000000"/>
          <w:sz w:val="22"/>
        </w:rPr>
        <w:t>la obliga</w:t>
      </w:r>
      <w:r w:rsidR="001F0E0E" w:rsidRPr="00111101">
        <w:rPr>
          <w:rStyle w:val="normaltextrun"/>
          <w:rFonts w:ascii="Arial" w:hAnsi="Arial" w:cs="Arial"/>
          <w:color w:val="000000"/>
          <w:sz w:val="22"/>
        </w:rPr>
        <w:t xml:space="preserve">ción de </w:t>
      </w:r>
      <w:r w:rsidR="00122D4F" w:rsidRPr="00111101">
        <w:rPr>
          <w:rStyle w:val="normaltextrun"/>
          <w:rFonts w:ascii="Arial" w:hAnsi="Arial" w:cs="Arial"/>
          <w:color w:val="000000"/>
          <w:sz w:val="22"/>
        </w:rPr>
        <w:t xml:space="preserve">informar su decisión por escrito a la entidad estatal </w:t>
      </w:r>
      <w:r w:rsidR="006069E4" w:rsidRPr="00111101">
        <w:rPr>
          <w:rStyle w:val="normaltextrun"/>
          <w:rFonts w:ascii="Arial" w:hAnsi="Arial" w:cs="Arial"/>
          <w:color w:val="000000"/>
          <w:sz w:val="22"/>
        </w:rPr>
        <w:t xml:space="preserve">garantizada seis (6) meses antes del vencimiento del plazo de la garantía. </w:t>
      </w:r>
      <w:r w:rsidR="001F0E0E" w:rsidRPr="00111101">
        <w:rPr>
          <w:rStyle w:val="normaltextrun"/>
          <w:rFonts w:ascii="Arial" w:hAnsi="Arial" w:cs="Arial"/>
          <w:color w:val="000000"/>
          <w:sz w:val="22"/>
        </w:rPr>
        <w:t>En todo caso, es importante aclarar que este aviso no afecta la garantía de la etapa del contrato o periodo contractual en ejecución</w:t>
      </w:r>
      <w:r w:rsidR="0035018E" w:rsidRPr="00111101">
        <w:rPr>
          <w:rStyle w:val="normaltextrun"/>
          <w:rFonts w:ascii="Arial" w:hAnsi="Arial" w:cs="Arial"/>
          <w:color w:val="000000"/>
          <w:sz w:val="22"/>
        </w:rPr>
        <w:t>.</w:t>
      </w:r>
      <w:r w:rsidR="001F0E0E" w:rsidRPr="00111101">
        <w:rPr>
          <w:rStyle w:val="normaltextrun"/>
          <w:rFonts w:ascii="Arial" w:hAnsi="Arial" w:cs="Arial"/>
          <w:color w:val="000000"/>
          <w:sz w:val="22"/>
        </w:rPr>
        <w:t xml:space="preserve"> </w:t>
      </w:r>
      <w:r w:rsidR="0035018E" w:rsidRPr="00111101">
        <w:rPr>
          <w:rStyle w:val="normaltextrun"/>
          <w:rFonts w:ascii="Arial" w:hAnsi="Arial" w:cs="Arial"/>
          <w:color w:val="000000"/>
          <w:sz w:val="22"/>
        </w:rPr>
        <w:t xml:space="preserve">Ahora bien, si en estos casos </w:t>
      </w:r>
      <w:r w:rsidR="001F0E0E" w:rsidRPr="00111101">
        <w:rPr>
          <w:rStyle w:val="normaltextrun"/>
          <w:rFonts w:ascii="Arial" w:hAnsi="Arial" w:cs="Arial"/>
          <w:color w:val="000000"/>
          <w:sz w:val="22"/>
        </w:rPr>
        <w:t>el garante no da el aviso con la a</w:t>
      </w:r>
      <w:r w:rsidR="009D131F" w:rsidRPr="00111101">
        <w:rPr>
          <w:rStyle w:val="normaltextrun"/>
          <w:rFonts w:ascii="Arial" w:hAnsi="Arial" w:cs="Arial"/>
          <w:color w:val="000000"/>
          <w:sz w:val="22"/>
        </w:rPr>
        <w:t xml:space="preserve">nticipación mencionada y el contratista no obtiene una nueva garantía, queda obligado a garantizar la etapa del contrato o periodo contractual subsiguiente. </w:t>
      </w:r>
    </w:p>
    <w:p w14:paraId="50DFC285" w14:textId="158CEEE2" w:rsidR="00CA3340" w:rsidRPr="00111101" w:rsidRDefault="00CF086A" w:rsidP="001336AA">
      <w:pPr>
        <w:spacing w:before="120" w:line="276" w:lineRule="auto"/>
        <w:ind w:firstLine="705"/>
        <w:jc w:val="both"/>
        <w:rPr>
          <w:rFonts w:ascii="Arial" w:hAnsi="Arial" w:cs="Arial"/>
          <w:sz w:val="22"/>
          <w:shd w:val="clear" w:color="auto" w:fill="FFFFFF"/>
          <w:lang w:val="es-ES_tradnl"/>
        </w:rPr>
      </w:pPr>
      <w:r w:rsidRPr="00111101">
        <w:rPr>
          <w:rStyle w:val="normaltextrun"/>
          <w:rFonts w:ascii="Arial" w:hAnsi="Arial" w:cs="Arial"/>
          <w:color w:val="000000"/>
          <w:sz w:val="22"/>
        </w:rPr>
        <w:t>Ahora, e</w:t>
      </w:r>
      <w:r w:rsidR="00AF6523" w:rsidRPr="00111101">
        <w:rPr>
          <w:rStyle w:val="normaltextrun"/>
          <w:rFonts w:ascii="Arial" w:hAnsi="Arial" w:cs="Arial"/>
          <w:color w:val="000000"/>
          <w:sz w:val="22"/>
        </w:rPr>
        <w:t xml:space="preserve">n relación con </w:t>
      </w:r>
      <w:r w:rsidR="00167D89" w:rsidRPr="00111101">
        <w:rPr>
          <w:rStyle w:val="normaltextrun"/>
          <w:rFonts w:ascii="Arial" w:hAnsi="Arial" w:cs="Arial"/>
          <w:color w:val="000000"/>
          <w:sz w:val="22"/>
        </w:rPr>
        <w:t>la obligación</w:t>
      </w:r>
      <w:r w:rsidR="001E1F47" w:rsidRPr="00111101">
        <w:rPr>
          <w:rStyle w:val="normaltextrun"/>
          <w:rFonts w:ascii="Arial" w:hAnsi="Arial" w:cs="Arial"/>
          <w:color w:val="000000"/>
          <w:sz w:val="22"/>
        </w:rPr>
        <w:t xml:space="preserve"> que tiene</w:t>
      </w:r>
      <w:r w:rsidR="0031639E" w:rsidRPr="00111101">
        <w:rPr>
          <w:rStyle w:val="normaltextrun"/>
          <w:rFonts w:ascii="Arial" w:hAnsi="Arial" w:cs="Arial"/>
          <w:color w:val="000000"/>
          <w:sz w:val="22"/>
        </w:rPr>
        <w:t xml:space="preserve"> a cargo</w:t>
      </w:r>
      <w:r w:rsidR="001E1F47" w:rsidRPr="00111101">
        <w:rPr>
          <w:rStyle w:val="normaltextrun"/>
          <w:rFonts w:ascii="Arial" w:hAnsi="Arial" w:cs="Arial"/>
          <w:color w:val="000000"/>
          <w:sz w:val="22"/>
        </w:rPr>
        <w:t xml:space="preserve"> el </w:t>
      </w:r>
      <w:r w:rsidR="00370398" w:rsidRPr="00111101">
        <w:rPr>
          <w:rStyle w:val="normaltextrun"/>
          <w:rFonts w:ascii="Arial" w:hAnsi="Arial" w:cs="Arial"/>
          <w:color w:val="000000"/>
          <w:sz w:val="22"/>
        </w:rPr>
        <w:t>garante</w:t>
      </w:r>
      <w:r w:rsidR="00C41685" w:rsidRPr="00111101">
        <w:rPr>
          <w:rStyle w:val="normaltextrun"/>
          <w:rFonts w:ascii="Arial" w:hAnsi="Arial" w:cs="Arial"/>
          <w:color w:val="000000"/>
          <w:sz w:val="22"/>
        </w:rPr>
        <w:t>,</w:t>
      </w:r>
      <w:r w:rsidR="00370398" w:rsidRPr="00111101">
        <w:rPr>
          <w:rStyle w:val="normaltextrun"/>
          <w:rFonts w:ascii="Arial" w:hAnsi="Arial" w:cs="Arial"/>
          <w:color w:val="000000"/>
          <w:sz w:val="22"/>
        </w:rPr>
        <w:t xml:space="preserve"> usted plantea la siguiente pregunta: </w:t>
      </w:r>
      <w:r w:rsidR="001B3144" w:rsidRPr="00111101">
        <w:rPr>
          <w:rFonts w:ascii="Arial" w:hAnsi="Arial" w:cs="Arial"/>
          <w:sz w:val="22"/>
          <w:shd w:val="clear" w:color="auto" w:fill="FFFFFF"/>
          <w:lang w:val="es-ES_tradnl"/>
        </w:rPr>
        <w:t>¿Es necesario que el garante justifique su decisión de no continuar garantizando el contrato?</w:t>
      </w:r>
      <w:bookmarkStart w:id="3" w:name="_Hlk94774859"/>
      <w:r w:rsidR="001336AA" w:rsidRPr="00111101">
        <w:rPr>
          <w:rFonts w:ascii="Arial" w:hAnsi="Arial" w:cs="Arial"/>
          <w:sz w:val="22"/>
          <w:shd w:val="clear" w:color="auto" w:fill="FFFFFF"/>
          <w:lang w:val="es-ES_tradnl"/>
        </w:rPr>
        <w:t xml:space="preserve"> </w:t>
      </w:r>
      <w:r w:rsidR="007B2653" w:rsidRPr="00111101">
        <w:rPr>
          <w:rFonts w:ascii="Arial" w:hAnsi="Arial" w:cs="Arial"/>
          <w:sz w:val="22"/>
          <w:shd w:val="clear" w:color="auto" w:fill="FFFFFF"/>
          <w:lang w:val="es-ES_tradnl"/>
        </w:rPr>
        <w:t>En los términos del artículo 2.2.1.2.3.1.3. de</w:t>
      </w:r>
      <w:r w:rsidR="003E7B8C" w:rsidRPr="00111101">
        <w:rPr>
          <w:rFonts w:ascii="Arial" w:hAnsi="Arial" w:cs="Arial"/>
          <w:sz w:val="22"/>
          <w:shd w:val="clear" w:color="auto" w:fill="FFFFFF"/>
          <w:lang w:val="es-ES_tradnl"/>
        </w:rPr>
        <w:t xml:space="preserve">l Decreto 1082 de 2015, </w:t>
      </w:r>
      <w:r w:rsidR="00E97FDD" w:rsidRPr="00111101">
        <w:rPr>
          <w:rFonts w:ascii="Arial" w:hAnsi="Arial" w:cs="Arial"/>
          <w:sz w:val="22"/>
          <w:shd w:val="clear" w:color="auto" w:fill="FFFFFF"/>
          <w:lang w:val="es-ES_tradnl"/>
        </w:rPr>
        <w:t xml:space="preserve">si el garante decide no continuar garantizando la etapa del contrato o periodo contractual subsiguiente, </w:t>
      </w:r>
      <w:r w:rsidR="003E7B8C" w:rsidRPr="00111101">
        <w:rPr>
          <w:rFonts w:ascii="Arial" w:hAnsi="Arial" w:cs="Arial"/>
          <w:sz w:val="22"/>
          <w:shd w:val="clear" w:color="auto" w:fill="FFFFFF"/>
          <w:lang w:val="es-ES_tradnl"/>
        </w:rPr>
        <w:t xml:space="preserve">asume </w:t>
      </w:r>
      <w:r w:rsidR="00821078" w:rsidRPr="00111101">
        <w:rPr>
          <w:rFonts w:ascii="Arial" w:hAnsi="Arial" w:cs="Arial"/>
          <w:sz w:val="22"/>
          <w:shd w:val="clear" w:color="auto" w:fill="FFFFFF"/>
          <w:lang w:val="es-ES_tradnl"/>
        </w:rPr>
        <w:t xml:space="preserve">la obligación de </w:t>
      </w:r>
      <w:r w:rsidR="00D50EB2" w:rsidRPr="00111101">
        <w:rPr>
          <w:rFonts w:ascii="Arial" w:hAnsi="Arial" w:cs="Arial"/>
          <w:sz w:val="22"/>
          <w:shd w:val="clear" w:color="auto" w:fill="FFFFFF"/>
          <w:lang w:val="es-ES_tradnl"/>
        </w:rPr>
        <w:t>informar su decisión por escrito a la entidad estatal garantizada seis (6) meses antes del vencimiento del plazo de la garantía. E</w:t>
      </w:r>
      <w:r w:rsidR="00A436E2" w:rsidRPr="00111101">
        <w:rPr>
          <w:rFonts w:ascii="Arial" w:hAnsi="Arial" w:cs="Arial"/>
          <w:sz w:val="22"/>
          <w:shd w:val="clear" w:color="auto" w:fill="FFFFFF"/>
          <w:lang w:val="es-ES_tradnl"/>
        </w:rPr>
        <w:t xml:space="preserve">sto quiere decir que </w:t>
      </w:r>
      <w:r w:rsidR="00E97FDD" w:rsidRPr="00111101">
        <w:rPr>
          <w:rFonts w:ascii="Arial" w:hAnsi="Arial" w:cs="Arial"/>
          <w:sz w:val="22"/>
          <w:shd w:val="clear" w:color="auto" w:fill="FFFFFF"/>
          <w:lang w:val="es-ES_tradnl"/>
        </w:rPr>
        <w:t xml:space="preserve">son dos (2) requisitos </w:t>
      </w:r>
      <w:r w:rsidR="002C7C2F" w:rsidRPr="00111101">
        <w:rPr>
          <w:rFonts w:ascii="Arial" w:hAnsi="Arial" w:cs="Arial"/>
          <w:sz w:val="22"/>
          <w:shd w:val="clear" w:color="auto" w:fill="FFFFFF"/>
          <w:lang w:val="es-ES_tradnl"/>
        </w:rPr>
        <w:t xml:space="preserve">los </w:t>
      </w:r>
      <w:r w:rsidR="00E97FDD" w:rsidRPr="00111101">
        <w:rPr>
          <w:rFonts w:ascii="Arial" w:hAnsi="Arial" w:cs="Arial"/>
          <w:sz w:val="22"/>
          <w:shd w:val="clear" w:color="auto" w:fill="FFFFFF"/>
          <w:lang w:val="es-ES_tradnl"/>
        </w:rPr>
        <w:t xml:space="preserve">que establece </w:t>
      </w:r>
      <w:r w:rsidR="00597E67" w:rsidRPr="00111101">
        <w:rPr>
          <w:rFonts w:ascii="Arial" w:hAnsi="Arial" w:cs="Arial"/>
          <w:sz w:val="22"/>
          <w:shd w:val="clear" w:color="auto" w:fill="FFFFFF"/>
          <w:lang w:val="es-ES_tradnl"/>
        </w:rPr>
        <w:t xml:space="preserve">la norma: i) avisar con un tiempo de antelación de seis (6) meses antes de la fecha de vencimiento del plazo de la garantía </w:t>
      </w:r>
      <w:r w:rsidR="00444183" w:rsidRPr="00111101">
        <w:rPr>
          <w:rFonts w:ascii="Arial" w:hAnsi="Arial" w:cs="Arial"/>
          <w:sz w:val="22"/>
          <w:shd w:val="clear" w:color="auto" w:fill="FFFFFF"/>
          <w:lang w:val="es-ES_tradnl"/>
        </w:rPr>
        <w:t>e</w:t>
      </w:r>
      <w:r w:rsidR="00597E67" w:rsidRPr="00111101">
        <w:rPr>
          <w:rFonts w:ascii="Arial" w:hAnsi="Arial" w:cs="Arial"/>
          <w:sz w:val="22"/>
          <w:shd w:val="clear" w:color="auto" w:fill="FFFFFF"/>
          <w:lang w:val="es-ES_tradnl"/>
        </w:rPr>
        <w:t xml:space="preserve"> ii) inform</w:t>
      </w:r>
      <w:r w:rsidR="0027508C" w:rsidRPr="00111101">
        <w:rPr>
          <w:rFonts w:ascii="Arial" w:hAnsi="Arial" w:cs="Arial"/>
          <w:sz w:val="22"/>
          <w:shd w:val="clear" w:color="auto" w:fill="FFFFFF"/>
          <w:lang w:val="es-ES_tradnl"/>
        </w:rPr>
        <w:t>ar</w:t>
      </w:r>
      <w:r w:rsidR="00597E67" w:rsidRPr="00111101">
        <w:rPr>
          <w:rFonts w:ascii="Arial" w:hAnsi="Arial" w:cs="Arial"/>
          <w:sz w:val="22"/>
          <w:shd w:val="clear" w:color="auto" w:fill="FFFFFF"/>
          <w:lang w:val="es-ES_tradnl"/>
        </w:rPr>
        <w:t xml:space="preserve"> por </w:t>
      </w:r>
      <w:r w:rsidR="00597E67" w:rsidRPr="00111101">
        <w:rPr>
          <w:rFonts w:ascii="Arial" w:hAnsi="Arial" w:cs="Arial"/>
          <w:i/>
          <w:iCs/>
          <w:sz w:val="22"/>
          <w:shd w:val="clear" w:color="auto" w:fill="FFFFFF"/>
          <w:lang w:val="es-ES_tradnl"/>
        </w:rPr>
        <w:t>escrito</w:t>
      </w:r>
      <w:r w:rsidR="00597E67" w:rsidRPr="00111101">
        <w:rPr>
          <w:rFonts w:ascii="Arial" w:hAnsi="Arial" w:cs="Arial"/>
          <w:sz w:val="22"/>
          <w:shd w:val="clear" w:color="auto" w:fill="FFFFFF"/>
          <w:lang w:val="es-ES_tradnl"/>
        </w:rPr>
        <w:t xml:space="preserve"> a la entidad</w:t>
      </w:r>
      <w:r w:rsidR="003256D9" w:rsidRPr="00111101">
        <w:rPr>
          <w:rFonts w:ascii="Arial" w:hAnsi="Arial" w:cs="Arial"/>
          <w:sz w:val="22"/>
          <w:shd w:val="clear" w:color="auto" w:fill="FFFFFF"/>
          <w:lang w:val="es-ES_tradnl"/>
        </w:rPr>
        <w:t>; e</w:t>
      </w:r>
      <w:r w:rsidR="00597E67" w:rsidRPr="00111101">
        <w:rPr>
          <w:rFonts w:ascii="Arial" w:hAnsi="Arial" w:cs="Arial"/>
          <w:sz w:val="22"/>
          <w:shd w:val="clear" w:color="auto" w:fill="FFFFFF"/>
          <w:lang w:val="es-ES_tradnl"/>
        </w:rPr>
        <w:t xml:space="preserve">s decir, que no </w:t>
      </w:r>
      <w:r w:rsidR="003072C1" w:rsidRPr="00111101">
        <w:rPr>
          <w:rFonts w:ascii="Arial" w:hAnsi="Arial" w:cs="Arial"/>
          <w:sz w:val="22"/>
          <w:shd w:val="clear" w:color="auto" w:fill="FFFFFF"/>
          <w:lang w:val="es-ES_tradnl"/>
        </w:rPr>
        <w:t xml:space="preserve">se tendrán en cuenta </w:t>
      </w:r>
      <w:r w:rsidR="00597E67" w:rsidRPr="00111101">
        <w:rPr>
          <w:rFonts w:ascii="Arial" w:hAnsi="Arial" w:cs="Arial"/>
          <w:sz w:val="22"/>
          <w:shd w:val="clear" w:color="auto" w:fill="FFFFFF"/>
          <w:lang w:val="es-ES_tradnl"/>
        </w:rPr>
        <w:t xml:space="preserve">las </w:t>
      </w:r>
      <w:r w:rsidR="003256D9" w:rsidRPr="00111101">
        <w:rPr>
          <w:rFonts w:ascii="Arial" w:hAnsi="Arial" w:cs="Arial"/>
          <w:sz w:val="22"/>
          <w:shd w:val="clear" w:color="auto" w:fill="FFFFFF"/>
          <w:lang w:val="es-ES_tradnl"/>
        </w:rPr>
        <w:t>manifestaciones verbales.</w:t>
      </w:r>
    </w:p>
    <w:p w14:paraId="3378882E" w14:textId="41D150DB" w:rsidR="003256D9" w:rsidRPr="00111101" w:rsidRDefault="0035018E" w:rsidP="00E97FDD">
      <w:pPr>
        <w:spacing w:before="120" w:line="276" w:lineRule="auto"/>
        <w:ind w:firstLine="705"/>
        <w:jc w:val="both"/>
        <w:rPr>
          <w:rFonts w:ascii="Arial" w:hAnsi="Arial" w:cs="Arial"/>
          <w:sz w:val="22"/>
          <w:shd w:val="clear" w:color="auto" w:fill="FFFFFF"/>
          <w:lang w:val="es-ES_tradnl"/>
        </w:rPr>
      </w:pPr>
      <w:r w:rsidRPr="00111101">
        <w:rPr>
          <w:rFonts w:ascii="Arial" w:hAnsi="Arial" w:cs="Arial"/>
          <w:sz w:val="22"/>
          <w:shd w:val="clear" w:color="auto" w:fill="FFFFFF"/>
          <w:lang w:val="es-ES_tradnl"/>
        </w:rPr>
        <w:t>Frente</w:t>
      </w:r>
      <w:r w:rsidR="00052914" w:rsidRPr="00111101">
        <w:rPr>
          <w:rFonts w:ascii="Arial" w:hAnsi="Arial" w:cs="Arial"/>
          <w:sz w:val="22"/>
          <w:shd w:val="clear" w:color="auto" w:fill="FFFFFF"/>
          <w:lang w:val="es-ES_tradnl"/>
        </w:rPr>
        <w:t xml:space="preserve"> a su inquietud particular</w:t>
      </w:r>
      <w:r w:rsidR="00086133" w:rsidRPr="00111101">
        <w:rPr>
          <w:rFonts w:ascii="Arial" w:hAnsi="Arial" w:cs="Arial"/>
          <w:sz w:val="22"/>
          <w:shd w:val="clear" w:color="auto" w:fill="FFFFFF"/>
          <w:lang w:val="es-ES_tradnl"/>
        </w:rPr>
        <w:t xml:space="preserve"> si</w:t>
      </w:r>
      <w:r w:rsidR="00052914" w:rsidRPr="00111101">
        <w:rPr>
          <w:rFonts w:ascii="Arial" w:hAnsi="Arial" w:cs="Arial"/>
          <w:sz w:val="22"/>
          <w:shd w:val="clear" w:color="auto" w:fill="FFFFFF"/>
          <w:lang w:val="es-ES_tradnl"/>
        </w:rPr>
        <w:t xml:space="preserve"> el garante</w:t>
      </w:r>
      <w:r w:rsidR="00086133" w:rsidRPr="00111101">
        <w:rPr>
          <w:rFonts w:ascii="Arial" w:hAnsi="Arial" w:cs="Arial"/>
          <w:sz w:val="22"/>
          <w:shd w:val="clear" w:color="auto" w:fill="FFFFFF"/>
          <w:lang w:val="es-ES_tradnl"/>
        </w:rPr>
        <w:t xml:space="preserve"> tiene el deber de</w:t>
      </w:r>
      <w:r w:rsidR="00052914" w:rsidRPr="00111101">
        <w:rPr>
          <w:rFonts w:ascii="Arial" w:hAnsi="Arial" w:cs="Arial"/>
          <w:sz w:val="22"/>
          <w:shd w:val="clear" w:color="auto" w:fill="FFFFFF"/>
          <w:lang w:val="es-ES_tradnl"/>
        </w:rPr>
        <w:t xml:space="preserve"> justifi</w:t>
      </w:r>
      <w:r w:rsidR="00086133" w:rsidRPr="00111101">
        <w:rPr>
          <w:rFonts w:ascii="Arial" w:hAnsi="Arial" w:cs="Arial"/>
          <w:sz w:val="22"/>
          <w:shd w:val="clear" w:color="auto" w:fill="FFFFFF"/>
          <w:lang w:val="es-ES_tradnl"/>
        </w:rPr>
        <w:t>car</w:t>
      </w:r>
      <w:r w:rsidR="00052914" w:rsidRPr="00111101">
        <w:rPr>
          <w:rFonts w:ascii="Arial" w:hAnsi="Arial" w:cs="Arial"/>
          <w:sz w:val="22"/>
          <w:shd w:val="clear" w:color="auto" w:fill="FFFFFF"/>
          <w:lang w:val="es-ES_tradnl"/>
        </w:rPr>
        <w:t xml:space="preserve"> su decisión de no continuar garantizando </w:t>
      </w:r>
      <w:r w:rsidR="00EA794D" w:rsidRPr="00111101">
        <w:rPr>
          <w:rFonts w:ascii="Arial" w:hAnsi="Arial" w:cs="Arial"/>
          <w:sz w:val="22"/>
          <w:shd w:val="clear" w:color="auto" w:fill="FFFFFF"/>
          <w:lang w:val="es-ES_tradnl"/>
        </w:rPr>
        <w:t xml:space="preserve">la etapa del </w:t>
      </w:r>
      <w:r w:rsidR="00052914" w:rsidRPr="00111101">
        <w:rPr>
          <w:rFonts w:ascii="Arial" w:hAnsi="Arial" w:cs="Arial"/>
          <w:sz w:val="22"/>
          <w:shd w:val="clear" w:color="auto" w:fill="FFFFFF"/>
          <w:lang w:val="es-ES_tradnl"/>
        </w:rPr>
        <w:t>contrato</w:t>
      </w:r>
      <w:r w:rsidR="00EA794D" w:rsidRPr="00111101">
        <w:rPr>
          <w:rFonts w:ascii="Arial" w:hAnsi="Arial" w:cs="Arial"/>
          <w:sz w:val="22"/>
          <w:shd w:val="clear" w:color="auto" w:fill="FFFFFF"/>
          <w:lang w:val="es-ES_tradnl"/>
        </w:rPr>
        <w:t xml:space="preserve"> o periodo contractual subsiguiente</w:t>
      </w:r>
      <w:r w:rsidRPr="00111101">
        <w:rPr>
          <w:rFonts w:ascii="Arial" w:hAnsi="Arial" w:cs="Arial"/>
          <w:sz w:val="22"/>
          <w:shd w:val="clear" w:color="auto" w:fill="FFFFFF"/>
          <w:lang w:val="es-ES_tradnl"/>
        </w:rPr>
        <w:t>,</w:t>
      </w:r>
      <w:r w:rsidR="00052914" w:rsidRPr="00111101">
        <w:rPr>
          <w:rFonts w:ascii="Arial" w:hAnsi="Arial" w:cs="Arial"/>
          <w:sz w:val="22"/>
          <w:shd w:val="clear" w:color="auto" w:fill="FFFFFF"/>
          <w:lang w:val="es-ES_tradnl"/>
        </w:rPr>
        <w:t xml:space="preserve"> </w:t>
      </w:r>
      <w:r w:rsidRPr="00111101">
        <w:rPr>
          <w:rFonts w:ascii="Arial" w:hAnsi="Arial" w:cs="Arial"/>
          <w:sz w:val="22"/>
          <w:shd w:val="clear" w:color="auto" w:fill="FFFFFF"/>
          <w:lang w:val="es-ES_tradnl"/>
        </w:rPr>
        <w:t xml:space="preserve">es </w:t>
      </w:r>
      <w:r w:rsidR="00052914" w:rsidRPr="00111101">
        <w:rPr>
          <w:rFonts w:ascii="Arial" w:hAnsi="Arial" w:cs="Arial"/>
          <w:sz w:val="22"/>
          <w:shd w:val="clear" w:color="auto" w:fill="FFFFFF"/>
          <w:lang w:val="es-ES_tradnl"/>
        </w:rPr>
        <w:t>importante resaltar que el artículo 2.2.1.2.3.1.3</w:t>
      </w:r>
      <w:r w:rsidR="00821078" w:rsidRPr="00111101">
        <w:rPr>
          <w:rFonts w:ascii="Arial" w:hAnsi="Arial" w:cs="Arial"/>
          <w:sz w:val="22"/>
          <w:shd w:val="clear" w:color="auto" w:fill="FFFFFF"/>
          <w:lang w:val="es-ES_tradnl"/>
        </w:rPr>
        <w:t>.</w:t>
      </w:r>
      <w:r w:rsidR="00052914" w:rsidRPr="00111101">
        <w:rPr>
          <w:rFonts w:ascii="Arial" w:hAnsi="Arial" w:cs="Arial"/>
          <w:sz w:val="22"/>
          <w:shd w:val="clear" w:color="auto" w:fill="FFFFFF"/>
          <w:lang w:val="es-ES_tradnl"/>
        </w:rPr>
        <w:t xml:space="preserve"> del Decreto 1082 de 2015 no establece </w:t>
      </w:r>
      <w:r w:rsidRPr="00111101">
        <w:rPr>
          <w:rFonts w:ascii="Arial" w:hAnsi="Arial" w:cs="Arial"/>
          <w:sz w:val="22"/>
          <w:shd w:val="clear" w:color="auto" w:fill="FFFFFF"/>
          <w:lang w:val="es-ES_tradnl"/>
        </w:rPr>
        <w:t xml:space="preserve">este </w:t>
      </w:r>
      <w:r w:rsidR="004E59AE" w:rsidRPr="00111101">
        <w:rPr>
          <w:rFonts w:ascii="Arial" w:hAnsi="Arial" w:cs="Arial"/>
          <w:sz w:val="22"/>
          <w:shd w:val="clear" w:color="auto" w:fill="FFFFFF"/>
          <w:lang w:val="es-ES_tradnl"/>
        </w:rPr>
        <w:t>requisito</w:t>
      </w:r>
      <w:r w:rsidR="00C8603C" w:rsidRPr="00111101">
        <w:rPr>
          <w:rFonts w:ascii="Arial" w:hAnsi="Arial" w:cs="Arial"/>
          <w:sz w:val="22"/>
          <w:shd w:val="clear" w:color="auto" w:fill="FFFFFF"/>
          <w:lang w:val="es-ES_tradnl"/>
        </w:rPr>
        <w:t xml:space="preserve">. </w:t>
      </w:r>
      <w:r w:rsidR="00EA28DD" w:rsidRPr="00111101">
        <w:rPr>
          <w:rFonts w:ascii="Arial" w:hAnsi="Arial" w:cs="Arial"/>
          <w:sz w:val="22"/>
          <w:shd w:val="clear" w:color="auto" w:fill="FFFFFF"/>
          <w:lang w:val="es-ES_tradnl"/>
        </w:rPr>
        <w:t>En efecto</w:t>
      </w:r>
      <w:r w:rsidR="00C8603C" w:rsidRPr="00111101">
        <w:rPr>
          <w:rFonts w:ascii="Arial" w:hAnsi="Arial" w:cs="Arial"/>
          <w:sz w:val="22"/>
          <w:shd w:val="clear" w:color="auto" w:fill="FFFFFF"/>
          <w:lang w:val="es-ES_tradnl"/>
        </w:rPr>
        <w:t xml:space="preserve">, la exigencia de </w:t>
      </w:r>
      <w:r w:rsidR="00C8603C" w:rsidRPr="00111101">
        <w:rPr>
          <w:rFonts w:ascii="Arial" w:hAnsi="Arial" w:cs="Arial"/>
          <w:i/>
          <w:iCs/>
          <w:sz w:val="22"/>
          <w:shd w:val="clear" w:color="auto" w:fill="FFFFFF"/>
          <w:lang w:val="es-ES_tradnl"/>
        </w:rPr>
        <w:t>justificar</w:t>
      </w:r>
      <w:r w:rsidR="00C8603C" w:rsidRPr="00111101">
        <w:rPr>
          <w:rFonts w:ascii="Arial" w:hAnsi="Arial" w:cs="Arial"/>
          <w:sz w:val="22"/>
          <w:shd w:val="clear" w:color="auto" w:fill="FFFFFF"/>
          <w:lang w:val="es-ES_tradnl"/>
        </w:rPr>
        <w:t xml:space="preserve"> la decisión de no continuar garantizando el contrato </w:t>
      </w:r>
      <w:r w:rsidR="00EA28DD" w:rsidRPr="00111101">
        <w:rPr>
          <w:rFonts w:ascii="Arial" w:hAnsi="Arial" w:cs="Arial"/>
          <w:sz w:val="22"/>
          <w:shd w:val="clear" w:color="auto" w:fill="FFFFFF"/>
          <w:lang w:val="es-ES_tradnl"/>
        </w:rPr>
        <w:t>no es un requisito que se derive del Decreto 1082 de 2015; por el contrario, la norma citada establece que cuando el garante decide no continuar garantizando la etapa o periodo contractual siguiente «debe informar su decisión por escrito»</w:t>
      </w:r>
      <w:r w:rsidR="00B04849" w:rsidRPr="00111101">
        <w:rPr>
          <w:rFonts w:ascii="Arial" w:hAnsi="Arial" w:cs="Arial"/>
          <w:sz w:val="22"/>
          <w:shd w:val="clear" w:color="auto" w:fill="FFFFFF"/>
          <w:lang w:val="es-ES_tradnl"/>
        </w:rPr>
        <w:t>,</w:t>
      </w:r>
      <w:r w:rsidR="00EA28DD" w:rsidRPr="00111101">
        <w:rPr>
          <w:rFonts w:ascii="Arial" w:hAnsi="Arial" w:cs="Arial"/>
          <w:sz w:val="22"/>
          <w:shd w:val="clear" w:color="auto" w:fill="FFFFFF"/>
          <w:lang w:val="es-ES_tradnl"/>
        </w:rPr>
        <w:t xml:space="preserve"> esto es, que basta con comunicar dicha decisión, sin que se establezcan requisitos adicionales o que </w:t>
      </w:r>
      <w:r w:rsidR="00136323" w:rsidRPr="00111101">
        <w:rPr>
          <w:rFonts w:ascii="Arial" w:hAnsi="Arial" w:cs="Arial"/>
          <w:sz w:val="22"/>
          <w:shd w:val="clear" w:color="auto" w:fill="FFFFFF"/>
          <w:lang w:val="es-ES_tradnl"/>
        </w:rPr>
        <w:t>tal</w:t>
      </w:r>
      <w:r w:rsidR="00EA28DD" w:rsidRPr="00111101">
        <w:rPr>
          <w:rFonts w:ascii="Arial" w:hAnsi="Arial" w:cs="Arial"/>
          <w:sz w:val="22"/>
          <w:shd w:val="clear" w:color="auto" w:fill="FFFFFF"/>
          <w:lang w:val="es-ES_tradnl"/>
        </w:rPr>
        <w:t xml:space="preserve"> decisión se someta a una justificación o razón particular.</w:t>
      </w:r>
      <w:r w:rsidR="00B04849" w:rsidRPr="00111101">
        <w:rPr>
          <w:rFonts w:ascii="Arial" w:hAnsi="Arial" w:cs="Arial"/>
          <w:sz w:val="22"/>
          <w:shd w:val="clear" w:color="auto" w:fill="FFFFFF"/>
          <w:lang w:val="es-ES_tradnl"/>
        </w:rPr>
        <w:t xml:space="preserve"> </w:t>
      </w:r>
      <w:r w:rsidR="00EA28DD" w:rsidRPr="00111101">
        <w:rPr>
          <w:rFonts w:ascii="Arial" w:hAnsi="Arial" w:cs="Arial"/>
          <w:sz w:val="22"/>
          <w:shd w:val="clear" w:color="auto" w:fill="FFFFFF"/>
          <w:lang w:val="es-ES_tradnl"/>
        </w:rPr>
        <w:t>En tal sentido, la exigencia de una justificación específica, al no originarse en el ordenamiento jurídico a</w:t>
      </w:r>
      <w:r w:rsidR="00B04849" w:rsidRPr="00111101">
        <w:rPr>
          <w:rFonts w:ascii="Arial" w:hAnsi="Arial" w:cs="Arial"/>
          <w:sz w:val="22"/>
          <w:shd w:val="clear" w:color="auto" w:fill="FFFFFF"/>
          <w:lang w:val="es-ES_tradnl"/>
        </w:rPr>
        <w:t>fecta</w:t>
      </w:r>
      <w:r w:rsidR="007D45FE" w:rsidRPr="00111101">
        <w:rPr>
          <w:rFonts w:ascii="Arial" w:hAnsi="Arial" w:cs="Arial"/>
          <w:sz w:val="22"/>
          <w:shd w:val="clear" w:color="auto" w:fill="FFFFFF"/>
          <w:lang w:val="es-ES_tradnl"/>
        </w:rPr>
        <w:t>ría</w:t>
      </w:r>
      <w:r w:rsidR="00B04849" w:rsidRPr="00111101">
        <w:rPr>
          <w:rFonts w:ascii="Arial" w:hAnsi="Arial" w:cs="Arial"/>
          <w:sz w:val="22"/>
          <w:shd w:val="clear" w:color="auto" w:fill="FFFFFF"/>
          <w:lang w:val="es-ES_tradnl"/>
        </w:rPr>
        <w:t xml:space="preserve"> la libertad</w:t>
      </w:r>
      <w:r w:rsidR="00D53EC8" w:rsidRPr="00111101">
        <w:rPr>
          <w:rFonts w:ascii="Arial" w:hAnsi="Arial" w:cs="Arial"/>
          <w:sz w:val="22"/>
          <w:shd w:val="clear" w:color="auto" w:fill="FFFFFF"/>
          <w:lang w:val="es-ES_tradnl"/>
        </w:rPr>
        <w:t xml:space="preserve"> contractual </w:t>
      </w:r>
      <w:r w:rsidR="00B04849" w:rsidRPr="00111101">
        <w:rPr>
          <w:rFonts w:ascii="Arial" w:hAnsi="Arial" w:cs="Arial"/>
          <w:sz w:val="22"/>
          <w:shd w:val="clear" w:color="auto" w:fill="FFFFFF"/>
          <w:lang w:val="es-ES_tradnl"/>
        </w:rPr>
        <w:t xml:space="preserve">del garante de decidir si </w:t>
      </w:r>
      <w:r w:rsidR="00FC49F4" w:rsidRPr="00111101">
        <w:rPr>
          <w:rFonts w:ascii="Arial" w:hAnsi="Arial" w:cs="Arial"/>
          <w:sz w:val="22"/>
          <w:shd w:val="clear" w:color="auto" w:fill="FFFFFF"/>
          <w:lang w:val="es-ES_tradnl"/>
        </w:rPr>
        <w:t>desea</w:t>
      </w:r>
      <w:r w:rsidR="00EA794D" w:rsidRPr="00111101">
        <w:rPr>
          <w:rFonts w:ascii="Arial" w:hAnsi="Arial" w:cs="Arial"/>
          <w:sz w:val="22"/>
          <w:shd w:val="clear" w:color="auto" w:fill="FFFFFF"/>
          <w:lang w:val="es-ES_tradnl"/>
        </w:rPr>
        <w:t xml:space="preserve"> celebrar un nuevo </w:t>
      </w:r>
      <w:r w:rsidR="00EA28DD" w:rsidRPr="00111101">
        <w:rPr>
          <w:rFonts w:ascii="Arial" w:hAnsi="Arial" w:cs="Arial"/>
          <w:sz w:val="22"/>
          <w:shd w:val="clear" w:color="auto" w:fill="FFFFFF"/>
          <w:lang w:val="es-ES_tradnl"/>
        </w:rPr>
        <w:t>negocio jurídico</w:t>
      </w:r>
      <w:r w:rsidR="00EA794D" w:rsidRPr="00111101">
        <w:rPr>
          <w:rFonts w:ascii="Arial" w:hAnsi="Arial" w:cs="Arial"/>
          <w:sz w:val="22"/>
          <w:shd w:val="clear" w:color="auto" w:fill="FFFFFF"/>
          <w:lang w:val="es-ES_tradnl"/>
        </w:rPr>
        <w:t xml:space="preserve"> para amparar los riesgos </w:t>
      </w:r>
      <w:r w:rsidR="00AD6C45" w:rsidRPr="00111101">
        <w:rPr>
          <w:rFonts w:ascii="Arial" w:hAnsi="Arial" w:cs="Arial"/>
          <w:sz w:val="22"/>
          <w:shd w:val="clear" w:color="auto" w:fill="FFFFFF"/>
          <w:lang w:val="es-ES_tradnl"/>
        </w:rPr>
        <w:t xml:space="preserve">de la etapa del contrato subsiguiente. </w:t>
      </w:r>
      <w:r w:rsidR="00EA28DD" w:rsidRPr="00111101">
        <w:rPr>
          <w:rFonts w:ascii="Arial" w:hAnsi="Arial" w:cs="Arial"/>
          <w:sz w:val="22"/>
          <w:shd w:val="clear" w:color="auto" w:fill="FFFFFF"/>
          <w:lang w:val="es-ES_tradnl"/>
        </w:rPr>
        <w:t>Lo anterior, sin perjuicio</w:t>
      </w:r>
      <w:r w:rsidR="00B70F30" w:rsidRPr="00111101">
        <w:rPr>
          <w:rFonts w:ascii="Arial" w:hAnsi="Arial" w:cs="Arial"/>
          <w:sz w:val="22"/>
          <w:shd w:val="clear" w:color="auto" w:fill="FFFFFF"/>
          <w:lang w:val="es-ES_tradnl"/>
        </w:rPr>
        <w:t xml:space="preserve"> </w:t>
      </w:r>
      <w:r w:rsidR="00EA28DD" w:rsidRPr="00111101">
        <w:rPr>
          <w:rFonts w:ascii="Arial" w:hAnsi="Arial" w:cs="Arial"/>
          <w:sz w:val="22"/>
          <w:shd w:val="clear" w:color="auto" w:fill="FFFFFF"/>
          <w:lang w:val="es-ES_tradnl"/>
        </w:rPr>
        <w:t xml:space="preserve">de la obligación que tiene el </w:t>
      </w:r>
      <w:r w:rsidR="00EA28DD" w:rsidRPr="00111101">
        <w:rPr>
          <w:rFonts w:ascii="Arial" w:hAnsi="Arial" w:cs="Arial"/>
          <w:i/>
          <w:iCs/>
          <w:sz w:val="22"/>
          <w:shd w:val="clear" w:color="auto" w:fill="FFFFFF"/>
          <w:lang w:val="es-ES_tradnl"/>
        </w:rPr>
        <w:t>contratista</w:t>
      </w:r>
      <w:r w:rsidR="00EA28DD" w:rsidRPr="00111101">
        <w:rPr>
          <w:rFonts w:ascii="Arial" w:hAnsi="Arial" w:cs="Arial"/>
          <w:sz w:val="22"/>
          <w:shd w:val="clear" w:color="auto" w:fill="FFFFFF"/>
          <w:lang w:val="es-ES_tradnl"/>
        </w:rPr>
        <w:t xml:space="preserve"> de contar con la nueva garantía que amp</w:t>
      </w:r>
      <w:r w:rsidR="00AC2099" w:rsidRPr="00111101">
        <w:rPr>
          <w:rFonts w:ascii="Arial" w:hAnsi="Arial" w:cs="Arial"/>
          <w:sz w:val="22"/>
          <w:shd w:val="clear" w:color="auto" w:fill="FFFFFF"/>
          <w:lang w:val="es-ES_tradnl"/>
        </w:rPr>
        <w:t>a</w:t>
      </w:r>
      <w:r w:rsidR="00EA28DD" w:rsidRPr="00111101">
        <w:rPr>
          <w:rFonts w:ascii="Arial" w:hAnsi="Arial" w:cs="Arial"/>
          <w:sz w:val="22"/>
          <w:shd w:val="clear" w:color="auto" w:fill="FFFFFF"/>
          <w:lang w:val="es-ES_tradnl"/>
        </w:rPr>
        <w:t>re la siguiente etapa o periodo contractual.</w:t>
      </w:r>
    </w:p>
    <w:p w14:paraId="1978B5F8" w14:textId="6511E5CF" w:rsidR="00597E67" w:rsidRPr="00111101" w:rsidRDefault="0066748A" w:rsidP="00F647FD">
      <w:pPr>
        <w:spacing w:before="120" w:line="276" w:lineRule="auto"/>
        <w:ind w:firstLine="705"/>
        <w:jc w:val="both"/>
        <w:rPr>
          <w:rFonts w:ascii="Arial" w:hAnsi="Arial" w:cs="Arial"/>
          <w:sz w:val="22"/>
          <w:shd w:val="clear" w:color="auto" w:fill="FFFFFF"/>
          <w:lang w:val="es-ES_tradnl"/>
        </w:rPr>
      </w:pPr>
      <w:r w:rsidRPr="00111101">
        <w:rPr>
          <w:rFonts w:ascii="Arial" w:hAnsi="Arial" w:cs="Arial"/>
          <w:sz w:val="22"/>
          <w:shd w:val="clear" w:color="auto" w:fill="FFFFFF"/>
          <w:lang w:val="es-ES_tradnl"/>
        </w:rPr>
        <w:t>C</w:t>
      </w:r>
      <w:r w:rsidR="00B61683" w:rsidRPr="00111101">
        <w:rPr>
          <w:rFonts w:ascii="Arial" w:hAnsi="Arial" w:cs="Arial"/>
          <w:sz w:val="22"/>
          <w:shd w:val="clear" w:color="auto" w:fill="FFFFFF"/>
          <w:lang w:val="es-ES_tradnl"/>
        </w:rPr>
        <w:t>omo se explic</w:t>
      </w:r>
      <w:r w:rsidR="00136323" w:rsidRPr="00111101">
        <w:rPr>
          <w:rFonts w:ascii="Arial" w:hAnsi="Arial" w:cs="Arial"/>
          <w:sz w:val="22"/>
          <w:shd w:val="clear" w:color="auto" w:fill="FFFFFF"/>
          <w:lang w:val="es-ES_tradnl"/>
        </w:rPr>
        <w:t>ó</w:t>
      </w:r>
      <w:r w:rsidR="00B61683" w:rsidRPr="00111101">
        <w:rPr>
          <w:rFonts w:ascii="Arial" w:hAnsi="Arial" w:cs="Arial"/>
          <w:sz w:val="22"/>
          <w:shd w:val="clear" w:color="auto" w:fill="FFFFFF"/>
          <w:lang w:val="es-ES_tradnl"/>
        </w:rPr>
        <w:t xml:space="preserve"> </w:t>
      </w:r>
      <w:r w:rsidR="00502992" w:rsidRPr="00111101">
        <w:rPr>
          <w:rFonts w:ascii="Arial" w:hAnsi="Arial" w:cs="Arial"/>
          <w:sz w:val="22"/>
          <w:shd w:val="clear" w:color="auto" w:fill="FFFFFF"/>
          <w:lang w:val="es-ES_tradnl"/>
        </w:rPr>
        <w:t>antes</w:t>
      </w:r>
      <w:r w:rsidR="00B61683" w:rsidRPr="00111101">
        <w:rPr>
          <w:rFonts w:ascii="Arial" w:hAnsi="Arial" w:cs="Arial"/>
          <w:sz w:val="22"/>
          <w:shd w:val="clear" w:color="auto" w:fill="FFFFFF"/>
          <w:lang w:val="es-ES_tradnl"/>
        </w:rPr>
        <w:t>, e</w:t>
      </w:r>
      <w:r w:rsidR="008816A0" w:rsidRPr="00111101">
        <w:rPr>
          <w:rFonts w:ascii="Arial" w:hAnsi="Arial" w:cs="Arial"/>
          <w:sz w:val="22"/>
          <w:shd w:val="clear" w:color="auto" w:fill="FFFFFF"/>
          <w:lang w:val="es-ES_tradnl"/>
        </w:rPr>
        <w:t>s importante tener en cuenta que el supuesto de dividir la garantía en di</w:t>
      </w:r>
      <w:r w:rsidR="003231A1" w:rsidRPr="00111101">
        <w:rPr>
          <w:rFonts w:ascii="Arial" w:hAnsi="Arial" w:cs="Arial"/>
          <w:sz w:val="22"/>
          <w:shd w:val="clear" w:color="auto" w:fill="FFFFFF"/>
          <w:lang w:val="es-ES_tradnl"/>
        </w:rPr>
        <w:t xml:space="preserve">ferentes </w:t>
      </w:r>
      <w:r w:rsidR="008816A0" w:rsidRPr="00111101">
        <w:rPr>
          <w:rFonts w:ascii="Arial" w:hAnsi="Arial" w:cs="Arial"/>
          <w:sz w:val="22"/>
          <w:shd w:val="clear" w:color="auto" w:fill="FFFFFF"/>
          <w:lang w:val="es-ES_tradnl"/>
        </w:rPr>
        <w:t xml:space="preserve">etapas contractuales implica que se </w:t>
      </w:r>
      <w:r w:rsidR="005E2050" w:rsidRPr="00111101">
        <w:rPr>
          <w:rFonts w:ascii="Arial" w:hAnsi="Arial" w:cs="Arial"/>
          <w:sz w:val="22"/>
          <w:shd w:val="clear" w:color="auto" w:fill="FFFFFF"/>
          <w:lang w:val="es-ES_tradnl"/>
        </w:rPr>
        <w:t>cuente con una garantía</w:t>
      </w:r>
      <w:r w:rsidR="008816A0" w:rsidRPr="00111101">
        <w:rPr>
          <w:rFonts w:ascii="Arial" w:hAnsi="Arial" w:cs="Arial"/>
          <w:sz w:val="22"/>
          <w:shd w:val="clear" w:color="auto" w:fill="FFFFFF"/>
          <w:lang w:val="es-ES_tradnl"/>
        </w:rPr>
        <w:t xml:space="preserve"> independiente para cada etapa del contrato o periodo contractual. </w:t>
      </w:r>
      <w:r w:rsidR="00C353DE" w:rsidRPr="00111101">
        <w:rPr>
          <w:rFonts w:ascii="Arial" w:hAnsi="Arial" w:cs="Arial"/>
          <w:sz w:val="22"/>
          <w:shd w:val="clear" w:color="auto" w:fill="FFFFFF"/>
          <w:lang w:val="es-ES_tradnl"/>
        </w:rPr>
        <w:t xml:space="preserve">Esto implica que para cada </w:t>
      </w:r>
      <w:r w:rsidR="00986D75" w:rsidRPr="00111101">
        <w:rPr>
          <w:rFonts w:ascii="Arial" w:hAnsi="Arial" w:cs="Arial"/>
          <w:sz w:val="22"/>
          <w:shd w:val="clear" w:color="auto" w:fill="FFFFFF"/>
          <w:lang w:val="es-ES_tradnl"/>
        </w:rPr>
        <w:t xml:space="preserve">etapa </w:t>
      </w:r>
      <w:r w:rsidRPr="00111101">
        <w:rPr>
          <w:rFonts w:ascii="Arial" w:hAnsi="Arial" w:cs="Arial"/>
          <w:sz w:val="22"/>
          <w:shd w:val="clear" w:color="auto" w:fill="FFFFFF"/>
          <w:lang w:val="es-ES_tradnl"/>
        </w:rPr>
        <w:t xml:space="preserve">o periodo </w:t>
      </w:r>
      <w:r w:rsidR="00C353DE" w:rsidRPr="00111101">
        <w:rPr>
          <w:rFonts w:ascii="Arial" w:hAnsi="Arial" w:cs="Arial"/>
          <w:sz w:val="22"/>
          <w:shd w:val="clear" w:color="auto" w:fill="FFFFFF"/>
          <w:lang w:val="es-ES_tradnl"/>
        </w:rPr>
        <w:t xml:space="preserve">se </w:t>
      </w:r>
      <w:r w:rsidRPr="00111101">
        <w:rPr>
          <w:rFonts w:ascii="Arial" w:hAnsi="Arial" w:cs="Arial"/>
          <w:sz w:val="22"/>
          <w:shd w:val="clear" w:color="auto" w:fill="FFFFFF"/>
          <w:lang w:val="es-ES_tradnl"/>
        </w:rPr>
        <w:t>contará con una garantía</w:t>
      </w:r>
      <w:r w:rsidR="00986D75" w:rsidRPr="00111101">
        <w:rPr>
          <w:rFonts w:ascii="Arial" w:hAnsi="Arial" w:cs="Arial"/>
          <w:sz w:val="22"/>
          <w:shd w:val="clear" w:color="auto" w:fill="FFFFFF"/>
          <w:lang w:val="es-ES_tradnl"/>
        </w:rPr>
        <w:t xml:space="preserve"> independiente</w:t>
      </w:r>
      <w:r w:rsidR="00C353DE" w:rsidRPr="00111101">
        <w:rPr>
          <w:rFonts w:ascii="Arial" w:hAnsi="Arial" w:cs="Arial"/>
          <w:sz w:val="22"/>
          <w:shd w:val="clear" w:color="auto" w:fill="FFFFFF"/>
          <w:lang w:val="es-ES_tradnl"/>
        </w:rPr>
        <w:t xml:space="preserve"> que ampara </w:t>
      </w:r>
      <w:r w:rsidRPr="00111101">
        <w:rPr>
          <w:rFonts w:ascii="Arial" w:hAnsi="Arial" w:cs="Arial"/>
          <w:sz w:val="22"/>
          <w:shd w:val="clear" w:color="auto" w:fill="FFFFFF"/>
          <w:lang w:val="es-ES_tradnl"/>
        </w:rPr>
        <w:t>riegos distintos,</w:t>
      </w:r>
      <w:r w:rsidR="00C353DE" w:rsidRPr="00111101">
        <w:rPr>
          <w:rFonts w:ascii="Arial" w:hAnsi="Arial" w:cs="Arial"/>
          <w:sz w:val="22"/>
          <w:shd w:val="clear" w:color="auto" w:fill="FFFFFF"/>
          <w:lang w:val="es-ES_tradnl"/>
        </w:rPr>
        <w:t xml:space="preserve"> y que</w:t>
      </w:r>
      <w:r w:rsidR="00A04B76" w:rsidRPr="00111101">
        <w:rPr>
          <w:rFonts w:ascii="Arial" w:hAnsi="Arial" w:cs="Arial"/>
          <w:sz w:val="22"/>
          <w:shd w:val="clear" w:color="auto" w:fill="FFFFFF"/>
          <w:lang w:val="es-ES_tradnl"/>
        </w:rPr>
        <w:t xml:space="preserve">, </w:t>
      </w:r>
      <w:r w:rsidR="00C353DE" w:rsidRPr="00111101">
        <w:rPr>
          <w:rFonts w:ascii="Arial" w:hAnsi="Arial" w:cs="Arial"/>
          <w:sz w:val="22"/>
          <w:shd w:val="clear" w:color="auto" w:fill="FFFFFF"/>
          <w:lang w:val="es-ES_tradnl"/>
        </w:rPr>
        <w:t xml:space="preserve">además, el valor asegurado también </w:t>
      </w:r>
      <w:r w:rsidR="004E1C20" w:rsidRPr="00111101">
        <w:rPr>
          <w:rFonts w:ascii="Arial" w:hAnsi="Arial" w:cs="Arial"/>
          <w:sz w:val="22"/>
          <w:shd w:val="clear" w:color="auto" w:fill="FFFFFF"/>
          <w:lang w:val="es-ES_tradnl"/>
        </w:rPr>
        <w:t>tendrá modificaciones</w:t>
      </w:r>
      <w:r w:rsidR="00C353DE" w:rsidRPr="00111101">
        <w:rPr>
          <w:rFonts w:ascii="Arial" w:hAnsi="Arial" w:cs="Arial"/>
          <w:sz w:val="22"/>
          <w:shd w:val="clear" w:color="auto" w:fill="FFFFFF"/>
          <w:lang w:val="es-ES_tradnl"/>
        </w:rPr>
        <w:t xml:space="preserve">. </w:t>
      </w:r>
      <w:r w:rsidR="00A04B76" w:rsidRPr="00111101">
        <w:rPr>
          <w:rFonts w:ascii="Arial" w:hAnsi="Arial" w:cs="Arial"/>
          <w:sz w:val="22"/>
          <w:shd w:val="clear" w:color="auto" w:fill="FFFFFF"/>
          <w:lang w:val="es-ES_tradnl"/>
        </w:rPr>
        <w:t>Es decir</w:t>
      </w:r>
      <w:r w:rsidR="005E2050" w:rsidRPr="00111101">
        <w:rPr>
          <w:rFonts w:ascii="Arial" w:hAnsi="Arial" w:cs="Arial"/>
          <w:sz w:val="22"/>
          <w:shd w:val="clear" w:color="auto" w:fill="FFFFFF"/>
          <w:lang w:val="es-ES_tradnl"/>
        </w:rPr>
        <w:t>,</w:t>
      </w:r>
      <w:r w:rsidR="00A04B76" w:rsidRPr="00111101">
        <w:rPr>
          <w:rFonts w:ascii="Arial" w:hAnsi="Arial" w:cs="Arial"/>
          <w:sz w:val="22"/>
          <w:shd w:val="clear" w:color="auto" w:fill="FFFFFF"/>
          <w:lang w:val="es-ES_tradnl"/>
        </w:rPr>
        <w:t xml:space="preserve"> que el garante tiene la autonomía de decidir si asume o no</w:t>
      </w:r>
      <w:r w:rsidR="00986D75" w:rsidRPr="00111101">
        <w:rPr>
          <w:rFonts w:ascii="Arial" w:hAnsi="Arial" w:cs="Arial"/>
          <w:sz w:val="22"/>
          <w:shd w:val="clear" w:color="auto" w:fill="FFFFFF"/>
          <w:lang w:val="es-ES_tradnl"/>
        </w:rPr>
        <w:t xml:space="preserve"> </w:t>
      </w:r>
      <w:r w:rsidRPr="00111101">
        <w:rPr>
          <w:rFonts w:ascii="Arial" w:hAnsi="Arial" w:cs="Arial"/>
          <w:sz w:val="22"/>
          <w:shd w:val="clear" w:color="auto" w:fill="FFFFFF"/>
          <w:lang w:val="es-ES_tradnl"/>
        </w:rPr>
        <w:t>la celebración de un nuevo negocio jurídico</w:t>
      </w:r>
      <w:r w:rsidR="00986D75" w:rsidRPr="00111101">
        <w:rPr>
          <w:rFonts w:ascii="Arial" w:hAnsi="Arial" w:cs="Arial"/>
          <w:sz w:val="22"/>
          <w:shd w:val="clear" w:color="auto" w:fill="FFFFFF"/>
          <w:lang w:val="es-ES_tradnl"/>
        </w:rPr>
        <w:t xml:space="preserve">, </w:t>
      </w:r>
      <w:r w:rsidR="00A04B76" w:rsidRPr="00111101">
        <w:rPr>
          <w:rFonts w:ascii="Arial" w:hAnsi="Arial" w:cs="Arial"/>
          <w:sz w:val="22"/>
          <w:shd w:val="clear" w:color="auto" w:fill="FFFFFF"/>
          <w:lang w:val="es-ES_tradnl"/>
        </w:rPr>
        <w:t xml:space="preserve">sin necesidad de justificar </w:t>
      </w:r>
      <w:r w:rsidR="00815D48" w:rsidRPr="00111101">
        <w:rPr>
          <w:rFonts w:ascii="Arial" w:hAnsi="Arial" w:cs="Arial"/>
          <w:sz w:val="22"/>
          <w:shd w:val="clear" w:color="auto" w:fill="FFFFFF"/>
          <w:lang w:val="es-ES_tradnl"/>
        </w:rPr>
        <w:t>por qué</w:t>
      </w:r>
      <w:r w:rsidR="00A04B76" w:rsidRPr="00111101">
        <w:rPr>
          <w:rFonts w:ascii="Arial" w:hAnsi="Arial" w:cs="Arial"/>
          <w:sz w:val="22"/>
          <w:shd w:val="clear" w:color="auto" w:fill="FFFFFF"/>
          <w:lang w:val="es-ES_tradnl"/>
        </w:rPr>
        <w:t xml:space="preserve"> </w:t>
      </w:r>
      <w:r w:rsidR="00136323" w:rsidRPr="00111101">
        <w:rPr>
          <w:rFonts w:ascii="Arial" w:hAnsi="Arial" w:cs="Arial"/>
          <w:sz w:val="22"/>
          <w:shd w:val="clear" w:color="auto" w:fill="FFFFFF"/>
          <w:lang w:val="es-ES_tradnl"/>
        </w:rPr>
        <w:t xml:space="preserve">decide </w:t>
      </w:r>
      <w:r w:rsidR="00A04B76" w:rsidRPr="00111101">
        <w:rPr>
          <w:rFonts w:ascii="Arial" w:hAnsi="Arial" w:cs="Arial"/>
          <w:sz w:val="22"/>
          <w:shd w:val="clear" w:color="auto" w:fill="FFFFFF"/>
          <w:lang w:val="es-ES_tradnl"/>
        </w:rPr>
        <w:t>no conti</w:t>
      </w:r>
      <w:r w:rsidR="00815D48" w:rsidRPr="00111101">
        <w:rPr>
          <w:rFonts w:ascii="Arial" w:hAnsi="Arial" w:cs="Arial"/>
          <w:sz w:val="22"/>
          <w:shd w:val="clear" w:color="auto" w:fill="FFFFFF"/>
          <w:lang w:val="es-ES_tradnl"/>
        </w:rPr>
        <w:t>n</w:t>
      </w:r>
      <w:r w:rsidR="00136323" w:rsidRPr="00111101">
        <w:rPr>
          <w:rFonts w:ascii="Arial" w:hAnsi="Arial" w:cs="Arial"/>
          <w:sz w:val="22"/>
          <w:shd w:val="clear" w:color="auto" w:fill="FFFFFF"/>
          <w:lang w:val="es-ES_tradnl"/>
        </w:rPr>
        <w:t>u</w:t>
      </w:r>
      <w:r w:rsidR="00815D48" w:rsidRPr="00111101">
        <w:rPr>
          <w:rFonts w:ascii="Arial" w:hAnsi="Arial" w:cs="Arial"/>
          <w:sz w:val="22"/>
          <w:shd w:val="clear" w:color="auto" w:fill="FFFFFF"/>
          <w:lang w:val="es-ES_tradnl"/>
        </w:rPr>
        <w:t>a</w:t>
      </w:r>
      <w:r w:rsidR="00136323" w:rsidRPr="00111101">
        <w:rPr>
          <w:rFonts w:ascii="Arial" w:hAnsi="Arial" w:cs="Arial"/>
          <w:sz w:val="22"/>
          <w:shd w:val="clear" w:color="auto" w:fill="FFFFFF"/>
          <w:lang w:val="es-ES_tradnl"/>
        </w:rPr>
        <w:t>r</w:t>
      </w:r>
      <w:r w:rsidR="00815D48" w:rsidRPr="00111101">
        <w:rPr>
          <w:rFonts w:ascii="Arial" w:hAnsi="Arial" w:cs="Arial"/>
          <w:sz w:val="22"/>
          <w:shd w:val="clear" w:color="auto" w:fill="FFFFFF"/>
          <w:lang w:val="es-ES_tradnl"/>
        </w:rPr>
        <w:t xml:space="preserve"> </w:t>
      </w:r>
      <w:r w:rsidRPr="00111101">
        <w:rPr>
          <w:rFonts w:ascii="Arial" w:hAnsi="Arial" w:cs="Arial"/>
          <w:sz w:val="22"/>
          <w:shd w:val="clear" w:color="auto" w:fill="FFFFFF"/>
          <w:lang w:val="es-ES_tradnl"/>
        </w:rPr>
        <w:t xml:space="preserve">garantizando </w:t>
      </w:r>
      <w:r w:rsidR="00815D48" w:rsidRPr="00111101">
        <w:rPr>
          <w:rFonts w:ascii="Arial" w:hAnsi="Arial" w:cs="Arial"/>
          <w:sz w:val="22"/>
          <w:shd w:val="clear" w:color="auto" w:fill="FFFFFF"/>
          <w:lang w:val="es-ES_tradnl"/>
        </w:rPr>
        <w:t xml:space="preserve">la etapa </w:t>
      </w:r>
      <w:r w:rsidRPr="00111101">
        <w:rPr>
          <w:rFonts w:ascii="Arial" w:hAnsi="Arial" w:cs="Arial"/>
          <w:sz w:val="22"/>
          <w:shd w:val="clear" w:color="auto" w:fill="FFFFFF"/>
          <w:lang w:val="es-ES_tradnl"/>
        </w:rPr>
        <w:t>o periodo contractual</w:t>
      </w:r>
      <w:r w:rsidR="00815D48" w:rsidRPr="00111101">
        <w:rPr>
          <w:rFonts w:ascii="Arial" w:hAnsi="Arial" w:cs="Arial"/>
          <w:sz w:val="22"/>
          <w:shd w:val="clear" w:color="auto" w:fill="FFFFFF"/>
          <w:lang w:val="es-ES_tradnl"/>
        </w:rPr>
        <w:t xml:space="preserve"> subsiguiente</w:t>
      </w:r>
      <w:r w:rsidR="000302F8" w:rsidRPr="00111101">
        <w:rPr>
          <w:rFonts w:ascii="Arial" w:hAnsi="Arial" w:cs="Arial"/>
          <w:sz w:val="22"/>
          <w:shd w:val="clear" w:color="auto" w:fill="FFFFFF"/>
          <w:lang w:val="es-ES_tradnl"/>
        </w:rPr>
        <w:t xml:space="preserve">. </w:t>
      </w:r>
    </w:p>
    <w:p w14:paraId="77BD448A" w14:textId="7064C6E1" w:rsidR="004C2F5C" w:rsidRPr="00111101" w:rsidRDefault="00986D75" w:rsidP="00F647FD">
      <w:pPr>
        <w:spacing w:before="120" w:line="276" w:lineRule="auto"/>
        <w:ind w:firstLine="705"/>
        <w:jc w:val="both"/>
        <w:rPr>
          <w:rFonts w:ascii="Arial" w:hAnsi="Arial" w:cs="Arial"/>
          <w:sz w:val="22"/>
          <w:shd w:val="clear" w:color="auto" w:fill="FFFFFF"/>
          <w:lang w:val="es-ES_tradnl"/>
        </w:rPr>
      </w:pPr>
      <w:r w:rsidRPr="00111101">
        <w:rPr>
          <w:rFonts w:ascii="Arial" w:hAnsi="Arial" w:cs="Arial"/>
          <w:sz w:val="22"/>
          <w:shd w:val="clear" w:color="auto" w:fill="FFFFFF"/>
          <w:lang w:val="es-ES_tradnl"/>
        </w:rPr>
        <w:lastRenderedPageBreak/>
        <w:t xml:space="preserve">Conforme a lo anterior, </w:t>
      </w:r>
      <w:r w:rsidR="00F5716B" w:rsidRPr="00111101">
        <w:rPr>
          <w:rFonts w:ascii="Arial" w:hAnsi="Arial" w:cs="Arial"/>
          <w:sz w:val="22"/>
          <w:shd w:val="clear" w:color="auto" w:fill="FFFFFF"/>
          <w:lang w:val="es-ES_tradnl"/>
        </w:rPr>
        <w:t xml:space="preserve">el garante tiene la autonomía para decidir si quiere celebrar un nuevo </w:t>
      </w:r>
      <w:r w:rsidR="0066748A" w:rsidRPr="00111101">
        <w:rPr>
          <w:rFonts w:ascii="Arial" w:hAnsi="Arial" w:cs="Arial"/>
          <w:sz w:val="22"/>
          <w:shd w:val="clear" w:color="auto" w:fill="FFFFFF"/>
          <w:lang w:val="es-ES_tradnl"/>
        </w:rPr>
        <w:t>negocio jurídico</w:t>
      </w:r>
      <w:r w:rsidR="00F5716B" w:rsidRPr="00111101">
        <w:rPr>
          <w:rFonts w:ascii="Arial" w:hAnsi="Arial" w:cs="Arial"/>
          <w:sz w:val="22"/>
          <w:shd w:val="clear" w:color="auto" w:fill="FFFFFF"/>
          <w:lang w:val="es-ES_tradnl"/>
        </w:rPr>
        <w:t xml:space="preserve"> para amparar los riesgos </w:t>
      </w:r>
      <w:r w:rsidR="00A934BD" w:rsidRPr="00111101">
        <w:rPr>
          <w:rFonts w:ascii="Arial" w:hAnsi="Arial" w:cs="Arial"/>
          <w:sz w:val="22"/>
          <w:shd w:val="clear" w:color="auto" w:fill="FFFFFF"/>
          <w:lang w:val="es-ES_tradnl"/>
        </w:rPr>
        <w:t xml:space="preserve">de una </w:t>
      </w:r>
      <w:r w:rsidR="00136323" w:rsidRPr="00111101">
        <w:rPr>
          <w:rFonts w:ascii="Arial" w:hAnsi="Arial" w:cs="Arial"/>
          <w:sz w:val="22"/>
          <w:shd w:val="clear" w:color="auto" w:fill="FFFFFF"/>
          <w:lang w:val="es-ES_tradnl"/>
        </w:rPr>
        <w:t xml:space="preserve">siguiente </w:t>
      </w:r>
      <w:r w:rsidR="00A934BD" w:rsidRPr="00111101">
        <w:rPr>
          <w:rFonts w:ascii="Arial" w:hAnsi="Arial" w:cs="Arial"/>
          <w:sz w:val="22"/>
          <w:shd w:val="clear" w:color="auto" w:fill="FFFFFF"/>
          <w:lang w:val="es-ES_tradnl"/>
        </w:rPr>
        <w:t>etapa del contrato o periodo contractual</w:t>
      </w:r>
      <w:r w:rsidR="005768E2" w:rsidRPr="00111101">
        <w:rPr>
          <w:rFonts w:ascii="Arial" w:hAnsi="Arial" w:cs="Arial"/>
          <w:sz w:val="22"/>
          <w:shd w:val="clear" w:color="auto" w:fill="FFFFFF"/>
          <w:lang w:val="es-ES_tradnl"/>
        </w:rPr>
        <w:t xml:space="preserve">, siempre </w:t>
      </w:r>
      <w:r w:rsidR="0026099F" w:rsidRPr="00111101">
        <w:rPr>
          <w:rFonts w:ascii="Arial" w:hAnsi="Arial" w:cs="Arial"/>
          <w:sz w:val="22"/>
          <w:shd w:val="clear" w:color="auto" w:fill="FFFFFF"/>
          <w:lang w:val="es-ES_tradnl"/>
        </w:rPr>
        <w:t>que</w:t>
      </w:r>
      <w:r w:rsidR="00D33A6D" w:rsidRPr="00111101">
        <w:rPr>
          <w:rFonts w:ascii="Arial" w:hAnsi="Arial" w:cs="Arial"/>
          <w:sz w:val="22"/>
          <w:shd w:val="clear" w:color="auto" w:fill="FFFFFF"/>
          <w:lang w:val="es-ES_tradnl"/>
        </w:rPr>
        <w:t>: i)</w:t>
      </w:r>
      <w:r w:rsidR="0026099F" w:rsidRPr="00111101">
        <w:rPr>
          <w:rFonts w:ascii="Arial" w:hAnsi="Arial" w:cs="Arial"/>
          <w:sz w:val="22"/>
          <w:shd w:val="clear" w:color="auto" w:fill="FFFFFF"/>
          <w:lang w:val="es-ES_tradnl"/>
        </w:rPr>
        <w:t xml:space="preserve"> el aviso de no continuar garantizando la etapa</w:t>
      </w:r>
      <w:r w:rsidR="0066748A" w:rsidRPr="00111101">
        <w:rPr>
          <w:rFonts w:ascii="Arial" w:hAnsi="Arial" w:cs="Arial"/>
          <w:sz w:val="22"/>
          <w:shd w:val="clear" w:color="auto" w:fill="FFFFFF"/>
          <w:lang w:val="es-ES_tradnl"/>
        </w:rPr>
        <w:t xml:space="preserve"> o periodo</w:t>
      </w:r>
      <w:r w:rsidR="00B63F7A" w:rsidRPr="00111101">
        <w:rPr>
          <w:rFonts w:ascii="Arial" w:hAnsi="Arial" w:cs="Arial"/>
          <w:sz w:val="22"/>
          <w:shd w:val="clear" w:color="auto" w:fill="FFFFFF"/>
          <w:lang w:val="es-ES_tradnl"/>
        </w:rPr>
        <w:t xml:space="preserve"> contractual</w:t>
      </w:r>
      <w:r w:rsidR="0026099F" w:rsidRPr="00111101">
        <w:rPr>
          <w:rFonts w:ascii="Arial" w:hAnsi="Arial" w:cs="Arial"/>
          <w:sz w:val="22"/>
          <w:shd w:val="clear" w:color="auto" w:fill="FFFFFF"/>
          <w:lang w:val="es-ES_tradnl"/>
        </w:rPr>
        <w:t xml:space="preserve"> siguiente </w:t>
      </w:r>
      <w:r w:rsidR="0066748A" w:rsidRPr="00111101">
        <w:rPr>
          <w:rFonts w:ascii="Arial" w:hAnsi="Arial" w:cs="Arial"/>
          <w:sz w:val="22"/>
          <w:shd w:val="clear" w:color="auto" w:fill="FFFFFF"/>
          <w:lang w:val="es-ES_tradnl"/>
        </w:rPr>
        <w:t>la realice</w:t>
      </w:r>
      <w:r w:rsidR="00B63F7A" w:rsidRPr="00111101">
        <w:rPr>
          <w:rFonts w:ascii="Arial" w:hAnsi="Arial" w:cs="Arial"/>
          <w:sz w:val="22"/>
          <w:shd w:val="clear" w:color="auto" w:fill="FFFFFF"/>
          <w:lang w:val="es-ES_tradnl"/>
        </w:rPr>
        <w:t xml:space="preserve"> </w:t>
      </w:r>
      <w:r w:rsidR="00B63F7A" w:rsidRPr="00111101">
        <w:rPr>
          <w:rFonts w:ascii="Arial" w:hAnsi="Arial" w:cs="Arial"/>
          <w:sz w:val="22"/>
          <w:shd w:val="clear" w:color="auto" w:fill="FFFFFF"/>
        </w:rPr>
        <w:t>seis (6) meses antes del vencimiento del plazo de la garantía</w:t>
      </w:r>
      <w:r w:rsidR="00D33A6D" w:rsidRPr="00111101">
        <w:rPr>
          <w:rFonts w:ascii="Arial" w:hAnsi="Arial" w:cs="Arial"/>
          <w:sz w:val="22"/>
          <w:shd w:val="clear" w:color="auto" w:fill="FFFFFF"/>
        </w:rPr>
        <w:t xml:space="preserve"> y ii) </w:t>
      </w:r>
      <w:r w:rsidR="0066748A" w:rsidRPr="00111101">
        <w:rPr>
          <w:rFonts w:ascii="Arial" w:hAnsi="Arial" w:cs="Arial"/>
          <w:sz w:val="22"/>
          <w:shd w:val="clear" w:color="auto" w:fill="FFFFFF"/>
        </w:rPr>
        <w:t xml:space="preserve">debe informar su decisión </w:t>
      </w:r>
      <w:r w:rsidR="0066748A" w:rsidRPr="00111101">
        <w:rPr>
          <w:rFonts w:ascii="Arial" w:hAnsi="Arial" w:cs="Arial"/>
          <w:i/>
          <w:iCs/>
          <w:sz w:val="22"/>
          <w:shd w:val="clear" w:color="auto" w:fill="FFFFFF"/>
        </w:rPr>
        <w:t>por</w:t>
      </w:r>
      <w:r w:rsidR="0066748A" w:rsidRPr="00111101">
        <w:rPr>
          <w:rFonts w:ascii="Arial" w:hAnsi="Arial" w:cs="Arial"/>
          <w:sz w:val="22"/>
          <w:shd w:val="clear" w:color="auto" w:fill="FFFFFF"/>
        </w:rPr>
        <w:t xml:space="preserve"> </w:t>
      </w:r>
      <w:r w:rsidR="0066748A" w:rsidRPr="00111101">
        <w:rPr>
          <w:rFonts w:ascii="Arial" w:hAnsi="Arial" w:cs="Arial"/>
          <w:i/>
          <w:iCs/>
          <w:sz w:val="22"/>
          <w:shd w:val="clear" w:color="auto" w:fill="FFFFFF"/>
        </w:rPr>
        <w:t>escrito</w:t>
      </w:r>
      <w:r w:rsidR="0066748A" w:rsidRPr="00111101">
        <w:rPr>
          <w:rFonts w:ascii="Arial" w:hAnsi="Arial" w:cs="Arial"/>
          <w:sz w:val="22"/>
          <w:shd w:val="clear" w:color="auto" w:fill="FFFFFF"/>
        </w:rPr>
        <w:t xml:space="preserve"> a la entidad estatal garantizada</w:t>
      </w:r>
      <w:r w:rsidR="00B63F7A" w:rsidRPr="00111101">
        <w:rPr>
          <w:rFonts w:ascii="Arial" w:hAnsi="Arial" w:cs="Arial"/>
          <w:sz w:val="22"/>
          <w:shd w:val="clear" w:color="auto" w:fill="FFFFFF"/>
          <w:lang w:val="es-ES_tradnl"/>
        </w:rPr>
        <w:t>.</w:t>
      </w:r>
      <w:r w:rsidR="00A934BD" w:rsidRPr="00111101">
        <w:rPr>
          <w:rFonts w:ascii="Arial" w:hAnsi="Arial" w:cs="Arial"/>
          <w:sz w:val="22"/>
          <w:shd w:val="clear" w:color="auto" w:fill="FFFFFF"/>
          <w:lang w:val="es-ES_tradnl"/>
        </w:rPr>
        <w:t xml:space="preserve"> </w:t>
      </w:r>
      <w:r w:rsidR="00C10AD2" w:rsidRPr="00111101">
        <w:rPr>
          <w:rFonts w:ascii="Arial" w:hAnsi="Arial" w:cs="Arial"/>
          <w:sz w:val="22"/>
          <w:shd w:val="clear" w:color="auto" w:fill="FFFFFF"/>
          <w:lang w:val="es-ES_tradnl"/>
        </w:rPr>
        <w:t>E</w:t>
      </w:r>
      <w:r w:rsidR="00A934BD" w:rsidRPr="00111101">
        <w:rPr>
          <w:rFonts w:ascii="Arial" w:hAnsi="Arial" w:cs="Arial"/>
          <w:sz w:val="22"/>
          <w:shd w:val="clear" w:color="auto" w:fill="FFFFFF"/>
          <w:lang w:val="es-ES_tradnl"/>
        </w:rPr>
        <w:t xml:space="preserve">n consecuencia, </w:t>
      </w:r>
      <w:r w:rsidR="00C10AD2" w:rsidRPr="00111101">
        <w:rPr>
          <w:rFonts w:ascii="Arial" w:hAnsi="Arial" w:cs="Arial"/>
          <w:sz w:val="22"/>
          <w:shd w:val="clear" w:color="auto" w:fill="FFFFFF"/>
          <w:lang w:val="es-ES_tradnl"/>
        </w:rPr>
        <w:t xml:space="preserve">el garante </w:t>
      </w:r>
      <w:r w:rsidR="00A934BD" w:rsidRPr="00111101">
        <w:rPr>
          <w:rFonts w:ascii="Arial" w:hAnsi="Arial" w:cs="Arial"/>
          <w:sz w:val="22"/>
          <w:shd w:val="clear" w:color="auto" w:fill="FFFFFF"/>
          <w:lang w:val="es-ES_tradnl"/>
        </w:rPr>
        <w:t xml:space="preserve">no </w:t>
      </w:r>
      <w:r w:rsidR="0066748A" w:rsidRPr="00111101">
        <w:rPr>
          <w:rFonts w:ascii="Arial" w:hAnsi="Arial" w:cs="Arial"/>
          <w:sz w:val="22"/>
          <w:shd w:val="clear" w:color="auto" w:fill="FFFFFF"/>
          <w:lang w:val="es-ES_tradnl"/>
        </w:rPr>
        <w:t xml:space="preserve">tendría </w:t>
      </w:r>
      <w:r w:rsidR="00A934BD" w:rsidRPr="00111101">
        <w:rPr>
          <w:rFonts w:ascii="Arial" w:hAnsi="Arial" w:cs="Arial"/>
          <w:sz w:val="22"/>
          <w:shd w:val="clear" w:color="auto" w:fill="FFFFFF"/>
          <w:lang w:val="es-ES_tradnl"/>
        </w:rPr>
        <w:t xml:space="preserve">la obligación de justificar </w:t>
      </w:r>
      <w:r w:rsidR="009C39FA" w:rsidRPr="00111101">
        <w:rPr>
          <w:rFonts w:ascii="Arial" w:hAnsi="Arial" w:cs="Arial"/>
          <w:sz w:val="22"/>
          <w:shd w:val="clear" w:color="auto" w:fill="FFFFFF"/>
          <w:lang w:val="es-ES_tradnl"/>
        </w:rPr>
        <w:t>las razones por las cuales no quiere asumir los riesgos de la etapa</w:t>
      </w:r>
      <w:r w:rsidR="0066748A" w:rsidRPr="00111101">
        <w:rPr>
          <w:rFonts w:ascii="Arial" w:hAnsi="Arial" w:cs="Arial"/>
          <w:sz w:val="22"/>
          <w:shd w:val="clear" w:color="auto" w:fill="FFFFFF"/>
          <w:lang w:val="es-ES_tradnl"/>
        </w:rPr>
        <w:t xml:space="preserve"> o periodo</w:t>
      </w:r>
      <w:r w:rsidR="009C39FA" w:rsidRPr="00111101">
        <w:rPr>
          <w:rFonts w:ascii="Arial" w:hAnsi="Arial" w:cs="Arial"/>
          <w:sz w:val="22"/>
          <w:shd w:val="clear" w:color="auto" w:fill="FFFFFF"/>
          <w:lang w:val="es-ES_tradnl"/>
        </w:rPr>
        <w:t xml:space="preserve"> contractual subsiguiente. </w:t>
      </w:r>
    </w:p>
    <w:bookmarkEnd w:id="3"/>
    <w:p w14:paraId="4ACCE062" w14:textId="49453471" w:rsidR="009317D5" w:rsidRPr="00111101" w:rsidRDefault="009C39FA" w:rsidP="00601118">
      <w:pPr>
        <w:spacing w:before="120" w:line="276" w:lineRule="auto"/>
        <w:ind w:firstLine="705"/>
        <w:jc w:val="both"/>
        <w:rPr>
          <w:rStyle w:val="normaltextrun"/>
          <w:rFonts w:ascii="Arial" w:hAnsi="Arial" w:cs="Arial"/>
          <w:color w:val="000000"/>
          <w:sz w:val="22"/>
          <w:lang w:val="es-ES_tradnl"/>
        </w:rPr>
      </w:pPr>
      <w:r w:rsidRPr="00111101">
        <w:rPr>
          <w:rFonts w:ascii="Arial" w:hAnsi="Arial" w:cs="Arial"/>
          <w:sz w:val="22"/>
          <w:shd w:val="clear" w:color="auto" w:fill="FFFFFF"/>
          <w:lang w:val="es-ES_tradnl"/>
        </w:rPr>
        <w:t xml:space="preserve">Finalmente, es importante resaltar que </w:t>
      </w:r>
      <w:r w:rsidR="004C31E0" w:rsidRPr="00111101">
        <w:rPr>
          <w:rFonts w:ascii="Arial" w:hAnsi="Arial" w:cs="Arial"/>
          <w:sz w:val="22"/>
          <w:shd w:val="clear" w:color="auto" w:fill="FFFFFF"/>
          <w:lang w:val="es-ES_tradnl"/>
        </w:rPr>
        <w:t>si</w:t>
      </w:r>
      <w:r w:rsidR="00862B49" w:rsidRPr="00111101">
        <w:rPr>
          <w:rFonts w:ascii="Arial" w:hAnsi="Arial" w:cs="Arial"/>
          <w:sz w:val="22"/>
          <w:shd w:val="clear" w:color="auto" w:fill="FFFFFF"/>
          <w:lang w:val="es-ES_tradnl"/>
        </w:rPr>
        <w:t xml:space="preserve"> el garante no </w:t>
      </w:r>
      <w:r w:rsidR="009A2D96" w:rsidRPr="00111101">
        <w:rPr>
          <w:rFonts w:ascii="Arial" w:hAnsi="Arial" w:cs="Arial"/>
          <w:sz w:val="22"/>
          <w:shd w:val="clear" w:color="auto" w:fill="FFFFFF"/>
          <w:lang w:val="es-ES_tradnl"/>
        </w:rPr>
        <w:t xml:space="preserve">da el aviso con la anticipación mencionada y el contratista no obtiene una nueva garantía queda obligado a garantizar la etapa del contrato o periodo contractual subsiguiente. </w:t>
      </w:r>
      <w:r w:rsidR="004C31E0" w:rsidRPr="00111101">
        <w:rPr>
          <w:rFonts w:ascii="Arial" w:hAnsi="Arial" w:cs="Arial"/>
          <w:sz w:val="22"/>
          <w:shd w:val="clear" w:color="auto" w:fill="FFFFFF"/>
          <w:lang w:val="es-ES_tradnl"/>
        </w:rPr>
        <w:t>Lo anterior</w:t>
      </w:r>
      <w:r w:rsidR="0066748A" w:rsidRPr="00111101">
        <w:rPr>
          <w:rFonts w:ascii="Arial" w:hAnsi="Arial" w:cs="Arial"/>
          <w:sz w:val="22"/>
          <w:shd w:val="clear" w:color="auto" w:fill="FFFFFF"/>
          <w:lang w:val="es-ES_tradnl"/>
        </w:rPr>
        <w:t>,</w:t>
      </w:r>
      <w:r w:rsidR="004C31E0" w:rsidRPr="00111101">
        <w:rPr>
          <w:rFonts w:ascii="Arial" w:hAnsi="Arial" w:cs="Arial"/>
          <w:sz w:val="22"/>
          <w:shd w:val="clear" w:color="auto" w:fill="FFFFFF"/>
          <w:lang w:val="es-ES_tradnl"/>
        </w:rPr>
        <w:t xml:space="preserve"> como una medida </w:t>
      </w:r>
      <w:r w:rsidR="0066748A" w:rsidRPr="00111101">
        <w:rPr>
          <w:rFonts w:ascii="Arial" w:hAnsi="Arial" w:cs="Arial"/>
          <w:sz w:val="22"/>
          <w:shd w:val="clear" w:color="auto" w:fill="FFFFFF"/>
          <w:lang w:val="es-ES_tradnl"/>
        </w:rPr>
        <w:t>que establece el Decreto 1082 de 2015 –art. 2.2.1.2.3.1.3.</w:t>
      </w:r>
      <w:r w:rsidR="00D57BE7" w:rsidRPr="00111101">
        <w:rPr>
          <w:rFonts w:ascii="Arial" w:hAnsi="Arial" w:cs="Arial"/>
          <w:sz w:val="22"/>
          <w:shd w:val="clear" w:color="auto" w:fill="FFFFFF"/>
          <w:lang w:val="es-ES_tradnl"/>
        </w:rPr>
        <w:t>–</w:t>
      </w:r>
      <w:r w:rsidR="0066748A" w:rsidRPr="00111101">
        <w:rPr>
          <w:rFonts w:ascii="Arial" w:hAnsi="Arial" w:cs="Arial"/>
          <w:sz w:val="22"/>
          <w:shd w:val="clear" w:color="auto" w:fill="FFFFFF"/>
          <w:lang w:val="es-ES_tradnl"/>
        </w:rPr>
        <w:t xml:space="preserve"> </w:t>
      </w:r>
      <w:r w:rsidR="004C31E0" w:rsidRPr="00111101">
        <w:rPr>
          <w:rFonts w:ascii="Arial" w:hAnsi="Arial" w:cs="Arial"/>
          <w:sz w:val="22"/>
          <w:shd w:val="clear" w:color="auto" w:fill="FFFFFF"/>
          <w:lang w:val="es-ES_tradnl"/>
        </w:rPr>
        <w:t xml:space="preserve">para </w:t>
      </w:r>
      <w:r w:rsidR="00083DF2" w:rsidRPr="00111101">
        <w:rPr>
          <w:rFonts w:ascii="Arial" w:hAnsi="Arial" w:cs="Arial"/>
          <w:sz w:val="22"/>
          <w:shd w:val="clear" w:color="auto" w:fill="FFFFFF"/>
          <w:lang w:val="es-ES_tradnl"/>
        </w:rPr>
        <w:t>garantizar</w:t>
      </w:r>
      <w:r w:rsidR="004C31E0" w:rsidRPr="00111101">
        <w:rPr>
          <w:rFonts w:ascii="Arial" w:hAnsi="Arial" w:cs="Arial"/>
          <w:sz w:val="22"/>
          <w:shd w:val="clear" w:color="auto" w:fill="FFFFFF"/>
          <w:lang w:val="es-ES_tradnl"/>
        </w:rPr>
        <w:t xml:space="preserve"> que </w:t>
      </w:r>
      <w:r w:rsidR="002665B4" w:rsidRPr="00111101">
        <w:rPr>
          <w:rFonts w:ascii="Arial" w:hAnsi="Arial" w:cs="Arial"/>
          <w:sz w:val="22"/>
          <w:shd w:val="clear" w:color="auto" w:fill="FFFFFF"/>
          <w:lang w:val="es-ES_tradnl"/>
        </w:rPr>
        <w:t>la etapa contractual subsiguiente no quede desamparada</w:t>
      </w:r>
      <w:r w:rsidR="00970B2D" w:rsidRPr="00111101">
        <w:rPr>
          <w:rFonts w:ascii="Arial" w:hAnsi="Arial" w:cs="Arial"/>
          <w:sz w:val="22"/>
          <w:shd w:val="clear" w:color="auto" w:fill="FFFFFF"/>
          <w:lang w:val="es-ES_tradnl"/>
        </w:rPr>
        <w:t xml:space="preserve">. </w:t>
      </w:r>
    </w:p>
    <w:p w14:paraId="052D3C77" w14:textId="77777777" w:rsidR="00601118" w:rsidRPr="00111101" w:rsidRDefault="00601118" w:rsidP="00601118">
      <w:pPr>
        <w:spacing w:before="120" w:line="276" w:lineRule="auto"/>
        <w:ind w:firstLine="705"/>
        <w:jc w:val="both"/>
        <w:rPr>
          <w:rStyle w:val="normaltextrun"/>
          <w:rFonts w:ascii="Arial" w:hAnsi="Arial" w:cs="Arial"/>
          <w:color w:val="000000"/>
          <w:sz w:val="22"/>
          <w:lang w:val="es-ES_tradnl"/>
        </w:rPr>
      </w:pPr>
    </w:p>
    <w:p w14:paraId="0D2BC542" w14:textId="6FE39B19" w:rsidR="001F0B64" w:rsidRPr="00111101" w:rsidRDefault="001F0B64" w:rsidP="001F0B64">
      <w:pPr>
        <w:tabs>
          <w:tab w:val="left" w:pos="0"/>
        </w:tabs>
        <w:spacing w:line="276" w:lineRule="auto"/>
        <w:jc w:val="both"/>
        <w:rPr>
          <w:rFonts w:ascii="Arial" w:eastAsia="Calibri" w:hAnsi="Arial" w:cs="Arial"/>
          <w:b/>
          <w:color w:val="000000" w:themeColor="text1"/>
          <w:sz w:val="22"/>
          <w:lang w:val="es-ES_tradnl"/>
        </w:rPr>
      </w:pPr>
      <w:r w:rsidRPr="00111101">
        <w:rPr>
          <w:rFonts w:ascii="Arial" w:eastAsia="Calibri" w:hAnsi="Arial" w:cs="Arial"/>
          <w:b/>
          <w:color w:val="000000" w:themeColor="text1"/>
          <w:sz w:val="22"/>
          <w:lang w:val="es-ES_tradnl"/>
        </w:rPr>
        <w:t>3. Respuesta</w:t>
      </w:r>
    </w:p>
    <w:p w14:paraId="633B3B68" w14:textId="77777777" w:rsidR="001F0B64" w:rsidRPr="00111101" w:rsidRDefault="001F0B64" w:rsidP="001F0B64">
      <w:pPr>
        <w:tabs>
          <w:tab w:val="left" w:pos="567"/>
        </w:tabs>
        <w:spacing w:line="276" w:lineRule="auto"/>
        <w:ind w:left="709" w:right="476"/>
        <w:jc w:val="both"/>
        <w:rPr>
          <w:rFonts w:ascii="Arial" w:eastAsia="Calibri" w:hAnsi="Arial" w:cs="Arial"/>
          <w:color w:val="000000" w:themeColor="text1"/>
          <w:sz w:val="21"/>
          <w:szCs w:val="21"/>
          <w:lang w:val="es-ES_tradnl"/>
        </w:rPr>
      </w:pPr>
    </w:p>
    <w:p w14:paraId="5FE65E70" w14:textId="77777777" w:rsidR="002665B4" w:rsidRPr="00111101" w:rsidRDefault="002665B4" w:rsidP="00111101">
      <w:pPr>
        <w:pStyle w:val="Sinespaciado"/>
        <w:ind w:left="709" w:right="709"/>
        <w:jc w:val="both"/>
        <w:rPr>
          <w:rFonts w:ascii="Arial" w:eastAsia="Calibri" w:hAnsi="Arial" w:cs="Arial"/>
          <w:bCs/>
          <w:color w:val="000000" w:themeColor="text1"/>
          <w:sz w:val="21"/>
          <w:szCs w:val="21"/>
          <w:lang w:val="es-ES_tradnl"/>
        </w:rPr>
      </w:pPr>
      <w:r w:rsidRPr="00111101">
        <w:rPr>
          <w:rFonts w:ascii="Arial" w:hAnsi="Arial" w:cs="Arial"/>
          <w:bCs/>
          <w:sz w:val="21"/>
          <w:szCs w:val="21"/>
          <w:shd w:val="clear" w:color="auto" w:fill="FFFFFF"/>
        </w:rPr>
        <w:t>«</w:t>
      </w:r>
      <w:r w:rsidRPr="00111101">
        <w:rPr>
          <w:rFonts w:ascii="Arial" w:hAnsi="Arial" w:cs="Arial"/>
          <w:sz w:val="21"/>
          <w:szCs w:val="21"/>
          <w:shd w:val="clear" w:color="auto" w:fill="FFFFFF"/>
        </w:rPr>
        <w:t>S</w:t>
      </w:r>
      <w:r w:rsidRPr="00111101">
        <w:rPr>
          <w:rFonts w:ascii="Arial" w:hAnsi="Arial" w:cs="Arial"/>
          <w:sz w:val="21"/>
          <w:szCs w:val="21"/>
          <w:shd w:val="clear" w:color="auto" w:fill="FFFFFF"/>
          <w:lang w:val="es-ES_tradnl"/>
        </w:rPr>
        <w:t>i el garante de una etapa del contrato o un periodo contractual decide no continuar garantizando la etapa del contrato o periodo contractual subsiguiente, debe informar su decisión por escrito a la entidad estatal garantizada seis (6) meses antes del vencimiento del plazo de la garantía. ¿Es necesario que el garante justifique su decisión de no continuar garantizando el contrato?</w:t>
      </w:r>
      <w:r w:rsidRPr="00111101">
        <w:rPr>
          <w:rFonts w:ascii="Arial" w:hAnsi="Arial" w:cs="Arial"/>
          <w:sz w:val="21"/>
          <w:szCs w:val="21"/>
          <w:shd w:val="clear" w:color="auto" w:fill="FFFFFF"/>
        </w:rPr>
        <w:t>».</w:t>
      </w:r>
    </w:p>
    <w:p w14:paraId="6F818C77" w14:textId="7EF9A984" w:rsidR="00EA6133" w:rsidRPr="00111101" w:rsidRDefault="00EA6133" w:rsidP="00EA6133">
      <w:pPr>
        <w:spacing w:before="120" w:line="276" w:lineRule="auto"/>
        <w:jc w:val="both"/>
        <w:rPr>
          <w:rFonts w:ascii="Arial" w:hAnsi="Arial" w:cs="Arial"/>
          <w:sz w:val="22"/>
          <w:shd w:val="clear" w:color="auto" w:fill="FFFFFF"/>
          <w:lang w:val="es-ES_tradnl"/>
        </w:rPr>
      </w:pPr>
      <w:r w:rsidRPr="00111101">
        <w:rPr>
          <w:rFonts w:ascii="Arial" w:hAnsi="Arial" w:cs="Arial"/>
          <w:sz w:val="22"/>
          <w:shd w:val="clear" w:color="auto" w:fill="FFFFFF"/>
          <w:lang w:val="es-ES_tradnl"/>
        </w:rPr>
        <w:t xml:space="preserve">En los términos del artículo 2.2.1.2.3.1.3. del Decreto 1082 de 2015, si el garante decide no continuar garantizando la etapa del contrato o periodo contractual subsiguiente, asume la obligación de informar su decisión por escrito a la entidad estatal garantizada seis (6) meses antes del vencimiento del plazo de la garantía. Esto quiere decir que son dos (2) requisitos los que establece la norma: i) avisar con un tiempo de antelación de seis (6) meses antes de la fecha de vencimiento del plazo de la garantía e ii) informar por </w:t>
      </w:r>
      <w:r w:rsidRPr="00111101">
        <w:rPr>
          <w:rFonts w:ascii="Arial" w:hAnsi="Arial" w:cs="Arial"/>
          <w:i/>
          <w:iCs/>
          <w:sz w:val="22"/>
          <w:shd w:val="clear" w:color="auto" w:fill="FFFFFF"/>
          <w:lang w:val="es-ES_tradnl"/>
        </w:rPr>
        <w:t>escrito</w:t>
      </w:r>
      <w:r w:rsidRPr="00111101">
        <w:rPr>
          <w:rFonts w:ascii="Arial" w:hAnsi="Arial" w:cs="Arial"/>
          <w:sz w:val="22"/>
          <w:shd w:val="clear" w:color="auto" w:fill="FFFFFF"/>
          <w:lang w:val="es-ES_tradnl"/>
        </w:rPr>
        <w:t xml:space="preserve"> a la entidad; es decir, que no se tendrán en cuenta las manifestaciones verbales.</w:t>
      </w:r>
    </w:p>
    <w:p w14:paraId="6F010266" w14:textId="4AE91E52" w:rsidR="00136323" w:rsidRPr="00111101" w:rsidRDefault="00EA6133" w:rsidP="00136323">
      <w:pPr>
        <w:spacing w:before="120" w:line="276" w:lineRule="auto"/>
        <w:ind w:firstLine="705"/>
        <w:jc w:val="both"/>
        <w:rPr>
          <w:rFonts w:ascii="Arial" w:hAnsi="Arial" w:cs="Arial"/>
          <w:sz w:val="22"/>
          <w:shd w:val="clear" w:color="auto" w:fill="FFFFFF"/>
          <w:lang w:val="es-ES_tradnl"/>
        </w:rPr>
      </w:pPr>
      <w:r w:rsidRPr="00111101">
        <w:rPr>
          <w:rFonts w:ascii="Arial" w:hAnsi="Arial" w:cs="Arial"/>
          <w:sz w:val="22"/>
          <w:shd w:val="clear" w:color="auto" w:fill="FFFFFF"/>
          <w:lang w:val="es-ES_tradnl"/>
        </w:rPr>
        <w:t xml:space="preserve">En este sentido, </w:t>
      </w:r>
      <w:r w:rsidR="00136323" w:rsidRPr="00111101">
        <w:rPr>
          <w:rFonts w:ascii="Arial" w:hAnsi="Arial" w:cs="Arial"/>
          <w:sz w:val="22"/>
          <w:shd w:val="clear" w:color="auto" w:fill="FFFFFF"/>
          <w:lang w:val="es-ES_tradnl"/>
        </w:rPr>
        <w:t xml:space="preserve">frente a su inquietud particular si el garante tiene el deber de justificar su decisión de no continuar garantizando la etapa del contrato o periodo contractual subsiguiente, es importante resaltar que el artículo 2.2.1.2.3.1.3. del Decreto 1082 de 2015 no establece este requisito. En efecto, la exigencia de </w:t>
      </w:r>
      <w:r w:rsidR="00136323" w:rsidRPr="00111101">
        <w:rPr>
          <w:rFonts w:ascii="Arial" w:hAnsi="Arial" w:cs="Arial"/>
          <w:i/>
          <w:iCs/>
          <w:sz w:val="22"/>
          <w:shd w:val="clear" w:color="auto" w:fill="FFFFFF"/>
          <w:lang w:val="es-ES_tradnl"/>
        </w:rPr>
        <w:t>justificar</w:t>
      </w:r>
      <w:r w:rsidR="00136323" w:rsidRPr="00111101">
        <w:rPr>
          <w:rFonts w:ascii="Arial" w:hAnsi="Arial" w:cs="Arial"/>
          <w:sz w:val="22"/>
          <w:shd w:val="clear" w:color="auto" w:fill="FFFFFF"/>
          <w:lang w:val="es-ES_tradnl"/>
        </w:rPr>
        <w:t xml:space="preserve"> la decisión de no continuar garantizando el contrato no es un requisito que se derive del Decreto 1082 de 2015; por el contrario, la norma citada establece que cuando el garante decide no continuar garantizando la etapa o periodo contractual siguiente «debe informar su decisión por escrito», esto es, que basta con comunicar dicha decisión, sin que se establezcan requisitos adicionales o que tal decisión se someta a una justificación o razón particular. En tal sentido, la exigencia de una justificación específica, al no originarse en el ordenamiento jurídico afectaría la libertad contractual del garante de decidir si desea celebrar un nuevo negocio jurídico para amparar los riesgos de la etapa del contrato subsiguiente. Lo anterior, sin perjuicio de la obligación que tiene el </w:t>
      </w:r>
      <w:r w:rsidR="00136323" w:rsidRPr="00111101">
        <w:rPr>
          <w:rFonts w:ascii="Arial" w:hAnsi="Arial" w:cs="Arial"/>
          <w:i/>
          <w:iCs/>
          <w:sz w:val="22"/>
          <w:shd w:val="clear" w:color="auto" w:fill="FFFFFF"/>
          <w:lang w:val="es-ES_tradnl"/>
        </w:rPr>
        <w:t>contratista</w:t>
      </w:r>
      <w:r w:rsidR="00136323" w:rsidRPr="00111101">
        <w:rPr>
          <w:rFonts w:ascii="Arial" w:hAnsi="Arial" w:cs="Arial"/>
          <w:sz w:val="22"/>
          <w:shd w:val="clear" w:color="auto" w:fill="FFFFFF"/>
          <w:lang w:val="es-ES_tradnl"/>
        </w:rPr>
        <w:t xml:space="preserve"> de contar con la nueva garantía que amp</w:t>
      </w:r>
      <w:r w:rsidR="00FC1CA7" w:rsidRPr="00111101">
        <w:rPr>
          <w:rFonts w:ascii="Arial" w:hAnsi="Arial" w:cs="Arial"/>
          <w:sz w:val="22"/>
          <w:shd w:val="clear" w:color="auto" w:fill="FFFFFF"/>
          <w:lang w:val="es-ES_tradnl"/>
        </w:rPr>
        <w:t>a</w:t>
      </w:r>
      <w:r w:rsidR="00136323" w:rsidRPr="00111101">
        <w:rPr>
          <w:rFonts w:ascii="Arial" w:hAnsi="Arial" w:cs="Arial"/>
          <w:sz w:val="22"/>
          <w:shd w:val="clear" w:color="auto" w:fill="FFFFFF"/>
          <w:lang w:val="es-ES_tradnl"/>
        </w:rPr>
        <w:t>re la siguiente etapa o periodo contractual.</w:t>
      </w:r>
    </w:p>
    <w:p w14:paraId="04B0C2D1" w14:textId="75C30191" w:rsidR="003F4C42" w:rsidRPr="00111101" w:rsidRDefault="003F4C42" w:rsidP="003F4C42">
      <w:pPr>
        <w:spacing w:before="120" w:line="276" w:lineRule="auto"/>
        <w:ind w:firstLine="705"/>
        <w:jc w:val="both"/>
        <w:rPr>
          <w:rFonts w:ascii="Arial" w:hAnsi="Arial" w:cs="Arial"/>
          <w:sz w:val="22"/>
          <w:shd w:val="clear" w:color="auto" w:fill="FFFFFF"/>
          <w:lang w:val="es-ES_tradnl"/>
        </w:rPr>
      </w:pPr>
      <w:r w:rsidRPr="00111101">
        <w:rPr>
          <w:rFonts w:ascii="Arial" w:hAnsi="Arial" w:cs="Arial"/>
          <w:sz w:val="22"/>
          <w:shd w:val="clear" w:color="auto" w:fill="FFFFFF"/>
          <w:lang w:val="es-ES_tradnl"/>
        </w:rPr>
        <w:lastRenderedPageBreak/>
        <w:t>Como se explicó ante</w:t>
      </w:r>
      <w:r w:rsidR="00A71009" w:rsidRPr="00111101">
        <w:rPr>
          <w:rFonts w:ascii="Arial" w:hAnsi="Arial" w:cs="Arial"/>
          <w:sz w:val="22"/>
          <w:shd w:val="clear" w:color="auto" w:fill="FFFFFF"/>
          <w:lang w:val="es-ES_tradnl"/>
        </w:rPr>
        <w:t>s</w:t>
      </w:r>
      <w:r w:rsidRPr="00111101">
        <w:rPr>
          <w:rFonts w:ascii="Arial" w:hAnsi="Arial" w:cs="Arial"/>
          <w:sz w:val="22"/>
          <w:shd w:val="clear" w:color="auto" w:fill="FFFFFF"/>
          <w:lang w:val="es-ES_tradnl"/>
        </w:rPr>
        <w:t>, es importante tener en cuenta que el supuesto de dividir la garantía en diferentes etapas contractuales implica que se cuente con una garantía independiente para cada etapa del contrato o periodo contractual. Esto implica que para cada etapa o periodo se contará con una garantía independiente que ampar</w:t>
      </w:r>
      <w:r w:rsidR="00A71009" w:rsidRPr="00111101">
        <w:rPr>
          <w:rFonts w:ascii="Arial" w:hAnsi="Arial" w:cs="Arial"/>
          <w:sz w:val="22"/>
          <w:shd w:val="clear" w:color="auto" w:fill="FFFFFF"/>
          <w:lang w:val="es-ES_tradnl"/>
        </w:rPr>
        <w:t>e</w:t>
      </w:r>
      <w:r w:rsidRPr="00111101">
        <w:rPr>
          <w:rFonts w:ascii="Arial" w:hAnsi="Arial" w:cs="Arial"/>
          <w:sz w:val="22"/>
          <w:shd w:val="clear" w:color="auto" w:fill="FFFFFF"/>
          <w:lang w:val="es-ES_tradnl"/>
        </w:rPr>
        <w:t xml:space="preserve"> riegos distintos, y que, además, el valor asegurado también </w:t>
      </w:r>
      <w:r w:rsidR="008C7DBF" w:rsidRPr="00111101">
        <w:rPr>
          <w:rFonts w:ascii="Arial" w:hAnsi="Arial" w:cs="Arial"/>
          <w:sz w:val="22"/>
          <w:shd w:val="clear" w:color="auto" w:fill="FFFFFF"/>
          <w:lang w:val="es-ES_tradnl"/>
        </w:rPr>
        <w:t>tendrá modificaciones</w:t>
      </w:r>
      <w:r w:rsidRPr="00111101">
        <w:rPr>
          <w:rFonts w:ascii="Arial" w:hAnsi="Arial" w:cs="Arial"/>
          <w:sz w:val="22"/>
          <w:shd w:val="clear" w:color="auto" w:fill="FFFFFF"/>
          <w:lang w:val="es-ES_tradnl"/>
        </w:rPr>
        <w:t xml:space="preserve">. Es decir, que el garante tiene la autonomía de decidir si asume o no la celebración de un nuevo negocio jurídico, sin necesidad de justificar por qué decide no continuar garantizando la etapa o periodo contractual subsiguiente. </w:t>
      </w:r>
    </w:p>
    <w:p w14:paraId="3AED8EF5" w14:textId="3131F582" w:rsidR="003F4C42" w:rsidRDefault="003F4C42" w:rsidP="003F4C42">
      <w:pPr>
        <w:spacing w:before="120" w:line="276" w:lineRule="auto"/>
        <w:ind w:firstLine="705"/>
        <w:jc w:val="both"/>
        <w:rPr>
          <w:rFonts w:ascii="Arial" w:hAnsi="Arial" w:cs="Arial"/>
          <w:sz w:val="22"/>
          <w:shd w:val="clear" w:color="auto" w:fill="FFFFFF"/>
          <w:lang w:val="es-ES_tradnl"/>
        </w:rPr>
      </w:pPr>
      <w:r w:rsidRPr="00111101">
        <w:rPr>
          <w:rFonts w:ascii="Arial" w:hAnsi="Arial" w:cs="Arial"/>
          <w:sz w:val="22"/>
          <w:shd w:val="clear" w:color="auto" w:fill="FFFFFF"/>
          <w:lang w:val="es-ES_tradnl"/>
        </w:rPr>
        <w:t xml:space="preserve">Conforme a lo anterior, el garante tiene la autonomía para decidir si quiere celebrar un nuevo negocio jurídico para amparar los riesgos de una siguiente etapa del contrato o periodo contractual, siempre que: i) el aviso de no continuar garantizando la etapa o periodo contractual siguiente la realice </w:t>
      </w:r>
      <w:r w:rsidRPr="00111101">
        <w:rPr>
          <w:rFonts w:ascii="Arial" w:hAnsi="Arial" w:cs="Arial"/>
          <w:sz w:val="22"/>
          <w:shd w:val="clear" w:color="auto" w:fill="FFFFFF"/>
        </w:rPr>
        <w:t xml:space="preserve">seis (6) meses antes del vencimiento del plazo de la garantía y ii) debe informar su decisión </w:t>
      </w:r>
      <w:r w:rsidRPr="00111101">
        <w:rPr>
          <w:rFonts w:ascii="Arial" w:hAnsi="Arial" w:cs="Arial"/>
          <w:i/>
          <w:iCs/>
          <w:sz w:val="22"/>
          <w:shd w:val="clear" w:color="auto" w:fill="FFFFFF"/>
        </w:rPr>
        <w:t>por</w:t>
      </w:r>
      <w:r w:rsidRPr="00111101">
        <w:rPr>
          <w:rFonts w:ascii="Arial" w:hAnsi="Arial" w:cs="Arial"/>
          <w:sz w:val="22"/>
          <w:shd w:val="clear" w:color="auto" w:fill="FFFFFF"/>
        </w:rPr>
        <w:t xml:space="preserve"> </w:t>
      </w:r>
      <w:r w:rsidRPr="00111101">
        <w:rPr>
          <w:rFonts w:ascii="Arial" w:hAnsi="Arial" w:cs="Arial"/>
          <w:i/>
          <w:iCs/>
          <w:sz w:val="22"/>
          <w:shd w:val="clear" w:color="auto" w:fill="FFFFFF"/>
        </w:rPr>
        <w:t>escrito</w:t>
      </w:r>
      <w:r w:rsidRPr="00111101">
        <w:rPr>
          <w:rFonts w:ascii="Arial" w:hAnsi="Arial" w:cs="Arial"/>
          <w:sz w:val="22"/>
          <w:shd w:val="clear" w:color="auto" w:fill="FFFFFF"/>
        </w:rPr>
        <w:t xml:space="preserve"> a la entidad estatal garantizada</w:t>
      </w:r>
      <w:r w:rsidRPr="00111101">
        <w:rPr>
          <w:rFonts w:ascii="Arial" w:hAnsi="Arial" w:cs="Arial"/>
          <w:sz w:val="22"/>
          <w:shd w:val="clear" w:color="auto" w:fill="FFFFFF"/>
          <w:lang w:val="es-ES_tradnl"/>
        </w:rPr>
        <w:t xml:space="preserve">. En consecuencia, el garante no tendría la obligación de justificar las razones por las cuales no quiere asumir los riesgos de la etapa o periodo contractual subsiguiente. </w:t>
      </w:r>
    </w:p>
    <w:p w14:paraId="2F6D5E15" w14:textId="77777777" w:rsidR="003F4C42" w:rsidRDefault="003F4C42" w:rsidP="00111101">
      <w:pPr>
        <w:spacing w:before="120" w:line="276" w:lineRule="auto"/>
        <w:jc w:val="both"/>
        <w:rPr>
          <w:rFonts w:ascii="Arial" w:hAnsi="Arial" w:cs="Arial"/>
          <w:sz w:val="22"/>
          <w:shd w:val="clear" w:color="auto" w:fill="FFFFFF"/>
          <w:lang w:val="es-ES_tradnl"/>
        </w:rPr>
      </w:pPr>
    </w:p>
    <w:p w14:paraId="157DD91C" w14:textId="7F8181FE" w:rsidR="00B27FD9" w:rsidRPr="00CE4620" w:rsidRDefault="00B27FD9" w:rsidP="00111101">
      <w:pPr>
        <w:widowControl w:val="0"/>
        <w:autoSpaceDE w:val="0"/>
        <w:autoSpaceDN w:val="0"/>
        <w:spacing w:before="120" w:after="120" w:line="276" w:lineRule="auto"/>
        <w:ind w:right="49"/>
        <w:jc w:val="both"/>
        <w:rPr>
          <w:rFonts w:ascii="Arial" w:eastAsia="Arial" w:hAnsi="Arial" w:cs="Arial"/>
          <w:sz w:val="22"/>
          <w:lang w:val="es-ES"/>
        </w:rPr>
      </w:pPr>
      <w:r w:rsidRPr="4A97BB37">
        <w:rPr>
          <w:rFonts w:ascii="Arial" w:eastAsia="Arial" w:hAnsi="Arial" w:cs="Arial"/>
          <w:sz w:val="22"/>
          <w:lang w:val="es-ES"/>
        </w:rPr>
        <w:t>Este concepto tiene el alcance previsto en el artículo 28 del Código de Procedimiento Administrativo y de lo Contencioso Administrativo.</w:t>
      </w:r>
    </w:p>
    <w:p w14:paraId="17FEC55D" w14:textId="77777777" w:rsidR="00B27FD9" w:rsidRPr="00CE4620" w:rsidRDefault="00B27FD9" w:rsidP="00B27FD9">
      <w:pPr>
        <w:widowControl w:val="0"/>
        <w:autoSpaceDE w:val="0"/>
        <w:autoSpaceDN w:val="0"/>
        <w:rPr>
          <w:rFonts w:ascii="Arial" w:eastAsia="Arial" w:hAnsi="Arial" w:cs="Arial"/>
          <w:sz w:val="22"/>
          <w:lang w:val="es-ES"/>
        </w:rPr>
      </w:pPr>
    </w:p>
    <w:p w14:paraId="59A3E97B" w14:textId="77777777" w:rsidR="009C3B28" w:rsidRPr="00E91076" w:rsidRDefault="009C3B28" w:rsidP="009C3B28">
      <w:pPr>
        <w:spacing w:line="276" w:lineRule="auto"/>
        <w:jc w:val="both"/>
        <w:rPr>
          <w:rFonts w:ascii="Arial" w:eastAsia="Calibri" w:hAnsi="Arial" w:cs="Arial"/>
          <w:sz w:val="22"/>
        </w:rPr>
      </w:pPr>
    </w:p>
    <w:p w14:paraId="0040F7A4" w14:textId="77777777" w:rsidR="009C3B28" w:rsidRPr="00682E08" w:rsidRDefault="009C3B28" w:rsidP="009C3B28">
      <w:pPr>
        <w:spacing w:line="276" w:lineRule="auto"/>
        <w:rPr>
          <w:rFonts w:ascii="Arial" w:eastAsia="Times New Roman" w:hAnsi="Arial" w:cs="Arial"/>
          <w:sz w:val="22"/>
          <w:lang w:eastAsia="es-CO"/>
        </w:rPr>
      </w:pPr>
      <w:r w:rsidRPr="00E91076">
        <w:rPr>
          <w:rFonts w:ascii="Arial" w:eastAsia="Times New Roman" w:hAnsi="Arial" w:cs="Arial"/>
          <w:sz w:val="22"/>
          <w:lang w:eastAsia="es-CO"/>
        </w:rPr>
        <w:t>Atentamente,</w:t>
      </w:r>
    </w:p>
    <w:p w14:paraId="57690DE4" w14:textId="77777777" w:rsidR="009C3B28" w:rsidRDefault="009C3B28" w:rsidP="009C3B28">
      <w:pPr>
        <w:spacing w:line="276" w:lineRule="auto"/>
        <w:jc w:val="center"/>
        <w:rPr>
          <w:rFonts w:ascii="Arial" w:hAnsi="Arial" w:cs="Arial"/>
          <w:noProof/>
          <w:lang w:val="en-US"/>
        </w:rPr>
      </w:pPr>
    </w:p>
    <w:p w14:paraId="7446D053" w14:textId="77777777" w:rsidR="009C3B28" w:rsidRDefault="009C3B28" w:rsidP="009C3B28">
      <w:pPr>
        <w:spacing w:line="276" w:lineRule="auto"/>
        <w:jc w:val="center"/>
        <w:rPr>
          <w:rFonts w:ascii="Arial" w:hAnsi="Arial" w:cs="Arial"/>
          <w:noProof/>
          <w:lang w:val="en-US"/>
        </w:rPr>
      </w:pPr>
    </w:p>
    <w:p w14:paraId="5BB2E8FA" w14:textId="71F55027" w:rsidR="009C3B28" w:rsidRDefault="00095C8F" w:rsidP="009C3B28">
      <w:pPr>
        <w:spacing w:line="276" w:lineRule="auto"/>
        <w:jc w:val="center"/>
        <w:rPr>
          <w:rFonts w:ascii="Arial" w:hAnsi="Arial" w:cs="Arial"/>
          <w:noProof/>
          <w:lang w:val="en-US"/>
        </w:rPr>
      </w:pPr>
      <w:r>
        <w:rPr>
          <w:noProof/>
        </w:rPr>
        <w:drawing>
          <wp:inline distT="0" distB="0" distL="0" distR="0" wp14:anchorId="40A57E08" wp14:editId="15DCDBE7">
            <wp:extent cx="2514600" cy="1114425"/>
            <wp:effectExtent l="0" t="0" r="0" b="9525"/>
            <wp:docPr id="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14600" cy="1114425"/>
                    </a:xfrm>
                    <a:prstGeom prst="rect">
                      <a:avLst/>
                    </a:prstGeom>
                    <a:noFill/>
                    <a:ln>
                      <a:noFill/>
                    </a:ln>
                  </pic:spPr>
                </pic:pic>
              </a:graphicData>
            </a:graphic>
          </wp:inline>
        </w:drawing>
      </w:r>
      <w:r>
        <w:rPr>
          <w:rFonts w:ascii="Arial" w:hAnsi="Arial" w:cs="Arial"/>
          <w:color w:val="000000"/>
          <w:sz w:val="18"/>
          <w:szCs w:val="18"/>
          <w:shd w:val="clear" w:color="auto" w:fill="FFFFFF"/>
        </w:rPr>
        <w:br/>
      </w:r>
    </w:p>
    <w:p w14:paraId="79A09D27" w14:textId="77777777" w:rsidR="009C3B28" w:rsidRDefault="009C3B28" w:rsidP="009C3B28">
      <w:pPr>
        <w:spacing w:line="276" w:lineRule="auto"/>
        <w:jc w:val="center"/>
        <w:rPr>
          <w:rFonts w:ascii="Arial" w:hAnsi="Arial" w:cs="Arial"/>
          <w:noProof/>
          <w:lang w:val="en-U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9C3B28" w:rsidRPr="00E91076" w14:paraId="35BC3DBE" w14:textId="77777777" w:rsidTr="003E4643">
        <w:trPr>
          <w:trHeight w:val="315"/>
        </w:trPr>
        <w:tc>
          <w:tcPr>
            <w:tcW w:w="812" w:type="dxa"/>
            <w:vAlign w:val="center"/>
          </w:tcPr>
          <w:p w14:paraId="21B9D54F" w14:textId="77777777" w:rsidR="009C3B28" w:rsidRPr="00E91076" w:rsidRDefault="009C3B28" w:rsidP="003E4643">
            <w:pPr>
              <w:rPr>
                <w:rFonts w:ascii="Arial" w:eastAsia="Times New Roman" w:hAnsi="Arial" w:cs="Arial"/>
                <w:sz w:val="14"/>
                <w:szCs w:val="14"/>
                <w:lang w:eastAsia="es-ES"/>
              </w:rPr>
            </w:pPr>
            <w:r w:rsidRPr="00E91076">
              <w:rPr>
                <w:rFonts w:ascii="Arial" w:eastAsia="Times New Roman" w:hAnsi="Arial" w:cs="Arial"/>
                <w:sz w:val="14"/>
                <w:szCs w:val="14"/>
                <w:lang w:eastAsia="es-ES"/>
              </w:rPr>
              <w:t>Elaboró:</w:t>
            </w:r>
          </w:p>
        </w:tc>
        <w:tc>
          <w:tcPr>
            <w:tcW w:w="4413" w:type="dxa"/>
            <w:tcBorders>
              <w:bottom w:val="dotted" w:sz="4" w:space="0" w:color="7F7F7F" w:themeColor="text1" w:themeTint="80"/>
            </w:tcBorders>
            <w:vAlign w:val="center"/>
          </w:tcPr>
          <w:p w14:paraId="71390027" w14:textId="77777777" w:rsidR="009C3B28" w:rsidRPr="00E91076" w:rsidRDefault="009C3B28" w:rsidP="003E4643">
            <w:pPr>
              <w:rPr>
                <w:rFonts w:ascii="Arial" w:eastAsia="Times New Roman" w:hAnsi="Arial" w:cs="Arial"/>
                <w:sz w:val="14"/>
                <w:szCs w:val="14"/>
                <w:lang w:eastAsia="es-ES"/>
              </w:rPr>
            </w:pPr>
            <w:r>
              <w:rPr>
                <w:rFonts w:ascii="Arial" w:eastAsia="Times New Roman" w:hAnsi="Arial" w:cs="Arial"/>
                <w:sz w:val="14"/>
                <w:szCs w:val="14"/>
                <w:lang w:eastAsia="es-ES"/>
              </w:rPr>
              <w:t>Sara Milena Núñez Aldana</w:t>
            </w:r>
          </w:p>
          <w:p w14:paraId="32C7CACF" w14:textId="77777777" w:rsidR="009C3B28" w:rsidRPr="00E91076" w:rsidRDefault="009C3B28" w:rsidP="003E4643">
            <w:pPr>
              <w:rPr>
                <w:rFonts w:ascii="Arial" w:eastAsia="Times New Roman" w:hAnsi="Arial" w:cs="Arial"/>
                <w:sz w:val="14"/>
                <w:szCs w:val="14"/>
                <w:lang w:eastAsia="es-ES"/>
              </w:rPr>
            </w:pPr>
            <w:r>
              <w:rPr>
                <w:rFonts w:ascii="Arial" w:hAnsi="Arial" w:cs="Arial"/>
                <w:sz w:val="14"/>
                <w:szCs w:val="14"/>
                <w:lang w:eastAsia="es-ES"/>
              </w:rPr>
              <w:t>G</w:t>
            </w:r>
            <w:r w:rsidRPr="00E91076">
              <w:rPr>
                <w:rFonts w:ascii="Arial" w:hAnsi="Arial" w:cs="Arial"/>
                <w:sz w:val="14"/>
                <w:szCs w:val="14"/>
                <w:lang w:eastAsia="es-ES"/>
              </w:rPr>
              <w:t>estor T1-15 de la Subdirección de Gestión Contractual</w:t>
            </w:r>
            <w:r w:rsidRPr="00E91076">
              <w:rPr>
                <w:rFonts w:ascii="Arial" w:eastAsia="Times New Roman" w:hAnsi="Arial" w:cs="Arial"/>
                <w:sz w:val="14"/>
                <w:szCs w:val="14"/>
                <w:lang w:eastAsia="es-ES"/>
              </w:rPr>
              <w:t xml:space="preserve"> </w:t>
            </w:r>
          </w:p>
        </w:tc>
      </w:tr>
      <w:tr w:rsidR="009C3B28" w:rsidRPr="00E91076" w14:paraId="2FCB69A1" w14:textId="77777777" w:rsidTr="003E4643">
        <w:trPr>
          <w:trHeight w:val="330"/>
        </w:trPr>
        <w:tc>
          <w:tcPr>
            <w:tcW w:w="812" w:type="dxa"/>
            <w:vAlign w:val="center"/>
          </w:tcPr>
          <w:p w14:paraId="11997400" w14:textId="77777777" w:rsidR="009C3B28" w:rsidRPr="00E91076" w:rsidRDefault="009C3B28" w:rsidP="003E4643">
            <w:pPr>
              <w:rPr>
                <w:rFonts w:ascii="Arial" w:eastAsia="Times New Roman" w:hAnsi="Arial" w:cs="Arial"/>
                <w:sz w:val="14"/>
                <w:szCs w:val="14"/>
                <w:lang w:eastAsia="es-ES"/>
              </w:rPr>
            </w:pPr>
            <w:r w:rsidRPr="00E91076">
              <w:rPr>
                <w:rFonts w:ascii="Arial" w:eastAsia="Times New Roman" w:hAnsi="Arial" w:cs="Arial"/>
                <w:sz w:val="14"/>
                <w:szCs w:val="14"/>
                <w:lang w:eastAsia="es-ES"/>
              </w:rPr>
              <w:t>Revisó:</w:t>
            </w:r>
          </w:p>
        </w:tc>
        <w:tc>
          <w:tcPr>
            <w:tcW w:w="4413" w:type="dxa"/>
            <w:tcBorders>
              <w:top w:val="dotted" w:sz="4" w:space="0" w:color="7F7F7F" w:themeColor="text1" w:themeTint="80"/>
              <w:bottom w:val="dotted" w:sz="4" w:space="0" w:color="7F7F7F" w:themeColor="text1" w:themeTint="80"/>
            </w:tcBorders>
            <w:vAlign w:val="center"/>
          </w:tcPr>
          <w:p w14:paraId="4703CC89" w14:textId="77777777" w:rsidR="009C3B28" w:rsidRPr="00E91076" w:rsidRDefault="009C3B28" w:rsidP="003E4643">
            <w:pPr>
              <w:rPr>
                <w:rFonts w:ascii="Arial" w:hAnsi="Arial" w:cs="Arial"/>
                <w:sz w:val="14"/>
                <w:szCs w:val="14"/>
                <w:lang w:eastAsia="es-ES"/>
              </w:rPr>
            </w:pPr>
            <w:r>
              <w:rPr>
                <w:rFonts w:ascii="Arial" w:hAnsi="Arial" w:cs="Arial"/>
                <w:sz w:val="14"/>
                <w:szCs w:val="14"/>
                <w:lang w:eastAsia="es-ES"/>
              </w:rPr>
              <w:t>Sebastián Ramírez Grisales</w:t>
            </w:r>
          </w:p>
          <w:p w14:paraId="77CA87DF" w14:textId="4A58102D" w:rsidR="009C3B28" w:rsidRPr="00E91076" w:rsidRDefault="009C114C" w:rsidP="003E4643">
            <w:pPr>
              <w:rPr>
                <w:rFonts w:ascii="Arial" w:eastAsia="Times New Roman" w:hAnsi="Arial" w:cs="Arial"/>
                <w:sz w:val="14"/>
                <w:szCs w:val="14"/>
                <w:lang w:eastAsia="es-ES"/>
              </w:rPr>
            </w:pPr>
            <w:r>
              <w:rPr>
                <w:rFonts w:ascii="Arial" w:hAnsi="Arial" w:cs="Arial"/>
                <w:sz w:val="14"/>
                <w:szCs w:val="14"/>
                <w:lang w:eastAsia="es-ES"/>
              </w:rPr>
              <w:t>Contratista</w:t>
            </w:r>
            <w:r w:rsidR="009C3B28" w:rsidRPr="00E91076">
              <w:rPr>
                <w:rFonts w:ascii="Arial" w:hAnsi="Arial" w:cs="Arial"/>
                <w:sz w:val="14"/>
                <w:szCs w:val="14"/>
                <w:lang w:eastAsia="es-ES"/>
              </w:rPr>
              <w:t xml:space="preserve"> de la Subdirección de Gestión Contractual</w:t>
            </w:r>
          </w:p>
        </w:tc>
      </w:tr>
      <w:tr w:rsidR="009C3B28" w:rsidRPr="006E54A1" w14:paraId="361EECE3" w14:textId="77777777" w:rsidTr="003E4643">
        <w:trPr>
          <w:trHeight w:val="300"/>
        </w:trPr>
        <w:tc>
          <w:tcPr>
            <w:tcW w:w="812" w:type="dxa"/>
            <w:vAlign w:val="center"/>
          </w:tcPr>
          <w:p w14:paraId="29A00375" w14:textId="77777777" w:rsidR="009C3B28" w:rsidRPr="00E91076" w:rsidRDefault="009C3B28" w:rsidP="003E4643">
            <w:pPr>
              <w:rPr>
                <w:rFonts w:ascii="Arial" w:eastAsia="Times New Roman" w:hAnsi="Arial" w:cs="Arial"/>
                <w:sz w:val="14"/>
                <w:szCs w:val="14"/>
                <w:lang w:eastAsia="es-ES"/>
              </w:rPr>
            </w:pPr>
            <w:r w:rsidRPr="00E91076">
              <w:rPr>
                <w:rFonts w:ascii="Arial" w:eastAsia="Times New Roman" w:hAnsi="Arial" w:cs="Arial"/>
                <w:sz w:val="14"/>
                <w:szCs w:val="14"/>
                <w:lang w:eastAsia="es-ES"/>
              </w:rPr>
              <w:t>Aprobó:</w:t>
            </w:r>
          </w:p>
        </w:tc>
        <w:tc>
          <w:tcPr>
            <w:tcW w:w="4413" w:type="dxa"/>
            <w:tcBorders>
              <w:top w:val="dotted" w:sz="4" w:space="0" w:color="7F7F7F" w:themeColor="text1" w:themeTint="80"/>
              <w:bottom w:val="dotted" w:sz="4" w:space="0" w:color="7F7F7F" w:themeColor="text1" w:themeTint="80"/>
            </w:tcBorders>
            <w:vAlign w:val="center"/>
          </w:tcPr>
          <w:p w14:paraId="7AB15B4B" w14:textId="77777777" w:rsidR="009C3B28" w:rsidRPr="00E91076" w:rsidRDefault="009C3B28" w:rsidP="003E4643">
            <w:pPr>
              <w:rPr>
                <w:rFonts w:ascii="Arial" w:hAnsi="Arial" w:cs="Arial"/>
                <w:sz w:val="14"/>
                <w:szCs w:val="14"/>
                <w:lang w:eastAsia="es-ES"/>
              </w:rPr>
            </w:pPr>
            <w:r w:rsidRPr="00E91076">
              <w:rPr>
                <w:rFonts w:ascii="Arial" w:hAnsi="Arial" w:cs="Arial"/>
                <w:sz w:val="14"/>
                <w:szCs w:val="14"/>
                <w:lang w:eastAsia="es-ES"/>
              </w:rPr>
              <w:t>Jorge Augusto Tirado Navarro</w:t>
            </w:r>
          </w:p>
          <w:p w14:paraId="01084A81" w14:textId="77777777" w:rsidR="009C3B28" w:rsidRPr="006E54A1" w:rsidRDefault="009C3B28" w:rsidP="003E4643">
            <w:pPr>
              <w:rPr>
                <w:rFonts w:ascii="Arial" w:eastAsia="Times New Roman" w:hAnsi="Arial" w:cs="Arial"/>
                <w:sz w:val="14"/>
                <w:szCs w:val="14"/>
                <w:lang w:eastAsia="es-ES"/>
              </w:rPr>
            </w:pPr>
            <w:r w:rsidRPr="00E91076">
              <w:rPr>
                <w:rFonts w:ascii="Arial" w:hAnsi="Arial" w:cs="Arial"/>
                <w:sz w:val="14"/>
                <w:szCs w:val="14"/>
                <w:lang w:eastAsia="es-ES"/>
              </w:rPr>
              <w:t>Subdirector de Gestión Contractual ANCP – CCE</w:t>
            </w:r>
          </w:p>
        </w:tc>
      </w:tr>
    </w:tbl>
    <w:p w14:paraId="27AC848B" w14:textId="77777777" w:rsidR="009C3B28" w:rsidRPr="0014392D" w:rsidRDefault="009C3B28" w:rsidP="009C3B28">
      <w:pPr>
        <w:spacing w:before="120" w:after="160" w:line="276" w:lineRule="auto"/>
        <w:rPr>
          <w:rFonts w:ascii="Arial" w:hAnsi="Arial" w:cs="Arial"/>
        </w:rPr>
      </w:pPr>
    </w:p>
    <w:p w14:paraId="55D0CD93" w14:textId="77777777" w:rsidR="00B27FD9" w:rsidRPr="00CE4620" w:rsidRDefault="00B27FD9" w:rsidP="00B27FD9">
      <w:pPr>
        <w:widowControl w:val="0"/>
        <w:autoSpaceDE w:val="0"/>
        <w:autoSpaceDN w:val="0"/>
        <w:rPr>
          <w:rFonts w:ascii="Arial" w:eastAsia="Arial" w:hAnsi="Arial" w:cs="Arial"/>
          <w:sz w:val="20"/>
          <w:lang w:val="es-ES"/>
        </w:rPr>
      </w:pPr>
    </w:p>
    <w:p w14:paraId="466B5DD6" w14:textId="77777777" w:rsidR="00B27FD9" w:rsidRPr="00CE4620" w:rsidRDefault="00B27FD9" w:rsidP="00B27FD9">
      <w:pPr>
        <w:widowControl w:val="0"/>
        <w:autoSpaceDE w:val="0"/>
        <w:autoSpaceDN w:val="0"/>
        <w:rPr>
          <w:rFonts w:ascii="Arial" w:eastAsia="Arial" w:hAnsi="Arial" w:cs="Arial"/>
          <w:sz w:val="20"/>
          <w:lang w:val="es-ES"/>
        </w:rPr>
      </w:pPr>
    </w:p>
    <w:p w14:paraId="3E8F2B53" w14:textId="77777777" w:rsidR="00B27FD9" w:rsidRDefault="00B27FD9" w:rsidP="006B49E2">
      <w:pPr>
        <w:spacing w:after="120" w:line="276" w:lineRule="auto"/>
        <w:jc w:val="both"/>
      </w:pPr>
    </w:p>
    <w:sectPr w:rsidR="00B27FD9">
      <w:headerReference w:type="default" r:id="rId13"/>
      <w:footerReference w:type="defaul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E1775" w14:textId="77777777" w:rsidR="0039475D" w:rsidRDefault="0039475D" w:rsidP="001F0B64">
      <w:r>
        <w:separator/>
      </w:r>
    </w:p>
  </w:endnote>
  <w:endnote w:type="continuationSeparator" w:id="0">
    <w:p w14:paraId="307ADA67" w14:textId="77777777" w:rsidR="0039475D" w:rsidRDefault="0039475D" w:rsidP="001F0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E279D" w14:textId="77777777" w:rsidR="001F0B64" w:rsidRDefault="001F0B64" w:rsidP="001F0B64">
    <w:pPr>
      <w:pStyle w:val="Piedepgina"/>
      <w:jc w:val="right"/>
    </w:pPr>
    <w:r>
      <w:tab/>
    </w:r>
    <w:r>
      <w:tab/>
    </w:r>
  </w:p>
  <w:p w14:paraId="3463ADF2" w14:textId="04C3B61D" w:rsidR="001F0B64" w:rsidRPr="008217B7" w:rsidRDefault="001F0B64" w:rsidP="001F0B64">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color w:val="7F7F7F" w:themeColor="text1" w:themeTint="80"/>
        <w:sz w:val="16"/>
        <w:szCs w:val="16"/>
      </w:rPr>
      <w:t>12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color w:val="7F7F7F" w:themeColor="text1" w:themeTint="80"/>
        <w:sz w:val="16"/>
        <w:szCs w:val="16"/>
      </w:rPr>
      <w:t>12</w:t>
    </w:r>
    <w:r w:rsidRPr="00084B97">
      <w:rPr>
        <w:rFonts w:ascii="Arial" w:hAnsi="Arial" w:cs="Arial"/>
        <w:b/>
        <w:bCs/>
        <w:color w:val="7F7F7F" w:themeColor="text1" w:themeTint="80"/>
        <w:sz w:val="16"/>
        <w:szCs w:val="16"/>
      </w:rPr>
      <w:fldChar w:fldCharType="end"/>
    </w:r>
  </w:p>
  <w:p w14:paraId="6481E07C" w14:textId="289DBDF5" w:rsidR="001F0B64" w:rsidRDefault="001F0B64" w:rsidP="001F0B64">
    <w:pPr>
      <w:pStyle w:val="Piedepgina"/>
      <w:jc w:val="center"/>
    </w:pPr>
    <w:r>
      <w:rPr>
        <w:noProof/>
        <w:lang w:val="es-ES_tradnl" w:eastAsia="es-ES_tradnl"/>
      </w:rPr>
      <w:drawing>
        <wp:inline distT="0" distB="0" distL="0" distR="0" wp14:anchorId="468D37F8" wp14:editId="32A90860">
          <wp:extent cx="3700130" cy="519139"/>
          <wp:effectExtent l="0" t="0" r="0" b="0"/>
          <wp:docPr id="8" name="Imagen 8"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B7BAF" w14:textId="77777777" w:rsidR="0039475D" w:rsidRDefault="0039475D" w:rsidP="001F0B64">
      <w:r>
        <w:separator/>
      </w:r>
    </w:p>
  </w:footnote>
  <w:footnote w:type="continuationSeparator" w:id="0">
    <w:p w14:paraId="28F9A04A" w14:textId="77777777" w:rsidR="0039475D" w:rsidRDefault="0039475D" w:rsidP="001F0B64">
      <w:r>
        <w:continuationSeparator/>
      </w:r>
    </w:p>
  </w:footnote>
  <w:footnote w:id="1">
    <w:p w14:paraId="4333ACAB" w14:textId="77777777" w:rsidR="00D03617" w:rsidRDefault="00D03617" w:rsidP="00D03617">
      <w:pPr>
        <w:pStyle w:val="Textonotapie"/>
        <w:ind w:firstLine="708"/>
        <w:rPr>
          <w:rFonts w:ascii="Arial" w:hAnsi="Arial" w:cs="Arial"/>
          <w:sz w:val="19"/>
          <w:szCs w:val="19"/>
        </w:rPr>
      </w:pPr>
      <w:r>
        <w:rPr>
          <w:rStyle w:val="Refdenotaalpie"/>
        </w:rPr>
        <w:footnoteRef/>
      </w:r>
      <w:r>
        <w:t xml:space="preserve"> </w:t>
      </w:r>
      <w:r w:rsidRPr="00F374AF">
        <w:rPr>
          <w:rFonts w:ascii="Arial" w:hAnsi="Arial" w:cs="Arial"/>
          <w:sz w:val="19"/>
          <w:szCs w:val="19"/>
        </w:rPr>
        <w:t>«ARTÍCULO</w:t>
      </w:r>
      <w:r w:rsidRPr="007A2A5E">
        <w:rPr>
          <w:rFonts w:ascii="Arial" w:hAnsi="Arial" w:cs="Arial"/>
          <w:sz w:val="19"/>
          <w:szCs w:val="19"/>
        </w:rPr>
        <w:t> 2.2.1.2.3.1.3</w:t>
      </w:r>
      <w:r>
        <w:rPr>
          <w:rFonts w:ascii="Arial" w:hAnsi="Arial" w:cs="Arial"/>
          <w:sz w:val="19"/>
          <w:szCs w:val="19"/>
        </w:rPr>
        <w:t>. Indivisibilidad de la garantía.</w:t>
      </w:r>
    </w:p>
    <w:p w14:paraId="307405D9" w14:textId="77777777" w:rsidR="00D03617" w:rsidRDefault="00D03617" w:rsidP="00D03617">
      <w:pPr>
        <w:pStyle w:val="Textonotapie"/>
        <w:ind w:firstLine="708"/>
        <w:rPr>
          <w:rFonts w:ascii="Arial" w:hAnsi="Arial" w:cs="Arial"/>
          <w:sz w:val="19"/>
          <w:szCs w:val="19"/>
        </w:rPr>
      </w:pPr>
      <w:r>
        <w:rPr>
          <w:rFonts w:ascii="Arial" w:hAnsi="Arial" w:cs="Arial"/>
          <w:sz w:val="19"/>
          <w:szCs w:val="19"/>
        </w:rPr>
        <w:t xml:space="preserve"> […]</w:t>
      </w:r>
    </w:p>
    <w:p w14:paraId="6E11149F" w14:textId="77777777" w:rsidR="00D03617" w:rsidRPr="00BD4C51" w:rsidRDefault="00D03617" w:rsidP="00D03617">
      <w:pPr>
        <w:pStyle w:val="NormalWeb"/>
        <w:shd w:val="clear" w:color="auto" w:fill="FFFFFF"/>
        <w:spacing w:before="0" w:beforeAutospacing="0" w:after="0" w:afterAutospacing="0"/>
        <w:jc w:val="both"/>
        <w:rPr>
          <w:rFonts w:ascii="Arial" w:hAnsi="Arial" w:cs="Arial"/>
          <w:sz w:val="19"/>
          <w:szCs w:val="19"/>
        </w:rPr>
      </w:pPr>
      <w:r>
        <w:rPr>
          <w:rFonts w:ascii="Arial" w:hAnsi="Arial" w:cs="Arial"/>
          <w:sz w:val="19"/>
          <w:szCs w:val="19"/>
        </w:rPr>
        <w:tab/>
      </w:r>
      <w:proofErr w:type="gramStart"/>
      <w:r w:rsidRPr="00BD4C51">
        <w:rPr>
          <w:rFonts w:ascii="Arial" w:hAnsi="Arial" w:cs="Arial"/>
          <w:sz w:val="19"/>
          <w:szCs w:val="19"/>
        </w:rPr>
        <w:t>»En</w:t>
      </w:r>
      <w:proofErr w:type="gramEnd"/>
      <w:r w:rsidRPr="00BD4C51">
        <w:rPr>
          <w:rFonts w:ascii="Arial" w:hAnsi="Arial" w:cs="Arial"/>
          <w:sz w:val="19"/>
          <w:szCs w:val="19"/>
        </w:rPr>
        <w:t xml:space="preserve"> consecuencia, la Entidad Estatal en los pliegos de condiciones para la Contratación debe indicar las garantías que exige en cada Etapa del Contrato o cada Periodo Contractual así:</w:t>
      </w:r>
    </w:p>
    <w:p w14:paraId="2050F9D8" w14:textId="77777777" w:rsidR="00D03617" w:rsidRPr="00185B34" w:rsidRDefault="00D03617" w:rsidP="00D03617">
      <w:pPr>
        <w:shd w:val="clear" w:color="auto" w:fill="FFFFFF"/>
        <w:ind w:firstLine="708"/>
        <w:jc w:val="both"/>
        <w:rPr>
          <w:rFonts w:ascii="Arial" w:eastAsia="Times New Roman" w:hAnsi="Arial" w:cs="Arial"/>
          <w:sz w:val="19"/>
          <w:szCs w:val="19"/>
          <w:lang w:val="es-CO" w:eastAsia="es-CO"/>
        </w:rPr>
      </w:pPr>
      <w:r w:rsidRPr="00BD4C51">
        <w:rPr>
          <w:rFonts w:ascii="Arial" w:eastAsia="Times New Roman" w:hAnsi="Arial" w:cs="Arial"/>
          <w:sz w:val="19"/>
          <w:szCs w:val="19"/>
          <w:lang w:val="es-CO" w:eastAsia="es-CO"/>
        </w:rPr>
        <w:t>»</w:t>
      </w:r>
      <w:r w:rsidRPr="00185B34">
        <w:rPr>
          <w:rFonts w:ascii="Arial" w:eastAsia="Times New Roman" w:hAnsi="Arial" w:cs="Arial"/>
          <w:sz w:val="19"/>
          <w:szCs w:val="19"/>
          <w:lang w:val="es-CO" w:eastAsia="es-CO"/>
        </w:rPr>
        <w:t xml:space="preserve">1.    La Entidad Estatal debe exigir una garantía independiente para cada Etapa del Contrato o cada Periodo Contractual o cada unidad funcional en el caso de las Asociaciones </w:t>
      </w:r>
      <w:proofErr w:type="gramStart"/>
      <w:r w:rsidRPr="00185B34">
        <w:rPr>
          <w:rFonts w:ascii="Arial" w:eastAsia="Times New Roman" w:hAnsi="Arial" w:cs="Arial"/>
          <w:sz w:val="19"/>
          <w:szCs w:val="19"/>
          <w:lang w:val="es-CO" w:eastAsia="es-CO"/>
        </w:rPr>
        <w:t>Público Privadas</w:t>
      </w:r>
      <w:proofErr w:type="gramEnd"/>
      <w:r w:rsidRPr="00185B34">
        <w:rPr>
          <w:rFonts w:ascii="Arial" w:eastAsia="Times New Roman" w:hAnsi="Arial" w:cs="Arial"/>
          <w:sz w:val="19"/>
          <w:szCs w:val="19"/>
          <w:lang w:val="es-CO" w:eastAsia="es-CO"/>
        </w:rPr>
        <w:t>, cuya vigencia debe ser por lo menos la misma establecida para la Etapa del Contrato o Periodo Contractual respectivo.</w:t>
      </w:r>
    </w:p>
    <w:p w14:paraId="5D8DA477" w14:textId="77777777" w:rsidR="00D03617" w:rsidRPr="00185B34" w:rsidRDefault="00D03617" w:rsidP="00D03617">
      <w:pPr>
        <w:shd w:val="clear" w:color="auto" w:fill="FFFFFF"/>
        <w:ind w:firstLine="708"/>
        <w:jc w:val="both"/>
        <w:rPr>
          <w:rFonts w:ascii="Arial" w:eastAsia="Times New Roman" w:hAnsi="Arial" w:cs="Arial"/>
          <w:sz w:val="19"/>
          <w:szCs w:val="19"/>
          <w:lang w:val="es-CO" w:eastAsia="es-CO"/>
        </w:rPr>
      </w:pPr>
      <w:r w:rsidRPr="00BD4C51">
        <w:rPr>
          <w:rFonts w:ascii="Arial" w:eastAsia="Times New Roman" w:hAnsi="Arial" w:cs="Arial"/>
          <w:sz w:val="19"/>
          <w:szCs w:val="19"/>
          <w:lang w:val="es-CO" w:eastAsia="es-CO"/>
        </w:rPr>
        <w:t>»</w:t>
      </w:r>
      <w:r w:rsidRPr="00185B34">
        <w:rPr>
          <w:rFonts w:ascii="Arial" w:eastAsia="Times New Roman" w:hAnsi="Arial" w:cs="Arial"/>
          <w:sz w:val="19"/>
          <w:szCs w:val="19"/>
          <w:lang w:val="es-CO" w:eastAsia="es-CO"/>
        </w:rPr>
        <w:t>2.    La Entidad Estatal debe calcular el valor asegurado para cada Etapa del Contrato, Periodo Contractual o unidad funcional, tomando el valor de las obligaciones del contratista para cada Etapa del Contrato, Periodo Contractual o unidad funcional y de acuerdo con las reglas de suficiencia de las garantías establecidas en el presente título.</w:t>
      </w:r>
      <w:r w:rsidRPr="00BD4C51">
        <w:rPr>
          <w:rFonts w:ascii="Arial" w:eastAsia="Times New Roman" w:hAnsi="Arial" w:cs="Arial"/>
          <w:sz w:val="19"/>
          <w:szCs w:val="19"/>
          <w:lang w:val="es-CO" w:eastAsia="es-CO"/>
        </w:rPr>
        <w:t xml:space="preserve"> […]»</w:t>
      </w:r>
    </w:p>
    <w:p w14:paraId="1DEB50A2" w14:textId="77777777" w:rsidR="00D03617" w:rsidRPr="00185B34" w:rsidRDefault="00D03617" w:rsidP="00D03617">
      <w:pPr>
        <w:pStyle w:val="Textonotapie"/>
        <w:rPr>
          <w:lang w:val="es-CO"/>
        </w:rPr>
      </w:pPr>
    </w:p>
  </w:footnote>
  <w:footnote w:id="2">
    <w:p w14:paraId="22ED7261" w14:textId="77777777" w:rsidR="00393D57" w:rsidRDefault="00393D57" w:rsidP="00393D57">
      <w:pPr>
        <w:pStyle w:val="Textonotapie"/>
        <w:ind w:firstLine="708"/>
        <w:jc w:val="both"/>
        <w:rPr>
          <w:rFonts w:ascii="Arial" w:hAnsi="Arial" w:cs="Arial"/>
          <w:color w:val="000000" w:themeColor="text1"/>
          <w:sz w:val="19"/>
          <w:szCs w:val="19"/>
        </w:rPr>
      </w:pPr>
      <w:r>
        <w:rPr>
          <w:rStyle w:val="Refdenotaalpie"/>
          <w:rFonts w:ascii="Arial" w:hAnsi="Arial" w:cs="Arial"/>
          <w:color w:val="000000" w:themeColor="text1"/>
          <w:sz w:val="19"/>
          <w:szCs w:val="19"/>
        </w:rPr>
        <w:footnoteRef/>
      </w:r>
      <w:r w:rsidRPr="00CB776B">
        <w:rPr>
          <w:rFonts w:ascii="Arial" w:hAnsi="Arial" w:cs="Arial"/>
          <w:color w:val="000000" w:themeColor="text1"/>
          <w:sz w:val="19"/>
          <w:szCs w:val="19"/>
          <w:lang w:val="pt-BR"/>
        </w:rPr>
        <w:t xml:space="preserve"> CORTE CONSTITUCIONAL. Sentencia C-452 de 1999. </w:t>
      </w:r>
      <w:r>
        <w:rPr>
          <w:rFonts w:ascii="Arial" w:hAnsi="Arial" w:cs="Arial"/>
          <w:color w:val="000000" w:themeColor="text1"/>
          <w:sz w:val="19"/>
          <w:szCs w:val="19"/>
        </w:rPr>
        <w:t xml:space="preserve">M.P. Eduardo Cifuentes Muñoz. </w:t>
      </w:r>
    </w:p>
    <w:p w14:paraId="0A49C091" w14:textId="77777777" w:rsidR="00393D57" w:rsidRDefault="00393D57" w:rsidP="00393D57">
      <w:pPr>
        <w:pStyle w:val="Textonotapie"/>
        <w:ind w:firstLine="708"/>
        <w:jc w:val="both"/>
        <w:rPr>
          <w:rFonts w:ascii="Arial" w:hAnsi="Arial" w:cs="Arial"/>
          <w:color w:val="000000" w:themeColor="text1"/>
          <w:sz w:val="19"/>
          <w:szCs w:val="19"/>
        </w:rPr>
      </w:pPr>
    </w:p>
  </w:footnote>
  <w:footnote w:id="3">
    <w:p w14:paraId="4A6D3F89" w14:textId="77777777" w:rsidR="00393D57" w:rsidRPr="00DE5B4E" w:rsidRDefault="00393D57" w:rsidP="00393D57">
      <w:pPr>
        <w:pStyle w:val="Textonotapie"/>
        <w:ind w:firstLine="708"/>
        <w:jc w:val="both"/>
        <w:rPr>
          <w:rFonts w:ascii="Arial" w:hAnsi="Arial" w:cs="Arial"/>
          <w:sz w:val="19"/>
          <w:szCs w:val="19"/>
          <w:lang w:val="es-ES"/>
        </w:rPr>
      </w:pPr>
      <w:r w:rsidRPr="00DE5B4E">
        <w:rPr>
          <w:rStyle w:val="Refdenotaalpie"/>
          <w:rFonts w:ascii="Arial" w:hAnsi="Arial" w:cs="Arial"/>
          <w:sz w:val="19"/>
          <w:szCs w:val="19"/>
        </w:rPr>
        <w:footnoteRef/>
      </w:r>
      <w:r w:rsidRPr="00DE5B4E">
        <w:rPr>
          <w:rFonts w:ascii="Arial" w:hAnsi="Arial" w:cs="Arial"/>
          <w:sz w:val="19"/>
          <w:szCs w:val="19"/>
        </w:rPr>
        <w:t xml:space="preserve"> </w:t>
      </w:r>
      <w:r w:rsidRPr="00DE5B4E">
        <w:rPr>
          <w:rFonts w:ascii="Arial" w:hAnsi="Arial" w:cs="Arial"/>
          <w:sz w:val="19"/>
          <w:szCs w:val="19"/>
          <w:lang w:val="es-ES"/>
        </w:rPr>
        <w:t xml:space="preserve">COLOMBIA COMPRA EFICIENTE. Síntesis: 8. Etapa precontractual: Garantía de cumplimiento del contrato estatal. </w:t>
      </w:r>
    </w:p>
    <w:p w14:paraId="5C2B41D6" w14:textId="77777777" w:rsidR="00393D57" w:rsidRPr="00DE5B4E" w:rsidRDefault="00393D57" w:rsidP="00393D57">
      <w:pPr>
        <w:pStyle w:val="Textonotapie"/>
        <w:ind w:firstLine="708"/>
        <w:jc w:val="both"/>
        <w:rPr>
          <w:rFonts w:ascii="Arial" w:hAnsi="Arial" w:cs="Arial"/>
          <w:sz w:val="19"/>
          <w:szCs w:val="19"/>
        </w:rPr>
      </w:pPr>
    </w:p>
  </w:footnote>
  <w:footnote w:id="4">
    <w:p w14:paraId="7D389F0F" w14:textId="77777777" w:rsidR="00223BE1" w:rsidRDefault="001C598A" w:rsidP="00185B34">
      <w:pPr>
        <w:pStyle w:val="Textonotapie"/>
        <w:ind w:firstLine="708"/>
        <w:rPr>
          <w:rFonts w:ascii="Arial" w:hAnsi="Arial" w:cs="Arial"/>
          <w:sz w:val="19"/>
          <w:szCs w:val="19"/>
        </w:rPr>
      </w:pPr>
      <w:r>
        <w:rPr>
          <w:rStyle w:val="Refdenotaalpie"/>
        </w:rPr>
        <w:footnoteRef/>
      </w:r>
      <w:r>
        <w:t xml:space="preserve"> </w:t>
      </w:r>
      <w:r w:rsidR="008445A5" w:rsidRPr="00F374AF">
        <w:rPr>
          <w:rFonts w:ascii="Arial" w:hAnsi="Arial" w:cs="Arial"/>
          <w:sz w:val="19"/>
          <w:szCs w:val="19"/>
        </w:rPr>
        <w:t>«ARTÍCULO</w:t>
      </w:r>
      <w:r w:rsidR="0015776C" w:rsidRPr="007A2A5E">
        <w:rPr>
          <w:rFonts w:ascii="Arial" w:hAnsi="Arial" w:cs="Arial"/>
          <w:sz w:val="19"/>
          <w:szCs w:val="19"/>
        </w:rPr>
        <w:t> 2.2.1.2.3.1.3</w:t>
      </w:r>
      <w:r w:rsidR="007A2A5E">
        <w:rPr>
          <w:rFonts w:ascii="Arial" w:hAnsi="Arial" w:cs="Arial"/>
          <w:sz w:val="19"/>
          <w:szCs w:val="19"/>
        </w:rPr>
        <w:t>. Indivisibilidad de la garantía</w:t>
      </w:r>
      <w:r w:rsidR="00185B34">
        <w:rPr>
          <w:rFonts w:ascii="Arial" w:hAnsi="Arial" w:cs="Arial"/>
          <w:sz w:val="19"/>
          <w:szCs w:val="19"/>
        </w:rPr>
        <w:t>.</w:t>
      </w:r>
    </w:p>
    <w:p w14:paraId="21D4738A" w14:textId="45D7A743" w:rsidR="001C598A" w:rsidRDefault="00185B34" w:rsidP="00185B34">
      <w:pPr>
        <w:pStyle w:val="Textonotapie"/>
        <w:ind w:firstLine="708"/>
        <w:rPr>
          <w:rFonts w:ascii="Arial" w:hAnsi="Arial" w:cs="Arial"/>
          <w:sz w:val="19"/>
          <w:szCs w:val="19"/>
        </w:rPr>
      </w:pPr>
      <w:r>
        <w:rPr>
          <w:rFonts w:ascii="Arial" w:hAnsi="Arial" w:cs="Arial"/>
          <w:sz w:val="19"/>
          <w:szCs w:val="19"/>
        </w:rPr>
        <w:t xml:space="preserve"> […]</w:t>
      </w:r>
    </w:p>
    <w:p w14:paraId="56EDB73D" w14:textId="135CC34D" w:rsidR="00185B34" w:rsidRPr="00BD4C51" w:rsidRDefault="00185B34" w:rsidP="00BD4C51">
      <w:pPr>
        <w:pStyle w:val="NormalWeb"/>
        <w:shd w:val="clear" w:color="auto" w:fill="FFFFFF"/>
        <w:spacing w:before="0" w:beforeAutospacing="0" w:after="0" w:afterAutospacing="0"/>
        <w:jc w:val="both"/>
        <w:rPr>
          <w:rFonts w:ascii="Arial" w:hAnsi="Arial" w:cs="Arial"/>
          <w:sz w:val="19"/>
          <w:szCs w:val="19"/>
        </w:rPr>
      </w:pPr>
      <w:r>
        <w:rPr>
          <w:rFonts w:ascii="Arial" w:hAnsi="Arial" w:cs="Arial"/>
          <w:sz w:val="19"/>
          <w:szCs w:val="19"/>
        </w:rPr>
        <w:tab/>
      </w:r>
      <w:proofErr w:type="gramStart"/>
      <w:r w:rsidR="00BD4C51" w:rsidRPr="00BD4C51">
        <w:rPr>
          <w:rFonts w:ascii="Arial" w:hAnsi="Arial" w:cs="Arial"/>
          <w:sz w:val="19"/>
          <w:szCs w:val="19"/>
        </w:rPr>
        <w:t>»</w:t>
      </w:r>
      <w:r w:rsidRPr="00BD4C51">
        <w:rPr>
          <w:rFonts w:ascii="Arial" w:hAnsi="Arial" w:cs="Arial"/>
          <w:sz w:val="19"/>
          <w:szCs w:val="19"/>
        </w:rPr>
        <w:t>En</w:t>
      </w:r>
      <w:proofErr w:type="gramEnd"/>
      <w:r w:rsidRPr="00BD4C51">
        <w:rPr>
          <w:rFonts w:ascii="Arial" w:hAnsi="Arial" w:cs="Arial"/>
          <w:sz w:val="19"/>
          <w:szCs w:val="19"/>
        </w:rPr>
        <w:t xml:space="preserve"> consecuencia, la Entidad Estatal en los pliegos de condiciones para la Contratación debe indicar las garantías que exige en cada Etapa del Contrato o cada Periodo Contractual así:</w:t>
      </w:r>
    </w:p>
    <w:p w14:paraId="789B90AC" w14:textId="4FE4435E" w:rsidR="00185B34" w:rsidRPr="00185B34" w:rsidRDefault="00BD4C51" w:rsidP="00BD4C51">
      <w:pPr>
        <w:shd w:val="clear" w:color="auto" w:fill="FFFFFF"/>
        <w:ind w:firstLine="708"/>
        <w:jc w:val="both"/>
        <w:rPr>
          <w:rFonts w:ascii="Arial" w:eastAsia="Times New Roman" w:hAnsi="Arial" w:cs="Arial"/>
          <w:sz w:val="19"/>
          <w:szCs w:val="19"/>
          <w:lang w:val="es-CO" w:eastAsia="es-CO"/>
        </w:rPr>
      </w:pPr>
      <w:r w:rsidRPr="00BD4C51">
        <w:rPr>
          <w:rFonts w:ascii="Arial" w:eastAsia="Times New Roman" w:hAnsi="Arial" w:cs="Arial"/>
          <w:sz w:val="19"/>
          <w:szCs w:val="19"/>
          <w:lang w:val="es-CO" w:eastAsia="es-CO"/>
        </w:rPr>
        <w:t>»</w:t>
      </w:r>
      <w:r w:rsidR="00185B34" w:rsidRPr="00185B34">
        <w:rPr>
          <w:rFonts w:ascii="Arial" w:eastAsia="Times New Roman" w:hAnsi="Arial" w:cs="Arial"/>
          <w:sz w:val="19"/>
          <w:szCs w:val="19"/>
          <w:lang w:val="es-CO" w:eastAsia="es-CO"/>
        </w:rPr>
        <w:t xml:space="preserve">1.    La Entidad Estatal debe exigir una garantía independiente para cada Etapa del Contrato o cada Periodo Contractual o cada unidad funcional en el caso de las Asociaciones </w:t>
      </w:r>
      <w:proofErr w:type="gramStart"/>
      <w:r w:rsidR="00185B34" w:rsidRPr="00185B34">
        <w:rPr>
          <w:rFonts w:ascii="Arial" w:eastAsia="Times New Roman" w:hAnsi="Arial" w:cs="Arial"/>
          <w:sz w:val="19"/>
          <w:szCs w:val="19"/>
          <w:lang w:val="es-CO" w:eastAsia="es-CO"/>
        </w:rPr>
        <w:t>Público Privadas</w:t>
      </w:r>
      <w:proofErr w:type="gramEnd"/>
      <w:r w:rsidR="00185B34" w:rsidRPr="00185B34">
        <w:rPr>
          <w:rFonts w:ascii="Arial" w:eastAsia="Times New Roman" w:hAnsi="Arial" w:cs="Arial"/>
          <w:sz w:val="19"/>
          <w:szCs w:val="19"/>
          <w:lang w:val="es-CO" w:eastAsia="es-CO"/>
        </w:rPr>
        <w:t>, cuya vigencia debe ser por lo menos la misma establecida para la Etapa del Contrato o Periodo Contractual respectivo.</w:t>
      </w:r>
    </w:p>
    <w:p w14:paraId="6CAB0C7B" w14:textId="671749E4" w:rsidR="00BD4C51" w:rsidRPr="00185B34" w:rsidRDefault="00BD4C51" w:rsidP="00BD4C51">
      <w:pPr>
        <w:shd w:val="clear" w:color="auto" w:fill="FFFFFF"/>
        <w:ind w:firstLine="708"/>
        <w:jc w:val="both"/>
        <w:rPr>
          <w:rFonts w:ascii="Arial" w:eastAsia="Times New Roman" w:hAnsi="Arial" w:cs="Arial"/>
          <w:sz w:val="19"/>
          <w:szCs w:val="19"/>
          <w:lang w:val="es-CO" w:eastAsia="es-CO"/>
        </w:rPr>
      </w:pPr>
      <w:r w:rsidRPr="00BD4C51">
        <w:rPr>
          <w:rFonts w:ascii="Arial" w:eastAsia="Times New Roman" w:hAnsi="Arial" w:cs="Arial"/>
          <w:sz w:val="19"/>
          <w:szCs w:val="19"/>
          <w:lang w:val="es-CO" w:eastAsia="es-CO"/>
        </w:rPr>
        <w:t>»</w:t>
      </w:r>
      <w:r w:rsidR="00185B34" w:rsidRPr="00185B34">
        <w:rPr>
          <w:rFonts w:ascii="Arial" w:eastAsia="Times New Roman" w:hAnsi="Arial" w:cs="Arial"/>
          <w:sz w:val="19"/>
          <w:szCs w:val="19"/>
          <w:lang w:val="es-CO" w:eastAsia="es-CO"/>
        </w:rPr>
        <w:t>2.    La Entidad Estatal debe calcular el valor asegurado para cada Etapa del Contrato, Periodo Contractual o unidad funcional, tomando el valor de las obligaciones del contratista para cada Etapa del Contrato, Periodo Contractual o unidad funcional y de acuerdo con las reglas de suficiencia de las garantías establecidas en el presente título.</w:t>
      </w:r>
      <w:r w:rsidRPr="00BD4C51">
        <w:rPr>
          <w:rFonts w:ascii="Arial" w:eastAsia="Times New Roman" w:hAnsi="Arial" w:cs="Arial"/>
          <w:sz w:val="19"/>
          <w:szCs w:val="19"/>
          <w:lang w:val="es-CO" w:eastAsia="es-CO"/>
        </w:rPr>
        <w:t xml:space="preserve"> […]»</w:t>
      </w:r>
    </w:p>
    <w:p w14:paraId="280EBDEF" w14:textId="36264379" w:rsidR="00185B34" w:rsidRPr="00185B34" w:rsidRDefault="00185B34" w:rsidP="00185B34">
      <w:pPr>
        <w:pStyle w:val="Textonotapie"/>
        <w:rPr>
          <w:lang w:val="es-CO"/>
        </w:rPr>
      </w:pPr>
    </w:p>
  </w:footnote>
  <w:footnote w:id="5">
    <w:p w14:paraId="2EEFF004" w14:textId="438A3D34" w:rsidR="00223BE1" w:rsidRDefault="00742263" w:rsidP="00451A8B">
      <w:pPr>
        <w:pStyle w:val="Textonotapie"/>
        <w:ind w:firstLine="708"/>
        <w:rPr>
          <w:rFonts w:ascii="Arial" w:hAnsi="Arial" w:cs="Arial"/>
          <w:sz w:val="19"/>
          <w:szCs w:val="19"/>
        </w:rPr>
      </w:pPr>
      <w:r>
        <w:rPr>
          <w:rStyle w:val="Refdenotaalpie"/>
        </w:rPr>
        <w:footnoteRef/>
      </w:r>
      <w:r>
        <w:t xml:space="preserve"> </w:t>
      </w:r>
      <w:r>
        <w:rPr>
          <w:sz w:val="18"/>
          <w:szCs w:val="18"/>
        </w:rPr>
        <w:t>«</w:t>
      </w:r>
      <w:r w:rsidR="00451A8B" w:rsidRPr="00F374AF">
        <w:rPr>
          <w:rFonts w:ascii="Arial" w:hAnsi="Arial" w:cs="Arial"/>
          <w:sz w:val="19"/>
          <w:szCs w:val="19"/>
        </w:rPr>
        <w:t>ARTÍCULO</w:t>
      </w:r>
      <w:r w:rsidR="00451A8B" w:rsidRPr="007A2A5E">
        <w:rPr>
          <w:rFonts w:ascii="Arial" w:hAnsi="Arial" w:cs="Arial"/>
          <w:sz w:val="19"/>
          <w:szCs w:val="19"/>
        </w:rPr>
        <w:t> 2.2.1.2.3.1.3</w:t>
      </w:r>
      <w:r w:rsidR="00451A8B">
        <w:rPr>
          <w:rFonts w:ascii="Arial" w:hAnsi="Arial" w:cs="Arial"/>
          <w:sz w:val="19"/>
          <w:szCs w:val="19"/>
        </w:rPr>
        <w:t xml:space="preserve">. Indivisibilidad de la garantía. </w:t>
      </w:r>
    </w:p>
    <w:p w14:paraId="4597D09C" w14:textId="6790894B" w:rsidR="00451A8B" w:rsidRDefault="00451A8B" w:rsidP="00451A8B">
      <w:pPr>
        <w:pStyle w:val="Textonotapie"/>
        <w:ind w:firstLine="708"/>
        <w:rPr>
          <w:rFonts w:ascii="Arial" w:hAnsi="Arial" w:cs="Arial"/>
          <w:sz w:val="19"/>
          <w:szCs w:val="19"/>
        </w:rPr>
      </w:pPr>
      <w:r>
        <w:rPr>
          <w:rFonts w:ascii="Arial" w:hAnsi="Arial" w:cs="Arial"/>
          <w:sz w:val="19"/>
          <w:szCs w:val="19"/>
        </w:rPr>
        <w:t>[…]</w:t>
      </w:r>
    </w:p>
    <w:p w14:paraId="2965ED74" w14:textId="1135A06C" w:rsidR="00742263" w:rsidRPr="00556B61" w:rsidRDefault="00223BE1" w:rsidP="00223BE1">
      <w:pPr>
        <w:pStyle w:val="Textonotapie"/>
        <w:ind w:firstLine="708"/>
        <w:jc w:val="both"/>
        <w:rPr>
          <w:rFonts w:ascii="Arial" w:hAnsi="Arial" w:cs="Arial"/>
          <w:sz w:val="19"/>
          <w:szCs w:val="19"/>
        </w:rPr>
      </w:pPr>
      <w:r w:rsidRPr="00556B61">
        <w:rPr>
          <w:rFonts w:ascii="Arial" w:hAnsi="Arial" w:cs="Arial"/>
          <w:sz w:val="19"/>
          <w:szCs w:val="19"/>
        </w:rPr>
        <w:t>»3.  Antes del vencimiento de cada Etapa del Contrato o cada Periodo Contractual, el contratista está obligado a obtener una nueva garantía que ampare el cumplimiento de sus obligaciones para la Etapa del Contrato o Periodo Contractual subsiguiente, si no lo hiciere se aplicarán las reglas previstas para el restablecimiento de la garantía.</w:t>
      </w:r>
    </w:p>
    <w:p w14:paraId="67E05D06" w14:textId="400AECBD" w:rsidR="00556B61" w:rsidRPr="00742263" w:rsidRDefault="00556B61" w:rsidP="00223BE1">
      <w:pPr>
        <w:pStyle w:val="Textonotapie"/>
        <w:ind w:firstLine="708"/>
        <w:jc w:val="both"/>
        <w:rPr>
          <w:sz w:val="18"/>
          <w:szCs w:val="18"/>
        </w:rPr>
      </w:pPr>
      <w:proofErr w:type="gramStart"/>
      <w:r w:rsidRPr="00556B61">
        <w:rPr>
          <w:rFonts w:ascii="Arial" w:hAnsi="Arial" w:cs="Arial"/>
          <w:sz w:val="19"/>
          <w:szCs w:val="19"/>
          <w:shd w:val="clear" w:color="auto" w:fill="FFFFFF"/>
        </w:rPr>
        <w:t>»Si</w:t>
      </w:r>
      <w:proofErr w:type="gramEnd"/>
      <w:r w:rsidRPr="00556B61">
        <w:rPr>
          <w:rFonts w:ascii="Arial" w:hAnsi="Arial" w:cs="Arial"/>
          <w:sz w:val="19"/>
          <w:szCs w:val="19"/>
          <w:shd w:val="clear" w:color="auto" w:fill="FFFFFF"/>
        </w:rPr>
        <w:t xml:space="preserve"> el garante de una Etapa del Contrato o un Periodo Contractual decide no continuar garantizando la Etapa del Contrato o Periodo Contractual subsiguiente, debe informar su decisión por escrito a la Entidad Estatal garantizada seis (6) meses antes del vencimiento del plazo de la garantía. Este aviso no afecta la garantía de la Etapa Contractual o Periodo Contractual en ejecución. Si el garante no da el aviso con la anticipación mencionada y el contratista no obtiene una nueva garantía, queda obligado a garantizar la Etapa del Contrato o el Periodo Contractual subsiguiente».</w:t>
      </w:r>
    </w:p>
  </w:footnote>
  <w:footnote w:id="6">
    <w:p w14:paraId="19180D30" w14:textId="77777777" w:rsidR="008E2A52" w:rsidRDefault="008E2A52">
      <w:pPr>
        <w:pStyle w:val="Textonotapie"/>
      </w:pPr>
    </w:p>
    <w:p w14:paraId="392BE832" w14:textId="77777777" w:rsidR="00E97BC3" w:rsidRPr="00E97BC3" w:rsidRDefault="008E2A52" w:rsidP="00E97BC3">
      <w:pPr>
        <w:pStyle w:val="Textonotapie"/>
        <w:ind w:firstLine="708"/>
        <w:jc w:val="both"/>
        <w:rPr>
          <w:rFonts w:ascii="Arial" w:hAnsi="Arial" w:cs="Arial"/>
          <w:sz w:val="19"/>
          <w:szCs w:val="19"/>
          <w:lang w:val="es-CO"/>
        </w:rPr>
      </w:pPr>
      <w:r>
        <w:rPr>
          <w:rStyle w:val="Refdenotaalpie"/>
        </w:rPr>
        <w:footnoteRef/>
      </w:r>
      <w:r>
        <w:t xml:space="preserve"> </w:t>
      </w:r>
      <w:r w:rsidRPr="00715D1A">
        <w:rPr>
          <w:rFonts w:ascii="Arial" w:hAnsi="Arial" w:cs="Arial"/>
          <w:sz w:val="19"/>
          <w:szCs w:val="19"/>
        </w:rPr>
        <w:t>«</w:t>
      </w:r>
      <w:r w:rsidR="00715D1A" w:rsidRPr="00715D1A">
        <w:rPr>
          <w:rFonts w:ascii="Arial" w:hAnsi="Arial" w:cs="Arial"/>
          <w:sz w:val="19"/>
          <w:szCs w:val="19"/>
        </w:rPr>
        <w:t>A</w:t>
      </w:r>
      <w:r w:rsidR="00715D1A">
        <w:rPr>
          <w:rFonts w:ascii="Arial" w:hAnsi="Arial" w:cs="Arial"/>
          <w:sz w:val="19"/>
          <w:szCs w:val="19"/>
        </w:rPr>
        <w:t xml:space="preserve">RTÍCULO 2.2.1.2.3.1.18. Restablecimiento o ampliación de la garantía. </w:t>
      </w:r>
      <w:r w:rsidR="00E97BC3" w:rsidRPr="00E97BC3">
        <w:rPr>
          <w:rFonts w:ascii="Arial" w:hAnsi="Arial" w:cs="Arial"/>
          <w:sz w:val="19"/>
          <w:szCs w:val="19"/>
          <w:lang w:val="es-CO"/>
        </w:rPr>
        <w:t>Cuando con ocasión de las reclamaciones efectuadas por la Entidad Estatal, el valor de la garantía se reduce, la Entidad Estatal debe solicitar al contratista restablecer el valor inicial de la garantía.</w:t>
      </w:r>
    </w:p>
    <w:p w14:paraId="647797C2" w14:textId="5FAFD183" w:rsidR="00E97BC3" w:rsidRPr="00E97BC3" w:rsidRDefault="00E97BC3" w:rsidP="00E97BC3">
      <w:pPr>
        <w:pStyle w:val="Textonotapie"/>
        <w:ind w:firstLine="708"/>
        <w:jc w:val="both"/>
        <w:rPr>
          <w:rFonts w:ascii="Arial" w:hAnsi="Arial" w:cs="Arial"/>
          <w:sz w:val="19"/>
          <w:szCs w:val="19"/>
          <w:lang w:val="es-CO"/>
        </w:rPr>
      </w:pPr>
      <w:proofErr w:type="gramStart"/>
      <w:r>
        <w:rPr>
          <w:rFonts w:ascii="Arial" w:hAnsi="Arial" w:cs="Arial"/>
          <w:sz w:val="19"/>
          <w:szCs w:val="19"/>
          <w:lang w:val="es-CO"/>
        </w:rPr>
        <w:t>»</w:t>
      </w:r>
      <w:r w:rsidRPr="00E97BC3">
        <w:rPr>
          <w:rFonts w:ascii="Arial" w:hAnsi="Arial" w:cs="Arial"/>
          <w:sz w:val="19"/>
          <w:szCs w:val="19"/>
          <w:lang w:val="es-CO"/>
        </w:rPr>
        <w:t>Cuando</w:t>
      </w:r>
      <w:proofErr w:type="gramEnd"/>
      <w:r w:rsidRPr="00E97BC3">
        <w:rPr>
          <w:rFonts w:ascii="Arial" w:hAnsi="Arial" w:cs="Arial"/>
          <w:sz w:val="19"/>
          <w:szCs w:val="19"/>
          <w:lang w:val="es-CO"/>
        </w:rPr>
        <w:t xml:space="preserve"> el contrato es modificado para incrementar su valor o prorrogar su plazo, la Entidad Estatal debe exigir al contratista ampliar el valor de la garantía otorgada o ampliar su vigencia, según el caso.</w:t>
      </w:r>
    </w:p>
    <w:p w14:paraId="5B05E642" w14:textId="00CB4D5D" w:rsidR="00E97BC3" w:rsidRPr="00E97BC3" w:rsidRDefault="00E97BC3" w:rsidP="00E97BC3">
      <w:pPr>
        <w:pStyle w:val="Textonotapie"/>
        <w:ind w:firstLine="708"/>
        <w:jc w:val="both"/>
        <w:rPr>
          <w:rFonts w:ascii="Arial" w:hAnsi="Arial" w:cs="Arial"/>
          <w:sz w:val="19"/>
          <w:szCs w:val="19"/>
          <w:lang w:val="es-CO"/>
        </w:rPr>
      </w:pPr>
      <w:proofErr w:type="gramStart"/>
      <w:r>
        <w:rPr>
          <w:rFonts w:ascii="Arial" w:hAnsi="Arial" w:cs="Arial"/>
          <w:sz w:val="19"/>
          <w:szCs w:val="19"/>
          <w:lang w:val="es-CO"/>
        </w:rPr>
        <w:t>»</w:t>
      </w:r>
      <w:r w:rsidRPr="00111101">
        <w:rPr>
          <w:rFonts w:ascii="Arial" w:hAnsi="Arial" w:cs="Arial"/>
          <w:i/>
          <w:iCs/>
          <w:sz w:val="19"/>
          <w:szCs w:val="19"/>
          <w:lang w:val="es-CO"/>
        </w:rPr>
        <w:t>La</w:t>
      </w:r>
      <w:proofErr w:type="gramEnd"/>
      <w:r w:rsidRPr="00111101">
        <w:rPr>
          <w:rFonts w:ascii="Arial" w:hAnsi="Arial" w:cs="Arial"/>
          <w:i/>
          <w:iCs/>
          <w:sz w:val="19"/>
          <w:szCs w:val="19"/>
          <w:lang w:val="es-CO"/>
        </w:rPr>
        <w:t xml:space="preserve"> Entidad Estatal debe prever en los pliegos de condiciones para la Contratación, el mecanismo que proceda para restablecer la garantía, cuando el contratista incumpla su obligación de obtenerla, ampliarla o adicionarla</w:t>
      </w:r>
      <w:r>
        <w:rPr>
          <w:rFonts w:ascii="Arial" w:hAnsi="Arial" w:cs="Arial"/>
          <w:sz w:val="19"/>
          <w:szCs w:val="19"/>
          <w:lang w:val="es-CO"/>
        </w:rPr>
        <w:t>»</w:t>
      </w:r>
      <w:r w:rsidRPr="00E97BC3">
        <w:rPr>
          <w:rFonts w:ascii="Arial" w:hAnsi="Arial" w:cs="Arial"/>
          <w:sz w:val="19"/>
          <w:szCs w:val="19"/>
          <w:lang w:val="es-CO"/>
        </w:rPr>
        <w:t>.</w:t>
      </w:r>
      <w:r w:rsidR="0035018E">
        <w:rPr>
          <w:rFonts w:ascii="Arial" w:hAnsi="Arial" w:cs="Arial"/>
          <w:sz w:val="19"/>
          <w:szCs w:val="19"/>
          <w:lang w:val="es-CO"/>
        </w:rPr>
        <w:t xml:space="preserve"> (Cursivas fuera de texto).</w:t>
      </w:r>
    </w:p>
    <w:p w14:paraId="4D1BF322" w14:textId="0C5F6AB1" w:rsidR="008E2A52" w:rsidRPr="00E97BC3" w:rsidRDefault="008E2A52" w:rsidP="008E2A52">
      <w:pPr>
        <w:pStyle w:val="Textonotapie"/>
        <w:ind w:firstLine="708"/>
        <w:rPr>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181FF" w14:textId="1ED7BE31" w:rsidR="001F0B64" w:rsidRDefault="001F0B64" w:rsidP="001F0B64">
    <w:pPr>
      <w:pStyle w:val="Encabezado"/>
      <w:jc w:val="right"/>
    </w:pPr>
    <w:r>
      <w:rPr>
        <w:noProof/>
      </w:rPr>
      <w:drawing>
        <wp:inline distT="0" distB="0" distL="0" distR="0" wp14:anchorId="7A28BF86" wp14:editId="3A670FD9">
          <wp:extent cx="1256030" cy="511810"/>
          <wp:effectExtent l="0" t="0" r="1270" b="254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6030" cy="51181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3AF0320"/>
    <w:multiLevelType w:val="hybridMultilevel"/>
    <w:tmpl w:val="7AE4EAD0"/>
    <w:lvl w:ilvl="0" w:tplc="AD7296B0">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 w15:restartNumberingAfterBreak="0">
    <w:nsid w:val="19C25887"/>
    <w:multiLevelType w:val="hybridMultilevel"/>
    <w:tmpl w:val="6A244B8C"/>
    <w:lvl w:ilvl="0" w:tplc="5900E928">
      <w:start w:val="1"/>
      <w:numFmt w:val="decimal"/>
      <w:lvlText w:val="%1."/>
      <w:lvlJc w:val="left"/>
      <w:pPr>
        <w:ind w:left="1118" w:hanging="360"/>
      </w:pPr>
      <w:rPr>
        <w:rFonts w:hint="default"/>
      </w:rPr>
    </w:lvl>
    <w:lvl w:ilvl="1" w:tplc="240A0019" w:tentative="1">
      <w:start w:val="1"/>
      <w:numFmt w:val="lowerLetter"/>
      <w:lvlText w:val="%2."/>
      <w:lvlJc w:val="left"/>
      <w:pPr>
        <w:ind w:left="1838" w:hanging="360"/>
      </w:pPr>
    </w:lvl>
    <w:lvl w:ilvl="2" w:tplc="240A001B" w:tentative="1">
      <w:start w:val="1"/>
      <w:numFmt w:val="lowerRoman"/>
      <w:lvlText w:val="%3."/>
      <w:lvlJc w:val="right"/>
      <w:pPr>
        <w:ind w:left="2558" w:hanging="180"/>
      </w:pPr>
    </w:lvl>
    <w:lvl w:ilvl="3" w:tplc="240A000F" w:tentative="1">
      <w:start w:val="1"/>
      <w:numFmt w:val="decimal"/>
      <w:lvlText w:val="%4."/>
      <w:lvlJc w:val="left"/>
      <w:pPr>
        <w:ind w:left="3278" w:hanging="360"/>
      </w:pPr>
    </w:lvl>
    <w:lvl w:ilvl="4" w:tplc="240A0019" w:tentative="1">
      <w:start w:val="1"/>
      <w:numFmt w:val="lowerLetter"/>
      <w:lvlText w:val="%5."/>
      <w:lvlJc w:val="left"/>
      <w:pPr>
        <w:ind w:left="3998" w:hanging="360"/>
      </w:pPr>
    </w:lvl>
    <w:lvl w:ilvl="5" w:tplc="240A001B" w:tentative="1">
      <w:start w:val="1"/>
      <w:numFmt w:val="lowerRoman"/>
      <w:lvlText w:val="%6."/>
      <w:lvlJc w:val="right"/>
      <w:pPr>
        <w:ind w:left="4718" w:hanging="180"/>
      </w:pPr>
    </w:lvl>
    <w:lvl w:ilvl="6" w:tplc="240A000F" w:tentative="1">
      <w:start w:val="1"/>
      <w:numFmt w:val="decimal"/>
      <w:lvlText w:val="%7."/>
      <w:lvlJc w:val="left"/>
      <w:pPr>
        <w:ind w:left="5438" w:hanging="360"/>
      </w:pPr>
    </w:lvl>
    <w:lvl w:ilvl="7" w:tplc="240A0019" w:tentative="1">
      <w:start w:val="1"/>
      <w:numFmt w:val="lowerLetter"/>
      <w:lvlText w:val="%8."/>
      <w:lvlJc w:val="left"/>
      <w:pPr>
        <w:ind w:left="6158" w:hanging="360"/>
      </w:pPr>
    </w:lvl>
    <w:lvl w:ilvl="8" w:tplc="240A001B" w:tentative="1">
      <w:start w:val="1"/>
      <w:numFmt w:val="lowerRoman"/>
      <w:lvlText w:val="%9."/>
      <w:lvlJc w:val="right"/>
      <w:pPr>
        <w:ind w:left="6878" w:hanging="180"/>
      </w:pPr>
    </w:lvl>
  </w:abstractNum>
  <w:abstractNum w:abstractNumId="3" w15:restartNumberingAfterBreak="0">
    <w:nsid w:val="3B7C4182"/>
    <w:multiLevelType w:val="hybridMultilevel"/>
    <w:tmpl w:val="ECEE053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4AB372B5"/>
    <w:multiLevelType w:val="multilevel"/>
    <w:tmpl w:val="9FD4FF4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CF33F71"/>
    <w:multiLevelType w:val="hybridMultilevel"/>
    <w:tmpl w:val="9D14ACCC"/>
    <w:lvl w:ilvl="0" w:tplc="945E6F70">
      <w:start w:val="1"/>
      <w:numFmt w:val="decimal"/>
      <w:lvlText w:val="CLÁUSULA %1."/>
      <w:lvlJc w:val="left"/>
      <w:pPr>
        <w:ind w:left="1766" w:hanging="360"/>
      </w:pPr>
      <w:rPr>
        <w:rFonts w:ascii="Arial" w:hAnsi="Arial" w:cs="Arial" w:hint="default"/>
        <w:b/>
        <w:i w:val="0"/>
        <w:color w:val="000000"/>
        <w:sz w:val="20"/>
        <w:szCs w:val="20"/>
      </w:rPr>
    </w:lvl>
    <w:lvl w:ilvl="1" w:tplc="240A0019" w:tentative="1">
      <w:start w:val="1"/>
      <w:numFmt w:val="lowerLetter"/>
      <w:lvlText w:val="%2."/>
      <w:lvlJc w:val="left"/>
      <w:pPr>
        <w:ind w:left="2486" w:hanging="360"/>
      </w:pPr>
    </w:lvl>
    <w:lvl w:ilvl="2" w:tplc="240A001B" w:tentative="1">
      <w:start w:val="1"/>
      <w:numFmt w:val="lowerRoman"/>
      <w:lvlText w:val="%3."/>
      <w:lvlJc w:val="right"/>
      <w:pPr>
        <w:ind w:left="3206" w:hanging="180"/>
      </w:pPr>
    </w:lvl>
    <w:lvl w:ilvl="3" w:tplc="240A000F" w:tentative="1">
      <w:start w:val="1"/>
      <w:numFmt w:val="decimal"/>
      <w:lvlText w:val="%4."/>
      <w:lvlJc w:val="left"/>
      <w:pPr>
        <w:ind w:left="3926" w:hanging="360"/>
      </w:pPr>
    </w:lvl>
    <w:lvl w:ilvl="4" w:tplc="240A0019" w:tentative="1">
      <w:start w:val="1"/>
      <w:numFmt w:val="lowerLetter"/>
      <w:lvlText w:val="%5."/>
      <w:lvlJc w:val="left"/>
      <w:pPr>
        <w:ind w:left="4646" w:hanging="360"/>
      </w:pPr>
    </w:lvl>
    <w:lvl w:ilvl="5" w:tplc="240A001B" w:tentative="1">
      <w:start w:val="1"/>
      <w:numFmt w:val="lowerRoman"/>
      <w:lvlText w:val="%6."/>
      <w:lvlJc w:val="right"/>
      <w:pPr>
        <w:ind w:left="5366" w:hanging="180"/>
      </w:pPr>
    </w:lvl>
    <w:lvl w:ilvl="6" w:tplc="240A000F" w:tentative="1">
      <w:start w:val="1"/>
      <w:numFmt w:val="decimal"/>
      <w:lvlText w:val="%7."/>
      <w:lvlJc w:val="left"/>
      <w:pPr>
        <w:ind w:left="6086" w:hanging="360"/>
      </w:pPr>
    </w:lvl>
    <w:lvl w:ilvl="7" w:tplc="240A0019" w:tentative="1">
      <w:start w:val="1"/>
      <w:numFmt w:val="lowerLetter"/>
      <w:lvlText w:val="%8."/>
      <w:lvlJc w:val="left"/>
      <w:pPr>
        <w:ind w:left="6806" w:hanging="360"/>
      </w:pPr>
    </w:lvl>
    <w:lvl w:ilvl="8" w:tplc="240A001B" w:tentative="1">
      <w:start w:val="1"/>
      <w:numFmt w:val="lowerRoman"/>
      <w:lvlText w:val="%9."/>
      <w:lvlJc w:val="right"/>
      <w:pPr>
        <w:ind w:left="7526" w:hanging="180"/>
      </w:pPr>
    </w:lvl>
  </w:abstractNum>
  <w:abstractNum w:abstractNumId="6" w15:restartNumberingAfterBreak="0">
    <w:nsid w:val="4DEB72BE"/>
    <w:multiLevelType w:val="multilevel"/>
    <w:tmpl w:val="6DF2477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3830362"/>
    <w:multiLevelType w:val="multilevel"/>
    <w:tmpl w:val="AB1CE264"/>
    <w:lvl w:ilvl="0">
      <w:start w:val="6"/>
      <w:numFmt w:val="decimal"/>
      <w:lvlText w:val="%1."/>
      <w:lvlJc w:val="left"/>
      <w:pPr>
        <w:tabs>
          <w:tab w:val="num" w:pos="1800"/>
        </w:tabs>
        <w:ind w:left="1800" w:hanging="360"/>
      </w:p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8" w15:restartNumberingAfterBreak="0">
    <w:nsid w:val="5B6C7AE5"/>
    <w:multiLevelType w:val="multilevel"/>
    <w:tmpl w:val="085E81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49751F2"/>
    <w:multiLevelType w:val="multilevel"/>
    <w:tmpl w:val="10DC34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5AB3016"/>
    <w:multiLevelType w:val="hybridMultilevel"/>
    <w:tmpl w:val="560A3696"/>
    <w:lvl w:ilvl="0" w:tplc="21369FB4">
      <w:start w:val="2"/>
      <w:numFmt w:val="decimal"/>
      <w:lvlText w:val="%1."/>
      <w:lvlJc w:val="left"/>
      <w:pPr>
        <w:ind w:left="1118" w:hanging="360"/>
      </w:pPr>
      <w:rPr>
        <w:rFonts w:hint="default"/>
      </w:rPr>
    </w:lvl>
    <w:lvl w:ilvl="1" w:tplc="240A0019" w:tentative="1">
      <w:start w:val="1"/>
      <w:numFmt w:val="lowerLetter"/>
      <w:lvlText w:val="%2."/>
      <w:lvlJc w:val="left"/>
      <w:pPr>
        <w:ind w:left="1838" w:hanging="360"/>
      </w:pPr>
    </w:lvl>
    <w:lvl w:ilvl="2" w:tplc="240A001B" w:tentative="1">
      <w:start w:val="1"/>
      <w:numFmt w:val="lowerRoman"/>
      <w:lvlText w:val="%3."/>
      <w:lvlJc w:val="right"/>
      <w:pPr>
        <w:ind w:left="2558" w:hanging="180"/>
      </w:pPr>
    </w:lvl>
    <w:lvl w:ilvl="3" w:tplc="240A000F" w:tentative="1">
      <w:start w:val="1"/>
      <w:numFmt w:val="decimal"/>
      <w:lvlText w:val="%4."/>
      <w:lvlJc w:val="left"/>
      <w:pPr>
        <w:ind w:left="3278" w:hanging="360"/>
      </w:pPr>
    </w:lvl>
    <w:lvl w:ilvl="4" w:tplc="240A0019" w:tentative="1">
      <w:start w:val="1"/>
      <w:numFmt w:val="lowerLetter"/>
      <w:lvlText w:val="%5."/>
      <w:lvlJc w:val="left"/>
      <w:pPr>
        <w:ind w:left="3998" w:hanging="360"/>
      </w:pPr>
    </w:lvl>
    <w:lvl w:ilvl="5" w:tplc="240A001B" w:tentative="1">
      <w:start w:val="1"/>
      <w:numFmt w:val="lowerRoman"/>
      <w:lvlText w:val="%6."/>
      <w:lvlJc w:val="right"/>
      <w:pPr>
        <w:ind w:left="4718" w:hanging="180"/>
      </w:pPr>
    </w:lvl>
    <w:lvl w:ilvl="6" w:tplc="240A000F" w:tentative="1">
      <w:start w:val="1"/>
      <w:numFmt w:val="decimal"/>
      <w:lvlText w:val="%7."/>
      <w:lvlJc w:val="left"/>
      <w:pPr>
        <w:ind w:left="5438" w:hanging="360"/>
      </w:pPr>
    </w:lvl>
    <w:lvl w:ilvl="7" w:tplc="240A0019" w:tentative="1">
      <w:start w:val="1"/>
      <w:numFmt w:val="lowerLetter"/>
      <w:lvlText w:val="%8."/>
      <w:lvlJc w:val="left"/>
      <w:pPr>
        <w:ind w:left="6158" w:hanging="360"/>
      </w:pPr>
    </w:lvl>
    <w:lvl w:ilvl="8" w:tplc="240A001B" w:tentative="1">
      <w:start w:val="1"/>
      <w:numFmt w:val="lowerRoman"/>
      <w:lvlText w:val="%9."/>
      <w:lvlJc w:val="right"/>
      <w:pPr>
        <w:ind w:left="6878" w:hanging="180"/>
      </w:pPr>
    </w:lvl>
  </w:abstractNum>
  <w:abstractNum w:abstractNumId="11" w15:restartNumberingAfterBreak="0">
    <w:nsid w:val="691470D1"/>
    <w:multiLevelType w:val="hybridMultilevel"/>
    <w:tmpl w:val="F0F48A54"/>
    <w:lvl w:ilvl="0" w:tplc="991427FA">
      <w:start w:val="3"/>
      <w:numFmt w:val="decimal"/>
      <w:lvlText w:val="%1."/>
      <w:lvlJc w:val="left"/>
      <w:pPr>
        <w:ind w:left="1118" w:hanging="360"/>
      </w:pPr>
      <w:rPr>
        <w:rFonts w:hint="default"/>
      </w:rPr>
    </w:lvl>
    <w:lvl w:ilvl="1" w:tplc="240A0019" w:tentative="1">
      <w:start w:val="1"/>
      <w:numFmt w:val="lowerLetter"/>
      <w:lvlText w:val="%2."/>
      <w:lvlJc w:val="left"/>
      <w:pPr>
        <w:ind w:left="1838" w:hanging="360"/>
      </w:pPr>
    </w:lvl>
    <w:lvl w:ilvl="2" w:tplc="240A001B" w:tentative="1">
      <w:start w:val="1"/>
      <w:numFmt w:val="lowerRoman"/>
      <w:lvlText w:val="%3."/>
      <w:lvlJc w:val="right"/>
      <w:pPr>
        <w:ind w:left="2558" w:hanging="180"/>
      </w:pPr>
    </w:lvl>
    <w:lvl w:ilvl="3" w:tplc="240A000F" w:tentative="1">
      <w:start w:val="1"/>
      <w:numFmt w:val="decimal"/>
      <w:lvlText w:val="%4."/>
      <w:lvlJc w:val="left"/>
      <w:pPr>
        <w:ind w:left="3278" w:hanging="360"/>
      </w:pPr>
    </w:lvl>
    <w:lvl w:ilvl="4" w:tplc="240A0019" w:tentative="1">
      <w:start w:val="1"/>
      <w:numFmt w:val="lowerLetter"/>
      <w:lvlText w:val="%5."/>
      <w:lvlJc w:val="left"/>
      <w:pPr>
        <w:ind w:left="3998" w:hanging="360"/>
      </w:pPr>
    </w:lvl>
    <w:lvl w:ilvl="5" w:tplc="240A001B" w:tentative="1">
      <w:start w:val="1"/>
      <w:numFmt w:val="lowerRoman"/>
      <w:lvlText w:val="%6."/>
      <w:lvlJc w:val="right"/>
      <w:pPr>
        <w:ind w:left="4718" w:hanging="180"/>
      </w:pPr>
    </w:lvl>
    <w:lvl w:ilvl="6" w:tplc="240A000F" w:tentative="1">
      <w:start w:val="1"/>
      <w:numFmt w:val="decimal"/>
      <w:lvlText w:val="%7."/>
      <w:lvlJc w:val="left"/>
      <w:pPr>
        <w:ind w:left="5438" w:hanging="360"/>
      </w:pPr>
    </w:lvl>
    <w:lvl w:ilvl="7" w:tplc="240A0019" w:tentative="1">
      <w:start w:val="1"/>
      <w:numFmt w:val="lowerLetter"/>
      <w:lvlText w:val="%8."/>
      <w:lvlJc w:val="left"/>
      <w:pPr>
        <w:ind w:left="6158" w:hanging="360"/>
      </w:pPr>
    </w:lvl>
    <w:lvl w:ilvl="8" w:tplc="240A001B" w:tentative="1">
      <w:start w:val="1"/>
      <w:numFmt w:val="lowerRoman"/>
      <w:lvlText w:val="%9."/>
      <w:lvlJc w:val="right"/>
      <w:pPr>
        <w:ind w:left="6878" w:hanging="180"/>
      </w:pPr>
    </w:lvl>
  </w:abstractNum>
  <w:abstractNum w:abstractNumId="12" w15:restartNumberingAfterBreak="0">
    <w:nsid w:val="72CA7173"/>
    <w:multiLevelType w:val="hybridMultilevel"/>
    <w:tmpl w:val="8A543B6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770E2494"/>
    <w:multiLevelType w:val="multilevel"/>
    <w:tmpl w:val="D8EA110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8064620"/>
    <w:multiLevelType w:val="multilevel"/>
    <w:tmpl w:val="E48ED1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FCA2B2E"/>
    <w:multiLevelType w:val="hybridMultilevel"/>
    <w:tmpl w:val="CFEE5B28"/>
    <w:lvl w:ilvl="0" w:tplc="A192D4B6">
      <w:start w:val="4"/>
      <w:numFmt w:val="decimal"/>
      <w:lvlText w:val="%1."/>
      <w:lvlJc w:val="left"/>
      <w:pPr>
        <w:ind w:left="1118" w:hanging="360"/>
      </w:pPr>
      <w:rPr>
        <w:rFonts w:hint="default"/>
      </w:rPr>
    </w:lvl>
    <w:lvl w:ilvl="1" w:tplc="240A0019" w:tentative="1">
      <w:start w:val="1"/>
      <w:numFmt w:val="lowerLetter"/>
      <w:lvlText w:val="%2."/>
      <w:lvlJc w:val="left"/>
      <w:pPr>
        <w:ind w:left="1838" w:hanging="360"/>
      </w:pPr>
    </w:lvl>
    <w:lvl w:ilvl="2" w:tplc="240A001B" w:tentative="1">
      <w:start w:val="1"/>
      <w:numFmt w:val="lowerRoman"/>
      <w:lvlText w:val="%3."/>
      <w:lvlJc w:val="right"/>
      <w:pPr>
        <w:ind w:left="2558" w:hanging="180"/>
      </w:pPr>
    </w:lvl>
    <w:lvl w:ilvl="3" w:tplc="240A000F" w:tentative="1">
      <w:start w:val="1"/>
      <w:numFmt w:val="decimal"/>
      <w:lvlText w:val="%4."/>
      <w:lvlJc w:val="left"/>
      <w:pPr>
        <w:ind w:left="3278" w:hanging="360"/>
      </w:pPr>
    </w:lvl>
    <w:lvl w:ilvl="4" w:tplc="240A0019" w:tentative="1">
      <w:start w:val="1"/>
      <w:numFmt w:val="lowerLetter"/>
      <w:lvlText w:val="%5."/>
      <w:lvlJc w:val="left"/>
      <w:pPr>
        <w:ind w:left="3998" w:hanging="360"/>
      </w:pPr>
    </w:lvl>
    <w:lvl w:ilvl="5" w:tplc="240A001B" w:tentative="1">
      <w:start w:val="1"/>
      <w:numFmt w:val="lowerRoman"/>
      <w:lvlText w:val="%6."/>
      <w:lvlJc w:val="right"/>
      <w:pPr>
        <w:ind w:left="4718" w:hanging="180"/>
      </w:pPr>
    </w:lvl>
    <w:lvl w:ilvl="6" w:tplc="240A000F" w:tentative="1">
      <w:start w:val="1"/>
      <w:numFmt w:val="decimal"/>
      <w:lvlText w:val="%7."/>
      <w:lvlJc w:val="left"/>
      <w:pPr>
        <w:ind w:left="5438" w:hanging="360"/>
      </w:pPr>
    </w:lvl>
    <w:lvl w:ilvl="7" w:tplc="240A0019" w:tentative="1">
      <w:start w:val="1"/>
      <w:numFmt w:val="lowerLetter"/>
      <w:lvlText w:val="%8."/>
      <w:lvlJc w:val="left"/>
      <w:pPr>
        <w:ind w:left="6158" w:hanging="360"/>
      </w:pPr>
    </w:lvl>
    <w:lvl w:ilvl="8" w:tplc="240A001B" w:tentative="1">
      <w:start w:val="1"/>
      <w:numFmt w:val="lowerRoman"/>
      <w:lvlText w:val="%9."/>
      <w:lvlJc w:val="right"/>
      <w:pPr>
        <w:ind w:left="6878" w:hanging="180"/>
      </w:pPr>
    </w:lvl>
  </w:abstractNum>
  <w:num w:numId="1">
    <w:abstractNumId w:val="0"/>
  </w:num>
  <w:num w:numId="2">
    <w:abstractNumId w:val="5"/>
  </w:num>
  <w:num w:numId="3">
    <w:abstractNumId w:val="9"/>
  </w:num>
  <w:num w:numId="4">
    <w:abstractNumId w:val="8"/>
  </w:num>
  <w:num w:numId="5">
    <w:abstractNumId w:val="14"/>
  </w:num>
  <w:num w:numId="6">
    <w:abstractNumId w:val="4"/>
  </w:num>
  <w:num w:numId="7">
    <w:abstractNumId w:val="13"/>
  </w:num>
  <w:num w:numId="8">
    <w:abstractNumId w:val="7"/>
  </w:num>
  <w:num w:numId="9">
    <w:abstractNumId w:val="6"/>
  </w:num>
  <w:num w:numId="10">
    <w:abstractNumId w:val="2"/>
  </w:num>
  <w:num w:numId="11">
    <w:abstractNumId w:val="12"/>
  </w:num>
  <w:num w:numId="12">
    <w:abstractNumId w:val="3"/>
  </w:num>
  <w:num w:numId="13">
    <w:abstractNumId w:val="1"/>
  </w:num>
  <w:num w:numId="14">
    <w:abstractNumId w:val="10"/>
  </w:num>
  <w:num w:numId="15">
    <w:abstractNumId w:val="11"/>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B64"/>
    <w:rsid w:val="000033D5"/>
    <w:rsid w:val="000103BA"/>
    <w:rsid w:val="0002108B"/>
    <w:rsid w:val="000244F7"/>
    <w:rsid w:val="000302F8"/>
    <w:rsid w:val="000315B9"/>
    <w:rsid w:val="000362E6"/>
    <w:rsid w:val="000439A8"/>
    <w:rsid w:val="00045431"/>
    <w:rsid w:val="00052914"/>
    <w:rsid w:val="00053305"/>
    <w:rsid w:val="00067F4B"/>
    <w:rsid w:val="00073CBD"/>
    <w:rsid w:val="000807FD"/>
    <w:rsid w:val="00083DF2"/>
    <w:rsid w:val="00086133"/>
    <w:rsid w:val="00087944"/>
    <w:rsid w:val="00090E70"/>
    <w:rsid w:val="00095145"/>
    <w:rsid w:val="00095C8F"/>
    <w:rsid w:val="000A4812"/>
    <w:rsid w:val="000A7CAE"/>
    <w:rsid w:val="000B0AE3"/>
    <w:rsid w:val="000B1C4F"/>
    <w:rsid w:val="000B4D15"/>
    <w:rsid w:val="000B4FED"/>
    <w:rsid w:val="000C4F79"/>
    <w:rsid w:val="000C5878"/>
    <w:rsid w:val="000D1EF8"/>
    <w:rsid w:val="000D1FF5"/>
    <w:rsid w:val="000D25B4"/>
    <w:rsid w:val="000E4F8B"/>
    <w:rsid w:val="000E6EBE"/>
    <w:rsid w:val="000F417B"/>
    <w:rsid w:val="000F7C85"/>
    <w:rsid w:val="00101CC0"/>
    <w:rsid w:val="00101D95"/>
    <w:rsid w:val="00110654"/>
    <w:rsid w:val="00111101"/>
    <w:rsid w:val="0011128D"/>
    <w:rsid w:val="0011144C"/>
    <w:rsid w:val="00113D8A"/>
    <w:rsid w:val="001202C9"/>
    <w:rsid w:val="00120F14"/>
    <w:rsid w:val="00122D4F"/>
    <w:rsid w:val="00124A4E"/>
    <w:rsid w:val="001336AA"/>
    <w:rsid w:val="00136323"/>
    <w:rsid w:val="00143E35"/>
    <w:rsid w:val="001508DE"/>
    <w:rsid w:val="0015776C"/>
    <w:rsid w:val="00161592"/>
    <w:rsid w:val="00164E06"/>
    <w:rsid w:val="00167D89"/>
    <w:rsid w:val="001806D8"/>
    <w:rsid w:val="0018189C"/>
    <w:rsid w:val="00183970"/>
    <w:rsid w:val="00185B34"/>
    <w:rsid w:val="00186BAA"/>
    <w:rsid w:val="00190A1F"/>
    <w:rsid w:val="00190FC0"/>
    <w:rsid w:val="00193B24"/>
    <w:rsid w:val="001A57F2"/>
    <w:rsid w:val="001A6092"/>
    <w:rsid w:val="001B1234"/>
    <w:rsid w:val="001B3144"/>
    <w:rsid w:val="001B40FD"/>
    <w:rsid w:val="001B5CDB"/>
    <w:rsid w:val="001B7F62"/>
    <w:rsid w:val="001C297B"/>
    <w:rsid w:val="001C598A"/>
    <w:rsid w:val="001C7398"/>
    <w:rsid w:val="001D2B9A"/>
    <w:rsid w:val="001D48C6"/>
    <w:rsid w:val="001D5221"/>
    <w:rsid w:val="001E0B56"/>
    <w:rsid w:val="001E1F47"/>
    <w:rsid w:val="001E48F7"/>
    <w:rsid w:val="001E4DC7"/>
    <w:rsid w:val="001F0B64"/>
    <w:rsid w:val="001F0E0E"/>
    <w:rsid w:val="001F1008"/>
    <w:rsid w:val="001F2735"/>
    <w:rsid w:val="001F4848"/>
    <w:rsid w:val="001F5A98"/>
    <w:rsid w:val="001F64C4"/>
    <w:rsid w:val="001F713B"/>
    <w:rsid w:val="00200D0A"/>
    <w:rsid w:val="00203005"/>
    <w:rsid w:val="00203D17"/>
    <w:rsid w:val="00204DC8"/>
    <w:rsid w:val="00205DAC"/>
    <w:rsid w:val="00206A08"/>
    <w:rsid w:val="00211FC9"/>
    <w:rsid w:val="00216FDE"/>
    <w:rsid w:val="00220AC9"/>
    <w:rsid w:val="00223BE1"/>
    <w:rsid w:val="00227C1F"/>
    <w:rsid w:val="00231696"/>
    <w:rsid w:val="00232BFB"/>
    <w:rsid w:val="00240326"/>
    <w:rsid w:val="00241B3C"/>
    <w:rsid w:val="00243F96"/>
    <w:rsid w:val="00246BA0"/>
    <w:rsid w:val="0024753D"/>
    <w:rsid w:val="00250D34"/>
    <w:rsid w:val="002538AE"/>
    <w:rsid w:val="002545C6"/>
    <w:rsid w:val="00254F89"/>
    <w:rsid w:val="00255E45"/>
    <w:rsid w:val="0026099F"/>
    <w:rsid w:val="00262DBB"/>
    <w:rsid w:val="00263CCA"/>
    <w:rsid w:val="00264237"/>
    <w:rsid w:val="002665B4"/>
    <w:rsid w:val="00267830"/>
    <w:rsid w:val="0027184F"/>
    <w:rsid w:val="0027508C"/>
    <w:rsid w:val="00275AF4"/>
    <w:rsid w:val="002775F9"/>
    <w:rsid w:val="00282C51"/>
    <w:rsid w:val="0028419D"/>
    <w:rsid w:val="00290617"/>
    <w:rsid w:val="00291225"/>
    <w:rsid w:val="0029799D"/>
    <w:rsid w:val="002A2A7E"/>
    <w:rsid w:val="002A6E4A"/>
    <w:rsid w:val="002B0CE4"/>
    <w:rsid w:val="002B766D"/>
    <w:rsid w:val="002C47F9"/>
    <w:rsid w:val="002C50E7"/>
    <w:rsid w:val="002C7C2F"/>
    <w:rsid w:val="002D3602"/>
    <w:rsid w:val="002D369A"/>
    <w:rsid w:val="002E4257"/>
    <w:rsid w:val="002E4AEE"/>
    <w:rsid w:val="002E5A8E"/>
    <w:rsid w:val="002F093D"/>
    <w:rsid w:val="002F3C27"/>
    <w:rsid w:val="002F5079"/>
    <w:rsid w:val="002F51FD"/>
    <w:rsid w:val="002F58C2"/>
    <w:rsid w:val="003015C8"/>
    <w:rsid w:val="0030438C"/>
    <w:rsid w:val="00305915"/>
    <w:rsid w:val="003072C1"/>
    <w:rsid w:val="00311B54"/>
    <w:rsid w:val="00315700"/>
    <w:rsid w:val="0031639E"/>
    <w:rsid w:val="003231A1"/>
    <w:rsid w:val="00325678"/>
    <w:rsid w:val="003256D9"/>
    <w:rsid w:val="0033655F"/>
    <w:rsid w:val="0034014A"/>
    <w:rsid w:val="00346687"/>
    <w:rsid w:val="0035018E"/>
    <w:rsid w:val="003557C2"/>
    <w:rsid w:val="0036174B"/>
    <w:rsid w:val="00362D98"/>
    <w:rsid w:val="003649B1"/>
    <w:rsid w:val="00366801"/>
    <w:rsid w:val="00370398"/>
    <w:rsid w:val="00385153"/>
    <w:rsid w:val="00393D57"/>
    <w:rsid w:val="0039475D"/>
    <w:rsid w:val="00394EE8"/>
    <w:rsid w:val="00394F5A"/>
    <w:rsid w:val="003950FD"/>
    <w:rsid w:val="00397AAE"/>
    <w:rsid w:val="003B2D2B"/>
    <w:rsid w:val="003B42D8"/>
    <w:rsid w:val="003C6CEA"/>
    <w:rsid w:val="003D26C8"/>
    <w:rsid w:val="003D4A39"/>
    <w:rsid w:val="003D4F73"/>
    <w:rsid w:val="003D5E36"/>
    <w:rsid w:val="003D6325"/>
    <w:rsid w:val="003E7B8C"/>
    <w:rsid w:val="003F4C42"/>
    <w:rsid w:val="003F5158"/>
    <w:rsid w:val="003F5406"/>
    <w:rsid w:val="004004EB"/>
    <w:rsid w:val="004027BF"/>
    <w:rsid w:val="00405EB3"/>
    <w:rsid w:val="00410C4C"/>
    <w:rsid w:val="004128F2"/>
    <w:rsid w:val="00420EAB"/>
    <w:rsid w:val="0042594D"/>
    <w:rsid w:val="0043250B"/>
    <w:rsid w:val="00444183"/>
    <w:rsid w:val="00446A49"/>
    <w:rsid w:val="00447651"/>
    <w:rsid w:val="00451A8B"/>
    <w:rsid w:val="00451EEC"/>
    <w:rsid w:val="0045266C"/>
    <w:rsid w:val="0045658C"/>
    <w:rsid w:val="004575ED"/>
    <w:rsid w:val="00462481"/>
    <w:rsid w:val="00463C55"/>
    <w:rsid w:val="004706E1"/>
    <w:rsid w:val="00477466"/>
    <w:rsid w:val="004806E3"/>
    <w:rsid w:val="004818C7"/>
    <w:rsid w:val="00483957"/>
    <w:rsid w:val="00486082"/>
    <w:rsid w:val="004955EB"/>
    <w:rsid w:val="004A4F3D"/>
    <w:rsid w:val="004A6AF2"/>
    <w:rsid w:val="004B2679"/>
    <w:rsid w:val="004B3DF3"/>
    <w:rsid w:val="004C048C"/>
    <w:rsid w:val="004C2F5C"/>
    <w:rsid w:val="004C31E0"/>
    <w:rsid w:val="004C3C7B"/>
    <w:rsid w:val="004C4D9C"/>
    <w:rsid w:val="004C6B9D"/>
    <w:rsid w:val="004D0B8F"/>
    <w:rsid w:val="004D146D"/>
    <w:rsid w:val="004D236A"/>
    <w:rsid w:val="004D4BAB"/>
    <w:rsid w:val="004D6D6E"/>
    <w:rsid w:val="004E1C20"/>
    <w:rsid w:val="004E26DB"/>
    <w:rsid w:val="004E3B01"/>
    <w:rsid w:val="004E59AE"/>
    <w:rsid w:val="004F340C"/>
    <w:rsid w:val="005008EE"/>
    <w:rsid w:val="00502992"/>
    <w:rsid w:val="005047FB"/>
    <w:rsid w:val="005102F6"/>
    <w:rsid w:val="00517630"/>
    <w:rsid w:val="00524C93"/>
    <w:rsid w:val="00525A6F"/>
    <w:rsid w:val="00527CAF"/>
    <w:rsid w:val="005309AF"/>
    <w:rsid w:val="0053240A"/>
    <w:rsid w:val="00535BCC"/>
    <w:rsid w:val="00536C51"/>
    <w:rsid w:val="00541625"/>
    <w:rsid w:val="005428CD"/>
    <w:rsid w:val="00545B6D"/>
    <w:rsid w:val="00546669"/>
    <w:rsid w:val="00546B8E"/>
    <w:rsid w:val="005473CA"/>
    <w:rsid w:val="005522B2"/>
    <w:rsid w:val="00556B61"/>
    <w:rsid w:val="00561BC5"/>
    <w:rsid w:val="0056423F"/>
    <w:rsid w:val="0056665F"/>
    <w:rsid w:val="00570259"/>
    <w:rsid w:val="005768E2"/>
    <w:rsid w:val="005808F6"/>
    <w:rsid w:val="00582706"/>
    <w:rsid w:val="00586ABE"/>
    <w:rsid w:val="00587B74"/>
    <w:rsid w:val="00595CB5"/>
    <w:rsid w:val="00597E67"/>
    <w:rsid w:val="005A043B"/>
    <w:rsid w:val="005A1831"/>
    <w:rsid w:val="005A4098"/>
    <w:rsid w:val="005B13E3"/>
    <w:rsid w:val="005B7B4E"/>
    <w:rsid w:val="005C1BB6"/>
    <w:rsid w:val="005C3102"/>
    <w:rsid w:val="005C628A"/>
    <w:rsid w:val="005C774A"/>
    <w:rsid w:val="005D3726"/>
    <w:rsid w:val="005D5EFF"/>
    <w:rsid w:val="005D5F3A"/>
    <w:rsid w:val="005E0E6A"/>
    <w:rsid w:val="005E2050"/>
    <w:rsid w:val="005E48CA"/>
    <w:rsid w:val="005F231C"/>
    <w:rsid w:val="005F4C9D"/>
    <w:rsid w:val="00601118"/>
    <w:rsid w:val="006069E4"/>
    <w:rsid w:val="006077AF"/>
    <w:rsid w:val="00607971"/>
    <w:rsid w:val="0061353A"/>
    <w:rsid w:val="00613A94"/>
    <w:rsid w:val="006160ED"/>
    <w:rsid w:val="00621C59"/>
    <w:rsid w:val="00627A39"/>
    <w:rsid w:val="00630043"/>
    <w:rsid w:val="0063501D"/>
    <w:rsid w:val="0063680B"/>
    <w:rsid w:val="006455EE"/>
    <w:rsid w:val="006459F1"/>
    <w:rsid w:val="00654338"/>
    <w:rsid w:val="0065435E"/>
    <w:rsid w:val="00656C88"/>
    <w:rsid w:val="00663B2B"/>
    <w:rsid w:val="00666573"/>
    <w:rsid w:val="0066748A"/>
    <w:rsid w:val="0067010A"/>
    <w:rsid w:val="00680A74"/>
    <w:rsid w:val="00681B5C"/>
    <w:rsid w:val="006823E1"/>
    <w:rsid w:val="00682BFE"/>
    <w:rsid w:val="00683DD1"/>
    <w:rsid w:val="00692B35"/>
    <w:rsid w:val="00696364"/>
    <w:rsid w:val="006A00F0"/>
    <w:rsid w:val="006A17DA"/>
    <w:rsid w:val="006A326C"/>
    <w:rsid w:val="006B086F"/>
    <w:rsid w:val="006B3898"/>
    <w:rsid w:val="006B4120"/>
    <w:rsid w:val="006B4389"/>
    <w:rsid w:val="006B49E2"/>
    <w:rsid w:val="006B50F4"/>
    <w:rsid w:val="006B7C16"/>
    <w:rsid w:val="006D32D0"/>
    <w:rsid w:val="006D4256"/>
    <w:rsid w:val="006D545D"/>
    <w:rsid w:val="006D6837"/>
    <w:rsid w:val="006E2BDF"/>
    <w:rsid w:val="006E387C"/>
    <w:rsid w:val="006E42AF"/>
    <w:rsid w:val="007130F2"/>
    <w:rsid w:val="00715D1A"/>
    <w:rsid w:val="0071688B"/>
    <w:rsid w:val="00720167"/>
    <w:rsid w:val="00720B7A"/>
    <w:rsid w:val="007304F1"/>
    <w:rsid w:val="00731719"/>
    <w:rsid w:val="00734A81"/>
    <w:rsid w:val="00741E0E"/>
    <w:rsid w:val="00742263"/>
    <w:rsid w:val="0075114B"/>
    <w:rsid w:val="00757BE3"/>
    <w:rsid w:val="00760D9F"/>
    <w:rsid w:val="00763502"/>
    <w:rsid w:val="0077159D"/>
    <w:rsid w:val="00772B38"/>
    <w:rsid w:val="00775595"/>
    <w:rsid w:val="00776983"/>
    <w:rsid w:val="00780374"/>
    <w:rsid w:val="00780CCA"/>
    <w:rsid w:val="00782560"/>
    <w:rsid w:val="0078316A"/>
    <w:rsid w:val="00792ABB"/>
    <w:rsid w:val="00794812"/>
    <w:rsid w:val="007959E6"/>
    <w:rsid w:val="00797BF7"/>
    <w:rsid w:val="007A172F"/>
    <w:rsid w:val="007A1D83"/>
    <w:rsid w:val="007A2A5E"/>
    <w:rsid w:val="007A6C80"/>
    <w:rsid w:val="007B2653"/>
    <w:rsid w:val="007B6D6A"/>
    <w:rsid w:val="007C5BE8"/>
    <w:rsid w:val="007C77DB"/>
    <w:rsid w:val="007D45FE"/>
    <w:rsid w:val="007E5998"/>
    <w:rsid w:val="007F20B6"/>
    <w:rsid w:val="007F45C8"/>
    <w:rsid w:val="007F46A0"/>
    <w:rsid w:val="007F5034"/>
    <w:rsid w:val="00813EA6"/>
    <w:rsid w:val="00815486"/>
    <w:rsid w:val="00815D48"/>
    <w:rsid w:val="00817C8D"/>
    <w:rsid w:val="00821078"/>
    <w:rsid w:val="00821B98"/>
    <w:rsid w:val="008255A6"/>
    <w:rsid w:val="00827048"/>
    <w:rsid w:val="008352C9"/>
    <w:rsid w:val="00835CAF"/>
    <w:rsid w:val="00836DB5"/>
    <w:rsid w:val="008445A5"/>
    <w:rsid w:val="00855F34"/>
    <w:rsid w:val="008602F0"/>
    <w:rsid w:val="00862B49"/>
    <w:rsid w:val="00865240"/>
    <w:rsid w:val="00865B5B"/>
    <w:rsid w:val="00867998"/>
    <w:rsid w:val="008679AE"/>
    <w:rsid w:val="00871EDB"/>
    <w:rsid w:val="00873667"/>
    <w:rsid w:val="008762F2"/>
    <w:rsid w:val="0087766A"/>
    <w:rsid w:val="008816A0"/>
    <w:rsid w:val="00884796"/>
    <w:rsid w:val="00886937"/>
    <w:rsid w:val="008878C5"/>
    <w:rsid w:val="00887C3D"/>
    <w:rsid w:val="00890C9E"/>
    <w:rsid w:val="00891FFF"/>
    <w:rsid w:val="00893015"/>
    <w:rsid w:val="008A0771"/>
    <w:rsid w:val="008A2955"/>
    <w:rsid w:val="008A784C"/>
    <w:rsid w:val="008B0357"/>
    <w:rsid w:val="008B07E4"/>
    <w:rsid w:val="008B1DE8"/>
    <w:rsid w:val="008C27B3"/>
    <w:rsid w:val="008C65C8"/>
    <w:rsid w:val="008C7D6D"/>
    <w:rsid w:val="008C7DBF"/>
    <w:rsid w:val="008D14D0"/>
    <w:rsid w:val="008D15C1"/>
    <w:rsid w:val="008D68CF"/>
    <w:rsid w:val="008E2A52"/>
    <w:rsid w:val="008E76E4"/>
    <w:rsid w:val="008E7B3B"/>
    <w:rsid w:val="008F6CF5"/>
    <w:rsid w:val="008F7854"/>
    <w:rsid w:val="0090068B"/>
    <w:rsid w:val="00904418"/>
    <w:rsid w:val="0090541D"/>
    <w:rsid w:val="00906D89"/>
    <w:rsid w:val="00910117"/>
    <w:rsid w:val="00912BDF"/>
    <w:rsid w:val="0091566C"/>
    <w:rsid w:val="00915D35"/>
    <w:rsid w:val="009202A9"/>
    <w:rsid w:val="00922679"/>
    <w:rsid w:val="00924E87"/>
    <w:rsid w:val="009317D5"/>
    <w:rsid w:val="00933DF5"/>
    <w:rsid w:val="00934FEB"/>
    <w:rsid w:val="009372E7"/>
    <w:rsid w:val="009418F6"/>
    <w:rsid w:val="009421D3"/>
    <w:rsid w:val="00942475"/>
    <w:rsid w:val="00946B8F"/>
    <w:rsid w:val="00953DBA"/>
    <w:rsid w:val="009547BB"/>
    <w:rsid w:val="0095642D"/>
    <w:rsid w:val="00956D55"/>
    <w:rsid w:val="0096474F"/>
    <w:rsid w:val="00965141"/>
    <w:rsid w:val="0096631F"/>
    <w:rsid w:val="009672A5"/>
    <w:rsid w:val="00970B2D"/>
    <w:rsid w:val="009753FB"/>
    <w:rsid w:val="0098426D"/>
    <w:rsid w:val="00985670"/>
    <w:rsid w:val="00986D75"/>
    <w:rsid w:val="00987F41"/>
    <w:rsid w:val="009931BF"/>
    <w:rsid w:val="00993C9E"/>
    <w:rsid w:val="00993FCF"/>
    <w:rsid w:val="009945BA"/>
    <w:rsid w:val="009A1C52"/>
    <w:rsid w:val="009A2746"/>
    <w:rsid w:val="009A2D96"/>
    <w:rsid w:val="009A4B3C"/>
    <w:rsid w:val="009A5BF6"/>
    <w:rsid w:val="009A63F5"/>
    <w:rsid w:val="009A680E"/>
    <w:rsid w:val="009B180A"/>
    <w:rsid w:val="009B4595"/>
    <w:rsid w:val="009C114C"/>
    <w:rsid w:val="009C1B81"/>
    <w:rsid w:val="009C39FA"/>
    <w:rsid w:val="009C3B28"/>
    <w:rsid w:val="009C6B5E"/>
    <w:rsid w:val="009C74E3"/>
    <w:rsid w:val="009D131F"/>
    <w:rsid w:val="009E3BE2"/>
    <w:rsid w:val="009E7F13"/>
    <w:rsid w:val="009F5204"/>
    <w:rsid w:val="009F74FA"/>
    <w:rsid w:val="00A0411E"/>
    <w:rsid w:val="00A04B76"/>
    <w:rsid w:val="00A111D4"/>
    <w:rsid w:val="00A13366"/>
    <w:rsid w:val="00A15475"/>
    <w:rsid w:val="00A21D51"/>
    <w:rsid w:val="00A22E98"/>
    <w:rsid w:val="00A237DB"/>
    <w:rsid w:val="00A25E4D"/>
    <w:rsid w:val="00A32DFA"/>
    <w:rsid w:val="00A436E2"/>
    <w:rsid w:val="00A44BEA"/>
    <w:rsid w:val="00A45691"/>
    <w:rsid w:val="00A472E0"/>
    <w:rsid w:val="00A47B35"/>
    <w:rsid w:val="00A5252A"/>
    <w:rsid w:val="00A556B0"/>
    <w:rsid w:val="00A56403"/>
    <w:rsid w:val="00A5715A"/>
    <w:rsid w:val="00A579BF"/>
    <w:rsid w:val="00A62156"/>
    <w:rsid w:val="00A650EB"/>
    <w:rsid w:val="00A67E26"/>
    <w:rsid w:val="00A71009"/>
    <w:rsid w:val="00A731BE"/>
    <w:rsid w:val="00A754B0"/>
    <w:rsid w:val="00A7595F"/>
    <w:rsid w:val="00A777E1"/>
    <w:rsid w:val="00A80C59"/>
    <w:rsid w:val="00A83059"/>
    <w:rsid w:val="00A841CA"/>
    <w:rsid w:val="00A84B4C"/>
    <w:rsid w:val="00A9111D"/>
    <w:rsid w:val="00A934BD"/>
    <w:rsid w:val="00A95147"/>
    <w:rsid w:val="00AA0906"/>
    <w:rsid w:val="00AA399E"/>
    <w:rsid w:val="00AA5160"/>
    <w:rsid w:val="00AB4397"/>
    <w:rsid w:val="00AC1C7A"/>
    <w:rsid w:val="00AC2099"/>
    <w:rsid w:val="00AC21BF"/>
    <w:rsid w:val="00AD0FA6"/>
    <w:rsid w:val="00AD19D3"/>
    <w:rsid w:val="00AD4A1A"/>
    <w:rsid w:val="00AD6C45"/>
    <w:rsid w:val="00AE13D1"/>
    <w:rsid w:val="00AE4588"/>
    <w:rsid w:val="00AE601E"/>
    <w:rsid w:val="00AF2880"/>
    <w:rsid w:val="00AF4195"/>
    <w:rsid w:val="00AF6523"/>
    <w:rsid w:val="00B02495"/>
    <w:rsid w:val="00B02832"/>
    <w:rsid w:val="00B04849"/>
    <w:rsid w:val="00B05B31"/>
    <w:rsid w:val="00B2101E"/>
    <w:rsid w:val="00B2123C"/>
    <w:rsid w:val="00B22345"/>
    <w:rsid w:val="00B26673"/>
    <w:rsid w:val="00B27FD9"/>
    <w:rsid w:val="00B30320"/>
    <w:rsid w:val="00B3069E"/>
    <w:rsid w:val="00B31BC5"/>
    <w:rsid w:val="00B366A3"/>
    <w:rsid w:val="00B37C0B"/>
    <w:rsid w:val="00B43A64"/>
    <w:rsid w:val="00B509E9"/>
    <w:rsid w:val="00B55C2D"/>
    <w:rsid w:val="00B55CD8"/>
    <w:rsid w:val="00B61683"/>
    <w:rsid w:val="00B618E4"/>
    <w:rsid w:val="00B63536"/>
    <w:rsid w:val="00B63F7A"/>
    <w:rsid w:val="00B64D4A"/>
    <w:rsid w:val="00B65B4A"/>
    <w:rsid w:val="00B66168"/>
    <w:rsid w:val="00B70F30"/>
    <w:rsid w:val="00B74B04"/>
    <w:rsid w:val="00B75264"/>
    <w:rsid w:val="00B7528F"/>
    <w:rsid w:val="00B80FA0"/>
    <w:rsid w:val="00B8333A"/>
    <w:rsid w:val="00B83352"/>
    <w:rsid w:val="00BA3A78"/>
    <w:rsid w:val="00BA421E"/>
    <w:rsid w:val="00BA5AD1"/>
    <w:rsid w:val="00BB609D"/>
    <w:rsid w:val="00BC2663"/>
    <w:rsid w:val="00BC54AB"/>
    <w:rsid w:val="00BC7C36"/>
    <w:rsid w:val="00BD36DD"/>
    <w:rsid w:val="00BD4C51"/>
    <w:rsid w:val="00BD5538"/>
    <w:rsid w:val="00BE32B6"/>
    <w:rsid w:val="00BE3A8F"/>
    <w:rsid w:val="00BE68CB"/>
    <w:rsid w:val="00BF046C"/>
    <w:rsid w:val="00BF2D3E"/>
    <w:rsid w:val="00BF2E83"/>
    <w:rsid w:val="00BF50C3"/>
    <w:rsid w:val="00BF7F11"/>
    <w:rsid w:val="00C04519"/>
    <w:rsid w:val="00C063FE"/>
    <w:rsid w:val="00C10AD2"/>
    <w:rsid w:val="00C20BD8"/>
    <w:rsid w:val="00C224BB"/>
    <w:rsid w:val="00C25426"/>
    <w:rsid w:val="00C31405"/>
    <w:rsid w:val="00C31DA0"/>
    <w:rsid w:val="00C31EC8"/>
    <w:rsid w:val="00C353DE"/>
    <w:rsid w:val="00C364EB"/>
    <w:rsid w:val="00C41685"/>
    <w:rsid w:val="00C42CEC"/>
    <w:rsid w:val="00C50DCF"/>
    <w:rsid w:val="00C535F5"/>
    <w:rsid w:val="00C614EF"/>
    <w:rsid w:val="00C61FA0"/>
    <w:rsid w:val="00C63D6D"/>
    <w:rsid w:val="00C64EC5"/>
    <w:rsid w:val="00C657F8"/>
    <w:rsid w:val="00C668DF"/>
    <w:rsid w:val="00C67DDF"/>
    <w:rsid w:val="00C83309"/>
    <w:rsid w:val="00C83C18"/>
    <w:rsid w:val="00C8596C"/>
    <w:rsid w:val="00C8603C"/>
    <w:rsid w:val="00C907C3"/>
    <w:rsid w:val="00C90943"/>
    <w:rsid w:val="00C915F2"/>
    <w:rsid w:val="00C92C82"/>
    <w:rsid w:val="00C96890"/>
    <w:rsid w:val="00C97B83"/>
    <w:rsid w:val="00CA1795"/>
    <w:rsid w:val="00CA3340"/>
    <w:rsid w:val="00CA641E"/>
    <w:rsid w:val="00CC4DF7"/>
    <w:rsid w:val="00CD0E82"/>
    <w:rsid w:val="00CE09BE"/>
    <w:rsid w:val="00CE4E78"/>
    <w:rsid w:val="00CE5D87"/>
    <w:rsid w:val="00CE77E4"/>
    <w:rsid w:val="00CF086A"/>
    <w:rsid w:val="00CF0BA5"/>
    <w:rsid w:val="00CF0EAF"/>
    <w:rsid w:val="00CF3128"/>
    <w:rsid w:val="00CF4D52"/>
    <w:rsid w:val="00D02CF7"/>
    <w:rsid w:val="00D03617"/>
    <w:rsid w:val="00D0440C"/>
    <w:rsid w:val="00D07C5A"/>
    <w:rsid w:val="00D10486"/>
    <w:rsid w:val="00D144CF"/>
    <w:rsid w:val="00D21D72"/>
    <w:rsid w:val="00D30BB6"/>
    <w:rsid w:val="00D32DAB"/>
    <w:rsid w:val="00D33A6D"/>
    <w:rsid w:val="00D412AA"/>
    <w:rsid w:val="00D426F6"/>
    <w:rsid w:val="00D5094F"/>
    <w:rsid w:val="00D509A2"/>
    <w:rsid w:val="00D50EB2"/>
    <w:rsid w:val="00D5267A"/>
    <w:rsid w:val="00D53EC8"/>
    <w:rsid w:val="00D56FCB"/>
    <w:rsid w:val="00D57BE7"/>
    <w:rsid w:val="00D57F67"/>
    <w:rsid w:val="00D607D0"/>
    <w:rsid w:val="00D70146"/>
    <w:rsid w:val="00D713DB"/>
    <w:rsid w:val="00D90E36"/>
    <w:rsid w:val="00D93DC5"/>
    <w:rsid w:val="00D943EC"/>
    <w:rsid w:val="00D97A3B"/>
    <w:rsid w:val="00DA1393"/>
    <w:rsid w:val="00DB0458"/>
    <w:rsid w:val="00DB132E"/>
    <w:rsid w:val="00DB7D74"/>
    <w:rsid w:val="00DC028A"/>
    <w:rsid w:val="00DC19E8"/>
    <w:rsid w:val="00DC1E40"/>
    <w:rsid w:val="00DC2073"/>
    <w:rsid w:val="00DC7DE0"/>
    <w:rsid w:val="00DD303A"/>
    <w:rsid w:val="00DD47A1"/>
    <w:rsid w:val="00DD54F4"/>
    <w:rsid w:val="00DE1B88"/>
    <w:rsid w:val="00DE3224"/>
    <w:rsid w:val="00DE378A"/>
    <w:rsid w:val="00DE3980"/>
    <w:rsid w:val="00DE4439"/>
    <w:rsid w:val="00DE4778"/>
    <w:rsid w:val="00DE6B10"/>
    <w:rsid w:val="00DE7000"/>
    <w:rsid w:val="00DE7650"/>
    <w:rsid w:val="00DF2122"/>
    <w:rsid w:val="00DF2FC4"/>
    <w:rsid w:val="00DF3BB3"/>
    <w:rsid w:val="00E21703"/>
    <w:rsid w:val="00E332A5"/>
    <w:rsid w:val="00E361CC"/>
    <w:rsid w:val="00E3661C"/>
    <w:rsid w:val="00E37412"/>
    <w:rsid w:val="00E37448"/>
    <w:rsid w:val="00E47AD6"/>
    <w:rsid w:val="00E56BE2"/>
    <w:rsid w:val="00E627DF"/>
    <w:rsid w:val="00E66B66"/>
    <w:rsid w:val="00E67387"/>
    <w:rsid w:val="00E75B31"/>
    <w:rsid w:val="00E85B3F"/>
    <w:rsid w:val="00E86CA9"/>
    <w:rsid w:val="00E94462"/>
    <w:rsid w:val="00E944BB"/>
    <w:rsid w:val="00E97BC3"/>
    <w:rsid w:val="00E97FDD"/>
    <w:rsid w:val="00EA276D"/>
    <w:rsid w:val="00EA28DD"/>
    <w:rsid w:val="00EA6133"/>
    <w:rsid w:val="00EA6FC9"/>
    <w:rsid w:val="00EA794D"/>
    <w:rsid w:val="00EB01AE"/>
    <w:rsid w:val="00EB4BD0"/>
    <w:rsid w:val="00EB67A4"/>
    <w:rsid w:val="00EC137A"/>
    <w:rsid w:val="00EC484C"/>
    <w:rsid w:val="00EC70D2"/>
    <w:rsid w:val="00EC715A"/>
    <w:rsid w:val="00ED3B12"/>
    <w:rsid w:val="00EE71E1"/>
    <w:rsid w:val="00EF6139"/>
    <w:rsid w:val="00EF73E3"/>
    <w:rsid w:val="00EF77E9"/>
    <w:rsid w:val="00F12638"/>
    <w:rsid w:val="00F16AA0"/>
    <w:rsid w:val="00F20EAF"/>
    <w:rsid w:val="00F213D2"/>
    <w:rsid w:val="00F2598E"/>
    <w:rsid w:val="00F27A92"/>
    <w:rsid w:val="00F27AE1"/>
    <w:rsid w:val="00F27D0F"/>
    <w:rsid w:val="00F30838"/>
    <w:rsid w:val="00F32F5A"/>
    <w:rsid w:val="00F36602"/>
    <w:rsid w:val="00F36608"/>
    <w:rsid w:val="00F37100"/>
    <w:rsid w:val="00F374AF"/>
    <w:rsid w:val="00F4131A"/>
    <w:rsid w:val="00F422F3"/>
    <w:rsid w:val="00F4447D"/>
    <w:rsid w:val="00F471B8"/>
    <w:rsid w:val="00F47B09"/>
    <w:rsid w:val="00F5075D"/>
    <w:rsid w:val="00F53398"/>
    <w:rsid w:val="00F5716B"/>
    <w:rsid w:val="00F62C18"/>
    <w:rsid w:val="00F647FD"/>
    <w:rsid w:val="00F67E2D"/>
    <w:rsid w:val="00F73B50"/>
    <w:rsid w:val="00F76150"/>
    <w:rsid w:val="00F7642C"/>
    <w:rsid w:val="00F76B1E"/>
    <w:rsid w:val="00F776C0"/>
    <w:rsid w:val="00F84729"/>
    <w:rsid w:val="00F977C3"/>
    <w:rsid w:val="00FB2E02"/>
    <w:rsid w:val="00FB47E1"/>
    <w:rsid w:val="00FB5043"/>
    <w:rsid w:val="00FC0304"/>
    <w:rsid w:val="00FC08A0"/>
    <w:rsid w:val="00FC1CA7"/>
    <w:rsid w:val="00FC2296"/>
    <w:rsid w:val="00FC3AF6"/>
    <w:rsid w:val="00FC49F4"/>
    <w:rsid w:val="00FC7465"/>
    <w:rsid w:val="00FC7489"/>
    <w:rsid w:val="00FE193A"/>
    <w:rsid w:val="00FF02C6"/>
    <w:rsid w:val="00FF1840"/>
    <w:rsid w:val="00FF1A84"/>
    <w:rsid w:val="00FF410D"/>
    <w:rsid w:val="00FF43FC"/>
    <w:rsid w:val="00FF7E0E"/>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518751"/>
  <w15:chartTrackingRefBased/>
  <w15:docId w15:val="{131C1372-3F37-4D5E-962C-47DE683C3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796"/>
    <w:pPr>
      <w:spacing w:after="0" w:line="240" w:lineRule="auto"/>
    </w:pPr>
    <w:rPr>
      <w:sz w:val="24"/>
      <w:lang w:val="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1F0B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1F0B64"/>
    <w:pPr>
      <w:ind w:left="720"/>
      <w:contextualSpacing/>
    </w:pPr>
  </w:style>
  <w:style w:type="paragraph" w:styleId="NormalWeb">
    <w:name w:val="Normal (Web)"/>
    <w:basedOn w:val="Normal"/>
    <w:uiPriority w:val="99"/>
    <w:unhideWhenUsed/>
    <w:rsid w:val="001F0B64"/>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aliases w:val="No Indent"/>
    <w:uiPriority w:val="1"/>
    <w:qFormat/>
    <w:rsid w:val="001F0B6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1F0B6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1F0B64"/>
    <w:rPr>
      <w:sz w:val="20"/>
      <w:szCs w:val="20"/>
    </w:rPr>
  </w:style>
  <w:style w:type="character" w:customStyle="1" w:styleId="TextonotapieCar1">
    <w:name w:val="Texto nota pie Car1"/>
    <w:basedOn w:val="Fuentedeprrafopredeter"/>
    <w:uiPriority w:val="99"/>
    <w:semiHidden/>
    <w:rsid w:val="001F0B6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1F0B64"/>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1F0B64"/>
    <w:rPr>
      <w:vertAlign w:val="superscript"/>
    </w:rPr>
  </w:style>
  <w:style w:type="paragraph" w:customStyle="1" w:styleId="Default">
    <w:name w:val="Default"/>
    <w:rsid w:val="001F0B64"/>
    <w:pPr>
      <w:autoSpaceDE w:val="0"/>
      <w:autoSpaceDN w:val="0"/>
      <w:adjustRightInd w:val="0"/>
      <w:spacing w:after="0" w:line="240" w:lineRule="auto"/>
    </w:pPr>
    <w:rPr>
      <w:rFonts w:ascii="Arial" w:hAnsi="Arial" w:cs="Arial"/>
      <w:color w:val="000000"/>
      <w:sz w:val="24"/>
      <w:szCs w:val="24"/>
    </w:rPr>
  </w:style>
  <w:style w:type="character" w:customStyle="1" w:styleId="normaltextrun">
    <w:name w:val="normaltextrun"/>
    <w:basedOn w:val="Fuentedeprrafopredeter"/>
    <w:rsid w:val="001F0B64"/>
  </w:style>
  <w:style w:type="paragraph" w:customStyle="1" w:styleId="Appelnotedebasde">
    <w:name w:val="Appel note de bas de..."/>
    <w:basedOn w:val="Normal"/>
    <w:link w:val="Refdenotaalpie"/>
    <w:uiPriority w:val="99"/>
    <w:rsid w:val="001F0B64"/>
    <w:pPr>
      <w:spacing w:after="160" w:line="240" w:lineRule="exact"/>
    </w:pPr>
    <w:rPr>
      <w:sz w:val="22"/>
      <w:vertAlign w:val="superscript"/>
      <w:lang w:val="es-CO"/>
    </w:rPr>
  </w:style>
  <w:style w:type="paragraph" w:styleId="Encabezado">
    <w:name w:val="header"/>
    <w:basedOn w:val="Normal"/>
    <w:link w:val="EncabezadoCar"/>
    <w:uiPriority w:val="99"/>
    <w:unhideWhenUsed/>
    <w:rsid w:val="001F0B64"/>
    <w:pPr>
      <w:tabs>
        <w:tab w:val="center" w:pos="4419"/>
        <w:tab w:val="right" w:pos="8838"/>
      </w:tabs>
    </w:pPr>
  </w:style>
  <w:style w:type="character" w:customStyle="1" w:styleId="EncabezadoCar">
    <w:name w:val="Encabezado Car"/>
    <w:basedOn w:val="Fuentedeprrafopredeter"/>
    <w:link w:val="Encabezado"/>
    <w:uiPriority w:val="99"/>
    <w:rsid w:val="001F0B64"/>
    <w:rPr>
      <w:sz w:val="24"/>
      <w:lang w:val="es-MX"/>
    </w:rPr>
  </w:style>
  <w:style w:type="paragraph" w:styleId="Piedepgina">
    <w:name w:val="footer"/>
    <w:basedOn w:val="Normal"/>
    <w:link w:val="PiedepginaCar"/>
    <w:uiPriority w:val="99"/>
    <w:unhideWhenUsed/>
    <w:rsid w:val="001F0B64"/>
    <w:pPr>
      <w:tabs>
        <w:tab w:val="center" w:pos="4419"/>
        <w:tab w:val="right" w:pos="8838"/>
      </w:tabs>
    </w:pPr>
  </w:style>
  <w:style w:type="character" w:customStyle="1" w:styleId="PiedepginaCar">
    <w:name w:val="Pie de página Car"/>
    <w:basedOn w:val="Fuentedeprrafopredeter"/>
    <w:link w:val="Piedepgina"/>
    <w:uiPriority w:val="99"/>
    <w:rsid w:val="001F0B64"/>
    <w:rPr>
      <w:sz w:val="24"/>
      <w:lang w:val="es-MX"/>
    </w:rPr>
  </w:style>
  <w:style w:type="character" w:customStyle="1" w:styleId="highlight">
    <w:name w:val="highlight"/>
    <w:basedOn w:val="Fuentedeprrafopredeter"/>
    <w:rsid w:val="003015C8"/>
  </w:style>
  <w:style w:type="character" w:styleId="Refdecomentario">
    <w:name w:val="annotation reference"/>
    <w:basedOn w:val="Fuentedeprrafopredeter"/>
    <w:uiPriority w:val="99"/>
    <w:semiHidden/>
    <w:unhideWhenUsed/>
    <w:rsid w:val="0056665F"/>
    <w:rPr>
      <w:sz w:val="16"/>
      <w:szCs w:val="16"/>
    </w:rPr>
  </w:style>
  <w:style w:type="paragraph" w:styleId="Textocomentario">
    <w:name w:val="annotation text"/>
    <w:basedOn w:val="Normal"/>
    <w:link w:val="TextocomentarioCar"/>
    <w:uiPriority w:val="99"/>
    <w:unhideWhenUsed/>
    <w:rsid w:val="0056665F"/>
    <w:rPr>
      <w:sz w:val="20"/>
      <w:szCs w:val="20"/>
    </w:rPr>
  </w:style>
  <w:style w:type="character" w:customStyle="1" w:styleId="TextocomentarioCar">
    <w:name w:val="Texto comentario Car"/>
    <w:basedOn w:val="Fuentedeprrafopredeter"/>
    <w:link w:val="Textocomentario"/>
    <w:uiPriority w:val="99"/>
    <w:rsid w:val="0056665F"/>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56665F"/>
    <w:rPr>
      <w:b/>
      <w:bCs/>
    </w:rPr>
  </w:style>
  <w:style w:type="character" w:customStyle="1" w:styleId="AsuntodelcomentarioCar">
    <w:name w:val="Asunto del comentario Car"/>
    <w:basedOn w:val="TextocomentarioCar"/>
    <w:link w:val="Asuntodelcomentario"/>
    <w:uiPriority w:val="99"/>
    <w:semiHidden/>
    <w:rsid w:val="0056665F"/>
    <w:rPr>
      <w:b/>
      <w:bCs/>
      <w:sz w:val="20"/>
      <w:szCs w:val="20"/>
      <w:lang w:val="es-MX"/>
    </w:rPr>
  </w:style>
  <w:style w:type="character" w:styleId="Hipervnculo">
    <w:name w:val="Hyperlink"/>
    <w:basedOn w:val="Fuentedeprrafopredeter"/>
    <w:uiPriority w:val="99"/>
    <w:unhideWhenUsed/>
    <w:rsid w:val="00682BFE"/>
    <w:rPr>
      <w:color w:val="0563C1" w:themeColor="hyperlink"/>
      <w:u w:val="single"/>
    </w:rPr>
  </w:style>
  <w:style w:type="character" w:styleId="Mencinsinresolver">
    <w:name w:val="Unresolved Mention"/>
    <w:basedOn w:val="Fuentedeprrafopredeter"/>
    <w:uiPriority w:val="99"/>
    <w:semiHidden/>
    <w:unhideWhenUsed/>
    <w:rsid w:val="00682BFE"/>
    <w:rPr>
      <w:color w:val="605E5C"/>
      <w:shd w:val="clear" w:color="auto" w:fill="E1DFDD"/>
    </w:rPr>
  </w:style>
  <w:style w:type="character" w:styleId="Textoennegrita">
    <w:name w:val="Strong"/>
    <w:basedOn w:val="Fuentedeprrafopredeter"/>
    <w:uiPriority w:val="22"/>
    <w:qFormat/>
    <w:rsid w:val="00A111D4"/>
    <w:rPr>
      <w:b/>
      <w:bCs/>
    </w:rPr>
  </w:style>
  <w:style w:type="paragraph" w:styleId="Revisin">
    <w:name w:val="Revision"/>
    <w:hidden/>
    <w:uiPriority w:val="99"/>
    <w:semiHidden/>
    <w:rsid w:val="00F73B50"/>
    <w:pPr>
      <w:spacing w:after="0" w:line="240" w:lineRule="auto"/>
    </w:pPr>
    <w:rPr>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08217">
      <w:bodyDiv w:val="1"/>
      <w:marLeft w:val="0"/>
      <w:marRight w:val="0"/>
      <w:marTop w:val="0"/>
      <w:marBottom w:val="0"/>
      <w:divBdr>
        <w:top w:val="none" w:sz="0" w:space="0" w:color="auto"/>
        <w:left w:val="none" w:sz="0" w:space="0" w:color="auto"/>
        <w:bottom w:val="none" w:sz="0" w:space="0" w:color="auto"/>
        <w:right w:val="none" w:sz="0" w:space="0" w:color="auto"/>
      </w:divBdr>
    </w:div>
    <w:div w:id="212665737">
      <w:bodyDiv w:val="1"/>
      <w:marLeft w:val="0"/>
      <w:marRight w:val="0"/>
      <w:marTop w:val="0"/>
      <w:marBottom w:val="0"/>
      <w:divBdr>
        <w:top w:val="none" w:sz="0" w:space="0" w:color="auto"/>
        <w:left w:val="none" w:sz="0" w:space="0" w:color="auto"/>
        <w:bottom w:val="none" w:sz="0" w:space="0" w:color="auto"/>
        <w:right w:val="none" w:sz="0" w:space="0" w:color="auto"/>
      </w:divBdr>
    </w:div>
    <w:div w:id="630133249">
      <w:bodyDiv w:val="1"/>
      <w:marLeft w:val="0"/>
      <w:marRight w:val="0"/>
      <w:marTop w:val="0"/>
      <w:marBottom w:val="0"/>
      <w:divBdr>
        <w:top w:val="none" w:sz="0" w:space="0" w:color="auto"/>
        <w:left w:val="none" w:sz="0" w:space="0" w:color="auto"/>
        <w:bottom w:val="none" w:sz="0" w:space="0" w:color="auto"/>
        <w:right w:val="none" w:sz="0" w:space="0" w:color="auto"/>
      </w:divBdr>
    </w:div>
    <w:div w:id="836923475">
      <w:bodyDiv w:val="1"/>
      <w:marLeft w:val="0"/>
      <w:marRight w:val="0"/>
      <w:marTop w:val="0"/>
      <w:marBottom w:val="0"/>
      <w:divBdr>
        <w:top w:val="none" w:sz="0" w:space="0" w:color="auto"/>
        <w:left w:val="none" w:sz="0" w:space="0" w:color="auto"/>
        <w:bottom w:val="none" w:sz="0" w:space="0" w:color="auto"/>
        <w:right w:val="none" w:sz="0" w:space="0" w:color="auto"/>
      </w:divBdr>
    </w:div>
    <w:div w:id="939875032">
      <w:bodyDiv w:val="1"/>
      <w:marLeft w:val="0"/>
      <w:marRight w:val="0"/>
      <w:marTop w:val="0"/>
      <w:marBottom w:val="0"/>
      <w:divBdr>
        <w:top w:val="none" w:sz="0" w:space="0" w:color="auto"/>
        <w:left w:val="none" w:sz="0" w:space="0" w:color="auto"/>
        <w:bottom w:val="none" w:sz="0" w:space="0" w:color="auto"/>
        <w:right w:val="none" w:sz="0" w:space="0" w:color="auto"/>
      </w:divBdr>
    </w:div>
    <w:div w:id="965358880">
      <w:bodyDiv w:val="1"/>
      <w:marLeft w:val="0"/>
      <w:marRight w:val="0"/>
      <w:marTop w:val="0"/>
      <w:marBottom w:val="0"/>
      <w:divBdr>
        <w:top w:val="none" w:sz="0" w:space="0" w:color="auto"/>
        <w:left w:val="none" w:sz="0" w:space="0" w:color="auto"/>
        <w:bottom w:val="none" w:sz="0" w:space="0" w:color="auto"/>
        <w:right w:val="none" w:sz="0" w:space="0" w:color="auto"/>
      </w:divBdr>
    </w:div>
    <w:div w:id="1400202241">
      <w:bodyDiv w:val="1"/>
      <w:marLeft w:val="0"/>
      <w:marRight w:val="0"/>
      <w:marTop w:val="0"/>
      <w:marBottom w:val="0"/>
      <w:divBdr>
        <w:top w:val="none" w:sz="0" w:space="0" w:color="auto"/>
        <w:left w:val="none" w:sz="0" w:space="0" w:color="auto"/>
        <w:bottom w:val="none" w:sz="0" w:space="0" w:color="auto"/>
        <w:right w:val="none" w:sz="0" w:space="0" w:color="auto"/>
      </w:divBdr>
    </w:div>
    <w:div w:id="1902783991">
      <w:bodyDiv w:val="1"/>
      <w:marLeft w:val="0"/>
      <w:marRight w:val="0"/>
      <w:marTop w:val="0"/>
      <w:marBottom w:val="0"/>
      <w:divBdr>
        <w:top w:val="none" w:sz="0" w:space="0" w:color="auto"/>
        <w:left w:val="none" w:sz="0" w:space="0" w:color="auto"/>
        <w:bottom w:val="none" w:sz="0" w:space="0" w:color="auto"/>
        <w:right w:val="none" w:sz="0" w:space="0" w:color="auto"/>
      </w:divBdr>
    </w:div>
    <w:div w:id="1938251513">
      <w:bodyDiv w:val="1"/>
      <w:marLeft w:val="0"/>
      <w:marRight w:val="0"/>
      <w:marTop w:val="0"/>
      <w:marBottom w:val="0"/>
      <w:divBdr>
        <w:top w:val="none" w:sz="0" w:space="0" w:color="auto"/>
        <w:left w:val="none" w:sz="0" w:space="0" w:color="auto"/>
        <w:bottom w:val="none" w:sz="0" w:space="0" w:color="auto"/>
        <w:right w:val="none" w:sz="0" w:space="0" w:color="auto"/>
      </w:divBdr>
    </w:div>
    <w:div w:id="2126538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59E229-CA6E-4773-BC92-6EEC3E646622}">
  <ds:schemaRefs>
    <ds:schemaRef ds:uri="http://schemas.openxmlformats.org/officeDocument/2006/bibliography"/>
  </ds:schemaRefs>
</ds:datastoreItem>
</file>

<file path=customXml/itemProps2.xml><?xml version="1.0" encoding="utf-8"?>
<ds:datastoreItem xmlns:ds="http://schemas.openxmlformats.org/officeDocument/2006/customXml" ds:itemID="{5A950390-3AB1-4584-B8BC-DC5BAA2A15FA}">
  <ds:schemaRefs>
    <ds:schemaRef ds:uri="http://purl.org/dc/elements/1.1/"/>
    <ds:schemaRef ds:uri="a6cb9e4b-f1d1-4245-83ec-6cad768d538a"/>
    <ds:schemaRef ds:uri="http://www.w3.org/XML/1998/namespace"/>
    <ds:schemaRef ds:uri="http://purl.org/dc/dcmitype/"/>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9d85dbaf-23eb-4e57-a637-93dcacc8b1a1"/>
    <ds:schemaRef ds:uri="http://schemas.microsoft.com/office/2006/metadata/properties"/>
  </ds:schemaRefs>
</ds:datastoreItem>
</file>

<file path=customXml/itemProps3.xml><?xml version="1.0" encoding="utf-8"?>
<ds:datastoreItem xmlns:ds="http://schemas.openxmlformats.org/officeDocument/2006/customXml" ds:itemID="{98A9452E-34D2-4B43-B587-D5CBC11034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5F28AC-2593-42CA-9BCB-CC25514446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11</Pages>
  <Words>4148</Words>
  <Characters>22814</Characters>
  <Application>Microsoft Office Word</Application>
  <DocSecurity>0</DocSecurity>
  <Lines>190</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Milena Nuñez Aldana</dc:creator>
  <cp:keywords/>
  <dc:description/>
  <cp:lastModifiedBy>Sara Milena Nuñez Aldana</cp:lastModifiedBy>
  <cp:revision>8</cp:revision>
  <dcterms:created xsi:type="dcterms:W3CDTF">2022-02-28T20:41:00Z</dcterms:created>
  <dcterms:modified xsi:type="dcterms:W3CDTF">2022-02-28T21:42:00Z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