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2283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2283A">
        <w:rPr>
          <w:rFonts w:ascii="Arial" w:hAnsi="Arial" w:cs="Arial"/>
          <w:bCs/>
          <w:color w:val="000000" w:themeColor="text1"/>
          <w:sz w:val="16"/>
          <w:szCs w:val="16"/>
          <w:lang w:val="es-ES_tradnl" w:eastAsia="es-ES"/>
        </w:rPr>
        <w:t>CCE-DES-FM-17</w:t>
      </w:r>
      <w:bookmarkEnd w:id="0"/>
      <w:bookmarkEnd w:id="1"/>
    </w:p>
    <w:p w14:paraId="55FBD910" w14:textId="77777777" w:rsidR="008536BB" w:rsidRPr="0042283A" w:rsidRDefault="008536BB" w:rsidP="00B95C30">
      <w:pPr>
        <w:spacing w:line="276" w:lineRule="auto"/>
        <w:jc w:val="both"/>
        <w:rPr>
          <w:rFonts w:ascii="Arial" w:hAnsi="Arial" w:cs="Arial"/>
          <w:noProof/>
          <w:color w:val="000000" w:themeColor="text1"/>
          <w:sz w:val="22"/>
          <w:lang w:val="es-ES_tradnl"/>
        </w:rPr>
      </w:pPr>
    </w:p>
    <w:p w14:paraId="6ADC901E" w14:textId="7DE227E0" w:rsidR="009D163B" w:rsidRPr="0042283A" w:rsidRDefault="00D65B2B" w:rsidP="00C978D4">
      <w:pPr>
        <w:jc w:val="both"/>
        <w:rPr>
          <w:rFonts w:ascii="Arial" w:eastAsia="Calibri" w:hAnsi="Arial" w:cs="Arial"/>
          <w:b/>
          <w:sz w:val="22"/>
          <w:lang w:val="es-ES_tradnl"/>
        </w:rPr>
      </w:pPr>
      <w:r w:rsidRPr="0042283A">
        <w:rPr>
          <w:rFonts w:ascii="Arial" w:eastAsia="Calibri" w:hAnsi="Arial" w:cs="Arial"/>
          <w:b/>
          <w:sz w:val="22"/>
          <w:lang w:val="es-ES_tradnl"/>
        </w:rPr>
        <w:t>CONCURSO DE MÉRITOS</w:t>
      </w:r>
      <w:r w:rsidR="009D163B" w:rsidRPr="0042283A">
        <w:rPr>
          <w:rFonts w:ascii="Arial" w:eastAsia="Calibri" w:hAnsi="Arial" w:cs="Arial"/>
          <w:b/>
          <w:sz w:val="22"/>
          <w:lang w:val="es-ES_tradnl"/>
        </w:rPr>
        <w:t xml:space="preserve"> – Concepto – Modalidades</w:t>
      </w:r>
    </w:p>
    <w:p w14:paraId="36CE69AD" w14:textId="3E3BBBB8" w:rsidR="009D163B" w:rsidRPr="0042283A" w:rsidRDefault="009D163B" w:rsidP="00C978D4">
      <w:pPr>
        <w:jc w:val="both"/>
        <w:rPr>
          <w:rFonts w:ascii="Arial" w:eastAsia="Calibri" w:hAnsi="Arial" w:cs="Arial"/>
          <w:b/>
          <w:sz w:val="22"/>
          <w:lang w:val="es-ES_tradnl"/>
        </w:rPr>
      </w:pPr>
    </w:p>
    <w:p w14:paraId="72DEC53C" w14:textId="77777777" w:rsidR="009D163B" w:rsidRPr="0042283A" w:rsidRDefault="009D163B" w:rsidP="009D163B">
      <w:pPr>
        <w:jc w:val="both"/>
        <w:rPr>
          <w:rFonts w:ascii="Arial" w:hAnsi="Arial" w:cs="Arial"/>
          <w:color w:val="000000" w:themeColor="text1"/>
          <w:sz w:val="20"/>
          <w:szCs w:val="20"/>
          <w:lang w:val="es-ES_tradnl"/>
        </w:rPr>
      </w:pPr>
      <w:r w:rsidRPr="0042283A">
        <w:rPr>
          <w:rFonts w:ascii="Arial" w:hAnsi="Arial" w:cs="Arial"/>
          <w:color w:val="000000" w:themeColor="text1"/>
          <w:sz w:val="20"/>
          <w:szCs w:val="20"/>
          <w:lang w:val="es-ES_tradnl"/>
        </w:rPr>
        <w:t xml:space="preserve">El </w:t>
      </w:r>
      <w:r w:rsidRPr="0042283A">
        <w:rPr>
          <w:rFonts w:ascii="Arial" w:hAnsi="Arial" w:cs="Arial"/>
          <w:i/>
          <w:iCs/>
          <w:color w:val="000000" w:themeColor="text1"/>
          <w:sz w:val="20"/>
          <w:szCs w:val="20"/>
          <w:lang w:val="es-ES_tradnl"/>
        </w:rPr>
        <w:t xml:space="preserve">concurso de méritos </w:t>
      </w:r>
      <w:r w:rsidRPr="0042283A">
        <w:rPr>
          <w:rFonts w:ascii="Arial" w:hAnsi="Arial" w:cs="Arial"/>
          <w:color w:val="000000" w:themeColor="text1"/>
          <w:sz w:val="20"/>
          <w:szCs w:val="20"/>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245BC8AB" w14:textId="77777777" w:rsidR="009D163B" w:rsidRPr="0042283A" w:rsidRDefault="009D163B" w:rsidP="009D163B">
      <w:pPr>
        <w:jc w:val="both"/>
        <w:rPr>
          <w:rFonts w:ascii="Arial" w:hAnsi="Arial" w:cs="Arial"/>
          <w:color w:val="000000" w:themeColor="text1"/>
          <w:sz w:val="20"/>
          <w:szCs w:val="20"/>
          <w:lang w:val="es-ES_tradnl"/>
        </w:rPr>
      </w:pPr>
    </w:p>
    <w:p w14:paraId="67419391" w14:textId="0C6F494D" w:rsidR="009D163B" w:rsidRPr="0042283A" w:rsidRDefault="009D163B" w:rsidP="009D163B">
      <w:pPr>
        <w:jc w:val="both"/>
        <w:rPr>
          <w:rFonts w:ascii="Arial" w:hAnsi="Arial" w:cs="Arial"/>
          <w:color w:val="000000" w:themeColor="text1"/>
          <w:sz w:val="20"/>
          <w:szCs w:val="20"/>
          <w:lang w:val="es-ES_tradnl"/>
        </w:rPr>
      </w:pPr>
      <w:r w:rsidRPr="0042283A">
        <w:rPr>
          <w:rFonts w:ascii="Arial" w:hAnsi="Arial" w:cs="Arial"/>
          <w:color w:val="000000" w:themeColor="text1"/>
          <w:sz w:val="20"/>
          <w:szCs w:val="20"/>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42283A">
        <w:rPr>
          <w:rFonts w:ascii="Arial" w:hAnsi="Arial" w:cs="Arial"/>
          <w:i/>
          <w:iCs/>
          <w:color w:val="000000" w:themeColor="text1"/>
          <w:sz w:val="20"/>
          <w:szCs w:val="20"/>
          <w:lang w:val="es-ES_tradnl"/>
        </w:rPr>
        <w:t>ibídem</w:t>
      </w:r>
      <w:r w:rsidRPr="0042283A">
        <w:rPr>
          <w:rFonts w:ascii="Arial" w:hAnsi="Arial" w:cs="Arial"/>
          <w:color w:val="000000" w:themeColor="text1"/>
          <w:sz w:val="20"/>
          <w:szCs w:val="20"/>
          <w:lang w:val="es-ES_tradnl"/>
        </w:rPr>
        <w:t xml:space="preserve">. El segundo, además de los dos artículos anteriores, lo regulan los artículos 2.2.1.2.1.3.3. a 2.2.1.2.1.3.7. </w:t>
      </w:r>
      <w:proofErr w:type="spellStart"/>
      <w:r w:rsidRPr="0042283A">
        <w:rPr>
          <w:rFonts w:ascii="Arial" w:hAnsi="Arial" w:cs="Arial"/>
          <w:i/>
          <w:iCs/>
          <w:color w:val="000000" w:themeColor="text1"/>
          <w:sz w:val="20"/>
          <w:szCs w:val="20"/>
          <w:lang w:val="es-ES_tradnl"/>
        </w:rPr>
        <w:t>ejusdem</w:t>
      </w:r>
      <w:proofErr w:type="spellEnd"/>
      <w:r w:rsidRPr="0042283A">
        <w:rPr>
          <w:rFonts w:ascii="Arial" w:hAnsi="Arial" w:cs="Arial"/>
          <w:color w:val="000000" w:themeColor="text1"/>
          <w:sz w:val="20"/>
          <w:szCs w:val="20"/>
          <w:lang w:val="es-ES_tradnl"/>
        </w:rPr>
        <w:t>. El tercero lo regulan los artículos 2.2.1.2.1.3.8. a 2.2.1.2.1.3.25. del mencionado Decreto.</w:t>
      </w:r>
    </w:p>
    <w:p w14:paraId="149D5551" w14:textId="34107518" w:rsidR="009D163B" w:rsidRPr="0042283A" w:rsidRDefault="009D163B" w:rsidP="00C978D4">
      <w:pPr>
        <w:jc w:val="both"/>
        <w:rPr>
          <w:rFonts w:ascii="Arial" w:eastAsia="Calibri" w:hAnsi="Arial" w:cs="Arial"/>
          <w:b/>
          <w:sz w:val="22"/>
          <w:lang w:val="es-ES_tradnl"/>
        </w:rPr>
      </w:pPr>
    </w:p>
    <w:p w14:paraId="30802736" w14:textId="71A88E72" w:rsidR="009D163B" w:rsidRPr="0042283A" w:rsidRDefault="009D163B" w:rsidP="009D163B">
      <w:pPr>
        <w:jc w:val="both"/>
        <w:rPr>
          <w:rFonts w:ascii="Arial" w:eastAsia="Calibri" w:hAnsi="Arial" w:cs="Arial"/>
          <w:b/>
          <w:sz w:val="22"/>
          <w:szCs w:val="22"/>
          <w:lang w:val="es-ES_tradnl"/>
        </w:rPr>
      </w:pPr>
      <w:r w:rsidRPr="0042283A">
        <w:rPr>
          <w:rFonts w:ascii="Arial" w:eastAsia="Calibri" w:hAnsi="Arial" w:cs="Arial"/>
          <w:b/>
          <w:sz w:val="22"/>
          <w:szCs w:val="22"/>
          <w:lang w:val="es-ES_tradnl"/>
        </w:rPr>
        <w:t xml:space="preserve">CONCURSO DE MÉRITOS – </w:t>
      </w:r>
      <w:r w:rsidR="00D205C7" w:rsidRPr="0042283A">
        <w:rPr>
          <w:rFonts w:ascii="Arial" w:eastAsia="Calibri" w:hAnsi="Arial" w:cs="Arial"/>
          <w:b/>
          <w:sz w:val="22"/>
          <w:szCs w:val="22"/>
          <w:lang w:val="es-ES_tradnl"/>
        </w:rPr>
        <w:t>Decreto 1082 de 2015</w:t>
      </w:r>
      <w:r w:rsidRPr="0042283A">
        <w:rPr>
          <w:rFonts w:ascii="Arial" w:eastAsia="Calibri" w:hAnsi="Arial" w:cs="Arial"/>
          <w:b/>
          <w:sz w:val="22"/>
          <w:szCs w:val="22"/>
          <w:lang w:val="es-ES_tradnl"/>
        </w:rPr>
        <w:t xml:space="preserve"> – </w:t>
      </w:r>
      <w:r w:rsidR="00D205C7" w:rsidRPr="0042283A">
        <w:rPr>
          <w:rFonts w:ascii="Arial" w:hAnsi="Arial" w:cs="Arial"/>
          <w:b/>
          <w:color w:val="000000" w:themeColor="text1"/>
          <w:sz w:val="22"/>
          <w:szCs w:val="22"/>
          <w:lang w:val="es-ES_tradnl"/>
        </w:rPr>
        <w:t xml:space="preserve">artículo 2.2.1.2.1.3.2 – </w:t>
      </w:r>
      <w:r w:rsidR="00D205C7" w:rsidRPr="0042283A">
        <w:rPr>
          <w:rFonts w:ascii="Arial" w:eastAsia="Calibri" w:hAnsi="Arial" w:cs="Arial"/>
          <w:b/>
          <w:sz w:val="22"/>
          <w:szCs w:val="22"/>
          <w:lang w:val="es-ES_tradnl"/>
        </w:rPr>
        <w:t>Suspensión provisional</w:t>
      </w:r>
    </w:p>
    <w:p w14:paraId="7668E0AC" w14:textId="507A7AF1" w:rsidR="009D163B" w:rsidRPr="0042283A" w:rsidRDefault="009D163B" w:rsidP="00C978D4">
      <w:pPr>
        <w:jc w:val="both"/>
        <w:rPr>
          <w:rFonts w:ascii="Arial" w:eastAsia="Calibri" w:hAnsi="Arial" w:cs="Arial"/>
          <w:b/>
          <w:sz w:val="22"/>
          <w:lang w:val="es-ES_tradnl"/>
        </w:rPr>
      </w:pPr>
    </w:p>
    <w:p w14:paraId="65D37014" w14:textId="30BDD792" w:rsidR="00D205C7" w:rsidRPr="0042283A" w:rsidRDefault="00D205C7" w:rsidP="00D205C7">
      <w:pPr>
        <w:jc w:val="both"/>
        <w:rPr>
          <w:rFonts w:ascii="Arial" w:hAnsi="Arial" w:cs="Arial"/>
          <w:color w:val="000000" w:themeColor="text1"/>
          <w:sz w:val="20"/>
          <w:szCs w:val="20"/>
          <w:lang w:val="es-ES_tradnl"/>
        </w:rPr>
      </w:pPr>
      <w:r w:rsidRPr="0042283A">
        <w:rPr>
          <w:rFonts w:ascii="Arial" w:hAnsi="Arial" w:cs="Arial"/>
          <w:color w:val="000000" w:themeColor="text1"/>
          <w:sz w:val="20"/>
          <w:szCs w:val="20"/>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7E03CAC9" w14:textId="77777777" w:rsidR="00D205C7" w:rsidRPr="0042283A" w:rsidRDefault="00D205C7" w:rsidP="00D205C7">
      <w:pPr>
        <w:jc w:val="both"/>
        <w:rPr>
          <w:rFonts w:ascii="Arial" w:hAnsi="Arial" w:cs="Arial"/>
          <w:color w:val="000000" w:themeColor="text1"/>
          <w:sz w:val="20"/>
          <w:szCs w:val="20"/>
          <w:lang w:val="es-ES_tradnl"/>
        </w:rPr>
      </w:pPr>
    </w:p>
    <w:p w14:paraId="7B7FAEDD" w14:textId="2DFE0811" w:rsidR="00D205C7" w:rsidRPr="0042283A" w:rsidRDefault="00D205C7" w:rsidP="00D205C7">
      <w:pPr>
        <w:jc w:val="both"/>
        <w:rPr>
          <w:rFonts w:ascii="Arial" w:eastAsia="Calibri" w:hAnsi="Arial" w:cs="Arial"/>
          <w:color w:val="000000" w:themeColor="text1"/>
          <w:sz w:val="20"/>
          <w:szCs w:val="20"/>
          <w:lang w:val="es-ES_tradnl"/>
        </w:rPr>
      </w:pPr>
      <w:r w:rsidRPr="0042283A">
        <w:rPr>
          <w:rFonts w:ascii="Arial" w:hAnsi="Arial" w:cs="Arial"/>
          <w:color w:val="000000" w:themeColor="text1"/>
          <w:sz w:val="20"/>
          <w:szCs w:val="20"/>
          <w:lang w:val="es-ES_tradnl"/>
        </w:rPr>
        <w:t xml:space="preserve">En consecuencia, </w:t>
      </w:r>
      <w:r w:rsidRPr="0042283A">
        <w:rPr>
          <w:rFonts w:ascii="Arial" w:eastAsia="Calibri" w:hAnsi="Arial" w:cs="Arial"/>
          <w:color w:val="000000" w:themeColor="text1"/>
          <w:sz w:val="20"/>
          <w:szCs w:val="20"/>
          <w:lang w:val="es-ES_tradnl"/>
        </w:rPr>
        <w:t>con los autos de suspensión provisional, el concurso de méritos abierto debía desarrollarse aplicando únicamente los numerales 1 y 2 del</w:t>
      </w:r>
      <w:r w:rsidRPr="0042283A">
        <w:rPr>
          <w:rFonts w:ascii="Arial" w:hAnsi="Arial" w:cs="Arial"/>
          <w:color w:val="000000" w:themeColor="text1"/>
          <w:sz w:val="20"/>
          <w:szCs w:val="20"/>
          <w:lang w:val="es-ES_tradnl"/>
        </w:rPr>
        <w:t xml:space="preserve"> artículo 2.2.1.2.1.3.2 del Decreto 1082 de 2015. Por lo tanto, </w:t>
      </w:r>
      <w:r w:rsidRPr="0042283A">
        <w:rPr>
          <w:rFonts w:ascii="Arial" w:hAnsi="Arial" w:cs="Arial"/>
          <w:i/>
          <w:iCs/>
          <w:color w:val="000000" w:themeColor="text1"/>
          <w:sz w:val="20"/>
          <w:szCs w:val="20"/>
          <w:lang w:val="es-ES_tradnl"/>
        </w:rPr>
        <w:t>siempre que estuviera dentro del presupuesto oficial</w:t>
      </w:r>
      <w:r w:rsidRPr="0042283A">
        <w:rPr>
          <w:rFonts w:ascii="Arial" w:hAnsi="Arial" w:cs="Arial"/>
          <w:color w:val="000000" w:themeColor="text1"/>
          <w:sz w:val="20"/>
          <w:szCs w:val="20"/>
          <w:lang w:val="es-ES_tradnl"/>
        </w:rPr>
        <w:t>, la entidad estatal debía adjudicar el contrato al proponente que ocupara el primer puesto en el orden de elegibilidad, independientemente del valor ofrecido</w:t>
      </w:r>
      <w:r w:rsidRPr="0042283A">
        <w:rPr>
          <w:rFonts w:ascii="Arial" w:eastAsia="Calibri" w:hAnsi="Arial" w:cs="Arial"/>
          <w:color w:val="000000" w:themeColor="text1"/>
          <w:sz w:val="20"/>
          <w:szCs w:val="20"/>
          <w:lang w:val="es-ES_tradnl"/>
        </w:rPr>
        <w:t>.</w:t>
      </w:r>
    </w:p>
    <w:p w14:paraId="05883F2F" w14:textId="56EC9ABB" w:rsidR="00D205C7" w:rsidRPr="0042283A" w:rsidRDefault="00D205C7" w:rsidP="00D205C7">
      <w:pPr>
        <w:jc w:val="both"/>
        <w:rPr>
          <w:rFonts w:ascii="Arial" w:eastAsia="Calibri" w:hAnsi="Arial" w:cs="Arial"/>
          <w:color w:val="000000" w:themeColor="text1"/>
          <w:sz w:val="20"/>
          <w:szCs w:val="20"/>
          <w:lang w:val="es-ES_tradnl"/>
        </w:rPr>
      </w:pPr>
    </w:p>
    <w:p w14:paraId="5F0FD987" w14:textId="754C983D" w:rsidR="00D205C7" w:rsidRPr="0042283A" w:rsidRDefault="00D205C7" w:rsidP="00D205C7">
      <w:pPr>
        <w:jc w:val="both"/>
        <w:rPr>
          <w:rFonts w:ascii="Arial" w:eastAsia="Calibri" w:hAnsi="Arial" w:cs="Arial"/>
          <w:b/>
          <w:sz w:val="22"/>
          <w:szCs w:val="22"/>
          <w:lang w:val="es-ES_tradnl"/>
        </w:rPr>
      </w:pPr>
      <w:r w:rsidRPr="0042283A">
        <w:rPr>
          <w:rFonts w:ascii="Arial" w:eastAsia="Calibri" w:hAnsi="Arial" w:cs="Arial"/>
          <w:b/>
          <w:sz w:val="22"/>
          <w:szCs w:val="22"/>
          <w:lang w:val="es-ES_tradnl"/>
        </w:rPr>
        <w:t xml:space="preserve">CONCURSO DE MÉRITOS – Decreto 1082 de 2015 – </w:t>
      </w:r>
      <w:r w:rsidRPr="0042283A">
        <w:rPr>
          <w:rFonts w:ascii="Arial" w:hAnsi="Arial" w:cs="Arial"/>
          <w:b/>
          <w:color w:val="000000" w:themeColor="text1"/>
          <w:sz w:val="22"/>
          <w:szCs w:val="22"/>
          <w:lang w:val="es-ES_tradnl"/>
        </w:rPr>
        <w:t xml:space="preserve">artículo 2.2.1.2.1.3.2 – </w:t>
      </w:r>
      <w:r w:rsidRPr="0042283A">
        <w:rPr>
          <w:rFonts w:ascii="Arial" w:eastAsia="Calibri" w:hAnsi="Arial" w:cs="Arial"/>
          <w:b/>
          <w:sz w:val="22"/>
          <w:szCs w:val="22"/>
          <w:lang w:val="es-ES_tradnl"/>
        </w:rPr>
        <w:t xml:space="preserve">Decreto </w:t>
      </w:r>
      <w:r w:rsidR="00313222" w:rsidRPr="0042283A">
        <w:rPr>
          <w:rFonts w:ascii="Arial" w:eastAsia="Calibri" w:hAnsi="Arial" w:cs="Arial"/>
          <w:b/>
          <w:sz w:val="22"/>
          <w:szCs w:val="22"/>
          <w:lang w:val="es-ES_tradnl"/>
        </w:rPr>
        <w:t>399 de 2021 – Artículo 2</w:t>
      </w:r>
    </w:p>
    <w:p w14:paraId="4DF8DBAA" w14:textId="6DB9681E" w:rsidR="00D205C7" w:rsidRPr="0042283A" w:rsidRDefault="00D205C7" w:rsidP="00D205C7">
      <w:pPr>
        <w:jc w:val="both"/>
        <w:rPr>
          <w:rFonts w:ascii="Arial" w:hAnsi="Arial" w:cs="Arial"/>
          <w:color w:val="000000" w:themeColor="text1"/>
          <w:sz w:val="20"/>
          <w:szCs w:val="20"/>
          <w:lang w:val="es-ES_tradnl"/>
        </w:rPr>
      </w:pPr>
    </w:p>
    <w:p w14:paraId="279839AD" w14:textId="621A5BFA" w:rsidR="00313222" w:rsidRPr="0042283A" w:rsidRDefault="00313222" w:rsidP="00313222">
      <w:pPr>
        <w:jc w:val="both"/>
        <w:rPr>
          <w:rFonts w:ascii="Arial" w:eastAsia="Calibri" w:hAnsi="Arial" w:cs="Arial"/>
          <w:color w:val="000000" w:themeColor="text1"/>
          <w:sz w:val="20"/>
          <w:szCs w:val="20"/>
          <w:lang w:val="es-ES_tradnl"/>
        </w:rPr>
      </w:pPr>
      <w:r w:rsidRPr="0042283A">
        <w:rPr>
          <w:rFonts w:ascii="Arial" w:eastAsia="Calibri" w:hAnsi="Arial" w:cs="Arial"/>
          <w:color w:val="000000" w:themeColor="text1"/>
          <w:sz w:val="20"/>
          <w:szCs w:val="20"/>
          <w:lang w:val="es-ES_tradnl"/>
        </w:rPr>
        <w:t xml:space="preserve">[…],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w:t>
      </w:r>
      <w:proofErr w:type="gramStart"/>
      <w:r w:rsidRPr="0042283A">
        <w:rPr>
          <w:rFonts w:ascii="Arial" w:eastAsia="Calibri" w:hAnsi="Arial" w:cs="Arial"/>
          <w:color w:val="000000" w:themeColor="text1"/>
          <w:sz w:val="20"/>
          <w:szCs w:val="20"/>
          <w:lang w:val="es-ES_tradnl"/>
        </w:rPr>
        <w:t>entrada en vigencia</w:t>
      </w:r>
      <w:proofErr w:type="gramEnd"/>
      <w:r w:rsidRPr="0042283A">
        <w:rPr>
          <w:rFonts w:ascii="Arial" w:eastAsia="Calibri" w:hAnsi="Arial" w:cs="Arial"/>
          <w:color w:val="000000" w:themeColor="text1"/>
          <w:sz w:val="20"/>
          <w:szCs w:val="20"/>
          <w:lang w:val="es-ES_tradnl"/>
        </w:rPr>
        <w:t xml:space="preserve"> del artículo 2 del Decreto 399 de 2021 se observan los siguientes cambios:</w:t>
      </w:r>
    </w:p>
    <w:p w14:paraId="1E1F7901" w14:textId="77777777" w:rsidR="00313222" w:rsidRPr="0042283A" w:rsidRDefault="00313222" w:rsidP="00313222">
      <w:pPr>
        <w:jc w:val="both"/>
        <w:rPr>
          <w:rFonts w:ascii="Arial" w:eastAsia="Calibri" w:hAnsi="Arial" w:cs="Arial"/>
          <w:color w:val="000000" w:themeColor="text1"/>
          <w:sz w:val="20"/>
          <w:szCs w:val="20"/>
          <w:lang w:val="es-ES_tradnl"/>
        </w:rPr>
      </w:pPr>
    </w:p>
    <w:p w14:paraId="15E973E6" w14:textId="5F00007C" w:rsidR="00313222" w:rsidRPr="0042283A" w:rsidRDefault="00313222" w:rsidP="00313222">
      <w:pPr>
        <w:jc w:val="both"/>
        <w:rPr>
          <w:rFonts w:ascii="Arial" w:eastAsia="Calibri" w:hAnsi="Arial" w:cs="Arial"/>
          <w:color w:val="000000" w:themeColor="text1"/>
          <w:sz w:val="20"/>
          <w:szCs w:val="20"/>
          <w:lang w:val="es-ES_tradnl"/>
        </w:rPr>
      </w:pPr>
      <w:r w:rsidRPr="0042283A">
        <w:rPr>
          <w:rFonts w:ascii="Arial" w:eastAsia="Calibri" w:hAnsi="Arial" w:cs="Arial"/>
          <w:color w:val="000000" w:themeColor="text1"/>
          <w:sz w:val="20"/>
          <w:szCs w:val="20"/>
          <w:lang w:val="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02DF0B59" w14:textId="77777777" w:rsidR="00313222" w:rsidRPr="0042283A" w:rsidRDefault="00313222" w:rsidP="00313222">
      <w:pPr>
        <w:jc w:val="both"/>
        <w:rPr>
          <w:rFonts w:ascii="Arial" w:eastAsia="Calibri" w:hAnsi="Arial" w:cs="Arial"/>
          <w:color w:val="000000" w:themeColor="text1"/>
          <w:sz w:val="20"/>
          <w:szCs w:val="20"/>
          <w:lang w:val="es-ES_tradnl"/>
        </w:rPr>
      </w:pPr>
    </w:p>
    <w:p w14:paraId="380FEE0F" w14:textId="3871DAAE" w:rsidR="00313222" w:rsidRPr="0042283A" w:rsidRDefault="00313222" w:rsidP="00313222">
      <w:pPr>
        <w:jc w:val="both"/>
        <w:rPr>
          <w:rFonts w:ascii="Arial" w:eastAsia="Calibri" w:hAnsi="Arial" w:cs="Arial"/>
          <w:color w:val="000000" w:themeColor="text1"/>
          <w:sz w:val="20"/>
          <w:szCs w:val="20"/>
          <w:lang w:val="es-ES_tradnl"/>
        </w:rPr>
      </w:pPr>
      <w:r w:rsidRPr="0042283A">
        <w:rPr>
          <w:rFonts w:ascii="Arial" w:eastAsia="Calibri" w:hAnsi="Arial" w:cs="Arial"/>
          <w:color w:val="000000" w:themeColor="text1"/>
          <w:sz w:val="20"/>
          <w:szCs w:val="20"/>
          <w:lang w:val="es-ES_tradnl"/>
        </w:rPr>
        <w:t>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724CBDD6" w14:textId="77777777" w:rsidR="00313222" w:rsidRPr="0042283A" w:rsidRDefault="00313222" w:rsidP="00313222">
      <w:pPr>
        <w:jc w:val="both"/>
        <w:rPr>
          <w:rFonts w:ascii="Arial" w:eastAsia="Calibri" w:hAnsi="Arial" w:cs="Arial"/>
          <w:color w:val="000000" w:themeColor="text1"/>
          <w:sz w:val="20"/>
          <w:szCs w:val="20"/>
          <w:lang w:val="es-ES_tradnl"/>
        </w:rPr>
      </w:pPr>
    </w:p>
    <w:p w14:paraId="356C76D9" w14:textId="36664BBA" w:rsidR="00002582" w:rsidRPr="0042283A" w:rsidRDefault="00313222" w:rsidP="00002582">
      <w:pPr>
        <w:jc w:val="both"/>
        <w:rPr>
          <w:rFonts w:ascii="Arial" w:eastAsia="Calibri" w:hAnsi="Arial" w:cs="Arial"/>
          <w:color w:val="000000" w:themeColor="text1"/>
          <w:sz w:val="20"/>
          <w:szCs w:val="20"/>
          <w:lang w:val="es-ES_tradnl"/>
        </w:rPr>
      </w:pPr>
      <w:r w:rsidRPr="0042283A">
        <w:rPr>
          <w:rFonts w:ascii="Arial" w:eastAsia="Calibri" w:hAnsi="Arial" w:cs="Arial"/>
          <w:color w:val="000000" w:themeColor="text1"/>
          <w:sz w:val="20"/>
          <w:szCs w:val="20"/>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w:t>
      </w:r>
    </w:p>
    <w:p w14:paraId="358C2021" w14:textId="77777777" w:rsidR="00555E2F" w:rsidRPr="0042283A" w:rsidRDefault="00555E2F" w:rsidP="00002582">
      <w:pPr>
        <w:jc w:val="both"/>
        <w:rPr>
          <w:rFonts w:ascii="Arial" w:eastAsia="Calibri" w:hAnsi="Arial" w:cs="Arial"/>
          <w:b/>
          <w:sz w:val="22"/>
          <w:szCs w:val="22"/>
          <w:lang w:val="es-ES_tradnl"/>
        </w:rPr>
      </w:pPr>
    </w:p>
    <w:p w14:paraId="3B4BF10F" w14:textId="181C812C" w:rsidR="00002582" w:rsidRPr="0042283A" w:rsidRDefault="00002582" w:rsidP="00002582">
      <w:pPr>
        <w:jc w:val="both"/>
        <w:rPr>
          <w:rFonts w:ascii="Arial" w:eastAsia="Calibri" w:hAnsi="Arial" w:cs="Arial"/>
          <w:b/>
          <w:sz w:val="22"/>
          <w:szCs w:val="22"/>
          <w:lang w:val="es-ES_tradnl"/>
        </w:rPr>
      </w:pPr>
      <w:r w:rsidRPr="0042283A">
        <w:rPr>
          <w:rFonts w:ascii="Arial" w:eastAsia="Calibri" w:hAnsi="Arial" w:cs="Arial"/>
          <w:b/>
          <w:sz w:val="22"/>
          <w:szCs w:val="22"/>
          <w:lang w:val="es-ES_tradnl"/>
        </w:rPr>
        <w:t xml:space="preserve">PRINCIPIO DE PLANEACIÓN – Variables – Estudios previos – </w:t>
      </w:r>
      <w:r w:rsidRPr="0042283A">
        <w:rPr>
          <w:rFonts w:ascii="Arial" w:hAnsi="Arial" w:cs="Arial"/>
          <w:b/>
          <w:color w:val="000000" w:themeColor="text1"/>
          <w:sz w:val="22"/>
          <w:szCs w:val="22"/>
          <w:lang w:val="es-ES_tradnl"/>
        </w:rPr>
        <w:t xml:space="preserve">Precios unitarios – </w:t>
      </w:r>
      <w:r w:rsidRPr="0042283A">
        <w:rPr>
          <w:rFonts w:ascii="Arial" w:eastAsia="Calibri" w:hAnsi="Arial" w:cs="Arial"/>
          <w:b/>
          <w:sz w:val="22"/>
          <w:szCs w:val="22"/>
          <w:lang w:val="es-ES_tradnl"/>
        </w:rPr>
        <w:t>Decreto 399 de 2021 – Artículo 1</w:t>
      </w:r>
    </w:p>
    <w:p w14:paraId="7C19E280" w14:textId="77777777" w:rsidR="00002582" w:rsidRPr="0042283A" w:rsidRDefault="00002582" w:rsidP="00002582">
      <w:pPr>
        <w:jc w:val="both"/>
        <w:rPr>
          <w:rFonts w:ascii="Arial" w:hAnsi="Arial" w:cs="Arial"/>
          <w:color w:val="000000"/>
          <w:sz w:val="20"/>
          <w:szCs w:val="20"/>
          <w:lang w:val="es-ES_tradnl"/>
        </w:rPr>
      </w:pPr>
    </w:p>
    <w:p w14:paraId="62E23151" w14:textId="4129CFE9" w:rsidR="00002582" w:rsidRPr="0042283A" w:rsidRDefault="00002582" w:rsidP="00002582">
      <w:pPr>
        <w:jc w:val="both"/>
        <w:rPr>
          <w:rFonts w:ascii="Arial" w:eastAsia="Calibri" w:hAnsi="Arial" w:cs="Arial"/>
          <w:color w:val="000000" w:themeColor="text1"/>
          <w:sz w:val="20"/>
          <w:szCs w:val="20"/>
          <w:lang w:val="es-ES_tradnl"/>
        </w:rPr>
      </w:pPr>
      <w:r w:rsidRPr="0042283A">
        <w:rPr>
          <w:rFonts w:ascii="Arial" w:eastAsia="Calibri" w:hAnsi="Arial" w:cs="Arial"/>
          <w:color w:val="000000" w:themeColor="text1"/>
          <w:sz w:val="20"/>
          <w:szCs w:val="20"/>
          <w:lang w:val="es-ES_tradnl"/>
        </w:rPr>
        <w:t xml:space="preserve">Cabe precisar que, al decir el numeral 4 del artículo 2.2.1.1.2.1.1. del Decreto 1082 de 2015, modificado por el artículo 1 del Decreto 399 de 2021, que «Cuando el valor del contrato esté determinado por precios unitarios, la Entidad Estatal debe incluir la forma como los calculó y soportar sus cálculos presupuestales en la estimación de aquellos», esto significa, para el caso de los contratos de consultoría, que si el precio de este se calcula atendiendo al valor de las unidades –entregables o actividades– por las cantidades, se debe incluir en los estudios previos la forma como estos precios unitarios se calcularon, de acuerdo con el análisis del sector y los elementos técnicos tenidos en cuenta por la entidad contratante. </w:t>
      </w:r>
    </w:p>
    <w:p w14:paraId="41DA3253" w14:textId="77777777" w:rsidR="00002582" w:rsidRPr="0042283A" w:rsidRDefault="00002582" w:rsidP="00002582">
      <w:pPr>
        <w:jc w:val="both"/>
        <w:rPr>
          <w:rFonts w:ascii="Arial" w:eastAsia="Calibri" w:hAnsi="Arial" w:cs="Arial"/>
          <w:color w:val="000000" w:themeColor="text1"/>
          <w:sz w:val="20"/>
          <w:szCs w:val="20"/>
          <w:lang w:val="es-ES_tradnl"/>
        </w:rPr>
      </w:pPr>
    </w:p>
    <w:p w14:paraId="1A8AD967" w14:textId="492322A6" w:rsidR="00002582" w:rsidRPr="0042283A" w:rsidRDefault="00002582" w:rsidP="00002582">
      <w:pPr>
        <w:jc w:val="both"/>
        <w:rPr>
          <w:rFonts w:ascii="Arial" w:eastAsia="Calibri" w:hAnsi="Arial" w:cs="Arial"/>
          <w:color w:val="000000" w:themeColor="text1"/>
          <w:sz w:val="20"/>
          <w:szCs w:val="20"/>
          <w:lang w:val="es-ES_tradnl"/>
        </w:rPr>
      </w:pPr>
      <w:r w:rsidRPr="0042283A">
        <w:rPr>
          <w:rFonts w:ascii="Arial" w:eastAsia="Calibri" w:hAnsi="Arial" w:cs="Arial"/>
          <w:color w:val="000000" w:themeColor="text1"/>
          <w:sz w:val="20"/>
          <w:szCs w:val="20"/>
          <w:lang w:val="es-ES_tradnl"/>
        </w:rPr>
        <w:t xml:space="preserve">En efecto, como lo ha explicado el Consejo de Estado, «Los contratos […] por precio global son aquellos en los que el contratista, a cambio de las prestaciones a que se compromete, obtiene como remuneración una suma fija siendo el único responsable de la vinculación de personal, de la elaboración de subcontratos y de la obtención de materiales, mientras que en el contrato a precios unitarios la forma de pago es por unidades o cantidades […] y el valor total corresponde al que resulta de multiplicar las cantidades […] ejecutadas por el precio de cada una de ellas». Por lo tanto, independientemente de la denominación que la entidad estatal les otorgue a las unidades de </w:t>
      </w:r>
      <w:r w:rsidRPr="0042283A">
        <w:rPr>
          <w:rFonts w:ascii="Arial" w:eastAsia="Calibri" w:hAnsi="Arial" w:cs="Arial"/>
          <w:color w:val="000000" w:themeColor="text1"/>
          <w:sz w:val="20"/>
          <w:szCs w:val="20"/>
          <w:lang w:val="es-ES_tradnl"/>
        </w:rPr>
        <w:lastRenderedPageBreak/>
        <w:t xml:space="preserve">actividad del contrato de consultoría, si calcula su valor por precios unitarios, debe publicar en los estudios previos la forma como los calculó y estimar esta metodología presupuestal. Se trata de un imperativo, consagrado en el artículo 1 del Decreto 399 de 2021, que las entidades estatales no pueden negarse a cumplir, porque en la actualidad es un deber integrado a la garantía del principio de planeación en la contratación estatal. </w:t>
      </w:r>
    </w:p>
    <w:p w14:paraId="7C0AE1B5" w14:textId="77777777" w:rsidR="00D72A37" w:rsidRPr="0042283A" w:rsidRDefault="00D72A37" w:rsidP="00266EAD">
      <w:pPr>
        <w:jc w:val="both"/>
        <w:rPr>
          <w:rFonts w:ascii="Arial" w:eastAsia="Calibri" w:hAnsi="Arial" w:cs="Arial"/>
          <w:color w:val="000000" w:themeColor="text1"/>
          <w:sz w:val="20"/>
          <w:szCs w:val="20"/>
          <w:lang w:val="es-ES_tradnl"/>
        </w:rPr>
      </w:pPr>
    </w:p>
    <w:p w14:paraId="7D79AFAF" w14:textId="77777777" w:rsidR="00266EAD" w:rsidRPr="0042283A" w:rsidRDefault="00266EAD" w:rsidP="00B95C30">
      <w:pPr>
        <w:spacing w:line="276" w:lineRule="auto"/>
        <w:jc w:val="both"/>
        <w:rPr>
          <w:rFonts w:ascii="Arial" w:eastAsia="Calibri" w:hAnsi="Arial" w:cs="Arial"/>
          <w:b/>
          <w:sz w:val="22"/>
          <w:lang w:val="es-ES_tradnl"/>
        </w:rPr>
      </w:pPr>
    </w:p>
    <w:p w14:paraId="5767ED89" w14:textId="491074EA" w:rsidR="009C3A0A" w:rsidRPr="0042283A" w:rsidRDefault="009C3A0A" w:rsidP="00B95C30">
      <w:pPr>
        <w:spacing w:line="276" w:lineRule="auto"/>
        <w:jc w:val="both"/>
        <w:rPr>
          <w:rFonts w:ascii="Arial" w:eastAsia="Calibri" w:hAnsi="Arial" w:cs="Arial"/>
          <w:b/>
          <w:sz w:val="22"/>
          <w:lang w:val="es-ES_tradnl"/>
        </w:rPr>
      </w:pPr>
    </w:p>
    <w:p w14:paraId="17620E2D" w14:textId="0112BB61" w:rsidR="009C3A0A" w:rsidRPr="0042283A" w:rsidRDefault="009C3A0A" w:rsidP="00B95C30">
      <w:pPr>
        <w:spacing w:line="276" w:lineRule="auto"/>
        <w:jc w:val="both"/>
        <w:rPr>
          <w:rFonts w:ascii="Arial" w:eastAsia="Calibri" w:hAnsi="Arial" w:cs="Arial"/>
          <w:b/>
          <w:sz w:val="22"/>
          <w:lang w:val="es-ES_tradnl"/>
        </w:rPr>
      </w:pPr>
    </w:p>
    <w:p w14:paraId="46AB2E1D" w14:textId="77777777" w:rsidR="00327382" w:rsidRPr="0042283A" w:rsidRDefault="00327382" w:rsidP="00B95C30">
      <w:pPr>
        <w:spacing w:line="276" w:lineRule="auto"/>
        <w:jc w:val="both"/>
        <w:rPr>
          <w:rFonts w:ascii="Arial" w:hAnsi="Arial" w:cs="Arial"/>
          <w:noProof/>
          <w:color w:val="000000" w:themeColor="text1"/>
          <w:sz w:val="22"/>
          <w:lang w:val="es-ES_tradnl"/>
        </w:rPr>
      </w:pPr>
    </w:p>
    <w:p w14:paraId="5B23BC21" w14:textId="77777777" w:rsidR="00B167C8" w:rsidRPr="0042283A"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42283A"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42283A"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42283A"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42283A"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42283A"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42283A"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42283A"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42283A" w:rsidRDefault="00F53F4F" w:rsidP="00B95C30">
      <w:pPr>
        <w:spacing w:line="276" w:lineRule="auto"/>
        <w:jc w:val="both"/>
        <w:rPr>
          <w:rFonts w:ascii="Arial" w:hAnsi="Arial" w:cs="Arial"/>
          <w:noProof/>
          <w:color w:val="000000" w:themeColor="text1"/>
          <w:sz w:val="22"/>
          <w:lang w:val="es-ES_tradnl"/>
        </w:rPr>
      </w:pPr>
    </w:p>
    <w:p w14:paraId="42F2CD37" w14:textId="77777777" w:rsidR="00555E2F" w:rsidRPr="0042283A" w:rsidRDefault="00555E2F" w:rsidP="000F29CE">
      <w:pPr>
        <w:spacing w:line="276" w:lineRule="auto"/>
        <w:jc w:val="both"/>
        <w:rPr>
          <w:rFonts w:ascii="Arial" w:hAnsi="Arial" w:cs="Arial"/>
          <w:noProof/>
          <w:color w:val="000000" w:themeColor="text1"/>
          <w:sz w:val="22"/>
          <w:lang w:val="es-ES_tradnl"/>
        </w:rPr>
      </w:pPr>
    </w:p>
    <w:p w14:paraId="4AEB2411"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7EF194A9"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2A6C531A"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1CD0AA43"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5B842DCA"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66C3E411"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5E9AAC07"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4F50F1E3"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768FCB0E"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5EC80664"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2BD18C69"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420308D1"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545AD800"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4B01E07A"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318193D0"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425F2C93"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547D2F9B"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147AD1E3"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772A1BB0"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3AA7729C"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6410E89F" w14:textId="77777777" w:rsidR="00372B86" w:rsidRPr="0042283A" w:rsidRDefault="00372B86" w:rsidP="000F29CE">
      <w:pPr>
        <w:spacing w:line="276" w:lineRule="auto"/>
        <w:jc w:val="both"/>
        <w:rPr>
          <w:rFonts w:ascii="Arial" w:hAnsi="Arial" w:cs="Arial"/>
          <w:noProof/>
          <w:color w:val="000000" w:themeColor="text1"/>
          <w:sz w:val="22"/>
          <w:lang w:val="es-ES_tradnl"/>
        </w:rPr>
      </w:pPr>
    </w:p>
    <w:p w14:paraId="6C22E85B" w14:textId="10EBEA05" w:rsidR="000F29CE" w:rsidRPr="0042283A" w:rsidRDefault="000F29CE" w:rsidP="000F29CE">
      <w:pPr>
        <w:spacing w:line="276" w:lineRule="auto"/>
        <w:jc w:val="both"/>
        <w:rPr>
          <w:rFonts w:ascii="Arial" w:hAnsi="Arial" w:cs="Arial"/>
          <w:b/>
          <w:color w:val="000000" w:themeColor="text1"/>
          <w:sz w:val="22"/>
          <w:lang w:val="es-ES_tradnl"/>
        </w:rPr>
      </w:pPr>
      <w:r w:rsidRPr="0042283A">
        <w:rPr>
          <w:rFonts w:ascii="Arial" w:hAnsi="Arial" w:cs="Arial"/>
          <w:noProof/>
          <w:color w:val="000000" w:themeColor="text1"/>
          <w:sz w:val="22"/>
          <w:lang w:val="es-ES_tradnl"/>
        </w:rPr>
        <w:lastRenderedPageBreak/>
        <w:t xml:space="preserve">Bogotá D.C., </w:t>
      </w:r>
      <w:r w:rsidR="007E3E1B">
        <w:rPr>
          <w:rFonts w:ascii="Arial" w:hAnsi="Arial" w:cs="Arial"/>
          <w:b/>
          <w:color w:val="000000" w:themeColor="text1"/>
          <w:sz w:val="22"/>
          <w:lang w:val="es-ES_tradnl"/>
        </w:rPr>
        <w:t>01/03/2022 08:</w:t>
      </w:r>
      <w:r w:rsidR="006E1B7E">
        <w:rPr>
          <w:rFonts w:ascii="Arial" w:hAnsi="Arial" w:cs="Arial"/>
          <w:b/>
          <w:color w:val="000000" w:themeColor="text1"/>
          <w:sz w:val="22"/>
          <w:lang w:val="es-ES_tradnl"/>
        </w:rPr>
        <w:t>54:07</w:t>
      </w:r>
    </w:p>
    <w:p w14:paraId="1238D1B7" w14:textId="77777777" w:rsidR="000F29CE" w:rsidRPr="0042283A" w:rsidRDefault="000F29CE" w:rsidP="000F29CE">
      <w:pPr>
        <w:spacing w:line="276" w:lineRule="auto"/>
        <w:jc w:val="both"/>
        <w:rPr>
          <w:rFonts w:ascii="Arial" w:eastAsia="Calibri" w:hAnsi="Arial" w:cs="Arial"/>
          <w:noProof/>
          <w:color w:val="000000" w:themeColor="text1"/>
          <w:sz w:val="22"/>
          <w:szCs w:val="22"/>
          <w:lang w:val="es-ES_tradnl"/>
        </w:rPr>
      </w:pPr>
    </w:p>
    <w:p w14:paraId="5E3EA3D8" w14:textId="1FA98208" w:rsidR="007E3E1B" w:rsidRDefault="007E3E1B" w:rsidP="007E3E1B">
      <w:pPr>
        <w:jc w:val="right"/>
      </w:pPr>
      <w:r>
        <w:fldChar w:fldCharType="begin"/>
      </w:r>
      <w:r>
        <w:instrText xml:space="preserve"> INCLUDEPICTURE "/var/folders/z2/mpmwzz0s3w31yr1_fh2qtrr80000gn/T/com.microsoft.Word/WebArchiveCopyPasteTempFiles/page1image3670699104" \* MERGEFORMATINET </w:instrText>
      </w:r>
      <w:r>
        <w:fldChar w:fldCharType="separate"/>
      </w:r>
      <w:r>
        <w:rPr>
          <w:noProof/>
        </w:rPr>
        <w:drawing>
          <wp:inline distT="0" distB="0" distL="0" distR="0" wp14:anchorId="641D9734" wp14:editId="0E74533A">
            <wp:extent cx="2402840" cy="609600"/>
            <wp:effectExtent l="0" t="0" r="0" b="0"/>
            <wp:docPr id="1" name="Imagen 1" descr="page1image367069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70699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40" cy="609600"/>
                    </a:xfrm>
                    <a:prstGeom prst="rect">
                      <a:avLst/>
                    </a:prstGeom>
                    <a:noFill/>
                    <a:ln>
                      <a:noFill/>
                    </a:ln>
                  </pic:spPr>
                </pic:pic>
              </a:graphicData>
            </a:graphic>
          </wp:inline>
        </w:drawing>
      </w:r>
      <w:r>
        <w:fldChar w:fldCharType="end"/>
      </w:r>
    </w:p>
    <w:p w14:paraId="1C6D6E82" w14:textId="77777777" w:rsidR="000F29CE" w:rsidRPr="0042283A" w:rsidRDefault="000F29CE" w:rsidP="000F29CE">
      <w:pPr>
        <w:jc w:val="both"/>
        <w:rPr>
          <w:rFonts w:ascii="Arial" w:hAnsi="Arial" w:cs="Arial"/>
          <w:bCs/>
          <w:color w:val="000000" w:themeColor="text1"/>
          <w:sz w:val="22"/>
          <w:lang w:val="es-ES_tradnl"/>
        </w:rPr>
      </w:pPr>
    </w:p>
    <w:p w14:paraId="24A88D3F" w14:textId="77777777" w:rsidR="00F53F4F" w:rsidRPr="0042283A" w:rsidRDefault="00F53F4F" w:rsidP="00B95C30">
      <w:pPr>
        <w:jc w:val="both"/>
        <w:rPr>
          <w:rFonts w:ascii="Arial" w:hAnsi="Arial" w:cs="Arial"/>
          <w:b/>
          <w:color w:val="000000" w:themeColor="text1"/>
          <w:sz w:val="22"/>
          <w:lang w:val="es-ES_tradnl"/>
        </w:rPr>
      </w:pPr>
    </w:p>
    <w:p w14:paraId="5F5AE9EF" w14:textId="48FE79D1" w:rsidR="00B95C30" w:rsidRPr="0042283A" w:rsidRDefault="00BE4FBF" w:rsidP="00B95C30">
      <w:pPr>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Señor</w:t>
      </w:r>
    </w:p>
    <w:p w14:paraId="3DCD58CE" w14:textId="4405EA26" w:rsidR="00B95C30" w:rsidRPr="0042283A" w:rsidRDefault="00FF6249" w:rsidP="00B95C30">
      <w:pPr>
        <w:jc w:val="both"/>
        <w:rPr>
          <w:rFonts w:ascii="Arial" w:eastAsia="Calibri" w:hAnsi="Arial" w:cs="Arial"/>
          <w:b/>
          <w:color w:val="000000" w:themeColor="text1"/>
          <w:sz w:val="22"/>
          <w:lang w:val="es-ES_tradnl"/>
        </w:rPr>
      </w:pPr>
      <w:r w:rsidRPr="0042283A">
        <w:rPr>
          <w:rFonts w:ascii="Arial" w:eastAsia="Calibri" w:hAnsi="Arial" w:cs="Arial"/>
          <w:b/>
          <w:color w:val="000000" w:themeColor="text1"/>
          <w:sz w:val="22"/>
          <w:lang w:val="es-ES_tradnl"/>
        </w:rPr>
        <w:t>Juan Manuel Bravo Páez</w:t>
      </w:r>
    </w:p>
    <w:p w14:paraId="09D4AEA8" w14:textId="7F1D99BF" w:rsidR="00B95C30" w:rsidRPr="0042283A" w:rsidRDefault="00957D07" w:rsidP="00B95C30">
      <w:pPr>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Bogotá, D.C.</w:t>
      </w:r>
    </w:p>
    <w:p w14:paraId="3B584A57" w14:textId="4528CA3D" w:rsidR="00F53F4F" w:rsidRPr="0042283A" w:rsidRDefault="00F53F4F" w:rsidP="00B95C30">
      <w:pPr>
        <w:jc w:val="both"/>
        <w:rPr>
          <w:rFonts w:ascii="Arial" w:eastAsia="Calibri" w:hAnsi="Arial" w:cs="Arial"/>
          <w:color w:val="000000" w:themeColor="text1"/>
          <w:sz w:val="22"/>
          <w:lang w:val="es-ES_tradnl"/>
        </w:rPr>
      </w:pPr>
    </w:p>
    <w:p w14:paraId="48E36FCF" w14:textId="77777777" w:rsidR="00F53F4F" w:rsidRPr="0042283A" w:rsidRDefault="00F53F4F" w:rsidP="00B95C30">
      <w:pPr>
        <w:jc w:val="both"/>
        <w:rPr>
          <w:rFonts w:ascii="Arial" w:eastAsia="Calibri" w:hAnsi="Arial" w:cs="Arial"/>
          <w:color w:val="000000" w:themeColor="text1"/>
          <w:sz w:val="22"/>
          <w:lang w:val="es-ES_tradnl"/>
        </w:rPr>
      </w:pPr>
    </w:p>
    <w:p w14:paraId="12E66182" w14:textId="2EE04D9E" w:rsidR="00B95C30" w:rsidRPr="0042283A" w:rsidRDefault="00F53F4F" w:rsidP="001D6CD2">
      <w:pPr>
        <w:rPr>
          <w:rFonts w:ascii="Arial" w:eastAsia="Calibri" w:hAnsi="Arial" w:cs="Arial"/>
          <w:b/>
          <w:bCs/>
          <w:color w:val="000000" w:themeColor="text1"/>
          <w:sz w:val="22"/>
          <w:lang w:val="es-ES_tradnl"/>
        </w:rPr>
      </w:pPr>
      <w:r w:rsidRPr="0042283A">
        <w:rPr>
          <w:rFonts w:ascii="Arial" w:eastAsia="Calibri" w:hAnsi="Arial" w:cs="Arial"/>
          <w:b/>
          <w:bCs/>
          <w:color w:val="000000" w:themeColor="text1"/>
          <w:sz w:val="22"/>
          <w:lang w:val="es-ES_tradnl"/>
        </w:rPr>
        <w:t xml:space="preserve">                                            </w:t>
      </w:r>
      <w:r w:rsidR="00B95C30" w:rsidRPr="0042283A">
        <w:rPr>
          <w:rFonts w:ascii="Arial" w:eastAsia="Calibri" w:hAnsi="Arial" w:cs="Arial"/>
          <w:b/>
          <w:bCs/>
          <w:color w:val="000000" w:themeColor="text1"/>
          <w:sz w:val="22"/>
          <w:lang w:val="es-ES_tradnl"/>
        </w:rPr>
        <w:t xml:space="preserve">Concepto C ‒ </w:t>
      </w:r>
      <w:r w:rsidR="00CD37B4" w:rsidRPr="0042283A">
        <w:rPr>
          <w:rFonts w:ascii="Arial" w:eastAsia="Calibri" w:hAnsi="Arial" w:cs="Arial"/>
          <w:b/>
          <w:bCs/>
          <w:color w:val="000000" w:themeColor="text1"/>
          <w:sz w:val="22"/>
          <w:lang w:val="es-ES_tradnl"/>
        </w:rPr>
        <w:t>043</w:t>
      </w:r>
      <w:r w:rsidR="00B95C30" w:rsidRPr="0042283A">
        <w:rPr>
          <w:rFonts w:ascii="Arial" w:eastAsia="Calibri" w:hAnsi="Arial" w:cs="Arial"/>
          <w:b/>
          <w:bCs/>
          <w:color w:val="000000" w:themeColor="text1"/>
          <w:sz w:val="22"/>
          <w:lang w:val="es-ES_tradnl"/>
        </w:rPr>
        <w:t xml:space="preserve"> de 202</w:t>
      </w:r>
      <w:r w:rsidR="00957D07" w:rsidRPr="0042283A">
        <w:rPr>
          <w:rFonts w:ascii="Arial" w:eastAsia="Calibri" w:hAnsi="Arial" w:cs="Arial"/>
          <w:b/>
          <w:bCs/>
          <w:color w:val="000000" w:themeColor="text1"/>
          <w:sz w:val="22"/>
          <w:lang w:val="es-ES_tradnl"/>
        </w:rPr>
        <w:t>2</w:t>
      </w:r>
    </w:p>
    <w:p w14:paraId="1BD594F9" w14:textId="77777777" w:rsidR="00B95C30" w:rsidRPr="0042283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2283A" w14:paraId="19DFC051" w14:textId="77777777" w:rsidTr="008F4163">
        <w:tc>
          <w:tcPr>
            <w:tcW w:w="2689" w:type="dxa"/>
          </w:tcPr>
          <w:p w14:paraId="6BC0D1AC" w14:textId="77777777" w:rsidR="00B95C30" w:rsidRPr="0042283A" w:rsidRDefault="00B95C30" w:rsidP="008F4163">
            <w:pPr>
              <w:jc w:val="both"/>
              <w:rPr>
                <w:rFonts w:ascii="Arial" w:eastAsia="Calibri" w:hAnsi="Arial" w:cs="Arial"/>
                <w:color w:val="000000" w:themeColor="text1"/>
                <w:sz w:val="22"/>
                <w:lang w:val="es-ES_tradnl"/>
              </w:rPr>
            </w:pPr>
            <w:r w:rsidRPr="0042283A">
              <w:rPr>
                <w:rFonts w:ascii="Arial" w:eastAsia="Calibri" w:hAnsi="Arial" w:cs="Arial"/>
                <w:b/>
                <w:color w:val="000000" w:themeColor="text1"/>
                <w:sz w:val="22"/>
                <w:lang w:val="es-ES_tradnl"/>
              </w:rPr>
              <w:t>Temas:</w:t>
            </w:r>
            <w:r w:rsidRPr="0042283A">
              <w:rPr>
                <w:rFonts w:ascii="Arial" w:eastAsia="Calibri" w:hAnsi="Arial" w:cs="Arial"/>
                <w:color w:val="000000" w:themeColor="text1"/>
                <w:sz w:val="22"/>
                <w:lang w:val="es-ES_tradnl"/>
              </w:rPr>
              <w:t xml:space="preserve">                                      </w:t>
            </w:r>
          </w:p>
        </w:tc>
        <w:tc>
          <w:tcPr>
            <w:tcW w:w="6237" w:type="dxa"/>
          </w:tcPr>
          <w:p w14:paraId="5F389CAF" w14:textId="44EEF2BD" w:rsidR="00B95C30" w:rsidRPr="0042283A" w:rsidRDefault="00357C44" w:rsidP="008F4163">
            <w:pPr>
              <w:jc w:val="both"/>
              <w:rPr>
                <w:rFonts w:ascii="Arial" w:eastAsia="Calibri" w:hAnsi="Arial" w:cs="Arial"/>
                <w:color w:val="000000" w:themeColor="text1"/>
                <w:sz w:val="22"/>
                <w:lang w:val="es-ES_tradnl"/>
              </w:rPr>
            </w:pPr>
            <w:r w:rsidRPr="0042283A">
              <w:rPr>
                <w:rFonts w:ascii="Arial" w:eastAsia="Calibri" w:hAnsi="Arial" w:cs="Arial"/>
                <w:bCs/>
                <w:sz w:val="22"/>
                <w:lang w:val="es-ES_tradnl"/>
              </w:rPr>
              <w:t>CONCURSO DE MÉRITOS – Concepto – Modalidades / CONCURSO DE MÉRITOS – Decreto 1082 de 2015 – artículo 2.2.1.2.1.3.2 – Suspensión provisional / CONCURSO DE MÉRITOS – Decreto 1082 de 2015 – artículo 2.2.1.2.1.3.2 – Decreto 399 de 2021 – Artículo 2</w:t>
            </w:r>
            <w:r w:rsidR="007925C2" w:rsidRPr="0042283A">
              <w:rPr>
                <w:rFonts w:ascii="Arial" w:eastAsia="Calibri" w:hAnsi="Arial" w:cs="Arial"/>
                <w:bCs/>
                <w:sz w:val="22"/>
                <w:lang w:val="es-ES_tradnl"/>
              </w:rPr>
              <w:t xml:space="preserve"> / </w:t>
            </w:r>
            <w:r w:rsidR="00D60C4A" w:rsidRPr="0042283A">
              <w:rPr>
                <w:rFonts w:ascii="Arial" w:eastAsia="Calibri" w:hAnsi="Arial" w:cs="Arial"/>
                <w:bCs/>
                <w:sz w:val="22"/>
                <w:lang w:val="es-ES_tradnl"/>
              </w:rPr>
              <w:t>PRINCIPIO DE PLANEACIÓN – Variables – Estudios previos – Precios unitarios – Decreto 399 de 2021 – Artículo 1</w:t>
            </w:r>
            <w:r w:rsidR="00B95C30" w:rsidRPr="0042283A">
              <w:rPr>
                <w:rFonts w:ascii="Arial" w:eastAsia="Arial" w:hAnsi="Arial" w:cs="Arial"/>
                <w:sz w:val="22"/>
                <w:lang w:val="es-ES_tradnl"/>
              </w:rPr>
              <w:t>.</w:t>
            </w:r>
          </w:p>
        </w:tc>
      </w:tr>
      <w:tr w:rsidR="00B95C30" w:rsidRPr="0042283A" w14:paraId="27CD52AB" w14:textId="77777777" w:rsidTr="008F4163">
        <w:tc>
          <w:tcPr>
            <w:tcW w:w="2689" w:type="dxa"/>
          </w:tcPr>
          <w:p w14:paraId="37E195A1" w14:textId="1BA218D5" w:rsidR="00B95C30" w:rsidRPr="0042283A" w:rsidRDefault="00B95C30" w:rsidP="008F4163">
            <w:pPr>
              <w:spacing w:before="120"/>
              <w:jc w:val="both"/>
              <w:rPr>
                <w:rFonts w:ascii="Arial" w:eastAsia="Calibri" w:hAnsi="Arial" w:cs="Arial"/>
                <w:b/>
                <w:color w:val="000000" w:themeColor="text1"/>
                <w:sz w:val="22"/>
                <w:lang w:val="es-ES_tradnl"/>
              </w:rPr>
            </w:pPr>
            <w:r w:rsidRPr="0042283A">
              <w:rPr>
                <w:rFonts w:ascii="Arial" w:eastAsia="Calibri" w:hAnsi="Arial" w:cs="Arial"/>
                <w:b/>
                <w:color w:val="000000" w:themeColor="text1"/>
                <w:sz w:val="22"/>
                <w:lang w:val="es-ES_tradnl"/>
              </w:rPr>
              <w:t>Radicación:</w:t>
            </w:r>
            <w:r w:rsidRPr="0042283A">
              <w:rPr>
                <w:rFonts w:ascii="Arial" w:eastAsia="Calibri" w:hAnsi="Arial" w:cs="Arial"/>
                <w:color w:val="000000" w:themeColor="text1"/>
                <w:sz w:val="22"/>
                <w:lang w:val="es-ES_tradnl"/>
              </w:rPr>
              <w:t xml:space="preserve">                              </w:t>
            </w:r>
          </w:p>
        </w:tc>
        <w:tc>
          <w:tcPr>
            <w:tcW w:w="6237" w:type="dxa"/>
          </w:tcPr>
          <w:p w14:paraId="09088B1B" w14:textId="019D8319" w:rsidR="00B95C30" w:rsidRPr="0042283A" w:rsidRDefault="00B95C30" w:rsidP="008F4163">
            <w:pPr>
              <w:spacing w:before="120"/>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Respuesta a consulta</w:t>
            </w:r>
            <w:r w:rsidR="002311F0" w:rsidRPr="0042283A">
              <w:rPr>
                <w:rFonts w:ascii="Arial" w:eastAsia="Calibri" w:hAnsi="Arial" w:cs="Arial"/>
                <w:color w:val="000000" w:themeColor="text1"/>
                <w:sz w:val="22"/>
                <w:lang w:val="es-ES_tradnl"/>
              </w:rPr>
              <w:t xml:space="preserve"> </w:t>
            </w:r>
            <w:r w:rsidRPr="0042283A">
              <w:rPr>
                <w:rFonts w:ascii="Arial" w:eastAsia="Calibri" w:hAnsi="Arial" w:cs="Arial"/>
                <w:color w:val="000000" w:themeColor="text1"/>
                <w:sz w:val="22"/>
                <w:lang w:val="es-ES_tradnl"/>
              </w:rPr>
              <w:t xml:space="preserve"># </w:t>
            </w:r>
            <w:r w:rsidR="00253135" w:rsidRPr="0042283A">
              <w:rPr>
                <w:rFonts w:ascii="Arial" w:eastAsia="Calibri" w:hAnsi="Arial" w:cs="Arial"/>
                <w:color w:val="000000" w:themeColor="text1"/>
                <w:sz w:val="22"/>
                <w:lang w:val="es-ES_tradnl"/>
              </w:rPr>
              <w:t>P20220118000320</w:t>
            </w:r>
            <w:r w:rsidR="002311F0" w:rsidRPr="0042283A">
              <w:rPr>
                <w:rFonts w:ascii="Arial" w:eastAsia="Calibri" w:hAnsi="Arial" w:cs="Arial"/>
                <w:color w:val="000000" w:themeColor="text1"/>
                <w:sz w:val="22"/>
                <w:lang w:val="es-ES_tradnl"/>
              </w:rPr>
              <w:t>.</w:t>
            </w:r>
          </w:p>
        </w:tc>
      </w:tr>
    </w:tbl>
    <w:p w14:paraId="61B55CA4" w14:textId="77777777" w:rsidR="00716BB0" w:rsidRPr="0042283A" w:rsidRDefault="00716BB0" w:rsidP="003C3339">
      <w:pPr>
        <w:jc w:val="both"/>
        <w:rPr>
          <w:rFonts w:ascii="Arial" w:eastAsia="Calibri" w:hAnsi="Arial" w:cs="Arial"/>
          <w:color w:val="000000" w:themeColor="text1"/>
          <w:sz w:val="22"/>
          <w:lang w:val="es-ES_tradnl"/>
        </w:rPr>
      </w:pPr>
    </w:p>
    <w:p w14:paraId="4B9B5156" w14:textId="77777777" w:rsidR="00716BB0" w:rsidRPr="0042283A" w:rsidRDefault="00716BB0" w:rsidP="003C3339">
      <w:pPr>
        <w:jc w:val="both"/>
        <w:rPr>
          <w:rFonts w:ascii="Arial" w:eastAsia="Calibri" w:hAnsi="Arial" w:cs="Arial"/>
          <w:color w:val="000000" w:themeColor="text1"/>
          <w:sz w:val="22"/>
          <w:lang w:val="es-ES_tradnl"/>
        </w:rPr>
      </w:pPr>
    </w:p>
    <w:p w14:paraId="1CF4AEA0" w14:textId="5AD869B5" w:rsidR="003C3339" w:rsidRPr="0042283A" w:rsidRDefault="003C3339" w:rsidP="003C3339">
      <w:pPr>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Estimad</w:t>
      </w:r>
      <w:r w:rsidR="00514911" w:rsidRPr="0042283A">
        <w:rPr>
          <w:rFonts w:ascii="Arial" w:eastAsia="Calibri" w:hAnsi="Arial" w:cs="Arial"/>
          <w:color w:val="000000" w:themeColor="text1"/>
          <w:sz w:val="22"/>
          <w:lang w:val="es-ES_tradnl"/>
        </w:rPr>
        <w:t>o</w:t>
      </w:r>
      <w:r w:rsidRPr="0042283A">
        <w:rPr>
          <w:rFonts w:ascii="Arial" w:eastAsia="Calibri" w:hAnsi="Arial" w:cs="Arial"/>
          <w:color w:val="000000" w:themeColor="text1"/>
          <w:sz w:val="22"/>
          <w:lang w:val="es-ES_tradnl"/>
        </w:rPr>
        <w:t xml:space="preserve"> </w:t>
      </w:r>
      <w:r w:rsidR="0063732C" w:rsidRPr="0042283A">
        <w:rPr>
          <w:rFonts w:ascii="Arial" w:eastAsia="Calibri" w:hAnsi="Arial" w:cs="Arial"/>
          <w:color w:val="000000" w:themeColor="text1"/>
          <w:sz w:val="22"/>
          <w:lang w:val="es-ES_tradnl"/>
        </w:rPr>
        <w:t>señor</w:t>
      </w:r>
      <w:r w:rsidR="00BE4FBF" w:rsidRPr="0042283A">
        <w:rPr>
          <w:rFonts w:ascii="Arial" w:eastAsia="Calibri" w:hAnsi="Arial" w:cs="Arial"/>
          <w:color w:val="000000" w:themeColor="text1"/>
          <w:sz w:val="22"/>
          <w:lang w:val="es-ES_tradnl"/>
        </w:rPr>
        <w:t xml:space="preserve"> </w:t>
      </w:r>
      <w:r w:rsidR="00514911" w:rsidRPr="0042283A">
        <w:rPr>
          <w:rFonts w:ascii="Arial" w:eastAsia="Calibri" w:hAnsi="Arial" w:cs="Arial"/>
          <w:color w:val="000000" w:themeColor="text1"/>
          <w:sz w:val="22"/>
          <w:lang w:val="es-ES_tradnl"/>
        </w:rPr>
        <w:t>Bravo</w:t>
      </w:r>
      <w:r w:rsidRPr="0042283A">
        <w:rPr>
          <w:rFonts w:ascii="Arial" w:eastAsia="Calibri" w:hAnsi="Arial" w:cs="Arial"/>
          <w:color w:val="000000" w:themeColor="text1"/>
          <w:sz w:val="22"/>
          <w:lang w:val="es-ES_tradnl"/>
        </w:rPr>
        <w:t>:</w:t>
      </w:r>
    </w:p>
    <w:p w14:paraId="1EAE5543" w14:textId="77777777" w:rsidR="00DD5B04" w:rsidRPr="0042283A" w:rsidRDefault="00DD5B04" w:rsidP="00DF76A2">
      <w:pPr>
        <w:jc w:val="both"/>
        <w:rPr>
          <w:rFonts w:ascii="Arial" w:eastAsia="Calibri" w:hAnsi="Arial" w:cs="Arial"/>
          <w:color w:val="000000" w:themeColor="text1"/>
          <w:sz w:val="22"/>
          <w:lang w:val="es-ES_tradnl"/>
        </w:rPr>
      </w:pPr>
    </w:p>
    <w:p w14:paraId="2109B2D3" w14:textId="22A27C89" w:rsidR="00DD5B04" w:rsidRPr="0042283A" w:rsidRDefault="00DD5B04" w:rsidP="00DF76A2">
      <w:pPr>
        <w:spacing w:line="276" w:lineRule="auto"/>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2283A">
        <w:rPr>
          <w:rFonts w:ascii="Arial" w:eastAsia="Calibri" w:hAnsi="Arial" w:cs="Arial"/>
          <w:color w:val="000000" w:themeColor="text1"/>
          <w:sz w:val="22"/>
          <w:lang w:val="es-ES_tradnl"/>
        </w:rPr>
        <w:t xml:space="preserve"> </w:t>
      </w:r>
      <w:r w:rsidRPr="0042283A">
        <w:rPr>
          <w:rFonts w:ascii="Arial" w:eastAsia="Calibri" w:hAnsi="Arial" w:cs="Arial"/>
          <w:color w:val="000000" w:themeColor="text1"/>
          <w:sz w:val="22"/>
          <w:lang w:val="es-ES_tradnl"/>
        </w:rPr>
        <w:t xml:space="preserve">responde su consulta del </w:t>
      </w:r>
      <w:r w:rsidR="00464896" w:rsidRPr="0042283A">
        <w:rPr>
          <w:rFonts w:ascii="Arial" w:eastAsia="Calibri" w:hAnsi="Arial" w:cs="Arial"/>
          <w:color w:val="000000" w:themeColor="text1"/>
          <w:sz w:val="22"/>
          <w:lang w:val="es-ES_tradnl"/>
        </w:rPr>
        <w:t>18</w:t>
      </w:r>
      <w:r w:rsidR="00E06598" w:rsidRPr="0042283A">
        <w:rPr>
          <w:rFonts w:ascii="Arial" w:eastAsia="Calibri" w:hAnsi="Arial" w:cs="Arial"/>
          <w:color w:val="000000" w:themeColor="text1"/>
          <w:sz w:val="22"/>
          <w:lang w:val="es-ES_tradnl"/>
        </w:rPr>
        <w:t xml:space="preserve"> </w:t>
      </w:r>
      <w:r w:rsidR="00FD4AF3" w:rsidRPr="0042283A">
        <w:rPr>
          <w:rFonts w:ascii="Arial" w:eastAsia="Calibri" w:hAnsi="Arial" w:cs="Arial"/>
          <w:color w:val="000000" w:themeColor="text1"/>
          <w:sz w:val="22"/>
          <w:lang w:val="es-ES_tradnl"/>
        </w:rPr>
        <w:t xml:space="preserve">de </w:t>
      </w:r>
      <w:r w:rsidR="00464896" w:rsidRPr="0042283A">
        <w:rPr>
          <w:rFonts w:ascii="Arial" w:eastAsia="Calibri" w:hAnsi="Arial" w:cs="Arial"/>
          <w:color w:val="000000" w:themeColor="text1"/>
          <w:sz w:val="22"/>
          <w:lang w:val="es-ES_tradnl"/>
        </w:rPr>
        <w:t>enero</w:t>
      </w:r>
      <w:r w:rsidRPr="0042283A">
        <w:rPr>
          <w:rFonts w:ascii="Arial" w:eastAsia="Calibri" w:hAnsi="Arial" w:cs="Arial"/>
          <w:color w:val="000000" w:themeColor="text1"/>
          <w:sz w:val="22"/>
          <w:lang w:val="es-ES_tradnl"/>
        </w:rPr>
        <w:t xml:space="preserve"> del</w:t>
      </w:r>
      <w:r w:rsidR="007E74BF" w:rsidRPr="0042283A">
        <w:rPr>
          <w:rFonts w:ascii="Arial" w:eastAsia="Calibri" w:hAnsi="Arial" w:cs="Arial"/>
          <w:color w:val="000000" w:themeColor="text1"/>
          <w:sz w:val="22"/>
          <w:lang w:val="es-ES_tradnl"/>
        </w:rPr>
        <w:t xml:space="preserve"> </w:t>
      </w:r>
      <w:r w:rsidRPr="0042283A">
        <w:rPr>
          <w:rFonts w:ascii="Arial" w:eastAsia="Calibri" w:hAnsi="Arial" w:cs="Arial"/>
          <w:color w:val="000000" w:themeColor="text1"/>
          <w:sz w:val="22"/>
          <w:lang w:val="es-ES_tradnl"/>
        </w:rPr>
        <w:t>202</w:t>
      </w:r>
      <w:r w:rsidR="00464896" w:rsidRPr="0042283A">
        <w:rPr>
          <w:rFonts w:ascii="Arial" w:eastAsia="Calibri" w:hAnsi="Arial" w:cs="Arial"/>
          <w:color w:val="000000" w:themeColor="text1"/>
          <w:sz w:val="22"/>
          <w:lang w:val="es-ES_tradnl"/>
        </w:rPr>
        <w:t>2</w:t>
      </w:r>
      <w:r w:rsidR="008C3C57" w:rsidRPr="0042283A">
        <w:rPr>
          <w:rFonts w:ascii="Arial" w:eastAsia="Calibri" w:hAnsi="Arial" w:cs="Arial"/>
          <w:color w:val="000000" w:themeColor="text1"/>
          <w:sz w:val="22"/>
          <w:lang w:val="es-ES_tradnl"/>
        </w:rPr>
        <w:t>.</w:t>
      </w:r>
    </w:p>
    <w:p w14:paraId="0C1E0712" w14:textId="77777777" w:rsidR="00DD5B04" w:rsidRPr="0042283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2283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2283A">
        <w:rPr>
          <w:rFonts w:ascii="Arial" w:eastAsia="Calibri" w:hAnsi="Arial" w:cs="Arial"/>
          <w:b/>
          <w:color w:val="000000" w:themeColor="text1"/>
          <w:sz w:val="22"/>
          <w:lang w:val="es-ES_tradnl"/>
        </w:rPr>
        <w:t xml:space="preserve">Problema planteado </w:t>
      </w:r>
    </w:p>
    <w:p w14:paraId="224B43D3" w14:textId="77777777" w:rsidR="00DD5B04" w:rsidRPr="0042283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30A35CB" w:rsidR="00443B55" w:rsidRPr="0042283A" w:rsidRDefault="00DD5B04" w:rsidP="0099583D">
      <w:pPr>
        <w:spacing w:line="276" w:lineRule="auto"/>
        <w:jc w:val="both"/>
        <w:rPr>
          <w:rFonts w:ascii="Arial" w:hAnsi="Arial" w:cs="Arial"/>
          <w:color w:val="000000" w:themeColor="text1"/>
          <w:sz w:val="22"/>
          <w:lang w:val="es-ES_tradnl"/>
        </w:rPr>
      </w:pPr>
      <w:r w:rsidRPr="0042283A">
        <w:rPr>
          <w:rFonts w:ascii="Arial" w:hAnsi="Arial" w:cs="Arial"/>
          <w:color w:val="000000" w:themeColor="text1"/>
          <w:sz w:val="22"/>
          <w:lang w:val="es-ES_tradnl"/>
        </w:rPr>
        <w:t>Usted</w:t>
      </w:r>
      <w:r w:rsidR="005F0890" w:rsidRPr="0042283A">
        <w:rPr>
          <w:rFonts w:ascii="Arial" w:hAnsi="Arial" w:cs="Arial"/>
          <w:color w:val="000000" w:themeColor="text1"/>
          <w:sz w:val="22"/>
          <w:lang w:val="es-ES_tradnl"/>
        </w:rPr>
        <w:t xml:space="preserve"> realiza la siguiente consulta</w:t>
      </w:r>
      <w:r w:rsidR="00B420B8" w:rsidRPr="0042283A">
        <w:rPr>
          <w:rFonts w:ascii="Arial" w:hAnsi="Arial" w:cs="Arial"/>
          <w:color w:val="000000" w:themeColor="text1"/>
          <w:sz w:val="22"/>
          <w:lang w:val="es-ES_tradnl"/>
        </w:rPr>
        <w:t xml:space="preserve"> relacionada con el artículo </w:t>
      </w:r>
      <w:r w:rsidR="007C0FB9" w:rsidRPr="0042283A">
        <w:rPr>
          <w:rFonts w:ascii="Arial" w:hAnsi="Arial" w:cs="Arial"/>
          <w:color w:val="000000" w:themeColor="text1"/>
          <w:sz w:val="22"/>
          <w:lang w:val="es-ES_tradnl"/>
        </w:rPr>
        <w:t>1</w:t>
      </w:r>
      <w:r w:rsidR="00B24358" w:rsidRPr="0042283A">
        <w:rPr>
          <w:rFonts w:ascii="Arial" w:hAnsi="Arial" w:cs="Arial"/>
          <w:color w:val="000000" w:themeColor="text1"/>
          <w:sz w:val="22"/>
          <w:lang w:val="es-ES_tradnl"/>
        </w:rPr>
        <w:t>, numeral 4,</w:t>
      </w:r>
      <w:r w:rsidR="00B420B8" w:rsidRPr="0042283A">
        <w:rPr>
          <w:rFonts w:ascii="Arial" w:hAnsi="Arial" w:cs="Arial"/>
          <w:color w:val="000000" w:themeColor="text1"/>
          <w:sz w:val="22"/>
          <w:lang w:val="es-ES_tradnl"/>
        </w:rPr>
        <w:t xml:space="preserve"> del Decreto 399 de 2021</w:t>
      </w:r>
      <w:r w:rsidR="00637A68" w:rsidRPr="0042283A">
        <w:rPr>
          <w:rFonts w:ascii="Arial" w:hAnsi="Arial" w:cs="Arial"/>
          <w:color w:val="000000" w:themeColor="text1"/>
          <w:sz w:val="22"/>
          <w:lang w:val="es-ES_tradnl"/>
        </w:rPr>
        <w:t>:</w:t>
      </w:r>
      <w:r w:rsidR="007E18DF" w:rsidRPr="0042283A">
        <w:rPr>
          <w:rFonts w:ascii="Arial" w:hAnsi="Arial" w:cs="Arial"/>
          <w:color w:val="000000" w:themeColor="text1"/>
          <w:sz w:val="22"/>
          <w:lang w:val="es-ES_tradnl"/>
        </w:rPr>
        <w:t xml:space="preserve"> </w:t>
      </w:r>
    </w:p>
    <w:p w14:paraId="559EE20C" w14:textId="77777777" w:rsidR="00443B55" w:rsidRPr="0042283A" w:rsidRDefault="00443B55" w:rsidP="0099583D">
      <w:pPr>
        <w:spacing w:line="276" w:lineRule="auto"/>
        <w:jc w:val="both"/>
        <w:rPr>
          <w:rFonts w:ascii="Arial" w:hAnsi="Arial" w:cs="Arial"/>
          <w:color w:val="000000" w:themeColor="text1"/>
          <w:sz w:val="22"/>
          <w:lang w:val="es-ES_tradnl"/>
        </w:rPr>
      </w:pPr>
    </w:p>
    <w:p w14:paraId="033795E3" w14:textId="6F4C2C54" w:rsidR="00605712" w:rsidRPr="0042283A" w:rsidRDefault="00EE77D4" w:rsidP="00605712">
      <w:pPr>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w:t>
      </w:r>
      <w:r w:rsidR="00605712" w:rsidRPr="0042283A">
        <w:rPr>
          <w:rFonts w:ascii="Arial" w:hAnsi="Arial" w:cs="Arial"/>
          <w:color w:val="000000" w:themeColor="text1"/>
          <w:sz w:val="21"/>
          <w:szCs w:val="21"/>
          <w:lang w:val="es-ES_tradnl"/>
        </w:rPr>
        <w:t xml:space="preserve">Teniendo en cuenta lo que reza la noma citada, a manera de ejemplo, el presupuesto de un contrato de </w:t>
      </w:r>
      <w:r w:rsidR="00622EA1" w:rsidRPr="0042283A">
        <w:rPr>
          <w:rFonts w:ascii="Arial" w:hAnsi="Arial" w:cs="Arial"/>
          <w:color w:val="000000" w:themeColor="text1"/>
          <w:sz w:val="21"/>
          <w:szCs w:val="21"/>
          <w:lang w:val="es-ES_tradnl"/>
        </w:rPr>
        <w:t>consultoría</w:t>
      </w:r>
      <w:r w:rsidR="00605712" w:rsidRPr="0042283A">
        <w:rPr>
          <w:rFonts w:ascii="Arial" w:hAnsi="Arial" w:cs="Arial"/>
          <w:color w:val="000000" w:themeColor="text1"/>
          <w:sz w:val="21"/>
          <w:szCs w:val="21"/>
          <w:lang w:val="es-ES_tradnl"/>
        </w:rPr>
        <w:t xml:space="preserve"> está compuesto principalmente por costos directos del personal que ejecutará las actividades de </w:t>
      </w:r>
      <w:r w:rsidR="00622EA1" w:rsidRPr="0042283A">
        <w:rPr>
          <w:rFonts w:ascii="Arial" w:hAnsi="Arial" w:cs="Arial"/>
          <w:color w:val="000000" w:themeColor="text1"/>
          <w:sz w:val="21"/>
          <w:szCs w:val="21"/>
          <w:lang w:val="es-ES_tradnl"/>
        </w:rPr>
        <w:t>consultoría</w:t>
      </w:r>
      <w:r w:rsidR="00605712" w:rsidRPr="0042283A">
        <w:rPr>
          <w:rFonts w:ascii="Arial" w:hAnsi="Arial" w:cs="Arial"/>
          <w:color w:val="000000" w:themeColor="text1"/>
          <w:sz w:val="21"/>
          <w:szCs w:val="21"/>
          <w:lang w:val="es-ES_tradnl"/>
        </w:rPr>
        <w:t xml:space="preserve"> contratadas. Dicho valor está </w:t>
      </w:r>
      <w:r w:rsidR="00622EA1" w:rsidRPr="0042283A">
        <w:rPr>
          <w:rFonts w:ascii="Arial" w:hAnsi="Arial" w:cs="Arial"/>
          <w:color w:val="000000" w:themeColor="text1"/>
          <w:sz w:val="21"/>
          <w:szCs w:val="21"/>
          <w:lang w:val="es-ES_tradnl"/>
        </w:rPr>
        <w:t>determinado</w:t>
      </w:r>
      <w:r w:rsidR="00605712" w:rsidRPr="0042283A">
        <w:rPr>
          <w:rFonts w:ascii="Arial" w:hAnsi="Arial" w:cs="Arial"/>
          <w:color w:val="000000" w:themeColor="text1"/>
          <w:sz w:val="21"/>
          <w:szCs w:val="21"/>
          <w:lang w:val="es-ES_tradnl"/>
        </w:rPr>
        <w:t xml:space="preserve"> por el personal requerido</w:t>
      </w:r>
      <w:r w:rsidR="00622EA1" w:rsidRPr="0042283A">
        <w:rPr>
          <w:rFonts w:ascii="Arial" w:hAnsi="Arial" w:cs="Arial"/>
          <w:color w:val="000000" w:themeColor="text1"/>
          <w:sz w:val="21"/>
          <w:szCs w:val="21"/>
          <w:lang w:val="es-ES_tradnl"/>
        </w:rPr>
        <w:t xml:space="preserve">, </w:t>
      </w:r>
      <w:r w:rsidR="00605712" w:rsidRPr="0042283A">
        <w:rPr>
          <w:rFonts w:ascii="Arial" w:hAnsi="Arial" w:cs="Arial"/>
          <w:color w:val="000000" w:themeColor="text1"/>
          <w:sz w:val="21"/>
          <w:szCs w:val="21"/>
          <w:lang w:val="es-ES_tradnl"/>
        </w:rPr>
        <w:t xml:space="preserve">cantidad, salario, </w:t>
      </w:r>
      <w:r w:rsidR="00622EA1" w:rsidRPr="0042283A">
        <w:rPr>
          <w:rFonts w:ascii="Arial" w:hAnsi="Arial" w:cs="Arial"/>
          <w:color w:val="000000" w:themeColor="text1"/>
          <w:sz w:val="21"/>
          <w:szCs w:val="21"/>
          <w:lang w:val="es-ES_tradnl"/>
        </w:rPr>
        <w:t>dedicación</w:t>
      </w:r>
      <w:r w:rsidR="00605712" w:rsidRPr="0042283A">
        <w:rPr>
          <w:rFonts w:ascii="Arial" w:hAnsi="Arial" w:cs="Arial"/>
          <w:color w:val="000000" w:themeColor="text1"/>
          <w:sz w:val="21"/>
          <w:szCs w:val="21"/>
          <w:lang w:val="es-ES_tradnl"/>
        </w:rPr>
        <w:t xml:space="preserve"> y el </w:t>
      </w:r>
      <w:r w:rsidR="000D405B" w:rsidRPr="0042283A">
        <w:rPr>
          <w:rFonts w:ascii="Arial" w:hAnsi="Arial" w:cs="Arial"/>
          <w:color w:val="000000" w:themeColor="text1"/>
          <w:sz w:val="21"/>
          <w:szCs w:val="21"/>
          <w:lang w:val="es-ES_tradnl"/>
        </w:rPr>
        <w:t>factor</w:t>
      </w:r>
      <w:r w:rsidR="00605712" w:rsidRPr="0042283A">
        <w:rPr>
          <w:rFonts w:ascii="Arial" w:hAnsi="Arial" w:cs="Arial"/>
          <w:color w:val="000000" w:themeColor="text1"/>
          <w:sz w:val="21"/>
          <w:szCs w:val="21"/>
          <w:lang w:val="es-ES_tradnl"/>
        </w:rPr>
        <w:t xml:space="preserve"> multiplicador calculado y definido por la entidad </w:t>
      </w:r>
      <w:r w:rsidR="000D405B" w:rsidRPr="0042283A">
        <w:rPr>
          <w:rFonts w:ascii="Arial" w:hAnsi="Arial" w:cs="Arial"/>
          <w:color w:val="000000" w:themeColor="text1"/>
          <w:sz w:val="21"/>
          <w:szCs w:val="21"/>
          <w:lang w:val="es-ES_tradnl"/>
        </w:rPr>
        <w:t>contratante.</w:t>
      </w:r>
    </w:p>
    <w:p w14:paraId="584D8E85" w14:textId="77777777" w:rsidR="000D405B" w:rsidRPr="0042283A" w:rsidRDefault="000D405B" w:rsidP="00605712">
      <w:pPr>
        <w:ind w:left="709" w:right="709"/>
        <w:jc w:val="both"/>
        <w:rPr>
          <w:rFonts w:ascii="Arial" w:hAnsi="Arial" w:cs="Arial"/>
          <w:color w:val="000000" w:themeColor="text1"/>
          <w:sz w:val="21"/>
          <w:szCs w:val="21"/>
          <w:lang w:val="es-ES_tradnl"/>
        </w:rPr>
      </w:pPr>
    </w:p>
    <w:p w14:paraId="323D8439" w14:textId="5759DCFF" w:rsidR="009F64E9" w:rsidRPr="0042283A" w:rsidRDefault="000D405B" w:rsidP="009F64E9">
      <w:pPr>
        <w:ind w:left="709" w:right="709"/>
        <w:jc w:val="both"/>
        <w:rPr>
          <w:rFonts w:ascii="Arial" w:hAnsi="Arial" w:cs="Arial"/>
          <w:color w:val="000000" w:themeColor="text1"/>
          <w:sz w:val="21"/>
          <w:szCs w:val="21"/>
          <w:lang w:val="es-ES_tradnl"/>
        </w:rPr>
      </w:pPr>
      <w:proofErr w:type="gramStart"/>
      <w:r w:rsidRPr="0042283A">
        <w:rPr>
          <w:rFonts w:ascii="Arial" w:hAnsi="Arial" w:cs="Arial"/>
          <w:color w:val="000000" w:themeColor="text1"/>
          <w:sz w:val="21"/>
          <w:szCs w:val="21"/>
          <w:lang w:val="es-ES_tradnl"/>
        </w:rPr>
        <w:lastRenderedPageBreak/>
        <w:t>»</w:t>
      </w:r>
      <w:r w:rsidR="00605712" w:rsidRPr="0042283A">
        <w:rPr>
          <w:rFonts w:ascii="Arial" w:hAnsi="Arial" w:cs="Arial"/>
          <w:color w:val="000000" w:themeColor="text1"/>
          <w:sz w:val="21"/>
          <w:szCs w:val="21"/>
          <w:lang w:val="es-ES_tradnl"/>
        </w:rPr>
        <w:t>En</w:t>
      </w:r>
      <w:proofErr w:type="gramEnd"/>
      <w:r w:rsidR="00605712" w:rsidRPr="0042283A">
        <w:rPr>
          <w:rFonts w:ascii="Arial" w:hAnsi="Arial" w:cs="Arial"/>
          <w:color w:val="000000" w:themeColor="text1"/>
          <w:sz w:val="21"/>
          <w:szCs w:val="21"/>
          <w:lang w:val="es-ES_tradnl"/>
        </w:rPr>
        <w:t xml:space="preserve"> este orden de ideas, y de acuerdo con lo establecido en el numeral 4 del </w:t>
      </w:r>
      <w:r w:rsidRPr="0042283A">
        <w:rPr>
          <w:rFonts w:ascii="Arial" w:hAnsi="Arial" w:cs="Arial"/>
          <w:color w:val="000000" w:themeColor="text1"/>
          <w:sz w:val="21"/>
          <w:szCs w:val="21"/>
          <w:lang w:val="es-ES_tradnl"/>
        </w:rPr>
        <w:t>artículo</w:t>
      </w:r>
      <w:r w:rsidR="00605712" w:rsidRPr="0042283A">
        <w:rPr>
          <w:rFonts w:ascii="Arial" w:hAnsi="Arial" w:cs="Arial"/>
          <w:color w:val="000000" w:themeColor="text1"/>
          <w:sz w:val="21"/>
          <w:szCs w:val="21"/>
          <w:lang w:val="es-ES_tradnl"/>
        </w:rPr>
        <w:t xml:space="preserve"> 1 del Decreto indicado en el asunto, </w:t>
      </w:r>
      <w:r w:rsidR="009F64E9" w:rsidRPr="0042283A">
        <w:rPr>
          <w:rFonts w:ascii="Arial" w:hAnsi="Arial" w:cs="Arial"/>
          <w:color w:val="000000" w:themeColor="text1"/>
          <w:sz w:val="21"/>
          <w:szCs w:val="21"/>
          <w:lang w:val="es-ES_tradnl"/>
        </w:rPr>
        <w:t>formulo</w:t>
      </w:r>
      <w:r w:rsidR="00605712" w:rsidRPr="0042283A">
        <w:rPr>
          <w:rFonts w:ascii="Arial" w:hAnsi="Arial" w:cs="Arial"/>
          <w:color w:val="000000" w:themeColor="text1"/>
          <w:sz w:val="21"/>
          <w:szCs w:val="21"/>
          <w:lang w:val="es-ES_tradnl"/>
        </w:rPr>
        <w:t xml:space="preserve"> a la Agencia las siguientes consultas con respecto a la </w:t>
      </w:r>
      <w:r w:rsidR="009F64E9" w:rsidRPr="0042283A">
        <w:rPr>
          <w:rFonts w:ascii="Arial" w:hAnsi="Arial" w:cs="Arial"/>
          <w:color w:val="000000" w:themeColor="text1"/>
          <w:sz w:val="21"/>
          <w:szCs w:val="21"/>
          <w:lang w:val="es-ES_tradnl"/>
        </w:rPr>
        <w:t>interpretación</w:t>
      </w:r>
      <w:r w:rsidR="00605712" w:rsidRPr="0042283A">
        <w:rPr>
          <w:rFonts w:ascii="Arial" w:hAnsi="Arial" w:cs="Arial"/>
          <w:color w:val="000000" w:themeColor="text1"/>
          <w:sz w:val="21"/>
          <w:szCs w:val="21"/>
          <w:lang w:val="es-ES_tradnl"/>
        </w:rPr>
        <w:t xml:space="preserve"> de la no</w:t>
      </w:r>
      <w:r w:rsidR="002E5E4F" w:rsidRPr="0042283A">
        <w:rPr>
          <w:rFonts w:ascii="Arial" w:hAnsi="Arial" w:cs="Arial"/>
          <w:color w:val="000000" w:themeColor="text1"/>
          <w:sz w:val="21"/>
          <w:szCs w:val="21"/>
          <w:lang w:val="es-ES_tradnl"/>
        </w:rPr>
        <w:t>r</w:t>
      </w:r>
      <w:r w:rsidR="00605712" w:rsidRPr="0042283A">
        <w:rPr>
          <w:rFonts w:ascii="Arial" w:hAnsi="Arial" w:cs="Arial"/>
          <w:color w:val="000000" w:themeColor="text1"/>
          <w:sz w:val="21"/>
          <w:szCs w:val="21"/>
          <w:lang w:val="es-ES_tradnl"/>
        </w:rPr>
        <w:t>ma:</w:t>
      </w:r>
    </w:p>
    <w:p w14:paraId="73721337" w14:textId="77777777" w:rsidR="009F64E9" w:rsidRPr="0042283A" w:rsidRDefault="009F64E9" w:rsidP="009F64E9">
      <w:pPr>
        <w:ind w:left="709" w:right="709"/>
        <w:jc w:val="both"/>
        <w:rPr>
          <w:rFonts w:ascii="Arial" w:hAnsi="Arial" w:cs="Arial"/>
          <w:color w:val="000000" w:themeColor="text1"/>
          <w:sz w:val="21"/>
          <w:szCs w:val="21"/>
          <w:lang w:val="es-ES_tradnl"/>
        </w:rPr>
      </w:pPr>
    </w:p>
    <w:p w14:paraId="27D497A0" w14:textId="07CCD09F" w:rsidR="00605712" w:rsidRPr="0042283A" w:rsidRDefault="008B4E4C" w:rsidP="007021B7">
      <w:pPr>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w:t>
      </w:r>
      <w:r w:rsidR="009F64E9" w:rsidRPr="0042283A">
        <w:rPr>
          <w:rFonts w:ascii="Arial" w:hAnsi="Arial" w:cs="Arial"/>
          <w:color w:val="000000" w:themeColor="text1"/>
          <w:sz w:val="21"/>
          <w:szCs w:val="21"/>
          <w:lang w:val="es-ES_tradnl"/>
        </w:rPr>
        <w:t xml:space="preserve">- </w:t>
      </w:r>
      <w:r w:rsidR="00605712" w:rsidRPr="0042283A">
        <w:rPr>
          <w:rFonts w:ascii="Arial" w:hAnsi="Arial" w:cs="Arial"/>
          <w:color w:val="000000" w:themeColor="text1"/>
          <w:sz w:val="21"/>
          <w:szCs w:val="21"/>
          <w:lang w:val="es-ES_tradnl"/>
        </w:rPr>
        <w:t xml:space="preserve">¿Es viable que una entidad estatal que adelanta un concurso de </w:t>
      </w:r>
      <w:r w:rsidR="009F64E9" w:rsidRPr="0042283A">
        <w:rPr>
          <w:rFonts w:ascii="Arial" w:hAnsi="Arial" w:cs="Arial"/>
          <w:color w:val="000000" w:themeColor="text1"/>
          <w:sz w:val="21"/>
          <w:szCs w:val="21"/>
          <w:lang w:val="es-ES_tradnl"/>
        </w:rPr>
        <w:t>méritos</w:t>
      </w:r>
      <w:r w:rsidR="00605712" w:rsidRPr="0042283A">
        <w:rPr>
          <w:rFonts w:ascii="Arial" w:hAnsi="Arial" w:cs="Arial"/>
          <w:color w:val="000000" w:themeColor="text1"/>
          <w:sz w:val="21"/>
          <w:szCs w:val="21"/>
          <w:lang w:val="es-ES_tradnl"/>
        </w:rPr>
        <w:t xml:space="preserve"> para actividades de </w:t>
      </w:r>
      <w:r w:rsidR="009F64E9" w:rsidRPr="0042283A">
        <w:rPr>
          <w:rFonts w:ascii="Arial" w:hAnsi="Arial" w:cs="Arial"/>
          <w:color w:val="000000" w:themeColor="text1"/>
          <w:sz w:val="21"/>
          <w:szCs w:val="21"/>
          <w:lang w:val="es-ES_tradnl"/>
        </w:rPr>
        <w:t>consultoría</w:t>
      </w:r>
      <w:r w:rsidR="004F5A24" w:rsidRPr="0042283A">
        <w:rPr>
          <w:rFonts w:ascii="Arial" w:hAnsi="Arial" w:cs="Arial"/>
          <w:color w:val="000000" w:themeColor="text1"/>
          <w:sz w:val="21"/>
          <w:szCs w:val="21"/>
          <w:lang w:val="es-ES_tradnl"/>
        </w:rPr>
        <w:t xml:space="preserve"> </w:t>
      </w:r>
      <w:r w:rsidR="00605712" w:rsidRPr="0042283A">
        <w:rPr>
          <w:rFonts w:ascii="Arial" w:hAnsi="Arial" w:cs="Arial"/>
          <w:color w:val="000000" w:themeColor="text1"/>
          <w:sz w:val="21"/>
          <w:szCs w:val="21"/>
          <w:lang w:val="es-ES_tradnl"/>
        </w:rPr>
        <w:t xml:space="preserve">se niegue a discriminar la </w:t>
      </w:r>
      <w:r w:rsidR="004F5A24" w:rsidRPr="0042283A">
        <w:rPr>
          <w:rFonts w:ascii="Arial" w:hAnsi="Arial" w:cs="Arial"/>
          <w:color w:val="000000" w:themeColor="text1"/>
          <w:sz w:val="21"/>
          <w:szCs w:val="21"/>
          <w:lang w:val="es-ES_tradnl"/>
        </w:rPr>
        <w:t>forma</w:t>
      </w:r>
      <w:r w:rsidR="00605712" w:rsidRPr="0042283A">
        <w:rPr>
          <w:rFonts w:ascii="Arial" w:hAnsi="Arial" w:cs="Arial"/>
          <w:color w:val="000000" w:themeColor="text1"/>
          <w:sz w:val="21"/>
          <w:szCs w:val="21"/>
          <w:lang w:val="es-ES_tradnl"/>
        </w:rPr>
        <w:t xml:space="preserve"> en la que calculó el valor de una o de varias de las actividades de </w:t>
      </w:r>
      <w:r w:rsidR="004F5A24" w:rsidRPr="0042283A">
        <w:rPr>
          <w:rFonts w:ascii="Arial" w:hAnsi="Arial" w:cs="Arial"/>
          <w:color w:val="000000" w:themeColor="text1"/>
          <w:sz w:val="21"/>
          <w:szCs w:val="21"/>
          <w:lang w:val="es-ES_tradnl"/>
        </w:rPr>
        <w:t>consultoría</w:t>
      </w:r>
      <w:r w:rsidR="00605712" w:rsidRPr="0042283A">
        <w:rPr>
          <w:rFonts w:ascii="Arial" w:hAnsi="Arial" w:cs="Arial"/>
          <w:color w:val="000000" w:themeColor="text1"/>
          <w:sz w:val="21"/>
          <w:szCs w:val="21"/>
          <w:lang w:val="es-ES_tradnl"/>
        </w:rPr>
        <w:t xml:space="preserve"> requeridas en el objeto del contrato bajo la premisa de que esa o esas actividades no son</w:t>
      </w:r>
      <w:r w:rsidR="004F5A24" w:rsidRPr="0042283A">
        <w:rPr>
          <w:rFonts w:ascii="Arial" w:hAnsi="Arial" w:cs="Arial"/>
          <w:color w:val="000000" w:themeColor="text1"/>
          <w:sz w:val="21"/>
          <w:szCs w:val="21"/>
          <w:lang w:val="es-ES_tradnl"/>
        </w:rPr>
        <w:t xml:space="preserve"> </w:t>
      </w:r>
      <w:r w:rsidR="00605712" w:rsidRPr="0042283A">
        <w:rPr>
          <w:rFonts w:ascii="Arial" w:hAnsi="Arial" w:cs="Arial"/>
          <w:color w:val="000000" w:themeColor="text1"/>
          <w:sz w:val="21"/>
          <w:szCs w:val="21"/>
          <w:lang w:val="es-ES_tradnl"/>
        </w:rPr>
        <w:t xml:space="preserve">precios unitarios sino unos </w:t>
      </w:r>
      <w:r w:rsidR="007021B7" w:rsidRPr="0042283A">
        <w:rPr>
          <w:rFonts w:ascii="Arial" w:hAnsi="Arial" w:cs="Arial"/>
          <w:color w:val="000000" w:themeColor="text1"/>
          <w:sz w:val="21"/>
          <w:szCs w:val="21"/>
          <w:lang w:val="es-ES_tradnl"/>
        </w:rPr>
        <w:t xml:space="preserve">“productos técnicos entregables”, </w:t>
      </w:r>
      <w:r w:rsidR="00605712" w:rsidRPr="0042283A">
        <w:rPr>
          <w:rFonts w:ascii="Arial" w:hAnsi="Arial" w:cs="Arial"/>
          <w:color w:val="000000" w:themeColor="text1"/>
          <w:sz w:val="21"/>
          <w:szCs w:val="21"/>
          <w:lang w:val="es-ES_tradnl"/>
        </w:rPr>
        <w:t>por dar</w:t>
      </w:r>
      <w:r w:rsidR="007021B7" w:rsidRPr="0042283A">
        <w:rPr>
          <w:rFonts w:ascii="Arial" w:hAnsi="Arial" w:cs="Arial"/>
          <w:color w:val="000000" w:themeColor="text1"/>
          <w:sz w:val="21"/>
          <w:szCs w:val="21"/>
          <w:lang w:val="es-ES_tradnl"/>
        </w:rPr>
        <w:t>l</w:t>
      </w:r>
      <w:r w:rsidR="00605712" w:rsidRPr="0042283A">
        <w:rPr>
          <w:rFonts w:ascii="Arial" w:hAnsi="Arial" w:cs="Arial"/>
          <w:color w:val="000000" w:themeColor="text1"/>
          <w:sz w:val="21"/>
          <w:szCs w:val="21"/>
          <w:lang w:val="es-ES_tradnl"/>
        </w:rPr>
        <w:t xml:space="preserve">e alguna </w:t>
      </w:r>
      <w:r w:rsidR="007021B7" w:rsidRPr="0042283A">
        <w:rPr>
          <w:rFonts w:ascii="Arial" w:hAnsi="Arial" w:cs="Arial"/>
          <w:color w:val="000000" w:themeColor="text1"/>
          <w:sz w:val="21"/>
          <w:szCs w:val="21"/>
          <w:lang w:val="es-ES_tradnl"/>
        </w:rPr>
        <w:t>denominación</w:t>
      </w:r>
      <w:r w:rsidR="00605712" w:rsidRPr="0042283A">
        <w:rPr>
          <w:rFonts w:ascii="Arial" w:hAnsi="Arial" w:cs="Arial"/>
          <w:color w:val="000000" w:themeColor="text1"/>
          <w:sz w:val="21"/>
          <w:szCs w:val="21"/>
          <w:lang w:val="es-ES_tradnl"/>
        </w:rPr>
        <w:t xml:space="preserve"> diferente a la de precio unitario, y de esta forma obviar</w:t>
      </w:r>
      <w:r w:rsidR="007021B7" w:rsidRPr="0042283A">
        <w:rPr>
          <w:rFonts w:ascii="Arial" w:hAnsi="Arial" w:cs="Arial"/>
          <w:color w:val="000000" w:themeColor="text1"/>
          <w:sz w:val="21"/>
          <w:szCs w:val="21"/>
          <w:lang w:val="es-ES_tradnl"/>
        </w:rPr>
        <w:t xml:space="preserve"> lo </w:t>
      </w:r>
      <w:r w:rsidR="00605712" w:rsidRPr="0042283A">
        <w:rPr>
          <w:rFonts w:ascii="Arial" w:hAnsi="Arial" w:cs="Arial"/>
          <w:color w:val="000000" w:themeColor="text1"/>
          <w:sz w:val="21"/>
          <w:szCs w:val="21"/>
          <w:lang w:val="es-ES_tradnl"/>
        </w:rPr>
        <w:t>establecido en el Decreto 399 con respecto a justificar o</w:t>
      </w:r>
      <w:r w:rsidR="007021B7" w:rsidRPr="0042283A">
        <w:rPr>
          <w:rFonts w:ascii="Arial" w:hAnsi="Arial" w:cs="Arial"/>
          <w:color w:val="000000" w:themeColor="text1"/>
          <w:sz w:val="21"/>
          <w:szCs w:val="21"/>
          <w:lang w:val="es-ES_tradnl"/>
        </w:rPr>
        <w:t xml:space="preserve"> </w:t>
      </w:r>
      <w:r w:rsidR="00605712" w:rsidRPr="0042283A">
        <w:rPr>
          <w:rFonts w:ascii="Arial" w:hAnsi="Arial" w:cs="Arial"/>
          <w:color w:val="000000" w:themeColor="text1"/>
          <w:sz w:val="21"/>
          <w:szCs w:val="21"/>
          <w:lang w:val="es-ES_tradnl"/>
        </w:rPr>
        <w:t xml:space="preserve">discriminar las variables con las construyó el precio o el valor de esa o esas actividades de </w:t>
      </w:r>
      <w:r w:rsidR="00102C4D" w:rsidRPr="0042283A">
        <w:rPr>
          <w:rFonts w:ascii="Arial" w:hAnsi="Arial" w:cs="Arial"/>
          <w:color w:val="000000" w:themeColor="text1"/>
          <w:sz w:val="21"/>
          <w:szCs w:val="21"/>
          <w:lang w:val="es-ES_tradnl"/>
        </w:rPr>
        <w:t>consultoría</w:t>
      </w:r>
      <w:r w:rsidR="00605712" w:rsidRPr="0042283A">
        <w:rPr>
          <w:rFonts w:ascii="Arial" w:hAnsi="Arial" w:cs="Arial"/>
          <w:color w:val="000000" w:themeColor="text1"/>
          <w:sz w:val="21"/>
          <w:szCs w:val="21"/>
          <w:lang w:val="es-ES_tradnl"/>
        </w:rPr>
        <w:t>?</w:t>
      </w:r>
      <w:r w:rsidRPr="0042283A">
        <w:rPr>
          <w:rFonts w:ascii="Arial" w:hAnsi="Arial" w:cs="Arial"/>
          <w:color w:val="000000" w:themeColor="text1"/>
          <w:sz w:val="21"/>
          <w:szCs w:val="21"/>
          <w:lang w:val="es-ES_tradnl"/>
        </w:rPr>
        <w:t xml:space="preserve"> (sic)</w:t>
      </w:r>
    </w:p>
    <w:p w14:paraId="50ABFCF5" w14:textId="77777777" w:rsidR="00102C4D" w:rsidRPr="0042283A" w:rsidRDefault="00102C4D" w:rsidP="00605712">
      <w:pPr>
        <w:ind w:left="709" w:right="709"/>
        <w:jc w:val="both"/>
        <w:rPr>
          <w:rFonts w:ascii="Arial" w:hAnsi="Arial" w:cs="Arial"/>
          <w:color w:val="000000" w:themeColor="text1"/>
          <w:sz w:val="21"/>
          <w:szCs w:val="21"/>
          <w:lang w:val="es-ES_tradnl"/>
        </w:rPr>
      </w:pPr>
    </w:p>
    <w:p w14:paraId="3C3DA98F" w14:textId="4EAF1920" w:rsidR="00605712" w:rsidRPr="0042283A" w:rsidRDefault="00B24358" w:rsidP="00D44791">
      <w:pPr>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w:t>
      </w:r>
      <w:r w:rsidR="00102C4D" w:rsidRPr="0042283A">
        <w:rPr>
          <w:rFonts w:ascii="Arial" w:hAnsi="Arial" w:cs="Arial"/>
          <w:color w:val="000000" w:themeColor="text1"/>
          <w:sz w:val="21"/>
          <w:szCs w:val="21"/>
          <w:lang w:val="es-ES_tradnl"/>
        </w:rPr>
        <w:t xml:space="preserve">- </w:t>
      </w:r>
      <w:r w:rsidR="00605712" w:rsidRPr="0042283A">
        <w:rPr>
          <w:rFonts w:ascii="Arial" w:hAnsi="Arial" w:cs="Arial"/>
          <w:color w:val="000000" w:themeColor="text1"/>
          <w:sz w:val="21"/>
          <w:szCs w:val="21"/>
          <w:lang w:val="es-ES_tradnl"/>
        </w:rPr>
        <w:t xml:space="preserve">Para el caso de un contrato de </w:t>
      </w:r>
      <w:r w:rsidR="00102C4D" w:rsidRPr="0042283A">
        <w:rPr>
          <w:rFonts w:ascii="Arial" w:hAnsi="Arial" w:cs="Arial"/>
          <w:color w:val="000000" w:themeColor="text1"/>
          <w:sz w:val="21"/>
          <w:szCs w:val="21"/>
          <w:lang w:val="es-ES_tradnl"/>
        </w:rPr>
        <w:t>consultoría</w:t>
      </w:r>
      <w:r w:rsidR="00605712" w:rsidRPr="0042283A">
        <w:rPr>
          <w:rFonts w:ascii="Arial" w:hAnsi="Arial" w:cs="Arial"/>
          <w:color w:val="000000" w:themeColor="text1"/>
          <w:sz w:val="21"/>
          <w:szCs w:val="21"/>
          <w:lang w:val="es-ES_tradnl"/>
        </w:rPr>
        <w:t xml:space="preserve">, ¿bajó qué condiciones una entidad estatal </w:t>
      </w:r>
      <w:r w:rsidR="00102C4D" w:rsidRPr="0042283A">
        <w:rPr>
          <w:rFonts w:ascii="Arial" w:hAnsi="Arial" w:cs="Arial"/>
          <w:color w:val="000000" w:themeColor="text1"/>
          <w:sz w:val="21"/>
          <w:szCs w:val="21"/>
          <w:lang w:val="es-ES_tradnl"/>
        </w:rPr>
        <w:t>podría</w:t>
      </w:r>
      <w:r w:rsidR="00605712" w:rsidRPr="0042283A">
        <w:rPr>
          <w:rFonts w:ascii="Arial" w:hAnsi="Arial" w:cs="Arial"/>
          <w:color w:val="000000" w:themeColor="text1"/>
          <w:sz w:val="21"/>
          <w:szCs w:val="21"/>
          <w:lang w:val="es-ES_tradnl"/>
        </w:rPr>
        <w:t xml:space="preserve"> argumentar</w:t>
      </w:r>
      <w:r w:rsidR="00D44791" w:rsidRPr="0042283A">
        <w:rPr>
          <w:rFonts w:ascii="Arial" w:hAnsi="Arial" w:cs="Arial"/>
          <w:color w:val="000000" w:themeColor="text1"/>
          <w:sz w:val="21"/>
          <w:szCs w:val="21"/>
          <w:lang w:val="es-ES_tradnl"/>
        </w:rPr>
        <w:t xml:space="preserve"> </w:t>
      </w:r>
      <w:r w:rsidR="00605712" w:rsidRPr="0042283A">
        <w:rPr>
          <w:rFonts w:ascii="Arial" w:hAnsi="Arial" w:cs="Arial"/>
          <w:color w:val="000000" w:themeColor="text1"/>
          <w:sz w:val="21"/>
          <w:szCs w:val="21"/>
          <w:lang w:val="es-ES_tradnl"/>
        </w:rPr>
        <w:t xml:space="preserve">que no la cobija el numeral 4 del </w:t>
      </w:r>
      <w:r w:rsidR="00D44791" w:rsidRPr="0042283A">
        <w:rPr>
          <w:rFonts w:ascii="Arial" w:hAnsi="Arial" w:cs="Arial"/>
          <w:color w:val="000000" w:themeColor="text1"/>
          <w:sz w:val="21"/>
          <w:szCs w:val="21"/>
          <w:lang w:val="es-ES_tradnl"/>
        </w:rPr>
        <w:t>artículo</w:t>
      </w:r>
      <w:r w:rsidR="00605712" w:rsidRPr="0042283A">
        <w:rPr>
          <w:rFonts w:ascii="Arial" w:hAnsi="Arial" w:cs="Arial"/>
          <w:color w:val="000000" w:themeColor="text1"/>
          <w:sz w:val="21"/>
          <w:szCs w:val="21"/>
          <w:lang w:val="es-ES_tradnl"/>
        </w:rPr>
        <w:t xml:space="preserve"> 1 del Decreto 399 de 2021 y que, en consecuencia, no debe</w:t>
      </w:r>
      <w:r w:rsidR="00D44791" w:rsidRPr="0042283A">
        <w:rPr>
          <w:rFonts w:ascii="Arial" w:hAnsi="Arial" w:cs="Arial"/>
          <w:color w:val="000000" w:themeColor="text1"/>
          <w:sz w:val="21"/>
          <w:szCs w:val="21"/>
          <w:lang w:val="es-ES_tradnl"/>
        </w:rPr>
        <w:t xml:space="preserve"> </w:t>
      </w:r>
      <w:r w:rsidR="00605712" w:rsidRPr="0042283A">
        <w:rPr>
          <w:rFonts w:ascii="Arial" w:hAnsi="Arial" w:cs="Arial"/>
          <w:color w:val="000000" w:themeColor="text1"/>
          <w:sz w:val="21"/>
          <w:szCs w:val="21"/>
          <w:lang w:val="es-ES_tradnl"/>
        </w:rPr>
        <w:t xml:space="preserve">publicar los </w:t>
      </w:r>
      <w:r w:rsidR="00D44791" w:rsidRPr="0042283A">
        <w:rPr>
          <w:rFonts w:ascii="Arial" w:hAnsi="Arial" w:cs="Arial"/>
          <w:color w:val="000000" w:themeColor="text1"/>
          <w:sz w:val="21"/>
          <w:szCs w:val="21"/>
          <w:lang w:val="es-ES_tradnl"/>
        </w:rPr>
        <w:t>cálculos</w:t>
      </w:r>
      <w:r w:rsidR="00605712" w:rsidRPr="0042283A">
        <w:rPr>
          <w:rFonts w:ascii="Arial" w:hAnsi="Arial" w:cs="Arial"/>
          <w:color w:val="000000" w:themeColor="text1"/>
          <w:sz w:val="21"/>
          <w:szCs w:val="21"/>
          <w:lang w:val="es-ES_tradnl"/>
        </w:rPr>
        <w:t xml:space="preserve"> y estimaciones que empleó para la </w:t>
      </w:r>
      <w:r w:rsidR="00D44791" w:rsidRPr="0042283A">
        <w:rPr>
          <w:rFonts w:ascii="Arial" w:hAnsi="Arial" w:cs="Arial"/>
          <w:color w:val="000000" w:themeColor="text1"/>
          <w:sz w:val="21"/>
          <w:szCs w:val="21"/>
          <w:lang w:val="es-ES_tradnl"/>
        </w:rPr>
        <w:t>determinación</w:t>
      </w:r>
      <w:r w:rsidR="00605712" w:rsidRPr="0042283A">
        <w:rPr>
          <w:rFonts w:ascii="Arial" w:hAnsi="Arial" w:cs="Arial"/>
          <w:color w:val="000000" w:themeColor="text1"/>
          <w:sz w:val="21"/>
          <w:szCs w:val="21"/>
          <w:lang w:val="es-ES_tradnl"/>
        </w:rPr>
        <w:t xml:space="preserve"> del valor de las actividades de </w:t>
      </w:r>
      <w:r w:rsidR="00D44791" w:rsidRPr="0042283A">
        <w:rPr>
          <w:rFonts w:ascii="Arial" w:hAnsi="Arial" w:cs="Arial"/>
          <w:color w:val="000000" w:themeColor="text1"/>
          <w:sz w:val="21"/>
          <w:szCs w:val="21"/>
          <w:lang w:val="es-ES_tradnl"/>
        </w:rPr>
        <w:t>consultoría</w:t>
      </w:r>
      <w:r w:rsidR="00605712" w:rsidRPr="0042283A">
        <w:rPr>
          <w:rFonts w:ascii="Arial" w:hAnsi="Arial" w:cs="Arial"/>
          <w:color w:val="000000" w:themeColor="text1"/>
          <w:sz w:val="21"/>
          <w:szCs w:val="21"/>
          <w:lang w:val="es-ES_tradnl"/>
        </w:rPr>
        <w:t>?</w:t>
      </w:r>
    </w:p>
    <w:p w14:paraId="4647F3DC" w14:textId="77777777" w:rsidR="00D44791" w:rsidRPr="0042283A" w:rsidRDefault="00D44791" w:rsidP="00605712">
      <w:pPr>
        <w:ind w:left="709" w:right="709"/>
        <w:jc w:val="both"/>
        <w:rPr>
          <w:rFonts w:ascii="Arial" w:hAnsi="Arial" w:cs="Arial"/>
          <w:color w:val="000000" w:themeColor="text1"/>
          <w:sz w:val="21"/>
          <w:szCs w:val="21"/>
          <w:lang w:val="es-ES_tradnl"/>
        </w:rPr>
      </w:pPr>
    </w:p>
    <w:p w14:paraId="7E424C46" w14:textId="2E63C9C0" w:rsidR="00285600" w:rsidRPr="0042283A" w:rsidRDefault="00B24358" w:rsidP="00605712">
      <w:pPr>
        <w:ind w:left="709" w:right="709"/>
        <w:jc w:val="both"/>
        <w:rPr>
          <w:rFonts w:ascii="Arial" w:hAnsi="Arial" w:cs="Arial"/>
          <w:color w:val="000000" w:themeColor="text1"/>
          <w:sz w:val="21"/>
          <w:szCs w:val="21"/>
          <w:lang w:val="es-ES_tradnl"/>
        </w:rPr>
      </w:pPr>
      <w:proofErr w:type="gramStart"/>
      <w:r w:rsidRPr="0042283A">
        <w:rPr>
          <w:rFonts w:ascii="Arial" w:hAnsi="Arial" w:cs="Arial"/>
          <w:color w:val="000000" w:themeColor="text1"/>
          <w:sz w:val="21"/>
          <w:szCs w:val="21"/>
          <w:lang w:val="es-ES_tradnl"/>
        </w:rPr>
        <w:t>»</w:t>
      </w:r>
      <w:r w:rsidR="00605712" w:rsidRPr="0042283A">
        <w:rPr>
          <w:rFonts w:ascii="Arial" w:hAnsi="Arial" w:cs="Arial"/>
          <w:color w:val="000000" w:themeColor="text1"/>
          <w:sz w:val="21"/>
          <w:szCs w:val="21"/>
          <w:lang w:val="es-ES_tradnl"/>
        </w:rPr>
        <w:t>Con</w:t>
      </w:r>
      <w:proofErr w:type="gramEnd"/>
      <w:r w:rsidR="00605712" w:rsidRPr="0042283A">
        <w:rPr>
          <w:rFonts w:ascii="Arial" w:hAnsi="Arial" w:cs="Arial"/>
          <w:color w:val="000000" w:themeColor="text1"/>
          <w:sz w:val="21"/>
          <w:szCs w:val="21"/>
          <w:lang w:val="es-ES_tradnl"/>
        </w:rPr>
        <w:t xml:space="preserve"> base en las preguntas </w:t>
      </w:r>
      <w:r w:rsidR="00D44791" w:rsidRPr="0042283A">
        <w:rPr>
          <w:rFonts w:ascii="Arial" w:hAnsi="Arial" w:cs="Arial"/>
          <w:color w:val="000000" w:themeColor="text1"/>
          <w:sz w:val="21"/>
          <w:szCs w:val="21"/>
          <w:lang w:val="es-ES_tradnl"/>
        </w:rPr>
        <w:t>formuladas</w:t>
      </w:r>
      <w:r w:rsidR="00605712" w:rsidRPr="0042283A">
        <w:rPr>
          <w:rFonts w:ascii="Arial" w:hAnsi="Arial" w:cs="Arial"/>
          <w:color w:val="000000" w:themeColor="text1"/>
          <w:sz w:val="21"/>
          <w:szCs w:val="21"/>
          <w:lang w:val="es-ES_tradnl"/>
        </w:rPr>
        <w:t xml:space="preserve"> </w:t>
      </w:r>
      <w:r w:rsidR="00D44791" w:rsidRPr="0042283A">
        <w:rPr>
          <w:rFonts w:ascii="Arial" w:hAnsi="Arial" w:cs="Arial"/>
          <w:color w:val="000000" w:themeColor="text1"/>
          <w:sz w:val="21"/>
          <w:szCs w:val="21"/>
          <w:lang w:val="es-ES_tradnl"/>
        </w:rPr>
        <w:t>anteriormente</w:t>
      </w:r>
      <w:r w:rsidR="00605712" w:rsidRPr="0042283A">
        <w:rPr>
          <w:rFonts w:ascii="Arial" w:hAnsi="Arial" w:cs="Arial"/>
          <w:color w:val="000000" w:themeColor="text1"/>
          <w:sz w:val="21"/>
          <w:szCs w:val="21"/>
          <w:lang w:val="es-ES_tradnl"/>
        </w:rPr>
        <w:t xml:space="preserve">, solicito a la Agencia Nacional de </w:t>
      </w:r>
      <w:r w:rsidR="00D44791" w:rsidRPr="0042283A">
        <w:rPr>
          <w:rFonts w:ascii="Arial" w:hAnsi="Arial" w:cs="Arial"/>
          <w:color w:val="000000" w:themeColor="text1"/>
          <w:sz w:val="21"/>
          <w:szCs w:val="21"/>
          <w:lang w:val="es-ES_tradnl"/>
        </w:rPr>
        <w:t>Contratación</w:t>
      </w:r>
      <w:r w:rsidR="00605712" w:rsidRPr="0042283A">
        <w:rPr>
          <w:rFonts w:ascii="Arial" w:hAnsi="Arial" w:cs="Arial"/>
          <w:color w:val="000000" w:themeColor="text1"/>
          <w:sz w:val="21"/>
          <w:szCs w:val="21"/>
          <w:lang w:val="es-ES_tradnl"/>
        </w:rPr>
        <w:t xml:space="preserve"> </w:t>
      </w:r>
      <w:r w:rsidR="00D44791" w:rsidRPr="0042283A">
        <w:rPr>
          <w:rFonts w:ascii="Arial" w:hAnsi="Arial" w:cs="Arial"/>
          <w:color w:val="000000" w:themeColor="text1"/>
          <w:sz w:val="21"/>
          <w:szCs w:val="21"/>
          <w:lang w:val="es-ES_tradnl"/>
        </w:rPr>
        <w:t>Pública</w:t>
      </w:r>
      <w:r w:rsidR="00605712" w:rsidRPr="0042283A">
        <w:rPr>
          <w:rFonts w:ascii="Arial" w:hAnsi="Arial" w:cs="Arial"/>
          <w:color w:val="000000" w:themeColor="text1"/>
          <w:sz w:val="21"/>
          <w:szCs w:val="21"/>
          <w:lang w:val="es-ES_tradnl"/>
        </w:rPr>
        <w:t xml:space="preserve"> emitir un concepto con respecto a la </w:t>
      </w:r>
      <w:r w:rsidR="00D44791" w:rsidRPr="0042283A">
        <w:rPr>
          <w:rFonts w:ascii="Arial" w:hAnsi="Arial" w:cs="Arial"/>
          <w:color w:val="000000" w:themeColor="text1"/>
          <w:sz w:val="21"/>
          <w:szCs w:val="21"/>
          <w:lang w:val="es-ES_tradnl"/>
        </w:rPr>
        <w:t>interpretación</w:t>
      </w:r>
      <w:r w:rsidR="00605712" w:rsidRPr="0042283A">
        <w:rPr>
          <w:rFonts w:ascii="Arial" w:hAnsi="Arial" w:cs="Arial"/>
          <w:color w:val="000000" w:themeColor="text1"/>
          <w:sz w:val="21"/>
          <w:szCs w:val="21"/>
          <w:lang w:val="es-ES_tradnl"/>
        </w:rPr>
        <w:t xml:space="preserve"> del numeral 4 del </w:t>
      </w:r>
      <w:r w:rsidR="00D44791" w:rsidRPr="0042283A">
        <w:rPr>
          <w:rFonts w:ascii="Arial" w:hAnsi="Arial" w:cs="Arial"/>
          <w:color w:val="000000" w:themeColor="text1"/>
          <w:sz w:val="21"/>
          <w:szCs w:val="21"/>
          <w:lang w:val="es-ES_tradnl"/>
        </w:rPr>
        <w:t>artículo</w:t>
      </w:r>
      <w:r w:rsidR="00605712" w:rsidRPr="0042283A">
        <w:rPr>
          <w:rFonts w:ascii="Arial" w:hAnsi="Arial" w:cs="Arial"/>
          <w:color w:val="000000" w:themeColor="text1"/>
          <w:sz w:val="21"/>
          <w:szCs w:val="21"/>
          <w:lang w:val="es-ES_tradnl"/>
        </w:rPr>
        <w:t xml:space="preserve"> 1 del Decreto 399 de 2021 y</w:t>
      </w:r>
      <w:r w:rsidR="00D44791" w:rsidRPr="0042283A">
        <w:rPr>
          <w:rFonts w:ascii="Arial" w:hAnsi="Arial" w:cs="Arial"/>
          <w:color w:val="000000" w:themeColor="text1"/>
          <w:sz w:val="21"/>
          <w:szCs w:val="21"/>
          <w:lang w:val="es-ES_tradnl"/>
        </w:rPr>
        <w:t xml:space="preserve">, así </w:t>
      </w:r>
      <w:r w:rsidR="00605712" w:rsidRPr="0042283A">
        <w:rPr>
          <w:rFonts w:ascii="Arial" w:hAnsi="Arial" w:cs="Arial"/>
          <w:color w:val="000000" w:themeColor="text1"/>
          <w:sz w:val="21"/>
          <w:szCs w:val="21"/>
          <w:lang w:val="es-ES_tradnl"/>
        </w:rPr>
        <w:t xml:space="preserve">mismo indicar, de forma general, el nivel de detalle con el cual una entidad del estado debe publicar las variables empleadas para el </w:t>
      </w:r>
      <w:r w:rsidR="008B4E4C" w:rsidRPr="0042283A">
        <w:rPr>
          <w:rFonts w:ascii="Arial" w:hAnsi="Arial" w:cs="Arial"/>
          <w:color w:val="000000" w:themeColor="text1"/>
          <w:sz w:val="21"/>
          <w:szCs w:val="21"/>
          <w:lang w:val="es-ES_tradnl"/>
        </w:rPr>
        <w:t>cálculo</w:t>
      </w:r>
      <w:r w:rsidR="00605712" w:rsidRPr="0042283A">
        <w:rPr>
          <w:rFonts w:ascii="Arial" w:hAnsi="Arial" w:cs="Arial"/>
          <w:color w:val="000000" w:themeColor="text1"/>
          <w:sz w:val="21"/>
          <w:szCs w:val="21"/>
          <w:lang w:val="es-ES_tradnl"/>
        </w:rPr>
        <w:t xml:space="preserve"> del </w:t>
      </w:r>
      <w:r w:rsidR="008B4E4C" w:rsidRPr="0042283A">
        <w:rPr>
          <w:rFonts w:ascii="Arial" w:hAnsi="Arial" w:cs="Arial"/>
          <w:color w:val="000000" w:themeColor="text1"/>
          <w:sz w:val="21"/>
          <w:szCs w:val="21"/>
          <w:lang w:val="es-ES_tradnl"/>
        </w:rPr>
        <w:t xml:space="preserve">presupuesto </w:t>
      </w:r>
      <w:r w:rsidR="00605712" w:rsidRPr="0042283A">
        <w:rPr>
          <w:rFonts w:ascii="Arial" w:hAnsi="Arial" w:cs="Arial"/>
          <w:color w:val="000000" w:themeColor="text1"/>
          <w:sz w:val="21"/>
          <w:szCs w:val="21"/>
          <w:lang w:val="es-ES_tradnl"/>
        </w:rPr>
        <w:t xml:space="preserve">de un proceso de </w:t>
      </w:r>
      <w:r w:rsidR="008B4E4C" w:rsidRPr="0042283A">
        <w:rPr>
          <w:rFonts w:ascii="Arial" w:hAnsi="Arial" w:cs="Arial"/>
          <w:color w:val="000000" w:themeColor="text1"/>
          <w:sz w:val="21"/>
          <w:szCs w:val="21"/>
          <w:lang w:val="es-ES_tradnl"/>
        </w:rPr>
        <w:t>contratación</w:t>
      </w:r>
      <w:r w:rsidR="00605712" w:rsidRPr="0042283A">
        <w:rPr>
          <w:rFonts w:ascii="Arial" w:hAnsi="Arial" w:cs="Arial"/>
          <w:color w:val="000000" w:themeColor="text1"/>
          <w:sz w:val="21"/>
          <w:szCs w:val="21"/>
          <w:lang w:val="es-ES_tradnl"/>
        </w:rPr>
        <w:t xml:space="preserve"> de servicios de </w:t>
      </w:r>
      <w:r w:rsidR="008B4E4C" w:rsidRPr="0042283A">
        <w:rPr>
          <w:rFonts w:ascii="Arial" w:hAnsi="Arial" w:cs="Arial"/>
          <w:color w:val="000000" w:themeColor="text1"/>
          <w:sz w:val="21"/>
          <w:szCs w:val="21"/>
          <w:lang w:val="es-ES_tradnl"/>
        </w:rPr>
        <w:t>consultoría</w:t>
      </w:r>
      <w:r w:rsidR="00285600" w:rsidRPr="0042283A">
        <w:rPr>
          <w:rFonts w:ascii="Arial" w:hAnsi="Arial" w:cs="Arial"/>
          <w:color w:val="000000" w:themeColor="text1"/>
          <w:sz w:val="21"/>
          <w:szCs w:val="21"/>
          <w:lang w:val="es-ES_tradnl"/>
        </w:rPr>
        <w:t>».</w:t>
      </w:r>
    </w:p>
    <w:p w14:paraId="1A8AEF4C" w14:textId="77777777" w:rsidR="007E0373" w:rsidRPr="0042283A" w:rsidRDefault="007E0373" w:rsidP="00B24358">
      <w:pPr>
        <w:ind w:right="709"/>
        <w:jc w:val="both"/>
        <w:rPr>
          <w:rFonts w:ascii="Arial" w:hAnsi="Arial" w:cs="Arial"/>
          <w:color w:val="000000" w:themeColor="text1"/>
          <w:sz w:val="21"/>
          <w:szCs w:val="21"/>
          <w:lang w:val="es-ES_tradnl"/>
        </w:rPr>
      </w:pPr>
    </w:p>
    <w:p w14:paraId="124D2DCA" w14:textId="77777777" w:rsidR="00DD5B04" w:rsidRPr="0042283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2283A">
        <w:rPr>
          <w:rFonts w:ascii="Arial" w:eastAsia="Calibri" w:hAnsi="Arial" w:cs="Arial"/>
          <w:b/>
          <w:color w:val="000000" w:themeColor="text1"/>
          <w:sz w:val="22"/>
          <w:lang w:val="es-ES_tradnl"/>
        </w:rPr>
        <w:t>Consideraciones</w:t>
      </w:r>
    </w:p>
    <w:p w14:paraId="7D050D2E" w14:textId="35C0C6F2" w:rsidR="00435703" w:rsidRPr="0042283A" w:rsidRDefault="00435703" w:rsidP="00DF76A2">
      <w:pPr>
        <w:spacing w:line="276" w:lineRule="auto"/>
        <w:jc w:val="both"/>
        <w:rPr>
          <w:rFonts w:ascii="Arial" w:eastAsia="Calibri" w:hAnsi="Arial" w:cs="Arial"/>
          <w:color w:val="000000" w:themeColor="text1"/>
          <w:sz w:val="22"/>
          <w:szCs w:val="22"/>
          <w:lang w:val="es-ES_tradnl"/>
        </w:rPr>
      </w:pPr>
    </w:p>
    <w:p w14:paraId="058E2BA9" w14:textId="77777777" w:rsidR="00D169D8" w:rsidRPr="0042283A" w:rsidRDefault="00D169D8" w:rsidP="00D169D8">
      <w:pPr>
        <w:spacing w:after="120" w:line="276" w:lineRule="auto"/>
        <w:jc w:val="both"/>
        <w:rPr>
          <w:rFonts w:ascii="Arial" w:hAnsi="Arial" w:cs="Arial"/>
          <w:bCs/>
          <w:sz w:val="22"/>
        </w:rPr>
      </w:pPr>
      <w:r w:rsidRPr="0042283A">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42283A">
        <w:rPr>
          <w:rFonts w:ascii="Arial" w:hAnsi="Arial" w:cs="Arial"/>
          <w:bCs/>
          <w:sz w:val="22"/>
        </w:rPr>
        <w:t xml:space="preserve"> </w:t>
      </w:r>
      <w:r w:rsidRPr="0042283A">
        <w:rPr>
          <w:rFonts w:ascii="Arial" w:hAnsi="Arial" w:cs="Arial"/>
          <w:sz w:val="22"/>
          <w:lang w:val="es-ES"/>
        </w:rPr>
        <w:t xml:space="preserve">Es necesario tener en cuenta que </w:t>
      </w:r>
      <w:bookmarkStart w:id="4" w:name="_Hlk61026958"/>
      <w:r w:rsidRPr="0042283A">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2283A">
        <w:rPr>
          <w:rFonts w:ascii="Arial" w:hAnsi="Arial" w:cs="Arial"/>
          <w:bCs/>
          <w:sz w:val="22"/>
        </w:rPr>
        <w:t xml:space="preserve"> de todos los partícipes de la contratación estatal.</w:t>
      </w:r>
    </w:p>
    <w:p w14:paraId="10D48FA7" w14:textId="3A4B1A04" w:rsidR="00D169D8" w:rsidRPr="0042283A" w:rsidRDefault="00D169D8" w:rsidP="00D169D8">
      <w:pPr>
        <w:spacing w:after="120" w:line="276" w:lineRule="auto"/>
        <w:ind w:firstLine="708"/>
        <w:jc w:val="both"/>
        <w:rPr>
          <w:rFonts w:ascii="Arial" w:hAnsi="Arial" w:cs="Arial"/>
          <w:sz w:val="22"/>
          <w:lang w:val="es-ES"/>
        </w:rPr>
      </w:pPr>
      <w:r w:rsidRPr="0042283A">
        <w:rPr>
          <w:rFonts w:ascii="Arial" w:hAnsi="Arial" w:cs="Arial"/>
          <w:sz w:val="22"/>
          <w:lang w:val="es-ES"/>
        </w:rPr>
        <w:t xml:space="preserve">La competencia de esta entidad se fija con límites claros, con el objeto de evitar que la Agencia actúe como una instancia de validación de las actuaciones de las entidades </w:t>
      </w:r>
      <w:r w:rsidRPr="0042283A">
        <w:rPr>
          <w:rFonts w:ascii="Arial" w:hAnsi="Arial" w:cs="Arial"/>
          <w:sz w:val="22"/>
          <w:lang w:val="es-ES"/>
        </w:rPr>
        <w:lastRenderedPageBreak/>
        <w:t>sujetas a la Ley 80 de 1993 o de los demás participantes de la contratación pública</w:t>
      </w:r>
      <w:r w:rsidRPr="0042283A">
        <w:rPr>
          <w:rFonts w:ascii="Arial" w:hAnsi="Arial" w:cs="Arial"/>
          <w:sz w:val="22"/>
          <w:vertAlign w:val="superscript"/>
          <w:lang w:val="es-ES"/>
        </w:rPr>
        <w:footnoteReference w:id="2"/>
      </w:r>
      <w:r w:rsidRPr="0042283A">
        <w:rPr>
          <w:rFonts w:ascii="Arial" w:hAnsi="Arial" w:cs="Arial"/>
          <w:sz w:val="22"/>
          <w:lang w:val="es-ES"/>
        </w:rPr>
        <w:t>. Esta competencia de interpretación de normas generales, por definición, no puede extenderse a la resolución de controversias, ni a brindar asesorías sobre casos puntuales.</w:t>
      </w:r>
      <w:bookmarkEnd w:id="4"/>
      <w:r w:rsidRPr="0042283A">
        <w:rPr>
          <w:rFonts w:ascii="Arial" w:hAnsi="Arial" w:cs="Arial"/>
          <w:sz w:val="22"/>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2"/>
      <w:bookmarkEnd w:id="3"/>
      <w:r w:rsidRPr="0042283A">
        <w:rPr>
          <w:rFonts w:ascii="Arial" w:eastAsia="Calibri" w:hAnsi="Arial" w:cs="Arial"/>
          <w:color w:val="000000" w:themeColor="text1"/>
          <w:sz w:val="22"/>
        </w:rPr>
        <w:t xml:space="preserve">Sin perjuicio de lo anterior, </w:t>
      </w:r>
      <w:r w:rsidRPr="0042283A">
        <w:rPr>
          <w:rFonts w:ascii="Arial" w:eastAsia="Calibri" w:hAnsi="Arial" w:cs="Arial"/>
          <w:color w:val="000000" w:themeColor="text1"/>
          <w:sz w:val="22"/>
          <w:lang w:val="es-ES"/>
        </w:rPr>
        <w:t>la Subdirección</w:t>
      </w:r>
      <w:r w:rsidR="00085E95" w:rsidRPr="0042283A">
        <w:rPr>
          <w:rFonts w:ascii="Arial" w:eastAsia="Calibri" w:hAnsi="Arial" w:cs="Arial"/>
          <w:color w:val="000000" w:themeColor="text1"/>
          <w:sz w:val="22"/>
          <w:lang w:val="es-ES"/>
        </w:rPr>
        <w:t>,</w:t>
      </w:r>
      <w:r w:rsidRPr="0042283A">
        <w:rPr>
          <w:rFonts w:ascii="Arial" w:eastAsia="Calibri" w:hAnsi="Arial" w:cs="Arial"/>
          <w:color w:val="000000" w:themeColor="text1"/>
          <w:sz w:val="22"/>
          <w:lang w:val="es-ES"/>
        </w:rPr>
        <w:t xml:space="preserve"> dentro de los límites de sus atribuciones </w:t>
      </w:r>
      <w:r w:rsidR="00085E95" w:rsidRPr="0042283A">
        <w:rPr>
          <w:rFonts w:ascii="Arial" w:eastAsia="Calibri" w:hAnsi="Arial" w:cs="Arial"/>
          <w:color w:val="000000" w:themeColor="text1"/>
          <w:sz w:val="22"/>
          <w:lang w:val="es-ES"/>
        </w:rPr>
        <w:t>–</w:t>
      </w:r>
      <w:r w:rsidRPr="0042283A">
        <w:rPr>
          <w:rFonts w:ascii="Arial" w:eastAsia="Calibri" w:hAnsi="Arial" w:cs="Arial"/>
          <w:color w:val="000000" w:themeColor="text1"/>
          <w:sz w:val="22"/>
          <w:lang w:val="es-ES"/>
        </w:rPr>
        <w:t xml:space="preserve">esto es, </w:t>
      </w:r>
      <w:bookmarkStart w:id="5" w:name="_Hlk61025408"/>
      <w:r w:rsidRPr="0042283A">
        <w:rPr>
          <w:rFonts w:ascii="Arial" w:eastAsia="Calibri" w:hAnsi="Arial" w:cs="Arial"/>
          <w:color w:val="000000" w:themeColor="text1"/>
          <w:sz w:val="22"/>
          <w:lang w:val="es-ES"/>
        </w:rPr>
        <w:t>haciendo abstracción del caso particular</w:t>
      </w:r>
      <w:r w:rsidR="00C47D0D" w:rsidRPr="0042283A">
        <w:rPr>
          <w:rFonts w:ascii="Arial" w:eastAsia="Calibri" w:hAnsi="Arial" w:cs="Arial"/>
          <w:color w:val="000000" w:themeColor="text1"/>
          <w:sz w:val="22"/>
          <w:lang w:val="es-ES"/>
        </w:rPr>
        <w:t xml:space="preserve"> hipotético</w:t>
      </w:r>
      <w:r w:rsidRPr="0042283A">
        <w:rPr>
          <w:rFonts w:ascii="Arial" w:eastAsia="Calibri" w:hAnsi="Arial" w:cs="Arial"/>
          <w:color w:val="000000" w:themeColor="text1"/>
          <w:sz w:val="22"/>
          <w:lang w:val="es-ES"/>
        </w:rPr>
        <w:t xml:space="preserve"> expuesto por el peticionario</w:t>
      </w:r>
      <w:bookmarkEnd w:id="5"/>
      <w:r w:rsidRPr="0042283A">
        <w:rPr>
          <w:rFonts w:ascii="Arial" w:eastAsia="Calibri" w:hAnsi="Arial" w:cs="Arial"/>
          <w:color w:val="000000" w:themeColor="text1"/>
          <w:sz w:val="22"/>
          <w:lang w:val="es-ES"/>
        </w:rPr>
        <w:t>–</w:t>
      </w:r>
      <w:r w:rsidR="00085E95" w:rsidRPr="0042283A">
        <w:rPr>
          <w:rFonts w:ascii="Arial" w:eastAsia="Calibri" w:hAnsi="Arial" w:cs="Arial"/>
          <w:color w:val="000000" w:themeColor="text1"/>
          <w:sz w:val="22"/>
          <w:lang w:val="es-ES"/>
        </w:rPr>
        <w:t>,</w:t>
      </w:r>
      <w:r w:rsidRPr="0042283A">
        <w:rPr>
          <w:rFonts w:ascii="Arial" w:eastAsia="Calibri" w:hAnsi="Arial" w:cs="Arial"/>
          <w:color w:val="000000" w:themeColor="text1"/>
          <w:sz w:val="22"/>
          <w:lang w:val="es-ES"/>
        </w:rPr>
        <w:t xml:space="preserve"> resolverá la consulta conforme a las normas generales en materia de contratación estatal.</w:t>
      </w:r>
    </w:p>
    <w:p w14:paraId="39560D03" w14:textId="50EBBA1D" w:rsidR="006B68CB" w:rsidRPr="0042283A" w:rsidRDefault="00C47D0D" w:rsidP="00D169D8">
      <w:pPr>
        <w:spacing w:after="120" w:line="276" w:lineRule="auto"/>
        <w:ind w:firstLine="708"/>
        <w:jc w:val="both"/>
        <w:rPr>
          <w:rFonts w:ascii="Arial" w:hAnsi="Arial" w:cs="Arial"/>
          <w:sz w:val="22"/>
          <w:lang w:val="es-ES"/>
        </w:rPr>
      </w:pPr>
      <w:r w:rsidRPr="0042283A">
        <w:rPr>
          <w:rFonts w:ascii="Arial" w:eastAsia="Calibri" w:hAnsi="Arial" w:cs="Arial"/>
          <w:color w:val="000000" w:themeColor="text1"/>
          <w:sz w:val="22"/>
          <w:szCs w:val="22"/>
          <w:lang w:val="es-ES_tradnl"/>
        </w:rPr>
        <w:t>En tal sentido,</w:t>
      </w:r>
      <w:r w:rsidR="00271230" w:rsidRPr="0042283A">
        <w:rPr>
          <w:rFonts w:ascii="Arial" w:eastAsia="Calibri" w:hAnsi="Arial" w:cs="Arial"/>
          <w:color w:val="000000" w:themeColor="text1"/>
          <w:sz w:val="22"/>
          <w:szCs w:val="22"/>
          <w:lang w:val="es-ES_tradnl"/>
        </w:rPr>
        <w:t xml:space="preserve"> </w:t>
      </w:r>
      <w:r w:rsidRPr="0042283A">
        <w:rPr>
          <w:rFonts w:ascii="Arial" w:eastAsia="Calibri" w:hAnsi="Arial" w:cs="Arial"/>
          <w:color w:val="000000" w:themeColor="text1"/>
          <w:sz w:val="22"/>
          <w:szCs w:val="22"/>
          <w:lang w:val="es-ES_tradnl"/>
        </w:rPr>
        <w:t xml:space="preserve">se analizarán </w:t>
      </w:r>
      <w:r w:rsidR="00271230" w:rsidRPr="0042283A">
        <w:rPr>
          <w:rFonts w:ascii="Arial" w:eastAsia="Calibri" w:hAnsi="Arial" w:cs="Arial"/>
          <w:color w:val="000000" w:themeColor="text1"/>
          <w:sz w:val="22"/>
          <w:szCs w:val="22"/>
          <w:lang w:val="es-ES_tradnl"/>
        </w:rPr>
        <w:t>los</w:t>
      </w:r>
      <w:r w:rsidR="00822EC4" w:rsidRPr="0042283A">
        <w:rPr>
          <w:rFonts w:ascii="Arial" w:eastAsia="Calibri" w:hAnsi="Arial" w:cs="Arial"/>
          <w:color w:val="000000" w:themeColor="text1"/>
          <w:sz w:val="22"/>
          <w:szCs w:val="22"/>
          <w:lang w:val="es-ES_tradnl"/>
        </w:rPr>
        <w:t xml:space="preserve"> siguientes temas: </w:t>
      </w:r>
      <w:r w:rsidR="00D93049" w:rsidRPr="0042283A">
        <w:rPr>
          <w:rFonts w:ascii="Arial" w:eastAsia="Calibri" w:hAnsi="Arial" w:cs="Arial"/>
          <w:color w:val="000000" w:themeColor="text1"/>
          <w:sz w:val="22"/>
          <w:szCs w:val="22"/>
          <w:lang w:val="es-ES_tradnl"/>
        </w:rPr>
        <w:t xml:space="preserve">i) </w:t>
      </w:r>
      <w:r w:rsidR="00123BBD" w:rsidRPr="0042283A">
        <w:rPr>
          <w:rFonts w:ascii="Arial" w:eastAsia="Calibri" w:hAnsi="Arial" w:cs="Arial"/>
          <w:color w:val="000000" w:themeColor="text1"/>
          <w:sz w:val="22"/>
          <w:szCs w:val="22"/>
          <w:lang w:val="es-ES_tradnl"/>
        </w:rPr>
        <w:t>procedimiento del concurso de méritos después de los autos de suspensión provisional del Consejo de Estado</w:t>
      </w:r>
      <w:r w:rsidR="005940D4" w:rsidRPr="0042283A">
        <w:rPr>
          <w:rFonts w:ascii="Arial" w:eastAsia="Calibri" w:hAnsi="Arial" w:cs="Arial"/>
          <w:color w:val="000000" w:themeColor="text1"/>
          <w:sz w:val="22"/>
          <w:szCs w:val="22"/>
          <w:lang w:val="es-ES_tradnl"/>
        </w:rPr>
        <w:t xml:space="preserve">, </w:t>
      </w:r>
      <w:r w:rsidR="00123BBD" w:rsidRPr="0042283A">
        <w:rPr>
          <w:rFonts w:ascii="Arial" w:eastAsia="Calibri" w:hAnsi="Arial" w:cs="Arial"/>
          <w:color w:val="000000" w:themeColor="text1"/>
          <w:sz w:val="22"/>
          <w:szCs w:val="22"/>
          <w:lang w:val="es-ES_tradnl"/>
        </w:rPr>
        <w:t xml:space="preserve">ii) </w:t>
      </w:r>
      <w:r w:rsidR="00AD7773" w:rsidRPr="0042283A">
        <w:rPr>
          <w:rFonts w:ascii="Arial" w:eastAsia="Calibri" w:hAnsi="Arial" w:cs="Arial"/>
          <w:color w:val="000000" w:themeColor="text1"/>
          <w:sz w:val="22"/>
          <w:szCs w:val="22"/>
          <w:lang w:val="es-ES_tradnl"/>
        </w:rPr>
        <w:t>reglamentación</w:t>
      </w:r>
      <w:r w:rsidR="0002702E" w:rsidRPr="0042283A">
        <w:rPr>
          <w:rFonts w:ascii="Arial" w:eastAsia="Calibri" w:hAnsi="Arial" w:cs="Arial"/>
          <w:color w:val="000000" w:themeColor="text1"/>
          <w:sz w:val="22"/>
          <w:szCs w:val="22"/>
          <w:lang w:val="es-ES_tradnl"/>
        </w:rPr>
        <w:t xml:space="preserve"> </w:t>
      </w:r>
      <w:r w:rsidR="00755D8C" w:rsidRPr="0042283A">
        <w:rPr>
          <w:rFonts w:ascii="Arial" w:eastAsia="Calibri" w:hAnsi="Arial" w:cs="Arial"/>
          <w:color w:val="000000" w:themeColor="text1"/>
          <w:sz w:val="22"/>
          <w:szCs w:val="22"/>
          <w:lang w:val="es-ES_tradnl"/>
        </w:rPr>
        <w:t>de esta modalidad de selección</w:t>
      </w:r>
      <w:r w:rsidR="00273A94" w:rsidRPr="0042283A">
        <w:rPr>
          <w:rFonts w:ascii="Arial" w:eastAsia="Calibri" w:hAnsi="Arial" w:cs="Arial"/>
          <w:color w:val="000000" w:themeColor="text1"/>
          <w:sz w:val="22"/>
          <w:szCs w:val="22"/>
          <w:lang w:val="es-ES_tradnl"/>
        </w:rPr>
        <w:t xml:space="preserve"> </w:t>
      </w:r>
      <w:r w:rsidR="00AD7773" w:rsidRPr="0042283A">
        <w:rPr>
          <w:rFonts w:ascii="Arial" w:eastAsia="Calibri" w:hAnsi="Arial" w:cs="Arial"/>
          <w:color w:val="000000" w:themeColor="text1"/>
          <w:sz w:val="22"/>
          <w:szCs w:val="22"/>
          <w:lang w:val="es-ES_tradnl"/>
        </w:rPr>
        <w:t xml:space="preserve">en el Decreto </w:t>
      </w:r>
      <w:r w:rsidR="00E57D8F" w:rsidRPr="0042283A">
        <w:rPr>
          <w:rFonts w:ascii="Arial" w:eastAsia="Calibri" w:hAnsi="Arial" w:cs="Arial"/>
          <w:color w:val="000000" w:themeColor="text1"/>
          <w:sz w:val="22"/>
          <w:szCs w:val="22"/>
          <w:lang w:val="es-ES_tradnl"/>
        </w:rPr>
        <w:t>399 de 2021</w:t>
      </w:r>
      <w:r w:rsidR="005940D4" w:rsidRPr="0042283A">
        <w:rPr>
          <w:rFonts w:ascii="Arial" w:eastAsia="Calibri" w:hAnsi="Arial" w:cs="Arial"/>
          <w:color w:val="000000" w:themeColor="text1"/>
          <w:sz w:val="22"/>
          <w:szCs w:val="22"/>
          <w:lang w:val="es-ES_tradnl"/>
        </w:rPr>
        <w:t xml:space="preserve"> y ii</w:t>
      </w:r>
      <w:r w:rsidR="007A5F83" w:rsidRPr="0042283A">
        <w:rPr>
          <w:rFonts w:ascii="Arial" w:eastAsia="Calibri" w:hAnsi="Arial" w:cs="Arial"/>
          <w:color w:val="000000" w:themeColor="text1"/>
          <w:sz w:val="22"/>
          <w:szCs w:val="22"/>
          <w:lang w:val="es-ES_tradnl"/>
        </w:rPr>
        <w:t>i</w:t>
      </w:r>
      <w:r w:rsidR="005940D4" w:rsidRPr="0042283A">
        <w:rPr>
          <w:rFonts w:ascii="Arial" w:eastAsia="Calibri" w:hAnsi="Arial" w:cs="Arial"/>
          <w:color w:val="000000" w:themeColor="text1"/>
          <w:sz w:val="22"/>
          <w:szCs w:val="22"/>
          <w:lang w:val="es-ES_tradnl"/>
        </w:rPr>
        <w:t xml:space="preserve">) </w:t>
      </w:r>
      <w:r w:rsidR="00282C98" w:rsidRPr="0042283A">
        <w:rPr>
          <w:rFonts w:ascii="Arial" w:eastAsia="Calibri" w:hAnsi="Arial" w:cs="Arial"/>
          <w:color w:val="000000" w:themeColor="text1"/>
          <w:sz w:val="22"/>
          <w:szCs w:val="22"/>
          <w:lang w:val="es-ES_tradnl"/>
        </w:rPr>
        <w:t>alcance de</w:t>
      </w:r>
      <w:r w:rsidR="003935A0" w:rsidRPr="0042283A">
        <w:rPr>
          <w:rFonts w:ascii="Arial" w:eastAsia="Calibri" w:hAnsi="Arial" w:cs="Arial"/>
          <w:color w:val="000000" w:themeColor="text1"/>
          <w:sz w:val="22"/>
          <w:szCs w:val="22"/>
          <w:lang w:val="es-ES_tradnl"/>
        </w:rPr>
        <w:t xml:space="preserve">l deber de </w:t>
      </w:r>
      <w:r w:rsidR="00E83A90" w:rsidRPr="0042283A">
        <w:rPr>
          <w:rFonts w:ascii="Arial" w:eastAsia="Calibri" w:hAnsi="Arial" w:cs="Arial"/>
          <w:color w:val="000000" w:themeColor="text1"/>
          <w:sz w:val="22"/>
          <w:szCs w:val="22"/>
          <w:lang w:val="es-ES_tradnl"/>
        </w:rPr>
        <w:t>incluir, en los estudios previos, la forma como se calcularon</w:t>
      </w:r>
      <w:r w:rsidR="0057230B" w:rsidRPr="0042283A">
        <w:rPr>
          <w:rFonts w:ascii="Arial" w:eastAsia="Calibri" w:hAnsi="Arial" w:cs="Arial"/>
          <w:color w:val="000000" w:themeColor="text1"/>
          <w:sz w:val="22"/>
          <w:szCs w:val="22"/>
          <w:lang w:val="es-ES_tradnl"/>
        </w:rPr>
        <w:t xml:space="preserve"> los precios unitarios, consagrado en el artículo 1, numeral 4, del Decreto 399 de 2021.</w:t>
      </w:r>
    </w:p>
    <w:p w14:paraId="62DB6C04" w14:textId="6E31EA4F" w:rsidR="00105EF9" w:rsidRPr="0042283A" w:rsidRDefault="00EC1DAE" w:rsidP="00FD5DFD">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szCs w:val="22"/>
          <w:lang w:val="es-ES_tradnl"/>
        </w:rPr>
        <w:t>E</w:t>
      </w:r>
      <w:r w:rsidR="00C8331F" w:rsidRPr="0042283A">
        <w:rPr>
          <w:rFonts w:ascii="Arial" w:eastAsia="Calibri" w:hAnsi="Arial" w:cs="Arial"/>
          <w:color w:val="000000" w:themeColor="text1"/>
          <w:sz w:val="22"/>
          <w:szCs w:val="22"/>
          <w:lang w:val="es-ES_tradnl"/>
        </w:rPr>
        <w:t>s importante destacar que la Agencia Nacional de Contratación Pública</w:t>
      </w:r>
      <w:r w:rsidRPr="0042283A">
        <w:rPr>
          <w:rFonts w:ascii="Arial" w:eastAsia="Calibri" w:hAnsi="Arial" w:cs="Arial"/>
          <w:color w:val="000000" w:themeColor="text1"/>
          <w:sz w:val="22"/>
          <w:szCs w:val="22"/>
          <w:lang w:val="es-ES_tradnl"/>
        </w:rPr>
        <w:t xml:space="preserve"> – Colombia Compra Eficiente </w:t>
      </w:r>
      <w:r w:rsidR="005D6573" w:rsidRPr="0042283A">
        <w:rPr>
          <w:rFonts w:ascii="Arial" w:eastAsia="Calibri" w:hAnsi="Arial" w:cs="Arial"/>
          <w:color w:val="000000" w:themeColor="text1"/>
          <w:sz w:val="22"/>
          <w:lang w:val="es-ES_tradnl"/>
        </w:rPr>
        <w:t xml:space="preserve">expidió los </w:t>
      </w:r>
      <w:r w:rsidR="00332386" w:rsidRPr="0042283A">
        <w:rPr>
          <w:rFonts w:ascii="Arial" w:eastAsia="Calibri" w:hAnsi="Arial" w:cs="Arial"/>
          <w:color w:val="000000" w:themeColor="text1"/>
          <w:sz w:val="22"/>
          <w:lang w:val="es-ES_tradnl"/>
        </w:rPr>
        <w:t>c</w:t>
      </w:r>
      <w:r w:rsidR="005D6573" w:rsidRPr="0042283A">
        <w:rPr>
          <w:rFonts w:ascii="Arial" w:eastAsia="Calibri" w:hAnsi="Arial" w:cs="Arial"/>
          <w:color w:val="000000" w:themeColor="text1"/>
          <w:sz w:val="22"/>
          <w:lang w:val="es-ES_tradnl"/>
        </w:rPr>
        <w:t xml:space="preserve">onceptos </w:t>
      </w:r>
      <w:r w:rsidR="00874B90" w:rsidRPr="0042283A">
        <w:rPr>
          <w:rFonts w:ascii="Arial" w:eastAsia="Calibri" w:hAnsi="Arial" w:cs="Arial"/>
          <w:color w:val="000000" w:themeColor="text1"/>
          <w:sz w:val="22"/>
          <w:lang w:val="es-ES_tradnl"/>
        </w:rPr>
        <w:t xml:space="preserve">C-124 del 25 de marzo de 2020, </w:t>
      </w:r>
      <w:r w:rsidR="005D6573" w:rsidRPr="0042283A">
        <w:rPr>
          <w:rFonts w:ascii="Arial" w:eastAsia="Calibri" w:hAnsi="Arial" w:cs="Arial"/>
          <w:color w:val="000000" w:themeColor="text1"/>
          <w:sz w:val="22"/>
          <w:lang w:val="es-ES_tradnl"/>
        </w:rPr>
        <w:t>C-406 y C-477 del 13 de julio de 2020</w:t>
      </w:r>
      <w:r w:rsidR="00085E95" w:rsidRPr="0042283A">
        <w:rPr>
          <w:rFonts w:ascii="Arial" w:eastAsia="Calibri" w:hAnsi="Arial" w:cs="Arial"/>
          <w:color w:val="000000" w:themeColor="text1"/>
          <w:sz w:val="22"/>
          <w:lang w:val="es-ES_tradnl"/>
        </w:rPr>
        <w:t>,</w:t>
      </w:r>
      <w:r w:rsidR="005D6573" w:rsidRPr="0042283A">
        <w:rPr>
          <w:rFonts w:ascii="Arial" w:eastAsia="Calibri" w:hAnsi="Arial" w:cs="Arial"/>
          <w:color w:val="000000" w:themeColor="text1"/>
          <w:sz w:val="22"/>
          <w:lang w:val="es-ES_tradnl"/>
        </w:rPr>
        <w:t xml:space="preserve"> C-612 del 2 de octubre de 2020</w:t>
      </w:r>
      <w:r w:rsidR="00113E22" w:rsidRPr="0042283A">
        <w:rPr>
          <w:rFonts w:ascii="Arial" w:eastAsia="Calibri" w:hAnsi="Arial" w:cs="Arial"/>
          <w:color w:val="000000" w:themeColor="text1"/>
          <w:sz w:val="22"/>
          <w:lang w:val="es-ES_tradnl"/>
        </w:rPr>
        <w:t xml:space="preserve"> y </w:t>
      </w:r>
      <w:r w:rsidR="00874B90" w:rsidRPr="0042283A">
        <w:rPr>
          <w:rFonts w:ascii="Arial" w:eastAsia="Calibri" w:hAnsi="Arial" w:cs="Arial"/>
          <w:color w:val="000000" w:themeColor="text1"/>
          <w:sz w:val="22"/>
          <w:lang w:val="es-ES_tradnl"/>
        </w:rPr>
        <w:t>C-761 del 5 de enero de 2021,</w:t>
      </w:r>
      <w:r w:rsidR="005D6573" w:rsidRPr="0042283A">
        <w:rPr>
          <w:rFonts w:ascii="Arial" w:eastAsia="Calibri" w:hAnsi="Arial" w:cs="Arial"/>
          <w:color w:val="000000" w:themeColor="text1"/>
          <w:sz w:val="22"/>
          <w:lang w:val="es-ES_tradnl"/>
        </w:rPr>
        <w:t xml:space="preserve"> </w:t>
      </w:r>
      <w:r w:rsidR="00874B90" w:rsidRPr="0042283A">
        <w:rPr>
          <w:rFonts w:ascii="Arial" w:eastAsia="Calibri" w:hAnsi="Arial" w:cs="Arial"/>
          <w:color w:val="000000" w:themeColor="text1"/>
          <w:sz w:val="22"/>
          <w:lang w:val="es-ES_tradnl"/>
        </w:rPr>
        <w:t>en los cuales analizó la forma como se debe desarrollar el concurso de méritos, luego de los pronunciamientos del Consejo de Estado que suspendieron provisionalmente algunos</w:t>
      </w:r>
      <w:r w:rsidR="00D309A0" w:rsidRPr="0042283A">
        <w:rPr>
          <w:rFonts w:ascii="Arial" w:eastAsia="Calibri" w:hAnsi="Arial" w:cs="Arial"/>
          <w:color w:val="000000" w:themeColor="text1"/>
          <w:sz w:val="22"/>
          <w:lang w:val="es-ES_tradnl"/>
        </w:rPr>
        <w:t xml:space="preserve"> numerales del artículo </w:t>
      </w:r>
      <w:r w:rsidR="00C36FEA" w:rsidRPr="0042283A">
        <w:rPr>
          <w:rFonts w:ascii="Arial" w:eastAsia="Calibri" w:hAnsi="Arial" w:cs="Arial"/>
          <w:color w:val="000000" w:themeColor="text1"/>
          <w:sz w:val="22"/>
          <w:lang w:val="es-ES_tradnl"/>
        </w:rPr>
        <w:t>2.2.1.2.1.3.2. del Decreto 1082 de 2015</w:t>
      </w:r>
      <w:r w:rsidR="00FD5DFD" w:rsidRPr="0042283A">
        <w:rPr>
          <w:rFonts w:ascii="Arial" w:eastAsia="Calibri" w:hAnsi="Arial" w:cs="Arial"/>
          <w:color w:val="000000" w:themeColor="text1"/>
          <w:sz w:val="22"/>
          <w:lang w:val="es-ES_tradnl"/>
        </w:rPr>
        <w:t>.</w:t>
      </w:r>
      <w:r w:rsidR="00713ECF" w:rsidRPr="0042283A">
        <w:rPr>
          <w:rFonts w:ascii="Arial" w:eastAsia="Calibri" w:hAnsi="Arial" w:cs="Arial"/>
          <w:color w:val="000000" w:themeColor="text1"/>
          <w:sz w:val="22"/>
          <w:lang w:val="es-ES_tradnl"/>
        </w:rPr>
        <w:t xml:space="preserve"> </w:t>
      </w:r>
      <w:r w:rsidR="00105EF9" w:rsidRPr="0042283A">
        <w:rPr>
          <w:rFonts w:ascii="Arial" w:eastAsia="Calibri" w:hAnsi="Arial" w:cs="Arial"/>
          <w:color w:val="000000" w:themeColor="text1"/>
          <w:sz w:val="22"/>
          <w:szCs w:val="22"/>
          <w:lang w:val="es-ES_tradnl"/>
        </w:rPr>
        <w:t>Algunas de las consideraciones de estos conceptos se reiteran a continuación.</w:t>
      </w:r>
    </w:p>
    <w:p w14:paraId="331D0ECA" w14:textId="3305F48F" w:rsidR="003C4317" w:rsidRPr="0042283A" w:rsidRDefault="003C4317" w:rsidP="00271230">
      <w:pPr>
        <w:spacing w:line="276" w:lineRule="auto"/>
        <w:jc w:val="both"/>
        <w:rPr>
          <w:rFonts w:ascii="Arial" w:eastAsia="Calibri" w:hAnsi="Arial" w:cs="Arial"/>
          <w:color w:val="000000" w:themeColor="text1"/>
          <w:sz w:val="22"/>
          <w:szCs w:val="22"/>
          <w:lang w:val="es-ES_tradnl"/>
        </w:rPr>
      </w:pPr>
    </w:p>
    <w:p w14:paraId="0B0B37D0" w14:textId="3CBF1EBE" w:rsidR="00942641" w:rsidRPr="0042283A" w:rsidRDefault="00942641" w:rsidP="00942641">
      <w:pPr>
        <w:spacing w:line="276" w:lineRule="auto"/>
        <w:jc w:val="both"/>
        <w:rPr>
          <w:rFonts w:ascii="Arial" w:eastAsia="Calibri" w:hAnsi="Arial" w:cs="Arial"/>
          <w:b/>
          <w:bCs/>
          <w:color w:val="000000" w:themeColor="text1"/>
          <w:sz w:val="22"/>
          <w:lang w:val="es-ES_tradnl"/>
        </w:rPr>
      </w:pPr>
      <w:r w:rsidRPr="0042283A">
        <w:rPr>
          <w:rFonts w:ascii="Arial" w:eastAsia="Calibri" w:hAnsi="Arial" w:cs="Arial"/>
          <w:b/>
          <w:bCs/>
          <w:color w:val="000000" w:themeColor="text1"/>
          <w:sz w:val="22"/>
          <w:lang w:val="es-ES_tradnl"/>
        </w:rPr>
        <w:t>2.1. Procedimiento del concurso de méritos después de los autos de suspensión provisional del Consejo de Estado</w:t>
      </w:r>
    </w:p>
    <w:p w14:paraId="4868DB03" w14:textId="77777777" w:rsidR="00942641" w:rsidRPr="0042283A" w:rsidRDefault="00942641" w:rsidP="00942641">
      <w:pPr>
        <w:spacing w:line="276" w:lineRule="auto"/>
        <w:jc w:val="both"/>
        <w:rPr>
          <w:rFonts w:ascii="Arial" w:eastAsia="Calibri" w:hAnsi="Arial" w:cs="Arial"/>
          <w:b/>
          <w:bCs/>
          <w:color w:val="000000" w:themeColor="text1"/>
          <w:sz w:val="22"/>
          <w:lang w:val="es-ES_tradnl"/>
        </w:rPr>
      </w:pPr>
    </w:p>
    <w:p w14:paraId="79A6E19F" w14:textId="77777777" w:rsidR="00942641" w:rsidRPr="0042283A" w:rsidRDefault="00942641" w:rsidP="00942641">
      <w:pPr>
        <w:spacing w:line="276" w:lineRule="auto"/>
        <w:jc w:val="both"/>
        <w:rPr>
          <w:rFonts w:ascii="Arial" w:hAnsi="Arial" w:cs="Arial"/>
          <w:color w:val="000000" w:themeColor="text1"/>
          <w:sz w:val="22"/>
          <w:lang w:val="es-ES_tradnl"/>
        </w:rPr>
      </w:pPr>
      <w:r w:rsidRPr="0042283A">
        <w:rPr>
          <w:rFonts w:ascii="Arial" w:hAnsi="Arial" w:cs="Arial"/>
          <w:color w:val="000000" w:themeColor="text1"/>
          <w:sz w:val="22"/>
          <w:lang w:val="es-ES_tradnl"/>
        </w:rPr>
        <w:t xml:space="preserve">El </w:t>
      </w:r>
      <w:r w:rsidRPr="0042283A">
        <w:rPr>
          <w:rFonts w:ascii="Arial" w:hAnsi="Arial" w:cs="Arial"/>
          <w:i/>
          <w:iCs/>
          <w:color w:val="000000" w:themeColor="text1"/>
          <w:sz w:val="22"/>
          <w:lang w:val="es-ES_tradnl"/>
        </w:rPr>
        <w:t xml:space="preserve">concurso de méritos </w:t>
      </w:r>
      <w:r w:rsidRPr="0042283A">
        <w:rPr>
          <w:rFonts w:ascii="Arial" w:hAnsi="Arial" w:cs="Arial"/>
          <w:color w:val="000000" w:themeColor="text1"/>
          <w:sz w:val="22"/>
          <w:lang w:val="es-ES_tradnl"/>
        </w:rPr>
        <w:t xml:space="preserve">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w:t>
      </w:r>
      <w:r w:rsidRPr="0042283A">
        <w:rPr>
          <w:rFonts w:ascii="Arial" w:hAnsi="Arial" w:cs="Arial"/>
          <w:color w:val="000000" w:themeColor="text1"/>
          <w:sz w:val="22"/>
          <w:lang w:val="es-ES_tradnl"/>
        </w:rPr>
        <w:lastRenderedPageBreak/>
        <w:t>específicos, así como a las asesorías técnicas de coordinación, control y supervisión», según lo dispuesto en el artículo 32, numeral 2, de la Ley 80 de 1993.</w:t>
      </w:r>
    </w:p>
    <w:p w14:paraId="122A814F" w14:textId="09369DA9" w:rsidR="00942641" w:rsidRPr="0042283A" w:rsidRDefault="00942641" w:rsidP="00942641">
      <w:pPr>
        <w:spacing w:before="120" w:line="276" w:lineRule="auto"/>
        <w:ind w:firstLine="708"/>
        <w:jc w:val="both"/>
        <w:rPr>
          <w:rFonts w:ascii="Arial" w:hAnsi="Arial" w:cs="Arial"/>
          <w:color w:val="000000" w:themeColor="text1"/>
          <w:sz w:val="22"/>
          <w:lang w:val="es-ES_tradnl"/>
        </w:rPr>
      </w:pPr>
      <w:r w:rsidRPr="0042283A">
        <w:rPr>
          <w:rFonts w:ascii="Arial" w:hAnsi="Arial" w:cs="Arial"/>
          <w:color w:val="000000" w:themeColor="text1"/>
          <w:sz w:val="22"/>
          <w:lang w:val="es-ES_tradnl"/>
        </w:rPr>
        <w:t>El Libro 2, Parte 2, Título 1, Capítulo 2, Sección 1, Subsección 3 del Decreto 1082 de 2015</w:t>
      </w:r>
      <w:r w:rsidR="00F81100" w:rsidRPr="0042283A">
        <w:rPr>
          <w:rFonts w:ascii="Arial" w:hAnsi="Arial" w:cs="Arial"/>
          <w:color w:val="000000" w:themeColor="text1"/>
          <w:sz w:val="22"/>
          <w:lang w:val="es-ES_tradnl"/>
        </w:rPr>
        <w:t>,</w:t>
      </w:r>
      <w:r w:rsidRPr="0042283A">
        <w:rPr>
          <w:rFonts w:ascii="Arial" w:hAnsi="Arial" w:cs="Arial"/>
          <w:color w:val="000000" w:themeColor="text1"/>
          <w:sz w:val="22"/>
          <w:lang w:val="es-ES_tradnl"/>
        </w:rPr>
        <w:t xml:space="preserve"> regula </w:t>
      </w:r>
      <w:r w:rsidR="00515625" w:rsidRPr="0042283A">
        <w:rPr>
          <w:rFonts w:ascii="Arial" w:hAnsi="Arial" w:cs="Arial"/>
          <w:color w:val="000000" w:themeColor="text1"/>
          <w:sz w:val="22"/>
          <w:lang w:val="es-ES_tradnl"/>
        </w:rPr>
        <w:t>las distintas modalidades d</w:t>
      </w:r>
      <w:r w:rsidRPr="0042283A">
        <w:rPr>
          <w:rFonts w:ascii="Arial" w:hAnsi="Arial" w:cs="Arial"/>
          <w:color w:val="000000" w:themeColor="text1"/>
          <w:sz w:val="22"/>
          <w:lang w:val="es-ES_tradnl"/>
        </w:rPr>
        <w:t xml:space="preserve">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42283A">
        <w:rPr>
          <w:rFonts w:ascii="Arial" w:hAnsi="Arial" w:cs="Arial"/>
          <w:i/>
          <w:iCs/>
          <w:color w:val="000000" w:themeColor="text1"/>
          <w:sz w:val="22"/>
          <w:lang w:val="es-ES_tradnl"/>
        </w:rPr>
        <w:t>ibídem</w:t>
      </w:r>
      <w:r w:rsidRPr="0042283A">
        <w:rPr>
          <w:rFonts w:ascii="Arial" w:hAnsi="Arial" w:cs="Arial"/>
          <w:color w:val="000000" w:themeColor="text1"/>
          <w:sz w:val="22"/>
          <w:lang w:val="es-ES_tradnl"/>
        </w:rPr>
        <w:t xml:space="preserve">. El segundo, además de los dos artículos anteriores, lo regulan los artículos 2.2.1.2.1.3.3. a 2.2.1.2.1.3.7. </w:t>
      </w:r>
      <w:proofErr w:type="spellStart"/>
      <w:r w:rsidRPr="0042283A">
        <w:rPr>
          <w:rFonts w:ascii="Arial" w:hAnsi="Arial" w:cs="Arial"/>
          <w:i/>
          <w:iCs/>
          <w:color w:val="000000" w:themeColor="text1"/>
          <w:sz w:val="22"/>
          <w:lang w:val="es-ES_tradnl"/>
        </w:rPr>
        <w:t>ejusdem</w:t>
      </w:r>
      <w:proofErr w:type="spellEnd"/>
      <w:r w:rsidRPr="0042283A">
        <w:rPr>
          <w:rFonts w:ascii="Arial" w:hAnsi="Arial" w:cs="Arial"/>
          <w:color w:val="000000" w:themeColor="text1"/>
          <w:sz w:val="22"/>
          <w:lang w:val="es-ES_tradnl"/>
        </w:rPr>
        <w:t>. El tercero lo regulan los artículos 2.2.1.2.1.3.8. a 2.2.1.2.1.3.25. del mencionado Decreto.</w:t>
      </w:r>
    </w:p>
    <w:p w14:paraId="03AF6096" w14:textId="2C09A0BA" w:rsidR="00942641" w:rsidRPr="0042283A" w:rsidRDefault="00942641" w:rsidP="00942641">
      <w:pPr>
        <w:spacing w:before="120" w:line="276" w:lineRule="auto"/>
        <w:ind w:firstLine="708"/>
        <w:jc w:val="both"/>
        <w:rPr>
          <w:rFonts w:ascii="Arial" w:hAnsi="Arial" w:cs="Arial"/>
          <w:color w:val="000000" w:themeColor="text1"/>
          <w:sz w:val="22"/>
          <w:lang w:val="es-ES_tradnl"/>
        </w:rPr>
      </w:pPr>
      <w:r w:rsidRPr="0042283A">
        <w:rPr>
          <w:rFonts w:ascii="Arial" w:hAnsi="Arial" w:cs="Arial"/>
          <w:color w:val="000000" w:themeColor="text1"/>
          <w:sz w:val="22"/>
          <w:lang w:val="es-ES_tradnl"/>
        </w:rPr>
        <w:t xml:space="preserve">Ahora bien, </w:t>
      </w:r>
      <w:bookmarkStart w:id="6" w:name="_Hlk43918348"/>
      <w:r w:rsidRPr="0042283A">
        <w:rPr>
          <w:rFonts w:ascii="Arial" w:hAnsi="Arial" w:cs="Arial"/>
          <w:color w:val="000000" w:themeColor="text1"/>
          <w:sz w:val="22"/>
          <w:lang w:val="es-ES_tradnl"/>
        </w:rPr>
        <w:t>la Sección Tercera del Consejo de Estado, en autos del 25 de julio de 2018</w:t>
      </w:r>
      <w:r w:rsidRPr="0042283A">
        <w:rPr>
          <w:rStyle w:val="Refdenotaalpie"/>
          <w:rFonts w:ascii="Arial" w:hAnsi="Arial" w:cs="Arial"/>
          <w:color w:val="000000" w:themeColor="text1"/>
          <w:sz w:val="22"/>
          <w:lang w:val="es-ES_tradnl"/>
        </w:rPr>
        <w:footnoteReference w:id="3"/>
      </w:r>
      <w:r w:rsidRPr="0042283A">
        <w:rPr>
          <w:rFonts w:ascii="Arial" w:hAnsi="Arial" w:cs="Arial"/>
          <w:color w:val="000000" w:themeColor="text1"/>
          <w:sz w:val="22"/>
          <w:lang w:val="es-ES_tradnl"/>
        </w:rPr>
        <w:t xml:space="preserve"> y del 20 de febrero de 2019</w:t>
      </w:r>
      <w:r w:rsidRPr="0042283A">
        <w:rPr>
          <w:rStyle w:val="Refdenotaalpie"/>
          <w:rFonts w:ascii="Arial" w:hAnsi="Arial" w:cs="Arial"/>
          <w:color w:val="000000" w:themeColor="text1"/>
          <w:sz w:val="22"/>
          <w:lang w:val="es-ES_tradnl"/>
        </w:rPr>
        <w:footnoteReference w:id="4"/>
      </w:r>
      <w:r w:rsidRPr="0042283A">
        <w:rPr>
          <w:rFonts w:ascii="Arial" w:hAnsi="Arial" w:cs="Arial"/>
          <w:color w:val="000000" w:themeColor="text1"/>
          <w:sz w:val="22"/>
          <w:lang w:val="es-ES_tradnl"/>
        </w:rPr>
        <w:t>, suspendió provisionalmente, por un lado, el numeral 6 del artículo 2.2.1.2.1.3.2. del Decreto 1082 de 2015 y, por el otro, los numerales 3, 4 y 5 de la misma disposición. Las normas suspendidas regula</w:t>
      </w:r>
      <w:r w:rsidR="009B7FFD" w:rsidRPr="0042283A">
        <w:rPr>
          <w:rFonts w:ascii="Arial" w:hAnsi="Arial" w:cs="Arial"/>
          <w:color w:val="000000" w:themeColor="text1"/>
          <w:sz w:val="22"/>
          <w:lang w:val="es-ES_tradnl"/>
        </w:rPr>
        <w:t>ba</w:t>
      </w:r>
      <w:r w:rsidRPr="0042283A">
        <w:rPr>
          <w:rFonts w:ascii="Arial" w:hAnsi="Arial" w:cs="Arial"/>
          <w:color w:val="000000" w:themeColor="text1"/>
          <w:sz w:val="22"/>
          <w:lang w:val="es-ES_tradnl"/>
        </w:rPr>
        <w:t>n el concurso de méritos abierto o sin precalificación</w:t>
      </w:r>
      <w:bookmarkEnd w:id="6"/>
      <w:r w:rsidR="00085E95" w:rsidRPr="0042283A">
        <w:rPr>
          <w:rFonts w:ascii="Arial" w:hAnsi="Arial" w:cs="Arial"/>
          <w:color w:val="000000" w:themeColor="text1"/>
          <w:sz w:val="22"/>
          <w:lang w:val="es-ES_tradnl"/>
        </w:rPr>
        <w:t>. Además, se precisa que dichas disposiciones fueron posteriormente modificadas por el Decreto 399 del de 2021, al que se hará referencia más adelante</w:t>
      </w:r>
      <w:r w:rsidRPr="0042283A">
        <w:rPr>
          <w:rFonts w:ascii="Arial" w:hAnsi="Arial" w:cs="Arial"/>
          <w:color w:val="000000" w:themeColor="text1"/>
          <w:sz w:val="22"/>
          <w:lang w:val="es-ES_tradnl"/>
        </w:rPr>
        <w:t xml:space="preserve">. El texto de estos numerales </w:t>
      </w:r>
      <w:r w:rsidR="009B7FFD" w:rsidRPr="0042283A">
        <w:rPr>
          <w:rFonts w:ascii="Arial" w:hAnsi="Arial" w:cs="Arial"/>
          <w:color w:val="000000" w:themeColor="text1"/>
          <w:sz w:val="22"/>
          <w:lang w:val="es-ES_tradnl"/>
        </w:rPr>
        <w:t>disponía</w:t>
      </w:r>
      <w:r w:rsidRPr="0042283A">
        <w:rPr>
          <w:rFonts w:ascii="Arial" w:hAnsi="Arial" w:cs="Arial"/>
          <w:color w:val="000000" w:themeColor="text1"/>
          <w:sz w:val="22"/>
          <w:lang w:val="es-ES_tradnl"/>
        </w:rPr>
        <w:t xml:space="preserve"> lo siguiente: </w:t>
      </w:r>
    </w:p>
    <w:p w14:paraId="7A190666" w14:textId="77777777" w:rsidR="00942641" w:rsidRPr="0042283A" w:rsidRDefault="00942641" w:rsidP="00942641">
      <w:pPr>
        <w:pStyle w:val="Sinespaciado"/>
        <w:spacing w:line="276" w:lineRule="auto"/>
        <w:jc w:val="both"/>
        <w:rPr>
          <w:rFonts w:ascii="Arial" w:hAnsi="Arial" w:cs="Arial"/>
          <w:color w:val="000000" w:themeColor="text1"/>
          <w:lang w:val="es-ES_tradnl"/>
        </w:rPr>
      </w:pPr>
    </w:p>
    <w:p w14:paraId="2D1761D4" w14:textId="77777777" w:rsidR="00942641" w:rsidRPr="0042283A" w:rsidRDefault="00942641" w:rsidP="00942641">
      <w:pPr>
        <w:pStyle w:val="Sinespaciado"/>
        <w:spacing w:after="120"/>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7510D5B5" w14:textId="77777777" w:rsidR="00942641" w:rsidRPr="0042283A" w:rsidRDefault="00942641" w:rsidP="00942641">
      <w:pPr>
        <w:pStyle w:val="Sinespaciado"/>
        <w:spacing w:after="120"/>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21E37CD6" w14:textId="77777777" w:rsidR="00942641" w:rsidRPr="0042283A" w:rsidRDefault="00942641" w:rsidP="00942641">
      <w:pPr>
        <w:pStyle w:val="Sinespaciado"/>
        <w:spacing w:after="120"/>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2. La Entidad Estatal debe publicar durante tres (3) días hábiles el informe de evaluación, el cual debe contener la calificación técnica y el orden de elegibilidad.</w:t>
      </w:r>
    </w:p>
    <w:p w14:paraId="2F38EFCA" w14:textId="77777777" w:rsidR="00942641" w:rsidRPr="0042283A" w:rsidRDefault="00942641" w:rsidP="00942641">
      <w:pPr>
        <w:pStyle w:val="Sinespaciado"/>
        <w:spacing w:after="120"/>
        <w:ind w:left="709" w:right="709"/>
        <w:jc w:val="both"/>
        <w:rPr>
          <w:rFonts w:ascii="Arial" w:hAnsi="Arial" w:cs="Arial"/>
          <w:i/>
          <w:color w:val="000000" w:themeColor="text1"/>
          <w:sz w:val="21"/>
          <w:szCs w:val="21"/>
          <w:lang w:val="es-ES_tradnl"/>
        </w:rPr>
      </w:pPr>
      <w:r w:rsidRPr="0042283A">
        <w:rPr>
          <w:rFonts w:ascii="Arial" w:hAnsi="Arial" w:cs="Arial"/>
          <w:i/>
          <w:color w:val="000000" w:themeColor="text1"/>
          <w:sz w:val="21"/>
          <w:szCs w:val="21"/>
          <w:lang w:val="es-ES_tradnl"/>
        </w:rPr>
        <w:t>3. La Entidad Estatal debe revisar la oferta económica y verificar que está en el rango del valor estimado consignado en los documentos y estudios previos y del presupuesto asignado para el contrato.</w:t>
      </w:r>
    </w:p>
    <w:p w14:paraId="3653EE40" w14:textId="77777777" w:rsidR="00942641" w:rsidRPr="0042283A" w:rsidRDefault="00942641" w:rsidP="00942641">
      <w:pPr>
        <w:pStyle w:val="Sinespaciado"/>
        <w:spacing w:after="120"/>
        <w:ind w:left="709" w:right="709"/>
        <w:jc w:val="both"/>
        <w:rPr>
          <w:rFonts w:ascii="Arial" w:hAnsi="Arial" w:cs="Arial"/>
          <w:i/>
          <w:color w:val="000000" w:themeColor="text1"/>
          <w:sz w:val="21"/>
          <w:szCs w:val="21"/>
          <w:lang w:val="es-ES_tradnl"/>
        </w:rPr>
      </w:pPr>
      <w:r w:rsidRPr="0042283A">
        <w:rPr>
          <w:rFonts w:ascii="Arial" w:hAnsi="Arial" w:cs="Arial"/>
          <w:i/>
          <w:color w:val="000000" w:themeColor="text1"/>
          <w:sz w:val="21"/>
          <w:szCs w:val="21"/>
          <w:lang w:val="es-ES_tradnl"/>
        </w:rPr>
        <w:t xml:space="preserve">4. La Entidad Estatal debe revisar con el oferente calificado en el primer lugar de elegibilidad la coherencia y consistencia entre: i) la necesidad identificada por la Entidad Estatal y el alcance de la oferta; ii) la </w:t>
      </w:r>
      <w:proofErr w:type="gramStart"/>
      <w:r w:rsidRPr="0042283A">
        <w:rPr>
          <w:rFonts w:ascii="Arial" w:hAnsi="Arial" w:cs="Arial"/>
          <w:i/>
          <w:color w:val="000000" w:themeColor="text1"/>
          <w:sz w:val="21"/>
          <w:szCs w:val="21"/>
          <w:lang w:val="es-ES_tradnl"/>
        </w:rPr>
        <w:t>consultoría ofrecida y el precio ofrecido</w:t>
      </w:r>
      <w:proofErr w:type="gramEnd"/>
      <w:r w:rsidRPr="0042283A">
        <w:rPr>
          <w:rFonts w:ascii="Arial" w:hAnsi="Arial" w:cs="Arial"/>
          <w:i/>
          <w:color w:val="000000" w:themeColor="text1"/>
          <w:sz w:val="21"/>
          <w:szCs w:val="21"/>
          <w:lang w:val="es-ES_tradnl"/>
        </w:rPr>
        <w:t xml:space="preserve">, y iii) el precio ofrecido y la disponibilidad presupuestal del respectivo </w:t>
      </w:r>
      <w:r w:rsidRPr="0042283A">
        <w:rPr>
          <w:rFonts w:ascii="Arial" w:hAnsi="Arial" w:cs="Arial"/>
          <w:i/>
          <w:color w:val="000000" w:themeColor="text1"/>
          <w:sz w:val="21"/>
          <w:szCs w:val="21"/>
          <w:lang w:val="es-ES_tradnl"/>
        </w:rPr>
        <w:lastRenderedPageBreak/>
        <w:t xml:space="preserve">Proceso de Contratación. Si la Entidad Estatal y el oferente llegan a un acuerdo sobre el alcance y el valor del contrato, dejarán constancia </w:t>
      </w:r>
      <w:proofErr w:type="gramStart"/>
      <w:r w:rsidRPr="0042283A">
        <w:rPr>
          <w:rFonts w:ascii="Arial" w:hAnsi="Arial" w:cs="Arial"/>
          <w:i/>
          <w:color w:val="000000" w:themeColor="text1"/>
          <w:sz w:val="21"/>
          <w:szCs w:val="21"/>
          <w:lang w:val="es-ES_tradnl"/>
        </w:rPr>
        <w:t>del mismo</w:t>
      </w:r>
      <w:proofErr w:type="gramEnd"/>
      <w:r w:rsidRPr="0042283A">
        <w:rPr>
          <w:rFonts w:ascii="Arial" w:hAnsi="Arial" w:cs="Arial"/>
          <w:i/>
          <w:color w:val="000000" w:themeColor="text1"/>
          <w:sz w:val="21"/>
          <w:szCs w:val="21"/>
          <w:lang w:val="es-ES_tradnl"/>
        </w:rPr>
        <w:t xml:space="preserve"> y firmarán el contrato.</w:t>
      </w:r>
    </w:p>
    <w:p w14:paraId="4CE7ED3C" w14:textId="77777777" w:rsidR="00942641" w:rsidRPr="0042283A" w:rsidRDefault="00942641" w:rsidP="00942641">
      <w:pPr>
        <w:pStyle w:val="Sinespaciado"/>
        <w:spacing w:after="120"/>
        <w:ind w:left="709" w:right="709"/>
        <w:jc w:val="both"/>
        <w:rPr>
          <w:rFonts w:ascii="Arial" w:hAnsi="Arial" w:cs="Arial"/>
          <w:i/>
          <w:color w:val="000000" w:themeColor="text1"/>
          <w:sz w:val="21"/>
          <w:szCs w:val="21"/>
          <w:lang w:val="es-ES_tradnl"/>
        </w:rPr>
      </w:pPr>
      <w:r w:rsidRPr="0042283A">
        <w:rPr>
          <w:rFonts w:ascii="Arial" w:hAnsi="Arial" w:cs="Arial"/>
          <w:i/>
          <w:color w:val="000000" w:themeColor="text1"/>
          <w:sz w:val="21"/>
          <w:szCs w:val="21"/>
          <w:lang w:val="es-ES_tradnl"/>
        </w:rPr>
        <w:t xml:space="preserve">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w:t>
      </w:r>
      <w:proofErr w:type="gramStart"/>
      <w:r w:rsidRPr="0042283A">
        <w:rPr>
          <w:rFonts w:ascii="Arial" w:hAnsi="Arial" w:cs="Arial"/>
          <w:i/>
          <w:color w:val="000000" w:themeColor="text1"/>
          <w:sz w:val="21"/>
          <w:szCs w:val="21"/>
          <w:lang w:val="es-ES_tradnl"/>
        </w:rPr>
        <w:t>del mismo</w:t>
      </w:r>
      <w:proofErr w:type="gramEnd"/>
      <w:r w:rsidRPr="0042283A">
        <w:rPr>
          <w:rFonts w:ascii="Arial" w:hAnsi="Arial" w:cs="Arial"/>
          <w:i/>
          <w:color w:val="000000" w:themeColor="text1"/>
          <w:sz w:val="21"/>
          <w:szCs w:val="21"/>
          <w:lang w:val="es-ES_tradnl"/>
        </w:rPr>
        <w:t xml:space="preserve"> y firmarán el contrato.</w:t>
      </w:r>
    </w:p>
    <w:p w14:paraId="7884E46B" w14:textId="77777777" w:rsidR="00942641" w:rsidRPr="0042283A" w:rsidRDefault="00942641" w:rsidP="00942641">
      <w:pPr>
        <w:pStyle w:val="Sinespaciado"/>
        <w:ind w:left="709" w:right="709"/>
        <w:jc w:val="both"/>
        <w:rPr>
          <w:rFonts w:ascii="Arial" w:hAnsi="Arial" w:cs="Arial"/>
          <w:color w:val="000000" w:themeColor="text1"/>
          <w:sz w:val="21"/>
          <w:szCs w:val="21"/>
          <w:lang w:val="es-ES_tradnl"/>
        </w:rPr>
      </w:pPr>
      <w:r w:rsidRPr="0042283A">
        <w:rPr>
          <w:rFonts w:ascii="Arial" w:hAnsi="Arial" w:cs="Arial"/>
          <w:i/>
          <w:color w:val="000000" w:themeColor="text1"/>
          <w:sz w:val="21"/>
          <w:szCs w:val="21"/>
          <w:lang w:val="es-ES_tradnl"/>
        </w:rPr>
        <w:t>6. Si la Entidad Estatal y el oferente calificado en el segundo lugar de elegibilidad no llegan a un acuerdo, la Entidad Estatal debe declarar desierto el Proceso de Contratación</w:t>
      </w:r>
      <w:r w:rsidRPr="0042283A">
        <w:rPr>
          <w:rFonts w:ascii="Arial" w:hAnsi="Arial" w:cs="Arial"/>
          <w:color w:val="000000" w:themeColor="text1"/>
          <w:sz w:val="21"/>
          <w:szCs w:val="21"/>
          <w:lang w:val="es-ES_tradnl"/>
        </w:rPr>
        <w:t>. (Énfasis fuera de texto)</w:t>
      </w:r>
    </w:p>
    <w:p w14:paraId="1D3BE3F8" w14:textId="77777777" w:rsidR="00942641" w:rsidRPr="0042283A" w:rsidRDefault="00942641" w:rsidP="00942641">
      <w:pPr>
        <w:jc w:val="both"/>
        <w:rPr>
          <w:rFonts w:ascii="Arial" w:hAnsi="Arial" w:cs="Arial"/>
          <w:color w:val="000000" w:themeColor="text1"/>
          <w:sz w:val="22"/>
          <w:lang w:val="es-ES_tradnl"/>
        </w:rPr>
      </w:pPr>
    </w:p>
    <w:p w14:paraId="1DA567C1" w14:textId="7B34B38A" w:rsidR="00942641" w:rsidRPr="0042283A" w:rsidRDefault="00942641" w:rsidP="00942641">
      <w:pPr>
        <w:spacing w:after="120" w:line="276" w:lineRule="auto"/>
        <w:ind w:firstLine="709"/>
        <w:jc w:val="both"/>
        <w:rPr>
          <w:rFonts w:ascii="Arial" w:hAnsi="Arial" w:cs="Arial"/>
          <w:color w:val="000000" w:themeColor="text1"/>
          <w:sz w:val="22"/>
          <w:lang w:val="es-ES_tradnl"/>
        </w:rPr>
      </w:pPr>
      <w:r w:rsidRPr="0042283A">
        <w:rPr>
          <w:rFonts w:ascii="Arial" w:hAnsi="Arial" w:cs="Arial"/>
          <w:color w:val="000000" w:themeColor="text1"/>
          <w:sz w:val="22"/>
          <w:lang w:val="es-ES_tradnl"/>
        </w:rPr>
        <w:t xml:space="preserve">Los citados numerales 3, 4 y 5 </w:t>
      </w:r>
      <w:r w:rsidR="00237D1D" w:rsidRPr="0042283A">
        <w:rPr>
          <w:rFonts w:ascii="Arial" w:hAnsi="Arial" w:cs="Arial"/>
          <w:color w:val="000000" w:themeColor="text1"/>
          <w:sz w:val="22"/>
          <w:lang w:val="es-ES_tradnl"/>
        </w:rPr>
        <w:t>disponían</w:t>
      </w:r>
      <w:r w:rsidRPr="0042283A">
        <w:rPr>
          <w:rFonts w:ascii="Arial" w:hAnsi="Arial" w:cs="Arial"/>
          <w:color w:val="000000" w:themeColor="text1"/>
          <w:sz w:val="22"/>
          <w:lang w:val="es-ES_tradnl"/>
        </w:rPr>
        <w:t xml:space="preserve"> la verificación del precio. Por un lado, los numerales 3 y 4 </w:t>
      </w:r>
      <w:r w:rsidR="00237D1D" w:rsidRPr="0042283A">
        <w:rPr>
          <w:rFonts w:ascii="Arial" w:hAnsi="Arial" w:cs="Arial"/>
          <w:color w:val="000000" w:themeColor="text1"/>
          <w:sz w:val="22"/>
          <w:lang w:val="es-ES_tradnl"/>
        </w:rPr>
        <w:t>exigían</w:t>
      </w:r>
      <w:r w:rsidRPr="0042283A">
        <w:rPr>
          <w:rFonts w:ascii="Arial" w:hAnsi="Arial" w:cs="Arial"/>
          <w:color w:val="000000" w:themeColor="text1"/>
          <w:sz w:val="22"/>
          <w:lang w:val="es-ES_tradnl"/>
        </w:rPr>
        <w:t xml:space="preserve"> que </w:t>
      </w:r>
      <w:r w:rsidR="00237D1D" w:rsidRPr="0042283A">
        <w:rPr>
          <w:rFonts w:ascii="Arial" w:hAnsi="Arial" w:cs="Arial"/>
          <w:color w:val="000000" w:themeColor="text1"/>
          <w:sz w:val="22"/>
          <w:lang w:val="es-ES_tradnl"/>
        </w:rPr>
        <w:t>estuviera</w:t>
      </w:r>
      <w:r w:rsidRPr="0042283A">
        <w:rPr>
          <w:rFonts w:ascii="Arial" w:hAnsi="Arial" w:cs="Arial"/>
          <w:color w:val="000000" w:themeColor="text1"/>
          <w:sz w:val="22"/>
          <w:lang w:val="es-ES_tradnl"/>
        </w:rPr>
        <w:t xml:space="preserve"> dentro del presupuesto disponible y que este aspecto </w:t>
      </w:r>
      <w:r w:rsidR="002A38C8" w:rsidRPr="0042283A">
        <w:rPr>
          <w:rFonts w:ascii="Arial" w:hAnsi="Arial" w:cs="Arial"/>
          <w:color w:val="000000" w:themeColor="text1"/>
          <w:sz w:val="22"/>
          <w:lang w:val="es-ES_tradnl"/>
        </w:rPr>
        <w:t>fuera</w:t>
      </w:r>
      <w:r w:rsidRPr="0042283A">
        <w:rPr>
          <w:rFonts w:ascii="Arial" w:hAnsi="Arial" w:cs="Arial"/>
          <w:color w:val="000000" w:themeColor="text1"/>
          <w:sz w:val="22"/>
          <w:lang w:val="es-ES_tradnl"/>
        </w:rPr>
        <w:t xml:space="preserve"> producto del acuerdo entre la entidad y el oferente calificado en primer lugar. Por otro lado, el numeral 5 </w:t>
      </w:r>
      <w:r w:rsidR="002A38C8" w:rsidRPr="0042283A">
        <w:rPr>
          <w:rFonts w:ascii="Arial" w:hAnsi="Arial" w:cs="Arial"/>
          <w:color w:val="000000" w:themeColor="text1"/>
          <w:sz w:val="22"/>
          <w:lang w:val="es-ES_tradnl"/>
        </w:rPr>
        <w:t>disponía</w:t>
      </w:r>
      <w:r w:rsidRPr="0042283A">
        <w:rPr>
          <w:rFonts w:ascii="Arial" w:hAnsi="Arial" w:cs="Arial"/>
          <w:color w:val="000000" w:themeColor="text1"/>
          <w:sz w:val="22"/>
          <w:lang w:val="es-ES_tradnl"/>
        </w:rPr>
        <w:t xml:space="preserve"> el procedimiento a seguir en el evento en que la entidad estatal y el calificado en primer orden de elegibilidad no lleg</w:t>
      </w:r>
      <w:r w:rsidR="002A38C8" w:rsidRPr="0042283A">
        <w:rPr>
          <w:rFonts w:ascii="Arial" w:hAnsi="Arial" w:cs="Arial"/>
          <w:color w:val="000000" w:themeColor="text1"/>
          <w:sz w:val="22"/>
          <w:lang w:val="es-ES_tradnl"/>
        </w:rPr>
        <w:t>aran</w:t>
      </w:r>
      <w:r w:rsidRPr="0042283A">
        <w:rPr>
          <w:rFonts w:ascii="Arial" w:hAnsi="Arial" w:cs="Arial"/>
          <w:color w:val="000000" w:themeColor="text1"/>
          <w:sz w:val="22"/>
          <w:lang w:val="es-ES_tradnl"/>
        </w:rPr>
        <w:t xml:space="preserve"> a un acuerdo sobre el precio del contrato. Además, el numeral 6 solo permit</w:t>
      </w:r>
      <w:r w:rsidR="002A38C8" w:rsidRPr="0042283A">
        <w:rPr>
          <w:rFonts w:ascii="Arial" w:hAnsi="Arial" w:cs="Arial"/>
          <w:color w:val="000000" w:themeColor="text1"/>
          <w:sz w:val="22"/>
          <w:lang w:val="es-ES_tradnl"/>
        </w:rPr>
        <w:t>ía</w:t>
      </w:r>
      <w:r w:rsidRPr="0042283A">
        <w:rPr>
          <w:rFonts w:ascii="Arial" w:hAnsi="Arial" w:cs="Arial"/>
          <w:color w:val="000000" w:themeColor="text1"/>
          <w:sz w:val="22"/>
          <w:lang w:val="es-ES_tradnl"/>
        </w:rPr>
        <w:t xml:space="preserve"> negociar el precio con el proponente que ocup</w:t>
      </w:r>
      <w:r w:rsidR="002A38C8" w:rsidRPr="0042283A">
        <w:rPr>
          <w:rFonts w:ascii="Arial" w:hAnsi="Arial" w:cs="Arial"/>
          <w:color w:val="000000" w:themeColor="text1"/>
          <w:sz w:val="22"/>
          <w:lang w:val="es-ES_tradnl"/>
        </w:rPr>
        <w:t>ara</w:t>
      </w:r>
      <w:r w:rsidRPr="0042283A">
        <w:rPr>
          <w:rFonts w:ascii="Arial" w:hAnsi="Arial" w:cs="Arial"/>
          <w:color w:val="000000" w:themeColor="text1"/>
          <w:sz w:val="22"/>
          <w:lang w:val="es-ES_tradnl"/>
        </w:rPr>
        <w:t xml:space="preserve"> e</w:t>
      </w:r>
      <w:r w:rsidR="002A38C8" w:rsidRPr="0042283A">
        <w:rPr>
          <w:rFonts w:ascii="Arial" w:hAnsi="Arial" w:cs="Arial"/>
          <w:color w:val="000000" w:themeColor="text1"/>
          <w:sz w:val="22"/>
          <w:lang w:val="es-ES_tradnl"/>
        </w:rPr>
        <w:t>l</w:t>
      </w:r>
      <w:r w:rsidRPr="0042283A">
        <w:rPr>
          <w:rFonts w:ascii="Arial" w:hAnsi="Arial" w:cs="Arial"/>
          <w:color w:val="000000" w:themeColor="text1"/>
          <w:sz w:val="22"/>
          <w:lang w:val="es-ES_tradnl"/>
        </w:rPr>
        <w:t xml:space="preserve"> segundo orden de elegibilidad, por lo </w:t>
      </w:r>
      <w:proofErr w:type="gramStart"/>
      <w:r w:rsidRPr="0042283A">
        <w:rPr>
          <w:rFonts w:ascii="Arial" w:hAnsi="Arial" w:cs="Arial"/>
          <w:color w:val="000000" w:themeColor="text1"/>
          <w:sz w:val="22"/>
          <w:lang w:val="es-ES_tradnl"/>
        </w:rPr>
        <w:t>que</w:t>
      </w:r>
      <w:proofErr w:type="gramEnd"/>
      <w:r w:rsidRPr="0042283A">
        <w:rPr>
          <w:rFonts w:ascii="Arial" w:hAnsi="Arial" w:cs="Arial"/>
          <w:color w:val="000000" w:themeColor="text1"/>
          <w:sz w:val="22"/>
          <w:lang w:val="es-ES_tradnl"/>
        </w:rPr>
        <w:t xml:space="preserve"> si no </w:t>
      </w:r>
      <w:r w:rsidR="002A38C8" w:rsidRPr="0042283A">
        <w:rPr>
          <w:rFonts w:ascii="Arial" w:hAnsi="Arial" w:cs="Arial"/>
          <w:color w:val="000000" w:themeColor="text1"/>
          <w:sz w:val="22"/>
          <w:lang w:val="es-ES_tradnl"/>
        </w:rPr>
        <w:t>era</w:t>
      </w:r>
      <w:r w:rsidRPr="0042283A">
        <w:rPr>
          <w:rFonts w:ascii="Arial" w:hAnsi="Arial" w:cs="Arial"/>
          <w:color w:val="000000" w:themeColor="text1"/>
          <w:sz w:val="22"/>
          <w:lang w:val="es-ES_tradnl"/>
        </w:rPr>
        <w:t xml:space="preserve"> posible llegar a un acuerdo con este, procedía la declaración de desierta. </w:t>
      </w:r>
    </w:p>
    <w:p w14:paraId="6D8A159A" w14:textId="7614BEC5" w:rsidR="00942641" w:rsidRPr="0042283A" w:rsidRDefault="00942641" w:rsidP="00942641">
      <w:pPr>
        <w:spacing w:after="120" w:line="276" w:lineRule="auto"/>
        <w:ind w:firstLine="709"/>
        <w:jc w:val="both"/>
        <w:rPr>
          <w:rFonts w:ascii="Arial" w:hAnsi="Arial" w:cs="Arial"/>
          <w:color w:val="000000" w:themeColor="text1"/>
          <w:sz w:val="22"/>
          <w:lang w:val="es-ES_tradnl"/>
        </w:rPr>
      </w:pPr>
      <w:bookmarkStart w:id="8" w:name="_Hlk43918393"/>
      <w:r w:rsidRPr="0042283A">
        <w:rPr>
          <w:rFonts w:ascii="Arial" w:hAnsi="Arial" w:cs="Arial"/>
          <w:color w:val="000000" w:themeColor="text1"/>
          <w:sz w:val="22"/>
          <w:lang w:val="es-ES_tradnl"/>
        </w:rPr>
        <w:t>El Consejo de Estado consider</w:t>
      </w:r>
      <w:r w:rsidR="00E1119F" w:rsidRPr="0042283A">
        <w:rPr>
          <w:rFonts w:ascii="Arial" w:hAnsi="Arial" w:cs="Arial"/>
          <w:color w:val="000000" w:themeColor="text1"/>
          <w:sz w:val="22"/>
          <w:lang w:val="es-ES_tradnl"/>
        </w:rPr>
        <w:t>ó</w:t>
      </w:r>
      <w:r w:rsidRPr="0042283A">
        <w:rPr>
          <w:rFonts w:ascii="Arial" w:hAnsi="Arial" w:cs="Arial"/>
          <w:color w:val="000000" w:themeColor="text1"/>
          <w:sz w:val="22"/>
          <w:lang w:val="es-ES_tradnl"/>
        </w:rPr>
        <w:t xml:space="preserve"> que los numerales 3, 4 y 5 violarían el artículo 5, numeral 4, último inciso, de la Ley 1150 de 2007, pues señal</w:t>
      </w:r>
      <w:r w:rsidR="00390C0B" w:rsidRPr="0042283A">
        <w:rPr>
          <w:rFonts w:ascii="Arial" w:hAnsi="Arial" w:cs="Arial"/>
          <w:color w:val="000000" w:themeColor="text1"/>
          <w:sz w:val="22"/>
          <w:lang w:val="es-ES_tradnl"/>
        </w:rPr>
        <w:t>ó</w:t>
      </w:r>
      <w:r w:rsidRPr="0042283A">
        <w:rPr>
          <w:rFonts w:ascii="Arial" w:hAnsi="Arial" w:cs="Arial"/>
          <w:color w:val="000000" w:themeColor="text1"/>
          <w:sz w:val="22"/>
          <w:lang w:val="es-ES_tradnl"/>
        </w:rPr>
        <w:t xml:space="preserve">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w:t>
      </w:r>
      <w:r w:rsidR="00F70F72" w:rsidRPr="0042283A">
        <w:rPr>
          <w:rFonts w:ascii="Arial" w:hAnsi="Arial" w:cs="Arial"/>
          <w:color w:val="000000" w:themeColor="text1"/>
          <w:sz w:val="22"/>
          <w:lang w:val="es-ES_tradnl"/>
        </w:rPr>
        <w:t xml:space="preserve">el alto tribunal </w:t>
      </w:r>
      <w:r w:rsidRPr="0042283A">
        <w:rPr>
          <w:rFonts w:ascii="Arial" w:hAnsi="Arial" w:cs="Arial"/>
          <w:color w:val="000000" w:themeColor="text1"/>
          <w:sz w:val="22"/>
          <w:lang w:val="es-ES_tradnl"/>
        </w:rPr>
        <w:t>expli</w:t>
      </w:r>
      <w:r w:rsidR="00F70F72" w:rsidRPr="0042283A">
        <w:rPr>
          <w:rFonts w:ascii="Arial" w:hAnsi="Arial" w:cs="Arial"/>
          <w:color w:val="000000" w:themeColor="text1"/>
          <w:sz w:val="22"/>
          <w:lang w:val="es-ES_tradnl"/>
        </w:rPr>
        <w:t xml:space="preserve">có </w:t>
      </w:r>
      <w:r w:rsidRPr="0042283A">
        <w:rPr>
          <w:rFonts w:ascii="Arial" w:hAnsi="Arial" w:cs="Arial"/>
          <w:color w:val="000000" w:themeColor="text1"/>
          <w:sz w:val="22"/>
          <w:lang w:val="es-ES_tradnl"/>
        </w:rPr>
        <w:t>que la verificación de la coherencia del precio con la disponibilidad presupuestal y la necesidad de que se logre un acuerdo en relación con el mismo desconoc</w:t>
      </w:r>
      <w:r w:rsidR="0023548D" w:rsidRPr="0042283A">
        <w:rPr>
          <w:rFonts w:ascii="Arial" w:hAnsi="Arial" w:cs="Arial"/>
          <w:color w:val="000000" w:themeColor="text1"/>
          <w:sz w:val="22"/>
          <w:lang w:val="es-ES_tradnl"/>
        </w:rPr>
        <w:t>ía</w:t>
      </w:r>
      <w:r w:rsidRPr="0042283A">
        <w:rPr>
          <w:rFonts w:ascii="Arial" w:hAnsi="Arial" w:cs="Arial"/>
          <w:color w:val="000000" w:themeColor="text1"/>
          <w:sz w:val="22"/>
          <w:lang w:val="es-ES_tradnl"/>
        </w:rPr>
        <w:t xml:space="preserve"> el principio de selección objetiva, convirtiendo el precio en un factor de selección</w:t>
      </w:r>
      <w:r w:rsidRPr="0042283A">
        <w:rPr>
          <w:rStyle w:val="Refdenotaalpie"/>
          <w:rFonts w:ascii="Arial" w:hAnsi="Arial" w:cs="Arial"/>
          <w:color w:val="000000" w:themeColor="text1"/>
          <w:sz w:val="22"/>
          <w:lang w:val="es-ES_tradnl"/>
        </w:rPr>
        <w:footnoteReference w:id="5"/>
      </w:r>
      <w:r w:rsidRPr="0042283A">
        <w:rPr>
          <w:rFonts w:ascii="Arial" w:hAnsi="Arial" w:cs="Arial"/>
          <w:color w:val="000000" w:themeColor="text1"/>
          <w:sz w:val="22"/>
          <w:lang w:val="es-ES_tradnl"/>
        </w:rPr>
        <w:t xml:space="preserve">. En lo que respecta al artículo 6, este violaría especialmente el artículo 25.18 del </w:t>
      </w:r>
      <w:r w:rsidRPr="0042283A">
        <w:rPr>
          <w:rFonts w:ascii="Arial" w:hAnsi="Arial" w:cs="Arial"/>
          <w:color w:val="000000" w:themeColor="text1"/>
          <w:sz w:val="22"/>
          <w:lang w:val="es-ES_tradnl"/>
        </w:rPr>
        <w:lastRenderedPageBreak/>
        <w:t>Estatuto General y el artículo 5 de la Ley 1150 de 2007, pues la declaratoria de desierta solo procede cuando no es posible la selección objetiva del contratista</w:t>
      </w:r>
      <w:bookmarkEnd w:id="8"/>
      <w:r w:rsidRPr="0042283A">
        <w:rPr>
          <w:rStyle w:val="Refdenotaalpie"/>
          <w:rFonts w:ascii="Arial" w:hAnsi="Arial" w:cs="Arial"/>
          <w:color w:val="000000" w:themeColor="text1"/>
          <w:sz w:val="22"/>
          <w:lang w:val="es-ES_tradnl"/>
        </w:rPr>
        <w:footnoteReference w:id="6"/>
      </w:r>
      <w:r w:rsidRPr="0042283A">
        <w:rPr>
          <w:rFonts w:ascii="Arial" w:hAnsi="Arial" w:cs="Arial"/>
          <w:color w:val="000000" w:themeColor="text1"/>
          <w:sz w:val="22"/>
          <w:lang w:val="es-ES_tradnl"/>
        </w:rPr>
        <w:t>.</w:t>
      </w:r>
    </w:p>
    <w:p w14:paraId="6DE39043" w14:textId="77777777" w:rsidR="00A43377" w:rsidRPr="0042283A" w:rsidRDefault="00035A1B" w:rsidP="00A43377">
      <w:pPr>
        <w:spacing w:line="276" w:lineRule="auto"/>
        <w:ind w:firstLine="709"/>
        <w:jc w:val="both"/>
        <w:rPr>
          <w:rFonts w:ascii="Arial" w:eastAsia="Calibri" w:hAnsi="Arial" w:cs="Arial"/>
          <w:color w:val="000000" w:themeColor="text1"/>
          <w:sz w:val="22"/>
          <w:lang w:val="es-ES_tradnl"/>
        </w:rPr>
      </w:pPr>
      <w:bookmarkStart w:id="9" w:name="_Hlk43916091"/>
      <w:r w:rsidRPr="0042283A">
        <w:rPr>
          <w:rFonts w:ascii="Arial" w:hAnsi="Arial" w:cs="Arial"/>
          <w:color w:val="000000" w:themeColor="text1"/>
          <w:sz w:val="22"/>
          <w:lang w:val="es-ES_tradnl"/>
        </w:rPr>
        <w:t xml:space="preserve">En consecuencia, </w:t>
      </w:r>
      <w:r w:rsidR="00942641" w:rsidRPr="0042283A">
        <w:rPr>
          <w:rFonts w:ascii="Arial" w:eastAsia="Calibri" w:hAnsi="Arial" w:cs="Arial"/>
          <w:color w:val="000000" w:themeColor="text1"/>
          <w:sz w:val="22"/>
          <w:lang w:val="es-ES_tradnl"/>
        </w:rPr>
        <w:t>con los autos de suspensión provisional</w:t>
      </w:r>
      <w:r w:rsidRPr="0042283A">
        <w:rPr>
          <w:rFonts w:ascii="Arial" w:eastAsia="Calibri" w:hAnsi="Arial" w:cs="Arial"/>
          <w:color w:val="000000" w:themeColor="text1"/>
          <w:sz w:val="22"/>
          <w:lang w:val="es-ES_tradnl"/>
        </w:rPr>
        <w:t>,</w:t>
      </w:r>
      <w:r w:rsidR="00942641" w:rsidRPr="0042283A">
        <w:rPr>
          <w:rFonts w:ascii="Arial" w:eastAsia="Calibri" w:hAnsi="Arial" w:cs="Arial"/>
          <w:color w:val="000000" w:themeColor="text1"/>
          <w:sz w:val="22"/>
          <w:lang w:val="es-ES_tradnl"/>
        </w:rPr>
        <w:t xml:space="preserve"> el concurso de méritos abierto </w:t>
      </w:r>
      <w:r w:rsidRPr="0042283A">
        <w:rPr>
          <w:rFonts w:ascii="Arial" w:eastAsia="Calibri" w:hAnsi="Arial" w:cs="Arial"/>
          <w:color w:val="000000" w:themeColor="text1"/>
          <w:sz w:val="22"/>
          <w:lang w:val="es-ES_tradnl"/>
        </w:rPr>
        <w:t>debía desarrollarse</w:t>
      </w:r>
      <w:r w:rsidR="00942641" w:rsidRPr="0042283A">
        <w:rPr>
          <w:rFonts w:ascii="Arial" w:eastAsia="Calibri" w:hAnsi="Arial" w:cs="Arial"/>
          <w:color w:val="000000" w:themeColor="text1"/>
          <w:sz w:val="22"/>
          <w:lang w:val="es-ES_tradnl"/>
        </w:rPr>
        <w:t xml:space="preserve"> aplicando únicamente los numerales 1 y 2 del</w:t>
      </w:r>
      <w:r w:rsidR="00942641" w:rsidRPr="0042283A">
        <w:rPr>
          <w:rFonts w:ascii="Arial" w:hAnsi="Arial" w:cs="Arial"/>
          <w:color w:val="000000" w:themeColor="text1"/>
          <w:sz w:val="22"/>
          <w:lang w:val="es-ES_tradnl"/>
        </w:rPr>
        <w:t xml:space="preserve"> artículo 2.2.1.2.1.3.2 del Decreto 1082 de 2015.</w:t>
      </w:r>
      <w:bookmarkStart w:id="10" w:name="_Hlk43916290"/>
      <w:bookmarkEnd w:id="9"/>
      <w:r w:rsidR="002A6CB8" w:rsidRPr="0042283A">
        <w:rPr>
          <w:rFonts w:ascii="Arial" w:hAnsi="Arial" w:cs="Arial"/>
          <w:color w:val="000000" w:themeColor="text1"/>
          <w:sz w:val="22"/>
          <w:lang w:val="es-ES_tradnl"/>
        </w:rPr>
        <w:t xml:space="preserve"> </w:t>
      </w:r>
      <w:r w:rsidR="00942641" w:rsidRPr="0042283A">
        <w:rPr>
          <w:rFonts w:ascii="Arial" w:hAnsi="Arial" w:cs="Arial"/>
          <w:color w:val="000000" w:themeColor="text1"/>
          <w:sz w:val="22"/>
          <w:lang w:val="es-ES_tradnl"/>
        </w:rPr>
        <w:t xml:space="preserve">Por lo tanto, </w:t>
      </w:r>
      <w:r w:rsidR="00942641" w:rsidRPr="0042283A">
        <w:rPr>
          <w:rFonts w:ascii="Arial" w:hAnsi="Arial" w:cs="Arial"/>
          <w:i/>
          <w:iCs/>
          <w:color w:val="000000" w:themeColor="text1"/>
          <w:sz w:val="22"/>
          <w:lang w:val="es-ES_tradnl"/>
        </w:rPr>
        <w:t xml:space="preserve">siempre que </w:t>
      </w:r>
      <w:r w:rsidR="009D0815" w:rsidRPr="0042283A">
        <w:rPr>
          <w:rFonts w:ascii="Arial" w:hAnsi="Arial" w:cs="Arial"/>
          <w:i/>
          <w:iCs/>
          <w:color w:val="000000" w:themeColor="text1"/>
          <w:sz w:val="22"/>
          <w:lang w:val="es-ES_tradnl"/>
        </w:rPr>
        <w:t>estuviera</w:t>
      </w:r>
      <w:r w:rsidR="00942641" w:rsidRPr="0042283A">
        <w:rPr>
          <w:rFonts w:ascii="Arial" w:hAnsi="Arial" w:cs="Arial"/>
          <w:i/>
          <w:iCs/>
          <w:color w:val="000000" w:themeColor="text1"/>
          <w:sz w:val="22"/>
          <w:lang w:val="es-ES_tradnl"/>
        </w:rPr>
        <w:t xml:space="preserve"> dentro del presupuesto oficial</w:t>
      </w:r>
      <w:r w:rsidR="00942641" w:rsidRPr="0042283A">
        <w:rPr>
          <w:rFonts w:ascii="Arial" w:hAnsi="Arial" w:cs="Arial"/>
          <w:color w:val="000000" w:themeColor="text1"/>
          <w:sz w:val="22"/>
          <w:lang w:val="es-ES_tradnl"/>
        </w:rPr>
        <w:t>, la entidad</w:t>
      </w:r>
      <w:r w:rsidR="009D0815" w:rsidRPr="0042283A">
        <w:rPr>
          <w:rFonts w:ascii="Arial" w:hAnsi="Arial" w:cs="Arial"/>
          <w:color w:val="000000" w:themeColor="text1"/>
          <w:sz w:val="22"/>
          <w:lang w:val="es-ES_tradnl"/>
        </w:rPr>
        <w:t xml:space="preserve"> estatal</w:t>
      </w:r>
      <w:r w:rsidR="00942641" w:rsidRPr="0042283A">
        <w:rPr>
          <w:rFonts w:ascii="Arial" w:hAnsi="Arial" w:cs="Arial"/>
          <w:color w:val="000000" w:themeColor="text1"/>
          <w:sz w:val="22"/>
          <w:lang w:val="es-ES_tradnl"/>
        </w:rPr>
        <w:t xml:space="preserve"> </w:t>
      </w:r>
      <w:r w:rsidR="009D0815" w:rsidRPr="0042283A">
        <w:rPr>
          <w:rFonts w:ascii="Arial" w:hAnsi="Arial" w:cs="Arial"/>
          <w:color w:val="000000" w:themeColor="text1"/>
          <w:sz w:val="22"/>
          <w:lang w:val="es-ES_tradnl"/>
        </w:rPr>
        <w:t>debía</w:t>
      </w:r>
      <w:r w:rsidR="00942641" w:rsidRPr="0042283A">
        <w:rPr>
          <w:rFonts w:ascii="Arial" w:hAnsi="Arial" w:cs="Arial"/>
          <w:color w:val="000000" w:themeColor="text1"/>
          <w:sz w:val="22"/>
          <w:lang w:val="es-ES_tradnl"/>
        </w:rPr>
        <w:t xml:space="preserve"> adjudicar el contrato al proponente que ocup</w:t>
      </w:r>
      <w:r w:rsidR="009D0815" w:rsidRPr="0042283A">
        <w:rPr>
          <w:rFonts w:ascii="Arial" w:hAnsi="Arial" w:cs="Arial"/>
          <w:color w:val="000000" w:themeColor="text1"/>
          <w:sz w:val="22"/>
          <w:lang w:val="es-ES_tradnl"/>
        </w:rPr>
        <w:t>ara</w:t>
      </w:r>
      <w:r w:rsidR="00942641" w:rsidRPr="0042283A">
        <w:rPr>
          <w:rFonts w:ascii="Arial" w:hAnsi="Arial" w:cs="Arial"/>
          <w:color w:val="000000" w:themeColor="text1"/>
          <w:sz w:val="22"/>
          <w:lang w:val="es-ES_tradnl"/>
        </w:rPr>
        <w:t xml:space="preserve"> el primer puesto en el orden de elegibilidad, independientemente del valor ofrecido</w:t>
      </w:r>
      <w:r w:rsidR="00942641" w:rsidRPr="0042283A">
        <w:rPr>
          <w:rFonts w:ascii="Arial" w:eastAsia="Calibri" w:hAnsi="Arial" w:cs="Arial"/>
          <w:color w:val="000000" w:themeColor="text1"/>
          <w:sz w:val="22"/>
          <w:lang w:val="es-ES_tradnl"/>
        </w:rPr>
        <w:t>.</w:t>
      </w:r>
    </w:p>
    <w:p w14:paraId="508FE583" w14:textId="77777777" w:rsidR="00A43377" w:rsidRPr="0042283A" w:rsidRDefault="00A43377" w:rsidP="00A43377">
      <w:pPr>
        <w:spacing w:line="276" w:lineRule="auto"/>
        <w:jc w:val="both"/>
        <w:rPr>
          <w:rFonts w:ascii="Arial" w:eastAsia="Calibri" w:hAnsi="Arial" w:cs="Arial"/>
          <w:b/>
          <w:bCs/>
          <w:color w:val="000000" w:themeColor="text1"/>
          <w:sz w:val="22"/>
          <w:lang w:val="es-ES_tradnl"/>
        </w:rPr>
      </w:pPr>
    </w:p>
    <w:p w14:paraId="6E39F8CE" w14:textId="096DE356" w:rsidR="00A43377" w:rsidRPr="0042283A" w:rsidRDefault="00A43377" w:rsidP="00A43377">
      <w:pPr>
        <w:spacing w:line="276" w:lineRule="auto"/>
        <w:jc w:val="both"/>
        <w:rPr>
          <w:rFonts w:ascii="Arial" w:eastAsia="Calibri" w:hAnsi="Arial" w:cs="Arial"/>
          <w:color w:val="000000" w:themeColor="text1"/>
          <w:sz w:val="22"/>
          <w:lang w:val="es-ES_tradnl"/>
        </w:rPr>
      </w:pPr>
      <w:r w:rsidRPr="0042283A">
        <w:rPr>
          <w:rFonts w:ascii="Arial" w:eastAsia="Calibri" w:hAnsi="Arial" w:cs="Arial"/>
          <w:b/>
          <w:bCs/>
          <w:color w:val="000000" w:themeColor="text1"/>
          <w:sz w:val="22"/>
          <w:lang w:val="es-ES_tradnl"/>
        </w:rPr>
        <w:t>2.2. Reglamentación del concurso de méritos</w:t>
      </w:r>
      <w:r w:rsidR="00FE1D81" w:rsidRPr="0042283A">
        <w:rPr>
          <w:rFonts w:ascii="Arial" w:eastAsia="Calibri" w:hAnsi="Arial" w:cs="Arial"/>
          <w:b/>
          <w:bCs/>
          <w:color w:val="000000" w:themeColor="text1"/>
          <w:sz w:val="22"/>
          <w:lang w:val="es-ES_tradnl"/>
        </w:rPr>
        <w:t xml:space="preserve"> abierto o con precalificación</w:t>
      </w:r>
      <w:r w:rsidRPr="0042283A">
        <w:rPr>
          <w:rFonts w:ascii="Arial" w:eastAsia="Calibri" w:hAnsi="Arial" w:cs="Arial"/>
          <w:b/>
          <w:bCs/>
          <w:color w:val="000000" w:themeColor="text1"/>
          <w:sz w:val="22"/>
          <w:lang w:val="es-ES_tradnl"/>
        </w:rPr>
        <w:t xml:space="preserve"> en el Decreto 399 de 2021</w:t>
      </w:r>
    </w:p>
    <w:p w14:paraId="5C9484F1" w14:textId="77777777" w:rsidR="00A43377" w:rsidRPr="0042283A" w:rsidRDefault="00A43377" w:rsidP="00A43377">
      <w:pPr>
        <w:spacing w:line="276" w:lineRule="auto"/>
        <w:jc w:val="both"/>
        <w:rPr>
          <w:rFonts w:ascii="Arial" w:eastAsia="Calibri" w:hAnsi="Arial" w:cs="Arial"/>
          <w:color w:val="000000" w:themeColor="text1"/>
          <w:sz w:val="22"/>
          <w:lang w:val="es-ES_tradnl"/>
        </w:rPr>
      </w:pPr>
    </w:p>
    <w:p w14:paraId="2890CFFD" w14:textId="42DE133B" w:rsidR="00DE67D2" w:rsidRPr="0042283A" w:rsidRDefault="008F462B" w:rsidP="00A43377">
      <w:pPr>
        <w:spacing w:line="276" w:lineRule="auto"/>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E</w:t>
      </w:r>
      <w:r w:rsidR="008E51C2" w:rsidRPr="0042283A">
        <w:rPr>
          <w:rFonts w:ascii="Arial" w:eastAsia="Calibri" w:hAnsi="Arial" w:cs="Arial"/>
          <w:color w:val="000000" w:themeColor="text1"/>
          <w:sz w:val="22"/>
          <w:lang w:val="es-ES_tradnl"/>
        </w:rPr>
        <w:t xml:space="preserve">l </w:t>
      </w:r>
      <w:r w:rsidR="00E068BB" w:rsidRPr="0042283A">
        <w:rPr>
          <w:rFonts w:ascii="Arial" w:eastAsia="Calibri" w:hAnsi="Arial" w:cs="Arial"/>
          <w:color w:val="000000" w:themeColor="text1"/>
          <w:sz w:val="22"/>
          <w:lang w:val="es-ES_tradnl"/>
        </w:rPr>
        <w:t xml:space="preserve">artículo 2 del </w:t>
      </w:r>
      <w:r w:rsidR="008E51C2" w:rsidRPr="0042283A">
        <w:rPr>
          <w:rFonts w:ascii="Arial" w:eastAsia="Calibri" w:hAnsi="Arial" w:cs="Arial"/>
          <w:color w:val="000000" w:themeColor="text1"/>
          <w:sz w:val="22"/>
          <w:lang w:val="es-ES_tradnl"/>
        </w:rPr>
        <w:t>Decreto 399 de 2021</w:t>
      </w:r>
      <w:r w:rsidR="00E068BB" w:rsidRPr="0042283A">
        <w:rPr>
          <w:rFonts w:ascii="Arial" w:eastAsia="Calibri" w:hAnsi="Arial" w:cs="Arial"/>
          <w:color w:val="000000" w:themeColor="text1"/>
          <w:sz w:val="22"/>
          <w:lang w:val="es-ES_tradnl"/>
        </w:rPr>
        <w:t xml:space="preserve"> modificó el artículo 2.2.1.2.1.3.2.</w:t>
      </w:r>
      <w:r w:rsidR="00E57CC5" w:rsidRPr="0042283A">
        <w:rPr>
          <w:rFonts w:ascii="Arial" w:eastAsia="Calibri" w:hAnsi="Arial" w:cs="Arial"/>
          <w:color w:val="000000" w:themeColor="text1"/>
          <w:sz w:val="22"/>
          <w:lang w:val="es-ES_tradnl"/>
        </w:rPr>
        <w:t xml:space="preserve"> del Decreto 1082 de 2015,</w:t>
      </w:r>
      <w:r w:rsidR="00DE67D2" w:rsidRPr="0042283A">
        <w:rPr>
          <w:rFonts w:ascii="Arial" w:eastAsia="Calibri" w:hAnsi="Arial" w:cs="Arial"/>
          <w:color w:val="000000" w:themeColor="text1"/>
          <w:sz w:val="22"/>
          <w:lang w:val="es-ES_tradnl"/>
        </w:rPr>
        <w:t xml:space="preserve"> en los siguientes términos:</w:t>
      </w:r>
    </w:p>
    <w:p w14:paraId="65D1A6CB" w14:textId="77777777" w:rsidR="00607460" w:rsidRPr="0042283A" w:rsidRDefault="00607460" w:rsidP="00DE67D2">
      <w:pPr>
        <w:shd w:val="clear" w:color="auto" w:fill="FFFFFF"/>
        <w:ind w:left="709" w:right="709"/>
        <w:jc w:val="both"/>
        <w:rPr>
          <w:rFonts w:ascii="Arial" w:hAnsi="Arial" w:cs="Arial"/>
          <w:color w:val="000000" w:themeColor="text1"/>
          <w:sz w:val="21"/>
          <w:szCs w:val="21"/>
          <w:lang w:val="es-ES_tradnl"/>
        </w:rPr>
      </w:pPr>
    </w:p>
    <w:p w14:paraId="71A0E597" w14:textId="00BCBF84" w:rsidR="00DE67D2" w:rsidRPr="0042283A" w:rsidRDefault="00900FC5" w:rsidP="00DE67D2">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Artículo</w:t>
      </w:r>
      <w:bookmarkStart w:id="11" w:name="2"/>
      <w:r w:rsidR="00DE67D2" w:rsidRPr="0042283A">
        <w:rPr>
          <w:rFonts w:ascii="Arial" w:hAnsi="Arial" w:cs="Arial"/>
          <w:color w:val="000000" w:themeColor="text1"/>
          <w:sz w:val="21"/>
          <w:szCs w:val="21"/>
          <w:lang w:val="es-ES_tradnl"/>
        </w:rPr>
        <w:t> </w:t>
      </w:r>
      <w:bookmarkEnd w:id="11"/>
      <w:r w:rsidR="00DE67D2" w:rsidRPr="0042283A">
        <w:rPr>
          <w:rFonts w:ascii="Arial" w:hAnsi="Arial" w:cs="Arial"/>
          <w:color w:val="000000" w:themeColor="text1"/>
          <w:sz w:val="21"/>
          <w:szCs w:val="21"/>
          <w:lang w:val="es-ES_tradnl"/>
        </w:rPr>
        <w:t>2. Modificación del artículo </w:t>
      </w:r>
      <w:hyperlink r:id="rId12" w:anchor="2.2.1.2.1.3.2" w:history="1">
        <w:r w:rsidR="00DE67D2" w:rsidRPr="0042283A">
          <w:rPr>
            <w:rStyle w:val="Hipervnculo"/>
            <w:rFonts w:ascii="Arial" w:hAnsi="Arial" w:cs="Arial"/>
            <w:color w:val="000000" w:themeColor="text1"/>
            <w:sz w:val="21"/>
            <w:szCs w:val="21"/>
            <w:u w:val="none"/>
            <w:lang w:val="es-ES_tradnl"/>
          </w:rPr>
          <w:t>2.2.1.2.1.3.2</w:t>
        </w:r>
      </w:hyperlink>
      <w:r w:rsidR="00DE67D2" w:rsidRPr="0042283A">
        <w:rPr>
          <w:rFonts w:ascii="Arial" w:hAnsi="Arial" w:cs="Arial"/>
          <w:color w:val="000000" w:themeColor="text1"/>
          <w:sz w:val="21"/>
          <w:szCs w:val="21"/>
          <w:lang w:val="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4494BB0E" w14:textId="77777777" w:rsidR="00DE67D2" w:rsidRPr="0042283A" w:rsidRDefault="00DE67D2" w:rsidP="00DE67D2">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 </w:t>
      </w:r>
    </w:p>
    <w:p w14:paraId="18D8E2D4" w14:textId="6382EC38" w:rsidR="00DE67D2" w:rsidRPr="0042283A" w:rsidRDefault="00DE67D2" w:rsidP="00DE67D2">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w:t>
      </w:r>
      <w:r w:rsidR="00900FC5" w:rsidRPr="0042283A">
        <w:rPr>
          <w:rFonts w:ascii="Arial" w:hAnsi="Arial" w:cs="Arial"/>
          <w:color w:val="000000" w:themeColor="text1"/>
          <w:sz w:val="21"/>
          <w:szCs w:val="21"/>
          <w:lang w:val="es-ES_tradnl"/>
        </w:rPr>
        <w:t>Artículo</w:t>
      </w:r>
      <w:r w:rsidRPr="0042283A">
        <w:rPr>
          <w:rFonts w:ascii="Arial" w:hAnsi="Arial" w:cs="Arial"/>
          <w:color w:val="000000" w:themeColor="text1"/>
          <w:sz w:val="21"/>
          <w:szCs w:val="21"/>
          <w:lang w:val="es-ES_tradnl"/>
        </w:rPr>
        <w:t xml:space="preserve"> 2.2.1.2.1.3.2. Procedimiento del concurso de méritos. Además de las reglas generales previstas en la ley y en el presente título, las siguientes reglas son aplicables al concurso de méritos abierto o con precalificación:</w:t>
      </w:r>
    </w:p>
    <w:p w14:paraId="53829137" w14:textId="77777777" w:rsidR="00DE67D2" w:rsidRPr="0042283A" w:rsidRDefault="00DE67D2" w:rsidP="00DE67D2">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 </w:t>
      </w:r>
    </w:p>
    <w:p w14:paraId="5309DFA5" w14:textId="77777777" w:rsidR="00DE67D2" w:rsidRPr="0042283A" w:rsidRDefault="00DE67D2" w:rsidP="00DE67D2">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del equipo de trabajo.</w:t>
      </w:r>
    </w:p>
    <w:p w14:paraId="3CD58FAA" w14:textId="77777777" w:rsidR="00DE67D2" w:rsidRPr="0042283A" w:rsidRDefault="00DE67D2" w:rsidP="00DE67D2">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 </w:t>
      </w:r>
    </w:p>
    <w:p w14:paraId="67F5349D" w14:textId="77777777" w:rsidR="00DE67D2" w:rsidRPr="0042283A" w:rsidRDefault="00DE67D2" w:rsidP="00DE67D2">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lastRenderedPageBreak/>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44F04C4B" w14:textId="77777777" w:rsidR="00DE67D2" w:rsidRPr="0042283A" w:rsidRDefault="00DE67D2" w:rsidP="00DE67D2">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 </w:t>
      </w:r>
    </w:p>
    <w:p w14:paraId="51ABAA3E" w14:textId="77777777" w:rsidR="00DE67D2" w:rsidRPr="0042283A" w:rsidRDefault="00DE67D2" w:rsidP="00DE67D2">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41AEF3ED" w14:textId="77777777" w:rsidR="00DE67D2" w:rsidRPr="0042283A" w:rsidRDefault="00DE67D2" w:rsidP="00DE67D2">
      <w:pPr>
        <w:rPr>
          <w:color w:val="000000" w:themeColor="text1"/>
          <w:lang w:val="es-ES_tradnl"/>
        </w:rPr>
      </w:pPr>
    </w:p>
    <w:p w14:paraId="1A70CA59" w14:textId="58CB88B7" w:rsidR="0013756B" w:rsidRPr="0042283A" w:rsidRDefault="0013756B" w:rsidP="0013756B">
      <w:pPr>
        <w:spacing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Como se observa,</w:t>
      </w:r>
      <w:r w:rsidR="0061163C" w:rsidRPr="0042283A">
        <w:rPr>
          <w:rFonts w:ascii="Arial" w:eastAsia="Calibri" w:hAnsi="Arial" w:cs="Arial"/>
          <w:color w:val="000000" w:themeColor="text1"/>
          <w:sz w:val="22"/>
          <w:lang w:val="es-ES_tradnl"/>
        </w:rPr>
        <w:t xml:space="preserve"> el artículo 2 del Decreto 399 de 2021</w:t>
      </w:r>
      <w:r w:rsidR="00CE026B" w:rsidRPr="0042283A">
        <w:rPr>
          <w:rFonts w:ascii="Arial" w:eastAsia="Calibri" w:hAnsi="Arial" w:cs="Arial"/>
          <w:color w:val="000000" w:themeColor="text1"/>
          <w:sz w:val="22"/>
          <w:lang w:val="es-ES_tradnl"/>
        </w:rPr>
        <w:t xml:space="preserve"> </w:t>
      </w:r>
      <w:r w:rsidR="00390C0B" w:rsidRPr="0042283A">
        <w:rPr>
          <w:rFonts w:ascii="Arial" w:eastAsia="Calibri" w:hAnsi="Arial" w:cs="Arial"/>
          <w:color w:val="000000" w:themeColor="text1"/>
          <w:sz w:val="22"/>
          <w:lang w:val="es-ES_tradnl"/>
        </w:rPr>
        <w:t>reformó</w:t>
      </w:r>
      <w:r w:rsidR="00CE026B" w:rsidRPr="0042283A">
        <w:rPr>
          <w:rFonts w:ascii="Arial" w:eastAsia="Calibri" w:hAnsi="Arial" w:cs="Arial"/>
          <w:color w:val="000000" w:themeColor="text1"/>
          <w:sz w:val="22"/>
          <w:lang w:val="es-ES_tradnl"/>
        </w:rPr>
        <w:t xml:space="preserve"> la reglamentación del concurso de méritos, para adecuarla a los pronunciamientos del Consejo de Estado que habían suspendido provisionalmente algunos numerales del artículo </w:t>
      </w:r>
      <w:r w:rsidR="00A475B4" w:rsidRPr="0042283A">
        <w:rPr>
          <w:rFonts w:ascii="Arial" w:eastAsia="Calibri" w:hAnsi="Arial" w:cs="Arial"/>
          <w:color w:val="000000" w:themeColor="text1"/>
          <w:sz w:val="22"/>
          <w:lang w:val="es-ES_tradnl"/>
        </w:rPr>
        <w:t>2.2.1.2.1.3.2. del Decreto 1082 de 2015</w:t>
      </w:r>
      <w:r w:rsidR="00A475B4" w:rsidRPr="0042283A">
        <w:rPr>
          <w:rStyle w:val="Refdenotaalpie"/>
          <w:rFonts w:ascii="Arial" w:eastAsia="Calibri" w:hAnsi="Arial" w:cs="Arial"/>
          <w:color w:val="000000" w:themeColor="text1"/>
          <w:sz w:val="22"/>
          <w:lang w:val="es-ES_tradnl"/>
        </w:rPr>
        <w:footnoteReference w:id="7"/>
      </w:r>
      <w:r w:rsidR="00022FD5" w:rsidRPr="0042283A">
        <w:rPr>
          <w:rFonts w:ascii="Arial" w:eastAsia="Calibri" w:hAnsi="Arial" w:cs="Arial"/>
          <w:color w:val="000000" w:themeColor="text1"/>
          <w:sz w:val="22"/>
          <w:lang w:val="es-ES_tradnl"/>
        </w:rPr>
        <w:t xml:space="preserve">. </w:t>
      </w:r>
      <w:r w:rsidR="00467EE3" w:rsidRPr="0042283A">
        <w:rPr>
          <w:rFonts w:ascii="Arial" w:eastAsia="Calibri" w:hAnsi="Arial" w:cs="Arial"/>
          <w:color w:val="000000" w:themeColor="text1"/>
          <w:sz w:val="22"/>
          <w:lang w:val="es-ES_tradnl"/>
        </w:rPr>
        <w:t xml:space="preserve">A diferencia de lo que establecía este artículo en su redacción inicial, con la </w:t>
      </w:r>
      <w:proofErr w:type="gramStart"/>
      <w:r w:rsidR="00DB244B" w:rsidRPr="0042283A">
        <w:rPr>
          <w:rFonts w:ascii="Arial" w:eastAsia="Calibri" w:hAnsi="Arial" w:cs="Arial"/>
          <w:color w:val="000000" w:themeColor="text1"/>
          <w:sz w:val="22"/>
          <w:lang w:val="es-ES_tradnl"/>
        </w:rPr>
        <w:t>entrada en vigencia</w:t>
      </w:r>
      <w:proofErr w:type="gramEnd"/>
      <w:r w:rsidR="00DB244B" w:rsidRPr="0042283A">
        <w:rPr>
          <w:rFonts w:ascii="Arial" w:eastAsia="Calibri" w:hAnsi="Arial" w:cs="Arial"/>
          <w:color w:val="000000" w:themeColor="text1"/>
          <w:sz w:val="22"/>
          <w:lang w:val="es-ES_tradnl"/>
        </w:rPr>
        <w:t xml:space="preserve"> del artículo 2 del Decreto 399 de 2021 se observan los siguientes cambios:</w:t>
      </w:r>
    </w:p>
    <w:p w14:paraId="69870692" w14:textId="77777777" w:rsidR="009E28B6" w:rsidRPr="0042283A" w:rsidRDefault="00DB244B" w:rsidP="00521A91">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 xml:space="preserve">i) </w:t>
      </w:r>
      <w:r w:rsidR="003B242E" w:rsidRPr="0042283A">
        <w:rPr>
          <w:rFonts w:ascii="Arial" w:eastAsia="Calibri" w:hAnsi="Arial" w:cs="Arial"/>
          <w:color w:val="000000" w:themeColor="text1"/>
          <w:sz w:val="22"/>
          <w:lang w:val="es-ES_tradnl"/>
        </w:rPr>
        <w:t>E</w:t>
      </w:r>
      <w:r w:rsidR="00521A91" w:rsidRPr="0042283A">
        <w:rPr>
          <w:rFonts w:ascii="Arial" w:eastAsia="Calibri" w:hAnsi="Arial" w:cs="Arial"/>
          <w:color w:val="000000" w:themeColor="text1"/>
          <w:sz w:val="22"/>
          <w:lang w:val="es-ES_tradnl"/>
        </w:rPr>
        <w:t xml:space="preserve">l informe de evaluación, que la entidad debe publicar </w:t>
      </w:r>
      <w:r w:rsidR="003B242E" w:rsidRPr="0042283A">
        <w:rPr>
          <w:rFonts w:ascii="Arial" w:eastAsia="Calibri" w:hAnsi="Arial" w:cs="Arial"/>
          <w:color w:val="000000" w:themeColor="text1"/>
          <w:sz w:val="22"/>
          <w:lang w:val="es-ES_tradnl"/>
        </w:rPr>
        <w:t xml:space="preserve">durante tres (3) días hábiles, debe contener ya no solamente </w:t>
      </w:r>
      <w:r w:rsidR="00AA0A87" w:rsidRPr="0042283A">
        <w:rPr>
          <w:rFonts w:ascii="Arial" w:eastAsia="Calibri" w:hAnsi="Arial" w:cs="Arial"/>
          <w:color w:val="000000" w:themeColor="text1"/>
          <w:sz w:val="22"/>
          <w:lang w:val="es-ES_tradnl"/>
        </w:rPr>
        <w:t>la calificación técnica y el orden de elegibilidad, sino «[…] la evaluación de las ofertas frente a todos los requisitos exigidos en el pliego de condiciones, incluyendo los requisitos habilitantes y los de asignación de puntaje».</w:t>
      </w:r>
      <w:r w:rsidR="009E28B6" w:rsidRPr="0042283A">
        <w:rPr>
          <w:rFonts w:ascii="Arial" w:eastAsia="Calibri" w:hAnsi="Arial" w:cs="Arial"/>
          <w:color w:val="000000" w:themeColor="text1"/>
          <w:sz w:val="22"/>
          <w:lang w:val="es-ES_tradnl"/>
        </w:rPr>
        <w:t xml:space="preserve"> Esta nueva disposición permite que los interesados ejerzan su derecho a conocer el informe de evaluación y a formular las observaciones que consideren pertinentes.</w:t>
      </w:r>
    </w:p>
    <w:p w14:paraId="2DC53642" w14:textId="614A3258" w:rsidR="00E806D9" w:rsidRPr="0042283A" w:rsidRDefault="009E28B6" w:rsidP="00521A91">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ii)</w:t>
      </w:r>
      <w:r w:rsidR="00080D30" w:rsidRPr="0042283A">
        <w:rPr>
          <w:rFonts w:ascii="Arial" w:eastAsia="Calibri" w:hAnsi="Arial" w:cs="Arial"/>
          <w:color w:val="000000" w:themeColor="text1"/>
          <w:sz w:val="22"/>
          <w:lang w:val="es-ES_tradnl"/>
        </w:rPr>
        <w:t xml:space="preserve"> A diferencia de </w:t>
      </w:r>
      <w:r w:rsidR="00D23732" w:rsidRPr="0042283A">
        <w:rPr>
          <w:rFonts w:ascii="Arial" w:eastAsia="Calibri" w:hAnsi="Arial" w:cs="Arial"/>
          <w:color w:val="000000" w:themeColor="text1"/>
          <w:sz w:val="22"/>
          <w:lang w:val="es-ES_tradnl"/>
        </w:rPr>
        <w:t xml:space="preserve">la reglamentación anterior prevista en la redacción original del artículo 2.2.1.2.1.3.2. del Decreto 1082 de 2015, </w:t>
      </w:r>
      <w:r w:rsidR="00FD16ED" w:rsidRPr="0042283A">
        <w:rPr>
          <w:rFonts w:ascii="Arial" w:eastAsia="Calibri" w:hAnsi="Arial" w:cs="Arial"/>
          <w:color w:val="000000" w:themeColor="text1"/>
          <w:sz w:val="22"/>
          <w:lang w:val="es-ES_tradnl"/>
        </w:rPr>
        <w:t>que establecía que luego de la publicación del informe de evaluación la entidad estatal debía revisar la oferta económica</w:t>
      </w:r>
      <w:r w:rsidR="003A6219" w:rsidRPr="0042283A">
        <w:rPr>
          <w:rFonts w:ascii="Arial" w:eastAsia="Calibri" w:hAnsi="Arial" w:cs="Arial"/>
          <w:color w:val="000000" w:themeColor="text1"/>
          <w:sz w:val="22"/>
          <w:lang w:val="es-ES_tradnl"/>
        </w:rPr>
        <w:t>,</w:t>
      </w:r>
      <w:r w:rsidR="00522E0D" w:rsidRPr="0042283A">
        <w:rPr>
          <w:rFonts w:ascii="Arial" w:eastAsia="Calibri" w:hAnsi="Arial" w:cs="Arial"/>
          <w:color w:val="000000" w:themeColor="text1"/>
          <w:sz w:val="22"/>
          <w:lang w:val="es-ES_tradnl"/>
        </w:rPr>
        <w:t xml:space="preserve"> para constatar su</w:t>
      </w:r>
      <w:r w:rsidR="003A6219" w:rsidRPr="0042283A">
        <w:rPr>
          <w:rFonts w:ascii="Arial" w:eastAsia="Calibri" w:hAnsi="Arial" w:cs="Arial"/>
          <w:color w:val="000000" w:themeColor="text1"/>
          <w:sz w:val="22"/>
          <w:lang w:val="es-ES_tradnl"/>
        </w:rPr>
        <w:t xml:space="preserve"> correspondencia con el presupuesto oficial, y que posteriormente debía tratar de llegar a un acuerdo</w:t>
      </w:r>
      <w:r w:rsidR="001D4874" w:rsidRPr="0042283A">
        <w:rPr>
          <w:rFonts w:ascii="Arial" w:eastAsia="Calibri" w:hAnsi="Arial" w:cs="Arial"/>
          <w:color w:val="000000" w:themeColor="text1"/>
          <w:sz w:val="22"/>
          <w:lang w:val="es-ES_tradnl"/>
        </w:rPr>
        <w:t xml:space="preserve"> con el oferente calificado en el primer lugar</w:t>
      </w:r>
      <w:r w:rsidR="00E24670" w:rsidRPr="0042283A">
        <w:rPr>
          <w:rFonts w:ascii="Arial" w:eastAsia="Calibri" w:hAnsi="Arial" w:cs="Arial"/>
          <w:color w:val="000000" w:themeColor="text1"/>
          <w:sz w:val="22"/>
          <w:lang w:val="es-ES_tradnl"/>
        </w:rPr>
        <w:t xml:space="preserve"> o, en subsidio, con el calificado en segundo </w:t>
      </w:r>
      <w:r w:rsidR="002B5DA7" w:rsidRPr="0042283A">
        <w:rPr>
          <w:rFonts w:ascii="Arial" w:eastAsia="Calibri" w:hAnsi="Arial" w:cs="Arial"/>
          <w:color w:val="000000" w:themeColor="text1"/>
          <w:sz w:val="22"/>
          <w:lang w:val="es-ES_tradnl"/>
        </w:rPr>
        <w:t>orden</w:t>
      </w:r>
      <w:r w:rsidR="001D4874" w:rsidRPr="0042283A">
        <w:rPr>
          <w:rFonts w:ascii="Arial" w:eastAsia="Calibri" w:hAnsi="Arial" w:cs="Arial"/>
          <w:color w:val="000000" w:themeColor="text1"/>
          <w:sz w:val="22"/>
          <w:lang w:val="es-ES_tradnl"/>
        </w:rPr>
        <w:t>, el artículo 2 del Decreto 399 de 2021 introduce una modificación trascendental,</w:t>
      </w:r>
      <w:r w:rsidR="008D3330" w:rsidRPr="0042283A">
        <w:rPr>
          <w:rFonts w:ascii="Arial" w:eastAsia="Calibri" w:hAnsi="Arial" w:cs="Arial"/>
          <w:color w:val="000000" w:themeColor="text1"/>
          <w:sz w:val="22"/>
          <w:lang w:val="es-ES_tradnl"/>
        </w:rPr>
        <w:t xml:space="preserve"> pues elimina estas etapas</w:t>
      </w:r>
      <w:r w:rsidR="00BB26A6" w:rsidRPr="0042283A">
        <w:rPr>
          <w:rFonts w:ascii="Arial" w:eastAsia="Calibri" w:hAnsi="Arial" w:cs="Arial"/>
          <w:color w:val="000000" w:themeColor="text1"/>
          <w:sz w:val="22"/>
          <w:lang w:val="es-ES_tradnl"/>
        </w:rPr>
        <w:t xml:space="preserve"> y señala, en su lugar, que «Una vez resueltas las observaciones al informe de evaluación, la entidad adjudicará el contrato mediante acto administrativo al oferente que haya cumplido todos los requisitos exigidos en el pliego de condiciones y haya obtenido el mayor puntaje».</w:t>
      </w:r>
      <w:r w:rsidR="00DE2E9B" w:rsidRPr="0042283A">
        <w:rPr>
          <w:rFonts w:ascii="Arial" w:eastAsia="Calibri" w:hAnsi="Arial" w:cs="Arial"/>
          <w:color w:val="000000" w:themeColor="text1"/>
          <w:sz w:val="22"/>
          <w:lang w:val="es-ES_tradnl"/>
        </w:rPr>
        <w:t xml:space="preserve"> O sea que después de </w:t>
      </w:r>
      <w:r w:rsidR="00613746" w:rsidRPr="0042283A">
        <w:rPr>
          <w:rFonts w:ascii="Arial" w:eastAsia="Calibri" w:hAnsi="Arial" w:cs="Arial"/>
          <w:color w:val="000000" w:themeColor="text1"/>
          <w:sz w:val="22"/>
          <w:lang w:val="es-ES_tradnl"/>
        </w:rPr>
        <w:t xml:space="preserve">la </w:t>
      </w:r>
      <w:r w:rsidR="00613746" w:rsidRPr="0042283A">
        <w:rPr>
          <w:rFonts w:ascii="Arial" w:eastAsia="Calibri" w:hAnsi="Arial" w:cs="Arial"/>
          <w:color w:val="000000" w:themeColor="text1"/>
          <w:sz w:val="22"/>
          <w:lang w:val="es-ES_tradnl"/>
        </w:rPr>
        <w:lastRenderedPageBreak/>
        <w:t xml:space="preserve">respuesta a las observaciones del informe de evaluación ya la entidad estatal no debe </w:t>
      </w:r>
      <w:r w:rsidR="00931165" w:rsidRPr="0042283A">
        <w:rPr>
          <w:rFonts w:ascii="Arial" w:eastAsia="Calibri" w:hAnsi="Arial" w:cs="Arial"/>
          <w:color w:val="000000" w:themeColor="text1"/>
          <w:sz w:val="22"/>
          <w:lang w:val="es-ES_tradnl"/>
        </w:rPr>
        <w:t xml:space="preserve">revisar que la oferta económica sea acorde al presupuesto oficial –pues esto lo debió hacer </w:t>
      </w:r>
      <w:r w:rsidR="009F7ED3" w:rsidRPr="0042283A">
        <w:rPr>
          <w:rFonts w:ascii="Arial" w:eastAsia="Calibri" w:hAnsi="Arial" w:cs="Arial"/>
          <w:color w:val="000000" w:themeColor="text1"/>
          <w:sz w:val="22"/>
          <w:lang w:val="es-ES_tradnl"/>
        </w:rPr>
        <w:t xml:space="preserve">para elaborar el informe de evaluación– y tampoco debe proceder con una fase de «negociación» con </w:t>
      </w:r>
      <w:r w:rsidR="00E13234" w:rsidRPr="0042283A">
        <w:rPr>
          <w:rFonts w:ascii="Arial" w:eastAsia="Calibri" w:hAnsi="Arial" w:cs="Arial"/>
          <w:color w:val="000000" w:themeColor="text1"/>
          <w:sz w:val="22"/>
          <w:lang w:val="es-ES_tradnl"/>
        </w:rPr>
        <w:t>el</w:t>
      </w:r>
      <w:r w:rsidR="009F7ED3" w:rsidRPr="0042283A">
        <w:rPr>
          <w:rFonts w:ascii="Arial" w:eastAsia="Calibri" w:hAnsi="Arial" w:cs="Arial"/>
          <w:color w:val="000000" w:themeColor="text1"/>
          <w:sz w:val="22"/>
          <w:lang w:val="es-ES_tradnl"/>
        </w:rPr>
        <w:t xml:space="preserve"> oferente calificado en primer lugar</w:t>
      </w:r>
      <w:r w:rsidR="001620B3" w:rsidRPr="0042283A">
        <w:rPr>
          <w:rFonts w:ascii="Arial" w:eastAsia="Calibri" w:hAnsi="Arial" w:cs="Arial"/>
          <w:color w:val="000000" w:themeColor="text1"/>
          <w:sz w:val="22"/>
          <w:lang w:val="es-ES_tradnl"/>
        </w:rPr>
        <w:t xml:space="preserve"> sobre el valor y alcance del contrato, sino que debe proceder a la </w:t>
      </w:r>
      <w:r w:rsidR="00E80ADE" w:rsidRPr="0042283A">
        <w:rPr>
          <w:rFonts w:ascii="Arial" w:eastAsia="Calibri" w:hAnsi="Arial" w:cs="Arial"/>
          <w:color w:val="000000" w:themeColor="text1"/>
          <w:sz w:val="22"/>
          <w:lang w:val="es-ES_tradnl"/>
        </w:rPr>
        <w:t>adjudicación a quien haya presentado objetivamente la mejor ofert</w:t>
      </w:r>
      <w:r w:rsidR="00F905BE" w:rsidRPr="0042283A">
        <w:rPr>
          <w:rFonts w:ascii="Arial" w:eastAsia="Calibri" w:hAnsi="Arial" w:cs="Arial"/>
          <w:color w:val="000000" w:themeColor="text1"/>
          <w:sz w:val="22"/>
          <w:lang w:val="es-ES_tradnl"/>
        </w:rPr>
        <w:t>a, teniendo en cuenta todos los requisitos exigidos en el pliego de condiciones.</w:t>
      </w:r>
    </w:p>
    <w:p w14:paraId="3ECD027A" w14:textId="77777777" w:rsidR="004F76BF" w:rsidRPr="0042283A" w:rsidRDefault="00E806D9" w:rsidP="004F76BF">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 xml:space="preserve">iii) </w:t>
      </w:r>
      <w:r w:rsidR="005C1D8B" w:rsidRPr="0042283A">
        <w:rPr>
          <w:rFonts w:ascii="Arial" w:eastAsia="Calibri" w:hAnsi="Arial" w:cs="Arial"/>
          <w:color w:val="000000" w:themeColor="text1"/>
          <w:sz w:val="22"/>
          <w:lang w:val="es-ES_tradnl"/>
        </w:rPr>
        <w:t>C</w:t>
      </w:r>
      <w:r w:rsidRPr="0042283A">
        <w:rPr>
          <w:rFonts w:ascii="Arial" w:eastAsia="Calibri" w:hAnsi="Arial" w:cs="Arial"/>
          <w:color w:val="000000" w:themeColor="text1"/>
          <w:sz w:val="22"/>
          <w:lang w:val="es-ES_tradnl"/>
        </w:rPr>
        <w:t>omo el nuevo artículo 2.2.1.2.1.3.2. del Decreto 1082 de 2015, modificado por el artículo 2 del Decreto 399 de 2021</w:t>
      </w:r>
      <w:r w:rsidR="005C1D8B" w:rsidRPr="0042283A">
        <w:rPr>
          <w:rFonts w:ascii="Arial" w:eastAsia="Calibri" w:hAnsi="Arial" w:cs="Arial"/>
          <w:color w:val="000000" w:themeColor="text1"/>
          <w:sz w:val="22"/>
          <w:lang w:val="es-ES_tradnl"/>
        </w:rPr>
        <w:t>,</w:t>
      </w:r>
      <w:r w:rsidRPr="0042283A">
        <w:rPr>
          <w:rFonts w:ascii="Arial" w:eastAsia="Calibri" w:hAnsi="Arial" w:cs="Arial"/>
          <w:color w:val="000000" w:themeColor="text1"/>
          <w:sz w:val="22"/>
          <w:lang w:val="es-ES_tradnl"/>
        </w:rPr>
        <w:t xml:space="preserve"> ya no establece</w:t>
      </w:r>
      <w:r w:rsidR="005C1D8B" w:rsidRPr="0042283A">
        <w:rPr>
          <w:rFonts w:ascii="Arial" w:eastAsia="Calibri" w:hAnsi="Arial" w:cs="Arial"/>
          <w:color w:val="000000" w:themeColor="text1"/>
          <w:sz w:val="22"/>
          <w:lang w:val="es-ES_tradnl"/>
        </w:rPr>
        <w:t xml:space="preserve"> </w:t>
      </w:r>
      <w:r w:rsidR="00C033EC" w:rsidRPr="0042283A">
        <w:rPr>
          <w:rFonts w:ascii="Arial" w:eastAsia="Calibri" w:hAnsi="Arial" w:cs="Arial"/>
          <w:color w:val="000000" w:themeColor="text1"/>
          <w:sz w:val="22"/>
          <w:lang w:val="es-ES_tradnl"/>
        </w:rPr>
        <w:t>una</w:t>
      </w:r>
      <w:r w:rsidR="005C1D8B" w:rsidRPr="0042283A">
        <w:rPr>
          <w:rFonts w:ascii="Arial" w:eastAsia="Calibri" w:hAnsi="Arial" w:cs="Arial"/>
          <w:color w:val="000000" w:themeColor="text1"/>
          <w:sz w:val="22"/>
          <w:lang w:val="es-ES_tradnl"/>
        </w:rPr>
        <w:t xml:space="preserve"> fase </w:t>
      </w:r>
      <w:r w:rsidR="00C033EC" w:rsidRPr="0042283A">
        <w:rPr>
          <w:rFonts w:ascii="Arial" w:eastAsia="Calibri" w:hAnsi="Arial" w:cs="Arial"/>
          <w:color w:val="000000" w:themeColor="text1"/>
          <w:sz w:val="22"/>
          <w:lang w:val="es-ES_tradnl"/>
        </w:rPr>
        <w:t>de negociación</w:t>
      </w:r>
      <w:r w:rsidR="005C1D8B" w:rsidRPr="0042283A">
        <w:rPr>
          <w:rFonts w:ascii="Arial" w:eastAsia="Calibri" w:hAnsi="Arial" w:cs="Arial"/>
          <w:color w:val="000000" w:themeColor="text1"/>
          <w:sz w:val="22"/>
          <w:lang w:val="es-ES_tradnl"/>
        </w:rPr>
        <w:t xml:space="preserve"> entre la entidad estatal y el oferente calificado en el primer lugar de elegibilidad, por sustracción de materia</w:t>
      </w:r>
      <w:r w:rsidR="00023FC9" w:rsidRPr="0042283A">
        <w:rPr>
          <w:rFonts w:ascii="Arial" w:eastAsia="Calibri" w:hAnsi="Arial" w:cs="Arial"/>
          <w:color w:val="000000" w:themeColor="text1"/>
          <w:sz w:val="22"/>
          <w:lang w:val="es-ES_tradnl"/>
        </w:rPr>
        <w:t>,</w:t>
      </w:r>
      <w:r w:rsidR="005C1D8B" w:rsidRPr="0042283A">
        <w:rPr>
          <w:rFonts w:ascii="Arial" w:eastAsia="Calibri" w:hAnsi="Arial" w:cs="Arial"/>
          <w:color w:val="000000" w:themeColor="text1"/>
          <w:sz w:val="22"/>
          <w:lang w:val="es-ES_tradnl"/>
        </w:rPr>
        <w:t xml:space="preserve"> </w:t>
      </w:r>
      <w:r w:rsidR="00023FC9" w:rsidRPr="0042283A">
        <w:rPr>
          <w:rFonts w:ascii="Arial" w:eastAsia="Calibri" w:hAnsi="Arial" w:cs="Arial"/>
          <w:color w:val="000000" w:themeColor="text1"/>
          <w:sz w:val="22"/>
          <w:lang w:val="es-ES_tradnl"/>
        </w:rPr>
        <w:t xml:space="preserve">la entidad estatal </w:t>
      </w:r>
      <w:r w:rsidR="005C1D8B" w:rsidRPr="0042283A">
        <w:rPr>
          <w:rFonts w:ascii="Arial" w:eastAsia="Calibri" w:hAnsi="Arial" w:cs="Arial"/>
          <w:color w:val="000000" w:themeColor="text1"/>
          <w:sz w:val="22"/>
          <w:lang w:val="es-ES_tradnl"/>
        </w:rPr>
        <w:t xml:space="preserve">tampoco </w:t>
      </w:r>
      <w:r w:rsidR="00C033EC" w:rsidRPr="0042283A">
        <w:rPr>
          <w:rFonts w:ascii="Arial" w:eastAsia="Calibri" w:hAnsi="Arial" w:cs="Arial"/>
          <w:color w:val="000000" w:themeColor="text1"/>
          <w:sz w:val="22"/>
          <w:lang w:val="es-ES_tradnl"/>
        </w:rPr>
        <w:t xml:space="preserve">debe intentar un acuerdo con el oferente </w:t>
      </w:r>
      <w:r w:rsidR="00FF25D7" w:rsidRPr="0042283A">
        <w:rPr>
          <w:rFonts w:ascii="Arial" w:eastAsia="Calibri" w:hAnsi="Arial" w:cs="Arial"/>
          <w:color w:val="000000" w:themeColor="text1"/>
          <w:sz w:val="22"/>
          <w:lang w:val="es-ES_tradnl"/>
        </w:rPr>
        <w:t>calificado en el segundo orden de elegibilidad</w:t>
      </w:r>
      <w:r w:rsidR="00D9502A" w:rsidRPr="0042283A">
        <w:rPr>
          <w:rFonts w:ascii="Arial" w:eastAsia="Calibri" w:hAnsi="Arial" w:cs="Arial"/>
          <w:color w:val="000000" w:themeColor="text1"/>
          <w:sz w:val="22"/>
          <w:lang w:val="es-ES_tradnl"/>
        </w:rPr>
        <w:t>,</w:t>
      </w:r>
      <w:r w:rsidR="00FF25D7" w:rsidRPr="0042283A">
        <w:rPr>
          <w:rFonts w:ascii="Arial" w:eastAsia="Calibri" w:hAnsi="Arial" w:cs="Arial"/>
          <w:color w:val="000000" w:themeColor="text1"/>
          <w:sz w:val="22"/>
          <w:lang w:val="es-ES_tradnl"/>
        </w:rPr>
        <w:t xml:space="preserve"> ni puede ampararse en el carácter fallido de dicho acuerdo para declarar desierto el proceso de selección</w:t>
      </w:r>
      <w:r w:rsidR="00FD1A96" w:rsidRPr="0042283A">
        <w:rPr>
          <w:rFonts w:ascii="Arial" w:eastAsia="Calibri" w:hAnsi="Arial" w:cs="Arial"/>
          <w:color w:val="000000" w:themeColor="text1"/>
          <w:sz w:val="22"/>
          <w:lang w:val="es-ES_tradnl"/>
        </w:rPr>
        <w:t>, en armonía con lo</w:t>
      </w:r>
      <w:r w:rsidR="00D231DD" w:rsidRPr="0042283A">
        <w:rPr>
          <w:rFonts w:ascii="Arial" w:eastAsia="Calibri" w:hAnsi="Arial" w:cs="Arial"/>
          <w:color w:val="000000" w:themeColor="text1"/>
          <w:sz w:val="22"/>
          <w:lang w:val="es-ES_tradnl"/>
        </w:rPr>
        <w:t xml:space="preserve"> decidido en los</w:t>
      </w:r>
      <w:r w:rsidR="00FD1A96" w:rsidRPr="0042283A">
        <w:rPr>
          <w:rFonts w:ascii="Arial" w:eastAsia="Calibri" w:hAnsi="Arial" w:cs="Arial"/>
          <w:color w:val="000000" w:themeColor="text1"/>
          <w:sz w:val="22"/>
          <w:lang w:val="es-ES_tradnl"/>
        </w:rPr>
        <w:t xml:space="preserve"> Autos del Consejo de Estado antes señalados</w:t>
      </w:r>
      <w:r w:rsidR="00FF25D7" w:rsidRPr="0042283A">
        <w:rPr>
          <w:rFonts w:ascii="Arial" w:eastAsia="Calibri" w:hAnsi="Arial" w:cs="Arial"/>
          <w:color w:val="000000" w:themeColor="text1"/>
          <w:sz w:val="22"/>
          <w:lang w:val="es-ES_tradnl"/>
        </w:rPr>
        <w:t>.</w:t>
      </w:r>
    </w:p>
    <w:p w14:paraId="501431F0" w14:textId="2B6FEFFD" w:rsidR="00CE24D3" w:rsidRPr="0042283A" w:rsidRDefault="00275CBF" w:rsidP="004F76BF">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Al respecto</w:t>
      </w:r>
      <w:r w:rsidR="00D753E7" w:rsidRPr="0042283A">
        <w:rPr>
          <w:rFonts w:ascii="Arial" w:eastAsia="Calibri" w:hAnsi="Arial" w:cs="Arial"/>
          <w:color w:val="000000" w:themeColor="text1"/>
          <w:sz w:val="22"/>
          <w:lang w:val="es-ES_tradnl"/>
        </w:rPr>
        <w:t xml:space="preserve">, </w:t>
      </w:r>
      <w:r w:rsidR="00780D19" w:rsidRPr="0042283A">
        <w:rPr>
          <w:rFonts w:ascii="Arial" w:eastAsia="Calibri" w:hAnsi="Arial" w:cs="Arial"/>
          <w:color w:val="000000" w:themeColor="text1"/>
          <w:sz w:val="22"/>
          <w:lang w:val="es-ES_tradnl"/>
        </w:rPr>
        <w:t>se aclara que</w:t>
      </w:r>
      <w:r w:rsidR="00D753E7" w:rsidRPr="0042283A">
        <w:rPr>
          <w:rFonts w:ascii="Arial" w:eastAsia="Calibri" w:hAnsi="Arial" w:cs="Arial"/>
          <w:color w:val="000000" w:themeColor="text1"/>
          <w:sz w:val="22"/>
          <w:lang w:val="es-ES_tradnl"/>
        </w:rPr>
        <w:t xml:space="preserve"> </w:t>
      </w:r>
      <w:r w:rsidRPr="0042283A">
        <w:rPr>
          <w:rFonts w:ascii="Arial" w:eastAsia="Calibri" w:hAnsi="Arial" w:cs="Arial"/>
          <w:color w:val="000000" w:themeColor="text1"/>
          <w:sz w:val="22"/>
          <w:lang w:val="es-ES_tradnl"/>
        </w:rPr>
        <w:t>el</w:t>
      </w:r>
      <w:r w:rsidR="00780D19" w:rsidRPr="0042283A">
        <w:rPr>
          <w:rFonts w:ascii="Arial" w:eastAsia="Calibri" w:hAnsi="Arial" w:cs="Arial"/>
          <w:color w:val="000000" w:themeColor="text1"/>
          <w:sz w:val="22"/>
          <w:lang w:val="es-ES_tradnl"/>
        </w:rPr>
        <w:t xml:space="preserve"> Decreto 399 de 2021 en ningún caso</w:t>
      </w:r>
      <w:r w:rsidR="002530A0" w:rsidRPr="0042283A">
        <w:rPr>
          <w:rFonts w:ascii="Arial" w:eastAsia="Calibri" w:hAnsi="Arial" w:cs="Arial"/>
          <w:color w:val="000000" w:themeColor="text1"/>
          <w:sz w:val="22"/>
          <w:lang w:val="es-ES_tradnl"/>
        </w:rPr>
        <w:t xml:space="preserve"> contradice lo establecido en el</w:t>
      </w:r>
      <w:r w:rsidRPr="0042283A">
        <w:rPr>
          <w:rFonts w:ascii="Arial" w:eastAsia="Calibri" w:hAnsi="Arial" w:cs="Arial"/>
          <w:color w:val="000000" w:themeColor="text1"/>
          <w:sz w:val="22"/>
          <w:lang w:val="es-ES_tradnl"/>
        </w:rPr>
        <w:t xml:space="preserve"> artículo 5, numeral 4</w:t>
      </w:r>
      <w:r w:rsidR="002530A0" w:rsidRPr="0042283A">
        <w:rPr>
          <w:rFonts w:ascii="Arial" w:eastAsia="Calibri" w:hAnsi="Arial" w:cs="Arial"/>
          <w:color w:val="000000" w:themeColor="text1"/>
          <w:sz w:val="22"/>
          <w:lang w:val="es-ES_tradnl"/>
        </w:rPr>
        <w:t>, de la Ley 1150 de 2007</w:t>
      </w:r>
      <w:r w:rsidR="00FF0EC4" w:rsidRPr="0042283A">
        <w:rPr>
          <w:rFonts w:ascii="Arial" w:eastAsia="Calibri" w:hAnsi="Arial" w:cs="Arial"/>
          <w:color w:val="000000" w:themeColor="text1"/>
          <w:sz w:val="22"/>
          <w:lang w:val="es-ES_tradnl"/>
        </w:rPr>
        <w:t>;</w:t>
      </w:r>
      <w:r w:rsidR="002530A0" w:rsidRPr="0042283A">
        <w:rPr>
          <w:rFonts w:ascii="Arial" w:eastAsia="Calibri" w:hAnsi="Arial" w:cs="Arial"/>
          <w:color w:val="000000" w:themeColor="text1"/>
          <w:sz w:val="22"/>
          <w:lang w:val="es-ES_tradnl"/>
        </w:rPr>
        <w:t xml:space="preserve"> </w:t>
      </w:r>
      <w:r w:rsidR="001935FF" w:rsidRPr="0042283A">
        <w:rPr>
          <w:rFonts w:ascii="Arial" w:eastAsia="Calibri" w:hAnsi="Arial" w:cs="Arial"/>
          <w:color w:val="000000" w:themeColor="text1"/>
          <w:sz w:val="22"/>
          <w:lang w:val="es-ES_tradnl"/>
        </w:rPr>
        <w:t xml:space="preserve">norma que dispone que «En los procesos para la selección de consultores se hará uso de factores de calificación destinados a valorar los aspectos técnicos de la oferta o proyecto […]» y que </w:t>
      </w:r>
      <w:r w:rsidR="00DA1863" w:rsidRPr="0042283A">
        <w:rPr>
          <w:rFonts w:ascii="Arial" w:eastAsia="Calibri" w:hAnsi="Arial" w:cs="Arial"/>
          <w:color w:val="000000" w:themeColor="text1"/>
          <w:sz w:val="22"/>
          <w:lang w:val="es-ES_tradnl"/>
        </w:rPr>
        <w:t>«En ningún caso se podrá incluir el precio, como factor de escogencia para la selección de consultores».</w:t>
      </w:r>
      <w:r w:rsidR="00976256" w:rsidRPr="0042283A">
        <w:rPr>
          <w:rFonts w:ascii="Arial" w:eastAsia="Calibri" w:hAnsi="Arial" w:cs="Arial"/>
          <w:color w:val="000000" w:themeColor="text1"/>
          <w:sz w:val="22"/>
          <w:lang w:val="es-ES_tradnl"/>
        </w:rPr>
        <w:t xml:space="preserve"> El hecho de que desaparezca la etapa en la cual la entidad estatal </w:t>
      </w:r>
      <w:r w:rsidR="0048757F" w:rsidRPr="0042283A">
        <w:rPr>
          <w:rFonts w:ascii="Arial" w:eastAsia="Calibri" w:hAnsi="Arial" w:cs="Arial"/>
          <w:color w:val="000000" w:themeColor="text1"/>
          <w:sz w:val="22"/>
          <w:lang w:val="es-ES_tradnl"/>
        </w:rPr>
        <w:t>debía intentar</w:t>
      </w:r>
      <w:r w:rsidR="00976256" w:rsidRPr="0042283A">
        <w:rPr>
          <w:rFonts w:ascii="Arial" w:eastAsia="Calibri" w:hAnsi="Arial" w:cs="Arial"/>
          <w:color w:val="000000" w:themeColor="text1"/>
          <w:sz w:val="22"/>
          <w:lang w:val="es-ES_tradnl"/>
        </w:rPr>
        <w:t xml:space="preserve"> un acuerdo sobre el</w:t>
      </w:r>
      <w:r w:rsidR="0048757F" w:rsidRPr="0042283A">
        <w:rPr>
          <w:rFonts w:ascii="Arial" w:eastAsia="Calibri" w:hAnsi="Arial" w:cs="Arial"/>
          <w:color w:val="000000" w:themeColor="text1"/>
          <w:sz w:val="22"/>
          <w:lang w:val="es-ES_tradnl"/>
        </w:rPr>
        <w:t xml:space="preserve"> alcance y el valor del contrato</w:t>
      </w:r>
      <w:r w:rsidR="00976256" w:rsidRPr="0042283A">
        <w:rPr>
          <w:rFonts w:ascii="Arial" w:eastAsia="Calibri" w:hAnsi="Arial" w:cs="Arial"/>
          <w:color w:val="000000" w:themeColor="text1"/>
          <w:sz w:val="22"/>
          <w:lang w:val="es-ES_tradnl"/>
        </w:rPr>
        <w:t xml:space="preserve"> con el oferente calificado en el primer orden de elegibilidad</w:t>
      </w:r>
      <w:r w:rsidR="0048757F" w:rsidRPr="0042283A">
        <w:rPr>
          <w:rFonts w:ascii="Arial" w:eastAsia="Calibri" w:hAnsi="Arial" w:cs="Arial"/>
          <w:color w:val="000000" w:themeColor="text1"/>
          <w:sz w:val="22"/>
          <w:lang w:val="es-ES_tradnl"/>
        </w:rPr>
        <w:t xml:space="preserve"> no significa que </w:t>
      </w:r>
      <w:r w:rsidR="00E70412" w:rsidRPr="0042283A">
        <w:rPr>
          <w:rFonts w:ascii="Arial" w:eastAsia="Calibri" w:hAnsi="Arial" w:cs="Arial"/>
          <w:color w:val="000000" w:themeColor="text1"/>
          <w:sz w:val="22"/>
          <w:lang w:val="es-ES_tradnl"/>
        </w:rPr>
        <w:t xml:space="preserve">se esté introduciendo el precio como factor de escogencia. Lo que se deduce del artículo 2 del Decreto 399 de 2021 es que </w:t>
      </w:r>
      <w:r w:rsidR="00B5644C" w:rsidRPr="0042283A">
        <w:rPr>
          <w:rFonts w:ascii="Arial" w:eastAsia="Calibri" w:hAnsi="Arial" w:cs="Arial"/>
          <w:color w:val="000000" w:themeColor="text1"/>
          <w:sz w:val="22"/>
          <w:lang w:val="es-ES_tradnl"/>
        </w:rPr>
        <w:t>en el pliego de condiciones debe quedar claramente establecido el presupuesto oficial</w:t>
      </w:r>
      <w:r w:rsidR="002C15BF" w:rsidRPr="0042283A">
        <w:rPr>
          <w:rFonts w:ascii="Arial" w:eastAsia="Calibri" w:hAnsi="Arial" w:cs="Arial"/>
          <w:color w:val="000000" w:themeColor="text1"/>
          <w:sz w:val="22"/>
          <w:lang w:val="es-ES_tradnl"/>
        </w:rPr>
        <w:t>, así como la prohibición de superar</w:t>
      </w:r>
      <w:r w:rsidR="000E40E4" w:rsidRPr="0042283A">
        <w:rPr>
          <w:rFonts w:ascii="Arial" w:eastAsia="Calibri" w:hAnsi="Arial" w:cs="Arial"/>
          <w:color w:val="000000" w:themeColor="text1"/>
          <w:sz w:val="22"/>
          <w:lang w:val="es-ES_tradnl"/>
        </w:rPr>
        <w:t xml:space="preserve">lo </w:t>
      </w:r>
      <w:r w:rsidR="002C15BF" w:rsidRPr="0042283A">
        <w:rPr>
          <w:rFonts w:ascii="Arial" w:eastAsia="Calibri" w:hAnsi="Arial" w:cs="Arial"/>
          <w:color w:val="000000" w:themeColor="text1"/>
          <w:sz w:val="22"/>
          <w:lang w:val="es-ES_tradnl"/>
        </w:rPr>
        <w:t>como requisito habilitante dentro del concurso de méritos.</w:t>
      </w:r>
    </w:p>
    <w:p w14:paraId="3ACBD486" w14:textId="21EB7015" w:rsidR="00DA1863" w:rsidRPr="0042283A" w:rsidRDefault="002820DA" w:rsidP="00CE24D3">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Dicho de otro modo, una vez verificado el cumplimiento de los requisitos habilitantes –entre los cuales está no superar el presupuesto oficial– y de ponderar</w:t>
      </w:r>
      <w:r w:rsidR="004068CD" w:rsidRPr="0042283A">
        <w:rPr>
          <w:rFonts w:ascii="Arial" w:eastAsia="Calibri" w:hAnsi="Arial" w:cs="Arial"/>
          <w:color w:val="000000" w:themeColor="text1"/>
          <w:sz w:val="22"/>
          <w:lang w:val="es-ES_tradnl"/>
        </w:rPr>
        <w:t xml:space="preserve"> los factores de calificación, se deberá elaborar el informe de evaluación respectivo</w:t>
      </w:r>
      <w:r w:rsidR="00991361" w:rsidRPr="0042283A">
        <w:rPr>
          <w:rFonts w:ascii="Arial" w:eastAsia="Calibri" w:hAnsi="Arial" w:cs="Arial"/>
          <w:color w:val="000000" w:themeColor="text1"/>
          <w:sz w:val="22"/>
          <w:lang w:val="es-ES_tradnl"/>
        </w:rPr>
        <w:t xml:space="preserve"> –el cual es susceptible de observaciones–</w:t>
      </w:r>
      <w:r w:rsidR="004068CD" w:rsidRPr="0042283A">
        <w:rPr>
          <w:rFonts w:ascii="Arial" w:eastAsia="Calibri" w:hAnsi="Arial" w:cs="Arial"/>
          <w:color w:val="000000" w:themeColor="text1"/>
          <w:sz w:val="22"/>
          <w:lang w:val="es-ES_tradnl"/>
        </w:rPr>
        <w:t xml:space="preserve"> y </w:t>
      </w:r>
      <w:r w:rsidRPr="0042283A">
        <w:rPr>
          <w:rFonts w:ascii="Arial" w:eastAsia="Calibri" w:hAnsi="Arial" w:cs="Arial"/>
          <w:color w:val="000000" w:themeColor="text1"/>
          <w:sz w:val="22"/>
          <w:lang w:val="es-ES_tradnl"/>
        </w:rPr>
        <w:t>solo se podrá adjudicar el contrato a quien ocupe el primer orden de elegibilidad según los criterios de calificación.</w:t>
      </w:r>
      <w:r w:rsidR="00F45756" w:rsidRPr="0042283A">
        <w:rPr>
          <w:rFonts w:ascii="Arial" w:eastAsia="Calibri" w:hAnsi="Arial" w:cs="Arial"/>
          <w:color w:val="000000" w:themeColor="text1"/>
          <w:sz w:val="22"/>
          <w:lang w:val="es-ES_tradnl"/>
        </w:rPr>
        <w:t xml:space="preserve"> Esto significa que luego de </w:t>
      </w:r>
      <w:r w:rsidR="00CE24D3" w:rsidRPr="0042283A">
        <w:rPr>
          <w:rFonts w:ascii="Arial" w:eastAsia="Calibri" w:hAnsi="Arial" w:cs="Arial"/>
          <w:color w:val="000000" w:themeColor="text1"/>
          <w:sz w:val="22"/>
          <w:lang w:val="es-ES_tradnl"/>
        </w:rPr>
        <w:t>resolver las observaciones al informe de</w:t>
      </w:r>
      <w:r w:rsidR="00F45756" w:rsidRPr="0042283A">
        <w:rPr>
          <w:rFonts w:ascii="Arial" w:eastAsia="Calibri" w:hAnsi="Arial" w:cs="Arial"/>
          <w:color w:val="000000" w:themeColor="text1"/>
          <w:sz w:val="22"/>
          <w:lang w:val="es-ES_tradnl"/>
        </w:rPr>
        <w:t xml:space="preserve"> evaluación</w:t>
      </w:r>
      <w:r w:rsidR="00CE24D3" w:rsidRPr="0042283A">
        <w:rPr>
          <w:rFonts w:ascii="Arial" w:eastAsia="Calibri" w:hAnsi="Arial" w:cs="Arial"/>
          <w:color w:val="000000" w:themeColor="text1"/>
          <w:sz w:val="22"/>
          <w:lang w:val="es-ES_tradnl"/>
        </w:rPr>
        <w:t xml:space="preserve"> y de quedar en firme est</w:t>
      </w:r>
      <w:r w:rsidR="00BD7522" w:rsidRPr="0042283A">
        <w:rPr>
          <w:rFonts w:ascii="Arial" w:eastAsia="Calibri" w:hAnsi="Arial" w:cs="Arial"/>
          <w:color w:val="000000" w:themeColor="text1"/>
          <w:sz w:val="22"/>
          <w:lang w:val="es-ES_tradnl"/>
        </w:rPr>
        <w:t>e</w:t>
      </w:r>
      <w:r w:rsidR="00CE24D3" w:rsidRPr="0042283A">
        <w:rPr>
          <w:rFonts w:ascii="Arial" w:eastAsia="Calibri" w:hAnsi="Arial" w:cs="Arial"/>
          <w:color w:val="000000" w:themeColor="text1"/>
          <w:sz w:val="22"/>
          <w:lang w:val="es-ES_tradnl"/>
        </w:rPr>
        <w:t>,</w:t>
      </w:r>
      <w:r w:rsidR="00F45756" w:rsidRPr="0042283A">
        <w:rPr>
          <w:rFonts w:ascii="Arial" w:eastAsia="Calibri" w:hAnsi="Arial" w:cs="Arial"/>
          <w:color w:val="000000" w:themeColor="text1"/>
          <w:sz w:val="22"/>
          <w:lang w:val="es-ES_tradnl"/>
        </w:rPr>
        <w:t xml:space="preserve"> ya la entidad estatal no puede revisar</w:t>
      </w:r>
      <w:r w:rsidR="00FA4034" w:rsidRPr="0042283A">
        <w:rPr>
          <w:rFonts w:ascii="Arial" w:eastAsia="Calibri" w:hAnsi="Arial" w:cs="Arial"/>
          <w:color w:val="000000" w:themeColor="text1"/>
          <w:sz w:val="22"/>
          <w:lang w:val="es-ES_tradnl"/>
        </w:rPr>
        <w:t xml:space="preserve"> la conformidad de la oferta económica con el presupuesto oficial –pues esto debió hacerlo antes de publicar el informe de evaluación–</w:t>
      </w:r>
      <w:r w:rsidR="00F45756" w:rsidRPr="0042283A">
        <w:rPr>
          <w:rFonts w:ascii="Arial" w:eastAsia="Calibri" w:hAnsi="Arial" w:cs="Arial"/>
          <w:color w:val="000000" w:themeColor="text1"/>
          <w:sz w:val="22"/>
          <w:lang w:val="es-ES_tradnl"/>
        </w:rPr>
        <w:t xml:space="preserve">, ni </w:t>
      </w:r>
      <w:r w:rsidR="00FA4034" w:rsidRPr="0042283A">
        <w:rPr>
          <w:rFonts w:ascii="Arial" w:eastAsia="Calibri" w:hAnsi="Arial" w:cs="Arial"/>
          <w:color w:val="000000" w:themeColor="text1"/>
          <w:sz w:val="22"/>
          <w:lang w:val="es-ES_tradnl"/>
        </w:rPr>
        <w:t>intentar un acuerdo sobre el precio</w:t>
      </w:r>
      <w:r w:rsidR="00501525" w:rsidRPr="0042283A">
        <w:rPr>
          <w:rFonts w:ascii="Arial" w:eastAsia="Calibri" w:hAnsi="Arial" w:cs="Arial"/>
          <w:color w:val="000000" w:themeColor="text1"/>
          <w:sz w:val="22"/>
          <w:lang w:val="es-ES_tradnl"/>
        </w:rPr>
        <w:t xml:space="preserve">, como sí lo permitían los numerales </w:t>
      </w:r>
      <w:r w:rsidR="00D2374F" w:rsidRPr="0042283A">
        <w:rPr>
          <w:rFonts w:ascii="Arial" w:eastAsia="Calibri" w:hAnsi="Arial" w:cs="Arial"/>
          <w:color w:val="000000" w:themeColor="text1"/>
          <w:sz w:val="22"/>
          <w:lang w:val="es-ES_tradnl"/>
        </w:rPr>
        <w:t>4 y 5 del artículo 2.2.1.2.1.3.2. del Decreto 1082 de 2015 en su redacción inicial</w:t>
      </w:r>
      <w:r w:rsidR="00FA4034" w:rsidRPr="0042283A">
        <w:rPr>
          <w:rFonts w:ascii="Arial" w:eastAsia="Calibri" w:hAnsi="Arial" w:cs="Arial"/>
          <w:color w:val="000000" w:themeColor="text1"/>
          <w:sz w:val="22"/>
          <w:lang w:val="es-ES_tradnl"/>
        </w:rPr>
        <w:t>.</w:t>
      </w:r>
      <w:r w:rsidR="00CE24D3" w:rsidRPr="0042283A">
        <w:rPr>
          <w:rFonts w:ascii="Arial" w:eastAsia="Calibri" w:hAnsi="Arial" w:cs="Arial"/>
          <w:color w:val="000000" w:themeColor="text1"/>
          <w:sz w:val="22"/>
          <w:lang w:val="es-ES_tradnl"/>
        </w:rPr>
        <w:t xml:space="preserve"> Lo que procede</w:t>
      </w:r>
      <w:r w:rsidR="00D2374F" w:rsidRPr="0042283A">
        <w:rPr>
          <w:rFonts w:ascii="Arial" w:eastAsia="Calibri" w:hAnsi="Arial" w:cs="Arial"/>
          <w:color w:val="000000" w:themeColor="text1"/>
          <w:sz w:val="22"/>
          <w:lang w:val="es-ES_tradnl"/>
        </w:rPr>
        <w:t xml:space="preserve"> una vez resueltas las observaciones al informe de evaluació</w:t>
      </w:r>
      <w:r w:rsidR="009B1F52" w:rsidRPr="0042283A">
        <w:rPr>
          <w:rFonts w:ascii="Arial" w:eastAsia="Calibri" w:hAnsi="Arial" w:cs="Arial"/>
          <w:color w:val="000000" w:themeColor="text1"/>
          <w:sz w:val="22"/>
          <w:lang w:val="es-ES_tradnl"/>
        </w:rPr>
        <w:t>n</w:t>
      </w:r>
      <w:r w:rsidR="00CE24D3" w:rsidRPr="0042283A">
        <w:rPr>
          <w:rFonts w:ascii="Arial" w:eastAsia="Calibri" w:hAnsi="Arial" w:cs="Arial"/>
          <w:color w:val="000000" w:themeColor="text1"/>
          <w:sz w:val="22"/>
          <w:lang w:val="es-ES_tradnl"/>
        </w:rPr>
        <w:t xml:space="preserve"> es la adjudicación del contrato o la declaratoria de desierta</w:t>
      </w:r>
      <w:r w:rsidR="00D2374F" w:rsidRPr="0042283A">
        <w:rPr>
          <w:rFonts w:ascii="Arial" w:eastAsia="Calibri" w:hAnsi="Arial" w:cs="Arial"/>
          <w:color w:val="000000" w:themeColor="text1"/>
          <w:sz w:val="22"/>
          <w:lang w:val="es-ES_tradnl"/>
        </w:rPr>
        <w:t>,</w:t>
      </w:r>
      <w:r w:rsidR="00CE24D3" w:rsidRPr="0042283A">
        <w:rPr>
          <w:rFonts w:ascii="Arial" w:eastAsia="Calibri" w:hAnsi="Arial" w:cs="Arial"/>
          <w:color w:val="000000" w:themeColor="text1"/>
          <w:sz w:val="22"/>
          <w:lang w:val="es-ES_tradnl"/>
        </w:rPr>
        <w:t xml:space="preserve"> si ninguno de los oferentes cumple los requisitos habilitantes.</w:t>
      </w:r>
    </w:p>
    <w:bookmarkEnd w:id="10"/>
    <w:p w14:paraId="75AB8E56" w14:textId="71711921" w:rsidR="0081338F" w:rsidRPr="0042283A" w:rsidRDefault="0081338F" w:rsidP="00510DE9">
      <w:pPr>
        <w:tabs>
          <w:tab w:val="left" w:pos="0"/>
        </w:tabs>
        <w:jc w:val="both"/>
        <w:rPr>
          <w:rFonts w:ascii="Arial" w:eastAsia="Calibri" w:hAnsi="Arial" w:cs="Arial"/>
          <w:b/>
          <w:color w:val="000000" w:themeColor="text1"/>
          <w:sz w:val="22"/>
          <w:lang w:val="es-ES_tradnl"/>
        </w:rPr>
      </w:pPr>
    </w:p>
    <w:p w14:paraId="1ADE0D43" w14:textId="0CB38844" w:rsidR="00B466C4" w:rsidRPr="0042283A" w:rsidRDefault="00B466C4" w:rsidP="00AD749E">
      <w:pPr>
        <w:tabs>
          <w:tab w:val="left" w:pos="0"/>
        </w:tabs>
        <w:spacing w:line="276" w:lineRule="auto"/>
        <w:jc w:val="both"/>
        <w:rPr>
          <w:rFonts w:ascii="Arial" w:eastAsia="Calibri" w:hAnsi="Arial" w:cs="Arial"/>
          <w:b/>
          <w:color w:val="000000" w:themeColor="text1"/>
          <w:sz w:val="22"/>
          <w:lang w:val="es-ES_tradnl"/>
        </w:rPr>
      </w:pPr>
      <w:r w:rsidRPr="0042283A">
        <w:rPr>
          <w:rFonts w:ascii="Arial" w:eastAsia="Calibri" w:hAnsi="Arial" w:cs="Arial"/>
          <w:b/>
          <w:color w:val="000000" w:themeColor="text1"/>
          <w:sz w:val="22"/>
          <w:lang w:val="es-ES_tradnl"/>
        </w:rPr>
        <w:lastRenderedPageBreak/>
        <w:t>2.3. Alcance del deber de incluir, en los estudios previos, la forma como se calcularon los precios unitarios, consagrado en el artículo 1, numeral 4, del Decreto 399 de 2021</w:t>
      </w:r>
      <w:r w:rsidR="00D12264" w:rsidRPr="0042283A">
        <w:rPr>
          <w:rFonts w:ascii="Arial" w:eastAsia="Calibri" w:hAnsi="Arial" w:cs="Arial"/>
          <w:b/>
          <w:color w:val="000000" w:themeColor="text1"/>
          <w:sz w:val="22"/>
          <w:lang w:val="es-ES_tradnl"/>
        </w:rPr>
        <w:t>:</w:t>
      </w:r>
      <w:r w:rsidRPr="0042283A">
        <w:rPr>
          <w:rFonts w:ascii="Arial" w:eastAsia="Calibri" w:hAnsi="Arial" w:cs="Arial"/>
          <w:b/>
          <w:color w:val="000000" w:themeColor="text1"/>
          <w:sz w:val="22"/>
          <w:lang w:val="es-ES_tradnl"/>
        </w:rPr>
        <w:t xml:space="preserve"> </w:t>
      </w:r>
      <w:r w:rsidR="00D12264" w:rsidRPr="0042283A">
        <w:rPr>
          <w:rFonts w:ascii="Arial" w:eastAsia="Calibri" w:hAnsi="Arial" w:cs="Arial"/>
          <w:b/>
          <w:color w:val="000000" w:themeColor="text1"/>
          <w:sz w:val="22"/>
          <w:lang w:val="es-ES_tradnl"/>
        </w:rPr>
        <w:t>s</w:t>
      </w:r>
      <w:r w:rsidRPr="0042283A">
        <w:rPr>
          <w:rFonts w:ascii="Arial" w:eastAsia="Calibri" w:hAnsi="Arial" w:cs="Arial"/>
          <w:b/>
          <w:color w:val="000000" w:themeColor="text1"/>
          <w:sz w:val="22"/>
          <w:lang w:val="es-ES_tradnl"/>
        </w:rPr>
        <w:t>u aplicación en el concurso de méritos</w:t>
      </w:r>
    </w:p>
    <w:p w14:paraId="257561DB" w14:textId="503F914D" w:rsidR="005C1D5F" w:rsidRPr="0042283A" w:rsidRDefault="005C1D5F" w:rsidP="00190520">
      <w:pPr>
        <w:spacing w:line="276" w:lineRule="auto"/>
        <w:jc w:val="both"/>
        <w:rPr>
          <w:rFonts w:ascii="Arial" w:eastAsia="Calibri" w:hAnsi="Arial" w:cs="Arial"/>
          <w:sz w:val="22"/>
          <w:lang w:val="es-ES_tradnl"/>
        </w:rPr>
      </w:pPr>
    </w:p>
    <w:p w14:paraId="32FA32DA" w14:textId="059B6507" w:rsidR="005C39CB" w:rsidRPr="0042283A" w:rsidRDefault="005C39CB" w:rsidP="005C39CB">
      <w:pPr>
        <w:spacing w:after="120" w:line="276" w:lineRule="auto"/>
        <w:jc w:val="both"/>
      </w:pPr>
      <w:r w:rsidRPr="0042283A">
        <w:rPr>
          <w:rFonts w:ascii="Arial" w:eastAsia="Calibri" w:hAnsi="Arial" w:cs="Arial"/>
          <w:bCs/>
          <w:sz w:val="22"/>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w:t>
      </w:r>
      <w:r w:rsidR="00D31B3C" w:rsidRPr="0042283A">
        <w:rPr>
          <w:rFonts w:ascii="Arial" w:eastAsia="Calibri" w:hAnsi="Arial" w:cs="Arial"/>
          <w:bCs/>
          <w:sz w:val="22"/>
          <w:lang w:val="es-ES_tradnl"/>
        </w:rPr>
        <w:t>,</w:t>
      </w:r>
      <w:r w:rsidRPr="0042283A">
        <w:rPr>
          <w:rFonts w:ascii="Arial" w:eastAsia="Calibri" w:hAnsi="Arial" w:cs="Arial"/>
          <w:bCs/>
          <w:sz w:val="22"/>
          <w:lang w:val="es-ES_tradnl"/>
        </w:rPr>
        <w:t xml:space="preserve"> con la finalidad de realizar la escogencia diligente de la mejor oferta, para beneficiar los intereses y fines públicos inmersos en la contratación de las entidades estatales</w:t>
      </w:r>
      <w:r w:rsidRPr="0042283A">
        <w:rPr>
          <w:rFonts w:ascii="Arial" w:eastAsia="Calibri" w:hAnsi="Arial" w:cs="Arial"/>
          <w:bCs/>
          <w:sz w:val="21"/>
          <w:szCs w:val="21"/>
          <w:lang w:val="es-ES_tradnl"/>
        </w:rPr>
        <w:t>.</w:t>
      </w:r>
    </w:p>
    <w:p w14:paraId="437DB1E2" w14:textId="5E7F5B03" w:rsidR="005C39CB" w:rsidRPr="0042283A" w:rsidRDefault="005C39CB" w:rsidP="005C39CB">
      <w:pPr>
        <w:pStyle w:val="Sinespaciado"/>
        <w:spacing w:before="120" w:line="276" w:lineRule="auto"/>
        <w:ind w:firstLine="708"/>
        <w:jc w:val="both"/>
        <w:rPr>
          <w:rFonts w:ascii="Arial" w:hAnsi="Arial" w:cs="Arial"/>
          <w:bCs/>
          <w:sz w:val="22"/>
          <w:lang w:val="es-ES"/>
        </w:rPr>
      </w:pPr>
      <w:r w:rsidRPr="0042283A">
        <w:rPr>
          <w:rFonts w:ascii="Arial" w:hAnsi="Arial" w:cs="Arial"/>
          <w:bCs/>
          <w:sz w:val="22"/>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w:t>
      </w:r>
      <w:r w:rsidR="00D31B3C" w:rsidRPr="0042283A">
        <w:rPr>
          <w:rFonts w:ascii="Arial" w:hAnsi="Arial" w:cs="Arial"/>
          <w:bCs/>
          <w:sz w:val="22"/>
        </w:rPr>
        <w:t xml:space="preserve">su </w:t>
      </w:r>
      <w:r w:rsidRPr="0042283A">
        <w:rPr>
          <w:rFonts w:ascii="Arial" w:hAnsi="Arial" w:cs="Arial"/>
          <w:bCs/>
          <w:sz w:val="22"/>
        </w:rPr>
        <w:t xml:space="preserve">consecución. En relación con el valor del futuro contrato y su correlativo respaldo presupuestal, se tienen, por ejemplo, las siguientes reglas derivadas de la aplicación del principio de economía previsto en el artículo 25 de la Ley 80 de 1993: </w:t>
      </w:r>
    </w:p>
    <w:p w14:paraId="481DF907" w14:textId="77777777" w:rsidR="005C39CB" w:rsidRPr="0042283A" w:rsidRDefault="005C39CB" w:rsidP="005C39CB">
      <w:pPr>
        <w:pStyle w:val="Sinespaciado"/>
        <w:spacing w:line="276" w:lineRule="auto"/>
        <w:ind w:firstLine="708"/>
        <w:jc w:val="both"/>
        <w:rPr>
          <w:rFonts w:ascii="Arial" w:hAnsi="Arial" w:cs="Arial"/>
          <w:bCs/>
          <w:sz w:val="22"/>
          <w:lang w:val="es-ES"/>
        </w:rPr>
      </w:pPr>
    </w:p>
    <w:p w14:paraId="40E757C9" w14:textId="77777777" w:rsidR="005C39CB" w:rsidRPr="0042283A" w:rsidRDefault="005C39CB" w:rsidP="005C39CB">
      <w:pPr>
        <w:pStyle w:val="Sinespaciado"/>
        <w:ind w:left="709" w:right="709"/>
        <w:jc w:val="both"/>
        <w:rPr>
          <w:rFonts w:ascii="Arial" w:hAnsi="Arial" w:cs="Arial"/>
          <w:sz w:val="21"/>
          <w:szCs w:val="21"/>
        </w:rPr>
      </w:pPr>
      <w:r w:rsidRPr="0042283A">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061F967C" w14:textId="77777777" w:rsidR="005C39CB" w:rsidRPr="0042283A" w:rsidRDefault="005C39CB" w:rsidP="005C39CB">
      <w:pPr>
        <w:pStyle w:val="Sinespaciado"/>
        <w:spacing w:after="120"/>
        <w:ind w:left="709" w:right="709"/>
        <w:jc w:val="both"/>
        <w:rPr>
          <w:rFonts w:ascii="Arial" w:hAnsi="Arial" w:cs="Arial"/>
          <w:sz w:val="21"/>
          <w:szCs w:val="21"/>
        </w:rPr>
      </w:pPr>
      <w:r w:rsidRPr="0042283A">
        <w:rPr>
          <w:rFonts w:ascii="Arial" w:hAnsi="Arial" w:cs="Arial"/>
          <w:sz w:val="21"/>
          <w:szCs w:val="21"/>
        </w:rPr>
        <w:t>[…]</w:t>
      </w:r>
    </w:p>
    <w:p w14:paraId="04DCCC12" w14:textId="77777777" w:rsidR="005C39CB" w:rsidRPr="0042283A" w:rsidRDefault="005C39CB" w:rsidP="005C39CB">
      <w:pPr>
        <w:pStyle w:val="Sinespaciado"/>
        <w:spacing w:after="120"/>
        <w:ind w:left="709" w:right="709"/>
        <w:jc w:val="both"/>
        <w:rPr>
          <w:rFonts w:ascii="Arial" w:hAnsi="Arial" w:cs="Arial"/>
          <w:sz w:val="21"/>
          <w:szCs w:val="21"/>
        </w:rPr>
      </w:pPr>
      <w:r w:rsidRPr="0042283A">
        <w:rPr>
          <w:rFonts w:ascii="Arial" w:hAnsi="Arial" w:cs="Arial"/>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258D8AC9" w14:textId="77777777" w:rsidR="005C39CB" w:rsidRPr="0042283A" w:rsidRDefault="005C39CB" w:rsidP="005C39CB">
      <w:pPr>
        <w:pStyle w:val="Sinespaciado"/>
        <w:spacing w:after="120"/>
        <w:ind w:left="709" w:right="709"/>
        <w:jc w:val="both"/>
        <w:rPr>
          <w:rFonts w:ascii="Arial" w:hAnsi="Arial" w:cs="Arial"/>
          <w:sz w:val="21"/>
          <w:szCs w:val="21"/>
        </w:rPr>
      </w:pPr>
      <w:r w:rsidRPr="0042283A">
        <w:rPr>
          <w:rFonts w:ascii="Arial"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4211F5FE"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4616FB39" w14:textId="77777777" w:rsidR="005C39CB" w:rsidRPr="0042283A" w:rsidRDefault="005C39CB" w:rsidP="005C39CB">
      <w:pPr>
        <w:ind w:left="709" w:right="709"/>
        <w:jc w:val="both"/>
        <w:rPr>
          <w:rFonts w:ascii="Arial" w:hAnsi="Arial" w:cs="Arial"/>
          <w:sz w:val="21"/>
          <w:szCs w:val="21"/>
        </w:rPr>
      </w:pPr>
      <w:r w:rsidRPr="0042283A">
        <w:rPr>
          <w:rFonts w:ascii="Arial" w:hAnsi="Arial" w:cs="Arial"/>
          <w:sz w:val="21"/>
          <w:szCs w:val="21"/>
        </w:rPr>
        <w:t xml:space="preserve">14. Las entidades incluirán en sus presupuestos anuales una apropiación global destinada a cubrir los costos imprevistos ocasionados por los retardos en los pagos, así como los que se originen en la revisión de los precios pactados por </w:t>
      </w:r>
      <w:r w:rsidRPr="0042283A">
        <w:rPr>
          <w:rFonts w:ascii="Arial" w:hAnsi="Arial" w:cs="Arial"/>
          <w:sz w:val="21"/>
          <w:szCs w:val="21"/>
        </w:rPr>
        <w:lastRenderedPageBreak/>
        <w:t>razón de los cambios o alteraciones en las condiciones iniciales de los contratos por ellas celebrados […].</w:t>
      </w:r>
    </w:p>
    <w:p w14:paraId="7AB08D66" w14:textId="77777777" w:rsidR="005C39CB" w:rsidRPr="0042283A" w:rsidRDefault="005C39CB" w:rsidP="005C39CB">
      <w:pPr>
        <w:spacing w:line="276" w:lineRule="auto"/>
        <w:ind w:left="709" w:right="709"/>
        <w:jc w:val="both"/>
        <w:rPr>
          <w:rFonts w:ascii="Arial" w:hAnsi="Arial" w:cs="Arial"/>
          <w:sz w:val="22"/>
        </w:rPr>
      </w:pPr>
    </w:p>
    <w:p w14:paraId="622D7E22" w14:textId="2CD23BB3" w:rsidR="005C39CB" w:rsidRPr="0042283A" w:rsidRDefault="005C39CB" w:rsidP="005C39CB">
      <w:pPr>
        <w:spacing w:line="276" w:lineRule="auto"/>
        <w:ind w:firstLine="709"/>
        <w:jc w:val="both"/>
        <w:rPr>
          <w:rFonts w:ascii="Arial" w:hAnsi="Arial" w:cs="Arial"/>
          <w:sz w:val="22"/>
        </w:rPr>
      </w:pPr>
      <w:r w:rsidRPr="0042283A">
        <w:rPr>
          <w:rFonts w:ascii="Arial" w:hAnsi="Arial" w:cs="Arial"/>
          <w:sz w:val="22"/>
        </w:rPr>
        <w:t>Lo anterior le permitirá a la entidad estatal identificar</w:t>
      </w:r>
      <w:r w:rsidR="00002FC5" w:rsidRPr="0042283A">
        <w:rPr>
          <w:rFonts w:ascii="Arial" w:hAnsi="Arial" w:cs="Arial"/>
          <w:sz w:val="22"/>
        </w:rPr>
        <w:t>,</w:t>
      </w:r>
      <w:r w:rsidRPr="0042283A">
        <w:rPr>
          <w:rFonts w:ascii="Arial" w:hAnsi="Arial" w:cs="Arial"/>
          <w:sz w:val="22"/>
        </w:rPr>
        <w:t xml:space="preserve"> desde el punto de vista técnico y financiero</w:t>
      </w:r>
      <w:r w:rsidR="00002FC5" w:rsidRPr="0042283A">
        <w:rPr>
          <w:rFonts w:ascii="Arial" w:hAnsi="Arial" w:cs="Arial"/>
          <w:sz w:val="22"/>
        </w:rPr>
        <w:t>,</w:t>
      </w:r>
      <w:r w:rsidRPr="0042283A">
        <w:rPr>
          <w:rFonts w:ascii="Arial" w:hAnsi="Arial" w:cs="Arial"/>
          <w:sz w:val="22"/>
        </w:rPr>
        <w:t xml:space="preserve">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w:t>
      </w:r>
      <w:r w:rsidR="0025210F" w:rsidRPr="0042283A">
        <w:rPr>
          <w:rFonts w:ascii="Arial" w:hAnsi="Arial" w:cs="Arial"/>
          <w:sz w:val="22"/>
        </w:rPr>
        <w:t>,</w:t>
      </w:r>
      <w:r w:rsidRPr="0042283A">
        <w:rPr>
          <w:rFonts w:ascii="Arial" w:hAnsi="Arial" w:cs="Arial"/>
          <w:sz w:val="22"/>
        </w:rPr>
        <w:t xml:space="preserve">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42283A">
        <w:rPr>
          <w:rFonts w:ascii="Arial" w:hAnsi="Arial" w:cs="Arial"/>
          <w:sz w:val="22"/>
          <w:vertAlign w:val="superscript"/>
        </w:rPr>
        <w:footnoteReference w:id="8"/>
      </w:r>
      <w:r w:rsidRPr="0042283A">
        <w:rPr>
          <w:rFonts w:ascii="Arial" w:hAnsi="Arial" w:cs="Arial"/>
          <w:sz w:val="22"/>
        </w:rPr>
        <w:t>. En congruencia con el artículo 25 de la Ley 80 de 1993, el Decreto Único Reglamentario del Sector Administrativo de Planeación Nacional –Decreto 1082 de 2015–, dispone en el artículo 2.2.1.1.2.1.1</w:t>
      </w:r>
      <w:r w:rsidR="003B719D" w:rsidRPr="0042283A">
        <w:rPr>
          <w:rFonts w:ascii="Arial" w:hAnsi="Arial" w:cs="Arial"/>
          <w:sz w:val="22"/>
        </w:rPr>
        <w:t xml:space="preserve"> –modificado por el artículo 1 del Decreto 399 de 2021–</w:t>
      </w:r>
      <w:r w:rsidRPr="0042283A">
        <w:rPr>
          <w:rFonts w:ascii="Arial" w:hAnsi="Arial" w:cs="Arial"/>
          <w:sz w:val="22"/>
        </w:rPr>
        <w:t xml:space="preserve"> el contenido mínimo de los estudios y documentos previos</w:t>
      </w:r>
      <w:r w:rsidR="003B719D" w:rsidRPr="0042283A">
        <w:rPr>
          <w:rFonts w:ascii="Arial" w:hAnsi="Arial" w:cs="Arial"/>
          <w:sz w:val="22"/>
        </w:rPr>
        <w:t>, de la siguiente manera:</w:t>
      </w:r>
    </w:p>
    <w:p w14:paraId="064CD6C4" w14:textId="77777777" w:rsidR="005C39CB" w:rsidRPr="0042283A" w:rsidRDefault="005C39CB" w:rsidP="005C39CB">
      <w:pPr>
        <w:pStyle w:val="Textoindependiente"/>
        <w:spacing w:after="0"/>
        <w:ind w:left="709" w:right="709"/>
      </w:pPr>
    </w:p>
    <w:p w14:paraId="4CD7CCB5"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0DD51BBE"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t>1. La descripción de la necesidad que la Entidad Estatal pretende satisfacer con el Proceso de Contratación. ​</w:t>
      </w:r>
    </w:p>
    <w:p w14:paraId="4395EF49"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6A09A440"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t xml:space="preserve">3. La modalidad de selección del contratista y su justificación, incluyendo los fundamentos jurídicos. </w:t>
      </w:r>
    </w:p>
    <w:p w14:paraId="0EEF1833"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0580140E"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t xml:space="preserve">5. Los criterios para seleccionar la oferta más favorable. </w:t>
      </w:r>
    </w:p>
    <w:p w14:paraId="1D8E010E"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t xml:space="preserve">6. El análisis de Riesgo y la forma de mitigarlo. </w:t>
      </w:r>
    </w:p>
    <w:p w14:paraId="6BCB30C1"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lastRenderedPageBreak/>
        <w:t xml:space="preserve">7. Las garantías que la Entidad Estatal contempla exigir en el proceso de contratación. </w:t>
      </w:r>
    </w:p>
    <w:p w14:paraId="6D1A3E91" w14:textId="77777777" w:rsidR="005C39CB" w:rsidRPr="0042283A" w:rsidRDefault="005C39CB" w:rsidP="005C39CB">
      <w:pPr>
        <w:spacing w:after="120"/>
        <w:ind w:left="709" w:right="709"/>
        <w:jc w:val="both"/>
        <w:rPr>
          <w:rFonts w:ascii="Arial" w:hAnsi="Arial" w:cs="Arial"/>
          <w:sz w:val="21"/>
          <w:szCs w:val="21"/>
        </w:rPr>
      </w:pPr>
      <w:r w:rsidRPr="0042283A">
        <w:rPr>
          <w:rFonts w:ascii="Arial" w:hAnsi="Arial" w:cs="Arial"/>
          <w:sz w:val="21"/>
          <w:szCs w:val="21"/>
        </w:rPr>
        <w:t xml:space="preserve">8. La indicación de si el proceso de contratación está cobijado por un acuerdo comercial. </w:t>
      </w:r>
    </w:p>
    <w:p w14:paraId="22DF3498" w14:textId="77777777" w:rsidR="005C39CB" w:rsidRPr="0042283A" w:rsidRDefault="005C39CB" w:rsidP="005C39CB">
      <w:pPr>
        <w:ind w:left="709" w:right="709"/>
        <w:jc w:val="both"/>
        <w:rPr>
          <w:rFonts w:ascii="Arial" w:hAnsi="Arial" w:cs="Arial"/>
          <w:sz w:val="21"/>
          <w:szCs w:val="21"/>
        </w:rPr>
      </w:pPr>
      <w:r w:rsidRPr="0042283A">
        <w:rPr>
          <w:rFonts w:ascii="Arial" w:hAnsi="Arial" w:cs="Arial"/>
          <w:sz w:val="21"/>
          <w:szCs w:val="21"/>
        </w:rPr>
        <w:t>El presente artículo no es aplicable a la contratación por mínima cuantía.</w:t>
      </w:r>
    </w:p>
    <w:p w14:paraId="67F15EB1" w14:textId="77777777" w:rsidR="005C39CB" w:rsidRPr="0042283A" w:rsidRDefault="005C39CB" w:rsidP="005C39CB">
      <w:pPr>
        <w:pStyle w:val="Prrafodelista"/>
        <w:widowControl w:val="0"/>
        <w:tabs>
          <w:tab w:val="left" w:pos="1305"/>
        </w:tabs>
        <w:autoSpaceDE w:val="0"/>
        <w:autoSpaceDN w:val="0"/>
        <w:spacing w:line="276" w:lineRule="auto"/>
        <w:ind w:left="828" w:right="822"/>
        <w:contextualSpacing w:val="0"/>
        <w:rPr>
          <w:rFonts w:ascii="Arial" w:hAnsi="Arial" w:cs="Arial"/>
          <w:sz w:val="22"/>
        </w:rPr>
      </w:pPr>
    </w:p>
    <w:p w14:paraId="31CAA456" w14:textId="211DB0A6" w:rsidR="005C39CB" w:rsidRPr="0042283A" w:rsidRDefault="005C39CB" w:rsidP="005C39CB">
      <w:pPr>
        <w:spacing w:after="120" w:line="276" w:lineRule="auto"/>
        <w:ind w:firstLine="709"/>
        <w:jc w:val="both"/>
        <w:rPr>
          <w:rFonts w:ascii="Arial" w:hAnsi="Arial" w:cs="Arial"/>
          <w:sz w:val="22"/>
        </w:rPr>
      </w:pPr>
      <w:bookmarkStart w:id="12" w:name="_Hlk54011351"/>
      <w:r w:rsidRPr="0042283A">
        <w:rPr>
          <w:rFonts w:ascii="Arial" w:hAnsi="Arial" w:cs="Arial"/>
          <w:sz w:val="22"/>
        </w:rPr>
        <w:t xml:space="preserve">De esta manera, antes de iniciar un procedimiento de selección, la entidad estatal </w:t>
      </w:r>
      <w:r w:rsidR="00135739" w:rsidRPr="0042283A">
        <w:rPr>
          <w:rFonts w:ascii="Arial" w:hAnsi="Arial" w:cs="Arial"/>
          <w:sz w:val="22"/>
        </w:rPr>
        <w:t>debe</w:t>
      </w:r>
      <w:r w:rsidRPr="0042283A">
        <w:rPr>
          <w:rFonts w:ascii="Arial" w:hAnsi="Arial" w:cs="Arial"/>
          <w:sz w:val="22"/>
        </w:rPr>
        <w:t xml:space="preserve"> determinar </w:t>
      </w:r>
      <w:r w:rsidR="000D63F1" w:rsidRPr="0042283A">
        <w:rPr>
          <w:rFonts w:ascii="Arial" w:hAnsi="Arial" w:cs="Arial"/>
          <w:sz w:val="22"/>
        </w:rPr>
        <w:t>en</w:t>
      </w:r>
      <w:r w:rsidRPr="0042283A">
        <w:rPr>
          <w:rFonts w:ascii="Arial" w:hAnsi="Arial" w:cs="Arial"/>
          <w:sz w:val="22"/>
        </w:rPr>
        <w:t xml:space="preserve"> los estudios previos: i) la verdadera necesidad de la celebración del contrato</w:t>
      </w:r>
      <w:r w:rsidR="00A068D4" w:rsidRPr="0042283A">
        <w:rPr>
          <w:rFonts w:ascii="Arial" w:hAnsi="Arial" w:cs="Arial"/>
          <w:sz w:val="22"/>
        </w:rPr>
        <w:t>,</w:t>
      </w:r>
      <w:r w:rsidRPr="0042283A">
        <w:rPr>
          <w:rFonts w:ascii="Arial" w:hAnsi="Arial" w:cs="Arial"/>
          <w:sz w:val="22"/>
        </w:rPr>
        <w:t xml:space="preserve"> ii) las modalidades existentes para satisfacer esa necesidad y las razones que justifiquen la modalidad o tipo contractual que se escoja</w:t>
      </w:r>
      <w:r w:rsidR="00A068D4" w:rsidRPr="0042283A">
        <w:rPr>
          <w:rFonts w:ascii="Arial" w:hAnsi="Arial" w:cs="Arial"/>
          <w:sz w:val="22"/>
        </w:rPr>
        <w:t>,</w:t>
      </w:r>
      <w:r w:rsidRPr="0042283A">
        <w:rPr>
          <w:rFonts w:ascii="Arial" w:hAnsi="Arial" w:cs="Arial"/>
          <w:sz w:val="22"/>
        </w:rPr>
        <w:t xml:space="preserve"> iii) las calidades, especificaciones, cantidades y demás características que puedan o deban reunir los bienes, las obras, los servicios, etcétera,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w:t>
      </w:r>
      <w:r w:rsidR="00D31B3C" w:rsidRPr="0042283A">
        <w:rPr>
          <w:rFonts w:ascii="Arial" w:hAnsi="Arial" w:cs="Arial"/>
          <w:sz w:val="22"/>
        </w:rPr>
        <w:t>e</w:t>
      </w:r>
      <w:r w:rsidRPr="0042283A">
        <w:rPr>
          <w:rFonts w:ascii="Arial" w:hAnsi="Arial" w:cs="Arial"/>
          <w:sz w:val="22"/>
        </w:rPr>
        <w:t xml:space="preserve"> </w:t>
      </w:r>
      <w:r w:rsidR="000A26A5" w:rsidRPr="0042283A">
        <w:rPr>
          <w:rFonts w:ascii="Arial" w:hAnsi="Arial" w:cs="Arial"/>
          <w:sz w:val="22"/>
        </w:rPr>
        <w:t>ejecutar</w:t>
      </w:r>
      <w:r w:rsidRPr="0042283A">
        <w:rPr>
          <w:rStyle w:val="Refdenotaalpie"/>
          <w:rFonts w:ascii="Arial" w:hAnsi="Arial" w:cs="Arial"/>
          <w:sz w:val="22"/>
        </w:rPr>
        <w:footnoteReference w:id="9"/>
      </w:r>
      <w:r w:rsidRPr="0042283A">
        <w:rPr>
          <w:rFonts w:ascii="Arial" w:hAnsi="Arial" w:cs="Arial"/>
          <w:sz w:val="22"/>
        </w:rPr>
        <w:t>.</w:t>
      </w:r>
    </w:p>
    <w:bookmarkEnd w:id="12"/>
    <w:p w14:paraId="54952513" w14:textId="3DCE709C" w:rsidR="005C39CB" w:rsidRPr="0042283A" w:rsidRDefault="003213FA" w:rsidP="000A26A5">
      <w:pPr>
        <w:spacing w:after="120" w:line="276" w:lineRule="auto"/>
        <w:ind w:firstLine="709"/>
        <w:jc w:val="both"/>
        <w:rPr>
          <w:rFonts w:ascii="Arial" w:hAnsi="Arial" w:cs="Arial"/>
          <w:sz w:val="22"/>
        </w:rPr>
      </w:pPr>
      <w:r w:rsidRPr="0042283A">
        <w:rPr>
          <w:rFonts w:ascii="Arial" w:hAnsi="Arial" w:cs="Arial"/>
          <w:sz w:val="22"/>
        </w:rPr>
        <w:t xml:space="preserve">Por ello, el hecho que </w:t>
      </w:r>
      <w:r w:rsidR="005C39CB" w:rsidRPr="0042283A">
        <w:rPr>
          <w:rFonts w:ascii="Arial" w:hAnsi="Arial" w:cs="Arial"/>
          <w:sz w:val="22"/>
        </w:rPr>
        <w:t>las entidades cumpl</w:t>
      </w:r>
      <w:r w:rsidRPr="0042283A">
        <w:rPr>
          <w:rFonts w:ascii="Arial" w:hAnsi="Arial" w:cs="Arial"/>
          <w:sz w:val="22"/>
        </w:rPr>
        <w:t>a</w:t>
      </w:r>
      <w:r w:rsidR="005C39CB" w:rsidRPr="0042283A">
        <w:rPr>
          <w:rFonts w:ascii="Arial" w:hAnsi="Arial" w:cs="Arial"/>
          <w:sz w:val="22"/>
        </w:rPr>
        <w:t xml:space="preserve">n con los elementos mínimos establecidos en la norma y aquellos adicionales que identifiquen en la etapa de planeación de los </w:t>
      </w:r>
      <w:r w:rsidR="005C39CB" w:rsidRPr="0042283A">
        <w:rPr>
          <w:rFonts w:ascii="Arial" w:eastAsia="Calibri" w:hAnsi="Arial" w:cs="Arial"/>
          <w:bCs/>
          <w:sz w:val="22"/>
          <w:lang w:val="es-ES_tradnl"/>
        </w:rPr>
        <w:t xml:space="preserve">procedimientos de contratación, permite que los contratos resultantes cuenten con el sustento técnico, económico y jurídico que incidirá </w:t>
      </w:r>
      <w:r w:rsidR="005C39CB" w:rsidRPr="0042283A">
        <w:rPr>
          <w:rFonts w:ascii="Arial" w:hAnsi="Arial" w:cs="Arial"/>
          <w:sz w:val="22"/>
        </w:rPr>
        <w:t>en una adecuada ejecución.</w:t>
      </w:r>
      <w:r w:rsidR="000A26A5" w:rsidRPr="0042283A">
        <w:rPr>
          <w:rFonts w:ascii="Arial" w:hAnsi="Arial" w:cs="Arial"/>
          <w:sz w:val="22"/>
        </w:rPr>
        <w:t xml:space="preserve"> </w:t>
      </w:r>
      <w:r w:rsidR="005C39CB" w:rsidRPr="0042283A">
        <w:rPr>
          <w:rFonts w:ascii="Arial" w:hAnsi="Arial" w:cs="Arial"/>
          <w:sz w:val="22"/>
        </w:rPr>
        <w:t>Mas allá del cumplimiento de la normativa, «los estudios y documentos previos son el soporte para elaborar el proyecto de pliegos, los pliegos de condiciones, y el contrato»</w:t>
      </w:r>
      <w:r w:rsidR="005C39CB" w:rsidRPr="0042283A">
        <w:rPr>
          <w:rStyle w:val="Refdenotaalpie"/>
          <w:rFonts w:ascii="Arial" w:hAnsi="Arial" w:cs="Arial"/>
          <w:sz w:val="22"/>
        </w:rPr>
        <w:footnoteReference w:id="10"/>
      </w:r>
      <w:r w:rsidR="005C39CB" w:rsidRPr="0042283A">
        <w:rPr>
          <w:rFonts w:ascii="Arial" w:hAnsi="Arial" w:cs="Arial"/>
          <w:sz w:val="22"/>
        </w:rPr>
        <w:t>, por lo que deben publicarse en la etapa precontractual y sirven de motivación para los documentos expedidos unilateralmente por la entidad estatal</w:t>
      </w:r>
      <w:r w:rsidR="00F91862" w:rsidRPr="0042283A">
        <w:rPr>
          <w:rFonts w:ascii="Arial" w:hAnsi="Arial" w:cs="Arial"/>
          <w:sz w:val="22"/>
        </w:rPr>
        <w:t>,</w:t>
      </w:r>
      <w:r w:rsidR="005C39CB" w:rsidRPr="0042283A">
        <w:rPr>
          <w:rFonts w:ascii="Arial" w:hAnsi="Arial" w:cs="Arial"/>
          <w:sz w:val="22"/>
        </w:rPr>
        <w:t xml:space="preserve"> tales como el acto administrativo de apertura, los pliegos de condiciones y el acto de adjudicación, entre otros.</w:t>
      </w:r>
    </w:p>
    <w:p w14:paraId="78BC3C04" w14:textId="2D05A2E5" w:rsidR="005C39CB" w:rsidRPr="0042283A" w:rsidRDefault="005C39CB" w:rsidP="005C39CB">
      <w:pPr>
        <w:spacing w:after="120" w:line="276" w:lineRule="auto"/>
        <w:ind w:right="105" w:firstLine="709"/>
        <w:jc w:val="both"/>
        <w:rPr>
          <w:rFonts w:ascii="Arial" w:hAnsi="Arial" w:cs="Arial"/>
          <w:sz w:val="22"/>
        </w:rPr>
      </w:pPr>
      <w:bookmarkStart w:id="14" w:name="_Hlk54011438"/>
      <w:r w:rsidRPr="0042283A">
        <w:rPr>
          <w:rFonts w:ascii="Arial" w:hAnsi="Arial" w:cs="Arial"/>
          <w:sz w:val="22"/>
        </w:rPr>
        <w:t>De lo explicado se desprende que los estudios y documentos previos son necesarios antes de la</w:t>
      </w:r>
      <w:r w:rsidR="00F91862" w:rsidRPr="0042283A">
        <w:rPr>
          <w:rFonts w:ascii="Arial" w:hAnsi="Arial" w:cs="Arial"/>
          <w:sz w:val="22"/>
        </w:rPr>
        <w:t xml:space="preserve"> realización del procedimiento de selección y la </w:t>
      </w:r>
      <w:r w:rsidRPr="0042283A">
        <w:rPr>
          <w:rFonts w:ascii="Arial" w:hAnsi="Arial" w:cs="Arial"/>
          <w:sz w:val="22"/>
        </w:rPr>
        <w:t xml:space="preserve">celebración del </w:t>
      </w:r>
      <w:r w:rsidRPr="0042283A">
        <w:rPr>
          <w:rFonts w:ascii="Arial" w:hAnsi="Arial" w:cs="Arial"/>
          <w:sz w:val="22"/>
        </w:rPr>
        <w:lastRenderedPageBreak/>
        <w:t xml:space="preserve">contrato, pues fundamentan las condiciones que la entidad estatal exige en su proceso de contratación. </w:t>
      </w:r>
      <w:bookmarkEnd w:id="14"/>
    </w:p>
    <w:p w14:paraId="685757CB" w14:textId="77777777" w:rsidR="005C39CB" w:rsidRPr="0042283A" w:rsidRDefault="005C39CB" w:rsidP="005C39CB">
      <w:pPr>
        <w:spacing w:after="120" w:line="276" w:lineRule="auto"/>
        <w:ind w:right="104" w:firstLine="709"/>
        <w:jc w:val="both"/>
        <w:rPr>
          <w:rFonts w:ascii="Arial" w:hAnsi="Arial" w:cs="Arial"/>
          <w:sz w:val="22"/>
        </w:rPr>
      </w:pPr>
      <w:r w:rsidRPr="0042283A">
        <w:rPr>
          <w:rFonts w:ascii="Arial" w:hAnsi="Arial" w:cs="Arial"/>
          <w:sz w:val="22"/>
        </w:rPr>
        <w:t>El numeral 15 del artículo 25 de la Ley 80 de 1993, antes citado, establece el deber de las entidades de realizar estudios previos en dos momentos específicos: i) previo a la apertura de un proceso de selección y ii) previo a la firma del contrato en el caso en que la modalidad de selección sea contratación directa. Por su parte, el reglamento, es decir los artículos 2.2.1.1.1.6.1 y 2.2.1.1.2.1.1 del Decreto 1082 de 2015, no imponen la obligación de realizar estudios y documentos previos en etapas diferentes a la de planeación del contrato.</w:t>
      </w:r>
    </w:p>
    <w:p w14:paraId="37FB9FC0" w14:textId="77777777" w:rsidR="005C39CB" w:rsidRPr="0042283A" w:rsidRDefault="005C39CB" w:rsidP="005C39CB">
      <w:pPr>
        <w:spacing w:line="276" w:lineRule="auto"/>
        <w:ind w:firstLine="708"/>
        <w:jc w:val="both"/>
        <w:rPr>
          <w:rFonts w:ascii="Arial" w:eastAsia="Calibri" w:hAnsi="Arial" w:cs="Arial"/>
          <w:bCs/>
          <w:sz w:val="22"/>
          <w:lang w:val="es-ES_tradnl"/>
        </w:rPr>
      </w:pPr>
      <w:r w:rsidRPr="0042283A">
        <w:rPr>
          <w:rFonts w:ascii="Arial" w:hAnsi="Arial" w:cs="Arial"/>
          <w:sz w:val="22"/>
        </w:rPr>
        <w:t xml:space="preserve">Por otra parte, en virtud de los numerales 2 y 4 del artículo 2.2.1.1.2.1.1 del Decreto 1082 de 2015, la norma exige que se determine el objeto a contratar con sus especificaciones y se estime el costo que implica la celebración del contrato. </w:t>
      </w:r>
      <w:r w:rsidRPr="0042283A">
        <w:rPr>
          <w:rFonts w:ascii="Arial" w:eastAsia="Calibri" w:hAnsi="Arial" w:cs="Arial"/>
          <w:bCs/>
          <w:sz w:val="22"/>
          <w:lang w:val="es-ES_tradnl"/>
        </w:rPr>
        <w:t xml:space="preserve">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w:t>
      </w:r>
      <w:bookmarkStart w:id="15" w:name="_Hlk36117416"/>
      <w:r w:rsidRPr="0042283A">
        <w:rPr>
          <w:rFonts w:ascii="Arial" w:eastAsia="Calibri" w:hAnsi="Arial" w:cs="Arial"/>
          <w:bCs/>
          <w:sz w:val="22"/>
          <w:lang w:val="es-ES_tradnl"/>
        </w:rPr>
        <w:t>2.2.1.1.1.6.1 del Decreto 1082 de 2015</w:t>
      </w:r>
      <w:bookmarkEnd w:id="15"/>
      <w:r w:rsidRPr="0042283A">
        <w:rPr>
          <w:rFonts w:ascii="Arial" w:eastAsia="Calibri" w:hAnsi="Arial" w:cs="Arial"/>
          <w:bCs/>
          <w:sz w:val="22"/>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4B2C564D" w14:textId="115BA70D" w:rsidR="005C39CB" w:rsidRPr="0042283A" w:rsidRDefault="005C39CB" w:rsidP="005C39CB">
      <w:pPr>
        <w:spacing w:before="120" w:line="276" w:lineRule="auto"/>
        <w:ind w:firstLine="709"/>
        <w:jc w:val="both"/>
        <w:rPr>
          <w:rFonts w:ascii="Arial" w:eastAsia="Calibri" w:hAnsi="Arial" w:cs="Arial"/>
          <w:bCs/>
          <w:sz w:val="22"/>
          <w:lang w:val="es-ES_tradnl"/>
        </w:rPr>
      </w:pPr>
      <w:r w:rsidRPr="0042283A">
        <w:rPr>
          <w:rFonts w:ascii="Arial" w:eastAsia="Calibri" w:hAnsi="Arial" w:cs="Arial"/>
          <w:bCs/>
          <w:sz w:val="22"/>
          <w:lang w:val="es-ES_tradnl"/>
        </w:rPr>
        <w:t xml:space="preserve">De acuerdo con la norma citada, </w:t>
      </w:r>
      <w:bookmarkStart w:id="16" w:name="_Hlk36140682"/>
      <w:r w:rsidRPr="0042283A">
        <w:rPr>
          <w:rFonts w:ascii="Arial" w:eastAsia="Calibri" w:hAnsi="Arial" w:cs="Arial"/>
          <w:bCs/>
          <w:sz w:val="22"/>
          <w:lang w:val="es-ES_tradnl"/>
        </w:rPr>
        <w:t xml:space="preserve">la entidad debe realizar el </w:t>
      </w:r>
      <w:r w:rsidR="009C4EFB" w:rsidRPr="0042283A">
        <w:rPr>
          <w:rFonts w:ascii="Arial" w:eastAsia="Calibri" w:hAnsi="Arial" w:cs="Arial"/>
          <w:bCs/>
          <w:sz w:val="22"/>
          <w:lang w:val="es-ES_tradnl"/>
        </w:rPr>
        <w:t>estudio</w:t>
      </w:r>
      <w:r w:rsidRPr="0042283A">
        <w:rPr>
          <w:rFonts w:ascii="Arial" w:eastAsia="Calibri" w:hAnsi="Arial" w:cs="Arial"/>
          <w:bCs/>
          <w:sz w:val="22"/>
          <w:lang w:val="es-ES_tradnl"/>
        </w:rPr>
        <w:t xml:space="preserve">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w:t>
      </w:r>
      <w:r w:rsidR="00F3159D" w:rsidRPr="0042283A">
        <w:rPr>
          <w:rFonts w:ascii="Arial" w:eastAsia="Calibri" w:hAnsi="Arial" w:cs="Arial"/>
          <w:bCs/>
          <w:sz w:val="22"/>
          <w:lang w:val="es-ES_tradnl"/>
        </w:rPr>
        <w:t>características</w:t>
      </w:r>
      <w:r w:rsidRPr="0042283A">
        <w:rPr>
          <w:rFonts w:ascii="Arial" w:eastAsia="Calibri" w:hAnsi="Arial" w:cs="Arial"/>
          <w:bCs/>
          <w:sz w:val="22"/>
          <w:lang w:val="es-ES_tradnl"/>
        </w:rPr>
        <w:t>, si tienen condiciones especiales que sean relevantes para determinar los requisitos habilitantes, entre otros. Desde una perspectiva financiera, el análisis conlleva una revisión de las características financieras que se presentan dentro del mercado del bien o servicio, como</w:t>
      </w:r>
      <w:r w:rsidR="00892401" w:rsidRPr="0042283A">
        <w:rPr>
          <w:rFonts w:ascii="Arial" w:eastAsia="Calibri" w:hAnsi="Arial" w:cs="Arial"/>
          <w:bCs/>
          <w:sz w:val="22"/>
          <w:lang w:val="es-ES_tradnl"/>
        </w:rPr>
        <w:t>,</w:t>
      </w:r>
      <w:r w:rsidRPr="0042283A">
        <w:rPr>
          <w:rFonts w:ascii="Arial" w:eastAsia="Calibri" w:hAnsi="Arial" w:cs="Arial"/>
          <w:bCs/>
          <w:sz w:val="22"/>
          <w:lang w:val="es-ES_tradnl"/>
        </w:rPr>
        <w:t xml:space="preserve"> por ejemplo</w:t>
      </w:r>
      <w:r w:rsidR="00892401" w:rsidRPr="0042283A">
        <w:rPr>
          <w:rFonts w:ascii="Arial" w:eastAsia="Calibri" w:hAnsi="Arial" w:cs="Arial"/>
          <w:bCs/>
          <w:sz w:val="22"/>
          <w:lang w:val="es-ES_tradnl"/>
        </w:rPr>
        <w:t>,</w:t>
      </w:r>
      <w:r w:rsidRPr="0042283A">
        <w:rPr>
          <w:rFonts w:ascii="Arial" w:eastAsia="Calibri" w:hAnsi="Arial" w:cs="Arial"/>
          <w:bCs/>
          <w:sz w:val="22"/>
          <w:lang w:val="es-ES_tradnl"/>
        </w:rPr>
        <w:t xml:space="preserve">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7EF7A1BC" w14:textId="5D19DE50" w:rsidR="005C39CB" w:rsidRPr="0042283A" w:rsidRDefault="005C39CB" w:rsidP="005C39CB">
      <w:pPr>
        <w:spacing w:before="120" w:line="276" w:lineRule="auto"/>
        <w:ind w:firstLine="709"/>
        <w:jc w:val="both"/>
        <w:rPr>
          <w:rFonts w:ascii="Arial" w:eastAsia="Calibri" w:hAnsi="Arial" w:cs="Arial"/>
          <w:bCs/>
          <w:sz w:val="22"/>
          <w:lang w:val="es-ES_tradnl"/>
        </w:rPr>
      </w:pPr>
      <w:r w:rsidRPr="0042283A">
        <w:rPr>
          <w:rFonts w:ascii="Arial" w:eastAsia="Calibri" w:hAnsi="Arial" w:cs="Arial"/>
          <w:bCs/>
          <w:sz w:val="22"/>
          <w:lang w:val="es-ES_tradnl"/>
        </w:rPr>
        <w:t xml:space="preserve">Para negociar de manera adecuada, es necesario conocer la estructura de los posibles contratistas, pues </w:t>
      </w:r>
      <w:r w:rsidR="00E86A3D" w:rsidRPr="0042283A">
        <w:rPr>
          <w:rFonts w:ascii="Arial" w:eastAsia="Calibri" w:hAnsi="Arial" w:cs="Arial"/>
          <w:bCs/>
          <w:sz w:val="22"/>
          <w:lang w:val="es-ES_tradnl"/>
        </w:rPr>
        <w:t xml:space="preserve">esto </w:t>
      </w:r>
      <w:r w:rsidRPr="0042283A">
        <w:rPr>
          <w:rFonts w:ascii="Arial" w:eastAsia="Calibri" w:hAnsi="Arial" w:cs="Arial"/>
          <w:bCs/>
          <w:sz w:val="22"/>
          <w:lang w:val="es-ES_tradnl"/>
        </w:rPr>
        <w:t xml:space="preserve">permite identificar la forma en la que suplirá los requerimientos de la entidad. El análisis del sector debe tener en cuenta el objeto del proceso de contratación, las condiciones del bien o servicio y las ventajas que representa </w:t>
      </w:r>
      <w:r w:rsidRPr="0042283A">
        <w:rPr>
          <w:rFonts w:ascii="Arial" w:eastAsia="Calibri" w:hAnsi="Arial" w:cs="Arial"/>
          <w:bCs/>
          <w:sz w:val="22"/>
          <w:lang w:val="es-ES_tradnl"/>
        </w:rPr>
        <w:lastRenderedPageBreak/>
        <w:t>para la Administración contratar el bien o servicio con el contratista. En este último punto, el análisis del sector permite sustentar la decisión de realizar un proceso de contratación desde el punto de vista de la eficiencia, eficacia y economía.</w:t>
      </w:r>
    </w:p>
    <w:p w14:paraId="7D049A5C" w14:textId="3352C6CD" w:rsidR="005C39CB" w:rsidRPr="0042283A" w:rsidRDefault="005C39CB" w:rsidP="005C39CB">
      <w:pPr>
        <w:spacing w:before="120" w:line="276" w:lineRule="auto"/>
        <w:ind w:firstLine="709"/>
        <w:jc w:val="both"/>
        <w:rPr>
          <w:rFonts w:ascii="Arial" w:eastAsia="Calibri" w:hAnsi="Arial" w:cs="Arial"/>
          <w:bCs/>
          <w:sz w:val="22"/>
          <w:lang w:val="es-ES_tradnl"/>
        </w:rPr>
      </w:pPr>
      <w:r w:rsidRPr="0042283A">
        <w:rPr>
          <w:rFonts w:ascii="Arial" w:eastAsia="Calibri" w:hAnsi="Arial"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w:t>
      </w:r>
      <w:r w:rsidR="00D0642C" w:rsidRPr="0042283A">
        <w:rPr>
          <w:rFonts w:ascii="Arial" w:eastAsia="Calibri" w:hAnsi="Arial" w:cs="Arial"/>
          <w:bCs/>
          <w:sz w:val="22"/>
          <w:lang w:val="es-ES_tradnl"/>
        </w:rPr>
        <w:t xml:space="preserve">Adicionalmente, permite </w:t>
      </w:r>
      <w:r w:rsidRPr="0042283A">
        <w:rPr>
          <w:rFonts w:ascii="Arial" w:eastAsia="Calibri" w:hAnsi="Arial" w:cs="Arial"/>
          <w:bCs/>
          <w:sz w:val="22"/>
          <w:lang w:val="es-ES_tradnl"/>
        </w:rPr>
        <w:t>estudiar la demanda para determinar cómo las entidades estatales y los particulares adquieren esos bienes, obras o servicios</w:t>
      </w:r>
      <w:r w:rsidR="00D0642C" w:rsidRPr="0042283A">
        <w:rPr>
          <w:rFonts w:ascii="Arial" w:eastAsia="Calibri" w:hAnsi="Arial" w:cs="Arial"/>
          <w:bCs/>
          <w:sz w:val="22"/>
          <w:lang w:val="es-ES_tradnl"/>
        </w:rPr>
        <w:t>,</w:t>
      </w:r>
      <w:r w:rsidRPr="0042283A">
        <w:rPr>
          <w:rFonts w:ascii="Arial" w:eastAsia="Calibri" w:hAnsi="Arial" w:cs="Arial"/>
          <w:bCs/>
          <w:sz w:val="22"/>
          <w:lang w:val="es-ES_tradnl"/>
        </w:rPr>
        <w:t xml:space="preserve"> para extraer las mejores prácticas e información para el proceso de contratación. </w:t>
      </w:r>
    </w:p>
    <w:bookmarkEnd w:id="16"/>
    <w:p w14:paraId="34A2BF5F" w14:textId="0B2BD124" w:rsidR="005C39CB" w:rsidRPr="0042283A" w:rsidRDefault="005C39CB" w:rsidP="005C39CB">
      <w:pPr>
        <w:spacing w:before="120" w:after="120" w:line="276" w:lineRule="auto"/>
        <w:ind w:firstLine="709"/>
        <w:jc w:val="both"/>
        <w:rPr>
          <w:rFonts w:ascii="Arial" w:eastAsia="Calibri" w:hAnsi="Arial" w:cs="Arial"/>
          <w:bCs/>
          <w:sz w:val="22"/>
          <w:lang w:val="es-ES_tradnl"/>
        </w:rPr>
      </w:pPr>
      <w:r w:rsidRPr="0042283A">
        <w:rPr>
          <w:rFonts w:ascii="Arial" w:eastAsia="Calibri" w:hAnsi="Arial" w:cs="Arial"/>
          <w:bCs/>
          <w:sz w:val="22"/>
          <w:lang w:val="es-ES_tradnl"/>
        </w:rPr>
        <w:t>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w:t>
      </w:r>
      <w:r w:rsidR="003706EB" w:rsidRPr="0042283A">
        <w:rPr>
          <w:rFonts w:ascii="Arial" w:eastAsia="Calibri" w:hAnsi="Arial" w:cs="Arial"/>
          <w:bCs/>
          <w:sz w:val="22"/>
          <w:lang w:val="es-ES_tradnl"/>
        </w:rPr>
        <w:t>–</w:t>
      </w:r>
      <w:r w:rsidRPr="0042283A">
        <w:rPr>
          <w:rFonts w:ascii="Arial" w:eastAsia="Calibri" w:hAnsi="Arial" w:cs="Arial"/>
          <w:bCs/>
          <w:sz w:val="22"/>
          <w:lang w:val="es-ES_tradnl"/>
        </w:rPr>
        <w:t>,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1F84DCAD" w14:textId="570E53EA" w:rsidR="007E63EA" w:rsidRPr="0042283A" w:rsidRDefault="007E63EA" w:rsidP="007E63EA">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 xml:space="preserve">En suma, un aspecto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47129012" w14:textId="77777777" w:rsidR="007E63EA" w:rsidRPr="0042283A" w:rsidRDefault="007E63EA" w:rsidP="007E63EA">
      <w:pPr>
        <w:shd w:val="clear" w:color="auto" w:fill="FFFFFF"/>
        <w:ind w:left="709" w:right="709"/>
        <w:jc w:val="both"/>
        <w:rPr>
          <w:rFonts w:ascii="Arial" w:hAnsi="Arial" w:cs="Arial"/>
          <w:color w:val="000000" w:themeColor="text1"/>
          <w:sz w:val="21"/>
          <w:szCs w:val="21"/>
          <w:lang w:val="es-ES_tradnl"/>
        </w:rPr>
      </w:pPr>
    </w:p>
    <w:p w14:paraId="2E2DD75C" w14:textId="77777777" w:rsidR="007E63EA" w:rsidRPr="0042283A" w:rsidRDefault="007E63EA" w:rsidP="007E63EA">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2FABAF94" w14:textId="77777777" w:rsidR="007E63EA" w:rsidRPr="0042283A" w:rsidRDefault="007E63EA" w:rsidP="007E63EA">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 </w:t>
      </w:r>
    </w:p>
    <w:p w14:paraId="687B7B5B" w14:textId="77777777" w:rsidR="007E63EA" w:rsidRPr="0042283A" w:rsidRDefault="007E63EA" w:rsidP="007E63EA">
      <w:pPr>
        <w:shd w:val="clear" w:color="auto" w:fill="FFFFFF"/>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lastRenderedPageBreak/>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Pr="0042283A">
        <w:rPr>
          <w:rFonts w:ascii="Arial" w:eastAsia="Calibri" w:hAnsi="Arial" w:cs="Arial"/>
          <w:color w:val="000000" w:themeColor="text1"/>
          <w:sz w:val="22"/>
          <w:lang w:val="es-ES_tradnl"/>
        </w:rPr>
        <w:t xml:space="preserve">  </w:t>
      </w:r>
    </w:p>
    <w:p w14:paraId="643853E8" w14:textId="77777777" w:rsidR="007E63EA" w:rsidRPr="0042283A" w:rsidRDefault="007E63EA" w:rsidP="007E63EA">
      <w:pPr>
        <w:spacing w:line="276" w:lineRule="auto"/>
        <w:ind w:firstLine="709"/>
        <w:jc w:val="both"/>
        <w:rPr>
          <w:rFonts w:ascii="Arial" w:eastAsia="Calibri" w:hAnsi="Arial" w:cs="Arial"/>
          <w:color w:val="000000" w:themeColor="text1"/>
          <w:sz w:val="22"/>
          <w:lang w:val="es-ES_tradnl"/>
        </w:rPr>
      </w:pPr>
    </w:p>
    <w:p w14:paraId="31B62019" w14:textId="08FE2CD8" w:rsidR="005C39CB" w:rsidRPr="0042283A" w:rsidRDefault="007E63EA" w:rsidP="000D5F9D">
      <w:pPr>
        <w:spacing w:after="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 xml:space="preserve">Por lo tanto, a partir de la </w:t>
      </w:r>
      <w:proofErr w:type="gramStart"/>
      <w:r w:rsidRPr="0042283A">
        <w:rPr>
          <w:rFonts w:ascii="Arial" w:eastAsia="Calibri" w:hAnsi="Arial" w:cs="Arial"/>
          <w:color w:val="000000" w:themeColor="text1"/>
          <w:sz w:val="22"/>
          <w:lang w:val="es-ES_tradnl"/>
        </w:rPr>
        <w:t>entrada en vigencia</w:t>
      </w:r>
      <w:proofErr w:type="gramEnd"/>
      <w:r w:rsidRPr="0042283A">
        <w:rPr>
          <w:rFonts w:ascii="Arial" w:eastAsia="Calibri" w:hAnsi="Arial" w:cs="Arial"/>
          <w:color w:val="000000" w:themeColor="text1"/>
          <w:sz w:val="22"/>
          <w:lang w:val="es-ES_tradnl"/>
        </w:rPr>
        <w:t xml:space="preserve"> del Decreto 399 de 2021, las entidades estatales deben incluir en los estudios previos del concurso de méritos la información correspondiente a las variables empleadas para calcular el valor estimado del contrato, determinando así el presupuesto oficial</w:t>
      </w:r>
      <w:r w:rsidR="007A5590" w:rsidRPr="0042283A">
        <w:rPr>
          <w:rFonts w:ascii="Arial" w:eastAsia="Calibri" w:hAnsi="Arial" w:cs="Arial"/>
          <w:color w:val="000000" w:themeColor="text1"/>
          <w:sz w:val="22"/>
          <w:lang w:val="es-ES_tradnl"/>
        </w:rPr>
        <w:t>, en similares condiciones a lo que sucede en las demás modalidades de selección</w:t>
      </w:r>
      <w:r w:rsidRPr="0042283A">
        <w:rPr>
          <w:rFonts w:ascii="Arial" w:eastAsia="Calibri" w:hAnsi="Arial" w:cs="Arial"/>
          <w:color w:val="000000" w:themeColor="text1"/>
          <w:sz w:val="22"/>
          <w:lang w:val="es-ES_tradnl"/>
        </w:rPr>
        <w:t>.</w:t>
      </w:r>
      <w:r w:rsidR="00F8768C" w:rsidRPr="0042283A">
        <w:rPr>
          <w:rFonts w:ascii="Arial" w:eastAsia="Calibri" w:hAnsi="Arial" w:cs="Arial"/>
          <w:color w:val="000000" w:themeColor="text1"/>
          <w:sz w:val="22"/>
          <w:lang w:val="es-ES_tradnl"/>
        </w:rPr>
        <w:t xml:space="preserve"> </w:t>
      </w:r>
      <w:r w:rsidRPr="0042283A">
        <w:rPr>
          <w:rFonts w:ascii="Arial" w:eastAsia="Calibri" w:hAnsi="Arial" w:cs="Arial"/>
          <w:color w:val="000000" w:themeColor="text1"/>
          <w:sz w:val="22"/>
          <w:lang w:val="es-ES_tradnl"/>
        </w:rPr>
        <w:t>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w:t>
      </w:r>
      <w:r w:rsidR="000C2E78" w:rsidRPr="0042283A">
        <w:rPr>
          <w:rFonts w:ascii="Arial" w:eastAsia="Calibri" w:hAnsi="Arial" w:cs="Arial"/>
          <w:color w:val="000000" w:themeColor="text1"/>
          <w:sz w:val="22"/>
          <w:lang w:val="es-ES_tradnl"/>
        </w:rPr>
        <w:t>.</w:t>
      </w:r>
      <w:r w:rsidR="00F8768C" w:rsidRPr="0042283A">
        <w:rPr>
          <w:rFonts w:ascii="Arial" w:eastAsia="Calibri" w:hAnsi="Arial" w:cs="Arial"/>
          <w:color w:val="000000" w:themeColor="text1"/>
          <w:sz w:val="22"/>
          <w:lang w:val="es-ES_tradnl"/>
        </w:rPr>
        <w:t xml:space="preserve"> </w:t>
      </w:r>
    </w:p>
    <w:p w14:paraId="1E21B1CC" w14:textId="59B0DDFB" w:rsidR="00D76951" w:rsidRPr="0042283A" w:rsidRDefault="00F8768C" w:rsidP="000D5F9D">
      <w:pPr>
        <w:spacing w:after="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 xml:space="preserve">Cabe </w:t>
      </w:r>
      <w:r w:rsidR="00F145EA" w:rsidRPr="0042283A">
        <w:rPr>
          <w:rFonts w:ascii="Arial" w:eastAsia="Calibri" w:hAnsi="Arial" w:cs="Arial"/>
          <w:color w:val="000000" w:themeColor="text1"/>
          <w:sz w:val="22"/>
          <w:lang w:val="es-ES_tradnl"/>
        </w:rPr>
        <w:t xml:space="preserve">precisar que, </w:t>
      </w:r>
      <w:r w:rsidR="00734608" w:rsidRPr="0042283A">
        <w:rPr>
          <w:rFonts w:ascii="Arial" w:eastAsia="Calibri" w:hAnsi="Arial" w:cs="Arial"/>
          <w:color w:val="000000" w:themeColor="text1"/>
          <w:sz w:val="22"/>
          <w:lang w:val="es-ES_tradnl"/>
        </w:rPr>
        <w:t xml:space="preserve">al </w:t>
      </w:r>
      <w:r w:rsidR="002164E8" w:rsidRPr="0042283A">
        <w:rPr>
          <w:rFonts w:ascii="Arial" w:eastAsia="Calibri" w:hAnsi="Arial" w:cs="Arial"/>
          <w:color w:val="000000" w:themeColor="text1"/>
          <w:sz w:val="22"/>
          <w:lang w:val="es-ES_tradnl"/>
        </w:rPr>
        <w:t xml:space="preserve">señalar </w:t>
      </w:r>
      <w:r w:rsidR="00F145EA" w:rsidRPr="0042283A">
        <w:rPr>
          <w:rFonts w:ascii="Arial" w:eastAsia="Calibri" w:hAnsi="Arial" w:cs="Arial"/>
          <w:color w:val="000000" w:themeColor="text1"/>
          <w:sz w:val="22"/>
          <w:lang w:val="es-ES_tradnl"/>
        </w:rPr>
        <w:t>el numeral 4</w:t>
      </w:r>
      <w:r w:rsidR="005A662B" w:rsidRPr="0042283A">
        <w:rPr>
          <w:rFonts w:ascii="Arial" w:eastAsia="Calibri" w:hAnsi="Arial" w:cs="Arial"/>
          <w:color w:val="000000" w:themeColor="text1"/>
          <w:sz w:val="22"/>
          <w:lang w:val="es-ES_tradnl"/>
        </w:rPr>
        <w:t xml:space="preserve"> del artículo 2.2.1.1.2.1.1.</w:t>
      </w:r>
      <w:r w:rsidR="00D75924" w:rsidRPr="0042283A">
        <w:rPr>
          <w:rFonts w:ascii="Arial" w:eastAsia="Calibri" w:hAnsi="Arial" w:cs="Arial"/>
          <w:color w:val="000000" w:themeColor="text1"/>
          <w:sz w:val="22"/>
          <w:lang w:val="es-ES_tradnl"/>
        </w:rPr>
        <w:t xml:space="preserve"> del Decreto 1082 de 2015</w:t>
      </w:r>
      <w:r w:rsidR="005A662B" w:rsidRPr="0042283A">
        <w:rPr>
          <w:rFonts w:ascii="Arial" w:eastAsia="Calibri" w:hAnsi="Arial" w:cs="Arial"/>
          <w:color w:val="000000" w:themeColor="text1"/>
          <w:sz w:val="22"/>
          <w:lang w:val="es-ES_tradnl"/>
        </w:rPr>
        <w:t>, modificado por el artículo 1 del Decreto 399 de 2021</w:t>
      </w:r>
      <w:r w:rsidR="00734608" w:rsidRPr="0042283A">
        <w:rPr>
          <w:rFonts w:ascii="Arial" w:eastAsia="Calibri" w:hAnsi="Arial" w:cs="Arial"/>
          <w:color w:val="000000" w:themeColor="text1"/>
          <w:sz w:val="22"/>
          <w:lang w:val="es-ES_tradnl"/>
        </w:rPr>
        <w:t>,</w:t>
      </w:r>
      <w:r w:rsidR="005A662B" w:rsidRPr="0042283A">
        <w:rPr>
          <w:rFonts w:ascii="Arial" w:eastAsia="Calibri" w:hAnsi="Arial" w:cs="Arial"/>
          <w:color w:val="000000" w:themeColor="text1"/>
          <w:sz w:val="22"/>
          <w:lang w:val="es-ES_tradnl"/>
        </w:rPr>
        <w:t xml:space="preserve"> </w:t>
      </w:r>
      <w:r w:rsidR="0068192C" w:rsidRPr="0042283A">
        <w:rPr>
          <w:rFonts w:ascii="Arial" w:eastAsia="Calibri" w:hAnsi="Arial" w:cs="Arial"/>
          <w:color w:val="000000" w:themeColor="text1"/>
          <w:sz w:val="22"/>
          <w:lang w:val="es-ES_tradnl"/>
        </w:rPr>
        <w:t xml:space="preserve">que «Cuando el valor del contrato esté determinado por precios unitarios, la Entidad Estatal debe incluir la forma como los calculó y soportar sus cálculos presupuestales en la estimación de aquellos», esto significa, para el caso de los contratos de consultoría, que si el </w:t>
      </w:r>
      <w:r w:rsidR="004A2F71" w:rsidRPr="0042283A">
        <w:rPr>
          <w:rFonts w:ascii="Arial" w:eastAsia="Calibri" w:hAnsi="Arial" w:cs="Arial"/>
          <w:color w:val="000000" w:themeColor="text1"/>
          <w:sz w:val="22"/>
          <w:lang w:val="es-ES_tradnl"/>
        </w:rPr>
        <w:t>precio</w:t>
      </w:r>
      <w:r w:rsidR="0068192C" w:rsidRPr="0042283A">
        <w:rPr>
          <w:rFonts w:ascii="Arial" w:eastAsia="Calibri" w:hAnsi="Arial" w:cs="Arial"/>
          <w:color w:val="000000" w:themeColor="text1"/>
          <w:sz w:val="22"/>
          <w:lang w:val="es-ES_tradnl"/>
        </w:rPr>
        <w:t xml:space="preserve"> </w:t>
      </w:r>
      <w:r w:rsidR="00D75924" w:rsidRPr="0042283A">
        <w:rPr>
          <w:rFonts w:ascii="Arial" w:eastAsia="Calibri" w:hAnsi="Arial" w:cs="Arial"/>
          <w:color w:val="000000" w:themeColor="text1"/>
          <w:sz w:val="22"/>
          <w:lang w:val="es-ES_tradnl"/>
        </w:rPr>
        <w:t>de este</w:t>
      </w:r>
      <w:r w:rsidR="0068192C" w:rsidRPr="0042283A">
        <w:rPr>
          <w:rFonts w:ascii="Arial" w:eastAsia="Calibri" w:hAnsi="Arial" w:cs="Arial"/>
          <w:color w:val="000000" w:themeColor="text1"/>
          <w:sz w:val="22"/>
          <w:lang w:val="es-ES_tradnl"/>
        </w:rPr>
        <w:t xml:space="preserve"> se calcula atendiendo al </w:t>
      </w:r>
      <w:r w:rsidR="004A2F71" w:rsidRPr="0042283A">
        <w:rPr>
          <w:rFonts w:ascii="Arial" w:eastAsia="Calibri" w:hAnsi="Arial" w:cs="Arial"/>
          <w:color w:val="000000" w:themeColor="text1"/>
          <w:sz w:val="22"/>
          <w:lang w:val="es-ES_tradnl"/>
        </w:rPr>
        <w:t xml:space="preserve">valor de </w:t>
      </w:r>
      <w:r w:rsidR="00D75924" w:rsidRPr="0042283A">
        <w:rPr>
          <w:rFonts w:ascii="Arial" w:eastAsia="Calibri" w:hAnsi="Arial" w:cs="Arial"/>
          <w:color w:val="000000" w:themeColor="text1"/>
          <w:sz w:val="22"/>
          <w:lang w:val="es-ES_tradnl"/>
        </w:rPr>
        <w:t xml:space="preserve">las </w:t>
      </w:r>
      <w:r w:rsidR="004A2F71" w:rsidRPr="0042283A">
        <w:rPr>
          <w:rFonts w:ascii="Arial" w:eastAsia="Calibri" w:hAnsi="Arial" w:cs="Arial"/>
          <w:color w:val="000000" w:themeColor="text1"/>
          <w:sz w:val="22"/>
          <w:lang w:val="es-ES_tradnl"/>
        </w:rPr>
        <w:t xml:space="preserve">unidades –entregables o actividades– por </w:t>
      </w:r>
      <w:r w:rsidR="00D75924" w:rsidRPr="0042283A">
        <w:rPr>
          <w:rFonts w:ascii="Arial" w:eastAsia="Calibri" w:hAnsi="Arial" w:cs="Arial"/>
          <w:color w:val="000000" w:themeColor="text1"/>
          <w:sz w:val="22"/>
          <w:lang w:val="es-ES_tradnl"/>
        </w:rPr>
        <w:t xml:space="preserve">las </w:t>
      </w:r>
      <w:r w:rsidR="004A2F71" w:rsidRPr="0042283A">
        <w:rPr>
          <w:rFonts w:ascii="Arial" w:eastAsia="Calibri" w:hAnsi="Arial" w:cs="Arial"/>
          <w:color w:val="000000" w:themeColor="text1"/>
          <w:sz w:val="22"/>
          <w:lang w:val="es-ES_tradnl"/>
        </w:rPr>
        <w:t>cantidades</w:t>
      </w:r>
      <w:r w:rsidR="008E10ED" w:rsidRPr="0042283A">
        <w:rPr>
          <w:rFonts w:ascii="Arial" w:eastAsia="Calibri" w:hAnsi="Arial" w:cs="Arial"/>
          <w:color w:val="000000" w:themeColor="text1"/>
          <w:sz w:val="22"/>
          <w:lang w:val="es-ES_tradnl"/>
        </w:rPr>
        <w:t>, se debe incluir en los estudios previos la forma como estos precios unitarios se calcularon, de acuerdo con el análisis del sector y los elementos técnicos tenidos en cuenta</w:t>
      </w:r>
      <w:r w:rsidR="00D75924" w:rsidRPr="0042283A">
        <w:rPr>
          <w:rFonts w:ascii="Arial" w:eastAsia="Calibri" w:hAnsi="Arial" w:cs="Arial"/>
          <w:color w:val="000000" w:themeColor="text1"/>
          <w:sz w:val="22"/>
          <w:lang w:val="es-ES_tradnl"/>
        </w:rPr>
        <w:t xml:space="preserve"> por la entidad contratante</w:t>
      </w:r>
      <w:r w:rsidR="008E10ED" w:rsidRPr="0042283A">
        <w:rPr>
          <w:rFonts w:ascii="Arial" w:eastAsia="Calibri" w:hAnsi="Arial" w:cs="Arial"/>
          <w:color w:val="000000" w:themeColor="text1"/>
          <w:sz w:val="22"/>
          <w:lang w:val="es-ES_tradnl"/>
        </w:rPr>
        <w:t xml:space="preserve">. </w:t>
      </w:r>
    </w:p>
    <w:p w14:paraId="21DA9988" w14:textId="383136E9" w:rsidR="00C33CC1" w:rsidRPr="0042283A" w:rsidRDefault="00D75924" w:rsidP="00405D2F">
      <w:pPr>
        <w:spacing w:after="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En efecto</w:t>
      </w:r>
      <w:r w:rsidR="00D76951" w:rsidRPr="0042283A">
        <w:rPr>
          <w:rFonts w:ascii="Arial" w:eastAsia="Calibri" w:hAnsi="Arial" w:cs="Arial"/>
          <w:color w:val="000000" w:themeColor="text1"/>
          <w:sz w:val="22"/>
          <w:lang w:val="es-ES_tradnl"/>
        </w:rPr>
        <w:t xml:space="preserve">, como lo ha explicado el Consejo de Estado, «Los contratos […] por precio global son aquellos en los que el contratista, a cambio de las prestaciones a que se compromete, obtiene como remuneración una suma fija siendo el único responsable de la vinculación de personal, de la elaboración de subcontratos y de la obtención de materiales, mientras que en el contrato a precios unitarios la forma de pago es por unidades o cantidades […] y el valor total corresponde al que resulta de multiplicar las cantidades </w:t>
      </w:r>
      <w:r w:rsidR="000901CD" w:rsidRPr="0042283A">
        <w:rPr>
          <w:rFonts w:ascii="Arial" w:eastAsia="Calibri" w:hAnsi="Arial" w:cs="Arial"/>
          <w:color w:val="000000" w:themeColor="text1"/>
          <w:sz w:val="22"/>
          <w:lang w:val="es-ES_tradnl"/>
        </w:rPr>
        <w:t xml:space="preserve">[…] </w:t>
      </w:r>
      <w:r w:rsidR="00D76951" w:rsidRPr="0042283A">
        <w:rPr>
          <w:rFonts w:ascii="Arial" w:eastAsia="Calibri" w:hAnsi="Arial" w:cs="Arial"/>
          <w:color w:val="000000" w:themeColor="text1"/>
          <w:sz w:val="22"/>
          <w:lang w:val="es-ES_tradnl"/>
        </w:rPr>
        <w:t>ejecutadas por el precio de cada una de ellas</w:t>
      </w:r>
      <w:r w:rsidR="000901CD" w:rsidRPr="0042283A">
        <w:rPr>
          <w:rFonts w:ascii="Arial" w:eastAsia="Calibri" w:hAnsi="Arial" w:cs="Arial"/>
          <w:color w:val="000000" w:themeColor="text1"/>
          <w:sz w:val="22"/>
          <w:lang w:val="es-ES_tradnl"/>
        </w:rPr>
        <w:t>»</w:t>
      </w:r>
      <w:r w:rsidR="000901CD" w:rsidRPr="0042283A">
        <w:rPr>
          <w:rStyle w:val="Refdenotaalpie"/>
          <w:rFonts w:ascii="Arial" w:eastAsia="Calibri" w:hAnsi="Arial" w:cs="Arial"/>
          <w:color w:val="000000" w:themeColor="text1"/>
          <w:sz w:val="22"/>
          <w:lang w:val="es-ES_tradnl"/>
        </w:rPr>
        <w:footnoteReference w:id="11"/>
      </w:r>
      <w:r w:rsidR="00D76951" w:rsidRPr="0042283A">
        <w:rPr>
          <w:rFonts w:ascii="Arial" w:eastAsia="Calibri" w:hAnsi="Arial" w:cs="Arial"/>
          <w:color w:val="000000" w:themeColor="text1"/>
          <w:sz w:val="22"/>
          <w:lang w:val="es-ES_tradnl"/>
        </w:rPr>
        <w:t>.</w:t>
      </w:r>
      <w:r w:rsidR="00734608" w:rsidRPr="0042283A">
        <w:rPr>
          <w:rFonts w:ascii="Arial" w:eastAsia="Calibri" w:hAnsi="Arial" w:cs="Arial"/>
          <w:color w:val="000000" w:themeColor="text1"/>
          <w:sz w:val="22"/>
          <w:lang w:val="es-ES_tradnl"/>
        </w:rPr>
        <w:t xml:space="preserve"> Por lo tanto,</w:t>
      </w:r>
      <w:r w:rsidR="0028212C" w:rsidRPr="0042283A">
        <w:rPr>
          <w:rFonts w:ascii="Arial" w:eastAsia="Calibri" w:hAnsi="Arial" w:cs="Arial"/>
          <w:color w:val="000000" w:themeColor="text1"/>
          <w:sz w:val="22"/>
          <w:lang w:val="es-ES_tradnl"/>
        </w:rPr>
        <w:t xml:space="preserve"> independientemente de la denominación que la entidad estatal le</w:t>
      </w:r>
      <w:r w:rsidR="00485F27" w:rsidRPr="0042283A">
        <w:rPr>
          <w:rFonts w:ascii="Arial" w:eastAsia="Calibri" w:hAnsi="Arial" w:cs="Arial"/>
          <w:color w:val="000000" w:themeColor="text1"/>
          <w:sz w:val="22"/>
          <w:lang w:val="es-ES_tradnl"/>
        </w:rPr>
        <w:t>s</w:t>
      </w:r>
      <w:r w:rsidR="0028212C" w:rsidRPr="0042283A">
        <w:rPr>
          <w:rFonts w:ascii="Arial" w:eastAsia="Calibri" w:hAnsi="Arial" w:cs="Arial"/>
          <w:color w:val="000000" w:themeColor="text1"/>
          <w:sz w:val="22"/>
          <w:lang w:val="es-ES_tradnl"/>
        </w:rPr>
        <w:t xml:space="preserve"> otorgue a las unidades de actividad del contrato de consultoría, si </w:t>
      </w:r>
      <w:r w:rsidR="00115A62" w:rsidRPr="0042283A">
        <w:rPr>
          <w:rFonts w:ascii="Arial" w:eastAsia="Calibri" w:hAnsi="Arial" w:cs="Arial"/>
          <w:color w:val="000000" w:themeColor="text1"/>
          <w:sz w:val="22"/>
          <w:lang w:val="es-ES_tradnl"/>
        </w:rPr>
        <w:t xml:space="preserve">calcula su valor por precios unitarios, debe publicar en los estudios previos la forma como los calculó y estimar </w:t>
      </w:r>
      <w:r w:rsidR="00405D2F" w:rsidRPr="0042283A">
        <w:rPr>
          <w:rFonts w:ascii="Arial" w:eastAsia="Calibri" w:hAnsi="Arial" w:cs="Arial"/>
          <w:color w:val="000000" w:themeColor="text1"/>
          <w:sz w:val="22"/>
          <w:lang w:val="es-ES_tradnl"/>
        </w:rPr>
        <w:t>esta metodología presupuestal.</w:t>
      </w:r>
      <w:r w:rsidR="00B6541D" w:rsidRPr="0042283A">
        <w:rPr>
          <w:rFonts w:ascii="Arial" w:eastAsia="Calibri" w:hAnsi="Arial" w:cs="Arial"/>
          <w:color w:val="000000" w:themeColor="text1"/>
          <w:sz w:val="22"/>
          <w:lang w:val="es-ES_tradnl"/>
        </w:rPr>
        <w:t xml:space="preserve"> </w:t>
      </w:r>
      <w:r w:rsidR="004741A6" w:rsidRPr="0042283A">
        <w:rPr>
          <w:rFonts w:ascii="Arial" w:eastAsia="Calibri" w:hAnsi="Arial" w:cs="Arial"/>
          <w:color w:val="000000" w:themeColor="text1"/>
          <w:sz w:val="22"/>
          <w:lang w:val="es-ES_tradnl"/>
        </w:rPr>
        <w:t>Se trata de un imperativo</w:t>
      </w:r>
      <w:r w:rsidR="00485F27" w:rsidRPr="0042283A">
        <w:rPr>
          <w:rFonts w:ascii="Arial" w:eastAsia="Calibri" w:hAnsi="Arial" w:cs="Arial"/>
          <w:color w:val="000000" w:themeColor="text1"/>
          <w:sz w:val="22"/>
          <w:lang w:val="es-ES_tradnl"/>
        </w:rPr>
        <w:t>,</w:t>
      </w:r>
      <w:r w:rsidR="004741A6" w:rsidRPr="0042283A">
        <w:rPr>
          <w:rFonts w:ascii="Arial" w:eastAsia="Calibri" w:hAnsi="Arial" w:cs="Arial"/>
          <w:color w:val="000000" w:themeColor="text1"/>
          <w:sz w:val="22"/>
          <w:lang w:val="es-ES_tradnl"/>
        </w:rPr>
        <w:t xml:space="preserve"> consagrado en el artículo 1 del Decreto 399 de 2021</w:t>
      </w:r>
      <w:r w:rsidR="00485F27" w:rsidRPr="0042283A">
        <w:rPr>
          <w:rFonts w:ascii="Arial" w:eastAsia="Calibri" w:hAnsi="Arial" w:cs="Arial"/>
          <w:color w:val="000000" w:themeColor="text1"/>
          <w:sz w:val="22"/>
          <w:lang w:val="es-ES_tradnl"/>
        </w:rPr>
        <w:t>,</w:t>
      </w:r>
      <w:r w:rsidR="004741A6" w:rsidRPr="0042283A">
        <w:rPr>
          <w:rFonts w:ascii="Arial" w:eastAsia="Calibri" w:hAnsi="Arial" w:cs="Arial"/>
          <w:color w:val="000000" w:themeColor="text1"/>
          <w:sz w:val="22"/>
          <w:lang w:val="es-ES_tradnl"/>
        </w:rPr>
        <w:t xml:space="preserve"> que las entidades estatales </w:t>
      </w:r>
      <w:r w:rsidR="004741A6" w:rsidRPr="0042283A">
        <w:rPr>
          <w:rFonts w:ascii="Arial" w:eastAsia="Calibri" w:hAnsi="Arial" w:cs="Arial"/>
          <w:color w:val="000000" w:themeColor="text1"/>
          <w:sz w:val="22"/>
          <w:lang w:val="es-ES_tradnl"/>
        </w:rPr>
        <w:lastRenderedPageBreak/>
        <w:t>no pueden negarse a cumplir, porque en la actualidad es un deber integrado a la garantía del principio de planeación</w:t>
      </w:r>
      <w:r w:rsidR="007A5590" w:rsidRPr="0042283A">
        <w:rPr>
          <w:rFonts w:ascii="Arial" w:eastAsia="Calibri" w:hAnsi="Arial" w:cs="Arial"/>
          <w:color w:val="000000" w:themeColor="text1"/>
          <w:sz w:val="22"/>
          <w:lang w:val="es-ES_tradnl"/>
        </w:rPr>
        <w:t>, transparencia y publicidad</w:t>
      </w:r>
      <w:r w:rsidR="004741A6" w:rsidRPr="0042283A">
        <w:rPr>
          <w:rFonts w:ascii="Arial" w:eastAsia="Calibri" w:hAnsi="Arial" w:cs="Arial"/>
          <w:color w:val="000000" w:themeColor="text1"/>
          <w:sz w:val="22"/>
          <w:lang w:val="es-ES_tradnl"/>
        </w:rPr>
        <w:t xml:space="preserve"> en la contratación estatal.</w:t>
      </w:r>
      <w:r w:rsidR="00B6541D" w:rsidRPr="0042283A">
        <w:rPr>
          <w:rFonts w:ascii="Arial" w:eastAsia="Calibri" w:hAnsi="Arial" w:cs="Arial"/>
          <w:color w:val="000000" w:themeColor="text1"/>
          <w:sz w:val="22"/>
          <w:lang w:val="es-ES_tradnl"/>
        </w:rPr>
        <w:t xml:space="preserve"> </w:t>
      </w:r>
    </w:p>
    <w:p w14:paraId="5F1AEE83" w14:textId="292D3BD3" w:rsidR="007E63EA" w:rsidRPr="0042283A" w:rsidRDefault="00B6541D" w:rsidP="00405D2F">
      <w:pPr>
        <w:spacing w:after="120" w:line="276" w:lineRule="auto"/>
        <w:ind w:firstLine="709"/>
        <w:jc w:val="both"/>
        <w:rPr>
          <w:rFonts w:ascii="Arial" w:eastAsia="Calibri" w:hAnsi="Arial" w:cs="Arial"/>
          <w:color w:val="000000" w:themeColor="text1"/>
          <w:sz w:val="22"/>
          <w:lang w:val="es-MX"/>
        </w:rPr>
      </w:pPr>
      <w:r w:rsidRPr="0042283A">
        <w:rPr>
          <w:rFonts w:ascii="Arial" w:eastAsia="Calibri" w:hAnsi="Arial" w:cs="Arial"/>
          <w:color w:val="000000" w:themeColor="text1"/>
          <w:sz w:val="22"/>
          <w:lang w:val="es-ES_tradnl"/>
        </w:rPr>
        <w:t>En consecuencia, la obligación de publicar la forma como se calcularon los precios unitarios opera sobre las entidades sometidas al Estatuto General de Contratación de la Administración Pública, en los procedimientos de selección que adelanten</w:t>
      </w:r>
      <w:r w:rsidR="00690396" w:rsidRPr="0042283A">
        <w:rPr>
          <w:rFonts w:ascii="Arial" w:eastAsia="Calibri" w:hAnsi="Arial" w:cs="Arial"/>
          <w:color w:val="000000" w:themeColor="text1"/>
          <w:sz w:val="22"/>
          <w:lang w:val="es-ES_tradnl"/>
        </w:rPr>
        <w:t>, incluidos los concursos de méritos para la selección de consultores</w:t>
      </w:r>
      <w:r w:rsidR="00C33CC1" w:rsidRPr="0042283A">
        <w:rPr>
          <w:rFonts w:ascii="Arial" w:eastAsia="Calibri" w:hAnsi="Arial" w:cs="Arial"/>
          <w:color w:val="000000" w:themeColor="text1"/>
          <w:sz w:val="22"/>
          <w:lang w:val="es-ES_tradnl"/>
        </w:rPr>
        <w:t xml:space="preserve">. Sin embargo, el mismo numeral 4 de la norma en comento establece que «Si el contrato es de concesión, la Entidad Estatal no debe publicar el modelo financiero utilizado en su estructuración». </w:t>
      </w:r>
      <w:r w:rsidRPr="0042283A">
        <w:rPr>
          <w:rFonts w:ascii="Arial" w:eastAsia="Calibri" w:hAnsi="Arial" w:cs="Arial"/>
          <w:color w:val="000000" w:themeColor="text1"/>
          <w:sz w:val="22"/>
          <w:lang w:val="es-ES_tradnl"/>
        </w:rPr>
        <w:t xml:space="preserve"> </w:t>
      </w:r>
    </w:p>
    <w:p w14:paraId="6BD891F7" w14:textId="77777777" w:rsidR="00405D2F" w:rsidRPr="0042283A" w:rsidRDefault="00405D2F" w:rsidP="00510DE9">
      <w:pPr>
        <w:tabs>
          <w:tab w:val="left" w:pos="0"/>
        </w:tabs>
        <w:jc w:val="both"/>
        <w:rPr>
          <w:rFonts w:ascii="Arial" w:eastAsia="Calibri" w:hAnsi="Arial" w:cs="Arial"/>
          <w:b/>
          <w:color w:val="000000" w:themeColor="text1"/>
          <w:sz w:val="22"/>
          <w:lang w:val="es-ES_tradnl"/>
        </w:rPr>
      </w:pPr>
    </w:p>
    <w:p w14:paraId="37CA9805" w14:textId="0ECD0F81" w:rsidR="00DD5B04" w:rsidRPr="0042283A" w:rsidRDefault="004177A6" w:rsidP="00510DE9">
      <w:pPr>
        <w:tabs>
          <w:tab w:val="left" w:pos="0"/>
        </w:tabs>
        <w:jc w:val="both"/>
        <w:rPr>
          <w:rFonts w:ascii="Arial" w:eastAsia="Calibri" w:hAnsi="Arial" w:cs="Arial"/>
          <w:b/>
          <w:color w:val="000000" w:themeColor="text1"/>
          <w:sz w:val="22"/>
          <w:lang w:val="es-ES_tradnl"/>
        </w:rPr>
      </w:pPr>
      <w:r w:rsidRPr="0042283A">
        <w:rPr>
          <w:rFonts w:ascii="Arial" w:eastAsia="Calibri" w:hAnsi="Arial" w:cs="Arial"/>
          <w:b/>
          <w:color w:val="000000" w:themeColor="text1"/>
          <w:sz w:val="22"/>
          <w:lang w:val="es-ES_tradnl"/>
        </w:rPr>
        <w:t>3</w:t>
      </w:r>
      <w:r w:rsidR="00B011A9" w:rsidRPr="0042283A">
        <w:rPr>
          <w:rFonts w:ascii="Arial" w:eastAsia="Calibri" w:hAnsi="Arial" w:cs="Arial"/>
          <w:b/>
          <w:color w:val="000000" w:themeColor="text1"/>
          <w:sz w:val="22"/>
          <w:lang w:val="es-ES_tradnl"/>
        </w:rPr>
        <w:t xml:space="preserve">. </w:t>
      </w:r>
      <w:r w:rsidR="00DD5B04" w:rsidRPr="0042283A">
        <w:rPr>
          <w:rFonts w:ascii="Arial" w:eastAsia="Calibri" w:hAnsi="Arial" w:cs="Arial"/>
          <w:b/>
          <w:color w:val="000000" w:themeColor="text1"/>
          <w:sz w:val="22"/>
          <w:lang w:val="es-ES_tradnl"/>
        </w:rPr>
        <w:t>Respuesta</w:t>
      </w:r>
    </w:p>
    <w:p w14:paraId="6EAE6234" w14:textId="32FA51EA" w:rsidR="00E00990" w:rsidRPr="0042283A" w:rsidRDefault="00E00990" w:rsidP="00510DE9">
      <w:pPr>
        <w:tabs>
          <w:tab w:val="left" w:pos="0"/>
        </w:tabs>
        <w:jc w:val="both"/>
        <w:rPr>
          <w:rFonts w:ascii="Arial" w:eastAsia="Calibri" w:hAnsi="Arial" w:cs="Arial"/>
          <w:color w:val="000000" w:themeColor="text1"/>
          <w:sz w:val="22"/>
          <w:lang w:val="es-ES_tradnl"/>
        </w:rPr>
      </w:pPr>
    </w:p>
    <w:p w14:paraId="37351047" w14:textId="77777777" w:rsidR="008A4C11" w:rsidRPr="0042283A" w:rsidRDefault="008A4C11" w:rsidP="008A4C11">
      <w:pPr>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«Teniendo en cuenta lo que reza la noma citada, a manera de ejemplo, el presupuesto de un contrato de consultoría está compuesto principalmente por costos directos del personal que ejecutará las actividades de consultoría contratadas. Dicho valor está determinado por el personal requerido, cantidad, salario, dedicación y el factor multiplicador calculado y definido por la entidad contratante.</w:t>
      </w:r>
    </w:p>
    <w:p w14:paraId="09BE3D27" w14:textId="77777777" w:rsidR="008A4C11" w:rsidRPr="0042283A" w:rsidRDefault="008A4C11" w:rsidP="008A4C11">
      <w:pPr>
        <w:ind w:left="709" w:right="709"/>
        <w:jc w:val="both"/>
        <w:rPr>
          <w:rFonts w:ascii="Arial" w:hAnsi="Arial" w:cs="Arial"/>
          <w:color w:val="000000" w:themeColor="text1"/>
          <w:sz w:val="21"/>
          <w:szCs w:val="21"/>
          <w:lang w:val="es-ES_tradnl"/>
        </w:rPr>
      </w:pPr>
    </w:p>
    <w:p w14:paraId="623CADF9" w14:textId="77777777" w:rsidR="008A4C11" w:rsidRPr="0042283A" w:rsidRDefault="008A4C11" w:rsidP="008A4C11">
      <w:pPr>
        <w:ind w:left="709" w:right="709"/>
        <w:jc w:val="both"/>
        <w:rPr>
          <w:rFonts w:ascii="Arial" w:hAnsi="Arial" w:cs="Arial"/>
          <w:color w:val="000000" w:themeColor="text1"/>
          <w:sz w:val="21"/>
          <w:szCs w:val="21"/>
          <w:lang w:val="es-ES_tradnl"/>
        </w:rPr>
      </w:pPr>
      <w:proofErr w:type="gramStart"/>
      <w:r w:rsidRPr="0042283A">
        <w:rPr>
          <w:rFonts w:ascii="Arial" w:hAnsi="Arial" w:cs="Arial"/>
          <w:color w:val="000000" w:themeColor="text1"/>
          <w:sz w:val="21"/>
          <w:szCs w:val="21"/>
          <w:lang w:val="es-ES_tradnl"/>
        </w:rPr>
        <w:t>»En</w:t>
      </w:r>
      <w:proofErr w:type="gramEnd"/>
      <w:r w:rsidRPr="0042283A">
        <w:rPr>
          <w:rFonts w:ascii="Arial" w:hAnsi="Arial" w:cs="Arial"/>
          <w:color w:val="000000" w:themeColor="text1"/>
          <w:sz w:val="21"/>
          <w:szCs w:val="21"/>
          <w:lang w:val="es-ES_tradnl"/>
        </w:rPr>
        <w:t xml:space="preserve"> este orden de ideas, y de acuerdo con lo establecido en el numeral 4 del artículo 1 del Decreto indicado en el asunto, formulo a la Agencia las siguientes consultas con respecto a la interpretación de la norma:</w:t>
      </w:r>
    </w:p>
    <w:p w14:paraId="4CEB1B1F" w14:textId="77777777" w:rsidR="008A4C11" w:rsidRPr="0042283A" w:rsidRDefault="008A4C11" w:rsidP="008A4C11">
      <w:pPr>
        <w:ind w:left="709" w:right="709"/>
        <w:jc w:val="both"/>
        <w:rPr>
          <w:rFonts w:ascii="Arial" w:hAnsi="Arial" w:cs="Arial"/>
          <w:color w:val="000000" w:themeColor="text1"/>
          <w:sz w:val="21"/>
          <w:szCs w:val="21"/>
          <w:lang w:val="es-ES_tradnl"/>
        </w:rPr>
      </w:pPr>
    </w:p>
    <w:p w14:paraId="727C6327" w14:textId="77777777" w:rsidR="008A4C11" w:rsidRPr="0042283A" w:rsidRDefault="008A4C11" w:rsidP="008A4C11">
      <w:pPr>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 ¿Es viable que una entidad estatal que adelanta un concurso de méritos para actividades de consultoría se niegue a discriminar la forma en la que calculó el valor de una o de varias de las actividades de consultoría requeridas en el objeto del contrato bajo la premisa de que esa o esas actividades no son precios unitarios sino unos “productos técnicos entregables”, por darle alguna denominación diferente a la de precio unitario, y de esta forma obviar lo establecido en el Decreto 399 con respecto a justificar o discriminar las variables con las construyó el precio o el valor de esa o esas actividades de consultoría? (sic)</w:t>
      </w:r>
    </w:p>
    <w:p w14:paraId="28F4C8C7" w14:textId="77777777" w:rsidR="008A4C11" w:rsidRPr="0042283A" w:rsidRDefault="008A4C11" w:rsidP="008A4C11">
      <w:pPr>
        <w:ind w:left="709" w:right="709"/>
        <w:jc w:val="both"/>
        <w:rPr>
          <w:rFonts w:ascii="Arial" w:hAnsi="Arial" w:cs="Arial"/>
          <w:color w:val="000000" w:themeColor="text1"/>
          <w:sz w:val="21"/>
          <w:szCs w:val="21"/>
          <w:lang w:val="es-ES_tradnl"/>
        </w:rPr>
      </w:pPr>
    </w:p>
    <w:p w14:paraId="51C74CA3" w14:textId="77777777" w:rsidR="008A4C11" w:rsidRPr="0042283A" w:rsidRDefault="008A4C11" w:rsidP="008A4C11">
      <w:pPr>
        <w:ind w:left="709" w:right="709"/>
        <w:jc w:val="both"/>
        <w:rPr>
          <w:rFonts w:ascii="Arial" w:hAnsi="Arial" w:cs="Arial"/>
          <w:color w:val="000000" w:themeColor="text1"/>
          <w:sz w:val="21"/>
          <w:szCs w:val="21"/>
          <w:lang w:val="es-ES_tradnl"/>
        </w:rPr>
      </w:pPr>
      <w:r w:rsidRPr="0042283A">
        <w:rPr>
          <w:rFonts w:ascii="Arial" w:hAnsi="Arial" w:cs="Arial"/>
          <w:color w:val="000000" w:themeColor="text1"/>
          <w:sz w:val="21"/>
          <w:szCs w:val="21"/>
          <w:lang w:val="es-ES_tradnl"/>
        </w:rPr>
        <w:t>»- Para el caso de un contrato de consultoría, ¿bajó qué condiciones una entidad estatal podría argumentar que no la cobija el numeral 4 del artículo 1 del Decreto 399 de 2021 y que, en consecuencia, no debe publicar los cálculos y estimaciones que empleó para la determinación del valor de las actividades de consultoría?</w:t>
      </w:r>
    </w:p>
    <w:p w14:paraId="65D3FAF4" w14:textId="77777777" w:rsidR="008A4C11" w:rsidRPr="0042283A" w:rsidRDefault="008A4C11" w:rsidP="008A4C11">
      <w:pPr>
        <w:ind w:left="709" w:right="709"/>
        <w:jc w:val="both"/>
        <w:rPr>
          <w:rFonts w:ascii="Arial" w:hAnsi="Arial" w:cs="Arial"/>
          <w:color w:val="000000" w:themeColor="text1"/>
          <w:sz w:val="21"/>
          <w:szCs w:val="21"/>
          <w:lang w:val="es-ES_tradnl"/>
        </w:rPr>
      </w:pPr>
    </w:p>
    <w:p w14:paraId="104F5882" w14:textId="77777777" w:rsidR="008A4C11" w:rsidRPr="0042283A" w:rsidRDefault="008A4C11" w:rsidP="008A4C11">
      <w:pPr>
        <w:ind w:left="709" w:right="709"/>
        <w:jc w:val="both"/>
        <w:rPr>
          <w:rFonts w:ascii="Arial" w:hAnsi="Arial" w:cs="Arial"/>
          <w:color w:val="000000" w:themeColor="text1"/>
          <w:sz w:val="21"/>
          <w:szCs w:val="21"/>
          <w:lang w:val="es-ES_tradnl"/>
        </w:rPr>
      </w:pPr>
      <w:proofErr w:type="gramStart"/>
      <w:r w:rsidRPr="0042283A">
        <w:rPr>
          <w:rFonts w:ascii="Arial" w:hAnsi="Arial" w:cs="Arial"/>
          <w:color w:val="000000" w:themeColor="text1"/>
          <w:sz w:val="21"/>
          <w:szCs w:val="21"/>
          <w:lang w:val="es-ES_tradnl"/>
        </w:rPr>
        <w:t>»Con</w:t>
      </w:r>
      <w:proofErr w:type="gramEnd"/>
      <w:r w:rsidRPr="0042283A">
        <w:rPr>
          <w:rFonts w:ascii="Arial" w:hAnsi="Arial" w:cs="Arial"/>
          <w:color w:val="000000" w:themeColor="text1"/>
          <w:sz w:val="21"/>
          <w:szCs w:val="21"/>
          <w:lang w:val="es-ES_tradnl"/>
        </w:rPr>
        <w:t xml:space="preserve"> base en las preguntas formuladas anteriormente, solicito a la Agencia Nacional de Contratación Pública emitir un concepto con respecto a la interpretación del numeral 4 del artículo 1 del Decreto 399 de 2021 y, así mismo indicar, de forma general, el nivel de detalle con el cual una entidad del estado debe publicar las variables empleadas para el cálculo del presupuesto de un proceso de contratación de servicios de consultoría».</w:t>
      </w:r>
    </w:p>
    <w:p w14:paraId="60171B8B" w14:textId="424203E5" w:rsidR="00E00990" w:rsidRPr="0042283A" w:rsidRDefault="00E00990" w:rsidP="00E00990">
      <w:pPr>
        <w:ind w:left="709" w:right="709"/>
        <w:jc w:val="both"/>
        <w:rPr>
          <w:rFonts w:ascii="Arial" w:hAnsi="Arial" w:cs="Arial"/>
          <w:color w:val="000000" w:themeColor="text1"/>
          <w:sz w:val="21"/>
          <w:szCs w:val="21"/>
          <w:lang w:val="es-ES_tradnl"/>
        </w:rPr>
      </w:pPr>
    </w:p>
    <w:p w14:paraId="22320FD4" w14:textId="0B4CBB27" w:rsidR="0089351F" w:rsidRPr="0042283A" w:rsidRDefault="00A31554" w:rsidP="0037640C">
      <w:pPr>
        <w:spacing w:after="120" w:line="276" w:lineRule="auto"/>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lastRenderedPageBreak/>
        <w:t>Un</w:t>
      </w:r>
      <w:r w:rsidR="0089351F" w:rsidRPr="0042283A">
        <w:rPr>
          <w:rFonts w:ascii="Arial" w:eastAsia="Calibri" w:hAnsi="Arial" w:cs="Arial"/>
          <w:color w:val="000000" w:themeColor="text1"/>
          <w:sz w:val="22"/>
          <w:lang w:val="es-ES_tradnl"/>
        </w:rPr>
        <w:t xml:space="preserve"> aspecto importante que introduce el Decreto 399 de 2021 y que incide sobre el trámite del concurso de méritos, tiene que ver con el contenido de los estudios y documentos previos que soportan el proceso de contratación. </w:t>
      </w:r>
      <w:r w:rsidR="00E16B74" w:rsidRPr="0042283A">
        <w:rPr>
          <w:rFonts w:ascii="Arial" w:eastAsia="Calibri" w:hAnsi="Arial" w:cs="Arial"/>
          <w:color w:val="000000" w:themeColor="text1"/>
          <w:sz w:val="22"/>
          <w:lang w:val="es-ES_tradnl"/>
        </w:rPr>
        <w:t>E</w:t>
      </w:r>
      <w:r w:rsidR="0089351F" w:rsidRPr="0042283A">
        <w:rPr>
          <w:rFonts w:ascii="Arial" w:eastAsia="Calibri" w:hAnsi="Arial" w:cs="Arial"/>
          <w:color w:val="000000" w:themeColor="text1"/>
          <w:sz w:val="22"/>
          <w:lang w:val="es-ES_tradnl"/>
        </w:rPr>
        <w:t>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w:t>
      </w:r>
    </w:p>
    <w:p w14:paraId="436E649A" w14:textId="521068E6" w:rsidR="00E16B74" w:rsidRPr="0042283A" w:rsidRDefault="00E16B74" w:rsidP="00E16B74">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Por tanto, a</w:t>
      </w:r>
      <w:r w:rsidR="0037640C" w:rsidRPr="0042283A">
        <w:rPr>
          <w:rFonts w:ascii="Arial" w:eastAsia="Calibri" w:hAnsi="Arial" w:cs="Arial"/>
          <w:color w:val="000000" w:themeColor="text1"/>
          <w:sz w:val="22"/>
          <w:lang w:val="es-ES_tradnl"/>
        </w:rPr>
        <w:t xml:space="preserve"> partir de la </w:t>
      </w:r>
      <w:proofErr w:type="gramStart"/>
      <w:r w:rsidR="0037640C" w:rsidRPr="0042283A">
        <w:rPr>
          <w:rFonts w:ascii="Arial" w:eastAsia="Calibri" w:hAnsi="Arial" w:cs="Arial"/>
          <w:color w:val="000000" w:themeColor="text1"/>
          <w:sz w:val="22"/>
          <w:lang w:val="es-ES_tradnl"/>
        </w:rPr>
        <w:t>entrada en vigencia</w:t>
      </w:r>
      <w:proofErr w:type="gramEnd"/>
      <w:r w:rsidR="0037640C" w:rsidRPr="0042283A">
        <w:rPr>
          <w:rFonts w:ascii="Arial" w:eastAsia="Calibri" w:hAnsi="Arial" w:cs="Arial"/>
          <w:color w:val="000000" w:themeColor="text1"/>
          <w:sz w:val="22"/>
          <w:lang w:val="es-ES_tradnl"/>
        </w:rPr>
        <w:t xml:space="preserve"> del Decreto 399 de 2021, las entidades estatales deben incluir en los estudios previos del concurso de méritos la información correspondiente a las variables empleadas para calcular el valor estimado del contrato, determinando así el presupuesto oficial</w:t>
      </w:r>
      <w:r w:rsidR="002164E8" w:rsidRPr="0042283A">
        <w:rPr>
          <w:rFonts w:ascii="Arial" w:eastAsia="Calibri" w:hAnsi="Arial" w:cs="Arial"/>
          <w:color w:val="000000" w:themeColor="text1"/>
          <w:sz w:val="22"/>
          <w:lang w:val="es-ES_tradnl"/>
        </w:rPr>
        <w:t>, en similares condiciones a lo que sucede en las demás modalidades de selección</w:t>
      </w:r>
      <w:r w:rsidR="0037640C" w:rsidRPr="0042283A">
        <w:rPr>
          <w:rFonts w:ascii="Arial" w:eastAsia="Calibri" w:hAnsi="Arial" w:cs="Arial"/>
          <w:color w:val="000000" w:themeColor="text1"/>
          <w:sz w:val="22"/>
          <w:lang w:val="es-ES_tradnl"/>
        </w:rPr>
        <w:t xml:space="preserve">.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w:t>
      </w:r>
    </w:p>
    <w:p w14:paraId="7B7ED597" w14:textId="7140D90C" w:rsidR="00E16B74" w:rsidRPr="0042283A" w:rsidRDefault="0037640C" w:rsidP="00E16B74">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 xml:space="preserve">Cabe precisar que, </w:t>
      </w:r>
      <w:r w:rsidR="002164E8" w:rsidRPr="0042283A">
        <w:rPr>
          <w:rFonts w:ascii="Arial" w:eastAsia="Calibri" w:hAnsi="Arial" w:cs="Arial"/>
          <w:color w:val="000000" w:themeColor="text1"/>
          <w:sz w:val="22"/>
          <w:lang w:val="es-ES_tradnl"/>
        </w:rPr>
        <w:t>al señalar</w:t>
      </w:r>
      <w:r w:rsidRPr="0042283A">
        <w:rPr>
          <w:rFonts w:ascii="Arial" w:eastAsia="Calibri" w:hAnsi="Arial" w:cs="Arial"/>
          <w:color w:val="000000" w:themeColor="text1"/>
          <w:sz w:val="22"/>
          <w:lang w:val="es-ES_tradnl"/>
        </w:rPr>
        <w:t xml:space="preserve"> el numeral 4 del artículo 2.2.1.1.2.1.1. del Decreto 1082 de 2015, modificado por el artículo 1 del Decreto 399 de 2021, que «Cuando el valor del contrato esté determinado por precios unitarios, la Entidad Estatal debe incluir la forma como los calculó y soportar sus cálculos presupuestales en la estimación de aquellos», esto significa, para el caso de los contratos de consultoría, que si el precio de este se calcula atendiendo al valor de las unidades –entregables o actividades– por las cantidades, se debe incluir en los estudios previos la forma como estos precios unitarios se calcularon, de acuerdo con el análisis del sector y los elementos técnicos tenidos en cuenta por la entidad contratante. </w:t>
      </w:r>
    </w:p>
    <w:p w14:paraId="4AD7E0BC" w14:textId="26D7496A" w:rsidR="00E16B74" w:rsidRPr="0042283A" w:rsidRDefault="0037640C" w:rsidP="00E16B74">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En efecto, como lo ha explicado el Consejo de Estado, «Los contratos […] por precio global son aquellos en los que el contratista, a cambio de las prestaciones a que se compromete, obtiene como remuneración una suma fija siendo el único responsable de la vinculación de personal, de la elaboración de subcontratos y de la obtención de materiales, mientras que en el contrato a precios unitarios la forma de pago es por unidades o cantidades […] y el valor total corresponde al que resulta de multiplicar las cantidades […] ejecutadas por el precio de cada una de ellas»</w:t>
      </w:r>
      <w:r w:rsidRPr="0042283A">
        <w:rPr>
          <w:rStyle w:val="Refdenotaalpie"/>
          <w:rFonts w:ascii="Arial" w:eastAsia="Calibri" w:hAnsi="Arial" w:cs="Arial"/>
          <w:color w:val="000000" w:themeColor="text1"/>
          <w:sz w:val="22"/>
          <w:lang w:val="es-ES_tradnl"/>
        </w:rPr>
        <w:footnoteReference w:id="12"/>
      </w:r>
      <w:r w:rsidRPr="0042283A">
        <w:rPr>
          <w:rFonts w:ascii="Arial" w:eastAsia="Calibri" w:hAnsi="Arial" w:cs="Arial"/>
          <w:color w:val="000000" w:themeColor="text1"/>
          <w:sz w:val="22"/>
          <w:lang w:val="es-ES_tradnl"/>
        </w:rPr>
        <w:t>. Por lo tanto, independientemente de la denominación que la entidad estatal le</w:t>
      </w:r>
      <w:r w:rsidR="00485F27" w:rsidRPr="0042283A">
        <w:rPr>
          <w:rFonts w:ascii="Arial" w:eastAsia="Calibri" w:hAnsi="Arial" w:cs="Arial"/>
          <w:color w:val="000000" w:themeColor="text1"/>
          <w:sz w:val="22"/>
          <w:lang w:val="es-ES_tradnl"/>
        </w:rPr>
        <w:t>s</w:t>
      </w:r>
      <w:r w:rsidRPr="0042283A">
        <w:rPr>
          <w:rFonts w:ascii="Arial" w:eastAsia="Calibri" w:hAnsi="Arial" w:cs="Arial"/>
          <w:color w:val="000000" w:themeColor="text1"/>
          <w:sz w:val="22"/>
          <w:lang w:val="es-ES_tradnl"/>
        </w:rPr>
        <w:t xml:space="preserve"> otorgue a las unidades de actividad del contrato de consultoría, si calcula su valor por precios unitarios, debe publicar en los estudios previos </w:t>
      </w:r>
      <w:r w:rsidRPr="0042283A">
        <w:rPr>
          <w:rFonts w:ascii="Arial" w:eastAsia="Calibri" w:hAnsi="Arial" w:cs="Arial"/>
          <w:color w:val="000000" w:themeColor="text1"/>
          <w:sz w:val="22"/>
          <w:lang w:val="es-ES_tradnl"/>
        </w:rPr>
        <w:lastRenderedPageBreak/>
        <w:t>la forma como los calculó y estimar esta metodología presupuestal. Se trata de un imperativo</w:t>
      </w:r>
      <w:r w:rsidR="00485F27" w:rsidRPr="0042283A">
        <w:rPr>
          <w:rFonts w:ascii="Arial" w:eastAsia="Calibri" w:hAnsi="Arial" w:cs="Arial"/>
          <w:color w:val="000000" w:themeColor="text1"/>
          <w:sz w:val="22"/>
          <w:lang w:val="es-ES_tradnl"/>
        </w:rPr>
        <w:t>,</w:t>
      </w:r>
      <w:r w:rsidRPr="0042283A">
        <w:rPr>
          <w:rFonts w:ascii="Arial" w:eastAsia="Calibri" w:hAnsi="Arial" w:cs="Arial"/>
          <w:color w:val="000000" w:themeColor="text1"/>
          <w:sz w:val="22"/>
          <w:lang w:val="es-ES_tradnl"/>
        </w:rPr>
        <w:t xml:space="preserve"> consagrado en el artículo 1 del Decreto 399 de 2021</w:t>
      </w:r>
      <w:r w:rsidR="00485F27" w:rsidRPr="0042283A">
        <w:rPr>
          <w:rFonts w:ascii="Arial" w:eastAsia="Calibri" w:hAnsi="Arial" w:cs="Arial"/>
          <w:color w:val="000000" w:themeColor="text1"/>
          <w:sz w:val="22"/>
          <w:lang w:val="es-ES_tradnl"/>
        </w:rPr>
        <w:t>,</w:t>
      </w:r>
      <w:r w:rsidRPr="0042283A">
        <w:rPr>
          <w:rFonts w:ascii="Arial" w:eastAsia="Calibri" w:hAnsi="Arial" w:cs="Arial"/>
          <w:color w:val="000000" w:themeColor="text1"/>
          <w:sz w:val="22"/>
          <w:lang w:val="es-ES_tradnl"/>
        </w:rPr>
        <w:t xml:space="preserve"> que las entidades estatales no pueden negarse a cumplir, porque en la actualidad es un deber integrado a la garantía del principio de planeación</w:t>
      </w:r>
      <w:r w:rsidR="002164E8" w:rsidRPr="0042283A">
        <w:rPr>
          <w:rFonts w:ascii="Arial" w:eastAsia="Calibri" w:hAnsi="Arial" w:cs="Arial"/>
          <w:color w:val="000000" w:themeColor="text1"/>
          <w:sz w:val="22"/>
          <w:lang w:val="es-ES_tradnl"/>
        </w:rPr>
        <w:t>, transparencia y publicidad</w:t>
      </w:r>
      <w:r w:rsidRPr="0042283A">
        <w:rPr>
          <w:rFonts w:ascii="Arial" w:eastAsia="Calibri" w:hAnsi="Arial" w:cs="Arial"/>
          <w:color w:val="000000" w:themeColor="text1"/>
          <w:sz w:val="22"/>
          <w:lang w:val="es-ES_tradnl"/>
        </w:rPr>
        <w:t xml:space="preserve"> en la contratación estatal. </w:t>
      </w:r>
    </w:p>
    <w:p w14:paraId="19E17D3B" w14:textId="352175CA" w:rsidR="0037640C" w:rsidRPr="0042283A" w:rsidRDefault="0037640C" w:rsidP="00E16B74">
      <w:pPr>
        <w:spacing w:before="120" w:line="276" w:lineRule="auto"/>
        <w:ind w:firstLine="709"/>
        <w:jc w:val="both"/>
        <w:rPr>
          <w:rFonts w:ascii="Arial" w:eastAsia="Calibri" w:hAnsi="Arial" w:cs="Arial"/>
          <w:color w:val="000000" w:themeColor="text1"/>
          <w:sz w:val="22"/>
          <w:lang w:val="es-ES_tradnl"/>
        </w:rPr>
      </w:pPr>
      <w:r w:rsidRPr="0042283A">
        <w:rPr>
          <w:rFonts w:ascii="Arial" w:eastAsia="Calibri" w:hAnsi="Arial" w:cs="Arial"/>
          <w:color w:val="000000" w:themeColor="text1"/>
          <w:sz w:val="22"/>
          <w:lang w:val="es-ES_tradnl"/>
        </w:rPr>
        <w:t>En consecuencia, la obligación de publicar la forma como se calcularon los precios unitarios opera sobre las entidades sometidas al Estatuto General de Contratación de la Administración Pública, en los procedimientos de selección que adelanten, incluidos los concursos de méritos para la selección de consultores. Sin embargo, el mismo numeral 4 de la norma en comento establece que «Si el contrato es de concesión, la Entidad Estatal no debe publicar el modelo financiero utilizado en su estructuración»</w:t>
      </w:r>
      <w:r w:rsidR="00AD455B" w:rsidRPr="0042283A">
        <w:rPr>
          <w:rFonts w:ascii="Arial" w:eastAsia="Calibri" w:hAnsi="Arial" w:cs="Arial"/>
          <w:color w:val="000000" w:themeColor="text1"/>
          <w:sz w:val="22"/>
          <w:lang w:val="es-ES_tradnl"/>
        </w:rPr>
        <w:t>, por lo que las entidades est</w:t>
      </w:r>
      <w:r w:rsidR="00B974E4" w:rsidRPr="0042283A">
        <w:rPr>
          <w:rFonts w:ascii="Arial" w:eastAsia="Calibri" w:hAnsi="Arial" w:cs="Arial"/>
          <w:color w:val="000000" w:themeColor="text1"/>
          <w:sz w:val="22"/>
          <w:lang w:val="es-ES_tradnl"/>
        </w:rPr>
        <w:t>arán</w:t>
      </w:r>
      <w:r w:rsidR="00AD455B" w:rsidRPr="0042283A">
        <w:rPr>
          <w:rFonts w:ascii="Arial" w:eastAsia="Calibri" w:hAnsi="Arial" w:cs="Arial"/>
          <w:color w:val="000000" w:themeColor="text1"/>
          <w:sz w:val="22"/>
          <w:lang w:val="es-ES_tradnl"/>
        </w:rPr>
        <w:t xml:space="preserve"> exentas de publicar</w:t>
      </w:r>
      <w:r w:rsidR="00111115" w:rsidRPr="0042283A">
        <w:rPr>
          <w:rFonts w:ascii="Arial" w:eastAsia="Calibri" w:hAnsi="Arial" w:cs="Arial"/>
          <w:color w:val="000000" w:themeColor="text1"/>
          <w:sz w:val="22"/>
          <w:lang w:val="es-ES_tradnl"/>
        </w:rPr>
        <w:t>lo</w:t>
      </w:r>
      <w:r w:rsidR="00AD455B" w:rsidRPr="0042283A">
        <w:rPr>
          <w:rFonts w:ascii="Arial" w:eastAsia="Calibri" w:hAnsi="Arial" w:cs="Arial"/>
          <w:color w:val="000000" w:themeColor="text1"/>
          <w:sz w:val="22"/>
          <w:lang w:val="es-ES_tradnl"/>
        </w:rPr>
        <w:t xml:space="preserve"> cuando celebren este tipo contractual</w:t>
      </w:r>
      <w:r w:rsidRPr="0042283A">
        <w:rPr>
          <w:rFonts w:ascii="Arial" w:eastAsia="Calibri" w:hAnsi="Arial" w:cs="Arial"/>
          <w:color w:val="000000" w:themeColor="text1"/>
          <w:sz w:val="22"/>
          <w:lang w:val="es-ES_tradnl"/>
        </w:rPr>
        <w:t xml:space="preserve">.  </w:t>
      </w:r>
    </w:p>
    <w:p w14:paraId="18B33146" w14:textId="584EC35D" w:rsidR="002306BF" w:rsidRPr="0042283A" w:rsidRDefault="002306BF" w:rsidP="009E03C7">
      <w:pPr>
        <w:spacing w:line="276" w:lineRule="auto"/>
        <w:jc w:val="both"/>
        <w:rPr>
          <w:rFonts w:ascii="Arial" w:hAnsi="Arial" w:cs="Arial"/>
          <w:color w:val="000000" w:themeColor="text1"/>
          <w:sz w:val="22"/>
          <w:szCs w:val="22"/>
          <w:lang w:val="es-ES_tradnl"/>
        </w:rPr>
      </w:pPr>
    </w:p>
    <w:p w14:paraId="7B2C921D" w14:textId="0F929B38" w:rsidR="00DD5B04" w:rsidRPr="0042283A" w:rsidRDefault="00DD5B04" w:rsidP="00DF76A2">
      <w:pPr>
        <w:spacing w:line="276" w:lineRule="auto"/>
        <w:jc w:val="both"/>
        <w:rPr>
          <w:rFonts w:ascii="Arial" w:hAnsi="Arial" w:cs="Arial"/>
          <w:color w:val="000000" w:themeColor="text1"/>
          <w:sz w:val="22"/>
          <w:lang w:val="es-ES_tradnl"/>
        </w:rPr>
      </w:pPr>
      <w:r w:rsidRPr="0042283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2283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EEC4049" w14:textId="5389CCD1" w:rsidR="00973BE5" w:rsidRPr="0042283A" w:rsidRDefault="00DD5B04" w:rsidP="00973BE5">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2283A">
        <w:rPr>
          <w:rFonts w:ascii="Arial" w:hAnsi="Arial" w:cs="Arial"/>
          <w:color w:val="000000" w:themeColor="text1"/>
          <w:sz w:val="22"/>
          <w:szCs w:val="22"/>
          <w:lang w:val="es-ES_tradnl"/>
        </w:rPr>
        <w:t>Atentamente,</w:t>
      </w:r>
    </w:p>
    <w:p w14:paraId="688360DD" w14:textId="77777777" w:rsidR="00973BE5" w:rsidRPr="0042283A" w:rsidRDefault="00973BE5" w:rsidP="00973BE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86B0543" w14:textId="14A31916" w:rsidR="00973BE5" w:rsidRPr="0042283A" w:rsidRDefault="002A7678" w:rsidP="002A7678">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50062148" wp14:editId="16379B27">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1CB5C5E4" w14:textId="77777777" w:rsidR="00973BE5" w:rsidRPr="0042283A" w:rsidRDefault="00973BE5" w:rsidP="00973BE5">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73BE5" w:rsidRPr="0042283A" w14:paraId="7F6E5689" w14:textId="77777777" w:rsidTr="0031268B">
        <w:trPr>
          <w:trHeight w:val="315"/>
        </w:trPr>
        <w:tc>
          <w:tcPr>
            <w:tcW w:w="812" w:type="dxa"/>
            <w:vAlign w:val="center"/>
            <w:hideMark/>
          </w:tcPr>
          <w:p w14:paraId="04757A8C" w14:textId="77777777" w:rsidR="00973BE5" w:rsidRPr="0042283A" w:rsidRDefault="00973BE5" w:rsidP="0031268B">
            <w:pPr>
              <w:jc w:val="both"/>
              <w:rPr>
                <w:rFonts w:ascii="Arial" w:hAnsi="Arial" w:cs="Arial"/>
                <w:color w:val="000000" w:themeColor="text1"/>
                <w:sz w:val="16"/>
                <w:szCs w:val="16"/>
                <w:lang w:val="es-ES_tradnl" w:eastAsia="es-ES"/>
              </w:rPr>
            </w:pPr>
            <w:r w:rsidRPr="0042283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9EB019C" w14:textId="77777777" w:rsidR="00973BE5" w:rsidRPr="0042283A" w:rsidRDefault="00973BE5" w:rsidP="0031268B">
            <w:pPr>
              <w:jc w:val="both"/>
              <w:rPr>
                <w:rFonts w:ascii="Arial" w:hAnsi="Arial" w:cs="Arial"/>
                <w:color w:val="000000" w:themeColor="text1"/>
                <w:sz w:val="16"/>
                <w:szCs w:val="16"/>
                <w:lang w:val="es-ES_tradnl" w:eastAsia="es-ES"/>
              </w:rPr>
            </w:pPr>
            <w:r w:rsidRPr="0042283A">
              <w:rPr>
                <w:rFonts w:ascii="Arial" w:hAnsi="Arial" w:cs="Arial"/>
                <w:color w:val="000000" w:themeColor="text1"/>
                <w:sz w:val="16"/>
                <w:szCs w:val="16"/>
                <w:lang w:val="es-ES_tradnl" w:eastAsia="es-ES"/>
              </w:rPr>
              <w:t>Cristian Andrés Díaz Díez</w:t>
            </w:r>
          </w:p>
          <w:p w14:paraId="37A992B7" w14:textId="77777777" w:rsidR="00973BE5" w:rsidRPr="0042283A" w:rsidRDefault="00973BE5" w:rsidP="0031268B">
            <w:pPr>
              <w:jc w:val="both"/>
              <w:rPr>
                <w:rFonts w:ascii="Arial" w:hAnsi="Arial" w:cs="Arial"/>
                <w:color w:val="000000" w:themeColor="text1"/>
                <w:sz w:val="16"/>
                <w:szCs w:val="16"/>
                <w:lang w:val="es-ES_tradnl" w:eastAsia="es-ES"/>
              </w:rPr>
            </w:pPr>
            <w:r w:rsidRPr="0042283A">
              <w:rPr>
                <w:rFonts w:ascii="Arial" w:hAnsi="Arial" w:cs="Arial"/>
                <w:color w:val="000000" w:themeColor="text1"/>
                <w:sz w:val="16"/>
                <w:szCs w:val="16"/>
                <w:lang w:val="es-ES_tradnl" w:eastAsia="es-ES"/>
              </w:rPr>
              <w:t>Contratista de la Subdirección de Gestión Contractual</w:t>
            </w:r>
          </w:p>
        </w:tc>
      </w:tr>
      <w:tr w:rsidR="00973BE5" w:rsidRPr="0042283A" w14:paraId="03611D2A" w14:textId="77777777" w:rsidTr="0031268B">
        <w:trPr>
          <w:trHeight w:val="330"/>
        </w:trPr>
        <w:tc>
          <w:tcPr>
            <w:tcW w:w="812" w:type="dxa"/>
            <w:vAlign w:val="center"/>
            <w:hideMark/>
          </w:tcPr>
          <w:p w14:paraId="46FAC0BA" w14:textId="77777777" w:rsidR="00973BE5" w:rsidRPr="0042283A" w:rsidRDefault="00973BE5" w:rsidP="0031268B">
            <w:pPr>
              <w:jc w:val="both"/>
              <w:rPr>
                <w:rFonts w:ascii="Arial" w:hAnsi="Arial" w:cs="Arial"/>
                <w:color w:val="000000" w:themeColor="text1"/>
                <w:sz w:val="16"/>
                <w:szCs w:val="16"/>
                <w:lang w:val="es-ES_tradnl" w:eastAsia="es-ES"/>
              </w:rPr>
            </w:pPr>
            <w:r w:rsidRPr="0042283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C07C42" w14:textId="77777777" w:rsidR="00973BE5" w:rsidRPr="0042283A" w:rsidRDefault="00973BE5" w:rsidP="0031268B">
            <w:pPr>
              <w:jc w:val="both"/>
              <w:rPr>
                <w:rFonts w:ascii="Arial" w:hAnsi="Arial" w:cs="Arial"/>
                <w:color w:val="000000" w:themeColor="text1"/>
                <w:sz w:val="16"/>
                <w:szCs w:val="16"/>
                <w:lang w:val="es-ES_tradnl" w:eastAsia="es-ES"/>
              </w:rPr>
            </w:pPr>
            <w:r w:rsidRPr="0042283A">
              <w:rPr>
                <w:rFonts w:ascii="Arial" w:hAnsi="Arial" w:cs="Arial"/>
                <w:color w:val="000000" w:themeColor="text1"/>
                <w:sz w:val="16"/>
                <w:szCs w:val="16"/>
                <w:lang w:val="es-ES_tradnl" w:eastAsia="es-ES"/>
              </w:rPr>
              <w:t>Sebastián Ramírez Grisales</w:t>
            </w:r>
          </w:p>
          <w:p w14:paraId="1F6BBDE8" w14:textId="77777777" w:rsidR="00973BE5" w:rsidRPr="0042283A" w:rsidRDefault="00973BE5" w:rsidP="0031268B">
            <w:pPr>
              <w:jc w:val="both"/>
              <w:rPr>
                <w:rFonts w:ascii="Arial" w:hAnsi="Arial" w:cs="Arial"/>
                <w:color w:val="000000" w:themeColor="text1"/>
                <w:sz w:val="16"/>
                <w:szCs w:val="16"/>
                <w:lang w:val="es-ES_tradnl" w:eastAsia="es-ES"/>
              </w:rPr>
            </w:pPr>
            <w:r w:rsidRPr="0042283A">
              <w:rPr>
                <w:rFonts w:ascii="Arial" w:hAnsi="Arial" w:cs="Arial"/>
                <w:color w:val="000000" w:themeColor="text1"/>
                <w:sz w:val="16"/>
                <w:szCs w:val="16"/>
                <w:lang w:val="es-ES_tradnl" w:eastAsia="es-ES"/>
              </w:rPr>
              <w:t xml:space="preserve">Contratista de la Subdirección de Gestión Contractual  </w:t>
            </w:r>
          </w:p>
        </w:tc>
      </w:tr>
      <w:tr w:rsidR="00973BE5" w:rsidRPr="005A69FC" w14:paraId="61E5B95E" w14:textId="77777777" w:rsidTr="0031268B">
        <w:trPr>
          <w:trHeight w:val="300"/>
        </w:trPr>
        <w:tc>
          <w:tcPr>
            <w:tcW w:w="812" w:type="dxa"/>
            <w:vAlign w:val="center"/>
            <w:hideMark/>
          </w:tcPr>
          <w:p w14:paraId="3FA88A5B" w14:textId="77777777" w:rsidR="00973BE5" w:rsidRPr="0042283A" w:rsidRDefault="00973BE5" w:rsidP="0031268B">
            <w:pPr>
              <w:jc w:val="both"/>
              <w:rPr>
                <w:rFonts w:ascii="Arial" w:hAnsi="Arial" w:cs="Arial"/>
                <w:color w:val="000000" w:themeColor="text1"/>
                <w:sz w:val="16"/>
                <w:szCs w:val="16"/>
                <w:lang w:val="es-ES_tradnl" w:eastAsia="es-ES"/>
              </w:rPr>
            </w:pPr>
            <w:r w:rsidRPr="0042283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D0A471" w14:textId="77777777" w:rsidR="00973BE5" w:rsidRPr="0042283A" w:rsidRDefault="00973BE5" w:rsidP="0031268B">
            <w:pPr>
              <w:jc w:val="both"/>
              <w:rPr>
                <w:rFonts w:ascii="Arial" w:hAnsi="Arial" w:cs="Arial"/>
                <w:color w:val="000000" w:themeColor="text1"/>
                <w:sz w:val="16"/>
                <w:szCs w:val="16"/>
                <w:lang w:val="es-ES_tradnl" w:eastAsia="es-ES"/>
              </w:rPr>
            </w:pPr>
            <w:r w:rsidRPr="0042283A">
              <w:rPr>
                <w:rFonts w:ascii="Arial" w:hAnsi="Arial" w:cs="Arial"/>
                <w:color w:val="000000" w:themeColor="text1"/>
                <w:sz w:val="16"/>
                <w:szCs w:val="16"/>
                <w:lang w:val="es-ES_tradnl" w:eastAsia="es-ES"/>
              </w:rPr>
              <w:t>Jorge Augusto Tirado Navarro</w:t>
            </w:r>
          </w:p>
          <w:p w14:paraId="424165A8" w14:textId="77777777" w:rsidR="00973BE5" w:rsidRPr="005A69FC" w:rsidRDefault="00973BE5" w:rsidP="0031268B">
            <w:pPr>
              <w:jc w:val="both"/>
              <w:rPr>
                <w:rFonts w:ascii="Arial" w:hAnsi="Arial" w:cs="Arial"/>
                <w:color w:val="000000" w:themeColor="text1"/>
                <w:sz w:val="16"/>
                <w:szCs w:val="16"/>
                <w:lang w:val="es-ES_tradnl" w:eastAsia="es-ES"/>
              </w:rPr>
            </w:pPr>
            <w:r w:rsidRPr="0042283A">
              <w:rPr>
                <w:rFonts w:ascii="Arial" w:hAnsi="Arial" w:cs="Arial"/>
                <w:color w:val="000000" w:themeColor="text1"/>
                <w:sz w:val="16"/>
                <w:szCs w:val="16"/>
                <w:lang w:val="es-ES_tradnl" w:eastAsia="es-ES"/>
              </w:rPr>
              <w:t>Subdirector de Gestión Contractual ANCP – CCE</w:t>
            </w:r>
          </w:p>
        </w:tc>
      </w:tr>
    </w:tbl>
    <w:p w14:paraId="45053519" w14:textId="77777777" w:rsidR="00973BE5" w:rsidRPr="005A69FC" w:rsidRDefault="00973BE5" w:rsidP="00973BE5">
      <w:pPr>
        <w:rPr>
          <w:rFonts w:ascii="Arial" w:hAnsi="Arial" w:cs="Arial"/>
          <w:color w:val="000000" w:themeColor="text1"/>
          <w:lang w:val="es-ES_tradnl"/>
        </w:rPr>
      </w:pPr>
    </w:p>
    <w:p w14:paraId="35B56F46" w14:textId="77777777" w:rsidR="00746E08" w:rsidRPr="004A121B" w:rsidRDefault="00746E08" w:rsidP="00973BE5">
      <w:pPr>
        <w:pStyle w:val="NormalWeb"/>
        <w:spacing w:before="0" w:beforeAutospacing="0" w:after="0" w:afterAutospacing="0" w:line="276" w:lineRule="auto"/>
        <w:jc w:val="both"/>
        <w:rPr>
          <w:rFonts w:ascii="Arial" w:hAnsi="Arial" w:cs="Arial"/>
          <w:lang w:val="es-ES_tradnl"/>
        </w:rPr>
      </w:pPr>
    </w:p>
    <w:sectPr w:rsidR="00746E08" w:rsidRPr="004A121B"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8E49" w14:textId="77777777" w:rsidR="00A1032F" w:rsidRDefault="00A1032F">
      <w:r>
        <w:separator/>
      </w:r>
    </w:p>
  </w:endnote>
  <w:endnote w:type="continuationSeparator" w:id="0">
    <w:p w14:paraId="4FCEB61F" w14:textId="77777777" w:rsidR="00A1032F" w:rsidRDefault="00A1032F">
      <w:r>
        <w:continuationSeparator/>
      </w:r>
    </w:p>
  </w:endnote>
  <w:endnote w:type="continuationNotice" w:id="1">
    <w:p w14:paraId="1B778305" w14:textId="77777777" w:rsidR="00A1032F" w:rsidRDefault="00A10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53F92E14" w14:textId="77777777" w:rsidR="00E86DA7" w:rsidRDefault="00E86D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E73C" w14:textId="77777777" w:rsidR="00A1032F" w:rsidRDefault="00A1032F">
      <w:r>
        <w:separator/>
      </w:r>
    </w:p>
  </w:footnote>
  <w:footnote w:type="continuationSeparator" w:id="0">
    <w:p w14:paraId="2F0B79E8" w14:textId="77777777" w:rsidR="00A1032F" w:rsidRDefault="00A1032F">
      <w:r>
        <w:continuationSeparator/>
      </w:r>
    </w:p>
  </w:footnote>
  <w:footnote w:type="continuationNotice" w:id="1">
    <w:p w14:paraId="393A9FB0" w14:textId="77777777" w:rsidR="00A1032F" w:rsidRDefault="00A1032F"/>
  </w:footnote>
  <w:footnote w:id="2">
    <w:p w14:paraId="0638370E" w14:textId="77777777" w:rsidR="00D169D8" w:rsidRPr="00734608" w:rsidRDefault="00D169D8" w:rsidP="00734608">
      <w:pPr>
        <w:pStyle w:val="Textonotapie"/>
        <w:ind w:firstLine="709"/>
        <w:jc w:val="both"/>
        <w:rPr>
          <w:rFonts w:ascii="Arial" w:hAnsi="Arial" w:cs="Arial"/>
          <w:color w:val="000000" w:themeColor="text1"/>
          <w:sz w:val="19"/>
          <w:szCs w:val="19"/>
          <w:lang w:val="es-ES"/>
        </w:rPr>
      </w:pPr>
      <w:r w:rsidRPr="00734608">
        <w:rPr>
          <w:rStyle w:val="Refdenotaalpie"/>
          <w:rFonts w:ascii="Arial" w:hAnsi="Arial" w:cs="Arial"/>
          <w:color w:val="000000" w:themeColor="text1"/>
          <w:sz w:val="19"/>
          <w:szCs w:val="19"/>
        </w:rPr>
        <w:footnoteRef/>
      </w:r>
      <w:r w:rsidRPr="00734608">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34608">
        <w:rPr>
          <w:rFonts w:ascii="Arial" w:hAnsi="Arial" w:cs="Arial"/>
          <w:i/>
          <w:iCs/>
          <w:color w:val="000000" w:themeColor="text1"/>
          <w:sz w:val="19"/>
          <w:szCs w:val="19"/>
        </w:rPr>
        <w:t xml:space="preserve">ibidem </w:t>
      </w:r>
      <w:r w:rsidRPr="00734608">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0F67198" w14:textId="77777777" w:rsidR="00942641" w:rsidRPr="00734608" w:rsidRDefault="00942641" w:rsidP="00734608">
      <w:pPr>
        <w:pStyle w:val="Textonotapie"/>
        <w:ind w:firstLine="709"/>
        <w:jc w:val="both"/>
        <w:rPr>
          <w:rFonts w:ascii="Arial" w:hAnsi="Arial" w:cs="Arial"/>
          <w:color w:val="000000" w:themeColor="text1"/>
          <w:sz w:val="19"/>
          <w:szCs w:val="19"/>
        </w:rPr>
      </w:pPr>
      <w:r w:rsidRPr="00734608">
        <w:rPr>
          <w:rStyle w:val="Refdenotaalpie"/>
          <w:rFonts w:ascii="Arial" w:hAnsi="Arial" w:cs="Arial"/>
          <w:color w:val="000000" w:themeColor="text1"/>
          <w:sz w:val="19"/>
          <w:szCs w:val="19"/>
        </w:rPr>
        <w:footnoteRef/>
      </w:r>
      <w:r w:rsidRPr="00734608">
        <w:rPr>
          <w:rFonts w:ascii="Arial" w:hAnsi="Arial" w:cs="Arial"/>
          <w:color w:val="000000" w:themeColor="text1"/>
          <w:sz w:val="19"/>
          <w:szCs w:val="19"/>
        </w:rPr>
        <w:t xml:space="preserve"> </w:t>
      </w:r>
      <w:r w:rsidRPr="00734608">
        <w:rPr>
          <w:rFonts w:ascii="Arial" w:hAnsi="Arial" w:cs="Arial"/>
          <w:color w:val="000000" w:themeColor="text1"/>
          <w:sz w:val="19"/>
          <w:szCs w:val="19"/>
        </w:rPr>
        <w:t xml:space="preserve">CONSEJO DE ESTADO. Sección Tercera. Subsección A. Auto del 25 de julio de 2018. Rad. 56.165A. C.P. Marta Nubia Velásquez Rico. </w:t>
      </w:r>
    </w:p>
    <w:p w14:paraId="4970B819" w14:textId="77777777" w:rsidR="00942641" w:rsidRPr="00734608" w:rsidRDefault="00942641" w:rsidP="00734608">
      <w:pPr>
        <w:pStyle w:val="Textonotapie"/>
        <w:ind w:firstLine="709"/>
        <w:jc w:val="both"/>
        <w:rPr>
          <w:rFonts w:ascii="Arial" w:hAnsi="Arial" w:cs="Arial"/>
          <w:color w:val="000000" w:themeColor="text1"/>
          <w:sz w:val="19"/>
          <w:szCs w:val="19"/>
          <w:lang w:val="es-ES"/>
        </w:rPr>
      </w:pPr>
    </w:p>
  </w:footnote>
  <w:footnote w:id="4">
    <w:p w14:paraId="045375CC" w14:textId="77777777" w:rsidR="00942641" w:rsidRPr="00734608" w:rsidRDefault="00942641" w:rsidP="00734608">
      <w:pPr>
        <w:pStyle w:val="Textonotapie"/>
        <w:ind w:firstLine="709"/>
        <w:jc w:val="both"/>
        <w:rPr>
          <w:rFonts w:ascii="Arial" w:hAnsi="Arial" w:cs="Arial"/>
          <w:color w:val="000000" w:themeColor="text1"/>
          <w:sz w:val="19"/>
          <w:szCs w:val="19"/>
          <w:lang w:val="es-ES"/>
        </w:rPr>
      </w:pPr>
      <w:r w:rsidRPr="00734608">
        <w:rPr>
          <w:rStyle w:val="Refdenotaalpie"/>
          <w:rFonts w:ascii="Arial" w:hAnsi="Arial" w:cs="Arial"/>
          <w:color w:val="000000" w:themeColor="text1"/>
          <w:sz w:val="19"/>
          <w:szCs w:val="19"/>
        </w:rPr>
        <w:footnoteRef/>
      </w:r>
      <w:r w:rsidRPr="00734608">
        <w:rPr>
          <w:rFonts w:ascii="Arial" w:hAnsi="Arial" w:cs="Arial"/>
          <w:color w:val="000000" w:themeColor="text1"/>
          <w:sz w:val="19"/>
          <w:szCs w:val="19"/>
        </w:rPr>
        <w:t xml:space="preserve"> </w:t>
      </w:r>
      <w:bookmarkStart w:id="7" w:name="_Hlk43903111"/>
      <w:r w:rsidRPr="00734608">
        <w:rPr>
          <w:rFonts w:ascii="Arial" w:hAnsi="Arial" w:cs="Arial"/>
          <w:color w:val="000000" w:themeColor="text1"/>
          <w:sz w:val="19"/>
          <w:szCs w:val="19"/>
        </w:rPr>
        <w:t>CONSEJO DE ESTADO. Sección Tercera. Subsección A. Auto del 20 de febrero de 2019. Rad. 61.463. C.P. Carlos Alberto Zambrano Barrera.</w:t>
      </w:r>
      <w:bookmarkEnd w:id="7"/>
    </w:p>
  </w:footnote>
  <w:footnote w:id="5">
    <w:p w14:paraId="10DAB701" w14:textId="428765A6" w:rsidR="00942641" w:rsidRPr="00734608" w:rsidRDefault="00942641" w:rsidP="00734608">
      <w:pPr>
        <w:pStyle w:val="Textonotapie"/>
        <w:ind w:firstLine="709"/>
        <w:jc w:val="both"/>
        <w:rPr>
          <w:rFonts w:ascii="Arial" w:hAnsi="Arial" w:cs="Arial"/>
          <w:color w:val="000000" w:themeColor="text1"/>
          <w:sz w:val="19"/>
          <w:szCs w:val="19"/>
        </w:rPr>
      </w:pPr>
      <w:r w:rsidRPr="00734608">
        <w:rPr>
          <w:rStyle w:val="Refdenotaalpie"/>
          <w:rFonts w:ascii="Arial" w:hAnsi="Arial" w:cs="Arial"/>
          <w:color w:val="000000" w:themeColor="text1"/>
          <w:sz w:val="19"/>
          <w:szCs w:val="19"/>
        </w:rPr>
        <w:footnoteRef/>
      </w:r>
      <w:r w:rsidRPr="00734608">
        <w:rPr>
          <w:rFonts w:ascii="Arial" w:hAnsi="Arial" w:cs="Arial"/>
          <w:color w:val="000000" w:themeColor="text1"/>
          <w:sz w:val="19"/>
          <w:szCs w:val="19"/>
        </w:rPr>
        <w:t xml:space="preserve"> </w:t>
      </w:r>
      <w:r w:rsidRPr="00734608">
        <w:rPr>
          <w:rFonts w:ascii="Arial" w:hAnsi="Arial" w:cs="Arial"/>
          <w:color w:val="000000" w:themeColor="text1"/>
          <w:sz w:val="19"/>
          <w:szCs w:val="19"/>
        </w:rPr>
        <w:t>Sobre este aspecto, «[…] los numerales 3, 4 y 5 del artículo 2.2.1.2.1.3.2 del decreto acusado resultan violatorios del citado artículo 5, numeral 4, de la Ley 1150 de 2007, pues, en efecto, revisar la coherencia del «</w:t>
      </w:r>
      <w:r w:rsidR="008E0A71" w:rsidRPr="00734608">
        <w:rPr>
          <w:rFonts w:ascii="Arial" w:hAnsi="Arial" w:cs="Arial"/>
          <w:color w:val="000000" w:themeColor="text1"/>
          <w:sz w:val="19"/>
          <w:szCs w:val="19"/>
        </w:rPr>
        <w:t>[</w:t>
      </w:r>
      <w:r w:rsidRPr="00734608">
        <w:rPr>
          <w:rFonts w:ascii="Arial" w:hAnsi="Arial" w:cs="Arial"/>
          <w:color w:val="000000" w:themeColor="text1"/>
          <w:sz w:val="19"/>
          <w:szCs w:val="19"/>
        </w:rPr>
        <w:t>…</w:t>
      </w:r>
      <w:r w:rsidR="008E0A71" w:rsidRPr="00734608">
        <w:rPr>
          <w:rFonts w:ascii="Arial" w:hAnsi="Arial" w:cs="Arial"/>
          <w:color w:val="000000" w:themeColor="text1"/>
          <w:sz w:val="19"/>
          <w:szCs w:val="19"/>
        </w:rPr>
        <w:t xml:space="preserve">] </w:t>
      </w:r>
      <w:r w:rsidRPr="00734608">
        <w:rPr>
          <w:rFonts w:ascii="Arial" w:hAnsi="Arial" w:cs="Arial"/>
          <w:color w:val="000000" w:themeColor="text1"/>
          <w:sz w:val="19"/>
          <w:szCs w:val="19"/>
        </w:rPr>
        <w:t xml:space="preserve">precio ofrecido </w:t>
      </w:r>
      <w:r w:rsidR="008E0A71" w:rsidRPr="00734608">
        <w:rPr>
          <w:rFonts w:ascii="Arial" w:hAnsi="Arial" w:cs="Arial"/>
          <w:color w:val="000000" w:themeColor="text1"/>
          <w:sz w:val="19"/>
          <w:szCs w:val="19"/>
        </w:rPr>
        <w:t>[</w:t>
      </w:r>
      <w:r w:rsidRPr="00734608">
        <w:rPr>
          <w:rFonts w:ascii="Arial" w:hAnsi="Arial" w:cs="Arial"/>
          <w:color w:val="000000" w:themeColor="text1"/>
          <w:sz w:val="19"/>
          <w:szCs w:val="19"/>
        </w:rPr>
        <w:t>…</w:t>
      </w:r>
      <w:r w:rsidR="008E0A71" w:rsidRPr="00734608">
        <w:rPr>
          <w:rFonts w:ascii="Arial" w:hAnsi="Arial" w:cs="Arial"/>
          <w:color w:val="000000" w:themeColor="text1"/>
          <w:sz w:val="19"/>
          <w:szCs w:val="19"/>
        </w:rPr>
        <w:t>]</w:t>
      </w:r>
      <w:r w:rsidRPr="00734608">
        <w:rPr>
          <w:rFonts w:ascii="Arial" w:hAnsi="Arial" w:cs="Arial"/>
          <w:color w:val="000000" w:themeColor="text1"/>
          <w:sz w:val="19"/>
          <w:szCs w:val="19"/>
        </w:rPr>
        <w:t>»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31AB5511" w14:textId="47B4FB6A" w:rsidR="00942641" w:rsidRPr="00734608" w:rsidRDefault="00942641" w:rsidP="00734608">
      <w:pPr>
        <w:pStyle w:val="Textonotapie"/>
        <w:ind w:firstLine="709"/>
        <w:jc w:val="both"/>
        <w:rPr>
          <w:rFonts w:ascii="Arial" w:hAnsi="Arial" w:cs="Arial"/>
          <w:color w:val="000000" w:themeColor="text1"/>
          <w:sz w:val="19"/>
          <w:szCs w:val="19"/>
        </w:rPr>
      </w:pPr>
      <w:r w:rsidRPr="00734608">
        <w:rPr>
          <w:rFonts w:ascii="Arial" w:hAnsi="Arial" w:cs="Arial"/>
          <w:color w:val="000000" w:themeColor="text1"/>
          <w:sz w:val="19"/>
          <w:szCs w:val="19"/>
        </w:rPr>
        <w:t>»Sumado a lo anterior, el Despacho encuentra que los numerales 4 y 5 del artículo 2.2.1.2.1.3.2 del decreto acusado violan lo dispuesto en el numeral 2 del artículo 25 de la ley 80 de 1993, pues es claro que se siguen «</w:t>
      </w:r>
      <w:r w:rsidR="008E0A71" w:rsidRPr="00734608">
        <w:rPr>
          <w:rFonts w:ascii="Arial" w:hAnsi="Arial" w:cs="Arial"/>
          <w:color w:val="000000" w:themeColor="text1"/>
          <w:sz w:val="19"/>
          <w:szCs w:val="19"/>
        </w:rPr>
        <w:t>[</w:t>
      </w:r>
      <w:r w:rsidRPr="00734608">
        <w:rPr>
          <w:rFonts w:ascii="Arial" w:hAnsi="Arial" w:cs="Arial"/>
          <w:color w:val="000000" w:themeColor="text1"/>
          <w:sz w:val="19"/>
          <w:szCs w:val="19"/>
        </w:rPr>
        <w:t>…</w:t>
      </w:r>
      <w:r w:rsidR="008E0A71" w:rsidRPr="00734608">
        <w:rPr>
          <w:rFonts w:ascii="Arial" w:hAnsi="Arial" w:cs="Arial"/>
          <w:color w:val="000000" w:themeColor="text1"/>
          <w:sz w:val="19"/>
          <w:szCs w:val="19"/>
        </w:rPr>
        <w:t xml:space="preserve">] </w:t>
      </w:r>
      <w:r w:rsidRPr="00734608">
        <w:rPr>
          <w:rFonts w:ascii="Arial" w:hAnsi="Arial" w:cs="Arial"/>
          <w:color w:val="000000" w:themeColor="text1"/>
          <w:sz w:val="19"/>
          <w:szCs w:val="19"/>
        </w:rPr>
        <w:t xml:space="preserve">trámites distintos y adicionales a los expresamente previstos </w:t>
      </w:r>
      <w:r w:rsidR="008E0A71" w:rsidRPr="00734608">
        <w:rPr>
          <w:rFonts w:ascii="Arial" w:hAnsi="Arial" w:cs="Arial"/>
          <w:color w:val="000000" w:themeColor="text1"/>
          <w:sz w:val="19"/>
          <w:szCs w:val="19"/>
        </w:rPr>
        <w:t>[</w:t>
      </w:r>
      <w:r w:rsidRPr="00734608">
        <w:rPr>
          <w:rFonts w:ascii="Arial" w:hAnsi="Arial" w:cs="Arial"/>
          <w:color w:val="000000" w:themeColor="text1"/>
          <w:sz w:val="19"/>
          <w:szCs w:val="19"/>
        </w:rPr>
        <w:t>…</w:t>
      </w:r>
      <w:r w:rsidR="008E0A71" w:rsidRPr="00734608">
        <w:rPr>
          <w:rFonts w:ascii="Arial" w:hAnsi="Arial" w:cs="Arial"/>
          <w:color w:val="000000" w:themeColor="text1"/>
          <w:sz w:val="19"/>
          <w:szCs w:val="19"/>
        </w:rPr>
        <w:t>]</w:t>
      </w:r>
      <w:r w:rsidRPr="00734608">
        <w:rPr>
          <w:rFonts w:ascii="Arial" w:hAnsi="Arial" w:cs="Arial"/>
          <w:color w:val="000000" w:themeColor="text1"/>
          <w:sz w:val="19"/>
          <w:szCs w:val="19"/>
        </w:rPr>
        <w:t>»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14EB2D64" w14:textId="77777777" w:rsidR="00942641" w:rsidRPr="00734608" w:rsidRDefault="00942641" w:rsidP="00734608">
      <w:pPr>
        <w:pStyle w:val="Textonotapie"/>
        <w:ind w:firstLine="709"/>
        <w:jc w:val="both"/>
        <w:rPr>
          <w:rFonts w:ascii="Arial" w:hAnsi="Arial" w:cs="Arial"/>
          <w:color w:val="000000" w:themeColor="text1"/>
          <w:sz w:val="19"/>
          <w:szCs w:val="19"/>
          <w:lang w:val="es-ES"/>
        </w:rPr>
      </w:pPr>
    </w:p>
  </w:footnote>
  <w:footnote w:id="6">
    <w:p w14:paraId="1D39225B" w14:textId="77777777" w:rsidR="00942641" w:rsidRPr="00734608" w:rsidRDefault="00942641" w:rsidP="00734608">
      <w:pPr>
        <w:pStyle w:val="Textonotapie"/>
        <w:ind w:firstLine="709"/>
        <w:jc w:val="both"/>
        <w:rPr>
          <w:rFonts w:ascii="Arial" w:hAnsi="Arial" w:cs="Arial"/>
          <w:color w:val="000000" w:themeColor="text1"/>
          <w:sz w:val="19"/>
          <w:szCs w:val="19"/>
        </w:rPr>
      </w:pPr>
      <w:r w:rsidRPr="00734608">
        <w:rPr>
          <w:rStyle w:val="Refdenotaalpie"/>
          <w:rFonts w:ascii="Arial" w:hAnsi="Arial" w:cs="Arial"/>
          <w:color w:val="000000" w:themeColor="text1"/>
          <w:sz w:val="19"/>
          <w:szCs w:val="19"/>
        </w:rPr>
        <w:footnoteRef/>
      </w:r>
      <w:r w:rsidRPr="00734608">
        <w:rPr>
          <w:rFonts w:ascii="Arial" w:hAnsi="Arial" w:cs="Arial"/>
          <w:color w:val="000000" w:themeColor="text1"/>
          <w:sz w:val="19"/>
          <w:szCs w:val="19"/>
        </w:rPr>
        <w:t xml:space="preserve"> </w:t>
      </w:r>
      <w:r w:rsidRPr="00734608">
        <w:rPr>
          <w:rFonts w:ascii="Arial" w:hAnsi="Arial" w:cs="Arial"/>
          <w:color w:val="000000" w:themeColor="text1"/>
          <w:sz w:val="19"/>
          <w:szCs w:val="19"/>
        </w:rPr>
        <w:t>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(CONSEJO DE ESTADO. Sección Tercera. Subsección A. Auto del 25 de julio de 2018. Rad. 56.165A. C.P. Marta Nubia Velásquez Rico).</w:t>
      </w:r>
    </w:p>
  </w:footnote>
  <w:footnote w:id="7">
    <w:p w14:paraId="23A09604" w14:textId="6E118BA6" w:rsidR="00263EC5" w:rsidRPr="00734608" w:rsidRDefault="00A475B4" w:rsidP="00734608">
      <w:pPr>
        <w:ind w:firstLine="709"/>
        <w:jc w:val="both"/>
        <w:rPr>
          <w:rFonts w:ascii="Arial" w:eastAsiaTheme="minorHAnsi" w:hAnsi="Arial" w:cs="Arial"/>
          <w:color w:val="000000" w:themeColor="text1"/>
          <w:sz w:val="19"/>
          <w:szCs w:val="19"/>
          <w:lang w:val="es-ES" w:eastAsia="en-US"/>
        </w:rPr>
      </w:pPr>
      <w:r w:rsidRPr="00734608">
        <w:rPr>
          <w:rStyle w:val="Refdenotaalpie"/>
          <w:rFonts w:ascii="Arial" w:hAnsi="Arial" w:cs="Arial"/>
          <w:color w:val="000000" w:themeColor="text1"/>
          <w:sz w:val="19"/>
          <w:szCs w:val="19"/>
        </w:rPr>
        <w:footnoteRef/>
      </w:r>
      <w:r w:rsidRPr="00734608">
        <w:rPr>
          <w:rFonts w:ascii="Arial" w:hAnsi="Arial" w:cs="Arial"/>
          <w:color w:val="000000" w:themeColor="text1"/>
          <w:sz w:val="19"/>
          <w:szCs w:val="19"/>
        </w:rPr>
        <w:t xml:space="preserve"> </w:t>
      </w:r>
      <w:r w:rsidRPr="00734608">
        <w:rPr>
          <w:rFonts w:ascii="Arial" w:hAnsi="Arial" w:cs="Arial"/>
          <w:color w:val="000000" w:themeColor="text1"/>
          <w:sz w:val="19"/>
          <w:szCs w:val="19"/>
          <w:lang w:val="es-ES"/>
        </w:rPr>
        <w:t>En efecto, dentro de las</w:t>
      </w:r>
      <w:r w:rsidR="00263EC5" w:rsidRPr="00734608">
        <w:rPr>
          <w:rFonts w:ascii="Arial" w:hAnsi="Arial" w:cs="Arial"/>
          <w:color w:val="000000" w:themeColor="text1"/>
          <w:sz w:val="19"/>
          <w:szCs w:val="19"/>
          <w:lang w:val="es-ES"/>
        </w:rPr>
        <w:t xml:space="preserve"> consideraciones que motivan el Decreto 399 de 2021 se lee la siguiente: «</w:t>
      </w:r>
      <w:r w:rsidR="00263EC5" w:rsidRPr="00734608">
        <w:rPr>
          <w:rFonts w:ascii="Arial" w:eastAsiaTheme="minorHAnsi" w:hAnsi="Arial" w:cs="Arial"/>
          <w:color w:val="000000" w:themeColor="text1"/>
          <w:sz w:val="19"/>
          <w:szCs w:val="19"/>
          <w:lang w:val="es-ES" w:eastAsia="en-US"/>
        </w:rPr>
        <w:t xml:space="preserve">Que teniendo en cuenta que el Auto del 20 de febrero de 2019 </w:t>
      </w:r>
      <w:proofErr w:type="spellStart"/>
      <w:r w:rsidR="00263EC5" w:rsidRPr="00734608">
        <w:rPr>
          <w:rFonts w:ascii="Arial" w:eastAsiaTheme="minorHAnsi" w:hAnsi="Arial" w:cs="Arial"/>
          <w:color w:val="000000" w:themeColor="text1"/>
          <w:sz w:val="19"/>
          <w:szCs w:val="19"/>
          <w:lang w:val="es-ES" w:eastAsia="en-US"/>
        </w:rPr>
        <w:t>Exp</w:t>
      </w:r>
      <w:proofErr w:type="spellEnd"/>
      <w:r w:rsidR="00263EC5" w:rsidRPr="00734608">
        <w:rPr>
          <w:rFonts w:ascii="Arial" w:eastAsiaTheme="minorHAnsi" w:hAnsi="Arial" w:cs="Arial"/>
          <w:color w:val="000000" w:themeColor="text1"/>
          <w:sz w:val="19"/>
          <w:szCs w:val="19"/>
          <w:lang w:val="es-ES" w:eastAsia="en-US"/>
        </w:rPr>
        <w:t xml:space="preserve">. 61.463 de la Subsección A de la Sección Tercera del Consejo de Estado suspendió provisionalmente los numerales 3, 4 y 5 del artículo 2.2.1.2.1.3.2. del Decreto 1082 de 2015, Único Reglamentario del Sector Administrativo de Planeación Nacional y que el Auto del 25 de julio de 2018 </w:t>
      </w:r>
      <w:proofErr w:type="spellStart"/>
      <w:r w:rsidR="00263EC5" w:rsidRPr="00734608">
        <w:rPr>
          <w:rFonts w:ascii="Arial" w:eastAsiaTheme="minorHAnsi" w:hAnsi="Arial" w:cs="Arial"/>
          <w:color w:val="000000" w:themeColor="text1"/>
          <w:sz w:val="19"/>
          <w:szCs w:val="19"/>
          <w:lang w:val="es-ES" w:eastAsia="en-US"/>
        </w:rPr>
        <w:t>Exp</w:t>
      </w:r>
      <w:proofErr w:type="spellEnd"/>
      <w:r w:rsidR="00263EC5" w:rsidRPr="00734608">
        <w:rPr>
          <w:rFonts w:ascii="Arial" w:eastAsiaTheme="minorHAnsi" w:hAnsi="Arial" w:cs="Arial"/>
          <w:color w:val="000000" w:themeColor="text1"/>
          <w:sz w:val="19"/>
          <w:szCs w:val="19"/>
          <w:lang w:val="es-ES" w:eastAsia="en-US"/>
        </w:rPr>
        <w:t>.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21C35D60" w14:textId="62A7E60D" w:rsidR="00A475B4" w:rsidRPr="00734608" w:rsidRDefault="00A475B4" w:rsidP="00734608">
      <w:pPr>
        <w:pStyle w:val="Textonotapie"/>
        <w:ind w:firstLine="709"/>
        <w:jc w:val="both"/>
        <w:rPr>
          <w:rFonts w:ascii="Arial" w:hAnsi="Arial" w:cs="Arial"/>
          <w:color w:val="000000" w:themeColor="text1"/>
          <w:sz w:val="19"/>
          <w:szCs w:val="19"/>
          <w:lang w:val="es-CO"/>
        </w:rPr>
      </w:pPr>
    </w:p>
  </w:footnote>
  <w:footnote w:id="8">
    <w:p w14:paraId="25633D0D" w14:textId="77777777" w:rsidR="005C39CB" w:rsidRPr="00734608" w:rsidRDefault="005C39CB" w:rsidP="00734608">
      <w:pPr>
        <w:ind w:firstLine="709"/>
        <w:jc w:val="both"/>
        <w:rPr>
          <w:rFonts w:ascii="Arial" w:hAnsi="Arial" w:cs="Arial"/>
          <w:color w:val="000000" w:themeColor="text1"/>
          <w:sz w:val="19"/>
          <w:szCs w:val="19"/>
        </w:rPr>
      </w:pPr>
      <w:r w:rsidRPr="00734608">
        <w:rPr>
          <w:rStyle w:val="Refdenotaalpie"/>
          <w:rFonts w:ascii="Arial" w:hAnsi="Arial" w:cs="Arial"/>
          <w:color w:val="000000" w:themeColor="text1"/>
          <w:sz w:val="19"/>
          <w:szCs w:val="19"/>
        </w:rPr>
        <w:footnoteRef/>
      </w:r>
      <w:r w:rsidRPr="00734608">
        <w:rPr>
          <w:rFonts w:ascii="Arial" w:hAnsi="Arial" w:cs="Arial"/>
          <w:color w:val="000000" w:themeColor="text1"/>
          <w:position w:val="6"/>
          <w:sz w:val="19"/>
          <w:szCs w:val="19"/>
        </w:rPr>
        <w:t xml:space="preserve"> </w:t>
      </w:r>
      <w:r w:rsidRPr="00734608">
        <w:rPr>
          <w:rFonts w:ascii="Arial" w:hAnsi="Arial" w:cs="Arial"/>
          <w:color w:val="000000" w:themeColor="text1"/>
          <w:sz w:val="19"/>
          <w:szCs w:val="19"/>
        </w:rPr>
        <w:t>DEIK ACOSTAMADIEDO, Carolina, Guía de Contratación Estatal: Deber de planeación y modalidades de selección, Buenos Aires, 2015, p. 59.</w:t>
      </w:r>
    </w:p>
    <w:p w14:paraId="6B29F0B0" w14:textId="77777777" w:rsidR="005C39CB" w:rsidRPr="00734608" w:rsidRDefault="005C39CB" w:rsidP="00734608">
      <w:pPr>
        <w:pStyle w:val="Textonotapie"/>
        <w:ind w:firstLine="709"/>
        <w:jc w:val="both"/>
        <w:rPr>
          <w:rFonts w:ascii="Arial" w:hAnsi="Arial" w:cs="Arial"/>
          <w:color w:val="000000" w:themeColor="text1"/>
          <w:sz w:val="19"/>
          <w:szCs w:val="19"/>
        </w:rPr>
      </w:pPr>
    </w:p>
  </w:footnote>
  <w:footnote w:id="9">
    <w:p w14:paraId="43038F64" w14:textId="77777777" w:rsidR="005C39CB" w:rsidRPr="00734608" w:rsidRDefault="005C39CB" w:rsidP="00734608">
      <w:pPr>
        <w:pStyle w:val="Textonotapie"/>
        <w:ind w:firstLine="709"/>
        <w:jc w:val="both"/>
        <w:rPr>
          <w:rFonts w:ascii="Arial" w:hAnsi="Arial" w:cs="Arial"/>
          <w:color w:val="000000" w:themeColor="text1"/>
          <w:sz w:val="19"/>
          <w:szCs w:val="19"/>
          <w:lang w:val="pt-BR"/>
        </w:rPr>
      </w:pPr>
      <w:r w:rsidRPr="00734608">
        <w:rPr>
          <w:rFonts w:ascii="Arial" w:hAnsi="Arial" w:cs="Arial"/>
          <w:color w:val="000000" w:themeColor="text1"/>
          <w:sz w:val="19"/>
          <w:szCs w:val="19"/>
          <w:lang w:val="pt-BR"/>
        </w:rPr>
        <w:t xml:space="preserve">   </w:t>
      </w:r>
      <w:r w:rsidRPr="00734608">
        <w:rPr>
          <w:rStyle w:val="Refdenotaalpie"/>
          <w:rFonts w:ascii="Arial" w:hAnsi="Arial" w:cs="Arial"/>
          <w:color w:val="000000" w:themeColor="text1"/>
          <w:sz w:val="19"/>
          <w:szCs w:val="19"/>
        </w:rPr>
        <w:footnoteRef/>
      </w:r>
      <w:r w:rsidRPr="00734608">
        <w:rPr>
          <w:rFonts w:ascii="Arial" w:hAnsi="Arial" w:cs="Arial"/>
          <w:color w:val="000000" w:themeColor="text1"/>
          <w:sz w:val="19"/>
          <w:szCs w:val="19"/>
          <w:lang w:val="pt-BR"/>
        </w:rPr>
        <w:t xml:space="preserve"> Tomado de </w:t>
      </w:r>
      <w:hyperlink r:id="rId1" w:history="1">
        <w:r w:rsidRPr="00734608">
          <w:rPr>
            <w:rStyle w:val="Hipervnculo"/>
            <w:rFonts w:ascii="Arial" w:hAnsi="Arial" w:cs="Arial"/>
            <w:color w:val="000000" w:themeColor="text1"/>
            <w:sz w:val="19"/>
            <w:szCs w:val="19"/>
            <w:u w:val="none"/>
            <w:lang w:val="pt-BR"/>
          </w:rPr>
          <w:t>https://sintesis.colombiacompra.gov.co/sintesis/9-etapa-precontractual-estudios-previos</w:t>
        </w:r>
      </w:hyperlink>
      <w:r w:rsidRPr="00734608">
        <w:rPr>
          <w:rFonts w:ascii="Arial" w:hAnsi="Arial" w:cs="Arial"/>
          <w:color w:val="000000" w:themeColor="text1"/>
          <w:sz w:val="19"/>
          <w:szCs w:val="19"/>
          <w:lang w:val="pt-BR"/>
        </w:rPr>
        <w:t>.</w:t>
      </w:r>
    </w:p>
    <w:p w14:paraId="7AA0C81D" w14:textId="77777777" w:rsidR="005C39CB" w:rsidRPr="00734608" w:rsidRDefault="005C39CB" w:rsidP="00734608">
      <w:pPr>
        <w:pStyle w:val="Textonotapie"/>
        <w:ind w:firstLine="709"/>
        <w:jc w:val="both"/>
        <w:rPr>
          <w:rFonts w:ascii="Arial" w:hAnsi="Arial" w:cs="Arial"/>
          <w:color w:val="000000" w:themeColor="text1"/>
          <w:sz w:val="19"/>
          <w:szCs w:val="19"/>
          <w:lang w:val="pt-BR"/>
        </w:rPr>
      </w:pPr>
    </w:p>
  </w:footnote>
  <w:footnote w:id="10">
    <w:p w14:paraId="052A0A1B" w14:textId="77777777" w:rsidR="005C39CB" w:rsidRPr="00734608" w:rsidRDefault="005C39CB" w:rsidP="00734608">
      <w:pPr>
        <w:pStyle w:val="Textoindependiente"/>
        <w:spacing w:after="0" w:line="240" w:lineRule="auto"/>
        <w:ind w:firstLine="709"/>
        <w:jc w:val="both"/>
        <w:rPr>
          <w:rFonts w:ascii="Arial" w:hAnsi="Arial" w:cs="Arial"/>
          <w:color w:val="000000" w:themeColor="text1"/>
          <w:sz w:val="19"/>
          <w:szCs w:val="19"/>
        </w:rPr>
      </w:pPr>
      <w:r w:rsidRPr="00734608">
        <w:rPr>
          <w:rStyle w:val="Refdenotaalpie"/>
          <w:rFonts w:ascii="Arial" w:hAnsi="Arial" w:cs="Arial"/>
          <w:color w:val="000000" w:themeColor="text1"/>
          <w:sz w:val="19"/>
          <w:szCs w:val="19"/>
        </w:rPr>
        <w:footnoteRef/>
      </w:r>
      <w:r w:rsidRPr="00734608">
        <w:rPr>
          <w:rFonts w:ascii="Arial" w:hAnsi="Arial" w:cs="Arial"/>
          <w:color w:val="000000" w:themeColor="text1"/>
          <w:sz w:val="19"/>
          <w:szCs w:val="19"/>
        </w:rPr>
        <w:t xml:space="preserve"> </w:t>
      </w:r>
      <w:r w:rsidRPr="00734608">
        <w:rPr>
          <w:rFonts w:ascii="Arial" w:hAnsi="Arial" w:cs="Arial"/>
          <w:color w:val="000000" w:themeColor="text1"/>
          <w:position w:val="6"/>
          <w:sz w:val="19"/>
          <w:szCs w:val="19"/>
        </w:rPr>
        <w:t xml:space="preserve"> </w:t>
      </w:r>
      <w:r w:rsidRPr="00734608">
        <w:rPr>
          <w:rFonts w:ascii="Arial" w:hAnsi="Arial" w:cs="Arial"/>
          <w:color w:val="000000" w:themeColor="text1"/>
          <w:sz w:val="19"/>
          <w:szCs w:val="19"/>
        </w:rPr>
        <w:t xml:space="preserve">«Artículo </w:t>
      </w:r>
      <w:bookmarkStart w:id="13" w:name="_Hlk54173885"/>
      <w:r w:rsidRPr="00734608">
        <w:rPr>
          <w:rFonts w:ascii="Arial" w:hAnsi="Arial" w:cs="Arial"/>
          <w:color w:val="000000" w:themeColor="text1"/>
          <w:sz w:val="19"/>
          <w:szCs w:val="19"/>
        </w:rPr>
        <w:t>2.2.1.1.2.1.1</w:t>
      </w:r>
      <w:bookmarkEnd w:id="13"/>
      <w:r w:rsidRPr="00734608">
        <w:rPr>
          <w:rFonts w:ascii="Arial" w:hAnsi="Arial" w:cs="Arial"/>
          <w:color w:val="000000" w:themeColor="text1"/>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38D2742B" w14:textId="77777777" w:rsidR="005C39CB" w:rsidRPr="00734608" w:rsidRDefault="005C39CB" w:rsidP="00734608">
      <w:pPr>
        <w:pStyle w:val="Textonotapie"/>
        <w:ind w:firstLine="709"/>
        <w:jc w:val="both"/>
        <w:rPr>
          <w:rFonts w:ascii="Arial" w:hAnsi="Arial" w:cs="Arial"/>
          <w:color w:val="000000" w:themeColor="text1"/>
          <w:sz w:val="19"/>
          <w:szCs w:val="19"/>
        </w:rPr>
      </w:pPr>
    </w:p>
  </w:footnote>
  <w:footnote w:id="11">
    <w:p w14:paraId="3DEA73F0" w14:textId="302D178F" w:rsidR="000901CD" w:rsidRPr="00734608" w:rsidRDefault="000901CD" w:rsidP="00734608">
      <w:pPr>
        <w:pStyle w:val="Textonotapie"/>
        <w:ind w:firstLine="709"/>
        <w:jc w:val="both"/>
        <w:rPr>
          <w:rFonts w:ascii="Arial" w:hAnsi="Arial" w:cs="Arial"/>
          <w:sz w:val="19"/>
          <w:szCs w:val="19"/>
          <w:lang w:val="es-ES"/>
        </w:rPr>
      </w:pPr>
      <w:r w:rsidRPr="00734608">
        <w:rPr>
          <w:rStyle w:val="Refdenotaalpie"/>
          <w:rFonts w:ascii="Arial" w:hAnsi="Arial" w:cs="Arial"/>
          <w:sz w:val="19"/>
          <w:szCs w:val="19"/>
        </w:rPr>
        <w:footnoteRef/>
      </w:r>
      <w:r w:rsidRPr="00734608">
        <w:rPr>
          <w:rFonts w:ascii="Arial" w:hAnsi="Arial" w:cs="Arial"/>
          <w:sz w:val="19"/>
          <w:szCs w:val="19"/>
        </w:rPr>
        <w:t xml:space="preserve"> </w:t>
      </w:r>
      <w:r w:rsidR="009B4448" w:rsidRPr="00734608">
        <w:rPr>
          <w:rFonts w:ascii="Arial" w:hAnsi="Arial" w:cs="Arial"/>
          <w:sz w:val="19"/>
          <w:szCs w:val="19"/>
        </w:rPr>
        <w:t xml:space="preserve">Consejo de Estado. Sección Tercera. </w:t>
      </w:r>
      <w:r w:rsidR="00F65EED" w:rsidRPr="00734608">
        <w:rPr>
          <w:rFonts w:ascii="Arial" w:hAnsi="Arial" w:cs="Arial"/>
          <w:sz w:val="19"/>
          <w:szCs w:val="19"/>
        </w:rPr>
        <w:t>Sentencia del 31 de agosto de 2011.</w:t>
      </w:r>
      <w:r w:rsidR="002D068A" w:rsidRPr="00734608">
        <w:rPr>
          <w:rFonts w:ascii="Arial" w:hAnsi="Arial" w:cs="Arial"/>
          <w:sz w:val="19"/>
          <w:szCs w:val="19"/>
        </w:rPr>
        <w:t xml:space="preserve"> Consejera Ponente: Ruth Stella Correa Palacio. Expediente: </w:t>
      </w:r>
      <w:r w:rsidR="00734608" w:rsidRPr="00734608">
        <w:rPr>
          <w:rFonts w:ascii="Arial" w:hAnsi="Arial" w:cs="Arial"/>
          <w:sz w:val="19"/>
          <w:szCs w:val="19"/>
        </w:rPr>
        <w:t>18080.</w:t>
      </w:r>
    </w:p>
  </w:footnote>
  <w:footnote w:id="12">
    <w:p w14:paraId="7A8DF28F" w14:textId="77777777" w:rsidR="0037640C" w:rsidRPr="00734608" w:rsidRDefault="0037640C" w:rsidP="0037640C">
      <w:pPr>
        <w:pStyle w:val="Textonotapie"/>
        <w:ind w:firstLine="709"/>
        <w:jc w:val="both"/>
        <w:rPr>
          <w:rFonts w:ascii="Arial" w:hAnsi="Arial" w:cs="Arial"/>
          <w:sz w:val="19"/>
          <w:szCs w:val="19"/>
          <w:lang w:val="es-ES"/>
        </w:rPr>
      </w:pPr>
      <w:r w:rsidRPr="00734608">
        <w:rPr>
          <w:rStyle w:val="Refdenotaalpie"/>
          <w:rFonts w:ascii="Arial" w:hAnsi="Arial" w:cs="Arial"/>
          <w:sz w:val="19"/>
          <w:szCs w:val="19"/>
        </w:rPr>
        <w:footnoteRef/>
      </w:r>
      <w:r w:rsidRPr="00734608">
        <w:rPr>
          <w:rFonts w:ascii="Arial" w:hAnsi="Arial" w:cs="Arial"/>
          <w:sz w:val="19"/>
          <w:szCs w:val="19"/>
        </w:rPr>
        <w:t xml:space="preserve"> </w:t>
      </w:r>
      <w:r w:rsidRPr="00734608">
        <w:rPr>
          <w:rFonts w:ascii="Arial" w:hAnsi="Arial" w:cs="Arial"/>
          <w:sz w:val="19"/>
          <w:szCs w:val="19"/>
        </w:rPr>
        <w:t>Consejo de Estado. Sección Tercera. Sentencia del 31 de agosto de 2011. Consejera Ponente: Ruth Stella Correa Palacio. Expediente: 18080.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C8CCE2" w14:textId="77777777" w:rsidR="00E86DA7" w:rsidRDefault="00E86DA7"/>
  <w:p w14:paraId="782E9AC2" w14:textId="77777777" w:rsidR="00E86DA7" w:rsidRDefault="00E86DA7"/>
  <w:p w14:paraId="6C84CD3B" w14:textId="77777777" w:rsidR="00E86DA7" w:rsidRDefault="00E86DA7"/>
  <w:p w14:paraId="7A4C69ED" w14:textId="77777777" w:rsidR="00E86DA7" w:rsidRDefault="00E86DA7"/>
  <w:p w14:paraId="44CCBC26" w14:textId="77777777" w:rsidR="00E86DA7" w:rsidRDefault="00E86DA7"/>
  <w:p w14:paraId="2752218C" w14:textId="77777777" w:rsidR="00E86DA7" w:rsidRDefault="00E86D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2582"/>
    <w:rsid w:val="00002FC5"/>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5F42"/>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AE"/>
    <w:rsid w:val="00023FC9"/>
    <w:rsid w:val="00024896"/>
    <w:rsid w:val="000255FA"/>
    <w:rsid w:val="00025D0A"/>
    <w:rsid w:val="00025D7D"/>
    <w:rsid w:val="000263F0"/>
    <w:rsid w:val="00026407"/>
    <w:rsid w:val="00026608"/>
    <w:rsid w:val="0002702E"/>
    <w:rsid w:val="0002743E"/>
    <w:rsid w:val="00027787"/>
    <w:rsid w:val="000278D2"/>
    <w:rsid w:val="00030DFB"/>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0D0"/>
    <w:rsid w:val="0004600D"/>
    <w:rsid w:val="000463B5"/>
    <w:rsid w:val="00046717"/>
    <w:rsid w:val="00046A63"/>
    <w:rsid w:val="00046C09"/>
    <w:rsid w:val="00046C0A"/>
    <w:rsid w:val="0004716A"/>
    <w:rsid w:val="00047385"/>
    <w:rsid w:val="000473E8"/>
    <w:rsid w:val="000504DE"/>
    <w:rsid w:val="00050A89"/>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0EC"/>
    <w:rsid w:val="00063472"/>
    <w:rsid w:val="000640AF"/>
    <w:rsid w:val="00064940"/>
    <w:rsid w:val="00064CAE"/>
    <w:rsid w:val="00064DB7"/>
    <w:rsid w:val="00064FA7"/>
    <w:rsid w:val="00065195"/>
    <w:rsid w:val="0006536C"/>
    <w:rsid w:val="0006626E"/>
    <w:rsid w:val="00066D6D"/>
    <w:rsid w:val="00067AA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832"/>
    <w:rsid w:val="00082B74"/>
    <w:rsid w:val="00083099"/>
    <w:rsid w:val="00083259"/>
    <w:rsid w:val="00083546"/>
    <w:rsid w:val="00083EDC"/>
    <w:rsid w:val="00084B97"/>
    <w:rsid w:val="00084FB1"/>
    <w:rsid w:val="0008510E"/>
    <w:rsid w:val="000856DE"/>
    <w:rsid w:val="00085E95"/>
    <w:rsid w:val="00085F17"/>
    <w:rsid w:val="00085FB0"/>
    <w:rsid w:val="00085FB3"/>
    <w:rsid w:val="0008686B"/>
    <w:rsid w:val="00086B2A"/>
    <w:rsid w:val="00086ED2"/>
    <w:rsid w:val="00087A64"/>
    <w:rsid w:val="000901CD"/>
    <w:rsid w:val="0009082C"/>
    <w:rsid w:val="00090C39"/>
    <w:rsid w:val="000914D6"/>
    <w:rsid w:val="00091569"/>
    <w:rsid w:val="00092CDB"/>
    <w:rsid w:val="00092DCA"/>
    <w:rsid w:val="00093851"/>
    <w:rsid w:val="000942EB"/>
    <w:rsid w:val="00095B70"/>
    <w:rsid w:val="0009617E"/>
    <w:rsid w:val="0009628D"/>
    <w:rsid w:val="0009670F"/>
    <w:rsid w:val="000970E4"/>
    <w:rsid w:val="000975D1"/>
    <w:rsid w:val="000979CF"/>
    <w:rsid w:val="000A03C8"/>
    <w:rsid w:val="000A05F2"/>
    <w:rsid w:val="000A06C4"/>
    <w:rsid w:val="000A0861"/>
    <w:rsid w:val="000A0B6F"/>
    <w:rsid w:val="000A0EC4"/>
    <w:rsid w:val="000A0ED1"/>
    <w:rsid w:val="000A12DB"/>
    <w:rsid w:val="000A137E"/>
    <w:rsid w:val="000A171D"/>
    <w:rsid w:val="000A17C8"/>
    <w:rsid w:val="000A1B74"/>
    <w:rsid w:val="000A20D7"/>
    <w:rsid w:val="000A2128"/>
    <w:rsid w:val="000A26A5"/>
    <w:rsid w:val="000A362F"/>
    <w:rsid w:val="000A3B4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933"/>
    <w:rsid w:val="000C0F81"/>
    <w:rsid w:val="000C128D"/>
    <w:rsid w:val="000C17A3"/>
    <w:rsid w:val="000C1D4B"/>
    <w:rsid w:val="000C2DC4"/>
    <w:rsid w:val="000C2E78"/>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05B"/>
    <w:rsid w:val="000D490B"/>
    <w:rsid w:val="000D4E38"/>
    <w:rsid w:val="000D50DB"/>
    <w:rsid w:val="000D5F9D"/>
    <w:rsid w:val="000D60A1"/>
    <w:rsid w:val="000D6288"/>
    <w:rsid w:val="000D63F1"/>
    <w:rsid w:val="000D728B"/>
    <w:rsid w:val="000D7541"/>
    <w:rsid w:val="000D75E1"/>
    <w:rsid w:val="000E22C5"/>
    <w:rsid w:val="000E22CF"/>
    <w:rsid w:val="000E2977"/>
    <w:rsid w:val="000E2CC0"/>
    <w:rsid w:val="000E30AC"/>
    <w:rsid w:val="000E3B46"/>
    <w:rsid w:val="000E3E11"/>
    <w:rsid w:val="000E40E4"/>
    <w:rsid w:val="000E4596"/>
    <w:rsid w:val="000E4927"/>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546"/>
    <w:rsid w:val="000F1BBD"/>
    <w:rsid w:val="000F290F"/>
    <w:rsid w:val="000F29CE"/>
    <w:rsid w:val="000F4403"/>
    <w:rsid w:val="000F480B"/>
    <w:rsid w:val="000F4E17"/>
    <w:rsid w:val="000F5615"/>
    <w:rsid w:val="000F6084"/>
    <w:rsid w:val="000F6578"/>
    <w:rsid w:val="000F6693"/>
    <w:rsid w:val="000F6F92"/>
    <w:rsid w:val="000F725D"/>
    <w:rsid w:val="000F7E8F"/>
    <w:rsid w:val="000F7FBB"/>
    <w:rsid w:val="001000FB"/>
    <w:rsid w:val="00100A9E"/>
    <w:rsid w:val="00100F6A"/>
    <w:rsid w:val="00101638"/>
    <w:rsid w:val="00101EE8"/>
    <w:rsid w:val="00102605"/>
    <w:rsid w:val="00102686"/>
    <w:rsid w:val="00102745"/>
    <w:rsid w:val="00102C4D"/>
    <w:rsid w:val="001036B4"/>
    <w:rsid w:val="00103795"/>
    <w:rsid w:val="00103915"/>
    <w:rsid w:val="001039AA"/>
    <w:rsid w:val="00103EA0"/>
    <w:rsid w:val="00104149"/>
    <w:rsid w:val="00104F1C"/>
    <w:rsid w:val="00105096"/>
    <w:rsid w:val="001051E5"/>
    <w:rsid w:val="00105A74"/>
    <w:rsid w:val="00105ACB"/>
    <w:rsid w:val="00105AEF"/>
    <w:rsid w:val="00105EF9"/>
    <w:rsid w:val="00106259"/>
    <w:rsid w:val="001068EB"/>
    <w:rsid w:val="001073F0"/>
    <w:rsid w:val="001078CE"/>
    <w:rsid w:val="00110F61"/>
    <w:rsid w:val="00111115"/>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A62"/>
    <w:rsid w:val="00115C37"/>
    <w:rsid w:val="00116328"/>
    <w:rsid w:val="001163CF"/>
    <w:rsid w:val="00116EC5"/>
    <w:rsid w:val="001174C9"/>
    <w:rsid w:val="001177FE"/>
    <w:rsid w:val="00117E69"/>
    <w:rsid w:val="00121103"/>
    <w:rsid w:val="00121B78"/>
    <w:rsid w:val="00121BAB"/>
    <w:rsid w:val="00121E10"/>
    <w:rsid w:val="00121E3C"/>
    <w:rsid w:val="00122B23"/>
    <w:rsid w:val="00122B7E"/>
    <w:rsid w:val="00123BBD"/>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739"/>
    <w:rsid w:val="00135DB9"/>
    <w:rsid w:val="00135E5D"/>
    <w:rsid w:val="0013695C"/>
    <w:rsid w:val="001369D2"/>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48E"/>
    <w:rsid w:val="00154A6F"/>
    <w:rsid w:val="00154B68"/>
    <w:rsid w:val="001558B7"/>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2A8"/>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6F4C"/>
    <w:rsid w:val="00187177"/>
    <w:rsid w:val="00187A09"/>
    <w:rsid w:val="00187ABD"/>
    <w:rsid w:val="00190089"/>
    <w:rsid w:val="001904E3"/>
    <w:rsid w:val="00190520"/>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4EE2"/>
    <w:rsid w:val="001962EC"/>
    <w:rsid w:val="001963DD"/>
    <w:rsid w:val="001965DB"/>
    <w:rsid w:val="00196B5A"/>
    <w:rsid w:val="00196D01"/>
    <w:rsid w:val="00196DC9"/>
    <w:rsid w:val="00196E95"/>
    <w:rsid w:val="00196FDB"/>
    <w:rsid w:val="0019709F"/>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530"/>
    <w:rsid w:val="001B5DAE"/>
    <w:rsid w:val="001B5EF8"/>
    <w:rsid w:val="001B610A"/>
    <w:rsid w:val="001B6BD0"/>
    <w:rsid w:val="001B71E8"/>
    <w:rsid w:val="001B7B50"/>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34C3"/>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E79A5"/>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C45"/>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726E"/>
    <w:rsid w:val="002072E7"/>
    <w:rsid w:val="00207389"/>
    <w:rsid w:val="002074C2"/>
    <w:rsid w:val="002110EB"/>
    <w:rsid w:val="00211338"/>
    <w:rsid w:val="00211387"/>
    <w:rsid w:val="00211388"/>
    <w:rsid w:val="0021148C"/>
    <w:rsid w:val="00211694"/>
    <w:rsid w:val="00211C40"/>
    <w:rsid w:val="0021201A"/>
    <w:rsid w:val="00212545"/>
    <w:rsid w:val="002138FE"/>
    <w:rsid w:val="00213A1F"/>
    <w:rsid w:val="00213C63"/>
    <w:rsid w:val="00214502"/>
    <w:rsid w:val="00214741"/>
    <w:rsid w:val="00214938"/>
    <w:rsid w:val="0021539A"/>
    <w:rsid w:val="00215852"/>
    <w:rsid w:val="00215B01"/>
    <w:rsid w:val="00215B8E"/>
    <w:rsid w:val="00216264"/>
    <w:rsid w:val="002164E8"/>
    <w:rsid w:val="002169A0"/>
    <w:rsid w:val="002176B6"/>
    <w:rsid w:val="0021792D"/>
    <w:rsid w:val="00217DB8"/>
    <w:rsid w:val="002202CE"/>
    <w:rsid w:val="0022032A"/>
    <w:rsid w:val="0022194E"/>
    <w:rsid w:val="002220B1"/>
    <w:rsid w:val="002221CE"/>
    <w:rsid w:val="00222B1D"/>
    <w:rsid w:val="00222BE8"/>
    <w:rsid w:val="00222DF6"/>
    <w:rsid w:val="00223102"/>
    <w:rsid w:val="002232CB"/>
    <w:rsid w:val="00224022"/>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4794C"/>
    <w:rsid w:val="00250A9E"/>
    <w:rsid w:val="00250EC6"/>
    <w:rsid w:val="002515C7"/>
    <w:rsid w:val="00251866"/>
    <w:rsid w:val="00251A9F"/>
    <w:rsid w:val="00251E66"/>
    <w:rsid w:val="0025210F"/>
    <w:rsid w:val="00252492"/>
    <w:rsid w:val="00252B35"/>
    <w:rsid w:val="00253070"/>
    <w:rsid w:val="002530A0"/>
    <w:rsid w:val="00253135"/>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A36"/>
    <w:rsid w:val="00261CF9"/>
    <w:rsid w:val="00261EC0"/>
    <w:rsid w:val="0026231B"/>
    <w:rsid w:val="00263101"/>
    <w:rsid w:val="002631D1"/>
    <w:rsid w:val="00263201"/>
    <w:rsid w:val="00263A37"/>
    <w:rsid w:val="00263EC5"/>
    <w:rsid w:val="00264266"/>
    <w:rsid w:val="002646A3"/>
    <w:rsid w:val="0026471F"/>
    <w:rsid w:val="0026480D"/>
    <w:rsid w:val="002653A6"/>
    <w:rsid w:val="002654B1"/>
    <w:rsid w:val="002655EF"/>
    <w:rsid w:val="002661F1"/>
    <w:rsid w:val="00266316"/>
    <w:rsid w:val="00266DB6"/>
    <w:rsid w:val="00266EAD"/>
    <w:rsid w:val="002711A4"/>
    <w:rsid w:val="00271230"/>
    <w:rsid w:val="00271F13"/>
    <w:rsid w:val="00272945"/>
    <w:rsid w:val="00272E89"/>
    <w:rsid w:val="00273A94"/>
    <w:rsid w:val="002742D0"/>
    <w:rsid w:val="0027482E"/>
    <w:rsid w:val="002748F1"/>
    <w:rsid w:val="00274DB5"/>
    <w:rsid w:val="00275BB1"/>
    <w:rsid w:val="00275CBF"/>
    <w:rsid w:val="002766F9"/>
    <w:rsid w:val="00276EF7"/>
    <w:rsid w:val="0027770B"/>
    <w:rsid w:val="00277933"/>
    <w:rsid w:val="00277EC1"/>
    <w:rsid w:val="00277F8D"/>
    <w:rsid w:val="00277FA7"/>
    <w:rsid w:val="00280046"/>
    <w:rsid w:val="00280806"/>
    <w:rsid w:val="00280B4F"/>
    <w:rsid w:val="00280F3D"/>
    <w:rsid w:val="0028106A"/>
    <w:rsid w:val="00281EB4"/>
    <w:rsid w:val="002820DA"/>
    <w:rsid w:val="0028212C"/>
    <w:rsid w:val="00282C98"/>
    <w:rsid w:val="00282E03"/>
    <w:rsid w:val="0028308E"/>
    <w:rsid w:val="002834E9"/>
    <w:rsid w:val="002837BA"/>
    <w:rsid w:val="00283A52"/>
    <w:rsid w:val="00283C5E"/>
    <w:rsid w:val="00283E26"/>
    <w:rsid w:val="0028428F"/>
    <w:rsid w:val="00284CFC"/>
    <w:rsid w:val="0028552A"/>
    <w:rsid w:val="00285600"/>
    <w:rsid w:val="00285832"/>
    <w:rsid w:val="00285943"/>
    <w:rsid w:val="00285969"/>
    <w:rsid w:val="0028599C"/>
    <w:rsid w:val="00285DE7"/>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34C"/>
    <w:rsid w:val="00295416"/>
    <w:rsid w:val="00295949"/>
    <w:rsid w:val="00295D7C"/>
    <w:rsid w:val="0029624A"/>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678"/>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68A"/>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5E4F"/>
    <w:rsid w:val="002E61AE"/>
    <w:rsid w:val="002E635A"/>
    <w:rsid w:val="002E6D68"/>
    <w:rsid w:val="002E6F4A"/>
    <w:rsid w:val="002E7847"/>
    <w:rsid w:val="002F0073"/>
    <w:rsid w:val="002F1B27"/>
    <w:rsid w:val="002F1C67"/>
    <w:rsid w:val="002F240B"/>
    <w:rsid w:val="002F24DA"/>
    <w:rsid w:val="002F2F50"/>
    <w:rsid w:val="002F33EC"/>
    <w:rsid w:val="002F34E3"/>
    <w:rsid w:val="002F3601"/>
    <w:rsid w:val="002F40E2"/>
    <w:rsid w:val="002F45F6"/>
    <w:rsid w:val="002F4BEC"/>
    <w:rsid w:val="002F5A6F"/>
    <w:rsid w:val="002F692F"/>
    <w:rsid w:val="002F7031"/>
    <w:rsid w:val="002F7961"/>
    <w:rsid w:val="002F7B66"/>
    <w:rsid w:val="00300CB4"/>
    <w:rsid w:val="00300E24"/>
    <w:rsid w:val="00300F9A"/>
    <w:rsid w:val="0030257B"/>
    <w:rsid w:val="00302B9D"/>
    <w:rsid w:val="003033BA"/>
    <w:rsid w:val="00303866"/>
    <w:rsid w:val="00303C19"/>
    <w:rsid w:val="003043A3"/>
    <w:rsid w:val="0030462D"/>
    <w:rsid w:val="00304BD4"/>
    <w:rsid w:val="00304F54"/>
    <w:rsid w:val="0030500A"/>
    <w:rsid w:val="003052EB"/>
    <w:rsid w:val="00305C93"/>
    <w:rsid w:val="00305FCB"/>
    <w:rsid w:val="003063C3"/>
    <w:rsid w:val="003069DC"/>
    <w:rsid w:val="00306A13"/>
    <w:rsid w:val="00306B44"/>
    <w:rsid w:val="00306F2B"/>
    <w:rsid w:val="00307C44"/>
    <w:rsid w:val="0031040A"/>
    <w:rsid w:val="0031088E"/>
    <w:rsid w:val="00310D01"/>
    <w:rsid w:val="00310E8A"/>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2AB"/>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3FA"/>
    <w:rsid w:val="00321A70"/>
    <w:rsid w:val="00321BD6"/>
    <w:rsid w:val="00321FA3"/>
    <w:rsid w:val="003227D3"/>
    <w:rsid w:val="00322805"/>
    <w:rsid w:val="00322937"/>
    <w:rsid w:val="00323881"/>
    <w:rsid w:val="00323C46"/>
    <w:rsid w:val="00324885"/>
    <w:rsid w:val="003251A8"/>
    <w:rsid w:val="003254B1"/>
    <w:rsid w:val="00325AD9"/>
    <w:rsid w:val="00325D98"/>
    <w:rsid w:val="00325DA8"/>
    <w:rsid w:val="0032682A"/>
    <w:rsid w:val="00327382"/>
    <w:rsid w:val="00327A5C"/>
    <w:rsid w:val="003305BD"/>
    <w:rsid w:val="003308BE"/>
    <w:rsid w:val="0033092C"/>
    <w:rsid w:val="00330BF8"/>
    <w:rsid w:val="0033122A"/>
    <w:rsid w:val="003315AC"/>
    <w:rsid w:val="00331932"/>
    <w:rsid w:val="00331F74"/>
    <w:rsid w:val="00332382"/>
    <w:rsid w:val="00332386"/>
    <w:rsid w:val="00332453"/>
    <w:rsid w:val="0033251B"/>
    <w:rsid w:val="0033300D"/>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C44"/>
    <w:rsid w:val="00357E83"/>
    <w:rsid w:val="0036086B"/>
    <w:rsid w:val="00360CF3"/>
    <w:rsid w:val="003614DB"/>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EB"/>
    <w:rsid w:val="003706F2"/>
    <w:rsid w:val="003709E8"/>
    <w:rsid w:val="0037124F"/>
    <w:rsid w:val="00372B86"/>
    <w:rsid w:val="00372C5B"/>
    <w:rsid w:val="00373827"/>
    <w:rsid w:val="0037401C"/>
    <w:rsid w:val="0037507B"/>
    <w:rsid w:val="00375C7C"/>
    <w:rsid w:val="0037640C"/>
    <w:rsid w:val="00376A50"/>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5A0"/>
    <w:rsid w:val="00393C80"/>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72F5"/>
    <w:rsid w:val="003A78E5"/>
    <w:rsid w:val="003B0341"/>
    <w:rsid w:val="003B15F3"/>
    <w:rsid w:val="003B1961"/>
    <w:rsid w:val="003B1E57"/>
    <w:rsid w:val="003B1E5C"/>
    <w:rsid w:val="003B242E"/>
    <w:rsid w:val="003B2EF3"/>
    <w:rsid w:val="003B48C4"/>
    <w:rsid w:val="003B4ADC"/>
    <w:rsid w:val="003B4D27"/>
    <w:rsid w:val="003B534F"/>
    <w:rsid w:val="003B5391"/>
    <w:rsid w:val="003B58CE"/>
    <w:rsid w:val="003B6273"/>
    <w:rsid w:val="003B65D7"/>
    <w:rsid w:val="003B65E0"/>
    <w:rsid w:val="003B6BD4"/>
    <w:rsid w:val="003B6F4D"/>
    <w:rsid w:val="003B6FE7"/>
    <w:rsid w:val="003B719D"/>
    <w:rsid w:val="003B74E8"/>
    <w:rsid w:val="003C0491"/>
    <w:rsid w:val="003C0C0F"/>
    <w:rsid w:val="003C0D1F"/>
    <w:rsid w:val="003C116A"/>
    <w:rsid w:val="003C1AF4"/>
    <w:rsid w:val="003C1CB8"/>
    <w:rsid w:val="003C22DA"/>
    <w:rsid w:val="003C2550"/>
    <w:rsid w:val="003C287F"/>
    <w:rsid w:val="003C2B2B"/>
    <w:rsid w:val="003C3339"/>
    <w:rsid w:val="003C375A"/>
    <w:rsid w:val="003C37AB"/>
    <w:rsid w:val="003C4317"/>
    <w:rsid w:val="003C4D9F"/>
    <w:rsid w:val="003C4EA9"/>
    <w:rsid w:val="003C5247"/>
    <w:rsid w:val="003C5B02"/>
    <w:rsid w:val="003C5D7C"/>
    <w:rsid w:val="003C5E8A"/>
    <w:rsid w:val="003C5E93"/>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E7D83"/>
    <w:rsid w:val="003F060E"/>
    <w:rsid w:val="003F0F7F"/>
    <w:rsid w:val="003F115C"/>
    <w:rsid w:val="003F153A"/>
    <w:rsid w:val="003F1C94"/>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EB"/>
    <w:rsid w:val="004037C2"/>
    <w:rsid w:val="00403FDE"/>
    <w:rsid w:val="00404041"/>
    <w:rsid w:val="004040D4"/>
    <w:rsid w:val="00404B43"/>
    <w:rsid w:val="00404C61"/>
    <w:rsid w:val="00405487"/>
    <w:rsid w:val="00405B8A"/>
    <w:rsid w:val="00405D2F"/>
    <w:rsid w:val="0040602B"/>
    <w:rsid w:val="0040606C"/>
    <w:rsid w:val="004060DC"/>
    <w:rsid w:val="004068CD"/>
    <w:rsid w:val="00406DF5"/>
    <w:rsid w:val="00406F35"/>
    <w:rsid w:val="00407192"/>
    <w:rsid w:val="004077D0"/>
    <w:rsid w:val="00407A7A"/>
    <w:rsid w:val="00407ABC"/>
    <w:rsid w:val="00407E2E"/>
    <w:rsid w:val="00407F1E"/>
    <w:rsid w:val="004103B3"/>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83A"/>
    <w:rsid w:val="00422DCA"/>
    <w:rsid w:val="00423D04"/>
    <w:rsid w:val="00423F9F"/>
    <w:rsid w:val="00424C5B"/>
    <w:rsid w:val="00425C43"/>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7B1"/>
    <w:rsid w:val="00443ACA"/>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B5"/>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235"/>
    <w:rsid w:val="004647F8"/>
    <w:rsid w:val="004647FB"/>
    <w:rsid w:val="00464896"/>
    <w:rsid w:val="00465347"/>
    <w:rsid w:val="00465677"/>
    <w:rsid w:val="00466616"/>
    <w:rsid w:val="00466A0C"/>
    <w:rsid w:val="00466A53"/>
    <w:rsid w:val="00467EE3"/>
    <w:rsid w:val="00470A6A"/>
    <w:rsid w:val="00470ABA"/>
    <w:rsid w:val="00470C12"/>
    <w:rsid w:val="00470D73"/>
    <w:rsid w:val="00470D92"/>
    <w:rsid w:val="00471DF7"/>
    <w:rsid w:val="004734CF"/>
    <w:rsid w:val="00473A5B"/>
    <w:rsid w:val="00473F33"/>
    <w:rsid w:val="004741A6"/>
    <w:rsid w:val="0047586C"/>
    <w:rsid w:val="00475A31"/>
    <w:rsid w:val="00475C5A"/>
    <w:rsid w:val="00475C9C"/>
    <w:rsid w:val="0047676B"/>
    <w:rsid w:val="0047773C"/>
    <w:rsid w:val="00477C5F"/>
    <w:rsid w:val="00480050"/>
    <w:rsid w:val="0048011C"/>
    <w:rsid w:val="004808DE"/>
    <w:rsid w:val="00480F9A"/>
    <w:rsid w:val="00481912"/>
    <w:rsid w:val="00481AC4"/>
    <w:rsid w:val="00481DC1"/>
    <w:rsid w:val="00482194"/>
    <w:rsid w:val="00482507"/>
    <w:rsid w:val="0048268A"/>
    <w:rsid w:val="004826AE"/>
    <w:rsid w:val="00482A64"/>
    <w:rsid w:val="00482FA9"/>
    <w:rsid w:val="004835CA"/>
    <w:rsid w:val="004836D7"/>
    <w:rsid w:val="004836F8"/>
    <w:rsid w:val="004836FE"/>
    <w:rsid w:val="00484A39"/>
    <w:rsid w:val="00484F0F"/>
    <w:rsid w:val="00484F40"/>
    <w:rsid w:val="0048540C"/>
    <w:rsid w:val="00485F27"/>
    <w:rsid w:val="004861B4"/>
    <w:rsid w:val="00486226"/>
    <w:rsid w:val="0048690F"/>
    <w:rsid w:val="00486BD0"/>
    <w:rsid w:val="00486D00"/>
    <w:rsid w:val="00486FF7"/>
    <w:rsid w:val="00487263"/>
    <w:rsid w:val="0048734F"/>
    <w:rsid w:val="0048757F"/>
    <w:rsid w:val="0049029D"/>
    <w:rsid w:val="0049030C"/>
    <w:rsid w:val="004903C0"/>
    <w:rsid w:val="0049114B"/>
    <w:rsid w:val="004912A8"/>
    <w:rsid w:val="00491577"/>
    <w:rsid w:val="004918E1"/>
    <w:rsid w:val="0049196A"/>
    <w:rsid w:val="0049196E"/>
    <w:rsid w:val="0049241A"/>
    <w:rsid w:val="00492844"/>
    <w:rsid w:val="00492C1F"/>
    <w:rsid w:val="00492E4C"/>
    <w:rsid w:val="00493521"/>
    <w:rsid w:val="00493664"/>
    <w:rsid w:val="004938FD"/>
    <w:rsid w:val="00493E04"/>
    <w:rsid w:val="004940E3"/>
    <w:rsid w:val="0049530F"/>
    <w:rsid w:val="004958F6"/>
    <w:rsid w:val="00495D30"/>
    <w:rsid w:val="00496023"/>
    <w:rsid w:val="00496664"/>
    <w:rsid w:val="00496786"/>
    <w:rsid w:val="0049695B"/>
    <w:rsid w:val="00496D8F"/>
    <w:rsid w:val="00497463"/>
    <w:rsid w:val="004A054C"/>
    <w:rsid w:val="004A08D1"/>
    <w:rsid w:val="004A121B"/>
    <w:rsid w:val="004A16C1"/>
    <w:rsid w:val="004A1CE2"/>
    <w:rsid w:val="004A2F71"/>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2EA5"/>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040"/>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695"/>
    <w:rsid w:val="004E2A35"/>
    <w:rsid w:val="004E2C09"/>
    <w:rsid w:val="004E2CCF"/>
    <w:rsid w:val="004E3B71"/>
    <w:rsid w:val="004E40CE"/>
    <w:rsid w:val="004E5736"/>
    <w:rsid w:val="004E5A3C"/>
    <w:rsid w:val="004E5B36"/>
    <w:rsid w:val="004E5D5D"/>
    <w:rsid w:val="004E6045"/>
    <w:rsid w:val="004E67D0"/>
    <w:rsid w:val="004E6D01"/>
    <w:rsid w:val="004E6F43"/>
    <w:rsid w:val="004E7200"/>
    <w:rsid w:val="004E787E"/>
    <w:rsid w:val="004E7AA1"/>
    <w:rsid w:val="004F0805"/>
    <w:rsid w:val="004F0960"/>
    <w:rsid w:val="004F0A5C"/>
    <w:rsid w:val="004F1596"/>
    <w:rsid w:val="004F163F"/>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A24"/>
    <w:rsid w:val="004F5F0C"/>
    <w:rsid w:val="004F6121"/>
    <w:rsid w:val="004F6161"/>
    <w:rsid w:val="004F66BC"/>
    <w:rsid w:val="004F6C26"/>
    <w:rsid w:val="004F6F6D"/>
    <w:rsid w:val="004F76BF"/>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D2"/>
    <w:rsid w:val="0051255B"/>
    <w:rsid w:val="00512C4F"/>
    <w:rsid w:val="00513042"/>
    <w:rsid w:val="0051334F"/>
    <w:rsid w:val="00513399"/>
    <w:rsid w:val="00513AF2"/>
    <w:rsid w:val="00514575"/>
    <w:rsid w:val="00514911"/>
    <w:rsid w:val="00514C03"/>
    <w:rsid w:val="00514D67"/>
    <w:rsid w:val="0051522A"/>
    <w:rsid w:val="00515515"/>
    <w:rsid w:val="005155E3"/>
    <w:rsid w:val="00515625"/>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61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5E2F"/>
    <w:rsid w:val="005564CA"/>
    <w:rsid w:val="005568BD"/>
    <w:rsid w:val="005568EA"/>
    <w:rsid w:val="00557140"/>
    <w:rsid w:val="0055715A"/>
    <w:rsid w:val="0055729E"/>
    <w:rsid w:val="00557436"/>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1A8A"/>
    <w:rsid w:val="0057221F"/>
    <w:rsid w:val="0057230B"/>
    <w:rsid w:val="00572421"/>
    <w:rsid w:val="00572539"/>
    <w:rsid w:val="00573355"/>
    <w:rsid w:val="0057337D"/>
    <w:rsid w:val="00573504"/>
    <w:rsid w:val="0057355F"/>
    <w:rsid w:val="00573BA3"/>
    <w:rsid w:val="00574708"/>
    <w:rsid w:val="00574D81"/>
    <w:rsid w:val="0057515E"/>
    <w:rsid w:val="005756AA"/>
    <w:rsid w:val="00576814"/>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872A0"/>
    <w:rsid w:val="00590F1A"/>
    <w:rsid w:val="00591C03"/>
    <w:rsid w:val="00591E2A"/>
    <w:rsid w:val="005923C4"/>
    <w:rsid w:val="0059397D"/>
    <w:rsid w:val="00593EA2"/>
    <w:rsid w:val="00593F75"/>
    <w:rsid w:val="005940A0"/>
    <w:rsid w:val="005940D4"/>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62B"/>
    <w:rsid w:val="005A6B75"/>
    <w:rsid w:val="005A6E00"/>
    <w:rsid w:val="005A718A"/>
    <w:rsid w:val="005A72DD"/>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5F"/>
    <w:rsid w:val="005C1D8B"/>
    <w:rsid w:val="005C2011"/>
    <w:rsid w:val="005C39CB"/>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0890"/>
    <w:rsid w:val="005F2856"/>
    <w:rsid w:val="005F2955"/>
    <w:rsid w:val="005F2D8B"/>
    <w:rsid w:val="005F305B"/>
    <w:rsid w:val="005F3361"/>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712"/>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19B7"/>
    <w:rsid w:val="00612322"/>
    <w:rsid w:val="006123C0"/>
    <w:rsid w:val="006129AB"/>
    <w:rsid w:val="00613191"/>
    <w:rsid w:val="006133F9"/>
    <w:rsid w:val="00613413"/>
    <w:rsid w:val="006134B3"/>
    <w:rsid w:val="00613746"/>
    <w:rsid w:val="00613DE1"/>
    <w:rsid w:val="0061401F"/>
    <w:rsid w:val="00614166"/>
    <w:rsid w:val="00614817"/>
    <w:rsid w:val="006149CC"/>
    <w:rsid w:val="00614E21"/>
    <w:rsid w:val="006157A9"/>
    <w:rsid w:val="0061591D"/>
    <w:rsid w:val="00615ED0"/>
    <w:rsid w:val="0061604C"/>
    <w:rsid w:val="00616C2B"/>
    <w:rsid w:val="00616D21"/>
    <w:rsid w:val="00616D7F"/>
    <w:rsid w:val="006178D1"/>
    <w:rsid w:val="00617D72"/>
    <w:rsid w:val="00620719"/>
    <w:rsid w:val="006212C9"/>
    <w:rsid w:val="0062131B"/>
    <w:rsid w:val="00621D0C"/>
    <w:rsid w:val="00622185"/>
    <w:rsid w:val="00622229"/>
    <w:rsid w:val="00622470"/>
    <w:rsid w:val="00622725"/>
    <w:rsid w:val="00622785"/>
    <w:rsid w:val="00622B63"/>
    <w:rsid w:val="00622EA1"/>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40E"/>
    <w:rsid w:val="00650E89"/>
    <w:rsid w:val="006516E6"/>
    <w:rsid w:val="00651B9C"/>
    <w:rsid w:val="00651C47"/>
    <w:rsid w:val="006525BD"/>
    <w:rsid w:val="00652E70"/>
    <w:rsid w:val="00652F4D"/>
    <w:rsid w:val="0065339A"/>
    <w:rsid w:val="00653469"/>
    <w:rsid w:val="0065443A"/>
    <w:rsid w:val="00654A38"/>
    <w:rsid w:val="00654DCE"/>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7ED"/>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192C"/>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6E5A"/>
    <w:rsid w:val="0068717F"/>
    <w:rsid w:val="0068730C"/>
    <w:rsid w:val="00687504"/>
    <w:rsid w:val="00687A14"/>
    <w:rsid w:val="00687A8C"/>
    <w:rsid w:val="00690396"/>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9A"/>
    <w:rsid w:val="00697E68"/>
    <w:rsid w:val="00697FC1"/>
    <w:rsid w:val="006A0274"/>
    <w:rsid w:val="006A27BC"/>
    <w:rsid w:val="006A2A43"/>
    <w:rsid w:val="006A2BF1"/>
    <w:rsid w:val="006A2F9A"/>
    <w:rsid w:val="006A3321"/>
    <w:rsid w:val="006A34E4"/>
    <w:rsid w:val="006A35AC"/>
    <w:rsid w:val="006A3A5A"/>
    <w:rsid w:val="006A4312"/>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8CB"/>
    <w:rsid w:val="006B6B99"/>
    <w:rsid w:val="006B6F2B"/>
    <w:rsid w:val="006B786A"/>
    <w:rsid w:val="006B7E4E"/>
    <w:rsid w:val="006C003A"/>
    <w:rsid w:val="006C0273"/>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0FB3"/>
    <w:rsid w:val="006E155A"/>
    <w:rsid w:val="006E1B7E"/>
    <w:rsid w:val="006E2C34"/>
    <w:rsid w:val="006E359B"/>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373D"/>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21B7"/>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406"/>
    <w:rsid w:val="00713526"/>
    <w:rsid w:val="00713ECF"/>
    <w:rsid w:val="00713FC5"/>
    <w:rsid w:val="00714DCA"/>
    <w:rsid w:val="007150F3"/>
    <w:rsid w:val="00715BBF"/>
    <w:rsid w:val="00715C29"/>
    <w:rsid w:val="00715CBD"/>
    <w:rsid w:val="00715EAA"/>
    <w:rsid w:val="00715EF5"/>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CCA"/>
    <w:rsid w:val="00732EBC"/>
    <w:rsid w:val="00734608"/>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4B3"/>
    <w:rsid w:val="00741626"/>
    <w:rsid w:val="00742332"/>
    <w:rsid w:val="007426DA"/>
    <w:rsid w:val="00742886"/>
    <w:rsid w:val="00742A3A"/>
    <w:rsid w:val="00742DD2"/>
    <w:rsid w:val="00743241"/>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8C"/>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3F2"/>
    <w:rsid w:val="007677B5"/>
    <w:rsid w:val="007678B1"/>
    <w:rsid w:val="007708A8"/>
    <w:rsid w:val="00772100"/>
    <w:rsid w:val="00772275"/>
    <w:rsid w:val="00772C9A"/>
    <w:rsid w:val="007734E4"/>
    <w:rsid w:val="0077380D"/>
    <w:rsid w:val="00773BC8"/>
    <w:rsid w:val="007742CB"/>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5C2"/>
    <w:rsid w:val="00792765"/>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93F"/>
    <w:rsid w:val="007A38A1"/>
    <w:rsid w:val="007A3BBE"/>
    <w:rsid w:val="007A4766"/>
    <w:rsid w:val="007A5590"/>
    <w:rsid w:val="007A5947"/>
    <w:rsid w:val="007A5F83"/>
    <w:rsid w:val="007A603C"/>
    <w:rsid w:val="007A717B"/>
    <w:rsid w:val="007A7714"/>
    <w:rsid w:val="007B0302"/>
    <w:rsid w:val="007B0313"/>
    <w:rsid w:val="007B0854"/>
    <w:rsid w:val="007B0E48"/>
    <w:rsid w:val="007B19DE"/>
    <w:rsid w:val="007B1D1B"/>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9B7"/>
    <w:rsid w:val="007B6545"/>
    <w:rsid w:val="007B6C64"/>
    <w:rsid w:val="007B6EC8"/>
    <w:rsid w:val="007B6F81"/>
    <w:rsid w:val="007B7EA2"/>
    <w:rsid w:val="007C097D"/>
    <w:rsid w:val="007C0AF2"/>
    <w:rsid w:val="007C0FB9"/>
    <w:rsid w:val="007C1672"/>
    <w:rsid w:val="007C17AE"/>
    <w:rsid w:val="007C1CFF"/>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373"/>
    <w:rsid w:val="007E0812"/>
    <w:rsid w:val="007E0825"/>
    <w:rsid w:val="007E18DF"/>
    <w:rsid w:val="007E1AE5"/>
    <w:rsid w:val="007E214A"/>
    <w:rsid w:val="007E238D"/>
    <w:rsid w:val="007E2C36"/>
    <w:rsid w:val="007E2FEB"/>
    <w:rsid w:val="007E350D"/>
    <w:rsid w:val="007E3ACA"/>
    <w:rsid w:val="007E3E1B"/>
    <w:rsid w:val="007E3F27"/>
    <w:rsid w:val="007E3F4A"/>
    <w:rsid w:val="007E4D8A"/>
    <w:rsid w:val="007E4F0D"/>
    <w:rsid w:val="007E564D"/>
    <w:rsid w:val="007E5C4A"/>
    <w:rsid w:val="007E6135"/>
    <w:rsid w:val="007E63EA"/>
    <w:rsid w:val="007E64D4"/>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6A2"/>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673"/>
    <w:rsid w:val="00837937"/>
    <w:rsid w:val="00837D82"/>
    <w:rsid w:val="008404C8"/>
    <w:rsid w:val="00840669"/>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DB9"/>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44"/>
    <w:rsid w:val="00874B89"/>
    <w:rsid w:val="00874B90"/>
    <w:rsid w:val="00875403"/>
    <w:rsid w:val="00875434"/>
    <w:rsid w:val="00875C1F"/>
    <w:rsid w:val="00876215"/>
    <w:rsid w:val="0087646C"/>
    <w:rsid w:val="00876815"/>
    <w:rsid w:val="00877932"/>
    <w:rsid w:val="008808C7"/>
    <w:rsid w:val="0088106B"/>
    <w:rsid w:val="0088107D"/>
    <w:rsid w:val="0088187A"/>
    <w:rsid w:val="00881E64"/>
    <w:rsid w:val="00882335"/>
    <w:rsid w:val="00882E39"/>
    <w:rsid w:val="00883246"/>
    <w:rsid w:val="00883559"/>
    <w:rsid w:val="00884183"/>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401"/>
    <w:rsid w:val="008928EC"/>
    <w:rsid w:val="00892A15"/>
    <w:rsid w:val="00892E5D"/>
    <w:rsid w:val="0089351F"/>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4C11"/>
    <w:rsid w:val="008A4FF8"/>
    <w:rsid w:val="008A5474"/>
    <w:rsid w:val="008A5C9A"/>
    <w:rsid w:val="008A6005"/>
    <w:rsid w:val="008A614F"/>
    <w:rsid w:val="008A6A55"/>
    <w:rsid w:val="008A6DF0"/>
    <w:rsid w:val="008A6F6E"/>
    <w:rsid w:val="008A7888"/>
    <w:rsid w:val="008A796E"/>
    <w:rsid w:val="008B0862"/>
    <w:rsid w:val="008B088C"/>
    <w:rsid w:val="008B1A42"/>
    <w:rsid w:val="008B1BF5"/>
    <w:rsid w:val="008B263F"/>
    <w:rsid w:val="008B3045"/>
    <w:rsid w:val="008B3E9E"/>
    <w:rsid w:val="008B47A6"/>
    <w:rsid w:val="008B4E4C"/>
    <w:rsid w:val="008B5C7C"/>
    <w:rsid w:val="008B63FE"/>
    <w:rsid w:val="008B672C"/>
    <w:rsid w:val="008B7108"/>
    <w:rsid w:val="008C065F"/>
    <w:rsid w:val="008C067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0E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538E"/>
    <w:rsid w:val="008F5A20"/>
    <w:rsid w:val="008F5ABA"/>
    <w:rsid w:val="008F6157"/>
    <w:rsid w:val="008F698E"/>
    <w:rsid w:val="008F71AB"/>
    <w:rsid w:val="008F7905"/>
    <w:rsid w:val="008F7989"/>
    <w:rsid w:val="00900912"/>
    <w:rsid w:val="00900FC5"/>
    <w:rsid w:val="00901F1D"/>
    <w:rsid w:val="009028E8"/>
    <w:rsid w:val="00902E5C"/>
    <w:rsid w:val="0090363E"/>
    <w:rsid w:val="00903788"/>
    <w:rsid w:val="00903EE2"/>
    <w:rsid w:val="009045CC"/>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056"/>
    <w:rsid w:val="00935745"/>
    <w:rsid w:val="00935E70"/>
    <w:rsid w:val="0093609A"/>
    <w:rsid w:val="00936517"/>
    <w:rsid w:val="00937401"/>
    <w:rsid w:val="009376FB"/>
    <w:rsid w:val="00937BA0"/>
    <w:rsid w:val="00937D6B"/>
    <w:rsid w:val="00940477"/>
    <w:rsid w:val="00940876"/>
    <w:rsid w:val="00940A53"/>
    <w:rsid w:val="00940F3C"/>
    <w:rsid w:val="009410E0"/>
    <w:rsid w:val="00941FA9"/>
    <w:rsid w:val="00942641"/>
    <w:rsid w:val="009439B6"/>
    <w:rsid w:val="009444B4"/>
    <w:rsid w:val="00944644"/>
    <w:rsid w:val="00944652"/>
    <w:rsid w:val="009461CC"/>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D07"/>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507"/>
    <w:rsid w:val="00973AB3"/>
    <w:rsid w:val="00973BE5"/>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33B4"/>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3013"/>
    <w:rsid w:val="009930AB"/>
    <w:rsid w:val="00993B78"/>
    <w:rsid w:val="00993D92"/>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917"/>
    <w:rsid w:val="009A0A33"/>
    <w:rsid w:val="009A0CC0"/>
    <w:rsid w:val="009A10B2"/>
    <w:rsid w:val="009A1351"/>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A7970"/>
    <w:rsid w:val="009B03F1"/>
    <w:rsid w:val="009B15C4"/>
    <w:rsid w:val="009B1F52"/>
    <w:rsid w:val="009B2374"/>
    <w:rsid w:val="009B28D6"/>
    <w:rsid w:val="009B2E29"/>
    <w:rsid w:val="009B3163"/>
    <w:rsid w:val="009B422F"/>
    <w:rsid w:val="009B4448"/>
    <w:rsid w:val="009B46BC"/>
    <w:rsid w:val="009B4D1A"/>
    <w:rsid w:val="009B519D"/>
    <w:rsid w:val="009B558B"/>
    <w:rsid w:val="009B60FE"/>
    <w:rsid w:val="009B663F"/>
    <w:rsid w:val="009B6863"/>
    <w:rsid w:val="009B6D21"/>
    <w:rsid w:val="009B7460"/>
    <w:rsid w:val="009B78ED"/>
    <w:rsid w:val="009B7FFD"/>
    <w:rsid w:val="009C0E23"/>
    <w:rsid w:val="009C181C"/>
    <w:rsid w:val="009C1A44"/>
    <w:rsid w:val="009C1C7F"/>
    <w:rsid w:val="009C1EC7"/>
    <w:rsid w:val="009C2210"/>
    <w:rsid w:val="009C28A2"/>
    <w:rsid w:val="009C3239"/>
    <w:rsid w:val="009C3828"/>
    <w:rsid w:val="009C3A0A"/>
    <w:rsid w:val="009C3AD3"/>
    <w:rsid w:val="009C3AF4"/>
    <w:rsid w:val="009C3D2C"/>
    <w:rsid w:val="009C4987"/>
    <w:rsid w:val="009C4EFB"/>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971"/>
    <w:rsid w:val="009F3A42"/>
    <w:rsid w:val="009F4481"/>
    <w:rsid w:val="009F4990"/>
    <w:rsid w:val="009F4F25"/>
    <w:rsid w:val="009F59C2"/>
    <w:rsid w:val="009F60AF"/>
    <w:rsid w:val="009F64E9"/>
    <w:rsid w:val="009F7263"/>
    <w:rsid w:val="009F73B6"/>
    <w:rsid w:val="009F75B7"/>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41"/>
    <w:rsid w:val="00A023E7"/>
    <w:rsid w:val="00A02B88"/>
    <w:rsid w:val="00A03160"/>
    <w:rsid w:val="00A036AC"/>
    <w:rsid w:val="00A03C54"/>
    <w:rsid w:val="00A03DE5"/>
    <w:rsid w:val="00A041BC"/>
    <w:rsid w:val="00A0447F"/>
    <w:rsid w:val="00A046D2"/>
    <w:rsid w:val="00A04712"/>
    <w:rsid w:val="00A04A54"/>
    <w:rsid w:val="00A058B8"/>
    <w:rsid w:val="00A05B4B"/>
    <w:rsid w:val="00A066C3"/>
    <w:rsid w:val="00A06754"/>
    <w:rsid w:val="00A068D4"/>
    <w:rsid w:val="00A069E0"/>
    <w:rsid w:val="00A06E4A"/>
    <w:rsid w:val="00A070E9"/>
    <w:rsid w:val="00A078FB"/>
    <w:rsid w:val="00A10209"/>
    <w:rsid w:val="00A1032F"/>
    <w:rsid w:val="00A1036D"/>
    <w:rsid w:val="00A1069F"/>
    <w:rsid w:val="00A10ACA"/>
    <w:rsid w:val="00A10D08"/>
    <w:rsid w:val="00A1181E"/>
    <w:rsid w:val="00A11B4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80D"/>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43A"/>
    <w:rsid w:val="00A30E02"/>
    <w:rsid w:val="00A30F6A"/>
    <w:rsid w:val="00A31060"/>
    <w:rsid w:val="00A31554"/>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377"/>
    <w:rsid w:val="00A4384F"/>
    <w:rsid w:val="00A439E5"/>
    <w:rsid w:val="00A4414E"/>
    <w:rsid w:val="00A4497A"/>
    <w:rsid w:val="00A44AB5"/>
    <w:rsid w:val="00A44BE8"/>
    <w:rsid w:val="00A44C96"/>
    <w:rsid w:val="00A44CDD"/>
    <w:rsid w:val="00A44F54"/>
    <w:rsid w:val="00A44FE3"/>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6FA8"/>
    <w:rsid w:val="00A67170"/>
    <w:rsid w:val="00A67E16"/>
    <w:rsid w:val="00A67EB1"/>
    <w:rsid w:val="00A67F1C"/>
    <w:rsid w:val="00A703CC"/>
    <w:rsid w:val="00A70C5C"/>
    <w:rsid w:val="00A710A2"/>
    <w:rsid w:val="00A71EA7"/>
    <w:rsid w:val="00A730AD"/>
    <w:rsid w:val="00A73855"/>
    <w:rsid w:val="00A738FF"/>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4443"/>
    <w:rsid w:val="00A8487F"/>
    <w:rsid w:val="00A849A3"/>
    <w:rsid w:val="00A84A0E"/>
    <w:rsid w:val="00A84EB0"/>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39BD"/>
    <w:rsid w:val="00AD455B"/>
    <w:rsid w:val="00AD455D"/>
    <w:rsid w:val="00AD463C"/>
    <w:rsid w:val="00AD47C9"/>
    <w:rsid w:val="00AD4F60"/>
    <w:rsid w:val="00AD5044"/>
    <w:rsid w:val="00AD5114"/>
    <w:rsid w:val="00AD6236"/>
    <w:rsid w:val="00AD69D5"/>
    <w:rsid w:val="00AD6D07"/>
    <w:rsid w:val="00AD749E"/>
    <w:rsid w:val="00AD7619"/>
    <w:rsid w:val="00AD7770"/>
    <w:rsid w:val="00AD7773"/>
    <w:rsid w:val="00AE1772"/>
    <w:rsid w:val="00AE1990"/>
    <w:rsid w:val="00AE210C"/>
    <w:rsid w:val="00AE25E8"/>
    <w:rsid w:val="00AE2AD4"/>
    <w:rsid w:val="00AE2CA7"/>
    <w:rsid w:val="00AE2F1D"/>
    <w:rsid w:val="00AE4A7D"/>
    <w:rsid w:val="00AE4C81"/>
    <w:rsid w:val="00AE4E63"/>
    <w:rsid w:val="00AE586F"/>
    <w:rsid w:val="00AE5964"/>
    <w:rsid w:val="00AE62FE"/>
    <w:rsid w:val="00AE6582"/>
    <w:rsid w:val="00AE6DC5"/>
    <w:rsid w:val="00AE7686"/>
    <w:rsid w:val="00AE799A"/>
    <w:rsid w:val="00AF0340"/>
    <w:rsid w:val="00AF083A"/>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778"/>
    <w:rsid w:val="00B14D32"/>
    <w:rsid w:val="00B1507C"/>
    <w:rsid w:val="00B152B8"/>
    <w:rsid w:val="00B1557C"/>
    <w:rsid w:val="00B155DC"/>
    <w:rsid w:val="00B15766"/>
    <w:rsid w:val="00B15E4A"/>
    <w:rsid w:val="00B1666A"/>
    <w:rsid w:val="00B167C8"/>
    <w:rsid w:val="00B1686D"/>
    <w:rsid w:val="00B168AA"/>
    <w:rsid w:val="00B16BF7"/>
    <w:rsid w:val="00B17129"/>
    <w:rsid w:val="00B1741D"/>
    <w:rsid w:val="00B17447"/>
    <w:rsid w:val="00B17719"/>
    <w:rsid w:val="00B1771D"/>
    <w:rsid w:val="00B17B91"/>
    <w:rsid w:val="00B20209"/>
    <w:rsid w:val="00B203C9"/>
    <w:rsid w:val="00B2088D"/>
    <w:rsid w:val="00B208FF"/>
    <w:rsid w:val="00B211C6"/>
    <w:rsid w:val="00B21271"/>
    <w:rsid w:val="00B22E22"/>
    <w:rsid w:val="00B22F5F"/>
    <w:rsid w:val="00B23353"/>
    <w:rsid w:val="00B237E6"/>
    <w:rsid w:val="00B23813"/>
    <w:rsid w:val="00B23DA0"/>
    <w:rsid w:val="00B23FD9"/>
    <w:rsid w:val="00B24358"/>
    <w:rsid w:val="00B24591"/>
    <w:rsid w:val="00B245D5"/>
    <w:rsid w:val="00B245EF"/>
    <w:rsid w:val="00B24C36"/>
    <w:rsid w:val="00B24D9F"/>
    <w:rsid w:val="00B24F94"/>
    <w:rsid w:val="00B25126"/>
    <w:rsid w:val="00B255BF"/>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9A6"/>
    <w:rsid w:val="00B35B6A"/>
    <w:rsid w:val="00B36D2B"/>
    <w:rsid w:val="00B37657"/>
    <w:rsid w:val="00B37AFD"/>
    <w:rsid w:val="00B37B07"/>
    <w:rsid w:val="00B4046F"/>
    <w:rsid w:val="00B406B3"/>
    <w:rsid w:val="00B40A36"/>
    <w:rsid w:val="00B41BCA"/>
    <w:rsid w:val="00B41D39"/>
    <w:rsid w:val="00B420B8"/>
    <w:rsid w:val="00B422C0"/>
    <w:rsid w:val="00B426CA"/>
    <w:rsid w:val="00B426E1"/>
    <w:rsid w:val="00B4387A"/>
    <w:rsid w:val="00B44746"/>
    <w:rsid w:val="00B44854"/>
    <w:rsid w:val="00B44BA5"/>
    <w:rsid w:val="00B458D0"/>
    <w:rsid w:val="00B466C4"/>
    <w:rsid w:val="00B4792C"/>
    <w:rsid w:val="00B50CAE"/>
    <w:rsid w:val="00B512AD"/>
    <w:rsid w:val="00B5196C"/>
    <w:rsid w:val="00B525CB"/>
    <w:rsid w:val="00B52697"/>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41D"/>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D85"/>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B70"/>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4E4"/>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D92"/>
    <w:rsid w:val="00BA665B"/>
    <w:rsid w:val="00BA6FE8"/>
    <w:rsid w:val="00BA732D"/>
    <w:rsid w:val="00BA7370"/>
    <w:rsid w:val="00BA778B"/>
    <w:rsid w:val="00BB0888"/>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0A1"/>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9EB"/>
    <w:rsid w:val="00BE6D73"/>
    <w:rsid w:val="00BE7257"/>
    <w:rsid w:val="00BE792A"/>
    <w:rsid w:val="00BF020D"/>
    <w:rsid w:val="00BF0532"/>
    <w:rsid w:val="00BF0609"/>
    <w:rsid w:val="00BF0EE8"/>
    <w:rsid w:val="00BF0F20"/>
    <w:rsid w:val="00BF10ED"/>
    <w:rsid w:val="00BF15F2"/>
    <w:rsid w:val="00BF1DD2"/>
    <w:rsid w:val="00BF23A3"/>
    <w:rsid w:val="00BF2A7E"/>
    <w:rsid w:val="00BF2CD0"/>
    <w:rsid w:val="00BF3331"/>
    <w:rsid w:val="00BF3A45"/>
    <w:rsid w:val="00BF436F"/>
    <w:rsid w:val="00BF5C05"/>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258"/>
    <w:rsid w:val="00C2296B"/>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3CC1"/>
    <w:rsid w:val="00C34161"/>
    <w:rsid w:val="00C34B5F"/>
    <w:rsid w:val="00C358D4"/>
    <w:rsid w:val="00C365C6"/>
    <w:rsid w:val="00C366F4"/>
    <w:rsid w:val="00C36785"/>
    <w:rsid w:val="00C36FEA"/>
    <w:rsid w:val="00C3711C"/>
    <w:rsid w:val="00C37256"/>
    <w:rsid w:val="00C37A7B"/>
    <w:rsid w:val="00C37DC1"/>
    <w:rsid w:val="00C37FA6"/>
    <w:rsid w:val="00C37FFE"/>
    <w:rsid w:val="00C40B50"/>
    <w:rsid w:val="00C419E3"/>
    <w:rsid w:val="00C419F4"/>
    <w:rsid w:val="00C41E6A"/>
    <w:rsid w:val="00C42150"/>
    <w:rsid w:val="00C42247"/>
    <w:rsid w:val="00C428E7"/>
    <w:rsid w:val="00C438A2"/>
    <w:rsid w:val="00C439BE"/>
    <w:rsid w:val="00C43A17"/>
    <w:rsid w:val="00C451B2"/>
    <w:rsid w:val="00C4539B"/>
    <w:rsid w:val="00C45466"/>
    <w:rsid w:val="00C455C1"/>
    <w:rsid w:val="00C4581D"/>
    <w:rsid w:val="00C46CA4"/>
    <w:rsid w:val="00C4709B"/>
    <w:rsid w:val="00C47472"/>
    <w:rsid w:val="00C47D0D"/>
    <w:rsid w:val="00C500F0"/>
    <w:rsid w:val="00C504A7"/>
    <w:rsid w:val="00C506C9"/>
    <w:rsid w:val="00C50A16"/>
    <w:rsid w:val="00C518CF"/>
    <w:rsid w:val="00C51C9A"/>
    <w:rsid w:val="00C52C68"/>
    <w:rsid w:val="00C52D98"/>
    <w:rsid w:val="00C52DA1"/>
    <w:rsid w:val="00C53D24"/>
    <w:rsid w:val="00C54640"/>
    <w:rsid w:val="00C547A6"/>
    <w:rsid w:val="00C54A3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31"/>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60DC"/>
    <w:rsid w:val="00C7747E"/>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4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2697"/>
    <w:rsid w:val="00CA41E7"/>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00"/>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0E0"/>
    <w:rsid w:val="00CC4CB4"/>
    <w:rsid w:val="00CC4E5D"/>
    <w:rsid w:val="00CC4EF4"/>
    <w:rsid w:val="00CC4F87"/>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37B4"/>
    <w:rsid w:val="00CD405A"/>
    <w:rsid w:val="00CD4506"/>
    <w:rsid w:val="00CD520B"/>
    <w:rsid w:val="00CD592E"/>
    <w:rsid w:val="00CD5982"/>
    <w:rsid w:val="00CD5A1A"/>
    <w:rsid w:val="00CD5C26"/>
    <w:rsid w:val="00CD6126"/>
    <w:rsid w:val="00CD6CAB"/>
    <w:rsid w:val="00CD7EFA"/>
    <w:rsid w:val="00CE020E"/>
    <w:rsid w:val="00CE026B"/>
    <w:rsid w:val="00CE0566"/>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42C"/>
    <w:rsid w:val="00D06693"/>
    <w:rsid w:val="00D1060D"/>
    <w:rsid w:val="00D10D14"/>
    <w:rsid w:val="00D10E7C"/>
    <w:rsid w:val="00D11182"/>
    <w:rsid w:val="00D1137B"/>
    <w:rsid w:val="00D11508"/>
    <w:rsid w:val="00D11807"/>
    <w:rsid w:val="00D11881"/>
    <w:rsid w:val="00D11DB3"/>
    <w:rsid w:val="00D12264"/>
    <w:rsid w:val="00D12D82"/>
    <w:rsid w:val="00D12F77"/>
    <w:rsid w:val="00D1306E"/>
    <w:rsid w:val="00D130B7"/>
    <w:rsid w:val="00D134CD"/>
    <w:rsid w:val="00D13FE4"/>
    <w:rsid w:val="00D1401E"/>
    <w:rsid w:val="00D14B5F"/>
    <w:rsid w:val="00D14E13"/>
    <w:rsid w:val="00D14F23"/>
    <w:rsid w:val="00D160F6"/>
    <w:rsid w:val="00D16740"/>
    <w:rsid w:val="00D169D8"/>
    <w:rsid w:val="00D16A8B"/>
    <w:rsid w:val="00D16E39"/>
    <w:rsid w:val="00D171DE"/>
    <w:rsid w:val="00D172A4"/>
    <w:rsid w:val="00D17951"/>
    <w:rsid w:val="00D17AD8"/>
    <w:rsid w:val="00D205C7"/>
    <w:rsid w:val="00D2104A"/>
    <w:rsid w:val="00D21A58"/>
    <w:rsid w:val="00D21BB5"/>
    <w:rsid w:val="00D21FFC"/>
    <w:rsid w:val="00D223B6"/>
    <w:rsid w:val="00D223E8"/>
    <w:rsid w:val="00D224E1"/>
    <w:rsid w:val="00D22DC8"/>
    <w:rsid w:val="00D23094"/>
    <w:rsid w:val="00D231DD"/>
    <w:rsid w:val="00D23732"/>
    <w:rsid w:val="00D2374F"/>
    <w:rsid w:val="00D2477B"/>
    <w:rsid w:val="00D24F93"/>
    <w:rsid w:val="00D25027"/>
    <w:rsid w:val="00D2519C"/>
    <w:rsid w:val="00D2522A"/>
    <w:rsid w:val="00D2531C"/>
    <w:rsid w:val="00D25428"/>
    <w:rsid w:val="00D2553E"/>
    <w:rsid w:val="00D2587F"/>
    <w:rsid w:val="00D2742F"/>
    <w:rsid w:val="00D2754F"/>
    <w:rsid w:val="00D277C5"/>
    <w:rsid w:val="00D279D9"/>
    <w:rsid w:val="00D309A0"/>
    <w:rsid w:val="00D30C8F"/>
    <w:rsid w:val="00D312DC"/>
    <w:rsid w:val="00D31B3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89B"/>
    <w:rsid w:val="00D42AC2"/>
    <w:rsid w:val="00D44791"/>
    <w:rsid w:val="00D4498E"/>
    <w:rsid w:val="00D4515F"/>
    <w:rsid w:val="00D451E8"/>
    <w:rsid w:val="00D45EE8"/>
    <w:rsid w:val="00D466C9"/>
    <w:rsid w:val="00D46B43"/>
    <w:rsid w:val="00D47275"/>
    <w:rsid w:val="00D517F6"/>
    <w:rsid w:val="00D51AB7"/>
    <w:rsid w:val="00D51E15"/>
    <w:rsid w:val="00D5240E"/>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0C4A"/>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A37"/>
    <w:rsid w:val="00D72BC3"/>
    <w:rsid w:val="00D72E9D"/>
    <w:rsid w:val="00D73249"/>
    <w:rsid w:val="00D732AC"/>
    <w:rsid w:val="00D73419"/>
    <w:rsid w:val="00D73437"/>
    <w:rsid w:val="00D73881"/>
    <w:rsid w:val="00D73CA9"/>
    <w:rsid w:val="00D74387"/>
    <w:rsid w:val="00D751B7"/>
    <w:rsid w:val="00D75232"/>
    <w:rsid w:val="00D7524B"/>
    <w:rsid w:val="00D75396"/>
    <w:rsid w:val="00D753E7"/>
    <w:rsid w:val="00D75924"/>
    <w:rsid w:val="00D759C0"/>
    <w:rsid w:val="00D75AF5"/>
    <w:rsid w:val="00D75E99"/>
    <w:rsid w:val="00D765CE"/>
    <w:rsid w:val="00D766C7"/>
    <w:rsid w:val="00D7692B"/>
    <w:rsid w:val="00D76951"/>
    <w:rsid w:val="00D7734F"/>
    <w:rsid w:val="00D7762A"/>
    <w:rsid w:val="00D7791D"/>
    <w:rsid w:val="00D77CB6"/>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E63"/>
    <w:rsid w:val="00D93049"/>
    <w:rsid w:val="00D9310B"/>
    <w:rsid w:val="00D931F3"/>
    <w:rsid w:val="00D93726"/>
    <w:rsid w:val="00D93F3E"/>
    <w:rsid w:val="00D9405B"/>
    <w:rsid w:val="00D94942"/>
    <w:rsid w:val="00D9502A"/>
    <w:rsid w:val="00D95145"/>
    <w:rsid w:val="00D96594"/>
    <w:rsid w:val="00D96678"/>
    <w:rsid w:val="00D967CB"/>
    <w:rsid w:val="00D968D4"/>
    <w:rsid w:val="00D96EAB"/>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30B8"/>
    <w:rsid w:val="00DC478F"/>
    <w:rsid w:val="00DC5950"/>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6DBA"/>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506"/>
    <w:rsid w:val="00DE67D2"/>
    <w:rsid w:val="00DE7108"/>
    <w:rsid w:val="00DE7742"/>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7AA"/>
    <w:rsid w:val="00E00990"/>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598"/>
    <w:rsid w:val="00E068BB"/>
    <w:rsid w:val="00E070C1"/>
    <w:rsid w:val="00E07225"/>
    <w:rsid w:val="00E073FC"/>
    <w:rsid w:val="00E076B4"/>
    <w:rsid w:val="00E07B55"/>
    <w:rsid w:val="00E10579"/>
    <w:rsid w:val="00E109DD"/>
    <w:rsid w:val="00E1119F"/>
    <w:rsid w:val="00E11229"/>
    <w:rsid w:val="00E114CA"/>
    <w:rsid w:val="00E127D1"/>
    <w:rsid w:val="00E13234"/>
    <w:rsid w:val="00E13867"/>
    <w:rsid w:val="00E1397F"/>
    <w:rsid w:val="00E13AB8"/>
    <w:rsid w:val="00E1482E"/>
    <w:rsid w:val="00E16382"/>
    <w:rsid w:val="00E1699C"/>
    <w:rsid w:val="00E16B74"/>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CB8"/>
    <w:rsid w:val="00E26D16"/>
    <w:rsid w:val="00E26FCF"/>
    <w:rsid w:val="00E27165"/>
    <w:rsid w:val="00E275D9"/>
    <w:rsid w:val="00E3044A"/>
    <w:rsid w:val="00E30E49"/>
    <w:rsid w:val="00E312B1"/>
    <w:rsid w:val="00E31A4A"/>
    <w:rsid w:val="00E32C77"/>
    <w:rsid w:val="00E3344A"/>
    <w:rsid w:val="00E337CC"/>
    <w:rsid w:val="00E33B29"/>
    <w:rsid w:val="00E33B62"/>
    <w:rsid w:val="00E3403D"/>
    <w:rsid w:val="00E34376"/>
    <w:rsid w:val="00E344BD"/>
    <w:rsid w:val="00E34548"/>
    <w:rsid w:val="00E34E6C"/>
    <w:rsid w:val="00E353E2"/>
    <w:rsid w:val="00E36345"/>
    <w:rsid w:val="00E36C86"/>
    <w:rsid w:val="00E36CEB"/>
    <w:rsid w:val="00E37A28"/>
    <w:rsid w:val="00E37E95"/>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505F7"/>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740"/>
    <w:rsid w:val="00E63DCE"/>
    <w:rsid w:val="00E642EF"/>
    <w:rsid w:val="00E643A3"/>
    <w:rsid w:val="00E64700"/>
    <w:rsid w:val="00E65074"/>
    <w:rsid w:val="00E65857"/>
    <w:rsid w:val="00E65E70"/>
    <w:rsid w:val="00E66087"/>
    <w:rsid w:val="00E66D79"/>
    <w:rsid w:val="00E66FF9"/>
    <w:rsid w:val="00E6706F"/>
    <w:rsid w:val="00E67148"/>
    <w:rsid w:val="00E673A2"/>
    <w:rsid w:val="00E67856"/>
    <w:rsid w:val="00E679C8"/>
    <w:rsid w:val="00E70314"/>
    <w:rsid w:val="00E70412"/>
    <w:rsid w:val="00E724E7"/>
    <w:rsid w:val="00E72791"/>
    <w:rsid w:val="00E72B41"/>
    <w:rsid w:val="00E7347B"/>
    <w:rsid w:val="00E73792"/>
    <w:rsid w:val="00E73D03"/>
    <w:rsid w:val="00E7471C"/>
    <w:rsid w:val="00E7498A"/>
    <w:rsid w:val="00E7514E"/>
    <w:rsid w:val="00E758E0"/>
    <w:rsid w:val="00E75A1F"/>
    <w:rsid w:val="00E76537"/>
    <w:rsid w:val="00E77784"/>
    <w:rsid w:val="00E77AF5"/>
    <w:rsid w:val="00E8035B"/>
    <w:rsid w:val="00E806D9"/>
    <w:rsid w:val="00E80ADE"/>
    <w:rsid w:val="00E820F4"/>
    <w:rsid w:val="00E82263"/>
    <w:rsid w:val="00E823F9"/>
    <w:rsid w:val="00E82C1F"/>
    <w:rsid w:val="00E83671"/>
    <w:rsid w:val="00E83A90"/>
    <w:rsid w:val="00E83D1E"/>
    <w:rsid w:val="00E840EE"/>
    <w:rsid w:val="00E84314"/>
    <w:rsid w:val="00E849CA"/>
    <w:rsid w:val="00E84A71"/>
    <w:rsid w:val="00E8556F"/>
    <w:rsid w:val="00E86556"/>
    <w:rsid w:val="00E86A3D"/>
    <w:rsid w:val="00E86D35"/>
    <w:rsid w:val="00E86DA7"/>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2E9D"/>
    <w:rsid w:val="00EC3BA2"/>
    <w:rsid w:val="00EC3C94"/>
    <w:rsid w:val="00EC44DF"/>
    <w:rsid w:val="00EC4FB9"/>
    <w:rsid w:val="00EC5393"/>
    <w:rsid w:val="00EC5741"/>
    <w:rsid w:val="00EC5DA3"/>
    <w:rsid w:val="00EC6014"/>
    <w:rsid w:val="00EC6170"/>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54C"/>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5EA"/>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159D"/>
    <w:rsid w:val="00F3232D"/>
    <w:rsid w:val="00F32D60"/>
    <w:rsid w:val="00F3399B"/>
    <w:rsid w:val="00F33F4B"/>
    <w:rsid w:val="00F346ED"/>
    <w:rsid w:val="00F34945"/>
    <w:rsid w:val="00F34E1E"/>
    <w:rsid w:val="00F354D0"/>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57A5D"/>
    <w:rsid w:val="00F600E0"/>
    <w:rsid w:val="00F605EC"/>
    <w:rsid w:val="00F60F60"/>
    <w:rsid w:val="00F612CE"/>
    <w:rsid w:val="00F6133C"/>
    <w:rsid w:val="00F61405"/>
    <w:rsid w:val="00F62227"/>
    <w:rsid w:val="00F624A7"/>
    <w:rsid w:val="00F62AB6"/>
    <w:rsid w:val="00F630AC"/>
    <w:rsid w:val="00F65559"/>
    <w:rsid w:val="00F659BB"/>
    <w:rsid w:val="00F65A3C"/>
    <w:rsid w:val="00F65EED"/>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B5D"/>
    <w:rsid w:val="00F87634"/>
    <w:rsid w:val="00F8768C"/>
    <w:rsid w:val="00F87C13"/>
    <w:rsid w:val="00F87C5A"/>
    <w:rsid w:val="00F87E29"/>
    <w:rsid w:val="00F87F18"/>
    <w:rsid w:val="00F87F68"/>
    <w:rsid w:val="00F905BE"/>
    <w:rsid w:val="00F9075B"/>
    <w:rsid w:val="00F90C4D"/>
    <w:rsid w:val="00F91098"/>
    <w:rsid w:val="00F9167D"/>
    <w:rsid w:val="00F91862"/>
    <w:rsid w:val="00F91CB2"/>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034"/>
    <w:rsid w:val="00FA49B7"/>
    <w:rsid w:val="00FA5043"/>
    <w:rsid w:val="00FA60C1"/>
    <w:rsid w:val="00FA65A3"/>
    <w:rsid w:val="00FA667A"/>
    <w:rsid w:val="00FA6BCA"/>
    <w:rsid w:val="00FA6D46"/>
    <w:rsid w:val="00FA6F8B"/>
    <w:rsid w:val="00FA727C"/>
    <w:rsid w:val="00FA7A30"/>
    <w:rsid w:val="00FB033F"/>
    <w:rsid w:val="00FB0880"/>
    <w:rsid w:val="00FB12E3"/>
    <w:rsid w:val="00FB1570"/>
    <w:rsid w:val="00FB193B"/>
    <w:rsid w:val="00FB1FBC"/>
    <w:rsid w:val="00FB27B7"/>
    <w:rsid w:val="00FB35E3"/>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F3"/>
    <w:rsid w:val="00FC2F73"/>
    <w:rsid w:val="00FC3A9B"/>
    <w:rsid w:val="00FC3AE1"/>
    <w:rsid w:val="00FC3DFC"/>
    <w:rsid w:val="00FC3EF4"/>
    <w:rsid w:val="00FC431B"/>
    <w:rsid w:val="00FC434C"/>
    <w:rsid w:val="00FC453B"/>
    <w:rsid w:val="00FC472C"/>
    <w:rsid w:val="00FC4FDF"/>
    <w:rsid w:val="00FC5CF4"/>
    <w:rsid w:val="00FC5D64"/>
    <w:rsid w:val="00FC61D6"/>
    <w:rsid w:val="00FC65FC"/>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1A96"/>
    <w:rsid w:val="00FD3508"/>
    <w:rsid w:val="00FD393C"/>
    <w:rsid w:val="00FD3AFF"/>
    <w:rsid w:val="00FD43BB"/>
    <w:rsid w:val="00FD4AF3"/>
    <w:rsid w:val="00FD5443"/>
    <w:rsid w:val="00FD5DFD"/>
    <w:rsid w:val="00FD6675"/>
    <w:rsid w:val="00FD6DC5"/>
    <w:rsid w:val="00FD72B1"/>
    <w:rsid w:val="00FD798D"/>
    <w:rsid w:val="00FE113F"/>
    <w:rsid w:val="00FE141E"/>
    <w:rsid w:val="00FE144E"/>
    <w:rsid w:val="00FE1768"/>
    <w:rsid w:val="00FE1D81"/>
    <w:rsid w:val="00FE1DD5"/>
    <w:rsid w:val="00FE1FCD"/>
    <w:rsid w:val="00FE24ED"/>
    <w:rsid w:val="00FE24F4"/>
    <w:rsid w:val="00FE2560"/>
    <w:rsid w:val="00FE35D0"/>
    <w:rsid w:val="00FE42ED"/>
    <w:rsid w:val="00FE4E06"/>
    <w:rsid w:val="00FE55A7"/>
    <w:rsid w:val="00FE5C5A"/>
    <w:rsid w:val="00FE601E"/>
    <w:rsid w:val="00FE6432"/>
    <w:rsid w:val="00FE72A0"/>
    <w:rsid w:val="00FF0050"/>
    <w:rsid w:val="00FF045F"/>
    <w:rsid w:val="00FF05D7"/>
    <w:rsid w:val="00FF0816"/>
    <w:rsid w:val="00FF0EC4"/>
    <w:rsid w:val="00FF13D4"/>
    <w:rsid w:val="00FF2053"/>
    <w:rsid w:val="00FF22E8"/>
    <w:rsid w:val="00FF25D7"/>
    <w:rsid w:val="00FF26FB"/>
    <w:rsid w:val="00FF3B37"/>
    <w:rsid w:val="00FF3CC7"/>
    <w:rsid w:val="00FF3D6F"/>
    <w:rsid w:val="00FF441A"/>
    <w:rsid w:val="00FF4BD8"/>
    <w:rsid w:val="00FF4D11"/>
    <w:rsid w:val="00FF5214"/>
    <w:rsid w:val="00FF54D2"/>
    <w:rsid w:val="00FF596E"/>
    <w:rsid w:val="00FF5B59"/>
    <w:rsid w:val="00FF5BFD"/>
    <w:rsid w:val="00FF6095"/>
    <w:rsid w:val="00FF6249"/>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E1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apple-converted-space">
    <w:name w:val="apple-converted-space"/>
    <w:basedOn w:val="Fuentedeprrafopredeter"/>
    <w:rsid w:val="000F1546"/>
  </w:style>
  <w:style w:type="paragraph" w:styleId="Revisin">
    <w:name w:val="Revision"/>
    <w:hidden/>
    <w:uiPriority w:val="99"/>
    <w:semiHidden/>
    <w:rsid w:val="00085E95"/>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7278991">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0837253">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4988896">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350909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816357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3667172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750">
      <w:bodyDiv w:val="1"/>
      <w:marLeft w:val="0"/>
      <w:marRight w:val="0"/>
      <w:marTop w:val="0"/>
      <w:marBottom w:val="0"/>
      <w:divBdr>
        <w:top w:val="none" w:sz="0" w:space="0" w:color="auto"/>
        <w:left w:val="none" w:sz="0" w:space="0" w:color="auto"/>
        <w:bottom w:val="none" w:sz="0" w:space="0" w:color="auto"/>
        <w:right w:val="none" w:sz="0" w:space="0" w:color="auto"/>
      </w:divBdr>
      <w:divsChild>
        <w:div w:id="1755397340">
          <w:marLeft w:val="0"/>
          <w:marRight w:val="0"/>
          <w:marTop w:val="0"/>
          <w:marBottom w:val="0"/>
          <w:divBdr>
            <w:top w:val="none" w:sz="0" w:space="0" w:color="auto"/>
            <w:left w:val="none" w:sz="0" w:space="0" w:color="auto"/>
            <w:bottom w:val="none" w:sz="0" w:space="0" w:color="auto"/>
            <w:right w:val="none" w:sz="0" w:space="0" w:color="auto"/>
          </w:divBdr>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3867950">
      <w:bodyDiv w:val="1"/>
      <w:marLeft w:val="0"/>
      <w:marRight w:val="0"/>
      <w:marTop w:val="0"/>
      <w:marBottom w:val="0"/>
      <w:divBdr>
        <w:top w:val="none" w:sz="0" w:space="0" w:color="auto"/>
        <w:left w:val="none" w:sz="0" w:space="0" w:color="auto"/>
        <w:bottom w:val="none" w:sz="0" w:space="0" w:color="auto"/>
        <w:right w:val="none" w:sz="0" w:space="0" w:color="auto"/>
      </w:divBdr>
      <w:divsChild>
        <w:div w:id="1098938956">
          <w:marLeft w:val="0"/>
          <w:marRight w:val="0"/>
          <w:marTop w:val="0"/>
          <w:marBottom w:val="0"/>
          <w:divBdr>
            <w:top w:val="none" w:sz="0" w:space="0" w:color="auto"/>
            <w:left w:val="none" w:sz="0" w:space="0" w:color="auto"/>
            <w:bottom w:val="none" w:sz="0" w:space="0" w:color="auto"/>
            <w:right w:val="none" w:sz="0" w:space="0" w:color="auto"/>
          </w:divBdr>
          <w:divsChild>
            <w:div w:id="519439712">
              <w:marLeft w:val="0"/>
              <w:marRight w:val="0"/>
              <w:marTop w:val="0"/>
              <w:marBottom w:val="0"/>
              <w:divBdr>
                <w:top w:val="none" w:sz="0" w:space="0" w:color="auto"/>
                <w:left w:val="none" w:sz="0" w:space="0" w:color="auto"/>
                <w:bottom w:val="none" w:sz="0" w:space="0" w:color="auto"/>
                <w:right w:val="none" w:sz="0" w:space="0" w:color="auto"/>
              </w:divBdr>
              <w:divsChild>
                <w:div w:id="710954694">
                  <w:marLeft w:val="0"/>
                  <w:marRight w:val="0"/>
                  <w:marTop w:val="0"/>
                  <w:marBottom w:val="0"/>
                  <w:divBdr>
                    <w:top w:val="none" w:sz="0" w:space="0" w:color="auto"/>
                    <w:left w:val="none" w:sz="0" w:space="0" w:color="auto"/>
                    <w:bottom w:val="none" w:sz="0" w:space="0" w:color="auto"/>
                    <w:right w:val="none" w:sz="0" w:space="0" w:color="auto"/>
                  </w:divBdr>
                </w:div>
              </w:divsChild>
            </w:div>
            <w:div w:id="2111317641">
              <w:marLeft w:val="0"/>
              <w:marRight w:val="0"/>
              <w:marTop w:val="0"/>
              <w:marBottom w:val="0"/>
              <w:divBdr>
                <w:top w:val="none" w:sz="0" w:space="0" w:color="auto"/>
                <w:left w:val="none" w:sz="0" w:space="0" w:color="auto"/>
                <w:bottom w:val="none" w:sz="0" w:space="0" w:color="auto"/>
                <w:right w:val="none" w:sz="0" w:space="0" w:color="auto"/>
              </w:divBdr>
              <w:divsChild>
                <w:div w:id="941572125">
                  <w:marLeft w:val="0"/>
                  <w:marRight w:val="0"/>
                  <w:marTop w:val="0"/>
                  <w:marBottom w:val="0"/>
                  <w:divBdr>
                    <w:top w:val="none" w:sz="0" w:space="0" w:color="auto"/>
                    <w:left w:val="none" w:sz="0" w:space="0" w:color="auto"/>
                    <w:bottom w:val="none" w:sz="0" w:space="0" w:color="auto"/>
                    <w:right w:val="none" w:sz="0" w:space="0" w:color="auto"/>
                  </w:divBdr>
                </w:div>
                <w:div w:id="580913766">
                  <w:marLeft w:val="0"/>
                  <w:marRight w:val="0"/>
                  <w:marTop w:val="0"/>
                  <w:marBottom w:val="0"/>
                  <w:divBdr>
                    <w:top w:val="none" w:sz="0" w:space="0" w:color="auto"/>
                    <w:left w:val="none" w:sz="0" w:space="0" w:color="auto"/>
                    <w:bottom w:val="none" w:sz="0" w:space="0" w:color="auto"/>
                    <w:right w:val="none" w:sz="0" w:space="0" w:color="auto"/>
                  </w:divBdr>
                </w:div>
              </w:divsChild>
            </w:div>
            <w:div w:id="416099192">
              <w:marLeft w:val="0"/>
              <w:marRight w:val="0"/>
              <w:marTop w:val="0"/>
              <w:marBottom w:val="0"/>
              <w:divBdr>
                <w:top w:val="none" w:sz="0" w:space="0" w:color="auto"/>
                <w:left w:val="none" w:sz="0" w:space="0" w:color="auto"/>
                <w:bottom w:val="none" w:sz="0" w:space="0" w:color="auto"/>
                <w:right w:val="none" w:sz="0" w:space="0" w:color="auto"/>
              </w:divBdr>
              <w:divsChild>
                <w:div w:id="18334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802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930521">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9567881">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1214066">
      <w:bodyDiv w:val="1"/>
      <w:marLeft w:val="0"/>
      <w:marRight w:val="0"/>
      <w:marTop w:val="0"/>
      <w:marBottom w:val="0"/>
      <w:divBdr>
        <w:top w:val="none" w:sz="0" w:space="0" w:color="auto"/>
        <w:left w:val="none" w:sz="0" w:space="0" w:color="auto"/>
        <w:bottom w:val="none" w:sz="0" w:space="0" w:color="auto"/>
        <w:right w:val="none" w:sz="0" w:space="0" w:color="auto"/>
      </w:divBdr>
      <w:divsChild>
        <w:div w:id="1904019703">
          <w:marLeft w:val="0"/>
          <w:marRight w:val="0"/>
          <w:marTop w:val="0"/>
          <w:marBottom w:val="0"/>
          <w:divBdr>
            <w:top w:val="none" w:sz="0" w:space="0" w:color="auto"/>
            <w:left w:val="none" w:sz="0" w:space="0" w:color="auto"/>
            <w:bottom w:val="none" w:sz="0" w:space="0" w:color="auto"/>
            <w:right w:val="none" w:sz="0" w:space="0" w:color="auto"/>
          </w:divBdr>
        </w:div>
      </w:divsChild>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641380">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sintesis.colombiacompra.gov.co/sintesis/9-etapa-precontractual-estudios-prev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F60F-577E-4D94-A4D6-00A1D3F3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41</TotalTime>
  <Pages>20</Pages>
  <Words>7807</Words>
  <Characters>42942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22</cp:revision>
  <cp:lastPrinted>2020-01-30T15:05:00Z</cp:lastPrinted>
  <dcterms:created xsi:type="dcterms:W3CDTF">2022-03-01T02:14:00Z</dcterms:created>
  <dcterms:modified xsi:type="dcterms:W3CDTF">2022-03-01T13:57:00Z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