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3A78" w14:textId="77777777" w:rsidR="00CD3A5F" w:rsidRPr="00CD3A5F" w:rsidRDefault="00CD3A5F" w:rsidP="00CD3A5F">
      <w:pPr>
        <w:spacing w:after="0" w:line="240" w:lineRule="auto"/>
        <w:jc w:val="right"/>
        <w:rPr>
          <w:rFonts w:ascii="Arial" w:eastAsia="Calibri" w:hAnsi="Arial" w:cs="Arial"/>
          <w:b/>
          <w:lang w:val="es-ES"/>
        </w:rPr>
      </w:pPr>
      <w:r w:rsidRPr="00CD3A5F">
        <w:rPr>
          <w:rFonts w:ascii="Arial" w:eastAsia="Times New Roman" w:hAnsi="Arial" w:cs="Arial"/>
          <w:bCs/>
          <w:color w:val="000000" w:themeColor="text1"/>
          <w:sz w:val="16"/>
          <w:szCs w:val="16"/>
          <w:lang w:val="es-ES" w:eastAsia="es-ES"/>
        </w:rPr>
        <w:t>CCE-DES-FM-17</w:t>
      </w:r>
    </w:p>
    <w:p w14:paraId="5178B993" w14:textId="77777777" w:rsidR="00CD3A5F" w:rsidRPr="00CD3A5F" w:rsidRDefault="00CD3A5F" w:rsidP="00CD3A5F">
      <w:pPr>
        <w:spacing w:after="0" w:line="240" w:lineRule="auto"/>
        <w:jc w:val="both"/>
        <w:rPr>
          <w:rFonts w:ascii="Arial" w:eastAsia="Calibri" w:hAnsi="Arial" w:cs="Arial"/>
          <w:b/>
          <w:lang w:val="es-ES"/>
        </w:rPr>
      </w:pPr>
    </w:p>
    <w:p w14:paraId="1F742E25" w14:textId="77777777" w:rsidR="00CD3A5F" w:rsidRPr="00CD3A5F" w:rsidRDefault="00CD3A5F" w:rsidP="00CD3A5F">
      <w:pPr>
        <w:spacing w:after="0" w:line="240" w:lineRule="auto"/>
        <w:jc w:val="both"/>
        <w:rPr>
          <w:rFonts w:ascii="Arial" w:eastAsia="Calibri" w:hAnsi="Arial" w:cs="Arial"/>
          <w:lang w:val="es-ES"/>
        </w:rPr>
      </w:pPr>
      <w:r w:rsidRPr="00CD3A5F">
        <w:rPr>
          <w:rFonts w:ascii="Arial" w:eastAsia="Calibri" w:hAnsi="Arial" w:cs="Arial"/>
          <w:b/>
          <w:lang w:val="es-ES"/>
        </w:rPr>
        <w:t>EXPERIENCIA – Noción – Concepto</w:t>
      </w:r>
    </w:p>
    <w:p w14:paraId="471B10F1" w14:textId="77777777" w:rsidR="00CD3A5F" w:rsidRPr="00CD3A5F" w:rsidRDefault="00CD3A5F" w:rsidP="00CD3A5F">
      <w:pPr>
        <w:spacing w:after="0" w:line="240" w:lineRule="auto"/>
        <w:jc w:val="both"/>
        <w:rPr>
          <w:rFonts w:ascii="Arial" w:eastAsia="Calibri" w:hAnsi="Arial" w:cs="Arial"/>
          <w:sz w:val="20"/>
          <w:szCs w:val="20"/>
          <w:lang w:val="es-ES"/>
        </w:rPr>
      </w:pPr>
    </w:p>
    <w:p w14:paraId="7465BCAC" w14:textId="77777777" w:rsidR="00CD3A5F" w:rsidRPr="00CD3A5F" w:rsidRDefault="00CD3A5F" w:rsidP="00CD3A5F">
      <w:pPr>
        <w:spacing w:after="0" w:line="240" w:lineRule="auto"/>
        <w:jc w:val="both"/>
        <w:rPr>
          <w:rFonts w:ascii="Arial" w:eastAsia="Calibri" w:hAnsi="Arial" w:cs="Arial"/>
          <w:sz w:val="20"/>
          <w:szCs w:val="20"/>
          <w:lang w:val="es-ES"/>
        </w:rPr>
      </w:pPr>
      <w:r w:rsidRPr="00CD3A5F">
        <w:rPr>
          <w:rFonts w:ascii="Arial" w:eastAsia="Calibri" w:hAnsi="Arial" w:cs="Arial"/>
          <w:sz w:val="20"/>
          <w:szCs w:val="20"/>
          <w:lang w:val="es-ES"/>
        </w:rPr>
        <w:t>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w:t>
      </w:r>
    </w:p>
    <w:p w14:paraId="7E040B7D" w14:textId="77777777" w:rsidR="00CD3A5F" w:rsidRPr="00CD3A5F" w:rsidRDefault="00CD3A5F" w:rsidP="00CD3A5F">
      <w:pPr>
        <w:spacing w:after="0" w:line="240" w:lineRule="auto"/>
        <w:jc w:val="both"/>
        <w:rPr>
          <w:rFonts w:ascii="Arial" w:eastAsia="Calibri" w:hAnsi="Arial" w:cs="Arial"/>
          <w:sz w:val="20"/>
          <w:szCs w:val="20"/>
          <w:lang w:val="es-ES"/>
        </w:rPr>
      </w:pPr>
    </w:p>
    <w:p w14:paraId="7C39C819" w14:textId="77777777" w:rsidR="00CD3A5F" w:rsidRPr="00CD3A5F" w:rsidRDefault="00CD3A5F" w:rsidP="00CD3A5F">
      <w:pPr>
        <w:spacing w:after="0" w:line="240" w:lineRule="auto"/>
        <w:jc w:val="both"/>
        <w:rPr>
          <w:rFonts w:ascii="Arial" w:eastAsia="Calibri" w:hAnsi="Arial" w:cs="Arial"/>
          <w:sz w:val="20"/>
          <w:szCs w:val="20"/>
          <w:lang w:val="es-ES"/>
        </w:rPr>
      </w:pPr>
      <w:r w:rsidRPr="00CD3A5F">
        <w:rPr>
          <w:rFonts w:ascii="Arial" w:eastAsia="Calibri" w:hAnsi="Arial" w:cs="Arial"/>
          <w:sz w:val="20"/>
          <w:szCs w:val="20"/>
          <w:lang w:val="es-ES"/>
        </w:rPr>
        <w:t>Por su parte,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4FBE5381" w14:textId="77777777" w:rsidR="00CD3A5F" w:rsidRPr="00CD3A5F" w:rsidRDefault="00CD3A5F" w:rsidP="00CD3A5F">
      <w:pPr>
        <w:spacing w:after="0" w:line="240" w:lineRule="auto"/>
        <w:jc w:val="both"/>
        <w:rPr>
          <w:rFonts w:ascii="Arial" w:eastAsia="Calibri" w:hAnsi="Arial" w:cs="Arial"/>
          <w:b/>
          <w:lang w:val="es-ES"/>
        </w:rPr>
      </w:pPr>
    </w:p>
    <w:p w14:paraId="53964F68" w14:textId="77777777" w:rsidR="00CD3A5F" w:rsidRPr="00CD3A5F" w:rsidRDefault="00CD3A5F" w:rsidP="00CD3A5F">
      <w:pPr>
        <w:spacing w:after="0" w:line="240" w:lineRule="auto"/>
        <w:jc w:val="both"/>
        <w:rPr>
          <w:rFonts w:ascii="Arial" w:eastAsia="Calibri" w:hAnsi="Arial" w:cs="Arial"/>
          <w:b/>
          <w:lang w:val="es-ES"/>
        </w:rPr>
      </w:pPr>
      <w:r w:rsidRPr="00CD3A5F">
        <w:rPr>
          <w:rFonts w:ascii="Arial" w:eastAsia="Calibri" w:hAnsi="Arial" w:cs="Arial"/>
          <w:b/>
          <w:lang w:val="es-ES"/>
        </w:rPr>
        <w:t>SOCIEDADES NUEVAS ‒ Experiencia ‒ Inferior a tres años ‒ Requisitos habilitantes ‒ Desarrollo de la empresa</w:t>
      </w:r>
    </w:p>
    <w:p w14:paraId="487136ED" w14:textId="77777777" w:rsidR="00CD3A5F" w:rsidRPr="00CD3A5F" w:rsidRDefault="00CD3A5F" w:rsidP="00CD3A5F">
      <w:pPr>
        <w:spacing w:after="0" w:line="240" w:lineRule="auto"/>
        <w:jc w:val="both"/>
        <w:rPr>
          <w:rFonts w:ascii="Arial" w:eastAsia="Calibri" w:hAnsi="Arial" w:cs="Arial"/>
          <w:sz w:val="20"/>
          <w:szCs w:val="20"/>
          <w:lang w:val="es-ES"/>
        </w:rPr>
      </w:pPr>
    </w:p>
    <w:p w14:paraId="3A54FC63" w14:textId="77777777" w:rsidR="00CD3A5F" w:rsidRPr="00CD3A5F" w:rsidRDefault="00CD3A5F" w:rsidP="00CD3A5F">
      <w:pPr>
        <w:spacing w:after="0" w:line="240" w:lineRule="auto"/>
        <w:jc w:val="both"/>
        <w:rPr>
          <w:rFonts w:ascii="Arial" w:eastAsia="Calibri" w:hAnsi="Arial" w:cs="Arial"/>
          <w:sz w:val="20"/>
          <w:szCs w:val="20"/>
          <w:lang w:val="es-ES"/>
        </w:rPr>
      </w:pPr>
      <w:r w:rsidRPr="00CD3A5F">
        <w:rPr>
          <w:rFonts w:ascii="Arial" w:eastAsia="Calibri" w:hAnsi="Arial" w:cs="Arial"/>
          <w:sz w:val="20"/>
          <w:szCs w:val="20"/>
          <w:lang w:val="es-ES"/>
        </w:rPr>
        <w:t>[…] 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69633715" w14:textId="77777777" w:rsidR="00CD3A5F" w:rsidRPr="00CD3A5F" w:rsidRDefault="00CD3A5F" w:rsidP="00CD3A5F">
      <w:pPr>
        <w:spacing w:after="0" w:line="240" w:lineRule="auto"/>
        <w:jc w:val="both"/>
        <w:rPr>
          <w:rFonts w:ascii="Arial" w:eastAsia="Calibri" w:hAnsi="Arial" w:cs="Arial"/>
          <w:sz w:val="20"/>
          <w:szCs w:val="20"/>
          <w:lang w:val="es-ES"/>
        </w:rPr>
      </w:pPr>
    </w:p>
    <w:p w14:paraId="1E4507A8" w14:textId="77777777" w:rsidR="00CD3A5F" w:rsidRPr="00CD3A5F" w:rsidRDefault="00CD3A5F" w:rsidP="00CD3A5F">
      <w:pPr>
        <w:spacing w:after="0" w:line="240" w:lineRule="auto"/>
        <w:jc w:val="both"/>
        <w:rPr>
          <w:rFonts w:ascii="Arial" w:eastAsia="Calibri" w:hAnsi="Arial" w:cs="Arial"/>
          <w:sz w:val="20"/>
          <w:szCs w:val="20"/>
          <w:lang w:val="es-ES"/>
        </w:rPr>
      </w:pPr>
      <w:r w:rsidRPr="00CD3A5F">
        <w:rPr>
          <w:rFonts w:ascii="Arial" w:eastAsia="Calibri" w:hAnsi="Arial" w:cs="Arial"/>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59438881" w14:textId="77777777" w:rsidR="00CD3A5F" w:rsidRPr="00CD3A5F" w:rsidRDefault="00CD3A5F" w:rsidP="00CD3A5F">
      <w:pPr>
        <w:spacing w:after="0" w:line="240" w:lineRule="auto"/>
        <w:jc w:val="both"/>
        <w:rPr>
          <w:rFonts w:ascii="Arial" w:eastAsia="Calibri" w:hAnsi="Arial" w:cs="Arial"/>
          <w:b/>
          <w:lang w:val="es-ES"/>
        </w:rPr>
      </w:pPr>
    </w:p>
    <w:p w14:paraId="0ED899DA" w14:textId="77777777" w:rsidR="00CD3A5F" w:rsidRPr="00CD3A5F" w:rsidRDefault="00CD3A5F" w:rsidP="00CD3A5F">
      <w:pPr>
        <w:spacing w:after="0" w:line="240" w:lineRule="auto"/>
        <w:jc w:val="both"/>
        <w:rPr>
          <w:rFonts w:ascii="Arial" w:eastAsia="Calibri" w:hAnsi="Arial" w:cs="Arial"/>
          <w:b/>
          <w:bCs/>
          <w:lang w:val="es-ES"/>
        </w:rPr>
      </w:pPr>
      <w:r w:rsidRPr="00CD3A5F">
        <w:rPr>
          <w:rFonts w:ascii="Arial" w:eastAsia="Calibri" w:hAnsi="Arial" w:cs="Arial"/>
          <w:b/>
          <w:bCs/>
          <w:lang w:val="es-ES"/>
        </w:rPr>
        <w:t>EXPERIENCIA ‒ Conservación ‒ Renovación RUP ‒ Cesación efectos RUP</w:t>
      </w:r>
    </w:p>
    <w:p w14:paraId="269303A2" w14:textId="77777777" w:rsidR="00CD3A5F" w:rsidRPr="00CD3A5F" w:rsidRDefault="00CD3A5F" w:rsidP="00CD3A5F">
      <w:pPr>
        <w:spacing w:after="0" w:line="240" w:lineRule="auto"/>
        <w:jc w:val="both"/>
        <w:rPr>
          <w:rFonts w:ascii="Arial" w:eastAsia="Calibri" w:hAnsi="Arial" w:cs="Arial"/>
          <w:sz w:val="20"/>
          <w:szCs w:val="20"/>
          <w:lang w:val="es-ES"/>
        </w:rPr>
      </w:pPr>
    </w:p>
    <w:p w14:paraId="70FF239B" w14:textId="77777777" w:rsidR="00CD3A5F" w:rsidRPr="00CD3A5F" w:rsidRDefault="00CD3A5F" w:rsidP="00CD3A5F">
      <w:pPr>
        <w:spacing w:after="0" w:line="240" w:lineRule="auto"/>
        <w:jc w:val="both"/>
        <w:rPr>
          <w:rFonts w:ascii="Arial" w:eastAsia="Calibri" w:hAnsi="Arial" w:cs="Arial"/>
          <w:sz w:val="20"/>
          <w:szCs w:val="20"/>
          <w:lang w:val="es-ES"/>
        </w:rPr>
      </w:pPr>
      <w:r w:rsidRPr="00CD3A5F">
        <w:rPr>
          <w:rFonts w:ascii="Arial" w:eastAsia="Calibri" w:hAnsi="Arial" w:cs="Arial"/>
          <w:sz w:val="20"/>
          <w:szCs w:val="20"/>
          <w:lang w:val="es-ES"/>
        </w:rPr>
        <w:t>[…] si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705F5A3" w14:textId="77777777" w:rsidR="00CD3A5F" w:rsidRPr="00CD3A5F" w:rsidRDefault="00CD3A5F" w:rsidP="00CD3A5F">
      <w:pPr>
        <w:spacing w:after="0" w:line="240" w:lineRule="auto"/>
        <w:jc w:val="both"/>
        <w:rPr>
          <w:rFonts w:ascii="Arial" w:eastAsia="Calibri" w:hAnsi="Arial" w:cs="Arial"/>
          <w:b/>
          <w:bCs/>
          <w:lang w:val="es-ES"/>
        </w:rPr>
      </w:pPr>
    </w:p>
    <w:p w14:paraId="0AAD194D" w14:textId="77777777" w:rsidR="00CD3A5F" w:rsidRPr="00CD3A5F" w:rsidRDefault="00CD3A5F" w:rsidP="00CD3A5F">
      <w:pPr>
        <w:spacing w:after="0" w:line="240" w:lineRule="auto"/>
        <w:jc w:val="both"/>
        <w:rPr>
          <w:rFonts w:ascii="Arial" w:eastAsia="Calibri" w:hAnsi="Arial" w:cs="Arial"/>
          <w:b/>
          <w:bCs/>
          <w:lang w:val="es-ES"/>
        </w:rPr>
      </w:pPr>
      <w:r w:rsidRPr="00CD3A5F">
        <w:rPr>
          <w:rFonts w:ascii="Arial" w:eastAsia="Calibri" w:hAnsi="Arial" w:cs="Arial"/>
          <w:b/>
          <w:bCs/>
          <w:lang w:val="es-ES"/>
        </w:rPr>
        <w:t>EXPERIENCIA – Conservación – Documentos Tipo – Accionista</w:t>
      </w:r>
    </w:p>
    <w:p w14:paraId="2DB06375" w14:textId="77777777" w:rsidR="00CD3A5F" w:rsidRPr="00CD3A5F" w:rsidRDefault="00CD3A5F" w:rsidP="00CD3A5F">
      <w:pPr>
        <w:spacing w:after="0" w:line="240" w:lineRule="auto"/>
        <w:jc w:val="both"/>
        <w:rPr>
          <w:rFonts w:ascii="Arial" w:eastAsia="Calibri" w:hAnsi="Arial" w:cs="Arial"/>
          <w:b/>
          <w:bCs/>
          <w:lang w:val="es-ES"/>
        </w:rPr>
      </w:pPr>
    </w:p>
    <w:p w14:paraId="62E45A17" w14:textId="77777777" w:rsidR="00CD3A5F" w:rsidRPr="00CD3A5F" w:rsidRDefault="00CD3A5F" w:rsidP="00CD3A5F">
      <w:pPr>
        <w:spacing w:after="0" w:line="240" w:lineRule="auto"/>
        <w:jc w:val="both"/>
        <w:rPr>
          <w:rFonts w:ascii="Arial" w:eastAsia="Calibri" w:hAnsi="Arial" w:cs="Arial"/>
          <w:sz w:val="20"/>
          <w:szCs w:val="20"/>
          <w:lang w:val="es-ES" w:eastAsia="es-ES_tradnl"/>
        </w:rPr>
      </w:pPr>
      <w:r w:rsidRPr="00CD3A5F">
        <w:rPr>
          <w:rFonts w:ascii="Arial" w:eastAsia="Calibri" w:hAnsi="Arial" w:cs="Arial"/>
          <w:sz w:val="20"/>
          <w:szCs w:val="20"/>
          <w:lang w:val="es-ES"/>
        </w:rPr>
        <w:t xml:space="preserve">[…] esta Agencia, en ejercicio de las competencias atribuidas por el parágrafo 7 del artículo 2 de la Ley 1150 de 2007, modificado por la Ley 2022 de 2020, consagró la regla del literal E del numeral </w:t>
      </w:r>
      <w:r w:rsidRPr="00CD3A5F">
        <w:rPr>
          <w:rFonts w:ascii="Arial" w:eastAsia="Calibri" w:hAnsi="Arial" w:cs="Arial"/>
          <w:sz w:val="20"/>
          <w:szCs w:val="20"/>
          <w:lang w:val="es-ES"/>
        </w:rPr>
        <w:lastRenderedPageBreak/>
        <w:t xml:space="preserve">3.5.2 en el «Documento Base o Pliego Tipo» de licitación de obra pública de infraestructura de transporte </w:t>
      </w:r>
      <w:r w:rsidRPr="00CD3A5F">
        <w:rPr>
          <w:rFonts w:ascii="Arial" w:eastAsia="Calibri" w:hAnsi="Arial" w:cs="Arial"/>
          <w:sz w:val="20"/>
          <w:szCs w:val="20"/>
          <w:lang w:val="es-ES" w:eastAsia="es-ES_tradnl"/>
        </w:rPr>
        <w:t xml:space="preserve">[…] </w:t>
      </w:r>
    </w:p>
    <w:p w14:paraId="6D611558" w14:textId="77777777" w:rsidR="00CD3A5F" w:rsidRPr="00CD3A5F" w:rsidRDefault="00CD3A5F" w:rsidP="00CD3A5F">
      <w:pPr>
        <w:spacing w:after="0" w:line="240" w:lineRule="auto"/>
        <w:jc w:val="both"/>
        <w:rPr>
          <w:rFonts w:ascii="Arial" w:eastAsia="Calibri" w:hAnsi="Arial" w:cs="Arial"/>
          <w:sz w:val="20"/>
          <w:szCs w:val="20"/>
          <w:lang w:val="es-ES" w:eastAsia="es-ES_tradnl"/>
        </w:rPr>
      </w:pPr>
      <w:r w:rsidRPr="00CD3A5F">
        <w:rPr>
          <w:rFonts w:ascii="Arial" w:eastAsia="Calibri" w:hAnsi="Arial" w:cs="Arial"/>
          <w:sz w:val="20"/>
          <w:szCs w:val="20"/>
          <w:lang w:val="es-ES" w:eastAsia="es-ES_tradnl"/>
        </w:rPr>
        <w:t>[…]</w:t>
      </w:r>
    </w:p>
    <w:p w14:paraId="407CCDE0" w14:textId="77777777" w:rsidR="00CD3A5F" w:rsidRPr="00CD3A5F" w:rsidRDefault="00CD3A5F" w:rsidP="00CD3A5F">
      <w:pPr>
        <w:spacing w:after="0" w:line="240" w:lineRule="auto"/>
        <w:jc w:val="both"/>
        <w:rPr>
          <w:rFonts w:ascii="Arial" w:eastAsia="Times New Roman" w:hAnsi="Arial" w:cs="Arial"/>
          <w:bCs/>
          <w:color w:val="000000" w:themeColor="text1"/>
          <w:sz w:val="20"/>
          <w:lang w:val="es-ES" w:eastAsia="es-ES_tradnl"/>
        </w:rPr>
      </w:pPr>
      <w:r w:rsidRPr="00CD3A5F">
        <w:rPr>
          <w:rFonts w:ascii="Arial" w:eastAsia="Times New Roman" w:hAnsi="Arial" w:cs="Arial"/>
          <w:bCs/>
          <w:color w:val="000000" w:themeColor="text1"/>
          <w:sz w:val="20"/>
          <w:lang w:val="es-ES" w:eastAsia="es-ES_tradnl"/>
        </w:rPr>
        <w:t>Sin perjuicio de lo anterior, no debe perderse de vista que el Decreto 1082 de 2015 y los documentos tipo, solo permiten que una sociedad acredite la experiencia de quienes tienen la calidad de accionistas, socios o constituyentes durante los primeros tres años de su constitución. Por tanto, siempre y cuando se cuente con dichas calidades, la sociedad podrá acreditar la experiencia de quien es accionista, socio o constituyente –trátese de una persona natural o jurídica–. Por el contrario, si no se tienen o se pierden estas calidades, como sucedería cuando un socio se retira por venta o cesión de su participación y pierde su calidad de socio, ya no sería posible que la sociedad acredite la experiencia aportada por dicha persona.</w:t>
      </w:r>
    </w:p>
    <w:p w14:paraId="7074526D" w14:textId="4E11B201" w:rsidR="00CD3A5F" w:rsidRPr="00CD3A5F" w:rsidRDefault="00CD3A5F" w:rsidP="00C6076E">
      <w:pPr>
        <w:rPr>
          <w:rFonts w:ascii="Arial" w:eastAsia="Times New Roman" w:hAnsi="Arial" w:cs="Arial"/>
          <w:bCs/>
          <w:color w:val="000000" w:themeColor="text1"/>
          <w:szCs w:val="24"/>
          <w:lang w:val="es-ES" w:eastAsia="es-ES_tradnl"/>
        </w:rPr>
      </w:pPr>
      <w:r w:rsidRPr="00CD3A5F">
        <w:rPr>
          <w:rFonts w:ascii="Arial" w:eastAsia="Times New Roman" w:hAnsi="Arial" w:cs="Arial"/>
          <w:bCs/>
          <w:color w:val="000000" w:themeColor="text1"/>
          <w:szCs w:val="24"/>
          <w:lang w:val="es-ES" w:eastAsia="es-ES_tradnl"/>
        </w:rPr>
        <w:br w:type="page"/>
      </w:r>
    </w:p>
    <w:p w14:paraId="398B1396" w14:textId="77777777" w:rsidR="00CD3A5F" w:rsidRPr="00CD3A5F" w:rsidRDefault="00CD3A5F" w:rsidP="00CD3A5F">
      <w:pPr>
        <w:spacing w:after="0" w:line="240" w:lineRule="auto"/>
        <w:rPr>
          <w:rFonts w:ascii="Arial" w:eastAsia="Times New Roman" w:hAnsi="Arial" w:cs="Arial"/>
          <w:bCs/>
          <w:color w:val="000000" w:themeColor="text1"/>
          <w:szCs w:val="24"/>
          <w:lang w:val="es-ES" w:eastAsia="es-ES_tradnl"/>
        </w:rPr>
      </w:pPr>
    </w:p>
    <w:p w14:paraId="277B423A" w14:textId="77777777" w:rsidR="00CD3A5F" w:rsidRPr="00CD3A5F" w:rsidRDefault="00CD3A5F" w:rsidP="00CD3A5F">
      <w:pPr>
        <w:spacing w:after="0" w:line="240" w:lineRule="auto"/>
        <w:rPr>
          <w:rFonts w:ascii="Arial" w:eastAsia="Times New Roman" w:hAnsi="Arial" w:cs="Arial"/>
          <w:bCs/>
          <w:color w:val="000000" w:themeColor="text1"/>
          <w:szCs w:val="24"/>
          <w:lang w:val="es-ES" w:eastAsia="es-ES_tradnl"/>
        </w:rPr>
      </w:pPr>
    </w:p>
    <w:p w14:paraId="3EA871A7" w14:textId="422B1E00" w:rsidR="00CD3A5F" w:rsidRPr="00CD3A5F" w:rsidRDefault="00C6076E" w:rsidP="00C6076E">
      <w:pPr>
        <w:spacing w:after="0" w:line="240" w:lineRule="auto"/>
        <w:jc w:val="right"/>
        <w:rPr>
          <w:rFonts w:ascii="Arial" w:eastAsia="Times New Roman" w:hAnsi="Arial" w:cs="Arial"/>
          <w:bCs/>
          <w:color w:val="000000" w:themeColor="text1"/>
          <w:szCs w:val="24"/>
          <w:lang w:val="es-ES" w:eastAsia="es-ES_tradnl"/>
        </w:rPr>
      </w:pPr>
      <w:r>
        <w:rPr>
          <w:rFonts w:ascii="Arial" w:eastAsia="Times New Roman" w:hAnsi="Arial" w:cs="Arial"/>
          <w:bCs/>
          <w:noProof/>
          <w:color w:val="000000" w:themeColor="text1"/>
          <w:szCs w:val="24"/>
          <w:lang w:val="es-ES" w:eastAsia="es-ES_tradnl"/>
        </w:rPr>
        <w:drawing>
          <wp:inline distT="0" distB="0" distL="0" distR="0" wp14:anchorId="0B2AB9EC" wp14:editId="742803AF">
            <wp:extent cx="2448267" cy="68589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448267" cy="685896"/>
                    </a:xfrm>
                    <a:prstGeom prst="rect">
                      <a:avLst/>
                    </a:prstGeom>
                  </pic:spPr>
                </pic:pic>
              </a:graphicData>
            </a:graphic>
          </wp:inline>
        </w:drawing>
      </w:r>
    </w:p>
    <w:p w14:paraId="5F1CF18D" w14:textId="77777777" w:rsidR="00CD3A5F" w:rsidRPr="00CD3A5F" w:rsidRDefault="00CD3A5F" w:rsidP="00CD3A5F">
      <w:pPr>
        <w:spacing w:after="0" w:line="240" w:lineRule="auto"/>
        <w:rPr>
          <w:rFonts w:ascii="Arial" w:eastAsia="Times New Roman" w:hAnsi="Arial" w:cs="Arial"/>
          <w:bCs/>
          <w:color w:val="000000" w:themeColor="text1"/>
          <w:szCs w:val="24"/>
          <w:lang w:val="es-ES" w:eastAsia="es-ES_tradnl"/>
        </w:rPr>
      </w:pPr>
    </w:p>
    <w:p w14:paraId="746B9EE9" w14:textId="77777777" w:rsidR="00CD3A5F" w:rsidRPr="00CD3A5F" w:rsidRDefault="00CD3A5F" w:rsidP="00CD3A5F">
      <w:pPr>
        <w:spacing w:after="0" w:line="240" w:lineRule="auto"/>
        <w:rPr>
          <w:rFonts w:ascii="Arial" w:eastAsia="Times New Roman" w:hAnsi="Arial" w:cs="Arial"/>
          <w:bCs/>
          <w:color w:val="000000" w:themeColor="text1"/>
          <w:szCs w:val="24"/>
          <w:lang w:val="es-ES" w:eastAsia="es-ES_tradnl"/>
        </w:rPr>
      </w:pPr>
    </w:p>
    <w:p w14:paraId="5FBC580A" w14:textId="77777777" w:rsidR="00CD3A5F" w:rsidRPr="00CD3A5F" w:rsidRDefault="00CD3A5F" w:rsidP="00CD3A5F">
      <w:pPr>
        <w:spacing w:after="0" w:line="240" w:lineRule="auto"/>
        <w:rPr>
          <w:rFonts w:ascii="Arial" w:eastAsia="Times New Roman" w:hAnsi="Arial" w:cs="Arial"/>
          <w:bCs/>
          <w:color w:val="000000" w:themeColor="text1"/>
          <w:szCs w:val="24"/>
          <w:lang w:val="es-ES" w:eastAsia="es-ES_tradnl"/>
        </w:rPr>
      </w:pPr>
      <w:r w:rsidRPr="00CD3A5F">
        <w:rPr>
          <w:rFonts w:ascii="Arial" w:eastAsia="Times New Roman" w:hAnsi="Arial" w:cs="Arial"/>
          <w:bCs/>
          <w:color w:val="000000" w:themeColor="text1"/>
          <w:szCs w:val="24"/>
          <w:lang w:val="es-ES" w:eastAsia="es-ES_tradnl"/>
        </w:rPr>
        <w:t>Señora</w:t>
      </w:r>
    </w:p>
    <w:p w14:paraId="578A5A2A" w14:textId="77777777" w:rsidR="00CD3A5F" w:rsidRPr="00CD3A5F" w:rsidRDefault="00CD3A5F" w:rsidP="00CD3A5F">
      <w:pPr>
        <w:spacing w:after="0" w:line="240" w:lineRule="auto"/>
        <w:jc w:val="both"/>
        <w:rPr>
          <w:rFonts w:ascii="Arial" w:eastAsia="Times New Roman" w:hAnsi="Arial" w:cs="Arial"/>
          <w:b/>
          <w:color w:val="000000" w:themeColor="text1"/>
          <w:szCs w:val="24"/>
          <w:lang w:val="es-ES" w:eastAsia="es-ES_tradnl"/>
        </w:rPr>
      </w:pPr>
      <w:r w:rsidRPr="00CD3A5F">
        <w:rPr>
          <w:rFonts w:ascii="Arial" w:eastAsia="Times New Roman" w:hAnsi="Arial" w:cs="Arial"/>
          <w:b/>
          <w:color w:val="000000" w:themeColor="text1"/>
          <w:szCs w:val="24"/>
          <w:lang w:val="es-ES" w:eastAsia="es-ES_tradnl"/>
        </w:rPr>
        <w:t>Tatiana Lazo</w:t>
      </w:r>
    </w:p>
    <w:p w14:paraId="71B1D1A0" w14:textId="77777777" w:rsidR="00CD3A5F" w:rsidRPr="00CD3A5F" w:rsidRDefault="00CD3A5F" w:rsidP="00CD3A5F">
      <w:pPr>
        <w:spacing w:after="0" w:line="240" w:lineRule="auto"/>
        <w:jc w:val="both"/>
        <w:rPr>
          <w:rFonts w:ascii="Arial" w:eastAsia="Times New Roman" w:hAnsi="Arial" w:cs="Arial"/>
          <w:bCs/>
          <w:color w:val="000000" w:themeColor="text1"/>
          <w:szCs w:val="24"/>
          <w:lang w:val="es-ES" w:eastAsia="es-ES_tradnl"/>
        </w:rPr>
      </w:pPr>
      <w:r w:rsidRPr="00CD3A5F">
        <w:rPr>
          <w:rFonts w:ascii="Arial" w:eastAsia="Times New Roman" w:hAnsi="Arial" w:cs="Arial"/>
          <w:bCs/>
          <w:color w:val="000000" w:themeColor="text1"/>
          <w:szCs w:val="24"/>
          <w:lang w:val="es-ES" w:eastAsia="es-ES_tradnl"/>
        </w:rPr>
        <w:t>Ciudad</w:t>
      </w:r>
    </w:p>
    <w:p w14:paraId="4DC3D532" w14:textId="77777777" w:rsidR="00CD3A5F" w:rsidRPr="00CD3A5F" w:rsidRDefault="00CD3A5F" w:rsidP="00CD3A5F">
      <w:pPr>
        <w:spacing w:after="0" w:line="240" w:lineRule="auto"/>
        <w:jc w:val="both"/>
        <w:rPr>
          <w:rFonts w:ascii="Arial" w:eastAsia="Times New Roman" w:hAnsi="Arial" w:cs="Arial"/>
          <w:b/>
          <w:color w:val="000000" w:themeColor="text1"/>
          <w:szCs w:val="24"/>
          <w:lang w:val="es-ES" w:eastAsia="es-ES_tradnl"/>
        </w:rPr>
      </w:pPr>
    </w:p>
    <w:p w14:paraId="6CD6B28F" w14:textId="77777777" w:rsidR="00CD3A5F" w:rsidRPr="00CD3A5F" w:rsidRDefault="00CD3A5F" w:rsidP="00CD3A5F">
      <w:pPr>
        <w:spacing w:after="0" w:line="240" w:lineRule="auto"/>
        <w:jc w:val="both"/>
        <w:rPr>
          <w:rFonts w:ascii="Arial" w:eastAsia="Calibri" w:hAnsi="Arial" w:cs="Arial"/>
          <w:color w:val="000000" w:themeColor="text1"/>
          <w:szCs w:val="24"/>
          <w:lang w:val="es-ES" w:eastAsia="es-ES_tradnl"/>
        </w:rPr>
      </w:pPr>
    </w:p>
    <w:p w14:paraId="038CF829" w14:textId="77777777" w:rsidR="00CD3A5F" w:rsidRPr="00CD3A5F" w:rsidRDefault="00CD3A5F" w:rsidP="00CD3A5F">
      <w:pPr>
        <w:spacing w:after="0" w:line="240" w:lineRule="auto"/>
        <w:rPr>
          <w:rFonts w:ascii="Arial" w:eastAsia="Calibri" w:hAnsi="Arial" w:cs="Arial"/>
          <w:b/>
          <w:bCs/>
          <w:color w:val="000000" w:themeColor="text1"/>
          <w:szCs w:val="24"/>
          <w:lang w:val="es-ES" w:eastAsia="es-ES_tradnl"/>
        </w:rPr>
      </w:pPr>
      <w:r w:rsidRPr="00CD3A5F">
        <w:rPr>
          <w:rFonts w:ascii="Arial" w:eastAsia="Calibri" w:hAnsi="Arial" w:cs="Arial"/>
          <w:b/>
          <w:bCs/>
          <w:color w:val="000000" w:themeColor="text1"/>
          <w:szCs w:val="24"/>
          <w:lang w:val="es-ES" w:eastAsia="es-ES_tradnl"/>
        </w:rPr>
        <w:t xml:space="preserve">                                            Concepto C ‒ 034 de 2022</w:t>
      </w:r>
    </w:p>
    <w:p w14:paraId="5218F910" w14:textId="77777777" w:rsidR="00CD3A5F" w:rsidRPr="00CD3A5F" w:rsidRDefault="00CD3A5F" w:rsidP="00CD3A5F">
      <w:pPr>
        <w:spacing w:after="0" w:line="240" w:lineRule="auto"/>
        <w:jc w:val="both"/>
        <w:rPr>
          <w:rFonts w:ascii="Arial" w:eastAsia="Calibri" w:hAnsi="Arial" w:cs="Arial"/>
          <w:color w:val="000000" w:themeColor="text1"/>
          <w:szCs w:val="24"/>
          <w:lang w:val="es-ES"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D3A5F" w:rsidRPr="00CD3A5F" w14:paraId="7D557CF9" w14:textId="77777777" w:rsidTr="00183669">
        <w:tc>
          <w:tcPr>
            <w:tcW w:w="2689" w:type="dxa"/>
          </w:tcPr>
          <w:p w14:paraId="2317AF2F" w14:textId="77777777" w:rsidR="00CD3A5F" w:rsidRPr="00CD3A5F" w:rsidRDefault="00CD3A5F" w:rsidP="00CD3A5F">
            <w:pPr>
              <w:jc w:val="both"/>
              <w:rPr>
                <w:rFonts w:ascii="Arial" w:eastAsia="Calibri" w:hAnsi="Arial" w:cs="Arial"/>
                <w:color w:val="000000" w:themeColor="text1"/>
                <w:szCs w:val="24"/>
                <w:lang w:val="es-ES" w:eastAsia="es-ES_tradnl"/>
              </w:rPr>
            </w:pPr>
            <w:r w:rsidRPr="00CD3A5F">
              <w:rPr>
                <w:rFonts w:ascii="Arial" w:eastAsia="Calibri" w:hAnsi="Arial" w:cs="Arial"/>
                <w:b/>
                <w:color w:val="000000" w:themeColor="text1"/>
                <w:szCs w:val="24"/>
                <w:lang w:val="es-ES" w:eastAsia="es-ES_tradnl"/>
              </w:rPr>
              <w:t>Temas:</w:t>
            </w:r>
            <w:r w:rsidRPr="00CD3A5F">
              <w:rPr>
                <w:rFonts w:ascii="Arial" w:eastAsia="Calibri" w:hAnsi="Arial" w:cs="Arial"/>
                <w:color w:val="000000" w:themeColor="text1"/>
                <w:szCs w:val="24"/>
                <w:lang w:val="es-ES" w:eastAsia="es-ES_tradnl"/>
              </w:rPr>
              <w:t xml:space="preserve">                                      </w:t>
            </w:r>
          </w:p>
        </w:tc>
        <w:tc>
          <w:tcPr>
            <w:tcW w:w="6237" w:type="dxa"/>
          </w:tcPr>
          <w:p w14:paraId="5EA865C7" w14:textId="77777777" w:rsidR="00CD3A5F" w:rsidRPr="00CD3A5F" w:rsidRDefault="00CD3A5F" w:rsidP="00CD3A5F">
            <w:pPr>
              <w:jc w:val="both"/>
              <w:rPr>
                <w:rFonts w:ascii="Arial" w:eastAsia="Calibri" w:hAnsi="Arial" w:cs="Arial"/>
                <w:color w:val="000000" w:themeColor="text1"/>
                <w:szCs w:val="24"/>
                <w:highlight w:val="yellow"/>
                <w:lang w:val="es-ES" w:eastAsia="es-ES_tradnl"/>
              </w:rPr>
            </w:pPr>
            <w:r w:rsidRPr="00CD3A5F">
              <w:rPr>
                <w:rFonts w:ascii="Arial" w:eastAsia="Arial" w:hAnsi="Arial" w:cs="Arial"/>
                <w:lang w:val="es-ES"/>
              </w:rPr>
              <w:t>EXPERIENCIA – Noción – Concepto / SOCIEDADES NUEVAS ‒ Experiencia ‒ Inferior a tres años ‒ Requisitos habilitantes ‒ Desarrollo de la empresa / EXPERIENCIA ‒ Conservación ‒ Renovación RUP ‒ Cesación efectos RUP / EXPERIENCIA – Conservación – Documentos Tipo – Accionista</w:t>
            </w:r>
          </w:p>
        </w:tc>
      </w:tr>
      <w:tr w:rsidR="00CD3A5F" w:rsidRPr="00CD3A5F" w14:paraId="4E54A34F" w14:textId="77777777" w:rsidTr="00183669">
        <w:tc>
          <w:tcPr>
            <w:tcW w:w="2689" w:type="dxa"/>
          </w:tcPr>
          <w:p w14:paraId="53A85C0F" w14:textId="77777777" w:rsidR="00CD3A5F" w:rsidRPr="00CD3A5F" w:rsidRDefault="00CD3A5F" w:rsidP="00CD3A5F">
            <w:pPr>
              <w:spacing w:before="120"/>
              <w:jc w:val="both"/>
              <w:rPr>
                <w:rFonts w:ascii="Arial" w:eastAsia="Calibri" w:hAnsi="Arial" w:cs="Arial"/>
                <w:b/>
                <w:color w:val="000000" w:themeColor="text1"/>
                <w:szCs w:val="24"/>
                <w:lang w:val="es-ES" w:eastAsia="es-ES_tradnl"/>
              </w:rPr>
            </w:pPr>
            <w:r w:rsidRPr="00CD3A5F">
              <w:rPr>
                <w:rFonts w:ascii="Arial" w:eastAsia="Calibri" w:hAnsi="Arial" w:cs="Arial"/>
                <w:b/>
                <w:color w:val="000000" w:themeColor="text1"/>
                <w:szCs w:val="24"/>
                <w:lang w:val="es-ES" w:eastAsia="es-ES_tradnl"/>
              </w:rPr>
              <w:t>Radicación:</w:t>
            </w:r>
            <w:r w:rsidRPr="00CD3A5F">
              <w:rPr>
                <w:rFonts w:ascii="Arial" w:eastAsia="Calibri" w:hAnsi="Arial" w:cs="Arial"/>
                <w:color w:val="000000" w:themeColor="text1"/>
                <w:szCs w:val="24"/>
                <w:lang w:val="es-ES" w:eastAsia="es-ES_tradnl"/>
              </w:rPr>
              <w:t xml:space="preserve">                              </w:t>
            </w:r>
          </w:p>
        </w:tc>
        <w:tc>
          <w:tcPr>
            <w:tcW w:w="6237" w:type="dxa"/>
          </w:tcPr>
          <w:p w14:paraId="7CE0922C" w14:textId="77777777" w:rsidR="00CD3A5F" w:rsidRPr="00CD3A5F" w:rsidRDefault="00CD3A5F" w:rsidP="00CD3A5F">
            <w:pPr>
              <w:spacing w:before="120"/>
              <w:jc w:val="both"/>
              <w:rPr>
                <w:rFonts w:ascii="Arial" w:eastAsia="Calibri" w:hAnsi="Arial" w:cs="Arial"/>
                <w:color w:val="000000" w:themeColor="text1"/>
                <w:szCs w:val="24"/>
                <w:lang w:val="es-ES" w:eastAsia="es-ES_tradnl"/>
              </w:rPr>
            </w:pPr>
            <w:r w:rsidRPr="00CD3A5F">
              <w:rPr>
                <w:rFonts w:ascii="Arial" w:eastAsia="Arial" w:hAnsi="Arial" w:cs="Arial"/>
                <w:lang w:val="es-ES"/>
              </w:rPr>
              <w:t>Respuesta a consulta # P20220119000360</w:t>
            </w:r>
          </w:p>
        </w:tc>
      </w:tr>
    </w:tbl>
    <w:p w14:paraId="2009FB52" w14:textId="77777777" w:rsidR="00CD3A5F" w:rsidRPr="00CD3A5F" w:rsidRDefault="00CD3A5F" w:rsidP="00CD3A5F">
      <w:pPr>
        <w:spacing w:after="0" w:line="240" w:lineRule="auto"/>
        <w:jc w:val="both"/>
        <w:rPr>
          <w:rFonts w:ascii="Arial" w:eastAsia="Calibri" w:hAnsi="Arial" w:cs="Arial"/>
          <w:color w:val="000000" w:themeColor="text1"/>
          <w:szCs w:val="24"/>
          <w:lang w:val="es-ES" w:eastAsia="es-ES_tradnl"/>
        </w:rPr>
      </w:pPr>
    </w:p>
    <w:p w14:paraId="39FB48AA" w14:textId="77777777" w:rsidR="00CD3A5F" w:rsidRPr="00CD3A5F" w:rsidRDefault="00CD3A5F" w:rsidP="00CD3A5F">
      <w:pPr>
        <w:spacing w:after="0" w:line="240" w:lineRule="auto"/>
        <w:jc w:val="both"/>
        <w:rPr>
          <w:rFonts w:ascii="Arial" w:eastAsia="Calibri" w:hAnsi="Arial" w:cs="Arial"/>
          <w:color w:val="000000" w:themeColor="text1"/>
          <w:szCs w:val="24"/>
          <w:lang w:val="es-ES" w:eastAsia="es-ES_tradnl"/>
        </w:rPr>
      </w:pPr>
    </w:p>
    <w:p w14:paraId="781F6D5B" w14:textId="77777777" w:rsidR="00CD3A5F" w:rsidRPr="00CD3A5F" w:rsidRDefault="00CD3A5F" w:rsidP="00CD3A5F">
      <w:pPr>
        <w:spacing w:after="0" w:line="240" w:lineRule="auto"/>
        <w:jc w:val="both"/>
        <w:rPr>
          <w:rFonts w:ascii="Arial" w:eastAsia="Calibri" w:hAnsi="Arial" w:cs="Arial"/>
          <w:color w:val="000000" w:themeColor="text1"/>
          <w:szCs w:val="24"/>
          <w:lang w:val="es-ES" w:eastAsia="es-ES_tradnl"/>
        </w:rPr>
      </w:pPr>
      <w:r w:rsidRPr="00CD3A5F">
        <w:rPr>
          <w:rFonts w:ascii="Arial" w:eastAsia="Calibri" w:hAnsi="Arial" w:cs="Arial"/>
          <w:color w:val="000000" w:themeColor="text1"/>
          <w:szCs w:val="24"/>
          <w:lang w:val="es-ES" w:eastAsia="es-ES_tradnl"/>
        </w:rPr>
        <w:t>Estimada señora:</w:t>
      </w:r>
    </w:p>
    <w:p w14:paraId="68B346D3" w14:textId="77777777" w:rsidR="00CD3A5F" w:rsidRPr="00CD3A5F" w:rsidRDefault="00CD3A5F" w:rsidP="00CD3A5F">
      <w:pPr>
        <w:spacing w:after="0" w:line="240" w:lineRule="auto"/>
        <w:jc w:val="both"/>
        <w:rPr>
          <w:rFonts w:ascii="Arial" w:eastAsia="Calibri" w:hAnsi="Arial" w:cs="Arial"/>
          <w:color w:val="000000" w:themeColor="text1"/>
          <w:szCs w:val="24"/>
          <w:lang w:val="es-ES" w:eastAsia="es-ES_tradnl"/>
        </w:rPr>
      </w:pPr>
    </w:p>
    <w:p w14:paraId="40B0F5C7" w14:textId="77777777" w:rsidR="00CD3A5F" w:rsidRPr="00CD3A5F" w:rsidRDefault="00CD3A5F" w:rsidP="00CD3A5F">
      <w:pPr>
        <w:spacing w:after="0" w:line="276" w:lineRule="auto"/>
        <w:jc w:val="both"/>
        <w:rPr>
          <w:rFonts w:ascii="Arial" w:eastAsia="Calibri" w:hAnsi="Arial" w:cs="Arial"/>
          <w:color w:val="000000" w:themeColor="text1"/>
          <w:szCs w:val="24"/>
          <w:lang w:val="es-ES" w:eastAsia="es-ES_tradnl"/>
        </w:rPr>
      </w:pPr>
      <w:r w:rsidRPr="00CD3A5F">
        <w:rPr>
          <w:rFonts w:ascii="Arial" w:eastAsia="Calibri" w:hAnsi="Arial" w:cs="Arial"/>
          <w:color w:val="000000" w:themeColor="text1"/>
          <w:szCs w:val="24"/>
          <w:lang w:val="es-ES" w:eastAsia="es-ES_tradnl"/>
        </w:rPr>
        <w:t>En ejercicio de la competencia otorgada por el numeral 8 del artículo 11 y el numeral 5 del artículo 3 del Decreto Ley 4170 de 2011, la Agencia Nacional de Contratación Pública – Colombia Compra Eficiente responde su consulta del 19 de enero del 2022.</w:t>
      </w:r>
    </w:p>
    <w:p w14:paraId="5FD1A710" w14:textId="77777777" w:rsidR="00CD3A5F" w:rsidRPr="00CD3A5F" w:rsidRDefault="00CD3A5F" w:rsidP="00CD3A5F">
      <w:pPr>
        <w:spacing w:after="0" w:line="276" w:lineRule="auto"/>
        <w:jc w:val="both"/>
        <w:rPr>
          <w:rFonts w:ascii="Arial" w:eastAsia="Calibri" w:hAnsi="Arial" w:cs="Arial"/>
          <w:b/>
          <w:color w:val="000000" w:themeColor="text1"/>
          <w:szCs w:val="24"/>
          <w:lang w:val="es-ES" w:eastAsia="es-ES_tradnl"/>
        </w:rPr>
      </w:pPr>
    </w:p>
    <w:p w14:paraId="0902ED81" w14:textId="77777777" w:rsidR="00CD3A5F" w:rsidRPr="00CD3A5F" w:rsidRDefault="00CD3A5F" w:rsidP="00CD3A5F">
      <w:pPr>
        <w:numPr>
          <w:ilvl w:val="0"/>
          <w:numId w:val="1"/>
        </w:numPr>
        <w:tabs>
          <w:tab w:val="left" w:pos="0"/>
          <w:tab w:val="left" w:pos="142"/>
          <w:tab w:val="left" w:pos="284"/>
        </w:tabs>
        <w:spacing w:after="0" w:line="276" w:lineRule="auto"/>
        <w:ind w:left="357" w:hanging="357"/>
        <w:contextualSpacing/>
        <w:rPr>
          <w:rFonts w:ascii="Arial" w:eastAsia="Calibri" w:hAnsi="Arial" w:cs="Arial"/>
          <w:b/>
          <w:color w:val="000000" w:themeColor="text1"/>
          <w:lang w:val="es-ES"/>
        </w:rPr>
      </w:pPr>
      <w:r w:rsidRPr="00CD3A5F">
        <w:rPr>
          <w:rFonts w:ascii="Arial" w:eastAsia="Calibri" w:hAnsi="Arial" w:cs="Arial"/>
          <w:b/>
          <w:color w:val="000000" w:themeColor="text1"/>
          <w:lang w:val="es-ES"/>
        </w:rPr>
        <w:t xml:space="preserve">Problema planteado </w:t>
      </w:r>
    </w:p>
    <w:p w14:paraId="505E156D" w14:textId="77777777" w:rsidR="00CD3A5F" w:rsidRPr="00CD3A5F" w:rsidRDefault="00CD3A5F" w:rsidP="00CD3A5F">
      <w:pPr>
        <w:tabs>
          <w:tab w:val="left" w:pos="426"/>
        </w:tabs>
        <w:spacing w:after="0" w:line="276" w:lineRule="auto"/>
        <w:jc w:val="both"/>
        <w:rPr>
          <w:rFonts w:ascii="Arial" w:eastAsia="Calibri" w:hAnsi="Arial" w:cs="Arial"/>
          <w:b/>
          <w:color w:val="000000" w:themeColor="text1"/>
          <w:szCs w:val="24"/>
          <w:lang w:val="es-ES" w:eastAsia="es-ES_tradnl"/>
        </w:rPr>
      </w:pPr>
    </w:p>
    <w:p w14:paraId="4468CCD7" w14:textId="77777777" w:rsidR="00CD3A5F" w:rsidRPr="00CD3A5F" w:rsidRDefault="00CD3A5F" w:rsidP="00CD3A5F">
      <w:pPr>
        <w:spacing w:after="0" w:line="276" w:lineRule="auto"/>
        <w:jc w:val="both"/>
        <w:rPr>
          <w:rFonts w:ascii="Arial" w:eastAsia="Times New Roman" w:hAnsi="Arial" w:cs="Arial"/>
          <w:color w:val="000000" w:themeColor="text1"/>
          <w:szCs w:val="24"/>
          <w:lang w:val="es-ES" w:eastAsia="es-ES_tradnl"/>
        </w:rPr>
      </w:pPr>
      <w:r w:rsidRPr="00CD3A5F">
        <w:rPr>
          <w:rFonts w:ascii="Arial" w:eastAsia="Times New Roman" w:hAnsi="Arial" w:cs="Arial"/>
          <w:color w:val="000000" w:themeColor="text1"/>
          <w:szCs w:val="24"/>
          <w:lang w:val="es-ES" w:eastAsia="es-ES_tradnl"/>
        </w:rPr>
        <w:t xml:space="preserve">El literal E del numeral 3.5.2 «CARACTERÍSTICAS DE LOS CONTRATOS PRESENTADOS PARA ACREDITAR LA EXPERIENCIA EXIGIDA» del Documento Base de licitación de obra pública de infraestructura de transporte –Versión 3–, establece una regla al siguiente tenor: </w:t>
      </w:r>
    </w:p>
    <w:p w14:paraId="03873092" w14:textId="77777777" w:rsidR="00CD3A5F" w:rsidRPr="00CD3A5F" w:rsidRDefault="00CD3A5F" w:rsidP="00CD3A5F">
      <w:pPr>
        <w:spacing w:after="0" w:line="276" w:lineRule="auto"/>
        <w:jc w:val="both"/>
        <w:rPr>
          <w:rFonts w:ascii="Arial" w:eastAsia="Times New Roman" w:hAnsi="Arial" w:cs="Arial"/>
          <w:color w:val="000000" w:themeColor="text1"/>
          <w:szCs w:val="24"/>
          <w:lang w:val="es-ES" w:eastAsia="es-ES_tradnl"/>
        </w:rPr>
      </w:pPr>
    </w:p>
    <w:p w14:paraId="745F0A0E" w14:textId="77777777" w:rsidR="00CD3A5F" w:rsidRPr="00CD3A5F" w:rsidRDefault="00CD3A5F" w:rsidP="00CD3A5F">
      <w:pPr>
        <w:spacing w:after="0" w:line="240" w:lineRule="auto"/>
        <w:ind w:left="709" w:right="709"/>
        <w:jc w:val="both"/>
        <w:rPr>
          <w:rFonts w:ascii="Arial" w:eastAsia="Times New Roman" w:hAnsi="Arial" w:cs="Arial"/>
          <w:color w:val="000000" w:themeColor="text1"/>
          <w:sz w:val="21"/>
          <w:szCs w:val="21"/>
          <w:lang w:val="es-ES" w:eastAsia="es-ES_tradnl"/>
        </w:rPr>
      </w:pPr>
      <w:proofErr w:type="gramStart"/>
      <w:r w:rsidRPr="00CD3A5F">
        <w:rPr>
          <w:rFonts w:ascii="Arial" w:eastAsia="Times New Roman" w:hAnsi="Arial" w:cs="Arial"/>
          <w:color w:val="000000" w:themeColor="text1"/>
          <w:sz w:val="21"/>
          <w:szCs w:val="21"/>
          <w:lang w:val="es-ES" w:eastAsia="es-ES_tradnl"/>
        </w:rPr>
        <w:t>«</w:t>
      </w:r>
      <w:r w:rsidRPr="00CD3A5F">
        <w:rPr>
          <w:rFonts w:ascii="Times New Roman" w:eastAsia="Times New Roman" w:hAnsi="Times New Roman" w:cs="Times New Roman"/>
          <w:sz w:val="21"/>
          <w:szCs w:val="21"/>
          <w:lang w:eastAsia="es-ES_tradnl"/>
        </w:rPr>
        <w:t xml:space="preserve"> </w:t>
      </w:r>
      <w:r w:rsidRPr="00CD3A5F">
        <w:rPr>
          <w:rFonts w:ascii="Arial" w:eastAsia="Times New Roman" w:hAnsi="Arial" w:cs="Arial"/>
          <w:color w:val="000000" w:themeColor="text1"/>
          <w:sz w:val="21"/>
          <w:szCs w:val="21"/>
          <w:lang w:val="es-ES" w:eastAsia="es-ES_tradnl"/>
        </w:rPr>
        <w:t>E.</w:t>
      </w:r>
      <w:proofErr w:type="gramEnd"/>
      <w:r w:rsidRPr="00CD3A5F">
        <w:rPr>
          <w:rFonts w:ascii="Arial" w:eastAsia="Times New Roman" w:hAnsi="Arial" w:cs="Arial"/>
          <w:color w:val="000000" w:themeColor="text1"/>
          <w:sz w:val="21"/>
          <w:szCs w:val="21"/>
          <w:lang w:val="es-ES" w:eastAsia="es-ES_tradnl"/>
        </w:rPr>
        <w:tab/>
        <w:t>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los accionistas, socios o constituyentes de las sociedades con menos de tres (3) años de constituidas. Pasado este tiempo, la sociedad conservará esta experiencia, tal y como haya quedado registrada en el RUP».</w:t>
      </w:r>
    </w:p>
    <w:p w14:paraId="7D11C40D" w14:textId="77777777" w:rsidR="00CD3A5F" w:rsidRPr="00CD3A5F" w:rsidRDefault="00CD3A5F" w:rsidP="00CD3A5F">
      <w:pPr>
        <w:spacing w:after="0" w:line="240" w:lineRule="auto"/>
        <w:ind w:left="709" w:right="709"/>
        <w:jc w:val="both"/>
        <w:rPr>
          <w:rFonts w:ascii="Arial" w:eastAsia="Times New Roman" w:hAnsi="Arial" w:cs="Arial"/>
          <w:color w:val="000000" w:themeColor="text1"/>
          <w:sz w:val="21"/>
          <w:szCs w:val="21"/>
          <w:lang w:val="es-ES" w:eastAsia="es-ES_tradnl"/>
        </w:rPr>
      </w:pPr>
    </w:p>
    <w:p w14:paraId="2D9B286D" w14:textId="77777777" w:rsidR="00CD3A5F" w:rsidRPr="00CD3A5F" w:rsidRDefault="00CD3A5F" w:rsidP="00CD3A5F">
      <w:pPr>
        <w:spacing w:after="0" w:line="240" w:lineRule="auto"/>
        <w:ind w:left="709" w:right="709"/>
        <w:jc w:val="both"/>
        <w:rPr>
          <w:rFonts w:ascii="Arial" w:eastAsia="Times New Roman" w:hAnsi="Arial" w:cs="Arial"/>
          <w:color w:val="000000" w:themeColor="text1"/>
          <w:sz w:val="21"/>
          <w:szCs w:val="21"/>
          <w:lang w:val="es-ES" w:eastAsia="es-ES_tradnl"/>
        </w:rPr>
      </w:pPr>
    </w:p>
    <w:p w14:paraId="346AA142" w14:textId="77777777" w:rsidR="00CD3A5F" w:rsidRPr="00CD3A5F" w:rsidRDefault="00CD3A5F" w:rsidP="00CD3A5F">
      <w:pPr>
        <w:spacing w:after="0" w:line="240" w:lineRule="auto"/>
        <w:ind w:left="709" w:right="709"/>
        <w:jc w:val="both"/>
        <w:rPr>
          <w:rFonts w:ascii="Arial" w:eastAsia="Times New Roman" w:hAnsi="Arial" w:cs="Arial"/>
          <w:color w:val="000000" w:themeColor="text1"/>
          <w:sz w:val="21"/>
          <w:szCs w:val="21"/>
          <w:lang w:val="es-ES" w:eastAsia="es-ES_tradnl"/>
        </w:rPr>
      </w:pPr>
    </w:p>
    <w:p w14:paraId="79B93BA3" w14:textId="77777777" w:rsidR="00CD3A5F" w:rsidRPr="00CD3A5F" w:rsidRDefault="00CD3A5F" w:rsidP="00CD3A5F">
      <w:pPr>
        <w:spacing w:after="0" w:line="276" w:lineRule="auto"/>
        <w:ind w:firstLine="708"/>
        <w:jc w:val="both"/>
        <w:rPr>
          <w:rFonts w:ascii="Arial" w:eastAsia="Times New Roman" w:hAnsi="Arial" w:cs="Arial"/>
          <w:color w:val="000000" w:themeColor="text1"/>
          <w:szCs w:val="24"/>
          <w:lang w:val="es-ES" w:eastAsia="es-ES_tradnl"/>
        </w:rPr>
      </w:pPr>
      <w:r w:rsidRPr="00CD3A5F">
        <w:rPr>
          <w:rFonts w:ascii="Arial" w:eastAsia="Times New Roman" w:hAnsi="Arial" w:cs="Arial"/>
          <w:color w:val="000000" w:themeColor="text1"/>
          <w:szCs w:val="24"/>
          <w:lang w:val="es-ES" w:eastAsia="es-ES_tradnl"/>
        </w:rPr>
        <w:t>Al respecto, usted realiza la siguiente pregunta: «[¿]esto quiere decir que una empresa que es matriz de otra empresa, después [sic] de pasados los 3 años, sigue contando con la experiencia de la empresa de la cual es accionista?».</w:t>
      </w:r>
    </w:p>
    <w:p w14:paraId="5231D42D" w14:textId="77777777" w:rsidR="00CD3A5F" w:rsidRPr="00CD3A5F" w:rsidRDefault="00CD3A5F" w:rsidP="00CD3A5F">
      <w:pPr>
        <w:spacing w:after="0" w:line="240" w:lineRule="auto"/>
        <w:jc w:val="both"/>
        <w:rPr>
          <w:rFonts w:ascii="Arial" w:eastAsia="Times New Roman" w:hAnsi="Arial" w:cs="Arial"/>
          <w:color w:val="000000" w:themeColor="text1"/>
          <w:sz w:val="21"/>
          <w:szCs w:val="21"/>
          <w:lang w:val="es-ES" w:eastAsia="es-ES_tradnl"/>
        </w:rPr>
      </w:pPr>
    </w:p>
    <w:p w14:paraId="5CA594D8" w14:textId="77777777" w:rsidR="00CD3A5F" w:rsidRPr="00CD3A5F" w:rsidRDefault="00CD3A5F" w:rsidP="00CD3A5F">
      <w:pPr>
        <w:numPr>
          <w:ilvl w:val="0"/>
          <w:numId w:val="1"/>
        </w:numPr>
        <w:tabs>
          <w:tab w:val="left" w:pos="0"/>
          <w:tab w:val="left" w:pos="284"/>
        </w:tabs>
        <w:spacing w:after="0" w:line="240" w:lineRule="auto"/>
        <w:ind w:left="357" w:hanging="357"/>
        <w:contextualSpacing/>
        <w:jc w:val="both"/>
        <w:rPr>
          <w:rFonts w:ascii="Arial" w:eastAsia="Calibri" w:hAnsi="Arial" w:cs="Arial"/>
          <w:b/>
          <w:color w:val="000000" w:themeColor="text1"/>
          <w:lang w:val="es-ES"/>
        </w:rPr>
      </w:pPr>
      <w:r w:rsidRPr="00CD3A5F">
        <w:rPr>
          <w:rFonts w:ascii="Arial" w:eastAsia="Calibri" w:hAnsi="Arial" w:cs="Arial"/>
          <w:b/>
          <w:color w:val="000000" w:themeColor="text1"/>
          <w:lang w:val="es-ES"/>
        </w:rPr>
        <w:t>Consideraciones</w:t>
      </w:r>
    </w:p>
    <w:p w14:paraId="574BFBC8" w14:textId="77777777" w:rsidR="00CD3A5F" w:rsidRPr="00CD3A5F" w:rsidRDefault="00CD3A5F" w:rsidP="00CD3A5F">
      <w:pPr>
        <w:spacing w:after="0" w:line="276" w:lineRule="auto"/>
        <w:jc w:val="both"/>
        <w:rPr>
          <w:rFonts w:ascii="Arial" w:eastAsia="Calibri" w:hAnsi="Arial" w:cs="Arial"/>
          <w:color w:val="000000" w:themeColor="text1"/>
          <w:lang w:val="es-ES" w:eastAsia="es-ES_tradnl"/>
        </w:rPr>
      </w:pPr>
    </w:p>
    <w:p w14:paraId="19071547" w14:textId="77777777" w:rsidR="00CD3A5F" w:rsidRPr="00CD3A5F" w:rsidRDefault="00CD3A5F" w:rsidP="00CD3A5F">
      <w:pPr>
        <w:spacing w:after="120" w:line="276" w:lineRule="auto"/>
        <w:jc w:val="both"/>
        <w:rPr>
          <w:rFonts w:ascii="Arial" w:eastAsia="Calibri" w:hAnsi="Arial" w:cs="Arial"/>
          <w:color w:val="000000" w:themeColor="text1"/>
          <w:lang w:val="es-ES" w:eastAsia="es-ES_tradnl"/>
        </w:rPr>
      </w:pPr>
      <w:r w:rsidRPr="00CD3A5F">
        <w:rPr>
          <w:rFonts w:ascii="Arial" w:eastAsia="Calibri" w:hAnsi="Arial" w:cs="Arial"/>
          <w:color w:val="000000" w:themeColor="text1"/>
          <w:lang w:val="es-ES" w:eastAsia="es-ES_tradnl"/>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y C-725 del 25 de enero de  2022, estudió la acreditación de la experiencia de los socios por una sociedad nueva con menos de 3 años de constitución</w:t>
      </w:r>
      <w:r w:rsidRPr="00CD3A5F">
        <w:rPr>
          <w:rFonts w:ascii="Arial" w:eastAsia="Calibri" w:hAnsi="Arial" w:cs="Arial"/>
          <w:color w:val="000000" w:themeColor="text1"/>
          <w:vertAlign w:val="superscript"/>
          <w:lang w:val="es-ES" w:eastAsia="es-ES_tradnl"/>
        </w:rPr>
        <w:footnoteReference w:id="1"/>
      </w:r>
      <w:r w:rsidRPr="00CD3A5F">
        <w:rPr>
          <w:rFonts w:ascii="Arial" w:eastAsia="Calibri" w:hAnsi="Arial" w:cs="Arial"/>
          <w:color w:val="000000" w:themeColor="text1"/>
          <w:lang w:val="es-ES" w:eastAsia="es-ES_tradnl"/>
        </w:rPr>
        <w:t>. Los argumentos y consideraciones expuestos en los conceptos mencionados se reiteran y se complementan en lo pertinente.</w:t>
      </w:r>
    </w:p>
    <w:p w14:paraId="3FC814AB" w14:textId="77777777" w:rsidR="00CD3A5F" w:rsidRPr="00CD3A5F" w:rsidRDefault="00CD3A5F" w:rsidP="00CD3A5F">
      <w:pPr>
        <w:spacing w:after="0" w:line="276" w:lineRule="auto"/>
        <w:ind w:firstLine="708"/>
        <w:jc w:val="both"/>
        <w:rPr>
          <w:rFonts w:ascii="Arial" w:eastAsia="Calibri" w:hAnsi="Arial" w:cs="Arial"/>
          <w:lang w:val="es-ES"/>
        </w:rPr>
      </w:pPr>
      <w:bookmarkStart w:id="0" w:name="_Hlk97104136"/>
      <w:r w:rsidRPr="00CD3A5F">
        <w:rPr>
          <w:rFonts w:ascii="Arial" w:eastAsia="Calibri" w:hAnsi="Arial" w:cs="Arial"/>
          <w:lang w:val="es-E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79CDAFB8" w14:textId="77777777" w:rsidR="00CD3A5F" w:rsidRPr="00CD3A5F" w:rsidRDefault="00CD3A5F" w:rsidP="00CD3A5F">
      <w:pPr>
        <w:spacing w:before="120" w:after="120" w:line="276" w:lineRule="auto"/>
        <w:ind w:firstLine="708"/>
        <w:jc w:val="both"/>
        <w:rPr>
          <w:rFonts w:ascii="Arial" w:eastAsia="Calibri" w:hAnsi="Arial" w:cs="Arial"/>
          <w:lang w:val="es-ES"/>
        </w:rPr>
      </w:pPr>
      <w:bookmarkStart w:id="1" w:name="_Hlk97104212"/>
      <w:bookmarkEnd w:id="0"/>
      <w:r w:rsidRPr="00CD3A5F">
        <w:rPr>
          <w:rFonts w:ascii="Arial" w:eastAsia="Calibri" w:hAnsi="Arial" w:cs="Arial"/>
          <w:lang w:val="es-ES"/>
        </w:rPr>
        <w:t xml:space="preserve">Por su parte,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w:t>
      </w:r>
      <w:r w:rsidRPr="00CD3A5F">
        <w:rPr>
          <w:rFonts w:ascii="Arial" w:eastAsia="Calibri" w:hAnsi="Arial" w:cs="Arial"/>
          <w:lang w:val="es-ES"/>
        </w:rPr>
        <w:lastRenderedPageBreak/>
        <w:t>determinar y verificar requisitos habilitantes en los Procesos de Contratación» se define la experiencia como «el conocimiento del proponente derivado de su participación previa en actividades iguales o similares a las previstas en el objeto del contrato».</w:t>
      </w:r>
    </w:p>
    <w:bookmarkEnd w:id="1"/>
    <w:p w14:paraId="62DB309C"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CD3A5F">
        <w:rPr>
          <w:rFonts w:ascii="Arial" w:eastAsia="Calibri" w:hAnsi="Arial" w:cs="Arial"/>
          <w:vertAlign w:val="superscript"/>
          <w:lang w:val="es-ES"/>
        </w:rPr>
        <w:footnoteReference w:id="2"/>
      </w:r>
      <w:r w:rsidRPr="00CD3A5F">
        <w:rPr>
          <w:rFonts w:ascii="Arial" w:eastAsia="Calibri" w:hAnsi="Arial" w:cs="Arial"/>
          <w:lang w:val="es-ES"/>
        </w:rPr>
        <w:t xml:space="preserve">.  </w:t>
      </w:r>
    </w:p>
    <w:p w14:paraId="0DE4B9CD"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El numeral 2.5</w:t>
      </w:r>
      <w:r w:rsidRPr="00CD3A5F">
        <w:rPr>
          <w:rFonts w:ascii="Arial" w:eastAsia="Calibri" w:hAnsi="Arial" w:cs="Arial"/>
          <w:vertAlign w:val="superscript"/>
          <w:lang w:val="es-ES"/>
        </w:rPr>
        <w:footnoteReference w:id="3"/>
      </w:r>
      <w:r w:rsidRPr="00CD3A5F">
        <w:rPr>
          <w:rFonts w:ascii="Arial" w:eastAsia="Calibri" w:hAnsi="Arial" w:cs="Arial"/>
          <w:lang w:val="es-E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1AB89AE2"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 xml:space="preserve">El interesado debe indicar en cada certificado, o en cada copia de los contratos, los bienes, obras y servicios a los cuales corresponde la experiencia que pretende acreditar, identificándolos con el Clasificador de Bienes y Servicios, en el tercer nivel. Además, dicho numeral establece </w:t>
      </w:r>
      <w:proofErr w:type="gramStart"/>
      <w:r w:rsidRPr="00CD3A5F">
        <w:rPr>
          <w:rFonts w:ascii="Arial" w:eastAsia="Calibri" w:hAnsi="Arial" w:cs="Arial"/>
          <w:lang w:val="es-ES"/>
        </w:rPr>
        <w:t>que</w:t>
      </w:r>
      <w:proofErr w:type="gramEnd"/>
      <w:r w:rsidRPr="00CD3A5F">
        <w:rPr>
          <w:rFonts w:ascii="Arial" w:eastAsia="Calibri" w:hAnsi="Arial" w:cs="Arial"/>
          <w:lang w:val="es-ES"/>
        </w:rPr>
        <w:t xml:space="preserve"> si la constitución del interesado es menor a 3 años, puede acreditar la experiencia de sus accionistas, socios o constituyentes.</w:t>
      </w:r>
    </w:p>
    <w:p w14:paraId="371A866D" w14:textId="77777777" w:rsidR="00CD3A5F" w:rsidRPr="00CD3A5F" w:rsidRDefault="00CD3A5F" w:rsidP="00CD3A5F">
      <w:pPr>
        <w:spacing w:before="120" w:after="120" w:line="276" w:lineRule="auto"/>
        <w:ind w:firstLine="708"/>
        <w:jc w:val="both"/>
        <w:rPr>
          <w:rFonts w:ascii="Arial" w:eastAsia="Calibri" w:hAnsi="Arial" w:cs="Arial"/>
          <w:lang w:val="es-ES"/>
        </w:rPr>
      </w:pPr>
      <w:bookmarkStart w:id="2" w:name="_Hlk67496603"/>
      <w:r w:rsidRPr="00CD3A5F">
        <w:rPr>
          <w:rFonts w:ascii="Arial" w:eastAsia="Calibri" w:hAnsi="Arial" w:cs="Arial"/>
          <w:lang w:val="es-ES"/>
        </w:rPr>
        <w:t xml:space="preserve">De esta manera, </w:t>
      </w:r>
      <w:bookmarkStart w:id="3" w:name="_Hlk94016717"/>
      <w:bookmarkStart w:id="4" w:name="_Hlk97104264"/>
      <w:r w:rsidRPr="00CD3A5F">
        <w:rPr>
          <w:rFonts w:ascii="Arial" w:eastAsia="Calibri" w:hAnsi="Arial" w:cs="Arial"/>
          <w:lang w:val="es-E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w:t>
      </w:r>
      <w:bookmarkEnd w:id="3"/>
      <w:r w:rsidRPr="00CD3A5F">
        <w:rPr>
          <w:rFonts w:ascii="Arial" w:eastAsia="Calibri" w:hAnsi="Arial" w:cs="Arial"/>
          <w:lang w:val="es-ES"/>
        </w:rPr>
        <w:t xml:space="preserve">. A pesar de que la experiencia es inherente a la persona que la ha obtenido, razón por la cual es intransferible </w:t>
      </w:r>
      <w:r w:rsidRPr="00CD3A5F">
        <w:rPr>
          <w:rFonts w:ascii="Arial" w:eastAsia="Calibri" w:hAnsi="Arial" w:cs="Arial"/>
          <w:lang w:val="es-ES"/>
        </w:rPr>
        <w:lastRenderedPageBreak/>
        <w:t xml:space="preserve">en virtud de su carácter personalísimo, por disposición legal o reglamentaria, en casos excepcionales como el descrito por el artículo mencionado, se permite hacerlo. </w:t>
      </w:r>
    </w:p>
    <w:bookmarkEnd w:id="4"/>
    <w:p w14:paraId="0FA3D187"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bookmarkEnd w:id="2"/>
    <w:p w14:paraId="1AA9D7ED"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00CD5533"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en su momento, lo siguiente: </w:t>
      </w:r>
    </w:p>
    <w:p w14:paraId="604A3E8C"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 xml:space="preserve">i) El Decreto 1082 de 2015 establece que, para la inscripción en el RUP de una persona jurídica, si su constitución es menor a 3 años, puede acreditar la experiencia de sus accionistas, socios o constituyentes. </w:t>
      </w:r>
    </w:p>
    <w:p w14:paraId="1B4E6378" w14:textId="77777777" w:rsidR="00CD3A5F" w:rsidRPr="00CD3A5F" w:rsidRDefault="00CD3A5F" w:rsidP="00CD3A5F">
      <w:pPr>
        <w:spacing w:before="120" w:after="120" w:line="276" w:lineRule="auto"/>
        <w:ind w:firstLine="708"/>
        <w:jc w:val="both"/>
        <w:rPr>
          <w:rFonts w:ascii="Arial" w:eastAsia="Calibri" w:hAnsi="Arial" w:cs="Arial"/>
          <w:lang w:val="es-ES"/>
        </w:rPr>
      </w:pPr>
      <w:proofErr w:type="spellStart"/>
      <w:r w:rsidRPr="00CD3A5F">
        <w:rPr>
          <w:rFonts w:ascii="Arial" w:eastAsia="Calibri" w:hAnsi="Arial" w:cs="Arial"/>
          <w:lang w:val="es-ES"/>
        </w:rPr>
        <w:t>ii</w:t>
      </w:r>
      <w:proofErr w:type="spellEnd"/>
      <w:r w:rsidRPr="00CD3A5F">
        <w:rPr>
          <w:rFonts w:ascii="Arial" w:eastAsia="Calibri" w:hAnsi="Arial" w:cs="Arial"/>
          <w:lang w:val="es-ES"/>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94AB309" w14:textId="77777777" w:rsidR="00CD3A5F" w:rsidRPr="00CD3A5F" w:rsidRDefault="00CD3A5F" w:rsidP="00CD3A5F">
      <w:pPr>
        <w:spacing w:before="120" w:after="120" w:line="276" w:lineRule="auto"/>
        <w:ind w:firstLine="708"/>
        <w:jc w:val="both"/>
        <w:rPr>
          <w:rFonts w:ascii="Arial" w:eastAsia="Calibri" w:hAnsi="Arial" w:cs="Arial"/>
          <w:lang w:val="es-ES"/>
        </w:rPr>
      </w:pPr>
      <w:proofErr w:type="spellStart"/>
      <w:r w:rsidRPr="00CD3A5F">
        <w:rPr>
          <w:rFonts w:ascii="Arial" w:eastAsia="Calibri" w:hAnsi="Arial" w:cs="Arial"/>
          <w:lang w:val="es-ES"/>
        </w:rPr>
        <w:t>iii</w:t>
      </w:r>
      <w:proofErr w:type="spellEnd"/>
      <w:r w:rsidRPr="00CD3A5F">
        <w:rPr>
          <w:rFonts w:ascii="Arial" w:eastAsia="Calibri" w:hAnsi="Arial" w:cs="Arial"/>
          <w:lang w:val="es-ES"/>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1C31BD7" w14:textId="77777777" w:rsidR="00CD3A5F" w:rsidRPr="00CD3A5F" w:rsidRDefault="00CD3A5F" w:rsidP="00CD3A5F">
      <w:pPr>
        <w:spacing w:before="120" w:after="120" w:line="276" w:lineRule="auto"/>
        <w:ind w:firstLine="708"/>
        <w:jc w:val="both"/>
        <w:rPr>
          <w:rFonts w:ascii="Arial" w:eastAsia="Calibri" w:hAnsi="Arial" w:cs="Arial"/>
          <w:lang w:val="es-ES"/>
        </w:rPr>
      </w:pPr>
      <w:proofErr w:type="spellStart"/>
      <w:r w:rsidRPr="00CD3A5F">
        <w:rPr>
          <w:rFonts w:ascii="Arial" w:eastAsia="Calibri" w:hAnsi="Arial" w:cs="Arial"/>
          <w:lang w:val="es-ES"/>
        </w:rPr>
        <w:t>iv</w:t>
      </w:r>
      <w:proofErr w:type="spellEnd"/>
      <w:r w:rsidRPr="00CD3A5F">
        <w:rPr>
          <w:rFonts w:ascii="Arial" w:eastAsia="Calibri" w:hAnsi="Arial" w:cs="Arial"/>
          <w:lang w:val="es-ES"/>
        </w:rPr>
        <w:t xml:space="preserve">) Las Cámaras de Comercio hacen la verificación documental de la información presentada por los interesados al momento de inscribir, renovar o actualizar su información </w:t>
      </w:r>
      <w:r w:rsidRPr="00CD3A5F">
        <w:rPr>
          <w:rFonts w:ascii="Arial" w:eastAsia="Calibri" w:hAnsi="Arial" w:cs="Arial"/>
          <w:lang w:val="es-ES"/>
        </w:rPr>
        <w:lastRenderedPageBreak/>
        <w:t xml:space="preserve">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250FCA18"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La posición anterior, en relación con la imposibilidad de que las sociedades nuevas puedan seguir acreditando la experiencia de sus socios, accionistas o constituyentes, incluso después de cumplidos 3 años de constitución de la persona jurídica, fue superada.  En tal sentido, esta Subdirección ratificó la tesis que incluso ya había sido desarrollada en un concepto anterior del 7 de febrero de 2018</w:t>
      </w:r>
      <w:r w:rsidRPr="00CD3A5F">
        <w:rPr>
          <w:rFonts w:ascii="Arial" w:eastAsia="Calibri" w:hAnsi="Arial" w:cs="Arial"/>
          <w:vertAlign w:val="superscript"/>
          <w:lang w:val="es-ES"/>
        </w:rPr>
        <w:footnoteReference w:id="4"/>
      </w:r>
      <w:r w:rsidRPr="00CD3A5F">
        <w:rPr>
          <w:rFonts w:ascii="Arial" w:eastAsia="Calibri" w:hAnsi="Arial" w:cs="Arial"/>
          <w:lang w:val="es-ES"/>
        </w:rPr>
        <w:t xml:space="preserve">, recogida y unificada en el concepto con radicado No. 4201913000006797 del 19 de noviembre de 2019. Allí se sostuvo, y se ha mantenido la tesis hasta la actualidad,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69C8BD07"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 xml:space="preserve">De acuerdo con esta postura, aunque la persona jurídica tenga más de tres años de constituida y haya registrado inicialmente la experiencia de sus socios en el RUP –pues su constitución era inferior a tres años–, cuando este sea renovado, podría continuar utilizando la experiencia inscrita mientras, siempre que no hayan cesado los efectos del RUP. Por el contrario, si el RUP no es renovado y la persona jurídica supera los tres años de constituida, la experiencia que registró de sus socios no puede ser inscrita nuevamente, puesto que el RUP ha cesado sus efectos y la cámara de comercio tendría que hacer nuevamente la verificación documental de la información presentada al momento de inscribirse en el registro. </w:t>
      </w:r>
    </w:p>
    <w:p w14:paraId="5508AC3A" w14:textId="77777777" w:rsidR="00CD3A5F" w:rsidRPr="00CD3A5F" w:rsidRDefault="00CD3A5F" w:rsidP="00CD3A5F">
      <w:pPr>
        <w:spacing w:before="120" w:after="120" w:line="276" w:lineRule="auto"/>
        <w:ind w:firstLine="708"/>
        <w:jc w:val="both"/>
        <w:rPr>
          <w:rFonts w:ascii="Arial" w:eastAsia="Calibri" w:hAnsi="Arial" w:cs="Arial"/>
          <w:lang w:val="es-ES"/>
        </w:rPr>
      </w:pPr>
      <w:r w:rsidRPr="00CD3A5F">
        <w:rPr>
          <w:rFonts w:ascii="Arial" w:eastAsia="Calibri" w:hAnsi="Arial" w:cs="Arial"/>
          <w:lang w:val="es-ES"/>
        </w:rPr>
        <w:t>En armonía con lo anterior, 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CD3A5F">
        <w:rPr>
          <w:rFonts w:ascii="Arial" w:eastAsia="Calibri" w:hAnsi="Arial" w:cs="Arial"/>
          <w:vertAlign w:val="superscript"/>
          <w:lang w:val="es-ES"/>
        </w:rPr>
        <w:footnoteReference w:id="5"/>
      </w:r>
      <w:r w:rsidRPr="00CD3A5F">
        <w:rPr>
          <w:rFonts w:ascii="Arial" w:eastAsia="Calibri" w:hAnsi="Arial" w:cs="Arial"/>
          <w:lang w:val="es-ES"/>
        </w:rPr>
        <w:t xml:space="preserve">. En la actualidad, las cámaras de comercio solo pueden eliminar la experiencia registrada en el RUP a solicitud del proponente. Por tanto, les corresponde a las personas </w:t>
      </w:r>
      <w:r w:rsidRPr="00CD3A5F">
        <w:rPr>
          <w:rFonts w:ascii="Arial" w:eastAsia="Calibri" w:hAnsi="Arial" w:cs="Arial"/>
          <w:lang w:val="es-ES"/>
        </w:rPr>
        <w:lastRenderedPageBreak/>
        <w:t xml:space="preserve">jurídicas mantener su RUP actualizado y a las entidades estatales verificar este registro para efectos de evaluar la experiencia. </w:t>
      </w:r>
    </w:p>
    <w:p w14:paraId="48C4227C" w14:textId="77777777" w:rsidR="00CD3A5F" w:rsidRPr="00CD3A5F" w:rsidRDefault="00CD3A5F" w:rsidP="00CD3A5F">
      <w:pPr>
        <w:spacing w:after="0" w:line="276" w:lineRule="auto"/>
        <w:ind w:firstLine="708"/>
        <w:jc w:val="both"/>
        <w:rPr>
          <w:rFonts w:ascii="Arial" w:eastAsia="Calibri" w:hAnsi="Arial" w:cs="Arial"/>
          <w:lang w:val="es-ES"/>
        </w:rPr>
      </w:pPr>
      <w:r w:rsidRPr="00CD3A5F">
        <w:rPr>
          <w:rFonts w:ascii="Arial" w:eastAsia="Calibri" w:hAnsi="Arial" w:cs="Arial"/>
          <w:lang w:val="es-ES"/>
        </w:rPr>
        <w:t xml:space="preserve">En otras palabras, </w:t>
      </w:r>
      <w:bookmarkStart w:id="5" w:name="_Hlk91599715"/>
      <w:bookmarkStart w:id="6" w:name="_Hlk67498604"/>
      <w:r w:rsidRPr="00CD3A5F">
        <w:rPr>
          <w:rFonts w:ascii="Arial" w:eastAsia="Calibri" w:hAnsi="Arial" w:cs="Arial"/>
          <w:lang w:val="es-ES"/>
        </w:rPr>
        <w:t>si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bookmarkEnd w:id="5"/>
      <w:r w:rsidRPr="00CD3A5F">
        <w:rPr>
          <w:rFonts w:ascii="Arial" w:eastAsia="Calibri" w:hAnsi="Arial" w:cs="Arial"/>
          <w:lang w:val="es-ES"/>
        </w:rPr>
        <w:t xml:space="preserve">. </w:t>
      </w:r>
      <w:bookmarkEnd w:id="6"/>
      <w:r w:rsidRPr="00CD3A5F">
        <w:rPr>
          <w:rFonts w:ascii="Arial" w:eastAsia="Calibri" w:hAnsi="Arial" w:cs="Arial"/>
          <w:lang w:val="es-ES"/>
        </w:rPr>
        <w:t xml:space="preserve">Lo anterior, tiene fundamento en la Circular Única de la Superintendencia de Industria y Comercio, cuyo numeral 4.2, sobre el procedimiento para llevar el registro único de proponentes, dispone lo siguiente:  </w:t>
      </w:r>
    </w:p>
    <w:p w14:paraId="276BBABA" w14:textId="77777777" w:rsidR="00CD3A5F" w:rsidRPr="00CD3A5F" w:rsidRDefault="00CD3A5F" w:rsidP="00CD3A5F">
      <w:pPr>
        <w:spacing w:after="0" w:line="240" w:lineRule="auto"/>
        <w:ind w:firstLine="708"/>
        <w:jc w:val="both"/>
        <w:rPr>
          <w:rFonts w:ascii="Arial" w:eastAsia="Calibri" w:hAnsi="Arial" w:cs="Arial"/>
          <w:lang w:val="es-ES"/>
        </w:rPr>
      </w:pPr>
    </w:p>
    <w:p w14:paraId="6AE73694" w14:textId="77777777" w:rsidR="00CD3A5F" w:rsidRPr="00CD3A5F" w:rsidRDefault="00CD3A5F" w:rsidP="00CD3A5F">
      <w:pPr>
        <w:spacing w:after="0" w:line="240" w:lineRule="auto"/>
        <w:ind w:left="709" w:right="709"/>
        <w:jc w:val="both"/>
        <w:rPr>
          <w:rFonts w:ascii="Arial" w:eastAsia="Calibri" w:hAnsi="Arial" w:cs="Arial"/>
          <w:sz w:val="21"/>
          <w:szCs w:val="21"/>
          <w:lang w:val="es-ES"/>
        </w:rPr>
      </w:pPr>
      <w:r w:rsidRPr="00CD3A5F">
        <w:rPr>
          <w:rFonts w:ascii="Arial" w:eastAsia="Calibri" w:hAnsi="Arial" w:cs="Arial"/>
          <w:sz w:val="21"/>
          <w:szCs w:val="21"/>
          <w:lang w:val="es-E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325B0C5" w14:textId="77777777" w:rsidR="00CD3A5F" w:rsidRPr="00CD3A5F" w:rsidRDefault="00CD3A5F" w:rsidP="00CD3A5F">
      <w:pPr>
        <w:spacing w:after="0" w:line="240" w:lineRule="auto"/>
        <w:ind w:left="709" w:right="709"/>
        <w:jc w:val="both"/>
        <w:rPr>
          <w:rFonts w:ascii="Arial" w:eastAsia="Calibri" w:hAnsi="Arial" w:cs="Arial"/>
          <w:lang w:val="es-ES"/>
        </w:rPr>
      </w:pPr>
    </w:p>
    <w:p w14:paraId="17FB49B7" w14:textId="77777777" w:rsidR="00CD3A5F" w:rsidRPr="00CD3A5F" w:rsidRDefault="00CD3A5F" w:rsidP="00CD3A5F">
      <w:pPr>
        <w:spacing w:after="0" w:line="276" w:lineRule="auto"/>
        <w:ind w:firstLine="708"/>
        <w:jc w:val="both"/>
        <w:rPr>
          <w:rFonts w:ascii="Arial" w:eastAsia="Calibri" w:hAnsi="Arial" w:cs="Arial"/>
          <w:lang w:val="es-ES"/>
        </w:rPr>
      </w:pPr>
      <w:r w:rsidRPr="00CD3A5F">
        <w:rPr>
          <w:rFonts w:ascii="Arial" w:eastAsia="Calibri" w:hAnsi="Arial" w:cs="Arial"/>
          <w:lang w:val="es-ES"/>
        </w:rPr>
        <w:t xml:space="preserve"> En este sentido, si bien la norma no dispone qué sucede con la experiencia aportada por los socios, accionistas o constituyentes después de los 3 años de constituida la persona jurídica, para esta Subdirección sigue siendo válida dicha experiencia al no haber cesado los efectos del RUP. En ese sentido, resulta valido que la entidad tenga en cuenta la experiencia de los socios y constituyentes, incluso después de transcurridos los primeros tres años de existencia de la persona jurídica, puesto que ello no contraria el numeral 2.5. del artículo 2.2.1.1.1.5.2, y comoquiera que </w:t>
      </w:r>
      <w:proofErr w:type="gramStart"/>
      <w:r w:rsidRPr="00CD3A5F">
        <w:rPr>
          <w:rFonts w:ascii="Arial" w:eastAsia="Calibri" w:hAnsi="Arial" w:cs="Arial"/>
          <w:lang w:val="es-ES"/>
        </w:rPr>
        <w:t>de  esta</w:t>
      </w:r>
      <w:proofErr w:type="gramEnd"/>
      <w:r w:rsidRPr="00CD3A5F">
        <w:rPr>
          <w:rFonts w:ascii="Arial" w:eastAsia="Calibri" w:hAnsi="Arial" w:cs="Arial"/>
          <w:lang w:val="es-ES"/>
        </w:rPr>
        <w:t xml:space="preserve"> forma, además, se garantiza mayor pluralidad de oferentes en los procesos de contratación. </w:t>
      </w:r>
    </w:p>
    <w:p w14:paraId="1E47A449" w14:textId="77777777" w:rsidR="00CD3A5F" w:rsidRPr="00CD3A5F" w:rsidRDefault="00CD3A5F" w:rsidP="00CD3A5F">
      <w:pPr>
        <w:spacing w:before="120" w:after="0" w:line="276" w:lineRule="auto"/>
        <w:ind w:firstLine="709"/>
        <w:jc w:val="both"/>
        <w:rPr>
          <w:rFonts w:ascii="Arial" w:eastAsia="Calibri" w:hAnsi="Arial" w:cs="Arial"/>
          <w:lang w:val="es-ES"/>
        </w:rPr>
      </w:pPr>
      <w:r w:rsidRPr="00CD3A5F">
        <w:rPr>
          <w:rFonts w:ascii="Arial" w:eastAsia="Calibri" w:hAnsi="Arial" w:cs="Arial"/>
          <w:lang w:val="es-ES"/>
        </w:rPr>
        <w:t xml:space="preserve">En desarrollo de esta interpretación, </w:t>
      </w:r>
      <w:bookmarkStart w:id="7" w:name="_Hlk91599809"/>
      <w:r w:rsidRPr="00CD3A5F">
        <w:rPr>
          <w:rFonts w:ascii="Arial" w:eastAsia="Calibri" w:hAnsi="Arial" w:cs="Arial"/>
          <w:lang w:val="es-ES"/>
        </w:rPr>
        <w:t>esta Agencia, en ejercicio de las competencias atribuidas por el parágrafo 7 del artículo 2 de la Ley 1150 de 2007, modificado por la Ley 2022 de 2020, consagró la regla del literal E del numeral 3.5.2 en el «Documento Base o Pliego Tipo» de licitación de obra pública de infraestructura de transporte,</w:t>
      </w:r>
      <w:bookmarkEnd w:id="7"/>
      <w:r w:rsidRPr="00CD3A5F">
        <w:rPr>
          <w:rFonts w:ascii="Arial" w:eastAsia="Calibri" w:hAnsi="Arial" w:cs="Arial"/>
          <w:lang w:val="es-ES"/>
        </w:rPr>
        <w:t xml:space="preserve"> la cual dispone lo siguiente:</w:t>
      </w:r>
    </w:p>
    <w:p w14:paraId="3D763DD7" w14:textId="77777777" w:rsidR="00CD3A5F" w:rsidRPr="00CD3A5F" w:rsidRDefault="00CD3A5F" w:rsidP="00CD3A5F">
      <w:pPr>
        <w:spacing w:after="0" w:line="276" w:lineRule="auto"/>
        <w:jc w:val="both"/>
        <w:rPr>
          <w:rFonts w:ascii="Arial" w:eastAsia="Arial" w:hAnsi="Arial" w:cs="Arial"/>
          <w:sz w:val="21"/>
          <w:szCs w:val="21"/>
          <w:lang w:val="es-ES" w:eastAsia="es-ES"/>
        </w:rPr>
      </w:pPr>
    </w:p>
    <w:p w14:paraId="7C2F3938" w14:textId="77777777" w:rsidR="00CD3A5F" w:rsidRPr="00CD3A5F" w:rsidRDefault="00CD3A5F" w:rsidP="00CD3A5F">
      <w:pPr>
        <w:spacing w:after="0" w:line="240" w:lineRule="auto"/>
        <w:ind w:left="709" w:right="709"/>
        <w:jc w:val="both"/>
        <w:rPr>
          <w:rFonts w:ascii="Arial" w:eastAsia="Calibri" w:hAnsi="Arial" w:cs="Arial"/>
          <w:lang w:val="es-ES"/>
        </w:rPr>
      </w:pPr>
      <w:r w:rsidRPr="00CD3A5F">
        <w:rPr>
          <w:rFonts w:ascii="Arial" w:eastAsia="Arial" w:hAnsi="Arial" w:cs="Arial"/>
          <w:sz w:val="21"/>
          <w:szCs w:val="21"/>
          <w:lang w:val="es-ES" w:eastAsia="es-ES"/>
        </w:rPr>
        <w:t xml:space="preserve">E. </w:t>
      </w:r>
      <w:bookmarkStart w:id="8" w:name="_Hlk94012901"/>
      <w:r w:rsidRPr="00CD3A5F">
        <w:rPr>
          <w:rFonts w:ascii="Arial" w:eastAsia="Arial" w:hAnsi="Arial" w:cs="Arial"/>
          <w:sz w:val="21"/>
          <w:szCs w:val="21"/>
          <w:lang w:val="es-ES" w:eastAsia="es-ES"/>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w:t>
      </w:r>
      <w:bookmarkEnd w:id="8"/>
      <w:r w:rsidRPr="00CD3A5F">
        <w:rPr>
          <w:rFonts w:ascii="Arial" w:eastAsia="Arial" w:hAnsi="Arial" w:cs="Arial"/>
          <w:sz w:val="21"/>
          <w:szCs w:val="21"/>
          <w:lang w:val="es-ES" w:eastAsia="es-ES"/>
        </w:rPr>
        <w:t>de la empresa. La entidad tendrá en cuenta la experiencia individual de los accionistas, socios o constituyentes de las sociedades con menos de tres (3) años de constituidas. Pasado este tiempo, la sociedad conservará esta experiencia, tal y como haya quedado registrada en el RUP.</w:t>
      </w:r>
    </w:p>
    <w:p w14:paraId="3AB30A90" w14:textId="77777777" w:rsidR="00CD3A5F" w:rsidRPr="00CD3A5F" w:rsidRDefault="00CD3A5F" w:rsidP="00CD3A5F">
      <w:pPr>
        <w:spacing w:after="0" w:line="276" w:lineRule="auto"/>
        <w:jc w:val="both"/>
        <w:rPr>
          <w:rFonts w:ascii="Arial" w:eastAsia="Calibri" w:hAnsi="Arial" w:cs="Arial"/>
          <w:lang w:val="es-ES"/>
        </w:rPr>
      </w:pPr>
    </w:p>
    <w:p w14:paraId="01A8FB7A" w14:textId="77777777" w:rsidR="00CD3A5F" w:rsidRPr="00CD3A5F" w:rsidRDefault="00CD3A5F" w:rsidP="00CD3A5F">
      <w:pPr>
        <w:spacing w:after="120" w:line="276" w:lineRule="auto"/>
        <w:ind w:firstLine="709"/>
        <w:jc w:val="both"/>
        <w:rPr>
          <w:rFonts w:ascii="Arial" w:eastAsia="Calibri" w:hAnsi="Arial" w:cs="Arial"/>
          <w:lang w:val="es-ES"/>
        </w:rPr>
      </w:pPr>
      <w:r w:rsidRPr="00CD3A5F">
        <w:rPr>
          <w:rFonts w:ascii="Arial" w:eastAsia="Calibri" w:hAnsi="Arial" w:cs="Arial"/>
          <w:lang w:val="es-ES"/>
        </w:rPr>
        <w:lastRenderedPageBreak/>
        <w:t>Esta prerrogativa fue prevista para todos los documentos tipo expedidos por esta Agencia para el sector de infraestructura de transporte. En el caso de los documentos tipo para la escogencia de contratistas de obra pública de infraestructura de transporte mediante la modalidad de mínima cuantía, esta disposición se encuentra consagrada en el literal F del numeral 4.5.1. de la Invitación. Por su parte, en los documentos tipo de interventoría, esta regla se replica en el literal F del numeral 10.1.1 del Documento Base, y, del mismo modo, en el literal G del numeral 10.1.1 del Pliego Tipo de consultoría.</w:t>
      </w:r>
      <w:r w:rsidRPr="00CD3A5F">
        <w:rPr>
          <w:rFonts w:ascii="Arial" w:eastAsia="Calibri" w:hAnsi="Arial" w:cs="Arial"/>
          <w:vertAlign w:val="superscript"/>
          <w:lang w:val="es-ES"/>
        </w:rPr>
        <w:footnoteReference w:id="6"/>
      </w:r>
      <w:r w:rsidRPr="00CD3A5F">
        <w:rPr>
          <w:rFonts w:ascii="Arial" w:eastAsia="Calibri" w:hAnsi="Arial" w:cs="Arial"/>
          <w:lang w:val="es-ES"/>
        </w:rPr>
        <w:t xml:space="preserve"> </w:t>
      </w:r>
    </w:p>
    <w:p w14:paraId="4AC41D89" w14:textId="77777777" w:rsidR="00CD3A5F" w:rsidRPr="00CD3A5F" w:rsidRDefault="00CD3A5F" w:rsidP="00CD3A5F">
      <w:pPr>
        <w:spacing w:after="120" w:line="276" w:lineRule="auto"/>
        <w:ind w:firstLine="709"/>
        <w:jc w:val="both"/>
        <w:rPr>
          <w:rFonts w:ascii="Arial" w:eastAsia="Calibri" w:hAnsi="Arial" w:cs="Arial"/>
          <w:lang w:val="es-ES"/>
        </w:rPr>
      </w:pPr>
      <w:r w:rsidRPr="00CD3A5F">
        <w:rPr>
          <w:rFonts w:ascii="Arial" w:eastAsia="Calibri" w:hAnsi="Arial" w:cs="Arial"/>
          <w:lang w:val="es-ES"/>
        </w:rPr>
        <w:t xml:space="preserve">En ese sentido, de acuerdo con lo expuesto en torno a la prerrogativa del numeral 2.5. del artículo 2.2.1.1.1.5.2 del Decreto 1082 de 2015, es claro que, en virtud de lo dispuesto en el literal E del numeral 3.5.2 del documento base de licitación de obra pública, resulta posible que una sociedad acredite la experiencia de sus socios, incluso si estos son personas jurídicas. Esto significa que, a luz de esta regla, durante los primeros tres años de su constitución, es válido que una sociedad acredite la experiencia adquirida por la sociedad que es su casa matriz, lo cual podría seguir haciendo una vez terminado dicho lapso, acreditando la experiencia tal como haya quedado registrada en el RUP, siempre que se haya ejercido el deber de renovación.    </w:t>
      </w:r>
    </w:p>
    <w:p w14:paraId="60ADDCAC" w14:textId="77777777" w:rsidR="00CD3A5F" w:rsidRPr="00CD3A5F" w:rsidRDefault="00CD3A5F" w:rsidP="00CD3A5F">
      <w:pPr>
        <w:spacing w:after="120" w:line="276" w:lineRule="auto"/>
        <w:ind w:firstLine="709"/>
        <w:jc w:val="both"/>
        <w:rPr>
          <w:rFonts w:ascii="Arial" w:eastAsia="Calibri" w:hAnsi="Arial" w:cs="Arial"/>
          <w:lang w:val="es-ES"/>
        </w:rPr>
      </w:pPr>
      <w:r w:rsidRPr="00CD3A5F">
        <w:rPr>
          <w:rFonts w:ascii="Arial" w:eastAsia="Calibri" w:hAnsi="Arial" w:cs="Arial"/>
          <w:lang w:val="es-ES"/>
        </w:rPr>
        <w:t xml:space="preserve">Sin perjuicio de lo anterior, no debe perderse de vista que el Decreto 1082 de 2015 y los documentos tipo, solo permiten que una sociedad acredite la experiencia de quienes tienen la calidad de accionistas, socios o constituyentes durante los primeros tres años de su constitución. Por tanto, siempre y cuando se cuente con dichas calidades, la sociedad podrá acreditar la experiencia de quien es accionista, socio o constituyente –trátese de una persona natural o jurídica–. Por el contrario, si no se tienen o se pierden estas calidades, como sucedería cuando un socio se retira por venta o cesión de su participación y pierde su calidad de socio, ya no sería posible que la sociedad acredite la experiencia aportada por dicha persona. </w:t>
      </w:r>
    </w:p>
    <w:p w14:paraId="08F797DE" w14:textId="77777777" w:rsidR="00CD3A5F" w:rsidRPr="00CD3A5F" w:rsidRDefault="00CD3A5F" w:rsidP="00CD3A5F">
      <w:pPr>
        <w:tabs>
          <w:tab w:val="left" w:pos="0"/>
        </w:tabs>
        <w:spacing w:after="0" w:line="276" w:lineRule="auto"/>
        <w:jc w:val="both"/>
        <w:rPr>
          <w:rFonts w:ascii="Arial" w:eastAsia="Calibri" w:hAnsi="Arial" w:cs="Arial"/>
          <w:lang w:val="es-ES"/>
        </w:rPr>
      </w:pPr>
      <w:r w:rsidRPr="00CD3A5F">
        <w:rPr>
          <w:rFonts w:ascii="Arial" w:eastAsia="Calibri" w:hAnsi="Arial" w:cs="Arial"/>
          <w:lang w:val="es-ES"/>
        </w:rPr>
        <w:tab/>
        <w:t>Esta es la aplicación de la norma que se impone con la finalidad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 por ejemplo,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los procesos de contratación.</w:t>
      </w:r>
    </w:p>
    <w:p w14:paraId="1D89C9E9" w14:textId="77777777" w:rsidR="00CD3A5F" w:rsidRPr="00CD3A5F" w:rsidRDefault="00CD3A5F" w:rsidP="00CD3A5F">
      <w:pPr>
        <w:tabs>
          <w:tab w:val="left" w:pos="0"/>
        </w:tabs>
        <w:spacing w:after="0" w:line="276" w:lineRule="auto"/>
        <w:jc w:val="both"/>
        <w:rPr>
          <w:rFonts w:ascii="Arial" w:eastAsia="Calibri" w:hAnsi="Arial" w:cs="Arial"/>
          <w:lang w:val="es-ES"/>
        </w:rPr>
      </w:pPr>
    </w:p>
    <w:p w14:paraId="4A13B434" w14:textId="77777777" w:rsidR="00CD3A5F" w:rsidRPr="00CD3A5F" w:rsidRDefault="00CD3A5F" w:rsidP="00CD3A5F">
      <w:pPr>
        <w:tabs>
          <w:tab w:val="left" w:pos="0"/>
        </w:tabs>
        <w:spacing w:after="0" w:line="276" w:lineRule="auto"/>
        <w:jc w:val="both"/>
        <w:rPr>
          <w:rFonts w:ascii="Arial" w:eastAsia="Calibri" w:hAnsi="Arial" w:cs="Arial"/>
          <w:lang w:val="es-ES"/>
        </w:rPr>
      </w:pPr>
    </w:p>
    <w:p w14:paraId="70F51072" w14:textId="77777777" w:rsidR="00CD3A5F" w:rsidRPr="00CD3A5F" w:rsidRDefault="00CD3A5F" w:rsidP="00CD3A5F">
      <w:pPr>
        <w:tabs>
          <w:tab w:val="left" w:pos="0"/>
        </w:tabs>
        <w:spacing w:after="0" w:line="276" w:lineRule="auto"/>
        <w:jc w:val="both"/>
        <w:rPr>
          <w:rFonts w:ascii="Arial" w:eastAsia="Calibri" w:hAnsi="Arial" w:cs="Arial"/>
          <w:lang w:val="es-ES"/>
        </w:rPr>
      </w:pPr>
    </w:p>
    <w:p w14:paraId="0484D24A" w14:textId="77777777" w:rsidR="00CD3A5F" w:rsidRPr="00CD3A5F" w:rsidRDefault="00CD3A5F" w:rsidP="00CD3A5F">
      <w:pPr>
        <w:tabs>
          <w:tab w:val="left" w:pos="0"/>
        </w:tabs>
        <w:spacing w:after="0" w:line="240" w:lineRule="auto"/>
        <w:jc w:val="both"/>
        <w:rPr>
          <w:rFonts w:ascii="Arial" w:eastAsia="Calibri" w:hAnsi="Arial" w:cs="Arial"/>
          <w:b/>
          <w:color w:val="000000" w:themeColor="text1"/>
          <w:szCs w:val="24"/>
          <w:lang w:val="es-ES" w:eastAsia="es-ES_tradnl"/>
        </w:rPr>
      </w:pPr>
      <w:r w:rsidRPr="00CD3A5F">
        <w:rPr>
          <w:rFonts w:ascii="Arial" w:eastAsia="Calibri" w:hAnsi="Arial" w:cs="Arial"/>
          <w:b/>
          <w:color w:val="000000" w:themeColor="text1"/>
          <w:szCs w:val="24"/>
          <w:lang w:val="es-ES" w:eastAsia="es-ES_tradnl"/>
        </w:rPr>
        <w:t>3. Respuesta</w:t>
      </w:r>
    </w:p>
    <w:p w14:paraId="76841182" w14:textId="77777777" w:rsidR="00CD3A5F" w:rsidRPr="00CD3A5F" w:rsidRDefault="00CD3A5F" w:rsidP="00CD3A5F">
      <w:pPr>
        <w:tabs>
          <w:tab w:val="left" w:pos="0"/>
        </w:tabs>
        <w:spacing w:after="0" w:line="240" w:lineRule="auto"/>
        <w:jc w:val="both"/>
        <w:rPr>
          <w:rFonts w:ascii="Arial" w:eastAsia="Calibri" w:hAnsi="Arial" w:cs="Arial"/>
          <w:color w:val="000000" w:themeColor="text1"/>
          <w:szCs w:val="24"/>
          <w:lang w:val="es-ES" w:eastAsia="es-ES_tradnl"/>
        </w:rPr>
      </w:pPr>
    </w:p>
    <w:p w14:paraId="43A0A402" w14:textId="77777777" w:rsidR="00CD3A5F" w:rsidRPr="00CD3A5F" w:rsidRDefault="00CD3A5F" w:rsidP="00CD3A5F">
      <w:pPr>
        <w:spacing w:after="0" w:line="240" w:lineRule="auto"/>
        <w:ind w:left="709" w:right="709"/>
        <w:jc w:val="both"/>
        <w:rPr>
          <w:rFonts w:ascii="Arial" w:eastAsia="Times New Roman" w:hAnsi="Arial" w:cs="Arial"/>
          <w:color w:val="000000" w:themeColor="text1"/>
          <w:sz w:val="21"/>
          <w:szCs w:val="21"/>
          <w:lang w:val="es-ES" w:eastAsia="es-ES_tradnl"/>
        </w:rPr>
      </w:pPr>
      <w:r w:rsidRPr="00CD3A5F">
        <w:rPr>
          <w:rFonts w:ascii="Arial" w:eastAsia="Times New Roman" w:hAnsi="Arial" w:cs="Arial"/>
          <w:color w:val="000000" w:themeColor="text1"/>
          <w:sz w:val="21"/>
          <w:szCs w:val="21"/>
          <w:lang w:val="es-ES" w:eastAsia="es-ES_tradnl"/>
        </w:rPr>
        <w:t xml:space="preserve">Con </w:t>
      </w:r>
      <w:proofErr w:type="spellStart"/>
      <w:r w:rsidRPr="00CD3A5F">
        <w:rPr>
          <w:rFonts w:ascii="Arial" w:eastAsia="Times New Roman" w:hAnsi="Arial" w:cs="Arial"/>
          <w:color w:val="000000" w:themeColor="text1"/>
          <w:sz w:val="21"/>
          <w:szCs w:val="21"/>
          <w:lang w:val="es-ES" w:eastAsia="es-ES_tradnl"/>
        </w:rPr>
        <w:t>relacion</w:t>
      </w:r>
      <w:proofErr w:type="spellEnd"/>
      <w:r w:rsidRPr="00CD3A5F">
        <w:rPr>
          <w:rFonts w:ascii="Arial" w:eastAsia="Times New Roman" w:hAnsi="Arial" w:cs="Arial"/>
          <w:color w:val="000000" w:themeColor="text1"/>
          <w:sz w:val="21"/>
          <w:szCs w:val="21"/>
          <w:lang w:val="es-ES" w:eastAsia="es-ES_tradnl"/>
        </w:rPr>
        <w:t xml:space="preserve"> [sic] al numeral 3.5.2. del </w:t>
      </w:r>
      <w:proofErr w:type="gramStart"/>
      <w:r w:rsidRPr="00CD3A5F">
        <w:rPr>
          <w:rFonts w:ascii="Arial" w:eastAsia="Times New Roman" w:hAnsi="Arial" w:cs="Arial"/>
          <w:color w:val="000000" w:themeColor="text1"/>
          <w:sz w:val="21"/>
          <w:szCs w:val="21"/>
          <w:lang w:val="es-ES" w:eastAsia="es-ES_tradnl"/>
        </w:rPr>
        <w:t>pliego  CARACTERÍSTICAS</w:t>
      </w:r>
      <w:proofErr w:type="gramEnd"/>
      <w:r w:rsidRPr="00CD3A5F">
        <w:rPr>
          <w:rFonts w:ascii="Arial" w:eastAsia="Times New Roman" w:hAnsi="Arial" w:cs="Arial"/>
          <w:color w:val="000000" w:themeColor="text1"/>
          <w:sz w:val="21"/>
          <w:szCs w:val="21"/>
          <w:lang w:val="es-ES" w:eastAsia="es-ES_tradnl"/>
        </w:rPr>
        <w:t xml:space="preserve"> DE LOS CONTRATOS PRESENTADOS PARA ACREDITAR LA EXPERIENCIA EXIGIDA, observamos el literal E. […] </w:t>
      </w:r>
    </w:p>
    <w:p w14:paraId="04C0BD44" w14:textId="77777777" w:rsidR="00CD3A5F" w:rsidRPr="00CD3A5F" w:rsidRDefault="00CD3A5F" w:rsidP="00CD3A5F">
      <w:pPr>
        <w:spacing w:after="0" w:line="240" w:lineRule="auto"/>
        <w:ind w:left="709" w:right="709"/>
        <w:jc w:val="both"/>
        <w:rPr>
          <w:rFonts w:ascii="Arial" w:eastAsia="Times New Roman" w:hAnsi="Arial" w:cs="Arial"/>
          <w:color w:val="000000" w:themeColor="text1"/>
          <w:sz w:val="21"/>
          <w:szCs w:val="21"/>
          <w:lang w:val="es-ES" w:eastAsia="es-ES_tradnl"/>
        </w:rPr>
      </w:pPr>
    </w:p>
    <w:p w14:paraId="712999B0" w14:textId="77777777" w:rsidR="00CD3A5F" w:rsidRPr="00CD3A5F" w:rsidRDefault="00CD3A5F" w:rsidP="00CD3A5F">
      <w:pPr>
        <w:spacing w:after="0" w:line="240" w:lineRule="auto"/>
        <w:ind w:left="709" w:right="709"/>
        <w:jc w:val="both"/>
        <w:rPr>
          <w:rFonts w:ascii="Arial" w:eastAsia="Times New Roman" w:hAnsi="Arial" w:cs="Arial"/>
          <w:color w:val="000000" w:themeColor="text1"/>
          <w:sz w:val="21"/>
          <w:szCs w:val="21"/>
          <w:lang w:val="es-ES" w:eastAsia="es-ES_tradnl"/>
        </w:rPr>
      </w:pPr>
      <w:r w:rsidRPr="00CD3A5F">
        <w:rPr>
          <w:rFonts w:ascii="Arial" w:eastAsia="Times New Roman" w:hAnsi="Arial" w:cs="Arial"/>
          <w:color w:val="000000" w:themeColor="text1"/>
          <w:sz w:val="21"/>
          <w:szCs w:val="21"/>
          <w:lang w:val="es-ES" w:eastAsia="es-ES_tradnl"/>
        </w:rPr>
        <w:t xml:space="preserve">[…] [¿]esto quiere decir que una empresa que es matriz de otra empresa, </w:t>
      </w:r>
      <w:proofErr w:type="spellStart"/>
      <w:r w:rsidRPr="00CD3A5F">
        <w:rPr>
          <w:rFonts w:ascii="Arial" w:eastAsia="Times New Roman" w:hAnsi="Arial" w:cs="Arial"/>
          <w:color w:val="000000" w:themeColor="text1"/>
          <w:sz w:val="21"/>
          <w:szCs w:val="21"/>
          <w:lang w:val="es-ES" w:eastAsia="es-ES_tradnl"/>
        </w:rPr>
        <w:t>despúes</w:t>
      </w:r>
      <w:proofErr w:type="spellEnd"/>
      <w:r w:rsidRPr="00CD3A5F">
        <w:rPr>
          <w:rFonts w:ascii="Arial" w:eastAsia="Times New Roman" w:hAnsi="Arial" w:cs="Arial"/>
          <w:color w:val="000000" w:themeColor="text1"/>
          <w:sz w:val="21"/>
          <w:szCs w:val="21"/>
          <w:lang w:val="es-ES" w:eastAsia="es-ES_tradnl"/>
        </w:rPr>
        <w:t xml:space="preserve"> [sic] de pasados los 3 años, sigue contando con la experiencia de la empresa de la cual es accionista?</w:t>
      </w:r>
    </w:p>
    <w:p w14:paraId="63F9F9C9" w14:textId="77777777" w:rsidR="00CD3A5F" w:rsidRPr="00CD3A5F" w:rsidRDefault="00CD3A5F" w:rsidP="00CD3A5F">
      <w:pPr>
        <w:spacing w:after="0" w:line="240" w:lineRule="auto"/>
        <w:ind w:left="709" w:right="709"/>
        <w:jc w:val="both"/>
        <w:rPr>
          <w:rFonts w:ascii="Arial" w:eastAsia="Times New Roman" w:hAnsi="Arial" w:cs="Arial"/>
          <w:color w:val="000000" w:themeColor="text1"/>
          <w:sz w:val="21"/>
          <w:szCs w:val="21"/>
          <w:lang w:val="es-ES" w:eastAsia="es-ES_tradnl"/>
        </w:rPr>
      </w:pPr>
    </w:p>
    <w:p w14:paraId="07F06FCF" w14:textId="77777777" w:rsidR="00CD3A5F" w:rsidRPr="00CD3A5F" w:rsidRDefault="00CD3A5F" w:rsidP="00CD3A5F">
      <w:pPr>
        <w:spacing w:before="120" w:after="0" w:line="276" w:lineRule="auto"/>
        <w:jc w:val="both"/>
        <w:rPr>
          <w:rFonts w:ascii="Arial" w:eastAsia="Calibri" w:hAnsi="Arial" w:cs="Arial"/>
          <w:color w:val="000000" w:themeColor="text1"/>
          <w:lang w:val="es-ES" w:eastAsia="es-ES_tradnl"/>
        </w:rPr>
      </w:pPr>
      <w:r w:rsidRPr="00CD3A5F">
        <w:rPr>
          <w:rFonts w:ascii="Arial" w:eastAsia="Calibri" w:hAnsi="Arial" w:cs="Arial"/>
          <w:color w:val="000000" w:themeColor="text1"/>
          <w:lang w:val="es-ES" w:eastAsia="es-ES_tradnl"/>
        </w:rPr>
        <w:t xml:space="preserve">El numeral 2.5 del artículo 2.2.1.1.1.5.2 del Decreto 1082 de 2015 indica de forma clara que una sociedad con menos de tres años de constituida puede aportar la experiencia de sus accionistas, socios o constituyentes.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2DFE1F3C" w14:textId="77777777" w:rsidR="00CD3A5F" w:rsidRPr="00CD3A5F" w:rsidRDefault="00CD3A5F" w:rsidP="00CD3A5F">
      <w:pPr>
        <w:spacing w:before="120" w:after="0" w:line="276" w:lineRule="auto"/>
        <w:ind w:firstLine="708"/>
        <w:jc w:val="both"/>
        <w:rPr>
          <w:rFonts w:ascii="Arial" w:eastAsia="Calibri" w:hAnsi="Arial" w:cs="Arial"/>
          <w:color w:val="000000" w:themeColor="text1"/>
          <w:lang w:val="es-ES" w:eastAsia="es-ES_tradnl"/>
        </w:rPr>
      </w:pPr>
      <w:r w:rsidRPr="00CD3A5F">
        <w:rPr>
          <w:rFonts w:ascii="Arial" w:eastAsia="Calibri" w:hAnsi="Arial" w:cs="Arial"/>
          <w:color w:val="000000" w:themeColor="text1"/>
          <w:lang w:val="es-ES" w:eastAsia="es-ES_tradnl"/>
        </w:rPr>
        <w:t>De conformidad con lo expuesto, esta Agencia considera que, si la persona jurídica con menos de tres años de constituida registra la experiencia de sus socios en el RUP, y éste es renovado constantemente de forma oportuna, una vez transcurridos estos tres años, el proponente podrá seguir acreditando la experiencia inscrita de los socios mientras no cesen los efectos del RUP. Por el contrario, si no se renueva oportunamente y la persona jurídica supera los tres años de constituida, la experiencia que registró de sus socios no puede ser inscrita nuevamente, puesto que el RUP habría cesado en sus efectos y la cámara de comercio tendría que hacer nuevamente la verificación documental de la información presentada al momento de inscribirse en el registro.</w:t>
      </w:r>
    </w:p>
    <w:p w14:paraId="0900FBC5" w14:textId="77777777" w:rsidR="00CD3A5F" w:rsidRPr="00CD3A5F" w:rsidRDefault="00CD3A5F" w:rsidP="00CD3A5F">
      <w:pPr>
        <w:spacing w:before="120" w:after="0" w:line="276" w:lineRule="auto"/>
        <w:jc w:val="both"/>
        <w:rPr>
          <w:rFonts w:ascii="Arial" w:eastAsia="Calibri" w:hAnsi="Arial" w:cs="Arial"/>
          <w:color w:val="000000" w:themeColor="text1"/>
          <w:lang w:val="es-ES" w:eastAsia="es-ES_tradnl"/>
        </w:rPr>
      </w:pPr>
      <w:r w:rsidRPr="00CD3A5F">
        <w:rPr>
          <w:rFonts w:ascii="Arial" w:eastAsia="Calibri" w:hAnsi="Arial" w:cs="Arial"/>
          <w:color w:val="000000" w:themeColor="text1"/>
          <w:lang w:val="es-ES" w:eastAsia="es-ES_tradnl"/>
        </w:rPr>
        <w:tab/>
        <w:t xml:space="preserve">En desarrollo de esta prerrogativa, en el literal E del numeral 3.5.2 del Pliego Tipo de licitación de obra pública de infraestructura de transporte–Versión 3–, se estableció una regla en virtud de la cual se permite la acreditación de la experiencia de los socios o constituyentes de las personas jurídicas, incluso pasados los primeros tres años de creación, siempre que no hubieren cesado los efectos del RUP. En virtud de esta regulación, en el marco de la aplicación de los referidos documentos tipos, resulta valido que, por ejemplo, una sociedad acredite la experiencia adquirida por otra sociedad que es su accionista.   </w:t>
      </w:r>
    </w:p>
    <w:p w14:paraId="05C7662C" w14:textId="77777777" w:rsidR="00CD3A5F" w:rsidRPr="00CD3A5F" w:rsidRDefault="00CD3A5F" w:rsidP="00CD3A5F">
      <w:pPr>
        <w:spacing w:before="120" w:after="0" w:line="276" w:lineRule="auto"/>
        <w:ind w:firstLine="708"/>
        <w:jc w:val="both"/>
        <w:rPr>
          <w:rFonts w:ascii="Arial" w:eastAsia="Calibri" w:hAnsi="Arial" w:cs="Arial"/>
          <w:color w:val="000000" w:themeColor="text1"/>
          <w:lang w:val="es-ES" w:eastAsia="es-ES_tradnl"/>
        </w:rPr>
      </w:pPr>
      <w:r w:rsidRPr="00CD3A5F">
        <w:rPr>
          <w:rFonts w:ascii="Arial" w:eastAsia="Calibri" w:hAnsi="Arial" w:cs="Arial"/>
          <w:color w:val="000000" w:themeColor="text1"/>
          <w:lang w:val="es-ES" w:eastAsia="es-ES_tradnl"/>
        </w:rPr>
        <w:t xml:space="preserve">Sin embargo, no debe perderse de vista que el Decreto 1082 de 2015 y los documentos tipo, solo permiten que una sociedad acredite la experiencia de quienes tienen la calidad de accionistas, socios o constituyentes durante los primeros tres años de su constitución. Por tanto, siempre y cuando se cuente con dichas calidades, la sociedad podrá </w:t>
      </w:r>
      <w:r w:rsidRPr="00CD3A5F">
        <w:rPr>
          <w:rFonts w:ascii="Arial" w:eastAsia="Calibri" w:hAnsi="Arial" w:cs="Arial"/>
          <w:color w:val="000000" w:themeColor="text1"/>
          <w:lang w:val="es-ES" w:eastAsia="es-ES_tradnl"/>
        </w:rPr>
        <w:lastRenderedPageBreak/>
        <w:t>acreditar la experiencia de quien es accionista, socio o constituyente –trátese de una persona natural o jurídica–. Por el contrario, si no se tienen o se pierden estas calidades, como sucedería cuando un socio se retira por venta o cesión de su participación y pierde su calidad de socio, ya no sería posible que la sociedad acredite la experiencia aportada por dicha persona.</w:t>
      </w:r>
    </w:p>
    <w:p w14:paraId="4DA762E7" w14:textId="77777777" w:rsidR="00CD3A5F" w:rsidRPr="00CD3A5F" w:rsidRDefault="00CD3A5F" w:rsidP="00CD3A5F">
      <w:pPr>
        <w:spacing w:after="0" w:line="276" w:lineRule="auto"/>
        <w:ind w:firstLine="708"/>
        <w:jc w:val="both"/>
        <w:rPr>
          <w:rFonts w:ascii="Arial" w:eastAsia="Calibri" w:hAnsi="Arial" w:cs="Arial"/>
          <w:lang w:val="es-ES"/>
        </w:rPr>
      </w:pPr>
    </w:p>
    <w:p w14:paraId="298A053F" w14:textId="77777777" w:rsidR="00CD3A5F" w:rsidRPr="00CD3A5F" w:rsidRDefault="00CD3A5F" w:rsidP="00CD3A5F">
      <w:pPr>
        <w:spacing w:after="0" w:line="276" w:lineRule="auto"/>
        <w:jc w:val="both"/>
        <w:rPr>
          <w:rFonts w:ascii="Arial" w:eastAsia="Times New Roman" w:hAnsi="Arial" w:cs="Arial"/>
          <w:color w:val="000000" w:themeColor="text1"/>
          <w:szCs w:val="24"/>
          <w:lang w:val="es-ES" w:eastAsia="es-ES_tradnl"/>
        </w:rPr>
      </w:pPr>
      <w:r w:rsidRPr="00CD3A5F">
        <w:rPr>
          <w:rFonts w:ascii="Arial" w:eastAsia="Times New Roman" w:hAnsi="Arial" w:cs="Arial"/>
          <w:color w:val="000000" w:themeColor="text1"/>
          <w:szCs w:val="24"/>
          <w:lang w:val="es-ES" w:eastAsia="es-ES_tradnl"/>
        </w:rPr>
        <w:t>Este concepto tiene el alcance previsto en el artículo 28 del Código de Procedimiento Administrativo y de lo Contencioso Administrativo.</w:t>
      </w:r>
    </w:p>
    <w:p w14:paraId="2EF806BF" w14:textId="77777777" w:rsidR="00CD3A5F" w:rsidRPr="00CD3A5F" w:rsidRDefault="00CD3A5F" w:rsidP="00CD3A5F">
      <w:pPr>
        <w:spacing w:after="0" w:line="276" w:lineRule="auto"/>
        <w:jc w:val="both"/>
        <w:rPr>
          <w:rFonts w:ascii="Arial" w:eastAsia="Times New Roman" w:hAnsi="Arial" w:cs="Arial"/>
          <w:color w:val="000000" w:themeColor="text1"/>
          <w:lang w:val="es-ES" w:eastAsia="es-CO"/>
        </w:rPr>
      </w:pPr>
    </w:p>
    <w:p w14:paraId="7C27A473" w14:textId="77777777" w:rsidR="00CD3A5F" w:rsidRPr="00CD3A5F" w:rsidRDefault="00CD3A5F" w:rsidP="00CD3A5F">
      <w:pPr>
        <w:spacing w:after="0" w:line="276" w:lineRule="auto"/>
        <w:jc w:val="both"/>
        <w:rPr>
          <w:rFonts w:ascii="Arial" w:eastAsia="Times New Roman" w:hAnsi="Arial" w:cs="Arial"/>
          <w:color w:val="000000" w:themeColor="text1"/>
          <w:lang w:val="es-ES" w:eastAsia="es-CO"/>
        </w:rPr>
      </w:pPr>
      <w:r w:rsidRPr="00CD3A5F">
        <w:rPr>
          <w:rFonts w:ascii="Arial" w:eastAsia="Times New Roman" w:hAnsi="Arial" w:cs="Arial"/>
          <w:color w:val="000000" w:themeColor="text1"/>
          <w:lang w:val="es-ES" w:eastAsia="es-CO"/>
        </w:rPr>
        <w:t>Atentamente,</w:t>
      </w:r>
    </w:p>
    <w:p w14:paraId="17DCD288" w14:textId="03B883DD" w:rsidR="00CD3A5F" w:rsidRPr="00CD3A5F" w:rsidRDefault="00C7206B" w:rsidP="00CD3A5F">
      <w:pPr>
        <w:spacing w:after="0" w:line="276" w:lineRule="auto"/>
        <w:jc w:val="center"/>
        <w:rPr>
          <w:rFonts w:ascii="Arial" w:eastAsia="Times New Roman" w:hAnsi="Arial" w:cs="Arial"/>
          <w:color w:val="000000" w:themeColor="text1"/>
          <w:lang w:val="es-ES" w:eastAsia="es-CO"/>
        </w:rPr>
      </w:pPr>
      <w:r>
        <w:rPr>
          <w:rFonts w:ascii="Arial" w:hAnsi="Arial" w:cs="Arial"/>
          <w:noProof/>
          <w:color w:val="000000" w:themeColor="text1"/>
          <w:lang w:val="es-ES_tradnl"/>
        </w:rPr>
        <w:drawing>
          <wp:inline distT="0" distB="0" distL="0" distR="0" wp14:anchorId="58A75521" wp14:editId="2679B466">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0D855D89" w14:textId="77777777" w:rsidR="00CD3A5F" w:rsidRPr="00CD3A5F" w:rsidRDefault="00CD3A5F" w:rsidP="00CD3A5F">
      <w:pPr>
        <w:spacing w:after="0" w:line="240" w:lineRule="auto"/>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D3A5F" w:rsidRPr="00CD3A5F" w14:paraId="59548E90" w14:textId="77777777" w:rsidTr="00183669">
        <w:trPr>
          <w:trHeight w:val="315"/>
        </w:trPr>
        <w:tc>
          <w:tcPr>
            <w:tcW w:w="812" w:type="dxa"/>
            <w:vAlign w:val="center"/>
            <w:hideMark/>
          </w:tcPr>
          <w:p w14:paraId="5062181A"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E437449"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color w:val="000000" w:themeColor="text1"/>
                <w:sz w:val="16"/>
                <w:szCs w:val="16"/>
                <w:lang w:val="es-ES" w:eastAsia="es-ES"/>
              </w:rPr>
              <w:t>Kevin Arlid Herrera Santa</w:t>
            </w:r>
          </w:p>
          <w:p w14:paraId="5CD1025D"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color w:val="000000" w:themeColor="text1"/>
                <w:sz w:val="16"/>
                <w:szCs w:val="16"/>
                <w:lang w:val="es-ES" w:eastAsia="es-ES"/>
              </w:rPr>
              <w:t>Analista T2–04 de la Subdirección de Gestión Contractual</w:t>
            </w:r>
          </w:p>
        </w:tc>
      </w:tr>
      <w:tr w:rsidR="00CD3A5F" w:rsidRPr="00CD3A5F" w14:paraId="1B03F833" w14:textId="77777777" w:rsidTr="00183669">
        <w:trPr>
          <w:trHeight w:val="330"/>
        </w:trPr>
        <w:tc>
          <w:tcPr>
            <w:tcW w:w="812" w:type="dxa"/>
            <w:vAlign w:val="center"/>
            <w:hideMark/>
          </w:tcPr>
          <w:p w14:paraId="1BEE0FEB"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E5698A"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color w:val="000000" w:themeColor="text1"/>
                <w:sz w:val="16"/>
                <w:szCs w:val="16"/>
                <w:lang w:val="es-ES" w:eastAsia="es-ES"/>
              </w:rPr>
              <w:t>Alejandro Sarmiento Cantillo</w:t>
            </w:r>
          </w:p>
          <w:p w14:paraId="7A0E8B53"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sz w:val="16"/>
                <w:szCs w:val="16"/>
                <w:lang w:eastAsia="es-ES"/>
              </w:rPr>
              <w:t>Gestor T1–15</w:t>
            </w:r>
            <w:r w:rsidRPr="00CD3A5F">
              <w:rPr>
                <w:rFonts w:ascii="Arial" w:eastAsia="Times New Roman" w:hAnsi="Arial" w:cs="Arial"/>
                <w:sz w:val="14"/>
                <w:szCs w:val="14"/>
                <w:lang w:eastAsia="es-ES"/>
              </w:rPr>
              <w:t xml:space="preserve"> </w:t>
            </w:r>
            <w:r w:rsidRPr="00CD3A5F">
              <w:rPr>
                <w:rFonts w:ascii="Arial" w:eastAsia="Times New Roman" w:hAnsi="Arial" w:cs="Arial"/>
                <w:color w:val="000000" w:themeColor="text1"/>
                <w:sz w:val="16"/>
                <w:szCs w:val="16"/>
                <w:lang w:val="es-ES" w:eastAsia="es-ES"/>
              </w:rPr>
              <w:t>de la Subdirección de Gestión Contractual</w:t>
            </w:r>
          </w:p>
        </w:tc>
      </w:tr>
      <w:tr w:rsidR="00CD3A5F" w:rsidRPr="00CD3A5F" w14:paraId="762801BC" w14:textId="77777777" w:rsidTr="00183669">
        <w:trPr>
          <w:trHeight w:val="300"/>
        </w:trPr>
        <w:tc>
          <w:tcPr>
            <w:tcW w:w="812" w:type="dxa"/>
            <w:vAlign w:val="center"/>
            <w:hideMark/>
          </w:tcPr>
          <w:p w14:paraId="0255788D"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FE594B"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color w:val="000000" w:themeColor="text1"/>
                <w:sz w:val="16"/>
                <w:szCs w:val="16"/>
                <w:lang w:val="es-ES" w:eastAsia="es-ES"/>
              </w:rPr>
              <w:t>Jorge Augusto Tirado Navarro</w:t>
            </w:r>
          </w:p>
          <w:p w14:paraId="6FB46232" w14:textId="77777777" w:rsidR="00CD3A5F" w:rsidRPr="00CD3A5F" w:rsidRDefault="00CD3A5F" w:rsidP="00CD3A5F">
            <w:pPr>
              <w:jc w:val="both"/>
              <w:rPr>
                <w:rFonts w:ascii="Arial" w:eastAsia="Times New Roman" w:hAnsi="Arial" w:cs="Arial"/>
                <w:color w:val="000000" w:themeColor="text1"/>
                <w:sz w:val="16"/>
                <w:szCs w:val="16"/>
                <w:lang w:val="es-ES" w:eastAsia="es-ES"/>
              </w:rPr>
            </w:pPr>
            <w:r w:rsidRPr="00CD3A5F">
              <w:rPr>
                <w:rFonts w:ascii="Arial" w:eastAsia="Times New Roman" w:hAnsi="Arial" w:cs="Arial"/>
                <w:color w:val="000000" w:themeColor="text1"/>
                <w:sz w:val="16"/>
                <w:szCs w:val="16"/>
                <w:lang w:val="es-ES" w:eastAsia="es-ES"/>
              </w:rPr>
              <w:t>Subdirector de Gestión Contractual ANCP – CCE</w:t>
            </w:r>
          </w:p>
        </w:tc>
      </w:tr>
    </w:tbl>
    <w:p w14:paraId="77D786F3" w14:textId="77777777" w:rsidR="00CD3A5F" w:rsidRPr="00CD3A5F" w:rsidRDefault="00CD3A5F" w:rsidP="00CD3A5F">
      <w:pPr>
        <w:spacing w:after="0" w:line="240" w:lineRule="auto"/>
        <w:rPr>
          <w:rFonts w:ascii="Times New Roman" w:eastAsia="Times New Roman" w:hAnsi="Times New Roman" w:cs="Times New Roman"/>
          <w:sz w:val="24"/>
          <w:szCs w:val="24"/>
          <w:lang w:eastAsia="es-ES_tradnl"/>
        </w:rPr>
      </w:pPr>
    </w:p>
    <w:p w14:paraId="12FD8C32" w14:textId="15963E1B" w:rsidR="00CD3A5F" w:rsidRDefault="00CD3A5F"/>
    <w:sectPr w:rsidR="00CD3A5F"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5A90" w14:textId="77777777" w:rsidR="003B65A1" w:rsidRDefault="003B65A1" w:rsidP="00CD3A5F">
      <w:pPr>
        <w:spacing w:after="0" w:line="240" w:lineRule="auto"/>
      </w:pPr>
      <w:r>
        <w:separator/>
      </w:r>
    </w:p>
  </w:endnote>
  <w:endnote w:type="continuationSeparator" w:id="0">
    <w:p w14:paraId="701962C8" w14:textId="77777777" w:rsidR="003B65A1" w:rsidRDefault="003B65A1" w:rsidP="00CD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80F" w14:textId="77777777" w:rsidR="008F4163" w:rsidRDefault="003B65A1" w:rsidP="00322937">
    <w:pPr>
      <w:pStyle w:val="Sinespaciado"/>
      <w:jc w:val="right"/>
      <w:rPr>
        <w:rFonts w:ascii="Arial" w:hAnsi="Arial" w:cs="Arial"/>
        <w:sz w:val="18"/>
        <w:szCs w:val="18"/>
      </w:rPr>
    </w:pPr>
  </w:p>
  <w:p w14:paraId="3293A0E0" w14:textId="77777777" w:rsidR="008F4163" w:rsidRPr="00D059DA" w:rsidRDefault="003B65A1"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 xml:space="preserve">PAGE  \* Arabic  \* </w:instrText>
    </w:r>
    <w:r w:rsidRPr="00D059DA">
      <w:rPr>
        <w:rFonts w:ascii="Arial" w:hAnsi="Arial" w:cs="Arial"/>
        <w:b/>
        <w:bCs/>
        <w:color w:val="7F7F7F"/>
        <w:sz w:val="16"/>
        <w:szCs w:val="16"/>
      </w:rPr>
      <w:instrText>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648F7AA7" w14:textId="77777777" w:rsidR="008F4163" w:rsidRDefault="003B65A1" w:rsidP="00322937">
    <w:pPr>
      <w:pStyle w:val="Piedepgina"/>
      <w:jc w:val="center"/>
      <w:rPr>
        <w:lang w:val="es-ES"/>
      </w:rPr>
    </w:pPr>
    <w:r>
      <w:rPr>
        <w:noProof/>
        <w:lang w:val="es-ES_tradnl" w:eastAsia="es-ES_tradnl"/>
      </w:rPr>
      <w:drawing>
        <wp:inline distT="0" distB="0" distL="0" distR="0" wp14:anchorId="0912C6BA" wp14:editId="305E902F">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F614B3B" w14:textId="77777777" w:rsidR="008F4163" w:rsidRDefault="003B65A1" w:rsidP="007B0854">
    <w:pPr>
      <w:pStyle w:val="Piedepgina"/>
      <w:jc w:val="center"/>
      <w:rPr>
        <w:lang w:val="es-ES"/>
      </w:rPr>
    </w:pPr>
  </w:p>
  <w:p w14:paraId="02900C3A" w14:textId="77777777" w:rsidR="008F4163" w:rsidRPr="007B0854" w:rsidRDefault="003B65A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4C91" w14:textId="77777777" w:rsidR="003B65A1" w:rsidRDefault="003B65A1" w:rsidP="00CD3A5F">
      <w:pPr>
        <w:spacing w:after="0" w:line="240" w:lineRule="auto"/>
      </w:pPr>
      <w:r>
        <w:separator/>
      </w:r>
    </w:p>
  </w:footnote>
  <w:footnote w:type="continuationSeparator" w:id="0">
    <w:p w14:paraId="06BE0043" w14:textId="77777777" w:rsidR="003B65A1" w:rsidRDefault="003B65A1" w:rsidP="00CD3A5F">
      <w:pPr>
        <w:spacing w:after="0" w:line="240" w:lineRule="auto"/>
      </w:pPr>
      <w:r>
        <w:continuationSeparator/>
      </w:r>
    </w:p>
  </w:footnote>
  <w:footnote w:id="1">
    <w:p w14:paraId="63758DF7" w14:textId="77777777" w:rsidR="00CD3A5F" w:rsidRPr="006600D3" w:rsidRDefault="00CD3A5F" w:rsidP="00CD3A5F">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2FD42FBF" w14:textId="77777777" w:rsidR="00CD3A5F" w:rsidRPr="00B62C62" w:rsidRDefault="00CD3A5F" w:rsidP="00CD3A5F">
      <w:pPr>
        <w:pStyle w:val="Textonotapie"/>
        <w:rPr>
          <w:lang w:val="es-CO"/>
        </w:rPr>
      </w:pPr>
    </w:p>
  </w:footnote>
  <w:footnote w:id="2">
    <w:p w14:paraId="7A388541" w14:textId="77777777" w:rsidR="00CD3A5F" w:rsidRPr="004F3C32" w:rsidRDefault="00CD3A5F" w:rsidP="00CD3A5F">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55D0AC4" w14:textId="77777777" w:rsidR="00CD3A5F" w:rsidRPr="004F3C32" w:rsidRDefault="00CD3A5F" w:rsidP="00CD3A5F">
      <w:pPr>
        <w:pStyle w:val="Textonotapie"/>
        <w:ind w:firstLine="708"/>
        <w:jc w:val="both"/>
        <w:rPr>
          <w:rFonts w:ascii="Arial" w:hAnsi="Arial" w:cs="Arial"/>
          <w:sz w:val="19"/>
          <w:szCs w:val="19"/>
        </w:rPr>
      </w:pPr>
      <w:r w:rsidRPr="004F3C32">
        <w:rPr>
          <w:rFonts w:ascii="Arial" w:hAnsi="Arial" w:cs="Arial"/>
          <w:sz w:val="19"/>
          <w:szCs w:val="19"/>
        </w:rPr>
        <w:t>[…]</w:t>
      </w:r>
    </w:p>
    <w:p w14:paraId="3D7300A8" w14:textId="77777777" w:rsidR="00CD3A5F" w:rsidRPr="001E7492" w:rsidRDefault="00CD3A5F" w:rsidP="00CD3A5F">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7FED05BE" w14:textId="77777777" w:rsidR="00CD3A5F" w:rsidRPr="004F3C32" w:rsidRDefault="00CD3A5F" w:rsidP="00CD3A5F">
      <w:pPr>
        <w:pStyle w:val="Textonotapie"/>
        <w:ind w:firstLine="708"/>
        <w:jc w:val="both"/>
        <w:rPr>
          <w:rFonts w:ascii="Arial" w:hAnsi="Arial" w:cs="Arial"/>
          <w:sz w:val="19"/>
          <w:szCs w:val="19"/>
          <w:lang w:val="es-CO"/>
        </w:rPr>
      </w:pPr>
    </w:p>
  </w:footnote>
  <w:footnote w:id="3">
    <w:p w14:paraId="43024CA0" w14:textId="77777777" w:rsidR="00CD3A5F" w:rsidRPr="004F3C32" w:rsidRDefault="00CD3A5F" w:rsidP="00CD3A5F">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w:t>
      </w:r>
      <w:r>
        <w:rPr>
          <w:rFonts w:ascii="Arial" w:hAnsi="Arial" w:cs="Arial"/>
          <w:sz w:val="19"/>
          <w:szCs w:val="19"/>
        </w:rPr>
        <w:t xml:space="preserve"> </w:t>
      </w:r>
      <w:r>
        <w:rPr>
          <w:rFonts w:ascii="Arial" w:hAnsi="Arial" w:cs="Arial"/>
          <w:sz w:val="19"/>
          <w:szCs w:val="19"/>
          <w:shd w:val="clear" w:color="auto" w:fill="FFFFFF"/>
        </w:rPr>
        <w:t xml:space="preserve">[…] </w:t>
      </w: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4">
    <w:p w14:paraId="4A4260AE" w14:textId="77777777" w:rsidR="00CD3A5F" w:rsidRDefault="00CD3A5F" w:rsidP="00CD3A5F">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6F83C2C8" w14:textId="77777777" w:rsidR="00CD3A5F" w:rsidRPr="005B3541" w:rsidRDefault="00CD3A5F" w:rsidP="00CD3A5F">
      <w:pPr>
        <w:pStyle w:val="Textonotapie"/>
        <w:ind w:left="708" w:firstLine="1"/>
      </w:pPr>
    </w:p>
  </w:footnote>
  <w:footnote w:id="5">
    <w:p w14:paraId="2CD46F1D" w14:textId="77777777" w:rsidR="00CD3A5F" w:rsidRPr="00A222AD" w:rsidRDefault="00CD3A5F" w:rsidP="00CD3A5F">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w:t>
      </w:r>
      <w:r>
        <w:rPr>
          <w:rFonts w:ascii="Arial" w:hAnsi="Arial" w:cs="Arial"/>
          <w:sz w:val="19"/>
          <w:szCs w:val="19"/>
        </w:rPr>
        <w:t>-</w:t>
      </w:r>
      <w:r w:rsidRPr="00A222AD">
        <w:rPr>
          <w:rFonts w:ascii="Arial" w:hAnsi="Arial" w:cs="Arial"/>
          <w:sz w:val="19"/>
          <w:szCs w:val="19"/>
        </w:rPr>
        <w:t>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6">
    <w:p w14:paraId="6CB77A22" w14:textId="77777777" w:rsidR="00CD3A5F" w:rsidRPr="00445857" w:rsidRDefault="00CD3A5F" w:rsidP="00CD3A5F">
      <w:pPr>
        <w:pStyle w:val="Textonotapie"/>
        <w:ind w:firstLine="709"/>
        <w:jc w:val="both"/>
        <w:rPr>
          <w:rFonts w:ascii="Arial" w:hAnsi="Arial" w:cs="Arial"/>
          <w:sz w:val="19"/>
          <w:szCs w:val="19"/>
        </w:rPr>
      </w:pPr>
      <w:r w:rsidRPr="00445857">
        <w:rPr>
          <w:rStyle w:val="Refdenotaalpie"/>
          <w:rFonts w:ascii="Arial" w:hAnsi="Arial" w:cs="Arial"/>
          <w:sz w:val="19"/>
          <w:szCs w:val="19"/>
        </w:rPr>
        <w:footnoteRef/>
      </w:r>
      <w:r w:rsidRPr="00445857">
        <w:rPr>
          <w:rFonts w:ascii="Arial" w:hAnsi="Arial" w:cs="Arial"/>
          <w:sz w:val="19"/>
          <w:szCs w:val="19"/>
        </w:rPr>
        <w:t xml:space="preserve"> </w:t>
      </w:r>
      <w:r>
        <w:rPr>
          <w:rFonts w:ascii="Arial" w:hAnsi="Arial" w:cs="Arial"/>
          <w:sz w:val="19"/>
          <w:szCs w:val="19"/>
        </w:rPr>
        <w:t>E</w:t>
      </w:r>
      <w:r w:rsidRPr="00445857">
        <w:rPr>
          <w:rFonts w:ascii="Arial" w:hAnsi="Arial" w:cs="Arial"/>
          <w:sz w:val="19"/>
          <w:szCs w:val="19"/>
        </w:rPr>
        <w:t>sta regla también fue prevista, de forma expresa, en el literal E del numeral 3.5.2 de los Documentos Base de los documentos tipo de licitación de obra de infraestructura de agua potable y saneamiento básico, y en los de la modalidad de llave en mano, así como en el literal J del numeral 3.5.1 del Documento Base de los documentos tipo de licitación de obra pública de infraestructura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58F2" w14:textId="77777777" w:rsidR="008F4163" w:rsidRDefault="003B65A1">
    <w:pPr>
      <w:pStyle w:val="Encabezado"/>
    </w:pPr>
    <w:r>
      <w:rPr>
        <w:noProof/>
        <w:lang w:val="es-ES_tradnl" w:eastAsia="es-ES_tradnl"/>
      </w:rPr>
      <w:drawing>
        <wp:anchor distT="0" distB="0" distL="114300" distR="114300" simplePos="0" relativeHeight="251659264" behindDoc="1" locked="0" layoutInCell="1" allowOverlap="1" wp14:anchorId="6C0E2B0D" wp14:editId="76968FA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5F"/>
    <w:rsid w:val="0017290E"/>
    <w:rsid w:val="003B65A1"/>
    <w:rsid w:val="0098456C"/>
    <w:rsid w:val="00C6076E"/>
    <w:rsid w:val="00C7206B"/>
    <w:rsid w:val="00CD3A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C421"/>
  <w15:chartTrackingRefBased/>
  <w15:docId w15:val="{F97D286C-E50D-4FB8-87B2-B136C854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D3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A5F"/>
  </w:style>
  <w:style w:type="paragraph" w:styleId="Encabezado">
    <w:name w:val="header"/>
    <w:basedOn w:val="Normal"/>
    <w:link w:val="EncabezadoCar"/>
    <w:uiPriority w:val="99"/>
    <w:semiHidden/>
    <w:unhideWhenUsed/>
    <w:rsid w:val="00CD3A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A5F"/>
  </w:style>
  <w:style w:type="paragraph" w:styleId="Sinespaciado">
    <w:name w:val="No Spacing"/>
    <w:uiPriority w:val="1"/>
    <w:qFormat/>
    <w:rsid w:val="00CD3A5F"/>
    <w:pPr>
      <w:spacing w:after="0" w:line="240" w:lineRule="auto"/>
    </w:pPr>
  </w:style>
  <w:style w:type="table" w:styleId="Tablaconcuadrcula">
    <w:name w:val="Table Grid"/>
    <w:basedOn w:val="Tablanormal"/>
    <w:uiPriority w:val="59"/>
    <w:rsid w:val="00CD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3A5F"/>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CD3A5F"/>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D3A5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D3A5F"/>
    <w:pPr>
      <w:spacing w:after="0" w:line="240" w:lineRule="auto"/>
    </w:pPr>
    <w:rPr>
      <w:sz w:val="20"/>
      <w:szCs w:val="20"/>
      <w:lang w:val="es-MX"/>
    </w:rPr>
  </w:style>
  <w:style w:type="character" w:customStyle="1" w:styleId="TextonotapieCar1">
    <w:name w:val="Texto nota pie Car1"/>
    <w:basedOn w:val="Fuentedeprrafopredeter"/>
    <w:uiPriority w:val="99"/>
    <w:semiHidden/>
    <w:rsid w:val="00CD3A5F"/>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CD3A5F"/>
    <w:rPr>
      <w:vertAlign w:val="superscript"/>
    </w:rPr>
  </w:style>
  <w:style w:type="paragraph" w:customStyle="1" w:styleId="Appelnotedebasde">
    <w:name w:val="Appel note de bas de..."/>
    <w:basedOn w:val="Normal"/>
    <w:link w:val="Refdenotaalpie"/>
    <w:uiPriority w:val="99"/>
    <w:rsid w:val="00CD3A5F"/>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938A4F1-3688-49B7-84DF-F44B0D5E2DDA}"/>
</file>

<file path=customXml/itemProps2.xml><?xml version="1.0" encoding="utf-8"?>
<ds:datastoreItem xmlns:ds="http://schemas.openxmlformats.org/officeDocument/2006/customXml" ds:itemID="{448B0F0E-769C-4EB6-9623-24664D7FF82A}"/>
</file>

<file path=customXml/itemProps3.xml><?xml version="1.0" encoding="utf-8"?>
<ds:datastoreItem xmlns:ds="http://schemas.openxmlformats.org/officeDocument/2006/customXml" ds:itemID="{FAFFA647-70C8-40F3-AFD8-192DB69C3DE4}"/>
</file>

<file path=docProps/app.xml><?xml version="1.0" encoding="utf-8"?>
<Properties xmlns="http://schemas.openxmlformats.org/officeDocument/2006/extended-properties" xmlns:vt="http://schemas.openxmlformats.org/officeDocument/2006/docPropsVTypes">
  <Template>Normal</Template>
  <TotalTime>12</TotalTime>
  <Pages>11</Pages>
  <Words>3838</Words>
  <Characters>21112</Characters>
  <Application>Microsoft Office Word</Application>
  <DocSecurity>0</DocSecurity>
  <Lines>175</Lines>
  <Paragraphs>49</Paragraphs>
  <ScaleCrop>false</ScaleCrop>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6</cp:revision>
  <dcterms:created xsi:type="dcterms:W3CDTF">2022-03-02T14:17:00Z</dcterms:created>
  <dcterms:modified xsi:type="dcterms:W3CDTF">2022-03-02T14:29:00Z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