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2EB8F" w14:textId="77777777" w:rsidR="00531A38" w:rsidRPr="001B30CA" w:rsidRDefault="00531A38" w:rsidP="00531A38">
      <w:pPr>
        <w:jc w:val="right"/>
        <w:rPr>
          <w:rFonts w:ascii="Arial" w:hAnsi="Arial" w:cs="Arial"/>
          <w:b/>
          <w:color w:val="000000" w:themeColor="text1"/>
          <w:sz w:val="16"/>
          <w:szCs w:val="16"/>
          <w:lang w:val="es-ES" w:eastAsia="es-ES"/>
        </w:rPr>
      </w:pPr>
      <w:bookmarkStart w:id="0" w:name="_Hlk28946138"/>
      <w:bookmarkStart w:id="1" w:name="_Hlk29548183"/>
      <w:r w:rsidRPr="001B30CA">
        <w:rPr>
          <w:rFonts w:ascii="Arial" w:hAnsi="Arial" w:cs="Arial"/>
          <w:b/>
          <w:color w:val="000000" w:themeColor="text1"/>
          <w:sz w:val="21"/>
          <w:szCs w:val="21"/>
          <w:lang w:val="es-ES" w:eastAsia="es-ES"/>
        </w:rPr>
        <w:tab/>
      </w:r>
      <w:r w:rsidRPr="001B30CA">
        <w:rPr>
          <w:rFonts w:ascii="Arial" w:hAnsi="Arial" w:cs="Arial"/>
          <w:b/>
          <w:color w:val="000000" w:themeColor="text1"/>
          <w:sz w:val="16"/>
          <w:szCs w:val="16"/>
          <w:lang w:val="es-ES" w:eastAsia="es-ES"/>
        </w:rPr>
        <w:t>CCE-DES-FM-17</w:t>
      </w:r>
    </w:p>
    <w:p w14:paraId="02739F99" w14:textId="77777777" w:rsidR="00531A38" w:rsidRPr="001B30CA" w:rsidRDefault="00531A38" w:rsidP="00531A38">
      <w:pPr>
        <w:jc w:val="both"/>
        <w:rPr>
          <w:rFonts w:ascii="Arial" w:eastAsia="Calibri" w:hAnsi="Arial" w:cs="Arial"/>
          <w:b/>
          <w:color w:val="000000" w:themeColor="text1"/>
          <w:sz w:val="16"/>
          <w:szCs w:val="16"/>
          <w:lang w:val="es-ES"/>
        </w:rPr>
      </w:pPr>
    </w:p>
    <w:p w14:paraId="28BE7179" w14:textId="099D6A90" w:rsidR="00531A38" w:rsidRPr="00926D19" w:rsidRDefault="00531A38" w:rsidP="00531A38">
      <w:pPr>
        <w:pStyle w:val="Sinespaciado"/>
        <w:jc w:val="both"/>
        <w:rPr>
          <w:rFonts w:ascii="Arial" w:hAnsi="Arial" w:cs="Arial"/>
          <w:b/>
          <w:bCs/>
          <w:sz w:val="22"/>
          <w:lang w:val="es-ES"/>
        </w:rPr>
      </w:pPr>
      <w:r w:rsidRPr="00926D19">
        <w:rPr>
          <w:rFonts w:ascii="Arial" w:hAnsi="Arial" w:cs="Arial"/>
          <w:b/>
          <w:bCs/>
          <w:sz w:val="22"/>
          <w:lang w:val="es-ES"/>
        </w:rPr>
        <w:t xml:space="preserve">INHABILIDADES – Definición – Finalidad – Limitación </w:t>
      </w:r>
      <w:r w:rsidR="009C15A1" w:rsidRPr="00926D19">
        <w:rPr>
          <w:rFonts w:ascii="Arial" w:hAnsi="Arial" w:cs="Arial"/>
          <w:b/>
          <w:bCs/>
          <w:sz w:val="22"/>
          <w:lang w:val="es-ES"/>
        </w:rPr>
        <w:t xml:space="preserve">a </w:t>
      </w:r>
      <w:r w:rsidRPr="00926D19">
        <w:rPr>
          <w:rFonts w:ascii="Arial" w:hAnsi="Arial" w:cs="Arial"/>
          <w:b/>
          <w:bCs/>
          <w:sz w:val="22"/>
          <w:lang w:val="es-ES"/>
        </w:rPr>
        <w:t>capacidad</w:t>
      </w:r>
    </w:p>
    <w:p w14:paraId="2D13EDFA" w14:textId="77777777" w:rsidR="00531A38" w:rsidRPr="00926D19" w:rsidRDefault="00531A38" w:rsidP="00531A38">
      <w:pPr>
        <w:pStyle w:val="Sinespaciado"/>
        <w:jc w:val="both"/>
        <w:rPr>
          <w:rFonts w:ascii="Arial" w:hAnsi="Arial" w:cs="Arial"/>
          <w:sz w:val="20"/>
          <w:szCs w:val="20"/>
          <w:lang w:val="es-ES"/>
        </w:rPr>
      </w:pPr>
    </w:p>
    <w:p w14:paraId="159E4621" w14:textId="1C040D63" w:rsidR="00D43B86" w:rsidRDefault="00D43B86" w:rsidP="00D43B86">
      <w:pPr>
        <w:pStyle w:val="Sinespaciado"/>
        <w:jc w:val="both"/>
        <w:rPr>
          <w:rFonts w:ascii="Arial" w:hAnsi="Arial" w:cs="Arial"/>
          <w:sz w:val="20"/>
          <w:szCs w:val="20"/>
          <w:lang w:val="es-ES"/>
        </w:rPr>
      </w:pPr>
      <w:r w:rsidRPr="00D43B86">
        <w:rPr>
          <w:rFonts w:ascii="Arial" w:hAnsi="Arial" w:cs="Arial"/>
          <w:sz w:val="20"/>
          <w:szCs w:val="20"/>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62825805" w14:textId="77777777" w:rsidR="00D43B86" w:rsidRPr="00D43B86" w:rsidRDefault="00D43B86" w:rsidP="00D43B86">
      <w:pPr>
        <w:pStyle w:val="Sinespaciado"/>
        <w:jc w:val="both"/>
        <w:rPr>
          <w:rFonts w:ascii="Arial" w:hAnsi="Arial" w:cs="Arial"/>
          <w:sz w:val="20"/>
          <w:szCs w:val="20"/>
          <w:lang w:val="es-ES"/>
        </w:rPr>
      </w:pPr>
    </w:p>
    <w:p w14:paraId="4E2475E3" w14:textId="73F513C3" w:rsidR="009C3AB8" w:rsidRPr="00926D19" w:rsidRDefault="00D43B86" w:rsidP="00D43B86">
      <w:pPr>
        <w:pStyle w:val="Sinespaciado"/>
        <w:jc w:val="both"/>
        <w:rPr>
          <w:rFonts w:ascii="Arial" w:hAnsi="Arial" w:cs="Arial"/>
          <w:sz w:val="20"/>
          <w:szCs w:val="20"/>
          <w:lang w:val="es-ES"/>
        </w:rPr>
      </w:pPr>
      <w:r w:rsidRPr="00D43B86">
        <w:rPr>
          <w:rFonts w:ascii="Arial" w:hAnsi="Arial" w:cs="Arial"/>
          <w:sz w:val="20"/>
          <w:szCs w:val="20"/>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003715CF" w:rsidRPr="00926D19">
        <w:rPr>
          <w:rFonts w:ascii="Arial" w:hAnsi="Arial" w:cs="Arial"/>
          <w:sz w:val="20"/>
          <w:szCs w:val="20"/>
          <w:lang w:val="es-ES"/>
        </w:rPr>
        <w:t>.</w:t>
      </w:r>
    </w:p>
    <w:p w14:paraId="60AC4CF4" w14:textId="77777777" w:rsidR="003715CF" w:rsidRPr="00926D19" w:rsidRDefault="003715CF" w:rsidP="003715CF">
      <w:pPr>
        <w:pStyle w:val="Sinespaciado"/>
        <w:jc w:val="both"/>
        <w:rPr>
          <w:rFonts w:ascii="Arial" w:hAnsi="Arial" w:cs="Arial"/>
          <w:sz w:val="20"/>
          <w:szCs w:val="20"/>
          <w:lang w:val="es-ES"/>
        </w:rPr>
      </w:pPr>
    </w:p>
    <w:p w14:paraId="4C565122" w14:textId="77777777" w:rsidR="00531A38" w:rsidRPr="00926D19" w:rsidRDefault="00531A38" w:rsidP="00531A38">
      <w:pPr>
        <w:pStyle w:val="Sinespaciado"/>
        <w:jc w:val="both"/>
        <w:rPr>
          <w:rFonts w:ascii="Arial" w:hAnsi="Arial" w:cs="Arial"/>
          <w:sz w:val="21"/>
          <w:szCs w:val="21"/>
          <w:lang w:val="es-ES"/>
        </w:rPr>
      </w:pPr>
      <w:r w:rsidRPr="00926D19">
        <w:rPr>
          <w:rFonts w:ascii="Arial" w:hAnsi="Arial" w:cs="Arial"/>
          <w:b/>
          <w:bCs/>
          <w:sz w:val="22"/>
          <w:lang w:val="es-ES"/>
        </w:rPr>
        <w:t>INHABILIDADES – Clasificación – Sanción – Proceso sancionatorio – Requisito – Condiciones personales</w:t>
      </w:r>
    </w:p>
    <w:p w14:paraId="38DBAE48" w14:textId="5EB9E143" w:rsidR="009C3AB8" w:rsidRPr="00926D19" w:rsidRDefault="009C3AB8" w:rsidP="00531A38">
      <w:pPr>
        <w:jc w:val="both"/>
        <w:rPr>
          <w:rFonts w:ascii="Arial" w:hAnsi="Arial" w:cs="Arial"/>
          <w:sz w:val="20"/>
          <w:szCs w:val="20"/>
          <w:lang w:val="es-ES"/>
        </w:rPr>
      </w:pPr>
    </w:p>
    <w:p w14:paraId="4855AE87" w14:textId="3020F0CF" w:rsidR="009C3AB8" w:rsidRPr="00926D19" w:rsidRDefault="00D43B86" w:rsidP="009C3AB8">
      <w:pPr>
        <w:jc w:val="both"/>
        <w:rPr>
          <w:rFonts w:ascii="Arial" w:hAnsi="Arial" w:cs="Arial"/>
          <w:sz w:val="20"/>
          <w:szCs w:val="20"/>
          <w:lang w:val="es-ES"/>
        </w:rPr>
      </w:pPr>
      <w:r w:rsidRPr="00D43B86">
        <w:rPr>
          <w:rFonts w:ascii="Arial" w:hAnsi="Arial" w:cs="Arial"/>
          <w:sz w:val="20"/>
          <w:szCs w:val="20"/>
          <w:lang w:val="es-ES"/>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009C3AB8" w:rsidRPr="00926D19">
        <w:rPr>
          <w:rFonts w:ascii="Arial" w:hAnsi="Arial" w:cs="Arial"/>
          <w:sz w:val="20"/>
          <w:szCs w:val="20"/>
          <w:lang w:val="es-ES"/>
        </w:rPr>
        <w:t xml:space="preserve">. </w:t>
      </w:r>
    </w:p>
    <w:p w14:paraId="1C03B0C4" w14:textId="369CCE23" w:rsidR="009C3AB8" w:rsidRPr="00926D19" w:rsidRDefault="009C3AB8" w:rsidP="009C3AB8">
      <w:pPr>
        <w:jc w:val="both"/>
        <w:rPr>
          <w:rFonts w:ascii="Arial" w:hAnsi="Arial" w:cs="Arial"/>
          <w:sz w:val="20"/>
          <w:szCs w:val="20"/>
          <w:lang w:val="es-ES"/>
        </w:rPr>
      </w:pPr>
      <w:r w:rsidRPr="00926D19">
        <w:rPr>
          <w:rFonts w:ascii="Arial" w:hAnsi="Arial" w:cs="Arial"/>
          <w:sz w:val="20"/>
          <w:szCs w:val="20"/>
          <w:lang w:val="es-ES"/>
        </w:rPr>
        <w:t>[…]</w:t>
      </w:r>
    </w:p>
    <w:p w14:paraId="2E4FA819" w14:textId="40F09C47" w:rsidR="009C3AB8" w:rsidRPr="00926D19" w:rsidRDefault="009C3AB8" w:rsidP="009C3AB8">
      <w:pPr>
        <w:jc w:val="both"/>
        <w:rPr>
          <w:rFonts w:ascii="Arial" w:hAnsi="Arial" w:cs="Arial"/>
          <w:sz w:val="20"/>
          <w:szCs w:val="20"/>
          <w:lang w:val="es-ES"/>
        </w:rPr>
      </w:pPr>
    </w:p>
    <w:p w14:paraId="0414E27C" w14:textId="2523DB3E" w:rsidR="00531A38" w:rsidRPr="00926D19" w:rsidRDefault="00D43B86" w:rsidP="00531A38">
      <w:pPr>
        <w:jc w:val="both"/>
        <w:rPr>
          <w:rFonts w:ascii="Arial" w:hAnsi="Arial" w:cs="Arial"/>
          <w:sz w:val="20"/>
          <w:szCs w:val="20"/>
          <w:lang w:val="es-ES"/>
        </w:rPr>
      </w:pPr>
      <w:r w:rsidRPr="00D43B86">
        <w:rPr>
          <w:rFonts w:ascii="Arial" w:hAnsi="Arial" w:cs="Arial"/>
          <w:sz w:val="20"/>
          <w:szCs w:val="20"/>
          <w:lang w:val="es-ES"/>
        </w:rPr>
        <w:t>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w:t>
      </w:r>
      <w:r w:rsidR="003715CF" w:rsidRPr="00926D19">
        <w:rPr>
          <w:rFonts w:ascii="Arial" w:hAnsi="Arial" w:cs="Arial"/>
          <w:sz w:val="20"/>
          <w:szCs w:val="20"/>
          <w:lang w:val="es-ES"/>
        </w:rPr>
        <w:t>.</w:t>
      </w:r>
    </w:p>
    <w:p w14:paraId="0B6C7F5C" w14:textId="77777777" w:rsidR="003715CF" w:rsidRPr="00926D19" w:rsidRDefault="003715CF" w:rsidP="00531A38">
      <w:pPr>
        <w:jc w:val="both"/>
        <w:rPr>
          <w:rFonts w:ascii="Arial" w:eastAsia="Calibri" w:hAnsi="Arial" w:cs="Arial"/>
          <w:sz w:val="20"/>
          <w:szCs w:val="20"/>
          <w:lang w:val="es-ES"/>
        </w:rPr>
      </w:pPr>
    </w:p>
    <w:p w14:paraId="304161ED" w14:textId="77777777" w:rsidR="00531A38" w:rsidRPr="00926D19" w:rsidRDefault="00531A38" w:rsidP="00531A38">
      <w:pPr>
        <w:jc w:val="both"/>
        <w:rPr>
          <w:rFonts w:ascii="Arial" w:eastAsia="Calibri" w:hAnsi="Arial" w:cs="Arial"/>
          <w:b/>
          <w:bCs/>
          <w:sz w:val="22"/>
          <w:lang w:val="es-ES"/>
        </w:rPr>
      </w:pPr>
      <w:r w:rsidRPr="00926D19">
        <w:rPr>
          <w:rFonts w:ascii="Arial" w:eastAsia="Calibri" w:hAnsi="Arial" w:cs="Arial"/>
          <w:b/>
          <w:bCs/>
          <w:sz w:val="22"/>
          <w:lang w:val="es-ES"/>
        </w:rPr>
        <w:t>INHABILIDADES – Taxatividad – Principio de legalidad – Interpretación restrictiva</w:t>
      </w:r>
    </w:p>
    <w:p w14:paraId="57568163" w14:textId="77777777" w:rsidR="00531A38" w:rsidRPr="00926D19" w:rsidRDefault="00531A38" w:rsidP="00531A38">
      <w:pPr>
        <w:jc w:val="both"/>
        <w:rPr>
          <w:rFonts w:ascii="Arial" w:eastAsia="Calibri" w:hAnsi="Arial" w:cs="Arial"/>
          <w:sz w:val="20"/>
          <w:szCs w:val="20"/>
          <w:lang w:val="es-ES"/>
        </w:rPr>
      </w:pPr>
    </w:p>
    <w:p w14:paraId="5A35C8AF" w14:textId="0E8BFC9D" w:rsidR="009C3AB8" w:rsidRPr="00926D19" w:rsidRDefault="00D43B86" w:rsidP="00531A38">
      <w:pPr>
        <w:jc w:val="both"/>
        <w:rPr>
          <w:rFonts w:ascii="Arial" w:eastAsia="Calibri" w:hAnsi="Arial" w:cs="Arial"/>
          <w:sz w:val="20"/>
          <w:szCs w:val="20"/>
          <w:lang w:val="es-ES"/>
        </w:rPr>
      </w:pPr>
      <w:r w:rsidRPr="00D43B86">
        <w:rPr>
          <w:rFonts w:ascii="Arial" w:eastAsia="Calibri" w:hAnsi="Arial" w:cs="Arial"/>
          <w:sz w:val="20"/>
          <w:szCs w:val="20"/>
          <w:lang w:val="es-ES"/>
        </w:rPr>
        <w:t>Ahora bien, las inhabilidades e incompatibilidades al ser restricciones o límites especiales a la capacidad para presentar ofertas y celebrar contratos estatales, solo pueden tipificarse en la ley –o sea, deben satisfacer el principio de legalidad– y su interpretación debe ser restrictiva . En efecto,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w:t>
      </w:r>
      <w:r w:rsidR="003715CF" w:rsidRPr="00926D19">
        <w:rPr>
          <w:rFonts w:ascii="Arial" w:eastAsia="Calibri" w:hAnsi="Arial" w:cs="Arial"/>
          <w:sz w:val="20"/>
          <w:szCs w:val="20"/>
          <w:lang w:val="es-ES"/>
        </w:rPr>
        <w:t>.</w:t>
      </w:r>
    </w:p>
    <w:p w14:paraId="6C6EE6C1" w14:textId="75976C73" w:rsidR="00926D19" w:rsidRPr="00926D19" w:rsidRDefault="00926D19" w:rsidP="00531A38">
      <w:pPr>
        <w:jc w:val="both"/>
        <w:rPr>
          <w:rFonts w:ascii="Arial" w:eastAsia="Calibri" w:hAnsi="Arial" w:cs="Arial"/>
          <w:sz w:val="20"/>
          <w:szCs w:val="20"/>
          <w:lang w:val="es-ES"/>
        </w:rPr>
      </w:pPr>
    </w:p>
    <w:p w14:paraId="5FD80191" w14:textId="2933B58E" w:rsidR="00926D19" w:rsidRPr="00926D19" w:rsidRDefault="00926D19" w:rsidP="00926D19">
      <w:pPr>
        <w:jc w:val="both"/>
        <w:rPr>
          <w:rFonts w:ascii="Arial" w:eastAsia="Calibri" w:hAnsi="Arial" w:cs="Arial"/>
          <w:b/>
          <w:bCs/>
          <w:sz w:val="22"/>
          <w:lang w:val="es-ES"/>
        </w:rPr>
      </w:pPr>
      <w:r w:rsidRPr="00926D19">
        <w:rPr>
          <w:rFonts w:ascii="Arial" w:eastAsia="Calibri" w:hAnsi="Arial" w:cs="Arial"/>
          <w:b/>
          <w:bCs/>
          <w:sz w:val="22"/>
          <w:lang w:val="es-ES"/>
        </w:rPr>
        <w:t xml:space="preserve">INTERVENTORÍA DE ESTUDIOS Y DISEÑOS – Participación en licitación de obra – Viabilidad – Inhabilidades e incompatibilidades </w:t>
      </w:r>
    </w:p>
    <w:p w14:paraId="4D287F2C" w14:textId="77777777" w:rsidR="00926D19" w:rsidRDefault="00926D19" w:rsidP="00531A38">
      <w:pPr>
        <w:jc w:val="both"/>
        <w:rPr>
          <w:rFonts w:ascii="Arial" w:eastAsia="Calibri" w:hAnsi="Arial" w:cs="Arial"/>
          <w:sz w:val="20"/>
          <w:szCs w:val="20"/>
          <w:lang w:val="es-ES"/>
        </w:rPr>
      </w:pPr>
    </w:p>
    <w:p w14:paraId="74711FC3" w14:textId="6D9BC237" w:rsidR="009B5D2A" w:rsidRDefault="00D43B86" w:rsidP="00D43B86">
      <w:pPr>
        <w:jc w:val="both"/>
        <w:rPr>
          <w:rFonts w:ascii="Arial" w:eastAsia="Calibri" w:hAnsi="Arial" w:cs="Arial"/>
          <w:sz w:val="20"/>
          <w:szCs w:val="20"/>
          <w:lang w:val="es-ES"/>
        </w:rPr>
      </w:pPr>
      <w:r w:rsidRPr="00D43B86">
        <w:rPr>
          <w:rFonts w:ascii="Arial" w:eastAsia="Calibri" w:hAnsi="Arial" w:cs="Arial"/>
          <w:sz w:val="20"/>
          <w:szCs w:val="20"/>
          <w:lang w:val="es-ES"/>
        </w:rPr>
        <w:t xml:space="preserve">Revisadas las causales de inhabilidad e incompatibilidad previstas en el artículo 8 de la Ley 80 de 1993, dicho supuesto no constituye una limitante de la capacidad legal para celebrar el contrato de obra con la entidad estatal encargada del proyecto. En consecuencia, dado que dichas causales son </w:t>
      </w:r>
      <w:r w:rsidRPr="00D43B86">
        <w:rPr>
          <w:rFonts w:ascii="Arial" w:eastAsia="Calibri" w:hAnsi="Arial" w:cs="Arial"/>
          <w:sz w:val="20"/>
          <w:szCs w:val="20"/>
          <w:lang w:val="es-ES"/>
        </w:rPr>
        <w:lastRenderedPageBreak/>
        <w:t xml:space="preserve">taxativas y de interpretación restrictiva, el supuesto mencionado no genera inhabilidad o incompatibilidad para contratar con el Estado. </w:t>
      </w:r>
      <w:r w:rsidR="001B22A4" w:rsidRPr="00926D19">
        <w:rPr>
          <w:rFonts w:ascii="Arial" w:hAnsi="Arial" w:cs="Arial"/>
          <w:sz w:val="20"/>
          <w:szCs w:val="20"/>
          <w:lang w:val="es-ES"/>
        </w:rPr>
        <w:t>[…]</w:t>
      </w:r>
      <w:r w:rsidR="009B5D2A">
        <w:rPr>
          <w:rFonts w:ascii="Arial" w:eastAsia="Calibri" w:hAnsi="Arial" w:cs="Arial"/>
          <w:sz w:val="20"/>
          <w:szCs w:val="20"/>
          <w:lang w:val="es-ES"/>
        </w:rPr>
        <w:br w:type="page"/>
      </w:r>
    </w:p>
    <w:p w14:paraId="02FB2969" w14:textId="77777777" w:rsidR="001B22A4" w:rsidRPr="00D43B86" w:rsidRDefault="001B22A4" w:rsidP="001B22A4">
      <w:pPr>
        <w:jc w:val="both"/>
        <w:rPr>
          <w:rFonts w:ascii="Arial" w:eastAsia="Calibri" w:hAnsi="Arial" w:cs="Arial"/>
          <w:sz w:val="22"/>
          <w:highlight w:val="yellow"/>
          <w:lang w:val="es-ES"/>
        </w:rPr>
      </w:pPr>
    </w:p>
    <w:p w14:paraId="29F99C51" w14:textId="77777777" w:rsidR="00531A38" w:rsidRPr="00D43B86" w:rsidRDefault="00531A38" w:rsidP="00531A38">
      <w:pPr>
        <w:spacing w:line="276" w:lineRule="auto"/>
        <w:jc w:val="both"/>
        <w:rPr>
          <w:rFonts w:ascii="Arial" w:hAnsi="Arial" w:cs="Arial"/>
          <w:color w:val="000000" w:themeColor="text1"/>
          <w:sz w:val="22"/>
          <w:lang w:val="es-ES"/>
        </w:rPr>
      </w:pPr>
    </w:p>
    <w:p w14:paraId="0326A03A" w14:textId="5096AADA" w:rsidR="003D42ED" w:rsidRDefault="003D42ED" w:rsidP="003D42E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Bogotá D.C., </w:t>
      </w:r>
      <w:r w:rsidR="00FD3AAD">
        <w:rPr>
          <w:rStyle w:val="normaltextrun"/>
          <w:rFonts w:ascii="Arial" w:hAnsi="Arial" w:cs="Arial"/>
          <w:b/>
          <w:bCs/>
          <w:sz w:val="22"/>
          <w:szCs w:val="22"/>
        </w:rPr>
        <w:t>21/01/2021</w:t>
      </w:r>
      <w:r>
        <w:rPr>
          <w:rStyle w:val="eop"/>
          <w:rFonts w:ascii="Arial" w:hAnsi="Arial" w:cs="Arial"/>
          <w:sz w:val="22"/>
          <w:szCs w:val="22"/>
        </w:rPr>
        <w:t> </w:t>
      </w:r>
    </w:p>
    <w:p w14:paraId="57F0E577" w14:textId="77777777" w:rsidR="009B5D2A" w:rsidRPr="00D43B86" w:rsidRDefault="009B5D2A" w:rsidP="003D42ED">
      <w:pPr>
        <w:pStyle w:val="paragraph"/>
        <w:spacing w:before="0" w:beforeAutospacing="0" w:after="0" w:afterAutospacing="0"/>
        <w:textAlignment w:val="baseline"/>
        <w:rPr>
          <w:rFonts w:ascii="Arial" w:hAnsi="Arial" w:cs="Arial"/>
          <w:sz w:val="22"/>
          <w:szCs w:val="22"/>
        </w:rPr>
      </w:pPr>
    </w:p>
    <w:p w14:paraId="3B55182E" w14:textId="2F5DCB1C" w:rsidR="00531A38" w:rsidRPr="00A936EB" w:rsidRDefault="003D42ED" w:rsidP="003D42ED">
      <w:pPr>
        <w:jc w:val="right"/>
        <w:rPr>
          <w:rFonts w:ascii="Arial" w:hAnsi="Arial" w:cs="Arial"/>
          <w:b/>
          <w:color w:val="000000" w:themeColor="text1"/>
          <w:sz w:val="22"/>
          <w:lang w:val="es-ES"/>
        </w:rPr>
      </w:pPr>
      <w:r>
        <w:rPr>
          <w:rStyle w:val="normaltextrun"/>
          <w:rFonts w:ascii="Arial" w:hAnsi="Arial" w:cs="Arial"/>
          <w:b/>
          <w:bCs/>
          <w:sz w:val="22"/>
        </w:rPr>
        <w:t xml:space="preserve">N° Radicado: </w:t>
      </w:r>
      <w:r w:rsidR="00FD3AAD" w:rsidRPr="00FD3AAD">
        <w:rPr>
          <w:rStyle w:val="normaltextrun"/>
          <w:rFonts w:ascii="Arial" w:hAnsi="Arial" w:cs="Arial"/>
          <w:b/>
          <w:bCs/>
          <w:sz w:val="22"/>
        </w:rPr>
        <w:t>RS20210121000347</w:t>
      </w:r>
    </w:p>
    <w:p w14:paraId="4A8D76D9" w14:textId="4085E6A0" w:rsidR="00531A38" w:rsidRDefault="00531A38" w:rsidP="00531A38">
      <w:pPr>
        <w:rPr>
          <w:rFonts w:ascii="Arial" w:eastAsia="Calibri" w:hAnsi="Arial" w:cs="Arial"/>
          <w:color w:val="000000" w:themeColor="text1"/>
          <w:sz w:val="22"/>
          <w:lang w:val="es-ES"/>
        </w:rPr>
      </w:pPr>
    </w:p>
    <w:p w14:paraId="6BED699B" w14:textId="77777777" w:rsidR="009B5D2A" w:rsidRPr="001B30CA" w:rsidRDefault="009B5D2A" w:rsidP="00531A38">
      <w:pPr>
        <w:rPr>
          <w:rFonts w:ascii="Arial" w:eastAsia="Calibri" w:hAnsi="Arial" w:cs="Arial"/>
          <w:color w:val="000000" w:themeColor="text1"/>
          <w:sz w:val="22"/>
          <w:lang w:val="es-ES"/>
        </w:rPr>
      </w:pPr>
    </w:p>
    <w:p w14:paraId="30155061" w14:textId="45AB7FF1" w:rsidR="00531A38" w:rsidRPr="001B30CA" w:rsidRDefault="00531A38" w:rsidP="00531A38">
      <w:pPr>
        <w:rPr>
          <w:rFonts w:ascii="Arial" w:eastAsia="Calibri" w:hAnsi="Arial" w:cs="Arial"/>
          <w:color w:val="000000" w:themeColor="text1"/>
          <w:sz w:val="22"/>
          <w:szCs w:val="20"/>
          <w:lang w:val="es-ES"/>
        </w:rPr>
      </w:pPr>
      <w:r w:rsidRPr="001B30CA">
        <w:rPr>
          <w:rFonts w:ascii="Arial" w:eastAsia="Calibri" w:hAnsi="Arial" w:cs="Arial"/>
          <w:color w:val="000000" w:themeColor="text1"/>
          <w:sz w:val="22"/>
          <w:szCs w:val="20"/>
          <w:lang w:val="es-ES"/>
        </w:rPr>
        <w:t>Señor</w:t>
      </w:r>
    </w:p>
    <w:p w14:paraId="3CB96225" w14:textId="2A7B35A4" w:rsidR="003B3F74" w:rsidRPr="001B30CA" w:rsidRDefault="003D42ED" w:rsidP="00531A38">
      <w:pPr>
        <w:rPr>
          <w:rFonts w:ascii="Arial" w:eastAsia="Calibri" w:hAnsi="Arial" w:cs="Arial"/>
          <w:b/>
          <w:color w:val="000000" w:themeColor="text1"/>
          <w:sz w:val="22"/>
          <w:szCs w:val="20"/>
          <w:lang w:val="es-ES"/>
        </w:rPr>
      </w:pPr>
      <w:r>
        <w:rPr>
          <w:rFonts w:ascii="Arial" w:eastAsia="Calibri" w:hAnsi="Arial" w:cs="Arial"/>
          <w:b/>
          <w:color w:val="000000" w:themeColor="text1"/>
          <w:sz w:val="22"/>
          <w:szCs w:val="20"/>
          <w:lang w:val="es-ES"/>
        </w:rPr>
        <w:t>Alexander Arana Osuna</w:t>
      </w:r>
    </w:p>
    <w:p w14:paraId="2EF6F52B" w14:textId="37EFEBED" w:rsidR="00531A38" w:rsidRDefault="003D42ED" w:rsidP="00531A38">
      <w:pPr>
        <w:rPr>
          <w:rFonts w:ascii="Arial" w:eastAsia="Calibri" w:hAnsi="Arial" w:cs="Arial"/>
          <w:color w:val="000000" w:themeColor="text1"/>
          <w:sz w:val="22"/>
          <w:szCs w:val="20"/>
          <w:lang w:val="es-ES"/>
        </w:rPr>
      </w:pPr>
      <w:r>
        <w:rPr>
          <w:rFonts w:ascii="Arial" w:eastAsia="Calibri" w:hAnsi="Arial" w:cs="Arial"/>
          <w:color w:val="000000" w:themeColor="text1"/>
          <w:sz w:val="22"/>
          <w:szCs w:val="20"/>
          <w:lang w:val="es-ES"/>
        </w:rPr>
        <w:t>Ibagué, Tolima</w:t>
      </w:r>
    </w:p>
    <w:p w14:paraId="0A3AA257" w14:textId="0672A2C6" w:rsidR="009B5D2A" w:rsidRDefault="009B5D2A" w:rsidP="00531A38">
      <w:pPr>
        <w:rPr>
          <w:rFonts w:ascii="Arial" w:eastAsia="Calibri" w:hAnsi="Arial" w:cs="Arial"/>
          <w:color w:val="000000" w:themeColor="text1"/>
          <w:sz w:val="22"/>
          <w:szCs w:val="20"/>
          <w:lang w:val="es-ES"/>
        </w:rPr>
      </w:pPr>
    </w:p>
    <w:p w14:paraId="76DB3E1F" w14:textId="77777777" w:rsidR="009B5D2A" w:rsidRPr="001B30CA" w:rsidRDefault="009B5D2A" w:rsidP="00531A38">
      <w:pPr>
        <w:rPr>
          <w:rFonts w:ascii="Arial" w:eastAsia="Calibri" w:hAnsi="Arial" w:cs="Arial"/>
          <w:b/>
          <w:color w:val="000000" w:themeColor="text1"/>
          <w:sz w:val="22"/>
          <w:szCs w:val="20"/>
          <w:lang w:val="es-ES"/>
        </w:rPr>
      </w:pPr>
    </w:p>
    <w:p w14:paraId="47D14D2A" w14:textId="553E4DE7" w:rsidR="00531A38" w:rsidRPr="001B30CA" w:rsidRDefault="009B5D2A" w:rsidP="00D43B86">
      <w:pPr>
        <w:ind w:left="2124"/>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         </w:t>
      </w:r>
      <w:r w:rsidR="00531A38" w:rsidRPr="001B30CA">
        <w:rPr>
          <w:rFonts w:ascii="Arial" w:eastAsia="Calibri" w:hAnsi="Arial" w:cs="Arial"/>
          <w:b/>
          <w:color w:val="000000" w:themeColor="text1"/>
          <w:sz w:val="22"/>
          <w:lang w:val="es-ES"/>
        </w:rPr>
        <w:t xml:space="preserve">Concepto C </w:t>
      </w:r>
      <w:r>
        <w:rPr>
          <w:rFonts w:ascii="Arial" w:eastAsia="Calibri" w:hAnsi="Arial" w:cs="Arial"/>
          <w:b/>
          <w:color w:val="000000" w:themeColor="text1"/>
          <w:sz w:val="22"/>
          <w:lang w:val="es-ES"/>
        </w:rPr>
        <w:t>–</w:t>
      </w:r>
      <w:r w:rsidR="00531A38" w:rsidRPr="001B30CA">
        <w:rPr>
          <w:rFonts w:ascii="Arial" w:eastAsia="Calibri" w:hAnsi="Arial" w:cs="Arial"/>
          <w:b/>
          <w:color w:val="000000" w:themeColor="text1"/>
          <w:sz w:val="22"/>
          <w:lang w:val="es-ES"/>
        </w:rPr>
        <w:t xml:space="preserve"> </w:t>
      </w:r>
      <w:r w:rsidR="003D42ED">
        <w:rPr>
          <w:rFonts w:ascii="Arial" w:eastAsia="Calibri" w:hAnsi="Arial" w:cs="Arial"/>
          <w:b/>
          <w:color w:val="000000" w:themeColor="text1"/>
          <w:sz w:val="22"/>
          <w:lang w:val="es-ES"/>
        </w:rPr>
        <w:t>7</w:t>
      </w:r>
      <w:r w:rsidR="00CB7D03" w:rsidRPr="001B30CA">
        <w:rPr>
          <w:rFonts w:ascii="Arial" w:eastAsia="Calibri" w:hAnsi="Arial" w:cs="Arial"/>
          <w:b/>
          <w:color w:val="000000" w:themeColor="text1"/>
          <w:sz w:val="22"/>
          <w:lang w:val="es-ES"/>
        </w:rPr>
        <w:t>92</w:t>
      </w:r>
      <w:r w:rsidR="00531A38" w:rsidRPr="001B30CA">
        <w:rPr>
          <w:rFonts w:ascii="Arial" w:eastAsia="Calibri" w:hAnsi="Arial" w:cs="Arial"/>
          <w:b/>
          <w:color w:val="000000" w:themeColor="text1"/>
          <w:sz w:val="22"/>
          <w:lang w:val="es-ES"/>
        </w:rPr>
        <w:t xml:space="preserve"> de 2020</w:t>
      </w:r>
    </w:p>
    <w:p w14:paraId="438A2CA2" w14:textId="77777777" w:rsidR="00531A38" w:rsidRPr="001B30CA" w:rsidRDefault="00531A38" w:rsidP="00531A38">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31A38" w:rsidRPr="001B30CA" w14:paraId="517AE6A7" w14:textId="77777777" w:rsidTr="00E25BBF">
        <w:tc>
          <w:tcPr>
            <w:tcW w:w="2689" w:type="dxa"/>
            <w:hideMark/>
          </w:tcPr>
          <w:p w14:paraId="26DF1DAB" w14:textId="77777777" w:rsidR="00531A38" w:rsidRPr="00926D19" w:rsidRDefault="00531A38" w:rsidP="00E25BBF">
            <w:pPr>
              <w:rPr>
                <w:rFonts w:ascii="Arial" w:eastAsia="Calibri" w:hAnsi="Arial" w:cs="Arial"/>
                <w:color w:val="000000" w:themeColor="text1"/>
                <w:sz w:val="22"/>
                <w:lang w:val="es-ES"/>
              </w:rPr>
            </w:pPr>
            <w:r w:rsidRPr="00926D19">
              <w:rPr>
                <w:rFonts w:ascii="Arial" w:eastAsia="Calibri" w:hAnsi="Arial" w:cs="Arial"/>
                <w:b/>
                <w:color w:val="000000" w:themeColor="text1"/>
                <w:sz w:val="22"/>
                <w:lang w:val="es-ES"/>
              </w:rPr>
              <w:t>Temas:</w:t>
            </w:r>
            <w:r w:rsidRPr="00926D19">
              <w:rPr>
                <w:rFonts w:ascii="Arial" w:eastAsia="Calibri" w:hAnsi="Arial" w:cs="Arial"/>
                <w:color w:val="000000" w:themeColor="text1"/>
                <w:sz w:val="22"/>
                <w:lang w:val="es-ES"/>
              </w:rPr>
              <w:t xml:space="preserve">           </w:t>
            </w:r>
          </w:p>
          <w:p w14:paraId="5881E24A" w14:textId="77777777" w:rsidR="00531A38" w:rsidRPr="00926D19" w:rsidRDefault="00531A38" w:rsidP="00E25BBF">
            <w:pPr>
              <w:rPr>
                <w:rFonts w:ascii="Arial" w:eastAsia="Calibri" w:hAnsi="Arial" w:cs="Arial"/>
                <w:color w:val="000000" w:themeColor="text1"/>
                <w:sz w:val="22"/>
                <w:lang w:val="es-ES"/>
              </w:rPr>
            </w:pPr>
            <w:r w:rsidRPr="00926D19">
              <w:rPr>
                <w:rFonts w:ascii="Arial" w:eastAsia="Calibri" w:hAnsi="Arial" w:cs="Arial"/>
                <w:color w:val="000000" w:themeColor="text1"/>
                <w:sz w:val="22"/>
                <w:lang w:val="es-ES"/>
              </w:rPr>
              <w:t xml:space="preserve">                           </w:t>
            </w:r>
          </w:p>
        </w:tc>
        <w:tc>
          <w:tcPr>
            <w:tcW w:w="6237" w:type="dxa"/>
            <w:hideMark/>
          </w:tcPr>
          <w:p w14:paraId="03B625B2" w14:textId="68C11E08" w:rsidR="00531A38" w:rsidRPr="00926D19" w:rsidRDefault="002B490C" w:rsidP="00D43B86">
            <w:pPr>
              <w:spacing w:after="120"/>
              <w:jc w:val="both"/>
              <w:rPr>
                <w:rFonts w:ascii="Arial" w:hAnsi="Arial" w:cs="Arial"/>
                <w:color w:val="000000" w:themeColor="text1"/>
                <w:sz w:val="22"/>
                <w:lang w:val="es-ES"/>
              </w:rPr>
            </w:pPr>
            <w:r w:rsidRPr="00926D19">
              <w:rPr>
                <w:rFonts w:ascii="Arial" w:hAnsi="Arial" w:cs="Arial"/>
                <w:color w:val="000000" w:themeColor="text1"/>
                <w:sz w:val="22"/>
                <w:lang w:val="es-ES"/>
              </w:rPr>
              <w:t xml:space="preserve">INHABILIDADES – Definición – Finalidad – Limitación a capacidad </w:t>
            </w:r>
            <w:r w:rsidR="00531A38" w:rsidRPr="00926D19">
              <w:rPr>
                <w:rFonts w:ascii="Arial" w:hAnsi="Arial" w:cs="Arial"/>
                <w:color w:val="000000" w:themeColor="text1"/>
                <w:sz w:val="22"/>
                <w:lang w:val="es-ES"/>
              </w:rPr>
              <w:t xml:space="preserve">/ </w:t>
            </w:r>
            <w:r w:rsidRPr="00926D19">
              <w:rPr>
                <w:rFonts w:ascii="Arial" w:hAnsi="Arial" w:cs="Arial"/>
                <w:color w:val="000000" w:themeColor="text1"/>
                <w:sz w:val="22"/>
                <w:lang w:val="es-ES"/>
              </w:rPr>
              <w:t xml:space="preserve">INHABILIDADES – Clasificación – Sanción – Proceso sancionatorio – Requisito – Condiciones personales </w:t>
            </w:r>
            <w:r w:rsidR="00531A38" w:rsidRPr="00926D19">
              <w:rPr>
                <w:rFonts w:ascii="Arial" w:hAnsi="Arial" w:cs="Arial"/>
                <w:color w:val="000000" w:themeColor="text1"/>
                <w:sz w:val="22"/>
                <w:lang w:val="es-ES"/>
              </w:rPr>
              <w:t xml:space="preserve">/ </w:t>
            </w:r>
            <w:r w:rsidRPr="00926D19">
              <w:rPr>
                <w:rFonts w:ascii="Arial" w:hAnsi="Arial" w:cs="Arial"/>
                <w:color w:val="000000" w:themeColor="text1"/>
                <w:sz w:val="22"/>
                <w:lang w:val="es-ES"/>
              </w:rPr>
              <w:t xml:space="preserve">INHABILIDADES – Taxatividad – Principio de legalidad – Interpretación restrictiva </w:t>
            </w:r>
            <w:r w:rsidR="00531A38" w:rsidRPr="00926D19">
              <w:rPr>
                <w:rFonts w:ascii="Arial" w:hAnsi="Arial" w:cs="Arial"/>
                <w:color w:val="000000" w:themeColor="text1"/>
                <w:sz w:val="22"/>
                <w:lang w:val="es-ES"/>
              </w:rPr>
              <w:t>/</w:t>
            </w:r>
            <w:r w:rsidR="009F354A" w:rsidRPr="00926D19">
              <w:rPr>
                <w:rFonts w:ascii="Arial" w:hAnsi="Arial" w:cs="Arial"/>
                <w:color w:val="000000" w:themeColor="text1"/>
                <w:sz w:val="22"/>
                <w:lang w:val="es-ES"/>
              </w:rPr>
              <w:t xml:space="preserve"> </w:t>
            </w:r>
            <w:r w:rsidR="00926D19" w:rsidRPr="00926D19">
              <w:rPr>
                <w:rFonts w:ascii="Arial" w:hAnsi="Arial" w:cs="Arial"/>
                <w:color w:val="000000" w:themeColor="text1"/>
                <w:sz w:val="22"/>
                <w:lang w:val="es-ES"/>
              </w:rPr>
              <w:t xml:space="preserve">INTERVENTORÍA DE ESTUDIOS Y DISEÑOS – Participación en licitación de obra – Viabilidad – Inhabilidades e incompatibilidades </w:t>
            </w:r>
          </w:p>
          <w:p w14:paraId="7DD0E1FF" w14:textId="77777777" w:rsidR="00531A38" w:rsidRPr="00926D19" w:rsidRDefault="00531A38" w:rsidP="00E25BBF">
            <w:pPr>
              <w:jc w:val="both"/>
              <w:rPr>
                <w:rFonts w:ascii="Arial" w:eastAsia="Calibri" w:hAnsi="Arial" w:cs="Arial"/>
                <w:color w:val="000000" w:themeColor="text1"/>
                <w:sz w:val="22"/>
                <w:lang w:val="es-ES"/>
              </w:rPr>
            </w:pPr>
          </w:p>
        </w:tc>
      </w:tr>
      <w:tr w:rsidR="00531A38" w:rsidRPr="001B30CA" w14:paraId="34183D27" w14:textId="77777777" w:rsidTr="00E25BBF">
        <w:trPr>
          <w:trHeight w:val="578"/>
        </w:trPr>
        <w:tc>
          <w:tcPr>
            <w:tcW w:w="2689" w:type="dxa"/>
          </w:tcPr>
          <w:p w14:paraId="72EF679C" w14:textId="77777777" w:rsidR="00531A38" w:rsidRPr="001B30CA" w:rsidRDefault="00531A38" w:rsidP="00E25BBF">
            <w:pPr>
              <w:rPr>
                <w:rFonts w:ascii="Arial" w:eastAsia="Calibri" w:hAnsi="Arial" w:cs="Arial"/>
                <w:b/>
                <w:color w:val="000000" w:themeColor="text1"/>
                <w:sz w:val="22"/>
                <w:lang w:val="es-ES"/>
              </w:rPr>
            </w:pPr>
            <w:r w:rsidRPr="001B30CA">
              <w:rPr>
                <w:rFonts w:ascii="Arial" w:eastAsia="Calibri" w:hAnsi="Arial" w:cs="Arial"/>
                <w:b/>
                <w:color w:val="000000" w:themeColor="text1"/>
                <w:sz w:val="22"/>
                <w:lang w:val="es-ES"/>
              </w:rPr>
              <w:t>Radicación:</w:t>
            </w:r>
            <w:r w:rsidRPr="001B30CA">
              <w:rPr>
                <w:rFonts w:ascii="Arial" w:eastAsia="Calibri" w:hAnsi="Arial" w:cs="Arial"/>
                <w:color w:val="000000" w:themeColor="text1"/>
                <w:sz w:val="22"/>
                <w:lang w:val="es-ES"/>
              </w:rPr>
              <w:t xml:space="preserve">                              </w:t>
            </w:r>
          </w:p>
        </w:tc>
        <w:tc>
          <w:tcPr>
            <w:tcW w:w="6237" w:type="dxa"/>
          </w:tcPr>
          <w:p w14:paraId="6566CECB" w14:textId="22955CB8" w:rsidR="00531A38" w:rsidRPr="001B30CA" w:rsidRDefault="00531A38" w:rsidP="00095291">
            <w:pPr>
              <w:jc w:val="both"/>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 xml:space="preserve">Respuesta a consulta # </w:t>
            </w:r>
            <w:r w:rsidR="003D42ED" w:rsidRPr="003D42ED">
              <w:rPr>
                <w:rFonts w:ascii="Arial" w:eastAsia="Calibri" w:hAnsi="Arial" w:cs="Arial"/>
                <w:color w:val="000000" w:themeColor="text1"/>
                <w:sz w:val="22"/>
                <w:lang w:val="es-ES"/>
              </w:rPr>
              <w:t>P20201208000454</w:t>
            </w:r>
          </w:p>
        </w:tc>
      </w:tr>
    </w:tbl>
    <w:p w14:paraId="20EEE13A" w14:textId="77777777" w:rsidR="00531A38" w:rsidRPr="001B30CA" w:rsidRDefault="00531A38" w:rsidP="00531A38">
      <w:pPr>
        <w:jc w:val="both"/>
        <w:rPr>
          <w:rFonts w:ascii="Arial" w:eastAsia="Calibri" w:hAnsi="Arial" w:cs="Arial"/>
          <w:color w:val="000000" w:themeColor="text1"/>
          <w:sz w:val="22"/>
          <w:lang w:val="es-ES"/>
        </w:rPr>
      </w:pPr>
    </w:p>
    <w:p w14:paraId="074342AB" w14:textId="48CD4517" w:rsidR="00531A38" w:rsidRPr="001B30CA" w:rsidRDefault="00531A38" w:rsidP="00531A38">
      <w:pPr>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Estimad</w:t>
      </w:r>
      <w:r w:rsidR="003D42ED">
        <w:rPr>
          <w:rFonts w:ascii="Arial" w:eastAsia="Calibri" w:hAnsi="Arial" w:cs="Arial"/>
          <w:color w:val="000000" w:themeColor="text1"/>
          <w:sz w:val="22"/>
          <w:lang w:val="es-ES"/>
        </w:rPr>
        <w:t>o</w:t>
      </w:r>
      <w:r w:rsidR="003B3F74" w:rsidRPr="001B30CA">
        <w:rPr>
          <w:rFonts w:ascii="Arial" w:eastAsia="Calibri" w:hAnsi="Arial" w:cs="Arial"/>
          <w:color w:val="000000" w:themeColor="text1"/>
          <w:sz w:val="22"/>
          <w:lang w:val="es-ES"/>
        </w:rPr>
        <w:t xml:space="preserve"> señor </w:t>
      </w:r>
      <w:r w:rsidR="003D42ED">
        <w:rPr>
          <w:rFonts w:ascii="Arial" w:eastAsia="Calibri" w:hAnsi="Arial" w:cs="Arial"/>
          <w:color w:val="000000" w:themeColor="text1"/>
          <w:sz w:val="22"/>
          <w:lang w:val="es-ES"/>
        </w:rPr>
        <w:t>A</w:t>
      </w:r>
      <w:r w:rsidR="003B3F74" w:rsidRPr="001B30CA">
        <w:rPr>
          <w:rFonts w:ascii="Arial" w:eastAsia="Calibri" w:hAnsi="Arial" w:cs="Arial"/>
          <w:color w:val="000000" w:themeColor="text1"/>
          <w:sz w:val="22"/>
          <w:lang w:val="es-ES"/>
        </w:rPr>
        <w:t>r</w:t>
      </w:r>
      <w:r w:rsidR="003D42ED">
        <w:rPr>
          <w:rFonts w:ascii="Arial" w:eastAsia="Calibri" w:hAnsi="Arial" w:cs="Arial"/>
          <w:color w:val="000000" w:themeColor="text1"/>
          <w:sz w:val="22"/>
          <w:lang w:val="es-ES"/>
        </w:rPr>
        <w:t>ana</w:t>
      </w:r>
      <w:r w:rsidRPr="001B30CA">
        <w:rPr>
          <w:rFonts w:ascii="Arial" w:eastAsia="Calibri" w:hAnsi="Arial" w:cs="Arial"/>
          <w:color w:val="000000" w:themeColor="text1"/>
          <w:sz w:val="22"/>
          <w:lang w:val="es-ES"/>
        </w:rPr>
        <w:t>,</w:t>
      </w:r>
    </w:p>
    <w:p w14:paraId="3A61505F" w14:textId="77777777" w:rsidR="00531A38" w:rsidRPr="001B30CA" w:rsidRDefault="00531A38" w:rsidP="00531A38">
      <w:pPr>
        <w:rPr>
          <w:rFonts w:ascii="Arial" w:eastAsia="Calibri" w:hAnsi="Arial" w:cs="Arial"/>
          <w:color w:val="000000" w:themeColor="text1"/>
          <w:sz w:val="22"/>
          <w:lang w:val="es-ES"/>
        </w:rPr>
      </w:pPr>
    </w:p>
    <w:p w14:paraId="56BBADBD" w14:textId="1B58F568" w:rsidR="003D42ED" w:rsidRDefault="003D42ED" w:rsidP="003D42ED">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7 de diciembre de 2020. </w:t>
      </w:r>
    </w:p>
    <w:p w14:paraId="54D8BCF5" w14:textId="77777777" w:rsidR="00531A38" w:rsidRPr="001B30CA" w:rsidRDefault="00531A38" w:rsidP="00531A38">
      <w:pPr>
        <w:spacing w:line="276" w:lineRule="auto"/>
        <w:jc w:val="both"/>
        <w:rPr>
          <w:rFonts w:ascii="Arial" w:eastAsia="Calibri" w:hAnsi="Arial" w:cs="Arial"/>
          <w:color w:val="000000" w:themeColor="text1"/>
          <w:sz w:val="22"/>
          <w:lang w:val="es-ES"/>
        </w:rPr>
      </w:pPr>
    </w:p>
    <w:p w14:paraId="19D5DF18" w14:textId="45C1BB34" w:rsidR="00531A38" w:rsidRPr="001B30CA" w:rsidRDefault="002C3C98" w:rsidP="002C3C98">
      <w:pPr>
        <w:pStyle w:val="Prrafodelista"/>
        <w:tabs>
          <w:tab w:val="left" w:pos="284"/>
        </w:tabs>
        <w:spacing w:line="276" w:lineRule="auto"/>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1. </w:t>
      </w:r>
      <w:r w:rsidR="00531A38" w:rsidRPr="001B30CA">
        <w:rPr>
          <w:rFonts w:ascii="Arial" w:eastAsia="Calibri" w:hAnsi="Arial" w:cs="Arial"/>
          <w:b/>
          <w:color w:val="000000" w:themeColor="text1"/>
          <w:sz w:val="22"/>
          <w:lang w:val="es-ES"/>
        </w:rPr>
        <w:t xml:space="preserve">Problema planteado </w:t>
      </w:r>
    </w:p>
    <w:p w14:paraId="3CDC5843" w14:textId="77777777" w:rsidR="00531A38" w:rsidRPr="001B30CA" w:rsidRDefault="00531A38" w:rsidP="00531A38">
      <w:pPr>
        <w:tabs>
          <w:tab w:val="left" w:pos="426"/>
        </w:tabs>
        <w:spacing w:line="276" w:lineRule="auto"/>
        <w:jc w:val="both"/>
        <w:rPr>
          <w:rFonts w:ascii="Arial" w:eastAsia="Calibri" w:hAnsi="Arial" w:cs="Arial"/>
          <w:b/>
          <w:color w:val="000000" w:themeColor="text1"/>
          <w:sz w:val="22"/>
          <w:lang w:val="es-ES"/>
        </w:rPr>
      </w:pPr>
    </w:p>
    <w:p w14:paraId="6C32D32F" w14:textId="7BC323BE" w:rsidR="00531A38" w:rsidRPr="003D42ED" w:rsidRDefault="003B3F74" w:rsidP="003D42ED">
      <w:pPr>
        <w:tabs>
          <w:tab w:val="left" w:pos="426"/>
        </w:tabs>
        <w:spacing w:line="276" w:lineRule="auto"/>
        <w:jc w:val="both"/>
        <w:rPr>
          <w:rFonts w:ascii="Arial" w:eastAsia="Calibri" w:hAnsi="Arial" w:cs="Arial"/>
          <w:color w:val="000000" w:themeColor="text1"/>
          <w:sz w:val="22"/>
          <w:lang w:val="es-ES"/>
        </w:rPr>
      </w:pPr>
      <w:r w:rsidRPr="003D42ED">
        <w:rPr>
          <w:rFonts w:ascii="Arial" w:eastAsia="Calibri" w:hAnsi="Arial" w:cs="Arial"/>
          <w:color w:val="000000" w:themeColor="text1"/>
          <w:sz w:val="22"/>
          <w:lang w:val="es-ES"/>
        </w:rPr>
        <w:t>Usted formula</w:t>
      </w:r>
      <w:r w:rsidR="00531A38" w:rsidRPr="003D42ED">
        <w:rPr>
          <w:rFonts w:ascii="Arial" w:eastAsia="Calibri" w:hAnsi="Arial" w:cs="Arial"/>
          <w:color w:val="000000" w:themeColor="text1"/>
          <w:sz w:val="22"/>
          <w:lang w:val="es-ES"/>
        </w:rPr>
        <w:t xml:space="preserve"> la siguiente pregunta:</w:t>
      </w:r>
      <w:r w:rsidRPr="003D42ED">
        <w:rPr>
          <w:rFonts w:ascii="Arial" w:eastAsia="Calibri" w:hAnsi="Arial" w:cs="Arial"/>
          <w:color w:val="000000" w:themeColor="text1"/>
          <w:sz w:val="22"/>
          <w:lang w:val="es-ES"/>
        </w:rPr>
        <w:t xml:space="preserve"> </w:t>
      </w:r>
      <w:r w:rsidR="009C3AB8" w:rsidRPr="003D42ED">
        <w:rPr>
          <w:rFonts w:ascii="Arial" w:eastAsia="Calibri" w:hAnsi="Arial" w:cs="Arial"/>
          <w:color w:val="000000" w:themeColor="text1"/>
          <w:sz w:val="22"/>
          <w:lang w:val="es-ES"/>
        </w:rPr>
        <w:t>«</w:t>
      </w:r>
      <w:r w:rsidR="003D42ED" w:rsidRPr="003D42ED">
        <w:rPr>
          <w:rFonts w:ascii="Arial" w:eastAsia="Calibri" w:hAnsi="Arial" w:cs="Arial"/>
          <w:color w:val="000000" w:themeColor="text1"/>
          <w:sz w:val="22"/>
          <w:lang w:val="es-ES"/>
        </w:rPr>
        <w:t>[…] existe alguna causal de inhabilidad e incompatibilidad para un contratista que desea presentar oferta para que se le adjudica un contrato de una obra, habiendo ejecutado y liquidado previamente el contrato de interventoría a los estudios y diseños de la misma obra</w:t>
      </w:r>
      <w:r w:rsidR="009C3AB8" w:rsidRPr="003D42ED">
        <w:rPr>
          <w:rFonts w:ascii="Arial" w:eastAsia="Calibri" w:hAnsi="Arial" w:cs="Arial"/>
          <w:color w:val="000000" w:themeColor="text1"/>
          <w:sz w:val="22"/>
          <w:lang w:val="es-ES"/>
        </w:rPr>
        <w:t>»</w:t>
      </w:r>
      <w:r w:rsidR="003D42ED" w:rsidRPr="003D42ED">
        <w:rPr>
          <w:rFonts w:ascii="Arial" w:eastAsia="Calibri" w:hAnsi="Arial" w:cs="Arial"/>
          <w:color w:val="000000" w:themeColor="text1"/>
          <w:sz w:val="22"/>
          <w:lang w:val="es-ES"/>
        </w:rPr>
        <w:t>.</w:t>
      </w:r>
    </w:p>
    <w:p w14:paraId="74DCB1E6" w14:textId="77777777" w:rsidR="00800D56" w:rsidRPr="001B30CA" w:rsidRDefault="00800D56" w:rsidP="003B3F74">
      <w:pPr>
        <w:tabs>
          <w:tab w:val="left" w:pos="426"/>
        </w:tabs>
        <w:spacing w:line="276" w:lineRule="auto"/>
        <w:jc w:val="both"/>
        <w:rPr>
          <w:rFonts w:ascii="Arial" w:eastAsia="Calibri" w:hAnsi="Arial" w:cs="Arial"/>
          <w:color w:val="000000" w:themeColor="text1"/>
          <w:sz w:val="22"/>
          <w:lang w:val="es-ES"/>
        </w:rPr>
      </w:pPr>
    </w:p>
    <w:p w14:paraId="51A1C043" w14:textId="7D041DFA" w:rsidR="00531A38" w:rsidRPr="002C3C98" w:rsidRDefault="002C3C98" w:rsidP="002C3C98">
      <w:pPr>
        <w:tabs>
          <w:tab w:val="left" w:pos="426"/>
        </w:tabs>
        <w:spacing w:line="276" w:lineRule="auto"/>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2. </w:t>
      </w:r>
      <w:r w:rsidR="00531A38" w:rsidRPr="002C3C98">
        <w:rPr>
          <w:rFonts w:ascii="Arial" w:eastAsia="Calibri" w:hAnsi="Arial" w:cs="Arial"/>
          <w:b/>
          <w:color w:val="000000" w:themeColor="text1"/>
          <w:sz w:val="22"/>
          <w:lang w:val="es-ES"/>
        </w:rPr>
        <w:t>Consideraciones</w:t>
      </w:r>
    </w:p>
    <w:bookmarkEnd w:id="0"/>
    <w:bookmarkEnd w:id="1"/>
    <w:p w14:paraId="45599FFC" w14:textId="77777777" w:rsidR="00531A38" w:rsidRPr="001B30CA" w:rsidRDefault="00531A38" w:rsidP="00531A38">
      <w:pPr>
        <w:spacing w:line="276" w:lineRule="auto"/>
        <w:jc w:val="both"/>
        <w:rPr>
          <w:rFonts w:ascii="Arial" w:hAnsi="Arial" w:cs="Arial"/>
          <w:color w:val="000000" w:themeColor="text1"/>
          <w:sz w:val="22"/>
          <w:lang w:val="es-ES"/>
        </w:rPr>
      </w:pPr>
    </w:p>
    <w:p w14:paraId="1A5B51A1" w14:textId="212D2476" w:rsidR="00531A38" w:rsidRPr="001B30CA" w:rsidRDefault="00531A38" w:rsidP="00531A38">
      <w:pPr>
        <w:spacing w:line="276" w:lineRule="auto"/>
        <w:jc w:val="both"/>
        <w:rPr>
          <w:rFonts w:ascii="Arial" w:eastAsia="Calibri" w:hAnsi="Arial" w:cs="Arial"/>
          <w:sz w:val="22"/>
          <w:lang w:val="es-ES"/>
        </w:rPr>
      </w:pPr>
      <w:r w:rsidRPr="001B30CA">
        <w:rPr>
          <w:rFonts w:ascii="Arial" w:hAnsi="Arial" w:cs="Arial"/>
          <w:sz w:val="22"/>
          <w:lang w:val="es-ES"/>
        </w:rPr>
        <w:t xml:space="preserve">La Agencia Nacional de Contratación Pública </w:t>
      </w:r>
      <w:r w:rsidR="00970F5E">
        <w:rPr>
          <w:rFonts w:ascii="Arial" w:hAnsi="Arial" w:cs="Arial"/>
          <w:sz w:val="22"/>
          <w:lang w:val="es-ES"/>
        </w:rPr>
        <w:t>–</w:t>
      </w:r>
      <w:r w:rsidRPr="001B30CA">
        <w:rPr>
          <w:rFonts w:ascii="Arial" w:hAnsi="Arial" w:cs="Arial"/>
          <w:sz w:val="22"/>
          <w:lang w:val="es-ES"/>
        </w:rPr>
        <w:t xml:space="preserve"> Colombia Compra Eficiente</w:t>
      </w:r>
      <w:r w:rsidR="00466A08">
        <w:rPr>
          <w:rFonts w:ascii="Arial" w:hAnsi="Arial" w:cs="Arial"/>
          <w:sz w:val="22"/>
          <w:lang w:val="es-ES"/>
        </w:rPr>
        <w:t>,</w:t>
      </w:r>
      <w:r w:rsidRPr="001B30CA">
        <w:rPr>
          <w:rFonts w:ascii="Arial" w:hAnsi="Arial" w:cs="Arial"/>
          <w:sz w:val="22"/>
          <w:lang w:val="es-ES"/>
        </w:rPr>
        <w:t xml:space="preserve"> </w:t>
      </w:r>
      <w:r w:rsidRPr="001B30CA">
        <w:rPr>
          <w:rFonts w:ascii="Arial" w:eastAsia="Calibri" w:hAnsi="Arial" w:cs="Arial"/>
          <w:sz w:val="22"/>
          <w:lang w:val="es-ES"/>
        </w:rPr>
        <w:t xml:space="preserve">en los </w:t>
      </w:r>
      <w:r w:rsidR="009B5D2A">
        <w:rPr>
          <w:rFonts w:ascii="Arial" w:eastAsia="Calibri" w:hAnsi="Arial" w:cs="Arial"/>
          <w:sz w:val="22"/>
          <w:lang w:val="es-ES"/>
        </w:rPr>
        <w:t>C</w:t>
      </w:r>
      <w:r w:rsidRPr="001B30CA">
        <w:rPr>
          <w:rFonts w:ascii="Arial" w:eastAsia="Calibri" w:hAnsi="Arial" w:cs="Arial"/>
          <w:sz w:val="22"/>
          <w:lang w:val="es-ES"/>
        </w:rPr>
        <w:t xml:space="preserve">onceptos con radicado número 4201912000003592 del 28 de agosto de 2019, 4201913000005649 del 17 septiembre de 2019, 4201912000006692 del 12 de noviembre de 2019, 4201913000006917 del 21 de noviembre de 2019, C ─ 001 </w:t>
      </w:r>
      <w:r w:rsidR="00CB7D03" w:rsidRPr="001B30CA">
        <w:rPr>
          <w:rFonts w:ascii="Arial" w:eastAsia="Calibri" w:hAnsi="Arial" w:cs="Arial"/>
          <w:sz w:val="22"/>
          <w:lang w:val="es-ES"/>
        </w:rPr>
        <w:t xml:space="preserve">del 23 de abril de </w:t>
      </w:r>
      <w:r w:rsidR="00CB7D03" w:rsidRPr="001B30CA">
        <w:rPr>
          <w:rFonts w:ascii="Arial" w:eastAsia="Calibri" w:hAnsi="Arial" w:cs="Arial"/>
          <w:sz w:val="22"/>
          <w:lang w:val="es-ES"/>
        </w:rPr>
        <w:lastRenderedPageBreak/>
        <w:t>2020</w:t>
      </w:r>
      <w:r w:rsidRPr="001B30CA">
        <w:rPr>
          <w:rFonts w:ascii="Arial" w:eastAsia="Calibri" w:hAnsi="Arial" w:cs="Arial"/>
          <w:sz w:val="22"/>
          <w:lang w:val="es-ES"/>
        </w:rPr>
        <w:t xml:space="preserve">, C ─ 007 </w:t>
      </w:r>
      <w:r w:rsidR="00CB7D03" w:rsidRPr="001B30CA">
        <w:rPr>
          <w:rFonts w:ascii="Arial" w:eastAsia="Calibri" w:hAnsi="Arial" w:cs="Arial"/>
          <w:sz w:val="22"/>
          <w:lang w:val="es-ES"/>
        </w:rPr>
        <w:t>del 4 de mayo de 2020</w:t>
      </w:r>
      <w:r w:rsidRPr="001B30CA">
        <w:rPr>
          <w:rFonts w:ascii="Arial" w:eastAsia="Calibri" w:hAnsi="Arial" w:cs="Arial"/>
          <w:sz w:val="22"/>
          <w:lang w:val="es-ES"/>
        </w:rPr>
        <w:t xml:space="preserve">, C ─ 011 </w:t>
      </w:r>
      <w:r w:rsidR="00CB7D03" w:rsidRPr="001B30CA">
        <w:rPr>
          <w:rFonts w:ascii="Arial" w:eastAsia="Calibri" w:hAnsi="Arial" w:cs="Arial"/>
          <w:sz w:val="22"/>
          <w:lang w:val="es-ES"/>
        </w:rPr>
        <w:t>del 27 de abril de 2020</w:t>
      </w:r>
      <w:r w:rsidRPr="001B30CA">
        <w:rPr>
          <w:rFonts w:ascii="Arial" w:eastAsia="Calibri" w:hAnsi="Arial" w:cs="Arial"/>
          <w:sz w:val="22"/>
          <w:lang w:val="es-ES"/>
        </w:rPr>
        <w:t xml:space="preserve">, C ─ 085 </w:t>
      </w:r>
      <w:r w:rsidR="00CB7D03" w:rsidRPr="001B30CA">
        <w:rPr>
          <w:rFonts w:ascii="Arial" w:eastAsia="Calibri" w:hAnsi="Arial" w:cs="Arial"/>
          <w:sz w:val="22"/>
          <w:lang w:val="es-ES"/>
        </w:rPr>
        <w:t>del 4 de marzo de 2020</w:t>
      </w:r>
      <w:r w:rsidRPr="001B30CA">
        <w:rPr>
          <w:rFonts w:ascii="Arial" w:eastAsia="Calibri" w:hAnsi="Arial" w:cs="Arial"/>
          <w:sz w:val="22"/>
          <w:lang w:val="es-ES"/>
        </w:rPr>
        <w:t>, C ─ 090 de</w:t>
      </w:r>
      <w:r w:rsidR="00CB7D03" w:rsidRPr="001B30CA">
        <w:rPr>
          <w:rFonts w:ascii="Arial" w:eastAsia="Calibri" w:hAnsi="Arial" w:cs="Arial"/>
          <w:sz w:val="22"/>
          <w:lang w:val="es-ES"/>
        </w:rPr>
        <w:t>l 24 de febrero de</w:t>
      </w:r>
      <w:r w:rsidRPr="001B30CA">
        <w:rPr>
          <w:rFonts w:ascii="Arial" w:eastAsia="Calibri" w:hAnsi="Arial" w:cs="Arial"/>
          <w:sz w:val="22"/>
          <w:lang w:val="es-ES"/>
        </w:rPr>
        <w:t xml:space="preserve"> 2020, C ─ 125 </w:t>
      </w:r>
      <w:r w:rsidR="00CB7D03" w:rsidRPr="001B30CA">
        <w:rPr>
          <w:rFonts w:ascii="Arial" w:eastAsia="Calibri" w:hAnsi="Arial" w:cs="Arial"/>
          <w:sz w:val="22"/>
          <w:lang w:val="es-ES"/>
        </w:rPr>
        <w:t>del 3 de marzo de 2020</w:t>
      </w:r>
      <w:r w:rsidRPr="001B30CA">
        <w:rPr>
          <w:rFonts w:ascii="Arial" w:eastAsia="Calibri" w:hAnsi="Arial" w:cs="Arial"/>
          <w:sz w:val="22"/>
          <w:lang w:val="es-ES"/>
        </w:rPr>
        <w:t>, C ─ 157 de 2020</w:t>
      </w:r>
      <w:r w:rsidR="00CB7D03" w:rsidRPr="001B30CA">
        <w:rPr>
          <w:rFonts w:ascii="Arial" w:eastAsia="Calibri" w:hAnsi="Arial" w:cs="Arial"/>
          <w:sz w:val="22"/>
          <w:lang w:val="es-ES"/>
        </w:rPr>
        <w:t xml:space="preserve"> del 16 de marzo de 2020</w:t>
      </w:r>
      <w:r w:rsidRPr="001B30CA">
        <w:rPr>
          <w:rFonts w:ascii="Arial" w:eastAsia="Calibri" w:hAnsi="Arial" w:cs="Arial"/>
          <w:sz w:val="22"/>
          <w:lang w:val="es-ES"/>
        </w:rPr>
        <w:t>, C ─ 239 de 2020</w:t>
      </w:r>
      <w:r w:rsidR="00CB7D03" w:rsidRPr="001B30CA">
        <w:rPr>
          <w:rFonts w:ascii="Arial" w:eastAsia="Calibri" w:hAnsi="Arial" w:cs="Arial"/>
          <w:sz w:val="22"/>
          <w:lang w:val="es-ES"/>
        </w:rPr>
        <w:t xml:space="preserve"> del 16 de abril de 2020</w:t>
      </w:r>
      <w:r w:rsidRPr="001B30CA">
        <w:rPr>
          <w:rFonts w:ascii="Arial" w:eastAsia="Calibri" w:hAnsi="Arial" w:cs="Arial"/>
          <w:sz w:val="22"/>
          <w:lang w:val="es-ES"/>
        </w:rPr>
        <w:t>, C ─ 246 de 2020</w:t>
      </w:r>
      <w:r w:rsidR="00CB7D03" w:rsidRPr="001B30CA">
        <w:rPr>
          <w:rFonts w:ascii="Arial" w:eastAsia="Calibri" w:hAnsi="Arial" w:cs="Arial"/>
          <w:sz w:val="22"/>
          <w:lang w:val="es-ES"/>
        </w:rPr>
        <w:t xml:space="preserve"> del 3 de abril de 2020,</w:t>
      </w:r>
      <w:r w:rsidRPr="001B30CA">
        <w:rPr>
          <w:rFonts w:ascii="Arial" w:eastAsia="Calibri" w:hAnsi="Arial" w:cs="Arial"/>
          <w:sz w:val="22"/>
          <w:lang w:val="es-ES"/>
        </w:rPr>
        <w:t xml:space="preserve"> C</w:t>
      </w:r>
      <w:r w:rsidR="00CB7D03" w:rsidRPr="001B30CA">
        <w:rPr>
          <w:rFonts w:ascii="Arial" w:eastAsia="Calibri" w:hAnsi="Arial" w:cs="Arial"/>
          <w:sz w:val="22"/>
          <w:lang w:val="es-ES"/>
        </w:rPr>
        <w:t xml:space="preserve"> – </w:t>
      </w:r>
      <w:r w:rsidRPr="001B30CA">
        <w:rPr>
          <w:rFonts w:ascii="Arial" w:eastAsia="Calibri" w:hAnsi="Arial" w:cs="Arial"/>
          <w:sz w:val="22"/>
          <w:lang w:val="es-ES"/>
        </w:rPr>
        <w:t>273 de 2020</w:t>
      </w:r>
      <w:r w:rsidR="00CB7D03" w:rsidRPr="001B30CA">
        <w:rPr>
          <w:rFonts w:ascii="Arial" w:eastAsia="Calibri" w:hAnsi="Arial" w:cs="Arial"/>
          <w:sz w:val="22"/>
          <w:lang w:val="es-ES"/>
        </w:rPr>
        <w:t xml:space="preserve"> del 21 de mayo de 2020, C – 402 del 26 de junio de 2020,</w:t>
      </w:r>
      <w:r w:rsidR="009D28EA">
        <w:rPr>
          <w:rFonts w:ascii="Arial" w:eastAsia="Calibri" w:hAnsi="Arial" w:cs="Arial"/>
          <w:sz w:val="22"/>
          <w:lang w:val="es-ES"/>
        </w:rPr>
        <w:t xml:space="preserve"> C – 580 del 21 de septiembre de 2020, C – 585 y C – 592 del 14 de septiembre de 2020, </w:t>
      </w:r>
      <w:r w:rsidRPr="001B30CA">
        <w:rPr>
          <w:rFonts w:ascii="Arial" w:eastAsia="Calibri" w:hAnsi="Arial" w:cs="Arial"/>
          <w:sz w:val="22"/>
          <w:lang w:val="es-ES"/>
        </w:rPr>
        <w:t xml:space="preserve">estudió la naturaleza jurídica del régimen de inhabilidades e incompatibilidades para contratar con el Estado, como límite a la capacidad contractual, así como los criterios de </w:t>
      </w:r>
      <w:r w:rsidR="00841947">
        <w:rPr>
          <w:rFonts w:ascii="Arial" w:eastAsia="Calibri" w:hAnsi="Arial" w:cs="Arial"/>
          <w:sz w:val="22"/>
          <w:lang w:val="es-ES"/>
        </w:rPr>
        <w:t xml:space="preserve">su </w:t>
      </w:r>
      <w:r w:rsidRPr="001B30CA">
        <w:rPr>
          <w:rFonts w:ascii="Arial" w:eastAsia="Calibri" w:hAnsi="Arial" w:cs="Arial"/>
          <w:sz w:val="22"/>
          <w:lang w:val="es-ES"/>
        </w:rPr>
        <w:t xml:space="preserve">interpretación. La tesis desarrollada en estos conceptos se expone </w:t>
      </w:r>
      <w:r w:rsidR="00800D56" w:rsidRPr="001B30CA">
        <w:rPr>
          <w:rFonts w:ascii="Arial" w:eastAsia="Calibri" w:hAnsi="Arial" w:cs="Arial"/>
          <w:sz w:val="22"/>
          <w:lang w:val="es-ES"/>
        </w:rPr>
        <w:t>a continuación</w:t>
      </w:r>
      <w:r w:rsidR="009B5D2A">
        <w:rPr>
          <w:rFonts w:ascii="Arial" w:eastAsia="Calibri" w:hAnsi="Arial" w:cs="Arial"/>
          <w:sz w:val="22"/>
          <w:lang w:val="es-ES"/>
        </w:rPr>
        <w:t>:</w:t>
      </w:r>
      <w:r w:rsidR="00800D56" w:rsidRPr="001B30CA">
        <w:rPr>
          <w:rFonts w:ascii="Arial" w:eastAsia="Calibri" w:hAnsi="Arial" w:cs="Arial"/>
          <w:sz w:val="22"/>
          <w:lang w:val="es-ES"/>
        </w:rPr>
        <w:t xml:space="preserve"> </w:t>
      </w:r>
    </w:p>
    <w:p w14:paraId="3C57411D" w14:textId="77777777" w:rsidR="00531A38" w:rsidRPr="001B30CA" w:rsidRDefault="00531A38" w:rsidP="00531A38">
      <w:pPr>
        <w:spacing w:line="276" w:lineRule="auto"/>
        <w:jc w:val="both"/>
        <w:rPr>
          <w:rFonts w:ascii="Arial" w:hAnsi="Arial" w:cs="Arial"/>
          <w:color w:val="000000" w:themeColor="text1"/>
          <w:sz w:val="22"/>
          <w:lang w:val="es-ES"/>
        </w:rPr>
      </w:pPr>
    </w:p>
    <w:p w14:paraId="7A69D524" w14:textId="77777777" w:rsidR="00531A38" w:rsidRPr="001B30CA" w:rsidRDefault="00531A38" w:rsidP="00531A38">
      <w:pPr>
        <w:pStyle w:val="Sinespaciado"/>
        <w:widowControl w:val="0"/>
        <w:autoSpaceDE w:val="0"/>
        <w:autoSpaceDN w:val="0"/>
        <w:spacing w:line="276" w:lineRule="auto"/>
        <w:jc w:val="both"/>
        <w:rPr>
          <w:rFonts w:ascii="Arial" w:hAnsi="Arial" w:cs="Arial"/>
          <w:b/>
          <w:sz w:val="22"/>
          <w:lang w:val="es-ES"/>
        </w:rPr>
      </w:pPr>
      <w:r w:rsidRPr="001B30CA">
        <w:rPr>
          <w:rFonts w:ascii="Arial" w:hAnsi="Arial" w:cs="Arial"/>
          <w:b/>
          <w:sz w:val="22"/>
          <w:lang w:val="es-ES"/>
        </w:rPr>
        <w:t xml:space="preserve">2.1. Régimen de inhabilidades e incompatibilidades para contratar con el Estado </w:t>
      </w:r>
    </w:p>
    <w:p w14:paraId="4922BD97" w14:textId="77777777" w:rsidR="00531A38" w:rsidRPr="001B30CA" w:rsidRDefault="00531A38" w:rsidP="00531A38">
      <w:pPr>
        <w:pStyle w:val="Sinespaciado"/>
        <w:spacing w:line="276" w:lineRule="auto"/>
        <w:jc w:val="both"/>
        <w:rPr>
          <w:rFonts w:ascii="Arial" w:hAnsi="Arial" w:cs="Arial"/>
          <w:sz w:val="22"/>
          <w:lang w:val="es-ES"/>
        </w:rPr>
      </w:pPr>
    </w:p>
    <w:p w14:paraId="54D018E7" w14:textId="77777777" w:rsidR="00531A38" w:rsidRPr="001B30CA" w:rsidRDefault="00531A38" w:rsidP="00531A38">
      <w:pPr>
        <w:pStyle w:val="Sinespaciado"/>
        <w:spacing w:after="120" w:line="276" w:lineRule="auto"/>
        <w:jc w:val="both"/>
        <w:rPr>
          <w:rFonts w:ascii="Arial" w:hAnsi="Arial" w:cs="Arial"/>
          <w:sz w:val="22"/>
          <w:lang w:val="es-ES"/>
        </w:rPr>
      </w:pPr>
      <w:r w:rsidRPr="001B30CA">
        <w:rPr>
          <w:rFonts w:ascii="Arial" w:hAnsi="Arial" w:cs="Arial"/>
          <w:sz w:val="22"/>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4E5847F5" w14:textId="77777777" w:rsidR="00531A38" w:rsidRPr="001B30CA" w:rsidRDefault="00531A38" w:rsidP="00531A38">
      <w:pPr>
        <w:pStyle w:val="Sinespaciado"/>
        <w:spacing w:before="120" w:after="120" w:line="276" w:lineRule="auto"/>
        <w:ind w:firstLine="708"/>
        <w:jc w:val="both"/>
        <w:rPr>
          <w:rFonts w:ascii="Arial" w:hAnsi="Arial" w:cs="Arial"/>
          <w:sz w:val="22"/>
          <w:lang w:val="es-ES"/>
        </w:rPr>
      </w:pPr>
      <w:r w:rsidRPr="001B30CA">
        <w:rPr>
          <w:rFonts w:ascii="Arial" w:hAnsi="Arial" w:cs="Arial"/>
          <w:sz w:val="22"/>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1B30CA">
        <w:rPr>
          <w:rFonts w:ascii="Arial" w:hAnsi="Arial" w:cs="Arial"/>
          <w:sz w:val="22"/>
          <w:vertAlign w:val="superscript"/>
          <w:lang w:val="es-ES"/>
        </w:rPr>
        <w:footnoteReference w:id="1"/>
      </w:r>
      <w:r w:rsidRPr="001B30CA">
        <w:rPr>
          <w:rFonts w:ascii="Arial" w:hAnsi="Arial" w:cs="Arial"/>
          <w:sz w:val="22"/>
          <w:lang w:val="es-ES"/>
        </w:rPr>
        <w:t xml:space="preserve">. </w:t>
      </w:r>
    </w:p>
    <w:p w14:paraId="2BCD6D61" w14:textId="7FCB08DA" w:rsidR="00531A38" w:rsidRPr="001B30CA" w:rsidRDefault="00531A38" w:rsidP="00531A38">
      <w:pPr>
        <w:pStyle w:val="Sinespaciado"/>
        <w:spacing w:before="120" w:line="276" w:lineRule="auto"/>
        <w:ind w:firstLine="709"/>
        <w:jc w:val="both"/>
        <w:rPr>
          <w:rFonts w:ascii="Arial" w:hAnsi="Arial" w:cs="Arial"/>
          <w:sz w:val="22"/>
          <w:lang w:val="es-ES"/>
        </w:rPr>
      </w:pPr>
      <w:r w:rsidRPr="001B30CA">
        <w:rPr>
          <w:rFonts w:ascii="Arial" w:hAnsi="Arial" w:cs="Arial"/>
          <w:sz w:val="22"/>
          <w:lang w:val="es-ES"/>
        </w:rPr>
        <w:t xml:space="preserve">Las limitaciones que afectan la capacidad jurídica para contratar desarrollan los principios de la función administrativa consagrados en el artículo 209 de la Constitución Política, con especial énfasis </w:t>
      </w:r>
      <w:r w:rsidR="00D2514E">
        <w:rPr>
          <w:rFonts w:ascii="Arial" w:hAnsi="Arial" w:cs="Arial"/>
          <w:sz w:val="22"/>
          <w:lang w:val="es-ES"/>
        </w:rPr>
        <w:t xml:space="preserve">en </w:t>
      </w:r>
      <w:r w:rsidRPr="001B30CA">
        <w:rPr>
          <w:rFonts w:ascii="Arial" w:hAnsi="Arial" w:cs="Arial"/>
          <w:sz w:val="22"/>
          <w:lang w:val="es-ES"/>
        </w:rPr>
        <w:t xml:space="preserve">la moralidad administrativa. Así lo ha entendido el Consejo de Estado, quien se ha pronunciado al respecto en los siguientes términos: </w:t>
      </w:r>
    </w:p>
    <w:p w14:paraId="02E9E0E2" w14:textId="77777777" w:rsidR="00531A38" w:rsidRPr="001B30CA" w:rsidRDefault="00531A38" w:rsidP="00531A38">
      <w:pPr>
        <w:pStyle w:val="Sinespaciado"/>
        <w:spacing w:line="276" w:lineRule="auto"/>
        <w:jc w:val="both"/>
        <w:rPr>
          <w:rFonts w:ascii="Arial" w:hAnsi="Arial" w:cs="Arial"/>
          <w:sz w:val="22"/>
          <w:lang w:val="es-ES"/>
        </w:rPr>
      </w:pPr>
    </w:p>
    <w:p w14:paraId="6164EBE2" w14:textId="77777777" w:rsidR="00531A38" w:rsidRPr="001B30CA" w:rsidRDefault="00531A38" w:rsidP="00531A38">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sidRPr="001B30CA">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77BA1644" w14:textId="77777777" w:rsidR="00531A38" w:rsidRPr="001B30CA" w:rsidRDefault="00531A38" w:rsidP="00531A38">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1B30CA">
        <w:rPr>
          <w:rFonts w:ascii="Arial" w:eastAsiaTheme="minorHAnsi" w:hAnsi="Arial" w:cs="Arial"/>
          <w:sz w:val="21"/>
          <w:szCs w:val="21"/>
          <w:lang w:val="es-ES" w:eastAsia="en-US"/>
        </w:rPr>
        <w:lastRenderedPageBreak/>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1B30CA">
        <w:rPr>
          <w:rStyle w:val="Refdenotaalpie"/>
          <w:rFonts w:ascii="Arial" w:eastAsiaTheme="minorHAnsi" w:hAnsi="Arial" w:cs="Arial"/>
          <w:sz w:val="21"/>
          <w:szCs w:val="21"/>
          <w:lang w:val="es-ES" w:eastAsia="en-US"/>
        </w:rPr>
        <w:footnoteReference w:id="2"/>
      </w:r>
      <w:r w:rsidRPr="001B30CA">
        <w:rPr>
          <w:rFonts w:ascii="Arial" w:eastAsiaTheme="minorHAnsi" w:hAnsi="Arial" w:cs="Arial"/>
          <w:sz w:val="21"/>
          <w:szCs w:val="21"/>
          <w:lang w:val="es-ES" w:eastAsia="en-US"/>
        </w:rPr>
        <w:t xml:space="preserve">. </w:t>
      </w:r>
    </w:p>
    <w:p w14:paraId="38F52564" w14:textId="77777777" w:rsidR="00531A38" w:rsidRPr="001B30CA" w:rsidRDefault="00531A38" w:rsidP="00531A38">
      <w:pPr>
        <w:pStyle w:val="Sinespaciado"/>
        <w:spacing w:line="276" w:lineRule="auto"/>
        <w:jc w:val="both"/>
        <w:rPr>
          <w:rFonts w:ascii="Arial" w:hAnsi="Arial" w:cs="Arial"/>
          <w:sz w:val="22"/>
          <w:lang w:val="es-ES"/>
        </w:rPr>
      </w:pPr>
    </w:p>
    <w:p w14:paraId="15DF1B76" w14:textId="2B805377" w:rsidR="00531A38" w:rsidRPr="001B30CA" w:rsidRDefault="00531A38" w:rsidP="00D43B86">
      <w:pPr>
        <w:spacing w:after="120" w:line="276" w:lineRule="auto"/>
        <w:ind w:firstLine="709"/>
        <w:jc w:val="both"/>
        <w:rPr>
          <w:rFonts w:ascii="Arial" w:eastAsia="Times New Roman" w:hAnsi="Arial" w:cs="Arial"/>
          <w:sz w:val="22"/>
          <w:shd w:val="clear" w:color="auto" w:fill="FFFFFF"/>
          <w:lang w:val="es-ES" w:eastAsia="es-ES_tradnl"/>
        </w:rPr>
      </w:pPr>
      <w:r w:rsidRPr="001B30CA">
        <w:rPr>
          <w:rFonts w:ascii="Arial" w:hAnsi="Arial" w:cs="Arial"/>
          <w:sz w:val="22"/>
          <w:lang w:val="es-ES"/>
        </w:rPr>
        <w:t>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w:t>
      </w:r>
      <w:r w:rsidRPr="001B30CA">
        <w:rPr>
          <w:rStyle w:val="Refdenotaalpie"/>
          <w:rFonts w:ascii="Arial" w:hAnsi="Arial" w:cs="Arial"/>
          <w:sz w:val="21"/>
          <w:szCs w:val="21"/>
          <w:lang w:val="es-ES"/>
        </w:rPr>
        <w:footnoteReference w:id="3"/>
      </w:r>
      <w:r w:rsidRPr="001B30CA">
        <w:rPr>
          <w:lang w:val="es-ES"/>
        </w:rPr>
        <w:t>.</w:t>
      </w:r>
      <w:r w:rsidR="009B5D2A">
        <w:rPr>
          <w:rFonts w:ascii="Arial" w:hAnsi="Arial" w:cs="Arial"/>
          <w:sz w:val="22"/>
          <w:lang w:val="es-ES"/>
        </w:rPr>
        <w:t xml:space="preserve"> </w:t>
      </w:r>
      <w:r w:rsidRPr="001B30CA">
        <w:rPr>
          <w:rFonts w:ascii="Arial" w:hAnsi="Arial" w:cs="Arial"/>
          <w:sz w:val="22"/>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r w:rsidRPr="001B30CA">
        <w:rPr>
          <w:rStyle w:val="Refdenotaalpie"/>
          <w:rFonts w:ascii="Arial" w:hAnsi="Arial" w:cs="Arial"/>
          <w:sz w:val="21"/>
          <w:szCs w:val="21"/>
          <w:lang w:val="es-ES"/>
        </w:rPr>
        <w:footnoteReference w:id="4"/>
      </w:r>
      <w:r w:rsidRPr="001B30CA">
        <w:rPr>
          <w:rFonts w:ascii="Arial" w:hAnsi="Arial" w:cs="Arial"/>
          <w:sz w:val="21"/>
          <w:szCs w:val="21"/>
          <w:lang w:val="es-ES"/>
        </w:rPr>
        <w:t>.</w:t>
      </w:r>
    </w:p>
    <w:p w14:paraId="2B2D49C5" w14:textId="77777777" w:rsidR="00531A38" w:rsidRPr="001B30CA" w:rsidRDefault="00531A38" w:rsidP="00531A38">
      <w:pPr>
        <w:spacing w:after="120" w:line="276" w:lineRule="auto"/>
        <w:ind w:firstLine="709"/>
        <w:jc w:val="both"/>
        <w:rPr>
          <w:rFonts w:ascii="Arial" w:hAnsi="Arial" w:cs="Arial"/>
          <w:sz w:val="22"/>
          <w:lang w:val="es-ES"/>
        </w:rPr>
      </w:pPr>
      <w:r w:rsidRPr="001B30CA">
        <w:rPr>
          <w:rFonts w:ascii="Arial" w:hAnsi="Arial" w:cs="Arial"/>
          <w:sz w:val="22"/>
          <w:lang w:val="es-ES"/>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1B30CA">
        <w:rPr>
          <w:rStyle w:val="Refdenotaalpie"/>
          <w:rFonts w:ascii="Arial" w:hAnsi="Arial" w:cs="Arial"/>
          <w:sz w:val="22"/>
          <w:lang w:val="es-ES"/>
        </w:rPr>
        <w:footnoteReference w:id="5"/>
      </w:r>
      <w:r w:rsidRPr="001B30CA">
        <w:rPr>
          <w:rFonts w:ascii="Arial" w:hAnsi="Arial" w:cs="Arial"/>
          <w:sz w:val="22"/>
          <w:lang w:val="es-ES"/>
        </w:rPr>
        <w:t xml:space="preserve">. </w:t>
      </w:r>
    </w:p>
    <w:p w14:paraId="0373E47C" w14:textId="750ECCC7" w:rsidR="00531A38" w:rsidRPr="001B30CA" w:rsidRDefault="00531A38" w:rsidP="00531A38">
      <w:pPr>
        <w:spacing w:before="120" w:after="120" w:line="276" w:lineRule="auto"/>
        <w:ind w:firstLine="708"/>
        <w:jc w:val="both"/>
        <w:rPr>
          <w:rFonts w:ascii="Arial" w:hAnsi="Arial" w:cs="Arial"/>
          <w:sz w:val="22"/>
          <w:lang w:val="es-ES"/>
        </w:rPr>
      </w:pPr>
      <w:r w:rsidRPr="001B30CA">
        <w:rPr>
          <w:rFonts w:ascii="Arial" w:hAnsi="Arial" w:cs="Arial"/>
          <w:sz w:val="22"/>
          <w:lang w:val="es-ES"/>
        </w:rPr>
        <w:t>A manera de ejemplo, en materia contractual, los literales c), d) y j) del numeral 1 del artículo 8 de la Ley 80 de 1993</w:t>
      </w:r>
      <w:r w:rsidRPr="001B30CA">
        <w:rPr>
          <w:rFonts w:ascii="Arial" w:hAnsi="Arial" w:cs="Arial"/>
          <w:sz w:val="22"/>
          <w:vertAlign w:val="superscript"/>
          <w:lang w:val="es-ES"/>
        </w:rPr>
        <w:footnoteReference w:id="6"/>
      </w:r>
      <w:r w:rsidRPr="001B30CA">
        <w:rPr>
          <w:rFonts w:ascii="Arial" w:hAnsi="Arial" w:cs="Arial"/>
          <w:sz w:val="22"/>
          <w:lang w:val="es-ES"/>
        </w:rPr>
        <w:t xml:space="preserve"> establecen inhabilidades-sanción, porque la prohibición </w:t>
      </w:r>
      <w:r w:rsidRPr="001B30CA">
        <w:rPr>
          <w:rFonts w:ascii="Arial" w:hAnsi="Arial" w:cs="Arial"/>
          <w:sz w:val="22"/>
          <w:lang w:val="es-ES"/>
        </w:rPr>
        <w:lastRenderedPageBreak/>
        <w:t>para contratar con el Estado en esos eventos es una consecuencia de una declaratoria de responsabilidad que surge luego de un proceso sancionatorio –administrativo, disciplinario o penal–</w:t>
      </w:r>
      <w:r w:rsidR="00FF4E02">
        <w:rPr>
          <w:rFonts w:ascii="Arial" w:hAnsi="Arial" w:cs="Arial"/>
          <w:sz w:val="22"/>
          <w:lang w:val="es-ES"/>
        </w:rPr>
        <w:t>. Por su parte,</w:t>
      </w:r>
      <w:r w:rsidRPr="001B30CA">
        <w:rPr>
          <w:rFonts w:ascii="Arial" w:hAnsi="Arial" w:cs="Arial"/>
          <w:sz w:val="22"/>
          <w:lang w:val="es-ES"/>
        </w:rPr>
        <w:t xml:space="preserv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10111B54" w14:textId="77777777" w:rsidR="00531A38" w:rsidRPr="001B30CA" w:rsidRDefault="00531A38" w:rsidP="00531A38">
      <w:pPr>
        <w:spacing w:before="120" w:line="276" w:lineRule="auto"/>
        <w:ind w:firstLine="709"/>
        <w:jc w:val="both"/>
        <w:rPr>
          <w:rFonts w:ascii="Arial" w:hAnsi="Arial" w:cs="Arial"/>
          <w:sz w:val="22"/>
          <w:lang w:val="es-ES"/>
        </w:rPr>
      </w:pPr>
      <w:bookmarkStart w:id="2" w:name="_Hlk40976328"/>
      <w:r w:rsidRPr="001B30CA">
        <w:rPr>
          <w:rFonts w:ascii="Arial" w:hAnsi="Arial" w:cs="Arial"/>
          <w:sz w:val="22"/>
          <w:lang w:val="es-ES"/>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bookmarkEnd w:id="2"/>
    <w:p w14:paraId="7B52146B" w14:textId="77777777" w:rsidR="00531A38" w:rsidRPr="001B30CA" w:rsidRDefault="00531A38" w:rsidP="00531A38">
      <w:pPr>
        <w:spacing w:line="276" w:lineRule="auto"/>
        <w:jc w:val="both"/>
        <w:rPr>
          <w:rFonts w:ascii="Arial" w:hAnsi="Arial" w:cs="Arial"/>
          <w:sz w:val="22"/>
          <w:lang w:val="es-ES"/>
        </w:rPr>
      </w:pPr>
    </w:p>
    <w:p w14:paraId="16E641D6" w14:textId="59D8A0B7" w:rsidR="00531A38" w:rsidRPr="001B30CA" w:rsidRDefault="00531A38" w:rsidP="00531A38">
      <w:pPr>
        <w:tabs>
          <w:tab w:val="left" w:pos="426"/>
        </w:tabs>
        <w:spacing w:line="276" w:lineRule="auto"/>
        <w:jc w:val="both"/>
        <w:rPr>
          <w:rFonts w:ascii="Arial" w:eastAsia="Calibri" w:hAnsi="Arial" w:cs="Arial"/>
          <w:b/>
          <w:sz w:val="22"/>
          <w:lang w:val="es-ES"/>
        </w:rPr>
      </w:pPr>
      <w:r w:rsidRPr="001B30CA">
        <w:rPr>
          <w:rFonts w:ascii="Arial" w:eastAsia="Calibri" w:hAnsi="Arial" w:cs="Arial"/>
          <w:b/>
          <w:sz w:val="22"/>
          <w:lang w:val="es-ES"/>
        </w:rPr>
        <w:t xml:space="preserve">2.2. Régimen de inhabilidades e incompatibilidades en la contratación estatal: un límite a la capacidad contractual. </w:t>
      </w:r>
      <w:r w:rsidR="003175AB">
        <w:rPr>
          <w:rFonts w:ascii="Arial" w:eastAsia="Calibri" w:hAnsi="Arial" w:cs="Arial"/>
          <w:b/>
          <w:sz w:val="22"/>
          <w:lang w:val="es-ES"/>
        </w:rPr>
        <w:t>I</w:t>
      </w:r>
      <w:r w:rsidRPr="001B30CA">
        <w:rPr>
          <w:rFonts w:ascii="Arial" w:eastAsia="Calibri" w:hAnsi="Arial" w:cs="Arial"/>
          <w:b/>
          <w:sz w:val="22"/>
          <w:lang w:val="es-ES"/>
        </w:rPr>
        <w:t xml:space="preserve">nterpretación restrictiva como criterio hermenéutico </w:t>
      </w:r>
    </w:p>
    <w:p w14:paraId="1A78770D" w14:textId="77777777" w:rsidR="00531A38" w:rsidRPr="001B30CA" w:rsidRDefault="00531A38" w:rsidP="00531A38">
      <w:pPr>
        <w:spacing w:line="276" w:lineRule="auto"/>
        <w:jc w:val="both"/>
        <w:rPr>
          <w:rFonts w:ascii="Arial" w:eastAsia="Calibri" w:hAnsi="Arial" w:cs="Arial"/>
          <w:sz w:val="22"/>
          <w:lang w:val="es-ES"/>
        </w:rPr>
      </w:pPr>
    </w:p>
    <w:p w14:paraId="1A7BEC11" w14:textId="77777777" w:rsidR="00531A38" w:rsidRPr="001B30CA" w:rsidRDefault="00531A38" w:rsidP="00531A38">
      <w:pPr>
        <w:spacing w:line="276" w:lineRule="auto"/>
        <w:jc w:val="both"/>
        <w:rPr>
          <w:rFonts w:ascii="Arial" w:eastAsia="Calibri" w:hAnsi="Arial" w:cs="Arial"/>
          <w:sz w:val="22"/>
          <w:lang w:val="es-ES"/>
        </w:rPr>
      </w:pPr>
      <w:r w:rsidRPr="001B30CA">
        <w:rPr>
          <w:rFonts w:ascii="Arial" w:eastAsia="Calibri" w:hAnsi="Arial" w:cs="Arial"/>
          <w:sz w:val="22"/>
          <w:lang w:val="es-ES"/>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w:t>
      </w:r>
      <w:r w:rsidRPr="001B30CA">
        <w:rPr>
          <w:rFonts w:ascii="Arial" w:eastAsia="Calibri" w:hAnsi="Arial" w:cs="Arial"/>
          <w:sz w:val="22"/>
          <w:lang w:val="es-ES"/>
        </w:rPr>
        <w:lastRenderedPageBreak/>
        <w:t>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F1C0073" w14:textId="669A608C" w:rsidR="00531A38" w:rsidRPr="001B30CA" w:rsidRDefault="00531A38" w:rsidP="00531A38">
      <w:pPr>
        <w:spacing w:before="120" w:after="120" w:line="276" w:lineRule="auto"/>
        <w:ind w:firstLine="709"/>
        <w:jc w:val="both"/>
        <w:rPr>
          <w:rFonts w:ascii="Arial" w:eastAsia="Calibri" w:hAnsi="Arial" w:cs="Arial"/>
          <w:sz w:val="22"/>
          <w:lang w:val="es-ES"/>
        </w:rPr>
      </w:pPr>
      <w:r w:rsidRPr="001B30CA">
        <w:rPr>
          <w:rFonts w:ascii="Arial" w:eastAsia="Calibri" w:hAnsi="Arial" w:cs="Arial"/>
          <w:sz w:val="22"/>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1B30CA">
        <w:rPr>
          <w:rFonts w:ascii="Arial" w:eastAsia="Calibri" w:hAnsi="Arial" w:cs="Arial"/>
          <w:i/>
          <w:iCs/>
          <w:sz w:val="22"/>
          <w:lang w:val="es-ES"/>
        </w:rPr>
        <w:t>restrictiva</w:t>
      </w:r>
      <w:r w:rsidRPr="001B30CA">
        <w:rPr>
          <w:rFonts w:ascii="Arial" w:eastAsia="Calibri" w:hAnsi="Arial" w:cs="Arial"/>
          <w:sz w:val="22"/>
          <w:vertAlign w:val="superscript"/>
          <w:lang w:val="es-ES"/>
        </w:rPr>
        <w:footnoteReference w:id="7"/>
      </w:r>
      <w:r w:rsidR="008B407B">
        <w:rPr>
          <w:rFonts w:ascii="Arial" w:eastAsia="Calibri" w:hAnsi="Arial" w:cs="Arial"/>
          <w:sz w:val="22"/>
          <w:lang w:val="es-ES"/>
        </w:rPr>
        <w:t>. En efecto,</w:t>
      </w:r>
      <w:r w:rsidRPr="001B30CA">
        <w:rPr>
          <w:rFonts w:ascii="Arial" w:eastAsia="Calibri" w:hAnsi="Arial" w:cs="Arial"/>
          <w:sz w:val="22"/>
          <w:lang w:val="es-ES"/>
        </w:rPr>
        <w:t xml:space="preserve">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1049FF11" w14:textId="77777777" w:rsidR="00531A38" w:rsidRPr="001B30CA" w:rsidRDefault="00531A38" w:rsidP="00531A38">
      <w:pPr>
        <w:spacing w:line="276" w:lineRule="auto"/>
        <w:ind w:firstLine="709"/>
        <w:jc w:val="both"/>
        <w:rPr>
          <w:rFonts w:ascii="Arial" w:eastAsia="Calibri" w:hAnsi="Arial" w:cs="Arial"/>
          <w:sz w:val="22"/>
          <w:lang w:val="es-ES"/>
        </w:rPr>
      </w:pPr>
      <w:r w:rsidRPr="001B30CA">
        <w:rPr>
          <w:rFonts w:ascii="Arial" w:eastAsia="Calibri" w:hAnsi="Arial" w:cs="Arial"/>
          <w:sz w:val="22"/>
          <w:lang w:val="es-ES"/>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1B30CA">
        <w:rPr>
          <w:rFonts w:ascii="Arial" w:eastAsia="Calibri" w:hAnsi="Arial" w:cs="Arial"/>
          <w:sz w:val="22"/>
          <w:vertAlign w:val="superscript"/>
          <w:lang w:val="es-ES"/>
        </w:rPr>
        <w:footnoteReference w:id="8"/>
      </w:r>
      <w:r w:rsidRPr="001B30CA">
        <w:rPr>
          <w:rFonts w:ascii="Arial" w:eastAsia="Calibri" w:hAnsi="Arial" w:cs="Arial"/>
          <w:sz w:val="22"/>
          <w:lang w:val="es-ES"/>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1B30CA">
        <w:rPr>
          <w:rFonts w:ascii="Arial" w:eastAsia="Calibri" w:hAnsi="Arial" w:cs="Arial"/>
          <w:sz w:val="22"/>
          <w:vertAlign w:val="superscript"/>
          <w:lang w:val="es-ES"/>
        </w:rPr>
        <w:footnoteReference w:id="9"/>
      </w:r>
      <w:r w:rsidRPr="001B30CA">
        <w:rPr>
          <w:rFonts w:ascii="Arial" w:eastAsia="Calibri" w:hAnsi="Arial" w:cs="Arial"/>
          <w:sz w:val="22"/>
          <w:lang w:val="es-ES"/>
        </w:rPr>
        <w:t>. En tal sentido, la Sección Tercera ha señalado que:</w:t>
      </w:r>
    </w:p>
    <w:p w14:paraId="01CAE700" w14:textId="77777777" w:rsidR="00531A38" w:rsidRPr="001B30CA" w:rsidRDefault="00531A38" w:rsidP="00531A38">
      <w:pPr>
        <w:spacing w:line="276" w:lineRule="auto"/>
        <w:ind w:firstLine="709"/>
        <w:jc w:val="both"/>
        <w:rPr>
          <w:rFonts w:ascii="Arial" w:eastAsia="Calibri" w:hAnsi="Arial" w:cs="Arial"/>
          <w:sz w:val="22"/>
          <w:lang w:val="es-ES"/>
        </w:rPr>
      </w:pPr>
    </w:p>
    <w:p w14:paraId="600CAAD6" w14:textId="77777777" w:rsidR="00531A38" w:rsidRPr="001B30CA" w:rsidRDefault="00531A38" w:rsidP="00531A38">
      <w:pPr>
        <w:ind w:left="709" w:right="709"/>
        <w:jc w:val="both"/>
        <w:rPr>
          <w:rFonts w:ascii="Arial" w:hAnsi="Arial" w:cs="Arial"/>
          <w:sz w:val="21"/>
          <w:szCs w:val="21"/>
          <w:lang w:val="es-ES"/>
        </w:rPr>
      </w:pPr>
      <w:r w:rsidRPr="001B30CA">
        <w:rPr>
          <w:rFonts w:ascii="Arial" w:hAnsi="Arial" w:cs="Arial"/>
          <w:sz w:val="21"/>
          <w:szCs w:val="21"/>
          <w:lang w:val="es-ES"/>
        </w:rPr>
        <w:t xml:space="preserve">[…] de conformidad con la jurisprudencia uniforme y reiterada de esta Corporación, la aplicación de las normas que contemplan inhabilidades e incompatibilidades, como en general de todas aquellas que comportan </w:t>
      </w:r>
      <w:r w:rsidRPr="001B30CA">
        <w:rPr>
          <w:rFonts w:ascii="Arial" w:hAnsi="Arial" w:cs="Arial"/>
          <w:sz w:val="21"/>
          <w:szCs w:val="21"/>
          <w:lang w:val="es-ES"/>
        </w:rPr>
        <w:lastRenderedPageBreak/>
        <w:t>prohibiciones o limitaciones, deben responder a una interpretación restrictiva que no permite su extensión, por vía de la figura de la analogía, a supuestos no contemplados por el ordenamiento</w:t>
      </w:r>
      <w:r w:rsidRPr="001B30CA">
        <w:rPr>
          <w:rFonts w:ascii="Arial" w:hAnsi="Arial" w:cs="Arial"/>
          <w:sz w:val="21"/>
          <w:szCs w:val="21"/>
          <w:vertAlign w:val="superscript"/>
          <w:lang w:val="es-ES"/>
        </w:rPr>
        <w:footnoteReference w:id="10"/>
      </w:r>
      <w:r w:rsidRPr="001B30CA">
        <w:rPr>
          <w:rFonts w:ascii="Arial" w:hAnsi="Arial" w:cs="Arial"/>
          <w:sz w:val="21"/>
          <w:szCs w:val="21"/>
          <w:lang w:val="es-ES"/>
        </w:rPr>
        <w:t>.</w:t>
      </w:r>
    </w:p>
    <w:p w14:paraId="6102CAA7" w14:textId="77777777" w:rsidR="00531A38" w:rsidRPr="001B30CA" w:rsidRDefault="00531A38" w:rsidP="00531A38">
      <w:pPr>
        <w:ind w:left="709" w:right="709"/>
        <w:jc w:val="both"/>
        <w:rPr>
          <w:rFonts w:ascii="Arial" w:eastAsia="Calibri" w:hAnsi="Arial" w:cs="Arial"/>
          <w:sz w:val="22"/>
          <w:lang w:val="es-ES"/>
        </w:rPr>
      </w:pPr>
    </w:p>
    <w:p w14:paraId="432563A0" w14:textId="77777777" w:rsidR="00531A38" w:rsidRPr="001B30CA" w:rsidRDefault="00531A38" w:rsidP="00531A38">
      <w:pPr>
        <w:ind w:firstLine="709"/>
        <w:jc w:val="both"/>
        <w:rPr>
          <w:rFonts w:ascii="Arial" w:eastAsia="Calibri" w:hAnsi="Arial" w:cs="Arial"/>
          <w:sz w:val="22"/>
          <w:lang w:val="es-ES"/>
        </w:rPr>
      </w:pPr>
      <w:r w:rsidRPr="001B30CA">
        <w:rPr>
          <w:rFonts w:ascii="Arial" w:eastAsia="Calibri" w:hAnsi="Arial" w:cs="Arial"/>
          <w:sz w:val="22"/>
          <w:lang w:val="es-ES"/>
        </w:rPr>
        <w:t>También ha dicho que:</w:t>
      </w:r>
    </w:p>
    <w:p w14:paraId="0C6BCDBD" w14:textId="77777777" w:rsidR="00531A38" w:rsidRPr="001B30CA" w:rsidRDefault="00531A38" w:rsidP="00531A38">
      <w:pPr>
        <w:ind w:firstLine="709"/>
        <w:jc w:val="both"/>
        <w:rPr>
          <w:rFonts w:ascii="Arial" w:eastAsia="Calibri" w:hAnsi="Arial" w:cs="Arial"/>
          <w:sz w:val="22"/>
          <w:lang w:val="es-ES"/>
        </w:rPr>
      </w:pPr>
    </w:p>
    <w:p w14:paraId="1EC0929F" w14:textId="77777777" w:rsidR="00531A38" w:rsidRPr="001B30CA" w:rsidRDefault="00531A38" w:rsidP="00531A38">
      <w:pPr>
        <w:ind w:left="709" w:right="709"/>
        <w:jc w:val="both"/>
        <w:rPr>
          <w:rFonts w:ascii="Arial" w:hAnsi="Arial" w:cs="Arial"/>
          <w:sz w:val="21"/>
          <w:szCs w:val="21"/>
          <w:lang w:val="es-ES"/>
        </w:rPr>
      </w:pPr>
      <w:r w:rsidRPr="001B30CA">
        <w:rPr>
          <w:rFonts w:ascii="Arial" w:hAnsi="Arial" w:cs="Arial"/>
          <w:sz w:val="21"/>
          <w:szCs w:val="21"/>
          <w:lang w:val="es-ES"/>
        </w:rPr>
        <w:t xml:space="preserve">[…] la aplicación de estos preceptos exige una interpretación restrictiva, dado que según el principio hermenéutico </w:t>
      </w:r>
      <w:r w:rsidRPr="001B30CA">
        <w:rPr>
          <w:rFonts w:ascii="Arial" w:hAnsi="Arial" w:cs="Arial"/>
          <w:i/>
          <w:iCs/>
          <w:sz w:val="21"/>
          <w:szCs w:val="21"/>
          <w:lang w:val="es-ES"/>
        </w:rPr>
        <w:t>pro libertate</w:t>
      </w:r>
      <w:r w:rsidRPr="001B30CA">
        <w:rPr>
          <w:rFonts w:ascii="Arial" w:hAnsi="Arial" w:cs="Arial"/>
          <w:sz w:val="21"/>
          <w:szCs w:val="21"/>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1B30CA">
        <w:rPr>
          <w:rFonts w:ascii="Arial" w:hAnsi="Arial" w:cs="Arial"/>
          <w:sz w:val="21"/>
          <w:szCs w:val="21"/>
          <w:vertAlign w:val="superscript"/>
          <w:lang w:val="es-ES"/>
        </w:rPr>
        <w:footnoteReference w:id="11"/>
      </w:r>
      <w:r w:rsidRPr="001B30CA">
        <w:rPr>
          <w:rFonts w:ascii="Arial" w:hAnsi="Arial" w:cs="Arial"/>
          <w:sz w:val="21"/>
          <w:szCs w:val="21"/>
          <w:lang w:val="es-ES"/>
        </w:rPr>
        <w:t>.</w:t>
      </w:r>
    </w:p>
    <w:p w14:paraId="5CC591C3" w14:textId="77777777" w:rsidR="00531A38" w:rsidRPr="001B30CA" w:rsidRDefault="00531A38" w:rsidP="00531A38">
      <w:pPr>
        <w:ind w:left="709" w:right="709"/>
        <w:jc w:val="both"/>
        <w:rPr>
          <w:rFonts w:ascii="Arial" w:eastAsia="Calibri" w:hAnsi="Arial" w:cs="Arial"/>
          <w:sz w:val="22"/>
          <w:lang w:val="es-ES"/>
        </w:rPr>
      </w:pPr>
    </w:p>
    <w:p w14:paraId="2275C1EE" w14:textId="11858618" w:rsidR="00531A38" w:rsidRPr="001B30CA" w:rsidRDefault="00531A38" w:rsidP="00D43B86">
      <w:pPr>
        <w:spacing w:line="276" w:lineRule="auto"/>
        <w:ind w:firstLine="708"/>
        <w:jc w:val="both"/>
        <w:rPr>
          <w:rFonts w:ascii="Arial" w:eastAsia="Calibri" w:hAnsi="Arial" w:cs="Arial"/>
          <w:sz w:val="22"/>
          <w:lang w:val="es-ES"/>
        </w:rPr>
      </w:pPr>
      <w:r w:rsidRPr="001B30CA">
        <w:rPr>
          <w:rFonts w:ascii="Arial" w:eastAsia="Calibri" w:hAnsi="Arial" w:cs="Arial"/>
          <w:sz w:val="22"/>
          <w:lang w:val="es-ES"/>
        </w:rPr>
        <w:t xml:space="preserve">Como se aprecia, el principio </w:t>
      </w:r>
      <w:r w:rsidRPr="001B30CA">
        <w:rPr>
          <w:rFonts w:ascii="Arial" w:eastAsia="Calibri" w:hAnsi="Arial" w:cs="Arial"/>
          <w:i/>
          <w:iCs/>
          <w:sz w:val="22"/>
          <w:lang w:val="es-ES"/>
        </w:rPr>
        <w:t>pro libertate</w:t>
      </w:r>
      <w:r w:rsidRPr="001B30CA">
        <w:rPr>
          <w:rFonts w:ascii="Arial" w:eastAsia="Calibri" w:hAnsi="Arial" w:cs="Arial"/>
          <w:sz w:val="22"/>
          <w:lang w:val="es-ES"/>
        </w:rPr>
        <w:t xml:space="preserve"> dirige la interpretación de las disposiciones que consagran restricciones de derechos, como sucede con las causales de inhabilidad e incompatibilidad en la contratación estatal.</w:t>
      </w:r>
      <w:r w:rsidR="00A54F80">
        <w:rPr>
          <w:rFonts w:ascii="Arial" w:eastAsia="Calibri" w:hAnsi="Arial" w:cs="Arial"/>
          <w:sz w:val="22"/>
          <w:lang w:val="es-ES"/>
        </w:rPr>
        <w:t xml:space="preserve"> E</w:t>
      </w:r>
      <w:r w:rsidR="00A54F80" w:rsidRPr="00A54F80">
        <w:rPr>
          <w:rFonts w:ascii="Arial" w:eastAsia="Calibri" w:hAnsi="Arial" w:cs="Arial"/>
          <w:sz w:val="22"/>
          <w:lang w:val="es-ES"/>
        </w:rPr>
        <w:t>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w:t>
      </w:r>
      <w:r w:rsidR="00A54F80">
        <w:rPr>
          <w:rFonts w:ascii="Arial" w:eastAsia="Calibri" w:hAnsi="Arial" w:cs="Arial"/>
          <w:sz w:val="22"/>
          <w:lang w:val="es-ES"/>
        </w:rPr>
        <w:t>.</w:t>
      </w:r>
    </w:p>
    <w:p w14:paraId="1A9D8401" w14:textId="77777777" w:rsidR="00531A38" w:rsidRPr="001B30CA" w:rsidRDefault="00531A38" w:rsidP="00531A38">
      <w:pPr>
        <w:spacing w:line="276" w:lineRule="auto"/>
        <w:jc w:val="both"/>
        <w:rPr>
          <w:rFonts w:ascii="Arial" w:eastAsia="Calibri" w:hAnsi="Arial" w:cs="Arial"/>
          <w:sz w:val="22"/>
          <w:lang w:val="es-ES"/>
        </w:rPr>
      </w:pPr>
    </w:p>
    <w:p w14:paraId="38F68EFE" w14:textId="289993AD" w:rsidR="003D42ED" w:rsidRDefault="000D1DF4" w:rsidP="003D42ED">
      <w:pPr>
        <w:spacing w:line="276" w:lineRule="auto"/>
        <w:jc w:val="both"/>
        <w:rPr>
          <w:rFonts w:ascii="Arial" w:hAnsi="Arial" w:cs="Arial"/>
          <w:b/>
          <w:color w:val="000000" w:themeColor="text1"/>
          <w:sz w:val="22"/>
          <w:lang w:val="es-ES_tradnl"/>
        </w:rPr>
      </w:pPr>
      <w:r w:rsidRPr="001B30CA">
        <w:rPr>
          <w:rFonts w:ascii="Arial" w:eastAsia="Calibri" w:hAnsi="Arial" w:cs="Arial"/>
          <w:b/>
          <w:bCs/>
          <w:sz w:val="22"/>
          <w:lang w:val="es-ES"/>
        </w:rPr>
        <w:t xml:space="preserve">2.3. </w:t>
      </w:r>
      <w:r w:rsidR="003D42ED">
        <w:rPr>
          <w:rFonts w:ascii="Arial" w:hAnsi="Arial" w:cs="Arial"/>
          <w:b/>
          <w:bCs/>
          <w:color w:val="000000" w:themeColor="text1"/>
          <w:sz w:val="22"/>
          <w:lang w:val="es-ES_tradnl"/>
        </w:rPr>
        <w:t xml:space="preserve">Posibilidad de que contratista que </w:t>
      </w:r>
      <w:r w:rsidR="003F5D36">
        <w:rPr>
          <w:rFonts w:ascii="Arial" w:hAnsi="Arial" w:cs="Arial"/>
          <w:b/>
          <w:bCs/>
          <w:color w:val="000000" w:themeColor="text1"/>
          <w:sz w:val="22"/>
          <w:lang w:val="es-ES_tradnl"/>
        </w:rPr>
        <w:t>realiz</w:t>
      </w:r>
      <w:r w:rsidR="003D42ED">
        <w:rPr>
          <w:rFonts w:ascii="Arial" w:hAnsi="Arial" w:cs="Arial"/>
          <w:b/>
          <w:bCs/>
          <w:color w:val="000000" w:themeColor="text1"/>
          <w:sz w:val="22"/>
          <w:lang w:val="es-ES_tradnl"/>
        </w:rPr>
        <w:t>ó</w:t>
      </w:r>
      <w:r w:rsidR="003F5D36">
        <w:rPr>
          <w:rFonts w:ascii="Arial" w:hAnsi="Arial" w:cs="Arial"/>
          <w:b/>
          <w:bCs/>
          <w:color w:val="000000" w:themeColor="text1"/>
          <w:sz w:val="22"/>
          <w:lang w:val="es-ES_tradnl"/>
        </w:rPr>
        <w:t xml:space="preserve"> la interventoría de</w:t>
      </w:r>
      <w:r w:rsidR="003D42ED">
        <w:rPr>
          <w:rFonts w:ascii="Arial" w:hAnsi="Arial" w:cs="Arial"/>
          <w:b/>
          <w:bCs/>
          <w:color w:val="000000" w:themeColor="text1"/>
          <w:sz w:val="22"/>
          <w:lang w:val="es-ES_tradnl"/>
        </w:rPr>
        <w:t xml:space="preserve"> los estudios y diseños participe como oferente en la licitación pública de la obra:</w:t>
      </w:r>
      <w:r w:rsidR="00F47265" w:rsidRPr="001B30CA">
        <w:rPr>
          <w:rFonts w:ascii="Arial" w:eastAsia="Calibri" w:hAnsi="Arial" w:cs="Arial"/>
          <w:b/>
          <w:bCs/>
          <w:sz w:val="22"/>
          <w:lang w:val="es-ES"/>
        </w:rPr>
        <w:t xml:space="preserve"> interpretación restrictiva</w:t>
      </w:r>
      <w:r w:rsidR="00F47265">
        <w:rPr>
          <w:rFonts w:ascii="Arial" w:eastAsia="Calibri" w:hAnsi="Arial" w:cs="Arial"/>
          <w:b/>
          <w:bCs/>
          <w:sz w:val="22"/>
          <w:lang w:val="es-ES"/>
        </w:rPr>
        <w:t xml:space="preserve"> del régimen de inhabilidades</w:t>
      </w:r>
      <w:r w:rsidR="003F5D36">
        <w:rPr>
          <w:rFonts w:ascii="Arial" w:eastAsia="Calibri" w:hAnsi="Arial" w:cs="Arial"/>
          <w:b/>
          <w:bCs/>
          <w:sz w:val="22"/>
          <w:lang w:val="es-ES"/>
        </w:rPr>
        <w:t xml:space="preserve"> e incompatibilidades</w:t>
      </w:r>
      <w:r w:rsidR="00F47265">
        <w:rPr>
          <w:rFonts w:ascii="Arial" w:eastAsia="Calibri" w:hAnsi="Arial" w:cs="Arial"/>
          <w:b/>
          <w:bCs/>
          <w:sz w:val="22"/>
          <w:lang w:val="es-ES"/>
        </w:rPr>
        <w:t xml:space="preserve"> </w:t>
      </w:r>
    </w:p>
    <w:p w14:paraId="65D868E2" w14:textId="77777777" w:rsidR="003D42ED" w:rsidRDefault="003D42ED" w:rsidP="003D42ED">
      <w:pPr>
        <w:spacing w:line="276" w:lineRule="auto"/>
        <w:jc w:val="both"/>
        <w:rPr>
          <w:rFonts w:ascii="Arial" w:hAnsi="Arial" w:cs="Arial"/>
          <w:bCs/>
          <w:color w:val="000000" w:themeColor="text1"/>
          <w:sz w:val="22"/>
          <w:lang w:val="es-ES_tradnl"/>
        </w:rPr>
      </w:pPr>
    </w:p>
    <w:p w14:paraId="3A3C924C" w14:textId="286C0E3B" w:rsidR="003D42ED" w:rsidRDefault="00372632" w:rsidP="008E7635">
      <w:pPr>
        <w:spacing w:after="120" w:line="276" w:lineRule="auto"/>
        <w:jc w:val="both"/>
        <w:rPr>
          <w:rFonts w:ascii="Arial" w:hAnsi="Arial" w:cs="Arial"/>
          <w:bCs/>
          <w:color w:val="000000" w:themeColor="text1"/>
          <w:sz w:val="22"/>
          <w:lang w:val="es-ES_tradnl"/>
        </w:rPr>
      </w:pPr>
      <w:r>
        <w:rPr>
          <w:rFonts w:ascii="Arial" w:hAnsi="Arial" w:cs="Arial"/>
          <w:bCs/>
          <w:color w:val="000000" w:themeColor="text1"/>
          <w:sz w:val="22"/>
          <w:lang w:val="es-ES_tradnl"/>
        </w:rPr>
        <w:t>P</w:t>
      </w:r>
      <w:r w:rsidR="003D42ED">
        <w:rPr>
          <w:rFonts w:ascii="Arial" w:hAnsi="Arial" w:cs="Arial"/>
          <w:bCs/>
          <w:color w:val="000000" w:themeColor="text1"/>
          <w:sz w:val="22"/>
          <w:lang w:val="es-ES_tradnl"/>
        </w:rPr>
        <w:t>revio a la apertura de un procedimiento de licitación pública para la contratación de una obra, la entidad estatal debe contar con «los estudios y diseños que permitan establecer la viabilidad del proyecto y su impacto social, económico y ambiental», en los términos del numeral 12 del artículo 25 de la Ley 80 de 1993, modificado por el artículo 87 de la Ley 1474 de 2011</w:t>
      </w:r>
      <w:r w:rsidR="00AB055C">
        <w:rPr>
          <w:rFonts w:ascii="Arial" w:hAnsi="Arial" w:cs="Arial"/>
          <w:bCs/>
          <w:color w:val="000000" w:themeColor="text1"/>
          <w:sz w:val="22"/>
          <w:lang w:val="es-ES_tradnl"/>
        </w:rPr>
        <w:t>. De esta manera,</w:t>
      </w:r>
      <w:r w:rsidR="003D42ED">
        <w:rPr>
          <w:rFonts w:ascii="Arial" w:hAnsi="Arial" w:cs="Arial"/>
          <w:bCs/>
          <w:color w:val="000000" w:themeColor="text1"/>
          <w:sz w:val="22"/>
          <w:lang w:val="es-ES_tradnl"/>
        </w:rPr>
        <w:t xml:space="preserve"> la falta o insuficiencia de estos estudios atenta contra el principio de planeación y puede generar responsabilidad, tanto para la entidad como para </w:t>
      </w:r>
      <w:r w:rsidR="003D42ED">
        <w:rPr>
          <w:rFonts w:ascii="Arial" w:hAnsi="Arial" w:cs="Arial"/>
          <w:bCs/>
          <w:color w:val="000000" w:themeColor="text1"/>
          <w:sz w:val="22"/>
          <w:lang w:val="es-ES_tradnl"/>
        </w:rPr>
        <w:lastRenderedPageBreak/>
        <w:t>los servidores públicos a cargo del procedimiento, de conformidad con el numeral 3 del artículo 26 de la Ley 80 de 1993</w:t>
      </w:r>
      <w:r w:rsidR="003D42ED">
        <w:rPr>
          <w:rStyle w:val="Refdenotaalpie"/>
          <w:rFonts w:ascii="Arial" w:hAnsi="Arial" w:cs="Arial"/>
          <w:bCs/>
          <w:color w:val="000000" w:themeColor="text1"/>
          <w:sz w:val="22"/>
          <w:lang w:val="es-ES_tradnl"/>
        </w:rPr>
        <w:footnoteReference w:id="12"/>
      </w:r>
      <w:r w:rsidR="003D42ED">
        <w:rPr>
          <w:rFonts w:ascii="Arial" w:hAnsi="Arial" w:cs="Arial"/>
          <w:bCs/>
          <w:color w:val="000000" w:themeColor="text1"/>
          <w:sz w:val="22"/>
          <w:lang w:val="es-ES_tradnl"/>
        </w:rPr>
        <w:t>.</w:t>
      </w:r>
    </w:p>
    <w:p w14:paraId="40C5528A" w14:textId="191B39C6" w:rsidR="003D42ED" w:rsidRDefault="003D42ED" w:rsidP="008E7635">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Los estudios y diseños de la obra pueden obtenerse de manera previa, mediante la celebración de un contrato de consultoría</w:t>
      </w:r>
      <w:r>
        <w:rPr>
          <w:rStyle w:val="Refdenotaalpie"/>
          <w:rFonts w:ascii="Arial" w:hAnsi="Arial" w:cs="Arial"/>
          <w:bCs/>
          <w:color w:val="000000" w:themeColor="text1"/>
          <w:sz w:val="22"/>
          <w:lang w:val="es-ES_tradnl"/>
        </w:rPr>
        <w:footnoteReference w:id="13"/>
      </w:r>
      <w:r>
        <w:rPr>
          <w:rFonts w:ascii="Arial" w:hAnsi="Arial" w:cs="Arial"/>
          <w:bCs/>
          <w:color w:val="000000" w:themeColor="text1"/>
          <w:sz w:val="22"/>
          <w:lang w:val="es-ES_tradnl"/>
        </w:rPr>
        <w:t>, que es un contrato independiente al de obra y cuyo objeto puede ser el encargo de la realización de los referidos estudios a un tercero, para que los haga de manera idónea y autónoma. De otra parte, los estudios y diseños de la obra pueden contratarse conjuntamente con la construcción de la obra.</w:t>
      </w:r>
    </w:p>
    <w:p w14:paraId="6CFC454E" w14:textId="765343C2" w:rsidR="003D42ED" w:rsidRDefault="003D42ED" w:rsidP="008E7635">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Sin perjuicio de lo anterior y en atención al objeto de la consulta que origina el presente concepto, cabe preguntarse si una persona que fue contratada para realizar </w:t>
      </w:r>
      <w:r w:rsidR="00F97330">
        <w:rPr>
          <w:rFonts w:ascii="Arial" w:hAnsi="Arial" w:cs="Arial"/>
          <w:bCs/>
          <w:color w:val="000000" w:themeColor="text1"/>
          <w:sz w:val="22"/>
          <w:lang w:val="es-ES_tradnl"/>
        </w:rPr>
        <w:t xml:space="preserve">la interventoría de </w:t>
      </w:r>
      <w:r>
        <w:rPr>
          <w:rFonts w:ascii="Arial" w:hAnsi="Arial" w:cs="Arial"/>
          <w:bCs/>
          <w:color w:val="000000" w:themeColor="text1"/>
          <w:sz w:val="22"/>
          <w:lang w:val="es-ES_tradnl"/>
        </w:rPr>
        <w:t>los estudios y diseños que servirán para un futuro contrato de obra, puede, a su vez, ser oferente en el proceso de licitación subsecuente para celebrar el contrato de obra o si, por el contrario, dicha circunstancia le impide participar en la licitación pública.</w:t>
      </w:r>
    </w:p>
    <w:p w14:paraId="24FBC4FD" w14:textId="77777777" w:rsidR="003D42ED" w:rsidRDefault="003D42ED" w:rsidP="008E7635">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Revisadas las causales de inhabilidad e incompatibilidad previstas en el artículo 8 de la Ley 80 de 1993, dicho supuesto no constituye una limitante de la capacidad legal para celebrar el contrato de obra con la entidad estatal encargada del proyecto. En consecuencia, dado que dichas causales son taxativas y de interpretación restrictiva, el supuesto mencionado no genera inhabilidad o incompatibilidad para contratar con el Estado.</w:t>
      </w:r>
    </w:p>
    <w:p w14:paraId="69C0D6EE" w14:textId="77777777" w:rsidR="003D42ED" w:rsidRDefault="003D42ED" w:rsidP="008E7635">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Esta circunstancia solo está prohibida en los contratos interadministrativos, ya que el artículo 2, numeral 4º, literal c), en el cuarto inciso, establece: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Pero esta prohibición no puede extenderse a los otros casos de celebración de contratos de obra, </w:t>
      </w:r>
      <w:r>
        <w:rPr>
          <w:rFonts w:ascii="Arial" w:hAnsi="Arial" w:cs="Arial"/>
          <w:bCs/>
          <w:color w:val="000000" w:themeColor="text1"/>
          <w:sz w:val="22"/>
          <w:lang w:val="es-ES_tradnl"/>
        </w:rPr>
        <w:lastRenderedPageBreak/>
        <w:t>porque, como se anotó, las causales de inhabilidad e incompatibilidad no admiten una interpretación amplia o teleológica.</w:t>
      </w:r>
    </w:p>
    <w:p w14:paraId="26024B12" w14:textId="15555300" w:rsidR="003D42ED" w:rsidRDefault="003D42ED" w:rsidP="008E7635">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Ni siquiera una prohibición de tal naturaleza puede incluirse en el pliego de condiciones, para evitar que se presente el contratista que celebró el contrato de </w:t>
      </w:r>
      <w:r w:rsidR="006123F7">
        <w:rPr>
          <w:rFonts w:ascii="Arial" w:hAnsi="Arial" w:cs="Arial"/>
          <w:bCs/>
          <w:color w:val="000000" w:themeColor="text1"/>
          <w:sz w:val="22"/>
          <w:lang w:val="es-ES_tradnl"/>
        </w:rPr>
        <w:t>interven</w:t>
      </w:r>
      <w:r>
        <w:rPr>
          <w:rFonts w:ascii="Arial" w:hAnsi="Arial" w:cs="Arial"/>
          <w:bCs/>
          <w:color w:val="000000" w:themeColor="text1"/>
          <w:sz w:val="22"/>
          <w:lang w:val="es-ES_tradnl"/>
        </w:rPr>
        <w:t xml:space="preserve">toría </w:t>
      </w:r>
      <w:r w:rsidR="006123F7">
        <w:rPr>
          <w:rFonts w:ascii="Arial" w:hAnsi="Arial" w:cs="Arial"/>
          <w:bCs/>
          <w:color w:val="000000" w:themeColor="text1"/>
          <w:sz w:val="22"/>
          <w:lang w:val="es-ES_tradnl"/>
        </w:rPr>
        <w:t>de</w:t>
      </w:r>
      <w:r>
        <w:rPr>
          <w:rFonts w:ascii="Arial" w:hAnsi="Arial" w:cs="Arial"/>
          <w:bCs/>
          <w:color w:val="000000" w:themeColor="text1"/>
          <w:sz w:val="22"/>
          <w:lang w:val="es-ES_tradnl"/>
        </w:rPr>
        <w:t xml:space="preserve"> los estudios y diseños, pues las inhabilidades e incompatibilidades solo pueden crea</w:t>
      </w:r>
      <w:r w:rsidR="00397C8B">
        <w:rPr>
          <w:rFonts w:ascii="Arial" w:hAnsi="Arial" w:cs="Arial"/>
          <w:bCs/>
          <w:color w:val="000000" w:themeColor="text1"/>
          <w:sz w:val="22"/>
          <w:lang w:val="es-ES_tradnl"/>
        </w:rPr>
        <w:t>rlas</w:t>
      </w:r>
      <w:r>
        <w:rPr>
          <w:rFonts w:ascii="Arial" w:hAnsi="Arial" w:cs="Arial"/>
          <w:bCs/>
          <w:color w:val="000000" w:themeColor="text1"/>
          <w:sz w:val="22"/>
          <w:lang w:val="es-ES_tradnl"/>
        </w:rPr>
        <w:t xml:space="preserve"> el legislador formal, es decir, se rigen por el principio de tipicidad estricta. Además, el pliego de condiciones es un acto administrativo general –ni siquiera un reglamento– y, por lo tanto, no puede abrogarse la regulación de situaciones que gozan de reserva de ley, como el establecimiento de causales de inhabilidad o de incompatibilidad para participar en el correspondiente procedimiento de selección.</w:t>
      </w:r>
    </w:p>
    <w:p w14:paraId="3D77320D" w14:textId="77777777" w:rsidR="003D42ED" w:rsidRDefault="003D42ED" w:rsidP="008E7635">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De otro lado, si bien la Ley 842 de 2003 –«Por la cual se modifica la reglamentación del ejercicio de la ingeniería, de sus profesiones afines y de sus profesiones auxiliares, se adopta el Código de Ética Profesional y se dictan otras disposiciones»– establece un conjunto de prohibiciones para los profesionales de la ingeniería, algunas de las cuales se aplican en los procedimientos de selección de los contratistas del Estado, se trata de prohibiciones dirigidas a los </w:t>
      </w:r>
      <w:r>
        <w:rPr>
          <w:rFonts w:ascii="Arial" w:hAnsi="Arial" w:cs="Arial"/>
          <w:bCs/>
          <w:i/>
          <w:iCs/>
          <w:color w:val="000000" w:themeColor="text1"/>
          <w:sz w:val="22"/>
          <w:lang w:val="es-ES_tradnl"/>
        </w:rPr>
        <w:t>profesionales</w:t>
      </w:r>
      <w:r>
        <w:rPr>
          <w:rFonts w:ascii="Arial" w:hAnsi="Arial" w:cs="Arial"/>
          <w:bCs/>
          <w:color w:val="000000" w:themeColor="text1"/>
          <w:sz w:val="22"/>
          <w:lang w:val="es-ES_tradnl"/>
        </w:rPr>
        <w:t xml:space="preserve">, no necesariamente a los </w:t>
      </w:r>
      <w:r>
        <w:rPr>
          <w:rFonts w:ascii="Arial" w:hAnsi="Arial" w:cs="Arial"/>
          <w:bCs/>
          <w:i/>
          <w:iCs/>
          <w:color w:val="000000" w:themeColor="text1"/>
          <w:sz w:val="22"/>
          <w:lang w:val="es-ES_tradnl"/>
        </w:rPr>
        <w:t>proponentes</w:t>
      </w:r>
      <w:r>
        <w:rPr>
          <w:rFonts w:ascii="Arial" w:hAnsi="Arial" w:cs="Arial"/>
          <w:bCs/>
          <w:color w:val="000000" w:themeColor="text1"/>
          <w:sz w:val="22"/>
          <w:lang w:val="es-ES_tradnl"/>
        </w:rPr>
        <w:t xml:space="preserve">. Así se infiere del artículo 30 de la mencionada Ley, que prevé lo siguiente: «Los ingenieros, sus profesionales afines y sus profesionales auxiliares, para todos los efectos del Código de Ética Profesional y su Régimen Disciplinario contemplados en esta ley, se denominarán "Los profesionales"».  </w:t>
      </w:r>
    </w:p>
    <w:p w14:paraId="20C7F703" w14:textId="77777777" w:rsidR="003D42ED" w:rsidRDefault="003D42ED" w:rsidP="008E7635">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En tal sentido, conviene referirse, de manera especial, a la prohibición prevista en el literal a) del artículo 44 de dicha Ley, según la cual: «Los </w:t>
      </w:r>
      <w:r>
        <w:rPr>
          <w:rFonts w:ascii="Arial" w:hAnsi="Arial" w:cs="Arial"/>
          <w:bCs/>
          <w:i/>
          <w:iCs/>
          <w:color w:val="000000" w:themeColor="text1"/>
          <w:sz w:val="22"/>
          <w:lang w:val="es-ES_tradnl"/>
        </w:rPr>
        <w:t>profesionales</w:t>
      </w:r>
      <w:r>
        <w:rPr>
          <w:rFonts w:ascii="Arial" w:hAnsi="Arial" w:cs="Arial"/>
          <w:bCs/>
          <w:color w:val="000000" w:themeColor="text1"/>
          <w:sz w:val="22"/>
          <w:lang w:val="es-ES_tradnl"/>
        </w:rPr>
        <w:t xml:space="preserve"> que hayan actuado como asesores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 (cursiva fuera de texto).</w:t>
      </w:r>
    </w:p>
    <w:p w14:paraId="325C0336" w14:textId="77777777" w:rsidR="003D42ED" w:rsidRDefault="003D42ED" w:rsidP="008E7635">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Como se observa, esta norma prohíbe que el profesional que ha actuado como </w:t>
      </w:r>
      <w:r>
        <w:rPr>
          <w:rFonts w:ascii="Arial" w:hAnsi="Arial" w:cs="Arial"/>
          <w:bCs/>
          <w:i/>
          <w:iCs/>
          <w:color w:val="000000" w:themeColor="text1"/>
          <w:sz w:val="22"/>
          <w:lang w:val="es-ES_tradnl"/>
        </w:rPr>
        <w:t>asesor</w:t>
      </w:r>
      <w:r>
        <w:rPr>
          <w:rFonts w:ascii="Arial" w:hAnsi="Arial" w:cs="Arial"/>
          <w:bCs/>
          <w:color w:val="000000" w:themeColor="text1"/>
          <w:sz w:val="22"/>
          <w:lang w:val="es-ES_tradnl"/>
        </w:rPr>
        <w:t xml:space="preserve"> de quien está interesado en contratar un servicio participe en las actividades que serán contratadas, salvo que así lo permitan las condiciones de la convocatoria. </w:t>
      </w:r>
    </w:p>
    <w:p w14:paraId="0EF3EF49" w14:textId="6DE75EF9" w:rsidR="003D42ED" w:rsidRDefault="003D42ED" w:rsidP="008E7635">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La palabra </w:t>
      </w:r>
      <w:r>
        <w:rPr>
          <w:rFonts w:ascii="Arial" w:hAnsi="Arial" w:cs="Arial"/>
          <w:bCs/>
          <w:i/>
          <w:iCs/>
          <w:color w:val="000000" w:themeColor="text1"/>
          <w:sz w:val="22"/>
          <w:lang w:val="es-ES_tradnl"/>
        </w:rPr>
        <w:t>asesor</w:t>
      </w:r>
      <w:r>
        <w:rPr>
          <w:rFonts w:ascii="Arial" w:hAnsi="Arial" w:cs="Arial"/>
          <w:bCs/>
          <w:color w:val="000000" w:themeColor="text1"/>
          <w:sz w:val="22"/>
          <w:lang w:val="es-ES_tradnl"/>
        </w:rPr>
        <w:t xml:space="preserve"> en el artículo 44 de la Ley 842 de 2003 debe interpretarse restrictivamente y en armonía con el artículo 32, numeral 2º de la Ley 80 de 1993, que define el objeto de los contratos de consultoría</w:t>
      </w:r>
      <w:r w:rsidR="00DA5CB5">
        <w:rPr>
          <w:rFonts w:ascii="Arial" w:hAnsi="Arial" w:cs="Arial"/>
          <w:bCs/>
          <w:color w:val="000000" w:themeColor="text1"/>
          <w:sz w:val="22"/>
          <w:lang w:val="es-ES_tradnl"/>
        </w:rPr>
        <w:t xml:space="preserve"> diferenciando la interventoría de la asesoría</w:t>
      </w:r>
      <w:r w:rsidR="00AF0AB5">
        <w:rPr>
          <w:rStyle w:val="Refdenotaalpie"/>
          <w:rFonts w:ascii="Arial" w:hAnsi="Arial" w:cs="Arial"/>
          <w:bCs/>
          <w:color w:val="000000" w:themeColor="text1"/>
          <w:sz w:val="22"/>
          <w:lang w:val="es-ES_tradnl"/>
        </w:rPr>
        <w:footnoteReference w:id="14"/>
      </w:r>
      <w:r>
        <w:rPr>
          <w:rFonts w:ascii="Arial" w:hAnsi="Arial" w:cs="Arial"/>
          <w:bCs/>
          <w:color w:val="000000" w:themeColor="text1"/>
          <w:sz w:val="22"/>
          <w:lang w:val="es-ES_tradnl"/>
        </w:rPr>
        <w:t xml:space="preserve">. En consecuencia, no todo el que celebra un contrato de consultoría con una </w:t>
      </w:r>
      <w:r>
        <w:rPr>
          <w:rFonts w:ascii="Arial" w:hAnsi="Arial" w:cs="Arial"/>
          <w:bCs/>
          <w:color w:val="000000" w:themeColor="text1"/>
          <w:sz w:val="22"/>
          <w:lang w:val="es-ES_tradnl"/>
        </w:rPr>
        <w:lastRenderedPageBreak/>
        <w:t xml:space="preserve">entidad estatal lo hace para asesorarla, ya que, normativamente, el objeto de esta tipología contractual incluye actividades diversas, como los estudios y diseños, los estudios para la ejecución de proyectos de inversión, los estudios de diagnóstico, la interventoría, la gerencia de obra o de proyectos y </w:t>
      </w:r>
      <w:r>
        <w:rPr>
          <w:rFonts w:ascii="Arial" w:hAnsi="Arial" w:cs="Arial"/>
          <w:bCs/>
          <w:i/>
          <w:iCs/>
          <w:color w:val="000000" w:themeColor="text1"/>
          <w:sz w:val="22"/>
          <w:lang w:val="es-ES_tradnl"/>
        </w:rPr>
        <w:t>la asesoría</w:t>
      </w:r>
      <w:r>
        <w:rPr>
          <w:rFonts w:ascii="Arial" w:hAnsi="Arial" w:cs="Arial"/>
          <w:bCs/>
          <w:color w:val="000000" w:themeColor="text1"/>
          <w:sz w:val="22"/>
          <w:lang w:val="es-ES_tradnl"/>
        </w:rPr>
        <w:t>, entre otras.</w:t>
      </w:r>
    </w:p>
    <w:p w14:paraId="3F2F6DA1" w14:textId="60337A1B" w:rsidR="003D42ED" w:rsidRDefault="003D42ED" w:rsidP="000C4B2A">
      <w:pPr>
        <w:spacing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Partiendo de esta precisión conceptual y guiados por el criterio de interpretación restrictiva que gobierna tanto las inhabilidades e incompatibilidades como, en general, las prohibiciones, debe indicarse que cuando el artículo 44 de la mencionada Ley 842 establece que «Los </w:t>
      </w:r>
      <w:r>
        <w:rPr>
          <w:rFonts w:ascii="Arial" w:hAnsi="Arial" w:cs="Arial"/>
          <w:bCs/>
          <w:i/>
          <w:iCs/>
          <w:color w:val="000000" w:themeColor="text1"/>
          <w:sz w:val="22"/>
          <w:lang w:val="es-ES_tradnl"/>
        </w:rPr>
        <w:t>profesionales</w:t>
      </w:r>
      <w:r>
        <w:rPr>
          <w:rFonts w:ascii="Arial" w:hAnsi="Arial" w:cs="Arial"/>
          <w:bCs/>
          <w:color w:val="000000" w:themeColor="text1"/>
          <w:sz w:val="22"/>
          <w:lang w:val="es-ES_tradnl"/>
        </w:rPr>
        <w:t xml:space="preserve"> que hayan actuado como </w:t>
      </w:r>
      <w:r>
        <w:rPr>
          <w:rFonts w:ascii="Arial" w:hAnsi="Arial" w:cs="Arial"/>
          <w:bCs/>
          <w:i/>
          <w:iCs/>
          <w:color w:val="000000" w:themeColor="text1"/>
          <w:sz w:val="22"/>
          <w:lang w:val="es-ES_tradnl"/>
        </w:rPr>
        <w:t>asesores</w:t>
      </w:r>
      <w:r>
        <w:rPr>
          <w:rFonts w:ascii="Arial" w:hAnsi="Arial" w:cs="Arial"/>
          <w:bCs/>
          <w:color w:val="000000" w:themeColor="text1"/>
          <w:sz w:val="22"/>
          <w:lang w:val="es-ES_tradnl"/>
        </w:rPr>
        <w:t xml:space="preserve">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 (cursiva fuera de texto), lo que prohíbe es que los profesionales que asesoraron a la entidad contratante en el correspondiente procedimiento de selección, participen luego en la ejecución de las labores que motivaron la realización de la convocatoria. Por ejemplo, que quien actuó como asesor en un concurso de méritos de arquitectura, trabaje posteriormente en la elaboración del diseño arquitectónico</w:t>
      </w:r>
      <w:r>
        <w:rPr>
          <w:rStyle w:val="Refdenotaalpie"/>
          <w:rFonts w:ascii="Arial" w:hAnsi="Arial" w:cs="Arial"/>
          <w:bCs/>
          <w:color w:val="000000" w:themeColor="text1"/>
          <w:sz w:val="22"/>
          <w:lang w:val="es-ES_tradnl"/>
        </w:rPr>
        <w:footnoteReference w:id="15"/>
      </w:r>
      <w:r>
        <w:rPr>
          <w:rFonts w:ascii="Arial" w:hAnsi="Arial" w:cs="Arial"/>
          <w:bCs/>
          <w:color w:val="000000" w:themeColor="text1"/>
          <w:sz w:val="22"/>
          <w:lang w:val="es-ES_tradnl"/>
        </w:rPr>
        <w:t>. Pero la norma no proscribe que quien hizo</w:t>
      </w:r>
      <w:r w:rsidR="004E4ECF">
        <w:rPr>
          <w:rFonts w:ascii="Arial" w:hAnsi="Arial" w:cs="Arial"/>
          <w:bCs/>
          <w:color w:val="000000" w:themeColor="text1"/>
          <w:sz w:val="22"/>
          <w:lang w:val="es-ES_tradnl"/>
        </w:rPr>
        <w:t xml:space="preserve"> la interventoría de</w:t>
      </w:r>
      <w:r>
        <w:rPr>
          <w:rFonts w:ascii="Arial" w:hAnsi="Arial" w:cs="Arial"/>
          <w:bCs/>
          <w:color w:val="000000" w:themeColor="text1"/>
          <w:sz w:val="22"/>
          <w:lang w:val="es-ES_tradnl"/>
        </w:rPr>
        <w:t xml:space="preserve"> los estudios y diseños se presente al proceso de licitación pública cuyo objeto es contratar la obra o participe en la construcción, pues en este caso el </w:t>
      </w:r>
      <w:r w:rsidR="00AF0AB5">
        <w:rPr>
          <w:rFonts w:ascii="Arial" w:hAnsi="Arial" w:cs="Arial"/>
          <w:bCs/>
          <w:color w:val="000000" w:themeColor="text1"/>
          <w:sz w:val="22"/>
          <w:lang w:val="es-ES_tradnl"/>
        </w:rPr>
        <w:t xml:space="preserve">interventor </w:t>
      </w:r>
      <w:r>
        <w:rPr>
          <w:rFonts w:ascii="Arial" w:hAnsi="Arial" w:cs="Arial"/>
          <w:bCs/>
          <w:color w:val="000000" w:themeColor="text1"/>
          <w:sz w:val="22"/>
          <w:lang w:val="es-ES_tradnl"/>
        </w:rPr>
        <w:t xml:space="preserve">no actúa como </w:t>
      </w:r>
      <w:r>
        <w:rPr>
          <w:rFonts w:ascii="Arial" w:hAnsi="Arial" w:cs="Arial"/>
          <w:bCs/>
          <w:i/>
          <w:iCs/>
          <w:color w:val="000000" w:themeColor="text1"/>
          <w:sz w:val="22"/>
          <w:lang w:val="es-ES_tradnl"/>
        </w:rPr>
        <w:t>asesor</w:t>
      </w:r>
      <w:r>
        <w:rPr>
          <w:rFonts w:ascii="Arial" w:hAnsi="Arial" w:cs="Arial"/>
          <w:bCs/>
          <w:color w:val="000000" w:themeColor="text1"/>
          <w:sz w:val="22"/>
          <w:lang w:val="es-ES_tradnl"/>
        </w:rPr>
        <w:t xml:space="preserve">.   </w:t>
      </w:r>
    </w:p>
    <w:p w14:paraId="5B96242F" w14:textId="77777777" w:rsidR="009D28EA" w:rsidRDefault="009D28EA" w:rsidP="000C4B2A">
      <w:pPr>
        <w:spacing w:line="276" w:lineRule="auto"/>
        <w:ind w:firstLine="709"/>
        <w:jc w:val="both"/>
        <w:rPr>
          <w:rFonts w:ascii="Arial" w:hAnsi="Arial" w:cs="Arial"/>
          <w:bCs/>
          <w:color w:val="000000" w:themeColor="text1"/>
          <w:sz w:val="22"/>
          <w:lang w:val="es-ES_tradnl"/>
        </w:rPr>
      </w:pPr>
    </w:p>
    <w:p w14:paraId="6F6EFD13" w14:textId="25B08051" w:rsidR="00531A38" w:rsidRPr="001B30CA" w:rsidRDefault="009D28EA" w:rsidP="000C4B2A">
      <w:pPr>
        <w:pStyle w:val="Prrafodelista"/>
        <w:tabs>
          <w:tab w:val="left" w:pos="284"/>
        </w:tabs>
        <w:spacing w:line="276" w:lineRule="auto"/>
        <w:ind w:left="0"/>
        <w:jc w:val="both"/>
        <w:rPr>
          <w:rFonts w:ascii="Arial" w:eastAsia="Calibri" w:hAnsi="Arial" w:cs="Arial"/>
          <w:color w:val="000000" w:themeColor="text1"/>
          <w:sz w:val="22"/>
          <w:lang w:val="es-ES"/>
        </w:rPr>
      </w:pPr>
      <w:r>
        <w:rPr>
          <w:rFonts w:ascii="Arial" w:eastAsia="Calibri" w:hAnsi="Arial" w:cs="Arial"/>
          <w:b/>
          <w:color w:val="000000" w:themeColor="text1"/>
          <w:sz w:val="22"/>
          <w:lang w:val="es-ES"/>
        </w:rPr>
        <w:t xml:space="preserve">3. </w:t>
      </w:r>
      <w:r w:rsidR="00531A38" w:rsidRPr="001B30CA">
        <w:rPr>
          <w:rFonts w:ascii="Arial" w:eastAsia="Calibri" w:hAnsi="Arial" w:cs="Arial"/>
          <w:b/>
          <w:color w:val="000000" w:themeColor="text1"/>
          <w:sz w:val="22"/>
          <w:lang w:val="es-ES"/>
        </w:rPr>
        <w:t>Respuesta</w:t>
      </w:r>
    </w:p>
    <w:p w14:paraId="0FEFBFDC" w14:textId="77777777" w:rsidR="00531A38" w:rsidRPr="001B30CA" w:rsidRDefault="00531A38" w:rsidP="008E7635">
      <w:pPr>
        <w:tabs>
          <w:tab w:val="left" w:pos="284"/>
        </w:tabs>
        <w:spacing w:line="276" w:lineRule="auto"/>
        <w:jc w:val="both"/>
        <w:rPr>
          <w:rFonts w:ascii="Arial" w:eastAsia="Calibri" w:hAnsi="Arial" w:cs="Arial"/>
          <w:color w:val="000000" w:themeColor="text1"/>
          <w:sz w:val="22"/>
          <w:lang w:val="es-ES"/>
        </w:rPr>
      </w:pPr>
    </w:p>
    <w:p w14:paraId="02365A77" w14:textId="07C8BD4C" w:rsidR="00D37D49" w:rsidRPr="001B30CA" w:rsidRDefault="009D28EA" w:rsidP="008E7635">
      <w:pPr>
        <w:ind w:left="709" w:right="709"/>
        <w:jc w:val="both"/>
        <w:rPr>
          <w:rFonts w:ascii="Arial" w:eastAsia="Calibri" w:hAnsi="Arial" w:cs="Arial"/>
          <w:color w:val="000000" w:themeColor="text1"/>
          <w:sz w:val="21"/>
          <w:szCs w:val="21"/>
          <w:lang w:val="es-ES"/>
        </w:rPr>
      </w:pPr>
      <w:r w:rsidRPr="009D28EA">
        <w:rPr>
          <w:rFonts w:ascii="Arial" w:eastAsia="Calibri" w:hAnsi="Arial" w:cs="Arial"/>
          <w:color w:val="000000" w:themeColor="text1"/>
          <w:sz w:val="21"/>
          <w:szCs w:val="21"/>
          <w:lang w:val="es-ES"/>
        </w:rPr>
        <w:t>«[…] existe alguna causal de inhabilidad e incompatibilidad para un contratista que desea presentar oferta para que se le adjudica un contrato de una obra, habiendo ejecutado y liquidado previamente el contrato de interventoría a los estudios y diseños de la misma obra».</w:t>
      </w:r>
    </w:p>
    <w:p w14:paraId="41D6AF70" w14:textId="03F277A0" w:rsidR="00D37D49" w:rsidRDefault="00D37D49" w:rsidP="00D43B86">
      <w:pPr>
        <w:spacing w:line="276" w:lineRule="auto"/>
        <w:jc w:val="both"/>
        <w:rPr>
          <w:rFonts w:ascii="Arial" w:eastAsia="Calibri" w:hAnsi="Arial" w:cs="Arial"/>
          <w:sz w:val="22"/>
          <w:lang w:val="es-ES"/>
        </w:rPr>
      </w:pPr>
    </w:p>
    <w:p w14:paraId="1EECCBF0" w14:textId="3B9DDF52" w:rsidR="00A60231" w:rsidRPr="00EC0CFF" w:rsidRDefault="000C4B2A" w:rsidP="00D43B86">
      <w:pPr>
        <w:spacing w:after="120" w:line="276" w:lineRule="auto"/>
        <w:jc w:val="both"/>
        <w:rPr>
          <w:rFonts w:ascii="Arial" w:eastAsia="Calibri" w:hAnsi="Arial" w:cs="Arial"/>
          <w:sz w:val="22"/>
          <w:lang w:val="es-ES"/>
        </w:rPr>
      </w:pPr>
      <w:r w:rsidRPr="00EC0CFF">
        <w:rPr>
          <w:rFonts w:ascii="Arial" w:eastAsia="Calibri" w:hAnsi="Arial" w:cs="Arial"/>
          <w:sz w:val="22"/>
          <w:lang w:val="es-ES"/>
        </w:rPr>
        <w:t xml:space="preserve">Una persona que fue contratada para la interventoría de los estudios y diseños previos de una obra no está inhabilitada ni en situación de incompatibilidad para participar en el posterior procedimiento de licitación para seleccionar al contratista que se encargará de la </w:t>
      </w:r>
      <w:r w:rsidRPr="00EC0CFF">
        <w:rPr>
          <w:rFonts w:ascii="Arial" w:eastAsia="Calibri" w:hAnsi="Arial" w:cs="Arial"/>
          <w:sz w:val="22"/>
          <w:lang w:val="es-ES"/>
        </w:rPr>
        <w:lastRenderedPageBreak/>
        <w:t>obra. Lo anterior, c</w:t>
      </w:r>
      <w:r w:rsidR="00A60231" w:rsidRPr="00EC0CFF">
        <w:rPr>
          <w:rFonts w:ascii="Arial" w:eastAsia="Calibri" w:hAnsi="Arial" w:cs="Arial"/>
          <w:sz w:val="22"/>
          <w:lang w:val="es-ES"/>
        </w:rPr>
        <w:t>omo consecuencia de la interpretación restrictiva que debe guiar la labor del intérprete en materia de</w:t>
      </w:r>
      <w:r w:rsidR="00EC0CFF" w:rsidRPr="00EC0CFF">
        <w:rPr>
          <w:rFonts w:ascii="Arial" w:eastAsia="Calibri" w:hAnsi="Arial" w:cs="Arial"/>
          <w:sz w:val="22"/>
          <w:lang w:val="es-ES"/>
        </w:rPr>
        <w:t>l régimen de</w:t>
      </w:r>
      <w:r w:rsidR="00A60231" w:rsidRPr="00EC0CFF">
        <w:rPr>
          <w:rFonts w:ascii="Arial" w:eastAsia="Calibri" w:hAnsi="Arial" w:cs="Arial"/>
          <w:sz w:val="22"/>
          <w:lang w:val="es-ES"/>
        </w:rPr>
        <w:t xml:space="preserve"> inhabilidades</w:t>
      </w:r>
      <w:r w:rsidRPr="00EC0CFF">
        <w:rPr>
          <w:rFonts w:ascii="Arial" w:eastAsia="Calibri" w:hAnsi="Arial" w:cs="Arial"/>
          <w:sz w:val="22"/>
          <w:lang w:val="es-ES"/>
        </w:rPr>
        <w:t xml:space="preserve"> e incompatibilidades</w:t>
      </w:r>
      <w:r w:rsidR="00A60231" w:rsidRPr="00EC0CFF">
        <w:rPr>
          <w:rFonts w:ascii="Arial" w:eastAsia="Calibri" w:hAnsi="Arial" w:cs="Arial"/>
          <w:sz w:val="22"/>
          <w:lang w:val="es-ES"/>
        </w:rPr>
        <w:t xml:space="preserve">, </w:t>
      </w:r>
      <w:r w:rsidR="00EC0CFF">
        <w:rPr>
          <w:rFonts w:ascii="Arial" w:eastAsia="Calibri" w:hAnsi="Arial" w:cs="Arial"/>
          <w:sz w:val="22"/>
          <w:lang w:val="es-ES"/>
        </w:rPr>
        <w:t>teniendo en cuenta que</w:t>
      </w:r>
      <w:r w:rsidR="00A60231" w:rsidRPr="00EC0CFF">
        <w:rPr>
          <w:rFonts w:ascii="Arial" w:eastAsia="Calibri" w:hAnsi="Arial" w:cs="Arial"/>
          <w:sz w:val="22"/>
          <w:lang w:val="es-ES"/>
        </w:rPr>
        <w:t xml:space="preserve"> estas disposiciones</w:t>
      </w:r>
      <w:r w:rsidR="00397C8B">
        <w:rPr>
          <w:rFonts w:ascii="Arial" w:eastAsia="Calibri" w:hAnsi="Arial" w:cs="Arial"/>
          <w:sz w:val="22"/>
          <w:lang w:val="es-ES"/>
        </w:rPr>
        <w:t xml:space="preserve"> que regulan la materia</w:t>
      </w:r>
      <w:r w:rsidR="00A60231" w:rsidRPr="00EC0CFF">
        <w:rPr>
          <w:rFonts w:ascii="Arial" w:eastAsia="Calibri" w:hAnsi="Arial" w:cs="Arial"/>
          <w:sz w:val="22"/>
          <w:lang w:val="es-ES"/>
        </w:rPr>
        <w:t xml:space="preserve"> </w:t>
      </w:r>
      <w:r w:rsidR="00EC0CFF" w:rsidRPr="00EC0CFF">
        <w:rPr>
          <w:rFonts w:ascii="Arial" w:eastAsia="Calibri" w:hAnsi="Arial" w:cs="Arial"/>
          <w:sz w:val="22"/>
          <w:lang w:val="es-ES"/>
        </w:rPr>
        <w:t xml:space="preserve">no </w:t>
      </w:r>
      <w:r w:rsidR="00A60231" w:rsidRPr="00EC0CFF">
        <w:rPr>
          <w:rFonts w:ascii="Arial" w:eastAsia="Calibri" w:hAnsi="Arial" w:cs="Arial"/>
          <w:sz w:val="22"/>
          <w:lang w:val="es-ES"/>
        </w:rPr>
        <w:t xml:space="preserve">hacen referencia a </w:t>
      </w:r>
      <w:r w:rsidR="00EC0CFF" w:rsidRPr="00EC0CFF">
        <w:rPr>
          <w:rFonts w:ascii="Arial" w:eastAsia="Calibri" w:hAnsi="Arial" w:cs="Arial"/>
          <w:sz w:val="22"/>
          <w:lang w:val="es-ES"/>
        </w:rPr>
        <w:t>ese supuesto de hecho.</w:t>
      </w:r>
    </w:p>
    <w:p w14:paraId="17E25D99" w14:textId="77777777" w:rsidR="009D28EA" w:rsidRDefault="009D28EA" w:rsidP="00D43B86">
      <w:pPr>
        <w:spacing w:line="276" w:lineRule="auto"/>
        <w:jc w:val="both"/>
        <w:rPr>
          <w:rFonts w:ascii="Arial" w:eastAsia="Calibri" w:hAnsi="Arial" w:cs="Arial"/>
          <w:sz w:val="22"/>
          <w:lang w:val="es-ES"/>
        </w:rPr>
      </w:pPr>
    </w:p>
    <w:p w14:paraId="231152B9" w14:textId="77777777" w:rsidR="00693FA3" w:rsidRPr="00593BA7" w:rsidRDefault="00693FA3" w:rsidP="00EC0CFF">
      <w:pPr>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00FA72C3" w14:textId="77777777" w:rsidR="00693FA3" w:rsidRPr="001B30CA" w:rsidRDefault="00693FA3" w:rsidP="008E7635">
      <w:pPr>
        <w:spacing w:line="276" w:lineRule="auto"/>
        <w:jc w:val="both"/>
        <w:rPr>
          <w:rFonts w:ascii="Arial" w:eastAsia="Calibri" w:hAnsi="Arial" w:cs="Arial"/>
          <w:sz w:val="22"/>
          <w:lang w:val="es-ES"/>
        </w:rPr>
      </w:pPr>
    </w:p>
    <w:p w14:paraId="4FB9C975" w14:textId="77777777" w:rsidR="00531A38" w:rsidRPr="001B30CA" w:rsidRDefault="00531A38" w:rsidP="008E7635">
      <w:pPr>
        <w:spacing w:line="276" w:lineRule="auto"/>
        <w:jc w:val="both"/>
        <w:rPr>
          <w:rFonts w:ascii="Arial" w:eastAsia="Calibri" w:hAnsi="Arial" w:cs="Arial"/>
          <w:color w:val="000000" w:themeColor="text1"/>
          <w:sz w:val="22"/>
          <w:lang w:val="es-ES"/>
        </w:rPr>
      </w:pPr>
    </w:p>
    <w:p w14:paraId="25726FE3" w14:textId="77777777" w:rsidR="00531A38" w:rsidRPr="001B30CA" w:rsidRDefault="00531A38" w:rsidP="00531A38">
      <w:pPr>
        <w:spacing w:line="276" w:lineRule="auto"/>
        <w:jc w:val="both"/>
        <w:rPr>
          <w:rFonts w:ascii="Arial" w:eastAsia="Calibri" w:hAnsi="Arial" w:cs="Arial"/>
          <w:color w:val="000000" w:themeColor="text1"/>
          <w:sz w:val="22"/>
          <w:lang w:val="es-ES"/>
        </w:rPr>
      </w:pPr>
      <w:r w:rsidRPr="001B30CA">
        <w:rPr>
          <w:noProof/>
          <w:color w:val="000000" w:themeColor="text1"/>
          <w:lang w:val="es-CO" w:eastAsia="es-CO"/>
        </w:rPr>
        <mc:AlternateContent>
          <mc:Choice Requires="wps">
            <w:drawing>
              <wp:anchor distT="0" distB="0" distL="114300" distR="114300" simplePos="0" relativeHeight="251659264" behindDoc="0" locked="0" layoutInCell="1" allowOverlap="1" wp14:anchorId="12FD24F0" wp14:editId="147ECCC1">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9406E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6B1763D" w14:textId="77777777" w:rsidR="009D28EA" w:rsidRDefault="009D28EA" w:rsidP="009D28EA">
      <w:pPr>
        <w:textAlignment w:val="baseline"/>
        <w:rPr>
          <w:rFonts w:ascii="Segoe UI" w:eastAsia="Times New Roman" w:hAnsi="Segoe UI" w:cs="Segoe UI"/>
          <w:sz w:val="18"/>
          <w:szCs w:val="18"/>
          <w:lang w:val="es-CO" w:eastAsia="es-CO"/>
        </w:rPr>
      </w:pPr>
      <w:r>
        <w:rPr>
          <w:rFonts w:ascii="Arial" w:eastAsia="Times New Roman" w:hAnsi="Arial" w:cs="Arial"/>
          <w:sz w:val="22"/>
          <w:lang w:eastAsia="es-CO"/>
        </w:rPr>
        <w:t>Atentamente,</w:t>
      </w:r>
      <w:r>
        <w:rPr>
          <w:rFonts w:ascii="Arial" w:eastAsia="Times New Roman" w:hAnsi="Arial" w:cs="Arial"/>
          <w:sz w:val="22"/>
          <w:lang w:val="es-CO" w:eastAsia="es-CO"/>
        </w:rPr>
        <w:t> </w:t>
      </w:r>
    </w:p>
    <w:p w14:paraId="4111F1A7" w14:textId="77777777" w:rsidR="009D28EA" w:rsidRDefault="009D28EA" w:rsidP="009D28EA">
      <w:pPr>
        <w:textAlignment w:val="baseline"/>
        <w:rPr>
          <w:rFonts w:ascii="Segoe UI" w:eastAsia="Times New Roman" w:hAnsi="Segoe UI" w:cs="Segoe UI"/>
          <w:sz w:val="18"/>
          <w:szCs w:val="18"/>
          <w:lang w:val="es-CO" w:eastAsia="es-CO"/>
        </w:rPr>
      </w:pPr>
      <w:r>
        <w:rPr>
          <w:rFonts w:ascii="Arial" w:eastAsia="Times New Roman" w:hAnsi="Arial" w:cs="Arial"/>
          <w:sz w:val="22"/>
          <w:lang w:val="es-CO" w:eastAsia="es-CO"/>
        </w:rPr>
        <w:t> </w:t>
      </w:r>
    </w:p>
    <w:p w14:paraId="6870784B" w14:textId="522FECB5" w:rsidR="009D28EA" w:rsidRDefault="009D28EA" w:rsidP="009D28EA">
      <w:pPr>
        <w:jc w:val="center"/>
        <w:textAlignment w:val="baseline"/>
        <w:rPr>
          <w:rFonts w:ascii="Segoe UI" w:eastAsia="Times New Roman" w:hAnsi="Segoe UI" w:cs="Segoe UI"/>
          <w:sz w:val="18"/>
          <w:szCs w:val="18"/>
          <w:lang w:val="es-CO" w:eastAsia="es-CO"/>
        </w:rPr>
      </w:pPr>
      <w:r>
        <w:rPr>
          <w:rFonts w:ascii="Arial" w:eastAsia="Times New Roman" w:hAnsi="Arial" w:cs="Arial"/>
          <w:noProof/>
          <w:color w:val="000000" w:themeColor="text1"/>
          <w:sz w:val="22"/>
          <w:lang w:eastAsia="es-CO"/>
        </w:rPr>
        <w:drawing>
          <wp:inline distT="0" distB="0" distL="0" distR="0" wp14:anchorId="32684F28" wp14:editId="1278415E">
            <wp:extent cx="2647950" cy="16409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309" cy="1646119"/>
                    </a:xfrm>
                    <a:prstGeom prst="rect">
                      <a:avLst/>
                    </a:prstGeom>
                    <a:noFill/>
                    <a:ln>
                      <a:noFill/>
                    </a:ln>
                  </pic:spPr>
                </pic:pic>
              </a:graphicData>
            </a:graphic>
          </wp:inline>
        </w:drawing>
      </w:r>
      <w:r>
        <w:rPr>
          <w:rFonts w:ascii="Arial" w:eastAsia="Times New Roman" w:hAnsi="Arial" w:cs="Arial"/>
          <w:sz w:val="18"/>
          <w:szCs w:val="18"/>
          <w:lang w:val="es-CO" w:eastAsia="es-CO"/>
        </w:rPr>
        <w:t> </w:t>
      </w:r>
    </w:p>
    <w:p w14:paraId="3DC3D347" w14:textId="77777777" w:rsidR="009D28EA" w:rsidRDefault="009D28EA" w:rsidP="009D28EA">
      <w:pPr>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 </w:t>
      </w:r>
    </w:p>
    <w:tbl>
      <w:tblPr>
        <w:tblW w:w="5220" w:type="dxa"/>
        <w:tblCellMar>
          <w:left w:w="0" w:type="dxa"/>
          <w:right w:w="0" w:type="dxa"/>
        </w:tblCellMar>
        <w:tblLook w:val="04A0" w:firstRow="1" w:lastRow="0" w:firstColumn="1" w:lastColumn="0" w:noHBand="0" w:noVBand="1"/>
      </w:tblPr>
      <w:tblGrid>
        <w:gridCol w:w="810"/>
        <w:gridCol w:w="4410"/>
      </w:tblGrid>
      <w:tr w:rsidR="00AF0AB5" w:rsidRPr="00270DA4" w14:paraId="090E9F41" w14:textId="77777777" w:rsidTr="00FC2065">
        <w:trPr>
          <w:trHeight w:val="315"/>
        </w:trPr>
        <w:tc>
          <w:tcPr>
            <w:tcW w:w="810" w:type="dxa"/>
            <w:shd w:val="clear" w:color="auto" w:fill="auto"/>
            <w:vAlign w:val="center"/>
            <w:hideMark/>
          </w:tcPr>
          <w:p w14:paraId="264B9DFA" w14:textId="77777777" w:rsidR="00AF0AB5" w:rsidRPr="00270DA4" w:rsidRDefault="00AF0AB5" w:rsidP="00FC2065">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Elaboró:</w:t>
            </w:r>
            <w:r w:rsidRPr="00270DA4">
              <w:rPr>
                <w:rFonts w:ascii="Arial" w:eastAsia="Times New Roman" w:hAnsi="Arial" w:cs="Arial"/>
                <w:sz w:val="16"/>
                <w:szCs w:val="16"/>
                <w:lang w:val="es-CO" w:eastAsia="es-CO"/>
              </w:rPr>
              <w:t> </w:t>
            </w:r>
          </w:p>
        </w:tc>
        <w:tc>
          <w:tcPr>
            <w:tcW w:w="4410" w:type="dxa"/>
            <w:shd w:val="clear" w:color="auto" w:fill="auto"/>
            <w:vAlign w:val="center"/>
            <w:hideMark/>
          </w:tcPr>
          <w:p w14:paraId="3DF834DF" w14:textId="77777777" w:rsidR="00AF0AB5" w:rsidRPr="00270DA4" w:rsidRDefault="00AF0AB5" w:rsidP="00FC2065">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Ximena Ríos López</w:t>
            </w:r>
            <w:r w:rsidRPr="00270DA4">
              <w:rPr>
                <w:rFonts w:ascii="Arial" w:eastAsia="Times New Roman" w:hAnsi="Arial" w:cs="Arial"/>
                <w:sz w:val="16"/>
                <w:szCs w:val="16"/>
                <w:lang w:val="es-CO" w:eastAsia="es-CO"/>
              </w:rPr>
              <w:t> </w:t>
            </w:r>
          </w:p>
          <w:p w14:paraId="76111990" w14:textId="77777777" w:rsidR="00AF0AB5" w:rsidRPr="00270DA4" w:rsidRDefault="00AF0AB5" w:rsidP="00FC2065">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Gestor T1-11</w:t>
            </w:r>
            <w:r w:rsidRPr="00270DA4">
              <w:rPr>
                <w:rFonts w:ascii="Arial" w:eastAsia="Times New Roman" w:hAnsi="Arial" w:cs="Arial"/>
                <w:sz w:val="16"/>
                <w:szCs w:val="16"/>
                <w:lang w:val="es-CO" w:eastAsia="es-CO"/>
              </w:rPr>
              <w:t> </w:t>
            </w:r>
            <w:r>
              <w:rPr>
                <w:rFonts w:ascii="Arial" w:eastAsia="Times New Roman" w:hAnsi="Arial" w:cs="Arial"/>
                <w:sz w:val="16"/>
                <w:szCs w:val="16"/>
                <w:lang w:val="es-CO" w:eastAsia="es-CO"/>
              </w:rPr>
              <w:t xml:space="preserve">de la Subdirección de Gestión Contractual </w:t>
            </w:r>
          </w:p>
        </w:tc>
      </w:tr>
      <w:tr w:rsidR="00AF0AB5" w:rsidRPr="00270DA4" w14:paraId="38862E51" w14:textId="77777777" w:rsidTr="00FC2065">
        <w:trPr>
          <w:trHeight w:val="315"/>
        </w:trPr>
        <w:tc>
          <w:tcPr>
            <w:tcW w:w="810" w:type="dxa"/>
            <w:shd w:val="clear" w:color="auto" w:fill="auto"/>
            <w:vAlign w:val="center"/>
            <w:hideMark/>
          </w:tcPr>
          <w:p w14:paraId="1100307F" w14:textId="77777777" w:rsidR="00AF0AB5" w:rsidRPr="00270DA4" w:rsidRDefault="00AF0AB5" w:rsidP="00FC2065">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Revisó:</w:t>
            </w:r>
            <w:r w:rsidRPr="00270DA4">
              <w:rPr>
                <w:rFonts w:ascii="Arial" w:eastAsia="Times New Roman" w:hAnsi="Arial" w:cs="Arial"/>
                <w:sz w:val="16"/>
                <w:szCs w:val="16"/>
                <w:lang w:val="es-CO" w:eastAsia="es-CO"/>
              </w:rPr>
              <w:t> </w:t>
            </w:r>
          </w:p>
        </w:tc>
        <w:tc>
          <w:tcPr>
            <w:tcW w:w="4410" w:type="dxa"/>
            <w:shd w:val="clear" w:color="auto" w:fill="auto"/>
            <w:vAlign w:val="center"/>
            <w:hideMark/>
          </w:tcPr>
          <w:p w14:paraId="4F512E3C" w14:textId="77777777" w:rsidR="00AF0AB5" w:rsidRPr="00270DA4" w:rsidRDefault="00AF0AB5" w:rsidP="00FC2065">
            <w:pPr>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Juan David Montoya Penagos</w:t>
            </w:r>
          </w:p>
          <w:p w14:paraId="7867932D" w14:textId="77777777" w:rsidR="00AF0AB5" w:rsidRPr="00270DA4" w:rsidRDefault="00AF0AB5" w:rsidP="00FC2065">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Gestor T1-1</w:t>
            </w:r>
            <w:r>
              <w:rPr>
                <w:rFonts w:ascii="Arial" w:eastAsia="Times New Roman" w:hAnsi="Arial" w:cs="Arial"/>
                <w:sz w:val="16"/>
                <w:szCs w:val="16"/>
                <w:lang w:eastAsia="es-CO"/>
              </w:rPr>
              <w:t xml:space="preserve">5 </w:t>
            </w:r>
            <w:r>
              <w:rPr>
                <w:rFonts w:ascii="Arial" w:eastAsia="Times New Roman" w:hAnsi="Arial" w:cs="Arial"/>
                <w:sz w:val="16"/>
                <w:szCs w:val="16"/>
                <w:lang w:val="es-CO" w:eastAsia="es-CO"/>
              </w:rPr>
              <w:t>de la Subdirección de Gestión Contractual</w:t>
            </w:r>
          </w:p>
        </w:tc>
      </w:tr>
      <w:tr w:rsidR="00AF0AB5" w:rsidRPr="00270DA4" w14:paraId="7697200E" w14:textId="77777777" w:rsidTr="00FC2065">
        <w:trPr>
          <w:trHeight w:val="300"/>
        </w:trPr>
        <w:tc>
          <w:tcPr>
            <w:tcW w:w="810" w:type="dxa"/>
            <w:shd w:val="clear" w:color="auto" w:fill="auto"/>
            <w:vAlign w:val="center"/>
            <w:hideMark/>
          </w:tcPr>
          <w:p w14:paraId="0EABB4C4" w14:textId="77777777" w:rsidR="00AF0AB5" w:rsidRPr="00270DA4" w:rsidRDefault="00AF0AB5" w:rsidP="00FC2065">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Aprobó:</w:t>
            </w:r>
            <w:r w:rsidRPr="00270DA4">
              <w:rPr>
                <w:rFonts w:ascii="Arial" w:eastAsia="Times New Roman" w:hAnsi="Arial" w:cs="Arial"/>
                <w:sz w:val="16"/>
                <w:szCs w:val="16"/>
                <w:lang w:val="es-CO" w:eastAsia="es-CO"/>
              </w:rPr>
              <w:t> </w:t>
            </w:r>
          </w:p>
        </w:tc>
        <w:tc>
          <w:tcPr>
            <w:tcW w:w="4410" w:type="dxa"/>
            <w:shd w:val="clear" w:color="auto" w:fill="auto"/>
            <w:vAlign w:val="center"/>
            <w:hideMark/>
          </w:tcPr>
          <w:p w14:paraId="6C4286C9" w14:textId="77777777" w:rsidR="00AF0AB5" w:rsidRPr="00270DA4" w:rsidRDefault="00AF0AB5" w:rsidP="00FC2065">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Jorge Augusto Tirado Navarro</w:t>
            </w:r>
            <w:r w:rsidRPr="00270DA4">
              <w:rPr>
                <w:rFonts w:ascii="Arial" w:eastAsia="Times New Roman" w:hAnsi="Arial" w:cs="Arial"/>
                <w:sz w:val="16"/>
                <w:szCs w:val="16"/>
                <w:lang w:val="es-CO" w:eastAsia="es-CO"/>
              </w:rPr>
              <w:t> </w:t>
            </w:r>
          </w:p>
          <w:p w14:paraId="4F39C714" w14:textId="77777777" w:rsidR="00AF0AB5" w:rsidRPr="00270DA4" w:rsidRDefault="00AF0AB5" w:rsidP="00FC2065">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Subdirector de Gestión Contractual</w:t>
            </w:r>
            <w:r w:rsidRPr="00270DA4">
              <w:rPr>
                <w:rFonts w:ascii="Arial" w:eastAsia="Times New Roman" w:hAnsi="Arial" w:cs="Arial"/>
                <w:sz w:val="16"/>
                <w:szCs w:val="16"/>
                <w:lang w:val="es-CO" w:eastAsia="es-CO"/>
              </w:rPr>
              <w:t> </w:t>
            </w:r>
            <w:r>
              <w:rPr>
                <w:rFonts w:ascii="Arial" w:eastAsia="Times New Roman" w:hAnsi="Arial" w:cs="Arial"/>
                <w:sz w:val="16"/>
                <w:szCs w:val="16"/>
                <w:lang w:val="es-CO" w:eastAsia="es-CO"/>
              </w:rPr>
              <w:t>ANCP – CCE</w:t>
            </w:r>
          </w:p>
        </w:tc>
      </w:tr>
    </w:tbl>
    <w:p w14:paraId="1C8D1234" w14:textId="77777777" w:rsidR="009D28EA" w:rsidRDefault="009D28EA" w:rsidP="009D28EA">
      <w:pPr>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 </w:t>
      </w:r>
    </w:p>
    <w:p w14:paraId="541B31F7" w14:textId="77777777" w:rsidR="00693FA3" w:rsidRPr="00693FA3" w:rsidRDefault="00693FA3"/>
    <w:sectPr w:rsidR="00693FA3" w:rsidRPr="00693FA3" w:rsidSect="009B64AD">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D0366" w14:textId="77777777" w:rsidR="00602091" w:rsidRDefault="00602091" w:rsidP="00531A38">
      <w:r>
        <w:separator/>
      </w:r>
    </w:p>
  </w:endnote>
  <w:endnote w:type="continuationSeparator" w:id="0">
    <w:p w14:paraId="548C1E46" w14:textId="77777777" w:rsidR="00602091" w:rsidRDefault="00602091" w:rsidP="0053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5B1C" w14:textId="77777777" w:rsidR="00E25BBF" w:rsidRDefault="00E25BBF" w:rsidP="00E25BBF">
    <w:pPr>
      <w:pStyle w:val="Sinespaciado"/>
      <w:jc w:val="right"/>
      <w:rPr>
        <w:rFonts w:ascii="Arial" w:hAnsi="Arial" w:cs="Arial"/>
        <w:sz w:val="18"/>
        <w:szCs w:val="18"/>
      </w:rPr>
    </w:pPr>
  </w:p>
  <w:p w14:paraId="413F3097" w14:textId="76467476" w:rsidR="00E25BBF" w:rsidRPr="008217B7" w:rsidRDefault="00E25BBF" w:rsidP="00E25BB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3577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3577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3037EE98" w14:textId="77777777" w:rsidR="00E25BBF" w:rsidRDefault="00E25BBF" w:rsidP="00E25BBF">
    <w:pPr>
      <w:pStyle w:val="Piedepgina"/>
      <w:jc w:val="center"/>
      <w:rPr>
        <w:lang w:val="es-ES"/>
      </w:rPr>
    </w:pPr>
    <w:r>
      <w:rPr>
        <w:noProof/>
        <w:lang w:val="es-CO" w:eastAsia="es-CO"/>
      </w:rPr>
      <w:drawing>
        <wp:inline distT="0" distB="0" distL="0" distR="0" wp14:anchorId="22560D79" wp14:editId="5A4FA655">
          <wp:extent cx="3700130" cy="519139"/>
          <wp:effectExtent l="0" t="0" r="0" b="0"/>
          <wp:docPr id="18920401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C8F99C" w14:textId="77777777" w:rsidR="00E25BBF" w:rsidRDefault="00E25BBF" w:rsidP="00E25BBF">
    <w:pPr>
      <w:pStyle w:val="Piedepgina"/>
      <w:jc w:val="center"/>
      <w:rPr>
        <w:lang w:val="es-ES"/>
      </w:rPr>
    </w:pPr>
  </w:p>
  <w:p w14:paraId="751CBEF1" w14:textId="77777777" w:rsidR="00E25BBF" w:rsidRPr="007B0854" w:rsidRDefault="00E25BBF" w:rsidP="00E25BBF">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BB212" w14:textId="77777777" w:rsidR="00602091" w:rsidRDefault="00602091" w:rsidP="00531A38">
      <w:r>
        <w:separator/>
      </w:r>
    </w:p>
  </w:footnote>
  <w:footnote w:type="continuationSeparator" w:id="0">
    <w:p w14:paraId="7C0333E1" w14:textId="77777777" w:rsidR="00602091" w:rsidRDefault="00602091" w:rsidP="00531A38">
      <w:r>
        <w:continuationSeparator/>
      </w:r>
    </w:p>
  </w:footnote>
  <w:footnote w:id="1">
    <w:p w14:paraId="3CAD00BE" w14:textId="77777777" w:rsidR="00E25BBF" w:rsidRPr="00AB29F3" w:rsidRDefault="00E25BBF" w:rsidP="00AB29F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CORTE CONSTITUCIONAL. Sentencia C-1016 de 2012. M.P. Jorge Iván Palacio. </w:t>
      </w:r>
    </w:p>
    <w:p w14:paraId="54024826" w14:textId="77777777" w:rsidR="00E25BBF" w:rsidRPr="00AB29F3" w:rsidRDefault="00E25BBF" w:rsidP="00AB29F3">
      <w:pPr>
        <w:pStyle w:val="Textonotapie"/>
        <w:ind w:firstLine="709"/>
        <w:jc w:val="both"/>
        <w:rPr>
          <w:rFonts w:ascii="Arial" w:hAnsi="Arial" w:cs="Arial"/>
          <w:sz w:val="19"/>
          <w:szCs w:val="19"/>
        </w:rPr>
      </w:pPr>
    </w:p>
  </w:footnote>
  <w:footnote w:id="2">
    <w:p w14:paraId="7696AC73" w14:textId="5CDD5384" w:rsidR="00E25BBF" w:rsidRDefault="00E25BBF" w:rsidP="00AB29F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CONSEJO DE ESTADO. Sección Tercera. Subsección A. Sentencia del 13 de noviembre de 2013. Rad. 25.646. C.P. Mauricio Fajardo Gómez.  </w:t>
      </w:r>
    </w:p>
    <w:p w14:paraId="31D9D981" w14:textId="77777777" w:rsidR="009B5D2A" w:rsidRPr="00AB29F3" w:rsidRDefault="009B5D2A" w:rsidP="00AB29F3">
      <w:pPr>
        <w:pStyle w:val="Textonotapie"/>
        <w:ind w:firstLine="709"/>
        <w:jc w:val="both"/>
        <w:rPr>
          <w:rFonts w:ascii="Arial" w:hAnsi="Arial" w:cs="Arial"/>
          <w:sz w:val="19"/>
          <w:szCs w:val="19"/>
        </w:rPr>
      </w:pPr>
    </w:p>
  </w:footnote>
  <w:footnote w:id="3">
    <w:p w14:paraId="0D629F08" w14:textId="77777777" w:rsidR="00E25BBF" w:rsidRPr="00AB29F3" w:rsidRDefault="00E25BBF" w:rsidP="00AB29F3">
      <w:pPr>
        <w:pStyle w:val="Textonotapie"/>
        <w:ind w:firstLine="709"/>
        <w:jc w:val="both"/>
        <w:rPr>
          <w:rFonts w:ascii="Arial" w:hAnsi="Arial" w:cs="Arial"/>
          <w:sz w:val="19"/>
          <w:szCs w:val="19"/>
        </w:rPr>
      </w:pPr>
      <w:r w:rsidRPr="00AB29F3">
        <w:rPr>
          <w:rFonts w:ascii="Arial" w:hAnsi="Arial" w:cs="Arial"/>
          <w:sz w:val="19"/>
          <w:szCs w:val="19"/>
          <w:vertAlign w:val="superscript"/>
        </w:rPr>
        <w:footnoteRef/>
      </w:r>
      <w:r w:rsidRPr="00AB29F3">
        <w:rPr>
          <w:rFonts w:ascii="Arial" w:hAnsi="Arial" w:cs="Arial"/>
          <w:sz w:val="19"/>
          <w:szCs w:val="19"/>
        </w:rPr>
        <w:t xml:space="preserve"> CORTE CONSTITUCIONAL. Sentencia C-415 de 1994. M.P. Eduardo Cifuentes Muñoz. </w:t>
      </w:r>
    </w:p>
    <w:p w14:paraId="1B7BB513" w14:textId="77777777" w:rsidR="00E25BBF" w:rsidRPr="00AB29F3" w:rsidRDefault="00E25BBF" w:rsidP="00AB29F3">
      <w:pPr>
        <w:pStyle w:val="Textonotapie"/>
        <w:ind w:firstLine="709"/>
        <w:jc w:val="both"/>
        <w:rPr>
          <w:rFonts w:ascii="Arial" w:hAnsi="Arial" w:cs="Arial"/>
          <w:sz w:val="19"/>
          <w:szCs w:val="19"/>
        </w:rPr>
      </w:pPr>
    </w:p>
  </w:footnote>
  <w:footnote w:id="4">
    <w:p w14:paraId="73DE5219" w14:textId="1DC57B07" w:rsidR="00E25BBF" w:rsidRDefault="00E25BBF" w:rsidP="00AB29F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w:t>
      </w:r>
      <w:r w:rsidRPr="00D43B86">
        <w:rPr>
          <w:rFonts w:ascii="Arial" w:hAnsi="Arial" w:cs="Arial"/>
          <w:i/>
          <w:iCs/>
          <w:sz w:val="19"/>
          <w:szCs w:val="19"/>
        </w:rPr>
        <w:t>Ibídem</w:t>
      </w:r>
      <w:r w:rsidRPr="00AB29F3">
        <w:rPr>
          <w:rFonts w:ascii="Arial" w:hAnsi="Arial" w:cs="Arial"/>
          <w:sz w:val="19"/>
          <w:szCs w:val="19"/>
        </w:rPr>
        <w:t xml:space="preserve">. </w:t>
      </w:r>
    </w:p>
    <w:p w14:paraId="3C0D7A1C" w14:textId="77777777" w:rsidR="009B5D2A" w:rsidRPr="00AB29F3" w:rsidRDefault="009B5D2A" w:rsidP="00AB29F3">
      <w:pPr>
        <w:pStyle w:val="Textonotapie"/>
        <w:ind w:firstLine="709"/>
        <w:jc w:val="both"/>
        <w:rPr>
          <w:rFonts w:ascii="Arial" w:hAnsi="Arial" w:cs="Arial"/>
          <w:sz w:val="19"/>
          <w:szCs w:val="19"/>
        </w:rPr>
      </w:pPr>
    </w:p>
  </w:footnote>
  <w:footnote w:id="5">
    <w:p w14:paraId="33006BC4" w14:textId="77777777" w:rsidR="00E25BBF" w:rsidRPr="00AB29F3" w:rsidRDefault="00E25BBF" w:rsidP="00AB29F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CORTE CONSTITUCIONAL. Sentencia C-780 de 2001. M.P. Jaime Córdoba Triviño. </w:t>
      </w:r>
    </w:p>
  </w:footnote>
  <w:footnote w:id="6">
    <w:p w14:paraId="39975C74" w14:textId="6F6F9F7C" w:rsidR="005939F8"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Style w:val="Refdenotaalpie"/>
          <w:rFonts w:ascii="Arial" w:hAnsi="Arial" w:cs="Arial"/>
          <w:sz w:val="19"/>
          <w:szCs w:val="19"/>
        </w:rPr>
        <w:footnoteRef/>
      </w:r>
      <w:r w:rsidRPr="00AB29F3">
        <w:rPr>
          <w:rFonts w:ascii="Arial" w:hAnsi="Arial" w:cs="Arial"/>
          <w:sz w:val="19"/>
          <w:szCs w:val="19"/>
        </w:rPr>
        <w:t xml:space="preserve"> </w:t>
      </w:r>
      <w:r w:rsidRPr="00AB29F3">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68B62323" w14:textId="2CC00C11"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»a) Las personas que se hallen inhabilitadas para contratar por la Constitución y las leyes. </w:t>
      </w:r>
    </w:p>
    <w:p w14:paraId="2E6EEC07" w14:textId="5E9BAE28"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»b) Quienes participaron en las licitaciones o concursos o celebraron los contratos de que trata el literal anterior estando inhabilitados. </w:t>
      </w:r>
    </w:p>
    <w:p w14:paraId="70619B1C" w14:textId="15752766"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»c) Quienes dieron lugar a la declaratoria de caducidad. </w:t>
      </w:r>
    </w:p>
    <w:p w14:paraId="6B8887D1" w14:textId="4A7538FD"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»d) Quienes en sentencia judicial hayan sido condenados a la pena accesoria de interdicción de derechos y funciones públicas y quienes hayan sido sancionados disciplinariamente con destitución. </w:t>
      </w:r>
    </w:p>
    <w:p w14:paraId="6FCF467F" w14:textId="0E181FF3"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»e) Quienes sin justa causa se abstengan de suscribir el contrato estatal adjudicado. </w:t>
      </w:r>
    </w:p>
    <w:p w14:paraId="7DD073CA" w14:textId="4E8E5F2E"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»f) Los servidores públicos. </w:t>
      </w:r>
    </w:p>
    <w:p w14:paraId="10CCB5B3" w14:textId="0A4551B5" w:rsidR="00B5214E"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5E7181D8" w14:textId="77777777"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438F262B" w14:textId="205C531D"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»i) Los socios de sociedades de personas a las cuales se haya declarado la caducidad, así como las sociedades de personas de las que aquellos formen parte con posterioridad a dicha declaratoria. </w:t>
      </w:r>
    </w:p>
    <w:p w14:paraId="65B80C45" w14:textId="10ED4885"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60BBAC4C" w14:textId="7A03C6A4"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1ACDDBC5" w14:textId="7DE887D9"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AB29F3">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AB29F3">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AB29F3">
        <w:rPr>
          <w:rFonts w:ascii="Arial" w:eastAsiaTheme="minorHAnsi" w:hAnsi="Arial" w:cs="Arial"/>
          <w:sz w:val="19"/>
          <w:szCs w:val="19"/>
          <w:lang w:val="es-ES" w:eastAsia="en-US"/>
        </w:rPr>
        <w:softHyphen/>
        <w:t>nería jurídica en los términos de ley, o cuyos representantes legales, ad</w:t>
      </w:r>
      <w:r w:rsidRPr="00AB29F3">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AB29F3">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6674C737" w14:textId="10E53BE2" w:rsidR="00E25BBF" w:rsidRPr="00AB29F3" w:rsidRDefault="00D17C68"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w:t>
      </w:r>
      <w:r w:rsidR="00E25BBF" w:rsidRPr="00AB29F3">
        <w:rPr>
          <w:rFonts w:ascii="Arial" w:eastAsiaTheme="minorHAnsi" w:hAnsi="Arial" w:cs="Arial"/>
          <w:sz w:val="19"/>
          <w:szCs w:val="19"/>
          <w:lang w:val="es-ES" w:eastAsia="en-US"/>
        </w:rPr>
        <w:t>[…]</w:t>
      </w:r>
    </w:p>
    <w:p w14:paraId="290B8118" w14:textId="77777777"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»2o. Tampoco podrán participar en licitaciones o concursos ni celebrar contratos estatales con la entidad respectiva: </w:t>
      </w:r>
    </w:p>
    <w:p w14:paraId="39642FB7" w14:textId="79B29C1F"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53874995" w14:textId="541C44CD"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081ECBA0" w14:textId="5B8849E8"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20765B38" w14:textId="16883688"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77963F9E" w14:textId="02A0AC71" w:rsidR="00E25BBF"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30549A89" w14:textId="77777777" w:rsidR="00D17C68" w:rsidRPr="00AB29F3" w:rsidRDefault="00E25BBF"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w:t>
      </w:r>
      <w:r w:rsidR="00D17C68" w:rsidRPr="00AB29F3">
        <w:rPr>
          <w:rFonts w:ascii="Arial" w:eastAsiaTheme="minorHAnsi" w:hAnsi="Arial" w:cs="Arial"/>
          <w:sz w:val="19"/>
          <w:szCs w:val="19"/>
          <w:lang w:val="es-ES" w:eastAsia="en-US"/>
        </w:rPr>
        <w:t>.</w:t>
      </w:r>
    </w:p>
    <w:p w14:paraId="5A138D27" w14:textId="690424E5" w:rsidR="00E25BBF" w:rsidRPr="00AB29F3" w:rsidRDefault="00D17C68" w:rsidP="00AB29F3">
      <w:pPr>
        <w:pStyle w:val="NormalWeb"/>
        <w:spacing w:before="0" w:beforeAutospacing="0" w:after="0" w:afterAutospacing="0"/>
        <w:ind w:firstLine="709"/>
        <w:jc w:val="both"/>
        <w:rPr>
          <w:rFonts w:ascii="Arial" w:eastAsiaTheme="minorHAnsi" w:hAnsi="Arial" w:cs="Arial"/>
          <w:sz w:val="19"/>
          <w:szCs w:val="19"/>
          <w:lang w:val="es-ES" w:eastAsia="en-US"/>
        </w:rPr>
      </w:pPr>
      <w:r w:rsidRPr="00AB29F3">
        <w:rPr>
          <w:rFonts w:ascii="Arial" w:eastAsiaTheme="minorHAnsi" w:hAnsi="Arial" w:cs="Arial"/>
          <w:sz w:val="19"/>
          <w:szCs w:val="19"/>
          <w:lang w:val="es-ES" w:eastAsia="en-US"/>
        </w:rPr>
        <w:t>[…]</w:t>
      </w:r>
      <w:r w:rsidR="00E25BBF" w:rsidRPr="00AB29F3">
        <w:rPr>
          <w:rFonts w:ascii="Arial" w:eastAsiaTheme="minorHAnsi" w:hAnsi="Arial" w:cs="Arial"/>
          <w:sz w:val="19"/>
          <w:szCs w:val="19"/>
          <w:lang w:val="es-ES" w:eastAsia="en-US"/>
        </w:rPr>
        <w:t xml:space="preserve">». </w:t>
      </w:r>
    </w:p>
  </w:footnote>
  <w:footnote w:id="7">
    <w:p w14:paraId="3B1AFBA4" w14:textId="2C6CD247" w:rsidR="00E25BBF" w:rsidRPr="00AB29F3" w:rsidRDefault="00E25BBF" w:rsidP="00AB29F3">
      <w:pPr>
        <w:pStyle w:val="Textonotapie"/>
        <w:ind w:firstLine="709"/>
        <w:jc w:val="both"/>
        <w:rPr>
          <w:rFonts w:ascii="Arial" w:hAnsi="Arial" w:cs="Arial"/>
          <w:sz w:val="19"/>
          <w:szCs w:val="19"/>
          <w:lang w:val="es-ES"/>
        </w:rPr>
      </w:pPr>
      <w:r w:rsidRPr="00AB29F3">
        <w:rPr>
          <w:rStyle w:val="Refdenotaalpie"/>
          <w:rFonts w:ascii="Arial" w:hAnsi="Arial" w:cs="Arial"/>
          <w:sz w:val="19"/>
          <w:szCs w:val="19"/>
        </w:rPr>
        <w:footnoteRef/>
      </w:r>
      <w:r w:rsidRPr="00AB29F3">
        <w:rPr>
          <w:rFonts w:ascii="Arial" w:hAnsi="Arial" w:cs="Arial"/>
          <w:sz w:val="19"/>
          <w:szCs w:val="19"/>
        </w:rPr>
        <w:t xml:space="preserve"> DÁVILA VINUEZA, Luis Guillermo. </w:t>
      </w:r>
      <w:r w:rsidRPr="00AB29F3">
        <w:rPr>
          <w:rFonts w:ascii="Arial" w:hAnsi="Arial" w:cs="Arial"/>
          <w:sz w:val="19"/>
          <w:szCs w:val="19"/>
          <w:lang w:val="es-ES"/>
        </w:rPr>
        <w:t xml:space="preserve">Régimen Jurídico De La Contratación Estatal. Recuperado de https://xperta.legis.co, Capítulo VI Inhabilidades e Incompatibilidades, Sección 2 Interpretación Restrictiva. </w:t>
      </w:r>
    </w:p>
    <w:p w14:paraId="65CBA696" w14:textId="77777777" w:rsidR="00310A5C" w:rsidRPr="00AB29F3" w:rsidRDefault="00310A5C" w:rsidP="00AB29F3">
      <w:pPr>
        <w:pStyle w:val="Textonotapie"/>
        <w:ind w:firstLine="709"/>
        <w:jc w:val="both"/>
        <w:rPr>
          <w:rFonts w:ascii="Arial" w:hAnsi="Arial" w:cs="Arial"/>
          <w:sz w:val="19"/>
          <w:szCs w:val="19"/>
          <w:lang w:val="es-ES"/>
        </w:rPr>
      </w:pPr>
    </w:p>
  </w:footnote>
  <w:footnote w:id="8">
    <w:p w14:paraId="1534A0B1" w14:textId="50C2BC8E" w:rsidR="00E25BBF" w:rsidRPr="00AB29F3" w:rsidRDefault="00E25BBF" w:rsidP="00AB29F3">
      <w:pPr>
        <w:pStyle w:val="Textonotapie"/>
        <w:ind w:firstLine="709"/>
        <w:jc w:val="both"/>
        <w:rPr>
          <w:rFonts w:ascii="Arial" w:hAnsi="Arial" w:cs="Arial"/>
          <w:sz w:val="19"/>
          <w:szCs w:val="19"/>
          <w:lang w:val="es-ES"/>
        </w:rPr>
      </w:pPr>
      <w:r w:rsidRPr="00AB29F3">
        <w:rPr>
          <w:rStyle w:val="Refdenotaalpie"/>
          <w:rFonts w:ascii="Arial" w:hAnsi="Arial" w:cs="Arial"/>
          <w:sz w:val="19"/>
          <w:szCs w:val="19"/>
        </w:rPr>
        <w:footnoteRef/>
      </w:r>
      <w:r w:rsidRPr="00AB29F3">
        <w:rPr>
          <w:rFonts w:ascii="Arial" w:hAnsi="Arial" w:cs="Arial"/>
          <w:sz w:val="19"/>
          <w:szCs w:val="19"/>
        </w:rPr>
        <w:t xml:space="preserve"> </w:t>
      </w:r>
      <w:r w:rsidRPr="00AB29F3">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59C87B49" w14:textId="77777777" w:rsidR="00310A5C" w:rsidRPr="00AB29F3" w:rsidRDefault="00310A5C" w:rsidP="00AB29F3">
      <w:pPr>
        <w:pStyle w:val="Textonotapie"/>
        <w:ind w:firstLine="709"/>
        <w:jc w:val="both"/>
        <w:rPr>
          <w:rFonts w:ascii="Arial" w:hAnsi="Arial" w:cs="Arial"/>
          <w:sz w:val="19"/>
          <w:szCs w:val="19"/>
          <w:lang w:val="es-ES"/>
        </w:rPr>
      </w:pPr>
    </w:p>
  </w:footnote>
  <w:footnote w:id="9">
    <w:p w14:paraId="1F055F2C" w14:textId="7B2E8857" w:rsidR="00E25BBF" w:rsidRPr="00AB29F3" w:rsidRDefault="00E25BBF" w:rsidP="00AB29F3">
      <w:pPr>
        <w:pStyle w:val="Textonotapie"/>
        <w:ind w:firstLine="709"/>
        <w:jc w:val="both"/>
        <w:rPr>
          <w:rFonts w:ascii="Arial" w:hAnsi="Arial" w:cs="Arial"/>
          <w:sz w:val="19"/>
          <w:szCs w:val="19"/>
          <w:lang w:val="es-ES"/>
        </w:rPr>
      </w:pPr>
      <w:r w:rsidRPr="00AB29F3">
        <w:rPr>
          <w:rStyle w:val="Refdenotaalpie"/>
          <w:rFonts w:ascii="Arial" w:hAnsi="Arial" w:cs="Arial"/>
          <w:sz w:val="19"/>
          <w:szCs w:val="19"/>
        </w:rPr>
        <w:footnoteRef/>
      </w:r>
      <w:r w:rsidRPr="00AB29F3">
        <w:rPr>
          <w:rFonts w:ascii="Arial" w:hAnsi="Arial" w:cs="Arial"/>
          <w:sz w:val="19"/>
          <w:szCs w:val="19"/>
        </w:rPr>
        <w:t xml:space="preserve"> </w:t>
      </w:r>
      <w:r w:rsidRPr="00AB29F3">
        <w:rPr>
          <w:rFonts w:ascii="Arial" w:hAnsi="Arial" w:cs="Arial"/>
          <w:sz w:val="19"/>
          <w:szCs w:val="19"/>
          <w:lang w:val="es-ES"/>
        </w:rPr>
        <w:t>CONSEJO DE ESTADO. Sala de Consulta y Servicio Civil. Concepto del 30 de abril de 2015. Exp. 2251. Consejero Ponente: Álvaro Namén Vargas.</w:t>
      </w:r>
    </w:p>
    <w:p w14:paraId="4331763B" w14:textId="77777777" w:rsidR="00310A5C" w:rsidRPr="00AB29F3" w:rsidRDefault="00310A5C" w:rsidP="00AB29F3">
      <w:pPr>
        <w:pStyle w:val="Textonotapie"/>
        <w:ind w:firstLine="709"/>
        <w:jc w:val="both"/>
        <w:rPr>
          <w:rFonts w:ascii="Arial" w:hAnsi="Arial" w:cs="Arial"/>
          <w:sz w:val="19"/>
          <w:szCs w:val="19"/>
          <w:lang w:val="es-ES"/>
        </w:rPr>
      </w:pPr>
    </w:p>
  </w:footnote>
  <w:footnote w:id="10">
    <w:p w14:paraId="2C20EFA8" w14:textId="5B917C64" w:rsidR="00E25BBF" w:rsidRPr="00AB29F3" w:rsidRDefault="00E25BBF" w:rsidP="00AB29F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CONSEJO DE ESTADO. Sección Tercera. Subsección A. Sentencia del 24 de junio de 2015. Rad. 40.635. Consejero Ponente: Hernán Andrade Rincón (E).</w:t>
      </w:r>
    </w:p>
    <w:p w14:paraId="775DE2B0" w14:textId="77777777" w:rsidR="00310A5C" w:rsidRPr="00AB29F3" w:rsidRDefault="00310A5C" w:rsidP="00AB29F3">
      <w:pPr>
        <w:pStyle w:val="Textonotapie"/>
        <w:ind w:firstLine="709"/>
        <w:jc w:val="both"/>
        <w:rPr>
          <w:rFonts w:ascii="Arial" w:hAnsi="Arial" w:cs="Arial"/>
          <w:sz w:val="19"/>
          <w:szCs w:val="19"/>
        </w:rPr>
      </w:pPr>
    </w:p>
  </w:footnote>
  <w:footnote w:id="11">
    <w:p w14:paraId="0696BD40" w14:textId="67CE7C63" w:rsidR="00E25BBF" w:rsidRPr="00AB29F3" w:rsidRDefault="00E25BBF" w:rsidP="00AB29F3">
      <w:pPr>
        <w:pStyle w:val="Textonotapie"/>
        <w:ind w:firstLine="709"/>
        <w:jc w:val="both"/>
        <w:rPr>
          <w:rFonts w:ascii="Arial" w:hAnsi="Arial" w:cs="Arial"/>
          <w:sz w:val="19"/>
          <w:szCs w:val="19"/>
        </w:rPr>
      </w:pPr>
      <w:r w:rsidRPr="00AB29F3">
        <w:rPr>
          <w:rStyle w:val="Refdenotaalpie"/>
          <w:rFonts w:ascii="Arial" w:hAnsi="Arial" w:cs="Arial"/>
          <w:sz w:val="19"/>
          <w:szCs w:val="19"/>
        </w:rPr>
        <w:footnoteRef/>
      </w:r>
      <w:r w:rsidRPr="00AB29F3">
        <w:rPr>
          <w:rFonts w:ascii="Arial" w:hAnsi="Arial" w:cs="Arial"/>
          <w:sz w:val="19"/>
          <w:szCs w:val="19"/>
        </w:rPr>
        <w:t xml:space="preserve"> CONSEJO DE ESTADO. Sección Tercera. Subsección C. Sentencia del 22 de mayo de 2013. Rad. 24.057. Consejera Ponente: Olga Melida Valle De De La Hoz.</w:t>
      </w:r>
    </w:p>
    <w:p w14:paraId="7786C4F1" w14:textId="77777777" w:rsidR="00310A5C" w:rsidRPr="00AB29F3" w:rsidRDefault="00310A5C" w:rsidP="00AB29F3">
      <w:pPr>
        <w:pStyle w:val="Textonotapie"/>
        <w:ind w:firstLine="709"/>
        <w:jc w:val="both"/>
        <w:rPr>
          <w:rFonts w:ascii="Arial" w:hAnsi="Arial" w:cs="Arial"/>
          <w:sz w:val="19"/>
          <w:szCs w:val="19"/>
        </w:rPr>
      </w:pPr>
    </w:p>
  </w:footnote>
  <w:footnote w:id="12">
    <w:p w14:paraId="7E13B7C5" w14:textId="77777777" w:rsidR="003D42ED" w:rsidRPr="00AB29F3" w:rsidRDefault="003D42ED" w:rsidP="00AB29F3">
      <w:pPr>
        <w:pStyle w:val="Textonotapie"/>
        <w:ind w:firstLine="709"/>
        <w:jc w:val="both"/>
        <w:rPr>
          <w:rFonts w:ascii="Arial" w:hAnsi="Arial" w:cs="Arial"/>
          <w:color w:val="000000" w:themeColor="text1"/>
          <w:sz w:val="19"/>
          <w:szCs w:val="19"/>
          <w:lang w:val="es-ES"/>
        </w:rPr>
      </w:pPr>
      <w:r w:rsidRPr="00AB29F3">
        <w:rPr>
          <w:rStyle w:val="Refdenotaalpie"/>
          <w:rFonts w:ascii="Arial" w:hAnsi="Arial" w:cs="Arial"/>
          <w:color w:val="000000" w:themeColor="text1"/>
          <w:sz w:val="19"/>
          <w:szCs w:val="19"/>
        </w:rPr>
        <w:footnoteRef/>
      </w:r>
      <w:r w:rsidRPr="00AB29F3">
        <w:rPr>
          <w:rFonts w:ascii="Arial" w:hAnsi="Arial" w:cs="Arial"/>
          <w:color w:val="000000" w:themeColor="text1"/>
          <w:sz w:val="19"/>
          <w:szCs w:val="19"/>
        </w:rPr>
        <w:t xml:space="preserve"> </w:t>
      </w:r>
      <w:r w:rsidRPr="00AB29F3">
        <w:rPr>
          <w:rFonts w:ascii="Arial" w:hAnsi="Arial" w:cs="Arial"/>
          <w:color w:val="000000" w:themeColor="text1"/>
          <w:sz w:val="19"/>
          <w:szCs w:val="19"/>
          <w:lang w:val="es-ES"/>
        </w:rPr>
        <w:t>«Las entidades y los servidores públicos, responderán cuando hubieren abierto licitaciones sin haber elaborado previamente los correspondientes pliegos de condiciones, diseños, estudios, planos y evaluaciones que fueren necesarios, o cuando los pliegos de condiciones hayan sido elaborados en forma incompleta, ambigua o confusa que conduzcan a interpretaciones o decisiones de carácter subjetivo por parte de aquellos».</w:t>
      </w:r>
    </w:p>
    <w:p w14:paraId="557E03D7" w14:textId="77777777" w:rsidR="003D42ED" w:rsidRPr="00AB29F3" w:rsidRDefault="003D42ED" w:rsidP="00AB29F3">
      <w:pPr>
        <w:pStyle w:val="Textonotapie"/>
        <w:ind w:firstLine="709"/>
        <w:jc w:val="both"/>
        <w:rPr>
          <w:rFonts w:ascii="Arial" w:hAnsi="Arial" w:cs="Arial"/>
          <w:color w:val="000000" w:themeColor="text1"/>
          <w:sz w:val="19"/>
          <w:szCs w:val="19"/>
          <w:lang w:val="es-ES"/>
        </w:rPr>
      </w:pPr>
    </w:p>
  </w:footnote>
  <w:footnote w:id="13">
    <w:p w14:paraId="5E6631EF" w14:textId="77777777" w:rsidR="003D42ED" w:rsidRPr="00AB29F3" w:rsidRDefault="003D42ED" w:rsidP="00AB29F3">
      <w:pPr>
        <w:pStyle w:val="Textonotapie"/>
        <w:ind w:firstLine="709"/>
        <w:jc w:val="both"/>
        <w:rPr>
          <w:rFonts w:ascii="Arial" w:hAnsi="Arial" w:cs="Arial"/>
          <w:color w:val="000000" w:themeColor="text1"/>
          <w:sz w:val="19"/>
          <w:szCs w:val="19"/>
        </w:rPr>
      </w:pPr>
      <w:r w:rsidRPr="00AB29F3">
        <w:rPr>
          <w:rStyle w:val="Refdenotaalpie"/>
          <w:rFonts w:ascii="Arial" w:hAnsi="Arial" w:cs="Arial"/>
          <w:color w:val="000000" w:themeColor="text1"/>
          <w:sz w:val="19"/>
          <w:szCs w:val="19"/>
        </w:rPr>
        <w:footnoteRef/>
      </w:r>
      <w:r w:rsidRPr="00AB29F3">
        <w:rPr>
          <w:rFonts w:ascii="Arial" w:hAnsi="Arial" w:cs="Arial"/>
          <w:color w:val="000000" w:themeColor="text1"/>
          <w:sz w:val="19"/>
          <w:szCs w:val="19"/>
        </w:rPr>
        <w:t xml:space="preserve"> Este tipo contractual se define en el artículo 32, numeral 2º de la Ley 80 de 1993 de la siguiente manera: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11968E12" w14:textId="77777777" w:rsidR="003D42ED" w:rsidRPr="00AB29F3" w:rsidRDefault="003D42ED" w:rsidP="00AB29F3">
      <w:pPr>
        <w:pStyle w:val="Textonotapie"/>
        <w:ind w:firstLine="709"/>
        <w:jc w:val="both"/>
        <w:rPr>
          <w:rFonts w:ascii="Arial" w:hAnsi="Arial" w:cs="Arial"/>
          <w:color w:val="000000" w:themeColor="text1"/>
          <w:sz w:val="19"/>
          <w:szCs w:val="19"/>
        </w:rPr>
      </w:pPr>
      <w:r w:rsidRPr="00AB29F3">
        <w:rPr>
          <w:rFonts w:ascii="Arial" w:hAnsi="Arial" w:cs="Arial"/>
          <w:color w:val="000000" w:themeColor="text1"/>
          <w:sz w:val="19"/>
          <w:szCs w:val="19"/>
        </w:rPr>
        <w:t xml:space="preserve">»Son también contratos de consultoría los que tienen por objeto la interventoría, asesoría, gerencia de obra o de proyectos, dirección, programación y la ejecución de diseños, planos, anteproyectos y proyectos». </w:t>
      </w:r>
    </w:p>
    <w:p w14:paraId="57D4FFC3" w14:textId="77777777" w:rsidR="003D42ED" w:rsidRPr="00AB29F3" w:rsidRDefault="003D42ED" w:rsidP="00AB29F3">
      <w:pPr>
        <w:pStyle w:val="Textonotapie"/>
        <w:ind w:firstLine="709"/>
        <w:jc w:val="both"/>
        <w:rPr>
          <w:rFonts w:ascii="Arial" w:hAnsi="Arial" w:cs="Arial"/>
          <w:color w:val="000000" w:themeColor="text1"/>
          <w:sz w:val="19"/>
          <w:szCs w:val="19"/>
        </w:rPr>
      </w:pPr>
    </w:p>
  </w:footnote>
  <w:footnote w:id="14">
    <w:p w14:paraId="386170CD" w14:textId="77777777" w:rsidR="00AF0AB5" w:rsidRPr="00AB29F3" w:rsidRDefault="00AF0AB5" w:rsidP="00AF0AB5">
      <w:pPr>
        <w:pStyle w:val="Textonotapie"/>
        <w:ind w:firstLine="709"/>
        <w:jc w:val="both"/>
        <w:rPr>
          <w:rFonts w:ascii="Arial" w:hAnsi="Arial" w:cs="Arial"/>
          <w:color w:val="000000" w:themeColor="text1"/>
          <w:sz w:val="19"/>
          <w:szCs w:val="19"/>
          <w:lang w:val="es-ES"/>
        </w:rPr>
      </w:pPr>
      <w:r w:rsidRPr="00AB29F3">
        <w:rPr>
          <w:rStyle w:val="Refdenotaalpie"/>
          <w:rFonts w:ascii="Arial" w:hAnsi="Arial" w:cs="Arial"/>
          <w:color w:val="000000" w:themeColor="text1"/>
          <w:sz w:val="19"/>
          <w:szCs w:val="19"/>
        </w:rPr>
        <w:footnoteRef/>
      </w:r>
      <w:r w:rsidRPr="00AB29F3">
        <w:rPr>
          <w:rFonts w:ascii="Arial" w:hAnsi="Arial" w:cs="Arial"/>
          <w:color w:val="000000" w:themeColor="text1"/>
          <w:sz w:val="19"/>
          <w:szCs w:val="19"/>
        </w:rPr>
        <w:t xml:space="preserve"> </w:t>
      </w:r>
      <w:r w:rsidRPr="00AB29F3">
        <w:rPr>
          <w:rFonts w:ascii="Arial" w:hAnsi="Arial" w:cs="Arial"/>
          <w:color w:val="000000" w:themeColor="text1"/>
          <w:sz w:val="19"/>
          <w:szCs w:val="19"/>
          <w:lang w:val="es-ES"/>
        </w:rPr>
        <w:t>Dicho numeral establece: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D314756" w14:textId="77777777" w:rsidR="00AF0AB5" w:rsidRPr="00AB29F3" w:rsidRDefault="00AF0AB5" w:rsidP="00AF0AB5">
      <w:pPr>
        <w:pStyle w:val="Textonotapie"/>
        <w:ind w:firstLine="709"/>
        <w:jc w:val="both"/>
        <w:rPr>
          <w:rFonts w:ascii="Arial" w:hAnsi="Arial" w:cs="Arial"/>
          <w:color w:val="000000" w:themeColor="text1"/>
          <w:sz w:val="19"/>
          <w:szCs w:val="19"/>
          <w:lang w:val="es-ES"/>
        </w:rPr>
      </w:pPr>
      <w:r w:rsidRPr="00AB29F3">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68A6012" w14:textId="77777777" w:rsidR="00AF0AB5" w:rsidRDefault="00AF0AB5" w:rsidP="00AF0AB5">
      <w:pPr>
        <w:pStyle w:val="Textonotapie"/>
        <w:ind w:firstLine="709"/>
        <w:jc w:val="both"/>
        <w:rPr>
          <w:rFonts w:ascii="Arial" w:hAnsi="Arial" w:cs="Arial"/>
          <w:color w:val="000000" w:themeColor="text1"/>
          <w:sz w:val="19"/>
          <w:szCs w:val="19"/>
          <w:lang w:val="es-ES"/>
        </w:rPr>
      </w:pPr>
      <w:r w:rsidRPr="00AB29F3">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p w14:paraId="7594645C" w14:textId="77777777" w:rsidR="00AF0AB5" w:rsidRPr="00AB29F3" w:rsidRDefault="00AF0AB5" w:rsidP="00AF0AB5">
      <w:pPr>
        <w:pStyle w:val="Textonotapie"/>
        <w:ind w:firstLine="709"/>
        <w:jc w:val="both"/>
        <w:rPr>
          <w:rFonts w:ascii="Arial" w:hAnsi="Arial" w:cs="Arial"/>
          <w:color w:val="000000" w:themeColor="text1"/>
          <w:sz w:val="19"/>
          <w:szCs w:val="19"/>
          <w:lang w:val="es-CO"/>
        </w:rPr>
      </w:pPr>
    </w:p>
  </w:footnote>
  <w:footnote w:id="15">
    <w:p w14:paraId="4E3B9499" w14:textId="77777777" w:rsidR="003D42ED" w:rsidRPr="00AB29F3" w:rsidRDefault="003D42ED" w:rsidP="00AB29F3">
      <w:pPr>
        <w:ind w:firstLine="709"/>
        <w:jc w:val="both"/>
        <w:rPr>
          <w:rFonts w:ascii="Arial" w:hAnsi="Arial" w:cs="Arial"/>
          <w:color w:val="000000" w:themeColor="text1"/>
          <w:sz w:val="19"/>
          <w:szCs w:val="19"/>
        </w:rPr>
      </w:pPr>
      <w:r w:rsidRPr="00AB29F3">
        <w:rPr>
          <w:rStyle w:val="Refdenotaalpie"/>
          <w:rFonts w:ascii="Arial" w:hAnsi="Arial" w:cs="Arial"/>
          <w:color w:val="000000" w:themeColor="text1"/>
          <w:sz w:val="19"/>
          <w:szCs w:val="19"/>
        </w:rPr>
        <w:footnoteRef/>
      </w:r>
      <w:r w:rsidRPr="00AB29F3">
        <w:rPr>
          <w:rFonts w:ascii="Arial" w:hAnsi="Arial" w:cs="Arial"/>
          <w:color w:val="000000" w:themeColor="text1"/>
          <w:sz w:val="19"/>
          <w:szCs w:val="19"/>
        </w:rPr>
        <w:t xml:space="preserve"> El artículo 2.2.1.2.1.3.9., numeral 2º, del Decreto 1082 de 2015 establece que el organismo asesor en el concurso de arquitectura «Es el ente idóneo en la materia de arquitectura que organiza y diseña los aspectos técnicos del concurso de arquitectura y, actúa como coordinador entre la Entidad Estatal promotora y el jurado calificador, y entre éstos con los proponentes».</w:t>
      </w:r>
    </w:p>
    <w:p w14:paraId="5EC08128" w14:textId="77777777" w:rsidR="003D42ED" w:rsidRPr="00AB29F3" w:rsidRDefault="003D42ED" w:rsidP="00AB29F3">
      <w:pPr>
        <w:pStyle w:val="Textonotapie"/>
        <w:ind w:firstLine="709"/>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1791" w14:textId="77777777" w:rsidR="00E25BBF" w:rsidRDefault="00E25BBF">
    <w:pPr>
      <w:pStyle w:val="Encabezado"/>
    </w:pPr>
    <w:r>
      <w:rPr>
        <w:noProof/>
        <w:lang w:val="es-CO" w:eastAsia="es-CO"/>
      </w:rPr>
      <w:drawing>
        <wp:anchor distT="0" distB="0" distL="114300" distR="114300" simplePos="0" relativeHeight="251659264" behindDoc="1" locked="0" layoutInCell="1" allowOverlap="1" wp14:anchorId="6B85D4C3" wp14:editId="084035A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6EE74E4"/>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38"/>
    <w:rsid w:val="000061C9"/>
    <w:rsid w:val="00035772"/>
    <w:rsid w:val="00095291"/>
    <w:rsid w:val="000C4B2A"/>
    <w:rsid w:val="000D1DF4"/>
    <w:rsid w:val="0013007D"/>
    <w:rsid w:val="00155102"/>
    <w:rsid w:val="00164BC2"/>
    <w:rsid w:val="0018496B"/>
    <w:rsid w:val="001950F4"/>
    <w:rsid w:val="001A4624"/>
    <w:rsid w:val="001A797C"/>
    <w:rsid w:val="001B22A4"/>
    <w:rsid w:val="001B30CA"/>
    <w:rsid w:val="001B703A"/>
    <w:rsid w:val="001C14FF"/>
    <w:rsid w:val="001E7F56"/>
    <w:rsid w:val="002B490C"/>
    <w:rsid w:val="002C3C98"/>
    <w:rsid w:val="002D56DD"/>
    <w:rsid w:val="002E15D6"/>
    <w:rsid w:val="00310A5C"/>
    <w:rsid w:val="003175AB"/>
    <w:rsid w:val="0033797D"/>
    <w:rsid w:val="003715CF"/>
    <w:rsid w:val="00372632"/>
    <w:rsid w:val="00397C8B"/>
    <w:rsid w:val="003A680E"/>
    <w:rsid w:val="003B3F74"/>
    <w:rsid w:val="003C37CF"/>
    <w:rsid w:val="003D42ED"/>
    <w:rsid w:val="003E44BA"/>
    <w:rsid w:val="003F5D36"/>
    <w:rsid w:val="00410D1B"/>
    <w:rsid w:val="00423868"/>
    <w:rsid w:val="0043392C"/>
    <w:rsid w:val="00466A08"/>
    <w:rsid w:val="004749BB"/>
    <w:rsid w:val="00482F85"/>
    <w:rsid w:val="004853BB"/>
    <w:rsid w:val="00492410"/>
    <w:rsid w:val="004C3C9D"/>
    <w:rsid w:val="004E0A6B"/>
    <w:rsid w:val="004E3DB0"/>
    <w:rsid w:val="004E4ECF"/>
    <w:rsid w:val="00531A38"/>
    <w:rsid w:val="005410F1"/>
    <w:rsid w:val="0054211E"/>
    <w:rsid w:val="0055223D"/>
    <w:rsid w:val="0058319E"/>
    <w:rsid w:val="00586529"/>
    <w:rsid w:val="005939F8"/>
    <w:rsid w:val="005A3A6F"/>
    <w:rsid w:val="005C1493"/>
    <w:rsid w:val="005C267A"/>
    <w:rsid w:val="00602091"/>
    <w:rsid w:val="00604583"/>
    <w:rsid w:val="00610540"/>
    <w:rsid w:val="006123F7"/>
    <w:rsid w:val="00693FA3"/>
    <w:rsid w:val="006A3FC1"/>
    <w:rsid w:val="006F4350"/>
    <w:rsid w:val="006F7834"/>
    <w:rsid w:val="00752062"/>
    <w:rsid w:val="0077166A"/>
    <w:rsid w:val="00795F2C"/>
    <w:rsid w:val="007B4068"/>
    <w:rsid w:val="007B7E0B"/>
    <w:rsid w:val="007C4504"/>
    <w:rsid w:val="007C7843"/>
    <w:rsid w:val="007F256A"/>
    <w:rsid w:val="007F2A62"/>
    <w:rsid w:val="00800D56"/>
    <w:rsid w:val="008230B0"/>
    <w:rsid w:val="008370AE"/>
    <w:rsid w:val="00841947"/>
    <w:rsid w:val="008920C3"/>
    <w:rsid w:val="00897AC4"/>
    <w:rsid w:val="008A7634"/>
    <w:rsid w:val="008B32D2"/>
    <w:rsid w:val="008B407B"/>
    <w:rsid w:val="008D3B91"/>
    <w:rsid w:val="008E7635"/>
    <w:rsid w:val="008F74EC"/>
    <w:rsid w:val="00900ABB"/>
    <w:rsid w:val="00905368"/>
    <w:rsid w:val="00926D19"/>
    <w:rsid w:val="0095363C"/>
    <w:rsid w:val="00962C05"/>
    <w:rsid w:val="00965886"/>
    <w:rsid w:val="00970F5E"/>
    <w:rsid w:val="009B5D2A"/>
    <w:rsid w:val="009B64AD"/>
    <w:rsid w:val="009B7482"/>
    <w:rsid w:val="009C15A1"/>
    <w:rsid w:val="009C1EBC"/>
    <w:rsid w:val="009C3AB8"/>
    <w:rsid w:val="009D28EA"/>
    <w:rsid w:val="009F354A"/>
    <w:rsid w:val="00A0282E"/>
    <w:rsid w:val="00A10898"/>
    <w:rsid w:val="00A20B76"/>
    <w:rsid w:val="00A32F97"/>
    <w:rsid w:val="00A54F80"/>
    <w:rsid w:val="00A60231"/>
    <w:rsid w:val="00A66698"/>
    <w:rsid w:val="00A83F2E"/>
    <w:rsid w:val="00A936EB"/>
    <w:rsid w:val="00AB055C"/>
    <w:rsid w:val="00AB29F3"/>
    <w:rsid w:val="00AE63B7"/>
    <w:rsid w:val="00AF0AB5"/>
    <w:rsid w:val="00B32295"/>
    <w:rsid w:val="00B5214E"/>
    <w:rsid w:val="00BE7952"/>
    <w:rsid w:val="00BF79A7"/>
    <w:rsid w:val="00C00D1F"/>
    <w:rsid w:val="00C13549"/>
    <w:rsid w:val="00C202E7"/>
    <w:rsid w:val="00C24054"/>
    <w:rsid w:val="00C25703"/>
    <w:rsid w:val="00C26F7A"/>
    <w:rsid w:val="00C42904"/>
    <w:rsid w:val="00C91003"/>
    <w:rsid w:val="00CB7D03"/>
    <w:rsid w:val="00CC42BD"/>
    <w:rsid w:val="00CE5F3F"/>
    <w:rsid w:val="00D06C46"/>
    <w:rsid w:val="00D10BDE"/>
    <w:rsid w:val="00D131E6"/>
    <w:rsid w:val="00D17C68"/>
    <w:rsid w:val="00D2514E"/>
    <w:rsid w:val="00D36EA2"/>
    <w:rsid w:val="00D37D49"/>
    <w:rsid w:val="00D37F40"/>
    <w:rsid w:val="00D43B86"/>
    <w:rsid w:val="00D6506A"/>
    <w:rsid w:val="00DA1CD4"/>
    <w:rsid w:val="00DA3A40"/>
    <w:rsid w:val="00DA5CB5"/>
    <w:rsid w:val="00DD2CFB"/>
    <w:rsid w:val="00DD30EA"/>
    <w:rsid w:val="00DE4038"/>
    <w:rsid w:val="00DF39CA"/>
    <w:rsid w:val="00E25BBF"/>
    <w:rsid w:val="00E60812"/>
    <w:rsid w:val="00E64348"/>
    <w:rsid w:val="00E818AA"/>
    <w:rsid w:val="00E84C0C"/>
    <w:rsid w:val="00EA2B93"/>
    <w:rsid w:val="00EC0CFF"/>
    <w:rsid w:val="00EE273D"/>
    <w:rsid w:val="00F24405"/>
    <w:rsid w:val="00F37F78"/>
    <w:rsid w:val="00F47265"/>
    <w:rsid w:val="00F50AF2"/>
    <w:rsid w:val="00F97330"/>
    <w:rsid w:val="00FA319D"/>
    <w:rsid w:val="00FA3244"/>
    <w:rsid w:val="00FD35EB"/>
    <w:rsid w:val="00FD3AAD"/>
    <w:rsid w:val="00FF4E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5B1A"/>
  <w15:chartTrackingRefBased/>
  <w15:docId w15:val="{7ACF5198-4CC3-41C9-8A95-72BB4A93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31A38"/>
    <w:pPr>
      <w:tabs>
        <w:tab w:val="center" w:pos="4419"/>
        <w:tab w:val="right" w:pos="8838"/>
      </w:tabs>
    </w:pPr>
  </w:style>
  <w:style w:type="character" w:customStyle="1" w:styleId="PiedepginaCar">
    <w:name w:val="Pie de página Car"/>
    <w:basedOn w:val="Fuentedeprrafopredeter"/>
    <w:link w:val="Piedepgina"/>
    <w:uiPriority w:val="99"/>
    <w:rsid w:val="00531A38"/>
    <w:rPr>
      <w:sz w:val="24"/>
      <w:lang w:val="es-MX"/>
    </w:rPr>
  </w:style>
  <w:style w:type="paragraph" w:styleId="Encabezado">
    <w:name w:val="header"/>
    <w:basedOn w:val="Normal"/>
    <w:link w:val="EncabezadoCar"/>
    <w:uiPriority w:val="99"/>
    <w:unhideWhenUsed/>
    <w:rsid w:val="00531A38"/>
    <w:pPr>
      <w:tabs>
        <w:tab w:val="center" w:pos="4252"/>
        <w:tab w:val="right" w:pos="8504"/>
      </w:tabs>
    </w:pPr>
  </w:style>
  <w:style w:type="character" w:customStyle="1" w:styleId="EncabezadoCar">
    <w:name w:val="Encabezado Car"/>
    <w:basedOn w:val="Fuentedeprrafopredeter"/>
    <w:link w:val="Encabezado"/>
    <w:uiPriority w:val="99"/>
    <w:rsid w:val="00531A38"/>
    <w:rPr>
      <w:sz w:val="24"/>
      <w:lang w:val="es-MX"/>
    </w:rPr>
  </w:style>
  <w:style w:type="table" w:styleId="Tablaconcuadrcula">
    <w:name w:val="Table Grid"/>
    <w:basedOn w:val="Tablanormal"/>
    <w:uiPriority w:val="39"/>
    <w:rsid w:val="00531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31A38"/>
    <w:pPr>
      <w:ind w:left="720"/>
      <w:contextualSpacing/>
    </w:pPr>
  </w:style>
  <w:style w:type="paragraph" w:styleId="NormalWeb">
    <w:name w:val="Normal (Web)"/>
    <w:basedOn w:val="Normal"/>
    <w:uiPriority w:val="99"/>
    <w:unhideWhenUsed/>
    <w:rsid w:val="00531A38"/>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531A3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531A3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531A38"/>
    <w:rPr>
      <w:sz w:val="20"/>
      <w:szCs w:val="20"/>
    </w:rPr>
  </w:style>
  <w:style w:type="character" w:customStyle="1" w:styleId="TextonotapieCar1">
    <w:name w:val="Texto nota pie Car1"/>
    <w:basedOn w:val="Fuentedeprrafopredeter"/>
    <w:uiPriority w:val="99"/>
    <w:semiHidden/>
    <w:rsid w:val="00531A3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31A3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uiPriority w:val="99"/>
    <w:unhideWhenUsed/>
    <w:qFormat/>
    <w:rsid w:val="00531A38"/>
    <w:rPr>
      <w:vertAlign w:val="superscript"/>
    </w:rPr>
  </w:style>
  <w:style w:type="character" w:styleId="Hipervnculo">
    <w:name w:val="Hyperlink"/>
    <w:basedOn w:val="Fuentedeprrafopredeter"/>
    <w:uiPriority w:val="99"/>
    <w:unhideWhenUsed/>
    <w:rsid w:val="003E44BA"/>
    <w:rPr>
      <w:color w:val="0563C1" w:themeColor="hyperlink"/>
      <w:u w:val="single"/>
    </w:rPr>
  </w:style>
  <w:style w:type="paragraph" w:styleId="Textodeglobo">
    <w:name w:val="Balloon Text"/>
    <w:basedOn w:val="Normal"/>
    <w:link w:val="TextodegloboCar"/>
    <w:uiPriority w:val="99"/>
    <w:semiHidden/>
    <w:unhideWhenUsed/>
    <w:rsid w:val="007C784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C7843"/>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AE63B7"/>
    <w:rPr>
      <w:sz w:val="16"/>
      <w:szCs w:val="16"/>
    </w:rPr>
  </w:style>
  <w:style w:type="paragraph" w:styleId="Textocomentario">
    <w:name w:val="annotation text"/>
    <w:basedOn w:val="Normal"/>
    <w:link w:val="TextocomentarioCar"/>
    <w:uiPriority w:val="99"/>
    <w:semiHidden/>
    <w:unhideWhenUsed/>
    <w:rsid w:val="00AE63B7"/>
    <w:rPr>
      <w:sz w:val="20"/>
      <w:szCs w:val="20"/>
    </w:rPr>
  </w:style>
  <w:style w:type="character" w:customStyle="1" w:styleId="TextocomentarioCar">
    <w:name w:val="Texto comentario Car"/>
    <w:basedOn w:val="Fuentedeprrafopredeter"/>
    <w:link w:val="Textocomentario"/>
    <w:uiPriority w:val="99"/>
    <w:semiHidden/>
    <w:rsid w:val="00AE63B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E63B7"/>
    <w:rPr>
      <w:b/>
      <w:bCs/>
    </w:rPr>
  </w:style>
  <w:style w:type="character" w:customStyle="1" w:styleId="AsuntodelcomentarioCar">
    <w:name w:val="Asunto del comentario Car"/>
    <w:basedOn w:val="TextocomentarioCar"/>
    <w:link w:val="Asuntodelcomentario"/>
    <w:uiPriority w:val="99"/>
    <w:semiHidden/>
    <w:rsid w:val="00AE63B7"/>
    <w:rPr>
      <w:b/>
      <w:bCs/>
      <w:sz w:val="20"/>
      <w:szCs w:val="20"/>
      <w:lang w:val="es-MX"/>
    </w:rPr>
  </w:style>
  <w:style w:type="character" w:customStyle="1" w:styleId="baj">
    <w:name w:val="b_aj"/>
    <w:basedOn w:val="Fuentedeprrafopredeter"/>
    <w:rsid w:val="003D42ED"/>
  </w:style>
  <w:style w:type="character" w:customStyle="1" w:styleId="iaj">
    <w:name w:val="i_aj"/>
    <w:basedOn w:val="Fuentedeprrafopredeter"/>
    <w:rsid w:val="003D42ED"/>
  </w:style>
  <w:style w:type="paragraph" w:customStyle="1" w:styleId="paragraph">
    <w:name w:val="paragraph"/>
    <w:basedOn w:val="Normal"/>
    <w:rsid w:val="003D42E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3D42ED"/>
  </w:style>
  <w:style w:type="character" w:customStyle="1" w:styleId="eop">
    <w:name w:val="eop"/>
    <w:basedOn w:val="Fuentedeprrafopredeter"/>
    <w:rsid w:val="003D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7114">
      <w:bodyDiv w:val="1"/>
      <w:marLeft w:val="0"/>
      <w:marRight w:val="0"/>
      <w:marTop w:val="0"/>
      <w:marBottom w:val="0"/>
      <w:divBdr>
        <w:top w:val="none" w:sz="0" w:space="0" w:color="auto"/>
        <w:left w:val="none" w:sz="0" w:space="0" w:color="auto"/>
        <w:bottom w:val="none" w:sz="0" w:space="0" w:color="auto"/>
        <w:right w:val="none" w:sz="0" w:space="0" w:color="auto"/>
      </w:divBdr>
    </w:div>
    <w:div w:id="336734542">
      <w:bodyDiv w:val="1"/>
      <w:marLeft w:val="0"/>
      <w:marRight w:val="0"/>
      <w:marTop w:val="0"/>
      <w:marBottom w:val="0"/>
      <w:divBdr>
        <w:top w:val="none" w:sz="0" w:space="0" w:color="auto"/>
        <w:left w:val="none" w:sz="0" w:space="0" w:color="auto"/>
        <w:bottom w:val="none" w:sz="0" w:space="0" w:color="auto"/>
        <w:right w:val="none" w:sz="0" w:space="0" w:color="auto"/>
      </w:divBdr>
    </w:div>
    <w:div w:id="387992686">
      <w:bodyDiv w:val="1"/>
      <w:marLeft w:val="0"/>
      <w:marRight w:val="0"/>
      <w:marTop w:val="0"/>
      <w:marBottom w:val="0"/>
      <w:divBdr>
        <w:top w:val="none" w:sz="0" w:space="0" w:color="auto"/>
        <w:left w:val="none" w:sz="0" w:space="0" w:color="auto"/>
        <w:bottom w:val="none" w:sz="0" w:space="0" w:color="auto"/>
        <w:right w:val="none" w:sz="0" w:space="0" w:color="auto"/>
      </w:divBdr>
    </w:div>
    <w:div w:id="618293920">
      <w:bodyDiv w:val="1"/>
      <w:marLeft w:val="0"/>
      <w:marRight w:val="0"/>
      <w:marTop w:val="0"/>
      <w:marBottom w:val="0"/>
      <w:divBdr>
        <w:top w:val="none" w:sz="0" w:space="0" w:color="auto"/>
        <w:left w:val="none" w:sz="0" w:space="0" w:color="auto"/>
        <w:bottom w:val="none" w:sz="0" w:space="0" w:color="auto"/>
        <w:right w:val="none" w:sz="0" w:space="0" w:color="auto"/>
      </w:divBdr>
    </w:div>
    <w:div w:id="863637334">
      <w:bodyDiv w:val="1"/>
      <w:marLeft w:val="0"/>
      <w:marRight w:val="0"/>
      <w:marTop w:val="0"/>
      <w:marBottom w:val="0"/>
      <w:divBdr>
        <w:top w:val="none" w:sz="0" w:space="0" w:color="auto"/>
        <w:left w:val="none" w:sz="0" w:space="0" w:color="auto"/>
        <w:bottom w:val="none" w:sz="0" w:space="0" w:color="auto"/>
        <w:right w:val="none" w:sz="0" w:space="0" w:color="auto"/>
      </w:divBdr>
    </w:div>
    <w:div w:id="1036661051">
      <w:bodyDiv w:val="1"/>
      <w:marLeft w:val="0"/>
      <w:marRight w:val="0"/>
      <w:marTop w:val="0"/>
      <w:marBottom w:val="0"/>
      <w:divBdr>
        <w:top w:val="none" w:sz="0" w:space="0" w:color="auto"/>
        <w:left w:val="none" w:sz="0" w:space="0" w:color="auto"/>
        <w:bottom w:val="none" w:sz="0" w:space="0" w:color="auto"/>
        <w:right w:val="none" w:sz="0" w:space="0" w:color="auto"/>
      </w:divBdr>
    </w:div>
    <w:div w:id="1109858074">
      <w:bodyDiv w:val="1"/>
      <w:marLeft w:val="0"/>
      <w:marRight w:val="0"/>
      <w:marTop w:val="0"/>
      <w:marBottom w:val="0"/>
      <w:divBdr>
        <w:top w:val="none" w:sz="0" w:space="0" w:color="auto"/>
        <w:left w:val="none" w:sz="0" w:space="0" w:color="auto"/>
        <w:bottom w:val="none" w:sz="0" w:space="0" w:color="auto"/>
        <w:right w:val="none" w:sz="0" w:space="0" w:color="auto"/>
      </w:divBdr>
    </w:div>
    <w:div w:id="1140269363">
      <w:bodyDiv w:val="1"/>
      <w:marLeft w:val="0"/>
      <w:marRight w:val="0"/>
      <w:marTop w:val="0"/>
      <w:marBottom w:val="0"/>
      <w:divBdr>
        <w:top w:val="none" w:sz="0" w:space="0" w:color="auto"/>
        <w:left w:val="none" w:sz="0" w:space="0" w:color="auto"/>
        <w:bottom w:val="none" w:sz="0" w:space="0" w:color="auto"/>
        <w:right w:val="none" w:sz="0" w:space="0" w:color="auto"/>
      </w:divBdr>
    </w:div>
    <w:div w:id="1215851297">
      <w:bodyDiv w:val="1"/>
      <w:marLeft w:val="0"/>
      <w:marRight w:val="0"/>
      <w:marTop w:val="0"/>
      <w:marBottom w:val="0"/>
      <w:divBdr>
        <w:top w:val="none" w:sz="0" w:space="0" w:color="auto"/>
        <w:left w:val="none" w:sz="0" w:space="0" w:color="auto"/>
        <w:bottom w:val="none" w:sz="0" w:space="0" w:color="auto"/>
        <w:right w:val="none" w:sz="0" w:space="0" w:color="auto"/>
      </w:divBdr>
    </w:div>
    <w:div w:id="1398438963">
      <w:bodyDiv w:val="1"/>
      <w:marLeft w:val="0"/>
      <w:marRight w:val="0"/>
      <w:marTop w:val="0"/>
      <w:marBottom w:val="0"/>
      <w:divBdr>
        <w:top w:val="none" w:sz="0" w:space="0" w:color="auto"/>
        <w:left w:val="none" w:sz="0" w:space="0" w:color="auto"/>
        <w:bottom w:val="none" w:sz="0" w:space="0" w:color="auto"/>
        <w:right w:val="none" w:sz="0" w:space="0" w:color="auto"/>
      </w:divBdr>
    </w:div>
    <w:div w:id="1567954802">
      <w:bodyDiv w:val="1"/>
      <w:marLeft w:val="0"/>
      <w:marRight w:val="0"/>
      <w:marTop w:val="0"/>
      <w:marBottom w:val="0"/>
      <w:divBdr>
        <w:top w:val="none" w:sz="0" w:space="0" w:color="auto"/>
        <w:left w:val="none" w:sz="0" w:space="0" w:color="auto"/>
        <w:bottom w:val="none" w:sz="0" w:space="0" w:color="auto"/>
        <w:right w:val="none" w:sz="0" w:space="0" w:color="auto"/>
      </w:divBdr>
    </w:div>
    <w:div w:id="16838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5DED6-B4C6-4FDD-938A-3A99C2A25F7C}">
  <ds:schemaRefs>
    <ds:schemaRef ds:uri="http://schemas.openxmlformats.org/officeDocument/2006/bibliography"/>
  </ds:schemaRefs>
</ds:datastoreItem>
</file>

<file path=customXml/itemProps2.xml><?xml version="1.0" encoding="utf-8"?>
<ds:datastoreItem xmlns:ds="http://schemas.openxmlformats.org/officeDocument/2006/customXml" ds:itemID="{5CBB7DFA-4192-4DD7-9A88-EA1882D4CC2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EC78E0F-324B-4E4C-A1D7-50A5D543903E}">
  <ds:schemaRefs>
    <ds:schemaRef ds:uri="http://schemas.microsoft.com/sharepoint/v3/contenttype/forms"/>
  </ds:schemaRefs>
</ds:datastoreItem>
</file>

<file path=customXml/itemProps4.xml><?xml version="1.0" encoding="utf-8"?>
<ds:datastoreItem xmlns:ds="http://schemas.openxmlformats.org/officeDocument/2006/customXml" ds:itemID="{E02B51AA-F0F5-479B-B7CA-9FF1E2CB6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3777</Words>
  <Characters>20778</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Amado</dc:creator>
  <cp:keywords/>
  <dc:description/>
  <cp:lastModifiedBy>Ximena Ríos López</cp:lastModifiedBy>
  <cp:revision>7</cp:revision>
  <dcterms:created xsi:type="dcterms:W3CDTF">2021-01-21T05:23:00Z</dcterms:created>
  <dcterms:modified xsi:type="dcterms:W3CDTF">2021-01-21T21:19:00Z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