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D415" w14:textId="180E2DBC" w:rsidR="00D36E83" w:rsidRPr="001F22AD" w:rsidRDefault="00D36E83" w:rsidP="0067051F">
      <w:pPr>
        <w:ind w:firstLine="709"/>
        <w:jc w:val="right"/>
        <w:rPr>
          <w:rFonts w:ascii="Arial" w:eastAsia="Calibri" w:hAnsi="Arial" w:cs="Arial"/>
          <w:b/>
          <w:color w:val="000000"/>
          <w:sz w:val="20"/>
          <w:szCs w:val="20"/>
          <w:lang w:val="es-ES"/>
        </w:rPr>
      </w:pPr>
      <w:bookmarkStart w:id="0" w:name="_Hlk28946138"/>
      <w:bookmarkStart w:id="1" w:name="_Hlk29548183"/>
      <w:r w:rsidRPr="001F22AD">
        <w:rPr>
          <w:rFonts w:ascii="Arial" w:hAnsi="Arial" w:cs="Arial"/>
          <w:bCs/>
          <w:color w:val="000000"/>
          <w:sz w:val="16"/>
          <w:szCs w:val="16"/>
          <w:lang w:val="es-ES" w:eastAsia="es-ES"/>
        </w:rPr>
        <w:t>CCE-DES-FM-17</w:t>
      </w:r>
      <w:bookmarkEnd w:id="0"/>
      <w:bookmarkEnd w:id="1"/>
    </w:p>
    <w:p w14:paraId="72FD395F" w14:textId="77777777" w:rsidR="00270140" w:rsidRPr="001F22AD" w:rsidRDefault="00270140" w:rsidP="0067051F">
      <w:pPr>
        <w:ind w:firstLine="709"/>
        <w:jc w:val="right"/>
        <w:rPr>
          <w:rFonts w:ascii="Arial" w:eastAsia="Calibri" w:hAnsi="Arial" w:cs="Arial"/>
          <w:b/>
          <w:color w:val="000000"/>
          <w:sz w:val="20"/>
          <w:szCs w:val="20"/>
          <w:lang w:val="es-ES"/>
        </w:rPr>
      </w:pPr>
    </w:p>
    <w:p w14:paraId="7B37DED3" w14:textId="77777777" w:rsidR="00D36E83" w:rsidRPr="001F22AD" w:rsidRDefault="00D36E83" w:rsidP="00D36E83">
      <w:pPr>
        <w:jc w:val="both"/>
        <w:rPr>
          <w:rFonts w:ascii="Arial" w:eastAsia="Calibri" w:hAnsi="Arial" w:cs="Arial"/>
          <w:b/>
          <w:color w:val="000000"/>
          <w:sz w:val="22"/>
          <w:lang w:val="es-ES"/>
        </w:rPr>
      </w:pPr>
      <w:r w:rsidRPr="001F22AD">
        <w:rPr>
          <w:rFonts w:ascii="Arial" w:eastAsia="Calibri" w:hAnsi="Arial" w:cs="Arial"/>
          <w:b/>
          <w:color w:val="000000"/>
          <w:sz w:val="22"/>
          <w:lang w:val="es-ES"/>
        </w:rPr>
        <w:t xml:space="preserve">DECRETO 399 DE 2021 – Información – Capacidad financiera – Capacidad organizacional </w:t>
      </w:r>
    </w:p>
    <w:p w14:paraId="296C4382" w14:textId="77777777" w:rsidR="00D36E83" w:rsidRPr="001F22AD" w:rsidRDefault="00D36E83" w:rsidP="00D36E83">
      <w:pPr>
        <w:spacing w:line="276" w:lineRule="auto"/>
        <w:ind w:firstLine="709"/>
        <w:jc w:val="both"/>
        <w:rPr>
          <w:rFonts w:ascii="Arial" w:hAnsi="Arial" w:cs="Arial"/>
          <w:color w:val="000000"/>
          <w:sz w:val="22"/>
          <w:lang w:val="es-ES"/>
        </w:rPr>
      </w:pPr>
    </w:p>
    <w:p w14:paraId="396699A2" w14:textId="06197921" w:rsidR="00D36E83" w:rsidRPr="001F22AD" w:rsidRDefault="00D36E83" w:rsidP="00D36E83">
      <w:pPr>
        <w:jc w:val="both"/>
        <w:rPr>
          <w:rFonts w:ascii="Arial" w:eastAsia="Calibri" w:hAnsi="Arial" w:cs="Arial"/>
          <w:color w:val="000000"/>
          <w:sz w:val="20"/>
          <w:szCs w:val="20"/>
          <w:lang w:val="es-ES"/>
        </w:rPr>
      </w:pPr>
      <w:r w:rsidRPr="001F22AD">
        <w:rPr>
          <w:rFonts w:ascii="Arial" w:eastAsia="Calibri" w:hAnsi="Arial" w:cs="Arial"/>
          <w:color w:val="000000"/>
          <w:sz w:val="20"/>
          <w:szCs w:val="20"/>
          <w:lang w:val="es-ES"/>
        </w:rPr>
        <w:t xml:space="preserve">[…] </w:t>
      </w:r>
      <w:r w:rsidR="00D1149F" w:rsidRPr="001F22AD">
        <w:rPr>
          <w:rFonts w:ascii="Arial" w:eastAsia="Calibri" w:hAnsi="Arial" w:cs="Arial"/>
          <w:color w:val="000000"/>
          <w:sz w:val="20"/>
          <w:szCs w:val="20"/>
          <w:lang w:val="es-ES"/>
        </w:rPr>
        <w:t xml:space="preserve">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Sin embargo,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de 2021, por una sola vez. En todo caso, aclara </w:t>
      </w:r>
      <w:proofErr w:type="gramStart"/>
      <w:r w:rsidR="00D1149F" w:rsidRPr="001F22AD">
        <w:rPr>
          <w:rFonts w:ascii="Arial" w:eastAsia="Calibri" w:hAnsi="Arial" w:cs="Arial"/>
          <w:color w:val="000000"/>
          <w:sz w:val="20"/>
          <w:szCs w:val="20"/>
          <w:lang w:val="es-ES"/>
        </w:rPr>
        <w:t>que</w:t>
      </w:r>
      <w:proofErr w:type="gramEnd"/>
      <w:r w:rsidR="00D1149F" w:rsidRPr="001F22AD">
        <w:rPr>
          <w:rFonts w:ascii="Arial" w:eastAsia="Calibri" w:hAnsi="Arial" w:cs="Arial"/>
          <w:color w:val="000000"/>
          <w:sz w:val="20"/>
          <w:szCs w:val="20"/>
          <w:lang w:val="es-ES"/>
        </w:rPr>
        <w:t xml:space="preserve"> si el proponente tiene registrada la información de dichos años en la cámara de comercio, no deberá presentar esta información.</w:t>
      </w:r>
    </w:p>
    <w:p w14:paraId="3020B9AA" w14:textId="77777777" w:rsidR="00D36E83" w:rsidRPr="001F22AD" w:rsidRDefault="00D36E83" w:rsidP="00D36E83">
      <w:pPr>
        <w:spacing w:line="276" w:lineRule="auto"/>
        <w:ind w:firstLine="709"/>
        <w:jc w:val="both"/>
        <w:rPr>
          <w:rFonts w:ascii="Arial" w:hAnsi="Arial" w:cs="Arial"/>
          <w:color w:val="000000"/>
          <w:sz w:val="22"/>
          <w:lang w:val="es-ES"/>
        </w:rPr>
      </w:pPr>
    </w:p>
    <w:p w14:paraId="727F721E" w14:textId="77777777" w:rsidR="00D36E83" w:rsidRPr="001F22AD" w:rsidRDefault="00D36E83" w:rsidP="00D36E83">
      <w:pPr>
        <w:jc w:val="both"/>
        <w:rPr>
          <w:rFonts w:ascii="Arial" w:eastAsia="Calibri" w:hAnsi="Arial" w:cs="Arial"/>
          <w:b/>
          <w:color w:val="000000"/>
          <w:sz w:val="22"/>
          <w:lang w:val="es-ES"/>
        </w:rPr>
      </w:pPr>
      <w:r w:rsidRPr="001F22AD">
        <w:rPr>
          <w:rFonts w:ascii="Arial" w:eastAsia="Calibri" w:hAnsi="Arial" w:cs="Arial"/>
          <w:b/>
          <w:color w:val="000000"/>
          <w:sz w:val="22"/>
          <w:lang w:val="es-ES"/>
        </w:rPr>
        <w:t xml:space="preserve">DECRETO 399 DE 2021 – Indicadores – Capacidad financiera – Capacidad organizacional </w:t>
      </w:r>
    </w:p>
    <w:p w14:paraId="1E49CE0E" w14:textId="77777777" w:rsidR="00D36E83" w:rsidRPr="001F22AD" w:rsidRDefault="00D36E83" w:rsidP="00D36E83">
      <w:pPr>
        <w:spacing w:line="276" w:lineRule="auto"/>
        <w:ind w:firstLine="709"/>
        <w:jc w:val="both"/>
        <w:rPr>
          <w:rFonts w:ascii="Arial" w:hAnsi="Arial" w:cs="Arial"/>
          <w:color w:val="000000"/>
          <w:sz w:val="22"/>
          <w:lang w:val="es-ES"/>
        </w:rPr>
      </w:pPr>
    </w:p>
    <w:p w14:paraId="1072AAF5" w14:textId="056032C5" w:rsidR="00D36E83" w:rsidRPr="001F22AD" w:rsidRDefault="00D36E83" w:rsidP="00D36E83">
      <w:pPr>
        <w:jc w:val="both"/>
        <w:rPr>
          <w:rFonts w:ascii="Arial" w:eastAsia="Calibri" w:hAnsi="Arial" w:cs="Arial"/>
          <w:color w:val="000000"/>
          <w:sz w:val="20"/>
          <w:szCs w:val="20"/>
          <w:lang w:val="es-ES"/>
        </w:rPr>
      </w:pPr>
      <w:r w:rsidRPr="001F22AD">
        <w:rPr>
          <w:rFonts w:ascii="Arial" w:eastAsia="Calibri" w:hAnsi="Arial" w:cs="Arial"/>
          <w:color w:val="000000"/>
          <w:sz w:val="20"/>
          <w:szCs w:val="20"/>
          <w:lang w:val="es-ES"/>
        </w:rPr>
        <w:t xml:space="preserve">Por otra parte, </w:t>
      </w:r>
      <w:r w:rsidR="00D1149F" w:rsidRPr="001F22AD">
        <w:rPr>
          <w:rFonts w:ascii="Arial" w:eastAsia="Calibri" w:hAnsi="Arial" w:cs="Arial"/>
          <w:color w:val="000000"/>
          <w:sz w:val="20"/>
          <w:szCs w:val="20"/>
          <w:lang w:val="es-ES"/>
        </w:rPr>
        <w:t xml:space="preserve">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 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«certificarán la información de que tratan los parágrafos transitorios 1 y 2 del artículo 2.2.1.1.1.5.2. de este Decreto». Los requisitos e indicadores de la capacidad financiera consagrados en el literal (b) del artículo 2.2.1.1.1.5.6. del Decreto 1082 de 2015 son: i) el índice de liquidez, </w:t>
      </w:r>
      <w:proofErr w:type="spellStart"/>
      <w:r w:rsidR="00D1149F" w:rsidRPr="001F22AD">
        <w:rPr>
          <w:rFonts w:ascii="Arial" w:eastAsia="Calibri" w:hAnsi="Arial" w:cs="Arial"/>
          <w:color w:val="000000"/>
          <w:sz w:val="20"/>
          <w:szCs w:val="20"/>
          <w:lang w:val="es-ES"/>
        </w:rPr>
        <w:t>ii</w:t>
      </w:r>
      <w:proofErr w:type="spellEnd"/>
      <w:r w:rsidR="00D1149F" w:rsidRPr="001F22AD">
        <w:rPr>
          <w:rFonts w:ascii="Arial" w:eastAsia="Calibri" w:hAnsi="Arial" w:cs="Arial"/>
          <w:color w:val="000000"/>
          <w:sz w:val="20"/>
          <w:szCs w:val="20"/>
          <w:lang w:val="es-ES"/>
        </w:rPr>
        <w:t xml:space="preserve">) el índice de endeudamiento y </w:t>
      </w:r>
      <w:proofErr w:type="spellStart"/>
      <w:r w:rsidR="00D1149F" w:rsidRPr="001F22AD">
        <w:rPr>
          <w:rFonts w:ascii="Arial" w:eastAsia="Calibri" w:hAnsi="Arial" w:cs="Arial"/>
          <w:color w:val="000000"/>
          <w:sz w:val="20"/>
          <w:szCs w:val="20"/>
          <w:lang w:val="es-ES"/>
        </w:rPr>
        <w:t>iii</w:t>
      </w:r>
      <w:proofErr w:type="spellEnd"/>
      <w:r w:rsidR="00D1149F" w:rsidRPr="001F22AD">
        <w:rPr>
          <w:rFonts w:ascii="Arial" w:eastAsia="Calibri" w:hAnsi="Arial" w:cs="Arial"/>
          <w:color w:val="000000"/>
          <w:sz w:val="20"/>
          <w:szCs w:val="20"/>
          <w:lang w:val="es-ES"/>
        </w:rPr>
        <w:t xml:space="preserve">) la razón de cobertura de intereses. Los requisitos e indicadores de capacidad organizacional son: i) la rentabilidad del patrimonio y </w:t>
      </w:r>
      <w:proofErr w:type="spellStart"/>
      <w:r w:rsidR="00D1149F" w:rsidRPr="001F22AD">
        <w:rPr>
          <w:rFonts w:ascii="Arial" w:eastAsia="Calibri" w:hAnsi="Arial" w:cs="Arial"/>
          <w:color w:val="000000"/>
          <w:sz w:val="20"/>
          <w:szCs w:val="20"/>
          <w:lang w:val="es-ES"/>
        </w:rPr>
        <w:t>ii</w:t>
      </w:r>
      <w:proofErr w:type="spellEnd"/>
      <w:r w:rsidR="00D1149F" w:rsidRPr="001F22AD">
        <w:rPr>
          <w:rFonts w:ascii="Arial" w:eastAsia="Calibri" w:hAnsi="Arial" w:cs="Arial"/>
          <w:color w:val="000000"/>
          <w:sz w:val="20"/>
          <w:szCs w:val="20"/>
          <w:lang w:val="es-ES"/>
        </w:rPr>
        <w:t>) la rentabilidad del activo. El segundo parágrafo transitorio establece que «El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Pr="001F22AD">
        <w:rPr>
          <w:rFonts w:ascii="Arial" w:eastAsia="Calibri" w:hAnsi="Arial" w:cs="Arial"/>
          <w:color w:val="000000"/>
          <w:sz w:val="20"/>
          <w:szCs w:val="20"/>
          <w:lang w:val="es-ES"/>
        </w:rPr>
        <w:t>.</w:t>
      </w:r>
    </w:p>
    <w:p w14:paraId="1A153181" w14:textId="77777777" w:rsidR="00D36E83" w:rsidRPr="001F22AD" w:rsidRDefault="00D36E83" w:rsidP="00D36E83">
      <w:pPr>
        <w:spacing w:line="276" w:lineRule="auto"/>
        <w:ind w:firstLine="709"/>
        <w:jc w:val="both"/>
        <w:rPr>
          <w:rFonts w:ascii="Arial" w:hAnsi="Arial" w:cs="Arial"/>
          <w:color w:val="000000"/>
          <w:sz w:val="22"/>
          <w:lang w:val="es-ES"/>
        </w:rPr>
      </w:pPr>
    </w:p>
    <w:p w14:paraId="3A18D3B1" w14:textId="050D6568" w:rsidR="00D36E83" w:rsidRPr="001F22AD" w:rsidRDefault="00D36E83" w:rsidP="00D36E83">
      <w:pPr>
        <w:jc w:val="both"/>
        <w:rPr>
          <w:rFonts w:ascii="Arial" w:eastAsia="Calibri" w:hAnsi="Arial" w:cs="Arial"/>
          <w:b/>
          <w:color w:val="000000"/>
          <w:sz w:val="22"/>
          <w:lang w:val="es-ES"/>
        </w:rPr>
      </w:pPr>
      <w:r w:rsidRPr="001F22AD">
        <w:rPr>
          <w:rFonts w:ascii="Arial" w:eastAsia="Calibri" w:hAnsi="Arial" w:cs="Arial"/>
          <w:b/>
          <w:color w:val="000000"/>
          <w:sz w:val="22"/>
          <w:lang w:val="es-ES"/>
        </w:rPr>
        <w:t>MEJOR AÑO FISCAL – Decreto</w:t>
      </w:r>
      <w:r w:rsidR="0067051F" w:rsidRPr="001F22AD">
        <w:rPr>
          <w:rFonts w:ascii="Arial" w:eastAsia="Calibri" w:hAnsi="Arial" w:cs="Arial"/>
          <w:b/>
          <w:color w:val="000000"/>
          <w:sz w:val="22"/>
          <w:lang w:val="es-ES"/>
        </w:rPr>
        <w:t>s</w:t>
      </w:r>
      <w:r w:rsidRPr="001F22AD">
        <w:rPr>
          <w:rFonts w:ascii="Arial" w:eastAsia="Calibri" w:hAnsi="Arial" w:cs="Arial"/>
          <w:b/>
          <w:color w:val="000000"/>
          <w:sz w:val="22"/>
          <w:lang w:val="es-ES"/>
        </w:rPr>
        <w:t xml:space="preserve"> 399</w:t>
      </w:r>
      <w:r w:rsidR="0067051F" w:rsidRPr="001F22AD">
        <w:rPr>
          <w:rFonts w:ascii="Arial" w:eastAsia="Calibri" w:hAnsi="Arial" w:cs="Arial"/>
          <w:b/>
          <w:color w:val="000000"/>
          <w:sz w:val="22"/>
          <w:lang w:val="es-ES"/>
        </w:rPr>
        <w:t xml:space="preserve"> y 579 de 2021</w:t>
      </w:r>
      <w:r w:rsidRPr="001F22AD">
        <w:rPr>
          <w:rFonts w:ascii="Arial" w:eastAsia="Calibri" w:hAnsi="Arial" w:cs="Arial"/>
          <w:b/>
          <w:color w:val="000000"/>
          <w:sz w:val="22"/>
          <w:lang w:val="es-ES"/>
        </w:rPr>
        <w:t xml:space="preserve"> – Capacidad financiera – Capacidad organizacional – Interpretación</w:t>
      </w:r>
    </w:p>
    <w:p w14:paraId="657DFF1F" w14:textId="77777777" w:rsidR="00D36E83" w:rsidRPr="001F22AD" w:rsidRDefault="00D36E83" w:rsidP="00D36E83">
      <w:pPr>
        <w:spacing w:line="276" w:lineRule="auto"/>
        <w:ind w:firstLine="709"/>
        <w:jc w:val="both"/>
        <w:rPr>
          <w:rFonts w:ascii="Arial" w:hAnsi="Arial" w:cs="Arial"/>
          <w:color w:val="000000"/>
          <w:sz w:val="22"/>
          <w:lang w:val="es-ES"/>
        </w:rPr>
      </w:pPr>
    </w:p>
    <w:p w14:paraId="2DB12F97" w14:textId="493E7B25" w:rsidR="00D36E83" w:rsidRPr="001F22AD" w:rsidRDefault="00D1149F" w:rsidP="00D36E83">
      <w:pPr>
        <w:jc w:val="both"/>
        <w:rPr>
          <w:rFonts w:ascii="Arial" w:hAnsi="Arial" w:cs="Arial"/>
          <w:color w:val="000000"/>
          <w:sz w:val="20"/>
          <w:szCs w:val="20"/>
          <w:lang w:val="es-ES"/>
        </w:rPr>
      </w:pPr>
      <w:r w:rsidRPr="001F22AD">
        <w:rPr>
          <w:rFonts w:ascii="Arial" w:hAnsi="Arial" w:cs="Arial"/>
          <w:color w:val="000000"/>
          <w:sz w:val="20"/>
          <w:szCs w:val="20"/>
          <w:lang w:val="es-ES"/>
        </w:rPr>
        <w:t>[…]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capacidad organizacional.</w:t>
      </w:r>
    </w:p>
    <w:p w14:paraId="017B79D8" w14:textId="77777777" w:rsidR="00D36E83" w:rsidRPr="001F22AD" w:rsidRDefault="00D36E83" w:rsidP="00D36E83">
      <w:pPr>
        <w:ind w:firstLine="709"/>
        <w:jc w:val="both"/>
        <w:rPr>
          <w:rFonts w:ascii="Arial" w:hAnsi="Arial" w:cs="Arial"/>
          <w:color w:val="000000"/>
          <w:sz w:val="20"/>
          <w:szCs w:val="20"/>
          <w:lang w:val="es-ES"/>
        </w:rPr>
      </w:pPr>
    </w:p>
    <w:p w14:paraId="425D9A9B" w14:textId="77777777" w:rsidR="00D36E83" w:rsidRPr="001F22AD" w:rsidRDefault="00D36E83" w:rsidP="00D36E83">
      <w:pPr>
        <w:jc w:val="both"/>
        <w:rPr>
          <w:rFonts w:ascii="Arial" w:hAnsi="Arial" w:cs="Arial"/>
          <w:color w:val="000000"/>
          <w:sz w:val="20"/>
          <w:szCs w:val="20"/>
          <w:lang w:val="es-ES"/>
        </w:rPr>
      </w:pPr>
    </w:p>
    <w:p w14:paraId="1C0115E3" w14:textId="2B476D74" w:rsidR="00D36E83" w:rsidRPr="001F22AD" w:rsidRDefault="00D36E83" w:rsidP="002D50EB">
      <w:pPr>
        <w:jc w:val="both"/>
        <w:rPr>
          <w:rFonts w:ascii="Arial" w:hAnsi="Arial" w:cs="Arial"/>
          <w:b/>
          <w:bCs/>
          <w:color w:val="000000"/>
          <w:sz w:val="22"/>
          <w:lang w:val="es-ES"/>
        </w:rPr>
      </w:pPr>
      <w:r w:rsidRPr="001F22AD">
        <w:rPr>
          <w:rFonts w:ascii="Arial" w:hAnsi="Arial" w:cs="Arial"/>
          <w:b/>
          <w:bCs/>
          <w:color w:val="000000"/>
          <w:sz w:val="22"/>
          <w:lang w:val="es-ES"/>
        </w:rPr>
        <w:t xml:space="preserve">EVALUACIÓN DE LA CAPACIDAD FINANCIERA Y ORGANIZACIONAL </w:t>
      </w:r>
      <w:r w:rsidR="002D50EB" w:rsidRPr="001F22AD">
        <w:rPr>
          <w:rFonts w:ascii="Arial" w:hAnsi="Arial" w:cs="Arial"/>
          <w:b/>
          <w:bCs/>
          <w:color w:val="000000"/>
          <w:sz w:val="22"/>
          <w:lang w:val="es-ES"/>
        </w:rPr>
        <w:t xml:space="preserve">– </w:t>
      </w:r>
      <w:r w:rsidR="00E41848" w:rsidRPr="001F22AD">
        <w:rPr>
          <w:rFonts w:ascii="Arial" w:hAnsi="Arial" w:cs="Arial"/>
          <w:b/>
          <w:bCs/>
          <w:color w:val="000000"/>
          <w:sz w:val="22"/>
          <w:lang w:val="es-ES"/>
        </w:rPr>
        <w:t>Contratos para la prestación de servicios de salud – No obligatoriedad RUP</w:t>
      </w:r>
      <w:r w:rsidR="002D50EB" w:rsidRPr="001F22AD">
        <w:rPr>
          <w:rFonts w:ascii="Arial" w:hAnsi="Arial" w:cs="Arial"/>
          <w:b/>
          <w:bCs/>
          <w:color w:val="000000"/>
          <w:sz w:val="22"/>
          <w:lang w:val="es-ES"/>
        </w:rPr>
        <w:t xml:space="preserve"> </w:t>
      </w:r>
      <w:r w:rsidR="00E41848" w:rsidRPr="001F22AD">
        <w:rPr>
          <w:rFonts w:ascii="Arial" w:hAnsi="Arial" w:cs="Arial"/>
          <w:b/>
          <w:bCs/>
          <w:color w:val="000000"/>
          <w:sz w:val="22"/>
          <w:lang w:val="es-ES"/>
        </w:rPr>
        <w:t>– Discrecionalidad – Decretos 399 y 579 de 2021 – Aplicación facultativa</w:t>
      </w:r>
    </w:p>
    <w:p w14:paraId="70B15651" w14:textId="77777777" w:rsidR="00D36E83" w:rsidRPr="001F22AD" w:rsidRDefault="00D36E83" w:rsidP="002D50EB">
      <w:pPr>
        <w:ind w:firstLine="709"/>
        <w:jc w:val="both"/>
        <w:rPr>
          <w:rFonts w:ascii="Arial" w:hAnsi="Arial" w:cs="Arial"/>
          <w:color w:val="000000"/>
          <w:sz w:val="22"/>
          <w:lang w:val="es-ES"/>
        </w:rPr>
      </w:pPr>
    </w:p>
    <w:p w14:paraId="114F4B2C" w14:textId="5FFA990C" w:rsidR="00A945FB" w:rsidRPr="00A945FB" w:rsidRDefault="00A945FB" w:rsidP="00A945FB">
      <w:pPr>
        <w:spacing w:after="120"/>
        <w:jc w:val="both"/>
        <w:rPr>
          <w:rFonts w:ascii="Arial" w:hAnsi="Arial" w:cs="Arial"/>
          <w:color w:val="000000"/>
          <w:sz w:val="20"/>
          <w:szCs w:val="20"/>
          <w:lang w:val="es-ES"/>
        </w:rPr>
      </w:pPr>
      <w:r w:rsidRPr="00A945FB">
        <w:rPr>
          <w:rFonts w:ascii="Arial" w:hAnsi="Arial" w:cs="Arial"/>
          <w:color w:val="000000"/>
          <w:sz w:val="20"/>
          <w:szCs w:val="20"/>
          <w:lang w:val="es-ES"/>
        </w:rPr>
        <w:t xml:space="preserve">Las indicadas excepciones a la obligación general de inscribirse en el RUP para celebrar contratos con las entidades estatales sometidas al EGCAP, son de interpretación estricta. Esto también se fundamenta en el artículo 2.2.1.1.1.5.1 del Decreto 1082 de 2015, al prescribir que la inscripción en el RUP es imperativa para los sujetos mencionados en el primer inciso del artículo 6 de la Ley 1150 de 2007, salvo las excepciones previstas de forma taxativa en la ley. </w:t>
      </w:r>
    </w:p>
    <w:p w14:paraId="2A038B23" w14:textId="77777777" w:rsidR="00A945FB" w:rsidRPr="00A945FB" w:rsidRDefault="00A945FB" w:rsidP="00A945FB">
      <w:pPr>
        <w:spacing w:after="120"/>
        <w:jc w:val="both"/>
        <w:rPr>
          <w:rFonts w:ascii="Arial" w:hAnsi="Arial" w:cs="Arial"/>
          <w:color w:val="000000"/>
          <w:sz w:val="20"/>
          <w:szCs w:val="20"/>
          <w:lang w:val="es-ES"/>
        </w:rPr>
      </w:pPr>
      <w:r w:rsidRPr="00A945FB">
        <w:rPr>
          <w:rFonts w:ascii="Arial" w:hAnsi="Arial" w:cs="Arial"/>
          <w:color w:val="000000"/>
          <w:sz w:val="20"/>
          <w:szCs w:val="20"/>
          <w:lang w:val="es-ES"/>
        </w:rPr>
        <w:t xml:space="preserve">Ahora bien, dicha excepcionalidad no impide que las entidades estatales al determinar los requisitos habilitantes del proceso, y concretamente los de capacidad financiera y organizacional, así como la forma en que se efectuará su evaluación, puedan acoger facultativamente una regulación similar a la establecida en los Decretos 399 y 579 de 2021, para permitir que la capacidad financiera y organizacional se acredite con los mejores indicadores de los últimos 3 años, permitiendo que dicha capacidad se acredite con el mejor año fiscal de ellos. Sin embargo, es necesario precisar que, en ejercicio del deber de análisis que les concierne, las entidades estatales serán las responsables de definir si en estos procesos, donde no es exigible el RUP, realizarán la evaluación con la información de los estados financieros del último año o con la correspondiente a los mejores indicadores de los últimos tres (3) años fiscales, aspecto que deberá quedar consignado en los respectivos pliegos de condiciones. En tal sentido, la evaluación de la capacidad financiera y la capacidad organizacional en los procesos de selección abreviada para contratar la prestación de servicios de </w:t>
      </w:r>
      <w:proofErr w:type="gramStart"/>
      <w:r w:rsidRPr="00A945FB">
        <w:rPr>
          <w:rFonts w:ascii="Arial" w:hAnsi="Arial" w:cs="Arial"/>
          <w:color w:val="000000"/>
          <w:sz w:val="20"/>
          <w:szCs w:val="20"/>
          <w:lang w:val="es-ES"/>
        </w:rPr>
        <w:t>salud,</w:t>
      </w:r>
      <w:proofErr w:type="gramEnd"/>
      <w:r w:rsidRPr="00A945FB">
        <w:rPr>
          <w:rFonts w:ascii="Arial" w:hAnsi="Arial" w:cs="Arial"/>
          <w:color w:val="000000"/>
          <w:sz w:val="20"/>
          <w:szCs w:val="20"/>
          <w:lang w:val="es-ES"/>
        </w:rPr>
        <w:t xml:space="preserve"> se realizará en los términos establecidos en los pliegos de condiciones, pues las entidades estatales cuentan con discrecionalidad para regular este aspecto, de acuerdo con lo explicado. </w:t>
      </w:r>
    </w:p>
    <w:p w14:paraId="5C20E25A" w14:textId="2BCE57AC" w:rsidR="00E1159D" w:rsidRPr="001F22AD" w:rsidRDefault="00A945FB" w:rsidP="00A945FB">
      <w:pPr>
        <w:jc w:val="both"/>
        <w:rPr>
          <w:rFonts w:ascii="Arial" w:hAnsi="Arial" w:cs="Arial"/>
          <w:color w:val="000000"/>
          <w:sz w:val="20"/>
          <w:szCs w:val="20"/>
          <w:lang w:val="es-ES"/>
        </w:rPr>
      </w:pPr>
      <w:r w:rsidRPr="00A945FB">
        <w:rPr>
          <w:rFonts w:ascii="Arial" w:hAnsi="Arial" w:cs="Arial"/>
          <w:color w:val="000000"/>
          <w:sz w:val="20"/>
          <w:szCs w:val="20"/>
          <w:lang w:val="es-ES"/>
        </w:rPr>
        <w:t>En efecto, al no ser obligatorio el RUP en estos procesos no aplica directamente la regulación establecida en los Decreto 399 y 579 que, como se explicó, quedó atada al Registro Único de Proponentes. Lo anterior, sin perjuicio de que, como buena práctica contractual, dado que dicha normativa tiene como finalidad incentivar la reactivación económica y la participación dentro de los procesos de contratación pública, como respuesta a las afectaciones que ha producido la pandemia, puedan discrecionalmente incluir una regulación similar en sus pliegos de condiciones, estableciendo las reglas para la acreditación de la capacidad financiera y organizacional.</w:t>
      </w:r>
    </w:p>
    <w:p w14:paraId="2367B1E8" w14:textId="77777777" w:rsidR="00E1159D" w:rsidRPr="001F22AD" w:rsidRDefault="00E1159D" w:rsidP="00A85170">
      <w:pPr>
        <w:jc w:val="both"/>
        <w:rPr>
          <w:rFonts w:ascii="Arial" w:hAnsi="Arial" w:cs="Arial"/>
          <w:color w:val="000000"/>
          <w:sz w:val="20"/>
          <w:szCs w:val="20"/>
          <w:lang w:val="es-ES"/>
        </w:rPr>
      </w:pPr>
    </w:p>
    <w:p w14:paraId="035BA4E4" w14:textId="3C076F93" w:rsidR="00E41848" w:rsidRPr="001F22AD" w:rsidRDefault="00E41848">
      <w:pPr>
        <w:spacing w:after="160" w:line="259" w:lineRule="auto"/>
        <w:rPr>
          <w:rFonts w:ascii="Arial" w:hAnsi="Arial" w:cs="Arial"/>
          <w:color w:val="000000"/>
          <w:sz w:val="22"/>
          <w:lang w:val="es-ES"/>
        </w:rPr>
      </w:pPr>
      <w:r w:rsidRPr="001F22AD">
        <w:rPr>
          <w:rFonts w:ascii="Arial" w:hAnsi="Arial" w:cs="Arial"/>
          <w:color w:val="000000"/>
          <w:sz w:val="22"/>
          <w:lang w:val="es-ES"/>
        </w:rPr>
        <w:br w:type="page"/>
      </w:r>
    </w:p>
    <w:p w14:paraId="045030CC" w14:textId="77777777" w:rsidR="002D50EB" w:rsidRPr="001F22AD" w:rsidRDefault="002D50EB" w:rsidP="00775578">
      <w:pPr>
        <w:spacing w:line="276" w:lineRule="auto"/>
        <w:rPr>
          <w:rFonts w:ascii="Arial" w:hAnsi="Arial" w:cs="Arial"/>
          <w:color w:val="000000"/>
          <w:sz w:val="22"/>
          <w:lang w:val="es-ES"/>
        </w:rPr>
      </w:pPr>
    </w:p>
    <w:p w14:paraId="29CB3418" w14:textId="081389FC" w:rsidR="006558DA" w:rsidRPr="001F22AD" w:rsidRDefault="00722CD2" w:rsidP="00722CD2">
      <w:pPr>
        <w:spacing w:line="276" w:lineRule="auto"/>
        <w:jc w:val="right"/>
        <w:rPr>
          <w:rFonts w:ascii="Arial" w:hAnsi="Arial" w:cs="Arial"/>
          <w:color w:val="000000"/>
          <w:sz w:val="22"/>
          <w:lang w:val="es-ES"/>
        </w:rPr>
      </w:pPr>
      <w:r>
        <w:rPr>
          <w:noProof/>
        </w:rPr>
        <w:drawing>
          <wp:inline distT="0" distB="0" distL="0" distR="0" wp14:anchorId="70A12ADD" wp14:editId="0AE1CF15">
            <wp:extent cx="2484335" cy="701101"/>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84335" cy="701101"/>
                    </a:xfrm>
                    <a:prstGeom prst="rect">
                      <a:avLst/>
                    </a:prstGeom>
                  </pic:spPr>
                </pic:pic>
              </a:graphicData>
            </a:graphic>
          </wp:inline>
        </w:drawing>
      </w:r>
    </w:p>
    <w:p w14:paraId="154E410A" w14:textId="77777777" w:rsidR="00D36E83" w:rsidRPr="001F22AD" w:rsidRDefault="00D36E83" w:rsidP="00D36E83">
      <w:pPr>
        <w:ind w:firstLine="709"/>
        <w:jc w:val="center"/>
        <w:rPr>
          <w:color w:val="000000"/>
          <w:lang w:val="es-ES"/>
        </w:rPr>
      </w:pPr>
    </w:p>
    <w:p w14:paraId="0BC64200" w14:textId="0AF7B8EE" w:rsidR="00D36E83" w:rsidRPr="001F22AD" w:rsidRDefault="00D36E83" w:rsidP="00D36E83">
      <w:pPr>
        <w:jc w:val="both"/>
        <w:rPr>
          <w:rFonts w:ascii="Arial" w:eastAsia="Calibri" w:hAnsi="Arial" w:cs="Arial"/>
          <w:bCs/>
          <w:color w:val="000000"/>
          <w:sz w:val="22"/>
          <w:lang w:val="es-ES"/>
        </w:rPr>
      </w:pPr>
      <w:r w:rsidRPr="001F22AD">
        <w:rPr>
          <w:rFonts w:ascii="Arial" w:eastAsia="Calibri" w:hAnsi="Arial" w:cs="Arial"/>
          <w:bCs/>
          <w:color w:val="000000"/>
          <w:sz w:val="22"/>
          <w:lang w:val="es-ES"/>
        </w:rPr>
        <w:t>Señor</w:t>
      </w:r>
    </w:p>
    <w:p w14:paraId="3932F4FF" w14:textId="77777777" w:rsidR="000906C0" w:rsidRPr="001F22AD" w:rsidRDefault="000906C0" w:rsidP="000906C0">
      <w:pPr>
        <w:rPr>
          <w:rFonts w:ascii="Arial" w:eastAsia="Calibri" w:hAnsi="Arial" w:cs="Arial"/>
          <w:b/>
          <w:color w:val="000000"/>
          <w:sz w:val="22"/>
          <w:lang w:val="es-ES"/>
        </w:rPr>
      </w:pPr>
      <w:r w:rsidRPr="001F22AD">
        <w:rPr>
          <w:rFonts w:ascii="Arial" w:eastAsia="Calibri" w:hAnsi="Arial" w:cs="Arial"/>
          <w:b/>
          <w:color w:val="000000"/>
          <w:sz w:val="22"/>
          <w:lang w:val="es-ES"/>
        </w:rPr>
        <w:t>Samuel Gutiérrez</w:t>
      </w:r>
    </w:p>
    <w:p w14:paraId="095E879B" w14:textId="60691C7B" w:rsidR="000906C0" w:rsidRPr="001F22AD" w:rsidRDefault="00504364" w:rsidP="000906C0">
      <w:pPr>
        <w:rPr>
          <w:rFonts w:ascii="Arial" w:eastAsia="Calibri" w:hAnsi="Arial" w:cs="Arial"/>
          <w:b/>
          <w:bCs/>
          <w:color w:val="000000"/>
          <w:sz w:val="22"/>
          <w:lang w:val="es-ES"/>
        </w:rPr>
      </w:pPr>
      <w:r w:rsidRPr="001F22AD">
        <w:rPr>
          <w:rFonts w:ascii="Arial" w:eastAsia="Calibri" w:hAnsi="Arial" w:cs="Arial"/>
          <w:color w:val="000000"/>
          <w:sz w:val="22"/>
          <w:lang w:val="es-ES"/>
        </w:rPr>
        <w:t>Ciudad</w:t>
      </w:r>
      <w:r w:rsidR="000906C0" w:rsidRPr="001F22AD">
        <w:rPr>
          <w:rFonts w:ascii="Arial" w:eastAsia="Calibri" w:hAnsi="Arial" w:cs="Arial"/>
          <w:b/>
          <w:bCs/>
          <w:color w:val="000000"/>
          <w:sz w:val="22"/>
          <w:lang w:val="es-ES"/>
        </w:rPr>
        <w:t xml:space="preserve"> </w:t>
      </w:r>
    </w:p>
    <w:p w14:paraId="0B93B423" w14:textId="3C72561E" w:rsidR="000906C0" w:rsidRPr="001F22AD" w:rsidRDefault="000906C0" w:rsidP="000906C0">
      <w:pPr>
        <w:rPr>
          <w:rFonts w:ascii="Arial" w:eastAsia="Calibri" w:hAnsi="Arial" w:cs="Arial"/>
          <w:b/>
          <w:bCs/>
          <w:color w:val="000000"/>
          <w:sz w:val="22"/>
          <w:lang w:val="es-ES"/>
        </w:rPr>
      </w:pPr>
      <w:r w:rsidRPr="001F22AD">
        <w:rPr>
          <w:rFonts w:ascii="Arial" w:eastAsia="Calibri" w:hAnsi="Arial" w:cs="Arial"/>
          <w:b/>
          <w:bCs/>
          <w:color w:val="000000"/>
          <w:sz w:val="22"/>
          <w:lang w:val="es-ES"/>
        </w:rPr>
        <w:t xml:space="preserve">                      </w:t>
      </w:r>
    </w:p>
    <w:p w14:paraId="25A64004" w14:textId="3B769232" w:rsidR="00D36E83" w:rsidRPr="001F22AD" w:rsidRDefault="00D36E83" w:rsidP="00504364">
      <w:pPr>
        <w:jc w:val="center"/>
        <w:rPr>
          <w:rFonts w:ascii="Arial" w:eastAsia="Calibri" w:hAnsi="Arial" w:cs="Arial"/>
          <w:b/>
          <w:bCs/>
          <w:color w:val="000000"/>
          <w:sz w:val="22"/>
          <w:lang w:val="es-ES"/>
        </w:rPr>
      </w:pPr>
      <w:r w:rsidRPr="001F22AD">
        <w:rPr>
          <w:rFonts w:ascii="Arial" w:eastAsia="Calibri" w:hAnsi="Arial" w:cs="Arial"/>
          <w:b/>
          <w:bCs/>
          <w:color w:val="000000"/>
          <w:sz w:val="22"/>
          <w:lang w:val="es-ES"/>
        </w:rPr>
        <w:t xml:space="preserve">Concepto C ‒ </w:t>
      </w:r>
      <w:r w:rsidR="00F23A53" w:rsidRPr="001F22AD">
        <w:rPr>
          <w:rFonts w:ascii="Arial" w:eastAsia="Calibri" w:hAnsi="Arial" w:cs="Arial"/>
          <w:b/>
          <w:bCs/>
          <w:color w:val="000000"/>
          <w:sz w:val="22"/>
          <w:lang w:val="es-ES"/>
        </w:rPr>
        <w:t xml:space="preserve">748 </w:t>
      </w:r>
      <w:r w:rsidRPr="001F22AD">
        <w:rPr>
          <w:rFonts w:ascii="Arial" w:eastAsia="Calibri" w:hAnsi="Arial" w:cs="Arial"/>
          <w:b/>
          <w:bCs/>
          <w:color w:val="000000"/>
          <w:sz w:val="22"/>
          <w:lang w:val="es-ES"/>
        </w:rPr>
        <w:t>de 2021</w:t>
      </w:r>
    </w:p>
    <w:p w14:paraId="75F2B04B" w14:textId="77777777" w:rsidR="00D36E83" w:rsidRPr="001F22AD" w:rsidRDefault="00D36E83" w:rsidP="00D36E83">
      <w:pPr>
        <w:ind w:firstLine="709"/>
        <w:jc w:val="both"/>
        <w:rPr>
          <w:rFonts w:ascii="Arial" w:eastAsia="Calibri" w:hAnsi="Arial" w:cs="Arial"/>
          <w:color w:val="000000"/>
          <w:sz w:val="22"/>
          <w:lang w:val="es-ES"/>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36E83" w:rsidRPr="001F22AD" w14:paraId="7BE9E8D1" w14:textId="77777777" w:rsidTr="00FB18E1">
        <w:tc>
          <w:tcPr>
            <w:tcW w:w="2689" w:type="dxa"/>
          </w:tcPr>
          <w:p w14:paraId="7A621B16" w14:textId="77777777" w:rsidR="00D36E83" w:rsidRPr="001F22AD" w:rsidRDefault="00D36E83" w:rsidP="00504364">
            <w:pPr>
              <w:ind w:firstLine="0"/>
              <w:jc w:val="both"/>
              <w:rPr>
                <w:rFonts w:ascii="Arial" w:eastAsia="Calibri" w:hAnsi="Arial" w:cs="Arial"/>
                <w:color w:val="000000"/>
                <w:sz w:val="22"/>
                <w:lang w:val="es-ES"/>
              </w:rPr>
            </w:pPr>
            <w:r w:rsidRPr="001F22AD">
              <w:rPr>
                <w:rFonts w:ascii="Arial" w:eastAsia="Calibri" w:hAnsi="Arial" w:cs="Arial"/>
                <w:b/>
                <w:color w:val="000000"/>
                <w:sz w:val="22"/>
                <w:lang w:val="es-ES"/>
              </w:rPr>
              <w:t>Temas:</w:t>
            </w:r>
            <w:r w:rsidRPr="001F22AD">
              <w:rPr>
                <w:rFonts w:ascii="Arial" w:eastAsia="Calibri" w:hAnsi="Arial" w:cs="Arial"/>
                <w:color w:val="000000"/>
                <w:sz w:val="22"/>
                <w:lang w:val="es-ES"/>
              </w:rPr>
              <w:t xml:space="preserve">                                      </w:t>
            </w:r>
          </w:p>
        </w:tc>
        <w:tc>
          <w:tcPr>
            <w:tcW w:w="6237" w:type="dxa"/>
          </w:tcPr>
          <w:p w14:paraId="2435824C" w14:textId="77777777" w:rsidR="00DF69D9" w:rsidRPr="001F22AD" w:rsidRDefault="00D36E83" w:rsidP="00DF69D9">
            <w:pPr>
              <w:ind w:firstLine="0"/>
              <w:jc w:val="both"/>
              <w:rPr>
                <w:rFonts w:ascii="Arial" w:hAnsi="Arial" w:cs="Arial"/>
                <w:bCs/>
                <w:color w:val="000000"/>
                <w:sz w:val="22"/>
                <w:lang w:val="es-ES"/>
              </w:rPr>
            </w:pPr>
            <w:r w:rsidRPr="001F22AD">
              <w:rPr>
                <w:rFonts w:ascii="Arial" w:eastAsia="Calibri" w:hAnsi="Arial" w:cs="Arial"/>
                <w:bCs/>
                <w:color w:val="000000"/>
                <w:sz w:val="22"/>
                <w:lang w:val="es-ES"/>
              </w:rPr>
              <w:t>DECRETO 399 DE 2021 – Finalidad – Reactivación económica / DECRETO 399 DE 2021 – Información – Capacidad financiera – Capacidad organizacional / MEJOR AÑO FISCAL – Decreto 399 – Capacidad financiera – Capacidad organizacional</w:t>
            </w:r>
            <w:r w:rsidR="00051D60" w:rsidRPr="001F22AD">
              <w:rPr>
                <w:rFonts w:ascii="Arial" w:eastAsia="Calibri" w:hAnsi="Arial" w:cs="Arial"/>
                <w:bCs/>
                <w:color w:val="000000"/>
                <w:sz w:val="22"/>
                <w:lang w:val="es-ES"/>
              </w:rPr>
              <w:t xml:space="preserve"> </w:t>
            </w:r>
            <w:r w:rsidRPr="001F22AD">
              <w:rPr>
                <w:rFonts w:ascii="Arial" w:eastAsia="Calibri" w:hAnsi="Arial" w:cs="Arial"/>
                <w:bCs/>
                <w:color w:val="000000"/>
                <w:sz w:val="22"/>
                <w:lang w:val="es-ES"/>
              </w:rPr>
              <w:t>/</w:t>
            </w:r>
            <w:r w:rsidRPr="001F22AD">
              <w:rPr>
                <w:rFonts w:ascii="Arial" w:hAnsi="Arial" w:cs="Arial"/>
                <w:bCs/>
                <w:color w:val="000000"/>
                <w:sz w:val="22"/>
                <w:lang w:val="es-ES"/>
              </w:rPr>
              <w:t xml:space="preserve"> </w:t>
            </w:r>
            <w:r w:rsidR="00DF69D9" w:rsidRPr="001F22AD">
              <w:rPr>
                <w:rFonts w:ascii="Arial" w:hAnsi="Arial" w:cs="Arial"/>
                <w:bCs/>
                <w:color w:val="000000"/>
                <w:sz w:val="22"/>
                <w:lang w:val="es-ES"/>
              </w:rPr>
              <w:t xml:space="preserve">EVALUACIÓN DE LA CAPACIDAD FINANCIERA Y ORGANIZACIONAL – Procesos exceptuados del RUP - Noción de mejor año fiscal como buena práctica contractual </w:t>
            </w:r>
          </w:p>
          <w:p w14:paraId="06E78BC6" w14:textId="33D46637" w:rsidR="00D36E83" w:rsidRPr="001F22AD" w:rsidRDefault="00D36E83" w:rsidP="00E50134">
            <w:pPr>
              <w:ind w:firstLine="0"/>
              <w:jc w:val="both"/>
              <w:rPr>
                <w:rFonts w:ascii="Arial" w:hAnsi="Arial" w:cs="Arial"/>
                <w:bCs/>
                <w:color w:val="000000"/>
                <w:sz w:val="22"/>
                <w:lang w:val="es-ES"/>
              </w:rPr>
            </w:pPr>
          </w:p>
        </w:tc>
      </w:tr>
      <w:tr w:rsidR="00D36E83" w:rsidRPr="001F22AD" w14:paraId="71AA3FAF" w14:textId="77777777" w:rsidTr="00FB18E1">
        <w:trPr>
          <w:trHeight w:val="67"/>
        </w:trPr>
        <w:tc>
          <w:tcPr>
            <w:tcW w:w="2689" w:type="dxa"/>
          </w:tcPr>
          <w:p w14:paraId="57959B7A" w14:textId="77777777" w:rsidR="00D36E83" w:rsidRPr="001F22AD" w:rsidRDefault="00D36E83" w:rsidP="00504364">
            <w:pPr>
              <w:spacing w:before="120"/>
              <w:ind w:firstLine="0"/>
              <w:jc w:val="both"/>
              <w:rPr>
                <w:rFonts w:ascii="Arial" w:eastAsia="Calibri" w:hAnsi="Arial" w:cs="Arial"/>
                <w:b/>
                <w:color w:val="000000"/>
                <w:sz w:val="22"/>
                <w:lang w:val="es-ES"/>
              </w:rPr>
            </w:pPr>
            <w:r w:rsidRPr="001F22AD">
              <w:rPr>
                <w:rFonts w:ascii="Arial" w:eastAsia="Calibri" w:hAnsi="Arial" w:cs="Arial"/>
                <w:b/>
                <w:color w:val="000000"/>
                <w:sz w:val="22"/>
                <w:lang w:val="es-ES"/>
              </w:rPr>
              <w:t>Radicación:</w:t>
            </w:r>
            <w:r w:rsidRPr="001F22AD">
              <w:rPr>
                <w:rFonts w:ascii="Arial" w:eastAsia="Calibri" w:hAnsi="Arial" w:cs="Arial"/>
                <w:color w:val="000000"/>
                <w:sz w:val="22"/>
                <w:lang w:val="es-ES"/>
              </w:rPr>
              <w:t xml:space="preserve">                              </w:t>
            </w:r>
          </w:p>
        </w:tc>
        <w:tc>
          <w:tcPr>
            <w:tcW w:w="6237" w:type="dxa"/>
          </w:tcPr>
          <w:p w14:paraId="1D1750BD" w14:textId="2DD24579" w:rsidR="00E50134" w:rsidRPr="001F22AD" w:rsidRDefault="00D36E83" w:rsidP="00E50134">
            <w:pPr>
              <w:spacing w:before="120"/>
              <w:ind w:firstLine="0"/>
              <w:jc w:val="both"/>
              <w:rPr>
                <w:rFonts w:ascii="Arial" w:hAnsi="Arial" w:cs="Arial"/>
                <w:color w:val="000000"/>
                <w:sz w:val="22"/>
                <w:lang w:val="es-ES" w:eastAsia="es-CO"/>
              </w:rPr>
            </w:pPr>
            <w:r w:rsidRPr="001F22AD">
              <w:rPr>
                <w:rFonts w:ascii="Arial" w:eastAsia="Calibri" w:hAnsi="Arial" w:cs="Arial"/>
                <w:color w:val="000000"/>
                <w:sz w:val="22"/>
                <w:lang w:val="es-ES"/>
              </w:rPr>
              <w:t xml:space="preserve">Respuesta a consulta # </w:t>
            </w:r>
            <w:r w:rsidRPr="001F22AD">
              <w:rPr>
                <w:rFonts w:ascii="Arial" w:hAnsi="Arial" w:cs="Arial"/>
                <w:color w:val="000000"/>
                <w:sz w:val="22"/>
                <w:lang w:val="es-ES" w:eastAsia="es-CO"/>
              </w:rPr>
              <w:t>P</w:t>
            </w:r>
            <w:r w:rsidR="00E50134" w:rsidRPr="001F22AD">
              <w:rPr>
                <w:rFonts w:ascii="Arial" w:hAnsi="Arial" w:cs="Arial"/>
                <w:color w:val="000000"/>
                <w:sz w:val="22"/>
                <w:szCs w:val="22"/>
                <w:lang w:val="es-ES"/>
              </w:rPr>
              <w:t>20211223011724</w:t>
            </w:r>
          </w:p>
          <w:p w14:paraId="217A7369" w14:textId="0CD074EF" w:rsidR="00D36E83" w:rsidRPr="001F22AD" w:rsidRDefault="00D36E83" w:rsidP="00DC7A4A">
            <w:pPr>
              <w:spacing w:before="120"/>
              <w:ind w:firstLine="0"/>
              <w:jc w:val="both"/>
              <w:rPr>
                <w:rFonts w:ascii="Arial" w:eastAsia="Calibri" w:hAnsi="Arial" w:cs="Arial"/>
                <w:color w:val="000000"/>
                <w:sz w:val="22"/>
                <w:lang w:val="es-ES"/>
              </w:rPr>
            </w:pPr>
          </w:p>
        </w:tc>
      </w:tr>
    </w:tbl>
    <w:p w14:paraId="39B5DF8F" w14:textId="6E34C9A8" w:rsidR="00D36E83" w:rsidRPr="001F22AD" w:rsidRDefault="00D36E83" w:rsidP="00D36E83">
      <w:pPr>
        <w:jc w:val="both"/>
        <w:rPr>
          <w:rFonts w:ascii="Arial" w:eastAsia="Calibri" w:hAnsi="Arial" w:cs="Arial"/>
          <w:color w:val="000000"/>
          <w:sz w:val="22"/>
          <w:lang w:val="es-ES"/>
        </w:rPr>
      </w:pPr>
      <w:r w:rsidRPr="001F22AD">
        <w:rPr>
          <w:rFonts w:ascii="Arial" w:eastAsia="Calibri" w:hAnsi="Arial" w:cs="Arial"/>
          <w:color w:val="000000"/>
          <w:sz w:val="22"/>
          <w:lang w:val="es-ES"/>
        </w:rPr>
        <w:t>Estimad</w:t>
      </w:r>
      <w:r w:rsidR="00051D60" w:rsidRPr="001F22AD">
        <w:rPr>
          <w:rFonts w:ascii="Arial" w:eastAsia="Calibri" w:hAnsi="Arial" w:cs="Arial"/>
          <w:color w:val="000000"/>
          <w:sz w:val="22"/>
          <w:lang w:val="es-ES"/>
        </w:rPr>
        <w:t>o</w:t>
      </w:r>
      <w:r w:rsidRPr="001F22AD">
        <w:rPr>
          <w:rFonts w:ascii="Arial" w:eastAsia="Calibri" w:hAnsi="Arial" w:cs="Arial"/>
          <w:color w:val="000000"/>
          <w:sz w:val="22"/>
          <w:lang w:val="es-ES"/>
        </w:rPr>
        <w:t xml:space="preserve"> señor</w:t>
      </w:r>
      <w:r w:rsidR="00775578" w:rsidRPr="001F22AD">
        <w:rPr>
          <w:rFonts w:ascii="Arial" w:eastAsia="Calibri" w:hAnsi="Arial" w:cs="Arial"/>
          <w:color w:val="000000"/>
          <w:sz w:val="22"/>
          <w:lang w:val="es-ES"/>
        </w:rPr>
        <w:t xml:space="preserve"> </w:t>
      </w:r>
      <w:r w:rsidR="00E50134" w:rsidRPr="001F22AD">
        <w:rPr>
          <w:rFonts w:ascii="Arial" w:eastAsia="Calibri" w:hAnsi="Arial" w:cs="Arial"/>
          <w:color w:val="000000"/>
          <w:sz w:val="22"/>
          <w:lang w:val="es-ES"/>
        </w:rPr>
        <w:t>Gutiérrez</w:t>
      </w:r>
      <w:r w:rsidRPr="001F22AD">
        <w:rPr>
          <w:rFonts w:ascii="Arial" w:eastAsia="Calibri" w:hAnsi="Arial" w:cs="Arial"/>
          <w:color w:val="000000"/>
          <w:sz w:val="22"/>
          <w:lang w:val="es-ES"/>
        </w:rPr>
        <w:t>:</w:t>
      </w:r>
    </w:p>
    <w:p w14:paraId="114E4D1D" w14:textId="77777777" w:rsidR="00D36E83" w:rsidRPr="001F22AD" w:rsidRDefault="00D36E83" w:rsidP="00D36E83">
      <w:pPr>
        <w:ind w:firstLine="709"/>
        <w:jc w:val="both"/>
        <w:rPr>
          <w:rFonts w:ascii="Arial" w:eastAsia="Calibri" w:hAnsi="Arial" w:cs="Arial"/>
          <w:color w:val="000000"/>
          <w:sz w:val="22"/>
          <w:lang w:val="es-ES"/>
        </w:rPr>
      </w:pPr>
    </w:p>
    <w:p w14:paraId="03F1150D" w14:textId="00AEE776" w:rsidR="00D36E83" w:rsidRPr="001F22AD" w:rsidRDefault="00D36E83" w:rsidP="00D36E83">
      <w:pPr>
        <w:spacing w:line="276" w:lineRule="auto"/>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sidR="00160CC8" w:rsidRPr="001F22AD">
        <w:rPr>
          <w:rFonts w:ascii="Arial" w:eastAsia="Calibri" w:hAnsi="Arial" w:cs="Arial"/>
          <w:color w:val="000000"/>
          <w:sz w:val="22"/>
          <w:lang w:val="es-ES"/>
        </w:rPr>
        <w:t>27</w:t>
      </w:r>
      <w:r w:rsidR="00816142" w:rsidRPr="001F22AD">
        <w:rPr>
          <w:rFonts w:ascii="Arial" w:eastAsia="Calibri" w:hAnsi="Arial" w:cs="Arial"/>
          <w:color w:val="000000"/>
          <w:sz w:val="22"/>
          <w:lang w:val="es-ES"/>
        </w:rPr>
        <w:t xml:space="preserve"> de diciembre </w:t>
      </w:r>
      <w:r w:rsidRPr="001F22AD">
        <w:rPr>
          <w:rFonts w:ascii="Arial" w:eastAsia="Calibri" w:hAnsi="Arial" w:cs="Arial"/>
          <w:color w:val="000000"/>
          <w:sz w:val="22"/>
          <w:lang w:val="es-ES"/>
        </w:rPr>
        <w:t>de 2021.</w:t>
      </w:r>
    </w:p>
    <w:p w14:paraId="52C13A16" w14:textId="77777777" w:rsidR="00D36E83" w:rsidRPr="001F22AD" w:rsidRDefault="00D36E83" w:rsidP="00D36E83">
      <w:pPr>
        <w:spacing w:line="276" w:lineRule="auto"/>
        <w:ind w:firstLine="709"/>
        <w:jc w:val="both"/>
        <w:rPr>
          <w:rFonts w:ascii="Arial" w:eastAsia="Calibri" w:hAnsi="Arial" w:cs="Arial"/>
          <w:b/>
          <w:color w:val="000000"/>
          <w:sz w:val="22"/>
          <w:lang w:val="es-ES"/>
        </w:rPr>
      </w:pPr>
    </w:p>
    <w:p w14:paraId="59DE37D4" w14:textId="77777777" w:rsidR="00D36E83" w:rsidRPr="001F22AD" w:rsidRDefault="00D36E83" w:rsidP="00D36E83">
      <w:pPr>
        <w:numPr>
          <w:ilvl w:val="0"/>
          <w:numId w:val="13"/>
        </w:numPr>
        <w:tabs>
          <w:tab w:val="left" w:pos="0"/>
          <w:tab w:val="left" w:pos="142"/>
          <w:tab w:val="left" w:pos="284"/>
        </w:tabs>
        <w:spacing w:line="276" w:lineRule="auto"/>
        <w:ind w:left="0" w:firstLine="0"/>
        <w:contextualSpacing/>
        <w:jc w:val="both"/>
        <w:rPr>
          <w:rFonts w:ascii="Arial" w:eastAsia="Calibri" w:hAnsi="Arial" w:cs="Arial"/>
          <w:b/>
          <w:color w:val="000000"/>
          <w:sz w:val="22"/>
          <w:lang w:val="es-ES"/>
        </w:rPr>
      </w:pPr>
      <w:r w:rsidRPr="001F22AD">
        <w:rPr>
          <w:rFonts w:ascii="Arial" w:eastAsia="Calibri" w:hAnsi="Arial" w:cs="Arial"/>
          <w:b/>
          <w:color w:val="000000"/>
          <w:sz w:val="22"/>
          <w:lang w:val="es-ES"/>
        </w:rPr>
        <w:t xml:space="preserve">Problema planteado </w:t>
      </w:r>
    </w:p>
    <w:p w14:paraId="3643E96C" w14:textId="77777777" w:rsidR="00F47033" w:rsidRPr="001F22AD" w:rsidRDefault="00F47033" w:rsidP="00F47033">
      <w:pPr>
        <w:spacing w:line="276" w:lineRule="auto"/>
        <w:jc w:val="both"/>
        <w:rPr>
          <w:rFonts w:ascii="Arial" w:hAnsi="Arial" w:cs="Arial"/>
          <w:color w:val="000000"/>
          <w:sz w:val="22"/>
          <w:lang w:val="es-ES"/>
        </w:rPr>
      </w:pPr>
    </w:p>
    <w:p w14:paraId="0842DC8E" w14:textId="72EBF4B5" w:rsidR="00495E5E" w:rsidRPr="001F22AD" w:rsidRDefault="00495E5E" w:rsidP="00495E5E">
      <w:pPr>
        <w:spacing w:line="276" w:lineRule="auto"/>
        <w:jc w:val="both"/>
        <w:rPr>
          <w:rFonts w:ascii="Arial" w:hAnsi="Arial" w:cs="Arial"/>
          <w:color w:val="000000" w:themeColor="text1"/>
          <w:sz w:val="22"/>
          <w:lang w:val="es-ES"/>
        </w:rPr>
      </w:pPr>
      <w:r w:rsidRPr="001F22AD">
        <w:rPr>
          <w:rFonts w:ascii="Arial" w:hAnsi="Arial" w:cs="Arial"/>
          <w:color w:val="000000" w:themeColor="text1"/>
          <w:sz w:val="22"/>
          <w:lang w:val="es-ES"/>
        </w:rPr>
        <w:t xml:space="preserve">Usted formula la siguiente consulta: </w:t>
      </w:r>
    </w:p>
    <w:p w14:paraId="6117B1F9" w14:textId="77777777" w:rsidR="00495E5E" w:rsidRPr="001F22AD" w:rsidRDefault="00495E5E" w:rsidP="00495E5E">
      <w:pPr>
        <w:spacing w:line="276" w:lineRule="auto"/>
        <w:jc w:val="both"/>
        <w:rPr>
          <w:rFonts w:ascii="Arial" w:hAnsi="Arial" w:cs="Arial"/>
          <w:color w:val="000000" w:themeColor="text1"/>
          <w:sz w:val="22"/>
          <w:lang w:val="es-ES"/>
        </w:rPr>
      </w:pPr>
    </w:p>
    <w:p w14:paraId="665E9D36" w14:textId="3C347CD1" w:rsidR="00F47033" w:rsidRPr="001F22AD" w:rsidRDefault="009C2A82" w:rsidP="00495E5E">
      <w:pPr>
        <w:ind w:left="709" w:right="709"/>
        <w:jc w:val="both"/>
        <w:rPr>
          <w:rFonts w:ascii="Arial" w:hAnsi="Arial" w:cs="Arial"/>
          <w:color w:val="000000"/>
          <w:sz w:val="21"/>
          <w:szCs w:val="21"/>
          <w:lang w:val="es-ES"/>
        </w:rPr>
      </w:pPr>
      <w:r w:rsidRPr="001F22AD">
        <w:rPr>
          <w:rFonts w:ascii="Arial" w:hAnsi="Arial" w:cs="Arial"/>
          <w:color w:val="000000"/>
          <w:sz w:val="21"/>
          <w:szCs w:val="21"/>
          <w:lang w:val="es-ES"/>
        </w:rPr>
        <w:t>«</w:t>
      </w:r>
      <w:r w:rsidR="006558DA" w:rsidRPr="001F22AD">
        <w:rPr>
          <w:rFonts w:ascii="Arial" w:hAnsi="Arial" w:cs="Arial"/>
          <w:color w:val="000000"/>
          <w:sz w:val="21"/>
          <w:szCs w:val="21"/>
          <w:lang w:val="es-ES"/>
        </w:rPr>
        <w:t xml:space="preserve">De conformidad con el Decreto 579 de 2021 se establecieron condiciones adicionales para garantizar la pluralidad de oferentes de los proponentes que </w:t>
      </w:r>
      <w:proofErr w:type="spellStart"/>
      <w:r w:rsidR="006558DA" w:rsidRPr="001F22AD">
        <w:rPr>
          <w:rFonts w:ascii="Arial" w:hAnsi="Arial" w:cs="Arial"/>
          <w:color w:val="000000"/>
          <w:sz w:val="21"/>
          <w:szCs w:val="21"/>
          <w:lang w:val="es-ES"/>
        </w:rPr>
        <w:t>estan</w:t>
      </w:r>
      <w:proofErr w:type="spellEnd"/>
      <w:r w:rsidR="006558DA" w:rsidRPr="001F22AD">
        <w:rPr>
          <w:rFonts w:ascii="Arial" w:hAnsi="Arial" w:cs="Arial"/>
          <w:color w:val="000000"/>
          <w:sz w:val="21"/>
          <w:szCs w:val="21"/>
          <w:lang w:val="es-ES"/>
        </w:rPr>
        <w:t xml:space="preserve"> inscritos en el RUP, al permitirles presentar los estados financieros de los </w:t>
      </w:r>
      <w:proofErr w:type="spellStart"/>
      <w:r w:rsidR="006558DA" w:rsidRPr="001F22AD">
        <w:rPr>
          <w:rFonts w:ascii="Arial" w:hAnsi="Arial" w:cs="Arial"/>
          <w:color w:val="000000"/>
          <w:sz w:val="21"/>
          <w:szCs w:val="21"/>
          <w:lang w:val="es-ES"/>
        </w:rPr>
        <w:t>ultimos</w:t>
      </w:r>
      <w:proofErr w:type="spellEnd"/>
      <w:r w:rsidR="006558DA" w:rsidRPr="001F22AD">
        <w:rPr>
          <w:rFonts w:ascii="Arial" w:hAnsi="Arial" w:cs="Arial"/>
          <w:color w:val="000000"/>
          <w:sz w:val="21"/>
          <w:szCs w:val="21"/>
          <w:lang w:val="es-ES"/>
        </w:rPr>
        <w:t xml:space="preserve"> 3 años, de los cuales la Entidad Publica deberá tomar el mejor de estos. Conforme a lo anterior se solicita concepto, con el fin de determinar si esta condición aplica para los proponentes que </w:t>
      </w:r>
      <w:proofErr w:type="gramStart"/>
      <w:r w:rsidR="006558DA" w:rsidRPr="001F22AD">
        <w:rPr>
          <w:rFonts w:ascii="Arial" w:hAnsi="Arial" w:cs="Arial"/>
          <w:color w:val="000000"/>
          <w:sz w:val="21"/>
          <w:szCs w:val="21"/>
          <w:lang w:val="es-ES"/>
        </w:rPr>
        <w:t>de acuerdo al</w:t>
      </w:r>
      <w:proofErr w:type="gramEnd"/>
      <w:r w:rsidR="006558DA" w:rsidRPr="001F22AD">
        <w:rPr>
          <w:rFonts w:ascii="Arial" w:hAnsi="Arial" w:cs="Arial"/>
          <w:color w:val="000000"/>
          <w:sz w:val="21"/>
          <w:szCs w:val="21"/>
          <w:lang w:val="es-ES"/>
        </w:rPr>
        <w:t xml:space="preserve"> inciso 2 del articulo 6 de la ley 1150 de 2007, que no tienen la obligación de presentar RUP, respecto de los procesos de PRESTACION DE SERVICIOS DE SALUD a quienes únicamente se les requiere presentar estados financieros a corte 31 de diciembre del año inmediatamente anterior»</w:t>
      </w:r>
      <w:r w:rsidR="00287A32" w:rsidRPr="001F22AD">
        <w:rPr>
          <w:rFonts w:ascii="Arial" w:hAnsi="Arial" w:cs="Arial"/>
          <w:color w:val="000000"/>
          <w:sz w:val="21"/>
          <w:szCs w:val="21"/>
          <w:lang w:val="es-ES"/>
        </w:rPr>
        <w:t>.</w:t>
      </w:r>
    </w:p>
    <w:p w14:paraId="33B1BAC3" w14:textId="739A37AF" w:rsidR="00D36E83" w:rsidRPr="001F22AD" w:rsidRDefault="00D36E83" w:rsidP="00F47033">
      <w:pPr>
        <w:ind w:right="709"/>
        <w:jc w:val="both"/>
        <w:rPr>
          <w:rFonts w:ascii="Arial" w:hAnsi="Arial" w:cs="Arial"/>
          <w:color w:val="000000"/>
          <w:sz w:val="21"/>
          <w:szCs w:val="21"/>
          <w:lang w:val="es-ES"/>
        </w:rPr>
      </w:pPr>
    </w:p>
    <w:p w14:paraId="7E5732E6" w14:textId="77777777" w:rsidR="006558DA" w:rsidRPr="001F22AD" w:rsidRDefault="006558DA" w:rsidP="00F47033">
      <w:pPr>
        <w:ind w:right="709"/>
        <w:jc w:val="both"/>
        <w:rPr>
          <w:rFonts w:ascii="Arial" w:hAnsi="Arial" w:cs="Arial"/>
          <w:color w:val="000000"/>
          <w:sz w:val="21"/>
          <w:szCs w:val="21"/>
          <w:lang w:val="es-ES"/>
        </w:rPr>
      </w:pPr>
    </w:p>
    <w:p w14:paraId="468F3718" w14:textId="77777777" w:rsidR="00175A33" w:rsidRPr="001F22AD" w:rsidRDefault="00D36E83" w:rsidP="003244B5">
      <w:pPr>
        <w:numPr>
          <w:ilvl w:val="0"/>
          <w:numId w:val="13"/>
        </w:numPr>
        <w:tabs>
          <w:tab w:val="left" w:pos="0"/>
          <w:tab w:val="left" w:pos="284"/>
        </w:tabs>
        <w:spacing w:after="120" w:line="276" w:lineRule="auto"/>
        <w:ind w:left="0" w:firstLine="0"/>
        <w:contextualSpacing/>
        <w:jc w:val="both"/>
        <w:rPr>
          <w:rFonts w:ascii="Arial" w:eastAsia="Calibri" w:hAnsi="Arial" w:cs="Arial"/>
          <w:color w:val="000000"/>
          <w:sz w:val="22"/>
          <w:lang w:val="es-ES"/>
        </w:rPr>
      </w:pPr>
      <w:r w:rsidRPr="001F22AD">
        <w:rPr>
          <w:rFonts w:ascii="Arial" w:eastAsia="Calibri" w:hAnsi="Arial" w:cs="Arial"/>
          <w:b/>
          <w:color w:val="000000"/>
          <w:sz w:val="22"/>
          <w:lang w:val="es-ES"/>
        </w:rPr>
        <w:lastRenderedPageBreak/>
        <w:t>Consideraciones</w:t>
      </w:r>
    </w:p>
    <w:p w14:paraId="0BCA1BFD" w14:textId="77777777" w:rsidR="00175A33" w:rsidRPr="001F22AD" w:rsidRDefault="00175A33" w:rsidP="00175A33">
      <w:pPr>
        <w:tabs>
          <w:tab w:val="left" w:pos="0"/>
          <w:tab w:val="left" w:pos="284"/>
        </w:tabs>
        <w:spacing w:after="120" w:line="276" w:lineRule="auto"/>
        <w:contextualSpacing/>
        <w:jc w:val="both"/>
        <w:rPr>
          <w:rFonts w:ascii="Arial" w:eastAsia="Calibri" w:hAnsi="Arial" w:cs="Arial"/>
          <w:b/>
          <w:color w:val="000000"/>
          <w:sz w:val="22"/>
          <w:lang w:val="es-ES"/>
        </w:rPr>
      </w:pPr>
    </w:p>
    <w:p w14:paraId="1B28F220" w14:textId="1B480229" w:rsidR="00175A33" w:rsidRPr="001F22AD" w:rsidRDefault="00D36E83" w:rsidP="00175A33">
      <w:pPr>
        <w:tabs>
          <w:tab w:val="left" w:pos="0"/>
          <w:tab w:val="left" w:pos="284"/>
        </w:tabs>
        <w:snapToGrid w:val="0"/>
        <w:spacing w:after="120" w:line="276" w:lineRule="auto"/>
        <w:jc w:val="both"/>
        <w:rPr>
          <w:rFonts w:ascii="Arial" w:eastAsia="Calibri" w:hAnsi="Arial" w:cs="Arial"/>
          <w:color w:val="000000"/>
          <w:sz w:val="22"/>
          <w:lang w:val="es-ES"/>
        </w:rPr>
      </w:pPr>
      <w:r w:rsidRPr="001F22AD">
        <w:rPr>
          <w:rFonts w:ascii="Arial" w:eastAsia="Calibri" w:hAnsi="Arial" w:cs="Arial"/>
          <w:color w:val="000000"/>
          <w:sz w:val="22"/>
          <w:lang w:val="es-ES"/>
        </w:rPr>
        <w:t>La Subdirección de Gestión Contractual responderá la consulta, luego de analizar los siguientes temas: i) requisitos habilitantes de capacidad financiera y organizacional</w:t>
      </w:r>
      <w:r w:rsidR="00DB61F3" w:rsidRPr="001F22AD">
        <w:rPr>
          <w:rFonts w:ascii="Arial" w:eastAsia="Calibri" w:hAnsi="Arial" w:cs="Arial"/>
          <w:color w:val="000000"/>
          <w:sz w:val="22"/>
          <w:lang w:val="es-ES"/>
        </w:rPr>
        <w:t>;</w:t>
      </w:r>
      <w:r w:rsidRPr="001F22AD">
        <w:rPr>
          <w:rFonts w:ascii="Arial" w:eastAsia="Calibri" w:hAnsi="Arial" w:cs="Arial"/>
          <w:color w:val="000000"/>
          <w:sz w:val="22"/>
          <w:lang w:val="es-ES"/>
        </w:rPr>
        <w:t xml:space="preserve"> </w:t>
      </w:r>
      <w:r w:rsidR="00B52F07" w:rsidRPr="001F22AD">
        <w:rPr>
          <w:rFonts w:ascii="Arial" w:eastAsia="Calibri" w:hAnsi="Arial" w:cs="Arial"/>
          <w:color w:val="000000"/>
          <w:sz w:val="22"/>
          <w:lang w:val="es-ES"/>
        </w:rPr>
        <w:t>i</w:t>
      </w:r>
      <w:r w:rsidRPr="001F22AD">
        <w:rPr>
          <w:rFonts w:ascii="Arial" w:eastAsia="Calibri" w:hAnsi="Arial" w:cs="Arial"/>
          <w:color w:val="000000"/>
          <w:sz w:val="22"/>
          <w:lang w:val="es-ES"/>
        </w:rPr>
        <w:t xml:space="preserve">i) </w:t>
      </w:r>
      <w:r w:rsidR="00D079C7" w:rsidRPr="001F22AD">
        <w:rPr>
          <w:rFonts w:ascii="Arial" w:eastAsia="Calibri" w:hAnsi="Arial" w:cs="Arial"/>
          <w:color w:val="000000"/>
          <w:sz w:val="22"/>
          <w:lang w:val="es-ES"/>
        </w:rPr>
        <w:t xml:space="preserve">modificaciones introducidas por los Decretos 399 de 2021 y 579 de 2021 respecto a la información </w:t>
      </w:r>
      <w:r w:rsidR="0074032F" w:rsidRPr="001F22AD">
        <w:rPr>
          <w:rFonts w:ascii="Arial" w:eastAsia="Calibri" w:hAnsi="Arial" w:cs="Arial"/>
          <w:color w:val="000000"/>
          <w:sz w:val="22"/>
          <w:lang w:val="es-ES"/>
        </w:rPr>
        <w:t xml:space="preserve">contenida en el </w:t>
      </w:r>
      <w:r w:rsidR="00D079C7" w:rsidRPr="001F22AD">
        <w:rPr>
          <w:rFonts w:ascii="Arial" w:eastAsia="Calibri" w:hAnsi="Arial" w:cs="Arial"/>
          <w:color w:val="000000"/>
          <w:sz w:val="22"/>
          <w:lang w:val="es-ES"/>
        </w:rPr>
        <w:t>RUP</w:t>
      </w:r>
      <w:r w:rsidR="0074032F" w:rsidRPr="001F22AD">
        <w:rPr>
          <w:rFonts w:ascii="Arial" w:eastAsia="Calibri" w:hAnsi="Arial" w:cs="Arial"/>
          <w:color w:val="000000"/>
          <w:sz w:val="22"/>
          <w:lang w:val="es-ES"/>
        </w:rPr>
        <w:t xml:space="preserve"> y delimitación de </w:t>
      </w:r>
      <w:r w:rsidR="00C50F45" w:rsidRPr="001F22AD">
        <w:rPr>
          <w:rFonts w:ascii="Arial" w:eastAsia="Calibri" w:hAnsi="Arial" w:cs="Arial"/>
          <w:color w:val="000000"/>
          <w:sz w:val="22"/>
          <w:lang w:val="es-ES"/>
        </w:rPr>
        <w:t>su</w:t>
      </w:r>
      <w:r w:rsidR="0074032F" w:rsidRPr="001F22AD">
        <w:rPr>
          <w:rFonts w:ascii="Arial" w:eastAsia="Calibri" w:hAnsi="Arial" w:cs="Arial"/>
          <w:color w:val="000000"/>
          <w:sz w:val="22"/>
          <w:lang w:val="es-ES"/>
        </w:rPr>
        <w:t xml:space="preserve"> verificación dentro del «mejor año fiscal» y </w:t>
      </w:r>
      <w:proofErr w:type="spellStart"/>
      <w:r w:rsidR="00DB61F3" w:rsidRPr="001F22AD">
        <w:rPr>
          <w:rFonts w:ascii="Arial" w:eastAsia="Calibri" w:hAnsi="Arial" w:cs="Arial"/>
          <w:color w:val="000000"/>
          <w:sz w:val="22"/>
          <w:lang w:val="es-ES"/>
        </w:rPr>
        <w:t>iii</w:t>
      </w:r>
      <w:proofErr w:type="spellEnd"/>
      <w:r w:rsidR="00DB61F3" w:rsidRPr="001F22AD">
        <w:rPr>
          <w:rFonts w:ascii="Arial" w:eastAsia="Calibri" w:hAnsi="Arial" w:cs="Arial"/>
          <w:color w:val="000000"/>
          <w:sz w:val="22"/>
          <w:lang w:val="es-ES"/>
        </w:rPr>
        <w:t xml:space="preserve">) </w:t>
      </w:r>
      <w:r w:rsidR="002575DA" w:rsidRPr="001F22AD">
        <w:rPr>
          <w:rFonts w:ascii="Arial" w:eastAsia="Calibri" w:hAnsi="Arial" w:cs="Arial"/>
          <w:color w:val="000000"/>
          <w:sz w:val="22"/>
          <w:lang w:val="es-ES"/>
        </w:rPr>
        <w:t>la causal de selección abreviada para la celebración de contratos para la prestación de servicios de salud y la no obligatoriedad del RUP en estos procesos.</w:t>
      </w:r>
    </w:p>
    <w:p w14:paraId="6811DC53" w14:textId="28F175B4" w:rsidR="00D079C7" w:rsidRPr="001F22AD" w:rsidRDefault="00682892" w:rsidP="00175A33">
      <w:pPr>
        <w:snapToGrid w:val="0"/>
        <w:spacing w:line="276" w:lineRule="auto"/>
        <w:ind w:firstLine="709"/>
        <w:jc w:val="both"/>
        <w:rPr>
          <w:rFonts w:ascii="Arial" w:hAnsi="Arial" w:cs="Arial"/>
          <w:color w:val="000000" w:themeColor="text1"/>
          <w:sz w:val="22"/>
          <w:lang w:val="es-ES"/>
        </w:rPr>
      </w:pPr>
      <w:r w:rsidRPr="001F22AD">
        <w:rPr>
          <w:rFonts w:ascii="Arial" w:eastAsia="Calibri" w:hAnsi="Arial" w:cs="Arial"/>
          <w:color w:val="000000" w:themeColor="text1"/>
          <w:sz w:val="22"/>
          <w:lang w:val="es-ES"/>
        </w:rPr>
        <w:t xml:space="preserve">La Agencia Nacional de Contratación Pública – Colombia Compra Eficiente, </w:t>
      </w:r>
      <w:r w:rsidR="00173CD9" w:rsidRPr="001F22AD">
        <w:rPr>
          <w:rFonts w:ascii="Arial" w:eastAsia="Calibri" w:hAnsi="Arial" w:cs="Arial"/>
          <w:color w:val="000000" w:themeColor="text1"/>
          <w:sz w:val="22"/>
          <w:lang w:val="es-ES"/>
        </w:rPr>
        <w:t xml:space="preserve">se pronunció </w:t>
      </w:r>
      <w:r w:rsidR="00173CD9" w:rsidRPr="001F22AD">
        <w:rPr>
          <w:rStyle w:val="normaltextrun"/>
          <w:rFonts w:ascii="Arial" w:hAnsi="Arial" w:cs="Arial"/>
          <w:color w:val="000000"/>
          <w:sz w:val="22"/>
          <w:shd w:val="clear" w:color="auto" w:fill="FFFFFF"/>
          <w:lang w:val="es-ES"/>
        </w:rPr>
        <w:t xml:space="preserve">sobre </w:t>
      </w:r>
      <w:r w:rsidRPr="001F22AD">
        <w:rPr>
          <w:rFonts w:ascii="Arial" w:hAnsi="Arial" w:cs="Arial"/>
          <w:color w:val="000000" w:themeColor="text1"/>
          <w:sz w:val="22"/>
          <w:lang w:val="es-ES"/>
        </w:rPr>
        <w:t xml:space="preserve">la acreditación de los indicadores de </w:t>
      </w:r>
      <w:r w:rsidR="00131510" w:rsidRPr="001F22AD">
        <w:rPr>
          <w:rFonts w:ascii="Arial" w:hAnsi="Arial" w:cs="Arial"/>
          <w:color w:val="000000" w:themeColor="text1"/>
          <w:sz w:val="22"/>
          <w:lang w:val="es-ES"/>
        </w:rPr>
        <w:t xml:space="preserve">la </w:t>
      </w:r>
      <w:r w:rsidRPr="001F22AD">
        <w:rPr>
          <w:rFonts w:ascii="Arial" w:hAnsi="Arial" w:cs="Arial"/>
          <w:color w:val="000000" w:themeColor="text1"/>
          <w:sz w:val="22"/>
          <w:lang w:val="es-ES"/>
        </w:rPr>
        <w:t xml:space="preserve">capacidad financiera y organizacional, entre otros, </w:t>
      </w:r>
      <w:r w:rsidRPr="001F22AD">
        <w:rPr>
          <w:rFonts w:ascii="Arial" w:eastAsia="Calibri" w:hAnsi="Arial" w:cs="Arial"/>
          <w:color w:val="000000" w:themeColor="text1"/>
          <w:sz w:val="22"/>
          <w:lang w:val="es-ES"/>
        </w:rPr>
        <w:t xml:space="preserve">en los conceptos No. 4201912000006798 del 24 de octubre de 2019, C-002 del 12 de febrero de 2020, C-089 del 4 de marzo de 2020, C-099 del 06 de abril de 2020, C-166 del 14 de abril de 2020, C-233 del 16 de abril de 2020, C-326 del 9 de junio de 2020 y C-140 del 9 de abril de 2021. </w:t>
      </w:r>
      <w:r w:rsidRPr="001F22AD">
        <w:rPr>
          <w:rFonts w:ascii="Arial" w:hAnsi="Arial" w:cs="Arial"/>
          <w:color w:val="000000" w:themeColor="text1"/>
          <w:sz w:val="22"/>
          <w:lang w:val="es-ES"/>
        </w:rPr>
        <w:t xml:space="preserve">Adicionalmente, en los conceptos C-288 del 17 de junio de 2021, C-353 del 19 de julio de 2021, C-366 del 26 de julio de 2021, C-372 del 28 de julio de 2021, C-406 del 13 de agosto de 2021, C-407, C-443 y C 540 del 25 de agosto de 2021 y C-558 del 2 de septiembre de 2021, </w:t>
      </w:r>
      <w:r w:rsidR="002B7B5A" w:rsidRPr="001F22AD">
        <w:rPr>
          <w:rFonts w:ascii="Arial" w:hAnsi="Arial" w:cs="Arial"/>
          <w:color w:val="000000" w:themeColor="text1"/>
          <w:sz w:val="22"/>
          <w:lang w:val="es-ES"/>
        </w:rPr>
        <w:t>C-618, C-620</w:t>
      </w:r>
      <w:r w:rsidR="00D079C7" w:rsidRPr="001F22AD">
        <w:rPr>
          <w:rFonts w:ascii="Arial" w:hAnsi="Arial" w:cs="Arial"/>
          <w:color w:val="000000" w:themeColor="text1"/>
          <w:sz w:val="22"/>
          <w:lang w:val="es-ES"/>
        </w:rPr>
        <w:t xml:space="preserve"> y</w:t>
      </w:r>
      <w:r w:rsidR="002B7B5A" w:rsidRPr="001F22AD">
        <w:rPr>
          <w:rFonts w:ascii="Arial" w:hAnsi="Arial" w:cs="Arial"/>
          <w:color w:val="000000" w:themeColor="text1"/>
          <w:sz w:val="22"/>
          <w:lang w:val="es-ES"/>
        </w:rPr>
        <w:t xml:space="preserve"> C-621 del 4 de noviembre de 2021</w:t>
      </w:r>
      <w:r w:rsidR="00131510" w:rsidRPr="001F22AD">
        <w:rPr>
          <w:rFonts w:ascii="Arial" w:hAnsi="Arial" w:cs="Arial"/>
          <w:color w:val="000000" w:themeColor="text1"/>
          <w:sz w:val="22"/>
          <w:lang w:val="es-ES"/>
        </w:rPr>
        <w:t>,</w:t>
      </w:r>
      <w:r w:rsidR="002B7B5A" w:rsidRPr="001F22AD">
        <w:rPr>
          <w:rFonts w:ascii="Arial" w:hAnsi="Arial" w:cs="Arial"/>
          <w:color w:val="000000" w:themeColor="text1"/>
          <w:sz w:val="22"/>
          <w:lang w:val="es-ES"/>
        </w:rPr>
        <w:t xml:space="preserve"> C-628 del 9 de noviembre de 2021</w:t>
      </w:r>
      <w:r w:rsidR="00131510" w:rsidRPr="001F22AD">
        <w:rPr>
          <w:rFonts w:ascii="Arial" w:hAnsi="Arial" w:cs="Arial"/>
          <w:color w:val="000000" w:themeColor="text1"/>
          <w:sz w:val="22"/>
          <w:lang w:val="es-ES"/>
        </w:rPr>
        <w:t xml:space="preserve"> y C-660 del </w:t>
      </w:r>
      <w:r w:rsidR="00274072" w:rsidRPr="001F22AD">
        <w:rPr>
          <w:rFonts w:ascii="Arial" w:hAnsi="Arial" w:cs="Arial"/>
          <w:color w:val="000000" w:themeColor="text1"/>
          <w:sz w:val="22"/>
          <w:lang w:val="es-ES"/>
        </w:rPr>
        <w:t>22 de diciembre de 2021</w:t>
      </w:r>
      <w:r w:rsidR="002B7B5A" w:rsidRPr="001F22AD">
        <w:rPr>
          <w:rFonts w:ascii="Arial" w:hAnsi="Arial" w:cs="Arial"/>
          <w:color w:val="000000" w:themeColor="text1"/>
          <w:sz w:val="22"/>
          <w:lang w:val="es-ES"/>
        </w:rPr>
        <w:t xml:space="preserve">, </w:t>
      </w:r>
      <w:r w:rsidRPr="001F22AD">
        <w:rPr>
          <w:rFonts w:ascii="Arial" w:hAnsi="Arial" w:cs="Arial"/>
          <w:color w:val="000000" w:themeColor="text1"/>
          <w:sz w:val="22"/>
          <w:lang w:val="es-ES"/>
        </w:rPr>
        <w:t xml:space="preserve">se analizó la definición del «mejor año fiscal» y la forma en que se efectuará la verificación de las ofertas, </w:t>
      </w:r>
      <w:r w:rsidR="00131510" w:rsidRPr="001F22AD">
        <w:rPr>
          <w:rFonts w:ascii="Arial" w:hAnsi="Arial" w:cs="Arial"/>
          <w:color w:val="000000" w:themeColor="text1"/>
          <w:sz w:val="22"/>
          <w:lang w:val="es-ES"/>
        </w:rPr>
        <w:t>de acuerdo con</w:t>
      </w:r>
      <w:r w:rsidRPr="001F22AD">
        <w:rPr>
          <w:rFonts w:ascii="Arial" w:hAnsi="Arial" w:cs="Arial"/>
          <w:color w:val="000000" w:themeColor="text1"/>
          <w:sz w:val="22"/>
          <w:lang w:val="es-ES"/>
        </w:rPr>
        <w:t xml:space="preserve"> las modificaciones </w:t>
      </w:r>
      <w:r w:rsidR="00131510" w:rsidRPr="001F22AD">
        <w:rPr>
          <w:rFonts w:ascii="Arial" w:hAnsi="Arial" w:cs="Arial"/>
          <w:color w:val="000000" w:themeColor="text1"/>
          <w:sz w:val="22"/>
          <w:lang w:val="es-ES"/>
        </w:rPr>
        <w:t>realizadas</w:t>
      </w:r>
      <w:r w:rsidRPr="001F22AD">
        <w:rPr>
          <w:rFonts w:ascii="Arial" w:hAnsi="Arial" w:cs="Arial"/>
          <w:color w:val="000000" w:themeColor="text1"/>
          <w:sz w:val="22"/>
          <w:lang w:val="es-ES"/>
        </w:rPr>
        <w:t xml:space="preserve"> mediante los Decretos 399 y 579 de 2021. Algunas de las consideraciones de estos conceptos, se reiteran y complementan a </w:t>
      </w:r>
      <w:r w:rsidR="00D079C7" w:rsidRPr="001F22AD">
        <w:rPr>
          <w:rFonts w:ascii="Arial" w:hAnsi="Arial" w:cs="Arial"/>
          <w:color w:val="000000" w:themeColor="text1"/>
          <w:sz w:val="22"/>
          <w:lang w:val="es-ES"/>
        </w:rPr>
        <w:t>continuación</w:t>
      </w:r>
      <w:r w:rsidR="00D079C7" w:rsidRPr="001F22AD">
        <w:rPr>
          <w:rStyle w:val="Refdenotaalpie"/>
          <w:rFonts w:ascii="Arial" w:hAnsi="Arial" w:cs="Arial"/>
          <w:color w:val="000000" w:themeColor="text1"/>
          <w:sz w:val="22"/>
          <w:lang w:val="es-ES"/>
        </w:rPr>
        <w:footnoteReference w:id="1"/>
      </w:r>
      <w:r w:rsidR="00D079C7" w:rsidRPr="001F22AD">
        <w:rPr>
          <w:rFonts w:ascii="Arial" w:hAnsi="Arial" w:cs="Arial"/>
          <w:color w:val="000000" w:themeColor="text1"/>
          <w:sz w:val="22"/>
          <w:lang w:val="es-ES"/>
        </w:rPr>
        <w:t>.</w:t>
      </w:r>
    </w:p>
    <w:p w14:paraId="3F8FC820" w14:textId="77777777" w:rsidR="00131510" w:rsidRPr="001F22AD" w:rsidRDefault="00131510" w:rsidP="00175A33">
      <w:pPr>
        <w:snapToGrid w:val="0"/>
        <w:spacing w:line="276" w:lineRule="auto"/>
        <w:ind w:firstLine="709"/>
        <w:jc w:val="both"/>
        <w:rPr>
          <w:rFonts w:ascii="Arial" w:eastAsia="Calibri" w:hAnsi="Arial" w:cs="Arial"/>
          <w:color w:val="000000" w:themeColor="text1"/>
          <w:sz w:val="22"/>
          <w:lang w:val="es-ES"/>
        </w:rPr>
      </w:pPr>
    </w:p>
    <w:p w14:paraId="113F6034" w14:textId="2AA44C26" w:rsidR="00D36E83" w:rsidRPr="001F22AD" w:rsidRDefault="00D36E83" w:rsidP="00131510">
      <w:pPr>
        <w:tabs>
          <w:tab w:val="left" w:pos="426"/>
        </w:tabs>
        <w:spacing w:line="276" w:lineRule="auto"/>
        <w:jc w:val="both"/>
        <w:rPr>
          <w:rFonts w:ascii="Arial" w:eastAsia="Calibri" w:hAnsi="Arial" w:cs="Arial"/>
          <w:b/>
          <w:bCs/>
          <w:color w:val="000000"/>
          <w:sz w:val="22"/>
          <w:lang w:val="es-ES"/>
        </w:rPr>
      </w:pPr>
      <w:r w:rsidRPr="001F22AD">
        <w:rPr>
          <w:rFonts w:ascii="Arial" w:eastAsia="Calibri" w:hAnsi="Arial" w:cs="Arial"/>
          <w:b/>
          <w:color w:val="000000"/>
          <w:sz w:val="22"/>
          <w:lang w:val="es-ES"/>
        </w:rPr>
        <w:t>2.</w:t>
      </w:r>
      <w:r w:rsidR="00D079C7" w:rsidRPr="001F22AD">
        <w:rPr>
          <w:rFonts w:ascii="Arial" w:eastAsia="Calibri" w:hAnsi="Arial" w:cs="Arial"/>
          <w:b/>
          <w:color w:val="000000"/>
          <w:sz w:val="22"/>
          <w:lang w:val="es-ES"/>
        </w:rPr>
        <w:t>1</w:t>
      </w:r>
      <w:r w:rsidRPr="001F22AD">
        <w:rPr>
          <w:rFonts w:ascii="Arial" w:eastAsia="Calibri" w:hAnsi="Arial" w:cs="Arial"/>
          <w:b/>
          <w:color w:val="000000"/>
          <w:sz w:val="22"/>
          <w:lang w:val="es-ES"/>
        </w:rPr>
        <w:t>. R</w:t>
      </w:r>
      <w:r w:rsidRPr="001F22AD">
        <w:rPr>
          <w:rFonts w:ascii="Arial" w:eastAsia="Calibri" w:hAnsi="Arial" w:cs="Arial"/>
          <w:b/>
          <w:bCs/>
          <w:color w:val="000000"/>
          <w:sz w:val="22"/>
          <w:lang w:val="es-ES"/>
        </w:rPr>
        <w:t>equisitos habilitantes de capacidad financiera y organizacional</w:t>
      </w:r>
    </w:p>
    <w:p w14:paraId="475A6423" w14:textId="77777777" w:rsidR="00D36E83" w:rsidRPr="001F22AD" w:rsidRDefault="00D36E83" w:rsidP="00D36E83">
      <w:pPr>
        <w:tabs>
          <w:tab w:val="left" w:pos="426"/>
        </w:tabs>
        <w:spacing w:line="276" w:lineRule="auto"/>
        <w:ind w:firstLine="709"/>
        <w:jc w:val="both"/>
        <w:rPr>
          <w:rFonts w:ascii="Arial" w:eastAsia="Calibri" w:hAnsi="Arial" w:cs="Arial"/>
          <w:b/>
          <w:color w:val="000000"/>
          <w:sz w:val="22"/>
          <w:lang w:val="es-ES"/>
        </w:rPr>
      </w:pPr>
    </w:p>
    <w:p w14:paraId="71C063DC" w14:textId="703D9418" w:rsidR="00D36E83" w:rsidRPr="001F22AD" w:rsidRDefault="00D36E83" w:rsidP="00D36E83">
      <w:pPr>
        <w:spacing w:line="276" w:lineRule="auto"/>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La Ley 1150 de 2007, en el artículo 5, exige el cumplimiento de los requisitos habilitantes en los procesos de selección. </w:t>
      </w:r>
      <w:r w:rsidR="00131510" w:rsidRPr="001F22AD">
        <w:rPr>
          <w:rFonts w:ascii="Arial" w:eastAsia="Calibri" w:hAnsi="Arial" w:cs="Arial"/>
          <w:color w:val="000000"/>
          <w:sz w:val="22"/>
          <w:lang w:val="es-ES"/>
        </w:rPr>
        <w:t>Mediante</w:t>
      </w:r>
      <w:r w:rsidRPr="001F22AD">
        <w:rPr>
          <w:rFonts w:ascii="Arial" w:eastAsia="Calibri" w:hAnsi="Arial" w:cs="Arial"/>
          <w:color w:val="000000"/>
          <w:sz w:val="22"/>
          <w:lang w:val="es-ES"/>
        </w:rPr>
        <w:t xml:space="preserve"> ellos las entidades fijan unos requisitos mínimos que debe tener y acreditar el proponente, para que pueda verificarse su aptitud para participar en el procedimiento de contratación y, si se le adjudica, ejecutar el contrato estatal</w:t>
      </w:r>
      <w:r w:rsidRPr="001F22AD">
        <w:rPr>
          <w:rFonts w:ascii="Arial" w:eastAsia="Calibri" w:hAnsi="Arial" w:cs="Arial"/>
          <w:color w:val="000000"/>
          <w:sz w:val="22"/>
          <w:vertAlign w:val="superscript"/>
          <w:lang w:val="es-ES"/>
        </w:rPr>
        <w:footnoteReference w:id="2"/>
      </w:r>
      <w:r w:rsidRPr="001F22AD">
        <w:rPr>
          <w:rFonts w:ascii="Arial" w:eastAsia="Calibri" w:hAnsi="Arial" w:cs="Arial"/>
          <w:color w:val="000000"/>
          <w:sz w:val="22"/>
          <w:lang w:val="es-ES"/>
        </w:rPr>
        <w:t xml:space="preserve">. Dentro de los requisitos habilitantes se destaca la «capacidad financiera» y la </w:t>
      </w:r>
      <w:r w:rsidRPr="001F22AD">
        <w:rPr>
          <w:rFonts w:ascii="Arial" w:eastAsia="Calibri" w:hAnsi="Arial" w:cs="Arial"/>
          <w:color w:val="000000"/>
          <w:sz w:val="22"/>
          <w:lang w:val="es-ES"/>
        </w:rPr>
        <w:lastRenderedPageBreak/>
        <w:t xml:space="preserve">«capacidad organizacional». </w:t>
      </w:r>
      <w:r w:rsidR="00274072" w:rsidRPr="001F22AD">
        <w:rPr>
          <w:rFonts w:ascii="Arial" w:eastAsia="Calibri" w:hAnsi="Arial" w:cs="Arial"/>
          <w:color w:val="000000"/>
          <w:sz w:val="22"/>
          <w:lang w:val="es-ES"/>
        </w:rPr>
        <w:t>Cada</w:t>
      </w:r>
      <w:r w:rsidRPr="001F22AD">
        <w:rPr>
          <w:rFonts w:ascii="Arial" w:eastAsia="Calibri" w:hAnsi="Arial" w:cs="Arial"/>
          <w:color w:val="000000"/>
          <w:sz w:val="22"/>
          <w:lang w:val="es-ES"/>
        </w:rPr>
        <w:t xml:space="preserve"> entidad</w:t>
      </w:r>
      <w:r w:rsidR="00274072" w:rsidRPr="001F22AD">
        <w:rPr>
          <w:rFonts w:ascii="Arial" w:eastAsia="Calibri" w:hAnsi="Arial" w:cs="Arial"/>
          <w:color w:val="000000"/>
          <w:sz w:val="22"/>
          <w:lang w:val="es-ES"/>
        </w:rPr>
        <w:t xml:space="preserve"> estatal</w:t>
      </w:r>
      <w:r w:rsidRPr="001F22AD">
        <w:rPr>
          <w:rFonts w:ascii="Arial" w:eastAsia="Calibri" w:hAnsi="Arial" w:cs="Arial"/>
          <w:color w:val="000000"/>
          <w:sz w:val="22"/>
          <w:lang w:val="es-ES"/>
        </w:rPr>
        <w:t>, como responsable de la estructuración de su procedimiento de selección, es autónoma para requerir la capacidad financiera y la capacidad organizacional necesarias, de acuerdo con la naturaleza del contrato que se pretende suscribir y a su valor. Para esto, la entidad, según el artículo 2.2.1.1.1.6.2. del Decreto 1082 de 2015, debe tener en cuenta el estudio del sector y sus componentes, como por ejemplo la identificación de riesgos, así como el precio del bien, obra o servicio a contratar</w:t>
      </w:r>
      <w:r w:rsidRPr="001F22AD">
        <w:rPr>
          <w:rFonts w:ascii="Arial" w:eastAsia="Calibri" w:hAnsi="Arial" w:cs="Arial"/>
          <w:color w:val="000000"/>
          <w:sz w:val="22"/>
          <w:vertAlign w:val="superscript"/>
          <w:lang w:val="es-ES"/>
        </w:rPr>
        <w:footnoteReference w:id="3"/>
      </w:r>
      <w:r w:rsidRPr="001F22AD">
        <w:rPr>
          <w:rFonts w:ascii="Arial" w:eastAsia="Calibri" w:hAnsi="Arial" w:cs="Arial"/>
          <w:color w:val="000000"/>
          <w:sz w:val="22"/>
          <w:lang w:val="es-ES"/>
        </w:rPr>
        <w:t>.</w:t>
      </w:r>
    </w:p>
    <w:p w14:paraId="7CC3E442" w14:textId="77777777" w:rsidR="00D36E83" w:rsidRPr="001F22AD" w:rsidRDefault="00D36E83" w:rsidP="00D36E83">
      <w:pPr>
        <w:spacing w:before="120" w:after="120" w:line="276" w:lineRule="auto"/>
        <w:ind w:firstLine="708"/>
        <w:jc w:val="both"/>
        <w:rPr>
          <w:rFonts w:ascii="Arial" w:eastAsia="Calibri" w:hAnsi="Arial" w:cs="Arial"/>
          <w:color w:val="000000"/>
          <w:sz w:val="22"/>
          <w:lang w:val="es-ES"/>
        </w:rPr>
      </w:pPr>
      <w:r w:rsidRPr="001F22AD">
        <w:rPr>
          <w:rFonts w:ascii="Arial" w:eastAsia="Calibri" w:hAnsi="Arial" w:cs="Arial"/>
          <w:color w:val="000000"/>
          <w:sz w:val="22"/>
          <w:lang w:val="es-ES"/>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Pr="001F22AD">
        <w:rPr>
          <w:rFonts w:ascii="Arial" w:eastAsia="Calibri" w:hAnsi="Arial" w:cs="Arial"/>
          <w:color w:val="000000"/>
          <w:sz w:val="22"/>
          <w:vertAlign w:val="superscript"/>
          <w:lang w:val="es-ES"/>
        </w:rPr>
        <w:footnoteReference w:id="4"/>
      </w:r>
      <w:r w:rsidRPr="001F22AD">
        <w:rPr>
          <w:rFonts w:ascii="Arial" w:eastAsia="Calibri" w:hAnsi="Arial" w:cs="Arial"/>
          <w:color w:val="000000"/>
          <w:sz w:val="22"/>
          <w:lang w:val="es-ES"/>
        </w:rPr>
        <w:t xml:space="preserve">. </w:t>
      </w:r>
    </w:p>
    <w:p w14:paraId="0218A334" w14:textId="77777777" w:rsidR="00D36E83" w:rsidRPr="001F22AD" w:rsidRDefault="00D36E83" w:rsidP="00D36E83">
      <w:pPr>
        <w:spacing w:before="120" w:after="120" w:line="276" w:lineRule="auto"/>
        <w:ind w:firstLine="708"/>
        <w:jc w:val="both"/>
        <w:rPr>
          <w:rFonts w:ascii="Arial" w:eastAsia="Calibri" w:hAnsi="Arial" w:cs="Arial"/>
          <w:color w:val="000000"/>
          <w:sz w:val="22"/>
          <w:lang w:val="es-ES"/>
        </w:rPr>
      </w:pPr>
      <w:r w:rsidRPr="001F22AD">
        <w:rPr>
          <w:rFonts w:ascii="Arial" w:eastAsia="Calibri" w:hAnsi="Arial" w:cs="Arial"/>
          <w:color w:val="000000"/>
          <w:sz w:val="22"/>
          <w:lang w:val="es-ES"/>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r w:rsidRPr="001F22AD">
        <w:rPr>
          <w:rFonts w:ascii="Arial" w:eastAsia="Calibri" w:hAnsi="Arial" w:cs="Arial"/>
          <w:color w:val="000000"/>
          <w:sz w:val="22"/>
          <w:vertAlign w:val="superscript"/>
          <w:lang w:val="es-ES"/>
        </w:rPr>
        <w:footnoteReference w:id="5"/>
      </w:r>
      <w:r w:rsidRPr="001F22AD">
        <w:rPr>
          <w:rFonts w:ascii="Arial" w:eastAsia="Calibri" w:hAnsi="Arial" w:cs="Arial"/>
          <w:color w:val="000000"/>
          <w:sz w:val="22"/>
          <w:lang w:val="es-ES"/>
        </w:rPr>
        <w:t xml:space="preserve">. </w:t>
      </w:r>
    </w:p>
    <w:p w14:paraId="0639B2AC" w14:textId="4BB4CA37" w:rsidR="00D36E83" w:rsidRPr="001F22AD" w:rsidRDefault="00D36E83" w:rsidP="00D36E83">
      <w:pPr>
        <w:spacing w:before="120" w:after="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Respecto de la capacidad financiera, esta debe inscribirse en el RUP con los estados financieros del proponente, suscritos por el representante legal y el revisor fiscal, si cuenta con él. Si es </w:t>
      </w:r>
      <w:proofErr w:type="gramStart"/>
      <w:r w:rsidRPr="001F22AD">
        <w:rPr>
          <w:rFonts w:ascii="Arial" w:eastAsia="Calibri" w:hAnsi="Arial" w:cs="Arial"/>
          <w:color w:val="000000"/>
          <w:sz w:val="22"/>
          <w:lang w:val="es-ES"/>
        </w:rPr>
        <w:t>una sociedad no obligada a tenerlo</w:t>
      </w:r>
      <w:proofErr w:type="gramEnd"/>
      <w:r w:rsidR="00274072" w:rsidRPr="001F22AD">
        <w:rPr>
          <w:rFonts w:ascii="Arial" w:eastAsia="Calibri" w:hAnsi="Arial" w:cs="Arial"/>
          <w:color w:val="000000"/>
          <w:sz w:val="22"/>
          <w:lang w:val="es-ES"/>
        </w:rPr>
        <w:t>,</w:t>
      </w:r>
      <w:r w:rsidRPr="001F22AD">
        <w:rPr>
          <w:rFonts w:ascii="Arial" w:eastAsia="Calibri" w:hAnsi="Arial" w:cs="Arial"/>
          <w:color w:val="000000"/>
          <w:sz w:val="22"/>
          <w:lang w:val="es-ES"/>
        </w:rPr>
        <w:t xml:space="preserve"> estos documentos también deben </w:t>
      </w:r>
      <w:r w:rsidRPr="001F22AD">
        <w:rPr>
          <w:rFonts w:ascii="Arial" w:eastAsia="Calibri" w:hAnsi="Arial" w:cs="Arial"/>
          <w:color w:val="000000"/>
          <w:sz w:val="22"/>
          <w:lang w:val="es-ES"/>
        </w:rPr>
        <w:lastRenderedPageBreak/>
        <w:t>suscribirse por el auditor o contador. De este modo, lo que se verifica con el RUP es que el proponente tenga los indicadores financieros solicitados por la entidad, que le permitan satisfacer la necesidad que se contratará una vez desarrollado el procedimiento de selección. Por otro lado, la capacidad organizacional evalúa la rentabilidad de la empresa, que es directamente proporcional a su organización interna, y también se verifica con el RUP, de acuerdo con los indicadores financieros y organizacionales señalados en el artículo 2.2.1.1.1.5.3. del Decreto 1082 de 2015.</w:t>
      </w:r>
    </w:p>
    <w:p w14:paraId="6E882D7A" w14:textId="64E40C79" w:rsidR="00D36E83" w:rsidRPr="001F22AD" w:rsidRDefault="00D36E83" w:rsidP="00D36E83">
      <w:pPr>
        <w:spacing w:line="276" w:lineRule="auto"/>
        <w:ind w:firstLine="708"/>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La Agencia Nacional de Contratación Pública – Colombia Compra Eficiente puso a disposición de los interesados el «Manual para determinar y verificar los requisitos habilitantes en los procesos de contratación». En </w:t>
      </w:r>
      <w:r w:rsidR="007E4B09" w:rsidRPr="001F22AD">
        <w:rPr>
          <w:rFonts w:ascii="Arial" w:eastAsia="Calibri" w:hAnsi="Arial" w:cs="Arial"/>
          <w:color w:val="000000"/>
          <w:sz w:val="22"/>
          <w:lang w:val="es-ES"/>
        </w:rPr>
        <w:t>dicho Manual</w:t>
      </w:r>
      <w:r w:rsidRPr="001F22AD">
        <w:rPr>
          <w:rFonts w:ascii="Arial" w:eastAsia="Calibri" w:hAnsi="Arial" w:cs="Arial"/>
          <w:color w:val="000000"/>
          <w:sz w:val="22"/>
          <w:lang w:val="es-ES"/>
        </w:rPr>
        <w:t xml:space="preserve"> se plantean definiciones para cada requisito habilitante y se indican lineamientos orientadores que las entidades pueden considerar para establecerlos, en este caso, para exigir la capacidad financiera y la capacidad organizacional. Sobre la capacidad financiera, como requisito habilitante, el Manual señala que sus indicadores deben establecerse de acuerdo con el estudio del sector que le permitió a la entidad conocer cómo se debe ejecutar el objeto contractual, y que es necesario analizar cada fórmula para que la interpretación no sea </w:t>
      </w:r>
      <w:r w:rsidR="00274072" w:rsidRPr="001F22AD">
        <w:rPr>
          <w:rFonts w:ascii="Arial" w:eastAsia="Calibri" w:hAnsi="Arial" w:cs="Arial"/>
          <w:color w:val="000000"/>
          <w:sz w:val="22"/>
          <w:lang w:val="es-ES"/>
        </w:rPr>
        <w:t xml:space="preserve">simplemente </w:t>
      </w:r>
      <w:r w:rsidRPr="001F22AD">
        <w:rPr>
          <w:rFonts w:ascii="Arial" w:eastAsia="Calibri" w:hAnsi="Arial" w:cs="Arial"/>
          <w:color w:val="000000"/>
          <w:sz w:val="22"/>
          <w:lang w:val="es-ES"/>
        </w:rPr>
        <w:t xml:space="preserve">operativa, sino que su aplicación se </w:t>
      </w:r>
      <w:r w:rsidR="00274072" w:rsidRPr="001F22AD">
        <w:rPr>
          <w:rFonts w:ascii="Arial" w:eastAsia="Calibri" w:hAnsi="Arial" w:cs="Arial"/>
          <w:color w:val="000000"/>
          <w:sz w:val="22"/>
          <w:lang w:val="es-ES"/>
        </w:rPr>
        <w:t>fundamente</w:t>
      </w:r>
      <w:r w:rsidRPr="001F22AD">
        <w:rPr>
          <w:rFonts w:ascii="Arial" w:eastAsia="Calibri" w:hAnsi="Arial" w:cs="Arial"/>
          <w:color w:val="000000"/>
          <w:sz w:val="22"/>
          <w:lang w:val="es-ES"/>
        </w:rPr>
        <w:t xml:space="preserve"> en el entendimiento del resultado y sus implicaciones para el procedimiento contractual</w:t>
      </w:r>
      <w:r w:rsidRPr="001F22AD">
        <w:rPr>
          <w:rFonts w:ascii="Arial" w:eastAsia="Calibri" w:hAnsi="Arial" w:cs="Arial"/>
          <w:color w:val="000000"/>
          <w:sz w:val="22"/>
          <w:vertAlign w:val="superscript"/>
          <w:lang w:val="es-ES"/>
        </w:rPr>
        <w:footnoteReference w:id="6"/>
      </w:r>
      <w:r w:rsidRPr="001F22AD">
        <w:rPr>
          <w:rFonts w:ascii="Arial" w:eastAsia="Calibri" w:hAnsi="Arial" w:cs="Arial"/>
          <w:color w:val="000000"/>
          <w:sz w:val="22"/>
          <w:lang w:val="es-ES"/>
        </w:rPr>
        <w:t>.</w:t>
      </w:r>
    </w:p>
    <w:p w14:paraId="79458C9B" w14:textId="427AF7A4"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Ahora bien, la capacidad organizacional también se mide a través de indicadores: i) rentabilidad del patrimonio y ii) rentabilidad del activo. Sus resultados deben interpretarse observando el riesgo que un indicador alto o bajo representa para el </w:t>
      </w:r>
      <w:r w:rsidR="00A61A58" w:rsidRPr="001F22AD">
        <w:rPr>
          <w:rFonts w:ascii="Arial" w:eastAsia="Calibri" w:hAnsi="Arial" w:cs="Arial"/>
          <w:color w:val="000000"/>
          <w:sz w:val="22"/>
          <w:lang w:val="es-ES"/>
        </w:rPr>
        <w:t>proceso contractual</w:t>
      </w:r>
      <w:r w:rsidRPr="001F22AD">
        <w:rPr>
          <w:rFonts w:ascii="Arial" w:eastAsia="Calibri" w:hAnsi="Arial" w:cs="Arial"/>
          <w:color w:val="000000"/>
          <w:sz w:val="22"/>
          <w:lang w:val="es-ES"/>
        </w:rPr>
        <w:t>. Por ende, la entidad debe establecer unos límites dentro de los cuales se garantice que el proponente pueda cumplir el contrato en caso de celebrarlo</w:t>
      </w:r>
      <w:r w:rsidRPr="001F22AD">
        <w:rPr>
          <w:rFonts w:ascii="Arial" w:eastAsia="Calibri" w:hAnsi="Arial" w:cs="Arial"/>
          <w:color w:val="000000"/>
          <w:sz w:val="22"/>
          <w:vertAlign w:val="superscript"/>
          <w:lang w:val="es-ES"/>
        </w:rPr>
        <w:footnoteReference w:id="7"/>
      </w:r>
      <w:r w:rsidRPr="001F22AD">
        <w:rPr>
          <w:rFonts w:ascii="Arial" w:eastAsia="Calibri" w:hAnsi="Arial" w:cs="Arial"/>
          <w:color w:val="000000"/>
          <w:sz w:val="22"/>
          <w:lang w:val="es-ES"/>
        </w:rPr>
        <w:t>. No obstante, las entidades estatales son autónomas en la estructuración de sus procedimientos contractuales, por lo cual en sus pliegos de condiciones o documentos equivalentes pueden establecer los indicadores financieros y organizacionales necesarios, siempre que estos sean proporcionales al objeto a ejecutar y al valor del contrato</w:t>
      </w:r>
      <w:r w:rsidR="00A61A58" w:rsidRPr="001F22AD">
        <w:rPr>
          <w:rFonts w:ascii="Arial" w:eastAsia="Calibri" w:hAnsi="Arial" w:cs="Arial"/>
          <w:color w:val="000000"/>
          <w:sz w:val="22"/>
          <w:lang w:val="es-ES"/>
        </w:rPr>
        <w:t xml:space="preserve">, lo que sucede tanto en procesos </w:t>
      </w:r>
      <w:r w:rsidR="00A61A58" w:rsidRPr="001F22AD">
        <w:rPr>
          <w:rFonts w:ascii="Arial" w:eastAsia="Calibri" w:hAnsi="Arial" w:cs="Arial"/>
          <w:color w:val="000000"/>
          <w:sz w:val="22"/>
          <w:lang w:val="es-ES"/>
        </w:rPr>
        <w:lastRenderedPageBreak/>
        <w:t>en los que sea necesario aportar el RUP, como en los que están exceptuados de este requisito.</w:t>
      </w:r>
    </w:p>
    <w:p w14:paraId="7C300B91" w14:textId="77777777" w:rsidR="00D36E83" w:rsidRPr="001F22AD" w:rsidRDefault="00D36E83" w:rsidP="00D36E83">
      <w:pPr>
        <w:spacing w:line="276" w:lineRule="auto"/>
        <w:ind w:firstLine="709"/>
        <w:jc w:val="both"/>
        <w:rPr>
          <w:rFonts w:ascii="Arial" w:eastAsia="Calibri" w:hAnsi="Arial" w:cs="Arial"/>
          <w:color w:val="000000"/>
          <w:sz w:val="22"/>
          <w:lang w:val="es-ES"/>
        </w:rPr>
      </w:pPr>
    </w:p>
    <w:p w14:paraId="61C7870B" w14:textId="4F69F687" w:rsidR="00C24A71" w:rsidRPr="001F22AD" w:rsidRDefault="00D36E83" w:rsidP="00C24A71">
      <w:pPr>
        <w:spacing w:line="276" w:lineRule="auto"/>
        <w:jc w:val="both"/>
        <w:rPr>
          <w:rFonts w:ascii="Arial" w:eastAsia="Calibri" w:hAnsi="Arial" w:cs="Arial"/>
          <w:color w:val="000000"/>
          <w:sz w:val="22"/>
          <w:lang w:val="es-ES"/>
        </w:rPr>
      </w:pPr>
      <w:r w:rsidRPr="001F22AD">
        <w:rPr>
          <w:rFonts w:ascii="Arial" w:eastAsia="Calibri" w:hAnsi="Arial" w:cs="Arial"/>
          <w:b/>
          <w:bCs/>
          <w:color w:val="000000"/>
          <w:sz w:val="22"/>
          <w:lang w:val="es-ES"/>
        </w:rPr>
        <w:t>2.</w:t>
      </w:r>
      <w:r w:rsidR="00D079C7" w:rsidRPr="001F22AD">
        <w:rPr>
          <w:rFonts w:ascii="Arial" w:eastAsia="Calibri" w:hAnsi="Arial" w:cs="Arial"/>
          <w:b/>
          <w:bCs/>
          <w:color w:val="000000"/>
          <w:sz w:val="22"/>
          <w:lang w:val="es-ES"/>
        </w:rPr>
        <w:t>2</w:t>
      </w:r>
      <w:r w:rsidRPr="001F22AD">
        <w:rPr>
          <w:rFonts w:ascii="Arial" w:eastAsia="Calibri" w:hAnsi="Arial" w:cs="Arial"/>
          <w:b/>
          <w:bCs/>
          <w:color w:val="000000"/>
          <w:sz w:val="22"/>
          <w:lang w:val="es-ES"/>
        </w:rPr>
        <w:t>. Modificaciones introducidas por los Decretos 399 de 2021 y 579 de 2021</w:t>
      </w:r>
      <w:r w:rsidR="00D079C7" w:rsidRPr="001F22AD">
        <w:rPr>
          <w:rFonts w:ascii="Arial" w:eastAsia="Calibri" w:hAnsi="Arial" w:cs="Arial"/>
          <w:b/>
          <w:bCs/>
          <w:color w:val="000000"/>
          <w:sz w:val="22"/>
          <w:lang w:val="es-ES"/>
        </w:rPr>
        <w:t xml:space="preserve"> respecto a la información </w:t>
      </w:r>
      <w:r w:rsidR="00C24A71" w:rsidRPr="001F22AD">
        <w:rPr>
          <w:rFonts w:ascii="Arial" w:eastAsia="Calibri" w:hAnsi="Arial" w:cs="Arial"/>
          <w:b/>
          <w:bCs/>
          <w:color w:val="000000"/>
          <w:sz w:val="22"/>
          <w:lang w:val="es-ES"/>
        </w:rPr>
        <w:t xml:space="preserve">contenida en el RUP y delimitación de </w:t>
      </w:r>
      <w:r w:rsidR="00C50F45" w:rsidRPr="001F22AD">
        <w:rPr>
          <w:rFonts w:ascii="Arial" w:eastAsia="Calibri" w:hAnsi="Arial" w:cs="Arial"/>
          <w:b/>
          <w:bCs/>
          <w:color w:val="000000"/>
          <w:sz w:val="22"/>
          <w:lang w:val="es-ES"/>
        </w:rPr>
        <w:t xml:space="preserve">su </w:t>
      </w:r>
      <w:r w:rsidR="00C24A71" w:rsidRPr="001F22AD">
        <w:rPr>
          <w:rFonts w:ascii="Arial" w:eastAsia="Calibri" w:hAnsi="Arial" w:cs="Arial"/>
          <w:b/>
          <w:bCs/>
          <w:color w:val="000000"/>
          <w:sz w:val="22"/>
          <w:lang w:val="es-ES"/>
        </w:rPr>
        <w:t>verificación dentro del «mejor año fiscal»</w:t>
      </w:r>
      <w:r w:rsidR="00C24A71" w:rsidRPr="001F22AD">
        <w:rPr>
          <w:rFonts w:ascii="Arial" w:eastAsia="Calibri" w:hAnsi="Arial" w:cs="Arial"/>
          <w:color w:val="000000"/>
          <w:sz w:val="22"/>
          <w:lang w:val="es-ES"/>
        </w:rPr>
        <w:t xml:space="preserve">   </w:t>
      </w:r>
    </w:p>
    <w:p w14:paraId="5E2A30E4" w14:textId="77777777" w:rsidR="00C24A71" w:rsidRPr="001F22AD" w:rsidRDefault="00C24A71" w:rsidP="00C24A71">
      <w:pPr>
        <w:spacing w:line="276" w:lineRule="auto"/>
        <w:jc w:val="both"/>
        <w:rPr>
          <w:rFonts w:ascii="Arial" w:eastAsia="Calibri" w:hAnsi="Arial" w:cs="Arial"/>
          <w:color w:val="000000"/>
          <w:sz w:val="22"/>
          <w:lang w:val="es-ES"/>
        </w:rPr>
      </w:pPr>
    </w:p>
    <w:p w14:paraId="13709052" w14:textId="5F825986" w:rsidR="00D36E83" w:rsidRPr="001F22AD" w:rsidRDefault="00D36E83" w:rsidP="00D36E83">
      <w:pPr>
        <w:spacing w:line="276" w:lineRule="auto"/>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Para </w:t>
      </w:r>
      <w:r w:rsidR="00DB61F3" w:rsidRPr="001F22AD">
        <w:rPr>
          <w:rFonts w:ascii="Arial" w:eastAsia="Calibri" w:hAnsi="Arial" w:cs="Arial"/>
          <w:color w:val="000000"/>
          <w:sz w:val="22"/>
          <w:lang w:val="es-ES"/>
        </w:rPr>
        <w:t>alcanzar</w:t>
      </w:r>
      <w:r w:rsidRPr="001F22AD">
        <w:rPr>
          <w:rFonts w:ascii="Arial" w:eastAsia="Calibri" w:hAnsi="Arial" w:cs="Arial"/>
          <w:color w:val="000000"/>
          <w:sz w:val="22"/>
          <w:lang w:val="es-ES"/>
        </w:rPr>
        <w:t xml:space="preserve">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En tal sentido, se indicó –a partir de la modificación posteriormente introducida por el Decreto 579 de 2021– que a partir del 1 de </w:t>
      </w:r>
      <w:r w:rsidRPr="001F22AD">
        <w:rPr>
          <w:rFonts w:ascii="Arial" w:eastAsia="Calibri" w:hAnsi="Arial" w:cs="Arial"/>
          <w:i/>
          <w:iCs/>
          <w:color w:val="000000"/>
          <w:sz w:val="22"/>
          <w:lang w:val="es-ES"/>
        </w:rPr>
        <w:t>julio</w:t>
      </w:r>
      <w:r w:rsidRPr="001F22AD">
        <w:rPr>
          <w:rFonts w:ascii="Arial" w:eastAsia="Calibri" w:hAnsi="Arial" w:cs="Arial"/>
          <w:color w:val="000000"/>
          <w:sz w:val="22"/>
          <w:lang w:val="es-ES"/>
        </w:rPr>
        <w:t xml:space="preserve"> de 2021</w:t>
      </w:r>
      <w:r w:rsidRPr="001F22AD">
        <w:rPr>
          <w:rFonts w:ascii="Arial" w:eastAsia="Calibri" w:hAnsi="Arial" w:cs="Arial"/>
          <w:color w:val="000000"/>
          <w:sz w:val="22"/>
          <w:vertAlign w:val="superscript"/>
          <w:lang w:val="es-ES"/>
        </w:rPr>
        <w:footnoteReference w:id="8"/>
      </w:r>
      <w:r w:rsidRPr="001F22AD">
        <w:rPr>
          <w:rFonts w:ascii="Arial" w:eastAsia="Calibri" w:hAnsi="Arial" w:cs="Arial"/>
          <w:color w:val="000000"/>
          <w:sz w:val="22"/>
          <w:lang w:val="es-ES"/>
        </w:rPr>
        <w:t xml:space="preserve"> las entidades estatales deberán tener en cuenta los datos sobre la capacidad financiera y organizacional de los últimos tres años, consignada en el RUP. Así lo justifica textualmente el reglamento mencionado, en sus consideraciones:</w:t>
      </w:r>
    </w:p>
    <w:p w14:paraId="605D4ADE" w14:textId="77777777" w:rsidR="00D36E83" w:rsidRPr="001F22AD" w:rsidRDefault="00D36E83" w:rsidP="00D36E83">
      <w:pPr>
        <w:ind w:left="709" w:right="709" w:firstLine="709"/>
        <w:jc w:val="both"/>
        <w:rPr>
          <w:rFonts w:ascii="Arial" w:eastAsia="Calibri" w:hAnsi="Arial" w:cs="Arial"/>
          <w:color w:val="000000"/>
          <w:sz w:val="21"/>
          <w:szCs w:val="21"/>
          <w:lang w:val="es-ES"/>
        </w:rPr>
      </w:pPr>
    </w:p>
    <w:p w14:paraId="760DFF83" w14:textId="77777777" w:rsidR="00D36E83" w:rsidRPr="001F22AD" w:rsidRDefault="00D36E83" w:rsidP="00D36E83">
      <w:pPr>
        <w:ind w:left="709" w:right="709"/>
        <w:jc w:val="both"/>
        <w:rPr>
          <w:rFonts w:ascii="Arial" w:eastAsia="Calibri" w:hAnsi="Arial" w:cs="Arial"/>
          <w:color w:val="000000"/>
          <w:sz w:val="21"/>
          <w:szCs w:val="21"/>
          <w:lang w:val="es-ES"/>
        </w:rPr>
      </w:pPr>
      <w:r w:rsidRPr="001F22AD">
        <w:rPr>
          <w:rFonts w:ascii="Arial" w:eastAsia="Calibri" w:hAnsi="Arial" w:cs="Arial"/>
          <w:color w:val="000000"/>
          <w:sz w:val="21"/>
          <w:szCs w:val="21"/>
          <w:lang w:val="es-ES"/>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12102EC4" w14:textId="77777777" w:rsidR="00D36E83" w:rsidRPr="001F22AD" w:rsidRDefault="00D36E83" w:rsidP="00D36E83">
      <w:pPr>
        <w:ind w:left="709" w:right="709" w:firstLine="709"/>
        <w:jc w:val="both"/>
        <w:rPr>
          <w:rFonts w:ascii="Arial" w:eastAsia="Calibri" w:hAnsi="Arial" w:cs="Arial"/>
          <w:color w:val="000000"/>
          <w:sz w:val="21"/>
          <w:szCs w:val="21"/>
          <w:lang w:val="es-ES"/>
        </w:rPr>
      </w:pPr>
    </w:p>
    <w:p w14:paraId="11DED785" w14:textId="77777777" w:rsidR="00D36E83" w:rsidRPr="001F22AD" w:rsidRDefault="00D36E83" w:rsidP="00D36E83">
      <w:pPr>
        <w:ind w:left="709" w:right="709"/>
        <w:jc w:val="both"/>
        <w:rPr>
          <w:rFonts w:ascii="Arial" w:eastAsia="Calibri" w:hAnsi="Arial" w:cs="Arial"/>
          <w:color w:val="000000"/>
          <w:sz w:val="21"/>
          <w:szCs w:val="21"/>
          <w:lang w:val="es-ES"/>
        </w:rPr>
      </w:pPr>
      <w:r w:rsidRPr="001F22AD">
        <w:rPr>
          <w:rFonts w:ascii="Arial" w:eastAsia="Calibri" w:hAnsi="Arial" w:cs="Arial"/>
          <w:color w:val="000000"/>
          <w:sz w:val="21"/>
          <w:szCs w:val="21"/>
          <w:lang w:val="es-ES"/>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los sectores económicos han sufrido efectos negativos a causa de esta.</w:t>
      </w:r>
    </w:p>
    <w:p w14:paraId="2CFEB347" w14:textId="77777777" w:rsidR="00D36E83" w:rsidRPr="001F22AD" w:rsidRDefault="00D36E83" w:rsidP="00D36E83">
      <w:pPr>
        <w:ind w:left="709" w:right="709" w:firstLine="709"/>
        <w:jc w:val="both"/>
        <w:rPr>
          <w:rFonts w:ascii="Arial" w:eastAsia="Calibri" w:hAnsi="Arial" w:cs="Arial"/>
          <w:color w:val="000000"/>
          <w:sz w:val="21"/>
          <w:szCs w:val="21"/>
          <w:lang w:val="es-ES"/>
        </w:rPr>
      </w:pPr>
    </w:p>
    <w:p w14:paraId="423079D8" w14:textId="77777777" w:rsidR="00D36E83" w:rsidRPr="001F22AD" w:rsidRDefault="00D36E83" w:rsidP="00D36E83">
      <w:pPr>
        <w:ind w:left="709" w:right="709"/>
        <w:jc w:val="both"/>
        <w:rPr>
          <w:rFonts w:ascii="Arial" w:eastAsia="Calibri" w:hAnsi="Arial" w:cs="Arial"/>
          <w:color w:val="000000"/>
          <w:sz w:val="21"/>
          <w:szCs w:val="21"/>
          <w:lang w:val="es-ES"/>
        </w:rPr>
      </w:pPr>
      <w:r w:rsidRPr="001F22AD">
        <w:rPr>
          <w:rFonts w:ascii="Arial" w:eastAsia="Calibri" w:hAnsi="Arial" w:cs="Arial"/>
          <w:color w:val="000000"/>
          <w:sz w:val="21"/>
          <w:szCs w:val="21"/>
          <w:lang w:val="es-ES"/>
        </w:rPr>
        <w:t xml:space="preserve">Que en armonía con lo anterior, para los procesos de selección cuyo acto administrativo de apertura o invitación se publique a partir del 1 de septiembre </w:t>
      </w:r>
      <w:r w:rsidRPr="001F22AD">
        <w:rPr>
          <w:rFonts w:ascii="Arial" w:eastAsia="Calibri" w:hAnsi="Arial" w:cs="Arial"/>
          <w:color w:val="000000"/>
          <w:sz w:val="21"/>
          <w:szCs w:val="21"/>
          <w:lang w:val="es-ES"/>
        </w:rPr>
        <w:lastRenderedPageBreak/>
        <w:t>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58BF1F25" w14:textId="77777777" w:rsidR="00D36E83" w:rsidRPr="001F22AD" w:rsidRDefault="00D36E83" w:rsidP="00D36E83">
      <w:pPr>
        <w:ind w:left="709" w:right="709" w:firstLine="709"/>
        <w:jc w:val="both"/>
        <w:rPr>
          <w:rFonts w:ascii="Arial" w:eastAsia="Calibri" w:hAnsi="Arial" w:cs="Arial"/>
          <w:color w:val="000000"/>
          <w:sz w:val="21"/>
          <w:szCs w:val="21"/>
          <w:lang w:val="es-ES"/>
        </w:rPr>
      </w:pPr>
    </w:p>
    <w:p w14:paraId="371AB9D1" w14:textId="77777777" w:rsidR="00D36E83" w:rsidRPr="001F22AD" w:rsidRDefault="00D36E83" w:rsidP="00D36E83">
      <w:pPr>
        <w:ind w:left="709" w:right="709"/>
        <w:jc w:val="both"/>
        <w:rPr>
          <w:rFonts w:ascii="Arial" w:eastAsia="Calibri" w:hAnsi="Arial" w:cs="Arial"/>
          <w:color w:val="000000"/>
          <w:sz w:val="21"/>
          <w:szCs w:val="21"/>
          <w:lang w:val="es-ES"/>
        </w:rPr>
      </w:pPr>
      <w:r w:rsidRPr="001F22AD">
        <w:rPr>
          <w:rFonts w:ascii="Arial" w:eastAsia="Calibri" w:hAnsi="Arial" w:cs="Arial"/>
          <w:color w:val="000000"/>
          <w:sz w:val="21"/>
          <w:szCs w:val="21"/>
          <w:lang w:val="es-ES"/>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14:paraId="17574592" w14:textId="77777777" w:rsidR="00D36E83" w:rsidRPr="001F22AD" w:rsidRDefault="00D36E83" w:rsidP="00D36E83">
      <w:pPr>
        <w:spacing w:line="276" w:lineRule="auto"/>
        <w:ind w:firstLine="709"/>
        <w:jc w:val="both"/>
        <w:rPr>
          <w:rFonts w:ascii="Arial" w:eastAsia="Calibri" w:hAnsi="Arial" w:cs="Arial"/>
          <w:color w:val="000000"/>
          <w:sz w:val="22"/>
          <w:lang w:val="es-ES"/>
        </w:rPr>
      </w:pPr>
    </w:p>
    <w:p w14:paraId="0A149FD3" w14:textId="3314045D" w:rsidR="00D36E83" w:rsidRPr="001F22AD" w:rsidRDefault="00D36E83" w:rsidP="00D36E83">
      <w:pPr>
        <w:spacing w:line="276" w:lineRule="auto"/>
        <w:ind w:firstLine="708"/>
        <w:jc w:val="both"/>
        <w:rPr>
          <w:rFonts w:ascii="Arial" w:eastAsia="Calibri" w:hAnsi="Arial" w:cs="Arial"/>
          <w:color w:val="000000"/>
          <w:sz w:val="22"/>
          <w:lang w:val="es-ES"/>
        </w:rPr>
      </w:pPr>
      <w:r w:rsidRPr="001F22AD">
        <w:rPr>
          <w:rFonts w:ascii="Arial" w:eastAsia="Calibri" w:hAnsi="Arial" w:cs="Arial"/>
          <w:color w:val="000000"/>
          <w:sz w:val="22"/>
          <w:lang w:val="es-ES"/>
        </w:rPr>
        <w:t>En tal sentido, el artículo 4 del Decreto 399 de 2021 adicionó dos parágrafos transitorios al artículo 2.2.1.1.1.5.2. del Decreto 1082 de 2015, que a su vez fueron sustituidos posteriormente por el artículo 1 del Decreto 579 del 31 de mayo de 2021</w:t>
      </w:r>
      <w:r w:rsidRPr="001F22AD">
        <w:rPr>
          <w:rFonts w:ascii="Arial" w:eastAsia="Calibri" w:hAnsi="Arial" w:cs="Arial"/>
          <w:color w:val="000000"/>
          <w:sz w:val="22"/>
          <w:vertAlign w:val="superscript"/>
          <w:lang w:val="es-ES"/>
        </w:rPr>
        <w:footnoteReference w:id="9"/>
      </w:r>
      <w:r w:rsidRPr="001F22AD">
        <w:rPr>
          <w:rFonts w:ascii="Arial" w:eastAsia="Calibri" w:hAnsi="Arial" w:cs="Arial"/>
          <w:color w:val="000000"/>
          <w:sz w:val="22"/>
          <w:lang w:val="es-ES"/>
        </w:rPr>
        <w:t xml:space="preserve">. El parágrafo transitorio 1 establece que desde el 1 de junio de 2021 los interesados en inscribirse en el RUP deben reportar la información contable y los estados financieros de los tres últimos años fiscales. </w:t>
      </w:r>
      <w:r w:rsidR="00DE2333" w:rsidRPr="001F22AD">
        <w:rPr>
          <w:rFonts w:ascii="Arial" w:eastAsia="Calibri" w:hAnsi="Arial" w:cs="Arial"/>
          <w:color w:val="000000"/>
          <w:sz w:val="22"/>
          <w:lang w:val="es-ES"/>
        </w:rPr>
        <w:t>Sin embargo</w:t>
      </w:r>
      <w:r w:rsidRPr="001F22AD">
        <w:rPr>
          <w:rFonts w:ascii="Arial" w:eastAsia="Calibri" w:hAnsi="Arial" w:cs="Arial"/>
          <w:color w:val="000000"/>
          <w:sz w:val="22"/>
          <w:lang w:val="es-ES"/>
        </w:rPr>
        <w:t xml:space="preserve">, si el interesado no tiene una antigüedad de tres </w:t>
      </w:r>
      <w:r w:rsidRPr="001F22AD">
        <w:rPr>
          <w:rFonts w:ascii="Arial" w:eastAsia="Calibri" w:hAnsi="Arial" w:cs="Arial"/>
          <w:color w:val="000000"/>
          <w:sz w:val="22"/>
          <w:lang w:val="es-ES"/>
        </w:rPr>
        <w:lastRenderedPageBreak/>
        <w:t>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w:t>
      </w:r>
      <w:r w:rsidR="00C46E78" w:rsidRPr="001F22AD">
        <w:rPr>
          <w:rFonts w:ascii="Arial" w:eastAsia="Calibri" w:hAnsi="Arial" w:cs="Arial"/>
          <w:color w:val="000000"/>
          <w:sz w:val="22"/>
          <w:lang w:val="es-ES"/>
        </w:rPr>
        <w:t xml:space="preserve"> de 2021</w:t>
      </w:r>
      <w:r w:rsidRPr="001F22AD">
        <w:rPr>
          <w:rFonts w:ascii="Arial" w:eastAsia="Calibri" w:hAnsi="Arial" w:cs="Arial"/>
          <w:color w:val="000000"/>
          <w:sz w:val="22"/>
          <w:lang w:val="es-ES"/>
        </w:rPr>
        <w:t xml:space="preserve">, por una sola vez. En todo caso, aclara </w:t>
      </w:r>
      <w:proofErr w:type="gramStart"/>
      <w:r w:rsidRPr="001F22AD">
        <w:rPr>
          <w:rFonts w:ascii="Arial" w:eastAsia="Calibri" w:hAnsi="Arial" w:cs="Arial"/>
          <w:color w:val="000000"/>
          <w:sz w:val="22"/>
          <w:lang w:val="es-ES"/>
        </w:rPr>
        <w:t>que</w:t>
      </w:r>
      <w:proofErr w:type="gramEnd"/>
      <w:r w:rsidRPr="001F22AD">
        <w:rPr>
          <w:rFonts w:ascii="Arial" w:eastAsia="Calibri" w:hAnsi="Arial" w:cs="Arial"/>
          <w:color w:val="000000"/>
          <w:sz w:val="22"/>
          <w:lang w:val="es-ES"/>
        </w:rPr>
        <w:t xml:space="preserve"> si el proponente tiene registrada la información de dichos años en la cámara de comercio, no deberá presentar esta información.</w:t>
      </w:r>
    </w:p>
    <w:p w14:paraId="54441474" w14:textId="781E0789"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El parágrafo transitorio 2 establece que, en el año 2022, para la inscripción en el RUP o para su renovación, el interesado debe reportar la información contable y los estados financieros de los tres últimos años fiscales. Además, reitera que, si aquel no cuenta con la información financiera de dichos años, por no tener la antigüedad suficiente, podrá aportar la información de su primer cierre fiscal. Igualmente, señala </w:t>
      </w:r>
      <w:proofErr w:type="gramStart"/>
      <w:r w:rsidRPr="001F22AD">
        <w:rPr>
          <w:rFonts w:ascii="Arial" w:eastAsia="Calibri" w:hAnsi="Arial" w:cs="Arial"/>
          <w:color w:val="000000"/>
          <w:sz w:val="22"/>
          <w:lang w:val="es-ES"/>
        </w:rPr>
        <w:t>que</w:t>
      </w:r>
      <w:proofErr w:type="gramEnd"/>
      <w:r w:rsidRPr="001F22AD">
        <w:rPr>
          <w:rFonts w:ascii="Arial" w:eastAsia="Calibri" w:hAnsi="Arial" w:cs="Arial"/>
          <w:color w:val="000000"/>
          <w:sz w:val="22"/>
          <w:lang w:val="es-ES"/>
        </w:rPr>
        <w:t xml:space="preserve"> si la información del interesado correspondiente a los años 2019 y/o 2020 reposa en la cámara de comercio, no se tendrá que presentar de nuevo, porque conservará firmeza para efectos de su certificación.</w:t>
      </w:r>
    </w:p>
    <w:p w14:paraId="52D185D3" w14:textId="21F82559"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1F22AD">
        <w:rPr>
          <w:rFonts w:ascii="Arial" w:hAnsi="Arial" w:cs="Arial"/>
          <w:color w:val="000000"/>
          <w:sz w:val="22"/>
          <w:lang w:val="es-ES"/>
        </w:rPr>
        <w:t xml:space="preserve">[…] </w:t>
      </w:r>
      <w:r w:rsidRPr="001F22AD">
        <w:rPr>
          <w:rFonts w:ascii="Arial" w:eastAsia="Calibri" w:hAnsi="Arial" w:cs="Arial"/>
          <w:color w:val="000000"/>
          <w:sz w:val="22"/>
          <w:lang w:val="es-ES"/>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1F22AD">
        <w:rPr>
          <w:rFonts w:ascii="Arial" w:hAnsi="Arial" w:cs="Arial"/>
          <w:color w:val="000000"/>
          <w:sz w:val="22"/>
          <w:lang w:val="es-ES"/>
        </w:rPr>
        <w:t>c</w:t>
      </w:r>
      <w:r w:rsidRPr="001F22AD">
        <w:rPr>
          <w:rFonts w:ascii="Arial" w:eastAsia="Calibri" w:hAnsi="Arial" w:cs="Arial"/>
          <w:color w:val="000000"/>
          <w:sz w:val="22"/>
          <w:lang w:val="es-ES"/>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w:t>
      </w:r>
      <w:r w:rsidR="00771889" w:rsidRPr="001F22AD">
        <w:rPr>
          <w:rFonts w:ascii="Arial" w:eastAsia="Calibri" w:hAnsi="Arial" w:cs="Arial"/>
          <w:color w:val="000000"/>
          <w:sz w:val="22"/>
          <w:lang w:val="es-ES"/>
        </w:rPr>
        <w:t>do</w:t>
      </w:r>
      <w:r w:rsidRPr="001F22AD">
        <w:rPr>
          <w:rFonts w:ascii="Arial" w:eastAsia="Calibri" w:hAnsi="Arial" w:cs="Arial"/>
          <w:color w:val="000000"/>
          <w:sz w:val="22"/>
          <w:lang w:val="es-ES"/>
        </w:rPr>
        <w:t>res de capacidad organizacional son: i) la rentabilidad del patrimonio y ii) la rentabilidad del activo. El segundo parágrafo transitorio establece que «El</w:t>
      </w:r>
      <w:r w:rsidRPr="001F22AD">
        <w:rPr>
          <w:rFonts w:ascii="Arial" w:hAnsi="Arial" w:cs="Arial"/>
          <w:color w:val="000000"/>
          <w:sz w:val="22"/>
          <w:lang w:val="es-ES"/>
        </w:rPr>
        <w:t xml:space="preserve"> </w:t>
      </w:r>
      <w:r w:rsidRPr="001F22AD">
        <w:rPr>
          <w:rFonts w:ascii="Arial" w:eastAsia="Calibri" w:hAnsi="Arial" w:cs="Arial"/>
          <w:color w:val="000000"/>
          <w:sz w:val="22"/>
          <w:lang w:val="es-ES"/>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4B07C7C5" w14:textId="77777777"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De otro lado, el artículo 6 del Decreto 399 de 2021 adiciona un parágrafo transitorio –sustituido después por el artículo 3 del Decreto 579 de 2021– al artículo 2.2.1.1.1.6.2. del Decreto 1082 de 2015</w:t>
      </w:r>
      <w:r w:rsidRPr="001F22AD">
        <w:rPr>
          <w:rFonts w:ascii="Arial" w:eastAsia="Calibri" w:hAnsi="Arial" w:cs="Arial"/>
          <w:color w:val="000000"/>
          <w:sz w:val="22"/>
          <w:vertAlign w:val="superscript"/>
          <w:lang w:val="es-ES"/>
        </w:rPr>
        <w:footnoteReference w:id="10"/>
      </w:r>
      <w:r w:rsidRPr="001F22AD">
        <w:rPr>
          <w:rFonts w:ascii="Arial" w:eastAsia="Calibri" w:hAnsi="Arial" w:cs="Arial"/>
          <w:color w:val="000000"/>
          <w:sz w:val="22"/>
          <w:lang w:val="es-ES"/>
        </w:rPr>
        <w:t>, con el siguiente contenido:</w:t>
      </w:r>
    </w:p>
    <w:p w14:paraId="04879B6C" w14:textId="77777777" w:rsidR="00D36E83" w:rsidRPr="001F22AD" w:rsidRDefault="00D36E83" w:rsidP="00D36E83">
      <w:pPr>
        <w:ind w:left="709" w:right="709" w:firstLine="709"/>
        <w:jc w:val="both"/>
        <w:rPr>
          <w:rFonts w:ascii="Arial" w:eastAsia="Calibri" w:hAnsi="Arial" w:cs="Arial"/>
          <w:color w:val="000000"/>
          <w:sz w:val="21"/>
          <w:szCs w:val="21"/>
          <w:lang w:val="es-ES"/>
        </w:rPr>
      </w:pPr>
    </w:p>
    <w:p w14:paraId="61624351" w14:textId="77777777" w:rsidR="00D36E83" w:rsidRPr="001F22AD" w:rsidRDefault="00D36E83" w:rsidP="00D36E83">
      <w:pPr>
        <w:ind w:left="709" w:right="709"/>
        <w:jc w:val="both"/>
        <w:rPr>
          <w:rFonts w:ascii="Arial" w:eastAsia="Calibri" w:hAnsi="Arial" w:cs="Arial"/>
          <w:color w:val="000000"/>
          <w:sz w:val="21"/>
          <w:szCs w:val="21"/>
          <w:lang w:val="es-ES"/>
        </w:rPr>
      </w:pPr>
      <w:r w:rsidRPr="001F22AD">
        <w:rPr>
          <w:rFonts w:ascii="Arial" w:eastAsia="Calibri" w:hAnsi="Arial" w:cs="Arial"/>
          <w:color w:val="000000"/>
          <w:sz w:val="21"/>
          <w:szCs w:val="21"/>
          <w:lang w:val="es-ES"/>
        </w:rPr>
        <w:t xml:space="preserve">De conformidad con los parágrafos transitorios de los artículos 2.2.1.1.1.5.2. y 2.2.1.1.1.5.6., y 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11BD6667" w14:textId="77777777" w:rsidR="00D36E83" w:rsidRPr="001F22AD" w:rsidRDefault="00D36E83" w:rsidP="00D36E83">
      <w:pPr>
        <w:ind w:left="709" w:right="709" w:firstLine="709"/>
        <w:jc w:val="both"/>
        <w:rPr>
          <w:rFonts w:ascii="Arial" w:eastAsia="Calibri" w:hAnsi="Arial" w:cs="Arial"/>
          <w:color w:val="000000"/>
          <w:sz w:val="21"/>
          <w:szCs w:val="21"/>
          <w:lang w:val="es-ES"/>
        </w:rPr>
      </w:pPr>
    </w:p>
    <w:p w14:paraId="2A0E2714" w14:textId="77777777" w:rsidR="00D36E83" w:rsidRPr="001F22AD" w:rsidRDefault="00D36E83" w:rsidP="00D36E83">
      <w:pPr>
        <w:ind w:left="709" w:right="709"/>
        <w:jc w:val="both"/>
        <w:rPr>
          <w:rFonts w:ascii="Arial" w:eastAsia="Calibri" w:hAnsi="Arial" w:cs="Arial"/>
          <w:color w:val="000000"/>
          <w:sz w:val="21"/>
          <w:szCs w:val="21"/>
          <w:lang w:val="es-ES"/>
        </w:rPr>
      </w:pPr>
      <w:r w:rsidRPr="001F22AD">
        <w:rPr>
          <w:rFonts w:ascii="Arial" w:eastAsia="Calibri" w:hAnsi="Arial" w:cs="Arial"/>
          <w:color w:val="000000"/>
          <w:sz w:val="21"/>
          <w:szCs w:val="21"/>
          <w:lang w:val="es-ES"/>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 ​​</w:t>
      </w:r>
    </w:p>
    <w:p w14:paraId="7BFE03CD" w14:textId="77777777" w:rsidR="00D36E83" w:rsidRPr="001F22AD" w:rsidRDefault="00D36E83" w:rsidP="00D36E83">
      <w:pPr>
        <w:spacing w:line="276" w:lineRule="auto"/>
        <w:ind w:firstLine="709"/>
        <w:jc w:val="both"/>
        <w:rPr>
          <w:rFonts w:ascii="Arial" w:eastAsia="Calibri" w:hAnsi="Arial" w:cs="Arial"/>
          <w:color w:val="000000"/>
          <w:sz w:val="22"/>
          <w:lang w:val="es-ES"/>
        </w:rPr>
      </w:pPr>
    </w:p>
    <w:p w14:paraId="5AE4D1FF" w14:textId="77777777" w:rsidR="00D36E83" w:rsidRPr="001F22AD" w:rsidRDefault="00D36E83" w:rsidP="00D36E83">
      <w:pPr>
        <w:spacing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Como se observa, el parágrafo transitorio, agregado al artículo 2.2.1.1.1.6.2. del Decreto 1082 de 2015 por el artículo 6 del Decreto 399 de 2021 y sustituido por el artículo 3 del Decreto 579 de 2021, establece que:</w:t>
      </w:r>
    </w:p>
    <w:p w14:paraId="17590DAA" w14:textId="507E0AEC"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i) A partir del 1 de julio de 2021 las entidades estatales «[…] establecerán y evaluarán los requisitos habilitantes de capacidad financiera y organizacional teniendo en cuenta la información que conste en el Registro Único de Proponentes». Es decir, las entidades estatales deben tener en cuenta la información sobre la capacidad financiera y organizacional «correspondiente a los últimos tres (3) años fiscales anteriores al respectivo acto» o «desde su primer cierre fiscal», según el caso.</w:t>
      </w:r>
    </w:p>
    <w:p w14:paraId="4E6DE70F" w14:textId="77777777"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ii) Las entidades estatales conservan su discrecionalidad administrativa para determinar los requisitos habilitantes de capacidad financiera y organizacional, pero «En todo caso, se establecerán indicadores proporcionales al procedimiento de contratación». El principio de proporcionalidad exige que dichos indicadores sean razonables, o sea, que guarden congruencia con el objeto, alcance, valor y plazo del contrato, que sean necesarios y no restrinjan injustificadamente la libre concurrencia.</w:t>
      </w:r>
    </w:p>
    <w:p w14:paraId="6945FC0B" w14:textId="77777777"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iii) En los procesos de selección cuyo acto administrativo de apertura o invitación se publique a partir del 1 de julio de 2021 las entidades estatales deberán tener en cuenta la información financiera y organizacional que esté vigente y en firme en el RUP.</w:t>
      </w:r>
    </w:p>
    <w:p w14:paraId="3CE32AC8" w14:textId="77777777"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iv) A partir de la fecha establecida anteriormente, la evaluación de los indicadores de capacidad </w:t>
      </w:r>
      <w:r w:rsidRPr="001F22AD">
        <w:rPr>
          <w:rFonts w:ascii="Arial" w:eastAsia="Calibri" w:hAnsi="Arial" w:cs="Arial"/>
          <w:i/>
          <w:iCs/>
          <w:color w:val="000000"/>
          <w:sz w:val="22"/>
          <w:lang w:val="es-ES"/>
        </w:rPr>
        <w:t>financiera –</w:t>
      </w:r>
      <w:r w:rsidRPr="001F22AD">
        <w:rPr>
          <w:rFonts w:ascii="Arial" w:eastAsia="Calibri" w:hAnsi="Arial" w:cs="Arial"/>
          <w:color w:val="000000"/>
          <w:sz w:val="22"/>
          <w:lang w:val="es-ES"/>
        </w:rPr>
        <w:t xml:space="preserve">índice de liquidez, índice de endeudamiento y razón de cobertura de intereses– y </w:t>
      </w:r>
      <w:r w:rsidRPr="001F22AD">
        <w:rPr>
          <w:rFonts w:ascii="Arial" w:eastAsia="Calibri" w:hAnsi="Arial" w:cs="Arial"/>
          <w:i/>
          <w:iCs/>
          <w:color w:val="000000"/>
          <w:sz w:val="22"/>
          <w:lang w:val="es-ES"/>
        </w:rPr>
        <w:t>organizacional</w:t>
      </w:r>
      <w:r w:rsidRPr="001F22AD">
        <w:rPr>
          <w:rFonts w:ascii="Arial" w:eastAsia="Calibri" w:hAnsi="Arial" w:cs="Arial"/>
          <w:color w:val="000000"/>
          <w:sz w:val="22"/>
          <w:lang w:val="es-ES"/>
        </w:rPr>
        <w:t xml:space="preserve"> –rentabilidad del patrimonio y rentabilidad del activo–, se </w:t>
      </w:r>
      <w:r w:rsidRPr="001F22AD">
        <w:rPr>
          <w:rFonts w:ascii="Arial" w:eastAsia="Calibri" w:hAnsi="Arial" w:cs="Arial"/>
          <w:color w:val="000000"/>
          <w:sz w:val="22"/>
          <w:lang w:val="es-ES"/>
        </w:rPr>
        <w:lastRenderedPageBreak/>
        <w:t xml:space="preserve">deberá realizar por parte de las entidades estatales «teniendo en cuenta </w:t>
      </w:r>
      <w:r w:rsidRPr="001F22AD">
        <w:rPr>
          <w:rFonts w:ascii="Arial" w:eastAsia="Calibri" w:hAnsi="Arial" w:cs="Arial"/>
          <w:i/>
          <w:iCs/>
          <w:color w:val="000000"/>
          <w:sz w:val="22"/>
          <w:lang w:val="es-ES"/>
        </w:rPr>
        <w:t>el mejor año fiscal que se refleje en el registro</w:t>
      </w:r>
      <w:r w:rsidRPr="001F22AD">
        <w:rPr>
          <w:rFonts w:ascii="Arial" w:eastAsia="Calibri" w:hAnsi="Arial" w:cs="Arial"/>
          <w:color w:val="000000"/>
          <w:sz w:val="22"/>
          <w:lang w:val="es-ES"/>
        </w:rPr>
        <w:t xml:space="preserve"> de cada proponente» (énfasis fuera de texto). </w:t>
      </w:r>
    </w:p>
    <w:p w14:paraId="71ED0D00" w14:textId="2555C019"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Es decir, 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Por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1F22AD">
        <w:rPr>
          <w:rFonts w:ascii="Arial" w:hAnsi="Arial" w:cs="Arial"/>
          <w:color w:val="000000"/>
          <w:sz w:val="22"/>
          <w:lang w:val="es-ES"/>
        </w:rPr>
        <w:t xml:space="preserve">[…] </w:t>
      </w:r>
      <w:r w:rsidRPr="001F22AD">
        <w:rPr>
          <w:rFonts w:ascii="Arial" w:eastAsia="Calibri" w:hAnsi="Arial" w:cs="Arial"/>
          <w:color w:val="000000"/>
          <w:sz w:val="22"/>
          <w:lang w:val="es-ES"/>
        </w:rPr>
        <w:t xml:space="preserve">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 que permita al proponente cumplir los requisitos habilitantes de capacidad financiera y </w:t>
      </w:r>
      <w:r w:rsidR="000C7CDE" w:rsidRPr="001F22AD">
        <w:rPr>
          <w:rFonts w:ascii="Arial" w:eastAsia="Calibri" w:hAnsi="Arial" w:cs="Arial"/>
          <w:color w:val="000000"/>
          <w:sz w:val="22"/>
          <w:lang w:val="es-ES"/>
        </w:rPr>
        <w:t xml:space="preserve">capacidad </w:t>
      </w:r>
      <w:r w:rsidRPr="001F22AD">
        <w:rPr>
          <w:rFonts w:ascii="Arial" w:eastAsia="Calibri" w:hAnsi="Arial" w:cs="Arial"/>
          <w:color w:val="000000"/>
          <w:sz w:val="22"/>
          <w:lang w:val="es-ES"/>
        </w:rPr>
        <w:t>organizacional.</w:t>
      </w:r>
    </w:p>
    <w:p w14:paraId="2E18AABE" w14:textId="77777777"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1F22AD">
        <w:rPr>
          <w:rFonts w:ascii="Arial" w:eastAsia="Calibri" w:hAnsi="Arial" w:cs="Arial"/>
          <w:i/>
          <w:iCs/>
          <w:color w:val="000000"/>
          <w:sz w:val="22"/>
          <w:lang w:val="es-ES"/>
        </w:rPr>
        <w:t>por cada indicador</w:t>
      </w:r>
      <w:r w:rsidRPr="001F22AD">
        <w:rPr>
          <w:rFonts w:ascii="Arial" w:eastAsia="Calibri" w:hAnsi="Arial" w:cs="Arial"/>
          <w:color w:val="000000"/>
          <w:sz w:val="22"/>
          <w:lang w:val="es-ES"/>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registrados en el RUP le permita al proponente cumplir con dichos requisitos habilitantes. </w:t>
      </w:r>
    </w:p>
    <w:p w14:paraId="56B5458B" w14:textId="3402AE0C" w:rsidR="00D36E83" w:rsidRPr="001F22AD" w:rsidRDefault="00D36E83" w:rsidP="00D36E83">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planeación, que permita establecer índices de 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30D1D34" w14:textId="77777777" w:rsidR="002E4CF7" w:rsidRPr="001F22AD" w:rsidRDefault="002E4CF7" w:rsidP="002E4CF7">
      <w:pPr>
        <w:jc w:val="both"/>
        <w:rPr>
          <w:rFonts w:ascii="Arial" w:eastAsia="Calibri" w:hAnsi="Arial" w:cs="Arial"/>
          <w:b/>
          <w:bCs/>
          <w:color w:val="000000"/>
          <w:sz w:val="22"/>
          <w:lang w:val="es-ES"/>
        </w:rPr>
      </w:pPr>
    </w:p>
    <w:p w14:paraId="4EE4D206" w14:textId="2BCA835E" w:rsidR="00B61CB3" w:rsidRPr="001F22AD" w:rsidRDefault="00C24A71" w:rsidP="00B61CB3">
      <w:pPr>
        <w:spacing w:line="276" w:lineRule="auto"/>
        <w:jc w:val="both"/>
        <w:rPr>
          <w:rFonts w:ascii="Arial" w:hAnsi="Arial" w:cs="Arial"/>
          <w:b/>
          <w:sz w:val="22"/>
          <w:szCs w:val="22"/>
        </w:rPr>
      </w:pPr>
      <w:r w:rsidRPr="001F22AD">
        <w:rPr>
          <w:rFonts w:ascii="Arial" w:eastAsia="Calibri" w:hAnsi="Arial" w:cs="Arial"/>
          <w:b/>
          <w:bCs/>
          <w:color w:val="000000"/>
          <w:sz w:val="22"/>
          <w:lang w:val="es-ES"/>
        </w:rPr>
        <w:t xml:space="preserve">2.3. </w:t>
      </w:r>
      <w:bookmarkStart w:id="2" w:name="_Hlk81469948"/>
      <w:r w:rsidR="00B61CB3" w:rsidRPr="001F22AD">
        <w:rPr>
          <w:rFonts w:ascii="Arial" w:eastAsia="Calibri" w:hAnsi="Arial" w:cs="Arial"/>
          <w:b/>
          <w:bCs/>
          <w:color w:val="000000"/>
          <w:sz w:val="22"/>
          <w:lang w:val="es-ES"/>
        </w:rPr>
        <w:t>Causal</w:t>
      </w:r>
      <w:r w:rsidR="00B61CB3" w:rsidRPr="001F22AD">
        <w:rPr>
          <w:rFonts w:ascii="Arial" w:hAnsi="Arial" w:cs="Arial"/>
          <w:b/>
          <w:sz w:val="22"/>
          <w:szCs w:val="22"/>
        </w:rPr>
        <w:t xml:space="preserve"> de selección abreviada para la celebración de contratos para la prestación de servicios de salud</w:t>
      </w:r>
      <w:r w:rsidR="002575DA" w:rsidRPr="001F22AD">
        <w:rPr>
          <w:rFonts w:ascii="Arial" w:hAnsi="Arial" w:cs="Arial"/>
          <w:b/>
          <w:sz w:val="22"/>
          <w:szCs w:val="22"/>
        </w:rPr>
        <w:t>:</w:t>
      </w:r>
      <w:r w:rsidR="00B61CB3" w:rsidRPr="001F22AD">
        <w:rPr>
          <w:rFonts w:ascii="Arial" w:hAnsi="Arial" w:cs="Arial"/>
          <w:b/>
          <w:sz w:val="22"/>
          <w:szCs w:val="22"/>
        </w:rPr>
        <w:t xml:space="preserve"> </w:t>
      </w:r>
      <w:r w:rsidR="002575DA" w:rsidRPr="001F22AD">
        <w:rPr>
          <w:rFonts w:ascii="Arial" w:hAnsi="Arial" w:cs="Arial"/>
          <w:b/>
          <w:sz w:val="22"/>
          <w:szCs w:val="22"/>
        </w:rPr>
        <w:t>n</w:t>
      </w:r>
      <w:r w:rsidR="00B61CB3" w:rsidRPr="001F22AD">
        <w:rPr>
          <w:rFonts w:ascii="Arial" w:hAnsi="Arial" w:cs="Arial"/>
          <w:b/>
          <w:sz w:val="22"/>
          <w:szCs w:val="22"/>
        </w:rPr>
        <w:t>o obligatoriedad del RUP</w:t>
      </w:r>
    </w:p>
    <w:p w14:paraId="1747E65E" w14:textId="3B5A1F4D" w:rsidR="00611D01" w:rsidRPr="001F22AD" w:rsidRDefault="00611D01" w:rsidP="002E4CF7">
      <w:pPr>
        <w:jc w:val="both"/>
        <w:rPr>
          <w:rFonts w:ascii="Arial" w:eastAsia="Calibri" w:hAnsi="Arial" w:cs="Arial"/>
          <w:b/>
          <w:bCs/>
          <w:color w:val="000000"/>
          <w:sz w:val="22"/>
        </w:rPr>
      </w:pPr>
    </w:p>
    <w:p w14:paraId="66F8B273" w14:textId="77777777" w:rsidR="002E4CF7" w:rsidRPr="001F22AD" w:rsidRDefault="002E4CF7" w:rsidP="002E4CF7">
      <w:pPr>
        <w:jc w:val="both"/>
        <w:rPr>
          <w:rFonts w:ascii="Arial" w:eastAsia="Calibri" w:hAnsi="Arial" w:cs="Arial"/>
          <w:b/>
          <w:bCs/>
          <w:color w:val="000000"/>
          <w:sz w:val="22"/>
          <w:lang w:val="es-ES"/>
        </w:rPr>
      </w:pPr>
    </w:p>
    <w:p w14:paraId="65EF4FE2" w14:textId="5A426BB0" w:rsidR="00B61CB3" w:rsidRPr="001F22AD" w:rsidRDefault="00B61CB3" w:rsidP="00B61CB3">
      <w:pPr>
        <w:spacing w:line="276" w:lineRule="auto"/>
        <w:jc w:val="both"/>
        <w:rPr>
          <w:rFonts w:ascii="Arial" w:hAnsi="Arial" w:cs="Arial"/>
          <w:b/>
          <w:sz w:val="22"/>
          <w:szCs w:val="22"/>
          <w:lang w:val="es-CO"/>
        </w:rPr>
      </w:pPr>
      <w:r w:rsidRPr="001F22AD">
        <w:rPr>
          <w:rFonts w:ascii="Arial" w:hAnsi="Arial" w:cs="Arial"/>
          <w:sz w:val="22"/>
          <w:szCs w:val="22"/>
          <w:lang w:val="es-CO"/>
        </w:rPr>
        <w:t xml:space="preserve">La contratación de servicios de salud era una causal de contratación directa en la Ley 80 de 1993, antes de su modificación por la Ley 1150 de 2007, que la consagró como una causal de selección abreviada. En tal sentido, el literal i) del derogado numeral 1 del artículo 24 del Estatuto General de Contratación de la Administración Pública </w:t>
      </w:r>
      <w:r w:rsidR="00F10A7D" w:rsidRPr="001F22AD">
        <w:rPr>
          <w:rFonts w:ascii="Arial" w:eastAsia="Calibri" w:hAnsi="Arial" w:cs="Arial"/>
          <w:color w:val="000000"/>
          <w:sz w:val="22"/>
          <w:lang w:val="es-ES"/>
        </w:rPr>
        <w:t xml:space="preserve">–en adelante EGCAP– </w:t>
      </w:r>
      <w:r w:rsidRPr="001F22AD">
        <w:rPr>
          <w:rFonts w:ascii="Arial" w:hAnsi="Arial" w:cs="Arial"/>
          <w:sz w:val="22"/>
          <w:szCs w:val="22"/>
          <w:lang w:val="es-CO"/>
        </w:rPr>
        <w:t xml:space="preserve">prescribía que: </w:t>
      </w:r>
      <w:r w:rsidRPr="001F22AD">
        <w:rPr>
          <w:rFonts w:eastAsia="Calibri"/>
          <w:bCs/>
          <w:color w:val="000000"/>
          <w:sz w:val="22"/>
          <w:szCs w:val="22"/>
        </w:rPr>
        <w:t>«</w:t>
      </w:r>
      <w:r w:rsidRPr="001F22AD">
        <w:rPr>
          <w:rFonts w:ascii="Arial" w:hAnsi="Arial" w:cs="Arial"/>
          <w:sz w:val="22"/>
          <w:szCs w:val="22"/>
          <w:lang w:val="es-CO"/>
        </w:rPr>
        <w:t>1) La escogencia del contratista se efectuará siempre a través de licitación o concursos públicos, salvo en los siguientes casos en los que se podrá contratar directamente: […] Los contratos que celebren las entidades estatales para la prestación de servicios de salud. El reglamento interno correspondiente fijará las garantías a cargo de los contratistas. Los pagos correspondientes se podrán hacer mediante encargos fiduciarios</w:t>
      </w:r>
      <w:r w:rsidRPr="001F22AD">
        <w:rPr>
          <w:rFonts w:ascii="Arial" w:eastAsia="Calibri" w:hAnsi="Arial" w:cs="Arial"/>
          <w:color w:val="000000"/>
          <w:sz w:val="22"/>
          <w:szCs w:val="22"/>
          <w:lang w:val="es-MX" w:eastAsia="en-US"/>
        </w:rPr>
        <w:t>»</w:t>
      </w:r>
      <w:r w:rsidRPr="001F22AD">
        <w:rPr>
          <w:rFonts w:ascii="Arial" w:hAnsi="Arial" w:cs="Arial"/>
          <w:b/>
          <w:sz w:val="22"/>
          <w:szCs w:val="22"/>
          <w:lang w:val="es-CO"/>
        </w:rPr>
        <w:t xml:space="preserve">. </w:t>
      </w:r>
    </w:p>
    <w:p w14:paraId="28D88B89" w14:textId="77777777" w:rsidR="00B61CB3" w:rsidRPr="001F22AD" w:rsidRDefault="00B61CB3" w:rsidP="00B61CB3">
      <w:pPr>
        <w:spacing w:before="120" w:line="276" w:lineRule="auto"/>
        <w:ind w:firstLine="708"/>
        <w:jc w:val="both"/>
        <w:rPr>
          <w:rFonts w:ascii="Arial" w:hAnsi="Arial" w:cs="Arial"/>
          <w:sz w:val="22"/>
          <w:szCs w:val="22"/>
          <w:lang w:val="es-CO"/>
        </w:rPr>
      </w:pPr>
      <w:r w:rsidRPr="001F22AD">
        <w:rPr>
          <w:rFonts w:ascii="Arial" w:hAnsi="Arial" w:cs="Arial"/>
          <w:sz w:val="22"/>
          <w:szCs w:val="22"/>
          <w:lang w:val="es-CO"/>
        </w:rPr>
        <w:t xml:space="preserve">Actualmente, con la Ley 1150 de 2007 se estableció la necesidad de que este tipo de contrataciones se realizaran mediante un procedimiento simplificado de contratación, como es la selección abreviada. Al respecto, el artículo 2°, numeral 2, literal c) de la Ley citada dispone: </w:t>
      </w:r>
    </w:p>
    <w:p w14:paraId="166DD8F8" w14:textId="77777777" w:rsidR="00B61CB3" w:rsidRPr="001F22AD" w:rsidRDefault="00B61CB3" w:rsidP="00B61CB3">
      <w:pPr>
        <w:spacing w:line="276" w:lineRule="auto"/>
        <w:ind w:firstLine="708"/>
        <w:jc w:val="both"/>
        <w:rPr>
          <w:rFonts w:ascii="Arial" w:hAnsi="Arial" w:cs="Arial"/>
          <w:sz w:val="22"/>
          <w:szCs w:val="22"/>
          <w:lang w:val="es-CO"/>
        </w:rPr>
      </w:pPr>
    </w:p>
    <w:p w14:paraId="0F295F8A" w14:textId="77777777" w:rsidR="00B61CB3" w:rsidRPr="001F22AD" w:rsidRDefault="00B61CB3" w:rsidP="00B61CB3">
      <w:pPr>
        <w:ind w:left="709" w:right="709"/>
        <w:jc w:val="both"/>
        <w:rPr>
          <w:rFonts w:ascii="Arial" w:hAnsi="Arial" w:cs="Arial"/>
          <w:sz w:val="21"/>
          <w:szCs w:val="21"/>
          <w:lang w:val="es-CO" w:eastAsia="es-CO"/>
        </w:rPr>
      </w:pPr>
      <w:r w:rsidRPr="001F22AD">
        <w:rPr>
          <w:rFonts w:ascii="Arial" w:hAnsi="Arial" w:cs="Arial"/>
          <w:sz w:val="21"/>
          <w:szCs w:val="21"/>
          <w:lang w:val="es-CO" w:eastAsia="es-CO"/>
        </w:rPr>
        <w:t xml:space="preserve">2. </w:t>
      </w:r>
      <w:r w:rsidRPr="001F22AD">
        <w:rPr>
          <w:rFonts w:ascii="Arial" w:hAnsi="Arial" w:cs="Arial"/>
          <w:bCs/>
          <w:sz w:val="21"/>
          <w:szCs w:val="21"/>
          <w:lang w:val="es-CO" w:eastAsia="es-CO"/>
        </w:rPr>
        <w:t>Selección abreviada</w:t>
      </w:r>
      <w:r w:rsidRPr="001F22AD">
        <w:rPr>
          <w:rFonts w:ascii="Arial" w:hAnsi="Arial" w:cs="Arial"/>
          <w:bCs/>
          <w:i/>
          <w:iCs/>
          <w:sz w:val="21"/>
          <w:szCs w:val="21"/>
          <w:lang w:val="es-CO" w:eastAsia="es-CO"/>
        </w:rPr>
        <w:t>.</w:t>
      </w:r>
      <w:r w:rsidRPr="001F22AD">
        <w:rPr>
          <w:rFonts w:ascii="Arial" w:hAnsi="Arial" w:cs="Arial"/>
          <w:b/>
          <w:bCs/>
          <w:i/>
          <w:iCs/>
          <w:sz w:val="21"/>
          <w:szCs w:val="21"/>
          <w:lang w:val="es-CO" w:eastAsia="es-CO"/>
        </w:rPr>
        <w:t xml:space="preserve"> </w:t>
      </w:r>
      <w:r w:rsidRPr="001F22AD">
        <w:rPr>
          <w:rFonts w:ascii="Arial" w:hAnsi="Arial" w:cs="Arial"/>
          <w:sz w:val="21"/>
          <w:szCs w:val="21"/>
          <w:lang w:val="es-CO" w:eastAsia="es-CO"/>
        </w:rPr>
        <w:t xml:space="preserve">La Selección abreviada corresponde a la modalidad de selección objetiva prevista para aquellos casos en </w:t>
      </w:r>
      <w:proofErr w:type="gramStart"/>
      <w:r w:rsidRPr="001F22AD">
        <w:rPr>
          <w:rFonts w:ascii="Arial" w:hAnsi="Arial" w:cs="Arial"/>
          <w:sz w:val="21"/>
          <w:szCs w:val="21"/>
          <w:lang w:val="es-CO" w:eastAsia="es-CO"/>
        </w:rPr>
        <w:t>que</w:t>
      </w:r>
      <w:proofErr w:type="gramEnd"/>
      <w:r w:rsidRPr="001F22AD">
        <w:rPr>
          <w:rFonts w:ascii="Arial" w:hAnsi="Arial" w:cs="Arial"/>
          <w:sz w:val="21"/>
          <w:szCs w:val="21"/>
          <w:lang w:val="es-CO" w:eastAsia="es-CO"/>
        </w:rPr>
        <w:t xml:space="preserve"> por las características del objeto a contratar, las circunstancias de la contratación o la cuantía o destinación del bien, obra o servicio, puedan adelantarse procesos simplificados para garantizar la eficiencia de la gestión contractual.</w:t>
      </w:r>
    </w:p>
    <w:p w14:paraId="3DF889F7" w14:textId="77777777" w:rsidR="00B61CB3" w:rsidRPr="001F22AD" w:rsidRDefault="00B61CB3" w:rsidP="00B61CB3">
      <w:pPr>
        <w:ind w:left="709" w:right="709"/>
        <w:jc w:val="both"/>
        <w:rPr>
          <w:rFonts w:ascii="Arial" w:hAnsi="Arial" w:cs="Arial"/>
          <w:sz w:val="21"/>
          <w:szCs w:val="21"/>
          <w:lang w:val="es-CO" w:eastAsia="es-CO"/>
        </w:rPr>
      </w:pPr>
      <w:r w:rsidRPr="001F22AD">
        <w:rPr>
          <w:rFonts w:ascii="Arial" w:hAnsi="Arial" w:cs="Arial"/>
          <w:sz w:val="21"/>
          <w:szCs w:val="21"/>
          <w:lang w:val="es-CO" w:eastAsia="es-CO"/>
        </w:rPr>
        <w:t>[…]</w:t>
      </w:r>
    </w:p>
    <w:p w14:paraId="02D1A26C" w14:textId="77777777" w:rsidR="00B61CB3" w:rsidRPr="001F22AD" w:rsidRDefault="00B61CB3" w:rsidP="00B61CB3">
      <w:pPr>
        <w:ind w:left="709" w:right="709"/>
        <w:jc w:val="both"/>
        <w:rPr>
          <w:rFonts w:ascii="Arial" w:hAnsi="Arial" w:cs="Arial"/>
          <w:sz w:val="21"/>
          <w:szCs w:val="21"/>
          <w:lang w:val="es-CO" w:eastAsia="es-CO"/>
        </w:rPr>
      </w:pPr>
      <w:r w:rsidRPr="001F22AD">
        <w:rPr>
          <w:rFonts w:ascii="Arial" w:hAnsi="Arial" w:cs="Arial"/>
          <w:sz w:val="21"/>
          <w:szCs w:val="21"/>
          <w:lang w:val="es-CO" w:eastAsia="es-CO"/>
        </w:rPr>
        <w:t>Serán causales de selección abreviada las siguientes:</w:t>
      </w:r>
    </w:p>
    <w:p w14:paraId="19D427BB" w14:textId="77777777" w:rsidR="00B61CB3" w:rsidRPr="001F22AD" w:rsidRDefault="00B61CB3" w:rsidP="00B61CB3">
      <w:pPr>
        <w:ind w:left="709" w:right="709"/>
        <w:jc w:val="both"/>
        <w:rPr>
          <w:rFonts w:ascii="Arial" w:hAnsi="Arial" w:cs="Arial"/>
          <w:sz w:val="21"/>
          <w:szCs w:val="21"/>
          <w:lang w:val="es-CO"/>
        </w:rPr>
      </w:pPr>
      <w:r w:rsidRPr="001F22AD">
        <w:rPr>
          <w:rFonts w:ascii="Arial" w:hAnsi="Arial" w:cs="Arial"/>
          <w:sz w:val="21"/>
          <w:szCs w:val="21"/>
          <w:lang w:val="es-CO"/>
        </w:rPr>
        <w:t>c) Sin perjuicio de lo dispuesto en la Ley </w:t>
      </w:r>
      <w:hyperlink r:id="rId12" w:anchor="1" w:history="1">
        <w:r w:rsidRPr="001F22AD">
          <w:rPr>
            <w:rFonts w:ascii="Arial" w:hAnsi="Arial" w:cs="Arial"/>
            <w:sz w:val="21"/>
            <w:szCs w:val="21"/>
            <w:lang w:val="es-CO"/>
          </w:rPr>
          <w:t>100</w:t>
        </w:r>
      </w:hyperlink>
      <w:r w:rsidRPr="001F22AD">
        <w:rPr>
          <w:rFonts w:ascii="Arial" w:hAnsi="Arial" w:cs="Arial"/>
          <w:sz w:val="21"/>
          <w:szCs w:val="21"/>
          <w:lang w:val="es-CO"/>
        </w:rPr>
        <w:t> de 1993 y en la Ley </w:t>
      </w:r>
      <w:hyperlink r:id="rId13" w:anchor="1" w:history="1">
        <w:r w:rsidRPr="001F22AD">
          <w:rPr>
            <w:rFonts w:ascii="Arial" w:hAnsi="Arial" w:cs="Arial"/>
            <w:sz w:val="21"/>
            <w:szCs w:val="21"/>
            <w:lang w:val="es-CO"/>
          </w:rPr>
          <w:t>1122</w:t>
        </w:r>
      </w:hyperlink>
      <w:r w:rsidRPr="001F22AD">
        <w:rPr>
          <w:rFonts w:ascii="Arial" w:hAnsi="Arial" w:cs="Arial"/>
          <w:sz w:val="21"/>
          <w:szCs w:val="21"/>
          <w:lang w:val="es-CO"/>
        </w:rPr>
        <w:t> de 2007, la celebración de contratos para la prestación de servicios de salud. El reglamento interno correspondiente fijará las garantías a cargo de los contratistas. Los pagos correspondientes se podrán hacer mediante encargos fiduciarios;</w:t>
      </w:r>
    </w:p>
    <w:p w14:paraId="7B04EF0C" w14:textId="77777777" w:rsidR="00B61CB3" w:rsidRPr="001F22AD" w:rsidRDefault="00B61CB3" w:rsidP="00B61CB3">
      <w:pPr>
        <w:ind w:left="709" w:right="709"/>
        <w:jc w:val="both"/>
        <w:rPr>
          <w:rFonts w:ascii="Arial" w:hAnsi="Arial" w:cs="Arial"/>
          <w:sz w:val="21"/>
          <w:szCs w:val="21"/>
          <w:lang w:val="es-CO"/>
        </w:rPr>
      </w:pPr>
      <w:r w:rsidRPr="001F22AD">
        <w:rPr>
          <w:rFonts w:ascii="Arial" w:hAnsi="Arial" w:cs="Arial"/>
          <w:sz w:val="21"/>
          <w:szCs w:val="21"/>
          <w:lang w:val="es-CO"/>
        </w:rPr>
        <w:t>[…]</w:t>
      </w:r>
    </w:p>
    <w:p w14:paraId="07538F75" w14:textId="77777777" w:rsidR="00B61CB3" w:rsidRPr="001F22AD" w:rsidRDefault="00B61CB3" w:rsidP="00B61CB3">
      <w:pPr>
        <w:spacing w:line="276" w:lineRule="auto"/>
        <w:ind w:firstLine="708"/>
        <w:jc w:val="both"/>
        <w:rPr>
          <w:rFonts w:ascii="Arial" w:hAnsi="Arial" w:cs="Arial"/>
          <w:b/>
          <w:bCs/>
          <w:sz w:val="22"/>
          <w:szCs w:val="22"/>
          <w:shd w:val="clear" w:color="auto" w:fill="FFFFFF"/>
          <w:lang w:val="es-CO"/>
        </w:rPr>
      </w:pPr>
    </w:p>
    <w:p w14:paraId="2BB324CA" w14:textId="77777777" w:rsidR="00B61CB3" w:rsidRPr="001F22AD" w:rsidRDefault="00B61CB3" w:rsidP="00B61CB3">
      <w:pPr>
        <w:spacing w:line="276" w:lineRule="auto"/>
        <w:ind w:firstLine="709"/>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De lo anterior se desprende que la contratación de prestación de servicios de salud aplica para aquellas entidades sometidas a la Ley 80 de 1993, es decir, al Estatuto General de Contratación de la Administración Pública</w:t>
      </w:r>
      <w:r w:rsidRPr="001F22AD">
        <w:rPr>
          <w:rFonts w:ascii="Arial" w:hAnsi="Arial" w:cs="Arial"/>
          <w:bCs/>
          <w:sz w:val="22"/>
          <w:szCs w:val="22"/>
          <w:shd w:val="clear" w:color="auto" w:fill="FFFFFF"/>
          <w:vertAlign w:val="superscript"/>
          <w:lang w:val="es-CO"/>
        </w:rPr>
        <w:footnoteReference w:id="11"/>
      </w:r>
      <w:r w:rsidRPr="001F22AD">
        <w:rPr>
          <w:rFonts w:ascii="Arial" w:hAnsi="Arial" w:cs="Arial"/>
          <w:bCs/>
          <w:sz w:val="22"/>
          <w:szCs w:val="22"/>
          <w:shd w:val="clear" w:color="auto" w:fill="FFFFFF"/>
          <w:lang w:val="es-CO"/>
        </w:rPr>
        <w:t xml:space="preserve">. En esta causal se establece que al reglamento interno le corresponde fijar las garantías. Así mismo, se resalta que los pagos se pueden hacer mediante encargos fiduciarios, lo cual permite el control en la celebración y ejecución de contratos. </w:t>
      </w:r>
    </w:p>
    <w:p w14:paraId="12973672" w14:textId="77777777"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Desde el punto de vista reglamentario, el artículo 2.2.1.2.1.2.21 del Decreto 1082 de 2015 prescribe que la entidad estatal que requiera la prestación de servicios de salud</w:t>
      </w:r>
      <w:r w:rsidRPr="001F22AD">
        <w:rPr>
          <w:rFonts w:ascii="Arial" w:hAnsi="Arial" w:cs="Arial"/>
          <w:b/>
          <w:bCs/>
          <w:sz w:val="22"/>
          <w:szCs w:val="22"/>
          <w:shd w:val="clear" w:color="auto" w:fill="FFFFFF"/>
          <w:lang w:val="es-CO"/>
        </w:rPr>
        <w:t xml:space="preserve"> </w:t>
      </w:r>
      <w:r w:rsidRPr="001F22AD">
        <w:rPr>
          <w:rFonts w:ascii="Arial" w:hAnsi="Arial" w:cs="Arial"/>
          <w:bCs/>
          <w:sz w:val="22"/>
          <w:szCs w:val="22"/>
          <w:shd w:val="clear" w:color="auto" w:fill="FFFFFF"/>
          <w:lang w:val="es-CO"/>
        </w:rPr>
        <w:t xml:space="preserve">debe </w:t>
      </w:r>
      <w:r w:rsidRPr="001F22AD">
        <w:rPr>
          <w:rFonts w:ascii="Arial" w:hAnsi="Arial" w:cs="Arial"/>
          <w:bCs/>
          <w:sz w:val="22"/>
          <w:szCs w:val="22"/>
          <w:shd w:val="clear" w:color="auto" w:fill="FFFFFF"/>
          <w:lang w:val="es-CO"/>
        </w:rPr>
        <w:lastRenderedPageBreak/>
        <w:t>aplicar el procedimiento de selección abreviada de menor cuantía, y obliga que las personas naturales o jurídicas que presten este tipo de servicios deben estar inscritas en el registro que para el efecto lleve el Ministerio de Salud y Protección Social o quien haga sus veces</w:t>
      </w:r>
      <w:r w:rsidRPr="001F22AD">
        <w:rPr>
          <w:rFonts w:ascii="Arial" w:hAnsi="Arial" w:cs="Arial"/>
          <w:bCs/>
          <w:sz w:val="22"/>
          <w:szCs w:val="22"/>
          <w:shd w:val="clear" w:color="auto" w:fill="FFFFFF"/>
          <w:vertAlign w:val="superscript"/>
          <w:lang w:val="es-CO"/>
        </w:rPr>
        <w:footnoteReference w:id="12"/>
      </w:r>
      <w:r w:rsidRPr="001F22AD">
        <w:rPr>
          <w:rFonts w:ascii="Arial" w:hAnsi="Arial" w:cs="Arial"/>
          <w:bCs/>
          <w:sz w:val="22"/>
          <w:szCs w:val="22"/>
          <w:shd w:val="clear" w:color="auto" w:fill="FFFFFF"/>
          <w:lang w:val="es-CO"/>
        </w:rPr>
        <w:t xml:space="preserve">. </w:t>
      </w:r>
    </w:p>
    <w:p w14:paraId="4E107DD1" w14:textId="5A7E7705"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A partir de lo dispuesto en la Ley 1150 de 2007, el Decreto 1082 de 2015 y las demás normas que regulan la prestación de servicios de salud, se pueden establece</w:t>
      </w:r>
      <w:r w:rsidR="000E52C7" w:rsidRPr="001F22AD">
        <w:rPr>
          <w:rFonts w:ascii="Arial" w:hAnsi="Arial" w:cs="Arial"/>
          <w:bCs/>
          <w:sz w:val="22"/>
          <w:szCs w:val="22"/>
          <w:shd w:val="clear" w:color="auto" w:fill="FFFFFF"/>
          <w:lang w:val="es-CO"/>
        </w:rPr>
        <w:t>r</w:t>
      </w:r>
      <w:r w:rsidRPr="001F22AD">
        <w:rPr>
          <w:rFonts w:ascii="Arial" w:hAnsi="Arial" w:cs="Arial"/>
          <w:bCs/>
          <w:sz w:val="22"/>
          <w:szCs w:val="22"/>
          <w:shd w:val="clear" w:color="auto" w:fill="FFFFFF"/>
          <w:lang w:val="es-CO"/>
        </w:rPr>
        <w:t xml:space="preserve"> cinco (5) características de este tipo de contratos</w:t>
      </w:r>
      <w:r w:rsidR="00F10A7D" w:rsidRPr="001F22AD">
        <w:rPr>
          <w:rFonts w:ascii="Arial" w:hAnsi="Arial" w:cs="Arial"/>
          <w:bCs/>
          <w:sz w:val="22"/>
          <w:szCs w:val="22"/>
          <w:shd w:val="clear" w:color="auto" w:fill="FFFFFF"/>
          <w:lang w:val="es-CO"/>
        </w:rPr>
        <w:t>, bajo el entendido que se celebren bajo régimen establecido en el EGCAP</w:t>
      </w:r>
      <w:r w:rsidRPr="001F22AD">
        <w:rPr>
          <w:rFonts w:ascii="Arial" w:hAnsi="Arial" w:cs="Arial"/>
          <w:bCs/>
          <w:sz w:val="22"/>
          <w:szCs w:val="22"/>
          <w:shd w:val="clear" w:color="auto" w:fill="FFFFFF"/>
          <w:lang w:val="es-CO"/>
        </w:rPr>
        <w:t xml:space="preserve">: </w:t>
      </w:r>
    </w:p>
    <w:p w14:paraId="69B7A2ED" w14:textId="77777777"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bCs/>
          <w:sz w:val="22"/>
          <w:szCs w:val="22"/>
          <w:shd w:val="clear" w:color="auto" w:fill="FFFFFF"/>
          <w:lang w:val="es-CO"/>
        </w:rPr>
        <w:t xml:space="preserve">i) El Decreto 1082 de 2015 sujeta el procedimiento de contratación a la selección abreviada de menor cuantía. En tal sentido, la entidad debe tener en cuenta las reglas dispuestas para este tipo de procesos en el artículo 2.2.1.2.1.2.20 </w:t>
      </w:r>
      <w:r w:rsidRPr="001F22AD">
        <w:rPr>
          <w:rFonts w:ascii="Arial" w:hAnsi="Arial" w:cs="Arial"/>
          <w:bCs/>
          <w:i/>
          <w:iCs/>
          <w:sz w:val="22"/>
          <w:szCs w:val="22"/>
          <w:shd w:val="clear" w:color="auto" w:fill="FFFFFF"/>
          <w:lang w:val="es-CO"/>
        </w:rPr>
        <w:t>ibidem</w:t>
      </w:r>
      <w:r w:rsidRPr="001F22AD">
        <w:rPr>
          <w:rFonts w:ascii="Arial" w:hAnsi="Arial" w:cs="Arial"/>
          <w:bCs/>
          <w:sz w:val="22"/>
          <w:szCs w:val="22"/>
          <w:shd w:val="clear" w:color="auto" w:fill="FFFFFF"/>
          <w:lang w:val="es-CO"/>
        </w:rPr>
        <w:t xml:space="preserve">, como son la manifestación de interés y la posibilidad del sorteo cuando se presentan más de diez (10) oferentes. </w:t>
      </w:r>
    </w:p>
    <w:p w14:paraId="44F23C6F" w14:textId="322C422B"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proofErr w:type="spellStart"/>
      <w:r w:rsidRPr="001F22AD">
        <w:rPr>
          <w:rFonts w:ascii="Arial" w:hAnsi="Arial" w:cs="Arial"/>
          <w:bCs/>
          <w:sz w:val="22"/>
          <w:szCs w:val="22"/>
          <w:shd w:val="clear" w:color="auto" w:fill="FFFFFF"/>
          <w:lang w:val="es-CO"/>
        </w:rPr>
        <w:t>ii</w:t>
      </w:r>
      <w:proofErr w:type="spellEnd"/>
      <w:r w:rsidRPr="001F22AD">
        <w:rPr>
          <w:rFonts w:ascii="Arial" w:hAnsi="Arial" w:cs="Arial"/>
          <w:bCs/>
          <w:sz w:val="22"/>
          <w:szCs w:val="22"/>
          <w:shd w:val="clear" w:color="auto" w:fill="FFFFFF"/>
          <w:lang w:val="es-CO"/>
        </w:rPr>
        <w:t>) Los que prestan este tipo de servicios deben estar inscritos en el registro que disponga el Ministerio de Salud. En torno a esta regla se establece la obligatoriedad de un registro especial que habilita a las personas naturales y jurídicas para ser contratadas por este tipo de servicios por las entidades públicas</w:t>
      </w:r>
      <w:r w:rsidR="003A4A92" w:rsidRPr="001F22AD">
        <w:rPr>
          <w:rStyle w:val="Refdenotaalpie"/>
          <w:rFonts w:ascii="Arial" w:hAnsi="Arial" w:cs="Arial"/>
          <w:bCs/>
          <w:sz w:val="22"/>
          <w:szCs w:val="22"/>
          <w:shd w:val="clear" w:color="auto" w:fill="FFFFFF"/>
          <w:lang w:val="es-CO"/>
        </w:rPr>
        <w:footnoteReference w:id="13"/>
      </w:r>
      <w:r w:rsidRPr="001F22AD">
        <w:rPr>
          <w:rFonts w:ascii="Arial" w:hAnsi="Arial" w:cs="Arial"/>
          <w:bCs/>
          <w:sz w:val="22"/>
          <w:szCs w:val="22"/>
          <w:shd w:val="clear" w:color="auto" w:fill="FFFFFF"/>
          <w:lang w:val="es-CO"/>
        </w:rPr>
        <w:t xml:space="preserve">. </w:t>
      </w:r>
    </w:p>
    <w:p w14:paraId="0FDF79C1" w14:textId="77B37BE2" w:rsidR="00B61CB3" w:rsidRPr="001F22AD" w:rsidRDefault="00B61CB3" w:rsidP="00B61CB3">
      <w:pPr>
        <w:spacing w:before="120" w:after="120" w:line="276" w:lineRule="auto"/>
        <w:ind w:firstLine="708"/>
        <w:jc w:val="both"/>
        <w:rPr>
          <w:rFonts w:ascii="Arial" w:hAnsi="Arial" w:cs="Arial"/>
          <w:bCs/>
          <w:sz w:val="22"/>
          <w:szCs w:val="22"/>
          <w:shd w:val="clear" w:color="auto" w:fill="FFFFFF"/>
          <w:lang w:val="es-CO"/>
        </w:rPr>
      </w:pPr>
      <w:proofErr w:type="spellStart"/>
      <w:r w:rsidRPr="001F22AD">
        <w:rPr>
          <w:rFonts w:ascii="Arial" w:hAnsi="Arial" w:cs="Arial"/>
          <w:bCs/>
          <w:sz w:val="22"/>
          <w:szCs w:val="22"/>
          <w:shd w:val="clear" w:color="auto" w:fill="FFFFFF"/>
          <w:lang w:val="es-CO"/>
        </w:rPr>
        <w:t>i</w:t>
      </w:r>
      <w:r w:rsidR="003A4A92" w:rsidRPr="001F22AD">
        <w:rPr>
          <w:rFonts w:ascii="Arial" w:hAnsi="Arial" w:cs="Arial"/>
          <w:bCs/>
          <w:sz w:val="22"/>
          <w:szCs w:val="22"/>
          <w:shd w:val="clear" w:color="auto" w:fill="FFFFFF"/>
          <w:lang w:val="es-CO"/>
        </w:rPr>
        <w:t>ii</w:t>
      </w:r>
      <w:proofErr w:type="spellEnd"/>
      <w:r w:rsidRPr="001F22AD">
        <w:rPr>
          <w:rFonts w:ascii="Arial" w:hAnsi="Arial" w:cs="Arial"/>
          <w:bCs/>
          <w:sz w:val="22"/>
          <w:szCs w:val="22"/>
          <w:shd w:val="clear" w:color="auto" w:fill="FFFFFF"/>
          <w:lang w:val="es-CO"/>
        </w:rPr>
        <w:t>) El reglamento interno correspondiente fijará las garantías a cargo de los contratistas.</w:t>
      </w:r>
    </w:p>
    <w:p w14:paraId="0B4E9F75" w14:textId="4E72B46E" w:rsidR="00B61CB3" w:rsidRPr="001F22AD" w:rsidRDefault="003A4A92" w:rsidP="00B61CB3">
      <w:pPr>
        <w:spacing w:before="120" w:after="120" w:line="276" w:lineRule="auto"/>
        <w:ind w:firstLine="708"/>
        <w:jc w:val="both"/>
        <w:rPr>
          <w:rFonts w:ascii="Arial" w:hAnsi="Arial" w:cs="Arial"/>
          <w:sz w:val="22"/>
          <w:szCs w:val="22"/>
          <w:lang w:val="es-CO"/>
        </w:rPr>
      </w:pPr>
      <w:proofErr w:type="spellStart"/>
      <w:r w:rsidRPr="001F22AD">
        <w:rPr>
          <w:rFonts w:ascii="Arial" w:hAnsi="Arial" w:cs="Arial"/>
          <w:bCs/>
          <w:sz w:val="22"/>
          <w:szCs w:val="22"/>
          <w:shd w:val="clear" w:color="auto" w:fill="FFFFFF"/>
          <w:lang w:val="es-CO"/>
        </w:rPr>
        <w:t>i</w:t>
      </w:r>
      <w:r w:rsidR="00B61CB3" w:rsidRPr="001F22AD">
        <w:rPr>
          <w:rFonts w:ascii="Arial" w:hAnsi="Arial" w:cs="Arial"/>
          <w:bCs/>
          <w:sz w:val="22"/>
          <w:szCs w:val="22"/>
          <w:shd w:val="clear" w:color="auto" w:fill="FFFFFF"/>
          <w:lang w:val="es-CO"/>
        </w:rPr>
        <w:t>v</w:t>
      </w:r>
      <w:proofErr w:type="spellEnd"/>
      <w:r w:rsidR="00B61CB3" w:rsidRPr="001F22AD">
        <w:rPr>
          <w:rFonts w:ascii="Arial" w:hAnsi="Arial" w:cs="Arial"/>
          <w:bCs/>
          <w:sz w:val="22"/>
          <w:szCs w:val="22"/>
          <w:shd w:val="clear" w:color="auto" w:fill="FFFFFF"/>
          <w:lang w:val="es-CO"/>
        </w:rPr>
        <w:t xml:space="preserve">) </w:t>
      </w:r>
      <w:r w:rsidR="00B61CB3" w:rsidRPr="001F22AD">
        <w:rPr>
          <w:rFonts w:ascii="Arial" w:hAnsi="Arial" w:cs="Arial"/>
          <w:sz w:val="22"/>
          <w:szCs w:val="22"/>
          <w:lang w:val="es-CO"/>
        </w:rPr>
        <w:t>Los pagos correspondientes podrán hacerse mediante encargos fiduciarios, es decir, se entrega</w:t>
      </w:r>
      <w:r w:rsidR="000E79AA" w:rsidRPr="001F22AD">
        <w:rPr>
          <w:rFonts w:ascii="Arial" w:hAnsi="Arial" w:cs="Arial"/>
          <w:sz w:val="22"/>
          <w:szCs w:val="22"/>
          <w:lang w:val="es-CO"/>
        </w:rPr>
        <w:t>n</w:t>
      </w:r>
      <w:r w:rsidR="00B61CB3" w:rsidRPr="001F22AD">
        <w:rPr>
          <w:rFonts w:ascii="Arial" w:hAnsi="Arial" w:cs="Arial"/>
          <w:sz w:val="22"/>
          <w:szCs w:val="22"/>
          <w:lang w:val="es-CO"/>
        </w:rPr>
        <w:t xml:space="preserve"> a </w:t>
      </w:r>
      <w:r w:rsidR="000E79AA" w:rsidRPr="001F22AD">
        <w:rPr>
          <w:rFonts w:ascii="Arial" w:hAnsi="Arial" w:cs="Arial"/>
          <w:sz w:val="22"/>
          <w:szCs w:val="22"/>
          <w:lang w:val="es-CO"/>
        </w:rPr>
        <w:t>una</w:t>
      </w:r>
      <w:r w:rsidR="00B61CB3" w:rsidRPr="001F22AD">
        <w:rPr>
          <w:rFonts w:ascii="Arial" w:hAnsi="Arial" w:cs="Arial"/>
          <w:sz w:val="22"/>
          <w:szCs w:val="22"/>
          <w:lang w:val="es-CO"/>
        </w:rPr>
        <w:t xml:space="preserve"> sociedad fiduciaria </w:t>
      </w:r>
      <w:r w:rsidR="000E79AA" w:rsidRPr="001F22AD">
        <w:rPr>
          <w:rFonts w:ascii="Arial" w:hAnsi="Arial" w:cs="Arial"/>
          <w:sz w:val="22"/>
          <w:szCs w:val="22"/>
          <w:lang w:val="es-CO"/>
        </w:rPr>
        <w:t>los</w:t>
      </w:r>
      <w:r w:rsidR="00B61CB3" w:rsidRPr="001F22AD">
        <w:rPr>
          <w:rFonts w:ascii="Arial" w:hAnsi="Arial" w:cs="Arial"/>
          <w:sz w:val="22"/>
          <w:szCs w:val="22"/>
          <w:lang w:val="es-CO"/>
        </w:rPr>
        <w:t xml:space="preserve"> recurso</w:t>
      </w:r>
      <w:r w:rsidR="000E79AA" w:rsidRPr="001F22AD">
        <w:rPr>
          <w:rFonts w:ascii="Arial" w:hAnsi="Arial" w:cs="Arial"/>
          <w:sz w:val="22"/>
          <w:szCs w:val="22"/>
          <w:lang w:val="es-CO"/>
        </w:rPr>
        <w:t>s</w:t>
      </w:r>
      <w:r w:rsidR="00B61CB3" w:rsidRPr="001F22AD">
        <w:rPr>
          <w:rFonts w:ascii="Arial" w:hAnsi="Arial" w:cs="Arial"/>
          <w:sz w:val="22"/>
          <w:szCs w:val="22"/>
          <w:lang w:val="es-CO"/>
        </w:rPr>
        <w:t xml:space="preserve"> para su administración, teniendo en cuenta las actividades de prestación de servicios de salud. En ningún caso se configura la transferencia del dinero del fideicomitente al fiduciario y, por tanto, no existe constitución de un patrimonio autónomo.   </w:t>
      </w:r>
    </w:p>
    <w:p w14:paraId="768DC42D" w14:textId="019BAF67" w:rsidR="003A4A92" w:rsidRPr="001F22AD" w:rsidRDefault="003A4A92" w:rsidP="003A4A92">
      <w:pPr>
        <w:spacing w:before="120" w:after="120" w:line="276" w:lineRule="auto"/>
        <w:ind w:firstLine="708"/>
        <w:jc w:val="both"/>
        <w:rPr>
          <w:rFonts w:ascii="Arial" w:hAnsi="Arial" w:cs="Arial"/>
          <w:bCs/>
          <w:sz w:val="22"/>
          <w:szCs w:val="22"/>
          <w:shd w:val="clear" w:color="auto" w:fill="FFFFFF"/>
          <w:lang w:val="es-CO"/>
        </w:rPr>
      </w:pPr>
      <w:r w:rsidRPr="001F22AD">
        <w:rPr>
          <w:rFonts w:ascii="Arial" w:hAnsi="Arial" w:cs="Arial"/>
          <w:sz w:val="22"/>
          <w:szCs w:val="22"/>
          <w:lang w:val="es-CO"/>
        </w:rPr>
        <w:t>v)</w:t>
      </w:r>
      <w:r w:rsidRPr="001F22AD">
        <w:rPr>
          <w:rFonts w:ascii="Arial" w:hAnsi="Arial" w:cs="Arial"/>
          <w:bCs/>
          <w:sz w:val="22"/>
          <w:szCs w:val="22"/>
          <w:shd w:val="clear" w:color="auto" w:fill="FFFFFF"/>
          <w:lang w:val="es-CO"/>
        </w:rPr>
        <w:t xml:space="preserve"> No es exigible el Registro Único de Proponentes –RUP–</w:t>
      </w:r>
      <w:r w:rsidR="000D7EDC" w:rsidRPr="001F22AD">
        <w:rPr>
          <w:rFonts w:ascii="Arial" w:hAnsi="Arial" w:cs="Arial"/>
          <w:bCs/>
          <w:sz w:val="22"/>
          <w:szCs w:val="22"/>
          <w:shd w:val="clear" w:color="auto" w:fill="FFFFFF"/>
          <w:lang w:val="es-CO"/>
        </w:rPr>
        <w:t xml:space="preserve"> </w:t>
      </w:r>
      <w:r w:rsidRPr="001F22AD">
        <w:rPr>
          <w:rFonts w:ascii="Arial" w:hAnsi="Arial" w:cs="Arial"/>
          <w:bCs/>
          <w:sz w:val="22"/>
          <w:szCs w:val="22"/>
          <w:shd w:val="clear" w:color="auto" w:fill="FFFFFF"/>
          <w:lang w:val="es-CO"/>
        </w:rPr>
        <w:t>dentro de estos procesos de contratación, de acuerdo con lo prescrito en el inciso segundo del artículo 6 de la Ley 1150 de 2007</w:t>
      </w:r>
      <w:r w:rsidRPr="001F22AD">
        <w:rPr>
          <w:rStyle w:val="Refdenotaalpie"/>
          <w:rFonts w:ascii="Arial" w:hAnsi="Arial" w:cs="Arial"/>
          <w:bCs/>
          <w:sz w:val="22"/>
          <w:szCs w:val="22"/>
          <w:shd w:val="clear" w:color="auto" w:fill="FFFFFF"/>
          <w:lang w:val="es-CO"/>
        </w:rPr>
        <w:footnoteReference w:id="14"/>
      </w:r>
      <w:r w:rsidRPr="001F22AD">
        <w:rPr>
          <w:rFonts w:ascii="Arial" w:hAnsi="Arial" w:cs="Arial"/>
          <w:bCs/>
          <w:sz w:val="22"/>
          <w:szCs w:val="22"/>
          <w:shd w:val="clear" w:color="auto" w:fill="FFFFFF"/>
          <w:lang w:val="es-CO"/>
        </w:rPr>
        <w:t xml:space="preserve">. </w:t>
      </w:r>
      <w:r w:rsidR="0044653D" w:rsidRPr="001F22AD">
        <w:rPr>
          <w:rFonts w:ascii="Arial" w:hAnsi="Arial" w:cs="Arial"/>
          <w:bCs/>
          <w:sz w:val="22"/>
          <w:szCs w:val="22"/>
          <w:shd w:val="clear" w:color="auto" w:fill="FFFFFF"/>
          <w:lang w:val="es-CO"/>
        </w:rPr>
        <w:t>En relación con este último aspecto se realizarán algunas precisiones</w:t>
      </w:r>
      <w:r w:rsidR="00834892" w:rsidRPr="001F22AD">
        <w:rPr>
          <w:rFonts w:ascii="Arial" w:hAnsi="Arial" w:cs="Arial"/>
          <w:bCs/>
          <w:sz w:val="22"/>
          <w:szCs w:val="22"/>
          <w:shd w:val="clear" w:color="auto" w:fill="FFFFFF"/>
          <w:lang w:val="es-CO"/>
        </w:rPr>
        <w:t>,</w:t>
      </w:r>
      <w:r w:rsidR="0044653D" w:rsidRPr="001F22AD">
        <w:rPr>
          <w:rFonts w:ascii="Arial" w:hAnsi="Arial" w:cs="Arial"/>
          <w:bCs/>
          <w:sz w:val="22"/>
          <w:szCs w:val="22"/>
          <w:shd w:val="clear" w:color="auto" w:fill="FFFFFF"/>
          <w:lang w:val="es-CO"/>
        </w:rPr>
        <w:t xml:space="preserve"> teniendo en cuenta las preguntas del peticionario. </w:t>
      </w:r>
    </w:p>
    <w:p w14:paraId="51953E13" w14:textId="3F52B0F8" w:rsidR="003E1EB9" w:rsidRPr="001F22AD" w:rsidRDefault="003E1EB9" w:rsidP="00834892">
      <w:pPr>
        <w:spacing w:line="276" w:lineRule="auto"/>
        <w:ind w:firstLine="708"/>
        <w:jc w:val="both"/>
        <w:rPr>
          <w:rFonts w:ascii="Arial" w:eastAsia="Calibri" w:hAnsi="Arial" w:cs="Arial"/>
          <w:color w:val="000000"/>
          <w:sz w:val="22"/>
          <w:lang w:val="es-ES"/>
        </w:rPr>
      </w:pPr>
      <w:r w:rsidRPr="001F22AD">
        <w:rPr>
          <w:rFonts w:ascii="Arial" w:eastAsia="Calibri" w:hAnsi="Arial" w:cs="Arial"/>
          <w:color w:val="000000"/>
          <w:sz w:val="22"/>
          <w:lang w:val="es-ES"/>
        </w:rPr>
        <w:lastRenderedPageBreak/>
        <w:t xml:space="preserve">Como se </w:t>
      </w:r>
      <w:r w:rsidR="00834892" w:rsidRPr="001F22AD">
        <w:rPr>
          <w:rFonts w:ascii="Arial" w:eastAsia="Calibri" w:hAnsi="Arial" w:cs="Arial"/>
          <w:color w:val="000000"/>
          <w:sz w:val="22"/>
          <w:lang w:val="es-ES"/>
        </w:rPr>
        <w:t>señaló en los numerales anteriores de este concepto</w:t>
      </w:r>
      <w:r w:rsidRPr="001F22AD">
        <w:rPr>
          <w:rFonts w:ascii="Arial" w:eastAsia="Calibri" w:hAnsi="Arial" w:cs="Arial"/>
          <w:color w:val="000000"/>
          <w:sz w:val="22"/>
          <w:lang w:val="es-ES"/>
        </w:rPr>
        <w:t xml:space="preserve">, </w:t>
      </w:r>
      <w:r w:rsidR="0083332F" w:rsidRPr="001F22AD">
        <w:rPr>
          <w:rFonts w:ascii="Arial" w:eastAsia="Calibri" w:hAnsi="Arial" w:cs="Arial"/>
          <w:color w:val="000000"/>
          <w:sz w:val="22"/>
          <w:lang w:val="es-ES"/>
        </w:rPr>
        <w:t>las entidades sometidas a</w:t>
      </w:r>
      <w:r w:rsidR="00834892" w:rsidRPr="001F22AD">
        <w:rPr>
          <w:rFonts w:ascii="Arial" w:eastAsia="Calibri" w:hAnsi="Arial" w:cs="Arial"/>
          <w:color w:val="000000"/>
          <w:sz w:val="22"/>
          <w:lang w:val="es-ES"/>
        </w:rPr>
        <w:t xml:space="preserve">l </w:t>
      </w:r>
      <w:r w:rsidR="003622CF" w:rsidRPr="001F22AD">
        <w:rPr>
          <w:rFonts w:ascii="Arial" w:eastAsia="Calibri" w:hAnsi="Arial" w:cs="Arial"/>
          <w:color w:val="000000"/>
          <w:sz w:val="22"/>
          <w:lang w:val="es-ES"/>
        </w:rPr>
        <w:t>Estatuto General de Contratación de la Administración Pública</w:t>
      </w:r>
      <w:r w:rsidR="00834892" w:rsidRPr="001F22AD">
        <w:rPr>
          <w:rFonts w:ascii="Arial" w:eastAsia="Calibri" w:hAnsi="Arial" w:cs="Arial"/>
          <w:color w:val="000000"/>
          <w:sz w:val="22"/>
          <w:lang w:val="es-ES"/>
        </w:rPr>
        <w:t>, por regla general,</w:t>
      </w:r>
      <w:r w:rsidR="0083332F" w:rsidRPr="001F22AD">
        <w:rPr>
          <w:rFonts w:ascii="Arial" w:eastAsia="Calibri" w:hAnsi="Arial" w:cs="Arial"/>
          <w:color w:val="000000"/>
          <w:sz w:val="22"/>
          <w:lang w:val="es-ES"/>
        </w:rPr>
        <w:t xml:space="preserve"> deberán efectuar la evaluación </w:t>
      </w:r>
      <w:r w:rsidRPr="001F22AD">
        <w:rPr>
          <w:rFonts w:ascii="Arial" w:eastAsia="Calibri" w:hAnsi="Arial" w:cs="Arial"/>
          <w:color w:val="000000"/>
          <w:sz w:val="22"/>
          <w:lang w:val="es-ES"/>
        </w:rPr>
        <w:t xml:space="preserve">de las ofertas </w:t>
      </w:r>
      <w:r w:rsidR="0083332F" w:rsidRPr="001F22AD">
        <w:rPr>
          <w:rFonts w:ascii="Arial" w:eastAsia="Calibri" w:hAnsi="Arial" w:cs="Arial"/>
          <w:color w:val="000000"/>
          <w:sz w:val="22"/>
          <w:lang w:val="es-ES"/>
        </w:rPr>
        <w:t>teniendo en cuenta la información que reposa en el certificado del Registro Único de Proponentes, dado que constituye plena prueba de la información que contiene</w:t>
      </w:r>
      <w:r w:rsidR="00403333" w:rsidRPr="001F22AD">
        <w:rPr>
          <w:rFonts w:ascii="Arial" w:eastAsia="Calibri" w:hAnsi="Arial" w:cs="Arial"/>
          <w:color w:val="000000"/>
          <w:sz w:val="22"/>
          <w:lang w:val="es-ES"/>
        </w:rPr>
        <w:t>, de conformidad con lo</w:t>
      </w:r>
      <w:r w:rsidR="0083332F" w:rsidRPr="001F22AD">
        <w:rPr>
          <w:rFonts w:ascii="Arial" w:eastAsia="Calibri" w:hAnsi="Arial" w:cs="Arial"/>
          <w:color w:val="000000"/>
          <w:sz w:val="22"/>
          <w:lang w:val="es-ES"/>
        </w:rPr>
        <w:t xml:space="preserve"> estableci</w:t>
      </w:r>
      <w:r w:rsidR="000C464A" w:rsidRPr="001F22AD">
        <w:rPr>
          <w:rFonts w:ascii="Arial" w:eastAsia="Calibri" w:hAnsi="Arial" w:cs="Arial"/>
          <w:color w:val="000000"/>
          <w:sz w:val="22"/>
          <w:lang w:val="es-ES"/>
        </w:rPr>
        <w:t>do</w:t>
      </w:r>
      <w:r w:rsidR="0083332F" w:rsidRPr="001F22AD">
        <w:rPr>
          <w:rFonts w:ascii="Arial" w:eastAsia="Calibri" w:hAnsi="Arial" w:cs="Arial"/>
          <w:color w:val="000000"/>
          <w:sz w:val="22"/>
          <w:lang w:val="es-ES"/>
        </w:rPr>
        <w:t xml:space="preserve"> en el artículo 6.1 de la Ley 1150 de 2007. Por su parte, el artículo 5.1 ibídem, al fijar los criterios que deben tener en cuenta las entidades estatales para garantizar la selección objetiva, dispone que las Cámaras de Comercio verificarán la información suministrada por las personas naturales o jurídicas para la inscripción en el Registro. Esta información debe tenerse en cuenta por las entidades en los procedimientos de contratación en los que es exigible el RUP. De esta forma, la capacidad jurídica y las condiciones de experiencia, capacidad financiera y de organización de los proponentes deberán ser verificadas </w:t>
      </w:r>
      <w:r w:rsidR="000C7CDE" w:rsidRPr="001F22AD">
        <w:rPr>
          <w:rFonts w:ascii="Arial" w:eastAsia="Calibri" w:hAnsi="Arial" w:cs="Arial"/>
          <w:color w:val="000000"/>
          <w:sz w:val="22"/>
          <w:lang w:val="es-ES"/>
        </w:rPr>
        <w:t xml:space="preserve">mediante </w:t>
      </w:r>
      <w:r w:rsidR="0083332F" w:rsidRPr="001F22AD">
        <w:rPr>
          <w:rFonts w:ascii="Arial" w:eastAsia="Calibri" w:hAnsi="Arial" w:cs="Arial"/>
          <w:color w:val="000000"/>
          <w:sz w:val="22"/>
          <w:lang w:val="es-ES"/>
        </w:rPr>
        <w:t>el Registro Único de Proponentes.</w:t>
      </w:r>
    </w:p>
    <w:p w14:paraId="5E9FEB10" w14:textId="4878AD93" w:rsidR="000C7CDE" w:rsidRPr="001F22AD" w:rsidRDefault="000C7CDE" w:rsidP="003E1EB9">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Sin embargo</w:t>
      </w:r>
      <w:r w:rsidR="0083332F" w:rsidRPr="001F22AD">
        <w:rPr>
          <w:rFonts w:ascii="Arial" w:eastAsia="Calibri" w:hAnsi="Arial" w:cs="Arial"/>
          <w:color w:val="000000"/>
          <w:sz w:val="22"/>
          <w:lang w:val="es-ES"/>
        </w:rPr>
        <w:t xml:space="preserve">, </w:t>
      </w:r>
      <w:r w:rsidR="00834892" w:rsidRPr="001F22AD">
        <w:rPr>
          <w:rFonts w:ascii="Arial" w:eastAsia="Calibri" w:hAnsi="Arial" w:cs="Arial"/>
          <w:color w:val="000000"/>
          <w:sz w:val="22"/>
          <w:lang w:val="es-ES"/>
        </w:rPr>
        <w:t xml:space="preserve">como se evidenció, </w:t>
      </w:r>
      <w:r w:rsidR="0083332F" w:rsidRPr="001F22AD">
        <w:rPr>
          <w:rFonts w:ascii="Arial" w:eastAsia="Calibri" w:hAnsi="Arial" w:cs="Arial"/>
          <w:color w:val="000000"/>
          <w:sz w:val="22"/>
          <w:lang w:val="es-ES"/>
        </w:rPr>
        <w:t>el RUP no es exigible en algunos procedimientos de contratación, como en la contratación directa, la mínima cuantía, la prestación de servicios de salud –</w:t>
      </w:r>
      <w:r w:rsidR="00834892" w:rsidRPr="001F22AD">
        <w:rPr>
          <w:rFonts w:ascii="Arial" w:eastAsia="Calibri" w:hAnsi="Arial" w:cs="Arial"/>
          <w:color w:val="000000"/>
          <w:sz w:val="22"/>
          <w:lang w:val="es-ES"/>
        </w:rPr>
        <w:t>como se explicó anteriormente</w:t>
      </w:r>
      <w:r w:rsidR="0083332F" w:rsidRPr="001F22AD">
        <w:rPr>
          <w:rFonts w:ascii="Arial" w:eastAsia="Calibri" w:hAnsi="Arial" w:cs="Arial"/>
          <w:color w:val="000000"/>
          <w:sz w:val="22"/>
          <w:lang w:val="es-ES"/>
        </w:rPr>
        <w:t>–,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w:t>
      </w:r>
      <w:r w:rsidR="00834892" w:rsidRPr="001F22AD">
        <w:rPr>
          <w:rFonts w:ascii="Arial" w:eastAsia="Calibri" w:hAnsi="Arial" w:cs="Arial"/>
          <w:color w:val="000000"/>
          <w:sz w:val="22"/>
          <w:lang w:val="es-ES"/>
        </w:rPr>
        <w:t>, tal como se establece en inciso segundo del artículo 6 de la Ley 1150 de 2007, citado anteriormente.</w:t>
      </w:r>
      <w:r w:rsidR="0083332F" w:rsidRPr="001F22AD">
        <w:rPr>
          <w:rFonts w:ascii="Arial" w:eastAsia="Calibri" w:hAnsi="Arial" w:cs="Arial"/>
          <w:color w:val="000000"/>
          <w:sz w:val="22"/>
          <w:lang w:val="es-ES"/>
        </w:rPr>
        <w:t xml:space="preserve"> </w:t>
      </w:r>
    </w:p>
    <w:p w14:paraId="656B4F55" w14:textId="77777777" w:rsidR="00C87422" w:rsidRPr="001F22AD" w:rsidRDefault="000C7CDE" w:rsidP="003E1EB9">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Las indicadas excepciones a la obligación </w:t>
      </w:r>
      <w:r w:rsidR="003622CF" w:rsidRPr="001F22AD">
        <w:rPr>
          <w:rFonts w:ascii="Arial" w:eastAsia="Calibri" w:hAnsi="Arial" w:cs="Arial"/>
          <w:color w:val="000000"/>
          <w:sz w:val="22"/>
          <w:lang w:val="es-ES"/>
        </w:rPr>
        <w:t>general de inscribirse en el RUP para celebrar contratos con las entidades estatales sometidas al EGCAP</w:t>
      </w:r>
      <w:r w:rsidR="000D7EDC" w:rsidRPr="001F22AD">
        <w:rPr>
          <w:rFonts w:ascii="Arial" w:eastAsia="Calibri" w:hAnsi="Arial" w:cs="Arial"/>
          <w:color w:val="000000"/>
          <w:sz w:val="22"/>
          <w:lang w:val="es-ES"/>
        </w:rPr>
        <w:t>, son de interpretación estricta</w:t>
      </w:r>
      <w:r w:rsidR="0083332F" w:rsidRPr="001F22AD">
        <w:rPr>
          <w:rFonts w:ascii="Arial" w:eastAsia="Calibri" w:hAnsi="Arial" w:cs="Arial"/>
          <w:color w:val="000000"/>
          <w:sz w:val="22"/>
          <w:lang w:val="es-ES"/>
        </w:rPr>
        <w:t xml:space="preserve">. </w:t>
      </w:r>
      <w:r w:rsidR="000D7EDC" w:rsidRPr="001F22AD">
        <w:rPr>
          <w:rFonts w:ascii="Arial" w:eastAsia="Calibri" w:hAnsi="Arial" w:cs="Arial"/>
          <w:color w:val="000000"/>
          <w:sz w:val="22"/>
          <w:lang w:val="es-ES"/>
        </w:rPr>
        <w:t xml:space="preserve">Esto también se fundamenta en el </w:t>
      </w:r>
      <w:r w:rsidR="0083332F" w:rsidRPr="001F22AD">
        <w:rPr>
          <w:rFonts w:ascii="Arial" w:eastAsia="Calibri" w:hAnsi="Arial" w:cs="Arial"/>
          <w:color w:val="000000"/>
          <w:sz w:val="22"/>
          <w:lang w:val="es-ES"/>
        </w:rPr>
        <w:t xml:space="preserve">artículo 2.2.1.1.1.5.1 del Decreto 1082 de 2015, al prescribir que la inscripción en el RUP es imperativa para los sujetos mencionados en el </w:t>
      </w:r>
      <w:r w:rsidR="0083332F" w:rsidRPr="001F22AD">
        <w:rPr>
          <w:rFonts w:ascii="Arial" w:eastAsia="Calibri" w:hAnsi="Arial" w:cs="Arial"/>
          <w:color w:val="000000"/>
          <w:sz w:val="22"/>
          <w:lang w:val="es-ES"/>
        </w:rPr>
        <w:lastRenderedPageBreak/>
        <w:t>primer inciso del artículo 6 de la Ley 1150 de 2007, salvo las excepciones previstas de forma taxativa en la ley</w:t>
      </w:r>
      <w:r w:rsidR="000D7EDC" w:rsidRPr="001F22AD">
        <w:rPr>
          <w:rStyle w:val="Refdenotaalpie"/>
          <w:rFonts w:ascii="Arial" w:eastAsia="Calibri" w:hAnsi="Arial" w:cs="Arial"/>
          <w:color w:val="000000"/>
          <w:sz w:val="22"/>
          <w:lang w:val="es-ES"/>
        </w:rPr>
        <w:footnoteReference w:id="15"/>
      </w:r>
      <w:r w:rsidR="0083332F" w:rsidRPr="001F22AD">
        <w:rPr>
          <w:rFonts w:ascii="Arial" w:eastAsia="Calibri" w:hAnsi="Arial" w:cs="Arial"/>
          <w:color w:val="000000"/>
          <w:sz w:val="22"/>
          <w:lang w:val="es-ES"/>
        </w:rPr>
        <w:t xml:space="preserve">. </w:t>
      </w:r>
    </w:p>
    <w:p w14:paraId="3B32AC42" w14:textId="688568CC" w:rsidR="00F7377F" w:rsidRPr="001F22AD" w:rsidRDefault="00427CCE" w:rsidP="00C87422">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Ahora bien</w:t>
      </w:r>
      <w:r w:rsidR="004F5F56" w:rsidRPr="001F22AD">
        <w:rPr>
          <w:rFonts w:ascii="Arial" w:eastAsia="Calibri" w:hAnsi="Arial" w:cs="Arial"/>
          <w:color w:val="000000"/>
          <w:sz w:val="22"/>
          <w:lang w:val="es-ES"/>
        </w:rPr>
        <w:t xml:space="preserve">, dicha excepcionalidad no impide que las entidades estatales al determinar los requisitos habilitantes del proceso, </w:t>
      </w:r>
      <w:r w:rsidR="001737A7" w:rsidRPr="001F22AD">
        <w:rPr>
          <w:rFonts w:ascii="Arial" w:eastAsia="Calibri" w:hAnsi="Arial" w:cs="Arial"/>
          <w:color w:val="000000"/>
          <w:sz w:val="22"/>
          <w:lang w:val="es-ES"/>
        </w:rPr>
        <w:t xml:space="preserve">y </w:t>
      </w:r>
      <w:r w:rsidR="004F5F56" w:rsidRPr="001F22AD">
        <w:rPr>
          <w:rFonts w:ascii="Arial" w:eastAsia="Calibri" w:hAnsi="Arial" w:cs="Arial"/>
          <w:color w:val="000000"/>
          <w:sz w:val="22"/>
          <w:lang w:val="es-ES"/>
        </w:rPr>
        <w:t xml:space="preserve">concretamente los de capacidad financiera y organizacional, así como la forma en que se efectuará </w:t>
      </w:r>
      <w:r w:rsidR="00C87422" w:rsidRPr="001F22AD">
        <w:rPr>
          <w:rFonts w:ascii="Arial" w:eastAsia="Calibri" w:hAnsi="Arial" w:cs="Arial"/>
          <w:color w:val="000000"/>
          <w:sz w:val="22"/>
          <w:lang w:val="es-ES"/>
        </w:rPr>
        <w:t>su</w:t>
      </w:r>
      <w:r w:rsidR="004F5F56" w:rsidRPr="001F22AD">
        <w:rPr>
          <w:rFonts w:ascii="Arial" w:eastAsia="Calibri" w:hAnsi="Arial" w:cs="Arial"/>
          <w:color w:val="000000"/>
          <w:sz w:val="22"/>
          <w:lang w:val="es-ES"/>
        </w:rPr>
        <w:t xml:space="preserve"> evaluación</w:t>
      </w:r>
      <w:r w:rsidR="00C87422" w:rsidRPr="001F22AD">
        <w:rPr>
          <w:rFonts w:ascii="Arial" w:eastAsia="Calibri" w:hAnsi="Arial" w:cs="Arial"/>
          <w:color w:val="000000"/>
          <w:sz w:val="22"/>
          <w:lang w:val="es-ES"/>
        </w:rPr>
        <w:t>,</w:t>
      </w:r>
      <w:r w:rsidR="004F5F56" w:rsidRPr="001F22AD">
        <w:rPr>
          <w:rFonts w:ascii="Arial" w:eastAsia="Calibri" w:hAnsi="Arial" w:cs="Arial"/>
          <w:color w:val="000000"/>
          <w:sz w:val="22"/>
          <w:lang w:val="es-ES"/>
        </w:rPr>
        <w:t xml:space="preserve"> puedan acoger </w:t>
      </w:r>
      <w:r w:rsidR="00C87422" w:rsidRPr="001F22AD">
        <w:rPr>
          <w:rFonts w:ascii="Arial" w:eastAsia="Calibri" w:hAnsi="Arial" w:cs="Arial"/>
          <w:i/>
          <w:iCs/>
          <w:color w:val="000000"/>
          <w:sz w:val="22"/>
          <w:lang w:val="es-ES"/>
        </w:rPr>
        <w:t>facultativamente</w:t>
      </w:r>
      <w:r w:rsidR="00C87422" w:rsidRPr="001F22AD">
        <w:rPr>
          <w:rFonts w:ascii="Arial" w:eastAsia="Calibri" w:hAnsi="Arial" w:cs="Arial"/>
          <w:color w:val="000000"/>
          <w:sz w:val="22"/>
          <w:lang w:val="es-ES"/>
        </w:rPr>
        <w:t xml:space="preserve"> una regulación similar a la establecida en</w:t>
      </w:r>
      <w:r w:rsidR="004F5F56" w:rsidRPr="001F22AD">
        <w:rPr>
          <w:rFonts w:ascii="Arial" w:eastAsia="Calibri" w:hAnsi="Arial" w:cs="Arial"/>
          <w:color w:val="000000"/>
          <w:sz w:val="22"/>
          <w:lang w:val="es-ES"/>
        </w:rPr>
        <w:t xml:space="preserve"> los Decretos 399 y 579 de 2021, </w:t>
      </w:r>
      <w:r w:rsidR="00C87422" w:rsidRPr="001F22AD">
        <w:rPr>
          <w:rFonts w:ascii="Arial" w:eastAsia="Calibri" w:hAnsi="Arial" w:cs="Arial"/>
          <w:color w:val="000000"/>
          <w:sz w:val="22"/>
          <w:lang w:val="es-ES"/>
        </w:rPr>
        <w:t>para permitir que la capacidad financiera y organizaci</w:t>
      </w:r>
      <w:r w:rsidR="001412D6" w:rsidRPr="001F22AD">
        <w:rPr>
          <w:rFonts w:ascii="Arial" w:eastAsia="Calibri" w:hAnsi="Arial" w:cs="Arial"/>
          <w:color w:val="000000"/>
          <w:sz w:val="22"/>
          <w:lang w:val="es-ES"/>
        </w:rPr>
        <w:t>o</w:t>
      </w:r>
      <w:r w:rsidR="00C87422" w:rsidRPr="001F22AD">
        <w:rPr>
          <w:rFonts w:ascii="Arial" w:eastAsia="Calibri" w:hAnsi="Arial" w:cs="Arial"/>
          <w:color w:val="000000"/>
          <w:sz w:val="22"/>
          <w:lang w:val="es-ES"/>
        </w:rPr>
        <w:t>n</w:t>
      </w:r>
      <w:r w:rsidR="001412D6" w:rsidRPr="001F22AD">
        <w:rPr>
          <w:rFonts w:ascii="Arial" w:eastAsia="Calibri" w:hAnsi="Arial" w:cs="Arial"/>
          <w:color w:val="000000"/>
          <w:sz w:val="22"/>
          <w:lang w:val="es-ES"/>
        </w:rPr>
        <w:t>al</w:t>
      </w:r>
      <w:r w:rsidR="00C87422" w:rsidRPr="001F22AD">
        <w:rPr>
          <w:rFonts w:ascii="Arial" w:eastAsia="Calibri" w:hAnsi="Arial" w:cs="Arial"/>
          <w:color w:val="000000"/>
          <w:sz w:val="22"/>
          <w:lang w:val="es-ES"/>
        </w:rPr>
        <w:t xml:space="preserve"> se acredite con los mejores indicadores de los últimos 3 años, permitiendo que dicha capacidad se acredite con el mejor año fiscal de ellos. Sin embargo, es necesario precisar que, en ejercicio del deber de análisis que les concierne, las entidades </w:t>
      </w:r>
      <w:r w:rsidR="00DC46D6" w:rsidRPr="001F22AD">
        <w:rPr>
          <w:rFonts w:ascii="Arial" w:eastAsia="Calibri" w:hAnsi="Arial" w:cs="Arial"/>
          <w:color w:val="000000"/>
          <w:sz w:val="22"/>
          <w:lang w:val="es-ES"/>
        </w:rPr>
        <w:t xml:space="preserve">estatales </w:t>
      </w:r>
      <w:r w:rsidR="00C87422" w:rsidRPr="001F22AD">
        <w:rPr>
          <w:rFonts w:ascii="Arial" w:eastAsia="Calibri" w:hAnsi="Arial" w:cs="Arial"/>
          <w:color w:val="000000"/>
          <w:sz w:val="22"/>
          <w:lang w:val="es-ES"/>
        </w:rPr>
        <w:t>serán las responsables de definir si en estos procesos</w:t>
      </w:r>
      <w:r w:rsidR="00DC46D6" w:rsidRPr="001F22AD">
        <w:rPr>
          <w:rFonts w:ascii="Arial" w:eastAsia="Calibri" w:hAnsi="Arial" w:cs="Arial"/>
          <w:color w:val="000000"/>
          <w:sz w:val="22"/>
          <w:lang w:val="es-ES"/>
        </w:rPr>
        <w:t>,</w:t>
      </w:r>
      <w:r w:rsidR="00C87422" w:rsidRPr="001F22AD">
        <w:rPr>
          <w:rFonts w:ascii="Arial" w:eastAsia="Calibri" w:hAnsi="Arial" w:cs="Arial"/>
          <w:color w:val="000000"/>
          <w:sz w:val="22"/>
          <w:lang w:val="es-ES"/>
        </w:rPr>
        <w:t xml:space="preserve"> </w:t>
      </w:r>
      <w:r w:rsidR="00DC46D6" w:rsidRPr="001F22AD">
        <w:rPr>
          <w:rFonts w:ascii="Arial" w:eastAsia="Calibri" w:hAnsi="Arial" w:cs="Arial"/>
          <w:color w:val="000000"/>
          <w:sz w:val="22"/>
          <w:lang w:val="es-ES"/>
        </w:rPr>
        <w:t xml:space="preserve">donde no es exigible el RUP, </w:t>
      </w:r>
      <w:r w:rsidR="00C87422" w:rsidRPr="001F22AD">
        <w:rPr>
          <w:rFonts w:ascii="Arial" w:eastAsia="Calibri" w:hAnsi="Arial" w:cs="Arial"/>
          <w:color w:val="000000"/>
          <w:sz w:val="22"/>
          <w:lang w:val="es-ES"/>
        </w:rPr>
        <w:t>realizarán la evaluación con la información de los estados financieros del último año o con la correspondiente a</w:t>
      </w:r>
      <w:r w:rsidR="00DC46D6" w:rsidRPr="001F22AD">
        <w:rPr>
          <w:rFonts w:ascii="Arial" w:eastAsia="Calibri" w:hAnsi="Arial" w:cs="Arial"/>
          <w:color w:val="000000"/>
          <w:sz w:val="22"/>
          <w:lang w:val="es-ES"/>
        </w:rPr>
        <w:t xml:space="preserve"> los mejores indicadores de</w:t>
      </w:r>
      <w:r w:rsidR="00C87422" w:rsidRPr="001F22AD">
        <w:rPr>
          <w:rFonts w:ascii="Arial" w:eastAsia="Calibri" w:hAnsi="Arial" w:cs="Arial"/>
          <w:color w:val="000000"/>
          <w:sz w:val="22"/>
          <w:lang w:val="es-ES"/>
        </w:rPr>
        <w:t xml:space="preserve"> los últimos tres (3) años fiscales, aspecto que deberá </w:t>
      </w:r>
      <w:r w:rsidR="00DC46D6" w:rsidRPr="001F22AD">
        <w:rPr>
          <w:rFonts w:ascii="Arial" w:eastAsia="Calibri" w:hAnsi="Arial" w:cs="Arial"/>
          <w:color w:val="000000"/>
          <w:sz w:val="22"/>
          <w:lang w:val="es-ES"/>
        </w:rPr>
        <w:t>quedar</w:t>
      </w:r>
      <w:r w:rsidR="00C87422" w:rsidRPr="001F22AD">
        <w:rPr>
          <w:rFonts w:ascii="Arial" w:eastAsia="Calibri" w:hAnsi="Arial" w:cs="Arial"/>
          <w:color w:val="000000"/>
          <w:sz w:val="22"/>
          <w:lang w:val="es-ES"/>
        </w:rPr>
        <w:t xml:space="preserve"> consignado en los respectivos pliegos de condiciones</w:t>
      </w:r>
      <w:r w:rsidR="00DC46D6" w:rsidRPr="001F22AD">
        <w:rPr>
          <w:rFonts w:ascii="Arial" w:eastAsia="Calibri" w:hAnsi="Arial" w:cs="Arial"/>
          <w:color w:val="000000"/>
          <w:sz w:val="22"/>
          <w:lang w:val="es-ES"/>
        </w:rPr>
        <w:t xml:space="preserve">. En tal sentido, la evaluación de la capacidad financiera y la capacidad organizacional en los procesos de selección abreviada para contratar la prestación de servicios de </w:t>
      </w:r>
      <w:proofErr w:type="gramStart"/>
      <w:r w:rsidR="00DC46D6" w:rsidRPr="001F22AD">
        <w:rPr>
          <w:rFonts w:ascii="Arial" w:eastAsia="Calibri" w:hAnsi="Arial" w:cs="Arial"/>
          <w:color w:val="000000"/>
          <w:sz w:val="22"/>
          <w:lang w:val="es-ES"/>
        </w:rPr>
        <w:t>salud,</w:t>
      </w:r>
      <w:proofErr w:type="gramEnd"/>
      <w:r w:rsidR="00DC46D6" w:rsidRPr="001F22AD">
        <w:rPr>
          <w:rFonts w:ascii="Arial" w:eastAsia="Calibri" w:hAnsi="Arial" w:cs="Arial"/>
          <w:color w:val="000000"/>
          <w:sz w:val="22"/>
          <w:lang w:val="es-ES"/>
        </w:rPr>
        <w:t xml:space="preserve"> se realizará en los términos establecidos en los pliegos de condiciones, pues la</w:t>
      </w:r>
      <w:r w:rsidR="001816D4" w:rsidRPr="001F22AD">
        <w:rPr>
          <w:rFonts w:ascii="Arial" w:eastAsia="Calibri" w:hAnsi="Arial" w:cs="Arial"/>
          <w:color w:val="000000"/>
          <w:sz w:val="22"/>
          <w:lang w:val="es-ES"/>
        </w:rPr>
        <w:t>s</w:t>
      </w:r>
      <w:r w:rsidR="00DC46D6" w:rsidRPr="001F22AD">
        <w:rPr>
          <w:rFonts w:ascii="Arial" w:eastAsia="Calibri" w:hAnsi="Arial" w:cs="Arial"/>
          <w:color w:val="000000"/>
          <w:sz w:val="22"/>
          <w:lang w:val="es-ES"/>
        </w:rPr>
        <w:t xml:space="preserve"> entidades </w:t>
      </w:r>
      <w:r w:rsidR="00F7377F" w:rsidRPr="001F22AD">
        <w:rPr>
          <w:rFonts w:ascii="Arial" w:eastAsia="Calibri" w:hAnsi="Arial" w:cs="Arial"/>
          <w:color w:val="000000"/>
          <w:sz w:val="22"/>
          <w:lang w:val="es-ES"/>
        </w:rPr>
        <w:t xml:space="preserve">estatales </w:t>
      </w:r>
      <w:r w:rsidRPr="001F22AD">
        <w:rPr>
          <w:rFonts w:ascii="Arial" w:eastAsia="Calibri" w:hAnsi="Arial" w:cs="Arial"/>
          <w:color w:val="000000"/>
          <w:sz w:val="22"/>
          <w:lang w:val="es-ES"/>
        </w:rPr>
        <w:t xml:space="preserve">cuentan </w:t>
      </w:r>
      <w:r w:rsidR="00DC46D6" w:rsidRPr="001F22AD">
        <w:rPr>
          <w:rFonts w:ascii="Arial" w:eastAsia="Calibri" w:hAnsi="Arial" w:cs="Arial"/>
          <w:color w:val="000000"/>
          <w:sz w:val="22"/>
          <w:lang w:val="es-ES"/>
        </w:rPr>
        <w:t xml:space="preserve">con discrecionalidad para regular este aspecto, de acuerdo con lo </w:t>
      </w:r>
      <w:r w:rsidR="00F7377F" w:rsidRPr="001F22AD">
        <w:rPr>
          <w:rFonts w:ascii="Arial" w:eastAsia="Calibri" w:hAnsi="Arial" w:cs="Arial"/>
          <w:color w:val="000000"/>
          <w:sz w:val="22"/>
          <w:lang w:val="es-ES"/>
        </w:rPr>
        <w:t>explicado</w:t>
      </w:r>
      <w:r w:rsidR="00DC46D6" w:rsidRPr="001F22AD">
        <w:rPr>
          <w:rFonts w:ascii="Arial" w:eastAsia="Calibri" w:hAnsi="Arial" w:cs="Arial"/>
          <w:color w:val="000000"/>
          <w:sz w:val="22"/>
          <w:lang w:val="es-ES"/>
        </w:rPr>
        <w:t xml:space="preserve">. </w:t>
      </w:r>
    </w:p>
    <w:p w14:paraId="2909D870" w14:textId="6626AC25" w:rsidR="00C87422" w:rsidRPr="001F22AD" w:rsidRDefault="00DC46D6" w:rsidP="00C87422">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En efecto,</w:t>
      </w:r>
      <w:r w:rsidR="00C87422" w:rsidRPr="001F22AD">
        <w:rPr>
          <w:rFonts w:ascii="Arial" w:eastAsia="Calibri" w:hAnsi="Arial" w:cs="Arial"/>
          <w:color w:val="000000"/>
          <w:sz w:val="22"/>
          <w:lang w:val="es-ES"/>
        </w:rPr>
        <w:t xml:space="preserve"> </w:t>
      </w:r>
      <w:r w:rsidRPr="001F22AD">
        <w:rPr>
          <w:rFonts w:ascii="Arial" w:eastAsia="Calibri" w:hAnsi="Arial" w:cs="Arial"/>
          <w:color w:val="000000"/>
          <w:sz w:val="22"/>
          <w:lang w:val="es-ES"/>
        </w:rPr>
        <w:t>a</w:t>
      </w:r>
      <w:r w:rsidR="00C87422" w:rsidRPr="001F22AD">
        <w:rPr>
          <w:rFonts w:ascii="Arial" w:eastAsia="Calibri" w:hAnsi="Arial" w:cs="Arial"/>
          <w:color w:val="000000"/>
          <w:sz w:val="22"/>
          <w:lang w:val="es-ES"/>
        </w:rPr>
        <w:t xml:space="preserve">l no ser obligatorio el RUP en estos procesos no aplica directamente la regulación </w:t>
      </w:r>
      <w:r w:rsidRPr="001F22AD">
        <w:rPr>
          <w:rFonts w:ascii="Arial" w:eastAsia="Calibri" w:hAnsi="Arial" w:cs="Arial"/>
          <w:color w:val="000000"/>
          <w:sz w:val="22"/>
          <w:lang w:val="es-ES"/>
        </w:rPr>
        <w:t>establecida</w:t>
      </w:r>
      <w:r w:rsidR="00C87422" w:rsidRPr="001F22AD">
        <w:rPr>
          <w:rFonts w:ascii="Arial" w:eastAsia="Calibri" w:hAnsi="Arial" w:cs="Arial"/>
          <w:color w:val="000000"/>
          <w:sz w:val="22"/>
          <w:lang w:val="es-ES"/>
        </w:rPr>
        <w:t xml:space="preserve"> en los Decreto 399 y 579 que, como se explicó, quedó </w:t>
      </w:r>
      <w:r w:rsidRPr="001F22AD">
        <w:rPr>
          <w:rFonts w:ascii="Arial" w:eastAsia="Calibri" w:hAnsi="Arial" w:cs="Arial"/>
          <w:color w:val="000000"/>
          <w:sz w:val="22"/>
          <w:lang w:val="es-ES"/>
        </w:rPr>
        <w:t xml:space="preserve">atada al </w:t>
      </w:r>
      <w:r w:rsidR="00F7377F" w:rsidRPr="001F22AD">
        <w:rPr>
          <w:rFonts w:ascii="Arial" w:eastAsia="Calibri" w:hAnsi="Arial" w:cs="Arial"/>
          <w:color w:val="000000"/>
          <w:sz w:val="22"/>
          <w:lang w:val="es-ES"/>
        </w:rPr>
        <w:t>Registro Único de Proponentes</w:t>
      </w:r>
      <w:r w:rsidR="00F7377F" w:rsidRPr="001F22AD">
        <w:rPr>
          <w:rStyle w:val="Refdenotaalpie"/>
          <w:rFonts w:ascii="Arial" w:eastAsia="Calibri" w:hAnsi="Arial" w:cs="Arial"/>
          <w:color w:val="000000"/>
          <w:sz w:val="22"/>
          <w:lang w:val="es-ES"/>
        </w:rPr>
        <w:footnoteReference w:id="16"/>
      </w:r>
      <w:r w:rsidR="00F7377F" w:rsidRPr="001F22AD">
        <w:rPr>
          <w:rFonts w:ascii="Arial" w:eastAsia="Calibri" w:hAnsi="Arial" w:cs="Arial"/>
          <w:color w:val="000000"/>
          <w:sz w:val="22"/>
          <w:lang w:val="es-ES"/>
        </w:rPr>
        <w:t>.</w:t>
      </w:r>
      <w:r w:rsidRPr="001F22AD">
        <w:rPr>
          <w:rFonts w:ascii="Arial" w:eastAsia="Calibri" w:hAnsi="Arial" w:cs="Arial"/>
          <w:color w:val="000000"/>
          <w:sz w:val="22"/>
          <w:lang w:val="es-ES"/>
        </w:rPr>
        <w:t xml:space="preserve"> </w:t>
      </w:r>
      <w:r w:rsidR="00F7377F" w:rsidRPr="001F22AD">
        <w:rPr>
          <w:rFonts w:ascii="Arial" w:eastAsia="Calibri" w:hAnsi="Arial" w:cs="Arial"/>
          <w:color w:val="000000"/>
          <w:sz w:val="22"/>
          <w:lang w:val="es-ES"/>
        </w:rPr>
        <w:t xml:space="preserve">Lo anterior, </w:t>
      </w:r>
      <w:r w:rsidRPr="001F22AD">
        <w:rPr>
          <w:rFonts w:ascii="Arial" w:eastAsia="Calibri" w:hAnsi="Arial" w:cs="Arial"/>
          <w:color w:val="000000"/>
          <w:sz w:val="22"/>
          <w:lang w:val="es-ES"/>
        </w:rPr>
        <w:t xml:space="preserve">sin perjuicio </w:t>
      </w:r>
      <w:r w:rsidR="001C72E7" w:rsidRPr="001F22AD">
        <w:rPr>
          <w:rFonts w:ascii="Arial" w:eastAsia="Calibri" w:hAnsi="Arial" w:cs="Arial"/>
          <w:color w:val="000000"/>
          <w:sz w:val="22"/>
          <w:lang w:val="es-ES"/>
        </w:rPr>
        <w:t xml:space="preserve">de </w:t>
      </w:r>
      <w:r w:rsidRPr="001F22AD">
        <w:rPr>
          <w:rFonts w:ascii="Arial" w:eastAsia="Calibri" w:hAnsi="Arial" w:cs="Arial"/>
          <w:color w:val="000000"/>
          <w:sz w:val="22"/>
          <w:lang w:val="es-ES"/>
        </w:rPr>
        <w:t>que</w:t>
      </w:r>
      <w:r w:rsidR="005602F8" w:rsidRPr="001F22AD">
        <w:rPr>
          <w:rFonts w:ascii="Arial" w:eastAsia="Calibri" w:hAnsi="Arial" w:cs="Arial"/>
          <w:color w:val="000000"/>
          <w:sz w:val="22"/>
          <w:lang w:val="es-ES"/>
        </w:rPr>
        <w:t>,</w:t>
      </w:r>
      <w:r w:rsidRPr="001F22AD">
        <w:rPr>
          <w:rFonts w:ascii="Arial" w:eastAsia="Calibri" w:hAnsi="Arial" w:cs="Arial"/>
          <w:color w:val="000000"/>
          <w:sz w:val="22"/>
          <w:lang w:val="es-ES"/>
        </w:rPr>
        <w:t xml:space="preserve"> como buena práctica contractual</w:t>
      </w:r>
      <w:r w:rsidR="00F7377F" w:rsidRPr="001F22AD">
        <w:rPr>
          <w:rFonts w:ascii="Arial" w:eastAsia="Calibri" w:hAnsi="Arial" w:cs="Arial"/>
          <w:color w:val="000000"/>
          <w:sz w:val="22"/>
          <w:lang w:val="es-ES"/>
        </w:rPr>
        <w:t>,</w:t>
      </w:r>
      <w:r w:rsidRPr="001F22AD">
        <w:rPr>
          <w:rFonts w:ascii="Arial" w:eastAsia="Calibri" w:hAnsi="Arial" w:cs="Arial"/>
          <w:color w:val="000000"/>
          <w:sz w:val="22"/>
          <w:lang w:val="es-ES"/>
        </w:rPr>
        <w:t xml:space="preserve"> dado que dicha normativa tiene como finalidad incentivar la reactivación económica y la participación dentro de los procesos de contratación pública, como respuesta a las afectaciones que ha producido la pandemia</w:t>
      </w:r>
      <w:r w:rsidR="00F7377F" w:rsidRPr="001F22AD">
        <w:rPr>
          <w:rFonts w:ascii="Arial" w:eastAsia="Calibri" w:hAnsi="Arial" w:cs="Arial"/>
          <w:color w:val="000000"/>
          <w:sz w:val="22"/>
          <w:lang w:val="es-ES"/>
        </w:rPr>
        <w:t xml:space="preserve">, puedan </w:t>
      </w:r>
      <w:r w:rsidR="00F7377F" w:rsidRPr="001F22AD">
        <w:rPr>
          <w:rFonts w:ascii="Arial" w:eastAsia="Calibri" w:hAnsi="Arial" w:cs="Arial"/>
          <w:i/>
          <w:iCs/>
          <w:color w:val="000000"/>
          <w:sz w:val="22"/>
          <w:lang w:val="es-ES"/>
        </w:rPr>
        <w:t>discrecionalmente</w:t>
      </w:r>
      <w:r w:rsidR="00F7377F" w:rsidRPr="001F22AD">
        <w:rPr>
          <w:rFonts w:ascii="Arial" w:eastAsia="Calibri" w:hAnsi="Arial" w:cs="Arial"/>
          <w:color w:val="000000"/>
          <w:sz w:val="22"/>
          <w:lang w:val="es-ES"/>
        </w:rPr>
        <w:t xml:space="preserve"> </w:t>
      </w:r>
      <w:r w:rsidR="00F7377F" w:rsidRPr="001F22AD">
        <w:rPr>
          <w:rFonts w:ascii="Arial" w:eastAsia="Calibri" w:hAnsi="Arial" w:cs="Arial"/>
          <w:color w:val="000000"/>
          <w:sz w:val="22"/>
          <w:lang w:val="es-ES"/>
        </w:rPr>
        <w:lastRenderedPageBreak/>
        <w:t>incluir una regulación similar en sus pliegos de condiciones, estableciendo las reglas para la acreditación de la capacidad financiera y organizacional.</w:t>
      </w:r>
    </w:p>
    <w:p w14:paraId="171E1D5A" w14:textId="77777777" w:rsidR="00C87422" w:rsidRPr="001F22AD" w:rsidRDefault="00C87422" w:rsidP="003E1EB9">
      <w:pPr>
        <w:spacing w:before="120" w:line="276" w:lineRule="auto"/>
        <w:ind w:firstLine="709"/>
        <w:jc w:val="both"/>
        <w:rPr>
          <w:rFonts w:ascii="Arial" w:eastAsia="Calibri" w:hAnsi="Arial" w:cs="Arial"/>
          <w:color w:val="000000"/>
          <w:sz w:val="22"/>
          <w:lang w:val="es-ES"/>
        </w:rPr>
      </w:pPr>
    </w:p>
    <w:bookmarkEnd w:id="2"/>
    <w:p w14:paraId="6AEC7528" w14:textId="4751D042" w:rsidR="00D36E83" w:rsidRPr="001F22AD" w:rsidRDefault="00D36E83" w:rsidP="00D36E83">
      <w:pPr>
        <w:tabs>
          <w:tab w:val="left" w:pos="0"/>
        </w:tabs>
        <w:jc w:val="both"/>
        <w:rPr>
          <w:rFonts w:ascii="Arial" w:eastAsia="Calibri" w:hAnsi="Arial" w:cs="Arial"/>
          <w:b/>
          <w:color w:val="000000"/>
          <w:sz w:val="22"/>
          <w:lang w:val="es-ES"/>
        </w:rPr>
      </w:pPr>
      <w:r w:rsidRPr="001F22AD">
        <w:rPr>
          <w:rFonts w:ascii="Arial" w:eastAsia="Calibri" w:hAnsi="Arial" w:cs="Arial"/>
          <w:b/>
          <w:color w:val="000000"/>
          <w:sz w:val="22"/>
          <w:lang w:val="es-ES"/>
        </w:rPr>
        <w:t>3. Respuesta</w:t>
      </w:r>
    </w:p>
    <w:p w14:paraId="0C57625D" w14:textId="77777777" w:rsidR="00D36E83" w:rsidRPr="001F22AD" w:rsidRDefault="00D36E83" w:rsidP="00D36E83">
      <w:pPr>
        <w:tabs>
          <w:tab w:val="left" w:pos="0"/>
        </w:tabs>
        <w:ind w:firstLine="709"/>
        <w:jc w:val="both"/>
        <w:rPr>
          <w:rFonts w:ascii="Arial" w:eastAsia="Calibri" w:hAnsi="Arial" w:cs="Arial"/>
          <w:b/>
          <w:color w:val="000000"/>
          <w:sz w:val="22"/>
          <w:lang w:val="es-ES"/>
        </w:rPr>
      </w:pPr>
    </w:p>
    <w:p w14:paraId="50C8FD65" w14:textId="79A47CF3" w:rsidR="00D01B09" w:rsidRPr="001F22AD" w:rsidRDefault="00D36E83" w:rsidP="00D01B09">
      <w:pPr>
        <w:ind w:left="709" w:right="709"/>
        <w:jc w:val="both"/>
        <w:rPr>
          <w:rFonts w:ascii="Arial" w:eastAsia="Calibri" w:hAnsi="Arial" w:cs="Arial"/>
          <w:color w:val="000000"/>
          <w:sz w:val="21"/>
          <w:szCs w:val="21"/>
          <w:lang w:val="es-ES"/>
        </w:rPr>
      </w:pPr>
      <w:r w:rsidRPr="001F22AD">
        <w:rPr>
          <w:rFonts w:ascii="Arial" w:eastAsia="Calibri" w:hAnsi="Arial" w:cs="Arial"/>
          <w:color w:val="000000"/>
          <w:sz w:val="21"/>
          <w:szCs w:val="21"/>
          <w:lang w:val="es-ES"/>
        </w:rPr>
        <w:t>«</w:t>
      </w:r>
      <w:r w:rsidR="00616E5B" w:rsidRPr="001F22AD">
        <w:rPr>
          <w:rFonts w:ascii="Arial" w:eastAsia="Calibri" w:hAnsi="Arial" w:cs="Arial"/>
          <w:color w:val="000000"/>
          <w:sz w:val="21"/>
          <w:szCs w:val="21"/>
          <w:lang w:val="es-ES"/>
        </w:rPr>
        <w:t xml:space="preserve">De conformidad con el Decreto 579 de 2021 se establecieron condiciones adicionales para garantizar la pluralidad de oferentes de los proponentes que </w:t>
      </w:r>
      <w:proofErr w:type="spellStart"/>
      <w:r w:rsidR="00616E5B" w:rsidRPr="001F22AD">
        <w:rPr>
          <w:rFonts w:ascii="Arial" w:eastAsia="Calibri" w:hAnsi="Arial" w:cs="Arial"/>
          <w:color w:val="000000"/>
          <w:sz w:val="21"/>
          <w:szCs w:val="21"/>
          <w:lang w:val="es-ES"/>
        </w:rPr>
        <w:t>estan</w:t>
      </w:r>
      <w:proofErr w:type="spellEnd"/>
      <w:r w:rsidR="00616E5B" w:rsidRPr="001F22AD">
        <w:rPr>
          <w:rFonts w:ascii="Arial" w:eastAsia="Calibri" w:hAnsi="Arial" w:cs="Arial"/>
          <w:color w:val="000000"/>
          <w:sz w:val="21"/>
          <w:szCs w:val="21"/>
          <w:lang w:val="es-ES"/>
        </w:rPr>
        <w:t xml:space="preserve"> inscritos en el RUP, al permitirles presentar los estados financieros de los </w:t>
      </w:r>
      <w:proofErr w:type="spellStart"/>
      <w:r w:rsidR="00616E5B" w:rsidRPr="001F22AD">
        <w:rPr>
          <w:rFonts w:ascii="Arial" w:eastAsia="Calibri" w:hAnsi="Arial" w:cs="Arial"/>
          <w:color w:val="000000"/>
          <w:sz w:val="21"/>
          <w:szCs w:val="21"/>
          <w:lang w:val="es-ES"/>
        </w:rPr>
        <w:t>ultimos</w:t>
      </w:r>
      <w:proofErr w:type="spellEnd"/>
      <w:r w:rsidR="00616E5B" w:rsidRPr="001F22AD">
        <w:rPr>
          <w:rFonts w:ascii="Arial" w:eastAsia="Calibri" w:hAnsi="Arial" w:cs="Arial"/>
          <w:color w:val="000000"/>
          <w:sz w:val="21"/>
          <w:szCs w:val="21"/>
          <w:lang w:val="es-ES"/>
        </w:rPr>
        <w:t xml:space="preserve"> 3 años, de los cuales la Entidad Publica deberá tomar el mejor de estos. Conforme a lo anterior se solicita concepto, con el fin de determinar si esta condición aplica para los proponentes que </w:t>
      </w:r>
      <w:proofErr w:type="gramStart"/>
      <w:r w:rsidR="00616E5B" w:rsidRPr="001F22AD">
        <w:rPr>
          <w:rFonts w:ascii="Arial" w:eastAsia="Calibri" w:hAnsi="Arial" w:cs="Arial"/>
          <w:color w:val="000000"/>
          <w:sz w:val="21"/>
          <w:szCs w:val="21"/>
          <w:lang w:val="es-ES"/>
        </w:rPr>
        <w:t>de acuerdo al</w:t>
      </w:r>
      <w:proofErr w:type="gramEnd"/>
      <w:r w:rsidR="00616E5B" w:rsidRPr="001F22AD">
        <w:rPr>
          <w:rFonts w:ascii="Arial" w:eastAsia="Calibri" w:hAnsi="Arial" w:cs="Arial"/>
          <w:color w:val="000000"/>
          <w:sz w:val="21"/>
          <w:szCs w:val="21"/>
          <w:lang w:val="es-ES"/>
        </w:rPr>
        <w:t xml:space="preserve"> inciso 2 del articulo 6 de la ley 1150 de 2007, que no tienen la obligación de presentar RUP, respecto de los procesos de PRESTACION DE SERVICIOS DE SALUD a quienes únicamente se les requiere presentar estados financieros a corte 31 de diciembre del año inmediatamente anterior»</w:t>
      </w:r>
    </w:p>
    <w:p w14:paraId="1AFE14CE" w14:textId="77777777" w:rsidR="00D01B09" w:rsidRPr="001F22AD" w:rsidRDefault="00D01B09" w:rsidP="004A1CB6">
      <w:pPr>
        <w:spacing w:line="276" w:lineRule="auto"/>
        <w:jc w:val="both"/>
        <w:rPr>
          <w:rFonts w:ascii="Arial" w:eastAsia="Calibri" w:hAnsi="Arial" w:cs="Arial"/>
          <w:color w:val="000000"/>
          <w:sz w:val="22"/>
          <w:lang w:val="es-ES"/>
        </w:rPr>
      </w:pPr>
    </w:p>
    <w:p w14:paraId="3140A149" w14:textId="612D5CB9" w:rsidR="00D653E5" w:rsidRPr="001F22AD" w:rsidRDefault="005602F8" w:rsidP="005602F8">
      <w:pPr>
        <w:spacing w:before="120" w:line="276" w:lineRule="auto"/>
        <w:jc w:val="both"/>
        <w:rPr>
          <w:rFonts w:ascii="Arial" w:eastAsia="Calibri" w:hAnsi="Arial" w:cs="Arial"/>
          <w:color w:val="000000"/>
          <w:sz w:val="22"/>
          <w:lang w:val="es-ES"/>
        </w:rPr>
      </w:pPr>
      <w:r w:rsidRPr="001F22AD">
        <w:rPr>
          <w:rFonts w:ascii="Arial" w:eastAsia="Calibri" w:hAnsi="Arial" w:cs="Arial"/>
          <w:color w:val="000000"/>
          <w:sz w:val="22"/>
          <w:lang w:val="es-ES"/>
        </w:rPr>
        <w:t>Tal como se explicó en las consideraciones, d</w:t>
      </w:r>
      <w:r w:rsidR="006A7C9A" w:rsidRPr="001F22AD">
        <w:rPr>
          <w:rFonts w:ascii="Arial" w:eastAsia="Calibri" w:hAnsi="Arial" w:cs="Arial"/>
          <w:color w:val="000000"/>
          <w:sz w:val="22"/>
          <w:lang w:val="es-ES"/>
        </w:rPr>
        <w:t xml:space="preserve">e acuerdo con </w:t>
      </w:r>
      <w:r w:rsidR="00DF292D" w:rsidRPr="001F22AD">
        <w:rPr>
          <w:rFonts w:ascii="Arial" w:eastAsia="Calibri" w:hAnsi="Arial" w:cs="Arial"/>
          <w:color w:val="000000"/>
          <w:sz w:val="22"/>
          <w:lang w:val="es-ES"/>
        </w:rPr>
        <w:t>lo</w:t>
      </w:r>
      <w:r w:rsidR="006A7C9A" w:rsidRPr="001F22AD">
        <w:rPr>
          <w:rFonts w:ascii="Arial" w:eastAsia="Calibri" w:hAnsi="Arial" w:cs="Arial"/>
          <w:color w:val="000000"/>
          <w:sz w:val="22"/>
          <w:lang w:val="es-ES"/>
        </w:rPr>
        <w:t xml:space="preserve"> establecido en el </w:t>
      </w:r>
      <w:r w:rsidR="00F236A1" w:rsidRPr="001F22AD">
        <w:rPr>
          <w:rFonts w:ascii="Arial" w:eastAsia="Calibri" w:hAnsi="Arial" w:cs="Arial"/>
          <w:color w:val="000000"/>
          <w:sz w:val="22"/>
          <w:lang w:val="es-ES"/>
        </w:rPr>
        <w:t>segundo</w:t>
      </w:r>
      <w:r w:rsidR="006A7C9A" w:rsidRPr="001F22AD">
        <w:rPr>
          <w:rFonts w:ascii="Arial" w:eastAsia="Calibri" w:hAnsi="Arial" w:cs="Arial"/>
          <w:color w:val="000000"/>
          <w:sz w:val="22"/>
          <w:lang w:val="es-ES"/>
        </w:rPr>
        <w:t xml:space="preserve"> inciso del artículo 6 de la Ley 1150 de 2007, los procesos que se adelanten para contratar la prestación de servicios de salud están exceptuados de </w:t>
      </w:r>
      <w:r w:rsidRPr="001F22AD">
        <w:rPr>
          <w:rFonts w:ascii="Arial" w:eastAsia="Calibri" w:hAnsi="Arial" w:cs="Arial"/>
          <w:color w:val="000000"/>
          <w:sz w:val="22"/>
          <w:lang w:val="es-ES"/>
        </w:rPr>
        <w:t>exigir</w:t>
      </w:r>
      <w:r w:rsidR="006A7C9A" w:rsidRPr="001F22AD">
        <w:rPr>
          <w:rFonts w:ascii="Arial" w:eastAsia="Calibri" w:hAnsi="Arial" w:cs="Arial"/>
          <w:color w:val="000000"/>
          <w:sz w:val="22"/>
          <w:lang w:val="es-ES"/>
        </w:rPr>
        <w:t xml:space="preserve"> el RUP. </w:t>
      </w:r>
      <w:r w:rsidR="001412D6" w:rsidRPr="001F22AD">
        <w:rPr>
          <w:rFonts w:ascii="Arial" w:eastAsia="Calibri" w:hAnsi="Arial" w:cs="Arial"/>
          <w:color w:val="000000"/>
          <w:sz w:val="22"/>
          <w:lang w:val="es-ES"/>
        </w:rPr>
        <w:t>Ahora bien</w:t>
      </w:r>
      <w:r w:rsidRPr="001F22AD">
        <w:rPr>
          <w:rFonts w:ascii="Arial" w:eastAsia="Calibri" w:hAnsi="Arial" w:cs="Arial"/>
          <w:color w:val="000000"/>
          <w:sz w:val="22"/>
          <w:lang w:val="es-ES"/>
        </w:rPr>
        <w:t xml:space="preserve">, dicha excepcionalidad no impide que las entidades estatales al determinar los requisitos habilitantes del proceso, y concretamente los de capacidad financiera y organizacional, así como la forma en que se efectuará su evaluación, puedan acoger </w:t>
      </w:r>
      <w:r w:rsidRPr="001F22AD">
        <w:rPr>
          <w:rFonts w:ascii="Arial" w:eastAsia="Calibri" w:hAnsi="Arial" w:cs="Arial"/>
          <w:i/>
          <w:iCs/>
          <w:color w:val="000000"/>
          <w:sz w:val="22"/>
          <w:lang w:val="es-ES"/>
        </w:rPr>
        <w:t>facultativamente</w:t>
      </w:r>
      <w:r w:rsidRPr="001F22AD">
        <w:rPr>
          <w:rFonts w:ascii="Arial" w:eastAsia="Calibri" w:hAnsi="Arial" w:cs="Arial"/>
          <w:color w:val="000000"/>
          <w:sz w:val="22"/>
          <w:lang w:val="es-ES"/>
        </w:rPr>
        <w:t xml:space="preserve"> una regulación similar a la establecida en los Decretos 399 y 579 de 2021, para permitir que la capacidad financiera y organizaci</w:t>
      </w:r>
      <w:r w:rsidR="00BB6E32" w:rsidRPr="001F22AD">
        <w:rPr>
          <w:rFonts w:ascii="Arial" w:eastAsia="Calibri" w:hAnsi="Arial" w:cs="Arial"/>
          <w:color w:val="000000"/>
          <w:sz w:val="22"/>
          <w:lang w:val="es-ES"/>
        </w:rPr>
        <w:t>o</w:t>
      </w:r>
      <w:r w:rsidRPr="001F22AD">
        <w:rPr>
          <w:rFonts w:ascii="Arial" w:eastAsia="Calibri" w:hAnsi="Arial" w:cs="Arial"/>
          <w:color w:val="000000"/>
          <w:sz w:val="22"/>
          <w:lang w:val="es-ES"/>
        </w:rPr>
        <w:t>n</w:t>
      </w:r>
      <w:r w:rsidR="00BB6E32" w:rsidRPr="001F22AD">
        <w:rPr>
          <w:rFonts w:ascii="Arial" w:eastAsia="Calibri" w:hAnsi="Arial" w:cs="Arial"/>
          <w:color w:val="000000"/>
          <w:sz w:val="22"/>
          <w:lang w:val="es-ES"/>
        </w:rPr>
        <w:t>al</w:t>
      </w:r>
      <w:r w:rsidRPr="001F22AD">
        <w:rPr>
          <w:rFonts w:ascii="Arial" w:eastAsia="Calibri" w:hAnsi="Arial" w:cs="Arial"/>
          <w:color w:val="000000"/>
          <w:sz w:val="22"/>
          <w:lang w:val="es-ES"/>
        </w:rPr>
        <w:t xml:space="preserve"> se acredite con los mejores indicadores de los últimos 3 años, permitiendo que dicha capacidad se acredite con el mejor año fiscal de ellos. </w:t>
      </w:r>
    </w:p>
    <w:p w14:paraId="0BE7E04E" w14:textId="244B1501" w:rsidR="005602F8" w:rsidRPr="001F22AD" w:rsidRDefault="005602F8" w:rsidP="001F22AD">
      <w:pPr>
        <w:spacing w:before="120" w:line="276" w:lineRule="auto"/>
        <w:ind w:firstLine="708"/>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Sin embargo, es necesario precisar que, en ejercicio del deber de análisis que les concierne, las entidades estatales serán las responsables de definir si en estos procesos, donde no es exigible el RUP, realizarán la evaluación con la información de los estados financieros del último año o con la correspondiente a los mejores indicadores de los últimos tres (3) años fiscales, aspecto que deberá quedar consignado en los respectivos pliegos de condiciones. En tal sentido, la evaluación de la capacidad financiera y la capacidad organizacional en los procesos de selección abreviada para contratar la prestación de servicios de </w:t>
      </w:r>
      <w:proofErr w:type="gramStart"/>
      <w:r w:rsidRPr="001F22AD">
        <w:rPr>
          <w:rFonts w:ascii="Arial" w:eastAsia="Calibri" w:hAnsi="Arial" w:cs="Arial"/>
          <w:color w:val="000000"/>
          <w:sz w:val="22"/>
          <w:lang w:val="es-ES"/>
        </w:rPr>
        <w:t>salud,</w:t>
      </w:r>
      <w:proofErr w:type="gramEnd"/>
      <w:r w:rsidRPr="001F22AD">
        <w:rPr>
          <w:rFonts w:ascii="Arial" w:eastAsia="Calibri" w:hAnsi="Arial" w:cs="Arial"/>
          <w:color w:val="000000"/>
          <w:sz w:val="22"/>
          <w:lang w:val="es-ES"/>
        </w:rPr>
        <w:t xml:space="preserve"> se realizará en los términos establecidos en los pliegos de condiciones, pues la</w:t>
      </w:r>
      <w:r w:rsidR="00427CCE" w:rsidRPr="001F22AD">
        <w:rPr>
          <w:rFonts w:ascii="Arial" w:eastAsia="Calibri" w:hAnsi="Arial" w:cs="Arial"/>
          <w:color w:val="000000"/>
          <w:sz w:val="22"/>
          <w:lang w:val="es-ES"/>
        </w:rPr>
        <w:t>s</w:t>
      </w:r>
      <w:r w:rsidRPr="001F22AD">
        <w:rPr>
          <w:rFonts w:ascii="Arial" w:eastAsia="Calibri" w:hAnsi="Arial" w:cs="Arial"/>
          <w:color w:val="000000"/>
          <w:sz w:val="22"/>
          <w:lang w:val="es-ES"/>
        </w:rPr>
        <w:t xml:space="preserve"> entidades estatales c</w:t>
      </w:r>
      <w:r w:rsidR="008A7E0C" w:rsidRPr="001F22AD">
        <w:rPr>
          <w:rFonts w:ascii="Arial" w:eastAsia="Calibri" w:hAnsi="Arial" w:cs="Arial"/>
          <w:color w:val="000000"/>
          <w:sz w:val="22"/>
          <w:lang w:val="es-ES"/>
        </w:rPr>
        <w:t>uentan</w:t>
      </w:r>
      <w:r w:rsidRPr="001F22AD">
        <w:rPr>
          <w:rFonts w:ascii="Arial" w:eastAsia="Calibri" w:hAnsi="Arial" w:cs="Arial"/>
          <w:color w:val="000000"/>
          <w:sz w:val="22"/>
          <w:lang w:val="es-ES"/>
        </w:rPr>
        <w:t xml:space="preserve"> con discrecionalidad para regular este aspecto, de acuerdo con lo explicado. </w:t>
      </w:r>
    </w:p>
    <w:p w14:paraId="5994BE7E" w14:textId="0A559E00" w:rsidR="005602F8" w:rsidRPr="001F22AD" w:rsidRDefault="005602F8" w:rsidP="005602F8">
      <w:pPr>
        <w:spacing w:before="120" w:line="276" w:lineRule="auto"/>
        <w:ind w:firstLine="709"/>
        <w:jc w:val="both"/>
        <w:rPr>
          <w:rFonts w:ascii="Arial" w:eastAsia="Calibri" w:hAnsi="Arial" w:cs="Arial"/>
          <w:color w:val="000000"/>
          <w:sz w:val="22"/>
          <w:lang w:val="es-ES"/>
        </w:rPr>
      </w:pPr>
      <w:r w:rsidRPr="001F22AD">
        <w:rPr>
          <w:rFonts w:ascii="Arial" w:eastAsia="Calibri" w:hAnsi="Arial" w:cs="Arial"/>
          <w:color w:val="000000"/>
          <w:sz w:val="22"/>
          <w:lang w:val="es-ES"/>
        </w:rPr>
        <w:t xml:space="preserve">En efecto, al no ser obligatorio el RUP en estos procesos no aplica directamente la regulación establecida en los Decreto 399 y 579 que, como se explicó, quedó atada al Registro Único de Proponentes. Lo anterior, sin perjuicio de que, como buena práctica contractual, dado que dicha normativa tiene como finalidad incentivar la reactivación económica y la participación dentro de los procesos de contratación pública, como </w:t>
      </w:r>
      <w:r w:rsidRPr="001F22AD">
        <w:rPr>
          <w:rFonts w:ascii="Arial" w:eastAsia="Calibri" w:hAnsi="Arial" w:cs="Arial"/>
          <w:color w:val="000000"/>
          <w:sz w:val="22"/>
          <w:lang w:val="es-ES"/>
        </w:rPr>
        <w:lastRenderedPageBreak/>
        <w:t xml:space="preserve">respuesta a las afectaciones que ha producido la pandemia, puedan </w:t>
      </w:r>
      <w:r w:rsidRPr="001F22AD">
        <w:rPr>
          <w:rFonts w:ascii="Arial" w:eastAsia="Calibri" w:hAnsi="Arial" w:cs="Arial"/>
          <w:i/>
          <w:iCs/>
          <w:color w:val="000000"/>
          <w:sz w:val="22"/>
          <w:lang w:val="es-ES"/>
        </w:rPr>
        <w:t>discrecionalmente</w:t>
      </w:r>
      <w:r w:rsidRPr="001F22AD">
        <w:rPr>
          <w:rFonts w:ascii="Arial" w:eastAsia="Calibri" w:hAnsi="Arial" w:cs="Arial"/>
          <w:color w:val="000000"/>
          <w:sz w:val="22"/>
          <w:lang w:val="es-ES"/>
        </w:rPr>
        <w:t xml:space="preserve"> incluir una regulación similar en sus pliegos de condiciones, estableciendo las reglas para la acreditación de la capacidad financiera y organizacional.</w:t>
      </w:r>
    </w:p>
    <w:p w14:paraId="1A77D226" w14:textId="3A5CBD6B" w:rsidR="00141006" w:rsidRPr="001F22AD" w:rsidRDefault="00141006" w:rsidP="00D36E83">
      <w:pPr>
        <w:spacing w:line="276" w:lineRule="auto"/>
        <w:jc w:val="both"/>
        <w:rPr>
          <w:rFonts w:ascii="Arial" w:eastAsia="Calibri" w:hAnsi="Arial" w:cs="Arial"/>
          <w:color w:val="000000"/>
          <w:sz w:val="22"/>
          <w:lang w:val="es-ES"/>
        </w:rPr>
      </w:pPr>
    </w:p>
    <w:p w14:paraId="2F1BC756" w14:textId="77777777" w:rsidR="00934658" w:rsidRPr="001F22AD" w:rsidRDefault="00934658" w:rsidP="00914F01">
      <w:pPr>
        <w:jc w:val="both"/>
        <w:rPr>
          <w:rFonts w:ascii="Arial" w:eastAsia="Calibri" w:hAnsi="Arial" w:cs="Arial"/>
          <w:color w:val="000000"/>
          <w:sz w:val="22"/>
          <w:lang w:val="es-ES"/>
        </w:rPr>
      </w:pPr>
    </w:p>
    <w:p w14:paraId="2E0485E9" w14:textId="051E2944" w:rsidR="00D36E83" w:rsidRPr="001F22AD" w:rsidRDefault="00D36E83" w:rsidP="00D36E83">
      <w:pPr>
        <w:spacing w:line="276" w:lineRule="auto"/>
        <w:jc w:val="both"/>
        <w:rPr>
          <w:rFonts w:ascii="Arial" w:eastAsia="Calibri" w:hAnsi="Arial" w:cs="Arial"/>
          <w:color w:val="000000"/>
          <w:sz w:val="22"/>
          <w:lang w:val="es-ES"/>
        </w:rPr>
      </w:pPr>
      <w:r w:rsidRPr="001F22AD">
        <w:rPr>
          <w:rFonts w:ascii="Arial" w:hAnsi="Arial" w:cs="Arial"/>
          <w:color w:val="000000"/>
          <w:sz w:val="22"/>
          <w:lang w:val="es-ES"/>
        </w:rPr>
        <w:t>Este concepto tiene el alcance previsto en el artículo 28 del Código de Procedimiento Administrativo y de lo Contencioso Administrativo.</w:t>
      </w:r>
    </w:p>
    <w:p w14:paraId="7E91FEC7" w14:textId="77777777" w:rsidR="00D36E83" w:rsidRPr="001F22AD" w:rsidRDefault="00D36E83" w:rsidP="00D36E83">
      <w:pPr>
        <w:spacing w:line="276" w:lineRule="auto"/>
        <w:ind w:firstLine="709"/>
        <w:jc w:val="both"/>
        <w:rPr>
          <w:rFonts w:ascii="Arial" w:hAnsi="Arial" w:cs="Arial"/>
          <w:color w:val="000000"/>
          <w:sz w:val="22"/>
          <w:lang w:val="es-ES" w:eastAsia="es-CO"/>
        </w:rPr>
      </w:pPr>
    </w:p>
    <w:p w14:paraId="41E80EE8" w14:textId="7CF7EE3E" w:rsidR="00D36E83" w:rsidRPr="001F22AD" w:rsidRDefault="00D36E83" w:rsidP="00BB4AE6">
      <w:pPr>
        <w:spacing w:line="276" w:lineRule="auto"/>
        <w:jc w:val="both"/>
        <w:rPr>
          <w:rFonts w:ascii="Arial" w:hAnsi="Arial" w:cs="Arial"/>
          <w:color w:val="000000"/>
          <w:sz w:val="22"/>
          <w:lang w:val="es-ES" w:eastAsia="es-CO"/>
        </w:rPr>
      </w:pPr>
      <w:r w:rsidRPr="001F22AD">
        <w:rPr>
          <w:rFonts w:ascii="Arial" w:hAnsi="Arial" w:cs="Arial"/>
          <w:color w:val="000000"/>
          <w:sz w:val="22"/>
          <w:lang w:val="es-ES" w:eastAsia="es-CO"/>
        </w:rPr>
        <w:t>Atentamente,</w:t>
      </w:r>
    </w:p>
    <w:p w14:paraId="4E7BC0A6" w14:textId="7C9A9185" w:rsidR="000523B1" w:rsidRPr="001F22AD" w:rsidRDefault="000523B1" w:rsidP="00BB4AE6">
      <w:pPr>
        <w:spacing w:line="276" w:lineRule="auto"/>
        <w:jc w:val="both"/>
        <w:rPr>
          <w:rFonts w:ascii="Arial" w:hAnsi="Arial" w:cs="Arial"/>
          <w:color w:val="000000"/>
          <w:sz w:val="22"/>
          <w:lang w:val="es-ES" w:eastAsia="es-CO"/>
        </w:rPr>
      </w:pPr>
    </w:p>
    <w:p w14:paraId="30C468F3" w14:textId="3A8095BB" w:rsidR="00131510" w:rsidRPr="001F22AD" w:rsidRDefault="00561075" w:rsidP="00561075">
      <w:pPr>
        <w:pStyle w:val="NormalWeb"/>
        <w:spacing w:before="0" w:beforeAutospacing="0" w:after="0" w:afterAutospacing="0" w:line="276" w:lineRule="auto"/>
        <w:jc w:val="center"/>
        <w:rPr>
          <w:color w:val="000000" w:themeColor="text1"/>
          <w:lang w:val="es-ES_tradnl"/>
        </w:rPr>
      </w:pPr>
      <w:r>
        <w:rPr>
          <w:noProof/>
          <w:color w:val="000000" w:themeColor="text1"/>
          <w:lang w:val="es-ES_tradnl"/>
        </w:rPr>
        <w:drawing>
          <wp:inline distT="0" distB="0" distL="0" distR="0" wp14:anchorId="2ACB77AB" wp14:editId="0EE8E213">
            <wp:extent cx="2514600" cy="1112520"/>
            <wp:effectExtent l="0" t="0" r="0" b="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r>
        <w:rPr>
          <w:rFonts w:ascii="Arial" w:hAnsi="Arial" w:cs="Arial"/>
          <w:color w:val="000000"/>
          <w:sz w:val="18"/>
          <w:szCs w:val="18"/>
          <w:shd w:val="clear" w:color="auto" w:fill="FFFFFF"/>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31510" w:rsidRPr="001F22AD" w14:paraId="3910D63B" w14:textId="77777777" w:rsidTr="002A1EB7">
        <w:trPr>
          <w:trHeight w:val="315"/>
        </w:trPr>
        <w:tc>
          <w:tcPr>
            <w:tcW w:w="812" w:type="dxa"/>
            <w:vAlign w:val="center"/>
            <w:hideMark/>
          </w:tcPr>
          <w:p w14:paraId="2ACB3D96"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20671F1"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Sebastián Ramírez Grisales</w:t>
            </w:r>
          </w:p>
          <w:p w14:paraId="5C4E0B35"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 xml:space="preserve">Contratista de la Subdirección de Gestión Contractual  </w:t>
            </w:r>
          </w:p>
        </w:tc>
      </w:tr>
      <w:tr w:rsidR="00131510" w:rsidRPr="001F22AD" w14:paraId="39213E12" w14:textId="77777777" w:rsidTr="002A1EB7">
        <w:trPr>
          <w:trHeight w:val="330"/>
        </w:trPr>
        <w:tc>
          <w:tcPr>
            <w:tcW w:w="812" w:type="dxa"/>
            <w:vAlign w:val="center"/>
            <w:hideMark/>
          </w:tcPr>
          <w:p w14:paraId="55F77770"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ADF402"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Jorge Augusto Tirado Navarro</w:t>
            </w:r>
          </w:p>
          <w:p w14:paraId="5976AEEA"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Subdirector de Gestión Contractual ANCP – CCE</w:t>
            </w:r>
          </w:p>
        </w:tc>
      </w:tr>
      <w:tr w:rsidR="00131510" w:rsidRPr="00494269" w14:paraId="113F88C5" w14:textId="77777777" w:rsidTr="002A1EB7">
        <w:trPr>
          <w:trHeight w:val="300"/>
        </w:trPr>
        <w:tc>
          <w:tcPr>
            <w:tcW w:w="812" w:type="dxa"/>
            <w:vAlign w:val="center"/>
            <w:hideMark/>
          </w:tcPr>
          <w:p w14:paraId="4B570411"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3DD9C" w14:textId="77777777" w:rsidR="00131510" w:rsidRPr="001F22AD"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Jorge Augusto Tirado Navarro</w:t>
            </w:r>
          </w:p>
          <w:p w14:paraId="1A9996EC" w14:textId="77777777" w:rsidR="00131510" w:rsidRPr="00494269" w:rsidRDefault="00131510" w:rsidP="002A1EB7">
            <w:pPr>
              <w:jc w:val="both"/>
              <w:rPr>
                <w:rFonts w:ascii="Arial" w:hAnsi="Arial" w:cs="Arial"/>
                <w:color w:val="000000" w:themeColor="text1"/>
                <w:sz w:val="16"/>
                <w:szCs w:val="16"/>
                <w:lang w:eastAsia="es-ES"/>
              </w:rPr>
            </w:pPr>
            <w:r w:rsidRPr="001F22AD">
              <w:rPr>
                <w:rFonts w:ascii="Arial" w:hAnsi="Arial" w:cs="Arial"/>
                <w:color w:val="000000" w:themeColor="text1"/>
                <w:sz w:val="16"/>
                <w:szCs w:val="16"/>
                <w:lang w:eastAsia="es-ES"/>
              </w:rPr>
              <w:t>Subdirector de Gestión Contractual ANCP – CCE</w:t>
            </w:r>
          </w:p>
        </w:tc>
      </w:tr>
    </w:tbl>
    <w:p w14:paraId="085A31AB" w14:textId="77777777" w:rsidR="006C5955" w:rsidRPr="00131510" w:rsidRDefault="006C5955" w:rsidP="00D36E83"/>
    <w:p w14:paraId="5BC7432D" w14:textId="77777777" w:rsidR="00D01B09" w:rsidRPr="009D6E1F" w:rsidRDefault="00D01B09">
      <w:pPr>
        <w:rPr>
          <w:lang w:val="es-ES"/>
        </w:rPr>
      </w:pPr>
    </w:p>
    <w:sectPr w:rsidR="00D01B09" w:rsidRPr="009D6E1F" w:rsidSect="0043588C">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0A59" w14:textId="77777777" w:rsidR="008F637F" w:rsidRDefault="008F637F" w:rsidP="008C487C">
      <w:r>
        <w:separator/>
      </w:r>
    </w:p>
  </w:endnote>
  <w:endnote w:type="continuationSeparator" w:id="0">
    <w:p w14:paraId="566893CA" w14:textId="77777777" w:rsidR="008F637F" w:rsidRDefault="008F637F"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C11BCD" w:rsidRDefault="00C11BCD" w:rsidP="0043588C">
    <w:pPr>
      <w:pStyle w:val="Sinespaciado"/>
      <w:jc w:val="right"/>
      <w:rPr>
        <w:rFonts w:ascii="Arial" w:hAnsi="Arial" w:cs="Arial"/>
        <w:sz w:val="18"/>
        <w:szCs w:val="18"/>
      </w:rPr>
    </w:pPr>
  </w:p>
  <w:p w14:paraId="709352A1" w14:textId="77777777" w:rsidR="00C11BCD" w:rsidRDefault="00C11BCD" w:rsidP="0043588C">
    <w:pPr>
      <w:pStyle w:val="Sinespaciado"/>
      <w:jc w:val="right"/>
      <w:rPr>
        <w:rFonts w:ascii="Arial" w:hAnsi="Arial" w:cs="Arial"/>
        <w:sz w:val="18"/>
        <w:szCs w:val="18"/>
      </w:rPr>
    </w:pPr>
  </w:p>
  <w:p w14:paraId="3D3EB348" w14:textId="39D1E702" w:rsidR="00C11BCD" w:rsidRPr="00D36E83" w:rsidRDefault="00C11BCD" w:rsidP="0043588C">
    <w:pPr>
      <w:pStyle w:val="Piedepgina"/>
      <w:jc w:val="right"/>
      <w:rPr>
        <w:rFonts w:ascii="Arial" w:hAnsi="Arial" w:cs="Arial"/>
        <w:color w:val="7F7F7F"/>
        <w:sz w:val="16"/>
        <w:szCs w:val="16"/>
      </w:rPr>
    </w:pPr>
    <w:r w:rsidRPr="00D36E83">
      <w:rPr>
        <w:rFonts w:ascii="Arial" w:hAnsi="Arial" w:cs="Arial"/>
        <w:bCs/>
        <w:color w:val="7F7F7F"/>
        <w:sz w:val="16"/>
        <w:szCs w:val="16"/>
      </w:rPr>
      <w:t xml:space="preserve">Página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PAGE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3</w:t>
    </w:r>
    <w:r w:rsidRPr="00D36E83">
      <w:rPr>
        <w:rFonts w:ascii="Arial" w:hAnsi="Arial" w:cs="Arial"/>
        <w:b/>
        <w:bCs/>
        <w:color w:val="7F7F7F"/>
        <w:sz w:val="16"/>
        <w:szCs w:val="16"/>
      </w:rPr>
      <w:fldChar w:fldCharType="end"/>
    </w:r>
    <w:r w:rsidRPr="00D36E83">
      <w:rPr>
        <w:rFonts w:ascii="Arial" w:hAnsi="Arial" w:cs="Arial"/>
        <w:color w:val="7F7F7F"/>
        <w:sz w:val="16"/>
        <w:szCs w:val="16"/>
      </w:rPr>
      <w:t xml:space="preserve"> de </w:t>
    </w:r>
    <w:r w:rsidRPr="00D36E83">
      <w:rPr>
        <w:rFonts w:ascii="Arial" w:hAnsi="Arial" w:cs="Arial"/>
        <w:b/>
        <w:bCs/>
        <w:color w:val="7F7F7F"/>
        <w:sz w:val="16"/>
        <w:szCs w:val="16"/>
      </w:rPr>
      <w:fldChar w:fldCharType="begin"/>
    </w:r>
    <w:r w:rsidRPr="00D36E83">
      <w:rPr>
        <w:rFonts w:ascii="Arial" w:hAnsi="Arial" w:cs="Arial"/>
        <w:b/>
        <w:bCs/>
        <w:color w:val="7F7F7F"/>
        <w:sz w:val="16"/>
        <w:szCs w:val="16"/>
      </w:rPr>
      <w:instrText>NUMPAGES  \* Arabic  \* MERGEFORMAT</w:instrText>
    </w:r>
    <w:r w:rsidRPr="00D36E83">
      <w:rPr>
        <w:rFonts w:ascii="Arial" w:hAnsi="Arial" w:cs="Arial"/>
        <w:b/>
        <w:bCs/>
        <w:color w:val="7F7F7F"/>
        <w:sz w:val="16"/>
        <w:szCs w:val="16"/>
      </w:rPr>
      <w:fldChar w:fldCharType="separate"/>
    </w:r>
    <w:r w:rsidR="00137DDF" w:rsidRPr="00D36E83">
      <w:rPr>
        <w:rFonts w:ascii="Arial" w:hAnsi="Arial" w:cs="Arial"/>
        <w:b/>
        <w:bCs/>
        <w:noProof/>
        <w:color w:val="7F7F7F"/>
        <w:sz w:val="16"/>
        <w:szCs w:val="16"/>
      </w:rPr>
      <w:t>12</w:t>
    </w:r>
    <w:r w:rsidRPr="00D36E83">
      <w:rPr>
        <w:rFonts w:ascii="Arial" w:hAnsi="Arial" w:cs="Arial"/>
        <w:b/>
        <w:bCs/>
        <w:color w:val="7F7F7F"/>
        <w:sz w:val="16"/>
        <w:szCs w:val="16"/>
      </w:rPr>
      <w:fldChar w:fldCharType="end"/>
    </w:r>
  </w:p>
  <w:p w14:paraId="29709EEF" w14:textId="77777777" w:rsidR="00C11BCD" w:rsidRDefault="00C11BCD"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C11BCD" w:rsidRPr="00E756AC" w:rsidRDefault="00C11BCD" w:rsidP="0043588C">
    <w:pPr>
      <w:pStyle w:val="Piedepgina"/>
      <w:jc w:val="center"/>
      <w:rPr>
        <w:sz w:val="18"/>
        <w:szCs w:val="18"/>
        <w:lang w:val="es-ES"/>
      </w:rPr>
    </w:pPr>
  </w:p>
  <w:p w14:paraId="428179B1" w14:textId="77777777" w:rsidR="00C11BCD" w:rsidRPr="00E756AC" w:rsidRDefault="00C11BCD"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D89B" w14:textId="77777777" w:rsidR="008F637F" w:rsidRDefault="008F637F" w:rsidP="008C487C">
      <w:r>
        <w:separator/>
      </w:r>
    </w:p>
  </w:footnote>
  <w:footnote w:type="continuationSeparator" w:id="0">
    <w:p w14:paraId="28B20867" w14:textId="77777777" w:rsidR="008F637F" w:rsidRDefault="008F637F" w:rsidP="008C487C">
      <w:r>
        <w:continuationSeparator/>
      </w:r>
    </w:p>
  </w:footnote>
  <w:footnote w:id="1">
    <w:p w14:paraId="165A5E2A" w14:textId="77777777" w:rsidR="00D079C7" w:rsidRPr="001C72E7" w:rsidRDefault="00D079C7" w:rsidP="00934658">
      <w:pPr>
        <w:pStyle w:val="Textonotapie"/>
        <w:ind w:firstLine="709"/>
        <w:jc w:val="both"/>
        <w:rPr>
          <w:rFonts w:ascii="Arial" w:hAnsi="Arial" w:cs="Arial"/>
          <w:color w:val="000000" w:themeColor="text1"/>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Estos conceptos se encuentran publicados en la relatoría de la entidad. </w:t>
      </w:r>
      <w:hyperlink r:id="rId1" w:history="1">
        <w:r w:rsidRPr="001C72E7">
          <w:rPr>
            <w:rStyle w:val="Hipervnculo"/>
            <w:rFonts w:ascii="Arial" w:hAnsi="Arial" w:cs="Arial"/>
            <w:color w:val="000000" w:themeColor="text1"/>
            <w:sz w:val="19"/>
            <w:szCs w:val="19"/>
          </w:rPr>
          <w:t>https://relatoria.colombiacompra.gov.co/busqueda/conceptos</w:t>
        </w:r>
      </w:hyperlink>
    </w:p>
    <w:p w14:paraId="23DB3AD7" w14:textId="77777777" w:rsidR="00D079C7" w:rsidRPr="001C72E7" w:rsidRDefault="00D079C7" w:rsidP="00934658">
      <w:pPr>
        <w:pStyle w:val="Textonotapie"/>
        <w:jc w:val="both"/>
        <w:rPr>
          <w:rFonts w:ascii="Arial" w:hAnsi="Arial" w:cs="Arial"/>
          <w:sz w:val="19"/>
          <w:szCs w:val="19"/>
          <w:lang w:val="es-ES"/>
        </w:rPr>
      </w:pPr>
    </w:p>
  </w:footnote>
  <w:footnote w:id="2">
    <w:p w14:paraId="7889598E" w14:textId="77777777" w:rsidR="00D36E83" w:rsidRPr="001C72E7" w:rsidRDefault="00D36E83" w:rsidP="00934658">
      <w:pPr>
        <w:pStyle w:val="Textonotapie"/>
        <w:ind w:firstLine="709"/>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w:t>
      </w:r>
      <w:proofErr w:type="gramStart"/>
      <w:r w:rsidRPr="001C72E7">
        <w:rPr>
          <w:rFonts w:ascii="Arial" w:hAnsi="Arial" w:cs="Arial"/>
          <w:sz w:val="19"/>
          <w:szCs w:val="19"/>
        </w:rPr>
        <w:t>equivalentes,</w:t>
      </w:r>
      <w:proofErr w:type="gramEnd"/>
      <w:r w:rsidRPr="001C72E7">
        <w:rPr>
          <w:rFonts w:ascii="Arial" w:hAnsi="Arial" w:cs="Arial"/>
          <w:sz w:val="19"/>
          <w:szCs w:val="19"/>
        </w:rPr>
        <w:t xml:space="preserve"> tendrán en cuenta los siguientes criterios:</w:t>
      </w:r>
    </w:p>
    <w:p w14:paraId="483DA0E9" w14:textId="77777777" w:rsidR="00D36E83" w:rsidRPr="001C72E7" w:rsidRDefault="00D36E83" w:rsidP="00934658">
      <w:pPr>
        <w:pStyle w:val="Textonotapie"/>
        <w:ind w:firstLine="709"/>
        <w:jc w:val="both"/>
        <w:rPr>
          <w:rFonts w:ascii="Arial" w:hAnsi="Arial" w:cs="Arial"/>
          <w:sz w:val="19"/>
          <w:szCs w:val="19"/>
        </w:rPr>
      </w:pPr>
      <w:r w:rsidRPr="001C72E7">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F52DC17" w14:textId="77777777" w:rsidR="00D36E83" w:rsidRPr="001C72E7" w:rsidRDefault="00D36E83" w:rsidP="00934658">
      <w:pPr>
        <w:pStyle w:val="Textonotapie"/>
        <w:ind w:firstLine="709"/>
        <w:jc w:val="both"/>
        <w:rPr>
          <w:rFonts w:ascii="Arial" w:hAnsi="Arial" w:cs="Arial"/>
          <w:sz w:val="19"/>
          <w:szCs w:val="19"/>
        </w:rPr>
      </w:pPr>
      <w:r w:rsidRPr="001C72E7">
        <w:rPr>
          <w:rFonts w:ascii="Arial" w:hAnsi="Arial" w:cs="Arial"/>
          <w:sz w:val="19"/>
          <w:szCs w:val="19"/>
        </w:rPr>
        <w:t>»[...]».</w:t>
      </w:r>
    </w:p>
    <w:p w14:paraId="28D24934" w14:textId="77777777" w:rsidR="00D36E83" w:rsidRPr="001C72E7" w:rsidRDefault="00D36E83" w:rsidP="00934658">
      <w:pPr>
        <w:pStyle w:val="Textonotapie"/>
        <w:jc w:val="both"/>
        <w:rPr>
          <w:rFonts w:ascii="Arial" w:hAnsi="Arial" w:cs="Arial"/>
          <w:sz w:val="19"/>
          <w:szCs w:val="19"/>
          <w:lang w:val="es-ES"/>
        </w:rPr>
      </w:pPr>
    </w:p>
  </w:footnote>
  <w:footnote w:id="3">
    <w:p w14:paraId="264F2AA1" w14:textId="77777777" w:rsidR="00D36E83" w:rsidRPr="001C72E7" w:rsidRDefault="00D36E83" w:rsidP="00934658">
      <w:pPr>
        <w:pStyle w:val="Textonotapie"/>
        <w:ind w:firstLine="709"/>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46233B0E" w14:textId="77777777" w:rsidR="00D36E83" w:rsidRPr="001C72E7" w:rsidRDefault="00D36E83" w:rsidP="00934658">
      <w:pPr>
        <w:pStyle w:val="Textonotapie"/>
        <w:jc w:val="both"/>
        <w:rPr>
          <w:rFonts w:ascii="Arial" w:hAnsi="Arial" w:cs="Arial"/>
          <w:sz w:val="19"/>
          <w:szCs w:val="19"/>
          <w:lang w:val="es-ES"/>
        </w:rPr>
      </w:pPr>
    </w:p>
  </w:footnote>
  <w:footnote w:id="4">
    <w:p w14:paraId="509D5663" w14:textId="77777777" w:rsidR="00D36E83" w:rsidRPr="001C72E7" w:rsidRDefault="00D36E83" w:rsidP="00934658">
      <w:pPr>
        <w:pStyle w:val="Textonotapie"/>
        <w:ind w:firstLine="709"/>
        <w:jc w:val="both"/>
        <w:rPr>
          <w:rFonts w:ascii="Arial" w:hAnsi="Arial" w:cs="Arial"/>
          <w:sz w:val="19"/>
          <w:szCs w:val="19"/>
          <w:lang w:val="es-ES"/>
        </w:rPr>
      </w:pPr>
      <w:r w:rsidRPr="001C72E7">
        <w:rPr>
          <w:rStyle w:val="Refdenotaalpie"/>
          <w:rFonts w:ascii="Arial" w:hAnsi="Arial" w:cs="Arial"/>
          <w:sz w:val="19"/>
          <w:szCs w:val="19"/>
        </w:rPr>
        <w:footnoteRef/>
      </w:r>
      <w:r w:rsidRPr="001C72E7">
        <w:rPr>
          <w:rFonts w:ascii="Arial" w:hAnsi="Arial" w:cs="Arial"/>
          <w:sz w:val="19"/>
          <w:szCs w:val="19"/>
        </w:rPr>
        <w:t xml:space="preserve"> </w:t>
      </w:r>
      <w:r w:rsidRPr="001C72E7">
        <w:rPr>
          <w:rFonts w:ascii="Arial" w:hAnsi="Arial" w:cs="Arial"/>
          <w:sz w:val="19"/>
          <w:szCs w:val="19"/>
          <w:lang w:val="es-ES"/>
        </w:rPr>
        <w:t>Disponible en:</w:t>
      </w:r>
    </w:p>
    <w:p w14:paraId="3F07E6B0" w14:textId="77777777" w:rsidR="00D36E83" w:rsidRPr="001C72E7" w:rsidRDefault="00D36E83" w:rsidP="00934658">
      <w:pPr>
        <w:pStyle w:val="Textonotapie"/>
        <w:ind w:firstLine="709"/>
        <w:jc w:val="both"/>
        <w:rPr>
          <w:rFonts w:ascii="Arial" w:hAnsi="Arial" w:cs="Arial"/>
          <w:sz w:val="19"/>
          <w:szCs w:val="19"/>
          <w:lang w:val="es-ES"/>
        </w:rPr>
      </w:pPr>
      <w:r w:rsidRPr="001C72E7">
        <w:rPr>
          <w:rFonts w:ascii="Arial" w:hAnsi="Arial" w:cs="Arial"/>
          <w:sz w:val="19"/>
          <w:szCs w:val="19"/>
          <w:lang w:val="es-ES"/>
        </w:rPr>
        <w:t>https://www.colombiacompra.gov.co/sites/cce_public/files/cce_documents/cce_manual_requisitos_habilitantes.pdf</w:t>
      </w:r>
    </w:p>
  </w:footnote>
  <w:footnote w:id="5">
    <w:p w14:paraId="2D29B5CC" w14:textId="77777777" w:rsidR="00D36E83" w:rsidRPr="001C72E7" w:rsidRDefault="00D36E83" w:rsidP="00934658">
      <w:pPr>
        <w:pStyle w:val="Textonotapie"/>
        <w:ind w:firstLine="709"/>
        <w:jc w:val="both"/>
        <w:rPr>
          <w:rFonts w:ascii="Arial" w:hAnsi="Arial" w:cs="Arial"/>
          <w:sz w:val="19"/>
          <w:szCs w:val="19"/>
          <w:lang w:val="es-ES"/>
        </w:rPr>
      </w:pPr>
    </w:p>
    <w:p w14:paraId="34300E01" w14:textId="77777777" w:rsidR="00D36E83" w:rsidRPr="001C72E7" w:rsidRDefault="00D36E83" w:rsidP="00934658">
      <w:pPr>
        <w:pStyle w:val="Textonotapie"/>
        <w:ind w:firstLine="709"/>
        <w:jc w:val="both"/>
        <w:rPr>
          <w:rFonts w:ascii="Arial" w:hAnsi="Arial" w:cs="Arial"/>
          <w:sz w:val="19"/>
          <w:szCs w:val="19"/>
          <w:lang w:val="es-ES"/>
        </w:rPr>
      </w:pPr>
      <w:r w:rsidRPr="001C72E7">
        <w:rPr>
          <w:rStyle w:val="Refdenotaalpie"/>
          <w:rFonts w:ascii="Arial" w:hAnsi="Arial" w:cs="Arial"/>
          <w:sz w:val="19"/>
          <w:szCs w:val="19"/>
        </w:rPr>
        <w:footnoteRef/>
      </w:r>
      <w:r w:rsidRPr="001C72E7">
        <w:rPr>
          <w:rFonts w:ascii="Arial" w:hAnsi="Arial" w:cs="Arial"/>
          <w:sz w:val="19"/>
          <w:szCs w:val="19"/>
        </w:rPr>
        <w:t xml:space="preserve"> </w:t>
      </w:r>
      <w:r w:rsidRPr="001C72E7">
        <w:rPr>
          <w:rFonts w:ascii="Arial" w:hAnsi="Arial" w:cs="Arial"/>
          <w:sz w:val="19"/>
          <w:szCs w:val="19"/>
          <w:lang w:val="es-ES"/>
        </w:rPr>
        <w:t>Ibíd.</w:t>
      </w:r>
    </w:p>
  </w:footnote>
  <w:footnote w:id="6">
    <w:p w14:paraId="32960D5D" w14:textId="77777777" w:rsidR="00D36E83" w:rsidRPr="001C72E7" w:rsidRDefault="00D36E83" w:rsidP="00934658">
      <w:pPr>
        <w:pStyle w:val="Textonotapie"/>
        <w:jc w:val="both"/>
        <w:rPr>
          <w:rFonts w:ascii="Arial" w:hAnsi="Arial" w:cs="Arial"/>
          <w:sz w:val="19"/>
          <w:szCs w:val="19"/>
        </w:rPr>
      </w:pPr>
    </w:p>
    <w:p w14:paraId="418B69D3" w14:textId="635D6A99" w:rsidR="00D36E83" w:rsidRPr="001C72E7" w:rsidRDefault="00D36E83" w:rsidP="00934658">
      <w:pPr>
        <w:pStyle w:val="Textonotapie"/>
        <w:ind w:firstLine="709"/>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w:t>
      </w:r>
      <w:r w:rsidR="00A61A58" w:rsidRPr="001C72E7">
        <w:rPr>
          <w:rFonts w:ascii="Arial" w:hAnsi="Arial" w:cs="Arial"/>
          <w:sz w:val="19"/>
          <w:szCs w:val="19"/>
        </w:rPr>
        <w:t>El Manual señala que</w:t>
      </w:r>
      <w:r w:rsidRPr="001C72E7">
        <w:rPr>
          <w:rFonts w:ascii="Arial" w:hAnsi="Arial" w:cs="Arial"/>
          <w:sz w:val="19"/>
          <w:szCs w:val="19"/>
        </w:rPr>
        <w:t>: «[...] En atención a la naturaleza del contrato a suscribir y de su valor, plazo y forma de pago, la Entidad Estatal debe hacer uso de los indicadores que considere adecuados respecto al objeto del Proceso de Contratación.</w:t>
      </w:r>
    </w:p>
    <w:p w14:paraId="1C67909B" w14:textId="77777777" w:rsidR="00D36E83" w:rsidRPr="001C72E7" w:rsidRDefault="00D36E83" w:rsidP="00934658">
      <w:pPr>
        <w:pStyle w:val="Textonotapie"/>
        <w:ind w:firstLine="708"/>
        <w:jc w:val="both"/>
        <w:rPr>
          <w:rFonts w:ascii="Arial" w:hAnsi="Arial" w:cs="Arial"/>
          <w:sz w:val="19"/>
          <w:szCs w:val="19"/>
        </w:rPr>
      </w:pPr>
      <w:r w:rsidRPr="001C72E7">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4C2352B0" w14:textId="77777777" w:rsidR="00D36E83" w:rsidRPr="001C72E7" w:rsidRDefault="00D36E83" w:rsidP="00934658">
      <w:pPr>
        <w:pStyle w:val="Textonotapie"/>
        <w:jc w:val="both"/>
        <w:rPr>
          <w:rFonts w:ascii="Arial" w:hAnsi="Arial" w:cs="Arial"/>
          <w:sz w:val="19"/>
          <w:szCs w:val="19"/>
        </w:rPr>
      </w:pPr>
    </w:p>
    <w:p w14:paraId="0228159D" w14:textId="77777777" w:rsidR="00D36E83" w:rsidRPr="001C72E7" w:rsidRDefault="00D36E83" w:rsidP="00934658">
      <w:pPr>
        <w:pStyle w:val="Textonotapie"/>
        <w:ind w:firstLine="709"/>
        <w:jc w:val="both"/>
        <w:rPr>
          <w:rFonts w:ascii="Arial" w:hAnsi="Arial" w:cs="Arial"/>
          <w:sz w:val="19"/>
          <w:szCs w:val="19"/>
          <w:lang w:val="es-ES"/>
        </w:rPr>
      </w:pPr>
      <w:r w:rsidRPr="001C72E7">
        <w:rPr>
          <w:rStyle w:val="Refdenotaalpie"/>
          <w:rFonts w:ascii="Arial" w:hAnsi="Arial" w:cs="Arial"/>
          <w:sz w:val="19"/>
          <w:szCs w:val="19"/>
        </w:rPr>
        <w:footnoteRef/>
      </w:r>
      <w:r w:rsidRPr="001C72E7">
        <w:rPr>
          <w:rFonts w:ascii="Arial" w:hAnsi="Arial" w:cs="Arial"/>
          <w:sz w:val="19"/>
          <w:szCs w:val="19"/>
        </w:rPr>
        <w:t xml:space="preserve"> Al respecto, el Manual indica: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56D1DC2F" w14:textId="77777777" w:rsidR="00D36E83" w:rsidRPr="001C72E7" w:rsidRDefault="00D36E83" w:rsidP="00934658">
      <w:pPr>
        <w:pStyle w:val="Textonotapie"/>
        <w:jc w:val="both"/>
        <w:rPr>
          <w:rFonts w:ascii="Arial" w:hAnsi="Arial" w:cs="Arial"/>
          <w:sz w:val="19"/>
          <w:szCs w:val="19"/>
        </w:rPr>
      </w:pPr>
    </w:p>
    <w:p w14:paraId="4BF8E11A" w14:textId="77777777" w:rsidR="00D36E83" w:rsidRPr="001C72E7" w:rsidRDefault="00D36E83" w:rsidP="00934658">
      <w:pPr>
        <w:pStyle w:val="Textonotapie"/>
        <w:ind w:firstLine="709"/>
        <w:jc w:val="both"/>
        <w:rPr>
          <w:rFonts w:ascii="Arial" w:hAnsi="Arial" w:cs="Arial"/>
          <w:sz w:val="19"/>
          <w:szCs w:val="19"/>
          <w:lang w:val="es-ES"/>
        </w:rPr>
      </w:pPr>
      <w:r w:rsidRPr="001C72E7">
        <w:rPr>
          <w:rStyle w:val="Refdenotaalpie"/>
          <w:rFonts w:ascii="Arial" w:hAnsi="Arial" w:cs="Arial"/>
          <w:sz w:val="19"/>
          <w:szCs w:val="19"/>
        </w:rPr>
        <w:footnoteRef/>
      </w:r>
      <w:r w:rsidRPr="001C72E7">
        <w:rPr>
          <w:rFonts w:ascii="Arial" w:hAnsi="Arial" w:cs="Arial"/>
          <w:sz w:val="19"/>
          <w:szCs w:val="19"/>
        </w:rPr>
        <w:t xml:space="preserve"> En efecto</w:t>
      </w:r>
      <w:r w:rsidRPr="001C72E7">
        <w:rPr>
          <w:rFonts w:ascii="Arial" w:hAnsi="Arial" w:cs="Arial"/>
          <w:sz w:val="19"/>
          <w:szCs w:val="19"/>
          <w:lang w:val="es-ES"/>
        </w:rPr>
        <w:t xml:space="preserve">, es importante mencionar desde este momento que mediante el Decreto 579 de 2021, expedido recientemente, el gobierno nacional anticipó estas medidas, sustituyendo algunos parágrafos transitorios que había agregado el Decreto 399 de 2021, como se explicará más adelante. Concretamente, el Decreto 579 de 2021 establece que en los procesos de selección cuyo acto administrativo de apertura o invitación se publique a partir del 1 de </w:t>
      </w:r>
      <w:r w:rsidRPr="001C72E7">
        <w:rPr>
          <w:rFonts w:ascii="Arial" w:hAnsi="Arial" w:cs="Arial"/>
          <w:i/>
          <w:iCs/>
          <w:sz w:val="19"/>
          <w:szCs w:val="19"/>
          <w:lang w:val="es-ES"/>
        </w:rPr>
        <w:t>julio</w:t>
      </w:r>
      <w:r w:rsidRPr="001C72E7">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25E06DC0" w14:textId="77777777" w:rsidR="00D36E83" w:rsidRPr="001C72E7" w:rsidRDefault="00D36E83" w:rsidP="00934658">
      <w:pPr>
        <w:pStyle w:val="Textonotapie"/>
        <w:ind w:firstLine="709"/>
        <w:jc w:val="both"/>
        <w:rPr>
          <w:rFonts w:ascii="Arial" w:hAnsi="Arial" w:cs="Arial"/>
          <w:sz w:val="19"/>
          <w:szCs w:val="19"/>
          <w:lang w:val="es-ES"/>
        </w:rPr>
      </w:pPr>
      <w:r w:rsidRPr="001C72E7">
        <w:rPr>
          <w:rStyle w:val="Refdenotaalpie"/>
          <w:rFonts w:ascii="Arial" w:hAnsi="Arial" w:cs="Arial"/>
          <w:sz w:val="19"/>
          <w:szCs w:val="19"/>
        </w:rPr>
        <w:footnoteRef/>
      </w:r>
      <w:r w:rsidRPr="001C72E7">
        <w:rPr>
          <w:rFonts w:ascii="Arial" w:hAnsi="Arial" w:cs="Arial"/>
          <w:sz w:val="19"/>
          <w:szCs w:val="19"/>
        </w:rPr>
        <w:t xml:space="preserve"> </w:t>
      </w:r>
      <w:r w:rsidRPr="001C72E7">
        <w:rPr>
          <w:rFonts w:ascii="Arial" w:hAnsi="Arial" w:cs="Arial"/>
          <w:sz w:val="19"/>
          <w:szCs w:val="19"/>
          <w:lang w:val="es-ES"/>
        </w:rPr>
        <w:t>«</w:t>
      </w:r>
      <w:proofErr w:type="gramStart"/>
      <w:r w:rsidRPr="001C72E7">
        <w:rPr>
          <w:rFonts w:ascii="Arial" w:hAnsi="Arial" w:cs="Arial"/>
          <w:sz w:val="19"/>
          <w:szCs w:val="19"/>
          <w:lang w:val="es-ES"/>
        </w:rPr>
        <w:t>Artículo  1</w:t>
      </w:r>
      <w:proofErr w:type="gramEnd"/>
      <w:r w:rsidRPr="001C72E7">
        <w:rPr>
          <w:rFonts w:ascii="Arial" w:hAnsi="Arial" w:cs="Arial"/>
          <w:sz w:val="19"/>
          <w:szCs w:val="19"/>
          <w:lang w:val="es-ES"/>
        </w:rPr>
        <w:t>. Sustitución de los parágrafos transitorios del artículo 2.2.1.1.1.5.2. del Decreto 1082 de 2015, Único Reglamentario del Sector Administrativo de Planeación Nacional. Sustitúyase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14:paraId="2DDF2748" w14:textId="77777777" w:rsidR="00D36E83" w:rsidRPr="001C72E7" w:rsidRDefault="00D36E83" w:rsidP="00934658">
      <w:pPr>
        <w:pStyle w:val="Textonotapie"/>
        <w:ind w:firstLine="709"/>
        <w:jc w:val="both"/>
        <w:rPr>
          <w:rFonts w:ascii="Arial" w:hAnsi="Arial" w:cs="Arial"/>
          <w:sz w:val="19"/>
          <w:szCs w:val="19"/>
          <w:lang w:val="es-ES"/>
        </w:rPr>
      </w:pPr>
      <w:r w:rsidRPr="001C72E7">
        <w:rPr>
          <w:rFonts w:ascii="Arial" w:hAnsi="Arial" w:cs="Arial"/>
          <w:sz w:val="19"/>
          <w:szCs w:val="19"/>
          <w:lang w:val="es-ES"/>
        </w:rPr>
        <w:t>»"PARÁGRAFO TRANSITORIO 1: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64F2C866" w14:textId="77777777" w:rsidR="00D36E83" w:rsidRPr="001C72E7" w:rsidRDefault="00D36E83" w:rsidP="00934658">
      <w:pPr>
        <w:pStyle w:val="Textonotapie"/>
        <w:ind w:firstLine="709"/>
        <w:jc w:val="both"/>
        <w:rPr>
          <w:rFonts w:ascii="Arial" w:hAnsi="Arial" w:cs="Arial"/>
          <w:sz w:val="19"/>
          <w:szCs w:val="19"/>
          <w:lang w:val="es-ES"/>
        </w:rPr>
      </w:pPr>
      <w:proofErr w:type="gramStart"/>
      <w:r w:rsidRPr="001C72E7">
        <w:rPr>
          <w:rFonts w:ascii="Arial" w:hAnsi="Arial" w:cs="Arial"/>
          <w:sz w:val="19"/>
          <w:szCs w:val="19"/>
          <w:lang w:val="es-ES"/>
        </w:rPr>
        <w:t>»En</w:t>
      </w:r>
      <w:proofErr w:type="gramEnd"/>
      <w:r w:rsidRPr="001C72E7">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50FEE9B0" w14:textId="77777777" w:rsidR="00D36E83" w:rsidRPr="001C72E7" w:rsidRDefault="00D36E83" w:rsidP="00934658">
      <w:pPr>
        <w:pStyle w:val="Textonotapie"/>
        <w:ind w:firstLine="709"/>
        <w:jc w:val="both"/>
        <w:rPr>
          <w:rFonts w:ascii="Arial" w:hAnsi="Arial" w:cs="Arial"/>
          <w:sz w:val="19"/>
          <w:szCs w:val="19"/>
          <w:lang w:val="es-ES"/>
        </w:rPr>
      </w:pPr>
      <w:proofErr w:type="gramStart"/>
      <w:r w:rsidRPr="001C72E7">
        <w:rPr>
          <w:rFonts w:ascii="Arial" w:hAnsi="Arial" w:cs="Arial"/>
          <w:sz w:val="19"/>
          <w:szCs w:val="19"/>
          <w:lang w:val="es-ES"/>
        </w:rPr>
        <w:t>»El</w:t>
      </w:r>
      <w:proofErr w:type="gramEnd"/>
      <w:r w:rsidRPr="001C72E7">
        <w:rPr>
          <w:rFonts w:ascii="Arial" w:hAnsi="Arial" w:cs="Arial"/>
          <w:sz w:val="19"/>
          <w:szCs w:val="19"/>
          <w:lang w:val="es-ES"/>
        </w:rPr>
        <w:t xml:space="preserve"> proponente con inscripción activa y vigente que no tenga la información de la capacidad financiera y organizacional delos años 2018 y/o 2019 inscrita en el Registro Único de Proponentes, durante el mes de junio de 2021, podrá reportar por única vez, mediante una solicitud de actualización, únicamente la información contable correspondiente a estos años, sin costo alguno.</w:t>
      </w:r>
    </w:p>
    <w:p w14:paraId="5E57EFB5" w14:textId="77777777" w:rsidR="00D36E83" w:rsidRPr="001C72E7" w:rsidRDefault="00D36E83" w:rsidP="00934658">
      <w:pPr>
        <w:pStyle w:val="Textonotapie"/>
        <w:ind w:firstLine="709"/>
        <w:jc w:val="both"/>
        <w:rPr>
          <w:rFonts w:ascii="Arial" w:hAnsi="Arial" w:cs="Arial"/>
          <w:sz w:val="19"/>
          <w:szCs w:val="19"/>
          <w:lang w:val="es-ES"/>
        </w:rPr>
      </w:pPr>
      <w:proofErr w:type="gramStart"/>
      <w:r w:rsidRPr="001C72E7">
        <w:rPr>
          <w:rFonts w:ascii="Arial" w:hAnsi="Arial" w:cs="Arial"/>
          <w:sz w:val="19"/>
          <w:szCs w:val="19"/>
          <w:lang w:val="es-ES"/>
        </w:rPr>
        <w:t>»El</w:t>
      </w:r>
      <w:proofErr w:type="gramEnd"/>
      <w:r w:rsidRPr="001C72E7">
        <w:rPr>
          <w:rFonts w:ascii="Arial" w:hAnsi="Arial" w:cs="Arial"/>
          <w:sz w:val="19"/>
          <w:szCs w:val="19"/>
          <w:lang w:val="es-ES"/>
        </w:rPr>
        <w:t xml:space="preserve">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6E93ECBC" w14:textId="77777777" w:rsidR="00D36E83" w:rsidRPr="001C72E7" w:rsidRDefault="00D36E83" w:rsidP="00934658">
      <w:pPr>
        <w:pStyle w:val="Textonotapie"/>
        <w:ind w:firstLine="709"/>
        <w:jc w:val="both"/>
        <w:rPr>
          <w:rFonts w:ascii="Arial" w:hAnsi="Arial" w:cs="Arial"/>
          <w:sz w:val="19"/>
          <w:szCs w:val="19"/>
          <w:lang w:val="es-ES"/>
        </w:rPr>
      </w:pPr>
      <w:proofErr w:type="gramStart"/>
      <w:r w:rsidRPr="001C72E7">
        <w:rPr>
          <w:rFonts w:ascii="Arial" w:hAnsi="Arial" w:cs="Arial"/>
          <w:sz w:val="19"/>
          <w:szCs w:val="19"/>
          <w:lang w:val="es-ES"/>
        </w:rPr>
        <w:t>»PARÁGRAFO</w:t>
      </w:r>
      <w:proofErr w:type="gramEnd"/>
      <w:r w:rsidRPr="001C72E7">
        <w:rPr>
          <w:rFonts w:ascii="Arial" w:hAnsi="Arial" w:cs="Arial"/>
          <w:sz w:val="19"/>
          <w:szCs w:val="19"/>
          <w:lang w:val="es-ES"/>
        </w:rPr>
        <w:t xml:space="preserve">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3BEDDD69" w14:textId="77777777" w:rsidR="00D36E83" w:rsidRPr="001C72E7" w:rsidRDefault="00D36E83" w:rsidP="00934658">
      <w:pPr>
        <w:pStyle w:val="Textonotapie"/>
        <w:ind w:firstLine="709"/>
        <w:jc w:val="both"/>
        <w:rPr>
          <w:rFonts w:ascii="Arial" w:hAnsi="Arial" w:cs="Arial"/>
          <w:sz w:val="19"/>
          <w:szCs w:val="19"/>
          <w:lang w:val="es-ES"/>
        </w:rPr>
      </w:pPr>
      <w:proofErr w:type="gramStart"/>
      <w:r w:rsidRPr="001C72E7">
        <w:rPr>
          <w:rFonts w:ascii="Arial" w:hAnsi="Arial" w:cs="Arial"/>
          <w:sz w:val="19"/>
          <w:szCs w:val="19"/>
          <w:lang w:val="es-ES"/>
        </w:rPr>
        <w:t>»En</w:t>
      </w:r>
      <w:proofErr w:type="gramEnd"/>
      <w:r w:rsidRPr="001C72E7">
        <w:rPr>
          <w:rFonts w:ascii="Arial" w:hAnsi="Arial" w:cs="Arial"/>
          <w:sz w:val="19"/>
          <w:szCs w:val="19"/>
          <w:lang w:val="es-ES"/>
        </w:rPr>
        <w:t xml:space="preserve"> aquellos eventos en que el proponente no tenga la antigüedad suficiente para aportar la información financiera correspondiente a los tres (3) años descritos en el inciso anterior, podrá acreditar dicha información desde su primer cierre fiscal.</w:t>
      </w:r>
    </w:p>
    <w:p w14:paraId="2F53DB63" w14:textId="77777777" w:rsidR="00D36E83" w:rsidRPr="001C72E7" w:rsidRDefault="00D36E83" w:rsidP="00934658">
      <w:pPr>
        <w:pStyle w:val="Textonotapie"/>
        <w:ind w:firstLine="709"/>
        <w:jc w:val="both"/>
        <w:rPr>
          <w:rFonts w:ascii="Arial" w:hAnsi="Arial" w:cs="Arial"/>
          <w:sz w:val="19"/>
          <w:szCs w:val="19"/>
          <w:lang w:val="es-CO"/>
        </w:rPr>
      </w:pPr>
      <w:proofErr w:type="gramStart"/>
      <w:r w:rsidRPr="001C72E7">
        <w:rPr>
          <w:rFonts w:ascii="Arial" w:hAnsi="Arial" w:cs="Arial"/>
          <w:sz w:val="19"/>
          <w:szCs w:val="19"/>
          <w:lang w:val="es-ES"/>
        </w:rPr>
        <w:t>»El</w:t>
      </w:r>
      <w:proofErr w:type="gramEnd"/>
      <w:r w:rsidRPr="001C72E7">
        <w:rPr>
          <w:rFonts w:ascii="Arial" w:hAnsi="Arial" w:cs="Arial"/>
          <w:sz w:val="19"/>
          <w:szCs w:val="19"/>
          <w:lang w:val="es-ES"/>
        </w:rPr>
        <w:t xml:space="preserve">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3F14416D" w14:textId="77777777" w:rsidR="00D36E83" w:rsidRPr="001C72E7" w:rsidRDefault="00D36E83" w:rsidP="00934658">
      <w:pPr>
        <w:pStyle w:val="Textonotapie"/>
        <w:ind w:firstLine="708"/>
        <w:jc w:val="both"/>
        <w:rPr>
          <w:rFonts w:ascii="Arial" w:hAnsi="Arial" w:cs="Arial"/>
          <w:sz w:val="19"/>
          <w:szCs w:val="19"/>
          <w:lang w:val="es-ES"/>
        </w:rPr>
      </w:pPr>
      <w:r w:rsidRPr="001C72E7">
        <w:rPr>
          <w:rStyle w:val="Refdenotaalpie"/>
          <w:rFonts w:ascii="Arial" w:hAnsi="Arial" w:cs="Arial"/>
          <w:sz w:val="19"/>
          <w:szCs w:val="19"/>
        </w:rPr>
        <w:footnoteRef/>
      </w:r>
      <w:r w:rsidRPr="001C72E7">
        <w:rPr>
          <w:rFonts w:ascii="Arial" w:hAnsi="Arial" w:cs="Arial"/>
          <w:sz w:val="19"/>
          <w:szCs w:val="19"/>
        </w:rPr>
        <w:t xml:space="preserve"> </w:t>
      </w:r>
      <w:r w:rsidRPr="001C72E7">
        <w:rPr>
          <w:rFonts w:ascii="Arial" w:hAnsi="Arial" w:cs="Arial"/>
          <w:sz w:val="19"/>
          <w:szCs w:val="19"/>
          <w:lang w:val="es-ES"/>
        </w:rPr>
        <w:t xml:space="preserve">Debe recordarse que el artículo 2.2.1.1.1.6.2. del Decreto 1082 de 2015 prevé lo siguiente: </w:t>
      </w:r>
      <w:proofErr w:type="gramStart"/>
      <w:r w:rsidRPr="001C72E7">
        <w:rPr>
          <w:rFonts w:ascii="Arial" w:hAnsi="Arial" w:cs="Arial"/>
          <w:sz w:val="19"/>
          <w:szCs w:val="19"/>
          <w:lang w:val="es-ES"/>
        </w:rPr>
        <w:t>«</w:t>
      </w:r>
      <w:r w:rsidRPr="001C72E7">
        <w:rPr>
          <w:rFonts w:ascii="Arial" w:hAnsi="Arial" w:cs="Arial"/>
          <w:sz w:val="19"/>
          <w:szCs w:val="19"/>
        </w:rPr>
        <w:t xml:space="preserve"> </w:t>
      </w:r>
      <w:r w:rsidRPr="001C72E7">
        <w:rPr>
          <w:rFonts w:ascii="Arial" w:hAnsi="Arial" w:cs="Arial"/>
          <w:sz w:val="19"/>
          <w:szCs w:val="19"/>
          <w:lang w:val="es-ES"/>
        </w:rPr>
        <w:t>La</w:t>
      </w:r>
      <w:proofErr w:type="gramEnd"/>
      <w:r w:rsidRPr="001C72E7">
        <w:rPr>
          <w:rFonts w:ascii="Arial" w:hAnsi="Arial" w:cs="Arial"/>
          <w:sz w:val="19"/>
          <w:szCs w:val="19"/>
          <w:lang w:val="es-ES"/>
        </w:rPr>
        <w:t xml:space="preserve">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624803C6" w14:textId="77777777" w:rsidR="00B61CB3" w:rsidRPr="001C72E7" w:rsidRDefault="00B61CB3" w:rsidP="00934658">
      <w:pPr>
        <w:pStyle w:val="Textonotapie"/>
        <w:ind w:firstLine="708"/>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DÁVILA VINUEZA, Guillermo. Régimen jurídico de la contratación estatal. Bogotá: Legis. p. 472.</w:t>
      </w:r>
    </w:p>
    <w:p w14:paraId="7FC5AC93" w14:textId="77777777" w:rsidR="00B61CB3" w:rsidRPr="001C72E7" w:rsidRDefault="00B61CB3" w:rsidP="00934658">
      <w:pPr>
        <w:pStyle w:val="Textonotapie"/>
        <w:ind w:firstLine="708"/>
        <w:jc w:val="both"/>
        <w:rPr>
          <w:rFonts w:ascii="Arial" w:hAnsi="Arial" w:cs="Arial"/>
          <w:sz w:val="19"/>
          <w:szCs w:val="19"/>
          <w:lang w:val="es-ES"/>
        </w:rPr>
      </w:pPr>
    </w:p>
  </w:footnote>
  <w:footnote w:id="12">
    <w:p w14:paraId="5D7A87F3" w14:textId="77777777" w:rsidR="00B61CB3" w:rsidRPr="001C72E7" w:rsidRDefault="00B61CB3" w:rsidP="00934658">
      <w:pPr>
        <w:ind w:firstLine="708"/>
        <w:jc w:val="both"/>
        <w:rPr>
          <w:rStyle w:val="Textoennegrita"/>
          <w:rFonts w:ascii="Arial" w:hAnsi="Arial" w:cs="Arial"/>
          <w:sz w:val="19"/>
          <w:szCs w:val="19"/>
          <w:shd w:val="clear" w:color="auto" w:fill="FFFFFF"/>
        </w:rPr>
      </w:pPr>
      <w:r w:rsidRPr="001C72E7">
        <w:rPr>
          <w:rStyle w:val="Refdenotaalpie"/>
          <w:rFonts w:ascii="Arial" w:hAnsi="Arial" w:cs="Arial"/>
          <w:sz w:val="19"/>
          <w:szCs w:val="19"/>
        </w:rPr>
        <w:footnoteRef/>
      </w:r>
      <w:r w:rsidRPr="001C72E7">
        <w:rPr>
          <w:rFonts w:ascii="Arial" w:hAnsi="Arial" w:cs="Arial"/>
          <w:sz w:val="19"/>
          <w:szCs w:val="19"/>
        </w:rPr>
        <w:t xml:space="preserve"> </w:t>
      </w:r>
      <w:r w:rsidRPr="001C72E7">
        <w:rPr>
          <w:rStyle w:val="Textoennegrita"/>
          <w:rFonts w:ascii="Arial" w:hAnsi="Arial" w:cs="Arial"/>
          <w:b w:val="0"/>
          <w:bCs w:val="0"/>
          <w:sz w:val="19"/>
          <w:szCs w:val="19"/>
          <w:shd w:val="clear" w:color="auto" w:fill="FFFFFF"/>
        </w:rPr>
        <w:t>Artículo 2.2.1.2.1.2.21</w:t>
      </w:r>
      <w:r w:rsidRPr="001C72E7">
        <w:rPr>
          <w:rFonts w:ascii="Arial" w:hAnsi="Arial" w:cs="Arial"/>
          <w:b/>
          <w:bCs/>
          <w:sz w:val="19"/>
          <w:szCs w:val="19"/>
          <w:shd w:val="clear" w:color="auto" w:fill="FFFFFF"/>
        </w:rPr>
        <w:t>.</w:t>
      </w:r>
      <w:r w:rsidRPr="001C72E7">
        <w:rPr>
          <w:rStyle w:val="Textoennegrita"/>
          <w:rFonts w:ascii="Arial" w:hAnsi="Arial" w:cs="Arial"/>
          <w:sz w:val="19"/>
          <w:szCs w:val="19"/>
          <w:shd w:val="clear" w:color="auto" w:fill="FFFFFF"/>
        </w:rPr>
        <w:t> </w:t>
      </w:r>
      <w:r w:rsidRPr="001C72E7">
        <w:rPr>
          <w:rStyle w:val="nfasis"/>
          <w:rFonts w:ascii="Arial" w:hAnsi="Arial" w:cs="Arial"/>
          <w:bCs/>
          <w:sz w:val="19"/>
          <w:szCs w:val="19"/>
          <w:shd w:val="clear" w:color="auto" w:fill="FFFFFF"/>
        </w:rPr>
        <w:t>Contratos de prestación de servicios de salud.</w:t>
      </w:r>
      <w:r w:rsidRPr="001C72E7">
        <w:rPr>
          <w:rStyle w:val="nfasis"/>
          <w:rFonts w:ascii="Arial" w:hAnsi="Arial" w:cs="Arial"/>
          <w:sz w:val="19"/>
          <w:szCs w:val="19"/>
          <w:shd w:val="clear" w:color="auto" w:fill="FFFFFF"/>
        </w:rPr>
        <w:t> </w:t>
      </w:r>
      <w:r w:rsidRPr="001C72E7">
        <w:rPr>
          <w:rFonts w:ascii="Arial" w:hAnsi="Arial" w:cs="Arial"/>
          <w:sz w:val="19"/>
          <w:szCs w:val="19"/>
          <w:shd w:val="clear" w:color="auto" w:fill="FFFFFF"/>
        </w:rPr>
        <w:t>La Entidad Estatal que requiera la prestación de servicios de salud debe utilizar el procedimiento de selección abreviada de menor cuantía. Las personas naturales o jurídicas que presten estos servicios deben estar inscritas en el registro que para el efecto lleve el Ministerio de Salud y Protección Social o quien haga sus veces.</w:t>
      </w:r>
    </w:p>
    <w:p w14:paraId="40BE5B8E" w14:textId="77777777" w:rsidR="00B61CB3" w:rsidRPr="001C72E7" w:rsidRDefault="00B61CB3" w:rsidP="00934658">
      <w:pPr>
        <w:pStyle w:val="Textonotapie"/>
        <w:jc w:val="both"/>
        <w:rPr>
          <w:rFonts w:ascii="Arial" w:hAnsi="Arial" w:cs="Arial"/>
          <w:sz w:val="19"/>
          <w:szCs w:val="19"/>
          <w:lang w:val="es-CO"/>
        </w:rPr>
      </w:pPr>
    </w:p>
  </w:footnote>
  <w:footnote w:id="13">
    <w:p w14:paraId="68BEF155" w14:textId="77777777" w:rsidR="0044653D" w:rsidRPr="001C72E7" w:rsidRDefault="003A4A92" w:rsidP="00934658">
      <w:pPr>
        <w:pStyle w:val="Textonotapie"/>
        <w:ind w:firstLine="708"/>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Para mayor profundidad respecto a este aspecto, se puede consultar el concepto C-</w:t>
      </w:r>
      <w:r w:rsidR="0044653D" w:rsidRPr="001C72E7">
        <w:rPr>
          <w:rFonts w:ascii="Arial" w:hAnsi="Arial" w:cs="Arial"/>
          <w:sz w:val="19"/>
          <w:szCs w:val="19"/>
        </w:rPr>
        <w:t xml:space="preserve">683 del 19 de enero de 2022 de esta Agencia, disponible en: </w:t>
      </w:r>
      <w:hyperlink r:id="rId2" w:history="1">
        <w:r w:rsidR="0044653D" w:rsidRPr="001C72E7">
          <w:rPr>
            <w:rStyle w:val="Hipervnculo"/>
            <w:rFonts w:ascii="Arial" w:hAnsi="Arial" w:cs="Arial"/>
            <w:sz w:val="19"/>
            <w:szCs w:val="19"/>
          </w:rPr>
          <w:t>https://relatoria.colombiacompra.gov.co/ficha/C-683%20de%202021</w:t>
        </w:r>
      </w:hyperlink>
      <w:r w:rsidR="0044653D" w:rsidRPr="001C72E7">
        <w:rPr>
          <w:rFonts w:ascii="Arial" w:hAnsi="Arial" w:cs="Arial"/>
          <w:sz w:val="19"/>
          <w:szCs w:val="19"/>
        </w:rPr>
        <w:t>.</w:t>
      </w:r>
    </w:p>
    <w:p w14:paraId="37E60FDF" w14:textId="4749794A" w:rsidR="003A4A92" w:rsidRPr="001C72E7" w:rsidRDefault="0044653D" w:rsidP="00934658">
      <w:pPr>
        <w:pStyle w:val="Textonotapie"/>
        <w:ind w:firstLine="708"/>
        <w:jc w:val="both"/>
        <w:rPr>
          <w:rFonts w:ascii="Arial" w:hAnsi="Arial" w:cs="Arial"/>
          <w:sz w:val="19"/>
          <w:szCs w:val="19"/>
          <w:lang w:val="es-MX"/>
        </w:rPr>
      </w:pPr>
      <w:r w:rsidRPr="001C72E7">
        <w:rPr>
          <w:rFonts w:ascii="Arial" w:hAnsi="Arial" w:cs="Arial"/>
          <w:sz w:val="19"/>
          <w:szCs w:val="19"/>
        </w:rPr>
        <w:t xml:space="preserve"> </w:t>
      </w:r>
    </w:p>
  </w:footnote>
  <w:footnote w:id="14">
    <w:p w14:paraId="35F43F26" w14:textId="2FBACD0E" w:rsidR="0044653D" w:rsidRPr="001C72E7" w:rsidRDefault="003A4A92" w:rsidP="00934658">
      <w:pPr>
        <w:pStyle w:val="Textonotapie"/>
        <w:ind w:firstLine="708"/>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w:t>
      </w:r>
      <w:r w:rsidR="0044653D" w:rsidRPr="001C72E7">
        <w:rPr>
          <w:rFonts w:ascii="Arial" w:hAnsi="Arial" w:cs="Arial"/>
          <w:sz w:val="19"/>
          <w:szCs w:val="19"/>
        </w:rPr>
        <w:t>Artículo 6. De la verificación de las condiciones de los proponentes. [Artículo modificado por el artículo 221 del Decreto 19 de 2012]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1649D2" w14:textId="05CAAA36" w:rsidR="003A4A92" w:rsidRPr="001C72E7" w:rsidRDefault="0044653D" w:rsidP="00934658">
      <w:pPr>
        <w:pStyle w:val="Textonotapie"/>
        <w:ind w:firstLine="708"/>
        <w:jc w:val="both"/>
        <w:rPr>
          <w:rFonts w:ascii="Arial" w:hAnsi="Arial" w:cs="Arial"/>
          <w:sz w:val="19"/>
          <w:szCs w:val="19"/>
        </w:rPr>
      </w:pPr>
      <w:r w:rsidRPr="001C72E7">
        <w:rPr>
          <w:rFonts w:ascii="Arial" w:hAnsi="Arial" w:cs="Arial"/>
          <w:i/>
          <w:iCs/>
          <w:sz w:val="19"/>
          <w:szCs w:val="19"/>
        </w:rPr>
        <w:t>No se requerirá de este registro, ni de clasificación, en los casos de</w:t>
      </w:r>
      <w:r w:rsidRPr="001C72E7">
        <w:rPr>
          <w:rFonts w:ascii="Arial" w:hAnsi="Arial" w:cs="Arial"/>
          <w:sz w:val="19"/>
          <w:szCs w:val="19"/>
        </w:rPr>
        <w:t xml:space="preserve"> contratación directa; </w:t>
      </w:r>
      <w:r w:rsidRPr="001C72E7">
        <w:rPr>
          <w:rFonts w:ascii="Arial" w:hAnsi="Arial" w:cs="Arial"/>
          <w:i/>
          <w:iCs/>
          <w:sz w:val="19"/>
          <w:szCs w:val="19"/>
        </w:rPr>
        <w:t>contratos para la prestación de servicios de salud</w:t>
      </w:r>
      <w:r w:rsidRPr="001C72E7">
        <w:rPr>
          <w:rFonts w:ascii="Arial" w:hAnsi="Arial" w:cs="Arial"/>
          <w:sz w:val="19"/>
          <w:szCs w:val="19"/>
        </w:rPr>
        <w:t>;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(Cursiva fuera de texto).</w:t>
      </w:r>
    </w:p>
    <w:p w14:paraId="4AF0909D" w14:textId="77777777" w:rsidR="000D7EDC" w:rsidRPr="001C72E7" w:rsidRDefault="000D7EDC" w:rsidP="00934658">
      <w:pPr>
        <w:pStyle w:val="Textonotapie"/>
        <w:ind w:firstLine="708"/>
        <w:jc w:val="both"/>
        <w:rPr>
          <w:rFonts w:ascii="Arial" w:hAnsi="Arial" w:cs="Arial"/>
          <w:sz w:val="19"/>
          <w:szCs w:val="19"/>
          <w:lang w:val="es-MX"/>
        </w:rPr>
      </w:pPr>
    </w:p>
  </w:footnote>
  <w:footnote w:id="15">
    <w:p w14:paraId="479726AC" w14:textId="7C849760" w:rsidR="000D7EDC" w:rsidRPr="001C72E7" w:rsidRDefault="000D7EDC" w:rsidP="00934658">
      <w:pPr>
        <w:pStyle w:val="Textonotapie"/>
        <w:ind w:firstLine="708"/>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05B03B3C" w14:textId="77777777" w:rsidR="00F7377F" w:rsidRPr="001C72E7" w:rsidRDefault="00F7377F" w:rsidP="00934658">
      <w:pPr>
        <w:pStyle w:val="Textonotapie"/>
        <w:ind w:firstLine="708"/>
        <w:jc w:val="both"/>
        <w:rPr>
          <w:rFonts w:ascii="Arial" w:hAnsi="Arial" w:cs="Arial"/>
          <w:sz w:val="19"/>
          <w:szCs w:val="19"/>
          <w:lang w:val="es-MX"/>
        </w:rPr>
      </w:pPr>
    </w:p>
  </w:footnote>
  <w:footnote w:id="16">
    <w:p w14:paraId="7C16D987" w14:textId="058AA1D2" w:rsidR="001C72E7" w:rsidRPr="001C72E7" w:rsidRDefault="00F7377F" w:rsidP="00934658">
      <w:pPr>
        <w:pStyle w:val="Textonotapie"/>
        <w:ind w:firstLine="708"/>
        <w:jc w:val="both"/>
        <w:rPr>
          <w:rFonts w:ascii="Arial" w:hAnsi="Arial" w:cs="Arial"/>
          <w:sz w:val="19"/>
          <w:szCs w:val="19"/>
        </w:rPr>
      </w:pPr>
      <w:r w:rsidRPr="001C72E7">
        <w:rPr>
          <w:rStyle w:val="Refdenotaalpie"/>
          <w:rFonts w:ascii="Arial" w:hAnsi="Arial" w:cs="Arial"/>
          <w:sz w:val="19"/>
          <w:szCs w:val="19"/>
        </w:rPr>
        <w:footnoteRef/>
      </w:r>
      <w:r w:rsidRPr="001C72E7">
        <w:rPr>
          <w:rFonts w:ascii="Arial" w:hAnsi="Arial" w:cs="Arial"/>
          <w:sz w:val="19"/>
          <w:szCs w:val="19"/>
        </w:rPr>
        <w:t xml:space="preserve"> En efecto, el pa</w:t>
      </w:r>
      <w:r w:rsidR="001C72E7" w:rsidRPr="001C72E7">
        <w:rPr>
          <w:rFonts w:ascii="Arial" w:hAnsi="Arial" w:cs="Arial"/>
          <w:sz w:val="19"/>
          <w:szCs w:val="19"/>
        </w:rPr>
        <w:t>rá</w:t>
      </w:r>
      <w:r w:rsidRPr="001C72E7">
        <w:rPr>
          <w:rFonts w:ascii="Arial" w:hAnsi="Arial" w:cs="Arial"/>
          <w:sz w:val="19"/>
          <w:szCs w:val="19"/>
        </w:rPr>
        <w:t>grafo transitorio adicionado al artículo 2.2.1.1.1.6.2.</w:t>
      </w:r>
      <w:r w:rsidR="001C72E7">
        <w:rPr>
          <w:rFonts w:ascii="Arial" w:hAnsi="Arial" w:cs="Arial"/>
          <w:sz w:val="19"/>
          <w:szCs w:val="19"/>
        </w:rPr>
        <w:t xml:space="preserve"> del Decreto 1082 de 2015</w:t>
      </w:r>
      <w:r w:rsidRPr="001C72E7">
        <w:rPr>
          <w:rFonts w:ascii="Arial" w:hAnsi="Arial" w:cs="Arial"/>
          <w:sz w:val="19"/>
          <w:szCs w:val="19"/>
        </w:rPr>
        <w:t xml:space="preserve"> y sustituido por el </w:t>
      </w:r>
      <w:r w:rsidR="001C72E7" w:rsidRPr="001C72E7">
        <w:rPr>
          <w:rFonts w:ascii="Arial" w:hAnsi="Arial" w:cs="Arial"/>
          <w:sz w:val="19"/>
          <w:szCs w:val="19"/>
        </w:rPr>
        <w:t xml:space="preserve">artículo 3 del Decreto 579 del 31 de mayo de 2021, el cual se analizó en el numeral 2.2. de este concepto establece: </w:t>
      </w:r>
      <w:r w:rsidR="001C72E7">
        <w:rPr>
          <w:rFonts w:ascii="Arial" w:hAnsi="Arial" w:cs="Arial"/>
          <w:sz w:val="19"/>
          <w:szCs w:val="19"/>
        </w:rPr>
        <w:t>«</w:t>
      </w:r>
      <w:r w:rsidR="001C72E7" w:rsidRPr="001C72E7">
        <w:rPr>
          <w:rFonts w:ascii="Arial" w:hAnsi="Arial" w:cs="Arial"/>
          <w:sz w:val="19"/>
          <w:szCs w:val="19"/>
        </w:rPr>
        <w:t>De conformidad con los parágrafos transitorios de los artículos 2.2.1.1.1.5.2. y 2.2.1.1.1.5.6., y</w:t>
      </w:r>
      <w:r w:rsidR="001C72E7">
        <w:rPr>
          <w:rFonts w:ascii="Arial" w:hAnsi="Arial" w:cs="Arial"/>
          <w:sz w:val="19"/>
          <w:szCs w:val="19"/>
        </w:rPr>
        <w:t xml:space="preserve"> </w:t>
      </w:r>
      <w:r w:rsidR="001C72E7" w:rsidRPr="001C72E7">
        <w:rPr>
          <w:rFonts w:ascii="Arial" w:hAnsi="Arial" w:cs="Arial"/>
          <w:sz w:val="19"/>
          <w:szCs w:val="19"/>
        </w:rPr>
        <w:t xml:space="preserve">en desarrollo del deber de análisis de las Entidades Estatales, de que trata el artículo 2.2.1.1.1.6.1.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  </w:t>
      </w:r>
    </w:p>
    <w:p w14:paraId="31471F03" w14:textId="51E66422" w:rsidR="00F7377F" w:rsidRPr="001C72E7" w:rsidRDefault="001C72E7" w:rsidP="00934658">
      <w:pPr>
        <w:pStyle w:val="Textonotapie"/>
        <w:ind w:firstLine="708"/>
        <w:jc w:val="both"/>
        <w:rPr>
          <w:rFonts w:ascii="Arial" w:hAnsi="Arial" w:cs="Arial"/>
          <w:sz w:val="19"/>
          <w:szCs w:val="19"/>
          <w:lang w:val="es-MX"/>
        </w:rPr>
      </w:pPr>
      <w:proofErr w:type="gramStart"/>
      <w:r>
        <w:rPr>
          <w:rFonts w:ascii="Arial" w:hAnsi="Arial" w:cs="Arial"/>
          <w:sz w:val="19"/>
          <w:szCs w:val="19"/>
        </w:rPr>
        <w:t>»</w:t>
      </w:r>
      <w:r w:rsidRPr="001C72E7">
        <w:rPr>
          <w:rFonts w:ascii="Arial" w:hAnsi="Arial" w:cs="Arial"/>
          <w:sz w:val="19"/>
          <w:szCs w:val="19"/>
        </w:rPr>
        <w:t>Para</w:t>
      </w:r>
      <w:proofErr w:type="gramEnd"/>
      <w:r w:rsidRPr="001C72E7">
        <w:rPr>
          <w:rFonts w:ascii="Arial" w:hAnsi="Arial" w:cs="Arial"/>
          <w:sz w:val="19"/>
          <w:szCs w:val="19"/>
        </w:rPr>
        <w:t xml:space="preserve">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w:t>
      </w:r>
      <w:r>
        <w:rPr>
          <w:rFonts w:ascii="Arial" w:hAnsi="Arial" w:cs="Arial"/>
          <w:sz w:val="19"/>
          <w:szCs w:val="19"/>
        </w:rPr>
        <w:t>i</w:t>
      </w:r>
      <w:r w:rsidRPr="001C72E7">
        <w:rPr>
          <w:rFonts w:ascii="Arial" w:hAnsi="Arial" w:cs="Arial"/>
          <w:sz w:val="19"/>
          <w:szCs w:val="19"/>
        </w:rPr>
        <w:t>ndicadores, teniendo en cuenta el mejor año fiscal que se refleje en el reg</w:t>
      </w:r>
      <w:r>
        <w:rPr>
          <w:rFonts w:ascii="Arial" w:hAnsi="Arial" w:cs="Arial"/>
          <w:sz w:val="19"/>
          <w:szCs w:val="19"/>
        </w:rPr>
        <w:t>i</w:t>
      </w:r>
      <w:r w:rsidRPr="001C72E7">
        <w:rPr>
          <w:rFonts w:ascii="Arial" w:hAnsi="Arial" w:cs="Arial"/>
          <w:sz w:val="19"/>
          <w:szCs w:val="19"/>
        </w:rPr>
        <w:t>stro de cada proponente​</w:t>
      </w:r>
      <w:r>
        <w:rPr>
          <w:rFonts w:ascii="Arial" w:hAnsi="Arial" w:cs="Arial"/>
          <w:sz w:val="19"/>
          <w:szCs w:val="19"/>
        </w:rPr>
        <w:t>»</w:t>
      </w:r>
      <w:r w:rsidRPr="001C72E7">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C11BCD" w:rsidRDefault="00C11BCD">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B24F85"/>
    <w:multiLevelType w:val="hybridMultilevel"/>
    <w:tmpl w:val="8638AC78"/>
    <w:lvl w:ilvl="0" w:tplc="2D6AA4D8">
      <w:start w:val="1"/>
      <w:numFmt w:val="low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5"/>
  </w:num>
  <w:num w:numId="9">
    <w:abstractNumId w:val="2"/>
  </w:num>
  <w:num w:numId="10">
    <w:abstractNumId w:val="6"/>
  </w:num>
  <w:num w:numId="11">
    <w:abstractNumId w:val="9"/>
  </w:num>
  <w:num w:numId="12">
    <w:abstractNumId w:val="3"/>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7FF7"/>
    <w:rsid w:val="00010D30"/>
    <w:rsid w:val="000205D6"/>
    <w:rsid w:val="0003091B"/>
    <w:rsid w:val="000333A2"/>
    <w:rsid w:val="00035726"/>
    <w:rsid w:val="00040C88"/>
    <w:rsid w:val="00040D6E"/>
    <w:rsid w:val="00042C0C"/>
    <w:rsid w:val="00044FF2"/>
    <w:rsid w:val="000514D4"/>
    <w:rsid w:val="00051D60"/>
    <w:rsid w:val="000523B1"/>
    <w:rsid w:val="00054D4A"/>
    <w:rsid w:val="00055688"/>
    <w:rsid w:val="00060575"/>
    <w:rsid w:val="00061E92"/>
    <w:rsid w:val="00061EE4"/>
    <w:rsid w:val="00062291"/>
    <w:rsid w:val="00062B0D"/>
    <w:rsid w:val="0006519B"/>
    <w:rsid w:val="00066AF6"/>
    <w:rsid w:val="000707A0"/>
    <w:rsid w:val="00081A72"/>
    <w:rsid w:val="000823B1"/>
    <w:rsid w:val="00082589"/>
    <w:rsid w:val="0008616B"/>
    <w:rsid w:val="00086A16"/>
    <w:rsid w:val="00086C02"/>
    <w:rsid w:val="000906C0"/>
    <w:rsid w:val="00090D92"/>
    <w:rsid w:val="00093069"/>
    <w:rsid w:val="00094F86"/>
    <w:rsid w:val="000970CE"/>
    <w:rsid w:val="00097117"/>
    <w:rsid w:val="00097CD6"/>
    <w:rsid w:val="000A1DBA"/>
    <w:rsid w:val="000A5646"/>
    <w:rsid w:val="000A6338"/>
    <w:rsid w:val="000A7A2D"/>
    <w:rsid w:val="000B4552"/>
    <w:rsid w:val="000B4C69"/>
    <w:rsid w:val="000B4E6D"/>
    <w:rsid w:val="000B6B73"/>
    <w:rsid w:val="000C0E39"/>
    <w:rsid w:val="000C464A"/>
    <w:rsid w:val="000C792F"/>
    <w:rsid w:val="000C7CDE"/>
    <w:rsid w:val="000D088F"/>
    <w:rsid w:val="000D2220"/>
    <w:rsid w:val="000D392A"/>
    <w:rsid w:val="000D5464"/>
    <w:rsid w:val="000D7EDC"/>
    <w:rsid w:val="000E4A3C"/>
    <w:rsid w:val="000E52C7"/>
    <w:rsid w:val="000E6867"/>
    <w:rsid w:val="000E79AA"/>
    <w:rsid w:val="000E7F3A"/>
    <w:rsid w:val="000F5F52"/>
    <w:rsid w:val="001056C0"/>
    <w:rsid w:val="00105C88"/>
    <w:rsid w:val="00107607"/>
    <w:rsid w:val="001117F5"/>
    <w:rsid w:val="001120C8"/>
    <w:rsid w:val="00112597"/>
    <w:rsid w:val="00113AD4"/>
    <w:rsid w:val="00116557"/>
    <w:rsid w:val="00117289"/>
    <w:rsid w:val="00131510"/>
    <w:rsid w:val="00131937"/>
    <w:rsid w:val="001321AB"/>
    <w:rsid w:val="00133D22"/>
    <w:rsid w:val="00134D4A"/>
    <w:rsid w:val="00135C3E"/>
    <w:rsid w:val="00135E98"/>
    <w:rsid w:val="001368BB"/>
    <w:rsid w:val="00137B0D"/>
    <w:rsid w:val="00137DDF"/>
    <w:rsid w:val="00140E57"/>
    <w:rsid w:val="00141006"/>
    <w:rsid w:val="001412D6"/>
    <w:rsid w:val="00141C64"/>
    <w:rsid w:val="0014462B"/>
    <w:rsid w:val="0014628D"/>
    <w:rsid w:val="00147E4A"/>
    <w:rsid w:val="001556C8"/>
    <w:rsid w:val="001573A6"/>
    <w:rsid w:val="00160687"/>
    <w:rsid w:val="00160AB9"/>
    <w:rsid w:val="00160CC8"/>
    <w:rsid w:val="00164E79"/>
    <w:rsid w:val="00166272"/>
    <w:rsid w:val="001669C9"/>
    <w:rsid w:val="00167455"/>
    <w:rsid w:val="00173047"/>
    <w:rsid w:val="00173342"/>
    <w:rsid w:val="001737A7"/>
    <w:rsid w:val="00173CD9"/>
    <w:rsid w:val="0017558C"/>
    <w:rsid w:val="00175A33"/>
    <w:rsid w:val="0017603D"/>
    <w:rsid w:val="00177397"/>
    <w:rsid w:val="00180881"/>
    <w:rsid w:val="001810AD"/>
    <w:rsid w:val="0018144F"/>
    <w:rsid w:val="001816D4"/>
    <w:rsid w:val="00181A3E"/>
    <w:rsid w:val="00182BF2"/>
    <w:rsid w:val="001848A7"/>
    <w:rsid w:val="00186C26"/>
    <w:rsid w:val="001901E3"/>
    <w:rsid w:val="00190B79"/>
    <w:rsid w:val="00190F26"/>
    <w:rsid w:val="00192084"/>
    <w:rsid w:val="00194C50"/>
    <w:rsid w:val="001969C3"/>
    <w:rsid w:val="0019703E"/>
    <w:rsid w:val="001A0536"/>
    <w:rsid w:val="001A6A98"/>
    <w:rsid w:val="001B13DF"/>
    <w:rsid w:val="001B2E5D"/>
    <w:rsid w:val="001B5D63"/>
    <w:rsid w:val="001B6C66"/>
    <w:rsid w:val="001B6FC2"/>
    <w:rsid w:val="001C4850"/>
    <w:rsid w:val="001C72E7"/>
    <w:rsid w:val="001E359A"/>
    <w:rsid w:val="001E4AEB"/>
    <w:rsid w:val="001E5DBB"/>
    <w:rsid w:val="001F0373"/>
    <w:rsid w:val="001F1051"/>
    <w:rsid w:val="001F22AD"/>
    <w:rsid w:val="001F3010"/>
    <w:rsid w:val="001F34A8"/>
    <w:rsid w:val="001F7297"/>
    <w:rsid w:val="002034AD"/>
    <w:rsid w:val="00210E00"/>
    <w:rsid w:val="00212C92"/>
    <w:rsid w:val="00213B48"/>
    <w:rsid w:val="002166C0"/>
    <w:rsid w:val="00220F87"/>
    <w:rsid w:val="002218CE"/>
    <w:rsid w:val="00222032"/>
    <w:rsid w:val="002239B4"/>
    <w:rsid w:val="00225C5F"/>
    <w:rsid w:val="00227257"/>
    <w:rsid w:val="0023180C"/>
    <w:rsid w:val="0023225E"/>
    <w:rsid w:val="00234C6C"/>
    <w:rsid w:val="00236264"/>
    <w:rsid w:val="0023774F"/>
    <w:rsid w:val="00246337"/>
    <w:rsid w:val="0024753F"/>
    <w:rsid w:val="00247D11"/>
    <w:rsid w:val="002511E0"/>
    <w:rsid w:val="002516D4"/>
    <w:rsid w:val="002551A3"/>
    <w:rsid w:val="002575DA"/>
    <w:rsid w:val="00265031"/>
    <w:rsid w:val="00266277"/>
    <w:rsid w:val="00267CAD"/>
    <w:rsid w:val="00267CE7"/>
    <w:rsid w:val="00270140"/>
    <w:rsid w:val="00272F63"/>
    <w:rsid w:val="0027329E"/>
    <w:rsid w:val="00273B05"/>
    <w:rsid w:val="00274072"/>
    <w:rsid w:val="00274370"/>
    <w:rsid w:val="00281E4E"/>
    <w:rsid w:val="00284C12"/>
    <w:rsid w:val="00286834"/>
    <w:rsid w:val="00287A32"/>
    <w:rsid w:val="002928EE"/>
    <w:rsid w:val="002959FA"/>
    <w:rsid w:val="002972F3"/>
    <w:rsid w:val="002A21FC"/>
    <w:rsid w:val="002A365B"/>
    <w:rsid w:val="002A4002"/>
    <w:rsid w:val="002A4BCA"/>
    <w:rsid w:val="002A517F"/>
    <w:rsid w:val="002B27BC"/>
    <w:rsid w:val="002B282F"/>
    <w:rsid w:val="002B3600"/>
    <w:rsid w:val="002B4B30"/>
    <w:rsid w:val="002B7B5A"/>
    <w:rsid w:val="002D243B"/>
    <w:rsid w:val="002D50EB"/>
    <w:rsid w:val="002E1449"/>
    <w:rsid w:val="002E4CF7"/>
    <w:rsid w:val="002E6804"/>
    <w:rsid w:val="002E7390"/>
    <w:rsid w:val="002E7BC2"/>
    <w:rsid w:val="002F5479"/>
    <w:rsid w:val="002F63BB"/>
    <w:rsid w:val="002F701E"/>
    <w:rsid w:val="00302F9F"/>
    <w:rsid w:val="00304386"/>
    <w:rsid w:val="003051E7"/>
    <w:rsid w:val="00307876"/>
    <w:rsid w:val="003141AC"/>
    <w:rsid w:val="00314F61"/>
    <w:rsid w:val="003163C5"/>
    <w:rsid w:val="003174DA"/>
    <w:rsid w:val="00325E03"/>
    <w:rsid w:val="003401FE"/>
    <w:rsid w:val="003406B7"/>
    <w:rsid w:val="00340A7A"/>
    <w:rsid w:val="00346D80"/>
    <w:rsid w:val="00346F88"/>
    <w:rsid w:val="00346F8E"/>
    <w:rsid w:val="00351536"/>
    <w:rsid w:val="00357FAE"/>
    <w:rsid w:val="00360470"/>
    <w:rsid w:val="00360F9A"/>
    <w:rsid w:val="003622CF"/>
    <w:rsid w:val="003639A5"/>
    <w:rsid w:val="00371192"/>
    <w:rsid w:val="00373489"/>
    <w:rsid w:val="003750DA"/>
    <w:rsid w:val="003823EF"/>
    <w:rsid w:val="00384629"/>
    <w:rsid w:val="00385513"/>
    <w:rsid w:val="00386679"/>
    <w:rsid w:val="00387E9E"/>
    <w:rsid w:val="00390DCF"/>
    <w:rsid w:val="0039351C"/>
    <w:rsid w:val="00397FF3"/>
    <w:rsid w:val="003A00C3"/>
    <w:rsid w:val="003A00DA"/>
    <w:rsid w:val="003A0C33"/>
    <w:rsid w:val="003A1C25"/>
    <w:rsid w:val="003A2944"/>
    <w:rsid w:val="003A4A92"/>
    <w:rsid w:val="003A633B"/>
    <w:rsid w:val="003B0DEF"/>
    <w:rsid w:val="003B604C"/>
    <w:rsid w:val="003C200C"/>
    <w:rsid w:val="003C2074"/>
    <w:rsid w:val="003C2D3E"/>
    <w:rsid w:val="003C3ADB"/>
    <w:rsid w:val="003C5196"/>
    <w:rsid w:val="003C5E88"/>
    <w:rsid w:val="003D11B5"/>
    <w:rsid w:val="003D134C"/>
    <w:rsid w:val="003D1697"/>
    <w:rsid w:val="003D2ABF"/>
    <w:rsid w:val="003D5BA5"/>
    <w:rsid w:val="003D69A5"/>
    <w:rsid w:val="003D6D9F"/>
    <w:rsid w:val="003E0079"/>
    <w:rsid w:val="003E09D5"/>
    <w:rsid w:val="003E14F9"/>
    <w:rsid w:val="003E1EB9"/>
    <w:rsid w:val="003F3119"/>
    <w:rsid w:val="003F3C60"/>
    <w:rsid w:val="003F4D44"/>
    <w:rsid w:val="003F6D32"/>
    <w:rsid w:val="00403333"/>
    <w:rsid w:val="00405F92"/>
    <w:rsid w:val="00406B09"/>
    <w:rsid w:val="004265FC"/>
    <w:rsid w:val="00427CCE"/>
    <w:rsid w:val="00430B5A"/>
    <w:rsid w:val="00430ED4"/>
    <w:rsid w:val="00431328"/>
    <w:rsid w:val="00433B17"/>
    <w:rsid w:val="0043588C"/>
    <w:rsid w:val="0043606A"/>
    <w:rsid w:val="00437A8B"/>
    <w:rsid w:val="0044207D"/>
    <w:rsid w:val="004420CC"/>
    <w:rsid w:val="00443937"/>
    <w:rsid w:val="00444005"/>
    <w:rsid w:val="00444A58"/>
    <w:rsid w:val="00445988"/>
    <w:rsid w:val="0044653D"/>
    <w:rsid w:val="004479D9"/>
    <w:rsid w:val="00447FE5"/>
    <w:rsid w:val="00450614"/>
    <w:rsid w:val="0045082C"/>
    <w:rsid w:val="00450B83"/>
    <w:rsid w:val="00452680"/>
    <w:rsid w:val="00456CED"/>
    <w:rsid w:val="004617B8"/>
    <w:rsid w:val="0046504E"/>
    <w:rsid w:val="004676DA"/>
    <w:rsid w:val="00467C8E"/>
    <w:rsid w:val="004758FE"/>
    <w:rsid w:val="00481DE3"/>
    <w:rsid w:val="004830C8"/>
    <w:rsid w:val="004837AB"/>
    <w:rsid w:val="00483A2F"/>
    <w:rsid w:val="00483C0A"/>
    <w:rsid w:val="00487ADF"/>
    <w:rsid w:val="00490DBF"/>
    <w:rsid w:val="00494F12"/>
    <w:rsid w:val="00495E5E"/>
    <w:rsid w:val="00496F96"/>
    <w:rsid w:val="00497571"/>
    <w:rsid w:val="004A0003"/>
    <w:rsid w:val="004A13B5"/>
    <w:rsid w:val="004A1CB6"/>
    <w:rsid w:val="004A2133"/>
    <w:rsid w:val="004A46B5"/>
    <w:rsid w:val="004A5382"/>
    <w:rsid w:val="004A6E34"/>
    <w:rsid w:val="004A6EE1"/>
    <w:rsid w:val="004B1BEE"/>
    <w:rsid w:val="004B22E7"/>
    <w:rsid w:val="004B2AB8"/>
    <w:rsid w:val="004B6AD7"/>
    <w:rsid w:val="004B7C85"/>
    <w:rsid w:val="004C184B"/>
    <w:rsid w:val="004C1BA6"/>
    <w:rsid w:val="004C6646"/>
    <w:rsid w:val="004D04EB"/>
    <w:rsid w:val="004D0DA3"/>
    <w:rsid w:val="004D3C91"/>
    <w:rsid w:val="004D57CD"/>
    <w:rsid w:val="004D770C"/>
    <w:rsid w:val="004E3243"/>
    <w:rsid w:val="004E370E"/>
    <w:rsid w:val="004F006C"/>
    <w:rsid w:val="004F0A29"/>
    <w:rsid w:val="004F3D32"/>
    <w:rsid w:val="004F407C"/>
    <w:rsid w:val="004F4387"/>
    <w:rsid w:val="004F493B"/>
    <w:rsid w:val="004F5F56"/>
    <w:rsid w:val="004F69D3"/>
    <w:rsid w:val="004F7059"/>
    <w:rsid w:val="004F7A45"/>
    <w:rsid w:val="004F7F85"/>
    <w:rsid w:val="00500D3A"/>
    <w:rsid w:val="00501FCD"/>
    <w:rsid w:val="005029C2"/>
    <w:rsid w:val="00502A41"/>
    <w:rsid w:val="00504364"/>
    <w:rsid w:val="00506B56"/>
    <w:rsid w:val="00510BF5"/>
    <w:rsid w:val="0051467B"/>
    <w:rsid w:val="00515265"/>
    <w:rsid w:val="00515590"/>
    <w:rsid w:val="00517E74"/>
    <w:rsid w:val="00521BA7"/>
    <w:rsid w:val="00522493"/>
    <w:rsid w:val="00525051"/>
    <w:rsid w:val="005252E2"/>
    <w:rsid w:val="00526D27"/>
    <w:rsid w:val="0054024A"/>
    <w:rsid w:val="005409D3"/>
    <w:rsid w:val="00546BE0"/>
    <w:rsid w:val="005511D5"/>
    <w:rsid w:val="00551564"/>
    <w:rsid w:val="00552C59"/>
    <w:rsid w:val="0055390E"/>
    <w:rsid w:val="00554E71"/>
    <w:rsid w:val="005602F8"/>
    <w:rsid w:val="00560F5F"/>
    <w:rsid w:val="00561075"/>
    <w:rsid w:val="00575DC6"/>
    <w:rsid w:val="00580859"/>
    <w:rsid w:val="00585FB5"/>
    <w:rsid w:val="00591586"/>
    <w:rsid w:val="005940B2"/>
    <w:rsid w:val="005A0936"/>
    <w:rsid w:val="005A1143"/>
    <w:rsid w:val="005A14BC"/>
    <w:rsid w:val="005A34E5"/>
    <w:rsid w:val="005A3EDE"/>
    <w:rsid w:val="005B3F0E"/>
    <w:rsid w:val="005B4DB4"/>
    <w:rsid w:val="005B6484"/>
    <w:rsid w:val="005B6F36"/>
    <w:rsid w:val="005B7FBA"/>
    <w:rsid w:val="005C298B"/>
    <w:rsid w:val="005C29D9"/>
    <w:rsid w:val="005D3442"/>
    <w:rsid w:val="005D426A"/>
    <w:rsid w:val="005E156B"/>
    <w:rsid w:val="005E73C9"/>
    <w:rsid w:val="005E7551"/>
    <w:rsid w:val="005F1007"/>
    <w:rsid w:val="005F5D19"/>
    <w:rsid w:val="005F6CBF"/>
    <w:rsid w:val="006062E0"/>
    <w:rsid w:val="00606FE0"/>
    <w:rsid w:val="006116C0"/>
    <w:rsid w:val="00611D01"/>
    <w:rsid w:val="0061332C"/>
    <w:rsid w:val="006135E6"/>
    <w:rsid w:val="00615659"/>
    <w:rsid w:val="00616E5B"/>
    <w:rsid w:val="00616FE1"/>
    <w:rsid w:val="00617DF2"/>
    <w:rsid w:val="00621810"/>
    <w:rsid w:val="00632EA5"/>
    <w:rsid w:val="00641087"/>
    <w:rsid w:val="00642D69"/>
    <w:rsid w:val="006446A6"/>
    <w:rsid w:val="006550F8"/>
    <w:rsid w:val="006558DA"/>
    <w:rsid w:val="00656926"/>
    <w:rsid w:val="0065701C"/>
    <w:rsid w:val="00660BC7"/>
    <w:rsid w:val="00661CE0"/>
    <w:rsid w:val="00662792"/>
    <w:rsid w:val="00666ED7"/>
    <w:rsid w:val="00667835"/>
    <w:rsid w:val="0067051F"/>
    <w:rsid w:val="0067152F"/>
    <w:rsid w:val="00671A31"/>
    <w:rsid w:val="00672F75"/>
    <w:rsid w:val="006734CA"/>
    <w:rsid w:val="006818B6"/>
    <w:rsid w:val="006824B8"/>
    <w:rsid w:val="00682892"/>
    <w:rsid w:val="006834EE"/>
    <w:rsid w:val="00683BD5"/>
    <w:rsid w:val="00693348"/>
    <w:rsid w:val="006A1D0A"/>
    <w:rsid w:val="006A602E"/>
    <w:rsid w:val="006A7743"/>
    <w:rsid w:val="006A7C9A"/>
    <w:rsid w:val="006B6287"/>
    <w:rsid w:val="006B6339"/>
    <w:rsid w:val="006B6C6A"/>
    <w:rsid w:val="006C15D5"/>
    <w:rsid w:val="006C234F"/>
    <w:rsid w:val="006C3D0C"/>
    <w:rsid w:val="006C3FBC"/>
    <w:rsid w:val="006C5955"/>
    <w:rsid w:val="006D31E1"/>
    <w:rsid w:val="006D343E"/>
    <w:rsid w:val="006D359C"/>
    <w:rsid w:val="006D519D"/>
    <w:rsid w:val="006D5A84"/>
    <w:rsid w:val="006E25D0"/>
    <w:rsid w:val="006E2710"/>
    <w:rsid w:val="006E63F1"/>
    <w:rsid w:val="006F1FD7"/>
    <w:rsid w:val="006F39D0"/>
    <w:rsid w:val="006F6897"/>
    <w:rsid w:val="006F7484"/>
    <w:rsid w:val="006F7746"/>
    <w:rsid w:val="00707292"/>
    <w:rsid w:val="00711157"/>
    <w:rsid w:val="00715B7E"/>
    <w:rsid w:val="00722CD2"/>
    <w:rsid w:val="00730CDB"/>
    <w:rsid w:val="00736C89"/>
    <w:rsid w:val="0074032F"/>
    <w:rsid w:val="007413C5"/>
    <w:rsid w:val="00745744"/>
    <w:rsid w:val="007462F1"/>
    <w:rsid w:val="0075032A"/>
    <w:rsid w:val="007708B1"/>
    <w:rsid w:val="00770D7D"/>
    <w:rsid w:val="00771889"/>
    <w:rsid w:val="00772497"/>
    <w:rsid w:val="00775578"/>
    <w:rsid w:val="007756D5"/>
    <w:rsid w:val="00776241"/>
    <w:rsid w:val="00776F45"/>
    <w:rsid w:val="00784474"/>
    <w:rsid w:val="0078552D"/>
    <w:rsid w:val="00787F0A"/>
    <w:rsid w:val="00791377"/>
    <w:rsid w:val="007917E6"/>
    <w:rsid w:val="007928D4"/>
    <w:rsid w:val="00792B9C"/>
    <w:rsid w:val="00793E3A"/>
    <w:rsid w:val="00795512"/>
    <w:rsid w:val="007A4F15"/>
    <w:rsid w:val="007A5340"/>
    <w:rsid w:val="007B6554"/>
    <w:rsid w:val="007B6FDF"/>
    <w:rsid w:val="007C0C73"/>
    <w:rsid w:val="007C7892"/>
    <w:rsid w:val="007D03DD"/>
    <w:rsid w:val="007D27F3"/>
    <w:rsid w:val="007D4C7B"/>
    <w:rsid w:val="007D62C7"/>
    <w:rsid w:val="007E10EB"/>
    <w:rsid w:val="007E1611"/>
    <w:rsid w:val="007E4B09"/>
    <w:rsid w:val="007E6A15"/>
    <w:rsid w:val="007F7AC6"/>
    <w:rsid w:val="00803061"/>
    <w:rsid w:val="00806B4E"/>
    <w:rsid w:val="00807EEE"/>
    <w:rsid w:val="0081087D"/>
    <w:rsid w:val="00810F65"/>
    <w:rsid w:val="008135F4"/>
    <w:rsid w:val="00813893"/>
    <w:rsid w:val="008149E7"/>
    <w:rsid w:val="00816142"/>
    <w:rsid w:val="008218D6"/>
    <w:rsid w:val="0082266E"/>
    <w:rsid w:val="00822C43"/>
    <w:rsid w:val="008234E2"/>
    <w:rsid w:val="00824361"/>
    <w:rsid w:val="008327EE"/>
    <w:rsid w:val="0083332F"/>
    <w:rsid w:val="0083350D"/>
    <w:rsid w:val="00834892"/>
    <w:rsid w:val="00835417"/>
    <w:rsid w:val="00842E74"/>
    <w:rsid w:val="00843BE5"/>
    <w:rsid w:val="0084777B"/>
    <w:rsid w:val="00856B64"/>
    <w:rsid w:val="00857DEF"/>
    <w:rsid w:val="008602F0"/>
    <w:rsid w:val="00863DD9"/>
    <w:rsid w:val="00866446"/>
    <w:rsid w:val="0086741B"/>
    <w:rsid w:val="00870BDD"/>
    <w:rsid w:val="008748FE"/>
    <w:rsid w:val="00880204"/>
    <w:rsid w:val="008840CA"/>
    <w:rsid w:val="00886F29"/>
    <w:rsid w:val="00887F70"/>
    <w:rsid w:val="0089027D"/>
    <w:rsid w:val="00892517"/>
    <w:rsid w:val="008927FE"/>
    <w:rsid w:val="00892A25"/>
    <w:rsid w:val="00897D5D"/>
    <w:rsid w:val="00897DAB"/>
    <w:rsid w:val="008A0633"/>
    <w:rsid w:val="008A1724"/>
    <w:rsid w:val="008A3386"/>
    <w:rsid w:val="008A37D8"/>
    <w:rsid w:val="008A53F2"/>
    <w:rsid w:val="008A7E0C"/>
    <w:rsid w:val="008B09B1"/>
    <w:rsid w:val="008C1CE8"/>
    <w:rsid w:val="008C24B6"/>
    <w:rsid w:val="008C3E5B"/>
    <w:rsid w:val="008C487C"/>
    <w:rsid w:val="008C4C28"/>
    <w:rsid w:val="008C5224"/>
    <w:rsid w:val="008D07ED"/>
    <w:rsid w:val="008D0BF9"/>
    <w:rsid w:val="008D2CBA"/>
    <w:rsid w:val="008D40D6"/>
    <w:rsid w:val="008D57C2"/>
    <w:rsid w:val="008E0FCC"/>
    <w:rsid w:val="008E2FE3"/>
    <w:rsid w:val="008E5F34"/>
    <w:rsid w:val="008F2267"/>
    <w:rsid w:val="008F3EE2"/>
    <w:rsid w:val="008F4FBB"/>
    <w:rsid w:val="008F5D30"/>
    <w:rsid w:val="008F637F"/>
    <w:rsid w:val="008F6B23"/>
    <w:rsid w:val="00910B3C"/>
    <w:rsid w:val="00911243"/>
    <w:rsid w:val="0091226B"/>
    <w:rsid w:val="009122F7"/>
    <w:rsid w:val="00912EA2"/>
    <w:rsid w:val="00913D52"/>
    <w:rsid w:val="00913DCA"/>
    <w:rsid w:val="00914F01"/>
    <w:rsid w:val="009161B8"/>
    <w:rsid w:val="0091627F"/>
    <w:rsid w:val="00916488"/>
    <w:rsid w:val="009223EA"/>
    <w:rsid w:val="009231E0"/>
    <w:rsid w:val="00926E16"/>
    <w:rsid w:val="00933EF5"/>
    <w:rsid w:val="00934658"/>
    <w:rsid w:val="00935BE4"/>
    <w:rsid w:val="00935F01"/>
    <w:rsid w:val="009425F8"/>
    <w:rsid w:val="00943BC7"/>
    <w:rsid w:val="0094508D"/>
    <w:rsid w:val="009506A7"/>
    <w:rsid w:val="009549DD"/>
    <w:rsid w:val="0095686F"/>
    <w:rsid w:val="00960CAB"/>
    <w:rsid w:val="00962D6C"/>
    <w:rsid w:val="0096333C"/>
    <w:rsid w:val="00965D9D"/>
    <w:rsid w:val="00967230"/>
    <w:rsid w:val="00972C13"/>
    <w:rsid w:val="00976F3B"/>
    <w:rsid w:val="00980729"/>
    <w:rsid w:val="009812D7"/>
    <w:rsid w:val="00982E99"/>
    <w:rsid w:val="0098491A"/>
    <w:rsid w:val="00993357"/>
    <w:rsid w:val="00993BFE"/>
    <w:rsid w:val="00993CE0"/>
    <w:rsid w:val="00995931"/>
    <w:rsid w:val="009963CB"/>
    <w:rsid w:val="009A35C7"/>
    <w:rsid w:val="009A3CF6"/>
    <w:rsid w:val="009A3D14"/>
    <w:rsid w:val="009A5714"/>
    <w:rsid w:val="009A5A15"/>
    <w:rsid w:val="009A5DA7"/>
    <w:rsid w:val="009A764B"/>
    <w:rsid w:val="009B1526"/>
    <w:rsid w:val="009B1AEC"/>
    <w:rsid w:val="009B2845"/>
    <w:rsid w:val="009B57A0"/>
    <w:rsid w:val="009C2A82"/>
    <w:rsid w:val="009C59BA"/>
    <w:rsid w:val="009C6F56"/>
    <w:rsid w:val="009D1D57"/>
    <w:rsid w:val="009D1DE1"/>
    <w:rsid w:val="009D5504"/>
    <w:rsid w:val="009D6E1F"/>
    <w:rsid w:val="009E2544"/>
    <w:rsid w:val="009E2770"/>
    <w:rsid w:val="009E2D72"/>
    <w:rsid w:val="009E41C2"/>
    <w:rsid w:val="009E4A43"/>
    <w:rsid w:val="009E6C5F"/>
    <w:rsid w:val="009F2261"/>
    <w:rsid w:val="009F3537"/>
    <w:rsid w:val="00A05F60"/>
    <w:rsid w:val="00A13C4B"/>
    <w:rsid w:val="00A25657"/>
    <w:rsid w:val="00A27907"/>
    <w:rsid w:val="00A329B6"/>
    <w:rsid w:val="00A32C19"/>
    <w:rsid w:val="00A35B7E"/>
    <w:rsid w:val="00A35F03"/>
    <w:rsid w:val="00A367A1"/>
    <w:rsid w:val="00A37CBD"/>
    <w:rsid w:val="00A415D2"/>
    <w:rsid w:val="00A43264"/>
    <w:rsid w:val="00A4372E"/>
    <w:rsid w:val="00A460BA"/>
    <w:rsid w:val="00A510F6"/>
    <w:rsid w:val="00A54F89"/>
    <w:rsid w:val="00A61A58"/>
    <w:rsid w:val="00A63778"/>
    <w:rsid w:val="00A651C9"/>
    <w:rsid w:val="00A657F1"/>
    <w:rsid w:val="00A6700F"/>
    <w:rsid w:val="00A70F57"/>
    <w:rsid w:val="00A72B8D"/>
    <w:rsid w:val="00A758DC"/>
    <w:rsid w:val="00A75B4C"/>
    <w:rsid w:val="00A80739"/>
    <w:rsid w:val="00A83829"/>
    <w:rsid w:val="00A85170"/>
    <w:rsid w:val="00A85AFF"/>
    <w:rsid w:val="00A92401"/>
    <w:rsid w:val="00A945FB"/>
    <w:rsid w:val="00A95100"/>
    <w:rsid w:val="00AA2A39"/>
    <w:rsid w:val="00AA3B21"/>
    <w:rsid w:val="00AA615B"/>
    <w:rsid w:val="00AA6B2A"/>
    <w:rsid w:val="00AA7209"/>
    <w:rsid w:val="00AB0DED"/>
    <w:rsid w:val="00AB254D"/>
    <w:rsid w:val="00AB5F84"/>
    <w:rsid w:val="00AC0C81"/>
    <w:rsid w:val="00AC5FE7"/>
    <w:rsid w:val="00AD27CF"/>
    <w:rsid w:val="00AD5FA4"/>
    <w:rsid w:val="00AD7725"/>
    <w:rsid w:val="00AE13A1"/>
    <w:rsid w:val="00AE194E"/>
    <w:rsid w:val="00AE1CAD"/>
    <w:rsid w:val="00AE2CB6"/>
    <w:rsid w:val="00AE355C"/>
    <w:rsid w:val="00AE668A"/>
    <w:rsid w:val="00AE6858"/>
    <w:rsid w:val="00AF185A"/>
    <w:rsid w:val="00AF2203"/>
    <w:rsid w:val="00AF4523"/>
    <w:rsid w:val="00AF5C62"/>
    <w:rsid w:val="00AF6D01"/>
    <w:rsid w:val="00AF7270"/>
    <w:rsid w:val="00AF7DE1"/>
    <w:rsid w:val="00AF7F8A"/>
    <w:rsid w:val="00B0135B"/>
    <w:rsid w:val="00B100E5"/>
    <w:rsid w:val="00B1203B"/>
    <w:rsid w:val="00B139DC"/>
    <w:rsid w:val="00B17BC5"/>
    <w:rsid w:val="00B2158C"/>
    <w:rsid w:val="00B2365C"/>
    <w:rsid w:val="00B24E57"/>
    <w:rsid w:val="00B2594C"/>
    <w:rsid w:val="00B259A3"/>
    <w:rsid w:val="00B26E57"/>
    <w:rsid w:val="00B30582"/>
    <w:rsid w:val="00B30D96"/>
    <w:rsid w:val="00B33648"/>
    <w:rsid w:val="00B35792"/>
    <w:rsid w:val="00B44EB3"/>
    <w:rsid w:val="00B46660"/>
    <w:rsid w:val="00B473F2"/>
    <w:rsid w:val="00B47CBC"/>
    <w:rsid w:val="00B502EC"/>
    <w:rsid w:val="00B5123E"/>
    <w:rsid w:val="00B522C4"/>
    <w:rsid w:val="00B52B0E"/>
    <w:rsid w:val="00B52F07"/>
    <w:rsid w:val="00B5337D"/>
    <w:rsid w:val="00B579A6"/>
    <w:rsid w:val="00B61CB3"/>
    <w:rsid w:val="00B62DD9"/>
    <w:rsid w:val="00B637F2"/>
    <w:rsid w:val="00B63A7D"/>
    <w:rsid w:val="00B65290"/>
    <w:rsid w:val="00B67C63"/>
    <w:rsid w:val="00B70E26"/>
    <w:rsid w:val="00B71106"/>
    <w:rsid w:val="00B77186"/>
    <w:rsid w:val="00B77C40"/>
    <w:rsid w:val="00B84E9D"/>
    <w:rsid w:val="00B9767F"/>
    <w:rsid w:val="00B97D95"/>
    <w:rsid w:val="00BA0E41"/>
    <w:rsid w:val="00BA6091"/>
    <w:rsid w:val="00BA63FF"/>
    <w:rsid w:val="00BA7E78"/>
    <w:rsid w:val="00BB0EA7"/>
    <w:rsid w:val="00BB3DBA"/>
    <w:rsid w:val="00BB4AE6"/>
    <w:rsid w:val="00BB59F9"/>
    <w:rsid w:val="00BB6E32"/>
    <w:rsid w:val="00BC15B8"/>
    <w:rsid w:val="00BC2B7E"/>
    <w:rsid w:val="00BC3D32"/>
    <w:rsid w:val="00BC5279"/>
    <w:rsid w:val="00BC6C4E"/>
    <w:rsid w:val="00BC71A3"/>
    <w:rsid w:val="00BC7280"/>
    <w:rsid w:val="00BD0A88"/>
    <w:rsid w:val="00BD234D"/>
    <w:rsid w:val="00BD23BD"/>
    <w:rsid w:val="00BD5341"/>
    <w:rsid w:val="00BD58A7"/>
    <w:rsid w:val="00BD7FF3"/>
    <w:rsid w:val="00BE1E33"/>
    <w:rsid w:val="00BE2AD3"/>
    <w:rsid w:val="00BE2B56"/>
    <w:rsid w:val="00BE36F7"/>
    <w:rsid w:val="00BE45C2"/>
    <w:rsid w:val="00BE4E4A"/>
    <w:rsid w:val="00BF01DF"/>
    <w:rsid w:val="00BF06AC"/>
    <w:rsid w:val="00BF1787"/>
    <w:rsid w:val="00BF2443"/>
    <w:rsid w:val="00BF49F7"/>
    <w:rsid w:val="00C003AD"/>
    <w:rsid w:val="00C00831"/>
    <w:rsid w:val="00C02C92"/>
    <w:rsid w:val="00C02D09"/>
    <w:rsid w:val="00C03689"/>
    <w:rsid w:val="00C069D0"/>
    <w:rsid w:val="00C11BCD"/>
    <w:rsid w:val="00C12201"/>
    <w:rsid w:val="00C13418"/>
    <w:rsid w:val="00C1405A"/>
    <w:rsid w:val="00C22412"/>
    <w:rsid w:val="00C24A71"/>
    <w:rsid w:val="00C24EAC"/>
    <w:rsid w:val="00C25E14"/>
    <w:rsid w:val="00C266A5"/>
    <w:rsid w:val="00C32446"/>
    <w:rsid w:val="00C3581C"/>
    <w:rsid w:val="00C40C84"/>
    <w:rsid w:val="00C4526C"/>
    <w:rsid w:val="00C46E78"/>
    <w:rsid w:val="00C50B1B"/>
    <w:rsid w:val="00C50F45"/>
    <w:rsid w:val="00C512FE"/>
    <w:rsid w:val="00C52801"/>
    <w:rsid w:val="00C5538C"/>
    <w:rsid w:val="00C6210F"/>
    <w:rsid w:val="00C70C7D"/>
    <w:rsid w:val="00C745C6"/>
    <w:rsid w:val="00C75D22"/>
    <w:rsid w:val="00C75DB8"/>
    <w:rsid w:val="00C76A82"/>
    <w:rsid w:val="00C76D92"/>
    <w:rsid w:val="00C87422"/>
    <w:rsid w:val="00C964DE"/>
    <w:rsid w:val="00C96C57"/>
    <w:rsid w:val="00C97F69"/>
    <w:rsid w:val="00CA335A"/>
    <w:rsid w:val="00CA3C3B"/>
    <w:rsid w:val="00CA5790"/>
    <w:rsid w:val="00CA6297"/>
    <w:rsid w:val="00CA634C"/>
    <w:rsid w:val="00CA7EDE"/>
    <w:rsid w:val="00CB004E"/>
    <w:rsid w:val="00CB7787"/>
    <w:rsid w:val="00CC1134"/>
    <w:rsid w:val="00CC3C9A"/>
    <w:rsid w:val="00CC61B2"/>
    <w:rsid w:val="00CD05DC"/>
    <w:rsid w:val="00CD3C6F"/>
    <w:rsid w:val="00CD5DF3"/>
    <w:rsid w:val="00CE1403"/>
    <w:rsid w:val="00CE153F"/>
    <w:rsid w:val="00CF183E"/>
    <w:rsid w:val="00CF2202"/>
    <w:rsid w:val="00CF326B"/>
    <w:rsid w:val="00CF4AFB"/>
    <w:rsid w:val="00CF605F"/>
    <w:rsid w:val="00CF6C6F"/>
    <w:rsid w:val="00D01B09"/>
    <w:rsid w:val="00D058DF"/>
    <w:rsid w:val="00D0763E"/>
    <w:rsid w:val="00D079C7"/>
    <w:rsid w:val="00D1149F"/>
    <w:rsid w:val="00D12644"/>
    <w:rsid w:val="00D1531B"/>
    <w:rsid w:val="00D15EAB"/>
    <w:rsid w:val="00D24682"/>
    <w:rsid w:val="00D24F06"/>
    <w:rsid w:val="00D25AEF"/>
    <w:rsid w:val="00D349EE"/>
    <w:rsid w:val="00D36E83"/>
    <w:rsid w:val="00D3779A"/>
    <w:rsid w:val="00D404BB"/>
    <w:rsid w:val="00D41A7D"/>
    <w:rsid w:val="00D421E8"/>
    <w:rsid w:val="00D43ADB"/>
    <w:rsid w:val="00D43ECF"/>
    <w:rsid w:val="00D53370"/>
    <w:rsid w:val="00D54E52"/>
    <w:rsid w:val="00D56022"/>
    <w:rsid w:val="00D56763"/>
    <w:rsid w:val="00D56D47"/>
    <w:rsid w:val="00D644D8"/>
    <w:rsid w:val="00D653E5"/>
    <w:rsid w:val="00D7088A"/>
    <w:rsid w:val="00D70FB4"/>
    <w:rsid w:val="00D74A1C"/>
    <w:rsid w:val="00D76E57"/>
    <w:rsid w:val="00D80CCB"/>
    <w:rsid w:val="00D815C1"/>
    <w:rsid w:val="00D822D9"/>
    <w:rsid w:val="00D838D1"/>
    <w:rsid w:val="00D84DC5"/>
    <w:rsid w:val="00D85C85"/>
    <w:rsid w:val="00D87665"/>
    <w:rsid w:val="00D87808"/>
    <w:rsid w:val="00D923D3"/>
    <w:rsid w:val="00D92F6C"/>
    <w:rsid w:val="00D93CB6"/>
    <w:rsid w:val="00D95879"/>
    <w:rsid w:val="00D95C0B"/>
    <w:rsid w:val="00D961FC"/>
    <w:rsid w:val="00D97A6B"/>
    <w:rsid w:val="00DA2FA3"/>
    <w:rsid w:val="00DA31C5"/>
    <w:rsid w:val="00DA4B07"/>
    <w:rsid w:val="00DA585A"/>
    <w:rsid w:val="00DA6464"/>
    <w:rsid w:val="00DA681A"/>
    <w:rsid w:val="00DB3F57"/>
    <w:rsid w:val="00DB61F3"/>
    <w:rsid w:val="00DB751D"/>
    <w:rsid w:val="00DC0138"/>
    <w:rsid w:val="00DC1941"/>
    <w:rsid w:val="00DC22C6"/>
    <w:rsid w:val="00DC46D6"/>
    <w:rsid w:val="00DC59FA"/>
    <w:rsid w:val="00DC679E"/>
    <w:rsid w:val="00DC7A4A"/>
    <w:rsid w:val="00DD0E98"/>
    <w:rsid w:val="00DD1A92"/>
    <w:rsid w:val="00DD265C"/>
    <w:rsid w:val="00DD2D2E"/>
    <w:rsid w:val="00DD3DB9"/>
    <w:rsid w:val="00DE0B3C"/>
    <w:rsid w:val="00DE0E26"/>
    <w:rsid w:val="00DE2333"/>
    <w:rsid w:val="00DE6220"/>
    <w:rsid w:val="00DE64DE"/>
    <w:rsid w:val="00DE7AB4"/>
    <w:rsid w:val="00DF0661"/>
    <w:rsid w:val="00DF292D"/>
    <w:rsid w:val="00DF2F9C"/>
    <w:rsid w:val="00DF4D86"/>
    <w:rsid w:val="00DF54A0"/>
    <w:rsid w:val="00DF6644"/>
    <w:rsid w:val="00DF69D9"/>
    <w:rsid w:val="00DF7F6E"/>
    <w:rsid w:val="00E0053A"/>
    <w:rsid w:val="00E01D84"/>
    <w:rsid w:val="00E030B1"/>
    <w:rsid w:val="00E0556E"/>
    <w:rsid w:val="00E06637"/>
    <w:rsid w:val="00E1159D"/>
    <w:rsid w:val="00E137BB"/>
    <w:rsid w:val="00E16313"/>
    <w:rsid w:val="00E17AA0"/>
    <w:rsid w:val="00E204B4"/>
    <w:rsid w:val="00E21D88"/>
    <w:rsid w:val="00E221EC"/>
    <w:rsid w:val="00E3199C"/>
    <w:rsid w:val="00E33820"/>
    <w:rsid w:val="00E35B0E"/>
    <w:rsid w:val="00E41848"/>
    <w:rsid w:val="00E42425"/>
    <w:rsid w:val="00E50134"/>
    <w:rsid w:val="00E53A9A"/>
    <w:rsid w:val="00E62E6F"/>
    <w:rsid w:val="00E6312F"/>
    <w:rsid w:val="00E63ADB"/>
    <w:rsid w:val="00E64988"/>
    <w:rsid w:val="00E64A38"/>
    <w:rsid w:val="00E650D8"/>
    <w:rsid w:val="00E756AC"/>
    <w:rsid w:val="00E8381A"/>
    <w:rsid w:val="00E85358"/>
    <w:rsid w:val="00E85CA5"/>
    <w:rsid w:val="00E87596"/>
    <w:rsid w:val="00E87794"/>
    <w:rsid w:val="00E96422"/>
    <w:rsid w:val="00EA24BB"/>
    <w:rsid w:val="00EA3B7D"/>
    <w:rsid w:val="00EA5A59"/>
    <w:rsid w:val="00EB3D8F"/>
    <w:rsid w:val="00EB5184"/>
    <w:rsid w:val="00EB5F37"/>
    <w:rsid w:val="00EC0064"/>
    <w:rsid w:val="00EC092E"/>
    <w:rsid w:val="00EC1F05"/>
    <w:rsid w:val="00EC28A2"/>
    <w:rsid w:val="00EC2D8F"/>
    <w:rsid w:val="00ED0845"/>
    <w:rsid w:val="00ED0FE3"/>
    <w:rsid w:val="00ED1F11"/>
    <w:rsid w:val="00ED3EF0"/>
    <w:rsid w:val="00ED5E06"/>
    <w:rsid w:val="00EE121F"/>
    <w:rsid w:val="00EE2707"/>
    <w:rsid w:val="00EF2CA6"/>
    <w:rsid w:val="00EF4DC4"/>
    <w:rsid w:val="00EF553C"/>
    <w:rsid w:val="00F0422A"/>
    <w:rsid w:val="00F0523A"/>
    <w:rsid w:val="00F10319"/>
    <w:rsid w:val="00F10A7D"/>
    <w:rsid w:val="00F117B1"/>
    <w:rsid w:val="00F1221B"/>
    <w:rsid w:val="00F12D75"/>
    <w:rsid w:val="00F130AC"/>
    <w:rsid w:val="00F134F9"/>
    <w:rsid w:val="00F17AD4"/>
    <w:rsid w:val="00F218E0"/>
    <w:rsid w:val="00F21DDD"/>
    <w:rsid w:val="00F2366F"/>
    <w:rsid w:val="00F236A1"/>
    <w:rsid w:val="00F23A53"/>
    <w:rsid w:val="00F24382"/>
    <w:rsid w:val="00F24C62"/>
    <w:rsid w:val="00F2677A"/>
    <w:rsid w:val="00F26DB6"/>
    <w:rsid w:val="00F27497"/>
    <w:rsid w:val="00F33F55"/>
    <w:rsid w:val="00F34138"/>
    <w:rsid w:val="00F3642B"/>
    <w:rsid w:val="00F3784C"/>
    <w:rsid w:val="00F379D7"/>
    <w:rsid w:val="00F37C91"/>
    <w:rsid w:val="00F41276"/>
    <w:rsid w:val="00F4230D"/>
    <w:rsid w:val="00F45997"/>
    <w:rsid w:val="00F466B5"/>
    <w:rsid w:val="00F47033"/>
    <w:rsid w:val="00F47FCE"/>
    <w:rsid w:val="00F501D2"/>
    <w:rsid w:val="00F5266F"/>
    <w:rsid w:val="00F55AB2"/>
    <w:rsid w:val="00F55C60"/>
    <w:rsid w:val="00F56447"/>
    <w:rsid w:val="00F573FF"/>
    <w:rsid w:val="00F619ED"/>
    <w:rsid w:val="00F62FA9"/>
    <w:rsid w:val="00F64055"/>
    <w:rsid w:val="00F67011"/>
    <w:rsid w:val="00F710C6"/>
    <w:rsid w:val="00F7377F"/>
    <w:rsid w:val="00F8292E"/>
    <w:rsid w:val="00F848D2"/>
    <w:rsid w:val="00F87FD4"/>
    <w:rsid w:val="00F911E4"/>
    <w:rsid w:val="00F9481A"/>
    <w:rsid w:val="00F964FD"/>
    <w:rsid w:val="00F96AB1"/>
    <w:rsid w:val="00F97692"/>
    <w:rsid w:val="00F9783F"/>
    <w:rsid w:val="00F978B3"/>
    <w:rsid w:val="00FA2523"/>
    <w:rsid w:val="00FA282C"/>
    <w:rsid w:val="00FA547C"/>
    <w:rsid w:val="00FA589F"/>
    <w:rsid w:val="00FB44F1"/>
    <w:rsid w:val="00FB603A"/>
    <w:rsid w:val="00FC755D"/>
    <w:rsid w:val="00FD376E"/>
    <w:rsid w:val="00FD724A"/>
    <w:rsid w:val="00FE00F9"/>
    <w:rsid w:val="00FE02A9"/>
    <w:rsid w:val="00FE22E3"/>
    <w:rsid w:val="00FE3DFF"/>
    <w:rsid w:val="00FE6398"/>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34"/>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54024A"/>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color w:val="3B3838" w:themeColor="background2" w:themeShade="40"/>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lang w:val="es-CO"/>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hAnsi="Arial"/>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D36E83"/>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5E156B"/>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E156B"/>
  </w:style>
  <w:style w:type="character" w:customStyle="1" w:styleId="Ttulo2Car">
    <w:name w:val="Título 2 Car"/>
    <w:basedOn w:val="Fuentedeprrafopredeter"/>
    <w:link w:val="Ttulo2"/>
    <w:uiPriority w:val="9"/>
    <w:rsid w:val="0054024A"/>
    <w:rPr>
      <w:rFonts w:ascii="Times New Roman" w:eastAsia="Times New Roman" w:hAnsi="Times New Roman" w:cs="Times New Roman"/>
      <w:b/>
      <w:bCs/>
      <w:sz w:val="36"/>
      <w:szCs w:val="36"/>
      <w:lang w:eastAsia="es-ES_tradnl"/>
    </w:rPr>
  </w:style>
  <w:style w:type="character" w:styleId="Mencinsinresolver">
    <w:name w:val="Unresolved Mention"/>
    <w:basedOn w:val="Fuentedeprrafopredeter"/>
    <w:uiPriority w:val="99"/>
    <w:semiHidden/>
    <w:unhideWhenUsed/>
    <w:rsid w:val="00C24A71"/>
    <w:rPr>
      <w:color w:val="605E5C"/>
      <w:shd w:val="clear" w:color="auto" w:fill="E1DFDD"/>
    </w:rPr>
  </w:style>
  <w:style w:type="character" w:styleId="nfasis">
    <w:name w:val="Emphasis"/>
    <w:basedOn w:val="Fuentedeprrafopredeter"/>
    <w:uiPriority w:val="20"/>
    <w:qFormat/>
    <w:rsid w:val="00B61C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922">
      <w:bodyDiv w:val="1"/>
      <w:marLeft w:val="0"/>
      <w:marRight w:val="0"/>
      <w:marTop w:val="0"/>
      <w:marBottom w:val="0"/>
      <w:divBdr>
        <w:top w:val="none" w:sz="0" w:space="0" w:color="auto"/>
        <w:left w:val="none" w:sz="0" w:space="0" w:color="auto"/>
        <w:bottom w:val="none" w:sz="0" w:space="0" w:color="auto"/>
        <w:right w:val="none" w:sz="0" w:space="0" w:color="auto"/>
      </w:divBdr>
      <w:divsChild>
        <w:div w:id="1026060282">
          <w:marLeft w:val="0"/>
          <w:marRight w:val="0"/>
          <w:marTop w:val="0"/>
          <w:marBottom w:val="0"/>
          <w:divBdr>
            <w:top w:val="none" w:sz="0" w:space="0" w:color="auto"/>
            <w:left w:val="none" w:sz="0" w:space="0" w:color="auto"/>
            <w:bottom w:val="none" w:sz="0" w:space="0" w:color="auto"/>
            <w:right w:val="none" w:sz="0" w:space="0" w:color="auto"/>
          </w:divBdr>
          <w:divsChild>
            <w:div w:id="832569599">
              <w:marLeft w:val="0"/>
              <w:marRight w:val="0"/>
              <w:marTop w:val="0"/>
              <w:marBottom w:val="0"/>
              <w:divBdr>
                <w:top w:val="none" w:sz="0" w:space="0" w:color="auto"/>
                <w:left w:val="none" w:sz="0" w:space="0" w:color="auto"/>
                <w:bottom w:val="none" w:sz="0" w:space="0" w:color="auto"/>
                <w:right w:val="none" w:sz="0" w:space="0" w:color="auto"/>
              </w:divBdr>
              <w:divsChild>
                <w:div w:id="1106585163">
                  <w:marLeft w:val="0"/>
                  <w:marRight w:val="0"/>
                  <w:marTop w:val="0"/>
                  <w:marBottom w:val="0"/>
                  <w:divBdr>
                    <w:top w:val="none" w:sz="0" w:space="0" w:color="auto"/>
                    <w:left w:val="none" w:sz="0" w:space="0" w:color="auto"/>
                    <w:bottom w:val="none" w:sz="0" w:space="0" w:color="auto"/>
                    <w:right w:val="none" w:sz="0" w:space="0" w:color="auto"/>
                  </w:divBdr>
                  <w:divsChild>
                    <w:div w:id="7136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75250660">
      <w:bodyDiv w:val="1"/>
      <w:marLeft w:val="0"/>
      <w:marRight w:val="0"/>
      <w:marTop w:val="0"/>
      <w:marBottom w:val="0"/>
      <w:divBdr>
        <w:top w:val="none" w:sz="0" w:space="0" w:color="auto"/>
        <w:left w:val="none" w:sz="0" w:space="0" w:color="auto"/>
        <w:bottom w:val="none" w:sz="0" w:space="0" w:color="auto"/>
        <w:right w:val="none" w:sz="0" w:space="0" w:color="auto"/>
      </w:divBdr>
      <w:divsChild>
        <w:div w:id="1950118740">
          <w:marLeft w:val="0"/>
          <w:marRight w:val="0"/>
          <w:marTop w:val="0"/>
          <w:marBottom w:val="0"/>
          <w:divBdr>
            <w:top w:val="none" w:sz="0" w:space="0" w:color="auto"/>
            <w:left w:val="none" w:sz="0" w:space="0" w:color="auto"/>
            <w:bottom w:val="none" w:sz="0" w:space="0" w:color="auto"/>
            <w:right w:val="none" w:sz="0" w:space="0" w:color="auto"/>
          </w:divBdr>
          <w:divsChild>
            <w:div w:id="447508391">
              <w:marLeft w:val="0"/>
              <w:marRight w:val="0"/>
              <w:marTop w:val="0"/>
              <w:marBottom w:val="0"/>
              <w:divBdr>
                <w:top w:val="none" w:sz="0" w:space="0" w:color="auto"/>
                <w:left w:val="none" w:sz="0" w:space="0" w:color="auto"/>
                <w:bottom w:val="none" w:sz="0" w:space="0" w:color="auto"/>
                <w:right w:val="none" w:sz="0" w:space="0" w:color="auto"/>
              </w:divBdr>
              <w:divsChild>
                <w:div w:id="6252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525827599">
      <w:bodyDiv w:val="1"/>
      <w:marLeft w:val="0"/>
      <w:marRight w:val="0"/>
      <w:marTop w:val="0"/>
      <w:marBottom w:val="0"/>
      <w:divBdr>
        <w:top w:val="none" w:sz="0" w:space="0" w:color="auto"/>
        <w:left w:val="none" w:sz="0" w:space="0" w:color="auto"/>
        <w:bottom w:val="none" w:sz="0" w:space="0" w:color="auto"/>
        <w:right w:val="none" w:sz="0" w:space="0" w:color="auto"/>
      </w:divBdr>
      <w:divsChild>
        <w:div w:id="2134671273">
          <w:marLeft w:val="0"/>
          <w:marRight w:val="0"/>
          <w:marTop w:val="0"/>
          <w:marBottom w:val="0"/>
          <w:divBdr>
            <w:top w:val="none" w:sz="0" w:space="0" w:color="auto"/>
            <w:left w:val="none" w:sz="0" w:space="0" w:color="auto"/>
            <w:bottom w:val="none" w:sz="0" w:space="0" w:color="auto"/>
            <w:right w:val="none" w:sz="0" w:space="0" w:color="auto"/>
          </w:divBdr>
          <w:divsChild>
            <w:div w:id="223564128">
              <w:marLeft w:val="0"/>
              <w:marRight w:val="0"/>
              <w:marTop w:val="0"/>
              <w:marBottom w:val="0"/>
              <w:divBdr>
                <w:top w:val="none" w:sz="0" w:space="0" w:color="auto"/>
                <w:left w:val="none" w:sz="0" w:space="0" w:color="auto"/>
                <w:bottom w:val="none" w:sz="0" w:space="0" w:color="auto"/>
                <w:right w:val="none" w:sz="0" w:space="0" w:color="auto"/>
              </w:divBdr>
              <w:divsChild>
                <w:div w:id="20189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1114596758">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31472336">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89674861">
      <w:bodyDiv w:val="1"/>
      <w:marLeft w:val="0"/>
      <w:marRight w:val="0"/>
      <w:marTop w:val="0"/>
      <w:marBottom w:val="0"/>
      <w:divBdr>
        <w:top w:val="none" w:sz="0" w:space="0" w:color="auto"/>
        <w:left w:val="none" w:sz="0" w:space="0" w:color="auto"/>
        <w:bottom w:val="none" w:sz="0" w:space="0" w:color="auto"/>
        <w:right w:val="none" w:sz="0" w:space="0" w:color="auto"/>
      </w:divBdr>
    </w:div>
    <w:div w:id="21101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122_2007.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00_199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ficha/C-683%20de%202021"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C249CA26-5068-4BEC-A473-10196A53B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11D4D-2FF0-42E2-B7B4-9CFCE4F7B1FA}">
  <ds:schemaRefs>
    <ds:schemaRef ds:uri="http://schemas.openxmlformats.org/officeDocument/2006/bibliography"/>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17</Pages>
  <Words>6088</Words>
  <Characters>33486</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Sebastián Ramírez Grisales</cp:lastModifiedBy>
  <cp:revision>33</cp:revision>
  <cp:lastPrinted>2020-03-17T17:42:00Z</cp:lastPrinted>
  <dcterms:created xsi:type="dcterms:W3CDTF">2022-02-04T16:47:00Z</dcterms:created>
  <dcterms:modified xsi:type="dcterms:W3CDTF">2022-02-04T22:53:00Z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