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55FBD910" w14:textId="77777777" w:rsidR="008536BB" w:rsidRPr="00A43C00" w:rsidRDefault="008536BB" w:rsidP="00B95C30">
      <w:pPr>
        <w:spacing w:line="276" w:lineRule="auto"/>
        <w:jc w:val="both"/>
        <w:rPr>
          <w:rFonts w:ascii="Arial" w:hAnsi="Arial" w:cs="Arial"/>
          <w:noProof/>
          <w:color w:val="000000" w:themeColor="text1"/>
          <w:sz w:val="22"/>
          <w:lang w:val="es-ES_tradnl"/>
        </w:rPr>
      </w:pPr>
    </w:p>
    <w:p w14:paraId="0B56461E"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SELECCIÓN OBJETIVA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Contratación estatal </w:t>
      </w:r>
      <w:r w:rsidRPr="00C440B6">
        <w:rPr>
          <w:rFonts w:ascii="Arial" w:eastAsia="Calibri" w:hAnsi="Arial" w:cs="Arial"/>
          <w:b/>
          <w:color w:val="000000" w:themeColor="text1"/>
          <w:sz w:val="22"/>
          <w:lang w:val="es-ES_tradnl"/>
        </w:rPr>
        <w:t>– Concepto</w:t>
      </w:r>
    </w:p>
    <w:p w14:paraId="07CCA912" w14:textId="77777777" w:rsidR="00E620B6" w:rsidRPr="00C440B6" w:rsidRDefault="00E620B6" w:rsidP="00E620B6">
      <w:pPr>
        <w:jc w:val="both"/>
        <w:rPr>
          <w:rFonts w:ascii="Arial" w:eastAsia="Calibri" w:hAnsi="Arial" w:cs="Arial"/>
          <w:b/>
          <w:sz w:val="22"/>
          <w:lang w:val="es-ES_tradnl"/>
        </w:rPr>
      </w:pPr>
    </w:p>
    <w:p w14:paraId="517EC58B"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76D5392" w14:textId="77777777" w:rsidR="00E620B6" w:rsidRPr="00C440B6" w:rsidRDefault="00E620B6" w:rsidP="00E620B6">
      <w:pPr>
        <w:jc w:val="both"/>
        <w:rPr>
          <w:rFonts w:ascii="Arial" w:eastAsia="Calibri" w:hAnsi="Arial" w:cs="Arial"/>
          <w:b/>
          <w:sz w:val="22"/>
          <w:lang w:val="es-ES_tradnl"/>
        </w:rPr>
      </w:pPr>
    </w:p>
    <w:p w14:paraId="082BB500"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EMPATE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Procedimiento de selección </w:t>
      </w:r>
      <w:r w:rsidRPr="00C440B6">
        <w:rPr>
          <w:rFonts w:ascii="Arial" w:eastAsia="Calibri" w:hAnsi="Arial" w:cs="Arial"/>
          <w:b/>
          <w:color w:val="000000" w:themeColor="text1"/>
          <w:sz w:val="22"/>
          <w:lang w:val="es-ES_tradnl"/>
        </w:rPr>
        <w:t>– Concepto</w:t>
      </w:r>
    </w:p>
    <w:p w14:paraId="0FCB73E1" w14:textId="77777777" w:rsidR="00E620B6" w:rsidRPr="00C440B6" w:rsidRDefault="00E620B6" w:rsidP="00E620B6">
      <w:pPr>
        <w:jc w:val="both"/>
        <w:rPr>
          <w:rFonts w:ascii="Arial" w:eastAsia="Calibri" w:hAnsi="Arial" w:cs="Arial"/>
          <w:b/>
          <w:sz w:val="22"/>
          <w:lang w:val="es-ES_tradnl"/>
        </w:rPr>
      </w:pPr>
    </w:p>
    <w:p w14:paraId="0B293F08" w14:textId="77777777" w:rsidR="00E620B6" w:rsidRPr="005419DA" w:rsidRDefault="00E620B6" w:rsidP="00E620B6">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4863C38A"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3651505D"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FACTORES DE DESEMPATE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Características </w:t>
      </w:r>
      <w:r w:rsidRPr="00C440B6">
        <w:rPr>
          <w:rFonts w:ascii="Arial" w:eastAsia="Calibri" w:hAnsi="Arial" w:cs="Arial"/>
          <w:b/>
          <w:color w:val="000000" w:themeColor="text1"/>
          <w:sz w:val="22"/>
          <w:lang w:val="es-ES_tradnl"/>
        </w:rPr>
        <w:t>– Límites</w:t>
      </w:r>
    </w:p>
    <w:p w14:paraId="6884C158"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47FA4AB3"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681086EC" w14:textId="77777777" w:rsidR="00E620B6" w:rsidRPr="005419DA" w:rsidRDefault="00E620B6" w:rsidP="00E620B6">
      <w:pPr>
        <w:jc w:val="both"/>
        <w:rPr>
          <w:rFonts w:ascii="Arial" w:eastAsia="Calibri" w:hAnsi="Arial" w:cs="Arial"/>
          <w:sz w:val="20"/>
          <w:szCs w:val="20"/>
          <w:lang w:val="es-ES_tradnl"/>
        </w:rPr>
      </w:pPr>
    </w:p>
    <w:p w14:paraId="5D14FA07"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8C8C6C6"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197E4072" w14:textId="77777777" w:rsidR="00E620B6" w:rsidRDefault="00E620B6" w:rsidP="00E620B6">
      <w:pPr>
        <w:jc w:val="both"/>
        <w:rPr>
          <w:rFonts w:ascii="Arial" w:eastAsia="Calibri" w:hAnsi="Arial" w:cs="Arial"/>
          <w:b/>
          <w:sz w:val="22"/>
          <w:lang w:val="es-ES_tradnl"/>
        </w:rPr>
      </w:pPr>
    </w:p>
    <w:p w14:paraId="1B7B16D4" w14:textId="77777777" w:rsidR="00E620B6" w:rsidRDefault="00E620B6" w:rsidP="00E620B6">
      <w:pPr>
        <w:jc w:val="both"/>
        <w:rPr>
          <w:rFonts w:ascii="Arial" w:eastAsia="Calibri" w:hAnsi="Arial" w:cs="Arial"/>
          <w:b/>
          <w:sz w:val="22"/>
          <w:lang w:val="es-ES_tradnl"/>
        </w:rPr>
      </w:pPr>
    </w:p>
    <w:p w14:paraId="5C278C72"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lastRenderedPageBreak/>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7443CB8D" w14:textId="77777777" w:rsidR="00E620B6" w:rsidRPr="00C440B6" w:rsidRDefault="00E620B6" w:rsidP="00E620B6">
      <w:pPr>
        <w:jc w:val="both"/>
        <w:rPr>
          <w:rFonts w:ascii="Arial" w:eastAsia="Calibri" w:hAnsi="Arial" w:cs="Arial"/>
          <w:b/>
          <w:sz w:val="22"/>
          <w:lang w:val="es-ES_tradnl"/>
        </w:rPr>
      </w:pPr>
    </w:p>
    <w:p w14:paraId="67E4CDC4"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FB6C79F" w14:textId="77777777" w:rsidR="00E620B6" w:rsidRPr="005419DA" w:rsidRDefault="00E620B6" w:rsidP="00E620B6">
      <w:pPr>
        <w:jc w:val="both"/>
        <w:rPr>
          <w:rFonts w:ascii="Arial" w:eastAsia="Calibri" w:hAnsi="Arial" w:cs="Arial"/>
          <w:sz w:val="20"/>
          <w:szCs w:val="20"/>
          <w:lang w:val="es-ES_tradnl"/>
        </w:rPr>
      </w:pPr>
    </w:p>
    <w:p w14:paraId="3214FC6C"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F4A4C70" w14:textId="77777777" w:rsidR="000E222E" w:rsidRDefault="000E222E" w:rsidP="000E222E">
      <w:pPr>
        <w:jc w:val="both"/>
        <w:rPr>
          <w:rFonts w:ascii="Arial" w:eastAsia="Calibri" w:hAnsi="Arial" w:cs="Arial"/>
          <w:b/>
          <w:sz w:val="22"/>
          <w:lang w:val="es-ES_tradnl"/>
        </w:rPr>
      </w:pPr>
    </w:p>
    <w:p w14:paraId="205E7126" w14:textId="138A64D0" w:rsidR="000E222E" w:rsidRPr="001C64F9" w:rsidRDefault="000E222E" w:rsidP="000E222E">
      <w:pPr>
        <w:jc w:val="both"/>
        <w:rPr>
          <w:rFonts w:ascii="Arial" w:eastAsia="Calibri" w:hAnsi="Arial" w:cs="Arial"/>
          <w:b/>
          <w:sz w:val="22"/>
          <w:lang w:val="es-ES_tradnl"/>
        </w:rPr>
      </w:pP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Fundamento normativo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Ley 2022 de 2020</w:t>
      </w:r>
    </w:p>
    <w:p w14:paraId="6227701B" w14:textId="77777777" w:rsidR="000E222E" w:rsidRDefault="000E222E" w:rsidP="000E222E">
      <w:pPr>
        <w:jc w:val="both"/>
        <w:rPr>
          <w:rFonts w:ascii="Arial" w:eastAsia="Calibri" w:hAnsi="Arial" w:cs="Arial"/>
          <w:b/>
          <w:sz w:val="22"/>
          <w:lang w:val="es-ES_tradnl"/>
        </w:rPr>
      </w:pPr>
    </w:p>
    <w:p w14:paraId="1E04A995" w14:textId="77777777" w:rsidR="000E222E" w:rsidRDefault="000E222E" w:rsidP="000E222E">
      <w:pPr>
        <w:jc w:val="both"/>
        <w:rPr>
          <w:rFonts w:ascii="Arial" w:eastAsia="Calibri" w:hAnsi="Arial" w:cs="Arial"/>
          <w:sz w:val="20"/>
          <w:szCs w:val="20"/>
          <w:lang w:val="es-ES_tradnl"/>
        </w:rPr>
      </w:pPr>
      <w:r>
        <w:rPr>
          <w:rFonts w:ascii="Arial" w:eastAsia="Calibri" w:hAnsi="Arial" w:cs="Arial"/>
          <w:sz w:val="20"/>
          <w:szCs w:val="20"/>
          <w:lang w:val="es-ES_tradnl"/>
        </w:rPr>
        <w:t>[…]</w:t>
      </w:r>
      <w:r w:rsidRPr="00ED0AF0">
        <w:rPr>
          <w:rFonts w:ascii="Arial" w:eastAsia="Calibri" w:hAnsi="Arial" w:cs="Arial"/>
          <w:sz w:val="20"/>
          <w:szCs w:val="20"/>
          <w:lang w:val="es-ES_tradnl"/>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w:t>
      </w:r>
      <w:r>
        <w:rPr>
          <w:rFonts w:ascii="Arial" w:eastAsia="Calibri" w:hAnsi="Arial" w:cs="Arial"/>
          <w:sz w:val="20"/>
          <w:szCs w:val="20"/>
          <w:lang w:val="es-ES_tradnl"/>
        </w:rPr>
        <w:t>L</w:t>
      </w:r>
      <w:r w:rsidRPr="00ED0AF0">
        <w:rPr>
          <w:rFonts w:ascii="Arial" w:eastAsia="Calibri" w:hAnsi="Arial" w:cs="Arial"/>
          <w:sz w:val="20"/>
          <w:szCs w:val="20"/>
          <w:lang w:val="es-ES_tradnl"/>
        </w:rPr>
        <w:t>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3EA7094" w14:textId="77777777" w:rsidR="000E222E" w:rsidRDefault="000E222E" w:rsidP="000E222E">
      <w:pPr>
        <w:jc w:val="both"/>
        <w:rPr>
          <w:rFonts w:ascii="Arial" w:eastAsia="Calibri" w:hAnsi="Arial" w:cs="Arial"/>
          <w:sz w:val="20"/>
          <w:szCs w:val="20"/>
          <w:lang w:val="es-ES_tradnl"/>
        </w:rPr>
      </w:pPr>
    </w:p>
    <w:p w14:paraId="75280D5F" w14:textId="77777777" w:rsidR="000E222E" w:rsidRPr="001C64F9" w:rsidRDefault="000E222E" w:rsidP="000E222E">
      <w:pPr>
        <w:jc w:val="both"/>
        <w:rPr>
          <w:rFonts w:ascii="Arial" w:eastAsia="Calibri" w:hAnsi="Arial" w:cs="Arial"/>
          <w:b/>
          <w:sz w:val="22"/>
          <w:lang w:val="es-ES_tradnl"/>
        </w:rPr>
      </w:pPr>
      <w:r>
        <w:rPr>
          <w:rFonts w:ascii="Arial" w:eastAsia="Calibri" w:hAnsi="Arial" w:cs="Arial"/>
          <w:b/>
          <w:sz w:val="22"/>
          <w:lang w:val="es-ES_tradnl"/>
        </w:rPr>
        <w:t xml:space="preserve">INALTERABILIDAD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Regla vigente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Contenido</w:t>
      </w:r>
    </w:p>
    <w:p w14:paraId="1C95ECCD" w14:textId="77777777" w:rsidR="000E222E" w:rsidRDefault="000E222E" w:rsidP="000E222E">
      <w:pPr>
        <w:jc w:val="both"/>
        <w:rPr>
          <w:rFonts w:ascii="Arial" w:eastAsia="Calibri" w:hAnsi="Arial" w:cs="Arial"/>
          <w:sz w:val="20"/>
          <w:szCs w:val="20"/>
          <w:lang w:val="es-ES_tradnl"/>
        </w:rPr>
      </w:pPr>
    </w:p>
    <w:p w14:paraId="3EAA2E8B" w14:textId="77777777" w:rsidR="000E222E" w:rsidRPr="00F61217" w:rsidRDefault="000E222E" w:rsidP="000E222E">
      <w:pPr>
        <w:jc w:val="both"/>
        <w:rPr>
          <w:rFonts w:ascii="Arial" w:eastAsia="Calibri" w:hAnsi="Arial" w:cs="Arial"/>
          <w:sz w:val="20"/>
          <w:szCs w:val="20"/>
          <w:lang w:val="es-ES_tradnl"/>
        </w:rPr>
      </w:pPr>
      <w:r w:rsidRPr="00F61217">
        <w:rPr>
          <w:rFonts w:ascii="Arial" w:eastAsia="Calibri" w:hAnsi="Arial" w:cs="Arial"/>
          <w:sz w:val="20"/>
          <w:szCs w:val="20"/>
          <w:lang w:val="es-ES_tradnl"/>
        </w:rPr>
        <w:t>Todas las resoluciones</w:t>
      </w:r>
      <w:r>
        <w:rPr>
          <w:rFonts w:ascii="Arial" w:eastAsia="Calibri" w:hAnsi="Arial" w:cs="Arial"/>
          <w:sz w:val="20"/>
          <w:szCs w:val="20"/>
          <w:lang w:val="es-ES_tradnl"/>
        </w:rPr>
        <w:t xml:space="preserve"> </w:t>
      </w:r>
      <w:r w:rsidRPr="00F61217">
        <w:rPr>
          <w:rFonts w:ascii="Arial" w:eastAsia="Calibri" w:hAnsi="Arial" w:cs="Arial"/>
          <w:sz w:val="20"/>
          <w:szCs w:val="20"/>
          <w:lang w:val="es-ES_tradnl"/>
        </w:rPr>
        <w:t xml:space="preserve">expedidas por la Agencia Nacional de Contratación Pública – Colombia Compra Eficiente, mediante las cuales se han adoptado los pliegos tipo, consagran la regla de la inalterabilidad de los Documentos Tipo. Esta prohibición consiste en que las entidades estatales no </w:t>
      </w:r>
      <w:r w:rsidRPr="00F61217">
        <w:rPr>
          <w:rFonts w:ascii="Arial" w:eastAsia="Calibri" w:hAnsi="Arial" w:cs="Arial"/>
          <w:sz w:val="20"/>
          <w:szCs w:val="20"/>
          <w:lang w:val="es-ES_tradnl"/>
        </w:rPr>
        <w:lastRenderedPageBreak/>
        <w:t xml:space="preserve">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Pr>
          <w:rFonts w:ascii="Arial" w:eastAsia="Calibri" w:hAnsi="Arial" w:cs="Arial"/>
          <w:sz w:val="20"/>
          <w:szCs w:val="20"/>
          <w:lang w:val="es-ES_tradnl"/>
        </w:rPr>
        <w:t>Por lo tanto</w:t>
      </w:r>
      <w:r w:rsidRPr="00F61217">
        <w:rPr>
          <w:rFonts w:ascii="Arial" w:eastAsia="Calibri" w:hAnsi="Arial" w:cs="Arial"/>
          <w:sz w:val="20"/>
          <w:szCs w:val="20"/>
          <w:lang w:val="es-ES_tradnl"/>
        </w:rPr>
        <w:t>, las entidades estatales, al realizar sus procedimientos de selección, solo podrán modificarlos en los aspectos en que los documentos tipo lo permitan.</w:t>
      </w:r>
    </w:p>
    <w:p w14:paraId="21C85B92" w14:textId="77777777" w:rsidR="000E222E" w:rsidRDefault="000E222E" w:rsidP="000E222E">
      <w:pPr>
        <w:jc w:val="both"/>
        <w:rPr>
          <w:rFonts w:ascii="Arial" w:eastAsia="Calibri" w:hAnsi="Arial" w:cs="Arial"/>
          <w:sz w:val="20"/>
          <w:szCs w:val="20"/>
          <w:lang w:val="es-ES_tradnl"/>
        </w:rPr>
      </w:pPr>
    </w:p>
    <w:p w14:paraId="1E6DB80C" w14:textId="77777777" w:rsidR="000E222E" w:rsidRPr="00ED0AF0" w:rsidRDefault="000E222E" w:rsidP="000E222E">
      <w:pPr>
        <w:jc w:val="both"/>
        <w:rPr>
          <w:rFonts w:ascii="Arial" w:eastAsia="Calibri" w:hAnsi="Arial" w:cs="Arial"/>
          <w:sz w:val="20"/>
          <w:szCs w:val="20"/>
          <w:lang w:val="es-ES_tradnl"/>
        </w:rPr>
      </w:pPr>
      <w:r w:rsidRPr="00F61217">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6A249705" w14:textId="77777777" w:rsidR="00E620B6" w:rsidRPr="00C440B6" w:rsidRDefault="00E620B6" w:rsidP="00E620B6">
      <w:pPr>
        <w:jc w:val="both"/>
        <w:rPr>
          <w:rFonts w:ascii="Arial" w:eastAsia="Calibri" w:hAnsi="Arial" w:cs="Arial"/>
          <w:b/>
          <w:sz w:val="22"/>
          <w:lang w:val="es-ES_tradnl"/>
        </w:rPr>
      </w:pPr>
    </w:p>
    <w:p w14:paraId="0B471351" w14:textId="55785ED7" w:rsidR="00EE0497" w:rsidRPr="001C64F9" w:rsidRDefault="00EE0497" w:rsidP="00EE0497">
      <w:pPr>
        <w:jc w:val="both"/>
        <w:rPr>
          <w:rFonts w:ascii="Arial" w:eastAsia="Calibri" w:hAnsi="Arial" w:cs="Arial"/>
          <w:b/>
          <w:sz w:val="22"/>
          <w:lang w:val="es-ES_tradnl"/>
        </w:rPr>
      </w:pPr>
      <w:r>
        <w:rPr>
          <w:rFonts w:ascii="Arial" w:eastAsia="Calibri" w:hAnsi="Arial" w:cs="Arial"/>
          <w:b/>
          <w:sz w:val="22"/>
          <w:lang w:val="es-ES_tradnl"/>
        </w:rPr>
        <w:t xml:space="preserve">FACTORES DE DESEMPATE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Inalterabilidad</w:t>
      </w:r>
      <w:r w:rsidR="005466C7">
        <w:rPr>
          <w:rFonts w:ascii="Arial" w:eastAsia="Calibri" w:hAnsi="Arial" w:cs="Arial"/>
          <w:b/>
          <w:sz w:val="22"/>
          <w:lang w:val="es-ES_tradnl"/>
        </w:rPr>
        <w:t xml:space="preserve"> </w:t>
      </w:r>
      <w:r w:rsidR="002E3037" w:rsidRPr="001C64F9">
        <w:rPr>
          <w:rFonts w:ascii="Arial" w:eastAsia="Calibri" w:hAnsi="Arial" w:cs="Arial"/>
          <w:b/>
          <w:color w:val="000000" w:themeColor="text1"/>
          <w:sz w:val="22"/>
          <w:lang w:val="es-ES_tradnl"/>
        </w:rPr>
        <w:t>–</w:t>
      </w:r>
      <w:r w:rsidR="002E3037" w:rsidRPr="001C64F9">
        <w:rPr>
          <w:rFonts w:ascii="Arial" w:eastAsia="Calibri" w:hAnsi="Arial" w:cs="Arial"/>
          <w:b/>
          <w:sz w:val="22"/>
          <w:lang w:val="es-ES_tradnl"/>
        </w:rPr>
        <w:t xml:space="preserve"> </w:t>
      </w:r>
      <w:r w:rsidR="002E3037">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Decaimiento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5466C7">
        <w:rPr>
          <w:rFonts w:ascii="Arial" w:eastAsia="Calibri" w:hAnsi="Arial" w:cs="Arial"/>
          <w:b/>
          <w:color w:val="000000" w:themeColor="text1"/>
          <w:sz w:val="22"/>
          <w:lang w:val="es-ES_tradnl"/>
        </w:rPr>
        <w:t>Pleno derecho</w:t>
      </w:r>
    </w:p>
    <w:p w14:paraId="79F060F2" w14:textId="77777777" w:rsidR="00E620B6" w:rsidRPr="00A37020" w:rsidRDefault="00E620B6" w:rsidP="00E620B6">
      <w:pPr>
        <w:spacing w:line="276" w:lineRule="auto"/>
        <w:jc w:val="both"/>
        <w:rPr>
          <w:rFonts w:ascii="Arial" w:hAnsi="Arial" w:cs="Arial"/>
          <w:noProof/>
          <w:color w:val="000000" w:themeColor="text1"/>
          <w:sz w:val="22"/>
          <w:highlight w:val="yellow"/>
          <w:lang w:val="es-ES_tradnl"/>
        </w:rPr>
      </w:pPr>
    </w:p>
    <w:p w14:paraId="76FEAC98" w14:textId="77777777" w:rsidR="005466C7" w:rsidRPr="005466C7" w:rsidRDefault="005466C7" w:rsidP="005466C7">
      <w:pPr>
        <w:jc w:val="both"/>
        <w:rPr>
          <w:rFonts w:ascii="Arial" w:hAnsi="Arial" w:cs="Arial"/>
          <w:sz w:val="20"/>
          <w:szCs w:val="20"/>
          <w:shd w:val="clear" w:color="auto" w:fill="FFFFFF"/>
          <w:lang w:val="es-ES_tradnl"/>
        </w:rPr>
      </w:pPr>
      <w:r w:rsidRPr="005466C7">
        <w:rPr>
          <w:rFonts w:ascii="Arial" w:hAnsi="Arial" w:cs="Arial"/>
          <w:color w:val="000000" w:themeColor="text1"/>
          <w:sz w:val="20"/>
          <w:szCs w:val="20"/>
          <w:lang w:val="es-ES_tradnl"/>
        </w:rPr>
        <w:t xml:space="preserve">Las entidades estatales obligadas a adelantar sus procesos de selección con base en los documentos tipo deben respetar la </w:t>
      </w:r>
      <w:r w:rsidRPr="005466C7">
        <w:rPr>
          <w:rFonts w:ascii="Arial" w:hAnsi="Arial" w:cs="Arial"/>
          <w:i/>
          <w:iCs/>
          <w:color w:val="000000" w:themeColor="text1"/>
          <w:sz w:val="20"/>
          <w:szCs w:val="20"/>
          <w:lang w:val="es-ES_tradnl"/>
        </w:rPr>
        <w:t>regla de la inalterabilidad</w:t>
      </w:r>
      <w:r w:rsidRPr="005466C7">
        <w:rPr>
          <w:rFonts w:ascii="Arial" w:hAnsi="Arial" w:cs="Arial"/>
          <w:color w:val="000000" w:themeColor="text1"/>
          <w:sz w:val="20"/>
          <w:szCs w:val="20"/>
          <w:lang w:val="es-ES_tradnl"/>
        </w:rPr>
        <w:t xml:space="preserve"> prevista en el </w:t>
      </w:r>
      <w:r w:rsidRPr="005466C7">
        <w:rPr>
          <w:rFonts w:ascii="Arial" w:hAnsi="Arial" w:cs="Arial"/>
          <w:sz w:val="20"/>
          <w:szCs w:val="20"/>
          <w:shd w:val="clear" w:color="auto" w:fill="FFFFFF"/>
          <w:lang w:val="es-ES_tradnl"/>
        </w:rPr>
        <w:t xml:space="preserve">artículo 1 de la Ley 2022 de 2020 y en las diversas resoluciones expedidas por la Agencia Nacional de Contratación Pública – Colombia Compra Eficiente para implementar dichos documentos. Pero, esta regla no se opone al deber de acatar el artículo 35 de la Ley 2069 de 2020, pues este comenzó a regir a partir del 31 de diciembre de 2020. En consecuencia, las entidades estatales deben incluir en sus pliegos de condiciones particulares los factores de desempate previstos en el mencionado artículo 35, porque desde que esta norma inició su vigencia se incorporó de pleno derecho a los documentos tipo, en la medida en que produjo la pérdida de fuerza ejecutoria –prevista en el artículo 91, numeral 2, de la Ley 1437 de 2011– tanto del artículo 2.2.1.1.2.2.9. del Decreto 1082 de 2015, como del numeral 4,6 de los documentos tipo, que a su vez se había fundamentado en el referido artículo del Decreto 1082 de 2015. </w:t>
      </w:r>
    </w:p>
    <w:p w14:paraId="27F9E7A8" w14:textId="77777777" w:rsidR="005466C7" w:rsidRDefault="005466C7" w:rsidP="005466C7">
      <w:pPr>
        <w:jc w:val="both"/>
        <w:rPr>
          <w:rFonts w:ascii="Arial" w:hAnsi="Arial" w:cs="Arial"/>
          <w:sz w:val="20"/>
          <w:szCs w:val="20"/>
          <w:shd w:val="clear" w:color="auto" w:fill="FFFFFF"/>
          <w:lang w:val="es-ES_tradnl"/>
        </w:rPr>
      </w:pPr>
    </w:p>
    <w:p w14:paraId="23302920" w14:textId="5DBFF3D4" w:rsidR="005466C7" w:rsidRPr="005466C7" w:rsidRDefault="005466C7" w:rsidP="005466C7">
      <w:pPr>
        <w:jc w:val="both"/>
        <w:rPr>
          <w:rFonts w:ascii="Arial" w:hAnsi="Arial" w:cs="Arial"/>
          <w:sz w:val="20"/>
          <w:szCs w:val="20"/>
          <w:shd w:val="clear" w:color="auto" w:fill="FFFFFF"/>
          <w:lang w:val="es-ES_tradnl"/>
        </w:rPr>
      </w:pPr>
      <w:r w:rsidRPr="005466C7">
        <w:rPr>
          <w:rFonts w:ascii="Arial" w:hAnsi="Arial" w:cs="Arial"/>
          <w:sz w:val="20"/>
          <w:szCs w:val="20"/>
          <w:shd w:val="clear" w:color="auto" w:fill="FFFFFF"/>
          <w:lang w:val="es-ES_tradnl"/>
        </w:rPr>
        <w:t xml:space="preserve">De manera que cuando las entidades estatales incorporan a sus pliegos de condiciones particulares o documentos equivalentes los factores de desempate regulados hoy en el artículo 35 de la Ley 2069 de 2020 </w:t>
      </w:r>
      <w:r w:rsidRPr="005466C7">
        <w:rPr>
          <w:rFonts w:ascii="Arial" w:hAnsi="Arial" w:cs="Arial"/>
          <w:i/>
          <w:iCs/>
          <w:sz w:val="20"/>
          <w:szCs w:val="20"/>
          <w:shd w:val="clear" w:color="auto" w:fill="FFFFFF"/>
          <w:lang w:val="es-ES_tradnl"/>
        </w:rPr>
        <w:t>no</w:t>
      </w:r>
      <w:r w:rsidRPr="005466C7">
        <w:rPr>
          <w:rFonts w:ascii="Arial" w:hAnsi="Arial" w:cs="Arial"/>
          <w:sz w:val="20"/>
          <w:szCs w:val="20"/>
          <w:shd w:val="clear" w:color="auto" w:fill="FFFFFF"/>
          <w:lang w:val="es-ES_tradnl"/>
        </w:rPr>
        <w:t xml:space="preserve"> alteran los documentos tipo –y, en tal sentido, no atentan contra la regla de la inalterabilidad–, pues el Legislador ya modificó dichos documentos. Esto por cuanto a través de una norma de mayor jerarquía –el artículo 35 de la Ley 2069 de 2020– derogó la regulación hasta ese momento vigente en el Decreto 1082 de 2015 y en las demás disposiciones reglamentarias. Los documentos tipo expedidos por la Agencia Nacional de Contratación Pública – Colombia Compra Eficiente son reglamentos </w:t>
      </w:r>
      <w:proofErr w:type="spellStart"/>
      <w:r w:rsidRPr="005466C7">
        <w:rPr>
          <w:rFonts w:ascii="Arial" w:hAnsi="Arial" w:cs="Arial"/>
          <w:i/>
          <w:iCs/>
          <w:sz w:val="20"/>
          <w:szCs w:val="20"/>
          <w:shd w:val="clear" w:color="auto" w:fill="FFFFFF"/>
          <w:lang w:val="es-ES_tradnl"/>
        </w:rPr>
        <w:t>secundum</w:t>
      </w:r>
      <w:proofErr w:type="spellEnd"/>
      <w:r w:rsidRPr="005466C7">
        <w:rPr>
          <w:rFonts w:ascii="Arial" w:hAnsi="Arial" w:cs="Arial"/>
          <w:i/>
          <w:iCs/>
          <w:sz w:val="20"/>
          <w:szCs w:val="20"/>
          <w:shd w:val="clear" w:color="auto" w:fill="FFFFFF"/>
          <w:lang w:val="es-ES_tradnl"/>
        </w:rPr>
        <w:t xml:space="preserve"> </w:t>
      </w:r>
      <w:proofErr w:type="spellStart"/>
      <w:r w:rsidRPr="005466C7">
        <w:rPr>
          <w:rFonts w:ascii="Arial" w:hAnsi="Arial" w:cs="Arial"/>
          <w:i/>
          <w:iCs/>
          <w:sz w:val="20"/>
          <w:szCs w:val="20"/>
          <w:shd w:val="clear" w:color="auto" w:fill="FFFFFF"/>
          <w:lang w:val="es-ES_tradnl"/>
        </w:rPr>
        <w:t>legem</w:t>
      </w:r>
      <w:proofErr w:type="spellEnd"/>
      <w:r w:rsidRPr="005466C7">
        <w:rPr>
          <w:rFonts w:ascii="Arial" w:hAnsi="Arial" w:cs="Arial"/>
          <w:sz w:val="20"/>
          <w:szCs w:val="20"/>
          <w:shd w:val="clear" w:color="auto" w:fill="FFFFFF"/>
          <w:lang w:val="es-ES_tradnl"/>
        </w:rPr>
        <w:t xml:space="preserve">, supeditados al Decreto 1082 de 2015, y, por lo tanto, al quedar derogada la regulación de los factores de desempate en dicho Decreto, ha perdido fuerza ejecutoria el tratamiento normativo de los factores de desempate contenido en los documentos tipo, que se inspiraba en el artículo 2.2.1.1.2.2.9. del Decreto 1082 de 2015. Así las cosas, al decaer los apartados de los documentos tipo que regían los factores de desempate, automáticamente se integra a tales documentos el artículo 35 de la Ley 2069 de 2020, porque tiene eficacia directa e inmediata, dado que esta no se encuentra supeditada a la expedición de un decreto reglamentario por parte del gobierno nacional.    </w:t>
      </w:r>
    </w:p>
    <w:p w14:paraId="7725C946" w14:textId="77777777" w:rsidR="00113657" w:rsidRDefault="00113657" w:rsidP="00B95C30">
      <w:pPr>
        <w:spacing w:line="276" w:lineRule="auto"/>
        <w:jc w:val="both"/>
        <w:rPr>
          <w:rFonts w:ascii="Arial" w:hAnsi="Arial" w:cs="Arial"/>
          <w:noProof/>
          <w:color w:val="000000" w:themeColor="text1"/>
          <w:sz w:val="22"/>
          <w:lang w:val="es-ES_tradnl"/>
        </w:rPr>
      </w:pPr>
    </w:p>
    <w:p w14:paraId="1E5C4820" w14:textId="77777777" w:rsidR="002F3A37" w:rsidRDefault="002F3A37" w:rsidP="00B95C30">
      <w:pPr>
        <w:spacing w:line="276" w:lineRule="auto"/>
        <w:jc w:val="both"/>
        <w:rPr>
          <w:rFonts w:ascii="Arial" w:hAnsi="Arial" w:cs="Arial"/>
          <w:noProof/>
          <w:color w:val="000000" w:themeColor="text1"/>
          <w:sz w:val="22"/>
          <w:lang w:val="es-ES_tradnl"/>
        </w:rPr>
      </w:pPr>
    </w:p>
    <w:p w14:paraId="3DF5A7AA" w14:textId="77777777" w:rsidR="002F3A37" w:rsidRDefault="002F3A37" w:rsidP="00B95C30">
      <w:pPr>
        <w:spacing w:line="276" w:lineRule="auto"/>
        <w:jc w:val="both"/>
        <w:rPr>
          <w:rFonts w:ascii="Arial" w:hAnsi="Arial" w:cs="Arial"/>
          <w:noProof/>
          <w:color w:val="000000" w:themeColor="text1"/>
          <w:sz w:val="22"/>
          <w:lang w:val="es-ES_tradnl"/>
        </w:rPr>
      </w:pPr>
    </w:p>
    <w:p w14:paraId="7DD48F49" w14:textId="09201D4D" w:rsidR="00B95C30" w:rsidRPr="00A43C00" w:rsidRDefault="00B95C30" w:rsidP="00B95C30">
      <w:pPr>
        <w:spacing w:line="276" w:lineRule="auto"/>
        <w:jc w:val="both"/>
        <w:rPr>
          <w:rFonts w:ascii="Arial" w:eastAsia="Calibri" w:hAnsi="Arial" w:cs="Arial"/>
          <w:noProof/>
          <w:color w:val="000000" w:themeColor="text1"/>
          <w:sz w:val="20"/>
          <w:lang w:val="es-ES_tradnl"/>
        </w:rPr>
      </w:pPr>
      <w:r w:rsidRPr="00A43C00">
        <w:rPr>
          <w:rFonts w:ascii="Arial" w:hAnsi="Arial" w:cs="Arial"/>
          <w:noProof/>
          <w:color w:val="000000" w:themeColor="text1"/>
          <w:sz w:val="22"/>
          <w:lang w:val="es-ES_tradnl"/>
        </w:rPr>
        <w:t xml:space="preserve">Bogotá D.C., </w:t>
      </w:r>
      <w:r w:rsidR="00053E38">
        <w:rPr>
          <w:rFonts w:ascii="Arial" w:hAnsi="Arial" w:cs="Arial"/>
          <w:b/>
          <w:bCs/>
          <w:noProof/>
          <w:color w:val="000000" w:themeColor="text1"/>
          <w:sz w:val="22"/>
          <w:lang w:val="es-ES_tradnl"/>
        </w:rPr>
        <w:t>07/04/2021 15:35:56</w:t>
      </w:r>
    </w:p>
    <w:p w14:paraId="02FFB138" w14:textId="32E563C4" w:rsidR="00D11246" w:rsidRPr="00D11246" w:rsidRDefault="00D11246" w:rsidP="0081249B">
      <w:pPr>
        <w:jc w:val="right"/>
      </w:pPr>
      <w:r w:rsidRPr="00D11246">
        <w:fldChar w:fldCharType="begin"/>
      </w:r>
      <w:r w:rsidRPr="00D11246">
        <w:instrText xml:space="preserve"> INCLUDEPICTURE "/var/folders/5l/v1rdjm0x1x9416lmbj7_vjt40000gn/T/com.microsoft.Word/WebArchiveCopyPasteTempFiles/page1image3822144" \* MERGEFORMATINET </w:instrText>
      </w:r>
      <w:r w:rsidRPr="00D11246">
        <w:fldChar w:fldCharType="separate"/>
      </w:r>
      <w:r w:rsidRPr="00D11246">
        <w:rPr>
          <w:noProof/>
        </w:rPr>
        <w:drawing>
          <wp:inline distT="0" distB="0" distL="0" distR="0" wp14:anchorId="6CE0B153" wp14:editId="7EB64E43">
            <wp:extent cx="2400300" cy="611505"/>
            <wp:effectExtent l="0" t="0" r="0" b="0"/>
            <wp:docPr id="4" name="Imagen 4" descr="page1image382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22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1505"/>
                    </a:xfrm>
                    <a:prstGeom prst="rect">
                      <a:avLst/>
                    </a:prstGeom>
                    <a:noFill/>
                    <a:ln>
                      <a:noFill/>
                    </a:ln>
                  </pic:spPr>
                </pic:pic>
              </a:graphicData>
            </a:graphic>
          </wp:inline>
        </w:drawing>
      </w:r>
      <w:r w:rsidRPr="00D11246">
        <w:fldChar w:fldCharType="end"/>
      </w:r>
    </w:p>
    <w:p w14:paraId="6A8A869B" w14:textId="77777777" w:rsidR="00B95C30" w:rsidRPr="00A43C00" w:rsidRDefault="00B95C30" w:rsidP="00B95C30">
      <w:pPr>
        <w:jc w:val="both"/>
        <w:rPr>
          <w:rFonts w:ascii="Arial" w:hAnsi="Arial" w:cs="Arial"/>
          <w:b/>
          <w:color w:val="000000" w:themeColor="text1"/>
          <w:sz w:val="22"/>
          <w:lang w:val="es-ES_tradnl"/>
        </w:rPr>
      </w:pPr>
    </w:p>
    <w:p w14:paraId="5F5AE9EF" w14:textId="1F4F15D9"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r w:rsidR="009B707D" w:rsidRPr="00A43C00">
        <w:rPr>
          <w:rFonts w:ascii="Arial" w:eastAsia="Calibri" w:hAnsi="Arial" w:cs="Arial"/>
          <w:color w:val="000000" w:themeColor="text1"/>
          <w:sz w:val="22"/>
          <w:lang w:val="es-ES_tradnl"/>
        </w:rPr>
        <w:t>a</w:t>
      </w:r>
    </w:p>
    <w:p w14:paraId="3DCD58CE" w14:textId="56AE0965" w:rsidR="00B95C30" w:rsidRPr="00A43C00" w:rsidRDefault="00B15C4B"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Catalina </w:t>
      </w:r>
      <w:proofErr w:type="spellStart"/>
      <w:r>
        <w:rPr>
          <w:rFonts w:ascii="Arial" w:eastAsia="Calibri" w:hAnsi="Arial" w:cs="Arial"/>
          <w:b/>
          <w:color w:val="000000" w:themeColor="text1"/>
          <w:sz w:val="22"/>
          <w:lang w:val="es-ES_tradnl"/>
        </w:rPr>
        <w:t>Tellez</w:t>
      </w:r>
      <w:proofErr w:type="spellEnd"/>
      <w:r>
        <w:rPr>
          <w:rFonts w:ascii="Arial" w:eastAsia="Calibri" w:hAnsi="Arial" w:cs="Arial"/>
          <w:b/>
          <w:color w:val="000000" w:themeColor="text1"/>
          <w:sz w:val="22"/>
          <w:lang w:val="es-ES_tradnl"/>
        </w:rPr>
        <w:t xml:space="preserve"> Posada</w:t>
      </w:r>
    </w:p>
    <w:p w14:paraId="09D4AEA8" w14:textId="0AB03556" w:rsidR="00B95C30" w:rsidRPr="00A43C00" w:rsidRDefault="00336155"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w:t>
      </w:r>
      <w:r w:rsidR="009B707D" w:rsidRPr="00A43C0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D.C.</w:t>
      </w:r>
    </w:p>
    <w:p w14:paraId="3F3D1203" w14:textId="77777777" w:rsidR="00B95C30" w:rsidRPr="00A43C00" w:rsidRDefault="00B95C30" w:rsidP="00B95C30">
      <w:pPr>
        <w:jc w:val="both"/>
        <w:rPr>
          <w:rFonts w:ascii="Arial" w:eastAsia="Calibri" w:hAnsi="Arial" w:cs="Arial"/>
          <w:color w:val="000000" w:themeColor="text1"/>
          <w:sz w:val="22"/>
          <w:lang w:val="es-ES_tradnl"/>
        </w:rPr>
      </w:pPr>
    </w:p>
    <w:p w14:paraId="24E8D2A9" w14:textId="77777777" w:rsidR="00B95C30" w:rsidRPr="00A43C00" w:rsidRDefault="00B95C30" w:rsidP="00B95C30">
      <w:pPr>
        <w:jc w:val="both"/>
        <w:rPr>
          <w:rFonts w:ascii="Arial" w:eastAsia="Calibri" w:hAnsi="Arial" w:cs="Arial"/>
          <w:color w:val="000000" w:themeColor="text1"/>
          <w:sz w:val="22"/>
          <w:lang w:val="es-ES_tradnl"/>
        </w:rPr>
      </w:pPr>
    </w:p>
    <w:p w14:paraId="12E66182" w14:textId="3869E03D" w:rsidR="00B95C30" w:rsidRPr="00A43C00" w:rsidRDefault="00B95C30" w:rsidP="00B95C30">
      <w:pPr>
        <w:jc w:val="center"/>
        <w:rPr>
          <w:rFonts w:ascii="Arial" w:eastAsia="Calibri" w:hAnsi="Arial" w:cs="Arial"/>
          <w:b/>
          <w:bCs/>
          <w:color w:val="000000" w:themeColor="text1"/>
          <w:sz w:val="22"/>
          <w:lang w:val="es-ES_tradnl"/>
        </w:rPr>
      </w:pPr>
      <w:r w:rsidRPr="00B37907">
        <w:rPr>
          <w:rFonts w:ascii="Arial" w:eastAsia="Calibri" w:hAnsi="Arial" w:cs="Arial"/>
          <w:b/>
          <w:bCs/>
          <w:color w:val="000000" w:themeColor="text1"/>
          <w:sz w:val="22"/>
          <w:lang w:val="es-ES_tradnl"/>
        </w:rPr>
        <w:t xml:space="preserve">Concepto C ‒ </w:t>
      </w:r>
      <w:r w:rsidR="00B37907" w:rsidRPr="00B37907">
        <w:rPr>
          <w:rFonts w:ascii="Arial" w:eastAsia="Calibri" w:hAnsi="Arial" w:cs="Arial"/>
          <w:b/>
          <w:bCs/>
          <w:color w:val="000000" w:themeColor="text1"/>
          <w:sz w:val="22"/>
          <w:lang w:val="es-ES_tradnl"/>
        </w:rPr>
        <w:t>139</w:t>
      </w:r>
      <w:r w:rsidRPr="00B37907">
        <w:rPr>
          <w:rFonts w:ascii="Arial" w:eastAsia="Calibri" w:hAnsi="Arial" w:cs="Arial"/>
          <w:b/>
          <w:bCs/>
          <w:color w:val="000000" w:themeColor="text1"/>
          <w:sz w:val="22"/>
          <w:lang w:val="es-ES_tradnl"/>
        </w:rPr>
        <w:t xml:space="preserve"> de 202</w:t>
      </w:r>
      <w:r w:rsidR="00C56976" w:rsidRPr="00B37907">
        <w:rPr>
          <w:rFonts w:ascii="Arial" w:eastAsia="Calibri" w:hAnsi="Arial" w:cs="Arial"/>
          <w:b/>
          <w:bCs/>
          <w:color w:val="000000" w:themeColor="text1"/>
          <w:sz w:val="22"/>
          <w:lang w:val="es-ES_tradnl"/>
        </w:rPr>
        <w:t>1</w:t>
      </w:r>
    </w:p>
    <w:p w14:paraId="2B376FFA" w14:textId="77777777" w:rsidR="00B95C30" w:rsidRPr="00A43C00" w:rsidRDefault="00B95C30" w:rsidP="00B95C30">
      <w:pPr>
        <w:jc w:val="both"/>
        <w:rPr>
          <w:rFonts w:ascii="Arial" w:eastAsia="Calibri" w:hAnsi="Arial" w:cs="Arial"/>
          <w:color w:val="000000" w:themeColor="text1"/>
          <w:sz w:val="22"/>
          <w:lang w:val="es-ES_tradnl"/>
        </w:rPr>
      </w:pPr>
    </w:p>
    <w:p w14:paraId="08CF82B2" w14:textId="77777777" w:rsidR="00B95C30" w:rsidRPr="00A43C00" w:rsidRDefault="00B95C30" w:rsidP="00B95C30">
      <w:pPr>
        <w:jc w:val="both"/>
        <w:rPr>
          <w:rFonts w:ascii="Arial" w:eastAsia="Calibri" w:hAnsi="Arial" w:cs="Arial"/>
          <w:color w:val="000000" w:themeColor="text1"/>
          <w:sz w:val="22"/>
          <w:lang w:val="es-ES_tradnl"/>
        </w:rPr>
      </w:pP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19DFC051" w14:textId="77777777" w:rsidTr="002442D4">
        <w:tc>
          <w:tcPr>
            <w:tcW w:w="2689" w:type="dxa"/>
          </w:tcPr>
          <w:p w14:paraId="6BC0D1AC" w14:textId="77777777" w:rsidR="00B95C30" w:rsidRPr="00A43C00" w:rsidRDefault="00B95C30" w:rsidP="002442D4">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237" w:type="dxa"/>
          </w:tcPr>
          <w:p w14:paraId="5F389CAF" w14:textId="698AA2BD" w:rsidR="00B95C30" w:rsidRPr="00CB43AD" w:rsidRDefault="00A94B0E" w:rsidP="0038512F">
            <w:pPr>
              <w:pStyle w:val="Sinespaciado"/>
              <w:jc w:val="both"/>
              <w:rPr>
                <w:rFonts w:ascii="Arial" w:hAnsi="Arial" w:cs="Arial"/>
                <w:bCs/>
                <w:sz w:val="22"/>
                <w:highlight w:val="yellow"/>
                <w:lang w:val="es-ES_tradnl"/>
              </w:rPr>
            </w:pPr>
            <w:r w:rsidRPr="00A94B0E">
              <w:rPr>
                <w:rFonts w:ascii="Arial" w:eastAsia="Calibri" w:hAnsi="Arial" w:cs="Arial"/>
                <w:bCs/>
                <w:sz w:val="22"/>
                <w:lang w:val="es-ES_tradnl"/>
              </w:rPr>
              <w:t>SELECCIÓN OBJETIVA – Contratación estatal – Concepto</w:t>
            </w:r>
            <w:r>
              <w:rPr>
                <w:rFonts w:ascii="Arial" w:eastAsia="Calibri" w:hAnsi="Arial" w:cs="Arial"/>
                <w:bCs/>
                <w:sz w:val="22"/>
                <w:lang w:val="es-ES_tradnl"/>
              </w:rPr>
              <w:t xml:space="preserve"> / </w:t>
            </w:r>
            <w:r w:rsidRPr="00A94B0E">
              <w:rPr>
                <w:rFonts w:ascii="Arial" w:eastAsia="Calibri" w:hAnsi="Arial" w:cs="Arial"/>
                <w:bCs/>
                <w:sz w:val="22"/>
                <w:lang w:val="es-ES_tradnl"/>
              </w:rPr>
              <w:t>EMPATE – Procedimiento de selección – Concepto</w:t>
            </w:r>
            <w:r>
              <w:rPr>
                <w:rFonts w:ascii="Arial" w:eastAsia="Calibri" w:hAnsi="Arial" w:cs="Arial"/>
                <w:bCs/>
                <w:sz w:val="22"/>
                <w:lang w:val="es-ES_tradnl"/>
              </w:rPr>
              <w:t xml:space="preserve"> / </w:t>
            </w:r>
            <w:r w:rsidRPr="00A94B0E">
              <w:rPr>
                <w:rFonts w:ascii="Arial" w:eastAsia="Calibri" w:hAnsi="Arial" w:cs="Arial"/>
                <w:bCs/>
                <w:sz w:val="22"/>
                <w:lang w:val="es-ES_tradnl"/>
              </w:rPr>
              <w:t>FACTORES DE DESEMPATE – Características – Límites</w:t>
            </w:r>
            <w:r>
              <w:rPr>
                <w:rFonts w:ascii="Arial" w:eastAsia="Calibri" w:hAnsi="Arial" w:cs="Arial"/>
                <w:bCs/>
                <w:sz w:val="22"/>
                <w:lang w:val="es-ES_tradnl"/>
              </w:rPr>
              <w:t xml:space="preserve"> / </w:t>
            </w:r>
            <w:r w:rsidRPr="00A94B0E">
              <w:rPr>
                <w:rFonts w:ascii="Arial" w:eastAsia="Calibri" w:hAnsi="Arial" w:cs="Arial"/>
                <w:bCs/>
                <w:sz w:val="22"/>
                <w:lang w:val="es-ES_tradnl"/>
              </w:rPr>
              <w:t>LEY DE EMPRENDIMIENTO – Ley 2069 de 2020 – Vigencia</w:t>
            </w:r>
            <w:r>
              <w:rPr>
                <w:rFonts w:ascii="Arial" w:eastAsia="Calibri" w:hAnsi="Arial" w:cs="Arial"/>
                <w:bCs/>
                <w:sz w:val="22"/>
                <w:lang w:val="es-ES_tradnl"/>
              </w:rPr>
              <w:t xml:space="preserve"> / </w:t>
            </w:r>
            <w:r w:rsidRPr="00A94B0E">
              <w:rPr>
                <w:rFonts w:ascii="Arial" w:eastAsia="Calibri" w:hAnsi="Arial" w:cs="Arial"/>
                <w:bCs/>
                <w:sz w:val="22"/>
                <w:lang w:val="es-ES_tradnl"/>
              </w:rPr>
              <w:t>DOCUMENTOS TIPO – Fundamento normativo – Ley 2022 de 2020</w:t>
            </w:r>
            <w:r>
              <w:rPr>
                <w:rFonts w:ascii="Arial" w:eastAsia="Calibri" w:hAnsi="Arial" w:cs="Arial"/>
                <w:bCs/>
                <w:sz w:val="22"/>
                <w:lang w:val="es-ES_tradnl"/>
              </w:rPr>
              <w:t xml:space="preserve"> / </w:t>
            </w:r>
            <w:r w:rsidRPr="00A94B0E">
              <w:rPr>
                <w:rFonts w:ascii="Arial" w:eastAsia="Calibri" w:hAnsi="Arial" w:cs="Arial"/>
                <w:bCs/>
                <w:sz w:val="22"/>
                <w:lang w:val="es-ES_tradnl"/>
              </w:rPr>
              <w:t>INALTERABILIDAD – Documentos tipo – Regla vigente – Contenido</w:t>
            </w:r>
            <w:r>
              <w:rPr>
                <w:rFonts w:ascii="Arial" w:eastAsia="Calibri" w:hAnsi="Arial" w:cs="Arial"/>
                <w:bCs/>
                <w:sz w:val="22"/>
                <w:lang w:val="es-ES_tradnl"/>
              </w:rPr>
              <w:t xml:space="preserve"> / </w:t>
            </w:r>
            <w:r w:rsidRPr="00A94B0E">
              <w:rPr>
                <w:rFonts w:ascii="Arial" w:eastAsia="Calibri" w:hAnsi="Arial" w:cs="Arial"/>
                <w:bCs/>
                <w:sz w:val="22"/>
                <w:lang w:val="es-ES_tradnl"/>
              </w:rPr>
              <w:t>FACTORES DE DESEMPATE – Inalterabilidad – documentos tipo – Decaimiento – Pleno derecho</w:t>
            </w:r>
            <w:r>
              <w:rPr>
                <w:rFonts w:ascii="Arial" w:eastAsia="Calibri" w:hAnsi="Arial" w:cs="Arial"/>
                <w:bCs/>
                <w:sz w:val="22"/>
                <w:lang w:val="es-ES_tradnl"/>
              </w:rPr>
              <w:t>.</w:t>
            </w:r>
          </w:p>
        </w:tc>
      </w:tr>
      <w:tr w:rsidR="00B95C30" w:rsidRPr="00A43C00" w14:paraId="27CD52AB" w14:textId="77777777" w:rsidTr="002442D4">
        <w:tc>
          <w:tcPr>
            <w:tcW w:w="2689" w:type="dxa"/>
          </w:tcPr>
          <w:p w14:paraId="37E195A1" w14:textId="4C368209" w:rsidR="00B95C30" w:rsidRPr="00A43C00" w:rsidRDefault="00B95C30" w:rsidP="002442D4">
            <w:pPr>
              <w:spacing w:before="12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237" w:type="dxa"/>
          </w:tcPr>
          <w:p w14:paraId="64360FC9" w14:textId="09CA7581"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Respuesta a consulta</w:t>
            </w:r>
            <w:r w:rsidR="006C7B2B">
              <w:rPr>
                <w:rFonts w:ascii="Arial" w:eastAsia="Calibri" w:hAnsi="Arial" w:cs="Arial"/>
                <w:color w:val="000000" w:themeColor="text1"/>
                <w:sz w:val="22"/>
                <w:lang w:val="es-ES_tradnl"/>
              </w:rPr>
              <w:t>s</w:t>
            </w:r>
            <w:r w:rsidR="005F4F79">
              <w:rPr>
                <w:rFonts w:ascii="Arial" w:eastAsia="Calibri" w:hAnsi="Arial" w:cs="Arial"/>
                <w:color w:val="000000" w:themeColor="text1"/>
                <w:sz w:val="22"/>
                <w:lang w:val="es-ES_tradnl"/>
              </w:rPr>
              <w:t xml:space="preserve"> acumulada</w:t>
            </w:r>
            <w:r w:rsidR="006C7B2B">
              <w:rPr>
                <w:rFonts w:ascii="Arial" w:eastAsia="Calibri" w:hAnsi="Arial" w:cs="Arial"/>
                <w:color w:val="000000" w:themeColor="text1"/>
                <w:sz w:val="22"/>
                <w:lang w:val="es-ES_tradnl"/>
              </w:rPr>
              <w:t>s</w:t>
            </w:r>
            <w:r w:rsidRPr="00A43C00">
              <w:rPr>
                <w:rFonts w:ascii="Arial" w:eastAsia="Calibri" w:hAnsi="Arial" w:cs="Arial"/>
                <w:color w:val="000000" w:themeColor="text1"/>
                <w:sz w:val="22"/>
                <w:lang w:val="es-ES_tradnl"/>
              </w:rPr>
              <w:t xml:space="preserve"> # </w:t>
            </w:r>
            <w:r w:rsidR="005F4F79" w:rsidRPr="005F4F79">
              <w:rPr>
                <w:rFonts w:ascii="Arial" w:eastAsia="Calibri" w:hAnsi="Arial" w:cs="Arial"/>
                <w:color w:val="000000" w:themeColor="text1"/>
                <w:sz w:val="22"/>
                <w:lang w:val="es-ES_tradnl"/>
              </w:rPr>
              <w:t>P20210223001500</w:t>
            </w:r>
            <w:r w:rsidR="005F4F79">
              <w:rPr>
                <w:rFonts w:ascii="Arial" w:eastAsia="Calibri" w:hAnsi="Arial" w:cs="Arial"/>
                <w:color w:val="000000" w:themeColor="text1"/>
                <w:sz w:val="22"/>
                <w:lang w:val="es-ES_tradnl"/>
              </w:rPr>
              <w:t xml:space="preserve"> y</w:t>
            </w:r>
            <w:r w:rsidR="006C7B2B">
              <w:rPr>
                <w:rFonts w:ascii="Arial" w:eastAsia="Calibri" w:hAnsi="Arial" w:cs="Arial"/>
                <w:color w:val="000000" w:themeColor="text1"/>
                <w:sz w:val="22"/>
                <w:lang w:val="es-ES_tradnl"/>
              </w:rPr>
              <w:t xml:space="preserve"> </w:t>
            </w:r>
            <w:r w:rsidR="006C7B2B" w:rsidRPr="006C7B2B">
              <w:rPr>
                <w:rFonts w:ascii="Arial" w:eastAsia="Calibri" w:hAnsi="Arial" w:cs="Arial"/>
                <w:color w:val="000000" w:themeColor="text1"/>
                <w:sz w:val="22"/>
                <w:lang w:val="es-ES_tradnl"/>
              </w:rPr>
              <w:t>P20210224001515</w:t>
            </w:r>
            <w:r w:rsidR="006C7B2B">
              <w:rPr>
                <w:rFonts w:ascii="Arial" w:eastAsia="Calibri" w:hAnsi="Arial" w:cs="Arial"/>
                <w:color w:val="000000" w:themeColor="text1"/>
                <w:sz w:val="22"/>
                <w:lang w:val="es-ES_tradnl"/>
              </w:rPr>
              <w:t>.</w:t>
            </w:r>
            <w:r w:rsidR="005F4F79">
              <w:rPr>
                <w:rFonts w:ascii="Arial" w:eastAsia="Calibri" w:hAnsi="Arial" w:cs="Arial"/>
                <w:color w:val="000000" w:themeColor="text1"/>
                <w:sz w:val="22"/>
                <w:lang w:val="es-ES_tradnl"/>
              </w:rPr>
              <w:t xml:space="preserve"> </w:t>
            </w:r>
          </w:p>
          <w:p w14:paraId="09088B1B" w14:textId="77777777"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 </w:t>
            </w:r>
          </w:p>
        </w:tc>
      </w:tr>
    </w:tbl>
    <w:p w14:paraId="1CF4AEA0" w14:textId="7B8C6D17"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3C2546" w:rsidRPr="00A43C00">
        <w:rPr>
          <w:rFonts w:ascii="Arial" w:eastAsia="Calibri" w:hAnsi="Arial" w:cs="Arial"/>
          <w:color w:val="000000" w:themeColor="text1"/>
          <w:sz w:val="22"/>
          <w:lang w:val="es-ES_tradnl"/>
        </w:rPr>
        <w:t>a</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3C2546" w:rsidRPr="00A43C00">
        <w:rPr>
          <w:rFonts w:ascii="Arial" w:eastAsia="Calibri" w:hAnsi="Arial" w:cs="Arial"/>
          <w:color w:val="000000" w:themeColor="text1"/>
          <w:sz w:val="22"/>
          <w:lang w:val="es-ES_tradnl"/>
        </w:rPr>
        <w:t>a</w:t>
      </w:r>
      <w:r w:rsidR="00677E9C" w:rsidRPr="00A43C00">
        <w:rPr>
          <w:rFonts w:ascii="Arial" w:eastAsia="Calibri" w:hAnsi="Arial" w:cs="Arial"/>
          <w:color w:val="000000" w:themeColor="text1"/>
          <w:sz w:val="22"/>
          <w:lang w:val="es-ES_tradnl"/>
        </w:rPr>
        <w:t xml:space="preserve"> </w:t>
      </w:r>
      <w:r w:rsidR="00B70DFB">
        <w:rPr>
          <w:rFonts w:ascii="Arial" w:eastAsia="Calibri" w:hAnsi="Arial" w:cs="Arial"/>
          <w:color w:val="000000" w:themeColor="text1"/>
          <w:sz w:val="22"/>
          <w:lang w:val="es-ES_tradnl"/>
        </w:rPr>
        <w:t>Téllez</w:t>
      </w:r>
      <w:r w:rsidRPr="00A43C00">
        <w:rPr>
          <w:rFonts w:ascii="Arial" w:eastAsia="Calibri" w:hAnsi="Arial" w:cs="Arial"/>
          <w:color w:val="000000" w:themeColor="text1"/>
          <w:sz w:val="22"/>
          <w:lang w:val="es-ES_tradnl"/>
        </w:rPr>
        <w:t>:</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32EBCB04"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C64DE">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06533E" w:rsidRPr="00A43C00">
        <w:rPr>
          <w:rFonts w:ascii="Arial" w:eastAsia="Calibri" w:hAnsi="Arial" w:cs="Arial"/>
          <w:color w:val="000000" w:themeColor="text1"/>
          <w:sz w:val="22"/>
          <w:lang w:val="es-ES_tradnl"/>
        </w:rPr>
        <w:t>2</w:t>
      </w:r>
      <w:r w:rsidR="00734236">
        <w:rPr>
          <w:rFonts w:ascii="Arial" w:eastAsia="Calibri" w:hAnsi="Arial" w:cs="Arial"/>
          <w:color w:val="000000" w:themeColor="text1"/>
          <w:sz w:val="22"/>
          <w:lang w:val="es-ES_tradnl"/>
        </w:rPr>
        <w:t>3</w:t>
      </w:r>
      <w:r w:rsidR="00FD4AF3" w:rsidRPr="00A43C00">
        <w:rPr>
          <w:rFonts w:ascii="Arial" w:eastAsia="Calibri" w:hAnsi="Arial" w:cs="Arial"/>
          <w:color w:val="000000" w:themeColor="text1"/>
          <w:sz w:val="22"/>
          <w:lang w:val="es-ES_tradnl"/>
        </w:rPr>
        <w:t xml:space="preserve"> de </w:t>
      </w:r>
      <w:r w:rsidR="004673A8" w:rsidRPr="00A43C00">
        <w:rPr>
          <w:rFonts w:ascii="Arial" w:eastAsia="Calibri" w:hAnsi="Arial" w:cs="Arial"/>
          <w:color w:val="000000" w:themeColor="text1"/>
          <w:sz w:val="22"/>
          <w:lang w:val="es-ES_tradnl"/>
        </w:rPr>
        <w:t>febrero</w:t>
      </w:r>
      <w:r w:rsidRPr="00A43C00">
        <w:rPr>
          <w:rFonts w:ascii="Arial" w:eastAsia="Calibri" w:hAnsi="Arial" w:cs="Arial"/>
          <w:color w:val="000000" w:themeColor="text1"/>
          <w:sz w:val="22"/>
          <w:lang w:val="es-ES_tradnl"/>
        </w:rPr>
        <w:t xml:space="preserve"> 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A43C00" w:rsidRDefault="00DD5B04" w:rsidP="0099583D">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 xml:space="preserve">Usted </w:t>
      </w:r>
      <w:r w:rsidR="00B422C0" w:rsidRPr="00A43C00">
        <w:rPr>
          <w:rFonts w:ascii="Arial" w:hAnsi="Arial" w:cs="Arial"/>
          <w:color w:val="000000" w:themeColor="text1"/>
          <w:sz w:val="22"/>
          <w:lang w:val="es-ES_tradnl"/>
        </w:rPr>
        <w:t>formula</w:t>
      </w:r>
      <w:r w:rsidR="006D46A3" w:rsidRPr="00A43C00">
        <w:rPr>
          <w:rFonts w:ascii="Arial" w:hAnsi="Arial" w:cs="Arial"/>
          <w:color w:val="000000" w:themeColor="text1"/>
          <w:sz w:val="22"/>
          <w:lang w:val="es-ES_tradnl"/>
        </w:rPr>
        <w:t xml:space="preserve"> la siguiente </w:t>
      </w:r>
      <w:r w:rsidR="00B46915" w:rsidRPr="00A43C00">
        <w:rPr>
          <w:rFonts w:ascii="Arial" w:hAnsi="Arial" w:cs="Arial"/>
          <w:color w:val="000000" w:themeColor="text1"/>
          <w:sz w:val="22"/>
          <w:lang w:val="es-ES_tradnl"/>
        </w:rPr>
        <w:t>consulta</w:t>
      </w:r>
      <w:r w:rsidR="000314BD" w:rsidRPr="00A43C00">
        <w:rPr>
          <w:rFonts w:ascii="Arial" w:hAnsi="Arial" w:cs="Arial"/>
          <w:color w:val="000000" w:themeColor="text1"/>
          <w:sz w:val="22"/>
          <w:lang w:val="es-ES_tradnl"/>
        </w:rPr>
        <w:t>:</w:t>
      </w:r>
      <w:r w:rsidR="007E18DF" w:rsidRPr="00A43C00">
        <w:rPr>
          <w:rFonts w:ascii="Arial" w:hAnsi="Arial" w:cs="Arial"/>
          <w:color w:val="000000" w:themeColor="text1"/>
          <w:sz w:val="22"/>
          <w:lang w:val="es-ES_tradnl"/>
        </w:rPr>
        <w:t xml:space="preserve"> </w:t>
      </w:r>
    </w:p>
    <w:p w14:paraId="559EE20C" w14:textId="77777777" w:rsidR="00443B55" w:rsidRPr="00A43C00" w:rsidRDefault="00443B55" w:rsidP="0099583D">
      <w:pPr>
        <w:spacing w:line="276" w:lineRule="auto"/>
        <w:jc w:val="both"/>
        <w:rPr>
          <w:rFonts w:ascii="Arial" w:hAnsi="Arial" w:cs="Arial"/>
          <w:color w:val="000000" w:themeColor="text1"/>
          <w:sz w:val="22"/>
          <w:lang w:val="es-ES_tradnl"/>
        </w:rPr>
      </w:pPr>
    </w:p>
    <w:p w14:paraId="3433CDD7" w14:textId="77777777" w:rsidR="00E958EE" w:rsidRDefault="003C2546" w:rsidP="00E958EE">
      <w:pPr>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En los conceptos expedidos por la Agencia Nacional de Contratación Pública ― Colombia Compra Eficiente (C-009, C-012, C-013, C-015, C-016 y C-026, entre otros) se evidencia con claridad la obligatoriedad de dar cumplimiento a la Ley 2029 de 2020 desde el momento de su expedición.</w:t>
      </w:r>
    </w:p>
    <w:p w14:paraId="591B3796" w14:textId="77777777" w:rsidR="00E958EE" w:rsidRDefault="00E958EE" w:rsidP="00E958EE">
      <w:pPr>
        <w:ind w:left="709" w:right="709"/>
        <w:jc w:val="both"/>
        <w:rPr>
          <w:rFonts w:ascii="Arial" w:hAnsi="Arial" w:cs="Arial"/>
          <w:color w:val="000000" w:themeColor="text1"/>
          <w:sz w:val="21"/>
          <w:szCs w:val="21"/>
          <w:lang w:val="es-ES_tradnl"/>
        </w:rPr>
      </w:pPr>
    </w:p>
    <w:p w14:paraId="7EB36657" w14:textId="572C6769" w:rsidR="00BD1F56" w:rsidRDefault="00F35919" w:rsidP="00BD1F56">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7622EC" w:rsidRPr="007622EC">
        <w:rPr>
          <w:rFonts w:ascii="Arial" w:hAnsi="Arial" w:cs="Arial"/>
          <w:color w:val="000000" w:themeColor="text1"/>
          <w:sz w:val="21"/>
          <w:szCs w:val="21"/>
          <w:lang w:val="es-ES_tradnl"/>
        </w:rPr>
        <w:t>Ley 1882 de 2018 dispone la obligatoriedad de la aplicación de los documentos tipo, y su imposibilidad de alterarlos por parte de las entidades estatales contratantes, conforme al artículo 2.2.1.2.6.1.4. del Decreto 342 de 2019.</w:t>
      </w:r>
    </w:p>
    <w:p w14:paraId="5770D9E9" w14:textId="77777777" w:rsidR="00BD1F56" w:rsidRDefault="00BD1F56" w:rsidP="00BD1F56">
      <w:pPr>
        <w:ind w:left="709" w:right="709"/>
        <w:jc w:val="both"/>
        <w:rPr>
          <w:rFonts w:ascii="Arial" w:hAnsi="Arial" w:cs="Arial"/>
          <w:color w:val="000000" w:themeColor="text1"/>
          <w:sz w:val="21"/>
          <w:szCs w:val="21"/>
          <w:lang w:val="es-ES_tradnl"/>
        </w:rPr>
      </w:pPr>
    </w:p>
    <w:p w14:paraId="5135C7E8" w14:textId="5D8816B6" w:rsidR="007622EC" w:rsidRPr="007622EC" w:rsidRDefault="00F35919" w:rsidP="00BD1F56">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Frente a la controversia presentada y con base en la importancia de dar cumplimiento a la Ley 2069 de 2020,</w:t>
      </w:r>
      <w:r w:rsidR="00BD1F56">
        <w:rPr>
          <w:rFonts w:ascii="Arial" w:hAnsi="Arial" w:cs="Arial"/>
          <w:color w:val="000000" w:themeColor="text1"/>
          <w:sz w:val="21"/>
          <w:szCs w:val="21"/>
          <w:lang w:val="es-ES_tradnl"/>
        </w:rPr>
        <w:t xml:space="preserve"> </w:t>
      </w:r>
      <w:r w:rsidR="007622EC" w:rsidRPr="007622EC">
        <w:rPr>
          <w:rFonts w:ascii="Arial" w:hAnsi="Arial" w:cs="Arial"/>
          <w:color w:val="000000" w:themeColor="text1"/>
          <w:sz w:val="21"/>
          <w:szCs w:val="21"/>
          <w:lang w:val="es-ES_tradnl"/>
        </w:rPr>
        <w:t>se solicita precisar lo siguiente:</w:t>
      </w:r>
    </w:p>
    <w:p w14:paraId="174301B3" w14:textId="77777777" w:rsidR="007622EC" w:rsidRPr="007622EC" w:rsidRDefault="007622EC" w:rsidP="007622EC">
      <w:pPr>
        <w:ind w:left="709" w:right="709"/>
        <w:jc w:val="both"/>
        <w:rPr>
          <w:rFonts w:ascii="Arial" w:hAnsi="Arial" w:cs="Arial"/>
          <w:color w:val="000000" w:themeColor="text1"/>
          <w:sz w:val="21"/>
          <w:szCs w:val="21"/>
          <w:lang w:val="es-ES_tradnl"/>
        </w:rPr>
      </w:pPr>
      <w:r w:rsidRPr="007622EC">
        <w:rPr>
          <w:rFonts w:ascii="Arial" w:hAnsi="Arial" w:cs="Arial"/>
          <w:color w:val="000000" w:themeColor="text1"/>
          <w:sz w:val="21"/>
          <w:szCs w:val="21"/>
          <w:lang w:val="es-ES_tradnl"/>
        </w:rPr>
        <w:t xml:space="preserve"> </w:t>
      </w:r>
    </w:p>
    <w:p w14:paraId="00A4F185" w14:textId="48DC2FB7" w:rsidR="007622EC" w:rsidRPr="007622EC" w:rsidRDefault="00F35919" w:rsidP="007622E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1.</w:t>
      </w:r>
      <w:r w:rsidR="00BD1F56">
        <w:rPr>
          <w:rFonts w:ascii="Arial" w:hAnsi="Arial" w:cs="Arial"/>
          <w:color w:val="000000" w:themeColor="text1"/>
          <w:sz w:val="21"/>
          <w:szCs w:val="21"/>
          <w:lang w:val="es-ES_tradnl"/>
        </w:rPr>
        <w:t xml:space="preserve"> </w:t>
      </w:r>
      <w:r w:rsidR="007622EC" w:rsidRPr="007622EC">
        <w:rPr>
          <w:rFonts w:ascii="Arial" w:hAnsi="Arial" w:cs="Arial"/>
          <w:color w:val="000000" w:themeColor="text1"/>
          <w:sz w:val="21"/>
          <w:szCs w:val="21"/>
          <w:lang w:val="es-ES_tradnl"/>
        </w:rPr>
        <w:t>¿Las entidades contratantes cuentan con la discrecionalidad para establecer en el pliego de condiciones o en el documento equivalente las reglas de desempates realizando los ajustes pertinentes en los documentos tipo? ¿A quién corresponde realizar el ajuste?</w:t>
      </w:r>
    </w:p>
    <w:p w14:paraId="52D2255A" w14:textId="77777777" w:rsidR="007622EC" w:rsidRPr="007622EC" w:rsidRDefault="007622EC" w:rsidP="007622EC">
      <w:pPr>
        <w:ind w:left="709" w:right="709"/>
        <w:jc w:val="both"/>
        <w:rPr>
          <w:rFonts w:ascii="Arial" w:hAnsi="Arial" w:cs="Arial"/>
          <w:color w:val="000000" w:themeColor="text1"/>
          <w:sz w:val="21"/>
          <w:szCs w:val="21"/>
          <w:lang w:val="es-ES_tradnl"/>
        </w:rPr>
      </w:pPr>
      <w:r w:rsidRPr="007622EC">
        <w:rPr>
          <w:rFonts w:ascii="Arial" w:hAnsi="Arial" w:cs="Arial"/>
          <w:color w:val="000000" w:themeColor="text1"/>
          <w:sz w:val="21"/>
          <w:szCs w:val="21"/>
          <w:lang w:val="es-ES_tradnl"/>
        </w:rPr>
        <w:t xml:space="preserve"> </w:t>
      </w:r>
    </w:p>
    <w:p w14:paraId="62EFC3B6" w14:textId="421F5307" w:rsidR="007622EC" w:rsidRPr="007622EC" w:rsidRDefault="00F35919" w:rsidP="007622E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2.</w:t>
      </w:r>
      <w:r w:rsidR="00BD1F56">
        <w:rPr>
          <w:rFonts w:ascii="Arial" w:hAnsi="Arial" w:cs="Arial"/>
          <w:color w:val="000000" w:themeColor="text1"/>
          <w:sz w:val="21"/>
          <w:szCs w:val="21"/>
          <w:lang w:val="es-ES_tradnl"/>
        </w:rPr>
        <w:t xml:space="preserve"> </w:t>
      </w:r>
      <w:r w:rsidR="007622EC" w:rsidRPr="007622EC">
        <w:rPr>
          <w:rFonts w:ascii="Arial" w:hAnsi="Arial" w:cs="Arial"/>
          <w:color w:val="000000" w:themeColor="text1"/>
          <w:sz w:val="21"/>
          <w:szCs w:val="21"/>
          <w:lang w:val="es-ES_tradnl"/>
        </w:rPr>
        <w:t>¿La Agencia Nacional de Contratación Pública ― Colombia Compra Eficiente tiene previsto la publicación de una nueva versión de documentos tipo en las diferentes modalidades de selección, en la cual se incorporen los criterios de desempate previstos en la Ley 2069 de 2020?</w:t>
      </w:r>
    </w:p>
    <w:p w14:paraId="23341681" w14:textId="77777777" w:rsidR="007622EC" w:rsidRPr="007622EC" w:rsidRDefault="007622EC" w:rsidP="007622EC">
      <w:pPr>
        <w:ind w:left="709" w:right="709"/>
        <w:jc w:val="both"/>
        <w:rPr>
          <w:rFonts w:ascii="Arial" w:hAnsi="Arial" w:cs="Arial"/>
          <w:color w:val="000000" w:themeColor="text1"/>
          <w:sz w:val="21"/>
          <w:szCs w:val="21"/>
          <w:lang w:val="es-ES_tradnl"/>
        </w:rPr>
      </w:pPr>
      <w:r w:rsidRPr="007622EC">
        <w:rPr>
          <w:rFonts w:ascii="Arial" w:hAnsi="Arial" w:cs="Arial"/>
          <w:color w:val="000000" w:themeColor="text1"/>
          <w:sz w:val="21"/>
          <w:szCs w:val="21"/>
          <w:lang w:val="es-ES_tradnl"/>
        </w:rPr>
        <w:t xml:space="preserve"> </w:t>
      </w:r>
    </w:p>
    <w:p w14:paraId="2050103B" w14:textId="46C0FB53" w:rsidR="007622EC" w:rsidRPr="007622EC" w:rsidRDefault="00F35919" w:rsidP="007622E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3.</w:t>
      </w:r>
      <w:r w:rsidR="00BD1F56">
        <w:rPr>
          <w:rFonts w:ascii="Arial" w:hAnsi="Arial" w:cs="Arial"/>
          <w:color w:val="000000" w:themeColor="text1"/>
          <w:sz w:val="21"/>
          <w:szCs w:val="21"/>
          <w:lang w:val="es-ES_tradnl"/>
        </w:rPr>
        <w:t xml:space="preserve"> </w:t>
      </w:r>
      <w:r w:rsidR="007622EC" w:rsidRPr="007622EC">
        <w:rPr>
          <w:rFonts w:ascii="Arial" w:hAnsi="Arial" w:cs="Arial"/>
          <w:color w:val="000000" w:themeColor="text1"/>
          <w:sz w:val="21"/>
          <w:szCs w:val="21"/>
          <w:lang w:val="es-ES_tradnl"/>
        </w:rPr>
        <w:t>En el evento en que su respuesta sea afirmativa, ¿Cuándo se tiene prevista la publicación de la nueva versión de documentos tipo?</w:t>
      </w:r>
    </w:p>
    <w:p w14:paraId="3A8B7835" w14:textId="77777777" w:rsidR="007622EC" w:rsidRPr="007622EC" w:rsidRDefault="007622EC" w:rsidP="007622EC">
      <w:pPr>
        <w:ind w:left="709" w:right="709"/>
        <w:jc w:val="both"/>
        <w:rPr>
          <w:rFonts w:ascii="Arial" w:hAnsi="Arial" w:cs="Arial"/>
          <w:color w:val="000000" w:themeColor="text1"/>
          <w:sz w:val="21"/>
          <w:szCs w:val="21"/>
          <w:lang w:val="es-ES_tradnl"/>
        </w:rPr>
      </w:pPr>
      <w:r w:rsidRPr="007622EC">
        <w:rPr>
          <w:rFonts w:ascii="Arial" w:hAnsi="Arial" w:cs="Arial"/>
          <w:color w:val="000000" w:themeColor="text1"/>
          <w:sz w:val="21"/>
          <w:szCs w:val="21"/>
          <w:lang w:val="es-ES_tradnl"/>
        </w:rPr>
        <w:t xml:space="preserve"> </w:t>
      </w:r>
    </w:p>
    <w:p w14:paraId="7A239EB1" w14:textId="001DB92C" w:rsidR="007C34A9" w:rsidRPr="00A43C00" w:rsidRDefault="00F35919" w:rsidP="007622EC">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7622EC" w:rsidRPr="007622EC">
        <w:rPr>
          <w:rFonts w:ascii="Arial" w:hAnsi="Arial" w:cs="Arial"/>
          <w:color w:val="000000" w:themeColor="text1"/>
          <w:sz w:val="21"/>
          <w:szCs w:val="21"/>
          <w:lang w:val="es-ES_tradnl"/>
        </w:rPr>
        <w:t>4</w:t>
      </w:r>
      <w:r w:rsidR="00BD1F56">
        <w:rPr>
          <w:rFonts w:ascii="Arial" w:hAnsi="Arial" w:cs="Arial"/>
          <w:color w:val="000000" w:themeColor="text1"/>
          <w:sz w:val="21"/>
          <w:szCs w:val="21"/>
          <w:lang w:val="es-ES_tradnl"/>
        </w:rPr>
        <w:t xml:space="preserve">. </w:t>
      </w:r>
      <w:r w:rsidR="007622EC" w:rsidRPr="007622EC">
        <w:rPr>
          <w:rFonts w:ascii="Arial" w:hAnsi="Arial" w:cs="Arial"/>
          <w:color w:val="000000" w:themeColor="text1"/>
          <w:sz w:val="21"/>
          <w:szCs w:val="21"/>
          <w:lang w:val="es-ES_tradnl"/>
        </w:rPr>
        <w:t>¿A partir de qué fecha se hace exigible para las entidades estatales contratantes la aplicación de los factores de desempate señalados en el artículo 35 de la Ley 2069 de 2020, en los documentos tipo que requieran de ser publicados? ¿Cuál y bajo qué norma se realizó su reglamentación?</w:t>
      </w:r>
      <w:r>
        <w:rPr>
          <w:rFonts w:ascii="Arial" w:hAnsi="Arial" w:cs="Arial"/>
          <w:color w:val="000000" w:themeColor="text1"/>
          <w:sz w:val="21"/>
          <w:szCs w:val="21"/>
          <w:lang w:val="es-ES_tradnl"/>
        </w:rPr>
        <w:t>»</w:t>
      </w:r>
    </w:p>
    <w:p w14:paraId="1D0C9BCC" w14:textId="77777777" w:rsidR="0050703E" w:rsidRPr="00A43C00" w:rsidRDefault="0050703E" w:rsidP="0050703E">
      <w:pPr>
        <w:ind w:left="709" w:right="709"/>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6EDD58FA" w14:textId="4BB41E6D" w:rsidR="006A4C33" w:rsidRPr="005419DA" w:rsidRDefault="006A4C33" w:rsidP="006A4C33">
      <w:pPr>
        <w:spacing w:after="120" w:line="276" w:lineRule="auto"/>
        <w:jc w:val="both"/>
        <w:rPr>
          <w:rFonts w:ascii="Arial" w:eastAsia="Calibri" w:hAnsi="Arial" w:cs="Arial"/>
          <w:color w:val="000000" w:themeColor="text1"/>
          <w:sz w:val="22"/>
          <w:szCs w:val="22"/>
          <w:lang w:val="es-ES_tradnl"/>
        </w:rPr>
      </w:pPr>
      <w:r w:rsidRPr="006D7746">
        <w:rPr>
          <w:rFonts w:ascii="Arial" w:eastAsia="Calibri" w:hAnsi="Arial" w:cs="Arial"/>
          <w:color w:val="000000" w:themeColor="text1"/>
          <w:sz w:val="22"/>
          <w:szCs w:val="22"/>
          <w:lang w:val="es-ES_tradnl"/>
        </w:rPr>
        <w:t>La Subdirección de Gestión Contractual responderá la consulta, luego de analizar los siguientes temas: i) definición de los criterios de desempate en la contratación estatal, ii) vigencia y ámbito de aplicación de la Ley 2069 de 2020</w:t>
      </w:r>
      <w:r w:rsidR="006D7746" w:rsidRPr="006D7746">
        <w:rPr>
          <w:rFonts w:ascii="Arial" w:eastAsia="Calibri" w:hAnsi="Arial" w:cs="Arial"/>
          <w:color w:val="000000" w:themeColor="text1"/>
          <w:sz w:val="22"/>
          <w:szCs w:val="22"/>
          <w:lang w:val="es-ES_tradnl"/>
        </w:rPr>
        <w:t xml:space="preserve">, </w:t>
      </w:r>
      <w:r w:rsidRPr="006D7746">
        <w:rPr>
          <w:rFonts w:ascii="Arial" w:eastAsia="Calibri" w:hAnsi="Arial" w:cs="Arial"/>
          <w:color w:val="000000" w:themeColor="text1"/>
          <w:sz w:val="22"/>
          <w:szCs w:val="22"/>
          <w:lang w:val="es-ES_tradnl"/>
        </w:rPr>
        <w:t xml:space="preserve">iii) </w:t>
      </w:r>
      <w:r w:rsidR="003F1F15" w:rsidRPr="006D7746">
        <w:rPr>
          <w:rFonts w:ascii="Arial" w:eastAsia="Calibri" w:hAnsi="Arial" w:cs="Arial"/>
          <w:color w:val="000000" w:themeColor="text1"/>
          <w:sz w:val="22"/>
          <w:szCs w:val="22"/>
          <w:lang w:val="es-ES_tradnl"/>
        </w:rPr>
        <w:t>derogatoria producida por el artículo 35 de la Ley 2069 de 2020 a los factores de desempate del Decreto 1082 de 2015</w:t>
      </w:r>
      <w:r w:rsidR="006D7746" w:rsidRPr="006D7746">
        <w:rPr>
          <w:rFonts w:ascii="Arial" w:eastAsia="Calibri" w:hAnsi="Arial" w:cs="Arial"/>
          <w:color w:val="000000" w:themeColor="text1"/>
          <w:sz w:val="22"/>
          <w:szCs w:val="22"/>
          <w:lang w:val="es-ES_tradnl"/>
        </w:rPr>
        <w:t>, iv) fundamento normativo de los pliegos de condiciones tipo obligatorios adoptados hasta la actualidad y v) vigencia de la regla de inalterabilidad de los pliegos tipo frente a los factores de desempate regulados en el artículo 35 de la Ley 2069 de 2020.</w:t>
      </w:r>
    </w:p>
    <w:p w14:paraId="3CAB51A7" w14:textId="17345269" w:rsidR="006A4C33" w:rsidRPr="00035FA2" w:rsidRDefault="006A4C33" w:rsidP="006A4C33">
      <w:pPr>
        <w:tabs>
          <w:tab w:val="left" w:pos="426"/>
        </w:tabs>
        <w:spacing w:line="276" w:lineRule="auto"/>
        <w:jc w:val="both"/>
        <w:rPr>
          <w:rFonts w:ascii="Arial" w:eastAsia="Calibri" w:hAnsi="Arial" w:cs="Arial"/>
          <w:bCs/>
          <w:color w:val="000000" w:themeColor="text1"/>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Pr="005419DA">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Pr>
          <w:rFonts w:ascii="Arial" w:eastAsia="Calibri" w:hAnsi="Arial" w:cs="Arial"/>
          <w:color w:val="000000" w:themeColor="text1"/>
          <w:sz w:val="22"/>
          <w:szCs w:val="22"/>
          <w:lang w:val="es-ES_tradnl"/>
        </w:rPr>
        <w:t xml:space="preserve"> </w:t>
      </w:r>
      <w:r>
        <w:rPr>
          <w:rFonts w:ascii="Arial" w:eastAsia="Calibri" w:hAnsi="Arial" w:cs="Arial"/>
          <w:bCs/>
          <w:color w:val="000000" w:themeColor="text1"/>
          <w:sz w:val="22"/>
        </w:rPr>
        <w:t>Igualmente, en los Conceptos C-009, 012, 013, 015, 016, 026 del 4 de febrero de 2021, así como en los Conceptos C-006 del 5 de febrero de 2021 y C-043 del 9 de febrero de 2021, se analizaron algunos aspectos sobre la aplicación de la Ley de Emprendimiento.</w:t>
      </w:r>
      <w:r w:rsidR="00A93F41">
        <w:rPr>
          <w:rFonts w:ascii="Arial" w:eastAsia="Calibri" w:hAnsi="Arial" w:cs="Arial"/>
          <w:bCs/>
          <w:color w:val="000000" w:themeColor="text1"/>
          <w:sz w:val="22"/>
        </w:rPr>
        <w:t xml:space="preserve"> </w:t>
      </w:r>
      <w:r w:rsidR="00770D6E">
        <w:rPr>
          <w:rFonts w:ascii="Arial" w:eastAsia="Calibri" w:hAnsi="Arial" w:cs="Arial"/>
          <w:bCs/>
          <w:color w:val="000000" w:themeColor="text1"/>
          <w:sz w:val="22"/>
        </w:rPr>
        <w:t>Por ello, e</w:t>
      </w:r>
      <w:r>
        <w:rPr>
          <w:rFonts w:ascii="Arial" w:eastAsia="Calibri" w:hAnsi="Arial" w:cs="Arial"/>
          <w:bCs/>
          <w:color w:val="000000" w:themeColor="text1"/>
          <w:sz w:val="22"/>
        </w:rPr>
        <w:t>n lo pertinente, la tesis desarrollada en estos conceptos se reitera a continuación:</w:t>
      </w:r>
    </w:p>
    <w:p w14:paraId="68020323" w14:textId="4D4A514C" w:rsidR="0075041E" w:rsidRDefault="0075041E" w:rsidP="0075041E">
      <w:pPr>
        <w:spacing w:line="276" w:lineRule="auto"/>
        <w:jc w:val="both"/>
        <w:rPr>
          <w:rFonts w:ascii="Arial" w:hAnsi="Arial" w:cs="Arial"/>
          <w:sz w:val="22"/>
          <w:lang w:val="es-ES_tradnl"/>
        </w:rPr>
      </w:pPr>
    </w:p>
    <w:p w14:paraId="371DB191" w14:textId="0931E32B" w:rsidR="00A93F41" w:rsidRDefault="00A93F41" w:rsidP="0075041E">
      <w:pPr>
        <w:spacing w:line="276" w:lineRule="auto"/>
        <w:jc w:val="both"/>
        <w:rPr>
          <w:rFonts w:ascii="Arial" w:hAnsi="Arial" w:cs="Arial"/>
          <w:sz w:val="22"/>
          <w:lang w:val="es-ES_tradnl"/>
        </w:rPr>
      </w:pPr>
    </w:p>
    <w:p w14:paraId="59E493C7" w14:textId="31062B1C" w:rsidR="00A93F41" w:rsidRDefault="00A93F41" w:rsidP="0075041E">
      <w:pPr>
        <w:spacing w:line="276" w:lineRule="auto"/>
        <w:jc w:val="both"/>
        <w:rPr>
          <w:rFonts w:ascii="Arial" w:hAnsi="Arial" w:cs="Arial"/>
          <w:sz w:val="22"/>
          <w:lang w:val="es-ES_tradnl"/>
        </w:rPr>
      </w:pPr>
    </w:p>
    <w:p w14:paraId="54B0A7A3" w14:textId="77777777" w:rsidR="00A93F41" w:rsidRDefault="00A93F41" w:rsidP="0075041E">
      <w:pPr>
        <w:spacing w:line="276" w:lineRule="auto"/>
        <w:jc w:val="both"/>
        <w:rPr>
          <w:rFonts w:ascii="Arial" w:hAnsi="Arial" w:cs="Arial"/>
          <w:sz w:val="22"/>
          <w:lang w:val="es-ES_tradnl"/>
        </w:rPr>
      </w:pPr>
    </w:p>
    <w:p w14:paraId="303F5638" w14:textId="77777777" w:rsidR="0075041E" w:rsidRPr="005419DA" w:rsidRDefault="0075041E" w:rsidP="0075041E">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08DB6988"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p>
    <w:p w14:paraId="646C28F2" w14:textId="2928476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46BC201"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4FE5E07"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w:t>
      </w:r>
      <w:r w:rsidRPr="005419DA">
        <w:rPr>
          <w:rFonts w:ascii="Arial" w:eastAsia="Calibri" w:hAnsi="Arial" w:cs="Arial"/>
          <w:color w:val="000000" w:themeColor="text1"/>
          <w:sz w:val="22"/>
          <w:szCs w:val="22"/>
          <w:lang w:val="es-ES_tradnl"/>
        </w:rPr>
        <w:lastRenderedPageBreak/>
        <w:t>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eastAsia="Calibri" w:hAnsi="Arial" w:cs="Arial"/>
          <w:color w:val="000000" w:themeColor="text1"/>
          <w:sz w:val="22"/>
          <w:szCs w:val="22"/>
          <w:lang w:val="es-ES_tradnl"/>
        </w:rPr>
        <w:t xml:space="preserve">. </w:t>
      </w:r>
    </w:p>
    <w:p w14:paraId="3D6A1F31"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2B3B5CD0"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w:t>
      </w:r>
      <w:proofErr w:type="spellStart"/>
      <w:r w:rsidRPr="005419DA">
        <w:rPr>
          <w:rFonts w:ascii="Arial" w:eastAsia="Calibri" w:hAnsi="Arial" w:cs="Arial"/>
          <w:i/>
          <w:iCs/>
          <w:color w:val="000000" w:themeColor="text1"/>
          <w:sz w:val="22"/>
          <w:szCs w:val="22"/>
          <w:lang w:val="es-ES_tradnl"/>
        </w:rPr>
        <w:t>sunt</w:t>
      </w:r>
      <w:proofErr w:type="spellEnd"/>
      <w:r w:rsidRPr="005419DA">
        <w:rPr>
          <w:rFonts w:ascii="Arial" w:eastAsia="Calibri" w:hAnsi="Arial" w:cs="Arial"/>
          <w:i/>
          <w:iCs/>
          <w:color w:val="000000" w:themeColor="text1"/>
          <w:sz w:val="22"/>
          <w:szCs w:val="22"/>
          <w:lang w:val="es-ES_tradnl"/>
        </w:rPr>
        <w:t xml:space="preserve">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7AF99808" w14:textId="77777777" w:rsidR="004D1C27" w:rsidRPr="005419DA" w:rsidRDefault="004D1C27" w:rsidP="0075041E">
      <w:pPr>
        <w:spacing w:line="276" w:lineRule="auto"/>
        <w:rPr>
          <w:rFonts w:ascii="Arial" w:eastAsia="Calibri" w:hAnsi="Arial" w:cs="Arial"/>
          <w:color w:val="000000" w:themeColor="text1"/>
          <w:sz w:val="22"/>
          <w:szCs w:val="22"/>
          <w:lang w:val="es-ES_tradnl"/>
        </w:rPr>
      </w:pPr>
    </w:p>
    <w:p w14:paraId="6B84AC68" w14:textId="77777777" w:rsidR="0075041E" w:rsidRPr="005419DA" w:rsidRDefault="0075041E" w:rsidP="0075041E">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5BD70252"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p>
    <w:p w14:paraId="6280FD65"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9860454"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w:t>
      </w:r>
      <w:r w:rsidRPr="005419DA">
        <w:rPr>
          <w:rFonts w:ascii="Arial" w:eastAsia="Calibri" w:hAnsi="Arial" w:cs="Arial"/>
          <w:color w:val="000000" w:themeColor="text1"/>
          <w:sz w:val="22"/>
          <w:szCs w:val="22"/>
          <w:lang w:val="es-ES_tradnl"/>
        </w:rPr>
        <w:lastRenderedPageBreak/>
        <w:t>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7560CEEC" w14:textId="77777777" w:rsidR="0075041E" w:rsidRPr="009B0101"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1DEF2DB8" w14:textId="77777777" w:rsidR="0075041E" w:rsidRDefault="0075041E" w:rsidP="0075041E">
      <w:pPr>
        <w:spacing w:line="276" w:lineRule="auto"/>
        <w:jc w:val="both"/>
        <w:rPr>
          <w:rFonts w:ascii="Arial" w:eastAsia="Calibri" w:hAnsi="Arial" w:cs="Arial"/>
          <w:b/>
          <w:bCs/>
          <w:color w:val="000000" w:themeColor="text1"/>
          <w:sz w:val="22"/>
          <w:szCs w:val="22"/>
          <w:lang w:val="es-ES_tradnl"/>
        </w:rPr>
      </w:pPr>
    </w:p>
    <w:p w14:paraId="7BB9BA97" w14:textId="77777642" w:rsidR="0075041E" w:rsidRPr="00C440B6" w:rsidRDefault="0075041E" w:rsidP="0075041E">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 xml:space="preserve">2.3. </w:t>
      </w:r>
      <w:r>
        <w:rPr>
          <w:rFonts w:ascii="Arial" w:eastAsia="Calibri" w:hAnsi="Arial" w:cs="Arial"/>
          <w:b/>
          <w:bCs/>
          <w:color w:val="000000" w:themeColor="text1"/>
          <w:sz w:val="22"/>
          <w:szCs w:val="22"/>
          <w:lang w:val="es-ES_tradnl"/>
        </w:rPr>
        <w:t>D</w:t>
      </w:r>
      <w:r w:rsidRPr="000A43B0">
        <w:rPr>
          <w:rFonts w:ascii="Arial" w:eastAsia="Calibri" w:hAnsi="Arial" w:cs="Arial"/>
          <w:b/>
          <w:bCs/>
          <w:color w:val="000000" w:themeColor="text1"/>
          <w:sz w:val="22"/>
          <w:szCs w:val="22"/>
          <w:lang w:val="es-ES_tradnl"/>
        </w:rPr>
        <w:t>erogatoria producida por el artículo 35 de la Ley</w:t>
      </w:r>
      <w:r>
        <w:rPr>
          <w:rFonts w:ascii="Arial" w:eastAsia="Calibri" w:hAnsi="Arial" w:cs="Arial"/>
          <w:b/>
          <w:bCs/>
          <w:color w:val="000000" w:themeColor="text1"/>
          <w:sz w:val="22"/>
          <w:szCs w:val="22"/>
          <w:lang w:val="es-ES_tradnl"/>
        </w:rPr>
        <w:t xml:space="preserve"> 2069 de 2020</w:t>
      </w:r>
      <w:r w:rsidRPr="000A43B0">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a los factores de desempate del Decreto</w:t>
      </w:r>
      <w:r w:rsidRPr="000A43B0">
        <w:rPr>
          <w:rFonts w:ascii="Arial" w:eastAsia="Calibri" w:hAnsi="Arial" w:cs="Arial"/>
          <w:b/>
          <w:bCs/>
          <w:color w:val="000000" w:themeColor="text1"/>
          <w:sz w:val="22"/>
          <w:szCs w:val="22"/>
          <w:lang w:val="es-ES_tradnl"/>
        </w:rPr>
        <w:t xml:space="preserve"> 1082 de 2015</w:t>
      </w:r>
    </w:p>
    <w:p w14:paraId="1F382F63" w14:textId="77777777" w:rsidR="0075041E" w:rsidRPr="00C440B6" w:rsidRDefault="0075041E" w:rsidP="0075041E">
      <w:pPr>
        <w:spacing w:line="276" w:lineRule="auto"/>
        <w:jc w:val="both"/>
        <w:rPr>
          <w:rFonts w:ascii="Arial" w:eastAsia="Calibri" w:hAnsi="Arial" w:cs="Arial"/>
          <w:color w:val="000000" w:themeColor="text1"/>
          <w:sz w:val="22"/>
          <w:szCs w:val="22"/>
          <w:lang w:val="es-ES_tradnl"/>
        </w:rPr>
      </w:pPr>
    </w:p>
    <w:p w14:paraId="497EBE9C"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entrada en vigencia– y la ausencia de pronunciamientos </w:t>
      </w:r>
      <w:r w:rsidRPr="005419DA">
        <w:rPr>
          <w:rFonts w:ascii="Arial" w:eastAsia="Calibri" w:hAnsi="Arial" w:cs="Arial"/>
          <w:color w:val="000000" w:themeColor="text1"/>
          <w:sz w:val="22"/>
          <w:szCs w:val="22"/>
          <w:lang w:val="es-ES_tradnl"/>
        </w:rPr>
        <w:lastRenderedPageBreak/>
        <w:t>jurisprudenciales o estudios doctrinarios sobre el tema, que seguramente contribuirán a decantar la interpretación de las normas en comento.</w:t>
      </w:r>
    </w:p>
    <w:p w14:paraId="1E6331C1" w14:textId="77777777" w:rsidR="0075041E"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5E786CBD"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CF06E45"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3EC31E37" w14:textId="77777777" w:rsidR="0075041E" w:rsidRPr="00F00AF1" w:rsidRDefault="0075041E" w:rsidP="0075041E">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5E6AF2F4"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w:t>
      </w:r>
      <w:r w:rsidRPr="005419DA">
        <w:rPr>
          <w:rFonts w:ascii="Arial" w:eastAsia="Calibri" w:hAnsi="Arial" w:cs="Arial"/>
          <w:color w:val="000000" w:themeColor="text1"/>
          <w:sz w:val="22"/>
          <w:szCs w:val="22"/>
          <w:lang w:val="es-ES_tradnl"/>
        </w:rPr>
        <w:lastRenderedPageBreak/>
        <w:t xml:space="preserve">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47F765B7"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7905E69B" w14:textId="77777777" w:rsidR="0075041E" w:rsidRPr="00C440B6" w:rsidRDefault="0075041E" w:rsidP="0075041E">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Pr>
          <w:rFonts w:ascii="Arial" w:hAnsi="Arial" w:cs="Arial"/>
          <w:color w:val="000000" w:themeColor="text1"/>
          <w:sz w:val="22"/>
          <w:szCs w:val="22"/>
          <w:lang w:val="es-ES_tradnl"/>
        </w:rPr>
        <w:t>2069</w:t>
      </w:r>
      <w:r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726CD34C" w14:textId="77777777" w:rsidR="0075041E" w:rsidRPr="00462E1D" w:rsidRDefault="0075041E" w:rsidP="0075041E">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w:t>
      </w:r>
      <w:r w:rsidRPr="00462E1D">
        <w:rPr>
          <w:rStyle w:val="Refdenotaalpie"/>
          <w:rFonts w:ascii="Arial" w:hAnsi="Arial" w:cs="Arial"/>
          <w:color w:val="000000" w:themeColor="text1"/>
          <w:sz w:val="22"/>
          <w:szCs w:val="22"/>
          <w:lang w:val="es-ES_tradnl"/>
        </w:rPr>
        <w:footnoteReference w:id="10"/>
      </w:r>
      <w:r w:rsidRPr="00462E1D">
        <w:rPr>
          <w:rFonts w:ascii="Arial" w:hAnsi="Arial" w:cs="Arial"/>
          <w:color w:val="000000" w:themeColor="text1"/>
          <w:sz w:val="22"/>
          <w:szCs w:val="22"/>
          <w:lang w:val="es-ES_tradnl"/>
        </w:rPr>
        <w:t xml:space="preserve">.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w:t>
      </w:r>
      <w:r w:rsidRPr="00462E1D">
        <w:rPr>
          <w:rFonts w:ascii="Arial" w:hAnsi="Arial" w:cs="Arial"/>
          <w:color w:val="000000" w:themeColor="text1"/>
          <w:sz w:val="22"/>
          <w:szCs w:val="22"/>
          <w:lang w:val="es-ES_tradnl"/>
        </w:rPr>
        <w:lastRenderedPageBreak/>
        <w:t xml:space="preserve">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regula en forma distinta a como lo hacía el artículo 2.2.1.1.2.2.9. del Decreto 1082 de 2015 la aplicación de los factores de desempate, este último debe entenderse derogado. </w:t>
      </w:r>
    </w:p>
    <w:p w14:paraId="53F308B6" w14:textId="77777777" w:rsidR="0075041E" w:rsidRDefault="0075041E" w:rsidP="0075041E">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2" w:name="_Hlk62546732"/>
      <w:r w:rsidRPr="00462E1D">
        <w:rPr>
          <w:rFonts w:ascii="Arial" w:hAnsi="Arial" w:cs="Arial"/>
          <w:color w:val="000000" w:themeColor="text1"/>
          <w:sz w:val="22"/>
          <w:szCs w:val="22"/>
          <w:lang w:val="es-ES_tradnl"/>
        </w:rPr>
        <w:t xml:space="preserve">Dado que el Decreto 1082 de 2015 es un reglamento </w:t>
      </w:r>
      <w:proofErr w:type="spellStart"/>
      <w:r w:rsidRPr="00462E1D">
        <w:rPr>
          <w:rFonts w:ascii="Arial" w:hAnsi="Arial" w:cs="Arial"/>
          <w:i/>
          <w:iCs/>
          <w:color w:val="000000" w:themeColor="text1"/>
          <w:sz w:val="22"/>
          <w:szCs w:val="22"/>
          <w:lang w:val="es-ES_tradnl"/>
        </w:rPr>
        <w:t>secundum</w:t>
      </w:r>
      <w:proofErr w:type="spellEnd"/>
      <w:r w:rsidRPr="00462E1D">
        <w:rPr>
          <w:rFonts w:ascii="Arial" w:hAnsi="Arial" w:cs="Arial"/>
          <w:i/>
          <w:iCs/>
          <w:color w:val="000000" w:themeColor="text1"/>
          <w:sz w:val="22"/>
          <w:szCs w:val="22"/>
          <w:lang w:val="es-ES_tradnl"/>
        </w:rPr>
        <w:t xml:space="preserve"> </w:t>
      </w:r>
      <w:proofErr w:type="spellStart"/>
      <w:r w:rsidRPr="00462E1D">
        <w:rPr>
          <w:rFonts w:ascii="Arial" w:hAnsi="Arial" w:cs="Arial"/>
          <w:i/>
          <w:iCs/>
          <w:color w:val="000000" w:themeColor="text1"/>
          <w:sz w:val="22"/>
          <w:szCs w:val="22"/>
          <w:lang w:val="es-ES_tradnl"/>
        </w:rPr>
        <w:t>legem</w:t>
      </w:r>
      <w:proofErr w:type="spellEnd"/>
      <w:r w:rsidRPr="00462E1D">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2"/>
      <w:r w:rsidRPr="00462E1D">
        <w:rPr>
          <w:rFonts w:ascii="Arial" w:hAnsi="Arial" w:cs="Arial"/>
          <w:color w:val="000000" w:themeColor="text1"/>
          <w:sz w:val="22"/>
          <w:szCs w:val="22"/>
          <w:lang w:val="es-ES_tradnl"/>
        </w:rPr>
        <w:t>.</w:t>
      </w:r>
      <w:r w:rsidRPr="00C440B6">
        <w:rPr>
          <w:rFonts w:ascii="Arial" w:hAnsi="Arial" w:cs="Arial"/>
          <w:color w:val="000000" w:themeColor="text1"/>
          <w:sz w:val="22"/>
          <w:szCs w:val="22"/>
          <w:lang w:val="es-ES_tradnl"/>
        </w:rPr>
        <w:t xml:space="preserve">   </w:t>
      </w:r>
    </w:p>
    <w:p w14:paraId="4B54F07C" w14:textId="0D5FDC31" w:rsidR="004D1C27" w:rsidRDefault="004D1C27" w:rsidP="004D1C27">
      <w:pPr>
        <w:spacing w:line="276" w:lineRule="auto"/>
        <w:jc w:val="both"/>
        <w:rPr>
          <w:rFonts w:ascii="Arial" w:hAnsi="Arial" w:cs="Arial"/>
          <w:sz w:val="22"/>
          <w:lang w:val="es-ES_tradnl"/>
        </w:rPr>
      </w:pPr>
    </w:p>
    <w:p w14:paraId="52FC441F" w14:textId="32820D46" w:rsidR="004A3EF7" w:rsidRPr="001C64F9" w:rsidRDefault="004A3EF7" w:rsidP="004A3EF7">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w:t>
      </w:r>
      <w:r w:rsidR="006D7746">
        <w:rPr>
          <w:rFonts w:ascii="Arial" w:eastAsia="Arial" w:hAnsi="Arial" w:cs="Arial"/>
          <w:b/>
          <w:bCs/>
          <w:color w:val="000000"/>
          <w:sz w:val="22"/>
          <w:lang w:val="es-ES_tradnl"/>
        </w:rPr>
        <w:t>4</w:t>
      </w:r>
      <w:r w:rsidRPr="001C64F9">
        <w:rPr>
          <w:rFonts w:ascii="Arial" w:eastAsia="Arial" w:hAnsi="Arial" w:cs="Arial"/>
          <w:b/>
          <w:bCs/>
          <w:color w:val="000000"/>
          <w:sz w:val="22"/>
          <w:lang w:val="es-ES_tradnl"/>
        </w:rPr>
        <w:t>. Fundamento normativo de los pliegos de condiciones tipo obligatorios adoptados hasta la actualidad</w:t>
      </w:r>
    </w:p>
    <w:p w14:paraId="32CE3F3E" w14:textId="77777777" w:rsidR="004A3EF7" w:rsidRPr="001C64F9" w:rsidRDefault="004A3EF7" w:rsidP="004A3EF7">
      <w:pPr>
        <w:spacing w:line="276" w:lineRule="auto"/>
        <w:jc w:val="both"/>
        <w:rPr>
          <w:rFonts w:ascii="Arial" w:eastAsia="Arial" w:hAnsi="Arial" w:cs="Arial"/>
          <w:b/>
          <w:bCs/>
          <w:color w:val="000000"/>
          <w:sz w:val="22"/>
          <w:lang w:val="es-ES_tradnl"/>
        </w:rPr>
      </w:pPr>
    </w:p>
    <w:p w14:paraId="2D5CE92B" w14:textId="77777777" w:rsidR="004A3EF7" w:rsidRPr="001C64F9" w:rsidRDefault="004A3EF7" w:rsidP="004A3EF7">
      <w:pPr>
        <w:spacing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eastAsia="Calibri" w:hAnsi="Arial" w:cs="Arial"/>
          <w:color w:val="000000"/>
          <w:sz w:val="22"/>
          <w:lang w:val="es-ES_tradnl"/>
        </w:rPr>
        <w:footnoteReference w:id="11"/>
      </w:r>
      <w:r w:rsidRPr="001C64F9">
        <w:rPr>
          <w:rFonts w:ascii="Arial" w:eastAsia="Calibri" w:hAnsi="Arial" w:cs="Arial"/>
          <w:color w:val="000000"/>
          <w:sz w:val="22"/>
          <w:lang w:val="es-ES_tradnl"/>
        </w:rPr>
        <w:t xml:space="preserve">, que facultó al gobierno nacional para expedirlos, pero solo cuando se tratara de la adquisición o </w:t>
      </w:r>
      <w:r w:rsidRPr="001C64F9">
        <w:rPr>
          <w:rFonts w:ascii="Arial" w:eastAsia="Calibri" w:hAnsi="Arial" w:cs="Arial"/>
          <w:color w:val="000000"/>
          <w:sz w:val="22"/>
          <w:lang w:val="es-ES_tradnl"/>
        </w:rPr>
        <w:lastRenderedPageBreak/>
        <w:t xml:space="preserve">suministro de bienes y servicios de características técnicas uniformes y de común utilización. Sin embargo, esta facultad no ha sido ejercida hasta la actualidad. </w:t>
      </w:r>
    </w:p>
    <w:p w14:paraId="6069E093" w14:textId="77777777" w:rsidR="004A3EF7" w:rsidRPr="001C64F9" w:rsidRDefault="004A3EF7" w:rsidP="004A3EF7">
      <w:pPr>
        <w:spacing w:line="276" w:lineRule="auto"/>
        <w:ind w:firstLine="708"/>
        <w:jc w:val="both"/>
        <w:rPr>
          <w:rFonts w:ascii="Arial" w:eastAsia="Calibri" w:hAnsi="Arial" w:cs="Arial"/>
          <w:color w:val="000000"/>
          <w:sz w:val="22"/>
          <w:lang w:val="es-ES_tradnl"/>
        </w:rPr>
      </w:pPr>
      <w:r w:rsidRPr="001C64F9">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58D94BF4" w14:textId="77777777" w:rsidR="004A3EF7" w:rsidRPr="001C64F9" w:rsidRDefault="004A3EF7" w:rsidP="004A3EF7">
      <w:pPr>
        <w:spacing w:before="120" w:after="120" w:line="276" w:lineRule="auto"/>
        <w:ind w:firstLine="708"/>
        <w:jc w:val="both"/>
        <w:rPr>
          <w:rFonts w:ascii="Arial" w:eastAsia="Calibri" w:hAnsi="Arial" w:cs="Arial"/>
          <w:color w:val="000000"/>
          <w:sz w:val="22"/>
          <w:lang w:val="es-ES_tradnl"/>
        </w:rPr>
      </w:pPr>
      <w:r w:rsidRPr="001C64F9">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64F9">
        <w:rPr>
          <w:rStyle w:val="Refdenotaalpie"/>
          <w:rFonts w:ascii="Arial" w:eastAsia="Calibri" w:hAnsi="Arial" w:cs="Arial"/>
          <w:color w:val="000000"/>
          <w:sz w:val="22"/>
          <w:lang w:val="es-ES_tradnl"/>
        </w:rPr>
        <w:footnoteReference w:id="12"/>
      </w:r>
      <w:r w:rsidRPr="001C64F9">
        <w:rPr>
          <w:rFonts w:ascii="Arial" w:eastAsia="Calibri" w:hAnsi="Arial" w:cs="Arial"/>
          <w:color w:val="000000"/>
          <w:sz w:val="22"/>
          <w:lang w:val="es-ES_tradnl"/>
        </w:rPr>
        <w:t>.</w:t>
      </w:r>
    </w:p>
    <w:p w14:paraId="2343C6B4" w14:textId="77777777" w:rsidR="004A3EF7" w:rsidRPr="001C64F9" w:rsidRDefault="004A3EF7" w:rsidP="004A3EF7">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A2AB2EA" w14:textId="77777777" w:rsidR="004A3EF7" w:rsidRPr="001C64F9" w:rsidRDefault="004A3EF7" w:rsidP="004A3EF7">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lastRenderedPageBreak/>
        <w:tab/>
        <w:t xml:space="preserve">De la norma descrita se concluía lo siguiente: i) la adopción de los documentos tipo estaba en cabeza del gobierno nacional. ii) Adicionalmente, estos debían relacionarse con procesos de obra públicas, interventoría para las obras públicas, interventoría para consultoría de estudios y diseños y, finalmente, consultoría en ingeniería para obras. iii) Por otro lado, eran de obligatorio cumplimiento por parte de todas las entidades sometidas al Estatuto General de Contratación de la Administración Pública. iv) Además, en los documentos tipo se indicarían las condiciones generales de los requisitos habilitantes, así como los factores técnicos y económicos de escogencia, según correspondiera para cada 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531EBECE" w14:textId="77777777" w:rsidR="004A3EF7" w:rsidRPr="001C64F9" w:rsidRDefault="004A3EF7" w:rsidP="004A3EF7">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1C64F9">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1C64F9">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1C64F9">
        <w:rPr>
          <w:rStyle w:val="Refdenotaalpie"/>
          <w:rFonts w:ascii="Arial" w:eastAsia="Calibri" w:hAnsi="Arial" w:cs="Arial"/>
          <w:color w:val="000000"/>
          <w:sz w:val="22"/>
          <w:lang w:val="es-ES_tradnl"/>
        </w:rPr>
        <w:footnoteReference w:id="13"/>
      </w:r>
      <w:r w:rsidRPr="001C64F9">
        <w:rPr>
          <w:rFonts w:ascii="Arial" w:eastAsia="Calibri" w:hAnsi="Arial" w:cs="Arial"/>
          <w:color w:val="000000"/>
          <w:sz w:val="22"/>
          <w:lang w:val="es-ES_tradnl"/>
        </w:rPr>
        <w:t>.</w:t>
      </w:r>
    </w:p>
    <w:p w14:paraId="5D8AD228" w14:textId="77777777" w:rsidR="004A3EF7" w:rsidRPr="001C64F9" w:rsidRDefault="004A3EF7" w:rsidP="004A3EF7">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31AD22E5" w14:textId="77777777" w:rsidR="004A3EF7" w:rsidRPr="001C64F9" w:rsidRDefault="004A3EF7" w:rsidP="004A3EF7">
      <w:pPr>
        <w:spacing w:before="120" w:after="120" w:line="276" w:lineRule="auto"/>
        <w:jc w:val="both"/>
        <w:rPr>
          <w:rFonts w:ascii="Arial" w:eastAsia="Calibri" w:hAnsi="Arial" w:cs="Arial"/>
          <w:color w:val="000000"/>
          <w:sz w:val="22"/>
          <w:szCs w:val="22"/>
          <w:lang w:val="es-ES_tradnl"/>
        </w:rPr>
      </w:pPr>
      <w:r w:rsidRPr="001C64F9">
        <w:rPr>
          <w:rFonts w:ascii="Arial" w:eastAsia="Calibri" w:hAnsi="Arial" w:cs="Arial"/>
          <w:color w:val="000000"/>
          <w:sz w:val="22"/>
          <w:szCs w:val="22"/>
          <w:lang w:val="es-ES_tradnl"/>
        </w:rPr>
        <w:tab/>
        <w:t xml:space="preserve">Explicado el proceso para adoptar los documentos tipo en virtud de la Ley 1882 de 2018 y estudiada su </w:t>
      </w:r>
      <w:r>
        <w:rPr>
          <w:rFonts w:ascii="Arial" w:eastAsia="Calibri" w:hAnsi="Arial" w:cs="Arial"/>
          <w:color w:val="000000"/>
          <w:sz w:val="22"/>
          <w:szCs w:val="22"/>
          <w:lang w:val="es-ES_tradnl"/>
        </w:rPr>
        <w:t>exequibilidad</w:t>
      </w:r>
      <w:r w:rsidRPr="001C64F9">
        <w:rPr>
          <w:rFonts w:ascii="Arial" w:eastAsia="Calibri" w:hAnsi="Arial" w:cs="Arial"/>
          <w:color w:val="000000"/>
          <w:sz w:val="22"/>
          <w:szCs w:val="22"/>
          <w:lang w:val="es-ES_tradnl"/>
        </w:rPr>
        <w:t xml:space="preserve">, de acuerdo con el pronunciamiento de la Corte </w:t>
      </w:r>
      <w:r w:rsidRPr="001C64F9">
        <w:rPr>
          <w:rFonts w:ascii="Arial" w:eastAsia="Calibri" w:hAnsi="Arial" w:cs="Arial"/>
          <w:color w:val="000000"/>
          <w:sz w:val="22"/>
          <w:szCs w:val="22"/>
          <w:lang w:val="es-ES_tradnl"/>
        </w:rPr>
        <w:lastRenderedPageBreak/>
        <w:t xml:space="preserve">Constitucional, a continuación, se identificarán los documentos tipo adoptados por el gobierno nacional en virtud de esta ley. </w:t>
      </w:r>
      <w:r w:rsidRPr="001C64F9">
        <w:rPr>
          <w:rFonts w:ascii="Arial" w:eastAsia="Calibri" w:hAnsi="Arial" w:cs="Arial"/>
          <w:sz w:val="22"/>
          <w:szCs w:val="22"/>
          <w:lang w:val="es-ES_tradnl" w:eastAsia="en-US"/>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eastAsia="Calibri" w:hAnsi="Arial" w:cs="Arial"/>
          <w:sz w:val="22"/>
          <w:szCs w:val="22"/>
          <w:lang w:val="es-ES_tradnl" w:eastAsia="en-US"/>
        </w:rPr>
        <w:t xml:space="preserve"> </w:t>
      </w:r>
      <w:r w:rsidRPr="001C64F9">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1C64F9">
        <w:rPr>
          <w:rFonts w:ascii="Arial" w:eastAsia="Calibri" w:hAnsi="Arial" w:cs="Arial"/>
          <w:sz w:val="22"/>
          <w:szCs w:val="22"/>
          <w:lang w:val="es-ES_tradnl" w:eastAsia="en-US"/>
        </w:rPr>
        <w:t xml:space="preserve">– Colombia Compra Eficiente, </w:t>
      </w:r>
      <w:bookmarkEnd w:id="4"/>
      <w:r w:rsidRPr="001C64F9">
        <w:rPr>
          <w:rFonts w:ascii="Arial" w:eastAsia="Calibri" w:hAnsi="Arial"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14:paraId="5A208747" w14:textId="77777777" w:rsidR="004A3EF7"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Por otra parte</w:t>
      </w:r>
      <w:r w:rsidRPr="001C64F9">
        <w:rPr>
          <w:rFonts w:eastAsia="Calibri"/>
          <w:i/>
          <w:iCs/>
          <w:color w:val="000000" w:themeColor="text1"/>
        </w:rPr>
        <w:t>,</w:t>
      </w:r>
      <w:r w:rsidRPr="001C64F9">
        <w:rPr>
          <w:rFonts w:eastAsia="Calibri"/>
          <w:color w:val="000000" w:themeColor="text1"/>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CF291B3"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Asimismo, con fundamento en dicha </w:t>
      </w:r>
      <w:r>
        <w:rPr>
          <w:rFonts w:eastAsia="Calibri"/>
          <w:color w:val="000000" w:themeColor="text1"/>
        </w:rPr>
        <w:t>L</w:t>
      </w:r>
      <w:r w:rsidRPr="001C64F9">
        <w:rPr>
          <w:rFonts w:eastAsia="Calibri"/>
          <w:color w:val="000000" w:themeColor="text1"/>
        </w:rPr>
        <w:t xml:space="preserve">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w:t>
      </w:r>
      <w:r w:rsidRPr="001C64F9">
        <w:rPr>
          <w:rFonts w:eastAsia="Calibri"/>
          <w:color w:val="000000" w:themeColor="text1"/>
        </w:rPr>
        <w:lastRenderedPageBreak/>
        <w:t>gestión catastral con enfoque multipropósito que se celebren a través de contratos interadministrativos».</w:t>
      </w:r>
    </w:p>
    <w:p w14:paraId="70CC50DF"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69477AD6"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76405F72"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ii) Documentos tipo para licitación de obra pública de infraestructura de transporte –versión 2–, obligatorios para los procesos cuyo aviso de convocatoria se haya publicado desde el 10 de marzo de 2020.</w:t>
      </w:r>
    </w:p>
    <w:p w14:paraId="1E9A9459"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iii) Documentos tipo para licitación de obra pública de infraestructura de transporte –versión 3–, obligatorios para los procesos cuyo aviso de convocatoria se haya publicado desde el 1 de enero de 2021.</w:t>
      </w:r>
    </w:p>
    <w:p w14:paraId="2B39DE98"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iv) Documentos tipo para procesos de selección abreviada de menor cuantía de infraestructura de transporte –versión 1–, obligatorios para los procesos cuyo aviso de convocatoria se haya publicado desde el 17 de febrero de 2020.</w:t>
      </w:r>
    </w:p>
    <w:p w14:paraId="661D32E6"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09369EEA"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0F7B2611"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vii) Documentos tipo para procesos de concurso de méritos para contratar la interventoría de obras públicas de infraestructura de transporte, obligatorios para los procesos cuyo aviso de convocatoria se haya publicado desde el 1 de enero de 2021.</w:t>
      </w:r>
    </w:p>
    <w:p w14:paraId="0270105A"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viii) Documentos tipo para procesos de licitación pública para obras de infraestructura de agua potable y saneamiento básico, obligatorios para los procesos cuyo aviso de convocatoria se haya publicado desde el 11 de diciembre de 2020.</w:t>
      </w:r>
    </w:p>
    <w:p w14:paraId="20300CB0"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E63740F" w14:textId="77777777" w:rsidR="004A3EF7" w:rsidRPr="001C64F9" w:rsidRDefault="004A3EF7" w:rsidP="004A3EF7">
      <w:pPr>
        <w:pStyle w:val="Normal11pt"/>
        <w:spacing w:before="120" w:line="276" w:lineRule="auto"/>
        <w:ind w:left="0" w:firstLine="709"/>
        <w:rPr>
          <w:rFonts w:eastAsia="Calibri"/>
          <w:color w:val="000000" w:themeColor="text1"/>
        </w:rPr>
      </w:pPr>
      <w:r w:rsidRPr="001C64F9">
        <w:rPr>
          <w:rFonts w:eastAsia="Calibri"/>
          <w:color w:val="000000" w:themeColor="text1"/>
        </w:rPr>
        <w:t>x) Documentos tipo para procesos de gestión catastral con enfoque multipropósito que se celebren a través de contratos interadministrativos, a partir del 1 de febrero de 2021.</w:t>
      </w:r>
    </w:p>
    <w:p w14:paraId="78685629" w14:textId="77777777" w:rsidR="004A3EF7" w:rsidRPr="001C64F9" w:rsidRDefault="004A3EF7" w:rsidP="004A3EF7">
      <w:pPr>
        <w:pStyle w:val="Normal11pt"/>
        <w:spacing w:before="120" w:line="276" w:lineRule="auto"/>
        <w:ind w:left="0" w:firstLine="709"/>
        <w:rPr>
          <w:rFonts w:eastAsia="Calibri"/>
          <w:lang w:eastAsia="en-US"/>
        </w:rPr>
      </w:pPr>
      <w:r w:rsidRPr="001C64F9">
        <w:rPr>
          <w:rFonts w:eastAsia="Calibri"/>
          <w:color w:val="000000" w:themeColor="text1"/>
        </w:rPr>
        <w:lastRenderedPageBreak/>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318EEBE3" w14:textId="59C06589" w:rsidR="004A3EF7" w:rsidRDefault="004A3EF7" w:rsidP="004D1C27">
      <w:pPr>
        <w:spacing w:line="276" w:lineRule="auto"/>
        <w:jc w:val="both"/>
        <w:rPr>
          <w:rFonts w:ascii="Arial" w:hAnsi="Arial" w:cs="Arial"/>
          <w:sz w:val="22"/>
          <w:lang w:val="es-ES_tradnl"/>
        </w:rPr>
      </w:pPr>
    </w:p>
    <w:p w14:paraId="477EA587" w14:textId="44DE1F05" w:rsidR="00C55D6D" w:rsidRPr="001C64F9" w:rsidRDefault="00C55D6D" w:rsidP="00C55D6D">
      <w:pPr>
        <w:spacing w:line="276" w:lineRule="auto"/>
        <w:jc w:val="both"/>
        <w:rPr>
          <w:rFonts w:ascii="Arial" w:eastAsia="Arial" w:hAnsi="Arial" w:cs="Arial"/>
          <w:b/>
          <w:bCs/>
          <w:color w:val="000000"/>
          <w:sz w:val="22"/>
          <w:lang w:val="es-ES_tradnl"/>
        </w:rPr>
      </w:pPr>
      <w:r w:rsidRPr="002B5B64">
        <w:rPr>
          <w:rFonts w:ascii="Arial" w:eastAsia="Arial" w:hAnsi="Arial" w:cs="Arial"/>
          <w:b/>
          <w:bCs/>
          <w:color w:val="000000"/>
          <w:sz w:val="22"/>
          <w:lang w:val="es-ES_tradnl"/>
        </w:rPr>
        <w:t>2.</w:t>
      </w:r>
      <w:r w:rsidR="006D7746">
        <w:rPr>
          <w:rFonts w:ascii="Arial" w:eastAsia="Arial" w:hAnsi="Arial" w:cs="Arial"/>
          <w:b/>
          <w:bCs/>
          <w:color w:val="000000"/>
          <w:sz w:val="22"/>
          <w:lang w:val="es-ES_tradnl"/>
        </w:rPr>
        <w:t>5</w:t>
      </w:r>
      <w:r w:rsidRPr="002B5B64">
        <w:rPr>
          <w:rFonts w:ascii="Arial" w:eastAsia="Arial" w:hAnsi="Arial" w:cs="Arial"/>
          <w:b/>
          <w:bCs/>
          <w:color w:val="000000"/>
          <w:sz w:val="22"/>
          <w:lang w:val="es-ES_tradnl"/>
        </w:rPr>
        <w:t>. Vigencia de la regla de inalterabilidad de los pliegos tipo frente a los factores de desempate regulados en el artículo 35 de la Ley 2069 de 2020</w:t>
      </w:r>
      <w:r w:rsidR="00894AB5" w:rsidRPr="002B5B64">
        <w:rPr>
          <w:rFonts w:ascii="Arial" w:eastAsia="Arial" w:hAnsi="Arial" w:cs="Arial"/>
          <w:b/>
          <w:bCs/>
          <w:color w:val="000000"/>
          <w:sz w:val="22"/>
          <w:lang w:val="es-ES_tradnl"/>
        </w:rPr>
        <w:t xml:space="preserve"> y derogatoria de normas contrarias</w:t>
      </w:r>
    </w:p>
    <w:p w14:paraId="60A0F71F" w14:textId="77777777" w:rsidR="00C55D6D" w:rsidRPr="001C64F9" w:rsidRDefault="00C55D6D" w:rsidP="00C55D6D">
      <w:pPr>
        <w:tabs>
          <w:tab w:val="left" w:pos="0"/>
        </w:tabs>
        <w:spacing w:line="276" w:lineRule="auto"/>
        <w:jc w:val="both"/>
        <w:rPr>
          <w:rFonts w:ascii="Arial" w:eastAsia="Calibri" w:hAnsi="Arial" w:cs="Arial"/>
          <w:b/>
          <w:color w:val="000000" w:themeColor="text1"/>
          <w:sz w:val="22"/>
          <w:lang w:val="es-ES_tradnl"/>
        </w:rPr>
      </w:pPr>
    </w:p>
    <w:p w14:paraId="1A353A41" w14:textId="77777777" w:rsidR="00C55D6D" w:rsidRPr="001C64F9" w:rsidRDefault="00C55D6D" w:rsidP="00C55D6D">
      <w:pPr>
        <w:spacing w:line="276" w:lineRule="auto"/>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Todas las resoluciones</w:t>
      </w:r>
      <w:r w:rsidRPr="001C64F9">
        <w:rPr>
          <w:rStyle w:val="Refdenotaalpie"/>
          <w:rFonts w:ascii="Arial" w:hAnsi="Arial" w:cs="Arial"/>
          <w:sz w:val="22"/>
          <w:shd w:val="clear" w:color="auto" w:fill="FFFFFF"/>
          <w:lang w:val="es-ES_tradnl"/>
        </w:rPr>
        <w:footnoteReference w:id="14"/>
      </w:r>
      <w:r w:rsidRPr="001C64F9">
        <w:rPr>
          <w:rFonts w:ascii="Arial" w:hAnsi="Arial" w:cs="Arial"/>
          <w:sz w:val="22"/>
          <w:shd w:val="clear" w:color="auto" w:fill="FFFFFF"/>
          <w:lang w:val="es-ES_tradnl"/>
        </w:rPr>
        <w:t xml:space="preserve">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w:t>
      </w:r>
      <w:r w:rsidRPr="001C64F9">
        <w:rPr>
          <w:rFonts w:ascii="Arial" w:hAnsi="Arial" w:cs="Arial"/>
          <w:i/>
          <w:iCs/>
          <w:sz w:val="22"/>
          <w:shd w:val="clear" w:color="auto" w:fill="FFFFFF"/>
          <w:lang w:val="es-ES_tradnl"/>
        </w:rPr>
        <w:t>Documentos del Proceso</w:t>
      </w:r>
      <w:r w:rsidRPr="001C64F9">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 xml:space="preserve">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Pr>
          <w:rFonts w:ascii="Arial" w:hAnsi="Arial" w:cs="Arial"/>
          <w:sz w:val="22"/>
          <w:shd w:val="clear" w:color="auto" w:fill="FFFFFF"/>
          <w:lang w:val="es-ES_tradnl"/>
        </w:rPr>
        <w:t>Por lo tanto</w:t>
      </w:r>
      <w:r w:rsidRPr="001C64F9">
        <w:rPr>
          <w:rFonts w:ascii="Arial" w:hAnsi="Arial" w:cs="Arial"/>
          <w:sz w:val="22"/>
          <w:shd w:val="clear" w:color="auto" w:fill="FFFFFF"/>
          <w:lang w:val="es-ES_tradnl"/>
        </w:rPr>
        <w:t>, las entidades estatales, al realizar sus procedimientos de selección, solo podrán modificarlos en los aspectos en que los documentos tipo lo permitan.</w:t>
      </w:r>
    </w:p>
    <w:p w14:paraId="50CCF785" w14:textId="77777777" w:rsidR="002B5B64" w:rsidRDefault="00C55D6D" w:rsidP="002B5B64">
      <w:pPr>
        <w:spacing w:before="120" w:line="276" w:lineRule="auto"/>
        <w:ind w:firstLine="709"/>
        <w:jc w:val="both"/>
        <w:rPr>
          <w:rFonts w:ascii="Arial" w:hAnsi="Arial" w:cs="Arial"/>
          <w:sz w:val="22"/>
          <w:szCs w:val="22"/>
          <w:shd w:val="clear" w:color="auto" w:fill="FFFFFF"/>
          <w:lang w:val="es-ES_tradnl"/>
        </w:rPr>
      </w:pPr>
      <w:r w:rsidRPr="001C64F9">
        <w:rPr>
          <w:rFonts w:ascii="Arial" w:hAnsi="Arial" w:cs="Arial"/>
          <w:sz w:val="22"/>
          <w:szCs w:val="22"/>
          <w:shd w:val="clear" w:color="auto" w:fill="FFFFFF"/>
          <w:lang w:val="es-ES_tradnl"/>
        </w:rPr>
        <w:t xml:space="preserve">El fundamento legal vigente de la regla de la </w:t>
      </w:r>
      <w:r w:rsidRPr="001C64F9">
        <w:rPr>
          <w:rFonts w:ascii="Arial" w:hAnsi="Arial" w:cs="Arial"/>
          <w:sz w:val="22"/>
          <w:shd w:val="clear" w:color="auto" w:fill="FFFFFF"/>
          <w:lang w:val="es-ES_tradnl"/>
        </w:rPr>
        <w:t xml:space="preserve">inalterabilidad </w:t>
      </w:r>
      <w:r w:rsidRPr="001C64F9">
        <w:rPr>
          <w:rFonts w:ascii="Arial" w:hAnsi="Arial" w:cs="Arial"/>
          <w:sz w:val="22"/>
          <w:szCs w:val="22"/>
          <w:shd w:val="clear" w:color="auto" w:fill="FFFFFF"/>
          <w:lang w:val="es-ES_tradnl"/>
        </w:rPr>
        <w:t>se encuentra en el artículo 1 de la Ley 2022 de 2020, según el cual «</w:t>
      </w:r>
      <w:r w:rsidRPr="001C64F9">
        <w:rPr>
          <w:rFonts w:ascii="Arial" w:hAnsi="Arial" w:cs="Arial"/>
          <w:sz w:val="22"/>
          <w:szCs w:val="22"/>
          <w:lang w:val="es-ES_tradnl"/>
        </w:rPr>
        <w:t xml:space="preserve">[…] </w:t>
      </w:r>
      <w:r w:rsidRPr="001C64F9">
        <w:rPr>
          <w:rFonts w:ascii="Arial" w:hAnsi="Arial" w:cs="Arial"/>
          <w:sz w:val="22"/>
          <w:szCs w:val="22"/>
          <w:shd w:val="clear" w:color="auto" w:fill="FFFFFF"/>
          <w:lang w:val="es-ES_tradnl"/>
        </w:rPr>
        <w:t xml:space="preserve">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w:t>
      </w:r>
      <w:r>
        <w:rPr>
          <w:rFonts w:ascii="Arial" w:hAnsi="Arial" w:cs="Arial"/>
          <w:sz w:val="22"/>
          <w:szCs w:val="22"/>
          <w:shd w:val="clear" w:color="auto" w:fill="FFFFFF"/>
          <w:lang w:val="es-ES_tradnl"/>
        </w:rPr>
        <w:t xml:space="preserve">regulado </w:t>
      </w:r>
      <w:r w:rsidRPr="001C64F9">
        <w:rPr>
          <w:rFonts w:ascii="Arial" w:hAnsi="Arial" w:cs="Arial"/>
          <w:sz w:val="22"/>
          <w:szCs w:val="22"/>
          <w:shd w:val="clear" w:color="auto" w:fill="FFFFFF"/>
          <w:lang w:val="es-ES_tradnl"/>
        </w:rPr>
        <w:t>en su momento el carácter inmodificable de los pliegos tipo en el artículo 1 de los Decretos 342 de 2019 y 594 de 2020, que adicionaron, respectivamente, los artículos 2.2.1.2.6.1.4. y 2.2.1.2.6.3.4 al Decreto 1082 de 2015.</w:t>
      </w:r>
    </w:p>
    <w:p w14:paraId="36ED54A2" w14:textId="14B7232B" w:rsidR="002B5B64" w:rsidRDefault="002B5B64" w:rsidP="002B5B64">
      <w:pPr>
        <w:spacing w:before="120" w:line="276" w:lineRule="auto"/>
        <w:ind w:firstLine="709"/>
        <w:jc w:val="both"/>
        <w:rPr>
          <w:rFonts w:ascii="Arial" w:hAnsi="Arial" w:cs="Arial"/>
          <w:sz w:val="22"/>
          <w:szCs w:val="22"/>
          <w:shd w:val="clear" w:color="auto" w:fill="FFFFFF"/>
          <w:lang w:val="es-ES_tradnl"/>
        </w:rPr>
      </w:pPr>
      <w:r>
        <w:rPr>
          <w:rFonts w:ascii="Arial" w:hAnsi="Arial" w:cs="Arial"/>
          <w:color w:val="000000" w:themeColor="text1"/>
          <w:sz w:val="22"/>
          <w:szCs w:val="22"/>
          <w:lang w:val="es-ES_tradnl"/>
        </w:rPr>
        <w:t xml:space="preserve">Las entidades estatales obligadas a adelantar sus procesos de selección con base en los documentos tipo deben respetar la </w:t>
      </w:r>
      <w:r w:rsidRPr="00D47513">
        <w:rPr>
          <w:rFonts w:ascii="Arial" w:hAnsi="Arial" w:cs="Arial"/>
          <w:i/>
          <w:iCs/>
          <w:color w:val="000000" w:themeColor="text1"/>
          <w:sz w:val="22"/>
          <w:szCs w:val="22"/>
          <w:lang w:val="es-ES_tradnl"/>
        </w:rPr>
        <w:t>regla de la inalterabilidad</w:t>
      </w:r>
      <w:r>
        <w:rPr>
          <w:rFonts w:ascii="Arial" w:hAnsi="Arial" w:cs="Arial"/>
          <w:color w:val="000000" w:themeColor="text1"/>
          <w:sz w:val="22"/>
          <w:szCs w:val="22"/>
          <w:lang w:val="es-ES_tradnl"/>
        </w:rPr>
        <w:t xml:space="preserve"> prevista en el </w:t>
      </w:r>
      <w:r w:rsidRPr="001C64F9">
        <w:rPr>
          <w:rFonts w:ascii="Arial" w:hAnsi="Arial" w:cs="Arial"/>
          <w:sz w:val="22"/>
          <w:szCs w:val="22"/>
          <w:shd w:val="clear" w:color="auto" w:fill="FFFFFF"/>
          <w:lang w:val="es-ES_tradnl"/>
        </w:rPr>
        <w:t>artículo 1 de la Ley 2022 de 2020</w:t>
      </w:r>
      <w:r>
        <w:rPr>
          <w:rFonts w:ascii="Arial" w:hAnsi="Arial" w:cs="Arial"/>
          <w:sz w:val="22"/>
          <w:szCs w:val="22"/>
          <w:shd w:val="clear" w:color="auto" w:fill="FFFFFF"/>
          <w:lang w:val="es-ES_tradnl"/>
        </w:rPr>
        <w:t xml:space="preserve"> y en las diversas resoluciones expedidas por la Agencia Nacional de Contratación Pública – Colombia Compra Eficiente para implementar dichos documentos. Pero, esta regla no se opone al deber de acatar el artículo 35 de la Ley 2069 </w:t>
      </w:r>
      <w:r>
        <w:rPr>
          <w:rFonts w:ascii="Arial" w:hAnsi="Arial" w:cs="Arial"/>
          <w:sz w:val="22"/>
          <w:szCs w:val="22"/>
          <w:shd w:val="clear" w:color="auto" w:fill="FFFFFF"/>
          <w:lang w:val="es-ES_tradnl"/>
        </w:rPr>
        <w:lastRenderedPageBreak/>
        <w:t xml:space="preserve">de 2020, pues este comenzó a regir a partir del 31 de diciembre de 2020. En consecuencia, las entidades estatales deben incluir en sus pliegos de condiciones particulares los factores de desempate previstos en el mencionado artículo 35, porque desde que esta norma inició su vigencia se incorporó de pleno derecho a los documentos tipo, en la medida en que produjo la pérdida de fuerza ejecutoria –prevista en el artículo 91, numeral 2, de la Ley 1437 de 2011– tanto del artículo </w:t>
      </w:r>
      <w:r w:rsidRPr="00BC5DEB">
        <w:rPr>
          <w:rFonts w:ascii="Arial" w:hAnsi="Arial" w:cs="Arial"/>
          <w:sz w:val="22"/>
          <w:szCs w:val="22"/>
          <w:shd w:val="clear" w:color="auto" w:fill="FFFFFF"/>
          <w:lang w:val="es-ES_tradnl"/>
        </w:rPr>
        <w:t>2.2.1.1.2.2.9.</w:t>
      </w:r>
      <w:r>
        <w:rPr>
          <w:rFonts w:ascii="Arial" w:hAnsi="Arial" w:cs="Arial"/>
          <w:sz w:val="22"/>
          <w:szCs w:val="22"/>
          <w:shd w:val="clear" w:color="auto" w:fill="FFFFFF"/>
          <w:lang w:val="es-ES_tradnl"/>
        </w:rPr>
        <w:t xml:space="preserve"> del Decreto 1082 de 2015, como del numeral 4,6 de los documentos tipo, que a su vez se había fundamentado en el referido artículo del Decreto 1082 de 2015. </w:t>
      </w:r>
    </w:p>
    <w:p w14:paraId="49D497CD" w14:textId="77777777" w:rsidR="002B5B64" w:rsidRDefault="002B5B64" w:rsidP="002B5B64">
      <w:pPr>
        <w:spacing w:before="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De manera que cuando las entidades estatales incorporan a sus pliegos de condiciones particulares o documentos equivalentes los factores de desempate regulados hoy en el artículo 35 de la Ley 2069 de 2020 </w:t>
      </w:r>
      <w:r w:rsidRPr="00ED1F98">
        <w:rPr>
          <w:rFonts w:ascii="Arial" w:hAnsi="Arial" w:cs="Arial"/>
          <w:i/>
          <w:iCs/>
          <w:sz w:val="22"/>
          <w:szCs w:val="22"/>
          <w:shd w:val="clear" w:color="auto" w:fill="FFFFFF"/>
          <w:lang w:val="es-ES_tradnl"/>
        </w:rPr>
        <w:t>no</w:t>
      </w:r>
      <w:r>
        <w:rPr>
          <w:rFonts w:ascii="Arial" w:hAnsi="Arial" w:cs="Arial"/>
          <w:sz w:val="22"/>
          <w:szCs w:val="22"/>
          <w:shd w:val="clear" w:color="auto" w:fill="FFFFFF"/>
          <w:lang w:val="es-ES_tradnl"/>
        </w:rPr>
        <w:t xml:space="preserve"> alteran los documentos tipo –y, en tal sentido, no atentan contra la regla de la inalterabilidad–, pues el Legislador ya modificó dichos documentos. Esto por cuanto a través de una norma de mayor jerarquía –el artículo 35 de la Ley 2069 de 2020– derogó la regulación hasta ese momento vigente en el Decreto 1082 de 2015 y en las demás disposiciones reglamentarias. Los documentos tipo expedidos por la Agencia Nacional de Contratación Pública – Colombia Compra Eficiente son reglamentos </w:t>
      </w:r>
      <w:proofErr w:type="spellStart"/>
      <w:r w:rsidRPr="00CF5463">
        <w:rPr>
          <w:rFonts w:ascii="Arial" w:hAnsi="Arial" w:cs="Arial"/>
          <w:i/>
          <w:iCs/>
          <w:sz w:val="22"/>
          <w:szCs w:val="22"/>
          <w:shd w:val="clear" w:color="auto" w:fill="FFFFFF"/>
          <w:lang w:val="es-ES_tradnl"/>
        </w:rPr>
        <w:t>secundum</w:t>
      </w:r>
      <w:proofErr w:type="spellEnd"/>
      <w:r w:rsidRPr="00CF5463">
        <w:rPr>
          <w:rFonts w:ascii="Arial" w:hAnsi="Arial" w:cs="Arial"/>
          <w:i/>
          <w:iCs/>
          <w:sz w:val="22"/>
          <w:szCs w:val="22"/>
          <w:shd w:val="clear" w:color="auto" w:fill="FFFFFF"/>
          <w:lang w:val="es-ES_tradnl"/>
        </w:rPr>
        <w:t xml:space="preserve"> </w:t>
      </w:r>
      <w:proofErr w:type="spellStart"/>
      <w:r w:rsidRPr="00CF5463">
        <w:rPr>
          <w:rFonts w:ascii="Arial" w:hAnsi="Arial" w:cs="Arial"/>
          <w:i/>
          <w:iCs/>
          <w:sz w:val="22"/>
          <w:szCs w:val="22"/>
          <w:shd w:val="clear" w:color="auto" w:fill="FFFFFF"/>
          <w:lang w:val="es-ES_tradnl"/>
        </w:rPr>
        <w:t>legem</w:t>
      </w:r>
      <w:proofErr w:type="spellEnd"/>
      <w:r>
        <w:rPr>
          <w:rFonts w:ascii="Arial" w:hAnsi="Arial" w:cs="Arial"/>
          <w:sz w:val="22"/>
          <w:szCs w:val="22"/>
          <w:shd w:val="clear" w:color="auto" w:fill="FFFFFF"/>
          <w:lang w:val="es-ES_tradnl"/>
        </w:rPr>
        <w:t xml:space="preserve">, supeditados al Decreto 1082 de 2015, y, por lo tanto, al quedar derogada la regulación de los factores de desempate en dicho Decreto, ha perdido fuerza ejecutoria el tratamiento normativo de los factores de desempate contenido en los documentos tipo, que se inspiraba en el artículo </w:t>
      </w:r>
      <w:r w:rsidRPr="00BC5DEB">
        <w:rPr>
          <w:rFonts w:ascii="Arial" w:hAnsi="Arial" w:cs="Arial"/>
          <w:sz w:val="22"/>
          <w:szCs w:val="22"/>
          <w:shd w:val="clear" w:color="auto" w:fill="FFFFFF"/>
          <w:lang w:val="es-ES_tradnl"/>
        </w:rPr>
        <w:t>2.2.1.1.2.2.9.</w:t>
      </w:r>
      <w:r>
        <w:rPr>
          <w:rFonts w:ascii="Arial" w:hAnsi="Arial" w:cs="Arial"/>
          <w:sz w:val="22"/>
          <w:szCs w:val="22"/>
          <w:shd w:val="clear" w:color="auto" w:fill="FFFFFF"/>
          <w:lang w:val="es-ES_tradnl"/>
        </w:rPr>
        <w:t xml:space="preserve"> del Decreto 1082 de 2015. Así las cosas, al decaer los apartados de los documentos tipo que regían los factores de desempate, automáticamente se integra a tales documentos el artículo 35 de la Ley 2069 de 2020, porque tiene eficacia directa e inmediata, dado que esta no se encuentra supeditada a la expedición de un decreto reglamentario por parte del gobierno nacional.    </w:t>
      </w:r>
    </w:p>
    <w:p w14:paraId="33A3D5F0" w14:textId="77777777" w:rsidR="00C55D6D" w:rsidRDefault="00C55D6D" w:rsidP="00C55D6D">
      <w:pPr>
        <w:spacing w:line="276" w:lineRule="auto"/>
        <w:jc w:val="both"/>
        <w:rPr>
          <w:rFonts w:ascii="Arial" w:hAnsi="Arial" w:cs="Arial"/>
          <w:sz w:val="22"/>
          <w:lang w:val="es-ES_tradnl"/>
        </w:rPr>
      </w:pPr>
    </w:p>
    <w:p w14:paraId="37CA9805" w14:textId="2944B15C"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0B74D5B8" w14:textId="7F0A7F13" w:rsidR="00C4581D" w:rsidRPr="00A43C00" w:rsidRDefault="00C4581D" w:rsidP="00510DE9">
      <w:pPr>
        <w:tabs>
          <w:tab w:val="left" w:pos="0"/>
        </w:tabs>
        <w:jc w:val="both"/>
        <w:rPr>
          <w:rFonts w:ascii="Arial" w:eastAsia="Calibri" w:hAnsi="Arial" w:cs="Arial"/>
          <w:color w:val="000000" w:themeColor="text1"/>
          <w:sz w:val="22"/>
          <w:lang w:val="es-ES_tradnl"/>
        </w:rPr>
      </w:pPr>
    </w:p>
    <w:p w14:paraId="3D9BE5B8" w14:textId="130FC68B" w:rsidR="00977767" w:rsidRPr="007622EC" w:rsidRDefault="00423E4D" w:rsidP="009777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77767" w:rsidRPr="007622EC">
        <w:rPr>
          <w:rFonts w:ascii="Arial" w:hAnsi="Arial" w:cs="Arial"/>
          <w:color w:val="000000" w:themeColor="text1"/>
          <w:sz w:val="21"/>
          <w:szCs w:val="21"/>
          <w:lang w:val="es-ES_tradnl"/>
        </w:rPr>
        <w:t>1.</w:t>
      </w:r>
      <w:r w:rsidR="00977767">
        <w:rPr>
          <w:rFonts w:ascii="Arial" w:hAnsi="Arial" w:cs="Arial"/>
          <w:color w:val="000000" w:themeColor="text1"/>
          <w:sz w:val="21"/>
          <w:szCs w:val="21"/>
          <w:lang w:val="es-ES_tradnl"/>
        </w:rPr>
        <w:t xml:space="preserve"> </w:t>
      </w:r>
      <w:r w:rsidR="00977767" w:rsidRPr="007622EC">
        <w:rPr>
          <w:rFonts w:ascii="Arial" w:hAnsi="Arial" w:cs="Arial"/>
          <w:color w:val="000000" w:themeColor="text1"/>
          <w:sz w:val="21"/>
          <w:szCs w:val="21"/>
          <w:lang w:val="es-ES_tradnl"/>
        </w:rPr>
        <w:t>¿Las entidades contratantes cuentan con la discrecionalidad para establecer en el pliego de condiciones o en el documento equivalente las reglas de desempates realizando los ajustes pertinentes en los documentos tipo? ¿A quién corresponde realizar el ajuste?</w:t>
      </w:r>
      <w:r>
        <w:rPr>
          <w:rFonts w:ascii="Arial" w:hAnsi="Arial" w:cs="Arial"/>
          <w:color w:val="000000" w:themeColor="text1"/>
          <w:sz w:val="21"/>
          <w:szCs w:val="21"/>
          <w:lang w:val="es-ES_tradnl"/>
        </w:rPr>
        <w:t>»</w:t>
      </w:r>
    </w:p>
    <w:p w14:paraId="20C8A0E8" w14:textId="01774CF6" w:rsidR="00977767" w:rsidRDefault="00977767" w:rsidP="00E87176">
      <w:pPr>
        <w:ind w:right="709"/>
        <w:jc w:val="both"/>
        <w:rPr>
          <w:rFonts w:ascii="Arial" w:hAnsi="Arial" w:cs="Arial"/>
          <w:color w:val="000000" w:themeColor="text1"/>
          <w:sz w:val="21"/>
          <w:szCs w:val="21"/>
          <w:lang w:val="es-ES_tradnl"/>
        </w:rPr>
      </w:pPr>
    </w:p>
    <w:p w14:paraId="37FC8CE1" w14:textId="2F9B3255" w:rsidR="001856D6" w:rsidRDefault="00E87176" w:rsidP="00E87176">
      <w:pPr>
        <w:spacing w:line="276" w:lineRule="auto"/>
        <w:jc w:val="both"/>
        <w:rPr>
          <w:rFonts w:ascii="Arial" w:hAnsi="Arial" w:cs="Arial"/>
          <w:sz w:val="22"/>
          <w:szCs w:val="22"/>
          <w:shd w:val="clear" w:color="auto" w:fill="FFFFFF"/>
          <w:lang w:val="es-ES_tradnl"/>
        </w:rPr>
      </w:pPr>
      <w:r>
        <w:rPr>
          <w:rFonts w:ascii="Arial" w:hAnsi="Arial" w:cs="Arial"/>
          <w:color w:val="000000" w:themeColor="text1"/>
          <w:sz w:val="22"/>
          <w:szCs w:val="22"/>
          <w:lang w:val="es-ES_tradnl"/>
        </w:rPr>
        <w:t xml:space="preserve">Las entidades estatales </w:t>
      </w:r>
      <w:r w:rsidR="00A1662B">
        <w:rPr>
          <w:rFonts w:ascii="Arial" w:hAnsi="Arial" w:cs="Arial"/>
          <w:color w:val="000000" w:themeColor="text1"/>
          <w:sz w:val="22"/>
          <w:szCs w:val="22"/>
          <w:lang w:val="es-ES_tradnl"/>
        </w:rPr>
        <w:t xml:space="preserve">obligadas a </w:t>
      </w:r>
      <w:r w:rsidR="00FC2FBE">
        <w:rPr>
          <w:rFonts w:ascii="Arial" w:hAnsi="Arial" w:cs="Arial"/>
          <w:color w:val="000000" w:themeColor="text1"/>
          <w:sz w:val="22"/>
          <w:szCs w:val="22"/>
          <w:lang w:val="es-ES_tradnl"/>
        </w:rPr>
        <w:t>adelantar sus procesos de selección con base en los documentos tipo</w:t>
      </w:r>
      <w:r w:rsidR="00C560B8">
        <w:rPr>
          <w:rFonts w:ascii="Arial" w:hAnsi="Arial" w:cs="Arial"/>
          <w:color w:val="000000" w:themeColor="text1"/>
          <w:sz w:val="22"/>
          <w:szCs w:val="22"/>
          <w:lang w:val="es-ES_tradnl"/>
        </w:rPr>
        <w:t xml:space="preserve"> deben respetar la </w:t>
      </w:r>
      <w:r w:rsidR="00C560B8" w:rsidRPr="00D47513">
        <w:rPr>
          <w:rFonts w:ascii="Arial" w:hAnsi="Arial" w:cs="Arial"/>
          <w:i/>
          <w:iCs/>
          <w:color w:val="000000" w:themeColor="text1"/>
          <w:sz w:val="22"/>
          <w:szCs w:val="22"/>
          <w:lang w:val="es-ES_tradnl"/>
        </w:rPr>
        <w:t>regla de la inalterabilidad</w:t>
      </w:r>
      <w:r w:rsidR="00C560B8">
        <w:rPr>
          <w:rFonts w:ascii="Arial" w:hAnsi="Arial" w:cs="Arial"/>
          <w:color w:val="000000" w:themeColor="text1"/>
          <w:sz w:val="22"/>
          <w:szCs w:val="22"/>
          <w:lang w:val="es-ES_tradnl"/>
        </w:rPr>
        <w:t xml:space="preserve"> </w:t>
      </w:r>
      <w:r w:rsidR="008D6E84">
        <w:rPr>
          <w:rFonts w:ascii="Arial" w:hAnsi="Arial" w:cs="Arial"/>
          <w:color w:val="000000" w:themeColor="text1"/>
          <w:sz w:val="22"/>
          <w:szCs w:val="22"/>
          <w:lang w:val="es-ES_tradnl"/>
        </w:rPr>
        <w:t xml:space="preserve">prevista en el </w:t>
      </w:r>
      <w:r w:rsidR="008D6E84" w:rsidRPr="001C64F9">
        <w:rPr>
          <w:rFonts w:ascii="Arial" w:hAnsi="Arial" w:cs="Arial"/>
          <w:sz w:val="22"/>
          <w:szCs w:val="22"/>
          <w:shd w:val="clear" w:color="auto" w:fill="FFFFFF"/>
          <w:lang w:val="es-ES_tradnl"/>
        </w:rPr>
        <w:t>artículo 1 de la Ley 2022 de 2020</w:t>
      </w:r>
      <w:r w:rsidR="008D6E84">
        <w:rPr>
          <w:rFonts w:ascii="Arial" w:hAnsi="Arial" w:cs="Arial"/>
          <w:sz w:val="22"/>
          <w:szCs w:val="22"/>
          <w:shd w:val="clear" w:color="auto" w:fill="FFFFFF"/>
          <w:lang w:val="es-ES_tradnl"/>
        </w:rPr>
        <w:t xml:space="preserve"> y en las diversas resoluciones expedidas por la Agencia Nacional de Contratación Pública – Colombia Compra Eficiente para implementar dichos documentos.</w:t>
      </w:r>
      <w:r w:rsidR="00311C19">
        <w:rPr>
          <w:rFonts w:ascii="Arial" w:hAnsi="Arial" w:cs="Arial"/>
          <w:sz w:val="22"/>
          <w:szCs w:val="22"/>
          <w:shd w:val="clear" w:color="auto" w:fill="FFFFFF"/>
          <w:lang w:val="es-ES_tradnl"/>
        </w:rPr>
        <w:t xml:space="preserve"> Pero, </w:t>
      </w:r>
      <w:r w:rsidR="00215E09">
        <w:rPr>
          <w:rFonts w:ascii="Arial" w:hAnsi="Arial" w:cs="Arial"/>
          <w:sz w:val="22"/>
          <w:szCs w:val="22"/>
          <w:shd w:val="clear" w:color="auto" w:fill="FFFFFF"/>
          <w:lang w:val="es-ES_tradnl"/>
        </w:rPr>
        <w:t>esta</w:t>
      </w:r>
      <w:r w:rsidR="00311C19">
        <w:rPr>
          <w:rFonts w:ascii="Arial" w:hAnsi="Arial" w:cs="Arial"/>
          <w:sz w:val="22"/>
          <w:szCs w:val="22"/>
          <w:shd w:val="clear" w:color="auto" w:fill="FFFFFF"/>
          <w:lang w:val="es-ES_tradnl"/>
        </w:rPr>
        <w:t xml:space="preserve"> regla no se opone al deber</w:t>
      </w:r>
      <w:r w:rsidR="00C84587">
        <w:rPr>
          <w:rFonts w:ascii="Arial" w:hAnsi="Arial" w:cs="Arial"/>
          <w:sz w:val="22"/>
          <w:szCs w:val="22"/>
          <w:shd w:val="clear" w:color="auto" w:fill="FFFFFF"/>
          <w:lang w:val="es-ES_tradnl"/>
        </w:rPr>
        <w:t xml:space="preserve"> de acatar el artículo 35 de la Ley 2069 de 2020, pues este comenzó a regir a partir del 31 de diciembre de 2020. </w:t>
      </w:r>
      <w:r w:rsidR="002D5759">
        <w:rPr>
          <w:rFonts w:ascii="Arial" w:hAnsi="Arial" w:cs="Arial"/>
          <w:sz w:val="22"/>
          <w:szCs w:val="22"/>
          <w:shd w:val="clear" w:color="auto" w:fill="FFFFFF"/>
          <w:lang w:val="es-ES_tradnl"/>
        </w:rPr>
        <w:t>En consecuencia</w:t>
      </w:r>
      <w:r w:rsidR="00E120D9">
        <w:rPr>
          <w:rFonts w:ascii="Arial" w:hAnsi="Arial" w:cs="Arial"/>
          <w:sz w:val="22"/>
          <w:szCs w:val="22"/>
          <w:shd w:val="clear" w:color="auto" w:fill="FFFFFF"/>
          <w:lang w:val="es-ES_tradnl"/>
        </w:rPr>
        <w:t>, las entidades estatales deben incluir en sus pliegos de condiciones particulares los factores de desempate previstos en el mencionado artículo 35, porque</w:t>
      </w:r>
      <w:r w:rsidR="00EB3EAE">
        <w:rPr>
          <w:rFonts w:ascii="Arial" w:hAnsi="Arial" w:cs="Arial"/>
          <w:sz w:val="22"/>
          <w:szCs w:val="22"/>
          <w:shd w:val="clear" w:color="auto" w:fill="FFFFFF"/>
          <w:lang w:val="es-ES_tradnl"/>
        </w:rPr>
        <w:t xml:space="preserve"> desde que esta norma inició su vigencia</w:t>
      </w:r>
      <w:r w:rsidR="00206CBF">
        <w:rPr>
          <w:rFonts w:ascii="Arial" w:hAnsi="Arial" w:cs="Arial"/>
          <w:sz w:val="22"/>
          <w:szCs w:val="22"/>
          <w:shd w:val="clear" w:color="auto" w:fill="FFFFFF"/>
          <w:lang w:val="es-ES_tradnl"/>
        </w:rPr>
        <w:t xml:space="preserve"> </w:t>
      </w:r>
      <w:r w:rsidR="00EB3EAE">
        <w:rPr>
          <w:rFonts w:ascii="Arial" w:hAnsi="Arial" w:cs="Arial"/>
          <w:sz w:val="22"/>
          <w:szCs w:val="22"/>
          <w:shd w:val="clear" w:color="auto" w:fill="FFFFFF"/>
          <w:lang w:val="es-ES_tradnl"/>
        </w:rPr>
        <w:t>se incorporó de pleno derecho a los documentos tipo, en la medida en que produj</w:t>
      </w:r>
      <w:r w:rsidR="00F507FE">
        <w:rPr>
          <w:rFonts w:ascii="Arial" w:hAnsi="Arial" w:cs="Arial"/>
          <w:sz w:val="22"/>
          <w:szCs w:val="22"/>
          <w:shd w:val="clear" w:color="auto" w:fill="FFFFFF"/>
          <w:lang w:val="es-ES_tradnl"/>
        </w:rPr>
        <w:t xml:space="preserve">o </w:t>
      </w:r>
      <w:r w:rsidR="00F507FE">
        <w:rPr>
          <w:rFonts w:ascii="Arial" w:hAnsi="Arial" w:cs="Arial"/>
          <w:sz w:val="22"/>
          <w:szCs w:val="22"/>
          <w:shd w:val="clear" w:color="auto" w:fill="FFFFFF"/>
          <w:lang w:val="es-ES_tradnl"/>
        </w:rPr>
        <w:lastRenderedPageBreak/>
        <w:t>la pérdida de fuerza ejecutoria</w:t>
      </w:r>
      <w:r w:rsidR="00CF6955">
        <w:rPr>
          <w:rFonts w:ascii="Arial" w:hAnsi="Arial" w:cs="Arial"/>
          <w:sz w:val="22"/>
          <w:szCs w:val="22"/>
          <w:shd w:val="clear" w:color="auto" w:fill="FFFFFF"/>
          <w:lang w:val="es-ES_tradnl"/>
        </w:rPr>
        <w:t xml:space="preserve"> –prevista en el artículo 91</w:t>
      </w:r>
      <w:r w:rsidR="002D5759">
        <w:rPr>
          <w:rFonts w:ascii="Arial" w:hAnsi="Arial" w:cs="Arial"/>
          <w:sz w:val="22"/>
          <w:szCs w:val="22"/>
          <w:shd w:val="clear" w:color="auto" w:fill="FFFFFF"/>
          <w:lang w:val="es-ES_tradnl"/>
        </w:rPr>
        <w:t>, numeral 2, de la Ley 1437 de 2011–</w:t>
      </w:r>
      <w:r w:rsidR="00F507FE">
        <w:rPr>
          <w:rFonts w:ascii="Arial" w:hAnsi="Arial" w:cs="Arial"/>
          <w:sz w:val="22"/>
          <w:szCs w:val="22"/>
          <w:shd w:val="clear" w:color="auto" w:fill="FFFFFF"/>
          <w:lang w:val="es-ES_tradnl"/>
        </w:rPr>
        <w:t xml:space="preserve"> </w:t>
      </w:r>
      <w:r w:rsidR="00BB1C47">
        <w:rPr>
          <w:rFonts w:ascii="Arial" w:hAnsi="Arial" w:cs="Arial"/>
          <w:sz w:val="22"/>
          <w:szCs w:val="22"/>
          <w:shd w:val="clear" w:color="auto" w:fill="FFFFFF"/>
          <w:lang w:val="es-ES_tradnl"/>
        </w:rPr>
        <w:t xml:space="preserve">tanto del artículo </w:t>
      </w:r>
      <w:r w:rsidR="00BC5DEB" w:rsidRPr="00BC5DEB">
        <w:rPr>
          <w:rFonts w:ascii="Arial" w:hAnsi="Arial" w:cs="Arial"/>
          <w:sz w:val="22"/>
          <w:szCs w:val="22"/>
          <w:shd w:val="clear" w:color="auto" w:fill="FFFFFF"/>
          <w:lang w:val="es-ES_tradnl"/>
        </w:rPr>
        <w:t>2.2.1.1.2.2.9.</w:t>
      </w:r>
      <w:r w:rsidR="005F568C">
        <w:rPr>
          <w:rFonts w:ascii="Arial" w:hAnsi="Arial" w:cs="Arial"/>
          <w:sz w:val="22"/>
          <w:szCs w:val="22"/>
          <w:shd w:val="clear" w:color="auto" w:fill="FFFFFF"/>
          <w:lang w:val="es-ES_tradnl"/>
        </w:rPr>
        <w:t xml:space="preserve"> del Decreto 1082 de 2015</w:t>
      </w:r>
      <w:r w:rsidR="00BC5DEB">
        <w:rPr>
          <w:rFonts w:ascii="Arial" w:hAnsi="Arial" w:cs="Arial"/>
          <w:sz w:val="22"/>
          <w:szCs w:val="22"/>
          <w:shd w:val="clear" w:color="auto" w:fill="FFFFFF"/>
          <w:lang w:val="es-ES_tradnl"/>
        </w:rPr>
        <w:t xml:space="preserve">, como del numeral 4,6 </w:t>
      </w:r>
      <w:r w:rsidR="00973EB3">
        <w:rPr>
          <w:rFonts w:ascii="Arial" w:hAnsi="Arial" w:cs="Arial"/>
          <w:sz w:val="22"/>
          <w:szCs w:val="22"/>
          <w:shd w:val="clear" w:color="auto" w:fill="FFFFFF"/>
          <w:lang w:val="es-ES_tradnl"/>
        </w:rPr>
        <w:t>de los documentos tipo, que a su vez</w:t>
      </w:r>
      <w:r w:rsidR="005F568C">
        <w:rPr>
          <w:rFonts w:ascii="Arial" w:hAnsi="Arial" w:cs="Arial"/>
          <w:sz w:val="22"/>
          <w:szCs w:val="22"/>
          <w:shd w:val="clear" w:color="auto" w:fill="FFFFFF"/>
          <w:lang w:val="es-ES_tradnl"/>
        </w:rPr>
        <w:t xml:space="preserve"> se había fundamentado en el referido artículo del Decreto 1082 de 2015.</w:t>
      </w:r>
      <w:r w:rsidR="00811977">
        <w:rPr>
          <w:rFonts w:ascii="Arial" w:hAnsi="Arial" w:cs="Arial"/>
          <w:sz w:val="22"/>
          <w:szCs w:val="22"/>
          <w:shd w:val="clear" w:color="auto" w:fill="FFFFFF"/>
          <w:lang w:val="es-ES_tradnl"/>
        </w:rPr>
        <w:t xml:space="preserve"> </w:t>
      </w:r>
    </w:p>
    <w:p w14:paraId="2B86A416" w14:textId="6C5B2FF9" w:rsidR="008D6E84" w:rsidRDefault="00811977" w:rsidP="001856D6">
      <w:pPr>
        <w:spacing w:before="120" w:line="276" w:lineRule="auto"/>
        <w:ind w:firstLine="709"/>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De manera que cuando las entidades estatales </w:t>
      </w:r>
      <w:r w:rsidR="0055151D">
        <w:rPr>
          <w:rFonts w:ascii="Arial" w:hAnsi="Arial" w:cs="Arial"/>
          <w:sz w:val="22"/>
          <w:szCs w:val="22"/>
          <w:shd w:val="clear" w:color="auto" w:fill="FFFFFF"/>
          <w:lang w:val="es-ES_tradnl"/>
        </w:rPr>
        <w:t xml:space="preserve">incorporan a sus pliegos de condiciones particulares o documentos equivalentes los factores de desempate regulados hoy en el artículo 35 de la Ley 2069 de 2020 </w:t>
      </w:r>
      <w:r w:rsidR="00ED1F98" w:rsidRPr="00ED1F98">
        <w:rPr>
          <w:rFonts w:ascii="Arial" w:hAnsi="Arial" w:cs="Arial"/>
          <w:i/>
          <w:iCs/>
          <w:sz w:val="22"/>
          <w:szCs w:val="22"/>
          <w:shd w:val="clear" w:color="auto" w:fill="FFFFFF"/>
          <w:lang w:val="es-ES_tradnl"/>
        </w:rPr>
        <w:t>no</w:t>
      </w:r>
      <w:r w:rsidR="00ED1F98">
        <w:rPr>
          <w:rFonts w:ascii="Arial" w:hAnsi="Arial" w:cs="Arial"/>
          <w:sz w:val="22"/>
          <w:szCs w:val="22"/>
          <w:shd w:val="clear" w:color="auto" w:fill="FFFFFF"/>
          <w:lang w:val="es-ES_tradnl"/>
        </w:rPr>
        <w:t xml:space="preserve"> </w:t>
      </w:r>
      <w:r w:rsidR="003B2B33">
        <w:rPr>
          <w:rFonts w:ascii="Arial" w:hAnsi="Arial" w:cs="Arial"/>
          <w:sz w:val="22"/>
          <w:szCs w:val="22"/>
          <w:shd w:val="clear" w:color="auto" w:fill="FFFFFF"/>
          <w:lang w:val="es-ES_tradnl"/>
        </w:rPr>
        <w:t>alteran</w:t>
      </w:r>
      <w:r w:rsidR="0055151D">
        <w:rPr>
          <w:rFonts w:ascii="Arial" w:hAnsi="Arial" w:cs="Arial"/>
          <w:sz w:val="22"/>
          <w:szCs w:val="22"/>
          <w:shd w:val="clear" w:color="auto" w:fill="FFFFFF"/>
          <w:lang w:val="es-ES_tradnl"/>
        </w:rPr>
        <w:t xml:space="preserve"> los documentos tipo</w:t>
      </w:r>
      <w:r w:rsidR="003B2B33">
        <w:rPr>
          <w:rFonts w:ascii="Arial" w:hAnsi="Arial" w:cs="Arial"/>
          <w:sz w:val="22"/>
          <w:szCs w:val="22"/>
          <w:shd w:val="clear" w:color="auto" w:fill="FFFFFF"/>
          <w:lang w:val="es-ES_tradnl"/>
        </w:rPr>
        <w:t xml:space="preserve"> –y, en tal sentido, no atentan contra la regla de la inalterabilidad–, pues el Legislador ya </w:t>
      </w:r>
      <w:r w:rsidR="00494FEB">
        <w:rPr>
          <w:rFonts w:ascii="Arial" w:hAnsi="Arial" w:cs="Arial"/>
          <w:sz w:val="22"/>
          <w:szCs w:val="22"/>
          <w:shd w:val="clear" w:color="auto" w:fill="FFFFFF"/>
          <w:lang w:val="es-ES_tradnl"/>
        </w:rPr>
        <w:t>modificó dichos documentos</w:t>
      </w:r>
      <w:r w:rsidR="00ED1F98">
        <w:rPr>
          <w:rFonts w:ascii="Arial" w:hAnsi="Arial" w:cs="Arial"/>
          <w:sz w:val="22"/>
          <w:szCs w:val="22"/>
          <w:shd w:val="clear" w:color="auto" w:fill="FFFFFF"/>
          <w:lang w:val="es-ES_tradnl"/>
        </w:rPr>
        <w:t>. Esto por cuanto</w:t>
      </w:r>
      <w:r w:rsidR="00494FEB">
        <w:rPr>
          <w:rFonts w:ascii="Arial" w:hAnsi="Arial" w:cs="Arial"/>
          <w:sz w:val="22"/>
          <w:szCs w:val="22"/>
          <w:shd w:val="clear" w:color="auto" w:fill="FFFFFF"/>
          <w:lang w:val="es-ES_tradnl"/>
        </w:rPr>
        <w:t xml:space="preserve"> </w:t>
      </w:r>
      <w:r w:rsidR="00ED1F98">
        <w:rPr>
          <w:rFonts w:ascii="Arial" w:hAnsi="Arial" w:cs="Arial"/>
          <w:sz w:val="22"/>
          <w:szCs w:val="22"/>
          <w:shd w:val="clear" w:color="auto" w:fill="FFFFFF"/>
          <w:lang w:val="es-ES_tradnl"/>
        </w:rPr>
        <w:t xml:space="preserve">a </w:t>
      </w:r>
      <w:r w:rsidR="00494FEB">
        <w:rPr>
          <w:rFonts w:ascii="Arial" w:hAnsi="Arial" w:cs="Arial"/>
          <w:sz w:val="22"/>
          <w:szCs w:val="22"/>
          <w:shd w:val="clear" w:color="auto" w:fill="FFFFFF"/>
          <w:lang w:val="es-ES_tradnl"/>
        </w:rPr>
        <w:t>través de una norma de mayor jerarquía –</w:t>
      </w:r>
      <w:r w:rsidR="00B33661">
        <w:rPr>
          <w:rFonts w:ascii="Arial" w:hAnsi="Arial" w:cs="Arial"/>
          <w:sz w:val="22"/>
          <w:szCs w:val="22"/>
          <w:shd w:val="clear" w:color="auto" w:fill="FFFFFF"/>
          <w:lang w:val="es-ES_tradnl"/>
        </w:rPr>
        <w:t>el artículo 35 de la</w:t>
      </w:r>
      <w:r w:rsidR="00494FEB">
        <w:rPr>
          <w:rFonts w:ascii="Arial" w:hAnsi="Arial" w:cs="Arial"/>
          <w:sz w:val="22"/>
          <w:szCs w:val="22"/>
          <w:shd w:val="clear" w:color="auto" w:fill="FFFFFF"/>
          <w:lang w:val="es-ES_tradnl"/>
        </w:rPr>
        <w:t xml:space="preserve"> Ley</w:t>
      </w:r>
      <w:r w:rsidR="00B33661">
        <w:rPr>
          <w:rFonts w:ascii="Arial" w:hAnsi="Arial" w:cs="Arial"/>
          <w:sz w:val="22"/>
          <w:szCs w:val="22"/>
          <w:shd w:val="clear" w:color="auto" w:fill="FFFFFF"/>
          <w:lang w:val="es-ES_tradnl"/>
        </w:rPr>
        <w:t xml:space="preserve"> 2069 de 2020</w:t>
      </w:r>
      <w:r w:rsidR="00494FEB">
        <w:rPr>
          <w:rFonts w:ascii="Arial" w:hAnsi="Arial" w:cs="Arial"/>
          <w:sz w:val="22"/>
          <w:szCs w:val="22"/>
          <w:shd w:val="clear" w:color="auto" w:fill="FFFFFF"/>
          <w:lang w:val="es-ES_tradnl"/>
        </w:rPr>
        <w:t xml:space="preserve">– </w:t>
      </w:r>
      <w:r w:rsidR="00B33661">
        <w:rPr>
          <w:rFonts w:ascii="Arial" w:hAnsi="Arial" w:cs="Arial"/>
          <w:sz w:val="22"/>
          <w:szCs w:val="22"/>
          <w:shd w:val="clear" w:color="auto" w:fill="FFFFFF"/>
          <w:lang w:val="es-ES_tradnl"/>
        </w:rPr>
        <w:t>derogó la regulación</w:t>
      </w:r>
      <w:r w:rsidR="001856D6">
        <w:rPr>
          <w:rFonts w:ascii="Arial" w:hAnsi="Arial" w:cs="Arial"/>
          <w:sz w:val="22"/>
          <w:szCs w:val="22"/>
          <w:shd w:val="clear" w:color="auto" w:fill="FFFFFF"/>
          <w:lang w:val="es-ES_tradnl"/>
        </w:rPr>
        <w:t xml:space="preserve"> hasta ese momento vigente en el Decreto 1082 de 2015</w:t>
      </w:r>
      <w:r w:rsidR="00CF5463">
        <w:rPr>
          <w:rFonts w:ascii="Arial" w:hAnsi="Arial" w:cs="Arial"/>
          <w:sz w:val="22"/>
          <w:szCs w:val="22"/>
          <w:shd w:val="clear" w:color="auto" w:fill="FFFFFF"/>
          <w:lang w:val="es-ES_tradnl"/>
        </w:rPr>
        <w:t xml:space="preserve"> y en las demás disposiciones reglamentarias. Los documentos tipo expedidos por la Agencia Nacional de Contratación Pública – Colombia Compra Eficiente son reglamentos </w:t>
      </w:r>
      <w:proofErr w:type="spellStart"/>
      <w:r w:rsidR="00CF5463" w:rsidRPr="00CF5463">
        <w:rPr>
          <w:rFonts w:ascii="Arial" w:hAnsi="Arial" w:cs="Arial"/>
          <w:i/>
          <w:iCs/>
          <w:sz w:val="22"/>
          <w:szCs w:val="22"/>
          <w:shd w:val="clear" w:color="auto" w:fill="FFFFFF"/>
          <w:lang w:val="es-ES_tradnl"/>
        </w:rPr>
        <w:t>secundum</w:t>
      </w:r>
      <w:proofErr w:type="spellEnd"/>
      <w:r w:rsidR="00CF5463" w:rsidRPr="00CF5463">
        <w:rPr>
          <w:rFonts w:ascii="Arial" w:hAnsi="Arial" w:cs="Arial"/>
          <w:i/>
          <w:iCs/>
          <w:sz w:val="22"/>
          <w:szCs w:val="22"/>
          <w:shd w:val="clear" w:color="auto" w:fill="FFFFFF"/>
          <w:lang w:val="es-ES_tradnl"/>
        </w:rPr>
        <w:t xml:space="preserve"> </w:t>
      </w:r>
      <w:proofErr w:type="spellStart"/>
      <w:r w:rsidR="00CF5463" w:rsidRPr="00CF5463">
        <w:rPr>
          <w:rFonts w:ascii="Arial" w:hAnsi="Arial" w:cs="Arial"/>
          <w:i/>
          <w:iCs/>
          <w:sz w:val="22"/>
          <w:szCs w:val="22"/>
          <w:shd w:val="clear" w:color="auto" w:fill="FFFFFF"/>
          <w:lang w:val="es-ES_tradnl"/>
        </w:rPr>
        <w:t>legem</w:t>
      </w:r>
      <w:proofErr w:type="spellEnd"/>
      <w:r w:rsidR="002067FD">
        <w:rPr>
          <w:rFonts w:ascii="Arial" w:hAnsi="Arial" w:cs="Arial"/>
          <w:sz w:val="22"/>
          <w:szCs w:val="22"/>
          <w:shd w:val="clear" w:color="auto" w:fill="FFFFFF"/>
          <w:lang w:val="es-ES_tradnl"/>
        </w:rPr>
        <w:t xml:space="preserve">, supeditados al Decreto 1082 de 2015, y, por lo tanto, al quedar derogada la regulación de los factores de desempate en dicho Decreto, </w:t>
      </w:r>
      <w:r w:rsidR="00A948EA">
        <w:rPr>
          <w:rFonts w:ascii="Arial" w:hAnsi="Arial" w:cs="Arial"/>
          <w:sz w:val="22"/>
          <w:szCs w:val="22"/>
          <w:shd w:val="clear" w:color="auto" w:fill="FFFFFF"/>
          <w:lang w:val="es-ES_tradnl"/>
        </w:rPr>
        <w:t xml:space="preserve">ha perdido fuerza ejecutoria el tratamiento normativo de los factores de desempate contenido en los documentos tipo, que se inspiraba en el artículo </w:t>
      </w:r>
      <w:r w:rsidR="00A948EA" w:rsidRPr="00BC5DEB">
        <w:rPr>
          <w:rFonts w:ascii="Arial" w:hAnsi="Arial" w:cs="Arial"/>
          <w:sz w:val="22"/>
          <w:szCs w:val="22"/>
          <w:shd w:val="clear" w:color="auto" w:fill="FFFFFF"/>
          <w:lang w:val="es-ES_tradnl"/>
        </w:rPr>
        <w:t>2.2.1.1.2.2.9.</w:t>
      </w:r>
      <w:r w:rsidR="00A948EA">
        <w:rPr>
          <w:rFonts w:ascii="Arial" w:hAnsi="Arial" w:cs="Arial"/>
          <w:sz w:val="22"/>
          <w:szCs w:val="22"/>
          <w:shd w:val="clear" w:color="auto" w:fill="FFFFFF"/>
          <w:lang w:val="es-ES_tradnl"/>
        </w:rPr>
        <w:t xml:space="preserve"> del Decreto 1082 de 2015. </w:t>
      </w:r>
      <w:r w:rsidR="006A57E8">
        <w:rPr>
          <w:rFonts w:ascii="Arial" w:hAnsi="Arial" w:cs="Arial"/>
          <w:sz w:val="22"/>
          <w:szCs w:val="22"/>
          <w:shd w:val="clear" w:color="auto" w:fill="FFFFFF"/>
          <w:lang w:val="es-ES_tradnl"/>
        </w:rPr>
        <w:t>Así las cosas, a</w:t>
      </w:r>
      <w:r w:rsidR="00A948EA">
        <w:rPr>
          <w:rFonts w:ascii="Arial" w:hAnsi="Arial" w:cs="Arial"/>
          <w:sz w:val="22"/>
          <w:szCs w:val="22"/>
          <w:shd w:val="clear" w:color="auto" w:fill="FFFFFF"/>
          <w:lang w:val="es-ES_tradnl"/>
        </w:rPr>
        <w:t xml:space="preserve">l </w:t>
      </w:r>
      <w:r w:rsidR="00075187">
        <w:rPr>
          <w:rFonts w:ascii="Arial" w:hAnsi="Arial" w:cs="Arial"/>
          <w:sz w:val="22"/>
          <w:szCs w:val="22"/>
          <w:shd w:val="clear" w:color="auto" w:fill="FFFFFF"/>
          <w:lang w:val="es-ES_tradnl"/>
        </w:rPr>
        <w:t xml:space="preserve">decaer los apartados de los documentos tipo que regían los factores de desempate, automáticamente se integra a </w:t>
      </w:r>
      <w:r w:rsidR="006A57E8">
        <w:rPr>
          <w:rFonts w:ascii="Arial" w:hAnsi="Arial" w:cs="Arial"/>
          <w:sz w:val="22"/>
          <w:szCs w:val="22"/>
          <w:shd w:val="clear" w:color="auto" w:fill="FFFFFF"/>
          <w:lang w:val="es-ES_tradnl"/>
        </w:rPr>
        <w:t>tales documentos</w:t>
      </w:r>
      <w:r w:rsidR="00075187">
        <w:rPr>
          <w:rFonts w:ascii="Arial" w:hAnsi="Arial" w:cs="Arial"/>
          <w:sz w:val="22"/>
          <w:szCs w:val="22"/>
          <w:shd w:val="clear" w:color="auto" w:fill="FFFFFF"/>
          <w:lang w:val="es-ES_tradnl"/>
        </w:rPr>
        <w:t xml:space="preserve"> el artículo 35 de la Ley 2069 de 2020, porque</w:t>
      </w:r>
      <w:r w:rsidR="009D3D05">
        <w:rPr>
          <w:rFonts w:ascii="Arial" w:hAnsi="Arial" w:cs="Arial"/>
          <w:sz w:val="22"/>
          <w:szCs w:val="22"/>
          <w:shd w:val="clear" w:color="auto" w:fill="FFFFFF"/>
          <w:lang w:val="es-ES_tradnl"/>
        </w:rPr>
        <w:t xml:space="preserve"> </w:t>
      </w:r>
      <w:r w:rsidR="006B74DE">
        <w:rPr>
          <w:rFonts w:ascii="Arial" w:hAnsi="Arial" w:cs="Arial"/>
          <w:sz w:val="22"/>
          <w:szCs w:val="22"/>
          <w:shd w:val="clear" w:color="auto" w:fill="FFFFFF"/>
          <w:lang w:val="es-ES_tradnl"/>
        </w:rPr>
        <w:t>tiene eficacia directa e inmediata, dado que esta no se encuentra supeditada a la expedición de un decreto reglamentario por parte del gobierno nacional.</w:t>
      </w:r>
      <w:r w:rsidR="00A948EA">
        <w:rPr>
          <w:rFonts w:ascii="Arial" w:hAnsi="Arial" w:cs="Arial"/>
          <w:sz w:val="22"/>
          <w:szCs w:val="22"/>
          <w:shd w:val="clear" w:color="auto" w:fill="FFFFFF"/>
          <w:lang w:val="es-ES_tradnl"/>
        </w:rPr>
        <w:t xml:space="preserve"> </w:t>
      </w:r>
      <w:r w:rsidR="002067FD">
        <w:rPr>
          <w:rFonts w:ascii="Arial" w:hAnsi="Arial" w:cs="Arial"/>
          <w:sz w:val="22"/>
          <w:szCs w:val="22"/>
          <w:shd w:val="clear" w:color="auto" w:fill="FFFFFF"/>
          <w:lang w:val="es-ES_tradnl"/>
        </w:rPr>
        <w:t xml:space="preserve"> </w:t>
      </w:r>
      <w:r w:rsidR="00CF5463">
        <w:rPr>
          <w:rFonts w:ascii="Arial" w:hAnsi="Arial" w:cs="Arial"/>
          <w:sz w:val="22"/>
          <w:szCs w:val="22"/>
          <w:shd w:val="clear" w:color="auto" w:fill="FFFFFF"/>
          <w:lang w:val="es-ES_tradnl"/>
        </w:rPr>
        <w:t xml:space="preserve"> </w:t>
      </w:r>
      <w:r w:rsidR="00B33661">
        <w:rPr>
          <w:rFonts w:ascii="Arial" w:hAnsi="Arial" w:cs="Arial"/>
          <w:sz w:val="22"/>
          <w:szCs w:val="22"/>
          <w:shd w:val="clear" w:color="auto" w:fill="FFFFFF"/>
          <w:lang w:val="es-ES_tradnl"/>
        </w:rPr>
        <w:t xml:space="preserve"> </w:t>
      </w:r>
    </w:p>
    <w:p w14:paraId="58D03BC1" w14:textId="02E8796B" w:rsidR="00E87176" w:rsidRPr="00E87176" w:rsidRDefault="00E87176" w:rsidP="00E87176">
      <w:pPr>
        <w:spacing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 </w:t>
      </w:r>
    </w:p>
    <w:p w14:paraId="4BD1AEAF" w14:textId="78E9D87F" w:rsidR="00977767" w:rsidRPr="007622EC" w:rsidRDefault="00423E4D" w:rsidP="009777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77767" w:rsidRPr="007622EC">
        <w:rPr>
          <w:rFonts w:ascii="Arial" w:hAnsi="Arial" w:cs="Arial"/>
          <w:color w:val="000000" w:themeColor="text1"/>
          <w:sz w:val="21"/>
          <w:szCs w:val="21"/>
          <w:lang w:val="es-ES_tradnl"/>
        </w:rPr>
        <w:t>2.</w:t>
      </w:r>
      <w:r w:rsidR="00977767">
        <w:rPr>
          <w:rFonts w:ascii="Arial" w:hAnsi="Arial" w:cs="Arial"/>
          <w:color w:val="000000" w:themeColor="text1"/>
          <w:sz w:val="21"/>
          <w:szCs w:val="21"/>
          <w:lang w:val="es-ES_tradnl"/>
        </w:rPr>
        <w:t xml:space="preserve"> </w:t>
      </w:r>
      <w:r w:rsidR="00977767" w:rsidRPr="007622EC">
        <w:rPr>
          <w:rFonts w:ascii="Arial" w:hAnsi="Arial" w:cs="Arial"/>
          <w:color w:val="000000" w:themeColor="text1"/>
          <w:sz w:val="21"/>
          <w:szCs w:val="21"/>
          <w:lang w:val="es-ES_tradnl"/>
        </w:rPr>
        <w:t>¿La Agencia Nacional de Contratación Pública ― Colombia Compra Eficiente tiene previsto la publicación de una nueva versión de documentos tipo en las diferentes modalidades de selección, en la cual se incorporen los criterios de desempate previstos en la Ley 2069 de 2020?</w:t>
      </w:r>
      <w:r>
        <w:rPr>
          <w:rFonts w:ascii="Arial" w:hAnsi="Arial" w:cs="Arial"/>
          <w:color w:val="000000" w:themeColor="text1"/>
          <w:sz w:val="21"/>
          <w:szCs w:val="21"/>
          <w:lang w:val="es-ES_tradnl"/>
        </w:rPr>
        <w:t>»</w:t>
      </w:r>
    </w:p>
    <w:p w14:paraId="3471EF6E" w14:textId="77777777" w:rsidR="00D0170D" w:rsidRDefault="00D0170D" w:rsidP="00D0170D">
      <w:pPr>
        <w:ind w:right="709"/>
        <w:jc w:val="both"/>
        <w:rPr>
          <w:rFonts w:ascii="Arial" w:hAnsi="Arial" w:cs="Arial"/>
          <w:color w:val="000000" w:themeColor="text1"/>
          <w:sz w:val="21"/>
          <w:szCs w:val="21"/>
          <w:lang w:val="es-ES_tradnl"/>
        </w:rPr>
      </w:pPr>
    </w:p>
    <w:p w14:paraId="454E9EF6" w14:textId="2BA6FF82" w:rsidR="00D0170D" w:rsidRPr="00D0170D" w:rsidRDefault="00D0170D" w:rsidP="00683841">
      <w:pPr>
        <w:spacing w:line="276" w:lineRule="auto"/>
        <w:jc w:val="both"/>
        <w:rPr>
          <w:rFonts w:ascii="Arial" w:hAnsi="Arial" w:cs="Arial"/>
          <w:sz w:val="22"/>
          <w:szCs w:val="22"/>
          <w:shd w:val="clear" w:color="auto" w:fill="FFFFFF"/>
          <w:lang w:val="es-ES_tradnl"/>
        </w:rPr>
      </w:pPr>
      <w:r w:rsidRPr="00233610">
        <w:rPr>
          <w:rFonts w:ascii="Arial" w:hAnsi="Arial" w:cs="Arial"/>
          <w:sz w:val="22"/>
          <w:szCs w:val="22"/>
          <w:shd w:val="clear" w:color="auto" w:fill="FFFFFF"/>
          <w:lang w:val="es-ES_tradnl"/>
        </w:rPr>
        <w:t xml:space="preserve">En la actualidad, la Agencia Nacional de Contratación Pública – Colombia Compra Eficiente está trabajando en un proyecto de resolución que </w:t>
      </w:r>
      <w:r w:rsidR="00534590" w:rsidRPr="00233610">
        <w:rPr>
          <w:rFonts w:ascii="Arial" w:hAnsi="Arial" w:cs="Arial"/>
          <w:sz w:val="22"/>
          <w:szCs w:val="22"/>
          <w:shd w:val="clear" w:color="auto" w:fill="FFFFFF"/>
          <w:lang w:val="es-ES_tradnl"/>
        </w:rPr>
        <w:t>reemplaza</w:t>
      </w:r>
      <w:r w:rsidRPr="00233610">
        <w:rPr>
          <w:rFonts w:ascii="Arial" w:hAnsi="Arial" w:cs="Arial"/>
          <w:sz w:val="22"/>
          <w:szCs w:val="22"/>
          <w:shd w:val="clear" w:color="auto" w:fill="FFFFFF"/>
          <w:lang w:val="es-ES_tradnl"/>
        </w:rPr>
        <w:t xml:space="preserve"> el </w:t>
      </w:r>
      <w:r w:rsidR="008E0332" w:rsidRPr="00233610">
        <w:rPr>
          <w:rFonts w:ascii="Arial" w:hAnsi="Arial" w:cs="Arial"/>
          <w:sz w:val="22"/>
          <w:szCs w:val="22"/>
          <w:shd w:val="clear" w:color="auto" w:fill="FFFFFF"/>
          <w:lang w:val="es-ES_tradnl"/>
        </w:rPr>
        <w:t>apartado</w:t>
      </w:r>
      <w:r w:rsidR="00534590" w:rsidRPr="00233610">
        <w:rPr>
          <w:rFonts w:ascii="Arial" w:hAnsi="Arial" w:cs="Arial"/>
          <w:sz w:val="22"/>
          <w:szCs w:val="22"/>
          <w:shd w:val="clear" w:color="auto" w:fill="FFFFFF"/>
          <w:lang w:val="es-ES_tradnl"/>
        </w:rPr>
        <w:t xml:space="preserve"> normativo</w:t>
      </w:r>
      <w:r w:rsidRPr="00233610">
        <w:rPr>
          <w:rFonts w:ascii="Arial" w:hAnsi="Arial" w:cs="Arial"/>
          <w:sz w:val="22"/>
          <w:szCs w:val="22"/>
          <w:shd w:val="clear" w:color="auto" w:fill="FFFFFF"/>
          <w:lang w:val="es-ES_tradnl"/>
        </w:rPr>
        <w:t xml:space="preserve"> de </w:t>
      </w:r>
      <w:r w:rsidR="00534590" w:rsidRPr="00233610">
        <w:rPr>
          <w:rFonts w:ascii="Arial" w:hAnsi="Arial" w:cs="Arial"/>
          <w:sz w:val="22"/>
          <w:szCs w:val="22"/>
          <w:shd w:val="clear" w:color="auto" w:fill="FFFFFF"/>
          <w:lang w:val="es-ES_tradnl"/>
        </w:rPr>
        <w:t xml:space="preserve">los </w:t>
      </w:r>
      <w:r w:rsidRPr="00233610">
        <w:rPr>
          <w:rFonts w:ascii="Arial" w:hAnsi="Arial" w:cs="Arial"/>
          <w:sz w:val="22"/>
          <w:szCs w:val="22"/>
          <w:shd w:val="clear" w:color="auto" w:fill="FFFFFF"/>
          <w:lang w:val="es-ES_tradnl"/>
        </w:rPr>
        <w:t>factores de desempate en los documentos tipo</w:t>
      </w:r>
      <w:r w:rsidR="00BB699C" w:rsidRPr="00233610">
        <w:rPr>
          <w:rFonts w:ascii="Arial" w:hAnsi="Arial" w:cs="Arial"/>
          <w:sz w:val="22"/>
          <w:szCs w:val="22"/>
          <w:shd w:val="clear" w:color="auto" w:fill="FFFFFF"/>
          <w:lang w:val="es-ES_tradnl"/>
        </w:rPr>
        <w:t xml:space="preserve">, </w:t>
      </w:r>
      <w:r w:rsidR="008E0332" w:rsidRPr="00233610">
        <w:rPr>
          <w:rFonts w:ascii="Arial" w:hAnsi="Arial" w:cs="Arial"/>
          <w:sz w:val="22"/>
          <w:szCs w:val="22"/>
          <w:shd w:val="clear" w:color="auto" w:fill="FFFFFF"/>
          <w:lang w:val="es-ES_tradnl"/>
        </w:rPr>
        <w:t>que había antes de la entrada en vigencia</w:t>
      </w:r>
      <w:r w:rsidR="00BB699C" w:rsidRPr="00233610">
        <w:rPr>
          <w:rFonts w:ascii="Arial" w:hAnsi="Arial" w:cs="Arial"/>
          <w:sz w:val="22"/>
          <w:szCs w:val="22"/>
          <w:shd w:val="clear" w:color="auto" w:fill="FFFFFF"/>
          <w:lang w:val="es-ES_tradnl"/>
        </w:rPr>
        <w:t xml:space="preserve"> </w:t>
      </w:r>
      <w:r w:rsidR="008E0332" w:rsidRPr="00233610">
        <w:rPr>
          <w:rFonts w:ascii="Arial" w:hAnsi="Arial" w:cs="Arial"/>
          <w:sz w:val="22"/>
          <w:szCs w:val="22"/>
          <w:shd w:val="clear" w:color="auto" w:fill="FFFFFF"/>
          <w:lang w:val="es-ES_tradnl"/>
        </w:rPr>
        <w:t>d</w:t>
      </w:r>
      <w:r w:rsidR="00BB699C" w:rsidRPr="00233610">
        <w:rPr>
          <w:rFonts w:ascii="Arial" w:hAnsi="Arial" w:cs="Arial"/>
          <w:sz w:val="22"/>
          <w:szCs w:val="22"/>
          <w:shd w:val="clear" w:color="auto" w:fill="FFFFFF"/>
          <w:lang w:val="es-ES_tradnl"/>
        </w:rPr>
        <w:t>el artículo 35 de la Ley 2069 de 2020</w:t>
      </w:r>
      <w:r w:rsidRPr="00233610">
        <w:rPr>
          <w:rFonts w:ascii="Arial" w:hAnsi="Arial" w:cs="Arial"/>
          <w:sz w:val="22"/>
          <w:szCs w:val="22"/>
          <w:shd w:val="clear" w:color="auto" w:fill="FFFFFF"/>
          <w:lang w:val="es-ES_tradnl"/>
        </w:rPr>
        <w:t xml:space="preserve">. </w:t>
      </w:r>
      <w:r w:rsidR="004116F1" w:rsidRPr="00233610">
        <w:rPr>
          <w:rFonts w:ascii="Arial" w:hAnsi="Arial" w:cs="Arial"/>
          <w:sz w:val="22"/>
          <w:szCs w:val="22"/>
          <w:shd w:val="clear" w:color="auto" w:fill="FFFFFF"/>
          <w:lang w:val="es-ES_tradnl"/>
        </w:rPr>
        <w:t>Est</w:t>
      </w:r>
      <w:r w:rsidR="00C55B79" w:rsidRPr="00233610">
        <w:rPr>
          <w:rFonts w:ascii="Arial" w:hAnsi="Arial" w:cs="Arial"/>
          <w:sz w:val="22"/>
          <w:szCs w:val="22"/>
          <w:shd w:val="clear" w:color="auto" w:fill="FFFFFF"/>
          <w:lang w:val="es-ES_tradnl"/>
        </w:rPr>
        <w:t>e</w:t>
      </w:r>
      <w:r w:rsidR="004116F1" w:rsidRPr="00233610">
        <w:rPr>
          <w:rFonts w:ascii="Arial" w:hAnsi="Arial" w:cs="Arial"/>
          <w:sz w:val="22"/>
          <w:szCs w:val="22"/>
          <w:shd w:val="clear" w:color="auto" w:fill="FFFFFF"/>
          <w:lang w:val="es-ES_tradnl"/>
        </w:rPr>
        <w:t xml:space="preserve"> se </w:t>
      </w:r>
      <w:r w:rsidR="009D289D" w:rsidRPr="00233610">
        <w:rPr>
          <w:rFonts w:ascii="Arial" w:hAnsi="Arial" w:cs="Arial"/>
          <w:sz w:val="22"/>
          <w:szCs w:val="22"/>
          <w:shd w:val="clear" w:color="auto" w:fill="FFFFFF"/>
          <w:lang w:val="es-ES_tradnl"/>
        </w:rPr>
        <w:t>publicó</w:t>
      </w:r>
      <w:r w:rsidRPr="00233610">
        <w:rPr>
          <w:rFonts w:ascii="Arial" w:hAnsi="Arial" w:cs="Arial"/>
          <w:sz w:val="22"/>
          <w:szCs w:val="22"/>
          <w:shd w:val="clear" w:color="auto" w:fill="FFFFFF"/>
          <w:lang w:val="es-ES_tradnl"/>
        </w:rPr>
        <w:t xml:space="preserve"> para </w:t>
      </w:r>
      <w:r w:rsidR="004116F1" w:rsidRPr="00233610">
        <w:rPr>
          <w:rFonts w:ascii="Arial" w:hAnsi="Arial" w:cs="Arial"/>
          <w:sz w:val="22"/>
          <w:szCs w:val="22"/>
          <w:shd w:val="clear" w:color="auto" w:fill="FFFFFF"/>
          <w:lang w:val="es-ES_tradnl"/>
        </w:rPr>
        <w:t xml:space="preserve">recibir </w:t>
      </w:r>
      <w:r w:rsidRPr="00233610">
        <w:rPr>
          <w:rFonts w:ascii="Arial" w:hAnsi="Arial" w:cs="Arial"/>
          <w:sz w:val="22"/>
          <w:szCs w:val="22"/>
          <w:shd w:val="clear" w:color="auto" w:fill="FFFFFF"/>
          <w:lang w:val="es-ES_tradnl"/>
        </w:rPr>
        <w:t xml:space="preserve">comentarios de </w:t>
      </w:r>
      <w:r w:rsidR="004116F1" w:rsidRPr="00233610">
        <w:rPr>
          <w:rFonts w:ascii="Arial" w:hAnsi="Arial" w:cs="Arial"/>
          <w:sz w:val="22"/>
          <w:szCs w:val="22"/>
          <w:shd w:val="clear" w:color="auto" w:fill="FFFFFF"/>
          <w:lang w:val="es-ES_tradnl"/>
        </w:rPr>
        <w:t xml:space="preserve">la ciudadanía y posteriormente </w:t>
      </w:r>
      <w:r w:rsidR="008E6F9F" w:rsidRPr="00233610">
        <w:rPr>
          <w:rFonts w:ascii="Arial" w:hAnsi="Arial" w:cs="Arial"/>
          <w:sz w:val="22"/>
          <w:szCs w:val="22"/>
          <w:shd w:val="clear" w:color="auto" w:fill="FFFFFF"/>
          <w:lang w:val="es-ES_tradnl"/>
        </w:rPr>
        <w:t xml:space="preserve">se </w:t>
      </w:r>
      <w:r w:rsidR="00233610" w:rsidRPr="00233610">
        <w:rPr>
          <w:rFonts w:ascii="Arial" w:hAnsi="Arial" w:cs="Arial"/>
          <w:sz w:val="22"/>
          <w:szCs w:val="22"/>
          <w:shd w:val="clear" w:color="auto" w:fill="FFFFFF"/>
          <w:lang w:val="es-ES_tradnl"/>
        </w:rPr>
        <w:t>envió</w:t>
      </w:r>
      <w:r w:rsidR="008E6F9F" w:rsidRPr="00233610">
        <w:rPr>
          <w:rFonts w:ascii="Arial" w:hAnsi="Arial" w:cs="Arial"/>
          <w:sz w:val="22"/>
          <w:szCs w:val="22"/>
          <w:shd w:val="clear" w:color="auto" w:fill="FFFFFF"/>
          <w:lang w:val="es-ES_tradnl"/>
        </w:rPr>
        <w:t xml:space="preserve"> </w:t>
      </w:r>
      <w:r w:rsidRPr="00233610">
        <w:rPr>
          <w:rFonts w:ascii="Arial" w:hAnsi="Arial" w:cs="Arial"/>
          <w:sz w:val="22"/>
          <w:szCs w:val="22"/>
          <w:shd w:val="clear" w:color="auto" w:fill="FFFFFF"/>
          <w:lang w:val="es-ES_tradnl"/>
        </w:rPr>
        <w:t>para agotar el trámite de abogacía de la competencia</w:t>
      </w:r>
      <w:r w:rsidR="008E6F9F" w:rsidRPr="00233610">
        <w:rPr>
          <w:rFonts w:ascii="Arial" w:hAnsi="Arial" w:cs="Arial"/>
          <w:sz w:val="22"/>
          <w:szCs w:val="22"/>
          <w:shd w:val="clear" w:color="auto" w:fill="FFFFFF"/>
          <w:lang w:val="es-ES_tradnl"/>
        </w:rPr>
        <w:t xml:space="preserve">. Se tiene proyectado surtir todo este trámite en el mes de </w:t>
      </w:r>
      <w:r w:rsidR="00233610" w:rsidRPr="00233610">
        <w:rPr>
          <w:rFonts w:ascii="Arial" w:hAnsi="Arial" w:cs="Arial"/>
          <w:sz w:val="22"/>
          <w:szCs w:val="22"/>
          <w:shd w:val="clear" w:color="auto" w:fill="FFFFFF"/>
          <w:lang w:val="es-ES_tradnl"/>
        </w:rPr>
        <w:t>abril</w:t>
      </w:r>
      <w:r w:rsidR="008E6F9F" w:rsidRPr="00233610">
        <w:rPr>
          <w:rFonts w:ascii="Arial" w:hAnsi="Arial" w:cs="Arial"/>
          <w:sz w:val="22"/>
          <w:szCs w:val="22"/>
          <w:shd w:val="clear" w:color="auto" w:fill="FFFFFF"/>
          <w:lang w:val="es-ES_tradnl"/>
        </w:rPr>
        <w:t>.</w:t>
      </w:r>
    </w:p>
    <w:p w14:paraId="46275793" w14:textId="461AD4E9" w:rsidR="00977767" w:rsidRPr="007622EC" w:rsidRDefault="00977767" w:rsidP="00D0170D">
      <w:pPr>
        <w:ind w:right="709"/>
        <w:jc w:val="both"/>
        <w:rPr>
          <w:rFonts w:ascii="Arial" w:hAnsi="Arial" w:cs="Arial"/>
          <w:color w:val="000000" w:themeColor="text1"/>
          <w:sz w:val="21"/>
          <w:szCs w:val="21"/>
          <w:lang w:val="es-ES_tradnl"/>
        </w:rPr>
      </w:pPr>
    </w:p>
    <w:p w14:paraId="166AEA75" w14:textId="748B65C3" w:rsidR="00977767" w:rsidRDefault="00423E4D" w:rsidP="009777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77767" w:rsidRPr="007622EC">
        <w:rPr>
          <w:rFonts w:ascii="Arial" w:hAnsi="Arial" w:cs="Arial"/>
          <w:color w:val="000000" w:themeColor="text1"/>
          <w:sz w:val="21"/>
          <w:szCs w:val="21"/>
          <w:lang w:val="es-ES_tradnl"/>
        </w:rPr>
        <w:t>3.</w:t>
      </w:r>
      <w:r w:rsidR="00977767">
        <w:rPr>
          <w:rFonts w:ascii="Arial" w:hAnsi="Arial" w:cs="Arial"/>
          <w:color w:val="000000" w:themeColor="text1"/>
          <w:sz w:val="21"/>
          <w:szCs w:val="21"/>
          <w:lang w:val="es-ES_tradnl"/>
        </w:rPr>
        <w:t xml:space="preserve"> </w:t>
      </w:r>
      <w:r w:rsidR="00977767" w:rsidRPr="007622EC">
        <w:rPr>
          <w:rFonts w:ascii="Arial" w:hAnsi="Arial" w:cs="Arial"/>
          <w:color w:val="000000" w:themeColor="text1"/>
          <w:sz w:val="21"/>
          <w:szCs w:val="21"/>
          <w:lang w:val="es-ES_tradnl"/>
        </w:rPr>
        <w:t>En el evento en que su respuesta sea afirmativa, ¿Cuándo se tiene prevista la publicación de la nueva versión de documentos tipo?</w:t>
      </w:r>
      <w:r>
        <w:rPr>
          <w:rFonts w:ascii="Arial" w:hAnsi="Arial" w:cs="Arial"/>
          <w:color w:val="000000" w:themeColor="text1"/>
          <w:sz w:val="21"/>
          <w:szCs w:val="21"/>
          <w:lang w:val="es-ES_tradnl"/>
        </w:rPr>
        <w:t>»</w:t>
      </w:r>
    </w:p>
    <w:p w14:paraId="1072BA0F" w14:textId="09623301" w:rsidR="00977767" w:rsidRDefault="00977767" w:rsidP="00683841">
      <w:pPr>
        <w:jc w:val="both"/>
        <w:rPr>
          <w:rFonts w:ascii="Arial" w:hAnsi="Arial" w:cs="Arial"/>
          <w:color w:val="000000" w:themeColor="text1"/>
          <w:sz w:val="21"/>
          <w:szCs w:val="21"/>
          <w:lang w:val="es-ES_tradnl"/>
        </w:rPr>
      </w:pPr>
    </w:p>
    <w:p w14:paraId="174B718D" w14:textId="7BD3E946" w:rsidR="008E6F9F" w:rsidRPr="00683841" w:rsidRDefault="008E6F9F" w:rsidP="00683841">
      <w:pPr>
        <w:jc w:val="both"/>
        <w:rPr>
          <w:rFonts w:ascii="Arial" w:hAnsi="Arial" w:cs="Arial"/>
          <w:color w:val="000000" w:themeColor="text1"/>
          <w:sz w:val="22"/>
          <w:szCs w:val="22"/>
          <w:lang w:val="es-ES_tradnl"/>
        </w:rPr>
      </w:pPr>
      <w:r w:rsidRPr="00683841">
        <w:rPr>
          <w:rFonts w:ascii="Arial" w:hAnsi="Arial" w:cs="Arial"/>
          <w:color w:val="000000" w:themeColor="text1"/>
          <w:sz w:val="22"/>
          <w:szCs w:val="22"/>
          <w:lang w:val="es-ES_tradnl"/>
        </w:rPr>
        <w:t>Se reitera la respuesta</w:t>
      </w:r>
      <w:r w:rsidR="001D7543" w:rsidRPr="00683841">
        <w:rPr>
          <w:rFonts w:ascii="Arial" w:hAnsi="Arial" w:cs="Arial"/>
          <w:color w:val="000000" w:themeColor="text1"/>
          <w:sz w:val="22"/>
          <w:szCs w:val="22"/>
          <w:lang w:val="es-ES_tradnl"/>
        </w:rPr>
        <w:t xml:space="preserve"> dada a la pregunta anterior.</w:t>
      </w:r>
    </w:p>
    <w:p w14:paraId="0BA90B1C" w14:textId="77777777" w:rsidR="001D7543" w:rsidRDefault="001D7543" w:rsidP="00683841">
      <w:pPr>
        <w:jc w:val="both"/>
        <w:rPr>
          <w:rFonts w:ascii="Arial" w:hAnsi="Arial" w:cs="Arial"/>
          <w:color w:val="000000" w:themeColor="text1"/>
          <w:sz w:val="21"/>
          <w:szCs w:val="21"/>
          <w:lang w:val="es-ES_tradnl"/>
        </w:rPr>
      </w:pPr>
    </w:p>
    <w:p w14:paraId="5DC4F1AA" w14:textId="00B99DF5" w:rsidR="00BF0E64" w:rsidRPr="00A43C00" w:rsidRDefault="00423E4D" w:rsidP="00977767">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977767" w:rsidRPr="007622EC">
        <w:rPr>
          <w:rFonts w:ascii="Arial" w:hAnsi="Arial" w:cs="Arial"/>
          <w:color w:val="000000" w:themeColor="text1"/>
          <w:sz w:val="21"/>
          <w:szCs w:val="21"/>
          <w:lang w:val="es-ES_tradnl"/>
        </w:rPr>
        <w:t>4</w:t>
      </w:r>
      <w:r w:rsidR="00977767">
        <w:rPr>
          <w:rFonts w:ascii="Arial" w:hAnsi="Arial" w:cs="Arial"/>
          <w:color w:val="000000" w:themeColor="text1"/>
          <w:sz w:val="21"/>
          <w:szCs w:val="21"/>
          <w:lang w:val="es-ES_tradnl"/>
        </w:rPr>
        <w:t xml:space="preserve">. </w:t>
      </w:r>
      <w:r w:rsidR="00977767" w:rsidRPr="007622EC">
        <w:rPr>
          <w:rFonts w:ascii="Arial" w:hAnsi="Arial" w:cs="Arial"/>
          <w:color w:val="000000" w:themeColor="text1"/>
          <w:sz w:val="21"/>
          <w:szCs w:val="21"/>
          <w:lang w:val="es-ES_tradnl"/>
        </w:rPr>
        <w:t>¿A partir de qué fecha se hace exigible para las entidades estatales contratantes la aplicación de los factores de desempate señalados en el artículo 35 de la Ley 2069 de 2020, en los documentos tipo que requieran de ser publicados? ¿Cuál y bajo qué norma se realizó su reglamentación?</w:t>
      </w:r>
      <w:r w:rsidR="00977767">
        <w:rPr>
          <w:rFonts w:ascii="Arial" w:hAnsi="Arial" w:cs="Arial"/>
          <w:color w:val="000000" w:themeColor="text1"/>
          <w:sz w:val="21"/>
          <w:szCs w:val="21"/>
          <w:lang w:val="es-ES_tradnl"/>
        </w:rPr>
        <w:t>»</w:t>
      </w:r>
    </w:p>
    <w:p w14:paraId="3AD2F734" w14:textId="0BF02EAD" w:rsidR="00083452" w:rsidRDefault="00083452" w:rsidP="00853A3C">
      <w:pPr>
        <w:ind w:right="709"/>
        <w:jc w:val="both"/>
        <w:rPr>
          <w:rFonts w:ascii="Arial" w:hAnsi="Arial" w:cs="Arial"/>
          <w:color w:val="000000" w:themeColor="text1"/>
          <w:sz w:val="21"/>
          <w:szCs w:val="21"/>
          <w:lang w:val="es-ES_tradnl"/>
        </w:rPr>
      </w:pPr>
    </w:p>
    <w:p w14:paraId="38AD7157" w14:textId="7E9CE117" w:rsidR="00683841" w:rsidRPr="00D0170D" w:rsidRDefault="00683841" w:rsidP="00683841">
      <w:pPr>
        <w:spacing w:line="276" w:lineRule="auto"/>
        <w:jc w:val="both"/>
        <w:rPr>
          <w:rFonts w:ascii="Arial" w:hAnsi="Arial" w:cs="Arial"/>
          <w:sz w:val="22"/>
          <w:szCs w:val="22"/>
          <w:shd w:val="clear" w:color="auto" w:fill="FFFFFF"/>
          <w:lang w:val="es-ES_tradnl"/>
        </w:rPr>
      </w:pPr>
      <w:r>
        <w:rPr>
          <w:rFonts w:ascii="Arial" w:hAnsi="Arial" w:cs="Arial"/>
          <w:sz w:val="22"/>
          <w:szCs w:val="22"/>
          <w:shd w:val="clear" w:color="auto" w:fill="FFFFFF"/>
          <w:lang w:val="es-ES_tradnl"/>
        </w:rPr>
        <w:t xml:space="preserve">Los factores de desempate previstos en el artículo 35 de la Ley 2069 de 2020 se encuentran vigentes </w:t>
      </w:r>
      <w:r w:rsidR="00754877">
        <w:rPr>
          <w:rFonts w:ascii="Arial" w:hAnsi="Arial" w:cs="Arial"/>
          <w:sz w:val="22"/>
          <w:szCs w:val="22"/>
          <w:shd w:val="clear" w:color="auto" w:fill="FFFFFF"/>
          <w:lang w:val="es-ES_tradnl"/>
        </w:rPr>
        <w:t>desde el 31 de diciembre de 2020 y son obligatorios para los procesos de selección que se inicien desde esa fecha, aun cuando en dichos procesos rijan los documentos tipo</w:t>
      </w:r>
      <w:r w:rsidR="00C6556A">
        <w:rPr>
          <w:rFonts w:ascii="Arial" w:hAnsi="Arial" w:cs="Arial"/>
          <w:sz w:val="22"/>
          <w:szCs w:val="22"/>
          <w:shd w:val="clear" w:color="auto" w:fill="FFFFFF"/>
          <w:lang w:val="es-ES_tradnl"/>
        </w:rPr>
        <w:t xml:space="preserve"> obligatorios expedidos por la Agencia Nacional de Contratación Pública – Colombia Compra Eficiente.</w:t>
      </w:r>
    </w:p>
    <w:p w14:paraId="183B5EB8" w14:textId="77777777" w:rsidR="00683841" w:rsidRPr="00955021" w:rsidRDefault="00683841" w:rsidP="00853A3C">
      <w:pPr>
        <w:ind w:right="709"/>
        <w:jc w:val="both"/>
        <w:rPr>
          <w:rFonts w:ascii="Arial" w:hAnsi="Arial" w:cs="Arial"/>
          <w:color w:val="000000" w:themeColor="text1"/>
          <w:sz w:val="21"/>
          <w:szCs w:val="21"/>
          <w:lang w:val="es-ES_tradnl"/>
        </w:rPr>
      </w:pPr>
    </w:p>
    <w:p w14:paraId="7B2C921D" w14:textId="0383AF9A" w:rsidR="00DD5B04" w:rsidRPr="00A43C00" w:rsidRDefault="00DD5B04" w:rsidP="00DF76A2">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210AA6B5" w:rsidR="00921304" w:rsidRPr="00A43C0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CC7BB0F" w:rsidR="00921304" w:rsidRPr="00A43C00" w:rsidRDefault="00FE7C6C"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5603459" wp14:editId="26C5049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43C00" w:rsidRDefault="00425C43" w:rsidP="00B37657">
      <w:pPr>
        <w:jc w:val="center"/>
        <w:rPr>
          <w:rFonts w:ascii="Arial" w:hAnsi="Arial" w:cs="Arial"/>
          <w:color w:val="000000" w:themeColor="text1"/>
          <w:sz w:val="18"/>
          <w:szCs w:val="20"/>
          <w:lang w:val="es-ES_tradnl" w:eastAsia="es-CO"/>
        </w:rPr>
      </w:pPr>
    </w:p>
    <w:p w14:paraId="49730030" w14:textId="217D35F3"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43C00" w14:paraId="0C7DC5F7" w14:textId="77777777" w:rsidTr="00083F1B">
        <w:trPr>
          <w:trHeight w:val="315"/>
        </w:trPr>
        <w:tc>
          <w:tcPr>
            <w:tcW w:w="812" w:type="dxa"/>
            <w:vAlign w:val="center"/>
            <w:hideMark/>
          </w:tcPr>
          <w:p w14:paraId="5BDB1AC9"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Cristian Andrés Díaz Díez</w:t>
            </w:r>
          </w:p>
          <w:p w14:paraId="240C71FD" w14:textId="31312C95"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Contratista</w:t>
            </w:r>
            <w:r w:rsidR="00FF0050" w:rsidRPr="00A43C00">
              <w:rPr>
                <w:rFonts w:ascii="Arial" w:hAnsi="Arial" w:cs="Arial"/>
                <w:color w:val="000000" w:themeColor="text1"/>
                <w:sz w:val="16"/>
                <w:szCs w:val="16"/>
                <w:lang w:val="es-ES_tradnl" w:eastAsia="es-ES"/>
              </w:rPr>
              <w:t xml:space="preserve"> de la </w:t>
            </w:r>
            <w:r w:rsidRPr="00A43C00">
              <w:rPr>
                <w:rFonts w:ascii="Arial" w:hAnsi="Arial" w:cs="Arial"/>
                <w:color w:val="000000" w:themeColor="text1"/>
                <w:sz w:val="16"/>
                <w:szCs w:val="16"/>
                <w:lang w:val="es-ES_tradnl" w:eastAsia="es-ES"/>
              </w:rPr>
              <w:t>Subdirección de Gestión Contractual</w:t>
            </w:r>
          </w:p>
        </w:tc>
      </w:tr>
      <w:tr w:rsidR="00DD5B04" w:rsidRPr="00A43C00" w14:paraId="2F8FD650" w14:textId="77777777" w:rsidTr="00083F1B">
        <w:trPr>
          <w:trHeight w:val="330"/>
        </w:trPr>
        <w:tc>
          <w:tcPr>
            <w:tcW w:w="812" w:type="dxa"/>
            <w:vAlign w:val="center"/>
            <w:hideMark/>
          </w:tcPr>
          <w:p w14:paraId="50203A0B"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C440B6"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174BE431" w:rsidR="00DD5B04" w:rsidRPr="00A43C00"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A43C00" w14:paraId="0FCBCA4A" w14:textId="77777777" w:rsidTr="00083F1B">
        <w:trPr>
          <w:trHeight w:val="300"/>
        </w:trPr>
        <w:tc>
          <w:tcPr>
            <w:tcW w:w="812" w:type="dxa"/>
            <w:vAlign w:val="center"/>
            <w:hideMark/>
          </w:tcPr>
          <w:p w14:paraId="3C1D943A"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B153" w14:textId="77777777" w:rsidR="009015EF" w:rsidRDefault="009015EF">
      <w:r>
        <w:separator/>
      </w:r>
    </w:p>
  </w:endnote>
  <w:endnote w:type="continuationSeparator" w:id="0">
    <w:p w14:paraId="30085482" w14:textId="77777777" w:rsidR="009015EF" w:rsidRDefault="009015EF">
      <w:r>
        <w:continuationSeparator/>
      </w:r>
    </w:p>
  </w:endnote>
  <w:endnote w:type="continuationNotice" w:id="1">
    <w:p w14:paraId="4B5ECE52" w14:textId="77777777" w:rsidR="009015EF" w:rsidRDefault="00901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2BC1D" w14:textId="77777777" w:rsidR="009015EF" w:rsidRDefault="009015EF">
      <w:r>
        <w:separator/>
      </w:r>
    </w:p>
  </w:footnote>
  <w:footnote w:type="continuationSeparator" w:id="0">
    <w:p w14:paraId="66A9ABBF" w14:textId="77777777" w:rsidR="009015EF" w:rsidRDefault="009015EF">
      <w:r>
        <w:continuationSeparator/>
      </w:r>
    </w:p>
  </w:footnote>
  <w:footnote w:type="continuationNotice" w:id="1">
    <w:p w14:paraId="16280883" w14:textId="77777777" w:rsidR="009015EF" w:rsidRDefault="009015EF"/>
  </w:footnote>
  <w:footnote w:id="2">
    <w:p w14:paraId="4C8105B6" w14:textId="77777777" w:rsidR="0075041E" w:rsidRPr="00EA10E4" w:rsidRDefault="0075041E" w:rsidP="0075041E">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0CC4F4EE" w14:textId="77777777" w:rsidR="0075041E" w:rsidRPr="00EA10E4" w:rsidRDefault="0075041E" w:rsidP="0075041E">
      <w:pPr>
        <w:pStyle w:val="Textonotapie"/>
        <w:ind w:firstLine="709"/>
        <w:jc w:val="both"/>
        <w:rPr>
          <w:rFonts w:ascii="Arial" w:hAnsi="Arial" w:cs="Arial"/>
          <w:sz w:val="19"/>
          <w:szCs w:val="19"/>
          <w:lang w:val="es-ES"/>
        </w:rPr>
      </w:pPr>
    </w:p>
  </w:footnote>
  <w:footnote w:id="3">
    <w:p w14:paraId="7AF511D1"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26B98A72" w14:textId="77777777" w:rsidR="0075041E" w:rsidRPr="008640C4" w:rsidRDefault="0075041E" w:rsidP="0075041E">
      <w:pPr>
        <w:pStyle w:val="Textonotapie"/>
        <w:ind w:firstLine="709"/>
        <w:jc w:val="both"/>
        <w:rPr>
          <w:rFonts w:ascii="Arial" w:hAnsi="Arial" w:cs="Arial"/>
          <w:sz w:val="19"/>
          <w:szCs w:val="19"/>
          <w:lang w:val="es-ES"/>
        </w:rPr>
      </w:pPr>
    </w:p>
  </w:footnote>
  <w:footnote w:id="4">
    <w:p w14:paraId="3700F348"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A81F004" w14:textId="77777777" w:rsidR="0075041E" w:rsidRPr="008640C4" w:rsidRDefault="0075041E" w:rsidP="0075041E">
      <w:pPr>
        <w:pStyle w:val="Textonotapie"/>
        <w:ind w:firstLine="709"/>
        <w:jc w:val="both"/>
        <w:rPr>
          <w:rFonts w:ascii="Arial" w:hAnsi="Arial" w:cs="Arial"/>
          <w:sz w:val="19"/>
          <w:szCs w:val="19"/>
          <w:lang w:val="es-CO"/>
        </w:rPr>
      </w:pPr>
    </w:p>
  </w:footnote>
  <w:footnote w:id="5">
    <w:p w14:paraId="25E1A1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C0308C3" w14:textId="77777777" w:rsidR="0075041E" w:rsidRPr="008640C4" w:rsidRDefault="0075041E" w:rsidP="0075041E">
      <w:pPr>
        <w:pStyle w:val="Textonotapie"/>
        <w:ind w:firstLine="709"/>
        <w:jc w:val="both"/>
        <w:rPr>
          <w:rFonts w:ascii="Arial" w:hAnsi="Arial" w:cs="Arial"/>
          <w:sz w:val="19"/>
          <w:szCs w:val="19"/>
          <w:lang w:val="es-ES"/>
        </w:rPr>
      </w:pPr>
    </w:p>
  </w:footnote>
  <w:footnote w:id="6">
    <w:p w14:paraId="7B74082A"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2D6A1F9B" w14:textId="77777777" w:rsidR="0075041E" w:rsidRPr="008640C4" w:rsidRDefault="0075041E" w:rsidP="0075041E">
      <w:pPr>
        <w:pStyle w:val="Textonotapie"/>
        <w:ind w:firstLine="709"/>
        <w:jc w:val="both"/>
        <w:rPr>
          <w:rFonts w:ascii="Arial" w:hAnsi="Arial" w:cs="Arial"/>
          <w:sz w:val="19"/>
          <w:szCs w:val="19"/>
          <w:lang w:val="es-ES"/>
        </w:rPr>
      </w:pPr>
    </w:p>
  </w:footnote>
  <w:footnote w:id="7">
    <w:p w14:paraId="5B4B49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7261353C" w14:textId="77777777" w:rsidR="0075041E" w:rsidRPr="008640C4" w:rsidRDefault="0075041E" w:rsidP="0075041E">
      <w:pPr>
        <w:pStyle w:val="Textonotapie"/>
        <w:ind w:firstLine="709"/>
        <w:jc w:val="both"/>
        <w:rPr>
          <w:rFonts w:ascii="Arial" w:hAnsi="Arial" w:cs="Arial"/>
          <w:sz w:val="19"/>
          <w:szCs w:val="19"/>
          <w:lang w:val="es-ES"/>
        </w:rPr>
      </w:pPr>
    </w:p>
  </w:footnote>
  <w:footnote w:id="8">
    <w:p w14:paraId="16443A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52967BBB" w14:textId="77777777" w:rsidR="0075041E" w:rsidRPr="008640C4" w:rsidRDefault="0075041E" w:rsidP="0075041E">
      <w:pPr>
        <w:pStyle w:val="Textonotapie"/>
        <w:ind w:firstLine="709"/>
        <w:jc w:val="both"/>
        <w:rPr>
          <w:rFonts w:ascii="Arial" w:hAnsi="Arial" w:cs="Arial"/>
          <w:sz w:val="19"/>
          <w:szCs w:val="19"/>
          <w:lang w:val="es-ES"/>
        </w:rPr>
      </w:pPr>
    </w:p>
  </w:footnote>
  <w:footnote w:id="9">
    <w:p w14:paraId="72158D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3FE7F58B" w14:textId="77777777" w:rsidR="0075041E" w:rsidRPr="008640C4" w:rsidRDefault="0075041E" w:rsidP="0075041E">
      <w:pPr>
        <w:pStyle w:val="Textonotapie"/>
        <w:ind w:firstLine="709"/>
        <w:jc w:val="both"/>
        <w:rPr>
          <w:rFonts w:ascii="Arial" w:hAnsi="Arial" w:cs="Arial"/>
          <w:sz w:val="19"/>
          <w:szCs w:val="19"/>
          <w:lang w:val="es-ES"/>
        </w:rPr>
      </w:pPr>
    </w:p>
  </w:footnote>
  <w:footnote w:id="10">
    <w:p w14:paraId="40C3A00D" w14:textId="77777777" w:rsidR="0075041E" w:rsidRPr="0064696D" w:rsidRDefault="0075041E" w:rsidP="0075041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BDFE24C"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6F953B4"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1.</w:t>
      </w:r>
      <w:r>
        <w:rPr>
          <w:rFonts w:ascii="Arial" w:hAnsi="Arial" w:cs="Arial"/>
          <w:sz w:val="19"/>
          <w:szCs w:val="19"/>
          <w:lang w:val="es-ES"/>
        </w:rPr>
        <w:t xml:space="preserve"> </w:t>
      </w:r>
      <w:r w:rsidRPr="0064696D">
        <w:rPr>
          <w:rFonts w:ascii="Arial" w:hAnsi="Arial" w:cs="Arial"/>
          <w:sz w:val="19"/>
          <w:szCs w:val="19"/>
          <w:lang w:val="es-ES"/>
        </w:rPr>
        <w:t>Preferir la oferta de bienes o servicios nacionales frente a la oferta de bienes o servicios extranjeros.</w:t>
      </w:r>
    </w:p>
    <w:p w14:paraId="660CEEEA"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2.</w:t>
      </w:r>
      <w:r>
        <w:rPr>
          <w:rFonts w:ascii="Arial" w:hAnsi="Arial" w:cs="Arial"/>
          <w:sz w:val="19"/>
          <w:szCs w:val="19"/>
          <w:lang w:val="es-ES"/>
        </w:rPr>
        <w:t xml:space="preserve"> </w:t>
      </w:r>
      <w:r w:rsidRPr="0064696D">
        <w:rPr>
          <w:rFonts w:ascii="Arial" w:hAnsi="Arial" w:cs="Arial"/>
          <w:sz w:val="19"/>
          <w:szCs w:val="19"/>
          <w:lang w:val="es-ES"/>
        </w:rPr>
        <w:t xml:space="preserve">Preferir las ofertas presentada por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w:t>
      </w:r>
    </w:p>
    <w:p w14:paraId="19366EA3"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3.</w:t>
      </w:r>
      <w:r>
        <w:rPr>
          <w:rFonts w:ascii="Arial" w:hAnsi="Arial" w:cs="Arial"/>
          <w:sz w:val="19"/>
          <w:szCs w:val="19"/>
          <w:lang w:val="es-ES"/>
        </w:rPr>
        <w:t xml:space="preserve"> </w:t>
      </w:r>
      <w:r w:rsidRPr="0064696D">
        <w:rPr>
          <w:rFonts w:ascii="Arial" w:hAnsi="Arial" w:cs="Arial"/>
          <w:sz w:val="19"/>
          <w:szCs w:val="19"/>
          <w:lang w:val="es-ES"/>
        </w:rPr>
        <w:t xml:space="preserve">Preferir la oferta presentada por un consorcio, unión temporal o promesa de sociedad futura siempre que: (a) esté conformado por al menos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 que tenga una participación de por lo menos el veinticinco por ciento (25%); (b)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aporte mínimo el veinticinco por ciento (25%) de la experiencia acreditada en la oferta; y (c) ni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ni sus accionistas, socios o representantes legales sean empleados, socios o accionistas de los miembros del consorcio, unión temporal o promesa de sociedad futura.</w:t>
      </w:r>
    </w:p>
    <w:p w14:paraId="583F1EB5"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4.</w:t>
      </w:r>
      <w:r>
        <w:rPr>
          <w:rFonts w:ascii="Arial" w:hAnsi="Arial" w:cs="Arial"/>
          <w:sz w:val="19"/>
          <w:szCs w:val="19"/>
          <w:lang w:val="es-ES"/>
        </w:rPr>
        <w:t xml:space="preserve"> </w:t>
      </w:r>
      <w:r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889E823" w14:textId="77777777" w:rsidR="0075041E" w:rsidRPr="0064696D" w:rsidRDefault="0075041E" w:rsidP="0075041E">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Pr>
          <w:rFonts w:ascii="Arial" w:hAnsi="Arial" w:cs="Arial"/>
          <w:sz w:val="19"/>
          <w:szCs w:val="19"/>
          <w:lang w:val="es-ES"/>
        </w:rPr>
        <w:t>5.</w:t>
      </w:r>
      <w:r>
        <w:rPr>
          <w:rFonts w:ascii="Arial" w:hAnsi="Arial" w:cs="Arial"/>
          <w:sz w:val="19"/>
          <w:szCs w:val="19"/>
          <w:lang w:val="es-ES"/>
        </w:rPr>
        <w:t xml:space="preserve"> </w:t>
      </w:r>
      <w:r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Pr>
          <w:rFonts w:ascii="Arial" w:hAnsi="Arial" w:cs="Arial"/>
          <w:sz w:val="19"/>
          <w:szCs w:val="19"/>
          <w:lang w:val="es-ES"/>
        </w:rPr>
        <w:t>.</w:t>
      </w:r>
    </w:p>
  </w:footnote>
  <w:footnote w:id="11">
    <w:p w14:paraId="55BE66B1"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47681A0" w14:textId="77777777" w:rsidR="004A3EF7" w:rsidRPr="00AE2E59" w:rsidRDefault="004A3EF7" w:rsidP="004A3EF7">
      <w:pPr>
        <w:pStyle w:val="Textonotapie"/>
        <w:ind w:firstLine="709"/>
        <w:jc w:val="both"/>
        <w:rPr>
          <w:rFonts w:ascii="Arial" w:hAnsi="Arial" w:cs="Arial"/>
          <w:sz w:val="19"/>
          <w:szCs w:val="19"/>
          <w:lang w:val="es-CO"/>
        </w:rPr>
      </w:pPr>
    </w:p>
  </w:footnote>
  <w:footnote w:id="12">
    <w:p w14:paraId="51578B20"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CO"/>
        </w:rPr>
        <w:t xml:space="preserve">Ley 1882 de 2018: «Artículo 4. </w:t>
      </w:r>
      <w:r w:rsidRPr="00AE2E5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68126B7" w14:textId="77777777" w:rsidR="004A3EF7" w:rsidRPr="00AE2E59" w:rsidRDefault="004A3EF7" w:rsidP="004A3EF7">
      <w:pPr>
        <w:pStyle w:val="Textonotapie"/>
        <w:ind w:firstLine="709"/>
        <w:jc w:val="both"/>
        <w:rPr>
          <w:rFonts w:ascii="Arial" w:hAnsi="Arial" w:cs="Arial"/>
          <w:sz w:val="19"/>
          <w:szCs w:val="19"/>
          <w:lang w:val="es-CO"/>
        </w:rPr>
      </w:pPr>
      <w:r w:rsidRPr="00AE2E59">
        <w:rPr>
          <w:rFonts w:ascii="Arial" w:hAnsi="Arial" w:cs="Arial"/>
          <w:sz w:val="19"/>
          <w:szCs w:val="19"/>
          <w:lang w:val="es-CO"/>
        </w:rPr>
        <w:t>»La facultad de adoptar documentos tipo la tendrá el Gobierno nacional, cuando lo considere necesario, en relación con otros contratos o procesos de selección.</w:t>
      </w:r>
    </w:p>
    <w:p w14:paraId="43B6F706" w14:textId="77777777" w:rsidR="004A3EF7" w:rsidRPr="00AE2E59" w:rsidRDefault="004A3EF7" w:rsidP="004A3EF7">
      <w:pPr>
        <w:pStyle w:val="Textonotapie"/>
        <w:ind w:firstLine="709"/>
        <w:jc w:val="both"/>
        <w:rPr>
          <w:rFonts w:ascii="Arial" w:hAnsi="Arial" w:cs="Arial"/>
          <w:sz w:val="19"/>
          <w:szCs w:val="19"/>
          <w:lang w:val="es-CO"/>
        </w:rPr>
      </w:pPr>
      <w:r w:rsidRPr="00AE2E59">
        <w:rPr>
          <w:rFonts w:ascii="Arial" w:hAnsi="Arial" w:cs="Arial"/>
          <w:sz w:val="19"/>
          <w:szCs w:val="19"/>
          <w:lang w:val="es-CO"/>
        </w:rPr>
        <w:t>»Los pliegos tipo se adoptarán por categorías de acuerdo con la cuantía de la contratación, según la reglamentación que expida el Gobierno nacional».</w:t>
      </w:r>
    </w:p>
    <w:p w14:paraId="5D2F7207" w14:textId="77777777" w:rsidR="004A3EF7" w:rsidRPr="00AE2E59" w:rsidRDefault="004A3EF7" w:rsidP="004A3EF7">
      <w:pPr>
        <w:pStyle w:val="Textonotapie"/>
        <w:ind w:firstLine="709"/>
        <w:jc w:val="both"/>
        <w:rPr>
          <w:rFonts w:ascii="Arial" w:hAnsi="Arial" w:cs="Arial"/>
          <w:sz w:val="19"/>
          <w:szCs w:val="19"/>
          <w:lang w:val="es-CO"/>
        </w:rPr>
      </w:pPr>
    </w:p>
  </w:footnote>
  <w:footnote w:id="13">
    <w:p w14:paraId="00365003"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EA831EC" w14:textId="77777777" w:rsidR="004A3EF7" w:rsidRPr="00AE2E59" w:rsidRDefault="004A3EF7" w:rsidP="004A3EF7">
      <w:pPr>
        <w:pStyle w:val="Textonotapie"/>
        <w:ind w:firstLine="709"/>
        <w:jc w:val="both"/>
        <w:rPr>
          <w:rFonts w:ascii="Arial" w:hAnsi="Arial" w:cs="Arial"/>
          <w:sz w:val="19"/>
          <w:szCs w:val="19"/>
        </w:rPr>
      </w:pPr>
    </w:p>
  </w:footnote>
  <w:footnote w:id="14">
    <w:p w14:paraId="0065FEB6" w14:textId="77777777" w:rsidR="00C55D6D" w:rsidRPr="00AE2E59" w:rsidRDefault="00C55D6D" w:rsidP="00C55D6D">
      <w:pPr>
        <w:pStyle w:val="Textonotapie"/>
        <w:ind w:firstLine="709"/>
        <w:jc w:val="both"/>
        <w:rPr>
          <w:rFonts w:ascii="Arial" w:hAnsi="Arial" w:cs="Arial"/>
          <w:sz w:val="19"/>
          <w:szCs w:val="19"/>
          <w:lang w:val="es-ES"/>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3E38"/>
    <w:rsid w:val="0005463D"/>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3E"/>
    <w:rsid w:val="0006536C"/>
    <w:rsid w:val="00070AF1"/>
    <w:rsid w:val="000714DE"/>
    <w:rsid w:val="0007254F"/>
    <w:rsid w:val="0007331E"/>
    <w:rsid w:val="00073C30"/>
    <w:rsid w:val="00074305"/>
    <w:rsid w:val="000744D0"/>
    <w:rsid w:val="00074B2A"/>
    <w:rsid w:val="00074EEE"/>
    <w:rsid w:val="00075187"/>
    <w:rsid w:val="000753D5"/>
    <w:rsid w:val="00075B3E"/>
    <w:rsid w:val="00076456"/>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2E"/>
    <w:rsid w:val="000E22CF"/>
    <w:rsid w:val="000E2977"/>
    <w:rsid w:val="000E2CC0"/>
    <w:rsid w:val="000E30AC"/>
    <w:rsid w:val="000E3B46"/>
    <w:rsid w:val="000E3E11"/>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00C"/>
    <w:rsid w:val="00110F61"/>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3C1"/>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95C"/>
    <w:rsid w:val="00136BF7"/>
    <w:rsid w:val="001378B9"/>
    <w:rsid w:val="00137FFA"/>
    <w:rsid w:val="00140109"/>
    <w:rsid w:val="0014029B"/>
    <w:rsid w:val="00140464"/>
    <w:rsid w:val="00140A4F"/>
    <w:rsid w:val="001413AB"/>
    <w:rsid w:val="001414DC"/>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4F27"/>
    <w:rsid w:val="0018519B"/>
    <w:rsid w:val="001856D6"/>
    <w:rsid w:val="00185966"/>
    <w:rsid w:val="00185A2D"/>
    <w:rsid w:val="00185AFE"/>
    <w:rsid w:val="00185E78"/>
    <w:rsid w:val="00187061"/>
    <w:rsid w:val="00187177"/>
    <w:rsid w:val="00187ABD"/>
    <w:rsid w:val="001904E3"/>
    <w:rsid w:val="0019087A"/>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85C"/>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30F3"/>
    <w:rsid w:val="001D31A0"/>
    <w:rsid w:val="001D338E"/>
    <w:rsid w:val="001D4F13"/>
    <w:rsid w:val="001D56E9"/>
    <w:rsid w:val="001D5922"/>
    <w:rsid w:val="001D5EE1"/>
    <w:rsid w:val="001D7543"/>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7FD"/>
    <w:rsid w:val="0020697F"/>
    <w:rsid w:val="00206CB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5E09"/>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AE0"/>
    <w:rsid w:val="00231EC7"/>
    <w:rsid w:val="00232BD1"/>
    <w:rsid w:val="00232E15"/>
    <w:rsid w:val="00233079"/>
    <w:rsid w:val="00233610"/>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DB5"/>
    <w:rsid w:val="00275423"/>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B64"/>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759"/>
    <w:rsid w:val="002D5A10"/>
    <w:rsid w:val="002D5A1B"/>
    <w:rsid w:val="002D65BC"/>
    <w:rsid w:val="002D6960"/>
    <w:rsid w:val="002D6A45"/>
    <w:rsid w:val="002E055C"/>
    <w:rsid w:val="002E0774"/>
    <w:rsid w:val="002E1050"/>
    <w:rsid w:val="002E107E"/>
    <w:rsid w:val="002E18E5"/>
    <w:rsid w:val="002E1953"/>
    <w:rsid w:val="002E2CB5"/>
    <w:rsid w:val="002E2D7D"/>
    <w:rsid w:val="002E3037"/>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146"/>
    <w:rsid w:val="002F7B66"/>
    <w:rsid w:val="00300CB4"/>
    <w:rsid w:val="00300E24"/>
    <w:rsid w:val="003033BA"/>
    <w:rsid w:val="00303C19"/>
    <w:rsid w:val="003043A3"/>
    <w:rsid w:val="00304BD4"/>
    <w:rsid w:val="0030500A"/>
    <w:rsid w:val="003052EB"/>
    <w:rsid w:val="00305FCB"/>
    <w:rsid w:val="003063C3"/>
    <w:rsid w:val="003069DC"/>
    <w:rsid w:val="00306B44"/>
    <w:rsid w:val="00307BE8"/>
    <w:rsid w:val="00307C44"/>
    <w:rsid w:val="0031088E"/>
    <w:rsid w:val="00310D01"/>
    <w:rsid w:val="00311376"/>
    <w:rsid w:val="00311A1F"/>
    <w:rsid w:val="00311B47"/>
    <w:rsid w:val="00311C19"/>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704A3"/>
    <w:rsid w:val="003706F2"/>
    <w:rsid w:val="0037124F"/>
    <w:rsid w:val="003722B3"/>
    <w:rsid w:val="003724CE"/>
    <w:rsid w:val="00373827"/>
    <w:rsid w:val="0037401C"/>
    <w:rsid w:val="00374D49"/>
    <w:rsid w:val="0037507B"/>
    <w:rsid w:val="00375179"/>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6BB2"/>
    <w:rsid w:val="003A72F5"/>
    <w:rsid w:val="003A73EE"/>
    <w:rsid w:val="003A78E5"/>
    <w:rsid w:val="003B0341"/>
    <w:rsid w:val="003B0A10"/>
    <w:rsid w:val="003B1E57"/>
    <w:rsid w:val="003B29D4"/>
    <w:rsid w:val="003B2B33"/>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6E9"/>
    <w:rsid w:val="003F1F15"/>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6F1"/>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E4D"/>
    <w:rsid w:val="00423F9F"/>
    <w:rsid w:val="00424AB2"/>
    <w:rsid w:val="00425C43"/>
    <w:rsid w:val="004273FA"/>
    <w:rsid w:val="004275A7"/>
    <w:rsid w:val="00430186"/>
    <w:rsid w:val="00430682"/>
    <w:rsid w:val="00431017"/>
    <w:rsid w:val="00431C0B"/>
    <w:rsid w:val="0043269A"/>
    <w:rsid w:val="004333C2"/>
    <w:rsid w:val="00434469"/>
    <w:rsid w:val="00434787"/>
    <w:rsid w:val="00434C13"/>
    <w:rsid w:val="00434C2C"/>
    <w:rsid w:val="004351CF"/>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FEB"/>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3EF7"/>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5212"/>
    <w:rsid w:val="004C580A"/>
    <w:rsid w:val="004C58A4"/>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90"/>
    <w:rsid w:val="005346AD"/>
    <w:rsid w:val="005346BC"/>
    <w:rsid w:val="00534EFB"/>
    <w:rsid w:val="00534F60"/>
    <w:rsid w:val="005357F1"/>
    <w:rsid w:val="00536053"/>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6C7"/>
    <w:rsid w:val="00546C9B"/>
    <w:rsid w:val="00547BF6"/>
    <w:rsid w:val="00547FB3"/>
    <w:rsid w:val="00551098"/>
    <w:rsid w:val="0055151D"/>
    <w:rsid w:val="00551598"/>
    <w:rsid w:val="0055162B"/>
    <w:rsid w:val="00551BFF"/>
    <w:rsid w:val="00551D68"/>
    <w:rsid w:val="00551DFF"/>
    <w:rsid w:val="005525C9"/>
    <w:rsid w:val="00552B3E"/>
    <w:rsid w:val="00554D57"/>
    <w:rsid w:val="005551AA"/>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2981"/>
    <w:rsid w:val="00593EA2"/>
    <w:rsid w:val="00593F75"/>
    <w:rsid w:val="005940A0"/>
    <w:rsid w:val="0059429A"/>
    <w:rsid w:val="00594462"/>
    <w:rsid w:val="00594CBE"/>
    <w:rsid w:val="00596AF7"/>
    <w:rsid w:val="00596CCE"/>
    <w:rsid w:val="005A1976"/>
    <w:rsid w:val="005A2120"/>
    <w:rsid w:val="005A2501"/>
    <w:rsid w:val="005A2C14"/>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4F79"/>
    <w:rsid w:val="005F54DF"/>
    <w:rsid w:val="005F568C"/>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368"/>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191"/>
    <w:rsid w:val="006433D5"/>
    <w:rsid w:val="00643412"/>
    <w:rsid w:val="00645C53"/>
    <w:rsid w:val="00645CEB"/>
    <w:rsid w:val="00645E6E"/>
    <w:rsid w:val="00646B20"/>
    <w:rsid w:val="00646D0F"/>
    <w:rsid w:val="00647A36"/>
    <w:rsid w:val="00647DCC"/>
    <w:rsid w:val="00647EFA"/>
    <w:rsid w:val="00647F14"/>
    <w:rsid w:val="00650027"/>
    <w:rsid w:val="00651501"/>
    <w:rsid w:val="00651B9C"/>
    <w:rsid w:val="00651C47"/>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841"/>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4C33"/>
    <w:rsid w:val="006A55EE"/>
    <w:rsid w:val="006A575B"/>
    <w:rsid w:val="006A57E8"/>
    <w:rsid w:val="006A59DE"/>
    <w:rsid w:val="006A64C6"/>
    <w:rsid w:val="006A6655"/>
    <w:rsid w:val="006A6BF9"/>
    <w:rsid w:val="006A7108"/>
    <w:rsid w:val="006A7CB5"/>
    <w:rsid w:val="006A7FD0"/>
    <w:rsid w:val="006B00E4"/>
    <w:rsid w:val="006B025C"/>
    <w:rsid w:val="006B08ED"/>
    <w:rsid w:val="006B2534"/>
    <w:rsid w:val="006B2CB2"/>
    <w:rsid w:val="006B347D"/>
    <w:rsid w:val="006B377A"/>
    <w:rsid w:val="006B3E19"/>
    <w:rsid w:val="006B4488"/>
    <w:rsid w:val="006B49FC"/>
    <w:rsid w:val="006B50C4"/>
    <w:rsid w:val="006B53AE"/>
    <w:rsid w:val="006B58B4"/>
    <w:rsid w:val="006B67AC"/>
    <w:rsid w:val="006B6DB3"/>
    <w:rsid w:val="006B74DE"/>
    <w:rsid w:val="006B786A"/>
    <w:rsid w:val="006B7A03"/>
    <w:rsid w:val="006B7A67"/>
    <w:rsid w:val="006B7D67"/>
    <w:rsid w:val="006B7E4E"/>
    <w:rsid w:val="006C003A"/>
    <w:rsid w:val="006C074F"/>
    <w:rsid w:val="006C107C"/>
    <w:rsid w:val="006C1EA0"/>
    <w:rsid w:val="006C2454"/>
    <w:rsid w:val="006C2551"/>
    <w:rsid w:val="006C37CA"/>
    <w:rsid w:val="006C40D2"/>
    <w:rsid w:val="006C4BBD"/>
    <w:rsid w:val="006C4C26"/>
    <w:rsid w:val="006C5B15"/>
    <w:rsid w:val="006C5D32"/>
    <w:rsid w:val="006C5DCB"/>
    <w:rsid w:val="006C6475"/>
    <w:rsid w:val="006C70C4"/>
    <w:rsid w:val="006C724E"/>
    <w:rsid w:val="006C741F"/>
    <w:rsid w:val="006C7B2B"/>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746"/>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1F32"/>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877"/>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25A"/>
    <w:rsid w:val="007616DB"/>
    <w:rsid w:val="00761AB7"/>
    <w:rsid w:val="00761CE6"/>
    <w:rsid w:val="0076228A"/>
    <w:rsid w:val="007622EC"/>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59E6"/>
    <w:rsid w:val="007C6339"/>
    <w:rsid w:val="007C6A4D"/>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DF"/>
    <w:rsid w:val="007E2C36"/>
    <w:rsid w:val="007E3309"/>
    <w:rsid w:val="007E350D"/>
    <w:rsid w:val="007E3A0A"/>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977"/>
    <w:rsid w:val="00811AC2"/>
    <w:rsid w:val="00811CDC"/>
    <w:rsid w:val="0081249B"/>
    <w:rsid w:val="008124D8"/>
    <w:rsid w:val="0081250A"/>
    <w:rsid w:val="00813A7B"/>
    <w:rsid w:val="00813F04"/>
    <w:rsid w:val="0081513E"/>
    <w:rsid w:val="00815DA5"/>
    <w:rsid w:val="00816221"/>
    <w:rsid w:val="00816D78"/>
    <w:rsid w:val="00817063"/>
    <w:rsid w:val="0081766B"/>
    <w:rsid w:val="00820705"/>
    <w:rsid w:val="00820842"/>
    <w:rsid w:val="00820BA7"/>
    <w:rsid w:val="00820CBF"/>
    <w:rsid w:val="00820DBC"/>
    <w:rsid w:val="00820FA8"/>
    <w:rsid w:val="008212FD"/>
    <w:rsid w:val="00821489"/>
    <w:rsid w:val="008217B7"/>
    <w:rsid w:val="00822257"/>
    <w:rsid w:val="0082239B"/>
    <w:rsid w:val="0082292E"/>
    <w:rsid w:val="00822D06"/>
    <w:rsid w:val="00822EC4"/>
    <w:rsid w:val="0082348D"/>
    <w:rsid w:val="008236BE"/>
    <w:rsid w:val="008241CE"/>
    <w:rsid w:val="00825090"/>
    <w:rsid w:val="00825240"/>
    <w:rsid w:val="00825595"/>
    <w:rsid w:val="00825B43"/>
    <w:rsid w:val="00826F71"/>
    <w:rsid w:val="00827CC0"/>
    <w:rsid w:val="00830D29"/>
    <w:rsid w:val="00831026"/>
    <w:rsid w:val="0083119B"/>
    <w:rsid w:val="00831BAE"/>
    <w:rsid w:val="00832216"/>
    <w:rsid w:val="0083266B"/>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298"/>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3A3A"/>
    <w:rsid w:val="0089436B"/>
    <w:rsid w:val="00894436"/>
    <w:rsid w:val="0089494C"/>
    <w:rsid w:val="00894AB5"/>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6E84"/>
    <w:rsid w:val="008D7338"/>
    <w:rsid w:val="008D785E"/>
    <w:rsid w:val="008E0012"/>
    <w:rsid w:val="008E033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6CC2"/>
    <w:rsid w:val="008E6F9F"/>
    <w:rsid w:val="008E7214"/>
    <w:rsid w:val="008E7884"/>
    <w:rsid w:val="008E7D6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5EF"/>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644A"/>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3EB3"/>
    <w:rsid w:val="0097494E"/>
    <w:rsid w:val="00974999"/>
    <w:rsid w:val="00974B58"/>
    <w:rsid w:val="00975445"/>
    <w:rsid w:val="009761ED"/>
    <w:rsid w:val="0097769A"/>
    <w:rsid w:val="00977767"/>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89D"/>
    <w:rsid w:val="009D2BDF"/>
    <w:rsid w:val="009D3736"/>
    <w:rsid w:val="009D3D05"/>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62B"/>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020"/>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7EB2"/>
    <w:rsid w:val="00A6009E"/>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32C6"/>
    <w:rsid w:val="00A93F41"/>
    <w:rsid w:val="00A9413E"/>
    <w:rsid w:val="00A94281"/>
    <w:rsid w:val="00A94293"/>
    <w:rsid w:val="00A948EA"/>
    <w:rsid w:val="00A9496E"/>
    <w:rsid w:val="00A949F0"/>
    <w:rsid w:val="00A94B0E"/>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C4B"/>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4"/>
    <w:rsid w:val="00B33661"/>
    <w:rsid w:val="00B33C23"/>
    <w:rsid w:val="00B34408"/>
    <w:rsid w:val="00B345B4"/>
    <w:rsid w:val="00B348B1"/>
    <w:rsid w:val="00B34A28"/>
    <w:rsid w:val="00B35046"/>
    <w:rsid w:val="00B35B6A"/>
    <w:rsid w:val="00B35BFD"/>
    <w:rsid w:val="00B35C51"/>
    <w:rsid w:val="00B35DAA"/>
    <w:rsid w:val="00B36D2B"/>
    <w:rsid w:val="00B37657"/>
    <w:rsid w:val="00B37907"/>
    <w:rsid w:val="00B37AFD"/>
    <w:rsid w:val="00B37B07"/>
    <w:rsid w:val="00B4046F"/>
    <w:rsid w:val="00B406B3"/>
    <w:rsid w:val="00B40A36"/>
    <w:rsid w:val="00B40DCB"/>
    <w:rsid w:val="00B41D39"/>
    <w:rsid w:val="00B422C0"/>
    <w:rsid w:val="00B426CA"/>
    <w:rsid w:val="00B426E1"/>
    <w:rsid w:val="00B42F6D"/>
    <w:rsid w:val="00B43449"/>
    <w:rsid w:val="00B4387A"/>
    <w:rsid w:val="00B43DA1"/>
    <w:rsid w:val="00B44746"/>
    <w:rsid w:val="00B44854"/>
    <w:rsid w:val="00B44BA5"/>
    <w:rsid w:val="00B458D0"/>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903"/>
    <w:rsid w:val="00B67FBF"/>
    <w:rsid w:val="00B70832"/>
    <w:rsid w:val="00B70DFB"/>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1C47"/>
    <w:rsid w:val="00BB2268"/>
    <w:rsid w:val="00BB2841"/>
    <w:rsid w:val="00BB2A74"/>
    <w:rsid w:val="00BB300F"/>
    <w:rsid w:val="00BB32C9"/>
    <w:rsid w:val="00BB35C5"/>
    <w:rsid w:val="00BB4293"/>
    <w:rsid w:val="00BB4C8E"/>
    <w:rsid w:val="00BB57ED"/>
    <w:rsid w:val="00BB65C3"/>
    <w:rsid w:val="00BB662E"/>
    <w:rsid w:val="00BB67A9"/>
    <w:rsid w:val="00BB699C"/>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DEB"/>
    <w:rsid w:val="00BC5FDD"/>
    <w:rsid w:val="00BC68B4"/>
    <w:rsid w:val="00BD0140"/>
    <w:rsid w:val="00BD02CC"/>
    <w:rsid w:val="00BD0611"/>
    <w:rsid w:val="00BD088E"/>
    <w:rsid w:val="00BD0F18"/>
    <w:rsid w:val="00BD115F"/>
    <w:rsid w:val="00BD1F56"/>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B79"/>
    <w:rsid w:val="00C55C32"/>
    <w:rsid w:val="00C55D6D"/>
    <w:rsid w:val="00C560B8"/>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56A"/>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587"/>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969"/>
    <w:rsid w:val="00CB19E3"/>
    <w:rsid w:val="00CB2C3A"/>
    <w:rsid w:val="00CB2D38"/>
    <w:rsid w:val="00CB4137"/>
    <w:rsid w:val="00CB43AD"/>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0ED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5463"/>
    <w:rsid w:val="00CF6955"/>
    <w:rsid w:val="00CF73F8"/>
    <w:rsid w:val="00CF7928"/>
    <w:rsid w:val="00CF7CA2"/>
    <w:rsid w:val="00D00684"/>
    <w:rsid w:val="00D00911"/>
    <w:rsid w:val="00D00A8E"/>
    <w:rsid w:val="00D00DE0"/>
    <w:rsid w:val="00D00F79"/>
    <w:rsid w:val="00D012BF"/>
    <w:rsid w:val="00D0170D"/>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246"/>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47513"/>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34"/>
    <w:rsid w:val="00D97BD1"/>
    <w:rsid w:val="00D97DAD"/>
    <w:rsid w:val="00DA06B8"/>
    <w:rsid w:val="00DA14A9"/>
    <w:rsid w:val="00DA2862"/>
    <w:rsid w:val="00DA286D"/>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6B1"/>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6C1"/>
    <w:rsid w:val="00DE20C6"/>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7225"/>
    <w:rsid w:val="00E076B4"/>
    <w:rsid w:val="00E07B55"/>
    <w:rsid w:val="00E10579"/>
    <w:rsid w:val="00E109DD"/>
    <w:rsid w:val="00E11229"/>
    <w:rsid w:val="00E114CA"/>
    <w:rsid w:val="00E11FE2"/>
    <w:rsid w:val="00E120D9"/>
    <w:rsid w:val="00E1397F"/>
    <w:rsid w:val="00E13AB8"/>
    <w:rsid w:val="00E1482E"/>
    <w:rsid w:val="00E153AE"/>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176"/>
    <w:rsid w:val="00E8732E"/>
    <w:rsid w:val="00E8744A"/>
    <w:rsid w:val="00E87E9C"/>
    <w:rsid w:val="00E9011F"/>
    <w:rsid w:val="00E906EB"/>
    <w:rsid w:val="00E90A66"/>
    <w:rsid w:val="00E919FB"/>
    <w:rsid w:val="00E9241E"/>
    <w:rsid w:val="00E92460"/>
    <w:rsid w:val="00E92E62"/>
    <w:rsid w:val="00E93804"/>
    <w:rsid w:val="00E9429D"/>
    <w:rsid w:val="00E95434"/>
    <w:rsid w:val="00E958EE"/>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CC6"/>
    <w:rsid w:val="00EA63EF"/>
    <w:rsid w:val="00EB0A89"/>
    <w:rsid w:val="00EB1573"/>
    <w:rsid w:val="00EB1910"/>
    <w:rsid w:val="00EB2D83"/>
    <w:rsid w:val="00EB2E97"/>
    <w:rsid w:val="00EB3416"/>
    <w:rsid w:val="00EB3EAE"/>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DA3"/>
    <w:rsid w:val="00EC6014"/>
    <w:rsid w:val="00EC6656"/>
    <w:rsid w:val="00EC6B3E"/>
    <w:rsid w:val="00EC73DE"/>
    <w:rsid w:val="00EC7637"/>
    <w:rsid w:val="00EC7CF2"/>
    <w:rsid w:val="00ED046C"/>
    <w:rsid w:val="00ED053A"/>
    <w:rsid w:val="00ED1220"/>
    <w:rsid w:val="00ED15DF"/>
    <w:rsid w:val="00ED1F03"/>
    <w:rsid w:val="00ED1F98"/>
    <w:rsid w:val="00ED2043"/>
    <w:rsid w:val="00ED2932"/>
    <w:rsid w:val="00ED2D27"/>
    <w:rsid w:val="00ED3347"/>
    <w:rsid w:val="00ED3441"/>
    <w:rsid w:val="00ED3860"/>
    <w:rsid w:val="00ED3954"/>
    <w:rsid w:val="00ED43A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04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3968"/>
    <w:rsid w:val="00F3399B"/>
    <w:rsid w:val="00F33F4B"/>
    <w:rsid w:val="00F346ED"/>
    <w:rsid w:val="00F34945"/>
    <w:rsid w:val="00F34E1E"/>
    <w:rsid w:val="00F3570C"/>
    <w:rsid w:val="00F35919"/>
    <w:rsid w:val="00F363A4"/>
    <w:rsid w:val="00F36765"/>
    <w:rsid w:val="00F368FF"/>
    <w:rsid w:val="00F37068"/>
    <w:rsid w:val="00F37264"/>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7FE"/>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7BD"/>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2477"/>
    <w:rsid w:val="00FC28D0"/>
    <w:rsid w:val="00FC2AC4"/>
    <w:rsid w:val="00FC2CAC"/>
    <w:rsid w:val="00FC2F73"/>
    <w:rsid w:val="00FC2FBE"/>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E7C6C"/>
    <w:rsid w:val="00FF0050"/>
    <w:rsid w:val="00FF045F"/>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0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4A3EF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699241">
      <w:bodyDiv w:val="1"/>
      <w:marLeft w:val="0"/>
      <w:marRight w:val="0"/>
      <w:marTop w:val="0"/>
      <w:marBottom w:val="0"/>
      <w:divBdr>
        <w:top w:val="none" w:sz="0" w:space="0" w:color="auto"/>
        <w:left w:val="none" w:sz="0" w:space="0" w:color="auto"/>
        <w:bottom w:val="none" w:sz="0" w:space="0" w:color="auto"/>
        <w:right w:val="none" w:sz="0" w:space="0" w:color="auto"/>
      </w:divBdr>
      <w:divsChild>
        <w:div w:id="1226452165">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0501921">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0851745">
      <w:bodyDiv w:val="1"/>
      <w:marLeft w:val="0"/>
      <w:marRight w:val="0"/>
      <w:marTop w:val="0"/>
      <w:marBottom w:val="0"/>
      <w:divBdr>
        <w:top w:val="none" w:sz="0" w:space="0" w:color="auto"/>
        <w:left w:val="none" w:sz="0" w:space="0" w:color="auto"/>
        <w:bottom w:val="none" w:sz="0" w:space="0" w:color="auto"/>
        <w:right w:val="none" w:sz="0" w:space="0" w:color="auto"/>
      </w:divBdr>
      <w:divsChild>
        <w:div w:id="453595968">
          <w:marLeft w:val="0"/>
          <w:marRight w:val="0"/>
          <w:marTop w:val="0"/>
          <w:marBottom w:val="0"/>
          <w:divBdr>
            <w:top w:val="none" w:sz="0" w:space="0" w:color="auto"/>
            <w:left w:val="none" w:sz="0" w:space="0" w:color="auto"/>
            <w:bottom w:val="none" w:sz="0" w:space="0" w:color="auto"/>
            <w:right w:val="none" w:sz="0" w:space="0" w:color="auto"/>
          </w:divBdr>
        </w:div>
      </w:divsChild>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95739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EF7EA6E-C8BC-4286-B5B3-E355F83A4616}"/>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703</TotalTime>
  <Pages>19</Pages>
  <Words>7645</Words>
  <Characters>42048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811</cp:revision>
  <cp:lastPrinted>2020-01-30T15:05:00Z</cp:lastPrinted>
  <dcterms:created xsi:type="dcterms:W3CDTF">2021-02-09T23:20:00Z</dcterms:created>
  <dcterms:modified xsi:type="dcterms:W3CDTF">2021-04-07T20:44:00Z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