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26F4D" w14:textId="77777777" w:rsidR="000920F0" w:rsidRPr="00B83689" w:rsidRDefault="000920F0" w:rsidP="00F106B5">
      <w:pPr>
        <w:spacing w:line="276" w:lineRule="auto"/>
        <w:jc w:val="right"/>
        <w:rPr>
          <w:rFonts w:ascii="Arial" w:hAnsi="Arial" w:cs="Arial"/>
          <w:bCs/>
          <w:noProof/>
          <w:sz w:val="16"/>
          <w:szCs w:val="16"/>
          <w:lang w:val="es-ES_tradnl" w:eastAsia="es-ES"/>
        </w:rPr>
      </w:pPr>
      <w:bookmarkStart w:id="0" w:name="_Hlk28946138"/>
      <w:bookmarkStart w:id="1" w:name="_Hlk29548183"/>
      <w:bookmarkStart w:id="2" w:name="_Hlk29890381"/>
      <w:r w:rsidRPr="00295D8A">
        <w:rPr>
          <w:rFonts w:ascii="Arial" w:hAnsi="Arial" w:cs="Arial"/>
          <w:b/>
          <w:noProof/>
          <w:sz w:val="21"/>
          <w:szCs w:val="21"/>
          <w:lang w:val="es-ES_tradnl" w:eastAsia="es-ES"/>
        </w:rPr>
        <w:tab/>
      </w:r>
      <w:r w:rsidRPr="00B83689">
        <w:rPr>
          <w:rFonts w:ascii="Arial" w:hAnsi="Arial" w:cs="Arial"/>
          <w:bCs/>
          <w:noProof/>
          <w:sz w:val="16"/>
          <w:szCs w:val="16"/>
          <w:lang w:val="es-ES_tradnl" w:eastAsia="es-ES"/>
        </w:rPr>
        <w:t>CCE-DES-FM-17</w:t>
      </w:r>
    </w:p>
    <w:p w14:paraId="6EB4D096" w14:textId="77777777" w:rsidR="000920F0" w:rsidRPr="00295D8A" w:rsidRDefault="000920F0" w:rsidP="00F106B5">
      <w:pPr>
        <w:spacing w:line="276" w:lineRule="auto"/>
        <w:jc w:val="both"/>
        <w:rPr>
          <w:rFonts w:ascii="Arial" w:hAnsi="Arial" w:cs="Arial"/>
          <w:b/>
          <w:noProof/>
          <w:sz w:val="16"/>
          <w:szCs w:val="16"/>
          <w:lang w:val="es-ES_tradnl"/>
        </w:rPr>
      </w:pPr>
    </w:p>
    <w:p w14:paraId="7529BEF5" w14:textId="13E159A5" w:rsidR="006514AB" w:rsidRPr="002152C7" w:rsidRDefault="006514AB" w:rsidP="006514AB">
      <w:pPr>
        <w:jc w:val="both"/>
        <w:rPr>
          <w:rFonts w:ascii="Arial" w:hAnsi="Arial" w:cs="Arial"/>
          <w:b/>
          <w:sz w:val="22"/>
          <w:lang w:val="es-ES_tradnl"/>
        </w:rPr>
      </w:pPr>
      <w:bookmarkStart w:id="3" w:name="20"/>
      <w:r w:rsidRPr="002152C7">
        <w:rPr>
          <w:rFonts w:ascii="Arial" w:hAnsi="Arial" w:cs="Arial"/>
          <w:b/>
          <w:sz w:val="22"/>
          <w:lang w:val="es-ES_tradnl"/>
        </w:rPr>
        <w:t xml:space="preserve">ORGANISMOS INTERNACIONALES </w:t>
      </w:r>
      <w:bookmarkStart w:id="4" w:name="_Hlk39666823"/>
      <w:r w:rsidRPr="002152C7">
        <w:rPr>
          <w:rFonts w:ascii="Arial" w:hAnsi="Arial" w:cs="Arial"/>
          <w:b/>
          <w:color w:val="000000" w:themeColor="text1"/>
          <w:sz w:val="22"/>
          <w:lang w:val="es-ES_tradnl"/>
        </w:rPr>
        <w:t>–</w:t>
      </w:r>
      <w:bookmarkEnd w:id="4"/>
      <w:r w:rsidRPr="002152C7">
        <w:rPr>
          <w:rFonts w:ascii="Arial" w:hAnsi="Arial" w:cs="Arial"/>
          <w:b/>
          <w:sz w:val="22"/>
          <w:lang w:val="es-ES_tradnl"/>
        </w:rPr>
        <w:t xml:space="preserve"> </w:t>
      </w:r>
      <w:r w:rsidR="00D32994">
        <w:rPr>
          <w:rFonts w:ascii="Arial" w:hAnsi="Arial" w:cs="Arial"/>
          <w:b/>
          <w:sz w:val="22"/>
          <w:lang w:val="es-ES_tradnl"/>
        </w:rPr>
        <w:t xml:space="preserve">Noción – Restricciones  </w:t>
      </w:r>
    </w:p>
    <w:p w14:paraId="5D8FB15E" w14:textId="77777777" w:rsidR="006514AB" w:rsidRPr="002152C7" w:rsidRDefault="006514AB" w:rsidP="006514AB">
      <w:pPr>
        <w:jc w:val="both"/>
        <w:rPr>
          <w:rFonts w:ascii="Arial" w:hAnsi="Arial" w:cs="Arial"/>
          <w:sz w:val="20"/>
          <w:szCs w:val="20"/>
          <w:lang w:val="es-ES_tradnl"/>
        </w:rPr>
      </w:pPr>
    </w:p>
    <w:p w14:paraId="1BFDDCB2" w14:textId="77777777" w:rsidR="00D32994" w:rsidRDefault="006514AB" w:rsidP="006514AB">
      <w:pPr>
        <w:jc w:val="both"/>
        <w:rPr>
          <w:rFonts w:ascii="Arial" w:hAnsi="Arial" w:cs="Arial"/>
          <w:sz w:val="20"/>
          <w:szCs w:val="20"/>
          <w:lang w:val="es-ES_tradnl"/>
        </w:rPr>
      </w:pPr>
      <w:r w:rsidRPr="002152C7">
        <w:rPr>
          <w:rFonts w:ascii="Arial" w:hAnsi="Arial" w:cs="Arial"/>
          <w:sz w:val="20"/>
          <w:szCs w:val="20"/>
          <w:lang w:val="es-ES_tradnl"/>
        </w:rPr>
        <w:t>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 con el propósito de cumplir objetivos comunes entre los Estados miembros. Conforme a su naturaleza, los organismos internacionales están facultados para suscribir contratos o convenios con los Estados.</w:t>
      </w:r>
      <w:r w:rsidR="00D32994">
        <w:rPr>
          <w:rFonts w:ascii="Arial" w:hAnsi="Arial" w:cs="Arial"/>
          <w:sz w:val="20"/>
          <w:szCs w:val="20"/>
          <w:lang w:val="es-ES_tradnl"/>
        </w:rPr>
        <w:t xml:space="preserve"> </w:t>
      </w:r>
    </w:p>
    <w:p w14:paraId="5C073F9C" w14:textId="77777777" w:rsidR="00D32994" w:rsidRDefault="00D32994" w:rsidP="006514AB">
      <w:pPr>
        <w:jc w:val="both"/>
        <w:rPr>
          <w:rFonts w:ascii="Arial" w:hAnsi="Arial" w:cs="Arial"/>
          <w:sz w:val="20"/>
          <w:szCs w:val="20"/>
          <w:lang w:val="es-ES_tradnl"/>
        </w:rPr>
      </w:pPr>
    </w:p>
    <w:p w14:paraId="6C94406F" w14:textId="7508573A" w:rsidR="006514AB" w:rsidRPr="00D32994" w:rsidRDefault="00D32994" w:rsidP="006514AB">
      <w:pPr>
        <w:jc w:val="both"/>
        <w:rPr>
          <w:rFonts w:ascii="Arial" w:hAnsi="Arial" w:cs="Arial"/>
          <w:sz w:val="20"/>
          <w:szCs w:val="20"/>
          <w:lang w:val="es-ES_tradnl"/>
        </w:rPr>
      </w:pPr>
      <w:r w:rsidRPr="00D32994">
        <w:rPr>
          <w:rFonts w:ascii="Arial" w:hAnsi="Arial" w:cs="Arial"/>
          <w:sz w:val="20"/>
          <w:szCs w:val="20"/>
          <w:lang w:val="es-ES_tradnl"/>
        </w:rPr>
        <w:t>Para comprender el alcance del régimen aplicable a los contratos o convenios que se suscriban con organismos internacionales, de acuerdo a la financiación de los mismos, resulta necesario analizar el artículo 20 de la Ley 1150 de 2007</w:t>
      </w:r>
      <w:r w:rsidRPr="00D32994">
        <w:rPr>
          <w:sz w:val="20"/>
          <w:szCs w:val="20"/>
          <w:lang w:val="es-ES_tradnl"/>
        </w:rPr>
        <w:footnoteReference w:id="2"/>
      </w:r>
      <w:r w:rsidRPr="00D32994">
        <w:rPr>
          <w:rFonts w:ascii="Arial" w:hAnsi="Arial" w:cs="Arial"/>
          <w:sz w:val="20"/>
          <w:szCs w:val="20"/>
          <w:lang w:val="es-ES_tradnl"/>
        </w:rPr>
        <w:t>. De conformidad con este artículo, en lo que tiene que ver con el inciso primero,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w:t>
      </w:r>
    </w:p>
    <w:p w14:paraId="0E78C1A3" w14:textId="77777777" w:rsidR="006514AB" w:rsidRPr="002152C7" w:rsidRDefault="006514AB" w:rsidP="006514AB">
      <w:pPr>
        <w:spacing w:line="276" w:lineRule="auto"/>
        <w:jc w:val="both"/>
        <w:rPr>
          <w:rFonts w:ascii="Arial" w:hAnsi="Arial" w:cs="Arial"/>
          <w:noProof/>
          <w:color w:val="000000" w:themeColor="text1"/>
          <w:sz w:val="22"/>
          <w:lang w:val="es-ES_tradnl"/>
        </w:rPr>
      </w:pPr>
    </w:p>
    <w:bookmarkEnd w:id="3"/>
    <w:p w14:paraId="4F5AF378" w14:textId="55DC3C1C" w:rsidR="008F2DE8" w:rsidRDefault="008F2DE8" w:rsidP="0039355B">
      <w:pPr>
        <w:jc w:val="both"/>
        <w:rPr>
          <w:rFonts w:ascii="Arial" w:hAnsi="Arial" w:cs="Arial"/>
          <w:sz w:val="20"/>
          <w:szCs w:val="20"/>
          <w:lang w:val="es-ES"/>
        </w:rPr>
      </w:pPr>
    </w:p>
    <w:p w14:paraId="7CFADC81" w14:textId="1992E6B2" w:rsidR="00EF6F6B" w:rsidRDefault="00EF6F6B" w:rsidP="0039355B">
      <w:pPr>
        <w:jc w:val="both"/>
        <w:rPr>
          <w:rFonts w:ascii="Arial" w:hAnsi="Arial" w:cs="Arial"/>
          <w:sz w:val="20"/>
          <w:szCs w:val="20"/>
          <w:lang w:val="es-ES"/>
        </w:rPr>
      </w:pPr>
      <w:r w:rsidRPr="000E0A2F">
        <w:rPr>
          <w:rFonts w:ascii="Arial" w:hAnsi="Arial" w:cs="Arial"/>
          <w:b/>
          <w:bCs/>
          <w:sz w:val="22"/>
          <w:lang w:val="es-ES"/>
        </w:rPr>
        <w:t>CONTRATACIÓN CON ORGANISMOS INTERNACIONALES</w:t>
      </w:r>
      <w:r>
        <w:rPr>
          <w:rFonts w:ascii="Arial" w:hAnsi="Arial" w:cs="Arial"/>
          <w:b/>
          <w:bCs/>
          <w:sz w:val="22"/>
          <w:lang w:val="es-ES"/>
        </w:rPr>
        <w:t xml:space="preserve"> – Prohibición – Administración de recursos</w:t>
      </w:r>
    </w:p>
    <w:p w14:paraId="3A002FD2" w14:textId="77777777" w:rsidR="00EF6F6B" w:rsidRDefault="00EF6F6B" w:rsidP="0039355B">
      <w:pPr>
        <w:jc w:val="both"/>
        <w:rPr>
          <w:rFonts w:ascii="Arial" w:hAnsi="Arial" w:cs="Arial"/>
          <w:sz w:val="20"/>
          <w:szCs w:val="20"/>
          <w:lang w:val="es-ES"/>
        </w:rPr>
      </w:pPr>
    </w:p>
    <w:p w14:paraId="32352BEE" w14:textId="77777777" w:rsidR="00EF6F6B" w:rsidRPr="007C03E1" w:rsidRDefault="00EF6F6B" w:rsidP="007C03E1">
      <w:pPr>
        <w:jc w:val="both"/>
        <w:rPr>
          <w:rFonts w:ascii="Arial" w:hAnsi="Arial" w:cs="Arial"/>
          <w:sz w:val="20"/>
          <w:szCs w:val="20"/>
        </w:rPr>
      </w:pPr>
      <w:r w:rsidRPr="007C03E1">
        <w:rPr>
          <w:rFonts w:ascii="Arial" w:hAnsi="Arial" w:cs="Arial"/>
          <w:sz w:val="20"/>
          <w:szCs w:val="20"/>
        </w:rPr>
        <w:t>Para dar mayor claridad al alcance contenido en dicha restricción se debe explicar el sentido de la gestión de administrar o gerencia recursos y la de ejecutar materialmente un proyecto. En la gestión de administrar existe un compromiso que no va más allá de una obligación de intermediación en el manejo de dichos recursos; en tanto que, para la ejecución de un proyecto específico, existe una la obligación de obtener un resultado esperado, es decir, que quien recibe el recurso como contraprestación lo apropia, bajo el compromiso de ejecutar el proyecto, el logro de unos objetivos propuestos y llevar a cabo las actividades establecidas de manera previa. En este segundo evento, se ejecutan materialmente los recursos para la prestación de un servicio, la adquisición de bienes o la ejecución de obras; mientras que, como se indicó, la administración o gerencia de recursos implica contratar a un tercero para que utilice tales dineros para contratar a terceros que ejecutarán materialmente las actividades anteriores.</w:t>
      </w:r>
    </w:p>
    <w:p w14:paraId="52AC5B56" w14:textId="77777777" w:rsidR="009E201B" w:rsidRDefault="009E201B" w:rsidP="00EF6F6B">
      <w:pPr>
        <w:jc w:val="both"/>
        <w:rPr>
          <w:rFonts w:ascii="Arial" w:hAnsi="Arial" w:cs="Arial"/>
          <w:sz w:val="20"/>
          <w:szCs w:val="20"/>
        </w:rPr>
      </w:pPr>
    </w:p>
    <w:p w14:paraId="2A73A95D" w14:textId="368CCD4A" w:rsidR="00EF6F6B" w:rsidRPr="007C03E1" w:rsidRDefault="00EF6F6B" w:rsidP="00EF6F6B">
      <w:pPr>
        <w:jc w:val="both"/>
        <w:rPr>
          <w:rFonts w:ascii="Arial" w:hAnsi="Arial" w:cs="Arial"/>
          <w:sz w:val="20"/>
          <w:szCs w:val="20"/>
        </w:rPr>
      </w:pPr>
      <w:r w:rsidRPr="007C03E1">
        <w:rPr>
          <w:rFonts w:ascii="Arial" w:hAnsi="Arial" w:cs="Arial"/>
          <w:sz w:val="20"/>
          <w:szCs w:val="20"/>
        </w:rPr>
        <w:t>De acuerdo con la anterior precisión, la restricción contemplada en el inciso tercero del artículo 20 de la Ley 1150 de 2007, está encaminada a convenios suscritos con organismos internacionales en los cuales el objeto de dicho acuerdo se contemple una actividad de simple intermediación, es decir, de medio para la administración de los recursos de las entidades públicas, ya sean propios o los correspondientes a asignaciones de presupuesto público; es decir, que no implica la ejecución material del recurso con cargo a los resultados esperados para la ejecución de un proyecto que satisfaría la necesidad de la entidad estatal. En este sentido, los supuestos prohibidos por la disposición consisten en desarrollar una actividad meramente administrativa, que de contera podría decirse, elevaría los costos por comisiones de administración en que incurriría el organismo internacional con cargo a los recursos de la entidad estatal colombiana.</w:t>
      </w:r>
    </w:p>
    <w:p w14:paraId="5E03C680" w14:textId="77777777" w:rsidR="00F5289C" w:rsidRPr="00295D8A" w:rsidRDefault="00F5289C" w:rsidP="00C46F19">
      <w:pPr>
        <w:pStyle w:val="Default"/>
        <w:rPr>
          <w:color w:val="auto"/>
        </w:rPr>
      </w:pPr>
    </w:p>
    <w:p w14:paraId="786169C3" w14:textId="77777777" w:rsidR="000720AC" w:rsidRPr="00295D8A" w:rsidRDefault="000720AC" w:rsidP="00C46F19">
      <w:pPr>
        <w:pStyle w:val="Default"/>
        <w:rPr>
          <w:color w:val="auto"/>
        </w:rPr>
      </w:pPr>
    </w:p>
    <w:p w14:paraId="2A950C37" w14:textId="77777777" w:rsidR="00B32B7B" w:rsidRDefault="00B32B7B">
      <w:pPr>
        <w:spacing w:after="200" w:line="276" w:lineRule="auto"/>
        <w:rPr>
          <w:rFonts w:ascii="Arial" w:hAnsi="Arial" w:cs="Arial"/>
          <w:sz w:val="22"/>
          <w:szCs w:val="20"/>
        </w:rPr>
      </w:pPr>
      <w:r>
        <w:rPr>
          <w:rFonts w:ascii="Arial" w:hAnsi="Arial" w:cs="Arial"/>
          <w:sz w:val="22"/>
          <w:szCs w:val="20"/>
        </w:rPr>
        <w:br w:type="page"/>
      </w:r>
    </w:p>
    <w:p w14:paraId="734692E5" w14:textId="3B205ECE" w:rsidR="00C90033" w:rsidRPr="00E53F81" w:rsidRDefault="00C90033" w:rsidP="00C90033">
      <w:pPr>
        <w:spacing w:line="276" w:lineRule="auto"/>
        <w:rPr>
          <w:rFonts w:ascii="Arial" w:hAnsi="Arial" w:cs="Arial"/>
          <w:bCs/>
          <w:sz w:val="22"/>
          <w:szCs w:val="20"/>
          <w:lang w:val="es-CO"/>
        </w:rPr>
      </w:pPr>
      <w:r w:rsidRPr="00E53F81">
        <w:rPr>
          <w:rFonts w:ascii="Arial" w:hAnsi="Arial" w:cs="Arial"/>
          <w:sz w:val="22"/>
          <w:szCs w:val="20"/>
          <w:lang w:val="es-CO"/>
        </w:rPr>
        <w:lastRenderedPageBreak/>
        <w:t xml:space="preserve">Bogotá D.C., </w:t>
      </w:r>
      <w:r w:rsidR="00025B90">
        <w:rPr>
          <w:rFonts w:ascii="Arial" w:hAnsi="Arial" w:cs="Arial"/>
          <w:bCs/>
          <w:sz w:val="22"/>
          <w:szCs w:val="20"/>
          <w:lang w:val="es-CO"/>
        </w:rPr>
        <w:t>19 de enero de 2021</w:t>
      </w:r>
    </w:p>
    <w:p w14:paraId="78398E7C" w14:textId="5D2E026B" w:rsidR="00A457BC" w:rsidRPr="00295D8A" w:rsidRDefault="00C90033" w:rsidP="00C90033">
      <w:pPr>
        <w:jc w:val="right"/>
        <w:rPr>
          <w:rFonts w:ascii="Arial" w:hAnsi="Arial" w:cs="Arial"/>
          <w:sz w:val="22"/>
        </w:rPr>
      </w:pPr>
      <w:r w:rsidRPr="00295D8A">
        <w:rPr>
          <w:rFonts w:ascii="Arial" w:hAnsi="Arial" w:cs="Arial"/>
          <w:b/>
          <w:sz w:val="22"/>
          <w:szCs w:val="20"/>
        </w:rPr>
        <w:t xml:space="preserve">N° Radicado: </w:t>
      </w:r>
      <w:r w:rsidR="00025B90">
        <w:rPr>
          <w:rFonts w:ascii="Arial" w:hAnsi="Arial" w:cs="Arial"/>
          <w:b/>
          <w:sz w:val="22"/>
          <w:szCs w:val="20"/>
        </w:rPr>
        <w:t>RS20210119000267</w:t>
      </w:r>
    </w:p>
    <w:p w14:paraId="06C9ADFA" w14:textId="7867A51C" w:rsidR="000920F0" w:rsidRPr="00295D8A" w:rsidRDefault="000920F0" w:rsidP="00F106B5">
      <w:pPr>
        <w:tabs>
          <w:tab w:val="left" w:pos="3374"/>
        </w:tabs>
        <w:spacing w:line="276" w:lineRule="auto"/>
        <w:rPr>
          <w:rFonts w:ascii="Arial" w:hAnsi="Arial" w:cs="Arial"/>
          <w:noProof/>
          <w:sz w:val="22"/>
          <w:lang w:val="es-ES_tradnl"/>
        </w:rPr>
      </w:pPr>
    </w:p>
    <w:p w14:paraId="55FA24EE" w14:textId="77777777" w:rsidR="00597B94" w:rsidRPr="00295D8A" w:rsidRDefault="00597B94" w:rsidP="00F106B5">
      <w:pPr>
        <w:tabs>
          <w:tab w:val="left" w:pos="3374"/>
        </w:tabs>
        <w:spacing w:line="276" w:lineRule="auto"/>
        <w:rPr>
          <w:rFonts w:ascii="Arial" w:hAnsi="Arial" w:cs="Arial"/>
          <w:noProof/>
          <w:sz w:val="22"/>
          <w:lang w:val="es-ES_tradnl"/>
        </w:rPr>
      </w:pPr>
    </w:p>
    <w:p w14:paraId="5655AC15" w14:textId="2F430CB5" w:rsidR="00C15D32" w:rsidRPr="00295D8A" w:rsidRDefault="00C15D32" w:rsidP="00875A80">
      <w:pPr>
        <w:rPr>
          <w:rFonts w:ascii="Arial" w:hAnsi="Arial" w:cs="Arial"/>
          <w:bCs/>
          <w:noProof/>
          <w:sz w:val="22"/>
          <w:lang w:val="es-ES_tradnl"/>
        </w:rPr>
      </w:pPr>
      <w:r w:rsidRPr="00295D8A">
        <w:rPr>
          <w:rFonts w:ascii="Arial" w:hAnsi="Arial" w:cs="Arial"/>
          <w:bCs/>
          <w:noProof/>
          <w:sz w:val="22"/>
          <w:lang w:val="es-ES_tradnl"/>
        </w:rPr>
        <w:t>Señor</w:t>
      </w:r>
    </w:p>
    <w:p w14:paraId="71C338DE" w14:textId="77777777" w:rsidR="00D03D63" w:rsidRDefault="00D03D63" w:rsidP="00875A80">
      <w:pPr>
        <w:rPr>
          <w:rFonts w:ascii="Arial" w:hAnsi="Arial" w:cs="Arial"/>
          <w:b/>
          <w:noProof/>
          <w:sz w:val="22"/>
          <w:lang w:val="es-ES_tradnl"/>
        </w:rPr>
      </w:pPr>
      <w:r w:rsidRPr="00D03D63">
        <w:rPr>
          <w:rFonts w:ascii="Arial" w:hAnsi="Arial" w:cs="Arial"/>
          <w:b/>
          <w:noProof/>
          <w:sz w:val="22"/>
          <w:lang w:val="es-ES_tradnl"/>
        </w:rPr>
        <w:t xml:space="preserve">NILTON JAVIER CAICEDO VIDAL </w:t>
      </w:r>
    </w:p>
    <w:p w14:paraId="188163AF" w14:textId="5261172F" w:rsidR="000920F0" w:rsidRPr="00295D8A" w:rsidRDefault="00DE6469" w:rsidP="00875A80">
      <w:pPr>
        <w:rPr>
          <w:rFonts w:ascii="Arial" w:hAnsi="Arial" w:cs="Arial"/>
          <w:noProof/>
          <w:sz w:val="22"/>
          <w:lang w:val="es-ES_tradnl"/>
        </w:rPr>
      </w:pPr>
      <w:r w:rsidRPr="00295D8A">
        <w:rPr>
          <w:rFonts w:ascii="Arial" w:hAnsi="Arial" w:cs="Arial"/>
          <w:noProof/>
          <w:sz w:val="22"/>
          <w:lang w:val="es-ES_tradnl"/>
        </w:rPr>
        <w:t>Ciudad</w:t>
      </w:r>
    </w:p>
    <w:p w14:paraId="200CDA3A" w14:textId="281CB45F" w:rsidR="00597B94" w:rsidRPr="00295D8A" w:rsidRDefault="00597B94" w:rsidP="00597B94">
      <w:pPr>
        <w:rPr>
          <w:rFonts w:ascii="Arial" w:hAnsi="Arial" w:cs="Arial"/>
          <w:noProof/>
          <w:sz w:val="22"/>
          <w:lang w:val="es-ES_tradnl"/>
        </w:rPr>
      </w:pPr>
    </w:p>
    <w:p w14:paraId="7040570F" w14:textId="77777777" w:rsidR="00597B94" w:rsidRPr="00295D8A" w:rsidRDefault="00597B94" w:rsidP="00597B94">
      <w:pPr>
        <w:rPr>
          <w:rFonts w:ascii="Arial" w:hAnsi="Arial" w:cs="Arial"/>
          <w:noProof/>
          <w:sz w:val="22"/>
          <w:lang w:val="es-ES_tradnl"/>
        </w:rPr>
      </w:pPr>
    </w:p>
    <w:p w14:paraId="36D9E2A1" w14:textId="71BD2481" w:rsidR="000920F0" w:rsidRPr="00295D8A" w:rsidRDefault="00597B94" w:rsidP="00A33107">
      <w:pPr>
        <w:rPr>
          <w:rFonts w:ascii="Arial" w:hAnsi="Arial" w:cs="Arial"/>
          <w:b/>
          <w:noProof/>
          <w:sz w:val="22"/>
          <w:lang w:val="es-ES_tradnl"/>
        </w:rPr>
      </w:pPr>
      <w:r w:rsidRPr="00295D8A">
        <w:rPr>
          <w:rFonts w:ascii="Arial" w:hAnsi="Arial" w:cs="Arial"/>
          <w:b/>
          <w:noProof/>
          <w:sz w:val="22"/>
          <w:lang w:val="es-ES_tradnl"/>
        </w:rPr>
        <w:t xml:space="preserve">                                            </w:t>
      </w:r>
      <w:r w:rsidR="000920F0" w:rsidRPr="00295D8A">
        <w:rPr>
          <w:rFonts w:ascii="Arial" w:hAnsi="Arial" w:cs="Arial"/>
          <w:b/>
          <w:noProof/>
          <w:sz w:val="22"/>
          <w:lang w:val="es-ES_tradnl"/>
        </w:rPr>
        <w:t xml:space="preserve">Concepto C </w:t>
      </w:r>
      <w:r w:rsidR="007F6877" w:rsidRPr="00295D8A">
        <w:rPr>
          <w:rFonts w:ascii="Arial" w:hAnsi="Arial" w:cs="Arial"/>
          <w:b/>
          <w:noProof/>
          <w:sz w:val="22"/>
          <w:lang w:val="es-ES_tradnl"/>
        </w:rPr>
        <w:t>–</w:t>
      </w:r>
      <w:r w:rsidR="000920F0" w:rsidRPr="00295D8A">
        <w:rPr>
          <w:rFonts w:ascii="Arial" w:hAnsi="Arial" w:cs="Arial"/>
          <w:b/>
          <w:noProof/>
          <w:sz w:val="22"/>
          <w:lang w:val="es-ES_tradnl"/>
        </w:rPr>
        <w:t xml:space="preserve"> </w:t>
      </w:r>
      <w:r w:rsidR="00D03D63">
        <w:rPr>
          <w:rFonts w:ascii="Arial" w:hAnsi="Arial" w:cs="Arial"/>
          <w:b/>
          <w:noProof/>
          <w:sz w:val="22"/>
          <w:lang w:val="es-ES_tradnl"/>
        </w:rPr>
        <w:t>781</w:t>
      </w:r>
      <w:r w:rsidR="00D27700" w:rsidRPr="00295D8A">
        <w:rPr>
          <w:rFonts w:ascii="Arial" w:hAnsi="Arial" w:cs="Arial"/>
          <w:b/>
          <w:noProof/>
          <w:sz w:val="22"/>
          <w:lang w:val="es-ES_tradnl"/>
        </w:rPr>
        <w:t xml:space="preserve"> </w:t>
      </w:r>
      <w:r w:rsidR="000920F0" w:rsidRPr="00295D8A">
        <w:rPr>
          <w:rFonts w:ascii="Arial" w:hAnsi="Arial" w:cs="Arial"/>
          <w:b/>
          <w:noProof/>
          <w:sz w:val="22"/>
          <w:lang w:val="es-ES_tradnl"/>
        </w:rPr>
        <w:t>de 2020</w:t>
      </w:r>
    </w:p>
    <w:p w14:paraId="5FD7FADA" w14:textId="77777777" w:rsidR="000920F0" w:rsidRPr="00295D8A" w:rsidRDefault="000920F0" w:rsidP="00875A80">
      <w:pPr>
        <w:rPr>
          <w:rFonts w:ascii="Arial" w:hAnsi="Arial" w:cs="Arial"/>
          <w:noProof/>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5D8A" w:rsidRPr="00295D8A" w14:paraId="16CF89C4" w14:textId="77777777" w:rsidTr="0041420E">
        <w:trPr>
          <w:trHeight w:val="591"/>
        </w:trPr>
        <w:tc>
          <w:tcPr>
            <w:tcW w:w="2689" w:type="dxa"/>
            <w:hideMark/>
          </w:tcPr>
          <w:p w14:paraId="76A5E400" w14:textId="4F5E41B5" w:rsidR="000920F0" w:rsidRPr="00295D8A" w:rsidRDefault="000920F0" w:rsidP="0041420E">
            <w:pPr>
              <w:rPr>
                <w:rFonts w:ascii="Arial" w:hAnsi="Arial" w:cs="Arial"/>
                <w:noProof/>
                <w:sz w:val="22"/>
                <w:lang w:val="es-ES_tradnl"/>
              </w:rPr>
            </w:pPr>
            <w:r w:rsidRPr="00295D8A">
              <w:rPr>
                <w:rFonts w:ascii="Arial" w:hAnsi="Arial" w:cs="Arial"/>
                <w:b/>
                <w:noProof/>
                <w:sz w:val="22"/>
                <w:lang w:val="es-ES_tradnl"/>
              </w:rPr>
              <w:t>Temas:</w:t>
            </w:r>
            <w:r w:rsidRPr="00295D8A">
              <w:rPr>
                <w:rFonts w:ascii="Arial" w:hAnsi="Arial" w:cs="Arial"/>
                <w:noProof/>
                <w:sz w:val="22"/>
                <w:lang w:val="es-ES_tradnl"/>
              </w:rPr>
              <w:t xml:space="preserve">        </w:t>
            </w:r>
          </w:p>
        </w:tc>
        <w:tc>
          <w:tcPr>
            <w:tcW w:w="6237" w:type="dxa"/>
            <w:hideMark/>
          </w:tcPr>
          <w:p w14:paraId="41A46658" w14:textId="77777777" w:rsidR="00EF6F6B" w:rsidRPr="00EF6F6B" w:rsidRDefault="00D03D63" w:rsidP="00EF6F6B">
            <w:pPr>
              <w:jc w:val="both"/>
              <w:rPr>
                <w:rFonts w:ascii="Arial" w:hAnsi="Arial" w:cs="Arial"/>
                <w:sz w:val="20"/>
                <w:szCs w:val="20"/>
                <w:lang w:val="es-ES"/>
              </w:rPr>
            </w:pPr>
            <w:r w:rsidRPr="00D03D63">
              <w:rPr>
                <w:rFonts w:ascii="Arial" w:hAnsi="Arial" w:cs="Arial"/>
                <w:noProof/>
                <w:sz w:val="22"/>
                <w:lang w:val="es-ES_tradnl"/>
              </w:rPr>
              <w:t>CONTRATACIÓN CON ORGANISMOS INTERNACIONALES – Noción – Restricciones</w:t>
            </w:r>
            <w:r w:rsidR="00EF6F6B">
              <w:rPr>
                <w:rFonts w:ascii="Arial" w:hAnsi="Arial" w:cs="Arial"/>
                <w:noProof/>
                <w:sz w:val="22"/>
                <w:lang w:val="es-ES_tradnl"/>
              </w:rPr>
              <w:t xml:space="preserve"> </w:t>
            </w:r>
            <w:r w:rsidR="00EF6F6B" w:rsidRPr="00EF6F6B">
              <w:rPr>
                <w:rFonts w:ascii="Arial" w:hAnsi="Arial" w:cs="Arial"/>
                <w:noProof/>
                <w:sz w:val="22"/>
                <w:lang w:val="es-ES_tradnl"/>
              </w:rPr>
              <w:t xml:space="preserve">/ </w:t>
            </w:r>
            <w:r w:rsidR="00EF6F6B" w:rsidRPr="007C03E1">
              <w:rPr>
                <w:rFonts w:ascii="Arial" w:hAnsi="Arial" w:cs="Arial"/>
                <w:sz w:val="22"/>
                <w:lang w:val="es-ES"/>
              </w:rPr>
              <w:t>CONTRATACIÓN CON ORGANISMOS INTERNACIONALES – Prohibición – Administración de recursos</w:t>
            </w:r>
          </w:p>
          <w:p w14:paraId="5528BC60" w14:textId="5AF726DE" w:rsidR="000920F0" w:rsidRPr="00295D8A" w:rsidRDefault="000920F0" w:rsidP="00A33107">
            <w:pPr>
              <w:pStyle w:val="Prrafodelista"/>
              <w:spacing w:after="120"/>
              <w:ind w:left="0"/>
              <w:jc w:val="both"/>
              <w:rPr>
                <w:rFonts w:ascii="Arial" w:hAnsi="Arial" w:cs="Arial"/>
                <w:b/>
                <w:bCs/>
                <w:noProof/>
                <w:sz w:val="22"/>
                <w:highlight w:val="yellow"/>
                <w:lang w:val="es-ES_tradnl"/>
              </w:rPr>
            </w:pPr>
          </w:p>
        </w:tc>
      </w:tr>
      <w:tr w:rsidR="00295D8A" w:rsidRPr="00295D8A" w14:paraId="5C0B4203" w14:textId="77777777" w:rsidTr="0041420E">
        <w:tc>
          <w:tcPr>
            <w:tcW w:w="2689" w:type="dxa"/>
          </w:tcPr>
          <w:p w14:paraId="32E4E458" w14:textId="77777777" w:rsidR="000920F0" w:rsidRPr="00295D8A" w:rsidRDefault="000920F0" w:rsidP="0041420E">
            <w:pPr>
              <w:rPr>
                <w:rFonts w:ascii="Arial" w:hAnsi="Arial" w:cs="Arial"/>
                <w:b/>
                <w:noProof/>
                <w:sz w:val="22"/>
                <w:lang w:val="es-ES_tradnl"/>
              </w:rPr>
            </w:pPr>
            <w:r w:rsidRPr="00295D8A">
              <w:rPr>
                <w:rFonts w:ascii="Arial" w:hAnsi="Arial" w:cs="Arial"/>
                <w:b/>
                <w:noProof/>
                <w:sz w:val="22"/>
                <w:lang w:val="es-ES_tradnl"/>
              </w:rPr>
              <w:t>Radicación:</w:t>
            </w:r>
            <w:r w:rsidRPr="00295D8A">
              <w:rPr>
                <w:rFonts w:ascii="Arial" w:hAnsi="Arial" w:cs="Arial"/>
                <w:noProof/>
                <w:sz w:val="22"/>
                <w:lang w:val="es-ES_tradnl"/>
              </w:rPr>
              <w:t xml:space="preserve">                              </w:t>
            </w:r>
          </w:p>
        </w:tc>
        <w:tc>
          <w:tcPr>
            <w:tcW w:w="6237" w:type="dxa"/>
          </w:tcPr>
          <w:p w14:paraId="1218CA08" w14:textId="56313A26" w:rsidR="000920F0" w:rsidRPr="00295D8A" w:rsidRDefault="000920F0" w:rsidP="0041420E">
            <w:pPr>
              <w:jc w:val="both"/>
              <w:rPr>
                <w:rFonts w:ascii="Arial" w:hAnsi="Arial" w:cs="Arial"/>
                <w:noProof/>
                <w:sz w:val="22"/>
                <w:lang w:val="es-ES_tradnl"/>
              </w:rPr>
            </w:pPr>
            <w:r w:rsidRPr="00295D8A">
              <w:rPr>
                <w:rFonts w:ascii="Arial" w:hAnsi="Arial" w:cs="Arial"/>
                <w:noProof/>
                <w:sz w:val="22"/>
                <w:lang w:val="es-ES_tradnl"/>
              </w:rPr>
              <w:t>Respuesta a consulta</w:t>
            </w:r>
            <w:r w:rsidR="00EC35C7" w:rsidRPr="00295D8A">
              <w:rPr>
                <w:rFonts w:ascii="Arial" w:hAnsi="Arial" w:cs="Arial"/>
                <w:noProof/>
                <w:sz w:val="22"/>
                <w:lang w:val="es-ES_tradnl"/>
              </w:rPr>
              <w:t xml:space="preserve"> </w:t>
            </w:r>
            <w:r w:rsidRPr="00295D8A">
              <w:rPr>
                <w:rFonts w:ascii="Arial" w:hAnsi="Arial" w:cs="Arial"/>
                <w:noProof/>
                <w:sz w:val="22"/>
                <w:lang w:val="es-ES_tradnl"/>
              </w:rPr>
              <w:t xml:space="preserve"># </w:t>
            </w:r>
            <w:r w:rsidR="00D03D63" w:rsidRPr="00D03D63">
              <w:rPr>
                <w:rFonts w:ascii="Arial" w:hAnsi="Arial" w:cs="Arial"/>
                <w:noProof/>
                <w:sz w:val="22"/>
                <w:lang w:val="es-ES_tradnl"/>
              </w:rPr>
              <w:t>P20201202000336</w:t>
            </w:r>
          </w:p>
        </w:tc>
      </w:tr>
    </w:tbl>
    <w:p w14:paraId="36F05444" w14:textId="77777777" w:rsidR="000920F0" w:rsidRPr="00295D8A" w:rsidRDefault="000920F0" w:rsidP="00875A80">
      <w:pPr>
        <w:jc w:val="both"/>
        <w:rPr>
          <w:rFonts w:ascii="Arial" w:hAnsi="Arial" w:cs="Arial"/>
          <w:noProof/>
          <w:sz w:val="22"/>
          <w:lang w:val="es-ES_tradnl"/>
        </w:rPr>
      </w:pPr>
    </w:p>
    <w:p w14:paraId="3CDD931D" w14:textId="77777777" w:rsidR="000920F0" w:rsidRPr="00295D8A" w:rsidRDefault="000920F0" w:rsidP="00875A80">
      <w:pPr>
        <w:rPr>
          <w:rFonts w:ascii="Arial" w:hAnsi="Arial" w:cs="Arial"/>
          <w:noProof/>
          <w:sz w:val="22"/>
          <w:lang w:val="es-ES_tradnl"/>
        </w:rPr>
      </w:pPr>
    </w:p>
    <w:p w14:paraId="1B619448" w14:textId="3A4B5AEA" w:rsidR="000920F0" w:rsidRPr="00295D8A" w:rsidRDefault="00C15D32" w:rsidP="00875A80">
      <w:pPr>
        <w:rPr>
          <w:rFonts w:ascii="Arial" w:hAnsi="Arial" w:cs="Arial"/>
          <w:noProof/>
          <w:sz w:val="22"/>
          <w:lang w:val="es-ES_tradnl"/>
        </w:rPr>
      </w:pPr>
      <w:r w:rsidRPr="00295D8A">
        <w:rPr>
          <w:rFonts w:ascii="Arial" w:hAnsi="Arial" w:cs="Arial"/>
          <w:noProof/>
          <w:sz w:val="22"/>
          <w:lang w:val="es-ES_tradnl"/>
        </w:rPr>
        <w:t>Estimad</w:t>
      </w:r>
      <w:r w:rsidR="00903673">
        <w:rPr>
          <w:rFonts w:ascii="Arial" w:hAnsi="Arial" w:cs="Arial"/>
          <w:noProof/>
          <w:sz w:val="22"/>
          <w:lang w:val="es-ES_tradnl"/>
        </w:rPr>
        <w:t>o</w:t>
      </w:r>
      <w:r w:rsidRPr="00295D8A">
        <w:rPr>
          <w:rFonts w:ascii="Arial" w:hAnsi="Arial" w:cs="Arial"/>
          <w:noProof/>
          <w:sz w:val="22"/>
          <w:lang w:val="es-ES_tradnl"/>
        </w:rPr>
        <w:t xml:space="preserve"> </w:t>
      </w:r>
      <w:r w:rsidR="005A2B7F" w:rsidRPr="00295D8A">
        <w:rPr>
          <w:rFonts w:ascii="Arial" w:hAnsi="Arial" w:cs="Arial"/>
          <w:noProof/>
          <w:sz w:val="22"/>
          <w:lang w:val="es-ES_tradnl"/>
        </w:rPr>
        <w:t>seño</w:t>
      </w:r>
      <w:r w:rsidR="00D03D63">
        <w:rPr>
          <w:rFonts w:ascii="Arial" w:hAnsi="Arial" w:cs="Arial"/>
          <w:noProof/>
          <w:sz w:val="22"/>
          <w:lang w:val="es-ES_tradnl"/>
        </w:rPr>
        <w:t>r Caicedo</w:t>
      </w:r>
      <w:r w:rsidRPr="00295D8A">
        <w:rPr>
          <w:rFonts w:ascii="Arial" w:hAnsi="Arial" w:cs="Arial"/>
          <w:noProof/>
          <w:sz w:val="22"/>
          <w:lang w:val="es-ES_tradnl"/>
        </w:rPr>
        <w:t>,</w:t>
      </w:r>
    </w:p>
    <w:p w14:paraId="09825258" w14:textId="77777777" w:rsidR="000920F0" w:rsidRPr="00295D8A" w:rsidRDefault="000920F0" w:rsidP="00F106B5">
      <w:pPr>
        <w:spacing w:line="276" w:lineRule="auto"/>
        <w:rPr>
          <w:rFonts w:ascii="Arial" w:hAnsi="Arial" w:cs="Arial"/>
          <w:noProof/>
          <w:sz w:val="22"/>
          <w:lang w:val="es-ES_tradnl"/>
        </w:rPr>
      </w:pPr>
    </w:p>
    <w:p w14:paraId="1941402D" w14:textId="77EB90B5" w:rsidR="004B7D75" w:rsidRPr="00295D8A" w:rsidRDefault="004B7D75" w:rsidP="004B7D75">
      <w:pPr>
        <w:spacing w:line="276" w:lineRule="auto"/>
        <w:jc w:val="both"/>
        <w:rPr>
          <w:rFonts w:ascii="Arial" w:hAnsi="Arial" w:cs="Arial"/>
          <w:sz w:val="22"/>
        </w:rPr>
      </w:pPr>
      <w:r w:rsidRPr="00295D8A">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F05F5A">
        <w:rPr>
          <w:rFonts w:ascii="Arial" w:hAnsi="Arial" w:cs="Arial"/>
          <w:sz w:val="22"/>
        </w:rPr>
        <w:t>2</w:t>
      </w:r>
      <w:r w:rsidRPr="00295D8A">
        <w:rPr>
          <w:rFonts w:ascii="Arial" w:hAnsi="Arial" w:cs="Arial"/>
          <w:sz w:val="22"/>
        </w:rPr>
        <w:t xml:space="preserve"> de</w:t>
      </w:r>
      <w:r w:rsidR="00F05F5A">
        <w:rPr>
          <w:rFonts w:ascii="Arial" w:hAnsi="Arial" w:cs="Arial"/>
          <w:sz w:val="22"/>
        </w:rPr>
        <w:t xml:space="preserve"> diciembre</w:t>
      </w:r>
      <w:r w:rsidR="00F05F5A" w:rsidRPr="00295D8A">
        <w:rPr>
          <w:rFonts w:ascii="Arial" w:hAnsi="Arial" w:cs="Arial"/>
          <w:sz w:val="22"/>
        </w:rPr>
        <w:t xml:space="preserve"> </w:t>
      </w:r>
      <w:r w:rsidRPr="00295D8A">
        <w:rPr>
          <w:rFonts w:ascii="Arial" w:hAnsi="Arial" w:cs="Arial"/>
          <w:sz w:val="22"/>
        </w:rPr>
        <w:t xml:space="preserve">del año 2020. </w:t>
      </w:r>
    </w:p>
    <w:p w14:paraId="28C2ECB0" w14:textId="77777777" w:rsidR="000920F0" w:rsidRPr="00295D8A" w:rsidRDefault="000920F0" w:rsidP="00F106B5">
      <w:pPr>
        <w:tabs>
          <w:tab w:val="left" w:pos="426"/>
        </w:tabs>
        <w:spacing w:line="276" w:lineRule="auto"/>
        <w:jc w:val="both"/>
        <w:rPr>
          <w:rFonts w:ascii="Arial" w:hAnsi="Arial" w:cs="Arial"/>
          <w:noProof/>
          <w:sz w:val="22"/>
          <w:lang w:val="es-ES_tradnl"/>
        </w:rPr>
      </w:pPr>
    </w:p>
    <w:p w14:paraId="58FEF0FB" w14:textId="47041351" w:rsidR="000920F0" w:rsidRPr="00295D8A" w:rsidRDefault="00317242" w:rsidP="00F106B5">
      <w:pPr>
        <w:pStyle w:val="Prrafodelista"/>
        <w:tabs>
          <w:tab w:val="left" w:pos="284"/>
        </w:tabs>
        <w:spacing w:line="276" w:lineRule="auto"/>
        <w:ind w:left="0"/>
        <w:jc w:val="both"/>
        <w:rPr>
          <w:rFonts w:ascii="Arial" w:eastAsia="Calibri" w:hAnsi="Arial" w:cs="Arial"/>
          <w:b/>
          <w:noProof/>
          <w:sz w:val="22"/>
          <w:lang w:val="es-ES_tradnl"/>
        </w:rPr>
      </w:pPr>
      <w:bookmarkStart w:id="5" w:name="_Hlk50978304"/>
      <w:r w:rsidRPr="00295D8A">
        <w:rPr>
          <w:rFonts w:ascii="Arial" w:eastAsia="Calibri" w:hAnsi="Arial" w:cs="Arial"/>
          <w:b/>
          <w:noProof/>
          <w:sz w:val="22"/>
          <w:lang w:val="es-ES_tradnl"/>
        </w:rPr>
        <w:t xml:space="preserve">1. </w:t>
      </w:r>
      <w:r w:rsidR="000920F0" w:rsidRPr="00295D8A">
        <w:rPr>
          <w:rFonts w:ascii="Arial" w:eastAsia="Calibri" w:hAnsi="Arial" w:cs="Arial"/>
          <w:b/>
          <w:noProof/>
          <w:sz w:val="22"/>
          <w:lang w:val="es-ES_tradnl"/>
        </w:rPr>
        <w:t>Problema planteado</w:t>
      </w:r>
    </w:p>
    <w:p w14:paraId="476FAD3E" w14:textId="30ED6726" w:rsidR="000920F0" w:rsidRPr="00295D8A" w:rsidRDefault="000920F0" w:rsidP="00F106B5">
      <w:pPr>
        <w:tabs>
          <w:tab w:val="left" w:pos="426"/>
        </w:tabs>
        <w:spacing w:line="276" w:lineRule="auto"/>
        <w:jc w:val="both"/>
        <w:rPr>
          <w:rFonts w:ascii="Arial" w:hAnsi="Arial" w:cs="Arial"/>
          <w:b/>
          <w:noProof/>
          <w:sz w:val="22"/>
          <w:lang w:val="es-ES_tradnl"/>
        </w:rPr>
      </w:pPr>
    </w:p>
    <w:p w14:paraId="1E4E2AE9" w14:textId="19D84089" w:rsidR="00AD5641" w:rsidRDefault="000920F0" w:rsidP="00BD27AE">
      <w:pPr>
        <w:tabs>
          <w:tab w:val="left" w:pos="426"/>
        </w:tabs>
        <w:spacing w:line="276" w:lineRule="auto"/>
        <w:jc w:val="both"/>
        <w:rPr>
          <w:rFonts w:ascii="Arial" w:hAnsi="Arial" w:cs="Arial"/>
          <w:noProof/>
          <w:sz w:val="22"/>
          <w:lang w:val="es-ES_tradnl"/>
        </w:rPr>
      </w:pPr>
      <w:r w:rsidRPr="00295D8A">
        <w:rPr>
          <w:rFonts w:ascii="Arial" w:hAnsi="Arial" w:cs="Arial"/>
          <w:noProof/>
          <w:sz w:val="22"/>
          <w:lang w:val="es-ES_tradnl"/>
        </w:rPr>
        <w:t xml:space="preserve">Usted </w:t>
      </w:r>
      <w:r w:rsidR="00D3720F" w:rsidRPr="00295D8A">
        <w:rPr>
          <w:rFonts w:ascii="Arial" w:hAnsi="Arial" w:cs="Arial"/>
          <w:noProof/>
          <w:sz w:val="22"/>
          <w:lang w:val="es-ES_tradnl"/>
        </w:rPr>
        <w:t>formuló</w:t>
      </w:r>
      <w:r w:rsidRPr="00295D8A">
        <w:rPr>
          <w:rFonts w:ascii="Arial" w:hAnsi="Arial" w:cs="Arial"/>
          <w:noProof/>
          <w:sz w:val="22"/>
          <w:lang w:val="es-ES_tradnl"/>
        </w:rPr>
        <w:t xml:space="preserve"> la siguiente </w:t>
      </w:r>
      <w:r w:rsidR="00EB66DA" w:rsidRPr="00295D8A">
        <w:rPr>
          <w:rFonts w:ascii="Arial" w:hAnsi="Arial" w:cs="Arial"/>
          <w:noProof/>
          <w:sz w:val="22"/>
          <w:lang w:val="es-ES_tradnl"/>
        </w:rPr>
        <w:t>pregunta</w:t>
      </w:r>
      <w:r w:rsidRPr="00295D8A">
        <w:rPr>
          <w:rFonts w:ascii="Arial" w:hAnsi="Arial" w:cs="Arial"/>
          <w:noProof/>
          <w:sz w:val="22"/>
          <w:lang w:val="es-ES_tradnl"/>
        </w:rPr>
        <w:t xml:space="preserve">: </w:t>
      </w:r>
      <w:r w:rsidR="000D2573" w:rsidRPr="00295D8A">
        <w:rPr>
          <w:rFonts w:ascii="Arial" w:hAnsi="Arial" w:cs="Arial"/>
          <w:noProof/>
          <w:sz w:val="22"/>
          <w:lang w:val="es-ES_tradnl"/>
        </w:rPr>
        <w:t>«</w:t>
      </w:r>
      <w:bookmarkEnd w:id="5"/>
      <w:r w:rsidR="00BD27AE" w:rsidRPr="00BD27AE">
        <w:rPr>
          <w:rFonts w:ascii="Arial" w:hAnsi="Arial" w:cs="Arial"/>
          <w:noProof/>
          <w:sz w:val="22"/>
          <w:lang w:val="es-ES_tradnl"/>
        </w:rPr>
        <w:t>¿Cuál es el alcance de la prohibición contenida en el inciso 3 del artículo 20 de la Ley 1150 de 2007 "Las entidades estatales no podrán celebrar contratos o convenios para la administración o gerencia de sus recursos propios o de aquellos que les asignen los presupuestos públicos, con organismos de cooperación, asistencia o ayuda internacional"?</w:t>
      </w:r>
      <w:r w:rsidR="00B32B7B">
        <w:rPr>
          <w:rFonts w:ascii="Arial" w:hAnsi="Arial" w:cs="Arial"/>
          <w:noProof/>
          <w:sz w:val="22"/>
          <w:lang w:val="es-ES_tradnl"/>
        </w:rPr>
        <w:t>».</w:t>
      </w:r>
    </w:p>
    <w:p w14:paraId="79A1BA1E" w14:textId="77777777" w:rsidR="00BD27AE" w:rsidRPr="00295D8A" w:rsidRDefault="00BD27AE" w:rsidP="00BD27AE">
      <w:pPr>
        <w:tabs>
          <w:tab w:val="left" w:pos="426"/>
        </w:tabs>
        <w:spacing w:line="276" w:lineRule="auto"/>
        <w:jc w:val="both"/>
        <w:rPr>
          <w:rFonts w:ascii="Arial" w:hAnsi="Arial" w:cs="Arial"/>
          <w:noProof/>
          <w:sz w:val="22"/>
          <w:lang w:val="es-ES_tradnl"/>
        </w:rPr>
      </w:pPr>
    </w:p>
    <w:p w14:paraId="79882F8B" w14:textId="77777777" w:rsidR="000920F0" w:rsidRPr="00295D8A" w:rsidRDefault="000920F0" w:rsidP="00F106B5">
      <w:pPr>
        <w:tabs>
          <w:tab w:val="left" w:pos="426"/>
        </w:tabs>
        <w:spacing w:line="276" w:lineRule="auto"/>
        <w:jc w:val="both"/>
        <w:rPr>
          <w:rFonts w:ascii="Arial" w:hAnsi="Arial" w:cs="Arial"/>
          <w:b/>
          <w:noProof/>
          <w:sz w:val="22"/>
          <w:lang w:val="es-ES_tradnl"/>
        </w:rPr>
      </w:pPr>
      <w:r w:rsidRPr="00295D8A">
        <w:rPr>
          <w:rFonts w:ascii="Arial" w:hAnsi="Arial" w:cs="Arial"/>
          <w:b/>
          <w:noProof/>
          <w:sz w:val="22"/>
          <w:lang w:val="es-ES_tradnl"/>
        </w:rPr>
        <w:t>2. Consideraciones</w:t>
      </w:r>
    </w:p>
    <w:bookmarkEnd w:id="0"/>
    <w:bookmarkEnd w:id="1"/>
    <w:p w14:paraId="7894E838" w14:textId="77777777" w:rsidR="000920F0" w:rsidRPr="00295D8A" w:rsidRDefault="000920F0" w:rsidP="00F106B5">
      <w:pPr>
        <w:spacing w:line="276" w:lineRule="auto"/>
        <w:jc w:val="both"/>
        <w:rPr>
          <w:rFonts w:ascii="Arial" w:hAnsi="Arial" w:cs="Arial"/>
          <w:noProof/>
          <w:sz w:val="22"/>
          <w:lang w:val="es-ES_tradnl"/>
        </w:rPr>
      </w:pPr>
    </w:p>
    <w:p w14:paraId="6FB7DC94" w14:textId="4DC903BE" w:rsidR="004B645B" w:rsidRPr="00373E13" w:rsidRDefault="000920F0" w:rsidP="00373E13">
      <w:pPr>
        <w:spacing w:line="276" w:lineRule="auto"/>
        <w:jc w:val="both"/>
        <w:rPr>
          <w:rFonts w:ascii="Arial" w:hAnsi="Arial" w:cs="Arial"/>
          <w:noProof/>
          <w:sz w:val="22"/>
          <w:lang w:val="es-ES_tradnl"/>
        </w:rPr>
      </w:pPr>
      <w:r w:rsidRPr="00373E13">
        <w:rPr>
          <w:rFonts w:ascii="Arial" w:hAnsi="Arial" w:cs="Arial"/>
          <w:noProof/>
          <w:sz w:val="22"/>
          <w:lang w:val="es-ES_tradnl"/>
        </w:rPr>
        <w:t>Para resolver esta consulta se an</w:t>
      </w:r>
      <w:r w:rsidR="00AE7CA2" w:rsidRPr="00373E13">
        <w:rPr>
          <w:rFonts w:ascii="Arial" w:hAnsi="Arial" w:cs="Arial"/>
          <w:noProof/>
          <w:sz w:val="22"/>
          <w:lang w:val="es-ES_tradnl"/>
        </w:rPr>
        <w:t>a</w:t>
      </w:r>
      <w:r w:rsidRPr="00373E13">
        <w:rPr>
          <w:rFonts w:ascii="Arial" w:hAnsi="Arial" w:cs="Arial"/>
          <w:noProof/>
          <w:sz w:val="22"/>
          <w:lang w:val="es-ES_tradnl"/>
        </w:rPr>
        <w:t>li</w:t>
      </w:r>
      <w:r w:rsidR="00AE7CA2" w:rsidRPr="00373E13">
        <w:rPr>
          <w:rFonts w:ascii="Arial" w:hAnsi="Arial" w:cs="Arial"/>
          <w:noProof/>
          <w:sz w:val="22"/>
          <w:lang w:val="es-ES_tradnl"/>
        </w:rPr>
        <w:t>zarán</w:t>
      </w:r>
      <w:r w:rsidRPr="00373E13">
        <w:rPr>
          <w:rFonts w:ascii="Arial" w:hAnsi="Arial" w:cs="Arial"/>
          <w:noProof/>
          <w:sz w:val="22"/>
          <w:lang w:val="es-ES_tradnl"/>
        </w:rPr>
        <w:t xml:space="preserve"> los siguientes temas: i)</w:t>
      </w:r>
      <w:r w:rsidR="00B07589" w:rsidRPr="00373E13">
        <w:rPr>
          <w:rFonts w:ascii="Arial" w:hAnsi="Arial" w:cs="Arial"/>
          <w:noProof/>
          <w:sz w:val="22"/>
          <w:lang w:val="es-ES_tradnl"/>
        </w:rPr>
        <w:t xml:space="preserve"> </w:t>
      </w:r>
      <w:r w:rsidR="00B32B7B">
        <w:rPr>
          <w:rFonts w:ascii="Arial" w:hAnsi="Arial" w:cs="Arial"/>
          <w:noProof/>
          <w:sz w:val="22"/>
          <w:lang w:val="es-ES_tradnl"/>
        </w:rPr>
        <w:t xml:space="preserve">la </w:t>
      </w:r>
      <w:r w:rsidR="000B1CE8">
        <w:rPr>
          <w:rFonts w:ascii="Arial" w:hAnsi="Arial" w:cs="Arial"/>
          <w:noProof/>
          <w:sz w:val="22"/>
          <w:lang w:val="es-ES_tradnl"/>
        </w:rPr>
        <w:t>c</w:t>
      </w:r>
      <w:r w:rsidR="000B1CE8" w:rsidRPr="000B1CE8">
        <w:rPr>
          <w:rFonts w:ascii="Arial" w:hAnsi="Arial" w:cs="Arial"/>
          <w:noProof/>
          <w:sz w:val="22"/>
          <w:lang w:val="es-ES_tradnl"/>
        </w:rPr>
        <w:t xml:space="preserve">ontratación con recursos de </w:t>
      </w:r>
      <w:r w:rsidR="00B32B7B">
        <w:rPr>
          <w:rFonts w:ascii="Arial" w:hAnsi="Arial" w:cs="Arial"/>
          <w:noProof/>
          <w:sz w:val="22"/>
          <w:lang w:val="es-ES_tradnl"/>
        </w:rPr>
        <w:t>o</w:t>
      </w:r>
      <w:r w:rsidR="000B1CE8" w:rsidRPr="000B1CE8">
        <w:rPr>
          <w:rFonts w:ascii="Arial" w:hAnsi="Arial" w:cs="Arial"/>
          <w:noProof/>
          <w:sz w:val="22"/>
          <w:lang w:val="es-ES_tradnl"/>
        </w:rPr>
        <w:t xml:space="preserve">rganismos </w:t>
      </w:r>
      <w:r w:rsidR="00B32B7B">
        <w:rPr>
          <w:rFonts w:ascii="Arial" w:hAnsi="Arial" w:cs="Arial"/>
          <w:noProof/>
          <w:sz w:val="22"/>
          <w:lang w:val="es-ES_tradnl"/>
        </w:rPr>
        <w:t>i</w:t>
      </w:r>
      <w:r w:rsidR="000B1CE8" w:rsidRPr="000B1CE8">
        <w:rPr>
          <w:rFonts w:ascii="Arial" w:hAnsi="Arial" w:cs="Arial"/>
          <w:noProof/>
          <w:sz w:val="22"/>
          <w:lang w:val="es-ES_tradnl"/>
        </w:rPr>
        <w:t>nternacionales</w:t>
      </w:r>
      <w:r w:rsidR="00D64A4A" w:rsidRPr="00373E13">
        <w:rPr>
          <w:rFonts w:ascii="Arial" w:hAnsi="Arial" w:cs="Arial"/>
          <w:noProof/>
          <w:sz w:val="22"/>
          <w:lang w:val="es-ES_tradnl"/>
        </w:rPr>
        <w:t>,</w:t>
      </w:r>
      <w:r w:rsidR="009A4DDF" w:rsidRPr="00373E13">
        <w:rPr>
          <w:rFonts w:ascii="Arial" w:hAnsi="Arial" w:cs="Arial"/>
          <w:noProof/>
          <w:sz w:val="22"/>
          <w:lang w:val="es-ES_tradnl"/>
        </w:rPr>
        <w:t xml:space="preserve"> </w:t>
      </w:r>
      <w:r w:rsidR="00B32B7B">
        <w:rPr>
          <w:rFonts w:ascii="Arial" w:hAnsi="Arial" w:cs="Arial"/>
          <w:noProof/>
          <w:sz w:val="22"/>
          <w:lang w:val="es-ES_tradnl"/>
        </w:rPr>
        <w:t xml:space="preserve">y </w:t>
      </w:r>
      <w:r w:rsidR="009A4DDF" w:rsidRPr="00373E13">
        <w:rPr>
          <w:rFonts w:ascii="Arial" w:hAnsi="Arial" w:cs="Arial"/>
          <w:noProof/>
          <w:sz w:val="22"/>
          <w:lang w:val="es-ES_tradnl"/>
        </w:rPr>
        <w:t>ii)</w:t>
      </w:r>
      <w:r w:rsidR="00B32B7B">
        <w:rPr>
          <w:rFonts w:ascii="Arial" w:hAnsi="Arial" w:cs="Arial"/>
          <w:noProof/>
          <w:sz w:val="22"/>
          <w:lang w:val="es-ES_tradnl"/>
        </w:rPr>
        <w:t xml:space="preserve"> la</w:t>
      </w:r>
      <w:r w:rsidR="009A4DDF" w:rsidRPr="00373E13">
        <w:rPr>
          <w:rFonts w:ascii="Arial" w:hAnsi="Arial" w:cs="Arial"/>
          <w:noProof/>
          <w:sz w:val="22"/>
          <w:lang w:val="es-ES_tradnl"/>
        </w:rPr>
        <w:t xml:space="preserve"> </w:t>
      </w:r>
      <w:r w:rsidR="000B1CE8">
        <w:rPr>
          <w:rFonts w:ascii="Arial" w:hAnsi="Arial" w:cs="Arial"/>
          <w:noProof/>
          <w:sz w:val="22"/>
          <w:lang w:val="es-ES_tradnl"/>
        </w:rPr>
        <w:t>r</w:t>
      </w:r>
      <w:r w:rsidR="000B1CE8" w:rsidRPr="000B1CE8">
        <w:rPr>
          <w:rFonts w:ascii="Arial" w:hAnsi="Arial" w:cs="Arial"/>
          <w:noProof/>
          <w:sz w:val="22"/>
          <w:lang w:val="es-ES_tradnl"/>
        </w:rPr>
        <w:t>estricción del inciso 3 del artículo 20 de la Ley 1150 de 2007</w:t>
      </w:r>
      <w:r w:rsidR="00870D79" w:rsidRPr="00373E13">
        <w:rPr>
          <w:rFonts w:ascii="Arial" w:hAnsi="Arial" w:cs="Arial"/>
          <w:noProof/>
          <w:sz w:val="22"/>
          <w:lang w:val="es-ES_tradnl"/>
        </w:rPr>
        <w:t>.</w:t>
      </w:r>
    </w:p>
    <w:p w14:paraId="0AEC4393" w14:textId="749F8DED" w:rsidR="00082186" w:rsidRPr="00373E13" w:rsidRDefault="00082186" w:rsidP="00373E13">
      <w:pPr>
        <w:spacing w:before="120" w:line="276" w:lineRule="auto"/>
        <w:ind w:firstLine="709"/>
        <w:jc w:val="both"/>
        <w:rPr>
          <w:rFonts w:ascii="Arial" w:hAnsi="Arial" w:cs="Arial"/>
          <w:noProof/>
          <w:sz w:val="22"/>
          <w:lang w:val="es-ES_tradnl"/>
        </w:rPr>
      </w:pPr>
      <w:r w:rsidRPr="00373E13">
        <w:rPr>
          <w:rFonts w:ascii="Arial" w:hAnsi="Arial" w:cs="Arial"/>
          <w:noProof/>
          <w:sz w:val="22"/>
          <w:lang w:val="es-ES_tradnl"/>
        </w:rPr>
        <w:t xml:space="preserve">La </w:t>
      </w:r>
      <w:r w:rsidR="000018D4" w:rsidRPr="00373E13">
        <w:rPr>
          <w:rFonts w:ascii="Arial" w:hAnsi="Arial" w:cs="Arial"/>
          <w:sz w:val="22"/>
        </w:rPr>
        <w:t>Agencia Nacional de Contratación Pública ― Colombia Compra Eficiente</w:t>
      </w:r>
      <w:r w:rsidR="000018D4" w:rsidRPr="00373E13">
        <w:rPr>
          <w:rFonts w:ascii="Arial" w:hAnsi="Arial" w:cs="Arial"/>
          <w:noProof/>
          <w:sz w:val="22"/>
          <w:lang w:val="es-ES_tradnl"/>
        </w:rPr>
        <w:t xml:space="preserve"> </w:t>
      </w:r>
      <w:r w:rsidRPr="00373E13">
        <w:rPr>
          <w:rFonts w:ascii="Arial" w:hAnsi="Arial" w:cs="Arial"/>
          <w:noProof/>
          <w:sz w:val="22"/>
          <w:lang w:val="es-ES_tradnl"/>
        </w:rPr>
        <w:t xml:space="preserve">se pronunció sobre </w:t>
      </w:r>
      <w:r w:rsidR="00B32B7B">
        <w:rPr>
          <w:rFonts w:ascii="Arial" w:hAnsi="Arial" w:cs="Arial"/>
          <w:noProof/>
          <w:sz w:val="22"/>
          <w:lang w:val="es-ES_tradnl"/>
        </w:rPr>
        <w:t>la contratación con recursos de organismos internacionales</w:t>
      </w:r>
      <w:r w:rsidRPr="00373E13">
        <w:rPr>
          <w:rFonts w:ascii="Arial" w:hAnsi="Arial" w:cs="Arial"/>
          <w:noProof/>
          <w:sz w:val="22"/>
          <w:lang w:val="es-ES_tradnl"/>
        </w:rPr>
        <w:t xml:space="preserve"> en los conceptos </w:t>
      </w:r>
      <w:r w:rsidR="00B32B7B">
        <w:rPr>
          <w:rFonts w:ascii="Arial" w:hAnsi="Arial" w:cs="Arial"/>
          <w:noProof/>
          <w:sz w:val="22"/>
          <w:lang w:val="es-ES_tradnl"/>
        </w:rPr>
        <w:t xml:space="preserve">C-374 del </w:t>
      </w:r>
      <w:r w:rsidR="000B1CE8">
        <w:rPr>
          <w:rFonts w:ascii="Arial" w:hAnsi="Arial" w:cs="Arial"/>
          <w:noProof/>
          <w:sz w:val="22"/>
          <w:lang w:val="es-ES_tradnl"/>
        </w:rPr>
        <w:t xml:space="preserve">23 </w:t>
      </w:r>
      <w:r w:rsidR="00435E15" w:rsidRPr="00373E13">
        <w:rPr>
          <w:rFonts w:ascii="Arial" w:hAnsi="Arial" w:cs="Arial"/>
          <w:noProof/>
          <w:sz w:val="22"/>
          <w:lang w:val="es-ES_tradnl"/>
        </w:rPr>
        <w:t xml:space="preserve">de </w:t>
      </w:r>
      <w:r w:rsidR="000B1CE8">
        <w:rPr>
          <w:rFonts w:ascii="Arial" w:hAnsi="Arial" w:cs="Arial"/>
          <w:noProof/>
          <w:sz w:val="22"/>
          <w:lang w:val="es-ES_tradnl"/>
        </w:rPr>
        <w:t>julio</w:t>
      </w:r>
      <w:r w:rsidR="00435E15" w:rsidRPr="00373E13">
        <w:rPr>
          <w:rFonts w:ascii="Arial" w:hAnsi="Arial" w:cs="Arial"/>
          <w:noProof/>
          <w:sz w:val="22"/>
          <w:lang w:val="es-ES_tradnl"/>
        </w:rPr>
        <w:t xml:space="preserve"> de 20</w:t>
      </w:r>
      <w:r w:rsidR="000B1CE8">
        <w:rPr>
          <w:rFonts w:ascii="Arial" w:hAnsi="Arial" w:cs="Arial"/>
          <w:noProof/>
          <w:sz w:val="22"/>
          <w:lang w:val="es-ES_tradnl"/>
        </w:rPr>
        <w:t>20</w:t>
      </w:r>
      <w:r w:rsidR="00435E15" w:rsidRPr="00373E13">
        <w:rPr>
          <w:rFonts w:ascii="Arial" w:hAnsi="Arial" w:cs="Arial"/>
          <w:noProof/>
          <w:sz w:val="22"/>
          <w:lang w:val="es-ES_tradnl"/>
        </w:rPr>
        <w:t>,</w:t>
      </w:r>
      <w:r w:rsidR="00C82A4D">
        <w:rPr>
          <w:rFonts w:ascii="Arial" w:hAnsi="Arial" w:cs="Arial"/>
          <w:noProof/>
          <w:sz w:val="22"/>
          <w:lang w:val="es-ES_tradnl"/>
        </w:rPr>
        <w:t xml:space="preserve"> </w:t>
      </w:r>
      <w:r w:rsidR="00F05F5A">
        <w:rPr>
          <w:rFonts w:ascii="Arial" w:hAnsi="Arial" w:cs="Arial"/>
          <w:noProof/>
          <w:sz w:val="22"/>
          <w:lang w:val="es-ES_tradnl"/>
        </w:rPr>
        <w:t>C-680 del 11 de noviembre de 2020</w:t>
      </w:r>
      <w:r w:rsidR="00EA574B">
        <w:rPr>
          <w:rFonts w:ascii="Arial" w:hAnsi="Arial" w:cs="Arial"/>
          <w:noProof/>
          <w:sz w:val="22"/>
          <w:lang w:val="es-ES_tradnl"/>
        </w:rPr>
        <w:t xml:space="preserve"> y C-771 del 13 de enero de 2021</w:t>
      </w:r>
      <w:r w:rsidR="00435E15" w:rsidRPr="00373E13">
        <w:rPr>
          <w:rFonts w:ascii="Arial" w:hAnsi="Arial" w:cs="Arial"/>
          <w:noProof/>
          <w:sz w:val="22"/>
          <w:lang w:val="es-ES_tradnl"/>
        </w:rPr>
        <w:t xml:space="preserve">. </w:t>
      </w:r>
      <w:r w:rsidR="004C69A1" w:rsidRPr="00373E13">
        <w:rPr>
          <w:rFonts w:ascii="Arial" w:hAnsi="Arial" w:cs="Arial"/>
          <w:noProof/>
          <w:sz w:val="22"/>
          <w:lang w:val="es-ES_tradnl"/>
        </w:rPr>
        <w:t>La tesis expuesta en estos conceptos se reitera</w:t>
      </w:r>
      <w:r w:rsidRPr="00373E13">
        <w:rPr>
          <w:rFonts w:ascii="Arial" w:hAnsi="Arial" w:cs="Arial"/>
          <w:noProof/>
          <w:sz w:val="22"/>
          <w:lang w:val="es-ES_tradnl"/>
        </w:rPr>
        <w:t xml:space="preserve"> a continuación</w:t>
      </w:r>
      <w:r w:rsidR="00E819AA">
        <w:rPr>
          <w:rFonts w:ascii="Arial" w:hAnsi="Arial" w:cs="Arial"/>
          <w:noProof/>
          <w:sz w:val="22"/>
          <w:lang w:val="es-ES_tradnl"/>
        </w:rPr>
        <w:t>, en lo pertinente.</w:t>
      </w:r>
    </w:p>
    <w:p w14:paraId="5F5B0B70" w14:textId="77777777" w:rsidR="00B45B98" w:rsidRPr="00373E13" w:rsidRDefault="00B45B98" w:rsidP="00373E13">
      <w:pPr>
        <w:spacing w:line="276" w:lineRule="auto"/>
        <w:jc w:val="both"/>
        <w:rPr>
          <w:rFonts w:ascii="Arial" w:hAnsi="Arial" w:cs="Arial"/>
          <w:b/>
          <w:noProof/>
          <w:sz w:val="22"/>
          <w:lang w:val="es-ES_tradnl"/>
        </w:rPr>
      </w:pPr>
    </w:p>
    <w:p w14:paraId="1C3ACB73" w14:textId="5142CFFF" w:rsidR="006514AB" w:rsidRPr="002152C7" w:rsidRDefault="006514AB" w:rsidP="006514AB">
      <w:pPr>
        <w:jc w:val="both"/>
        <w:rPr>
          <w:rFonts w:ascii="Arial" w:hAnsi="Arial" w:cs="Arial"/>
          <w:b/>
          <w:bCs/>
          <w:sz w:val="22"/>
        </w:rPr>
      </w:pPr>
      <w:r w:rsidRPr="002152C7">
        <w:rPr>
          <w:rFonts w:ascii="Arial" w:hAnsi="Arial" w:cs="Arial"/>
          <w:b/>
          <w:bCs/>
          <w:sz w:val="22"/>
        </w:rPr>
        <w:lastRenderedPageBreak/>
        <w:t xml:space="preserve">2.1. Contratación con recursos de organismos </w:t>
      </w:r>
      <w:r w:rsidR="00EA574B">
        <w:rPr>
          <w:rFonts w:ascii="Arial" w:hAnsi="Arial" w:cs="Arial"/>
          <w:b/>
          <w:bCs/>
          <w:sz w:val="22"/>
        </w:rPr>
        <w:t>i</w:t>
      </w:r>
      <w:r w:rsidRPr="002152C7">
        <w:rPr>
          <w:rFonts w:ascii="Arial" w:hAnsi="Arial" w:cs="Arial"/>
          <w:b/>
          <w:bCs/>
          <w:sz w:val="22"/>
        </w:rPr>
        <w:t>nternacionales</w:t>
      </w:r>
    </w:p>
    <w:p w14:paraId="169BB1B4" w14:textId="77777777" w:rsidR="006514AB" w:rsidRPr="002152C7" w:rsidRDefault="006514AB" w:rsidP="006514AB">
      <w:pPr>
        <w:pStyle w:val="Prrafodelista"/>
        <w:ind w:left="360"/>
        <w:contextualSpacing w:val="0"/>
        <w:jc w:val="both"/>
        <w:rPr>
          <w:rFonts w:ascii="Arial" w:eastAsia="Calibri" w:hAnsi="Arial" w:cs="Arial"/>
          <w:b/>
          <w:bCs/>
          <w:sz w:val="22"/>
        </w:rPr>
      </w:pPr>
    </w:p>
    <w:p w14:paraId="6DFCFF55" w14:textId="77777777" w:rsidR="006514AB" w:rsidRPr="002152C7" w:rsidRDefault="006514AB" w:rsidP="006514AB">
      <w:pPr>
        <w:spacing w:after="120" w:line="276" w:lineRule="auto"/>
        <w:jc w:val="both"/>
        <w:rPr>
          <w:rFonts w:ascii="Arial" w:hAnsi="Arial" w:cs="Arial"/>
          <w:sz w:val="22"/>
          <w:lang w:val="es-ES"/>
        </w:rPr>
      </w:pPr>
      <w:r w:rsidRPr="002152C7">
        <w:rPr>
          <w:rFonts w:ascii="Arial" w:hAnsi="Arial" w:cs="Arial"/>
          <w:sz w:val="22"/>
          <w:lang w:val="es-ES"/>
        </w:rPr>
        <w:t>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w:t>
      </w:r>
      <w:r w:rsidRPr="002152C7">
        <w:rPr>
          <w:rStyle w:val="Refdenotaalpie"/>
          <w:rFonts w:ascii="Arial" w:hAnsi="Arial" w:cs="Arial"/>
          <w:sz w:val="22"/>
          <w:lang w:val="es-ES"/>
        </w:rPr>
        <w:footnoteReference w:id="3"/>
      </w:r>
      <w:r w:rsidRPr="002152C7">
        <w:rPr>
          <w:rFonts w:ascii="Arial" w:hAnsi="Arial" w:cs="Arial"/>
          <w:sz w:val="22"/>
          <w:lang w:val="es-ES"/>
        </w:rPr>
        <w:t xml:space="preserve">,  con el propósito de cumplir objetivos comunes entre los Estados miembros. Conforme a su naturaleza, los organismos internacionales están facultados para suscribir contratos o convenios con los Estados. </w:t>
      </w:r>
    </w:p>
    <w:p w14:paraId="1DDC61E2" w14:textId="77777777" w:rsidR="006514AB" w:rsidRPr="002152C7" w:rsidRDefault="006514AB" w:rsidP="006514AB">
      <w:pPr>
        <w:pStyle w:val="Prrafodelista"/>
        <w:snapToGrid w:val="0"/>
        <w:spacing w:before="120" w:after="120" w:line="276" w:lineRule="auto"/>
        <w:ind w:left="0" w:firstLine="709"/>
        <w:contextualSpacing w:val="0"/>
        <w:jc w:val="both"/>
        <w:rPr>
          <w:rFonts w:ascii="Arial" w:eastAsia="Calibri" w:hAnsi="Arial" w:cs="Arial"/>
          <w:sz w:val="22"/>
        </w:rPr>
      </w:pPr>
      <w:r w:rsidRPr="002152C7">
        <w:rPr>
          <w:rFonts w:ascii="Arial" w:eastAsia="Calibri" w:hAnsi="Arial" w:cs="Arial"/>
          <w:sz w:val="22"/>
        </w:rPr>
        <w:t>La Ley 80 de 1993, en el artículo 13, regula de forma general el régimen aplicable a los contratos que celebren las entidades referidas en el artículo segundo del estatuto</w:t>
      </w:r>
      <w:r w:rsidRPr="002152C7">
        <w:rPr>
          <w:rStyle w:val="Refdenotaalpie"/>
          <w:rFonts w:ascii="Arial" w:eastAsia="Calibri" w:hAnsi="Arial" w:cs="Arial"/>
          <w:sz w:val="22"/>
        </w:rPr>
        <w:footnoteReference w:id="4"/>
      </w:r>
      <w:r w:rsidRPr="002152C7">
        <w:rPr>
          <w:rFonts w:ascii="Arial" w:eastAsia="Calibri" w:hAnsi="Arial" w:cs="Arial"/>
          <w:sz w:val="22"/>
        </w:rPr>
        <w:t xml:space="preserve">, señalando en el inciso primero la aplicabilidad de las disposiciones civiles y comerciales nacionales, sin perjuicio de la aplicación prevalente de las contenidas en el Estatuto General de Contratación de la Administración Pública.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ejecutarse o cumplirse en el extranjero, se sometan a la ley extranjera. </w:t>
      </w:r>
    </w:p>
    <w:p w14:paraId="2AA3D446" w14:textId="77777777" w:rsidR="006514AB" w:rsidRPr="002152C7" w:rsidRDefault="006514AB" w:rsidP="006514AB">
      <w:pPr>
        <w:pStyle w:val="Prrafodelista"/>
        <w:snapToGrid w:val="0"/>
        <w:spacing w:before="120" w:line="276" w:lineRule="auto"/>
        <w:ind w:left="0" w:firstLine="709"/>
        <w:contextualSpacing w:val="0"/>
        <w:jc w:val="both"/>
        <w:rPr>
          <w:rFonts w:ascii="Arial" w:eastAsia="Calibri" w:hAnsi="Arial" w:cs="Arial"/>
          <w:sz w:val="22"/>
        </w:rPr>
      </w:pPr>
      <w:r w:rsidRPr="002152C7">
        <w:rPr>
          <w:rFonts w:ascii="Arial" w:eastAsia="Calibri" w:hAnsi="Arial" w:cs="Arial"/>
          <w:sz w:val="22"/>
        </w:rPr>
        <w:t>Nótese cómo el citado artículo permite que las entidades estatales no se rijan siempre por la normativa colombiana, permitiendo, en algunos casos, la aplicación de la ley extranjera. Además de los supuestos anteriores, el Consejo de Estado explica, en general, los escenarios donde el régimen jurídico puede ser uno diferente al prescrito en el derecho nacional, pese a tratarse de contratos en principio sometidos a la Ley 80 de 1993:</w:t>
      </w:r>
    </w:p>
    <w:p w14:paraId="6A134B9B" w14:textId="77777777" w:rsidR="006514AB" w:rsidRPr="002152C7" w:rsidRDefault="006514AB" w:rsidP="006514AB">
      <w:pPr>
        <w:pStyle w:val="Prrafodelista"/>
        <w:spacing w:before="120" w:after="120"/>
        <w:ind w:left="0" w:firstLine="709"/>
        <w:jc w:val="both"/>
        <w:rPr>
          <w:rFonts w:ascii="Arial" w:eastAsia="Calibri" w:hAnsi="Arial" w:cs="Arial"/>
          <w:sz w:val="22"/>
        </w:rPr>
      </w:pPr>
    </w:p>
    <w:p w14:paraId="014872C6" w14:textId="77777777" w:rsidR="006514AB" w:rsidRPr="002152C7" w:rsidRDefault="006514AB" w:rsidP="006514AB">
      <w:pPr>
        <w:pStyle w:val="Prrafodelista"/>
        <w:spacing w:before="120" w:after="120"/>
        <w:ind w:left="709" w:right="709"/>
        <w:jc w:val="both"/>
        <w:rPr>
          <w:rFonts w:ascii="Arial" w:eastAsia="MS Mincho" w:hAnsi="Arial" w:cs="Arial"/>
          <w:sz w:val="21"/>
          <w:szCs w:val="21"/>
          <w:lang w:eastAsia="es-ES"/>
        </w:rPr>
      </w:pPr>
      <w:r w:rsidRPr="002152C7">
        <w:rPr>
          <w:rFonts w:ascii="Arial" w:eastAsia="MS Mincho" w:hAnsi="Arial" w:cs="Arial"/>
          <w:sz w:val="21"/>
          <w:szCs w:val="21"/>
          <w:lang w:eastAsia="es-ES"/>
        </w:rPr>
        <w:t xml:space="preserve">i) Contratos celebrados en el exterior, los cuales se podrán regir en su ejecución por las reglas del país donde se ha suscrito, salvo cuando su cumplimiento deba hacerse en Colombia, caso en el cual se aplicará la legislación nacional, ii) Contratos celebrados en territorio colombiano que deben ejecutarse o cumplirse en el extranjero, en tal caso podrá regirse bajo legislación foránea, salvo aquella parte que deba ejecutarse o cumplirse en Colombia, la cual se regirá por el derecho nacional, iii) a) los contratos financiados con fondos de organismos </w:t>
      </w:r>
      <w:r w:rsidRPr="002152C7">
        <w:rPr>
          <w:rFonts w:ascii="Arial" w:eastAsia="MS Mincho" w:hAnsi="Arial" w:cs="Arial"/>
          <w:sz w:val="21"/>
          <w:szCs w:val="21"/>
          <w:lang w:eastAsia="es-ES"/>
        </w:rPr>
        <w:lastRenderedPageBreak/>
        <w:t>multilaterales de crédito y b) aquellos celebrados con personas extranjeras de derecho público u organismos de cooperación, asistencia o ayudas internacionales, los cuales «podrán someterse a los reglamentos de tales entidades en todo lo relacionado con procedimientos de formación y adjudicación y cláusulas especiales de ejecución, cumplimiento, pagos y ajustes»</w:t>
      </w:r>
      <w:r w:rsidRPr="002152C7">
        <w:rPr>
          <w:rStyle w:val="Refdenotaalpie"/>
          <w:rFonts w:ascii="Arial" w:eastAsia="MS Mincho" w:hAnsi="Arial" w:cs="Arial"/>
          <w:sz w:val="21"/>
          <w:szCs w:val="21"/>
          <w:lang w:eastAsia="es-ES"/>
        </w:rPr>
        <w:footnoteReference w:id="5"/>
      </w:r>
      <w:r w:rsidRPr="002152C7">
        <w:rPr>
          <w:rFonts w:ascii="Arial" w:eastAsia="MS Mincho" w:hAnsi="Arial" w:cs="Arial"/>
          <w:sz w:val="21"/>
          <w:szCs w:val="21"/>
          <w:lang w:eastAsia="es-ES"/>
        </w:rPr>
        <w:t xml:space="preserve">. </w:t>
      </w:r>
    </w:p>
    <w:p w14:paraId="5367B3E6" w14:textId="77777777" w:rsidR="006514AB" w:rsidRPr="002152C7" w:rsidRDefault="006514AB" w:rsidP="006514AB">
      <w:pPr>
        <w:pStyle w:val="Prrafodelista"/>
        <w:spacing w:before="120"/>
        <w:ind w:left="851" w:right="709"/>
        <w:jc w:val="both"/>
        <w:rPr>
          <w:rFonts w:ascii="Arial" w:eastAsia="Calibri" w:hAnsi="Arial" w:cs="Arial"/>
          <w:sz w:val="21"/>
          <w:szCs w:val="21"/>
        </w:rPr>
      </w:pPr>
    </w:p>
    <w:p w14:paraId="4C6D7192" w14:textId="77777777" w:rsidR="006514AB" w:rsidRPr="002152C7" w:rsidRDefault="006514AB" w:rsidP="006514AB">
      <w:pPr>
        <w:spacing w:line="276" w:lineRule="auto"/>
        <w:ind w:firstLine="709"/>
        <w:jc w:val="both"/>
        <w:rPr>
          <w:rFonts w:ascii="Arial" w:hAnsi="Arial" w:cs="Arial"/>
          <w:sz w:val="22"/>
          <w:lang w:val="es-ES"/>
        </w:rPr>
      </w:pPr>
      <w:r w:rsidRPr="002152C7">
        <w:rPr>
          <w:rFonts w:ascii="Arial" w:hAnsi="Arial" w:cs="Arial"/>
          <w:sz w:val="22"/>
          <w:lang w:val="es-ES"/>
        </w:rPr>
        <w:t>La redacción original del artículo 13 de la Ley 80 de 1993 incluía un inciso cuarto en el que se regulaba el régimen aplicable a los contratos suscritos con organismos internacionales, estableciendo otros supuestos donde era posible aplicar un régimen distinto al del Estatuto General de Contratación de la Administración Pública –en adelante también EGCAP–</w:t>
      </w:r>
      <w:r w:rsidRPr="002152C7">
        <w:rPr>
          <w:rStyle w:val="Refdenotaalpie"/>
          <w:rFonts w:ascii="Arial" w:hAnsi="Arial" w:cs="Arial"/>
          <w:sz w:val="22"/>
          <w:lang w:val="es-ES"/>
        </w:rPr>
        <w:footnoteReference w:id="6"/>
      </w:r>
      <w:r w:rsidRPr="002152C7">
        <w:rPr>
          <w:rFonts w:ascii="Arial" w:hAnsi="Arial" w:cs="Arial"/>
          <w:sz w:val="22"/>
          <w:lang w:val="es-ES"/>
        </w:rPr>
        <w:t>. Sin embargo, el artículo 20 de la Ley 1150 de 2007 modificó el régimen contractual aplicable a los contratos o convenios suscritos con organismos internacionales. Dicho artículo estableció, para algunos casos, la posible definición del régimen a partir del porcentaje de participación que el organismo internacional tuviera frente a dichos contratos. Con fundamento en ello establece una potestad discrecional en torno a la elección del régimen contractual aplicable. Así, el artículo 20 de la citada norma señala que los contratos «podrán» ser sometidos a los reglamentos de tales entidades.</w:t>
      </w:r>
    </w:p>
    <w:p w14:paraId="3C6F4CA7" w14:textId="22342F59" w:rsidR="006514AB" w:rsidRPr="002152C7" w:rsidRDefault="006514AB" w:rsidP="007C03E1">
      <w:pPr>
        <w:spacing w:before="120" w:after="120" w:line="276" w:lineRule="auto"/>
        <w:ind w:firstLine="709"/>
        <w:jc w:val="both"/>
        <w:rPr>
          <w:rFonts w:ascii="Arial" w:eastAsia="Times New Roman" w:hAnsi="Arial" w:cs="Arial"/>
          <w:color w:val="000000" w:themeColor="text1"/>
          <w:sz w:val="22"/>
          <w:lang w:val="es-ES_tradnl" w:eastAsia="es-ES"/>
        </w:rPr>
      </w:pPr>
      <w:r w:rsidRPr="002152C7">
        <w:rPr>
          <w:rFonts w:ascii="Arial" w:hAnsi="Arial" w:cs="Arial"/>
          <w:sz w:val="22"/>
          <w:lang w:val="es-ES"/>
        </w:rPr>
        <w:t>E</w:t>
      </w:r>
      <w:r w:rsidRPr="002152C7">
        <w:rPr>
          <w:rFonts w:ascii="Arial" w:hAnsi="Arial" w:cs="Arial"/>
          <w:color w:val="000000" w:themeColor="text1"/>
          <w:sz w:val="22"/>
          <w:lang w:val="es-ES_tradnl" w:eastAsia="es-ES"/>
        </w:rPr>
        <w:t>l derogado artículo 13, numeral 4, de la Ley 80 de 1993, fue objeto de análisis por parte de la Corte Constitucional en la sentencia C-249 de 2004</w:t>
      </w:r>
      <w:r w:rsidRPr="002152C7">
        <w:rPr>
          <w:rStyle w:val="Refdenotaalpie"/>
          <w:rFonts w:ascii="Arial" w:hAnsi="Arial" w:cs="Arial"/>
          <w:color w:val="000000" w:themeColor="text1"/>
          <w:sz w:val="22"/>
          <w:lang w:val="es-ES_tradnl" w:eastAsia="es-ES"/>
        </w:rPr>
        <w:footnoteReference w:id="7"/>
      </w:r>
      <w:r w:rsidRPr="002152C7">
        <w:rPr>
          <w:rFonts w:ascii="Arial" w:hAnsi="Arial" w:cs="Arial"/>
          <w:color w:val="000000" w:themeColor="text1"/>
          <w:sz w:val="22"/>
          <w:lang w:val="es-ES_tradnl" w:eastAsia="es-ES"/>
        </w:rPr>
        <w:t xml:space="preserve">, en la que </w:t>
      </w:r>
      <w:r w:rsidRPr="002152C7">
        <w:rPr>
          <w:rFonts w:ascii="Arial" w:eastAsia="MS Mincho" w:hAnsi="Arial" w:cs="Arial"/>
          <w:color w:val="000000" w:themeColor="text1"/>
          <w:sz w:val="22"/>
          <w:lang w:val="es-ES_tradnl" w:eastAsia="es-ES"/>
        </w:rPr>
        <w:t xml:space="preserve">enfatizó que este precepto solo podía ser aplicado por la Administración Pública cuando los ingresos o fondos provengan de empréstitos o donaciones de organismos internacionales, lo que lo hace enteramente improcedente cuando se trata de recursos que se encuentran en el presupuesto general de la nación o de los entes territoriales. </w:t>
      </w:r>
    </w:p>
    <w:p w14:paraId="14DC6AFA" w14:textId="77777777" w:rsidR="006514AB" w:rsidRPr="002152C7" w:rsidRDefault="006514AB" w:rsidP="006514AB">
      <w:pPr>
        <w:spacing w:line="276" w:lineRule="auto"/>
        <w:ind w:firstLine="709"/>
        <w:jc w:val="both"/>
        <w:rPr>
          <w:rFonts w:ascii="Arial" w:hAnsi="Arial" w:cs="Arial"/>
          <w:sz w:val="22"/>
          <w:lang w:val="es-ES"/>
        </w:rPr>
      </w:pPr>
      <w:r w:rsidRPr="002152C7">
        <w:rPr>
          <w:rFonts w:ascii="Arial" w:hAnsi="Arial" w:cs="Arial"/>
          <w:color w:val="000000" w:themeColor="text1"/>
          <w:sz w:val="22"/>
          <w:lang w:val="es-ES_tradnl"/>
        </w:rPr>
        <w:t xml:space="preserve">En estos términos, la regla de interpretación que fijó la Corte Constitucional en la Sentencia en comento, es clara, al señalar que siempre que se esté en presencia de contratos que se financian con recursos que provengan del organismo de cooperación internacional, es viable optar por la aplicación de los reglamentos de tales entidades. </w:t>
      </w:r>
      <w:r w:rsidRPr="002152C7">
        <w:rPr>
          <w:rFonts w:ascii="Arial" w:hAnsi="Arial" w:cs="Arial"/>
          <w:i/>
          <w:iCs/>
          <w:color w:val="000000" w:themeColor="text1"/>
          <w:sz w:val="22"/>
          <w:lang w:val="es-ES_tradnl"/>
        </w:rPr>
        <w:t>Contrario sensu</w:t>
      </w:r>
      <w:r w:rsidRPr="002152C7">
        <w:rPr>
          <w:rFonts w:ascii="Arial" w:hAnsi="Arial" w:cs="Arial"/>
          <w:color w:val="000000" w:themeColor="text1"/>
          <w:sz w:val="22"/>
          <w:lang w:val="es-ES_tradnl"/>
        </w:rPr>
        <w:t>, cuando se trate de contratos que se financian con recursos del presupuesto general de la nación, se deberá aplicar el Estatuto General de Contratación Pública.</w:t>
      </w:r>
      <w:r w:rsidRPr="002152C7">
        <w:rPr>
          <w:rFonts w:ascii="Arial" w:hAnsi="Arial" w:cs="Arial"/>
          <w:sz w:val="22"/>
          <w:lang w:val="es-ES"/>
        </w:rPr>
        <w:t xml:space="preserve"> </w:t>
      </w:r>
    </w:p>
    <w:p w14:paraId="6700B729" w14:textId="77777777" w:rsidR="006514AB" w:rsidRPr="002152C7" w:rsidRDefault="006514AB" w:rsidP="006514AB">
      <w:pPr>
        <w:spacing w:line="276" w:lineRule="auto"/>
        <w:jc w:val="both"/>
        <w:rPr>
          <w:rFonts w:ascii="Arial" w:hAnsi="Arial" w:cs="Arial"/>
          <w:b/>
          <w:bCs/>
          <w:sz w:val="22"/>
          <w:lang w:val="es-ES"/>
        </w:rPr>
      </w:pPr>
    </w:p>
    <w:p w14:paraId="217F7E88" w14:textId="77777777" w:rsidR="006514AB" w:rsidRPr="002152C7" w:rsidRDefault="006514AB" w:rsidP="006514AB">
      <w:pPr>
        <w:spacing w:line="276" w:lineRule="auto"/>
        <w:jc w:val="both"/>
        <w:rPr>
          <w:rFonts w:ascii="Arial" w:hAnsi="Arial" w:cs="Arial"/>
          <w:b/>
          <w:bCs/>
          <w:sz w:val="22"/>
          <w:lang w:val="es-ES"/>
        </w:rPr>
      </w:pPr>
      <w:r w:rsidRPr="002152C7">
        <w:rPr>
          <w:rFonts w:ascii="Arial" w:hAnsi="Arial" w:cs="Arial"/>
          <w:b/>
          <w:bCs/>
          <w:sz w:val="22"/>
          <w:lang w:val="es-ES"/>
        </w:rPr>
        <w:lastRenderedPageBreak/>
        <w:t xml:space="preserve">2.2. Definición del régimen jurídico de los contratos con organismos internacionales a partir de la financiación </w:t>
      </w:r>
    </w:p>
    <w:p w14:paraId="3325EAB1" w14:textId="77777777" w:rsidR="006514AB" w:rsidRPr="002152C7" w:rsidRDefault="006514AB" w:rsidP="006514AB">
      <w:pPr>
        <w:spacing w:line="276" w:lineRule="auto"/>
        <w:jc w:val="both"/>
        <w:rPr>
          <w:rFonts w:ascii="Arial" w:hAnsi="Arial" w:cs="Arial"/>
          <w:sz w:val="22"/>
          <w:lang w:val="es-ES"/>
        </w:rPr>
      </w:pPr>
    </w:p>
    <w:p w14:paraId="50A9667C" w14:textId="77777777" w:rsidR="006514AB" w:rsidRPr="002152C7" w:rsidRDefault="006514AB" w:rsidP="006514AB">
      <w:pPr>
        <w:spacing w:after="120" w:line="276" w:lineRule="auto"/>
        <w:jc w:val="both"/>
        <w:rPr>
          <w:rFonts w:ascii="Arial" w:hAnsi="Arial" w:cs="Arial"/>
          <w:sz w:val="22"/>
          <w:lang w:val="es-ES"/>
        </w:rPr>
      </w:pPr>
      <w:r w:rsidRPr="002152C7">
        <w:rPr>
          <w:rFonts w:ascii="Arial" w:hAnsi="Arial" w:cs="Arial"/>
          <w:sz w:val="22"/>
          <w:lang w:val="es-ES"/>
        </w:rPr>
        <w:t>Para comprender el alcance del régimen aplicable a los contratos o convenios que se suscriban con organismos internacionales, de acuerdo a la financiación de los mismos, resulta necesario analizar el artículo 20 de la Ley 1150 de 2007</w:t>
      </w:r>
      <w:r w:rsidRPr="002152C7">
        <w:rPr>
          <w:rStyle w:val="Refdenotaalpie"/>
          <w:rFonts w:ascii="Arial" w:hAnsi="Arial" w:cs="Arial"/>
          <w:sz w:val="22"/>
          <w:lang w:val="es-ES"/>
        </w:rPr>
        <w:footnoteReference w:id="8"/>
      </w:r>
      <w:r w:rsidRPr="002152C7">
        <w:rPr>
          <w:rFonts w:ascii="Arial" w:hAnsi="Arial" w:cs="Arial"/>
          <w:sz w:val="22"/>
          <w:lang w:val="es-ES"/>
        </w:rPr>
        <w:t xml:space="preserve">. De conformidad con este artículo, en lo que tiene que ver con el </w:t>
      </w:r>
      <w:r w:rsidRPr="002152C7">
        <w:rPr>
          <w:rFonts w:ascii="Arial" w:hAnsi="Arial" w:cs="Arial"/>
          <w:i/>
          <w:iCs/>
          <w:sz w:val="22"/>
          <w:lang w:val="es-ES"/>
        </w:rPr>
        <w:t>inciso primero</w:t>
      </w:r>
      <w:r w:rsidRPr="002152C7">
        <w:rPr>
          <w:rFonts w:ascii="Arial" w:hAnsi="Arial" w:cs="Arial"/>
          <w:sz w:val="22"/>
          <w:lang w:val="es-ES"/>
        </w:rPr>
        <w:t xml:space="preserve">,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w:t>
      </w:r>
    </w:p>
    <w:p w14:paraId="0DCD8941" w14:textId="77777777" w:rsidR="006514AB" w:rsidRPr="002152C7" w:rsidRDefault="006514AB" w:rsidP="006514AB">
      <w:pPr>
        <w:spacing w:before="120" w:line="276" w:lineRule="auto"/>
        <w:ind w:firstLine="709"/>
        <w:jc w:val="both"/>
        <w:rPr>
          <w:rFonts w:ascii="Arial" w:hAnsi="Arial" w:cs="Arial"/>
          <w:sz w:val="22"/>
          <w:lang w:val="es-ES"/>
        </w:rPr>
      </w:pPr>
      <w:r w:rsidRPr="002152C7">
        <w:rPr>
          <w:rFonts w:ascii="Arial" w:hAnsi="Arial" w:cs="Arial"/>
          <w:sz w:val="22"/>
          <w:lang w:val="es-ES"/>
        </w:rPr>
        <w:t xml:space="preserve">Por otro lado, la norma establece un segundo criterio, en el </w:t>
      </w:r>
      <w:r w:rsidRPr="002152C7">
        <w:rPr>
          <w:rFonts w:ascii="Arial" w:hAnsi="Arial" w:cs="Arial"/>
          <w:i/>
          <w:iCs/>
          <w:sz w:val="22"/>
          <w:lang w:val="es-ES"/>
        </w:rPr>
        <w:t>inciso segundo,</w:t>
      </w:r>
      <w:r w:rsidRPr="002152C7">
        <w:rPr>
          <w:rFonts w:ascii="Arial" w:hAnsi="Arial" w:cs="Arial"/>
          <w:sz w:val="22"/>
          <w:lang w:val="es-ES"/>
        </w:rPr>
        <w:t xml:space="preserve"> para determinar la posibilidad de aplicar los reglamentos de los organismos internacionales. Este segundo criterio depende del objeto del convenio o contrato a celebrar, de manera que en dichos casos se </w:t>
      </w:r>
      <w:r w:rsidRPr="002152C7">
        <w:rPr>
          <w:rFonts w:ascii="Arial" w:hAnsi="Arial" w:cs="Arial"/>
          <w:i/>
          <w:iCs/>
          <w:sz w:val="22"/>
          <w:lang w:val="es-ES"/>
        </w:rPr>
        <w:t>puede</w:t>
      </w:r>
      <w:r w:rsidRPr="002152C7">
        <w:rPr>
          <w:rFonts w:ascii="Arial" w:hAnsi="Arial" w:cs="Arial"/>
          <w:sz w:val="22"/>
          <w:lang w:val="es-ES"/>
        </w:rPr>
        <w:t xml:space="preserve"> pactar el sometimiento a los reglamentos de estas entidades. En tal sentido, los otros supuestos en que es posible someter el régimen contractual a los reglamentos de los organismos internacionales son los siguientes: </w:t>
      </w:r>
    </w:p>
    <w:p w14:paraId="21172CCD" w14:textId="77777777" w:rsidR="006514AB" w:rsidRPr="002152C7" w:rsidRDefault="006514AB" w:rsidP="006514AB">
      <w:pPr>
        <w:spacing w:before="120" w:line="276" w:lineRule="auto"/>
        <w:ind w:firstLine="709"/>
        <w:jc w:val="both"/>
        <w:rPr>
          <w:rFonts w:ascii="Arial" w:hAnsi="Arial" w:cs="Arial"/>
          <w:sz w:val="22"/>
          <w:lang w:val="es-ES"/>
        </w:rPr>
      </w:pPr>
      <w:r w:rsidRPr="002152C7">
        <w:rPr>
          <w:rFonts w:ascii="Arial" w:hAnsi="Arial" w:cs="Arial"/>
          <w:sz w:val="22"/>
          <w:lang w:val="es-ES"/>
        </w:rPr>
        <w:lastRenderedPageBreak/>
        <w:t xml:space="preserve">i) </w:t>
      </w:r>
      <w:r w:rsidRPr="002152C7">
        <w:rPr>
          <w:rFonts w:ascii="Arial" w:hAnsi="Arial" w:cs="Arial"/>
          <w:sz w:val="22"/>
        </w:rPr>
        <w:t xml:space="preserve">Desarrollo de programas de promoción, prevención y atención en salud. </w:t>
      </w:r>
    </w:p>
    <w:p w14:paraId="111E7211" w14:textId="77777777" w:rsidR="006514AB" w:rsidRPr="002152C7" w:rsidRDefault="006514AB" w:rsidP="006514AB">
      <w:pPr>
        <w:spacing w:before="120" w:line="276" w:lineRule="auto"/>
        <w:ind w:firstLine="709"/>
        <w:jc w:val="both"/>
        <w:rPr>
          <w:rFonts w:ascii="Arial" w:hAnsi="Arial" w:cs="Arial"/>
          <w:sz w:val="22"/>
        </w:rPr>
      </w:pPr>
      <w:r w:rsidRPr="002152C7">
        <w:rPr>
          <w:rFonts w:ascii="Arial" w:hAnsi="Arial" w:cs="Arial"/>
          <w:sz w:val="22"/>
        </w:rPr>
        <w:t>ii) Contratos y convenios necesarios para la operación de la OIT.</w:t>
      </w:r>
    </w:p>
    <w:p w14:paraId="580AB57D" w14:textId="77777777" w:rsidR="006514AB" w:rsidRPr="002152C7" w:rsidRDefault="006514AB" w:rsidP="006514AB">
      <w:pPr>
        <w:spacing w:before="120" w:line="276" w:lineRule="auto"/>
        <w:ind w:firstLine="709"/>
        <w:jc w:val="both"/>
        <w:rPr>
          <w:rFonts w:ascii="Arial" w:hAnsi="Arial" w:cs="Arial"/>
          <w:sz w:val="22"/>
        </w:rPr>
      </w:pPr>
      <w:r w:rsidRPr="002152C7">
        <w:rPr>
          <w:rFonts w:ascii="Arial" w:hAnsi="Arial" w:cs="Arial"/>
          <w:sz w:val="22"/>
        </w:rPr>
        <w:t>iii) Contratos y convenios que se ejecuten en desarrollo del sistema integrado de monitoreo de cultivos ilícitos.</w:t>
      </w:r>
    </w:p>
    <w:p w14:paraId="2DE168E8" w14:textId="77777777" w:rsidR="006514AB" w:rsidRPr="002152C7" w:rsidRDefault="006514AB" w:rsidP="006514AB">
      <w:pPr>
        <w:spacing w:before="120" w:line="276" w:lineRule="auto"/>
        <w:ind w:firstLine="709"/>
        <w:jc w:val="both"/>
        <w:rPr>
          <w:rFonts w:ascii="Arial" w:hAnsi="Arial" w:cs="Arial"/>
          <w:sz w:val="22"/>
        </w:rPr>
      </w:pPr>
      <w:r w:rsidRPr="002152C7">
        <w:rPr>
          <w:rFonts w:ascii="Arial" w:hAnsi="Arial" w:cs="Arial"/>
          <w:sz w:val="22"/>
        </w:rPr>
        <w:t>iv) Contratos y convenios para la operación del programa mundial de alimentos.</w:t>
      </w:r>
    </w:p>
    <w:p w14:paraId="3B8266B8" w14:textId="77777777" w:rsidR="006514AB" w:rsidRPr="002152C7" w:rsidRDefault="006514AB" w:rsidP="006514AB">
      <w:pPr>
        <w:spacing w:before="120" w:line="276" w:lineRule="auto"/>
        <w:ind w:firstLine="709"/>
        <w:jc w:val="both"/>
        <w:rPr>
          <w:rFonts w:ascii="Arial" w:hAnsi="Arial" w:cs="Arial"/>
          <w:sz w:val="22"/>
        </w:rPr>
      </w:pPr>
      <w:r w:rsidRPr="002152C7">
        <w:rPr>
          <w:rFonts w:ascii="Arial" w:hAnsi="Arial" w:cs="Arial"/>
          <w:sz w:val="22"/>
        </w:rPr>
        <w:t>v) Contratos y convenios para el desarrollo de programas de apoyo educativo a población desplazada y vulnerable adelantados por la Unesco y la OIM.</w:t>
      </w:r>
    </w:p>
    <w:p w14:paraId="14AB83E7" w14:textId="77777777" w:rsidR="006514AB" w:rsidRPr="002152C7" w:rsidRDefault="006514AB" w:rsidP="006514AB">
      <w:pPr>
        <w:spacing w:before="120" w:line="276" w:lineRule="auto"/>
        <w:ind w:firstLine="709"/>
        <w:jc w:val="both"/>
        <w:rPr>
          <w:rFonts w:ascii="Arial" w:hAnsi="Arial" w:cs="Arial"/>
          <w:sz w:val="22"/>
        </w:rPr>
      </w:pPr>
      <w:r w:rsidRPr="002152C7">
        <w:rPr>
          <w:rFonts w:ascii="Arial" w:hAnsi="Arial" w:cs="Arial"/>
          <w:sz w:val="22"/>
        </w:rPr>
        <w:t xml:space="preserve">vi) Los contratos o convenios financiados con fondos de los organismos multilaterales de crédito y entes gubernamentales extranjeros. </w:t>
      </w:r>
    </w:p>
    <w:p w14:paraId="12EFED58" w14:textId="77777777" w:rsidR="006514AB" w:rsidRPr="002152C7" w:rsidRDefault="006514AB" w:rsidP="006514AB">
      <w:pPr>
        <w:pStyle w:val="Prrafodelista"/>
        <w:ind w:left="1429"/>
        <w:jc w:val="both"/>
        <w:rPr>
          <w:rFonts w:ascii="Arial" w:hAnsi="Arial" w:cs="Arial"/>
          <w:sz w:val="22"/>
        </w:rPr>
      </w:pPr>
    </w:p>
    <w:p w14:paraId="1970F3D5" w14:textId="77777777" w:rsidR="006514AB" w:rsidRPr="002152C7" w:rsidRDefault="006514AB" w:rsidP="006514AB">
      <w:pPr>
        <w:spacing w:line="276" w:lineRule="auto"/>
        <w:ind w:firstLine="709"/>
        <w:jc w:val="both"/>
        <w:rPr>
          <w:rFonts w:ascii="Arial" w:hAnsi="Arial" w:cs="Arial"/>
          <w:sz w:val="22"/>
          <w:lang w:val="es-ES"/>
        </w:rPr>
      </w:pPr>
      <w:r w:rsidRPr="002152C7">
        <w:rPr>
          <w:rFonts w:ascii="Arial" w:hAnsi="Arial" w:cs="Arial"/>
          <w:sz w:val="22"/>
          <w:lang w:val="es-ES"/>
        </w:rPr>
        <w:t>En los supuestos anteriores, regulados en el inciso segundo del artículo 20, independiente del monto de los aportes de cada una de las partes, es posible optar por someter el contrato a los reglamentos de dichos organismos o bien someterlos al EGCAP. Es decir, configurado alguno de los presupuestos anteriores, es posible elegir cualquiera de los 2 regímenes indicados. Al respecto, en el concepto C-374 del 27 de julio de 2020, esta Agencia – después de analizar el artículo 20 de la Ley 1150 de 2007– concluyó que:</w:t>
      </w:r>
    </w:p>
    <w:p w14:paraId="1D46E1F6" w14:textId="77777777" w:rsidR="006514AB" w:rsidRPr="002152C7" w:rsidRDefault="006514AB" w:rsidP="006514AB">
      <w:pPr>
        <w:spacing w:line="276" w:lineRule="auto"/>
        <w:ind w:firstLine="709"/>
        <w:jc w:val="both"/>
        <w:rPr>
          <w:rFonts w:ascii="Arial" w:hAnsi="Arial" w:cs="Arial"/>
          <w:sz w:val="22"/>
          <w:lang w:val="es-ES"/>
        </w:rPr>
      </w:pPr>
    </w:p>
    <w:p w14:paraId="43575AF5" w14:textId="77777777" w:rsidR="006514AB" w:rsidRPr="002152C7" w:rsidRDefault="006514AB" w:rsidP="006514AB">
      <w:pPr>
        <w:ind w:left="709" w:right="709"/>
        <w:jc w:val="both"/>
        <w:rPr>
          <w:rFonts w:ascii="Arial" w:hAnsi="Arial" w:cs="Arial"/>
          <w:sz w:val="21"/>
          <w:szCs w:val="21"/>
          <w:lang w:val="es-ES"/>
        </w:rPr>
      </w:pPr>
      <w:r w:rsidRPr="002152C7">
        <w:rPr>
          <w:rFonts w:ascii="Arial" w:hAnsi="Arial" w:cs="Arial"/>
          <w:sz w:val="21"/>
          <w:szCs w:val="21"/>
          <w:lang w:val="es-ES"/>
        </w:rPr>
        <w:t>[…] 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p>
    <w:p w14:paraId="09493283" w14:textId="77777777" w:rsidR="006514AB" w:rsidRPr="002152C7" w:rsidRDefault="006514AB" w:rsidP="006514AB">
      <w:pPr>
        <w:ind w:left="709" w:right="709"/>
        <w:jc w:val="both"/>
        <w:rPr>
          <w:rFonts w:ascii="Arial" w:hAnsi="Arial" w:cs="Arial"/>
          <w:sz w:val="21"/>
          <w:szCs w:val="21"/>
          <w:lang w:val="es-ES"/>
        </w:rPr>
      </w:pPr>
    </w:p>
    <w:p w14:paraId="58238655" w14:textId="77777777" w:rsidR="006514AB" w:rsidRPr="002152C7" w:rsidRDefault="006514AB" w:rsidP="006514AB">
      <w:pPr>
        <w:tabs>
          <w:tab w:val="left" w:pos="0"/>
        </w:tabs>
        <w:spacing w:line="276" w:lineRule="auto"/>
        <w:ind w:firstLine="709"/>
        <w:jc w:val="both"/>
        <w:rPr>
          <w:rFonts w:ascii="Arial" w:hAnsi="Arial" w:cs="Arial"/>
          <w:sz w:val="22"/>
          <w:lang w:val="es-ES"/>
        </w:rPr>
      </w:pPr>
      <w:r w:rsidRPr="002152C7">
        <w:rPr>
          <w:rFonts w:ascii="Arial" w:hAnsi="Arial" w:cs="Arial"/>
          <w:sz w:val="22"/>
          <w:lang w:val="es-ES"/>
        </w:rPr>
        <w:t xml:space="preserve">De otra parte, conviene mencionar, en relación con los contratos del inciso primero del artículo 20 de la Ley 1150 de 2007, que dentro de la ejecución del contrato o convenio pueden presentarse situaciones en las que el porcentaje de los aportes sea modificado, en virtud de su adición o no ejecución en los términos pactados, por lo que, previendo este escenario, el artículo 2.2.1.2.4.4.1. del Decreto 1082 de 2015 estableció que: «se deben modificar los contratos o convenios para efectos de que estos estén sujetos a las normas del sistema de compras y contratación pública, si el aporte de recursos públicos es superior al cincuenta por ciento (50%) del total o de las normas internas de la entidad de </w:t>
      </w:r>
      <w:r w:rsidRPr="002152C7">
        <w:rPr>
          <w:rFonts w:ascii="Arial" w:hAnsi="Arial" w:cs="Arial"/>
          <w:sz w:val="22"/>
          <w:lang w:val="es-ES"/>
        </w:rPr>
        <w:lastRenderedPageBreak/>
        <w:t>cooperación si el aporte es inferior»</w:t>
      </w:r>
      <w:r w:rsidRPr="002152C7">
        <w:rPr>
          <w:rStyle w:val="Refdenotaalpie"/>
          <w:rFonts w:ascii="Arial" w:hAnsi="Arial" w:cs="Arial"/>
          <w:sz w:val="22"/>
          <w:lang w:val="es-ES"/>
        </w:rPr>
        <w:footnoteReference w:id="9"/>
      </w:r>
      <w:r w:rsidRPr="002152C7">
        <w:rPr>
          <w:rFonts w:ascii="Arial" w:hAnsi="Arial" w:cs="Arial"/>
          <w:sz w:val="22"/>
          <w:lang w:val="es-ES"/>
        </w:rPr>
        <w:t>. Así las cosas, la entidad contratante debe realizar un constante monitoreo respecto de los aportes de cada una de las partes para determinar si se debe realizar un ajuste frente al régimen aplicable, esto es, en relación con los contratos regulados en el inciso primero del artículo 20 de la Ley 1150 de 2007.</w:t>
      </w:r>
    </w:p>
    <w:p w14:paraId="65E5544D" w14:textId="77777777" w:rsidR="006514AB" w:rsidRPr="002152C7" w:rsidRDefault="006514AB" w:rsidP="006514AB">
      <w:pPr>
        <w:tabs>
          <w:tab w:val="left" w:pos="0"/>
        </w:tabs>
        <w:spacing w:before="120" w:line="276" w:lineRule="auto"/>
        <w:ind w:firstLine="709"/>
        <w:jc w:val="both"/>
        <w:rPr>
          <w:rFonts w:ascii="Arial" w:hAnsi="Arial" w:cs="Arial"/>
          <w:sz w:val="22"/>
          <w:lang w:val="es-ES_tradnl"/>
        </w:rPr>
      </w:pPr>
      <w:r w:rsidRPr="002152C7">
        <w:rPr>
          <w:rFonts w:ascii="Arial" w:eastAsia="MS Mincho" w:hAnsi="Arial" w:cs="Arial"/>
          <w:color w:val="000000" w:themeColor="text1"/>
          <w:sz w:val="22"/>
          <w:lang w:val="es-ES_tradnl" w:eastAsia="es-ES"/>
        </w:rPr>
        <w:t xml:space="preserve">De conformidad con lo expuesto, se concluye que </w:t>
      </w:r>
      <w:r w:rsidRPr="002152C7">
        <w:rPr>
          <w:rFonts w:ascii="Arial" w:hAnsi="Arial" w:cs="Arial"/>
          <w:color w:val="000000" w:themeColor="text1"/>
          <w:sz w:val="22"/>
          <w:lang w:val="es-ES_tradnl"/>
        </w:rPr>
        <w:t>los contratos o convenios que son financiados en su totalidad o en sumas iguales o superiores al cincuenta por ciento (50%) con fondos de los organismos de cooperación, asistencia o ayudas internacionales, pueden someterse a los reglamentos de tales entidades y en consecuencia sustraerse de la aplicación del Estatuto General de Contratación de la Administración Pública.</w:t>
      </w:r>
    </w:p>
    <w:p w14:paraId="29DFFD9E" w14:textId="77777777" w:rsidR="006514AB" w:rsidRPr="002152C7" w:rsidRDefault="006514AB" w:rsidP="006514AB">
      <w:pPr>
        <w:tabs>
          <w:tab w:val="left" w:pos="0"/>
        </w:tabs>
        <w:spacing w:before="120" w:line="276" w:lineRule="auto"/>
        <w:ind w:firstLine="709"/>
        <w:jc w:val="both"/>
        <w:rPr>
          <w:rFonts w:ascii="Arial" w:hAnsi="Arial" w:cs="Arial"/>
          <w:sz w:val="22"/>
          <w:lang w:val="es-ES"/>
        </w:rPr>
      </w:pPr>
      <w:r w:rsidRPr="002152C7">
        <w:rPr>
          <w:rFonts w:ascii="Arial" w:hAnsi="Arial" w:cs="Arial"/>
          <w:color w:val="000000" w:themeColor="text1"/>
          <w:sz w:val="22"/>
          <w:lang w:val="es-ES_tradnl"/>
        </w:rPr>
        <w:t>Sin embargo, es importante destacar que la posibilidad de inaplicar las normas nacionales de contratación pública frente a los contratos financiados con recursos provenientes de organismos multilaterales de crédito es de naturaleza excepcional y, por tanto, de aplicación restrictiva.</w:t>
      </w:r>
    </w:p>
    <w:p w14:paraId="49BFE270" w14:textId="3BC1C318" w:rsidR="000805B8" w:rsidRDefault="000805B8" w:rsidP="00AB69A1">
      <w:pPr>
        <w:spacing w:line="276" w:lineRule="auto"/>
        <w:ind w:firstLine="709"/>
        <w:jc w:val="both"/>
        <w:rPr>
          <w:rFonts w:ascii="Arial" w:hAnsi="Arial" w:cs="Arial"/>
          <w:sz w:val="22"/>
          <w:lang w:val="es-ES"/>
        </w:rPr>
      </w:pPr>
    </w:p>
    <w:p w14:paraId="2B432E63" w14:textId="6A65DAF5" w:rsidR="000805B8" w:rsidRPr="00AB69A1" w:rsidRDefault="000805B8" w:rsidP="00AB69A1">
      <w:pPr>
        <w:spacing w:line="276" w:lineRule="auto"/>
        <w:jc w:val="both"/>
        <w:rPr>
          <w:rFonts w:ascii="Arial" w:hAnsi="Arial" w:cs="Arial"/>
          <w:b/>
          <w:bCs/>
          <w:sz w:val="22"/>
          <w:lang w:val="es-ES"/>
        </w:rPr>
      </w:pPr>
      <w:r w:rsidRPr="00AB69A1">
        <w:rPr>
          <w:rFonts w:ascii="Arial" w:hAnsi="Arial" w:cs="Arial"/>
          <w:b/>
          <w:bCs/>
          <w:sz w:val="22"/>
          <w:lang w:val="es-ES"/>
        </w:rPr>
        <w:t>2.</w:t>
      </w:r>
      <w:r w:rsidR="006514AB">
        <w:rPr>
          <w:rFonts w:ascii="Arial" w:hAnsi="Arial" w:cs="Arial"/>
          <w:b/>
          <w:bCs/>
          <w:sz w:val="22"/>
          <w:lang w:val="es-ES"/>
        </w:rPr>
        <w:t>3.</w:t>
      </w:r>
      <w:r w:rsidRPr="00AB69A1">
        <w:rPr>
          <w:rFonts w:ascii="Arial" w:hAnsi="Arial" w:cs="Arial"/>
          <w:b/>
          <w:bCs/>
          <w:sz w:val="22"/>
          <w:lang w:val="es-ES"/>
        </w:rPr>
        <w:t xml:space="preserve"> Restricción del </w:t>
      </w:r>
      <w:r w:rsidR="005F3E71" w:rsidRPr="00AB69A1">
        <w:rPr>
          <w:rFonts w:ascii="Arial" w:hAnsi="Arial" w:cs="Arial"/>
          <w:b/>
          <w:bCs/>
          <w:sz w:val="22"/>
          <w:lang w:val="es-ES"/>
        </w:rPr>
        <w:t>inciso</w:t>
      </w:r>
      <w:r w:rsidRPr="00AB69A1">
        <w:rPr>
          <w:rFonts w:ascii="Arial" w:hAnsi="Arial" w:cs="Arial"/>
          <w:b/>
          <w:bCs/>
          <w:sz w:val="22"/>
          <w:lang w:val="es-ES"/>
        </w:rPr>
        <w:t xml:space="preserve"> 3 del artículo 20 de la Ley 1150 de 2007</w:t>
      </w:r>
    </w:p>
    <w:p w14:paraId="028F11B4" w14:textId="77777777" w:rsidR="00AB69A1" w:rsidRDefault="00AB69A1" w:rsidP="00AB69A1">
      <w:pPr>
        <w:spacing w:line="276" w:lineRule="auto"/>
        <w:jc w:val="both"/>
        <w:rPr>
          <w:rFonts w:ascii="Arial" w:hAnsi="Arial" w:cs="Arial"/>
          <w:sz w:val="22"/>
          <w:lang w:val="es-ES"/>
        </w:rPr>
      </w:pPr>
    </w:p>
    <w:p w14:paraId="145A0CC2" w14:textId="3C3BCA54" w:rsidR="000805B8" w:rsidRDefault="000805B8" w:rsidP="00F05F5A">
      <w:pPr>
        <w:spacing w:after="120" w:line="276" w:lineRule="auto"/>
        <w:jc w:val="both"/>
        <w:rPr>
          <w:rFonts w:ascii="Arial" w:hAnsi="Arial" w:cs="Arial"/>
          <w:sz w:val="22"/>
          <w:lang w:val="es-ES"/>
        </w:rPr>
      </w:pPr>
      <w:r>
        <w:rPr>
          <w:rFonts w:ascii="Arial" w:hAnsi="Arial" w:cs="Arial"/>
          <w:sz w:val="22"/>
          <w:lang w:val="es-ES"/>
        </w:rPr>
        <w:lastRenderedPageBreak/>
        <w:t>El inciso tercer</w:t>
      </w:r>
      <w:r w:rsidR="00AB69A1">
        <w:rPr>
          <w:rFonts w:ascii="Arial" w:hAnsi="Arial" w:cs="Arial"/>
          <w:sz w:val="22"/>
          <w:lang w:val="es-ES"/>
        </w:rPr>
        <w:t>o</w:t>
      </w:r>
      <w:r>
        <w:rPr>
          <w:rFonts w:ascii="Arial" w:hAnsi="Arial" w:cs="Arial"/>
          <w:sz w:val="22"/>
          <w:lang w:val="es-ES"/>
        </w:rPr>
        <w:t xml:space="preserve"> </w:t>
      </w:r>
      <w:r w:rsidRPr="000805B8">
        <w:rPr>
          <w:rFonts w:ascii="Arial" w:hAnsi="Arial" w:cs="Arial"/>
          <w:sz w:val="22"/>
          <w:lang w:val="es-ES"/>
        </w:rPr>
        <w:t>del artículo 20 de la Ley 1150 de 2007</w:t>
      </w:r>
      <w:r>
        <w:rPr>
          <w:rFonts w:ascii="Arial" w:hAnsi="Arial" w:cs="Arial"/>
          <w:sz w:val="22"/>
          <w:lang w:val="es-ES"/>
        </w:rPr>
        <w:t xml:space="preserve"> </w:t>
      </w:r>
      <w:r w:rsidR="00CA5F30">
        <w:rPr>
          <w:rFonts w:ascii="Arial" w:hAnsi="Arial" w:cs="Arial"/>
          <w:sz w:val="22"/>
          <w:lang w:val="es-ES"/>
        </w:rPr>
        <w:t xml:space="preserve">contiene </w:t>
      </w:r>
      <w:r w:rsidR="00AB69A1">
        <w:rPr>
          <w:rFonts w:ascii="Arial" w:hAnsi="Arial" w:cs="Arial"/>
          <w:sz w:val="22"/>
          <w:lang w:val="es-ES"/>
        </w:rPr>
        <w:t>una restricción para l</w:t>
      </w:r>
      <w:r w:rsidRPr="000805B8">
        <w:rPr>
          <w:rFonts w:ascii="Arial" w:hAnsi="Arial" w:cs="Arial"/>
          <w:sz w:val="22"/>
          <w:lang w:val="es-ES"/>
        </w:rPr>
        <w:t>as entidades estatales</w:t>
      </w:r>
      <w:r w:rsidR="00AB69A1">
        <w:rPr>
          <w:rFonts w:ascii="Arial" w:hAnsi="Arial" w:cs="Arial"/>
          <w:sz w:val="22"/>
          <w:lang w:val="es-ES"/>
        </w:rPr>
        <w:t xml:space="preserve">, quienes </w:t>
      </w:r>
      <w:r w:rsidRPr="000805B8">
        <w:rPr>
          <w:rFonts w:ascii="Arial" w:hAnsi="Arial" w:cs="Arial"/>
          <w:sz w:val="22"/>
          <w:lang w:val="es-ES"/>
        </w:rPr>
        <w:t>no podrán celebrar contratos o convenios para la administración o gerencia de sus recursos propios o de aquellos que les asignen los presupuestos públicos, con organismos de cooperación, asistencia o ayuda internacional.</w:t>
      </w:r>
    </w:p>
    <w:p w14:paraId="1CEDB7B1" w14:textId="71D511C8" w:rsidR="005F5F54" w:rsidRDefault="005F5F54" w:rsidP="00F05F5A">
      <w:pPr>
        <w:spacing w:after="120" w:line="276" w:lineRule="auto"/>
        <w:ind w:firstLine="708"/>
        <w:jc w:val="both"/>
        <w:rPr>
          <w:rFonts w:ascii="Arial" w:hAnsi="Arial" w:cs="Arial"/>
          <w:sz w:val="22"/>
          <w:lang w:val="es-ES"/>
        </w:rPr>
      </w:pPr>
      <w:r>
        <w:rPr>
          <w:rFonts w:ascii="Arial" w:hAnsi="Arial" w:cs="Arial"/>
          <w:sz w:val="22"/>
          <w:lang w:val="es-ES"/>
        </w:rPr>
        <w:t xml:space="preserve">Para dar mayor claridad al alcance contenido en dicha restricción </w:t>
      </w:r>
      <w:r w:rsidR="00DE368A">
        <w:rPr>
          <w:rFonts w:ascii="Arial" w:hAnsi="Arial" w:cs="Arial"/>
          <w:sz w:val="22"/>
          <w:lang w:val="es-ES"/>
        </w:rPr>
        <w:t xml:space="preserve">se debe explicar </w:t>
      </w:r>
      <w:r>
        <w:rPr>
          <w:rFonts w:ascii="Arial" w:hAnsi="Arial" w:cs="Arial"/>
          <w:sz w:val="22"/>
          <w:lang w:val="es-ES"/>
        </w:rPr>
        <w:t xml:space="preserve">el sentido de la gestión de administrar </w:t>
      </w:r>
      <w:r w:rsidR="00CA5F30">
        <w:rPr>
          <w:rFonts w:ascii="Arial" w:hAnsi="Arial" w:cs="Arial"/>
          <w:sz w:val="22"/>
          <w:lang w:val="es-ES"/>
        </w:rPr>
        <w:t xml:space="preserve">o gerencia </w:t>
      </w:r>
      <w:r>
        <w:rPr>
          <w:rFonts w:ascii="Arial" w:hAnsi="Arial" w:cs="Arial"/>
          <w:sz w:val="22"/>
          <w:lang w:val="es-ES"/>
        </w:rPr>
        <w:t xml:space="preserve">recursos y la de ejecutar </w:t>
      </w:r>
      <w:r w:rsidR="00CA5F30">
        <w:rPr>
          <w:rFonts w:ascii="Arial" w:hAnsi="Arial" w:cs="Arial"/>
          <w:sz w:val="22"/>
          <w:lang w:val="es-ES"/>
        </w:rPr>
        <w:t>materialmente un</w:t>
      </w:r>
      <w:r>
        <w:rPr>
          <w:rFonts w:ascii="Arial" w:hAnsi="Arial" w:cs="Arial"/>
          <w:sz w:val="22"/>
          <w:lang w:val="es-ES"/>
        </w:rPr>
        <w:t xml:space="preserve"> proyecto. </w:t>
      </w:r>
      <w:r w:rsidRPr="004A385C">
        <w:rPr>
          <w:rFonts w:ascii="Arial" w:hAnsi="Arial" w:cs="Arial"/>
          <w:sz w:val="22"/>
          <w:lang w:val="es-ES"/>
        </w:rPr>
        <w:t>En la gestión de administrar existe un compromiso que no va más allá de una obligación de intermediación en el manejo de dichos recursos; en tanto que</w:t>
      </w:r>
      <w:r w:rsidR="000B2CE3">
        <w:rPr>
          <w:rFonts w:ascii="Arial" w:hAnsi="Arial" w:cs="Arial"/>
          <w:sz w:val="22"/>
          <w:lang w:val="es-ES"/>
        </w:rPr>
        <w:t>,</w:t>
      </w:r>
      <w:r w:rsidRPr="004A385C">
        <w:rPr>
          <w:rFonts w:ascii="Arial" w:hAnsi="Arial" w:cs="Arial"/>
          <w:sz w:val="22"/>
          <w:lang w:val="es-ES"/>
        </w:rPr>
        <w:t xml:space="preserve"> para la ejecución de un proyecto específico, existe una la obligación de obtener un resultado esperado, es decir</w:t>
      </w:r>
      <w:r w:rsidR="004A385C" w:rsidRPr="004A385C">
        <w:rPr>
          <w:rFonts w:ascii="Arial" w:hAnsi="Arial" w:cs="Arial"/>
          <w:sz w:val="22"/>
          <w:lang w:val="es-ES"/>
        </w:rPr>
        <w:t>,</w:t>
      </w:r>
      <w:r w:rsidRPr="004A385C">
        <w:rPr>
          <w:rFonts w:ascii="Arial" w:hAnsi="Arial" w:cs="Arial"/>
          <w:sz w:val="22"/>
          <w:lang w:val="es-ES"/>
        </w:rPr>
        <w:t xml:space="preserve"> que quien recibe el recurso </w:t>
      </w:r>
      <w:r w:rsidR="00EA3DA0">
        <w:rPr>
          <w:rFonts w:ascii="Arial" w:hAnsi="Arial" w:cs="Arial"/>
          <w:sz w:val="22"/>
          <w:lang w:val="es-ES"/>
        </w:rPr>
        <w:t xml:space="preserve">como contraprestación </w:t>
      </w:r>
      <w:r w:rsidRPr="004A385C">
        <w:rPr>
          <w:rFonts w:ascii="Arial" w:hAnsi="Arial" w:cs="Arial"/>
          <w:sz w:val="22"/>
          <w:lang w:val="es-ES"/>
        </w:rPr>
        <w:t xml:space="preserve">lo apropia, bajo el compromiso de ejecutar el proyecto, </w:t>
      </w:r>
      <w:r w:rsidR="004A385C" w:rsidRPr="004A385C">
        <w:rPr>
          <w:rFonts w:ascii="Arial" w:hAnsi="Arial" w:cs="Arial"/>
          <w:sz w:val="22"/>
          <w:lang w:val="es-ES"/>
        </w:rPr>
        <w:t xml:space="preserve">el logro de unos </w:t>
      </w:r>
      <w:r w:rsidRPr="004A385C">
        <w:rPr>
          <w:rFonts w:ascii="Arial" w:hAnsi="Arial" w:cs="Arial"/>
          <w:sz w:val="22"/>
          <w:lang w:val="es-ES"/>
        </w:rPr>
        <w:t>objetivos</w:t>
      </w:r>
      <w:r w:rsidR="004A385C" w:rsidRPr="004A385C">
        <w:rPr>
          <w:rFonts w:ascii="Arial" w:hAnsi="Arial" w:cs="Arial"/>
          <w:sz w:val="22"/>
          <w:lang w:val="es-ES"/>
        </w:rPr>
        <w:t xml:space="preserve"> propuestos y</w:t>
      </w:r>
      <w:r w:rsidRPr="004A385C">
        <w:rPr>
          <w:rFonts w:ascii="Arial" w:hAnsi="Arial" w:cs="Arial"/>
          <w:sz w:val="22"/>
          <w:lang w:val="es-ES"/>
        </w:rPr>
        <w:t xml:space="preserve"> </w:t>
      </w:r>
      <w:r w:rsidR="004A385C" w:rsidRPr="004A385C">
        <w:rPr>
          <w:rFonts w:ascii="Arial" w:hAnsi="Arial" w:cs="Arial"/>
          <w:sz w:val="22"/>
          <w:lang w:val="es-ES"/>
        </w:rPr>
        <w:t xml:space="preserve">llevar a cabo </w:t>
      </w:r>
      <w:r w:rsidR="003D7728">
        <w:rPr>
          <w:rFonts w:ascii="Arial" w:hAnsi="Arial" w:cs="Arial"/>
          <w:sz w:val="22"/>
          <w:lang w:val="es-ES"/>
        </w:rPr>
        <w:t>las</w:t>
      </w:r>
      <w:r w:rsidR="003D7728" w:rsidRPr="004A385C">
        <w:rPr>
          <w:rFonts w:ascii="Arial" w:hAnsi="Arial" w:cs="Arial"/>
          <w:sz w:val="22"/>
          <w:lang w:val="es-ES"/>
        </w:rPr>
        <w:t xml:space="preserve"> </w:t>
      </w:r>
      <w:r w:rsidRPr="004A385C">
        <w:rPr>
          <w:rFonts w:ascii="Arial" w:hAnsi="Arial" w:cs="Arial"/>
          <w:sz w:val="22"/>
          <w:lang w:val="es-ES"/>
        </w:rPr>
        <w:t xml:space="preserve">actividades </w:t>
      </w:r>
      <w:r w:rsidR="004A385C" w:rsidRPr="004A385C">
        <w:rPr>
          <w:rFonts w:ascii="Arial" w:hAnsi="Arial" w:cs="Arial"/>
          <w:sz w:val="22"/>
          <w:lang w:val="es-ES"/>
        </w:rPr>
        <w:t>establecidas de manera previa</w:t>
      </w:r>
      <w:r w:rsidRPr="004A385C">
        <w:rPr>
          <w:rFonts w:ascii="Arial" w:hAnsi="Arial" w:cs="Arial"/>
          <w:sz w:val="22"/>
          <w:lang w:val="es-ES"/>
        </w:rPr>
        <w:t>. En este segundo evento, se ejecuta</w:t>
      </w:r>
      <w:r w:rsidR="003D7728">
        <w:rPr>
          <w:rFonts w:ascii="Arial" w:hAnsi="Arial" w:cs="Arial"/>
          <w:sz w:val="22"/>
          <w:lang w:val="es-ES"/>
        </w:rPr>
        <w:t>n</w:t>
      </w:r>
      <w:r w:rsidRPr="004A385C">
        <w:rPr>
          <w:rFonts w:ascii="Arial" w:hAnsi="Arial" w:cs="Arial"/>
          <w:sz w:val="22"/>
          <w:lang w:val="es-ES"/>
        </w:rPr>
        <w:t xml:space="preserve"> </w:t>
      </w:r>
      <w:r w:rsidR="003D7728">
        <w:rPr>
          <w:rFonts w:ascii="Arial" w:hAnsi="Arial" w:cs="Arial"/>
          <w:sz w:val="22"/>
          <w:lang w:val="es-ES"/>
        </w:rPr>
        <w:t xml:space="preserve">materialmente los recursos para la </w:t>
      </w:r>
      <w:r w:rsidR="00CA5F30">
        <w:rPr>
          <w:rFonts w:ascii="Arial" w:hAnsi="Arial" w:cs="Arial"/>
          <w:sz w:val="22"/>
          <w:lang w:val="es-ES"/>
        </w:rPr>
        <w:t>prestación de un servicio, la adquisición de bienes o la ejecución de obras; mientras que, como se indicó, la administración o gerencia de recursos implica contratar a un tercero para que utilice tales dineros para contratar a terceros que ejecutarán materialmente las actividades anteriores.</w:t>
      </w:r>
    </w:p>
    <w:p w14:paraId="3158B379" w14:textId="7458E4EB" w:rsidR="00AD55CA" w:rsidRDefault="000B2CE3" w:rsidP="00917897">
      <w:pPr>
        <w:spacing w:after="120" w:line="276" w:lineRule="auto"/>
        <w:ind w:firstLine="708"/>
        <w:jc w:val="both"/>
        <w:rPr>
          <w:rFonts w:ascii="Arial" w:hAnsi="Arial" w:cs="Arial"/>
          <w:sz w:val="22"/>
          <w:lang w:val="es-ES"/>
        </w:rPr>
      </w:pPr>
      <w:r>
        <w:rPr>
          <w:rFonts w:ascii="Arial" w:hAnsi="Arial" w:cs="Arial"/>
          <w:sz w:val="22"/>
          <w:lang w:val="es-ES"/>
        </w:rPr>
        <w:t>De acuerdo con la anterior precisión</w:t>
      </w:r>
      <w:r w:rsidR="00EA3DA0">
        <w:rPr>
          <w:rFonts w:ascii="Arial" w:hAnsi="Arial" w:cs="Arial"/>
          <w:sz w:val="22"/>
          <w:lang w:val="es-ES"/>
        </w:rPr>
        <w:t>,</w:t>
      </w:r>
      <w:r>
        <w:rPr>
          <w:rFonts w:ascii="Arial" w:hAnsi="Arial" w:cs="Arial"/>
          <w:sz w:val="22"/>
          <w:lang w:val="es-ES"/>
        </w:rPr>
        <w:t xml:space="preserve"> la restricción contemplada en el inciso tercero del artículo </w:t>
      </w:r>
      <w:r w:rsidR="00BD27AE">
        <w:rPr>
          <w:rFonts w:ascii="Arial" w:hAnsi="Arial" w:cs="Arial"/>
          <w:sz w:val="22"/>
          <w:lang w:val="es-ES"/>
        </w:rPr>
        <w:t>20</w:t>
      </w:r>
      <w:r>
        <w:rPr>
          <w:rFonts w:ascii="Arial" w:hAnsi="Arial" w:cs="Arial"/>
          <w:sz w:val="22"/>
          <w:lang w:val="es-ES"/>
        </w:rPr>
        <w:t xml:space="preserve"> de la Ley 1150 de 2007, está encaminada a convenios suscritos con organismos internacionales en los cuales el objeto de dicho acuerdo se contemple una actividad de </w:t>
      </w:r>
      <w:r w:rsidR="00C2563C">
        <w:rPr>
          <w:rFonts w:ascii="Arial" w:hAnsi="Arial" w:cs="Arial"/>
          <w:sz w:val="22"/>
          <w:lang w:val="es-ES"/>
        </w:rPr>
        <w:t xml:space="preserve">simple </w:t>
      </w:r>
      <w:r>
        <w:rPr>
          <w:rFonts w:ascii="Arial" w:hAnsi="Arial" w:cs="Arial"/>
          <w:sz w:val="22"/>
          <w:lang w:val="es-ES"/>
        </w:rPr>
        <w:t>intermediación</w:t>
      </w:r>
      <w:r w:rsidR="003949F4">
        <w:rPr>
          <w:rFonts w:ascii="Arial" w:hAnsi="Arial" w:cs="Arial"/>
          <w:sz w:val="22"/>
          <w:lang w:val="es-ES"/>
        </w:rPr>
        <w:t>. En dichos casos se trata</w:t>
      </w:r>
      <w:r>
        <w:rPr>
          <w:rFonts w:ascii="Arial" w:hAnsi="Arial" w:cs="Arial"/>
          <w:sz w:val="22"/>
          <w:lang w:val="es-ES"/>
        </w:rPr>
        <w:t xml:space="preserve"> de</w:t>
      </w:r>
      <w:r w:rsidR="003949F4">
        <w:rPr>
          <w:rFonts w:ascii="Arial" w:hAnsi="Arial" w:cs="Arial"/>
          <w:sz w:val="22"/>
          <w:lang w:val="es-ES"/>
        </w:rPr>
        <w:t xml:space="preserve"> un</w:t>
      </w:r>
      <w:r>
        <w:rPr>
          <w:rFonts w:ascii="Arial" w:hAnsi="Arial" w:cs="Arial"/>
          <w:sz w:val="22"/>
          <w:lang w:val="es-ES"/>
        </w:rPr>
        <w:t xml:space="preserve"> medio para la administración de los recursos de las entidades públicas</w:t>
      </w:r>
      <w:r w:rsidR="008861E2">
        <w:rPr>
          <w:rFonts w:ascii="Arial" w:hAnsi="Arial" w:cs="Arial"/>
          <w:sz w:val="22"/>
          <w:lang w:val="es-ES"/>
        </w:rPr>
        <w:t xml:space="preserve">, ya sean propios o </w:t>
      </w:r>
      <w:r>
        <w:rPr>
          <w:rFonts w:ascii="Arial" w:hAnsi="Arial" w:cs="Arial"/>
          <w:sz w:val="22"/>
          <w:lang w:val="es-ES"/>
        </w:rPr>
        <w:t xml:space="preserve">los </w:t>
      </w:r>
      <w:r w:rsidR="008861E2">
        <w:rPr>
          <w:rFonts w:ascii="Arial" w:hAnsi="Arial" w:cs="Arial"/>
          <w:sz w:val="22"/>
          <w:lang w:val="es-ES"/>
        </w:rPr>
        <w:t>correspondientes a</w:t>
      </w:r>
      <w:r>
        <w:rPr>
          <w:rFonts w:ascii="Arial" w:hAnsi="Arial" w:cs="Arial"/>
          <w:sz w:val="22"/>
          <w:lang w:val="es-ES"/>
        </w:rPr>
        <w:t xml:space="preserve"> asignaciones de presupuesto público</w:t>
      </w:r>
      <w:r w:rsidR="008861E2">
        <w:rPr>
          <w:rFonts w:ascii="Arial" w:hAnsi="Arial" w:cs="Arial"/>
          <w:sz w:val="22"/>
          <w:lang w:val="es-ES"/>
        </w:rPr>
        <w:t>;</w:t>
      </w:r>
      <w:r w:rsidR="00AD55CA">
        <w:rPr>
          <w:rFonts w:ascii="Arial" w:hAnsi="Arial" w:cs="Arial"/>
          <w:sz w:val="22"/>
          <w:lang w:val="es-ES"/>
        </w:rPr>
        <w:t xml:space="preserve"> es decir, que no </w:t>
      </w:r>
      <w:r w:rsidR="008861E2">
        <w:rPr>
          <w:rFonts w:ascii="Arial" w:hAnsi="Arial" w:cs="Arial"/>
          <w:sz w:val="22"/>
          <w:lang w:val="es-ES"/>
        </w:rPr>
        <w:t>implica</w:t>
      </w:r>
      <w:r w:rsidR="00AD55CA">
        <w:rPr>
          <w:rFonts w:ascii="Arial" w:hAnsi="Arial" w:cs="Arial"/>
          <w:sz w:val="22"/>
          <w:lang w:val="es-ES"/>
        </w:rPr>
        <w:t xml:space="preserve"> la ejecución </w:t>
      </w:r>
      <w:r w:rsidR="00EA3DA0">
        <w:rPr>
          <w:rFonts w:ascii="Arial" w:hAnsi="Arial" w:cs="Arial"/>
          <w:sz w:val="22"/>
          <w:lang w:val="es-ES"/>
        </w:rPr>
        <w:t xml:space="preserve">material </w:t>
      </w:r>
      <w:r w:rsidR="00AD55CA">
        <w:rPr>
          <w:rFonts w:ascii="Arial" w:hAnsi="Arial" w:cs="Arial"/>
          <w:sz w:val="22"/>
          <w:lang w:val="es-ES"/>
        </w:rPr>
        <w:t>del recurso con cargo a</w:t>
      </w:r>
      <w:r w:rsidR="008861E2">
        <w:rPr>
          <w:rFonts w:ascii="Arial" w:hAnsi="Arial" w:cs="Arial"/>
          <w:sz w:val="22"/>
          <w:lang w:val="es-ES"/>
        </w:rPr>
        <w:t xml:space="preserve"> los</w:t>
      </w:r>
      <w:r w:rsidR="00AD55CA">
        <w:rPr>
          <w:rFonts w:ascii="Arial" w:hAnsi="Arial" w:cs="Arial"/>
          <w:sz w:val="22"/>
          <w:lang w:val="es-ES"/>
        </w:rPr>
        <w:t xml:space="preserve"> resultados esperados para la ejecución de un proyecto</w:t>
      </w:r>
      <w:r w:rsidR="008861E2">
        <w:rPr>
          <w:rFonts w:ascii="Arial" w:hAnsi="Arial" w:cs="Arial"/>
          <w:sz w:val="22"/>
          <w:lang w:val="es-ES"/>
        </w:rPr>
        <w:t xml:space="preserve"> que </w:t>
      </w:r>
      <w:r w:rsidR="005D2D0D">
        <w:rPr>
          <w:rFonts w:ascii="Arial" w:hAnsi="Arial" w:cs="Arial"/>
          <w:sz w:val="22"/>
          <w:lang w:val="es-ES"/>
        </w:rPr>
        <w:t xml:space="preserve">podría </w:t>
      </w:r>
      <w:r w:rsidR="009C0C5D">
        <w:rPr>
          <w:rFonts w:ascii="Arial" w:hAnsi="Arial" w:cs="Arial"/>
          <w:sz w:val="22"/>
          <w:lang w:val="es-ES"/>
        </w:rPr>
        <w:t>satisfa</w:t>
      </w:r>
      <w:r w:rsidR="005D2D0D">
        <w:rPr>
          <w:rFonts w:ascii="Arial" w:hAnsi="Arial" w:cs="Arial"/>
          <w:sz w:val="22"/>
          <w:lang w:val="es-ES"/>
        </w:rPr>
        <w:t>cer</w:t>
      </w:r>
      <w:r w:rsidR="008861E2">
        <w:rPr>
          <w:rFonts w:ascii="Arial" w:hAnsi="Arial" w:cs="Arial"/>
          <w:sz w:val="22"/>
          <w:lang w:val="es-ES"/>
        </w:rPr>
        <w:t xml:space="preserve"> la necesidad de la entidad estatal. </w:t>
      </w:r>
      <w:r w:rsidR="009C0C5D">
        <w:rPr>
          <w:rFonts w:ascii="Arial" w:hAnsi="Arial" w:cs="Arial"/>
          <w:sz w:val="22"/>
          <w:lang w:val="es-ES"/>
        </w:rPr>
        <w:t>En este sentido, l</w:t>
      </w:r>
      <w:r w:rsidR="008861E2">
        <w:rPr>
          <w:rFonts w:ascii="Arial" w:hAnsi="Arial" w:cs="Arial"/>
          <w:sz w:val="22"/>
          <w:lang w:val="es-ES"/>
        </w:rPr>
        <w:t>os supuestos prohibidos por la disposición consisten en</w:t>
      </w:r>
      <w:r w:rsidR="00AD55CA">
        <w:rPr>
          <w:rFonts w:ascii="Arial" w:hAnsi="Arial" w:cs="Arial"/>
          <w:sz w:val="22"/>
          <w:lang w:val="es-ES"/>
        </w:rPr>
        <w:t xml:space="preserve"> </w:t>
      </w:r>
      <w:r w:rsidR="008861E2">
        <w:rPr>
          <w:rFonts w:ascii="Arial" w:hAnsi="Arial" w:cs="Arial"/>
          <w:sz w:val="22"/>
          <w:lang w:val="es-ES"/>
        </w:rPr>
        <w:t>desarrollar</w:t>
      </w:r>
      <w:r w:rsidR="008861E2" w:rsidRPr="00D03D63">
        <w:rPr>
          <w:rFonts w:ascii="Arial" w:hAnsi="Arial" w:cs="Arial"/>
          <w:sz w:val="22"/>
          <w:lang w:val="es-ES"/>
        </w:rPr>
        <w:t xml:space="preserve"> </w:t>
      </w:r>
      <w:r w:rsidR="00AD55CA" w:rsidRPr="00D03D63">
        <w:rPr>
          <w:rFonts w:ascii="Arial" w:hAnsi="Arial" w:cs="Arial"/>
          <w:sz w:val="22"/>
          <w:lang w:val="es-ES"/>
        </w:rPr>
        <w:t xml:space="preserve">una </w:t>
      </w:r>
      <w:r w:rsidR="00EA3DA0">
        <w:rPr>
          <w:rFonts w:ascii="Arial" w:hAnsi="Arial" w:cs="Arial"/>
          <w:sz w:val="22"/>
          <w:lang w:val="es-ES"/>
        </w:rPr>
        <w:t>actividad meramente</w:t>
      </w:r>
      <w:r w:rsidR="00AD55CA" w:rsidRPr="00D03D63">
        <w:rPr>
          <w:rFonts w:ascii="Arial" w:hAnsi="Arial" w:cs="Arial"/>
          <w:sz w:val="22"/>
          <w:lang w:val="es-ES"/>
        </w:rPr>
        <w:t xml:space="preserve"> administrativa</w:t>
      </w:r>
      <w:r w:rsidR="00AD55CA">
        <w:rPr>
          <w:rFonts w:ascii="Arial" w:hAnsi="Arial" w:cs="Arial"/>
          <w:sz w:val="22"/>
          <w:lang w:val="es-ES"/>
        </w:rPr>
        <w:t>, que de contera podría decirse, elevaría los</w:t>
      </w:r>
      <w:r w:rsidR="00AD55CA" w:rsidRPr="000B2CE3">
        <w:rPr>
          <w:rFonts w:ascii="Arial" w:hAnsi="Arial" w:cs="Arial"/>
          <w:sz w:val="22"/>
          <w:lang w:val="es-ES"/>
        </w:rPr>
        <w:t xml:space="preserve"> costos por comisiones de administración en que incurrir</w:t>
      </w:r>
      <w:r w:rsidR="009C0C5D">
        <w:rPr>
          <w:rFonts w:ascii="Arial" w:hAnsi="Arial" w:cs="Arial"/>
          <w:sz w:val="22"/>
          <w:lang w:val="es-ES"/>
        </w:rPr>
        <w:t>ía</w:t>
      </w:r>
      <w:r w:rsidR="00AD55CA" w:rsidRPr="000B2CE3">
        <w:rPr>
          <w:rFonts w:ascii="Arial" w:hAnsi="Arial" w:cs="Arial"/>
          <w:sz w:val="22"/>
          <w:lang w:val="es-ES"/>
        </w:rPr>
        <w:t xml:space="preserve"> el organismo internacional con cargo a los recursos </w:t>
      </w:r>
      <w:r w:rsidR="00DE368A">
        <w:rPr>
          <w:rFonts w:ascii="Arial" w:hAnsi="Arial" w:cs="Arial"/>
          <w:sz w:val="22"/>
          <w:lang w:val="es-ES"/>
        </w:rPr>
        <w:t>de la entidad estatal colombiana</w:t>
      </w:r>
      <w:r w:rsidR="00AD55CA">
        <w:rPr>
          <w:rFonts w:ascii="Arial" w:hAnsi="Arial" w:cs="Arial"/>
          <w:sz w:val="22"/>
          <w:lang w:val="es-ES"/>
        </w:rPr>
        <w:t>.</w:t>
      </w:r>
    </w:p>
    <w:p w14:paraId="21A90DF1" w14:textId="665E99F8" w:rsidR="00917897" w:rsidRPr="00917897" w:rsidRDefault="00917897" w:rsidP="00917897">
      <w:pPr>
        <w:spacing w:after="120" w:line="276" w:lineRule="auto"/>
        <w:ind w:firstLine="708"/>
        <w:jc w:val="both"/>
        <w:rPr>
          <w:rFonts w:ascii="Arial" w:hAnsi="Arial" w:cs="Arial"/>
          <w:sz w:val="22"/>
          <w:lang w:val="es-ES"/>
        </w:rPr>
      </w:pPr>
      <w:r w:rsidRPr="00917897">
        <w:rPr>
          <w:rFonts w:ascii="Arial" w:hAnsi="Arial" w:cs="Arial"/>
          <w:sz w:val="22"/>
          <w:lang w:val="es-ES"/>
        </w:rPr>
        <w:t xml:space="preserve">Lo anteriormente expuesto difiere de la ejecución de proyectos mediante los cuales existe un verdadero espíritu de cooperación mediante al aporte de recursos públicos o la recepción de recursos de cooperación por parte de las entidades estatales. </w:t>
      </w:r>
      <w:r w:rsidR="009C0C5D">
        <w:rPr>
          <w:rFonts w:ascii="Arial" w:hAnsi="Arial" w:cs="Arial"/>
          <w:sz w:val="22"/>
          <w:lang w:val="es-ES"/>
        </w:rPr>
        <w:t>De manera que e</w:t>
      </w:r>
      <w:r w:rsidRPr="00917897">
        <w:rPr>
          <w:rFonts w:ascii="Arial" w:hAnsi="Arial" w:cs="Arial"/>
          <w:sz w:val="22"/>
          <w:lang w:val="es-ES"/>
        </w:rPr>
        <w:t>l contenido de dicha prohibición no est</w:t>
      </w:r>
      <w:r w:rsidR="009C0C5D">
        <w:rPr>
          <w:rFonts w:ascii="Arial" w:hAnsi="Arial" w:cs="Arial"/>
          <w:sz w:val="22"/>
          <w:lang w:val="es-ES"/>
        </w:rPr>
        <w:t>á</w:t>
      </w:r>
      <w:r w:rsidRPr="00917897">
        <w:rPr>
          <w:rFonts w:ascii="Arial" w:hAnsi="Arial" w:cs="Arial"/>
          <w:sz w:val="22"/>
          <w:lang w:val="es-ES"/>
        </w:rPr>
        <w:t xml:space="preserve"> encaminado a obstaculizar la ejecución </w:t>
      </w:r>
      <w:r w:rsidR="005D2D0D">
        <w:rPr>
          <w:rFonts w:ascii="Arial" w:hAnsi="Arial" w:cs="Arial"/>
          <w:sz w:val="22"/>
          <w:lang w:val="es-ES"/>
        </w:rPr>
        <w:t xml:space="preserve">de </w:t>
      </w:r>
      <w:r w:rsidRPr="00917897">
        <w:rPr>
          <w:rFonts w:ascii="Arial" w:hAnsi="Arial" w:cs="Arial"/>
          <w:sz w:val="22"/>
          <w:lang w:val="es-ES"/>
        </w:rPr>
        <w:t xml:space="preserve">proyectos </w:t>
      </w:r>
      <w:r w:rsidR="009C0C5D" w:rsidRPr="00917897">
        <w:rPr>
          <w:rFonts w:ascii="Arial" w:hAnsi="Arial" w:cs="Arial"/>
          <w:sz w:val="22"/>
          <w:lang w:val="es-ES"/>
        </w:rPr>
        <w:t xml:space="preserve">reales </w:t>
      </w:r>
      <w:r w:rsidRPr="00917897">
        <w:rPr>
          <w:rFonts w:ascii="Arial" w:hAnsi="Arial" w:cs="Arial"/>
          <w:sz w:val="22"/>
          <w:lang w:val="es-ES"/>
        </w:rPr>
        <w:t xml:space="preserve">de cooperación internacional, o a </w:t>
      </w:r>
      <w:r w:rsidR="009C0C5D">
        <w:rPr>
          <w:rFonts w:ascii="Arial" w:hAnsi="Arial" w:cs="Arial"/>
          <w:sz w:val="22"/>
          <w:lang w:val="es-ES"/>
        </w:rPr>
        <w:t>impedir</w:t>
      </w:r>
      <w:r w:rsidRPr="00917897">
        <w:rPr>
          <w:rFonts w:ascii="Arial" w:hAnsi="Arial" w:cs="Arial"/>
          <w:sz w:val="22"/>
          <w:lang w:val="es-ES"/>
        </w:rPr>
        <w:t xml:space="preserve"> la intervención de organismos internacionales en el desarrollo social del país. </w:t>
      </w:r>
      <w:r w:rsidR="009C0C5D">
        <w:rPr>
          <w:rFonts w:ascii="Arial" w:hAnsi="Arial" w:cs="Arial"/>
          <w:sz w:val="22"/>
          <w:lang w:val="es-ES"/>
        </w:rPr>
        <w:t>En este sentido, lo que prohíbe el inciso tercero del artículo 20 de la Ley 1150 de 2007 consiste en celebrar contratos para que los organismos internacionales simplemente administren o gerencien los recursos de la entidad estatal, de manera que no se utilicen estos contratos para que estos organismos</w:t>
      </w:r>
      <w:r w:rsidR="006B447E">
        <w:rPr>
          <w:rFonts w:ascii="Arial" w:hAnsi="Arial" w:cs="Arial"/>
          <w:sz w:val="22"/>
          <w:lang w:val="es-ES"/>
        </w:rPr>
        <w:t xml:space="preserve"> internacionales</w:t>
      </w:r>
      <w:r w:rsidR="009C0C5D">
        <w:rPr>
          <w:rFonts w:ascii="Arial" w:hAnsi="Arial" w:cs="Arial"/>
          <w:sz w:val="22"/>
          <w:lang w:val="es-ES"/>
        </w:rPr>
        <w:t xml:space="preserve"> fu</w:t>
      </w:r>
      <w:r w:rsidR="005D2D0D">
        <w:rPr>
          <w:rFonts w:ascii="Arial" w:hAnsi="Arial" w:cs="Arial"/>
          <w:sz w:val="22"/>
          <w:lang w:val="es-ES"/>
        </w:rPr>
        <w:t>n</w:t>
      </w:r>
      <w:r w:rsidR="009C0C5D">
        <w:rPr>
          <w:rFonts w:ascii="Arial" w:hAnsi="Arial" w:cs="Arial"/>
          <w:sz w:val="22"/>
          <w:lang w:val="es-ES"/>
        </w:rPr>
        <w:t xml:space="preserve">jan como meros intermediarios, ejecutando </w:t>
      </w:r>
      <w:r w:rsidR="0094552F">
        <w:rPr>
          <w:rFonts w:ascii="Arial" w:hAnsi="Arial" w:cs="Arial"/>
          <w:sz w:val="22"/>
          <w:lang w:val="es-ES"/>
        </w:rPr>
        <w:t>el presupuesto de las</w:t>
      </w:r>
      <w:r w:rsidR="009C0C5D">
        <w:rPr>
          <w:rFonts w:ascii="Arial" w:hAnsi="Arial" w:cs="Arial"/>
          <w:sz w:val="22"/>
          <w:lang w:val="es-ES"/>
        </w:rPr>
        <w:t xml:space="preserve"> entidades estatales mediante la contratación de terceros.</w:t>
      </w:r>
    </w:p>
    <w:p w14:paraId="691F7787" w14:textId="77777777" w:rsidR="00917897" w:rsidRDefault="00917897" w:rsidP="00EC0A6A">
      <w:pPr>
        <w:pStyle w:val="paragraph"/>
        <w:spacing w:before="0" w:beforeAutospacing="0" w:after="0" w:afterAutospacing="0" w:line="276" w:lineRule="auto"/>
        <w:jc w:val="both"/>
        <w:textAlignment w:val="baseline"/>
        <w:rPr>
          <w:rFonts w:ascii="Arial" w:hAnsi="Arial" w:cs="Arial"/>
          <w:b/>
          <w:noProof/>
          <w:sz w:val="22"/>
          <w:lang w:val="es-ES_tradnl"/>
        </w:rPr>
      </w:pPr>
    </w:p>
    <w:p w14:paraId="2980998C" w14:textId="1ACBBF84" w:rsidR="000920F0" w:rsidRPr="00295D8A" w:rsidRDefault="000920F0" w:rsidP="00EC0A6A">
      <w:pPr>
        <w:pStyle w:val="paragraph"/>
        <w:spacing w:before="0" w:beforeAutospacing="0" w:after="0" w:afterAutospacing="0" w:line="276" w:lineRule="auto"/>
        <w:jc w:val="both"/>
        <w:textAlignment w:val="baseline"/>
        <w:rPr>
          <w:rFonts w:ascii="Arial" w:hAnsi="Arial" w:cs="Arial"/>
          <w:noProof/>
          <w:sz w:val="22"/>
          <w:lang w:val="es-ES_tradnl"/>
        </w:rPr>
      </w:pPr>
      <w:r w:rsidRPr="00295D8A">
        <w:rPr>
          <w:rFonts w:ascii="Arial" w:hAnsi="Arial" w:cs="Arial"/>
          <w:b/>
          <w:noProof/>
          <w:sz w:val="22"/>
          <w:lang w:val="es-ES_tradnl"/>
        </w:rPr>
        <w:t>3.</w:t>
      </w:r>
      <w:r w:rsidR="0049042F" w:rsidRPr="00295D8A">
        <w:rPr>
          <w:rFonts w:ascii="Arial" w:hAnsi="Arial" w:cs="Arial"/>
          <w:b/>
          <w:noProof/>
          <w:sz w:val="22"/>
          <w:lang w:val="es-ES_tradnl"/>
        </w:rPr>
        <w:t xml:space="preserve"> </w:t>
      </w:r>
      <w:r w:rsidRPr="00295D8A">
        <w:rPr>
          <w:rFonts w:ascii="Arial" w:hAnsi="Arial" w:cs="Arial"/>
          <w:b/>
          <w:noProof/>
          <w:sz w:val="22"/>
          <w:lang w:val="es-ES_tradnl"/>
        </w:rPr>
        <w:t>Respuesta</w:t>
      </w:r>
    </w:p>
    <w:p w14:paraId="458F619B" w14:textId="4EED4EE7" w:rsidR="000920F0" w:rsidRDefault="000920F0" w:rsidP="00EA3DA0">
      <w:pPr>
        <w:spacing w:line="276" w:lineRule="auto"/>
        <w:ind w:right="709"/>
        <w:jc w:val="both"/>
        <w:rPr>
          <w:rFonts w:ascii="Arial" w:hAnsi="Arial" w:cs="Arial"/>
          <w:i/>
          <w:noProof/>
          <w:sz w:val="22"/>
          <w:lang w:val="es-ES_tradnl"/>
        </w:rPr>
      </w:pPr>
    </w:p>
    <w:p w14:paraId="00F8C1D9" w14:textId="19188F95" w:rsidR="00EA3DA0" w:rsidRDefault="00EA3DA0" w:rsidP="00F05F5A">
      <w:pPr>
        <w:ind w:left="709" w:right="709"/>
        <w:jc w:val="both"/>
        <w:rPr>
          <w:rFonts w:ascii="Arial" w:hAnsi="Arial" w:cs="Arial"/>
          <w:noProof/>
          <w:sz w:val="22"/>
          <w:lang w:val="es-ES_tradnl"/>
        </w:rPr>
      </w:pPr>
      <w:r w:rsidRPr="00295D8A">
        <w:rPr>
          <w:rFonts w:ascii="Arial" w:hAnsi="Arial" w:cs="Arial"/>
          <w:noProof/>
          <w:sz w:val="22"/>
          <w:lang w:val="es-ES_tradnl"/>
        </w:rPr>
        <w:t>«</w:t>
      </w:r>
      <w:r w:rsidRPr="00BD27AE">
        <w:rPr>
          <w:rFonts w:ascii="Arial" w:hAnsi="Arial" w:cs="Arial"/>
          <w:noProof/>
          <w:sz w:val="22"/>
          <w:lang w:val="es-ES_tradnl"/>
        </w:rPr>
        <w:t>¿Cuál es el alcance de la prohibición contenida en el inciso 3 del artículo 20 de la Ley 1150 de 2007 "Las entidades estatales no podrán celebrar contratos o convenios para la administración o gerencia de sus recursos propios o de aquellos que les asignen los presupuestos públicos, con organismos de cooperación, asistencia o ayuda internacional"?</w:t>
      </w:r>
      <w:r>
        <w:rPr>
          <w:rFonts w:ascii="Arial" w:hAnsi="Arial" w:cs="Arial"/>
          <w:noProof/>
          <w:sz w:val="22"/>
          <w:lang w:val="es-ES_tradnl"/>
        </w:rPr>
        <w:t>».</w:t>
      </w:r>
    </w:p>
    <w:p w14:paraId="5E490B9D" w14:textId="77777777" w:rsidR="00EA3DA0" w:rsidRPr="00F05F5A" w:rsidRDefault="00EA3DA0" w:rsidP="00F05F5A">
      <w:pPr>
        <w:spacing w:line="276" w:lineRule="auto"/>
        <w:ind w:right="709"/>
        <w:jc w:val="both"/>
        <w:rPr>
          <w:rFonts w:ascii="Arial" w:hAnsi="Arial" w:cs="Arial"/>
          <w:iCs/>
          <w:noProof/>
          <w:sz w:val="22"/>
          <w:lang w:val="es-ES_tradnl"/>
        </w:rPr>
      </w:pPr>
    </w:p>
    <w:p w14:paraId="1CE2DE86" w14:textId="6C7AB790" w:rsidR="00C2563C" w:rsidRDefault="00C2563C" w:rsidP="007C03E1">
      <w:pPr>
        <w:spacing w:after="120" w:line="276" w:lineRule="auto"/>
        <w:jc w:val="both"/>
        <w:rPr>
          <w:rFonts w:ascii="Arial" w:hAnsi="Arial" w:cs="Arial"/>
          <w:sz w:val="22"/>
          <w:lang w:val="es-ES"/>
        </w:rPr>
      </w:pPr>
      <w:r>
        <w:rPr>
          <w:rFonts w:ascii="Arial" w:hAnsi="Arial" w:cs="Arial"/>
          <w:sz w:val="22"/>
          <w:lang w:val="es-ES"/>
        </w:rPr>
        <w:t>Para dar mayor claridad al alcance contenido en dicha restricción se debe explicar el sentido de la gestión de administrar o gerencia</w:t>
      </w:r>
      <w:r w:rsidR="00CB4050">
        <w:rPr>
          <w:rFonts w:ascii="Arial" w:hAnsi="Arial" w:cs="Arial"/>
          <w:sz w:val="22"/>
          <w:lang w:val="es-ES"/>
        </w:rPr>
        <w:t>r</w:t>
      </w:r>
      <w:r>
        <w:rPr>
          <w:rFonts w:ascii="Arial" w:hAnsi="Arial" w:cs="Arial"/>
          <w:sz w:val="22"/>
          <w:lang w:val="es-ES"/>
        </w:rPr>
        <w:t xml:space="preserve"> recursos y la de ejecutar materialmente un proyecto. </w:t>
      </w:r>
      <w:r w:rsidRPr="004A385C">
        <w:rPr>
          <w:rFonts w:ascii="Arial" w:hAnsi="Arial" w:cs="Arial"/>
          <w:sz w:val="22"/>
          <w:lang w:val="es-ES"/>
        </w:rPr>
        <w:t>En la gestión de administrar existe un compromiso que no va más allá de una obligación de intermediación en el manejo de dichos recursos</w:t>
      </w:r>
      <w:r w:rsidR="00CB4050">
        <w:rPr>
          <w:rFonts w:ascii="Arial" w:hAnsi="Arial" w:cs="Arial"/>
          <w:sz w:val="22"/>
          <w:lang w:val="es-ES"/>
        </w:rPr>
        <w:t>. Por su parte,</w:t>
      </w:r>
      <w:r w:rsidRPr="004A385C">
        <w:rPr>
          <w:rFonts w:ascii="Arial" w:hAnsi="Arial" w:cs="Arial"/>
          <w:sz w:val="22"/>
          <w:lang w:val="es-ES"/>
        </w:rPr>
        <w:t xml:space="preserve"> para la ejecución de un proyecto específico, existe una obligación de obtener un resultado esperado, es decir, que quien recibe el recurso </w:t>
      </w:r>
      <w:r>
        <w:rPr>
          <w:rFonts w:ascii="Arial" w:hAnsi="Arial" w:cs="Arial"/>
          <w:sz w:val="22"/>
          <w:lang w:val="es-ES"/>
        </w:rPr>
        <w:t xml:space="preserve">como contraprestación </w:t>
      </w:r>
      <w:r w:rsidRPr="004A385C">
        <w:rPr>
          <w:rFonts w:ascii="Arial" w:hAnsi="Arial" w:cs="Arial"/>
          <w:sz w:val="22"/>
          <w:lang w:val="es-ES"/>
        </w:rPr>
        <w:t xml:space="preserve">lo apropia, bajo el compromiso de ejecutar el proyecto, el logro de unos objetivos propuestos y llevar a cabo </w:t>
      </w:r>
      <w:r>
        <w:rPr>
          <w:rFonts w:ascii="Arial" w:hAnsi="Arial" w:cs="Arial"/>
          <w:sz w:val="22"/>
          <w:lang w:val="es-ES"/>
        </w:rPr>
        <w:t>las</w:t>
      </w:r>
      <w:r w:rsidRPr="004A385C">
        <w:rPr>
          <w:rFonts w:ascii="Arial" w:hAnsi="Arial" w:cs="Arial"/>
          <w:sz w:val="22"/>
          <w:lang w:val="es-ES"/>
        </w:rPr>
        <w:t xml:space="preserve"> actividades establecidas de manera previa. En este segundo evento, se ejecuta</w:t>
      </w:r>
      <w:r>
        <w:rPr>
          <w:rFonts w:ascii="Arial" w:hAnsi="Arial" w:cs="Arial"/>
          <w:sz w:val="22"/>
          <w:lang w:val="es-ES"/>
        </w:rPr>
        <w:t>n</w:t>
      </w:r>
      <w:r w:rsidRPr="004A385C">
        <w:rPr>
          <w:rFonts w:ascii="Arial" w:hAnsi="Arial" w:cs="Arial"/>
          <w:sz w:val="22"/>
          <w:lang w:val="es-ES"/>
        </w:rPr>
        <w:t xml:space="preserve"> </w:t>
      </w:r>
      <w:r>
        <w:rPr>
          <w:rFonts w:ascii="Arial" w:hAnsi="Arial" w:cs="Arial"/>
          <w:sz w:val="22"/>
          <w:lang w:val="es-ES"/>
        </w:rPr>
        <w:t>materialmente los recursos para la prestación de un servicio, la adquisición de bienes o la ejecución de obras; mientras que, como se indicó, la administración o gerencia de recursos implica contratar a un tercero para que utilice tales dineros para contratar a terceros que ejecutarán materialmente las actividades anterior</w:t>
      </w:r>
      <w:r w:rsidR="00CB4050">
        <w:rPr>
          <w:rFonts w:ascii="Arial" w:hAnsi="Arial" w:cs="Arial"/>
          <w:sz w:val="22"/>
          <w:lang w:val="es-ES"/>
        </w:rPr>
        <w:t>mente mencionadas</w:t>
      </w:r>
      <w:r>
        <w:rPr>
          <w:rFonts w:ascii="Arial" w:hAnsi="Arial" w:cs="Arial"/>
          <w:sz w:val="22"/>
          <w:lang w:val="es-ES"/>
        </w:rPr>
        <w:t>.</w:t>
      </w:r>
    </w:p>
    <w:p w14:paraId="505B281A" w14:textId="2BC35578" w:rsidR="005F3E71" w:rsidRDefault="00C2563C" w:rsidP="007C03E1">
      <w:pPr>
        <w:spacing w:line="276" w:lineRule="auto"/>
        <w:ind w:firstLine="708"/>
        <w:jc w:val="both"/>
        <w:rPr>
          <w:rFonts w:ascii="Arial" w:hAnsi="Arial" w:cs="Arial"/>
          <w:sz w:val="22"/>
          <w:lang w:val="es-ES"/>
        </w:rPr>
      </w:pPr>
      <w:r>
        <w:rPr>
          <w:rFonts w:ascii="Arial" w:hAnsi="Arial" w:cs="Arial"/>
          <w:sz w:val="22"/>
          <w:lang w:val="es-ES"/>
        </w:rPr>
        <w:t>De acuerdo con la anterior precisión, la restricción contemplada en el inciso tercero del artículo 20 de la Ley 1150 de 2007, está encaminada a convenios suscritos con organismos internacionales en los cuales el objeto de dicho acuerdo se contemple una actividad de simple intermediación, es decir, de medio para la administración de los recursos de las entidades públicas, ya sean propios o los correspondientes a asignaciones de presupuesto público</w:t>
      </w:r>
      <w:r w:rsidR="00B97FAF">
        <w:rPr>
          <w:rFonts w:ascii="Arial" w:hAnsi="Arial" w:cs="Arial"/>
          <w:sz w:val="22"/>
          <w:lang w:val="es-ES"/>
        </w:rPr>
        <w:t>. Así las cosas</w:t>
      </w:r>
      <w:r>
        <w:rPr>
          <w:rFonts w:ascii="Arial" w:hAnsi="Arial" w:cs="Arial"/>
          <w:sz w:val="22"/>
          <w:lang w:val="es-ES"/>
        </w:rPr>
        <w:t xml:space="preserve">, </w:t>
      </w:r>
      <w:r w:rsidR="00B97FAF">
        <w:rPr>
          <w:rFonts w:ascii="Arial" w:hAnsi="Arial" w:cs="Arial"/>
          <w:sz w:val="22"/>
          <w:lang w:val="es-ES"/>
        </w:rPr>
        <w:t xml:space="preserve">ello </w:t>
      </w:r>
      <w:r>
        <w:rPr>
          <w:rFonts w:ascii="Arial" w:hAnsi="Arial" w:cs="Arial"/>
          <w:sz w:val="22"/>
          <w:lang w:val="es-ES"/>
        </w:rPr>
        <w:t xml:space="preserve">no implica la ejecución material del recurso con cargo a los resultados esperados para la ejecución de un proyecto que </w:t>
      </w:r>
      <w:r w:rsidR="00B97FAF">
        <w:rPr>
          <w:rFonts w:ascii="Arial" w:hAnsi="Arial" w:cs="Arial"/>
          <w:sz w:val="22"/>
          <w:lang w:val="es-ES"/>
        </w:rPr>
        <w:t xml:space="preserve">podría </w:t>
      </w:r>
      <w:r>
        <w:rPr>
          <w:rFonts w:ascii="Arial" w:hAnsi="Arial" w:cs="Arial"/>
          <w:sz w:val="22"/>
          <w:lang w:val="es-ES"/>
        </w:rPr>
        <w:t>satisfa</w:t>
      </w:r>
      <w:r w:rsidR="00B97FAF">
        <w:rPr>
          <w:rFonts w:ascii="Arial" w:hAnsi="Arial" w:cs="Arial"/>
          <w:sz w:val="22"/>
          <w:lang w:val="es-ES"/>
        </w:rPr>
        <w:t>cer</w:t>
      </w:r>
      <w:r>
        <w:rPr>
          <w:rFonts w:ascii="Arial" w:hAnsi="Arial" w:cs="Arial"/>
          <w:sz w:val="22"/>
          <w:lang w:val="es-ES"/>
        </w:rPr>
        <w:t xml:space="preserve"> la necesidad de la entidad estatal. En este sentido, los supuestos prohibidos por la disposición consisten en desarrollar</w:t>
      </w:r>
      <w:r w:rsidRPr="00D03D63">
        <w:rPr>
          <w:rFonts w:ascii="Arial" w:hAnsi="Arial" w:cs="Arial"/>
          <w:sz w:val="22"/>
          <w:lang w:val="es-ES"/>
        </w:rPr>
        <w:t xml:space="preserve"> una </w:t>
      </w:r>
      <w:r>
        <w:rPr>
          <w:rFonts w:ascii="Arial" w:hAnsi="Arial" w:cs="Arial"/>
          <w:sz w:val="22"/>
          <w:lang w:val="es-ES"/>
        </w:rPr>
        <w:t>actividad meramente</w:t>
      </w:r>
      <w:r w:rsidRPr="00D03D63">
        <w:rPr>
          <w:rFonts w:ascii="Arial" w:hAnsi="Arial" w:cs="Arial"/>
          <w:sz w:val="22"/>
          <w:lang w:val="es-ES"/>
        </w:rPr>
        <w:t xml:space="preserve"> administrativa</w:t>
      </w:r>
      <w:r>
        <w:rPr>
          <w:rFonts w:ascii="Arial" w:hAnsi="Arial" w:cs="Arial"/>
          <w:sz w:val="22"/>
          <w:lang w:val="es-ES"/>
        </w:rPr>
        <w:t>, que de contera podría decirse, elevaría los</w:t>
      </w:r>
      <w:r w:rsidRPr="000B2CE3">
        <w:rPr>
          <w:rFonts w:ascii="Arial" w:hAnsi="Arial" w:cs="Arial"/>
          <w:sz w:val="22"/>
          <w:lang w:val="es-ES"/>
        </w:rPr>
        <w:t xml:space="preserve"> costos por comisiones de administración en que incurrir</w:t>
      </w:r>
      <w:r>
        <w:rPr>
          <w:rFonts w:ascii="Arial" w:hAnsi="Arial" w:cs="Arial"/>
          <w:sz w:val="22"/>
          <w:lang w:val="es-ES"/>
        </w:rPr>
        <w:t>ía</w:t>
      </w:r>
      <w:r w:rsidRPr="000B2CE3">
        <w:rPr>
          <w:rFonts w:ascii="Arial" w:hAnsi="Arial" w:cs="Arial"/>
          <w:sz w:val="22"/>
          <w:lang w:val="es-ES"/>
        </w:rPr>
        <w:t xml:space="preserve"> el organismo internacional con cargo a los recursos </w:t>
      </w:r>
      <w:r>
        <w:rPr>
          <w:rFonts w:ascii="Arial" w:hAnsi="Arial" w:cs="Arial"/>
          <w:sz w:val="22"/>
          <w:lang w:val="es-ES"/>
        </w:rPr>
        <w:t>de la entidad estatal colombiana.</w:t>
      </w:r>
    </w:p>
    <w:p w14:paraId="29370678" w14:textId="77777777" w:rsidR="005F3E71" w:rsidRDefault="005F3E71" w:rsidP="000B2CE3">
      <w:pPr>
        <w:spacing w:line="276" w:lineRule="auto"/>
        <w:ind w:firstLine="708"/>
        <w:jc w:val="both"/>
        <w:rPr>
          <w:rFonts w:ascii="Arial" w:hAnsi="Arial" w:cs="Arial"/>
          <w:sz w:val="22"/>
          <w:lang w:val="es-ES"/>
        </w:rPr>
      </w:pPr>
    </w:p>
    <w:p w14:paraId="544609D3" w14:textId="3CFF1235" w:rsidR="000920F0" w:rsidRPr="00295D8A" w:rsidRDefault="000920F0" w:rsidP="00B80A0C">
      <w:pPr>
        <w:spacing w:line="276" w:lineRule="auto"/>
        <w:jc w:val="both"/>
        <w:rPr>
          <w:rFonts w:ascii="Arial" w:hAnsi="Arial" w:cs="Arial"/>
          <w:noProof/>
          <w:sz w:val="22"/>
          <w:lang w:val="es-ES_tradnl"/>
        </w:rPr>
      </w:pPr>
      <w:r w:rsidRPr="00295D8A">
        <w:rPr>
          <w:rFonts w:ascii="Arial" w:hAnsi="Arial" w:cs="Arial"/>
          <w:noProof/>
          <w:sz w:val="22"/>
          <w:lang w:val="es-ES_tradnl"/>
        </w:rPr>
        <w:t>Este concepto tiene el alcance previsto en el artículo 28 del Código de Procedimiento Administrativo y de lo Contencioso Administrativo</w:t>
      </w:r>
      <w:r w:rsidR="00A568E5" w:rsidRPr="00295D8A">
        <w:rPr>
          <w:rFonts w:ascii="Arial" w:hAnsi="Arial" w:cs="Arial"/>
          <w:noProof/>
          <w:sz w:val="22"/>
          <w:lang w:val="es-ES_tradnl"/>
        </w:rPr>
        <w:t>.</w:t>
      </w:r>
    </w:p>
    <w:p w14:paraId="72B1ECAA" w14:textId="77777777" w:rsidR="00150A83" w:rsidRPr="00295D8A" w:rsidRDefault="00150A83" w:rsidP="00F106B5">
      <w:pPr>
        <w:spacing w:line="276" w:lineRule="auto"/>
        <w:jc w:val="both"/>
        <w:rPr>
          <w:rFonts w:ascii="Arial" w:hAnsi="Arial" w:cs="Arial"/>
          <w:noProof/>
          <w:sz w:val="22"/>
          <w:lang w:val="es-ES_tradnl"/>
        </w:rPr>
      </w:pPr>
    </w:p>
    <w:p w14:paraId="2A352265" w14:textId="77777777" w:rsidR="000920F0" w:rsidRPr="00295D8A" w:rsidRDefault="000920F0" w:rsidP="00F106B5">
      <w:pPr>
        <w:spacing w:line="276" w:lineRule="auto"/>
        <w:jc w:val="both"/>
        <w:rPr>
          <w:rFonts w:ascii="Arial" w:hAnsi="Arial" w:cs="Arial"/>
          <w:noProof/>
          <w:sz w:val="22"/>
          <w:lang w:val="es-ES_tradnl"/>
        </w:rPr>
      </w:pPr>
      <w:r w:rsidRPr="00295D8A">
        <w:rPr>
          <w:rFonts w:ascii="Arial" w:hAnsi="Arial" w:cs="Arial"/>
          <w:noProof/>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3B0AB77"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5D16A13B" w14:textId="77777777" w:rsidR="00033726" w:rsidRPr="00295D8A" w:rsidRDefault="00033726" w:rsidP="00033726">
      <w:pPr>
        <w:rPr>
          <w:rFonts w:ascii="Arial" w:eastAsia="Times New Roman" w:hAnsi="Arial" w:cs="Arial"/>
          <w:sz w:val="22"/>
          <w:lang w:val="es-CO" w:eastAsia="es-CO"/>
        </w:rPr>
      </w:pPr>
      <w:bookmarkStart w:id="6" w:name="_Hlk50986665"/>
      <w:bookmarkStart w:id="7" w:name="_Hlk55258198"/>
      <w:bookmarkEnd w:id="2"/>
      <w:r w:rsidRPr="00295D8A">
        <w:rPr>
          <w:rFonts w:ascii="Arial" w:hAnsi="Arial" w:cs="Arial"/>
          <w:sz w:val="22"/>
          <w:lang w:eastAsia="es-CO"/>
        </w:rPr>
        <w:t>Atentamente,</w:t>
      </w:r>
    </w:p>
    <w:p w14:paraId="48343DC8" w14:textId="77777777" w:rsidR="00033726" w:rsidRPr="00295D8A" w:rsidRDefault="00033726" w:rsidP="00033726">
      <w:pPr>
        <w:rPr>
          <w:rFonts w:ascii="Arial" w:hAnsi="Arial" w:cs="Arial"/>
          <w:sz w:val="22"/>
          <w:lang w:eastAsia="es-CO"/>
        </w:rPr>
      </w:pPr>
    </w:p>
    <w:p w14:paraId="17330A55" w14:textId="79D2DCFB" w:rsidR="00033726" w:rsidRPr="00295D8A" w:rsidRDefault="00025B90" w:rsidP="00033726">
      <w:pPr>
        <w:jc w:val="center"/>
        <w:rPr>
          <w:rFonts w:ascii="Arial" w:hAnsi="Arial" w:cs="Arial"/>
          <w:sz w:val="18"/>
          <w:szCs w:val="20"/>
          <w:lang w:eastAsia="es-CO"/>
        </w:rPr>
      </w:pPr>
      <w:r>
        <w:rPr>
          <w:noProof/>
        </w:rPr>
        <w:lastRenderedPageBreak/>
        <w:drawing>
          <wp:inline distT="0" distB="0" distL="0" distR="0" wp14:anchorId="2974747C" wp14:editId="73A570B7">
            <wp:extent cx="3025798" cy="1238250"/>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2396" t="56163" r="24394" b="24104"/>
                    <a:stretch/>
                  </pic:blipFill>
                  <pic:spPr bwMode="auto">
                    <a:xfrm>
                      <a:off x="0" y="0"/>
                      <a:ext cx="3108301" cy="1272013"/>
                    </a:xfrm>
                    <a:prstGeom prst="rect">
                      <a:avLst/>
                    </a:prstGeom>
                    <a:ln>
                      <a:noFill/>
                    </a:ln>
                    <a:extLst>
                      <a:ext uri="{53640926-AAD7-44D8-BBD7-CCE9431645EC}">
                        <a14:shadowObscured xmlns:a14="http://schemas.microsoft.com/office/drawing/2010/main"/>
                      </a:ext>
                    </a:extLst>
                  </pic:spPr>
                </pic:pic>
              </a:graphicData>
            </a:graphic>
          </wp:inline>
        </w:drawing>
      </w:r>
    </w:p>
    <w:p w14:paraId="1C202F34" w14:textId="77777777" w:rsidR="00033726" w:rsidRPr="00295D8A" w:rsidRDefault="00033726" w:rsidP="00033726">
      <w:pPr>
        <w:jc w:val="center"/>
        <w:rPr>
          <w:rFonts w:ascii="Arial" w:hAnsi="Arial" w:cs="Arial"/>
          <w:sz w:val="18"/>
          <w:szCs w:val="20"/>
          <w:lang w:eastAsia="es-CO"/>
        </w:rPr>
      </w:pPr>
    </w:p>
    <w:p w14:paraId="19BFACF1" w14:textId="77777777" w:rsidR="00033726" w:rsidRPr="00295D8A" w:rsidRDefault="00033726" w:rsidP="00033726">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95D8A" w:rsidRPr="00295D8A" w14:paraId="6B2C663A" w14:textId="77777777" w:rsidTr="00D14CDD">
        <w:trPr>
          <w:trHeight w:val="315"/>
        </w:trPr>
        <w:tc>
          <w:tcPr>
            <w:tcW w:w="488" w:type="dxa"/>
            <w:vAlign w:val="center"/>
            <w:hideMark/>
          </w:tcPr>
          <w:p w14:paraId="695A653A"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BEA4D71" w14:textId="6EFEB579" w:rsidR="00033726" w:rsidRPr="00295D8A" w:rsidRDefault="005F3E71" w:rsidP="00D14CDD">
            <w:pPr>
              <w:rPr>
                <w:rFonts w:ascii="Arial" w:hAnsi="Arial" w:cs="Arial"/>
                <w:sz w:val="16"/>
                <w:szCs w:val="16"/>
                <w:lang w:eastAsia="es-ES"/>
              </w:rPr>
            </w:pPr>
            <w:r>
              <w:rPr>
                <w:rFonts w:ascii="Arial" w:hAnsi="Arial" w:cs="Arial"/>
                <w:sz w:val="16"/>
                <w:szCs w:val="16"/>
                <w:lang w:eastAsia="es-ES"/>
              </w:rPr>
              <w:t>Kamal Abdul Nassar Montoya</w:t>
            </w:r>
          </w:p>
          <w:p w14:paraId="76A9CD0D" w14:textId="4D5684E3" w:rsidR="00033726" w:rsidRPr="00295D8A" w:rsidRDefault="005F3E71" w:rsidP="00D14CDD">
            <w:pPr>
              <w:rPr>
                <w:rFonts w:ascii="Arial" w:hAnsi="Arial" w:cs="Arial"/>
                <w:sz w:val="16"/>
                <w:szCs w:val="16"/>
                <w:lang w:eastAsia="es-ES"/>
              </w:rPr>
            </w:pPr>
            <w:r w:rsidRPr="00295D8A">
              <w:rPr>
                <w:rFonts w:ascii="Arial" w:hAnsi="Arial" w:cs="Arial"/>
                <w:sz w:val="16"/>
                <w:szCs w:val="16"/>
                <w:lang w:eastAsia="es-ES"/>
              </w:rPr>
              <w:t>Contratista de la Subdirección de Gestión Contractual</w:t>
            </w:r>
          </w:p>
        </w:tc>
      </w:tr>
      <w:tr w:rsidR="00295D8A" w:rsidRPr="00295D8A" w14:paraId="24F7903D" w14:textId="77777777" w:rsidTr="00D14CDD">
        <w:trPr>
          <w:trHeight w:val="330"/>
        </w:trPr>
        <w:tc>
          <w:tcPr>
            <w:tcW w:w="488" w:type="dxa"/>
            <w:vAlign w:val="center"/>
            <w:hideMark/>
          </w:tcPr>
          <w:p w14:paraId="215ABEAD"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51B336" w14:textId="5BAB9A06" w:rsidR="00033726" w:rsidRPr="00295D8A" w:rsidRDefault="005F3E71" w:rsidP="00D14CDD">
            <w:pPr>
              <w:rPr>
                <w:rFonts w:ascii="Arial" w:hAnsi="Arial" w:cs="Arial"/>
                <w:sz w:val="16"/>
                <w:szCs w:val="16"/>
                <w:lang w:eastAsia="es-ES"/>
              </w:rPr>
            </w:pPr>
            <w:r>
              <w:rPr>
                <w:rFonts w:ascii="Arial" w:hAnsi="Arial" w:cs="Arial"/>
                <w:sz w:val="16"/>
                <w:szCs w:val="16"/>
                <w:lang w:eastAsia="es-ES"/>
              </w:rPr>
              <w:t>Sebastián Ramírez Grisales</w:t>
            </w:r>
          </w:p>
          <w:p w14:paraId="2654F995" w14:textId="4D25FE35" w:rsidR="00033726" w:rsidRPr="00295D8A" w:rsidRDefault="00BF5A17" w:rsidP="00D14CDD">
            <w:pPr>
              <w:rPr>
                <w:rFonts w:ascii="Arial" w:hAnsi="Arial" w:cs="Arial"/>
                <w:sz w:val="16"/>
                <w:szCs w:val="16"/>
                <w:lang w:eastAsia="es-ES"/>
              </w:rPr>
            </w:pPr>
            <w:r>
              <w:rPr>
                <w:rFonts w:ascii="Arial" w:hAnsi="Arial" w:cs="Arial"/>
                <w:sz w:val="16"/>
                <w:szCs w:val="16"/>
                <w:lang w:eastAsia="es-ES"/>
              </w:rPr>
              <w:t xml:space="preserve">Gestor T1-15 </w:t>
            </w:r>
            <w:r w:rsidR="00033726" w:rsidRPr="00295D8A">
              <w:rPr>
                <w:rFonts w:ascii="Arial" w:hAnsi="Arial" w:cs="Arial"/>
                <w:sz w:val="16"/>
                <w:szCs w:val="16"/>
                <w:lang w:eastAsia="es-ES"/>
              </w:rPr>
              <w:t>Subdirección de Gestión Contractual</w:t>
            </w:r>
          </w:p>
        </w:tc>
      </w:tr>
      <w:tr w:rsidR="00295D8A" w:rsidRPr="00295D8A" w14:paraId="12FFD112" w14:textId="77777777" w:rsidTr="00D14CDD">
        <w:trPr>
          <w:trHeight w:val="300"/>
        </w:trPr>
        <w:tc>
          <w:tcPr>
            <w:tcW w:w="488" w:type="dxa"/>
            <w:vAlign w:val="center"/>
            <w:hideMark/>
          </w:tcPr>
          <w:p w14:paraId="48653619"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D930ED"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Jorge Augusto Tirado Navarro</w:t>
            </w:r>
          </w:p>
          <w:p w14:paraId="4036D7C1"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Subdirector de Gestión Contractual</w:t>
            </w:r>
          </w:p>
        </w:tc>
      </w:tr>
      <w:tr w:rsidR="00033726" w:rsidRPr="00295D8A" w14:paraId="3AD4D574" w14:textId="77777777" w:rsidTr="00D14CDD">
        <w:trPr>
          <w:trHeight w:val="300"/>
        </w:trPr>
        <w:tc>
          <w:tcPr>
            <w:tcW w:w="488" w:type="dxa"/>
            <w:vAlign w:val="center"/>
            <w:hideMark/>
          </w:tcPr>
          <w:p w14:paraId="7B045DBA"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C9FA1"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0</w:t>
            </w:r>
          </w:p>
        </w:tc>
        <w:bookmarkEnd w:id="6"/>
      </w:tr>
      <w:bookmarkEnd w:id="7"/>
    </w:tbl>
    <w:p w14:paraId="74D61BE9" w14:textId="77777777" w:rsidR="00914791" w:rsidRPr="00295D8A" w:rsidRDefault="00914791" w:rsidP="00914791">
      <w:pPr>
        <w:jc w:val="both"/>
        <w:rPr>
          <w:rFonts w:ascii="Arial" w:hAnsi="Arial" w:cs="Arial"/>
          <w:sz w:val="22"/>
        </w:rPr>
      </w:pPr>
    </w:p>
    <w:p w14:paraId="7EBF297E" w14:textId="77777777" w:rsidR="007B0854" w:rsidRPr="00295D8A" w:rsidRDefault="007B0854" w:rsidP="00914791">
      <w:pPr>
        <w:pStyle w:val="NormalWeb"/>
        <w:spacing w:before="0" w:beforeAutospacing="0" w:after="0" w:afterAutospacing="0" w:line="276" w:lineRule="auto"/>
        <w:jc w:val="both"/>
        <w:rPr>
          <w:rFonts w:ascii="Arial" w:hAnsi="Arial" w:cs="Arial"/>
          <w:noProof/>
          <w:lang w:val="es-ES_tradnl"/>
        </w:rPr>
      </w:pPr>
    </w:p>
    <w:sectPr w:rsidR="007B0854" w:rsidRPr="00295D8A"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FDA6C" w14:textId="77777777" w:rsidR="00D208F8" w:rsidRDefault="00D208F8">
      <w:r>
        <w:separator/>
      </w:r>
    </w:p>
  </w:endnote>
  <w:endnote w:type="continuationSeparator" w:id="0">
    <w:p w14:paraId="187674D9" w14:textId="77777777" w:rsidR="00D208F8" w:rsidRDefault="00D208F8">
      <w:r>
        <w:continuationSeparator/>
      </w:r>
    </w:p>
  </w:endnote>
  <w:endnote w:type="continuationNotice" w:id="1">
    <w:p w14:paraId="683E4B8F" w14:textId="77777777" w:rsidR="00D208F8" w:rsidRDefault="00D20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0032" w14:textId="77777777" w:rsidR="00F44916" w:rsidRDefault="00F44916" w:rsidP="00856133">
    <w:pPr>
      <w:pStyle w:val="Sinespaciado"/>
      <w:jc w:val="right"/>
      <w:rPr>
        <w:rFonts w:ascii="Arial" w:hAnsi="Arial" w:cs="Arial"/>
        <w:sz w:val="18"/>
        <w:szCs w:val="18"/>
      </w:rPr>
    </w:pPr>
  </w:p>
  <w:p w14:paraId="512F463F" w14:textId="54B3CCBC" w:rsidR="00F44916" w:rsidRPr="008217B7" w:rsidRDefault="00F44916"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F44916" w:rsidRDefault="00F44916" w:rsidP="00856133">
    <w:pPr>
      <w:pStyle w:val="Piedepgina"/>
      <w:jc w:val="center"/>
      <w:rPr>
        <w:lang w:val="es-ES"/>
      </w:rPr>
    </w:pPr>
    <w:r>
      <w:rPr>
        <w:noProof/>
      </w:rPr>
      <w:drawing>
        <wp:inline distT="0" distB="0" distL="0" distR="0" wp14:anchorId="6A1C2C0F" wp14:editId="39E9C358">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44916" w:rsidRDefault="00F44916" w:rsidP="00856133">
    <w:pPr>
      <w:pStyle w:val="Piedepgina"/>
      <w:jc w:val="center"/>
      <w:rPr>
        <w:lang w:val="es-ES"/>
      </w:rPr>
    </w:pPr>
  </w:p>
  <w:p w14:paraId="70077B90" w14:textId="77777777" w:rsidR="00F44916" w:rsidRPr="007B0854" w:rsidRDefault="00F44916" w:rsidP="00856133">
    <w:pPr>
      <w:pStyle w:val="Piedepgina"/>
      <w:jc w:val="center"/>
      <w:rPr>
        <w:lang w:val="es-ES"/>
      </w:rPr>
    </w:pPr>
  </w:p>
  <w:p w14:paraId="6C0EFC49" w14:textId="77777777" w:rsidR="00F44916" w:rsidRPr="00856133" w:rsidRDefault="00F44916"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67C63" w14:textId="77777777" w:rsidR="00D208F8" w:rsidRDefault="00D208F8">
      <w:r>
        <w:separator/>
      </w:r>
    </w:p>
  </w:footnote>
  <w:footnote w:type="continuationSeparator" w:id="0">
    <w:p w14:paraId="2E23D149" w14:textId="77777777" w:rsidR="00D208F8" w:rsidRDefault="00D208F8">
      <w:r>
        <w:continuationSeparator/>
      </w:r>
    </w:p>
  </w:footnote>
  <w:footnote w:type="continuationNotice" w:id="1">
    <w:p w14:paraId="10644CEE" w14:textId="77777777" w:rsidR="00D208F8" w:rsidRDefault="00D208F8"/>
  </w:footnote>
  <w:footnote w:id="2">
    <w:p w14:paraId="2663206F" w14:textId="77777777" w:rsidR="00D32994" w:rsidRPr="00643B8F" w:rsidRDefault="00D32994" w:rsidP="00D32994">
      <w:pPr>
        <w:pStyle w:val="NormalWeb"/>
        <w:spacing w:before="0" w:beforeAutospacing="0" w:after="0" w:afterAutospacing="0"/>
        <w:ind w:firstLine="709"/>
        <w:jc w:val="both"/>
        <w:rPr>
          <w:rFonts w:ascii="Arial" w:hAnsi="Arial" w:cs="Arial"/>
          <w:sz w:val="19"/>
          <w:szCs w:val="19"/>
        </w:rPr>
      </w:pPr>
      <w:r w:rsidRPr="00643B8F">
        <w:rPr>
          <w:rStyle w:val="Refdenotaalpie"/>
          <w:rFonts w:ascii="Arial" w:hAnsi="Arial" w:cs="Arial"/>
          <w:sz w:val="19"/>
          <w:szCs w:val="19"/>
        </w:rPr>
        <w:footnoteRef/>
      </w:r>
      <w:r w:rsidRPr="00643B8F">
        <w:rPr>
          <w:rFonts w:ascii="Arial" w:hAnsi="Arial" w:cs="Arial"/>
          <w:sz w:val="19"/>
          <w:szCs w:val="19"/>
        </w:rPr>
        <w:t xml:space="preserve"> Ley 1150 de 2007. </w:t>
      </w:r>
      <w:r w:rsidRPr="00643B8F">
        <w:rPr>
          <w:rFonts w:ascii="Arial" w:hAnsi="Arial" w:cs="Arial"/>
          <w:color w:val="000000" w:themeColor="text1"/>
          <w:sz w:val="19"/>
          <w:szCs w:val="19"/>
        </w:rPr>
        <w:t>«</w:t>
      </w:r>
      <w:r w:rsidRPr="00643B8F">
        <w:rPr>
          <w:rFonts w:ascii="Arial" w:hAnsi="Arial" w:cs="Arial"/>
          <w:sz w:val="19"/>
          <w:szCs w:val="19"/>
        </w:rPr>
        <w:t>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w:t>
      </w:r>
      <w:hyperlink r:id="rId1" w:anchor="1" w:history="1">
        <w:r w:rsidRPr="00643B8F">
          <w:rPr>
            <w:rStyle w:val="Hipervnculo"/>
            <w:rFonts w:ascii="Arial" w:hAnsi="Arial" w:cs="Arial"/>
            <w:color w:val="auto"/>
            <w:sz w:val="19"/>
            <w:szCs w:val="19"/>
            <w:u w:val="none"/>
          </w:rPr>
          <w:t>80</w:t>
        </w:r>
      </w:hyperlink>
      <w:r w:rsidRPr="00643B8F">
        <w:rPr>
          <w:rFonts w:ascii="Arial" w:hAnsi="Arial" w:cs="Arial"/>
          <w:sz w:val="19"/>
          <w:szCs w:val="19"/>
        </w:rPr>
        <w:t> de 1993. Los recursos de contrapartida vinculados a estas operaciones podrán tener el mismo tratamiento.</w:t>
      </w:r>
    </w:p>
    <w:p w14:paraId="43E00EAD" w14:textId="77777777" w:rsidR="00D32994" w:rsidRPr="00643B8F" w:rsidRDefault="00D32994" w:rsidP="00D32994">
      <w:pPr>
        <w:pStyle w:val="NormalWeb"/>
        <w:spacing w:before="0" w:beforeAutospacing="0" w:after="0" w:afterAutospacing="0"/>
        <w:ind w:firstLine="709"/>
        <w:jc w:val="both"/>
        <w:rPr>
          <w:rFonts w:ascii="Arial" w:hAnsi="Arial" w:cs="Arial"/>
          <w:sz w:val="19"/>
          <w:szCs w:val="19"/>
        </w:rPr>
      </w:pPr>
      <w:r w:rsidRPr="00643B8F">
        <w:rPr>
          <w:rFonts w:ascii="Arial" w:hAnsi="Arial" w:cs="Arial"/>
          <w:color w:val="000000" w:themeColor="text1"/>
          <w:sz w:val="19"/>
          <w:szCs w:val="19"/>
        </w:rPr>
        <w:t>»</w:t>
      </w:r>
      <w:r w:rsidRPr="00643B8F">
        <w:rPr>
          <w:rFonts w:ascii="Arial" w:hAnsi="Arial" w:cs="Arial"/>
          <w:sz w:val="19"/>
          <w:szCs w:val="19"/>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059FE036" w14:textId="77777777" w:rsidR="00D32994" w:rsidRPr="00643B8F" w:rsidRDefault="00D32994" w:rsidP="00D32994">
      <w:pPr>
        <w:pStyle w:val="NormalWeb"/>
        <w:spacing w:before="0" w:beforeAutospacing="0" w:after="0" w:afterAutospacing="0"/>
        <w:ind w:firstLine="709"/>
        <w:jc w:val="both"/>
        <w:rPr>
          <w:rFonts w:ascii="Arial" w:hAnsi="Arial" w:cs="Arial"/>
          <w:sz w:val="19"/>
          <w:szCs w:val="19"/>
        </w:rPr>
      </w:pPr>
      <w:r w:rsidRPr="00643B8F">
        <w:rPr>
          <w:rFonts w:ascii="Arial" w:hAnsi="Arial" w:cs="Arial"/>
          <w:color w:val="000000" w:themeColor="text1"/>
          <w:sz w:val="19"/>
          <w:szCs w:val="19"/>
        </w:rPr>
        <w:t>»</w:t>
      </w:r>
      <w:r w:rsidRPr="00643B8F">
        <w:rPr>
          <w:rFonts w:ascii="Arial" w:hAnsi="Arial" w:cs="Arial"/>
          <w:sz w:val="19"/>
          <w:szCs w:val="19"/>
        </w:rPr>
        <w:t>Las entidades estatales no podrán celebrar contratos o convenios para la administración o gerencia de sus recursos propios o de aquellos que les asignen los presupuestos públicos, con organismos de cooperación, asistencia o ayuda internacional.</w:t>
      </w:r>
    </w:p>
    <w:p w14:paraId="61693788" w14:textId="77777777" w:rsidR="00D32994" w:rsidRPr="00643B8F" w:rsidRDefault="00D32994" w:rsidP="00D32994">
      <w:pPr>
        <w:pStyle w:val="NormalWeb"/>
        <w:spacing w:before="0" w:beforeAutospacing="0" w:after="0" w:afterAutospacing="0"/>
        <w:ind w:firstLine="709"/>
        <w:jc w:val="both"/>
        <w:rPr>
          <w:rFonts w:ascii="Arial" w:hAnsi="Arial" w:cs="Arial"/>
          <w:sz w:val="19"/>
          <w:szCs w:val="19"/>
        </w:rPr>
      </w:pPr>
      <w:r w:rsidRPr="00643B8F">
        <w:rPr>
          <w:rFonts w:ascii="Arial" w:hAnsi="Arial" w:cs="Arial"/>
          <w:color w:val="000000" w:themeColor="text1"/>
          <w:sz w:val="19"/>
          <w:szCs w:val="19"/>
        </w:rPr>
        <w:t>»</w:t>
      </w:r>
      <w:r w:rsidRPr="00643B8F">
        <w:rPr>
          <w:rStyle w:val="baj"/>
          <w:rFonts w:ascii="Arial" w:hAnsi="Arial" w:cs="Arial"/>
          <w:sz w:val="19"/>
          <w:szCs w:val="19"/>
        </w:rPr>
        <w:t>PARÁGRAFO 1o.</w:t>
      </w:r>
      <w:r w:rsidRPr="00643B8F">
        <w:rPr>
          <w:rFonts w:ascii="Arial" w:hAnsi="Arial" w:cs="Arial"/>
          <w:sz w:val="19"/>
          <w:szCs w:val="19"/>
        </w:rPr>
        <w:t> Los contratos o acuerdos celebrados con personas extranjeras de derecho público, podrán someterse a las reglas de tales organismos.</w:t>
      </w:r>
    </w:p>
    <w:p w14:paraId="1C8433ED" w14:textId="77777777" w:rsidR="00D32994" w:rsidRPr="00643B8F" w:rsidRDefault="00D32994" w:rsidP="00D32994">
      <w:pPr>
        <w:pStyle w:val="NormalWeb"/>
        <w:spacing w:before="0" w:beforeAutospacing="0" w:after="0" w:afterAutospacing="0"/>
        <w:ind w:firstLine="709"/>
        <w:jc w:val="both"/>
        <w:rPr>
          <w:rFonts w:ascii="Arial" w:hAnsi="Arial" w:cs="Arial"/>
          <w:sz w:val="19"/>
          <w:szCs w:val="19"/>
        </w:rPr>
      </w:pPr>
      <w:r w:rsidRPr="00643B8F">
        <w:rPr>
          <w:rFonts w:ascii="Arial" w:hAnsi="Arial" w:cs="Arial"/>
          <w:color w:val="000000" w:themeColor="text1"/>
          <w:sz w:val="19"/>
          <w:szCs w:val="19"/>
        </w:rPr>
        <w:t>»</w:t>
      </w:r>
      <w:r w:rsidRPr="00643B8F">
        <w:rPr>
          <w:rStyle w:val="baj"/>
          <w:rFonts w:ascii="Arial" w:hAnsi="Arial" w:cs="Arial"/>
          <w:sz w:val="19"/>
          <w:szCs w:val="19"/>
        </w:rPr>
        <w:t>PARÁGRAFO 2o.</w:t>
      </w:r>
      <w:r w:rsidRPr="00643B8F">
        <w:rPr>
          <w:rFonts w:ascii="Arial" w:hAnsi="Arial" w:cs="Arial"/>
          <w:sz w:val="19"/>
          <w:szCs w:val="19"/>
        </w:rPr>
        <w:t> Las entidades estatales tendrán la obligación de reportar la información a los organismos de control y al Secop relativa a la ejecución de los contratos a los que se refiere el presente artículo.</w:t>
      </w:r>
    </w:p>
    <w:p w14:paraId="16C8C492" w14:textId="77777777" w:rsidR="00D32994" w:rsidRPr="00643B8F" w:rsidRDefault="00D32994" w:rsidP="00D32994">
      <w:pPr>
        <w:pStyle w:val="NormalWeb"/>
        <w:spacing w:before="0" w:beforeAutospacing="0" w:after="0" w:afterAutospacing="0"/>
        <w:ind w:firstLine="709"/>
        <w:jc w:val="both"/>
        <w:rPr>
          <w:rFonts w:ascii="Arial" w:hAnsi="Arial" w:cs="Arial"/>
          <w:sz w:val="19"/>
          <w:szCs w:val="19"/>
        </w:rPr>
      </w:pPr>
      <w:r w:rsidRPr="00643B8F">
        <w:rPr>
          <w:rFonts w:ascii="Arial" w:hAnsi="Arial" w:cs="Arial"/>
          <w:color w:val="000000" w:themeColor="text1"/>
          <w:sz w:val="19"/>
          <w:szCs w:val="19"/>
        </w:rPr>
        <w:t>»</w:t>
      </w:r>
      <w:r w:rsidRPr="00643B8F">
        <w:rPr>
          <w:rStyle w:val="baj"/>
          <w:rFonts w:ascii="Arial" w:hAnsi="Arial" w:cs="Arial"/>
          <w:sz w:val="19"/>
          <w:szCs w:val="19"/>
        </w:rPr>
        <w:t>PARÁGRAFO 3o.</w:t>
      </w:r>
      <w:r w:rsidRPr="00643B8F">
        <w:rPr>
          <w:rFonts w:ascii="Arial" w:hAnsi="Arial" w:cs="Arial"/>
          <w:sz w:val="19"/>
          <w:szCs w:val="19"/>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r w:rsidRPr="00643B8F">
        <w:rPr>
          <w:rFonts w:ascii="Arial" w:hAnsi="Arial" w:cs="Arial"/>
          <w:color w:val="000000" w:themeColor="text1"/>
          <w:sz w:val="19"/>
          <w:szCs w:val="19"/>
        </w:rPr>
        <w:t>»</w:t>
      </w:r>
      <w:r w:rsidRPr="00643B8F">
        <w:rPr>
          <w:rFonts w:ascii="Arial" w:hAnsi="Arial" w:cs="Arial"/>
          <w:sz w:val="19"/>
          <w:szCs w:val="19"/>
        </w:rPr>
        <w:t>.</w:t>
      </w:r>
    </w:p>
    <w:p w14:paraId="2F29D4BB" w14:textId="77777777" w:rsidR="00D32994" w:rsidRPr="00643B8F" w:rsidRDefault="00D32994" w:rsidP="00D32994">
      <w:pPr>
        <w:pStyle w:val="Textonotapie"/>
        <w:ind w:firstLine="709"/>
        <w:jc w:val="both"/>
        <w:rPr>
          <w:rFonts w:ascii="Arial" w:hAnsi="Arial" w:cs="Arial"/>
          <w:sz w:val="19"/>
          <w:szCs w:val="19"/>
        </w:rPr>
      </w:pPr>
    </w:p>
  </w:footnote>
  <w:footnote w:id="3">
    <w:p w14:paraId="1111629B" w14:textId="77777777" w:rsidR="006514AB" w:rsidRPr="00643B8F" w:rsidRDefault="006514AB" w:rsidP="006514AB">
      <w:pPr>
        <w:pStyle w:val="Textonotapie"/>
        <w:ind w:firstLine="709"/>
        <w:jc w:val="both"/>
        <w:rPr>
          <w:rFonts w:ascii="Arial" w:hAnsi="Arial" w:cs="Arial"/>
          <w:sz w:val="19"/>
          <w:szCs w:val="19"/>
          <w:lang w:val="es-CO"/>
        </w:rPr>
      </w:pPr>
      <w:r w:rsidRPr="00643B8F">
        <w:rPr>
          <w:rStyle w:val="Refdenotaalpie"/>
          <w:rFonts w:ascii="Arial" w:hAnsi="Arial" w:cs="Arial"/>
          <w:sz w:val="19"/>
          <w:szCs w:val="19"/>
        </w:rPr>
        <w:footnoteRef/>
      </w:r>
      <w:r w:rsidRPr="00643B8F">
        <w:rPr>
          <w:rFonts w:ascii="Arial" w:hAnsi="Arial" w:cs="Arial"/>
          <w:sz w:val="19"/>
          <w:szCs w:val="19"/>
          <w:lang w:val="es-CO"/>
        </w:rPr>
        <w:t xml:space="preserve"> FIGUEROA U. Organismos internacionales. 2ª edición. Santiago de Chile: Editorial RIL editores, 2010.</w:t>
      </w:r>
    </w:p>
    <w:p w14:paraId="63007D5E" w14:textId="77777777" w:rsidR="006514AB" w:rsidRPr="00643B8F" w:rsidRDefault="006514AB" w:rsidP="006514AB">
      <w:pPr>
        <w:pStyle w:val="Textonotapie"/>
        <w:ind w:firstLine="709"/>
        <w:jc w:val="both"/>
        <w:rPr>
          <w:rFonts w:ascii="Arial" w:hAnsi="Arial" w:cs="Arial"/>
          <w:sz w:val="19"/>
          <w:szCs w:val="19"/>
          <w:lang w:val="es-CO"/>
        </w:rPr>
      </w:pPr>
    </w:p>
  </w:footnote>
  <w:footnote w:id="4">
    <w:p w14:paraId="24D66DAB" w14:textId="77777777" w:rsidR="006514AB" w:rsidRPr="00643B8F" w:rsidRDefault="006514AB" w:rsidP="006514AB">
      <w:pPr>
        <w:pStyle w:val="NormalWeb"/>
        <w:spacing w:before="0" w:beforeAutospacing="0" w:after="0" w:afterAutospacing="0"/>
        <w:ind w:firstLine="709"/>
        <w:jc w:val="both"/>
        <w:rPr>
          <w:rFonts w:ascii="Arial" w:hAnsi="Arial" w:cs="Arial"/>
          <w:sz w:val="19"/>
          <w:szCs w:val="19"/>
        </w:rPr>
      </w:pPr>
      <w:r w:rsidRPr="00643B8F">
        <w:rPr>
          <w:rStyle w:val="Refdenotaalpie"/>
          <w:rFonts w:ascii="Arial" w:hAnsi="Arial" w:cs="Arial"/>
          <w:sz w:val="19"/>
          <w:szCs w:val="19"/>
        </w:rPr>
        <w:footnoteRef/>
      </w:r>
      <w:r w:rsidRPr="00643B8F">
        <w:rPr>
          <w:rFonts w:ascii="Arial" w:hAnsi="Arial" w:cs="Arial"/>
          <w:sz w:val="19"/>
          <w:szCs w:val="19"/>
        </w:rPr>
        <w:t xml:space="preserve"> Ley 80 de 1993: </w:t>
      </w:r>
      <w:r w:rsidRPr="00643B8F">
        <w:rPr>
          <w:rFonts w:ascii="Arial" w:hAnsi="Arial" w:cs="Arial"/>
          <w:color w:val="000000" w:themeColor="text1"/>
          <w:sz w:val="19"/>
          <w:szCs w:val="19"/>
        </w:rPr>
        <w:t>«</w:t>
      </w:r>
      <w:r w:rsidRPr="00643B8F">
        <w:rPr>
          <w:rFonts w:ascii="Arial" w:hAnsi="Arial" w:cs="Arial"/>
          <w:sz w:val="19"/>
          <w:szCs w:val="19"/>
        </w:rPr>
        <w:t>Artículo 13. De la normatividad aplicable a los contratos estatales. Los contratos que celebren las entidades a que se refiere el artículo </w:t>
      </w:r>
      <w:hyperlink r:id="rId2" w:anchor="2" w:history="1">
        <w:r w:rsidRPr="00643B8F">
          <w:rPr>
            <w:rStyle w:val="Hipervnculo"/>
            <w:rFonts w:ascii="Arial" w:hAnsi="Arial" w:cs="Arial"/>
            <w:color w:val="auto"/>
            <w:sz w:val="19"/>
            <w:szCs w:val="19"/>
            <w:u w:val="none"/>
          </w:rPr>
          <w:t>2</w:t>
        </w:r>
      </w:hyperlink>
      <w:r w:rsidRPr="00643B8F">
        <w:rPr>
          <w:rFonts w:ascii="Arial" w:hAnsi="Arial" w:cs="Arial"/>
          <w:sz w:val="19"/>
          <w:szCs w:val="19"/>
        </w:rPr>
        <w:t>o. del presente estatuto se regirán por las disposiciones comerciales y civiles pertinentes, salvo en las materias particularmente reguladas en esta ley.</w:t>
      </w:r>
    </w:p>
    <w:p w14:paraId="513A0FE3" w14:textId="77777777" w:rsidR="006514AB" w:rsidRPr="00643B8F" w:rsidRDefault="006514AB" w:rsidP="006514AB">
      <w:pPr>
        <w:pStyle w:val="NormalWeb"/>
        <w:spacing w:before="0" w:beforeAutospacing="0" w:after="0" w:afterAutospacing="0"/>
        <w:ind w:firstLine="709"/>
        <w:jc w:val="both"/>
        <w:rPr>
          <w:rFonts w:ascii="Arial" w:hAnsi="Arial" w:cs="Arial"/>
          <w:color w:val="000000" w:themeColor="text1"/>
          <w:sz w:val="19"/>
          <w:szCs w:val="19"/>
        </w:rPr>
      </w:pPr>
      <w:r w:rsidRPr="00643B8F">
        <w:rPr>
          <w:rFonts w:ascii="Arial" w:hAnsi="Arial" w:cs="Arial"/>
          <w:color w:val="000000" w:themeColor="text1"/>
          <w:sz w:val="19"/>
          <w:szCs w:val="19"/>
        </w:rPr>
        <w:t>»</w:t>
      </w:r>
      <w:r w:rsidRPr="00643B8F">
        <w:rPr>
          <w:rFonts w:ascii="Arial" w:hAnsi="Arial" w:cs="Arial"/>
          <w:sz w:val="19"/>
          <w:szCs w:val="19"/>
        </w:rPr>
        <w:t>Los contratos celebrados en el exterior se podrán regir en su ejecución por las reglas del país en donde se hayan suscrito, a menos que deban cumplirse en Colombia</w:t>
      </w:r>
      <w:r w:rsidRPr="00643B8F">
        <w:rPr>
          <w:rFonts w:ascii="Arial" w:hAnsi="Arial" w:cs="Arial"/>
          <w:color w:val="000000" w:themeColor="text1"/>
          <w:sz w:val="19"/>
          <w:szCs w:val="19"/>
        </w:rPr>
        <w:t>»</w:t>
      </w:r>
    </w:p>
    <w:p w14:paraId="3B805E58" w14:textId="77777777" w:rsidR="006514AB" w:rsidRPr="00643B8F" w:rsidRDefault="006514AB" w:rsidP="006514AB">
      <w:pPr>
        <w:pStyle w:val="NormalWeb"/>
        <w:spacing w:before="0" w:beforeAutospacing="0" w:after="0" w:afterAutospacing="0"/>
        <w:ind w:firstLine="709"/>
        <w:jc w:val="both"/>
        <w:rPr>
          <w:rFonts w:ascii="Arial" w:hAnsi="Arial" w:cs="Arial"/>
          <w:sz w:val="19"/>
          <w:szCs w:val="19"/>
        </w:rPr>
      </w:pPr>
      <w:r w:rsidRPr="00643B8F">
        <w:rPr>
          <w:rFonts w:ascii="Arial" w:hAnsi="Arial" w:cs="Arial"/>
          <w:color w:val="000000" w:themeColor="text1"/>
          <w:sz w:val="19"/>
          <w:szCs w:val="19"/>
        </w:rPr>
        <w:t>»</w:t>
      </w:r>
      <w:r w:rsidRPr="00643B8F">
        <w:rPr>
          <w:rFonts w:ascii="Arial" w:hAnsi="Arial" w:cs="Arial"/>
          <w:color w:val="000000"/>
          <w:sz w:val="19"/>
          <w:szCs w:val="19"/>
        </w:rPr>
        <w:t>Los contratos que se celebren en Colombia y deban ejecutarse o cumplirse en el extranjero, podrán someterse a la ley extranjera»</w:t>
      </w:r>
      <w:r w:rsidRPr="00643B8F">
        <w:rPr>
          <w:rFonts w:ascii="Arial" w:hAnsi="Arial" w:cs="Arial"/>
          <w:sz w:val="19"/>
          <w:szCs w:val="19"/>
        </w:rPr>
        <w:t>.</w:t>
      </w:r>
    </w:p>
    <w:p w14:paraId="46B01881" w14:textId="77777777" w:rsidR="006514AB" w:rsidRPr="00643B8F" w:rsidRDefault="006514AB" w:rsidP="006514AB">
      <w:pPr>
        <w:pStyle w:val="Textonotapie"/>
        <w:ind w:firstLine="709"/>
        <w:jc w:val="both"/>
        <w:rPr>
          <w:rFonts w:ascii="Arial" w:hAnsi="Arial" w:cs="Arial"/>
          <w:sz w:val="19"/>
          <w:szCs w:val="19"/>
        </w:rPr>
      </w:pPr>
    </w:p>
  </w:footnote>
  <w:footnote w:id="5">
    <w:p w14:paraId="6CA8F217" w14:textId="77777777" w:rsidR="006514AB" w:rsidRPr="00643B8F" w:rsidRDefault="006514AB" w:rsidP="006514AB">
      <w:pPr>
        <w:pStyle w:val="Textonotapie"/>
        <w:ind w:firstLine="709"/>
        <w:jc w:val="both"/>
        <w:rPr>
          <w:rFonts w:ascii="Arial" w:hAnsi="Arial" w:cs="Arial"/>
          <w:sz w:val="19"/>
          <w:szCs w:val="19"/>
          <w:lang w:val="es-ES_tradnl"/>
        </w:rPr>
      </w:pPr>
      <w:r w:rsidRPr="00643B8F">
        <w:rPr>
          <w:rStyle w:val="Refdenotaalpie"/>
          <w:rFonts w:ascii="Arial" w:hAnsi="Arial" w:cs="Arial"/>
          <w:sz w:val="19"/>
          <w:szCs w:val="19"/>
        </w:rPr>
        <w:footnoteRef/>
      </w:r>
      <w:r w:rsidRPr="00643B8F">
        <w:rPr>
          <w:rFonts w:ascii="Arial" w:hAnsi="Arial" w:cs="Arial"/>
          <w:sz w:val="19"/>
          <w:szCs w:val="19"/>
        </w:rPr>
        <w:t xml:space="preserve"> Consejo de Estado. Sección Tercera, Subsección C. Sentencia del 26 de noviembre de 2015. </w:t>
      </w:r>
      <w:r w:rsidRPr="00643B8F">
        <w:rPr>
          <w:rFonts w:ascii="Arial" w:hAnsi="Arial" w:cs="Arial"/>
          <w:sz w:val="19"/>
          <w:szCs w:val="19"/>
          <w:lang w:val="es-ES_tradnl"/>
        </w:rPr>
        <w:t xml:space="preserve">Exp. </w:t>
      </w:r>
      <w:r w:rsidRPr="00643B8F">
        <w:rPr>
          <w:rFonts w:ascii="Arial" w:hAnsi="Arial" w:cs="Arial"/>
          <w:sz w:val="19"/>
          <w:szCs w:val="19"/>
          <w:lang w:val="es-CO"/>
        </w:rPr>
        <w:t xml:space="preserve">54.069. C.P Jaime Orlando Santofimio Gamboa. </w:t>
      </w:r>
    </w:p>
    <w:p w14:paraId="285C4568" w14:textId="77777777" w:rsidR="006514AB" w:rsidRPr="00643B8F" w:rsidRDefault="006514AB" w:rsidP="006514AB">
      <w:pPr>
        <w:pStyle w:val="Textonotapie"/>
        <w:ind w:firstLine="709"/>
        <w:jc w:val="both"/>
        <w:rPr>
          <w:rFonts w:ascii="Arial" w:hAnsi="Arial" w:cs="Arial"/>
          <w:sz w:val="19"/>
          <w:szCs w:val="19"/>
        </w:rPr>
      </w:pPr>
    </w:p>
  </w:footnote>
  <w:footnote w:id="6">
    <w:p w14:paraId="76DF73BB" w14:textId="77777777" w:rsidR="006514AB" w:rsidRPr="00643B8F" w:rsidRDefault="006514AB" w:rsidP="006514AB">
      <w:pPr>
        <w:pStyle w:val="Textonotapie"/>
        <w:ind w:firstLine="709"/>
        <w:jc w:val="both"/>
        <w:rPr>
          <w:rFonts w:ascii="Arial" w:hAnsi="Arial" w:cs="Arial"/>
          <w:sz w:val="19"/>
          <w:szCs w:val="19"/>
          <w:lang w:eastAsia="es-CO"/>
        </w:rPr>
      </w:pPr>
      <w:r w:rsidRPr="00643B8F">
        <w:rPr>
          <w:rStyle w:val="Refdenotaalpie"/>
          <w:rFonts w:ascii="Arial" w:hAnsi="Arial" w:cs="Arial"/>
          <w:sz w:val="19"/>
          <w:szCs w:val="19"/>
        </w:rPr>
        <w:footnoteRef/>
      </w:r>
      <w:r w:rsidRPr="00643B8F">
        <w:rPr>
          <w:rFonts w:ascii="Arial" w:hAnsi="Arial" w:cs="Arial"/>
          <w:sz w:val="19"/>
          <w:szCs w:val="19"/>
        </w:rPr>
        <w:t xml:space="preserve"> </w:t>
      </w:r>
      <w:r w:rsidRPr="00643B8F">
        <w:rPr>
          <w:rFonts w:ascii="Arial" w:hAnsi="Arial" w:cs="Arial"/>
          <w:sz w:val="19"/>
          <w:szCs w:val="19"/>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 (Derogado por el artículo 32 de la Ley 1150 de 2007).</w:t>
      </w:r>
    </w:p>
    <w:p w14:paraId="7567BBAD" w14:textId="77777777" w:rsidR="006514AB" w:rsidRPr="00643B8F" w:rsidRDefault="006514AB" w:rsidP="006514AB">
      <w:pPr>
        <w:pStyle w:val="Textonotapie"/>
        <w:ind w:firstLine="709"/>
        <w:jc w:val="both"/>
        <w:rPr>
          <w:rFonts w:ascii="Arial" w:hAnsi="Arial" w:cs="Arial"/>
          <w:sz w:val="19"/>
          <w:szCs w:val="19"/>
          <w:lang w:val="es-CO"/>
        </w:rPr>
      </w:pPr>
    </w:p>
  </w:footnote>
  <w:footnote w:id="7">
    <w:p w14:paraId="2797C7AC" w14:textId="77777777" w:rsidR="006514AB" w:rsidRPr="00643B8F" w:rsidRDefault="006514AB" w:rsidP="006514AB">
      <w:pPr>
        <w:pStyle w:val="Textonotapie"/>
        <w:ind w:firstLine="709"/>
        <w:jc w:val="both"/>
        <w:rPr>
          <w:rFonts w:ascii="Arial" w:hAnsi="Arial" w:cs="Arial"/>
          <w:sz w:val="19"/>
          <w:szCs w:val="19"/>
          <w:lang w:val="es-ES"/>
        </w:rPr>
      </w:pPr>
      <w:r w:rsidRPr="00643B8F">
        <w:rPr>
          <w:rStyle w:val="Refdenotaalpie"/>
          <w:rFonts w:ascii="Arial" w:hAnsi="Arial" w:cs="Arial"/>
          <w:sz w:val="19"/>
          <w:szCs w:val="19"/>
        </w:rPr>
        <w:footnoteRef/>
      </w:r>
      <w:r w:rsidRPr="00643B8F">
        <w:rPr>
          <w:rFonts w:ascii="Arial" w:hAnsi="Arial" w:cs="Arial"/>
          <w:sz w:val="19"/>
          <w:szCs w:val="19"/>
        </w:rPr>
        <w:t xml:space="preserve"> </w:t>
      </w:r>
      <w:r w:rsidRPr="00643B8F">
        <w:rPr>
          <w:rFonts w:ascii="Arial" w:hAnsi="Arial" w:cs="Arial"/>
          <w:sz w:val="19"/>
          <w:szCs w:val="19"/>
          <w:lang w:val="es-ES"/>
        </w:rPr>
        <w:t>M</w:t>
      </w:r>
      <w:r>
        <w:rPr>
          <w:rFonts w:ascii="Arial" w:hAnsi="Arial" w:cs="Arial"/>
          <w:sz w:val="19"/>
          <w:szCs w:val="19"/>
          <w:lang w:val="es-ES"/>
        </w:rPr>
        <w:t xml:space="preserve">agistrado </w:t>
      </w:r>
      <w:r w:rsidRPr="00643B8F">
        <w:rPr>
          <w:rFonts w:ascii="Arial" w:hAnsi="Arial" w:cs="Arial"/>
          <w:sz w:val="19"/>
          <w:szCs w:val="19"/>
          <w:lang w:val="es-ES"/>
        </w:rPr>
        <w:t>P</w:t>
      </w:r>
      <w:r>
        <w:rPr>
          <w:rFonts w:ascii="Arial" w:hAnsi="Arial" w:cs="Arial"/>
          <w:sz w:val="19"/>
          <w:szCs w:val="19"/>
          <w:lang w:val="es-ES"/>
        </w:rPr>
        <w:t>onente:</w:t>
      </w:r>
      <w:r w:rsidRPr="00643B8F">
        <w:rPr>
          <w:rFonts w:ascii="Arial" w:hAnsi="Arial" w:cs="Arial"/>
          <w:sz w:val="19"/>
          <w:szCs w:val="19"/>
          <w:lang w:val="es-ES"/>
        </w:rPr>
        <w:t xml:space="preserve"> Jaime Araújo Rentería.</w:t>
      </w:r>
    </w:p>
  </w:footnote>
  <w:footnote w:id="8">
    <w:p w14:paraId="04D3D3A6" w14:textId="77777777" w:rsidR="006514AB" w:rsidRPr="00643B8F" w:rsidRDefault="006514AB" w:rsidP="006514AB">
      <w:pPr>
        <w:pStyle w:val="NormalWeb"/>
        <w:spacing w:before="0" w:beforeAutospacing="0" w:after="0" w:afterAutospacing="0"/>
        <w:ind w:firstLine="709"/>
        <w:jc w:val="both"/>
        <w:rPr>
          <w:rFonts w:ascii="Arial" w:hAnsi="Arial" w:cs="Arial"/>
          <w:sz w:val="19"/>
          <w:szCs w:val="19"/>
        </w:rPr>
      </w:pPr>
      <w:r w:rsidRPr="00643B8F">
        <w:rPr>
          <w:rStyle w:val="Refdenotaalpie"/>
          <w:rFonts w:ascii="Arial" w:hAnsi="Arial" w:cs="Arial"/>
          <w:sz w:val="19"/>
          <w:szCs w:val="19"/>
        </w:rPr>
        <w:footnoteRef/>
      </w:r>
      <w:r w:rsidRPr="00643B8F">
        <w:rPr>
          <w:rFonts w:ascii="Arial" w:hAnsi="Arial" w:cs="Arial"/>
          <w:sz w:val="19"/>
          <w:szCs w:val="19"/>
        </w:rPr>
        <w:t xml:space="preserve"> Ley 1150 de 2007. </w:t>
      </w:r>
      <w:r w:rsidRPr="00643B8F">
        <w:rPr>
          <w:rFonts w:ascii="Arial" w:hAnsi="Arial" w:cs="Arial"/>
          <w:color w:val="000000" w:themeColor="text1"/>
          <w:sz w:val="19"/>
          <w:szCs w:val="19"/>
        </w:rPr>
        <w:t>«</w:t>
      </w:r>
      <w:r w:rsidRPr="00643B8F">
        <w:rPr>
          <w:rFonts w:ascii="Arial" w:hAnsi="Arial" w:cs="Arial"/>
          <w:sz w:val="19"/>
          <w:szCs w:val="19"/>
        </w:rPr>
        <w:t>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w:t>
      </w:r>
      <w:hyperlink r:id="rId3" w:anchor="1" w:history="1">
        <w:r w:rsidRPr="00643B8F">
          <w:rPr>
            <w:rStyle w:val="Hipervnculo"/>
            <w:rFonts w:ascii="Arial" w:hAnsi="Arial" w:cs="Arial"/>
            <w:color w:val="auto"/>
            <w:sz w:val="19"/>
            <w:szCs w:val="19"/>
            <w:u w:val="none"/>
          </w:rPr>
          <w:t>80</w:t>
        </w:r>
      </w:hyperlink>
      <w:r w:rsidRPr="00643B8F">
        <w:rPr>
          <w:rFonts w:ascii="Arial" w:hAnsi="Arial" w:cs="Arial"/>
          <w:sz w:val="19"/>
          <w:szCs w:val="19"/>
        </w:rPr>
        <w:t> de 1993. Los recursos de contrapartida vinculados a estas operaciones podrán tener el mismo tratamiento.</w:t>
      </w:r>
    </w:p>
    <w:p w14:paraId="4D6B49B1" w14:textId="77777777" w:rsidR="006514AB" w:rsidRPr="00643B8F" w:rsidRDefault="006514AB" w:rsidP="006514AB">
      <w:pPr>
        <w:pStyle w:val="NormalWeb"/>
        <w:spacing w:before="0" w:beforeAutospacing="0" w:after="0" w:afterAutospacing="0"/>
        <w:ind w:firstLine="709"/>
        <w:jc w:val="both"/>
        <w:rPr>
          <w:rFonts w:ascii="Arial" w:hAnsi="Arial" w:cs="Arial"/>
          <w:sz w:val="19"/>
          <w:szCs w:val="19"/>
        </w:rPr>
      </w:pPr>
      <w:r w:rsidRPr="00643B8F">
        <w:rPr>
          <w:rFonts w:ascii="Arial" w:hAnsi="Arial" w:cs="Arial"/>
          <w:color w:val="000000" w:themeColor="text1"/>
          <w:sz w:val="19"/>
          <w:szCs w:val="19"/>
        </w:rPr>
        <w:t>»</w:t>
      </w:r>
      <w:r w:rsidRPr="00643B8F">
        <w:rPr>
          <w:rFonts w:ascii="Arial" w:hAnsi="Arial" w:cs="Arial"/>
          <w:sz w:val="19"/>
          <w:szCs w:val="19"/>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27F6E298" w14:textId="77777777" w:rsidR="006514AB" w:rsidRPr="00643B8F" w:rsidRDefault="006514AB" w:rsidP="006514AB">
      <w:pPr>
        <w:pStyle w:val="NormalWeb"/>
        <w:spacing w:before="0" w:beforeAutospacing="0" w:after="0" w:afterAutospacing="0"/>
        <w:ind w:firstLine="709"/>
        <w:jc w:val="both"/>
        <w:rPr>
          <w:rFonts w:ascii="Arial" w:hAnsi="Arial" w:cs="Arial"/>
          <w:sz w:val="19"/>
          <w:szCs w:val="19"/>
        </w:rPr>
      </w:pPr>
      <w:r w:rsidRPr="00643B8F">
        <w:rPr>
          <w:rFonts w:ascii="Arial" w:hAnsi="Arial" w:cs="Arial"/>
          <w:color w:val="000000" w:themeColor="text1"/>
          <w:sz w:val="19"/>
          <w:szCs w:val="19"/>
        </w:rPr>
        <w:t>»</w:t>
      </w:r>
      <w:r w:rsidRPr="00643B8F">
        <w:rPr>
          <w:rFonts w:ascii="Arial" w:hAnsi="Arial" w:cs="Arial"/>
          <w:sz w:val="19"/>
          <w:szCs w:val="19"/>
        </w:rPr>
        <w:t>Las entidades estatales no podrán celebrar contratos o convenios para la administración o gerencia de sus recursos propios o de aquellos que les asignen los presupuestos públicos, con organismos de cooperación, asistencia o ayuda internacional.</w:t>
      </w:r>
    </w:p>
    <w:p w14:paraId="455FAC26" w14:textId="77777777" w:rsidR="006514AB" w:rsidRPr="00643B8F" w:rsidRDefault="006514AB" w:rsidP="006514AB">
      <w:pPr>
        <w:pStyle w:val="NormalWeb"/>
        <w:spacing w:before="0" w:beforeAutospacing="0" w:after="0" w:afterAutospacing="0"/>
        <w:ind w:firstLine="709"/>
        <w:jc w:val="both"/>
        <w:rPr>
          <w:rFonts w:ascii="Arial" w:hAnsi="Arial" w:cs="Arial"/>
          <w:sz w:val="19"/>
          <w:szCs w:val="19"/>
        </w:rPr>
      </w:pPr>
      <w:r w:rsidRPr="00643B8F">
        <w:rPr>
          <w:rFonts w:ascii="Arial" w:hAnsi="Arial" w:cs="Arial"/>
          <w:color w:val="000000" w:themeColor="text1"/>
          <w:sz w:val="19"/>
          <w:szCs w:val="19"/>
        </w:rPr>
        <w:t>»</w:t>
      </w:r>
      <w:r w:rsidRPr="00643B8F">
        <w:rPr>
          <w:rStyle w:val="baj"/>
          <w:rFonts w:ascii="Arial" w:hAnsi="Arial" w:cs="Arial"/>
          <w:sz w:val="19"/>
          <w:szCs w:val="19"/>
        </w:rPr>
        <w:t>PARÁGRAFO 1o.</w:t>
      </w:r>
      <w:r w:rsidRPr="00643B8F">
        <w:rPr>
          <w:rFonts w:ascii="Arial" w:hAnsi="Arial" w:cs="Arial"/>
          <w:sz w:val="19"/>
          <w:szCs w:val="19"/>
        </w:rPr>
        <w:t> Los contratos o acuerdos celebrados con personas extranjeras de derecho público, podrán someterse a las reglas de tales organismos.</w:t>
      </w:r>
    </w:p>
    <w:p w14:paraId="025BF9DC" w14:textId="77777777" w:rsidR="006514AB" w:rsidRPr="00643B8F" w:rsidRDefault="006514AB" w:rsidP="006514AB">
      <w:pPr>
        <w:pStyle w:val="NormalWeb"/>
        <w:spacing w:before="0" w:beforeAutospacing="0" w:after="0" w:afterAutospacing="0"/>
        <w:ind w:firstLine="709"/>
        <w:jc w:val="both"/>
        <w:rPr>
          <w:rFonts w:ascii="Arial" w:hAnsi="Arial" w:cs="Arial"/>
          <w:sz w:val="19"/>
          <w:szCs w:val="19"/>
        </w:rPr>
      </w:pPr>
      <w:r w:rsidRPr="00643B8F">
        <w:rPr>
          <w:rFonts w:ascii="Arial" w:hAnsi="Arial" w:cs="Arial"/>
          <w:color w:val="000000" w:themeColor="text1"/>
          <w:sz w:val="19"/>
          <w:szCs w:val="19"/>
        </w:rPr>
        <w:t>»</w:t>
      </w:r>
      <w:r w:rsidRPr="00643B8F">
        <w:rPr>
          <w:rStyle w:val="baj"/>
          <w:rFonts w:ascii="Arial" w:hAnsi="Arial" w:cs="Arial"/>
          <w:sz w:val="19"/>
          <w:szCs w:val="19"/>
        </w:rPr>
        <w:t>PARÁGRAFO 2o.</w:t>
      </w:r>
      <w:r w:rsidRPr="00643B8F">
        <w:rPr>
          <w:rFonts w:ascii="Arial" w:hAnsi="Arial" w:cs="Arial"/>
          <w:sz w:val="19"/>
          <w:szCs w:val="19"/>
        </w:rPr>
        <w:t> Las entidades estatales tendrán la obligación de reportar la información a los organismos de control y al Secop relativa a la ejecución de los contratos a los que se refiere el presente artículo.</w:t>
      </w:r>
    </w:p>
    <w:p w14:paraId="1D8D2E69" w14:textId="77777777" w:rsidR="006514AB" w:rsidRPr="00643B8F" w:rsidRDefault="006514AB" w:rsidP="006514AB">
      <w:pPr>
        <w:pStyle w:val="NormalWeb"/>
        <w:spacing w:before="0" w:beforeAutospacing="0" w:after="0" w:afterAutospacing="0"/>
        <w:ind w:firstLine="709"/>
        <w:jc w:val="both"/>
        <w:rPr>
          <w:rFonts w:ascii="Arial" w:hAnsi="Arial" w:cs="Arial"/>
          <w:sz w:val="19"/>
          <w:szCs w:val="19"/>
        </w:rPr>
      </w:pPr>
      <w:r w:rsidRPr="00643B8F">
        <w:rPr>
          <w:rFonts w:ascii="Arial" w:hAnsi="Arial" w:cs="Arial"/>
          <w:color w:val="000000" w:themeColor="text1"/>
          <w:sz w:val="19"/>
          <w:szCs w:val="19"/>
        </w:rPr>
        <w:t>»</w:t>
      </w:r>
      <w:r w:rsidRPr="00643B8F">
        <w:rPr>
          <w:rStyle w:val="baj"/>
          <w:rFonts w:ascii="Arial" w:hAnsi="Arial" w:cs="Arial"/>
          <w:sz w:val="19"/>
          <w:szCs w:val="19"/>
        </w:rPr>
        <w:t>PARÁGRAFO 3o.</w:t>
      </w:r>
      <w:r w:rsidRPr="00643B8F">
        <w:rPr>
          <w:rFonts w:ascii="Arial" w:hAnsi="Arial" w:cs="Arial"/>
          <w:sz w:val="19"/>
          <w:szCs w:val="19"/>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r w:rsidRPr="00643B8F">
        <w:rPr>
          <w:rFonts w:ascii="Arial" w:hAnsi="Arial" w:cs="Arial"/>
          <w:color w:val="000000" w:themeColor="text1"/>
          <w:sz w:val="19"/>
          <w:szCs w:val="19"/>
        </w:rPr>
        <w:t>»</w:t>
      </w:r>
      <w:r w:rsidRPr="00643B8F">
        <w:rPr>
          <w:rFonts w:ascii="Arial" w:hAnsi="Arial" w:cs="Arial"/>
          <w:sz w:val="19"/>
          <w:szCs w:val="19"/>
        </w:rPr>
        <w:t>.</w:t>
      </w:r>
    </w:p>
    <w:p w14:paraId="4C3A428B" w14:textId="77777777" w:rsidR="006514AB" w:rsidRPr="00643B8F" w:rsidRDefault="006514AB" w:rsidP="006514AB">
      <w:pPr>
        <w:pStyle w:val="Textonotapie"/>
        <w:ind w:firstLine="709"/>
        <w:jc w:val="both"/>
        <w:rPr>
          <w:rFonts w:ascii="Arial" w:hAnsi="Arial" w:cs="Arial"/>
          <w:sz w:val="19"/>
          <w:szCs w:val="19"/>
        </w:rPr>
      </w:pPr>
    </w:p>
  </w:footnote>
  <w:footnote w:id="9">
    <w:p w14:paraId="7217BB84" w14:textId="77777777" w:rsidR="006514AB" w:rsidRPr="00643B8F" w:rsidRDefault="006514AB" w:rsidP="006514AB">
      <w:pPr>
        <w:pStyle w:val="NormalWeb"/>
        <w:shd w:val="clear" w:color="auto" w:fill="FFFFFF"/>
        <w:spacing w:before="0" w:beforeAutospacing="0" w:after="0" w:afterAutospacing="0"/>
        <w:ind w:firstLine="709"/>
        <w:jc w:val="both"/>
        <w:rPr>
          <w:rFonts w:ascii="Arial" w:hAnsi="Arial" w:cs="Arial"/>
          <w:sz w:val="19"/>
          <w:szCs w:val="19"/>
        </w:rPr>
      </w:pPr>
      <w:r w:rsidRPr="00643B8F">
        <w:rPr>
          <w:rStyle w:val="Refdenotaalpie"/>
          <w:rFonts w:ascii="Arial" w:hAnsi="Arial" w:cs="Arial"/>
          <w:sz w:val="19"/>
          <w:szCs w:val="19"/>
        </w:rPr>
        <w:footnoteRef/>
      </w:r>
      <w:r w:rsidRPr="00643B8F">
        <w:rPr>
          <w:rFonts w:ascii="Arial" w:hAnsi="Arial" w:cs="Arial"/>
          <w:sz w:val="19"/>
          <w:szCs w:val="19"/>
        </w:rPr>
        <w:t xml:space="preserve"> Decreto 1082 de 2015. </w:t>
      </w:r>
      <w:r w:rsidRPr="00643B8F">
        <w:rPr>
          <w:rFonts w:ascii="Arial" w:hAnsi="Arial" w:cs="Arial"/>
          <w:color w:val="000000" w:themeColor="text1"/>
          <w:sz w:val="19"/>
          <w:szCs w:val="19"/>
        </w:rPr>
        <w:t>«</w:t>
      </w:r>
      <w:r w:rsidRPr="00643B8F">
        <w:rPr>
          <w:rFonts w:ascii="Arial" w:hAnsi="Arial" w:cs="Arial"/>
          <w:sz w:val="19"/>
          <w:szCs w:val="19"/>
        </w:rPr>
        <w:t xml:space="preserve">Artículo </w:t>
      </w:r>
      <w:r w:rsidRPr="00643B8F">
        <w:rPr>
          <w:rStyle w:val="Textoennegrita"/>
          <w:rFonts w:ascii="Arial" w:hAnsi="Arial" w:cs="Arial"/>
          <w:b w:val="0"/>
          <w:bCs w:val="0"/>
          <w:sz w:val="19"/>
          <w:szCs w:val="19"/>
        </w:rPr>
        <w:t>2.2.1.2.4.4.1. </w:t>
      </w:r>
      <w:r w:rsidRPr="00643B8F">
        <w:rPr>
          <w:rStyle w:val="nfasis"/>
          <w:rFonts w:ascii="Arial" w:eastAsia="Arial" w:hAnsi="Arial" w:cs="Arial"/>
          <w:sz w:val="19"/>
          <w:szCs w:val="19"/>
        </w:rPr>
        <w:t>Régimen aplicable a los contratos o convenios de cooperación Internacional. </w:t>
      </w:r>
      <w:r w:rsidRPr="00643B8F">
        <w:rPr>
          <w:rFonts w:ascii="Arial" w:hAnsi="Arial" w:cs="Arial"/>
          <w:sz w:val="19"/>
          <w:szCs w:val="19"/>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14:paraId="13819BCF" w14:textId="77777777" w:rsidR="006514AB" w:rsidRPr="00643B8F" w:rsidRDefault="006514AB" w:rsidP="006514AB">
      <w:pPr>
        <w:pStyle w:val="NormalWeb"/>
        <w:shd w:val="clear" w:color="auto" w:fill="FFFFFF"/>
        <w:spacing w:before="0" w:beforeAutospacing="0" w:after="0" w:afterAutospacing="0"/>
        <w:ind w:firstLine="709"/>
        <w:jc w:val="both"/>
        <w:rPr>
          <w:rFonts w:ascii="Arial" w:hAnsi="Arial" w:cs="Arial"/>
          <w:sz w:val="19"/>
          <w:szCs w:val="19"/>
        </w:rPr>
      </w:pPr>
      <w:r w:rsidRPr="00643B8F">
        <w:rPr>
          <w:rFonts w:ascii="Arial" w:hAnsi="Arial" w:cs="Arial"/>
          <w:color w:val="000000" w:themeColor="text1"/>
          <w:sz w:val="19"/>
          <w:szCs w:val="19"/>
        </w:rPr>
        <w:t>»</w:t>
      </w:r>
      <w:r w:rsidRPr="00643B8F">
        <w:rPr>
          <w:rFonts w:ascii="Arial" w:hAnsi="Arial" w:cs="Arial"/>
          <w:i/>
          <w:iCs/>
          <w:sz w:val="19"/>
          <w:szCs w:val="19"/>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643B8F">
        <w:rPr>
          <w:rFonts w:ascii="Arial" w:hAnsi="Arial" w:cs="Arial"/>
          <w:sz w:val="19"/>
          <w:szCs w:val="19"/>
        </w:rPr>
        <w:t>.</w:t>
      </w:r>
    </w:p>
    <w:p w14:paraId="6E431A8E" w14:textId="77777777" w:rsidR="006514AB" w:rsidRPr="00643B8F" w:rsidRDefault="006514AB" w:rsidP="006514AB">
      <w:pPr>
        <w:pStyle w:val="NormalWeb"/>
        <w:shd w:val="clear" w:color="auto" w:fill="FFFFFF"/>
        <w:spacing w:before="0" w:beforeAutospacing="0" w:after="0" w:afterAutospacing="0"/>
        <w:ind w:firstLine="709"/>
        <w:jc w:val="both"/>
        <w:rPr>
          <w:rFonts w:ascii="Arial" w:hAnsi="Arial" w:cs="Arial"/>
          <w:sz w:val="19"/>
          <w:szCs w:val="19"/>
        </w:rPr>
      </w:pPr>
      <w:r w:rsidRPr="00643B8F">
        <w:rPr>
          <w:rFonts w:ascii="Arial" w:hAnsi="Arial" w:cs="Arial"/>
          <w:color w:val="000000" w:themeColor="text1"/>
          <w:sz w:val="19"/>
          <w:szCs w:val="19"/>
        </w:rPr>
        <w:t>»</w:t>
      </w:r>
      <w:r w:rsidRPr="00643B8F">
        <w:rPr>
          <w:rFonts w:ascii="Arial" w:hAnsi="Arial" w:cs="Arial"/>
          <w:sz w:val="19"/>
          <w:szCs w:val="19"/>
        </w:rPr>
        <w:t>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14:paraId="1F5EA8EF" w14:textId="77777777" w:rsidR="006514AB" w:rsidRPr="00643B8F" w:rsidRDefault="006514AB" w:rsidP="006514AB">
      <w:pPr>
        <w:pStyle w:val="NormalWeb"/>
        <w:shd w:val="clear" w:color="auto" w:fill="FFFFFF"/>
        <w:spacing w:before="0" w:beforeAutospacing="0" w:after="0" w:afterAutospacing="0"/>
        <w:ind w:firstLine="709"/>
        <w:jc w:val="both"/>
        <w:rPr>
          <w:rFonts w:ascii="Arial" w:hAnsi="Arial" w:cs="Arial"/>
          <w:sz w:val="19"/>
          <w:szCs w:val="19"/>
        </w:rPr>
      </w:pPr>
      <w:r w:rsidRPr="00643B8F">
        <w:rPr>
          <w:rFonts w:ascii="Arial" w:hAnsi="Arial" w:cs="Arial"/>
          <w:color w:val="000000" w:themeColor="text1"/>
          <w:sz w:val="19"/>
          <w:szCs w:val="19"/>
        </w:rPr>
        <w:t>»</w:t>
      </w:r>
      <w:r w:rsidRPr="00643B8F">
        <w:rPr>
          <w:rFonts w:ascii="Arial" w:hAnsi="Arial" w:cs="Arial"/>
          <w:sz w:val="19"/>
          <w:szCs w:val="19"/>
        </w:rPr>
        <w:t>Los recursos generados en desarrollo de los contratos o convenios financiados con fondos de los organismos de cooperación, asistencia o ayudas internacionales no deben ser tenidos en cuenta para determinar los porcentajes de los aportes de las partes». (Cursiva fuera del original).</w:t>
      </w:r>
    </w:p>
    <w:p w14:paraId="0D83894E" w14:textId="77777777" w:rsidR="006514AB" w:rsidRPr="00643B8F" w:rsidRDefault="006514AB" w:rsidP="006514AB">
      <w:pPr>
        <w:pStyle w:val="NormalWeb"/>
        <w:shd w:val="clear" w:color="auto" w:fill="FFFFFF"/>
        <w:spacing w:before="0" w:beforeAutospacing="0" w:after="0" w:afterAutospacing="0"/>
        <w:ind w:firstLine="709"/>
        <w:jc w:val="both"/>
        <w:rPr>
          <w:rFonts w:ascii="Arial" w:hAnsi="Arial" w:cs="Arial"/>
          <w:sz w:val="19"/>
          <w:szCs w:val="19"/>
        </w:rPr>
      </w:pPr>
      <w:r w:rsidRPr="00643B8F">
        <w:rPr>
          <w:rFonts w:ascii="Arial" w:hAnsi="Arial" w:cs="Arial"/>
          <w:color w:val="000000" w:themeColor="text1"/>
          <w:sz w:val="19"/>
          <w:szCs w:val="19"/>
        </w:rPr>
        <w:t>»</w:t>
      </w:r>
      <w:r w:rsidRPr="00643B8F">
        <w:rPr>
          <w:rFonts w:ascii="Arial" w:hAnsi="Arial" w:cs="Arial"/>
          <w:sz w:val="19"/>
          <w:szCs w:val="19"/>
        </w:rPr>
        <w:t>Los contratos o convenios financiados con fondos de los organismos multilaterales de crédito, entes gubernamentales extranjeros o personas extranjeras de derecho público, así como aquellos a los que se refiere el inciso 2 del artículo 20 de la </w:t>
      </w:r>
      <w:hyperlink r:id="rId4" w:history="1">
        <w:r w:rsidRPr="00643B8F">
          <w:rPr>
            <w:rStyle w:val="Hipervnculo"/>
            <w:rFonts w:ascii="Arial" w:hAnsi="Arial" w:cs="Arial"/>
            <w:color w:val="auto"/>
            <w:sz w:val="19"/>
            <w:szCs w:val="19"/>
            <w:u w:val="none"/>
          </w:rPr>
          <w:t>Ley 1150 de 2007</w:t>
        </w:r>
      </w:hyperlink>
      <w:r w:rsidRPr="00643B8F">
        <w:rPr>
          <w:rFonts w:ascii="Arial" w:hAnsi="Arial" w:cs="Arial"/>
          <w:sz w:val="19"/>
          <w:szCs w:val="19"/>
        </w:rPr>
        <w:t>,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w:t>
      </w:r>
      <w:hyperlink r:id="rId5" w:history="1">
        <w:r w:rsidRPr="00643B8F">
          <w:rPr>
            <w:rStyle w:val="Hipervnculo"/>
            <w:rFonts w:ascii="Arial" w:hAnsi="Arial" w:cs="Arial"/>
            <w:color w:val="auto"/>
            <w:sz w:val="19"/>
            <w:szCs w:val="19"/>
            <w:u w:val="none"/>
          </w:rPr>
          <w:t> Ley 1150 de 2007</w:t>
        </w:r>
      </w:hyperlink>
      <w:r w:rsidRPr="00643B8F">
        <w:rPr>
          <w:rFonts w:ascii="Arial" w:hAnsi="Arial" w:cs="Arial"/>
          <w:sz w:val="19"/>
          <w:szCs w:val="19"/>
        </w:rPr>
        <w:t>.</w:t>
      </w:r>
    </w:p>
    <w:p w14:paraId="0A373CD2" w14:textId="77777777" w:rsidR="006514AB" w:rsidRPr="00643B8F" w:rsidRDefault="006514AB" w:rsidP="006514AB">
      <w:pPr>
        <w:pStyle w:val="NormalWeb"/>
        <w:shd w:val="clear" w:color="auto" w:fill="FFFFFF"/>
        <w:spacing w:before="0" w:beforeAutospacing="0" w:after="0" w:afterAutospacing="0"/>
        <w:ind w:firstLine="709"/>
        <w:jc w:val="both"/>
        <w:rPr>
          <w:rFonts w:ascii="Arial" w:hAnsi="Arial" w:cs="Arial"/>
          <w:sz w:val="19"/>
          <w:szCs w:val="19"/>
        </w:rPr>
      </w:pPr>
      <w:r w:rsidRPr="00643B8F">
        <w:rPr>
          <w:rFonts w:ascii="Arial" w:hAnsi="Arial" w:cs="Arial"/>
          <w:color w:val="000000" w:themeColor="text1"/>
          <w:sz w:val="19"/>
          <w:szCs w:val="19"/>
        </w:rPr>
        <w:t>»</w:t>
      </w:r>
      <w:r w:rsidRPr="00643B8F">
        <w:rPr>
          <w:rFonts w:ascii="Arial" w:hAnsi="Arial" w:cs="Arial"/>
          <w:sz w:val="19"/>
          <w:szCs w:val="19"/>
        </w:rPr>
        <w:t>Los contratos con personas extranjeras de derecho público se deben celebrar y ejecutar según se acuerde entre las partes</w:t>
      </w:r>
      <w:r w:rsidRPr="00643B8F">
        <w:rPr>
          <w:rFonts w:ascii="Arial" w:hAnsi="Arial" w:cs="Arial"/>
          <w:color w:val="000000" w:themeColor="text1"/>
          <w:sz w:val="19"/>
          <w:szCs w:val="19"/>
        </w:rPr>
        <w:t>»</w:t>
      </w:r>
      <w:r w:rsidRPr="00643B8F">
        <w:rPr>
          <w:rFonts w:ascii="Arial" w:hAnsi="Arial" w:cs="Arial"/>
          <w:sz w:val="19"/>
          <w:szCs w:val="19"/>
        </w:rPr>
        <w:t>.</w:t>
      </w:r>
    </w:p>
    <w:p w14:paraId="042502B5" w14:textId="77777777" w:rsidR="006514AB" w:rsidRPr="00643B8F" w:rsidRDefault="006514AB" w:rsidP="006514AB">
      <w:pPr>
        <w:pStyle w:val="Textonotapie"/>
        <w:ind w:firstLine="709"/>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44916" w:rsidRDefault="00F44916">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start w:val="1"/>
      <w:numFmt w:val="lowerLetter"/>
      <w:lvlText w:val="%2."/>
      <w:lvlJc w:val="left"/>
      <w:pPr>
        <w:ind w:left="2149" w:hanging="360"/>
      </w:pPr>
    </w:lvl>
    <w:lvl w:ilvl="2" w:tplc="040A001B">
      <w:start w:val="1"/>
      <w:numFmt w:val="lowerRoman"/>
      <w:lvlText w:val="%3."/>
      <w:lvlJc w:val="right"/>
      <w:pPr>
        <w:ind w:left="2869" w:hanging="180"/>
      </w:pPr>
    </w:lvl>
    <w:lvl w:ilvl="3" w:tplc="040A000F">
      <w:start w:val="1"/>
      <w:numFmt w:val="decimal"/>
      <w:lvlText w:val="%4."/>
      <w:lvlJc w:val="left"/>
      <w:pPr>
        <w:ind w:left="3589" w:hanging="360"/>
      </w:pPr>
    </w:lvl>
    <w:lvl w:ilvl="4" w:tplc="040A0019">
      <w:start w:val="1"/>
      <w:numFmt w:val="lowerLetter"/>
      <w:lvlText w:val="%5."/>
      <w:lvlJc w:val="left"/>
      <w:pPr>
        <w:ind w:left="4309" w:hanging="360"/>
      </w:pPr>
    </w:lvl>
    <w:lvl w:ilvl="5" w:tplc="040A001B">
      <w:start w:val="1"/>
      <w:numFmt w:val="lowerRoman"/>
      <w:lvlText w:val="%6."/>
      <w:lvlJc w:val="right"/>
      <w:pPr>
        <w:ind w:left="5029" w:hanging="180"/>
      </w:pPr>
    </w:lvl>
    <w:lvl w:ilvl="6" w:tplc="040A000F">
      <w:start w:val="1"/>
      <w:numFmt w:val="decimal"/>
      <w:lvlText w:val="%7."/>
      <w:lvlJc w:val="left"/>
      <w:pPr>
        <w:ind w:left="5749" w:hanging="360"/>
      </w:pPr>
    </w:lvl>
    <w:lvl w:ilvl="7" w:tplc="040A0019">
      <w:start w:val="1"/>
      <w:numFmt w:val="lowerLetter"/>
      <w:lvlText w:val="%8."/>
      <w:lvlJc w:val="left"/>
      <w:pPr>
        <w:ind w:left="6469" w:hanging="360"/>
      </w:pPr>
    </w:lvl>
    <w:lvl w:ilvl="8" w:tplc="040A001B">
      <w:start w:val="1"/>
      <w:numFmt w:val="lowerRoman"/>
      <w:lvlText w:val="%9."/>
      <w:lvlJc w:val="right"/>
      <w:pPr>
        <w:ind w:left="7189" w:hanging="180"/>
      </w:pPr>
    </w:lvl>
  </w:abstractNum>
  <w:abstractNum w:abstractNumId="8" w15:restartNumberingAfterBreak="0">
    <w:nsid w:val="77DF7927"/>
    <w:multiLevelType w:val="multilevel"/>
    <w:tmpl w:val="C7C66B9A"/>
    <w:lvl w:ilvl="0">
      <w:start w:val="1"/>
      <w:numFmt w:val="decimal"/>
      <w:lvlText w:val="%1."/>
      <w:lvlJc w:val="left"/>
      <w:pPr>
        <w:ind w:left="54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60" w:hanging="38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0" w:nlCheck="1" w:checkStyle="0"/>
  <w:activeWritingStyle w:appName="MSWord" w:lang="es-CO" w:vendorID="64" w:dllVersion="4096"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1011E"/>
    <w:rsid w:val="00010B21"/>
    <w:rsid w:val="0001178C"/>
    <w:rsid w:val="00011C19"/>
    <w:rsid w:val="00012D3B"/>
    <w:rsid w:val="000144E5"/>
    <w:rsid w:val="00014B1D"/>
    <w:rsid w:val="0001587F"/>
    <w:rsid w:val="0002128D"/>
    <w:rsid w:val="00022B41"/>
    <w:rsid w:val="00022C2B"/>
    <w:rsid w:val="0002438E"/>
    <w:rsid w:val="000245BA"/>
    <w:rsid w:val="00025B90"/>
    <w:rsid w:val="00025F0D"/>
    <w:rsid w:val="000263B0"/>
    <w:rsid w:val="00030FC5"/>
    <w:rsid w:val="00033726"/>
    <w:rsid w:val="00034AA9"/>
    <w:rsid w:val="00036094"/>
    <w:rsid w:val="000362E6"/>
    <w:rsid w:val="00040923"/>
    <w:rsid w:val="00040E6F"/>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6567"/>
    <w:rsid w:val="000678DE"/>
    <w:rsid w:val="00071C82"/>
    <w:rsid w:val="000720AC"/>
    <w:rsid w:val="000732C7"/>
    <w:rsid w:val="000765A3"/>
    <w:rsid w:val="0007666B"/>
    <w:rsid w:val="000775E4"/>
    <w:rsid w:val="000805B8"/>
    <w:rsid w:val="00082182"/>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1CE8"/>
    <w:rsid w:val="000B2324"/>
    <w:rsid w:val="000B2CE3"/>
    <w:rsid w:val="000B324A"/>
    <w:rsid w:val="000C14AA"/>
    <w:rsid w:val="000C23C7"/>
    <w:rsid w:val="000C397B"/>
    <w:rsid w:val="000C6CCE"/>
    <w:rsid w:val="000C71C8"/>
    <w:rsid w:val="000C786A"/>
    <w:rsid w:val="000C798F"/>
    <w:rsid w:val="000D1FBC"/>
    <w:rsid w:val="000D2573"/>
    <w:rsid w:val="000D30D4"/>
    <w:rsid w:val="000D31C7"/>
    <w:rsid w:val="000D387A"/>
    <w:rsid w:val="000D47EF"/>
    <w:rsid w:val="000D48CC"/>
    <w:rsid w:val="000D7615"/>
    <w:rsid w:val="000D7BBD"/>
    <w:rsid w:val="000E0A2F"/>
    <w:rsid w:val="000E1284"/>
    <w:rsid w:val="000E1CDD"/>
    <w:rsid w:val="000E2E43"/>
    <w:rsid w:val="000E450F"/>
    <w:rsid w:val="000E7D7E"/>
    <w:rsid w:val="000F0898"/>
    <w:rsid w:val="000F14E8"/>
    <w:rsid w:val="000F19EF"/>
    <w:rsid w:val="000F1F4B"/>
    <w:rsid w:val="000F6DA0"/>
    <w:rsid w:val="00101394"/>
    <w:rsid w:val="001014F5"/>
    <w:rsid w:val="00103915"/>
    <w:rsid w:val="001078E6"/>
    <w:rsid w:val="00111960"/>
    <w:rsid w:val="001160B0"/>
    <w:rsid w:val="001162A5"/>
    <w:rsid w:val="001200ED"/>
    <w:rsid w:val="0012087D"/>
    <w:rsid w:val="00120B80"/>
    <w:rsid w:val="00121D3B"/>
    <w:rsid w:val="00122B23"/>
    <w:rsid w:val="001245D4"/>
    <w:rsid w:val="00124E57"/>
    <w:rsid w:val="00135A40"/>
    <w:rsid w:val="001375C4"/>
    <w:rsid w:val="00137646"/>
    <w:rsid w:val="00137A61"/>
    <w:rsid w:val="00137FFA"/>
    <w:rsid w:val="001438ED"/>
    <w:rsid w:val="00146025"/>
    <w:rsid w:val="00146856"/>
    <w:rsid w:val="00147224"/>
    <w:rsid w:val="00150A83"/>
    <w:rsid w:val="00152274"/>
    <w:rsid w:val="001522B6"/>
    <w:rsid w:val="00152E5D"/>
    <w:rsid w:val="0015343F"/>
    <w:rsid w:val="001543F8"/>
    <w:rsid w:val="00154B53"/>
    <w:rsid w:val="00155245"/>
    <w:rsid w:val="00155DAE"/>
    <w:rsid w:val="00155DD9"/>
    <w:rsid w:val="00156BE4"/>
    <w:rsid w:val="00165A21"/>
    <w:rsid w:val="00166C46"/>
    <w:rsid w:val="00167BF1"/>
    <w:rsid w:val="00171104"/>
    <w:rsid w:val="00171CF4"/>
    <w:rsid w:val="0018017A"/>
    <w:rsid w:val="00181C2A"/>
    <w:rsid w:val="00183388"/>
    <w:rsid w:val="00184CBC"/>
    <w:rsid w:val="00186338"/>
    <w:rsid w:val="00190812"/>
    <w:rsid w:val="00192F9B"/>
    <w:rsid w:val="00195EF5"/>
    <w:rsid w:val="00196BE5"/>
    <w:rsid w:val="001975AC"/>
    <w:rsid w:val="001A00E2"/>
    <w:rsid w:val="001A153A"/>
    <w:rsid w:val="001A393A"/>
    <w:rsid w:val="001A4318"/>
    <w:rsid w:val="001A5507"/>
    <w:rsid w:val="001B1847"/>
    <w:rsid w:val="001B1ECB"/>
    <w:rsid w:val="001B23CE"/>
    <w:rsid w:val="001B45E7"/>
    <w:rsid w:val="001C0A60"/>
    <w:rsid w:val="001C0AF7"/>
    <w:rsid w:val="001C16CC"/>
    <w:rsid w:val="001C39DF"/>
    <w:rsid w:val="001C4570"/>
    <w:rsid w:val="001C5E73"/>
    <w:rsid w:val="001D0260"/>
    <w:rsid w:val="001D0A63"/>
    <w:rsid w:val="001D1883"/>
    <w:rsid w:val="001D33D1"/>
    <w:rsid w:val="001D5240"/>
    <w:rsid w:val="001D60DA"/>
    <w:rsid w:val="001D7FE6"/>
    <w:rsid w:val="001E04BA"/>
    <w:rsid w:val="001E1B39"/>
    <w:rsid w:val="001E1E4A"/>
    <w:rsid w:val="001E2D6F"/>
    <w:rsid w:val="001E40C6"/>
    <w:rsid w:val="001E5ACA"/>
    <w:rsid w:val="001E6B77"/>
    <w:rsid w:val="001F083C"/>
    <w:rsid w:val="001F1672"/>
    <w:rsid w:val="001F3489"/>
    <w:rsid w:val="001F515E"/>
    <w:rsid w:val="001F59D8"/>
    <w:rsid w:val="001F5FEF"/>
    <w:rsid w:val="0020024A"/>
    <w:rsid w:val="00200B89"/>
    <w:rsid w:val="00200C0F"/>
    <w:rsid w:val="002021C7"/>
    <w:rsid w:val="00202B7A"/>
    <w:rsid w:val="002031DB"/>
    <w:rsid w:val="002047E9"/>
    <w:rsid w:val="00205850"/>
    <w:rsid w:val="00206852"/>
    <w:rsid w:val="00207041"/>
    <w:rsid w:val="00211C31"/>
    <w:rsid w:val="00213804"/>
    <w:rsid w:val="0021714E"/>
    <w:rsid w:val="00220681"/>
    <w:rsid w:val="00224722"/>
    <w:rsid w:val="00227E56"/>
    <w:rsid w:val="002301F1"/>
    <w:rsid w:val="002304C1"/>
    <w:rsid w:val="002315AE"/>
    <w:rsid w:val="00232ECE"/>
    <w:rsid w:val="0023384B"/>
    <w:rsid w:val="00233A64"/>
    <w:rsid w:val="002346F8"/>
    <w:rsid w:val="00234B84"/>
    <w:rsid w:val="00236F7F"/>
    <w:rsid w:val="0024212A"/>
    <w:rsid w:val="002436DD"/>
    <w:rsid w:val="002456DF"/>
    <w:rsid w:val="00250966"/>
    <w:rsid w:val="00251667"/>
    <w:rsid w:val="002518A6"/>
    <w:rsid w:val="0025429B"/>
    <w:rsid w:val="0025531C"/>
    <w:rsid w:val="00256C1D"/>
    <w:rsid w:val="00261AAE"/>
    <w:rsid w:val="0026505D"/>
    <w:rsid w:val="002654B9"/>
    <w:rsid w:val="00266568"/>
    <w:rsid w:val="002668CC"/>
    <w:rsid w:val="00270911"/>
    <w:rsid w:val="00270A17"/>
    <w:rsid w:val="00272F3C"/>
    <w:rsid w:val="00273961"/>
    <w:rsid w:val="0027401B"/>
    <w:rsid w:val="0027497E"/>
    <w:rsid w:val="00276DFC"/>
    <w:rsid w:val="002806D0"/>
    <w:rsid w:val="0028218D"/>
    <w:rsid w:val="00282A6B"/>
    <w:rsid w:val="00283535"/>
    <w:rsid w:val="0029116C"/>
    <w:rsid w:val="00292D21"/>
    <w:rsid w:val="002934B2"/>
    <w:rsid w:val="0029572E"/>
    <w:rsid w:val="00295D8A"/>
    <w:rsid w:val="002A0F0D"/>
    <w:rsid w:val="002A0F0F"/>
    <w:rsid w:val="002A19C4"/>
    <w:rsid w:val="002A294A"/>
    <w:rsid w:val="002A2CD3"/>
    <w:rsid w:val="002A7C42"/>
    <w:rsid w:val="002B03E5"/>
    <w:rsid w:val="002B17C5"/>
    <w:rsid w:val="002B446C"/>
    <w:rsid w:val="002B6286"/>
    <w:rsid w:val="002B709B"/>
    <w:rsid w:val="002C1EEC"/>
    <w:rsid w:val="002C31BC"/>
    <w:rsid w:val="002C57F2"/>
    <w:rsid w:val="002C68B3"/>
    <w:rsid w:val="002D05DE"/>
    <w:rsid w:val="002D2FF2"/>
    <w:rsid w:val="002D3B38"/>
    <w:rsid w:val="002D57A3"/>
    <w:rsid w:val="002D5D61"/>
    <w:rsid w:val="002D5FFC"/>
    <w:rsid w:val="002D665A"/>
    <w:rsid w:val="002E0C71"/>
    <w:rsid w:val="002E13E0"/>
    <w:rsid w:val="002E1993"/>
    <w:rsid w:val="002E1A34"/>
    <w:rsid w:val="002E424E"/>
    <w:rsid w:val="002E479E"/>
    <w:rsid w:val="002E4EFE"/>
    <w:rsid w:val="002E6F80"/>
    <w:rsid w:val="002F1143"/>
    <w:rsid w:val="002F1FE0"/>
    <w:rsid w:val="002F231E"/>
    <w:rsid w:val="002F23C9"/>
    <w:rsid w:val="002F6312"/>
    <w:rsid w:val="002F6F49"/>
    <w:rsid w:val="0030118B"/>
    <w:rsid w:val="003033BA"/>
    <w:rsid w:val="00305329"/>
    <w:rsid w:val="00306222"/>
    <w:rsid w:val="00306763"/>
    <w:rsid w:val="003074FD"/>
    <w:rsid w:val="003078B5"/>
    <w:rsid w:val="00307E45"/>
    <w:rsid w:val="003102F2"/>
    <w:rsid w:val="00310C43"/>
    <w:rsid w:val="00311A86"/>
    <w:rsid w:val="0031275A"/>
    <w:rsid w:val="003133D1"/>
    <w:rsid w:val="00313974"/>
    <w:rsid w:val="00315651"/>
    <w:rsid w:val="00315A1D"/>
    <w:rsid w:val="00317242"/>
    <w:rsid w:val="003174A5"/>
    <w:rsid w:val="00317949"/>
    <w:rsid w:val="00317BB7"/>
    <w:rsid w:val="0032062C"/>
    <w:rsid w:val="00321B8E"/>
    <w:rsid w:val="00322B57"/>
    <w:rsid w:val="00325979"/>
    <w:rsid w:val="00326BEF"/>
    <w:rsid w:val="003277AE"/>
    <w:rsid w:val="00327E0D"/>
    <w:rsid w:val="00331A72"/>
    <w:rsid w:val="00331CE3"/>
    <w:rsid w:val="00333156"/>
    <w:rsid w:val="00333CDE"/>
    <w:rsid w:val="003342B2"/>
    <w:rsid w:val="003352DC"/>
    <w:rsid w:val="003355DA"/>
    <w:rsid w:val="0033597E"/>
    <w:rsid w:val="00340AD3"/>
    <w:rsid w:val="00340C37"/>
    <w:rsid w:val="0034119F"/>
    <w:rsid w:val="00341911"/>
    <w:rsid w:val="00341BE6"/>
    <w:rsid w:val="00343194"/>
    <w:rsid w:val="00343AB2"/>
    <w:rsid w:val="003461EA"/>
    <w:rsid w:val="0034680A"/>
    <w:rsid w:val="003477C1"/>
    <w:rsid w:val="00352ABF"/>
    <w:rsid w:val="00352FB2"/>
    <w:rsid w:val="0035397A"/>
    <w:rsid w:val="0035419A"/>
    <w:rsid w:val="0035582B"/>
    <w:rsid w:val="00355E89"/>
    <w:rsid w:val="00355EDA"/>
    <w:rsid w:val="00356A34"/>
    <w:rsid w:val="00361348"/>
    <w:rsid w:val="0036167C"/>
    <w:rsid w:val="00362709"/>
    <w:rsid w:val="00363BC9"/>
    <w:rsid w:val="003643E8"/>
    <w:rsid w:val="00366AA6"/>
    <w:rsid w:val="0037114A"/>
    <w:rsid w:val="0037229F"/>
    <w:rsid w:val="00373E13"/>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55B"/>
    <w:rsid w:val="0039398A"/>
    <w:rsid w:val="00393DF4"/>
    <w:rsid w:val="003946F7"/>
    <w:rsid w:val="003949F4"/>
    <w:rsid w:val="003950F3"/>
    <w:rsid w:val="00396696"/>
    <w:rsid w:val="00396ABB"/>
    <w:rsid w:val="003976AE"/>
    <w:rsid w:val="003A03E8"/>
    <w:rsid w:val="003A1A92"/>
    <w:rsid w:val="003A266D"/>
    <w:rsid w:val="003A29DF"/>
    <w:rsid w:val="003A3B32"/>
    <w:rsid w:val="003A3CF0"/>
    <w:rsid w:val="003A581E"/>
    <w:rsid w:val="003A5E4E"/>
    <w:rsid w:val="003A6BA0"/>
    <w:rsid w:val="003A6EA8"/>
    <w:rsid w:val="003A789C"/>
    <w:rsid w:val="003B03BF"/>
    <w:rsid w:val="003B0BB1"/>
    <w:rsid w:val="003B49A4"/>
    <w:rsid w:val="003B4D4F"/>
    <w:rsid w:val="003B7211"/>
    <w:rsid w:val="003B75E6"/>
    <w:rsid w:val="003C0712"/>
    <w:rsid w:val="003C14CE"/>
    <w:rsid w:val="003C25E1"/>
    <w:rsid w:val="003C3A87"/>
    <w:rsid w:val="003C3FB8"/>
    <w:rsid w:val="003C53A9"/>
    <w:rsid w:val="003C5458"/>
    <w:rsid w:val="003C564B"/>
    <w:rsid w:val="003C5A2E"/>
    <w:rsid w:val="003D1833"/>
    <w:rsid w:val="003D5FFB"/>
    <w:rsid w:val="003D7728"/>
    <w:rsid w:val="003E1061"/>
    <w:rsid w:val="003E21E7"/>
    <w:rsid w:val="003F0256"/>
    <w:rsid w:val="003F2762"/>
    <w:rsid w:val="003F466C"/>
    <w:rsid w:val="003F551E"/>
    <w:rsid w:val="003F5E2E"/>
    <w:rsid w:val="003F5F01"/>
    <w:rsid w:val="003F6DB8"/>
    <w:rsid w:val="003F7100"/>
    <w:rsid w:val="004008EE"/>
    <w:rsid w:val="004026AA"/>
    <w:rsid w:val="00402FFB"/>
    <w:rsid w:val="00403195"/>
    <w:rsid w:val="0040416B"/>
    <w:rsid w:val="00405F6D"/>
    <w:rsid w:val="00412B33"/>
    <w:rsid w:val="00412C94"/>
    <w:rsid w:val="00412E29"/>
    <w:rsid w:val="0041405F"/>
    <w:rsid w:val="0041420E"/>
    <w:rsid w:val="00414B36"/>
    <w:rsid w:val="00414EE8"/>
    <w:rsid w:val="00415E4F"/>
    <w:rsid w:val="00417023"/>
    <w:rsid w:val="004206A4"/>
    <w:rsid w:val="00421CA0"/>
    <w:rsid w:val="0042704E"/>
    <w:rsid w:val="0042797D"/>
    <w:rsid w:val="00427D74"/>
    <w:rsid w:val="004301E2"/>
    <w:rsid w:val="00433063"/>
    <w:rsid w:val="004336EA"/>
    <w:rsid w:val="004345E3"/>
    <w:rsid w:val="004348A1"/>
    <w:rsid w:val="00434F99"/>
    <w:rsid w:val="00435530"/>
    <w:rsid w:val="00435E15"/>
    <w:rsid w:val="00436F07"/>
    <w:rsid w:val="00437E23"/>
    <w:rsid w:val="00440DC5"/>
    <w:rsid w:val="00440E07"/>
    <w:rsid w:val="004422D6"/>
    <w:rsid w:val="00442D02"/>
    <w:rsid w:val="00443588"/>
    <w:rsid w:val="0044423C"/>
    <w:rsid w:val="004473DB"/>
    <w:rsid w:val="00450066"/>
    <w:rsid w:val="00454FD6"/>
    <w:rsid w:val="00455DB2"/>
    <w:rsid w:val="00457DF1"/>
    <w:rsid w:val="00460842"/>
    <w:rsid w:val="00460ED0"/>
    <w:rsid w:val="00461501"/>
    <w:rsid w:val="00461F68"/>
    <w:rsid w:val="00462ECE"/>
    <w:rsid w:val="00464784"/>
    <w:rsid w:val="004649F4"/>
    <w:rsid w:val="00465EED"/>
    <w:rsid w:val="00467068"/>
    <w:rsid w:val="00470363"/>
    <w:rsid w:val="00474F64"/>
    <w:rsid w:val="00476602"/>
    <w:rsid w:val="00477519"/>
    <w:rsid w:val="00482AC2"/>
    <w:rsid w:val="004832BF"/>
    <w:rsid w:val="00483432"/>
    <w:rsid w:val="0048439B"/>
    <w:rsid w:val="0048447C"/>
    <w:rsid w:val="00485259"/>
    <w:rsid w:val="0049042F"/>
    <w:rsid w:val="00491763"/>
    <w:rsid w:val="004938A8"/>
    <w:rsid w:val="00494839"/>
    <w:rsid w:val="00494F71"/>
    <w:rsid w:val="004959F8"/>
    <w:rsid w:val="00495D77"/>
    <w:rsid w:val="0049660B"/>
    <w:rsid w:val="00497A1D"/>
    <w:rsid w:val="004A267D"/>
    <w:rsid w:val="004A278C"/>
    <w:rsid w:val="004A29A5"/>
    <w:rsid w:val="004A2B18"/>
    <w:rsid w:val="004A34D2"/>
    <w:rsid w:val="004A385C"/>
    <w:rsid w:val="004A512D"/>
    <w:rsid w:val="004A611F"/>
    <w:rsid w:val="004A6646"/>
    <w:rsid w:val="004B0D78"/>
    <w:rsid w:val="004B1158"/>
    <w:rsid w:val="004B1821"/>
    <w:rsid w:val="004B3D99"/>
    <w:rsid w:val="004B445E"/>
    <w:rsid w:val="004B5235"/>
    <w:rsid w:val="004B5922"/>
    <w:rsid w:val="004B5C3C"/>
    <w:rsid w:val="004B6246"/>
    <w:rsid w:val="004B645B"/>
    <w:rsid w:val="004B794D"/>
    <w:rsid w:val="004B7B59"/>
    <w:rsid w:val="004B7D75"/>
    <w:rsid w:val="004C0279"/>
    <w:rsid w:val="004C0932"/>
    <w:rsid w:val="004C3EDA"/>
    <w:rsid w:val="004C69A1"/>
    <w:rsid w:val="004C6C72"/>
    <w:rsid w:val="004D0CB0"/>
    <w:rsid w:val="004D11C2"/>
    <w:rsid w:val="004D3CCE"/>
    <w:rsid w:val="004D4C8F"/>
    <w:rsid w:val="004D5609"/>
    <w:rsid w:val="004D718B"/>
    <w:rsid w:val="004D7EC4"/>
    <w:rsid w:val="004E16E5"/>
    <w:rsid w:val="004E4D0D"/>
    <w:rsid w:val="004E4E22"/>
    <w:rsid w:val="004E4EB0"/>
    <w:rsid w:val="004E7149"/>
    <w:rsid w:val="004E750B"/>
    <w:rsid w:val="004F0AF3"/>
    <w:rsid w:val="004F1B23"/>
    <w:rsid w:val="004F3091"/>
    <w:rsid w:val="004F4E70"/>
    <w:rsid w:val="004F58AE"/>
    <w:rsid w:val="004F5C0B"/>
    <w:rsid w:val="00501C7C"/>
    <w:rsid w:val="005024CA"/>
    <w:rsid w:val="00502628"/>
    <w:rsid w:val="00502D15"/>
    <w:rsid w:val="005037D6"/>
    <w:rsid w:val="00504448"/>
    <w:rsid w:val="00507356"/>
    <w:rsid w:val="005079BF"/>
    <w:rsid w:val="0051074C"/>
    <w:rsid w:val="00512B03"/>
    <w:rsid w:val="00513595"/>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4450"/>
    <w:rsid w:val="00535C77"/>
    <w:rsid w:val="0054061C"/>
    <w:rsid w:val="00540BDD"/>
    <w:rsid w:val="005414AC"/>
    <w:rsid w:val="00542C19"/>
    <w:rsid w:val="00543102"/>
    <w:rsid w:val="0054413A"/>
    <w:rsid w:val="00544B92"/>
    <w:rsid w:val="0054651C"/>
    <w:rsid w:val="00547F13"/>
    <w:rsid w:val="00550C02"/>
    <w:rsid w:val="00551312"/>
    <w:rsid w:val="00552067"/>
    <w:rsid w:val="00553B5D"/>
    <w:rsid w:val="005542DB"/>
    <w:rsid w:val="005544D0"/>
    <w:rsid w:val="0055487B"/>
    <w:rsid w:val="00555055"/>
    <w:rsid w:val="005550A3"/>
    <w:rsid w:val="005564CA"/>
    <w:rsid w:val="00560A4E"/>
    <w:rsid w:val="00562490"/>
    <w:rsid w:val="005657A2"/>
    <w:rsid w:val="00565C7E"/>
    <w:rsid w:val="00566225"/>
    <w:rsid w:val="00566E6A"/>
    <w:rsid w:val="005705F7"/>
    <w:rsid w:val="0057076F"/>
    <w:rsid w:val="005725DF"/>
    <w:rsid w:val="005731D0"/>
    <w:rsid w:val="0057359F"/>
    <w:rsid w:val="00575217"/>
    <w:rsid w:val="00575B3D"/>
    <w:rsid w:val="00576724"/>
    <w:rsid w:val="00576733"/>
    <w:rsid w:val="00577071"/>
    <w:rsid w:val="00581EBC"/>
    <w:rsid w:val="0058647D"/>
    <w:rsid w:val="00586679"/>
    <w:rsid w:val="005870DF"/>
    <w:rsid w:val="00587E9D"/>
    <w:rsid w:val="0059076C"/>
    <w:rsid w:val="00593DB1"/>
    <w:rsid w:val="00593FE9"/>
    <w:rsid w:val="00597889"/>
    <w:rsid w:val="00597B42"/>
    <w:rsid w:val="00597B94"/>
    <w:rsid w:val="005A07BD"/>
    <w:rsid w:val="005A09E8"/>
    <w:rsid w:val="005A2022"/>
    <w:rsid w:val="005A2B7F"/>
    <w:rsid w:val="005A5DA1"/>
    <w:rsid w:val="005B01B5"/>
    <w:rsid w:val="005B26EB"/>
    <w:rsid w:val="005B338A"/>
    <w:rsid w:val="005B4444"/>
    <w:rsid w:val="005B50FB"/>
    <w:rsid w:val="005B61E8"/>
    <w:rsid w:val="005B64E3"/>
    <w:rsid w:val="005B74E2"/>
    <w:rsid w:val="005C19F3"/>
    <w:rsid w:val="005C280F"/>
    <w:rsid w:val="005C2A6C"/>
    <w:rsid w:val="005C47CD"/>
    <w:rsid w:val="005C60EB"/>
    <w:rsid w:val="005C6619"/>
    <w:rsid w:val="005C66D8"/>
    <w:rsid w:val="005C7BC1"/>
    <w:rsid w:val="005D1E83"/>
    <w:rsid w:val="005D2381"/>
    <w:rsid w:val="005D2D0D"/>
    <w:rsid w:val="005D3C8F"/>
    <w:rsid w:val="005D47B2"/>
    <w:rsid w:val="005D6180"/>
    <w:rsid w:val="005D78E7"/>
    <w:rsid w:val="005E124C"/>
    <w:rsid w:val="005E1400"/>
    <w:rsid w:val="005E15AC"/>
    <w:rsid w:val="005E414D"/>
    <w:rsid w:val="005E74B0"/>
    <w:rsid w:val="005E7E46"/>
    <w:rsid w:val="005F2058"/>
    <w:rsid w:val="005F2C66"/>
    <w:rsid w:val="005F3E71"/>
    <w:rsid w:val="005F51D1"/>
    <w:rsid w:val="005F5643"/>
    <w:rsid w:val="005F5F54"/>
    <w:rsid w:val="005F735D"/>
    <w:rsid w:val="005F7503"/>
    <w:rsid w:val="00604F5A"/>
    <w:rsid w:val="00606144"/>
    <w:rsid w:val="006103E8"/>
    <w:rsid w:val="00612107"/>
    <w:rsid w:val="00613798"/>
    <w:rsid w:val="006137DC"/>
    <w:rsid w:val="00614030"/>
    <w:rsid w:val="00614E0B"/>
    <w:rsid w:val="006160D2"/>
    <w:rsid w:val="00616FD5"/>
    <w:rsid w:val="00620BF2"/>
    <w:rsid w:val="00623442"/>
    <w:rsid w:val="0063024C"/>
    <w:rsid w:val="00630415"/>
    <w:rsid w:val="006310DC"/>
    <w:rsid w:val="006313A5"/>
    <w:rsid w:val="006324F8"/>
    <w:rsid w:val="006326DB"/>
    <w:rsid w:val="00632865"/>
    <w:rsid w:val="00632E60"/>
    <w:rsid w:val="00633357"/>
    <w:rsid w:val="00634551"/>
    <w:rsid w:val="006359C0"/>
    <w:rsid w:val="00636DBA"/>
    <w:rsid w:val="006376C9"/>
    <w:rsid w:val="00640DDA"/>
    <w:rsid w:val="00640E32"/>
    <w:rsid w:val="006420D0"/>
    <w:rsid w:val="006423F5"/>
    <w:rsid w:val="00642EA9"/>
    <w:rsid w:val="006462AE"/>
    <w:rsid w:val="00646B5C"/>
    <w:rsid w:val="00647FE6"/>
    <w:rsid w:val="006514AB"/>
    <w:rsid w:val="00654420"/>
    <w:rsid w:val="00654A2F"/>
    <w:rsid w:val="00654A4D"/>
    <w:rsid w:val="00655371"/>
    <w:rsid w:val="00655762"/>
    <w:rsid w:val="00656BDD"/>
    <w:rsid w:val="00656FCA"/>
    <w:rsid w:val="00660CC8"/>
    <w:rsid w:val="006616E6"/>
    <w:rsid w:val="00661EC2"/>
    <w:rsid w:val="00664B5C"/>
    <w:rsid w:val="006650DF"/>
    <w:rsid w:val="00665D69"/>
    <w:rsid w:val="006673CF"/>
    <w:rsid w:val="00667FF9"/>
    <w:rsid w:val="00671A48"/>
    <w:rsid w:val="00671E09"/>
    <w:rsid w:val="00675CDD"/>
    <w:rsid w:val="00675F48"/>
    <w:rsid w:val="00675FF8"/>
    <w:rsid w:val="006760DE"/>
    <w:rsid w:val="0067611C"/>
    <w:rsid w:val="006773B5"/>
    <w:rsid w:val="00680A59"/>
    <w:rsid w:val="006815A1"/>
    <w:rsid w:val="0068257A"/>
    <w:rsid w:val="00682E0D"/>
    <w:rsid w:val="00683856"/>
    <w:rsid w:val="00685162"/>
    <w:rsid w:val="00686AA5"/>
    <w:rsid w:val="00686E3A"/>
    <w:rsid w:val="00690B55"/>
    <w:rsid w:val="006913CA"/>
    <w:rsid w:val="00691DF1"/>
    <w:rsid w:val="00696576"/>
    <w:rsid w:val="00697665"/>
    <w:rsid w:val="006977A6"/>
    <w:rsid w:val="006A22FE"/>
    <w:rsid w:val="006A25C9"/>
    <w:rsid w:val="006A3B75"/>
    <w:rsid w:val="006A5068"/>
    <w:rsid w:val="006A63E2"/>
    <w:rsid w:val="006A6B4A"/>
    <w:rsid w:val="006A7981"/>
    <w:rsid w:val="006A7FD0"/>
    <w:rsid w:val="006B0790"/>
    <w:rsid w:val="006B2A4B"/>
    <w:rsid w:val="006B2A81"/>
    <w:rsid w:val="006B3A45"/>
    <w:rsid w:val="006B447E"/>
    <w:rsid w:val="006B4DEC"/>
    <w:rsid w:val="006B58E4"/>
    <w:rsid w:val="006B5B74"/>
    <w:rsid w:val="006B5D02"/>
    <w:rsid w:val="006B74EF"/>
    <w:rsid w:val="006C01CD"/>
    <w:rsid w:val="006C04B6"/>
    <w:rsid w:val="006C1787"/>
    <w:rsid w:val="006C2EDF"/>
    <w:rsid w:val="006C45E1"/>
    <w:rsid w:val="006C4C2C"/>
    <w:rsid w:val="006C4D46"/>
    <w:rsid w:val="006D1C63"/>
    <w:rsid w:val="006D6A68"/>
    <w:rsid w:val="006D7687"/>
    <w:rsid w:val="006E0572"/>
    <w:rsid w:val="006E19F4"/>
    <w:rsid w:val="006E3D5D"/>
    <w:rsid w:val="006E5E5D"/>
    <w:rsid w:val="006E69B8"/>
    <w:rsid w:val="006E71B6"/>
    <w:rsid w:val="006E73B1"/>
    <w:rsid w:val="006F344A"/>
    <w:rsid w:val="006F3FD3"/>
    <w:rsid w:val="006F6AE7"/>
    <w:rsid w:val="007026A8"/>
    <w:rsid w:val="007031C5"/>
    <w:rsid w:val="00703690"/>
    <w:rsid w:val="00703DDF"/>
    <w:rsid w:val="00705025"/>
    <w:rsid w:val="00705631"/>
    <w:rsid w:val="00714CC7"/>
    <w:rsid w:val="0071524A"/>
    <w:rsid w:val="007155E0"/>
    <w:rsid w:val="00716793"/>
    <w:rsid w:val="007171C0"/>
    <w:rsid w:val="007204C0"/>
    <w:rsid w:val="00720B31"/>
    <w:rsid w:val="0072122A"/>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9DB"/>
    <w:rsid w:val="00737AD0"/>
    <w:rsid w:val="00742AFC"/>
    <w:rsid w:val="00742B02"/>
    <w:rsid w:val="00742DD2"/>
    <w:rsid w:val="00745301"/>
    <w:rsid w:val="00746C26"/>
    <w:rsid w:val="0075277F"/>
    <w:rsid w:val="00752D13"/>
    <w:rsid w:val="0075345C"/>
    <w:rsid w:val="00754152"/>
    <w:rsid w:val="00754EC0"/>
    <w:rsid w:val="0075647A"/>
    <w:rsid w:val="00757117"/>
    <w:rsid w:val="00760C7C"/>
    <w:rsid w:val="007634AD"/>
    <w:rsid w:val="00763B06"/>
    <w:rsid w:val="00763DF0"/>
    <w:rsid w:val="00766562"/>
    <w:rsid w:val="00770749"/>
    <w:rsid w:val="00770ADC"/>
    <w:rsid w:val="00771BA7"/>
    <w:rsid w:val="00773EE9"/>
    <w:rsid w:val="00773EFA"/>
    <w:rsid w:val="007751AB"/>
    <w:rsid w:val="0077581F"/>
    <w:rsid w:val="00775C7C"/>
    <w:rsid w:val="00775F71"/>
    <w:rsid w:val="00777B18"/>
    <w:rsid w:val="00780F3A"/>
    <w:rsid w:val="0078122E"/>
    <w:rsid w:val="00781432"/>
    <w:rsid w:val="0078331C"/>
    <w:rsid w:val="00786FA5"/>
    <w:rsid w:val="00790165"/>
    <w:rsid w:val="00792CCD"/>
    <w:rsid w:val="00795F60"/>
    <w:rsid w:val="007A00AB"/>
    <w:rsid w:val="007A1640"/>
    <w:rsid w:val="007A3087"/>
    <w:rsid w:val="007A3365"/>
    <w:rsid w:val="007A3575"/>
    <w:rsid w:val="007A36F7"/>
    <w:rsid w:val="007A3878"/>
    <w:rsid w:val="007A45E1"/>
    <w:rsid w:val="007A4F9B"/>
    <w:rsid w:val="007B0854"/>
    <w:rsid w:val="007B26EA"/>
    <w:rsid w:val="007B350C"/>
    <w:rsid w:val="007B5E4D"/>
    <w:rsid w:val="007C03E1"/>
    <w:rsid w:val="007C0482"/>
    <w:rsid w:val="007C2BF6"/>
    <w:rsid w:val="007C4999"/>
    <w:rsid w:val="007C5B45"/>
    <w:rsid w:val="007C67B5"/>
    <w:rsid w:val="007C6D53"/>
    <w:rsid w:val="007C745C"/>
    <w:rsid w:val="007D1800"/>
    <w:rsid w:val="007D28D9"/>
    <w:rsid w:val="007D4E2C"/>
    <w:rsid w:val="007E0012"/>
    <w:rsid w:val="007E07F7"/>
    <w:rsid w:val="007E13BA"/>
    <w:rsid w:val="007E724B"/>
    <w:rsid w:val="007E7D01"/>
    <w:rsid w:val="007F21B2"/>
    <w:rsid w:val="007F306F"/>
    <w:rsid w:val="007F3261"/>
    <w:rsid w:val="007F3788"/>
    <w:rsid w:val="007F40CD"/>
    <w:rsid w:val="007F5CD2"/>
    <w:rsid w:val="007F6877"/>
    <w:rsid w:val="007F6E86"/>
    <w:rsid w:val="007F72CB"/>
    <w:rsid w:val="008020B4"/>
    <w:rsid w:val="00802410"/>
    <w:rsid w:val="008029C5"/>
    <w:rsid w:val="00802E04"/>
    <w:rsid w:val="00803C53"/>
    <w:rsid w:val="00804199"/>
    <w:rsid w:val="00810BC2"/>
    <w:rsid w:val="00810F70"/>
    <w:rsid w:val="008112AE"/>
    <w:rsid w:val="008118F4"/>
    <w:rsid w:val="00812B27"/>
    <w:rsid w:val="00813D99"/>
    <w:rsid w:val="008150DF"/>
    <w:rsid w:val="0082268C"/>
    <w:rsid w:val="008268BC"/>
    <w:rsid w:val="0083119B"/>
    <w:rsid w:val="00834E72"/>
    <w:rsid w:val="00836AFD"/>
    <w:rsid w:val="00836C3A"/>
    <w:rsid w:val="00836EAB"/>
    <w:rsid w:val="00837248"/>
    <w:rsid w:val="00837349"/>
    <w:rsid w:val="00840D0A"/>
    <w:rsid w:val="00841B8A"/>
    <w:rsid w:val="00845BC2"/>
    <w:rsid w:val="00845C82"/>
    <w:rsid w:val="00847A9D"/>
    <w:rsid w:val="00847F78"/>
    <w:rsid w:val="0085092D"/>
    <w:rsid w:val="00852147"/>
    <w:rsid w:val="00854321"/>
    <w:rsid w:val="00854646"/>
    <w:rsid w:val="008546F7"/>
    <w:rsid w:val="00856133"/>
    <w:rsid w:val="00856268"/>
    <w:rsid w:val="008563D1"/>
    <w:rsid w:val="00856872"/>
    <w:rsid w:val="00860B70"/>
    <w:rsid w:val="008645C3"/>
    <w:rsid w:val="00870D79"/>
    <w:rsid w:val="00874D84"/>
    <w:rsid w:val="00875A80"/>
    <w:rsid w:val="008765F0"/>
    <w:rsid w:val="00876A9D"/>
    <w:rsid w:val="0087751D"/>
    <w:rsid w:val="00877CD6"/>
    <w:rsid w:val="0088101C"/>
    <w:rsid w:val="0088206E"/>
    <w:rsid w:val="0088233B"/>
    <w:rsid w:val="008828E7"/>
    <w:rsid w:val="0088385C"/>
    <w:rsid w:val="00884C8B"/>
    <w:rsid w:val="0088563B"/>
    <w:rsid w:val="008856AE"/>
    <w:rsid w:val="008861E2"/>
    <w:rsid w:val="0088659A"/>
    <w:rsid w:val="00886DDE"/>
    <w:rsid w:val="00891978"/>
    <w:rsid w:val="00892103"/>
    <w:rsid w:val="00893313"/>
    <w:rsid w:val="00893744"/>
    <w:rsid w:val="00893A01"/>
    <w:rsid w:val="00895A43"/>
    <w:rsid w:val="008A1527"/>
    <w:rsid w:val="008A1750"/>
    <w:rsid w:val="008A1B06"/>
    <w:rsid w:val="008A2636"/>
    <w:rsid w:val="008A4B60"/>
    <w:rsid w:val="008B0B5F"/>
    <w:rsid w:val="008B0FF2"/>
    <w:rsid w:val="008B1E24"/>
    <w:rsid w:val="008B2021"/>
    <w:rsid w:val="008B404F"/>
    <w:rsid w:val="008B4770"/>
    <w:rsid w:val="008B4FA2"/>
    <w:rsid w:val="008B5AED"/>
    <w:rsid w:val="008B6437"/>
    <w:rsid w:val="008B7DB2"/>
    <w:rsid w:val="008C0C45"/>
    <w:rsid w:val="008C36A1"/>
    <w:rsid w:val="008C3A55"/>
    <w:rsid w:val="008C7603"/>
    <w:rsid w:val="008C7B34"/>
    <w:rsid w:val="008D082E"/>
    <w:rsid w:val="008D0D41"/>
    <w:rsid w:val="008D218F"/>
    <w:rsid w:val="008D41C2"/>
    <w:rsid w:val="008D4AE8"/>
    <w:rsid w:val="008D55EA"/>
    <w:rsid w:val="008D6B63"/>
    <w:rsid w:val="008D7FDF"/>
    <w:rsid w:val="008E07D2"/>
    <w:rsid w:val="008E12EE"/>
    <w:rsid w:val="008E1C15"/>
    <w:rsid w:val="008E2789"/>
    <w:rsid w:val="008E3D79"/>
    <w:rsid w:val="008E4385"/>
    <w:rsid w:val="008E58E3"/>
    <w:rsid w:val="008E6270"/>
    <w:rsid w:val="008E76C6"/>
    <w:rsid w:val="008F1674"/>
    <w:rsid w:val="008F180C"/>
    <w:rsid w:val="008F2DE8"/>
    <w:rsid w:val="008F4F08"/>
    <w:rsid w:val="008F67B0"/>
    <w:rsid w:val="008F6974"/>
    <w:rsid w:val="00900C60"/>
    <w:rsid w:val="00900CC0"/>
    <w:rsid w:val="00901F74"/>
    <w:rsid w:val="00902980"/>
    <w:rsid w:val="00903673"/>
    <w:rsid w:val="00903913"/>
    <w:rsid w:val="00904433"/>
    <w:rsid w:val="009047C5"/>
    <w:rsid w:val="009049F3"/>
    <w:rsid w:val="00906117"/>
    <w:rsid w:val="00906DF7"/>
    <w:rsid w:val="00911AE7"/>
    <w:rsid w:val="00911B55"/>
    <w:rsid w:val="00914791"/>
    <w:rsid w:val="00914BEA"/>
    <w:rsid w:val="00914CA9"/>
    <w:rsid w:val="0091733A"/>
    <w:rsid w:val="00917897"/>
    <w:rsid w:val="00917D09"/>
    <w:rsid w:val="00920089"/>
    <w:rsid w:val="009207A6"/>
    <w:rsid w:val="00921E06"/>
    <w:rsid w:val="00921E2E"/>
    <w:rsid w:val="00922B83"/>
    <w:rsid w:val="00924B30"/>
    <w:rsid w:val="00924EBF"/>
    <w:rsid w:val="0092615F"/>
    <w:rsid w:val="00927EAE"/>
    <w:rsid w:val="00931EF5"/>
    <w:rsid w:val="009321E6"/>
    <w:rsid w:val="009329C1"/>
    <w:rsid w:val="0093326F"/>
    <w:rsid w:val="009333DD"/>
    <w:rsid w:val="00934245"/>
    <w:rsid w:val="009343E2"/>
    <w:rsid w:val="00940D6B"/>
    <w:rsid w:val="00943849"/>
    <w:rsid w:val="00943ED3"/>
    <w:rsid w:val="00943FE7"/>
    <w:rsid w:val="0094552F"/>
    <w:rsid w:val="00945B7C"/>
    <w:rsid w:val="00947C29"/>
    <w:rsid w:val="00951797"/>
    <w:rsid w:val="0095285B"/>
    <w:rsid w:val="00952EDF"/>
    <w:rsid w:val="0095385A"/>
    <w:rsid w:val="00956410"/>
    <w:rsid w:val="00961031"/>
    <w:rsid w:val="0096486A"/>
    <w:rsid w:val="00964E9B"/>
    <w:rsid w:val="00965839"/>
    <w:rsid w:val="00966C75"/>
    <w:rsid w:val="0097005F"/>
    <w:rsid w:val="00970550"/>
    <w:rsid w:val="00971851"/>
    <w:rsid w:val="009743FB"/>
    <w:rsid w:val="00975738"/>
    <w:rsid w:val="00976237"/>
    <w:rsid w:val="009768F4"/>
    <w:rsid w:val="00977307"/>
    <w:rsid w:val="009777A2"/>
    <w:rsid w:val="009823A4"/>
    <w:rsid w:val="00983F83"/>
    <w:rsid w:val="009840CC"/>
    <w:rsid w:val="00985247"/>
    <w:rsid w:val="009863F1"/>
    <w:rsid w:val="00987DD3"/>
    <w:rsid w:val="00990A5A"/>
    <w:rsid w:val="00993037"/>
    <w:rsid w:val="00994999"/>
    <w:rsid w:val="009969F2"/>
    <w:rsid w:val="009973A4"/>
    <w:rsid w:val="009975AD"/>
    <w:rsid w:val="00997EA9"/>
    <w:rsid w:val="009A0F89"/>
    <w:rsid w:val="009A1C7B"/>
    <w:rsid w:val="009A1DB3"/>
    <w:rsid w:val="009A2E9B"/>
    <w:rsid w:val="009A36E4"/>
    <w:rsid w:val="009A4877"/>
    <w:rsid w:val="009A4DDF"/>
    <w:rsid w:val="009A5FB7"/>
    <w:rsid w:val="009A65FE"/>
    <w:rsid w:val="009A69D9"/>
    <w:rsid w:val="009A7DDF"/>
    <w:rsid w:val="009B223B"/>
    <w:rsid w:val="009B38BA"/>
    <w:rsid w:val="009B7BFB"/>
    <w:rsid w:val="009B7D69"/>
    <w:rsid w:val="009C0C5D"/>
    <w:rsid w:val="009C1B12"/>
    <w:rsid w:val="009C1F9A"/>
    <w:rsid w:val="009C5436"/>
    <w:rsid w:val="009C5B56"/>
    <w:rsid w:val="009C68C5"/>
    <w:rsid w:val="009D169F"/>
    <w:rsid w:val="009D17E4"/>
    <w:rsid w:val="009D1CC6"/>
    <w:rsid w:val="009D2970"/>
    <w:rsid w:val="009D4284"/>
    <w:rsid w:val="009D4A95"/>
    <w:rsid w:val="009D51AB"/>
    <w:rsid w:val="009D5694"/>
    <w:rsid w:val="009D65AE"/>
    <w:rsid w:val="009D71D6"/>
    <w:rsid w:val="009D72B1"/>
    <w:rsid w:val="009D768B"/>
    <w:rsid w:val="009E134A"/>
    <w:rsid w:val="009E201B"/>
    <w:rsid w:val="009E2F26"/>
    <w:rsid w:val="009E3931"/>
    <w:rsid w:val="009E58DB"/>
    <w:rsid w:val="009F3049"/>
    <w:rsid w:val="009F387C"/>
    <w:rsid w:val="009F4F5C"/>
    <w:rsid w:val="009F7878"/>
    <w:rsid w:val="00A00480"/>
    <w:rsid w:val="00A009C1"/>
    <w:rsid w:val="00A018CF"/>
    <w:rsid w:val="00A0366E"/>
    <w:rsid w:val="00A037EA"/>
    <w:rsid w:val="00A03FFA"/>
    <w:rsid w:val="00A04EE6"/>
    <w:rsid w:val="00A064D1"/>
    <w:rsid w:val="00A0747C"/>
    <w:rsid w:val="00A131D8"/>
    <w:rsid w:val="00A14ED6"/>
    <w:rsid w:val="00A14FEA"/>
    <w:rsid w:val="00A15652"/>
    <w:rsid w:val="00A15E6A"/>
    <w:rsid w:val="00A17D5A"/>
    <w:rsid w:val="00A20899"/>
    <w:rsid w:val="00A21FD4"/>
    <w:rsid w:val="00A24560"/>
    <w:rsid w:val="00A252F8"/>
    <w:rsid w:val="00A25924"/>
    <w:rsid w:val="00A2775B"/>
    <w:rsid w:val="00A3135A"/>
    <w:rsid w:val="00A31FAF"/>
    <w:rsid w:val="00A33107"/>
    <w:rsid w:val="00A34538"/>
    <w:rsid w:val="00A34779"/>
    <w:rsid w:val="00A35DB0"/>
    <w:rsid w:val="00A366C0"/>
    <w:rsid w:val="00A37325"/>
    <w:rsid w:val="00A4284F"/>
    <w:rsid w:val="00A43C52"/>
    <w:rsid w:val="00A44ADA"/>
    <w:rsid w:val="00A457BC"/>
    <w:rsid w:val="00A46B58"/>
    <w:rsid w:val="00A502C3"/>
    <w:rsid w:val="00A55589"/>
    <w:rsid w:val="00A55593"/>
    <w:rsid w:val="00A568E5"/>
    <w:rsid w:val="00A6031B"/>
    <w:rsid w:val="00A60F23"/>
    <w:rsid w:val="00A6135D"/>
    <w:rsid w:val="00A61BAB"/>
    <w:rsid w:val="00A63214"/>
    <w:rsid w:val="00A63550"/>
    <w:rsid w:val="00A637F0"/>
    <w:rsid w:val="00A64A3E"/>
    <w:rsid w:val="00A64D34"/>
    <w:rsid w:val="00A66B56"/>
    <w:rsid w:val="00A66CB6"/>
    <w:rsid w:val="00A67701"/>
    <w:rsid w:val="00A70D3C"/>
    <w:rsid w:val="00A7259A"/>
    <w:rsid w:val="00A7306C"/>
    <w:rsid w:val="00A74421"/>
    <w:rsid w:val="00A7602D"/>
    <w:rsid w:val="00A80531"/>
    <w:rsid w:val="00A80657"/>
    <w:rsid w:val="00A80A35"/>
    <w:rsid w:val="00A8155D"/>
    <w:rsid w:val="00A81A2A"/>
    <w:rsid w:val="00A82798"/>
    <w:rsid w:val="00A83FAF"/>
    <w:rsid w:val="00A846F0"/>
    <w:rsid w:val="00A872E4"/>
    <w:rsid w:val="00A90376"/>
    <w:rsid w:val="00A911F3"/>
    <w:rsid w:val="00A92F8F"/>
    <w:rsid w:val="00A94854"/>
    <w:rsid w:val="00A963E6"/>
    <w:rsid w:val="00A965EF"/>
    <w:rsid w:val="00A97BA9"/>
    <w:rsid w:val="00AA0108"/>
    <w:rsid w:val="00AA2FA4"/>
    <w:rsid w:val="00AA442B"/>
    <w:rsid w:val="00AA5DE7"/>
    <w:rsid w:val="00AB019E"/>
    <w:rsid w:val="00AB0CF9"/>
    <w:rsid w:val="00AB22AC"/>
    <w:rsid w:val="00AB519E"/>
    <w:rsid w:val="00AB69A1"/>
    <w:rsid w:val="00AB71ED"/>
    <w:rsid w:val="00AC284A"/>
    <w:rsid w:val="00AC2F83"/>
    <w:rsid w:val="00AC4A88"/>
    <w:rsid w:val="00AC604E"/>
    <w:rsid w:val="00AC7AF0"/>
    <w:rsid w:val="00AD0301"/>
    <w:rsid w:val="00AD1BC5"/>
    <w:rsid w:val="00AD2F6D"/>
    <w:rsid w:val="00AD44F4"/>
    <w:rsid w:val="00AD4D7E"/>
    <w:rsid w:val="00AD55CA"/>
    <w:rsid w:val="00AD5641"/>
    <w:rsid w:val="00AD73B1"/>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5C8"/>
    <w:rsid w:val="00B113BF"/>
    <w:rsid w:val="00B12934"/>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30B07"/>
    <w:rsid w:val="00B32B7B"/>
    <w:rsid w:val="00B34319"/>
    <w:rsid w:val="00B34CA4"/>
    <w:rsid w:val="00B35A49"/>
    <w:rsid w:val="00B36042"/>
    <w:rsid w:val="00B375CA"/>
    <w:rsid w:val="00B40151"/>
    <w:rsid w:val="00B417C9"/>
    <w:rsid w:val="00B42A23"/>
    <w:rsid w:val="00B42F19"/>
    <w:rsid w:val="00B442BB"/>
    <w:rsid w:val="00B448AF"/>
    <w:rsid w:val="00B449E1"/>
    <w:rsid w:val="00B45B98"/>
    <w:rsid w:val="00B473D1"/>
    <w:rsid w:val="00B50B3D"/>
    <w:rsid w:val="00B525CB"/>
    <w:rsid w:val="00B53724"/>
    <w:rsid w:val="00B57141"/>
    <w:rsid w:val="00B5723A"/>
    <w:rsid w:val="00B60BC9"/>
    <w:rsid w:val="00B615BB"/>
    <w:rsid w:val="00B61EAF"/>
    <w:rsid w:val="00B628C8"/>
    <w:rsid w:val="00B63CB2"/>
    <w:rsid w:val="00B64914"/>
    <w:rsid w:val="00B67830"/>
    <w:rsid w:val="00B734AF"/>
    <w:rsid w:val="00B73E50"/>
    <w:rsid w:val="00B7415E"/>
    <w:rsid w:val="00B7625C"/>
    <w:rsid w:val="00B76CDB"/>
    <w:rsid w:val="00B80A0C"/>
    <w:rsid w:val="00B81693"/>
    <w:rsid w:val="00B81B4F"/>
    <w:rsid w:val="00B83689"/>
    <w:rsid w:val="00B83959"/>
    <w:rsid w:val="00B83E31"/>
    <w:rsid w:val="00B85CB0"/>
    <w:rsid w:val="00B86742"/>
    <w:rsid w:val="00B86E19"/>
    <w:rsid w:val="00B91F08"/>
    <w:rsid w:val="00B9214A"/>
    <w:rsid w:val="00B9228C"/>
    <w:rsid w:val="00B924AA"/>
    <w:rsid w:val="00B93C15"/>
    <w:rsid w:val="00B93EB4"/>
    <w:rsid w:val="00B94453"/>
    <w:rsid w:val="00B955E0"/>
    <w:rsid w:val="00B96EEB"/>
    <w:rsid w:val="00B972C9"/>
    <w:rsid w:val="00B97FAF"/>
    <w:rsid w:val="00BA2A4A"/>
    <w:rsid w:val="00BA2D3A"/>
    <w:rsid w:val="00BA5331"/>
    <w:rsid w:val="00BA7E88"/>
    <w:rsid w:val="00BB094C"/>
    <w:rsid w:val="00BB20AF"/>
    <w:rsid w:val="00BB343D"/>
    <w:rsid w:val="00BB4442"/>
    <w:rsid w:val="00BB52CB"/>
    <w:rsid w:val="00BB6594"/>
    <w:rsid w:val="00BB6E3C"/>
    <w:rsid w:val="00BC00B1"/>
    <w:rsid w:val="00BC2E1A"/>
    <w:rsid w:val="00BC3CF6"/>
    <w:rsid w:val="00BC4624"/>
    <w:rsid w:val="00BC4A98"/>
    <w:rsid w:val="00BC5927"/>
    <w:rsid w:val="00BD115B"/>
    <w:rsid w:val="00BD1CED"/>
    <w:rsid w:val="00BD27AE"/>
    <w:rsid w:val="00BD28D5"/>
    <w:rsid w:val="00BD78FE"/>
    <w:rsid w:val="00BE020D"/>
    <w:rsid w:val="00BE051B"/>
    <w:rsid w:val="00BE15CF"/>
    <w:rsid w:val="00BE2414"/>
    <w:rsid w:val="00BE30AE"/>
    <w:rsid w:val="00BF0AE6"/>
    <w:rsid w:val="00BF1286"/>
    <w:rsid w:val="00BF1C20"/>
    <w:rsid w:val="00BF1F2C"/>
    <w:rsid w:val="00BF3F8D"/>
    <w:rsid w:val="00BF5A17"/>
    <w:rsid w:val="00BF5F64"/>
    <w:rsid w:val="00BF616F"/>
    <w:rsid w:val="00C00B13"/>
    <w:rsid w:val="00C00EE1"/>
    <w:rsid w:val="00C03C90"/>
    <w:rsid w:val="00C04442"/>
    <w:rsid w:val="00C1022B"/>
    <w:rsid w:val="00C10447"/>
    <w:rsid w:val="00C1187E"/>
    <w:rsid w:val="00C142C8"/>
    <w:rsid w:val="00C15CD4"/>
    <w:rsid w:val="00C15D32"/>
    <w:rsid w:val="00C166F7"/>
    <w:rsid w:val="00C205DB"/>
    <w:rsid w:val="00C2159E"/>
    <w:rsid w:val="00C216A9"/>
    <w:rsid w:val="00C21D03"/>
    <w:rsid w:val="00C24E53"/>
    <w:rsid w:val="00C253B9"/>
    <w:rsid w:val="00C2563C"/>
    <w:rsid w:val="00C25B27"/>
    <w:rsid w:val="00C309EC"/>
    <w:rsid w:val="00C3265D"/>
    <w:rsid w:val="00C32FA9"/>
    <w:rsid w:val="00C3420D"/>
    <w:rsid w:val="00C34CD8"/>
    <w:rsid w:val="00C34E5D"/>
    <w:rsid w:val="00C356A5"/>
    <w:rsid w:val="00C3799C"/>
    <w:rsid w:val="00C40F72"/>
    <w:rsid w:val="00C41CC9"/>
    <w:rsid w:val="00C44B05"/>
    <w:rsid w:val="00C45264"/>
    <w:rsid w:val="00C46F19"/>
    <w:rsid w:val="00C518B8"/>
    <w:rsid w:val="00C53893"/>
    <w:rsid w:val="00C539EC"/>
    <w:rsid w:val="00C53B49"/>
    <w:rsid w:val="00C55CE9"/>
    <w:rsid w:val="00C57F52"/>
    <w:rsid w:val="00C60A6C"/>
    <w:rsid w:val="00C61FA4"/>
    <w:rsid w:val="00C6215B"/>
    <w:rsid w:val="00C62DB7"/>
    <w:rsid w:val="00C63E6D"/>
    <w:rsid w:val="00C6470F"/>
    <w:rsid w:val="00C64854"/>
    <w:rsid w:val="00C660E1"/>
    <w:rsid w:val="00C66325"/>
    <w:rsid w:val="00C6742E"/>
    <w:rsid w:val="00C6749A"/>
    <w:rsid w:val="00C676B2"/>
    <w:rsid w:val="00C70828"/>
    <w:rsid w:val="00C70B6F"/>
    <w:rsid w:val="00C743E9"/>
    <w:rsid w:val="00C75CF1"/>
    <w:rsid w:val="00C76B72"/>
    <w:rsid w:val="00C82A4D"/>
    <w:rsid w:val="00C84725"/>
    <w:rsid w:val="00C90033"/>
    <w:rsid w:val="00C9033A"/>
    <w:rsid w:val="00C92C93"/>
    <w:rsid w:val="00C93D81"/>
    <w:rsid w:val="00CA3AC3"/>
    <w:rsid w:val="00CA474A"/>
    <w:rsid w:val="00CA4E1C"/>
    <w:rsid w:val="00CA5F30"/>
    <w:rsid w:val="00CA6A4C"/>
    <w:rsid w:val="00CA6D91"/>
    <w:rsid w:val="00CB0646"/>
    <w:rsid w:val="00CB2848"/>
    <w:rsid w:val="00CB4050"/>
    <w:rsid w:val="00CB4647"/>
    <w:rsid w:val="00CB48B2"/>
    <w:rsid w:val="00CB4F58"/>
    <w:rsid w:val="00CB5153"/>
    <w:rsid w:val="00CC00CD"/>
    <w:rsid w:val="00CC1E8F"/>
    <w:rsid w:val="00CC2908"/>
    <w:rsid w:val="00CC5461"/>
    <w:rsid w:val="00CC5C83"/>
    <w:rsid w:val="00CC6744"/>
    <w:rsid w:val="00CC704B"/>
    <w:rsid w:val="00CD0EFB"/>
    <w:rsid w:val="00CD1D8A"/>
    <w:rsid w:val="00CD2FA0"/>
    <w:rsid w:val="00CD56AA"/>
    <w:rsid w:val="00CD5B7B"/>
    <w:rsid w:val="00CD66DC"/>
    <w:rsid w:val="00CD76F0"/>
    <w:rsid w:val="00CD7776"/>
    <w:rsid w:val="00CE1E9A"/>
    <w:rsid w:val="00CE65B0"/>
    <w:rsid w:val="00CE68C6"/>
    <w:rsid w:val="00CE762D"/>
    <w:rsid w:val="00CF29EA"/>
    <w:rsid w:val="00CF2ABC"/>
    <w:rsid w:val="00CF40C0"/>
    <w:rsid w:val="00CF478D"/>
    <w:rsid w:val="00CF6D74"/>
    <w:rsid w:val="00D0147E"/>
    <w:rsid w:val="00D035F8"/>
    <w:rsid w:val="00D03D63"/>
    <w:rsid w:val="00D05420"/>
    <w:rsid w:val="00D06915"/>
    <w:rsid w:val="00D06ADE"/>
    <w:rsid w:val="00D1574C"/>
    <w:rsid w:val="00D15B6E"/>
    <w:rsid w:val="00D16312"/>
    <w:rsid w:val="00D16E39"/>
    <w:rsid w:val="00D208F8"/>
    <w:rsid w:val="00D2246B"/>
    <w:rsid w:val="00D234DF"/>
    <w:rsid w:val="00D246C2"/>
    <w:rsid w:val="00D27700"/>
    <w:rsid w:val="00D305BD"/>
    <w:rsid w:val="00D30743"/>
    <w:rsid w:val="00D32994"/>
    <w:rsid w:val="00D32D01"/>
    <w:rsid w:val="00D32E17"/>
    <w:rsid w:val="00D32EBE"/>
    <w:rsid w:val="00D345B5"/>
    <w:rsid w:val="00D34731"/>
    <w:rsid w:val="00D3720F"/>
    <w:rsid w:val="00D40D8E"/>
    <w:rsid w:val="00D40FAB"/>
    <w:rsid w:val="00D41158"/>
    <w:rsid w:val="00D41D66"/>
    <w:rsid w:val="00D4348E"/>
    <w:rsid w:val="00D44FB5"/>
    <w:rsid w:val="00D4574F"/>
    <w:rsid w:val="00D4699F"/>
    <w:rsid w:val="00D50075"/>
    <w:rsid w:val="00D51603"/>
    <w:rsid w:val="00D52820"/>
    <w:rsid w:val="00D52B6D"/>
    <w:rsid w:val="00D5365B"/>
    <w:rsid w:val="00D54877"/>
    <w:rsid w:val="00D553D7"/>
    <w:rsid w:val="00D567A9"/>
    <w:rsid w:val="00D6034C"/>
    <w:rsid w:val="00D6361B"/>
    <w:rsid w:val="00D64A4A"/>
    <w:rsid w:val="00D65DDA"/>
    <w:rsid w:val="00D709EF"/>
    <w:rsid w:val="00D72E9D"/>
    <w:rsid w:val="00D73430"/>
    <w:rsid w:val="00D747D7"/>
    <w:rsid w:val="00D74C23"/>
    <w:rsid w:val="00D74C57"/>
    <w:rsid w:val="00D77187"/>
    <w:rsid w:val="00D82CE5"/>
    <w:rsid w:val="00D8507B"/>
    <w:rsid w:val="00D855EC"/>
    <w:rsid w:val="00D85B4F"/>
    <w:rsid w:val="00D914DA"/>
    <w:rsid w:val="00D91B83"/>
    <w:rsid w:val="00D91DB7"/>
    <w:rsid w:val="00D9271F"/>
    <w:rsid w:val="00D936D0"/>
    <w:rsid w:val="00D93E4B"/>
    <w:rsid w:val="00D9433E"/>
    <w:rsid w:val="00D94DAE"/>
    <w:rsid w:val="00D95624"/>
    <w:rsid w:val="00D97469"/>
    <w:rsid w:val="00DA0439"/>
    <w:rsid w:val="00DA0775"/>
    <w:rsid w:val="00DA1874"/>
    <w:rsid w:val="00DA1A39"/>
    <w:rsid w:val="00DA311A"/>
    <w:rsid w:val="00DA5AB1"/>
    <w:rsid w:val="00DA6FB5"/>
    <w:rsid w:val="00DA7425"/>
    <w:rsid w:val="00DB11B2"/>
    <w:rsid w:val="00DB1204"/>
    <w:rsid w:val="00DB1788"/>
    <w:rsid w:val="00DB2197"/>
    <w:rsid w:val="00DB3B65"/>
    <w:rsid w:val="00DB5599"/>
    <w:rsid w:val="00DB5918"/>
    <w:rsid w:val="00DB6907"/>
    <w:rsid w:val="00DB710D"/>
    <w:rsid w:val="00DC08E1"/>
    <w:rsid w:val="00DC1AB6"/>
    <w:rsid w:val="00DC36CE"/>
    <w:rsid w:val="00DC3CF1"/>
    <w:rsid w:val="00DC3EF6"/>
    <w:rsid w:val="00DC53D7"/>
    <w:rsid w:val="00DC5DE5"/>
    <w:rsid w:val="00DC6019"/>
    <w:rsid w:val="00DC62E5"/>
    <w:rsid w:val="00DD002F"/>
    <w:rsid w:val="00DD514A"/>
    <w:rsid w:val="00DD5FCE"/>
    <w:rsid w:val="00DD6C91"/>
    <w:rsid w:val="00DD735D"/>
    <w:rsid w:val="00DE057F"/>
    <w:rsid w:val="00DE100A"/>
    <w:rsid w:val="00DE1A24"/>
    <w:rsid w:val="00DE3119"/>
    <w:rsid w:val="00DE368A"/>
    <w:rsid w:val="00DE3771"/>
    <w:rsid w:val="00DE53B3"/>
    <w:rsid w:val="00DE540F"/>
    <w:rsid w:val="00DE63CA"/>
    <w:rsid w:val="00DE6469"/>
    <w:rsid w:val="00DF09A8"/>
    <w:rsid w:val="00DF107A"/>
    <w:rsid w:val="00DF167C"/>
    <w:rsid w:val="00DF198C"/>
    <w:rsid w:val="00DF236B"/>
    <w:rsid w:val="00DF3197"/>
    <w:rsid w:val="00DF3271"/>
    <w:rsid w:val="00DF42F1"/>
    <w:rsid w:val="00DF59D6"/>
    <w:rsid w:val="00DF7ACB"/>
    <w:rsid w:val="00E01639"/>
    <w:rsid w:val="00E01F0B"/>
    <w:rsid w:val="00E0222A"/>
    <w:rsid w:val="00E03888"/>
    <w:rsid w:val="00E05934"/>
    <w:rsid w:val="00E07BC7"/>
    <w:rsid w:val="00E10A23"/>
    <w:rsid w:val="00E1123E"/>
    <w:rsid w:val="00E1209F"/>
    <w:rsid w:val="00E126C1"/>
    <w:rsid w:val="00E1277F"/>
    <w:rsid w:val="00E129E9"/>
    <w:rsid w:val="00E13AB8"/>
    <w:rsid w:val="00E13C3F"/>
    <w:rsid w:val="00E14CEA"/>
    <w:rsid w:val="00E1511F"/>
    <w:rsid w:val="00E16BBA"/>
    <w:rsid w:val="00E173AD"/>
    <w:rsid w:val="00E17E1B"/>
    <w:rsid w:val="00E20955"/>
    <w:rsid w:val="00E214DF"/>
    <w:rsid w:val="00E25651"/>
    <w:rsid w:val="00E25D1B"/>
    <w:rsid w:val="00E267C6"/>
    <w:rsid w:val="00E2690F"/>
    <w:rsid w:val="00E26CA4"/>
    <w:rsid w:val="00E275BF"/>
    <w:rsid w:val="00E32050"/>
    <w:rsid w:val="00E32500"/>
    <w:rsid w:val="00E3337D"/>
    <w:rsid w:val="00E33B62"/>
    <w:rsid w:val="00E351A3"/>
    <w:rsid w:val="00E36BCA"/>
    <w:rsid w:val="00E36C78"/>
    <w:rsid w:val="00E3785C"/>
    <w:rsid w:val="00E429C3"/>
    <w:rsid w:val="00E42F19"/>
    <w:rsid w:val="00E437AE"/>
    <w:rsid w:val="00E476B7"/>
    <w:rsid w:val="00E5140F"/>
    <w:rsid w:val="00E51569"/>
    <w:rsid w:val="00E51ECE"/>
    <w:rsid w:val="00E53698"/>
    <w:rsid w:val="00E53F81"/>
    <w:rsid w:val="00E5448D"/>
    <w:rsid w:val="00E5489A"/>
    <w:rsid w:val="00E56F95"/>
    <w:rsid w:val="00E60ADC"/>
    <w:rsid w:val="00E63F16"/>
    <w:rsid w:val="00E64032"/>
    <w:rsid w:val="00E641C8"/>
    <w:rsid w:val="00E64347"/>
    <w:rsid w:val="00E648DD"/>
    <w:rsid w:val="00E64E54"/>
    <w:rsid w:val="00E66D8E"/>
    <w:rsid w:val="00E71BA4"/>
    <w:rsid w:val="00E728F0"/>
    <w:rsid w:val="00E72932"/>
    <w:rsid w:val="00E773CD"/>
    <w:rsid w:val="00E819AA"/>
    <w:rsid w:val="00E822B0"/>
    <w:rsid w:val="00E86340"/>
    <w:rsid w:val="00E86589"/>
    <w:rsid w:val="00E86805"/>
    <w:rsid w:val="00E932D4"/>
    <w:rsid w:val="00E932EF"/>
    <w:rsid w:val="00E93D64"/>
    <w:rsid w:val="00E93F32"/>
    <w:rsid w:val="00E9469D"/>
    <w:rsid w:val="00E97868"/>
    <w:rsid w:val="00E97974"/>
    <w:rsid w:val="00E97A9B"/>
    <w:rsid w:val="00EA0062"/>
    <w:rsid w:val="00EA1D29"/>
    <w:rsid w:val="00EA2E32"/>
    <w:rsid w:val="00EA3DA0"/>
    <w:rsid w:val="00EA49E7"/>
    <w:rsid w:val="00EA5627"/>
    <w:rsid w:val="00EA574B"/>
    <w:rsid w:val="00EA7FF3"/>
    <w:rsid w:val="00EB0CD1"/>
    <w:rsid w:val="00EB2207"/>
    <w:rsid w:val="00EB31E8"/>
    <w:rsid w:val="00EB39F0"/>
    <w:rsid w:val="00EB3CC9"/>
    <w:rsid w:val="00EB4517"/>
    <w:rsid w:val="00EB4E60"/>
    <w:rsid w:val="00EB60D0"/>
    <w:rsid w:val="00EB61CA"/>
    <w:rsid w:val="00EB66BC"/>
    <w:rsid w:val="00EB66DA"/>
    <w:rsid w:val="00EB77D4"/>
    <w:rsid w:val="00EC0496"/>
    <w:rsid w:val="00EC0612"/>
    <w:rsid w:val="00EC0A6A"/>
    <w:rsid w:val="00EC1EEA"/>
    <w:rsid w:val="00EC35C7"/>
    <w:rsid w:val="00EC4003"/>
    <w:rsid w:val="00EC69AE"/>
    <w:rsid w:val="00ED0712"/>
    <w:rsid w:val="00ED1923"/>
    <w:rsid w:val="00ED1CBE"/>
    <w:rsid w:val="00ED23DD"/>
    <w:rsid w:val="00ED41FD"/>
    <w:rsid w:val="00ED4F9F"/>
    <w:rsid w:val="00ED520C"/>
    <w:rsid w:val="00EE21CC"/>
    <w:rsid w:val="00EE2FB0"/>
    <w:rsid w:val="00EE461A"/>
    <w:rsid w:val="00EE4899"/>
    <w:rsid w:val="00EE5B35"/>
    <w:rsid w:val="00EE5BFD"/>
    <w:rsid w:val="00EE5D34"/>
    <w:rsid w:val="00EE6725"/>
    <w:rsid w:val="00EE759C"/>
    <w:rsid w:val="00EE7F0C"/>
    <w:rsid w:val="00EF0630"/>
    <w:rsid w:val="00EF16B4"/>
    <w:rsid w:val="00EF1743"/>
    <w:rsid w:val="00EF2AB2"/>
    <w:rsid w:val="00EF2B13"/>
    <w:rsid w:val="00EF2DE9"/>
    <w:rsid w:val="00EF51AA"/>
    <w:rsid w:val="00EF6F6B"/>
    <w:rsid w:val="00EF74C8"/>
    <w:rsid w:val="00EF795E"/>
    <w:rsid w:val="00F0016A"/>
    <w:rsid w:val="00F00368"/>
    <w:rsid w:val="00F00C5A"/>
    <w:rsid w:val="00F043F9"/>
    <w:rsid w:val="00F05F5A"/>
    <w:rsid w:val="00F069A3"/>
    <w:rsid w:val="00F06DDB"/>
    <w:rsid w:val="00F07E74"/>
    <w:rsid w:val="00F106B5"/>
    <w:rsid w:val="00F11757"/>
    <w:rsid w:val="00F118CE"/>
    <w:rsid w:val="00F12FEC"/>
    <w:rsid w:val="00F2171E"/>
    <w:rsid w:val="00F24737"/>
    <w:rsid w:val="00F26416"/>
    <w:rsid w:val="00F265D4"/>
    <w:rsid w:val="00F337D5"/>
    <w:rsid w:val="00F33ED0"/>
    <w:rsid w:val="00F35235"/>
    <w:rsid w:val="00F35EF3"/>
    <w:rsid w:val="00F37C95"/>
    <w:rsid w:val="00F40429"/>
    <w:rsid w:val="00F44108"/>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289C"/>
    <w:rsid w:val="00F54047"/>
    <w:rsid w:val="00F5470E"/>
    <w:rsid w:val="00F548D5"/>
    <w:rsid w:val="00F554B9"/>
    <w:rsid w:val="00F56882"/>
    <w:rsid w:val="00F572FA"/>
    <w:rsid w:val="00F60F4D"/>
    <w:rsid w:val="00F6177E"/>
    <w:rsid w:val="00F63C52"/>
    <w:rsid w:val="00F646C8"/>
    <w:rsid w:val="00F64A14"/>
    <w:rsid w:val="00F6506D"/>
    <w:rsid w:val="00F70AE0"/>
    <w:rsid w:val="00F71F95"/>
    <w:rsid w:val="00F727D9"/>
    <w:rsid w:val="00F72FBA"/>
    <w:rsid w:val="00F740F2"/>
    <w:rsid w:val="00F74230"/>
    <w:rsid w:val="00F74527"/>
    <w:rsid w:val="00F75589"/>
    <w:rsid w:val="00F755D0"/>
    <w:rsid w:val="00F768DE"/>
    <w:rsid w:val="00F77649"/>
    <w:rsid w:val="00F8136F"/>
    <w:rsid w:val="00F8234B"/>
    <w:rsid w:val="00F84899"/>
    <w:rsid w:val="00F84B03"/>
    <w:rsid w:val="00F84BB3"/>
    <w:rsid w:val="00F859F0"/>
    <w:rsid w:val="00F865F7"/>
    <w:rsid w:val="00F87C4D"/>
    <w:rsid w:val="00F92088"/>
    <w:rsid w:val="00F94599"/>
    <w:rsid w:val="00FA04B9"/>
    <w:rsid w:val="00FA09F6"/>
    <w:rsid w:val="00FA0FF5"/>
    <w:rsid w:val="00FA1BED"/>
    <w:rsid w:val="00FA2B40"/>
    <w:rsid w:val="00FA4E11"/>
    <w:rsid w:val="00FA579D"/>
    <w:rsid w:val="00FA5E74"/>
    <w:rsid w:val="00FA6021"/>
    <w:rsid w:val="00FA7233"/>
    <w:rsid w:val="00FB2446"/>
    <w:rsid w:val="00FB42D2"/>
    <w:rsid w:val="00FB6205"/>
    <w:rsid w:val="00FC2A12"/>
    <w:rsid w:val="00FC2A7E"/>
    <w:rsid w:val="00FC2DE9"/>
    <w:rsid w:val="00FC3402"/>
    <w:rsid w:val="00FC3C08"/>
    <w:rsid w:val="00FC7738"/>
    <w:rsid w:val="00FD1420"/>
    <w:rsid w:val="00FD1D04"/>
    <w:rsid w:val="00FD2262"/>
    <w:rsid w:val="00FD3007"/>
    <w:rsid w:val="00FD38C9"/>
    <w:rsid w:val="00FD4D51"/>
    <w:rsid w:val="00FD5AF7"/>
    <w:rsid w:val="00FD75F3"/>
    <w:rsid w:val="00FD79B7"/>
    <w:rsid w:val="00FE141E"/>
    <w:rsid w:val="00FE2AAC"/>
    <w:rsid w:val="00FE306B"/>
    <w:rsid w:val="00FE3140"/>
    <w:rsid w:val="00FE49F4"/>
    <w:rsid w:val="00FE6739"/>
    <w:rsid w:val="00FF131D"/>
    <w:rsid w:val="00FF1902"/>
    <w:rsid w:val="00FF25AA"/>
    <w:rsid w:val="00FF3F79"/>
    <w:rsid w:val="00FF4DDD"/>
    <w:rsid w:val="00FF537A"/>
    <w:rsid w:val="0DF18D41"/>
    <w:rsid w:val="15321B46"/>
    <w:rsid w:val="16634891"/>
    <w:rsid w:val="16AF01CE"/>
    <w:rsid w:val="1A3EA139"/>
    <w:rsid w:val="1D413D81"/>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BC"/>
    <w:pPr>
      <w:spacing w:after="0" w:line="240" w:lineRule="auto"/>
    </w:pPr>
    <w:rPr>
      <w:rFonts w:ascii="Calibri" w:eastAsia="Calibri" w:hAnsi="Calibri" w:cs="Times New Roman"/>
      <w:sz w:val="24"/>
      <w:lang w:val="es-MX"/>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paragraph" w:customStyle="1" w:styleId="paragraph">
    <w:name w:val="paragraph"/>
    <w:basedOn w:val="Normal"/>
    <w:rsid w:val="00671A48"/>
    <w:pPr>
      <w:spacing w:before="100" w:beforeAutospacing="1" w:after="100" w:afterAutospacing="1"/>
    </w:pPr>
    <w:rPr>
      <w:rFonts w:ascii="Times New Roman" w:eastAsia="Times New Roman" w:hAnsi="Times New Roman"/>
      <w:szCs w:val="24"/>
      <w:lang w:val="es-CO" w:eastAsia="es-CO"/>
    </w:rPr>
  </w:style>
  <w:style w:type="character" w:customStyle="1" w:styleId="eop">
    <w:name w:val="eop"/>
    <w:basedOn w:val="Fuentedeprrafopredeter"/>
    <w:rsid w:val="00671A48"/>
  </w:style>
  <w:style w:type="character" w:customStyle="1" w:styleId="superscript">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customStyle="1" w:styleId="TextonotaalfinalCar">
    <w:name w:val="Texto nota al final Car"/>
    <w:basedOn w:val="Fuentedeprrafopredeter"/>
    <w:link w:val="Textonotaalfinal"/>
    <w:uiPriority w:val="99"/>
    <w:semiHidden/>
    <w:rsid w:val="00306222"/>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customStyle="1" w:styleId="Ttulo1Car">
    <w:name w:val="Título 1 Car"/>
    <w:basedOn w:val="Fuentedeprrafopredeter"/>
    <w:link w:val="Ttulo1"/>
    <w:uiPriority w:val="1"/>
    <w:rsid w:val="00616FD5"/>
    <w:rPr>
      <w:rFonts w:ascii="Arial" w:eastAsia="Arial" w:hAnsi="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16FD5"/>
    <w:rPr>
      <w:rFonts w:ascii="Arial" w:eastAsia="Arial" w:hAnsi="Arial" w:cs="Arial"/>
      <w:lang w:val="es-ES"/>
    </w:rPr>
  </w:style>
  <w:style w:type="paragraph" w:customStyle="1" w:styleId="xxmsonormal">
    <w:name w:val="x_x_msonormal"/>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bodytext">
    <w:name w:val="x_x_xxmsobodytext"/>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normal">
    <w:name w:val="x_x_xxmsonormal"/>
    <w:basedOn w:val="Normal"/>
    <w:rsid w:val="00A64A3E"/>
    <w:pPr>
      <w:spacing w:before="100" w:beforeAutospacing="1" w:after="100" w:afterAutospacing="1"/>
    </w:pPr>
    <w:rPr>
      <w:rFonts w:ascii="Times New Roman" w:eastAsia="Times New Roman" w:hAnsi="Times New Roman"/>
      <w:szCs w:val="24"/>
      <w:lang w:val="es-CO" w:eastAsia="es-CO"/>
    </w:rPr>
  </w:style>
  <w:style w:type="character" w:styleId="Textoennegrita">
    <w:name w:val="Strong"/>
    <w:basedOn w:val="Fuentedeprrafopredeter"/>
    <w:uiPriority w:val="22"/>
    <w:qFormat/>
    <w:rsid w:val="00856872"/>
    <w:rPr>
      <w:b/>
      <w:bCs/>
    </w:rPr>
  </w:style>
  <w:style w:type="character" w:styleId="nfasis">
    <w:name w:val="Emphasis"/>
    <w:basedOn w:val="Fuentedeprrafopredeter"/>
    <w:uiPriority w:val="20"/>
    <w:qFormat/>
    <w:rsid w:val="00856872"/>
    <w:rPr>
      <w:i/>
      <w:iCs/>
    </w:rPr>
  </w:style>
  <w:style w:type="character" w:customStyle="1" w:styleId="baj">
    <w:name w:val="b_aj"/>
    <w:basedOn w:val="Fuentedeprrafopredeter"/>
    <w:rsid w:val="000805B8"/>
  </w:style>
  <w:style w:type="paragraph" w:customStyle="1" w:styleId="Appelnotedebasde">
    <w:name w:val="Appel note de bas de..."/>
    <w:basedOn w:val="Normal"/>
    <w:link w:val="Refdenotaalpie"/>
    <w:rsid w:val="006514AB"/>
    <w:pPr>
      <w:spacing w:after="160" w:line="240" w:lineRule="exact"/>
    </w:pPr>
    <w:rPr>
      <w:rFonts w:asciiTheme="minorHAnsi" w:eastAsiaTheme="minorHAnsi" w:hAnsiTheme="minorHAnsi" w:cstheme="minorBidi"/>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03817002">
      <w:bodyDiv w:val="1"/>
      <w:marLeft w:val="0"/>
      <w:marRight w:val="0"/>
      <w:marTop w:val="0"/>
      <w:marBottom w:val="0"/>
      <w:divBdr>
        <w:top w:val="none" w:sz="0" w:space="0" w:color="auto"/>
        <w:left w:val="none" w:sz="0" w:space="0" w:color="auto"/>
        <w:bottom w:val="none" w:sz="0" w:space="0" w:color="auto"/>
        <w:right w:val="none" w:sz="0" w:space="0" w:color="auto"/>
      </w:divBdr>
    </w:div>
    <w:div w:id="140654023">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1281229350">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62025465">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65661573">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38637170">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380395075">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795715880">
      <w:bodyDiv w:val="1"/>
      <w:marLeft w:val="0"/>
      <w:marRight w:val="0"/>
      <w:marTop w:val="0"/>
      <w:marBottom w:val="0"/>
      <w:divBdr>
        <w:top w:val="none" w:sz="0" w:space="0" w:color="auto"/>
        <w:left w:val="none" w:sz="0" w:space="0" w:color="auto"/>
        <w:bottom w:val="none" w:sz="0" w:space="0" w:color="auto"/>
        <w:right w:val="none" w:sz="0" w:space="0" w:color="auto"/>
      </w:divBdr>
      <w:divsChild>
        <w:div w:id="160969003">
          <w:marLeft w:val="0"/>
          <w:marRight w:val="0"/>
          <w:marTop w:val="0"/>
          <w:marBottom w:val="0"/>
          <w:divBdr>
            <w:top w:val="none" w:sz="0" w:space="0" w:color="auto"/>
            <w:left w:val="none" w:sz="0" w:space="0" w:color="auto"/>
            <w:bottom w:val="none" w:sz="0" w:space="0" w:color="auto"/>
            <w:right w:val="none" w:sz="0" w:space="0" w:color="auto"/>
          </w:divBdr>
          <w:divsChild>
            <w:div w:id="1329597313">
              <w:marLeft w:val="0"/>
              <w:marRight w:val="0"/>
              <w:marTop w:val="0"/>
              <w:marBottom w:val="0"/>
              <w:divBdr>
                <w:top w:val="none" w:sz="0" w:space="0" w:color="auto"/>
                <w:left w:val="none" w:sz="0" w:space="0" w:color="auto"/>
                <w:bottom w:val="none" w:sz="0" w:space="0" w:color="auto"/>
                <w:right w:val="none" w:sz="0" w:space="0" w:color="auto"/>
              </w:divBdr>
            </w:div>
            <w:div w:id="1796018266">
              <w:marLeft w:val="0"/>
              <w:marRight w:val="0"/>
              <w:marTop w:val="0"/>
              <w:marBottom w:val="0"/>
              <w:divBdr>
                <w:top w:val="none" w:sz="0" w:space="0" w:color="auto"/>
                <w:left w:val="none" w:sz="0" w:space="0" w:color="auto"/>
                <w:bottom w:val="none" w:sz="0" w:space="0" w:color="auto"/>
                <w:right w:val="none" w:sz="0" w:space="0" w:color="auto"/>
              </w:divBdr>
            </w:div>
            <w:div w:id="1432626782">
              <w:marLeft w:val="0"/>
              <w:marRight w:val="0"/>
              <w:marTop w:val="0"/>
              <w:marBottom w:val="0"/>
              <w:divBdr>
                <w:top w:val="none" w:sz="0" w:space="0" w:color="auto"/>
                <w:left w:val="none" w:sz="0" w:space="0" w:color="auto"/>
                <w:bottom w:val="none" w:sz="0" w:space="0" w:color="auto"/>
                <w:right w:val="none" w:sz="0" w:space="0" w:color="auto"/>
              </w:divBdr>
            </w:div>
            <w:div w:id="2131313051">
              <w:marLeft w:val="0"/>
              <w:marRight w:val="0"/>
              <w:marTop w:val="0"/>
              <w:marBottom w:val="0"/>
              <w:divBdr>
                <w:top w:val="none" w:sz="0" w:space="0" w:color="auto"/>
                <w:left w:val="none" w:sz="0" w:space="0" w:color="auto"/>
                <w:bottom w:val="none" w:sz="0" w:space="0" w:color="auto"/>
                <w:right w:val="none" w:sz="0" w:space="0" w:color="auto"/>
              </w:divBdr>
            </w:div>
            <w:div w:id="1887833256">
              <w:marLeft w:val="0"/>
              <w:marRight w:val="0"/>
              <w:marTop w:val="0"/>
              <w:marBottom w:val="0"/>
              <w:divBdr>
                <w:top w:val="none" w:sz="0" w:space="0" w:color="auto"/>
                <w:left w:val="none" w:sz="0" w:space="0" w:color="auto"/>
                <w:bottom w:val="none" w:sz="0" w:space="0" w:color="auto"/>
                <w:right w:val="none" w:sz="0" w:space="0" w:color="auto"/>
              </w:divBdr>
            </w:div>
          </w:divsChild>
        </w:div>
        <w:div w:id="1595628682">
          <w:marLeft w:val="0"/>
          <w:marRight w:val="0"/>
          <w:marTop w:val="0"/>
          <w:marBottom w:val="0"/>
          <w:divBdr>
            <w:top w:val="none" w:sz="0" w:space="0" w:color="auto"/>
            <w:left w:val="none" w:sz="0" w:space="0" w:color="auto"/>
            <w:bottom w:val="none" w:sz="0" w:space="0" w:color="auto"/>
            <w:right w:val="none" w:sz="0" w:space="0" w:color="auto"/>
          </w:divBdr>
        </w:div>
        <w:div w:id="574628666">
          <w:marLeft w:val="0"/>
          <w:marRight w:val="0"/>
          <w:marTop w:val="0"/>
          <w:marBottom w:val="0"/>
          <w:divBdr>
            <w:top w:val="none" w:sz="0" w:space="0" w:color="auto"/>
            <w:left w:val="none" w:sz="0" w:space="0" w:color="auto"/>
            <w:bottom w:val="none" w:sz="0" w:space="0" w:color="auto"/>
            <w:right w:val="none" w:sz="0" w:space="0" w:color="auto"/>
          </w:divBdr>
          <w:divsChild>
            <w:div w:id="1035958304">
              <w:marLeft w:val="0"/>
              <w:marRight w:val="0"/>
              <w:marTop w:val="0"/>
              <w:marBottom w:val="0"/>
              <w:divBdr>
                <w:top w:val="none" w:sz="0" w:space="0" w:color="auto"/>
                <w:left w:val="none" w:sz="0" w:space="0" w:color="auto"/>
                <w:bottom w:val="none" w:sz="0" w:space="0" w:color="auto"/>
                <w:right w:val="none" w:sz="0" w:space="0" w:color="auto"/>
              </w:divBdr>
            </w:div>
            <w:div w:id="492837261">
              <w:marLeft w:val="0"/>
              <w:marRight w:val="0"/>
              <w:marTop w:val="0"/>
              <w:marBottom w:val="0"/>
              <w:divBdr>
                <w:top w:val="none" w:sz="0" w:space="0" w:color="auto"/>
                <w:left w:val="none" w:sz="0" w:space="0" w:color="auto"/>
                <w:bottom w:val="none" w:sz="0" w:space="0" w:color="auto"/>
                <w:right w:val="none" w:sz="0" w:space="0" w:color="auto"/>
              </w:divBdr>
            </w:div>
            <w:div w:id="995452360">
              <w:marLeft w:val="0"/>
              <w:marRight w:val="0"/>
              <w:marTop w:val="0"/>
              <w:marBottom w:val="0"/>
              <w:divBdr>
                <w:top w:val="none" w:sz="0" w:space="0" w:color="auto"/>
                <w:left w:val="none" w:sz="0" w:space="0" w:color="auto"/>
                <w:bottom w:val="none" w:sz="0" w:space="0" w:color="auto"/>
                <w:right w:val="none" w:sz="0" w:space="0" w:color="auto"/>
              </w:divBdr>
            </w:div>
            <w:div w:id="14843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080_1993.html" TargetMode="External"/><Relationship Id="rId2" Type="http://schemas.openxmlformats.org/officeDocument/2006/relationships/hyperlink" Target="http://www.secretariasenado.gov.co/senado/basedoc/ley_0080_1993.html" TargetMode="External"/><Relationship Id="rId1" Type="http://schemas.openxmlformats.org/officeDocument/2006/relationships/hyperlink" Target="http://www.secretariasenado.gov.co/senado/basedoc/ley_0080_1993.html" TargetMode="External"/><Relationship Id="rId5" Type="http://schemas.openxmlformats.org/officeDocument/2006/relationships/hyperlink" Target="http://www.secretariasenado.gov.co/senado/basedoc/ley_1150_2007.html" TargetMode="External"/><Relationship Id="rId4" Type="http://schemas.openxmlformats.org/officeDocument/2006/relationships/hyperlink" Target="http://www.secretariasenado.gov.co/senado/basedoc/ley_1150_20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DF417476-46AA-4981-B832-107E89567036}"/>
</file>

<file path=docProps/app.xml><?xml version="1.0" encoding="utf-8"?>
<Properties xmlns="http://schemas.openxmlformats.org/officeDocument/2006/extended-properties" xmlns:vt="http://schemas.openxmlformats.org/officeDocument/2006/docPropsVTypes">
  <Template>Respuesta a consultas</Template>
  <TotalTime>50</TotalTime>
  <Pages>11</Pages>
  <Words>3302</Words>
  <Characters>18167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Kamal Abdul Nassar Montoya</cp:lastModifiedBy>
  <cp:revision>5</cp:revision>
  <dcterms:created xsi:type="dcterms:W3CDTF">2021-01-19T15:38:00Z</dcterms:created>
  <dcterms:modified xsi:type="dcterms:W3CDTF">2021-03-01T20:39:00Z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