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3876" w14:textId="77777777" w:rsidR="00013576" w:rsidRPr="002B6BAB" w:rsidRDefault="00013576" w:rsidP="00013576">
      <w:pPr>
        <w:tabs>
          <w:tab w:val="left" w:pos="426"/>
        </w:tabs>
        <w:spacing w:after="0" w:line="240" w:lineRule="auto"/>
        <w:jc w:val="both"/>
        <w:rPr>
          <w:rFonts w:ascii="Arial" w:eastAsia="Calibri" w:hAnsi="Arial" w:cs="Arial"/>
          <w:b/>
          <w:bCs/>
          <w:lang w:val="es-ES_tradnl"/>
        </w:rPr>
      </w:pPr>
      <w:bookmarkStart w:id="0" w:name="_Hlk77152637"/>
      <w:bookmarkStart w:id="1" w:name="_Hlk77157066"/>
      <w:bookmarkStart w:id="2" w:name="_Hlk78821436"/>
      <w:r>
        <w:rPr>
          <w:rFonts w:ascii="Arial" w:eastAsia="Calibri" w:hAnsi="Arial" w:cs="Arial"/>
          <w:b/>
          <w:bCs/>
          <w:lang w:val="es-ES_tradnl"/>
        </w:rPr>
        <w:t>SOCIEDADES DE ECONOMÍA MIXTA – Concepto – Naturaleza jurídica</w:t>
      </w:r>
      <w:bookmarkEnd w:id="0"/>
    </w:p>
    <w:p w14:paraId="1300FB50" w14:textId="77777777" w:rsidR="00013576" w:rsidRPr="002B6BAB" w:rsidRDefault="00013576" w:rsidP="00013576">
      <w:pPr>
        <w:tabs>
          <w:tab w:val="left" w:pos="426"/>
        </w:tabs>
        <w:spacing w:after="0" w:line="240" w:lineRule="auto"/>
        <w:jc w:val="both"/>
        <w:rPr>
          <w:rFonts w:ascii="Arial" w:eastAsia="Calibri" w:hAnsi="Arial" w:cs="Arial"/>
          <w:b/>
          <w:bCs/>
          <w:sz w:val="20"/>
          <w:szCs w:val="20"/>
          <w:lang w:val="es-ES_tradnl"/>
        </w:rPr>
      </w:pPr>
    </w:p>
    <w:bookmarkEnd w:id="1"/>
    <w:p w14:paraId="27B5DA98"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sidRPr="005A3D2A">
        <w:rPr>
          <w:rFonts w:ascii="Arial" w:eastAsia="Calibri" w:hAnsi="Arial" w:cs="Arial"/>
          <w:noProof/>
          <w:sz w:val="20"/>
          <w:szCs w:val="20"/>
          <w:lang w:val="es-ES_tradnl"/>
        </w:rPr>
        <w:t>En nuestro ordenamiento jurídico, el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068FCB58"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w:t>
      </w:r>
    </w:p>
    <w:p w14:paraId="5578A571" w14:textId="77777777" w:rsidR="00013576" w:rsidRPr="002B6BAB" w:rsidRDefault="00013576" w:rsidP="00013576">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 xml:space="preserve">[…] </w:t>
      </w:r>
      <w:r w:rsidRPr="00800E52">
        <w:rPr>
          <w:rFonts w:ascii="Arial" w:eastAsia="Calibri" w:hAnsi="Arial" w:cs="Arial"/>
          <w:noProof/>
          <w:sz w:val="20"/>
          <w:szCs w:val="20"/>
          <w:lang w:val="es-ES_tradnl"/>
        </w:rPr>
        <w:t>a pesar del sometimiento al régimen jurídico de derecho privado para el desarrollo de sus actividades, las sociedades de economía mixta no pierden su carácter de expresión organizacional de la actividad estatal , más precisamente de la función administrativa, en virtud del aporte público en la constitución del capital social y la consiguiente pertenencia a la administración pública, en la condición de entidades descentralizadas.</w:t>
      </w:r>
    </w:p>
    <w:p w14:paraId="106FBBEB" w14:textId="77777777" w:rsidR="00013576" w:rsidRPr="002B6BAB" w:rsidRDefault="00013576" w:rsidP="00013576">
      <w:pPr>
        <w:tabs>
          <w:tab w:val="left" w:pos="426"/>
        </w:tabs>
        <w:spacing w:after="0" w:line="240" w:lineRule="auto"/>
        <w:jc w:val="both"/>
        <w:rPr>
          <w:rFonts w:ascii="Arial" w:eastAsia="Calibri" w:hAnsi="Arial" w:cs="Arial"/>
          <w:noProof/>
          <w:sz w:val="20"/>
          <w:szCs w:val="20"/>
          <w:lang w:val="es-ES_tradnl"/>
        </w:rPr>
      </w:pPr>
    </w:p>
    <w:p w14:paraId="2988CE03" w14:textId="77777777" w:rsidR="00013576" w:rsidRPr="002B6BAB" w:rsidRDefault="00013576" w:rsidP="00013576">
      <w:pPr>
        <w:tabs>
          <w:tab w:val="left" w:pos="426"/>
        </w:tabs>
        <w:spacing w:after="0" w:line="240" w:lineRule="auto"/>
        <w:jc w:val="both"/>
        <w:rPr>
          <w:rFonts w:ascii="Arial" w:eastAsia="Calibri" w:hAnsi="Arial" w:cs="Arial"/>
          <w:b/>
          <w:bCs/>
          <w:lang w:val="es-ES_tradnl"/>
        </w:rPr>
      </w:pPr>
      <w:bookmarkStart w:id="3" w:name="_Hlk77165666"/>
      <w:r w:rsidRPr="002B6BAB">
        <w:rPr>
          <w:rFonts w:ascii="Arial" w:eastAsia="Calibri" w:hAnsi="Arial" w:cs="Arial"/>
          <w:b/>
          <w:bCs/>
          <w:lang w:val="es-ES_tradnl"/>
        </w:rPr>
        <w:t xml:space="preserve">LEY DE GARANTÍAS ELECTORALES ─ Prohibición ‒ </w:t>
      </w:r>
      <w:bookmarkEnd w:id="3"/>
      <w:r w:rsidRPr="002B6BAB">
        <w:rPr>
          <w:rFonts w:ascii="Arial" w:eastAsia="Calibri" w:hAnsi="Arial" w:cs="Arial"/>
          <w:b/>
          <w:bCs/>
          <w:lang w:val="es-ES_tradnl"/>
        </w:rPr>
        <w:t xml:space="preserve">Contratación directa ‒ Alcance – </w:t>
      </w:r>
      <w:r w:rsidRPr="002B6BAB">
        <w:rPr>
          <w:rFonts w:ascii="Arial" w:eastAsia="Times New Roman" w:hAnsi="Arial" w:cs="Arial"/>
          <w:b/>
          <w:bCs/>
          <w:lang w:val="es-ES_tradnl" w:eastAsia="es-CO"/>
        </w:rPr>
        <w:t>Excepciones</w:t>
      </w:r>
      <w:r w:rsidRPr="002B6BAB">
        <w:rPr>
          <w:rFonts w:ascii="Arial" w:eastAsia="Calibri" w:hAnsi="Arial" w:cs="Arial"/>
          <w:b/>
          <w:bCs/>
          <w:lang w:val="es-ES_tradnl"/>
        </w:rPr>
        <w:t xml:space="preserve"> </w:t>
      </w:r>
    </w:p>
    <w:p w14:paraId="0053FFF1" w14:textId="77777777" w:rsidR="00013576" w:rsidRPr="002B6BAB" w:rsidRDefault="00013576" w:rsidP="00013576">
      <w:pPr>
        <w:tabs>
          <w:tab w:val="left" w:pos="426"/>
        </w:tabs>
        <w:spacing w:after="0" w:line="240" w:lineRule="auto"/>
        <w:jc w:val="both"/>
        <w:rPr>
          <w:rFonts w:ascii="Arial" w:eastAsia="Calibri" w:hAnsi="Arial" w:cs="Arial"/>
          <w:noProof/>
          <w:sz w:val="20"/>
          <w:szCs w:val="20"/>
          <w:lang w:val="es-ES_tradnl"/>
        </w:rPr>
      </w:pPr>
    </w:p>
    <w:p w14:paraId="318E7287"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sidRPr="002B6BAB">
        <w:rPr>
          <w:rFonts w:ascii="Arial" w:eastAsia="Calibri" w:hAnsi="Arial" w:cs="Arial"/>
          <w:noProof/>
          <w:sz w:val="20"/>
          <w:szCs w:val="20"/>
          <w:lang w:val="es-ES_tradnl"/>
        </w:rPr>
        <w:t xml:space="preserve">[…] </w:t>
      </w:r>
      <w:r w:rsidRPr="00800E52">
        <w:rPr>
          <w:rFonts w:ascii="Arial" w:eastAsia="Calibri" w:hAnsi="Arial" w:cs="Arial"/>
          <w:noProof/>
          <w:sz w:val="20"/>
          <w:szCs w:val="20"/>
          <w:lang w:val="es-ES_tradnl"/>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0CC84CE"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w:t>
      </w:r>
    </w:p>
    <w:p w14:paraId="010F99F2"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 xml:space="preserve">[…] </w:t>
      </w:r>
      <w:r w:rsidRPr="00800E52">
        <w:rPr>
          <w:rFonts w:ascii="Arial" w:eastAsia="Calibri" w:hAnsi="Arial" w:cs="Arial"/>
          <w:noProof/>
          <w:sz w:val="20"/>
          <w:szCs w:val="20"/>
          <w:lang w:val="es-ES_tradnl"/>
        </w:rPr>
        <w:t>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el concurso de méritos y la mínima cuantía u otros previstos en normas especiales, que contemplen en alguna de sus etapas la posible participación de pluralidad de oferentes. Esta posición es congruente con la expedición de la Ley 1150 de 2007 que, entre otras reformas, introdujo la selección abreviada, rediseñó el concurso de méritos  y sistematizó las causales de contratación directa , además lo es con la posterior creación de la modalidad de mínima cuantía establecida actualmente en el numeral 5 del artículo 2 de la Ley 1150 de 2007, de acuerdo con las modificaciones realizadas por leyes posteriores.</w:t>
      </w:r>
    </w:p>
    <w:p w14:paraId="4E919ADA"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Pr>
          <w:rFonts w:ascii="Arial" w:eastAsia="Calibri" w:hAnsi="Arial" w:cs="Arial"/>
          <w:noProof/>
          <w:sz w:val="20"/>
          <w:szCs w:val="20"/>
          <w:lang w:val="es-ES_tradnl"/>
        </w:rPr>
        <w:t>[…]</w:t>
      </w:r>
    </w:p>
    <w:p w14:paraId="42EE710B" w14:textId="77777777" w:rsidR="00013576" w:rsidRDefault="00013576" w:rsidP="00013576">
      <w:pPr>
        <w:tabs>
          <w:tab w:val="left" w:pos="426"/>
        </w:tabs>
        <w:spacing w:after="0" w:line="240" w:lineRule="auto"/>
        <w:jc w:val="both"/>
        <w:rPr>
          <w:rFonts w:ascii="Arial" w:eastAsia="Calibri" w:hAnsi="Arial" w:cs="Arial"/>
          <w:noProof/>
          <w:sz w:val="20"/>
          <w:szCs w:val="20"/>
          <w:lang w:val="es-ES_tradnl"/>
        </w:rPr>
      </w:pPr>
      <w:r w:rsidRPr="00800E52">
        <w:rPr>
          <w:rFonts w:ascii="Arial" w:eastAsia="Calibri" w:hAnsi="Arial" w:cs="Arial"/>
          <w:noProof/>
          <w:sz w:val="20"/>
          <w:szCs w:val="20"/>
          <w:lang w:val="es-ES_tradnl"/>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50737BC0" w14:textId="77777777" w:rsidR="00013576" w:rsidRPr="002B6BAB" w:rsidRDefault="00013576" w:rsidP="00013576">
      <w:pPr>
        <w:spacing w:after="200" w:line="276" w:lineRule="auto"/>
        <w:jc w:val="both"/>
        <w:rPr>
          <w:rFonts w:ascii="Arial" w:eastAsia="Calibri" w:hAnsi="Arial" w:cs="Arial"/>
          <w:b/>
          <w:bCs/>
          <w:lang w:val="es-ES_tradnl"/>
        </w:rPr>
      </w:pPr>
      <w:bookmarkStart w:id="4" w:name="_Hlk29890381"/>
      <w:bookmarkEnd w:id="2"/>
      <w:bookmarkEnd w:id="4"/>
      <w:r w:rsidRPr="002B6BAB">
        <w:rPr>
          <w:rFonts w:ascii="Arial" w:eastAsia="Calibri" w:hAnsi="Arial" w:cs="Arial"/>
          <w:b/>
          <w:bCs/>
          <w:lang w:val="es-ES_tradnl"/>
        </w:rPr>
        <w:br w:type="page"/>
      </w:r>
    </w:p>
    <w:p w14:paraId="795F5CE6" w14:textId="77777777" w:rsidR="00013576" w:rsidRPr="002B6BAB" w:rsidRDefault="00013576" w:rsidP="00013576">
      <w:pPr>
        <w:spacing w:after="0" w:line="276" w:lineRule="auto"/>
        <w:jc w:val="right"/>
        <w:rPr>
          <w:rFonts w:ascii="Arial" w:eastAsia="Times New Roman" w:hAnsi="Arial" w:cs="Arial"/>
          <w:b/>
          <w:bCs/>
          <w:sz w:val="16"/>
          <w:szCs w:val="16"/>
          <w:lang w:val="es-ES_tradnl" w:eastAsia="es-ES"/>
        </w:rPr>
      </w:pPr>
    </w:p>
    <w:p w14:paraId="5A7BCFD3" w14:textId="0804917C" w:rsidR="00013576" w:rsidRDefault="00013576" w:rsidP="00013576">
      <w:pPr>
        <w:spacing w:after="0" w:line="276" w:lineRule="auto"/>
        <w:jc w:val="right"/>
        <w:rPr>
          <w:rFonts w:ascii="Arial" w:eastAsia="Times New Roman" w:hAnsi="Arial" w:cs="Arial"/>
          <w:b/>
          <w:bCs/>
          <w:sz w:val="16"/>
          <w:szCs w:val="16"/>
          <w:lang w:val="es-ES_tradnl" w:eastAsia="es-ES"/>
        </w:rPr>
      </w:pPr>
      <w:r>
        <w:rPr>
          <w:rFonts w:ascii="Arial" w:eastAsia="Times New Roman" w:hAnsi="Arial" w:cs="Arial"/>
          <w:b/>
          <w:bCs/>
          <w:noProof/>
          <w:sz w:val="16"/>
          <w:szCs w:val="16"/>
          <w:lang w:val="es-ES_tradnl" w:eastAsia="es-ES"/>
        </w:rPr>
        <w:drawing>
          <wp:inline distT="0" distB="0" distL="0" distR="0" wp14:anchorId="324DFDC4" wp14:editId="6CA2158E">
            <wp:extent cx="2457793" cy="666843"/>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2457793" cy="666843"/>
                    </a:xfrm>
                    <a:prstGeom prst="rect">
                      <a:avLst/>
                    </a:prstGeom>
                  </pic:spPr>
                </pic:pic>
              </a:graphicData>
            </a:graphic>
          </wp:inline>
        </w:drawing>
      </w:r>
    </w:p>
    <w:p w14:paraId="364B7990" w14:textId="088350B9" w:rsidR="00013576" w:rsidRDefault="00013576" w:rsidP="00013576">
      <w:pPr>
        <w:spacing w:after="0" w:line="276" w:lineRule="auto"/>
        <w:jc w:val="right"/>
        <w:rPr>
          <w:rFonts w:ascii="Arial" w:eastAsia="Times New Roman" w:hAnsi="Arial" w:cs="Arial"/>
          <w:b/>
          <w:bCs/>
          <w:sz w:val="16"/>
          <w:szCs w:val="16"/>
          <w:lang w:val="es-ES_tradnl" w:eastAsia="es-ES"/>
        </w:rPr>
      </w:pPr>
    </w:p>
    <w:p w14:paraId="30BC80A8" w14:textId="77777777" w:rsidR="00013576" w:rsidRPr="002B6BAB" w:rsidRDefault="00013576" w:rsidP="00013576">
      <w:pPr>
        <w:spacing w:after="0" w:line="276" w:lineRule="auto"/>
        <w:jc w:val="right"/>
        <w:rPr>
          <w:rFonts w:ascii="Arial" w:eastAsia="Times New Roman" w:hAnsi="Arial" w:cs="Arial"/>
          <w:b/>
          <w:bCs/>
          <w:sz w:val="16"/>
          <w:szCs w:val="16"/>
          <w:lang w:val="es-ES_tradnl" w:eastAsia="es-ES"/>
        </w:rPr>
      </w:pPr>
    </w:p>
    <w:p w14:paraId="5AE0BD9F" w14:textId="77777777" w:rsidR="00013576" w:rsidRPr="002B6BAB" w:rsidRDefault="00013576" w:rsidP="00013576">
      <w:pPr>
        <w:spacing w:after="0" w:line="276" w:lineRule="auto"/>
        <w:jc w:val="right"/>
        <w:rPr>
          <w:rFonts w:ascii="Arial" w:eastAsia="Times New Roman" w:hAnsi="Arial" w:cs="Arial"/>
          <w:b/>
          <w:bCs/>
          <w:sz w:val="16"/>
          <w:szCs w:val="16"/>
          <w:lang w:val="es-ES_tradnl" w:eastAsia="es-ES"/>
        </w:rPr>
      </w:pPr>
    </w:p>
    <w:p w14:paraId="7AD77325" w14:textId="77777777" w:rsidR="00013576" w:rsidRPr="00410615" w:rsidRDefault="00013576" w:rsidP="00013576">
      <w:pPr>
        <w:spacing w:after="0" w:line="276" w:lineRule="auto"/>
        <w:jc w:val="right"/>
        <w:rPr>
          <w:rFonts w:ascii="Arial" w:eastAsia="Times New Roman" w:hAnsi="Arial" w:cs="Arial"/>
          <w:sz w:val="16"/>
          <w:szCs w:val="16"/>
          <w:lang w:val="es-ES_tradnl" w:eastAsia="es-ES"/>
        </w:rPr>
      </w:pPr>
    </w:p>
    <w:p w14:paraId="36695258" w14:textId="77777777" w:rsidR="00013576" w:rsidRPr="00410615" w:rsidRDefault="00013576" w:rsidP="00013576">
      <w:pPr>
        <w:spacing w:after="0" w:line="276" w:lineRule="auto"/>
        <w:jc w:val="right"/>
        <w:rPr>
          <w:rFonts w:ascii="Arial" w:eastAsia="Calibri" w:hAnsi="Arial" w:cs="Arial"/>
          <w:sz w:val="16"/>
          <w:szCs w:val="16"/>
          <w:lang w:val="es-ES_tradnl"/>
        </w:rPr>
      </w:pPr>
      <w:r w:rsidRPr="00410615">
        <w:rPr>
          <w:rFonts w:ascii="Arial" w:eastAsia="Times New Roman" w:hAnsi="Arial" w:cs="Arial"/>
          <w:sz w:val="16"/>
          <w:szCs w:val="16"/>
          <w:lang w:val="es-ES_tradnl" w:eastAsia="es-ES"/>
        </w:rPr>
        <w:t>CCE-DES-FM-17</w:t>
      </w:r>
    </w:p>
    <w:p w14:paraId="0188D636" w14:textId="77777777" w:rsidR="00013576" w:rsidRPr="002B6BAB" w:rsidRDefault="00013576" w:rsidP="00013576">
      <w:pPr>
        <w:tabs>
          <w:tab w:val="left" w:pos="3374"/>
        </w:tabs>
        <w:spacing w:after="0" w:line="240" w:lineRule="auto"/>
        <w:rPr>
          <w:rFonts w:ascii="Arial" w:eastAsia="Calibri" w:hAnsi="Arial" w:cs="Arial"/>
          <w:lang w:val="es-ES_tradnl"/>
        </w:rPr>
      </w:pPr>
    </w:p>
    <w:p w14:paraId="798E79BB" w14:textId="77777777" w:rsidR="00013576" w:rsidRPr="002B6BAB" w:rsidRDefault="00013576" w:rsidP="00013576">
      <w:pPr>
        <w:spacing w:after="0" w:line="240" w:lineRule="auto"/>
        <w:jc w:val="both"/>
        <w:rPr>
          <w:rFonts w:ascii="Arial" w:eastAsia="Calibri" w:hAnsi="Arial" w:cs="Arial"/>
          <w:noProof/>
          <w:lang w:val="es-ES_tradnl"/>
        </w:rPr>
      </w:pPr>
    </w:p>
    <w:p w14:paraId="69E0E9E7" w14:textId="77777777" w:rsidR="00013576" w:rsidRDefault="00013576" w:rsidP="00013576">
      <w:pPr>
        <w:spacing w:after="0" w:line="240" w:lineRule="auto"/>
        <w:jc w:val="both"/>
        <w:rPr>
          <w:rFonts w:ascii="Arial" w:eastAsia="Calibri" w:hAnsi="Arial" w:cs="Arial"/>
          <w:lang w:val="es-ES_tradnl"/>
        </w:rPr>
      </w:pPr>
    </w:p>
    <w:p w14:paraId="2B175EFE" w14:textId="77777777" w:rsidR="00013576" w:rsidRDefault="00013576" w:rsidP="00013576">
      <w:pPr>
        <w:spacing w:after="0" w:line="240" w:lineRule="auto"/>
        <w:jc w:val="both"/>
        <w:rPr>
          <w:rFonts w:ascii="Arial" w:eastAsia="Calibri" w:hAnsi="Arial" w:cs="Arial"/>
          <w:lang w:val="es-ES_tradnl"/>
        </w:rPr>
      </w:pPr>
    </w:p>
    <w:p w14:paraId="3E313214" w14:textId="77777777" w:rsidR="00013576" w:rsidRDefault="00013576" w:rsidP="00013576">
      <w:pPr>
        <w:spacing w:after="0" w:line="240" w:lineRule="auto"/>
        <w:jc w:val="both"/>
        <w:rPr>
          <w:rFonts w:ascii="Arial" w:eastAsia="Calibri" w:hAnsi="Arial" w:cs="Arial"/>
          <w:lang w:val="es-ES_tradnl"/>
        </w:rPr>
      </w:pPr>
    </w:p>
    <w:p w14:paraId="3B17DC92" w14:textId="77777777" w:rsidR="00013576" w:rsidRDefault="00013576" w:rsidP="00013576">
      <w:pPr>
        <w:spacing w:after="0" w:line="240" w:lineRule="auto"/>
        <w:jc w:val="both"/>
        <w:rPr>
          <w:rFonts w:ascii="Arial" w:eastAsia="Calibri" w:hAnsi="Arial" w:cs="Arial"/>
          <w:lang w:val="es-ES_tradnl"/>
        </w:rPr>
      </w:pPr>
    </w:p>
    <w:p w14:paraId="473952A8" w14:textId="77777777" w:rsidR="00013576" w:rsidRDefault="00013576" w:rsidP="00013576">
      <w:pPr>
        <w:spacing w:after="0" w:line="240" w:lineRule="auto"/>
        <w:jc w:val="both"/>
        <w:rPr>
          <w:rFonts w:ascii="Arial" w:eastAsia="Calibri" w:hAnsi="Arial" w:cs="Arial"/>
          <w:lang w:val="es-ES_tradnl"/>
        </w:rPr>
      </w:pPr>
    </w:p>
    <w:p w14:paraId="083A0F04" w14:textId="77777777" w:rsidR="00013576" w:rsidRDefault="00013576" w:rsidP="00013576">
      <w:pPr>
        <w:spacing w:after="0" w:line="240" w:lineRule="auto"/>
        <w:jc w:val="both"/>
        <w:rPr>
          <w:rFonts w:ascii="Arial" w:eastAsia="Calibri" w:hAnsi="Arial" w:cs="Arial"/>
          <w:lang w:val="es-ES_tradnl"/>
        </w:rPr>
      </w:pPr>
    </w:p>
    <w:p w14:paraId="6B82E44E" w14:textId="77777777" w:rsidR="00013576" w:rsidRDefault="00013576" w:rsidP="00013576">
      <w:pPr>
        <w:spacing w:after="0" w:line="240" w:lineRule="auto"/>
        <w:jc w:val="both"/>
        <w:rPr>
          <w:rFonts w:ascii="Arial" w:eastAsia="Calibri" w:hAnsi="Arial" w:cs="Arial"/>
          <w:lang w:val="es-ES_tradnl"/>
        </w:rPr>
      </w:pPr>
    </w:p>
    <w:p w14:paraId="747A28BE" w14:textId="365EBCEF" w:rsidR="00013576" w:rsidRPr="002B6BAB" w:rsidRDefault="00013576" w:rsidP="00013576">
      <w:pPr>
        <w:spacing w:after="0" w:line="240" w:lineRule="auto"/>
        <w:jc w:val="both"/>
        <w:rPr>
          <w:rFonts w:ascii="Arial" w:eastAsia="Calibri" w:hAnsi="Arial" w:cs="Arial"/>
          <w:lang w:val="es-ES_tradnl"/>
        </w:rPr>
      </w:pPr>
      <w:r w:rsidRPr="002B6BAB">
        <w:rPr>
          <w:rFonts w:ascii="Arial" w:eastAsia="Calibri" w:hAnsi="Arial" w:cs="Arial"/>
          <w:lang w:val="es-ES_tradnl"/>
        </w:rPr>
        <w:t>Señor</w:t>
      </w:r>
    </w:p>
    <w:p w14:paraId="0D79FB76" w14:textId="77777777" w:rsidR="00013576" w:rsidRPr="002B6BAB" w:rsidRDefault="00013576" w:rsidP="00013576">
      <w:pPr>
        <w:spacing w:after="0" w:line="240" w:lineRule="auto"/>
        <w:jc w:val="both"/>
        <w:rPr>
          <w:rFonts w:ascii="Arial" w:eastAsia="Calibri" w:hAnsi="Arial" w:cs="Arial"/>
          <w:b/>
          <w:lang w:val="es-ES_tradnl"/>
        </w:rPr>
      </w:pPr>
      <w:r w:rsidRPr="002B6BAB">
        <w:rPr>
          <w:rFonts w:ascii="Arial" w:eastAsia="Calibri" w:hAnsi="Arial" w:cs="Arial"/>
          <w:b/>
          <w:lang w:val="es-ES_tradnl"/>
        </w:rPr>
        <w:t>Alexander Sánchez Chaparro</w:t>
      </w:r>
    </w:p>
    <w:p w14:paraId="1BB089DA" w14:textId="77777777" w:rsidR="00013576" w:rsidRPr="002B6BAB" w:rsidRDefault="00013576" w:rsidP="00013576">
      <w:pPr>
        <w:spacing w:after="0" w:line="240" w:lineRule="auto"/>
        <w:jc w:val="both"/>
        <w:rPr>
          <w:rFonts w:ascii="Arial" w:eastAsia="Calibri" w:hAnsi="Arial" w:cs="Arial"/>
          <w:lang w:val="es-ES_tradnl"/>
        </w:rPr>
      </w:pPr>
      <w:r w:rsidRPr="002B6BAB">
        <w:rPr>
          <w:rFonts w:ascii="Arial" w:eastAsia="Calibri" w:hAnsi="Arial" w:cs="Arial"/>
          <w:lang w:val="es-ES_tradnl"/>
        </w:rPr>
        <w:t>Bogotá, D.C.</w:t>
      </w:r>
    </w:p>
    <w:p w14:paraId="5EA53B92" w14:textId="77777777" w:rsidR="00013576" w:rsidRPr="002B6BAB" w:rsidRDefault="00013576" w:rsidP="00013576">
      <w:pPr>
        <w:spacing w:after="0" w:line="240" w:lineRule="auto"/>
        <w:jc w:val="both"/>
        <w:rPr>
          <w:rFonts w:ascii="Arial" w:eastAsia="Calibri" w:hAnsi="Arial" w:cs="Arial"/>
          <w:lang w:val="es-ES_tradnl"/>
        </w:rPr>
      </w:pPr>
    </w:p>
    <w:p w14:paraId="03EB45E8" w14:textId="77777777" w:rsidR="00013576" w:rsidRPr="002B6BAB" w:rsidRDefault="00013576" w:rsidP="00013576">
      <w:pPr>
        <w:spacing w:after="0" w:line="240" w:lineRule="auto"/>
        <w:jc w:val="both"/>
        <w:rPr>
          <w:rFonts w:ascii="Arial" w:eastAsia="Calibri" w:hAnsi="Arial" w:cs="Arial"/>
          <w:lang w:val="es-ES_tradnl"/>
        </w:rPr>
      </w:pPr>
      <w:r w:rsidRPr="002B6BAB">
        <w:rPr>
          <w:rFonts w:ascii="Arial" w:eastAsia="Calibri" w:hAnsi="Arial" w:cs="Arial"/>
          <w:lang w:val="es-ES_tradnl"/>
        </w:rPr>
        <w:t xml:space="preserve">                                            </w:t>
      </w:r>
      <w:r w:rsidRPr="002B6BAB">
        <w:rPr>
          <w:rFonts w:ascii="Arial" w:eastAsia="Calibri" w:hAnsi="Arial" w:cs="Arial"/>
          <w:b/>
          <w:lang w:val="es-ES_tradnl"/>
        </w:rPr>
        <w:t>Concepto C – 051 de 2022</w:t>
      </w:r>
      <w:r w:rsidRPr="002B6BAB">
        <w:rPr>
          <w:rFonts w:ascii="Arial" w:eastAsia="Calibri" w:hAnsi="Arial" w:cs="Arial"/>
          <w:lang w:val="es-ES_tradnl"/>
        </w:rPr>
        <w:t xml:space="preserve"> </w:t>
      </w:r>
    </w:p>
    <w:p w14:paraId="73E57E0A" w14:textId="77777777" w:rsidR="00013576" w:rsidRPr="002B6BAB" w:rsidRDefault="00013576" w:rsidP="00013576">
      <w:pPr>
        <w:spacing w:after="0" w:line="240" w:lineRule="auto"/>
        <w:jc w:val="both"/>
        <w:rPr>
          <w:rFonts w:ascii="Arial" w:eastAsia="Calibri" w:hAnsi="Arial" w:cs="Arial"/>
          <w:b/>
          <w:lang w:val="es-ES_tradnl"/>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13576" w:rsidRPr="002B6BAB" w14:paraId="0152F931" w14:textId="77777777" w:rsidTr="005D71CF">
        <w:trPr>
          <w:trHeight w:val="485"/>
        </w:trPr>
        <w:tc>
          <w:tcPr>
            <w:tcW w:w="2689" w:type="dxa"/>
            <w:hideMark/>
          </w:tcPr>
          <w:p w14:paraId="46213EA4" w14:textId="77777777" w:rsidR="00013576" w:rsidRPr="002B6BAB" w:rsidRDefault="00013576" w:rsidP="005D71CF">
            <w:pPr>
              <w:contextualSpacing/>
              <w:rPr>
                <w:rFonts w:ascii="Arial" w:eastAsia="Calibri" w:hAnsi="Arial" w:cs="Arial"/>
                <w:noProof/>
                <w:lang w:val="es-ES_tradnl"/>
              </w:rPr>
            </w:pPr>
            <w:r w:rsidRPr="002B6BAB">
              <w:rPr>
                <w:rFonts w:ascii="Arial" w:eastAsia="Calibri" w:hAnsi="Arial" w:cs="Arial"/>
                <w:b/>
                <w:noProof/>
                <w:lang w:val="es-ES_tradnl"/>
              </w:rPr>
              <w:t>Temas:</w:t>
            </w:r>
            <w:r w:rsidRPr="002B6BAB">
              <w:rPr>
                <w:rFonts w:ascii="Arial" w:eastAsia="Calibri" w:hAnsi="Arial" w:cs="Arial"/>
                <w:noProof/>
                <w:lang w:val="es-ES_tradnl"/>
              </w:rPr>
              <w:t xml:space="preserve">        </w:t>
            </w:r>
          </w:p>
        </w:tc>
        <w:tc>
          <w:tcPr>
            <w:tcW w:w="6237" w:type="dxa"/>
            <w:hideMark/>
          </w:tcPr>
          <w:p w14:paraId="046D00E8" w14:textId="77777777" w:rsidR="00013576" w:rsidRPr="00D87561" w:rsidRDefault="00013576" w:rsidP="005D71CF">
            <w:pPr>
              <w:jc w:val="both"/>
              <w:rPr>
                <w:rFonts w:ascii="Arial" w:eastAsia="Times New Roman" w:hAnsi="Arial" w:cs="Arial"/>
                <w:lang w:val="es-ES_tradnl" w:eastAsia="es-CO"/>
              </w:rPr>
            </w:pPr>
            <w:r w:rsidRPr="00D87561">
              <w:rPr>
                <w:rFonts w:ascii="Arial" w:eastAsia="Calibri" w:hAnsi="Arial" w:cs="Arial"/>
                <w:lang w:val="es-ES_tradnl"/>
              </w:rPr>
              <w:t xml:space="preserve">SOCIEDADES DE ECONOMÍA MIXTA – Concepto – Naturaleza jurídica / LEY DE GARANTÍAS ELECTORALES ─ Prohibición ‒ Contratación directa ‒ Alcance – </w:t>
            </w:r>
            <w:r w:rsidRPr="00D87561">
              <w:rPr>
                <w:rFonts w:ascii="Arial" w:eastAsia="Times New Roman" w:hAnsi="Arial" w:cs="Arial"/>
                <w:lang w:val="es-ES_tradnl" w:eastAsia="es-CO"/>
              </w:rPr>
              <w:t>Excepciones</w:t>
            </w:r>
          </w:p>
          <w:p w14:paraId="64C88A43" w14:textId="77777777" w:rsidR="00013576" w:rsidRPr="00D87561" w:rsidRDefault="00013576" w:rsidP="005D71CF">
            <w:pPr>
              <w:spacing w:after="120"/>
              <w:ind w:right="703"/>
              <w:jc w:val="both"/>
              <w:rPr>
                <w:rFonts w:ascii="Arial" w:eastAsia="Calibri" w:hAnsi="Arial" w:cs="Arial"/>
                <w:highlight w:val="yellow"/>
                <w:lang w:val="es-ES_tradnl"/>
              </w:rPr>
            </w:pPr>
          </w:p>
          <w:p w14:paraId="7C6D1F34" w14:textId="77777777" w:rsidR="00013576" w:rsidRPr="00D87561" w:rsidRDefault="00013576" w:rsidP="005D71CF">
            <w:pPr>
              <w:spacing w:after="120"/>
              <w:rPr>
                <w:rFonts w:ascii="Arial" w:eastAsia="Calibri" w:hAnsi="Arial" w:cs="Arial"/>
                <w:highlight w:val="yellow"/>
                <w:lang w:val="es-ES_tradnl"/>
              </w:rPr>
            </w:pPr>
          </w:p>
        </w:tc>
      </w:tr>
      <w:tr w:rsidR="00013576" w:rsidRPr="002B6BAB" w14:paraId="656BE4F6" w14:textId="77777777" w:rsidTr="005D71CF">
        <w:tc>
          <w:tcPr>
            <w:tcW w:w="2689" w:type="dxa"/>
          </w:tcPr>
          <w:p w14:paraId="672E8478" w14:textId="77777777" w:rsidR="00013576" w:rsidRPr="002B6BAB" w:rsidRDefault="00013576" w:rsidP="005D71CF">
            <w:pPr>
              <w:contextualSpacing/>
              <w:rPr>
                <w:rFonts w:ascii="Arial" w:eastAsia="Calibri" w:hAnsi="Arial" w:cs="Arial"/>
                <w:b/>
                <w:noProof/>
                <w:lang w:val="es-ES_tradnl"/>
              </w:rPr>
            </w:pPr>
            <w:r w:rsidRPr="002B6BAB">
              <w:rPr>
                <w:rFonts w:ascii="Arial" w:eastAsia="Calibri" w:hAnsi="Arial" w:cs="Arial"/>
                <w:b/>
                <w:noProof/>
                <w:lang w:val="es-ES_tradnl"/>
              </w:rPr>
              <w:t>Radicación:</w:t>
            </w:r>
            <w:r w:rsidRPr="002B6BAB">
              <w:rPr>
                <w:rFonts w:ascii="Arial" w:eastAsia="Calibri" w:hAnsi="Arial" w:cs="Arial"/>
                <w:noProof/>
                <w:lang w:val="es-ES_tradnl"/>
              </w:rPr>
              <w:t xml:space="preserve">                              </w:t>
            </w:r>
          </w:p>
        </w:tc>
        <w:tc>
          <w:tcPr>
            <w:tcW w:w="6237" w:type="dxa"/>
          </w:tcPr>
          <w:p w14:paraId="7E9CEE38" w14:textId="77777777" w:rsidR="00013576" w:rsidRPr="002B6BAB" w:rsidRDefault="00013576" w:rsidP="005D71CF">
            <w:pPr>
              <w:contextualSpacing/>
              <w:jc w:val="both"/>
              <w:rPr>
                <w:rFonts w:ascii="Arial" w:eastAsia="Calibri" w:hAnsi="Arial" w:cs="Arial"/>
                <w:noProof/>
                <w:lang w:val="es-ES_tradnl"/>
              </w:rPr>
            </w:pPr>
            <w:r w:rsidRPr="002B6BAB">
              <w:rPr>
                <w:rFonts w:ascii="Arial" w:eastAsia="Calibri" w:hAnsi="Arial" w:cs="Arial"/>
                <w:noProof/>
                <w:lang w:val="es-ES_tradnl"/>
              </w:rPr>
              <w:t xml:space="preserve">Respuesta a consultas acumuladas # P20220124000516 - P20220125000603 - </w:t>
            </w:r>
            <w:r w:rsidRPr="005A3D2A">
              <w:rPr>
                <w:rFonts w:ascii="Arial" w:eastAsia="Calibri" w:hAnsi="Arial" w:cs="Arial"/>
                <w:noProof/>
                <w:lang w:val="es-ES_tradnl"/>
              </w:rPr>
              <w:t>P20220127000692</w:t>
            </w:r>
          </w:p>
        </w:tc>
      </w:tr>
    </w:tbl>
    <w:p w14:paraId="773B8CB4" w14:textId="77777777" w:rsidR="00013576" w:rsidRPr="002B6BAB" w:rsidRDefault="00013576" w:rsidP="00013576">
      <w:pPr>
        <w:spacing w:after="0" w:line="240" w:lineRule="auto"/>
        <w:jc w:val="both"/>
        <w:rPr>
          <w:rFonts w:ascii="Arial" w:eastAsia="Calibri" w:hAnsi="Arial" w:cs="Arial"/>
          <w:lang w:val="es-ES_tradnl"/>
        </w:rPr>
      </w:pPr>
    </w:p>
    <w:p w14:paraId="4291BF57" w14:textId="77777777" w:rsidR="00013576" w:rsidRPr="002B6BAB" w:rsidRDefault="00013576" w:rsidP="00013576">
      <w:pPr>
        <w:spacing w:after="0" w:line="240" w:lineRule="auto"/>
        <w:jc w:val="both"/>
        <w:rPr>
          <w:rFonts w:ascii="Arial" w:eastAsia="Calibri" w:hAnsi="Arial" w:cs="Arial"/>
          <w:lang w:val="es-ES_tradnl"/>
        </w:rPr>
      </w:pPr>
    </w:p>
    <w:p w14:paraId="6C664073" w14:textId="77777777" w:rsidR="00013576" w:rsidRPr="002B6BAB" w:rsidRDefault="00013576" w:rsidP="00013576">
      <w:pPr>
        <w:spacing w:after="0" w:line="276" w:lineRule="auto"/>
        <w:jc w:val="both"/>
        <w:rPr>
          <w:rFonts w:ascii="Arial" w:eastAsia="Calibri" w:hAnsi="Arial" w:cs="Arial"/>
          <w:lang w:val="es-ES_tradnl"/>
        </w:rPr>
      </w:pPr>
      <w:r w:rsidRPr="002B6BAB">
        <w:rPr>
          <w:rFonts w:ascii="Arial" w:eastAsia="Calibri" w:hAnsi="Arial" w:cs="Arial"/>
          <w:lang w:val="es-ES_tradnl"/>
        </w:rPr>
        <w:t>Estimado señor Sánchez Chaparro;</w:t>
      </w:r>
    </w:p>
    <w:p w14:paraId="29C35F6F" w14:textId="77777777" w:rsidR="00013576" w:rsidRPr="002B6BAB" w:rsidRDefault="00013576" w:rsidP="00013576">
      <w:pPr>
        <w:spacing w:after="0" w:line="276" w:lineRule="auto"/>
        <w:ind w:firstLine="709"/>
        <w:jc w:val="both"/>
        <w:rPr>
          <w:rFonts w:ascii="Arial" w:eastAsia="Calibri" w:hAnsi="Arial" w:cs="Arial"/>
          <w:lang w:val="es-ES_tradnl"/>
        </w:rPr>
      </w:pPr>
    </w:p>
    <w:p w14:paraId="4730EF47" w14:textId="77777777" w:rsidR="00013576" w:rsidRPr="002B6BAB" w:rsidRDefault="00013576" w:rsidP="00013576">
      <w:pPr>
        <w:spacing w:after="0" w:line="276" w:lineRule="auto"/>
        <w:ind w:right="51"/>
        <w:jc w:val="both"/>
        <w:rPr>
          <w:rFonts w:ascii="Arial" w:eastAsia="Calibri" w:hAnsi="Arial" w:cs="Arial"/>
          <w:lang w:val="es-ES_tradnl"/>
        </w:rPr>
      </w:pPr>
      <w:r w:rsidRPr="002B6BAB">
        <w:rPr>
          <w:rFonts w:ascii="Arial" w:eastAsia="Calibri" w:hAnsi="Arial" w:cs="Arial"/>
          <w:lang w:val="es-ES_tradnl"/>
        </w:rPr>
        <w:t xml:space="preserve">En ejercicio de la competencia otorgada por el numeral 8 del artículo 11 y el numeral 5 del artículo 3 del Decreto Ley 4170 de 2011, la Agencia Nacional de Contratación Pública – Colombia Compra Eficiente responde las consultas acumuladas radicadas el 21, 25 y 26 de enero de 2022, respectivamente. La segunda consulta, esto es, la petición con radicado No. P20220125000603 del 25 de enero de 2022, fue remitida por el Departamento Administrativo de la Función Pública, mediante oficio con radicado No. 20222060042442 de la misma fecha. Por su parte, la tercera consulta, esto es, la petición con radicado No. </w:t>
      </w:r>
      <w:r w:rsidRPr="002B6BAB">
        <w:rPr>
          <w:rFonts w:ascii="Arial" w:eastAsia="Calibri" w:hAnsi="Arial" w:cs="Arial"/>
          <w:lang w:val="es-ES_tradnl"/>
        </w:rPr>
        <w:lastRenderedPageBreak/>
        <w:t>P20220127000692 del 26 de enero de 2022, fue remitida por la Procuraduría General de la Nación, mediante oficio con radicado No. S-2022-007276</w:t>
      </w:r>
      <w:r>
        <w:rPr>
          <w:rFonts w:ascii="Arial" w:eastAsia="Calibri" w:hAnsi="Arial" w:cs="Arial"/>
          <w:lang w:val="es-ES_tradnl"/>
        </w:rPr>
        <w:t xml:space="preserve"> </w:t>
      </w:r>
      <w:r w:rsidRPr="002B6BAB">
        <w:rPr>
          <w:rFonts w:ascii="Arial" w:eastAsia="Calibri" w:hAnsi="Arial" w:cs="Arial"/>
          <w:lang w:val="es-ES_tradnl"/>
        </w:rPr>
        <w:t>de la misma fecha.</w:t>
      </w:r>
    </w:p>
    <w:p w14:paraId="3B585B59" w14:textId="77777777" w:rsidR="00013576" w:rsidRPr="002B6BAB" w:rsidRDefault="00013576" w:rsidP="00013576">
      <w:pPr>
        <w:spacing w:after="0" w:line="276" w:lineRule="auto"/>
        <w:jc w:val="both"/>
        <w:rPr>
          <w:rFonts w:ascii="Arial" w:eastAsia="Calibri" w:hAnsi="Arial" w:cs="Arial"/>
          <w:lang w:val="es-ES_tradnl"/>
        </w:rPr>
      </w:pPr>
    </w:p>
    <w:p w14:paraId="47B53608" w14:textId="77777777" w:rsidR="00013576" w:rsidRPr="002B6BAB" w:rsidRDefault="00013576" w:rsidP="00013576">
      <w:pPr>
        <w:tabs>
          <w:tab w:val="left" w:pos="284"/>
        </w:tabs>
        <w:spacing w:after="0" w:line="276" w:lineRule="auto"/>
        <w:jc w:val="both"/>
        <w:rPr>
          <w:rFonts w:ascii="Arial" w:eastAsia="Calibri" w:hAnsi="Arial" w:cs="Arial"/>
          <w:b/>
          <w:lang w:val="es-ES_tradnl"/>
        </w:rPr>
      </w:pPr>
      <w:r w:rsidRPr="002B6BAB">
        <w:rPr>
          <w:rFonts w:ascii="Arial" w:eastAsia="Calibri" w:hAnsi="Arial" w:cs="Arial"/>
          <w:b/>
          <w:lang w:val="es-ES_tradnl"/>
        </w:rPr>
        <w:t xml:space="preserve">1. Problema planteado </w:t>
      </w:r>
    </w:p>
    <w:p w14:paraId="0DE69C70" w14:textId="77777777" w:rsidR="00013576" w:rsidRPr="002B6BAB" w:rsidRDefault="00013576" w:rsidP="00013576">
      <w:pPr>
        <w:tabs>
          <w:tab w:val="left" w:pos="284"/>
        </w:tabs>
        <w:spacing w:after="0" w:line="276" w:lineRule="auto"/>
        <w:ind w:firstLine="709"/>
        <w:contextualSpacing/>
        <w:jc w:val="both"/>
        <w:rPr>
          <w:rFonts w:ascii="Arial" w:eastAsia="Calibri" w:hAnsi="Arial" w:cs="Arial"/>
          <w:b/>
          <w:lang w:val="es-ES_tradnl"/>
        </w:rPr>
      </w:pPr>
    </w:p>
    <w:p w14:paraId="630C2BC2" w14:textId="77777777" w:rsidR="00013576" w:rsidRPr="002B6BAB" w:rsidRDefault="00013576" w:rsidP="00013576">
      <w:pPr>
        <w:autoSpaceDE w:val="0"/>
        <w:autoSpaceDN w:val="0"/>
        <w:adjustRightInd w:val="0"/>
        <w:spacing w:after="0" w:line="276" w:lineRule="auto"/>
        <w:jc w:val="both"/>
        <w:rPr>
          <w:rFonts w:ascii="Arial" w:eastAsia="Calibri" w:hAnsi="Arial" w:cs="Arial"/>
          <w:lang w:val="es-ES_tradnl"/>
        </w:rPr>
      </w:pPr>
      <w:bookmarkStart w:id="5" w:name="_Hlk58917991"/>
      <w:bookmarkStart w:id="6" w:name="_Hlk56103000"/>
      <w:r w:rsidRPr="002B6BAB">
        <w:rPr>
          <w:rFonts w:ascii="Arial" w:eastAsia="Calibri" w:hAnsi="Arial" w:cs="Arial"/>
          <w:lang w:val="es-ES_tradnl"/>
        </w:rPr>
        <w:t>Usted realiza la siguiente consulta:</w:t>
      </w:r>
    </w:p>
    <w:p w14:paraId="64F79EB8" w14:textId="77777777" w:rsidR="00013576" w:rsidRPr="002B6BAB" w:rsidRDefault="00013576" w:rsidP="00013576">
      <w:pPr>
        <w:autoSpaceDE w:val="0"/>
        <w:autoSpaceDN w:val="0"/>
        <w:adjustRightInd w:val="0"/>
        <w:spacing w:after="0" w:line="276" w:lineRule="auto"/>
        <w:jc w:val="both"/>
        <w:rPr>
          <w:rFonts w:ascii="Arial" w:eastAsia="Calibri" w:hAnsi="Arial" w:cs="Arial"/>
          <w:lang w:val="es-ES_tradnl"/>
        </w:rPr>
      </w:pPr>
    </w:p>
    <w:p w14:paraId="0A90F29B" w14:textId="77777777" w:rsidR="00013576" w:rsidRPr="002B6BAB" w:rsidRDefault="00013576" w:rsidP="00013576">
      <w:pPr>
        <w:autoSpaceDE w:val="0"/>
        <w:autoSpaceDN w:val="0"/>
        <w:adjustRightInd w:val="0"/>
        <w:spacing w:after="0" w:line="240" w:lineRule="auto"/>
        <w:ind w:left="709" w:right="709"/>
        <w:jc w:val="both"/>
        <w:rPr>
          <w:rFonts w:ascii="Arial" w:eastAsia="Calibri" w:hAnsi="Arial" w:cs="Arial"/>
          <w:sz w:val="21"/>
          <w:szCs w:val="21"/>
          <w:lang w:val="es-ES_tradnl"/>
        </w:rPr>
      </w:pPr>
      <w:r w:rsidRPr="002B6BAB">
        <w:rPr>
          <w:rFonts w:ascii="Arial" w:eastAsia="Calibri" w:hAnsi="Arial" w:cs="Arial"/>
          <w:sz w:val="21"/>
          <w:szCs w:val="21"/>
          <w:lang w:val="es-ES_tradnl"/>
        </w:rPr>
        <w:t>«Con relación a las entidades descentralizadas como las sociedades de economía mixta, ¿la ley de garantías durante el periodo de restricción, se extiende a los contratos que aquellas deban suscribir de manera indispensable para desarrollar su objeto social; ejemplo: los necesarios para acordar consorcios, uniones temporales, agencias comerciales, etc.?»</w:t>
      </w:r>
    </w:p>
    <w:p w14:paraId="75B7DE26" w14:textId="77777777" w:rsidR="00013576" w:rsidRPr="002B6BAB" w:rsidRDefault="00013576" w:rsidP="00013576">
      <w:pPr>
        <w:tabs>
          <w:tab w:val="left" w:pos="426"/>
        </w:tabs>
        <w:spacing w:after="0" w:line="276" w:lineRule="auto"/>
        <w:jc w:val="both"/>
        <w:rPr>
          <w:rFonts w:ascii="Arial" w:eastAsia="Calibri" w:hAnsi="Arial" w:cs="Arial"/>
          <w:lang w:val="es-ES_tradnl"/>
        </w:rPr>
      </w:pPr>
    </w:p>
    <w:bookmarkEnd w:id="5"/>
    <w:bookmarkEnd w:id="6"/>
    <w:p w14:paraId="29D260B3" w14:textId="77777777" w:rsidR="00013576" w:rsidRPr="002B6BAB" w:rsidRDefault="00013576" w:rsidP="00013576">
      <w:pPr>
        <w:tabs>
          <w:tab w:val="left" w:pos="284"/>
        </w:tabs>
        <w:spacing w:after="0" w:line="276" w:lineRule="auto"/>
        <w:jc w:val="both"/>
        <w:rPr>
          <w:rFonts w:ascii="Arial" w:eastAsia="Calibri" w:hAnsi="Arial" w:cs="Arial"/>
          <w:b/>
          <w:lang w:val="es-ES_tradnl"/>
        </w:rPr>
      </w:pPr>
      <w:r w:rsidRPr="002B6BAB">
        <w:rPr>
          <w:rFonts w:ascii="Arial" w:eastAsia="Calibri" w:hAnsi="Arial" w:cs="Arial"/>
          <w:b/>
          <w:lang w:val="es-ES_tradnl"/>
        </w:rPr>
        <w:t>2. Consideraciones</w:t>
      </w:r>
    </w:p>
    <w:p w14:paraId="06D4877A" w14:textId="77777777" w:rsidR="00013576" w:rsidRPr="002B6BAB" w:rsidRDefault="00013576" w:rsidP="00013576">
      <w:pPr>
        <w:tabs>
          <w:tab w:val="left" w:pos="426"/>
        </w:tabs>
        <w:spacing w:after="0" w:line="276" w:lineRule="auto"/>
        <w:ind w:firstLine="709"/>
        <w:jc w:val="both"/>
        <w:rPr>
          <w:rFonts w:ascii="Arial" w:eastAsia="Calibri" w:hAnsi="Arial" w:cs="Arial"/>
          <w:bCs/>
          <w:lang w:val="es-ES_tradnl"/>
        </w:rPr>
      </w:pPr>
    </w:p>
    <w:p w14:paraId="225DFBA2" w14:textId="177D691E" w:rsidR="00013576" w:rsidRDefault="00013576" w:rsidP="00013576">
      <w:pPr>
        <w:tabs>
          <w:tab w:val="left" w:pos="426"/>
        </w:tabs>
        <w:spacing w:after="0" w:line="276" w:lineRule="auto"/>
        <w:jc w:val="both"/>
        <w:rPr>
          <w:rFonts w:ascii="Arial" w:eastAsia="Calibri" w:hAnsi="Arial" w:cs="Arial"/>
          <w:bCs/>
          <w:lang w:val="es-ES_tradnl"/>
        </w:rPr>
      </w:pPr>
      <w:r w:rsidRPr="002B6BAB">
        <w:rPr>
          <w:rFonts w:ascii="Arial" w:eastAsia="Calibri" w:hAnsi="Arial" w:cs="Arial"/>
          <w:bCs/>
          <w:lang w:val="es-ES_tradnl"/>
        </w:rPr>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C-636 del 16 de noviembre de 2021, C-677 del 4 de diciembre de 2021, C-693 del 9 de diciembre de 2021, C-695 del 22 de diciembre de 2021 y C-037 del 21 de enero de 2022. La tesis desarrollada en estos conceptos se reitera y complementa a continuación.</w:t>
      </w:r>
    </w:p>
    <w:p w14:paraId="41366337" w14:textId="5E88FB1D" w:rsidR="00013576" w:rsidRDefault="00013576" w:rsidP="00013576">
      <w:pPr>
        <w:tabs>
          <w:tab w:val="left" w:pos="426"/>
        </w:tabs>
        <w:spacing w:after="0" w:line="276" w:lineRule="auto"/>
        <w:jc w:val="both"/>
        <w:rPr>
          <w:rFonts w:ascii="Arial" w:eastAsia="Calibri" w:hAnsi="Arial" w:cs="Arial"/>
          <w:bCs/>
          <w:lang w:val="es-ES_tradnl"/>
        </w:rPr>
      </w:pPr>
    </w:p>
    <w:p w14:paraId="481661F9" w14:textId="77777777" w:rsidR="00013576" w:rsidRPr="002B6BAB" w:rsidRDefault="00013576" w:rsidP="00013576">
      <w:pPr>
        <w:tabs>
          <w:tab w:val="left" w:pos="426"/>
        </w:tabs>
        <w:spacing w:after="0" w:line="276" w:lineRule="auto"/>
        <w:jc w:val="both"/>
        <w:rPr>
          <w:rFonts w:ascii="Arial" w:eastAsia="Calibri" w:hAnsi="Arial" w:cs="Arial"/>
          <w:bCs/>
          <w:lang w:val="es-ES_tradnl"/>
        </w:rPr>
      </w:pPr>
    </w:p>
    <w:p w14:paraId="0A8B450E" w14:textId="77777777" w:rsidR="00013576" w:rsidRPr="002B6BAB" w:rsidRDefault="00013576" w:rsidP="00013576">
      <w:pPr>
        <w:tabs>
          <w:tab w:val="left" w:pos="426"/>
        </w:tabs>
        <w:spacing w:after="0" w:line="276" w:lineRule="auto"/>
        <w:ind w:firstLine="709"/>
        <w:jc w:val="both"/>
        <w:rPr>
          <w:rFonts w:ascii="Arial" w:eastAsia="Calibri" w:hAnsi="Arial" w:cs="Arial"/>
          <w:b/>
          <w:bCs/>
          <w:lang w:val="es-ES_tradnl"/>
        </w:rPr>
      </w:pPr>
    </w:p>
    <w:p w14:paraId="1BE4DD57" w14:textId="77777777" w:rsidR="00013576" w:rsidRPr="005235FE" w:rsidRDefault="00013576" w:rsidP="00013576">
      <w:pPr>
        <w:spacing w:after="0" w:line="276" w:lineRule="auto"/>
        <w:jc w:val="both"/>
        <w:rPr>
          <w:rFonts w:ascii="Arial" w:eastAsia="Calibri" w:hAnsi="Arial" w:cs="Arial"/>
          <w:b/>
          <w:bCs/>
          <w:color w:val="000000" w:themeColor="text1"/>
          <w:lang w:val="es-ES_tradnl"/>
        </w:rPr>
      </w:pPr>
      <w:r w:rsidRPr="005235FE">
        <w:rPr>
          <w:rFonts w:ascii="Arial" w:eastAsia="Calibri" w:hAnsi="Arial" w:cs="Arial"/>
          <w:b/>
          <w:bCs/>
          <w:color w:val="000000" w:themeColor="text1"/>
          <w:lang w:val="es-ES_tradnl"/>
        </w:rPr>
        <w:lastRenderedPageBreak/>
        <w:t>2.1. Régimen de las sociedades de economía mixta</w:t>
      </w:r>
    </w:p>
    <w:p w14:paraId="360C0F60" w14:textId="77777777" w:rsidR="00013576" w:rsidRPr="005235FE" w:rsidRDefault="00013576" w:rsidP="00013576">
      <w:pPr>
        <w:spacing w:after="0" w:line="276" w:lineRule="auto"/>
        <w:jc w:val="both"/>
        <w:rPr>
          <w:rFonts w:ascii="Arial" w:eastAsia="Calibri" w:hAnsi="Arial" w:cs="Arial"/>
          <w:b/>
          <w:bCs/>
          <w:color w:val="000000" w:themeColor="text1"/>
          <w:lang w:val="es-ES_tradnl"/>
        </w:rPr>
      </w:pPr>
    </w:p>
    <w:p w14:paraId="07B69545" w14:textId="77777777" w:rsidR="00013576" w:rsidRPr="005235FE" w:rsidRDefault="00013576" w:rsidP="00013576">
      <w:pPr>
        <w:autoSpaceDE w:val="0"/>
        <w:autoSpaceDN w:val="0"/>
        <w:adjustRightInd w:val="0"/>
        <w:spacing w:after="120" w:line="276" w:lineRule="auto"/>
        <w:jc w:val="both"/>
        <w:rPr>
          <w:rFonts w:ascii="Arial" w:hAnsi="Arial" w:cs="Arial"/>
          <w:lang w:val="es-ES_tradnl"/>
        </w:rPr>
      </w:pPr>
      <w:r w:rsidRPr="005235FE">
        <w:rPr>
          <w:rFonts w:ascii="Arial" w:hAnsi="Arial" w:cs="Arial"/>
          <w:color w:val="000000" w:themeColor="text1"/>
          <w:lang w:val="es-ES_tradnl"/>
        </w:rPr>
        <w:t>En nuestro ordenamiento jurídico, el</w:t>
      </w:r>
      <w:r w:rsidRPr="005235FE">
        <w:rPr>
          <w:rFonts w:ascii="Arial" w:hAnsi="Arial" w:cs="Arial"/>
          <w:lang w:val="es-ES_tradnl"/>
        </w:rPr>
        <w:t xml:space="preserve"> artículo 97 de la Ley 489 de 1998 define a las sociedades de economía mixta como organismos autorizados por la ley, constituidos como sociedades comerciales, con aportes de capital público y privado, que desarrollan actividades de naturaleza industrial o comercial conforme a las reglas del derecho privado, salvo las excepciones que consagra la ley.</w:t>
      </w:r>
    </w:p>
    <w:p w14:paraId="02891ECF" w14:textId="77777777" w:rsidR="00013576" w:rsidRPr="005235FE" w:rsidRDefault="00013576" w:rsidP="00013576">
      <w:pPr>
        <w:spacing w:after="120" w:line="276" w:lineRule="auto"/>
        <w:ind w:firstLine="709"/>
        <w:jc w:val="both"/>
        <w:textAlignment w:val="baseline"/>
        <w:rPr>
          <w:rFonts w:ascii="Arial" w:eastAsia="Times New Roman" w:hAnsi="Arial" w:cs="Arial"/>
          <w:lang w:val="es-ES_tradnl" w:eastAsia="es-MX"/>
        </w:rPr>
      </w:pPr>
      <w:r w:rsidRPr="005235FE">
        <w:rPr>
          <w:rFonts w:ascii="Arial" w:eastAsia="Times New Roman" w:hAnsi="Arial" w:cs="Arial"/>
          <w:lang w:val="es-ES_tradnl" w:eastAsia="es-MX"/>
        </w:rPr>
        <w:t>En este sentido, la misma Ley, en los artículos 38 y 68, clasifica a las sociedades de economía mixta como entidades descentralizadas por servicios, con personería jurídica, autonomía administrativa y patrimonio propio</w:t>
      </w:r>
      <w:r w:rsidRPr="005235FE">
        <w:rPr>
          <w:rStyle w:val="Refdenotaalpie"/>
          <w:rFonts w:ascii="Arial" w:eastAsia="Times New Roman" w:hAnsi="Arial" w:cs="Arial"/>
          <w:lang w:val="es-ES_tradnl" w:eastAsia="es-MX"/>
        </w:rPr>
        <w:footnoteReference w:id="1"/>
      </w:r>
      <w:r w:rsidRPr="005235FE">
        <w:rPr>
          <w:rFonts w:ascii="Arial" w:eastAsia="Times New Roman" w:hAnsi="Arial" w:cs="Arial"/>
          <w:lang w:val="es-ES_tradnl" w:eastAsia="es-MX"/>
        </w:rPr>
        <w:t>, que pueden ser del orden nacional, departamental o municipal, según su órgano de creación</w:t>
      </w:r>
      <w:r w:rsidRPr="005235FE">
        <w:rPr>
          <w:rStyle w:val="Refdenotaalpie"/>
          <w:rFonts w:ascii="Arial" w:eastAsia="Times New Roman" w:hAnsi="Arial" w:cs="Arial"/>
          <w:lang w:val="es-ES_tradnl" w:eastAsia="es-MX"/>
        </w:rPr>
        <w:footnoteReference w:id="2"/>
      </w:r>
      <w:r w:rsidRPr="005235FE">
        <w:rPr>
          <w:rFonts w:ascii="Arial" w:eastAsia="Times New Roman" w:hAnsi="Arial" w:cs="Arial"/>
          <w:lang w:val="es-ES_tradnl" w:eastAsia="es-MX"/>
        </w:rPr>
        <w:t xml:space="preserve">. Al respecto, la Corte Constitucional, en sentencias C-736 del 19 de septiembre de 2007, C-118 del 14 de noviembre de 2018 y C-306 del 10 de julio de 2019, ha considerado que las sociedades estudiadas, desde una perspectiva constitucional, se caracterizan por los siguientes aspectos: i) pertenecen a la rama ejecutiva del poder público, como manifestación de la descentralización por servicios. Así mismo, ii) están sujetas al control fiscal, financiero, de gestión y de resultados en cabeza de la Contraloría General de la República. Por otra parte, iii) se someten al control político, que ejerce directamente el Congreso de la República. Además, iv) en el caso de las sociedades de economía mixta del orden nacional, le corresponde al Congreso de la República su creación o autorización mediante ley. En cambio, v) en el caso de los órdenes departamental y municipal, esta misma facultad se les reconoce a las asambleas y concejos. Adicionalmente, vi) a todas las sociedades de economía mixta les son aplicables las inhabilidades para la integración de órganos directivos a que aluden los artículos 180- 3, 292 y 323 de la Constitución Política. A lo anterior debe agregarse que, vii) en materia presupuestal, las sociedades de economía mixta quedan sujetas a las reglas de la ley orgánica del presupuesto. De otro lado, viii) en </w:t>
      </w:r>
      <w:r w:rsidRPr="005235FE">
        <w:rPr>
          <w:rFonts w:ascii="Arial" w:eastAsia="Times New Roman" w:hAnsi="Arial" w:cs="Arial"/>
          <w:lang w:val="es-ES_tradnl" w:eastAsia="es-MX"/>
        </w:rPr>
        <w:lastRenderedPageBreak/>
        <w:t>materia contable, quedan vinculadas a las reglas de contabilidad oficial. Además, ix) se rigen por el derecho privado, en virtud de la naturaleza de las actividades que desarrollan.  </w:t>
      </w:r>
    </w:p>
    <w:p w14:paraId="616F9B27" w14:textId="77777777" w:rsidR="00013576" w:rsidRPr="005235FE" w:rsidRDefault="00013576" w:rsidP="00013576">
      <w:pPr>
        <w:spacing w:after="120" w:line="276" w:lineRule="auto"/>
        <w:ind w:firstLine="709"/>
        <w:jc w:val="both"/>
        <w:textAlignment w:val="baseline"/>
        <w:rPr>
          <w:rFonts w:ascii="Arial" w:eastAsia="Times New Roman" w:hAnsi="Arial" w:cs="Arial"/>
          <w:lang w:val="es-ES_tradnl" w:eastAsia="es-MX"/>
        </w:rPr>
      </w:pPr>
      <w:r w:rsidRPr="005235FE">
        <w:rPr>
          <w:rFonts w:ascii="Arial" w:eastAsia="Times New Roman" w:hAnsi="Arial" w:cs="Arial"/>
          <w:lang w:val="es-ES_tradnl" w:eastAsia="es-MX"/>
        </w:rPr>
        <w:t>Sin embargo, este Alto Tribunal, en sentencia C-529 del 12 de julio de 2006, hizo énfasis en que, a pesar del sometimiento al régimen jurídico de derecho privado para el desarrollo de sus actividades, las sociedades de economía mixta no pierden su carácter de expresión organizacional de la actividad estatal</w:t>
      </w:r>
      <w:r w:rsidRPr="005235FE">
        <w:rPr>
          <w:rStyle w:val="Refdenotaalpie"/>
          <w:rFonts w:ascii="Arial" w:eastAsia="Times New Roman" w:hAnsi="Arial" w:cs="Arial"/>
          <w:lang w:val="es-ES_tradnl" w:eastAsia="es-MX"/>
        </w:rPr>
        <w:footnoteReference w:id="3"/>
      </w:r>
      <w:r w:rsidRPr="005235FE">
        <w:rPr>
          <w:rFonts w:ascii="Arial" w:eastAsia="Times New Roman" w:hAnsi="Arial" w:cs="Arial"/>
          <w:lang w:val="es-ES_tradnl" w:eastAsia="es-MX"/>
        </w:rPr>
        <w:t>, más precisamente de la función administrativa</w:t>
      </w:r>
      <w:r w:rsidRPr="005235FE">
        <w:rPr>
          <w:rStyle w:val="Refdenotaalpie"/>
          <w:rFonts w:ascii="Arial" w:eastAsia="Times New Roman" w:hAnsi="Arial" w:cs="Arial"/>
          <w:lang w:val="es-ES_tradnl" w:eastAsia="es-MX"/>
        </w:rPr>
        <w:footnoteReference w:id="4"/>
      </w:r>
      <w:r w:rsidRPr="005235FE">
        <w:rPr>
          <w:rFonts w:ascii="Arial" w:eastAsia="Times New Roman" w:hAnsi="Arial" w:cs="Arial"/>
          <w:lang w:val="es-ES_tradnl" w:eastAsia="es-MX"/>
        </w:rPr>
        <w:t>, en virtud del aporte público en la constitución del capital social y la consiguiente pertenencia a la administración pública, en la condición de entidades descentralizadas.</w:t>
      </w:r>
    </w:p>
    <w:p w14:paraId="11A00A9A" w14:textId="77777777" w:rsidR="00013576" w:rsidRPr="005235FE" w:rsidRDefault="00013576" w:rsidP="00013576">
      <w:pPr>
        <w:spacing w:after="0" w:line="276" w:lineRule="auto"/>
        <w:ind w:firstLine="709"/>
        <w:jc w:val="both"/>
        <w:textAlignment w:val="baseline"/>
        <w:rPr>
          <w:rFonts w:ascii="Arial" w:eastAsia="Times New Roman" w:hAnsi="Arial" w:cs="Arial"/>
          <w:lang w:val="es-ES_tradnl" w:eastAsia="es-MX"/>
        </w:rPr>
      </w:pPr>
      <w:r w:rsidRPr="005235FE">
        <w:rPr>
          <w:rFonts w:ascii="Arial" w:eastAsia="Times New Roman" w:hAnsi="Arial" w:cs="Arial"/>
          <w:lang w:val="es-ES_tradnl" w:eastAsia="es-MX"/>
        </w:rPr>
        <w:t xml:space="preserve">Así las cosas, resulta importante resaltar que, en nuestro ordenamiento jurídico, las sociedades de economía mixta están sometidas a un régimen jurídico compuesto por un conjunto normativo de derecho público y de derecho privado; el primero, derivado directamente de la Constitución Política y referido a aspectos como su creación, autorización, organización y funcionamiento internos. Y el segundo destinado a regir el desarrollo de la actividad económica de cada sociedad. Ahora bien, también resulta importante señalar que el artículo 14 de la Ley 1150 de 2007 –modificado por el artículo 93 de la Ley 1474 de 2011– establece el régimen contractual de las sociedades de economía mixta, en las que el Estado tenga participación superior al cincuenta por ciento, señalando que: </w:t>
      </w:r>
    </w:p>
    <w:p w14:paraId="43C381D9" w14:textId="77777777" w:rsidR="00013576" w:rsidRPr="005235FE" w:rsidRDefault="00013576" w:rsidP="00013576">
      <w:pPr>
        <w:spacing w:after="0" w:line="276" w:lineRule="auto"/>
        <w:ind w:firstLine="709"/>
        <w:jc w:val="both"/>
        <w:textAlignment w:val="baseline"/>
        <w:rPr>
          <w:rFonts w:ascii="Arial" w:eastAsia="Times New Roman" w:hAnsi="Arial" w:cs="Arial"/>
          <w:lang w:val="es-ES_tradnl" w:eastAsia="es-MX"/>
        </w:rPr>
      </w:pPr>
    </w:p>
    <w:p w14:paraId="3E593BBF" w14:textId="77777777" w:rsidR="00013576" w:rsidRPr="005235FE" w:rsidRDefault="00013576" w:rsidP="00013576">
      <w:pPr>
        <w:spacing w:after="0" w:line="240" w:lineRule="auto"/>
        <w:ind w:left="709" w:right="709"/>
        <w:jc w:val="both"/>
        <w:textAlignment w:val="baseline"/>
        <w:rPr>
          <w:rFonts w:ascii="Arial" w:eastAsia="Times New Roman" w:hAnsi="Arial" w:cs="Arial"/>
          <w:sz w:val="21"/>
          <w:szCs w:val="21"/>
          <w:lang w:val="es-ES_tradnl" w:eastAsia="es-MX"/>
        </w:rPr>
      </w:pPr>
      <w:r w:rsidRPr="005235FE">
        <w:rPr>
          <w:rFonts w:ascii="Arial" w:eastAsia="Times New Roman" w:hAnsi="Arial" w:cs="Arial"/>
          <w:sz w:val="21"/>
          <w:szCs w:val="21"/>
          <w:lang w:val="es-ES_tradnl" w:eastAsia="es-MX"/>
        </w:rPr>
        <w:t xml:space="preserve">Artículo 14. DEL RÉGIMEN CONTRACTUAL DE LAS EMPRESAS INDUSTRIALES Y COMERCIALES DEL ESTADO, LAS SOCIEDADES DE ECONOMÍA MIXTA, SUS FILIALES Y EMPRESAS CON PARTICIPACIÓN MAYORITARIA DEL ESTADO. &lt;Artículo modificado por el artículo 93 de la Ley 1474 de 2011. El nuevo texto es el siguiente:&gt; Las Empresas Industriales y Comerciales del Estado, las Sociedades de Economía Mixta en las que el Estado </w:t>
      </w:r>
      <w:r w:rsidRPr="005235FE">
        <w:rPr>
          <w:rFonts w:ascii="Arial" w:eastAsia="Times New Roman" w:hAnsi="Arial" w:cs="Arial"/>
          <w:sz w:val="21"/>
          <w:szCs w:val="21"/>
          <w:lang w:val="es-ES_tradnl" w:eastAsia="es-MX"/>
        </w:rPr>
        <w:lastRenderedPageBreak/>
        <w:t>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p>
    <w:p w14:paraId="0055E708" w14:textId="77777777" w:rsidR="00013576" w:rsidRPr="005235FE" w:rsidRDefault="00013576" w:rsidP="00013576">
      <w:pPr>
        <w:spacing w:after="0" w:line="276" w:lineRule="auto"/>
        <w:ind w:firstLine="709"/>
        <w:jc w:val="both"/>
        <w:textAlignment w:val="baseline"/>
        <w:rPr>
          <w:rFonts w:ascii="Arial" w:eastAsia="Times New Roman" w:hAnsi="Arial" w:cs="Arial"/>
          <w:lang w:val="es-ES_tradnl" w:eastAsia="es-MX"/>
        </w:rPr>
      </w:pPr>
    </w:p>
    <w:p w14:paraId="7A8CCCCF" w14:textId="77777777" w:rsidR="00013576" w:rsidRPr="005A3D2A" w:rsidRDefault="00013576" w:rsidP="00013576">
      <w:pPr>
        <w:spacing w:after="0" w:line="276" w:lineRule="auto"/>
        <w:ind w:firstLine="709"/>
        <w:jc w:val="both"/>
        <w:textAlignment w:val="baseline"/>
        <w:rPr>
          <w:rFonts w:ascii="Arial" w:eastAsia="Times New Roman" w:hAnsi="Arial" w:cs="Arial"/>
          <w:lang w:val="es-ES_tradnl" w:eastAsia="es-MX"/>
        </w:rPr>
      </w:pPr>
      <w:r w:rsidRPr="005235FE">
        <w:rPr>
          <w:rFonts w:ascii="Arial" w:eastAsia="Times New Roman" w:hAnsi="Arial" w:cs="Arial"/>
          <w:lang w:val="es-ES_tradnl" w:eastAsia="es-MX"/>
        </w:rPr>
        <w:t>Teniendo en cuenta el contexto anterior, atendiendo a que las preguntas del peticionario están relacionadas con el alcance de las prohibiciones en materia contractual establecidas en la ley 996 de 2005 –Ley de Garantías Electorales–, a continuación se analizará el alcance de las restricciones establecidas en el artículo 33 y el parágrafo del artículo 38.</w:t>
      </w:r>
      <w:r w:rsidRPr="005A3D2A">
        <w:rPr>
          <w:rFonts w:ascii="Arial" w:eastAsia="Times New Roman" w:hAnsi="Arial" w:cs="Arial"/>
          <w:lang w:val="es-ES_tradnl" w:eastAsia="es-MX"/>
        </w:rPr>
        <w:t xml:space="preserve"> </w:t>
      </w:r>
    </w:p>
    <w:p w14:paraId="069A162B" w14:textId="77777777" w:rsidR="00013576" w:rsidRDefault="00013576" w:rsidP="00013576">
      <w:pPr>
        <w:tabs>
          <w:tab w:val="left" w:pos="426"/>
        </w:tabs>
        <w:spacing w:after="0" w:line="276" w:lineRule="auto"/>
        <w:jc w:val="both"/>
        <w:rPr>
          <w:rFonts w:ascii="Arial" w:eastAsia="Calibri" w:hAnsi="Arial" w:cs="Arial"/>
          <w:b/>
          <w:bCs/>
          <w:lang w:val="es-ES_tradnl"/>
        </w:rPr>
      </w:pPr>
    </w:p>
    <w:p w14:paraId="60511FF3" w14:textId="77777777" w:rsidR="00013576" w:rsidRPr="002B6BAB" w:rsidRDefault="00013576" w:rsidP="00013576">
      <w:pPr>
        <w:tabs>
          <w:tab w:val="left" w:pos="426"/>
        </w:tabs>
        <w:spacing w:after="0" w:line="276" w:lineRule="auto"/>
        <w:jc w:val="both"/>
        <w:rPr>
          <w:rFonts w:ascii="Arial" w:eastAsia="Calibri" w:hAnsi="Arial" w:cs="Arial"/>
          <w:b/>
          <w:bCs/>
          <w:lang w:val="es-ES_tradnl"/>
        </w:rPr>
      </w:pPr>
      <w:r w:rsidRPr="002B6BAB">
        <w:rPr>
          <w:rFonts w:ascii="Arial" w:eastAsia="Calibri" w:hAnsi="Arial" w:cs="Arial"/>
          <w:b/>
          <w:bCs/>
          <w:lang w:val="es-ES_tradnl"/>
        </w:rPr>
        <w:t>2.</w:t>
      </w:r>
      <w:r>
        <w:rPr>
          <w:rFonts w:ascii="Arial" w:eastAsia="Calibri" w:hAnsi="Arial" w:cs="Arial"/>
          <w:b/>
          <w:bCs/>
          <w:lang w:val="es-ES_tradnl"/>
        </w:rPr>
        <w:t>2</w:t>
      </w:r>
      <w:r w:rsidRPr="002B6BAB">
        <w:rPr>
          <w:rFonts w:ascii="Arial" w:eastAsia="Calibri" w:hAnsi="Arial" w:cs="Arial"/>
          <w:b/>
          <w:bCs/>
          <w:lang w:val="es-ES_tradnl"/>
        </w:rPr>
        <w:t>. Definición y finalidad de la Ley de Garantías Electorales: alcance de las restricciones</w:t>
      </w:r>
    </w:p>
    <w:p w14:paraId="23438D30" w14:textId="77777777" w:rsidR="00013576" w:rsidRPr="002B6BAB" w:rsidRDefault="00013576" w:rsidP="00013576">
      <w:pPr>
        <w:tabs>
          <w:tab w:val="left" w:pos="426"/>
        </w:tabs>
        <w:spacing w:after="0" w:line="276" w:lineRule="auto"/>
        <w:ind w:firstLine="709"/>
        <w:jc w:val="both"/>
        <w:rPr>
          <w:rFonts w:ascii="Arial" w:eastAsia="Calibri" w:hAnsi="Arial" w:cs="Arial"/>
          <w:bCs/>
          <w:lang w:val="es-ES_tradnl"/>
        </w:rPr>
      </w:pPr>
    </w:p>
    <w:p w14:paraId="718C3118" w14:textId="77777777" w:rsidR="00013576" w:rsidRPr="002B6BAB" w:rsidRDefault="00013576" w:rsidP="00013576">
      <w:pPr>
        <w:tabs>
          <w:tab w:val="left" w:pos="426"/>
        </w:tabs>
        <w:spacing w:after="120" w:line="276" w:lineRule="auto"/>
        <w:jc w:val="both"/>
        <w:rPr>
          <w:rFonts w:ascii="Arial" w:eastAsia="Times New Roman" w:hAnsi="Arial" w:cs="Arial"/>
          <w:bCs/>
          <w:lang w:val="es-ES_tradnl" w:eastAsia="es-CO"/>
        </w:rPr>
      </w:pPr>
      <w:r w:rsidRPr="002B6BAB">
        <w:rPr>
          <w:rFonts w:ascii="Arial" w:eastAsia="Calibri" w:hAnsi="Arial" w:cs="Arial"/>
          <w:bCs/>
          <w:lang w:val="es-ES_tradnl"/>
        </w:rPr>
        <w:t>El ordenamiento jurídico colombiano contempla previsiones claras para evitar la obtención de beneficios personales en asuntos propios de la administración pública</w:t>
      </w:r>
      <w:r w:rsidRPr="002B6BAB">
        <w:rPr>
          <w:rFonts w:ascii="Arial" w:eastAsia="Calibri" w:hAnsi="Arial" w:cs="Arial"/>
          <w:bCs/>
          <w:i/>
          <w:iCs/>
          <w:lang w:val="es-ES_tradnl"/>
        </w:rPr>
        <w:t xml:space="preserve">. </w:t>
      </w:r>
      <w:r w:rsidRPr="002B6BAB">
        <w:rPr>
          <w:rFonts w:ascii="Arial" w:eastAsia="Calibri" w:hAnsi="Arial" w:cs="Arial"/>
          <w:bCs/>
          <w:lang w:val="es-ES_tradnl"/>
        </w:rPr>
        <w:t>Por ejemplo, el artículo 127 de la Constitución Política establece una prohibición contractual a los servidores públicos y en cuanto a aspectos políticos establece restricciones a ciertos empleados del Estado, incluso en época no electoral</w:t>
      </w:r>
      <w:r w:rsidRPr="002B6BAB">
        <w:rPr>
          <w:rFonts w:ascii="Arial" w:eastAsia="Calibri" w:hAnsi="Arial" w:cs="Arial"/>
          <w:bCs/>
          <w:vertAlign w:val="superscript"/>
          <w:lang w:val="es-ES_tradnl"/>
        </w:rPr>
        <w:footnoteReference w:id="5"/>
      </w:r>
      <w:r w:rsidRPr="002B6BAB">
        <w:rPr>
          <w:rFonts w:ascii="Arial" w:eastAsia="Calibri" w:hAnsi="Arial" w:cs="Arial"/>
          <w:bCs/>
          <w:lang w:val="es-ES_tradnl"/>
        </w:rPr>
        <w:t xml:space="preserve">. </w:t>
      </w:r>
    </w:p>
    <w:p w14:paraId="2A444A93" w14:textId="77777777" w:rsidR="00013576" w:rsidRPr="002B6BAB" w:rsidRDefault="00013576" w:rsidP="00013576">
      <w:pPr>
        <w:tabs>
          <w:tab w:val="left" w:pos="426"/>
        </w:tabs>
        <w:spacing w:after="0" w:line="276" w:lineRule="auto"/>
        <w:ind w:firstLine="709"/>
        <w:jc w:val="both"/>
        <w:rPr>
          <w:rFonts w:ascii="Arial" w:eastAsia="Times New Roman" w:hAnsi="Arial" w:cs="Arial"/>
          <w:bCs/>
          <w:lang w:val="es-ES_tradnl" w:eastAsia="es-CO"/>
        </w:rPr>
      </w:pPr>
      <w:r w:rsidRPr="002B6BAB">
        <w:rPr>
          <w:rFonts w:ascii="Arial" w:eastAsia="Times New Roman" w:hAnsi="Arial" w:cs="Arial"/>
          <w:bCs/>
          <w:lang w:val="es-ES_tradnl" w:eastAsia="es-CO"/>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2B6BAB">
        <w:rPr>
          <w:rFonts w:ascii="Arial" w:eastAsia="Times New Roman" w:hAnsi="Arial" w:cs="Arial"/>
          <w:bCs/>
          <w:vertAlign w:val="superscript"/>
          <w:lang w:val="es-ES_tradnl" w:eastAsia="es-CO"/>
        </w:rPr>
        <w:footnoteReference w:id="6"/>
      </w:r>
      <w:r w:rsidRPr="002B6BAB">
        <w:rPr>
          <w:rFonts w:ascii="Arial" w:eastAsia="Times New Roman" w:hAnsi="Arial" w:cs="Arial"/>
          <w:bCs/>
          <w:lang w:val="es-ES_tradnl" w:eastAsia="es-CO"/>
        </w:rPr>
        <w:t xml:space="preserve">. En esta medida, introduce limitaciones para realizar nombramientos, </w:t>
      </w:r>
      <w:r w:rsidRPr="002B6BAB">
        <w:rPr>
          <w:rFonts w:ascii="Arial" w:eastAsia="Times New Roman" w:hAnsi="Arial" w:cs="Arial"/>
          <w:bCs/>
          <w:lang w:val="es-ES_tradnl" w:eastAsia="es-CO"/>
        </w:rPr>
        <w:lastRenderedPageBreak/>
        <w:t>postulaciones, contrataciones o cualquier otro tipo de actividad que implique destinación de recursos públicos bajo el devenir propio de las entidades estatales.</w:t>
      </w:r>
      <w:r w:rsidRPr="002B6BAB">
        <w:rPr>
          <w:rFonts w:ascii="Arial" w:eastAsia="Calibri" w:hAnsi="Arial" w:cs="Arial"/>
          <w:noProof/>
          <w:lang w:val="es-ES_tradnl"/>
        </w:rPr>
        <w:t xml:space="preserve"> </w:t>
      </w:r>
      <w:r w:rsidRPr="002B6BAB">
        <w:rPr>
          <w:rFonts w:ascii="Arial" w:eastAsia="Times New Roman" w:hAnsi="Arial" w:cs="Arial"/>
          <w:bCs/>
          <w:lang w:val="es-ES_tradnl" w:eastAsia="es-CO"/>
        </w:rPr>
        <w:t>En armonía con lo anterior, la Corte Constitucional ha abordado la definición de la Ley de Garantías Electorales. De esta manera, explica que tiene como propósito:</w:t>
      </w:r>
    </w:p>
    <w:p w14:paraId="18EDAFC3" w14:textId="77777777" w:rsidR="00013576" w:rsidRPr="002B6BAB" w:rsidRDefault="00013576" w:rsidP="00013576">
      <w:pPr>
        <w:spacing w:after="0" w:line="276" w:lineRule="auto"/>
        <w:ind w:right="709"/>
        <w:jc w:val="both"/>
        <w:rPr>
          <w:rFonts w:ascii="Arial" w:eastAsia="Times New Roman" w:hAnsi="Arial" w:cs="Arial"/>
          <w:sz w:val="21"/>
          <w:szCs w:val="21"/>
          <w:lang w:val="es-ES_tradnl" w:eastAsia="es-CO"/>
        </w:rPr>
      </w:pPr>
    </w:p>
    <w:p w14:paraId="717C94D1" w14:textId="77777777" w:rsidR="00013576" w:rsidRPr="002B6BAB" w:rsidRDefault="00013576" w:rsidP="00013576">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sz w:val="21"/>
          <w:szCs w:val="21"/>
          <w:lang w:val="es-ES_tradnl" w:eastAsia="es-CO"/>
        </w:rPr>
        <w:t xml:space="preserve">[…] </w:t>
      </w:r>
      <w:r w:rsidRPr="002B6BAB">
        <w:rPr>
          <w:rFonts w:ascii="Arial" w:eastAsia="Times New Roman" w:hAnsi="Arial" w:cs="Arial"/>
          <w:bCs/>
          <w:sz w:val="21"/>
          <w:szCs w:val="21"/>
          <w:lang w:val="es-ES_tradnl" w:eastAsia="es-CO"/>
        </w:rPr>
        <w:t>la definición de reglas claras que permitan acceder a los canales de expresión democrática de manera efectiva e igualitaria. El objetivo de una ley de garantías es definir esas reglas.</w:t>
      </w:r>
    </w:p>
    <w:p w14:paraId="536612FB" w14:textId="77777777" w:rsidR="00013576" w:rsidRPr="002B6BAB" w:rsidRDefault="00013576" w:rsidP="00013576">
      <w:pPr>
        <w:spacing w:after="12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 xml:space="preserve">[…] </w:t>
      </w:r>
    </w:p>
    <w:p w14:paraId="0DF3072C" w14:textId="77777777" w:rsidR="00013576" w:rsidRPr="002B6BAB" w:rsidRDefault="00013576" w:rsidP="00013576">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2B6BAB">
        <w:rPr>
          <w:rFonts w:ascii="Arial" w:eastAsia="Calibri" w:hAnsi="Arial" w:cs="Arial"/>
          <w:sz w:val="20"/>
          <w:szCs w:val="20"/>
          <w:vertAlign w:val="superscript"/>
          <w:lang w:val="es-ES_tradnl"/>
        </w:rPr>
        <w:footnoteReference w:id="7"/>
      </w:r>
    </w:p>
    <w:p w14:paraId="3F66CA3F" w14:textId="77777777" w:rsidR="00013576" w:rsidRPr="002B6BAB" w:rsidRDefault="00013576" w:rsidP="00013576">
      <w:pPr>
        <w:spacing w:after="0" w:line="276" w:lineRule="auto"/>
        <w:ind w:left="709" w:right="709"/>
        <w:jc w:val="both"/>
        <w:rPr>
          <w:rFonts w:ascii="Arial" w:eastAsia="Times New Roman" w:hAnsi="Arial" w:cs="Arial"/>
          <w:bCs/>
          <w:sz w:val="21"/>
          <w:szCs w:val="21"/>
          <w:lang w:val="es-ES_tradnl" w:eastAsia="es-CO"/>
        </w:rPr>
      </w:pPr>
    </w:p>
    <w:p w14:paraId="6569B39E" w14:textId="77777777" w:rsidR="00013576" w:rsidRPr="002B6BAB" w:rsidRDefault="00013576" w:rsidP="00013576">
      <w:pPr>
        <w:spacing w:after="0" w:line="276" w:lineRule="auto"/>
        <w:ind w:firstLine="709"/>
        <w:jc w:val="both"/>
        <w:rPr>
          <w:rFonts w:ascii="Arial" w:eastAsia="Times New Roman" w:hAnsi="Arial" w:cs="Arial"/>
          <w:bCs/>
          <w:lang w:val="es-ES_tradnl" w:eastAsia="es-CO"/>
        </w:rPr>
      </w:pPr>
      <w:bookmarkStart w:id="7" w:name="_Hlk78818186"/>
      <w:r w:rsidRPr="002B6BAB">
        <w:rPr>
          <w:rFonts w:ascii="Arial" w:eastAsia="Times New Roman" w:hAnsi="Arial" w:cs="Arial"/>
          <w:bCs/>
          <w:lang w:val="es-ES_tradnl" w:eastAsia="es-CO"/>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w:t>
      </w:r>
      <w:bookmarkEnd w:id="7"/>
      <w:r w:rsidRPr="002B6BAB">
        <w:rPr>
          <w:rFonts w:ascii="Arial" w:eastAsia="Times New Roman" w:hAnsi="Arial" w:cs="Arial"/>
          <w:bCs/>
          <w:lang w:val="es-ES_tradnl"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231CA159" w14:textId="77777777" w:rsidR="00013576" w:rsidRPr="002B6BAB" w:rsidRDefault="00013576" w:rsidP="00013576">
      <w:pPr>
        <w:spacing w:after="0" w:line="276" w:lineRule="auto"/>
        <w:ind w:firstLine="709"/>
        <w:jc w:val="both"/>
        <w:rPr>
          <w:rFonts w:ascii="Arial" w:eastAsia="Times New Roman" w:hAnsi="Arial" w:cs="Arial"/>
          <w:bCs/>
          <w:lang w:val="es-ES_tradnl" w:eastAsia="es-CO"/>
        </w:rPr>
      </w:pPr>
    </w:p>
    <w:p w14:paraId="1C668ADB" w14:textId="77777777" w:rsidR="00013576" w:rsidRPr="002B6BAB" w:rsidRDefault="00013576" w:rsidP="00013576">
      <w:pPr>
        <w:spacing w:after="12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24E9BDE4" w14:textId="77777777" w:rsidR="00013576" w:rsidRPr="002B6BAB" w:rsidRDefault="00013576" w:rsidP="00013576">
      <w:pPr>
        <w:spacing w:after="0" w:line="240" w:lineRule="auto"/>
        <w:ind w:left="709"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es-CO"/>
        </w:rPr>
        <w:lastRenderedPageBreak/>
        <w:t>La jurisprudencia de la Corte Constitucional</w:t>
      </w:r>
      <w:r w:rsidRPr="002B6BAB">
        <w:rPr>
          <w:rFonts w:ascii="Arial" w:eastAsia="Times New Roman" w:hAnsi="Arial" w:cs="Arial"/>
          <w:bCs/>
          <w:sz w:val="21"/>
          <w:szCs w:val="21"/>
          <w:vertAlign w:val="superscript"/>
          <w:lang w:val="es-ES_tradnl" w:eastAsia="es-CO"/>
        </w:rPr>
        <w:footnoteReference w:id="8"/>
      </w:r>
      <w:r w:rsidRPr="002B6BAB">
        <w:rPr>
          <w:rFonts w:ascii="Arial" w:eastAsia="Times New Roman" w:hAnsi="Arial" w:cs="Arial"/>
          <w:bCs/>
          <w:sz w:val="21"/>
          <w:szCs w:val="21"/>
          <w:lang w:val="es-ES_tradnl" w:eastAsia="es-CO"/>
        </w:rPr>
        <w:t> y del Consejo de Estado</w:t>
      </w:r>
      <w:r w:rsidRPr="002B6BAB">
        <w:rPr>
          <w:rFonts w:ascii="Arial" w:eastAsia="Times New Roman" w:hAnsi="Arial" w:cs="Arial"/>
          <w:bCs/>
          <w:sz w:val="21"/>
          <w:szCs w:val="21"/>
          <w:vertAlign w:val="superscript"/>
          <w:lang w:val="es-ES_tradnl" w:eastAsia="es-CO"/>
        </w:rPr>
        <w:footnoteReference w:id="9"/>
      </w:r>
      <w:r w:rsidRPr="002B6BAB">
        <w:rPr>
          <w:rFonts w:ascii="Arial" w:eastAsia="Times New Roman" w:hAnsi="Arial" w:cs="Arial"/>
          <w:bCs/>
          <w:sz w:val="21"/>
          <w:szCs w:val="21"/>
          <w:lang w:val="es-ES_tradnl"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2B6BAB">
        <w:rPr>
          <w:rFonts w:ascii="Arial" w:eastAsia="Times New Roman" w:hAnsi="Arial" w:cs="Arial"/>
          <w:bCs/>
          <w:vertAlign w:val="superscript"/>
          <w:lang w:val="es-ES_tradnl" w:eastAsia="es-CO"/>
        </w:rPr>
        <w:footnoteReference w:id="10"/>
      </w:r>
      <w:r w:rsidRPr="002B6BAB">
        <w:rPr>
          <w:rFonts w:ascii="Arial" w:eastAsia="Times New Roman" w:hAnsi="Arial" w:cs="Arial"/>
          <w:bCs/>
          <w:sz w:val="21"/>
          <w:szCs w:val="21"/>
          <w:lang w:val="es-ES_tradnl" w:eastAsia="es-CO"/>
        </w:rPr>
        <w:t>.</w:t>
      </w:r>
    </w:p>
    <w:p w14:paraId="36268E7F" w14:textId="77777777" w:rsidR="00013576" w:rsidRPr="002B6BAB" w:rsidRDefault="00013576" w:rsidP="00013576">
      <w:pPr>
        <w:spacing w:after="0" w:line="276" w:lineRule="auto"/>
        <w:ind w:right="709"/>
        <w:jc w:val="both"/>
        <w:rPr>
          <w:rFonts w:ascii="Arial" w:eastAsia="Times New Roman" w:hAnsi="Arial" w:cs="Arial"/>
          <w:bCs/>
          <w:sz w:val="21"/>
          <w:szCs w:val="21"/>
          <w:lang w:val="es-ES_tradnl" w:eastAsia="es-CO"/>
        </w:rPr>
      </w:pPr>
    </w:p>
    <w:p w14:paraId="00358099" w14:textId="77777777" w:rsidR="00013576" w:rsidRPr="002B6BAB" w:rsidRDefault="00013576" w:rsidP="00013576">
      <w:pPr>
        <w:spacing w:after="120" w:line="276" w:lineRule="auto"/>
        <w:jc w:val="both"/>
        <w:rPr>
          <w:rFonts w:ascii="Arial" w:eastAsia="Arial" w:hAnsi="Arial" w:cs="Arial"/>
          <w:lang w:val="es-ES_tradnl" w:eastAsia="es-ES" w:bidi="es-ES"/>
        </w:rPr>
      </w:pPr>
      <w:r w:rsidRPr="002B6BAB">
        <w:rPr>
          <w:rFonts w:ascii="Arial" w:eastAsia="Times New Roman" w:hAnsi="Arial" w:cs="Arial"/>
          <w:bCs/>
          <w:lang w:val="es-ES_tradnl" w:eastAsia="es-CO"/>
        </w:rPr>
        <w:tab/>
        <w:t>De</w:t>
      </w:r>
      <w:r w:rsidRPr="002B6BAB">
        <w:rPr>
          <w:rFonts w:ascii="Arial" w:eastAsia="Arial" w:hAnsi="Arial" w:cs="Arial"/>
          <w:lang w:val="es-ES_tradnl" w:eastAsia="es-ES" w:bidi="es-ES"/>
        </w:rPr>
        <w:t xml:space="preserve"> conformidad con lo anterior, </w:t>
      </w:r>
      <w:bookmarkStart w:id="8" w:name="_Hlk77236098"/>
      <w:r w:rsidRPr="002B6BAB">
        <w:rPr>
          <w:rFonts w:ascii="Arial" w:eastAsia="Arial" w:hAnsi="Arial" w:cs="Arial"/>
          <w:lang w:val="es-ES_tradnl"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8"/>
    </w:p>
    <w:p w14:paraId="1F93149F" w14:textId="77777777" w:rsidR="00013576" w:rsidRPr="002B6BAB" w:rsidRDefault="00013576" w:rsidP="00013576">
      <w:pPr>
        <w:spacing w:after="120" w:line="276" w:lineRule="auto"/>
        <w:ind w:firstLine="708"/>
        <w:jc w:val="both"/>
        <w:rPr>
          <w:rFonts w:ascii="Arial" w:eastAsia="Calibri" w:hAnsi="Arial" w:cs="Arial"/>
          <w:lang w:val="es-ES_tradnl"/>
        </w:rPr>
      </w:pPr>
      <w:r w:rsidRPr="002B6BAB">
        <w:rPr>
          <w:rFonts w:ascii="Arial" w:eastAsia="Calibri" w:hAnsi="Arial" w:cs="Arial"/>
          <w:lang w:val="es-ES_tradnl"/>
        </w:rPr>
        <w:t xml:space="preserve">Por un lado, el artículo 33 de la Ley 996 de 2005 prohíbe </w:t>
      </w:r>
      <w:r w:rsidRPr="002B6BAB">
        <w:rPr>
          <w:rFonts w:ascii="Arial" w:eastAsia="Calibri" w:hAnsi="Arial" w:cs="Arial"/>
          <w:bCs/>
          <w:lang w:val="es-ES_tradnl"/>
        </w:rPr>
        <w:t xml:space="preserve">«[…] </w:t>
      </w:r>
      <w:r w:rsidRPr="002B6BAB">
        <w:rPr>
          <w:rFonts w:ascii="Arial" w:eastAsia="Calibri" w:hAnsi="Arial" w:cs="Arial"/>
          <w:lang w:val="es-ES_tradnl"/>
        </w:rPr>
        <w:t>la contratación directa por parte de todos los entes del Estado</w:t>
      </w:r>
      <w:r w:rsidRPr="002B6BAB">
        <w:rPr>
          <w:rFonts w:ascii="Arial" w:eastAsia="Calibri" w:hAnsi="Arial" w:cs="Arial"/>
          <w:bCs/>
          <w:lang w:val="es-ES_tradnl"/>
        </w:rPr>
        <w:t>»</w:t>
      </w:r>
      <w:r w:rsidRPr="002B6BAB">
        <w:rPr>
          <w:rFonts w:ascii="Arial" w:eastAsia="Calibri" w:hAnsi="Arial" w:cs="Arial"/>
          <w:lang w:val="es-ES_tradnl"/>
        </w:rPr>
        <w:t xml:space="preserve"> durante los cuatro (4) meses anteriores a las elecciones presidenciales, salvo </w:t>
      </w:r>
      <w:r w:rsidRPr="002B6BAB">
        <w:rPr>
          <w:rFonts w:ascii="Arial" w:eastAsia="Calibri" w:hAnsi="Arial" w:cs="Arial"/>
          <w:bCs/>
          <w:lang w:val="es-ES_tradnl"/>
        </w:rPr>
        <w:t xml:space="preserve">«[…] </w:t>
      </w:r>
      <w:r w:rsidRPr="002B6BAB">
        <w:rPr>
          <w:rFonts w:ascii="Arial" w:eastAsia="Calibri" w:hAnsi="Arial" w:cs="Arial"/>
          <w:lang w:val="es-ES_tradnl"/>
        </w:rPr>
        <w:t xml:space="preserve">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w:t>
      </w:r>
      <w:r w:rsidRPr="002B6BAB">
        <w:rPr>
          <w:rFonts w:ascii="Arial" w:eastAsia="Calibri" w:hAnsi="Arial" w:cs="Arial"/>
          <w:lang w:val="es-ES_tradnl"/>
        </w:rPr>
        <w:lastRenderedPageBreak/>
        <w:t>sido objeto de atentados, acciones terroristas, desastres naturales o casos de fuerza mayor, y los que deban realizar las entidades sanitarias y hospitalarias</w:t>
      </w:r>
      <w:r w:rsidRPr="002B6BAB">
        <w:rPr>
          <w:rFonts w:ascii="Arial" w:eastAsia="Calibri" w:hAnsi="Arial" w:cs="Arial"/>
          <w:bCs/>
          <w:lang w:val="es-ES_tradnl"/>
        </w:rPr>
        <w:t>»</w:t>
      </w:r>
      <w:r w:rsidRPr="002B6BAB">
        <w:rPr>
          <w:rFonts w:ascii="Arial" w:eastAsia="Calibri" w:hAnsi="Arial" w:cs="Arial"/>
          <w:bCs/>
          <w:vertAlign w:val="superscript"/>
          <w:lang w:val="es-ES_tradnl"/>
        </w:rPr>
        <w:footnoteReference w:id="11"/>
      </w:r>
      <w:r w:rsidRPr="002B6BAB">
        <w:rPr>
          <w:rFonts w:ascii="Arial" w:eastAsia="Calibri" w:hAnsi="Arial" w:cs="Arial"/>
          <w:lang w:val="es-ES_tradnl"/>
        </w:rPr>
        <w:t>.</w:t>
      </w:r>
    </w:p>
    <w:p w14:paraId="688AE397" w14:textId="77777777" w:rsidR="00013576" w:rsidRPr="002B6BAB" w:rsidRDefault="00013576" w:rsidP="00013576">
      <w:pPr>
        <w:widowControl w:val="0"/>
        <w:autoSpaceDE w:val="0"/>
        <w:autoSpaceDN w:val="0"/>
        <w:spacing w:after="0" w:line="276" w:lineRule="auto"/>
        <w:ind w:right="113" w:firstLine="708"/>
        <w:jc w:val="both"/>
        <w:rPr>
          <w:rFonts w:ascii="Arial" w:eastAsia="Arial" w:hAnsi="Arial" w:cs="Arial"/>
          <w:lang w:val="es-ES_tradnl" w:eastAsia="es-ES" w:bidi="es-ES"/>
        </w:rPr>
      </w:pPr>
      <w:r w:rsidRPr="002B6BAB">
        <w:rPr>
          <w:rFonts w:ascii="Arial" w:eastAsia="Calibri" w:hAnsi="Arial" w:cs="Arial"/>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2B6BAB">
        <w:rPr>
          <w:rFonts w:ascii="Arial" w:eastAsia="Calibri" w:hAnsi="Arial" w:cs="Arial"/>
          <w:bCs/>
          <w:lang w:val="es-ES_tradnl"/>
        </w:rPr>
        <w:t xml:space="preserve">«[…] </w:t>
      </w:r>
      <w:r w:rsidRPr="002B6BAB">
        <w:rPr>
          <w:rFonts w:ascii="Arial" w:eastAsia="Calibri" w:hAnsi="Arial" w:cs="Arial"/>
          <w:lang w:val="es-ES_tradnl"/>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B6BAB">
        <w:rPr>
          <w:rFonts w:ascii="Arial" w:eastAsia="Calibri" w:hAnsi="Arial" w:cs="Arial"/>
          <w:bCs/>
          <w:sz w:val="19"/>
          <w:szCs w:val="19"/>
          <w:lang w:val="es-ES_tradnl"/>
        </w:rPr>
        <w:t>»</w:t>
      </w:r>
      <w:r w:rsidRPr="002B6BAB">
        <w:rPr>
          <w:rFonts w:ascii="Arial" w:eastAsia="Calibri" w:hAnsi="Arial" w:cs="Arial"/>
          <w:bCs/>
          <w:sz w:val="19"/>
          <w:szCs w:val="19"/>
          <w:vertAlign w:val="superscript"/>
          <w:lang w:val="es-ES_tradnl"/>
        </w:rPr>
        <w:footnoteReference w:id="12"/>
      </w:r>
      <w:r w:rsidRPr="002B6BAB">
        <w:rPr>
          <w:rFonts w:ascii="Arial" w:eastAsia="Calibri" w:hAnsi="Arial" w:cs="Arial"/>
          <w:lang w:val="es-ES_tradnl"/>
        </w:rPr>
        <w:t>.</w:t>
      </w:r>
      <w:r w:rsidRPr="002B6BAB">
        <w:rPr>
          <w:rFonts w:ascii="Arial" w:eastAsia="Arial" w:hAnsi="Arial" w:cs="Arial"/>
          <w:lang w:val="es-ES_tradnl"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3349F930" w14:textId="77777777" w:rsidR="00013576" w:rsidRPr="002B6BAB" w:rsidRDefault="00013576" w:rsidP="00013576">
      <w:pPr>
        <w:widowControl w:val="0"/>
        <w:autoSpaceDE w:val="0"/>
        <w:autoSpaceDN w:val="0"/>
        <w:spacing w:after="0" w:line="276" w:lineRule="auto"/>
        <w:ind w:left="805" w:right="812"/>
        <w:jc w:val="both"/>
        <w:rPr>
          <w:rFonts w:ascii="Arial" w:eastAsia="Arial" w:hAnsi="Arial" w:cs="Arial"/>
          <w:lang w:val="es-ES_tradnl" w:eastAsia="es-ES" w:bidi="es-ES"/>
        </w:rPr>
      </w:pPr>
    </w:p>
    <w:p w14:paraId="37E97E67" w14:textId="77777777" w:rsidR="00013576" w:rsidRPr="002B6BAB" w:rsidRDefault="00013576" w:rsidP="00013576">
      <w:pPr>
        <w:widowControl w:val="0"/>
        <w:autoSpaceDE w:val="0"/>
        <w:autoSpaceDN w:val="0"/>
        <w:spacing w:after="0" w:line="240" w:lineRule="auto"/>
        <w:ind w:left="709" w:right="709"/>
        <w:jc w:val="both"/>
        <w:rPr>
          <w:rFonts w:ascii="Arial" w:eastAsia="Arial" w:hAnsi="Arial" w:cs="Arial"/>
          <w:sz w:val="21"/>
          <w:szCs w:val="21"/>
          <w:lang w:val="es-ES_tradnl" w:eastAsia="es-ES" w:bidi="es-ES"/>
        </w:rPr>
      </w:pPr>
      <w:r w:rsidRPr="002B6BAB">
        <w:rPr>
          <w:rFonts w:ascii="Arial" w:eastAsia="Arial" w:hAnsi="Arial" w:cs="Arial"/>
          <w:sz w:val="21"/>
          <w:szCs w:val="21"/>
          <w:lang w:val="es-ES_tradnl"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11" w:name="_Hlk76109421"/>
      <w:r w:rsidRPr="002B6BAB">
        <w:rPr>
          <w:rFonts w:ascii="Arial" w:eastAsia="Arial" w:hAnsi="Arial" w:cs="Arial"/>
          <w:sz w:val="21"/>
          <w:szCs w:val="21"/>
          <w:lang w:val="es-ES_tradnl" w:eastAsia="es-ES" w:bidi="es-ES"/>
        </w:rPr>
        <w:t>se integran parcialmente</w:t>
      </w:r>
      <w:bookmarkEnd w:id="11"/>
      <w:r w:rsidRPr="002B6BAB">
        <w:rPr>
          <w:rFonts w:ascii="Arial" w:eastAsia="Arial" w:hAnsi="Arial" w:cs="Arial"/>
          <w:sz w:val="21"/>
          <w:szCs w:val="21"/>
          <w:lang w:val="es-ES_tradnl"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2B6BAB">
        <w:rPr>
          <w:rFonts w:ascii="Arial" w:eastAsia="Arial" w:hAnsi="Arial" w:cs="Arial"/>
          <w:bCs/>
          <w:sz w:val="21"/>
          <w:szCs w:val="21"/>
          <w:lang w:val="es-ES_tradnl" w:eastAsia="es-ES" w:bidi="es-ES"/>
        </w:rPr>
        <w:t xml:space="preserve">En cambio, para </w:t>
      </w:r>
      <w:r w:rsidRPr="002B6BAB">
        <w:rPr>
          <w:rFonts w:ascii="Arial" w:eastAsia="Arial" w:hAnsi="Arial" w:cs="Arial"/>
          <w:bCs/>
          <w:sz w:val="21"/>
          <w:szCs w:val="21"/>
          <w:lang w:val="es-ES_tradnl" w:eastAsia="es-ES" w:bidi="es-ES"/>
        </w:rPr>
        <w:lastRenderedPageBreak/>
        <w:t>elecciones en general, excluyendo las correspondientes a Presidente de la República, a las autoridades territoriales allí mencionadas sólo se aplican las restricciones contenidas en el parágrafo del artículo 38</w:t>
      </w:r>
      <w:r w:rsidRPr="002B6BAB">
        <w:rPr>
          <w:rFonts w:ascii="Arial" w:eastAsia="Arial" w:hAnsi="Arial" w:cs="Arial"/>
          <w:sz w:val="21"/>
          <w:szCs w:val="21"/>
          <w:lang w:val="es-ES_tradnl" w:eastAsia="es-ES" w:bidi="es-ES"/>
        </w:rPr>
        <w:t>.</w:t>
      </w:r>
      <w:r w:rsidRPr="002B6BAB">
        <w:rPr>
          <w:rFonts w:ascii="Arial" w:eastAsia="Arial" w:hAnsi="Arial" w:cs="Arial"/>
          <w:sz w:val="21"/>
          <w:szCs w:val="21"/>
          <w:vertAlign w:val="superscript"/>
          <w:lang w:val="es-ES_tradnl" w:eastAsia="es-ES" w:bidi="es-ES"/>
        </w:rPr>
        <w:footnoteReference w:id="13"/>
      </w:r>
    </w:p>
    <w:p w14:paraId="13A318B3" w14:textId="77777777" w:rsidR="00013576" w:rsidRPr="002B6BAB" w:rsidRDefault="00013576" w:rsidP="00013576">
      <w:pPr>
        <w:widowControl w:val="0"/>
        <w:autoSpaceDE w:val="0"/>
        <w:autoSpaceDN w:val="0"/>
        <w:spacing w:before="8" w:after="0" w:line="276" w:lineRule="auto"/>
        <w:rPr>
          <w:rFonts w:ascii="Arial" w:eastAsia="Arial" w:hAnsi="Arial" w:cs="Arial"/>
          <w:lang w:val="es-ES_tradnl" w:eastAsia="es-ES" w:bidi="es-ES"/>
        </w:rPr>
      </w:pPr>
    </w:p>
    <w:p w14:paraId="72F7585A" w14:textId="77777777" w:rsidR="00013576" w:rsidRPr="002B6BAB" w:rsidRDefault="00013576" w:rsidP="00013576">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t xml:space="preserve">De conformidad con lo anterior, </w:t>
      </w:r>
      <w:bookmarkStart w:id="12" w:name="_Hlk77236420"/>
      <w:bookmarkStart w:id="13" w:name="_Hlk78818435"/>
      <w:bookmarkStart w:id="14" w:name="_Hlk75780333"/>
      <w:r w:rsidRPr="002B6BAB">
        <w:rPr>
          <w:rFonts w:ascii="Arial" w:eastAsia="Arial" w:hAnsi="Arial" w:cs="Arial"/>
          <w:lang w:val="es-ES_tradnl" w:eastAsia="es-ES" w:bidi="es-ES"/>
        </w:rPr>
        <w:t xml:space="preserve">la Ley 996 de 2005 establece dos (2) tipos de restricciones en materia de contratación, las cuales coinciden parcialmente. </w:t>
      </w:r>
      <w:r w:rsidRPr="002B6BAB">
        <w:rPr>
          <w:rFonts w:ascii="Arial" w:eastAsia="Arial" w:hAnsi="Arial" w:cs="Arial"/>
          <w:i/>
          <w:iCs/>
          <w:lang w:val="es-ES_tradnl" w:eastAsia="es-ES" w:bidi="es-ES"/>
        </w:rPr>
        <w:t>En primer lugar</w:t>
      </w:r>
      <w:r w:rsidRPr="002B6BAB">
        <w:rPr>
          <w:rFonts w:ascii="Arial" w:eastAsia="Arial" w:hAnsi="Arial" w:cs="Arial"/>
          <w:lang w:val="es-ES_tradnl"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2B6BAB">
        <w:rPr>
          <w:rFonts w:ascii="Arial" w:eastAsia="Arial" w:hAnsi="Arial" w:cs="Arial"/>
          <w:i/>
          <w:iCs/>
          <w:lang w:val="es-ES_tradnl" w:eastAsia="es-ES" w:bidi="es-ES"/>
        </w:rPr>
        <w:t>En segundo lugar</w:t>
      </w:r>
      <w:r w:rsidRPr="002B6BAB">
        <w:rPr>
          <w:rFonts w:ascii="Arial" w:eastAsia="Arial" w:hAnsi="Arial" w:cs="Arial"/>
          <w:lang w:val="es-ES_tradnl"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2"/>
    </w:p>
    <w:bookmarkEnd w:id="13"/>
    <w:p w14:paraId="16055FEC" w14:textId="77777777" w:rsidR="00013576" w:rsidRPr="002B6BAB" w:rsidRDefault="00013576" w:rsidP="00013576">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4"/>
    <w:p w14:paraId="673D9183" w14:textId="77777777" w:rsidR="00013576" w:rsidRDefault="00013576" w:rsidP="00013576">
      <w:pPr>
        <w:spacing w:after="120" w:line="276" w:lineRule="auto"/>
        <w:ind w:firstLine="709"/>
        <w:jc w:val="both"/>
        <w:rPr>
          <w:rFonts w:ascii="Arial" w:eastAsia="Arial" w:hAnsi="Arial" w:cs="Arial"/>
          <w:lang w:val="es-ES_tradnl" w:eastAsia="es-ES" w:bidi="es-ES"/>
        </w:rPr>
      </w:pPr>
      <w:r w:rsidRPr="002B6BAB">
        <w:rPr>
          <w:rFonts w:ascii="Arial" w:eastAsia="Arial" w:hAnsi="Arial" w:cs="Arial"/>
          <w:lang w:val="es-ES_tradnl" w:eastAsia="es-ES" w:bidi="es-ES"/>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w:t>
      </w:r>
      <w:r>
        <w:rPr>
          <w:rFonts w:ascii="Arial" w:eastAsia="Arial" w:hAnsi="Arial" w:cs="Arial"/>
          <w:lang w:val="es-ES_tradnl" w:eastAsia="es-ES" w:bidi="es-ES"/>
        </w:rPr>
        <w:t xml:space="preserve">establecida </w:t>
      </w:r>
      <w:r w:rsidRPr="002B6BAB">
        <w:rPr>
          <w:rFonts w:ascii="Arial" w:eastAsia="Arial" w:hAnsi="Arial" w:cs="Arial"/>
          <w:lang w:val="es-ES_tradnl" w:eastAsia="es-ES" w:bidi="es-ES"/>
        </w:rPr>
        <w:t xml:space="preserve">por el Acto Legislativo 2 de 2015, excepto para el Vicepresidente que no haya ejercido la presidencia o que la haya ejercido por un tiempo inferior a tres (3) meses durante </w:t>
      </w:r>
      <w:r w:rsidRPr="002B6BAB">
        <w:rPr>
          <w:rFonts w:ascii="Arial" w:eastAsia="Arial" w:hAnsi="Arial" w:cs="Arial"/>
          <w:lang w:val="es-ES_tradnl" w:eastAsia="es-ES" w:bidi="es-ES"/>
        </w:rPr>
        <w:lastRenderedPageBreak/>
        <w:t xml:space="preserve">el respectivo cuatrienio, en forma continua o discontinua, conforme al artículo 197 de la Constitución Política.  </w:t>
      </w:r>
    </w:p>
    <w:p w14:paraId="400431F2" w14:textId="77777777" w:rsidR="00013576" w:rsidRPr="006144C5" w:rsidRDefault="00013576" w:rsidP="00013576">
      <w:pPr>
        <w:spacing w:after="0" w:line="276" w:lineRule="auto"/>
        <w:jc w:val="both"/>
        <w:rPr>
          <w:rFonts w:ascii="Arial" w:eastAsia="Times New Roman" w:hAnsi="Arial" w:cs="Arial"/>
          <w:b/>
          <w:bCs/>
          <w:lang w:val="es-ES_tradnl" w:eastAsia="es-CO"/>
        </w:rPr>
      </w:pPr>
      <w:bookmarkStart w:id="15" w:name="_Hlk75784645"/>
      <w:r w:rsidRPr="006144C5">
        <w:rPr>
          <w:rFonts w:ascii="Arial" w:eastAsia="Calibri" w:hAnsi="Arial" w:cs="Arial"/>
          <w:b/>
          <w:bCs/>
          <w:lang w:val="es-ES_tradnl"/>
        </w:rPr>
        <w:t xml:space="preserve">2.3. </w:t>
      </w:r>
      <w:r w:rsidRPr="006144C5">
        <w:rPr>
          <w:rFonts w:ascii="Arial" w:eastAsia="Times New Roman" w:hAnsi="Arial" w:cs="Arial"/>
          <w:b/>
          <w:bCs/>
          <w:lang w:val="es-ES_tradnl" w:eastAsia="es-CO"/>
        </w:rPr>
        <w:t xml:space="preserve">Restricciones para la celebración de contratos y convenios interadministrativos en los comicios de cargos de elección popular: prohibición del parágrafo del artículo 38 de la Ley 996 de 2005 </w:t>
      </w:r>
    </w:p>
    <w:p w14:paraId="7BFCE534" w14:textId="77777777" w:rsidR="00013576" w:rsidRPr="006144C5" w:rsidRDefault="00013576" w:rsidP="00013576">
      <w:pPr>
        <w:spacing w:after="0" w:line="276" w:lineRule="auto"/>
        <w:jc w:val="both"/>
        <w:rPr>
          <w:rFonts w:ascii="Arial" w:eastAsia="Calibri" w:hAnsi="Arial" w:cs="Arial"/>
          <w:b/>
          <w:bCs/>
          <w:lang w:val="es-ES_tradnl"/>
        </w:rPr>
      </w:pPr>
    </w:p>
    <w:p w14:paraId="2FF2095B" w14:textId="77777777" w:rsidR="00013576" w:rsidRPr="006144C5" w:rsidRDefault="00013576" w:rsidP="00013576">
      <w:pPr>
        <w:tabs>
          <w:tab w:val="left" w:pos="426"/>
        </w:tabs>
        <w:spacing w:after="120" w:line="276" w:lineRule="auto"/>
        <w:jc w:val="both"/>
        <w:rPr>
          <w:rFonts w:ascii="Arial" w:eastAsia="Calibri" w:hAnsi="Arial" w:cs="Arial"/>
          <w:bCs/>
          <w:lang w:val="es-ES_tradnl"/>
        </w:rPr>
      </w:pPr>
      <w:r w:rsidRPr="006144C5">
        <w:rPr>
          <w:rFonts w:ascii="Arial" w:eastAsia="Calibri" w:hAnsi="Arial" w:cs="Arial"/>
          <w:bCs/>
          <w:lang w:val="es-ES_tradnl"/>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6144C5">
        <w:rPr>
          <w:rFonts w:ascii="Arial" w:eastAsia="Times New Roman" w:hAnsi="Arial" w:cs="Arial"/>
          <w:bCs/>
          <w:iCs/>
          <w:lang w:val="es-ES_tradnl"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6144C5">
        <w:rPr>
          <w:rFonts w:ascii="Arial" w:eastAsia="Times New Roman" w:hAnsi="Arial" w:cs="Arial"/>
          <w:bCs/>
          <w:iCs/>
          <w:vertAlign w:val="superscript"/>
          <w:lang w:val="es-ES_tradnl" w:eastAsia="x-none"/>
        </w:rPr>
        <w:footnoteReference w:id="14"/>
      </w:r>
      <w:r w:rsidRPr="006144C5">
        <w:rPr>
          <w:rFonts w:ascii="Arial" w:eastAsia="Times New Roman" w:hAnsi="Arial" w:cs="Arial"/>
          <w:bCs/>
          <w:iCs/>
          <w:lang w:val="es-ES_tradnl" w:eastAsia="x-none"/>
        </w:rPr>
        <w:t>.</w:t>
      </w:r>
      <w:r w:rsidRPr="006144C5">
        <w:rPr>
          <w:rFonts w:ascii="Arial" w:eastAsia="Calibri" w:hAnsi="Arial" w:cs="Arial"/>
          <w:sz w:val="24"/>
          <w:lang w:val="es-ES_tradnl"/>
        </w:rPr>
        <w:t xml:space="preserve"> </w:t>
      </w:r>
    </w:p>
    <w:p w14:paraId="735DBF7F" w14:textId="77777777" w:rsidR="00013576" w:rsidRPr="006144C5" w:rsidRDefault="00013576" w:rsidP="00013576">
      <w:pPr>
        <w:widowControl w:val="0"/>
        <w:autoSpaceDE w:val="0"/>
        <w:autoSpaceDN w:val="0"/>
        <w:spacing w:after="120" w:line="276" w:lineRule="auto"/>
        <w:ind w:firstLine="707"/>
        <w:jc w:val="both"/>
        <w:rPr>
          <w:rFonts w:ascii="Arial" w:eastAsia="Arial" w:hAnsi="Arial" w:cs="Arial"/>
          <w:lang w:val="es-ES_tradnl" w:eastAsia="es-ES" w:bidi="es-ES"/>
        </w:rPr>
      </w:pPr>
      <w:r w:rsidRPr="006144C5">
        <w:rPr>
          <w:rFonts w:ascii="Arial" w:eastAsia="Calibri" w:hAnsi="Arial" w:cs="Arial"/>
          <w:bCs/>
          <w:lang w:val="es-ES_tradnl" w:eastAsia="es-ES" w:bidi="es-ES"/>
        </w:rPr>
        <w:t xml:space="preserve">Ahora bien, </w:t>
      </w:r>
      <w:bookmarkStart w:id="16" w:name="_Hlk78820161"/>
      <w:r w:rsidRPr="006144C5">
        <w:rPr>
          <w:rFonts w:ascii="Arial" w:eastAsia="Calibri" w:hAnsi="Arial" w:cs="Arial"/>
          <w:bCs/>
          <w:lang w:val="es-ES_tradnl" w:eastAsia="es-ES" w:bidi="es-ES"/>
        </w:rPr>
        <w:t xml:space="preserve">para determinar el alcance de la prohibición consagrada por la Ley de Garantías Electorales, conviene precisar la tipología de convenios o contratos interadministrativos. </w:t>
      </w:r>
      <w:r w:rsidRPr="006144C5">
        <w:rPr>
          <w:rFonts w:ascii="Arial" w:eastAsia="Arial" w:hAnsi="Arial" w:cs="Arial"/>
          <w:lang w:val="es-ES_tradnl" w:eastAsia="es-ES" w:bidi="es-ES"/>
        </w:rPr>
        <w:t>Aunque la ley no la definió ni desarrolló, el Decreto 1082 de 2015 califica a los convenios o contratos interadministrativos como aquella contratación entre entidades estatales</w:t>
      </w:r>
      <w:r w:rsidRPr="006144C5">
        <w:rPr>
          <w:rFonts w:ascii="Arial" w:eastAsia="Arial" w:hAnsi="Arial" w:cs="Arial"/>
          <w:vertAlign w:val="superscript"/>
          <w:lang w:val="es-ES_tradnl" w:eastAsia="es-ES" w:bidi="es-ES"/>
        </w:rPr>
        <w:footnoteReference w:id="15"/>
      </w:r>
      <w:r w:rsidRPr="006144C5">
        <w:rPr>
          <w:rFonts w:ascii="Arial" w:eastAsia="Arial" w:hAnsi="Arial" w:cs="Arial"/>
          <w:lang w:val="es-ES_tradnl"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6144C5">
        <w:rPr>
          <w:rFonts w:ascii="Arial" w:eastAsia="Arial" w:hAnsi="Arial" w:cs="Arial"/>
          <w:spacing w:val="-6"/>
          <w:lang w:val="es-ES_tradnl" w:eastAsia="es-ES" w:bidi="es-ES"/>
        </w:rPr>
        <w:t xml:space="preserve"> </w:t>
      </w:r>
      <w:r w:rsidRPr="006144C5">
        <w:rPr>
          <w:rFonts w:ascii="Arial" w:eastAsia="Arial" w:hAnsi="Arial" w:cs="Arial"/>
          <w:lang w:val="es-ES_tradnl" w:eastAsia="es-ES" w:bidi="es-ES"/>
        </w:rPr>
        <w:t>estatales.</w:t>
      </w:r>
    </w:p>
    <w:p w14:paraId="6E886A5D" w14:textId="77777777" w:rsidR="00013576" w:rsidRPr="006144C5" w:rsidRDefault="00013576" w:rsidP="00013576">
      <w:pPr>
        <w:widowControl w:val="0"/>
        <w:autoSpaceDE w:val="0"/>
        <w:autoSpaceDN w:val="0"/>
        <w:spacing w:before="117" w:after="120" w:line="276" w:lineRule="auto"/>
        <w:ind w:firstLine="707"/>
        <w:jc w:val="both"/>
        <w:rPr>
          <w:rFonts w:ascii="Arial" w:eastAsia="Arial" w:hAnsi="Arial" w:cs="Arial"/>
          <w:lang w:val="es-ES_tradnl" w:eastAsia="es-ES" w:bidi="es-ES"/>
        </w:rPr>
      </w:pPr>
      <w:bookmarkStart w:id="17" w:name="_Hlk78820654"/>
      <w:bookmarkEnd w:id="16"/>
      <w:r w:rsidRPr="006144C5">
        <w:rPr>
          <w:rFonts w:ascii="Arial" w:eastAsia="Arial" w:hAnsi="Arial" w:cs="Arial"/>
          <w:lang w:val="es-ES_tradnl" w:eastAsia="es-ES" w:bidi="es-ES"/>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w:t>
      </w:r>
      <w:r w:rsidRPr="006144C5">
        <w:rPr>
          <w:rFonts w:ascii="Arial" w:eastAsia="Arial" w:hAnsi="Arial" w:cs="Arial"/>
          <w:lang w:val="es-ES_tradnl" w:eastAsia="es-ES" w:bidi="es-ES"/>
        </w:rPr>
        <w:lastRenderedPageBreak/>
        <w:t>esta clase de convenios con una entidad estatal de régimen especial y no por ello dejará de ser un contrato o convenio interadministrativo.</w:t>
      </w:r>
    </w:p>
    <w:bookmarkEnd w:id="17"/>
    <w:p w14:paraId="02655C1D" w14:textId="77777777" w:rsidR="00013576" w:rsidRPr="006144C5" w:rsidRDefault="00013576" w:rsidP="00013576">
      <w:pPr>
        <w:widowControl w:val="0"/>
        <w:autoSpaceDE w:val="0"/>
        <w:autoSpaceDN w:val="0"/>
        <w:spacing w:before="121" w:after="120" w:line="276" w:lineRule="auto"/>
        <w:ind w:firstLine="707"/>
        <w:jc w:val="both"/>
        <w:rPr>
          <w:rFonts w:ascii="Arial" w:eastAsia="Arial" w:hAnsi="Arial" w:cs="Arial"/>
          <w:lang w:val="es-ES_tradnl" w:eastAsia="es-ES" w:bidi="es-ES"/>
        </w:rPr>
      </w:pPr>
      <w:r w:rsidRPr="006144C5">
        <w:rPr>
          <w:rFonts w:ascii="Arial" w:eastAsia="Arial" w:hAnsi="Arial" w:cs="Arial"/>
          <w:lang w:val="es-ES_tradnl" w:eastAsia="es-ES" w:bidi="es-ES"/>
        </w:rPr>
        <w:t>Estos tipos contractuales no están determinados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144C5">
        <w:rPr>
          <w:rFonts w:ascii="Arial" w:eastAsia="Arial" w:hAnsi="Arial" w:cs="Arial"/>
          <w:vertAlign w:val="superscript"/>
          <w:lang w:val="es-ES_tradnl" w:eastAsia="es-ES" w:bidi="es-ES"/>
        </w:rPr>
        <w:footnoteReference w:id="16"/>
      </w:r>
      <w:r w:rsidRPr="006144C5">
        <w:rPr>
          <w:rFonts w:ascii="Arial" w:eastAsia="Arial" w:hAnsi="Arial" w:cs="Arial"/>
          <w:lang w:val="es-ES_tradnl" w:eastAsia="es-ES" w:bidi="es-ES"/>
        </w:rPr>
        <w:t>. Nótese que, en este caso, lo que cambia es la modalidad de selección y no la naturaleza de contrato</w:t>
      </w:r>
      <w:r w:rsidRPr="006144C5">
        <w:rPr>
          <w:rFonts w:ascii="Arial" w:eastAsia="Arial" w:hAnsi="Arial" w:cs="Arial"/>
          <w:spacing w:val="-18"/>
          <w:lang w:val="es-ES_tradnl" w:eastAsia="es-ES" w:bidi="es-ES"/>
        </w:rPr>
        <w:t xml:space="preserve"> </w:t>
      </w:r>
      <w:r w:rsidRPr="006144C5">
        <w:rPr>
          <w:rFonts w:ascii="Arial" w:eastAsia="Arial" w:hAnsi="Arial" w:cs="Arial"/>
          <w:lang w:val="es-ES_tradnl" w:eastAsia="es-ES" w:bidi="es-ES"/>
        </w:rPr>
        <w:t>interadministrativo.</w:t>
      </w:r>
    </w:p>
    <w:p w14:paraId="058B6E6D" w14:textId="77777777" w:rsidR="00013576" w:rsidRPr="006144C5" w:rsidRDefault="00013576" w:rsidP="00013576">
      <w:pPr>
        <w:widowControl w:val="0"/>
        <w:autoSpaceDE w:val="0"/>
        <w:autoSpaceDN w:val="0"/>
        <w:spacing w:before="114" w:after="0" w:line="276" w:lineRule="auto"/>
        <w:ind w:firstLine="707"/>
        <w:jc w:val="both"/>
        <w:rPr>
          <w:rFonts w:ascii="Arial" w:eastAsia="Arial" w:hAnsi="Arial" w:cs="Arial"/>
          <w:lang w:val="es-ES_tradnl" w:eastAsia="es-ES" w:bidi="es-ES"/>
        </w:rPr>
      </w:pPr>
      <w:r w:rsidRPr="006144C5">
        <w:rPr>
          <w:rFonts w:ascii="Arial" w:eastAsia="Arial" w:hAnsi="Arial" w:cs="Arial"/>
          <w:lang w:val="es-ES_tradnl"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6144C5">
        <w:rPr>
          <w:rFonts w:ascii="Arial" w:eastAsia="Arial" w:hAnsi="Arial" w:cs="Arial"/>
          <w:spacing w:val="-13"/>
          <w:lang w:val="es-ES_tradnl" w:eastAsia="es-ES" w:bidi="es-ES"/>
        </w:rPr>
        <w:t xml:space="preserve"> </w:t>
      </w:r>
      <w:r w:rsidRPr="006144C5">
        <w:rPr>
          <w:rFonts w:ascii="Arial" w:eastAsia="Arial" w:hAnsi="Arial" w:cs="Arial"/>
          <w:lang w:val="es-ES_tradnl" w:eastAsia="es-ES" w:bidi="es-ES"/>
        </w:rPr>
        <w:t>que:</w:t>
      </w:r>
    </w:p>
    <w:p w14:paraId="5117ED51" w14:textId="77777777" w:rsidR="00013576" w:rsidRPr="006144C5" w:rsidRDefault="00013576" w:rsidP="00013576">
      <w:pPr>
        <w:widowControl w:val="0"/>
        <w:autoSpaceDE w:val="0"/>
        <w:autoSpaceDN w:val="0"/>
        <w:spacing w:after="0" w:line="276" w:lineRule="auto"/>
        <w:ind w:firstLine="707"/>
        <w:jc w:val="both"/>
        <w:rPr>
          <w:rFonts w:ascii="Arial" w:eastAsia="Arial" w:hAnsi="Arial" w:cs="Arial"/>
          <w:lang w:val="es-ES_tradnl" w:eastAsia="es-ES" w:bidi="es-ES"/>
        </w:rPr>
      </w:pPr>
    </w:p>
    <w:p w14:paraId="1DF82338" w14:textId="77777777" w:rsidR="00013576" w:rsidRPr="006144C5" w:rsidRDefault="00013576" w:rsidP="00013576">
      <w:pPr>
        <w:spacing w:after="0" w:line="240" w:lineRule="auto"/>
        <w:ind w:left="709" w:right="709"/>
        <w:jc w:val="both"/>
        <w:rPr>
          <w:rFonts w:ascii="Arial" w:eastAsia="Calibri" w:hAnsi="Arial" w:cs="Arial"/>
          <w:sz w:val="21"/>
          <w:lang w:val="es-ES_tradnl"/>
        </w:rPr>
      </w:pPr>
      <w:r w:rsidRPr="006144C5">
        <w:rPr>
          <w:rFonts w:ascii="Arial" w:eastAsia="Calibri" w:hAnsi="Arial" w:cs="Arial"/>
          <w:sz w:val="21"/>
          <w:lang w:val="es-ES_tradnl"/>
        </w:rPr>
        <w:t xml:space="preserve">[…]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w:t>
      </w:r>
      <w:r w:rsidRPr="006144C5">
        <w:rPr>
          <w:rFonts w:ascii="Arial" w:eastAsia="Calibri" w:hAnsi="Arial" w:cs="Arial"/>
          <w:sz w:val="21"/>
          <w:lang w:val="es-ES_tradnl"/>
        </w:rPr>
        <w:lastRenderedPageBreak/>
        <w:t>(viii) la acción mediante la cual se deben ventilar las diferencias que sobre el particular surjan es la de controversias contractuales</w:t>
      </w:r>
      <w:r w:rsidRPr="006144C5">
        <w:rPr>
          <w:rFonts w:ascii="Arial" w:eastAsia="Calibri" w:hAnsi="Arial" w:cs="Arial"/>
          <w:sz w:val="21"/>
          <w:vertAlign w:val="superscript"/>
          <w:lang w:val="es-ES_tradnl"/>
        </w:rPr>
        <w:footnoteReference w:id="17"/>
      </w:r>
      <w:r w:rsidRPr="006144C5">
        <w:rPr>
          <w:rFonts w:ascii="Arial" w:eastAsia="Calibri" w:hAnsi="Arial" w:cs="Arial"/>
          <w:sz w:val="21"/>
          <w:lang w:val="es-ES_tradnl"/>
        </w:rPr>
        <w:t>.</w:t>
      </w:r>
    </w:p>
    <w:p w14:paraId="536BEDFD" w14:textId="77777777" w:rsidR="00013576" w:rsidRPr="006144C5" w:rsidRDefault="00013576" w:rsidP="00013576">
      <w:pPr>
        <w:spacing w:after="0" w:line="276" w:lineRule="auto"/>
        <w:ind w:left="709" w:right="709"/>
        <w:jc w:val="both"/>
        <w:rPr>
          <w:rFonts w:ascii="Arial" w:eastAsia="Calibri" w:hAnsi="Arial" w:cs="Arial"/>
          <w:lang w:val="es-ES_tradnl"/>
        </w:rPr>
      </w:pPr>
    </w:p>
    <w:p w14:paraId="6E95EA29" w14:textId="77777777" w:rsidR="00013576" w:rsidRPr="006144C5" w:rsidRDefault="00013576" w:rsidP="00013576">
      <w:pPr>
        <w:widowControl w:val="0"/>
        <w:autoSpaceDE w:val="0"/>
        <w:autoSpaceDN w:val="0"/>
        <w:spacing w:after="120" w:line="276" w:lineRule="auto"/>
        <w:ind w:firstLine="707"/>
        <w:jc w:val="both"/>
        <w:rPr>
          <w:rFonts w:ascii="Arial" w:eastAsia="Arial" w:hAnsi="Arial" w:cs="Arial"/>
          <w:lang w:val="es-ES_tradnl" w:eastAsia="es-ES" w:bidi="es-ES"/>
        </w:rPr>
      </w:pPr>
      <w:r w:rsidRPr="006144C5">
        <w:rPr>
          <w:rFonts w:ascii="Arial" w:eastAsia="Arial" w:hAnsi="Arial" w:cs="Arial"/>
          <w:lang w:val="es-ES_tradnl" w:eastAsia="es-ES" w:bidi="es-ES"/>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08450C47" w14:textId="77777777" w:rsidR="00013576" w:rsidRPr="006144C5" w:rsidRDefault="00013576" w:rsidP="00013576">
      <w:pPr>
        <w:widowControl w:val="0"/>
        <w:autoSpaceDE w:val="0"/>
        <w:autoSpaceDN w:val="0"/>
        <w:spacing w:before="119" w:after="120" w:line="276" w:lineRule="auto"/>
        <w:ind w:firstLine="707"/>
        <w:jc w:val="both"/>
        <w:rPr>
          <w:rFonts w:ascii="Arial" w:eastAsia="Arial" w:hAnsi="Arial" w:cs="Arial"/>
          <w:lang w:val="es-ES_tradnl" w:eastAsia="es-ES" w:bidi="es-ES"/>
        </w:rPr>
      </w:pPr>
      <w:r w:rsidRPr="006144C5">
        <w:rPr>
          <w:rFonts w:ascii="Arial" w:eastAsia="Arial" w:hAnsi="Arial" w:cs="Arial"/>
          <w:lang w:val="es-ES_tradnl"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6144C5">
        <w:rPr>
          <w:rFonts w:ascii="Arial" w:eastAsia="Arial" w:hAnsi="Arial" w:cs="Arial"/>
          <w:spacing w:val="-3"/>
          <w:lang w:val="es-ES_tradnl" w:eastAsia="es-ES" w:bidi="es-ES"/>
        </w:rPr>
        <w:t xml:space="preserve"> </w:t>
      </w:r>
      <w:r w:rsidRPr="006144C5">
        <w:rPr>
          <w:rFonts w:ascii="Arial" w:eastAsia="Arial" w:hAnsi="Arial" w:cs="Arial"/>
          <w:lang w:val="es-ES_tradnl" w:eastAsia="es-ES" w:bidi="es-ES"/>
        </w:rPr>
        <w:t>estatales.</w:t>
      </w:r>
    </w:p>
    <w:p w14:paraId="5BF4AA20" w14:textId="77777777" w:rsidR="00013576" w:rsidRPr="006144C5" w:rsidRDefault="00013576" w:rsidP="00013576">
      <w:pPr>
        <w:widowControl w:val="0"/>
        <w:autoSpaceDE w:val="0"/>
        <w:autoSpaceDN w:val="0"/>
        <w:spacing w:before="120" w:after="200" w:line="276" w:lineRule="auto"/>
        <w:ind w:firstLine="709"/>
        <w:jc w:val="both"/>
        <w:rPr>
          <w:rFonts w:ascii="Arial" w:eastAsia="Arial" w:hAnsi="Arial" w:cs="Arial"/>
          <w:lang w:val="es-ES_tradnl" w:eastAsia="es-ES" w:bidi="es-ES"/>
        </w:rPr>
      </w:pPr>
      <w:r w:rsidRPr="006144C5">
        <w:rPr>
          <w:rFonts w:ascii="Arial" w:eastAsia="Arial" w:hAnsi="Arial" w:cs="Arial"/>
          <w:lang w:val="es-ES_tradnl"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6144C5">
        <w:rPr>
          <w:rFonts w:ascii="Arial" w:eastAsia="Arial" w:hAnsi="Arial" w:cs="Arial"/>
          <w:spacing w:val="-4"/>
          <w:lang w:val="es-ES_tradnl" w:eastAsia="es-ES" w:bidi="es-ES"/>
        </w:rPr>
        <w:t xml:space="preserve"> </w:t>
      </w:r>
      <w:r w:rsidRPr="006144C5">
        <w:rPr>
          <w:rFonts w:ascii="Arial" w:eastAsia="Arial" w:hAnsi="Arial" w:cs="Arial"/>
          <w:lang w:val="es-ES_tradnl" w:eastAsia="es-ES" w:bidi="es-ES"/>
        </w:rPr>
        <w:t>estatales.</w:t>
      </w:r>
    </w:p>
    <w:p w14:paraId="542F7F84" w14:textId="77777777" w:rsidR="00013576" w:rsidRPr="006144C5" w:rsidRDefault="00013576" w:rsidP="00013576">
      <w:pPr>
        <w:widowControl w:val="0"/>
        <w:autoSpaceDE w:val="0"/>
        <w:autoSpaceDN w:val="0"/>
        <w:spacing w:before="122" w:after="120" w:line="276" w:lineRule="auto"/>
        <w:ind w:firstLine="708"/>
        <w:jc w:val="both"/>
        <w:rPr>
          <w:rFonts w:ascii="Arial" w:eastAsia="Arial" w:hAnsi="Arial" w:cs="Arial"/>
          <w:lang w:val="es-ES_tradnl" w:eastAsia="es-ES" w:bidi="es-ES"/>
        </w:rPr>
      </w:pPr>
      <w:r w:rsidRPr="006144C5">
        <w:rPr>
          <w:rFonts w:ascii="Arial" w:eastAsia="Arial" w:hAnsi="Arial" w:cs="Arial"/>
          <w:lang w:val="es-ES_tradnl" w:eastAsia="es-ES" w:bidi="es-ES"/>
        </w:rPr>
        <w:t xml:space="preserve">Es bueno destacar que el Decreto 1082 de 2015 dispone que los convenios o </w:t>
      </w:r>
      <w:r w:rsidRPr="006144C5">
        <w:rPr>
          <w:rFonts w:ascii="Arial" w:eastAsia="Arial" w:hAnsi="Arial" w:cs="Arial"/>
          <w:lang w:val="es-ES_tradnl" w:eastAsia="es-ES" w:bidi="es-ES"/>
        </w:rPr>
        <w:lastRenderedPageBreak/>
        <w:t>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D3BC864" w14:textId="77777777" w:rsidR="00013576" w:rsidRPr="006144C5" w:rsidRDefault="00013576" w:rsidP="00013576">
      <w:pPr>
        <w:widowControl w:val="0"/>
        <w:autoSpaceDE w:val="0"/>
        <w:autoSpaceDN w:val="0"/>
        <w:spacing w:after="0" w:line="276" w:lineRule="auto"/>
        <w:ind w:firstLine="708"/>
        <w:jc w:val="both"/>
        <w:rPr>
          <w:rFonts w:ascii="Arial" w:eastAsia="Calibri" w:hAnsi="Arial" w:cs="Arial"/>
          <w:bCs/>
          <w:lang w:val="es-ES_tradnl" w:eastAsia="es-ES" w:bidi="es-ES"/>
        </w:rPr>
      </w:pPr>
      <w:r w:rsidRPr="006144C5">
        <w:rPr>
          <w:rFonts w:ascii="Arial" w:eastAsia="Arial" w:hAnsi="Arial" w:cs="Arial"/>
          <w:lang w:val="es-ES_tradnl"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6144C5">
        <w:rPr>
          <w:rFonts w:ascii="Arial" w:eastAsia="Arial" w:hAnsi="Arial" w:cs="Arial"/>
          <w:spacing w:val="-4"/>
          <w:lang w:val="es-ES_tradnl" w:eastAsia="es-ES" w:bidi="es-ES"/>
        </w:rPr>
        <w:t xml:space="preserve"> </w:t>
      </w:r>
      <w:r w:rsidRPr="006144C5">
        <w:rPr>
          <w:rFonts w:ascii="Arial" w:eastAsia="Arial" w:hAnsi="Arial" w:cs="Arial"/>
          <w:lang w:val="es-ES_tradnl" w:eastAsia="es-ES" w:bidi="es-ES"/>
        </w:rPr>
        <w:t>[…]»</w:t>
      </w:r>
      <w:r w:rsidRPr="006144C5">
        <w:rPr>
          <w:rFonts w:ascii="Arial" w:eastAsia="Arial" w:hAnsi="Arial" w:cs="Arial"/>
          <w:vertAlign w:val="superscript"/>
          <w:lang w:val="es-ES_tradnl" w:eastAsia="es-ES" w:bidi="es-ES"/>
        </w:rPr>
        <w:footnoteReference w:id="18"/>
      </w:r>
      <w:r w:rsidRPr="006144C5">
        <w:rPr>
          <w:rFonts w:ascii="Arial" w:eastAsia="Arial" w:hAnsi="Arial" w:cs="Arial"/>
          <w:lang w:val="es-ES_tradnl" w:eastAsia="es-ES" w:bidi="es-ES"/>
        </w:rPr>
        <w:t>.</w:t>
      </w:r>
      <w:bookmarkStart w:id="18" w:name="_Hlk77171241"/>
    </w:p>
    <w:p w14:paraId="39836B36" w14:textId="77777777" w:rsidR="00013576" w:rsidRPr="006144C5" w:rsidRDefault="00013576" w:rsidP="00013576">
      <w:pPr>
        <w:widowControl w:val="0"/>
        <w:autoSpaceDE w:val="0"/>
        <w:autoSpaceDN w:val="0"/>
        <w:spacing w:before="122" w:after="0" w:line="276" w:lineRule="auto"/>
        <w:ind w:firstLine="709"/>
        <w:jc w:val="both"/>
        <w:rPr>
          <w:rFonts w:ascii="Arial" w:eastAsia="Arial" w:hAnsi="Arial" w:cs="Arial"/>
          <w:lang w:val="es-ES_tradnl" w:eastAsia="es-ES" w:bidi="es-ES"/>
        </w:rPr>
      </w:pPr>
      <w:r w:rsidRPr="006144C5">
        <w:rPr>
          <w:rFonts w:ascii="Arial" w:eastAsia="Arial" w:hAnsi="Arial" w:cs="Arial"/>
          <w:lang w:val="es-ES_tradnl" w:eastAsia="es-ES" w:bidi="es-ES"/>
        </w:rPr>
        <w:t>Sin perjuicio de lo anterior, debe tenerse en cuenta que cierto sector de la doctrina y la jurisprudencia han establecido algunas diferencias o caracterización de los contratos interadministrativos frente a los convenios interadministrativos de que trata el artículo 95 de la Ley 489 de 1998. Por ejemplo, en Sentencia del 14 de junio de 2019, el Consejo de Estado expresó:</w:t>
      </w:r>
    </w:p>
    <w:p w14:paraId="01B4CA04" w14:textId="77777777" w:rsidR="00013576" w:rsidRPr="006144C5" w:rsidRDefault="00013576" w:rsidP="00013576">
      <w:pPr>
        <w:widowControl w:val="0"/>
        <w:autoSpaceDE w:val="0"/>
        <w:autoSpaceDN w:val="0"/>
        <w:spacing w:after="0" w:line="276" w:lineRule="auto"/>
        <w:ind w:firstLine="709"/>
        <w:jc w:val="both"/>
        <w:rPr>
          <w:rFonts w:ascii="Arial" w:eastAsia="Arial" w:hAnsi="Arial" w:cs="Arial"/>
          <w:lang w:val="es-ES_tradnl" w:eastAsia="es-ES" w:bidi="es-ES"/>
        </w:rPr>
      </w:pPr>
    </w:p>
    <w:p w14:paraId="0FB6B54D" w14:textId="77777777" w:rsidR="00013576" w:rsidRPr="006144C5" w:rsidRDefault="00013576" w:rsidP="00013576">
      <w:pPr>
        <w:spacing w:after="0" w:line="240" w:lineRule="auto"/>
        <w:ind w:left="709" w:right="709"/>
        <w:jc w:val="both"/>
        <w:rPr>
          <w:rFonts w:ascii="Arial" w:eastAsia="Calibri" w:hAnsi="Arial" w:cs="Arial"/>
          <w:sz w:val="21"/>
          <w:szCs w:val="21"/>
          <w:lang w:val="es-ES_tradnl"/>
        </w:rPr>
      </w:pPr>
      <w:r w:rsidRPr="006144C5">
        <w:rPr>
          <w:rFonts w:ascii="Arial" w:eastAsia="Calibri" w:hAnsi="Arial" w:cs="Arial"/>
          <w:sz w:val="21"/>
          <w:szCs w:val="21"/>
          <w:lang w:val="es-ES_tradnl"/>
        </w:rPr>
        <w:t>La Sala de Consulta y Servicio Civil</w:t>
      </w:r>
      <w:r w:rsidRPr="006144C5">
        <w:rPr>
          <w:rFonts w:ascii="Arial" w:eastAsia="Calibri" w:hAnsi="Arial" w:cs="Arial"/>
          <w:sz w:val="21"/>
          <w:szCs w:val="21"/>
          <w:vertAlign w:val="superscript"/>
          <w:lang w:val="es-ES_tradnl"/>
        </w:rPr>
        <w:footnoteReference w:id="19"/>
      </w:r>
      <w:r w:rsidRPr="006144C5">
        <w:rPr>
          <w:rFonts w:ascii="Arial" w:eastAsia="Calibri" w:hAnsi="Arial" w:cs="Arial"/>
          <w:sz w:val="21"/>
          <w:szCs w:val="21"/>
          <w:lang w:val="es-ES_tradnl"/>
        </w:rPr>
        <w:t xml:space="preserve"> de esta Corporación se ha referido a los </w:t>
      </w:r>
      <w:r w:rsidRPr="006144C5">
        <w:rPr>
          <w:rFonts w:ascii="Arial" w:eastAsia="Calibri" w:hAnsi="Arial" w:cs="Arial"/>
          <w:i/>
          <w:sz w:val="21"/>
          <w:szCs w:val="21"/>
          <w:lang w:val="es-ES_tradnl"/>
        </w:rPr>
        <w:t>“convenios interadministrativos”</w:t>
      </w:r>
      <w:r w:rsidRPr="006144C5">
        <w:rPr>
          <w:rFonts w:ascii="Arial" w:eastAsia="Calibri" w:hAnsi="Arial" w:cs="Arial"/>
          <w:sz w:val="21"/>
          <w:szCs w:val="21"/>
          <w:lang w:val="es-ES_tradnl"/>
        </w:rPr>
        <w:t xml:space="preserve"> a los cuales alude el artículo 95 de la Ley 489 de 1998, calificándolos de </w:t>
      </w:r>
      <w:r w:rsidRPr="006144C5">
        <w:rPr>
          <w:rFonts w:ascii="Arial" w:eastAsia="Calibri" w:hAnsi="Arial" w:cs="Arial"/>
          <w:i/>
          <w:sz w:val="21"/>
          <w:szCs w:val="21"/>
          <w:lang w:val="es-ES_tradnl"/>
        </w:rPr>
        <w:t xml:space="preserve">“puros” </w:t>
      </w:r>
      <w:r w:rsidRPr="006144C5">
        <w:rPr>
          <w:rFonts w:ascii="Arial" w:eastAsia="Calibri" w:hAnsi="Arial" w:cs="Arial"/>
          <w:sz w:val="21"/>
          <w:szCs w:val="21"/>
          <w:lang w:val="es-ES_tradnl"/>
        </w:rPr>
        <w:t xml:space="preserve">y entendiendo que estos, además de perseguir la finalidad de cooperación antes indicada, no implican intereses contrapuestos ni tampoco se circunscriben a un </w:t>
      </w:r>
      <w:r w:rsidRPr="006144C5">
        <w:rPr>
          <w:rFonts w:ascii="Arial" w:eastAsia="Calibri" w:hAnsi="Arial" w:cs="Arial"/>
          <w:i/>
          <w:sz w:val="21"/>
          <w:szCs w:val="21"/>
          <w:lang w:val="es-ES_tradnl"/>
        </w:rPr>
        <w:t>“intercambio patrimonial”</w:t>
      </w:r>
      <w:r w:rsidRPr="006144C5">
        <w:rPr>
          <w:rFonts w:ascii="Arial" w:eastAsia="Calibri" w:hAnsi="Arial" w:cs="Arial"/>
          <w:sz w:val="21"/>
          <w:szCs w:val="21"/>
          <w:lang w:val="es-ES_tradnl"/>
        </w:rPr>
        <w:t>. Sin perjuicio de lo anterior, en otra oportunidad, la misma Sala</w:t>
      </w:r>
      <w:r w:rsidRPr="006144C5">
        <w:rPr>
          <w:rFonts w:ascii="Arial" w:eastAsia="Calibri" w:hAnsi="Arial" w:cs="Arial"/>
          <w:sz w:val="21"/>
          <w:szCs w:val="21"/>
          <w:vertAlign w:val="superscript"/>
          <w:lang w:val="es-ES_tradnl"/>
        </w:rPr>
        <w:footnoteReference w:id="20"/>
      </w:r>
      <w:r w:rsidRPr="006144C5">
        <w:rPr>
          <w:rFonts w:ascii="Arial" w:eastAsia="Calibri" w:hAnsi="Arial" w:cs="Arial"/>
          <w:sz w:val="21"/>
          <w:szCs w:val="21"/>
          <w:lang w:val="es-ES_tradnl"/>
        </w:rPr>
        <w:t xml:space="preserve"> había indicado que, si bien en dichos convenios no se daba un </w:t>
      </w:r>
      <w:r w:rsidRPr="006144C5">
        <w:rPr>
          <w:rFonts w:ascii="Arial" w:eastAsia="Calibri" w:hAnsi="Arial" w:cs="Arial"/>
          <w:i/>
          <w:sz w:val="21"/>
          <w:szCs w:val="21"/>
          <w:lang w:val="es-ES_tradnl"/>
        </w:rPr>
        <w:t>“verdadero intercambio de bienes o servicios (contrato conmutativo)”</w:t>
      </w:r>
      <w:r w:rsidRPr="006144C5">
        <w:rPr>
          <w:rFonts w:ascii="Arial" w:eastAsia="Calibri" w:hAnsi="Arial" w:cs="Arial"/>
          <w:sz w:val="21"/>
          <w:szCs w:val="21"/>
          <w:lang w:val="es-ES_tradnl"/>
        </w:rPr>
        <w:t>, ello no impedía que se conviniera una remuneración a cargo de alguna(s) entidad(es).</w:t>
      </w:r>
    </w:p>
    <w:p w14:paraId="6F560724" w14:textId="77777777" w:rsidR="00013576" w:rsidRPr="006144C5" w:rsidRDefault="00013576" w:rsidP="00013576">
      <w:pPr>
        <w:spacing w:after="0" w:line="240" w:lineRule="auto"/>
        <w:ind w:left="709" w:right="709"/>
        <w:jc w:val="both"/>
        <w:rPr>
          <w:rFonts w:ascii="Arial" w:eastAsia="Calibri" w:hAnsi="Arial" w:cs="Arial"/>
          <w:sz w:val="21"/>
          <w:szCs w:val="21"/>
          <w:lang w:val="es-ES_tradnl"/>
        </w:rPr>
      </w:pPr>
    </w:p>
    <w:p w14:paraId="525CDB73" w14:textId="77777777" w:rsidR="00013576" w:rsidRPr="006144C5" w:rsidRDefault="00013576" w:rsidP="00013576">
      <w:pPr>
        <w:widowControl w:val="0"/>
        <w:autoSpaceDE w:val="0"/>
        <w:autoSpaceDN w:val="0"/>
        <w:spacing w:after="0" w:line="240" w:lineRule="auto"/>
        <w:ind w:left="709" w:right="709"/>
        <w:jc w:val="both"/>
        <w:rPr>
          <w:rFonts w:ascii="Arial" w:eastAsia="Arial" w:hAnsi="Arial" w:cs="Arial"/>
          <w:sz w:val="21"/>
          <w:szCs w:val="21"/>
          <w:lang w:val="es-ES_tradnl" w:eastAsia="es-ES" w:bidi="es-ES"/>
        </w:rPr>
      </w:pPr>
      <w:r w:rsidRPr="006144C5">
        <w:rPr>
          <w:rFonts w:ascii="Arial" w:eastAsia="Arial" w:hAnsi="Arial" w:cs="Arial"/>
          <w:sz w:val="21"/>
          <w:szCs w:val="21"/>
          <w:lang w:val="es-ES_tradnl" w:eastAsia="es-ES" w:bidi="es-ES"/>
        </w:rPr>
        <w:lastRenderedPageBreak/>
        <w:t xml:space="preserve">Lo expuesto evidencia que, en general, las interpretaciones en torno a los </w:t>
      </w:r>
      <w:r w:rsidRPr="006144C5">
        <w:rPr>
          <w:rFonts w:ascii="Arial" w:eastAsia="Arial" w:hAnsi="Arial" w:cs="Arial"/>
          <w:i/>
          <w:sz w:val="21"/>
          <w:szCs w:val="21"/>
          <w:lang w:val="es-ES_tradnl" w:eastAsia="es-ES" w:bidi="es-ES"/>
        </w:rPr>
        <w:t>“convenios interadministrativos”</w:t>
      </w:r>
      <w:r w:rsidRPr="006144C5">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144C5">
        <w:rPr>
          <w:rFonts w:ascii="Arial" w:eastAsia="Arial" w:hAnsi="Arial" w:cs="Arial"/>
          <w:sz w:val="21"/>
          <w:szCs w:val="21"/>
          <w:vertAlign w:val="superscript"/>
          <w:lang w:val="es-ES_tradnl" w:eastAsia="es-ES" w:bidi="es-ES"/>
        </w:rPr>
        <w:footnoteReference w:id="21"/>
      </w:r>
      <w:r w:rsidRPr="006144C5">
        <w:rPr>
          <w:rFonts w:ascii="Arial" w:eastAsia="Arial" w:hAnsi="Arial" w:cs="Arial"/>
          <w:sz w:val="21"/>
          <w:szCs w:val="21"/>
          <w:vertAlign w:val="superscript"/>
          <w:lang w:val="es-ES_tradnl" w:eastAsia="es-ES" w:bidi="es-ES"/>
        </w:rPr>
        <w:footnoteReference w:id="22"/>
      </w:r>
      <w:r w:rsidRPr="006144C5">
        <w:rPr>
          <w:rFonts w:ascii="Arial" w:eastAsia="Arial" w:hAnsi="Arial" w:cs="Arial"/>
          <w:sz w:val="21"/>
          <w:szCs w:val="21"/>
          <w:lang w:val="es-ES_tradnl" w:eastAsia="es-ES" w:bidi="es-ES"/>
        </w:rPr>
        <w:t>.</w:t>
      </w:r>
    </w:p>
    <w:p w14:paraId="4F5BAFDB" w14:textId="77777777" w:rsidR="00013576" w:rsidRPr="006144C5" w:rsidRDefault="00013576" w:rsidP="00013576">
      <w:pPr>
        <w:widowControl w:val="0"/>
        <w:autoSpaceDE w:val="0"/>
        <w:autoSpaceDN w:val="0"/>
        <w:spacing w:after="0" w:line="276" w:lineRule="auto"/>
        <w:jc w:val="both"/>
        <w:rPr>
          <w:rFonts w:ascii="Arial" w:eastAsia="Arial" w:hAnsi="Arial" w:cs="Arial"/>
          <w:lang w:val="es-ES_tradnl" w:eastAsia="es-ES" w:bidi="es-ES"/>
        </w:rPr>
      </w:pPr>
    </w:p>
    <w:p w14:paraId="0B763FAD" w14:textId="77777777" w:rsidR="00013576" w:rsidRPr="006144C5" w:rsidRDefault="00013576" w:rsidP="00013576">
      <w:pPr>
        <w:widowControl w:val="0"/>
        <w:autoSpaceDE w:val="0"/>
        <w:autoSpaceDN w:val="0"/>
        <w:spacing w:after="120" w:line="276" w:lineRule="auto"/>
        <w:jc w:val="both"/>
        <w:rPr>
          <w:rFonts w:ascii="Arial" w:eastAsia="Arial" w:hAnsi="Arial" w:cs="Arial"/>
          <w:lang w:val="es-ES_tradnl" w:eastAsia="es-ES" w:bidi="es-ES"/>
        </w:rPr>
      </w:pPr>
      <w:r w:rsidRPr="006144C5">
        <w:rPr>
          <w:rFonts w:ascii="Arial" w:eastAsia="Arial" w:hAnsi="Arial" w:cs="Arial"/>
          <w:lang w:val="es-ES_tradnl" w:eastAsia="es-ES" w:bidi="es-ES"/>
        </w:rPr>
        <w:tab/>
        <w:t>En todo caso, debe reiterarse que el ordenamiento jurídico, en distintas ocasiones utiliza de forma indistinta los conceptos de contrato o convenio para referirse a la misma institución jurídica</w:t>
      </w:r>
      <w:r w:rsidRPr="006144C5">
        <w:rPr>
          <w:rFonts w:ascii="Arial" w:eastAsia="Arial" w:hAnsi="Arial" w:cs="Arial"/>
          <w:vertAlign w:val="superscript"/>
          <w:lang w:val="es-ES_tradnl" w:eastAsia="es-ES" w:bidi="es-ES"/>
        </w:rPr>
        <w:footnoteReference w:id="23"/>
      </w:r>
      <w:r w:rsidRPr="006144C5">
        <w:rPr>
          <w:rFonts w:ascii="Arial" w:eastAsia="Arial" w:hAnsi="Arial" w:cs="Arial"/>
          <w:lang w:val="es-ES_tradnl" w:eastAsia="es-ES" w:bidi="es-ES"/>
        </w:rPr>
        <w:t>. Incluso la Corte Constitucional explica la posibilidad de celebrar convenios interadministrativos de forma directa, con fundamento en la causal establecida en la Ley 1150 de 2007 respecto a los contratos interadministrativos</w:t>
      </w:r>
      <w:r w:rsidRPr="006144C5">
        <w:rPr>
          <w:rFonts w:ascii="Arial" w:eastAsia="Arial" w:hAnsi="Arial" w:cs="Arial"/>
          <w:vertAlign w:val="superscript"/>
          <w:lang w:val="es-ES_tradnl" w:eastAsia="es-ES" w:bidi="es-ES"/>
        </w:rPr>
        <w:footnoteReference w:id="24"/>
      </w:r>
      <w:r w:rsidRPr="006144C5">
        <w:rPr>
          <w:rFonts w:ascii="Arial" w:eastAsia="Arial" w:hAnsi="Arial" w:cs="Arial"/>
          <w:lang w:val="es-ES_tradnl" w:eastAsia="es-ES" w:bidi="es-ES"/>
        </w:rPr>
        <w:t>.</w:t>
      </w:r>
    </w:p>
    <w:p w14:paraId="52757E87" w14:textId="77777777" w:rsidR="00013576" w:rsidRPr="006144C5" w:rsidRDefault="00013576" w:rsidP="00013576">
      <w:pPr>
        <w:widowControl w:val="0"/>
        <w:autoSpaceDE w:val="0"/>
        <w:autoSpaceDN w:val="0"/>
        <w:spacing w:after="0" w:line="276" w:lineRule="auto"/>
        <w:jc w:val="both"/>
        <w:rPr>
          <w:rFonts w:ascii="Arial" w:eastAsia="Arial" w:hAnsi="Arial" w:cs="Arial"/>
          <w:lang w:val="es-ES_tradnl" w:eastAsia="es-ES" w:bidi="es-ES"/>
        </w:rPr>
      </w:pPr>
      <w:r w:rsidRPr="006144C5">
        <w:rPr>
          <w:rFonts w:ascii="Arial" w:eastAsia="Arial" w:hAnsi="Arial" w:cs="Arial"/>
          <w:lang w:val="es-ES_tradnl" w:eastAsia="es-ES" w:bidi="es-ES"/>
        </w:rPr>
        <w:tab/>
        <w:t xml:space="preserve">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w:t>
      </w:r>
      <w:r w:rsidRPr="006144C5">
        <w:rPr>
          <w:rFonts w:ascii="Arial" w:eastAsia="Arial" w:hAnsi="Arial" w:cs="Arial"/>
          <w:lang w:val="es-ES_tradnl" w:eastAsia="es-ES" w:bidi="es-ES"/>
        </w:rPr>
        <w:lastRenderedPageBreak/>
        <w:t>legal que diferencie los conceptos de convenio o de contrato. En tal sentido, de acuerdo con las consideraciones expuestas en este numeral los asimila para efectos de aplicar las disposiciones que tangencialmente se refieren a uno u otro vocablo, lo que resulta relevante en este concepto para la aplicación de la Ley de Garantías. En este sentido, la Circular Externa Única, refiriéndose al parágrafo del artículo 38 de la Ley 996 de 2005, expresa:</w:t>
      </w:r>
    </w:p>
    <w:p w14:paraId="0083E11B" w14:textId="77777777" w:rsidR="00013576" w:rsidRPr="006144C5" w:rsidRDefault="00013576" w:rsidP="00013576">
      <w:pPr>
        <w:widowControl w:val="0"/>
        <w:autoSpaceDE w:val="0"/>
        <w:autoSpaceDN w:val="0"/>
        <w:spacing w:after="0" w:line="276" w:lineRule="auto"/>
        <w:jc w:val="both"/>
        <w:rPr>
          <w:rFonts w:ascii="Arial" w:eastAsia="Arial" w:hAnsi="Arial" w:cs="Arial"/>
          <w:lang w:val="es-ES_tradnl" w:eastAsia="es-ES" w:bidi="es-ES"/>
        </w:rPr>
      </w:pPr>
    </w:p>
    <w:p w14:paraId="5E5F770A" w14:textId="77777777" w:rsidR="00013576" w:rsidRPr="006144C5" w:rsidRDefault="00013576" w:rsidP="00013576">
      <w:pPr>
        <w:spacing w:after="120" w:line="240" w:lineRule="auto"/>
        <w:ind w:left="709" w:right="709"/>
        <w:jc w:val="both"/>
        <w:rPr>
          <w:rFonts w:ascii="Arial" w:eastAsia="Calibri" w:hAnsi="Arial" w:cs="Arial"/>
          <w:sz w:val="21"/>
          <w:szCs w:val="21"/>
          <w:lang w:val="es-ES_tradnl"/>
        </w:rPr>
      </w:pPr>
      <w:r w:rsidRPr="006144C5">
        <w:rPr>
          <w:rFonts w:ascii="Arial" w:eastAsia="Calibri" w:hAnsi="Arial" w:cs="Arial"/>
          <w:sz w:val="21"/>
          <w:szCs w:val="21"/>
          <w:lang w:val="es-ES_tradnl"/>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F669740" w14:textId="77777777" w:rsidR="00013576" w:rsidRPr="006144C5" w:rsidRDefault="00013576" w:rsidP="00013576">
      <w:pPr>
        <w:spacing w:after="120" w:line="240" w:lineRule="auto"/>
        <w:ind w:left="709" w:right="709"/>
        <w:jc w:val="both"/>
        <w:rPr>
          <w:rFonts w:ascii="Arial" w:eastAsia="Calibri" w:hAnsi="Arial" w:cs="Arial"/>
          <w:sz w:val="21"/>
          <w:szCs w:val="21"/>
          <w:lang w:val="es-ES_tradnl"/>
        </w:rPr>
      </w:pPr>
      <w:r w:rsidRPr="006144C5">
        <w:rPr>
          <w:rFonts w:ascii="Arial" w:eastAsia="Calibri" w:hAnsi="Arial" w:cs="Arial"/>
          <w:sz w:val="21"/>
          <w:szCs w:val="21"/>
          <w:lang w:val="es-ES_tradnl"/>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DC51E4E" w14:textId="77777777" w:rsidR="00013576" w:rsidRPr="006144C5" w:rsidRDefault="00013576" w:rsidP="00013576">
      <w:pPr>
        <w:spacing w:after="0" w:line="240" w:lineRule="auto"/>
        <w:ind w:left="709" w:right="709"/>
        <w:jc w:val="both"/>
        <w:rPr>
          <w:rFonts w:ascii="Arial" w:eastAsia="Calibri" w:hAnsi="Arial" w:cs="Arial"/>
          <w:sz w:val="24"/>
          <w:lang w:val="es-ES_tradnl"/>
        </w:rPr>
      </w:pPr>
      <w:r w:rsidRPr="006144C5">
        <w:rPr>
          <w:rFonts w:ascii="Arial" w:eastAsia="Calibri" w:hAnsi="Arial" w:cs="Arial"/>
          <w:sz w:val="21"/>
          <w:szCs w:val="21"/>
          <w:lang w:val="es-ES_tradnl"/>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3E288F0C" w14:textId="77777777" w:rsidR="00013576" w:rsidRPr="006144C5" w:rsidRDefault="00013576" w:rsidP="00013576">
      <w:pPr>
        <w:widowControl w:val="0"/>
        <w:autoSpaceDE w:val="0"/>
        <w:autoSpaceDN w:val="0"/>
        <w:spacing w:before="3" w:after="0" w:line="276" w:lineRule="auto"/>
        <w:jc w:val="both"/>
        <w:rPr>
          <w:rFonts w:ascii="Arial" w:eastAsia="Arial" w:hAnsi="Arial" w:cs="Arial"/>
          <w:lang w:val="es-ES_tradnl" w:eastAsia="es-ES" w:bidi="es-ES"/>
        </w:rPr>
      </w:pPr>
    </w:p>
    <w:p w14:paraId="35048AD0" w14:textId="77777777" w:rsidR="00013576" w:rsidRPr="006144C5" w:rsidRDefault="00013576" w:rsidP="00013576">
      <w:pPr>
        <w:widowControl w:val="0"/>
        <w:autoSpaceDE w:val="0"/>
        <w:autoSpaceDN w:val="0"/>
        <w:spacing w:after="120" w:line="276" w:lineRule="auto"/>
        <w:jc w:val="both"/>
        <w:rPr>
          <w:rFonts w:ascii="Arial" w:eastAsia="Calibri" w:hAnsi="Arial" w:cs="Arial"/>
          <w:bCs/>
          <w:lang w:val="es-ES_tradnl" w:eastAsia="es-ES" w:bidi="es-ES"/>
        </w:rPr>
      </w:pPr>
      <w:r w:rsidRPr="006144C5">
        <w:rPr>
          <w:rFonts w:ascii="Arial" w:eastAsia="Arial" w:hAnsi="Arial" w:cs="Arial"/>
          <w:sz w:val="25"/>
          <w:lang w:val="es-ES_tradnl" w:eastAsia="es-ES" w:bidi="es-ES"/>
        </w:rPr>
        <w:tab/>
      </w:r>
      <w:r w:rsidRPr="006144C5">
        <w:rPr>
          <w:rFonts w:ascii="Arial" w:eastAsia="Arial" w:hAnsi="Arial" w:cs="Arial"/>
          <w:lang w:val="es-ES_tradnl"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8"/>
    </w:p>
    <w:p w14:paraId="0A4E2409" w14:textId="77777777" w:rsidR="00013576" w:rsidRPr="006144C5" w:rsidRDefault="00013576" w:rsidP="00013576">
      <w:pPr>
        <w:tabs>
          <w:tab w:val="left" w:pos="426"/>
        </w:tabs>
        <w:spacing w:after="120" w:line="276" w:lineRule="auto"/>
        <w:ind w:firstLine="709"/>
        <w:jc w:val="both"/>
        <w:rPr>
          <w:rFonts w:ascii="Arial" w:eastAsia="Times New Roman" w:hAnsi="Arial" w:cs="Arial"/>
          <w:bCs/>
          <w:lang w:val="es-ES_tradnl" w:eastAsia="es-CO"/>
        </w:rPr>
      </w:pPr>
      <w:r w:rsidRPr="006144C5">
        <w:rPr>
          <w:rFonts w:ascii="Arial" w:eastAsia="Times New Roman" w:hAnsi="Arial" w:cs="Arial"/>
          <w:bCs/>
          <w:lang w:val="es-ES_tradnl" w:eastAsia="es-CO"/>
        </w:rPr>
        <w:lastRenderedPageBreak/>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144C5">
        <w:rPr>
          <w:rFonts w:ascii="Arial" w:eastAsia="Times New Roman" w:hAnsi="Arial" w:cs="Arial"/>
          <w:bCs/>
          <w:i/>
          <w:iCs/>
          <w:lang w:val="es-ES_tradnl" w:eastAsia="es-CO"/>
        </w:rPr>
        <w:t>ibidem</w:t>
      </w:r>
      <w:r w:rsidRPr="006144C5">
        <w:rPr>
          <w:rFonts w:ascii="Arial" w:eastAsia="Times New Roman" w:hAnsi="Arial" w:cs="Arial"/>
          <w:bCs/>
          <w:lang w:val="es-ES_tradnl"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6144C5">
        <w:rPr>
          <w:rFonts w:ascii="Arial" w:eastAsia="Times New Roman" w:hAnsi="Arial" w:cs="Arial"/>
          <w:bCs/>
          <w:vertAlign w:val="superscript"/>
          <w:lang w:val="es-ES_tradnl" w:eastAsia="es-CO"/>
        </w:rPr>
        <w:footnoteReference w:id="25"/>
      </w:r>
      <w:r w:rsidRPr="006144C5">
        <w:rPr>
          <w:rFonts w:ascii="Arial" w:eastAsia="Times New Roman" w:hAnsi="Arial" w:cs="Arial"/>
          <w:bCs/>
          <w:lang w:val="es-ES_tradnl" w:eastAsia="es-CO"/>
        </w:rPr>
        <w:t xml:space="preserve">. </w:t>
      </w:r>
    </w:p>
    <w:p w14:paraId="72C911E8" w14:textId="77777777" w:rsidR="00013576" w:rsidRPr="006144C5" w:rsidRDefault="00013576" w:rsidP="00013576">
      <w:pPr>
        <w:widowControl w:val="0"/>
        <w:autoSpaceDE w:val="0"/>
        <w:autoSpaceDN w:val="0"/>
        <w:spacing w:after="120" w:line="276" w:lineRule="auto"/>
        <w:ind w:firstLine="709"/>
        <w:jc w:val="both"/>
        <w:rPr>
          <w:rFonts w:ascii="Arial" w:eastAsia="Calibri" w:hAnsi="Arial" w:cs="Arial"/>
          <w:lang w:val="es-ES_tradnl" w:eastAsia="es-ES" w:bidi="es-ES"/>
        </w:rPr>
      </w:pPr>
      <w:r w:rsidRPr="006144C5">
        <w:rPr>
          <w:rFonts w:ascii="Arial" w:eastAsia="Times New Roman" w:hAnsi="Arial" w:cs="Arial"/>
          <w:bCs/>
          <w:lang w:val="es-ES_tradnl" w:eastAsia="es-CO" w:bidi="es-ES"/>
        </w:rPr>
        <w:t>En todo caso</w:t>
      </w:r>
      <w:bookmarkStart w:id="19" w:name="_Hlk77154098"/>
      <w:r w:rsidRPr="006144C5">
        <w:rPr>
          <w:rFonts w:ascii="Arial" w:eastAsia="Arial" w:hAnsi="Arial" w:cs="Arial"/>
          <w:lang w:val="es-ES_tradnl" w:eastAsia="es-ES" w:bidi="es-ES"/>
        </w:rPr>
        <w:t xml:space="preserve">, es importante resaltar que la Sala de Consulta y Servicio Civil del Consejo de Estado se ha pronunciado en el sentido de que </w:t>
      </w:r>
      <w:bookmarkStart w:id="20" w:name="_Hlk78820889"/>
      <w:r w:rsidRPr="006144C5">
        <w:rPr>
          <w:rFonts w:ascii="Arial" w:eastAsia="Arial" w:hAnsi="Arial" w:cs="Arial"/>
          <w:lang w:val="es-ES_tradnl" w:eastAsia="es-ES" w:bidi="es-ES"/>
        </w:rPr>
        <w:t>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20"/>
      <w:r w:rsidRPr="006144C5">
        <w:rPr>
          <w:rFonts w:ascii="Arial" w:eastAsia="Arial" w:hAnsi="Arial" w:cs="Arial"/>
          <w:vertAlign w:val="superscript"/>
          <w:lang w:val="es-ES_tradnl" w:eastAsia="es-ES" w:bidi="es-ES"/>
        </w:rPr>
        <w:footnoteReference w:id="26"/>
      </w:r>
      <w:r w:rsidRPr="006144C5">
        <w:rPr>
          <w:rFonts w:ascii="Arial" w:eastAsia="Calibri" w:hAnsi="Arial" w:cs="Arial"/>
          <w:lang w:val="es-ES_tradnl" w:eastAsia="es-ES" w:bidi="es-ES"/>
        </w:rPr>
        <w:t>.</w:t>
      </w:r>
      <w:bookmarkEnd w:id="19"/>
    </w:p>
    <w:bookmarkEnd w:id="15"/>
    <w:p w14:paraId="26C0EAAB" w14:textId="77777777" w:rsidR="00013576" w:rsidRPr="0002074B" w:rsidRDefault="00013576" w:rsidP="00013576">
      <w:pPr>
        <w:spacing w:after="0" w:line="276" w:lineRule="auto"/>
        <w:ind w:firstLine="709"/>
        <w:jc w:val="both"/>
        <w:rPr>
          <w:rFonts w:ascii="Arial" w:eastAsia="Arial" w:hAnsi="Arial" w:cs="Arial"/>
          <w:lang w:val="es-ES_tradnl" w:eastAsia="es-ES" w:bidi="es-ES"/>
        </w:rPr>
      </w:pPr>
      <w:r>
        <w:rPr>
          <w:rFonts w:ascii="Arial" w:eastAsia="Times New Roman" w:hAnsi="Arial" w:cs="Arial"/>
          <w:bCs/>
          <w:lang w:val="es-ES_tradnl" w:eastAsia="x-none"/>
        </w:rPr>
        <w:t>Sin perjuicio de lo anterior, es importante señalar que, e</w:t>
      </w:r>
      <w:r w:rsidRPr="002B6BAB">
        <w:rPr>
          <w:rFonts w:ascii="Arial" w:eastAsia="Times New Roman" w:hAnsi="Arial" w:cs="Arial"/>
          <w:lang w:val="es-ES_tradnl" w:eastAsia="es-CO"/>
        </w:rPr>
        <w:t>l 12 de noviembre de 2021 el Presidente de la República sancionó la Ley 2159</w:t>
      </w:r>
      <w:r w:rsidRPr="002B6BAB">
        <w:rPr>
          <w:rFonts w:ascii="Arial" w:eastAsia="Times New Roman" w:hAnsi="Arial" w:cs="Arial"/>
          <w:vertAlign w:val="superscript"/>
          <w:lang w:val="es-ES_tradnl" w:eastAsia="es-CO"/>
        </w:rPr>
        <w:footnoteReference w:id="27"/>
      </w:r>
      <w:r w:rsidRPr="002B6BAB">
        <w:rPr>
          <w:rFonts w:ascii="Arial" w:eastAsia="Times New Roman" w:hAnsi="Arial" w:cs="Arial"/>
          <w:lang w:val="es-ES_tradnl" w:eastAsia="es-CO"/>
        </w:rPr>
        <w:t>,  por la cual se decreta el presupuesto de rentas y recursos de capital y ley de apropiaciones para la vigencia fiscal del 1 de enero al 31 de diciembre de 2022 –Ley Anual del Presupuesto–</w:t>
      </w:r>
      <w:r w:rsidRPr="002B6BAB">
        <w:rPr>
          <w:rFonts w:ascii="Arial" w:eastAsia="Times New Roman" w:hAnsi="Arial" w:cs="Arial"/>
          <w:vertAlign w:val="superscript"/>
          <w:lang w:val="es-ES_tradnl" w:eastAsia="es-CO"/>
        </w:rPr>
        <w:footnoteReference w:id="28"/>
      </w:r>
      <w:r w:rsidRPr="002B6BAB">
        <w:rPr>
          <w:rFonts w:ascii="Arial" w:eastAsia="Times New Roman" w:hAnsi="Arial" w:cs="Arial"/>
          <w:lang w:val="es-ES_tradnl" w:eastAsia="es-CO"/>
        </w:rPr>
        <w:t xml:space="preserve">. En el Capítulo V sobre «disposiciones varias» contenido en la Tercera Parte, «Disposiciones Generales», se destaca la inclusión del artículo 124. Esta norma </w:t>
      </w:r>
      <w:r>
        <w:rPr>
          <w:rFonts w:ascii="Arial" w:eastAsia="Times New Roman" w:hAnsi="Arial" w:cs="Arial"/>
          <w:lang w:val="es-ES_tradnl" w:eastAsia="es-CO"/>
        </w:rPr>
        <w:t>modifica el parágrafo del artículo 38 de la Ley de Garantías, en los siguientes términos</w:t>
      </w:r>
      <w:r w:rsidRPr="002B6BAB">
        <w:rPr>
          <w:rFonts w:ascii="Arial" w:eastAsia="Times New Roman" w:hAnsi="Arial" w:cs="Arial"/>
          <w:lang w:val="es-ES_tradnl" w:eastAsia="es-CO"/>
        </w:rPr>
        <w:t xml:space="preserve">: </w:t>
      </w:r>
    </w:p>
    <w:p w14:paraId="51F75F7D" w14:textId="77777777" w:rsidR="00013576" w:rsidRPr="002B6BAB" w:rsidRDefault="00013576" w:rsidP="00013576">
      <w:pPr>
        <w:spacing w:after="0" w:line="276" w:lineRule="auto"/>
        <w:jc w:val="both"/>
        <w:rPr>
          <w:rFonts w:ascii="Arial" w:eastAsia="Times New Roman" w:hAnsi="Arial" w:cs="Arial"/>
          <w:lang w:val="es-ES_tradnl" w:eastAsia="es-CO"/>
        </w:rPr>
      </w:pPr>
    </w:p>
    <w:p w14:paraId="1A170F2F" w14:textId="77777777" w:rsidR="00013576" w:rsidRPr="002B6BAB" w:rsidRDefault="00013576" w:rsidP="00013576">
      <w:pPr>
        <w:spacing w:after="120" w:line="240" w:lineRule="auto"/>
        <w:ind w:left="709" w:right="567"/>
        <w:jc w:val="both"/>
        <w:rPr>
          <w:rFonts w:ascii="Arial" w:eastAsia="Times New Roman" w:hAnsi="Arial" w:cs="Arial"/>
          <w:sz w:val="21"/>
          <w:szCs w:val="21"/>
          <w:lang w:val="es-ES_tradnl" w:eastAsia="es-CO"/>
        </w:rPr>
      </w:pPr>
      <w:r w:rsidRPr="002B6BAB">
        <w:rPr>
          <w:rFonts w:ascii="Arial" w:eastAsia="Times New Roman" w:hAnsi="Arial" w:cs="Arial"/>
          <w:sz w:val="21"/>
          <w:szCs w:val="21"/>
          <w:lang w:val="es-ES_tradnl" w:eastAsia="es-CO"/>
        </w:rPr>
        <w:t xml:space="preserve">Con el propósito de promover la reactivación económica y la generación de empleo en las regiones, a partir de la publicación de la presente ley y durante la vigencia fiscal 2022, la Nación podrá celebrar convenios interadministrativos con </w:t>
      </w:r>
      <w:r w:rsidRPr="002B6BAB">
        <w:rPr>
          <w:rFonts w:ascii="Arial" w:eastAsia="Times New Roman" w:hAnsi="Arial" w:cs="Arial"/>
          <w:sz w:val="21"/>
          <w:szCs w:val="21"/>
          <w:lang w:val="es-ES_tradnl" w:eastAsia="es-CO"/>
        </w:rPr>
        <w:lastRenderedPageBreak/>
        <w:t xml:space="preserve">las entidades territoriales para ejecutar programas y proyectos correspondientes al Presupuesto General de la Nación. </w:t>
      </w:r>
    </w:p>
    <w:p w14:paraId="01AE5093" w14:textId="77777777" w:rsidR="00013576" w:rsidRPr="002B6BAB" w:rsidRDefault="00013576" w:rsidP="00013576">
      <w:pPr>
        <w:spacing w:after="120" w:line="240" w:lineRule="auto"/>
        <w:ind w:left="709" w:right="567"/>
        <w:jc w:val="both"/>
        <w:rPr>
          <w:rFonts w:ascii="Arial" w:eastAsia="Times New Roman" w:hAnsi="Arial" w:cs="Arial"/>
          <w:sz w:val="21"/>
          <w:szCs w:val="21"/>
          <w:lang w:val="es-ES_tradnl" w:eastAsia="es-CO"/>
        </w:rPr>
      </w:pPr>
      <w:r w:rsidRPr="002B6BAB">
        <w:rPr>
          <w:rFonts w:ascii="Arial" w:eastAsia="Times New Roman" w:hAnsi="Arial" w:cs="Arial"/>
          <w:sz w:val="21"/>
          <w:szCs w:val="21"/>
          <w:lang w:val="es-ES_tradnl" w:eastAsia="es-CO"/>
        </w:rPr>
        <w:t xml:space="preserve">La presente disposición modifica únicamente en la parte pertinente el inciso primero del parágrafo del artículo 38 de la Ley 996 de 2005. </w:t>
      </w:r>
    </w:p>
    <w:p w14:paraId="1755CA5B" w14:textId="77777777" w:rsidR="00013576" w:rsidRPr="002B6BAB" w:rsidRDefault="00013576" w:rsidP="00013576">
      <w:pPr>
        <w:spacing w:after="0" w:line="240" w:lineRule="auto"/>
        <w:ind w:left="708" w:right="567"/>
        <w:jc w:val="both"/>
        <w:rPr>
          <w:rFonts w:ascii="Arial" w:eastAsia="Times New Roman" w:hAnsi="Arial" w:cs="Arial"/>
          <w:lang w:val="es-ES_tradnl" w:eastAsia="es-CO"/>
        </w:rPr>
      </w:pPr>
      <w:r w:rsidRPr="002B6BAB">
        <w:rPr>
          <w:rFonts w:ascii="Arial" w:eastAsia="Times New Roman" w:hAnsi="Arial" w:cs="Arial"/>
          <w:sz w:val="21"/>
          <w:szCs w:val="21"/>
          <w:lang w:val="es-ES_tradnl" w:eastAsia="es-CO"/>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5140CC51" w14:textId="77777777" w:rsidR="00013576" w:rsidRPr="002B6BAB" w:rsidRDefault="00013576" w:rsidP="00013576">
      <w:pPr>
        <w:overflowPunct w:val="0"/>
        <w:autoSpaceDE w:val="0"/>
        <w:autoSpaceDN w:val="0"/>
        <w:adjustRightInd w:val="0"/>
        <w:spacing w:after="0" w:line="276" w:lineRule="auto"/>
        <w:jc w:val="both"/>
        <w:textAlignment w:val="baseline"/>
        <w:rPr>
          <w:rFonts w:ascii="Arial" w:eastAsia="Calibri" w:hAnsi="Arial" w:cs="Arial"/>
          <w:lang w:val="es-ES_tradnl" w:eastAsia="es-ES"/>
        </w:rPr>
      </w:pPr>
    </w:p>
    <w:p w14:paraId="3DEB264E" w14:textId="77777777" w:rsidR="00013576" w:rsidRPr="0002074B" w:rsidRDefault="00013576" w:rsidP="00013576">
      <w:pPr>
        <w:spacing w:after="0" w:line="276" w:lineRule="auto"/>
        <w:jc w:val="both"/>
        <w:rPr>
          <w:rFonts w:ascii="Arial" w:eastAsia="Times New Roman" w:hAnsi="Arial" w:cs="Arial"/>
          <w:lang w:val="es-ES_tradnl" w:eastAsia="es-CO"/>
        </w:rPr>
      </w:pPr>
      <w:r w:rsidRPr="002B6BAB">
        <w:rPr>
          <w:rFonts w:ascii="Arial" w:eastAsia="Calibri" w:hAnsi="Arial" w:cs="Arial"/>
          <w:lang w:val="es-ES_tradnl" w:eastAsia="es-ES"/>
        </w:rPr>
        <w:tab/>
      </w:r>
      <w:r w:rsidRPr="002B6BAB">
        <w:rPr>
          <w:rFonts w:ascii="Arial" w:eastAsia="Times New Roman" w:hAnsi="Arial" w:cs="Arial"/>
          <w:lang w:val="es-ES_tradnl" w:eastAsia="es-CO"/>
        </w:rPr>
        <w:t xml:space="preserve">En este contexto, como se puede apreciar, el artículo 124 de la Ley del Presupuesto para la vigencia fiscal del 2022, con la finalidad de promover la reactivación económica y la generación de empleo en las regiones, consagra una autorización a </w:t>
      </w:r>
      <w:r>
        <w:rPr>
          <w:rFonts w:ascii="Arial" w:eastAsia="Times New Roman" w:hAnsi="Arial" w:cs="Arial"/>
          <w:lang w:val="es-ES_tradnl" w:eastAsia="es-CO"/>
        </w:rPr>
        <w:t>para que la</w:t>
      </w:r>
      <w:r w:rsidRPr="002B6BAB">
        <w:rPr>
          <w:rFonts w:ascii="Arial" w:eastAsia="Times New Roman" w:hAnsi="Arial" w:cs="Arial"/>
          <w:lang w:val="es-ES_tradnl" w:eastAsia="es-CO"/>
        </w:rPr>
        <w:t xml:space="preserve"> Nación </w:t>
      </w:r>
      <w:r>
        <w:rPr>
          <w:rFonts w:ascii="Arial" w:eastAsia="Times New Roman" w:hAnsi="Arial" w:cs="Arial"/>
          <w:lang w:val="es-ES_tradnl" w:eastAsia="es-CO"/>
        </w:rPr>
        <w:t>celebre convenios interadministrativos con</w:t>
      </w:r>
      <w:r w:rsidRPr="002B6BAB">
        <w:rPr>
          <w:rFonts w:ascii="Arial" w:eastAsia="Times New Roman" w:hAnsi="Arial" w:cs="Arial"/>
          <w:lang w:val="es-ES_tradnl" w:eastAsia="es-CO"/>
        </w:rPr>
        <w:t xml:space="preserve"> las entidades territoriales con el fin de ejecutar programas y proyectos correspondientes al Presupuesto General de la Nación.</w:t>
      </w:r>
    </w:p>
    <w:p w14:paraId="012940E0" w14:textId="77777777" w:rsidR="00013576" w:rsidRPr="002B6BAB" w:rsidRDefault="00013576" w:rsidP="00013576">
      <w:pPr>
        <w:spacing w:after="0" w:line="276" w:lineRule="auto"/>
        <w:jc w:val="both"/>
        <w:rPr>
          <w:rFonts w:ascii="Arial" w:eastAsia="Times New Roman" w:hAnsi="Arial" w:cs="Arial"/>
          <w:bCs/>
          <w:lang w:val="es-ES_tradnl" w:eastAsia="es-CO"/>
        </w:rPr>
      </w:pPr>
    </w:p>
    <w:p w14:paraId="26AA903E" w14:textId="77777777" w:rsidR="00013576" w:rsidRPr="002B6BAB" w:rsidRDefault="00013576" w:rsidP="00013576">
      <w:pPr>
        <w:spacing w:after="0" w:line="276" w:lineRule="auto"/>
        <w:jc w:val="both"/>
        <w:rPr>
          <w:rFonts w:ascii="Arial" w:eastAsia="Times New Roman" w:hAnsi="Arial" w:cs="Arial"/>
          <w:b/>
          <w:lang w:val="es-ES_tradnl" w:eastAsia="es-CO"/>
        </w:rPr>
      </w:pPr>
      <w:r w:rsidRPr="002B6BAB">
        <w:rPr>
          <w:rFonts w:ascii="Arial" w:eastAsia="Times New Roman" w:hAnsi="Arial" w:cs="Arial"/>
          <w:b/>
          <w:lang w:val="es-ES_tradnl" w:eastAsia="es-CO"/>
        </w:rPr>
        <w:t>2.</w:t>
      </w:r>
      <w:r>
        <w:rPr>
          <w:rFonts w:ascii="Arial" w:eastAsia="Times New Roman" w:hAnsi="Arial" w:cs="Arial"/>
          <w:b/>
          <w:lang w:val="es-ES_tradnl" w:eastAsia="es-CO"/>
        </w:rPr>
        <w:t>3</w:t>
      </w:r>
      <w:r w:rsidRPr="002B6BAB">
        <w:rPr>
          <w:rFonts w:ascii="Arial" w:eastAsia="Times New Roman" w:hAnsi="Arial" w:cs="Arial"/>
          <w:b/>
          <w:lang w:val="es-ES_tradnl" w:eastAsia="es-CO"/>
        </w:rPr>
        <w:t xml:space="preserve">. </w:t>
      </w:r>
      <w:r w:rsidRPr="002B6BAB">
        <w:rPr>
          <w:rFonts w:ascii="Arial" w:eastAsia="Times New Roman" w:hAnsi="Arial" w:cs="Arial"/>
          <w:b/>
          <w:bCs/>
          <w:lang w:val="es-ES_tradnl" w:eastAsia="es-CO"/>
        </w:rPr>
        <w:t>Restricciones en elecciones presidenciales</w:t>
      </w:r>
      <w:r>
        <w:rPr>
          <w:rFonts w:ascii="Arial" w:eastAsia="Times New Roman" w:hAnsi="Arial" w:cs="Arial"/>
          <w:b/>
          <w:bCs/>
          <w:lang w:val="es-ES_tradnl" w:eastAsia="es-CO"/>
        </w:rPr>
        <w:t xml:space="preserve">: </w:t>
      </w:r>
      <w:r>
        <w:rPr>
          <w:rFonts w:ascii="Arial" w:hAnsi="Arial" w:cs="Arial"/>
          <w:b/>
          <w:bCs/>
          <w:lang w:val="es-ES_tradnl" w:eastAsia="es-CO"/>
        </w:rPr>
        <w:t>prohibición del artículo 33 de la Ley 996 de 2005</w:t>
      </w:r>
    </w:p>
    <w:p w14:paraId="786C5D35" w14:textId="77777777" w:rsidR="00013576" w:rsidRPr="002B6BAB" w:rsidRDefault="00013576" w:rsidP="00013576">
      <w:pPr>
        <w:spacing w:after="0" w:line="276" w:lineRule="auto"/>
        <w:jc w:val="both"/>
        <w:rPr>
          <w:rFonts w:ascii="Arial" w:eastAsia="Times New Roman" w:hAnsi="Arial" w:cs="Arial"/>
          <w:bCs/>
          <w:lang w:val="es-ES_tradnl" w:eastAsia="x-none"/>
        </w:rPr>
      </w:pPr>
    </w:p>
    <w:p w14:paraId="7040B8EB" w14:textId="77777777" w:rsidR="00013576" w:rsidRPr="002B6BAB" w:rsidRDefault="00013576" w:rsidP="00013576">
      <w:pPr>
        <w:spacing w:after="0" w:line="276" w:lineRule="auto"/>
        <w:jc w:val="both"/>
        <w:rPr>
          <w:rFonts w:ascii="Arial" w:eastAsia="Times New Roman" w:hAnsi="Arial" w:cs="Arial"/>
          <w:bCs/>
          <w:lang w:val="es-ES_tradnl" w:eastAsia="es-CO"/>
        </w:rPr>
      </w:pPr>
      <w:r w:rsidRPr="002B6BAB">
        <w:rPr>
          <w:rFonts w:ascii="Arial" w:eastAsia="Times New Roman" w:hAnsi="Arial" w:cs="Arial"/>
          <w:bCs/>
          <w:lang w:val="es-ES_tradnl" w:eastAsia="x-none"/>
        </w:rPr>
        <w:t xml:space="preserve">El ámbito material de la prohibición contenida </w:t>
      </w:r>
      <w:bookmarkStart w:id="21" w:name="_Hlk75628761"/>
      <w:r w:rsidRPr="002B6BAB">
        <w:rPr>
          <w:rFonts w:ascii="Arial" w:eastAsia="Times New Roman" w:hAnsi="Arial" w:cs="Arial"/>
          <w:bCs/>
          <w:lang w:val="es-ES_tradnl" w:eastAsia="x-none"/>
        </w:rPr>
        <w:t xml:space="preserve">en el artículo 33 de la ley 996 de 2005 </w:t>
      </w:r>
      <w:bookmarkEnd w:id="21"/>
      <w:r w:rsidRPr="002B6BAB">
        <w:rPr>
          <w:rFonts w:ascii="Arial" w:eastAsia="Times New Roman" w:hAnsi="Arial" w:cs="Arial"/>
          <w:bCs/>
          <w:lang w:val="es-ES_tradnl" w:eastAsia="x-none"/>
        </w:rPr>
        <w:t xml:space="preserve">está delimitado por la expresión </w:t>
      </w:r>
      <w:r w:rsidRPr="002B6BAB">
        <w:rPr>
          <w:rFonts w:ascii="Arial" w:eastAsia="Calibri" w:hAnsi="Arial" w:cs="Arial"/>
          <w:bCs/>
          <w:sz w:val="20"/>
          <w:szCs w:val="20"/>
          <w:lang w:val="es-ES_tradnl"/>
        </w:rPr>
        <w:t>«</w:t>
      </w:r>
      <w:r w:rsidRPr="002B6BAB">
        <w:rPr>
          <w:rFonts w:ascii="Arial" w:eastAsia="Times New Roman" w:hAnsi="Arial" w:cs="Arial"/>
          <w:bCs/>
          <w:lang w:val="es-ES_tradnl" w:eastAsia="x-none"/>
        </w:rPr>
        <w:t>queda prohibida la contratación directa</w:t>
      </w:r>
      <w:r w:rsidRPr="002B6BAB">
        <w:rPr>
          <w:rFonts w:ascii="Arial" w:eastAsia="Calibri" w:hAnsi="Arial" w:cs="Arial"/>
          <w:sz w:val="20"/>
          <w:szCs w:val="20"/>
          <w:lang w:val="es-ES_tradnl"/>
        </w:rPr>
        <w:t>»</w:t>
      </w:r>
      <w:r w:rsidRPr="002B6BAB">
        <w:rPr>
          <w:rFonts w:ascii="Arial" w:eastAsia="Times New Roman" w:hAnsi="Arial" w:cs="Arial"/>
          <w:bCs/>
          <w:lang w:val="es-ES_tradnl" w:eastAsia="x-none"/>
        </w:rPr>
        <w:t>.</w:t>
      </w:r>
      <w:r>
        <w:rPr>
          <w:rFonts w:ascii="Arial" w:eastAsia="Times New Roman" w:hAnsi="Arial" w:cs="Arial"/>
          <w:bCs/>
          <w:lang w:val="es-ES_tradnl" w:eastAsia="x-none"/>
        </w:rPr>
        <w:t xml:space="preserve"> </w:t>
      </w:r>
      <w:r w:rsidRPr="002B6BAB">
        <w:rPr>
          <w:rFonts w:ascii="Arial" w:eastAsia="Times New Roman" w:hAnsi="Arial" w:cs="Arial"/>
          <w:lang w:val="es-ES_tradnl" w:eastAsia="es-CO"/>
        </w:rPr>
        <w:t>A propósito de esta restricción de la Ley de Garantías Electorales, la Sala de Consulta y Servicio Civil del Consejo de Estado ha considerado que:</w:t>
      </w:r>
    </w:p>
    <w:p w14:paraId="7E02FEF0" w14:textId="77777777" w:rsidR="00013576" w:rsidRPr="002B6BAB" w:rsidRDefault="00013576" w:rsidP="00013576">
      <w:pPr>
        <w:spacing w:after="0" w:line="276" w:lineRule="auto"/>
        <w:ind w:left="708" w:right="709"/>
        <w:jc w:val="both"/>
        <w:rPr>
          <w:rFonts w:ascii="Arial" w:eastAsia="Calibri" w:hAnsi="Arial" w:cs="Arial"/>
          <w:sz w:val="21"/>
          <w:szCs w:val="21"/>
          <w:lang w:val="es-ES_tradnl"/>
        </w:rPr>
      </w:pPr>
    </w:p>
    <w:p w14:paraId="53FB28DC" w14:textId="77777777" w:rsidR="00013576" w:rsidRPr="002B6BAB" w:rsidRDefault="00013576" w:rsidP="00013576">
      <w:pPr>
        <w:spacing w:after="120" w:line="240" w:lineRule="auto"/>
        <w:ind w:left="709" w:right="709"/>
        <w:jc w:val="both"/>
        <w:rPr>
          <w:rFonts w:ascii="Arial" w:eastAsia="Calibri" w:hAnsi="Arial" w:cs="Arial"/>
          <w:sz w:val="21"/>
          <w:szCs w:val="21"/>
          <w:lang w:val="es-ES_tradnl"/>
        </w:rPr>
      </w:pPr>
      <w:r w:rsidRPr="002B6BAB">
        <w:rPr>
          <w:rFonts w:ascii="Arial" w:eastAsia="Calibri" w:hAnsi="Arial" w:cs="Arial"/>
          <w:sz w:val="21"/>
          <w:szCs w:val="21"/>
          <w:lang w:val="es-ES_tradnl"/>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2B6BAB">
        <w:rPr>
          <w:rFonts w:ascii="Arial" w:eastAsia="Times New Roman" w:hAnsi="Arial" w:cs="Arial"/>
          <w:vertAlign w:val="superscript"/>
          <w:lang w:val="es-ES_tradnl" w:eastAsia="es-CO"/>
        </w:rPr>
        <w:footnoteReference w:id="29"/>
      </w:r>
      <w:r w:rsidRPr="002B6BAB">
        <w:rPr>
          <w:rFonts w:ascii="Arial" w:eastAsia="Calibri" w:hAnsi="Arial" w:cs="Arial"/>
          <w:sz w:val="21"/>
          <w:szCs w:val="21"/>
          <w:lang w:val="es-ES_tradnl"/>
        </w:rPr>
        <w:t>.</w:t>
      </w:r>
    </w:p>
    <w:p w14:paraId="655B5A82" w14:textId="77777777" w:rsidR="00013576" w:rsidRPr="002B6BAB" w:rsidRDefault="00013576" w:rsidP="00013576">
      <w:pPr>
        <w:spacing w:after="0" w:line="240" w:lineRule="auto"/>
        <w:ind w:left="708" w:right="709"/>
        <w:jc w:val="both"/>
        <w:rPr>
          <w:rFonts w:ascii="Arial" w:eastAsia="Calibri" w:hAnsi="Arial" w:cs="Arial"/>
          <w:sz w:val="21"/>
          <w:szCs w:val="21"/>
          <w:lang w:val="es-ES_tradnl"/>
        </w:rPr>
      </w:pPr>
      <w:r w:rsidRPr="002B6BAB">
        <w:rPr>
          <w:rFonts w:ascii="Arial" w:eastAsia="Calibri" w:hAnsi="Arial" w:cs="Arial"/>
          <w:sz w:val="21"/>
          <w:szCs w:val="21"/>
          <w:lang w:val="es-ES_tradnl"/>
        </w:rPr>
        <w:t xml:space="preserve">Esta Sala ha entendido que para los efectos de la ley de garantías, y dada su finalidad, el enunciado ´contratación directa´ es sinónimo </w:t>
      </w:r>
      <w:bookmarkStart w:id="24" w:name="_Hlk75741738"/>
      <w:r w:rsidRPr="002B6BAB">
        <w:rPr>
          <w:rFonts w:ascii="Arial" w:eastAsia="Calibri" w:hAnsi="Arial" w:cs="Arial"/>
          <w:sz w:val="21"/>
          <w:szCs w:val="21"/>
          <w:lang w:val="es-ES_tradnl"/>
        </w:rPr>
        <w:t xml:space="preserve">de cualquier sistema que no implique convocatoria pública y posibilidad de pluralidad de oferentes, </w:t>
      </w:r>
      <w:bookmarkEnd w:id="24"/>
      <w:r w:rsidRPr="002B6BAB">
        <w:rPr>
          <w:rFonts w:ascii="Arial" w:eastAsia="Calibri" w:hAnsi="Arial" w:cs="Arial"/>
          <w:sz w:val="21"/>
          <w:szCs w:val="21"/>
          <w:lang w:val="es-ES_tradnl"/>
        </w:rPr>
        <w:t>y que, además, no necesariamente hace referencia al procedimiento especial regulado por la ley de contratación estatal, sino a cualquier otro que prescinda de un proceso de licitación pública o concurso</w:t>
      </w:r>
      <w:r w:rsidRPr="002B6BAB">
        <w:rPr>
          <w:rFonts w:ascii="Arial" w:eastAsia="Times New Roman" w:hAnsi="Arial" w:cs="Arial"/>
          <w:sz w:val="21"/>
          <w:szCs w:val="21"/>
          <w:vertAlign w:val="superscript"/>
          <w:lang w:val="es-ES_tradnl"/>
        </w:rPr>
        <w:footnoteReference w:id="30"/>
      </w:r>
      <w:r w:rsidRPr="002B6BAB">
        <w:rPr>
          <w:rFonts w:ascii="Arial" w:eastAsia="Times New Roman" w:hAnsi="Arial" w:cs="Arial"/>
          <w:sz w:val="21"/>
          <w:szCs w:val="21"/>
          <w:vertAlign w:val="superscript"/>
          <w:lang w:val="es-ES_tradnl"/>
        </w:rPr>
        <w:t>.</w:t>
      </w:r>
      <w:r w:rsidRPr="002B6BAB">
        <w:rPr>
          <w:rFonts w:ascii="Arial" w:eastAsia="Calibri" w:hAnsi="Arial" w:cs="Arial"/>
          <w:sz w:val="21"/>
          <w:szCs w:val="21"/>
          <w:lang w:val="es-ES_tradnl"/>
        </w:rPr>
        <w:t xml:space="preserve"> Por tanto, no son materia de la </w:t>
      </w:r>
      <w:r w:rsidRPr="002B6BAB">
        <w:rPr>
          <w:rFonts w:ascii="Arial" w:eastAsia="Calibri" w:hAnsi="Arial" w:cs="Arial"/>
          <w:sz w:val="21"/>
          <w:szCs w:val="21"/>
          <w:lang w:val="es-ES_tradnl"/>
        </w:rPr>
        <w:lastRenderedPageBreak/>
        <w:t>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2B6BAB">
        <w:rPr>
          <w:rFonts w:ascii="Arial" w:eastAsia="Times New Roman" w:hAnsi="Arial" w:cs="Arial"/>
          <w:vertAlign w:val="superscript"/>
          <w:lang w:val="es-ES_tradnl" w:eastAsia="es-CO"/>
        </w:rPr>
        <w:footnoteReference w:id="31"/>
      </w:r>
      <w:r w:rsidRPr="002B6BAB">
        <w:rPr>
          <w:rFonts w:ascii="Arial" w:eastAsia="Calibri" w:hAnsi="Arial" w:cs="Arial"/>
          <w:sz w:val="21"/>
          <w:szCs w:val="21"/>
          <w:lang w:val="es-ES_tradnl"/>
        </w:rPr>
        <w:t xml:space="preserve"> .</w:t>
      </w:r>
    </w:p>
    <w:p w14:paraId="7CAC1E37" w14:textId="77777777" w:rsidR="00013576" w:rsidRPr="002B6BAB" w:rsidRDefault="00013576" w:rsidP="00013576">
      <w:pPr>
        <w:spacing w:after="0" w:line="276" w:lineRule="auto"/>
        <w:ind w:firstLine="709"/>
        <w:jc w:val="both"/>
        <w:rPr>
          <w:rFonts w:ascii="Arial" w:eastAsia="Times New Roman" w:hAnsi="Arial" w:cs="Arial"/>
          <w:lang w:val="es-ES_tradnl" w:eastAsia="x-none"/>
        </w:rPr>
      </w:pPr>
    </w:p>
    <w:p w14:paraId="721020E2" w14:textId="77777777" w:rsidR="00013576" w:rsidRPr="002B6BAB" w:rsidRDefault="00013576" w:rsidP="00013576">
      <w:pPr>
        <w:spacing w:after="120" w:line="276" w:lineRule="auto"/>
        <w:ind w:firstLine="708"/>
        <w:jc w:val="both"/>
        <w:rPr>
          <w:rFonts w:ascii="Arial" w:eastAsia="Times New Roman" w:hAnsi="Arial" w:cs="Arial"/>
          <w:bCs/>
          <w:lang w:val="es-ES_tradnl" w:eastAsia="x-none"/>
        </w:rPr>
      </w:pPr>
      <w:r w:rsidRPr="00097A6E">
        <w:rPr>
          <w:rFonts w:ascii="Arial" w:hAnsi="Arial" w:cs="Arial"/>
          <w:lang w:val="es-ES_tradnl" w:eastAsia="x-none"/>
        </w:rPr>
        <w:t xml:space="preserve">De acuerdo con el citado concepto, la prohibición del artículo 33 de la Ley de Garantías Electorales se refiere a </w:t>
      </w:r>
      <w:r w:rsidRPr="00097A6E">
        <w:rPr>
          <w:rFonts w:ascii="Arial" w:hAnsi="Arial" w:cs="Arial"/>
          <w:sz w:val="19"/>
          <w:szCs w:val="19"/>
          <w:lang w:val="es-ES_tradnl" w:eastAsia="en-GB"/>
        </w:rPr>
        <w:t>«</w:t>
      </w:r>
      <w:r w:rsidRPr="00097A6E">
        <w:rPr>
          <w:rFonts w:ascii="Arial" w:hAnsi="Arial" w:cs="Arial"/>
          <w:lang w:val="es-ES_tradnl" w:eastAsia="x-none"/>
        </w:rPr>
        <w:t>cualquier sistema que no implique convocatoria pública y posibilidad de pluralidad de oferentes</w:t>
      </w:r>
      <w:r w:rsidRPr="00097A6E">
        <w:rPr>
          <w:rFonts w:ascii="Arial" w:hAnsi="Arial" w:cs="Arial"/>
          <w:lang w:val="es-ES_tradnl" w:eastAsia="en-GB"/>
        </w:rPr>
        <w:t>»</w:t>
      </w:r>
      <w:r w:rsidRPr="00097A6E">
        <w:rPr>
          <w:rFonts w:ascii="Arial" w:hAnsi="Arial" w:cs="Arial"/>
          <w:lang w:val="es-ES_tradnl" w:eastAsia="x-none"/>
        </w:rPr>
        <w:t>, por lo que excluye las demás modalidades de contratación previstas en la Ley 1150 de 2007, es decir, la licitación pública, la selección abreviada</w:t>
      </w:r>
      <w:r>
        <w:rPr>
          <w:rFonts w:ascii="Arial" w:hAnsi="Arial" w:cs="Arial"/>
          <w:lang w:val="es-ES_tradnl" w:eastAsia="x-none"/>
        </w:rPr>
        <w:t>,</w:t>
      </w:r>
      <w:r w:rsidRPr="00097A6E">
        <w:rPr>
          <w:rFonts w:ascii="Arial" w:hAnsi="Arial" w:cs="Arial"/>
          <w:lang w:val="es-ES_tradnl" w:eastAsia="x-none"/>
        </w:rPr>
        <w:t xml:space="preserve"> el concurso de méritos </w:t>
      </w:r>
      <w:r>
        <w:rPr>
          <w:rFonts w:ascii="Arial" w:hAnsi="Arial" w:cs="Arial"/>
          <w:lang w:val="es-ES_tradnl" w:eastAsia="x-none"/>
        </w:rPr>
        <w:t xml:space="preserve">y la mínima cuantía </w:t>
      </w:r>
      <w:r w:rsidRPr="00097A6E">
        <w:rPr>
          <w:rFonts w:ascii="Arial" w:hAnsi="Arial" w:cs="Arial"/>
          <w:lang w:val="es-ES_tradnl" w:eastAsia="x-none"/>
        </w:rPr>
        <w:t>u otros previstos en normas especiales</w:t>
      </w:r>
      <w:r>
        <w:rPr>
          <w:rFonts w:ascii="Arial" w:hAnsi="Arial" w:cs="Arial"/>
          <w:lang w:val="es-ES_tradnl" w:eastAsia="x-none"/>
        </w:rPr>
        <w:t>, que contemplen en alguna de sus etapas la posible participación de pluralidad de oferentes</w:t>
      </w:r>
      <w:r w:rsidRPr="00097A6E">
        <w:rPr>
          <w:rFonts w:ascii="Arial" w:hAnsi="Arial" w:cs="Arial"/>
          <w:lang w:val="es-ES_tradnl" w:eastAsia="x-none"/>
        </w:rPr>
        <w:t>. Esta posición es congruente con la expedición de la Ley 1150 de 2007 que, entre otras reformas, introdujo la selección abreviada, rediseñó el concurso de méritos</w:t>
      </w:r>
      <w:r w:rsidRPr="00097A6E">
        <w:rPr>
          <w:rFonts w:ascii="Arial" w:hAnsi="Arial" w:cs="Arial"/>
          <w:vertAlign w:val="superscript"/>
          <w:lang w:val="es-ES_tradnl" w:eastAsia="x-none"/>
        </w:rPr>
        <w:footnoteReference w:id="32"/>
      </w:r>
      <w:r w:rsidRPr="00097A6E">
        <w:rPr>
          <w:rFonts w:ascii="Arial" w:hAnsi="Arial" w:cs="Arial"/>
          <w:lang w:val="es-ES_tradnl" w:eastAsia="x-none"/>
        </w:rPr>
        <w:t xml:space="preserve"> y sistematizó las causales de contratación directa</w:t>
      </w:r>
      <w:r w:rsidRPr="00097A6E">
        <w:rPr>
          <w:rFonts w:ascii="Arial" w:hAnsi="Arial" w:cs="Arial"/>
          <w:vertAlign w:val="superscript"/>
          <w:lang w:val="es-ES_tradnl" w:eastAsia="x-none"/>
        </w:rPr>
        <w:footnoteReference w:id="33"/>
      </w:r>
      <w:r>
        <w:rPr>
          <w:rFonts w:ascii="Arial" w:hAnsi="Arial" w:cs="Arial"/>
          <w:lang w:val="es-ES_tradnl" w:eastAsia="x-none"/>
        </w:rPr>
        <w:t xml:space="preserve">, </w:t>
      </w:r>
      <w:r w:rsidRPr="006078F3">
        <w:rPr>
          <w:rFonts w:ascii="Arial" w:hAnsi="Arial" w:cs="Arial"/>
          <w:color w:val="000000" w:themeColor="text1"/>
          <w:lang w:eastAsia="x-none"/>
        </w:rPr>
        <w:t>además lo es con la posterior creación de la modalidad de mínima cuantía establecida actualmente en el numeral 5 del artículo 2 de la Ley 1150 de 2007, de acuerdo con las modificaciones realizadas por leyes posteriores.</w:t>
      </w:r>
    </w:p>
    <w:p w14:paraId="6FCA7682" w14:textId="77777777" w:rsidR="00013576" w:rsidRPr="002B6BAB" w:rsidRDefault="00013576" w:rsidP="00013576">
      <w:pPr>
        <w:spacing w:after="120" w:line="276" w:lineRule="auto"/>
        <w:ind w:firstLine="708"/>
        <w:jc w:val="both"/>
        <w:rPr>
          <w:rFonts w:ascii="Arial" w:eastAsia="Times New Roman" w:hAnsi="Arial" w:cs="Arial"/>
          <w:lang w:val="es-ES_tradnl" w:eastAsia="x-none"/>
        </w:rPr>
      </w:pPr>
      <w:r w:rsidRPr="002B6BAB">
        <w:rPr>
          <w:rFonts w:ascii="Arial" w:eastAsia="Times New Roman" w:hAnsi="Arial" w:cs="Arial"/>
          <w:lang w:val="es-ES_tradnl" w:eastAsia="x-none"/>
        </w:rPr>
        <w:t xml:space="preserve">De esta forma, con fundamento en la evolución de la normativa sobre la contratación pública, se ha depurado la noción de </w:t>
      </w:r>
      <w:r w:rsidRPr="002B6BAB">
        <w:rPr>
          <w:rFonts w:ascii="Arial" w:eastAsia="Times New Roman" w:hAnsi="Arial" w:cs="Arial"/>
          <w:sz w:val="19"/>
          <w:szCs w:val="19"/>
          <w:lang w:val="es-ES_tradnl" w:eastAsia="en-GB"/>
        </w:rPr>
        <w:t>«</w:t>
      </w:r>
      <w:r w:rsidRPr="002B6BAB">
        <w:rPr>
          <w:rFonts w:ascii="Arial" w:eastAsia="Times New Roman" w:hAnsi="Arial" w:cs="Arial"/>
          <w:lang w:val="es-ES_tradnl" w:eastAsia="x-none"/>
        </w:rPr>
        <w:t>contratación directa</w:t>
      </w:r>
      <w:r w:rsidRPr="002B6BAB">
        <w:rPr>
          <w:rFonts w:ascii="Arial" w:eastAsia="Times New Roman" w:hAnsi="Arial" w:cs="Arial"/>
          <w:lang w:val="es-ES_tradnl" w:eastAsia="en-GB"/>
        </w:rPr>
        <w:t>»</w:t>
      </w:r>
      <w:r w:rsidRPr="002B6BAB">
        <w:rPr>
          <w:rFonts w:ascii="Arial" w:eastAsia="Times New Roman" w:hAnsi="Arial" w:cs="Arial"/>
          <w:lang w:val="es-ES_tradnl"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2B6BAB">
        <w:rPr>
          <w:rFonts w:ascii="Arial" w:eastAsia="Times New Roman" w:hAnsi="Arial" w:cs="Arial"/>
          <w:vertAlign w:val="superscript"/>
          <w:lang w:val="es-ES_tradnl" w:eastAsia="x-none"/>
        </w:rPr>
        <w:footnoteReference w:id="34"/>
      </w:r>
      <w:r w:rsidRPr="002B6BAB">
        <w:rPr>
          <w:rFonts w:ascii="Arial" w:eastAsia="Times New Roman" w:hAnsi="Arial" w:cs="Arial"/>
          <w:lang w:val="es-ES_tradnl" w:eastAsia="x-none"/>
        </w:rPr>
        <w:t>, han establecido sistemas de contratación que implican convocatoria pública y participación de varios oferentes</w:t>
      </w:r>
      <w:r w:rsidRPr="002B6BAB">
        <w:rPr>
          <w:rFonts w:ascii="Arial" w:eastAsia="Times New Roman" w:hAnsi="Arial" w:cs="Arial"/>
          <w:lang w:val="es-ES_tradnl" w:eastAsia="en-GB"/>
        </w:rPr>
        <w:t>»</w:t>
      </w:r>
      <w:r w:rsidRPr="002B6BAB">
        <w:rPr>
          <w:rFonts w:ascii="Arial" w:eastAsia="Times New Roman" w:hAnsi="Arial" w:cs="Arial"/>
          <w:lang w:val="es-ES_tradnl" w:eastAsia="x-none"/>
        </w:rPr>
        <w:t xml:space="preserve">. </w:t>
      </w:r>
    </w:p>
    <w:p w14:paraId="45315588" w14:textId="77777777" w:rsidR="00013576" w:rsidRPr="002B6BAB" w:rsidRDefault="00013576" w:rsidP="00013576">
      <w:pPr>
        <w:spacing w:after="120" w:line="276" w:lineRule="auto"/>
        <w:ind w:firstLine="708"/>
        <w:jc w:val="both"/>
        <w:rPr>
          <w:rFonts w:ascii="Arial" w:eastAsia="Times New Roman" w:hAnsi="Arial" w:cs="Arial"/>
          <w:bCs/>
          <w:lang w:val="es-ES_tradnl" w:eastAsia="es-CO"/>
        </w:rPr>
      </w:pPr>
      <w:r w:rsidRPr="002B6BAB">
        <w:rPr>
          <w:rFonts w:ascii="Arial" w:eastAsia="Times New Roman" w:hAnsi="Arial" w:cs="Arial"/>
          <w:bCs/>
          <w:lang w:val="es-ES_tradnl" w:eastAsia="x-none"/>
        </w:rPr>
        <w:t>E</w:t>
      </w:r>
      <w:r w:rsidRPr="002B6BAB">
        <w:rPr>
          <w:rFonts w:ascii="Arial" w:eastAsia="Times New Roman" w:hAnsi="Arial" w:cs="Arial"/>
          <w:lang w:val="es-ES_tradnl" w:eastAsia="x-none"/>
        </w:rPr>
        <w:t xml:space="preserve">n efecto, vale la pena mencionar que, </w:t>
      </w:r>
      <w:bookmarkStart w:id="27" w:name="_Hlk75636073"/>
      <w:r w:rsidRPr="002B6BAB">
        <w:rPr>
          <w:rFonts w:ascii="Arial" w:eastAsia="Times New Roman" w:hAnsi="Arial" w:cs="Arial"/>
          <w:lang w:val="es-ES_tradnl" w:eastAsia="x-none"/>
        </w:rPr>
        <w:t xml:space="preserve">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w:t>
      </w:r>
      <w:r w:rsidRPr="002B6BAB">
        <w:rPr>
          <w:rFonts w:ascii="Arial" w:eastAsia="Times New Roman" w:hAnsi="Arial" w:cs="Arial"/>
          <w:lang w:val="es-ES_tradnl" w:eastAsia="x-none"/>
        </w:rPr>
        <w:lastRenderedPageBreak/>
        <w:t>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7"/>
      <w:r w:rsidRPr="002B6BAB">
        <w:rPr>
          <w:rFonts w:ascii="Arial" w:eastAsia="Times New Roman" w:hAnsi="Arial" w:cs="Arial"/>
          <w:vertAlign w:val="superscript"/>
          <w:lang w:val="es-ES_tradnl" w:eastAsia="x-none"/>
        </w:rPr>
        <w:footnoteReference w:id="35"/>
      </w:r>
      <w:r w:rsidRPr="002B6BAB">
        <w:rPr>
          <w:rFonts w:ascii="Arial" w:eastAsia="Times New Roman" w:hAnsi="Arial" w:cs="Arial"/>
          <w:lang w:val="es-ES_tradnl" w:eastAsia="x-none"/>
        </w:rPr>
        <w:t xml:space="preserve">. </w:t>
      </w:r>
    </w:p>
    <w:p w14:paraId="10AB2970" w14:textId="77777777" w:rsidR="00013576" w:rsidRPr="002B6BAB" w:rsidRDefault="00013576" w:rsidP="00013576">
      <w:pPr>
        <w:spacing w:after="120" w:line="276" w:lineRule="auto"/>
        <w:ind w:firstLine="708"/>
        <w:jc w:val="both"/>
        <w:rPr>
          <w:rFonts w:ascii="Arial" w:eastAsia="Times New Roman" w:hAnsi="Arial" w:cs="Arial"/>
          <w:bCs/>
          <w:lang w:val="es-ES_tradnl" w:eastAsia="es-CO"/>
        </w:rPr>
      </w:pPr>
      <w:r w:rsidRPr="002B6BAB">
        <w:rPr>
          <w:rFonts w:ascii="Arial" w:eastAsia="Times New Roman" w:hAnsi="Arial" w:cs="Arial"/>
          <w:bCs/>
          <w:lang w:val="es-ES_tradnl"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Pr>
          <w:rFonts w:ascii="Arial" w:eastAsia="Times New Roman" w:hAnsi="Arial" w:cs="Arial"/>
          <w:bCs/>
          <w:lang w:val="es-ES_tradnl" w:eastAsia="es-CO"/>
        </w:rPr>
        <w:t>G</w:t>
      </w:r>
      <w:r w:rsidRPr="002B6BAB">
        <w:rPr>
          <w:rFonts w:ascii="Arial" w:eastAsia="Times New Roman" w:hAnsi="Arial" w:cs="Arial"/>
          <w:bCs/>
          <w:lang w:val="es-ES_tradnl" w:eastAsia="es-CO"/>
        </w:rPr>
        <w:t>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116157CD" w14:textId="77777777" w:rsidR="00013576" w:rsidRPr="002B6BAB" w:rsidRDefault="00013576" w:rsidP="00013576">
      <w:pPr>
        <w:spacing w:after="120" w:line="276" w:lineRule="auto"/>
        <w:ind w:firstLine="708"/>
        <w:jc w:val="both"/>
        <w:rPr>
          <w:rFonts w:ascii="Arial" w:eastAsia="Times New Roman" w:hAnsi="Arial" w:cs="Arial"/>
          <w:bCs/>
          <w:lang w:val="es-ES_tradnl" w:eastAsia="x-none"/>
        </w:rPr>
      </w:pPr>
      <w:bookmarkStart w:id="28" w:name="_Hlk78818796"/>
      <w:r w:rsidRPr="002B6BAB">
        <w:rPr>
          <w:rFonts w:ascii="Arial" w:eastAsia="Times New Roman" w:hAnsi="Arial" w:cs="Arial"/>
          <w:bCs/>
          <w:lang w:val="es-ES_tradnl"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2B6BAB">
        <w:rPr>
          <w:rFonts w:ascii="Arial" w:eastAsia="Times New Roman" w:hAnsi="Arial" w:cs="Arial"/>
          <w:vertAlign w:val="superscript"/>
          <w:lang w:val="es-ES_tradnl" w:eastAsia="x-none"/>
        </w:rPr>
        <w:footnoteReference w:id="36"/>
      </w:r>
      <w:r w:rsidRPr="002B6BAB">
        <w:rPr>
          <w:rFonts w:ascii="Arial" w:eastAsia="Times New Roman" w:hAnsi="Arial" w:cs="Arial"/>
          <w:bCs/>
          <w:lang w:val="es-ES_tradnl" w:eastAsia="x-none"/>
        </w:rPr>
        <w:t>.</w:t>
      </w:r>
      <w:r w:rsidRPr="002B6BAB">
        <w:rPr>
          <w:rFonts w:ascii="Arial" w:eastAsia="Times New Roman" w:hAnsi="Arial" w:cs="Arial"/>
          <w:vertAlign w:val="superscript"/>
          <w:lang w:val="es-ES_tradnl" w:eastAsia="x-none"/>
        </w:rPr>
        <w:t xml:space="preserve"> </w:t>
      </w:r>
    </w:p>
    <w:bookmarkEnd w:id="28"/>
    <w:p w14:paraId="5E720A18" w14:textId="77777777" w:rsidR="00013576" w:rsidRPr="002B6BAB" w:rsidRDefault="00013576" w:rsidP="00013576">
      <w:pPr>
        <w:spacing w:after="120" w:line="276" w:lineRule="auto"/>
        <w:ind w:firstLine="708"/>
        <w:jc w:val="both"/>
        <w:rPr>
          <w:rFonts w:ascii="Arial" w:eastAsia="Times New Roman" w:hAnsi="Arial" w:cs="Arial"/>
          <w:lang w:val="es-ES_tradnl" w:eastAsia="x-none"/>
        </w:rPr>
      </w:pPr>
      <w:r w:rsidRPr="002B6BAB">
        <w:rPr>
          <w:rFonts w:ascii="Arial" w:eastAsia="Times New Roman" w:hAnsi="Arial" w:cs="Arial"/>
          <w:bCs/>
          <w:lang w:val="es-ES_tradnl" w:eastAsia="x-none"/>
        </w:rPr>
        <w:t>De lo anterior se desprende que la restricción aplica, sin perjuicio de las excepciones establecidas en la misma ley, para celebrar cualquier contrato de forma directa, esto es, sin que exista un proceso abierto y competitivo.</w:t>
      </w:r>
      <w:r w:rsidRPr="002B6BAB">
        <w:rPr>
          <w:rFonts w:ascii="Arial" w:eastAsia="Times New Roman" w:hAnsi="Arial" w:cs="Arial"/>
          <w:lang w:val="es-ES_tradnl" w:eastAsia="x-none"/>
        </w:rPr>
        <w:t xml:space="preserve"> Por tanto, no son materia de la prohibición las demás modalidades de selección previstas en la Ley 1150 de 2007, es decir, la licitación pública, el concurso de méritos</w:t>
      </w:r>
      <w:r>
        <w:rPr>
          <w:rFonts w:ascii="Arial" w:eastAsia="Times New Roman" w:hAnsi="Arial" w:cs="Arial"/>
          <w:lang w:val="es-ES_tradnl" w:eastAsia="x-none"/>
        </w:rPr>
        <w:t>,</w:t>
      </w:r>
      <w:r w:rsidRPr="002B6BAB">
        <w:rPr>
          <w:rFonts w:ascii="Arial" w:eastAsia="Times New Roman" w:hAnsi="Arial" w:cs="Arial"/>
          <w:lang w:val="es-ES_tradnl" w:eastAsia="x-none"/>
        </w:rPr>
        <w:t xml:space="preserve"> la selección abreviada</w:t>
      </w:r>
      <w:r>
        <w:rPr>
          <w:rFonts w:ascii="Arial" w:eastAsia="Times New Roman" w:hAnsi="Arial" w:cs="Arial"/>
          <w:lang w:val="es-ES_tradnl" w:eastAsia="x-none"/>
        </w:rPr>
        <w:t xml:space="preserve"> y la mínima cuantía,</w:t>
      </w:r>
      <w:r w:rsidRPr="002B6BAB">
        <w:rPr>
          <w:rFonts w:ascii="Arial" w:eastAsia="Times New Roman" w:hAnsi="Arial" w:cs="Arial"/>
          <w:lang w:val="es-ES_tradnl" w:eastAsia="x-none"/>
        </w:rPr>
        <w:t xml:space="preserve"> razón por la cual en ese período preelectoral de que trata la disposición las entidades públicas pueden seguir contratando bajo estos sistemas.</w:t>
      </w:r>
    </w:p>
    <w:p w14:paraId="57FA2484" w14:textId="77777777" w:rsidR="00013576" w:rsidRPr="002B6BAB" w:rsidRDefault="00013576" w:rsidP="00013576">
      <w:pPr>
        <w:spacing w:after="120" w:line="276" w:lineRule="auto"/>
        <w:ind w:firstLine="708"/>
        <w:jc w:val="both"/>
        <w:rPr>
          <w:rFonts w:ascii="Arial" w:eastAsia="Times New Roman" w:hAnsi="Arial" w:cs="Arial"/>
          <w:bCs/>
          <w:lang w:val="es-ES_tradnl" w:eastAsia="x-none"/>
        </w:rPr>
      </w:pPr>
      <w:bookmarkStart w:id="29" w:name="_Hlk77237094"/>
      <w:r w:rsidRPr="002B6BAB">
        <w:rPr>
          <w:rFonts w:ascii="Arial" w:eastAsia="Times New Roman" w:hAnsi="Arial" w:cs="Arial"/>
          <w:bCs/>
          <w:lang w:val="es-ES_tradnl"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9"/>
    </w:p>
    <w:p w14:paraId="3257C813" w14:textId="77777777" w:rsidR="00013576" w:rsidRPr="002B6BAB" w:rsidRDefault="00013576" w:rsidP="00013576">
      <w:pPr>
        <w:spacing w:after="120" w:line="276" w:lineRule="auto"/>
        <w:ind w:firstLine="708"/>
        <w:jc w:val="both"/>
        <w:rPr>
          <w:rFonts w:ascii="Arial" w:eastAsia="Times New Roman" w:hAnsi="Arial" w:cs="Arial"/>
          <w:bCs/>
          <w:lang w:val="es-ES_tradnl" w:eastAsia="es-CO"/>
        </w:rPr>
      </w:pPr>
      <w:r w:rsidRPr="002B6BAB">
        <w:rPr>
          <w:rFonts w:ascii="Arial" w:eastAsia="Times New Roman" w:hAnsi="Arial" w:cs="Arial"/>
          <w:bCs/>
          <w:lang w:val="es-ES_tradnl"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2B6BAB">
        <w:rPr>
          <w:rFonts w:ascii="Arial" w:eastAsia="Times New Roman" w:hAnsi="Arial" w:cs="Arial"/>
          <w:bCs/>
          <w:lang w:val="es-ES_tradnl" w:eastAsia="x-none"/>
        </w:rPr>
        <w:lastRenderedPageBreak/>
        <w:t>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2B6BAB">
        <w:rPr>
          <w:rFonts w:ascii="Arial" w:eastAsia="Times New Roman" w:hAnsi="Arial" w:cs="Arial"/>
          <w:bCs/>
          <w:lang w:val="es-ES_tradnl"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CA35EDC" w14:textId="77777777" w:rsidR="00013576" w:rsidRPr="002B6BAB" w:rsidRDefault="00013576" w:rsidP="00013576">
      <w:pPr>
        <w:spacing w:after="120" w:line="276" w:lineRule="auto"/>
        <w:ind w:firstLine="709"/>
        <w:jc w:val="both"/>
        <w:rPr>
          <w:rFonts w:ascii="Arial" w:eastAsia="Times New Roman" w:hAnsi="Arial" w:cs="Arial"/>
          <w:bCs/>
          <w:lang w:val="es-ES_tradnl" w:eastAsia="x-none"/>
        </w:rPr>
      </w:pPr>
      <w:r w:rsidRPr="002B6BAB">
        <w:rPr>
          <w:rFonts w:ascii="Arial" w:eastAsia="Times New Roman" w:hAnsi="Arial" w:cs="Arial"/>
          <w:bCs/>
          <w:lang w:val="es-ES_tradnl" w:eastAsia="x-none"/>
        </w:rPr>
        <w:t>En esta labor es importante tener en cuenta, como lo anotó la Corte Constitucional, en Sentencia C-1153 de noviembre 11 de 2005</w:t>
      </w:r>
      <w:r w:rsidRPr="002B6BAB">
        <w:rPr>
          <w:rFonts w:ascii="Calibri" w:eastAsia="Calibri" w:hAnsi="Calibri" w:cs="Times New Roman"/>
          <w:sz w:val="24"/>
          <w:vertAlign w:val="superscript"/>
          <w:lang w:val="es-ES_tradnl"/>
        </w:rPr>
        <w:t>,</w:t>
      </w:r>
      <w:r w:rsidRPr="002B6BAB">
        <w:rPr>
          <w:rFonts w:ascii="Arial" w:eastAsia="Times New Roman" w:hAnsi="Arial" w:cs="Arial"/>
          <w:bCs/>
          <w:lang w:val="es-ES_tradnl" w:eastAsia="x-none"/>
        </w:rPr>
        <w:t xml:space="preserve"> </w:t>
      </w:r>
      <w:bookmarkStart w:id="30" w:name="_Hlk74309042"/>
      <w:r w:rsidRPr="002B6BAB">
        <w:rPr>
          <w:rFonts w:ascii="Arial" w:eastAsia="Times New Roman" w:hAnsi="Arial" w:cs="Arial"/>
          <w:bCs/>
          <w:lang w:val="es-ES_tradnl" w:eastAsia="x-none"/>
        </w:rPr>
        <w:t>que «</w:t>
      </w:r>
      <w:bookmarkEnd w:id="30"/>
      <w:r w:rsidRPr="002B6BAB">
        <w:rPr>
          <w:rFonts w:ascii="Arial" w:eastAsia="Times New Roman" w:hAnsi="Arial" w:cs="Arial"/>
          <w:bCs/>
          <w:lang w:val="es-ES_tradnl" w:eastAsia="x-none"/>
        </w:rPr>
        <w:t xml:space="preserve">si bien la limitación garantiza la igualdad de condiciones, también es necesario que tal limitación que pretende la igualdad </w:t>
      </w:r>
      <w:bookmarkStart w:id="31" w:name="_Hlk75768308"/>
      <w:r w:rsidRPr="002B6BAB">
        <w:rPr>
          <w:rFonts w:ascii="Arial" w:eastAsia="Times New Roman" w:hAnsi="Arial" w:cs="Arial"/>
          <w:bCs/>
          <w:lang w:val="es-ES_tradnl" w:eastAsia="x-none"/>
        </w:rPr>
        <w:t>no termine yendo en detrimento de intereses públicos, cuya garantía está en cabeza del ejecutivo, como son los inmersos en las excepciones para la prohibición de contratación</w:t>
      </w:r>
      <w:bookmarkStart w:id="32" w:name="_Hlk74309060"/>
      <w:r w:rsidRPr="002B6BAB">
        <w:rPr>
          <w:rFonts w:ascii="Arial" w:eastAsia="Times New Roman" w:hAnsi="Arial" w:cs="Arial"/>
          <w:bCs/>
          <w:lang w:val="es-ES_tradnl" w:eastAsia="x-none"/>
        </w:rPr>
        <w:t>»</w:t>
      </w:r>
      <w:bookmarkEnd w:id="32"/>
      <w:r w:rsidRPr="002B6BAB">
        <w:rPr>
          <w:rFonts w:ascii="Arial" w:eastAsia="Calibri" w:hAnsi="Arial" w:cs="Arial"/>
          <w:vertAlign w:val="superscript"/>
          <w:lang w:val="es-ES_tradnl"/>
        </w:rPr>
        <w:footnoteReference w:id="37"/>
      </w:r>
      <w:r w:rsidRPr="002B6BAB">
        <w:rPr>
          <w:rFonts w:ascii="Arial" w:eastAsia="Times New Roman" w:hAnsi="Arial" w:cs="Arial"/>
          <w:bCs/>
          <w:lang w:val="es-ES_tradnl"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33" w:name="_Hlk75783800"/>
      <w:bookmarkEnd w:id="31"/>
    </w:p>
    <w:p w14:paraId="527B1595" w14:textId="77777777" w:rsidR="00013576" w:rsidRPr="002B6BAB" w:rsidRDefault="00013576" w:rsidP="00013576">
      <w:pPr>
        <w:spacing w:after="0" w:line="276" w:lineRule="auto"/>
        <w:jc w:val="both"/>
        <w:rPr>
          <w:rFonts w:ascii="Arial" w:eastAsia="Times New Roman" w:hAnsi="Arial" w:cs="Arial"/>
          <w:bCs/>
          <w:lang w:val="es-ES_tradnl" w:eastAsia="x-none"/>
        </w:rPr>
      </w:pPr>
      <w:r>
        <w:rPr>
          <w:rFonts w:ascii="Arial" w:eastAsia="Times New Roman" w:hAnsi="Arial" w:cs="Arial"/>
          <w:b/>
          <w:lang w:val="es-ES_tradnl" w:eastAsia="x-none"/>
        </w:rPr>
        <w:tab/>
      </w:r>
      <w:r w:rsidRPr="002B6BAB">
        <w:rPr>
          <w:rFonts w:ascii="Arial" w:eastAsia="Times New Roman" w:hAnsi="Arial" w:cs="Arial"/>
          <w:bCs/>
          <w:lang w:val="es-ES_tradnl"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2B6BAB">
        <w:rPr>
          <w:rFonts w:ascii="Calibri" w:eastAsia="Calibri" w:hAnsi="Calibri" w:cs="Times New Roman"/>
          <w:sz w:val="24"/>
          <w:lang w:val="es-ES_tradnl"/>
        </w:rPr>
        <w:t xml:space="preserve"> </w:t>
      </w:r>
      <w:r w:rsidRPr="002B6BAB">
        <w:rPr>
          <w:rFonts w:ascii="Arial" w:eastAsia="Times New Roman" w:hAnsi="Arial" w:cs="Arial"/>
          <w:bCs/>
          <w:lang w:val="es-ES_tradnl" w:eastAsia="x-none"/>
        </w:rPr>
        <w:t xml:space="preserve">En efecto, tal como lo ha sostenido el Consejo de Estado, el vocablo </w:t>
      </w:r>
      <w:bookmarkStart w:id="34" w:name="_Hlk75632581"/>
      <w:r w:rsidRPr="002B6BAB">
        <w:rPr>
          <w:rFonts w:ascii="Arial" w:eastAsia="Times New Roman" w:hAnsi="Arial" w:cs="Arial"/>
          <w:bCs/>
          <w:lang w:val="es-ES_tradnl" w:eastAsia="x-none"/>
        </w:rPr>
        <w:t>«</w:t>
      </w:r>
      <w:bookmarkEnd w:id="34"/>
      <w:r w:rsidRPr="002B6BAB">
        <w:rPr>
          <w:rFonts w:ascii="Arial" w:eastAsia="Times New Roman" w:hAnsi="Arial" w:cs="Arial"/>
          <w:bCs/>
          <w:lang w:val="es-ES_tradnl" w:eastAsia="x-none"/>
        </w:rPr>
        <w:t>todos» utilizado por el legislador comprende</w:t>
      </w:r>
      <w:r w:rsidRPr="002B6BAB">
        <w:rPr>
          <w:rFonts w:ascii="Calibri" w:eastAsia="Calibri" w:hAnsi="Calibri" w:cs="Times New Roman"/>
          <w:sz w:val="24"/>
          <w:lang w:val="es-ES_tradnl"/>
        </w:rPr>
        <w:t xml:space="preserve"> </w:t>
      </w:r>
      <w:r w:rsidRPr="002B6BAB">
        <w:rPr>
          <w:rFonts w:ascii="Arial" w:eastAsia="Times New Roman" w:hAnsi="Arial" w:cs="Arial"/>
          <w:bCs/>
          <w:lang w:val="es-ES_tradnl" w:eastAsia="x-none"/>
        </w:rPr>
        <w:t>a la totalidad de los entes del Estado, sin distinción del régimen jurídico, forma de organización o naturaleza, su pertenencia a una u otra rama del poder público o su autonomía</w:t>
      </w:r>
      <w:bookmarkEnd w:id="33"/>
      <w:r w:rsidRPr="002B6BAB">
        <w:rPr>
          <w:rFonts w:ascii="Arial" w:eastAsia="Times New Roman" w:hAnsi="Arial" w:cs="Arial"/>
          <w:bCs/>
          <w:lang w:val="es-ES_tradnl" w:eastAsia="x-none"/>
        </w:rPr>
        <w:t xml:space="preserve">, e incluso si las entidades estatales tienen régimen especial de contratación y están exceptuadas del ámbito de aplicación del Estatuto General de Contratación de la Administración Pública. </w:t>
      </w:r>
      <w:r w:rsidRPr="00494269">
        <w:rPr>
          <w:rFonts w:ascii="Arial" w:hAnsi="Arial" w:cs="Arial"/>
          <w:bCs/>
          <w:lang w:val="es-ES_tradnl" w:eastAsia="x-none"/>
        </w:rPr>
        <w:t xml:space="preserve">La Sala de Consulta y Servicio Civil del Consejo de Estado, en Concepto 1727 de fecha 20 de febrero de 2006, consideró que: </w:t>
      </w:r>
    </w:p>
    <w:p w14:paraId="56F7D21D" w14:textId="77777777" w:rsidR="00013576" w:rsidRPr="002B6BAB" w:rsidRDefault="00013576" w:rsidP="00013576">
      <w:pPr>
        <w:spacing w:after="0" w:line="276" w:lineRule="auto"/>
        <w:ind w:firstLine="708"/>
        <w:jc w:val="both"/>
        <w:rPr>
          <w:rFonts w:ascii="Arial" w:eastAsia="Times New Roman" w:hAnsi="Arial" w:cs="Arial"/>
          <w:bCs/>
          <w:lang w:val="es-ES_tradnl" w:eastAsia="x-none"/>
        </w:rPr>
      </w:pPr>
    </w:p>
    <w:p w14:paraId="7C448C55" w14:textId="77777777" w:rsidR="00013576" w:rsidRPr="002B6BAB" w:rsidRDefault="00013576" w:rsidP="00013576">
      <w:pPr>
        <w:spacing w:after="0" w:line="240" w:lineRule="auto"/>
        <w:ind w:left="708" w:right="709"/>
        <w:jc w:val="both"/>
        <w:rPr>
          <w:rFonts w:ascii="Arial" w:eastAsia="Times New Roman" w:hAnsi="Arial" w:cs="Arial"/>
          <w:bCs/>
          <w:sz w:val="21"/>
          <w:szCs w:val="21"/>
          <w:lang w:val="es-ES_tradnl" w:eastAsia="es-CO"/>
        </w:rPr>
      </w:pPr>
      <w:r w:rsidRPr="002B6BAB">
        <w:rPr>
          <w:rFonts w:ascii="Arial" w:eastAsia="Times New Roman" w:hAnsi="Arial" w:cs="Arial"/>
          <w:bCs/>
          <w:sz w:val="21"/>
          <w:szCs w:val="21"/>
          <w:lang w:val="es-ES_tradnl" w:eastAsia="x-none"/>
        </w:rPr>
        <w:t xml:space="preserve">El artículo 33 de la ley 996 de 2005, </w:t>
      </w:r>
      <w:bookmarkStart w:id="35" w:name="_Hlk75787147"/>
      <w:r w:rsidRPr="002B6BAB">
        <w:rPr>
          <w:rFonts w:ascii="Arial" w:eastAsia="Times New Roman" w:hAnsi="Arial" w:cs="Arial"/>
          <w:bCs/>
          <w:sz w:val="21"/>
          <w:szCs w:val="21"/>
          <w:lang w:val="es-ES_tradnl" w:eastAsia="x-none"/>
        </w:rPr>
        <w:t xml:space="preserve">efectivamente se aplica </w:t>
      </w:r>
      <w:bookmarkStart w:id="36" w:name="_Hlk76074089"/>
      <w:r w:rsidRPr="002B6BAB">
        <w:rPr>
          <w:rFonts w:ascii="Arial" w:eastAsia="Times New Roman" w:hAnsi="Arial" w:cs="Arial"/>
          <w:bCs/>
          <w:sz w:val="21"/>
          <w:szCs w:val="21"/>
          <w:lang w:val="es-ES_tradnl" w:eastAsia="x-none"/>
        </w:rPr>
        <w:t xml:space="preserve">incluso a las entidades estatales con régimen especial de contratación y que están exceptuadas del ámbito de aplicación del Estatuto General de Contratación de </w:t>
      </w:r>
      <w:r w:rsidRPr="002B6BAB">
        <w:rPr>
          <w:rFonts w:ascii="Arial" w:eastAsia="Times New Roman" w:hAnsi="Arial" w:cs="Arial"/>
          <w:bCs/>
          <w:sz w:val="21"/>
          <w:szCs w:val="21"/>
          <w:lang w:val="es-ES_tradnl" w:eastAsia="x-none"/>
        </w:rPr>
        <w:lastRenderedPageBreak/>
        <w:t>la Administración Pública</w:t>
      </w:r>
      <w:bookmarkEnd w:id="36"/>
      <w:r w:rsidRPr="002B6BAB">
        <w:rPr>
          <w:rFonts w:ascii="Arial" w:eastAsia="Times New Roman" w:hAnsi="Arial" w:cs="Arial"/>
          <w:bCs/>
          <w:sz w:val="21"/>
          <w:szCs w:val="21"/>
          <w:lang w:val="es-ES_tradnl"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2B6BAB">
        <w:rPr>
          <w:rFonts w:ascii="Arial" w:eastAsia="Times New Roman" w:hAnsi="Arial" w:cs="Arial"/>
          <w:bCs/>
          <w:sz w:val="21"/>
          <w:szCs w:val="21"/>
          <w:vertAlign w:val="superscript"/>
          <w:lang w:val="es-ES_tradnl" w:eastAsia="x-none"/>
        </w:rPr>
        <w:footnoteReference w:id="38"/>
      </w:r>
      <w:r w:rsidRPr="002B6BAB">
        <w:rPr>
          <w:rFonts w:ascii="Arial" w:eastAsia="Times New Roman" w:hAnsi="Arial" w:cs="Arial"/>
          <w:bCs/>
          <w:sz w:val="21"/>
          <w:szCs w:val="21"/>
          <w:lang w:val="es-ES_tradnl" w:eastAsia="x-none"/>
        </w:rPr>
        <w:t>.</w:t>
      </w:r>
      <w:r w:rsidRPr="002B6BAB">
        <w:rPr>
          <w:rFonts w:ascii="Arial" w:eastAsia="Times New Roman" w:hAnsi="Arial" w:cs="Arial"/>
          <w:bCs/>
          <w:sz w:val="21"/>
          <w:szCs w:val="21"/>
          <w:lang w:val="es-ES_tradnl" w:eastAsia="es-CO"/>
        </w:rPr>
        <w:t xml:space="preserve"> </w:t>
      </w:r>
    </w:p>
    <w:p w14:paraId="6CC884FF" w14:textId="77777777" w:rsidR="00013576" w:rsidRPr="002B6BAB" w:rsidRDefault="00013576" w:rsidP="00013576">
      <w:pPr>
        <w:spacing w:after="0" w:line="276" w:lineRule="auto"/>
        <w:ind w:firstLine="708"/>
        <w:jc w:val="both"/>
        <w:rPr>
          <w:rFonts w:ascii="Arial" w:eastAsia="Times New Roman" w:hAnsi="Arial" w:cs="Arial"/>
          <w:bCs/>
          <w:lang w:val="es-ES_tradnl" w:eastAsia="es-CO"/>
        </w:rPr>
      </w:pPr>
    </w:p>
    <w:p w14:paraId="63A32F08" w14:textId="77777777" w:rsidR="00013576" w:rsidRPr="00494269" w:rsidRDefault="00013576" w:rsidP="00013576">
      <w:pPr>
        <w:spacing w:after="0" w:line="276" w:lineRule="auto"/>
        <w:ind w:firstLine="709"/>
        <w:jc w:val="both"/>
        <w:rPr>
          <w:rFonts w:ascii="Arial" w:hAnsi="Arial" w:cs="Arial"/>
          <w:lang w:val="es-ES_tradnl"/>
        </w:rPr>
      </w:pPr>
      <w:r w:rsidRPr="00494269">
        <w:rPr>
          <w:rFonts w:ascii="Arial" w:hAnsi="Arial" w:cs="Arial"/>
          <w:bCs/>
          <w:lang w:val="es-ES_tradnl" w:eastAsia="x-none"/>
        </w:rPr>
        <w:t>De igual forma, en Concepto 1738 de</w:t>
      </w:r>
      <w:r>
        <w:rPr>
          <w:rFonts w:ascii="Arial" w:hAnsi="Arial" w:cs="Arial"/>
          <w:bCs/>
          <w:lang w:val="es-ES_tradnl" w:eastAsia="x-none"/>
        </w:rPr>
        <w:t>l</w:t>
      </w:r>
      <w:r w:rsidRPr="00494269">
        <w:rPr>
          <w:rFonts w:ascii="Arial" w:hAnsi="Arial" w:cs="Arial"/>
          <w:bCs/>
          <w:lang w:val="es-ES_tradnl" w:eastAsia="x-none"/>
        </w:rPr>
        <w:t xml:space="preserve"> 6 de abril de 2006, también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494269">
        <w:rPr>
          <w:rFonts w:ascii="Arial" w:hAnsi="Arial" w:cs="Arial"/>
          <w:vertAlign w:val="superscript"/>
          <w:lang w:val="es-ES_tradnl"/>
        </w:rPr>
        <w:footnoteReference w:id="39"/>
      </w:r>
      <w:r w:rsidRPr="00494269">
        <w:rPr>
          <w:rFonts w:ascii="Arial" w:hAnsi="Arial" w:cs="Arial"/>
          <w:bCs/>
          <w:lang w:val="es-ES_tradnl" w:eastAsia="x-none"/>
        </w:rPr>
        <w:t>.</w:t>
      </w:r>
      <w:r w:rsidRPr="00494269">
        <w:rPr>
          <w:rFonts w:ascii="Arial" w:hAnsi="Arial" w:cs="Arial"/>
          <w:lang w:val="es-ES_tradnl"/>
        </w:rPr>
        <w:t xml:space="preserve"> Sin embargo, debe precisarse el siguiente aspecto que distinguió la Sala de Consulta y Servicio Civil:</w:t>
      </w:r>
    </w:p>
    <w:p w14:paraId="0650449D" w14:textId="77777777" w:rsidR="00013576" w:rsidRPr="002B6BAB" w:rsidRDefault="00013576" w:rsidP="00013576">
      <w:pPr>
        <w:spacing w:after="0" w:line="276" w:lineRule="auto"/>
        <w:jc w:val="both"/>
        <w:rPr>
          <w:rFonts w:ascii="Arial" w:eastAsia="Calibri" w:hAnsi="Arial" w:cs="Arial"/>
          <w:lang w:val="es-ES_tradnl"/>
        </w:rPr>
      </w:pPr>
    </w:p>
    <w:p w14:paraId="5064F46E" w14:textId="77777777" w:rsidR="00013576" w:rsidRPr="002B6BAB" w:rsidRDefault="00013576" w:rsidP="00013576">
      <w:pPr>
        <w:spacing w:after="0" w:line="240" w:lineRule="auto"/>
        <w:ind w:left="708" w:right="709"/>
        <w:jc w:val="both"/>
        <w:rPr>
          <w:rFonts w:ascii="Arial" w:eastAsia="Calibri" w:hAnsi="Arial" w:cs="Arial"/>
          <w:sz w:val="21"/>
          <w:szCs w:val="21"/>
          <w:lang w:val="es-ES_tradnl"/>
        </w:rPr>
      </w:pPr>
      <w:bookmarkStart w:id="37" w:name="_Hlk75811446"/>
      <w:r w:rsidRPr="002B6BAB">
        <w:rPr>
          <w:rFonts w:ascii="Arial" w:eastAsia="Calibri" w:hAnsi="Arial" w:cs="Arial"/>
          <w:sz w:val="21"/>
          <w:szCs w:val="21"/>
          <w:lang w:val="es-ES_tradnl"/>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7"/>
      <w:r w:rsidRPr="002B6BAB">
        <w:rPr>
          <w:rFonts w:ascii="Arial" w:eastAsia="Calibri" w:hAnsi="Arial" w:cs="Arial"/>
          <w:sz w:val="24"/>
          <w:vertAlign w:val="superscript"/>
          <w:lang w:val="es-ES_tradnl"/>
        </w:rPr>
        <w:footnoteReference w:id="40"/>
      </w:r>
      <w:r w:rsidRPr="002B6BAB">
        <w:rPr>
          <w:rFonts w:ascii="Arial" w:eastAsia="Times New Roman" w:hAnsi="Arial" w:cs="Arial"/>
          <w:bCs/>
          <w:lang w:val="es-ES_tradnl" w:eastAsia="x-none"/>
        </w:rPr>
        <w:t>.</w:t>
      </w:r>
    </w:p>
    <w:p w14:paraId="4C01FF0B" w14:textId="77777777" w:rsidR="00013576" w:rsidRPr="002B6BAB" w:rsidRDefault="00013576" w:rsidP="00013576">
      <w:pPr>
        <w:spacing w:after="0" w:line="276" w:lineRule="auto"/>
        <w:jc w:val="both"/>
        <w:rPr>
          <w:rFonts w:ascii="Arial" w:eastAsia="Calibri" w:hAnsi="Arial" w:cs="Arial"/>
          <w:lang w:val="es-ES_tradnl"/>
        </w:rPr>
      </w:pPr>
    </w:p>
    <w:p w14:paraId="03A23618" w14:textId="77777777" w:rsidR="00013576" w:rsidRDefault="00013576" w:rsidP="00013576">
      <w:pPr>
        <w:spacing w:after="120" w:line="276" w:lineRule="auto"/>
        <w:ind w:firstLine="709"/>
        <w:jc w:val="both"/>
        <w:rPr>
          <w:rFonts w:ascii="Arial" w:eastAsia="Calibri" w:hAnsi="Arial" w:cs="Arial"/>
          <w:lang w:val="es-ES_tradnl"/>
        </w:rPr>
      </w:pPr>
      <w:r w:rsidRPr="006A0190">
        <w:rPr>
          <w:rFonts w:ascii="Arial" w:eastAsia="Calibri" w:hAnsi="Arial" w:cs="Arial"/>
          <w:lang w:val="es-ES_tradnl"/>
        </w:rPr>
        <w:lastRenderedPageBreak/>
        <w:t>Aplicando este razonamiento, se tiene, por ejemplo,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6A0190">
        <w:rPr>
          <w:rFonts w:ascii="Arial" w:eastAsia="Calibri" w:hAnsi="Arial" w:cs="Arial"/>
          <w:sz w:val="24"/>
          <w:vertAlign w:val="superscript"/>
          <w:lang w:val="es-ES_tradnl"/>
        </w:rPr>
        <w:t xml:space="preserve"> </w:t>
      </w:r>
      <w:r w:rsidRPr="006A0190">
        <w:rPr>
          <w:rFonts w:ascii="Arial" w:eastAsia="Calibri" w:hAnsi="Arial" w:cs="Arial"/>
          <w:vertAlign w:val="superscript"/>
          <w:lang w:val="es-ES_tradnl"/>
        </w:rPr>
        <w:footnoteReference w:id="41"/>
      </w:r>
      <w:r w:rsidRPr="006A0190">
        <w:rPr>
          <w:rFonts w:ascii="Arial" w:eastAsia="Calibri" w:hAnsi="Arial" w:cs="Arial"/>
          <w:lang w:val="es-ES_tradnl"/>
        </w:rPr>
        <w:t>.</w:t>
      </w:r>
    </w:p>
    <w:p w14:paraId="0101FC2E" w14:textId="77777777" w:rsidR="00013576" w:rsidRPr="002B6BAB" w:rsidRDefault="00013576" w:rsidP="00013576">
      <w:pPr>
        <w:spacing w:after="0" w:line="276" w:lineRule="auto"/>
        <w:ind w:firstLine="708"/>
        <w:jc w:val="both"/>
        <w:rPr>
          <w:rFonts w:ascii="Arial" w:eastAsia="Times New Roman" w:hAnsi="Arial" w:cs="Arial"/>
          <w:bCs/>
          <w:lang w:val="es-ES_tradnl" w:eastAsia="x-none"/>
        </w:rPr>
      </w:pPr>
      <w:bookmarkStart w:id="38" w:name="_Hlk77237229"/>
      <w:bookmarkEnd w:id="35"/>
      <w:r w:rsidRPr="002B6BAB">
        <w:rPr>
          <w:rFonts w:ascii="Arial" w:eastAsia="Calibri" w:hAnsi="Arial" w:cs="Arial"/>
          <w:lang w:val="es-ES_tradnl"/>
        </w:rPr>
        <w:t>Por lo tanto, la restricción prevista en la Ley 996 de 200</w:t>
      </w:r>
      <w:bookmarkStart w:id="39" w:name="_Hlk75741539"/>
      <w:r w:rsidRPr="002B6BAB">
        <w:rPr>
          <w:rFonts w:ascii="Arial" w:eastAsia="Calibri" w:hAnsi="Arial" w:cs="Arial"/>
          <w:lang w:val="es-ES_tradnl"/>
        </w:rPr>
        <w:t xml:space="preserve">5, </w:t>
      </w:r>
      <w:r w:rsidRPr="002B6BAB">
        <w:rPr>
          <w:rFonts w:ascii="Arial" w:eastAsia="Times New Roman" w:hAnsi="Arial" w:cs="Arial"/>
          <w:bCs/>
          <w:lang w:val="es-ES_tradnl" w:eastAsia="x-none"/>
        </w:rPr>
        <w:t>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38"/>
    <w:bookmarkEnd w:id="39"/>
    <w:p w14:paraId="443432CC" w14:textId="77777777" w:rsidR="00013576" w:rsidRPr="002B6BAB" w:rsidRDefault="00013576" w:rsidP="00013576">
      <w:pPr>
        <w:spacing w:after="0" w:line="276" w:lineRule="auto"/>
        <w:jc w:val="both"/>
        <w:rPr>
          <w:rFonts w:ascii="Arial" w:eastAsia="Calibri" w:hAnsi="Arial" w:cs="Arial"/>
          <w:lang w:val="es-ES_tradnl"/>
        </w:rPr>
      </w:pPr>
    </w:p>
    <w:p w14:paraId="218D9DE5" w14:textId="77777777" w:rsidR="00013576" w:rsidRPr="002B6BAB" w:rsidRDefault="00013576" w:rsidP="00013576">
      <w:pPr>
        <w:spacing w:after="0" w:line="276" w:lineRule="auto"/>
        <w:jc w:val="both"/>
        <w:rPr>
          <w:rFonts w:ascii="Arial" w:eastAsia="Calibri" w:hAnsi="Arial" w:cs="Arial"/>
          <w:b/>
          <w:lang w:val="es-ES_tradnl"/>
        </w:rPr>
      </w:pPr>
      <w:r w:rsidRPr="002B6BAB">
        <w:rPr>
          <w:rFonts w:ascii="Arial" w:eastAsia="Calibri" w:hAnsi="Arial" w:cs="Arial"/>
          <w:b/>
          <w:lang w:val="es-ES_tradnl"/>
        </w:rPr>
        <w:t>3. Respuesta</w:t>
      </w:r>
    </w:p>
    <w:p w14:paraId="50EF1AB4" w14:textId="77777777" w:rsidR="00013576" w:rsidRPr="002B6BAB" w:rsidRDefault="00013576" w:rsidP="00013576">
      <w:pPr>
        <w:spacing w:after="0" w:line="240" w:lineRule="auto"/>
        <w:jc w:val="both"/>
        <w:rPr>
          <w:rFonts w:ascii="Arial" w:eastAsia="Calibri" w:hAnsi="Arial" w:cs="Arial"/>
          <w:bCs/>
          <w:lang w:val="es-ES_tradnl"/>
        </w:rPr>
      </w:pPr>
    </w:p>
    <w:p w14:paraId="7FE05449" w14:textId="77777777" w:rsidR="00013576" w:rsidRPr="005235FE" w:rsidRDefault="00013576" w:rsidP="00013576">
      <w:pPr>
        <w:autoSpaceDE w:val="0"/>
        <w:autoSpaceDN w:val="0"/>
        <w:adjustRightInd w:val="0"/>
        <w:spacing w:after="0" w:line="240" w:lineRule="auto"/>
        <w:ind w:left="709" w:right="709"/>
        <w:jc w:val="both"/>
        <w:rPr>
          <w:rFonts w:ascii="Arial" w:eastAsia="Calibri" w:hAnsi="Arial" w:cs="Arial"/>
          <w:sz w:val="21"/>
          <w:szCs w:val="21"/>
          <w:lang w:val="es-ES_tradnl"/>
        </w:rPr>
      </w:pPr>
      <w:bookmarkStart w:id="40" w:name="_Hlk57650395"/>
      <w:r w:rsidRPr="005235FE">
        <w:rPr>
          <w:rFonts w:ascii="Arial" w:eastAsia="Calibri" w:hAnsi="Arial" w:cs="Arial"/>
          <w:sz w:val="21"/>
          <w:szCs w:val="21"/>
          <w:lang w:val="es-ES_tradnl"/>
        </w:rPr>
        <w:t>«Con relación a las entidades descentralizadas como las sociedades de economía mixta, ¿la ley de garantías durante el periodo de restricción, se extiende a los contratos que aquellas deban suscribir de manera indispensable para desarrollar su objeto social; ejemplo: los necesarios para acordar consorcios, uniones temporales, agencias comerciales, etc.?»</w:t>
      </w:r>
    </w:p>
    <w:p w14:paraId="5C0E801C" w14:textId="77777777" w:rsidR="00013576" w:rsidRPr="005235FE" w:rsidRDefault="00013576" w:rsidP="00013576">
      <w:pPr>
        <w:spacing w:after="0" w:line="240" w:lineRule="auto"/>
        <w:ind w:right="709"/>
        <w:jc w:val="both"/>
        <w:rPr>
          <w:rFonts w:ascii="Arial" w:eastAsia="Times New Roman" w:hAnsi="Arial" w:cs="Arial"/>
          <w:lang w:val="es-ES_tradnl" w:eastAsia="es-ES_tradnl"/>
        </w:rPr>
      </w:pPr>
    </w:p>
    <w:p w14:paraId="33559B4C" w14:textId="77777777" w:rsidR="00013576" w:rsidRPr="005235FE" w:rsidRDefault="00013576" w:rsidP="00013576">
      <w:pPr>
        <w:spacing w:after="120" w:line="276" w:lineRule="auto"/>
        <w:jc w:val="both"/>
        <w:rPr>
          <w:rFonts w:ascii="Arial" w:eastAsia="Calibri" w:hAnsi="Arial" w:cs="Arial"/>
          <w:lang w:val="es-ES_tradnl"/>
        </w:rPr>
      </w:pPr>
      <w:r w:rsidRPr="005235FE">
        <w:rPr>
          <w:rFonts w:ascii="Arial" w:eastAsia="Calibri" w:hAnsi="Arial" w:cs="Arial"/>
          <w:lang w:val="es-ES_tradnl"/>
        </w:rPr>
        <w:t>El artículo 33 de la Ley 996 de 2005 establece una restricción en atención a la cual,</w:t>
      </w:r>
      <w:r w:rsidRPr="005235FE">
        <w:rPr>
          <w:rFonts w:ascii="Arial" w:eastAsia="Calibri" w:hAnsi="Arial" w:cs="Arial"/>
          <w:sz w:val="25"/>
          <w:szCs w:val="25"/>
          <w:shd w:val="clear" w:color="auto" w:fill="FFFFFF"/>
          <w:lang w:val="es-ES_tradnl"/>
        </w:rPr>
        <w:t xml:space="preserve"> </w:t>
      </w:r>
      <w:r w:rsidRPr="005235FE">
        <w:rPr>
          <w:rFonts w:ascii="Arial" w:eastAsia="Calibri" w:hAnsi="Arial" w:cs="Arial"/>
          <w:lang w:val="es-ES_tradnl"/>
        </w:rPr>
        <w:t>durante los cuatro meses anteriores a la elección presidencial y hasta la realización de la elección en la segunda vuelta, si fuere el caso, está prohibida la contratación directa por parte de todos los entes del Estado. Esto implica que la celebración de contratos, cuya selección del contratista se realice de manera directa está prohibida durante el período de aplicación de esta restricción, en los términos explicados en las consideraciones.</w:t>
      </w:r>
    </w:p>
    <w:p w14:paraId="76338660" w14:textId="77777777" w:rsidR="00013576" w:rsidRPr="005235FE" w:rsidRDefault="00013576" w:rsidP="00013576">
      <w:pPr>
        <w:spacing w:after="120" w:line="276" w:lineRule="auto"/>
        <w:ind w:firstLine="708"/>
        <w:jc w:val="both"/>
        <w:rPr>
          <w:rFonts w:ascii="Arial" w:eastAsia="Times New Roman" w:hAnsi="Arial" w:cs="Arial"/>
          <w:bCs/>
          <w:lang w:val="es-ES_tradnl" w:eastAsia="es-CO"/>
        </w:rPr>
      </w:pPr>
      <w:r w:rsidRPr="005235FE">
        <w:rPr>
          <w:rFonts w:ascii="Arial" w:eastAsia="Times New Roman" w:hAnsi="Arial" w:cs="Arial"/>
          <w:bCs/>
          <w:lang w:val="es-ES_tradnl" w:eastAsia="x-none"/>
        </w:rPr>
        <w:t xml:space="preserve">De otro lado, las excepciones a la restricción prevista en la Ley de Garantías, con fundamento en las cuales podrán las entidades públicas adelantar procedimientos de </w:t>
      </w:r>
      <w:r w:rsidRPr="005235FE">
        <w:rPr>
          <w:rFonts w:ascii="Arial" w:eastAsia="Times New Roman" w:hAnsi="Arial" w:cs="Arial"/>
          <w:bCs/>
          <w:lang w:val="es-ES_tradnl" w:eastAsia="x-none"/>
        </w:rPr>
        <w:lastRenderedPageBreak/>
        <w:t>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235FE">
        <w:rPr>
          <w:rFonts w:ascii="Arial" w:eastAsia="Times New Roman" w:hAnsi="Arial" w:cs="Arial"/>
          <w:bCs/>
          <w:lang w:val="es-ES_tradnl" w:eastAsia="es-CO"/>
        </w:rPr>
        <w:t xml:space="preserve"> Por ello,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31B713ED" w14:textId="77777777" w:rsidR="00013576" w:rsidRPr="005235FE" w:rsidRDefault="00013576" w:rsidP="00013576">
      <w:pPr>
        <w:spacing w:after="120" w:line="276" w:lineRule="auto"/>
        <w:ind w:firstLine="708"/>
        <w:jc w:val="both"/>
        <w:rPr>
          <w:rFonts w:ascii="Arial" w:eastAsia="Times New Roman" w:hAnsi="Arial" w:cs="Arial"/>
          <w:bCs/>
          <w:lang w:val="es-ES_tradnl" w:eastAsia="x-none"/>
        </w:rPr>
      </w:pPr>
      <w:r w:rsidRPr="005235FE">
        <w:rPr>
          <w:rFonts w:ascii="Arial" w:eastAsia="Times New Roman" w:hAnsi="Arial" w:cs="Arial"/>
          <w:bCs/>
          <w:lang w:val="es-ES_tradnl" w:eastAsia="x-none"/>
        </w:rPr>
        <w:t>Por otra parte, el artículo 33 de la Ley 996 de 2005 señala expresamente a los destinatarios de la prohibición, en el sentido de que son «todos los entes del Estado». Esto, de conformidad con lo expuesto, involucra a todas las entidades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7843919" w14:textId="77777777" w:rsidR="00013576" w:rsidRPr="005235FE" w:rsidRDefault="00013576" w:rsidP="00013576">
      <w:pPr>
        <w:spacing w:after="120" w:line="276" w:lineRule="auto"/>
        <w:ind w:firstLine="708"/>
        <w:jc w:val="both"/>
        <w:rPr>
          <w:rFonts w:ascii="Arial" w:eastAsia="Times New Roman" w:hAnsi="Arial" w:cs="Arial"/>
          <w:bCs/>
          <w:lang w:val="es-ES_tradnl" w:eastAsia="x-none"/>
        </w:rPr>
      </w:pPr>
      <w:r w:rsidRPr="005235FE">
        <w:rPr>
          <w:rFonts w:ascii="Arial" w:eastAsia="Times New Roman" w:hAnsi="Arial" w:cs="Arial"/>
          <w:bCs/>
          <w:lang w:val="es-ES_tradnl" w:eastAsia="x-none"/>
        </w:rPr>
        <w:t>En consecuencia, las restricciones a la contratación contenidas en la Ley de Garantías Electorales son aplicables a entidades descentralizadas como las sociedades de economía mixta. Por lo tanto, la celebración de cualquier contrato de forma directa, esto es, sin que exista un proceso abierto y competitivo, también se encuentra restringida para este tipo de entidades, sin perjuicio de las excepciones expresamente previstas en el inciso final del artículo 33 de dicha norma.</w:t>
      </w:r>
    </w:p>
    <w:p w14:paraId="068F514C" w14:textId="77777777" w:rsidR="00013576" w:rsidRPr="00FC6253" w:rsidRDefault="00013576" w:rsidP="00013576">
      <w:pPr>
        <w:spacing w:after="120" w:line="276" w:lineRule="auto"/>
        <w:ind w:firstLine="708"/>
        <w:jc w:val="both"/>
        <w:rPr>
          <w:rFonts w:ascii="Arial" w:eastAsia="Times New Roman" w:hAnsi="Arial" w:cs="Arial"/>
          <w:bCs/>
          <w:lang w:val="es-ES_tradnl" w:eastAsia="es-CO"/>
        </w:rPr>
      </w:pPr>
      <w:r w:rsidRPr="005235FE">
        <w:rPr>
          <w:rFonts w:ascii="Arial" w:eastAsia="Times New Roman" w:hAnsi="Arial" w:cs="Arial"/>
          <w:bCs/>
          <w:lang w:val="es-ES_tradnl" w:eastAsia="x-none"/>
        </w:rPr>
        <w:t xml:space="preserve">Finalmente, es importante reiterar lo explicado en las consideraciones, en el sentido de que </w:t>
      </w:r>
      <w:r w:rsidRPr="005235FE">
        <w:rPr>
          <w:rFonts w:ascii="Arial" w:hAnsi="Arial" w:cs="Arial"/>
          <w:bCs/>
          <w:lang w:val="es-ES_tradnl"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las elecciones, lo que incluye las elecciones al Congreso de la República que se realizarán el próximo 13 de marzo de 2022. Así las cosas, si una o ambas partes de la relación contractual es una entidad de aquellas descritas en el parágrafo </w:t>
      </w:r>
      <w:r w:rsidRPr="005235FE">
        <w:rPr>
          <w:rFonts w:ascii="Arial" w:hAnsi="Arial" w:cs="Arial"/>
          <w:bCs/>
          <w:i/>
          <w:iCs/>
          <w:lang w:val="es-ES_tradnl" w:eastAsia="es-CO"/>
        </w:rPr>
        <w:t>ibidem</w:t>
      </w:r>
      <w:r w:rsidRPr="005235FE">
        <w:rPr>
          <w:rFonts w:ascii="Arial" w:hAnsi="Arial" w:cs="Arial"/>
          <w:bCs/>
          <w:lang w:val="es-ES_tradnl" w:eastAsia="es-CO"/>
        </w:rPr>
        <w:t>, no podrá celebrar tales convenios o contratos interadministrativos durante el ámbito temporal de esta prohibición, toda vez que la citada disposición hace referencia a dicha tipología contractual sin que el legislador hubiere contemplado excepción alguna frente a la modalidad de selección o naturaleza de su objeto. Por tanto, de acuerdo con el marco jurídico expuesto le corresponderá a cada entidad estatal definir la forma como adelanta su actividad contractual, de manera que resulte armónica con las prohibiciones establecidas en la Ley 996 de 2005.</w:t>
      </w:r>
    </w:p>
    <w:p w14:paraId="432E8296" w14:textId="77777777" w:rsidR="00013576" w:rsidRPr="002B6BAB" w:rsidRDefault="00013576" w:rsidP="00013576">
      <w:pPr>
        <w:spacing w:after="0" w:line="276" w:lineRule="auto"/>
        <w:jc w:val="both"/>
        <w:rPr>
          <w:rFonts w:ascii="Arial" w:eastAsia="Calibri" w:hAnsi="Arial" w:cs="Arial"/>
          <w:lang w:val="es-ES_tradnl"/>
        </w:rPr>
      </w:pPr>
    </w:p>
    <w:p w14:paraId="6A549440" w14:textId="77777777" w:rsidR="00013576" w:rsidRPr="002B6BAB" w:rsidRDefault="00013576" w:rsidP="00013576">
      <w:pPr>
        <w:spacing w:after="0" w:line="276" w:lineRule="auto"/>
        <w:jc w:val="both"/>
        <w:rPr>
          <w:rFonts w:ascii="Arial" w:eastAsia="Calibri" w:hAnsi="Arial" w:cs="Arial"/>
          <w:lang w:val="es-ES_tradnl"/>
        </w:rPr>
      </w:pPr>
      <w:r w:rsidRPr="002B6BAB">
        <w:rPr>
          <w:rFonts w:ascii="Arial" w:eastAsia="Calibri" w:hAnsi="Arial" w:cs="Arial"/>
          <w:lang w:val="es-ES_tradnl"/>
        </w:rPr>
        <w:t>Este concepto tiene el alcance previsto en el artículo 28 del Código de Procedimiento Administrativo y de lo Contencioso Administrativo.</w:t>
      </w:r>
    </w:p>
    <w:p w14:paraId="49C83A55" w14:textId="77777777" w:rsidR="00013576" w:rsidRPr="002B6BAB" w:rsidRDefault="00013576" w:rsidP="00013576">
      <w:pPr>
        <w:spacing w:after="0" w:line="276" w:lineRule="auto"/>
        <w:jc w:val="both"/>
        <w:rPr>
          <w:rFonts w:ascii="Calibri" w:eastAsia="Calibri" w:hAnsi="Calibri" w:cs="Times New Roman"/>
          <w:noProof/>
          <w:sz w:val="24"/>
          <w:lang w:val="es-ES_tradnl"/>
        </w:rPr>
      </w:pPr>
    </w:p>
    <w:p w14:paraId="2172BBFA" w14:textId="77777777" w:rsidR="00013576" w:rsidRPr="002B6BAB" w:rsidRDefault="00013576" w:rsidP="00013576">
      <w:pPr>
        <w:spacing w:after="200" w:line="276" w:lineRule="auto"/>
        <w:jc w:val="both"/>
        <w:rPr>
          <w:rFonts w:ascii="Arial" w:eastAsia="Times New Roman" w:hAnsi="Arial" w:cs="Arial"/>
          <w:lang w:val="es-ES_tradnl" w:eastAsia="es-CO"/>
        </w:rPr>
      </w:pPr>
      <w:r w:rsidRPr="002B6BAB">
        <w:rPr>
          <w:rFonts w:ascii="Arial" w:eastAsia="Times New Roman" w:hAnsi="Arial" w:cs="Arial"/>
          <w:lang w:val="es-ES_tradnl" w:eastAsia="es-CO"/>
        </w:rPr>
        <w:t>Atentamente,</w:t>
      </w:r>
    </w:p>
    <w:p w14:paraId="49A22B47" w14:textId="7DED7D9C" w:rsidR="00013576" w:rsidRPr="002B6BAB" w:rsidRDefault="00EC3A8C" w:rsidP="00013576">
      <w:pPr>
        <w:spacing w:after="200" w:line="276" w:lineRule="auto"/>
        <w:jc w:val="center"/>
        <w:rPr>
          <w:rFonts w:ascii="Arial" w:eastAsia="Times New Roman" w:hAnsi="Arial" w:cs="Arial"/>
          <w:sz w:val="18"/>
          <w:szCs w:val="20"/>
          <w:lang w:val="es-ES_tradnl" w:eastAsia="es-CO"/>
        </w:rPr>
      </w:pPr>
      <w:r>
        <w:rPr>
          <w:rFonts w:ascii="Arial" w:hAnsi="Arial" w:cs="Arial"/>
          <w:noProof/>
          <w:color w:val="000000" w:themeColor="text1"/>
          <w:lang w:val="es-ES_tradnl"/>
        </w:rPr>
        <w:drawing>
          <wp:inline distT="0" distB="0" distL="0" distR="0" wp14:anchorId="1AF8CE39" wp14:editId="560C209F">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013576" w:rsidRPr="002B6BAB" w14:paraId="1C25522D" w14:textId="77777777" w:rsidTr="005D71CF">
        <w:trPr>
          <w:trHeight w:val="315"/>
        </w:trPr>
        <w:tc>
          <w:tcPr>
            <w:tcW w:w="812" w:type="dxa"/>
            <w:vAlign w:val="center"/>
            <w:hideMark/>
          </w:tcPr>
          <w:p w14:paraId="6D632B3E"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Elaboró:</w:t>
            </w:r>
          </w:p>
        </w:tc>
        <w:tc>
          <w:tcPr>
            <w:tcW w:w="4291" w:type="dxa"/>
            <w:tcBorders>
              <w:top w:val="nil"/>
              <w:left w:val="nil"/>
              <w:bottom w:val="dotted" w:sz="4" w:space="0" w:color="7F7F7F"/>
              <w:right w:val="nil"/>
            </w:tcBorders>
            <w:vAlign w:val="center"/>
            <w:hideMark/>
          </w:tcPr>
          <w:p w14:paraId="107ECB4F"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Kevin Arlid Herrera Santa</w:t>
            </w:r>
          </w:p>
          <w:p w14:paraId="6B4A4AD2"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Analista T2-04 de la Subdirección de Gestión Contractual</w:t>
            </w:r>
          </w:p>
        </w:tc>
      </w:tr>
      <w:tr w:rsidR="00013576" w:rsidRPr="002B6BAB" w14:paraId="213E7F9C" w14:textId="77777777" w:rsidTr="005D71CF">
        <w:trPr>
          <w:trHeight w:val="330"/>
        </w:trPr>
        <w:tc>
          <w:tcPr>
            <w:tcW w:w="812" w:type="dxa"/>
            <w:vAlign w:val="center"/>
            <w:hideMark/>
          </w:tcPr>
          <w:p w14:paraId="5ECE53CD"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Revisó:</w:t>
            </w:r>
          </w:p>
        </w:tc>
        <w:tc>
          <w:tcPr>
            <w:tcW w:w="4291" w:type="dxa"/>
            <w:tcBorders>
              <w:top w:val="dotted" w:sz="4" w:space="0" w:color="7F7F7F"/>
              <w:left w:val="nil"/>
              <w:bottom w:val="dotted" w:sz="4" w:space="0" w:color="7F7F7F"/>
              <w:right w:val="nil"/>
            </w:tcBorders>
            <w:vAlign w:val="center"/>
            <w:hideMark/>
          </w:tcPr>
          <w:p w14:paraId="2C71B5F1"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Sebastián Ramírez Grisales</w:t>
            </w:r>
          </w:p>
          <w:p w14:paraId="215DA98E"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Contratista de la Subdirección de Gestión Contractual</w:t>
            </w:r>
          </w:p>
        </w:tc>
      </w:tr>
      <w:tr w:rsidR="00013576" w:rsidRPr="002B6BAB" w14:paraId="4D6F19D9" w14:textId="77777777" w:rsidTr="005D71CF">
        <w:trPr>
          <w:trHeight w:val="300"/>
        </w:trPr>
        <w:tc>
          <w:tcPr>
            <w:tcW w:w="812" w:type="dxa"/>
            <w:vAlign w:val="center"/>
            <w:hideMark/>
          </w:tcPr>
          <w:p w14:paraId="75B24109"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Aprobó:</w:t>
            </w:r>
          </w:p>
        </w:tc>
        <w:tc>
          <w:tcPr>
            <w:tcW w:w="4291" w:type="dxa"/>
            <w:tcBorders>
              <w:top w:val="dotted" w:sz="4" w:space="0" w:color="7F7F7F"/>
              <w:left w:val="nil"/>
              <w:bottom w:val="dotted" w:sz="4" w:space="0" w:color="7F7F7F"/>
              <w:right w:val="nil"/>
            </w:tcBorders>
            <w:vAlign w:val="center"/>
            <w:hideMark/>
          </w:tcPr>
          <w:p w14:paraId="5275ED68"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Jorge Augusto Tirado Navarro</w:t>
            </w:r>
          </w:p>
          <w:p w14:paraId="1121816E" w14:textId="77777777" w:rsidR="00013576" w:rsidRPr="002B6BAB" w:rsidRDefault="00013576" w:rsidP="005D71CF">
            <w:pPr>
              <w:rPr>
                <w:rFonts w:ascii="Arial" w:eastAsia="Times New Roman" w:hAnsi="Arial" w:cs="Arial"/>
                <w:sz w:val="16"/>
                <w:szCs w:val="16"/>
                <w:lang w:val="es-ES_tradnl" w:eastAsia="es-ES"/>
              </w:rPr>
            </w:pPr>
            <w:r w:rsidRPr="002B6BAB">
              <w:rPr>
                <w:rFonts w:ascii="Arial" w:eastAsia="Times New Roman" w:hAnsi="Arial" w:cs="Arial"/>
                <w:sz w:val="16"/>
                <w:szCs w:val="16"/>
                <w:lang w:val="es-ES_tradnl" w:eastAsia="es-ES"/>
              </w:rPr>
              <w:t>Subdirector de Gestión Contractual ANCP – CCE</w:t>
            </w:r>
          </w:p>
        </w:tc>
      </w:tr>
      <w:bookmarkEnd w:id="40"/>
    </w:tbl>
    <w:p w14:paraId="3A3F7F36" w14:textId="77777777" w:rsidR="00013576" w:rsidRPr="002B6BAB" w:rsidRDefault="00013576" w:rsidP="00013576">
      <w:pPr>
        <w:spacing w:after="120" w:line="276" w:lineRule="auto"/>
        <w:contextualSpacing/>
        <w:jc w:val="both"/>
        <w:rPr>
          <w:rFonts w:ascii="Arial" w:eastAsia="Calibri" w:hAnsi="Arial" w:cs="Arial"/>
          <w:b/>
          <w:bCs/>
          <w:sz w:val="20"/>
          <w:szCs w:val="20"/>
          <w:lang w:val="es-ES_tradnl"/>
        </w:rPr>
      </w:pPr>
    </w:p>
    <w:p w14:paraId="31000B3E" w14:textId="77777777" w:rsidR="00013576" w:rsidRPr="002B6BAB" w:rsidRDefault="00013576" w:rsidP="00013576">
      <w:pPr>
        <w:rPr>
          <w:lang w:val="es-ES_tradnl"/>
        </w:rPr>
      </w:pPr>
    </w:p>
    <w:p w14:paraId="3EF1D561" w14:textId="77777777" w:rsidR="00013576" w:rsidRDefault="00013576"/>
    <w:sectPr w:rsidR="00013576" w:rsidSect="005A3D2A">
      <w:headerReference w:type="default" r:id="rId8"/>
      <w:footerReference w:type="default" r:id="rId9"/>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756D" w14:textId="77777777" w:rsidR="00013576" w:rsidRDefault="00013576" w:rsidP="00013576">
      <w:pPr>
        <w:spacing w:after="0" w:line="240" w:lineRule="auto"/>
      </w:pPr>
      <w:r>
        <w:separator/>
      </w:r>
    </w:p>
  </w:endnote>
  <w:endnote w:type="continuationSeparator" w:id="0">
    <w:p w14:paraId="0E483373" w14:textId="77777777" w:rsidR="00013576" w:rsidRDefault="00013576" w:rsidP="0001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1227" w14:textId="77777777" w:rsidR="00412132" w:rsidRPr="00AA4A3A" w:rsidRDefault="00EC3A8C" w:rsidP="005A79FE">
    <w:pPr>
      <w:pStyle w:val="Piedepgina"/>
      <w:jc w:val="right"/>
      <w:rPr>
        <w:rFonts w:ascii="Arial" w:hAnsi="Arial" w:cs="Arial"/>
        <w:color w:val="7F7F7F"/>
        <w:sz w:val="16"/>
        <w:szCs w:val="16"/>
      </w:rPr>
    </w:pPr>
    <w:r w:rsidRPr="00AA4A3A">
      <w:rPr>
        <w:rFonts w:ascii="Arial" w:hAnsi="Arial" w:cs="Arial"/>
        <w:bCs/>
        <w:color w:val="7F7F7F"/>
        <w:sz w:val="16"/>
        <w:szCs w:val="16"/>
      </w:rPr>
      <w:t xml:space="preserve">Página </w:t>
    </w:r>
    <w:r w:rsidRPr="00AA4A3A">
      <w:rPr>
        <w:rFonts w:ascii="Arial" w:hAnsi="Arial" w:cs="Arial"/>
        <w:b/>
        <w:bCs/>
        <w:color w:val="7F7F7F"/>
        <w:sz w:val="16"/>
        <w:szCs w:val="16"/>
      </w:rPr>
      <w:fldChar w:fldCharType="begin"/>
    </w:r>
    <w:r w:rsidRPr="00AA4A3A">
      <w:rPr>
        <w:rFonts w:ascii="Arial" w:hAnsi="Arial" w:cs="Arial"/>
        <w:b/>
        <w:bCs/>
        <w:color w:val="7F7F7F"/>
        <w:sz w:val="16"/>
        <w:szCs w:val="16"/>
      </w:rPr>
      <w:instrText>PAGE  \* Arabic  \* MERGEFORMAT</w:instrText>
    </w:r>
    <w:r w:rsidRPr="00AA4A3A">
      <w:rPr>
        <w:rFonts w:ascii="Arial" w:hAnsi="Arial" w:cs="Arial"/>
        <w:b/>
        <w:bCs/>
        <w:color w:val="7F7F7F"/>
        <w:sz w:val="16"/>
        <w:szCs w:val="16"/>
      </w:rPr>
      <w:fldChar w:fldCharType="separate"/>
    </w:r>
    <w:r w:rsidRPr="00AA4A3A">
      <w:rPr>
        <w:rFonts w:ascii="Arial" w:hAnsi="Arial" w:cs="Arial"/>
        <w:b/>
        <w:bCs/>
        <w:noProof/>
        <w:color w:val="7F7F7F"/>
        <w:sz w:val="16"/>
        <w:szCs w:val="16"/>
      </w:rPr>
      <w:t>17</w:t>
    </w:r>
    <w:r w:rsidRPr="00AA4A3A">
      <w:rPr>
        <w:rFonts w:ascii="Arial" w:hAnsi="Arial" w:cs="Arial"/>
        <w:b/>
        <w:bCs/>
        <w:color w:val="7F7F7F"/>
        <w:sz w:val="16"/>
        <w:szCs w:val="16"/>
      </w:rPr>
      <w:fldChar w:fldCharType="end"/>
    </w:r>
    <w:r w:rsidRPr="00AA4A3A">
      <w:rPr>
        <w:rFonts w:ascii="Arial" w:hAnsi="Arial" w:cs="Arial"/>
        <w:color w:val="7F7F7F"/>
        <w:sz w:val="16"/>
        <w:szCs w:val="16"/>
      </w:rPr>
      <w:t xml:space="preserve"> de </w:t>
    </w:r>
    <w:r w:rsidRPr="00AA4A3A">
      <w:rPr>
        <w:rFonts w:ascii="Arial" w:hAnsi="Arial" w:cs="Arial"/>
        <w:b/>
        <w:bCs/>
        <w:color w:val="7F7F7F"/>
        <w:sz w:val="16"/>
        <w:szCs w:val="16"/>
      </w:rPr>
      <w:fldChar w:fldCharType="begin"/>
    </w:r>
    <w:r w:rsidRPr="00AA4A3A">
      <w:rPr>
        <w:rFonts w:ascii="Arial" w:hAnsi="Arial" w:cs="Arial"/>
        <w:b/>
        <w:bCs/>
        <w:color w:val="7F7F7F"/>
        <w:sz w:val="16"/>
        <w:szCs w:val="16"/>
      </w:rPr>
      <w:instrText>NUMPAGES  \* Arabic  \* MERGEFORMAT</w:instrText>
    </w:r>
    <w:r w:rsidRPr="00AA4A3A">
      <w:rPr>
        <w:rFonts w:ascii="Arial" w:hAnsi="Arial" w:cs="Arial"/>
        <w:b/>
        <w:bCs/>
        <w:color w:val="7F7F7F"/>
        <w:sz w:val="16"/>
        <w:szCs w:val="16"/>
      </w:rPr>
      <w:fldChar w:fldCharType="separate"/>
    </w:r>
    <w:r w:rsidRPr="00AA4A3A">
      <w:rPr>
        <w:rFonts w:ascii="Arial" w:hAnsi="Arial" w:cs="Arial"/>
        <w:b/>
        <w:bCs/>
        <w:noProof/>
        <w:color w:val="7F7F7F"/>
        <w:sz w:val="16"/>
        <w:szCs w:val="16"/>
      </w:rPr>
      <w:t>17</w:t>
    </w:r>
    <w:r w:rsidRPr="00AA4A3A">
      <w:rPr>
        <w:rFonts w:ascii="Arial" w:hAnsi="Arial" w:cs="Arial"/>
        <w:b/>
        <w:bCs/>
        <w:color w:val="7F7F7F"/>
        <w:sz w:val="16"/>
        <w:szCs w:val="16"/>
      </w:rPr>
      <w:fldChar w:fldCharType="end"/>
    </w:r>
  </w:p>
  <w:p w14:paraId="23031E6A" w14:textId="77777777" w:rsidR="00412132" w:rsidRDefault="00EC3A8C" w:rsidP="007B0854">
    <w:pPr>
      <w:pStyle w:val="Piedepgina"/>
      <w:jc w:val="center"/>
      <w:rPr>
        <w:lang w:val="es-ES"/>
      </w:rPr>
    </w:pPr>
    <w:r>
      <w:rPr>
        <w:noProof/>
        <w:lang w:val="es-CO" w:eastAsia="es-CO"/>
      </w:rPr>
      <w:drawing>
        <wp:inline distT="0" distB="0" distL="0" distR="0" wp14:anchorId="3CFEBED1" wp14:editId="13EB1E70">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9B27D7B" w14:textId="77777777" w:rsidR="00412132" w:rsidRPr="007B0854" w:rsidRDefault="00EC3A8C"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895C" w14:textId="77777777" w:rsidR="00013576" w:rsidRDefault="00013576" w:rsidP="00013576">
      <w:pPr>
        <w:spacing w:after="0" w:line="240" w:lineRule="auto"/>
      </w:pPr>
      <w:r>
        <w:separator/>
      </w:r>
    </w:p>
  </w:footnote>
  <w:footnote w:type="continuationSeparator" w:id="0">
    <w:p w14:paraId="55B121D9" w14:textId="77777777" w:rsidR="00013576" w:rsidRDefault="00013576" w:rsidP="00013576">
      <w:pPr>
        <w:spacing w:after="0" w:line="240" w:lineRule="auto"/>
      </w:pPr>
      <w:r>
        <w:continuationSeparator/>
      </w:r>
    </w:p>
  </w:footnote>
  <w:footnote w:id="1">
    <w:p w14:paraId="1DED80F3" w14:textId="77777777" w:rsidR="00013576" w:rsidRPr="006A0190" w:rsidRDefault="00013576" w:rsidP="00013576">
      <w:pPr>
        <w:pStyle w:val="paragraph"/>
        <w:spacing w:before="0" w:beforeAutospacing="0" w:after="0" w:afterAutospacing="0"/>
        <w:ind w:firstLine="709"/>
        <w:jc w:val="both"/>
        <w:textAlignment w:val="baseline"/>
        <w:rPr>
          <w:rFonts w:ascii="Arial" w:hAnsi="Arial" w:cs="Arial"/>
          <w:color w:val="000000" w:themeColor="text1"/>
          <w:sz w:val="19"/>
          <w:szCs w:val="19"/>
        </w:rPr>
      </w:pPr>
      <w:r w:rsidRPr="006A0190">
        <w:rPr>
          <w:rStyle w:val="Refdenotaalpie"/>
          <w:rFonts w:ascii="Arial" w:hAnsi="Arial" w:cs="Arial"/>
          <w:color w:val="000000" w:themeColor="text1"/>
          <w:sz w:val="19"/>
          <w:szCs w:val="19"/>
        </w:rPr>
        <w:footnoteRef/>
      </w:r>
      <w:r w:rsidRPr="006A0190">
        <w:rPr>
          <w:rFonts w:ascii="Arial" w:hAnsi="Arial" w:cs="Arial"/>
          <w:color w:val="000000" w:themeColor="text1"/>
          <w:sz w:val="19"/>
          <w:szCs w:val="19"/>
        </w:rPr>
        <w:t xml:space="preserve"> </w:t>
      </w:r>
      <w:r w:rsidRPr="006A0190">
        <w:rPr>
          <w:rFonts w:ascii="Arial" w:hAnsi="Arial" w:cs="Arial"/>
          <w:color w:val="000000" w:themeColor="text1"/>
          <w:sz w:val="19"/>
          <w:szCs w:val="19"/>
          <w:lang w:val="es-ES"/>
        </w:rPr>
        <w:t>Ley 489 de 1998, artículo 38, numeral 2, literal f, y artículo 68, numeral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r w:rsidRPr="006A0190">
        <w:rPr>
          <w:rFonts w:ascii="Arial" w:hAnsi="Arial" w:cs="Arial"/>
          <w:color w:val="000000" w:themeColor="text1"/>
          <w:sz w:val="19"/>
          <w:szCs w:val="19"/>
        </w:rPr>
        <w:t>  </w:t>
      </w:r>
    </w:p>
    <w:p w14:paraId="3B789AE8" w14:textId="77777777" w:rsidR="00013576" w:rsidRPr="006A0190" w:rsidRDefault="00013576" w:rsidP="00013576">
      <w:pPr>
        <w:pStyle w:val="paragraph"/>
        <w:spacing w:before="0" w:beforeAutospacing="0" w:after="0" w:afterAutospacing="0"/>
        <w:ind w:firstLine="709"/>
        <w:jc w:val="both"/>
        <w:textAlignment w:val="baseline"/>
        <w:rPr>
          <w:rFonts w:ascii="Arial" w:hAnsi="Arial" w:cs="Arial"/>
          <w:color w:val="000000" w:themeColor="text1"/>
          <w:sz w:val="19"/>
          <w:szCs w:val="19"/>
        </w:rPr>
      </w:pPr>
    </w:p>
  </w:footnote>
  <w:footnote w:id="2">
    <w:p w14:paraId="1CDB8BB4" w14:textId="77777777" w:rsidR="00013576" w:rsidRPr="006A0190" w:rsidRDefault="00013576" w:rsidP="00013576">
      <w:pPr>
        <w:spacing w:after="0" w:line="240" w:lineRule="auto"/>
        <w:ind w:firstLine="709"/>
        <w:jc w:val="both"/>
        <w:rPr>
          <w:rFonts w:ascii="Arial" w:eastAsia="Times New Roman" w:hAnsi="Arial" w:cs="Arial"/>
          <w:color w:val="000000" w:themeColor="text1"/>
          <w:sz w:val="19"/>
          <w:szCs w:val="19"/>
          <w:lang w:eastAsia="es-MX"/>
        </w:rPr>
      </w:pPr>
      <w:r w:rsidRPr="006A0190">
        <w:rPr>
          <w:rFonts w:ascii="Arial" w:eastAsia="Times New Roman" w:hAnsi="Arial" w:cs="Arial"/>
          <w:color w:val="000000" w:themeColor="text1"/>
          <w:sz w:val="19"/>
          <w:szCs w:val="19"/>
          <w:lang w:val="es-ES" w:eastAsia="es-MX"/>
        </w:rPr>
        <w:t xml:space="preserve"> </w:t>
      </w:r>
      <w:r w:rsidRPr="006A0190">
        <w:rPr>
          <w:rStyle w:val="Refdenotaalpie"/>
          <w:rFonts w:ascii="Arial" w:hAnsi="Arial" w:cs="Arial"/>
          <w:color w:val="000000" w:themeColor="text1"/>
          <w:sz w:val="19"/>
          <w:szCs w:val="19"/>
        </w:rPr>
        <w:footnoteRef/>
      </w:r>
      <w:r w:rsidRPr="006A0190">
        <w:rPr>
          <w:rFonts w:ascii="Arial" w:eastAsia="Times New Roman" w:hAnsi="Arial" w:cs="Arial"/>
          <w:color w:val="000000" w:themeColor="text1"/>
          <w:sz w:val="19"/>
          <w:szCs w:val="19"/>
          <w:lang w:val="es-ES" w:eastAsia="es-MX"/>
        </w:rPr>
        <w:t xml:space="preserve"> Así lo establece la Constitución Política, en el artículo 150, numeral 7, así como en el artículo 300, numeral 7 y en el artículo 313, numeral 6.</w:t>
      </w:r>
    </w:p>
    <w:p w14:paraId="2D8B2E91" w14:textId="77777777" w:rsidR="00013576" w:rsidRPr="006A0190" w:rsidRDefault="00013576" w:rsidP="00013576">
      <w:pPr>
        <w:pStyle w:val="Textonotapie"/>
        <w:spacing w:after="0" w:line="240" w:lineRule="auto"/>
        <w:ind w:firstLine="709"/>
        <w:rPr>
          <w:rFonts w:ascii="Arial" w:hAnsi="Arial" w:cs="Arial"/>
          <w:sz w:val="19"/>
          <w:szCs w:val="19"/>
          <w:lang w:val="es-ES"/>
        </w:rPr>
      </w:pPr>
    </w:p>
  </w:footnote>
  <w:footnote w:id="3">
    <w:p w14:paraId="4F8630AA"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Las sociedades de economía mixta son una clara manifestación organizacional de la función administrativa. Al respecto, la doctrina colombiana ha considerado que «la organización debe ocupar un lugar central en el estudio del derecho administrativo, sobre todo si se tiene en cuenta que lo estructural es consustancial a la actividad administrativa. De hecho, podemos afirmar que se trata de una verdadera dialéctica en la que se presenta una relación de medio a fin, ya que su objeto es precisamente el diseño y puesta en funcionamiento de las maneras o formas de gestión de potestades, atribuciones y competencias administrativas» (RINCÓN CÓRDOBA, Jorge Iván. Teoría de la organización administrativa en Colombia, Bogotá: Universidad Externado de Colombia, 2019, pp. 31-32). </w:t>
      </w:r>
    </w:p>
    <w:p w14:paraId="6A05C83D"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4">
    <w:p w14:paraId="7ADFCE3B" w14:textId="77777777" w:rsidR="00013576" w:rsidRPr="006A0190" w:rsidRDefault="00013576" w:rsidP="00013576">
      <w:pPr>
        <w:pStyle w:val="Textonotapie"/>
        <w:spacing w:after="0" w:line="240" w:lineRule="auto"/>
        <w:ind w:firstLine="709"/>
        <w:rPr>
          <w:rFonts w:ascii="Arial" w:hAnsi="Arial" w:cs="Arial"/>
          <w:sz w:val="19"/>
          <w:szCs w:val="19"/>
          <w:lang w:val="es-CO"/>
        </w:rPr>
      </w:pPr>
      <w:r w:rsidRPr="006A0190">
        <w:rPr>
          <w:rStyle w:val="Refdenotaalpie"/>
          <w:rFonts w:ascii="Arial" w:hAnsi="Arial" w:cs="Arial"/>
          <w:sz w:val="19"/>
          <w:szCs w:val="19"/>
        </w:rPr>
        <w:footnoteRef/>
      </w:r>
      <w:r w:rsidRPr="006A0190">
        <w:rPr>
          <w:rFonts w:ascii="Arial" w:hAnsi="Arial" w:cs="Arial"/>
          <w:sz w:val="19"/>
          <w:szCs w:val="19"/>
        </w:rPr>
        <w:t xml:space="preserve"> «Una función administrativa entendida entonces, como un conjunto de actividades particulares, disimiles entre sí, pero diversas de aquellas generales de Estado y particulares propias de la función judicial y legislativa, que dan desarrollo directo a las finalidades del estado, consagradas de manera positiva en la Constitución Política, que pueden ser desarrolladas por distintos sujetos de derecho, habilitados para ello, con el respeto y cumplimiento del ordenamiento jurídico superior» (MONTAÑA PLATA, Alberto. Fundamentos de derecho administrativo. Bogotá: Universidad Externado de Colombia, 2010, p. 124).</w:t>
      </w:r>
    </w:p>
  </w:footnote>
  <w:footnote w:id="5">
    <w:p w14:paraId="76F7BA39"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18B0023D"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352966F"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6">
    <w:p w14:paraId="0261E39D" w14:textId="77777777"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Gaceta del Congreso de la República No. 71 del 2005.</w:t>
      </w:r>
    </w:p>
    <w:p w14:paraId="0065B5DC"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7">
    <w:p w14:paraId="58FE78C3"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Corte Constitucional, Sentencia C- 1153 de 2005, M.P. Marco Gerardo Monroy Cabra.</w:t>
      </w:r>
    </w:p>
    <w:p w14:paraId="356BB863"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8">
    <w:p w14:paraId="008D7899"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4E5835C3"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9">
    <w:p w14:paraId="29134BD0" w14:textId="77777777" w:rsidR="00013576" w:rsidRDefault="00013576" w:rsidP="00013576">
      <w:pPr>
        <w:pStyle w:val="Textonotapie"/>
        <w:spacing w:after="0" w:line="240" w:lineRule="auto"/>
        <w:ind w:firstLine="709"/>
        <w:rPr>
          <w:rFonts w:ascii="Arial" w:hAnsi="Arial" w:cs="Arial"/>
          <w:sz w:val="19"/>
          <w:szCs w:val="19"/>
          <w:lang w:val="es-CO"/>
        </w:rPr>
      </w:pPr>
      <w:r w:rsidRPr="006A0190">
        <w:rPr>
          <w:rStyle w:val="Refdenotaalpie"/>
          <w:rFonts w:ascii="Arial" w:hAnsi="Arial" w:cs="Arial"/>
          <w:sz w:val="19"/>
          <w:szCs w:val="19"/>
        </w:rPr>
        <w:footnoteRef/>
      </w:r>
      <w:r w:rsidRPr="006A0190">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645044ED" w14:textId="77777777" w:rsidR="00013576" w:rsidRPr="006A0190" w:rsidRDefault="00013576" w:rsidP="00013576">
      <w:pPr>
        <w:pStyle w:val="Textonotapie"/>
        <w:spacing w:after="0" w:line="240" w:lineRule="auto"/>
        <w:ind w:firstLine="709"/>
        <w:rPr>
          <w:rFonts w:ascii="Arial" w:hAnsi="Arial" w:cs="Arial"/>
          <w:sz w:val="19"/>
          <w:szCs w:val="19"/>
          <w:lang w:val="es-CO"/>
        </w:rPr>
      </w:pPr>
    </w:p>
  </w:footnote>
  <w:footnote w:id="10">
    <w:p w14:paraId="7671142E"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de fecha 24 de julio de 2013, radicado 2166, Consejero Ponente: Álvaro Namén Vargas.  </w:t>
      </w:r>
    </w:p>
    <w:p w14:paraId="6B2031FA"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11">
    <w:p w14:paraId="4D2A3B08" w14:textId="77777777" w:rsidR="00013576" w:rsidRPr="006A0190" w:rsidRDefault="00013576" w:rsidP="00013576">
      <w:pPr>
        <w:spacing w:after="0" w:line="240" w:lineRule="auto"/>
        <w:ind w:firstLine="709"/>
        <w:jc w:val="both"/>
        <w:rPr>
          <w:rFonts w:ascii="Arial" w:eastAsia="Times New Roman"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w:t>
      </w:r>
      <w:bookmarkStart w:id="9" w:name="33"/>
      <w:r w:rsidRPr="006A0190">
        <w:rPr>
          <w:rFonts w:ascii="Arial" w:eastAsia="Calibri" w:hAnsi="Arial" w:cs="Arial"/>
          <w:bCs/>
          <w:color w:val="000000"/>
          <w:sz w:val="19"/>
          <w:szCs w:val="19"/>
        </w:rPr>
        <w:t>«</w:t>
      </w:r>
      <w:r w:rsidRPr="006A0190">
        <w:rPr>
          <w:rFonts w:ascii="Arial" w:eastAsia="Times New Roman" w:hAnsi="Arial" w:cs="Arial"/>
          <w:sz w:val="19"/>
          <w:szCs w:val="19"/>
        </w:rPr>
        <w:t>Artículo 33. Restricciones a la contratación pública.</w:t>
      </w:r>
      <w:bookmarkEnd w:id="9"/>
      <w:r w:rsidRPr="006A0190">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68277B72" w14:textId="77777777" w:rsidR="00013576" w:rsidRDefault="00013576" w:rsidP="00013576">
      <w:pPr>
        <w:spacing w:after="0" w:line="240" w:lineRule="auto"/>
        <w:ind w:firstLine="709"/>
        <w:jc w:val="both"/>
        <w:rPr>
          <w:rFonts w:ascii="Arial" w:eastAsia="Times New Roman" w:hAnsi="Arial" w:cs="Arial"/>
          <w:sz w:val="19"/>
          <w:szCs w:val="19"/>
        </w:rPr>
      </w:pPr>
      <w:r w:rsidRPr="006A0190">
        <w:rPr>
          <w:rFonts w:ascii="Arial" w:eastAsia="Calibri" w:hAnsi="Arial" w:cs="Arial"/>
          <w:bCs/>
          <w:color w:val="000000"/>
          <w:sz w:val="19"/>
          <w:szCs w:val="19"/>
        </w:rPr>
        <w:t>»</w:t>
      </w:r>
      <w:r w:rsidRPr="006A0190">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A0190">
        <w:rPr>
          <w:rFonts w:ascii="Arial" w:eastAsia="Calibri" w:hAnsi="Arial" w:cs="Arial"/>
          <w:bCs/>
          <w:color w:val="000000"/>
          <w:sz w:val="19"/>
          <w:szCs w:val="19"/>
        </w:rPr>
        <w:t>»</w:t>
      </w:r>
      <w:r w:rsidRPr="006A0190">
        <w:rPr>
          <w:rFonts w:ascii="Arial" w:eastAsia="Times New Roman" w:hAnsi="Arial" w:cs="Arial"/>
          <w:sz w:val="19"/>
          <w:szCs w:val="19"/>
        </w:rPr>
        <w:t>.</w:t>
      </w:r>
    </w:p>
    <w:p w14:paraId="4DB7A093" w14:textId="77777777" w:rsidR="00013576" w:rsidRPr="006A0190" w:rsidRDefault="00013576" w:rsidP="00013576">
      <w:pPr>
        <w:spacing w:after="0" w:line="240" w:lineRule="auto"/>
        <w:ind w:firstLine="709"/>
        <w:jc w:val="both"/>
        <w:rPr>
          <w:rFonts w:ascii="Arial" w:eastAsia="Times New Roman" w:hAnsi="Arial" w:cs="Arial"/>
          <w:sz w:val="19"/>
          <w:szCs w:val="19"/>
        </w:rPr>
      </w:pPr>
    </w:p>
  </w:footnote>
  <w:footnote w:id="12">
    <w:p w14:paraId="18981147" w14:textId="77777777" w:rsidR="00013576" w:rsidRPr="006A0190" w:rsidRDefault="00013576" w:rsidP="00013576">
      <w:pPr>
        <w:pStyle w:val="NormalWeb"/>
        <w:spacing w:before="0" w:beforeAutospacing="0" w:after="0" w:afterAutospacing="0" w:line="240" w:lineRule="auto"/>
        <w:ind w:firstLine="709"/>
        <w:rPr>
          <w:rFonts w:ascii="Arial" w:hAnsi="Arial" w:cs="Arial"/>
          <w:sz w:val="19"/>
          <w:szCs w:val="19"/>
          <w:lang w:val="es-MX"/>
        </w:rPr>
      </w:pPr>
      <w:r w:rsidRPr="006A0190">
        <w:rPr>
          <w:rStyle w:val="Refdenotaalpie"/>
          <w:rFonts w:ascii="Arial" w:hAnsi="Arial" w:cs="Arial"/>
          <w:sz w:val="19"/>
          <w:szCs w:val="19"/>
        </w:rPr>
        <w:footnoteRef/>
      </w:r>
      <w:r w:rsidRPr="006A0190">
        <w:rPr>
          <w:rFonts w:ascii="Arial" w:hAnsi="Arial" w:cs="Arial"/>
          <w:sz w:val="19"/>
          <w:szCs w:val="19"/>
        </w:rPr>
        <w:t xml:space="preserve"> </w:t>
      </w:r>
      <w:bookmarkStart w:id="10" w:name="38"/>
      <w:r w:rsidRPr="006A0190">
        <w:rPr>
          <w:rFonts w:ascii="Arial" w:eastAsia="Calibri" w:hAnsi="Arial" w:cs="Arial"/>
          <w:bCs/>
          <w:color w:val="000000"/>
          <w:sz w:val="19"/>
          <w:szCs w:val="19"/>
        </w:rPr>
        <w:t>«</w:t>
      </w:r>
      <w:r w:rsidRPr="006A0190">
        <w:rPr>
          <w:rFonts w:ascii="Arial" w:hAnsi="Arial" w:cs="Arial"/>
          <w:sz w:val="19"/>
          <w:szCs w:val="19"/>
          <w:lang w:val="es-MX"/>
        </w:rPr>
        <w:t>Artículo 38. Prohibiciones para los servidores públicos. A los empleados del Estado les está prohibido:</w:t>
      </w:r>
      <w:bookmarkEnd w:id="10"/>
    </w:p>
    <w:p w14:paraId="1CDB9D86" w14:textId="77777777" w:rsidR="00013576" w:rsidRPr="006A0190" w:rsidRDefault="00013576" w:rsidP="00013576">
      <w:pPr>
        <w:pStyle w:val="NormalWeb"/>
        <w:spacing w:before="0" w:beforeAutospacing="0" w:after="0" w:afterAutospacing="0" w:line="240" w:lineRule="auto"/>
        <w:ind w:firstLine="709"/>
        <w:rPr>
          <w:rFonts w:ascii="Arial" w:hAnsi="Arial" w:cs="Arial"/>
          <w:sz w:val="19"/>
          <w:szCs w:val="19"/>
          <w:lang w:val="es-MX"/>
        </w:rPr>
      </w:pPr>
      <w:r w:rsidRPr="006A0190">
        <w:rPr>
          <w:rFonts w:ascii="Arial" w:eastAsia="Calibri" w:hAnsi="Arial" w:cs="Arial"/>
          <w:bCs/>
          <w:color w:val="000000"/>
          <w:sz w:val="19"/>
          <w:szCs w:val="19"/>
        </w:rPr>
        <w:t>»</w:t>
      </w:r>
      <w:r w:rsidRPr="006A0190">
        <w:rPr>
          <w:rFonts w:ascii="Arial" w:hAnsi="Arial" w:cs="Arial"/>
          <w:sz w:val="19"/>
          <w:szCs w:val="19"/>
          <w:lang w:val="es-MX"/>
        </w:rPr>
        <w:t xml:space="preserve"> […]</w:t>
      </w:r>
    </w:p>
    <w:p w14:paraId="3036D128" w14:textId="77777777" w:rsidR="00013576" w:rsidRPr="006A0190" w:rsidRDefault="00013576" w:rsidP="00013576">
      <w:pPr>
        <w:pStyle w:val="NormalWeb"/>
        <w:spacing w:before="0" w:beforeAutospacing="0" w:after="0" w:afterAutospacing="0" w:line="240" w:lineRule="auto"/>
        <w:ind w:firstLine="709"/>
        <w:rPr>
          <w:rFonts w:ascii="Arial" w:hAnsi="Arial" w:cs="Arial"/>
          <w:sz w:val="19"/>
          <w:szCs w:val="19"/>
          <w:lang w:val="es-MX"/>
        </w:rPr>
      </w:pPr>
      <w:r w:rsidRPr="006A0190">
        <w:rPr>
          <w:rFonts w:ascii="Arial" w:eastAsia="Calibri" w:hAnsi="Arial" w:cs="Arial"/>
          <w:bCs/>
          <w:color w:val="000000"/>
          <w:sz w:val="19"/>
          <w:szCs w:val="19"/>
        </w:rPr>
        <w:t>»</w:t>
      </w:r>
      <w:r w:rsidRPr="006A0190">
        <w:rPr>
          <w:rStyle w:val="baj"/>
          <w:rFonts w:ascii="Arial" w:hAnsi="Arial" w:cs="Arial"/>
          <w:sz w:val="19"/>
          <w:szCs w:val="19"/>
          <w:lang w:val="es-MX"/>
        </w:rPr>
        <w:t xml:space="preserve"> Parágrafo.</w:t>
      </w:r>
      <w:r w:rsidRPr="006A0190">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A0190">
        <w:rPr>
          <w:rFonts w:ascii="Arial" w:eastAsia="Calibri" w:hAnsi="Arial" w:cs="Arial"/>
          <w:bCs/>
          <w:color w:val="000000"/>
          <w:sz w:val="19"/>
          <w:szCs w:val="19"/>
        </w:rPr>
        <w:t>»</w:t>
      </w:r>
      <w:r w:rsidRPr="006A0190">
        <w:rPr>
          <w:rFonts w:ascii="Arial" w:hAnsi="Arial" w:cs="Arial"/>
          <w:sz w:val="19"/>
          <w:szCs w:val="19"/>
          <w:lang w:val="es-MX"/>
        </w:rPr>
        <w:t>.</w:t>
      </w:r>
    </w:p>
    <w:p w14:paraId="4202BD34" w14:textId="77777777" w:rsidR="00013576" w:rsidRPr="006A0190" w:rsidRDefault="00013576" w:rsidP="00013576">
      <w:pPr>
        <w:pStyle w:val="NormalWeb"/>
        <w:spacing w:before="0" w:beforeAutospacing="0" w:after="0" w:afterAutospacing="0" w:line="240" w:lineRule="auto"/>
        <w:ind w:firstLine="709"/>
        <w:rPr>
          <w:rFonts w:ascii="Arial" w:hAnsi="Arial" w:cs="Arial"/>
          <w:sz w:val="19"/>
          <w:szCs w:val="19"/>
          <w:lang w:val="es-MX"/>
        </w:rPr>
      </w:pPr>
    </w:p>
  </w:footnote>
  <w:footnote w:id="13">
    <w:p w14:paraId="7E214D47" w14:textId="77777777" w:rsidR="00013576" w:rsidRPr="006A0190" w:rsidRDefault="00013576" w:rsidP="00013576">
      <w:pPr>
        <w:spacing w:after="0" w:line="240" w:lineRule="auto"/>
        <w:ind w:firstLine="709"/>
        <w:jc w:val="both"/>
        <w:rPr>
          <w:rFonts w:ascii="Arial" w:hAnsi="Arial" w:cs="Arial"/>
          <w:sz w:val="19"/>
          <w:szCs w:val="19"/>
          <w:lang w:val="es-ES"/>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4">
    <w:p w14:paraId="5E9E9161"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color w:val="000000"/>
          <w:sz w:val="19"/>
          <w:szCs w:val="19"/>
        </w:rPr>
        <w:footnoteRef/>
      </w:r>
      <w:r w:rsidRPr="006A0190">
        <w:rPr>
          <w:rFonts w:ascii="Arial" w:hAnsi="Arial" w:cs="Arial"/>
          <w:color w:val="000000"/>
          <w:sz w:val="19"/>
          <w:szCs w:val="19"/>
        </w:rPr>
        <w:t xml:space="preserve"> Consejo de Estado. Sala de Consulta y Servicio Civil. Concepto de 20 de febrero de2006. Radicación 11001</w:t>
      </w:r>
      <w:r w:rsidRPr="006A0190">
        <w:rPr>
          <w:rFonts w:ascii="Arial" w:hAnsi="Arial" w:cs="Arial"/>
          <w:sz w:val="19"/>
          <w:szCs w:val="19"/>
        </w:rPr>
        <w:t>-03-06-000-2006-00023-00(1724). Consejero Ponente: Flavio Augusto Rodríguez Arce.</w:t>
      </w:r>
    </w:p>
    <w:p w14:paraId="043C285C"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15">
    <w:p w14:paraId="12E4F70A" w14:textId="77777777" w:rsidR="00013576" w:rsidRPr="006A0190" w:rsidRDefault="00013576" w:rsidP="00013576">
      <w:pPr>
        <w:spacing w:after="0" w:line="240" w:lineRule="auto"/>
        <w:ind w:firstLine="709"/>
        <w:jc w:val="both"/>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74E5F526" w14:textId="77777777" w:rsidR="00013576" w:rsidRPr="006A0190" w:rsidRDefault="00013576" w:rsidP="00013576">
      <w:pPr>
        <w:spacing w:after="0" w:line="240" w:lineRule="auto"/>
        <w:ind w:firstLine="709"/>
        <w:jc w:val="both"/>
        <w:rPr>
          <w:rFonts w:ascii="Arial" w:hAnsi="Arial" w:cs="Arial"/>
          <w:sz w:val="19"/>
          <w:szCs w:val="19"/>
        </w:rPr>
      </w:pPr>
      <w:r w:rsidRPr="006A0190">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6A0190">
        <w:rPr>
          <w:rFonts w:ascii="Arial" w:hAnsi="Arial" w:cs="Arial"/>
          <w:spacing w:val="-1"/>
          <w:sz w:val="19"/>
          <w:szCs w:val="19"/>
        </w:rPr>
        <w:t xml:space="preserve"> </w:t>
      </w:r>
      <w:r w:rsidRPr="006A0190">
        <w:rPr>
          <w:rFonts w:ascii="Arial" w:hAnsi="Arial" w:cs="Arial"/>
          <w:sz w:val="19"/>
          <w:szCs w:val="19"/>
        </w:rPr>
        <w:t>Estatales».</w:t>
      </w:r>
    </w:p>
    <w:p w14:paraId="34FAADB0" w14:textId="77777777" w:rsidR="00013576" w:rsidRPr="006A0190" w:rsidRDefault="00013576" w:rsidP="00013576">
      <w:pPr>
        <w:spacing w:after="0" w:line="240" w:lineRule="auto"/>
        <w:ind w:firstLine="709"/>
        <w:jc w:val="both"/>
        <w:rPr>
          <w:rFonts w:ascii="Arial" w:hAnsi="Arial" w:cs="Arial"/>
          <w:sz w:val="19"/>
          <w:szCs w:val="19"/>
        </w:rPr>
      </w:pPr>
    </w:p>
  </w:footnote>
  <w:footnote w:id="16">
    <w:p w14:paraId="0FE60E95" w14:textId="77777777" w:rsidR="00013576" w:rsidRPr="006A0190" w:rsidRDefault="00013576" w:rsidP="00013576">
      <w:pPr>
        <w:spacing w:after="0" w:line="240" w:lineRule="auto"/>
        <w:ind w:firstLine="709"/>
        <w:jc w:val="both"/>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6A0190">
        <w:rPr>
          <w:rFonts w:ascii="Arial" w:hAnsi="Arial" w:cs="Arial"/>
          <w:spacing w:val="-6"/>
          <w:sz w:val="19"/>
          <w:szCs w:val="19"/>
        </w:rPr>
        <w:t xml:space="preserve"> </w:t>
      </w:r>
      <w:r w:rsidRPr="006A0190">
        <w:rPr>
          <w:rFonts w:ascii="Arial" w:hAnsi="Arial" w:cs="Arial"/>
          <w:sz w:val="19"/>
          <w:szCs w:val="19"/>
        </w:rPr>
        <w:t>artículo».</w:t>
      </w:r>
    </w:p>
    <w:p w14:paraId="07CA3536" w14:textId="77777777" w:rsidR="00013576" w:rsidRPr="006A0190" w:rsidRDefault="00013576" w:rsidP="00013576">
      <w:pPr>
        <w:spacing w:after="0" w:line="240" w:lineRule="auto"/>
        <w:ind w:firstLine="709"/>
        <w:jc w:val="both"/>
        <w:rPr>
          <w:rFonts w:ascii="Arial" w:hAnsi="Arial" w:cs="Arial"/>
          <w:sz w:val="19"/>
          <w:szCs w:val="19"/>
        </w:rPr>
      </w:pPr>
    </w:p>
  </w:footnote>
  <w:footnote w:id="17">
    <w:p w14:paraId="73680C3D" w14:textId="77777777" w:rsidR="00013576" w:rsidRPr="006A0190" w:rsidRDefault="00013576" w:rsidP="00013576">
      <w:pPr>
        <w:spacing w:after="0" w:line="240" w:lineRule="auto"/>
        <w:ind w:firstLine="709"/>
        <w:jc w:val="both"/>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position w:val="7"/>
          <w:sz w:val="19"/>
          <w:szCs w:val="19"/>
        </w:rPr>
        <w:t xml:space="preserve"> </w:t>
      </w:r>
      <w:r w:rsidRPr="006A0190">
        <w:rPr>
          <w:rFonts w:ascii="Arial" w:hAnsi="Arial" w:cs="Arial"/>
          <w:sz w:val="19"/>
          <w:szCs w:val="19"/>
        </w:rPr>
        <w:t>Consejo de Estado. Sección Tercera. Sentencia del 23 de junio de 2010. Radicación No. 66001-23-31-000-1998-00261-01(17.860). Consejero Ponente: Mauricio Fajardo Gómez.</w:t>
      </w:r>
    </w:p>
  </w:footnote>
  <w:footnote w:id="18">
    <w:p w14:paraId="79AA8621" w14:textId="77777777" w:rsidR="00013576" w:rsidRPr="006A0190" w:rsidRDefault="00013576" w:rsidP="00013576">
      <w:pPr>
        <w:spacing w:after="0" w:line="240" w:lineRule="auto"/>
        <w:ind w:firstLine="709"/>
        <w:jc w:val="both"/>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Sección Tercera. Subsección C. Sentencia del 11 de diciembre de 2019. Exp. 46.986. C.P. Jaime Enrique Rodríguez Navas.</w:t>
      </w:r>
    </w:p>
    <w:p w14:paraId="1DE89780" w14:textId="77777777" w:rsidR="00013576" w:rsidRPr="006A0190" w:rsidRDefault="00013576" w:rsidP="00013576">
      <w:pPr>
        <w:spacing w:after="0" w:line="240" w:lineRule="auto"/>
        <w:ind w:firstLine="709"/>
        <w:jc w:val="both"/>
        <w:rPr>
          <w:rFonts w:ascii="Arial" w:hAnsi="Arial" w:cs="Arial"/>
          <w:sz w:val="19"/>
          <w:szCs w:val="19"/>
        </w:rPr>
      </w:pPr>
    </w:p>
  </w:footnote>
  <w:footnote w:id="19">
    <w:p w14:paraId="7F08D88C"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[Referencia propia de la cita] «CE. SCSC. Concepto de 1 de noviembre de 2016 [Rad. 11001-03-06-000-2016-00125-00(2305)]. MP. Germán Alberto Bula Escobar».</w:t>
      </w:r>
    </w:p>
    <w:p w14:paraId="116864E7"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20">
    <w:p w14:paraId="6CF3B713"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6A0190">
        <w:rPr>
          <w:rFonts w:ascii="Arial" w:hAnsi="Arial" w:cs="Arial"/>
          <w:i/>
          <w:sz w:val="19"/>
          <w:szCs w:val="19"/>
        </w:rPr>
        <w:t>“obligacional”</w:t>
      </w:r>
      <w:r w:rsidRPr="006A0190">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21">
    <w:p w14:paraId="5CC346D7"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[Referencia propia de la cita] «La normativa vigente del EGCAP </w:t>
      </w:r>
      <w:r w:rsidRPr="006A0190">
        <w:rPr>
          <w:rFonts w:ascii="Arial" w:hAnsi="Arial" w:cs="Arial"/>
          <w:i/>
          <w:sz w:val="19"/>
          <w:szCs w:val="19"/>
        </w:rPr>
        <w:t>[literal c) del numeral 4. del artículo 2 de la Ley 1150/07]</w:t>
      </w:r>
      <w:r w:rsidRPr="006A0190">
        <w:rPr>
          <w:rFonts w:ascii="Arial" w:hAnsi="Arial" w:cs="Arial"/>
          <w:sz w:val="19"/>
          <w:szCs w:val="19"/>
        </w:rPr>
        <w:t xml:space="preserve"> se refiere a </w:t>
      </w:r>
      <w:r w:rsidRPr="006A0190">
        <w:rPr>
          <w:rFonts w:ascii="Arial" w:hAnsi="Arial" w:cs="Arial"/>
          <w:i/>
          <w:sz w:val="19"/>
          <w:szCs w:val="19"/>
        </w:rPr>
        <w:t>“contratos interadministrativos”</w:t>
      </w:r>
      <w:r w:rsidRPr="006A0190">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4A819885"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22">
    <w:p w14:paraId="68C50E2A"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6ABD5804"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23">
    <w:p w14:paraId="7CE68DD5"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Es lo que sucede, por ejemplo, con el Decreto 092 de 2017, que en su desarrollo hace referencia tanto a los «contratos» como a los «convenios». </w:t>
      </w:r>
    </w:p>
    <w:p w14:paraId="33DC124D" w14:textId="77777777" w:rsidR="00013576" w:rsidRPr="006A0190" w:rsidRDefault="00013576" w:rsidP="00013576">
      <w:pPr>
        <w:pStyle w:val="Textonotapie"/>
        <w:spacing w:after="0" w:line="240" w:lineRule="auto"/>
        <w:ind w:firstLine="709"/>
        <w:rPr>
          <w:rFonts w:ascii="Arial" w:hAnsi="Arial" w:cs="Arial"/>
          <w:sz w:val="19"/>
          <w:szCs w:val="19"/>
          <w:lang w:val="es-CO"/>
        </w:rPr>
      </w:pPr>
    </w:p>
  </w:footnote>
  <w:footnote w:id="24">
    <w:p w14:paraId="1CB6D96F" w14:textId="77777777" w:rsidR="00013576" w:rsidRPr="006A0190" w:rsidRDefault="00013576" w:rsidP="00013576">
      <w:pPr>
        <w:pStyle w:val="Textonotapie"/>
        <w:spacing w:after="0" w:line="240" w:lineRule="auto"/>
        <w:ind w:firstLine="709"/>
        <w:rPr>
          <w:rFonts w:ascii="Arial" w:hAnsi="Arial" w:cs="Arial"/>
          <w:sz w:val="19"/>
          <w:szCs w:val="19"/>
          <w:lang w:val="es-CO"/>
        </w:rPr>
      </w:pPr>
      <w:r w:rsidRPr="006A0190">
        <w:rPr>
          <w:rStyle w:val="Refdenotaalpie"/>
          <w:rFonts w:ascii="Arial" w:hAnsi="Arial" w:cs="Arial"/>
          <w:sz w:val="19"/>
          <w:szCs w:val="19"/>
        </w:rPr>
        <w:footnoteRef/>
      </w:r>
      <w:r w:rsidRPr="006A0190">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5">
    <w:p w14:paraId="2DC0396A"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6">
    <w:p w14:paraId="426752ED" w14:textId="77777777" w:rsidR="00013576" w:rsidRPr="006A0190" w:rsidRDefault="00013576" w:rsidP="00013576">
      <w:pPr>
        <w:pStyle w:val="Textonotapie"/>
        <w:spacing w:after="0" w:line="240" w:lineRule="auto"/>
        <w:ind w:firstLine="709"/>
        <w:rPr>
          <w:rFonts w:ascii="Arial" w:hAnsi="Arial" w:cs="Arial"/>
          <w:sz w:val="19"/>
          <w:szCs w:val="19"/>
        </w:rPr>
      </w:pPr>
    </w:p>
    <w:p w14:paraId="10E52983"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42765125" w14:textId="77777777" w:rsidR="00013576" w:rsidRPr="006A0190" w:rsidRDefault="00013576" w:rsidP="00013576">
      <w:pPr>
        <w:pStyle w:val="Textonotapie"/>
        <w:spacing w:after="0" w:line="240" w:lineRule="auto"/>
        <w:ind w:firstLine="709"/>
        <w:rPr>
          <w:rFonts w:ascii="Arial" w:hAnsi="Arial" w:cs="Arial"/>
          <w:sz w:val="19"/>
          <w:szCs w:val="19"/>
          <w:lang w:val="es-CO"/>
        </w:rPr>
      </w:pPr>
    </w:p>
  </w:footnote>
  <w:footnote w:id="27">
    <w:p w14:paraId="5013C804" w14:textId="77777777"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Que en su artículo 141 establece: «La presente Ley rige a partir de la fecha de su publicación y surte efectos fiscales a partir del 1 de enero de 2022».</w:t>
      </w:r>
    </w:p>
    <w:p w14:paraId="21ED178C"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28">
    <w:p w14:paraId="1FAD2463" w14:textId="77777777" w:rsidR="00013576" w:rsidRPr="006A0190" w:rsidRDefault="00013576" w:rsidP="00013576">
      <w:pPr>
        <w:pStyle w:val="Textonotapie"/>
        <w:spacing w:after="0" w:line="240" w:lineRule="auto"/>
        <w:ind w:firstLine="709"/>
        <w:rPr>
          <w:rFonts w:ascii="Arial" w:hAnsi="Arial" w:cs="Arial"/>
          <w:sz w:val="19"/>
          <w:szCs w:val="19"/>
          <w:lang w:val="es-ES"/>
        </w:rPr>
      </w:pPr>
      <w:r w:rsidRPr="006A0190">
        <w:rPr>
          <w:rStyle w:val="Refdenotaalpie"/>
          <w:rFonts w:ascii="Arial" w:hAnsi="Arial" w:cs="Arial"/>
          <w:sz w:val="19"/>
          <w:szCs w:val="19"/>
        </w:rPr>
        <w:footnoteRef/>
      </w:r>
      <w:r w:rsidRPr="006A0190">
        <w:rPr>
          <w:rFonts w:ascii="Arial" w:hAnsi="Arial" w:cs="Arial"/>
          <w:sz w:val="19"/>
          <w:szCs w:val="19"/>
        </w:rPr>
        <w:t xml:space="preserve"> </w:t>
      </w:r>
      <w:r w:rsidRPr="006A0190">
        <w:rPr>
          <w:rFonts w:ascii="Arial" w:hAnsi="Arial" w:cs="Arial"/>
          <w:sz w:val="19"/>
          <w:szCs w:val="19"/>
          <w:lang w:val="es-ES"/>
        </w:rPr>
        <w:t xml:space="preserve">Correspondiente al Proyecto de Ley 158/21 Cámara y 096/2021 Senado, cuyo texto definitivo fue aprobado en plenaria del Senado de la República el día 19 de octubre de 2021, según la Gaceta  del Congreso de la República nro. 1496. </w:t>
      </w:r>
    </w:p>
  </w:footnote>
  <w:footnote w:id="29">
    <w:p w14:paraId="5059AB3A" w14:textId="77777777"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w:t>
      </w:r>
      <w:bookmarkStart w:id="22" w:name="_Hlk74272731"/>
      <w:r w:rsidRPr="006A0190">
        <w:rPr>
          <w:rFonts w:ascii="Arial" w:hAnsi="Arial" w:cs="Arial"/>
          <w:sz w:val="19"/>
          <w:szCs w:val="19"/>
        </w:rPr>
        <w:t>«</w:t>
      </w:r>
      <w:bookmarkEnd w:id="22"/>
      <w:r w:rsidRPr="006A0190">
        <w:rPr>
          <w:rFonts w:ascii="Arial" w:hAnsi="Arial" w:cs="Arial"/>
          <w:sz w:val="19"/>
          <w:szCs w:val="19"/>
          <w:lang w:val="es-ES"/>
        </w:rPr>
        <w:t xml:space="preserve">[25] </w:t>
      </w:r>
      <w:r w:rsidRPr="006A0190">
        <w:rPr>
          <w:rFonts w:ascii="Arial" w:hAnsi="Arial" w:cs="Arial"/>
          <w:sz w:val="19"/>
          <w:szCs w:val="19"/>
        </w:rPr>
        <w:t>Cfr. Consejo de Estado. Sección Tercera. Sentencia de 3 de diciembre de 2007. Radicados: 24.715, 25.206, 25.409, 24.524, 27.834, 25.410, 26.105, 28.244, 31.447 -acumulados-</w:t>
      </w:r>
      <w:bookmarkStart w:id="23" w:name="_Hlk74271358"/>
      <w:r w:rsidRPr="006A0190">
        <w:rPr>
          <w:rFonts w:ascii="Arial" w:hAnsi="Arial" w:cs="Arial"/>
          <w:sz w:val="19"/>
          <w:szCs w:val="19"/>
        </w:rPr>
        <w:t>»</w:t>
      </w:r>
      <w:bookmarkEnd w:id="23"/>
      <w:r w:rsidRPr="006A0190">
        <w:rPr>
          <w:rFonts w:ascii="Arial" w:hAnsi="Arial" w:cs="Arial"/>
          <w:sz w:val="19"/>
          <w:szCs w:val="19"/>
        </w:rPr>
        <w:t>.</w:t>
      </w:r>
    </w:p>
    <w:p w14:paraId="1B0AB1EE"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30">
    <w:p w14:paraId="0458B37C" w14:textId="77777777"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w:t>
      </w:r>
      <w:bookmarkStart w:id="25" w:name="_Hlk74294506"/>
      <w:r w:rsidRPr="006A0190">
        <w:rPr>
          <w:rFonts w:ascii="Arial" w:hAnsi="Arial" w:cs="Arial"/>
          <w:sz w:val="19"/>
          <w:szCs w:val="19"/>
        </w:rPr>
        <w:t>«</w:t>
      </w:r>
      <w:r w:rsidRPr="006A0190">
        <w:rPr>
          <w:rFonts w:ascii="Arial" w:hAnsi="Arial" w:cs="Arial"/>
          <w:sz w:val="19"/>
          <w:szCs w:val="19"/>
          <w:lang w:val="es-ES"/>
        </w:rPr>
        <w:t xml:space="preserve">[26] </w:t>
      </w:r>
      <w:bookmarkEnd w:id="25"/>
      <w:r w:rsidRPr="006A0190">
        <w:rPr>
          <w:rFonts w:ascii="Arial" w:hAnsi="Arial" w:cs="Arial"/>
          <w:sz w:val="19"/>
          <w:szCs w:val="19"/>
        </w:rPr>
        <w:t>Al respecto ver el concepto 1712 de 2 de febrero de 2006. Consejo de Estado Sala de Consulta y Servicio Civil».</w:t>
      </w:r>
    </w:p>
    <w:p w14:paraId="59EA3C1D"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31">
    <w:p w14:paraId="0A111ADA" w14:textId="1DB97084"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6E1E305F"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32">
    <w:p w14:paraId="4D3FC967" w14:textId="77777777" w:rsidR="00013576" w:rsidRDefault="00013576" w:rsidP="00013576">
      <w:pPr>
        <w:pStyle w:val="Textonotapie"/>
        <w:spacing w:after="0" w:line="240" w:lineRule="auto"/>
        <w:ind w:firstLine="709"/>
        <w:rPr>
          <w:rFonts w:ascii="Arial" w:hAnsi="Arial" w:cs="Arial"/>
          <w:sz w:val="19"/>
          <w:szCs w:val="19"/>
          <w:lang w:val="es-ES"/>
        </w:rPr>
      </w:pPr>
      <w:r w:rsidRPr="006A0190">
        <w:rPr>
          <w:rStyle w:val="Refdenotaalpie"/>
          <w:rFonts w:ascii="Arial" w:hAnsi="Arial" w:cs="Arial"/>
          <w:sz w:val="19"/>
          <w:szCs w:val="19"/>
        </w:rPr>
        <w:footnoteRef/>
      </w:r>
      <w:r w:rsidRPr="006A0190">
        <w:rPr>
          <w:rFonts w:ascii="Arial" w:hAnsi="Arial" w:cs="Arial"/>
          <w:sz w:val="19"/>
          <w:szCs w:val="19"/>
        </w:rPr>
        <w:t xml:space="preserve"> </w:t>
      </w:r>
      <w:r w:rsidRPr="006A0190">
        <w:rPr>
          <w:rFonts w:ascii="Arial" w:hAnsi="Arial" w:cs="Arial"/>
          <w:sz w:val="19"/>
          <w:szCs w:val="19"/>
          <w:lang w:val="es-ES"/>
        </w:rPr>
        <w:t xml:space="preserve">Artículo 2. </w:t>
      </w:r>
    </w:p>
    <w:p w14:paraId="231E54B4" w14:textId="77777777" w:rsidR="00013576" w:rsidRPr="006A0190" w:rsidRDefault="00013576" w:rsidP="00013576">
      <w:pPr>
        <w:pStyle w:val="Textonotapie"/>
        <w:spacing w:after="0" w:line="240" w:lineRule="auto"/>
        <w:ind w:firstLine="709"/>
        <w:rPr>
          <w:rFonts w:ascii="Arial" w:hAnsi="Arial" w:cs="Arial"/>
          <w:sz w:val="19"/>
          <w:szCs w:val="19"/>
          <w:lang w:val="es-ES"/>
        </w:rPr>
      </w:pPr>
    </w:p>
  </w:footnote>
  <w:footnote w:id="33">
    <w:p w14:paraId="5DA44086" w14:textId="77777777" w:rsidR="00013576" w:rsidRDefault="00013576" w:rsidP="00013576">
      <w:pPr>
        <w:pStyle w:val="Textonotapie"/>
        <w:spacing w:after="0" w:line="240" w:lineRule="auto"/>
        <w:ind w:firstLine="709"/>
        <w:rPr>
          <w:rFonts w:ascii="Arial" w:hAnsi="Arial" w:cs="Arial"/>
          <w:sz w:val="19"/>
          <w:szCs w:val="19"/>
          <w:lang w:val="es-ES"/>
        </w:rPr>
      </w:pPr>
      <w:r w:rsidRPr="006A0190">
        <w:rPr>
          <w:rStyle w:val="Refdenotaalpie"/>
          <w:rFonts w:ascii="Arial" w:hAnsi="Arial" w:cs="Arial"/>
          <w:sz w:val="19"/>
          <w:szCs w:val="19"/>
        </w:rPr>
        <w:footnoteRef/>
      </w:r>
      <w:r w:rsidRPr="006A0190">
        <w:rPr>
          <w:rFonts w:ascii="Arial" w:hAnsi="Arial" w:cs="Arial"/>
          <w:sz w:val="19"/>
          <w:szCs w:val="19"/>
        </w:rPr>
        <w:t xml:space="preserve"> </w:t>
      </w:r>
      <w:r w:rsidRPr="006A0190">
        <w:rPr>
          <w:rFonts w:ascii="Arial" w:hAnsi="Arial" w:cs="Arial"/>
          <w:i/>
          <w:sz w:val="19"/>
          <w:szCs w:val="19"/>
          <w:lang w:val="es-ES"/>
        </w:rPr>
        <w:t>Ídem</w:t>
      </w:r>
      <w:r w:rsidRPr="006A0190">
        <w:rPr>
          <w:rFonts w:ascii="Arial" w:hAnsi="Arial" w:cs="Arial"/>
          <w:sz w:val="19"/>
          <w:szCs w:val="19"/>
          <w:lang w:val="es-ES"/>
        </w:rPr>
        <w:t>.</w:t>
      </w:r>
    </w:p>
    <w:p w14:paraId="014C4B4C" w14:textId="77777777" w:rsidR="00013576" w:rsidRPr="006A0190" w:rsidRDefault="00013576" w:rsidP="00013576">
      <w:pPr>
        <w:pStyle w:val="Textonotapie"/>
        <w:spacing w:after="0" w:line="240" w:lineRule="auto"/>
        <w:ind w:firstLine="709"/>
        <w:rPr>
          <w:rFonts w:ascii="Arial" w:hAnsi="Arial" w:cs="Arial"/>
          <w:sz w:val="19"/>
          <w:szCs w:val="19"/>
          <w:lang w:val="es-ES"/>
        </w:rPr>
      </w:pPr>
    </w:p>
  </w:footnote>
  <w:footnote w:id="34">
    <w:p w14:paraId="66F14453" w14:textId="77777777" w:rsidR="00013576" w:rsidRPr="006A0190" w:rsidRDefault="00013576" w:rsidP="00013576">
      <w:pPr>
        <w:pStyle w:val="Textonotapie"/>
        <w:spacing w:after="0" w:line="240" w:lineRule="auto"/>
        <w:ind w:firstLine="709"/>
        <w:rPr>
          <w:rFonts w:ascii="Arial" w:hAnsi="Arial" w:cs="Arial"/>
          <w:sz w:val="19"/>
          <w:szCs w:val="19"/>
          <w:lang w:val="es-ES"/>
        </w:rPr>
      </w:pPr>
      <w:r w:rsidRPr="006A0190">
        <w:rPr>
          <w:rStyle w:val="Refdenotaalpie"/>
          <w:rFonts w:ascii="Arial" w:hAnsi="Arial" w:cs="Arial"/>
          <w:sz w:val="19"/>
          <w:szCs w:val="19"/>
        </w:rPr>
        <w:footnoteRef/>
      </w:r>
      <w:r w:rsidRPr="006A0190">
        <w:rPr>
          <w:rStyle w:val="Refdenotaalpie"/>
          <w:rFonts w:ascii="Arial" w:hAnsi="Arial" w:cs="Arial"/>
          <w:sz w:val="19"/>
          <w:szCs w:val="19"/>
        </w:rPr>
        <w:t xml:space="preserve"> </w:t>
      </w:r>
      <w:bookmarkStart w:id="26" w:name="_Hlk74297130"/>
      <w:r w:rsidRPr="006A0190">
        <w:rPr>
          <w:rFonts w:ascii="Arial" w:hAnsi="Arial" w:cs="Arial"/>
          <w:sz w:val="19"/>
          <w:szCs w:val="19"/>
          <w:lang w:val="es-ES"/>
        </w:rPr>
        <w:t>«</w:t>
      </w:r>
      <w:bookmarkEnd w:id="26"/>
      <w:r w:rsidRPr="006A0190">
        <w:rPr>
          <w:rFonts w:ascii="Arial" w:hAnsi="Arial" w:cs="Arial"/>
          <w:sz w:val="19"/>
          <w:szCs w:val="19"/>
          <w:lang w:val="es-ES"/>
        </w:rPr>
        <w:t xml:space="preserve">[…] A este respecto, cabe recordar que el artículo 860 del Código de Comercio regula la licitación en el derecho privado». </w:t>
      </w:r>
    </w:p>
    <w:p w14:paraId="50D71A51" w14:textId="77777777" w:rsidR="00013576" w:rsidRPr="006A0190" w:rsidRDefault="00013576" w:rsidP="00013576">
      <w:pPr>
        <w:pStyle w:val="Textonotapie"/>
        <w:spacing w:after="0" w:line="240" w:lineRule="auto"/>
        <w:ind w:firstLine="709"/>
        <w:rPr>
          <w:rFonts w:ascii="Arial" w:hAnsi="Arial" w:cs="Arial"/>
          <w:sz w:val="19"/>
          <w:szCs w:val="19"/>
          <w:lang w:val="es-ES"/>
        </w:rPr>
      </w:pPr>
    </w:p>
  </w:footnote>
  <w:footnote w:id="35">
    <w:p w14:paraId="67196586" w14:textId="77777777" w:rsidR="00013576" w:rsidRPr="006A0190" w:rsidRDefault="00013576" w:rsidP="00013576">
      <w:pPr>
        <w:shd w:val="clear" w:color="auto" w:fill="FFFFFF"/>
        <w:spacing w:after="0" w:line="240" w:lineRule="auto"/>
        <w:ind w:firstLine="709"/>
        <w:jc w:val="both"/>
        <w:rPr>
          <w:rFonts w:ascii="Arial" w:hAnsi="Arial" w:cs="Arial"/>
          <w:sz w:val="19"/>
          <w:szCs w:val="19"/>
          <w:lang w:val="es-ES"/>
        </w:rPr>
      </w:pPr>
      <w:r w:rsidRPr="006A0190">
        <w:rPr>
          <w:rStyle w:val="Refdenotaalpie"/>
          <w:rFonts w:ascii="Arial" w:hAnsi="Arial" w:cs="Arial"/>
          <w:sz w:val="19"/>
          <w:szCs w:val="19"/>
        </w:rPr>
        <w:footnoteRef/>
      </w:r>
      <w:r w:rsidRPr="006A0190">
        <w:rPr>
          <w:rStyle w:val="Refdenotaalpie"/>
          <w:rFonts w:ascii="Arial" w:hAnsi="Arial" w:cs="Arial"/>
          <w:sz w:val="19"/>
          <w:szCs w:val="19"/>
        </w:rPr>
        <w:t xml:space="preserve"> </w:t>
      </w:r>
      <w:r w:rsidRPr="006A0190">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5458A630" w14:textId="77777777" w:rsidR="00013576" w:rsidRPr="006A0190" w:rsidRDefault="00013576" w:rsidP="00013576">
      <w:pPr>
        <w:shd w:val="clear" w:color="auto" w:fill="FFFFFF"/>
        <w:spacing w:after="0" w:line="240" w:lineRule="auto"/>
        <w:ind w:firstLine="709"/>
        <w:jc w:val="both"/>
        <w:rPr>
          <w:rFonts w:ascii="Arial" w:hAnsi="Arial" w:cs="Arial"/>
          <w:sz w:val="19"/>
          <w:szCs w:val="19"/>
          <w:lang w:val="es-ES"/>
        </w:rPr>
      </w:pPr>
    </w:p>
  </w:footnote>
  <w:footnote w:id="36">
    <w:p w14:paraId="67EC577A"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del 08 de mayo de 2018. Exp. 2.382. C.P. Álvaro Namén Vargas.</w:t>
      </w:r>
    </w:p>
  </w:footnote>
  <w:footnote w:id="37">
    <w:p w14:paraId="70E4CD91" w14:textId="77777777" w:rsidR="00013576" w:rsidRPr="006A0190"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p w14:paraId="14AF233F"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38">
    <w:p w14:paraId="1DE7ED33" w14:textId="1732A41A" w:rsidR="00013576" w:rsidRDefault="00013576" w:rsidP="00013576">
      <w:pPr>
        <w:spacing w:after="0" w:line="240" w:lineRule="auto"/>
        <w:ind w:firstLine="709"/>
        <w:jc w:val="both"/>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CCE2907" w14:textId="77777777" w:rsidR="00013576" w:rsidRPr="006A0190" w:rsidRDefault="00013576" w:rsidP="00013576">
      <w:pPr>
        <w:spacing w:after="0" w:line="240" w:lineRule="auto"/>
        <w:ind w:firstLine="709"/>
        <w:jc w:val="both"/>
        <w:rPr>
          <w:rFonts w:ascii="Arial" w:hAnsi="Arial" w:cs="Arial"/>
          <w:sz w:val="19"/>
          <w:szCs w:val="19"/>
        </w:rPr>
      </w:pPr>
    </w:p>
  </w:footnote>
  <w:footnote w:id="39">
    <w:p w14:paraId="658371AD" w14:textId="77777777" w:rsidR="00013576" w:rsidRDefault="00013576" w:rsidP="00013576">
      <w:pPr>
        <w:pStyle w:val="Textonotapie"/>
        <w:spacing w:after="0" w:line="240" w:lineRule="auto"/>
        <w:ind w:firstLine="709"/>
        <w:rPr>
          <w:rFonts w:ascii="Arial" w:eastAsia="Times New Roman" w:hAnsi="Arial" w:cs="Arial"/>
          <w:bCs/>
          <w:sz w:val="19"/>
          <w:szCs w:val="19"/>
          <w:lang w:eastAsia="x-none"/>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6A0190">
        <w:rPr>
          <w:rFonts w:ascii="Arial" w:eastAsia="Times New Roman" w:hAnsi="Arial" w:cs="Arial"/>
          <w:bCs/>
          <w:sz w:val="19"/>
          <w:szCs w:val="19"/>
          <w:lang w:eastAsia="x-none"/>
        </w:rPr>
        <w:t xml:space="preserve"> «</w:t>
      </w:r>
      <w:r w:rsidRPr="006A0190">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6A0190">
        <w:rPr>
          <w:rFonts w:ascii="Arial" w:eastAsia="Times New Roman" w:hAnsi="Arial" w:cs="Arial"/>
          <w:bCs/>
          <w:sz w:val="19"/>
          <w:szCs w:val="19"/>
          <w:lang w:eastAsia="x-none"/>
        </w:rPr>
        <w:t>».</w:t>
      </w:r>
    </w:p>
    <w:p w14:paraId="7EACE3DE"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40">
    <w:p w14:paraId="49AEBCAD" w14:textId="77777777" w:rsidR="00013576" w:rsidRDefault="00013576" w:rsidP="00013576">
      <w:pPr>
        <w:pStyle w:val="Textonotapie"/>
        <w:spacing w:after="0" w:line="240" w:lineRule="auto"/>
        <w:ind w:firstLine="709"/>
        <w:rPr>
          <w:rFonts w:ascii="Arial" w:hAnsi="Arial" w:cs="Arial"/>
          <w:sz w:val="19"/>
          <w:szCs w:val="19"/>
        </w:rPr>
      </w:pPr>
      <w:r w:rsidRPr="006A0190">
        <w:rPr>
          <w:rStyle w:val="Refdenotaalpie"/>
          <w:rFonts w:ascii="Arial" w:hAnsi="Arial" w:cs="Arial"/>
          <w:sz w:val="19"/>
          <w:szCs w:val="19"/>
        </w:rPr>
        <w:footnoteRef/>
      </w:r>
      <w:r w:rsidRPr="006A0190">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4F890A98" w14:textId="77777777" w:rsidR="00013576" w:rsidRPr="006A0190" w:rsidRDefault="00013576" w:rsidP="00013576">
      <w:pPr>
        <w:pStyle w:val="Textonotapie"/>
        <w:spacing w:after="0" w:line="240" w:lineRule="auto"/>
        <w:ind w:firstLine="709"/>
        <w:rPr>
          <w:rFonts w:ascii="Arial" w:hAnsi="Arial" w:cs="Arial"/>
          <w:sz w:val="19"/>
          <w:szCs w:val="19"/>
        </w:rPr>
      </w:pPr>
    </w:p>
  </w:footnote>
  <w:footnote w:id="41">
    <w:p w14:paraId="57684993" w14:textId="77777777" w:rsidR="00013576" w:rsidRPr="00587D9E" w:rsidRDefault="00013576" w:rsidP="00013576">
      <w:pPr>
        <w:pStyle w:val="Textonotapie"/>
        <w:ind w:firstLine="709"/>
        <w:rPr>
          <w:rFonts w:ascii="Arial" w:hAnsi="Arial" w:cs="Arial"/>
          <w:sz w:val="19"/>
          <w:szCs w:val="19"/>
        </w:rPr>
      </w:pPr>
      <w:r w:rsidRPr="00587D9E">
        <w:rPr>
          <w:rStyle w:val="Refdenotaalpie"/>
          <w:rFonts w:ascii="Arial" w:hAnsi="Arial" w:cs="Arial"/>
          <w:sz w:val="19"/>
          <w:szCs w:val="19"/>
        </w:rPr>
        <w:footnoteRef/>
      </w:r>
      <w:r w:rsidRPr="00587D9E">
        <w:rPr>
          <w:rFonts w:ascii="Arial" w:hAnsi="Arial" w:cs="Arial"/>
          <w:sz w:val="19"/>
          <w:szCs w:val="19"/>
        </w:rPr>
        <w:t xml:space="preserve"> Consejo de Estado. Sala de Consulta y Servicio Civil, ídem.</w:t>
      </w:r>
    </w:p>
    <w:p w14:paraId="56DB7CDE" w14:textId="77777777" w:rsidR="00013576" w:rsidRPr="00587D9E" w:rsidRDefault="00013576" w:rsidP="00013576">
      <w:pPr>
        <w:pStyle w:val="Textonotapie"/>
        <w:ind w:firstLine="709"/>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4324" w14:textId="77777777" w:rsidR="00412132" w:rsidRDefault="00EC3A8C">
    <w:pPr>
      <w:pStyle w:val="Encabezado"/>
    </w:pPr>
    <w:r>
      <w:rPr>
        <w:noProof/>
        <w:lang w:val="es-CO" w:eastAsia="es-CO"/>
      </w:rPr>
      <w:drawing>
        <wp:anchor distT="0" distB="0" distL="114300" distR="114300" simplePos="0" relativeHeight="251659264" behindDoc="1" locked="0" layoutInCell="1" allowOverlap="1" wp14:anchorId="0305378D" wp14:editId="7A30CB93">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E68489" w14:textId="77777777" w:rsidR="00FE0395" w:rsidRDefault="00EC3A8C" w:rsidP="00FE0395">
    <w:pPr>
      <w:pStyle w:val="Encabezado"/>
      <w:spacing w:after="0"/>
    </w:pPr>
  </w:p>
  <w:p w14:paraId="0177480D" w14:textId="28038F4B" w:rsidR="00412132" w:rsidRDefault="00EC3A8C">
    <w:pPr>
      <w:pStyle w:val="Encabezado"/>
    </w:pPr>
  </w:p>
  <w:p w14:paraId="2B9CE73F" w14:textId="77777777" w:rsidR="00013576" w:rsidRDefault="000135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76"/>
    <w:rsid w:val="00013576"/>
    <w:rsid w:val="00EC3A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F78"/>
  <w15:chartTrackingRefBased/>
  <w15:docId w15:val="{9B52F95A-827D-489B-A7D0-48D3B30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13576"/>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013576"/>
    <w:rPr>
      <w:sz w:val="24"/>
      <w:lang w:val="es-MX"/>
    </w:rPr>
  </w:style>
  <w:style w:type="paragraph" w:styleId="Encabezado">
    <w:name w:val="header"/>
    <w:basedOn w:val="Normal"/>
    <w:link w:val="EncabezadoCar"/>
    <w:uiPriority w:val="99"/>
    <w:unhideWhenUsed/>
    <w:rsid w:val="00013576"/>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013576"/>
    <w:rPr>
      <w:sz w:val="24"/>
      <w:lang w:val="es-MX"/>
    </w:rPr>
  </w:style>
  <w:style w:type="table" w:styleId="Tablaconcuadrcula">
    <w:name w:val="Table Grid"/>
    <w:basedOn w:val="Tablanormal"/>
    <w:uiPriority w:val="39"/>
    <w:rsid w:val="000135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013576"/>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1357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013576"/>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01357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013576"/>
    <w:rPr>
      <w:vertAlign w:val="superscript"/>
    </w:rPr>
  </w:style>
  <w:style w:type="paragraph" w:customStyle="1" w:styleId="Appelnotedebasde">
    <w:name w:val="Appel note de bas de..."/>
    <w:basedOn w:val="Normal"/>
    <w:link w:val="Refdenotaalpie"/>
    <w:uiPriority w:val="99"/>
    <w:rsid w:val="00013576"/>
    <w:pPr>
      <w:spacing w:line="240" w:lineRule="exact"/>
      <w:jc w:val="both"/>
    </w:pPr>
    <w:rPr>
      <w:vertAlign w:val="superscript"/>
    </w:rPr>
  </w:style>
  <w:style w:type="character" w:customStyle="1" w:styleId="NormalWebCar">
    <w:name w:val="Normal (Web) Car"/>
    <w:link w:val="NormalWeb"/>
    <w:uiPriority w:val="99"/>
    <w:locked/>
    <w:rsid w:val="00013576"/>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01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013576"/>
  </w:style>
  <w:style w:type="paragraph" w:customStyle="1" w:styleId="paragraph">
    <w:name w:val="paragraph"/>
    <w:basedOn w:val="Normal"/>
    <w:rsid w:val="0001357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0C0DA6C-403A-40C0-B78E-9F650A5E5E41}"/>
</file>

<file path=customXml/itemProps2.xml><?xml version="1.0" encoding="utf-8"?>
<ds:datastoreItem xmlns:ds="http://schemas.openxmlformats.org/officeDocument/2006/customXml" ds:itemID="{37B26D76-0D03-4DF5-8F7C-74E7B71E3BD3}"/>
</file>

<file path=customXml/itemProps3.xml><?xml version="1.0" encoding="utf-8"?>
<ds:datastoreItem xmlns:ds="http://schemas.openxmlformats.org/officeDocument/2006/customXml" ds:itemID="{9BD1E1A3-403B-4C68-B11C-A6AF924BF387}"/>
</file>

<file path=docProps/app.xml><?xml version="1.0" encoding="utf-8"?>
<Properties xmlns="http://schemas.openxmlformats.org/officeDocument/2006/extended-properties" xmlns:vt="http://schemas.openxmlformats.org/officeDocument/2006/docPropsVTypes">
  <Template>Normal</Template>
  <TotalTime>2</TotalTime>
  <Pages>25</Pages>
  <Words>8843</Words>
  <Characters>48642</Characters>
  <Application>Microsoft Office Word</Application>
  <DocSecurity>0</DocSecurity>
  <Lines>405</Lines>
  <Paragraphs>114</Paragraphs>
  <ScaleCrop>false</ScaleCrop>
  <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2</cp:revision>
  <dcterms:created xsi:type="dcterms:W3CDTF">2022-03-07T16:32:00Z</dcterms:created>
  <dcterms:modified xsi:type="dcterms:W3CDTF">2022-03-07T16:34:00Z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