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F8515B" w:rsidRDefault="00714833" w:rsidP="00714833">
      <w:pPr>
        <w:tabs>
          <w:tab w:val="left" w:pos="426"/>
        </w:tabs>
        <w:spacing w:after="0" w:line="240" w:lineRule="auto"/>
        <w:rPr>
          <w:rFonts w:ascii="Arial" w:eastAsia="Calibri" w:hAnsi="Arial" w:cs="Arial"/>
          <w:b/>
          <w:bCs/>
          <w:color w:val="000000" w:themeColor="text1"/>
          <w:sz w:val="20"/>
          <w:szCs w:val="20"/>
          <w:lang w:val="es-ES_tradnl"/>
        </w:rPr>
      </w:pPr>
      <w:bookmarkStart w:id="0" w:name="_Hlk77152637"/>
      <w:bookmarkStart w:id="1" w:name="_Hlk77157066"/>
      <w:bookmarkStart w:id="2" w:name="_Hlk78821436"/>
      <w:r w:rsidRPr="00F8515B">
        <w:rPr>
          <w:rFonts w:ascii="Arial" w:eastAsia="Calibri" w:hAnsi="Arial" w:cs="Arial"/>
          <w:b/>
          <w:bCs/>
          <w:color w:val="000000" w:themeColor="text1"/>
          <w:sz w:val="20"/>
          <w:szCs w:val="20"/>
          <w:lang w:val="es-ES_tradnl"/>
        </w:rPr>
        <w:t>LEY DE GARANTÍAS ELECTORALES ‒</w:t>
      </w:r>
      <w:bookmarkEnd w:id="0"/>
      <w:r w:rsidRPr="00F8515B">
        <w:rPr>
          <w:rFonts w:ascii="Arial" w:eastAsia="Calibri" w:hAnsi="Arial" w:cs="Arial"/>
          <w:b/>
          <w:bCs/>
          <w:color w:val="000000" w:themeColor="text1"/>
          <w:sz w:val="20"/>
          <w:szCs w:val="20"/>
          <w:lang w:val="es-ES_tradnl"/>
        </w:rPr>
        <w:t xml:space="preserve"> Tipos de restricciones </w:t>
      </w:r>
      <w:bookmarkStart w:id="3" w:name="_Hlk77157034"/>
      <w:r w:rsidRPr="00F8515B">
        <w:rPr>
          <w:rFonts w:ascii="Arial" w:eastAsia="Calibri" w:hAnsi="Arial" w:cs="Arial"/>
          <w:b/>
          <w:bCs/>
          <w:color w:val="000000" w:themeColor="text1"/>
          <w:sz w:val="20"/>
          <w:szCs w:val="20"/>
          <w:lang w:val="es-ES_tradnl"/>
        </w:rPr>
        <w:t xml:space="preserve">‒ </w:t>
      </w:r>
      <w:bookmarkStart w:id="4" w:name="_Hlk77153098"/>
      <w:bookmarkEnd w:id="3"/>
      <w:r w:rsidRPr="00F8515B">
        <w:rPr>
          <w:rFonts w:ascii="Arial" w:eastAsia="Calibri" w:hAnsi="Arial" w:cs="Arial"/>
          <w:b/>
          <w:bCs/>
          <w:color w:val="000000" w:themeColor="text1"/>
          <w:sz w:val="20"/>
          <w:szCs w:val="20"/>
          <w:lang w:val="es-ES_tradnl"/>
        </w:rPr>
        <w:t xml:space="preserve">Ámbito temporal </w:t>
      </w:r>
      <w:bookmarkEnd w:id="4"/>
    </w:p>
    <w:p w14:paraId="7413A20D" w14:textId="77777777" w:rsidR="00714833" w:rsidRPr="00F8515B" w:rsidRDefault="00714833" w:rsidP="00714833">
      <w:pPr>
        <w:tabs>
          <w:tab w:val="left" w:pos="426"/>
        </w:tabs>
        <w:spacing w:after="0" w:line="240" w:lineRule="auto"/>
        <w:rPr>
          <w:rFonts w:ascii="Arial" w:eastAsia="Calibri" w:hAnsi="Arial" w:cs="Arial"/>
          <w:b/>
          <w:bCs/>
          <w:color w:val="000000" w:themeColor="text1"/>
          <w:sz w:val="20"/>
          <w:szCs w:val="20"/>
          <w:lang w:val="es-ES_tradnl"/>
        </w:rPr>
      </w:pPr>
    </w:p>
    <w:bookmarkEnd w:id="1"/>
    <w:p w14:paraId="303CAF7B" w14:textId="77777777" w:rsidR="00714833" w:rsidRPr="00F8515B" w:rsidRDefault="00714833" w:rsidP="00714833">
      <w:pPr>
        <w:tabs>
          <w:tab w:val="left" w:pos="426"/>
        </w:tabs>
        <w:spacing w:after="0" w:line="240" w:lineRule="auto"/>
        <w:rPr>
          <w:rFonts w:ascii="Arial" w:eastAsia="Calibri" w:hAnsi="Arial" w:cs="Arial"/>
          <w:noProof/>
          <w:color w:val="000000" w:themeColor="text1"/>
          <w:sz w:val="20"/>
          <w:szCs w:val="20"/>
          <w:lang w:val="es-ES_tradnl"/>
        </w:rPr>
      </w:pPr>
      <w:r w:rsidRPr="00F8515B">
        <w:rPr>
          <w:rFonts w:ascii="Arial" w:eastAsia="Calibri" w:hAnsi="Arial" w:cs="Arial"/>
          <w:noProof/>
          <w:color w:val="000000" w:themeColor="text1"/>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F8515B" w:rsidRDefault="00714833" w:rsidP="00714833">
      <w:pPr>
        <w:tabs>
          <w:tab w:val="left" w:pos="426"/>
        </w:tabs>
        <w:spacing w:after="0" w:line="240" w:lineRule="auto"/>
        <w:rPr>
          <w:rFonts w:ascii="Arial" w:eastAsia="Calibri" w:hAnsi="Arial" w:cs="Arial"/>
          <w:noProof/>
          <w:color w:val="000000" w:themeColor="text1"/>
          <w:sz w:val="20"/>
          <w:szCs w:val="20"/>
          <w:lang w:val="es-ES_tradnl"/>
        </w:rPr>
      </w:pPr>
    </w:p>
    <w:p w14:paraId="549C9CAA" w14:textId="085C3DFC" w:rsidR="00714833" w:rsidRPr="00F8515B" w:rsidRDefault="00714833" w:rsidP="00714833">
      <w:pPr>
        <w:tabs>
          <w:tab w:val="left" w:pos="426"/>
        </w:tabs>
        <w:spacing w:after="0" w:line="240" w:lineRule="auto"/>
        <w:rPr>
          <w:rFonts w:ascii="Arial" w:eastAsia="Calibri" w:hAnsi="Arial" w:cs="Arial"/>
          <w:b/>
          <w:bCs/>
          <w:color w:val="000000" w:themeColor="text1"/>
          <w:sz w:val="20"/>
          <w:szCs w:val="20"/>
          <w:lang w:val="es-ES_tradnl"/>
        </w:rPr>
      </w:pPr>
      <w:bookmarkStart w:id="5" w:name="_Hlk77165666"/>
      <w:r w:rsidRPr="00F8515B">
        <w:rPr>
          <w:rFonts w:ascii="Arial" w:eastAsia="Calibri" w:hAnsi="Arial" w:cs="Arial"/>
          <w:b/>
          <w:bCs/>
          <w:color w:val="000000" w:themeColor="text1"/>
          <w:sz w:val="20"/>
          <w:szCs w:val="20"/>
          <w:lang w:val="es-ES_tradnl"/>
        </w:rPr>
        <w:t xml:space="preserve">LEY DE GARANTÍAS ELECTORALES ─ Prohibición ‒ </w:t>
      </w:r>
      <w:bookmarkEnd w:id="5"/>
      <w:r w:rsidRPr="00F8515B">
        <w:rPr>
          <w:rFonts w:ascii="Arial" w:eastAsia="Calibri" w:hAnsi="Arial" w:cs="Arial"/>
          <w:b/>
          <w:bCs/>
          <w:color w:val="000000" w:themeColor="text1"/>
          <w:sz w:val="20"/>
          <w:szCs w:val="20"/>
          <w:lang w:val="es-ES_tradnl"/>
        </w:rPr>
        <w:t>Contratación directa ‒ Alcance</w:t>
      </w:r>
      <w:r w:rsidR="00AC1839" w:rsidRPr="00F8515B">
        <w:rPr>
          <w:rFonts w:ascii="Arial" w:eastAsia="Calibri" w:hAnsi="Arial" w:cs="Arial"/>
          <w:b/>
          <w:bCs/>
          <w:color w:val="000000" w:themeColor="text1"/>
          <w:sz w:val="20"/>
          <w:szCs w:val="20"/>
          <w:lang w:val="es-ES_tradnl"/>
        </w:rPr>
        <w:t xml:space="preserve"> – </w:t>
      </w:r>
      <w:r w:rsidR="00AC1839" w:rsidRPr="00F8515B">
        <w:rPr>
          <w:rFonts w:ascii="Arial" w:eastAsia="Times New Roman" w:hAnsi="Arial" w:cs="Arial"/>
          <w:b/>
          <w:bCs/>
          <w:color w:val="000000" w:themeColor="text1"/>
          <w:sz w:val="20"/>
          <w:szCs w:val="20"/>
          <w:lang w:val="es-ES_tradnl" w:eastAsia="es-CO"/>
        </w:rPr>
        <w:t>Excepciones</w:t>
      </w:r>
      <w:r w:rsidRPr="00F8515B">
        <w:rPr>
          <w:rFonts w:ascii="Arial" w:eastAsia="Calibri" w:hAnsi="Arial" w:cs="Arial"/>
          <w:b/>
          <w:bCs/>
          <w:color w:val="000000" w:themeColor="text1"/>
          <w:sz w:val="20"/>
          <w:szCs w:val="20"/>
          <w:lang w:val="es-ES_tradnl"/>
        </w:rPr>
        <w:t xml:space="preserve"> </w:t>
      </w:r>
    </w:p>
    <w:p w14:paraId="17331853" w14:textId="77777777" w:rsidR="00714833" w:rsidRPr="00F8515B" w:rsidRDefault="00714833" w:rsidP="00714833">
      <w:pPr>
        <w:tabs>
          <w:tab w:val="left" w:pos="426"/>
        </w:tabs>
        <w:spacing w:after="0" w:line="240" w:lineRule="auto"/>
        <w:rPr>
          <w:rFonts w:ascii="Arial" w:eastAsia="Calibri" w:hAnsi="Arial" w:cs="Arial"/>
          <w:noProof/>
          <w:color w:val="000000" w:themeColor="text1"/>
          <w:sz w:val="20"/>
          <w:szCs w:val="20"/>
          <w:lang w:val="es-ES_tradnl"/>
        </w:rPr>
      </w:pPr>
    </w:p>
    <w:p w14:paraId="39562481" w14:textId="7978810D" w:rsidR="00714833" w:rsidRPr="00F8515B" w:rsidRDefault="00714833" w:rsidP="00AC1839">
      <w:pPr>
        <w:tabs>
          <w:tab w:val="left" w:pos="426"/>
        </w:tabs>
        <w:spacing w:after="0" w:line="240" w:lineRule="auto"/>
        <w:rPr>
          <w:rFonts w:ascii="Arial" w:eastAsia="Times New Roman" w:hAnsi="Arial" w:cs="Arial"/>
          <w:color w:val="000000" w:themeColor="text1"/>
          <w:sz w:val="20"/>
          <w:szCs w:val="20"/>
          <w:lang w:val="es-ES_tradnl" w:eastAsia="es-ES"/>
        </w:rPr>
      </w:pPr>
      <w:r w:rsidRPr="00F8515B">
        <w:rPr>
          <w:rFonts w:ascii="Arial" w:eastAsia="Calibri" w:hAnsi="Arial" w:cs="Arial"/>
          <w:noProof/>
          <w:color w:val="000000" w:themeColor="text1"/>
          <w:sz w:val="20"/>
          <w:szCs w:val="20"/>
          <w:lang w:val="es-ES_tradnl"/>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16C63032" w14:textId="77777777" w:rsidR="00856468" w:rsidRPr="00F8515B" w:rsidRDefault="00856468" w:rsidP="00714833">
      <w:pPr>
        <w:shd w:val="clear" w:color="auto" w:fill="FFFFFF"/>
        <w:spacing w:after="0" w:line="240" w:lineRule="auto"/>
        <w:rPr>
          <w:rFonts w:ascii="Arial" w:eastAsia="Times New Roman" w:hAnsi="Arial" w:cs="Arial"/>
          <w:color w:val="000000" w:themeColor="text1"/>
          <w:sz w:val="20"/>
          <w:szCs w:val="20"/>
          <w:lang w:val="es-ES_tradnl" w:eastAsia="es-CO"/>
        </w:rPr>
      </w:pPr>
    </w:p>
    <w:p w14:paraId="38C32961" w14:textId="77777777" w:rsidR="00714833" w:rsidRPr="00F8515B" w:rsidRDefault="00714833" w:rsidP="00714833">
      <w:pPr>
        <w:tabs>
          <w:tab w:val="left" w:pos="426"/>
        </w:tabs>
        <w:spacing w:after="0" w:line="240" w:lineRule="auto"/>
        <w:rPr>
          <w:rFonts w:ascii="Arial" w:hAnsi="Arial" w:cs="Arial"/>
          <w:color w:val="000000" w:themeColor="text1"/>
          <w:sz w:val="20"/>
          <w:szCs w:val="20"/>
          <w:lang w:val="es-ES_tradnl"/>
        </w:rPr>
      </w:pPr>
      <w:r w:rsidRPr="00F8515B">
        <w:rPr>
          <w:rFonts w:ascii="Arial" w:eastAsia="Times New Roman" w:hAnsi="Arial" w:cs="Arial"/>
          <w:color w:val="000000" w:themeColor="text1"/>
          <w:sz w:val="20"/>
          <w:szCs w:val="20"/>
          <w:lang w:val="es-ES_tradnl" w:eastAsia="x-none"/>
        </w:rPr>
        <w:t xml:space="preserve">[…] </w:t>
      </w:r>
      <w:r w:rsidRPr="00F8515B">
        <w:rPr>
          <w:rFonts w:ascii="Arial" w:hAnsi="Arial" w:cs="Arial"/>
          <w:color w:val="000000" w:themeColor="text1"/>
          <w:sz w:val="20"/>
          <w:szCs w:val="20"/>
          <w:lang w:val="es-ES_tradnl"/>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21730C7" w14:textId="77777777" w:rsidR="00714833" w:rsidRPr="00F8515B" w:rsidRDefault="00714833" w:rsidP="00714833">
      <w:pPr>
        <w:tabs>
          <w:tab w:val="left" w:pos="426"/>
        </w:tabs>
        <w:spacing w:after="0" w:line="240" w:lineRule="auto"/>
        <w:rPr>
          <w:rFonts w:ascii="Arial" w:eastAsia="Calibri" w:hAnsi="Arial" w:cs="Arial"/>
          <w:noProof/>
          <w:color w:val="000000" w:themeColor="text1"/>
          <w:sz w:val="20"/>
          <w:szCs w:val="20"/>
          <w:lang w:val="es-ES_tradnl"/>
        </w:rPr>
      </w:pPr>
    </w:p>
    <w:p w14:paraId="3EB70129" w14:textId="47A06798" w:rsidR="00714833" w:rsidRPr="00F8515B" w:rsidRDefault="00714833" w:rsidP="00714833">
      <w:pPr>
        <w:spacing w:after="0" w:line="240" w:lineRule="auto"/>
        <w:rPr>
          <w:rFonts w:ascii="Arial" w:eastAsia="Times New Roman" w:hAnsi="Arial" w:cs="Arial"/>
          <w:b/>
          <w:color w:val="000000" w:themeColor="text1"/>
          <w:sz w:val="20"/>
          <w:szCs w:val="20"/>
          <w:lang w:val="es-ES_tradnl" w:eastAsia="es-CO"/>
        </w:rPr>
      </w:pPr>
      <w:r w:rsidRPr="00F8515B">
        <w:rPr>
          <w:rFonts w:ascii="Arial" w:eastAsia="Times New Roman" w:hAnsi="Arial" w:cs="Arial"/>
          <w:b/>
          <w:bCs/>
          <w:color w:val="000000" w:themeColor="text1"/>
          <w:sz w:val="20"/>
          <w:szCs w:val="20"/>
          <w:lang w:val="es-ES_tradnl" w:eastAsia="es-CO"/>
        </w:rPr>
        <w:t xml:space="preserve">LEY DE GARANTÍAS ELECTORALES </w:t>
      </w:r>
      <w:bookmarkStart w:id="6" w:name="_Hlk77166669"/>
      <w:r w:rsidRPr="00F8515B">
        <w:rPr>
          <w:rFonts w:ascii="Arial" w:eastAsia="Times New Roman" w:hAnsi="Arial" w:cs="Arial"/>
          <w:b/>
          <w:bCs/>
          <w:color w:val="000000" w:themeColor="text1"/>
          <w:sz w:val="20"/>
          <w:szCs w:val="20"/>
          <w:lang w:val="es-ES_tradnl" w:eastAsia="es-CO"/>
        </w:rPr>
        <w:t>‒</w:t>
      </w:r>
      <w:bookmarkEnd w:id="6"/>
      <w:r w:rsidRPr="00F8515B">
        <w:rPr>
          <w:rFonts w:ascii="Arial" w:eastAsia="Times New Roman" w:hAnsi="Arial" w:cs="Arial"/>
          <w:b/>
          <w:bCs/>
          <w:color w:val="000000" w:themeColor="text1"/>
          <w:sz w:val="20"/>
          <w:szCs w:val="20"/>
          <w:lang w:val="es-ES_tradnl" w:eastAsia="es-CO"/>
        </w:rPr>
        <w:t xml:space="preserve"> </w:t>
      </w:r>
      <w:r w:rsidRPr="00F8515B">
        <w:rPr>
          <w:rFonts w:ascii="Arial" w:eastAsia="Times New Roman" w:hAnsi="Arial" w:cs="Arial"/>
          <w:b/>
          <w:color w:val="000000" w:themeColor="text1"/>
          <w:sz w:val="20"/>
          <w:szCs w:val="20"/>
          <w:lang w:val="es-ES_tradnl" w:eastAsia="es-CO"/>
        </w:rPr>
        <w:t xml:space="preserve">Prohibición del artículo 33 </w:t>
      </w:r>
      <w:r w:rsidRPr="00F8515B">
        <w:rPr>
          <w:rFonts w:ascii="Arial" w:eastAsia="Times New Roman" w:hAnsi="Arial" w:cs="Arial"/>
          <w:b/>
          <w:bCs/>
          <w:color w:val="000000" w:themeColor="text1"/>
          <w:sz w:val="20"/>
          <w:szCs w:val="20"/>
          <w:lang w:val="es-ES_tradnl" w:eastAsia="es-CO"/>
        </w:rPr>
        <w:t>‒ Destinatarios</w:t>
      </w:r>
    </w:p>
    <w:p w14:paraId="0DB44496" w14:textId="77777777" w:rsidR="00714833" w:rsidRPr="00F8515B" w:rsidRDefault="00714833" w:rsidP="00714833">
      <w:pPr>
        <w:tabs>
          <w:tab w:val="left" w:pos="426"/>
        </w:tabs>
        <w:spacing w:after="0" w:line="240" w:lineRule="auto"/>
        <w:rPr>
          <w:rFonts w:ascii="Arial" w:eastAsia="Calibri" w:hAnsi="Arial" w:cs="Arial"/>
          <w:noProof/>
          <w:color w:val="000000" w:themeColor="text1"/>
          <w:sz w:val="20"/>
          <w:szCs w:val="20"/>
          <w:lang w:val="es-ES_tradnl"/>
        </w:rPr>
      </w:pPr>
    </w:p>
    <w:p w14:paraId="57B7D4EE" w14:textId="77777777" w:rsidR="00714833" w:rsidRPr="00F8515B" w:rsidRDefault="00714833" w:rsidP="00714833">
      <w:pPr>
        <w:tabs>
          <w:tab w:val="left" w:pos="426"/>
        </w:tabs>
        <w:spacing w:after="0" w:line="240" w:lineRule="auto"/>
        <w:rPr>
          <w:rFonts w:ascii="Arial" w:eastAsia="Calibri" w:hAnsi="Arial" w:cs="Arial"/>
          <w:noProof/>
          <w:color w:val="000000" w:themeColor="text1"/>
          <w:sz w:val="20"/>
          <w:szCs w:val="20"/>
          <w:lang w:val="es-ES_tradnl"/>
        </w:rPr>
      </w:pPr>
      <w:r w:rsidRPr="00F8515B">
        <w:rPr>
          <w:rFonts w:ascii="Arial" w:eastAsia="Calibri" w:hAnsi="Arial" w:cs="Arial"/>
          <w:noProof/>
          <w:color w:val="000000" w:themeColor="text1"/>
          <w:sz w:val="20"/>
          <w:szCs w:val="20"/>
          <w:lang w:val="es-ES_tradnl"/>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2708F45" w14:textId="77777777" w:rsidR="00714833" w:rsidRPr="00F8515B" w:rsidRDefault="00714833" w:rsidP="00714833">
      <w:pPr>
        <w:tabs>
          <w:tab w:val="left" w:pos="426"/>
        </w:tabs>
        <w:spacing w:after="0" w:line="240" w:lineRule="auto"/>
        <w:rPr>
          <w:rFonts w:ascii="Arial" w:eastAsia="Calibri" w:hAnsi="Arial" w:cs="Arial"/>
          <w:noProof/>
          <w:color w:val="000000" w:themeColor="text1"/>
          <w:sz w:val="20"/>
          <w:szCs w:val="20"/>
          <w:lang w:val="es-ES_tradnl"/>
        </w:rPr>
      </w:pPr>
    </w:p>
    <w:p w14:paraId="7335179D" w14:textId="7C1AC003" w:rsidR="00714833" w:rsidRPr="00F8515B" w:rsidRDefault="00714833" w:rsidP="00714833">
      <w:pPr>
        <w:tabs>
          <w:tab w:val="left" w:pos="426"/>
        </w:tabs>
        <w:spacing w:after="0" w:line="240" w:lineRule="auto"/>
        <w:rPr>
          <w:rFonts w:ascii="Arial" w:eastAsia="Calibri" w:hAnsi="Arial" w:cs="Arial"/>
          <w:b/>
          <w:bCs/>
          <w:color w:val="000000" w:themeColor="text1"/>
          <w:sz w:val="20"/>
          <w:szCs w:val="20"/>
          <w:lang w:val="es-ES_tradnl"/>
        </w:rPr>
      </w:pPr>
      <w:r w:rsidRPr="00F8515B">
        <w:rPr>
          <w:rFonts w:ascii="Arial" w:eastAsia="Calibri" w:hAnsi="Arial" w:cs="Arial"/>
          <w:b/>
          <w:bCs/>
          <w:color w:val="000000" w:themeColor="text1"/>
          <w:sz w:val="20"/>
          <w:szCs w:val="20"/>
          <w:lang w:val="es-ES_tradnl"/>
        </w:rPr>
        <w:t>LEY DE GARANTÍAS ELECTORALES ‒ Prohibición</w:t>
      </w:r>
      <w:r w:rsidR="009217EE" w:rsidRPr="00F8515B">
        <w:rPr>
          <w:rFonts w:ascii="Arial" w:eastAsia="Calibri" w:hAnsi="Arial" w:cs="Arial"/>
          <w:b/>
          <w:bCs/>
          <w:color w:val="000000" w:themeColor="text1"/>
          <w:sz w:val="20"/>
          <w:szCs w:val="20"/>
          <w:lang w:val="es-ES_tradnl"/>
        </w:rPr>
        <w:t xml:space="preserve"> por</w:t>
      </w:r>
      <w:r w:rsidRPr="00F8515B">
        <w:rPr>
          <w:rFonts w:ascii="Arial" w:eastAsia="Calibri" w:hAnsi="Arial" w:cs="Arial"/>
          <w:b/>
          <w:bCs/>
          <w:color w:val="000000" w:themeColor="text1"/>
          <w:sz w:val="20"/>
          <w:szCs w:val="20"/>
          <w:lang w:val="es-ES_tradnl"/>
        </w:rPr>
        <w:t xml:space="preserve"> </w:t>
      </w:r>
      <w:r w:rsidR="006916C0" w:rsidRPr="00F8515B">
        <w:rPr>
          <w:rFonts w:ascii="Arial" w:eastAsia="Calibri" w:hAnsi="Arial" w:cs="Arial"/>
          <w:b/>
          <w:bCs/>
          <w:color w:val="000000" w:themeColor="text1"/>
          <w:sz w:val="20"/>
          <w:szCs w:val="20"/>
          <w:lang w:val="es-ES_tradnl"/>
        </w:rPr>
        <w:t>elección de cargos populares</w:t>
      </w:r>
      <w:r w:rsidRPr="00F8515B">
        <w:rPr>
          <w:rFonts w:ascii="Arial" w:eastAsia="Calibri" w:hAnsi="Arial" w:cs="Arial"/>
          <w:b/>
          <w:bCs/>
          <w:color w:val="000000" w:themeColor="text1"/>
          <w:sz w:val="20"/>
          <w:szCs w:val="20"/>
          <w:lang w:val="es-ES_tradnl"/>
        </w:rPr>
        <w:t xml:space="preserve"> – Convenios y contratos interadministrativos</w:t>
      </w:r>
      <w:r w:rsidR="00CA2B13" w:rsidRPr="00F8515B">
        <w:rPr>
          <w:rFonts w:ascii="Arial" w:eastAsia="Calibri" w:hAnsi="Arial" w:cs="Arial"/>
          <w:b/>
          <w:bCs/>
          <w:color w:val="000000" w:themeColor="text1"/>
          <w:sz w:val="20"/>
          <w:szCs w:val="20"/>
          <w:lang w:val="es-ES_tradnl"/>
        </w:rPr>
        <w:t xml:space="preserve"> </w:t>
      </w:r>
      <w:r w:rsidR="00CA2B13" w:rsidRPr="00F8515B">
        <w:rPr>
          <w:rFonts w:ascii="Arial" w:eastAsia="Calibri" w:hAnsi="Arial" w:cs="Arial"/>
          <w:b/>
          <w:color w:val="000000" w:themeColor="text1"/>
          <w:sz w:val="20"/>
          <w:szCs w:val="20"/>
          <w:lang w:val="es-ES_tradnl"/>
        </w:rPr>
        <w:t>– Definición – Criterio orgánico</w:t>
      </w:r>
    </w:p>
    <w:p w14:paraId="56D7E229" w14:textId="77777777" w:rsidR="00714833" w:rsidRPr="00F8515B" w:rsidRDefault="00714833" w:rsidP="00714833">
      <w:pPr>
        <w:tabs>
          <w:tab w:val="left" w:pos="426"/>
        </w:tabs>
        <w:spacing w:after="0" w:line="240" w:lineRule="auto"/>
        <w:rPr>
          <w:rFonts w:ascii="Arial" w:eastAsia="Calibri" w:hAnsi="Arial" w:cs="Arial"/>
          <w:color w:val="000000" w:themeColor="text1"/>
          <w:sz w:val="20"/>
          <w:szCs w:val="20"/>
          <w:lang w:val="es-ES_tradnl"/>
        </w:rPr>
      </w:pPr>
    </w:p>
    <w:p w14:paraId="330C301D" w14:textId="77777777" w:rsidR="00714833" w:rsidRPr="00F8515B" w:rsidRDefault="00714833" w:rsidP="00714833">
      <w:pPr>
        <w:tabs>
          <w:tab w:val="left" w:pos="426"/>
        </w:tabs>
        <w:spacing w:after="0" w:line="240" w:lineRule="auto"/>
        <w:rPr>
          <w:rFonts w:ascii="Arial" w:eastAsia="Calibri" w:hAnsi="Arial" w:cs="Arial"/>
          <w:color w:val="000000" w:themeColor="text1"/>
          <w:sz w:val="20"/>
          <w:szCs w:val="20"/>
          <w:lang w:val="es-ES_tradnl"/>
        </w:rPr>
      </w:pPr>
      <w:r w:rsidRPr="00F8515B">
        <w:rPr>
          <w:rFonts w:ascii="Arial" w:eastAsia="Calibri" w:hAnsi="Arial" w:cs="Arial"/>
          <w:color w:val="000000" w:themeColor="text1"/>
          <w:sz w:val="20"/>
          <w:szCs w:val="20"/>
          <w:lang w:val="es-ES_tradnl"/>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00B2569D" w14:textId="77777777" w:rsidR="00714833" w:rsidRPr="00F8515B" w:rsidRDefault="00714833" w:rsidP="00714833">
      <w:pPr>
        <w:spacing w:after="0" w:line="240" w:lineRule="auto"/>
        <w:rPr>
          <w:rFonts w:ascii="Arial" w:eastAsia="Calibri" w:hAnsi="Arial" w:cs="Arial"/>
          <w:bCs/>
          <w:color w:val="000000" w:themeColor="text1"/>
          <w:sz w:val="20"/>
          <w:szCs w:val="20"/>
          <w:lang w:val="es-ES_tradnl"/>
        </w:rPr>
      </w:pPr>
    </w:p>
    <w:p w14:paraId="54B17F2E" w14:textId="77777777" w:rsidR="00714833" w:rsidRPr="00F8515B" w:rsidRDefault="00714833" w:rsidP="00714833">
      <w:pPr>
        <w:spacing w:after="0" w:line="240" w:lineRule="auto"/>
        <w:rPr>
          <w:rFonts w:ascii="Arial" w:eastAsia="Calibri" w:hAnsi="Arial" w:cs="Arial"/>
          <w:bCs/>
          <w:color w:val="000000" w:themeColor="text1"/>
          <w:sz w:val="20"/>
          <w:szCs w:val="20"/>
          <w:lang w:val="es-ES_tradnl"/>
        </w:rPr>
      </w:pPr>
      <w:r w:rsidRPr="00F8515B">
        <w:rPr>
          <w:rFonts w:ascii="Arial" w:eastAsia="Calibri" w:hAnsi="Arial" w:cs="Arial"/>
          <w:bCs/>
          <w:color w:val="000000" w:themeColor="text1"/>
          <w:sz w:val="20"/>
          <w:szCs w:val="20"/>
          <w:lang w:val="es-ES_tradnl"/>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A5BEBFA" w14:textId="77777777" w:rsidR="00714833" w:rsidRPr="00F8515B" w:rsidRDefault="00714833" w:rsidP="00714833">
      <w:pPr>
        <w:spacing w:after="0" w:line="240" w:lineRule="auto"/>
        <w:rPr>
          <w:rFonts w:ascii="Arial" w:eastAsia="Calibri" w:hAnsi="Arial" w:cs="Arial"/>
          <w:b/>
          <w:color w:val="000000" w:themeColor="text1"/>
          <w:sz w:val="20"/>
          <w:szCs w:val="20"/>
          <w:lang w:val="es-ES_tradnl"/>
        </w:rPr>
      </w:pPr>
    </w:p>
    <w:p w14:paraId="6378C23D" w14:textId="77777777" w:rsidR="00714833" w:rsidRPr="00F8515B" w:rsidRDefault="00714833" w:rsidP="00714833">
      <w:pPr>
        <w:spacing w:after="0" w:line="240" w:lineRule="auto"/>
        <w:rPr>
          <w:rFonts w:ascii="Arial" w:hAnsi="Arial" w:cs="Arial"/>
          <w:b/>
          <w:color w:val="000000" w:themeColor="text1"/>
          <w:sz w:val="20"/>
          <w:szCs w:val="20"/>
          <w:lang w:val="es-ES_tradnl"/>
        </w:rPr>
      </w:pPr>
      <w:r w:rsidRPr="00F8515B">
        <w:rPr>
          <w:rFonts w:ascii="Arial" w:eastAsia="Calibri" w:hAnsi="Arial" w:cs="Arial"/>
          <w:b/>
          <w:color w:val="000000" w:themeColor="text1"/>
          <w:sz w:val="20"/>
          <w:szCs w:val="20"/>
          <w:lang w:val="es-ES_tradnl"/>
        </w:rPr>
        <w:t xml:space="preserve">CONTRATOS Y </w:t>
      </w:r>
      <w:r w:rsidRPr="00F8515B">
        <w:rPr>
          <w:rFonts w:ascii="Arial" w:hAnsi="Arial" w:cs="Arial"/>
          <w:b/>
          <w:color w:val="000000" w:themeColor="text1"/>
          <w:sz w:val="20"/>
          <w:szCs w:val="20"/>
          <w:lang w:val="es-ES_tradnl"/>
        </w:rPr>
        <w:t>CONVENIOS INTERADMINISTRATIVOS – Modalidad de selección</w:t>
      </w:r>
    </w:p>
    <w:p w14:paraId="2AC097FF" w14:textId="77777777" w:rsidR="00714833" w:rsidRPr="00F8515B" w:rsidRDefault="00714833" w:rsidP="00714833">
      <w:pPr>
        <w:spacing w:after="0" w:line="240" w:lineRule="auto"/>
        <w:rPr>
          <w:rFonts w:ascii="Arial" w:hAnsi="Arial" w:cs="Arial"/>
          <w:b/>
          <w:color w:val="000000" w:themeColor="text1"/>
          <w:sz w:val="20"/>
          <w:szCs w:val="20"/>
          <w:lang w:val="es-ES_tradnl"/>
        </w:rPr>
      </w:pPr>
    </w:p>
    <w:p w14:paraId="3993D273" w14:textId="77777777" w:rsidR="00714833" w:rsidRPr="00F8515B" w:rsidRDefault="00714833" w:rsidP="00714833">
      <w:pPr>
        <w:spacing w:after="0" w:line="240" w:lineRule="auto"/>
        <w:rPr>
          <w:rFonts w:ascii="Arial" w:eastAsia="Calibri" w:hAnsi="Arial" w:cs="Arial"/>
          <w:bCs/>
          <w:color w:val="000000" w:themeColor="text1"/>
          <w:sz w:val="20"/>
          <w:szCs w:val="20"/>
          <w:lang w:val="es-ES_tradnl"/>
        </w:rPr>
      </w:pPr>
      <w:r w:rsidRPr="00F8515B">
        <w:rPr>
          <w:rFonts w:ascii="Arial" w:eastAsia="Calibri" w:hAnsi="Arial" w:cs="Arial"/>
          <w:bCs/>
          <w:color w:val="000000" w:themeColor="text1"/>
          <w:sz w:val="20"/>
          <w:szCs w:val="20"/>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14:paraId="4C048BF6" w14:textId="77777777" w:rsidR="00714833" w:rsidRPr="00F8515B" w:rsidRDefault="00714833" w:rsidP="00714833">
      <w:pPr>
        <w:spacing w:after="0" w:line="240" w:lineRule="auto"/>
        <w:rPr>
          <w:rFonts w:ascii="Arial" w:hAnsi="Arial" w:cs="Arial"/>
          <w:color w:val="000000" w:themeColor="text1"/>
          <w:sz w:val="20"/>
          <w:szCs w:val="20"/>
          <w:lang w:val="es-ES_tradnl"/>
        </w:rPr>
      </w:pPr>
    </w:p>
    <w:p w14:paraId="657A2DAA" w14:textId="6EF25353" w:rsidR="00714833" w:rsidRPr="00F8515B" w:rsidRDefault="00714833" w:rsidP="00714833">
      <w:pPr>
        <w:spacing w:after="0" w:line="240" w:lineRule="auto"/>
        <w:rPr>
          <w:rFonts w:ascii="Arial" w:eastAsia="Calibri" w:hAnsi="Arial" w:cs="Arial"/>
          <w:b/>
          <w:bCs/>
          <w:color w:val="000000" w:themeColor="text1"/>
          <w:sz w:val="20"/>
          <w:szCs w:val="20"/>
          <w:lang w:val="es-ES_tradnl"/>
        </w:rPr>
      </w:pPr>
      <w:r w:rsidRPr="00F8515B">
        <w:rPr>
          <w:rFonts w:ascii="Arial" w:eastAsia="Calibri" w:hAnsi="Arial" w:cs="Arial"/>
          <w:b/>
          <w:bCs/>
          <w:color w:val="000000" w:themeColor="text1"/>
          <w:sz w:val="20"/>
          <w:szCs w:val="20"/>
          <w:lang w:val="es-ES_tradnl"/>
        </w:rPr>
        <w:t xml:space="preserve">LA LEY 2159 DE 2021 – Ley Anual de Presupuesto </w:t>
      </w:r>
      <w:r w:rsidR="00392F63" w:rsidRPr="00F8515B">
        <w:rPr>
          <w:rFonts w:ascii="Arial" w:eastAsia="Calibri" w:hAnsi="Arial" w:cs="Arial"/>
          <w:b/>
          <w:bCs/>
          <w:color w:val="000000" w:themeColor="text1"/>
          <w:sz w:val="20"/>
          <w:szCs w:val="20"/>
          <w:lang w:val="es-ES_tradnl"/>
        </w:rPr>
        <w:t>–</w:t>
      </w:r>
      <w:r w:rsidRPr="00F8515B">
        <w:rPr>
          <w:rFonts w:ascii="Arial" w:eastAsia="Calibri" w:hAnsi="Arial" w:cs="Arial"/>
          <w:b/>
          <w:bCs/>
          <w:color w:val="000000" w:themeColor="text1"/>
          <w:sz w:val="20"/>
          <w:szCs w:val="20"/>
          <w:lang w:val="es-ES_tradnl"/>
        </w:rPr>
        <w:t xml:space="preserve"> </w:t>
      </w:r>
      <w:r w:rsidR="00392F63" w:rsidRPr="00F8515B">
        <w:rPr>
          <w:rFonts w:ascii="Arial" w:eastAsia="Calibri" w:hAnsi="Arial" w:cs="Arial"/>
          <w:b/>
          <w:bCs/>
          <w:color w:val="000000" w:themeColor="text1"/>
          <w:sz w:val="20"/>
          <w:szCs w:val="20"/>
          <w:lang w:val="es-ES_tradnl"/>
        </w:rPr>
        <w:t xml:space="preserve">Modificación </w:t>
      </w:r>
      <w:r w:rsidRPr="00F8515B">
        <w:rPr>
          <w:rFonts w:ascii="Arial" w:eastAsia="Calibri" w:hAnsi="Arial" w:cs="Arial"/>
          <w:b/>
          <w:bCs/>
          <w:color w:val="000000" w:themeColor="text1"/>
          <w:sz w:val="20"/>
          <w:szCs w:val="20"/>
          <w:lang w:val="es-ES_tradnl"/>
        </w:rPr>
        <w:t xml:space="preserve">artículo 38 Ley de Garantías – </w:t>
      </w:r>
      <w:r w:rsidR="007125A7" w:rsidRPr="00F8515B">
        <w:rPr>
          <w:rFonts w:ascii="Arial" w:eastAsia="Calibri" w:hAnsi="Arial" w:cs="Arial"/>
          <w:b/>
          <w:bCs/>
          <w:color w:val="000000" w:themeColor="text1"/>
          <w:sz w:val="20"/>
          <w:szCs w:val="20"/>
          <w:lang w:val="es-ES_tradnl"/>
        </w:rPr>
        <w:t>T</w:t>
      </w:r>
      <w:r w:rsidRPr="00F8515B">
        <w:rPr>
          <w:rFonts w:ascii="Arial" w:eastAsia="Calibri" w:hAnsi="Arial" w:cs="Arial"/>
          <w:b/>
          <w:bCs/>
          <w:color w:val="000000" w:themeColor="text1"/>
          <w:sz w:val="20"/>
          <w:szCs w:val="20"/>
          <w:lang w:val="es-ES_tradnl"/>
        </w:rPr>
        <w:t>ransitoriedad</w:t>
      </w:r>
    </w:p>
    <w:p w14:paraId="1B36AFAC" w14:textId="77777777" w:rsidR="00714833" w:rsidRPr="00F8515B" w:rsidRDefault="00714833" w:rsidP="00714833">
      <w:pPr>
        <w:spacing w:after="0" w:line="240" w:lineRule="auto"/>
        <w:rPr>
          <w:rFonts w:ascii="Arial" w:eastAsia="Calibri" w:hAnsi="Arial" w:cs="Arial"/>
          <w:b/>
          <w:bCs/>
          <w:color w:val="000000" w:themeColor="text1"/>
          <w:sz w:val="20"/>
          <w:szCs w:val="20"/>
          <w:lang w:val="es-ES_tradnl"/>
        </w:rPr>
      </w:pPr>
    </w:p>
    <w:p w14:paraId="1BFE15F4" w14:textId="77777777" w:rsidR="00714833" w:rsidRPr="00F8515B" w:rsidRDefault="00714833" w:rsidP="00714833">
      <w:pPr>
        <w:shd w:val="clear" w:color="auto" w:fill="FFFFFF"/>
        <w:spacing w:after="0" w:line="240" w:lineRule="auto"/>
        <w:rPr>
          <w:rFonts w:ascii="Arial" w:eastAsia="Times New Roman" w:hAnsi="Arial" w:cs="Arial"/>
          <w:color w:val="000000" w:themeColor="text1"/>
          <w:sz w:val="20"/>
          <w:szCs w:val="20"/>
          <w:lang w:val="es-ES_tradnl" w:eastAsia="es-CO"/>
        </w:rPr>
      </w:pPr>
      <w:r w:rsidRPr="00F8515B">
        <w:rPr>
          <w:rFonts w:ascii="Arial" w:eastAsia="Times New Roman" w:hAnsi="Arial" w:cs="Arial"/>
          <w:color w:val="000000" w:themeColor="text1"/>
          <w:sz w:val="20"/>
          <w:szCs w:val="20"/>
          <w:lang w:val="es-ES_tradnl"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F8515B">
        <w:rPr>
          <w:rFonts w:ascii="Arial" w:hAnsi="Arial" w:cs="Arial"/>
          <w:color w:val="000000" w:themeColor="text1"/>
          <w:sz w:val="20"/>
          <w:szCs w:val="20"/>
          <w:lang w:val="es-ES_tradnl"/>
        </w:rPr>
        <w:t xml:space="preserve"> </w:t>
      </w:r>
      <w:r w:rsidRPr="00F8515B">
        <w:rPr>
          <w:rFonts w:ascii="Arial" w:eastAsia="Times New Roman" w:hAnsi="Arial" w:cs="Arial"/>
          <w:color w:val="000000" w:themeColor="text1"/>
          <w:sz w:val="20"/>
          <w:szCs w:val="20"/>
          <w:lang w:val="es-ES_tradnl" w:eastAsia="es-CO"/>
        </w:rPr>
        <w:t xml:space="preserve">teniendo en cuenta que la norma es de carácter temporal y que en realidad no varía o cambia de forma permanente una norma general prevista en la Ley 996 de 2005, sino </w:t>
      </w:r>
      <w:r w:rsidRPr="00F8515B">
        <w:rPr>
          <w:rFonts w:ascii="Arial" w:eastAsia="Times New Roman" w:hAnsi="Arial" w:cs="Arial"/>
          <w:color w:val="000000" w:themeColor="text1"/>
          <w:sz w:val="20"/>
          <w:szCs w:val="20"/>
          <w:lang w:val="es-ES_tradnl" w:eastAsia="es-CO"/>
        </w:rPr>
        <w:lastRenderedPageBreak/>
        <w:t>que prevé su inaplicación desde que comience a regir la Ley de Presupuesto y durante la vigencia fiscal 2022.</w:t>
      </w:r>
    </w:p>
    <w:p w14:paraId="1ECB44D0" w14:textId="77777777" w:rsidR="00714833" w:rsidRPr="00F8515B" w:rsidRDefault="00714833" w:rsidP="00714833">
      <w:pPr>
        <w:spacing w:after="0" w:line="240" w:lineRule="auto"/>
        <w:rPr>
          <w:rFonts w:ascii="Arial" w:hAnsi="Arial" w:cs="Arial"/>
          <w:color w:val="000000" w:themeColor="text1"/>
          <w:sz w:val="20"/>
          <w:szCs w:val="20"/>
          <w:lang w:val="es-ES_tradnl"/>
        </w:rPr>
      </w:pPr>
    </w:p>
    <w:p w14:paraId="771BB1AE" w14:textId="77777777" w:rsidR="00714833" w:rsidRPr="00F8515B" w:rsidRDefault="00714833" w:rsidP="00714833">
      <w:pPr>
        <w:shd w:val="clear" w:color="auto" w:fill="FFFFFF"/>
        <w:spacing w:after="0" w:line="240" w:lineRule="auto"/>
        <w:rPr>
          <w:rFonts w:ascii="Arial" w:eastAsia="Times New Roman" w:hAnsi="Arial" w:cs="Arial"/>
          <w:bCs/>
          <w:color w:val="000000" w:themeColor="text1"/>
          <w:sz w:val="20"/>
          <w:szCs w:val="20"/>
          <w:lang w:val="es-ES_tradnl" w:eastAsia="es-CO"/>
        </w:rPr>
      </w:pPr>
      <w:r w:rsidRPr="00F8515B">
        <w:rPr>
          <w:rFonts w:ascii="Arial" w:eastAsia="Times New Roman" w:hAnsi="Arial" w:cs="Arial"/>
          <w:bCs/>
          <w:color w:val="000000" w:themeColor="text1"/>
          <w:sz w:val="20"/>
          <w:szCs w:val="20"/>
          <w:lang w:val="es-ES_tradnl"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7C7C6368" w14:textId="77777777" w:rsidR="00714833" w:rsidRPr="00F8515B" w:rsidRDefault="00714833" w:rsidP="00714833">
      <w:pPr>
        <w:shd w:val="clear" w:color="auto" w:fill="FFFFFF"/>
        <w:spacing w:after="0" w:line="240" w:lineRule="auto"/>
        <w:rPr>
          <w:rFonts w:ascii="Arial" w:eastAsia="Times New Roman" w:hAnsi="Arial" w:cs="Arial"/>
          <w:bCs/>
          <w:color w:val="000000" w:themeColor="text1"/>
          <w:sz w:val="20"/>
          <w:szCs w:val="20"/>
          <w:lang w:val="es-ES_tradnl" w:eastAsia="es-CO"/>
        </w:rPr>
      </w:pPr>
    </w:p>
    <w:p w14:paraId="4AFE8F15" w14:textId="26DC301A" w:rsidR="00714833" w:rsidRPr="00F8515B" w:rsidRDefault="00714833" w:rsidP="00714833">
      <w:pPr>
        <w:spacing w:after="0" w:line="240" w:lineRule="auto"/>
        <w:rPr>
          <w:rFonts w:ascii="Arial" w:hAnsi="Arial" w:cs="Arial"/>
          <w:color w:val="000000" w:themeColor="text1"/>
          <w:sz w:val="20"/>
          <w:szCs w:val="20"/>
          <w:lang w:val="es-ES_tradnl"/>
        </w:rPr>
      </w:pPr>
      <w:r w:rsidRPr="00F8515B">
        <w:rPr>
          <w:rFonts w:ascii="Arial" w:eastAsia="Calibri" w:hAnsi="Arial" w:cs="Arial"/>
          <w:b/>
          <w:bCs/>
          <w:color w:val="000000" w:themeColor="text1"/>
          <w:sz w:val="20"/>
          <w:szCs w:val="20"/>
          <w:lang w:val="es-ES_tradnl"/>
        </w:rPr>
        <w:t xml:space="preserve">LEY 2159 DE 2021 – Ley Anual de Presupuesto </w:t>
      </w:r>
      <w:r w:rsidR="004C7677" w:rsidRPr="00F8515B">
        <w:rPr>
          <w:rFonts w:ascii="Arial" w:eastAsia="Calibri" w:hAnsi="Arial" w:cs="Arial"/>
          <w:b/>
          <w:bCs/>
          <w:color w:val="000000" w:themeColor="text1"/>
          <w:sz w:val="20"/>
          <w:szCs w:val="20"/>
          <w:lang w:val="es-ES_tradnl"/>
        </w:rPr>
        <w:t>–</w:t>
      </w:r>
      <w:r w:rsidRPr="00F8515B">
        <w:rPr>
          <w:rFonts w:ascii="Arial" w:eastAsia="Calibri" w:hAnsi="Arial" w:cs="Arial"/>
          <w:b/>
          <w:bCs/>
          <w:color w:val="000000" w:themeColor="text1"/>
          <w:sz w:val="20"/>
          <w:szCs w:val="20"/>
          <w:lang w:val="es-ES_tradnl"/>
        </w:rPr>
        <w:t xml:space="preserve"> </w:t>
      </w:r>
      <w:r w:rsidR="004C7677" w:rsidRPr="00F8515B">
        <w:rPr>
          <w:rFonts w:ascii="Arial" w:eastAsia="Calibri" w:hAnsi="Arial" w:cs="Arial"/>
          <w:b/>
          <w:bCs/>
          <w:color w:val="000000" w:themeColor="text1"/>
          <w:sz w:val="20"/>
          <w:szCs w:val="20"/>
          <w:lang w:val="es-ES_tradnl"/>
        </w:rPr>
        <w:t>Modificación</w:t>
      </w:r>
      <w:r w:rsidRPr="00F8515B">
        <w:rPr>
          <w:rFonts w:ascii="Arial" w:eastAsia="Calibri" w:hAnsi="Arial" w:cs="Arial"/>
          <w:b/>
          <w:bCs/>
          <w:color w:val="000000" w:themeColor="text1"/>
          <w:sz w:val="20"/>
          <w:szCs w:val="20"/>
          <w:lang w:val="es-ES_tradnl"/>
        </w:rPr>
        <w:t xml:space="preserve"> artículo 38 Ley de Garantías – Nación – </w:t>
      </w:r>
      <w:r w:rsidR="004C7677" w:rsidRPr="00F8515B">
        <w:rPr>
          <w:rFonts w:ascii="Arial" w:eastAsia="Calibri" w:hAnsi="Arial" w:cs="Arial"/>
          <w:b/>
          <w:bCs/>
          <w:color w:val="000000" w:themeColor="text1"/>
          <w:sz w:val="20"/>
          <w:szCs w:val="20"/>
          <w:lang w:val="es-ES_tradnl"/>
        </w:rPr>
        <w:t>E</w:t>
      </w:r>
      <w:r w:rsidRPr="00F8515B">
        <w:rPr>
          <w:rFonts w:ascii="Arial" w:eastAsia="Calibri" w:hAnsi="Arial" w:cs="Arial"/>
          <w:b/>
          <w:bCs/>
          <w:color w:val="000000" w:themeColor="text1"/>
          <w:sz w:val="20"/>
          <w:szCs w:val="20"/>
          <w:lang w:val="es-ES_tradnl"/>
        </w:rPr>
        <w:t>ntidades descentralizadas</w:t>
      </w:r>
    </w:p>
    <w:p w14:paraId="50225D97" w14:textId="77777777" w:rsidR="00AC1839" w:rsidRPr="00F8515B" w:rsidRDefault="00AC1839" w:rsidP="00714833">
      <w:pPr>
        <w:spacing w:after="0" w:line="240" w:lineRule="auto"/>
        <w:rPr>
          <w:rFonts w:ascii="Arial" w:eastAsia="Times New Roman" w:hAnsi="Arial" w:cs="Arial"/>
          <w:bCs/>
          <w:color w:val="000000" w:themeColor="text1"/>
          <w:sz w:val="20"/>
          <w:szCs w:val="20"/>
          <w:lang w:val="es-ES_tradnl" w:eastAsia="es-CO"/>
        </w:rPr>
      </w:pPr>
    </w:p>
    <w:p w14:paraId="22C3EDAD" w14:textId="5C1DB918" w:rsidR="00714833" w:rsidRPr="00F8515B" w:rsidRDefault="00714833" w:rsidP="00714833">
      <w:pPr>
        <w:spacing w:after="0" w:line="240" w:lineRule="auto"/>
        <w:rPr>
          <w:rFonts w:ascii="Arial" w:eastAsia="Times New Roman" w:hAnsi="Arial" w:cs="Arial"/>
          <w:bCs/>
          <w:color w:val="000000" w:themeColor="text1"/>
          <w:sz w:val="20"/>
          <w:szCs w:val="20"/>
          <w:lang w:val="es-ES_tradnl" w:eastAsia="es-CO"/>
        </w:rPr>
      </w:pPr>
      <w:r w:rsidRPr="00F8515B">
        <w:rPr>
          <w:rFonts w:ascii="Arial" w:eastAsia="Times New Roman" w:hAnsi="Arial" w:cs="Arial"/>
          <w:bCs/>
          <w:color w:val="000000" w:themeColor="text1"/>
          <w:sz w:val="20"/>
          <w:szCs w:val="20"/>
          <w:lang w:val="es-ES_tradnl" w:eastAsia="es-CO"/>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7B52B7F7" w14:textId="2F686E4D" w:rsidR="00B751B4" w:rsidRPr="00F8515B" w:rsidRDefault="00B751B4" w:rsidP="00714833">
      <w:pPr>
        <w:spacing w:after="0" w:line="240" w:lineRule="auto"/>
        <w:rPr>
          <w:rFonts w:ascii="Arial" w:eastAsia="Times New Roman" w:hAnsi="Arial" w:cs="Arial"/>
          <w:bCs/>
          <w:color w:val="000000" w:themeColor="text1"/>
          <w:sz w:val="20"/>
          <w:szCs w:val="20"/>
          <w:lang w:val="es-ES_tradnl" w:eastAsia="es-CO"/>
        </w:rPr>
      </w:pPr>
    </w:p>
    <w:p w14:paraId="69D7C392" w14:textId="77777777" w:rsidR="00B848E3" w:rsidRPr="00F8515B" w:rsidRDefault="00B848E3" w:rsidP="00B848E3">
      <w:pPr>
        <w:spacing w:after="0" w:line="240" w:lineRule="auto"/>
        <w:rPr>
          <w:rFonts w:ascii="Arial" w:eastAsia="Times New Roman" w:hAnsi="Arial" w:cs="Arial"/>
          <w:bCs/>
          <w:color w:val="000000" w:themeColor="text1"/>
          <w:sz w:val="20"/>
          <w:szCs w:val="20"/>
          <w:lang w:val="es-ES_tradnl" w:eastAsia="es-CO"/>
        </w:rPr>
      </w:pPr>
    </w:p>
    <w:p w14:paraId="14152CFE" w14:textId="52E61E7A" w:rsidR="00A31AAB" w:rsidRPr="00F8515B" w:rsidRDefault="00A31AAB" w:rsidP="00E7700C">
      <w:pPr>
        <w:spacing w:after="120"/>
        <w:contextualSpacing/>
        <w:rPr>
          <w:rFonts w:ascii="Arial" w:eastAsia="Calibri" w:hAnsi="Arial" w:cs="Arial"/>
          <w:b/>
          <w:bCs/>
          <w:color w:val="000000" w:themeColor="text1"/>
          <w:sz w:val="22"/>
          <w:lang w:val="es-ES_tradnl"/>
        </w:rPr>
      </w:pPr>
    </w:p>
    <w:p w14:paraId="010E7301" w14:textId="77777777" w:rsidR="00152B00" w:rsidRPr="00F8515B" w:rsidRDefault="00152B00" w:rsidP="00152B00">
      <w:pPr>
        <w:rPr>
          <w:rFonts w:ascii="Arial" w:eastAsia="Calibri" w:hAnsi="Arial" w:cs="Arial"/>
          <w:b/>
          <w:bCs/>
          <w:color w:val="000000" w:themeColor="text1"/>
          <w:sz w:val="22"/>
          <w:lang w:val="es-ES_tradnl"/>
        </w:rPr>
      </w:pPr>
      <w:bookmarkStart w:id="7" w:name="_Hlk29890381"/>
      <w:bookmarkEnd w:id="7"/>
    </w:p>
    <w:p w14:paraId="20EEA512" w14:textId="77777777" w:rsidR="00152B00" w:rsidRPr="00F8515B" w:rsidRDefault="00152B00" w:rsidP="00152B00">
      <w:pPr>
        <w:rPr>
          <w:rFonts w:ascii="Arial" w:eastAsia="Calibri" w:hAnsi="Arial" w:cs="Arial"/>
          <w:b/>
          <w:bCs/>
          <w:color w:val="000000" w:themeColor="text1"/>
          <w:sz w:val="22"/>
          <w:lang w:val="es-ES_tradnl"/>
        </w:rPr>
      </w:pPr>
    </w:p>
    <w:p w14:paraId="5EB6792A" w14:textId="77777777" w:rsidR="00152B00" w:rsidRPr="00F8515B" w:rsidRDefault="00152B00" w:rsidP="00152B00">
      <w:pPr>
        <w:rPr>
          <w:rFonts w:ascii="Arial" w:eastAsia="Calibri" w:hAnsi="Arial" w:cs="Arial"/>
          <w:b/>
          <w:bCs/>
          <w:color w:val="000000" w:themeColor="text1"/>
          <w:sz w:val="22"/>
          <w:lang w:val="es-ES_tradnl"/>
        </w:rPr>
      </w:pPr>
    </w:p>
    <w:p w14:paraId="243401B9" w14:textId="77777777" w:rsidR="00152B00" w:rsidRPr="00F8515B" w:rsidRDefault="00152B00" w:rsidP="00152B00">
      <w:pPr>
        <w:rPr>
          <w:rFonts w:ascii="Arial" w:eastAsia="Calibri" w:hAnsi="Arial" w:cs="Arial"/>
          <w:b/>
          <w:bCs/>
          <w:color w:val="000000" w:themeColor="text1"/>
          <w:sz w:val="22"/>
          <w:lang w:val="es-ES_tradnl"/>
        </w:rPr>
      </w:pPr>
    </w:p>
    <w:p w14:paraId="0A2DC7B7" w14:textId="77777777" w:rsidR="00152B00" w:rsidRPr="00F8515B" w:rsidRDefault="00152B00" w:rsidP="00152B00">
      <w:pPr>
        <w:rPr>
          <w:rFonts w:ascii="Arial" w:eastAsia="Calibri" w:hAnsi="Arial" w:cs="Arial"/>
          <w:b/>
          <w:bCs/>
          <w:color w:val="000000" w:themeColor="text1"/>
          <w:sz w:val="22"/>
          <w:lang w:val="es-ES_tradnl"/>
        </w:rPr>
      </w:pPr>
    </w:p>
    <w:p w14:paraId="2FA59167" w14:textId="77777777" w:rsidR="00152B00" w:rsidRPr="00F8515B" w:rsidRDefault="00152B00" w:rsidP="00152B00">
      <w:pPr>
        <w:rPr>
          <w:rFonts w:ascii="Arial" w:eastAsia="Calibri" w:hAnsi="Arial" w:cs="Arial"/>
          <w:b/>
          <w:bCs/>
          <w:color w:val="000000" w:themeColor="text1"/>
          <w:sz w:val="22"/>
          <w:lang w:val="es-ES_tradnl"/>
        </w:rPr>
      </w:pPr>
    </w:p>
    <w:p w14:paraId="78CC6FD7" w14:textId="77777777" w:rsidR="00152B00" w:rsidRPr="00F8515B" w:rsidRDefault="00152B00" w:rsidP="00152B00">
      <w:pPr>
        <w:rPr>
          <w:rFonts w:ascii="Arial" w:eastAsia="Calibri" w:hAnsi="Arial" w:cs="Arial"/>
          <w:b/>
          <w:bCs/>
          <w:color w:val="000000" w:themeColor="text1"/>
          <w:sz w:val="22"/>
          <w:lang w:val="es-ES_tradnl"/>
        </w:rPr>
      </w:pPr>
    </w:p>
    <w:p w14:paraId="44E24EC3" w14:textId="77777777" w:rsidR="00152B00" w:rsidRPr="00F8515B" w:rsidRDefault="00152B00" w:rsidP="00152B00">
      <w:pPr>
        <w:rPr>
          <w:rFonts w:ascii="Arial" w:eastAsia="Calibri" w:hAnsi="Arial" w:cs="Arial"/>
          <w:b/>
          <w:bCs/>
          <w:color w:val="000000" w:themeColor="text1"/>
          <w:sz w:val="22"/>
          <w:lang w:val="es-ES_tradnl"/>
        </w:rPr>
      </w:pPr>
    </w:p>
    <w:p w14:paraId="6AC2AE5F" w14:textId="503435AF" w:rsidR="00975490" w:rsidRDefault="00975490" w:rsidP="00FC5D07">
      <w:pPr>
        <w:spacing w:line="240" w:lineRule="auto"/>
        <w:rPr>
          <w:rFonts w:ascii="Arial" w:eastAsia="Calibri" w:hAnsi="Arial" w:cs="Arial"/>
          <w:b/>
          <w:bCs/>
          <w:color w:val="000000" w:themeColor="text1"/>
          <w:sz w:val="22"/>
          <w:lang w:val="es-ES_tradnl"/>
        </w:rPr>
      </w:pPr>
    </w:p>
    <w:p w14:paraId="64B7360A" w14:textId="1DDF1678" w:rsidR="00354432" w:rsidRPr="00354432" w:rsidRDefault="00354432" w:rsidP="00384164">
      <w:pPr>
        <w:spacing w:after="0" w:line="240" w:lineRule="auto"/>
        <w:rPr>
          <w:rFonts w:ascii="Times New Roman" w:eastAsia="Times New Roman" w:hAnsi="Times New Roman" w:cs="Times New Roman"/>
          <w:szCs w:val="24"/>
          <w:lang w:val="es-CO" w:eastAsia="es-ES_tradnl"/>
        </w:rPr>
      </w:pPr>
      <w:r w:rsidRPr="00354432">
        <w:rPr>
          <w:rFonts w:ascii="Times New Roman" w:eastAsia="Times New Roman" w:hAnsi="Times New Roman" w:cs="Times New Roman"/>
          <w:szCs w:val="24"/>
          <w:lang w:val="es-CO" w:eastAsia="es-ES_tradnl"/>
        </w:rPr>
        <w:t>Bogotá, 08 Marzo 2022</w:t>
      </w:r>
      <w:r>
        <w:rPr>
          <w:rFonts w:ascii="Times New Roman" w:eastAsia="Times New Roman" w:hAnsi="Times New Roman" w:cs="Times New Roman"/>
          <w:szCs w:val="24"/>
          <w:lang w:val="es-CO" w:eastAsia="es-ES_tradnl"/>
        </w:rPr>
        <w:t xml:space="preserve">                                          </w:t>
      </w:r>
      <w:r w:rsidR="00384164" w:rsidRPr="00384164">
        <w:rPr>
          <w:rFonts w:ascii="Times New Roman" w:eastAsia="Times New Roman" w:hAnsi="Times New Roman" w:cs="Times New Roman"/>
          <w:szCs w:val="24"/>
          <w:lang w:val="es-CO" w:eastAsia="es-ES_tradnl"/>
        </w:rPr>
        <w:drawing>
          <wp:inline distT="0" distB="0" distL="0" distR="0" wp14:anchorId="51F4C198" wp14:editId="5620EEA5">
            <wp:extent cx="2286635" cy="544945"/>
            <wp:effectExtent l="0" t="0" r="0" b="1270"/>
            <wp:docPr id="1"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blancas en un fondo blanco&#10;&#10;Descripción generada automáticamente con confianza media"/>
                    <pic:cNvPicPr/>
                  </pic:nvPicPr>
                  <pic:blipFill>
                    <a:blip r:embed="rId11"/>
                    <a:stretch>
                      <a:fillRect/>
                    </a:stretch>
                  </pic:blipFill>
                  <pic:spPr>
                    <a:xfrm>
                      <a:off x="0" y="0"/>
                      <a:ext cx="2286635" cy="544945"/>
                    </a:xfrm>
                    <a:prstGeom prst="rect">
                      <a:avLst/>
                    </a:prstGeom>
                  </pic:spPr>
                </pic:pic>
              </a:graphicData>
            </a:graphic>
          </wp:inline>
        </w:drawing>
      </w:r>
    </w:p>
    <w:p w14:paraId="7DFC5948" w14:textId="77777777" w:rsidR="00354432" w:rsidRPr="00F8515B" w:rsidRDefault="00354432" w:rsidP="00FC5D07">
      <w:pPr>
        <w:spacing w:line="240" w:lineRule="auto"/>
        <w:rPr>
          <w:rFonts w:ascii="Arial" w:eastAsia="Calibri" w:hAnsi="Arial" w:cs="Arial"/>
          <w:b/>
          <w:bCs/>
          <w:color w:val="000000" w:themeColor="text1"/>
          <w:sz w:val="22"/>
          <w:lang w:val="es-ES_tradnl"/>
        </w:rPr>
      </w:pPr>
    </w:p>
    <w:p w14:paraId="6315D6D6" w14:textId="77777777" w:rsidR="00FC5D07" w:rsidRPr="00F8515B" w:rsidRDefault="00FC5D07" w:rsidP="00FC5D07">
      <w:pPr>
        <w:spacing w:after="0" w:line="240" w:lineRule="auto"/>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 xml:space="preserve">Doctora </w:t>
      </w:r>
    </w:p>
    <w:p w14:paraId="57DFB066" w14:textId="77777777" w:rsidR="00FC5D07" w:rsidRPr="00F8515B" w:rsidRDefault="00FC5D07" w:rsidP="00FC5D07">
      <w:pPr>
        <w:spacing w:after="0" w:line="240" w:lineRule="auto"/>
        <w:rPr>
          <w:rFonts w:ascii="Arial" w:eastAsia="Calibri" w:hAnsi="Arial" w:cs="Arial"/>
          <w:b/>
          <w:bCs/>
          <w:color w:val="000000" w:themeColor="text1"/>
          <w:sz w:val="22"/>
          <w:lang w:val="es-ES_tradnl"/>
        </w:rPr>
      </w:pPr>
      <w:proofErr w:type="spellStart"/>
      <w:r w:rsidRPr="00F8515B">
        <w:rPr>
          <w:rFonts w:ascii="Arial" w:eastAsia="Calibri" w:hAnsi="Arial" w:cs="Arial"/>
          <w:b/>
          <w:bCs/>
          <w:color w:val="000000" w:themeColor="text1"/>
          <w:sz w:val="22"/>
          <w:lang w:val="es-ES_tradnl"/>
        </w:rPr>
        <w:t>Derling</w:t>
      </w:r>
      <w:proofErr w:type="spellEnd"/>
      <w:r w:rsidRPr="00F8515B">
        <w:rPr>
          <w:rFonts w:ascii="Arial" w:eastAsia="Calibri" w:hAnsi="Arial" w:cs="Arial"/>
          <w:b/>
          <w:bCs/>
          <w:color w:val="000000" w:themeColor="text1"/>
          <w:sz w:val="22"/>
          <w:lang w:val="es-ES_tradnl"/>
        </w:rPr>
        <w:t xml:space="preserve"> Giraldo </w:t>
      </w:r>
    </w:p>
    <w:p w14:paraId="20C73A65" w14:textId="16D657EA" w:rsidR="002B72C0" w:rsidRPr="00F8515B" w:rsidRDefault="00FC5D07" w:rsidP="00FC5D07">
      <w:pPr>
        <w:spacing w:after="0" w:line="240" w:lineRule="auto"/>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Asesora Jurídica, Restrepo, Valle del Cauca</w:t>
      </w:r>
    </w:p>
    <w:p w14:paraId="37F775F6" w14:textId="2B7542EC" w:rsidR="00FC5D07" w:rsidRPr="00F8515B" w:rsidRDefault="00FC5D07" w:rsidP="00FC5D07">
      <w:pPr>
        <w:spacing w:after="0" w:line="240" w:lineRule="auto"/>
        <w:rPr>
          <w:rFonts w:ascii="Arial" w:eastAsia="Calibri" w:hAnsi="Arial" w:cs="Arial"/>
          <w:color w:val="000000" w:themeColor="text1"/>
          <w:sz w:val="22"/>
          <w:lang w:val="es-ES_tradnl"/>
        </w:rPr>
      </w:pPr>
    </w:p>
    <w:p w14:paraId="4C95286F" w14:textId="77777777" w:rsidR="00FC5D07" w:rsidRPr="00F8515B" w:rsidRDefault="00FC5D07" w:rsidP="00FC5D07">
      <w:pPr>
        <w:spacing w:after="0" w:line="240" w:lineRule="auto"/>
        <w:rPr>
          <w:rFonts w:ascii="Arial" w:eastAsia="Calibri" w:hAnsi="Arial" w:cs="Arial"/>
          <w:color w:val="000000" w:themeColor="text1"/>
          <w:sz w:val="22"/>
          <w:lang w:val="es-ES_tradnl"/>
        </w:rPr>
      </w:pPr>
    </w:p>
    <w:p w14:paraId="6316E3D6" w14:textId="639A6B56" w:rsidR="00FE0395" w:rsidRPr="00F8515B" w:rsidRDefault="00904CD9" w:rsidP="000641BE">
      <w:pPr>
        <w:spacing w:after="0" w:line="240" w:lineRule="auto"/>
        <w:rPr>
          <w:rFonts w:ascii="Arial" w:hAnsi="Arial" w:cs="Arial"/>
          <w:color w:val="000000" w:themeColor="text1"/>
          <w:sz w:val="22"/>
          <w:lang w:val="es-ES_tradnl"/>
        </w:rPr>
      </w:pPr>
      <w:r w:rsidRPr="00F8515B">
        <w:rPr>
          <w:rFonts w:ascii="Arial" w:eastAsia="Calibri" w:hAnsi="Arial" w:cs="Arial"/>
          <w:color w:val="000000" w:themeColor="text1"/>
          <w:sz w:val="22"/>
          <w:lang w:val="es-ES_tradnl"/>
        </w:rPr>
        <w:t xml:space="preserve">                                            </w:t>
      </w:r>
      <w:r w:rsidRPr="00F8515B">
        <w:rPr>
          <w:rFonts w:ascii="Arial" w:eastAsia="Calibri" w:hAnsi="Arial" w:cs="Arial"/>
          <w:b/>
          <w:color w:val="000000" w:themeColor="text1"/>
          <w:sz w:val="22"/>
          <w:lang w:val="es-ES_tradnl"/>
        </w:rPr>
        <w:t>Concepto C –</w:t>
      </w:r>
      <w:r w:rsidR="000E190F" w:rsidRPr="00F8515B">
        <w:rPr>
          <w:rFonts w:ascii="Arial" w:eastAsia="Calibri" w:hAnsi="Arial" w:cs="Arial"/>
          <w:b/>
          <w:color w:val="000000" w:themeColor="text1"/>
          <w:sz w:val="22"/>
          <w:lang w:val="es-ES_tradnl"/>
        </w:rPr>
        <w:t xml:space="preserve"> </w:t>
      </w:r>
      <w:r w:rsidR="00152B00" w:rsidRPr="00F8515B">
        <w:rPr>
          <w:rFonts w:ascii="Arial" w:eastAsia="Calibri" w:hAnsi="Arial" w:cs="Arial"/>
          <w:b/>
          <w:color w:val="000000" w:themeColor="text1"/>
          <w:sz w:val="22"/>
          <w:lang w:val="es-ES_tradnl"/>
        </w:rPr>
        <w:t>064</w:t>
      </w:r>
      <w:r w:rsidR="00AF7FCE" w:rsidRPr="00F8515B">
        <w:rPr>
          <w:rFonts w:ascii="Arial" w:eastAsia="Calibri" w:hAnsi="Arial" w:cs="Arial"/>
          <w:b/>
          <w:color w:val="000000" w:themeColor="text1"/>
          <w:sz w:val="22"/>
          <w:lang w:val="es-ES_tradnl"/>
        </w:rPr>
        <w:t xml:space="preserve"> </w:t>
      </w:r>
      <w:r w:rsidR="00285D82" w:rsidRPr="00F8515B">
        <w:rPr>
          <w:rFonts w:ascii="Arial" w:eastAsia="Calibri" w:hAnsi="Arial" w:cs="Arial"/>
          <w:b/>
          <w:color w:val="000000" w:themeColor="text1"/>
          <w:sz w:val="22"/>
          <w:lang w:val="es-ES_tradnl"/>
        </w:rPr>
        <w:t>de 202</w:t>
      </w:r>
      <w:r w:rsidR="001640BC" w:rsidRPr="00F8515B">
        <w:rPr>
          <w:rFonts w:ascii="Arial" w:eastAsia="Calibri" w:hAnsi="Arial" w:cs="Arial"/>
          <w:b/>
          <w:color w:val="000000" w:themeColor="text1"/>
          <w:sz w:val="22"/>
          <w:lang w:val="es-ES_tradnl"/>
        </w:rPr>
        <w:t>2</w:t>
      </w:r>
      <w:r w:rsidR="00B346CC" w:rsidRPr="00F8515B">
        <w:rPr>
          <w:rFonts w:ascii="Arial" w:hAnsi="Arial" w:cs="Arial"/>
          <w:color w:val="000000" w:themeColor="text1"/>
          <w:sz w:val="22"/>
          <w:lang w:val="es-ES_tradnl"/>
        </w:rPr>
        <w:t xml:space="preserve"> </w:t>
      </w:r>
    </w:p>
    <w:p w14:paraId="4736A594" w14:textId="77777777" w:rsidR="00303D47" w:rsidRPr="00F8515B" w:rsidRDefault="00303D47" w:rsidP="000641BE">
      <w:pPr>
        <w:spacing w:after="0" w:line="240" w:lineRule="auto"/>
        <w:rPr>
          <w:rFonts w:ascii="Arial" w:eastAsia="Calibri" w:hAnsi="Arial" w:cs="Arial"/>
          <w:b/>
          <w:color w:val="000000" w:themeColor="text1"/>
          <w:sz w:val="22"/>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21B72" w:rsidRPr="00D21B72" w14:paraId="1701BC3D" w14:textId="77777777" w:rsidTr="000641BE">
        <w:trPr>
          <w:trHeight w:val="485"/>
        </w:trPr>
        <w:tc>
          <w:tcPr>
            <w:tcW w:w="2689" w:type="dxa"/>
            <w:hideMark/>
          </w:tcPr>
          <w:p w14:paraId="69F7D7B9" w14:textId="77777777" w:rsidR="00714833" w:rsidRPr="00F8515B" w:rsidRDefault="00714833" w:rsidP="000641BE">
            <w:pPr>
              <w:contextualSpacing/>
              <w:rPr>
                <w:rFonts w:ascii="Arial" w:eastAsia="Calibri" w:hAnsi="Arial" w:cs="Arial"/>
                <w:noProof/>
                <w:color w:val="000000" w:themeColor="text1"/>
                <w:sz w:val="22"/>
                <w:lang w:val="es-ES_tradnl"/>
              </w:rPr>
            </w:pPr>
            <w:r w:rsidRPr="00F8515B">
              <w:rPr>
                <w:rFonts w:ascii="Arial" w:eastAsia="Calibri" w:hAnsi="Arial" w:cs="Arial"/>
                <w:b/>
                <w:noProof/>
                <w:color w:val="000000" w:themeColor="text1"/>
                <w:sz w:val="22"/>
                <w:lang w:val="es-ES_tradnl"/>
              </w:rPr>
              <w:t>Temas:</w:t>
            </w:r>
            <w:r w:rsidRPr="00F8515B">
              <w:rPr>
                <w:rFonts w:ascii="Arial" w:eastAsia="Calibri" w:hAnsi="Arial" w:cs="Arial"/>
                <w:noProof/>
                <w:color w:val="000000" w:themeColor="text1"/>
                <w:sz w:val="22"/>
                <w:lang w:val="es-ES_tradnl"/>
              </w:rPr>
              <w:t xml:space="preserve">        </w:t>
            </w:r>
          </w:p>
        </w:tc>
        <w:tc>
          <w:tcPr>
            <w:tcW w:w="6237" w:type="dxa"/>
            <w:hideMark/>
          </w:tcPr>
          <w:p w14:paraId="641BBBD5" w14:textId="55850183" w:rsidR="00714833" w:rsidRPr="00F8515B" w:rsidRDefault="00AC1839" w:rsidP="00FC5D07">
            <w:pPr>
              <w:spacing w:after="120"/>
              <w:ind w:right="703"/>
              <w:jc w:val="both"/>
              <w:rPr>
                <w:rFonts w:ascii="Arial" w:eastAsia="Calibri" w:hAnsi="Arial" w:cs="Arial"/>
                <w:bCs/>
                <w:color w:val="000000" w:themeColor="text1"/>
                <w:sz w:val="22"/>
                <w:lang w:val="es-ES_tradnl"/>
              </w:rPr>
            </w:pPr>
            <w:r w:rsidRPr="00F8515B">
              <w:rPr>
                <w:rFonts w:ascii="Arial" w:eastAsia="Calibri" w:hAnsi="Arial" w:cs="Arial"/>
                <w:bCs/>
                <w:color w:val="000000" w:themeColor="text1"/>
                <w:sz w:val="22"/>
                <w:lang w:val="es-ES_tradnl"/>
              </w:rPr>
              <w:t xml:space="preserve">LEY DE GARANTÍAS ELECTORALES ‒ Tipos de restricciones ‒ Ámbito temporal / LEY DE GARANTÍAS ELECTORALES ─ Prohibición ‒ Contratación directa ‒ Alcance – Excepciones / LEY DE GARANTÍAS ELECTORALES ‒ Prohibición del artículo 33 ‒ Destinatarios / </w:t>
            </w:r>
            <w:r w:rsidR="00CA2B13" w:rsidRPr="00F8515B">
              <w:rPr>
                <w:rFonts w:ascii="Arial" w:eastAsia="Calibri" w:hAnsi="Arial" w:cs="Arial"/>
                <w:bCs/>
                <w:color w:val="000000" w:themeColor="text1"/>
                <w:sz w:val="22"/>
                <w:lang w:val="es-ES_tradnl"/>
              </w:rPr>
              <w:t xml:space="preserve">LEY DE GARANTÍAS ELECTORALES ‒ Prohibición comicios cargos de elección popular – Convenios y contratos interadministrativos – Definición – Criterio orgánico / CONTRATOS Y CONVENIOS INTERADMINISTRATIVOS – Modalidad de selección / MODIFICACIÓN DE LA LEY 2159 DE 2021 – Ley Anual de Presupuesto - parágrafo del artículo 38 de la Ley de Garantías – transitoriedad </w:t>
            </w:r>
            <w:r w:rsidR="007372C3" w:rsidRPr="00F8515B">
              <w:rPr>
                <w:rFonts w:ascii="Arial" w:eastAsia="Calibri" w:hAnsi="Arial" w:cs="Arial"/>
                <w:bCs/>
                <w:color w:val="000000" w:themeColor="text1"/>
                <w:sz w:val="22"/>
                <w:lang w:val="es-ES_tradnl"/>
              </w:rPr>
              <w:t>/ MODIFICACIÓN DE LA LEY 2159 DE 2021 – Ley Anual de Presupuesto - parágrafo del artículo 38 de la Ley de Garantías – Nación – entidades descentralizadas</w:t>
            </w:r>
            <w:r w:rsidR="00B848E3" w:rsidRPr="00F8515B">
              <w:rPr>
                <w:rFonts w:ascii="Arial" w:eastAsia="Calibri" w:hAnsi="Arial" w:cs="Arial"/>
                <w:bCs/>
                <w:color w:val="000000" w:themeColor="text1"/>
                <w:sz w:val="22"/>
                <w:lang w:val="es-ES_tradnl"/>
              </w:rPr>
              <w:t xml:space="preserve"> </w:t>
            </w:r>
          </w:p>
        </w:tc>
      </w:tr>
      <w:tr w:rsidR="00B66D78" w:rsidRPr="00D21B72" w14:paraId="4074FCE6" w14:textId="77777777" w:rsidTr="000641BE">
        <w:tc>
          <w:tcPr>
            <w:tcW w:w="2689" w:type="dxa"/>
          </w:tcPr>
          <w:p w14:paraId="389F2C2E" w14:textId="77777777" w:rsidR="00FE0395" w:rsidRPr="00F8515B" w:rsidRDefault="00FE0395" w:rsidP="000641BE">
            <w:pPr>
              <w:contextualSpacing/>
              <w:rPr>
                <w:rFonts w:ascii="Arial" w:eastAsia="Calibri" w:hAnsi="Arial" w:cs="Arial"/>
                <w:b/>
                <w:noProof/>
                <w:color w:val="000000" w:themeColor="text1"/>
                <w:sz w:val="22"/>
                <w:lang w:val="es-ES_tradnl"/>
              </w:rPr>
            </w:pPr>
            <w:r w:rsidRPr="00F8515B">
              <w:rPr>
                <w:rFonts w:ascii="Arial" w:eastAsia="Calibri" w:hAnsi="Arial" w:cs="Arial"/>
                <w:b/>
                <w:noProof/>
                <w:color w:val="000000" w:themeColor="text1"/>
                <w:sz w:val="22"/>
                <w:lang w:val="es-ES_tradnl"/>
              </w:rPr>
              <w:t>Radicación:</w:t>
            </w:r>
            <w:r w:rsidRPr="00F8515B">
              <w:rPr>
                <w:rFonts w:ascii="Arial" w:eastAsia="Calibri" w:hAnsi="Arial" w:cs="Arial"/>
                <w:noProof/>
                <w:color w:val="000000" w:themeColor="text1"/>
                <w:sz w:val="22"/>
                <w:lang w:val="es-ES_tradnl"/>
              </w:rPr>
              <w:t xml:space="preserve">                              </w:t>
            </w:r>
          </w:p>
        </w:tc>
        <w:tc>
          <w:tcPr>
            <w:tcW w:w="6237" w:type="dxa"/>
          </w:tcPr>
          <w:p w14:paraId="290F0664" w14:textId="05C1706E" w:rsidR="00FE0395" w:rsidRPr="00F8515B" w:rsidRDefault="00FE0395" w:rsidP="000641BE">
            <w:pPr>
              <w:contextualSpacing/>
              <w:jc w:val="both"/>
              <w:rPr>
                <w:rFonts w:ascii="Arial" w:eastAsia="Calibri" w:hAnsi="Arial" w:cs="Arial"/>
                <w:noProof/>
                <w:color w:val="000000" w:themeColor="text1"/>
                <w:sz w:val="22"/>
                <w:lang w:val="es-ES_tradnl"/>
              </w:rPr>
            </w:pPr>
            <w:r w:rsidRPr="00F8515B">
              <w:rPr>
                <w:rFonts w:ascii="Arial" w:eastAsia="Calibri" w:hAnsi="Arial" w:cs="Arial"/>
                <w:noProof/>
                <w:color w:val="000000" w:themeColor="text1"/>
                <w:sz w:val="22"/>
                <w:lang w:val="es-ES_tradnl"/>
              </w:rPr>
              <w:t xml:space="preserve">Respuesta a consulta </w:t>
            </w:r>
            <w:r w:rsidR="00152B00" w:rsidRPr="00F8515B">
              <w:rPr>
                <w:rFonts w:ascii="Arial" w:eastAsia="Calibri" w:hAnsi="Arial" w:cs="Arial"/>
                <w:color w:val="000000" w:themeColor="text1"/>
                <w:sz w:val="22"/>
                <w:lang w:val="es-ES_tradnl"/>
              </w:rPr>
              <w:t>P20220126000654</w:t>
            </w:r>
          </w:p>
        </w:tc>
      </w:tr>
    </w:tbl>
    <w:p w14:paraId="0CB3D4D0" w14:textId="77777777" w:rsidR="00FE0395" w:rsidRPr="00F8515B" w:rsidRDefault="00FE0395" w:rsidP="000641BE">
      <w:pPr>
        <w:spacing w:after="0" w:line="240" w:lineRule="auto"/>
        <w:rPr>
          <w:rFonts w:ascii="Arial" w:eastAsia="Calibri" w:hAnsi="Arial" w:cs="Arial"/>
          <w:color w:val="000000" w:themeColor="text1"/>
          <w:sz w:val="22"/>
          <w:lang w:val="es-ES_tradnl"/>
        </w:rPr>
      </w:pPr>
    </w:p>
    <w:p w14:paraId="3C6248D2" w14:textId="77777777" w:rsidR="00F246FE" w:rsidRPr="00F8515B" w:rsidRDefault="00F246FE" w:rsidP="000641BE">
      <w:pPr>
        <w:spacing w:after="0" w:line="240" w:lineRule="auto"/>
        <w:rPr>
          <w:rFonts w:ascii="Arial" w:eastAsia="Calibri" w:hAnsi="Arial" w:cs="Arial"/>
          <w:color w:val="000000" w:themeColor="text1"/>
          <w:sz w:val="22"/>
          <w:lang w:val="es-ES_tradnl"/>
        </w:rPr>
      </w:pPr>
    </w:p>
    <w:p w14:paraId="0ADE9D41" w14:textId="1EA88B4E" w:rsidR="00990612" w:rsidRPr="00F8515B" w:rsidRDefault="00990612" w:rsidP="00E7700C">
      <w:pPr>
        <w:spacing w:after="0"/>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Estimad</w:t>
      </w:r>
      <w:r w:rsidR="00152B00" w:rsidRPr="00F8515B">
        <w:rPr>
          <w:rFonts w:ascii="Arial" w:eastAsia="Calibri" w:hAnsi="Arial" w:cs="Arial"/>
          <w:color w:val="000000" w:themeColor="text1"/>
          <w:sz w:val="22"/>
          <w:lang w:val="es-ES_tradnl"/>
        </w:rPr>
        <w:t>a</w:t>
      </w:r>
      <w:r w:rsidR="009D7290" w:rsidRPr="00F8515B">
        <w:rPr>
          <w:rFonts w:ascii="Arial" w:eastAsia="Calibri" w:hAnsi="Arial" w:cs="Arial"/>
          <w:color w:val="000000" w:themeColor="text1"/>
          <w:sz w:val="22"/>
          <w:lang w:val="es-ES_tradnl"/>
        </w:rPr>
        <w:t xml:space="preserve"> </w:t>
      </w:r>
      <w:r w:rsidR="001640BC" w:rsidRPr="00F8515B">
        <w:rPr>
          <w:rFonts w:ascii="Arial" w:eastAsia="Calibri" w:hAnsi="Arial" w:cs="Arial"/>
          <w:color w:val="000000" w:themeColor="text1"/>
          <w:sz w:val="22"/>
          <w:lang w:val="es-ES_tradnl"/>
        </w:rPr>
        <w:t>doctor</w:t>
      </w:r>
      <w:r w:rsidR="00152B00" w:rsidRPr="00F8515B">
        <w:rPr>
          <w:rFonts w:ascii="Arial" w:eastAsia="Calibri" w:hAnsi="Arial" w:cs="Arial"/>
          <w:color w:val="000000" w:themeColor="text1"/>
          <w:sz w:val="22"/>
          <w:lang w:val="es-ES_tradnl"/>
        </w:rPr>
        <w:t>a</w:t>
      </w:r>
      <w:r w:rsidR="001640BC" w:rsidRPr="00F8515B">
        <w:rPr>
          <w:rFonts w:ascii="Arial" w:eastAsia="Calibri" w:hAnsi="Arial" w:cs="Arial"/>
          <w:color w:val="000000" w:themeColor="text1"/>
          <w:sz w:val="22"/>
          <w:lang w:val="es-ES_tradnl"/>
        </w:rPr>
        <w:t xml:space="preserve"> </w:t>
      </w:r>
      <w:r w:rsidR="00152B00" w:rsidRPr="00F8515B">
        <w:rPr>
          <w:rFonts w:ascii="Arial" w:eastAsia="Calibri" w:hAnsi="Arial" w:cs="Arial"/>
          <w:color w:val="000000" w:themeColor="text1"/>
          <w:sz w:val="22"/>
          <w:lang w:val="es-ES_tradnl"/>
        </w:rPr>
        <w:t>Giraldo</w:t>
      </w:r>
      <w:r w:rsidRPr="00F8515B">
        <w:rPr>
          <w:rFonts w:ascii="Arial" w:eastAsia="Calibri" w:hAnsi="Arial" w:cs="Arial"/>
          <w:color w:val="000000" w:themeColor="text1"/>
          <w:sz w:val="22"/>
          <w:lang w:val="es-ES_tradnl"/>
        </w:rPr>
        <w:t>:</w:t>
      </w:r>
    </w:p>
    <w:p w14:paraId="19436ABB" w14:textId="77777777" w:rsidR="00990612" w:rsidRPr="00F8515B" w:rsidRDefault="00990612" w:rsidP="00E7700C">
      <w:pPr>
        <w:spacing w:after="0"/>
        <w:ind w:firstLine="709"/>
        <w:rPr>
          <w:rFonts w:ascii="Arial" w:eastAsia="Calibri" w:hAnsi="Arial" w:cs="Arial"/>
          <w:color w:val="000000" w:themeColor="text1"/>
          <w:sz w:val="22"/>
          <w:lang w:val="es-ES_tradnl"/>
        </w:rPr>
      </w:pPr>
    </w:p>
    <w:p w14:paraId="4A62508A" w14:textId="24E94985" w:rsidR="00990612" w:rsidRPr="00F8515B" w:rsidRDefault="00990612" w:rsidP="00E7700C">
      <w:pPr>
        <w:spacing w:after="0"/>
        <w:ind w:right="51"/>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E7503A" w:rsidRPr="00F8515B">
        <w:rPr>
          <w:rFonts w:ascii="Arial" w:eastAsia="Calibri" w:hAnsi="Arial" w:cs="Arial"/>
          <w:color w:val="000000" w:themeColor="text1"/>
          <w:sz w:val="22"/>
          <w:lang w:val="es-ES_tradnl"/>
        </w:rPr>
        <w:t xml:space="preserve"> responde</w:t>
      </w:r>
      <w:r w:rsidRPr="00F8515B">
        <w:rPr>
          <w:rFonts w:ascii="Arial" w:eastAsia="Calibri" w:hAnsi="Arial" w:cs="Arial"/>
          <w:color w:val="000000" w:themeColor="text1"/>
          <w:sz w:val="22"/>
          <w:lang w:val="es-ES_tradnl"/>
        </w:rPr>
        <w:t xml:space="preserve"> la consulta </w:t>
      </w:r>
      <w:r w:rsidR="00FE65B4" w:rsidRPr="00F8515B">
        <w:rPr>
          <w:rFonts w:ascii="Arial" w:eastAsia="Calibri" w:hAnsi="Arial" w:cs="Arial"/>
          <w:color w:val="000000" w:themeColor="text1"/>
          <w:sz w:val="22"/>
          <w:lang w:val="es-ES_tradnl"/>
        </w:rPr>
        <w:t xml:space="preserve">radicada </w:t>
      </w:r>
      <w:r w:rsidRPr="00F8515B">
        <w:rPr>
          <w:rFonts w:ascii="Arial" w:eastAsia="Calibri" w:hAnsi="Arial" w:cs="Arial"/>
          <w:color w:val="000000" w:themeColor="text1"/>
          <w:sz w:val="22"/>
          <w:lang w:val="es-ES_tradnl"/>
        </w:rPr>
        <w:t xml:space="preserve">el </w:t>
      </w:r>
      <w:r w:rsidR="001640BC" w:rsidRPr="00F8515B">
        <w:rPr>
          <w:rFonts w:ascii="Arial" w:eastAsia="Calibri" w:hAnsi="Arial" w:cs="Arial"/>
          <w:color w:val="000000" w:themeColor="text1"/>
          <w:sz w:val="22"/>
          <w:lang w:val="es-ES_tradnl"/>
        </w:rPr>
        <w:t>2</w:t>
      </w:r>
      <w:r w:rsidR="00152B00" w:rsidRPr="00F8515B">
        <w:rPr>
          <w:rFonts w:ascii="Arial" w:eastAsia="Calibri" w:hAnsi="Arial" w:cs="Arial"/>
          <w:color w:val="000000" w:themeColor="text1"/>
          <w:sz w:val="22"/>
          <w:lang w:val="es-ES_tradnl"/>
        </w:rPr>
        <w:t>5</w:t>
      </w:r>
      <w:r w:rsidR="00975490" w:rsidRPr="00F8515B">
        <w:rPr>
          <w:rFonts w:ascii="Arial" w:eastAsia="Calibri" w:hAnsi="Arial" w:cs="Arial"/>
          <w:color w:val="000000" w:themeColor="text1"/>
          <w:sz w:val="22"/>
          <w:lang w:val="es-ES_tradnl"/>
        </w:rPr>
        <w:t xml:space="preserve"> de </w:t>
      </w:r>
      <w:r w:rsidR="00152B00" w:rsidRPr="00F8515B">
        <w:rPr>
          <w:rFonts w:ascii="Arial" w:eastAsia="Calibri" w:hAnsi="Arial" w:cs="Arial"/>
          <w:color w:val="000000" w:themeColor="text1"/>
          <w:sz w:val="22"/>
          <w:lang w:val="es-ES_tradnl"/>
        </w:rPr>
        <w:t>enero</w:t>
      </w:r>
      <w:r w:rsidR="00E3568A" w:rsidRPr="00F8515B">
        <w:rPr>
          <w:rFonts w:ascii="Arial" w:eastAsia="Calibri" w:hAnsi="Arial" w:cs="Arial"/>
          <w:color w:val="000000" w:themeColor="text1"/>
          <w:sz w:val="22"/>
          <w:lang w:val="es-ES_tradnl"/>
        </w:rPr>
        <w:t xml:space="preserve"> </w:t>
      </w:r>
      <w:r w:rsidRPr="00F8515B">
        <w:rPr>
          <w:rFonts w:ascii="Arial" w:eastAsia="Calibri" w:hAnsi="Arial" w:cs="Arial"/>
          <w:color w:val="000000" w:themeColor="text1"/>
          <w:sz w:val="22"/>
          <w:lang w:val="es-ES_tradnl"/>
        </w:rPr>
        <w:t>de 202</w:t>
      </w:r>
      <w:r w:rsidR="00152B00" w:rsidRPr="00F8515B">
        <w:rPr>
          <w:rFonts w:ascii="Arial" w:eastAsia="Calibri" w:hAnsi="Arial" w:cs="Arial"/>
          <w:color w:val="000000" w:themeColor="text1"/>
          <w:sz w:val="22"/>
          <w:lang w:val="es-ES_tradnl"/>
        </w:rPr>
        <w:t>2</w:t>
      </w:r>
      <w:r w:rsidRPr="00F8515B">
        <w:rPr>
          <w:rFonts w:ascii="Arial" w:eastAsia="Calibri" w:hAnsi="Arial" w:cs="Arial"/>
          <w:color w:val="000000" w:themeColor="text1"/>
          <w:sz w:val="22"/>
          <w:lang w:val="es-ES_tradnl"/>
        </w:rPr>
        <w:t xml:space="preserve">. </w:t>
      </w:r>
    </w:p>
    <w:p w14:paraId="6512D341" w14:textId="77777777" w:rsidR="00303D47" w:rsidRPr="00F8515B" w:rsidRDefault="00303D47" w:rsidP="00E7700C">
      <w:pPr>
        <w:spacing w:after="0"/>
        <w:rPr>
          <w:rFonts w:ascii="Arial" w:eastAsia="Calibri" w:hAnsi="Arial" w:cs="Arial"/>
          <w:color w:val="000000" w:themeColor="text1"/>
          <w:sz w:val="22"/>
          <w:lang w:val="es-ES_tradnl"/>
        </w:rPr>
      </w:pPr>
    </w:p>
    <w:p w14:paraId="3B0D1063" w14:textId="4937E09D" w:rsidR="005A114C" w:rsidRPr="00F8515B" w:rsidRDefault="002B72C0" w:rsidP="00E7700C">
      <w:pPr>
        <w:tabs>
          <w:tab w:val="left" w:pos="284"/>
        </w:tabs>
        <w:spacing w:after="0"/>
        <w:rPr>
          <w:rFonts w:ascii="Arial" w:eastAsia="Calibri" w:hAnsi="Arial" w:cs="Arial"/>
          <w:b/>
          <w:color w:val="000000" w:themeColor="text1"/>
          <w:sz w:val="22"/>
          <w:lang w:val="es-ES_tradnl"/>
        </w:rPr>
      </w:pPr>
      <w:r w:rsidRPr="00F8515B">
        <w:rPr>
          <w:rFonts w:ascii="Arial" w:eastAsia="Calibri" w:hAnsi="Arial" w:cs="Arial"/>
          <w:b/>
          <w:color w:val="000000" w:themeColor="text1"/>
          <w:sz w:val="22"/>
          <w:lang w:val="es-ES_tradnl"/>
        </w:rPr>
        <w:t xml:space="preserve">1. </w:t>
      </w:r>
      <w:r w:rsidR="00990612" w:rsidRPr="00F8515B">
        <w:rPr>
          <w:rFonts w:ascii="Arial" w:eastAsia="Calibri" w:hAnsi="Arial" w:cs="Arial"/>
          <w:b/>
          <w:color w:val="000000" w:themeColor="text1"/>
          <w:sz w:val="22"/>
          <w:lang w:val="es-ES_tradnl"/>
        </w:rPr>
        <w:t>Problema</w:t>
      </w:r>
      <w:r w:rsidR="004652E5" w:rsidRPr="00F8515B">
        <w:rPr>
          <w:rFonts w:ascii="Arial" w:eastAsia="Calibri" w:hAnsi="Arial" w:cs="Arial"/>
          <w:b/>
          <w:color w:val="000000" w:themeColor="text1"/>
          <w:sz w:val="22"/>
          <w:lang w:val="es-ES_tradnl"/>
        </w:rPr>
        <w:t>s</w:t>
      </w:r>
      <w:r w:rsidR="00990612" w:rsidRPr="00F8515B">
        <w:rPr>
          <w:rFonts w:ascii="Arial" w:eastAsia="Calibri" w:hAnsi="Arial" w:cs="Arial"/>
          <w:b/>
          <w:color w:val="000000" w:themeColor="text1"/>
          <w:sz w:val="22"/>
          <w:lang w:val="es-ES_tradnl"/>
        </w:rPr>
        <w:t xml:space="preserve"> planteado</w:t>
      </w:r>
      <w:r w:rsidR="004652E5" w:rsidRPr="00F8515B">
        <w:rPr>
          <w:rFonts w:ascii="Arial" w:eastAsia="Calibri" w:hAnsi="Arial" w:cs="Arial"/>
          <w:b/>
          <w:color w:val="000000" w:themeColor="text1"/>
          <w:sz w:val="22"/>
          <w:lang w:val="es-ES_tradnl"/>
        </w:rPr>
        <w:t>s</w:t>
      </w:r>
      <w:r w:rsidR="00990612" w:rsidRPr="00F8515B">
        <w:rPr>
          <w:rFonts w:ascii="Arial" w:eastAsia="Calibri" w:hAnsi="Arial" w:cs="Arial"/>
          <w:b/>
          <w:color w:val="000000" w:themeColor="text1"/>
          <w:sz w:val="22"/>
          <w:lang w:val="es-ES_tradnl"/>
        </w:rPr>
        <w:t xml:space="preserve"> </w:t>
      </w:r>
    </w:p>
    <w:p w14:paraId="2FBDB7F6" w14:textId="77777777" w:rsidR="005A114C" w:rsidRPr="00F8515B" w:rsidRDefault="005A114C" w:rsidP="00E7700C">
      <w:pPr>
        <w:pStyle w:val="Prrafodelista"/>
        <w:tabs>
          <w:tab w:val="left" w:pos="284"/>
        </w:tabs>
        <w:spacing w:after="0"/>
        <w:ind w:left="0" w:firstLine="709"/>
        <w:rPr>
          <w:rFonts w:ascii="Arial" w:eastAsia="Calibri" w:hAnsi="Arial" w:cs="Arial"/>
          <w:b/>
          <w:color w:val="000000" w:themeColor="text1"/>
          <w:sz w:val="22"/>
          <w:lang w:val="es-ES_tradnl"/>
        </w:rPr>
      </w:pPr>
    </w:p>
    <w:p w14:paraId="0340A3A7" w14:textId="4380C006" w:rsidR="009F3C99" w:rsidRPr="00F8515B" w:rsidRDefault="00152B00" w:rsidP="00174F50">
      <w:pPr>
        <w:pStyle w:val="NormalWeb"/>
        <w:spacing w:after="0"/>
        <w:rPr>
          <w:rFonts w:ascii="Arial" w:hAnsi="Arial" w:cs="Arial"/>
          <w:color w:val="000000" w:themeColor="text1"/>
          <w:sz w:val="22"/>
          <w:szCs w:val="22"/>
          <w:shd w:val="clear" w:color="auto" w:fill="FFFFFF"/>
          <w:lang w:val="es-ES_tradnl"/>
        </w:rPr>
      </w:pPr>
      <w:bookmarkStart w:id="8" w:name="_Hlk58917991"/>
      <w:bookmarkStart w:id="9" w:name="_Hlk56103000"/>
      <w:r w:rsidRPr="00F8515B">
        <w:rPr>
          <w:rFonts w:ascii="Arial" w:hAnsi="Arial" w:cs="Arial"/>
          <w:color w:val="000000" w:themeColor="text1"/>
          <w:sz w:val="22"/>
          <w:lang w:val="es-ES_tradnl"/>
        </w:rPr>
        <w:t>Con relación a los convenios asociativos de vivienda dispuestos en el artículo 77 de la Ley 9 de 1989, adicionada por el artículo 138 de la Ley 388 de 1997</w:t>
      </w:r>
      <w:r w:rsidR="00D84F1E" w:rsidRPr="00F8515B">
        <w:rPr>
          <w:rFonts w:ascii="Arial" w:hAnsi="Arial" w:cs="Arial"/>
          <w:color w:val="000000" w:themeColor="text1"/>
          <w:sz w:val="22"/>
          <w:lang w:val="es-ES_tradnl"/>
        </w:rPr>
        <w:t xml:space="preserve">, </w:t>
      </w:r>
      <w:r w:rsidR="004652E5" w:rsidRPr="00F8515B">
        <w:rPr>
          <w:rFonts w:ascii="Arial" w:hAnsi="Arial" w:cs="Arial"/>
          <w:color w:val="000000" w:themeColor="text1"/>
          <w:sz w:val="22"/>
          <w:lang w:val="es-ES_tradnl"/>
        </w:rPr>
        <w:t>u</w:t>
      </w:r>
      <w:r w:rsidR="00F6156F" w:rsidRPr="00F8515B">
        <w:rPr>
          <w:rFonts w:ascii="Arial" w:hAnsi="Arial" w:cs="Arial"/>
          <w:color w:val="000000" w:themeColor="text1"/>
          <w:sz w:val="22"/>
          <w:lang w:val="es-ES_tradnl"/>
        </w:rPr>
        <w:t xml:space="preserve">sted </w:t>
      </w:r>
      <w:r w:rsidR="00633633" w:rsidRPr="00F8515B">
        <w:rPr>
          <w:rFonts w:ascii="Arial" w:hAnsi="Arial" w:cs="Arial"/>
          <w:color w:val="000000" w:themeColor="text1"/>
          <w:sz w:val="22"/>
          <w:szCs w:val="22"/>
          <w:shd w:val="clear" w:color="auto" w:fill="FFFFFF"/>
          <w:lang w:val="es-ES_tradnl"/>
        </w:rPr>
        <w:t xml:space="preserve">realiza </w:t>
      </w:r>
      <w:r w:rsidR="00F6156F" w:rsidRPr="00F8515B">
        <w:rPr>
          <w:rFonts w:ascii="Arial" w:hAnsi="Arial" w:cs="Arial"/>
          <w:color w:val="000000" w:themeColor="text1"/>
          <w:sz w:val="22"/>
          <w:szCs w:val="22"/>
          <w:shd w:val="clear" w:color="auto" w:fill="FFFFFF"/>
          <w:lang w:val="es-ES_tradnl"/>
        </w:rPr>
        <w:t>l</w:t>
      </w:r>
      <w:r w:rsidR="00310422" w:rsidRPr="00F8515B">
        <w:rPr>
          <w:rFonts w:ascii="Arial" w:hAnsi="Arial" w:cs="Arial"/>
          <w:color w:val="000000" w:themeColor="text1"/>
          <w:sz w:val="22"/>
          <w:szCs w:val="22"/>
          <w:shd w:val="clear" w:color="auto" w:fill="FFFFFF"/>
          <w:lang w:val="es-ES_tradnl"/>
        </w:rPr>
        <w:t>a</w:t>
      </w:r>
      <w:r w:rsidR="004652E5" w:rsidRPr="00F8515B">
        <w:rPr>
          <w:rFonts w:ascii="Arial" w:hAnsi="Arial" w:cs="Arial"/>
          <w:color w:val="000000" w:themeColor="text1"/>
          <w:sz w:val="22"/>
          <w:szCs w:val="22"/>
          <w:shd w:val="clear" w:color="auto" w:fill="FFFFFF"/>
          <w:lang w:val="es-ES_tradnl"/>
        </w:rPr>
        <w:t>s</w:t>
      </w:r>
      <w:r w:rsidR="00F6156F" w:rsidRPr="00F8515B">
        <w:rPr>
          <w:rFonts w:ascii="Arial" w:hAnsi="Arial" w:cs="Arial"/>
          <w:color w:val="000000" w:themeColor="text1"/>
          <w:sz w:val="22"/>
          <w:szCs w:val="22"/>
          <w:shd w:val="clear" w:color="auto" w:fill="FFFFFF"/>
          <w:lang w:val="es-ES_tradnl"/>
        </w:rPr>
        <w:t xml:space="preserve"> siguiente</w:t>
      </w:r>
      <w:r w:rsidR="004652E5" w:rsidRPr="00F8515B">
        <w:rPr>
          <w:rFonts w:ascii="Arial" w:hAnsi="Arial" w:cs="Arial"/>
          <w:color w:val="000000" w:themeColor="text1"/>
          <w:sz w:val="22"/>
          <w:szCs w:val="22"/>
          <w:shd w:val="clear" w:color="auto" w:fill="FFFFFF"/>
          <w:lang w:val="es-ES_tradnl"/>
        </w:rPr>
        <w:t>s</w:t>
      </w:r>
      <w:r w:rsidR="00F6156F" w:rsidRPr="00F8515B">
        <w:rPr>
          <w:rFonts w:ascii="Arial" w:hAnsi="Arial" w:cs="Arial"/>
          <w:color w:val="000000" w:themeColor="text1"/>
          <w:sz w:val="22"/>
          <w:szCs w:val="22"/>
          <w:shd w:val="clear" w:color="auto" w:fill="FFFFFF"/>
          <w:lang w:val="es-ES_tradnl"/>
        </w:rPr>
        <w:t xml:space="preserve"> </w:t>
      </w:r>
      <w:r w:rsidR="00310422" w:rsidRPr="00F8515B">
        <w:rPr>
          <w:rFonts w:ascii="Arial" w:hAnsi="Arial" w:cs="Arial"/>
          <w:color w:val="000000" w:themeColor="text1"/>
          <w:sz w:val="22"/>
          <w:szCs w:val="22"/>
          <w:shd w:val="clear" w:color="auto" w:fill="FFFFFF"/>
          <w:lang w:val="es-ES_tradnl"/>
        </w:rPr>
        <w:t>pregunta</w:t>
      </w:r>
      <w:r w:rsidR="004652E5" w:rsidRPr="00F8515B">
        <w:rPr>
          <w:rFonts w:ascii="Arial" w:hAnsi="Arial" w:cs="Arial"/>
          <w:color w:val="000000" w:themeColor="text1"/>
          <w:sz w:val="22"/>
          <w:szCs w:val="22"/>
          <w:shd w:val="clear" w:color="auto" w:fill="FFFFFF"/>
          <w:lang w:val="es-ES_tradnl"/>
        </w:rPr>
        <w:t>s</w:t>
      </w:r>
      <w:r w:rsidR="00F6156F" w:rsidRPr="00F8515B">
        <w:rPr>
          <w:rFonts w:ascii="Arial" w:hAnsi="Arial" w:cs="Arial"/>
          <w:color w:val="000000" w:themeColor="text1"/>
          <w:sz w:val="22"/>
          <w:szCs w:val="22"/>
          <w:shd w:val="clear" w:color="auto" w:fill="FFFFFF"/>
          <w:lang w:val="es-ES_tradnl"/>
        </w:rPr>
        <w:t>:</w:t>
      </w:r>
      <w:r w:rsidR="00E11FC1" w:rsidRPr="00F8515B">
        <w:rPr>
          <w:rFonts w:ascii="Arial" w:hAnsi="Arial" w:cs="Arial"/>
          <w:color w:val="000000" w:themeColor="text1"/>
          <w:sz w:val="22"/>
          <w:szCs w:val="22"/>
          <w:shd w:val="clear" w:color="auto" w:fill="FFFFFF"/>
          <w:lang w:val="es-ES_tradnl"/>
        </w:rPr>
        <w:t xml:space="preserve"> </w:t>
      </w:r>
      <w:r w:rsidR="004652E5" w:rsidRPr="00F8515B">
        <w:rPr>
          <w:rFonts w:ascii="Arial" w:hAnsi="Arial" w:cs="Arial"/>
          <w:color w:val="000000" w:themeColor="text1"/>
          <w:sz w:val="22"/>
          <w:szCs w:val="22"/>
          <w:shd w:val="clear" w:color="auto" w:fill="FFFFFF"/>
          <w:lang w:val="es-ES_tradnl"/>
        </w:rPr>
        <w:t xml:space="preserve">i) </w:t>
      </w:r>
      <w:r w:rsidR="00174F50" w:rsidRPr="00F8515B">
        <w:rPr>
          <w:rFonts w:ascii="Arial" w:hAnsi="Arial" w:cs="Arial"/>
          <w:color w:val="000000" w:themeColor="text1"/>
          <w:sz w:val="22"/>
          <w:szCs w:val="22"/>
          <w:shd w:val="clear" w:color="auto" w:fill="FFFFFF"/>
          <w:lang w:val="es-ES_tradnl"/>
        </w:rPr>
        <w:t>«[…] 1.  </w:t>
      </w:r>
      <w:proofErr w:type="gramStart"/>
      <w:r w:rsidR="00174F50" w:rsidRPr="00F8515B">
        <w:rPr>
          <w:rFonts w:ascii="Arial" w:hAnsi="Arial" w:cs="Arial"/>
          <w:color w:val="000000" w:themeColor="text1"/>
          <w:sz w:val="22"/>
          <w:szCs w:val="22"/>
          <w:shd w:val="clear" w:color="auto" w:fill="FFFFFF"/>
          <w:lang w:val="es-ES_tradnl"/>
        </w:rPr>
        <w:t>Afecta la vigencia de la Ley de Garantías la celebración de un Convenio Asociativo de Vivienda en este momento?</w:t>
      </w:r>
      <w:proofErr w:type="gramEnd"/>
      <w:r w:rsidR="00174F50" w:rsidRPr="00F8515B">
        <w:rPr>
          <w:rFonts w:ascii="Arial" w:hAnsi="Arial" w:cs="Arial"/>
          <w:color w:val="000000" w:themeColor="text1"/>
          <w:sz w:val="22"/>
          <w:szCs w:val="22"/>
          <w:shd w:val="clear" w:color="auto" w:fill="FFFFFF"/>
          <w:lang w:val="es-ES_tradnl"/>
        </w:rPr>
        <w:t xml:space="preserve">» y ii) «2. </w:t>
      </w:r>
      <w:proofErr w:type="gramStart"/>
      <w:r w:rsidR="00174F50" w:rsidRPr="00F8515B">
        <w:rPr>
          <w:rFonts w:ascii="Arial" w:hAnsi="Arial" w:cs="Arial"/>
          <w:color w:val="000000" w:themeColor="text1"/>
          <w:sz w:val="22"/>
          <w:szCs w:val="22"/>
          <w:shd w:val="clear" w:color="auto" w:fill="FFFFFF"/>
          <w:lang w:val="es-ES_tradnl"/>
        </w:rPr>
        <w:t>De celebrarse el Convenio Asociativo con un privado, es condición sine qua non que se celebre con una entidad sin ánimo de lucro?</w:t>
      </w:r>
      <w:proofErr w:type="gramEnd"/>
      <w:r w:rsidR="00174F50" w:rsidRPr="00F8515B">
        <w:rPr>
          <w:rFonts w:ascii="Arial" w:hAnsi="Arial" w:cs="Arial"/>
          <w:color w:val="000000" w:themeColor="text1"/>
          <w:sz w:val="22"/>
          <w:szCs w:val="22"/>
          <w:shd w:val="clear" w:color="auto" w:fill="FFFFFF"/>
          <w:lang w:val="es-ES_tradnl"/>
        </w:rPr>
        <w:t>»</w:t>
      </w:r>
    </w:p>
    <w:bookmarkEnd w:id="8"/>
    <w:bookmarkEnd w:id="9"/>
    <w:p w14:paraId="509ED1DE" w14:textId="5430079E" w:rsidR="005027F0" w:rsidRPr="00F8515B" w:rsidRDefault="002B72C0" w:rsidP="00E7700C">
      <w:pPr>
        <w:tabs>
          <w:tab w:val="left" w:pos="284"/>
        </w:tabs>
        <w:spacing w:after="0"/>
        <w:rPr>
          <w:rFonts w:ascii="Arial" w:eastAsia="Calibri" w:hAnsi="Arial" w:cs="Arial"/>
          <w:b/>
          <w:color w:val="000000" w:themeColor="text1"/>
          <w:sz w:val="22"/>
          <w:lang w:val="es-ES_tradnl"/>
        </w:rPr>
      </w:pPr>
      <w:r w:rsidRPr="00F8515B">
        <w:rPr>
          <w:rFonts w:ascii="Arial" w:eastAsia="Calibri" w:hAnsi="Arial" w:cs="Arial"/>
          <w:b/>
          <w:color w:val="000000" w:themeColor="text1"/>
          <w:sz w:val="22"/>
          <w:lang w:val="es-ES_tradnl"/>
        </w:rPr>
        <w:t xml:space="preserve">2. </w:t>
      </w:r>
      <w:r w:rsidR="00990612" w:rsidRPr="00F8515B">
        <w:rPr>
          <w:rFonts w:ascii="Arial" w:eastAsia="Calibri" w:hAnsi="Arial" w:cs="Arial"/>
          <w:b/>
          <w:color w:val="000000" w:themeColor="text1"/>
          <w:sz w:val="22"/>
          <w:lang w:val="es-ES_tradnl"/>
        </w:rPr>
        <w:t>Consideraciones</w:t>
      </w:r>
    </w:p>
    <w:p w14:paraId="33526695" w14:textId="77777777" w:rsidR="005027F0" w:rsidRPr="00F8515B" w:rsidRDefault="005027F0" w:rsidP="00E7700C">
      <w:pPr>
        <w:tabs>
          <w:tab w:val="left" w:pos="426"/>
        </w:tabs>
        <w:spacing w:after="0"/>
        <w:ind w:firstLine="709"/>
        <w:rPr>
          <w:rFonts w:ascii="Arial" w:eastAsia="Calibri" w:hAnsi="Arial" w:cs="Arial"/>
          <w:bCs/>
          <w:color w:val="000000" w:themeColor="text1"/>
          <w:sz w:val="22"/>
          <w:lang w:val="es-ES_tradnl"/>
        </w:rPr>
      </w:pPr>
    </w:p>
    <w:p w14:paraId="50688079" w14:textId="4FEA96C4" w:rsidR="001C5292" w:rsidRPr="00F8515B" w:rsidRDefault="00563DEE" w:rsidP="00E7700C">
      <w:pPr>
        <w:spacing w:after="120"/>
        <w:rPr>
          <w:rFonts w:ascii="Arial" w:hAnsi="Arial" w:cs="Arial"/>
          <w:bCs/>
          <w:color w:val="000000" w:themeColor="text1"/>
          <w:sz w:val="22"/>
          <w:lang w:val="es-ES_tradnl"/>
        </w:rPr>
      </w:pPr>
      <w:r w:rsidRPr="00F8515B">
        <w:rPr>
          <w:rFonts w:ascii="Arial" w:eastAsia="Times New Roman" w:hAnsi="Arial" w:cs="Arial"/>
          <w:color w:val="000000" w:themeColor="text1"/>
          <w:sz w:val="22"/>
          <w:lang w:val="es-ES_tradnl" w:eastAsia="es-ES_tradnl"/>
        </w:rPr>
        <w:t>Se advierte</w:t>
      </w:r>
      <w:r w:rsidR="0020536A" w:rsidRPr="00F8515B">
        <w:rPr>
          <w:rFonts w:ascii="Arial" w:eastAsia="Times New Roman" w:hAnsi="Arial" w:cs="Arial"/>
          <w:color w:val="000000" w:themeColor="text1"/>
          <w:sz w:val="22"/>
          <w:lang w:val="es-ES_tradnl" w:eastAsia="es-ES_tradnl"/>
        </w:rPr>
        <w:t xml:space="preserve"> que</w:t>
      </w:r>
      <w:r w:rsidR="00C87DE6" w:rsidRPr="00F8515B">
        <w:rPr>
          <w:rFonts w:ascii="Arial" w:eastAsia="Times New Roman" w:hAnsi="Arial" w:cs="Arial"/>
          <w:color w:val="000000" w:themeColor="text1"/>
          <w:sz w:val="22"/>
          <w:lang w:val="es-ES_tradnl" w:eastAsia="es-ES_tradnl"/>
        </w:rPr>
        <w:t>,</w:t>
      </w:r>
      <w:r w:rsidR="0020536A" w:rsidRPr="00F8515B">
        <w:rPr>
          <w:rFonts w:ascii="Arial" w:eastAsia="Times New Roman" w:hAnsi="Arial" w:cs="Arial"/>
          <w:color w:val="000000" w:themeColor="text1"/>
          <w:sz w:val="22"/>
          <w:lang w:val="es-ES_tradnl" w:eastAsia="es-ES_tradnl"/>
        </w:rPr>
        <w:t xml:space="preserve"> al momento de expedirse </w:t>
      </w:r>
      <w:r w:rsidRPr="00F8515B">
        <w:rPr>
          <w:rFonts w:ascii="Arial" w:eastAsia="Times New Roman" w:hAnsi="Arial" w:cs="Arial"/>
          <w:color w:val="000000" w:themeColor="text1"/>
          <w:sz w:val="22"/>
          <w:lang w:val="es-ES_tradnl" w:eastAsia="es-ES_tradnl"/>
        </w:rPr>
        <w:t>este</w:t>
      </w:r>
      <w:r w:rsidR="0020536A" w:rsidRPr="00F8515B">
        <w:rPr>
          <w:rFonts w:ascii="Arial" w:eastAsia="Times New Roman" w:hAnsi="Arial" w:cs="Arial"/>
          <w:color w:val="000000" w:themeColor="text1"/>
          <w:sz w:val="22"/>
          <w:lang w:val="es-ES_tradnl" w:eastAsia="es-ES_tradnl"/>
        </w:rPr>
        <w:t xml:space="preserve"> concepto, ya ha sido sancionad</w:t>
      </w:r>
      <w:r w:rsidR="001C5292" w:rsidRPr="00F8515B">
        <w:rPr>
          <w:rFonts w:ascii="Arial" w:eastAsia="Times New Roman" w:hAnsi="Arial" w:cs="Arial"/>
          <w:color w:val="000000" w:themeColor="text1"/>
          <w:sz w:val="22"/>
          <w:lang w:val="es-ES_tradnl" w:eastAsia="es-ES_tradnl"/>
        </w:rPr>
        <w:t>a</w:t>
      </w:r>
      <w:r w:rsidR="0020536A" w:rsidRPr="00F8515B">
        <w:rPr>
          <w:rFonts w:ascii="Arial" w:eastAsia="Times New Roman" w:hAnsi="Arial" w:cs="Arial"/>
          <w:color w:val="000000" w:themeColor="text1"/>
          <w:sz w:val="22"/>
          <w:lang w:val="es-ES_tradnl" w:eastAsia="es-ES_tradnl"/>
        </w:rPr>
        <w:t xml:space="preserve"> la Ley 2159 de 2021, por medio de la cual se decreta el presupuesto de rentas y recursos de capital y ley de apropiaciones para la vigencia fiscal del 1 de enero al 31 de diciembre de 2022. </w:t>
      </w:r>
      <w:r w:rsidR="001C5292" w:rsidRPr="00F8515B">
        <w:rPr>
          <w:rFonts w:ascii="Arial" w:eastAsia="Times New Roman" w:hAnsi="Arial" w:cs="Arial"/>
          <w:color w:val="000000" w:themeColor="text1"/>
          <w:sz w:val="22"/>
          <w:lang w:val="es-ES_tradnl" w:eastAsia="es-ES_tradnl"/>
        </w:rPr>
        <w:t xml:space="preserve">Respecto al artículo 124 de la mencionada ley, </w:t>
      </w:r>
      <w:r w:rsidR="0099113C" w:rsidRPr="00F8515B">
        <w:rPr>
          <w:rFonts w:ascii="Arial" w:eastAsia="Times New Roman" w:hAnsi="Arial" w:cs="Arial"/>
          <w:color w:val="000000" w:themeColor="text1"/>
          <w:sz w:val="22"/>
          <w:lang w:val="es-ES_tradnl" w:eastAsia="es-ES_tradnl"/>
        </w:rPr>
        <w:t xml:space="preserve">a través del </w:t>
      </w:r>
      <w:r w:rsidR="0099113C" w:rsidRPr="00F8515B">
        <w:rPr>
          <w:rFonts w:ascii="Arial" w:hAnsi="Arial" w:cs="Arial"/>
          <w:bCs/>
          <w:color w:val="000000" w:themeColor="text1"/>
          <w:sz w:val="22"/>
          <w:lang w:val="es-ES_tradnl"/>
        </w:rPr>
        <w:t>fallo de tutela proferido el 09 de noviembre de 2021, dentro del proceso nro. 2021-000354</w:t>
      </w:r>
      <w:r w:rsidR="00033E68" w:rsidRPr="00F8515B">
        <w:rPr>
          <w:rFonts w:ascii="Arial" w:hAnsi="Arial" w:cs="Arial"/>
          <w:bCs/>
          <w:color w:val="000000" w:themeColor="text1"/>
          <w:sz w:val="22"/>
          <w:lang w:val="es-ES_tradnl"/>
        </w:rPr>
        <w:t>,</w:t>
      </w:r>
      <w:r w:rsidR="0099113C" w:rsidRPr="00F8515B">
        <w:rPr>
          <w:rFonts w:ascii="Arial" w:hAnsi="Arial" w:cs="Arial"/>
          <w:bCs/>
          <w:color w:val="000000" w:themeColor="text1"/>
          <w:sz w:val="22"/>
          <w:lang w:val="es-ES_tradnl"/>
        </w:rPr>
        <w:t xml:space="preserve"> el Juzgado Tercero Administrativo de Bogotá</w:t>
      </w:r>
      <w:r w:rsidR="001C775D" w:rsidRPr="00F8515B">
        <w:rPr>
          <w:rFonts w:ascii="Arial" w:hAnsi="Arial" w:cs="Arial"/>
          <w:bCs/>
          <w:color w:val="000000" w:themeColor="text1"/>
          <w:sz w:val="22"/>
          <w:lang w:val="es-ES_tradnl"/>
        </w:rPr>
        <w:t xml:space="preserve"> ordenó «[…] </w:t>
      </w:r>
      <w:r w:rsidR="00217155" w:rsidRPr="00F8515B">
        <w:rPr>
          <w:rFonts w:ascii="Arial" w:hAnsi="Arial" w:cs="Arial"/>
          <w:bCs/>
          <w:color w:val="000000" w:themeColor="text1"/>
          <w:sz w:val="22"/>
          <w:lang w:val="es-ES_tradnl"/>
        </w:rPr>
        <w:t>al presidente de la república y a los representantes legales de las entidades del orden nacional y del sector descentralizado territorialmente, abstenerse de dar aplicación a la modificación realizada al parágrafo 38 de la Ley 996 de 2005»</w:t>
      </w:r>
      <w:r w:rsidR="00D927D2" w:rsidRPr="00F8515B">
        <w:rPr>
          <w:rFonts w:ascii="Arial" w:hAnsi="Arial" w:cs="Arial"/>
          <w:bCs/>
          <w:color w:val="000000" w:themeColor="text1"/>
          <w:sz w:val="22"/>
          <w:lang w:val="es-ES_tradnl"/>
        </w:rPr>
        <w:t xml:space="preserve">. </w:t>
      </w:r>
    </w:p>
    <w:p w14:paraId="4CFECC73" w14:textId="6C9C9085" w:rsidR="0020536A" w:rsidRPr="00F8515B" w:rsidRDefault="00D927D2" w:rsidP="001C5292">
      <w:pPr>
        <w:spacing w:after="120"/>
        <w:ind w:firstLine="708"/>
        <w:rPr>
          <w:rFonts w:ascii="Arial" w:hAnsi="Arial" w:cs="Arial"/>
          <w:bCs/>
          <w:color w:val="000000" w:themeColor="text1"/>
          <w:sz w:val="22"/>
          <w:lang w:val="es-ES_tradnl"/>
        </w:rPr>
      </w:pPr>
      <w:r w:rsidRPr="00F8515B">
        <w:rPr>
          <w:rFonts w:ascii="Arial" w:hAnsi="Arial" w:cs="Arial"/>
          <w:bCs/>
          <w:color w:val="000000" w:themeColor="text1"/>
          <w:sz w:val="22"/>
          <w:lang w:val="es-ES_tradnl"/>
        </w:rPr>
        <w:t>Sin embargo,</w:t>
      </w:r>
      <w:r w:rsidR="00217155" w:rsidRPr="00F8515B">
        <w:rPr>
          <w:rFonts w:ascii="Arial" w:hAnsi="Arial" w:cs="Arial"/>
          <w:bCs/>
          <w:color w:val="000000" w:themeColor="text1"/>
          <w:sz w:val="22"/>
          <w:lang w:val="es-ES_tradnl"/>
        </w:rPr>
        <w:t xml:space="preserve"> también es necesario tener en cuenta que</w:t>
      </w:r>
      <w:r w:rsidR="00033E68" w:rsidRPr="00F8515B">
        <w:rPr>
          <w:rFonts w:ascii="Arial" w:hAnsi="Arial" w:cs="Arial"/>
          <w:bCs/>
          <w:color w:val="000000" w:themeColor="text1"/>
          <w:sz w:val="22"/>
          <w:lang w:val="es-ES_tradnl"/>
        </w:rPr>
        <w:t>,</w:t>
      </w:r>
      <w:r w:rsidR="00D25B15" w:rsidRPr="00F8515B">
        <w:rPr>
          <w:rFonts w:ascii="Arial" w:hAnsi="Arial" w:cs="Arial"/>
          <w:bCs/>
          <w:color w:val="000000" w:themeColor="text1"/>
          <w:sz w:val="22"/>
          <w:lang w:val="es-ES_tradnl"/>
        </w:rPr>
        <w:t xml:space="preserve"> </w:t>
      </w:r>
      <w:r w:rsidR="009A1A94" w:rsidRPr="00F8515B">
        <w:rPr>
          <w:rFonts w:ascii="Arial" w:hAnsi="Arial" w:cs="Arial"/>
          <w:color w:val="000000" w:themeColor="text1"/>
          <w:sz w:val="22"/>
          <w:lang w:val="es-ES_tradnl" w:eastAsia="es-ES_tradnl"/>
        </w:rPr>
        <w:t>a través de decisión del 29 de noviembre de 2021, la Subsección A de la Sección Primera del Tribunal Administrativo de Cundinamarca</w:t>
      </w:r>
      <w:r w:rsidR="00B80D4A" w:rsidRPr="00F8515B">
        <w:rPr>
          <w:rFonts w:ascii="Arial" w:hAnsi="Arial" w:cs="Arial"/>
          <w:color w:val="000000" w:themeColor="text1"/>
          <w:sz w:val="22"/>
          <w:lang w:val="es-ES_tradnl" w:eastAsia="es-ES_tradnl"/>
        </w:rPr>
        <w:t xml:space="preserve"> resolvió declarar «[…] la nulidad de todo lo actuado a partir del auto </w:t>
      </w:r>
      <w:proofErr w:type="spellStart"/>
      <w:r w:rsidR="00B80D4A" w:rsidRPr="00F8515B">
        <w:rPr>
          <w:rFonts w:ascii="Arial" w:hAnsi="Arial" w:cs="Arial"/>
          <w:color w:val="000000" w:themeColor="text1"/>
          <w:sz w:val="22"/>
          <w:lang w:val="es-ES_tradnl" w:eastAsia="es-ES_tradnl"/>
        </w:rPr>
        <w:t>admisorio</w:t>
      </w:r>
      <w:proofErr w:type="spellEnd"/>
      <w:r w:rsidR="00B80D4A" w:rsidRPr="00F8515B">
        <w:rPr>
          <w:rFonts w:ascii="Arial" w:hAnsi="Arial" w:cs="Arial"/>
          <w:color w:val="000000" w:themeColor="text1"/>
          <w:sz w:val="22"/>
          <w:lang w:val="es-ES_tradnl" w:eastAsia="es-ES_tradnl"/>
        </w:rPr>
        <w:t xml:space="preserve"> del veintisiete (27) de octubre de dos mil veintiuno (2021), dictado por el Juzgado Tercero (3o) Administrativo de </w:t>
      </w:r>
      <w:proofErr w:type="spellStart"/>
      <w:r w:rsidR="00B80D4A" w:rsidRPr="00F8515B">
        <w:rPr>
          <w:rFonts w:ascii="Arial" w:hAnsi="Arial" w:cs="Arial"/>
          <w:color w:val="000000" w:themeColor="text1"/>
          <w:sz w:val="22"/>
          <w:lang w:val="es-ES_tradnl" w:eastAsia="es-ES_tradnl"/>
        </w:rPr>
        <w:t>Bogota</w:t>
      </w:r>
      <w:proofErr w:type="spellEnd"/>
      <w:r w:rsidR="00B80D4A" w:rsidRPr="00F8515B">
        <w:rPr>
          <w:rFonts w:ascii="Arial" w:hAnsi="Arial" w:cs="Arial"/>
          <w:color w:val="000000" w:themeColor="text1"/>
          <w:sz w:val="22"/>
          <w:lang w:val="es-ES_tradnl" w:eastAsia="es-ES_tradnl"/>
        </w:rPr>
        <w:t xml:space="preserve">́, en la forma solicitada por el </w:t>
      </w:r>
      <w:proofErr w:type="spellStart"/>
      <w:r w:rsidR="00B80D4A" w:rsidRPr="00F8515B">
        <w:rPr>
          <w:rFonts w:ascii="Arial" w:hAnsi="Arial" w:cs="Arial"/>
          <w:color w:val="000000" w:themeColor="text1"/>
          <w:sz w:val="22"/>
          <w:lang w:val="es-ES_tradnl" w:eastAsia="es-ES_tradnl"/>
        </w:rPr>
        <w:t>señor</w:t>
      </w:r>
      <w:proofErr w:type="spellEnd"/>
      <w:r w:rsidR="00B80D4A" w:rsidRPr="00F8515B">
        <w:rPr>
          <w:rFonts w:ascii="Arial" w:hAnsi="Arial" w:cs="Arial"/>
          <w:color w:val="000000" w:themeColor="text1"/>
          <w:sz w:val="22"/>
          <w:lang w:val="es-ES_tradnl" w:eastAsia="es-ES_tradnl"/>
        </w:rPr>
        <w:t xml:space="preserve"> Secretario </w:t>
      </w:r>
      <w:r w:rsidR="00B63F56" w:rsidRPr="00F8515B">
        <w:rPr>
          <w:rFonts w:ascii="Arial" w:hAnsi="Arial" w:cs="Arial"/>
          <w:color w:val="000000" w:themeColor="text1"/>
          <w:sz w:val="22"/>
          <w:lang w:val="es-ES_tradnl" w:eastAsia="es-ES_tradnl"/>
        </w:rPr>
        <w:t>Jurídico</w:t>
      </w:r>
      <w:r w:rsidR="00B80D4A" w:rsidRPr="00F8515B">
        <w:rPr>
          <w:rFonts w:ascii="Arial" w:hAnsi="Arial" w:cs="Arial"/>
          <w:color w:val="000000" w:themeColor="text1"/>
          <w:sz w:val="22"/>
          <w:lang w:val="es-ES_tradnl" w:eastAsia="es-ES_tradnl"/>
        </w:rPr>
        <w:t xml:space="preserve"> de la Presidencia de la </w:t>
      </w:r>
      <w:proofErr w:type="spellStart"/>
      <w:r w:rsidR="00B80D4A" w:rsidRPr="00F8515B">
        <w:rPr>
          <w:rFonts w:ascii="Arial" w:hAnsi="Arial" w:cs="Arial"/>
          <w:color w:val="000000" w:themeColor="text1"/>
          <w:sz w:val="22"/>
          <w:lang w:val="es-ES_tradnl" w:eastAsia="es-ES_tradnl"/>
        </w:rPr>
        <w:t>República</w:t>
      </w:r>
      <w:proofErr w:type="spellEnd"/>
      <w:r w:rsidR="00B80D4A" w:rsidRPr="00F8515B">
        <w:rPr>
          <w:rFonts w:ascii="Arial" w:hAnsi="Arial" w:cs="Arial"/>
          <w:color w:val="000000" w:themeColor="text1"/>
          <w:sz w:val="22"/>
          <w:lang w:val="es-ES_tradnl" w:eastAsia="es-ES_tradnl"/>
        </w:rPr>
        <w:t>, por las consideraciones expuestas en la parte motiva de esta providencia</w:t>
      </w:r>
      <w:r w:rsidR="000E32F8" w:rsidRPr="00F8515B">
        <w:rPr>
          <w:rFonts w:ascii="Arial" w:hAnsi="Arial" w:cs="Arial"/>
          <w:color w:val="000000" w:themeColor="text1"/>
          <w:sz w:val="22"/>
          <w:lang w:val="es-ES_tradnl" w:eastAsia="es-ES_tradnl"/>
        </w:rPr>
        <w:t>».</w:t>
      </w:r>
      <w:r w:rsidR="00217155" w:rsidRPr="00F8515B">
        <w:rPr>
          <w:rFonts w:ascii="Arial" w:hAnsi="Arial" w:cs="Arial"/>
          <w:bCs/>
          <w:color w:val="000000" w:themeColor="text1"/>
          <w:sz w:val="22"/>
          <w:lang w:val="es-ES_tradnl"/>
        </w:rPr>
        <w:t xml:space="preserve"> </w:t>
      </w:r>
    </w:p>
    <w:p w14:paraId="06C6534F" w14:textId="18A5F5EC" w:rsidR="00E23B36" w:rsidRPr="00F8515B" w:rsidRDefault="0067040F" w:rsidP="00E23B36">
      <w:pPr>
        <w:spacing w:after="120"/>
        <w:rPr>
          <w:rFonts w:ascii="Arial" w:hAnsi="Arial" w:cs="Arial"/>
          <w:bCs/>
          <w:color w:val="000000" w:themeColor="text1"/>
          <w:sz w:val="22"/>
          <w:lang w:val="es-ES_tradnl"/>
        </w:rPr>
      </w:pPr>
      <w:r w:rsidRPr="00F8515B">
        <w:rPr>
          <w:rFonts w:ascii="Arial" w:hAnsi="Arial" w:cs="Arial"/>
          <w:color w:val="000000" w:themeColor="text1"/>
          <w:sz w:val="22"/>
          <w:lang w:val="es-ES_tradnl"/>
        </w:rPr>
        <w:tab/>
      </w:r>
      <w:r w:rsidR="00617066" w:rsidRPr="00F8515B">
        <w:rPr>
          <w:rFonts w:ascii="Arial" w:hAnsi="Arial" w:cs="Arial"/>
          <w:bCs/>
          <w:color w:val="000000" w:themeColor="text1"/>
          <w:sz w:val="22"/>
          <w:lang w:val="es-ES_tradnl"/>
        </w:rPr>
        <w:t>P</w:t>
      </w:r>
      <w:r w:rsidR="00C949D9" w:rsidRPr="00F8515B">
        <w:rPr>
          <w:rFonts w:ascii="Arial" w:hAnsi="Arial" w:cs="Arial"/>
          <w:bCs/>
          <w:color w:val="000000" w:themeColor="text1"/>
          <w:sz w:val="22"/>
          <w:lang w:val="es-ES_tradnl"/>
        </w:rPr>
        <w:t xml:space="preserve">artiendo de la vigencia </w:t>
      </w:r>
      <w:r w:rsidR="00B26EC1" w:rsidRPr="00F8515B">
        <w:rPr>
          <w:rFonts w:ascii="Arial" w:hAnsi="Arial" w:cs="Arial"/>
          <w:bCs/>
          <w:color w:val="000000" w:themeColor="text1"/>
          <w:sz w:val="22"/>
          <w:lang w:val="es-ES_tradnl"/>
        </w:rPr>
        <w:t xml:space="preserve">de la </w:t>
      </w:r>
      <w:r w:rsidR="00617066" w:rsidRPr="00F8515B">
        <w:rPr>
          <w:rFonts w:ascii="Arial" w:hAnsi="Arial" w:cs="Arial"/>
          <w:bCs/>
          <w:color w:val="000000" w:themeColor="text1"/>
          <w:sz w:val="22"/>
          <w:lang w:val="es-ES_tradnl"/>
        </w:rPr>
        <w:t>Ley 2159 de 2021</w:t>
      </w:r>
      <w:r w:rsidR="00B26EC1" w:rsidRPr="00F8515B">
        <w:rPr>
          <w:rFonts w:ascii="Arial" w:hAnsi="Arial" w:cs="Arial"/>
          <w:bCs/>
          <w:color w:val="000000" w:themeColor="text1"/>
          <w:sz w:val="22"/>
          <w:lang w:val="es-ES_tradnl"/>
        </w:rPr>
        <w:t>,</w:t>
      </w:r>
      <w:r w:rsidR="00617066" w:rsidRPr="00F8515B">
        <w:rPr>
          <w:rFonts w:ascii="Arial" w:hAnsi="Arial" w:cs="Arial"/>
          <w:bCs/>
          <w:color w:val="000000" w:themeColor="text1"/>
          <w:sz w:val="22"/>
          <w:lang w:val="es-ES_tradnl"/>
        </w:rPr>
        <w:t xml:space="preserve"> </w:t>
      </w:r>
      <w:r w:rsidR="00E23B36" w:rsidRPr="00F8515B">
        <w:rPr>
          <w:rFonts w:ascii="Arial" w:hAnsi="Arial" w:cs="Arial"/>
          <w:bCs/>
          <w:color w:val="000000" w:themeColor="text1"/>
          <w:sz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176A018" w14:textId="77777777" w:rsidR="00E23B36" w:rsidRPr="00F8515B" w:rsidRDefault="00E23B36" w:rsidP="00E23B36">
      <w:pPr>
        <w:spacing w:after="120"/>
        <w:ind w:firstLine="708"/>
        <w:rPr>
          <w:rFonts w:ascii="Arial" w:hAnsi="Arial" w:cs="Arial"/>
          <w:color w:val="000000" w:themeColor="text1"/>
          <w:sz w:val="22"/>
          <w:lang w:val="es-ES_tradnl"/>
        </w:rPr>
      </w:pPr>
      <w:bookmarkStart w:id="10" w:name="_Hlk61701014"/>
      <w:bookmarkStart w:id="11" w:name="_Hlk62136649"/>
      <w:r w:rsidRPr="00F8515B">
        <w:rPr>
          <w:rFonts w:ascii="Arial" w:hAnsi="Arial" w:cs="Arial"/>
          <w:color w:val="000000" w:themeColor="text1"/>
          <w:sz w:val="22"/>
          <w:lang w:val="es-ES_tradnl"/>
        </w:rPr>
        <w:t xml:space="preserve">Es necesario tener en cuenta que </w:t>
      </w:r>
      <w:bookmarkStart w:id="12" w:name="_Hlk61026958"/>
      <w:r w:rsidRPr="00F8515B">
        <w:rPr>
          <w:rFonts w:ascii="Arial" w:hAnsi="Arial" w:cs="Arial"/>
          <w:color w:val="000000" w:themeColor="text1"/>
          <w:sz w:val="22"/>
          <w:lang w:val="es-ES_tradnl"/>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w:t>
      </w:r>
      <w:r w:rsidRPr="00F8515B">
        <w:rPr>
          <w:rFonts w:ascii="Arial" w:hAnsi="Arial" w:cs="Arial"/>
          <w:color w:val="000000" w:themeColor="text1"/>
          <w:sz w:val="22"/>
          <w:lang w:val="es-ES_tradnl"/>
        </w:rPr>
        <w:lastRenderedPageBreak/>
        <w:t>a Colombia Compra Eficiente como una autoridad para solucionar problemas jurídicos particulares</w:t>
      </w:r>
      <w:r w:rsidRPr="00F8515B">
        <w:rPr>
          <w:rFonts w:ascii="Arial" w:hAnsi="Arial" w:cs="Arial"/>
          <w:bCs/>
          <w:color w:val="000000" w:themeColor="text1"/>
          <w:sz w:val="22"/>
          <w:lang w:val="es-ES_tradnl"/>
        </w:rPr>
        <w:t xml:space="preserve"> de todos los partícipes de la contratación estatal.</w:t>
      </w:r>
    </w:p>
    <w:p w14:paraId="3EE87A82" w14:textId="7A7F529B" w:rsidR="00E23B36" w:rsidRPr="00F8515B" w:rsidRDefault="00E23B36" w:rsidP="00E23B36">
      <w:pPr>
        <w:spacing w:after="120"/>
        <w:ind w:firstLine="708"/>
        <w:rPr>
          <w:rFonts w:ascii="Arial" w:hAnsi="Arial" w:cs="Arial"/>
          <w:color w:val="000000" w:themeColor="text1"/>
          <w:sz w:val="22"/>
          <w:lang w:val="es-ES_tradnl"/>
        </w:rPr>
      </w:pPr>
      <w:r w:rsidRPr="00F8515B">
        <w:rPr>
          <w:rFonts w:ascii="Arial" w:hAnsi="Arial" w:cs="Arial"/>
          <w:color w:val="000000" w:themeColor="text1"/>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8515B">
        <w:rPr>
          <w:rFonts w:ascii="Arial" w:hAnsi="Arial" w:cs="Arial"/>
          <w:color w:val="000000" w:themeColor="text1"/>
          <w:sz w:val="22"/>
          <w:vertAlign w:val="superscript"/>
          <w:lang w:val="es-ES_tradnl"/>
        </w:rPr>
        <w:footnoteReference w:id="1"/>
      </w:r>
      <w:r w:rsidRPr="00F8515B">
        <w:rPr>
          <w:rFonts w:ascii="Arial" w:hAnsi="Arial" w:cs="Arial"/>
          <w:color w:val="000000" w:themeColor="text1"/>
          <w:sz w:val="22"/>
          <w:lang w:val="es-ES_tradnl"/>
        </w:rPr>
        <w:t>. Esta competencia de interpretación de normas generales, por definición, no puede extenderse a la resolución de controversias, ni a brindar asesorías sobre casos puntuales</w:t>
      </w:r>
      <w:bookmarkEnd w:id="12"/>
      <w:r w:rsidRPr="00F8515B">
        <w:rPr>
          <w:rFonts w:ascii="Arial" w:hAnsi="Arial" w:cs="Arial"/>
          <w:color w:val="000000" w:themeColor="text1"/>
          <w:sz w:val="22"/>
          <w:lang w:val="es-ES_tradnl"/>
        </w:rPr>
        <w:t>. Por lo anterior, previo concepto de sus órganos asesores, la solución de estos temas corresponde a la entidad que adelanta el procedimiento de selección y, en caso de conflicto, a las autoridades judiciales, fiscales y disciplinarias</w:t>
      </w:r>
      <w:r w:rsidR="006C0B38" w:rsidRPr="00F8515B">
        <w:rPr>
          <w:rFonts w:ascii="Arial" w:hAnsi="Arial" w:cs="Arial"/>
          <w:color w:val="000000" w:themeColor="text1"/>
          <w:sz w:val="22"/>
          <w:lang w:val="es-ES_tradnl"/>
        </w:rPr>
        <w:t>; razón por la cual, corresponde cada entidad estatal definir la viabilidad técnica, jurídica y financiera de celebrar determinado negocio jurídico en específico</w:t>
      </w:r>
      <w:r w:rsidRPr="00F8515B">
        <w:rPr>
          <w:rFonts w:ascii="Arial" w:hAnsi="Arial" w:cs="Arial"/>
          <w:color w:val="000000" w:themeColor="text1"/>
          <w:sz w:val="22"/>
          <w:lang w:val="es-ES_tradnl"/>
        </w:rPr>
        <w:t xml:space="preserve">. </w:t>
      </w:r>
      <w:bookmarkEnd w:id="10"/>
    </w:p>
    <w:bookmarkEnd w:id="11"/>
    <w:p w14:paraId="311C76CA" w14:textId="715C120A" w:rsidR="0090765B" w:rsidRPr="00F8515B" w:rsidRDefault="00E23B36" w:rsidP="00E7700C">
      <w:pPr>
        <w:tabs>
          <w:tab w:val="left" w:pos="426"/>
        </w:tabs>
        <w:spacing w:after="120"/>
        <w:rPr>
          <w:rFonts w:ascii="Arial" w:hAnsi="Arial" w:cs="Arial"/>
          <w:bCs/>
          <w:color w:val="000000" w:themeColor="text1"/>
          <w:sz w:val="22"/>
          <w:lang w:val="es-ES_tradnl"/>
        </w:rPr>
      </w:pPr>
      <w:r w:rsidRPr="00F8515B">
        <w:rPr>
          <w:rFonts w:ascii="Arial" w:eastAsia="Calibri" w:hAnsi="Arial" w:cs="Arial"/>
          <w:color w:val="000000" w:themeColor="text1"/>
          <w:sz w:val="22"/>
          <w:lang w:val="es-ES_tradnl"/>
        </w:rPr>
        <w:tab/>
      </w:r>
      <w:r w:rsidRPr="00F8515B">
        <w:rPr>
          <w:rFonts w:ascii="Arial" w:eastAsia="Calibri" w:hAnsi="Arial" w:cs="Arial"/>
          <w:color w:val="000000" w:themeColor="text1"/>
          <w:sz w:val="22"/>
          <w:lang w:val="es-ES_tradnl"/>
        </w:rPr>
        <w:tab/>
        <w:t>Sin perjuicio de lo anterior, la Agencia –dentro de los límites de sus atribuciones</w:t>
      </w:r>
      <w:r w:rsidR="006C0B38"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resolverá la consulta conforme a las normas generales en materia de contratación estatal. Con este objetivo se analizarán los siguientes temas:</w:t>
      </w:r>
      <w:r w:rsidR="006C0B38" w:rsidRPr="00F8515B">
        <w:rPr>
          <w:rFonts w:ascii="Arial" w:hAnsi="Arial" w:cs="Arial"/>
          <w:bCs/>
          <w:color w:val="000000" w:themeColor="text1"/>
          <w:sz w:val="22"/>
          <w:lang w:val="es-ES_tradnl"/>
        </w:rPr>
        <w:t xml:space="preserve"> </w:t>
      </w:r>
      <w:r w:rsidR="00990612" w:rsidRPr="00F8515B">
        <w:rPr>
          <w:rFonts w:ascii="Arial" w:eastAsia="Calibri" w:hAnsi="Arial" w:cs="Arial"/>
          <w:bCs/>
          <w:color w:val="000000" w:themeColor="text1"/>
          <w:sz w:val="22"/>
          <w:lang w:val="es-ES_tradnl"/>
        </w:rPr>
        <w:t xml:space="preserve">i) </w:t>
      </w:r>
      <w:r w:rsidR="006D4EC2" w:rsidRPr="00F8515B">
        <w:rPr>
          <w:rFonts w:ascii="Arial" w:eastAsia="Calibri" w:hAnsi="Arial" w:cs="Arial"/>
          <w:bCs/>
          <w:color w:val="000000" w:themeColor="text1"/>
          <w:sz w:val="22"/>
          <w:lang w:val="es-ES_tradnl"/>
        </w:rPr>
        <w:t>definición y finalidad de la Ley de Garantías Electorales</w:t>
      </w:r>
      <w:r w:rsidR="0016262F" w:rsidRPr="00F8515B">
        <w:rPr>
          <w:rFonts w:ascii="Arial" w:eastAsia="Calibri" w:hAnsi="Arial" w:cs="Arial"/>
          <w:bCs/>
          <w:color w:val="000000" w:themeColor="text1"/>
          <w:sz w:val="22"/>
          <w:lang w:val="es-ES_tradnl"/>
        </w:rPr>
        <w:t>,</w:t>
      </w:r>
      <w:r w:rsidR="006D4EC2" w:rsidRPr="00F8515B">
        <w:rPr>
          <w:rFonts w:ascii="Arial" w:eastAsia="Calibri" w:hAnsi="Arial" w:cs="Arial"/>
          <w:bCs/>
          <w:color w:val="000000" w:themeColor="text1"/>
          <w:sz w:val="22"/>
          <w:lang w:val="es-ES_tradnl"/>
        </w:rPr>
        <w:t xml:space="preserve"> ii)</w:t>
      </w:r>
      <w:r w:rsidR="00EB7836" w:rsidRPr="00F8515B">
        <w:rPr>
          <w:rFonts w:ascii="Arial" w:eastAsia="Calibri" w:hAnsi="Arial" w:cs="Arial"/>
          <w:bCs/>
          <w:color w:val="000000" w:themeColor="text1"/>
          <w:sz w:val="22"/>
          <w:lang w:val="es-ES_tradnl"/>
        </w:rPr>
        <w:t xml:space="preserve"> </w:t>
      </w:r>
      <w:r w:rsidR="008C2BFB" w:rsidRPr="00F8515B">
        <w:rPr>
          <w:rFonts w:ascii="Arial" w:eastAsia="Calibri" w:hAnsi="Arial" w:cs="Arial"/>
          <w:bCs/>
          <w:color w:val="000000" w:themeColor="text1"/>
          <w:sz w:val="22"/>
          <w:lang w:val="es-ES_tradnl"/>
        </w:rPr>
        <w:t xml:space="preserve">restricciones para elecciones </w:t>
      </w:r>
      <w:r w:rsidR="0016262F" w:rsidRPr="00F8515B">
        <w:rPr>
          <w:rFonts w:ascii="Arial" w:eastAsia="Calibri" w:hAnsi="Arial" w:cs="Arial"/>
          <w:bCs/>
          <w:color w:val="000000" w:themeColor="text1"/>
          <w:sz w:val="22"/>
          <w:lang w:val="es-ES_tradnl"/>
        </w:rPr>
        <w:t>p</w:t>
      </w:r>
      <w:r w:rsidR="008C2BFB" w:rsidRPr="00F8515B">
        <w:rPr>
          <w:rFonts w:ascii="Arial" w:eastAsia="Calibri" w:hAnsi="Arial" w:cs="Arial"/>
          <w:bCs/>
          <w:color w:val="000000" w:themeColor="text1"/>
          <w:sz w:val="22"/>
          <w:lang w:val="es-ES_tradnl"/>
        </w:rPr>
        <w:t>residenciales</w:t>
      </w:r>
      <w:r w:rsidR="0016262F" w:rsidRPr="00F8515B">
        <w:rPr>
          <w:rFonts w:ascii="Arial" w:eastAsia="Calibri" w:hAnsi="Arial" w:cs="Arial"/>
          <w:bCs/>
          <w:color w:val="000000" w:themeColor="text1"/>
          <w:sz w:val="22"/>
          <w:lang w:val="es-ES_tradnl"/>
        </w:rPr>
        <w:t>,</w:t>
      </w:r>
      <w:r w:rsidR="008C2BFB" w:rsidRPr="00F8515B">
        <w:rPr>
          <w:rFonts w:ascii="Arial" w:eastAsia="Calibri" w:hAnsi="Arial" w:cs="Arial"/>
          <w:bCs/>
          <w:color w:val="000000" w:themeColor="text1"/>
          <w:sz w:val="22"/>
          <w:lang w:val="es-ES_tradnl"/>
        </w:rPr>
        <w:t xml:space="preserve"> </w:t>
      </w:r>
      <w:r w:rsidR="007173EA" w:rsidRPr="00F8515B">
        <w:rPr>
          <w:rFonts w:ascii="Arial" w:eastAsia="Calibri" w:hAnsi="Arial" w:cs="Arial"/>
          <w:bCs/>
          <w:color w:val="000000" w:themeColor="text1"/>
          <w:sz w:val="22"/>
          <w:lang w:val="es-ES_tradnl"/>
        </w:rPr>
        <w:t>i</w:t>
      </w:r>
      <w:r w:rsidR="0016262F" w:rsidRPr="00F8515B">
        <w:rPr>
          <w:rFonts w:ascii="Arial" w:eastAsia="Calibri" w:hAnsi="Arial" w:cs="Arial"/>
          <w:bCs/>
          <w:color w:val="000000" w:themeColor="text1"/>
          <w:sz w:val="22"/>
          <w:lang w:val="es-ES_tradnl"/>
        </w:rPr>
        <w:t>ii</w:t>
      </w:r>
      <w:r w:rsidR="007173EA" w:rsidRPr="00F8515B">
        <w:rPr>
          <w:rFonts w:ascii="Arial" w:eastAsia="Calibri" w:hAnsi="Arial" w:cs="Arial"/>
          <w:bCs/>
          <w:color w:val="000000" w:themeColor="text1"/>
          <w:sz w:val="22"/>
          <w:lang w:val="es-ES_tradnl"/>
        </w:rPr>
        <w:t>) destinatarios de la prohibición del artículo 33 de la Ley 996 de 2005</w:t>
      </w:r>
      <w:r w:rsidR="00AF7FCE" w:rsidRPr="00F8515B">
        <w:rPr>
          <w:rFonts w:ascii="Arial" w:eastAsia="Calibri" w:hAnsi="Arial" w:cs="Arial"/>
          <w:bCs/>
          <w:color w:val="000000" w:themeColor="text1"/>
          <w:sz w:val="22"/>
          <w:lang w:val="es-ES_tradnl"/>
        </w:rPr>
        <w:t>,</w:t>
      </w:r>
      <w:r w:rsidR="007173EA" w:rsidRPr="00F8515B">
        <w:rPr>
          <w:rFonts w:ascii="Arial" w:eastAsia="Calibri" w:hAnsi="Arial" w:cs="Arial"/>
          <w:bCs/>
          <w:color w:val="000000" w:themeColor="text1"/>
          <w:sz w:val="22"/>
          <w:lang w:val="es-ES_tradnl"/>
        </w:rPr>
        <w:t xml:space="preserve"> </w:t>
      </w:r>
      <w:r w:rsidR="0016262F" w:rsidRPr="00F8515B">
        <w:rPr>
          <w:rFonts w:ascii="Arial" w:eastAsia="Calibri" w:hAnsi="Arial" w:cs="Arial"/>
          <w:bCs/>
          <w:color w:val="000000" w:themeColor="text1"/>
          <w:sz w:val="22"/>
          <w:lang w:val="es-ES_tradnl"/>
        </w:rPr>
        <w:t>i</w:t>
      </w:r>
      <w:r w:rsidR="007173EA" w:rsidRPr="00F8515B">
        <w:rPr>
          <w:rFonts w:ascii="Arial" w:eastAsia="Calibri" w:hAnsi="Arial" w:cs="Arial"/>
          <w:bCs/>
          <w:color w:val="000000" w:themeColor="text1"/>
          <w:sz w:val="22"/>
          <w:lang w:val="es-ES_tradnl"/>
        </w:rPr>
        <w:t>v)</w:t>
      </w:r>
      <w:r w:rsidR="004A5B41" w:rsidRPr="00F8515B">
        <w:rPr>
          <w:rFonts w:ascii="Arial" w:eastAsia="Calibri" w:hAnsi="Arial" w:cs="Arial"/>
          <w:bCs/>
          <w:color w:val="000000" w:themeColor="text1"/>
          <w:sz w:val="22"/>
          <w:lang w:val="es-ES_tradnl"/>
        </w:rPr>
        <w:t xml:space="preserve"> </w:t>
      </w:r>
      <w:r w:rsidR="007173EA" w:rsidRPr="00F8515B">
        <w:rPr>
          <w:rFonts w:ascii="Arial" w:eastAsia="Calibri" w:hAnsi="Arial" w:cs="Arial"/>
          <w:color w:val="000000" w:themeColor="text1"/>
          <w:sz w:val="22"/>
          <w:lang w:val="es-ES_tradnl"/>
        </w:rPr>
        <w:t xml:space="preserve">restricciones en los comicios </w:t>
      </w:r>
      <w:r w:rsidR="002C09B8" w:rsidRPr="00F8515B">
        <w:rPr>
          <w:rFonts w:ascii="Arial" w:eastAsia="Calibri" w:hAnsi="Arial" w:cs="Arial"/>
          <w:color w:val="000000" w:themeColor="text1"/>
          <w:sz w:val="22"/>
          <w:lang w:val="es-ES_tradnl"/>
        </w:rPr>
        <w:t>para</w:t>
      </w:r>
      <w:r w:rsidR="007173EA" w:rsidRPr="00F8515B">
        <w:rPr>
          <w:rFonts w:ascii="Arial" w:eastAsia="Calibri" w:hAnsi="Arial" w:cs="Arial"/>
          <w:color w:val="000000" w:themeColor="text1"/>
          <w:sz w:val="22"/>
          <w:lang w:val="es-ES_tradnl"/>
        </w:rPr>
        <w:t xml:space="preserve"> cargos de elección popular</w:t>
      </w:r>
      <w:bookmarkStart w:id="13" w:name="_Hlk76110351"/>
      <w:r w:rsidR="00480940" w:rsidRPr="00F8515B">
        <w:rPr>
          <w:rFonts w:ascii="Arial" w:eastAsia="Calibri" w:hAnsi="Arial" w:cs="Arial"/>
          <w:color w:val="000000" w:themeColor="text1"/>
          <w:sz w:val="22"/>
          <w:lang w:val="es-ES_tradnl"/>
        </w:rPr>
        <w:t>,</w:t>
      </w:r>
      <w:r w:rsidR="00AF7FCE" w:rsidRPr="00F8515B">
        <w:rPr>
          <w:rFonts w:ascii="Arial" w:eastAsia="Calibri" w:hAnsi="Arial" w:cs="Arial"/>
          <w:color w:val="000000" w:themeColor="text1"/>
          <w:sz w:val="22"/>
          <w:lang w:val="es-ES_tradnl"/>
        </w:rPr>
        <w:t xml:space="preserve"> v)  modificaciones de la Ley de Garantías Electorales realizadas por la ley anual del presupuesto de la vigencia fiscal 2022</w:t>
      </w:r>
      <w:r w:rsidR="00480940" w:rsidRPr="00F8515B">
        <w:rPr>
          <w:rFonts w:ascii="Arial" w:eastAsia="Calibri" w:hAnsi="Arial" w:cs="Arial"/>
          <w:color w:val="000000" w:themeColor="text1"/>
          <w:sz w:val="22"/>
          <w:lang w:val="es-ES_tradnl"/>
        </w:rPr>
        <w:t xml:space="preserve"> y vi) </w:t>
      </w:r>
      <w:r w:rsidR="00107244" w:rsidRPr="00F8515B">
        <w:rPr>
          <w:rFonts w:ascii="Arial" w:eastAsia="Calibri" w:hAnsi="Arial" w:cs="Arial"/>
          <w:color w:val="000000" w:themeColor="text1"/>
          <w:sz w:val="22"/>
          <w:lang w:val="es-ES_tradnl" w:bidi="es-ES"/>
        </w:rPr>
        <w:t>restricciones de la Ley de Garantías en los contratos de colaboración y convenios de asociación con entidades privadas sin ánimo de lucro</w:t>
      </w:r>
      <w:r w:rsidR="007F2AC3" w:rsidRPr="00F8515B">
        <w:rPr>
          <w:rFonts w:ascii="Arial" w:eastAsia="Calibri" w:hAnsi="Arial" w:cs="Arial"/>
          <w:color w:val="000000" w:themeColor="text1"/>
          <w:sz w:val="22"/>
          <w:lang w:val="es-ES_tradnl"/>
        </w:rPr>
        <w:t xml:space="preserve">. </w:t>
      </w:r>
      <w:bookmarkEnd w:id="13"/>
    </w:p>
    <w:p w14:paraId="1B0A4F73" w14:textId="306CB4E8" w:rsidR="008F39BD" w:rsidRPr="00F8515B" w:rsidRDefault="008F39BD" w:rsidP="00E7700C">
      <w:pPr>
        <w:tabs>
          <w:tab w:val="left" w:pos="426"/>
        </w:tabs>
        <w:spacing w:after="0"/>
        <w:ind w:firstLine="709"/>
        <w:rPr>
          <w:rFonts w:ascii="Arial" w:eastAsia="Calibri" w:hAnsi="Arial" w:cs="Arial"/>
          <w:bCs/>
          <w:color w:val="000000" w:themeColor="text1"/>
          <w:sz w:val="22"/>
          <w:lang w:val="es-ES_tradnl"/>
        </w:rPr>
      </w:pPr>
      <w:r w:rsidRPr="00F8515B">
        <w:rPr>
          <w:rFonts w:ascii="Arial" w:eastAsia="Calibri" w:hAnsi="Arial" w:cs="Arial"/>
          <w:bCs/>
          <w:color w:val="000000" w:themeColor="text1"/>
          <w:sz w:val="22"/>
          <w:lang w:val="es-ES_tradnl"/>
        </w:rPr>
        <w:t xml:space="preserve">La Agencia Nacional de Contratación Pública </w:t>
      </w:r>
      <w:r w:rsidR="00F91CA6" w:rsidRPr="00F8515B">
        <w:rPr>
          <w:rFonts w:ascii="Arial" w:eastAsia="Calibri" w:hAnsi="Arial" w:cs="Arial"/>
          <w:bCs/>
          <w:color w:val="000000" w:themeColor="text1"/>
          <w:sz w:val="22"/>
          <w:lang w:val="es-ES_tradnl"/>
        </w:rPr>
        <w:t>–</w:t>
      </w:r>
      <w:r w:rsidRPr="00F8515B">
        <w:rPr>
          <w:rFonts w:ascii="Arial" w:eastAsia="Calibri" w:hAnsi="Arial" w:cs="Arial"/>
          <w:bCs/>
          <w:color w:val="000000" w:themeColor="text1"/>
          <w:sz w:val="22"/>
          <w:lang w:val="es-ES_tradnl"/>
        </w:rPr>
        <w:t xml:space="preserve"> Colombia Compra Eficiente </w:t>
      </w:r>
      <w:r w:rsidR="00A56A79" w:rsidRPr="00F8515B">
        <w:rPr>
          <w:rFonts w:ascii="Arial" w:eastAsia="Calibri" w:hAnsi="Arial" w:cs="Arial"/>
          <w:bCs/>
          <w:color w:val="000000" w:themeColor="text1"/>
          <w:sz w:val="22"/>
          <w:lang w:val="es-ES_tradnl"/>
        </w:rPr>
        <w:t>ha impartido lineamientos sobre la</w:t>
      </w:r>
      <w:r w:rsidRPr="00F8515B">
        <w:rPr>
          <w:rFonts w:ascii="Arial" w:eastAsia="Calibri" w:hAnsi="Arial" w:cs="Arial"/>
          <w:bCs/>
          <w:color w:val="000000" w:themeColor="text1"/>
          <w:sz w:val="22"/>
          <w:lang w:val="es-ES_tradnl"/>
        </w:rPr>
        <w:t xml:space="preserve"> </w:t>
      </w:r>
      <w:r w:rsidR="00D05E28" w:rsidRPr="00F8515B">
        <w:rPr>
          <w:rFonts w:ascii="Arial" w:eastAsia="Calibri" w:hAnsi="Arial" w:cs="Arial"/>
          <w:bCs/>
          <w:color w:val="000000" w:themeColor="text1"/>
          <w:sz w:val="22"/>
          <w:lang w:val="es-ES_tradnl"/>
        </w:rPr>
        <w:t>aplicación de la Ley 996 de 2005</w:t>
      </w:r>
      <w:r w:rsidR="00A56A79" w:rsidRPr="00F8515B">
        <w:rPr>
          <w:rFonts w:ascii="Arial" w:eastAsia="Calibri" w:hAnsi="Arial" w:cs="Arial"/>
          <w:bCs/>
          <w:color w:val="000000" w:themeColor="text1"/>
          <w:sz w:val="22"/>
          <w:lang w:val="es-ES_tradnl"/>
        </w:rPr>
        <w:t xml:space="preserve"> y también se ha pronunciado</w:t>
      </w:r>
      <w:r w:rsidRPr="00F8515B">
        <w:rPr>
          <w:rFonts w:ascii="Arial" w:eastAsia="Calibri" w:hAnsi="Arial" w:cs="Arial"/>
          <w:bCs/>
          <w:color w:val="000000" w:themeColor="text1"/>
          <w:sz w:val="22"/>
          <w:lang w:val="es-ES_tradnl"/>
        </w:rPr>
        <w:t xml:space="preserve"> </w:t>
      </w:r>
      <w:r w:rsidR="00735A39" w:rsidRPr="00F8515B">
        <w:rPr>
          <w:rFonts w:ascii="Arial" w:eastAsia="Calibri" w:hAnsi="Arial" w:cs="Arial"/>
          <w:bCs/>
          <w:color w:val="000000" w:themeColor="text1"/>
          <w:sz w:val="22"/>
          <w:lang w:val="es-ES_tradnl"/>
        </w:rPr>
        <w:t>al respecto</w:t>
      </w:r>
      <w:r w:rsidR="004755D2" w:rsidRPr="00F8515B">
        <w:rPr>
          <w:rFonts w:ascii="Arial" w:eastAsia="Calibri" w:hAnsi="Arial" w:cs="Arial"/>
          <w:bCs/>
          <w:color w:val="000000" w:themeColor="text1"/>
          <w:sz w:val="22"/>
          <w:lang w:val="es-ES_tradnl"/>
        </w:rPr>
        <w:t>, entre otros,</w:t>
      </w:r>
      <w:r w:rsidR="00735A39" w:rsidRPr="00F8515B">
        <w:rPr>
          <w:rFonts w:ascii="Arial" w:eastAsia="Calibri" w:hAnsi="Arial" w:cs="Arial"/>
          <w:bCs/>
          <w:color w:val="000000" w:themeColor="text1"/>
          <w:sz w:val="22"/>
          <w:lang w:val="es-ES_tradnl"/>
        </w:rPr>
        <w:t xml:space="preserve"> </w:t>
      </w:r>
      <w:r w:rsidRPr="00F8515B">
        <w:rPr>
          <w:rFonts w:ascii="Arial" w:eastAsia="Calibri" w:hAnsi="Arial" w:cs="Arial"/>
          <w:bCs/>
          <w:color w:val="000000" w:themeColor="text1"/>
          <w:sz w:val="22"/>
          <w:lang w:val="es-ES_tradnl"/>
        </w:rPr>
        <w:t xml:space="preserve">en los </w:t>
      </w:r>
      <w:r w:rsidR="00F91CA6" w:rsidRPr="00F8515B">
        <w:rPr>
          <w:rFonts w:ascii="Arial" w:eastAsia="Calibri" w:hAnsi="Arial" w:cs="Arial"/>
          <w:bCs/>
          <w:color w:val="000000" w:themeColor="text1"/>
          <w:sz w:val="22"/>
          <w:lang w:val="es-ES_tradnl"/>
        </w:rPr>
        <w:t>C</w:t>
      </w:r>
      <w:r w:rsidRPr="00F8515B">
        <w:rPr>
          <w:rFonts w:ascii="Arial" w:eastAsia="Calibri" w:hAnsi="Arial" w:cs="Arial"/>
          <w:bCs/>
          <w:color w:val="000000" w:themeColor="text1"/>
          <w:sz w:val="22"/>
          <w:lang w:val="es-ES_tradnl"/>
        </w:rPr>
        <w:t xml:space="preserve">onceptos </w:t>
      </w:r>
      <w:r w:rsidR="004D1653" w:rsidRPr="00F8515B">
        <w:rPr>
          <w:rFonts w:ascii="Arial" w:eastAsia="Calibri" w:hAnsi="Arial" w:cs="Arial"/>
          <w:bCs/>
          <w:color w:val="000000" w:themeColor="text1"/>
          <w:sz w:val="22"/>
          <w:lang w:val="es-ES_tradnl"/>
        </w:rPr>
        <w:t xml:space="preserve">4201912000004632 del 6 de </w:t>
      </w:r>
      <w:r w:rsidR="004D1653" w:rsidRPr="00F8515B">
        <w:rPr>
          <w:rFonts w:ascii="Arial" w:eastAsia="Calibri" w:hAnsi="Arial" w:cs="Arial"/>
          <w:bCs/>
          <w:color w:val="000000" w:themeColor="text1"/>
          <w:sz w:val="22"/>
          <w:lang w:val="es-ES_tradnl"/>
        </w:rPr>
        <w:lastRenderedPageBreak/>
        <w:t xml:space="preserve">agosto de 2019, </w:t>
      </w:r>
      <w:r w:rsidR="00A56A79" w:rsidRPr="00F8515B">
        <w:rPr>
          <w:rFonts w:ascii="Arial" w:eastAsia="Calibri" w:hAnsi="Arial" w:cs="Arial"/>
          <w:bCs/>
          <w:color w:val="000000" w:themeColor="text1"/>
          <w:sz w:val="22"/>
          <w:lang w:val="es-ES_tradnl"/>
        </w:rPr>
        <w:t>2201913000005655 del 8 de agosto de 2019,</w:t>
      </w:r>
      <w:r w:rsidR="00735A39" w:rsidRPr="00F8515B">
        <w:rPr>
          <w:rFonts w:ascii="Arial" w:eastAsia="Calibri" w:hAnsi="Arial" w:cs="Arial"/>
          <w:bCs/>
          <w:color w:val="000000" w:themeColor="text1"/>
          <w:sz w:val="22"/>
          <w:lang w:val="es-ES_tradnl"/>
        </w:rPr>
        <w:t xml:space="preserve"> </w:t>
      </w:r>
      <w:r w:rsidR="003767EE" w:rsidRPr="00F8515B">
        <w:rPr>
          <w:rFonts w:ascii="Arial" w:eastAsia="Calibri" w:hAnsi="Arial" w:cs="Arial"/>
          <w:bCs/>
          <w:color w:val="000000" w:themeColor="text1"/>
          <w:sz w:val="22"/>
          <w:lang w:val="es-ES_tradnl"/>
        </w:rPr>
        <w:t>2201913000006283 del 27 de agosto de 2019</w:t>
      </w:r>
      <w:r w:rsidR="00D047D3" w:rsidRPr="00F8515B">
        <w:rPr>
          <w:rFonts w:ascii="Arial" w:eastAsia="Calibri" w:hAnsi="Arial" w:cs="Arial"/>
          <w:bCs/>
          <w:color w:val="000000" w:themeColor="text1"/>
          <w:sz w:val="22"/>
          <w:lang w:val="es-ES_tradnl"/>
        </w:rPr>
        <w:t>, 2201913000006521 del 3 de septiembre de 2019,</w:t>
      </w:r>
      <w:r w:rsidR="00AD2E44" w:rsidRPr="00F8515B">
        <w:rPr>
          <w:rFonts w:ascii="Arial" w:eastAsia="Calibri" w:hAnsi="Arial" w:cs="Arial"/>
          <w:bCs/>
          <w:color w:val="000000" w:themeColor="text1"/>
          <w:sz w:val="22"/>
          <w:lang w:val="es-ES_tradnl"/>
        </w:rPr>
        <w:t xml:space="preserve"> 2201913000006634 del 6 de septiembre de 2019, </w:t>
      </w:r>
      <w:r w:rsidR="004F5F6A" w:rsidRPr="00F8515B">
        <w:rPr>
          <w:rFonts w:ascii="Arial" w:eastAsia="Calibri" w:hAnsi="Arial" w:cs="Arial"/>
          <w:bCs/>
          <w:color w:val="000000" w:themeColor="text1"/>
          <w:sz w:val="22"/>
          <w:lang w:val="es-ES_tradnl"/>
        </w:rPr>
        <w:t xml:space="preserve">2201913000006639 del 9 de septiembre de 2019, </w:t>
      </w:r>
      <w:r w:rsidR="003528F0" w:rsidRPr="00F8515B">
        <w:rPr>
          <w:rFonts w:ascii="Arial" w:eastAsia="Calibri" w:hAnsi="Arial" w:cs="Arial"/>
          <w:bCs/>
          <w:color w:val="000000" w:themeColor="text1"/>
          <w:sz w:val="22"/>
          <w:lang w:val="es-ES_tradnl"/>
        </w:rPr>
        <w:t xml:space="preserve">2201913000007430 del 7 de octubre de 2019, </w:t>
      </w:r>
      <w:r w:rsidR="00C8219B" w:rsidRPr="00F8515B">
        <w:rPr>
          <w:rFonts w:ascii="Arial" w:eastAsia="Calibri" w:hAnsi="Arial" w:cs="Arial"/>
          <w:bCs/>
          <w:color w:val="000000" w:themeColor="text1"/>
          <w:sz w:val="22"/>
          <w:lang w:val="es-ES_tradnl"/>
        </w:rPr>
        <w:t xml:space="preserve">2201913000007565 del 10 de octubre de 2019, </w:t>
      </w:r>
      <w:r w:rsidR="00D63081" w:rsidRPr="00F8515B">
        <w:rPr>
          <w:rFonts w:ascii="Arial" w:eastAsia="Calibri" w:hAnsi="Arial" w:cs="Arial"/>
          <w:bCs/>
          <w:color w:val="000000" w:themeColor="text1"/>
          <w:sz w:val="22"/>
          <w:lang w:val="es-ES_tradnl"/>
        </w:rPr>
        <w:t>2201913000008259 del 6 de noviembre de 2019</w:t>
      </w:r>
      <w:r w:rsidR="00F83810" w:rsidRPr="00F8515B">
        <w:rPr>
          <w:rFonts w:ascii="Arial" w:eastAsia="Calibri" w:hAnsi="Arial" w:cs="Arial"/>
          <w:bCs/>
          <w:color w:val="000000" w:themeColor="text1"/>
          <w:sz w:val="22"/>
          <w:lang w:val="es-ES_tradnl"/>
        </w:rPr>
        <w:t xml:space="preserve">, </w:t>
      </w:r>
      <w:r w:rsidR="00F11CF5" w:rsidRPr="00F8515B">
        <w:rPr>
          <w:rFonts w:ascii="Arial" w:eastAsia="Calibri" w:hAnsi="Arial" w:cs="Arial"/>
          <w:bCs/>
          <w:color w:val="000000" w:themeColor="text1"/>
          <w:sz w:val="22"/>
          <w:lang w:val="es-ES_tradnl"/>
        </w:rPr>
        <w:t>C-</w:t>
      </w:r>
      <w:r w:rsidR="006E6202" w:rsidRPr="00F8515B">
        <w:rPr>
          <w:rFonts w:ascii="Arial" w:eastAsia="Calibri" w:hAnsi="Arial" w:cs="Arial"/>
          <w:bCs/>
          <w:color w:val="000000" w:themeColor="text1"/>
          <w:sz w:val="22"/>
          <w:lang w:val="es-ES_tradnl"/>
        </w:rPr>
        <w:t xml:space="preserve">074 del 17 de marzo de 2021, C-075 del 16 de marzo de 2021, </w:t>
      </w:r>
      <w:r w:rsidR="00F83810" w:rsidRPr="00F8515B">
        <w:rPr>
          <w:rFonts w:ascii="Arial" w:eastAsia="Calibri" w:hAnsi="Arial" w:cs="Arial"/>
          <w:bCs/>
          <w:color w:val="000000" w:themeColor="text1"/>
          <w:sz w:val="22"/>
          <w:lang w:val="es-ES_tradnl"/>
        </w:rPr>
        <w:t>C-227 de 2021</w:t>
      </w:r>
      <w:r w:rsidR="00815027" w:rsidRPr="00F8515B">
        <w:rPr>
          <w:rFonts w:ascii="Arial" w:eastAsia="Calibri" w:hAnsi="Arial" w:cs="Arial"/>
          <w:bCs/>
          <w:color w:val="000000" w:themeColor="text1"/>
          <w:sz w:val="22"/>
          <w:lang w:val="es-ES_tradnl"/>
        </w:rPr>
        <w:t xml:space="preserve"> </w:t>
      </w:r>
      <w:r w:rsidR="00F83810" w:rsidRPr="00F8515B">
        <w:rPr>
          <w:rFonts w:ascii="Arial" w:eastAsia="Calibri" w:hAnsi="Arial" w:cs="Arial"/>
          <w:bCs/>
          <w:color w:val="000000" w:themeColor="text1"/>
          <w:sz w:val="22"/>
          <w:lang w:val="es-ES_tradnl"/>
        </w:rPr>
        <w:t>del 5 de mayo de 2021</w:t>
      </w:r>
      <w:r w:rsidR="00A21624" w:rsidRPr="00F8515B">
        <w:rPr>
          <w:rFonts w:ascii="Arial" w:eastAsia="Calibri" w:hAnsi="Arial" w:cs="Arial"/>
          <w:bCs/>
          <w:color w:val="000000" w:themeColor="text1"/>
          <w:sz w:val="22"/>
          <w:lang w:val="es-ES_tradnl"/>
        </w:rPr>
        <w:t>, C-259 del 2 de junio de 2021,</w:t>
      </w:r>
      <w:r w:rsidR="00AC004D" w:rsidRPr="00F8515B">
        <w:rPr>
          <w:rFonts w:ascii="Arial" w:eastAsia="Calibri" w:hAnsi="Arial" w:cs="Arial"/>
          <w:bCs/>
          <w:color w:val="000000" w:themeColor="text1"/>
          <w:sz w:val="22"/>
          <w:lang w:val="es-ES_tradnl"/>
        </w:rPr>
        <w:t xml:space="preserve"> C-296 del 22 de junio de 2021, C-337 del 13 de julio de 2021, </w:t>
      </w:r>
      <w:r w:rsidR="006D5415" w:rsidRPr="00F8515B">
        <w:rPr>
          <w:rFonts w:ascii="Arial" w:eastAsia="Calibri" w:hAnsi="Arial" w:cs="Arial"/>
          <w:bCs/>
          <w:color w:val="000000" w:themeColor="text1"/>
          <w:sz w:val="22"/>
          <w:lang w:val="es-ES_tradnl"/>
        </w:rPr>
        <w:t xml:space="preserve">C-350 del 16 de julio de 2021, </w:t>
      </w:r>
      <w:r w:rsidR="004832C7" w:rsidRPr="00F8515B">
        <w:rPr>
          <w:rFonts w:ascii="Arial" w:eastAsia="Calibri" w:hAnsi="Arial" w:cs="Arial"/>
          <w:bCs/>
          <w:color w:val="000000" w:themeColor="text1"/>
          <w:sz w:val="22"/>
          <w:lang w:val="es-ES_tradnl"/>
        </w:rPr>
        <w:t xml:space="preserve">C-352 del 27 de julio de 2021, C-374 del </w:t>
      </w:r>
      <w:r w:rsidR="00907E9D" w:rsidRPr="00F8515B">
        <w:rPr>
          <w:rFonts w:ascii="Arial" w:eastAsia="Calibri" w:hAnsi="Arial" w:cs="Arial"/>
          <w:bCs/>
          <w:color w:val="000000" w:themeColor="text1"/>
          <w:sz w:val="22"/>
          <w:lang w:val="es-ES_tradnl"/>
        </w:rPr>
        <w:t>16 de septiembre de 2021, C-381</w:t>
      </w:r>
      <w:r w:rsidR="00C355B4" w:rsidRPr="00F8515B">
        <w:rPr>
          <w:rFonts w:ascii="Arial" w:eastAsia="Calibri" w:hAnsi="Arial" w:cs="Arial"/>
          <w:bCs/>
          <w:color w:val="000000" w:themeColor="text1"/>
          <w:sz w:val="22"/>
          <w:lang w:val="es-ES_tradnl"/>
        </w:rPr>
        <w:t xml:space="preserve"> del 2 de agosto de 2021, C-391 del 11 de agosto de 2021, </w:t>
      </w:r>
      <w:r w:rsidR="00B91CF1" w:rsidRPr="00F8515B">
        <w:rPr>
          <w:rFonts w:ascii="Arial" w:eastAsia="Calibri" w:hAnsi="Arial" w:cs="Arial"/>
          <w:bCs/>
          <w:color w:val="000000" w:themeColor="text1"/>
          <w:sz w:val="22"/>
          <w:lang w:val="es-ES_tradnl"/>
        </w:rPr>
        <w:t xml:space="preserve">C-396 del 13 de agosto de 2021, C-401 del </w:t>
      </w:r>
      <w:r w:rsidR="00B95717" w:rsidRPr="00F8515B">
        <w:rPr>
          <w:rFonts w:ascii="Arial" w:eastAsia="Calibri" w:hAnsi="Arial" w:cs="Arial"/>
          <w:bCs/>
          <w:color w:val="000000" w:themeColor="text1"/>
          <w:sz w:val="22"/>
          <w:lang w:val="es-ES_tradnl"/>
        </w:rPr>
        <w:t>10 de agosto de 2021, C-413 del 17 de agosto de 2021,</w:t>
      </w:r>
      <w:r w:rsidR="00482A4E" w:rsidRPr="00F8515B">
        <w:rPr>
          <w:rFonts w:ascii="Arial" w:eastAsia="Calibri" w:hAnsi="Arial" w:cs="Arial"/>
          <w:bCs/>
          <w:color w:val="000000" w:themeColor="text1"/>
          <w:sz w:val="22"/>
          <w:lang w:val="es-ES_tradnl"/>
        </w:rPr>
        <w:t xml:space="preserve"> C-439 </w:t>
      </w:r>
      <w:r w:rsidR="00937362" w:rsidRPr="00F8515B">
        <w:rPr>
          <w:rFonts w:ascii="Arial" w:eastAsia="Calibri" w:hAnsi="Arial" w:cs="Arial"/>
          <w:bCs/>
          <w:color w:val="000000" w:themeColor="text1"/>
          <w:sz w:val="22"/>
          <w:lang w:val="es-ES_tradnl"/>
        </w:rPr>
        <w:t xml:space="preserve"> del 27 de agosto de 2021, C-456 del </w:t>
      </w:r>
      <w:r w:rsidR="00895AA2" w:rsidRPr="00F8515B">
        <w:rPr>
          <w:rFonts w:ascii="Arial" w:eastAsia="Calibri" w:hAnsi="Arial" w:cs="Arial"/>
          <w:bCs/>
          <w:color w:val="000000" w:themeColor="text1"/>
          <w:sz w:val="22"/>
          <w:lang w:val="es-ES_tradnl"/>
        </w:rPr>
        <w:t xml:space="preserve">3 de septiembre de 2021, C-481 del 98 de septiembre de 2021, </w:t>
      </w:r>
      <w:r w:rsidR="00A23088" w:rsidRPr="00F8515B">
        <w:rPr>
          <w:rFonts w:ascii="Arial" w:eastAsia="Calibri" w:hAnsi="Arial" w:cs="Arial"/>
          <w:bCs/>
          <w:color w:val="000000" w:themeColor="text1"/>
          <w:sz w:val="22"/>
          <w:lang w:val="es-ES_tradnl"/>
        </w:rPr>
        <w:t xml:space="preserve">C-495 del 15 de septiembre de 2021, C-497 del </w:t>
      </w:r>
      <w:r w:rsidR="00D92C46" w:rsidRPr="00F8515B">
        <w:rPr>
          <w:rFonts w:ascii="Arial" w:eastAsia="Calibri" w:hAnsi="Arial" w:cs="Arial"/>
          <w:bCs/>
          <w:color w:val="000000" w:themeColor="text1"/>
          <w:sz w:val="22"/>
          <w:lang w:val="es-ES_tradnl"/>
        </w:rPr>
        <w:t xml:space="preserve">15 de septiembre de 2021, C-499 </w:t>
      </w:r>
      <w:r w:rsidR="00D1440B" w:rsidRPr="00F8515B">
        <w:rPr>
          <w:rFonts w:ascii="Arial" w:eastAsia="Calibri" w:hAnsi="Arial" w:cs="Arial"/>
          <w:bCs/>
          <w:color w:val="000000" w:themeColor="text1"/>
          <w:sz w:val="22"/>
          <w:lang w:val="es-ES_tradnl"/>
        </w:rPr>
        <w:t xml:space="preserve">del 15 de septiembre de 2021, C-523 del 10 de octubre de 2021, </w:t>
      </w:r>
      <w:r w:rsidR="006F0E22" w:rsidRPr="00F8515B">
        <w:rPr>
          <w:rFonts w:ascii="Arial" w:eastAsia="Calibri" w:hAnsi="Arial" w:cs="Arial"/>
          <w:bCs/>
          <w:color w:val="000000" w:themeColor="text1"/>
          <w:sz w:val="22"/>
          <w:lang w:val="es-ES_tradnl"/>
        </w:rPr>
        <w:t xml:space="preserve">C-528 del 27 de septiembre de 2021, C-543 del </w:t>
      </w:r>
      <w:r w:rsidR="002B1BDA" w:rsidRPr="00F8515B">
        <w:rPr>
          <w:rFonts w:ascii="Arial" w:eastAsia="Calibri" w:hAnsi="Arial" w:cs="Arial"/>
          <w:bCs/>
          <w:color w:val="000000" w:themeColor="text1"/>
          <w:sz w:val="22"/>
          <w:lang w:val="es-ES_tradnl"/>
        </w:rPr>
        <w:t xml:space="preserve">9 de </w:t>
      </w:r>
      <w:r w:rsidR="005B373F" w:rsidRPr="00F8515B">
        <w:rPr>
          <w:rFonts w:ascii="Arial" w:eastAsia="Calibri" w:hAnsi="Arial" w:cs="Arial"/>
          <w:bCs/>
          <w:color w:val="000000" w:themeColor="text1"/>
          <w:sz w:val="22"/>
          <w:lang w:val="es-ES_tradnl"/>
        </w:rPr>
        <w:t>noviembre</w:t>
      </w:r>
      <w:r w:rsidR="002B1BDA" w:rsidRPr="00F8515B">
        <w:rPr>
          <w:rFonts w:ascii="Arial" w:eastAsia="Calibri" w:hAnsi="Arial" w:cs="Arial"/>
          <w:bCs/>
          <w:color w:val="000000" w:themeColor="text1"/>
          <w:sz w:val="22"/>
          <w:lang w:val="es-ES_tradnl"/>
        </w:rPr>
        <w:t xml:space="preserve"> de 2021, C-550 del</w:t>
      </w:r>
      <w:r w:rsidR="005B373F" w:rsidRPr="00F8515B">
        <w:rPr>
          <w:rFonts w:ascii="Arial" w:eastAsia="Calibri" w:hAnsi="Arial" w:cs="Arial"/>
          <w:bCs/>
          <w:color w:val="000000" w:themeColor="text1"/>
          <w:sz w:val="22"/>
          <w:lang w:val="es-ES_tradnl"/>
        </w:rPr>
        <w:t xml:space="preserve"> 5 de octubre de 2021, </w:t>
      </w:r>
      <w:r w:rsidR="0059058A" w:rsidRPr="00F8515B">
        <w:rPr>
          <w:rFonts w:ascii="Arial" w:eastAsia="Calibri" w:hAnsi="Arial" w:cs="Arial"/>
          <w:bCs/>
          <w:color w:val="000000" w:themeColor="text1"/>
          <w:sz w:val="22"/>
          <w:lang w:val="es-ES_tradnl"/>
        </w:rPr>
        <w:t xml:space="preserve">C-557 del 7 de octubre de 2021, C-563 del 8 de octubre de 2021, </w:t>
      </w:r>
      <w:r w:rsidR="008E197B" w:rsidRPr="00F8515B">
        <w:rPr>
          <w:rFonts w:ascii="Arial" w:eastAsia="Calibri" w:hAnsi="Arial" w:cs="Arial"/>
          <w:bCs/>
          <w:color w:val="000000" w:themeColor="text1"/>
          <w:sz w:val="22"/>
          <w:lang w:val="es-ES_tradnl"/>
        </w:rPr>
        <w:t>C-606 del 3 de noviembre de 2021, C-614 del 2 de noviembre de 2021, C-</w:t>
      </w:r>
      <w:r w:rsidR="005C4C81" w:rsidRPr="00F8515B">
        <w:rPr>
          <w:rFonts w:ascii="Arial" w:eastAsia="Calibri" w:hAnsi="Arial" w:cs="Arial"/>
          <w:bCs/>
          <w:color w:val="000000" w:themeColor="text1"/>
          <w:sz w:val="22"/>
          <w:lang w:val="es-ES_tradnl"/>
        </w:rPr>
        <w:t>633 del 11 de noviembre de 2021, C-634 del 11 de noviembre de 2021</w:t>
      </w:r>
      <w:r w:rsidR="003630B0" w:rsidRPr="00F8515B">
        <w:rPr>
          <w:rFonts w:ascii="Arial" w:eastAsia="Calibri" w:hAnsi="Arial" w:cs="Arial"/>
          <w:bCs/>
          <w:color w:val="000000" w:themeColor="text1"/>
          <w:sz w:val="22"/>
          <w:lang w:val="es-ES_tradnl"/>
        </w:rPr>
        <w:t>,</w:t>
      </w:r>
      <w:r w:rsidR="005C4C81" w:rsidRPr="00F8515B">
        <w:rPr>
          <w:rFonts w:ascii="Arial" w:eastAsia="Calibri" w:hAnsi="Arial" w:cs="Arial"/>
          <w:bCs/>
          <w:color w:val="000000" w:themeColor="text1"/>
          <w:sz w:val="22"/>
          <w:lang w:val="es-ES_tradnl"/>
        </w:rPr>
        <w:t xml:space="preserve"> C-636 del 16 de noviembre de 2021</w:t>
      </w:r>
      <w:r w:rsidR="003630B0" w:rsidRPr="00F8515B">
        <w:rPr>
          <w:rFonts w:ascii="Arial" w:eastAsia="Calibri" w:hAnsi="Arial" w:cs="Arial"/>
          <w:bCs/>
          <w:color w:val="000000" w:themeColor="text1"/>
          <w:sz w:val="22"/>
          <w:lang w:val="es-ES_tradnl"/>
        </w:rPr>
        <w:t>, C-</w:t>
      </w:r>
      <w:r w:rsidR="00975490" w:rsidRPr="00F8515B">
        <w:rPr>
          <w:rFonts w:ascii="Arial" w:eastAsia="Calibri" w:hAnsi="Arial" w:cs="Arial"/>
          <w:bCs/>
          <w:color w:val="000000" w:themeColor="text1"/>
          <w:sz w:val="22"/>
          <w:lang w:val="es-ES_tradnl"/>
        </w:rPr>
        <w:t>677 del 4 de diciembre de 2021</w:t>
      </w:r>
      <w:r w:rsidR="00231FD4" w:rsidRPr="00F8515B">
        <w:rPr>
          <w:rFonts w:ascii="Arial" w:eastAsia="Calibri" w:hAnsi="Arial" w:cs="Arial"/>
          <w:bCs/>
          <w:color w:val="000000" w:themeColor="text1"/>
          <w:sz w:val="22"/>
          <w:lang w:val="es-ES_tradnl"/>
        </w:rPr>
        <w:t>,</w:t>
      </w:r>
      <w:r w:rsidR="00975490" w:rsidRPr="00F8515B">
        <w:rPr>
          <w:rFonts w:ascii="Arial" w:eastAsia="Calibri" w:hAnsi="Arial" w:cs="Arial"/>
          <w:bCs/>
          <w:color w:val="000000" w:themeColor="text1"/>
          <w:sz w:val="22"/>
          <w:lang w:val="es-ES_tradnl"/>
        </w:rPr>
        <w:t xml:space="preserve"> C-695 del 22 de diciembre de 2021</w:t>
      </w:r>
      <w:r w:rsidR="00231FD4" w:rsidRPr="00F8515B">
        <w:rPr>
          <w:rFonts w:ascii="Arial" w:eastAsia="Calibri" w:hAnsi="Arial" w:cs="Arial"/>
          <w:bCs/>
          <w:color w:val="000000" w:themeColor="text1"/>
          <w:sz w:val="22"/>
          <w:lang w:val="es-ES_tradnl"/>
        </w:rPr>
        <w:t xml:space="preserve"> y C-743 de 1° de febrero de 2022</w:t>
      </w:r>
      <w:r w:rsidR="00F83810" w:rsidRPr="00F8515B">
        <w:rPr>
          <w:rFonts w:ascii="Arial" w:eastAsia="Calibri" w:hAnsi="Arial" w:cs="Arial"/>
          <w:bCs/>
          <w:color w:val="000000" w:themeColor="text1"/>
          <w:sz w:val="22"/>
          <w:lang w:val="es-ES_tradnl"/>
        </w:rPr>
        <w:t xml:space="preserve">. </w:t>
      </w:r>
      <w:r w:rsidR="00D05E28" w:rsidRPr="00F8515B">
        <w:rPr>
          <w:rFonts w:ascii="Arial" w:eastAsia="Calibri" w:hAnsi="Arial" w:cs="Arial"/>
          <w:bCs/>
          <w:color w:val="000000" w:themeColor="text1"/>
          <w:sz w:val="22"/>
          <w:lang w:val="es-ES_tradnl"/>
        </w:rPr>
        <w:t>La</w:t>
      </w:r>
      <w:r w:rsidRPr="00F8515B">
        <w:rPr>
          <w:rFonts w:ascii="Arial" w:eastAsia="Calibri" w:hAnsi="Arial" w:cs="Arial"/>
          <w:bCs/>
          <w:color w:val="000000" w:themeColor="text1"/>
          <w:sz w:val="22"/>
          <w:lang w:val="es-ES_tradnl"/>
        </w:rPr>
        <w:t xml:space="preserve"> tesis desarrollada en estos conceptos </w:t>
      </w:r>
      <w:r w:rsidR="00D05E28" w:rsidRPr="00F8515B">
        <w:rPr>
          <w:rFonts w:ascii="Arial" w:eastAsia="Calibri" w:hAnsi="Arial" w:cs="Arial"/>
          <w:bCs/>
          <w:color w:val="000000" w:themeColor="text1"/>
          <w:sz w:val="22"/>
          <w:lang w:val="es-ES_tradnl"/>
        </w:rPr>
        <w:t>se</w:t>
      </w:r>
      <w:r w:rsidR="009E16CE" w:rsidRPr="00F8515B">
        <w:rPr>
          <w:rFonts w:ascii="Arial" w:eastAsia="Calibri" w:hAnsi="Arial" w:cs="Arial"/>
          <w:bCs/>
          <w:color w:val="000000" w:themeColor="text1"/>
          <w:sz w:val="22"/>
          <w:lang w:val="es-ES_tradnl"/>
        </w:rPr>
        <w:t xml:space="preserve"> reitera y</w:t>
      </w:r>
      <w:r w:rsidR="00D05E28" w:rsidRPr="00F8515B">
        <w:rPr>
          <w:rFonts w:ascii="Arial" w:eastAsia="Calibri" w:hAnsi="Arial" w:cs="Arial"/>
          <w:bCs/>
          <w:color w:val="000000" w:themeColor="text1"/>
          <w:sz w:val="22"/>
          <w:lang w:val="es-ES_tradnl"/>
        </w:rPr>
        <w:t xml:space="preserve"> complementa</w:t>
      </w:r>
      <w:r w:rsidRPr="00F8515B">
        <w:rPr>
          <w:rFonts w:ascii="Arial" w:eastAsia="Calibri" w:hAnsi="Arial" w:cs="Arial"/>
          <w:bCs/>
          <w:color w:val="000000" w:themeColor="text1"/>
          <w:sz w:val="22"/>
          <w:lang w:val="es-ES_tradnl"/>
        </w:rPr>
        <w:t xml:space="preserve"> </w:t>
      </w:r>
      <w:r w:rsidR="00231FD4" w:rsidRPr="00F8515B">
        <w:rPr>
          <w:rFonts w:ascii="Arial" w:eastAsia="Calibri" w:hAnsi="Arial" w:cs="Arial"/>
          <w:bCs/>
          <w:color w:val="000000" w:themeColor="text1"/>
          <w:sz w:val="22"/>
          <w:lang w:val="es-ES_tradnl"/>
        </w:rPr>
        <w:t xml:space="preserve">en lo pertinente </w:t>
      </w:r>
      <w:r w:rsidR="00815027" w:rsidRPr="00F8515B">
        <w:rPr>
          <w:rFonts w:ascii="Arial" w:eastAsia="Calibri" w:hAnsi="Arial" w:cs="Arial"/>
          <w:bCs/>
          <w:color w:val="000000" w:themeColor="text1"/>
          <w:sz w:val="22"/>
          <w:lang w:val="es-ES_tradnl"/>
        </w:rPr>
        <w:t>a continuación</w:t>
      </w:r>
      <w:r w:rsidR="002B72C0" w:rsidRPr="00F8515B">
        <w:rPr>
          <w:rFonts w:ascii="Arial" w:eastAsia="Calibri" w:hAnsi="Arial" w:cs="Arial"/>
          <w:bCs/>
          <w:color w:val="000000" w:themeColor="text1"/>
          <w:sz w:val="22"/>
          <w:lang w:val="es-ES_tradnl"/>
        </w:rPr>
        <w:t>:</w:t>
      </w:r>
    </w:p>
    <w:p w14:paraId="1AB4C719" w14:textId="77777777" w:rsidR="005027F0" w:rsidRPr="00F8515B" w:rsidRDefault="005027F0" w:rsidP="00E7700C">
      <w:pPr>
        <w:tabs>
          <w:tab w:val="left" w:pos="426"/>
        </w:tabs>
        <w:spacing w:after="0"/>
        <w:ind w:firstLine="709"/>
        <w:rPr>
          <w:rFonts w:ascii="Arial" w:eastAsia="Calibri" w:hAnsi="Arial" w:cs="Arial"/>
          <w:b/>
          <w:bCs/>
          <w:color w:val="000000" w:themeColor="text1"/>
          <w:sz w:val="22"/>
          <w:lang w:val="es-ES_tradnl"/>
        </w:rPr>
      </w:pPr>
    </w:p>
    <w:p w14:paraId="3F6AE1E9" w14:textId="0D176E96" w:rsidR="00A8268C" w:rsidRPr="00F8515B" w:rsidRDefault="00577EF5" w:rsidP="00E7700C">
      <w:pPr>
        <w:tabs>
          <w:tab w:val="left" w:pos="426"/>
        </w:tabs>
        <w:spacing w:after="0"/>
        <w:rPr>
          <w:rFonts w:ascii="Arial" w:eastAsia="Calibri" w:hAnsi="Arial" w:cs="Arial"/>
          <w:b/>
          <w:bCs/>
          <w:color w:val="000000" w:themeColor="text1"/>
          <w:sz w:val="22"/>
          <w:lang w:val="es-ES_tradnl"/>
        </w:rPr>
      </w:pPr>
      <w:r w:rsidRPr="00F8515B">
        <w:rPr>
          <w:rFonts w:ascii="Arial" w:eastAsia="Calibri" w:hAnsi="Arial" w:cs="Arial"/>
          <w:b/>
          <w:bCs/>
          <w:color w:val="000000" w:themeColor="text1"/>
          <w:sz w:val="22"/>
          <w:lang w:val="es-ES_tradnl"/>
        </w:rPr>
        <w:t>2.1</w:t>
      </w:r>
      <w:r w:rsidR="00053991" w:rsidRPr="00F8515B">
        <w:rPr>
          <w:rFonts w:ascii="Arial" w:eastAsia="Calibri" w:hAnsi="Arial" w:cs="Arial"/>
          <w:b/>
          <w:bCs/>
          <w:color w:val="000000" w:themeColor="text1"/>
          <w:sz w:val="22"/>
          <w:lang w:val="es-ES_tradnl"/>
        </w:rPr>
        <w:t>.</w:t>
      </w:r>
      <w:r w:rsidRPr="00F8515B">
        <w:rPr>
          <w:rFonts w:ascii="Arial" w:eastAsia="Calibri" w:hAnsi="Arial" w:cs="Arial"/>
          <w:b/>
          <w:bCs/>
          <w:color w:val="000000" w:themeColor="text1"/>
          <w:sz w:val="22"/>
          <w:lang w:val="es-ES_tradnl"/>
        </w:rPr>
        <w:t xml:space="preserve"> D</w:t>
      </w:r>
      <w:r w:rsidR="00EB7836" w:rsidRPr="00F8515B">
        <w:rPr>
          <w:rFonts w:ascii="Arial" w:eastAsia="Calibri" w:hAnsi="Arial" w:cs="Arial"/>
          <w:b/>
          <w:bCs/>
          <w:color w:val="000000" w:themeColor="text1"/>
          <w:sz w:val="22"/>
          <w:lang w:val="es-ES_tradnl"/>
        </w:rPr>
        <w:t>efinición y finalidad de la Ley de Garantías Electorales</w:t>
      </w:r>
      <w:r w:rsidR="005617FA" w:rsidRPr="00F8515B">
        <w:rPr>
          <w:rFonts w:ascii="Arial" w:eastAsia="Calibri" w:hAnsi="Arial" w:cs="Arial"/>
          <w:b/>
          <w:bCs/>
          <w:color w:val="000000" w:themeColor="text1"/>
          <w:sz w:val="22"/>
          <w:lang w:val="es-ES_tradnl"/>
        </w:rPr>
        <w:t>: alcance de las restricciones</w:t>
      </w:r>
    </w:p>
    <w:p w14:paraId="56993992" w14:textId="77777777" w:rsidR="005027F0" w:rsidRPr="00F8515B" w:rsidRDefault="005027F0" w:rsidP="00E7700C">
      <w:pPr>
        <w:tabs>
          <w:tab w:val="left" w:pos="426"/>
        </w:tabs>
        <w:spacing w:after="0"/>
        <w:ind w:firstLine="709"/>
        <w:rPr>
          <w:rFonts w:ascii="Arial" w:eastAsia="Calibri" w:hAnsi="Arial" w:cs="Arial"/>
          <w:bCs/>
          <w:color w:val="000000" w:themeColor="text1"/>
          <w:sz w:val="22"/>
          <w:lang w:val="es-ES_tradnl"/>
        </w:rPr>
      </w:pPr>
    </w:p>
    <w:p w14:paraId="1DD449BA" w14:textId="3C991284" w:rsidR="005027F0" w:rsidRPr="00F8515B" w:rsidRDefault="00A8268C" w:rsidP="00E7700C">
      <w:pPr>
        <w:tabs>
          <w:tab w:val="left" w:pos="426"/>
        </w:tabs>
        <w:spacing w:after="120"/>
        <w:rPr>
          <w:rFonts w:ascii="Arial" w:eastAsia="Times New Roman" w:hAnsi="Arial" w:cs="Arial"/>
          <w:bCs/>
          <w:color w:val="000000" w:themeColor="text1"/>
          <w:sz w:val="22"/>
          <w:lang w:val="es-ES_tradnl" w:eastAsia="es-CO"/>
        </w:rPr>
      </w:pPr>
      <w:r w:rsidRPr="00F8515B">
        <w:rPr>
          <w:rFonts w:ascii="Arial" w:eastAsia="Calibri" w:hAnsi="Arial" w:cs="Arial"/>
          <w:bCs/>
          <w:color w:val="000000" w:themeColor="text1"/>
          <w:sz w:val="22"/>
          <w:lang w:val="es-ES_tradnl"/>
        </w:rPr>
        <w:t>El ordenamiento jurídico colombiano</w:t>
      </w:r>
      <w:r w:rsidR="009604AE" w:rsidRPr="00F8515B">
        <w:rPr>
          <w:rFonts w:ascii="Arial" w:eastAsia="Calibri" w:hAnsi="Arial" w:cs="Arial"/>
          <w:bCs/>
          <w:color w:val="000000" w:themeColor="text1"/>
          <w:sz w:val="22"/>
          <w:lang w:val="es-ES_tradnl"/>
        </w:rPr>
        <w:t xml:space="preserve"> </w:t>
      </w:r>
      <w:r w:rsidR="00B51689" w:rsidRPr="00F8515B">
        <w:rPr>
          <w:rFonts w:ascii="Arial" w:eastAsia="Calibri" w:hAnsi="Arial" w:cs="Arial"/>
          <w:bCs/>
          <w:color w:val="000000" w:themeColor="text1"/>
          <w:sz w:val="22"/>
          <w:lang w:val="es-ES_tradnl"/>
        </w:rPr>
        <w:t xml:space="preserve">contempla previsiones claras para evitar </w:t>
      </w:r>
      <w:r w:rsidR="00E008F1" w:rsidRPr="00F8515B">
        <w:rPr>
          <w:rFonts w:ascii="Arial" w:eastAsia="Calibri" w:hAnsi="Arial" w:cs="Arial"/>
          <w:bCs/>
          <w:color w:val="000000" w:themeColor="text1"/>
          <w:sz w:val="22"/>
          <w:lang w:val="es-ES_tradnl"/>
        </w:rPr>
        <w:t>la obtención de</w:t>
      </w:r>
      <w:r w:rsidR="00B51689" w:rsidRPr="00F8515B">
        <w:rPr>
          <w:rFonts w:ascii="Arial" w:eastAsia="Calibri" w:hAnsi="Arial" w:cs="Arial"/>
          <w:bCs/>
          <w:color w:val="000000" w:themeColor="text1"/>
          <w:sz w:val="22"/>
          <w:lang w:val="es-ES_tradnl"/>
        </w:rPr>
        <w:t xml:space="preserve"> </w:t>
      </w:r>
      <w:r w:rsidR="00E008F1" w:rsidRPr="00F8515B">
        <w:rPr>
          <w:rFonts w:ascii="Arial" w:eastAsia="Calibri" w:hAnsi="Arial" w:cs="Arial"/>
          <w:bCs/>
          <w:color w:val="000000" w:themeColor="text1"/>
          <w:sz w:val="22"/>
          <w:lang w:val="es-ES_tradnl"/>
        </w:rPr>
        <w:t>beneficios</w:t>
      </w:r>
      <w:r w:rsidR="00B51689" w:rsidRPr="00F8515B">
        <w:rPr>
          <w:rFonts w:ascii="Arial" w:eastAsia="Calibri" w:hAnsi="Arial" w:cs="Arial"/>
          <w:bCs/>
          <w:color w:val="000000" w:themeColor="text1"/>
          <w:sz w:val="22"/>
          <w:lang w:val="es-ES_tradnl"/>
        </w:rPr>
        <w:t xml:space="preserve"> </w:t>
      </w:r>
      <w:r w:rsidR="00E008F1" w:rsidRPr="00F8515B">
        <w:rPr>
          <w:rFonts w:ascii="Arial" w:eastAsia="Calibri" w:hAnsi="Arial" w:cs="Arial"/>
          <w:bCs/>
          <w:color w:val="000000" w:themeColor="text1"/>
          <w:sz w:val="22"/>
          <w:lang w:val="es-ES_tradnl"/>
        </w:rPr>
        <w:t>personales</w:t>
      </w:r>
      <w:r w:rsidR="00B51689" w:rsidRPr="00F8515B">
        <w:rPr>
          <w:rFonts w:ascii="Arial" w:eastAsia="Calibri" w:hAnsi="Arial" w:cs="Arial"/>
          <w:bCs/>
          <w:color w:val="000000" w:themeColor="text1"/>
          <w:sz w:val="22"/>
          <w:lang w:val="es-ES_tradnl"/>
        </w:rPr>
        <w:t xml:space="preserve"> en asuntos propios de la administración pública</w:t>
      </w:r>
      <w:r w:rsidR="00F91CA6" w:rsidRPr="00F8515B">
        <w:rPr>
          <w:rFonts w:ascii="Arial" w:eastAsia="Calibri" w:hAnsi="Arial" w:cs="Arial"/>
          <w:bCs/>
          <w:i/>
          <w:iCs/>
          <w:color w:val="000000" w:themeColor="text1"/>
          <w:sz w:val="22"/>
          <w:lang w:val="es-ES_tradnl"/>
        </w:rPr>
        <w:t xml:space="preserve">. </w:t>
      </w:r>
      <w:r w:rsidR="00F91CA6" w:rsidRPr="00F8515B">
        <w:rPr>
          <w:rFonts w:ascii="Arial" w:eastAsia="Calibri" w:hAnsi="Arial" w:cs="Arial"/>
          <w:bCs/>
          <w:color w:val="000000" w:themeColor="text1"/>
          <w:sz w:val="22"/>
          <w:lang w:val="es-ES_tradnl"/>
        </w:rPr>
        <w:t>Por ejemplo</w:t>
      </w:r>
      <w:r w:rsidR="00B51689" w:rsidRPr="00F8515B">
        <w:rPr>
          <w:rFonts w:ascii="Arial" w:eastAsia="Calibri" w:hAnsi="Arial" w:cs="Arial"/>
          <w:bCs/>
          <w:color w:val="000000" w:themeColor="text1"/>
          <w:sz w:val="22"/>
          <w:lang w:val="es-ES_tradnl"/>
        </w:rPr>
        <w:t xml:space="preserve">, el artículo 127 de la Constitución Política </w:t>
      </w:r>
      <w:r w:rsidR="00E008F1" w:rsidRPr="00F8515B">
        <w:rPr>
          <w:rFonts w:ascii="Arial" w:eastAsia="Calibri" w:hAnsi="Arial" w:cs="Arial"/>
          <w:bCs/>
          <w:color w:val="000000" w:themeColor="text1"/>
          <w:sz w:val="22"/>
          <w:lang w:val="es-ES_tradnl"/>
        </w:rPr>
        <w:t>establece una prohibición contractual a los servidores</w:t>
      </w:r>
      <w:r w:rsidR="00B51689" w:rsidRPr="00F8515B">
        <w:rPr>
          <w:rFonts w:ascii="Arial" w:eastAsia="Calibri" w:hAnsi="Arial" w:cs="Arial"/>
          <w:bCs/>
          <w:color w:val="000000" w:themeColor="text1"/>
          <w:sz w:val="22"/>
          <w:lang w:val="es-ES_tradnl"/>
        </w:rPr>
        <w:t xml:space="preserve"> públicos y en cuanto a aspectos políticos establece restricciones a ciertos empleados del Estado, incluso en época no electoral</w:t>
      </w:r>
      <w:r w:rsidR="00E008F1" w:rsidRPr="00F8515B">
        <w:rPr>
          <w:rStyle w:val="Refdenotaalpie"/>
          <w:rFonts w:ascii="Arial" w:eastAsia="Calibri" w:hAnsi="Arial" w:cs="Arial"/>
          <w:bCs/>
          <w:color w:val="000000" w:themeColor="text1"/>
          <w:sz w:val="22"/>
          <w:lang w:val="es-ES_tradnl"/>
        </w:rPr>
        <w:footnoteReference w:id="2"/>
      </w:r>
      <w:r w:rsidR="00B51689" w:rsidRPr="00F8515B">
        <w:rPr>
          <w:rFonts w:ascii="Arial" w:eastAsia="Calibri" w:hAnsi="Arial" w:cs="Arial"/>
          <w:bCs/>
          <w:color w:val="000000" w:themeColor="text1"/>
          <w:sz w:val="22"/>
          <w:lang w:val="es-ES_tradnl"/>
        </w:rPr>
        <w:t xml:space="preserve">. </w:t>
      </w:r>
    </w:p>
    <w:p w14:paraId="2A229386" w14:textId="02130E25" w:rsidR="00930831" w:rsidRPr="00F8515B" w:rsidRDefault="00847B6B" w:rsidP="00E7700C">
      <w:pPr>
        <w:tabs>
          <w:tab w:val="left" w:pos="426"/>
        </w:tabs>
        <w:spacing w:after="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lastRenderedPageBreak/>
        <w:t>En el mismo sentido</w:t>
      </w:r>
      <w:r w:rsidR="003833D7" w:rsidRPr="00F8515B">
        <w:rPr>
          <w:rFonts w:ascii="Arial" w:eastAsia="Times New Roman" w:hAnsi="Arial" w:cs="Arial"/>
          <w:bCs/>
          <w:color w:val="000000" w:themeColor="text1"/>
          <w:sz w:val="22"/>
          <w:lang w:val="es-ES_tradnl" w:eastAsia="es-CO"/>
        </w:rPr>
        <w:t xml:space="preserve">, </w:t>
      </w:r>
      <w:r w:rsidR="00097ABD" w:rsidRPr="00F8515B">
        <w:rPr>
          <w:rFonts w:ascii="Arial" w:eastAsia="Times New Roman" w:hAnsi="Arial" w:cs="Arial"/>
          <w:bCs/>
          <w:color w:val="000000" w:themeColor="text1"/>
          <w:sz w:val="22"/>
          <w:lang w:val="es-ES_tradnl" w:eastAsia="es-CO"/>
        </w:rPr>
        <w:t>l</w:t>
      </w:r>
      <w:r w:rsidR="00A46384" w:rsidRPr="00F8515B">
        <w:rPr>
          <w:rFonts w:ascii="Arial" w:eastAsia="Times New Roman" w:hAnsi="Arial" w:cs="Arial"/>
          <w:bCs/>
          <w:color w:val="000000" w:themeColor="text1"/>
          <w:sz w:val="22"/>
          <w:lang w:val="es-ES_tradnl" w:eastAsia="es-CO"/>
        </w:rPr>
        <w:t xml:space="preserve">a Ley 996 de 2005, conocida como </w:t>
      </w:r>
      <w:r w:rsidR="00F91CA6" w:rsidRPr="00F8515B">
        <w:rPr>
          <w:rFonts w:ascii="Arial" w:eastAsia="Times New Roman" w:hAnsi="Arial" w:cs="Arial"/>
          <w:bCs/>
          <w:color w:val="000000" w:themeColor="text1"/>
          <w:sz w:val="22"/>
          <w:lang w:val="es-ES_tradnl" w:eastAsia="es-CO"/>
        </w:rPr>
        <w:t>«</w:t>
      </w:r>
      <w:r w:rsidR="00A46384" w:rsidRPr="00F8515B">
        <w:rPr>
          <w:rFonts w:ascii="Arial" w:eastAsia="Times New Roman" w:hAnsi="Arial" w:cs="Arial"/>
          <w:bCs/>
          <w:color w:val="000000" w:themeColor="text1"/>
          <w:sz w:val="22"/>
          <w:lang w:val="es-ES_tradnl" w:eastAsia="es-CO"/>
        </w:rPr>
        <w:t>Ley de Garantías Electorales</w:t>
      </w:r>
      <w:r w:rsidR="00F91CA6" w:rsidRPr="00F8515B">
        <w:rPr>
          <w:rFonts w:ascii="Arial" w:eastAsia="Times New Roman" w:hAnsi="Arial" w:cs="Arial"/>
          <w:bCs/>
          <w:color w:val="000000" w:themeColor="text1"/>
          <w:sz w:val="22"/>
          <w:lang w:val="es-ES_tradnl" w:eastAsia="es-CO"/>
        </w:rPr>
        <w:t>»</w:t>
      </w:r>
      <w:r w:rsidR="00A46384" w:rsidRPr="00F8515B">
        <w:rPr>
          <w:rFonts w:ascii="Arial" w:eastAsia="Times New Roman" w:hAnsi="Arial" w:cs="Arial"/>
          <w:bCs/>
          <w:color w:val="000000" w:themeColor="text1"/>
          <w:sz w:val="22"/>
          <w:lang w:val="es-ES_tradnl"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F8515B">
        <w:rPr>
          <w:rStyle w:val="Refdenotaalpie"/>
          <w:rFonts w:ascii="Arial" w:eastAsia="Times New Roman" w:hAnsi="Arial" w:cs="Arial"/>
          <w:bCs/>
          <w:color w:val="000000" w:themeColor="text1"/>
          <w:sz w:val="22"/>
          <w:lang w:val="es-ES_tradnl" w:eastAsia="es-CO"/>
        </w:rPr>
        <w:footnoteReference w:id="3"/>
      </w:r>
      <w:r w:rsidR="009F7D1F" w:rsidRPr="00F8515B">
        <w:rPr>
          <w:rFonts w:ascii="Arial" w:eastAsia="Times New Roman" w:hAnsi="Arial" w:cs="Arial"/>
          <w:bCs/>
          <w:color w:val="000000" w:themeColor="text1"/>
          <w:sz w:val="22"/>
          <w:lang w:val="es-ES_tradnl" w:eastAsia="es-CO"/>
        </w:rPr>
        <w:t>. En esta medida,</w:t>
      </w:r>
      <w:r w:rsidR="00A46384" w:rsidRPr="00F8515B">
        <w:rPr>
          <w:rFonts w:ascii="Arial" w:eastAsia="Times New Roman" w:hAnsi="Arial" w:cs="Arial"/>
          <w:bCs/>
          <w:color w:val="000000" w:themeColor="text1"/>
          <w:sz w:val="22"/>
          <w:lang w:val="es-ES_tradnl"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F8515B">
        <w:rPr>
          <w:rFonts w:ascii="Arial" w:eastAsia="Calibri" w:hAnsi="Arial" w:cs="Arial"/>
          <w:noProof/>
          <w:color w:val="000000" w:themeColor="text1"/>
          <w:sz w:val="22"/>
          <w:lang w:val="es-ES_tradnl"/>
        </w:rPr>
        <w:t xml:space="preserve"> </w:t>
      </w:r>
      <w:r w:rsidRPr="00F8515B">
        <w:rPr>
          <w:rFonts w:ascii="Arial" w:eastAsia="Times New Roman" w:hAnsi="Arial" w:cs="Arial"/>
          <w:bCs/>
          <w:color w:val="000000" w:themeColor="text1"/>
          <w:sz w:val="22"/>
          <w:lang w:val="es-ES_tradnl" w:eastAsia="es-CO"/>
        </w:rPr>
        <w:t xml:space="preserve">En </w:t>
      </w:r>
      <w:r w:rsidR="00EB7836" w:rsidRPr="00F8515B">
        <w:rPr>
          <w:rFonts w:ascii="Arial" w:eastAsia="Times New Roman" w:hAnsi="Arial" w:cs="Arial"/>
          <w:bCs/>
          <w:color w:val="000000" w:themeColor="text1"/>
          <w:sz w:val="22"/>
          <w:lang w:val="es-ES_tradnl" w:eastAsia="es-CO"/>
        </w:rPr>
        <w:t xml:space="preserve">armonía con lo anterior, </w:t>
      </w:r>
      <w:r w:rsidRPr="00F8515B">
        <w:rPr>
          <w:rFonts w:ascii="Arial" w:eastAsia="Times New Roman" w:hAnsi="Arial" w:cs="Arial"/>
          <w:bCs/>
          <w:color w:val="000000" w:themeColor="text1"/>
          <w:sz w:val="22"/>
          <w:lang w:val="es-ES_tradnl" w:eastAsia="es-CO"/>
        </w:rPr>
        <w:t>l</w:t>
      </w:r>
      <w:r w:rsidR="00930831" w:rsidRPr="00F8515B">
        <w:rPr>
          <w:rFonts w:ascii="Arial" w:eastAsia="Times New Roman" w:hAnsi="Arial" w:cs="Arial"/>
          <w:bCs/>
          <w:color w:val="000000" w:themeColor="text1"/>
          <w:sz w:val="22"/>
          <w:lang w:val="es-ES_tradnl" w:eastAsia="es-CO"/>
        </w:rPr>
        <w:t xml:space="preserve">a Corte Constitucional ha abordado la definición de </w:t>
      </w:r>
      <w:r w:rsidR="00252AEC" w:rsidRPr="00F8515B">
        <w:rPr>
          <w:rFonts w:ascii="Arial" w:eastAsia="Times New Roman" w:hAnsi="Arial" w:cs="Arial"/>
          <w:bCs/>
          <w:color w:val="000000" w:themeColor="text1"/>
          <w:sz w:val="22"/>
          <w:lang w:val="es-ES_tradnl" w:eastAsia="es-CO"/>
        </w:rPr>
        <w:t>la</w:t>
      </w:r>
      <w:r w:rsidR="00930831" w:rsidRPr="00F8515B">
        <w:rPr>
          <w:rFonts w:ascii="Arial" w:eastAsia="Times New Roman" w:hAnsi="Arial" w:cs="Arial"/>
          <w:bCs/>
          <w:color w:val="000000" w:themeColor="text1"/>
          <w:sz w:val="22"/>
          <w:lang w:val="es-ES_tradnl" w:eastAsia="es-CO"/>
        </w:rPr>
        <w:t xml:space="preserve"> </w:t>
      </w:r>
      <w:r w:rsidR="00252AEC" w:rsidRPr="00F8515B">
        <w:rPr>
          <w:rFonts w:ascii="Arial" w:eastAsia="Times New Roman" w:hAnsi="Arial" w:cs="Arial"/>
          <w:bCs/>
          <w:color w:val="000000" w:themeColor="text1"/>
          <w:sz w:val="22"/>
          <w:lang w:val="es-ES_tradnl" w:eastAsia="es-CO"/>
        </w:rPr>
        <w:t>L</w:t>
      </w:r>
      <w:r w:rsidR="00930831" w:rsidRPr="00F8515B">
        <w:rPr>
          <w:rFonts w:ascii="Arial" w:eastAsia="Times New Roman" w:hAnsi="Arial" w:cs="Arial"/>
          <w:bCs/>
          <w:color w:val="000000" w:themeColor="text1"/>
          <w:sz w:val="22"/>
          <w:lang w:val="es-ES_tradnl" w:eastAsia="es-CO"/>
        </w:rPr>
        <w:t xml:space="preserve">ey de </w:t>
      </w:r>
      <w:r w:rsidR="00252AEC" w:rsidRPr="00F8515B">
        <w:rPr>
          <w:rFonts w:ascii="Arial" w:eastAsia="Times New Roman" w:hAnsi="Arial" w:cs="Arial"/>
          <w:bCs/>
          <w:color w:val="000000" w:themeColor="text1"/>
          <w:sz w:val="22"/>
          <w:lang w:val="es-ES_tradnl" w:eastAsia="es-CO"/>
        </w:rPr>
        <w:t>G</w:t>
      </w:r>
      <w:r w:rsidR="00930831" w:rsidRPr="00F8515B">
        <w:rPr>
          <w:rFonts w:ascii="Arial" w:eastAsia="Times New Roman" w:hAnsi="Arial" w:cs="Arial"/>
          <w:bCs/>
          <w:color w:val="000000" w:themeColor="text1"/>
          <w:sz w:val="22"/>
          <w:lang w:val="es-ES_tradnl" w:eastAsia="es-CO"/>
        </w:rPr>
        <w:t>arantías</w:t>
      </w:r>
      <w:r w:rsidR="00252AEC" w:rsidRPr="00F8515B">
        <w:rPr>
          <w:rFonts w:ascii="Arial" w:eastAsia="Times New Roman" w:hAnsi="Arial" w:cs="Arial"/>
          <w:bCs/>
          <w:color w:val="000000" w:themeColor="text1"/>
          <w:sz w:val="22"/>
          <w:lang w:val="es-ES_tradnl" w:eastAsia="es-CO"/>
        </w:rPr>
        <w:t xml:space="preserve"> Electorales</w:t>
      </w:r>
      <w:r w:rsidR="00F91CA6" w:rsidRPr="00F8515B">
        <w:rPr>
          <w:rFonts w:ascii="Arial" w:eastAsia="Times New Roman" w:hAnsi="Arial" w:cs="Arial"/>
          <w:bCs/>
          <w:color w:val="000000" w:themeColor="text1"/>
          <w:sz w:val="22"/>
          <w:lang w:val="es-ES_tradnl" w:eastAsia="es-CO"/>
        </w:rPr>
        <w:t>. De esta manera, explica que tiene como propósito</w:t>
      </w:r>
      <w:r w:rsidR="00930831" w:rsidRPr="00F8515B">
        <w:rPr>
          <w:rFonts w:ascii="Arial" w:eastAsia="Times New Roman" w:hAnsi="Arial" w:cs="Arial"/>
          <w:bCs/>
          <w:color w:val="000000" w:themeColor="text1"/>
          <w:sz w:val="22"/>
          <w:lang w:val="es-ES_tradnl" w:eastAsia="es-CO"/>
        </w:rPr>
        <w:t>:</w:t>
      </w:r>
    </w:p>
    <w:p w14:paraId="2AE4C60A" w14:textId="77777777" w:rsidR="000B680C" w:rsidRPr="00F8515B" w:rsidRDefault="000B680C" w:rsidP="00E7700C">
      <w:pPr>
        <w:spacing w:after="0"/>
        <w:ind w:right="709"/>
        <w:rPr>
          <w:rFonts w:ascii="Arial" w:eastAsia="Times New Roman" w:hAnsi="Arial" w:cs="Arial"/>
          <w:color w:val="000000" w:themeColor="text1"/>
          <w:sz w:val="21"/>
          <w:szCs w:val="21"/>
          <w:lang w:val="es-ES_tradnl" w:eastAsia="es-CO"/>
        </w:rPr>
      </w:pPr>
    </w:p>
    <w:p w14:paraId="1EC4C745" w14:textId="734BA5A0" w:rsidR="00930831" w:rsidRPr="00F8515B" w:rsidRDefault="000B680C" w:rsidP="000641BE">
      <w:pPr>
        <w:spacing w:after="0" w:line="240" w:lineRule="auto"/>
        <w:ind w:left="709" w:right="709"/>
        <w:rPr>
          <w:rFonts w:ascii="Arial" w:eastAsia="Times New Roman" w:hAnsi="Arial" w:cs="Arial"/>
          <w:bCs/>
          <w:color w:val="000000" w:themeColor="text1"/>
          <w:sz w:val="21"/>
          <w:szCs w:val="21"/>
          <w:lang w:val="es-ES_tradnl" w:eastAsia="es-CO"/>
        </w:rPr>
      </w:pPr>
      <w:r w:rsidRPr="00F8515B">
        <w:rPr>
          <w:rFonts w:ascii="Arial" w:eastAsia="Times New Roman" w:hAnsi="Arial" w:cs="Arial"/>
          <w:color w:val="000000" w:themeColor="text1"/>
          <w:sz w:val="21"/>
          <w:szCs w:val="21"/>
          <w:lang w:val="es-ES_tradnl" w:eastAsia="es-CO"/>
        </w:rPr>
        <w:t>[…]</w:t>
      </w:r>
      <w:r w:rsidR="006D5176" w:rsidRPr="00F8515B">
        <w:rPr>
          <w:rFonts w:ascii="Arial" w:eastAsia="Times New Roman" w:hAnsi="Arial" w:cs="Arial"/>
          <w:color w:val="000000" w:themeColor="text1"/>
          <w:sz w:val="21"/>
          <w:szCs w:val="21"/>
          <w:lang w:val="es-ES_tradnl" w:eastAsia="es-CO"/>
        </w:rPr>
        <w:t xml:space="preserve"> </w:t>
      </w:r>
      <w:r w:rsidR="00930831" w:rsidRPr="00F8515B">
        <w:rPr>
          <w:rFonts w:ascii="Arial" w:eastAsia="Times New Roman"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F8515B" w:rsidRDefault="00930831" w:rsidP="000641BE">
      <w:pPr>
        <w:spacing w:after="120" w:line="240" w:lineRule="auto"/>
        <w:ind w:left="709" w:right="709"/>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 xml:space="preserve">[…] </w:t>
      </w:r>
    </w:p>
    <w:p w14:paraId="4AEB132E" w14:textId="5D836BC4" w:rsidR="00930831" w:rsidRPr="00F8515B" w:rsidRDefault="00930831" w:rsidP="000641BE">
      <w:pPr>
        <w:spacing w:after="0" w:line="240" w:lineRule="auto"/>
        <w:ind w:left="709" w:right="709"/>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F8515B">
        <w:rPr>
          <w:rFonts w:ascii="Arial" w:eastAsia="Times New Roman" w:hAnsi="Arial" w:cs="Arial"/>
          <w:bCs/>
          <w:color w:val="000000" w:themeColor="text1"/>
          <w:sz w:val="21"/>
          <w:szCs w:val="21"/>
          <w:lang w:val="es-ES_tradnl" w:eastAsia="es-CO"/>
        </w:rPr>
        <w:t>ómico de los que se lo disputan</w:t>
      </w:r>
      <w:r w:rsidRPr="00F8515B">
        <w:rPr>
          <w:rFonts w:ascii="Arial" w:eastAsia="Times New Roman" w:hAnsi="Arial" w:cs="Arial"/>
          <w:bCs/>
          <w:color w:val="000000" w:themeColor="text1"/>
          <w:sz w:val="21"/>
          <w:szCs w:val="21"/>
          <w:lang w:val="es-ES_tradnl" w:eastAsia="es-CO"/>
        </w:rPr>
        <w:t>.</w:t>
      </w:r>
      <w:r w:rsidR="009F3083" w:rsidRPr="00F8515B">
        <w:rPr>
          <w:rStyle w:val="Refdenotaalpie"/>
          <w:rFonts w:ascii="Arial" w:hAnsi="Arial" w:cs="Arial"/>
          <w:color w:val="000000" w:themeColor="text1"/>
          <w:sz w:val="20"/>
          <w:szCs w:val="20"/>
          <w:lang w:val="es-ES_tradnl"/>
        </w:rPr>
        <w:footnoteReference w:id="4"/>
      </w:r>
    </w:p>
    <w:p w14:paraId="0512AD18" w14:textId="77777777" w:rsidR="00535A7F" w:rsidRPr="00F8515B" w:rsidRDefault="00535A7F" w:rsidP="00E7700C">
      <w:pPr>
        <w:spacing w:after="0"/>
        <w:ind w:left="709" w:right="709"/>
        <w:rPr>
          <w:rFonts w:ascii="Arial" w:eastAsia="Times New Roman" w:hAnsi="Arial" w:cs="Arial"/>
          <w:bCs/>
          <w:color w:val="000000" w:themeColor="text1"/>
          <w:sz w:val="21"/>
          <w:szCs w:val="21"/>
          <w:lang w:val="es-ES_tradnl" w:eastAsia="es-CO"/>
        </w:rPr>
      </w:pPr>
    </w:p>
    <w:p w14:paraId="7592456D" w14:textId="6ACD31BA" w:rsidR="000D457E" w:rsidRPr="00F8515B" w:rsidRDefault="00A46384" w:rsidP="00E7700C">
      <w:pPr>
        <w:spacing w:after="0"/>
        <w:ind w:firstLine="709"/>
        <w:rPr>
          <w:rFonts w:ascii="Arial" w:eastAsia="Times New Roman" w:hAnsi="Arial" w:cs="Arial"/>
          <w:bCs/>
          <w:color w:val="000000" w:themeColor="text1"/>
          <w:sz w:val="22"/>
          <w:lang w:val="es-ES_tradnl" w:eastAsia="es-CO"/>
        </w:rPr>
      </w:pPr>
      <w:bookmarkStart w:id="14" w:name="_Hlk78818186"/>
      <w:r w:rsidRPr="00F8515B">
        <w:rPr>
          <w:rFonts w:ascii="Arial" w:eastAsia="Times New Roman" w:hAnsi="Arial" w:cs="Arial"/>
          <w:bCs/>
          <w:color w:val="000000" w:themeColor="text1"/>
          <w:sz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F8515B">
        <w:rPr>
          <w:rFonts w:ascii="Arial" w:eastAsia="Times New Roman" w:hAnsi="Arial" w:cs="Arial"/>
          <w:bCs/>
          <w:color w:val="000000" w:themeColor="text1"/>
          <w:sz w:val="22"/>
          <w:lang w:val="es-ES_tradnl" w:eastAsia="es-CO"/>
        </w:rPr>
        <w:t xml:space="preserve"> </w:t>
      </w:r>
      <w:bookmarkEnd w:id="14"/>
      <w:r w:rsidR="0062127B" w:rsidRPr="00F8515B">
        <w:rPr>
          <w:rFonts w:ascii="Arial" w:eastAsia="Times New Roman" w:hAnsi="Arial" w:cs="Arial"/>
          <w:bCs/>
          <w:color w:val="000000" w:themeColor="text1"/>
          <w:sz w:val="22"/>
          <w:lang w:val="es-ES_tradnl" w:eastAsia="es-CO"/>
        </w:rPr>
        <w:t>Por ello</w:t>
      </w:r>
      <w:r w:rsidR="00883662" w:rsidRPr="00F8515B">
        <w:rPr>
          <w:rFonts w:ascii="Arial" w:eastAsia="Times New Roman" w:hAnsi="Arial" w:cs="Arial"/>
          <w:bCs/>
          <w:color w:val="000000" w:themeColor="text1"/>
          <w:sz w:val="22"/>
          <w:lang w:val="es-ES_tradnl" w:eastAsia="es-CO"/>
        </w:rPr>
        <w:t xml:space="preserve">, </w:t>
      </w:r>
      <w:r w:rsidR="00D626A3" w:rsidRPr="00F8515B">
        <w:rPr>
          <w:rFonts w:ascii="Arial" w:eastAsia="Times New Roman" w:hAnsi="Arial" w:cs="Arial"/>
          <w:bCs/>
          <w:color w:val="000000" w:themeColor="text1"/>
          <w:sz w:val="22"/>
          <w:lang w:val="es-ES_tradnl" w:eastAsia="es-CO"/>
        </w:rPr>
        <w:t xml:space="preserve">varias de las disposiciones de la </w:t>
      </w:r>
      <w:r w:rsidR="00883662" w:rsidRPr="00F8515B">
        <w:rPr>
          <w:rFonts w:ascii="Arial" w:eastAsia="Times New Roman" w:hAnsi="Arial" w:cs="Arial"/>
          <w:bCs/>
          <w:color w:val="000000" w:themeColor="text1"/>
          <w:sz w:val="22"/>
          <w:lang w:val="es-ES_tradnl" w:eastAsia="es-CO"/>
        </w:rPr>
        <w:t>Ley 996 de 2005</w:t>
      </w:r>
      <w:r w:rsidR="00D626A3" w:rsidRPr="00F8515B">
        <w:rPr>
          <w:rFonts w:ascii="Arial" w:eastAsia="Times New Roman" w:hAnsi="Arial" w:cs="Arial"/>
          <w:bCs/>
          <w:color w:val="000000" w:themeColor="text1"/>
          <w:sz w:val="22"/>
          <w:lang w:val="es-ES_tradnl" w:eastAsia="es-CO"/>
        </w:rPr>
        <w:t>,</w:t>
      </w:r>
      <w:r w:rsidR="00883662" w:rsidRPr="00F8515B">
        <w:rPr>
          <w:rFonts w:ascii="Arial" w:eastAsia="Times New Roman" w:hAnsi="Arial" w:cs="Arial"/>
          <w:bCs/>
          <w:color w:val="000000" w:themeColor="text1"/>
          <w:sz w:val="22"/>
          <w:lang w:val="es-ES_tradnl" w:eastAsia="es-CO"/>
        </w:rPr>
        <w:t xml:space="preserve"> al contener normas</w:t>
      </w:r>
      <w:r w:rsidR="000D457E" w:rsidRPr="00F8515B">
        <w:rPr>
          <w:rFonts w:ascii="Arial" w:eastAsia="Times New Roman" w:hAnsi="Arial" w:cs="Arial"/>
          <w:bCs/>
          <w:color w:val="000000" w:themeColor="text1"/>
          <w:sz w:val="22"/>
          <w:lang w:val="es-ES_tradnl" w:eastAsia="es-CO"/>
        </w:rPr>
        <w:t xml:space="preserve"> </w:t>
      </w:r>
      <w:r w:rsidR="00883662" w:rsidRPr="00F8515B">
        <w:rPr>
          <w:rFonts w:ascii="Arial" w:eastAsia="Times New Roman" w:hAnsi="Arial" w:cs="Arial"/>
          <w:bCs/>
          <w:color w:val="000000" w:themeColor="text1"/>
          <w:sz w:val="22"/>
          <w:lang w:val="es-ES_tradnl" w:eastAsia="es-CO"/>
        </w:rPr>
        <w:t>prohibitivas</w:t>
      </w:r>
      <w:r w:rsidR="00D626A3" w:rsidRPr="00F8515B">
        <w:rPr>
          <w:rFonts w:ascii="Arial" w:eastAsia="Times New Roman" w:hAnsi="Arial" w:cs="Arial"/>
          <w:bCs/>
          <w:color w:val="000000" w:themeColor="text1"/>
          <w:sz w:val="22"/>
          <w:lang w:val="es-ES_tradnl" w:eastAsia="es-CO"/>
        </w:rPr>
        <w:t>,</w:t>
      </w:r>
      <w:r w:rsidR="00883662" w:rsidRPr="00F8515B">
        <w:rPr>
          <w:rFonts w:ascii="Arial" w:eastAsia="Times New Roman" w:hAnsi="Arial" w:cs="Arial"/>
          <w:bCs/>
          <w:color w:val="000000" w:themeColor="text1"/>
          <w:sz w:val="22"/>
          <w:lang w:val="es-ES_tradnl" w:eastAsia="es-CO"/>
        </w:rPr>
        <w:t xml:space="preserve"> </w:t>
      </w:r>
      <w:r w:rsidR="000D457E" w:rsidRPr="00F8515B">
        <w:rPr>
          <w:rFonts w:ascii="Arial" w:eastAsia="Times New Roman" w:hAnsi="Arial" w:cs="Arial"/>
          <w:bCs/>
          <w:color w:val="000000" w:themeColor="text1"/>
          <w:sz w:val="22"/>
          <w:lang w:val="es-ES_tradnl" w:eastAsia="es-CO"/>
        </w:rPr>
        <w:t>no admite</w:t>
      </w:r>
      <w:r w:rsidR="00D626A3" w:rsidRPr="00F8515B">
        <w:rPr>
          <w:rFonts w:ascii="Arial" w:eastAsia="Times New Roman" w:hAnsi="Arial" w:cs="Arial"/>
          <w:bCs/>
          <w:color w:val="000000" w:themeColor="text1"/>
          <w:sz w:val="22"/>
          <w:lang w:val="es-ES_tradnl" w:eastAsia="es-CO"/>
        </w:rPr>
        <w:t>n</w:t>
      </w:r>
      <w:r w:rsidR="000D457E" w:rsidRPr="00F8515B">
        <w:rPr>
          <w:rFonts w:ascii="Arial" w:eastAsia="Times New Roman" w:hAnsi="Arial" w:cs="Arial"/>
          <w:bCs/>
          <w:color w:val="000000" w:themeColor="text1"/>
          <w:sz w:val="22"/>
          <w:lang w:val="es-ES_tradnl" w:eastAsia="es-CO"/>
        </w:rPr>
        <w:t xml:space="preserve"> una interpretación amplia</w:t>
      </w:r>
      <w:r w:rsidR="00D626A3" w:rsidRPr="00F8515B">
        <w:rPr>
          <w:rFonts w:ascii="Arial" w:eastAsia="Times New Roman" w:hAnsi="Arial" w:cs="Arial"/>
          <w:bCs/>
          <w:color w:val="000000" w:themeColor="text1"/>
          <w:sz w:val="22"/>
          <w:lang w:val="es-ES_tradnl" w:eastAsia="es-CO"/>
        </w:rPr>
        <w:t xml:space="preserve">, sino que deben interpretarse </w:t>
      </w:r>
      <w:r w:rsidR="00D626A3" w:rsidRPr="00F8515B">
        <w:rPr>
          <w:rFonts w:ascii="Arial" w:eastAsia="Times New Roman" w:hAnsi="Arial" w:cs="Arial"/>
          <w:bCs/>
          <w:color w:val="000000" w:themeColor="text1"/>
          <w:sz w:val="22"/>
          <w:lang w:val="es-ES_tradnl" w:eastAsia="es-CO"/>
        </w:rPr>
        <w:lastRenderedPageBreak/>
        <w:t xml:space="preserve">restrictivamente. En efecto, la Sala de Consulta y Servicio Civil del Consejo de Estado al analizar </w:t>
      </w:r>
      <w:r w:rsidR="000D457E" w:rsidRPr="00F8515B">
        <w:rPr>
          <w:rFonts w:ascii="Arial" w:eastAsia="Times New Roman" w:hAnsi="Arial" w:cs="Arial"/>
          <w:bCs/>
          <w:color w:val="000000" w:themeColor="text1"/>
          <w:sz w:val="22"/>
          <w:lang w:val="es-ES_tradnl" w:eastAsia="es-CO"/>
        </w:rPr>
        <w:t>la referida ley</w:t>
      </w:r>
      <w:r w:rsidR="00883662" w:rsidRPr="00F8515B">
        <w:rPr>
          <w:rFonts w:ascii="Arial" w:eastAsia="Times New Roman" w:hAnsi="Arial" w:cs="Arial"/>
          <w:bCs/>
          <w:color w:val="000000" w:themeColor="text1"/>
          <w:sz w:val="22"/>
          <w:lang w:val="es-ES_tradnl" w:eastAsia="es-CO"/>
        </w:rPr>
        <w:t>,</w:t>
      </w:r>
      <w:r w:rsidR="000D457E" w:rsidRPr="00F8515B">
        <w:rPr>
          <w:rFonts w:ascii="Arial" w:eastAsia="Times New Roman" w:hAnsi="Arial" w:cs="Arial"/>
          <w:bCs/>
          <w:color w:val="000000" w:themeColor="text1"/>
          <w:sz w:val="22"/>
          <w:lang w:val="es-ES_tradnl" w:eastAsia="es-CO"/>
        </w:rPr>
        <w:t xml:space="preserve"> precis</w:t>
      </w:r>
      <w:r w:rsidR="0094059F" w:rsidRPr="00F8515B">
        <w:rPr>
          <w:rFonts w:ascii="Arial" w:eastAsia="Times New Roman" w:hAnsi="Arial" w:cs="Arial"/>
          <w:bCs/>
          <w:color w:val="000000" w:themeColor="text1"/>
          <w:sz w:val="22"/>
          <w:lang w:val="es-ES_tradnl" w:eastAsia="es-CO"/>
        </w:rPr>
        <w:t>ó</w:t>
      </w:r>
      <w:r w:rsidR="000D457E" w:rsidRPr="00F8515B">
        <w:rPr>
          <w:rFonts w:ascii="Arial" w:eastAsia="Times New Roman" w:hAnsi="Arial" w:cs="Arial"/>
          <w:bCs/>
          <w:color w:val="000000" w:themeColor="text1"/>
          <w:sz w:val="22"/>
          <w:lang w:val="es-ES_tradnl" w:eastAsia="es-CO"/>
        </w:rPr>
        <w:t xml:space="preserve"> lo siguiente:</w:t>
      </w:r>
    </w:p>
    <w:p w14:paraId="45AFCCC5" w14:textId="77777777" w:rsidR="00D626A3" w:rsidRPr="00F8515B" w:rsidRDefault="00D626A3" w:rsidP="00E7700C">
      <w:pPr>
        <w:spacing w:after="0"/>
        <w:ind w:firstLine="709"/>
        <w:rPr>
          <w:rFonts w:ascii="Arial" w:eastAsia="Times New Roman" w:hAnsi="Arial" w:cs="Arial"/>
          <w:bCs/>
          <w:color w:val="000000" w:themeColor="text1"/>
          <w:sz w:val="22"/>
          <w:lang w:val="es-ES_tradnl" w:eastAsia="es-CO"/>
        </w:rPr>
      </w:pPr>
    </w:p>
    <w:p w14:paraId="5F802D56" w14:textId="5CF9A162" w:rsidR="000D457E" w:rsidRPr="00F8515B" w:rsidRDefault="000D457E" w:rsidP="000641BE">
      <w:pPr>
        <w:spacing w:after="120" w:line="240" w:lineRule="auto"/>
        <w:ind w:left="709" w:right="709"/>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F8515B">
        <w:rPr>
          <w:rFonts w:ascii="Arial" w:eastAsia="Times New Roman" w:hAnsi="Arial" w:cs="Arial"/>
          <w:bCs/>
          <w:color w:val="000000" w:themeColor="text1"/>
          <w:sz w:val="21"/>
          <w:szCs w:val="21"/>
          <w:lang w:val="es-ES_tradnl" w:eastAsia="es-CO"/>
        </w:rPr>
        <w:t>legis</w:t>
      </w:r>
      <w:proofErr w:type="spellEnd"/>
      <w:r w:rsidRPr="00F8515B">
        <w:rPr>
          <w:rFonts w:ascii="Arial" w:eastAsia="Times New Roman" w:hAnsi="Arial" w:cs="Arial"/>
          <w:bCs/>
          <w:color w:val="000000" w:themeColor="text1"/>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F8515B" w:rsidRDefault="000D457E" w:rsidP="000641BE">
      <w:pPr>
        <w:spacing w:after="0" w:line="240" w:lineRule="auto"/>
        <w:ind w:left="709" w:right="709"/>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La jurisprudencia de la Corte Constitucional</w:t>
      </w:r>
      <w:r w:rsidR="001F55B5" w:rsidRPr="00F8515B">
        <w:rPr>
          <w:rStyle w:val="Refdenotaalpie"/>
          <w:rFonts w:ascii="Arial" w:eastAsia="Times New Roman" w:hAnsi="Arial" w:cs="Arial"/>
          <w:bCs/>
          <w:color w:val="000000" w:themeColor="text1"/>
          <w:sz w:val="21"/>
          <w:szCs w:val="21"/>
          <w:lang w:val="es-ES_tradnl" w:eastAsia="es-CO"/>
        </w:rPr>
        <w:footnoteReference w:id="5"/>
      </w:r>
      <w:r w:rsidRPr="00F8515B">
        <w:rPr>
          <w:rFonts w:ascii="Arial" w:eastAsia="Times New Roman" w:hAnsi="Arial" w:cs="Arial"/>
          <w:bCs/>
          <w:color w:val="000000" w:themeColor="text1"/>
          <w:sz w:val="21"/>
          <w:szCs w:val="21"/>
          <w:lang w:val="es-ES_tradnl" w:eastAsia="es-CO"/>
        </w:rPr>
        <w:t> y del Consejo de Estado</w:t>
      </w:r>
      <w:r w:rsidR="001F55B5" w:rsidRPr="00F8515B">
        <w:rPr>
          <w:rStyle w:val="Refdenotaalpie"/>
          <w:rFonts w:ascii="Arial" w:eastAsia="Times New Roman" w:hAnsi="Arial" w:cs="Arial"/>
          <w:bCs/>
          <w:color w:val="000000" w:themeColor="text1"/>
          <w:sz w:val="21"/>
          <w:szCs w:val="21"/>
          <w:lang w:val="es-ES_tradnl" w:eastAsia="es-CO"/>
        </w:rPr>
        <w:footnoteReference w:id="6"/>
      </w:r>
      <w:r w:rsidRPr="00F8515B">
        <w:rPr>
          <w:rFonts w:ascii="Arial" w:eastAsia="Times New Roman" w:hAnsi="Arial" w:cs="Arial"/>
          <w:bCs/>
          <w:color w:val="000000" w:themeColor="text1"/>
          <w:sz w:val="21"/>
          <w:szCs w:val="21"/>
          <w:lang w:val="es-ES_tradnl"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F8515B">
        <w:rPr>
          <w:rFonts w:ascii="Arial" w:eastAsia="Times New Roman" w:hAnsi="Arial" w:cs="Arial"/>
          <w:bCs/>
          <w:color w:val="000000" w:themeColor="text1"/>
          <w:sz w:val="21"/>
          <w:szCs w:val="21"/>
          <w:lang w:val="es-ES_tradnl" w:eastAsia="es-CO"/>
        </w:rPr>
        <w:t>intérprete</w:t>
      </w:r>
      <w:r w:rsidRPr="00F8515B">
        <w:rPr>
          <w:rFonts w:ascii="Arial" w:eastAsia="Times New Roman" w:hAnsi="Arial" w:cs="Arial"/>
          <w:bCs/>
          <w:color w:val="000000" w:themeColor="text1"/>
          <w:sz w:val="21"/>
          <w:szCs w:val="21"/>
          <w:lang w:val="es-ES_tradnl"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F8515B">
        <w:rPr>
          <w:rStyle w:val="Refdenotaalpie"/>
          <w:rFonts w:ascii="Arial" w:eastAsia="Times New Roman" w:hAnsi="Arial" w:cs="Arial"/>
          <w:bCs/>
          <w:color w:val="000000" w:themeColor="text1"/>
          <w:sz w:val="22"/>
          <w:lang w:val="es-ES_tradnl" w:eastAsia="es-CO"/>
        </w:rPr>
        <w:footnoteReference w:id="7"/>
      </w:r>
      <w:r w:rsidR="00D626A3" w:rsidRPr="00F8515B">
        <w:rPr>
          <w:rFonts w:ascii="Arial" w:eastAsia="Times New Roman" w:hAnsi="Arial" w:cs="Arial"/>
          <w:bCs/>
          <w:color w:val="000000" w:themeColor="text1"/>
          <w:sz w:val="21"/>
          <w:szCs w:val="21"/>
          <w:lang w:val="es-ES_tradnl" w:eastAsia="es-CO"/>
        </w:rPr>
        <w:t>.</w:t>
      </w:r>
    </w:p>
    <w:p w14:paraId="12707F41" w14:textId="1652A0E8" w:rsidR="00281ED6" w:rsidRPr="00F8515B" w:rsidRDefault="00281ED6" w:rsidP="00E7700C">
      <w:pPr>
        <w:spacing w:after="0"/>
        <w:ind w:right="709"/>
        <w:rPr>
          <w:rFonts w:ascii="Arial" w:eastAsia="Times New Roman" w:hAnsi="Arial" w:cs="Arial"/>
          <w:bCs/>
          <w:color w:val="000000" w:themeColor="text1"/>
          <w:sz w:val="21"/>
          <w:szCs w:val="21"/>
          <w:lang w:val="es-ES_tradnl" w:eastAsia="es-CO"/>
        </w:rPr>
      </w:pPr>
    </w:p>
    <w:p w14:paraId="0FDECA41" w14:textId="115BAA3B" w:rsidR="005D064A" w:rsidRPr="00F8515B" w:rsidRDefault="005617FA" w:rsidP="00E7700C">
      <w:pPr>
        <w:spacing w:after="120"/>
        <w:rPr>
          <w:rFonts w:ascii="Arial" w:eastAsia="Arial" w:hAnsi="Arial" w:cs="Arial"/>
          <w:color w:val="000000" w:themeColor="text1"/>
          <w:sz w:val="22"/>
          <w:lang w:val="es-ES_tradnl" w:eastAsia="es-ES" w:bidi="es-ES"/>
        </w:rPr>
      </w:pPr>
      <w:r w:rsidRPr="00F8515B">
        <w:rPr>
          <w:rFonts w:ascii="Arial" w:eastAsia="Times New Roman" w:hAnsi="Arial" w:cs="Arial"/>
          <w:bCs/>
          <w:color w:val="000000" w:themeColor="text1"/>
          <w:sz w:val="22"/>
          <w:lang w:val="es-ES_tradnl" w:eastAsia="es-CO"/>
        </w:rPr>
        <w:tab/>
      </w:r>
      <w:r w:rsidR="0022085C" w:rsidRPr="00F8515B">
        <w:rPr>
          <w:rFonts w:ascii="Arial" w:eastAsia="Times New Roman" w:hAnsi="Arial" w:cs="Arial"/>
          <w:bCs/>
          <w:color w:val="000000" w:themeColor="text1"/>
          <w:sz w:val="22"/>
          <w:lang w:val="es-ES_tradnl" w:eastAsia="es-CO"/>
        </w:rPr>
        <w:t>De</w:t>
      </w:r>
      <w:r w:rsidR="0022085C" w:rsidRPr="00F8515B">
        <w:rPr>
          <w:rFonts w:ascii="Arial" w:eastAsia="Arial" w:hAnsi="Arial" w:cs="Arial"/>
          <w:color w:val="000000" w:themeColor="text1"/>
          <w:sz w:val="22"/>
          <w:lang w:val="es-ES_tradnl" w:eastAsia="es-ES" w:bidi="es-ES"/>
        </w:rPr>
        <w:t xml:space="preserve"> conformidad con lo anterior, </w:t>
      </w:r>
      <w:bookmarkStart w:id="15" w:name="_Hlk77236098"/>
      <w:r w:rsidR="0022085C" w:rsidRPr="00F8515B">
        <w:rPr>
          <w:rFonts w:ascii="Arial" w:eastAsia="Arial" w:hAnsi="Arial" w:cs="Arial"/>
          <w:color w:val="000000" w:themeColor="text1"/>
          <w:sz w:val="22"/>
          <w:lang w:val="es-ES_tradnl" w:eastAsia="es-ES" w:bidi="es-ES"/>
        </w:rPr>
        <w:t xml:space="preserve">la Ley de Garantías Electorales fijó una serie de regulaciones y prohibiciones dirigidas a los servidores públicos. </w:t>
      </w:r>
      <w:r w:rsidR="005E1F70" w:rsidRPr="00F8515B">
        <w:rPr>
          <w:rFonts w:ascii="Arial" w:eastAsia="Arial" w:hAnsi="Arial" w:cs="Arial"/>
          <w:color w:val="000000" w:themeColor="text1"/>
          <w:sz w:val="22"/>
          <w:lang w:val="es-ES_tradnl"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F8515B">
        <w:rPr>
          <w:rFonts w:ascii="Arial" w:eastAsia="Arial" w:hAnsi="Arial" w:cs="Arial"/>
          <w:color w:val="000000" w:themeColor="text1"/>
          <w:sz w:val="22"/>
          <w:lang w:val="es-ES_tradnl" w:eastAsia="es-ES" w:bidi="es-ES"/>
        </w:rPr>
        <w:t xml:space="preserve"> Específicamente, </w:t>
      </w:r>
      <w:r w:rsidR="005E1F70" w:rsidRPr="00F8515B">
        <w:rPr>
          <w:rFonts w:ascii="Arial" w:eastAsia="Arial" w:hAnsi="Arial" w:cs="Arial"/>
          <w:color w:val="000000" w:themeColor="text1"/>
          <w:sz w:val="22"/>
          <w:lang w:val="es-ES_tradnl" w:eastAsia="es-ES" w:bidi="es-ES"/>
        </w:rPr>
        <w:t>las restricciones consagradas en la citada ley</w:t>
      </w:r>
      <w:r w:rsidR="0022085C" w:rsidRPr="00F8515B">
        <w:rPr>
          <w:rFonts w:ascii="Arial" w:eastAsia="Arial" w:hAnsi="Arial" w:cs="Arial"/>
          <w:color w:val="000000" w:themeColor="text1"/>
          <w:sz w:val="22"/>
          <w:lang w:val="es-ES_tradnl" w:eastAsia="es-ES" w:bidi="es-ES"/>
        </w:rPr>
        <w:t xml:space="preserve"> se dirigen a dos</w:t>
      </w:r>
      <w:r w:rsidRPr="00F8515B">
        <w:rPr>
          <w:rFonts w:ascii="Arial" w:eastAsia="Arial" w:hAnsi="Arial" w:cs="Arial"/>
          <w:color w:val="000000" w:themeColor="text1"/>
          <w:sz w:val="22"/>
          <w:lang w:val="es-ES_tradnl" w:eastAsia="es-ES" w:bidi="es-ES"/>
        </w:rPr>
        <w:t xml:space="preserve"> (2)</w:t>
      </w:r>
      <w:r w:rsidR="0022085C" w:rsidRPr="00F8515B">
        <w:rPr>
          <w:rFonts w:ascii="Arial" w:eastAsia="Arial" w:hAnsi="Arial" w:cs="Arial"/>
          <w:color w:val="000000" w:themeColor="text1"/>
          <w:sz w:val="22"/>
          <w:lang w:val="es-ES_tradnl" w:eastAsia="es-ES" w:bidi="es-ES"/>
        </w:rPr>
        <w:t xml:space="preserve"> tipos de campañas electorales </w:t>
      </w:r>
      <w:r w:rsidR="0022085C" w:rsidRPr="00F8515B">
        <w:rPr>
          <w:rFonts w:ascii="Arial" w:eastAsia="Arial" w:hAnsi="Arial" w:cs="Arial"/>
          <w:color w:val="000000" w:themeColor="text1"/>
          <w:sz w:val="22"/>
          <w:lang w:val="es-ES_tradnl" w:eastAsia="es-ES" w:bidi="es-ES"/>
        </w:rPr>
        <w:lastRenderedPageBreak/>
        <w:t>claramente diferenciadas: las presidenciales y las demás que se adelanten para la elección de los demás cargos de elección popular, tanto a nivel nacional como a nivel territorial.</w:t>
      </w:r>
      <w:bookmarkEnd w:id="15"/>
    </w:p>
    <w:p w14:paraId="2A8ACE46" w14:textId="5804C507" w:rsidR="005D064A" w:rsidRPr="00F8515B" w:rsidRDefault="005D064A" w:rsidP="00E7700C">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Por un</w:t>
      </w:r>
      <w:r w:rsidR="00427BD7" w:rsidRPr="00F8515B">
        <w:rPr>
          <w:rFonts w:ascii="Arial" w:eastAsia="Calibri" w:hAnsi="Arial" w:cs="Arial"/>
          <w:color w:val="000000" w:themeColor="text1"/>
          <w:sz w:val="22"/>
          <w:lang w:val="es-ES_tradnl"/>
        </w:rPr>
        <w:t xml:space="preserve"> </w:t>
      </w:r>
      <w:r w:rsidR="005617FA" w:rsidRPr="00F8515B">
        <w:rPr>
          <w:rFonts w:ascii="Arial" w:eastAsia="Calibri" w:hAnsi="Arial" w:cs="Arial"/>
          <w:color w:val="000000" w:themeColor="text1"/>
          <w:sz w:val="22"/>
          <w:lang w:val="es-ES_tradnl"/>
        </w:rPr>
        <w:t>lado</w:t>
      </w:r>
      <w:r w:rsidR="0022085C" w:rsidRPr="00F8515B">
        <w:rPr>
          <w:rFonts w:ascii="Arial" w:eastAsia="Calibri" w:hAnsi="Arial" w:cs="Arial"/>
          <w:color w:val="000000" w:themeColor="text1"/>
          <w:sz w:val="22"/>
          <w:lang w:val="es-ES_tradnl"/>
        </w:rPr>
        <w:t xml:space="preserve">, el artículo 33 de la Ley 996 de 2005 </w:t>
      </w:r>
      <w:r w:rsidR="005617FA" w:rsidRPr="00F8515B">
        <w:rPr>
          <w:rFonts w:ascii="Arial" w:eastAsia="Calibri" w:hAnsi="Arial" w:cs="Arial"/>
          <w:color w:val="000000" w:themeColor="text1"/>
          <w:sz w:val="22"/>
          <w:lang w:val="es-ES_tradnl"/>
        </w:rPr>
        <w:t>prohíbe</w:t>
      </w:r>
      <w:r w:rsidR="0022085C" w:rsidRPr="00F8515B">
        <w:rPr>
          <w:rFonts w:ascii="Arial" w:eastAsia="Calibri" w:hAnsi="Arial" w:cs="Arial"/>
          <w:color w:val="000000" w:themeColor="text1"/>
          <w:sz w:val="22"/>
          <w:lang w:val="es-ES_tradnl"/>
        </w:rPr>
        <w:t xml:space="preserve"> </w:t>
      </w:r>
      <w:r w:rsidR="0022085C" w:rsidRPr="00F8515B">
        <w:rPr>
          <w:rFonts w:ascii="Arial" w:eastAsia="Calibri" w:hAnsi="Arial" w:cs="Arial"/>
          <w:bCs/>
          <w:color w:val="000000" w:themeColor="text1"/>
          <w:sz w:val="22"/>
          <w:lang w:val="es-ES_tradnl"/>
        </w:rPr>
        <w:t xml:space="preserve">«[…] </w:t>
      </w:r>
      <w:r w:rsidR="0022085C" w:rsidRPr="00F8515B">
        <w:rPr>
          <w:rFonts w:ascii="Arial" w:eastAsia="Calibri" w:hAnsi="Arial" w:cs="Arial"/>
          <w:color w:val="000000" w:themeColor="text1"/>
          <w:sz w:val="22"/>
          <w:lang w:val="es-ES_tradnl"/>
        </w:rPr>
        <w:t>la contratación directa por parte de todos los entes del Estado</w:t>
      </w:r>
      <w:r w:rsidR="0022085C" w:rsidRPr="00F8515B">
        <w:rPr>
          <w:rFonts w:ascii="Arial" w:eastAsia="Calibri" w:hAnsi="Arial" w:cs="Arial"/>
          <w:bCs/>
          <w:color w:val="000000" w:themeColor="text1"/>
          <w:sz w:val="22"/>
          <w:lang w:val="es-ES_tradnl"/>
        </w:rPr>
        <w:t>»</w:t>
      </w:r>
      <w:r w:rsidR="0022085C" w:rsidRPr="00F8515B">
        <w:rPr>
          <w:rFonts w:ascii="Arial" w:eastAsia="Calibri" w:hAnsi="Arial" w:cs="Arial"/>
          <w:color w:val="000000" w:themeColor="text1"/>
          <w:sz w:val="22"/>
          <w:lang w:val="es-ES_tradnl"/>
        </w:rPr>
        <w:t xml:space="preserve"> durante los cuatro (4) meses anteriores a las elecciones presidenciales, salvo </w:t>
      </w:r>
      <w:r w:rsidR="0022085C" w:rsidRPr="00F8515B">
        <w:rPr>
          <w:rFonts w:ascii="Arial" w:eastAsia="Calibri" w:hAnsi="Arial" w:cs="Arial"/>
          <w:bCs/>
          <w:color w:val="000000" w:themeColor="text1"/>
          <w:sz w:val="22"/>
          <w:lang w:val="es-ES_tradnl"/>
        </w:rPr>
        <w:t xml:space="preserve">«[…] </w:t>
      </w:r>
      <w:r w:rsidR="0022085C" w:rsidRPr="00F8515B">
        <w:rPr>
          <w:rFonts w:ascii="Arial" w:eastAsia="Calibri" w:hAnsi="Arial" w:cs="Arial"/>
          <w:color w:val="000000" w:themeColor="text1"/>
          <w:sz w:val="22"/>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F8515B">
        <w:rPr>
          <w:rFonts w:ascii="Arial" w:eastAsia="Calibri" w:hAnsi="Arial" w:cs="Arial"/>
          <w:bCs/>
          <w:color w:val="000000" w:themeColor="text1"/>
          <w:sz w:val="22"/>
          <w:lang w:val="es-ES_tradnl"/>
        </w:rPr>
        <w:t>»</w:t>
      </w:r>
      <w:r w:rsidR="0022085C" w:rsidRPr="00F8515B">
        <w:rPr>
          <w:rFonts w:ascii="Arial" w:eastAsia="Calibri" w:hAnsi="Arial" w:cs="Arial"/>
          <w:bCs/>
          <w:color w:val="000000" w:themeColor="text1"/>
          <w:sz w:val="22"/>
          <w:vertAlign w:val="superscript"/>
          <w:lang w:val="es-ES_tradnl"/>
        </w:rPr>
        <w:footnoteReference w:id="8"/>
      </w:r>
      <w:r w:rsidR="0022085C" w:rsidRPr="00F8515B">
        <w:rPr>
          <w:rFonts w:ascii="Arial" w:eastAsia="Calibri" w:hAnsi="Arial" w:cs="Arial"/>
          <w:color w:val="000000" w:themeColor="text1"/>
          <w:sz w:val="22"/>
          <w:lang w:val="es-ES_tradnl"/>
        </w:rPr>
        <w:t>.</w:t>
      </w:r>
    </w:p>
    <w:p w14:paraId="279AEBA3" w14:textId="30015405" w:rsidR="0022085C" w:rsidRPr="00F8515B" w:rsidRDefault="0022085C" w:rsidP="00E7700C">
      <w:pPr>
        <w:widowControl w:val="0"/>
        <w:autoSpaceDE w:val="0"/>
        <w:autoSpaceDN w:val="0"/>
        <w:spacing w:after="0"/>
        <w:ind w:right="113" w:firstLine="708"/>
        <w:rPr>
          <w:rFonts w:ascii="Arial" w:eastAsia="Arial" w:hAnsi="Arial" w:cs="Arial"/>
          <w:color w:val="000000" w:themeColor="text1"/>
          <w:sz w:val="22"/>
          <w:lang w:val="es-ES_tradnl" w:eastAsia="es-ES" w:bidi="es-ES"/>
        </w:rPr>
      </w:pPr>
      <w:r w:rsidRPr="00F8515B">
        <w:rPr>
          <w:rFonts w:ascii="Arial" w:eastAsia="Calibri" w:hAnsi="Arial" w:cs="Arial"/>
          <w:color w:val="000000" w:themeColor="text1"/>
          <w:sz w:val="22"/>
          <w:lang w:val="es-ES_tradnl"/>
        </w:rPr>
        <w:t xml:space="preserve">Por </w:t>
      </w:r>
      <w:r w:rsidR="00BD484B" w:rsidRPr="00F8515B">
        <w:rPr>
          <w:rFonts w:ascii="Arial" w:eastAsia="Calibri" w:hAnsi="Arial" w:cs="Arial"/>
          <w:color w:val="000000" w:themeColor="text1"/>
          <w:sz w:val="22"/>
          <w:lang w:val="es-ES_tradnl"/>
        </w:rPr>
        <w:t>otr</w:t>
      </w:r>
      <w:r w:rsidR="0050246B" w:rsidRPr="00F8515B">
        <w:rPr>
          <w:rFonts w:ascii="Arial" w:eastAsia="Calibri" w:hAnsi="Arial" w:cs="Arial"/>
          <w:color w:val="000000" w:themeColor="text1"/>
          <w:sz w:val="22"/>
          <w:lang w:val="es-ES_tradnl"/>
        </w:rPr>
        <w:t>o lado</w:t>
      </w:r>
      <w:r w:rsidRPr="00F8515B">
        <w:rPr>
          <w:rFonts w:ascii="Arial" w:eastAsia="Calibri" w:hAnsi="Arial" w:cs="Arial"/>
          <w:color w:val="000000" w:themeColor="text1"/>
          <w:sz w:val="22"/>
          <w:lang w:val="es-ES_tradnl"/>
        </w:rPr>
        <w:t xml:space="preserve">, el parágrafo del artículo 38 de la Ley 996 de 2005 prevé una restricción, aplicable respecto de cualquier tipo de </w:t>
      </w:r>
      <w:r w:rsidR="005617FA" w:rsidRPr="00F8515B">
        <w:rPr>
          <w:rFonts w:ascii="Arial" w:eastAsia="Calibri" w:hAnsi="Arial" w:cs="Arial"/>
          <w:color w:val="000000" w:themeColor="text1"/>
          <w:sz w:val="22"/>
          <w:lang w:val="es-ES_tradnl"/>
        </w:rPr>
        <w:t>contienda electoral</w:t>
      </w:r>
      <w:r w:rsidRPr="00F8515B">
        <w:rPr>
          <w:rFonts w:ascii="Arial" w:eastAsia="Calibri" w:hAnsi="Arial" w:cs="Arial"/>
          <w:color w:val="000000" w:themeColor="text1"/>
          <w:sz w:val="22"/>
          <w:lang w:val="es-ES_tradnl"/>
        </w:rPr>
        <w:t xml:space="preserve">, que prohíbe a los gobernadores, alcaldes municipales o distritales, secretarios, gerentes y directores de entidades descentralizadas del orden municipal, departamental o distrital </w:t>
      </w:r>
      <w:r w:rsidRPr="00F8515B">
        <w:rPr>
          <w:rFonts w:ascii="Arial" w:eastAsia="Calibri" w:hAnsi="Arial" w:cs="Arial"/>
          <w:bCs/>
          <w:color w:val="000000" w:themeColor="text1"/>
          <w:sz w:val="22"/>
          <w:lang w:val="es-ES_tradnl"/>
        </w:rPr>
        <w:t xml:space="preserve">«[…] </w:t>
      </w:r>
      <w:r w:rsidRPr="00F8515B">
        <w:rPr>
          <w:rFonts w:ascii="Arial" w:eastAsia="Calibri" w:hAnsi="Arial" w:cs="Arial"/>
          <w:color w:val="000000" w:themeColor="text1"/>
          <w:sz w:val="22"/>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8515B">
        <w:rPr>
          <w:rFonts w:ascii="Arial" w:eastAsia="Calibri" w:hAnsi="Arial" w:cs="Arial"/>
          <w:bCs/>
          <w:color w:val="000000" w:themeColor="text1"/>
          <w:sz w:val="19"/>
          <w:szCs w:val="19"/>
          <w:lang w:val="es-ES_tradnl"/>
        </w:rPr>
        <w:t>»</w:t>
      </w:r>
      <w:r w:rsidRPr="00F8515B">
        <w:rPr>
          <w:rFonts w:ascii="Arial" w:eastAsia="Calibri" w:hAnsi="Arial" w:cs="Arial"/>
          <w:bCs/>
          <w:color w:val="000000" w:themeColor="text1"/>
          <w:sz w:val="19"/>
          <w:szCs w:val="19"/>
          <w:vertAlign w:val="superscript"/>
          <w:lang w:val="es-ES_tradnl"/>
        </w:rPr>
        <w:footnoteReference w:id="9"/>
      </w:r>
      <w:r w:rsidRPr="00F8515B">
        <w:rPr>
          <w:rFonts w:ascii="Arial" w:eastAsia="Calibri" w:hAnsi="Arial" w:cs="Arial"/>
          <w:color w:val="000000" w:themeColor="text1"/>
          <w:sz w:val="22"/>
          <w:lang w:val="es-ES_tradnl"/>
        </w:rPr>
        <w:t>.</w:t>
      </w:r>
      <w:r w:rsidR="005617FA" w:rsidRPr="00F8515B">
        <w:rPr>
          <w:rFonts w:ascii="Arial" w:eastAsia="Arial" w:hAnsi="Arial" w:cs="Arial"/>
          <w:color w:val="000000" w:themeColor="text1"/>
          <w:sz w:val="22"/>
          <w:lang w:val="es-ES_tradnl" w:eastAsia="es-ES" w:bidi="es-ES"/>
        </w:rPr>
        <w:t xml:space="preserve"> </w:t>
      </w:r>
      <w:r w:rsidRPr="00F8515B">
        <w:rPr>
          <w:rFonts w:ascii="Arial" w:eastAsia="Arial" w:hAnsi="Arial" w:cs="Arial"/>
          <w:color w:val="000000" w:themeColor="text1"/>
          <w:sz w:val="22"/>
          <w:lang w:val="es-ES_tradnl" w:eastAsia="es-ES" w:bidi="es-ES"/>
        </w:rPr>
        <w:t>La Sala de Consulta y Servicio Civil del Consejo de Estado ha aclarado la distinción en la aplicación de las prohibiciones de la Ley 996 de 2005, dependiendo del tipo de elección que se trate</w:t>
      </w:r>
      <w:r w:rsidR="005617FA" w:rsidRPr="00F8515B">
        <w:rPr>
          <w:rFonts w:ascii="Arial" w:eastAsia="Arial" w:hAnsi="Arial" w:cs="Arial"/>
          <w:color w:val="000000" w:themeColor="text1"/>
          <w:sz w:val="22"/>
          <w:lang w:val="es-ES_tradnl" w:eastAsia="es-ES" w:bidi="es-ES"/>
        </w:rPr>
        <w:t xml:space="preserve">. Al respecto, </w:t>
      </w:r>
      <w:r w:rsidR="005617FA" w:rsidRPr="00F8515B">
        <w:rPr>
          <w:rFonts w:ascii="Arial" w:eastAsia="Arial" w:hAnsi="Arial" w:cs="Arial"/>
          <w:color w:val="000000" w:themeColor="text1"/>
          <w:sz w:val="22"/>
          <w:lang w:val="es-ES_tradnl" w:eastAsia="es-ES" w:bidi="es-ES"/>
        </w:rPr>
        <w:lastRenderedPageBreak/>
        <w:t>considera que</w:t>
      </w:r>
      <w:r w:rsidRPr="00F8515B">
        <w:rPr>
          <w:rFonts w:ascii="Arial" w:eastAsia="Arial" w:hAnsi="Arial" w:cs="Arial"/>
          <w:color w:val="000000" w:themeColor="text1"/>
          <w:sz w:val="22"/>
          <w:lang w:val="es-ES_tradnl" w:eastAsia="es-ES" w:bidi="es-ES"/>
        </w:rPr>
        <w:t>:</w:t>
      </w:r>
    </w:p>
    <w:p w14:paraId="7D4E9CFC" w14:textId="77777777" w:rsidR="0022085C" w:rsidRPr="00F8515B" w:rsidRDefault="0022085C" w:rsidP="00E7700C">
      <w:pPr>
        <w:widowControl w:val="0"/>
        <w:autoSpaceDE w:val="0"/>
        <w:autoSpaceDN w:val="0"/>
        <w:spacing w:after="0"/>
        <w:ind w:left="805" w:right="812"/>
        <w:rPr>
          <w:rFonts w:ascii="Arial" w:eastAsia="Arial" w:hAnsi="Arial" w:cs="Arial"/>
          <w:color w:val="000000" w:themeColor="text1"/>
          <w:sz w:val="22"/>
          <w:lang w:val="es-ES_tradnl" w:eastAsia="es-ES" w:bidi="es-ES"/>
        </w:rPr>
      </w:pPr>
    </w:p>
    <w:p w14:paraId="4BE96868" w14:textId="3391572F" w:rsidR="0022085C" w:rsidRPr="00F8515B" w:rsidRDefault="0022085C" w:rsidP="000641BE">
      <w:pPr>
        <w:widowControl w:val="0"/>
        <w:autoSpaceDE w:val="0"/>
        <w:autoSpaceDN w:val="0"/>
        <w:spacing w:after="0" w:line="240" w:lineRule="auto"/>
        <w:ind w:left="709" w:right="709"/>
        <w:rPr>
          <w:rFonts w:ascii="Arial" w:eastAsia="Arial" w:hAnsi="Arial" w:cs="Arial"/>
          <w:color w:val="000000" w:themeColor="text1"/>
          <w:sz w:val="21"/>
          <w:szCs w:val="21"/>
          <w:lang w:val="es-ES_tradnl" w:eastAsia="es-ES" w:bidi="es-ES"/>
        </w:rPr>
      </w:pPr>
      <w:r w:rsidRPr="00F8515B">
        <w:rPr>
          <w:rFonts w:ascii="Arial" w:eastAsia="Arial" w:hAnsi="Arial" w:cs="Arial"/>
          <w:color w:val="000000" w:themeColor="text1"/>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8" w:name="_Hlk76109421"/>
      <w:r w:rsidRPr="00F8515B">
        <w:rPr>
          <w:rFonts w:ascii="Arial" w:eastAsia="Arial" w:hAnsi="Arial" w:cs="Arial"/>
          <w:color w:val="000000" w:themeColor="text1"/>
          <w:sz w:val="21"/>
          <w:szCs w:val="21"/>
          <w:lang w:val="es-ES_tradnl" w:eastAsia="es-ES" w:bidi="es-ES"/>
        </w:rPr>
        <w:t>se integran parcialmente</w:t>
      </w:r>
      <w:bookmarkEnd w:id="18"/>
      <w:r w:rsidRPr="00F8515B">
        <w:rPr>
          <w:rFonts w:ascii="Arial" w:eastAsia="Arial" w:hAnsi="Arial" w:cs="Arial"/>
          <w:color w:val="000000" w:themeColor="text1"/>
          <w:sz w:val="21"/>
          <w:szCs w:val="21"/>
          <w:lang w:val="es-ES_tradnl"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8515B">
        <w:rPr>
          <w:rFonts w:ascii="Arial" w:eastAsia="Arial" w:hAnsi="Arial" w:cs="Arial"/>
          <w:bCs/>
          <w:color w:val="000000" w:themeColor="text1"/>
          <w:sz w:val="21"/>
          <w:szCs w:val="21"/>
          <w:lang w:val="es-ES_tradnl" w:eastAsia="es-ES" w:bidi="es-ES"/>
        </w:rPr>
        <w:t xml:space="preserve">En cambio, para elecciones en general, excluyendo las correspondientes a </w:t>
      </w:r>
      <w:proofErr w:type="gramStart"/>
      <w:r w:rsidRPr="00F8515B">
        <w:rPr>
          <w:rFonts w:ascii="Arial" w:eastAsia="Arial" w:hAnsi="Arial" w:cs="Arial"/>
          <w:bCs/>
          <w:color w:val="000000" w:themeColor="text1"/>
          <w:sz w:val="21"/>
          <w:szCs w:val="21"/>
          <w:lang w:val="es-ES_tradnl" w:eastAsia="es-ES" w:bidi="es-ES"/>
        </w:rPr>
        <w:t>Presidente</w:t>
      </w:r>
      <w:proofErr w:type="gramEnd"/>
      <w:r w:rsidRPr="00F8515B">
        <w:rPr>
          <w:rFonts w:ascii="Arial" w:eastAsia="Arial" w:hAnsi="Arial" w:cs="Arial"/>
          <w:bCs/>
          <w:color w:val="000000" w:themeColor="text1"/>
          <w:sz w:val="21"/>
          <w:szCs w:val="21"/>
          <w:lang w:val="es-ES_tradnl" w:eastAsia="es-ES" w:bidi="es-ES"/>
        </w:rPr>
        <w:t xml:space="preserve"> de la República, a las autoridades territoriales allí mencionadas sólo se aplican las restricciones contenidas en el parágrafo del artículo 38</w:t>
      </w:r>
      <w:r w:rsidRPr="00F8515B">
        <w:rPr>
          <w:rFonts w:ascii="Arial" w:eastAsia="Arial" w:hAnsi="Arial" w:cs="Arial"/>
          <w:color w:val="000000" w:themeColor="text1"/>
          <w:sz w:val="21"/>
          <w:szCs w:val="21"/>
          <w:lang w:val="es-ES_tradnl" w:eastAsia="es-ES" w:bidi="es-ES"/>
        </w:rPr>
        <w:t>.</w:t>
      </w:r>
      <w:r w:rsidRPr="00F8515B">
        <w:rPr>
          <w:rFonts w:ascii="Arial" w:eastAsia="Arial" w:hAnsi="Arial" w:cs="Arial"/>
          <w:color w:val="000000" w:themeColor="text1"/>
          <w:sz w:val="21"/>
          <w:szCs w:val="21"/>
          <w:vertAlign w:val="superscript"/>
          <w:lang w:val="es-ES_tradnl" w:eastAsia="es-ES" w:bidi="es-ES"/>
        </w:rPr>
        <w:footnoteReference w:id="10"/>
      </w:r>
    </w:p>
    <w:p w14:paraId="5457372B" w14:textId="77777777" w:rsidR="0022085C" w:rsidRPr="00F8515B" w:rsidRDefault="0022085C" w:rsidP="00E7700C">
      <w:pPr>
        <w:widowControl w:val="0"/>
        <w:autoSpaceDE w:val="0"/>
        <w:autoSpaceDN w:val="0"/>
        <w:spacing w:before="8" w:after="0"/>
        <w:jc w:val="left"/>
        <w:rPr>
          <w:rFonts w:ascii="Arial" w:eastAsia="Arial" w:hAnsi="Arial" w:cs="Arial"/>
          <w:color w:val="000000" w:themeColor="text1"/>
          <w:sz w:val="22"/>
          <w:lang w:val="es-ES_tradnl" w:eastAsia="es-ES" w:bidi="es-ES"/>
        </w:rPr>
      </w:pPr>
    </w:p>
    <w:p w14:paraId="73F45566" w14:textId="44ACF7CC" w:rsidR="000932C2" w:rsidRPr="00F8515B" w:rsidRDefault="0022085C" w:rsidP="00E7700C">
      <w:pPr>
        <w:spacing w:after="120"/>
        <w:ind w:firstLine="709"/>
        <w:rPr>
          <w:rFonts w:ascii="Arial" w:eastAsia="Arial" w:hAnsi="Arial" w:cs="Arial"/>
          <w:color w:val="000000" w:themeColor="text1"/>
          <w:sz w:val="22"/>
          <w:lang w:val="es-ES_tradnl" w:eastAsia="es-ES" w:bidi="es-ES"/>
        </w:rPr>
      </w:pPr>
      <w:r w:rsidRPr="00F8515B">
        <w:rPr>
          <w:rFonts w:ascii="Arial" w:eastAsia="Arial" w:hAnsi="Arial" w:cs="Arial"/>
          <w:color w:val="000000" w:themeColor="text1"/>
          <w:sz w:val="22"/>
          <w:lang w:val="es-ES_tradnl" w:eastAsia="es-ES" w:bidi="es-ES"/>
        </w:rPr>
        <w:t xml:space="preserve">De conformidad con lo anterior, </w:t>
      </w:r>
      <w:bookmarkStart w:id="19" w:name="_Hlk77236420"/>
      <w:bookmarkStart w:id="20" w:name="_Hlk78818435"/>
      <w:bookmarkStart w:id="21" w:name="_Hlk75780333"/>
      <w:r w:rsidRPr="00F8515B">
        <w:rPr>
          <w:rFonts w:ascii="Arial" w:eastAsia="Arial" w:hAnsi="Arial" w:cs="Arial"/>
          <w:color w:val="000000" w:themeColor="text1"/>
          <w:sz w:val="22"/>
          <w:lang w:val="es-ES_tradnl" w:eastAsia="es-ES" w:bidi="es-ES"/>
        </w:rPr>
        <w:t>la Ley 996 de 2005 establece dos</w:t>
      </w:r>
      <w:r w:rsidR="00F10F67" w:rsidRPr="00F8515B">
        <w:rPr>
          <w:rFonts w:ascii="Arial" w:eastAsia="Arial" w:hAnsi="Arial" w:cs="Arial"/>
          <w:color w:val="000000" w:themeColor="text1"/>
          <w:sz w:val="22"/>
          <w:lang w:val="es-ES_tradnl" w:eastAsia="es-ES" w:bidi="es-ES"/>
        </w:rPr>
        <w:t xml:space="preserve"> (2)</w:t>
      </w:r>
      <w:r w:rsidRPr="00F8515B">
        <w:rPr>
          <w:rFonts w:ascii="Arial" w:eastAsia="Arial" w:hAnsi="Arial" w:cs="Arial"/>
          <w:color w:val="000000" w:themeColor="text1"/>
          <w:sz w:val="22"/>
          <w:lang w:val="es-ES_tradnl" w:eastAsia="es-ES" w:bidi="es-ES"/>
        </w:rPr>
        <w:t xml:space="preserve"> tipos de restricciones en materia de contratación, las cuales coinciden parcialmente</w:t>
      </w:r>
      <w:r w:rsidR="00DF3E38" w:rsidRPr="00F8515B">
        <w:rPr>
          <w:rFonts w:ascii="Arial" w:eastAsia="Arial" w:hAnsi="Arial" w:cs="Arial"/>
          <w:color w:val="000000" w:themeColor="text1"/>
          <w:sz w:val="22"/>
          <w:lang w:val="es-ES_tradnl" w:eastAsia="es-ES" w:bidi="es-ES"/>
        </w:rPr>
        <w:t xml:space="preserve">. </w:t>
      </w:r>
      <w:r w:rsidR="00DF3E38" w:rsidRPr="00F8515B">
        <w:rPr>
          <w:rFonts w:ascii="Arial" w:eastAsia="Arial" w:hAnsi="Arial" w:cs="Arial"/>
          <w:i/>
          <w:iCs/>
          <w:color w:val="000000" w:themeColor="text1"/>
          <w:sz w:val="22"/>
          <w:lang w:val="es-ES_tradnl" w:eastAsia="es-ES" w:bidi="es-ES"/>
        </w:rPr>
        <w:t>En primer lugar</w:t>
      </w:r>
      <w:r w:rsidR="00DF3E38" w:rsidRPr="00F8515B">
        <w:rPr>
          <w:rFonts w:ascii="Arial" w:eastAsia="Arial" w:hAnsi="Arial" w:cs="Arial"/>
          <w:color w:val="000000" w:themeColor="text1"/>
          <w:sz w:val="22"/>
          <w:lang w:val="es-ES_tradnl" w:eastAsia="es-ES" w:bidi="es-ES"/>
        </w:rPr>
        <w:t>,</w:t>
      </w:r>
      <w:r w:rsidRPr="00F8515B">
        <w:rPr>
          <w:rFonts w:ascii="Arial" w:eastAsia="Arial" w:hAnsi="Arial" w:cs="Arial"/>
          <w:color w:val="000000" w:themeColor="text1"/>
          <w:sz w:val="22"/>
          <w:lang w:val="es-ES_tradnl" w:eastAsia="es-ES" w:bidi="es-ES"/>
        </w:rPr>
        <w:t xml:space="preserve"> </w:t>
      </w:r>
      <w:r w:rsidR="00F10F67" w:rsidRPr="00F8515B">
        <w:rPr>
          <w:rFonts w:ascii="Arial" w:eastAsia="Arial" w:hAnsi="Arial" w:cs="Arial"/>
          <w:color w:val="000000" w:themeColor="text1"/>
          <w:sz w:val="22"/>
          <w:lang w:val="es-ES_tradnl" w:eastAsia="es-ES" w:bidi="es-ES"/>
        </w:rPr>
        <w:t>l</w:t>
      </w:r>
      <w:r w:rsidRPr="00F8515B">
        <w:rPr>
          <w:rFonts w:ascii="Arial" w:eastAsia="Arial" w:hAnsi="Arial" w:cs="Arial"/>
          <w:color w:val="000000" w:themeColor="text1"/>
          <w:sz w:val="22"/>
          <w:lang w:val="es-ES_tradnl"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F8515B">
        <w:rPr>
          <w:rFonts w:ascii="Arial" w:eastAsia="Arial" w:hAnsi="Arial" w:cs="Arial"/>
          <w:color w:val="000000" w:themeColor="text1"/>
          <w:sz w:val="22"/>
          <w:lang w:val="es-ES_tradnl" w:eastAsia="es-ES" w:bidi="es-ES"/>
        </w:rPr>
        <w:t xml:space="preserve">citadas </w:t>
      </w:r>
      <w:r w:rsidRPr="00F8515B">
        <w:rPr>
          <w:rFonts w:ascii="Arial" w:eastAsia="Arial" w:hAnsi="Arial" w:cs="Arial"/>
          <w:color w:val="000000" w:themeColor="text1"/>
          <w:sz w:val="22"/>
          <w:lang w:val="es-ES_tradnl" w:eastAsia="es-ES" w:bidi="es-ES"/>
        </w:rPr>
        <w:t>excepciones</w:t>
      </w:r>
      <w:r w:rsidR="00B36547" w:rsidRPr="00F8515B">
        <w:rPr>
          <w:rFonts w:ascii="Arial" w:eastAsia="Arial" w:hAnsi="Arial" w:cs="Arial"/>
          <w:color w:val="000000" w:themeColor="text1"/>
          <w:sz w:val="22"/>
          <w:lang w:val="es-ES_tradnl" w:eastAsia="es-ES" w:bidi="es-ES"/>
        </w:rPr>
        <w:t>.</w:t>
      </w:r>
      <w:r w:rsidR="00C14D9E" w:rsidRPr="00F8515B">
        <w:rPr>
          <w:rFonts w:ascii="Arial" w:eastAsia="Arial" w:hAnsi="Arial" w:cs="Arial"/>
          <w:color w:val="000000" w:themeColor="text1"/>
          <w:sz w:val="22"/>
          <w:lang w:val="es-ES_tradnl" w:eastAsia="es-ES" w:bidi="es-ES"/>
        </w:rPr>
        <w:t xml:space="preserve"> </w:t>
      </w:r>
      <w:r w:rsidR="003A0603" w:rsidRPr="00F8515B">
        <w:rPr>
          <w:rFonts w:ascii="Arial" w:eastAsia="Arial" w:hAnsi="Arial" w:cs="Arial"/>
          <w:color w:val="000000" w:themeColor="text1"/>
          <w:sz w:val="22"/>
          <w:lang w:val="es-ES_tradnl" w:eastAsia="es-ES" w:bidi="es-ES"/>
        </w:rPr>
        <w:t>Sin embargo, s</w:t>
      </w:r>
      <w:r w:rsidR="00C14D9E" w:rsidRPr="00F8515B">
        <w:rPr>
          <w:rFonts w:ascii="Arial" w:eastAsia="Arial" w:hAnsi="Arial" w:cs="Arial"/>
          <w:color w:val="000000" w:themeColor="text1"/>
          <w:sz w:val="22"/>
          <w:lang w:val="es-ES_tradnl"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F8515B">
        <w:rPr>
          <w:rFonts w:ascii="Arial" w:eastAsia="Arial" w:hAnsi="Arial" w:cs="Arial"/>
          <w:color w:val="000000" w:themeColor="text1"/>
          <w:sz w:val="22"/>
          <w:lang w:val="es-ES_tradnl" w:eastAsia="es-ES" w:bidi="es-ES"/>
        </w:rPr>
        <w:t xml:space="preserve"> más altas</w:t>
      </w:r>
      <w:r w:rsidR="00C14D9E" w:rsidRPr="00F8515B">
        <w:rPr>
          <w:rFonts w:ascii="Arial" w:eastAsia="Arial" w:hAnsi="Arial" w:cs="Arial"/>
          <w:color w:val="000000" w:themeColor="text1"/>
          <w:sz w:val="22"/>
          <w:lang w:val="es-ES_tradnl" w:eastAsia="es-ES" w:bidi="es-ES"/>
        </w:rPr>
        <w:t>, de conformidad con el artículo 190 de la Constitución Política</w:t>
      </w:r>
      <w:r w:rsidR="00F10F67" w:rsidRPr="00F8515B">
        <w:rPr>
          <w:rFonts w:ascii="Arial" w:eastAsia="Arial" w:hAnsi="Arial" w:cs="Arial"/>
          <w:color w:val="000000" w:themeColor="text1"/>
          <w:sz w:val="22"/>
          <w:lang w:val="es-ES_tradnl" w:eastAsia="es-ES" w:bidi="es-ES"/>
        </w:rPr>
        <w:t xml:space="preserve">. </w:t>
      </w:r>
      <w:r w:rsidR="00DF3E38" w:rsidRPr="00F8515B">
        <w:rPr>
          <w:rFonts w:ascii="Arial" w:eastAsia="Arial" w:hAnsi="Arial" w:cs="Arial"/>
          <w:color w:val="000000" w:themeColor="text1"/>
          <w:sz w:val="22"/>
          <w:lang w:val="es-ES_tradnl" w:eastAsia="es-ES" w:bidi="es-ES"/>
        </w:rPr>
        <w:t>Para estos efectos</w:t>
      </w:r>
      <w:r w:rsidR="00F10F67" w:rsidRPr="00F8515B">
        <w:rPr>
          <w:rFonts w:ascii="Arial" w:eastAsia="Arial" w:hAnsi="Arial" w:cs="Arial"/>
          <w:color w:val="000000" w:themeColor="text1"/>
          <w:sz w:val="22"/>
          <w:lang w:val="es-ES_tradnl" w:eastAsia="es-ES" w:bidi="es-ES"/>
        </w:rPr>
        <w:t xml:space="preserve">, </w:t>
      </w:r>
      <w:r w:rsidR="00C14D9E" w:rsidRPr="00F8515B">
        <w:rPr>
          <w:rFonts w:ascii="Arial" w:eastAsia="Arial" w:hAnsi="Arial" w:cs="Arial"/>
          <w:color w:val="000000" w:themeColor="text1"/>
          <w:sz w:val="22"/>
          <w:lang w:val="es-ES_tradnl" w:eastAsia="es-ES" w:bidi="es-ES"/>
        </w:rPr>
        <w:t>la restricción se extenderá hasta la fecha en la que se reali</w:t>
      </w:r>
      <w:r w:rsidR="00F10F67" w:rsidRPr="00F8515B">
        <w:rPr>
          <w:rFonts w:ascii="Arial" w:eastAsia="Arial" w:hAnsi="Arial" w:cs="Arial"/>
          <w:color w:val="000000" w:themeColor="text1"/>
          <w:sz w:val="22"/>
          <w:lang w:val="es-ES_tradnl" w:eastAsia="es-ES" w:bidi="es-ES"/>
        </w:rPr>
        <w:t>ce</w:t>
      </w:r>
      <w:r w:rsidR="00C14D9E" w:rsidRPr="00F8515B">
        <w:rPr>
          <w:rFonts w:ascii="Arial" w:eastAsia="Arial" w:hAnsi="Arial" w:cs="Arial"/>
          <w:color w:val="000000" w:themeColor="text1"/>
          <w:sz w:val="22"/>
          <w:lang w:val="es-ES_tradnl" w:eastAsia="es-ES" w:bidi="es-ES"/>
        </w:rPr>
        <w:t xml:space="preserve"> </w:t>
      </w:r>
      <w:r w:rsidR="00F10F67" w:rsidRPr="00F8515B">
        <w:rPr>
          <w:rFonts w:ascii="Arial" w:eastAsia="Arial" w:hAnsi="Arial" w:cs="Arial"/>
          <w:color w:val="000000" w:themeColor="text1"/>
          <w:sz w:val="22"/>
          <w:lang w:val="es-ES_tradnl" w:eastAsia="es-ES" w:bidi="es-ES"/>
        </w:rPr>
        <w:t>l</w:t>
      </w:r>
      <w:r w:rsidR="00C14D9E" w:rsidRPr="00F8515B">
        <w:rPr>
          <w:rFonts w:ascii="Arial" w:eastAsia="Arial" w:hAnsi="Arial" w:cs="Arial"/>
          <w:color w:val="000000" w:themeColor="text1"/>
          <w:sz w:val="22"/>
          <w:lang w:val="es-ES_tradnl" w:eastAsia="es-ES" w:bidi="es-ES"/>
        </w:rPr>
        <w:t xml:space="preserve">a segunda vuelta. </w:t>
      </w:r>
      <w:r w:rsidR="00F10F67" w:rsidRPr="00F8515B">
        <w:rPr>
          <w:rFonts w:ascii="Arial" w:eastAsia="Arial" w:hAnsi="Arial" w:cs="Arial"/>
          <w:i/>
          <w:iCs/>
          <w:color w:val="000000" w:themeColor="text1"/>
          <w:sz w:val="22"/>
          <w:lang w:val="es-ES_tradnl" w:eastAsia="es-ES" w:bidi="es-ES"/>
        </w:rPr>
        <w:t>E</w:t>
      </w:r>
      <w:r w:rsidR="00DF3E38" w:rsidRPr="00F8515B">
        <w:rPr>
          <w:rFonts w:ascii="Arial" w:eastAsia="Arial" w:hAnsi="Arial" w:cs="Arial"/>
          <w:i/>
          <w:iCs/>
          <w:color w:val="000000" w:themeColor="text1"/>
          <w:sz w:val="22"/>
          <w:lang w:val="es-ES_tradnl" w:eastAsia="es-ES" w:bidi="es-ES"/>
        </w:rPr>
        <w:t>n segundo lugar</w:t>
      </w:r>
      <w:r w:rsidR="00DF3E38" w:rsidRPr="00F8515B">
        <w:rPr>
          <w:rFonts w:ascii="Arial" w:eastAsia="Arial" w:hAnsi="Arial" w:cs="Arial"/>
          <w:color w:val="000000" w:themeColor="text1"/>
          <w:sz w:val="22"/>
          <w:lang w:val="es-ES_tradnl" w:eastAsia="es-ES" w:bidi="es-ES"/>
        </w:rPr>
        <w:t xml:space="preserve">, también se encuentra </w:t>
      </w:r>
      <w:r w:rsidR="00F10F67" w:rsidRPr="00F8515B">
        <w:rPr>
          <w:rFonts w:ascii="Arial" w:eastAsia="Arial" w:hAnsi="Arial" w:cs="Arial"/>
          <w:color w:val="000000" w:themeColor="text1"/>
          <w:sz w:val="22"/>
          <w:lang w:val="es-ES_tradnl" w:eastAsia="es-ES" w:bidi="es-ES"/>
        </w:rPr>
        <w:t>la prohibición</w:t>
      </w:r>
      <w:r w:rsidRPr="00F8515B">
        <w:rPr>
          <w:rFonts w:ascii="Arial" w:eastAsia="Arial" w:hAnsi="Arial" w:cs="Arial"/>
          <w:color w:val="000000" w:themeColor="text1"/>
          <w:sz w:val="22"/>
          <w:lang w:val="es-ES_tradnl" w:eastAsia="es-ES" w:bidi="es-ES"/>
        </w:rPr>
        <w:t xml:space="preserve"> del</w:t>
      </w:r>
      <w:r w:rsidR="00F10F67" w:rsidRPr="00F8515B">
        <w:rPr>
          <w:rFonts w:ascii="Arial" w:eastAsia="Arial" w:hAnsi="Arial" w:cs="Arial"/>
          <w:color w:val="000000" w:themeColor="text1"/>
          <w:sz w:val="22"/>
          <w:lang w:val="es-ES_tradnl" w:eastAsia="es-ES" w:bidi="es-ES"/>
        </w:rPr>
        <w:t xml:space="preserve"> parágrafo del</w:t>
      </w:r>
      <w:r w:rsidRPr="00F8515B">
        <w:rPr>
          <w:rFonts w:ascii="Arial" w:eastAsia="Arial" w:hAnsi="Arial" w:cs="Arial"/>
          <w:color w:val="000000" w:themeColor="text1"/>
          <w:sz w:val="22"/>
          <w:lang w:val="es-ES_tradnl" w:eastAsia="es-ES" w:bidi="es-ES"/>
        </w:rPr>
        <w:t xml:space="preserve"> artículo 38, </w:t>
      </w:r>
      <w:r w:rsidR="00F10F67" w:rsidRPr="00F8515B">
        <w:rPr>
          <w:rFonts w:ascii="Arial" w:eastAsia="Arial" w:hAnsi="Arial" w:cs="Arial"/>
          <w:color w:val="000000" w:themeColor="text1"/>
          <w:sz w:val="22"/>
          <w:lang w:val="es-ES_tradnl" w:eastAsia="es-ES" w:bidi="es-ES"/>
        </w:rPr>
        <w:t>el cual</w:t>
      </w:r>
      <w:r w:rsidRPr="00F8515B">
        <w:rPr>
          <w:rFonts w:ascii="Arial" w:eastAsia="Arial" w:hAnsi="Arial" w:cs="Arial"/>
          <w:color w:val="000000" w:themeColor="text1"/>
          <w:sz w:val="22"/>
          <w:lang w:val="es-ES_tradnl" w:eastAsia="es-ES" w:bidi="es-ES"/>
        </w:rPr>
        <w:t xml:space="preserve"> debe aplicarse respecto de cualquier tipo de </w:t>
      </w:r>
      <w:r w:rsidR="00F10F67" w:rsidRPr="00F8515B">
        <w:rPr>
          <w:rFonts w:ascii="Arial" w:eastAsia="Arial" w:hAnsi="Arial" w:cs="Arial"/>
          <w:color w:val="000000" w:themeColor="text1"/>
          <w:sz w:val="22"/>
          <w:lang w:val="es-ES_tradnl" w:eastAsia="es-ES" w:bidi="es-ES"/>
        </w:rPr>
        <w:t>contienda electoral</w:t>
      </w:r>
      <w:r w:rsidRPr="00F8515B">
        <w:rPr>
          <w:rFonts w:ascii="Arial" w:eastAsia="Arial" w:hAnsi="Arial" w:cs="Arial"/>
          <w:color w:val="000000" w:themeColor="text1"/>
          <w:sz w:val="22"/>
          <w:lang w:val="es-ES_tradnl" w:eastAsia="es-ES" w:bidi="es-ES"/>
        </w:rPr>
        <w:t>, y que prohíbe la celebración de convenios interadministrativos que impliquen la ejecución de recursos públicos</w:t>
      </w:r>
      <w:r w:rsidR="0019626E" w:rsidRPr="00F8515B">
        <w:rPr>
          <w:rFonts w:ascii="Arial" w:eastAsia="Arial" w:hAnsi="Arial" w:cs="Arial"/>
          <w:color w:val="000000" w:themeColor="text1"/>
          <w:sz w:val="22"/>
          <w:lang w:val="es-ES_tradnl" w:eastAsia="es-ES" w:bidi="es-ES"/>
        </w:rPr>
        <w:t xml:space="preserve"> dentro de los cuatro (4) meses anteriores a la respectiva jornada </w:t>
      </w:r>
      <w:r w:rsidR="00F10F67" w:rsidRPr="00F8515B">
        <w:rPr>
          <w:rFonts w:ascii="Arial" w:eastAsia="Arial" w:hAnsi="Arial" w:cs="Arial"/>
          <w:color w:val="000000" w:themeColor="text1"/>
          <w:sz w:val="22"/>
          <w:lang w:val="es-ES_tradnl" w:eastAsia="es-ES" w:bidi="es-ES"/>
        </w:rPr>
        <w:t>de votaciones</w:t>
      </w:r>
      <w:r w:rsidR="0019626E" w:rsidRPr="00F8515B">
        <w:rPr>
          <w:rFonts w:ascii="Arial" w:eastAsia="Arial" w:hAnsi="Arial" w:cs="Arial"/>
          <w:color w:val="000000" w:themeColor="text1"/>
          <w:sz w:val="22"/>
          <w:lang w:val="es-ES_tradnl" w:eastAsia="es-ES" w:bidi="es-ES"/>
        </w:rPr>
        <w:t>.</w:t>
      </w:r>
      <w:bookmarkEnd w:id="19"/>
    </w:p>
    <w:bookmarkEnd w:id="20"/>
    <w:p w14:paraId="0DC33A5F" w14:textId="2764EE7D" w:rsidR="00A95D9F" w:rsidRPr="00F8515B" w:rsidRDefault="00F10F67" w:rsidP="00E7700C">
      <w:pPr>
        <w:spacing w:after="120"/>
        <w:ind w:firstLine="709"/>
        <w:rPr>
          <w:rFonts w:ascii="Arial" w:eastAsia="Arial" w:hAnsi="Arial" w:cs="Arial"/>
          <w:color w:val="000000" w:themeColor="text1"/>
          <w:sz w:val="22"/>
          <w:lang w:val="es-ES_tradnl" w:eastAsia="es-ES" w:bidi="es-ES"/>
        </w:rPr>
      </w:pPr>
      <w:r w:rsidRPr="00F8515B">
        <w:rPr>
          <w:rFonts w:ascii="Arial" w:eastAsia="Arial" w:hAnsi="Arial" w:cs="Arial"/>
          <w:color w:val="000000" w:themeColor="text1"/>
          <w:sz w:val="22"/>
          <w:lang w:val="es-ES_tradnl" w:eastAsia="es-ES" w:bidi="es-ES"/>
        </w:rPr>
        <w:t>Ambas</w:t>
      </w:r>
      <w:r w:rsidR="000932C2" w:rsidRPr="00F8515B">
        <w:rPr>
          <w:rFonts w:ascii="Arial" w:eastAsia="Arial" w:hAnsi="Arial" w:cs="Arial"/>
          <w:color w:val="000000" w:themeColor="text1"/>
          <w:sz w:val="22"/>
          <w:lang w:val="es-ES_tradnl" w:eastAsia="es-ES" w:bidi="es-ES"/>
        </w:rPr>
        <w:t xml:space="preserve"> restricciones no </w:t>
      </w:r>
      <w:r w:rsidRPr="00F8515B">
        <w:rPr>
          <w:rFonts w:ascii="Arial" w:eastAsia="Arial" w:hAnsi="Arial" w:cs="Arial"/>
          <w:color w:val="000000" w:themeColor="text1"/>
          <w:sz w:val="22"/>
          <w:lang w:val="es-ES_tradnl" w:eastAsia="es-ES" w:bidi="es-ES"/>
        </w:rPr>
        <w:t xml:space="preserve">son </w:t>
      </w:r>
      <w:r w:rsidR="000932C2" w:rsidRPr="00F8515B">
        <w:rPr>
          <w:rFonts w:ascii="Arial" w:eastAsia="Arial" w:hAnsi="Arial" w:cs="Arial"/>
          <w:color w:val="000000" w:themeColor="text1"/>
          <w:sz w:val="22"/>
          <w:lang w:val="es-ES_tradnl" w:eastAsia="es-ES" w:bidi="es-ES"/>
        </w:rPr>
        <w:t>excluyen</w:t>
      </w:r>
      <w:r w:rsidRPr="00F8515B">
        <w:rPr>
          <w:rFonts w:ascii="Arial" w:eastAsia="Arial" w:hAnsi="Arial" w:cs="Arial"/>
          <w:color w:val="000000" w:themeColor="text1"/>
          <w:sz w:val="22"/>
          <w:lang w:val="es-ES_tradnl" w:eastAsia="es-ES" w:bidi="es-ES"/>
        </w:rPr>
        <w:t>tes</w:t>
      </w:r>
      <w:r w:rsidR="000932C2" w:rsidRPr="00F8515B">
        <w:rPr>
          <w:rFonts w:ascii="Arial" w:eastAsia="Arial" w:hAnsi="Arial" w:cs="Arial"/>
          <w:color w:val="000000" w:themeColor="text1"/>
          <w:sz w:val="22"/>
          <w:lang w:val="es-ES_tradnl" w:eastAsia="es-ES" w:bidi="es-ES"/>
        </w:rPr>
        <w:t>, lo que permite concluir que en el per</w:t>
      </w:r>
      <w:r w:rsidR="00751EE7" w:rsidRPr="00F8515B">
        <w:rPr>
          <w:rFonts w:ascii="Arial" w:eastAsia="Arial" w:hAnsi="Arial" w:cs="Arial"/>
          <w:color w:val="000000" w:themeColor="text1"/>
          <w:sz w:val="22"/>
          <w:lang w:val="es-ES_tradnl" w:eastAsia="es-ES" w:bidi="es-ES"/>
        </w:rPr>
        <w:t>í</w:t>
      </w:r>
      <w:r w:rsidR="000932C2" w:rsidRPr="00F8515B">
        <w:rPr>
          <w:rFonts w:ascii="Arial" w:eastAsia="Arial" w:hAnsi="Arial" w:cs="Arial"/>
          <w:color w:val="000000" w:themeColor="text1"/>
          <w:sz w:val="22"/>
          <w:lang w:val="es-ES_tradnl" w:eastAsia="es-ES" w:bidi="es-ES"/>
        </w:rPr>
        <w:t xml:space="preserve">odo preelectoral para elección de </w:t>
      </w:r>
      <w:proofErr w:type="gramStart"/>
      <w:r w:rsidR="000932C2" w:rsidRPr="00F8515B">
        <w:rPr>
          <w:rFonts w:ascii="Arial" w:eastAsia="Arial" w:hAnsi="Arial" w:cs="Arial"/>
          <w:color w:val="000000" w:themeColor="text1"/>
          <w:sz w:val="22"/>
          <w:lang w:val="es-ES_tradnl" w:eastAsia="es-ES" w:bidi="es-ES"/>
        </w:rPr>
        <w:t>Presidente</w:t>
      </w:r>
      <w:proofErr w:type="gramEnd"/>
      <w:r w:rsidR="000932C2" w:rsidRPr="00F8515B">
        <w:rPr>
          <w:rFonts w:ascii="Arial" w:eastAsia="Arial" w:hAnsi="Arial" w:cs="Arial"/>
          <w:color w:val="000000" w:themeColor="text1"/>
          <w:sz w:val="22"/>
          <w:lang w:val="es-ES_tradnl" w:eastAsia="es-ES" w:bidi="es-ES"/>
        </w:rPr>
        <w:t xml:space="preserve"> de la República, a todos los entes </w:t>
      </w:r>
      <w:r w:rsidR="000932C2" w:rsidRPr="00F8515B">
        <w:rPr>
          <w:rFonts w:ascii="Arial" w:eastAsia="Arial" w:hAnsi="Arial" w:cs="Arial"/>
          <w:color w:val="000000" w:themeColor="text1"/>
          <w:sz w:val="22"/>
          <w:lang w:val="es-ES_tradnl" w:eastAsia="es-ES" w:bidi="es-ES"/>
        </w:rPr>
        <w:lastRenderedPageBreak/>
        <w:t xml:space="preserve">del Estado, incluidos los territoriales, aplican las restricciones del artículo 33 con sus excepciones, así como las del parágrafo del artículo 38. En cambio, </w:t>
      </w:r>
      <w:r w:rsidR="008C4353" w:rsidRPr="00F8515B">
        <w:rPr>
          <w:rFonts w:ascii="Arial" w:eastAsia="Arial" w:hAnsi="Arial" w:cs="Arial"/>
          <w:color w:val="000000" w:themeColor="text1"/>
          <w:sz w:val="22"/>
          <w:lang w:val="es-ES_tradnl" w:eastAsia="es-ES" w:bidi="es-ES"/>
        </w:rPr>
        <w:t xml:space="preserve">tratándose de </w:t>
      </w:r>
      <w:r w:rsidR="000932C2" w:rsidRPr="00F8515B">
        <w:rPr>
          <w:rFonts w:ascii="Arial" w:eastAsia="Arial" w:hAnsi="Arial" w:cs="Arial"/>
          <w:color w:val="000000" w:themeColor="text1"/>
          <w:sz w:val="22"/>
          <w:lang w:val="es-ES_tradnl" w:eastAsia="es-ES" w:bidi="es-ES"/>
        </w:rPr>
        <w:t>elecciones en general, excluyendo las correspondientes a</w:t>
      </w:r>
      <w:r w:rsidR="008C4353" w:rsidRPr="00F8515B">
        <w:rPr>
          <w:rFonts w:ascii="Arial" w:eastAsia="Arial" w:hAnsi="Arial" w:cs="Arial"/>
          <w:color w:val="000000" w:themeColor="text1"/>
          <w:sz w:val="22"/>
          <w:lang w:val="es-ES_tradnl" w:eastAsia="es-ES" w:bidi="es-ES"/>
        </w:rPr>
        <w:t>l</w:t>
      </w:r>
      <w:r w:rsidR="000932C2" w:rsidRPr="00F8515B">
        <w:rPr>
          <w:rFonts w:ascii="Arial" w:eastAsia="Arial" w:hAnsi="Arial" w:cs="Arial"/>
          <w:color w:val="000000" w:themeColor="text1"/>
          <w:sz w:val="22"/>
          <w:lang w:val="es-ES_tradnl" w:eastAsia="es-ES" w:bidi="es-ES"/>
        </w:rPr>
        <w:t xml:space="preserve"> </w:t>
      </w:r>
      <w:proofErr w:type="gramStart"/>
      <w:r w:rsidR="000932C2" w:rsidRPr="00F8515B">
        <w:rPr>
          <w:rFonts w:ascii="Arial" w:eastAsia="Arial" w:hAnsi="Arial" w:cs="Arial"/>
          <w:color w:val="000000" w:themeColor="text1"/>
          <w:sz w:val="22"/>
          <w:lang w:val="es-ES_tradnl" w:eastAsia="es-ES" w:bidi="es-ES"/>
        </w:rPr>
        <w:t>Presidente</w:t>
      </w:r>
      <w:proofErr w:type="gramEnd"/>
      <w:r w:rsidR="000932C2" w:rsidRPr="00F8515B">
        <w:rPr>
          <w:rFonts w:ascii="Arial" w:eastAsia="Arial" w:hAnsi="Arial" w:cs="Arial"/>
          <w:color w:val="000000" w:themeColor="text1"/>
          <w:sz w:val="22"/>
          <w:lang w:val="es-ES_tradnl" w:eastAsia="es-ES" w:bidi="es-ES"/>
        </w:rPr>
        <w:t xml:space="preserve"> de la República, las autoridades allí mencionadas sólo </w:t>
      </w:r>
      <w:r w:rsidR="008C4353" w:rsidRPr="00F8515B">
        <w:rPr>
          <w:rFonts w:ascii="Arial" w:eastAsia="Arial" w:hAnsi="Arial" w:cs="Arial"/>
          <w:color w:val="000000" w:themeColor="text1"/>
          <w:sz w:val="22"/>
          <w:lang w:val="es-ES_tradnl" w:eastAsia="es-ES" w:bidi="es-ES"/>
        </w:rPr>
        <w:t xml:space="preserve">deben </w:t>
      </w:r>
      <w:r w:rsidR="000932C2" w:rsidRPr="00F8515B">
        <w:rPr>
          <w:rFonts w:ascii="Arial" w:eastAsia="Arial" w:hAnsi="Arial" w:cs="Arial"/>
          <w:color w:val="000000" w:themeColor="text1"/>
          <w:sz w:val="22"/>
          <w:lang w:val="es-ES_tradnl" w:eastAsia="es-ES" w:bidi="es-ES"/>
        </w:rPr>
        <w:t>aplica</w:t>
      </w:r>
      <w:r w:rsidR="008C4353" w:rsidRPr="00F8515B">
        <w:rPr>
          <w:rFonts w:ascii="Arial" w:eastAsia="Arial" w:hAnsi="Arial" w:cs="Arial"/>
          <w:color w:val="000000" w:themeColor="text1"/>
          <w:sz w:val="22"/>
          <w:lang w:val="es-ES_tradnl" w:eastAsia="es-ES" w:bidi="es-ES"/>
        </w:rPr>
        <w:t>r</w:t>
      </w:r>
      <w:r w:rsidR="000932C2" w:rsidRPr="00F8515B">
        <w:rPr>
          <w:rFonts w:ascii="Arial" w:eastAsia="Arial" w:hAnsi="Arial" w:cs="Arial"/>
          <w:color w:val="000000" w:themeColor="text1"/>
          <w:sz w:val="22"/>
          <w:lang w:val="es-ES_tradnl" w:eastAsia="es-ES" w:bidi="es-ES"/>
        </w:rPr>
        <w:t xml:space="preserve"> las restricciones contenidas en el parágrafo del artículo 38.</w:t>
      </w:r>
    </w:p>
    <w:bookmarkEnd w:id="21"/>
    <w:p w14:paraId="33F3BC21" w14:textId="0AC817A3" w:rsidR="00A95D9F" w:rsidRPr="00F8515B" w:rsidRDefault="00F37460" w:rsidP="00E7700C">
      <w:pPr>
        <w:spacing w:after="0"/>
        <w:ind w:firstLine="708"/>
        <w:rPr>
          <w:rFonts w:ascii="Arial" w:eastAsia="Arial" w:hAnsi="Arial" w:cs="Arial"/>
          <w:color w:val="000000" w:themeColor="text1"/>
          <w:sz w:val="22"/>
          <w:lang w:val="es-ES_tradnl" w:eastAsia="es-ES" w:bidi="es-ES"/>
        </w:rPr>
      </w:pPr>
      <w:r w:rsidRPr="00F8515B">
        <w:rPr>
          <w:rFonts w:ascii="Arial" w:eastAsia="Arial" w:hAnsi="Arial" w:cs="Arial"/>
          <w:color w:val="000000" w:themeColor="text1"/>
          <w:sz w:val="22"/>
          <w:lang w:val="es-ES_tradnl" w:eastAsia="es-ES" w:bidi="es-ES"/>
        </w:rPr>
        <w:t>L</w:t>
      </w:r>
      <w:r w:rsidR="00A95D9F" w:rsidRPr="00F8515B">
        <w:rPr>
          <w:rFonts w:ascii="Arial" w:eastAsia="Arial" w:hAnsi="Arial" w:cs="Arial"/>
          <w:color w:val="000000" w:themeColor="text1"/>
          <w:sz w:val="22"/>
          <w:lang w:val="es-ES_tradnl"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F8515B">
        <w:rPr>
          <w:rFonts w:ascii="Arial" w:eastAsia="Arial" w:hAnsi="Arial" w:cs="Arial"/>
          <w:color w:val="000000" w:themeColor="text1"/>
          <w:sz w:val="22"/>
          <w:lang w:val="es-ES_tradnl" w:eastAsia="es-ES" w:bidi="es-ES"/>
        </w:rPr>
        <w:t>Presidente</w:t>
      </w:r>
      <w:proofErr w:type="gramEnd"/>
      <w:r w:rsidR="00A95D9F" w:rsidRPr="00F8515B">
        <w:rPr>
          <w:rFonts w:ascii="Arial" w:eastAsia="Arial" w:hAnsi="Arial" w:cs="Arial"/>
          <w:color w:val="000000" w:themeColor="text1"/>
          <w:sz w:val="22"/>
          <w:lang w:val="es-ES_tradnl" w:eastAsia="es-ES" w:bidi="es-ES"/>
        </w:rPr>
        <w:t xml:space="preserve"> o el Vicepresidente desde que éstos </w:t>
      </w:r>
      <w:r w:rsidR="00C44882" w:rsidRPr="00F8515B">
        <w:rPr>
          <w:rFonts w:ascii="Arial" w:eastAsia="Arial" w:hAnsi="Arial" w:cs="Arial"/>
          <w:color w:val="000000" w:themeColor="text1"/>
          <w:sz w:val="22"/>
          <w:lang w:val="es-ES_tradnl" w:eastAsia="es-ES" w:bidi="es-ES"/>
        </w:rPr>
        <w:t>–</w:t>
      </w:r>
      <w:r w:rsidR="00A95D9F" w:rsidRPr="00F8515B">
        <w:rPr>
          <w:rFonts w:ascii="Arial" w:eastAsia="Arial" w:hAnsi="Arial" w:cs="Arial"/>
          <w:color w:val="000000" w:themeColor="text1"/>
          <w:sz w:val="22"/>
          <w:lang w:val="es-ES_tradnl" w:eastAsia="es-ES" w:bidi="es-ES"/>
        </w:rPr>
        <w:t>estando en ejercicio de su cargo</w:t>
      </w:r>
      <w:r w:rsidR="00C44882" w:rsidRPr="00F8515B">
        <w:rPr>
          <w:rFonts w:ascii="Arial" w:eastAsia="Arial" w:hAnsi="Arial" w:cs="Arial"/>
          <w:color w:val="000000" w:themeColor="text1"/>
          <w:sz w:val="22"/>
          <w:lang w:val="es-ES_tradnl" w:eastAsia="es-ES" w:bidi="es-ES"/>
        </w:rPr>
        <w:t>–</w:t>
      </w:r>
      <w:r w:rsidR="00A95D9F" w:rsidRPr="00F8515B">
        <w:rPr>
          <w:rFonts w:ascii="Arial" w:eastAsia="Arial" w:hAnsi="Arial" w:cs="Arial"/>
          <w:color w:val="000000" w:themeColor="text1"/>
          <w:sz w:val="22"/>
          <w:lang w:val="es-ES_tradnl"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F8515B">
        <w:rPr>
          <w:rFonts w:ascii="Arial" w:eastAsia="Arial" w:hAnsi="Arial" w:cs="Arial"/>
          <w:color w:val="000000" w:themeColor="text1"/>
          <w:sz w:val="22"/>
          <w:lang w:val="es-ES_tradnl" w:eastAsia="es-ES" w:bidi="es-ES"/>
        </w:rPr>
        <w:t>, conforme</w:t>
      </w:r>
      <w:r w:rsidR="00A95D9F" w:rsidRPr="00F8515B">
        <w:rPr>
          <w:rFonts w:ascii="Arial" w:eastAsia="Arial" w:hAnsi="Arial" w:cs="Arial"/>
          <w:color w:val="000000" w:themeColor="text1"/>
          <w:sz w:val="22"/>
          <w:lang w:val="es-ES_tradnl" w:eastAsia="es-ES" w:bidi="es-ES"/>
        </w:rPr>
        <w:t xml:space="preserve"> </w:t>
      </w:r>
      <w:r w:rsidR="00591F4C" w:rsidRPr="00F8515B">
        <w:rPr>
          <w:rFonts w:ascii="Arial" w:eastAsia="Arial" w:hAnsi="Arial" w:cs="Arial"/>
          <w:color w:val="000000" w:themeColor="text1"/>
          <w:sz w:val="22"/>
          <w:lang w:val="es-ES_tradnl" w:eastAsia="es-ES" w:bidi="es-ES"/>
        </w:rPr>
        <w:t xml:space="preserve">al </w:t>
      </w:r>
      <w:r w:rsidR="00A95D9F" w:rsidRPr="00F8515B">
        <w:rPr>
          <w:rFonts w:ascii="Arial" w:eastAsia="Arial" w:hAnsi="Arial" w:cs="Arial"/>
          <w:color w:val="000000" w:themeColor="text1"/>
          <w:sz w:val="22"/>
          <w:lang w:val="es-ES_tradnl" w:eastAsia="es-ES" w:bidi="es-ES"/>
        </w:rPr>
        <w:t xml:space="preserve">artículo 197 de la </w:t>
      </w:r>
      <w:r w:rsidR="00591F4C" w:rsidRPr="00F8515B">
        <w:rPr>
          <w:rFonts w:ascii="Arial" w:eastAsia="Arial" w:hAnsi="Arial" w:cs="Arial"/>
          <w:color w:val="000000" w:themeColor="text1"/>
          <w:sz w:val="22"/>
          <w:lang w:val="es-ES_tradnl" w:eastAsia="es-ES" w:bidi="es-ES"/>
        </w:rPr>
        <w:t>Constitución</w:t>
      </w:r>
      <w:r w:rsidR="00A95D9F" w:rsidRPr="00F8515B">
        <w:rPr>
          <w:rFonts w:ascii="Arial" w:eastAsia="Arial" w:hAnsi="Arial" w:cs="Arial"/>
          <w:color w:val="000000" w:themeColor="text1"/>
          <w:sz w:val="22"/>
          <w:lang w:val="es-ES_tradnl" w:eastAsia="es-ES" w:bidi="es-ES"/>
        </w:rPr>
        <w:t xml:space="preserve"> Política.  </w:t>
      </w:r>
    </w:p>
    <w:p w14:paraId="1E63A759" w14:textId="7017CC2F" w:rsidR="007853BD" w:rsidRPr="00F8515B" w:rsidRDefault="007853BD" w:rsidP="00E7700C">
      <w:pPr>
        <w:spacing w:after="0"/>
        <w:rPr>
          <w:rFonts w:ascii="Arial" w:eastAsia="Times New Roman" w:hAnsi="Arial" w:cs="Arial"/>
          <w:bCs/>
          <w:color w:val="000000" w:themeColor="text1"/>
          <w:sz w:val="22"/>
          <w:lang w:val="es-ES_tradnl" w:eastAsia="es-CO"/>
        </w:rPr>
      </w:pPr>
    </w:p>
    <w:p w14:paraId="0B5B69F1" w14:textId="393F6EBB" w:rsidR="008A1966" w:rsidRPr="00F8515B" w:rsidRDefault="007853BD" w:rsidP="00E7700C">
      <w:pPr>
        <w:spacing w:after="0"/>
        <w:rPr>
          <w:rFonts w:ascii="Arial" w:eastAsia="Times New Roman" w:hAnsi="Arial" w:cs="Arial"/>
          <w:b/>
          <w:color w:val="000000" w:themeColor="text1"/>
          <w:sz w:val="22"/>
          <w:lang w:val="es-ES_tradnl" w:eastAsia="es-CO"/>
        </w:rPr>
      </w:pPr>
      <w:r w:rsidRPr="00F8515B">
        <w:rPr>
          <w:rFonts w:ascii="Arial" w:eastAsia="Times New Roman" w:hAnsi="Arial" w:cs="Arial"/>
          <w:b/>
          <w:color w:val="000000" w:themeColor="text1"/>
          <w:sz w:val="22"/>
          <w:lang w:val="es-ES_tradnl" w:eastAsia="es-CO"/>
        </w:rPr>
        <w:t>2.</w:t>
      </w:r>
      <w:r w:rsidR="004E638B" w:rsidRPr="00F8515B">
        <w:rPr>
          <w:rFonts w:ascii="Arial" w:eastAsia="Times New Roman" w:hAnsi="Arial" w:cs="Arial"/>
          <w:b/>
          <w:color w:val="000000" w:themeColor="text1"/>
          <w:sz w:val="22"/>
          <w:lang w:val="es-ES_tradnl" w:eastAsia="es-CO"/>
        </w:rPr>
        <w:t>2</w:t>
      </w:r>
      <w:r w:rsidRPr="00F8515B">
        <w:rPr>
          <w:rFonts w:ascii="Arial" w:eastAsia="Times New Roman" w:hAnsi="Arial" w:cs="Arial"/>
          <w:b/>
          <w:color w:val="000000" w:themeColor="text1"/>
          <w:sz w:val="22"/>
          <w:lang w:val="es-ES_tradnl" w:eastAsia="es-CO"/>
        </w:rPr>
        <w:t xml:space="preserve">. </w:t>
      </w:r>
      <w:r w:rsidR="008A1966" w:rsidRPr="00F8515B">
        <w:rPr>
          <w:rFonts w:ascii="Arial" w:eastAsia="Times New Roman" w:hAnsi="Arial" w:cs="Arial"/>
          <w:b/>
          <w:bCs/>
          <w:color w:val="000000" w:themeColor="text1"/>
          <w:sz w:val="22"/>
          <w:lang w:val="es-ES_tradnl" w:eastAsia="es-CO"/>
        </w:rPr>
        <w:t xml:space="preserve">Restricciones en elecciones presidenciales </w:t>
      </w:r>
    </w:p>
    <w:p w14:paraId="7D9199F2" w14:textId="77777777" w:rsidR="00F61159" w:rsidRPr="00F8515B" w:rsidRDefault="00F61159" w:rsidP="00E7700C">
      <w:pPr>
        <w:spacing w:after="0"/>
        <w:rPr>
          <w:rFonts w:ascii="Arial" w:eastAsia="Times New Roman" w:hAnsi="Arial" w:cs="Arial"/>
          <w:bCs/>
          <w:color w:val="000000" w:themeColor="text1"/>
          <w:sz w:val="22"/>
          <w:lang w:val="es-ES_tradnl" w:eastAsia="x-none"/>
        </w:rPr>
      </w:pPr>
    </w:p>
    <w:p w14:paraId="7E852C96" w14:textId="53DAF65D" w:rsidR="00DB61B2" w:rsidRPr="00F8515B" w:rsidRDefault="00DB61B2" w:rsidP="00E7700C">
      <w:pPr>
        <w:spacing w:after="0"/>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x-none"/>
        </w:rPr>
        <w:t xml:space="preserve">El ámbito material de la prohibición contenida </w:t>
      </w:r>
      <w:bookmarkStart w:id="22" w:name="_Hlk75628761"/>
      <w:r w:rsidRPr="00F8515B">
        <w:rPr>
          <w:rFonts w:ascii="Arial" w:eastAsia="Times New Roman" w:hAnsi="Arial" w:cs="Arial"/>
          <w:bCs/>
          <w:color w:val="000000" w:themeColor="text1"/>
          <w:sz w:val="22"/>
          <w:lang w:val="es-ES_tradnl" w:eastAsia="x-none"/>
        </w:rPr>
        <w:t xml:space="preserve">en el artículo 33 de la ley 996 de 2005 </w:t>
      </w:r>
      <w:bookmarkEnd w:id="22"/>
      <w:r w:rsidRPr="00F8515B">
        <w:rPr>
          <w:rFonts w:ascii="Arial" w:eastAsia="Times New Roman" w:hAnsi="Arial" w:cs="Arial"/>
          <w:bCs/>
          <w:color w:val="000000" w:themeColor="text1"/>
          <w:sz w:val="22"/>
          <w:lang w:val="es-ES_tradnl" w:eastAsia="x-none"/>
        </w:rPr>
        <w:t xml:space="preserve">está delimitado por la expresión </w:t>
      </w:r>
      <w:r w:rsidR="00174FBC" w:rsidRPr="00F8515B">
        <w:rPr>
          <w:rFonts w:ascii="Arial" w:eastAsia="Calibri" w:hAnsi="Arial" w:cs="Arial"/>
          <w:bCs/>
          <w:color w:val="000000" w:themeColor="text1"/>
          <w:sz w:val="20"/>
          <w:szCs w:val="20"/>
          <w:lang w:val="es-ES_tradnl"/>
        </w:rPr>
        <w:t>«</w:t>
      </w:r>
      <w:r w:rsidRPr="00F8515B">
        <w:rPr>
          <w:rFonts w:ascii="Arial" w:eastAsia="Times New Roman" w:hAnsi="Arial" w:cs="Arial"/>
          <w:bCs/>
          <w:color w:val="000000" w:themeColor="text1"/>
          <w:sz w:val="22"/>
          <w:lang w:val="es-ES_tradnl" w:eastAsia="x-none"/>
        </w:rPr>
        <w:t>queda prohibida la contratación directa</w:t>
      </w:r>
      <w:r w:rsidR="00174FBC" w:rsidRPr="00F8515B">
        <w:rPr>
          <w:rFonts w:ascii="Arial" w:hAnsi="Arial" w:cs="Arial"/>
          <w:color w:val="000000" w:themeColor="text1"/>
          <w:sz w:val="20"/>
          <w:szCs w:val="20"/>
          <w:lang w:val="es-ES_tradnl"/>
        </w:rPr>
        <w:t>»</w:t>
      </w:r>
      <w:r w:rsidRPr="00F8515B">
        <w:rPr>
          <w:rFonts w:ascii="Arial" w:eastAsia="Times New Roman" w:hAnsi="Arial" w:cs="Arial"/>
          <w:bCs/>
          <w:color w:val="000000" w:themeColor="text1"/>
          <w:sz w:val="22"/>
          <w:lang w:val="es-ES_tradnl" w:eastAsia="x-none"/>
        </w:rPr>
        <w:t xml:space="preserve">. </w:t>
      </w:r>
      <w:r w:rsidRPr="00F8515B">
        <w:rPr>
          <w:rFonts w:ascii="Arial" w:eastAsia="Times New Roman" w:hAnsi="Arial" w:cs="Arial"/>
          <w:color w:val="000000" w:themeColor="text1"/>
          <w:sz w:val="22"/>
          <w:lang w:val="es-ES_tradnl" w:eastAsia="es-CO"/>
        </w:rPr>
        <w:t xml:space="preserve"> A propósito de esta restricción de la </w:t>
      </w:r>
      <w:r w:rsidR="007701D9" w:rsidRPr="00F8515B">
        <w:rPr>
          <w:rFonts w:ascii="Arial" w:eastAsia="Times New Roman" w:hAnsi="Arial" w:cs="Arial"/>
          <w:color w:val="000000" w:themeColor="text1"/>
          <w:sz w:val="22"/>
          <w:lang w:val="es-ES_tradnl" w:eastAsia="es-CO"/>
        </w:rPr>
        <w:t>Ley de Garantías Electorales</w:t>
      </w:r>
      <w:r w:rsidRPr="00F8515B">
        <w:rPr>
          <w:rFonts w:ascii="Arial" w:eastAsia="Times New Roman" w:hAnsi="Arial" w:cs="Arial"/>
          <w:color w:val="000000" w:themeColor="text1"/>
          <w:sz w:val="22"/>
          <w:lang w:val="es-ES_tradnl" w:eastAsia="es-CO"/>
        </w:rPr>
        <w:t>, la Sala de Consulta y Servicio Civil del Consejo de Estado</w:t>
      </w:r>
      <w:r w:rsidR="007701D9" w:rsidRPr="00F8515B">
        <w:rPr>
          <w:rFonts w:ascii="Arial" w:eastAsia="Times New Roman" w:hAnsi="Arial" w:cs="Arial"/>
          <w:color w:val="000000" w:themeColor="text1"/>
          <w:sz w:val="22"/>
          <w:lang w:val="es-ES_tradnl" w:eastAsia="es-CO"/>
        </w:rPr>
        <w:t xml:space="preserve"> </w:t>
      </w:r>
      <w:r w:rsidR="00E4777A" w:rsidRPr="00F8515B">
        <w:rPr>
          <w:rFonts w:ascii="Arial" w:eastAsia="Times New Roman" w:hAnsi="Arial" w:cs="Arial"/>
          <w:color w:val="000000" w:themeColor="text1"/>
          <w:sz w:val="22"/>
          <w:lang w:val="es-ES_tradnl" w:eastAsia="es-CO"/>
        </w:rPr>
        <w:t xml:space="preserve">ha </w:t>
      </w:r>
      <w:r w:rsidR="007701D9" w:rsidRPr="00F8515B">
        <w:rPr>
          <w:rFonts w:ascii="Arial" w:eastAsia="Times New Roman" w:hAnsi="Arial" w:cs="Arial"/>
          <w:color w:val="000000" w:themeColor="text1"/>
          <w:sz w:val="22"/>
          <w:lang w:val="es-ES_tradnl" w:eastAsia="es-CO"/>
        </w:rPr>
        <w:t>considera</w:t>
      </w:r>
      <w:r w:rsidR="00E4777A" w:rsidRPr="00F8515B">
        <w:rPr>
          <w:rFonts w:ascii="Arial" w:eastAsia="Times New Roman" w:hAnsi="Arial" w:cs="Arial"/>
          <w:color w:val="000000" w:themeColor="text1"/>
          <w:sz w:val="22"/>
          <w:lang w:val="es-ES_tradnl" w:eastAsia="es-CO"/>
        </w:rPr>
        <w:t>do</w:t>
      </w:r>
      <w:r w:rsidR="007701D9" w:rsidRPr="00F8515B">
        <w:rPr>
          <w:rFonts w:ascii="Arial" w:eastAsia="Times New Roman" w:hAnsi="Arial" w:cs="Arial"/>
          <w:color w:val="000000" w:themeColor="text1"/>
          <w:sz w:val="22"/>
          <w:lang w:val="es-ES_tradnl" w:eastAsia="es-CO"/>
        </w:rPr>
        <w:t xml:space="preserve"> que</w:t>
      </w:r>
      <w:r w:rsidRPr="00F8515B">
        <w:rPr>
          <w:rFonts w:ascii="Arial" w:eastAsia="Times New Roman" w:hAnsi="Arial" w:cs="Arial"/>
          <w:color w:val="000000" w:themeColor="text1"/>
          <w:sz w:val="22"/>
          <w:lang w:val="es-ES_tradnl" w:eastAsia="es-CO"/>
        </w:rPr>
        <w:t>:</w:t>
      </w:r>
    </w:p>
    <w:p w14:paraId="0A466F33" w14:textId="77777777" w:rsidR="00F61159" w:rsidRPr="00F8515B" w:rsidRDefault="00F61159" w:rsidP="00E7700C">
      <w:pPr>
        <w:spacing w:after="0"/>
        <w:ind w:left="708" w:right="709"/>
        <w:rPr>
          <w:rFonts w:ascii="Arial" w:hAnsi="Arial" w:cs="Arial"/>
          <w:color w:val="000000" w:themeColor="text1"/>
          <w:sz w:val="21"/>
          <w:szCs w:val="21"/>
          <w:lang w:val="es-ES_tradnl"/>
        </w:rPr>
      </w:pPr>
    </w:p>
    <w:p w14:paraId="33D9C2F3" w14:textId="122A3D0F" w:rsidR="00DB61B2" w:rsidRPr="00F8515B" w:rsidRDefault="00DB61B2" w:rsidP="000641BE">
      <w:pPr>
        <w:spacing w:after="120" w:line="240" w:lineRule="auto"/>
        <w:ind w:left="709" w:right="709"/>
        <w:rPr>
          <w:rFonts w:ascii="Arial" w:hAnsi="Arial" w:cs="Arial"/>
          <w:color w:val="000000" w:themeColor="text1"/>
          <w:sz w:val="21"/>
          <w:szCs w:val="21"/>
          <w:lang w:val="es-ES_tradnl"/>
        </w:rPr>
      </w:pPr>
      <w:r w:rsidRPr="00F8515B">
        <w:rPr>
          <w:rFonts w:ascii="Arial" w:hAnsi="Arial" w:cs="Arial"/>
          <w:color w:val="000000" w:themeColor="text1"/>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F8515B">
        <w:rPr>
          <w:rFonts w:ascii="Arial" w:eastAsia="Times New Roman" w:hAnsi="Arial" w:cs="Arial"/>
          <w:color w:val="000000" w:themeColor="text1"/>
          <w:sz w:val="22"/>
          <w:vertAlign w:val="superscript"/>
          <w:lang w:val="es-ES_tradnl" w:eastAsia="es-CO"/>
        </w:rPr>
        <w:footnoteReference w:id="11"/>
      </w:r>
      <w:r w:rsidRPr="00F8515B">
        <w:rPr>
          <w:rFonts w:ascii="Arial" w:hAnsi="Arial" w:cs="Arial"/>
          <w:color w:val="000000" w:themeColor="text1"/>
          <w:sz w:val="21"/>
          <w:szCs w:val="21"/>
          <w:lang w:val="es-ES_tradnl"/>
        </w:rPr>
        <w:t>.</w:t>
      </w:r>
    </w:p>
    <w:p w14:paraId="054DAA8C" w14:textId="14BE792C" w:rsidR="00DB61B2" w:rsidRPr="00F8515B" w:rsidRDefault="00DB61B2" w:rsidP="000641BE">
      <w:pPr>
        <w:spacing w:after="0" w:line="240" w:lineRule="auto"/>
        <w:ind w:left="708" w:right="709"/>
        <w:rPr>
          <w:rFonts w:ascii="Arial" w:hAnsi="Arial" w:cs="Arial"/>
          <w:color w:val="000000" w:themeColor="text1"/>
          <w:sz w:val="21"/>
          <w:szCs w:val="21"/>
          <w:lang w:val="es-ES_tradnl"/>
        </w:rPr>
      </w:pPr>
      <w:r w:rsidRPr="00F8515B">
        <w:rPr>
          <w:rFonts w:ascii="Arial" w:hAnsi="Arial" w:cs="Arial"/>
          <w:color w:val="000000" w:themeColor="text1"/>
          <w:sz w:val="21"/>
          <w:szCs w:val="21"/>
          <w:lang w:val="es-ES_tradnl"/>
        </w:rPr>
        <w:t xml:space="preserve">Esta Sala ha entendido </w:t>
      </w:r>
      <w:proofErr w:type="gramStart"/>
      <w:r w:rsidRPr="00F8515B">
        <w:rPr>
          <w:rFonts w:ascii="Arial" w:hAnsi="Arial" w:cs="Arial"/>
          <w:color w:val="000000" w:themeColor="text1"/>
          <w:sz w:val="21"/>
          <w:szCs w:val="21"/>
          <w:lang w:val="es-ES_tradnl"/>
        </w:rPr>
        <w:t>que</w:t>
      </w:r>
      <w:proofErr w:type="gramEnd"/>
      <w:r w:rsidRPr="00F8515B">
        <w:rPr>
          <w:rFonts w:ascii="Arial" w:hAnsi="Arial" w:cs="Arial"/>
          <w:color w:val="000000" w:themeColor="text1"/>
          <w:sz w:val="21"/>
          <w:szCs w:val="21"/>
          <w:lang w:val="es-ES_tradnl"/>
        </w:rPr>
        <w:t xml:space="preserve"> para los efectos de la ley de garantías, y dada su finalidad, el enunciado ´contratación directa´ es sinónimo </w:t>
      </w:r>
      <w:bookmarkStart w:id="25" w:name="_Hlk75741738"/>
      <w:r w:rsidRPr="00F8515B">
        <w:rPr>
          <w:rFonts w:ascii="Arial" w:hAnsi="Arial" w:cs="Arial"/>
          <w:color w:val="000000" w:themeColor="text1"/>
          <w:sz w:val="21"/>
          <w:szCs w:val="21"/>
          <w:lang w:val="es-ES_tradnl"/>
        </w:rPr>
        <w:t xml:space="preserve">de cualquier sistema que no implique convocatoria pública y posibilidad de pluralidad </w:t>
      </w:r>
      <w:r w:rsidRPr="00F8515B">
        <w:rPr>
          <w:rFonts w:ascii="Arial" w:hAnsi="Arial" w:cs="Arial"/>
          <w:color w:val="000000" w:themeColor="text1"/>
          <w:sz w:val="21"/>
          <w:szCs w:val="21"/>
          <w:lang w:val="es-ES_tradnl"/>
        </w:rPr>
        <w:lastRenderedPageBreak/>
        <w:t xml:space="preserve">de oferentes, </w:t>
      </w:r>
      <w:bookmarkEnd w:id="25"/>
      <w:r w:rsidRPr="00F8515B">
        <w:rPr>
          <w:rFonts w:ascii="Arial" w:hAnsi="Arial" w:cs="Arial"/>
          <w:color w:val="000000" w:themeColor="text1"/>
          <w:sz w:val="21"/>
          <w:szCs w:val="21"/>
          <w:lang w:val="es-ES_tradnl"/>
        </w:rPr>
        <w:t>y que, además, no necesariamente hace referencia al procedimiento especial regulado por la ley de contratación estatal, sino a cualquier otro que prescinda de un proceso de licitación pública o concurso</w:t>
      </w:r>
      <w:r w:rsidRPr="00F8515B">
        <w:rPr>
          <w:rFonts w:ascii="Arial" w:eastAsia="Times New Roman" w:hAnsi="Arial" w:cs="Arial"/>
          <w:color w:val="000000" w:themeColor="text1"/>
          <w:sz w:val="21"/>
          <w:szCs w:val="21"/>
          <w:vertAlign w:val="superscript"/>
          <w:lang w:val="es-ES_tradnl"/>
        </w:rPr>
        <w:footnoteReference w:id="12"/>
      </w:r>
      <w:r w:rsidRPr="00F8515B">
        <w:rPr>
          <w:rFonts w:ascii="Arial" w:eastAsia="Times New Roman" w:hAnsi="Arial" w:cs="Arial"/>
          <w:color w:val="000000" w:themeColor="text1"/>
          <w:sz w:val="21"/>
          <w:szCs w:val="21"/>
          <w:vertAlign w:val="superscript"/>
          <w:lang w:val="es-ES_tradnl"/>
        </w:rPr>
        <w:t>.</w:t>
      </w:r>
      <w:r w:rsidRPr="00F8515B">
        <w:rPr>
          <w:rFonts w:ascii="Arial" w:hAnsi="Arial" w:cs="Arial"/>
          <w:color w:val="000000" w:themeColor="text1"/>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F8515B">
        <w:rPr>
          <w:rFonts w:ascii="Arial" w:eastAsia="Times New Roman" w:hAnsi="Arial" w:cs="Arial"/>
          <w:color w:val="000000" w:themeColor="text1"/>
          <w:sz w:val="22"/>
          <w:vertAlign w:val="superscript"/>
          <w:lang w:val="es-ES_tradnl" w:eastAsia="es-CO"/>
        </w:rPr>
        <w:footnoteReference w:id="13"/>
      </w:r>
      <w:r w:rsidRPr="00F8515B">
        <w:rPr>
          <w:rFonts w:ascii="Arial" w:hAnsi="Arial" w:cs="Arial"/>
          <w:color w:val="000000" w:themeColor="text1"/>
          <w:sz w:val="21"/>
          <w:szCs w:val="21"/>
          <w:lang w:val="es-ES_tradnl"/>
        </w:rPr>
        <w:t xml:space="preserve"> .</w:t>
      </w:r>
    </w:p>
    <w:p w14:paraId="2D8D2D07" w14:textId="77777777" w:rsidR="00F61159" w:rsidRPr="00F8515B" w:rsidRDefault="00F61159" w:rsidP="00E7700C">
      <w:pPr>
        <w:shd w:val="clear" w:color="auto" w:fill="FFFFFF"/>
        <w:spacing w:after="0"/>
        <w:ind w:firstLine="709"/>
        <w:rPr>
          <w:rFonts w:ascii="Arial" w:eastAsia="Times New Roman" w:hAnsi="Arial" w:cs="Arial"/>
          <w:color w:val="000000" w:themeColor="text1"/>
          <w:sz w:val="22"/>
          <w:lang w:val="es-ES_tradnl" w:eastAsia="x-none"/>
        </w:rPr>
      </w:pPr>
    </w:p>
    <w:p w14:paraId="4F36D7D2" w14:textId="1FE4AE8F" w:rsidR="00F61159" w:rsidRPr="00F8515B" w:rsidRDefault="00DB61B2" w:rsidP="00E7700C">
      <w:pPr>
        <w:spacing w:after="120"/>
        <w:ind w:firstLine="708"/>
        <w:rPr>
          <w:rFonts w:ascii="Arial" w:eastAsia="Times New Roman" w:hAnsi="Arial" w:cs="Arial"/>
          <w:bCs/>
          <w:color w:val="000000" w:themeColor="text1"/>
          <w:sz w:val="22"/>
          <w:lang w:val="es-ES_tradnl" w:eastAsia="x-none"/>
        </w:rPr>
      </w:pPr>
      <w:r w:rsidRPr="00F8515B">
        <w:rPr>
          <w:rFonts w:ascii="Arial" w:eastAsia="Times New Roman" w:hAnsi="Arial" w:cs="Arial"/>
          <w:color w:val="000000" w:themeColor="text1"/>
          <w:sz w:val="22"/>
          <w:lang w:val="es-ES_tradnl" w:eastAsia="x-none"/>
        </w:rPr>
        <w:t>De conformidad con el citado concepto</w:t>
      </w:r>
      <w:r w:rsidR="00856B57" w:rsidRPr="00F8515B">
        <w:rPr>
          <w:rFonts w:ascii="Arial" w:eastAsia="Times New Roman" w:hAnsi="Arial" w:cs="Arial"/>
          <w:color w:val="000000" w:themeColor="text1"/>
          <w:sz w:val="22"/>
          <w:lang w:val="es-ES_tradnl" w:eastAsia="x-none"/>
        </w:rPr>
        <w:t>,</w:t>
      </w:r>
      <w:r w:rsidRPr="00F8515B">
        <w:rPr>
          <w:rFonts w:ascii="Arial" w:eastAsia="Times New Roman" w:hAnsi="Arial" w:cs="Arial"/>
          <w:color w:val="000000" w:themeColor="text1"/>
          <w:sz w:val="22"/>
          <w:lang w:val="es-ES_tradnl" w:eastAsia="x-none"/>
        </w:rPr>
        <w:t xml:space="preserve"> </w:t>
      </w:r>
      <w:bookmarkStart w:id="27" w:name="_Hlk78818702"/>
      <w:r w:rsidRPr="00F8515B">
        <w:rPr>
          <w:rFonts w:ascii="Arial" w:eastAsia="Times New Roman" w:hAnsi="Arial" w:cs="Arial"/>
          <w:color w:val="000000" w:themeColor="text1"/>
          <w:sz w:val="22"/>
          <w:lang w:val="es-ES_tradnl" w:eastAsia="x-none"/>
        </w:rPr>
        <w:t xml:space="preserve">la prohibición </w:t>
      </w:r>
      <w:r w:rsidR="00856B57" w:rsidRPr="00F8515B">
        <w:rPr>
          <w:rFonts w:ascii="Arial" w:eastAsia="Times New Roman" w:hAnsi="Arial" w:cs="Arial"/>
          <w:color w:val="000000" w:themeColor="text1"/>
          <w:sz w:val="22"/>
          <w:lang w:val="es-ES_tradnl" w:eastAsia="x-none"/>
        </w:rPr>
        <w:t>d</w:t>
      </w:r>
      <w:r w:rsidRPr="00F8515B">
        <w:rPr>
          <w:rFonts w:ascii="Arial" w:eastAsia="Times New Roman" w:hAnsi="Arial" w:cs="Arial"/>
          <w:color w:val="000000" w:themeColor="text1"/>
          <w:sz w:val="22"/>
          <w:lang w:val="es-ES_tradnl" w:eastAsia="x-none"/>
        </w:rPr>
        <w:t xml:space="preserve">el artículo 33 de la Ley de Garantías Electorales se refiere a </w:t>
      </w:r>
      <w:bookmarkStart w:id="28" w:name="_Hlk74294635"/>
      <w:r w:rsidRPr="00F8515B">
        <w:rPr>
          <w:rFonts w:ascii="Arial" w:eastAsia="Times New Roman" w:hAnsi="Arial" w:cs="Arial"/>
          <w:color w:val="000000" w:themeColor="text1"/>
          <w:sz w:val="19"/>
          <w:szCs w:val="19"/>
          <w:lang w:val="es-ES_tradnl" w:eastAsia="en-GB"/>
        </w:rPr>
        <w:t>«</w:t>
      </w:r>
      <w:bookmarkEnd w:id="28"/>
      <w:r w:rsidRPr="00F8515B">
        <w:rPr>
          <w:rFonts w:ascii="Arial" w:eastAsia="Times New Roman" w:hAnsi="Arial" w:cs="Arial"/>
          <w:color w:val="000000" w:themeColor="text1"/>
          <w:sz w:val="22"/>
          <w:lang w:val="es-ES_tradnl" w:eastAsia="x-none"/>
        </w:rPr>
        <w:t>cualquier sistema que no implique convocatoria pública y posibilidad de pluralidad de oferentes</w:t>
      </w:r>
      <w:bookmarkStart w:id="29" w:name="_Hlk74404754"/>
      <w:r w:rsidRPr="00F8515B">
        <w:rPr>
          <w:rFonts w:ascii="Arial" w:eastAsia="Times New Roman" w:hAnsi="Arial" w:cs="Arial"/>
          <w:color w:val="000000" w:themeColor="text1"/>
          <w:sz w:val="22"/>
          <w:lang w:val="es-ES_tradnl" w:eastAsia="en-GB"/>
        </w:rPr>
        <w:t>»</w:t>
      </w:r>
      <w:bookmarkEnd w:id="29"/>
      <w:r w:rsidRPr="00F8515B">
        <w:rPr>
          <w:rFonts w:ascii="Arial" w:eastAsia="Times New Roman" w:hAnsi="Arial" w:cs="Arial"/>
          <w:color w:val="000000" w:themeColor="text1"/>
          <w:sz w:val="22"/>
          <w:lang w:val="es-ES_tradnl" w:eastAsia="x-none"/>
        </w:rPr>
        <w:t>, por lo que excluye l</w:t>
      </w:r>
      <w:r w:rsidR="00856B57" w:rsidRPr="00F8515B">
        <w:rPr>
          <w:rFonts w:ascii="Arial" w:eastAsia="Times New Roman" w:hAnsi="Arial" w:cs="Arial"/>
          <w:color w:val="000000" w:themeColor="text1"/>
          <w:sz w:val="22"/>
          <w:lang w:val="es-ES_tradnl" w:eastAsia="x-none"/>
        </w:rPr>
        <w:t>a</w:t>
      </w:r>
      <w:r w:rsidRPr="00F8515B">
        <w:rPr>
          <w:rFonts w:ascii="Arial" w:eastAsia="Times New Roman" w:hAnsi="Arial" w:cs="Arial"/>
          <w:color w:val="000000" w:themeColor="text1"/>
          <w:sz w:val="22"/>
          <w:lang w:val="es-ES_tradnl" w:eastAsia="x-none"/>
        </w:rPr>
        <w:t xml:space="preserve">s demás </w:t>
      </w:r>
      <w:r w:rsidR="00856B57" w:rsidRPr="00F8515B">
        <w:rPr>
          <w:rFonts w:ascii="Arial" w:eastAsia="Times New Roman" w:hAnsi="Arial" w:cs="Arial"/>
          <w:color w:val="000000" w:themeColor="text1"/>
          <w:sz w:val="22"/>
          <w:lang w:val="es-ES_tradnl" w:eastAsia="x-none"/>
        </w:rPr>
        <w:t>modalidades</w:t>
      </w:r>
      <w:r w:rsidRPr="00F8515B">
        <w:rPr>
          <w:rFonts w:ascii="Arial" w:eastAsia="Times New Roman" w:hAnsi="Arial" w:cs="Arial"/>
          <w:color w:val="000000" w:themeColor="text1"/>
          <w:sz w:val="22"/>
          <w:lang w:val="es-ES_tradnl" w:eastAsia="x-none"/>
        </w:rPr>
        <w:t xml:space="preserve"> de contratación previst</w:t>
      </w:r>
      <w:r w:rsidR="00856B57" w:rsidRPr="00F8515B">
        <w:rPr>
          <w:rFonts w:ascii="Arial" w:eastAsia="Times New Roman" w:hAnsi="Arial" w:cs="Arial"/>
          <w:color w:val="000000" w:themeColor="text1"/>
          <w:sz w:val="22"/>
          <w:lang w:val="es-ES_tradnl" w:eastAsia="x-none"/>
        </w:rPr>
        <w:t>a</w:t>
      </w:r>
      <w:r w:rsidRPr="00F8515B">
        <w:rPr>
          <w:rFonts w:ascii="Arial" w:eastAsia="Times New Roman" w:hAnsi="Arial" w:cs="Arial"/>
          <w:color w:val="000000" w:themeColor="text1"/>
          <w:sz w:val="22"/>
          <w:lang w:val="es-ES_tradnl" w:eastAsia="x-none"/>
        </w:rPr>
        <w:t xml:space="preserve">s en la Ley 1150 de 2007, es decir, la licitación pública, la selección abreviada y el concurso de méritos u otros previstos en normas especiales. </w:t>
      </w:r>
      <w:bookmarkEnd w:id="27"/>
      <w:r w:rsidRPr="00F8515B">
        <w:rPr>
          <w:rFonts w:ascii="Arial" w:eastAsia="Times New Roman" w:hAnsi="Arial" w:cs="Arial"/>
          <w:color w:val="000000" w:themeColor="text1"/>
          <w:sz w:val="22"/>
          <w:lang w:val="es-ES_tradnl" w:eastAsia="x-none"/>
        </w:rPr>
        <w:t xml:space="preserve">Esta posición es congruente con la expedición de la Ley 1150 de 2007 que, entre otras reformas, introdujo </w:t>
      </w:r>
      <w:r w:rsidR="00856B57" w:rsidRPr="00F8515B">
        <w:rPr>
          <w:rFonts w:ascii="Arial" w:eastAsia="Times New Roman" w:hAnsi="Arial" w:cs="Arial"/>
          <w:color w:val="000000" w:themeColor="text1"/>
          <w:sz w:val="22"/>
          <w:lang w:val="es-ES_tradnl" w:eastAsia="x-none"/>
        </w:rPr>
        <w:t>la</w:t>
      </w:r>
      <w:r w:rsidRPr="00F8515B">
        <w:rPr>
          <w:rFonts w:ascii="Arial" w:eastAsia="Times New Roman" w:hAnsi="Arial" w:cs="Arial"/>
          <w:color w:val="000000" w:themeColor="text1"/>
          <w:sz w:val="22"/>
          <w:lang w:val="es-ES_tradnl" w:eastAsia="x-none"/>
        </w:rPr>
        <w:t xml:space="preserve"> selección abreviada, rediseñó el concurso de méritos</w:t>
      </w:r>
      <w:r w:rsidRPr="00F8515B">
        <w:rPr>
          <w:rFonts w:ascii="Arial" w:eastAsia="Times New Roman" w:hAnsi="Arial" w:cs="Arial"/>
          <w:color w:val="000000" w:themeColor="text1"/>
          <w:sz w:val="22"/>
          <w:vertAlign w:val="superscript"/>
          <w:lang w:val="es-ES_tradnl" w:eastAsia="x-none"/>
        </w:rPr>
        <w:footnoteReference w:id="14"/>
      </w:r>
      <w:r w:rsidRPr="00F8515B">
        <w:rPr>
          <w:rFonts w:ascii="Arial" w:eastAsia="Times New Roman" w:hAnsi="Arial" w:cs="Arial"/>
          <w:color w:val="000000" w:themeColor="text1"/>
          <w:sz w:val="22"/>
          <w:lang w:val="es-ES_tradnl" w:eastAsia="x-none"/>
        </w:rPr>
        <w:t xml:space="preserve"> y sistematizó las causales de contratación directa</w:t>
      </w:r>
      <w:r w:rsidRPr="00F8515B">
        <w:rPr>
          <w:rFonts w:ascii="Arial" w:eastAsia="Times New Roman" w:hAnsi="Arial" w:cs="Arial"/>
          <w:color w:val="000000" w:themeColor="text1"/>
          <w:sz w:val="22"/>
          <w:vertAlign w:val="superscript"/>
          <w:lang w:val="es-ES_tradnl" w:eastAsia="x-none"/>
        </w:rPr>
        <w:footnoteReference w:id="15"/>
      </w:r>
      <w:r w:rsidRPr="00F8515B">
        <w:rPr>
          <w:rFonts w:ascii="Arial" w:eastAsia="Times New Roman" w:hAnsi="Arial" w:cs="Arial"/>
          <w:color w:val="000000" w:themeColor="text1"/>
          <w:sz w:val="22"/>
          <w:lang w:val="es-ES_tradnl" w:eastAsia="x-none"/>
        </w:rPr>
        <w:t xml:space="preserve">. </w:t>
      </w:r>
    </w:p>
    <w:p w14:paraId="2F4008CF" w14:textId="32524502" w:rsidR="00F61159" w:rsidRPr="00F8515B" w:rsidRDefault="00DB61B2" w:rsidP="00E7700C">
      <w:pPr>
        <w:spacing w:after="120"/>
        <w:ind w:firstLine="708"/>
        <w:rPr>
          <w:rFonts w:ascii="Arial" w:eastAsia="Times New Roman" w:hAnsi="Arial" w:cs="Arial"/>
          <w:color w:val="000000" w:themeColor="text1"/>
          <w:sz w:val="22"/>
          <w:lang w:val="es-ES_tradnl" w:eastAsia="x-none"/>
        </w:rPr>
      </w:pPr>
      <w:r w:rsidRPr="00F8515B">
        <w:rPr>
          <w:rFonts w:ascii="Arial" w:eastAsia="Times New Roman" w:hAnsi="Arial" w:cs="Arial"/>
          <w:color w:val="000000" w:themeColor="text1"/>
          <w:sz w:val="22"/>
          <w:lang w:val="es-ES_tradnl" w:eastAsia="x-none"/>
        </w:rPr>
        <w:t xml:space="preserve">De esta forma, con fundamento en la evolución de la normativa </w:t>
      </w:r>
      <w:r w:rsidR="006274A6" w:rsidRPr="00F8515B">
        <w:rPr>
          <w:rFonts w:ascii="Arial" w:eastAsia="Times New Roman" w:hAnsi="Arial" w:cs="Arial"/>
          <w:color w:val="000000" w:themeColor="text1"/>
          <w:sz w:val="22"/>
          <w:lang w:val="es-ES_tradnl" w:eastAsia="x-none"/>
        </w:rPr>
        <w:t>en materia de</w:t>
      </w:r>
      <w:r w:rsidRPr="00F8515B">
        <w:rPr>
          <w:rFonts w:ascii="Arial" w:eastAsia="Times New Roman" w:hAnsi="Arial" w:cs="Arial"/>
          <w:color w:val="000000" w:themeColor="text1"/>
          <w:sz w:val="22"/>
          <w:lang w:val="es-ES_tradnl" w:eastAsia="x-none"/>
        </w:rPr>
        <w:t xml:space="preserve"> contratación pública, se ha depurado la noción de </w:t>
      </w:r>
      <w:r w:rsidRPr="00F8515B">
        <w:rPr>
          <w:rFonts w:ascii="Arial" w:eastAsia="Times New Roman" w:hAnsi="Arial" w:cs="Arial"/>
          <w:color w:val="000000" w:themeColor="text1"/>
          <w:sz w:val="19"/>
          <w:szCs w:val="19"/>
          <w:lang w:val="es-ES_tradnl" w:eastAsia="en-GB"/>
        </w:rPr>
        <w:t>«</w:t>
      </w:r>
      <w:r w:rsidRPr="00F8515B">
        <w:rPr>
          <w:rFonts w:ascii="Arial" w:eastAsia="Times New Roman" w:hAnsi="Arial" w:cs="Arial"/>
          <w:color w:val="000000" w:themeColor="text1"/>
          <w:sz w:val="22"/>
          <w:lang w:val="es-ES_tradnl" w:eastAsia="x-none"/>
        </w:rPr>
        <w:t>contratación directa</w:t>
      </w:r>
      <w:r w:rsidRPr="00F8515B">
        <w:rPr>
          <w:rFonts w:ascii="Arial" w:eastAsia="Times New Roman" w:hAnsi="Arial" w:cs="Arial"/>
          <w:color w:val="000000" w:themeColor="text1"/>
          <w:sz w:val="22"/>
          <w:lang w:val="es-ES_tradnl" w:eastAsia="en-GB"/>
        </w:rPr>
        <w:t>»</w:t>
      </w:r>
      <w:r w:rsidRPr="00F8515B">
        <w:rPr>
          <w:rFonts w:ascii="Arial" w:eastAsia="Times New Roman" w:hAnsi="Arial" w:cs="Arial"/>
          <w:color w:val="000000" w:themeColor="text1"/>
          <w:sz w:val="22"/>
          <w:lang w:val="es-ES_tradnl" w:eastAsia="x-none"/>
        </w:rPr>
        <w:t xml:space="preserve">, precisando el Consejo de Estado </w:t>
      </w:r>
      <w:r w:rsidR="00856B57" w:rsidRPr="00F8515B">
        <w:rPr>
          <w:rFonts w:ascii="Arial" w:eastAsia="Times New Roman" w:hAnsi="Arial" w:cs="Arial"/>
          <w:color w:val="000000" w:themeColor="text1"/>
          <w:sz w:val="22"/>
          <w:lang w:val="es-ES_tradnl" w:eastAsia="x-none"/>
        </w:rPr>
        <w:t>–</w:t>
      </w:r>
      <w:r w:rsidRPr="00F8515B">
        <w:rPr>
          <w:rFonts w:ascii="Arial" w:eastAsia="Times New Roman" w:hAnsi="Arial" w:cs="Arial"/>
          <w:color w:val="000000" w:themeColor="text1"/>
          <w:sz w:val="22"/>
          <w:lang w:val="es-ES_tradnl" w:eastAsia="x-none"/>
        </w:rPr>
        <w:t>en el concepto citado</w:t>
      </w:r>
      <w:r w:rsidR="00856B57" w:rsidRPr="00F8515B">
        <w:rPr>
          <w:rFonts w:ascii="Arial" w:eastAsia="Times New Roman" w:hAnsi="Arial" w:cs="Arial"/>
          <w:color w:val="000000" w:themeColor="text1"/>
          <w:sz w:val="22"/>
          <w:lang w:val="es-ES_tradnl" w:eastAsia="x-none"/>
        </w:rPr>
        <w:t>–</w:t>
      </w:r>
      <w:r w:rsidRPr="00F8515B">
        <w:rPr>
          <w:rFonts w:ascii="Arial" w:eastAsia="Times New Roman" w:hAnsi="Arial" w:cs="Arial"/>
          <w:color w:val="000000" w:themeColor="text1"/>
          <w:sz w:val="22"/>
          <w:lang w:val="es-ES_tradnl"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F8515B">
        <w:rPr>
          <w:rFonts w:ascii="Arial" w:eastAsia="Times New Roman" w:hAnsi="Arial" w:cs="Arial"/>
          <w:color w:val="000000" w:themeColor="text1"/>
          <w:sz w:val="22"/>
          <w:vertAlign w:val="superscript"/>
          <w:lang w:val="es-ES_tradnl" w:eastAsia="x-none"/>
        </w:rPr>
        <w:footnoteReference w:id="16"/>
      </w:r>
      <w:r w:rsidRPr="00F8515B">
        <w:rPr>
          <w:rFonts w:ascii="Arial" w:eastAsia="Times New Roman" w:hAnsi="Arial" w:cs="Arial"/>
          <w:color w:val="000000" w:themeColor="text1"/>
          <w:sz w:val="22"/>
          <w:lang w:val="es-ES_tradnl" w:eastAsia="x-none"/>
        </w:rPr>
        <w:t>, han establecido sistemas de contratación que implican convocatoria pública y participación de varios oferentes</w:t>
      </w:r>
      <w:r w:rsidRPr="00F8515B">
        <w:rPr>
          <w:rFonts w:ascii="Arial" w:eastAsia="Times New Roman" w:hAnsi="Arial" w:cs="Arial"/>
          <w:color w:val="000000" w:themeColor="text1"/>
          <w:sz w:val="22"/>
          <w:lang w:val="es-ES_tradnl" w:eastAsia="en-GB"/>
        </w:rPr>
        <w:t>»</w:t>
      </w:r>
      <w:r w:rsidRPr="00F8515B">
        <w:rPr>
          <w:rFonts w:ascii="Arial" w:eastAsia="Times New Roman" w:hAnsi="Arial" w:cs="Arial"/>
          <w:color w:val="000000" w:themeColor="text1"/>
          <w:sz w:val="22"/>
          <w:lang w:val="es-ES_tradnl" w:eastAsia="x-none"/>
        </w:rPr>
        <w:t xml:space="preserve">. </w:t>
      </w:r>
    </w:p>
    <w:p w14:paraId="53C28641" w14:textId="46409A62" w:rsidR="006C6A3B" w:rsidRPr="00F8515B" w:rsidRDefault="00F61159" w:rsidP="00E7700C">
      <w:pPr>
        <w:spacing w:after="120"/>
        <w:ind w:firstLine="708"/>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x-none"/>
        </w:rPr>
        <w:t>E</w:t>
      </w:r>
      <w:r w:rsidR="008C6B51" w:rsidRPr="00F8515B">
        <w:rPr>
          <w:rFonts w:ascii="Arial" w:eastAsia="Times New Roman" w:hAnsi="Arial" w:cs="Arial"/>
          <w:color w:val="000000" w:themeColor="text1"/>
          <w:sz w:val="22"/>
          <w:lang w:val="es-ES_tradnl" w:eastAsia="x-none"/>
        </w:rPr>
        <w:t xml:space="preserve">n efecto, vale la pena mencionar que, </w:t>
      </w:r>
      <w:bookmarkStart w:id="31" w:name="_Hlk75636073"/>
      <w:r w:rsidR="008C6B51" w:rsidRPr="00F8515B">
        <w:rPr>
          <w:rFonts w:ascii="Arial" w:eastAsia="Times New Roman" w:hAnsi="Arial" w:cs="Arial"/>
          <w:color w:val="000000" w:themeColor="text1"/>
          <w:sz w:val="22"/>
          <w:lang w:val="es-ES_tradnl" w:eastAsia="x-none"/>
        </w:rPr>
        <w:t xml:space="preserve">en algunos sistemas de contratación, utilizados por entidades públicas con regímenes especiales, o sujetas al derecho </w:t>
      </w:r>
      <w:r w:rsidR="008C6B51" w:rsidRPr="00F8515B">
        <w:rPr>
          <w:rFonts w:ascii="Arial" w:eastAsia="Times New Roman" w:hAnsi="Arial" w:cs="Arial"/>
          <w:color w:val="000000" w:themeColor="text1"/>
          <w:sz w:val="22"/>
          <w:lang w:val="es-ES_tradnl" w:eastAsia="x-none"/>
        </w:rPr>
        <w:lastRenderedPageBreak/>
        <w:t>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1"/>
      <w:r w:rsidR="008C6B51" w:rsidRPr="00F8515B">
        <w:rPr>
          <w:rFonts w:ascii="Arial" w:eastAsia="Times New Roman" w:hAnsi="Arial" w:cs="Arial"/>
          <w:color w:val="000000" w:themeColor="text1"/>
          <w:sz w:val="22"/>
          <w:vertAlign w:val="superscript"/>
          <w:lang w:val="es-ES_tradnl" w:eastAsia="x-none"/>
        </w:rPr>
        <w:footnoteReference w:id="17"/>
      </w:r>
      <w:r w:rsidR="008C6B51" w:rsidRPr="00F8515B">
        <w:rPr>
          <w:rFonts w:ascii="Arial" w:eastAsia="Times New Roman" w:hAnsi="Arial" w:cs="Arial"/>
          <w:color w:val="000000" w:themeColor="text1"/>
          <w:sz w:val="22"/>
          <w:lang w:val="es-ES_tradnl" w:eastAsia="x-none"/>
        </w:rPr>
        <w:t xml:space="preserve">. </w:t>
      </w:r>
    </w:p>
    <w:p w14:paraId="260E30ED" w14:textId="7E3BBE15" w:rsidR="006C6A3B" w:rsidRPr="00F8515B" w:rsidRDefault="006C6A3B" w:rsidP="00E7700C">
      <w:pPr>
        <w:spacing w:after="120"/>
        <w:ind w:firstLine="708"/>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F8515B">
        <w:rPr>
          <w:rFonts w:ascii="Arial" w:eastAsia="Times New Roman" w:hAnsi="Arial" w:cs="Arial"/>
          <w:bCs/>
          <w:color w:val="000000" w:themeColor="text1"/>
          <w:sz w:val="22"/>
          <w:lang w:val="es-ES_tradnl" w:eastAsia="es-CO"/>
        </w:rPr>
        <w:t>.</w:t>
      </w:r>
    </w:p>
    <w:p w14:paraId="0C03ED6F" w14:textId="4A8EF358" w:rsidR="006C6A3B" w:rsidRPr="00F8515B" w:rsidRDefault="00856B57" w:rsidP="00E7700C">
      <w:pPr>
        <w:spacing w:after="120"/>
        <w:ind w:firstLine="708"/>
        <w:rPr>
          <w:rFonts w:ascii="Arial" w:eastAsia="Times New Roman" w:hAnsi="Arial" w:cs="Arial"/>
          <w:bCs/>
          <w:color w:val="000000" w:themeColor="text1"/>
          <w:sz w:val="22"/>
          <w:lang w:val="es-ES_tradnl" w:eastAsia="x-none"/>
        </w:rPr>
      </w:pPr>
      <w:bookmarkStart w:id="32" w:name="_Hlk78818796"/>
      <w:r w:rsidRPr="00F8515B">
        <w:rPr>
          <w:rFonts w:ascii="Arial" w:eastAsia="Times New Roman" w:hAnsi="Arial" w:cs="Arial"/>
          <w:bCs/>
          <w:color w:val="000000" w:themeColor="text1"/>
          <w:sz w:val="22"/>
          <w:lang w:val="es-ES_tradnl" w:eastAsia="x-none"/>
        </w:rPr>
        <w:t xml:space="preserve"> </w:t>
      </w:r>
      <w:r w:rsidR="00DB61B2" w:rsidRPr="00F8515B">
        <w:rPr>
          <w:rFonts w:ascii="Arial" w:eastAsia="Times New Roman" w:hAnsi="Arial" w:cs="Arial"/>
          <w:bCs/>
          <w:color w:val="000000" w:themeColor="text1"/>
          <w:sz w:val="22"/>
          <w:lang w:val="es-ES_tradnl" w:eastAsia="x-none"/>
        </w:rPr>
        <w:t xml:space="preserve">Así las cosas, ha de entenderse que, para los efectos de la Ley de Garantías Electorales y, en particular, para la prohibición o restricción temporal contenida en su artículo 33, «contratación directa» </w:t>
      </w:r>
      <w:r w:rsidR="008700C1" w:rsidRPr="00F8515B">
        <w:rPr>
          <w:rFonts w:ascii="Arial" w:eastAsia="Times New Roman" w:hAnsi="Arial" w:cs="Arial"/>
          <w:bCs/>
          <w:color w:val="000000" w:themeColor="text1"/>
          <w:sz w:val="22"/>
          <w:lang w:val="es-ES_tradnl" w:eastAsia="x-none"/>
        </w:rPr>
        <w:t xml:space="preserve">es </w:t>
      </w:r>
      <w:r w:rsidR="00DB61B2" w:rsidRPr="00F8515B">
        <w:rPr>
          <w:rFonts w:ascii="Arial" w:eastAsia="Times New Roman" w:hAnsi="Arial" w:cs="Arial"/>
          <w:bCs/>
          <w:color w:val="000000" w:themeColor="text1"/>
          <w:sz w:val="22"/>
          <w:lang w:val="es-ES_tradnl" w:eastAsia="x-none"/>
        </w:rPr>
        <w:t>cualquier sistema de selección o procedimiento de contratación</w:t>
      </w:r>
      <w:r w:rsidR="006C6A3B" w:rsidRPr="00F8515B">
        <w:rPr>
          <w:rFonts w:ascii="Arial" w:eastAsia="Times New Roman" w:hAnsi="Arial" w:cs="Arial"/>
          <w:bCs/>
          <w:color w:val="000000" w:themeColor="text1"/>
          <w:sz w:val="22"/>
          <w:lang w:val="es-ES_tradnl" w:eastAsia="x-none"/>
        </w:rPr>
        <w:t xml:space="preserve"> </w:t>
      </w:r>
      <w:r w:rsidR="00DB61B2" w:rsidRPr="00F8515B">
        <w:rPr>
          <w:rFonts w:ascii="Arial" w:eastAsia="Times New Roman" w:hAnsi="Arial" w:cs="Arial"/>
          <w:bCs/>
          <w:color w:val="000000" w:themeColor="text1"/>
          <w:sz w:val="22"/>
          <w:lang w:val="es-ES_tradnl" w:eastAsia="x-none"/>
        </w:rPr>
        <w:t>utilizado por las entidades estatales que no incluya la convocatoria pública en alguna de sus etapas, ni permita la participación de una pluralidad de oferentes</w:t>
      </w:r>
      <w:r w:rsidR="00F61159" w:rsidRPr="00F8515B">
        <w:rPr>
          <w:rFonts w:ascii="Arial" w:eastAsia="Times New Roman" w:hAnsi="Arial" w:cs="Arial"/>
          <w:color w:val="000000" w:themeColor="text1"/>
          <w:sz w:val="22"/>
          <w:vertAlign w:val="superscript"/>
          <w:lang w:val="es-ES_tradnl" w:eastAsia="x-none"/>
        </w:rPr>
        <w:footnoteReference w:id="18"/>
      </w:r>
      <w:r w:rsidR="0052446F" w:rsidRPr="00F8515B">
        <w:rPr>
          <w:rFonts w:ascii="Arial" w:eastAsia="Times New Roman" w:hAnsi="Arial" w:cs="Arial"/>
          <w:bCs/>
          <w:color w:val="000000" w:themeColor="text1"/>
          <w:sz w:val="22"/>
          <w:lang w:val="es-ES_tradnl" w:eastAsia="x-none"/>
        </w:rPr>
        <w:t>.</w:t>
      </w:r>
      <w:r w:rsidR="00F61159" w:rsidRPr="00F8515B">
        <w:rPr>
          <w:rFonts w:ascii="Arial" w:eastAsia="Times New Roman" w:hAnsi="Arial" w:cs="Arial"/>
          <w:color w:val="000000" w:themeColor="text1"/>
          <w:sz w:val="22"/>
          <w:vertAlign w:val="superscript"/>
          <w:lang w:val="es-ES_tradnl" w:eastAsia="x-none"/>
        </w:rPr>
        <w:t xml:space="preserve"> </w:t>
      </w:r>
    </w:p>
    <w:bookmarkEnd w:id="32"/>
    <w:p w14:paraId="0B41E164" w14:textId="31952722" w:rsidR="00843F7A" w:rsidRPr="00F8515B" w:rsidRDefault="00F61159" w:rsidP="00E7700C">
      <w:pPr>
        <w:spacing w:after="120"/>
        <w:ind w:firstLine="708"/>
        <w:rPr>
          <w:rFonts w:ascii="Arial" w:eastAsia="Times New Roman" w:hAnsi="Arial" w:cs="Arial"/>
          <w:color w:val="000000" w:themeColor="text1"/>
          <w:sz w:val="22"/>
          <w:lang w:val="es-ES_tradnl" w:eastAsia="x-none"/>
        </w:rPr>
      </w:pPr>
      <w:r w:rsidRPr="00F8515B">
        <w:rPr>
          <w:rFonts w:ascii="Arial" w:eastAsia="Times New Roman" w:hAnsi="Arial" w:cs="Arial"/>
          <w:bCs/>
          <w:color w:val="000000" w:themeColor="text1"/>
          <w:sz w:val="22"/>
          <w:lang w:val="es-ES_tradnl" w:eastAsia="x-none"/>
        </w:rPr>
        <w:t>De lo anterior se desp</w:t>
      </w:r>
      <w:r w:rsidR="0011730D" w:rsidRPr="00F8515B">
        <w:rPr>
          <w:rFonts w:ascii="Arial" w:eastAsia="Times New Roman" w:hAnsi="Arial" w:cs="Arial"/>
          <w:bCs/>
          <w:color w:val="000000" w:themeColor="text1"/>
          <w:sz w:val="22"/>
          <w:lang w:val="es-ES_tradnl" w:eastAsia="x-none"/>
        </w:rPr>
        <w:t>r</w:t>
      </w:r>
      <w:r w:rsidRPr="00F8515B">
        <w:rPr>
          <w:rFonts w:ascii="Arial" w:eastAsia="Times New Roman" w:hAnsi="Arial" w:cs="Arial"/>
          <w:bCs/>
          <w:color w:val="000000" w:themeColor="text1"/>
          <w:sz w:val="22"/>
          <w:lang w:val="es-ES_tradnl" w:eastAsia="x-none"/>
        </w:rPr>
        <w:t>ende que la restricción aplica, sin perjuicio de las excepciones establecidas en la misma ley, para celebrar cualquier contrato de forma directa, esto es, sin que exista un proceso abierto y competitivo.</w:t>
      </w:r>
      <w:r w:rsidR="006C6A3B" w:rsidRPr="00F8515B">
        <w:rPr>
          <w:rFonts w:ascii="Arial" w:eastAsia="Times New Roman" w:hAnsi="Arial" w:cs="Arial"/>
          <w:color w:val="000000" w:themeColor="text1"/>
          <w:sz w:val="22"/>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F8515B">
        <w:rPr>
          <w:rFonts w:ascii="Arial" w:eastAsia="Times New Roman" w:hAnsi="Arial" w:cs="Arial"/>
          <w:color w:val="000000" w:themeColor="text1"/>
          <w:sz w:val="22"/>
          <w:lang w:val="es-ES_tradnl" w:eastAsia="x-none"/>
        </w:rPr>
        <w:t>í</w:t>
      </w:r>
      <w:r w:rsidR="006C6A3B" w:rsidRPr="00F8515B">
        <w:rPr>
          <w:rFonts w:ascii="Arial" w:eastAsia="Times New Roman" w:hAnsi="Arial" w:cs="Arial"/>
          <w:color w:val="000000" w:themeColor="text1"/>
          <w:sz w:val="22"/>
          <w:lang w:val="es-ES_tradnl" w:eastAsia="x-none"/>
        </w:rPr>
        <w:t>odo preelectoral de que trata la disposición pueden las entidades públicas seguir contratando bajo estos sistemas.</w:t>
      </w:r>
    </w:p>
    <w:p w14:paraId="13CCFE79" w14:textId="27EAFD29" w:rsidR="00F61159" w:rsidRPr="00F8515B" w:rsidRDefault="00843F7A" w:rsidP="00E7700C">
      <w:pPr>
        <w:spacing w:after="120"/>
        <w:ind w:firstLine="708"/>
        <w:rPr>
          <w:rFonts w:ascii="Arial" w:eastAsia="Times New Roman" w:hAnsi="Arial" w:cs="Arial"/>
          <w:bCs/>
          <w:color w:val="000000" w:themeColor="text1"/>
          <w:sz w:val="22"/>
          <w:lang w:val="es-ES_tradnl" w:eastAsia="x-none"/>
        </w:rPr>
      </w:pPr>
      <w:bookmarkStart w:id="33" w:name="_Hlk77237094"/>
      <w:r w:rsidRPr="00F8515B">
        <w:rPr>
          <w:rFonts w:ascii="Arial" w:eastAsia="Times New Roman" w:hAnsi="Arial" w:cs="Arial"/>
          <w:bCs/>
          <w:color w:val="000000" w:themeColor="text1"/>
          <w:sz w:val="22"/>
          <w:lang w:val="es-ES_tradnl" w:eastAsia="es-CO"/>
        </w:rPr>
        <w:t>Como en otras oportunidades lo ha manifestado esta Agencia</w:t>
      </w:r>
      <w:r w:rsidR="00856B57"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las prórrogas, modificaciones o adiciones de los contratos suscritos antes de la </w:t>
      </w:r>
      <w:proofErr w:type="gramStart"/>
      <w:r w:rsidRPr="00F8515B">
        <w:rPr>
          <w:rFonts w:ascii="Arial" w:eastAsia="Times New Roman" w:hAnsi="Arial" w:cs="Arial"/>
          <w:bCs/>
          <w:color w:val="000000" w:themeColor="text1"/>
          <w:sz w:val="22"/>
          <w:lang w:val="es-ES_tradnl" w:eastAsia="es-CO"/>
        </w:rPr>
        <w:t>entrada en vigencia</w:t>
      </w:r>
      <w:proofErr w:type="gramEnd"/>
      <w:r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lastRenderedPageBreak/>
        <w:t>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3"/>
    </w:p>
    <w:p w14:paraId="07FCD97F" w14:textId="1217BFF4" w:rsidR="00452BCB" w:rsidRPr="00F8515B" w:rsidRDefault="00402FD5" w:rsidP="00E7700C">
      <w:pPr>
        <w:spacing w:after="120"/>
        <w:ind w:firstLine="708"/>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x-none"/>
        </w:rPr>
        <w:t>De otro lado, las excepciones a la restricción prevista en la Ley de Garantías, con fundamento en las cuales podrán las entidades públicas adelantar procedimientos de selección directa en per</w:t>
      </w:r>
      <w:r w:rsidR="00326A5D" w:rsidRPr="00F8515B">
        <w:rPr>
          <w:rFonts w:ascii="Arial" w:eastAsia="Times New Roman" w:hAnsi="Arial" w:cs="Arial"/>
          <w:bCs/>
          <w:color w:val="000000" w:themeColor="text1"/>
          <w:sz w:val="22"/>
          <w:lang w:val="es-ES_tradnl" w:eastAsia="x-none"/>
        </w:rPr>
        <w:t>í</w:t>
      </w:r>
      <w:r w:rsidRPr="00F8515B">
        <w:rPr>
          <w:rFonts w:ascii="Arial" w:eastAsia="Times New Roman" w:hAnsi="Arial" w:cs="Arial"/>
          <w:bCs/>
          <w:color w:val="000000" w:themeColor="text1"/>
          <w:sz w:val="22"/>
          <w:lang w:val="es-ES_tradnl" w:eastAsia="x-none"/>
        </w:rPr>
        <w:t>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F8515B">
        <w:rPr>
          <w:rFonts w:ascii="Arial" w:eastAsia="Times New Roman" w:hAnsi="Arial" w:cs="Arial"/>
          <w:bCs/>
          <w:color w:val="000000" w:themeColor="text1"/>
          <w:sz w:val="22"/>
          <w:lang w:val="es-ES_tradnl" w:eastAsia="es-CO"/>
        </w:rPr>
        <w:t xml:space="preserve"> </w:t>
      </w:r>
      <w:r w:rsidR="00452BCB" w:rsidRPr="00F8515B">
        <w:rPr>
          <w:rFonts w:ascii="Arial" w:eastAsia="Times New Roman" w:hAnsi="Arial" w:cs="Arial"/>
          <w:bCs/>
          <w:color w:val="000000" w:themeColor="text1"/>
          <w:sz w:val="22"/>
          <w:lang w:val="es-ES_tradnl" w:eastAsia="es-CO"/>
        </w:rPr>
        <w:t xml:space="preserve">Es responsabilidad del respectivo ente del Estado, examinar en cada caso la naturaleza de las actividades que adelanta y determinar si las mismas se enmarcan en alguna de las </w:t>
      </w:r>
      <w:r w:rsidR="006C6A3B" w:rsidRPr="00F8515B">
        <w:rPr>
          <w:rFonts w:ascii="Arial" w:eastAsia="Times New Roman" w:hAnsi="Arial" w:cs="Arial"/>
          <w:bCs/>
          <w:color w:val="000000" w:themeColor="text1"/>
          <w:sz w:val="22"/>
          <w:lang w:val="es-ES_tradnl" w:eastAsia="es-CO"/>
        </w:rPr>
        <w:t xml:space="preserve">mencionadas </w:t>
      </w:r>
      <w:r w:rsidR="00452BCB" w:rsidRPr="00F8515B">
        <w:rPr>
          <w:rFonts w:ascii="Arial" w:eastAsia="Times New Roman" w:hAnsi="Arial" w:cs="Arial"/>
          <w:bCs/>
          <w:color w:val="000000" w:themeColor="text1"/>
          <w:sz w:val="22"/>
          <w:lang w:val="es-ES_tradnl" w:eastAsia="es-CO"/>
        </w:rPr>
        <w:t xml:space="preserve">excepciones, de manera que se le permita realizar </w:t>
      </w:r>
      <w:r w:rsidR="00F23A10" w:rsidRPr="00F8515B">
        <w:rPr>
          <w:rFonts w:ascii="Arial" w:eastAsia="Times New Roman" w:hAnsi="Arial" w:cs="Arial"/>
          <w:bCs/>
          <w:color w:val="000000" w:themeColor="text1"/>
          <w:sz w:val="22"/>
          <w:lang w:val="es-ES_tradnl" w:eastAsia="es-CO"/>
        </w:rPr>
        <w:t>la contratación</w:t>
      </w:r>
      <w:r w:rsidR="00452BCB" w:rsidRPr="00F8515B">
        <w:rPr>
          <w:rFonts w:ascii="Arial" w:eastAsia="Times New Roman" w:hAnsi="Arial" w:cs="Arial"/>
          <w:bCs/>
          <w:color w:val="000000" w:themeColor="text1"/>
          <w:sz w:val="22"/>
          <w:lang w:val="es-ES_tradnl" w:eastAsia="es-CO"/>
        </w:rPr>
        <w:t xml:space="preserve"> que necesite en forma directa.</w:t>
      </w:r>
    </w:p>
    <w:p w14:paraId="1244CE42" w14:textId="3381626D" w:rsidR="00D37454" w:rsidRPr="00F8515B" w:rsidRDefault="001F1781" w:rsidP="00E7700C">
      <w:pPr>
        <w:spacing w:after="0"/>
        <w:ind w:firstLine="708"/>
        <w:rPr>
          <w:rFonts w:ascii="Arial" w:eastAsia="Times New Roman" w:hAnsi="Arial" w:cs="Arial"/>
          <w:bCs/>
          <w:color w:val="000000" w:themeColor="text1"/>
          <w:sz w:val="22"/>
          <w:lang w:val="es-ES_tradnl" w:eastAsia="x-none"/>
        </w:rPr>
      </w:pPr>
      <w:r w:rsidRPr="00F8515B">
        <w:rPr>
          <w:rFonts w:ascii="Arial" w:eastAsia="Times New Roman" w:hAnsi="Arial" w:cs="Arial"/>
          <w:bCs/>
          <w:color w:val="000000" w:themeColor="text1"/>
          <w:sz w:val="22"/>
          <w:lang w:val="es-ES_tradnl" w:eastAsia="x-none"/>
        </w:rPr>
        <w:t>En esta labor es importante tener en cuenta, como lo anotó l</w:t>
      </w:r>
      <w:r w:rsidR="00402FD5" w:rsidRPr="00F8515B">
        <w:rPr>
          <w:rFonts w:ascii="Arial" w:eastAsia="Times New Roman" w:hAnsi="Arial" w:cs="Arial"/>
          <w:bCs/>
          <w:color w:val="000000" w:themeColor="text1"/>
          <w:sz w:val="22"/>
          <w:lang w:val="es-ES_tradnl" w:eastAsia="x-none"/>
        </w:rPr>
        <w:t xml:space="preserve">a Corte Constitucional, en </w:t>
      </w:r>
      <w:r w:rsidR="00856B57" w:rsidRPr="00F8515B">
        <w:rPr>
          <w:rFonts w:ascii="Arial" w:eastAsia="Times New Roman" w:hAnsi="Arial" w:cs="Arial"/>
          <w:bCs/>
          <w:color w:val="000000" w:themeColor="text1"/>
          <w:sz w:val="22"/>
          <w:lang w:val="es-ES_tradnl" w:eastAsia="x-none"/>
        </w:rPr>
        <w:t>S</w:t>
      </w:r>
      <w:r w:rsidR="00402FD5" w:rsidRPr="00F8515B">
        <w:rPr>
          <w:rFonts w:ascii="Arial" w:eastAsia="Times New Roman" w:hAnsi="Arial" w:cs="Arial"/>
          <w:bCs/>
          <w:color w:val="000000" w:themeColor="text1"/>
          <w:sz w:val="22"/>
          <w:lang w:val="es-ES_tradnl" w:eastAsia="x-none"/>
        </w:rPr>
        <w:t>entencia C-1153 de noviembre 11 de 2005</w:t>
      </w:r>
      <w:r w:rsidR="00402FD5" w:rsidRPr="00F8515B">
        <w:rPr>
          <w:rStyle w:val="Refdenotaalpie"/>
          <w:color w:val="000000" w:themeColor="text1"/>
          <w:lang w:val="es-ES_tradnl"/>
        </w:rPr>
        <w:t>,</w:t>
      </w:r>
      <w:r w:rsidR="00402FD5" w:rsidRPr="00F8515B">
        <w:rPr>
          <w:rFonts w:ascii="Arial" w:eastAsia="Times New Roman" w:hAnsi="Arial" w:cs="Arial"/>
          <w:bCs/>
          <w:color w:val="000000" w:themeColor="text1"/>
          <w:sz w:val="22"/>
          <w:lang w:val="es-ES_tradnl" w:eastAsia="x-none"/>
        </w:rPr>
        <w:t xml:space="preserve"> </w:t>
      </w:r>
      <w:bookmarkStart w:id="34" w:name="_Hlk74309042"/>
      <w:r w:rsidRPr="00F8515B">
        <w:rPr>
          <w:rFonts w:ascii="Arial" w:eastAsia="Times New Roman" w:hAnsi="Arial" w:cs="Arial"/>
          <w:bCs/>
          <w:color w:val="000000" w:themeColor="text1"/>
          <w:sz w:val="22"/>
          <w:lang w:val="es-ES_tradnl" w:eastAsia="x-none"/>
        </w:rPr>
        <w:t xml:space="preserve">que </w:t>
      </w:r>
      <w:r w:rsidR="00402FD5" w:rsidRPr="00F8515B">
        <w:rPr>
          <w:rFonts w:ascii="Arial" w:eastAsia="Times New Roman" w:hAnsi="Arial" w:cs="Arial"/>
          <w:bCs/>
          <w:color w:val="000000" w:themeColor="text1"/>
          <w:sz w:val="22"/>
          <w:lang w:val="es-ES_tradnl" w:eastAsia="x-none"/>
        </w:rPr>
        <w:t>«</w:t>
      </w:r>
      <w:bookmarkEnd w:id="34"/>
      <w:r w:rsidR="00402FD5" w:rsidRPr="00F8515B">
        <w:rPr>
          <w:rFonts w:ascii="Arial" w:eastAsia="Times New Roman" w:hAnsi="Arial" w:cs="Arial"/>
          <w:bCs/>
          <w:color w:val="000000" w:themeColor="text1"/>
          <w:sz w:val="22"/>
          <w:lang w:val="es-ES_tradnl" w:eastAsia="x-none"/>
        </w:rPr>
        <w:t xml:space="preserve">si bien la limitación garantiza la igualdad de condiciones, también es necesario que tal limitación que pretende la igualdad </w:t>
      </w:r>
      <w:bookmarkStart w:id="35" w:name="_Hlk75768308"/>
      <w:r w:rsidR="00402FD5" w:rsidRPr="00F8515B">
        <w:rPr>
          <w:rFonts w:ascii="Arial" w:eastAsia="Times New Roman" w:hAnsi="Arial" w:cs="Arial"/>
          <w:bCs/>
          <w:color w:val="000000" w:themeColor="text1"/>
          <w:sz w:val="22"/>
          <w:lang w:val="es-ES_tradnl" w:eastAsia="x-none"/>
        </w:rPr>
        <w:t>no termine yendo en detrimento de intereses públicos</w:t>
      </w:r>
      <w:r w:rsidR="00195EDB" w:rsidRPr="00F8515B">
        <w:rPr>
          <w:rFonts w:ascii="Arial" w:eastAsia="Times New Roman" w:hAnsi="Arial" w:cs="Arial"/>
          <w:bCs/>
          <w:color w:val="000000" w:themeColor="text1"/>
          <w:sz w:val="22"/>
          <w:lang w:val="es-ES_tradnl" w:eastAsia="x-none"/>
        </w:rPr>
        <w:t>,</w:t>
      </w:r>
      <w:r w:rsidR="00402FD5" w:rsidRPr="00F8515B">
        <w:rPr>
          <w:rFonts w:ascii="Arial" w:eastAsia="Times New Roman" w:hAnsi="Arial" w:cs="Arial"/>
          <w:bCs/>
          <w:color w:val="000000" w:themeColor="text1"/>
          <w:sz w:val="22"/>
          <w:lang w:val="es-ES_tradnl" w:eastAsia="x-none"/>
        </w:rPr>
        <w:t xml:space="preserve"> cuya garantía está en cabeza del ejecutivo, como son los inmersos en las excepciones para la prohibición de contratación</w:t>
      </w:r>
      <w:bookmarkStart w:id="36" w:name="_Hlk74309060"/>
      <w:r w:rsidR="00402FD5" w:rsidRPr="00F8515B">
        <w:rPr>
          <w:rFonts w:ascii="Arial" w:eastAsia="Times New Roman" w:hAnsi="Arial" w:cs="Arial"/>
          <w:bCs/>
          <w:color w:val="000000" w:themeColor="text1"/>
          <w:sz w:val="22"/>
          <w:lang w:val="es-ES_tradnl" w:eastAsia="x-none"/>
        </w:rPr>
        <w:t>»</w:t>
      </w:r>
      <w:bookmarkEnd w:id="36"/>
      <w:r w:rsidR="00856B57" w:rsidRPr="00F8515B">
        <w:rPr>
          <w:rStyle w:val="Refdenotaalpie"/>
          <w:rFonts w:ascii="Arial" w:hAnsi="Arial" w:cs="Arial"/>
          <w:color w:val="000000" w:themeColor="text1"/>
          <w:sz w:val="22"/>
          <w:lang w:val="es-ES_tradnl"/>
        </w:rPr>
        <w:footnoteReference w:id="19"/>
      </w:r>
      <w:r w:rsidR="00856B57" w:rsidRPr="00F8515B">
        <w:rPr>
          <w:rFonts w:ascii="Arial" w:eastAsia="Times New Roman" w:hAnsi="Arial" w:cs="Arial"/>
          <w:bCs/>
          <w:color w:val="000000" w:themeColor="text1"/>
          <w:sz w:val="22"/>
          <w:lang w:val="es-ES_tradnl" w:eastAsia="x-none"/>
        </w:rPr>
        <w:t>.</w:t>
      </w:r>
      <w:r w:rsidR="00402FD5" w:rsidRPr="00F8515B">
        <w:rPr>
          <w:rFonts w:ascii="Arial" w:eastAsia="Times New Roman" w:hAnsi="Arial" w:cs="Arial"/>
          <w:bCs/>
          <w:color w:val="000000" w:themeColor="text1"/>
          <w:sz w:val="22"/>
          <w:lang w:val="es-ES_tradnl" w:eastAsia="x-none"/>
        </w:rPr>
        <w:t xml:space="preserve"> De ahí que la Corte </w:t>
      </w:r>
      <w:r w:rsidR="00C611EF" w:rsidRPr="00F8515B">
        <w:rPr>
          <w:rFonts w:ascii="Arial" w:eastAsia="Times New Roman" w:hAnsi="Arial" w:cs="Arial"/>
          <w:bCs/>
          <w:color w:val="000000" w:themeColor="text1"/>
          <w:sz w:val="22"/>
          <w:lang w:val="es-ES_tradnl" w:eastAsia="x-none"/>
        </w:rPr>
        <w:t>haya hecho particular énfasis</w:t>
      </w:r>
      <w:r w:rsidR="00402FD5" w:rsidRPr="00F8515B">
        <w:rPr>
          <w:rFonts w:ascii="Arial" w:eastAsia="Times New Roman" w:hAnsi="Arial" w:cs="Arial"/>
          <w:bCs/>
          <w:color w:val="000000" w:themeColor="text1"/>
          <w:sz w:val="22"/>
          <w:lang w:val="es-ES_tradnl"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7" w:name="_Hlk75783800"/>
      <w:bookmarkEnd w:id="35"/>
    </w:p>
    <w:p w14:paraId="23F83FE2" w14:textId="77777777" w:rsidR="00D37454" w:rsidRPr="00F8515B" w:rsidRDefault="00D37454" w:rsidP="00E7700C">
      <w:pPr>
        <w:spacing w:after="0"/>
        <w:ind w:firstLine="708"/>
        <w:rPr>
          <w:rFonts w:ascii="Arial" w:eastAsia="Times New Roman" w:hAnsi="Arial" w:cs="Arial"/>
          <w:bCs/>
          <w:color w:val="000000" w:themeColor="text1"/>
          <w:sz w:val="22"/>
          <w:lang w:val="es-ES_tradnl" w:eastAsia="x-none"/>
        </w:rPr>
      </w:pPr>
    </w:p>
    <w:p w14:paraId="7AC8E0B3" w14:textId="0CDF3E90" w:rsidR="00767455" w:rsidRPr="00F8515B" w:rsidRDefault="00767455" w:rsidP="00E7700C">
      <w:pPr>
        <w:spacing w:after="0"/>
        <w:rPr>
          <w:rFonts w:ascii="Arial" w:eastAsia="Times New Roman" w:hAnsi="Arial" w:cs="Arial"/>
          <w:b/>
          <w:color w:val="000000" w:themeColor="text1"/>
          <w:sz w:val="22"/>
          <w:lang w:val="es-ES_tradnl" w:eastAsia="x-none"/>
        </w:rPr>
      </w:pPr>
      <w:r w:rsidRPr="00F8515B">
        <w:rPr>
          <w:rFonts w:ascii="Arial" w:eastAsia="Times New Roman" w:hAnsi="Arial" w:cs="Arial"/>
          <w:b/>
          <w:color w:val="000000" w:themeColor="text1"/>
          <w:sz w:val="22"/>
          <w:lang w:val="es-ES_tradnl" w:eastAsia="x-none"/>
        </w:rPr>
        <w:t>2.</w:t>
      </w:r>
      <w:r w:rsidR="004E638B" w:rsidRPr="00F8515B">
        <w:rPr>
          <w:rFonts w:ascii="Arial" w:eastAsia="Times New Roman" w:hAnsi="Arial" w:cs="Arial"/>
          <w:b/>
          <w:color w:val="000000" w:themeColor="text1"/>
          <w:sz w:val="22"/>
          <w:lang w:val="es-ES_tradnl" w:eastAsia="x-none"/>
        </w:rPr>
        <w:t>3</w:t>
      </w:r>
      <w:r w:rsidRPr="00F8515B">
        <w:rPr>
          <w:rFonts w:ascii="Arial" w:eastAsia="Times New Roman" w:hAnsi="Arial" w:cs="Arial"/>
          <w:b/>
          <w:color w:val="000000" w:themeColor="text1"/>
          <w:sz w:val="22"/>
          <w:lang w:val="es-ES_tradnl" w:eastAsia="x-none"/>
        </w:rPr>
        <w:t>.  Destinatarios de la restricción del art</w:t>
      </w:r>
      <w:r w:rsidR="006F514F" w:rsidRPr="00F8515B">
        <w:rPr>
          <w:rFonts w:ascii="Arial" w:eastAsia="Times New Roman" w:hAnsi="Arial" w:cs="Arial"/>
          <w:b/>
          <w:color w:val="000000" w:themeColor="text1"/>
          <w:sz w:val="22"/>
          <w:lang w:val="es-ES_tradnl" w:eastAsia="x-none"/>
        </w:rPr>
        <w:t>í</w:t>
      </w:r>
      <w:r w:rsidRPr="00F8515B">
        <w:rPr>
          <w:rFonts w:ascii="Arial" w:eastAsia="Times New Roman" w:hAnsi="Arial" w:cs="Arial"/>
          <w:b/>
          <w:color w:val="000000" w:themeColor="text1"/>
          <w:sz w:val="22"/>
          <w:lang w:val="es-ES_tradnl" w:eastAsia="x-none"/>
        </w:rPr>
        <w:t>culo 33 de la Ley 996 de 2005</w:t>
      </w:r>
    </w:p>
    <w:p w14:paraId="34C3C987" w14:textId="77777777" w:rsidR="00767455" w:rsidRPr="00F8515B" w:rsidRDefault="00767455" w:rsidP="00E7700C">
      <w:pPr>
        <w:spacing w:after="0"/>
        <w:rPr>
          <w:rFonts w:ascii="Arial" w:eastAsia="Times New Roman" w:hAnsi="Arial" w:cs="Arial"/>
          <w:bCs/>
          <w:color w:val="000000" w:themeColor="text1"/>
          <w:sz w:val="22"/>
          <w:lang w:val="es-ES_tradnl" w:eastAsia="x-none"/>
        </w:rPr>
      </w:pPr>
    </w:p>
    <w:p w14:paraId="49BC6754" w14:textId="7645B39C" w:rsidR="001F1781" w:rsidRPr="00F8515B" w:rsidRDefault="00756E36" w:rsidP="00E7700C">
      <w:pPr>
        <w:spacing w:after="0"/>
        <w:rPr>
          <w:rFonts w:ascii="Arial" w:eastAsia="Times New Roman" w:hAnsi="Arial" w:cs="Arial"/>
          <w:bCs/>
          <w:color w:val="000000" w:themeColor="text1"/>
          <w:sz w:val="22"/>
          <w:lang w:val="es-ES_tradnl" w:eastAsia="x-none"/>
        </w:rPr>
      </w:pPr>
      <w:r w:rsidRPr="00F8515B">
        <w:rPr>
          <w:rFonts w:ascii="Arial" w:eastAsia="Times New Roman" w:hAnsi="Arial" w:cs="Arial"/>
          <w:bCs/>
          <w:color w:val="000000" w:themeColor="text1"/>
          <w:sz w:val="22"/>
          <w:lang w:val="es-ES_tradnl" w:eastAsia="x-none"/>
        </w:rPr>
        <w:lastRenderedPageBreak/>
        <w:t>E</w:t>
      </w:r>
      <w:r w:rsidR="00940714" w:rsidRPr="00F8515B">
        <w:rPr>
          <w:rFonts w:ascii="Arial" w:eastAsia="Times New Roman" w:hAnsi="Arial" w:cs="Arial"/>
          <w:bCs/>
          <w:color w:val="000000" w:themeColor="text1"/>
          <w:sz w:val="22"/>
          <w:lang w:val="es-ES_tradnl" w:eastAsia="x-none"/>
        </w:rPr>
        <w:t xml:space="preserve">l artículo 33 de la Ley 996 </w:t>
      </w:r>
      <w:r w:rsidR="0017528B" w:rsidRPr="00F8515B">
        <w:rPr>
          <w:rFonts w:ascii="Arial" w:eastAsia="Times New Roman" w:hAnsi="Arial" w:cs="Arial"/>
          <w:bCs/>
          <w:color w:val="000000" w:themeColor="text1"/>
          <w:sz w:val="22"/>
          <w:lang w:val="es-ES_tradnl" w:eastAsia="x-none"/>
        </w:rPr>
        <w:t>de 2005 señala</w:t>
      </w:r>
      <w:r w:rsidR="00940714" w:rsidRPr="00F8515B">
        <w:rPr>
          <w:rFonts w:ascii="Arial" w:eastAsia="Times New Roman" w:hAnsi="Arial" w:cs="Arial"/>
          <w:bCs/>
          <w:color w:val="000000" w:themeColor="text1"/>
          <w:sz w:val="22"/>
          <w:lang w:val="es-ES_tradnl" w:eastAsia="x-none"/>
        </w:rPr>
        <w:t xml:space="preserve"> expresa</w:t>
      </w:r>
      <w:r w:rsidR="0017528B" w:rsidRPr="00F8515B">
        <w:rPr>
          <w:rFonts w:ascii="Arial" w:eastAsia="Times New Roman" w:hAnsi="Arial" w:cs="Arial"/>
          <w:bCs/>
          <w:color w:val="000000" w:themeColor="text1"/>
          <w:sz w:val="22"/>
          <w:lang w:val="es-ES_tradnl" w:eastAsia="x-none"/>
        </w:rPr>
        <w:t>mente</w:t>
      </w:r>
      <w:r w:rsidR="00940714" w:rsidRPr="00F8515B">
        <w:rPr>
          <w:rFonts w:ascii="Arial" w:eastAsia="Times New Roman" w:hAnsi="Arial" w:cs="Arial"/>
          <w:bCs/>
          <w:color w:val="000000" w:themeColor="text1"/>
          <w:sz w:val="22"/>
          <w:lang w:val="es-ES_tradnl" w:eastAsia="x-none"/>
        </w:rPr>
        <w:t xml:space="preserve"> a los destinatarios de la prohibición, </w:t>
      </w:r>
      <w:r w:rsidR="0017528B" w:rsidRPr="00F8515B">
        <w:rPr>
          <w:rFonts w:ascii="Arial" w:eastAsia="Times New Roman" w:hAnsi="Arial" w:cs="Arial"/>
          <w:bCs/>
          <w:color w:val="000000" w:themeColor="text1"/>
          <w:sz w:val="22"/>
          <w:lang w:val="es-ES_tradnl" w:eastAsia="x-none"/>
        </w:rPr>
        <w:t xml:space="preserve">en el sentido de </w:t>
      </w:r>
      <w:r w:rsidR="00940714" w:rsidRPr="00F8515B">
        <w:rPr>
          <w:rFonts w:ascii="Arial" w:eastAsia="Times New Roman" w:hAnsi="Arial" w:cs="Arial"/>
          <w:bCs/>
          <w:color w:val="000000" w:themeColor="text1"/>
          <w:sz w:val="22"/>
          <w:lang w:val="es-ES_tradnl" w:eastAsia="x-none"/>
        </w:rPr>
        <w:t xml:space="preserve">que son </w:t>
      </w:r>
      <w:r w:rsidR="005E06A4" w:rsidRPr="00F8515B">
        <w:rPr>
          <w:rFonts w:ascii="Arial" w:eastAsia="Times New Roman" w:hAnsi="Arial" w:cs="Arial"/>
          <w:bCs/>
          <w:color w:val="000000" w:themeColor="text1"/>
          <w:sz w:val="22"/>
          <w:lang w:val="es-ES_tradnl" w:eastAsia="x-none"/>
        </w:rPr>
        <w:t>«</w:t>
      </w:r>
      <w:r w:rsidR="00940714" w:rsidRPr="00F8515B">
        <w:rPr>
          <w:rFonts w:ascii="Arial" w:eastAsia="Times New Roman" w:hAnsi="Arial" w:cs="Arial"/>
          <w:bCs/>
          <w:color w:val="000000" w:themeColor="text1"/>
          <w:sz w:val="22"/>
          <w:lang w:val="es-ES_tradnl" w:eastAsia="x-none"/>
        </w:rPr>
        <w:t>todos los entes del Estado</w:t>
      </w:r>
      <w:r w:rsidR="005E06A4" w:rsidRPr="00F8515B">
        <w:rPr>
          <w:rFonts w:ascii="Arial" w:eastAsia="Times New Roman" w:hAnsi="Arial" w:cs="Arial"/>
          <w:bCs/>
          <w:color w:val="000000" w:themeColor="text1"/>
          <w:sz w:val="22"/>
          <w:lang w:val="es-ES_tradnl" w:eastAsia="x-none"/>
        </w:rPr>
        <w:t>»</w:t>
      </w:r>
      <w:r w:rsidR="0017528B" w:rsidRPr="00F8515B">
        <w:rPr>
          <w:rFonts w:ascii="Arial" w:eastAsia="Times New Roman" w:hAnsi="Arial" w:cs="Arial"/>
          <w:bCs/>
          <w:color w:val="000000" w:themeColor="text1"/>
          <w:sz w:val="22"/>
          <w:lang w:val="es-ES_tradnl" w:eastAsia="x-none"/>
        </w:rPr>
        <w:t>,</w:t>
      </w:r>
      <w:r w:rsidR="00940714" w:rsidRPr="00F8515B">
        <w:rPr>
          <w:rFonts w:ascii="Arial" w:eastAsia="Times New Roman" w:hAnsi="Arial" w:cs="Arial"/>
          <w:bCs/>
          <w:color w:val="000000" w:themeColor="text1"/>
          <w:sz w:val="22"/>
          <w:lang w:val="es-ES_tradnl" w:eastAsia="x-none"/>
        </w:rPr>
        <w:t xml:space="preserve"> expresión que </w:t>
      </w:r>
      <w:r w:rsidR="00182C6C" w:rsidRPr="00F8515B">
        <w:rPr>
          <w:rFonts w:ascii="Arial" w:eastAsia="Times New Roman" w:hAnsi="Arial" w:cs="Arial"/>
          <w:bCs/>
          <w:color w:val="000000" w:themeColor="text1"/>
          <w:sz w:val="22"/>
          <w:lang w:val="es-ES_tradnl" w:eastAsia="x-none"/>
        </w:rPr>
        <w:t xml:space="preserve">contempla </w:t>
      </w:r>
      <w:r w:rsidR="00940714" w:rsidRPr="00F8515B">
        <w:rPr>
          <w:rFonts w:ascii="Arial" w:eastAsia="Times New Roman" w:hAnsi="Arial" w:cs="Arial"/>
          <w:bCs/>
          <w:color w:val="000000" w:themeColor="text1"/>
          <w:sz w:val="22"/>
          <w:lang w:val="es-ES_tradnl" w:eastAsia="x-none"/>
        </w:rPr>
        <w:t>a los diferentes organismos o entidades autorizadas por la ley para suscribir contratos.</w:t>
      </w:r>
      <w:r w:rsidR="00195EDB" w:rsidRPr="00F8515B">
        <w:rPr>
          <w:color w:val="000000" w:themeColor="text1"/>
          <w:lang w:val="es-ES_tradnl"/>
        </w:rPr>
        <w:t xml:space="preserve"> </w:t>
      </w:r>
      <w:r w:rsidR="0011730D" w:rsidRPr="00F8515B">
        <w:rPr>
          <w:rFonts w:ascii="Arial" w:eastAsia="Times New Roman" w:hAnsi="Arial" w:cs="Arial"/>
          <w:bCs/>
          <w:color w:val="000000" w:themeColor="text1"/>
          <w:sz w:val="22"/>
          <w:lang w:val="es-ES_tradnl" w:eastAsia="x-none"/>
        </w:rPr>
        <w:t>E</w:t>
      </w:r>
      <w:r w:rsidR="001F1781" w:rsidRPr="00F8515B">
        <w:rPr>
          <w:rFonts w:ascii="Arial" w:eastAsia="Times New Roman" w:hAnsi="Arial" w:cs="Arial"/>
          <w:bCs/>
          <w:color w:val="000000" w:themeColor="text1"/>
          <w:sz w:val="22"/>
          <w:lang w:val="es-ES_tradnl" w:eastAsia="x-none"/>
        </w:rPr>
        <w:t>n efecto, tal como</w:t>
      </w:r>
      <w:r w:rsidR="00195EDB" w:rsidRPr="00F8515B">
        <w:rPr>
          <w:rFonts w:ascii="Arial" w:eastAsia="Times New Roman" w:hAnsi="Arial" w:cs="Arial"/>
          <w:bCs/>
          <w:color w:val="000000" w:themeColor="text1"/>
          <w:sz w:val="22"/>
          <w:lang w:val="es-ES_tradnl" w:eastAsia="x-none"/>
        </w:rPr>
        <w:t xml:space="preserve"> </w:t>
      </w:r>
      <w:r w:rsidR="006A0BF9" w:rsidRPr="00F8515B">
        <w:rPr>
          <w:rFonts w:ascii="Arial" w:eastAsia="Times New Roman" w:hAnsi="Arial" w:cs="Arial"/>
          <w:bCs/>
          <w:color w:val="000000" w:themeColor="text1"/>
          <w:sz w:val="22"/>
          <w:lang w:val="es-ES_tradnl" w:eastAsia="x-none"/>
        </w:rPr>
        <w:t>lo ha</w:t>
      </w:r>
      <w:r w:rsidR="001F1781" w:rsidRPr="00F8515B">
        <w:rPr>
          <w:rFonts w:ascii="Arial" w:eastAsia="Times New Roman" w:hAnsi="Arial" w:cs="Arial"/>
          <w:bCs/>
          <w:color w:val="000000" w:themeColor="text1"/>
          <w:sz w:val="22"/>
          <w:lang w:val="es-ES_tradnl" w:eastAsia="x-none"/>
        </w:rPr>
        <w:t xml:space="preserve"> </w:t>
      </w:r>
      <w:r w:rsidR="006A0BF9" w:rsidRPr="00F8515B">
        <w:rPr>
          <w:rFonts w:ascii="Arial" w:eastAsia="Times New Roman" w:hAnsi="Arial" w:cs="Arial"/>
          <w:bCs/>
          <w:color w:val="000000" w:themeColor="text1"/>
          <w:sz w:val="22"/>
          <w:lang w:val="es-ES_tradnl" w:eastAsia="x-none"/>
        </w:rPr>
        <w:t xml:space="preserve">sostenido el </w:t>
      </w:r>
      <w:r w:rsidR="00195EDB" w:rsidRPr="00F8515B">
        <w:rPr>
          <w:rFonts w:ascii="Arial" w:eastAsia="Times New Roman" w:hAnsi="Arial" w:cs="Arial"/>
          <w:bCs/>
          <w:color w:val="000000" w:themeColor="text1"/>
          <w:sz w:val="22"/>
          <w:lang w:val="es-ES_tradnl" w:eastAsia="x-none"/>
        </w:rPr>
        <w:t>Consejo de Estado</w:t>
      </w:r>
      <w:r w:rsidR="001F1781" w:rsidRPr="00F8515B">
        <w:rPr>
          <w:rFonts w:ascii="Arial" w:eastAsia="Times New Roman" w:hAnsi="Arial" w:cs="Arial"/>
          <w:bCs/>
          <w:color w:val="000000" w:themeColor="text1"/>
          <w:sz w:val="22"/>
          <w:lang w:val="es-ES_tradnl" w:eastAsia="x-none"/>
        </w:rPr>
        <w:t xml:space="preserve">, </w:t>
      </w:r>
      <w:r w:rsidR="00195EDB" w:rsidRPr="00F8515B">
        <w:rPr>
          <w:rFonts w:ascii="Arial" w:eastAsia="Times New Roman" w:hAnsi="Arial" w:cs="Arial"/>
          <w:bCs/>
          <w:color w:val="000000" w:themeColor="text1"/>
          <w:sz w:val="22"/>
          <w:lang w:val="es-ES_tradnl" w:eastAsia="x-none"/>
        </w:rPr>
        <w:t>e</w:t>
      </w:r>
      <w:r w:rsidR="0062792C" w:rsidRPr="00F8515B">
        <w:rPr>
          <w:rFonts w:ascii="Arial" w:eastAsia="Times New Roman" w:hAnsi="Arial" w:cs="Arial"/>
          <w:bCs/>
          <w:color w:val="000000" w:themeColor="text1"/>
          <w:sz w:val="22"/>
          <w:lang w:val="es-ES_tradnl" w:eastAsia="x-none"/>
        </w:rPr>
        <w:t>l vocablo</w:t>
      </w:r>
      <w:r w:rsidR="00940714" w:rsidRPr="00F8515B">
        <w:rPr>
          <w:rFonts w:ascii="Arial" w:eastAsia="Times New Roman" w:hAnsi="Arial" w:cs="Arial"/>
          <w:bCs/>
          <w:color w:val="000000" w:themeColor="text1"/>
          <w:sz w:val="22"/>
          <w:lang w:val="es-ES_tradnl" w:eastAsia="x-none"/>
        </w:rPr>
        <w:t xml:space="preserve"> </w:t>
      </w:r>
      <w:bookmarkStart w:id="38" w:name="_Hlk75632581"/>
      <w:r w:rsidR="005E06A4" w:rsidRPr="00F8515B">
        <w:rPr>
          <w:rFonts w:ascii="Arial" w:eastAsia="Times New Roman" w:hAnsi="Arial" w:cs="Arial"/>
          <w:bCs/>
          <w:color w:val="000000" w:themeColor="text1"/>
          <w:sz w:val="22"/>
          <w:lang w:val="es-ES_tradnl" w:eastAsia="x-none"/>
        </w:rPr>
        <w:t>«</w:t>
      </w:r>
      <w:bookmarkEnd w:id="38"/>
      <w:r w:rsidR="00940714" w:rsidRPr="00F8515B">
        <w:rPr>
          <w:rFonts w:ascii="Arial" w:eastAsia="Times New Roman" w:hAnsi="Arial" w:cs="Arial"/>
          <w:bCs/>
          <w:color w:val="000000" w:themeColor="text1"/>
          <w:sz w:val="22"/>
          <w:lang w:val="es-ES_tradnl" w:eastAsia="x-none"/>
        </w:rPr>
        <w:t>todos</w:t>
      </w:r>
      <w:r w:rsidR="005E06A4" w:rsidRPr="00F8515B">
        <w:rPr>
          <w:rFonts w:ascii="Arial" w:eastAsia="Times New Roman" w:hAnsi="Arial" w:cs="Arial"/>
          <w:bCs/>
          <w:color w:val="000000" w:themeColor="text1"/>
          <w:sz w:val="22"/>
          <w:lang w:val="es-ES_tradnl" w:eastAsia="x-none"/>
        </w:rPr>
        <w:t>»</w:t>
      </w:r>
      <w:r w:rsidR="0011730D" w:rsidRPr="00F8515B">
        <w:rPr>
          <w:rFonts w:ascii="Arial" w:eastAsia="Times New Roman" w:hAnsi="Arial" w:cs="Arial"/>
          <w:bCs/>
          <w:color w:val="000000" w:themeColor="text1"/>
          <w:sz w:val="22"/>
          <w:lang w:val="es-ES_tradnl" w:eastAsia="x-none"/>
        </w:rPr>
        <w:t xml:space="preserve"> </w:t>
      </w:r>
      <w:r w:rsidR="00940714" w:rsidRPr="00F8515B">
        <w:rPr>
          <w:rFonts w:ascii="Arial" w:eastAsia="Times New Roman" w:hAnsi="Arial" w:cs="Arial"/>
          <w:bCs/>
          <w:color w:val="000000" w:themeColor="text1"/>
          <w:sz w:val="22"/>
          <w:lang w:val="es-ES_tradnl" w:eastAsia="x-none"/>
        </w:rPr>
        <w:t>utiliz</w:t>
      </w:r>
      <w:r w:rsidR="0011730D" w:rsidRPr="00F8515B">
        <w:rPr>
          <w:rFonts w:ascii="Arial" w:eastAsia="Times New Roman" w:hAnsi="Arial" w:cs="Arial"/>
          <w:bCs/>
          <w:color w:val="000000" w:themeColor="text1"/>
          <w:sz w:val="22"/>
          <w:lang w:val="es-ES_tradnl" w:eastAsia="x-none"/>
        </w:rPr>
        <w:t>ado por</w:t>
      </w:r>
      <w:r w:rsidR="00940714" w:rsidRPr="00F8515B">
        <w:rPr>
          <w:rFonts w:ascii="Arial" w:eastAsia="Times New Roman" w:hAnsi="Arial" w:cs="Arial"/>
          <w:bCs/>
          <w:color w:val="000000" w:themeColor="text1"/>
          <w:sz w:val="22"/>
          <w:lang w:val="es-ES_tradnl" w:eastAsia="x-none"/>
        </w:rPr>
        <w:t xml:space="preserve"> el legislador</w:t>
      </w:r>
      <w:r w:rsidR="001F1781" w:rsidRPr="00F8515B">
        <w:rPr>
          <w:rFonts w:ascii="Arial" w:eastAsia="Times New Roman" w:hAnsi="Arial" w:cs="Arial"/>
          <w:bCs/>
          <w:color w:val="000000" w:themeColor="text1"/>
          <w:sz w:val="22"/>
          <w:lang w:val="es-ES_tradnl" w:eastAsia="x-none"/>
        </w:rPr>
        <w:t xml:space="preserve"> </w:t>
      </w:r>
      <w:r w:rsidR="00940714" w:rsidRPr="00F8515B">
        <w:rPr>
          <w:rFonts w:ascii="Arial" w:eastAsia="Times New Roman" w:hAnsi="Arial" w:cs="Arial"/>
          <w:bCs/>
          <w:color w:val="000000" w:themeColor="text1"/>
          <w:sz w:val="22"/>
          <w:lang w:val="es-ES_tradnl" w:eastAsia="x-none"/>
        </w:rPr>
        <w:t>comprende</w:t>
      </w:r>
      <w:r w:rsidR="00195EDB" w:rsidRPr="00F8515B">
        <w:rPr>
          <w:color w:val="000000" w:themeColor="text1"/>
          <w:lang w:val="es-ES_tradnl"/>
        </w:rPr>
        <w:t xml:space="preserve"> </w:t>
      </w:r>
      <w:r w:rsidR="00195EDB" w:rsidRPr="00F8515B">
        <w:rPr>
          <w:rFonts w:ascii="Arial" w:eastAsia="Times New Roman" w:hAnsi="Arial" w:cs="Arial"/>
          <w:bCs/>
          <w:color w:val="000000" w:themeColor="text1"/>
          <w:sz w:val="22"/>
          <w:lang w:val="es-ES_tradnl" w:eastAsia="x-none"/>
        </w:rPr>
        <w:t>a la totalidad de los entes del Estado</w:t>
      </w:r>
      <w:r w:rsidR="00940714" w:rsidRPr="00F8515B">
        <w:rPr>
          <w:rFonts w:ascii="Arial" w:eastAsia="Times New Roman" w:hAnsi="Arial" w:cs="Arial"/>
          <w:bCs/>
          <w:color w:val="000000" w:themeColor="text1"/>
          <w:sz w:val="22"/>
          <w:lang w:val="es-ES_tradnl" w:eastAsia="x-none"/>
        </w:rPr>
        <w:t>, sin distinción del régimen jurídico, forma de organización o naturaleza, su pertenencia a una u otra rama del poder público o su autonomía</w:t>
      </w:r>
      <w:bookmarkEnd w:id="37"/>
      <w:r w:rsidR="007B0F2D" w:rsidRPr="00F8515B">
        <w:rPr>
          <w:rFonts w:ascii="Arial" w:eastAsia="Times New Roman" w:hAnsi="Arial" w:cs="Arial"/>
          <w:bCs/>
          <w:color w:val="000000" w:themeColor="text1"/>
          <w:sz w:val="22"/>
          <w:lang w:val="es-ES_tradnl" w:eastAsia="x-none"/>
        </w:rPr>
        <w:t>, e incluso si las entidades estatales tienen régimen especial de contratación y están exceptuadas del ámbito de aplicación del Estatuto General de Contratación de la Administración Pública.</w:t>
      </w:r>
      <w:r w:rsidR="00856B57" w:rsidRPr="00F8515B">
        <w:rPr>
          <w:rFonts w:ascii="Arial" w:eastAsia="Times New Roman" w:hAnsi="Arial" w:cs="Arial"/>
          <w:bCs/>
          <w:color w:val="000000" w:themeColor="text1"/>
          <w:sz w:val="22"/>
          <w:lang w:val="es-ES_tradnl" w:eastAsia="x-none"/>
        </w:rPr>
        <w:t xml:space="preserve"> </w:t>
      </w:r>
      <w:r w:rsidR="005E06A4" w:rsidRPr="00F8515B">
        <w:rPr>
          <w:rFonts w:ascii="Arial" w:eastAsia="Times New Roman" w:hAnsi="Arial" w:cs="Arial"/>
          <w:bCs/>
          <w:color w:val="000000" w:themeColor="text1"/>
          <w:sz w:val="22"/>
          <w:lang w:val="es-ES_tradnl" w:eastAsia="x-none"/>
        </w:rPr>
        <w:t>El Consejo de Estado</w:t>
      </w:r>
      <w:r w:rsidR="00E45D1C" w:rsidRPr="00F8515B">
        <w:rPr>
          <w:rFonts w:ascii="Arial" w:eastAsia="Times New Roman" w:hAnsi="Arial" w:cs="Arial"/>
          <w:bCs/>
          <w:color w:val="000000" w:themeColor="text1"/>
          <w:sz w:val="22"/>
          <w:lang w:val="es-ES_tradnl" w:eastAsia="x-none"/>
        </w:rPr>
        <w:t xml:space="preserve">, </w:t>
      </w:r>
      <w:r w:rsidR="005E06A4" w:rsidRPr="00F8515B">
        <w:rPr>
          <w:rFonts w:ascii="Arial" w:eastAsia="Times New Roman" w:hAnsi="Arial" w:cs="Arial"/>
          <w:bCs/>
          <w:color w:val="000000" w:themeColor="text1"/>
          <w:sz w:val="22"/>
          <w:lang w:val="es-ES_tradnl" w:eastAsia="x-none"/>
        </w:rPr>
        <w:t>en</w:t>
      </w:r>
      <w:r w:rsidR="007853BD" w:rsidRPr="00F8515B">
        <w:rPr>
          <w:rFonts w:ascii="Arial" w:eastAsia="Times New Roman" w:hAnsi="Arial" w:cs="Arial"/>
          <w:bCs/>
          <w:color w:val="000000" w:themeColor="text1"/>
          <w:sz w:val="22"/>
          <w:lang w:val="es-ES_tradnl" w:eastAsia="x-none"/>
        </w:rPr>
        <w:t xml:space="preserve"> </w:t>
      </w:r>
      <w:r w:rsidR="00856B57" w:rsidRPr="00F8515B">
        <w:rPr>
          <w:rFonts w:ascii="Arial" w:eastAsia="Times New Roman" w:hAnsi="Arial" w:cs="Arial"/>
          <w:bCs/>
          <w:color w:val="000000" w:themeColor="text1"/>
          <w:sz w:val="22"/>
          <w:lang w:val="es-ES_tradnl" w:eastAsia="x-none"/>
        </w:rPr>
        <w:t>C</w:t>
      </w:r>
      <w:r w:rsidR="007853BD" w:rsidRPr="00F8515B">
        <w:rPr>
          <w:rFonts w:ascii="Arial" w:eastAsia="Times New Roman" w:hAnsi="Arial" w:cs="Arial"/>
          <w:bCs/>
          <w:color w:val="000000" w:themeColor="text1"/>
          <w:sz w:val="22"/>
          <w:lang w:val="es-ES_tradnl" w:eastAsia="x-none"/>
        </w:rPr>
        <w:t xml:space="preserve">oncepto </w:t>
      </w:r>
      <w:r w:rsidR="005E06A4" w:rsidRPr="00F8515B">
        <w:rPr>
          <w:rFonts w:ascii="Arial" w:eastAsia="Times New Roman" w:hAnsi="Arial" w:cs="Arial"/>
          <w:bCs/>
          <w:color w:val="000000" w:themeColor="text1"/>
          <w:sz w:val="22"/>
          <w:lang w:val="es-ES_tradnl" w:eastAsia="x-none"/>
        </w:rPr>
        <w:t xml:space="preserve">con radicado </w:t>
      </w:r>
      <w:r w:rsidR="007853BD" w:rsidRPr="00F8515B">
        <w:rPr>
          <w:rFonts w:ascii="Arial" w:eastAsia="Times New Roman" w:hAnsi="Arial" w:cs="Arial"/>
          <w:bCs/>
          <w:color w:val="000000" w:themeColor="text1"/>
          <w:sz w:val="22"/>
          <w:lang w:val="es-ES_tradnl" w:eastAsia="x-none"/>
        </w:rPr>
        <w:t>1727 de fecha 20 de febrero de 2006</w:t>
      </w:r>
      <w:r w:rsidR="00E45D1C" w:rsidRPr="00F8515B">
        <w:rPr>
          <w:rFonts w:ascii="Arial" w:eastAsia="Times New Roman" w:hAnsi="Arial" w:cs="Arial"/>
          <w:bCs/>
          <w:color w:val="000000" w:themeColor="text1"/>
          <w:sz w:val="22"/>
          <w:lang w:val="es-ES_tradnl" w:eastAsia="x-none"/>
        </w:rPr>
        <w:t xml:space="preserve">, </w:t>
      </w:r>
      <w:r w:rsidR="00856B57" w:rsidRPr="00F8515B">
        <w:rPr>
          <w:rFonts w:ascii="Arial" w:eastAsia="Times New Roman" w:hAnsi="Arial" w:cs="Arial"/>
          <w:bCs/>
          <w:color w:val="000000" w:themeColor="text1"/>
          <w:sz w:val="22"/>
          <w:lang w:val="es-ES_tradnl" w:eastAsia="x-none"/>
        </w:rPr>
        <w:t xml:space="preserve">consideró </w:t>
      </w:r>
      <w:r w:rsidR="00182C6C" w:rsidRPr="00F8515B">
        <w:rPr>
          <w:rFonts w:ascii="Arial" w:eastAsia="Times New Roman" w:hAnsi="Arial" w:cs="Arial"/>
          <w:bCs/>
          <w:color w:val="000000" w:themeColor="text1"/>
          <w:sz w:val="22"/>
          <w:lang w:val="es-ES_tradnl" w:eastAsia="x-none"/>
        </w:rPr>
        <w:t>q</w:t>
      </w:r>
      <w:r w:rsidR="00BD3ADF" w:rsidRPr="00F8515B">
        <w:rPr>
          <w:rFonts w:ascii="Arial" w:eastAsia="Times New Roman" w:hAnsi="Arial" w:cs="Arial"/>
          <w:bCs/>
          <w:color w:val="000000" w:themeColor="text1"/>
          <w:sz w:val="22"/>
          <w:lang w:val="es-ES_tradnl" w:eastAsia="x-none"/>
        </w:rPr>
        <w:t>ue</w:t>
      </w:r>
      <w:r w:rsidR="009C3D5F" w:rsidRPr="00F8515B">
        <w:rPr>
          <w:rFonts w:ascii="Arial" w:eastAsia="Times New Roman" w:hAnsi="Arial" w:cs="Arial"/>
          <w:bCs/>
          <w:color w:val="000000" w:themeColor="text1"/>
          <w:sz w:val="22"/>
          <w:lang w:val="es-ES_tradnl" w:eastAsia="x-none"/>
        </w:rPr>
        <w:t>:</w:t>
      </w:r>
      <w:r w:rsidR="00BD3ADF" w:rsidRPr="00F8515B">
        <w:rPr>
          <w:rFonts w:ascii="Arial" w:eastAsia="Times New Roman" w:hAnsi="Arial" w:cs="Arial"/>
          <w:bCs/>
          <w:color w:val="000000" w:themeColor="text1"/>
          <w:sz w:val="22"/>
          <w:lang w:val="es-ES_tradnl" w:eastAsia="x-none"/>
        </w:rPr>
        <w:t xml:space="preserve"> </w:t>
      </w:r>
    </w:p>
    <w:p w14:paraId="0F3DCBC0" w14:textId="77777777" w:rsidR="001F1781" w:rsidRPr="00F8515B" w:rsidRDefault="001F1781" w:rsidP="00E7700C">
      <w:pPr>
        <w:spacing w:after="0"/>
        <w:ind w:firstLine="708"/>
        <w:rPr>
          <w:rFonts w:ascii="Arial" w:eastAsia="Times New Roman" w:hAnsi="Arial" w:cs="Arial"/>
          <w:bCs/>
          <w:color w:val="000000" w:themeColor="text1"/>
          <w:sz w:val="22"/>
          <w:lang w:val="es-ES_tradnl" w:eastAsia="x-none"/>
        </w:rPr>
      </w:pPr>
    </w:p>
    <w:p w14:paraId="22D48D64" w14:textId="3DBC4028" w:rsidR="008C6B51" w:rsidRPr="00F8515B" w:rsidRDefault="00BD3ADF" w:rsidP="000641BE">
      <w:pPr>
        <w:spacing w:after="0" w:line="240" w:lineRule="auto"/>
        <w:ind w:left="708" w:right="709"/>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x-none"/>
        </w:rPr>
        <w:t xml:space="preserve">El artículo 33 de la ley 996 de 2005, </w:t>
      </w:r>
      <w:bookmarkStart w:id="39" w:name="_Hlk75787147"/>
      <w:r w:rsidRPr="00F8515B">
        <w:rPr>
          <w:rFonts w:ascii="Arial" w:eastAsia="Times New Roman" w:hAnsi="Arial" w:cs="Arial"/>
          <w:bCs/>
          <w:color w:val="000000" w:themeColor="text1"/>
          <w:sz w:val="21"/>
          <w:szCs w:val="21"/>
          <w:lang w:val="es-ES_tradnl" w:eastAsia="x-none"/>
        </w:rPr>
        <w:t>efectivamente se aplica</w:t>
      </w:r>
      <w:r w:rsidR="00E240CB" w:rsidRPr="00F8515B">
        <w:rPr>
          <w:rFonts w:ascii="Arial" w:eastAsia="Times New Roman" w:hAnsi="Arial" w:cs="Arial"/>
          <w:bCs/>
          <w:color w:val="000000" w:themeColor="text1"/>
          <w:sz w:val="21"/>
          <w:szCs w:val="21"/>
          <w:lang w:val="es-ES_tradnl" w:eastAsia="x-none"/>
        </w:rPr>
        <w:t xml:space="preserve"> </w:t>
      </w:r>
      <w:bookmarkStart w:id="40" w:name="_Hlk76074089"/>
      <w:r w:rsidR="00E240CB" w:rsidRPr="00F8515B">
        <w:rPr>
          <w:rFonts w:ascii="Arial" w:eastAsia="Times New Roman" w:hAnsi="Arial" w:cs="Arial"/>
          <w:bCs/>
          <w:color w:val="000000" w:themeColor="text1"/>
          <w:sz w:val="21"/>
          <w:szCs w:val="21"/>
          <w:lang w:val="es-ES_tradnl" w:eastAsia="x-none"/>
        </w:rPr>
        <w:t>incluso a las entidades estatales con régimen especial de contratación y que están exceptuadas del ámbito de aplicación del Estatuto General de Contratación de la Administración Pública</w:t>
      </w:r>
      <w:bookmarkEnd w:id="40"/>
      <w:r w:rsidR="00E240CB" w:rsidRPr="00F8515B">
        <w:rPr>
          <w:rFonts w:ascii="Arial" w:eastAsia="Times New Roman" w:hAnsi="Arial" w:cs="Arial"/>
          <w:bCs/>
          <w:color w:val="000000" w:themeColor="text1"/>
          <w:sz w:val="21"/>
          <w:szCs w:val="21"/>
          <w:lang w:val="es-ES_tradnl" w:eastAsia="x-none"/>
        </w:rPr>
        <w:t>, como por ejemplo</w:t>
      </w:r>
      <w:r w:rsidRPr="00F8515B">
        <w:rPr>
          <w:rFonts w:ascii="Arial" w:eastAsia="Times New Roman" w:hAnsi="Arial" w:cs="Arial"/>
          <w:bCs/>
          <w:color w:val="000000" w:themeColor="text1"/>
          <w:sz w:val="21"/>
          <w:szCs w:val="21"/>
          <w:lang w:val="es-ES_tradnl"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F8515B">
        <w:rPr>
          <w:rStyle w:val="Refdenotaalpie"/>
          <w:rFonts w:ascii="Arial" w:eastAsia="Times New Roman" w:hAnsi="Arial" w:cs="Arial"/>
          <w:bCs/>
          <w:color w:val="000000" w:themeColor="text1"/>
          <w:sz w:val="21"/>
          <w:szCs w:val="21"/>
          <w:lang w:val="es-ES_tradnl" w:eastAsia="x-none"/>
        </w:rPr>
        <w:footnoteReference w:id="20"/>
      </w:r>
      <w:r w:rsidRPr="00F8515B">
        <w:rPr>
          <w:rFonts w:ascii="Arial" w:eastAsia="Times New Roman" w:hAnsi="Arial" w:cs="Arial"/>
          <w:bCs/>
          <w:color w:val="000000" w:themeColor="text1"/>
          <w:sz w:val="21"/>
          <w:szCs w:val="21"/>
          <w:lang w:val="es-ES_tradnl" w:eastAsia="x-none"/>
        </w:rPr>
        <w:t>.</w:t>
      </w:r>
      <w:r w:rsidR="008C6B51" w:rsidRPr="00F8515B">
        <w:rPr>
          <w:rFonts w:ascii="Arial" w:eastAsia="Times New Roman" w:hAnsi="Arial" w:cs="Arial"/>
          <w:bCs/>
          <w:color w:val="000000" w:themeColor="text1"/>
          <w:sz w:val="21"/>
          <w:szCs w:val="21"/>
          <w:lang w:val="es-ES_tradnl" w:eastAsia="es-CO"/>
        </w:rPr>
        <w:t xml:space="preserve"> </w:t>
      </w:r>
    </w:p>
    <w:p w14:paraId="0B4674F2" w14:textId="77777777" w:rsidR="008C6B51" w:rsidRPr="00F8515B" w:rsidRDefault="008C6B51" w:rsidP="00E7700C">
      <w:pPr>
        <w:spacing w:after="0"/>
        <w:ind w:firstLine="708"/>
        <w:rPr>
          <w:rFonts w:ascii="Arial" w:eastAsia="Times New Roman" w:hAnsi="Arial" w:cs="Arial"/>
          <w:bCs/>
          <w:color w:val="000000" w:themeColor="text1"/>
          <w:sz w:val="22"/>
          <w:lang w:val="es-ES_tradnl" w:eastAsia="es-CO"/>
        </w:rPr>
      </w:pPr>
    </w:p>
    <w:p w14:paraId="2098877D" w14:textId="0F2187DE" w:rsidR="003D73F1" w:rsidRPr="00F8515B" w:rsidRDefault="00856B57" w:rsidP="00E7700C">
      <w:pPr>
        <w:spacing w:after="0"/>
        <w:ind w:firstLine="708"/>
        <w:rPr>
          <w:rFonts w:ascii="Arial" w:hAnsi="Arial" w:cs="Arial"/>
          <w:color w:val="000000" w:themeColor="text1"/>
          <w:sz w:val="22"/>
          <w:lang w:val="es-ES_tradnl"/>
        </w:rPr>
      </w:pPr>
      <w:r w:rsidRPr="00F8515B">
        <w:rPr>
          <w:rFonts w:ascii="Arial" w:eastAsia="Times New Roman" w:hAnsi="Arial" w:cs="Arial"/>
          <w:bCs/>
          <w:color w:val="000000" w:themeColor="text1"/>
          <w:sz w:val="22"/>
          <w:lang w:val="es-ES_tradnl" w:eastAsia="x-none"/>
        </w:rPr>
        <w:t>E</w:t>
      </w:r>
      <w:r w:rsidR="00BD3ADF" w:rsidRPr="00F8515B">
        <w:rPr>
          <w:rFonts w:ascii="Arial" w:eastAsia="Times New Roman" w:hAnsi="Arial" w:cs="Arial"/>
          <w:bCs/>
          <w:color w:val="000000" w:themeColor="text1"/>
          <w:sz w:val="22"/>
          <w:lang w:val="es-ES_tradnl" w:eastAsia="x-none"/>
        </w:rPr>
        <w:t xml:space="preserve">n </w:t>
      </w:r>
      <w:r w:rsidRPr="00F8515B">
        <w:rPr>
          <w:rFonts w:ascii="Arial" w:eastAsia="Times New Roman" w:hAnsi="Arial" w:cs="Arial"/>
          <w:bCs/>
          <w:color w:val="000000" w:themeColor="text1"/>
          <w:sz w:val="22"/>
          <w:lang w:val="es-ES_tradnl" w:eastAsia="x-none"/>
        </w:rPr>
        <w:t>C</w:t>
      </w:r>
      <w:r w:rsidR="00BD3ADF" w:rsidRPr="00F8515B">
        <w:rPr>
          <w:rFonts w:ascii="Arial" w:eastAsia="Times New Roman" w:hAnsi="Arial" w:cs="Arial"/>
          <w:bCs/>
          <w:color w:val="000000" w:themeColor="text1"/>
          <w:sz w:val="22"/>
          <w:lang w:val="es-ES_tradnl" w:eastAsia="x-none"/>
        </w:rPr>
        <w:t>oncepto con radicado 1738 de 6 de abril de 2006, esa misma Corporación manifestó que</w:t>
      </w:r>
      <w:r w:rsidR="00204F6E" w:rsidRPr="00F8515B">
        <w:rPr>
          <w:rFonts w:ascii="Arial" w:eastAsia="Times New Roman" w:hAnsi="Arial" w:cs="Arial"/>
          <w:bCs/>
          <w:color w:val="000000" w:themeColor="text1"/>
          <w:sz w:val="22"/>
          <w:lang w:val="es-ES_tradnl" w:eastAsia="x-none"/>
        </w:rPr>
        <w:t xml:space="preserve"> </w:t>
      </w:r>
      <w:r w:rsidR="00182C6C" w:rsidRPr="00F8515B">
        <w:rPr>
          <w:rFonts w:ascii="Arial" w:eastAsia="Times New Roman" w:hAnsi="Arial" w:cs="Arial"/>
          <w:bCs/>
          <w:color w:val="000000" w:themeColor="text1"/>
          <w:sz w:val="22"/>
          <w:lang w:val="es-ES_tradnl"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1" w:name="_Hlk75635823"/>
      <w:r w:rsidR="00182C6C" w:rsidRPr="00F8515B">
        <w:rPr>
          <w:rFonts w:ascii="Arial" w:eastAsia="Times New Roman" w:hAnsi="Arial" w:cs="Arial"/>
          <w:bCs/>
          <w:color w:val="000000" w:themeColor="text1"/>
          <w:sz w:val="22"/>
          <w:lang w:val="es-ES_tradnl" w:eastAsia="x-none"/>
        </w:rPr>
        <w:t>»</w:t>
      </w:r>
      <w:bookmarkStart w:id="42" w:name="_Hlk75758868"/>
      <w:bookmarkStart w:id="43" w:name="_Hlk75741220"/>
      <w:bookmarkEnd w:id="41"/>
      <w:r w:rsidR="00182C6C" w:rsidRPr="00F8515B">
        <w:rPr>
          <w:rStyle w:val="Refdenotaalpie"/>
          <w:rFonts w:ascii="Arial" w:hAnsi="Arial" w:cs="Arial"/>
          <w:color w:val="000000" w:themeColor="text1"/>
          <w:lang w:val="es-ES_tradnl"/>
        </w:rPr>
        <w:footnoteReference w:id="21"/>
      </w:r>
      <w:bookmarkEnd w:id="42"/>
      <w:bookmarkEnd w:id="43"/>
      <w:r w:rsidR="00B16C38" w:rsidRPr="00F8515B">
        <w:rPr>
          <w:rFonts w:ascii="Arial" w:eastAsia="Times New Roman" w:hAnsi="Arial" w:cs="Arial"/>
          <w:bCs/>
          <w:color w:val="000000" w:themeColor="text1"/>
          <w:sz w:val="22"/>
          <w:lang w:val="es-ES_tradnl" w:eastAsia="x-none"/>
        </w:rPr>
        <w:t>.</w:t>
      </w:r>
      <w:r w:rsidR="004E638B" w:rsidRPr="00F8515B">
        <w:rPr>
          <w:rFonts w:ascii="Arial" w:hAnsi="Arial" w:cs="Arial"/>
          <w:color w:val="000000" w:themeColor="text1"/>
          <w:sz w:val="22"/>
          <w:lang w:val="es-ES_tradnl"/>
        </w:rPr>
        <w:t xml:space="preserve"> </w:t>
      </w:r>
      <w:r w:rsidR="003D73F1" w:rsidRPr="00F8515B">
        <w:rPr>
          <w:rFonts w:ascii="Arial" w:hAnsi="Arial" w:cs="Arial"/>
          <w:color w:val="000000" w:themeColor="text1"/>
          <w:sz w:val="22"/>
          <w:lang w:val="es-ES_tradnl"/>
        </w:rPr>
        <w:t>Sin embargo, debe precisar</w:t>
      </w:r>
      <w:r w:rsidR="004E638B" w:rsidRPr="00F8515B">
        <w:rPr>
          <w:rFonts w:ascii="Arial" w:hAnsi="Arial" w:cs="Arial"/>
          <w:color w:val="000000" w:themeColor="text1"/>
          <w:sz w:val="22"/>
          <w:lang w:val="es-ES_tradnl"/>
        </w:rPr>
        <w:t>se</w:t>
      </w:r>
      <w:r w:rsidR="003D73F1" w:rsidRPr="00F8515B">
        <w:rPr>
          <w:rFonts w:ascii="Arial" w:hAnsi="Arial" w:cs="Arial"/>
          <w:color w:val="000000" w:themeColor="text1"/>
          <w:sz w:val="22"/>
          <w:lang w:val="es-ES_tradnl"/>
        </w:rPr>
        <w:t xml:space="preserve"> el siguiente aspecto que distinguió</w:t>
      </w:r>
      <w:r w:rsidR="006A0BF9" w:rsidRPr="00F8515B">
        <w:rPr>
          <w:rFonts w:ascii="Arial" w:hAnsi="Arial" w:cs="Arial"/>
          <w:color w:val="000000" w:themeColor="text1"/>
          <w:sz w:val="22"/>
          <w:lang w:val="es-ES_tradnl"/>
        </w:rPr>
        <w:t xml:space="preserve"> la </w:t>
      </w:r>
      <w:r w:rsidR="003D73F1" w:rsidRPr="00F8515B">
        <w:rPr>
          <w:rFonts w:ascii="Arial" w:hAnsi="Arial" w:cs="Arial"/>
          <w:color w:val="000000" w:themeColor="text1"/>
          <w:sz w:val="22"/>
          <w:lang w:val="es-ES_tradnl"/>
        </w:rPr>
        <w:t>Sala de Consulta y Servicio Civil:</w:t>
      </w:r>
    </w:p>
    <w:p w14:paraId="16928B1F" w14:textId="77777777" w:rsidR="003D73F1" w:rsidRPr="00F8515B" w:rsidRDefault="003D73F1" w:rsidP="00E7700C">
      <w:pPr>
        <w:spacing w:after="0"/>
        <w:rPr>
          <w:rFonts w:ascii="Arial" w:hAnsi="Arial" w:cs="Arial"/>
          <w:color w:val="000000" w:themeColor="text1"/>
          <w:sz w:val="22"/>
          <w:lang w:val="es-ES_tradnl"/>
        </w:rPr>
      </w:pPr>
    </w:p>
    <w:p w14:paraId="0EEFED65" w14:textId="77777777" w:rsidR="003D73F1" w:rsidRPr="00F8515B" w:rsidRDefault="003D73F1" w:rsidP="000641BE">
      <w:pPr>
        <w:spacing w:after="0" w:line="240" w:lineRule="auto"/>
        <w:ind w:left="708" w:right="709"/>
        <w:rPr>
          <w:rFonts w:ascii="Arial" w:hAnsi="Arial" w:cs="Arial"/>
          <w:color w:val="000000" w:themeColor="text1"/>
          <w:sz w:val="21"/>
          <w:szCs w:val="21"/>
          <w:lang w:val="es-ES_tradnl"/>
        </w:rPr>
      </w:pPr>
      <w:bookmarkStart w:id="45" w:name="_Hlk75811446"/>
      <w:r w:rsidRPr="00F8515B">
        <w:rPr>
          <w:rFonts w:ascii="Arial" w:hAnsi="Arial" w:cs="Arial"/>
          <w:color w:val="000000" w:themeColor="text1"/>
          <w:sz w:val="21"/>
          <w:szCs w:val="21"/>
          <w:lang w:val="es-ES_tradnl"/>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5"/>
      <w:r w:rsidRPr="00F8515B">
        <w:rPr>
          <w:rStyle w:val="Refdenotaalpie"/>
          <w:rFonts w:ascii="Arial" w:hAnsi="Arial" w:cs="Arial"/>
          <w:color w:val="000000" w:themeColor="text1"/>
          <w:lang w:val="es-ES_tradnl"/>
        </w:rPr>
        <w:footnoteReference w:id="22"/>
      </w:r>
      <w:r w:rsidRPr="00F8515B">
        <w:rPr>
          <w:rFonts w:ascii="Arial" w:eastAsia="Times New Roman" w:hAnsi="Arial" w:cs="Arial"/>
          <w:bCs/>
          <w:color w:val="000000" w:themeColor="text1"/>
          <w:sz w:val="22"/>
          <w:lang w:val="es-ES_tradnl" w:eastAsia="x-none"/>
        </w:rPr>
        <w:t>.</w:t>
      </w:r>
    </w:p>
    <w:p w14:paraId="2572F9F5" w14:textId="77777777" w:rsidR="003D73F1" w:rsidRPr="00F8515B" w:rsidRDefault="003D73F1" w:rsidP="00E7700C">
      <w:pPr>
        <w:spacing w:after="0"/>
        <w:rPr>
          <w:rFonts w:ascii="Arial" w:hAnsi="Arial" w:cs="Arial"/>
          <w:color w:val="000000" w:themeColor="text1"/>
          <w:sz w:val="22"/>
          <w:lang w:val="es-ES_tradnl"/>
        </w:rPr>
      </w:pPr>
    </w:p>
    <w:p w14:paraId="5B4A5CC2" w14:textId="618518DC" w:rsidR="003D73F1" w:rsidRPr="00F8515B" w:rsidRDefault="003D73F1" w:rsidP="00E7700C">
      <w:pPr>
        <w:spacing w:after="120"/>
        <w:ind w:firstLine="709"/>
        <w:rPr>
          <w:rFonts w:ascii="Arial" w:eastAsia="Times New Roman" w:hAnsi="Arial" w:cs="Arial"/>
          <w:bCs/>
          <w:color w:val="000000" w:themeColor="text1"/>
          <w:sz w:val="22"/>
          <w:lang w:val="es-ES_tradnl" w:eastAsia="x-none"/>
        </w:rPr>
      </w:pPr>
      <w:r w:rsidRPr="00F8515B">
        <w:rPr>
          <w:rFonts w:ascii="Arial" w:hAnsi="Arial" w:cs="Arial"/>
          <w:color w:val="000000" w:themeColor="text1"/>
          <w:sz w:val="22"/>
          <w:lang w:val="es-ES_tradnl"/>
        </w:rPr>
        <w:t>Aplicando este razonamiento,</w:t>
      </w:r>
      <w:bookmarkStart w:id="46" w:name="_Hlk75811096"/>
      <w:r w:rsidRPr="00F8515B">
        <w:rPr>
          <w:rFonts w:ascii="Arial" w:hAnsi="Arial" w:cs="Arial"/>
          <w:color w:val="000000" w:themeColor="text1"/>
          <w:sz w:val="22"/>
          <w:lang w:val="es-ES_tradnl"/>
        </w:rPr>
        <w:t xml:space="preserve"> </w:t>
      </w:r>
      <w:r w:rsidR="00D37454" w:rsidRPr="00F8515B">
        <w:rPr>
          <w:rFonts w:ascii="Arial" w:hAnsi="Arial" w:cs="Arial"/>
          <w:color w:val="000000" w:themeColor="text1"/>
          <w:sz w:val="22"/>
          <w:lang w:val="es-ES_tradnl"/>
        </w:rPr>
        <w:t xml:space="preserve">se tiene que </w:t>
      </w:r>
      <w:r w:rsidRPr="00F8515B">
        <w:rPr>
          <w:rFonts w:ascii="Arial" w:hAnsi="Arial" w:cs="Arial"/>
          <w:color w:val="000000" w:themeColor="text1"/>
          <w:sz w:val="22"/>
          <w:lang w:val="es-ES_tradnl"/>
        </w:rPr>
        <w:t xml:space="preserve">las empresas industriales y comerciales del </w:t>
      </w:r>
      <w:r w:rsidR="001A094D" w:rsidRPr="00F8515B">
        <w:rPr>
          <w:rFonts w:ascii="Arial" w:hAnsi="Arial" w:cs="Arial"/>
          <w:color w:val="000000" w:themeColor="text1"/>
          <w:sz w:val="22"/>
          <w:lang w:val="es-ES_tradnl"/>
        </w:rPr>
        <w:t>E</w:t>
      </w:r>
      <w:r w:rsidRPr="00F8515B">
        <w:rPr>
          <w:rFonts w:ascii="Arial" w:hAnsi="Arial" w:cs="Arial"/>
          <w:color w:val="000000" w:themeColor="text1"/>
          <w:sz w:val="22"/>
          <w:lang w:val="es-ES_tradnl"/>
        </w:rPr>
        <w:t xml:space="preserv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F8515B">
        <w:rPr>
          <w:rFonts w:ascii="Arial" w:hAnsi="Arial" w:cs="Arial"/>
          <w:color w:val="000000" w:themeColor="text1"/>
          <w:sz w:val="22"/>
          <w:lang w:val="es-ES_tradnl"/>
        </w:rPr>
        <w:t xml:space="preserve">a </w:t>
      </w:r>
      <w:r w:rsidRPr="00F8515B">
        <w:rPr>
          <w:rFonts w:ascii="Arial" w:hAnsi="Arial" w:cs="Arial"/>
          <w:color w:val="000000" w:themeColor="text1"/>
          <w:sz w:val="22"/>
          <w:lang w:val="es-ES_tradnl"/>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6"/>
      <w:r w:rsidRPr="00F8515B">
        <w:rPr>
          <w:rFonts w:ascii="Arial" w:hAnsi="Arial" w:cs="Arial"/>
          <w:color w:val="000000" w:themeColor="text1"/>
          <w:sz w:val="22"/>
          <w:lang w:val="es-ES_tradnl"/>
        </w:rPr>
        <w:t>»</w:t>
      </w:r>
      <w:r w:rsidRPr="00F8515B">
        <w:rPr>
          <w:rStyle w:val="Refdenotaalpie"/>
          <w:rFonts w:ascii="Arial" w:hAnsi="Arial" w:cs="Arial"/>
          <w:color w:val="000000" w:themeColor="text1"/>
          <w:lang w:val="es-ES_tradnl"/>
        </w:rPr>
        <w:t xml:space="preserve"> </w:t>
      </w:r>
      <w:r w:rsidRPr="00F8515B">
        <w:rPr>
          <w:rStyle w:val="Refdenotaalpie"/>
          <w:rFonts w:ascii="Arial" w:hAnsi="Arial" w:cs="Arial"/>
          <w:color w:val="000000" w:themeColor="text1"/>
          <w:sz w:val="22"/>
          <w:lang w:val="es-ES_tradnl"/>
        </w:rPr>
        <w:footnoteReference w:id="23"/>
      </w:r>
      <w:r w:rsidR="004E638B" w:rsidRPr="00F8515B">
        <w:rPr>
          <w:rFonts w:ascii="Arial" w:hAnsi="Arial" w:cs="Arial"/>
          <w:color w:val="000000" w:themeColor="text1"/>
          <w:sz w:val="22"/>
          <w:lang w:val="es-ES_tradnl"/>
        </w:rPr>
        <w:t>.</w:t>
      </w:r>
    </w:p>
    <w:p w14:paraId="3511C4DF" w14:textId="4A179D64" w:rsidR="00A50F5C" w:rsidRPr="00F8515B" w:rsidRDefault="004E638B" w:rsidP="00E7700C">
      <w:pPr>
        <w:spacing w:after="0"/>
        <w:ind w:firstLine="708"/>
        <w:rPr>
          <w:rFonts w:ascii="Arial" w:eastAsia="Times New Roman" w:hAnsi="Arial" w:cs="Arial"/>
          <w:bCs/>
          <w:color w:val="000000" w:themeColor="text1"/>
          <w:sz w:val="22"/>
          <w:lang w:val="es-ES_tradnl" w:eastAsia="x-none"/>
        </w:rPr>
      </w:pPr>
      <w:bookmarkStart w:id="47" w:name="_Hlk77237229"/>
      <w:bookmarkEnd w:id="39"/>
      <w:r w:rsidRPr="00F8515B">
        <w:rPr>
          <w:rFonts w:ascii="Arial" w:hAnsi="Arial" w:cs="Arial"/>
          <w:color w:val="000000" w:themeColor="text1"/>
          <w:sz w:val="22"/>
          <w:lang w:val="es-ES_tradnl"/>
        </w:rPr>
        <w:t>P</w:t>
      </w:r>
      <w:r w:rsidR="007B0F2D" w:rsidRPr="00F8515B">
        <w:rPr>
          <w:rFonts w:ascii="Arial" w:hAnsi="Arial" w:cs="Arial"/>
          <w:color w:val="000000" w:themeColor="text1"/>
          <w:sz w:val="22"/>
          <w:lang w:val="es-ES_tradnl"/>
        </w:rPr>
        <w:t>or lo tanto, la restricción prevista en la Ley 996 de 200</w:t>
      </w:r>
      <w:bookmarkStart w:id="48" w:name="_Hlk75741539"/>
      <w:r w:rsidR="007B0F2D" w:rsidRPr="00F8515B">
        <w:rPr>
          <w:rFonts w:ascii="Arial" w:hAnsi="Arial" w:cs="Arial"/>
          <w:color w:val="000000" w:themeColor="text1"/>
          <w:sz w:val="22"/>
          <w:lang w:val="es-ES_tradnl"/>
        </w:rPr>
        <w:t xml:space="preserve">5, </w:t>
      </w:r>
      <w:r w:rsidR="007B0F2D" w:rsidRPr="00F8515B">
        <w:rPr>
          <w:rFonts w:ascii="Arial" w:eastAsia="Times New Roman" w:hAnsi="Arial" w:cs="Arial"/>
          <w:bCs/>
          <w:color w:val="000000" w:themeColor="text1"/>
          <w:sz w:val="22"/>
          <w:lang w:val="es-ES_tradnl"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F8515B">
        <w:rPr>
          <w:rFonts w:ascii="Arial" w:eastAsia="Times New Roman" w:hAnsi="Arial" w:cs="Arial"/>
          <w:bCs/>
          <w:color w:val="000000" w:themeColor="text1"/>
          <w:sz w:val="22"/>
          <w:lang w:val="es-ES_tradnl" w:eastAsia="x-none"/>
        </w:rPr>
        <w:t xml:space="preserve"> Tampoco existe un supuesto de exoneración a la prohibición por tener un régimen especial de los actos o contratos, pues, la posibilidad de que los entes del Estado utilicen la contratación con fines </w:t>
      </w:r>
      <w:r w:rsidR="00A50F5C" w:rsidRPr="00F8515B">
        <w:rPr>
          <w:rFonts w:ascii="Arial" w:eastAsia="Times New Roman" w:hAnsi="Arial" w:cs="Arial"/>
          <w:bCs/>
          <w:color w:val="000000" w:themeColor="text1"/>
          <w:sz w:val="22"/>
          <w:lang w:val="es-ES_tradnl" w:eastAsia="x-none"/>
        </w:rPr>
        <w:lastRenderedPageBreak/>
        <w:t xml:space="preserve">políticos, esto es, con la intención de influir a los electores y alterar la voluntad popular en las contiendas electorales, se puede presentar tanto en la contratación </w:t>
      </w:r>
      <w:r w:rsidRPr="00F8515B">
        <w:rPr>
          <w:rFonts w:ascii="Arial" w:eastAsia="Times New Roman" w:hAnsi="Arial" w:cs="Arial"/>
          <w:bCs/>
          <w:color w:val="000000" w:themeColor="text1"/>
          <w:sz w:val="22"/>
          <w:lang w:val="es-ES_tradnl" w:eastAsia="x-none"/>
        </w:rPr>
        <w:t>regulada por</w:t>
      </w:r>
      <w:r w:rsidR="00A50F5C" w:rsidRPr="00F8515B">
        <w:rPr>
          <w:rFonts w:ascii="Arial" w:eastAsia="Times New Roman" w:hAnsi="Arial" w:cs="Arial"/>
          <w:bCs/>
          <w:color w:val="000000" w:themeColor="text1"/>
          <w:sz w:val="22"/>
          <w:lang w:val="es-ES_tradnl" w:eastAsia="x-none"/>
        </w:rPr>
        <w:t xml:space="preserve"> la Ley 80 de 1993 como</w:t>
      </w:r>
      <w:r w:rsidRPr="00F8515B">
        <w:rPr>
          <w:rFonts w:ascii="Arial" w:eastAsia="Times New Roman" w:hAnsi="Arial" w:cs="Arial"/>
          <w:bCs/>
          <w:color w:val="000000" w:themeColor="text1"/>
          <w:sz w:val="22"/>
          <w:lang w:val="es-ES_tradnl" w:eastAsia="x-none"/>
        </w:rPr>
        <w:t xml:space="preserve"> en la regida por</w:t>
      </w:r>
      <w:r w:rsidR="00A50F5C" w:rsidRPr="00F8515B">
        <w:rPr>
          <w:rFonts w:ascii="Arial" w:eastAsia="Times New Roman" w:hAnsi="Arial" w:cs="Arial"/>
          <w:bCs/>
          <w:color w:val="000000" w:themeColor="text1"/>
          <w:sz w:val="22"/>
          <w:lang w:val="es-ES_tradnl" w:eastAsia="x-none"/>
        </w:rPr>
        <w:t xml:space="preserve"> el Derecho </w:t>
      </w:r>
      <w:r w:rsidR="001A094D" w:rsidRPr="00F8515B">
        <w:rPr>
          <w:rFonts w:ascii="Arial" w:eastAsia="Times New Roman" w:hAnsi="Arial" w:cs="Arial"/>
          <w:bCs/>
          <w:color w:val="000000" w:themeColor="text1"/>
          <w:sz w:val="22"/>
          <w:lang w:val="es-ES_tradnl" w:eastAsia="x-none"/>
        </w:rPr>
        <w:t>p</w:t>
      </w:r>
      <w:r w:rsidR="00A50F5C" w:rsidRPr="00F8515B">
        <w:rPr>
          <w:rFonts w:ascii="Arial" w:eastAsia="Times New Roman" w:hAnsi="Arial" w:cs="Arial"/>
          <w:bCs/>
          <w:color w:val="000000" w:themeColor="text1"/>
          <w:sz w:val="22"/>
          <w:lang w:val="es-ES_tradnl" w:eastAsia="x-none"/>
        </w:rPr>
        <w:t>rivado.</w:t>
      </w:r>
    </w:p>
    <w:bookmarkEnd w:id="47"/>
    <w:bookmarkEnd w:id="48"/>
    <w:p w14:paraId="3CC7CAE2" w14:textId="77777777" w:rsidR="007B0F2D" w:rsidRPr="00F8515B" w:rsidRDefault="007B0F2D" w:rsidP="00E7700C">
      <w:pPr>
        <w:spacing w:after="0"/>
        <w:rPr>
          <w:rFonts w:ascii="Arial" w:hAnsi="Arial" w:cs="Arial"/>
          <w:color w:val="000000" w:themeColor="text1"/>
          <w:sz w:val="22"/>
          <w:lang w:val="es-ES_tradnl"/>
        </w:rPr>
      </w:pPr>
    </w:p>
    <w:p w14:paraId="4720F493" w14:textId="11830328" w:rsidR="0025237E" w:rsidRPr="00F8515B" w:rsidRDefault="0025237E" w:rsidP="000641BE">
      <w:pPr>
        <w:spacing w:after="0"/>
        <w:rPr>
          <w:rFonts w:ascii="Arial" w:hAnsi="Arial" w:cs="Arial"/>
          <w:b/>
          <w:bCs/>
          <w:color w:val="000000" w:themeColor="text1"/>
          <w:sz w:val="22"/>
          <w:lang w:val="es-ES_tradnl"/>
        </w:rPr>
      </w:pPr>
      <w:bookmarkStart w:id="49" w:name="_Hlk75784645"/>
      <w:r w:rsidRPr="00F8515B">
        <w:rPr>
          <w:rFonts w:ascii="Arial" w:hAnsi="Arial" w:cs="Arial"/>
          <w:b/>
          <w:bCs/>
          <w:color w:val="000000" w:themeColor="text1"/>
          <w:sz w:val="22"/>
          <w:lang w:val="es-ES_tradnl"/>
        </w:rPr>
        <w:t xml:space="preserve">2.4. </w:t>
      </w:r>
      <w:bookmarkStart w:id="50" w:name="_Hlk77153296"/>
      <w:r w:rsidRPr="00F8515B">
        <w:rPr>
          <w:rFonts w:ascii="Arial" w:eastAsia="Times New Roman" w:hAnsi="Arial" w:cs="Arial"/>
          <w:b/>
          <w:bCs/>
          <w:color w:val="000000" w:themeColor="text1"/>
          <w:sz w:val="22"/>
          <w:lang w:val="es-ES_tradnl" w:eastAsia="es-CO"/>
        </w:rPr>
        <w:t xml:space="preserve">Restricciones </w:t>
      </w:r>
      <w:bookmarkStart w:id="51" w:name="_Hlk75643279"/>
      <w:r w:rsidRPr="00F8515B">
        <w:rPr>
          <w:rFonts w:ascii="Arial" w:eastAsia="Times New Roman" w:hAnsi="Arial" w:cs="Arial"/>
          <w:b/>
          <w:bCs/>
          <w:color w:val="000000" w:themeColor="text1"/>
          <w:sz w:val="22"/>
          <w:lang w:val="es-ES_tradnl" w:eastAsia="es-CO"/>
        </w:rPr>
        <w:t xml:space="preserve">para la celebración de contratos y convenios interadministrativos en los comicios </w:t>
      </w:r>
      <w:r w:rsidR="00A62BAF" w:rsidRPr="00F8515B">
        <w:rPr>
          <w:rFonts w:ascii="Arial" w:eastAsia="Times New Roman" w:hAnsi="Arial" w:cs="Arial"/>
          <w:b/>
          <w:bCs/>
          <w:color w:val="000000" w:themeColor="text1"/>
          <w:sz w:val="22"/>
          <w:lang w:val="es-ES_tradnl" w:eastAsia="es-CO"/>
        </w:rPr>
        <w:t>para</w:t>
      </w:r>
      <w:r w:rsidRPr="00F8515B">
        <w:rPr>
          <w:rFonts w:ascii="Arial" w:eastAsia="Times New Roman" w:hAnsi="Arial" w:cs="Arial"/>
          <w:b/>
          <w:bCs/>
          <w:color w:val="000000" w:themeColor="text1"/>
          <w:sz w:val="22"/>
          <w:lang w:val="es-ES_tradnl" w:eastAsia="es-CO"/>
        </w:rPr>
        <w:t xml:space="preserve"> cargos de elección popular </w:t>
      </w:r>
    </w:p>
    <w:p w14:paraId="78D7277B" w14:textId="77777777" w:rsidR="00B56556" w:rsidRPr="00F8515B" w:rsidRDefault="00B56556" w:rsidP="000641BE">
      <w:pPr>
        <w:tabs>
          <w:tab w:val="left" w:pos="426"/>
        </w:tabs>
        <w:spacing w:after="0"/>
        <w:rPr>
          <w:rFonts w:ascii="Arial" w:eastAsia="Calibri" w:hAnsi="Arial" w:cs="Arial"/>
          <w:bCs/>
          <w:color w:val="000000" w:themeColor="text1"/>
          <w:sz w:val="22"/>
          <w:lang w:val="es-ES_tradnl"/>
        </w:rPr>
      </w:pPr>
      <w:bookmarkStart w:id="52" w:name="_Hlk88210558"/>
      <w:bookmarkEnd w:id="50"/>
      <w:bookmarkEnd w:id="51"/>
    </w:p>
    <w:p w14:paraId="56538C49" w14:textId="1C6F6735" w:rsidR="0025237E" w:rsidRPr="00F8515B" w:rsidRDefault="0025237E" w:rsidP="00E7700C">
      <w:pPr>
        <w:tabs>
          <w:tab w:val="left" w:pos="426"/>
        </w:tabs>
        <w:spacing w:after="120"/>
        <w:rPr>
          <w:rFonts w:ascii="Arial" w:eastAsia="Calibri" w:hAnsi="Arial" w:cs="Arial"/>
          <w:bCs/>
          <w:color w:val="000000" w:themeColor="text1"/>
          <w:sz w:val="22"/>
          <w:lang w:val="es-ES_tradnl"/>
        </w:rPr>
      </w:pPr>
      <w:r w:rsidRPr="00F8515B">
        <w:rPr>
          <w:rFonts w:ascii="Arial" w:eastAsia="Calibri" w:hAnsi="Arial" w:cs="Arial"/>
          <w:bCs/>
          <w:color w:val="000000" w:themeColor="text1"/>
          <w:sz w:val="22"/>
          <w:lang w:val="es-ES_tradnl"/>
        </w:rPr>
        <w:t xml:space="preserve">El parágrafo del artículo 38 de la Ley 996 de 2005 dispone que «[l]os Gobernadores, </w:t>
      </w:r>
      <w:proofErr w:type="gramStart"/>
      <w:r w:rsidRPr="00F8515B">
        <w:rPr>
          <w:rFonts w:ascii="Arial" w:eastAsia="Calibri" w:hAnsi="Arial" w:cs="Arial"/>
          <w:bCs/>
          <w:color w:val="000000" w:themeColor="text1"/>
          <w:sz w:val="22"/>
          <w:lang w:val="es-ES_tradnl"/>
        </w:rPr>
        <w:t>Alcaldes</w:t>
      </w:r>
      <w:proofErr w:type="gramEnd"/>
      <w:r w:rsidRPr="00F8515B">
        <w:rPr>
          <w:rFonts w:ascii="Arial" w:eastAsia="Calibri" w:hAnsi="Arial" w:cs="Arial"/>
          <w:bCs/>
          <w:color w:val="000000" w:themeColor="text1"/>
          <w:sz w:val="22"/>
          <w:lang w:val="es-ES_tradnl"/>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F8515B">
        <w:rPr>
          <w:rFonts w:ascii="Arial" w:eastAsia="Times New Roman" w:hAnsi="Arial" w:cs="Arial"/>
          <w:bCs/>
          <w:iCs/>
          <w:color w:val="000000" w:themeColor="text1"/>
          <w:sz w:val="22"/>
          <w:lang w:val="es-ES_tradnl" w:eastAsia="x-none"/>
        </w:rPr>
        <w:t xml:space="preserve"> </w:t>
      </w:r>
      <w:bookmarkEnd w:id="52"/>
      <w:r w:rsidRPr="00F8515B">
        <w:rPr>
          <w:rFonts w:ascii="Arial" w:eastAsia="Times New Roman" w:hAnsi="Arial" w:cs="Arial"/>
          <w:bCs/>
          <w:iCs/>
          <w:color w:val="000000" w:themeColor="text1"/>
          <w:sz w:val="22"/>
          <w:lang w:val="es-ES_tradnl"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F8515B">
        <w:rPr>
          <w:rStyle w:val="Refdenotaalpie"/>
          <w:rFonts w:ascii="Arial" w:eastAsia="Times New Roman" w:hAnsi="Arial" w:cs="Arial"/>
          <w:bCs/>
          <w:iCs/>
          <w:color w:val="000000" w:themeColor="text1"/>
          <w:sz w:val="22"/>
          <w:lang w:val="es-ES_tradnl" w:eastAsia="x-none"/>
        </w:rPr>
        <w:footnoteReference w:id="24"/>
      </w:r>
      <w:r w:rsidRPr="00F8515B">
        <w:rPr>
          <w:rFonts w:ascii="Arial" w:eastAsia="Times New Roman" w:hAnsi="Arial" w:cs="Arial"/>
          <w:bCs/>
          <w:iCs/>
          <w:color w:val="000000" w:themeColor="text1"/>
          <w:sz w:val="22"/>
          <w:lang w:val="es-ES_tradnl" w:eastAsia="x-none"/>
        </w:rPr>
        <w:t>.</w:t>
      </w:r>
      <w:r w:rsidRPr="00F8515B">
        <w:rPr>
          <w:rFonts w:ascii="Arial" w:hAnsi="Arial" w:cs="Arial"/>
          <w:color w:val="000000" w:themeColor="text1"/>
          <w:lang w:val="es-ES_tradnl"/>
        </w:rPr>
        <w:t xml:space="preserve"> </w:t>
      </w:r>
    </w:p>
    <w:p w14:paraId="5E39A10A" w14:textId="3783977E" w:rsidR="0025237E" w:rsidRPr="00F8515B" w:rsidRDefault="0025237E" w:rsidP="00E7700C">
      <w:pPr>
        <w:pStyle w:val="Textoindependiente"/>
        <w:spacing w:after="120"/>
        <w:ind w:firstLine="707"/>
        <w:rPr>
          <w:color w:val="000000" w:themeColor="text1"/>
          <w:lang w:val="es-ES_tradnl"/>
        </w:rPr>
      </w:pPr>
      <w:r w:rsidRPr="00F8515B">
        <w:rPr>
          <w:rFonts w:eastAsia="Calibri"/>
          <w:bCs/>
          <w:color w:val="000000" w:themeColor="text1"/>
          <w:lang w:val="es-ES_tradnl"/>
        </w:rPr>
        <w:t xml:space="preserve">Ahora bien, </w:t>
      </w:r>
      <w:bookmarkStart w:id="53" w:name="_Hlk78820161"/>
      <w:r w:rsidRPr="00F8515B">
        <w:rPr>
          <w:rFonts w:eastAsia="Calibri"/>
          <w:bCs/>
          <w:color w:val="000000" w:themeColor="text1"/>
          <w:lang w:val="es-ES_tradnl"/>
        </w:rPr>
        <w:t xml:space="preserve">para determinar el alcance de la prohibición consagrada por la Ley de Garantías Electorales, conviene precisar la tipología de convenios o contratos interadministrativos. </w:t>
      </w:r>
      <w:r w:rsidRPr="00F8515B">
        <w:rPr>
          <w:color w:val="000000" w:themeColor="text1"/>
          <w:lang w:val="es-ES_tradnl"/>
        </w:rPr>
        <w:t xml:space="preserve">Aunque </w:t>
      </w:r>
      <w:r w:rsidR="001406ED" w:rsidRPr="00F8515B">
        <w:rPr>
          <w:color w:val="000000" w:themeColor="text1"/>
          <w:lang w:val="es-ES_tradnl"/>
        </w:rPr>
        <w:t xml:space="preserve">la ley </w:t>
      </w:r>
      <w:r w:rsidRPr="00F8515B">
        <w:rPr>
          <w:color w:val="000000" w:themeColor="text1"/>
          <w:lang w:val="es-ES_tradnl"/>
        </w:rPr>
        <w:t>no la definió ni desarrolló, el Decreto 1082 de 2015 califica a los convenios o contratos interadministrativos como aquella contratación entre entidades estatales</w:t>
      </w:r>
      <w:r w:rsidRPr="00F8515B">
        <w:rPr>
          <w:rStyle w:val="Refdenotaalpie"/>
          <w:color w:val="000000" w:themeColor="text1"/>
          <w:lang w:val="es-ES_tradnl"/>
        </w:rPr>
        <w:footnoteReference w:id="25"/>
      </w:r>
      <w:r w:rsidRPr="00F8515B">
        <w:rPr>
          <w:color w:val="000000" w:themeColor="text1"/>
          <w:lang w:val="es-ES_tradn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F8515B">
        <w:rPr>
          <w:color w:val="000000" w:themeColor="text1"/>
          <w:spacing w:val="-6"/>
          <w:lang w:val="es-ES_tradnl"/>
        </w:rPr>
        <w:t xml:space="preserve"> </w:t>
      </w:r>
      <w:r w:rsidRPr="00F8515B">
        <w:rPr>
          <w:color w:val="000000" w:themeColor="text1"/>
          <w:lang w:val="es-ES_tradnl"/>
        </w:rPr>
        <w:t>estatales.</w:t>
      </w:r>
    </w:p>
    <w:p w14:paraId="63E3D246" w14:textId="77777777" w:rsidR="0025237E" w:rsidRPr="00F8515B" w:rsidRDefault="0025237E" w:rsidP="00E7700C">
      <w:pPr>
        <w:pStyle w:val="Textoindependiente"/>
        <w:spacing w:before="117" w:after="120"/>
        <w:ind w:firstLine="707"/>
        <w:rPr>
          <w:color w:val="000000" w:themeColor="text1"/>
          <w:lang w:val="es-ES_tradnl"/>
        </w:rPr>
      </w:pPr>
      <w:bookmarkStart w:id="54" w:name="_Hlk78820654"/>
      <w:bookmarkEnd w:id="53"/>
      <w:r w:rsidRPr="00F8515B">
        <w:rPr>
          <w:color w:val="000000" w:themeColor="text1"/>
          <w:lang w:val="es-ES_tradnl"/>
        </w:rPr>
        <w:t xml:space="preserve">Si bien los contratos o convenios interadministrativos están previstos en la </w:t>
      </w:r>
      <w:r w:rsidRPr="00F8515B">
        <w:rPr>
          <w:color w:val="000000" w:themeColor="text1"/>
          <w:lang w:val="es-ES_tradnl"/>
        </w:rPr>
        <w:lastRenderedPageBreak/>
        <w:t>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4"/>
    <w:p w14:paraId="3606B8DF" w14:textId="77777777" w:rsidR="0025237E" w:rsidRPr="00F8515B" w:rsidRDefault="0025237E" w:rsidP="00E7700C">
      <w:pPr>
        <w:pStyle w:val="Textoindependiente"/>
        <w:spacing w:before="121" w:after="120"/>
        <w:ind w:firstLine="707"/>
        <w:rPr>
          <w:color w:val="000000" w:themeColor="text1"/>
          <w:lang w:val="es-ES_tradnl"/>
        </w:rPr>
      </w:pPr>
      <w:r w:rsidRPr="00F8515B">
        <w:rPr>
          <w:color w:val="000000" w:themeColor="text1"/>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F8515B">
        <w:rPr>
          <w:rStyle w:val="Refdenotaalpie"/>
          <w:color w:val="000000" w:themeColor="text1"/>
          <w:lang w:val="es-ES_tradnl"/>
        </w:rPr>
        <w:footnoteReference w:id="26"/>
      </w:r>
      <w:r w:rsidRPr="00F8515B">
        <w:rPr>
          <w:color w:val="000000" w:themeColor="text1"/>
          <w:lang w:val="es-ES_tradnl"/>
        </w:rPr>
        <w:t>. Nótese que, en este caso, lo que cambia es la modalidad de selección y no la naturaleza de contrato</w:t>
      </w:r>
      <w:r w:rsidRPr="00F8515B">
        <w:rPr>
          <w:color w:val="000000" w:themeColor="text1"/>
          <w:spacing w:val="-18"/>
          <w:lang w:val="es-ES_tradnl"/>
        </w:rPr>
        <w:t xml:space="preserve"> </w:t>
      </w:r>
      <w:r w:rsidRPr="00F8515B">
        <w:rPr>
          <w:color w:val="000000" w:themeColor="text1"/>
          <w:lang w:val="es-ES_tradnl"/>
        </w:rPr>
        <w:t>interadministrativo.</w:t>
      </w:r>
    </w:p>
    <w:p w14:paraId="3AEF1D00" w14:textId="77777777" w:rsidR="0025237E" w:rsidRPr="00F8515B" w:rsidRDefault="0025237E" w:rsidP="00E7700C">
      <w:pPr>
        <w:pStyle w:val="Textoindependiente"/>
        <w:spacing w:before="114" w:after="0"/>
        <w:ind w:firstLine="707"/>
        <w:rPr>
          <w:color w:val="000000" w:themeColor="text1"/>
          <w:lang w:val="es-ES_tradnl"/>
        </w:rPr>
      </w:pPr>
      <w:r w:rsidRPr="00F8515B">
        <w:rPr>
          <w:color w:val="000000" w:themeColor="text1"/>
          <w:lang w:val="es-ES_tradn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F8515B">
        <w:rPr>
          <w:color w:val="000000" w:themeColor="text1"/>
          <w:spacing w:val="-13"/>
          <w:lang w:val="es-ES_tradnl"/>
        </w:rPr>
        <w:t xml:space="preserve"> </w:t>
      </w:r>
      <w:r w:rsidRPr="00F8515B">
        <w:rPr>
          <w:color w:val="000000" w:themeColor="text1"/>
          <w:lang w:val="es-ES_tradnl"/>
        </w:rPr>
        <w:t>que:</w:t>
      </w:r>
    </w:p>
    <w:p w14:paraId="0238689D" w14:textId="77777777" w:rsidR="0025237E" w:rsidRPr="00F8515B" w:rsidRDefault="0025237E" w:rsidP="00E7700C">
      <w:pPr>
        <w:pStyle w:val="Textoindependiente"/>
        <w:spacing w:after="0"/>
        <w:ind w:firstLine="707"/>
        <w:rPr>
          <w:color w:val="000000" w:themeColor="text1"/>
          <w:lang w:val="es-ES_tradnl"/>
        </w:rPr>
      </w:pPr>
    </w:p>
    <w:p w14:paraId="4911F9D2" w14:textId="77777777" w:rsidR="0025237E" w:rsidRPr="00F8515B" w:rsidRDefault="0025237E" w:rsidP="000641BE">
      <w:pPr>
        <w:spacing w:after="0" w:line="240" w:lineRule="auto"/>
        <w:ind w:left="709" w:right="709"/>
        <w:rPr>
          <w:rFonts w:ascii="Arial" w:hAnsi="Arial" w:cs="Arial"/>
          <w:color w:val="000000" w:themeColor="text1"/>
          <w:sz w:val="21"/>
          <w:lang w:val="es-ES_tradnl"/>
        </w:rPr>
      </w:pPr>
      <w:r w:rsidRPr="00F8515B">
        <w:rPr>
          <w:rFonts w:ascii="Arial" w:hAnsi="Arial" w:cs="Arial"/>
          <w:color w:val="000000" w:themeColor="text1"/>
          <w:sz w:val="21"/>
          <w:lang w:val="es-ES_tradnl"/>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w:t>
      </w:r>
      <w:r w:rsidRPr="00F8515B">
        <w:rPr>
          <w:rFonts w:ascii="Arial" w:hAnsi="Arial" w:cs="Arial"/>
          <w:color w:val="000000" w:themeColor="text1"/>
          <w:sz w:val="21"/>
          <w:lang w:val="es-ES_tradnl"/>
        </w:rPr>
        <w:lastRenderedPageBreak/>
        <w:t>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F8515B">
        <w:rPr>
          <w:rStyle w:val="Refdenotaalpie"/>
          <w:rFonts w:ascii="Arial" w:hAnsi="Arial" w:cs="Arial"/>
          <w:color w:val="000000" w:themeColor="text1"/>
          <w:sz w:val="21"/>
          <w:lang w:val="es-ES_tradnl"/>
        </w:rPr>
        <w:footnoteReference w:id="27"/>
      </w:r>
      <w:r w:rsidRPr="00F8515B">
        <w:rPr>
          <w:rFonts w:ascii="Arial" w:hAnsi="Arial" w:cs="Arial"/>
          <w:color w:val="000000" w:themeColor="text1"/>
          <w:sz w:val="21"/>
          <w:lang w:val="es-ES_tradnl"/>
        </w:rPr>
        <w:t>.</w:t>
      </w:r>
    </w:p>
    <w:p w14:paraId="51A9BC44" w14:textId="77777777" w:rsidR="0025237E" w:rsidRPr="00F8515B" w:rsidRDefault="0025237E" w:rsidP="00E7700C">
      <w:pPr>
        <w:spacing w:after="0"/>
        <w:ind w:left="709" w:right="709"/>
        <w:rPr>
          <w:rFonts w:ascii="Arial" w:hAnsi="Arial" w:cs="Arial"/>
          <w:color w:val="000000" w:themeColor="text1"/>
          <w:sz w:val="22"/>
          <w:lang w:val="es-ES_tradnl"/>
        </w:rPr>
      </w:pPr>
    </w:p>
    <w:p w14:paraId="77A8586A" w14:textId="77777777" w:rsidR="0025237E" w:rsidRPr="00F8515B" w:rsidRDefault="0025237E" w:rsidP="00E7700C">
      <w:pPr>
        <w:pStyle w:val="Textoindependiente"/>
        <w:spacing w:after="120"/>
        <w:ind w:firstLine="707"/>
        <w:rPr>
          <w:color w:val="000000" w:themeColor="text1"/>
          <w:lang w:val="es-ES_tradnl"/>
        </w:rPr>
      </w:pPr>
      <w:r w:rsidRPr="00F8515B">
        <w:rPr>
          <w:color w:val="000000" w:themeColor="text1"/>
          <w:lang w:val="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1054C0F0" w14:textId="77777777" w:rsidR="0025237E" w:rsidRPr="00F8515B" w:rsidRDefault="0025237E" w:rsidP="00E7700C">
      <w:pPr>
        <w:pStyle w:val="Textoindependiente"/>
        <w:spacing w:before="119" w:after="120"/>
        <w:ind w:firstLine="707"/>
        <w:rPr>
          <w:color w:val="000000" w:themeColor="text1"/>
          <w:lang w:val="es-ES_tradnl"/>
        </w:rPr>
      </w:pPr>
      <w:r w:rsidRPr="00F8515B">
        <w:rPr>
          <w:color w:val="000000" w:themeColor="text1"/>
          <w:lang w:val="es-ES_tradn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F8515B">
        <w:rPr>
          <w:color w:val="000000" w:themeColor="text1"/>
          <w:spacing w:val="-3"/>
          <w:lang w:val="es-ES_tradnl"/>
        </w:rPr>
        <w:t xml:space="preserve"> </w:t>
      </w:r>
      <w:r w:rsidRPr="00F8515B">
        <w:rPr>
          <w:color w:val="000000" w:themeColor="text1"/>
          <w:lang w:val="es-ES_tradnl"/>
        </w:rPr>
        <w:t>estatales.</w:t>
      </w:r>
    </w:p>
    <w:p w14:paraId="1E7A765B" w14:textId="77777777" w:rsidR="0025237E" w:rsidRPr="00F8515B" w:rsidRDefault="0025237E" w:rsidP="009B053C">
      <w:pPr>
        <w:pStyle w:val="Textoindependiente"/>
        <w:spacing w:before="120" w:after="120"/>
        <w:ind w:firstLine="709"/>
        <w:rPr>
          <w:color w:val="000000" w:themeColor="text1"/>
          <w:lang w:val="es-ES_tradnl"/>
        </w:rPr>
      </w:pPr>
      <w:r w:rsidRPr="00F8515B">
        <w:rPr>
          <w:color w:val="000000" w:themeColor="text1"/>
          <w:lang w:val="es-ES_tradnl"/>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w:t>
      </w:r>
      <w:r w:rsidRPr="00F8515B">
        <w:rPr>
          <w:color w:val="000000" w:themeColor="text1"/>
          <w:lang w:val="es-ES_tradnl"/>
        </w:rPr>
        <w:lastRenderedPageBreak/>
        <w:t>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F8515B">
        <w:rPr>
          <w:color w:val="000000" w:themeColor="text1"/>
          <w:spacing w:val="-4"/>
          <w:lang w:val="es-ES_tradnl"/>
        </w:rPr>
        <w:t xml:space="preserve"> </w:t>
      </w:r>
      <w:r w:rsidRPr="00F8515B">
        <w:rPr>
          <w:color w:val="000000" w:themeColor="text1"/>
          <w:lang w:val="es-ES_tradnl"/>
        </w:rPr>
        <w:t>estatales.</w:t>
      </w:r>
    </w:p>
    <w:p w14:paraId="5B1B3941" w14:textId="77777777" w:rsidR="0025237E" w:rsidRPr="00F8515B" w:rsidRDefault="0025237E" w:rsidP="00E7700C">
      <w:pPr>
        <w:pStyle w:val="Textoindependiente"/>
        <w:spacing w:before="122" w:after="120"/>
        <w:ind w:firstLine="708"/>
        <w:rPr>
          <w:color w:val="000000" w:themeColor="text1"/>
          <w:lang w:val="es-ES_tradnl"/>
        </w:rPr>
      </w:pPr>
      <w:r w:rsidRPr="00F8515B">
        <w:rPr>
          <w:color w:val="000000" w:themeColor="text1"/>
          <w:lang w:val="es-ES_tradnl"/>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E70554B" w14:textId="77777777" w:rsidR="0025237E" w:rsidRPr="00F8515B" w:rsidRDefault="0025237E" w:rsidP="00E7700C">
      <w:pPr>
        <w:pStyle w:val="Textoindependiente"/>
        <w:spacing w:after="0"/>
        <w:ind w:firstLine="708"/>
        <w:rPr>
          <w:rFonts w:eastAsia="Calibri"/>
          <w:bCs/>
          <w:color w:val="000000" w:themeColor="text1"/>
          <w:lang w:val="es-ES_tradnl"/>
        </w:rPr>
      </w:pPr>
      <w:r w:rsidRPr="00F8515B">
        <w:rPr>
          <w:color w:val="000000" w:themeColor="text1"/>
          <w:lang w:val="es-ES_tradn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F8515B">
        <w:rPr>
          <w:color w:val="000000" w:themeColor="text1"/>
          <w:spacing w:val="-4"/>
          <w:lang w:val="es-ES_tradnl"/>
        </w:rPr>
        <w:t xml:space="preserve"> </w:t>
      </w:r>
      <w:r w:rsidRPr="00F8515B">
        <w:rPr>
          <w:color w:val="000000" w:themeColor="text1"/>
          <w:lang w:val="es-ES_tradnl"/>
        </w:rPr>
        <w:t>[…]»</w:t>
      </w:r>
      <w:r w:rsidRPr="00F8515B">
        <w:rPr>
          <w:rStyle w:val="Refdenotaalpie"/>
          <w:color w:val="000000" w:themeColor="text1"/>
          <w:lang w:val="es-ES_tradnl"/>
        </w:rPr>
        <w:footnoteReference w:id="28"/>
      </w:r>
      <w:r w:rsidRPr="00F8515B">
        <w:rPr>
          <w:color w:val="000000" w:themeColor="text1"/>
          <w:lang w:val="es-ES_tradnl"/>
        </w:rPr>
        <w:t>.</w:t>
      </w:r>
      <w:bookmarkStart w:id="55" w:name="_Hlk77171241"/>
    </w:p>
    <w:p w14:paraId="6773070C" w14:textId="3C02B067" w:rsidR="0025237E" w:rsidRPr="00F8515B" w:rsidRDefault="003A1877" w:rsidP="00DB6533">
      <w:pPr>
        <w:pStyle w:val="Textoindependiente"/>
        <w:spacing w:before="122" w:after="0"/>
        <w:ind w:firstLine="709"/>
        <w:rPr>
          <w:color w:val="000000" w:themeColor="text1"/>
          <w:lang w:val="es-ES_tradnl"/>
        </w:rPr>
      </w:pPr>
      <w:r w:rsidRPr="00F8515B">
        <w:rPr>
          <w:color w:val="000000" w:themeColor="text1"/>
          <w:lang w:val="es-ES_tradnl"/>
        </w:rPr>
        <w:t>Pero</w:t>
      </w:r>
      <w:r w:rsidR="0025237E" w:rsidRPr="00F8515B">
        <w:rPr>
          <w:color w:val="000000" w:themeColor="text1"/>
          <w:lang w:val="es-ES_tradnl"/>
        </w:rPr>
        <w:t xml:space="preserve">, vale la pena tener en cuenta que cierto sector de la doctrina y la jurisprudencia ha establecido algunas diferencias o caracterización de los contratos interadministrativos frente a los convenios interadministrativos de que trata el artículo 95 de la Ley 489 de 1998. Por ejemplo, el Consejo de Estado </w:t>
      </w:r>
      <w:r w:rsidR="00BD075C" w:rsidRPr="00F8515B">
        <w:rPr>
          <w:color w:val="000000" w:themeColor="text1"/>
          <w:lang w:val="es-ES_tradnl"/>
        </w:rPr>
        <w:t xml:space="preserve">en </w:t>
      </w:r>
      <w:r w:rsidR="0025237E" w:rsidRPr="00F8515B">
        <w:rPr>
          <w:color w:val="000000" w:themeColor="text1"/>
          <w:lang w:val="es-ES_tradnl"/>
        </w:rPr>
        <w:t>sentencia del 14 de junio de 2019 expresó:</w:t>
      </w:r>
    </w:p>
    <w:p w14:paraId="0A903199" w14:textId="77777777" w:rsidR="004367C8" w:rsidRPr="00F8515B" w:rsidRDefault="004367C8" w:rsidP="000641BE">
      <w:pPr>
        <w:pStyle w:val="Textoindependiente"/>
        <w:spacing w:after="0"/>
        <w:ind w:firstLine="709"/>
        <w:rPr>
          <w:color w:val="000000" w:themeColor="text1"/>
          <w:lang w:val="es-ES_tradnl"/>
        </w:rPr>
      </w:pPr>
    </w:p>
    <w:p w14:paraId="7F6B8ACF" w14:textId="6A1CD6A4" w:rsidR="0025237E" w:rsidRPr="00F8515B" w:rsidRDefault="0025237E" w:rsidP="000641BE">
      <w:pPr>
        <w:spacing w:after="120" w:line="240" w:lineRule="auto"/>
        <w:ind w:left="709" w:right="709"/>
        <w:rPr>
          <w:rFonts w:ascii="Arial" w:hAnsi="Arial" w:cs="Arial"/>
          <w:color w:val="000000" w:themeColor="text1"/>
          <w:sz w:val="21"/>
          <w:szCs w:val="21"/>
          <w:lang w:val="es-ES_tradnl"/>
        </w:rPr>
      </w:pPr>
      <w:r w:rsidRPr="00F8515B">
        <w:rPr>
          <w:rFonts w:ascii="Arial" w:hAnsi="Arial" w:cs="Arial"/>
          <w:color w:val="000000" w:themeColor="text1"/>
          <w:sz w:val="21"/>
          <w:szCs w:val="21"/>
          <w:lang w:val="es-ES_tradnl"/>
        </w:rPr>
        <w:t>La Sala de Consulta y Servicio Civil</w:t>
      </w:r>
      <w:r w:rsidRPr="00F8515B">
        <w:rPr>
          <w:rStyle w:val="Refdenotaalpie"/>
          <w:rFonts w:ascii="Arial" w:hAnsi="Arial" w:cs="Arial"/>
          <w:color w:val="000000" w:themeColor="text1"/>
          <w:sz w:val="21"/>
          <w:szCs w:val="21"/>
          <w:lang w:val="es-ES_tradnl"/>
        </w:rPr>
        <w:footnoteReference w:id="29"/>
      </w:r>
      <w:r w:rsidRPr="00F8515B">
        <w:rPr>
          <w:rFonts w:ascii="Arial" w:hAnsi="Arial" w:cs="Arial"/>
          <w:color w:val="000000" w:themeColor="text1"/>
          <w:sz w:val="21"/>
          <w:szCs w:val="21"/>
          <w:lang w:val="es-ES_tradnl"/>
        </w:rPr>
        <w:t xml:space="preserve"> de esta Corporación se ha referido a los </w:t>
      </w:r>
      <w:r w:rsidRPr="00F8515B">
        <w:rPr>
          <w:rFonts w:ascii="Arial" w:hAnsi="Arial" w:cs="Arial"/>
          <w:i/>
          <w:color w:val="000000" w:themeColor="text1"/>
          <w:sz w:val="21"/>
          <w:szCs w:val="21"/>
          <w:lang w:val="es-ES_tradnl"/>
        </w:rPr>
        <w:t>“convenios interadministrativos”</w:t>
      </w:r>
      <w:r w:rsidRPr="00F8515B">
        <w:rPr>
          <w:rFonts w:ascii="Arial" w:hAnsi="Arial" w:cs="Arial"/>
          <w:color w:val="000000" w:themeColor="text1"/>
          <w:sz w:val="21"/>
          <w:szCs w:val="21"/>
          <w:lang w:val="es-ES_tradnl"/>
        </w:rPr>
        <w:t xml:space="preserve"> a los cuales alude el artículo 95 de la Ley 489 de 1998, calificándolos de </w:t>
      </w:r>
      <w:r w:rsidRPr="00F8515B">
        <w:rPr>
          <w:rFonts w:ascii="Arial" w:hAnsi="Arial" w:cs="Arial"/>
          <w:i/>
          <w:color w:val="000000" w:themeColor="text1"/>
          <w:sz w:val="21"/>
          <w:szCs w:val="21"/>
          <w:lang w:val="es-ES_tradnl"/>
        </w:rPr>
        <w:t xml:space="preserve">“puros” </w:t>
      </w:r>
      <w:r w:rsidRPr="00F8515B">
        <w:rPr>
          <w:rFonts w:ascii="Arial" w:hAnsi="Arial" w:cs="Arial"/>
          <w:color w:val="000000" w:themeColor="text1"/>
          <w:sz w:val="21"/>
          <w:szCs w:val="21"/>
          <w:lang w:val="es-ES_tradnl"/>
        </w:rPr>
        <w:t xml:space="preserve">y entendiendo que estos, además de perseguir la finalidad de cooperación antes indicada, no implican intereses contrapuestos ni tampoco se circunscriben a un </w:t>
      </w:r>
      <w:r w:rsidRPr="00F8515B">
        <w:rPr>
          <w:rFonts w:ascii="Arial" w:hAnsi="Arial" w:cs="Arial"/>
          <w:i/>
          <w:color w:val="000000" w:themeColor="text1"/>
          <w:sz w:val="21"/>
          <w:szCs w:val="21"/>
          <w:lang w:val="es-ES_tradnl"/>
        </w:rPr>
        <w:t>“intercambio patrimonial”</w:t>
      </w:r>
      <w:r w:rsidRPr="00F8515B">
        <w:rPr>
          <w:rFonts w:ascii="Arial" w:hAnsi="Arial" w:cs="Arial"/>
          <w:color w:val="000000" w:themeColor="text1"/>
          <w:sz w:val="21"/>
          <w:szCs w:val="21"/>
          <w:lang w:val="es-ES_tradnl"/>
        </w:rPr>
        <w:t>. Sin perjuicio de lo anterior, en otra oportunidad, la misma Sala</w:t>
      </w:r>
      <w:r w:rsidRPr="00F8515B">
        <w:rPr>
          <w:rStyle w:val="Refdenotaalpie"/>
          <w:rFonts w:ascii="Arial" w:hAnsi="Arial" w:cs="Arial"/>
          <w:color w:val="000000" w:themeColor="text1"/>
          <w:sz w:val="21"/>
          <w:szCs w:val="21"/>
          <w:lang w:val="es-ES_tradnl"/>
        </w:rPr>
        <w:footnoteReference w:id="30"/>
      </w:r>
      <w:r w:rsidRPr="00F8515B">
        <w:rPr>
          <w:rFonts w:ascii="Arial" w:hAnsi="Arial" w:cs="Arial"/>
          <w:color w:val="000000" w:themeColor="text1"/>
          <w:sz w:val="21"/>
          <w:szCs w:val="21"/>
          <w:lang w:val="es-ES_tradnl"/>
        </w:rPr>
        <w:t xml:space="preserve"> había indicado que, si bien en dichos convenios no se daba un </w:t>
      </w:r>
      <w:r w:rsidRPr="00F8515B">
        <w:rPr>
          <w:rFonts w:ascii="Arial" w:hAnsi="Arial" w:cs="Arial"/>
          <w:i/>
          <w:color w:val="000000" w:themeColor="text1"/>
          <w:sz w:val="21"/>
          <w:szCs w:val="21"/>
          <w:lang w:val="es-ES_tradnl"/>
        </w:rPr>
        <w:t>“verdadero intercambio de bienes o servicios (contrato conmutativo)”</w:t>
      </w:r>
      <w:r w:rsidRPr="00F8515B">
        <w:rPr>
          <w:rFonts w:ascii="Arial" w:hAnsi="Arial" w:cs="Arial"/>
          <w:color w:val="000000" w:themeColor="text1"/>
          <w:sz w:val="21"/>
          <w:szCs w:val="21"/>
          <w:lang w:val="es-ES_tradnl"/>
        </w:rPr>
        <w:t>, ello no impedía que se conviniera una remuneración a cargo de alguna(s) entidad(es).</w:t>
      </w:r>
    </w:p>
    <w:p w14:paraId="5BB92D3F" w14:textId="77777777" w:rsidR="0025237E" w:rsidRPr="00F8515B" w:rsidRDefault="0025237E" w:rsidP="000641BE">
      <w:pPr>
        <w:pStyle w:val="Textoindependiente"/>
        <w:spacing w:after="0" w:line="240" w:lineRule="auto"/>
        <w:ind w:left="709" w:right="709"/>
        <w:rPr>
          <w:color w:val="000000" w:themeColor="text1"/>
          <w:sz w:val="21"/>
          <w:szCs w:val="21"/>
          <w:lang w:val="es-ES_tradnl"/>
        </w:rPr>
      </w:pPr>
      <w:r w:rsidRPr="00F8515B">
        <w:rPr>
          <w:color w:val="000000" w:themeColor="text1"/>
          <w:sz w:val="21"/>
          <w:szCs w:val="21"/>
          <w:lang w:val="es-ES_tradnl"/>
        </w:rPr>
        <w:t xml:space="preserve">Lo expuesto evidencia que, en general, las interpretaciones en torno a los </w:t>
      </w:r>
      <w:r w:rsidRPr="00F8515B">
        <w:rPr>
          <w:i/>
          <w:color w:val="000000" w:themeColor="text1"/>
          <w:sz w:val="21"/>
          <w:szCs w:val="21"/>
          <w:lang w:val="es-ES_tradnl"/>
        </w:rPr>
        <w:t>“convenios interadministrativos”</w:t>
      </w:r>
      <w:r w:rsidRPr="00F8515B">
        <w:rPr>
          <w:color w:val="000000" w:themeColor="text1"/>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F8515B">
        <w:rPr>
          <w:rStyle w:val="Refdenotaalpie"/>
          <w:color w:val="000000" w:themeColor="text1"/>
          <w:sz w:val="21"/>
          <w:szCs w:val="21"/>
          <w:lang w:val="es-ES_tradnl"/>
        </w:rPr>
        <w:footnoteReference w:id="31"/>
      </w:r>
      <w:r w:rsidRPr="00F8515B">
        <w:rPr>
          <w:rStyle w:val="Refdenotaalpie"/>
          <w:color w:val="000000" w:themeColor="text1"/>
          <w:sz w:val="21"/>
          <w:szCs w:val="21"/>
          <w:lang w:val="es-ES_tradnl"/>
        </w:rPr>
        <w:footnoteReference w:id="32"/>
      </w:r>
      <w:r w:rsidRPr="00F8515B">
        <w:rPr>
          <w:color w:val="000000" w:themeColor="text1"/>
          <w:sz w:val="21"/>
          <w:szCs w:val="21"/>
          <w:lang w:val="es-ES_tradnl"/>
        </w:rPr>
        <w:t>.</w:t>
      </w:r>
    </w:p>
    <w:p w14:paraId="6A09A213" w14:textId="77777777" w:rsidR="0025237E" w:rsidRPr="00F8515B" w:rsidRDefault="0025237E" w:rsidP="00E7700C">
      <w:pPr>
        <w:pStyle w:val="Textoindependiente"/>
        <w:spacing w:after="0"/>
        <w:rPr>
          <w:color w:val="000000" w:themeColor="text1"/>
          <w:lang w:val="es-ES_tradnl"/>
        </w:rPr>
      </w:pPr>
    </w:p>
    <w:p w14:paraId="0E9BAB17" w14:textId="77209D55" w:rsidR="0025237E" w:rsidRPr="00F8515B" w:rsidRDefault="0025237E" w:rsidP="00E7700C">
      <w:pPr>
        <w:pStyle w:val="Textoindependiente"/>
        <w:spacing w:after="120"/>
        <w:rPr>
          <w:color w:val="000000" w:themeColor="text1"/>
          <w:lang w:val="es-ES_tradnl"/>
        </w:rPr>
      </w:pPr>
      <w:r w:rsidRPr="00F8515B">
        <w:rPr>
          <w:color w:val="000000" w:themeColor="text1"/>
          <w:lang w:val="es-ES_tradnl"/>
        </w:rPr>
        <w:tab/>
        <w:t>Sin perjuicio de lo indicado, vale la pena reiterar que el legislador y el ordenamiento jurídico, en general, en distintas ocasiones</w:t>
      </w:r>
      <w:r w:rsidR="003A1877" w:rsidRPr="00F8515B">
        <w:rPr>
          <w:color w:val="000000" w:themeColor="text1"/>
          <w:lang w:val="es-ES_tradnl"/>
        </w:rPr>
        <w:t>,</w:t>
      </w:r>
      <w:r w:rsidRPr="00F8515B">
        <w:rPr>
          <w:color w:val="000000" w:themeColor="text1"/>
          <w:lang w:val="es-ES_tradnl"/>
        </w:rPr>
        <w:t xml:space="preserve"> utiliza de forma indistinta </w:t>
      </w:r>
      <w:r w:rsidRPr="00F8515B">
        <w:rPr>
          <w:color w:val="000000" w:themeColor="text1"/>
          <w:lang w:val="es-ES_tradnl"/>
        </w:rPr>
        <w:lastRenderedPageBreak/>
        <w:t>los conceptos de contrato o convenio para referirse a la misma institución jurídica</w:t>
      </w:r>
      <w:r w:rsidRPr="00F8515B">
        <w:rPr>
          <w:rStyle w:val="Refdenotaalpie"/>
          <w:color w:val="000000" w:themeColor="text1"/>
          <w:lang w:val="es-ES_tradnl"/>
        </w:rPr>
        <w:footnoteReference w:id="33"/>
      </w:r>
      <w:r w:rsidRPr="00F8515B">
        <w:rPr>
          <w:color w:val="000000" w:themeColor="text1"/>
          <w:lang w:val="es-ES_tradnl"/>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F8515B">
        <w:rPr>
          <w:rStyle w:val="Refdenotaalpie"/>
          <w:color w:val="000000" w:themeColor="text1"/>
          <w:lang w:val="es-ES_tradnl"/>
        </w:rPr>
        <w:footnoteReference w:id="34"/>
      </w:r>
      <w:r w:rsidRPr="00F8515B">
        <w:rPr>
          <w:color w:val="000000" w:themeColor="text1"/>
          <w:lang w:val="es-ES_tradnl"/>
        </w:rPr>
        <w:t>.</w:t>
      </w:r>
    </w:p>
    <w:p w14:paraId="04FF5252" w14:textId="77777777" w:rsidR="0025237E" w:rsidRPr="00F8515B" w:rsidRDefault="0025237E" w:rsidP="00E7700C">
      <w:pPr>
        <w:pStyle w:val="Textoindependiente"/>
        <w:spacing w:after="0"/>
        <w:rPr>
          <w:color w:val="000000" w:themeColor="text1"/>
          <w:lang w:val="es-ES_tradnl"/>
        </w:rPr>
      </w:pPr>
      <w:r w:rsidRPr="00F8515B">
        <w:rPr>
          <w:color w:val="000000" w:themeColor="text1"/>
          <w:lang w:val="es-ES_tradnl"/>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205D9C5" w14:textId="77777777" w:rsidR="0025237E" w:rsidRPr="00F8515B" w:rsidRDefault="0025237E" w:rsidP="00E7700C">
      <w:pPr>
        <w:pStyle w:val="Textoindependiente"/>
        <w:spacing w:after="0"/>
        <w:rPr>
          <w:color w:val="000000" w:themeColor="text1"/>
          <w:lang w:val="es-ES_tradnl"/>
        </w:rPr>
      </w:pPr>
    </w:p>
    <w:p w14:paraId="66276042" w14:textId="6F634BDC" w:rsidR="0025237E" w:rsidRPr="00F8515B" w:rsidRDefault="0025237E" w:rsidP="000641BE">
      <w:pPr>
        <w:spacing w:after="120" w:line="240" w:lineRule="auto"/>
        <w:ind w:left="709" w:right="709"/>
        <w:rPr>
          <w:rFonts w:ascii="Arial" w:hAnsi="Arial" w:cs="Arial"/>
          <w:color w:val="000000" w:themeColor="text1"/>
          <w:sz w:val="21"/>
          <w:szCs w:val="21"/>
          <w:lang w:val="es-ES_tradnl"/>
        </w:rPr>
      </w:pPr>
      <w:r w:rsidRPr="00F8515B">
        <w:rPr>
          <w:rFonts w:ascii="Arial" w:hAnsi="Arial" w:cs="Arial"/>
          <w:color w:val="000000" w:themeColor="text1"/>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9E8255B" w14:textId="4F62218B" w:rsidR="0025237E" w:rsidRPr="00F8515B" w:rsidRDefault="0025237E" w:rsidP="000641BE">
      <w:pPr>
        <w:spacing w:after="120" w:line="240" w:lineRule="auto"/>
        <w:ind w:left="709" w:right="709"/>
        <w:rPr>
          <w:rFonts w:ascii="Arial" w:hAnsi="Arial" w:cs="Arial"/>
          <w:color w:val="000000" w:themeColor="text1"/>
          <w:sz w:val="21"/>
          <w:szCs w:val="21"/>
          <w:lang w:val="es-ES_tradnl"/>
        </w:rPr>
      </w:pPr>
      <w:r w:rsidRPr="00F8515B">
        <w:rPr>
          <w:rFonts w:ascii="Arial" w:hAnsi="Arial" w:cs="Arial"/>
          <w:color w:val="000000" w:themeColor="text1"/>
          <w:sz w:val="21"/>
          <w:szCs w:val="21"/>
          <w:lang w:val="es-ES_tradnl"/>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w:t>
      </w:r>
      <w:r w:rsidRPr="00F8515B">
        <w:rPr>
          <w:rFonts w:ascii="Arial" w:hAnsi="Arial" w:cs="Arial"/>
          <w:color w:val="000000" w:themeColor="text1"/>
          <w:sz w:val="21"/>
          <w:szCs w:val="21"/>
          <w:lang w:val="es-ES_tradnl"/>
        </w:rPr>
        <w:lastRenderedPageBreak/>
        <w:t>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9EDECDA" w14:textId="77777777" w:rsidR="0025237E" w:rsidRPr="00F8515B" w:rsidRDefault="0025237E" w:rsidP="000641BE">
      <w:pPr>
        <w:spacing w:after="0" w:line="240" w:lineRule="auto"/>
        <w:ind w:left="709" w:right="709"/>
        <w:rPr>
          <w:color w:val="000000" w:themeColor="text1"/>
          <w:lang w:val="es-ES_tradnl"/>
        </w:rPr>
      </w:pPr>
      <w:r w:rsidRPr="00F8515B">
        <w:rPr>
          <w:rFonts w:ascii="Arial" w:hAnsi="Arial" w:cs="Arial"/>
          <w:color w:val="000000" w:themeColor="text1"/>
          <w:sz w:val="21"/>
          <w:szCs w:val="21"/>
          <w:lang w:val="es-ES_tradnl"/>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7A42409" w14:textId="77777777" w:rsidR="0025237E" w:rsidRPr="00F8515B" w:rsidRDefault="0025237E" w:rsidP="00E7700C">
      <w:pPr>
        <w:pStyle w:val="Textoindependiente"/>
        <w:spacing w:before="3" w:after="0"/>
        <w:rPr>
          <w:color w:val="000000" w:themeColor="text1"/>
          <w:lang w:val="es-ES_tradnl"/>
        </w:rPr>
      </w:pPr>
    </w:p>
    <w:p w14:paraId="4F0759FD" w14:textId="4E363968" w:rsidR="0025237E" w:rsidRPr="00F8515B" w:rsidRDefault="0025237E" w:rsidP="00E7700C">
      <w:pPr>
        <w:pStyle w:val="Textoindependiente"/>
        <w:spacing w:after="120"/>
        <w:rPr>
          <w:rFonts w:eastAsia="Calibri"/>
          <w:bCs/>
          <w:color w:val="000000" w:themeColor="text1"/>
          <w:lang w:val="es-ES_tradnl"/>
        </w:rPr>
      </w:pPr>
      <w:r w:rsidRPr="00F8515B">
        <w:rPr>
          <w:color w:val="000000" w:themeColor="text1"/>
          <w:sz w:val="25"/>
          <w:lang w:val="es-ES_tradnl"/>
        </w:rPr>
        <w:tab/>
      </w:r>
      <w:r w:rsidRPr="00F8515B">
        <w:rPr>
          <w:color w:val="000000" w:themeColor="text1"/>
          <w:lang w:val="es-ES_tradnl"/>
        </w:rPr>
        <w:t xml:space="preserve">Teniendo en cuenta lo </w:t>
      </w:r>
      <w:r w:rsidR="00BD563D" w:rsidRPr="00F8515B">
        <w:rPr>
          <w:color w:val="000000" w:themeColor="text1"/>
          <w:lang w:val="es-ES_tradnl"/>
        </w:rPr>
        <w:t>que acaba de explicarse</w:t>
      </w:r>
      <w:r w:rsidRPr="00F8515B">
        <w:rPr>
          <w:color w:val="000000" w:themeColor="text1"/>
          <w:lang w:val="es-ES_tradnl"/>
        </w:rPr>
        <w:t>,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5"/>
    </w:p>
    <w:p w14:paraId="68142E40" w14:textId="1E436096" w:rsidR="0025237E" w:rsidRPr="00F8515B" w:rsidRDefault="0025237E" w:rsidP="00E7700C">
      <w:pPr>
        <w:tabs>
          <w:tab w:val="left" w:pos="426"/>
        </w:tabs>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proofErr w:type="spellStart"/>
      <w:r w:rsidRPr="00F8515B">
        <w:rPr>
          <w:rFonts w:ascii="Arial" w:eastAsia="Times New Roman" w:hAnsi="Arial" w:cs="Arial"/>
          <w:bCs/>
          <w:i/>
          <w:iCs/>
          <w:color w:val="000000" w:themeColor="text1"/>
          <w:sz w:val="22"/>
          <w:lang w:val="es-ES_tradnl" w:eastAsia="es-CO"/>
        </w:rPr>
        <w:t>ibidem</w:t>
      </w:r>
      <w:proofErr w:type="spellEnd"/>
      <w:r w:rsidRPr="00F8515B">
        <w:rPr>
          <w:rFonts w:ascii="Arial" w:eastAsia="Times New Roman" w:hAnsi="Arial" w:cs="Arial"/>
          <w:bCs/>
          <w:color w:val="000000" w:themeColor="text1"/>
          <w:sz w:val="22"/>
          <w:lang w:val="es-ES_tradnl" w:eastAsia="es-CO"/>
        </w:rPr>
        <w:t xml:space="preserve">, no podrá celebrar tales convenios o contratos durante la aplicación de la ley de garantías, toda vez que la citada disposición hace referencia </w:t>
      </w:r>
      <w:r w:rsidRPr="00F8515B">
        <w:rPr>
          <w:rFonts w:ascii="Arial" w:eastAsia="Times New Roman" w:hAnsi="Arial" w:cs="Arial"/>
          <w:bCs/>
          <w:color w:val="000000" w:themeColor="text1"/>
          <w:sz w:val="22"/>
          <w:lang w:val="es-ES_tradnl" w:eastAsia="es-CO"/>
        </w:rPr>
        <w:lastRenderedPageBreak/>
        <w:t>a dicha tipología contractual sin que el legislador hubiere contemplado excepción alguna frente a la modalidad de selección o naturaleza de su objeto</w:t>
      </w:r>
      <w:r w:rsidR="00377BF5" w:rsidRPr="00F8515B">
        <w:rPr>
          <w:rStyle w:val="Refdenotaalpie"/>
          <w:rFonts w:ascii="Arial" w:hAnsi="Arial" w:cs="Arial"/>
          <w:bCs/>
          <w:color w:val="000000" w:themeColor="text1"/>
          <w:sz w:val="22"/>
          <w:lang w:val="es-ES_tradnl" w:eastAsia="es-CO"/>
        </w:rPr>
        <w:footnoteReference w:id="35"/>
      </w:r>
      <w:r w:rsidRPr="00F8515B">
        <w:rPr>
          <w:rFonts w:ascii="Arial" w:eastAsia="Times New Roman" w:hAnsi="Arial" w:cs="Arial"/>
          <w:bCs/>
          <w:color w:val="000000" w:themeColor="text1"/>
          <w:sz w:val="22"/>
          <w:lang w:val="es-ES_tradnl" w:eastAsia="es-CO"/>
        </w:rPr>
        <w:t xml:space="preserve">. </w:t>
      </w:r>
    </w:p>
    <w:p w14:paraId="484999BB" w14:textId="2CB933B0" w:rsidR="006652E9" w:rsidRPr="00F8515B" w:rsidRDefault="0025237E" w:rsidP="00947EF5">
      <w:pPr>
        <w:pStyle w:val="Textoindependiente"/>
        <w:spacing w:after="0"/>
        <w:ind w:firstLine="709"/>
        <w:rPr>
          <w:rFonts w:eastAsia="Calibri"/>
          <w:color w:val="000000" w:themeColor="text1"/>
          <w:lang w:val="es-ES_tradnl"/>
        </w:rPr>
      </w:pPr>
      <w:r w:rsidRPr="00F8515B">
        <w:rPr>
          <w:rFonts w:eastAsia="Times New Roman"/>
          <w:bCs/>
          <w:color w:val="000000" w:themeColor="text1"/>
          <w:lang w:val="es-ES_tradnl" w:eastAsia="es-CO"/>
        </w:rPr>
        <w:t>En todo caso</w:t>
      </w:r>
      <w:bookmarkStart w:id="56" w:name="_Hlk77154098"/>
      <w:r w:rsidRPr="00F8515B">
        <w:rPr>
          <w:color w:val="000000" w:themeColor="text1"/>
          <w:lang w:val="es-ES_tradnl"/>
        </w:rPr>
        <w:t xml:space="preserve">, es importante resaltar que la Sala de Consulta y Servicio Civil del Consejo de Estado se ha pronunciado en el sentido de que </w:t>
      </w:r>
      <w:bookmarkStart w:id="57" w:name="_Hlk78820889"/>
      <w:r w:rsidRPr="00F8515B">
        <w:rPr>
          <w:color w:val="000000" w:themeColor="text1"/>
          <w:lang w:val="es-ES_tradnl"/>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7"/>
      <w:r w:rsidRPr="00F8515B">
        <w:rPr>
          <w:rStyle w:val="Refdenotaalpie"/>
          <w:color w:val="000000" w:themeColor="text1"/>
          <w:lang w:val="es-ES_tradnl"/>
        </w:rPr>
        <w:footnoteReference w:id="36"/>
      </w:r>
      <w:r w:rsidRPr="00F8515B">
        <w:rPr>
          <w:rFonts w:eastAsia="Calibri"/>
          <w:color w:val="000000" w:themeColor="text1"/>
          <w:lang w:val="es-ES_tradnl"/>
        </w:rPr>
        <w:t>.</w:t>
      </w:r>
      <w:bookmarkEnd w:id="56"/>
    </w:p>
    <w:p w14:paraId="768FF2E9" w14:textId="77777777" w:rsidR="006652E9" w:rsidRPr="00F8515B" w:rsidRDefault="006652E9" w:rsidP="00947EF5">
      <w:pPr>
        <w:pStyle w:val="Textoindependiente"/>
        <w:spacing w:after="0"/>
        <w:ind w:firstLine="709"/>
        <w:rPr>
          <w:rFonts w:eastAsia="Times New Roman"/>
          <w:bCs/>
          <w:iCs/>
          <w:color w:val="000000" w:themeColor="text1"/>
          <w:lang w:val="es-ES_tradnl" w:eastAsia="x-none"/>
        </w:rPr>
      </w:pPr>
    </w:p>
    <w:bookmarkEnd w:id="49"/>
    <w:p w14:paraId="398143EA" w14:textId="3F09F142" w:rsidR="007B234F" w:rsidRPr="00F8515B" w:rsidRDefault="0015784C" w:rsidP="00947EF5">
      <w:pPr>
        <w:shd w:val="clear" w:color="auto" w:fill="FFFFFF"/>
        <w:spacing w:after="0"/>
        <w:rPr>
          <w:rFonts w:ascii="Arial" w:eastAsia="Times New Roman" w:hAnsi="Arial" w:cs="Arial"/>
          <w:color w:val="000000" w:themeColor="text1"/>
          <w:sz w:val="22"/>
          <w:lang w:val="es-ES_tradnl" w:eastAsia="es-CO"/>
        </w:rPr>
      </w:pPr>
      <w:r w:rsidRPr="00F8515B">
        <w:rPr>
          <w:rFonts w:ascii="Arial" w:eastAsia="Times New Roman" w:hAnsi="Arial" w:cs="Arial"/>
          <w:b/>
          <w:bCs/>
          <w:color w:val="000000" w:themeColor="text1"/>
          <w:sz w:val="22"/>
          <w:lang w:val="es-ES_tradnl" w:eastAsia="es-CO"/>
        </w:rPr>
        <w:t>2.5.</w:t>
      </w:r>
      <w:r w:rsidR="00947EF5" w:rsidRPr="00F8515B">
        <w:rPr>
          <w:rFonts w:ascii="Arial" w:eastAsia="Times New Roman" w:hAnsi="Arial" w:cs="Arial"/>
          <w:color w:val="000000" w:themeColor="text1"/>
          <w:sz w:val="22"/>
          <w:lang w:val="es-ES_tradnl" w:eastAsia="es-CO"/>
        </w:rPr>
        <w:t xml:space="preserve"> </w:t>
      </w:r>
      <w:r w:rsidR="001B38FB" w:rsidRPr="00F8515B">
        <w:rPr>
          <w:rFonts w:ascii="Arial" w:eastAsia="Times New Roman" w:hAnsi="Arial" w:cs="Arial"/>
          <w:b/>
          <w:bCs/>
          <w:color w:val="000000" w:themeColor="text1"/>
          <w:sz w:val="22"/>
          <w:lang w:val="es-ES_tradnl" w:eastAsia="es-CO"/>
        </w:rPr>
        <w:t>M</w:t>
      </w:r>
      <w:r w:rsidR="007B234F" w:rsidRPr="00F8515B">
        <w:rPr>
          <w:rFonts w:ascii="Arial" w:eastAsia="Times New Roman" w:hAnsi="Arial" w:cs="Arial"/>
          <w:b/>
          <w:bCs/>
          <w:color w:val="000000" w:themeColor="text1"/>
          <w:sz w:val="22"/>
          <w:lang w:val="es-ES_tradnl" w:eastAsia="es-CO"/>
        </w:rPr>
        <w:t>odificaciones realizadas por la Ley Anual del Presupuesto para la vigencia fiscal de 2022 a la Ley de Garantías Electorales</w:t>
      </w:r>
      <w:r w:rsidR="007B234F" w:rsidRPr="00F8515B">
        <w:rPr>
          <w:rFonts w:ascii="Arial" w:eastAsia="Times New Roman" w:hAnsi="Arial" w:cs="Arial"/>
          <w:color w:val="000000" w:themeColor="text1"/>
          <w:sz w:val="22"/>
          <w:lang w:val="es-ES_tradnl" w:eastAsia="es-CO"/>
        </w:rPr>
        <w:t xml:space="preserve"> </w:t>
      </w:r>
    </w:p>
    <w:p w14:paraId="2F173C3B" w14:textId="77777777" w:rsidR="007B234F" w:rsidRPr="00F8515B" w:rsidRDefault="007B234F" w:rsidP="00947EF5">
      <w:pPr>
        <w:shd w:val="clear" w:color="auto" w:fill="FFFFFF"/>
        <w:spacing w:after="0"/>
        <w:rPr>
          <w:rFonts w:ascii="Arial" w:eastAsia="Times New Roman" w:hAnsi="Arial" w:cs="Arial"/>
          <w:color w:val="000000" w:themeColor="text1"/>
          <w:sz w:val="22"/>
          <w:lang w:val="es-ES_tradnl" w:eastAsia="es-CO"/>
        </w:rPr>
      </w:pPr>
    </w:p>
    <w:p w14:paraId="67928DA1" w14:textId="36D4EBFD" w:rsidR="007B234F" w:rsidRPr="00F8515B" w:rsidRDefault="007B234F" w:rsidP="007B234F">
      <w:pPr>
        <w:shd w:val="clear" w:color="auto" w:fill="FFFFFF"/>
        <w:spacing w:after="0"/>
        <w:rPr>
          <w:rFonts w:ascii="Arial" w:eastAsia="Times New Roman" w:hAnsi="Arial" w:cs="Arial"/>
          <w:color w:val="000000" w:themeColor="text1"/>
          <w:sz w:val="22"/>
          <w:lang w:val="es-ES_tradnl" w:eastAsia="es-CO"/>
        </w:rPr>
      </w:pPr>
      <w:bookmarkStart w:id="58" w:name="_Hlk88824711"/>
      <w:r w:rsidRPr="00F8515B">
        <w:rPr>
          <w:rFonts w:ascii="Arial" w:eastAsia="Times New Roman" w:hAnsi="Arial" w:cs="Arial"/>
          <w:color w:val="000000" w:themeColor="text1"/>
          <w:sz w:val="22"/>
          <w:lang w:val="es-ES_tradnl" w:eastAsia="es-CO"/>
        </w:rPr>
        <w:t xml:space="preserve">El 12 de noviembre de 2021 el </w:t>
      </w:r>
      <w:proofErr w:type="gramStart"/>
      <w:r w:rsidRPr="00F8515B">
        <w:rPr>
          <w:rFonts w:ascii="Arial" w:eastAsia="Times New Roman" w:hAnsi="Arial" w:cs="Arial"/>
          <w:color w:val="000000" w:themeColor="text1"/>
          <w:sz w:val="22"/>
          <w:lang w:val="es-ES_tradnl" w:eastAsia="es-CO"/>
        </w:rPr>
        <w:t>Presidente</w:t>
      </w:r>
      <w:proofErr w:type="gramEnd"/>
      <w:r w:rsidRPr="00F8515B">
        <w:rPr>
          <w:rFonts w:ascii="Arial" w:eastAsia="Times New Roman" w:hAnsi="Arial" w:cs="Arial"/>
          <w:color w:val="000000" w:themeColor="text1"/>
          <w:sz w:val="22"/>
          <w:lang w:val="es-ES_tradnl" w:eastAsia="es-CO"/>
        </w:rPr>
        <w:t xml:space="preserve"> de la República sancionó la Ley 2159</w:t>
      </w:r>
      <w:r w:rsidRPr="00F8515B">
        <w:rPr>
          <w:rStyle w:val="Refdenotaalpie"/>
          <w:rFonts w:ascii="Arial" w:eastAsia="Times New Roman" w:hAnsi="Arial" w:cs="Arial"/>
          <w:color w:val="000000" w:themeColor="text1"/>
          <w:sz w:val="22"/>
          <w:lang w:val="es-ES_tradnl" w:eastAsia="es-CO"/>
        </w:rPr>
        <w:footnoteReference w:id="37"/>
      </w:r>
      <w:r w:rsidRPr="00F8515B">
        <w:rPr>
          <w:rFonts w:ascii="Arial" w:eastAsia="Times New Roman" w:hAnsi="Arial" w:cs="Arial"/>
          <w:color w:val="000000" w:themeColor="text1"/>
          <w:sz w:val="22"/>
          <w:lang w:val="es-ES_tradnl" w:eastAsia="es-CO"/>
        </w:rPr>
        <w:t xml:space="preserve">,  por la cual se decreta el presupuesto de rentas y recursos de capital y ley de apropiaciones para la vigencia fiscal del 1 de enero al 31 de diciembre de 2022 </w:t>
      </w:r>
      <w:r w:rsidR="00E04A00" w:rsidRPr="00F8515B">
        <w:rPr>
          <w:rFonts w:ascii="Arial" w:eastAsia="Times New Roman" w:hAnsi="Arial" w:cs="Arial"/>
          <w:color w:val="000000" w:themeColor="text1"/>
          <w:sz w:val="22"/>
          <w:lang w:val="es-ES_tradnl" w:eastAsia="es-CO"/>
        </w:rPr>
        <w:t>–</w:t>
      </w:r>
      <w:r w:rsidRPr="00F8515B">
        <w:rPr>
          <w:rFonts w:ascii="Arial" w:eastAsia="Times New Roman" w:hAnsi="Arial" w:cs="Arial"/>
          <w:color w:val="000000" w:themeColor="text1"/>
          <w:sz w:val="22"/>
          <w:lang w:val="es-ES_tradnl" w:eastAsia="es-CO"/>
        </w:rPr>
        <w:t>Ley Anual del Presupuesto</w:t>
      </w:r>
      <w:bookmarkEnd w:id="58"/>
      <w:r w:rsidR="00E04A00" w:rsidRPr="00F8515B">
        <w:rPr>
          <w:rFonts w:ascii="Arial" w:eastAsia="Times New Roman" w:hAnsi="Arial" w:cs="Arial"/>
          <w:color w:val="000000" w:themeColor="text1"/>
          <w:sz w:val="22"/>
          <w:lang w:val="es-ES_tradnl" w:eastAsia="es-CO"/>
        </w:rPr>
        <w:t>–</w:t>
      </w:r>
      <w:r w:rsidRPr="00F8515B">
        <w:rPr>
          <w:rStyle w:val="Refdenotaalpie"/>
          <w:rFonts w:ascii="Arial" w:eastAsia="Times New Roman" w:hAnsi="Arial" w:cs="Arial"/>
          <w:color w:val="000000" w:themeColor="text1"/>
          <w:sz w:val="22"/>
          <w:lang w:val="es-ES_tradnl" w:eastAsia="es-CO"/>
        </w:rPr>
        <w:footnoteReference w:id="38"/>
      </w:r>
      <w:r w:rsidRPr="00F8515B">
        <w:rPr>
          <w:rFonts w:ascii="Arial" w:eastAsia="Times New Roman" w:hAnsi="Arial" w:cs="Arial"/>
          <w:color w:val="000000" w:themeColor="text1"/>
          <w:sz w:val="22"/>
          <w:lang w:val="es-ES_tradnl" w:eastAsia="es-CO"/>
        </w:rPr>
        <w:t>.</w:t>
      </w:r>
      <w:r w:rsidR="007C0A36" w:rsidRPr="00F8515B">
        <w:rPr>
          <w:rFonts w:ascii="Arial" w:eastAsia="Times New Roman" w:hAnsi="Arial" w:cs="Arial"/>
          <w:color w:val="000000" w:themeColor="text1"/>
          <w:sz w:val="22"/>
          <w:lang w:val="es-ES_tradnl" w:eastAsia="es-CO"/>
        </w:rPr>
        <w:t xml:space="preserve"> En</w:t>
      </w:r>
      <w:r w:rsidRPr="00F8515B">
        <w:rPr>
          <w:rFonts w:ascii="Arial" w:eastAsia="Times New Roman" w:hAnsi="Arial" w:cs="Arial"/>
          <w:color w:val="000000" w:themeColor="text1"/>
          <w:sz w:val="22"/>
          <w:lang w:val="es-ES_tradnl" w:eastAsia="es-CO"/>
        </w:rPr>
        <w:t xml:space="preserve"> el Capítulo V sobre «disposiciones varias» contenido en la Tercera Parte, «Disposiciones Generales», se destaca la inclusión del artículo 124</w:t>
      </w:r>
      <w:r w:rsidR="00DA28E9" w:rsidRPr="00F8515B">
        <w:rPr>
          <w:rFonts w:ascii="Arial" w:eastAsia="Times New Roman" w:hAnsi="Arial" w:cs="Arial"/>
          <w:color w:val="000000" w:themeColor="text1"/>
          <w:sz w:val="22"/>
          <w:lang w:val="es-ES_tradnl" w:eastAsia="es-CO"/>
        </w:rPr>
        <w:t>. Esta norma dispone lo siguiente</w:t>
      </w:r>
      <w:r w:rsidRPr="00F8515B">
        <w:rPr>
          <w:rFonts w:ascii="Arial" w:eastAsia="Times New Roman" w:hAnsi="Arial" w:cs="Arial"/>
          <w:color w:val="000000" w:themeColor="text1"/>
          <w:sz w:val="22"/>
          <w:lang w:val="es-ES_tradnl" w:eastAsia="es-CO"/>
        </w:rPr>
        <w:t xml:space="preserve">: </w:t>
      </w:r>
    </w:p>
    <w:p w14:paraId="7C50472E" w14:textId="77777777" w:rsidR="007B234F" w:rsidRPr="00F8515B" w:rsidRDefault="007B234F" w:rsidP="007B234F">
      <w:pPr>
        <w:shd w:val="clear" w:color="auto" w:fill="FFFFFF"/>
        <w:spacing w:after="0"/>
        <w:rPr>
          <w:rFonts w:ascii="Arial" w:eastAsia="Times New Roman" w:hAnsi="Arial" w:cs="Arial"/>
          <w:color w:val="000000" w:themeColor="text1"/>
          <w:sz w:val="22"/>
          <w:lang w:val="es-ES_tradnl" w:eastAsia="es-CO"/>
        </w:rPr>
      </w:pPr>
    </w:p>
    <w:p w14:paraId="3D417AEE" w14:textId="157EC620" w:rsidR="007B234F" w:rsidRPr="00F8515B" w:rsidRDefault="007B234F" w:rsidP="000641BE">
      <w:pPr>
        <w:shd w:val="clear" w:color="auto" w:fill="FFFFFF"/>
        <w:spacing w:after="120" w:line="240" w:lineRule="auto"/>
        <w:ind w:left="709" w:right="567"/>
        <w:rPr>
          <w:rFonts w:ascii="Arial" w:eastAsia="Times New Roman" w:hAnsi="Arial" w:cs="Arial"/>
          <w:color w:val="000000" w:themeColor="text1"/>
          <w:sz w:val="21"/>
          <w:szCs w:val="21"/>
          <w:lang w:val="es-ES_tradnl" w:eastAsia="es-CO"/>
        </w:rPr>
      </w:pPr>
      <w:r w:rsidRPr="00F8515B">
        <w:rPr>
          <w:rFonts w:ascii="Arial" w:eastAsia="Times New Roman" w:hAnsi="Arial" w:cs="Arial"/>
          <w:color w:val="000000" w:themeColor="text1"/>
          <w:sz w:val="21"/>
          <w:szCs w:val="21"/>
          <w:lang w:val="es-ES_tradnl"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21BA5CF4" w14:textId="3B837259" w:rsidR="007B234F" w:rsidRPr="00F8515B" w:rsidRDefault="007B234F" w:rsidP="000641BE">
      <w:pPr>
        <w:shd w:val="clear" w:color="auto" w:fill="FFFFFF"/>
        <w:spacing w:after="120" w:line="240" w:lineRule="auto"/>
        <w:ind w:left="709" w:right="567"/>
        <w:rPr>
          <w:rFonts w:ascii="Arial" w:eastAsia="Times New Roman" w:hAnsi="Arial" w:cs="Arial"/>
          <w:color w:val="000000" w:themeColor="text1"/>
          <w:sz w:val="21"/>
          <w:szCs w:val="21"/>
          <w:lang w:val="es-ES_tradnl" w:eastAsia="es-CO"/>
        </w:rPr>
      </w:pPr>
      <w:r w:rsidRPr="00F8515B">
        <w:rPr>
          <w:rFonts w:ascii="Arial" w:eastAsia="Times New Roman" w:hAnsi="Arial" w:cs="Arial"/>
          <w:color w:val="000000" w:themeColor="text1"/>
          <w:sz w:val="21"/>
          <w:szCs w:val="21"/>
          <w:lang w:val="es-ES_tradnl" w:eastAsia="es-CO"/>
        </w:rPr>
        <w:t xml:space="preserve">La presente disposición modifica únicamente en la parte pertinente el inciso primero del parágrafo del artículo 38 de la Ley 996 de 2005. </w:t>
      </w:r>
    </w:p>
    <w:p w14:paraId="058CBC2F" w14:textId="3CC68711" w:rsidR="007B234F" w:rsidRPr="00F8515B" w:rsidRDefault="007B234F" w:rsidP="000641BE">
      <w:pPr>
        <w:shd w:val="clear" w:color="auto" w:fill="FFFFFF"/>
        <w:spacing w:after="0" w:line="240" w:lineRule="auto"/>
        <w:ind w:left="708" w:right="567"/>
        <w:rPr>
          <w:rFonts w:ascii="Arial" w:eastAsia="Times New Roman" w:hAnsi="Arial" w:cs="Arial"/>
          <w:color w:val="000000" w:themeColor="text1"/>
          <w:sz w:val="22"/>
          <w:lang w:val="es-ES_tradnl" w:eastAsia="es-CO"/>
        </w:rPr>
      </w:pPr>
      <w:r w:rsidRPr="00F8515B">
        <w:rPr>
          <w:rFonts w:ascii="Arial" w:eastAsia="Times New Roman" w:hAnsi="Arial" w:cs="Arial"/>
          <w:color w:val="000000" w:themeColor="text1"/>
          <w:sz w:val="21"/>
          <w:szCs w:val="21"/>
          <w:lang w:val="es-ES_tradnl" w:eastAsia="es-CO"/>
        </w:rPr>
        <w:lastRenderedPageBreak/>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0EBEEBA1" w14:textId="6F64A162" w:rsidR="007B234F" w:rsidRPr="00F8515B" w:rsidRDefault="007B234F" w:rsidP="00E04A00">
      <w:pPr>
        <w:overflowPunct w:val="0"/>
        <w:autoSpaceDE w:val="0"/>
        <w:autoSpaceDN w:val="0"/>
        <w:adjustRightInd w:val="0"/>
        <w:spacing w:after="0"/>
        <w:textAlignment w:val="baseline"/>
        <w:rPr>
          <w:rFonts w:ascii="Arial" w:hAnsi="Arial" w:cs="Arial"/>
          <w:color w:val="000000" w:themeColor="text1"/>
          <w:sz w:val="22"/>
          <w:lang w:val="es-ES_tradnl" w:eastAsia="es-ES"/>
        </w:rPr>
      </w:pPr>
    </w:p>
    <w:p w14:paraId="1CD82412" w14:textId="11B6882F" w:rsidR="007B234F" w:rsidRPr="00F8515B" w:rsidRDefault="00E04A00" w:rsidP="000641BE">
      <w:pPr>
        <w:shd w:val="clear" w:color="auto" w:fill="FFFFFF"/>
        <w:spacing w:after="120"/>
        <w:rPr>
          <w:rFonts w:ascii="Arial" w:eastAsia="Times New Roman" w:hAnsi="Arial" w:cs="Arial"/>
          <w:color w:val="000000" w:themeColor="text1"/>
          <w:sz w:val="22"/>
          <w:lang w:val="es-ES_tradnl" w:eastAsia="es-CO"/>
        </w:rPr>
      </w:pPr>
      <w:r w:rsidRPr="00F8515B">
        <w:rPr>
          <w:rFonts w:ascii="Arial" w:hAnsi="Arial" w:cs="Arial"/>
          <w:color w:val="000000" w:themeColor="text1"/>
          <w:sz w:val="22"/>
          <w:lang w:val="es-ES_tradnl" w:eastAsia="es-ES"/>
        </w:rPr>
        <w:tab/>
      </w:r>
      <w:r w:rsidR="007B234F" w:rsidRPr="00F8515B">
        <w:rPr>
          <w:rFonts w:ascii="Arial" w:eastAsia="Times New Roman" w:hAnsi="Arial" w:cs="Arial"/>
          <w:color w:val="000000" w:themeColor="text1"/>
          <w:sz w:val="22"/>
          <w:lang w:val="es-ES_tradnl"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0190C264" w14:textId="2007EE8B" w:rsidR="007B234F" w:rsidRPr="00F8515B" w:rsidRDefault="007B234F" w:rsidP="000641BE">
      <w:pPr>
        <w:shd w:val="clear" w:color="auto" w:fill="FFFFFF"/>
        <w:spacing w:after="0"/>
        <w:ind w:firstLine="708"/>
        <w:rPr>
          <w:rFonts w:ascii="Arial" w:eastAsia="Times New Roman" w:hAnsi="Arial" w:cs="Arial"/>
          <w:color w:val="000000" w:themeColor="text1"/>
          <w:sz w:val="22"/>
          <w:lang w:val="es-ES_tradnl" w:eastAsia="es-CO"/>
        </w:rPr>
      </w:pPr>
      <w:r w:rsidRPr="00F8515B">
        <w:rPr>
          <w:rFonts w:ascii="Arial" w:eastAsia="Times New Roman" w:hAnsi="Arial" w:cs="Arial"/>
          <w:color w:val="000000" w:themeColor="text1"/>
          <w:sz w:val="22"/>
          <w:lang w:val="es-ES_tradnl"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r w:rsidRPr="00F8515B">
        <w:rPr>
          <w:rFonts w:ascii="Arial" w:eastAsia="Times New Roman" w:hAnsi="Arial" w:cs="Arial"/>
          <w:bCs/>
          <w:color w:val="000000" w:themeColor="text1"/>
          <w:sz w:val="22"/>
          <w:lang w:val="es-ES_tradnl" w:eastAsia="es-CO"/>
        </w:rPr>
        <w:t xml:space="preserve">A continuación, la Agencia se </w:t>
      </w:r>
      <w:r w:rsidR="004750AA" w:rsidRPr="00F8515B">
        <w:rPr>
          <w:rFonts w:ascii="Arial" w:eastAsia="Times New Roman" w:hAnsi="Arial" w:cs="Arial"/>
          <w:bCs/>
          <w:color w:val="000000" w:themeColor="text1"/>
          <w:sz w:val="22"/>
          <w:lang w:val="es-ES_tradnl" w:eastAsia="es-CO"/>
        </w:rPr>
        <w:t>referirá</w:t>
      </w:r>
      <w:r w:rsidRPr="00F8515B">
        <w:rPr>
          <w:rFonts w:ascii="Arial" w:eastAsia="Times New Roman" w:hAnsi="Arial" w:cs="Arial"/>
          <w:bCs/>
          <w:color w:val="000000" w:themeColor="text1"/>
          <w:sz w:val="22"/>
          <w:lang w:val="es-ES_tradnl" w:eastAsia="es-CO"/>
        </w:rPr>
        <w:t xml:space="preserve"> a cada uno de los aspectos o elementos </w:t>
      </w:r>
      <w:r w:rsidR="00844554" w:rsidRPr="00F8515B">
        <w:rPr>
          <w:rFonts w:ascii="Arial" w:eastAsia="Times New Roman" w:hAnsi="Arial" w:cs="Arial"/>
          <w:bCs/>
          <w:color w:val="000000" w:themeColor="text1"/>
          <w:sz w:val="22"/>
          <w:lang w:val="es-ES_tradnl" w:eastAsia="es-CO"/>
        </w:rPr>
        <w:t xml:space="preserve">contenidos </w:t>
      </w:r>
      <w:r w:rsidRPr="00F8515B">
        <w:rPr>
          <w:rFonts w:ascii="Arial" w:eastAsia="Times New Roman" w:hAnsi="Arial" w:cs="Arial"/>
          <w:bCs/>
          <w:color w:val="000000" w:themeColor="text1"/>
          <w:sz w:val="22"/>
          <w:lang w:val="es-ES_tradnl" w:eastAsia="es-CO"/>
        </w:rPr>
        <w:t xml:space="preserve">en la mencionada </w:t>
      </w:r>
      <w:r w:rsidR="004750AA" w:rsidRPr="00F8515B">
        <w:rPr>
          <w:rFonts w:ascii="Arial" w:eastAsia="Times New Roman" w:hAnsi="Arial" w:cs="Arial"/>
          <w:bCs/>
          <w:color w:val="000000" w:themeColor="text1"/>
          <w:sz w:val="22"/>
          <w:lang w:val="es-ES_tradnl" w:eastAsia="es-CO"/>
        </w:rPr>
        <w:t>disposición</w:t>
      </w:r>
      <w:r w:rsidRPr="00F8515B">
        <w:rPr>
          <w:rFonts w:ascii="Arial" w:eastAsia="Times New Roman" w:hAnsi="Arial" w:cs="Arial"/>
          <w:bCs/>
          <w:color w:val="000000" w:themeColor="text1"/>
          <w:sz w:val="22"/>
          <w:lang w:val="es-ES_tradnl" w:eastAsia="es-CO"/>
        </w:rPr>
        <w:t xml:space="preserve">. </w:t>
      </w:r>
    </w:p>
    <w:p w14:paraId="297E3592" w14:textId="77777777" w:rsidR="007B234F" w:rsidRPr="00F8515B" w:rsidRDefault="007B234F" w:rsidP="007B234F">
      <w:pPr>
        <w:shd w:val="clear" w:color="auto" w:fill="FFFFFF"/>
        <w:spacing w:after="0"/>
        <w:rPr>
          <w:rFonts w:ascii="Arial" w:eastAsia="Times New Roman" w:hAnsi="Arial" w:cs="Arial"/>
          <w:color w:val="000000" w:themeColor="text1"/>
          <w:sz w:val="22"/>
          <w:lang w:val="es-ES_tradnl" w:eastAsia="es-CO"/>
        </w:rPr>
      </w:pPr>
    </w:p>
    <w:p w14:paraId="69D9E134" w14:textId="4A55715D" w:rsidR="007B234F" w:rsidRPr="00F8515B" w:rsidRDefault="007B234F" w:rsidP="007B234F">
      <w:pPr>
        <w:shd w:val="clear" w:color="auto" w:fill="FFFFFF"/>
        <w:spacing w:after="0"/>
        <w:rPr>
          <w:rFonts w:ascii="Arial" w:eastAsia="Times New Roman" w:hAnsi="Arial" w:cs="Arial"/>
          <w:b/>
          <w:bCs/>
          <w:color w:val="000000" w:themeColor="text1"/>
          <w:sz w:val="22"/>
          <w:lang w:val="es-ES_tradnl" w:eastAsia="es-CO"/>
        </w:rPr>
      </w:pPr>
      <w:r w:rsidRPr="00F8515B">
        <w:rPr>
          <w:rFonts w:ascii="Arial" w:eastAsia="Times New Roman" w:hAnsi="Arial" w:cs="Arial"/>
          <w:b/>
          <w:bCs/>
          <w:color w:val="000000" w:themeColor="text1"/>
          <w:sz w:val="22"/>
          <w:lang w:val="es-ES_tradnl" w:eastAsia="es-CO"/>
        </w:rPr>
        <w:t>2.5.1. Aspecto temporal</w:t>
      </w:r>
    </w:p>
    <w:p w14:paraId="66A171F3" w14:textId="77777777" w:rsidR="007B234F" w:rsidRPr="00F8515B" w:rsidRDefault="007B234F" w:rsidP="007B234F">
      <w:pPr>
        <w:shd w:val="clear" w:color="auto" w:fill="FFFFFF"/>
        <w:spacing w:after="0"/>
        <w:rPr>
          <w:rFonts w:ascii="Arial" w:eastAsia="Times New Roman" w:hAnsi="Arial" w:cs="Arial"/>
          <w:color w:val="000000" w:themeColor="text1"/>
          <w:sz w:val="22"/>
          <w:lang w:val="es-ES_tradnl" w:eastAsia="es-CO"/>
        </w:rPr>
      </w:pPr>
    </w:p>
    <w:p w14:paraId="63C17517" w14:textId="4A7E61EE" w:rsidR="007B234F" w:rsidRPr="00F8515B" w:rsidRDefault="007B234F" w:rsidP="000641BE">
      <w:pPr>
        <w:shd w:val="clear" w:color="auto" w:fill="FFFFFF"/>
        <w:spacing w:after="120"/>
        <w:rPr>
          <w:rFonts w:ascii="Arial" w:eastAsia="Times New Roman" w:hAnsi="Arial" w:cs="Arial"/>
          <w:color w:val="000000" w:themeColor="text1"/>
          <w:sz w:val="22"/>
          <w:lang w:val="es-ES_tradnl" w:eastAsia="es-CO"/>
        </w:rPr>
      </w:pPr>
      <w:r w:rsidRPr="00F8515B">
        <w:rPr>
          <w:rFonts w:ascii="Arial" w:eastAsia="Times New Roman" w:hAnsi="Arial" w:cs="Arial"/>
          <w:color w:val="000000" w:themeColor="text1"/>
          <w:sz w:val="22"/>
          <w:lang w:val="es-ES_tradnl" w:eastAsia="es-CO"/>
        </w:rPr>
        <w:t>En su inciso segundo, el artículo 124 dispone la modificación del parágrafo del artículo 38 de la Ley 996 de 2005</w:t>
      </w:r>
      <w:r w:rsidR="00091F2A" w:rsidRPr="00F8515B">
        <w:rPr>
          <w:rFonts w:ascii="Arial" w:eastAsia="Times New Roman" w:hAnsi="Arial" w:cs="Arial"/>
          <w:color w:val="000000" w:themeColor="text1"/>
          <w:sz w:val="22"/>
          <w:lang w:val="es-ES_tradnl" w:eastAsia="es-CO"/>
        </w:rPr>
        <w:t>,</w:t>
      </w:r>
      <w:r w:rsidRPr="00F8515B">
        <w:rPr>
          <w:rFonts w:ascii="Arial" w:eastAsia="Times New Roman" w:hAnsi="Arial" w:cs="Arial"/>
          <w:color w:val="000000" w:themeColor="text1"/>
          <w:sz w:val="22"/>
          <w:lang w:val="es-ES_tradnl" w:eastAsia="es-CO"/>
        </w:rPr>
        <w:t xml:space="preserve"> sin establecer un nuevo texto</w:t>
      </w:r>
      <w:r w:rsidR="00091F2A" w:rsidRPr="00F8515B">
        <w:rPr>
          <w:rFonts w:ascii="Arial" w:eastAsia="Times New Roman" w:hAnsi="Arial" w:cs="Arial"/>
          <w:color w:val="000000" w:themeColor="text1"/>
          <w:sz w:val="22"/>
          <w:lang w:val="es-ES_tradnl" w:eastAsia="es-CO"/>
        </w:rPr>
        <w:t>,</w:t>
      </w:r>
      <w:r w:rsidRPr="00F8515B">
        <w:rPr>
          <w:rFonts w:ascii="Arial" w:eastAsia="Times New Roman" w:hAnsi="Arial" w:cs="Arial"/>
          <w:color w:val="000000" w:themeColor="text1"/>
          <w:sz w:val="22"/>
          <w:lang w:val="es-ES_tradnl" w:eastAsia="es-CO"/>
        </w:rPr>
        <w:t xml:space="preserve"> </w:t>
      </w:r>
      <w:proofErr w:type="gramStart"/>
      <w:r w:rsidRPr="00F8515B">
        <w:rPr>
          <w:rFonts w:ascii="Arial" w:eastAsia="Times New Roman" w:hAnsi="Arial" w:cs="Arial"/>
          <w:color w:val="000000" w:themeColor="text1"/>
          <w:sz w:val="22"/>
          <w:lang w:val="es-ES_tradnl" w:eastAsia="es-CO"/>
        </w:rPr>
        <w:t>sino</w:t>
      </w:r>
      <w:proofErr w:type="gramEnd"/>
      <w:r w:rsidR="00091F2A" w:rsidRPr="00F8515B">
        <w:rPr>
          <w:rFonts w:ascii="Arial" w:eastAsia="Times New Roman" w:hAnsi="Arial" w:cs="Arial"/>
          <w:color w:val="000000" w:themeColor="text1"/>
          <w:sz w:val="22"/>
          <w:lang w:val="es-ES_tradnl" w:eastAsia="es-CO"/>
        </w:rPr>
        <w:t>,</w:t>
      </w:r>
      <w:r w:rsidRPr="00F8515B">
        <w:rPr>
          <w:rFonts w:ascii="Arial" w:eastAsia="Times New Roman" w:hAnsi="Arial" w:cs="Arial"/>
          <w:color w:val="000000" w:themeColor="text1"/>
          <w:sz w:val="22"/>
          <w:lang w:val="es-ES_tradnl" w:eastAsia="es-CO"/>
        </w:rPr>
        <w:t xml:space="preserve"> simplemente</w:t>
      </w:r>
      <w:r w:rsidR="00091F2A" w:rsidRPr="00F8515B">
        <w:rPr>
          <w:rFonts w:ascii="Arial" w:eastAsia="Times New Roman" w:hAnsi="Arial" w:cs="Arial"/>
          <w:color w:val="000000" w:themeColor="text1"/>
          <w:sz w:val="22"/>
          <w:lang w:val="es-ES_tradnl" w:eastAsia="es-CO"/>
        </w:rPr>
        <w:t>,</w:t>
      </w:r>
      <w:r w:rsidRPr="00F8515B">
        <w:rPr>
          <w:rFonts w:ascii="Arial" w:eastAsia="Times New Roman" w:hAnsi="Arial" w:cs="Arial"/>
          <w:color w:val="000000" w:themeColor="text1"/>
          <w:sz w:val="22"/>
          <w:lang w:val="es-ES_tradnl" w:eastAsia="es-CO"/>
        </w:rPr>
        <w:t xml:space="preserv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0FB5DB36" w14:textId="77777777" w:rsidR="007B234F" w:rsidRPr="00F8515B" w:rsidRDefault="007B234F" w:rsidP="007B234F">
      <w:pPr>
        <w:shd w:val="clear" w:color="auto" w:fill="FFFFFF"/>
        <w:spacing w:after="0"/>
        <w:ind w:firstLine="709"/>
        <w:rPr>
          <w:rFonts w:ascii="Arial" w:eastAsia="Times New Roman" w:hAnsi="Arial" w:cs="Arial"/>
          <w:color w:val="000000" w:themeColor="text1"/>
          <w:sz w:val="22"/>
          <w:lang w:val="es-ES_tradnl" w:eastAsia="es-CO"/>
        </w:rPr>
      </w:pPr>
      <w:r w:rsidRPr="00F8515B">
        <w:rPr>
          <w:rFonts w:ascii="Arial" w:eastAsia="Times New Roman" w:hAnsi="Arial" w:cs="Arial"/>
          <w:color w:val="000000" w:themeColor="text1"/>
          <w:sz w:val="22"/>
          <w:lang w:val="es-ES_tradnl" w:eastAsia="es-CO"/>
        </w:rPr>
        <w:t xml:space="preserve">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w:t>
      </w:r>
      <w:r w:rsidRPr="00F8515B">
        <w:rPr>
          <w:rFonts w:ascii="Arial" w:eastAsia="Times New Roman" w:hAnsi="Arial" w:cs="Arial"/>
          <w:color w:val="000000" w:themeColor="text1"/>
          <w:sz w:val="22"/>
          <w:lang w:val="es-ES_tradnl" w:eastAsia="es-CO"/>
        </w:rPr>
        <w:lastRenderedPageBreak/>
        <w:t>prohibición,</w:t>
      </w:r>
      <w:r w:rsidRPr="00F8515B">
        <w:rPr>
          <w:color w:val="000000" w:themeColor="text1"/>
          <w:lang w:val="es-ES_tradnl"/>
        </w:rPr>
        <w:t xml:space="preserve"> </w:t>
      </w:r>
      <w:r w:rsidRPr="00F8515B">
        <w:rPr>
          <w:rFonts w:ascii="Arial" w:eastAsia="Times New Roman" w:hAnsi="Arial" w:cs="Arial"/>
          <w:color w:val="000000" w:themeColor="text1"/>
          <w:sz w:val="22"/>
          <w:lang w:val="es-ES_tradnl"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EA750A7" w14:textId="77777777" w:rsidR="007B234F" w:rsidRPr="00F8515B" w:rsidRDefault="007B234F" w:rsidP="007B234F">
      <w:pPr>
        <w:shd w:val="clear" w:color="auto" w:fill="FFFFFF"/>
        <w:spacing w:after="0"/>
        <w:rPr>
          <w:rFonts w:ascii="Arial" w:eastAsia="Times New Roman" w:hAnsi="Arial" w:cs="Arial"/>
          <w:color w:val="000000" w:themeColor="text1"/>
          <w:sz w:val="22"/>
          <w:lang w:val="es-ES_tradnl" w:eastAsia="es-CO"/>
        </w:rPr>
      </w:pPr>
    </w:p>
    <w:p w14:paraId="03CDECB1" w14:textId="303552E8" w:rsidR="007B234F" w:rsidRPr="00F8515B" w:rsidRDefault="007B234F" w:rsidP="007B234F">
      <w:pPr>
        <w:shd w:val="clear" w:color="auto" w:fill="FFFFFF"/>
        <w:spacing w:after="0"/>
        <w:rPr>
          <w:rFonts w:ascii="Arial" w:eastAsia="Times New Roman" w:hAnsi="Arial" w:cs="Arial"/>
          <w:b/>
          <w:bCs/>
          <w:color w:val="000000" w:themeColor="text1"/>
          <w:sz w:val="22"/>
          <w:lang w:val="es-ES_tradnl" w:eastAsia="es-CO"/>
        </w:rPr>
      </w:pPr>
      <w:r w:rsidRPr="00F8515B">
        <w:rPr>
          <w:rFonts w:ascii="Arial" w:eastAsia="Times New Roman" w:hAnsi="Arial" w:cs="Arial"/>
          <w:b/>
          <w:bCs/>
          <w:color w:val="000000" w:themeColor="text1"/>
          <w:sz w:val="22"/>
          <w:lang w:val="es-ES_tradnl" w:eastAsia="es-CO"/>
        </w:rPr>
        <w:t>2.5.2. Aspecto subjetivo</w:t>
      </w:r>
    </w:p>
    <w:p w14:paraId="0DFDE37F" w14:textId="77777777" w:rsidR="007B234F" w:rsidRPr="00F8515B" w:rsidRDefault="007B234F" w:rsidP="007B234F">
      <w:pPr>
        <w:shd w:val="clear" w:color="auto" w:fill="FFFFFF"/>
        <w:spacing w:after="0"/>
        <w:rPr>
          <w:rFonts w:ascii="Arial" w:eastAsia="Times New Roman" w:hAnsi="Arial" w:cs="Arial"/>
          <w:color w:val="000000" w:themeColor="text1"/>
          <w:sz w:val="22"/>
          <w:lang w:val="es-ES_tradnl" w:eastAsia="es-CO"/>
        </w:rPr>
      </w:pPr>
    </w:p>
    <w:p w14:paraId="780A83CC" w14:textId="1AC34F09" w:rsidR="007B234F" w:rsidRPr="00F8515B" w:rsidRDefault="007B234F" w:rsidP="000641BE">
      <w:pPr>
        <w:shd w:val="clear" w:color="auto" w:fill="FFFFFF"/>
        <w:spacing w:after="120"/>
        <w:rPr>
          <w:rFonts w:ascii="Arial" w:eastAsia="Times New Roman" w:hAnsi="Arial" w:cs="Arial"/>
          <w:bCs/>
          <w:color w:val="000000" w:themeColor="text1"/>
          <w:sz w:val="22"/>
          <w:lang w:val="es-ES_tradnl" w:eastAsia="es-CO"/>
        </w:rPr>
      </w:pPr>
      <w:r w:rsidRPr="00F8515B">
        <w:rPr>
          <w:rFonts w:ascii="Arial" w:eastAsia="Times New Roman" w:hAnsi="Arial" w:cs="Arial"/>
          <w:color w:val="000000" w:themeColor="text1"/>
          <w:sz w:val="22"/>
          <w:lang w:val="es-ES_tradnl" w:eastAsia="es-CO"/>
        </w:rPr>
        <w:t xml:space="preserve">Ahora bien, según se señaló atrás, el parágrafo del artículo 38 de la Ley 996 de 2005, en su texto original, establece una prohibición dirigida </w:t>
      </w:r>
      <w:r w:rsidRPr="00F8515B">
        <w:rPr>
          <w:rFonts w:ascii="Arial" w:eastAsia="Times New Roman" w:hAnsi="Arial" w:cs="Arial"/>
          <w:bCs/>
          <w:color w:val="000000" w:themeColor="text1"/>
          <w:sz w:val="22"/>
          <w:lang w:val="es-ES_tradnl" w:eastAsia="es-CO"/>
        </w:rPr>
        <w:t>a los alcaldes, gobernadores, secretarios, gerentes y directores de las entidades del orden municipal, departamental o distrital</w:t>
      </w:r>
      <w:r w:rsidR="00B16C94" w:rsidRPr="00F8515B">
        <w:rPr>
          <w:rFonts w:ascii="Arial" w:eastAsia="Times New Roman" w:hAnsi="Arial" w:cs="Arial"/>
          <w:bCs/>
          <w:color w:val="000000" w:themeColor="text1"/>
          <w:sz w:val="22"/>
          <w:lang w:val="es-ES_tradnl" w:eastAsia="es-CO"/>
        </w:rPr>
        <w:t>. De acuerdo con esta restricción</w:t>
      </w:r>
      <w:r w:rsidRPr="00F8515B">
        <w:rPr>
          <w:rFonts w:ascii="Arial" w:eastAsia="Times New Roman" w:hAnsi="Arial" w:cs="Arial"/>
          <w:bCs/>
          <w:color w:val="000000" w:themeColor="text1"/>
          <w:sz w:val="22"/>
          <w:lang w:val="es-ES_tradnl" w:eastAsia="es-CO"/>
        </w:rPr>
        <w:t xml:space="preserve"> no podrán celebrar convenios y contratos interadministrativos para la ejecución de recursos públicos durante el periodo establecido en ese mismo parágrafo</w:t>
      </w:r>
      <w:r w:rsidR="00C13B27" w:rsidRPr="00F8515B">
        <w:rPr>
          <w:rFonts w:ascii="Arial" w:eastAsia="Times New Roman" w:hAnsi="Arial" w:cs="Arial"/>
          <w:bCs/>
          <w:color w:val="000000" w:themeColor="text1"/>
          <w:sz w:val="22"/>
          <w:lang w:val="es-ES_tradnl" w:eastAsia="es-CO"/>
        </w:rPr>
        <w:t>. Esto</w:t>
      </w:r>
      <w:r w:rsidRPr="00F8515B">
        <w:rPr>
          <w:rFonts w:ascii="Arial" w:eastAsia="Times New Roman" w:hAnsi="Arial" w:cs="Arial"/>
          <w:bCs/>
          <w:color w:val="000000" w:themeColor="text1"/>
          <w:sz w:val="22"/>
          <w:lang w:val="es-ES_tradnl" w:eastAsia="es-CO"/>
        </w:rPr>
        <w:t xml:space="preserve"> sin hacer diferencia alguna con respecto a la modalidad de selección que se utilice. </w:t>
      </w:r>
    </w:p>
    <w:p w14:paraId="54C637E8" w14:textId="21696099"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Como se observa, el artículo 124 de la </w:t>
      </w:r>
      <w:r w:rsidRPr="00F8515B">
        <w:rPr>
          <w:rFonts w:ascii="Arial" w:eastAsia="Times New Roman" w:hAnsi="Arial" w:cs="Arial"/>
          <w:color w:val="000000" w:themeColor="text1"/>
          <w:sz w:val="22"/>
          <w:lang w:val="es-ES_tradnl" w:eastAsia="es-CO"/>
        </w:rPr>
        <w:t xml:space="preserve">Ley 2159 de 2021 </w:t>
      </w:r>
      <w:r w:rsidR="00B029E3" w:rsidRPr="00F8515B">
        <w:rPr>
          <w:rFonts w:ascii="Arial" w:eastAsia="Times New Roman" w:hAnsi="Arial" w:cs="Arial"/>
          <w:bCs/>
          <w:color w:val="000000" w:themeColor="text1"/>
          <w:sz w:val="22"/>
          <w:lang w:val="es-ES_tradnl" w:eastAsia="es-CO"/>
        </w:rPr>
        <w:t>dispone</w:t>
      </w:r>
      <w:r w:rsidRPr="00F8515B">
        <w:rPr>
          <w:rFonts w:ascii="Arial" w:eastAsia="Times New Roman" w:hAnsi="Arial" w:cs="Arial"/>
          <w:bCs/>
          <w:color w:val="000000" w:themeColor="text1"/>
          <w:sz w:val="22"/>
          <w:lang w:val="es-ES_tradnl" w:eastAsia="es-CO"/>
        </w:rPr>
        <w:t xml:space="preserve"> que la </w:t>
      </w:r>
      <w:bookmarkStart w:id="59" w:name="_Hlk88510186"/>
      <w:r w:rsidRPr="00F8515B">
        <w:rPr>
          <w:rFonts w:ascii="Arial" w:eastAsia="Times New Roman" w:hAnsi="Arial" w:cs="Arial"/>
          <w:bCs/>
          <w:color w:val="000000" w:themeColor="text1"/>
          <w:sz w:val="22"/>
          <w:lang w:val="es-ES_tradnl" w:eastAsia="es-CO"/>
        </w:rPr>
        <w:t>«</w:t>
      </w:r>
      <w:bookmarkEnd w:id="59"/>
      <w:r w:rsidRPr="00F8515B">
        <w:rPr>
          <w:rFonts w:ascii="Arial" w:eastAsia="Times New Roman" w:hAnsi="Arial" w:cs="Arial"/>
          <w:bCs/>
          <w:color w:val="000000" w:themeColor="text1"/>
          <w:sz w:val="22"/>
          <w:lang w:val="es-ES_tradnl" w:eastAsia="es-CO"/>
        </w:rPr>
        <w:t>Nación» podrá celebrar convenios interadministrativos con «las entidades territoriales», razón por la cual</w:t>
      </w:r>
      <w:r w:rsidR="006D2A3B"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en su aplicación</w:t>
      </w:r>
      <w:r w:rsidR="006D2A3B"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resulta relevante el concepto que se tenga de los dos sujetos de derecho autorizados para celebrarlos.</w:t>
      </w:r>
      <w:r w:rsidR="003370FB"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En cuanto a las entidades territoriales</w:t>
      </w:r>
      <w:r w:rsidR="006D2A3B"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el artículo 286 de la Constitución Política </w:t>
      </w:r>
      <w:r w:rsidR="00154879" w:rsidRPr="00F8515B">
        <w:rPr>
          <w:rFonts w:ascii="Arial" w:eastAsia="Times New Roman" w:hAnsi="Arial" w:cs="Arial"/>
          <w:bCs/>
          <w:color w:val="000000" w:themeColor="text1"/>
          <w:sz w:val="22"/>
          <w:lang w:val="es-ES_tradnl" w:eastAsia="es-CO"/>
        </w:rPr>
        <w:t xml:space="preserve">prescribe </w:t>
      </w:r>
      <w:r w:rsidRPr="00F8515B">
        <w:rPr>
          <w:rFonts w:ascii="Arial" w:eastAsia="Times New Roman" w:hAnsi="Arial" w:cs="Arial"/>
          <w:bCs/>
          <w:color w:val="000000" w:themeColor="text1"/>
          <w:sz w:val="22"/>
          <w:lang w:val="es-ES_tradnl" w:eastAsia="es-CO"/>
        </w:rPr>
        <w:t xml:space="preserve">claramente que son «los departamentos, los distritos, los municipios y los territorios indígenas» y </w:t>
      </w:r>
      <w:r w:rsidR="00154879" w:rsidRPr="00F8515B">
        <w:rPr>
          <w:rFonts w:ascii="Arial" w:eastAsia="Times New Roman" w:hAnsi="Arial" w:cs="Arial"/>
          <w:bCs/>
          <w:color w:val="000000" w:themeColor="text1"/>
          <w:sz w:val="22"/>
          <w:lang w:val="es-ES_tradnl" w:eastAsia="es-CO"/>
        </w:rPr>
        <w:t xml:space="preserve">que </w:t>
      </w:r>
      <w:r w:rsidRPr="00F8515B">
        <w:rPr>
          <w:rFonts w:ascii="Arial" w:eastAsia="Times New Roman" w:hAnsi="Arial" w:cs="Arial"/>
          <w:bCs/>
          <w:color w:val="000000" w:themeColor="text1"/>
          <w:sz w:val="22"/>
          <w:lang w:val="es-ES_tradnl" w:eastAsia="es-CO"/>
        </w:rPr>
        <w:t>la «ley podrá darles el carácter de entidades territoriales a las regiones y provincias que se constituyan en los términos de la Constitución y de la ley»</w:t>
      </w:r>
      <w:r w:rsidR="008E5380"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F8515B">
        <w:rPr>
          <w:rStyle w:val="Refdenotaalpie"/>
          <w:rFonts w:ascii="Arial" w:eastAsia="Times New Roman" w:hAnsi="Arial" w:cs="Arial"/>
          <w:bCs/>
          <w:color w:val="000000" w:themeColor="text1"/>
          <w:sz w:val="22"/>
          <w:lang w:val="es-ES_tradnl" w:eastAsia="es-CO"/>
        </w:rPr>
        <w:footnoteReference w:id="39"/>
      </w:r>
      <w:r w:rsidRPr="00F8515B">
        <w:rPr>
          <w:rFonts w:ascii="Arial" w:eastAsia="Times New Roman" w:hAnsi="Arial" w:cs="Arial"/>
          <w:bCs/>
          <w:color w:val="000000" w:themeColor="text1"/>
          <w:sz w:val="22"/>
          <w:lang w:val="es-ES_tradnl" w:eastAsia="es-CO"/>
        </w:rPr>
        <w:t xml:space="preserve">. </w:t>
      </w:r>
    </w:p>
    <w:p w14:paraId="535B9AD8" w14:textId="253222B3" w:rsidR="007B234F" w:rsidRPr="00F8515B" w:rsidRDefault="007B234F" w:rsidP="007B234F">
      <w:pPr>
        <w:shd w:val="clear" w:color="auto" w:fill="FFFFFF"/>
        <w:spacing w:after="0"/>
        <w:ind w:firstLine="708"/>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Bajo esta óptica,</w:t>
      </w:r>
      <w:r w:rsidR="002B5AD8" w:rsidRPr="00F8515B">
        <w:rPr>
          <w:rFonts w:ascii="Arial" w:eastAsia="Times New Roman" w:hAnsi="Arial" w:cs="Arial"/>
          <w:bCs/>
          <w:color w:val="000000" w:themeColor="text1"/>
          <w:sz w:val="22"/>
          <w:lang w:val="es-ES_tradnl" w:eastAsia="es-CO"/>
        </w:rPr>
        <w:t xml:space="preserve"> conforme al artículo 1 de la Constitución Política</w:t>
      </w:r>
      <w:r w:rsidR="0082251D"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es menester recordar que Colombia es un Estado social </w:t>
      </w:r>
      <w:r w:rsidR="008419D1" w:rsidRPr="00F8515B">
        <w:rPr>
          <w:rFonts w:ascii="Arial" w:eastAsia="Times New Roman" w:hAnsi="Arial" w:cs="Arial"/>
          <w:bCs/>
          <w:color w:val="000000" w:themeColor="text1"/>
          <w:sz w:val="22"/>
          <w:lang w:val="es-ES_tradnl" w:eastAsia="es-CO"/>
        </w:rPr>
        <w:t xml:space="preserve">de </w:t>
      </w:r>
      <w:r w:rsidRPr="00F8515B">
        <w:rPr>
          <w:rFonts w:ascii="Arial" w:eastAsia="Times New Roman" w:hAnsi="Arial" w:cs="Arial"/>
          <w:bCs/>
          <w:color w:val="000000" w:themeColor="text1"/>
          <w:sz w:val="22"/>
          <w:lang w:val="es-ES_tradnl" w:eastAsia="es-CO"/>
        </w:rPr>
        <w:t>derecho, organizado en forma de República unitaria pero descentralizada y con autonomía de sus entidades territoriales</w:t>
      </w:r>
      <w:r w:rsidRPr="00F8515B">
        <w:rPr>
          <w:rStyle w:val="Refdenotaalpie"/>
          <w:rFonts w:ascii="Arial" w:eastAsia="Times New Roman" w:hAnsi="Arial" w:cs="Arial"/>
          <w:bCs/>
          <w:color w:val="000000" w:themeColor="text1"/>
          <w:sz w:val="22"/>
          <w:lang w:val="es-ES_tradnl" w:eastAsia="es-CO"/>
        </w:rPr>
        <w:footnoteReference w:id="40"/>
      </w:r>
      <w:r w:rsidR="00860189" w:rsidRPr="00F8515B">
        <w:rPr>
          <w:rFonts w:ascii="Arial" w:eastAsia="Times New Roman" w:hAnsi="Arial" w:cs="Arial"/>
          <w:bCs/>
          <w:color w:val="000000" w:themeColor="text1"/>
          <w:sz w:val="22"/>
          <w:lang w:val="es-ES_tradnl" w:eastAsia="es-CO"/>
        </w:rPr>
        <w:t>. Además</w:t>
      </w:r>
      <w:r w:rsidRPr="00F8515B">
        <w:rPr>
          <w:rFonts w:ascii="Arial" w:eastAsia="Times New Roman" w:hAnsi="Arial" w:cs="Arial"/>
          <w:bCs/>
          <w:color w:val="000000" w:themeColor="text1"/>
          <w:sz w:val="22"/>
          <w:lang w:val="es-ES_tradnl" w:eastAsia="es-CO"/>
        </w:rPr>
        <w:t>,</w:t>
      </w:r>
      <w:r w:rsidR="00860189" w:rsidRPr="00F8515B">
        <w:rPr>
          <w:rFonts w:ascii="Arial" w:eastAsia="Times New Roman" w:hAnsi="Arial" w:cs="Arial"/>
          <w:bCs/>
          <w:color w:val="000000" w:themeColor="text1"/>
          <w:sz w:val="22"/>
          <w:lang w:val="es-ES_tradnl" w:eastAsia="es-CO"/>
        </w:rPr>
        <w:t xml:space="preserve"> debe tenerse en cuenta que</w:t>
      </w:r>
      <w:r w:rsidRPr="00F8515B">
        <w:rPr>
          <w:rFonts w:ascii="Arial" w:eastAsia="Times New Roman" w:hAnsi="Arial" w:cs="Arial"/>
          <w:bCs/>
          <w:color w:val="000000" w:themeColor="text1"/>
          <w:sz w:val="22"/>
          <w:lang w:val="es-ES_tradnl" w:eastAsia="es-CO"/>
        </w:rPr>
        <w:t xml:space="preserve"> en nuestro ordenamiento jurídico </w:t>
      </w:r>
      <w:r w:rsidRPr="00F8515B">
        <w:rPr>
          <w:rFonts w:ascii="Arial" w:eastAsia="Times New Roman" w:hAnsi="Arial" w:cs="Arial"/>
          <w:bCs/>
          <w:color w:val="000000" w:themeColor="text1"/>
          <w:sz w:val="22"/>
          <w:lang w:val="es-ES_tradnl" w:eastAsia="es-CO"/>
        </w:rPr>
        <w:lastRenderedPageBreak/>
        <w:t>se utiliza la expresión «Nación», en vez de la expresión «Estado», para alu</w:t>
      </w:r>
      <w:r w:rsidR="00860189" w:rsidRPr="00F8515B">
        <w:rPr>
          <w:rFonts w:ascii="Arial" w:eastAsia="Times New Roman" w:hAnsi="Arial" w:cs="Arial"/>
          <w:bCs/>
          <w:color w:val="000000" w:themeColor="text1"/>
          <w:sz w:val="22"/>
          <w:lang w:val="es-ES_tradnl" w:eastAsia="es-CO"/>
        </w:rPr>
        <w:t>dir</w:t>
      </w:r>
      <w:r w:rsidRPr="00F8515B">
        <w:rPr>
          <w:rFonts w:ascii="Arial" w:eastAsia="Times New Roman" w:hAnsi="Arial" w:cs="Arial"/>
          <w:bCs/>
          <w:color w:val="000000" w:themeColor="text1"/>
          <w:sz w:val="22"/>
          <w:lang w:val="es-ES_tradnl" w:eastAsia="es-CO"/>
        </w:rPr>
        <w:t xml:space="preserve"> a las autoridades centrales y diferenciarlas de las autoridades descentralizadas</w:t>
      </w:r>
      <w:r w:rsidR="00810C11" w:rsidRPr="00F8515B">
        <w:rPr>
          <w:rFonts w:ascii="Arial" w:eastAsia="Times New Roman" w:hAnsi="Arial" w:cs="Arial"/>
          <w:bCs/>
          <w:color w:val="000000" w:themeColor="text1"/>
          <w:sz w:val="22"/>
          <w:lang w:val="es-ES_tradnl" w:eastAsia="es-CO"/>
        </w:rPr>
        <w:t>, bien sea</w:t>
      </w:r>
      <w:r w:rsidRPr="00F8515B">
        <w:rPr>
          <w:rFonts w:ascii="Arial" w:eastAsia="Times New Roman" w:hAnsi="Arial" w:cs="Arial"/>
          <w:bCs/>
          <w:color w:val="000000" w:themeColor="text1"/>
          <w:sz w:val="22"/>
          <w:lang w:val="es-ES_tradnl" w:eastAsia="es-CO"/>
        </w:rPr>
        <w:t xml:space="preserve"> territorialmente y por servicios</w:t>
      </w:r>
      <w:r w:rsidRPr="00F8515B">
        <w:rPr>
          <w:rStyle w:val="Refdenotaalpie"/>
          <w:rFonts w:ascii="Arial" w:eastAsia="Times New Roman" w:hAnsi="Arial" w:cs="Arial"/>
          <w:bCs/>
          <w:color w:val="000000" w:themeColor="text1"/>
          <w:sz w:val="22"/>
          <w:lang w:val="es-ES_tradnl" w:eastAsia="es-CO"/>
        </w:rPr>
        <w:footnoteReference w:id="41"/>
      </w:r>
      <w:r w:rsidR="00810C11"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Así lo ha manifestado la Corte Constitucional:</w:t>
      </w:r>
    </w:p>
    <w:p w14:paraId="7C5028F5" w14:textId="77777777" w:rsidR="007B234F" w:rsidRPr="00F8515B" w:rsidRDefault="007B234F" w:rsidP="007B234F">
      <w:pPr>
        <w:shd w:val="clear" w:color="auto" w:fill="FFFFFF"/>
        <w:spacing w:after="0"/>
        <w:ind w:firstLine="708"/>
        <w:rPr>
          <w:rFonts w:ascii="Arial" w:eastAsia="Times New Roman" w:hAnsi="Arial" w:cs="Arial"/>
          <w:bCs/>
          <w:color w:val="000000" w:themeColor="text1"/>
          <w:sz w:val="22"/>
          <w:lang w:val="es-ES_tradnl" w:eastAsia="es-CO"/>
        </w:rPr>
      </w:pPr>
    </w:p>
    <w:p w14:paraId="2A402CB3" w14:textId="06084C37" w:rsidR="007B234F" w:rsidRPr="00F8515B" w:rsidRDefault="007B234F" w:rsidP="000641BE">
      <w:pPr>
        <w:shd w:val="clear" w:color="auto" w:fill="FFFFFF"/>
        <w:spacing w:after="0" w:line="240" w:lineRule="auto"/>
        <w:ind w:left="709"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 xml:space="preserve">[E]n general nuestra normatividad </w:t>
      </w:r>
      <w:r w:rsidRPr="00F8515B">
        <w:rPr>
          <w:rFonts w:ascii="Arial" w:eastAsia="Times New Roman" w:hAnsi="Arial" w:cs="Arial"/>
          <w:bCs/>
          <w:i/>
          <w:iCs/>
          <w:color w:val="000000" w:themeColor="text1"/>
          <w:sz w:val="21"/>
          <w:szCs w:val="21"/>
          <w:lang w:val="es-ES_tradnl" w:eastAsia="es-CO"/>
        </w:rPr>
        <w:t>ha reservado la palabra “Nación”</w:t>
      </w:r>
      <w:r w:rsidRPr="00F8515B">
        <w:rPr>
          <w:rFonts w:ascii="Arial" w:eastAsia="Times New Roman" w:hAnsi="Arial" w:cs="Arial"/>
          <w:bCs/>
          <w:color w:val="000000" w:themeColor="text1"/>
          <w:sz w:val="21"/>
          <w:szCs w:val="21"/>
          <w:lang w:val="es-ES_tradnl" w:eastAsia="es-CO"/>
        </w:rPr>
        <w:t xml:space="preserve">, en vez de la palabra “Estado”, </w:t>
      </w:r>
      <w:r w:rsidRPr="00F8515B">
        <w:rPr>
          <w:rFonts w:ascii="Arial" w:eastAsia="Times New Roman" w:hAnsi="Arial" w:cs="Arial"/>
          <w:bCs/>
          <w:i/>
          <w:iCs/>
          <w:color w:val="000000" w:themeColor="text1"/>
          <w:sz w:val="21"/>
          <w:szCs w:val="21"/>
          <w:lang w:val="es-ES_tradnl" w:eastAsia="es-CO"/>
        </w:rPr>
        <w:t>para hacer referencia a las autoridades centrales y distinguirlas de las autoridades descentralizadas</w:t>
      </w:r>
      <w:r w:rsidRPr="00F8515B">
        <w:rPr>
          <w:rFonts w:ascii="Arial" w:eastAsia="Times New Roman" w:hAnsi="Arial" w:cs="Arial"/>
          <w:bCs/>
          <w:color w:val="000000" w:themeColor="text1"/>
          <w:sz w:val="21"/>
          <w:szCs w:val="21"/>
          <w:lang w:val="es-ES_tradnl" w:eastAsia="es-CO"/>
        </w:rPr>
        <w:t xml:space="preserve">. Así, el artículo 182 de la Constitución derogada ordenaba a la ley determinar “los servicios a cargo de la Nación y de las entidades descentralizadas”. Ese lenguaje se ha mantenido en la Constitución de 1991, pues </w:t>
      </w:r>
      <w:r w:rsidRPr="00F8515B">
        <w:rPr>
          <w:rFonts w:ascii="Arial" w:eastAsia="Times New Roman" w:hAnsi="Arial" w:cs="Arial"/>
          <w:bCs/>
          <w:i/>
          <w:iCs/>
          <w:color w:val="000000" w:themeColor="text1"/>
          <w:sz w:val="21"/>
          <w:szCs w:val="21"/>
          <w:lang w:val="es-ES_tradnl" w:eastAsia="es-CO"/>
        </w:rPr>
        <w:t xml:space="preserve">la Carta utiliza la palabra Nación cuando se refiere a las competencias propias de las autoridades centrales, mientras que la palabra Estado denota en general el conjunto de todas las </w:t>
      </w:r>
      <w:proofErr w:type="gramStart"/>
      <w:r w:rsidRPr="00F8515B">
        <w:rPr>
          <w:rFonts w:ascii="Arial" w:eastAsia="Times New Roman" w:hAnsi="Arial" w:cs="Arial"/>
          <w:bCs/>
          <w:i/>
          <w:iCs/>
          <w:color w:val="000000" w:themeColor="text1"/>
          <w:sz w:val="21"/>
          <w:szCs w:val="21"/>
          <w:lang w:val="es-ES_tradnl" w:eastAsia="es-CO"/>
        </w:rPr>
        <w:t>autoridades públicas</w:t>
      </w:r>
      <w:proofErr w:type="gramEnd"/>
      <w:r w:rsidRPr="00F8515B">
        <w:rPr>
          <w:rFonts w:ascii="Arial" w:eastAsia="Times New Roman" w:hAnsi="Arial" w:cs="Arial"/>
          <w:bCs/>
          <w:color w:val="000000" w:themeColor="text1"/>
          <w:sz w:val="21"/>
          <w:szCs w:val="21"/>
          <w:lang w:val="es-ES_tradnl" w:eastAsia="es-CO"/>
        </w:rPr>
        <w:t>. (</w:t>
      </w:r>
      <w:r w:rsidR="002B287D" w:rsidRPr="00F8515B">
        <w:rPr>
          <w:rFonts w:ascii="Arial" w:eastAsia="Times New Roman" w:hAnsi="Arial" w:cs="Arial"/>
          <w:bCs/>
          <w:color w:val="000000" w:themeColor="text1"/>
          <w:sz w:val="21"/>
          <w:szCs w:val="21"/>
          <w:lang w:val="es-ES_tradnl" w:eastAsia="es-CO"/>
        </w:rPr>
        <w:t>Énfasis</w:t>
      </w:r>
      <w:r w:rsidRPr="00F8515B">
        <w:rPr>
          <w:rFonts w:ascii="Arial" w:eastAsia="Times New Roman" w:hAnsi="Arial" w:cs="Arial"/>
          <w:bCs/>
          <w:color w:val="000000" w:themeColor="text1"/>
          <w:sz w:val="21"/>
          <w:szCs w:val="21"/>
          <w:lang w:val="es-ES_tradnl" w:eastAsia="es-CO"/>
        </w:rPr>
        <w:t xml:space="preserve"> fuera del texto).</w:t>
      </w:r>
    </w:p>
    <w:p w14:paraId="7AFFA5DE" w14:textId="77777777" w:rsidR="007B234F" w:rsidRPr="00F8515B" w:rsidRDefault="007B234F" w:rsidP="007B234F">
      <w:pPr>
        <w:shd w:val="clear" w:color="auto" w:fill="FFFFFF"/>
        <w:spacing w:after="0"/>
        <w:ind w:firstLine="708"/>
        <w:rPr>
          <w:rFonts w:ascii="Arial" w:eastAsia="Times New Roman" w:hAnsi="Arial" w:cs="Arial"/>
          <w:bCs/>
          <w:color w:val="000000" w:themeColor="text1"/>
          <w:sz w:val="22"/>
          <w:lang w:val="es-ES_tradnl" w:eastAsia="es-CO"/>
        </w:rPr>
      </w:pPr>
    </w:p>
    <w:p w14:paraId="1629AAF7" w14:textId="7AD2C725"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De otro lado, el Estado en su conjunto, esto es, la Nación y otros órganos que realizan las diversas funciones y servicios, actúa en el mundo del Derecho dotado de personalidad jurídica como</w:t>
      </w:r>
      <w:r w:rsidRPr="00F8515B">
        <w:rPr>
          <w:color w:val="000000" w:themeColor="text1"/>
          <w:lang w:val="es-ES_tradnl"/>
        </w:rPr>
        <w:t xml:space="preserve"> </w:t>
      </w:r>
      <w:r w:rsidRPr="00F8515B">
        <w:rPr>
          <w:rFonts w:ascii="Arial" w:eastAsia="Times New Roman" w:hAnsi="Arial" w:cs="Arial"/>
          <w:bCs/>
          <w:color w:val="000000" w:themeColor="text1"/>
          <w:sz w:val="22"/>
          <w:lang w:val="es-ES_tradnl" w:eastAsia="es-CO"/>
        </w:rPr>
        <w:t xml:space="preserve">sujeto de derechos y obligaciones. En efecto, el artículo 80 de la Ley 153 de 1887 </w:t>
      </w:r>
      <w:r w:rsidR="00BF0438" w:rsidRPr="00F8515B">
        <w:rPr>
          <w:rFonts w:ascii="Arial" w:eastAsia="Times New Roman" w:hAnsi="Arial" w:cs="Arial"/>
          <w:bCs/>
          <w:color w:val="000000" w:themeColor="text1"/>
          <w:sz w:val="22"/>
          <w:lang w:val="es-ES_tradnl" w:eastAsia="es-CO"/>
        </w:rPr>
        <w:t xml:space="preserve">prescribe </w:t>
      </w:r>
      <w:r w:rsidRPr="00F8515B">
        <w:rPr>
          <w:rFonts w:ascii="Arial" w:eastAsia="Times New Roman" w:hAnsi="Arial" w:cs="Arial"/>
          <w:bCs/>
          <w:color w:val="000000" w:themeColor="text1"/>
          <w:sz w:val="22"/>
          <w:lang w:val="es-ES_tradnl" w:eastAsia="es-CO"/>
        </w:rPr>
        <w:t xml:space="preserve">que </w:t>
      </w:r>
      <w:r w:rsidRPr="00F8515B">
        <w:rPr>
          <w:rFonts w:ascii="Arial" w:eastAsia="Times New Roman" w:hAnsi="Arial" w:cs="Arial"/>
          <w:color w:val="000000" w:themeColor="text1"/>
          <w:sz w:val="21"/>
          <w:szCs w:val="21"/>
          <w:lang w:val="es-ES_tradnl" w:eastAsia="es-CO"/>
        </w:rPr>
        <w:t>«</w:t>
      </w:r>
      <w:r w:rsidR="00BF0438" w:rsidRPr="00F8515B">
        <w:rPr>
          <w:rFonts w:ascii="Arial" w:eastAsia="Times New Roman" w:hAnsi="Arial" w:cs="Arial"/>
          <w:bCs/>
          <w:color w:val="000000" w:themeColor="text1"/>
          <w:sz w:val="22"/>
          <w:lang w:val="es-ES_tradnl" w:eastAsia="es-CO"/>
        </w:rPr>
        <w:t>L</w:t>
      </w:r>
      <w:r w:rsidRPr="00F8515B">
        <w:rPr>
          <w:rFonts w:ascii="Arial" w:eastAsia="Times New Roman" w:hAnsi="Arial" w:cs="Arial"/>
          <w:bCs/>
          <w:color w:val="000000" w:themeColor="text1"/>
          <w:sz w:val="22"/>
          <w:lang w:val="es-ES_tradnl" w:eastAsia="es-CO"/>
        </w:rPr>
        <w:t>a Nación, los Departamentos, los Municipios, los establecimientos de beneficencia y los de instrucción pública, y las corporaciones creadas o reconocidas por la ley, son personas jurídicas</w:t>
      </w:r>
      <w:r w:rsidRPr="00F8515B">
        <w:rPr>
          <w:rFonts w:ascii="Arial" w:eastAsia="Times New Roman" w:hAnsi="Arial" w:cs="Arial"/>
          <w:color w:val="000000" w:themeColor="text1"/>
          <w:sz w:val="21"/>
          <w:szCs w:val="21"/>
          <w:lang w:val="es-ES_tradnl" w:eastAsia="es-CO"/>
        </w:rPr>
        <w:t>»</w:t>
      </w:r>
      <w:r w:rsidRPr="00F8515B">
        <w:rPr>
          <w:rFonts w:ascii="Arial" w:eastAsia="Times New Roman" w:hAnsi="Arial" w:cs="Arial"/>
          <w:bCs/>
          <w:color w:val="000000" w:themeColor="text1"/>
          <w:sz w:val="22"/>
          <w:lang w:val="es-ES_tradnl"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F8515B">
        <w:rPr>
          <w:rFonts w:ascii="Arial" w:eastAsia="Times New Roman" w:hAnsi="Arial" w:cs="Arial"/>
          <w:color w:val="000000" w:themeColor="text1"/>
          <w:sz w:val="21"/>
          <w:szCs w:val="21"/>
          <w:lang w:val="es-ES_tradnl" w:eastAsia="es-CO"/>
        </w:rPr>
        <w:t>»</w:t>
      </w:r>
      <w:r w:rsidRPr="00F8515B">
        <w:rPr>
          <w:rStyle w:val="Refdenotaalpie"/>
          <w:rFonts w:ascii="Arial" w:eastAsia="Times New Roman" w:hAnsi="Arial" w:cs="Arial"/>
          <w:color w:val="000000" w:themeColor="text1"/>
          <w:sz w:val="21"/>
          <w:szCs w:val="21"/>
          <w:lang w:val="es-ES_tradnl" w:eastAsia="es-CO"/>
        </w:rPr>
        <w:footnoteReference w:id="42"/>
      </w:r>
      <w:r w:rsidR="00656388" w:rsidRPr="00F8515B">
        <w:rPr>
          <w:rFonts w:ascii="Arial" w:eastAsia="Times New Roman" w:hAnsi="Arial" w:cs="Arial"/>
          <w:color w:val="000000" w:themeColor="text1"/>
          <w:sz w:val="21"/>
          <w:szCs w:val="21"/>
          <w:lang w:val="es-ES_tradnl" w:eastAsia="es-CO"/>
        </w:rPr>
        <w:t>.</w:t>
      </w:r>
      <w:r w:rsidRPr="00F8515B">
        <w:rPr>
          <w:rFonts w:ascii="Arial" w:eastAsia="Times New Roman" w:hAnsi="Arial" w:cs="Arial"/>
          <w:bCs/>
          <w:color w:val="000000" w:themeColor="text1"/>
          <w:sz w:val="22"/>
          <w:lang w:val="es-ES_tradnl" w:eastAsia="es-CO"/>
        </w:rPr>
        <w:t xml:space="preserve">  </w:t>
      </w:r>
    </w:p>
    <w:p w14:paraId="57907EAD" w14:textId="38551A8E" w:rsidR="007B234F" w:rsidRPr="00F8515B" w:rsidRDefault="007B234F" w:rsidP="007B234F">
      <w:pPr>
        <w:shd w:val="clear" w:color="auto" w:fill="FFFFFF"/>
        <w:spacing w:after="0"/>
        <w:ind w:firstLine="708"/>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En particular, la Rama Ejecutiva del Poder público se manifiesta en dos</w:t>
      </w:r>
      <w:r w:rsidR="000F354B" w:rsidRPr="00F8515B">
        <w:rPr>
          <w:rFonts w:ascii="Arial" w:eastAsia="Times New Roman" w:hAnsi="Arial" w:cs="Arial"/>
          <w:bCs/>
          <w:color w:val="000000" w:themeColor="text1"/>
          <w:sz w:val="22"/>
          <w:lang w:val="es-ES_tradnl" w:eastAsia="es-CO"/>
        </w:rPr>
        <w:t xml:space="preserve"> (2)</w:t>
      </w:r>
      <w:r w:rsidRPr="00F8515B">
        <w:rPr>
          <w:rFonts w:ascii="Arial" w:eastAsia="Times New Roman" w:hAnsi="Arial" w:cs="Arial"/>
          <w:bCs/>
          <w:color w:val="000000" w:themeColor="text1"/>
          <w:sz w:val="22"/>
          <w:lang w:val="es-ES_tradnl" w:eastAsia="es-CO"/>
        </w:rPr>
        <w:t xml:space="preserve"> órdenes o niveles</w:t>
      </w:r>
      <w:r w:rsidR="000F354B"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w:t>
      </w:r>
      <w:r w:rsidR="000F354B" w:rsidRPr="00F8515B">
        <w:rPr>
          <w:rFonts w:ascii="Arial" w:eastAsia="Times New Roman" w:hAnsi="Arial" w:cs="Arial"/>
          <w:bCs/>
          <w:color w:val="000000" w:themeColor="text1"/>
          <w:sz w:val="22"/>
          <w:lang w:val="es-ES_tradnl" w:eastAsia="es-CO"/>
        </w:rPr>
        <w:t>P</w:t>
      </w:r>
      <w:r w:rsidRPr="00F8515B">
        <w:rPr>
          <w:rFonts w:ascii="Arial" w:eastAsia="Times New Roman" w:hAnsi="Arial" w:cs="Arial"/>
          <w:bCs/>
          <w:color w:val="000000" w:themeColor="text1"/>
          <w:sz w:val="22"/>
          <w:lang w:val="es-ES_tradnl" w:eastAsia="es-CO"/>
        </w:rPr>
        <w:t>or un lado, el nivel nacional o «administración nacional» que</w:t>
      </w:r>
      <w:r w:rsidR="000F354B"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a su turno</w:t>
      </w:r>
      <w:r w:rsidR="00E6402F"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puede contar con entidades descentralizadas por servicios y</w:t>
      </w:r>
      <w:r w:rsidR="00E6402F"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por el otro, el nivel descentralizado territori</w:t>
      </w:r>
      <w:r w:rsidR="00E6402F" w:rsidRPr="00F8515B">
        <w:rPr>
          <w:rFonts w:ascii="Arial" w:eastAsia="Times New Roman" w:hAnsi="Arial" w:cs="Arial"/>
          <w:bCs/>
          <w:color w:val="000000" w:themeColor="text1"/>
          <w:sz w:val="22"/>
          <w:lang w:val="es-ES_tradnl" w:eastAsia="es-CO"/>
        </w:rPr>
        <w:t>almente</w:t>
      </w:r>
      <w:r w:rsidRPr="00F8515B">
        <w:rPr>
          <w:rFonts w:ascii="Arial" w:eastAsia="Times New Roman" w:hAnsi="Arial" w:cs="Arial"/>
          <w:bCs/>
          <w:color w:val="000000" w:themeColor="text1"/>
          <w:sz w:val="22"/>
          <w:lang w:val="es-ES_tradnl" w:eastAsia="es-CO"/>
        </w:rPr>
        <w:t>, o «administración territorial». En efecto, el artículo 38 de la Ley 489 de 1998, por medio de la cual se dictan normas sobre la organización y funcionamiento de las entidades del orden nacional, dispone</w:t>
      </w:r>
      <w:r w:rsidR="004D1B75" w:rsidRPr="00F8515B">
        <w:rPr>
          <w:rFonts w:ascii="Arial" w:eastAsia="Times New Roman" w:hAnsi="Arial" w:cs="Arial"/>
          <w:bCs/>
          <w:color w:val="000000" w:themeColor="text1"/>
          <w:sz w:val="22"/>
          <w:lang w:val="es-ES_tradnl" w:eastAsia="es-CO"/>
        </w:rPr>
        <w:t xml:space="preserve"> que</w:t>
      </w:r>
      <w:r w:rsidRPr="00F8515B">
        <w:rPr>
          <w:rFonts w:ascii="Arial" w:eastAsia="Times New Roman" w:hAnsi="Arial" w:cs="Arial"/>
          <w:bCs/>
          <w:color w:val="000000" w:themeColor="text1"/>
          <w:sz w:val="22"/>
          <w:lang w:val="es-ES_tradnl" w:eastAsia="es-CO"/>
        </w:rPr>
        <w:t xml:space="preserve">: </w:t>
      </w:r>
    </w:p>
    <w:p w14:paraId="5D588E7C" w14:textId="77777777" w:rsidR="007B234F" w:rsidRPr="00F8515B" w:rsidRDefault="007B234F" w:rsidP="007B234F">
      <w:pPr>
        <w:shd w:val="clear" w:color="auto" w:fill="FFFFFF"/>
        <w:spacing w:after="0"/>
        <w:ind w:firstLine="708"/>
        <w:rPr>
          <w:rFonts w:ascii="Arial" w:eastAsia="Times New Roman" w:hAnsi="Arial" w:cs="Arial"/>
          <w:bCs/>
          <w:color w:val="000000" w:themeColor="text1"/>
          <w:sz w:val="22"/>
          <w:lang w:val="es-ES_tradnl" w:eastAsia="es-CO"/>
        </w:rPr>
      </w:pPr>
    </w:p>
    <w:p w14:paraId="3E22E070" w14:textId="33E89094" w:rsidR="007B234F" w:rsidRPr="00F8515B" w:rsidRDefault="007B234F" w:rsidP="000641BE">
      <w:pPr>
        <w:shd w:val="clear" w:color="auto" w:fill="FFFFFF"/>
        <w:spacing w:after="120" w:line="240" w:lineRule="auto"/>
        <w:ind w:left="709"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La Rama Ejecutiva del Poder Público del orden nacional, está integrada por los siguientes organismos y entidades:</w:t>
      </w:r>
    </w:p>
    <w:p w14:paraId="034E2B3F" w14:textId="7BFF532E" w:rsidR="007B234F" w:rsidRPr="00F8515B" w:rsidRDefault="007B234F" w:rsidP="000641BE">
      <w:pPr>
        <w:shd w:val="clear" w:color="auto" w:fill="FFFFFF"/>
        <w:spacing w:after="120" w:line="240" w:lineRule="auto"/>
        <w:ind w:left="709"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1. Del Sector Central:</w:t>
      </w:r>
    </w:p>
    <w:p w14:paraId="68DDB9B2"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a) La Presidencia de la República;</w:t>
      </w:r>
    </w:p>
    <w:p w14:paraId="1D29C925"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b) La Vicepresidencia de la República;</w:t>
      </w:r>
    </w:p>
    <w:p w14:paraId="67165500" w14:textId="77777777" w:rsidR="007B234F" w:rsidRPr="00F8515B" w:rsidRDefault="007B234F" w:rsidP="000641BE">
      <w:pPr>
        <w:shd w:val="clear" w:color="auto" w:fill="FFFFFF"/>
        <w:spacing w:after="0" w:line="240" w:lineRule="auto"/>
        <w:ind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 xml:space="preserve">  </w:t>
      </w:r>
      <w:r w:rsidRPr="00F8515B">
        <w:rPr>
          <w:rFonts w:ascii="Arial" w:eastAsia="Times New Roman" w:hAnsi="Arial" w:cs="Arial"/>
          <w:bCs/>
          <w:color w:val="000000" w:themeColor="text1"/>
          <w:sz w:val="21"/>
          <w:szCs w:val="21"/>
          <w:lang w:val="es-ES_tradnl" w:eastAsia="es-CO"/>
        </w:rPr>
        <w:tab/>
        <w:t>c) Los Consejos Superiores de la administración;</w:t>
      </w:r>
    </w:p>
    <w:p w14:paraId="5EC7C28E"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d) Los ministerios y departamentos administrativos;</w:t>
      </w:r>
    </w:p>
    <w:p w14:paraId="2D54956C" w14:textId="0D270E9D" w:rsidR="007B234F" w:rsidRPr="00F8515B" w:rsidRDefault="007B234F" w:rsidP="000641BE">
      <w:pPr>
        <w:shd w:val="clear" w:color="auto" w:fill="FFFFFF"/>
        <w:spacing w:after="120" w:line="240" w:lineRule="auto"/>
        <w:ind w:left="709"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e) Las superintendencias y unidades administrativas especiales sin personería jurídica;</w:t>
      </w:r>
    </w:p>
    <w:p w14:paraId="76A7003B" w14:textId="2E685D1A" w:rsidR="007B234F" w:rsidRPr="00F8515B" w:rsidRDefault="007B234F" w:rsidP="000641BE">
      <w:pPr>
        <w:shd w:val="clear" w:color="auto" w:fill="FFFFFF"/>
        <w:spacing w:after="120" w:line="240" w:lineRule="auto"/>
        <w:ind w:left="709"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2. Del Sector Descentralizado por Servicios:</w:t>
      </w:r>
    </w:p>
    <w:p w14:paraId="7FC0BD68"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a) Los establecimientos públicos;</w:t>
      </w:r>
    </w:p>
    <w:p w14:paraId="202F473A"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b) Las empresas industriales y comerciales del Estado;</w:t>
      </w:r>
    </w:p>
    <w:p w14:paraId="50CC4D11"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c) Las superintendencias y unidades administrativas especiales con personería jurídica;</w:t>
      </w:r>
    </w:p>
    <w:p w14:paraId="48B56C94"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d) Las empresas sociales del Estado y las empresas oficiales de servicios públicos domiciliarios;</w:t>
      </w:r>
    </w:p>
    <w:p w14:paraId="731336B7"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e) Los institutos científicos y tecnológicos;</w:t>
      </w:r>
    </w:p>
    <w:p w14:paraId="4326F93A"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f) Las sociedades públicas y las sociedades de economía mixta;</w:t>
      </w:r>
    </w:p>
    <w:p w14:paraId="4933EB87" w14:textId="77777777" w:rsidR="007B234F" w:rsidRPr="00F8515B" w:rsidRDefault="007B234F" w:rsidP="000641BE">
      <w:pPr>
        <w:shd w:val="clear" w:color="auto" w:fill="FFFFFF"/>
        <w:spacing w:after="0" w:line="240" w:lineRule="auto"/>
        <w:ind w:left="708" w:right="567"/>
        <w:rPr>
          <w:rFonts w:ascii="Arial" w:eastAsia="Times New Roman" w:hAnsi="Arial" w:cs="Arial"/>
          <w:bCs/>
          <w:color w:val="000000" w:themeColor="text1"/>
          <w:sz w:val="21"/>
          <w:szCs w:val="21"/>
          <w:lang w:val="es-ES_tradnl" w:eastAsia="es-CO"/>
        </w:rPr>
      </w:pPr>
      <w:r w:rsidRPr="00F8515B">
        <w:rPr>
          <w:rFonts w:ascii="Arial" w:eastAsia="Times New Roman" w:hAnsi="Arial" w:cs="Arial"/>
          <w:bCs/>
          <w:color w:val="000000" w:themeColor="text1"/>
          <w:sz w:val="21"/>
          <w:szCs w:val="21"/>
          <w:lang w:val="es-ES_tradnl" w:eastAsia="es-CO"/>
        </w:rPr>
        <w:t xml:space="preserve">g) Las demás entidades administrativas nacionales con personería jurídica que cree, organice o autorice la ley para que formen parte de la Rama Ejecutiva del Poder Público. </w:t>
      </w:r>
    </w:p>
    <w:p w14:paraId="67DF827E" w14:textId="77777777" w:rsidR="007B234F" w:rsidRPr="00F8515B" w:rsidRDefault="007B234F" w:rsidP="007B234F">
      <w:pPr>
        <w:shd w:val="clear" w:color="auto" w:fill="FFFFFF"/>
        <w:spacing w:after="0"/>
        <w:ind w:right="567"/>
        <w:rPr>
          <w:rFonts w:ascii="Arial" w:eastAsia="Times New Roman" w:hAnsi="Arial" w:cs="Arial"/>
          <w:bCs/>
          <w:color w:val="000000" w:themeColor="text1"/>
          <w:sz w:val="21"/>
          <w:szCs w:val="21"/>
          <w:lang w:val="es-ES_tradnl" w:eastAsia="es-CO"/>
        </w:rPr>
      </w:pPr>
    </w:p>
    <w:p w14:paraId="049DFD8F" w14:textId="2F7D5004"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Según la norma transcrita, la organización de la Rama Ejecutiva del Poder Público, en su nivel nacional, cuenta con dos</w:t>
      </w:r>
      <w:r w:rsidR="00C6585A" w:rsidRPr="00F8515B">
        <w:rPr>
          <w:rFonts w:ascii="Arial" w:eastAsia="Times New Roman" w:hAnsi="Arial" w:cs="Arial"/>
          <w:bCs/>
          <w:color w:val="000000" w:themeColor="text1"/>
          <w:sz w:val="22"/>
          <w:lang w:val="es-ES_tradnl" w:eastAsia="es-CO"/>
        </w:rPr>
        <w:t xml:space="preserve"> (2)</w:t>
      </w:r>
      <w:r w:rsidRPr="00F8515B">
        <w:rPr>
          <w:rFonts w:ascii="Arial" w:eastAsia="Times New Roman" w:hAnsi="Arial" w:cs="Arial"/>
          <w:bCs/>
          <w:color w:val="000000" w:themeColor="text1"/>
          <w:sz w:val="22"/>
          <w:lang w:val="es-ES_tradnl" w:eastAsia="es-CO"/>
        </w:rPr>
        <w:t xml:space="preserve"> sectores</w:t>
      </w:r>
      <w:r w:rsidR="00C6585A"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w:t>
      </w:r>
      <w:r w:rsidR="00C6585A" w:rsidRPr="00F8515B">
        <w:rPr>
          <w:rFonts w:ascii="Arial" w:eastAsia="Times New Roman" w:hAnsi="Arial" w:cs="Arial"/>
          <w:bCs/>
          <w:color w:val="000000" w:themeColor="text1"/>
          <w:sz w:val="22"/>
          <w:lang w:val="es-ES_tradnl" w:eastAsia="es-CO"/>
        </w:rPr>
        <w:t>U</w:t>
      </w:r>
      <w:r w:rsidRPr="00F8515B">
        <w:rPr>
          <w:rFonts w:ascii="Arial" w:eastAsia="Times New Roman" w:hAnsi="Arial" w:cs="Arial"/>
          <w:bCs/>
          <w:color w:val="000000" w:themeColor="text1"/>
          <w:sz w:val="22"/>
          <w:lang w:val="es-ES_tradnl" w:eastAsia="es-CO"/>
        </w:rPr>
        <w:t>no central conformado por la Presidencia de la República, la Vicepresidencia, los ministerios, departamentos administrativos, consejos superiores de la administración y las superintendencias y unidades administrativas especiales sin personería jurídica</w:t>
      </w:r>
      <w:r w:rsidR="00C6585A" w:rsidRPr="00F8515B">
        <w:rPr>
          <w:rFonts w:ascii="Arial" w:eastAsia="Times New Roman" w:hAnsi="Arial" w:cs="Arial"/>
          <w:bCs/>
          <w:color w:val="000000" w:themeColor="text1"/>
          <w:sz w:val="22"/>
          <w:lang w:val="es-ES_tradnl" w:eastAsia="es-CO"/>
        </w:rPr>
        <w:t xml:space="preserve">. Y </w:t>
      </w:r>
      <w:r w:rsidRPr="00F8515B">
        <w:rPr>
          <w:rFonts w:ascii="Arial" w:eastAsia="Times New Roman" w:hAnsi="Arial" w:cs="Arial"/>
          <w:bCs/>
          <w:color w:val="000000" w:themeColor="text1"/>
          <w:sz w:val="22"/>
          <w:lang w:val="es-ES_tradnl" w:eastAsia="es-CO"/>
        </w:rPr>
        <w:t>otro descentralizado</w:t>
      </w:r>
      <w:r w:rsidR="007D0BF9" w:rsidRPr="00F8515B">
        <w:rPr>
          <w:rFonts w:ascii="Arial" w:eastAsia="Times New Roman" w:hAnsi="Arial" w:cs="Arial"/>
          <w:bCs/>
          <w:color w:val="000000" w:themeColor="text1"/>
          <w:sz w:val="22"/>
          <w:lang w:val="es-ES_tradnl" w:eastAsia="es-CO"/>
        </w:rPr>
        <w:t xml:space="preserve"> por servicios</w:t>
      </w:r>
      <w:r w:rsidRPr="00F8515B">
        <w:rPr>
          <w:rFonts w:ascii="Arial" w:eastAsia="Times New Roman" w:hAnsi="Arial" w:cs="Arial"/>
          <w:bCs/>
          <w:color w:val="000000" w:themeColor="text1"/>
          <w:sz w:val="22"/>
          <w:lang w:val="es-ES_tradnl" w:eastAsia="es-CO"/>
        </w:rPr>
        <w:t>, en el cual se encuentran los establecimientos públicos, las empresas industriales y comerciales del Estado, las sociedades de economía mixta y, en general, las entidades administrativas nacionales que cuenten con personería jurídica diferente a la Nación</w:t>
      </w:r>
      <w:r w:rsidRPr="00F8515B">
        <w:rPr>
          <w:rStyle w:val="Refdenotaalpie"/>
          <w:rFonts w:ascii="Arial" w:eastAsia="Times New Roman" w:hAnsi="Arial" w:cs="Arial"/>
          <w:bCs/>
          <w:color w:val="000000" w:themeColor="text1"/>
          <w:sz w:val="22"/>
          <w:lang w:val="es-ES_tradnl" w:eastAsia="es-CO"/>
        </w:rPr>
        <w:footnoteReference w:id="43"/>
      </w:r>
      <w:r w:rsidRPr="00F8515B">
        <w:rPr>
          <w:rFonts w:ascii="Arial" w:eastAsia="Times New Roman" w:hAnsi="Arial" w:cs="Arial"/>
          <w:bCs/>
          <w:color w:val="000000" w:themeColor="text1"/>
          <w:sz w:val="22"/>
          <w:lang w:val="es-ES_tradnl" w:eastAsia="es-CO"/>
        </w:rPr>
        <w:t>.</w:t>
      </w:r>
    </w:p>
    <w:p w14:paraId="6C055782" w14:textId="48B2D762" w:rsidR="007B234F" w:rsidRPr="00F8515B" w:rsidRDefault="00874A6C" w:rsidP="000641BE">
      <w:pPr>
        <w:shd w:val="clear" w:color="auto" w:fill="FFFFFF"/>
        <w:spacing w:after="120"/>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lastRenderedPageBreak/>
        <w:tab/>
      </w:r>
      <w:r w:rsidR="007B234F" w:rsidRPr="00F8515B">
        <w:rPr>
          <w:rFonts w:ascii="Arial" w:eastAsia="Times New Roman" w:hAnsi="Arial" w:cs="Arial"/>
          <w:bCs/>
          <w:color w:val="000000" w:themeColor="text1"/>
          <w:sz w:val="22"/>
          <w:lang w:val="es-ES_tradnl" w:eastAsia="es-CO"/>
        </w:rPr>
        <w:t>A</w:t>
      </w:r>
      <w:r w:rsidR="006E0F9F" w:rsidRPr="00F8515B">
        <w:rPr>
          <w:rFonts w:ascii="Arial" w:eastAsia="Times New Roman" w:hAnsi="Arial" w:cs="Arial"/>
          <w:bCs/>
          <w:color w:val="000000" w:themeColor="text1"/>
          <w:sz w:val="22"/>
          <w:lang w:val="es-ES_tradnl" w:eastAsia="es-CO"/>
        </w:rPr>
        <w:t>l</w:t>
      </w:r>
      <w:r w:rsidR="007B234F" w:rsidRPr="00F8515B">
        <w:rPr>
          <w:rFonts w:ascii="Arial" w:eastAsia="Times New Roman" w:hAnsi="Arial" w:cs="Arial"/>
          <w:bCs/>
          <w:color w:val="000000" w:themeColor="text1"/>
          <w:sz w:val="22"/>
          <w:lang w:val="es-ES_tradnl" w:eastAsia="es-CO"/>
        </w:rPr>
        <w:t xml:space="preserve"> respecto debe recordarse que la descentralización</w:t>
      </w:r>
      <w:r w:rsidR="00F452B6" w:rsidRPr="00F8515B">
        <w:rPr>
          <w:rFonts w:ascii="Arial" w:eastAsia="Times New Roman" w:hAnsi="Arial" w:cs="Arial"/>
          <w:bCs/>
          <w:color w:val="000000" w:themeColor="text1"/>
          <w:sz w:val="22"/>
          <w:lang w:val="es-ES_tradnl" w:eastAsia="es-CO"/>
        </w:rPr>
        <w:t xml:space="preserve"> es una </w:t>
      </w:r>
      <w:r w:rsidR="007D0BF9" w:rsidRPr="00F8515B">
        <w:rPr>
          <w:rFonts w:ascii="Arial" w:eastAsia="Times New Roman" w:hAnsi="Arial" w:cs="Arial"/>
          <w:bCs/>
          <w:color w:val="000000" w:themeColor="text1"/>
          <w:sz w:val="22"/>
          <w:lang w:val="es-ES_tradnl" w:eastAsia="es-CO"/>
        </w:rPr>
        <w:t>técnica de ejercicio de la función</w:t>
      </w:r>
      <w:r w:rsidR="007B234F" w:rsidRPr="00F8515B">
        <w:rPr>
          <w:rFonts w:ascii="Arial" w:eastAsia="Times New Roman" w:hAnsi="Arial" w:cs="Arial"/>
          <w:bCs/>
          <w:color w:val="000000" w:themeColor="text1"/>
          <w:sz w:val="22"/>
          <w:lang w:val="es-ES_tradnl" w:eastAsia="es-CO"/>
        </w:rPr>
        <w:t xml:space="preserve"> administrativa</w:t>
      </w:r>
      <w:r w:rsidR="007D0BF9" w:rsidRPr="00F8515B">
        <w:rPr>
          <w:rFonts w:ascii="Arial" w:eastAsia="Times New Roman" w:hAnsi="Arial" w:cs="Arial"/>
          <w:bCs/>
          <w:color w:val="000000" w:themeColor="text1"/>
          <w:sz w:val="22"/>
          <w:lang w:val="es-ES_tradnl" w:eastAsia="es-CO"/>
        </w:rPr>
        <w:t>,</w:t>
      </w:r>
      <w:r w:rsidR="007B234F" w:rsidRPr="00F8515B">
        <w:rPr>
          <w:rFonts w:ascii="Arial" w:eastAsia="Times New Roman" w:hAnsi="Arial" w:cs="Arial"/>
          <w:bCs/>
          <w:color w:val="000000" w:themeColor="text1"/>
          <w:sz w:val="22"/>
          <w:lang w:val="es-ES_tradnl" w:eastAsia="es-CO"/>
        </w:rPr>
        <w:t xml:space="preserve"> que implica el traslado de competencias a favor de autoridades o personas distintas a la Nación</w:t>
      </w:r>
      <w:r w:rsidR="00C828A1" w:rsidRPr="00F8515B">
        <w:rPr>
          <w:rFonts w:ascii="Arial" w:eastAsia="Times New Roman" w:hAnsi="Arial" w:cs="Arial"/>
          <w:bCs/>
          <w:color w:val="000000" w:themeColor="text1"/>
          <w:sz w:val="22"/>
          <w:lang w:val="es-ES_tradnl" w:eastAsia="es-CO"/>
        </w:rPr>
        <w:t>, para que actúen con personería jurídica, autonomía administrativa y patrimonio propio</w:t>
      </w:r>
      <w:r w:rsidR="009A4864" w:rsidRPr="00F8515B">
        <w:rPr>
          <w:rFonts w:ascii="Arial" w:eastAsia="Times New Roman" w:hAnsi="Arial" w:cs="Arial"/>
          <w:bCs/>
          <w:color w:val="000000" w:themeColor="text1"/>
          <w:sz w:val="22"/>
          <w:lang w:val="es-ES_tradnl" w:eastAsia="es-CO"/>
        </w:rPr>
        <w:t xml:space="preserve">. </w:t>
      </w:r>
      <w:r w:rsidR="00C828A1" w:rsidRPr="00F8515B">
        <w:rPr>
          <w:rFonts w:ascii="Arial" w:eastAsia="Times New Roman" w:hAnsi="Arial" w:cs="Arial"/>
          <w:bCs/>
          <w:color w:val="000000" w:themeColor="text1"/>
          <w:sz w:val="22"/>
          <w:lang w:val="es-ES_tradnl" w:eastAsia="es-CO"/>
        </w:rPr>
        <w:t xml:space="preserve">La descentralización </w:t>
      </w:r>
      <w:r w:rsidR="007B234F" w:rsidRPr="00F8515B">
        <w:rPr>
          <w:rFonts w:ascii="Arial" w:eastAsia="Times New Roman" w:hAnsi="Arial" w:cs="Arial"/>
          <w:bCs/>
          <w:color w:val="000000" w:themeColor="text1"/>
          <w:sz w:val="22"/>
          <w:lang w:val="es-ES_tradnl" w:eastAsia="es-CO"/>
        </w:rPr>
        <w:t xml:space="preserve">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D35A693" w14:textId="6133EBE2"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En ese sentido, de acuerdo </w:t>
      </w:r>
      <w:r w:rsidR="00052CE1" w:rsidRPr="00F8515B">
        <w:rPr>
          <w:rFonts w:ascii="Arial" w:eastAsia="Times New Roman" w:hAnsi="Arial" w:cs="Arial"/>
          <w:bCs/>
          <w:color w:val="000000" w:themeColor="text1"/>
          <w:sz w:val="22"/>
          <w:lang w:val="es-ES_tradnl" w:eastAsia="es-CO"/>
        </w:rPr>
        <w:t>con la explicación precedente</w:t>
      </w:r>
      <w:r w:rsidRPr="00F8515B">
        <w:rPr>
          <w:rFonts w:ascii="Arial" w:eastAsia="Times New Roman" w:hAnsi="Arial" w:cs="Arial"/>
          <w:bCs/>
          <w:color w:val="000000" w:themeColor="text1"/>
          <w:sz w:val="22"/>
          <w:lang w:val="es-ES_tradnl" w:eastAsia="es-CO"/>
        </w:rPr>
        <w:t>, en el nivel nacional de la Rama Ejecutiva existen entidades que pertene</w:t>
      </w:r>
      <w:r w:rsidR="00C821FE" w:rsidRPr="00F8515B">
        <w:rPr>
          <w:rFonts w:ascii="Arial" w:eastAsia="Times New Roman" w:hAnsi="Arial" w:cs="Arial"/>
          <w:bCs/>
          <w:color w:val="000000" w:themeColor="text1"/>
          <w:sz w:val="22"/>
          <w:lang w:val="es-ES_tradnl" w:eastAsia="es-CO"/>
        </w:rPr>
        <w:t>ce</w:t>
      </w:r>
      <w:r w:rsidRPr="00F8515B">
        <w:rPr>
          <w:rFonts w:ascii="Arial" w:eastAsia="Times New Roman" w:hAnsi="Arial" w:cs="Arial"/>
          <w:bCs/>
          <w:color w:val="000000" w:themeColor="text1"/>
          <w:sz w:val="22"/>
          <w:lang w:val="es-ES_tradnl" w:eastAsia="es-CO"/>
        </w:rPr>
        <w:t xml:space="preserve">n o bien al sector central, precisamente, por no encontrarse descentralizadas y hacer parte, por ende, </w:t>
      </w:r>
      <w:r w:rsidR="005A4079" w:rsidRPr="00F8515B">
        <w:rPr>
          <w:rFonts w:ascii="Arial" w:eastAsia="Times New Roman" w:hAnsi="Arial" w:cs="Arial"/>
          <w:bCs/>
          <w:color w:val="000000" w:themeColor="text1"/>
          <w:sz w:val="22"/>
          <w:lang w:val="es-ES_tradnl" w:eastAsia="es-CO"/>
        </w:rPr>
        <w:t>de</w:t>
      </w:r>
      <w:r w:rsidRPr="00F8515B">
        <w:rPr>
          <w:rFonts w:ascii="Arial" w:eastAsia="Times New Roman" w:hAnsi="Arial" w:cs="Arial"/>
          <w:bCs/>
          <w:color w:val="000000" w:themeColor="text1"/>
          <w:sz w:val="22"/>
          <w:lang w:val="es-ES_tradnl" w:eastAsia="es-CO"/>
        </w:rPr>
        <w:t xml:space="preserve"> la Nación como persona jurídica y, por otro lado, un sector nacional descentralizado</w:t>
      </w:r>
      <w:r w:rsidR="005422B9" w:rsidRPr="00F8515B">
        <w:rPr>
          <w:rFonts w:ascii="Arial" w:eastAsia="Times New Roman" w:hAnsi="Arial" w:cs="Arial"/>
          <w:bCs/>
          <w:color w:val="000000" w:themeColor="text1"/>
          <w:sz w:val="22"/>
          <w:lang w:val="es-ES_tradnl" w:eastAsia="es-CO"/>
        </w:rPr>
        <w:t xml:space="preserve"> por servicios,</w:t>
      </w:r>
      <w:r w:rsidRPr="00F8515B">
        <w:rPr>
          <w:rFonts w:ascii="Arial" w:eastAsia="Times New Roman" w:hAnsi="Arial" w:cs="Arial"/>
          <w:bCs/>
          <w:color w:val="000000" w:themeColor="text1"/>
          <w:sz w:val="22"/>
          <w:lang w:val="es-ES_tradnl" w:eastAsia="es-CO"/>
        </w:rPr>
        <w:t xml:space="preserve"> conformado por personas jurídicas distintas a la Nación a quienes se les han transferido o descentralizado competencias en razón a la especialidad o el servicio para cuya prestación han sido creadas.</w:t>
      </w:r>
    </w:p>
    <w:p w14:paraId="31BDB3F2" w14:textId="1018FA8C" w:rsidR="007B234F" w:rsidRPr="00F8515B" w:rsidRDefault="007B234F" w:rsidP="00D21B72">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A su turno, dentro del sector descentralizado por servicios del nivel nacional existen dos modalidades de </w:t>
      </w:r>
      <w:r w:rsidR="009F1BD6" w:rsidRPr="00F8515B">
        <w:rPr>
          <w:rFonts w:ascii="Arial" w:eastAsia="Times New Roman" w:hAnsi="Arial" w:cs="Arial"/>
          <w:bCs/>
          <w:color w:val="000000" w:themeColor="text1"/>
          <w:sz w:val="22"/>
          <w:lang w:val="es-ES_tradnl" w:eastAsia="es-CO"/>
        </w:rPr>
        <w:t>descentralización</w:t>
      </w:r>
      <w:r w:rsidRPr="00F8515B">
        <w:rPr>
          <w:rFonts w:ascii="Arial" w:eastAsia="Times New Roman" w:hAnsi="Arial" w:cs="Arial"/>
          <w:bCs/>
          <w:color w:val="000000" w:themeColor="text1"/>
          <w:sz w:val="22"/>
          <w:lang w:val="es-ES_tradnl"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r w:rsidR="000F68D3" w:rsidRPr="00F8515B">
        <w:rPr>
          <w:rFonts w:ascii="Arial" w:eastAsia="Times New Roman" w:hAnsi="Arial" w:cs="Arial"/>
          <w:bCs/>
          <w:color w:val="000000" w:themeColor="text1"/>
          <w:sz w:val="22"/>
          <w:lang w:val="es-ES_tradnl" w:eastAsia="es-CO"/>
        </w:rPr>
        <w:t xml:space="preserve">Y la segunda alude a </w:t>
      </w:r>
      <w:r w:rsidR="001B4EC6" w:rsidRPr="00F8515B">
        <w:rPr>
          <w:rFonts w:ascii="Arial" w:eastAsia="Times New Roman" w:hAnsi="Arial" w:cs="Arial"/>
          <w:bCs/>
          <w:color w:val="000000" w:themeColor="text1"/>
          <w:sz w:val="22"/>
          <w:lang w:val="es-ES_tradnl" w:eastAsia="es-CO"/>
        </w:rPr>
        <w:t>la creación de entidades como resultado de la voluntad de otras entidades descentralizadas. En efecto</w:t>
      </w:r>
      <w:r w:rsidRPr="00F8515B">
        <w:rPr>
          <w:rFonts w:ascii="Arial" w:eastAsia="Times New Roman" w:hAnsi="Arial" w:cs="Arial"/>
          <w:bCs/>
          <w:color w:val="000000" w:themeColor="text1"/>
          <w:sz w:val="22"/>
          <w:lang w:val="es-ES_tradnl" w:eastAsia="es-CO"/>
        </w:rPr>
        <w:t xml:space="preserve">, dichas entidades descentralizadas directamente, por ser personas jurídicas, pueden, a su turno, participar con otras personas en la creación de </w:t>
      </w:r>
      <w:r w:rsidR="003F60D3" w:rsidRPr="00F8515B">
        <w:rPr>
          <w:rFonts w:ascii="Arial" w:eastAsia="Times New Roman" w:hAnsi="Arial" w:cs="Arial"/>
          <w:bCs/>
          <w:color w:val="000000" w:themeColor="text1"/>
          <w:sz w:val="22"/>
          <w:lang w:val="es-ES_tradnl" w:eastAsia="es-CO"/>
        </w:rPr>
        <w:t xml:space="preserve">otras completamente </w:t>
      </w:r>
      <w:r w:rsidRPr="00F8515B">
        <w:rPr>
          <w:rFonts w:ascii="Arial" w:eastAsia="Times New Roman" w:hAnsi="Arial" w:cs="Arial"/>
          <w:bCs/>
          <w:color w:val="000000" w:themeColor="text1"/>
          <w:sz w:val="22"/>
          <w:lang w:val="es-ES_tradnl" w:eastAsia="es-CO"/>
        </w:rPr>
        <w:t>nuevas</w:t>
      </w:r>
      <w:r w:rsidR="001E1988" w:rsidRPr="00F8515B">
        <w:rPr>
          <w:rFonts w:ascii="Arial" w:eastAsia="Times New Roman" w:hAnsi="Arial" w:cs="Arial"/>
          <w:bCs/>
          <w:color w:val="000000" w:themeColor="text1"/>
          <w:sz w:val="22"/>
          <w:lang w:val="es-ES_tradnl" w:eastAsia="es-CO"/>
        </w:rPr>
        <w:t>. E</w:t>
      </w:r>
      <w:r w:rsidRPr="00F8515B">
        <w:rPr>
          <w:rFonts w:ascii="Arial" w:eastAsia="Times New Roman" w:hAnsi="Arial" w:cs="Arial"/>
          <w:bCs/>
          <w:color w:val="000000" w:themeColor="text1"/>
          <w:sz w:val="22"/>
          <w:lang w:val="es-ES_tradnl" w:eastAsia="es-CO"/>
        </w:rPr>
        <w:t>stas</w:t>
      </w:r>
      <w:r w:rsidR="001E1988" w:rsidRPr="00F8515B">
        <w:rPr>
          <w:rFonts w:ascii="Arial" w:eastAsia="Times New Roman" w:hAnsi="Arial" w:cs="Arial"/>
          <w:bCs/>
          <w:color w:val="000000" w:themeColor="text1"/>
          <w:sz w:val="22"/>
          <w:lang w:val="es-ES_tradnl" w:eastAsia="es-CO"/>
        </w:rPr>
        <w:t xml:space="preserve"> corresponden</w:t>
      </w:r>
      <w:r w:rsidRPr="00F8515B">
        <w:rPr>
          <w:rFonts w:ascii="Arial" w:eastAsia="Times New Roman" w:hAnsi="Arial" w:cs="Arial"/>
          <w:bCs/>
          <w:color w:val="000000" w:themeColor="text1"/>
          <w:sz w:val="22"/>
          <w:lang w:val="es-ES_tradnl" w:eastAsia="es-CO"/>
        </w:rPr>
        <w:t>, entonces, a las denominadas entidades descentralizadas indirecta</w:t>
      </w:r>
      <w:r w:rsidR="001E1988" w:rsidRPr="00F8515B">
        <w:rPr>
          <w:rFonts w:ascii="Arial" w:eastAsia="Times New Roman" w:hAnsi="Arial" w:cs="Arial"/>
          <w:bCs/>
          <w:color w:val="000000" w:themeColor="text1"/>
          <w:sz w:val="22"/>
          <w:lang w:val="es-ES_tradnl" w:eastAsia="es-CO"/>
        </w:rPr>
        <w:t>s</w:t>
      </w:r>
      <w:r w:rsidRPr="00F8515B">
        <w:rPr>
          <w:rFonts w:ascii="Arial" w:eastAsia="Times New Roman" w:hAnsi="Arial" w:cs="Arial"/>
          <w:bCs/>
          <w:color w:val="000000" w:themeColor="text1"/>
          <w:sz w:val="22"/>
          <w:lang w:val="es-ES_tradnl" w:eastAsia="es-CO"/>
        </w:rPr>
        <w:t xml:space="preserve"> o de segundo grado</w:t>
      </w:r>
      <w:r w:rsidRPr="00F8515B">
        <w:rPr>
          <w:rStyle w:val="Refdenotaalpie"/>
          <w:rFonts w:ascii="Arial" w:eastAsia="Times New Roman" w:hAnsi="Arial" w:cs="Arial"/>
          <w:bCs/>
          <w:color w:val="000000" w:themeColor="text1"/>
          <w:sz w:val="22"/>
          <w:lang w:val="es-ES_tradnl" w:eastAsia="es-CO"/>
        </w:rPr>
        <w:footnoteReference w:id="44"/>
      </w:r>
      <w:r w:rsidRPr="00F8515B">
        <w:rPr>
          <w:rFonts w:ascii="Arial" w:eastAsia="Times New Roman" w:hAnsi="Arial" w:cs="Arial"/>
          <w:bCs/>
          <w:color w:val="000000" w:themeColor="text1"/>
          <w:sz w:val="22"/>
          <w:lang w:val="es-ES_tradnl" w:eastAsia="es-CO"/>
        </w:rPr>
        <w:t xml:space="preserve">. En otras palabras, los entes descentralizados </w:t>
      </w:r>
      <w:r w:rsidRPr="00F8515B">
        <w:rPr>
          <w:rFonts w:ascii="Arial" w:eastAsia="Times New Roman" w:hAnsi="Arial" w:cs="Arial"/>
          <w:bCs/>
          <w:color w:val="000000" w:themeColor="text1"/>
          <w:sz w:val="22"/>
          <w:lang w:val="es-ES_tradnl" w:eastAsia="es-CO"/>
        </w:rPr>
        <w:lastRenderedPageBreak/>
        <w:t>indirectamente son aquellos creados no por la ley, sino a partir de «la voluntad asociativa de los entes públicos, en unión entre sí o con particulares»</w:t>
      </w:r>
      <w:r w:rsidRPr="00F8515B">
        <w:rPr>
          <w:rStyle w:val="Refdenotaalpie"/>
          <w:rFonts w:ascii="Arial" w:eastAsia="Times New Roman" w:hAnsi="Arial" w:cs="Arial"/>
          <w:bCs/>
          <w:color w:val="000000" w:themeColor="text1"/>
          <w:sz w:val="22"/>
          <w:lang w:val="es-ES_tradnl" w:eastAsia="es-CO"/>
        </w:rPr>
        <w:footnoteReference w:id="45"/>
      </w:r>
      <w:r w:rsidRPr="00F8515B">
        <w:rPr>
          <w:rFonts w:ascii="Arial" w:eastAsia="Times New Roman" w:hAnsi="Arial" w:cs="Arial"/>
          <w:bCs/>
          <w:color w:val="000000" w:themeColor="text1"/>
          <w:sz w:val="22"/>
          <w:lang w:val="es-ES_tradnl" w:eastAsia="es-CO"/>
        </w:rPr>
        <w:t xml:space="preserve">. </w:t>
      </w:r>
    </w:p>
    <w:p w14:paraId="5409AB2E" w14:textId="5BEB06A1" w:rsidR="0063656E" w:rsidRPr="00F8515B" w:rsidRDefault="007B234F" w:rsidP="000641BE">
      <w:pPr>
        <w:shd w:val="clear" w:color="auto" w:fill="FFFFFF"/>
        <w:spacing w:after="120"/>
        <w:ind w:firstLine="708"/>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En ese orden de ideas, la descentralización indirecta puede tornar en distintas modalidades, según c</w:t>
      </w:r>
      <w:r w:rsidR="00127BA6" w:rsidRPr="00F8515B">
        <w:rPr>
          <w:rFonts w:ascii="Arial" w:eastAsia="Times New Roman" w:hAnsi="Arial" w:cs="Arial"/>
          <w:bCs/>
          <w:color w:val="000000" w:themeColor="text1"/>
          <w:sz w:val="22"/>
          <w:lang w:val="es-ES_tradnl" w:eastAsia="es-CO"/>
        </w:rPr>
        <w:t>u</w:t>
      </w:r>
      <w:r w:rsidRPr="00F8515B">
        <w:rPr>
          <w:rFonts w:ascii="Arial" w:eastAsia="Times New Roman" w:hAnsi="Arial" w:cs="Arial"/>
          <w:bCs/>
          <w:color w:val="000000" w:themeColor="text1"/>
          <w:sz w:val="22"/>
          <w:lang w:val="es-ES_tradnl" w:eastAsia="es-CO"/>
        </w:rPr>
        <w:t xml:space="preserve">al sea la calidad de las entidades participantes. Así, </w:t>
      </w:r>
      <w:proofErr w:type="gramStart"/>
      <w:r w:rsidRPr="00F8515B">
        <w:rPr>
          <w:rFonts w:ascii="Arial" w:eastAsia="Times New Roman" w:hAnsi="Arial" w:cs="Arial"/>
          <w:bCs/>
          <w:color w:val="000000" w:themeColor="text1"/>
          <w:sz w:val="22"/>
          <w:lang w:val="es-ES_tradnl" w:eastAsia="es-CO"/>
        </w:rPr>
        <w:t>habrán</w:t>
      </w:r>
      <w:proofErr w:type="gramEnd"/>
      <w:r w:rsidRPr="00F8515B">
        <w:rPr>
          <w:rFonts w:ascii="Arial" w:eastAsia="Times New Roman" w:hAnsi="Arial" w:cs="Arial"/>
          <w:bCs/>
          <w:color w:val="000000" w:themeColor="text1"/>
          <w:sz w:val="22"/>
          <w:lang w:val="es-ES_tradnl"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w:t>
      </w:r>
      <w:r w:rsidR="00EF66A8" w:rsidRPr="00F8515B">
        <w:rPr>
          <w:rFonts w:ascii="Arial" w:eastAsia="Times New Roman" w:hAnsi="Arial" w:cs="Arial"/>
          <w:bCs/>
          <w:color w:val="000000" w:themeColor="text1"/>
          <w:sz w:val="22"/>
          <w:lang w:val="es-ES_tradnl" w:eastAsia="es-CO"/>
        </w:rPr>
        <w:t>etc.</w:t>
      </w:r>
      <w:r w:rsidR="00EF66A8" w:rsidRPr="00F8515B">
        <w:rPr>
          <w:rStyle w:val="Refdenotaalpie"/>
          <w:rFonts w:ascii="Arial" w:eastAsia="Times New Roman" w:hAnsi="Arial" w:cs="Arial"/>
          <w:bCs/>
          <w:color w:val="000000" w:themeColor="text1"/>
          <w:sz w:val="22"/>
          <w:lang w:val="es-ES_tradnl" w:eastAsia="es-CO"/>
        </w:rPr>
        <w:footnoteReference w:id="46"/>
      </w:r>
      <w:r w:rsidRPr="00F8515B">
        <w:rPr>
          <w:rFonts w:ascii="Arial" w:eastAsia="Times New Roman" w:hAnsi="Arial" w:cs="Arial"/>
          <w:bCs/>
          <w:color w:val="000000" w:themeColor="text1"/>
          <w:sz w:val="22"/>
          <w:lang w:val="es-ES_tradnl" w:eastAsia="es-CO"/>
        </w:rPr>
        <w:t xml:space="preserve"> </w:t>
      </w:r>
    </w:p>
    <w:p w14:paraId="2C2A3417" w14:textId="49C48B52"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De </w:t>
      </w:r>
      <w:r w:rsidR="00EF66A8" w:rsidRPr="00F8515B">
        <w:rPr>
          <w:rFonts w:ascii="Arial" w:eastAsia="Times New Roman" w:hAnsi="Arial" w:cs="Arial"/>
          <w:bCs/>
          <w:color w:val="000000" w:themeColor="text1"/>
          <w:sz w:val="22"/>
          <w:lang w:val="es-ES_tradnl" w:eastAsia="es-CO"/>
        </w:rPr>
        <w:t>esta manera</w:t>
      </w:r>
      <w:r w:rsidRPr="00F8515B">
        <w:rPr>
          <w:rFonts w:ascii="Arial" w:eastAsia="Times New Roman" w:hAnsi="Arial" w:cs="Arial"/>
          <w:bCs/>
          <w:color w:val="000000" w:themeColor="text1"/>
          <w:sz w:val="22"/>
          <w:lang w:val="es-ES_tradnl" w:eastAsia="es-CO"/>
        </w:rPr>
        <w:t>, la Ley 489 de 1998 regula tres tipos de entidades descentralizadas indirecta</w:t>
      </w:r>
      <w:r w:rsidR="00182855" w:rsidRPr="00F8515B">
        <w:rPr>
          <w:rFonts w:ascii="Arial" w:eastAsia="Times New Roman" w:hAnsi="Arial" w:cs="Arial"/>
          <w:bCs/>
          <w:color w:val="000000" w:themeColor="text1"/>
          <w:sz w:val="22"/>
          <w:lang w:val="es-ES_tradnl" w:eastAsia="es-CO"/>
        </w:rPr>
        <w:t>s</w:t>
      </w:r>
      <w:r w:rsidRPr="00F8515B">
        <w:rPr>
          <w:rFonts w:ascii="Arial" w:eastAsia="Times New Roman" w:hAnsi="Arial" w:cs="Arial"/>
          <w:bCs/>
          <w:color w:val="000000" w:themeColor="text1"/>
          <w:sz w:val="22"/>
          <w:lang w:val="es-ES_tradnl" w:eastAsia="es-CO"/>
        </w:rPr>
        <w:t xml:space="preserve"> en sus artículos 94, 95 y 96</w:t>
      </w:r>
      <w:r w:rsidR="007D58E1" w:rsidRPr="00F8515B">
        <w:rPr>
          <w:rFonts w:ascii="Arial" w:eastAsia="Times New Roman" w:hAnsi="Arial" w:cs="Arial"/>
          <w:bCs/>
          <w:color w:val="000000" w:themeColor="text1"/>
          <w:sz w:val="22"/>
          <w:lang w:val="es-ES_tradnl" w:eastAsia="es-CO"/>
        </w:rPr>
        <w:t>. Estas normas se refieren</w:t>
      </w:r>
      <w:r w:rsidRPr="00F8515B">
        <w:rPr>
          <w:rFonts w:ascii="Arial" w:eastAsia="Times New Roman" w:hAnsi="Arial" w:cs="Arial"/>
          <w:bCs/>
          <w:color w:val="000000" w:themeColor="text1"/>
          <w:sz w:val="22"/>
          <w:lang w:val="es-ES_tradnl" w:eastAsia="es-CO"/>
        </w:rPr>
        <w:t xml:space="preserve">, respectivamente, a las asociaciones entre empresas industriales y comerciales del Estado, entre estas y entidades territoriales o descentralizadas, </w:t>
      </w:r>
      <w:r w:rsidR="00182855" w:rsidRPr="00F8515B">
        <w:rPr>
          <w:rFonts w:ascii="Arial" w:eastAsia="Times New Roman" w:hAnsi="Arial" w:cs="Arial"/>
          <w:bCs/>
          <w:color w:val="000000" w:themeColor="text1"/>
          <w:sz w:val="22"/>
          <w:lang w:val="es-ES_tradnl" w:eastAsia="es-CO"/>
        </w:rPr>
        <w:t xml:space="preserve">así como </w:t>
      </w:r>
      <w:r w:rsidRPr="00F8515B">
        <w:rPr>
          <w:rFonts w:ascii="Arial" w:eastAsia="Times New Roman" w:hAnsi="Arial" w:cs="Arial"/>
          <w:bCs/>
          <w:color w:val="000000" w:themeColor="text1"/>
          <w:sz w:val="22"/>
          <w:lang w:val="es-ES_tradnl"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14:paraId="7AFFF4A7" w14:textId="36450292" w:rsidR="007B234F" w:rsidRPr="00F8515B" w:rsidRDefault="007B234F" w:rsidP="000641BE">
      <w:pPr>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Dicho lo anterior, es importante destacar</w:t>
      </w:r>
      <w:r w:rsidR="00160F84"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 xml:space="preserve">que las entidades descentralizadas indirectamente son una especie del género que corresponde a las entidades descentralizadas, y «[…] por ello y porque gozan de personería jurídica, autonomía administrativa y patrimonio propio o capital </w:t>
      </w:r>
      <w:r w:rsidR="00E2799E" w:rsidRPr="00F8515B">
        <w:rPr>
          <w:rFonts w:ascii="Arial" w:eastAsia="Times New Roman" w:hAnsi="Arial" w:cs="Arial"/>
          <w:bCs/>
          <w:color w:val="000000" w:themeColor="text1"/>
          <w:sz w:val="22"/>
          <w:lang w:val="es-ES_tradnl" w:eastAsia="es-CO"/>
        </w:rPr>
        <w:t>independiente</w:t>
      </w:r>
      <w:r w:rsidRPr="00F8515B">
        <w:rPr>
          <w:rFonts w:ascii="Arial" w:eastAsia="Times New Roman" w:hAnsi="Arial" w:cs="Arial"/>
          <w:bCs/>
          <w:color w:val="000000" w:themeColor="text1"/>
          <w:sz w:val="22"/>
          <w:lang w:val="es-ES_tradnl" w:eastAsia="es-CO"/>
        </w:rPr>
        <w:t>, es decir, reúnen los requisitos establecidos para las entidades descentralizadas por el artículo 68 de la Ley 489 de 1998, forman parte del sector descentralizado de la administración pública»</w:t>
      </w:r>
      <w:r w:rsidRPr="00F8515B">
        <w:rPr>
          <w:rStyle w:val="Refdenotaalpie"/>
          <w:rFonts w:ascii="Arial" w:hAnsi="Arial" w:cs="Arial"/>
          <w:color w:val="000000" w:themeColor="text1"/>
          <w:sz w:val="22"/>
          <w:lang w:val="es-ES_tradnl"/>
        </w:rPr>
        <w:footnoteReference w:id="47"/>
      </w:r>
      <w:r w:rsidRPr="00F8515B">
        <w:rPr>
          <w:rFonts w:ascii="Arial" w:hAnsi="Arial" w:cs="Arial"/>
          <w:color w:val="000000" w:themeColor="text1"/>
          <w:sz w:val="22"/>
          <w:lang w:val="es-ES_tradnl"/>
        </w:rPr>
        <w:t xml:space="preserve">. </w:t>
      </w:r>
    </w:p>
    <w:p w14:paraId="349DCBEF" w14:textId="0C7F8592"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Ahora bien, la Ley 80 de 1993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w:t>
      </w:r>
      <w:r w:rsidR="00616F60" w:rsidRPr="00F8515B">
        <w:rPr>
          <w:rFonts w:ascii="Arial" w:eastAsia="Times New Roman" w:hAnsi="Arial" w:cs="Arial"/>
          <w:bCs/>
          <w:color w:val="000000" w:themeColor="text1"/>
          <w:sz w:val="22"/>
          <w:lang w:val="es-ES_tradnl" w:eastAsia="es-CO"/>
        </w:rPr>
        <w:t xml:space="preserve">Estatuto General de Contratación de la Administración Pública </w:t>
      </w:r>
      <w:r w:rsidRPr="00F8515B">
        <w:rPr>
          <w:rFonts w:ascii="Arial" w:eastAsia="Times New Roman" w:hAnsi="Arial" w:cs="Arial"/>
          <w:bCs/>
          <w:color w:val="000000" w:themeColor="text1"/>
          <w:sz w:val="22"/>
          <w:lang w:val="es-ES_tradnl" w:eastAsia="es-CO"/>
        </w:rPr>
        <w:t xml:space="preserve">se </w:t>
      </w:r>
      <w:r w:rsidRPr="00F8515B">
        <w:rPr>
          <w:rFonts w:ascii="Arial" w:eastAsia="Times New Roman" w:hAnsi="Arial" w:cs="Arial"/>
          <w:bCs/>
          <w:color w:val="000000" w:themeColor="text1"/>
          <w:sz w:val="22"/>
          <w:lang w:val="es-ES_tradnl" w:eastAsia="es-CO"/>
        </w:rPr>
        <w:lastRenderedPageBreak/>
        <w:t>separan tales nociones y se admite la posibilidad de que entidades que no cuenten con personería, puedan</w:t>
      </w:r>
      <w:r w:rsidR="008B4490" w:rsidRPr="00F8515B">
        <w:rPr>
          <w:rFonts w:ascii="Arial" w:eastAsia="Times New Roman" w:hAnsi="Arial" w:cs="Arial"/>
          <w:bCs/>
          <w:color w:val="000000" w:themeColor="text1"/>
          <w:sz w:val="22"/>
          <w:lang w:val="es-ES_tradnl" w:eastAsia="es-CO"/>
        </w:rPr>
        <w:t xml:space="preserve"> tener</w:t>
      </w:r>
      <w:r w:rsidRPr="00F8515B">
        <w:rPr>
          <w:rFonts w:ascii="Arial" w:eastAsia="Times New Roman" w:hAnsi="Arial" w:cs="Arial"/>
          <w:bCs/>
          <w:color w:val="000000" w:themeColor="text1"/>
          <w:sz w:val="22"/>
          <w:lang w:val="es-ES_tradnl" w:eastAsia="es-CO"/>
        </w:rPr>
        <w:t xml:space="preserve"> capacidad jurídica para celebrar contratos. </w:t>
      </w:r>
    </w:p>
    <w:p w14:paraId="7572375B" w14:textId="642D289C"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Así, el artículo 2 de la Ley 80</w:t>
      </w:r>
      <w:r w:rsidR="008B4490" w:rsidRPr="00F8515B">
        <w:rPr>
          <w:rFonts w:ascii="Arial" w:eastAsia="Times New Roman" w:hAnsi="Arial" w:cs="Arial"/>
          <w:bCs/>
          <w:color w:val="000000" w:themeColor="text1"/>
          <w:sz w:val="22"/>
          <w:lang w:val="es-ES_tradnl" w:eastAsia="es-CO"/>
        </w:rPr>
        <w:t xml:space="preserve"> de 1993</w:t>
      </w:r>
      <w:r w:rsidRPr="00F8515B">
        <w:rPr>
          <w:rFonts w:ascii="Arial" w:eastAsia="Times New Roman" w:hAnsi="Arial" w:cs="Arial"/>
          <w:bCs/>
          <w:color w:val="000000" w:themeColor="text1"/>
          <w:sz w:val="22"/>
          <w:lang w:val="es-ES_tradnl" w:eastAsia="es-CO"/>
        </w:rPr>
        <w:t xml:space="preserve"> determinó que ciertas entidades que no tienen personalidad jurídica diferente a la Nación </w:t>
      </w:r>
      <w:r w:rsidR="00674512"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como</w:t>
      </w:r>
      <w:r w:rsidR="00674512"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por ejemplo, los ministerios, departamentos administrativos, las superintendencias y las unidades administrativas especiales sin personería jurídica</w:t>
      </w:r>
      <w:r w:rsidR="00674512"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pueden celebrar contratos</w:t>
      </w:r>
      <w:r w:rsidR="00AA33BA" w:rsidRPr="00F8515B">
        <w:rPr>
          <w:rFonts w:ascii="Arial" w:eastAsia="Times New Roman" w:hAnsi="Arial" w:cs="Arial"/>
          <w:bCs/>
          <w:color w:val="000000" w:themeColor="text1"/>
          <w:sz w:val="22"/>
          <w:lang w:val="es-ES_tradnl" w:eastAsia="es-CO"/>
        </w:rPr>
        <w:t>. Además, el</w:t>
      </w:r>
      <w:r w:rsidRPr="00F8515B">
        <w:rPr>
          <w:rFonts w:ascii="Arial" w:eastAsia="Times New Roman" w:hAnsi="Arial" w:cs="Arial"/>
          <w:bCs/>
          <w:color w:val="000000" w:themeColor="text1"/>
          <w:sz w:val="22"/>
          <w:lang w:val="es-ES_tradnl" w:eastAsia="es-CO"/>
        </w:rPr>
        <w:t xml:space="preserve"> artículo 11</w:t>
      </w:r>
      <w:r w:rsidR="00AA33BA" w:rsidRPr="00F8515B">
        <w:rPr>
          <w:rFonts w:ascii="Arial" w:eastAsia="Times New Roman" w:hAnsi="Arial" w:cs="Arial"/>
          <w:bCs/>
          <w:color w:val="000000" w:themeColor="text1"/>
          <w:sz w:val="22"/>
          <w:lang w:val="es-ES_tradnl" w:eastAsia="es-CO"/>
        </w:rPr>
        <w:t xml:space="preserve"> </w:t>
      </w:r>
      <w:proofErr w:type="spellStart"/>
      <w:r w:rsidR="00AA33BA" w:rsidRPr="00F8515B">
        <w:rPr>
          <w:rFonts w:ascii="Arial" w:eastAsia="Times New Roman" w:hAnsi="Arial" w:cs="Arial"/>
          <w:bCs/>
          <w:i/>
          <w:iCs/>
          <w:color w:val="000000" w:themeColor="text1"/>
          <w:sz w:val="22"/>
          <w:lang w:val="es-ES_tradnl" w:eastAsia="es-CO"/>
        </w:rPr>
        <w:t>ibidem</w:t>
      </w:r>
      <w:proofErr w:type="spellEnd"/>
      <w:r w:rsidRPr="00F8515B">
        <w:rPr>
          <w:rFonts w:ascii="Arial" w:eastAsia="Times New Roman" w:hAnsi="Arial" w:cs="Arial"/>
          <w:bCs/>
          <w:color w:val="000000" w:themeColor="text1"/>
          <w:sz w:val="22"/>
          <w:lang w:val="es-ES_tradnl"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1F66F4B3" w14:textId="5FECCDBE"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En este punto, como lo ha dicho la Corte Constitucional, </w:t>
      </w:r>
      <w:bookmarkStart w:id="60" w:name="_Hlk88476051"/>
      <w:r w:rsidRPr="00F8515B">
        <w:rPr>
          <w:rFonts w:ascii="Arial" w:eastAsia="Times New Roman" w:hAnsi="Arial" w:cs="Arial"/>
          <w:bCs/>
          <w:color w:val="000000" w:themeColor="text1"/>
          <w:sz w:val="22"/>
          <w:lang w:val="es-ES_tradnl" w:eastAsia="es-CO"/>
        </w:rPr>
        <w:t>«</w:t>
      </w:r>
      <w:r w:rsidR="002B0CA6" w:rsidRPr="00F8515B">
        <w:rPr>
          <w:rFonts w:ascii="Arial" w:eastAsia="Times New Roman" w:hAnsi="Arial" w:cs="Arial"/>
          <w:bCs/>
          <w:color w:val="000000" w:themeColor="text1"/>
          <w:sz w:val="22"/>
          <w:lang w:val="es-ES_tradnl" w:eastAsia="es-CO"/>
        </w:rPr>
        <w:t>E</w:t>
      </w:r>
      <w:r w:rsidRPr="00F8515B">
        <w:rPr>
          <w:rFonts w:ascii="Arial" w:eastAsia="Times New Roman" w:hAnsi="Arial" w:cs="Arial"/>
          <w:bCs/>
          <w:color w:val="000000" w:themeColor="text1"/>
          <w:sz w:val="22"/>
          <w:lang w:val="es-ES_tradnl"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0"/>
      <w:r w:rsidRPr="00F8515B">
        <w:rPr>
          <w:rFonts w:ascii="Arial" w:eastAsia="Times New Roman" w:hAnsi="Arial" w:cs="Arial"/>
          <w:bCs/>
          <w:color w:val="000000" w:themeColor="text1"/>
          <w:sz w:val="22"/>
          <w:lang w:val="es-ES_tradnl" w:eastAsia="es-CO"/>
        </w:rPr>
        <w:t>»</w:t>
      </w:r>
      <w:r w:rsidRPr="00F8515B">
        <w:rPr>
          <w:rStyle w:val="Refdenotaalpie"/>
          <w:rFonts w:ascii="Arial" w:eastAsia="Times New Roman" w:hAnsi="Arial" w:cs="Arial"/>
          <w:bCs/>
          <w:color w:val="000000" w:themeColor="text1"/>
          <w:sz w:val="22"/>
          <w:lang w:val="es-ES_tradnl" w:eastAsia="es-CO"/>
        </w:rPr>
        <w:footnoteReference w:id="48"/>
      </w:r>
      <w:r w:rsidRPr="00F8515B">
        <w:rPr>
          <w:rFonts w:ascii="Arial" w:eastAsia="Times New Roman" w:hAnsi="Arial" w:cs="Arial"/>
          <w:bCs/>
          <w:color w:val="000000" w:themeColor="text1"/>
          <w:sz w:val="22"/>
          <w:lang w:val="es-ES_tradnl" w:eastAsia="es-CO"/>
        </w:rPr>
        <w:t>, lo que implica que la «actuación del funcionario competente, a nombre de la correspondiente entidad estatal, vincula a la Nación, al departamento o al municipio como persona jurídica»</w:t>
      </w:r>
      <w:r w:rsidRPr="00F8515B">
        <w:rPr>
          <w:rStyle w:val="Refdenotaalpie"/>
          <w:rFonts w:ascii="Arial" w:eastAsia="Times New Roman" w:hAnsi="Arial" w:cs="Arial"/>
          <w:bCs/>
          <w:color w:val="000000" w:themeColor="text1"/>
          <w:sz w:val="22"/>
          <w:lang w:val="es-ES_tradnl" w:eastAsia="es-CO"/>
        </w:rPr>
        <w:footnoteReference w:id="49"/>
      </w:r>
      <w:r w:rsidRPr="00F8515B">
        <w:rPr>
          <w:rFonts w:ascii="Arial" w:eastAsia="Times New Roman" w:hAnsi="Arial" w:cs="Arial"/>
          <w:bCs/>
          <w:color w:val="000000" w:themeColor="text1"/>
          <w:sz w:val="22"/>
          <w:lang w:val="es-ES_tradnl" w:eastAsia="es-CO"/>
        </w:rPr>
        <w:t>.</w:t>
      </w:r>
      <w:r w:rsidR="00947D28"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113BD048" w14:textId="27F5EAED"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Igualmente, en la estructura del Estado colombiano existen órganos que no pertenecen a la rama ejecutiva sino a las otras ramas del poder público </w:t>
      </w:r>
      <w:r w:rsidR="00947D28"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legislativa y judicial</w:t>
      </w:r>
      <w:r w:rsidR="00947D28"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así como organismos autónomos e independientes para el cumplimiento de las demás funciones del Estado</w:t>
      </w:r>
      <w:r w:rsidRPr="00F8515B">
        <w:rPr>
          <w:rStyle w:val="Refdenotaalpie"/>
          <w:rFonts w:ascii="Arial" w:eastAsia="Times New Roman" w:hAnsi="Arial" w:cs="Arial"/>
          <w:bCs/>
          <w:color w:val="000000" w:themeColor="text1"/>
          <w:sz w:val="22"/>
          <w:lang w:val="es-ES_tradnl" w:eastAsia="es-CO"/>
        </w:rPr>
        <w:footnoteReference w:id="50"/>
      </w:r>
      <w:r w:rsidR="007D28C9" w:rsidRPr="00F8515B">
        <w:rPr>
          <w:rFonts w:ascii="Arial" w:eastAsia="Times New Roman" w:hAnsi="Arial" w:cs="Arial"/>
          <w:bCs/>
          <w:color w:val="000000" w:themeColor="text1"/>
          <w:sz w:val="22"/>
          <w:lang w:val="es-ES_tradnl" w:eastAsia="es-CO"/>
        </w:rPr>
        <w:t>. Estas entidades</w:t>
      </w:r>
      <w:r w:rsidRPr="00F8515B">
        <w:rPr>
          <w:rFonts w:ascii="Arial" w:eastAsia="Times New Roman" w:hAnsi="Arial" w:cs="Arial"/>
          <w:bCs/>
          <w:color w:val="000000" w:themeColor="text1"/>
          <w:sz w:val="22"/>
          <w:lang w:val="es-ES_tradnl" w:eastAsia="es-CO"/>
        </w:rPr>
        <w:t xml:space="preserve"> también hacen parte de la Nación y cuentan con capacidad jurídica para contratar según las normas del EGCP, por ejemplo, el Senado de la República, el Consejo Superior de la Judicatura, la </w:t>
      </w:r>
      <w:proofErr w:type="gramStart"/>
      <w:r w:rsidRPr="00F8515B">
        <w:rPr>
          <w:rFonts w:ascii="Arial" w:eastAsia="Times New Roman" w:hAnsi="Arial" w:cs="Arial"/>
          <w:bCs/>
          <w:color w:val="000000" w:themeColor="text1"/>
          <w:sz w:val="22"/>
          <w:lang w:val="es-ES_tradnl" w:eastAsia="es-CO"/>
        </w:rPr>
        <w:t>Fiscalía General</w:t>
      </w:r>
      <w:proofErr w:type="gramEnd"/>
      <w:r w:rsidRPr="00F8515B">
        <w:rPr>
          <w:rFonts w:ascii="Arial" w:eastAsia="Times New Roman" w:hAnsi="Arial" w:cs="Arial"/>
          <w:bCs/>
          <w:color w:val="000000" w:themeColor="text1"/>
          <w:sz w:val="22"/>
          <w:lang w:val="es-ES_tradnl" w:eastAsia="es-CO"/>
        </w:rPr>
        <w:t xml:space="preserve"> de la Nación, la Contraloría General de la República, la Procuraduría General </w:t>
      </w:r>
      <w:r w:rsidRPr="00F8515B">
        <w:rPr>
          <w:rFonts w:ascii="Arial" w:eastAsia="Times New Roman" w:hAnsi="Arial" w:cs="Arial"/>
          <w:bCs/>
          <w:color w:val="000000" w:themeColor="text1"/>
          <w:sz w:val="22"/>
          <w:lang w:val="es-ES_tradnl" w:eastAsia="es-CO"/>
        </w:rPr>
        <w:lastRenderedPageBreak/>
        <w:t>de la Nación, la Registraduría Nacional del Estado Civil y la Auditoría General de la República, entre otros.</w:t>
      </w:r>
    </w:p>
    <w:p w14:paraId="3EB21799" w14:textId="5BA4AC73" w:rsidR="007B234F" w:rsidRPr="00F8515B" w:rsidRDefault="007B234F" w:rsidP="007B234F">
      <w:pPr>
        <w:shd w:val="clear" w:color="auto" w:fill="FFFFFF"/>
        <w:spacing w:after="0"/>
        <w:ind w:firstLine="708"/>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Con fundamento en todo lo dicho, la Agencia considera que la expresión «Nación» utilizada por la Ley 2159 de 2021 hace referencia a las entidades públicas del sector central</w:t>
      </w:r>
      <w:r w:rsidR="00AF0B3C" w:rsidRPr="00F8515B">
        <w:rPr>
          <w:rFonts w:ascii="Arial" w:eastAsia="Times New Roman" w:hAnsi="Arial" w:cs="Arial"/>
          <w:bCs/>
          <w:color w:val="000000" w:themeColor="text1"/>
          <w:sz w:val="22"/>
          <w:lang w:val="es-ES_tradnl" w:eastAsia="es-CO"/>
        </w:rPr>
        <w:t>, en el nivel nacional,</w:t>
      </w:r>
      <w:r w:rsidRPr="00F8515B">
        <w:rPr>
          <w:rFonts w:ascii="Arial" w:eastAsia="Times New Roman" w:hAnsi="Arial" w:cs="Arial"/>
          <w:bCs/>
          <w:color w:val="000000" w:themeColor="text1"/>
          <w:sz w:val="22"/>
          <w:lang w:val="es-ES_tradnl" w:eastAsia="es-CO"/>
        </w:rPr>
        <w:t xml:space="preserve"> de la rama ejecutiva</w:t>
      </w:r>
      <w:r w:rsidR="0023158E" w:rsidRPr="00F8515B">
        <w:rPr>
          <w:rFonts w:ascii="Arial" w:eastAsia="Times New Roman" w:hAnsi="Arial" w:cs="Arial"/>
          <w:bCs/>
          <w:color w:val="000000" w:themeColor="text1"/>
          <w:sz w:val="22"/>
          <w:lang w:val="es-ES_tradnl" w:eastAsia="es-CO"/>
        </w:rPr>
        <w:t>,</w:t>
      </w:r>
      <w:r w:rsidR="00431A07"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 xml:space="preserve">de las demás ramas del poder público, así como </w:t>
      </w:r>
      <w:r w:rsidR="00431A07" w:rsidRPr="00F8515B">
        <w:rPr>
          <w:rFonts w:ascii="Arial" w:eastAsia="Times New Roman" w:hAnsi="Arial" w:cs="Arial"/>
          <w:bCs/>
          <w:color w:val="000000" w:themeColor="text1"/>
          <w:sz w:val="22"/>
          <w:lang w:val="es-ES_tradnl" w:eastAsia="es-CO"/>
        </w:rPr>
        <w:t>de</w:t>
      </w:r>
      <w:r w:rsidRPr="00F8515B">
        <w:rPr>
          <w:rFonts w:ascii="Arial" w:eastAsia="Times New Roman" w:hAnsi="Arial" w:cs="Arial"/>
          <w:bCs/>
          <w:color w:val="000000" w:themeColor="text1"/>
          <w:sz w:val="22"/>
          <w:lang w:val="es-ES_tradnl" w:eastAsia="es-CO"/>
        </w:rPr>
        <w:t xml:space="preserv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1402053" w14:textId="77777777" w:rsidR="007B234F" w:rsidRPr="00F8515B" w:rsidRDefault="007B234F" w:rsidP="007B234F">
      <w:pPr>
        <w:shd w:val="clear" w:color="auto" w:fill="FFFFFF"/>
        <w:spacing w:after="0"/>
        <w:rPr>
          <w:rFonts w:ascii="Arial" w:eastAsia="Times New Roman" w:hAnsi="Arial" w:cs="Arial"/>
          <w:bCs/>
          <w:color w:val="000000" w:themeColor="text1"/>
          <w:sz w:val="22"/>
          <w:lang w:val="es-ES_tradnl" w:eastAsia="es-CO"/>
        </w:rPr>
      </w:pPr>
    </w:p>
    <w:p w14:paraId="2424DE88" w14:textId="363438DC" w:rsidR="007B234F" w:rsidRPr="00F8515B" w:rsidRDefault="007B234F" w:rsidP="007B234F">
      <w:pPr>
        <w:shd w:val="clear" w:color="auto" w:fill="FFFFFF"/>
        <w:spacing w:after="0"/>
        <w:rPr>
          <w:rFonts w:ascii="Arial" w:eastAsia="Times New Roman" w:hAnsi="Arial" w:cs="Arial"/>
          <w:b/>
          <w:color w:val="000000" w:themeColor="text1"/>
          <w:sz w:val="22"/>
          <w:lang w:val="es-ES_tradnl" w:eastAsia="es-CO"/>
        </w:rPr>
      </w:pPr>
      <w:r w:rsidRPr="00F8515B">
        <w:rPr>
          <w:rFonts w:ascii="Arial" w:eastAsia="Times New Roman" w:hAnsi="Arial" w:cs="Arial"/>
          <w:b/>
          <w:color w:val="000000" w:themeColor="text1"/>
          <w:sz w:val="22"/>
          <w:lang w:val="es-ES_tradnl" w:eastAsia="es-CO"/>
        </w:rPr>
        <w:t>2.5.3.</w:t>
      </w:r>
      <w:r w:rsidR="00417C69" w:rsidRPr="00F8515B">
        <w:rPr>
          <w:rFonts w:ascii="Arial" w:eastAsia="Times New Roman" w:hAnsi="Arial" w:cs="Arial"/>
          <w:b/>
          <w:color w:val="000000" w:themeColor="text1"/>
          <w:sz w:val="22"/>
          <w:lang w:val="es-ES_tradnl" w:eastAsia="es-CO"/>
        </w:rPr>
        <w:t xml:space="preserve"> </w:t>
      </w:r>
      <w:r w:rsidRPr="00F8515B">
        <w:rPr>
          <w:rFonts w:ascii="Arial" w:eastAsia="Times New Roman" w:hAnsi="Arial" w:cs="Arial"/>
          <w:b/>
          <w:color w:val="000000" w:themeColor="text1"/>
          <w:sz w:val="22"/>
          <w:lang w:val="es-ES_tradnl" w:eastAsia="es-CO"/>
        </w:rPr>
        <w:t>Aspecto teleológico</w:t>
      </w:r>
    </w:p>
    <w:p w14:paraId="3579BABC" w14:textId="77777777" w:rsidR="007B234F" w:rsidRPr="00F8515B" w:rsidRDefault="007B234F" w:rsidP="007B234F">
      <w:pPr>
        <w:shd w:val="clear" w:color="auto" w:fill="FFFFFF"/>
        <w:spacing w:after="0"/>
        <w:rPr>
          <w:rFonts w:ascii="Arial" w:eastAsia="Times New Roman" w:hAnsi="Arial" w:cs="Arial"/>
          <w:bCs/>
          <w:color w:val="000000" w:themeColor="text1"/>
          <w:sz w:val="22"/>
          <w:lang w:val="es-ES_tradnl" w:eastAsia="es-CO"/>
        </w:rPr>
      </w:pPr>
    </w:p>
    <w:p w14:paraId="0B894B1E" w14:textId="2BC9B6B8" w:rsidR="00C9670A" w:rsidRPr="00F8515B" w:rsidRDefault="007B234F" w:rsidP="00785E18">
      <w:pPr>
        <w:overflowPunct w:val="0"/>
        <w:autoSpaceDE w:val="0"/>
        <w:autoSpaceDN w:val="0"/>
        <w:adjustRightInd w:val="0"/>
        <w:spacing w:after="0"/>
        <w:textAlignment w:val="baseline"/>
        <w:rPr>
          <w:rFonts w:ascii="Arial" w:eastAsia="Times New Roman" w:hAnsi="Arial" w:cs="Arial"/>
          <w:color w:val="000000" w:themeColor="text1"/>
          <w:sz w:val="22"/>
          <w:lang w:val="es-ES_tradnl" w:eastAsia="es-CO"/>
        </w:rPr>
      </w:pPr>
      <w:r w:rsidRPr="00F8515B">
        <w:rPr>
          <w:rFonts w:ascii="Arial" w:eastAsia="Times New Roman" w:hAnsi="Arial" w:cs="Arial"/>
          <w:color w:val="000000" w:themeColor="text1"/>
          <w:sz w:val="22"/>
          <w:lang w:val="es-ES_tradnl" w:eastAsia="es-CO"/>
        </w:rPr>
        <w:t xml:space="preserve">En lo </w:t>
      </w:r>
      <w:r w:rsidR="000953A7" w:rsidRPr="00F8515B">
        <w:rPr>
          <w:rFonts w:ascii="Arial" w:eastAsia="Times New Roman" w:hAnsi="Arial" w:cs="Arial"/>
          <w:color w:val="000000" w:themeColor="text1"/>
          <w:sz w:val="22"/>
          <w:lang w:val="es-ES_tradnl" w:eastAsia="es-CO"/>
        </w:rPr>
        <w:t>relacionado</w:t>
      </w:r>
      <w:r w:rsidRPr="00F8515B">
        <w:rPr>
          <w:rFonts w:ascii="Arial" w:eastAsia="Times New Roman" w:hAnsi="Arial" w:cs="Arial"/>
          <w:color w:val="000000" w:themeColor="text1"/>
          <w:sz w:val="22"/>
          <w:lang w:val="es-ES_tradnl" w:eastAsia="es-CO"/>
        </w:rPr>
        <w:t xml:space="preserve"> al elemento teleológico o material de la reforma incluida en el artículo 124 de la </w:t>
      </w:r>
      <w:r w:rsidR="00E22BCE" w:rsidRPr="00F8515B">
        <w:rPr>
          <w:rFonts w:ascii="Arial" w:eastAsia="Times New Roman" w:hAnsi="Arial" w:cs="Arial"/>
          <w:color w:val="000000" w:themeColor="text1"/>
          <w:sz w:val="22"/>
          <w:lang w:val="es-ES_tradnl" w:eastAsia="es-CO"/>
        </w:rPr>
        <w:t>Ley</w:t>
      </w:r>
      <w:r w:rsidRPr="00F8515B">
        <w:rPr>
          <w:rFonts w:ascii="Arial" w:eastAsia="Times New Roman" w:hAnsi="Arial" w:cs="Arial"/>
          <w:color w:val="000000" w:themeColor="text1"/>
          <w:sz w:val="22"/>
          <w:lang w:val="es-ES_tradnl" w:eastAsia="es-CO"/>
        </w:rPr>
        <w:t xml:space="preserve"> 2159 de 2021, </w:t>
      </w:r>
      <w:r w:rsidR="000953A7" w:rsidRPr="00F8515B">
        <w:rPr>
          <w:rFonts w:ascii="Arial" w:eastAsia="Times New Roman" w:hAnsi="Arial" w:cs="Arial"/>
          <w:color w:val="000000" w:themeColor="text1"/>
          <w:sz w:val="22"/>
          <w:lang w:val="es-ES_tradnl" w:eastAsia="es-CO"/>
        </w:rPr>
        <w:t>la cual consiste en la celebración</w:t>
      </w:r>
      <w:r w:rsidRPr="00F8515B">
        <w:rPr>
          <w:rFonts w:ascii="Arial" w:eastAsia="Times New Roman" w:hAnsi="Arial" w:cs="Arial"/>
          <w:color w:val="000000" w:themeColor="text1"/>
          <w:sz w:val="22"/>
          <w:lang w:val="es-ES_tradnl" w:eastAsia="es-CO"/>
        </w:rPr>
        <w:t xml:space="preserve"> </w:t>
      </w:r>
      <w:r w:rsidR="00E90810" w:rsidRPr="00F8515B">
        <w:rPr>
          <w:rFonts w:ascii="Arial" w:eastAsia="Times New Roman" w:hAnsi="Arial" w:cs="Arial"/>
          <w:color w:val="000000" w:themeColor="text1"/>
          <w:sz w:val="22"/>
          <w:lang w:val="es-ES_tradnl" w:eastAsia="es-CO"/>
        </w:rPr>
        <w:t>de</w:t>
      </w:r>
      <w:r w:rsidRPr="00F8515B">
        <w:rPr>
          <w:rFonts w:ascii="Arial" w:eastAsia="Times New Roman" w:hAnsi="Arial" w:cs="Arial"/>
          <w:color w:val="000000" w:themeColor="text1"/>
          <w:sz w:val="22"/>
          <w:lang w:val="es-ES_tradnl" w:eastAsia="es-CO"/>
        </w:rPr>
        <w:t xml:space="preserve"> convenios</w:t>
      </w:r>
      <w:r w:rsidR="00E90810" w:rsidRPr="00F8515B">
        <w:rPr>
          <w:rFonts w:ascii="Arial" w:eastAsia="Times New Roman" w:hAnsi="Arial" w:cs="Arial"/>
          <w:color w:val="000000" w:themeColor="text1"/>
          <w:sz w:val="22"/>
          <w:lang w:val="es-ES_tradnl" w:eastAsia="es-CO"/>
        </w:rPr>
        <w:t xml:space="preserve"> o contratos interadministrativos para</w:t>
      </w:r>
      <w:r w:rsidRPr="00F8515B">
        <w:rPr>
          <w:rFonts w:ascii="Arial" w:eastAsia="Times New Roman" w:hAnsi="Arial" w:cs="Arial"/>
          <w:color w:val="000000" w:themeColor="text1"/>
          <w:sz w:val="22"/>
          <w:lang w:val="es-ES_tradnl" w:eastAsia="es-CO"/>
        </w:rPr>
        <w:t xml:space="preserve">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w:t>
      </w:r>
      <w:r w:rsidR="00DC2BC5" w:rsidRPr="00F8515B">
        <w:rPr>
          <w:rFonts w:ascii="Arial" w:eastAsia="Times New Roman" w:hAnsi="Arial" w:cs="Arial"/>
          <w:color w:val="000000" w:themeColor="text1"/>
          <w:sz w:val="22"/>
          <w:lang w:val="es-ES_tradnl" w:eastAsia="es-CO"/>
        </w:rPr>
        <w:t>P</w:t>
      </w:r>
      <w:r w:rsidRPr="00F8515B">
        <w:rPr>
          <w:rFonts w:ascii="Arial" w:eastAsia="Times New Roman" w:hAnsi="Arial" w:cs="Arial"/>
          <w:color w:val="000000" w:themeColor="text1"/>
          <w:sz w:val="22"/>
          <w:lang w:val="es-ES_tradnl" w:eastAsia="es-CO"/>
        </w:rPr>
        <w:t>lan Nacional de Desarrollo.</w:t>
      </w:r>
    </w:p>
    <w:p w14:paraId="4F73F8B9" w14:textId="4CE86C23" w:rsidR="00785E18" w:rsidRPr="00F8515B" w:rsidRDefault="00DC2BC5" w:rsidP="00785E18">
      <w:pPr>
        <w:overflowPunct w:val="0"/>
        <w:autoSpaceDE w:val="0"/>
        <w:autoSpaceDN w:val="0"/>
        <w:adjustRightInd w:val="0"/>
        <w:spacing w:after="0"/>
        <w:textAlignment w:val="baseline"/>
        <w:rPr>
          <w:rFonts w:ascii="Arial" w:eastAsia="Times New Roman" w:hAnsi="Arial" w:cs="Arial"/>
          <w:color w:val="000000" w:themeColor="text1"/>
          <w:sz w:val="12"/>
          <w:szCs w:val="12"/>
          <w:lang w:val="es-ES_tradnl" w:eastAsia="es-CO"/>
        </w:rPr>
      </w:pPr>
      <w:r w:rsidRPr="00F8515B">
        <w:rPr>
          <w:rFonts w:ascii="Arial" w:eastAsia="Times New Roman" w:hAnsi="Arial" w:cs="Arial"/>
          <w:color w:val="000000" w:themeColor="text1"/>
          <w:sz w:val="22"/>
          <w:lang w:val="es-ES_tradnl" w:eastAsia="es-CO"/>
        </w:rPr>
        <w:t xml:space="preserve"> </w:t>
      </w:r>
    </w:p>
    <w:p w14:paraId="194BF60B" w14:textId="50FA4F91" w:rsidR="00056809" w:rsidRPr="00F8515B" w:rsidRDefault="00785E18" w:rsidP="00C9670A">
      <w:pPr>
        <w:overflowPunct w:val="0"/>
        <w:autoSpaceDE w:val="0"/>
        <w:autoSpaceDN w:val="0"/>
        <w:adjustRightInd w:val="0"/>
        <w:spacing w:after="120"/>
        <w:ind w:firstLine="709"/>
        <w:textAlignment w:val="baseline"/>
        <w:rPr>
          <w:rFonts w:ascii="Arial" w:hAnsi="Arial" w:cs="Arial"/>
          <w:color w:val="000000" w:themeColor="text1"/>
          <w:sz w:val="22"/>
          <w:lang w:val="es-ES_tradnl" w:eastAsia="es-ES"/>
        </w:rPr>
      </w:pPr>
      <w:r w:rsidRPr="00F8515B">
        <w:rPr>
          <w:rFonts w:ascii="Arial" w:hAnsi="Arial" w:cs="Arial"/>
          <w:color w:val="000000" w:themeColor="text1"/>
          <w:sz w:val="22"/>
          <w:lang w:val="es-ES_tradnl" w:eastAsia="es-ES"/>
        </w:rPr>
        <w:t xml:space="preserve">En efecto, el artículo </w:t>
      </w:r>
      <w:r w:rsidR="00CD66AC" w:rsidRPr="00F8515B">
        <w:rPr>
          <w:rFonts w:ascii="Arial" w:hAnsi="Arial" w:cs="Arial"/>
          <w:color w:val="000000" w:themeColor="text1"/>
          <w:sz w:val="22"/>
          <w:lang w:val="es-ES_tradnl" w:eastAsia="es-ES"/>
        </w:rPr>
        <w:t>36</w:t>
      </w:r>
      <w:r w:rsidRPr="00F8515B">
        <w:rPr>
          <w:rFonts w:ascii="Arial" w:hAnsi="Arial" w:cs="Arial"/>
          <w:color w:val="000000" w:themeColor="text1"/>
          <w:sz w:val="22"/>
          <w:lang w:val="es-ES_tradnl" w:eastAsia="es-ES"/>
        </w:rPr>
        <w:t xml:space="preserve"> del Decreto 111 de 1996 determina que </w:t>
      </w:r>
      <w:r w:rsidR="00924928" w:rsidRPr="00F8515B">
        <w:rPr>
          <w:rFonts w:ascii="Arial" w:hAnsi="Arial" w:cs="Arial"/>
          <w:color w:val="000000" w:themeColor="text1"/>
          <w:sz w:val="22"/>
          <w:lang w:val="es-ES_tradnl" w:eastAsia="es-ES"/>
        </w:rPr>
        <w:t>el presupuesto de gastos</w:t>
      </w:r>
      <w:r w:rsidRPr="00F8515B">
        <w:rPr>
          <w:rFonts w:ascii="Arial" w:hAnsi="Arial" w:cs="Arial"/>
          <w:color w:val="000000" w:themeColor="text1"/>
          <w:sz w:val="22"/>
          <w:lang w:val="es-ES_tradnl" w:eastAsia="es-ES"/>
        </w:rPr>
        <w:t xml:space="preserve"> está configurado por tres grandes rubros</w:t>
      </w:r>
      <w:r w:rsidR="00CD66AC" w:rsidRPr="00F8515B">
        <w:rPr>
          <w:rFonts w:ascii="Arial" w:hAnsi="Arial" w:cs="Arial"/>
          <w:color w:val="000000" w:themeColor="text1"/>
          <w:sz w:val="22"/>
          <w:lang w:val="es-ES_tradnl" w:eastAsia="es-ES"/>
        </w:rPr>
        <w:t>. Por un lado, l</w:t>
      </w:r>
      <w:r w:rsidRPr="00F8515B">
        <w:rPr>
          <w:rFonts w:ascii="Arial" w:hAnsi="Arial" w:cs="Arial"/>
          <w:color w:val="000000" w:themeColor="text1"/>
          <w:sz w:val="22"/>
          <w:lang w:val="es-ES_tradnl" w:eastAsia="es-ES"/>
        </w:rPr>
        <w:t>os gastos de funcionamiento que, a su vez, estarán subdivididos en servicios personales, gastos generales y transferencias y gastos de operación</w:t>
      </w:r>
      <w:r w:rsidR="00CD66AC" w:rsidRPr="00F8515B">
        <w:rPr>
          <w:rFonts w:ascii="Arial" w:hAnsi="Arial" w:cs="Arial"/>
          <w:color w:val="000000" w:themeColor="text1"/>
          <w:sz w:val="22"/>
          <w:lang w:val="es-ES_tradnl" w:eastAsia="es-ES"/>
        </w:rPr>
        <w:t>. Por otra parte, e</w:t>
      </w:r>
      <w:r w:rsidRPr="00F8515B">
        <w:rPr>
          <w:rFonts w:ascii="Arial" w:hAnsi="Arial" w:cs="Arial"/>
          <w:color w:val="000000" w:themeColor="text1"/>
          <w:sz w:val="22"/>
          <w:lang w:val="es-ES_tradnl" w:eastAsia="es-ES"/>
        </w:rPr>
        <w:t>l servicio a la deuda, conformado por la deuda interna y externa</w:t>
      </w:r>
      <w:r w:rsidR="00CD66AC" w:rsidRPr="00F8515B">
        <w:rPr>
          <w:rFonts w:ascii="Arial" w:hAnsi="Arial" w:cs="Arial"/>
          <w:color w:val="000000" w:themeColor="text1"/>
          <w:sz w:val="22"/>
          <w:lang w:val="es-ES_tradnl" w:eastAsia="es-ES"/>
        </w:rPr>
        <w:t>. Finalmente,</w:t>
      </w:r>
      <w:r w:rsidR="009424CF" w:rsidRPr="00F8515B">
        <w:rPr>
          <w:rFonts w:ascii="Arial" w:hAnsi="Arial" w:cs="Arial"/>
          <w:color w:val="000000" w:themeColor="text1"/>
          <w:sz w:val="22"/>
          <w:lang w:val="es-ES_tradnl" w:eastAsia="es-ES"/>
        </w:rPr>
        <w:t xml:space="preserve"> </w:t>
      </w:r>
      <w:r w:rsidR="00CD5688" w:rsidRPr="00F8515B">
        <w:rPr>
          <w:rFonts w:ascii="Arial" w:hAnsi="Arial" w:cs="Arial"/>
          <w:color w:val="000000" w:themeColor="text1"/>
          <w:sz w:val="22"/>
          <w:lang w:val="es-ES_tradnl" w:eastAsia="es-ES"/>
        </w:rPr>
        <w:t>l</w:t>
      </w:r>
      <w:r w:rsidRPr="00F8515B">
        <w:rPr>
          <w:rFonts w:ascii="Arial" w:hAnsi="Arial" w:cs="Arial"/>
          <w:color w:val="000000" w:themeColor="text1"/>
          <w:sz w:val="22"/>
          <w:lang w:val="es-ES_tradnl" w:eastAsia="es-ES"/>
        </w:rPr>
        <w:t xml:space="preserve">os gastos de inversión, dentro de los cuales se incluirá, según el artículo 36 del Estatuto Orgánico, los proyectos establecidos en el «Plan Operativo Anual de Inversión». </w:t>
      </w:r>
    </w:p>
    <w:p w14:paraId="188EF582" w14:textId="23402083" w:rsidR="00DC2BC5" w:rsidRPr="00F8515B" w:rsidRDefault="00785E18" w:rsidP="0065455F">
      <w:pPr>
        <w:overflowPunct w:val="0"/>
        <w:autoSpaceDE w:val="0"/>
        <w:autoSpaceDN w:val="0"/>
        <w:adjustRightInd w:val="0"/>
        <w:spacing w:after="0"/>
        <w:ind w:firstLine="709"/>
        <w:textAlignment w:val="baseline"/>
        <w:rPr>
          <w:rFonts w:ascii="Open Sans" w:eastAsia="Times New Roman" w:hAnsi="Open Sans" w:cs="Open Sans"/>
          <w:color w:val="000000" w:themeColor="text1"/>
          <w:sz w:val="18"/>
          <w:szCs w:val="18"/>
          <w:lang w:val="es-ES_tradnl" w:eastAsia="es-ES_tradnl"/>
        </w:rPr>
      </w:pPr>
      <w:r w:rsidRPr="00F8515B">
        <w:rPr>
          <w:rFonts w:ascii="Arial" w:hAnsi="Arial" w:cs="Arial"/>
          <w:color w:val="000000" w:themeColor="text1"/>
          <w:sz w:val="22"/>
          <w:lang w:val="es-ES_tradnl" w:eastAsia="es-ES"/>
        </w:rPr>
        <w:t xml:space="preserve">Este «Plan Operativo Anual de Inversión» al que hace referencia el </w:t>
      </w:r>
      <w:r w:rsidR="00056809" w:rsidRPr="00F8515B">
        <w:rPr>
          <w:rFonts w:ascii="Arial" w:hAnsi="Arial" w:cs="Arial"/>
          <w:color w:val="000000" w:themeColor="text1"/>
          <w:sz w:val="22"/>
          <w:lang w:val="es-ES_tradnl" w:eastAsia="es-ES"/>
        </w:rPr>
        <w:t xml:space="preserve">citado </w:t>
      </w:r>
      <w:r w:rsidRPr="00F8515B">
        <w:rPr>
          <w:rFonts w:ascii="Arial" w:hAnsi="Arial" w:cs="Arial"/>
          <w:color w:val="000000" w:themeColor="text1"/>
          <w:sz w:val="22"/>
          <w:lang w:val="es-ES_tradnl" w:eastAsia="es-ES"/>
        </w:rPr>
        <w:t>artículo 36, es, junto al presupuesto anual de la Nación, y al Plan Financiero, uno de los componentes del «Sistema Presupuestal»</w:t>
      </w:r>
      <w:r w:rsidRPr="00F8515B">
        <w:rPr>
          <w:rStyle w:val="Refdenotaalpie"/>
          <w:rFonts w:ascii="Arial" w:hAnsi="Arial" w:cs="Arial"/>
          <w:color w:val="000000" w:themeColor="text1"/>
          <w:sz w:val="22"/>
          <w:lang w:val="es-ES_tradnl" w:eastAsia="es-ES"/>
        </w:rPr>
        <w:footnoteReference w:id="51"/>
      </w:r>
      <w:r w:rsidR="00B7078C" w:rsidRPr="00F8515B">
        <w:rPr>
          <w:rFonts w:ascii="Arial" w:hAnsi="Arial" w:cs="Arial"/>
          <w:color w:val="000000" w:themeColor="text1"/>
          <w:sz w:val="22"/>
          <w:lang w:val="es-ES_tradnl" w:eastAsia="es-ES"/>
        </w:rPr>
        <w:t>. D</w:t>
      </w:r>
      <w:r w:rsidRPr="00F8515B">
        <w:rPr>
          <w:rFonts w:ascii="Arial" w:hAnsi="Arial" w:cs="Arial"/>
          <w:color w:val="000000" w:themeColor="text1"/>
          <w:sz w:val="22"/>
          <w:lang w:val="es-ES_tradnl" w:eastAsia="es-ES"/>
        </w:rPr>
        <w:t xml:space="preserve">entro de </w:t>
      </w:r>
      <w:r w:rsidR="00B7078C" w:rsidRPr="00F8515B">
        <w:rPr>
          <w:rFonts w:ascii="Arial" w:hAnsi="Arial" w:cs="Arial"/>
          <w:color w:val="000000" w:themeColor="text1"/>
          <w:sz w:val="22"/>
          <w:lang w:val="es-ES_tradnl" w:eastAsia="es-ES"/>
        </w:rPr>
        <w:t>este</w:t>
      </w:r>
      <w:r w:rsidRPr="00F8515B">
        <w:rPr>
          <w:rFonts w:ascii="Arial" w:hAnsi="Arial" w:cs="Arial"/>
          <w:color w:val="000000" w:themeColor="text1"/>
          <w:sz w:val="22"/>
          <w:lang w:val="es-ES_tradnl" w:eastAsia="es-ES"/>
        </w:rPr>
        <w:t xml:space="preserve"> se señalarán los </w:t>
      </w:r>
      <w:r w:rsidRPr="00F8515B">
        <w:rPr>
          <w:rFonts w:ascii="Arial" w:hAnsi="Arial" w:cs="Arial"/>
          <w:color w:val="000000" w:themeColor="text1"/>
          <w:sz w:val="22"/>
          <w:lang w:val="es-ES_tradnl" w:eastAsia="es-ES"/>
        </w:rPr>
        <w:lastRenderedPageBreak/>
        <w:t>proyectos de inversión clasificados por sectores, órganos y programas, siempre en concordancia con el Plan Nacional de Inversiones contenido en el Plan Nacional de Desarrollo</w:t>
      </w:r>
      <w:r w:rsidRPr="00F8515B">
        <w:rPr>
          <w:rStyle w:val="Refdenotaalpie"/>
          <w:rFonts w:ascii="Arial" w:hAnsi="Arial" w:cs="Arial"/>
          <w:color w:val="000000" w:themeColor="text1"/>
          <w:sz w:val="22"/>
          <w:lang w:val="es-ES_tradnl" w:eastAsia="es-ES"/>
        </w:rPr>
        <w:footnoteReference w:id="52"/>
      </w:r>
      <w:r w:rsidRPr="00F8515B">
        <w:rPr>
          <w:rFonts w:ascii="Arial" w:hAnsi="Arial" w:cs="Arial"/>
          <w:color w:val="000000" w:themeColor="text1"/>
          <w:sz w:val="22"/>
          <w:lang w:val="es-ES_tradnl" w:eastAsia="es-ES"/>
        </w:rPr>
        <w:t xml:space="preserve">. </w:t>
      </w:r>
      <w:r w:rsidR="0065455F" w:rsidRPr="00F8515B">
        <w:rPr>
          <w:rFonts w:ascii="Arial" w:eastAsia="Times New Roman" w:hAnsi="Arial" w:cs="Arial"/>
          <w:color w:val="000000" w:themeColor="text1"/>
          <w:sz w:val="22"/>
          <w:lang w:val="es-ES_tradnl" w:eastAsia="es-CO"/>
        </w:rPr>
        <w:t>Por lo demás</w:t>
      </w:r>
      <w:r w:rsidR="00906322" w:rsidRPr="00F8515B">
        <w:rPr>
          <w:rFonts w:ascii="Arial" w:eastAsia="Times New Roman" w:hAnsi="Arial" w:cs="Arial"/>
          <w:color w:val="000000" w:themeColor="text1"/>
          <w:sz w:val="22"/>
          <w:lang w:val="es-ES_tradnl" w:eastAsia="es-ES_tradnl"/>
        </w:rPr>
        <w:t xml:space="preserve">, </w:t>
      </w:r>
      <w:r w:rsidR="00B30D3C" w:rsidRPr="00F8515B">
        <w:rPr>
          <w:rFonts w:ascii="Arial" w:eastAsia="Times New Roman" w:hAnsi="Arial" w:cs="Arial"/>
          <w:color w:val="000000" w:themeColor="text1"/>
          <w:sz w:val="22"/>
          <w:lang w:val="es-ES_tradnl" w:eastAsia="es-ES_tradnl"/>
        </w:rPr>
        <w:t>de acuerdo con el</w:t>
      </w:r>
      <w:r w:rsidR="00DC2BC5" w:rsidRPr="00F8515B">
        <w:rPr>
          <w:rFonts w:ascii="Arial" w:eastAsia="Times New Roman" w:hAnsi="Arial" w:cs="Arial"/>
          <w:color w:val="000000" w:themeColor="text1"/>
          <w:sz w:val="22"/>
          <w:lang w:val="es-ES_tradnl" w:eastAsia="es-ES_tradnl"/>
        </w:rPr>
        <w:t xml:space="preserve"> </w:t>
      </w:r>
      <w:r w:rsidR="00DC2BC5" w:rsidRPr="00F8515B">
        <w:rPr>
          <w:rFonts w:ascii="Arial" w:hAnsi="Arial" w:cs="Arial"/>
          <w:color w:val="000000" w:themeColor="text1"/>
          <w:sz w:val="22"/>
          <w:lang w:val="es-ES_tradnl" w:eastAsia="es-ES"/>
        </w:rPr>
        <w:t xml:space="preserve">artículo 38 del Estatuto Orgánico del Presupuesto, la ley de gastos o apropiaciones «solo» estará conformada por </w:t>
      </w:r>
      <w:r w:rsidR="00B8193B" w:rsidRPr="00F8515B">
        <w:rPr>
          <w:rFonts w:ascii="Arial" w:hAnsi="Arial" w:cs="Arial"/>
          <w:color w:val="000000" w:themeColor="text1"/>
          <w:sz w:val="22"/>
          <w:lang w:val="es-ES_tradnl" w:eastAsia="es-ES"/>
        </w:rPr>
        <w:t>los siguientes rubros</w:t>
      </w:r>
      <w:r w:rsidR="00DC2BC5" w:rsidRPr="00F8515B">
        <w:rPr>
          <w:rFonts w:ascii="Arial" w:hAnsi="Arial" w:cs="Arial"/>
          <w:color w:val="000000" w:themeColor="text1"/>
          <w:sz w:val="22"/>
          <w:lang w:val="es-ES_tradnl" w:eastAsia="es-ES"/>
        </w:rPr>
        <w:t>:</w:t>
      </w:r>
    </w:p>
    <w:p w14:paraId="3F6D2F8E" w14:textId="77777777" w:rsidR="00DC2BC5" w:rsidRPr="00F8515B" w:rsidRDefault="00DC2BC5" w:rsidP="00DC2BC5">
      <w:pPr>
        <w:overflowPunct w:val="0"/>
        <w:autoSpaceDE w:val="0"/>
        <w:autoSpaceDN w:val="0"/>
        <w:adjustRightInd w:val="0"/>
        <w:spacing w:after="0"/>
        <w:ind w:firstLine="709"/>
        <w:textAlignment w:val="baseline"/>
        <w:rPr>
          <w:rFonts w:ascii="Arial" w:hAnsi="Arial" w:cs="Arial"/>
          <w:color w:val="000000" w:themeColor="text1"/>
          <w:sz w:val="22"/>
          <w:lang w:val="es-ES_tradnl" w:eastAsia="es-ES"/>
        </w:rPr>
      </w:pPr>
    </w:p>
    <w:p w14:paraId="7D86116B" w14:textId="006DF698" w:rsidR="00DC2BC5" w:rsidRPr="00F8515B" w:rsidRDefault="00DC2BC5" w:rsidP="000641BE">
      <w:pPr>
        <w:overflowPunct w:val="0"/>
        <w:autoSpaceDE w:val="0"/>
        <w:autoSpaceDN w:val="0"/>
        <w:adjustRightInd w:val="0"/>
        <w:spacing w:after="120" w:line="240" w:lineRule="auto"/>
        <w:ind w:left="709" w:right="709"/>
        <w:textAlignment w:val="baseline"/>
        <w:rPr>
          <w:rFonts w:ascii="Arial" w:hAnsi="Arial" w:cs="Arial"/>
          <w:color w:val="000000" w:themeColor="text1"/>
          <w:sz w:val="21"/>
          <w:szCs w:val="21"/>
          <w:lang w:val="es-ES_tradnl" w:eastAsia="es-ES"/>
        </w:rPr>
      </w:pPr>
      <w:r w:rsidRPr="00F8515B">
        <w:rPr>
          <w:rFonts w:ascii="Arial" w:hAnsi="Arial" w:cs="Arial"/>
          <w:color w:val="000000" w:themeColor="text1"/>
          <w:sz w:val="21"/>
          <w:szCs w:val="21"/>
          <w:lang w:val="es-ES_tradnl" w:eastAsia="es-ES"/>
        </w:rPr>
        <w:t>1. Los créditos judicialmente reconocidos;</w:t>
      </w:r>
    </w:p>
    <w:p w14:paraId="79E7FE0F" w14:textId="1599CEBB" w:rsidR="00DC2BC5" w:rsidRPr="00F8515B" w:rsidRDefault="00DC2BC5" w:rsidP="000641BE">
      <w:pPr>
        <w:overflowPunct w:val="0"/>
        <w:autoSpaceDE w:val="0"/>
        <w:autoSpaceDN w:val="0"/>
        <w:adjustRightInd w:val="0"/>
        <w:spacing w:after="120" w:line="240" w:lineRule="auto"/>
        <w:ind w:left="709" w:right="709"/>
        <w:textAlignment w:val="baseline"/>
        <w:rPr>
          <w:rFonts w:ascii="Arial" w:hAnsi="Arial" w:cs="Arial"/>
          <w:color w:val="000000" w:themeColor="text1"/>
          <w:sz w:val="21"/>
          <w:szCs w:val="21"/>
          <w:lang w:val="es-ES_tradnl" w:eastAsia="es-ES"/>
        </w:rPr>
      </w:pPr>
      <w:r w:rsidRPr="00F8515B">
        <w:rPr>
          <w:rFonts w:ascii="Arial" w:hAnsi="Arial" w:cs="Arial"/>
          <w:color w:val="000000" w:themeColor="text1"/>
          <w:sz w:val="21"/>
          <w:szCs w:val="21"/>
          <w:lang w:val="es-ES_tradnl" w:eastAsia="es-ES"/>
        </w:rPr>
        <w:t>2. Los gastos decretados conforme a la ley;</w:t>
      </w:r>
    </w:p>
    <w:p w14:paraId="33264472" w14:textId="489CA78A" w:rsidR="00DC2BC5" w:rsidRPr="00F8515B" w:rsidRDefault="00DC2BC5" w:rsidP="000641BE">
      <w:pPr>
        <w:overflowPunct w:val="0"/>
        <w:autoSpaceDE w:val="0"/>
        <w:autoSpaceDN w:val="0"/>
        <w:adjustRightInd w:val="0"/>
        <w:spacing w:after="120" w:line="240" w:lineRule="auto"/>
        <w:ind w:left="709" w:right="709"/>
        <w:textAlignment w:val="baseline"/>
        <w:rPr>
          <w:rFonts w:ascii="Arial" w:hAnsi="Arial" w:cs="Arial"/>
          <w:color w:val="000000" w:themeColor="text1"/>
          <w:sz w:val="21"/>
          <w:szCs w:val="21"/>
          <w:lang w:val="es-ES_tradnl" w:eastAsia="es-ES"/>
        </w:rPr>
      </w:pPr>
      <w:r w:rsidRPr="00F8515B">
        <w:rPr>
          <w:rFonts w:ascii="Arial" w:hAnsi="Arial" w:cs="Arial"/>
          <w:color w:val="000000" w:themeColor="text1"/>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5E1CA978" w14:textId="77777777" w:rsidR="00DC2BC5" w:rsidRPr="00F8515B" w:rsidRDefault="00DC2BC5" w:rsidP="000641BE">
      <w:pPr>
        <w:overflowPunct w:val="0"/>
        <w:autoSpaceDE w:val="0"/>
        <w:autoSpaceDN w:val="0"/>
        <w:adjustRightInd w:val="0"/>
        <w:spacing w:after="0" w:line="240" w:lineRule="auto"/>
        <w:ind w:left="709" w:right="709"/>
        <w:textAlignment w:val="baseline"/>
        <w:rPr>
          <w:rFonts w:ascii="Arial" w:hAnsi="Arial" w:cs="Arial"/>
          <w:color w:val="000000" w:themeColor="text1"/>
          <w:sz w:val="21"/>
          <w:szCs w:val="21"/>
          <w:lang w:val="es-ES_tradnl" w:eastAsia="es-ES"/>
        </w:rPr>
      </w:pPr>
      <w:r w:rsidRPr="00F8515B">
        <w:rPr>
          <w:rFonts w:ascii="Arial" w:hAnsi="Arial" w:cs="Arial"/>
          <w:color w:val="000000" w:themeColor="text1"/>
          <w:sz w:val="21"/>
          <w:szCs w:val="21"/>
          <w:lang w:val="es-ES_tradnl" w:eastAsia="es-ES"/>
        </w:rPr>
        <w:t xml:space="preserve">4. </w:t>
      </w:r>
      <w:r w:rsidRPr="00F8515B">
        <w:rPr>
          <w:rFonts w:ascii="Arial" w:eastAsia="Times New Roman" w:hAnsi="Arial" w:cs="Arial"/>
          <w:color w:val="000000" w:themeColor="text1"/>
          <w:sz w:val="21"/>
          <w:szCs w:val="21"/>
          <w:shd w:val="clear" w:color="auto" w:fill="FFFFFF"/>
          <w:lang w:val="es-ES_tradnl"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0C9E5B8E" w14:textId="77777777" w:rsidR="00DC2BC5" w:rsidRPr="00F8515B" w:rsidRDefault="00DC2BC5" w:rsidP="00DC2BC5">
      <w:pPr>
        <w:overflowPunct w:val="0"/>
        <w:autoSpaceDE w:val="0"/>
        <w:autoSpaceDN w:val="0"/>
        <w:adjustRightInd w:val="0"/>
        <w:spacing w:after="0"/>
        <w:textAlignment w:val="baseline"/>
        <w:rPr>
          <w:rFonts w:ascii="Arial" w:hAnsi="Arial" w:cs="Arial"/>
          <w:color w:val="000000" w:themeColor="text1"/>
          <w:sz w:val="22"/>
          <w:lang w:val="es-ES_tradnl" w:eastAsia="es-ES"/>
        </w:rPr>
      </w:pPr>
    </w:p>
    <w:p w14:paraId="2D724E8A" w14:textId="793EDA9E" w:rsidR="007B234F" w:rsidRPr="00F8515B" w:rsidRDefault="00DC2BC5" w:rsidP="000641BE">
      <w:pPr>
        <w:overflowPunct w:val="0"/>
        <w:autoSpaceDE w:val="0"/>
        <w:autoSpaceDN w:val="0"/>
        <w:adjustRightInd w:val="0"/>
        <w:spacing w:after="120"/>
        <w:ind w:firstLine="709"/>
        <w:textAlignment w:val="baseline"/>
        <w:rPr>
          <w:rFonts w:ascii="Arial" w:eastAsia="Times New Roman" w:hAnsi="Arial" w:cs="Arial"/>
          <w:b/>
          <w:color w:val="000000" w:themeColor="text1"/>
          <w:sz w:val="22"/>
          <w:lang w:val="es-ES_tradnl" w:eastAsia="es-CO"/>
        </w:rPr>
      </w:pPr>
      <w:r w:rsidRPr="00F8515B">
        <w:rPr>
          <w:rFonts w:ascii="Arial" w:hAnsi="Arial" w:cs="Arial"/>
          <w:color w:val="000000" w:themeColor="text1"/>
          <w:sz w:val="22"/>
          <w:lang w:val="es-ES_tradnl" w:eastAsia="es-ES"/>
        </w:rPr>
        <w:t>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sidRPr="00F8515B">
        <w:rPr>
          <w:rFonts w:ascii="Arial" w:hAnsi="Arial" w:cs="Arial"/>
          <w:color w:val="000000" w:themeColor="text1"/>
          <w:sz w:val="22"/>
          <w:lang w:val="es-ES_tradnl" w:eastAsia="es-ES"/>
        </w:rPr>
        <w:t xml:space="preserve"> está</w:t>
      </w:r>
      <w:r w:rsidR="001E4FA3" w:rsidRPr="00F8515B">
        <w:rPr>
          <w:rFonts w:ascii="Arial" w:hAnsi="Arial" w:cs="Arial"/>
          <w:color w:val="000000" w:themeColor="text1"/>
          <w:sz w:val="22"/>
          <w:lang w:val="es-ES_tradnl" w:eastAsia="es-ES"/>
        </w:rPr>
        <w:t xml:space="preserve"> </w:t>
      </w:r>
      <w:r w:rsidR="003E7AAD" w:rsidRPr="00F8515B">
        <w:rPr>
          <w:rFonts w:ascii="Arial" w:hAnsi="Arial" w:cs="Arial"/>
          <w:color w:val="000000" w:themeColor="text1"/>
          <w:sz w:val="22"/>
          <w:lang w:val="es-ES_tradnl" w:eastAsia="es-ES"/>
        </w:rPr>
        <w:t xml:space="preserve">«[…]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w:t>
      </w:r>
      <w:r w:rsidR="003E7AAD" w:rsidRPr="00F8515B">
        <w:rPr>
          <w:rFonts w:ascii="Arial" w:hAnsi="Arial" w:cs="Arial"/>
          <w:color w:val="000000" w:themeColor="text1"/>
          <w:sz w:val="22"/>
          <w:lang w:val="es-ES_tradnl" w:eastAsia="es-ES"/>
        </w:rPr>
        <w:lastRenderedPageBreak/>
        <w:t>programas y proyectos de inversión pública nacional y la especificación de los recursos financieros requeridos para su ejecución</w:t>
      </w:r>
      <w:r w:rsidR="003F2AD2" w:rsidRPr="00F8515B">
        <w:rPr>
          <w:rFonts w:ascii="Arial" w:hAnsi="Arial" w:cs="Arial"/>
          <w:color w:val="000000" w:themeColor="text1"/>
          <w:sz w:val="22"/>
          <w:lang w:val="es-ES_tradnl" w:eastAsia="es-ES"/>
        </w:rPr>
        <w:t>».</w:t>
      </w:r>
      <w:r w:rsidRPr="00F8515B">
        <w:rPr>
          <w:rFonts w:ascii="Arial" w:hAnsi="Arial" w:cs="Arial"/>
          <w:color w:val="000000" w:themeColor="text1"/>
          <w:sz w:val="22"/>
          <w:lang w:val="es-ES_tradnl" w:eastAsia="es-ES"/>
        </w:rPr>
        <w:t xml:space="preserve"> </w:t>
      </w:r>
    </w:p>
    <w:p w14:paraId="32E52078" w14:textId="32E370F8"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Como corolario de todo lo anterior, se concluye que </w:t>
      </w:r>
      <w:bookmarkStart w:id="61" w:name="_Hlk88202117"/>
      <w:r w:rsidRPr="00F8515B">
        <w:rPr>
          <w:rFonts w:ascii="Arial" w:eastAsia="Times New Roman" w:hAnsi="Arial" w:cs="Arial"/>
          <w:bCs/>
          <w:color w:val="000000" w:themeColor="text1"/>
          <w:sz w:val="22"/>
          <w:lang w:val="es-ES_tradnl" w:eastAsia="es-CO"/>
        </w:rPr>
        <w:t>la Ley 2159 de 2021 modificó parcial y transitoriamente el parágrafo del artículo 38 de la Ley 996 de 2005, en aspectos temporales, subjetivos</w:t>
      </w:r>
      <w:r w:rsidR="00A206C9" w:rsidRPr="00F8515B">
        <w:rPr>
          <w:rFonts w:ascii="Arial" w:eastAsia="Times New Roman" w:hAnsi="Arial" w:cs="Arial"/>
          <w:bCs/>
          <w:color w:val="000000" w:themeColor="text1"/>
          <w:sz w:val="22"/>
          <w:lang w:val="es-ES_tradnl" w:eastAsia="es-CO"/>
        </w:rPr>
        <w:t xml:space="preserve"> y </w:t>
      </w:r>
      <w:r w:rsidRPr="00F8515B">
        <w:rPr>
          <w:rFonts w:ascii="Arial" w:eastAsia="Times New Roman" w:hAnsi="Arial" w:cs="Arial"/>
          <w:bCs/>
          <w:color w:val="000000" w:themeColor="text1"/>
          <w:sz w:val="22"/>
          <w:lang w:val="es-ES_tradnl" w:eastAsia="es-CO"/>
        </w:rPr>
        <w:t>teleológicos</w:t>
      </w:r>
      <w:r w:rsidR="00A206C9" w:rsidRPr="00F8515B">
        <w:rPr>
          <w:rFonts w:ascii="Arial" w:eastAsia="Times New Roman" w:hAnsi="Arial" w:cs="Arial"/>
          <w:bCs/>
          <w:color w:val="000000" w:themeColor="text1"/>
          <w:sz w:val="22"/>
          <w:lang w:val="es-ES_tradnl" w:eastAsia="es-CO"/>
        </w:rPr>
        <w:t>. E</w:t>
      </w:r>
      <w:r w:rsidRPr="00F8515B">
        <w:rPr>
          <w:rFonts w:ascii="Arial" w:eastAsia="Times New Roman" w:hAnsi="Arial" w:cs="Arial"/>
          <w:bCs/>
          <w:color w:val="000000" w:themeColor="text1"/>
          <w:sz w:val="22"/>
          <w:lang w:val="es-ES_tradnl" w:eastAsia="es-CO"/>
        </w:rPr>
        <w:t>n particular, suspende la prohibición de celebra</w:t>
      </w:r>
      <w:r w:rsidR="00C54E4E" w:rsidRPr="00F8515B">
        <w:rPr>
          <w:rFonts w:ascii="Arial" w:eastAsia="Times New Roman" w:hAnsi="Arial" w:cs="Arial"/>
          <w:bCs/>
          <w:color w:val="000000" w:themeColor="text1"/>
          <w:sz w:val="22"/>
          <w:lang w:val="es-ES_tradnl" w:eastAsia="es-CO"/>
        </w:rPr>
        <w:t>r</w:t>
      </w:r>
      <w:r w:rsidRPr="00F8515B">
        <w:rPr>
          <w:rFonts w:ascii="Arial" w:eastAsia="Times New Roman" w:hAnsi="Arial" w:cs="Arial"/>
          <w:bCs/>
          <w:color w:val="000000" w:themeColor="text1"/>
          <w:sz w:val="22"/>
          <w:lang w:val="es-ES_tradnl" w:eastAsia="es-CO"/>
        </w:rPr>
        <w:t xml:space="preserv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05CE6803" w14:textId="71A72690"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Es de anotar, por ser relevante para la consulta que se resuelve, que la modificación de la ley del Presupuesto </w:t>
      </w:r>
      <w:r w:rsidR="00CA5AD8" w:rsidRPr="00F8515B">
        <w:rPr>
          <w:rFonts w:ascii="Arial" w:eastAsia="Times New Roman" w:hAnsi="Arial" w:cs="Arial"/>
          <w:bCs/>
          <w:color w:val="000000" w:themeColor="text1"/>
          <w:sz w:val="22"/>
          <w:lang w:val="es-ES_tradnl" w:eastAsia="es-CO"/>
        </w:rPr>
        <w:t>aplica</w:t>
      </w:r>
      <w:r w:rsidRPr="00F8515B">
        <w:rPr>
          <w:rFonts w:ascii="Arial" w:eastAsia="Times New Roman" w:hAnsi="Arial" w:cs="Arial"/>
          <w:bCs/>
          <w:color w:val="000000" w:themeColor="text1"/>
          <w:sz w:val="22"/>
          <w:lang w:val="es-ES_tradnl" w:eastAsia="es-CO"/>
        </w:rPr>
        <w:t>, únicamente, frente al parágrafo del artículo 38</w:t>
      </w:r>
      <w:r w:rsidR="00195A58" w:rsidRPr="00F8515B">
        <w:rPr>
          <w:rFonts w:ascii="Arial" w:eastAsia="Times New Roman" w:hAnsi="Arial" w:cs="Arial"/>
          <w:bCs/>
          <w:color w:val="000000" w:themeColor="text1"/>
          <w:sz w:val="22"/>
          <w:lang w:val="es-ES_tradnl" w:eastAsia="es-CO"/>
        </w:rPr>
        <w:t xml:space="preserve"> de la Ley de Garantías</w:t>
      </w:r>
      <w:r w:rsidR="00B02B52">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no en relación con las prohibiciones del artículo 33</w:t>
      </w:r>
      <w:r w:rsidR="00195A58" w:rsidRPr="00F8515B">
        <w:rPr>
          <w:rFonts w:ascii="Arial" w:eastAsia="Times New Roman" w:hAnsi="Arial" w:cs="Arial"/>
          <w:bCs/>
          <w:color w:val="000000" w:themeColor="text1"/>
          <w:sz w:val="22"/>
          <w:lang w:val="es-ES_tradnl" w:eastAsia="es-CO"/>
        </w:rPr>
        <w:t xml:space="preserve"> </w:t>
      </w:r>
      <w:proofErr w:type="spellStart"/>
      <w:r w:rsidR="00195A58" w:rsidRPr="00F8515B">
        <w:rPr>
          <w:rFonts w:ascii="Arial" w:eastAsia="Times New Roman" w:hAnsi="Arial" w:cs="Arial"/>
          <w:bCs/>
          <w:i/>
          <w:iCs/>
          <w:color w:val="000000" w:themeColor="text1"/>
          <w:sz w:val="22"/>
          <w:lang w:val="es-ES_tradnl" w:eastAsia="es-CO"/>
        </w:rPr>
        <w:t>ibidem</w:t>
      </w:r>
      <w:proofErr w:type="spellEnd"/>
      <w:r w:rsidR="002D2D19" w:rsidRPr="00F8515B">
        <w:rPr>
          <w:rFonts w:ascii="Arial" w:eastAsia="Times New Roman" w:hAnsi="Arial" w:cs="Arial"/>
          <w:bCs/>
          <w:color w:val="000000" w:themeColor="text1"/>
          <w:sz w:val="22"/>
          <w:lang w:val="es-ES_tradnl" w:eastAsia="es-CO"/>
        </w:rPr>
        <w:t xml:space="preserve">. Como se explicó </w:t>
      </w:r>
      <w:r w:rsidR="002D2D19" w:rsidRPr="00F8515B">
        <w:rPr>
          <w:rFonts w:ascii="Arial" w:eastAsia="Times New Roman" w:hAnsi="Arial" w:cs="Arial"/>
          <w:bCs/>
          <w:i/>
          <w:iCs/>
          <w:color w:val="000000" w:themeColor="text1"/>
          <w:sz w:val="22"/>
          <w:lang w:val="es-ES_tradnl" w:eastAsia="es-CO"/>
        </w:rPr>
        <w:t>ut supra</w:t>
      </w:r>
      <w:r w:rsidR="002D2D19" w:rsidRPr="00F8515B">
        <w:rPr>
          <w:rFonts w:ascii="Arial" w:eastAsia="Times New Roman" w:hAnsi="Arial" w:cs="Arial"/>
          <w:bCs/>
          <w:color w:val="000000" w:themeColor="text1"/>
          <w:sz w:val="22"/>
          <w:lang w:val="es-ES_tradnl" w:eastAsia="es-CO"/>
        </w:rPr>
        <w:t xml:space="preserve">, </w:t>
      </w:r>
      <w:r w:rsidR="004B567B" w:rsidRPr="00F8515B">
        <w:rPr>
          <w:rFonts w:ascii="Arial" w:eastAsia="Times New Roman" w:hAnsi="Arial" w:cs="Arial"/>
          <w:bCs/>
          <w:color w:val="000000" w:themeColor="text1"/>
          <w:sz w:val="22"/>
          <w:lang w:val="es-ES_tradnl" w:eastAsia="es-CO"/>
        </w:rPr>
        <w:t xml:space="preserve">esta última </w:t>
      </w:r>
      <w:r w:rsidR="00DE2F27" w:rsidRPr="00F8515B">
        <w:rPr>
          <w:rFonts w:ascii="Arial" w:eastAsia="Times New Roman" w:hAnsi="Arial" w:cs="Arial"/>
          <w:bCs/>
          <w:color w:val="000000" w:themeColor="text1"/>
          <w:sz w:val="22"/>
          <w:lang w:val="es-ES_tradnl" w:eastAsia="es-CO"/>
        </w:rPr>
        <w:t>restricción</w:t>
      </w:r>
      <w:r w:rsidR="004B567B" w:rsidRPr="00F8515B">
        <w:rPr>
          <w:rFonts w:ascii="Arial" w:eastAsia="Times New Roman" w:hAnsi="Arial" w:cs="Arial"/>
          <w:bCs/>
          <w:color w:val="000000" w:themeColor="text1"/>
          <w:sz w:val="22"/>
          <w:lang w:val="es-ES_tradnl" w:eastAsia="es-CO"/>
        </w:rPr>
        <w:t xml:space="preserve"> </w:t>
      </w:r>
      <w:r w:rsidR="00DE2F27" w:rsidRPr="00F8515B">
        <w:rPr>
          <w:rFonts w:ascii="Arial" w:eastAsia="Times New Roman" w:hAnsi="Arial" w:cs="Arial"/>
          <w:bCs/>
          <w:color w:val="000000" w:themeColor="text1"/>
          <w:sz w:val="22"/>
          <w:lang w:val="es-ES_tradnl" w:eastAsia="es-CO"/>
        </w:rPr>
        <w:t>tiene una naturaleza</w:t>
      </w:r>
      <w:r w:rsidR="004B567B" w:rsidRPr="00F8515B">
        <w:rPr>
          <w:rFonts w:ascii="Arial" w:eastAsia="Times New Roman" w:hAnsi="Arial" w:cs="Arial"/>
          <w:bCs/>
          <w:color w:val="000000" w:themeColor="text1"/>
          <w:sz w:val="22"/>
          <w:lang w:val="es-ES_tradnl" w:eastAsia="es-CO"/>
        </w:rPr>
        <w:t xml:space="preserve"> distinta</w:t>
      </w:r>
      <w:r w:rsidRPr="00F8515B">
        <w:rPr>
          <w:rFonts w:ascii="Arial" w:eastAsia="Times New Roman" w:hAnsi="Arial" w:cs="Arial"/>
          <w:bCs/>
          <w:color w:val="000000" w:themeColor="text1"/>
          <w:sz w:val="22"/>
          <w:lang w:val="es-ES_tradnl" w:eastAsia="es-CO"/>
        </w:rPr>
        <w:t xml:space="preserve">, aunque concurrente </w:t>
      </w:r>
      <w:r w:rsidR="00DE2F27" w:rsidRPr="00F8515B">
        <w:rPr>
          <w:rFonts w:ascii="Arial" w:eastAsia="Times New Roman" w:hAnsi="Arial" w:cs="Arial"/>
          <w:bCs/>
          <w:color w:val="000000" w:themeColor="text1"/>
          <w:sz w:val="22"/>
          <w:lang w:val="es-ES_tradnl" w:eastAsia="es-CO"/>
        </w:rPr>
        <w:t xml:space="preserve">con </w:t>
      </w:r>
      <w:r w:rsidR="00A71148" w:rsidRPr="00F8515B">
        <w:rPr>
          <w:rFonts w:ascii="Arial" w:eastAsia="Times New Roman" w:hAnsi="Arial" w:cs="Arial"/>
          <w:bCs/>
          <w:color w:val="000000" w:themeColor="text1"/>
          <w:sz w:val="22"/>
          <w:lang w:val="es-ES_tradnl" w:eastAsia="es-CO"/>
        </w:rPr>
        <w:t xml:space="preserve">la </w:t>
      </w:r>
      <w:r w:rsidRPr="00F8515B">
        <w:rPr>
          <w:rFonts w:ascii="Arial" w:eastAsia="Times New Roman" w:hAnsi="Arial" w:cs="Arial"/>
          <w:bCs/>
          <w:color w:val="000000" w:themeColor="text1"/>
          <w:sz w:val="22"/>
          <w:lang w:val="es-ES_tradnl" w:eastAsia="es-CO"/>
        </w:rPr>
        <w:t>del parágrafo</w:t>
      </w:r>
      <w:r w:rsidR="00A71148" w:rsidRPr="00F8515B">
        <w:rPr>
          <w:rFonts w:ascii="Arial" w:eastAsia="Times New Roman" w:hAnsi="Arial" w:cs="Arial"/>
          <w:bCs/>
          <w:color w:val="000000" w:themeColor="text1"/>
          <w:sz w:val="22"/>
          <w:lang w:val="es-ES_tradnl" w:eastAsia="es-CO"/>
        </w:rPr>
        <w:t xml:space="preserve"> analizado en la Ley 996 de 2005</w:t>
      </w:r>
      <w:r w:rsidR="000465F7" w:rsidRPr="00F8515B">
        <w:rPr>
          <w:rFonts w:ascii="Arial" w:eastAsia="Times New Roman" w:hAnsi="Arial" w:cs="Arial"/>
          <w:bCs/>
          <w:color w:val="000000" w:themeColor="text1"/>
          <w:sz w:val="22"/>
          <w:lang w:val="es-ES_tradnl" w:eastAsia="es-CO"/>
        </w:rPr>
        <w:t>. Por tanto</w:t>
      </w:r>
      <w:r w:rsidRPr="00F8515B">
        <w:rPr>
          <w:rFonts w:ascii="Arial" w:eastAsia="Times New Roman" w:hAnsi="Arial" w:cs="Arial"/>
          <w:bCs/>
          <w:color w:val="000000" w:themeColor="text1"/>
          <w:sz w:val="22"/>
          <w:lang w:val="es-ES_tradnl" w:eastAsia="es-CO"/>
        </w:rPr>
        <w:t>, las restricciones a la contratación directa dentro del periodo preelectoral presidencial y vicepresidencial se mantienen invariables a partir de la publicación de la Ley del Presupuesto.</w:t>
      </w:r>
      <w:bookmarkEnd w:id="61"/>
    </w:p>
    <w:p w14:paraId="6B2030F6" w14:textId="4D26C70E"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En efecto, la Agencia advierte que para el año 2022 están programadas las elecciones para elegir miembros del Congreso de la República, así como las jornadas para la elección del </w:t>
      </w:r>
      <w:proofErr w:type="gramStart"/>
      <w:r w:rsidRPr="00F8515B">
        <w:rPr>
          <w:rFonts w:ascii="Arial" w:eastAsia="Times New Roman" w:hAnsi="Arial" w:cs="Arial"/>
          <w:bCs/>
          <w:color w:val="000000" w:themeColor="text1"/>
          <w:sz w:val="22"/>
          <w:lang w:val="es-ES_tradnl" w:eastAsia="es-CO"/>
        </w:rPr>
        <w:t>Presidente</w:t>
      </w:r>
      <w:proofErr w:type="gramEnd"/>
      <w:r w:rsidRPr="00F8515B">
        <w:rPr>
          <w:rFonts w:ascii="Arial" w:eastAsia="Times New Roman" w:hAnsi="Arial" w:cs="Arial"/>
          <w:bCs/>
          <w:color w:val="000000" w:themeColor="text1"/>
          <w:sz w:val="22"/>
          <w:lang w:val="es-ES_tradnl" w:eastAsia="es-CO"/>
        </w:rPr>
        <w:t xml:space="preserve"> y Vicepresidente de la República. Las primeras para el domingo 13 de marzo de 2022</w:t>
      </w:r>
      <w:r w:rsidRPr="00F8515B">
        <w:rPr>
          <w:rStyle w:val="Refdenotaalpie"/>
          <w:rFonts w:ascii="Arial" w:eastAsia="Times New Roman" w:hAnsi="Arial" w:cs="Arial"/>
          <w:bCs/>
          <w:color w:val="000000" w:themeColor="text1"/>
          <w:sz w:val="22"/>
          <w:lang w:val="es-ES_tradnl" w:eastAsia="es-CO"/>
        </w:rPr>
        <w:footnoteReference w:id="53"/>
      </w:r>
      <w:r w:rsidRPr="00F8515B">
        <w:rPr>
          <w:rFonts w:ascii="Arial" w:eastAsia="Times New Roman" w:hAnsi="Arial" w:cs="Arial"/>
          <w:bCs/>
          <w:color w:val="000000" w:themeColor="text1"/>
          <w:sz w:val="22"/>
          <w:lang w:val="es-ES_tradnl" w:eastAsia="es-CO"/>
        </w:rPr>
        <w:t xml:space="preserve"> y las segundas para el 29 de mayo del mismo año</w:t>
      </w:r>
      <w:r w:rsidRPr="00F8515B">
        <w:rPr>
          <w:rStyle w:val="Refdenotaalpie"/>
          <w:rFonts w:ascii="Arial" w:eastAsia="Times New Roman" w:hAnsi="Arial" w:cs="Arial"/>
          <w:bCs/>
          <w:color w:val="000000" w:themeColor="text1"/>
          <w:sz w:val="22"/>
          <w:lang w:val="es-ES_tradnl" w:eastAsia="es-CO"/>
        </w:rPr>
        <w:footnoteReference w:id="54"/>
      </w:r>
      <w:r w:rsidRPr="00F8515B">
        <w:rPr>
          <w:rFonts w:ascii="Arial" w:eastAsia="Times New Roman" w:hAnsi="Arial" w:cs="Arial"/>
          <w:bCs/>
          <w:color w:val="000000" w:themeColor="text1"/>
          <w:sz w:val="22"/>
          <w:lang w:val="es-ES_tradnl" w:eastAsia="es-CO"/>
        </w:rPr>
        <w:t>, respectivamente</w:t>
      </w:r>
      <w:r w:rsidR="006670F5" w:rsidRPr="00F8515B">
        <w:rPr>
          <w:rFonts w:ascii="Arial" w:eastAsia="Times New Roman" w:hAnsi="Arial" w:cs="Arial"/>
          <w:bCs/>
          <w:color w:val="000000" w:themeColor="text1"/>
          <w:sz w:val="22"/>
          <w:lang w:val="es-ES_tradnl" w:eastAsia="es-CO"/>
        </w:rPr>
        <w:t xml:space="preserve">. De </w:t>
      </w:r>
      <w:r w:rsidRPr="00F8515B">
        <w:rPr>
          <w:rFonts w:ascii="Arial" w:eastAsia="Times New Roman" w:hAnsi="Arial" w:cs="Arial"/>
          <w:bCs/>
          <w:color w:val="000000" w:themeColor="text1"/>
          <w:sz w:val="22"/>
          <w:lang w:val="es-ES_tradnl" w:eastAsia="es-CO"/>
        </w:rPr>
        <w:t>e</w:t>
      </w:r>
      <w:r w:rsidR="006670F5" w:rsidRPr="00F8515B">
        <w:rPr>
          <w:rFonts w:ascii="Arial" w:eastAsia="Times New Roman" w:hAnsi="Arial" w:cs="Arial"/>
          <w:bCs/>
          <w:color w:val="000000" w:themeColor="text1"/>
          <w:sz w:val="22"/>
          <w:lang w:val="es-ES_tradnl" w:eastAsia="es-CO"/>
        </w:rPr>
        <w:t>sta</w:t>
      </w:r>
      <w:r w:rsidRPr="00F8515B">
        <w:rPr>
          <w:rFonts w:ascii="Arial" w:eastAsia="Times New Roman" w:hAnsi="Arial" w:cs="Arial"/>
          <w:bCs/>
          <w:color w:val="000000" w:themeColor="text1"/>
          <w:sz w:val="22"/>
          <w:lang w:val="es-ES_tradnl" w:eastAsia="es-CO"/>
        </w:rPr>
        <w:t xml:space="preserve"> manera</w:t>
      </w:r>
      <w:r w:rsidR="006670F5"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resulta palmario que el periodo preelectoral de restricción de cuatro meses anteriores a la correspondiente elección de que tratan los artículos 33 y 38 de la Ley 996</w:t>
      </w:r>
      <w:r w:rsidR="00CB1B38" w:rsidRPr="00F8515B">
        <w:rPr>
          <w:rFonts w:ascii="Arial" w:eastAsia="Times New Roman" w:hAnsi="Arial" w:cs="Arial"/>
          <w:bCs/>
          <w:color w:val="000000" w:themeColor="text1"/>
          <w:sz w:val="22"/>
          <w:lang w:val="es-ES_tradnl" w:eastAsia="es-CO"/>
        </w:rPr>
        <w:t xml:space="preserve"> de 2005</w:t>
      </w:r>
      <w:r w:rsidRPr="00F8515B">
        <w:rPr>
          <w:rFonts w:ascii="Arial" w:eastAsia="Times New Roman" w:hAnsi="Arial" w:cs="Arial"/>
          <w:bCs/>
          <w:color w:val="000000" w:themeColor="text1"/>
          <w:sz w:val="22"/>
          <w:lang w:val="es-ES_tradnl" w:eastAsia="es-CO"/>
        </w:rPr>
        <w:t xml:space="preserve"> coincidirá parcialmente. En este sentido, las prohibiciones para la contratación directa y para la celebración de convenios y contratos interadministrativos concurren durante la coincidencia de periodos preelectorales. </w:t>
      </w:r>
    </w:p>
    <w:p w14:paraId="0DBEC586" w14:textId="2E4C0B42" w:rsidR="007B234F" w:rsidRPr="00F8515B" w:rsidRDefault="007B234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Así, durante el periodo preelectoral de elección al Congreso de la República aplicará, únicamente, la prohibición del parágrafo 38</w:t>
      </w:r>
      <w:r w:rsidR="002F3451" w:rsidRPr="00F8515B">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w:t>
      </w:r>
      <w:r w:rsidR="002F3451" w:rsidRPr="00F8515B">
        <w:rPr>
          <w:rFonts w:ascii="Arial" w:eastAsia="Times New Roman" w:hAnsi="Arial" w:cs="Arial"/>
          <w:bCs/>
          <w:color w:val="000000" w:themeColor="text1"/>
          <w:sz w:val="22"/>
          <w:lang w:val="es-ES_tradnl" w:eastAsia="es-CO"/>
        </w:rPr>
        <w:t>S</w:t>
      </w:r>
      <w:r w:rsidRPr="00F8515B">
        <w:rPr>
          <w:rFonts w:ascii="Arial" w:eastAsia="Times New Roman" w:hAnsi="Arial" w:cs="Arial"/>
          <w:bCs/>
          <w:color w:val="000000" w:themeColor="text1"/>
          <w:sz w:val="22"/>
          <w:lang w:val="es-ES_tradnl" w:eastAsia="es-CO"/>
        </w:rPr>
        <w:t xml:space="preserve">in embargo, una vez inicie el </w:t>
      </w:r>
      <w:r w:rsidRPr="00F8515B">
        <w:rPr>
          <w:rFonts w:ascii="Arial" w:eastAsia="Times New Roman" w:hAnsi="Arial" w:cs="Arial"/>
          <w:bCs/>
          <w:color w:val="000000" w:themeColor="text1"/>
          <w:sz w:val="22"/>
          <w:lang w:val="es-ES_tradnl" w:eastAsia="es-CO"/>
        </w:rPr>
        <w:lastRenderedPageBreak/>
        <w:t xml:space="preserve">periodo preelectoral para la elección de </w:t>
      </w:r>
      <w:proofErr w:type="gramStart"/>
      <w:r w:rsidRPr="00F8515B">
        <w:rPr>
          <w:rFonts w:ascii="Arial" w:eastAsia="Times New Roman" w:hAnsi="Arial" w:cs="Arial"/>
          <w:bCs/>
          <w:color w:val="000000" w:themeColor="text1"/>
          <w:sz w:val="22"/>
          <w:lang w:val="es-ES_tradnl" w:eastAsia="es-CO"/>
        </w:rPr>
        <w:t>Presidente</w:t>
      </w:r>
      <w:proofErr w:type="gramEnd"/>
      <w:r w:rsidRPr="00F8515B">
        <w:rPr>
          <w:rFonts w:ascii="Arial" w:eastAsia="Times New Roman" w:hAnsi="Arial" w:cs="Arial"/>
          <w:bCs/>
          <w:color w:val="000000" w:themeColor="text1"/>
          <w:sz w:val="22"/>
          <w:lang w:val="es-ES_tradnl" w:eastAsia="es-CO"/>
        </w:rPr>
        <w:t xml:space="preserve"> y Vicepresidente, deberán</w:t>
      </w:r>
      <w:r w:rsidR="00E91585"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aplica</w:t>
      </w:r>
      <w:r w:rsidR="002F3451" w:rsidRPr="00F8515B">
        <w:rPr>
          <w:rFonts w:ascii="Arial" w:eastAsia="Times New Roman" w:hAnsi="Arial" w:cs="Arial"/>
          <w:bCs/>
          <w:color w:val="000000" w:themeColor="text1"/>
          <w:sz w:val="22"/>
          <w:lang w:val="es-ES_tradnl" w:eastAsia="es-CO"/>
        </w:rPr>
        <w:t>r</w:t>
      </w:r>
      <w:r w:rsidRPr="00F8515B">
        <w:rPr>
          <w:rFonts w:ascii="Arial" w:eastAsia="Times New Roman" w:hAnsi="Arial" w:cs="Arial"/>
          <w:bCs/>
          <w:color w:val="000000" w:themeColor="text1"/>
          <w:sz w:val="22"/>
          <w:lang w:val="es-ES_tradnl" w:eastAsia="es-CO"/>
        </w:rPr>
        <w:t>s</w:t>
      </w:r>
      <w:r w:rsidR="002F3451" w:rsidRPr="00F8515B">
        <w:rPr>
          <w:rFonts w:ascii="Arial" w:eastAsia="Times New Roman" w:hAnsi="Arial" w:cs="Arial"/>
          <w:bCs/>
          <w:color w:val="000000" w:themeColor="text1"/>
          <w:sz w:val="22"/>
          <w:lang w:val="es-ES_tradnl" w:eastAsia="es-CO"/>
        </w:rPr>
        <w:t>e</w:t>
      </w:r>
      <w:r w:rsidRPr="00F8515B">
        <w:rPr>
          <w:rFonts w:ascii="Arial" w:eastAsia="Times New Roman" w:hAnsi="Arial" w:cs="Arial"/>
          <w:bCs/>
          <w:color w:val="000000" w:themeColor="text1"/>
          <w:sz w:val="22"/>
          <w:lang w:val="es-ES_tradnl" w:eastAsia="es-CO"/>
        </w:rPr>
        <w:t xml:space="preserve"> ambas restricciones, es decir, </w:t>
      </w:r>
      <w:r w:rsidR="00612142" w:rsidRPr="00F8515B">
        <w:rPr>
          <w:rFonts w:ascii="Arial" w:eastAsia="Times New Roman" w:hAnsi="Arial" w:cs="Arial"/>
          <w:bCs/>
          <w:color w:val="000000" w:themeColor="text1"/>
          <w:sz w:val="22"/>
          <w:lang w:val="es-ES_tradnl" w:eastAsia="es-CO"/>
        </w:rPr>
        <w:t xml:space="preserve">tanto </w:t>
      </w:r>
      <w:r w:rsidRPr="00F8515B">
        <w:rPr>
          <w:rFonts w:ascii="Arial" w:eastAsia="Times New Roman" w:hAnsi="Arial" w:cs="Arial"/>
          <w:bCs/>
          <w:color w:val="000000" w:themeColor="text1"/>
          <w:sz w:val="22"/>
          <w:lang w:val="es-ES_tradnl" w:eastAsia="es-CO"/>
        </w:rPr>
        <w:t xml:space="preserve">la del parágrafo del artículo 38 </w:t>
      </w:r>
      <w:r w:rsidR="00612142" w:rsidRPr="00F8515B">
        <w:rPr>
          <w:rFonts w:ascii="Arial" w:eastAsia="Times New Roman" w:hAnsi="Arial" w:cs="Arial"/>
          <w:bCs/>
          <w:color w:val="000000" w:themeColor="text1"/>
          <w:sz w:val="22"/>
          <w:lang w:val="es-ES_tradnl" w:eastAsia="es-CO"/>
        </w:rPr>
        <w:t>como</w:t>
      </w:r>
      <w:r w:rsidRPr="00F8515B">
        <w:rPr>
          <w:rFonts w:ascii="Arial" w:eastAsia="Times New Roman" w:hAnsi="Arial" w:cs="Arial"/>
          <w:bCs/>
          <w:color w:val="000000" w:themeColor="text1"/>
          <w:sz w:val="22"/>
          <w:lang w:val="es-ES_tradnl" w:eastAsia="es-CO"/>
        </w:rPr>
        <w:t xml:space="preserve"> la del artículo 33 de la Ley de Garantías. En este punto, atendiendo a la modificación parcial del parágrafo del artículo 38 realizada por la Ley del Presupuesto, cabría preguntarse cómo se aplicarían las mentadas prohibiciones. </w:t>
      </w:r>
    </w:p>
    <w:p w14:paraId="63BDE268" w14:textId="60A62F34" w:rsidR="00CB58CF" w:rsidRPr="00F8515B" w:rsidRDefault="00CB58CF" w:rsidP="000641BE">
      <w:pPr>
        <w:shd w:val="clear" w:color="auto" w:fill="FFFFFF"/>
        <w:spacing w:after="12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w:t>
      </w:r>
      <w:r w:rsidR="00AB61DC" w:rsidRPr="00F8515B">
        <w:rPr>
          <w:rFonts w:ascii="Arial" w:eastAsia="Times New Roman" w:hAnsi="Arial" w:cs="Arial"/>
          <w:bCs/>
          <w:color w:val="000000" w:themeColor="text1"/>
          <w:sz w:val="22"/>
          <w:lang w:val="es-ES_tradnl" w:eastAsia="es-CO"/>
        </w:rPr>
        <w:t>d</w:t>
      </w:r>
      <w:r w:rsidRPr="00F8515B">
        <w:rPr>
          <w:rFonts w:ascii="Arial" w:eastAsia="Times New Roman" w:hAnsi="Arial" w:cs="Arial"/>
          <w:bCs/>
          <w:color w:val="000000" w:themeColor="text1"/>
          <w:sz w:val="22"/>
          <w:lang w:val="es-ES_tradnl" w:eastAsia="es-CO"/>
        </w:rPr>
        <w:t xml:space="preserve">el artículo 124 de la Ley del Presupuesto, entre ellos, que sean suscritos entre entidades del </w:t>
      </w:r>
      <w:r w:rsidR="001C24AA">
        <w:rPr>
          <w:rFonts w:ascii="Arial" w:eastAsia="Times New Roman" w:hAnsi="Arial" w:cs="Arial"/>
          <w:bCs/>
          <w:color w:val="000000" w:themeColor="text1"/>
          <w:sz w:val="22"/>
          <w:lang w:val="es-ES_tradnl" w:eastAsia="es-CO"/>
        </w:rPr>
        <w:t xml:space="preserve">sector central del </w:t>
      </w:r>
      <w:r w:rsidRPr="00F8515B">
        <w:rPr>
          <w:rFonts w:ascii="Arial" w:eastAsia="Times New Roman" w:hAnsi="Arial" w:cs="Arial"/>
          <w:bCs/>
          <w:color w:val="000000" w:themeColor="text1"/>
          <w:sz w:val="22"/>
          <w:lang w:val="es-ES_tradnl" w:eastAsia="es-CO"/>
        </w:rPr>
        <w:t xml:space="preserve">orden nacional y </w:t>
      </w:r>
      <w:r w:rsidR="008409D4">
        <w:rPr>
          <w:rFonts w:ascii="Arial" w:eastAsia="Times New Roman" w:hAnsi="Arial" w:cs="Arial"/>
          <w:bCs/>
          <w:color w:val="000000" w:themeColor="text1"/>
          <w:sz w:val="22"/>
          <w:lang w:val="es-ES_tradnl" w:eastAsia="es-CO"/>
        </w:rPr>
        <w:t xml:space="preserve">entidades </w:t>
      </w:r>
      <w:r w:rsidRPr="00F8515B">
        <w:rPr>
          <w:rFonts w:ascii="Arial" w:eastAsia="Times New Roman" w:hAnsi="Arial" w:cs="Arial"/>
          <w:bCs/>
          <w:color w:val="000000" w:themeColor="text1"/>
          <w:sz w:val="22"/>
          <w:lang w:val="es-ES_tradnl" w:eastAsia="es-CO"/>
        </w:rPr>
        <w:t>territorial</w:t>
      </w:r>
      <w:r w:rsidR="008409D4">
        <w:rPr>
          <w:rFonts w:ascii="Arial" w:eastAsia="Times New Roman" w:hAnsi="Arial" w:cs="Arial"/>
          <w:bCs/>
          <w:color w:val="000000" w:themeColor="text1"/>
          <w:sz w:val="22"/>
          <w:lang w:val="es-ES_tradnl" w:eastAsia="es-CO"/>
        </w:rPr>
        <w:t>es</w:t>
      </w:r>
      <w:r w:rsidRPr="00F8515B">
        <w:rPr>
          <w:rFonts w:ascii="Arial" w:eastAsia="Times New Roman" w:hAnsi="Arial" w:cs="Arial"/>
          <w:bCs/>
          <w:color w:val="000000" w:themeColor="text1"/>
          <w:sz w:val="22"/>
          <w:lang w:val="es-ES_tradnl" w:eastAsia="es-CO"/>
        </w:rPr>
        <w:t xml:space="preserve">. No sucederá lo mismo cuando sean celebrados entre entidades del orden territorial, en cuyo caso aplicará la prohibición plena sin la modificación en mención. </w:t>
      </w:r>
    </w:p>
    <w:p w14:paraId="48606CAF" w14:textId="75ACD7BB" w:rsidR="000D05AD" w:rsidRPr="00F8515B" w:rsidRDefault="00CB58CF" w:rsidP="00264924">
      <w:pPr>
        <w:spacing w:after="0"/>
        <w:ind w:firstLine="709"/>
        <w:rPr>
          <w:rFonts w:ascii="Arial" w:eastAsia="Times New Roman" w:hAnsi="Arial" w:cs="Arial"/>
          <w:bCs/>
          <w:color w:val="000000" w:themeColor="text1"/>
          <w:sz w:val="22"/>
          <w:lang w:val="es-ES_tradnl" w:eastAsia="es-CO"/>
        </w:rPr>
      </w:pPr>
      <w:r w:rsidRPr="00F8515B">
        <w:rPr>
          <w:rFonts w:ascii="Arial" w:eastAsia="Times New Roman" w:hAnsi="Arial" w:cs="Arial"/>
          <w:bCs/>
          <w:color w:val="000000" w:themeColor="text1"/>
          <w:sz w:val="22"/>
          <w:lang w:val="es-ES_tradnl" w:eastAsia="es-CO"/>
        </w:rPr>
        <w:t xml:space="preserve">Por otra parte, </w:t>
      </w:r>
      <w:r w:rsidR="008409D4">
        <w:rPr>
          <w:rFonts w:ascii="Arial" w:eastAsia="Times New Roman" w:hAnsi="Arial" w:cs="Arial"/>
          <w:bCs/>
          <w:color w:val="000000" w:themeColor="text1"/>
          <w:sz w:val="22"/>
          <w:lang w:val="es-ES_tradnl" w:eastAsia="es-CO"/>
        </w:rPr>
        <w:t>iniciado</w:t>
      </w:r>
      <w:r w:rsidRPr="00F8515B">
        <w:rPr>
          <w:rFonts w:ascii="Arial" w:eastAsia="Times New Roman" w:hAnsi="Arial" w:cs="Arial"/>
          <w:bCs/>
          <w:color w:val="000000" w:themeColor="text1"/>
          <w:sz w:val="22"/>
          <w:lang w:val="es-ES_tradnl" w:eastAsia="es-CO"/>
        </w:rPr>
        <w:t xml:space="preserve"> el periodo preelectoral de las elecciones para </w:t>
      </w:r>
      <w:proofErr w:type="gramStart"/>
      <w:r w:rsidRPr="00F8515B">
        <w:rPr>
          <w:rFonts w:ascii="Arial" w:eastAsia="Times New Roman" w:hAnsi="Arial" w:cs="Arial"/>
          <w:bCs/>
          <w:color w:val="000000" w:themeColor="text1"/>
          <w:sz w:val="22"/>
          <w:lang w:val="es-ES_tradnl" w:eastAsia="es-CO"/>
        </w:rPr>
        <w:t>Presidente</w:t>
      </w:r>
      <w:proofErr w:type="gramEnd"/>
      <w:r w:rsidRPr="00F8515B">
        <w:rPr>
          <w:rFonts w:ascii="Arial" w:eastAsia="Times New Roman" w:hAnsi="Arial" w:cs="Arial"/>
          <w:bCs/>
          <w:color w:val="000000" w:themeColor="text1"/>
          <w:sz w:val="22"/>
          <w:lang w:val="es-ES_tradnl" w:eastAsia="es-CO"/>
        </w:rPr>
        <w:t xml:space="preserve"> y Vicepresidente de la República, </w:t>
      </w:r>
      <w:r w:rsidR="008409D4">
        <w:rPr>
          <w:rFonts w:ascii="Arial" w:eastAsia="Times New Roman" w:hAnsi="Arial" w:cs="Arial"/>
          <w:bCs/>
          <w:color w:val="000000" w:themeColor="text1"/>
          <w:sz w:val="22"/>
          <w:lang w:val="es-ES_tradnl" w:eastAsia="es-CO"/>
        </w:rPr>
        <w:t>aplica</w:t>
      </w:r>
      <w:r w:rsidR="008409D4"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 xml:space="preserve">la prohibición </w:t>
      </w:r>
      <w:r w:rsidR="004D78D4" w:rsidRPr="00F8515B">
        <w:rPr>
          <w:rFonts w:ascii="Arial" w:eastAsia="Times New Roman" w:hAnsi="Arial" w:cs="Arial"/>
          <w:bCs/>
          <w:color w:val="000000" w:themeColor="text1"/>
          <w:sz w:val="22"/>
          <w:lang w:val="es-ES_tradnl" w:eastAsia="es-CO"/>
        </w:rPr>
        <w:t>de</w:t>
      </w:r>
      <w:r w:rsidRPr="00F8515B">
        <w:rPr>
          <w:rFonts w:ascii="Arial" w:eastAsia="Times New Roman" w:hAnsi="Arial" w:cs="Arial"/>
          <w:bCs/>
          <w:color w:val="000000" w:themeColor="text1"/>
          <w:sz w:val="22"/>
          <w:lang w:val="es-ES_tradnl" w:eastAsia="es-CO"/>
        </w:rPr>
        <w:t xml:space="preserve"> </w:t>
      </w:r>
      <w:r w:rsidR="00987DBA" w:rsidRPr="00F8515B">
        <w:rPr>
          <w:rFonts w:ascii="Arial" w:eastAsia="Times New Roman" w:hAnsi="Arial" w:cs="Arial"/>
          <w:bCs/>
          <w:color w:val="000000" w:themeColor="text1"/>
          <w:sz w:val="22"/>
          <w:lang w:val="es-ES_tradnl" w:eastAsia="es-CO"/>
        </w:rPr>
        <w:t>contratación</w:t>
      </w:r>
      <w:r w:rsidRPr="00F8515B">
        <w:rPr>
          <w:rFonts w:ascii="Arial" w:eastAsia="Times New Roman" w:hAnsi="Arial" w:cs="Arial"/>
          <w:bCs/>
          <w:color w:val="000000" w:themeColor="text1"/>
          <w:sz w:val="22"/>
          <w:lang w:val="es-ES_tradnl" w:eastAsia="es-CO"/>
        </w:rPr>
        <w:t xml:space="preserve"> directa contenida en el artículo 33 de la Ley de Garantías, así como a la prohibición del parágrafo del artículo 38</w:t>
      </w:r>
      <w:r w:rsidR="00665A16" w:rsidRPr="00F8515B">
        <w:rPr>
          <w:rFonts w:ascii="Arial" w:eastAsia="Times New Roman" w:hAnsi="Arial" w:cs="Arial"/>
          <w:bCs/>
          <w:color w:val="000000" w:themeColor="text1"/>
          <w:sz w:val="22"/>
          <w:lang w:val="es-ES_tradnl" w:eastAsia="es-CO"/>
        </w:rPr>
        <w:t xml:space="preserve"> </w:t>
      </w:r>
      <w:proofErr w:type="spellStart"/>
      <w:r w:rsidR="00665A16" w:rsidRPr="00F8515B">
        <w:rPr>
          <w:rFonts w:ascii="Arial" w:eastAsia="Times New Roman" w:hAnsi="Arial" w:cs="Arial"/>
          <w:bCs/>
          <w:i/>
          <w:iCs/>
          <w:color w:val="000000" w:themeColor="text1"/>
          <w:sz w:val="22"/>
          <w:lang w:val="es-ES_tradnl" w:eastAsia="es-CO"/>
        </w:rPr>
        <w:t>ibidem</w:t>
      </w:r>
      <w:proofErr w:type="spellEnd"/>
      <w:r w:rsidRPr="00F8515B">
        <w:rPr>
          <w:rFonts w:ascii="Arial" w:eastAsia="Times New Roman" w:hAnsi="Arial" w:cs="Arial"/>
          <w:bCs/>
          <w:color w:val="000000" w:themeColor="text1"/>
          <w:sz w:val="22"/>
          <w:lang w:val="es-ES_tradnl" w:eastAsia="es-CO"/>
        </w:rPr>
        <w:t xml:space="preserve"> que, como se </w:t>
      </w:r>
      <w:r w:rsidR="00DD2116" w:rsidRPr="00F8515B">
        <w:rPr>
          <w:rFonts w:ascii="Arial" w:eastAsia="Times New Roman" w:hAnsi="Arial" w:cs="Arial"/>
          <w:bCs/>
          <w:color w:val="000000" w:themeColor="text1"/>
          <w:sz w:val="22"/>
          <w:lang w:val="es-ES_tradnl" w:eastAsia="es-CO"/>
        </w:rPr>
        <w:t xml:space="preserve">explicó </w:t>
      </w:r>
      <w:r w:rsidR="00936B09" w:rsidRPr="00F8515B">
        <w:rPr>
          <w:rFonts w:ascii="Arial" w:eastAsia="Times New Roman" w:hAnsi="Arial" w:cs="Arial"/>
          <w:bCs/>
          <w:color w:val="000000" w:themeColor="text1"/>
          <w:sz w:val="22"/>
          <w:lang w:val="es-ES_tradnl" w:eastAsia="es-CO"/>
        </w:rPr>
        <w:t>en acápites precedentes</w:t>
      </w:r>
      <w:r w:rsidRPr="00F8515B">
        <w:rPr>
          <w:rFonts w:ascii="Arial" w:eastAsia="Times New Roman" w:hAnsi="Arial" w:cs="Arial"/>
          <w:bCs/>
          <w:color w:val="000000" w:themeColor="text1"/>
          <w:sz w:val="22"/>
          <w:lang w:val="es-ES_tradnl" w:eastAsia="es-CO"/>
        </w:rPr>
        <w:t xml:space="preserve">, </w:t>
      </w:r>
      <w:r w:rsidR="004D78D4" w:rsidRPr="00F8515B">
        <w:rPr>
          <w:rFonts w:ascii="Arial" w:eastAsia="Times New Roman" w:hAnsi="Arial" w:cs="Arial"/>
          <w:bCs/>
          <w:color w:val="000000" w:themeColor="text1"/>
          <w:sz w:val="22"/>
          <w:lang w:val="es-ES_tradnl" w:eastAsia="es-CO"/>
        </w:rPr>
        <w:t>rige en</w:t>
      </w:r>
      <w:r w:rsidRPr="00F8515B">
        <w:rPr>
          <w:rFonts w:ascii="Arial" w:eastAsia="Times New Roman" w:hAnsi="Arial" w:cs="Arial"/>
          <w:bCs/>
          <w:color w:val="000000" w:themeColor="text1"/>
          <w:sz w:val="22"/>
          <w:lang w:val="es-ES_tradnl" w:eastAsia="es-CO"/>
        </w:rPr>
        <w:t xml:space="preserve"> todo tipo de elección popular.</w:t>
      </w:r>
      <w:r w:rsidR="00CA7139"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 xml:space="preserve">Así, dentro de los cuatro meses anteriores a tales elecciones, las entidades destinatarias de las normas mencionadas, no podrán celebrar </w:t>
      </w:r>
      <w:r w:rsidR="004F3AFC">
        <w:rPr>
          <w:rFonts w:ascii="Arial" w:eastAsia="Times New Roman" w:hAnsi="Arial" w:cs="Arial"/>
          <w:bCs/>
          <w:color w:val="000000" w:themeColor="text1"/>
          <w:sz w:val="22"/>
          <w:lang w:val="es-ES_tradnl" w:eastAsia="es-CO"/>
        </w:rPr>
        <w:t xml:space="preserve">los </w:t>
      </w:r>
      <w:r w:rsidRPr="00F8515B">
        <w:rPr>
          <w:rFonts w:ascii="Arial" w:eastAsia="Times New Roman" w:hAnsi="Arial" w:cs="Arial"/>
          <w:bCs/>
          <w:color w:val="000000" w:themeColor="text1"/>
          <w:sz w:val="22"/>
          <w:lang w:val="es-ES_tradnl" w:eastAsia="es-CO"/>
        </w:rPr>
        <w:t>convenios y contratos interadministrativos</w:t>
      </w:r>
      <w:r w:rsidR="004F3AFC">
        <w:rPr>
          <w:rFonts w:ascii="Arial" w:eastAsia="Times New Roman" w:hAnsi="Arial" w:cs="Arial"/>
          <w:bCs/>
          <w:color w:val="000000" w:themeColor="text1"/>
          <w:sz w:val="22"/>
          <w:lang w:val="es-ES_tradnl" w:eastAsia="es-CO"/>
        </w:rPr>
        <w:t xml:space="preserve"> a los que se refiere el </w:t>
      </w:r>
      <w:r w:rsidR="004F3AFC" w:rsidRPr="00A255C1">
        <w:rPr>
          <w:rFonts w:ascii="Arial" w:eastAsia="Times New Roman" w:hAnsi="Arial" w:cs="Arial"/>
          <w:bCs/>
          <w:color w:val="000000" w:themeColor="text1"/>
          <w:sz w:val="22"/>
          <w:lang w:val="es-ES_tradnl" w:eastAsia="es-CO"/>
        </w:rPr>
        <w:t>artículo 124 de la Ley 2159 de 2021</w:t>
      </w:r>
      <w:r w:rsidR="004F3AFC">
        <w:rPr>
          <w:rFonts w:ascii="Arial" w:eastAsia="Times New Roman" w:hAnsi="Arial" w:cs="Arial"/>
          <w:bCs/>
          <w:color w:val="000000" w:themeColor="text1"/>
          <w:sz w:val="22"/>
          <w:lang w:val="es-ES_tradnl" w:eastAsia="es-CO"/>
        </w:rPr>
        <w:t>,</w:t>
      </w:r>
      <w:r w:rsidRPr="00F8515B">
        <w:rPr>
          <w:rFonts w:ascii="Arial" w:eastAsia="Times New Roman" w:hAnsi="Arial" w:cs="Arial"/>
          <w:bCs/>
          <w:color w:val="000000" w:themeColor="text1"/>
          <w:sz w:val="22"/>
          <w:lang w:val="es-ES_tradnl" w:eastAsia="es-CO"/>
        </w:rPr>
        <w:t xml:space="preserve"> a través de contratación directa,</w:t>
      </w:r>
      <w:r w:rsidR="00A80CF4" w:rsidRPr="00F8515B">
        <w:rPr>
          <w:rFonts w:ascii="Arial" w:eastAsia="Times New Roman" w:hAnsi="Arial" w:cs="Arial"/>
          <w:bCs/>
          <w:color w:val="000000" w:themeColor="text1"/>
          <w:sz w:val="22"/>
          <w:lang w:val="es-ES_tradnl" w:eastAsia="es-CO"/>
        </w:rPr>
        <w:t xml:space="preserve"> por lo que </w:t>
      </w:r>
      <w:r w:rsidRPr="00F8515B">
        <w:rPr>
          <w:rFonts w:ascii="Arial" w:eastAsia="Times New Roman" w:hAnsi="Arial" w:cs="Arial"/>
          <w:bCs/>
          <w:color w:val="000000" w:themeColor="text1"/>
          <w:sz w:val="22"/>
          <w:lang w:val="es-ES_tradnl" w:eastAsia="es-CO"/>
        </w:rPr>
        <w:t xml:space="preserve">solo podrán </w:t>
      </w:r>
      <w:r w:rsidR="004F3AFC" w:rsidRPr="00F8515B">
        <w:rPr>
          <w:rFonts w:ascii="Arial" w:eastAsia="Times New Roman" w:hAnsi="Arial" w:cs="Arial"/>
          <w:bCs/>
          <w:color w:val="000000" w:themeColor="text1"/>
          <w:sz w:val="22"/>
          <w:lang w:val="es-ES_tradnl" w:eastAsia="es-CO"/>
        </w:rPr>
        <w:t>suscribir</w:t>
      </w:r>
      <w:r w:rsidR="004F3AFC">
        <w:rPr>
          <w:rFonts w:ascii="Arial" w:eastAsia="Times New Roman" w:hAnsi="Arial" w:cs="Arial"/>
          <w:bCs/>
          <w:color w:val="000000" w:themeColor="text1"/>
          <w:sz w:val="22"/>
          <w:lang w:val="es-ES_tradnl" w:eastAsia="es-CO"/>
        </w:rPr>
        <w:t>los</w:t>
      </w:r>
      <w:r w:rsidR="004F3AFC" w:rsidRPr="00F8515B">
        <w:rPr>
          <w:rFonts w:ascii="Arial" w:eastAsia="Times New Roman" w:hAnsi="Arial" w:cs="Arial"/>
          <w:bCs/>
          <w:color w:val="000000" w:themeColor="text1"/>
          <w:sz w:val="22"/>
          <w:lang w:val="es-ES_tradnl" w:eastAsia="es-CO"/>
        </w:rPr>
        <w:t xml:space="preserve"> </w:t>
      </w:r>
      <w:r w:rsidRPr="00F8515B">
        <w:rPr>
          <w:rFonts w:ascii="Arial" w:eastAsia="Times New Roman" w:hAnsi="Arial" w:cs="Arial"/>
          <w:bCs/>
          <w:color w:val="000000" w:themeColor="text1"/>
          <w:sz w:val="22"/>
          <w:lang w:val="es-ES_tradnl" w:eastAsia="es-CO"/>
        </w:rPr>
        <w:t>a través de mecanismos de selección que impliquen convocatoria pública</w:t>
      </w:r>
      <w:r w:rsidR="002553F1" w:rsidRPr="00F8515B">
        <w:rPr>
          <w:rFonts w:ascii="Arial" w:eastAsia="Times New Roman" w:hAnsi="Arial" w:cs="Arial"/>
          <w:bCs/>
          <w:color w:val="000000" w:themeColor="text1"/>
          <w:sz w:val="22"/>
          <w:lang w:val="es-ES_tradnl" w:eastAsia="es-CO"/>
        </w:rPr>
        <w:t xml:space="preserve"> y pluralidad de oferentes</w:t>
      </w:r>
      <w:r w:rsidRPr="00F8515B">
        <w:rPr>
          <w:rFonts w:ascii="Arial" w:eastAsia="Times New Roman" w:hAnsi="Arial" w:cs="Arial"/>
          <w:bCs/>
          <w:color w:val="000000" w:themeColor="text1"/>
          <w:sz w:val="22"/>
          <w:lang w:val="es-ES_tradnl" w:eastAsia="es-CO"/>
        </w:rPr>
        <w:t xml:space="preserve">, siempre que se cumplan los </w:t>
      </w:r>
      <w:r w:rsidR="004F3AFC">
        <w:rPr>
          <w:rFonts w:ascii="Arial" w:eastAsia="Times New Roman" w:hAnsi="Arial" w:cs="Arial"/>
          <w:bCs/>
          <w:color w:val="000000" w:themeColor="text1"/>
          <w:sz w:val="22"/>
          <w:lang w:val="es-ES_tradnl" w:eastAsia="es-CO"/>
        </w:rPr>
        <w:t xml:space="preserve">demás </w:t>
      </w:r>
      <w:r w:rsidRPr="00F8515B">
        <w:rPr>
          <w:rFonts w:ascii="Arial" w:eastAsia="Times New Roman" w:hAnsi="Arial" w:cs="Arial"/>
          <w:bCs/>
          <w:color w:val="000000" w:themeColor="text1"/>
          <w:sz w:val="22"/>
          <w:lang w:val="es-ES_tradnl" w:eastAsia="es-CO"/>
        </w:rPr>
        <w:t xml:space="preserve">requisitos </w:t>
      </w:r>
      <w:r w:rsidR="004F3AFC">
        <w:rPr>
          <w:rFonts w:ascii="Arial" w:eastAsia="Times New Roman" w:hAnsi="Arial" w:cs="Arial"/>
          <w:bCs/>
          <w:color w:val="000000" w:themeColor="text1"/>
          <w:sz w:val="22"/>
          <w:lang w:val="es-ES_tradnl" w:eastAsia="es-CO"/>
        </w:rPr>
        <w:t>consagrados en la mencionada norma</w:t>
      </w:r>
      <w:r w:rsidRPr="00F8515B">
        <w:rPr>
          <w:rFonts w:ascii="Arial" w:eastAsia="Times New Roman" w:hAnsi="Arial" w:cs="Arial"/>
          <w:bCs/>
          <w:color w:val="000000" w:themeColor="text1"/>
          <w:sz w:val="22"/>
          <w:lang w:val="es-ES_tradnl" w:eastAsia="es-CO"/>
        </w:rPr>
        <w:t>.</w:t>
      </w:r>
    </w:p>
    <w:p w14:paraId="47620361" w14:textId="16286B9E" w:rsidR="006537D0" w:rsidRPr="00F8515B" w:rsidRDefault="006537D0" w:rsidP="006537D0">
      <w:pPr>
        <w:spacing w:after="0"/>
        <w:rPr>
          <w:rFonts w:ascii="Arial" w:eastAsia="Times New Roman" w:hAnsi="Arial" w:cs="Arial"/>
          <w:bCs/>
          <w:color w:val="000000" w:themeColor="text1"/>
          <w:sz w:val="22"/>
          <w:lang w:val="es-ES_tradnl" w:eastAsia="es-CO"/>
        </w:rPr>
      </w:pPr>
    </w:p>
    <w:p w14:paraId="2B3DD80A" w14:textId="7678476B" w:rsidR="006537D0" w:rsidRPr="00F8515B" w:rsidRDefault="006537D0" w:rsidP="006537D0">
      <w:pPr>
        <w:spacing w:after="0"/>
        <w:rPr>
          <w:rFonts w:ascii="Arial" w:eastAsia="Arial" w:hAnsi="Arial" w:cs="Arial"/>
          <w:b/>
          <w:bCs/>
          <w:color w:val="000000" w:themeColor="text1"/>
          <w:sz w:val="22"/>
          <w:lang w:val="es-ES_tradnl" w:eastAsia="es-ES" w:bidi="es-ES"/>
        </w:rPr>
      </w:pPr>
      <w:r w:rsidRPr="00F8515B">
        <w:rPr>
          <w:rFonts w:ascii="Arial" w:eastAsia="Arial" w:hAnsi="Arial" w:cs="Arial"/>
          <w:b/>
          <w:bCs/>
          <w:color w:val="000000" w:themeColor="text1"/>
          <w:sz w:val="22"/>
          <w:lang w:val="es-ES_tradnl" w:eastAsia="es-ES" w:bidi="es-ES"/>
        </w:rPr>
        <w:t>2.</w:t>
      </w:r>
      <w:r w:rsidR="00107244" w:rsidRPr="00F8515B">
        <w:rPr>
          <w:rFonts w:ascii="Arial" w:eastAsia="Arial" w:hAnsi="Arial" w:cs="Arial"/>
          <w:b/>
          <w:bCs/>
          <w:color w:val="000000" w:themeColor="text1"/>
          <w:sz w:val="22"/>
          <w:lang w:val="es-ES_tradnl" w:eastAsia="es-ES" w:bidi="es-ES"/>
        </w:rPr>
        <w:t>6</w:t>
      </w:r>
      <w:r w:rsidRPr="00F8515B">
        <w:rPr>
          <w:rFonts w:ascii="Arial" w:eastAsia="Arial" w:hAnsi="Arial" w:cs="Arial"/>
          <w:b/>
          <w:bCs/>
          <w:color w:val="000000" w:themeColor="text1"/>
          <w:sz w:val="22"/>
          <w:lang w:val="es-ES_tradnl" w:eastAsia="es-ES" w:bidi="es-ES"/>
        </w:rPr>
        <w:t xml:space="preserve">. </w:t>
      </w:r>
      <w:bookmarkStart w:id="62" w:name="_Hlk93328413"/>
      <w:r w:rsidR="00107244" w:rsidRPr="00F8515B">
        <w:rPr>
          <w:rFonts w:ascii="Arial" w:eastAsia="Arial" w:hAnsi="Arial" w:cs="Arial"/>
          <w:b/>
          <w:bCs/>
          <w:color w:val="000000" w:themeColor="text1"/>
          <w:sz w:val="22"/>
          <w:lang w:val="es-ES_tradnl" w:eastAsia="es-ES" w:bidi="es-ES"/>
        </w:rPr>
        <w:t>Restricciones de la Ley de Garantías en los contratos de colaboración y c</w:t>
      </w:r>
      <w:r w:rsidRPr="00F8515B">
        <w:rPr>
          <w:rFonts w:ascii="Arial" w:eastAsia="Arial" w:hAnsi="Arial" w:cs="Arial"/>
          <w:b/>
          <w:bCs/>
          <w:color w:val="000000" w:themeColor="text1"/>
          <w:sz w:val="22"/>
          <w:lang w:val="es-ES_tradnl" w:eastAsia="es-ES" w:bidi="es-ES"/>
        </w:rPr>
        <w:t>onvenios de asociación</w:t>
      </w:r>
      <w:r w:rsidR="001F3276" w:rsidRPr="00F8515B">
        <w:rPr>
          <w:rFonts w:ascii="Arial" w:eastAsia="Arial" w:hAnsi="Arial" w:cs="Arial"/>
          <w:b/>
          <w:bCs/>
          <w:color w:val="000000" w:themeColor="text1"/>
          <w:sz w:val="22"/>
          <w:lang w:val="es-ES_tradnl" w:eastAsia="es-ES" w:bidi="es-ES"/>
        </w:rPr>
        <w:t xml:space="preserve"> con entidades </w:t>
      </w:r>
      <w:r w:rsidR="00BA0FA8" w:rsidRPr="00F8515B">
        <w:rPr>
          <w:rFonts w:ascii="Arial" w:eastAsia="Arial" w:hAnsi="Arial" w:cs="Arial"/>
          <w:b/>
          <w:bCs/>
          <w:color w:val="000000" w:themeColor="text1"/>
          <w:sz w:val="22"/>
          <w:lang w:val="es-ES_tradnl" w:eastAsia="es-ES" w:bidi="es-ES"/>
        </w:rPr>
        <w:t xml:space="preserve">privadas </w:t>
      </w:r>
      <w:r w:rsidR="001F3276" w:rsidRPr="00F8515B">
        <w:rPr>
          <w:rFonts w:ascii="Arial" w:eastAsia="Arial" w:hAnsi="Arial" w:cs="Arial"/>
          <w:b/>
          <w:bCs/>
          <w:color w:val="000000" w:themeColor="text1"/>
          <w:sz w:val="22"/>
          <w:lang w:val="es-ES_tradnl" w:eastAsia="es-ES" w:bidi="es-ES"/>
        </w:rPr>
        <w:t>sin ánimo de lucro</w:t>
      </w:r>
      <w:bookmarkEnd w:id="62"/>
    </w:p>
    <w:p w14:paraId="37F366CA" w14:textId="55D71ADB" w:rsidR="006537D0" w:rsidRPr="00F8515B" w:rsidRDefault="006537D0" w:rsidP="006537D0">
      <w:pPr>
        <w:pStyle w:val="Sinespaciado"/>
        <w:spacing w:line="276" w:lineRule="auto"/>
        <w:rPr>
          <w:rFonts w:ascii="Arial" w:hAnsi="Arial" w:cs="Arial"/>
          <w:color w:val="000000" w:themeColor="text1"/>
          <w:sz w:val="22"/>
          <w:lang w:val="es-ES_tradnl"/>
        </w:rPr>
      </w:pPr>
    </w:p>
    <w:p w14:paraId="5EA8C704" w14:textId="77777777" w:rsidR="009B6258" w:rsidRPr="00F8515B" w:rsidRDefault="009B6258" w:rsidP="003B6EE4">
      <w:pPr>
        <w:pStyle w:val="Sinespaciado"/>
        <w:spacing w:after="120" w:line="276" w:lineRule="auto"/>
        <w:rPr>
          <w:rFonts w:ascii="Arial" w:hAnsi="Arial" w:cs="Arial"/>
          <w:color w:val="000000" w:themeColor="text1"/>
          <w:sz w:val="22"/>
          <w:lang w:val="es-ES_tradnl"/>
        </w:rPr>
      </w:pPr>
      <w:r w:rsidRPr="00F8515B">
        <w:rPr>
          <w:rFonts w:ascii="Arial" w:hAnsi="Arial" w:cs="Arial"/>
          <w:color w:val="000000" w:themeColor="text1"/>
          <w:sz w:val="22"/>
          <w:lang w:val="es-ES_tradnl"/>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w:t>
      </w:r>
      <w:r w:rsidRPr="00F8515B">
        <w:rPr>
          <w:rFonts w:ascii="Arial" w:hAnsi="Arial" w:cs="Arial"/>
          <w:color w:val="000000" w:themeColor="text1"/>
          <w:sz w:val="22"/>
          <w:lang w:val="es-ES_tradnl"/>
        </w:rPr>
        <w:lastRenderedPageBreak/>
        <w:t>los planes seccionales de desarrollo</w:t>
      </w:r>
      <w:r w:rsidRPr="00F8515B">
        <w:rPr>
          <w:rStyle w:val="Refdenotaalpie"/>
          <w:rFonts w:ascii="Arial" w:hAnsi="Arial" w:cs="Arial"/>
          <w:color w:val="000000" w:themeColor="text1"/>
          <w:sz w:val="22"/>
          <w:lang w:val="es-ES_tradnl"/>
        </w:rPr>
        <w:footnoteReference w:id="55"/>
      </w:r>
      <w:r w:rsidRPr="00F8515B">
        <w:rPr>
          <w:rFonts w:ascii="Arial" w:hAnsi="Arial" w:cs="Arial"/>
          <w:color w:val="000000" w:themeColor="text1"/>
          <w:sz w:val="22"/>
          <w:lang w:val="es-ES_tradnl"/>
        </w:rPr>
        <w:t xml:space="preserve">. </w:t>
      </w:r>
      <w:r w:rsidRPr="00F8515B">
        <w:rPr>
          <w:rFonts w:ascii="Arial" w:eastAsia="Calibri" w:hAnsi="Arial" w:cs="Arial"/>
          <w:color w:val="000000" w:themeColor="text1"/>
          <w:sz w:val="22"/>
          <w:lang w:val="es-ES_tradnl"/>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F8515B">
        <w:rPr>
          <w:rStyle w:val="Refdenotaalpie"/>
          <w:rFonts w:ascii="Arial" w:eastAsia="Calibri" w:hAnsi="Arial" w:cs="Arial"/>
          <w:color w:val="000000" w:themeColor="text1"/>
          <w:sz w:val="22"/>
          <w:lang w:val="es-ES_tradnl"/>
        </w:rPr>
        <w:footnoteReference w:id="56"/>
      </w:r>
      <w:r w:rsidRPr="00F8515B">
        <w:rPr>
          <w:rFonts w:ascii="Arial" w:eastAsia="Calibri" w:hAnsi="Arial" w:cs="Arial"/>
          <w:color w:val="000000" w:themeColor="text1"/>
          <w:sz w:val="22"/>
          <w:lang w:val="es-ES_tradnl"/>
        </w:rPr>
        <w:t>. Ambas figuras tienen como fin desarrollar conjuntamente actividades relacionadas con los cometidos y funciones legales asignadas a la entidad.</w:t>
      </w:r>
    </w:p>
    <w:p w14:paraId="0BE7C3B1" w14:textId="30F0A200" w:rsidR="009B6258" w:rsidRPr="00F8515B" w:rsidRDefault="009B6258" w:rsidP="003B6EE4">
      <w:pPr>
        <w:spacing w:after="120"/>
        <w:ind w:firstLine="708"/>
        <w:rPr>
          <w:rFonts w:ascii="Arial" w:eastAsia="Calibri" w:hAnsi="Arial" w:cs="Arial"/>
          <w:color w:val="000000" w:themeColor="text1"/>
          <w:sz w:val="22"/>
          <w:lang w:val="es-ES_tradnl"/>
        </w:rPr>
      </w:pPr>
      <w:r w:rsidRPr="00F8515B">
        <w:rPr>
          <w:rFonts w:ascii="Arial" w:hAnsi="Arial" w:cs="Arial"/>
          <w:color w:val="000000" w:themeColor="text1"/>
          <w:sz w:val="22"/>
          <w:lang w:val="es-ES_tradnl"/>
        </w:rPr>
        <w:t>En desarrollo del artículo 355 de la Constitución, el Gobierno Nacional expidió el Decreto 92 de 2017, q</w:t>
      </w:r>
      <w:r w:rsidRPr="00F8515B">
        <w:rPr>
          <w:rFonts w:ascii="Arial" w:eastAsia="Calibri" w:hAnsi="Arial" w:cs="Arial"/>
          <w:color w:val="000000" w:themeColor="text1"/>
          <w:sz w:val="22"/>
          <w:lang w:val="es-ES_tradnl"/>
        </w:rPr>
        <w:t xml:space="preserve">ue dispone las reglas para las contrataciones que realicen las entidades estatales con las ESAL. El Decreto regula dos eventos: i) los </w:t>
      </w:r>
      <w:r w:rsidRPr="00F8515B">
        <w:rPr>
          <w:rFonts w:ascii="Arial" w:eastAsia="Calibri" w:hAnsi="Arial" w:cs="Arial"/>
          <w:i/>
          <w:iCs/>
          <w:color w:val="000000" w:themeColor="text1"/>
          <w:sz w:val="22"/>
          <w:lang w:val="es-ES_tradnl"/>
        </w:rPr>
        <w:t>contratos de colaboración</w:t>
      </w:r>
      <w:r w:rsidRPr="00F8515B">
        <w:rPr>
          <w:rFonts w:ascii="Arial" w:eastAsia="Calibri" w:hAnsi="Arial" w:cs="Arial"/>
          <w:color w:val="000000" w:themeColor="text1"/>
          <w:sz w:val="22"/>
          <w:lang w:val="es-ES_tradnl"/>
        </w:rPr>
        <w:t xml:space="preserve"> o de interés público con el fin impulsar programas y actividades de interés público de acuerdo con el Plan Nacional o los planes seccionales de desarrollo, en los términos del artículo 355 de la Constitución Política; y ii) los </w:t>
      </w:r>
      <w:r w:rsidRPr="00F8515B">
        <w:rPr>
          <w:rFonts w:ascii="Arial" w:eastAsia="Calibri" w:hAnsi="Arial" w:cs="Arial"/>
          <w:i/>
          <w:iCs/>
          <w:color w:val="000000" w:themeColor="text1"/>
          <w:sz w:val="22"/>
          <w:lang w:val="es-ES_tradnl"/>
        </w:rPr>
        <w:t>convenios de asociación</w:t>
      </w:r>
      <w:r w:rsidRPr="00F8515B">
        <w:rPr>
          <w:rFonts w:ascii="Arial" w:eastAsia="Calibri" w:hAnsi="Arial" w:cs="Arial"/>
          <w:color w:val="000000" w:themeColor="text1"/>
          <w:sz w:val="22"/>
          <w:lang w:val="es-ES_tradnl"/>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proofErr w:type="spellStart"/>
      <w:r w:rsidRPr="00F8515B">
        <w:rPr>
          <w:rFonts w:ascii="Arial" w:eastAsia="Calibri" w:hAnsi="Arial" w:cs="Arial"/>
          <w:i/>
          <w:iCs/>
          <w:color w:val="000000" w:themeColor="text1"/>
          <w:sz w:val="22"/>
          <w:lang w:val="es-ES_tradnl"/>
        </w:rPr>
        <w:t>ibidem</w:t>
      </w:r>
      <w:proofErr w:type="spellEnd"/>
      <w:r w:rsidRPr="00F8515B">
        <w:rPr>
          <w:rFonts w:ascii="Arial" w:eastAsia="Calibri" w:hAnsi="Arial" w:cs="Arial"/>
          <w:color w:val="000000" w:themeColor="text1"/>
          <w:sz w:val="22"/>
          <w:lang w:val="es-ES_tradnl"/>
        </w:rPr>
        <w:t xml:space="preserve">. Es posible diferenciar, pues, los </w:t>
      </w:r>
      <w:r w:rsidRPr="00F8515B">
        <w:rPr>
          <w:rFonts w:ascii="Arial" w:eastAsia="Calibri" w:hAnsi="Arial" w:cs="Arial"/>
          <w:i/>
          <w:iCs/>
          <w:color w:val="000000" w:themeColor="text1"/>
          <w:sz w:val="22"/>
          <w:lang w:val="es-ES_tradnl"/>
        </w:rPr>
        <w:t>convenios de asociación</w:t>
      </w:r>
      <w:r w:rsidRPr="00F8515B">
        <w:rPr>
          <w:rFonts w:ascii="Arial" w:eastAsia="Calibri" w:hAnsi="Arial" w:cs="Arial"/>
          <w:color w:val="000000" w:themeColor="text1"/>
          <w:sz w:val="22"/>
          <w:lang w:val="es-ES_tradnl"/>
        </w:rPr>
        <w:t xml:space="preserve">, regulados en el artículo 5, de los </w:t>
      </w:r>
      <w:r w:rsidRPr="00F8515B">
        <w:rPr>
          <w:rFonts w:ascii="Arial" w:eastAsia="Calibri" w:hAnsi="Arial" w:cs="Arial"/>
          <w:i/>
          <w:iCs/>
          <w:color w:val="000000" w:themeColor="text1"/>
          <w:sz w:val="22"/>
          <w:lang w:val="es-ES_tradnl"/>
        </w:rPr>
        <w:t>contratos de colaboración</w:t>
      </w:r>
      <w:r w:rsidRPr="00F8515B">
        <w:rPr>
          <w:rFonts w:ascii="Arial" w:eastAsia="Calibri" w:hAnsi="Arial" w:cs="Arial"/>
          <w:color w:val="000000" w:themeColor="text1"/>
          <w:sz w:val="22"/>
          <w:lang w:val="es-ES_tradnl"/>
        </w:rPr>
        <w:t>, establecidos en el artículo 2 del Decreto 92 de 2017</w:t>
      </w:r>
      <w:r w:rsidRPr="00F8515B">
        <w:rPr>
          <w:rStyle w:val="Refdenotaalpie"/>
          <w:rFonts w:ascii="Arial" w:eastAsia="Calibri" w:hAnsi="Arial" w:cs="Arial"/>
          <w:color w:val="000000" w:themeColor="text1"/>
          <w:sz w:val="22"/>
          <w:lang w:val="es-ES_tradnl"/>
        </w:rPr>
        <w:footnoteReference w:id="57"/>
      </w:r>
      <w:r w:rsidRPr="00F8515B">
        <w:rPr>
          <w:rFonts w:ascii="Arial" w:eastAsia="Calibri" w:hAnsi="Arial" w:cs="Arial"/>
          <w:color w:val="000000" w:themeColor="text1"/>
          <w:sz w:val="22"/>
          <w:lang w:val="es-ES_tradnl"/>
        </w:rPr>
        <w:t xml:space="preserve">. </w:t>
      </w:r>
    </w:p>
    <w:p w14:paraId="554B0B9B" w14:textId="77777777" w:rsidR="009B6258" w:rsidRPr="00F8515B" w:rsidRDefault="009B6258" w:rsidP="003B6EE4">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 xml:space="preserve">Los </w:t>
      </w:r>
      <w:r w:rsidRPr="00F8515B">
        <w:rPr>
          <w:rFonts w:ascii="Arial" w:eastAsia="Calibri" w:hAnsi="Arial" w:cs="Arial"/>
          <w:i/>
          <w:iCs/>
          <w:color w:val="000000" w:themeColor="text1"/>
          <w:sz w:val="22"/>
          <w:lang w:val="es-ES_tradnl"/>
        </w:rPr>
        <w:t xml:space="preserve">contratos de colaboración </w:t>
      </w:r>
      <w:r w:rsidRPr="00F8515B">
        <w:rPr>
          <w:rFonts w:ascii="Arial" w:eastAsia="Calibri" w:hAnsi="Arial" w:cs="Arial"/>
          <w:color w:val="000000" w:themeColor="text1"/>
          <w:sz w:val="22"/>
          <w:lang w:val="es-ES_tradnl"/>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w:t>
      </w:r>
      <w:r w:rsidRPr="00F8515B">
        <w:rPr>
          <w:rFonts w:ascii="Arial" w:eastAsia="Calibri" w:hAnsi="Arial" w:cs="Arial"/>
          <w:color w:val="000000" w:themeColor="text1"/>
          <w:sz w:val="22"/>
          <w:lang w:val="es-ES_tradnl"/>
        </w:rPr>
        <w:lastRenderedPageBreak/>
        <w:t>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B091CE4" w14:textId="77777777" w:rsidR="009B6258" w:rsidRPr="00F8515B" w:rsidRDefault="009B6258" w:rsidP="003B6EE4">
      <w:pPr>
        <w:pStyle w:val="Sinespaciado"/>
        <w:spacing w:after="120" w:line="276" w:lineRule="auto"/>
        <w:ind w:firstLine="708"/>
        <w:rPr>
          <w:rFonts w:ascii="Arial" w:hAnsi="Arial" w:cs="Arial"/>
          <w:color w:val="000000" w:themeColor="text1"/>
          <w:sz w:val="22"/>
          <w:lang w:val="es-ES_tradnl"/>
        </w:rPr>
      </w:pPr>
      <w:r w:rsidRPr="00F8515B">
        <w:rPr>
          <w:rFonts w:ascii="Arial" w:hAnsi="Arial" w:cs="Arial"/>
          <w:color w:val="000000" w:themeColor="text1"/>
          <w:sz w:val="22"/>
          <w:lang w:val="es-ES_tradnl"/>
        </w:rPr>
        <w:t xml:space="preserve">De otro lado, los </w:t>
      </w:r>
      <w:r w:rsidRPr="00F8515B">
        <w:rPr>
          <w:rFonts w:ascii="Arial" w:hAnsi="Arial" w:cs="Arial"/>
          <w:i/>
          <w:iCs/>
          <w:color w:val="000000" w:themeColor="text1"/>
          <w:sz w:val="22"/>
          <w:lang w:val="es-ES_tradnl"/>
        </w:rPr>
        <w:t>convenios de asociación</w:t>
      </w:r>
      <w:r w:rsidRPr="00F8515B">
        <w:rPr>
          <w:rFonts w:ascii="Arial" w:hAnsi="Arial" w:cs="Arial"/>
          <w:color w:val="000000" w:themeColor="text1"/>
          <w:sz w:val="22"/>
          <w:lang w:val="es-ES_tradnl"/>
        </w:rPr>
        <w:t xml:space="preserve"> «[t]</w:t>
      </w:r>
      <w:proofErr w:type="spellStart"/>
      <w:r w:rsidRPr="00F8515B">
        <w:rPr>
          <w:rFonts w:ascii="Arial" w:hAnsi="Arial" w:cs="Arial"/>
          <w:color w:val="000000" w:themeColor="text1"/>
          <w:sz w:val="22"/>
          <w:lang w:val="es-ES_tradnl"/>
        </w:rPr>
        <w:t>ienen</w:t>
      </w:r>
      <w:proofErr w:type="spellEnd"/>
      <w:r w:rsidRPr="00F8515B">
        <w:rPr>
          <w:rFonts w:ascii="Arial" w:hAnsi="Arial" w:cs="Arial"/>
          <w:color w:val="000000" w:themeColor="text1"/>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8515B">
        <w:rPr>
          <w:rStyle w:val="Refdenotaalpie"/>
          <w:rFonts w:ascii="Arial" w:hAnsi="Arial" w:cs="Arial"/>
          <w:color w:val="000000" w:themeColor="text1"/>
          <w:sz w:val="22"/>
          <w:lang w:val="es-ES_tradnl"/>
        </w:rPr>
        <w:footnoteReference w:id="58"/>
      </w:r>
      <w:r w:rsidRPr="00F8515B">
        <w:rPr>
          <w:rFonts w:ascii="Arial" w:hAnsi="Arial" w:cs="Arial"/>
          <w:color w:val="000000" w:themeColor="text1"/>
          <w:sz w:val="22"/>
          <w:lang w:val="es-ES_tradnl"/>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67A619A9" w14:textId="77777777" w:rsidR="009B6258" w:rsidRPr="00F8515B" w:rsidRDefault="009B6258" w:rsidP="003B6EE4">
      <w:pPr>
        <w:pStyle w:val="Sinespaciado"/>
        <w:spacing w:after="120" w:line="276" w:lineRule="auto"/>
        <w:ind w:firstLine="708"/>
        <w:rPr>
          <w:rFonts w:ascii="Arial" w:hAnsi="Arial" w:cs="Arial"/>
          <w:color w:val="000000" w:themeColor="text1"/>
          <w:sz w:val="22"/>
          <w:lang w:val="es-ES_tradnl"/>
        </w:rPr>
      </w:pPr>
      <w:r w:rsidRPr="00F8515B">
        <w:rPr>
          <w:rFonts w:ascii="Arial" w:hAnsi="Arial" w:cs="Arial"/>
          <w:color w:val="000000" w:themeColor="text1"/>
          <w:sz w:val="22"/>
          <w:lang w:val="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6A33697E" w14:textId="77777777" w:rsidR="009B6258" w:rsidRPr="00F8515B" w:rsidRDefault="009B6258" w:rsidP="003B6EE4">
      <w:pPr>
        <w:pStyle w:val="Sinespaciado"/>
        <w:spacing w:after="120" w:line="276" w:lineRule="auto"/>
        <w:ind w:firstLine="708"/>
        <w:rPr>
          <w:rFonts w:ascii="Arial" w:eastAsia="Calibri" w:hAnsi="Arial" w:cs="Arial"/>
          <w:color w:val="000000" w:themeColor="text1"/>
          <w:sz w:val="22"/>
          <w:lang w:val="es-ES_tradnl"/>
        </w:rPr>
      </w:pPr>
      <w:r w:rsidRPr="00F8515B">
        <w:rPr>
          <w:rFonts w:ascii="Arial" w:hAnsi="Arial" w:cs="Arial"/>
          <w:color w:val="000000" w:themeColor="text1"/>
          <w:sz w:val="22"/>
          <w:lang w:val="es-ES_tradnl"/>
        </w:rPr>
        <w:t>L</w:t>
      </w:r>
      <w:r w:rsidRPr="00F8515B">
        <w:rPr>
          <w:rFonts w:ascii="Arial" w:eastAsia="Calibri" w:hAnsi="Arial" w:cs="Arial"/>
          <w:color w:val="000000" w:themeColor="text1"/>
          <w:sz w:val="22"/>
          <w:lang w:val="es-ES_tradnl"/>
        </w:rPr>
        <w:t xml:space="preserve">a normativa vigente no impide que varias entidades suscriban conjuntamente el convenio de asociación ni tampoco que dos o más ESAL pueden </w:t>
      </w:r>
      <w:r w:rsidRPr="00F8515B">
        <w:rPr>
          <w:rFonts w:ascii="Arial" w:eastAsia="Calibri" w:hAnsi="Arial" w:cs="Arial"/>
          <w:color w:val="000000" w:themeColor="text1"/>
          <w:sz w:val="22"/>
          <w:lang w:val="es-ES_tradnl"/>
        </w:rPr>
        <w:lastRenderedPageBreak/>
        <w:t>hacerlo a través de las figuras asociativas autorizadas por la ley, por ejemplo, la unión temporal o el consorcio</w:t>
      </w:r>
      <w:r w:rsidRPr="00F8515B">
        <w:rPr>
          <w:rStyle w:val="Refdenotaalpie"/>
          <w:rFonts w:ascii="Arial" w:eastAsia="Calibri" w:hAnsi="Arial" w:cs="Arial"/>
          <w:color w:val="000000" w:themeColor="text1"/>
          <w:sz w:val="22"/>
          <w:lang w:val="es-ES_tradnl"/>
        </w:rPr>
        <w:footnoteReference w:id="59"/>
      </w:r>
      <w:r w:rsidRPr="00F8515B">
        <w:rPr>
          <w:rFonts w:ascii="Arial" w:eastAsia="Calibri" w:hAnsi="Arial" w:cs="Arial"/>
          <w:color w:val="000000" w:themeColor="text1"/>
          <w:sz w:val="22"/>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516305B4" w14:textId="279EA97C" w:rsidR="009B6258" w:rsidRPr="00F8515B" w:rsidRDefault="009B6258" w:rsidP="003B6EE4">
      <w:pPr>
        <w:pStyle w:val="Sinespaciado"/>
        <w:spacing w:after="120" w:line="276" w:lineRule="auto"/>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 xml:space="preserve">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w:t>
      </w:r>
      <w:r w:rsidR="00755DBC" w:rsidRPr="00F8515B">
        <w:rPr>
          <w:rFonts w:ascii="Arial" w:eastAsia="Calibri" w:hAnsi="Arial" w:cs="Arial"/>
          <w:color w:val="000000" w:themeColor="text1"/>
          <w:sz w:val="22"/>
          <w:lang w:val="es-ES_tradnl"/>
        </w:rPr>
        <w:t>pues</w:t>
      </w:r>
      <w:r w:rsidRPr="00F8515B">
        <w:rPr>
          <w:rFonts w:ascii="Arial" w:eastAsia="Calibri" w:hAnsi="Arial" w:cs="Arial"/>
          <w:color w:val="000000" w:themeColor="text1"/>
          <w:sz w:val="22"/>
          <w:lang w:val="es-ES_tradnl"/>
        </w:rPr>
        <w:t xml:space="preserve"> de lo contrario deberá adelantarse un proceso competitivo.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F8515B">
        <w:rPr>
          <w:rStyle w:val="Refdenotaalpie"/>
          <w:rFonts w:ascii="Arial" w:eastAsia="Calibri" w:hAnsi="Arial" w:cs="Arial"/>
          <w:color w:val="000000" w:themeColor="text1"/>
          <w:sz w:val="22"/>
          <w:lang w:val="es-ES_tradnl"/>
        </w:rPr>
        <w:footnoteReference w:id="60"/>
      </w:r>
      <w:r w:rsidRPr="00F8515B">
        <w:rPr>
          <w:rFonts w:ascii="Arial" w:eastAsia="Calibri" w:hAnsi="Arial" w:cs="Arial"/>
          <w:color w:val="000000" w:themeColor="text1"/>
          <w:sz w:val="22"/>
          <w:lang w:val="es-ES_tradnl"/>
        </w:rPr>
        <w:t>.</w:t>
      </w:r>
    </w:p>
    <w:p w14:paraId="5EDE98B0" w14:textId="77777777" w:rsidR="009B6258" w:rsidRPr="00F8515B" w:rsidRDefault="009B6258" w:rsidP="003B6EE4">
      <w:pPr>
        <w:spacing w:after="120"/>
        <w:ind w:firstLine="708"/>
        <w:rPr>
          <w:rFonts w:ascii="Arial" w:hAnsi="Arial" w:cs="Arial"/>
          <w:color w:val="000000" w:themeColor="text1"/>
          <w:sz w:val="22"/>
          <w:lang w:val="es-ES_tradnl"/>
        </w:rPr>
      </w:pPr>
      <w:r w:rsidRPr="00F8515B">
        <w:rPr>
          <w:rFonts w:ascii="Arial" w:hAnsi="Arial" w:cs="Arial"/>
          <w:color w:val="000000" w:themeColor="text1"/>
          <w:sz w:val="22"/>
          <w:lang w:val="es-ES_tradnl"/>
        </w:rPr>
        <w:t xml:space="preserve">La noción «seleccionar de forma objetiva», contenida en la disposición </w:t>
      </w:r>
      <w:r w:rsidRPr="00F8515B">
        <w:rPr>
          <w:rFonts w:ascii="Arial" w:hAnsi="Arial" w:cs="Arial"/>
          <w:i/>
          <w:iCs/>
          <w:color w:val="000000" w:themeColor="text1"/>
          <w:sz w:val="22"/>
          <w:lang w:val="es-ES_tradnl"/>
        </w:rPr>
        <w:t xml:space="preserve">sub examine </w:t>
      </w:r>
      <w:r w:rsidRPr="00F8515B">
        <w:rPr>
          <w:rFonts w:ascii="Arial" w:hAnsi="Arial" w:cs="Arial"/>
          <w:color w:val="000000" w:themeColor="text1"/>
          <w:sz w:val="22"/>
          <w:lang w:val="es-ES_tradnl"/>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w:t>
      </w:r>
      <w:r w:rsidRPr="00F8515B">
        <w:rPr>
          <w:rFonts w:ascii="Arial" w:hAnsi="Arial" w:cs="Arial"/>
          <w:color w:val="000000" w:themeColor="text1"/>
          <w:sz w:val="22"/>
          <w:lang w:val="es-ES_tradnl"/>
        </w:rPr>
        <w:lastRenderedPageBreak/>
        <w:t>establece el EGCAP o, incluso, al trámite que regula el inciso 2 del artículo 2 del Decreto 92 de 2017.</w:t>
      </w:r>
    </w:p>
    <w:p w14:paraId="1C949106" w14:textId="0CD8CF8B" w:rsidR="009B6258" w:rsidRPr="00F8515B" w:rsidRDefault="009B6258" w:rsidP="003B6EE4">
      <w:pPr>
        <w:spacing w:after="120"/>
        <w:ind w:firstLine="708"/>
        <w:textAlignment w:val="baseline"/>
        <w:rPr>
          <w:rFonts w:ascii="Arial" w:hAnsi="Arial" w:cs="Arial"/>
          <w:color w:val="000000" w:themeColor="text1"/>
          <w:sz w:val="22"/>
          <w:lang w:val="es-ES_tradnl"/>
        </w:rPr>
      </w:pPr>
      <w:r w:rsidRPr="00F8515B">
        <w:rPr>
          <w:rFonts w:ascii="Arial" w:eastAsia="Arial" w:hAnsi="Arial" w:cs="Arial"/>
          <w:color w:val="000000" w:themeColor="text1"/>
          <w:sz w:val="22"/>
          <w:lang w:val="es-ES_tradnl"/>
        </w:rPr>
        <w:t>En suma, las entidades estatales son autónomas en la configuración del proceso competitivo en desarrollo del artículo 5 del Decreto 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F8515B">
        <w:rPr>
          <w:rFonts w:ascii="Arial" w:hAnsi="Arial" w:cs="Arial"/>
          <w:color w:val="000000" w:themeColor="text1"/>
          <w:sz w:val="22"/>
          <w:lang w:val="es-ES_tradnl"/>
        </w:rPr>
        <w:t>. </w:t>
      </w:r>
    </w:p>
    <w:p w14:paraId="0A8C5B0A" w14:textId="749EC4A2" w:rsidR="009B6258" w:rsidRPr="00F8515B" w:rsidRDefault="009B6258" w:rsidP="003B6EE4">
      <w:pPr>
        <w:spacing w:after="120"/>
        <w:ind w:firstLine="709"/>
        <w:rPr>
          <w:rFonts w:ascii="Arial" w:eastAsia="Calibri" w:hAnsi="Arial" w:cs="Arial"/>
          <w:color w:val="000000" w:themeColor="text1"/>
          <w:sz w:val="22"/>
          <w:lang w:val="es-ES_tradnl"/>
        </w:rPr>
      </w:pPr>
      <w:r w:rsidRPr="00F8515B">
        <w:rPr>
          <w:rFonts w:ascii="Arial" w:hAnsi="Arial" w:cs="Arial"/>
          <w:color w:val="000000" w:themeColor="text1"/>
          <w:sz w:val="22"/>
          <w:lang w:val="es-ES_tradnl"/>
        </w:rPr>
        <w:t>Ahora bien, e</w:t>
      </w:r>
      <w:r w:rsidRPr="00F8515B">
        <w:rPr>
          <w:rFonts w:ascii="Arial" w:eastAsia="Calibri" w:hAnsi="Arial" w:cs="Arial"/>
          <w:color w:val="000000" w:themeColor="text1"/>
          <w:sz w:val="22"/>
          <w:lang w:val="es-ES_tradnl"/>
        </w:rPr>
        <w:t>l Consejo de Estado, en el Auto del 6 de agosto de 2019 de la Sección Tercera, Subsección A –</w:t>
      </w:r>
      <w:proofErr w:type="spellStart"/>
      <w:r w:rsidRPr="00F8515B">
        <w:rPr>
          <w:rFonts w:ascii="Arial" w:eastAsia="Calibri" w:hAnsi="Arial" w:cs="Arial"/>
          <w:color w:val="000000" w:themeColor="text1"/>
          <w:sz w:val="22"/>
          <w:lang w:val="es-ES_tradnl"/>
        </w:rPr>
        <w:t>Exp</w:t>
      </w:r>
      <w:proofErr w:type="spellEnd"/>
      <w:r w:rsidRPr="00F8515B">
        <w:rPr>
          <w:rFonts w:ascii="Arial" w:eastAsia="Calibri" w:hAnsi="Arial" w:cs="Arial"/>
          <w:color w:val="000000" w:themeColor="text1"/>
          <w:sz w:val="22"/>
          <w:lang w:val="es-ES_tradnl"/>
        </w:rPr>
        <w:t>. 62.003–, estudió la solicitud de suspensión provisional</w:t>
      </w:r>
      <w:r w:rsidRPr="00F8515B">
        <w:rPr>
          <w:rStyle w:val="Refdenotaalpie"/>
          <w:rFonts w:ascii="Arial" w:eastAsia="Calibri" w:hAnsi="Arial" w:cs="Arial"/>
          <w:color w:val="000000" w:themeColor="text1"/>
          <w:sz w:val="22"/>
          <w:lang w:val="es-ES_tradnl"/>
        </w:rPr>
        <w:footnoteReference w:id="61"/>
      </w:r>
      <w:r w:rsidRPr="00F8515B">
        <w:rPr>
          <w:rFonts w:ascii="Arial" w:eastAsia="Calibri" w:hAnsi="Arial" w:cs="Arial"/>
          <w:color w:val="000000" w:themeColor="text1"/>
          <w:sz w:val="22"/>
          <w:lang w:val="es-ES_tradnl"/>
        </w:rPr>
        <w:t xml:space="preserve"> del inciso 2 del artículo 1, literales a y c del artículo 2, inciso 5 del artículo 2, inciso 2 del artículo 3, inciso final del artículo 4 y artículo 5 del Decreto 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F8515B">
        <w:rPr>
          <w:rFonts w:ascii="Arial" w:eastAsia="Calibri" w:hAnsi="Arial" w:cs="Arial"/>
          <w:i/>
          <w:iCs/>
          <w:color w:val="000000" w:themeColor="text1"/>
          <w:sz w:val="22"/>
          <w:lang w:val="es-ES_tradnl"/>
        </w:rPr>
        <w:t>convenio de asociación</w:t>
      </w:r>
      <w:r w:rsidRPr="00F8515B">
        <w:rPr>
          <w:rFonts w:ascii="Arial" w:eastAsia="Calibri" w:hAnsi="Arial" w:cs="Arial"/>
          <w:color w:val="000000" w:themeColor="text1"/>
          <w:sz w:val="22"/>
          <w:lang w:val="es-ES_tradnl"/>
        </w:rPr>
        <w:t xml:space="preserve"> con ESAL de reconocida idoneidad para el cumplimiento de las funciones que la ley les asigna a las entidades públicas, debe aplicarse lo dispuesto en el artículo 5 del Decreto 92 de 2017. </w:t>
      </w:r>
    </w:p>
    <w:p w14:paraId="20AB2C7B" w14:textId="50B2BAEA" w:rsidR="00810CB8" w:rsidRPr="00F8515B" w:rsidRDefault="009B6258" w:rsidP="003B6EE4">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F8515B">
        <w:rPr>
          <w:rStyle w:val="Refdenotaalpie"/>
          <w:rFonts w:ascii="Arial" w:hAnsi="Arial" w:cs="Arial"/>
          <w:color w:val="000000" w:themeColor="text1"/>
          <w:sz w:val="22"/>
          <w:lang w:val="es-ES_tradnl"/>
        </w:rPr>
        <w:footnoteReference w:id="62"/>
      </w:r>
      <w:r w:rsidRPr="00F8515B">
        <w:rPr>
          <w:rFonts w:ascii="Arial" w:eastAsia="Calibri" w:hAnsi="Arial" w:cs="Arial"/>
          <w:color w:val="000000" w:themeColor="text1"/>
          <w:sz w:val="22"/>
          <w:lang w:val="es-ES_tradnl"/>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w:t>
      </w:r>
      <w:r w:rsidRPr="00F8515B">
        <w:rPr>
          <w:rFonts w:ascii="Arial" w:eastAsia="Calibri" w:hAnsi="Arial" w:cs="Arial"/>
          <w:color w:val="000000" w:themeColor="text1"/>
          <w:sz w:val="22"/>
          <w:lang w:val="es-ES_tradnl"/>
        </w:rPr>
        <w:lastRenderedPageBreak/>
        <w:t>menos del 30% o cuando aporte recursos en especie: s</w:t>
      </w:r>
      <w:r w:rsidR="00CC6DD5">
        <w:rPr>
          <w:rFonts w:ascii="Arial" w:eastAsia="Calibri" w:hAnsi="Arial" w:cs="Arial"/>
          <w:color w:val="000000" w:themeColor="text1"/>
          <w:sz w:val="22"/>
          <w:lang w:val="es-ES_tradnl"/>
        </w:rPr>
        <w:t>o</w:t>
      </w:r>
      <w:r w:rsidRPr="00F8515B">
        <w:rPr>
          <w:rFonts w:ascii="Arial" w:eastAsia="Calibri" w:hAnsi="Arial" w:cs="Arial"/>
          <w:color w:val="000000" w:themeColor="text1"/>
          <w:sz w:val="22"/>
          <w:lang w:val="es-ES_tradnl"/>
        </w:rPr>
        <w:t>lo indica que en esos casos la entidad estatal debe acudir al proceso competitivo para seleccionar a la entidad sin ánimo de lucro con la cual celebrará el respectivo convenio.</w:t>
      </w:r>
      <w:r w:rsidR="00810CB8" w:rsidRPr="00F8515B">
        <w:rPr>
          <w:rFonts w:ascii="Arial" w:eastAsia="Calibri" w:hAnsi="Arial" w:cs="Arial"/>
          <w:color w:val="000000" w:themeColor="text1"/>
          <w:sz w:val="22"/>
          <w:lang w:val="es-ES_tradnl"/>
        </w:rPr>
        <w:t xml:space="preserve"> </w:t>
      </w:r>
      <w:r w:rsidRPr="00F8515B">
        <w:rPr>
          <w:rFonts w:ascii="Arial" w:eastAsia="Calibri" w:hAnsi="Arial" w:cs="Arial"/>
          <w:color w:val="000000" w:themeColor="text1"/>
          <w:sz w:val="22"/>
          <w:lang w:val="es-ES_tradnl"/>
        </w:rPr>
        <w:t xml:space="preserve"> </w:t>
      </w:r>
    </w:p>
    <w:p w14:paraId="4964DC07" w14:textId="064FCCF8" w:rsidR="009B6258" w:rsidRPr="00F8515B" w:rsidRDefault="00810CB8" w:rsidP="003B6EE4">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En contraste</w:t>
      </w:r>
      <w:r w:rsidR="009B6258"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para los </w:t>
      </w:r>
      <w:r w:rsidRPr="00F8515B">
        <w:rPr>
          <w:rFonts w:ascii="Arial" w:eastAsia="Calibri" w:hAnsi="Arial" w:cs="Arial"/>
          <w:i/>
          <w:iCs/>
          <w:color w:val="000000" w:themeColor="text1"/>
          <w:sz w:val="22"/>
          <w:lang w:val="es-ES_tradnl"/>
        </w:rPr>
        <w:t>contratos de colaboración</w:t>
      </w:r>
      <w:r w:rsidR="009B6258" w:rsidRPr="00F8515B">
        <w:rPr>
          <w:rFonts w:ascii="Arial" w:eastAsia="Calibri" w:hAnsi="Arial" w:cs="Arial"/>
          <w:color w:val="000000" w:themeColor="text1"/>
          <w:sz w:val="22"/>
          <w:lang w:val="es-ES_tradnl"/>
        </w:rPr>
        <w:t xml:space="preserve"> </w:t>
      </w:r>
      <w:r w:rsidRPr="00F8515B">
        <w:rPr>
          <w:rFonts w:ascii="Arial" w:eastAsia="Calibri" w:hAnsi="Arial" w:cs="Arial"/>
          <w:color w:val="000000" w:themeColor="text1"/>
          <w:sz w:val="22"/>
          <w:lang w:val="es-ES_tradnl"/>
        </w:rPr>
        <w:t>el procedimiento de selección es competitivo. Lo anterior teniendo en cuenta que, a través del auto citado, el Consejo de Estado suspendió provisionalmente el inciso final del artículo 4 del Decreto 92 de 20</w:t>
      </w:r>
      <w:r w:rsidR="00BF38C7" w:rsidRPr="00F8515B">
        <w:rPr>
          <w:rFonts w:ascii="Arial" w:eastAsia="Calibri" w:hAnsi="Arial" w:cs="Arial"/>
          <w:color w:val="000000" w:themeColor="text1"/>
          <w:sz w:val="22"/>
          <w:lang w:val="es-ES_tradnl"/>
        </w:rPr>
        <w:t>1</w:t>
      </w:r>
      <w:r w:rsidRPr="00F8515B">
        <w:rPr>
          <w:rFonts w:ascii="Arial" w:eastAsia="Calibri" w:hAnsi="Arial" w:cs="Arial"/>
          <w:color w:val="000000" w:themeColor="text1"/>
          <w:sz w:val="22"/>
          <w:lang w:val="es-ES_tradnl"/>
        </w:rPr>
        <w:t xml:space="preserve">7, el cual disponía que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 En este contexto, el procedimiento se adelantará con fundamento en los apartados </w:t>
      </w:r>
      <w:r w:rsidR="00FA0E3E" w:rsidRPr="00F8515B">
        <w:rPr>
          <w:rFonts w:ascii="Arial" w:eastAsia="Calibri" w:hAnsi="Arial" w:cs="Arial"/>
          <w:color w:val="000000" w:themeColor="text1"/>
          <w:sz w:val="22"/>
          <w:lang w:val="es-ES_tradnl"/>
        </w:rPr>
        <w:t xml:space="preserve">de la norma </w:t>
      </w:r>
      <w:r w:rsidRPr="00F8515B">
        <w:rPr>
          <w:rFonts w:ascii="Arial" w:eastAsia="Calibri" w:hAnsi="Arial" w:cs="Arial"/>
          <w:color w:val="000000" w:themeColor="text1"/>
          <w:sz w:val="22"/>
          <w:lang w:val="es-ES_tradnl"/>
        </w:rPr>
        <w:t>que no fueron afectados por la medida cautelar</w:t>
      </w:r>
      <w:r w:rsidR="00FA0E3E" w:rsidRPr="00F8515B">
        <w:rPr>
          <w:rStyle w:val="Refdenotaalpie"/>
          <w:rFonts w:ascii="Arial" w:eastAsia="Calibri" w:hAnsi="Arial" w:cs="Arial"/>
          <w:color w:val="000000" w:themeColor="text1"/>
          <w:sz w:val="22"/>
          <w:lang w:val="es-ES_tradnl"/>
        </w:rPr>
        <w:footnoteReference w:id="63"/>
      </w:r>
      <w:r w:rsidRPr="00F8515B">
        <w:rPr>
          <w:rFonts w:ascii="Arial" w:eastAsia="Calibri" w:hAnsi="Arial" w:cs="Arial"/>
          <w:color w:val="000000" w:themeColor="text1"/>
          <w:sz w:val="22"/>
          <w:lang w:val="es-ES_tradnl"/>
        </w:rPr>
        <w:t xml:space="preserve">. </w:t>
      </w:r>
      <w:r w:rsidR="009B6258" w:rsidRPr="00F8515B">
        <w:rPr>
          <w:rFonts w:ascii="Arial" w:eastAsia="Calibri" w:hAnsi="Arial" w:cs="Arial"/>
          <w:color w:val="000000" w:themeColor="text1"/>
          <w:sz w:val="22"/>
          <w:lang w:val="es-ES_tradnl"/>
        </w:rPr>
        <w:t xml:space="preserve"> </w:t>
      </w:r>
    </w:p>
    <w:p w14:paraId="4B771901" w14:textId="77777777" w:rsidR="000E7E85" w:rsidRPr="00F8515B" w:rsidRDefault="00403A30" w:rsidP="00681E72">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 xml:space="preserve">En lo relativo al objeto de la consulta, </w:t>
      </w:r>
      <w:r w:rsidR="00A61075" w:rsidRPr="00F8515B">
        <w:rPr>
          <w:rFonts w:ascii="Arial" w:eastAsia="Calibri" w:hAnsi="Arial" w:cs="Arial"/>
          <w:color w:val="000000" w:themeColor="text1"/>
          <w:sz w:val="22"/>
          <w:lang w:val="es-ES_tradnl"/>
        </w:rPr>
        <w:t>se observa que hay una</w:t>
      </w:r>
      <w:r w:rsidR="00457C2F" w:rsidRPr="00F8515B">
        <w:rPr>
          <w:rFonts w:ascii="Arial" w:eastAsia="Calibri" w:hAnsi="Arial" w:cs="Arial"/>
          <w:color w:val="000000" w:themeColor="text1"/>
          <w:sz w:val="22"/>
          <w:lang w:val="es-ES_tradnl"/>
        </w:rPr>
        <w:t xml:space="preserve"> posibilidad de suscribir </w:t>
      </w:r>
      <w:r w:rsidRPr="00F8515B">
        <w:rPr>
          <w:rFonts w:ascii="Arial" w:eastAsia="Calibri" w:hAnsi="Arial" w:cs="Arial"/>
          <w:color w:val="000000" w:themeColor="text1"/>
          <w:sz w:val="22"/>
          <w:lang w:val="es-ES_tradnl"/>
        </w:rPr>
        <w:t>convenios entre las entidades territoriales</w:t>
      </w:r>
      <w:r w:rsidR="004861A0" w:rsidRPr="00F8515B">
        <w:rPr>
          <w:rFonts w:ascii="Arial" w:eastAsia="Calibri" w:hAnsi="Arial" w:cs="Arial"/>
          <w:color w:val="000000" w:themeColor="text1"/>
          <w:sz w:val="22"/>
          <w:lang w:val="es-ES_tradnl"/>
        </w:rPr>
        <w:t xml:space="preserve"> (municipios o distritos) o sus entidades descentralizadas</w:t>
      </w:r>
      <w:r w:rsidRPr="00F8515B">
        <w:rPr>
          <w:rFonts w:ascii="Arial" w:eastAsia="Calibri" w:hAnsi="Arial" w:cs="Arial"/>
          <w:color w:val="000000" w:themeColor="text1"/>
          <w:sz w:val="22"/>
          <w:lang w:val="es-ES_tradnl"/>
        </w:rPr>
        <w:t xml:space="preserve"> y </w:t>
      </w:r>
      <w:r w:rsidR="004861A0" w:rsidRPr="00F8515B">
        <w:rPr>
          <w:rFonts w:ascii="Arial" w:eastAsia="Calibri" w:hAnsi="Arial" w:cs="Arial"/>
          <w:color w:val="000000" w:themeColor="text1"/>
          <w:sz w:val="22"/>
          <w:lang w:val="es-ES_tradnl"/>
        </w:rPr>
        <w:t>otras entidades públicas o particulares, con</w:t>
      </w:r>
      <w:r w:rsidRPr="00F8515B">
        <w:rPr>
          <w:rFonts w:ascii="Arial" w:eastAsia="Calibri" w:hAnsi="Arial" w:cs="Arial"/>
          <w:color w:val="000000" w:themeColor="text1"/>
          <w:sz w:val="22"/>
          <w:lang w:val="es-ES_tradnl"/>
        </w:rPr>
        <w:t xml:space="preserve"> fundamento en el artículo </w:t>
      </w:r>
      <w:r w:rsidR="004861A0" w:rsidRPr="00F8515B">
        <w:rPr>
          <w:rFonts w:ascii="Arial" w:eastAsia="Calibri" w:hAnsi="Arial" w:cs="Arial"/>
          <w:color w:val="000000" w:themeColor="text1"/>
          <w:sz w:val="22"/>
          <w:lang w:val="es-ES_tradnl"/>
        </w:rPr>
        <w:t>77</w:t>
      </w:r>
      <w:r w:rsidRPr="00F8515B">
        <w:rPr>
          <w:rFonts w:ascii="Arial" w:eastAsia="Calibri" w:hAnsi="Arial" w:cs="Arial"/>
          <w:color w:val="000000" w:themeColor="text1"/>
          <w:sz w:val="22"/>
          <w:lang w:val="es-ES_tradnl"/>
        </w:rPr>
        <w:t xml:space="preserve"> de la Ley </w:t>
      </w:r>
      <w:r w:rsidR="004861A0" w:rsidRPr="00F8515B">
        <w:rPr>
          <w:rFonts w:ascii="Arial" w:eastAsia="Calibri" w:hAnsi="Arial" w:cs="Arial"/>
          <w:color w:val="000000" w:themeColor="text1"/>
          <w:sz w:val="22"/>
          <w:lang w:val="es-ES_tradnl"/>
        </w:rPr>
        <w:t>9</w:t>
      </w:r>
      <w:r w:rsidRPr="00F8515B">
        <w:rPr>
          <w:rFonts w:ascii="Arial" w:eastAsia="Calibri" w:hAnsi="Arial" w:cs="Arial"/>
          <w:color w:val="000000" w:themeColor="text1"/>
          <w:sz w:val="22"/>
          <w:lang w:val="es-ES_tradnl"/>
        </w:rPr>
        <w:t xml:space="preserve"> de 19</w:t>
      </w:r>
      <w:r w:rsidR="004861A0" w:rsidRPr="00F8515B">
        <w:rPr>
          <w:rFonts w:ascii="Arial" w:eastAsia="Calibri" w:hAnsi="Arial" w:cs="Arial"/>
          <w:color w:val="000000" w:themeColor="text1"/>
          <w:sz w:val="22"/>
          <w:lang w:val="es-ES_tradnl"/>
        </w:rPr>
        <w:t>89</w:t>
      </w:r>
      <w:r w:rsidR="00A3167C" w:rsidRPr="00F8515B">
        <w:rPr>
          <w:rFonts w:ascii="Arial" w:eastAsia="Calibri" w:hAnsi="Arial" w:cs="Arial"/>
          <w:color w:val="000000" w:themeColor="text1"/>
          <w:sz w:val="22"/>
          <w:lang w:val="es-ES_tradnl"/>
        </w:rPr>
        <w:t>, «</w:t>
      </w:r>
      <w:r w:rsidR="004861A0" w:rsidRPr="00F8515B">
        <w:rPr>
          <w:color w:val="000000" w:themeColor="text1"/>
          <w:lang w:val="es-ES_tradnl"/>
        </w:rPr>
        <w:t>P</w:t>
      </w:r>
      <w:r w:rsidR="004861A0" w:rsidRPr="00F8515B">
        <w:rPr>
          <w:rFonts w:ascii="Arial" w:eastAsia="Calibri" w:hAnsi="Arial" w:cs="Arial"/>
          <w:color w:val="000000" w:themeColor="text1"/>
          <w:sz w:val="22"/>
          <w:lang w:val="es-ES_tradnl"/>
        </w:rPr>
        <w:t>or la cual se dictan normas sobre planes de desarrollo municipal, compraventa y expropiación de bienes y se dictan otras disposiciones</w:t>
      </w:r>
      <w:r w:rsidR="00A3167C"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w:t>
      </w:r>
      <w:r w:rsidR="00457C2F" w:rsidRPr="00F8515B">
        <w:rPr>
          <w:rFonts w:ascii="Arial" w:eastAsia="Calibri" w:hAnsi="Arial" w:cs="Arial"/>
          <w:color w:val="000000" w:themeColor="text1"/>
          <w:sz w:val="22"/>
          <w:lang w:val="es-ES_tradnl"/>
        </w:rPr>
        <w:t xml:space="preserve"> </w:t>
      </w:r>
      <w:r w:rsidRPr="00F8515B">
        <w:rPr>
          <w:rFonts w:ascii="Arial" w:eastAsia="Calibri" w:hAnsi="Arial" w:cs="Arial"/>
          <w:color w:val="000000" w:themeColor="text1"/>
          <w:sz w:val="22"/>
          <w:lang w:val="es-ES_tradnl"/>
        </w:rPr>
        <w:t>De conformidad con esta disposición,</w:t>
      </w:r>
      <w:r w:rsidR="00681E72" w:rsidRPr="00F8515B">
        <w:rPr>
          <w:rFonts w:ascii="Arial" w:eastAsia="Calibri" w:hAnsi="Arial" w:cs="Arial"/>
          <w:color w:val="000000" w:themeColor="text1"/>
          <w:sz w:val="22"/>
          <w:lang w:val="es-ES_tradnl"/>
        </w:rPr>
        <w:t xml:space="preserve"> adicionada por la Ley 388 de 1997,</w:t>
      </w:r>
      <w:r w:rsidRPr="00F8515B">
        <w:rPr>
          <w:rFonts w:ascii="Arial" w:eastAsia="Calibri" w:hAnsi="Arial" w:cs="Arial"/>
          <w:color w:val="000000" w:themeColor="text1"/>
          <w:sz w:val="22"/>
          <w:lang w:val="es-ES_tradnl"/>
        </w:rPr>
        <w:t xml:space="preserve"> </w:t>
      </w:r>
    </w:p>
    <w:p w14:paraId="453ACA72" w14:textId="30CEA1C9" w:rsidR="00FA0E3E" w:rsidRPr="00F8515B" w:rsidRDefault="00681E72" w:rsidP="00F8515B">
      <w:pPr>
        <w:spacing w:before="120" w:after="120" w:line="240" w:lineRule="auto"/>
        <w:ind w:left="709" w:right="709"/>
        <w:rPr>
          <w:rFonts w:ascii="Arial" w:eastAsia="Calibri" w:hAnsi="Arial" w:cs="Arial"/>
          <w:color w:val="000000" w:themeColor="text1"/>
          <w:sz w:val="21"/>
          <w:szCs w:val="21"/>
          <w:lang w:val="es-ES_tradnl"/>
        </w:rPr>
      </w:pPr>
      <w:r w:rsidRPr="00F8515B">
        <w:rPr>
          <w:rFonts w:ascii="Arial" w:eastAsia="Calibri" w:hAnsi="Arial" w:cs="Arial"/>
          <w:color w:val="000000" w:themeColor="text1"/>
          <w:sz w:val="21"/>
          <w:szCs w:val="21"/>
          <w:lang w:val="es-ES_tradnl"/>
        </w:rPr>
        <w:t xml:space="preserve">Los municipios, el Distrito Especial de Bogotá y la Intendencia de San Andrés y Providencia o sus entidades descentralizadas podrán asociarse con otras entidades públicas y con los particulares, por iniciativa de cualesquiera de éstos, para desarrollar áreas no desarrolladas previstas en el plan de desarrollo, mediante el sistema de reajuste de tierras, que </w:t>
      </w:r>
      <w:r w:rsidRPr="00F8515B">
        <w:rPr>
          <w:rFonts w:ascii="Arial" w:eastAsia="Calibri" w:hAnsi="Arial" w:cs="Arial"/>
          <w:color w:val="000000" w:themeColor="text1"/>
          <w:sz w:val="21"/>
          <w:szCs w:val="21"/>
          <w:lang w:val="es-ES_tradnl"/>
        </w:rPr>
        <w:lastRenderedPageBreak/>
        <w:t>consiste en englobar diversos lotes de terreno para luego subdividirlos en forma más adecuada y dotarlos de obras de infraestructura urbana básica, tales como vías, parques, redes de acueducto, energía eléctrica y teléfonos. También podrán adelantar proyectos de integración inmobiliaria en zonas, áreas e inmuebles clasificadas como de desarrollo, redesarrollo y renovación urbana, con el objeto de reunir o englobar distintos inmuebles para subdividirlos y desarrollarlos, construirlos, o renovarlos y enajenarlos. Las entidades antes enumeradas serán las encargadas de adelantar los proyectos relacionados con estos inmuebles mediante acuerdos de asociación, contratos de sociedad u otros que celebre con los propietarios de las tierras, así como también mediante la compraventa y expropiación de los inmuebles requeridos</w:t>
      </w:r>
      <w:r w:rsidR="00403A30" w:rsidRPr="00F8515B">
        <w:rPr>
          <w:rFonts w:ascii="Arial" w:eastAsia="Calibri" w:hAnsi="Arial" w:cs="Arial"/>
          <w:color w:val="000000" w:themeColor="text1"/>
          <w:sz w:val="21"/>
          <w:szCs w:val="21"/>
          <w:lang w:val="es-ES_tradnl"/>
        </w:rPr>
        <w:t>.</w:t>
      </w:r>
    </w:p>
    <w:p w14:paraId="641DEEAD" w14:textId="4A0A9DB1" w:rsidR="004D1CE5" w:rsidRPr="00F8515B" w:rsidRDefault="0000591C" w:rsidP="00645346">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La citada disposición constituye una herramienta para el ordenamiento del territorio y la realización de acciones urbanísticas para reorganizar el uso del suelo por parte de los municipios</w:t>
      </w:r>
      <w:r w:rsidR="00A61075" w:rsidRPr="00F8515B">
        <w:rPr>
          <w:rFonts w:ascii="Arial" w:eastAsia="Calibri" w:hAnsi="Arial" w:cs="Arial"/>
          <w:color w:val="000000" w:themeColor="text1"/>
          <w:sz w:val="22"/>
          <w:lang w:val="es-ES_tradnl"/>
        </w:rPr>
        <w:t xml:space="preserve"> y distritos</w:t>
      </w:r>
      <w:r w:rsidR="00457C2F"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w:t>
      </w:r>
      <w:r w:rsidR="00457C2F" w:rsidRPr="00F8515B">
        <w:rPr>
          <w:rFonts w:ascii="Arial" w:eastAsia="Calibri" w:hAnsi="Arial" w:cs="Arial"/>
          <w:color w:val="000000" w:themeColor="text1"/>
          <w:sz w:val="22"/>
          <w:lang w:val="es-ES_tradnl"/>
        </w:rPr>
        <w:t xml:space="preserve">cuya aplicación debe armonizarse con el marco constitucional y legal actualmente vigente para </w:t>
      </w:r>
      <w:r w:rsidR="00863AF7" w:rsidRPr="00F8515B">
        <w:rPr>
          <w:rFonts w:ascii="Arial" w:eastAsia="Calibri" w:hAnsi="Arial" w:cs="Arial"/>
          <w:color w:val="000000" w:themeColor="text1"/>
          <w:sz w:val="22"/>
          <w:lang w:val="es-ES_tradnl"/>
        </w:rPr>
        <w:t xml:space="preserve">la ordenación del territorio, el suelo y el </w:t>
      </w:r>
      <w:r w:rsidR="00457C2F" w:rsidRPr="00F8515B">
        <w:rPr>
          <w:rFonts w:ascii="Arial" w:eastAsia="Calibri" w:hAnsi="Arial" w:cs="Arial"/>
          <w:color w:val="000000" w:themeColor="text1"/>
          <w:sz w:val="22"/>
          <w:lang w:val="es-ES_tradnl"/>
        </w:rPr>
        <w:t xml:space="preserve">urbanismo en el país y </w:t>
      </w:r>
      <w:r w:rsidRPr="00F8515B">
        <w:rPr>
          <w:rFonts w:ascii="Arial" w:eastAsia="Calibri" w:hAnsi="Arial" w:cs="Arial"/>
          <w:color w:val="000000" w:themeColor="text1"/>
          <w:sz w:val="22"/>
          <w:lang w:val="es-ES_tradnl"/>
        </w:rPr>
        <w:t>conforme a lo</w:t>
      </w:r>
      <w:r w:rsidR="00645346" w:rsidRPr="00F8515B">
        <w:rPr>
          <w:rFonts w:ascii="Arial" w:eastAsia="Calibri" w:hAnsi="Arial" w:cs="Arial"/>
          <w:color w:val="000000" w:themeColor="text1"/>
          <w:sz w:val="22"/>
          <w:lang w:val="es-ES_tradnl"/>
        </w:rPr>
        <w:t>s hoy llamados planes de ordenamiento territorial</w:t>
      </w:r>
      <w:r w:rsidR="00645346" w:rsidRPr="00F8515B">
        <w:rPr>
          <w:rStyle w:val="Refdenotaalpie"/>
          <w:rFonts w:ascii="Arial" w:eastAsia="Calibri" w:hAnsi="Arial" w:cs="Arial"/>
          <w:color w:val="000000" w:themeColor="text1"/>
          <w:sz w:val="22"/>
          <w:lang w:val="es-ES_tradnl"/>
        </w:rPr>
        <w:footnoteReference w:id="64"/>
      </w:r>
      <w:r w:rsidR="00457C2F" w:rsidRPr="00F8515B">
        <w:rPr>
          <w:rFonts w:ascii="Arial" w:eastAsia="Calibri" w:hAnsi="Arial" w:cs="Arial"/>
          <w:color w:val="000000" w:themeColor="text1"/>
          <w:sz w:val="22"/>
          <w:lang w:val="es-ES_tradnl"/>
        </w:rPr>
        <w:t>, en los términos de la Ley 388 de 1997</w:t>
      </w:r>
      <w:r w:rsidR="00645346" w:rsidRPr="00F8515B">
        <w:rPr>
          <w:rFonts w:ascii="Arial" w:eastAsia="Calibri" w:hAnsi="Arial" w:cs="Arial"/>
          <w:color w:val="000000" w:themeColor="text1"/>
          <w:sz w:val="22"/>
          <w:lang w:val="es-ES_tradnl"/>
        </w:rPr>
        <w:t xml:space="preserve">. </w:t>
      </w:r>
      <w:r w:rsidRPr="00F8515B">
        <w:rPr>
          <w:rFonts w:ascii="Arial" w:eastAsia="Calibri" w:hAnsi="Arial" w:cs="Arial"/>
          <w:color w:val="000000" w:themeColor="text1"/>
          <w:sz w:val="22"/>
          <w:lang w:val="es-ES_tradnl"/>
        </w:rPr>
        <w:t xml:space="preserve"> </w:t>
      </w:r>
    </w:p>
    <w:p w14:paraId="5FF316AF" w14:textId="02216EAB" w:rsidR="00436F9D" w:rsidRPr="00F8515B" w:rsidRDefault="006C2EB8" w:rsidP="00436F9D">
      <w:pPr>
        <w:spacing w:after="120"/>
        <w:ind w:firstLine="709"/>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 xml:space="preserve">Para las restricciones de la Ley 996 de 2005, la norma citada anteriormente no </w:t>
      </w:r>
      <w:r w:rsidR="00006BE6" w:rsidRPr="00F8515B">
        <w:rPr>
          <w:rFonts w:ascii="Arial" w:eastAsia="Calibri" w:hAnsi="Arial" w:cs="Arial"/>
          <w:color w:val="000000" w:themeColor="text1"/>
          <w:sz w:val="22"/>
          <w:lang w:val="es-ES_tradnl"/>
        </w:rPr>
        <w:t>establece</w:t>
      </w:r>
      <w:r w:rsidRPr="00F8515B">
        <w:rPr>
          <w:rFonts w:ascii="Arial" w:eastAsia="Calibri" w:hAnsi="Arial" w:cs="Arial"/>
          <w:color w:val="000000" w:themeColor="text1"/>
          <w:sz w:val="22"/>
          <w:lang w:val="es-ES_tradnl"/>
        </w:rPr>
        <w:t xml:space="preserve"> si estos convenios corresponden a la modalidad de contratación directa o se califican como contratos interadministrativos</w:t>
      </w:r>
      <w:r w:rsidR="00A61075" w:rsidRPr="00F8515B">
        <w:rPr>
          <w:rFonts w:ascii="Arial" w:eastAsia="Calibri" w:hAnsi="Arial" w:cs="Arial"/>
          <w:color w:val="000000" w:themeColor="text1"/>
          <w:sz w:val="22"/>
          <w:lang w:val="es-ES_tradnl"/>
        </w:rPr>
        <w:t xml:space="preserve"> o de otra índole en caso de suscribirse con particulares</w:t>
      </w:r>
      <w:r w:rsidR="00C40376" w:rsidRPr="00F8515B">
        <w:rPr>
          <w:rFonts w:ascii="Arial" w:eastAsia="Calibri" w:hAnsi="Arial" w:cs="Arial"/>
          <w:color w:val="000000" w:themeColor="text1"/>
          <w:sz w:val="22"/>
          <w:lang w:val="es-ES_tradnl"/>
        </w:rPr>
        <w:t xml:space="preserve">. Por el contrario, solo disponen que </w:t>
      </w:r>
      <w:r w:rsidR="008534E9" w:rsidRPr="00F8515B">
        <w:rPr>
          <w:rFonts w:ascii="Arial" w:eastAsia="Calibri" w:hAnsi="Arial" w:cs="Arial"/>
          <w:color w:val="000000" w:themeColor="text1"/>
          <w:sz w:val="22"/>
          <w:lang w:val="es-ES_tradnl"/>
        </w:rPr>
        <w:t xml:space="preserve">estos se celebran con entidades </w:t>
      </w:r>
      <w:r w:rsidR="00645346" w:rsidRPr="00F8515B">
        <w:rPr>
          <w:rFonts w:ascii="Arial" w:eastAsia="Calibri" w:hAnsi="Arial" w:cs="Arial"/>
          <w:color w:val="000000" w:themeColor="text1"/>
          <w:sz w:val="22"/>
          <w:lang w:val="es-ES_tradnl"/>
        </w:rPr>
        <w:t>públicas o particulares</w:t>
      </w:r>
      <w:r w:rsidR="008534E9" w:rsidRPr="00F8515B">
        <w:rPr>
          <w:rFonts w:ascii="Arial" w:eastAsia="Calibri" w:hAnsi="Arial" w:cs="Arial"/>
          <w:color w:val="000000" w:themeColor="text1"/>
          <w:sz w:val="22"/>
          <w:lang w:val="es-ES_tradnl"/>
        </w:rPr>
        <w:t xml:space="preserve">. En este contexto, el procedimiento de selección y la tipología contractual de los convenios </w:t>
      </w:r>
      <w:r w:rsidR="00CE4850" w:rsidRPr="00F8515B">
        <w:rPr>
          <w:rFonts w:ascii="Arial" w:eastAsia="Calibri" w:hAnsi="Arial" w:cs="Arial"/>
          <w:color w:val="000000" w:themeColor="text1"/>
          <w:sz w:val="22"/>
          <w:lang w:val="es-ES_tradnl"/>
        </w:rPr>
        <w:t>referidos, en opinión de esta Agencia, sería</w:t>
      </w:r>
      <w:r w:rsidR="00A61075" w:rsidRPr="00F8515B">
        <w:rPr>
          <w:rFonts w:ascii="Arial" w:eastAsia="Calibri" w:hAnsi="Arial" w:cs="Arial"/>
          <w:color w:val="000000" w:themeColor="text1"/>
          <w:sz w:val="22"/>
          <w:lang w:val="es-ES_tradnl"/>
        </w:rPr>
        <w:t>, en primer lugar,</w:t>
      </w:r>
      <w:r w:rsidR="00CE4850" w:rsidRPr="00F8515B">
        <w:rPr>
          <w:rFonts w:ascii="Arial" w:eastAsia="Calibri" w:hAnsi="Arial" w:cs="Arial"/>
          <w:color w:val="000000" w:themeColor="text1"/>
          <w:sz w:val="22"/>
          <w:lang w:val="es-ES_tradnl"/>
        </w:rPr>
        <w:t xml:space="preserve"> de convenios interadministrativos cuando </w:t>
      </w:r>
      <w:r w:rsidR="00996A2D" w:rsidRPr="00F8515B">
        <w:rPr>
          <w:rFonts w:ascii="Arial" w:eastAsia="Calibri" w:hAnsi="Arial" w:cs="Arial"/>
          <w:color w:val="000000" w:themeColor="text1"/>
          <w:sz w:val="22"/>
          <w:lang w:val="es-ES_tradnl"/>
        </w:rPr>
        <w:t>e</w:t>
      </w:r>
      <w:r w:rsidR="00A61075" w:rsidRPr="00F8515B">
        <w:rPr>
          <w:rFonts w:ascii="Arial" w:eastAsia="Calibri" w:hAnsi="Arial" w:cs="Arial"/>
          <w:color w:val="000000" w:themeColor="text1"/>
          <w:sz w:val="22"/>
          <w:lang w:val="es-ES_tradnl"/>
        </w:rPr>
        <w:t xml:space="preserve">stos </w:t>
      </w:r>
      <w:r w:rsidR="00CE4850" w:rsidRPr="00F8515B">
        <w:rPr>
          <w:rFonts w:ascii="Arial" w:eastAsia="Calibri" w:hAnsi="Arial" w:cs="Arial"/>
          <w:color w:val="000000" w:themeColor="text1"/>
          <w:sz w:val="22"/>
          <w:lang w:val="es-ES_tradnl"/>
        </w:rPr>
        <w:t>se celebren entre entidades de naturaleza pública</w:t>
      </w:r>
      <w:r w:rsidR="00A61075" w:rsidRPr="00F8515B">
        <w:rPr>
          <w:rFonts w:ascii="Arial" w:eastAsia="Calibri" w:hAnsi="Arial" w:cs="Arial"/>
          <w:color w:val="000000" w:themeColor="text1"/>
          <w:sz w:val="22"/>
          <w:lang w:val="es-ES_tradnl"/>
        </w:rPr>
        <w:t xml:space="preserve">. </w:t>
      </w:r>
      <w:r w:rsidR="00436F9D" w:rsidRPr="00F8515B">
        <w:rPr>
          <w:rFonts w:ascii="Arial" w:eastAsia="Calibri" w:hAnsi="Arial" w:cs="Arial"/>
          <w:color w:val="000000" w:themeColor="text1"/>
          <w:sz w:val="22"/>
          <w:lang w:val="es-ES_tradnl"/>
        </w:rPr>
        <w:t>Al respecto, esta última tipología contractual fue creada en la Ley 80 de 1993 y, aunque no la definió ni desarrolló, el Decreto 1082 de 2015 califica a los convenios o contratos interadministrativos como aquella contratación entre entidades estatales</w:t>
      </w:r>
      <w:r w:rsidR="00436F9D" w:rsidRPr="00F8515B">
        <w:rPr>
          <w:rStyle w:val="Refdenotaalpie"/>
          <w:rFonts w:ascii="Arial" w:eastAsia="Calibri" w:hAnsi="Arial" w:cs="Arial"/>
          <w:color w:val="000000" w:themeColor="text1"/>
          <w:sz w:val="22"/>
          <w:lang w:val="es-ES_tradnl"/>
        </w:rPr>
        <w:footnoteReference w:id="65"/>
      </w:r>
      <w:r w:rsidR="00436F9D" w:rsidRPr="00F8515B">
        <w:rPr>
          <w:rFonts w:ascii="Arial" w:eastAsia="Calibri" w:hAnsi="Arial" w:cs="Arial"/>
          <w:color w:val="000000" w:themeColor="text1"/>
          <w:sz w:val="22"/>
          <w:lang w:val="es-ES_tradnl"/>
        </w:rPr>
        <w:t>.</w:t>
      </w:r>
      <w:r w:rsidR="00436F9D" w:rsidRPr="00F8515B">
        <w:rPr>
          <w:rFonts w:ascii="Arial" w:hAnsi="Arial" w:cs="Arial"/>
          <w:color w:val="000000" w:themeColor="text1"/>
          <w:sz w:val="22"/>
          <w:lang w:val="es-ES_tradnl"/>
        </w:rPr>
        <w:t xml:space="preserve"> </w:t>
      </w:r>
      <w:r w:rsidR="00436F9D" w:rsidRPr="00F8515B">
        <w:rPr>
          <w:rFonts w:ascii="Arial" w:eastAsia="Calibri" w:hAnsi="Arial" w:cs="Arial"/>
          <w:color w:val="000000" w:themeColor="text1"/>
          <w:sz w:val="22"/>
          <w:lang w:val="es-ES_tradnl"/>
        </w:rPr>
        <w:t xml:space="preserve">De acuerdo con esto, el contrato o </w:t>
      </w:r>
      <w:r w:rsidR="00436F9D" w:rsidRPr="00F8515B">
        <w:rPr>
          <w:rFonts w:ascii="Arial" w:eastAsia="Calibri" w:hAnsi="Arial" w:cs="Arial"/>
          <w:color w:val="000000" w:themeColor="text1"/>
          <w:sz w:val="22"/>
          <w:lang w:val="es-ES_tradnl"/>
        </w:rPr>
        <w:lastRenderedPageBreak/>
        <w:t xml:space="preserve">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p>
    <w:p w14:paraId="266722E8" w14:textId="579F5702" w:rsidR="00436F9D" w:rsidRPr="00F8515B" w:rsidRDefault="00436F9D" w:rsidP="00436F9D">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De esta manera, los convenios objeto de consulta</w:t>
      </w:r>
      <w:r w:rsidR="00996A2D"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cuando se celebren entre municipios y distritos y otras entidades públicas</w:t>
      </w:r>
      <w:r w:rsidR="00996A2D"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corresponden a la categoría definida en el 2.2.1.2.1.4.4 del Decreto 1082 de 2015</w:t>
      </w:r>
      <w:r w:rsidR="00A740E0" w:rsidRPr="00F8515B">
        <w:rPr>
          <w:rFonts w:ascii="Arial" w:eastAsia="Calibri" w:hAnsi="Arial" w:cs="Arial"/>
          <w:color w:val="000000" w:themeColor="text1"/>
          <w:sz w:val="22"/>
          <w:lang w:val="es-ES_tradnl"/>
        </w:rPr>
        <w:t>; es decir que pueden calificarse como convenios interadministrativos,</w:t>
      </w:r>
      <w:r w:rsidRPr="00F8515B">
        <w:rPr>
          <w:rFonts w:ascii="Arial" w:eastAsia="Calibri" w:hAnsi="Arial" w:cs="Arial"/>
          <w:color w:val="000000" w:themeColor="text1"/>
          <w:sz w:val="22"/>
          <w:lang w:val="es-ES_tradnl"/>
        </w:rPr>
        <w:t xml:space="preserve"> pues implica</w:t>
      </w:r>
      <w:r w:rsidR="00A740E0" w:rsidRPr="00F8515B">
        <w:rPr>
          <w:rFonts w:ascii="Arial" w:eastAsia="Calibri" w:hAnsi="Arial" w:cs="Arial"/>
          <w:color w:val="000000" w:themeColor="text1"/>
          <w:sz w:val="22"/>
          <w:lang w:val="es-ES_tradnl"/>
        </w:rPr>
        <w:t>n</w:t>
      </w:r>
      <w:r w:rsidRPr="00F8515B">
        <w:rPr>
          <w:rFonts w:ascii="Arial" w:eastAsia="Calibri" w:hAnsi="Arial" w:cs="Arial"/>
          <w:color w:val="000000" w:themeColor="text1"/>
          <w:sz w:val="22"/>
          <w:lang w:val="es-ES_tradnl"/>
        </w:rPr>
        <w:t xml:space="preserve"> una contratación entre autoridades del Estado.</w:t>
      </w:r>
    </w:p>
    <w:p w14:paraId="2D0892AB" w14:textId="16D9CD1C" w:rsidR="006C2EB8" w:rsidRPr="00F8515B" w:rsidRDefault="00A61075" w:rsidP="003B6EE4">
      <w:pPr>
        <w:spacing w:after="120"/>
        <w:ind w:firstLine="708"/>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En segundo lugar,</w:t>
      </w:r>
      <w:r w:rsidR="00CE4850" w:rsidRPr="00F8515B">
        <w:rPr>
          <w:rFonts w:ascii="Arial" w:eastAsia="Calibri" w:hAnsi="Arial" w:cs="Arial"/>
          <w:color w:val="000000" w:themeColor="text1"/>
          <w:sz w:val="22"/>
          <w:lang w:val="es-ES_tradnl"/>
        </w:rPr>
        <w:t xml:space="preserve"> en caso de que el convenio se celebre con particulares, </w:t>
      </w:r>
      <w:r w:rsidR="008534E9" w:rsidRPr="00F8515B">
        <w:rPr>
          <w:rFonts w:ascii="Arial" w:eastAsia="Calibri" w:hAnsi="Arial" w:cs="Arial"/>
          <w:color w:val="000000" w:themeColor="text1"/>
          <w:sz w:val="22"/>
          <w:lang w:val="es-ES_tradnl"/>
        </w:rPr>
        <w:t>correspond</w:t>
      </w:r>
      <w:r w:rsidR="00CE4850" w:rsidRPr="00F8515B">
        <w:rPr>
          <w:rFonts w:ascii="Arial" w:eastAsia="Calibri" w:hAnsi="Arial" w:cs="Arial"/>
          <w:color w:val="000000" w:themeColor="text1"/>
          <w:sz w:val="22"/>
          <w:lang w:val="es-ES_tradnl"/>
        </w:rPr>
        <w:t xml:space="preserve">ería </w:t>
      </w:r>
      <w:r w:rsidR="004E08C9" w:rsidRPr="00F8515B">
        <w:rPr>
          <w:rFonts w:ascii="Arial" w:eastAsia="Calibri" w:hAnsi="Arial" w:cs="Arial"/>
          <w:color w:val="000000" w:themeColor="text1"/>
          <w:sz w:val="22"/>
          <w:lang w:val="es-ES_tradnl"/>
        </w:rPr>
        <w:t xml:space="preserve">remitirse </w:t>
      </w:r>
      <w:r w:rsidR="00CE4850" w:rsidRPr="00F8515B">
        <w:rPr>
          <w:rFonts w:ascii="Arial" w:eastAsia="Calibri" w:hAnsi="Arial" w:cs="Arial"/>
          <w:color w:val="000000" w:themeColor="text1"/>
          <w:sz w:val="22"/>
          <w:lang w:val="es-ES_tradnl"/>
        </w:rPr>
        <w:t>a</w:t>
      </w:r>
      <w:r w:rsidR="008534E9" w:rsidRPr="00F8515B">
        <w:rPr>
          <w:rFonts w:ascii="Arial" w:eastAsia="Calibri" w:hAnsi="Arial" w:cs="Arial"/>
          <w:color w:val="000000" w:themeColor="text1"/>
          <w:sz w:val="22"/>
          <w:lang w:val="es-ES_tradnl"/>
        </w:rPr>
        <w:t>l</w:t>
      </w:r>
      <w:r w:rsidR="00CE4850" w:rsidRPr="00F8515B">
        <w:rPr>
          <w:rFonts w:ascii="Arial" w:eastAsia="Calibri" w:hAnsi="Arial" w:cs="Arial"/>
          <w:color w:val="000000" w:themeColor="text1"/>
          <w:sz w:val="22"/>
          <w:lang w:val="es-ES_tradnl"/>
        </w:rPr>
        <w:t xml:space="preserve"> </w:t>
      </w:r>
      <w:r w:rsidR="008534E9" w:rsidRPr="00F8515B">
        <w:rPr>
          <w:rFonts w:ascii="Arial" w:eastAsia="Calibri" w:hAnsi="Arial" w:cs="Arial"/>
          <w:color w:val="000000" w:themeColor="text1"/>
          <w:sz w:val="22"/>
          <w:lang w:val="es-ES_tradnl"/>
        </w:rPr>
        <w:t>Decreto 92 de 2017</w:t>
      </w:r>
      <w:r w:rsidR="00CE4850" w:rsidRPr="00F8515B">
        <w:rPr>
          <w:rFonts w:ascii="Arial" w:eastAsia="Calibri" w:hAnsi="Arial" w:cs="Arial"/>
          <w:color w:val="000000" w:themeColor="text1"/>
          <w:sz w:val="22"/>
          <w:lang w:val="es-ES_tradnl"/>
        </w:rPr>
        <w:t>, si el particular es una entidad sin ánimo de lucro</w:t>
      </w:r>
      <w:r w:rsidRPr="00F8515B">
        <w:rPr>
          <w:rFonts w:ascii="Arial" w:eastAsia="Calibri" w:hAnsi="Arial" w:cs="Arial"/>
          <w:color w:val="000000" w:themeColor="text1"/>
          <w:sz w:val="22"/>
          <w:lang w:val="es-ES_tradnl"/>
        </w:rPr>
        <w:t xml:space="preserve"> - ESAL</w:t>
      </w:r>
      <w:r w:rsidR="00CE4850" w:rsidRPr="00F8515B">
        <w:rPr>
          <w:rFonts w:ascii="Arial" w:eastAsia="Calibri" w:hAnsi="Arial" w:cs="Arial"/>
          <w:color w:val="000000" w:themeColor="text1"/>
          <w:sz w:val="22"/>
          <w:lang w:val="es-ES_tradnl"/>
        </w:rPr>
        <w:t xml:space="preserve">, </w:t>
      </w:r>
      <w:r w:rsidRPr="00F8515B">
        <w:rPr>
          <w:rFonts w:ascii="Arial" w:eastAsia="Calibri" w:hAnsi="Arial" w:cs="Arial"/>
          <w:color w:val="000000" w:themeColor="text1"/>
          <w:sz w:val="22"/>
          <w:lang w:val="es-ES_tradnl"/>
        </w:rPr>
        <w:t>y</w:t>
      </w:r>
      <w:r w:rsidR="00DD2D47"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en última instancia</w:t>
      </w:r>
      <w:r w:rsidR="00DD2D47"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2"/>
          <w:lang w:val="es-ES_tradnl"/>
        </w:rPr>
        <w:t xml:space="preserve"> al Estatuto General de Contratación de la Administración Pública - </w:t>
      </w:r>
      <w:r w:rsidR="00CE4850" w:rsidRPr="00F8515B">
        <w:rPr>
          <w:rFonts w:ascii="Arial" w:eastAsia="Calibri" w:hAnsi="Arial" w:cs="Arial"/>
          <w:color w:val="000000" w:themeColor="text1"/>
          <w:sz w:val="22"/>
          <w:lang w:val="es-ES_tradnl"/>
        </w:rPr>
        <w:t>EGCAP si el particular no tiene esa última condición</w:t>
      </w:r>
      <w:r w:rsidR="00DD2D47" w:rsidRPr="00F8515B">
        <w:rPr>
          <w:rFonts w:ascii="Arial" w:eastAsia="Calibri" w:hAnsi="Arial" w:cs="Arial"/>
          <w:color w:val="000000" w:themeColor="text1"/>
          <w:sz w:val="22"/>
          <w:lang w:val="es-ES_tradnl"/>
        </w:rPr>
        <w:t>, ya que una de las partes, la entidad pública, sí debe acudir a dicho estatuto para celebrar el convenio, ya que no hay norma expresa que le autorice apartarse</w:t>
      </w:r>
      <w:r w:rsidR="00436F9D" w:rsidRPr="00F8515B">
        <w:rPr>
          <w:rFonts w:ascii="Arial" w:eastAsia="Calibri" w:hAnsi="Arial" w:cs="Arial"/>
          <w:color w:val="000000" w:themeColor="text1"/>
          <w:sz w:val="22"/>
          <w:lang w:val="es-ES_tradnl"/>
        </w:rPr>
        <w:t xml:space="preserve"> del EGCAP</w:t>
      </w:r>
      <w:r w:rsidR="00CB6518" w:rsidRPr="00F8515B">
        <w:rPr>
          <w:rFonts w:ascii="Arial" w:eastAsia="Calibri" w:hAnsi="Arial" w:cs="Arial"/>
          <w:color w:val="000000" w:themeColor="text1"/>
          <w:sz w:val="22"/>
          <w:lang w:val="es-ES_tradnl"/>
        </w:rPr>
        <w:t>.</w:t>
      </w:r>
      <w:r w:rsidR="008534E9" w:rsidRPr="00F8515B">
        <w:rPr>
          <w:rFonts w:ascii="Arial" w:eastAsia="Calibri" w:hAnsi="Arial" w:cs="Arial"/>
          <w:color w:val="000000" w:themeColor="text1"/>
          <w:sz w:val="22"/>
          <w:lang w:val="es-ES_tradnl"/>
        </w:rPr>
        <w:t xml:space="preserve"> </w:t>
      </w:r>
    </w:p>
    <w:p w14:paraId="42CBD6AA" w14:textId="24B2C02F" w:rsidR="002400B3" w:rsidRPr="00F8515B" w:rsidRDefault="002400B3" w:rsidP="003B6EE4">
      <w:pPr>
        <w:spacing w:after="120"/>
        <w:ind w:firstLine="709"/>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De esta manera, la prohibición de contratación directa del artículo 33 de la Ley de Garantías aplica</w:t>
      </w:r>
      <w:r w:rsidR="00863AF7" w:rsidRPr="00F8515B">
        <w:rPr>
          <w:rFonts w:ascii="Arial" w:eastAsia="Calibri" w:hAnsi="Arial" w:cs="Arial"/>
          <w:color w:val="000000" w:themeColor="text1"/>
          <w:sz w:val="22"/>
          <w:lang w:val="es-ES_tradnl"/>
        </w:rPr>
        <w:t>ría</w:t>
      </w:r>
      <w:r w:rsidRPr="00F8515B">
        <w:rPr>
          <w:rFonts w:ascii="Arial" w:eastAsia="Calibri" w:hAnsi="Arial" w:cs="Arial"/>
          <w:color w:val="000000" w:themeColor="text1"/>
          <w:sz w:val="22"/>
          <w:lang w:val="es-ES_tradnl"/>
        </w:rPr>
        <w:t xml:space="preserve"> </w:t>
      </w:r>
      <w:r w:rsidR="00863AF7" w:rsidRPr="00F8515B">
        <w:rPr>
          <w:rFonts w:ascii="Arial" w:eastAsia="Calibri" w:hAnsi="Arial" w:cs="Arial"/>
          <w:color w:val="000000" w:themeColor="text1"/>
          <w:sz w:val="22"/>
          <w:lang w:val="es-ES_tradnl"/>
        </w:rPr>
        <w:t>a los convenios interadministrativos</w:t>
      </w:r>
      <w:r w:rsidR="00DD2D47" w:rsidRPr="00F8515B">
        <w:rPr>
          <w:rFonts w:ascii="Arial" w:eastAsia="Calibri" w:hAnsi="Arial" w:cs="Arial"/>
          <w:color w:val="000000" w:themeColor="text1"/>
          <w:sz w:val="22"/>
          <w:lang w:val="es-ES_tradnl"/>
        </w:rPr>
        <w:t>, a los convenios con particulares</w:t>
      </w:r>
      <w:r w:rsidR="00863AF7" w:rsidRPr="00F8515B">
        <w:rPr>
          <w:rFonts w:ascii="Arial" w:eastAsia="Calibri" w:hAnsi="Arial" w:cs="Arial"/>
          <w:color w:val="000000" w:themeColor="text1"/>
          <w:sz w:val="22"/>
          <w:lang w:val="es-ES_tradnl"/>
        </w:rPr>
        <w:t xml:space="preserve"> y a los convenios con </w:t>
      </w:r>
      <w:r w:rsidR="00DD2D47" w:rsidRPr="00F8515B">
        <w:rPr>
          <w:rFonts w:ascii="Arial" w:eastAsia="Calibri" w:hAnsi="Arial" w:cs="Arial"/>
          <w:color w:val="000000" w:themeColor="text1"/>
          <w:sz w:val="22"/>
          <w:lang w:val="es-ES_tradnl"/>
        </w:rPr>
        <w:t>ESAL,</w:t>
      </w:r>
      <w:r w:rsidR="00863AF7" w:rsidRPr="00F8515B">
        <w:rPr>
          <w:rFonts w:ascii="Arial" w:eastAsia="Calibri" w:hAnsi="Arial" w:cs="Arial"/>
          <w:color w:val="000000" w:themeColor="text1"/>
          <w:sz w:val="22"/>
          <w:lang w:val="es-ES_tradnl"/>
        </w:rPr>
        <w:t xml:space="preserve"> cuya celebración se </w:t>
      </w:r>
      <w:r w:rsidR="00863047" w:rsidRPr="00F8515B">
        <w:rPr>
          <w:rFonts w:ascii="Arial" w:eastAsia="Calibri" w:hAnsi="Arial" w:cs="Arial"/>
          <w:color w:val="000000" w:themeColor="text1"/>
          <w:sz w:val="22"/>
          <w:lang w:val="es-ES_tradnl"/>
        </w:rPr>
        <w:t>adelante</w:t>
      </w:r>
      <w:r w:rsidRPr="00F8515B">
        <w:rPr>
          <w:rFonts w:ascii="Arial" w:eastAsia="Calibri" w:hAnsi="Arial" w:cs="Arial"/>
          <w:color w:val="000000" w:themeColor="text1"/>
          <w:sz w:val="22"/>
          <w:lang w:val="es-ES_tradnl"/>
        </w:rPr>
        <w:t xml:space="preserve"> </w:t>
      </w:r>
      <w:r w:rsidR="00863AF7" w:rsidRPr="00F8515B">
        <w:rPr>
          <w:rFonts w:ascii="Arial" w:eastAsia="Calibri" w:hAnsi="Arial" w:cs="Arial"/>
          <w:color w:val="000000" w:themeColor="text1"/>
          <w:sz w:val="22"/>
          <w:lang w:val="es-ES_tradnl"/>
        </w:rPr>
        <w:t>por</w:t>
      </w:r>
      <w:r w:rsidRPr="00F8515B">
        <w:rPr>
          <w:rFonts w:ascii="Arial" w:eastAsia="Calibri" w:hAnsi="Arial" w:cs="Arial"/>
          <w:color w:val="000000" w:themeColor="text1"/>
          <w:sz w:val="22"/>
          <w:lang w:val="es-ES_tradnl"/>
        </w:rPr>
        <w:t xml:space="preserve">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F8515B">
        <w:rPr>
          <w:rStyle w:val="Refdenotaalpie"/>
          <w:rFonts w:ascii="Arial" w:eastAsia="Calibri" w:hAnsi="Arial" w:cs="Arial"/>
          <w:color w:val="000000" w:themeColor="text1"/>
          <w:sz w:val="22"/>
          <w:lang w:val="es-ES_tradnl"/>
        </w:rPr>
        <w:footnoteReference w:id="66"/>
      </w:r>
      <w:r w:rsidRPr="00F8515B">
        <w:rPr>
          <w:rFonts w:ascii="Arial" w:eastAsia="Calibri" w:hAnsi="Arial" w:cs="Arial"/>
          <w:color w:val="000000" w:themeColor="text1"/>
          <w:sz w:val="22"/>
          <w:lang w:val="es-ES_tradnl"/>
        </w:rPr>
        <w:t>.</w:t>
      </w:r>
      <w:r w:rsidRPr="00F8515B">
        <w:rPr>
          <w:rFonts w:ascii="Arial" w:eastAsia="Calibri" w:hAnsi="Arial" w:cs="Arial"/>
          <w:color w:val="000000" w:themeColor="text1"/>
          <w:sz w:val="21"/>
          <w:szCs w:val="21"/>
          <w:lang w:val="es-ES_tradnl"/>
        </w:rPr>
        <w:t xml:space="preserve"> </w:t>
      </w:r>
    </w:p>
    <w:p w14:paraId="20F70FE0" w14:textId="5336ECCE" w:rsidR="002400B3" w:rsidRPr="00F8515B" w:rsidRDefault="002400B3" w:rsidP="003B6EE4">
      <w:pPr>
        <w:spacing w:after="120"/>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ab/>
        <w:t xml:space="preserve">En contraste, la restricción citada no aplicaría a los </w:t>
      </w:r>
      <w:r w:rsidRPr="00F8515B">
        <w:rPr>
          <w:rFonts w:ascii="Arial" w:eastAsia="Calibri" w:hAnsi="Arial" w:cs="Arial"/>
          <w:i/>
          <w:iCs/>
          <w:color w:val="000000" w:themeColor="text1"/>
          <w:sz w:val="22"/>
          <w:lang w:val="es-ES_tradnl"/>
        </w:rPr>
        <w:t>contratos de colaboración</w:t>
      </w:r>
      <w:r w:rsidRPr="00F8515B">
        <w:rPr>
          <w:rFonts w:ascii="Arial" w:eastAsia="Calibri" w:hAnsi="Arial" w:cs="Arial"/>
          <w:color w:val="000000" w:themeColor="text1"/>
          <w:sz w:val="22"/>
          <w:lang w:val="es-ES_tradnl"/>
        </w:rPr>
        <w:t xml:space="preserve"> o los </w:t>
      </w:r>
      <w:r w:rsidRPr="00F8515B">
        <w:rPr>
          <w:rFonts w:ascii="Arial" w:eastAsia="Calibri" w:hAnsi="Arial" w:cs="Arial"/>
          <w:i/>
          <w:iCs/>
          <w:color w:val="000000" w:themeColor="text1"/>
          <w:sz w:val="22"/>
          <w:lang w:val="es-ES_tradnl"/>
        </w:rPr>
        <w:t>convenios de asociación</w:t>
      </w:r>
      <w:r w:rsidRPr="00F8515B">
        <w:rPr>
          <w:rFonts w:ascii="Arial" w:eastAsia="Calibri" w:hAnsi="Arial" w:cs="Arial"/>
          <w:color w:val="000000" w:themeColor="text1"/>
          <w:sz w:val="22"/>
          <w:lang w:val="es-ES_tradnl"/>
        </w:rPr>
        <w:t xml:space="preserve"> que celebren las entidades territoriales y </w:t>
      </w:r>
      <w:r w:rsidR="00DD2D47" w:rsidRPr="00F8515B">
        <w:rPr>
          <w:rFonts w:ascii="Arial" w:eastAsia="Calibri" w:hAnsi="Arial" w:cs="Arial"/>
          <w:color w:val="000000" w:themeColor="text1"/>
          <w:sz w:val="22"/>
          <w:lang w:val="es-ES_tradnl"/>
        </w:rPr>
        <w:t>las ESAL</w:t>
      </w:r>
      <w:r w:rsidRPr="00F8515B">
        <w:rPr>
          <w:rFonts w:ascii="Arial" w:eastAsia="Calibri" w:hAnsi="Arial" w:cs="Arial"/>
          <w:color w:val="000000" w:themeColor="text1"/>
          <w:sz w:val="22"/>
          <w:lang w:val="es-ES_tradnl"/>
        </w:rPr>
        <w:t xml:space="preserve"> bajo el procedimiento competitivo, pues este supone la pluralidad de oferentes y la selección objetiva del contratista. Conforme al artículo 5 del Decreto 92 de 2017, esta </w:t>
      </w:r>
      <w:r w:rsidRPr="00F8515B">
        <w:rPr>
          <w:rFonts w:ascii="Arial" w:eastAsia="Calibri" w:hAnsi="Arial" w:cs="Arial"/>
          <w:color w:val="000000" w:themeColor="text1"/>
          <w:sz w:val="22"/>
          <w:lang w:val="es-ES_tradnl"/>
        </w:rPr>
        <w:lastRenderedPageBreak/>
        <w:t>es la regla general</w:t>
      </w:r>
      <w:r w:rsidR="00FF773A" w:rsidRPr="00F8515B">
        <w:rPr>
          <w:rFonts w:ascii="Arial" w:eastAsia="Calibri" w:hAnsi="Arial" w:cs="Arial"/>
          <w:color w:val="000000" w:themeColor="text1"/>
          <w:sz w:val="22"/>
          <w:lang w:val="es-ES_tradnl"/>
        </w:rPr>
        <w:t xml:space="preserve"> para los </w:t>
      </w:r>
      <w:r w:rsidR="00FF773A" w:rsidRPr="00F8515B">
        <w:rPr>
          <w:rFonts w:ascii="Arial" w:eastAsia="Calibri" w:hAnsi="Arial" w:cs="Arial"/>
          <w:i/>
          <w:iCs/>
          <w:color w:val="000000" w:themeColor="text1"/>
          <w:sz w:val="22"/>
          <w:lang w:val="es-ES_tradnl"/>
        </w:rPr>
        <w:t>convenios de asociación</w:t>
      </w:r>
      <w:r w:rsidRPr="00F8515B">
        <w:rPr>
          <w:rFonts w:ascii="Arial" w:eastAsia="Calibri" w:hAnsi="Arial" w:cs="Arial"/>
          <w:color w:val="000000" w:themeColor="text1"/>
          <w:sz w:val="22"/>
          <w:lang w:val="es-ES_tradnl"/>
        </w:rPr>
        <w:t xml:space="preserve">, salvo en aquellos casos en que una </w:t>
      </w:r>
      <w:r w:rsidR="00DD2D47" w:rsidRPr="00F8515B">
        <w:rPr>
          <w:rFonts w:ascii="Arial" w:eastAsia="Calibri" w:hAnsi="Arial" w:cs="Arial"/>
          <w:color w:val="000000" w:themeColor="text1"/>
          <w:sz w:val="22"/>
          <w:lang w:val="es-ES_tradnl"/>
        </w:rPr>
        <w:t>ESAL</w:t>
      </w:r>
      <w:r w:rsidRPr="00F8515B">
        <w:rPr>
          <w:rFonts w:ascii="Arial" w:eastAsia="Calibri" w:hAnsi="Arial" w:cs="Arial"/>
          <w:color w:val="000000" w:themeColor="text1"/>
          <w:sz w:val="22"/>
          <w:lang w:val="es-ES_tradnl"/>
        </w:rPr>
        <w:t xml:space="preserve"> comprometa recursos en dinero por un valor igual o superior al 30% del valor total del convenio, siempre que la entidad estatal verifique previamente que no existe ninguna otra ESAL que ofrezca aportes iguales o superiores a dicho porcentaje. Por ello,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00FA4CDC" w:rsidRPr="00F8515B">
        <w:rPr>
          <w:rFonts w:ascii="Arial" w:eastAsia="Calibri" w:hAnsi="Arial" w:cs="Arial"/>
          <w:color w:val="000000" w:themeColor="text1"/>
          <w:sz w:val="22"/>
          <w:lang w:val="es-ES_tradnl"/>
        </w:rPr>
        <w:t xml:space="preserve"> </w:t>
      </w:r>
      <w:r w:rsidR="00BF38C7" w:rsidRPr="00F8515B">
        <w:rPr>
          <w:rFonts w:ascii="Arial" w:eastAsia="Calibri" w:hAnsi="Arial" w:cs="Arial"/>
          <w:color w:val="000000" w:themeColor="text1"/>
          <w:sz w:val="22"/>
          <w:lang w:val="es-ES_tradnl"/>
        </w:rPr>
        <w:t xml:space="preserve">Lo anterior sin perjuicio de lo explicado </w:t>
      </w:r>
      <w:r w:rsidR="00FF773A" w:rsidRPr="00F8515B">
        <w:rPr>
          <w:rFonts w:ascii="Arial" w:eastAsia="Calibri" w:hAnsi="Arial" w:cs="Arial"/>
          <w:color w:val="000000" w:themeColor="text1"/>
          <w:sz w:val="22"/>
          <w:lang w:val="es-ES_tradnl"/>
        </w:rPr>
        <w:t>anteriormente</w:t>
      </w:r>
      <w:r w:rsidR="00BF38C7" w:rsidRPr="00F8515B">
        <w:rPr>
          <w:rFonts w:ascii="Arial" w:eastAsia="Calibri" w:hAnsi="Arial" w:cs="Arial"/>
          <w:color w:val="000000" w:themeColor="text1"/>
          <w:sz w:val="22"/>
          <w:lang w:val="es-ES_tradnl"/>
        </w:rPr>
        <w:t xml:space="preserve"> para los </w:t>
      </w:r>
      <w:r w:rsidR="00BF38C7" w:rsidRPr="00F8515B">
        <w:rPr>
          <w:rFonts w:ascii="Arial" w:eastAsia="Calibri" w:hAnsi="Arial" w:cs="Arial"/>
          <w:i/>
          <w:iCs/>
          <w:color w:val="000000" w:themeColor="text1"/>
          <w:sz w:val="22"/>
          <w:lang w:val="es-ES_tradnl"/>
        </w:rPr>
        <w:t>contratos de colaboración</w:t>
      </w:r>
      <w:r w:rsidR="00BF38C7" w:rsidRPr="00F8515B">
        <w:rPr>
          <w:rFonts w:ascii="Arial" w:eastAsia="Calibri" w:hAnsi="Arial" w:cs="Arial"/>
          <w:color w:val="000000" w:themeColor="text1"/>
          <w:sz w:val="22"/>
          <w:lang w:val="es-ES_tradnl"/>
        </w:rPr>
        <w:t xml:space="preserve"> en virtud de la suspensión provisional del inciso final del artículo 4 del Decreto 92 de 2017. </w:t>
      </w:r>
    </w:p>
    <w:p w14:paraId="2EB2320D" w14:textId="5C611C7C" w:rsidR="00264924" w:rsidRPr="00F8515B" w:rsidRDefault="009C375E" w:rsidP="00436F9D">
      <w:pPr>
        <w:spacing w:after="120"/>
        <w:ind w:firstLine="709"/>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 xml:space="preserve">Por otra parte, considerando la naturaleza jurídica de las partes, los convenios </w:t>
      </w:r>
      <w:bookmarkStart w:id="65" w:name="_Hlk93407688"/>
      <w:r w:rsidRPr="00F8515B">
        <w:rPr>
          <w:rFonts w:ascii="Arial" w:eastAsia="Calibri" w:hAnsi="Arial" w:cs="Arial"/>
          <w:color w:val="000000" w:themeColor="text1"/>
          <w:sz w:val="22"/>
          <w:lang w:val="es-ES_tradnl"/>
        </w:rPr>
        <w:t xml:space="preserve">del </w:t>
      </w:r>
      <w:r w:rsidR="002F3CF5" w:rsidRPr="00F8515B">
        <w:rPr>
          <w:rFonts w:ascii="Arial" w:eastAsia="Calibri" w:hAnsi="Arial" w:cs="Arial"/>
          <w:color w:val="000000" w:themeColor="text1"/>
          <w:sz w:val="22"/>
          <w:lang w:val="es-ES_tradnl"/>
        </w:rPr>
        <w:t xml:space="preserve">artículo </w:t>
      </w:r>
      <w:r w:rsidR="007D65AC" w:rsidRPr="00F8515B">
        <w:rPr>
          <w:rFonts w:ascii="Arial" w:eastAsia="Calibri" w:hAnsi="Arial" w:cs="Arial"/>
          <w:color w:val="000000" w:themeColor="text1"/>
          <w:sz w:val="22"/>
          <w:lang w:val="es-ES_tradnl"/>
        </w:rPr>
        <w:t xml:space="preserve">77 de la ley 9 de 1989 </w:t>
      </w:r>
      <w:bookmarkEnd w:id="65"/>
      <w:r w:rsidRPr="00F8515B">
        <w:rPr>
          <w:rFonts w:ascii="Arial" w:eastAsia="Calibri" w:hAnsi="Arial" w:cs="Arial"/>
          <w:color w:val="000000" w:themeColor="text1"/>
          <w:sz w:val="22"/>
          <w:lang w:val="es-ES_tradnl"/>
        </w:rPr>
        <w:t xml:space="preserve">entre las entidades territoriales </w:t>
      </w:r>
      <w:r w:rsidR="00DD2D47" w:rsidRPr="00F8515B">
        <w:rPr>
          <w:rFonts w:ascii="Arial" w:eastAsia="Calibri" w:hAnsi="Arial" w:cs="Arial"/>
          <w:color w:val="000000" w:themeColor="text1"/>
          <w:sz w:val="22"/>
          <w:lang w:val="es-ES_tradnl"/>
        </w:rPr>
        <w:t xml:space="preserve">y </w:t>
      </w:r>
      <w:r w:rsidR="007D65AC" w:rsidRPr="00F8515B">
        <w:rPr>
          <w:rFonts w:ascii="Arial" w:eastAsia="Calibri" w:hAnsi="Arial" w:cs="Arial"/>
          <w:color w:val="000000" w:themeColor="text1"/>
          <w:sz w:val="22"/>
          <w:lang w:val="es-ES_tradnl"/>
        </w:rPr>
        <w:t>otras entidades públicas,</w:t>
      </w:r>
      <w:r w:rsidR="00436F9D" w:rsidRPr="00F8515B">
        <w:rPr>
          <w:rFonts w:ascii="Arial" w:eastAsia="Calibri" w:hAnsi="Arial" w:cs="Arial"/>
          <w:color w:val="000000" w:themeColor="text1"/>
          <w:sz w:val="22"/>
          <w:lang w:val="es-ES_tradnl"/>
        </w:rPr>
        <w:t xml:space="preserve"> </w:t>
      </w:r>
      <w:r w:rsidRPr="00F8515B">
        <w:rPr>
          <w:rFonts w:ascii="Arial" w:eastAsia="Calibri" w:hAnsi="Arial" w:cs="Arial"/>
          <w:color w:val="000000" w:themeColor="text1"/>
          <w:sz w:val="22"/>
          <w:lang w:val="es-ES_tradnl"/>
        </w:rPr>
        <w:t>est</w:t>
      </w:r>
      <w:r w:rsidR="007D65AC" w:rsidRPr="00F8515B">
        <w:rPr>
          <w:rFonts w:ascii="Arial" w:eastAsia="Calibri" w:hAnsi="Arial" w:cs="Arial"/>
          <w:color w:val="000000" w:themeColor="text1"/>
          <w:sz w:val="22"/>
          <w:lang w:val="es-ES_tradnl"/>
        </w:rPr>
        <w:t>arían</w:t>
      </w:r>
      <w:r w:rsidRPr="00F8515B">
        <w:rPr>
          <w:rFonts w:ascii="Arial" w:eastAsia="Calibri" w:hAnsi="Arial" w:cs="Arial"/>
          <w:color w:val="000000" w:themeColor="text1"/>
          <w:sz w:val="22"/>
          <w:lang w:val="es-ES_tradnl"/>
        </w:rPr>
        <w:t xml:space="preserve"> dentro de la restricción del </w:t>
      </w:r>
      <w:r w:rsidR="00436F9D" w:rsidRPr="00F8515B">
        <w:rPr>
          <w:rFonts w:ascii="Arial" w:eastAsia="Calibri" w:hAnsi="Arial" w:cs="Arial"/>
          <w:color w:val="000000" w:themeColor="text1"/>
          <w:sz w:val="22"/>
          <w:lang w:val="es-ES_tradnl"/>
        </w:rPr>
        <w:t xml:space="preserve">parágrafo del </w:t>
      </w:r>
      <w:r w:rsidRPr="00F8515B">
        <w:rPr>
          <w:rFonts w:ascii="Arial" w:eastAsia="Calibri" w:hAnsi="Arial" w:cs="Arial"/>
          <w:color w:val="000000" w:themeColor="text1"/>
          <w:sz w:val="22"/>
          <w:lang w:val="es-ES_tradnl"/>
        </w:rPr>
        <w:t>artículo 38 de la Ley de Garantías,</w:t>
      </w:r>
      <w:r w:rsidR="00B0312C" w:rsidRPr="00F8515B">
        <w:rPr>
          <w:rFonts w:ascii="Arial" w:eastAsia="Calibri" w:hAnsi="Arial" w:cs="Arial"/>
          <w:color w:val="000000" w:themeColor="text1"/>
          <w:sz w:val="22"/>
          <w:lang w:val="es-ES_tradnl"/>
        </w:rPr>
        <w:t xml:space="preserve"> modificado transitoriamente por el artículo 124 de la Ley de Presupuesto</w:t>
      </w:r>
      <w:r w:rsidR="00645EF8" w:rsidRPr="00F8515B">
        <w:rPr>
          <w:rFonts w:ascii="Arial" w:eastAsia="Calibri" w:hAnsi="Arial" w:cs="Arial"/>
          <w:color w:val="000000" w:themeColor="text1"/>
          <w:sz w:val="22"/>
          <w:lang w:val="es-ES_tradnl"/>
        </w:rPr>
        <w:t>.</w:t>
      </w:r>
      <w:r w:rsidR="00436F9D" w:rsidRPr="00F8515B">
        <w:rPr>
          <w:rFonts w:ascii="Arial" w:eastAsia="Calibri" w:hAnsi="Arial" w:cs="Arial"/>
          <w:color w:val="000000" w:themeColor="text1"/>
          <w:sz w:val="22"/>
          <w:lang w:val="es-ES_tradnl"/>
        </w:rPr>
        <w:t xml:space="preserve"> No, ocurriría lo mismo si la </w:t>
      </w:r>
      <w:r w:rsidR="0055201A" w:rsidRPr="00F8515B">
        <w:rPr>
          <w:rFonts w:ascii="Arial" w:eastAsia="Calibri" w:hAnsi="Arial" w:cs="Arial"/>
          <w:color w:val="000000" w:themeColor="text1"/>
          <w:sz w:val="22"/>
          <w:lang w:val="es-ES_tradnl"/>
        </w:rPr>
        <w:t>otra parte es un particular, pues dejarían de ser convenios interadministrativos</w:t>
      </w:r>
      <w:r w:rsidR="00082DAD" w:rsidRPr="00F8515B">
        <w:rPr>
          <w:rFonts w:ascii="Arial" w:eastAsia="Calibri" w:hAnsi="Arial" w:cs="Arial"/>
          <w:color w:val="000000" w:themeColor="text1"/>
          <w:sz w:val="22"/>
          <w:lang w:val="es-ES_tradnl"/>
        </w:rPr>
        <w:t xml:space="preserve">. Pero en este último caso, como se indicó, también aplicaría la prohibición establecida en el artículo 33 de la ley 996 de 2005, si el convenio se </w:t>
      </w:r>
      <w:r w:rsidR="004A1C14" w:rsidRPr="00F8515B">
        <w:rPr>
          <w:rFonts w:ascii="Arial" w:eastAsia="Calibri" w:hAnsi="Arial" w:cs="Arial"/>
          <w:color w:val="000000" w:themeColor="text1"/>
          <w:sz w:val="22"/>
          <w:lang w:val="es-ES_tradnl"/>
        </w:rPr>
        <w:t xml:space="preserve">pretende </w:t>
      </w:r>
      <w:r w:rsidR="00082DAD" w:rsidRPr="00F8515B">
        <w:rPr>
          <w:rFonts w:ascii="Arial" w:eastAsia="Calibri" w:hAnsi="Arial" w:cs="Arial"/>
          <w:color w:val="000000" w:themeColor="text1"/>
          <w:sz w:val="22"/>
          <w:lang w:val="es-ES_tradnl"/>
        </w:rPr>
        <w:t>celebra</w:t>
      </w:r>
      <w:r w:rsidR="004A1C14" w:rsidRPr="00F8515B">
        <w:rPr>
          <w:rFonts w:ascii="Arial" w:eastAsia="Calibri" w:hAnsi="Arial" w:cs="Arial"/>
          <w:color w:val="000000" w:themeColor="text1"/>
          <w:sz w:val="22"/>
          <w:lang w:val="es-ES_tradnl"/>
        </w:rPr>
        <w:t>s</w:t>
      </w:r>
      <w:r w:rsidR="00082DAD" w:rsidRPr="00F8515B">
        <w:rPr>
          <w:rFonts w:ascii="Arial" w:eastAsia="Calibri" w:hAnsi="Arial" w:cs="Arial"/>
          <w:color w:val="000000" w:themeColor="text1"/>
          <w:sz w:val="22"/>
          <w:lang w:val="es-ES_tradnl"/>
        </w:rPr>
        <w:t xml:space="preserve"> de manera directa.</w:t>
      </w:r>
      <w:r w:rsidR="00436F9D" w:rsidRPr="00F8515B">
        <w:rPr>
          <w:rFonts w:ascii="Arial" w:eastAsia="Calibri" w:hAnsi="Arial" w:cs="Arial"/>
          <w:color w:val="000000" w:themeColor="text1"/>
          <w:sz w:val="22"/>
          <w:lang w:val="es-ES_tradnl"/>
        </w:rPr>
        <w:t xml:space="preserve"> </w:t>
      </w:r>
      <w:r w:rsidR="00645EF8" w:rsidRPr="00F8515B">
        <w:rPr>
          <w:rFonts w:ascii="Arial" w:eastAsia="Calibri" w:hAnsi="Arial" w:cs="Arial"/>
          <w:color w:val="000000" w:themeColor="text1"/>
          <w:sz w:val="22"/>
          <w:lang w:val="es-ES_tradnl"/>
        </w:rPr>
        <w:t xml:space="preserve"> </w:t>
      </w:r>
    </w:p>
    <w:p w14:paraId="0384BA85" w14:textId="77777777" w:rsidR="00B0312C" w:rsidRPr="00F8515B" w:rsidRDefault="00B0312C" w:rsidP="00B0312C">
      <w:pPr>
        <w:spacing w:after="0"/>
        <w:ind w:firstLine="709"/>
        <w:rPr>
          <w:rFonts w:ascii="Arial" w:eastAsia="Calibri" w:hAnsi="Arial" w:cs="Arial"/>
          <w:color w:val="000000" w:themeColor="text1"/>
          <w:sz w:val="22"/>
          <w:lang w:val="es-ES_tradnl"/>
        </w:rPr>
      </w:pPr>
    </w:p>
    <w:p w14:paraId="52ACB68C" w14:textId="65210C65" w:rsidR="001C1A26" w:rsidRPr="00F8515B" w:rsidRDefault="00231E50" w:rsidP="00264924">
      <w:pPr>
        <w:spacing w:after="0"/>
        <w:rPr>
          <w:rFonts w:ascii="Arial" w:eastAsia="Calibri" w:hAnsi="Arial" w:cs="Arial"/>
          <w:b/>
          <w:color w:val="000000" w:themeColor="text1"/>
          <w:sz w:val="22"/>
          <w:lang w:val="es-ES_tradnl"/>
        </w:rPr>
      </w:pPr>
      <w:r w:rsidRPr="00F8515B">
        <w:rPr>
          <w:rFonts w:ascii="Arial" w:eastAsia="Calibri" w:hAnsi="Arial" w:cs="Arial"/>
          <w:b/>
          <w:color w:val="000000" w:themeColor="text1"/>
          <w:sz w:val="22"/>
          <w:lang w:val="es-ES_tradnl"/>
        </w:rPr>
        <w:t>3</w:t>
      </w:r>
      <w:r w:rsidR="00CF2AA3" w:rsidRPr="00F8515B">
        <w:rPr>
          <w:rFonts w:ascii="Arial" w:eastAsia="Calibri" w:hAnsi="Arial" w:cs="Arial"/>
          <w:b/>
          <w:color w:val="000000" w:themeColor="text1"/>
          <w:sz w:val="22"/>
          <w:lang w:val="es-ES_tradnl"/>
        </w:rPr>
        <w:t>. Respuest</w:t>
      </w:r>
      <w:r w:rsidR="001C1A26" w:rsidRPr="00F8515B">
        <w:rPr>
          <w:rFonts w:ascii="Arial" w:eastAsia="Calibri" w:hAnsi="Arial" w:cs="Arial"/>
          <w:b/>
          <w:color w:val="000000" w:themeColor="text1"/>
          <w:sz w:val="22"/>
          <w:lang w:val="es-ES_tradnl"/>
        </w:rPr>
        <w:t>a</w:t>
      </w:r>
    </w:p>
    <w:p w14:paraId="79A8F50A" w14:textId="77777777" w:rsidR="00264924" w:rsidRPr="00F8515B" w:rsidRDefault="00264924" w:rsidP="000641BE">
      <w:pPr>
        <w:spacing w:after="0"/>
        <w:rPr>
          <w:rFonts w:ascii="Arial" w:eastAsia="Calibri" w:hAnsi="Arial" w:cs="Arial"/>
          <w:bCs/>
          <w:color w:val="000000" w:themeColor="text1"/>
          <w:sz w:val="22"/>
          <w:lang w:val="es-ES_tradnl"/>
        </w:rPr>
      </w:pPr>
    </w:p>
    <w:p w14:paraId="763D804E" w14:textId="167E9C02" w:rsidR="001C1A26" w:rsidRPr="00F8515B" w:rsidRDefault="00863AF7" w:rsidP="000A1DA7">
      <w:pPr>
        <w:spacing w:after="0" w:line="240" w:lineRule="auto"/>
        <w:ind w:left="709" w:right="709"/>
        <w:rPr>
          <w:rFonts w:ascii="Arial" w:eastAsia="Times New Roman" w:hAnsi="Arial" w:cs="Arial"/>
          <w:color w:val="000000" w:themeColor="text1"/>
          <w:sz w:val="21"/>
          <w:szCs w:val="21"/>
          <w:shd w:val="clear" w:color="auto" w:fill="FFFFFF"/>
          <w:lang w:val="es-ES_tradnl" w:eastAsia="es-CO"/>
        </w:rPr>
      </w:pPr>
      <w:r w:rsidRPr="00F8515B">
        <w:rPr>
          <w:rFonts w:ascii="Arial" w:eastAsia="Times New Roman" w:hAnsi="Arial" w:cs="Arial"/>
          <w:color w:val="000000" w:themeColor="text1"/>
          <w:sz w:val="21"/>
          <w:szCs w:val="21"/>
          <w:shd w:val="clear" w:color="auto" w:fill="FFFFFF"/>
          <w:lang w:val="es-ES_tradnl" w:eastAsia="es-CO"/>
        </w:rPr>
        <w:t>«[…] 1.  </w:t>
      </w:r>
      <w:proofErr w:type="gramStart"/>
      <w:r w:rsidRPr="00F8515B">
        <w:rPr>
          <w:rFonts w:ascii="Arial" w:eastAsia="Times New Roman" w:hAnsi="Arial" w:cs="Arial"/>
          <w:color w:val="000000" w:themeColor="text1"/>
          <w:sz w:val="21"/>
          <w:szCs w:val="21"/>
          <w:shd w:val="clear" w:color="auto" w:fill="FFFFFF"/>
          <w:lang w:val="es-ES_tradnl" w:eastAsia="es-CO"/>
        </w:rPr>
        <w:t>Afecta la vigencia de la Ley de Garantías la celebración de un Convenio Asociativo de Vivienda en este momento?</w:t>
      </w:r>
      <w:proofErr w:type="gramEnd"/>
      <w:r w:rsidRPr="00F8515B">
        <w:rPr>
          <w:rFonts w:ascii="Arial" w:eastAsia="Times New Roman" w:hAnsi="Arial" w:cs="Arial"/>
          <w:color w:val="000000" w:themeColor="text1"/>
          <w:sz w:val="21"/>
          <w:szCs w:val="21"/>
          <w:shd w:val="clear" w:color="auto" w:fill="FFFFFF"/>
          <w:lang w:val="es-ES_tradnl" w:eastAsia="es-CO"/>
        </w:rPr>
        <w:t xml:space="preserve">» y ii) «2. </w:t>
      </w:r>
      <w:proofErr w:type="gramStart"/>
      <w:r w:rsidRPr="00F8515B">
        <w:rPr>
          <w:rFonts w:ascii="Arial" w:eastAsia="Times New Roman" w:hAnsi="Arial" w:cs="Arial"/>
          <w:color w:val="000000" w:themeColor="text1"/>
          <w:sz w:val="21"/>
          <w:szCs w:val="21"/>
          <w:shd w:val="clear" w:color="auto" w:fill="FFFFFF"/>
          <w:lang w:val="es-ES_tradnl" w:eastAsia="es-CO"/>
        </w:rPr>
        <w:t>De celebrarse el Convenio Asociativo con un privado, es condición sine qua non que se celebre con una entidad sin ánimo de lucro?</w:t>
      </w:r>
      <w:proofErr w:type="gramEnd"/>
      <w:r w:rsidRPr="00F8515B">
        <w:rPr>
          <w:rFonts w:ascii="Arial" w:eastAsia="Times New Roman" w:hAnsi="Arial" w:cs="Arial"/>
          <w:color w:val="000000" w:themeColor="text1"/>
          <w:sz w:val="21"/>
          <w:szCs w:val="21"/>
          <w:shd w:val="clear" w:color="auto" w:fill="FFFFFF"/>
          <w:lang w:val="es-ES_tradnl" w:eastAsia="es-CO"/>
        </w:rPr>
        <w:t>»</w:t>
      </w:r>
      <w:r w:rsidR="000A1DA7" w:rsidRPr="00F8515B">
        <w:rPr>
          <w:rFonts w:ascii="Arial" w:eastAsia="Times New Roman" w:hAnsi="Arial" w:cs="Arial"/>
          <w:color w:val="000000" w:themeColor="text1"/>
          <w:sz w:val="21"/>
          <w:szCs w:val="21"/>
          <w:shd w:val="clear" w:color="auto" w:fill="FFFFFF"/>
          <w:lang w:val="es-ES_tradnl" w:eastAsia="es-CO"/>
        </w:rPr>
        <w:t>.</w:t>
      </w:r>
      <w:bookmarkStart w:id="66" w:name="_Hlk57650395"/>
    </w:p>
    <w:p w14:paraId="6C647347" w14:textId="77777777" w:rsidR="00C7127A" w:rsidRPr="00F8515B" w:rsidRDefault="00C7127A" w:rsidP="000641BE">
      <w:pPr>
        <w:spacing w:after="0"/>
        <w:ind w:right="709"/>
        <w:rPr>
          <w:rFonts w:ascii="Arial" w:eastAsia="Times New Roman" w:hAnsi="Arial" w:cs="Arial"/>
          <w:color w:val="000000" w:themeColor="text1"/>
          <w:sz w:val="22"/>
          <w:lang w:val="es-ES_tradnl" w:eastAsia="es-ES_tradnl"/>
        </w:rPr>
      </w:pPr>
    </w:p>
    <w:p w14:paraId="505D86B7" w14:textId="4E4F70FA" w:rsidR="003B6EE4" w:rsidRPr="00F8515B" w:rsidRDefault="002E1888" w:rsidP="003B6EE4">
      <w:pPr>
        <w:spacing w:after="120"/>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De acuerdo con la interpretación de las normas generales del sistema de compras públicas, s</w:t>
      </w:r>
      <w:r w:rsidR="003B6EE4" w:rsidRPr="00F8515B">
        <w:rPr>
          <w:rFonts w:ascii="Arial" w:eastAsia="Calibri" w:hAnsi="Arial" w:cs="Arial"/>
          <w:color w:val="000000" w:themeColor="text1"/>
          <w:sz w:val="22"/>
          <w:lang w:val="es-ES_tradnl"/>
        </w:rPr>
        <w:t xml:space="preserve">in perjuicio de que cada entidad estatal defina la viabilidad técnica, jurídica y financiera de celebrar determinado negocio jurídico en específico, </w:t>
      </w:r>
      <w:r w:rsidR="00DD1BDA" w:rsidRPr="00F8515B">
        <w:rPr>
          <w:rFonts w:ascii="Arial" w:eastAsia="Calibri" w:hAnsi="Arial" w:cs="Arial"/>
          <w:color w:val="000000" w:themeColor="text1"/>
          <w:sz w:val="22"/>
          <w:lang w:val="es-ES_tradnl"/>
        </w:rPr>
        <w:t xml:space="preserve">se considera que el artículo 77 de la Ley 9 de 1989, adicionado por el artículo 138 de la Ley 388 de 1997, no </w:t>
      </w:r>
      <w:r w:rsidR="003B6EE4" w:rsidRPr="00F8515B">
        <w:rPr>
          <w:rFonts w:ascii="Arial" w:eastAsia="Calibri" w:hAnsi="Arial" w:cs="Arial"/>
          <w:color w:val="000000" w:themeColor="text1"/>
          <w:sz w:val="22"/>
          <w:lang w:val="es-ES_tradnl"/>
        </w:rPr>
        <w:t xml:space="preserve">dispone </w:t>
      </w:r>
      <w:r w:rsidR="00DD1BDA" w:rsidRPr="00F8515B">
        <w:rPr>
          <w:rFonts w:ascii="Arial" w:eastAsia="Calibri" w:hAnsi="Arial" w:cs="Arial"/>
          <w:color w:val="000000" w:themeColor="text1"/>
          <w:sz w:val="22"/>
          <w:lang w:val="es-ES_tradnl"/>
        </w:rPr>
        <w:t>que</w:t>
      </w:r>
      <w:r w:rsidR="003B6EE4" w:rsidRPr="00F8515B">
        <w:rPr>
          <w:rFonts w:ascii="Arial" w:eastAsia="Calibri" w:hAnsi="Arial" w:cs="Arial"/>
          <w:color w:val="000000" w:themeColor="text1"/>
          <w:sz w:val="22"/>
          <w:lang w:val="es-ES_tradnl"/>
        </w:rPr>
        <w:t xml:space="preserve"> </w:t>
      </w:r>
      <w:r w:rsidR="00DD1BDA" w:rsidRPr="00F8515B">
        <w:rPr>
          <w:rFonts w:ascii="Arial" w:eastAsia="Calibri" w:hAnsi="Arial" w:cs="Arial"/>
          <w:color w:val="000000" w:themeColor="text1"/>
          <w:sz w:val="22"/>
          <w:lang w:val="es-ES_tradnl"/>
        </w:rPr>
        <w:t>los convenios aludidos están sometidos a un régimen especial</w:t>
      </w:r>
      <w:r w:rsidR="00AB698D" w:rsidRPr="00F8515B">
        <w:rPr>
          <w:rFonts w:ascii="Arial" w:eastAsia="Calibri" w:hAnsi="Arial" w:cs="Arial"/>
          <w:color w:val="000000" w:themeColor="text1"/>
          <w:sz w:val="22"/>
          <w:lang w:val="es-ES_tradnl"/>
        </w:rPr>
        <w:t>.</w:t>
      </w:r>
      <w:r w:rsidR="00DD1BDA" w:rsidRPr="00F8515B">
        <w:rPr>
          <w:rFonts w:ascii="Arial" w:eastAsia="Calibri" w:hAnsi="Arial" w:cs="Arial"/>
          <w:color w:val="000000" w:themeColor="text1"/>
          <w:sz w:val="22"/>
          <w:lang w:val="es-ES_tradnl"/>
        </w:rPr>
        <w:t xml:space="preserve"> </w:t>
      </w:r>
      <w:r w:rsidR="00AB698D" w:rsidRPr="00F8515B">
        <w:rPr>
          <w:rFonts w:ascii="Arial" w:eastAsia="Calibri" w:hAnsi="Arial" w:cs="Arial"/>
          <w:color w:val="000000" w:themeColor="text1"/>
          <w:sz w:val="22"/>
          <w:lang w:val="es-ES_tradnl"/>
        </w:rPr>
        <w:t>L</w:t>
      </w:r>
      <w:r w:rsidR="00DD1BDA" w:rsidRPr="00F8515B">
        <w:rPr>
          <w:rFonts w:ascii="Arial" w:eastAsia="Calibri" w:hAnsi="Arial" w:cs="Arial"/>
          <w:color w:val="000000" w:themeColor="text1"/>
          <w:sz w:val="22"/>
          <w:lang w:val="es-ES_tradnl"/>
        </w:rPr>
        <w:t>uego</w:t>
      </w:r>
      <w:r w:rsidR="00AB698D" w:rsidRPr="00F8515B">
        <w:rPr>
          <w:rFonts w:ascii="Arial" w:eastAsia="Calibri" w:hAnsi="Arial" w:cs="Arial"/>
          <w:color w:val="000000" w:themeColor="text1"/>
          <w:sz w:val="22"/>
          <w:lang w:val="es-ES_tradnl"/>
        </w:rPr>
        <w:t>,</w:t>
      </w:r>
      <w:r w:rsidR="00DD1BDA" w:rsidRPr="00F8515B">
        <w:rPr>
          <w:rFonts w:ascii="Arial" w:eastAsia="Calibri" w:hAnsi="Arial" w:cs="Arial"/>
          <w:color w:val="000000" w:themeColor="text1"/>
          <w:sz w:val="22"/>
          <w:lang w:val="es-ES_tradnl"/>
        </w:rPr>
        <w:t xml:space="preserve"> </w:t>
      </w:r>
      <w:r w:rsidR="003B6EE4" w:rsidRPr="00F8515B">
        <w:rPr>
          <w:rFonts w:ascii="Arial" w:eastAsia="Calibri" w:hAnsi="Arial" w:cs="Arial"/>
          <w:color w:val="000000" w:themeColor="text1"/>
          <w:sz w:val="22"/>
          <w:lang w:val="es-ES_tradnl"/>
        </w:rPr>
        <w:t>corresponde</w:t>
      </w:r>
      <w:r w:rsidR="00DD1BDA" w:rsidRPr="00F8515B">
        <w:rPr>
          <w:rFonts w:ascii="Arial" w:eastAsia="Calibri" w:hAnsi="Arial" w:cs="Arial"/>
          <w:color w:val="000000" w:themeColor="text1"/>
          <w:sz w:val="22"/>
          <w:lang w:val="es-ES_tradnl"/>
        </w:rPr>
        <w:t xml:space="preserve">rá aplicar las normas generales de contratación, ya sea que los mismos sean convenios interadministrativos por celebrarse entre entidades públicas o convenios de asociación con particulares, sean estos últimos con ánimo o sin ánimo de lucro, </w:t>
      </w:r>
      <w:r w:rsidRPr="00F8515B">
        <w:rPr>
          <w:rFonts w:ascii="Arial" w:eastAsia="Calibri" w:hAnsi="Arial" w:cs="Arial"/>
          <w:color w:val="000000" w:themeColor="text1"/>
          <w:sz w:val="22"/>
          <w:lang w:val="es-ES_tradnl"/>
        </w:rPr>
        <w:t>para efectos de la aplicación de la Ley de Garantías</w:t>
      </w:r>
      <w:r w:rsidR="003B6EE4" w:rsidRPr="00F8515B">
        <w:rPr>
          <w:rFonts w:ascii="Arial" w:eastAsia="Calibri" w:hAnsi="Arial" w:cs="Arial"/>
          <w:color w:val="000000" w:themeColor="text1"/>
          <w:sz w:val="22"/>
          <w:lang w:val="es-ES_tradnl"/>
        </w:rPr>
        <w:t xml:space="preserve">. En este contexto, </w:t>
      </w:r>
      <w:r w:rsidR="0055201A" w:rsidRPr="00F8515B">
        <w:rPr>
          <w:rFonts w:ascii="Arial" w:eastAsia="Calibri" w:hAnsi="Arial" w:cs="Arial"/>
          <w:color w:val="000000" w:themeColor="text1"/>
          <w:sz w:val="22"/>
          <w:lang w:val="es-ES_tradnl"/>
        </w:rPr>
        <w:t xml:space="preserve">la </w:t>
      </w:r>
      <w:r w:rsidR="0055201A" w:rsidRPr="00F8515B">
        <w:rPr>
          <w:rFonts w:ascii="Arial" w:eastAsia="Calibri" w:hAnsi="Arial" w:cs="Arial"/>
          <w:color w:val="000000" w:themeColor="text1"/>
          <w:sz w:val="22"/>
          <w:lang w:val="es-ES_tradnl"/>
        </w:rPr>
        <w:lastRenderedPageBreak/>
        <w:t xml:space="preserve">prohibición de contratación directa del artículo 33 de la Ley de Garantías aplicaría a los convenios interadministrativos, a los convenios con particulares y a los convenios con ESAL, cuya celebración se rija por procedimientos no competitivos, según como se explicó en las consideraciones del numeral 2.6 ut supra.  </w:t>
      </w:r>
    </w:p>
    <w:p w14:paraId="7EB9D2B4" w14:textId="1B67DF9C" w:rsidR="001C1A26" w:rsidRPr="00F8515B" w:rsidRDefault="003B6EE4" w:rsidP="002E1888">
      <w:pPr>
        <w:spacing w:after="120"/>
        <w:ind w:firstLine="709"/>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De esta manera,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F8515B">
        <w:rPr>
          <w:rFonts w:ascii="Arial" w:eastAsia="Calibri" w:hAnsi="Arial" w:cs="Arial"/>
          <w:color w:val="000000" w:themeColor="text1"/>
          <w:sz w:val="21"/>
          <w:szCs w:val="21"/>
          <w:lang w:val="es-ES_tradnl"/>
        </w:rPr>
        <w:t xml:space="preserve"> </w:t>
      </w:r>
      <w:r w:rsidRPr="00F8515B">
        <w:rPr>
          <w:rFonts w:ascii="Arial" w:eastAsia="Calibri" w:hAnsi="Arial" w:cs="Arial"/>
          <w:color w:val="000000" w:themeColor="text1"/>
          <w:sz w:val="22"/>
          <w:lang w:val="es-ES_tradnl"/>
        </w:rPr>
        <w:t xml:space="preserve">En contraste, la restricción citada no aplicaría a los </w:t>
      </w:r>
      <w:r w:rsidRPr="00F8515B">
        <w:rPr>
          <w:rFonts w:ascii="Arial" w:eastAsia="Calibri" w:hAnsi="Arial" w:cs="Arial"/>
          <w:i/>
          <w:iCs/>
          <w:color w:val="000000" w:themeColor="text1"/>
          <w:sz w:val="22"/>
          <w:lang w:val="es-ES_tradnl"/>
        </w:rPr>
        <w:t>contratos de colaboración</w:t>
      </w:r>
      <w:r w:rsidRPr="00F8515B">
        <w:rPr>
          <w:rFonts w:ascii="Arial" w:eastAsia="Calibri" w:hAnsi="Arial" w:cs="Arial"/>
          <w:color w:val="000000" w:themeColor="text1"/>
          <w:sz w:val="22"/>
          <w:lang w:val="es-ES_tradnl"/>
        </w:rPr>
        <w:t xml:space="preserve"> o los </w:t>
      </w:r>
      <w:r w:rsidRPr="00F8515B">
        <w:rPr>
          <w:rFonts w:ascii="Arial" w:eastAsia="Calibri" w:hAnsi="Arial" w:cs="Arial"/>
          <w:i/>
          <w:iCs/>
          <w:color w:val="000000" w:themeColor="text1"/>
          <w:sz w:val="22"/>
          <w:lang w:val="es-ES_tradnl"/>
        </w:rPr>
        <w:t>convenios de asociación</w:t>
      </w:r>
      <w:r w:rsidRPr="00F8515B">
        <w:rPr>
          <w:rFonts w:ascii="Arial" w:eastAsia="Calibri" w:hAnsi="Arial" w:cs="Arial"/>
          <w:color w:val="000000" w:themeColor="text1"/>
          <w:sz w:val="22"/>
          <w:lang w:val="es-ES_tradnl"/>
        </w:rPr>
        <w:t xml:space="preserve"> que celebren las entidades territoriales y entidades privadas sin ánimo de lucro bajo el procedimiento competitivo, pues este supone la pluralidad de oferentes y la selección objetiva del contratista</w:t>
      </w:r>
      <w:r w:rsidR="00824D50" w:rsidRPr="00F8515B">
        <w:rPr>
          <w:rFonts w:ascii="Arial" w:eastAsia="Calibri" w:hAnsi="Arial" w:cs="Arial"/>
          <w:color w:val="000000" w:themeColor="text1"/>
          <w:sz w:val="22"/>
          <w:lang w:val="es-ES_tradnl"/>
        </w:rPr>
        <w:t xml:space="preserve">. </w:t>
      </w:r>
    </w:p>
    <w:p w14:paraId="53E782E9" w14:textId="77777777" w:rsidR="004774B6" w:rsidRPr="00F8515B" w:rsidRDefault="002E1888" w:rsidP="004774B6">
      <w:pPr>
        <w:spacing w:after="120"/>
        <w:ind w:firstLine="709"/>
        <w:rPr>
          <w:rFonts w:ascii="Arial" w:eastAsia="Calibri" w:hAnsi="Arial" w:cs="Arial"/>
          <w:color w:val="000000" w:themeColor="text1"/>
          <w:sz w:val="22"/>
          <w:lang w:val="es-ES_tradnl"/>
        </w:rPr>
      </w:pPr>
      <w:r w:rsidRPr="00F8515B">
        <w:rPr>
          <w:rFonts w:ascii="Arial" w:eastAsia="Calibri" w:hAnsi="Arial" w:cs="Arial"/>
          <w:color w:val="000000" w:themeColor="text1"/>
          <w:sz w:val="22"/>
          <w:lang w:val="es-ES_tradnl"/>
        </w:rPr>
        <w:t>Por otra parte, considerando la naturaleza jurídica de las partes, los convenios entre las entidades territoriales y</w:t>
      </w:r>
      <w:r w:rsidR="00C3491D" w:rsidRPr="00F8515B">
        <w:rPr>
          <w:rFonts w:ascii="Arial" w:eastAsia="Calibri" w:hAnsi="Arial" w:cs="Arial"/>
          <w:color w:val="000000" w:themeColor="text1"/>
          <w:sz w:val="22"/>
          <w:lang w:val="es-ES_tradnl"/>
        </w:rPr>
        <w:t xml:space="preserve"> otras entidades públicas </w:t>
      </w:r>
      <w:r w:rsidRPr="00F8515B">
        <w:rPr>
          <w:rFonts w:ascii="Arial" w:eastAsia="Calibri" w:hAnsi="Arial" w:cs="Arial"/>
          <w:color w:val="000000" w:themeColor="text1"/>
          <w:sz w:val="22"/>
          <w:lang w:val="es-ES_tradnl"/>
        </w:rPr>
        <w:t xml:space="preserve">se calificarían como </w:t>
      </w:r>
      <w:r w:rsidR="00C3491D" w:rsidRPr="00F8515B">
        <w:rPr>
          <w:rFonts w:ascii="Arial" w:eastAsia="Calibri" w:hAnsi="Arial" w:cs="Arial"/>
          <w:color w:val="000000" w:themeColor="text1"/>
          <w:sz w:val="22"/>
          <w:lang w:val="es-ES_tradnl"/>
        </w:rPr>
        <w:t xml:space="preserve">convenios o </w:t>
      </w:r>
      <w:r w:rsidRPr="00F8515B">
        <w:rPr>
          <w:rFonts w:ascii="Arial" w:eastAsia="Calibri" w:hAnsi="Arial" w:cs="Arial"/>
          <w:color w:val="000000" w:themeColor="text1"/>
          <w:sz w:val="22"/>
          <w:lang w:val="es-ES_tradnl"/>
        </w:rPr>
        <w:t>contratos interadministrativos. Al respecto, esta última tipología contractual fue creada en la Ley 80 de 1993 y, aunque no la definió ni desarrolló, el Decreto 1082 de 2015 califica a los convenios o contratos interadministrativos como aquella contratación entre entidades estatales.</w:t>
      </w:r>
      <w:r w:rsidRPr="00F8515B">
        <w:rPr>
          <w:rFonts w:ascii="Arial" w:hAnsi="Arial" w:cs="Arial"/>
          <w:color w:val="000000" w:themeColor="text1"/>
          <w:sz w:val="22"/>
          <w:lang w:val="es-ES_tradnl"/>
        </w:rPr>
        <w:t xml:space="preserve"> </w:t>
      </w:r>
      <w:r w:rsidRPr="00F8515B">
        <w:rPr>
          <w:rFonts w:ascii="Arial" w:eastAsia="Calibri" w:hAnsi="Arial" w:cs="Arial"/>
          <w:color w:val="000000" w:themeColor="text1"/>
          <w:sz w:val="22"/>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r w:rsidR="00C3491D" w:rsidRPr="00F8515B">
        <w:rPr>
          <w:rFonts w:ascii="Arial" w:eastAsia="Calibri" w:hAnsi="Arial" w:cs="Arial"/>
          <w:color w:val="000000" w:themeColor="text1"/>
          <w:sz w:val="22"/>
          <w:lang w:val="es-ES_tradnl"/>
        </w:rPr>
        <w:t xml:space="preserve">Por lo anterior, además, estarían sometidos a la restricción del parágrafo del artículo 38 de la Ley de Garantías, modificado transitoriamente por el artículo 124 de la Ley de Presupuesto. </w:t>
      </w:r>
    </w:p>
    <w:p w14:paraId="19302002" w14:textId="77777777" w:rsidR="00717A45" w:rsidRPr="00F8515B" w:rsidRDefault="00717A45" w:rsidP="002E1888">
      <w:pPr>
        <w:spacing w:after="120"/>
        <w:rPr>
          <w:rFonts w:ascii="Arial" w:eastAsia="Calibri" w:hAnsi="Arial" w:cs="Arial"/>
          <w:color w:val="000000" w:themeColor="text1"/>
          <w:sz w:val="22"/>
          <w:lang w:val="es-ES_tradnl"/>
        </w:rPr>
      </w:pPr>
    </w:p>
    <w:p w14:paraId="06025F48" w14:textId="67393842" w:rsidR="00506085" w:rsidRPr="00F8515B" w:rsidRDefault="00506085" w:rsidP="0006331A">
      <w:pPr>
        <w:spacing w:after="0"/>
        <w:rPr>
          <w:rFonts w:ascii="Times New Roman" w:eastAsia="Times New Roman" w:hAnsi="Times New Roman" w:cs="Times New Roman"/>
          <w:color w:val="000000" w:themeColor="text1"/>
          <w:szCs w:val="24"/>
          <w:lang w:val="es-ES_tradnl" w:eastAsia="es-ES_tradnl"/>
        </w:rPr>
      </w:pPr>
      <w:r w:rsidRPr="00F8515B">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r w:rsidRPr="00F8515B">
        <w:rPr>
          <w:rFonts w:ascii="Arial" w:hAnsi="Arial" w:cs="Arial"/>
          <w:noProof/>
          <w:color w:val="000000" w:themeColor="text1"/>
          <w:lang w:val="es-ES_tradnl"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0827501E" w14:textId="77777777" w:rsidR="00717A45" w:rsidRPr="00F8515B" w:rsidRDefault="00717A45" w:rsidP="00717A45">
      <w:pPr>
        <w:spacing w:after="0"/>
        <w:rPr>
          <w:noProof/>
          <w:color w:val="000000" w:themeColor="text1"/>
          <w:lang w:val="es-ES_tradnl"/>
        </w:rPr>
      </w:pPr>
    </w:p>
    <w:p w14:paraId="240E0475" w14:textId="55B126B8" w:rsidR="00506085" w:rsidRPr="00F8515B" w:rsidRDefault="00506085" w:rsidP="00E7700C">
      <w:pPr>
        <w:rPr>
          <w:rFonts w:ascii="Arial" w:eastAsia="Times New Roman" w:hAnsi="Arial" w:cs="Arial"/>
          <w:color w:val="000000" w:themeColor="text1"/>
          <w:sz w:val="22"/>
          <w:lang w:val="es-ES_tradnl" w:eastAsia="es-CO"/>
        </w:rPr>
      </w:pPr>
      <w:r w:rsidRPr="00F8515B">
        <w:rPr>
          <w:rFonts w:ascii="Arial" w:eastAsia="Times New Roman" w:hAnsi="Arial" w:cs="Arial"/>
          <w:color w:val="000000" w:themeColor="text1"/>
          <w:sz w:val="22"/>
          <w:lang w:val="es-ES_tradnl" w:eastAsia="es-CO"/>
        </w:rPr>
        <w:t>Atentamente,</w:t>
      </w:r>
    </w:p>
    <w:p w14:paraId="300BE44C" w14:textId="00F4C437" w:rsidR="00843449" w:rsidRPr="00F8515B" w:rsidRDefault="00843449" w:rsidP="00E7700C">
      <w:pPr>
        <w:jc w:val="center"/>
        <w:rPr>
          <w:rFonts w:ascii="Arial" w:eastAsia="Times New Roman" w:hAnsi="Arial" w:cs="Arial"/>
          <w:color w:val="000000" w:themeColor="text1"/>
          <w:sz w:val="18"/>
          <w:szCs w:val="20"/>
          <w:highlight w:val="yellow"/>
          <w:lang w:val="es-ES_tradnl" w:eastAsia="es-CO"/>
        </w:rPr>
      </w:pPr>
    </w:p>
    <w:p w14:paraId="299FA360" w14:textId="716EE0B9" w:rsidR="009F596F" w:rsidRPr="00F8515B" w:rsidRDefault="00143600" w:rsidP="00311152">
      <w:pPr>
        <w:jc w:val="center"/>
        <w:rPr>
          <w:rFonts w:ascii="Arial" w:eastAsia="Times New Roman" w:hAnsi="Arial" w:cs="Arial"/>
          <w:color w:val="000000" w:themeColor="text1"/>
          <w:sz w:val="18"/>
          <w:szCs w:val="20"/>
          <w:highlight w:val="yellow"/>
          <w:lang w:val="es-ES_tradnl" w:eastAsia="es-CO"/>
        </w:rPr>
      </w:pPr>
      <w:r>
        <w:rPr>
          <w:noProof/>
        </w:rPr>
        <w:drawing>
          <wp:inline distT="0" distB="0" distL="0" distR="0" wp14:anchorId="45B00554" wp14:editId="0CC9458E">
            <wp:extent cx="2371725" cy="1000125"/>
            <wp:effectExtent l="0" t="0" r="0" b="0"/>
            <wp:docPr id="618322011" name="Imagen 6183220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22011" name="Imagen 61832201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D21B72" w:rsidRPr="00D67DD3" w14:paraId="59E26AD8" w14:textId="77777777" w:rsidTr="00DE279B">
        <w:trPr>
          <w:trHeight w:val="315"/>
        </w:trPr>
        <w:tc>
          <w:tcPr>
            <w:tcW w:w="812" w:type="dxa"/>
            <w:vAlign w:val="center"/>
            <w:hideMark/>
          </w:tcPr>
          <w:p w14:paraId="53421173" w14:textId="77777777" w:rsidR="00843449" w:rsidRPr="00F8515B" w:rsidRDefault="00843449"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Elaboró:</w:t>
            </w:r>
          </w:p>
        </w:tc>
        <w:tc>
          <w:tcPr>
            <w:tcW w:w="4291" w:type="dxa"/>
            <w:tcBorders>
              <w:top w:val="nil"/>
              <w:left w:val="nil"/>
              <w:bottom w:val="dotted" w:sz="4" w:space="0" w:color="7F7F7F" w:themeColor="text1" w:themeTint="80"/>
              <w:right w:val="nil"/>
            </w:tcBorders>
            <w:vAlign w:val="center"/>
            <w:hideMark/>
          </w:tcPr>
          <w:p w14:paraId="2D3A9930" w14:textId="77777777" w:rsidR="00717A45" w:rsidRPr="00F8515B" w:rsidRDefault="00717A45"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 xml:space="preserve">Felipe Bastidas Paredes </w:t>
            </w:r>
          </w:p>
          <w:p w14:paraId="3F63272B" w14:textId="02CA7D6E" w:rsidR="00843449" w:rsidRPr="00F8515B" w:rsidRDefault="00717A45"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Contratista de la Subdirección de Gestión Contractual</w:t>
            </w:r>
          </w:p>
        </w:tc>
      </w:tr>
      <w:tr w:rsidR="00D21B72" w:rsidRPr="00D67DD3" w14:paraId="363E18D7" w14:textId="77777777" w:rsidTr="00DE279B">
        <w:trPr>
          <w:trHeight w:val="330"/>
        </w:trPr>
        <w:tc>
          <w:tcPr>
            <w:tcW w:w="812" w:type="dxa"/>
            <w:vAlign w:val="center"/>
            <w:hideMark/>
          </w:tcPr>
          <w:p w14:paraId="5E29D295" w14:textId="77777777" w:rsidR="00843449" w:rsidRPr="00F8515B" w:rsidRDefault="00843449"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6CD51E07" w:rsidR="00843449" w:rsidRPr="00F8515B" w:rsidRDefault="00667D14"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 xml:space="preserve">Cristian </w:t>
            </w:r>
            <w:r w:rsidR="00963B8B" w:rsidRPr="00F8515B">
              <w:rPr>
                <w:rFonts w:ascii="Arial" w:eastAsia="Times New Roman" w:hAnsi="Arial" w:cs="Arial"/>
                <w:color w:val="000000" w:themeColor="text1"/>
                <w:sz w:val="16"/>
                <w:szCs w:val="16"/>
                <w:lang w:val="es-ES_tradnl" w:eastAsia="es-ES"/>
              </w:rPr>
              <w:t xml:space="preserve">Andrés </w:t>
            </w:r>
            <w:r w:rsidR="00FC5D07" w:rsidRPr="00F8515B">
              <w:rPr>
                <w:rFonts w:ascii="Arial" w:eastAsia="Times New Roman" w:hAnsi="Arial" w:cs="Arial"/>
                <w:color w:val="000000" w:themeColor="text1"/>
                <w:sz w:val="16"/>
                <w:szCs w:val="16"/>
                <w:lang w:val="es-ES_tradnl" w:eastAsia="es-ES"/>
              </w:rPr>
              <w:t>Díaz</w:t>
            </w:r>
            <w:r w:rsidR="00963B8B" w:rsidRPr="00F8515B">
              <w:rPr>
                <w:rFonts w:ascii="Arial" w:eastAsia="Times New Roman" w:hAnsi="Arial" w:cs="Arial"/>
                <w:color w:val="000000" w:themeColor="text1"/>
                <w:sz w:val="16"/>
                <w:szCs w:val="16"/>
                <w:lang w:val="es-ES_tradnl" w:eastAsia="es-ES"/>
              </w:rPr>
              <w:t xml:space="preserve"> Díez</w:t>
            </w:r>
          </w:p>
          <w:p w14:paraId="30332C7A" w14:textId="57FBB476" w:rsidR="00843449" w:rsidRPr="00F8515B" w:rsidRDefault="00963B8B"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Contratista de la Subdirección de Gestión Contractual</w:t>
            </w:r>
          </w:p>
        </w:tc>
      </w:tr>
      <w:tr w:rsidR="00843449" w:rsidRPr="00D21B72" w14:paraId="4231B1F9" w14:textId="77777777" w:rsidTr="00DE279B">
        <w:trPr>
          <w:trHeight w:val="300"/>
        </w:trPr>
        <w:tc>
          <w:tcPr>
            <w:tcW w:w="812" w:type="dxa"/>
            <w:vAlign w:val="center"/>
            <w:hideMark/>
          </w:tcPr>
          <w:p w14:paraId="074BC5C1" w14:textId="77777777" w:rsidR="00843449" w:rsidRPr="00F8515B" w:rsidRDefault="00843449"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F8515B" w:rsidRDefault="00843449"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Jorge Augusto Tirado Navarro</w:t>
            </w:r>
          </w:p>
          <w:p w14:paraId="4A949C01" w14:textId="77777777" w:rsidR="00843449" w:rsidRPr="00F8515B" w:rsidRDefault="00843449" w:rsidP="00003AEE">
            <w:pPr>
              <w:rPr>
                <w:rFonts w:ascii="Arial" w:eastAsia="Times New Roman" w:hAnsi="Arial" w:cs="Arial"/>
                <w:color w:val="000000" w:themeColor="text1"/>
                <w:sz w:val="16"/>
                <w:szCs w:val="16"/>
                <w:lang w:val="es-ES_tradnl" w:eastAsia="es-ES"/>
              </w:rPr>
            </w:pPr>
            <w:r w:rsidRPr="00F8515B">
              <w:rPr>
                <w:rFonts w:ascii="Arial" w:eastAsia="Times New Roman" w:hAnsi="Arial" w:cs="Arial"/>
                <w:color w:val="000000" w:themeColor="text1"/>
                <w:sz w:val="16"/>
                <w:szCs w:val="16"/>
                <w:lang w:val="es-ES_tradnl" w:eastAsia="es-ES"/>
              </w:rPr>
              <w:t>Subdirector de Gestión Contractual ANCP – CCE</w:t>
            </w:r>
          </w:p>
        </w:tc>
      </w:tr>
      <w:bookmarkEnd w:id="66"/>
    </w:tbl>
    <w:p w14:paraId="20333B98" w14:textId="77777777" w:rsidR="006674C1" w:rsidRPr="00F8515B" w:rsidRDefault="006674C1" w:rsidP="00E7700C">
      <w:pPr>
        <w:spacing w:after="120"/>
        <w:contextualSpacing/>
        <w:rPr>
          <w:rFonts w:ascii="Arial" w:eastAsia="Calibri" w:hAnsi="Arial" w:cs="Arial"/>
          <w:b/>
          <w:bCs/>
          <w:color w:val="000000" w:themeColor="text1"/>
          <w:sz w:val="20"/>
          <w:szCs w:val="20"/>
          <w:lang w:val="es-ES_tradnl"/>
        </w:rPr>
      </w:pPr>
    </w:p>
    <w:sectPr w:rsidR="006674C1" w:rsidRPr="00F8515B"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9D28" w14:textId="77777777" w:rsidR="008B59B6" w:rsidRDefault="008B59B6">
      <w:r>
        <w:separator/>
      </w:r>
    </w:p>
  </w:endnote>
  <w:endnote w:type="continuationSeparator" w:id="0">
    <w:p w14:paraId="04D0DDEC" w14:textId="77777777" w:rsidR="008B59B6" w:rsidRDefault="008B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00BB" w14:textId="77777777" w:rsidR="008B59B6" w:rsidRDefault="008B59B6">
      <w:r>
        <w:separator/>
      </w:r>
    </w:p>
  </w:footnote>
  <w:footnote w:type="continuationSeparator" w:id="0">
    <w:p w14:paraId="38132045" w14:textId="77777777" w:rsidR="008B59B6" w:rsidRDefault="008B59B6">
      <w:r>
        <w:continuationSeparator/>
      </w:r>
    </w:p>
  </w:footnote>
  <w:footnote w:id="1">
    <w:p w14:paraId="4C0976B6" w14:textId="77777777" w:rsidR="00E23B36" w:rsidRPr="006C0B38" w:rsidRDefault="00E23B36" w:rsidP="006C0B38">
      <w:pPr>
        <w:pStyle w:val="Textonotapie"/>
        <w:spacing w:line="240" w:lineRule="auto"/>
        <w:ind w:firstLine="708"/>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C0B38">
        <w:rPr>
          <w:rFonts w:ascii="Arial" w:hAnsi="Arial" w:cs="Arial"/>
          <w:i/>
          <w:iCs/>
          <w:sz w:val="18"/>
          <w:szCs w:val="18"/>
        </w:rPr>
        <w:t xml:space="preserve">ibidem </w:t>
      </w:r>
      <w:r w:rsidRPr="006C0B38">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6C0B38" w:rsidRDefault="00E008F1"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El artículo 127 de la Consti</w:t>
      </w:r>
      <w:r w:rsidR="00296D38" w:rsidRPr="006C0B38">
        <w:rPr>
          <w:rFonts w:ascii="Arial" w:hAnsi="Arial" w:cs="Arial"/>
          <w:sz w:val="18"/>
          <w:szCs w:val="18"/>
        </w:rPr>
        <w:t>tu</w:t>
      </w:r>
      <w:r w:rsidRPr="006C0B38">
        <w:rPr>
          <w:rFonts w:ascii="Arial" w:hAnsi="Arial" w:cs="Arial"/>
          <w:sz w:val="18"/>
          <w:szCs w:val="18"/>
        </w:rPr>
        <w:t>ción Política señala:</w:t>
      </w:r>
      <w:r w:rsidR="00F555DB" w:rsidRPr="006C0B38">
        <w:rPr>
          <w:rFonts w:ascii="Arial" w:hAnsi="Arial" w:cs="Arial"/>
          <w:sz w:val="18"/>
          <w:szCs w:val="18"/>
        </w:rPr>
        <w:t xml:space="preserve"> </w:t>
      </w:r>
      <w:r w:rsidRPr="006C0B38">
        <w:rPr>
          <w:rFonts w:ascii="Arial" w:hAnsi="Arial" w:cs="Arial"/>
          <w:sz w:val="18"/>
          <w:szCs w:val="18"/>
        </w:rPr>
        <w:t xml:space="preserve">«Los servidores públicos no podrán celebrar, por si o por interpuesta persona, o en representación de otro, contrato alguno con entidades </w:t>
      </w:r>
      <w:r w:rsidR="00F27A52" w:rsidRPr="006C0B38">
        <w:rPr>
          <w:rFonts w:ascii="Arial" w:hAnsi="Arial" w:cs="Arial"/>
          <w:sz w:val="18"/>
          <w:szCs w:val="18"/>
        </w:rPr>
        <w:t>públicas</w:t>
      </w:r>
      <w:r w:rsidRPr="006C0B38">
        <w:rPr>
          <w:rFonts w:ascii="Arial" w:hAnsi="Arial" w:cs="Arial"/>
          <w:sz w:val="18"/>
          <w:szCs w:val="18"/>
        </w:rPr>
        <w:t xml:space="preserve"> o con personas privadas que manejen o administren recursos públicos, salvo las excepciones legales. </w:t>
      </w:r>
    </w:p>
    <w:p w14:paraId="4525A19C" w14:textId="41209B97" w:rsidR="00E008F1" w:rsidRPr="006C0B38" w:rsidRDefault="00A923B7" w:rsidP="006C0B38">
      <w:pPr>
        <w:pStyle w:val="Textonotapie"/>
        <w:spacing w:after="0" w:line="240" w:lineRule="auto"/>
        <w:ind w:firstLine="709"/>
        <w:rPr>
          <w:rFonts w:ascii="Arial" w:hAnsi="Arial" w:cs="Arial"/>
          <w:sz w:val="18"/>
          <w:szCs w:val="18"/>
        </w:rPr>
      </w:pPr>
      <w:r w:rsidRPr="006C0B38">
        <w:rPr>
          <w:rFonts w:ascii="Arial" w:hAnsi="Arial" w:cs="Arial"/>
          <w:sz w:val="18"/>
          <w:szCs w:val="18"/>
        </w:rPr>
        <w:t>»A</w:t>
      </w:r>
      <w:r w:rsidR="00E008F1" w:rsidRPr="006C0B38">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6C0B38">
        <w:rPr>
          <w:rFonts w:ascii="Arial" w:hAnsi="Arial" w:cs="Arial"/>
          <w:sz w:val="18"/>
          <w:szCs w:val="18"/>
        </w:rPr>
        <w:t>Constitución.</w:t>
      </w:r>
      <w:r w:rsidR="00F91CA6" w:rsidRPr="006C0B38">
        <w:rPr>
          <w:rFonts w:ascii="Arial" w:hAnsi="Arial" w:cs="Arial"/>
          <w:sz w:val="18"/>
          <w:szCs w:val="18"/>
        </w:rPr>
        <w:t xml:space="preserve"> </w:t>
      </w:r>
      <w:r w:rsidRPr="006C0B38">
        <w:rPr>
          <w:rFonts w:ascii="Arial" w:hAnsi="Arial" w:cs="Arial"/>
          <w:sz w:val="18"/>
          <w:szCs w:val="18"/>
        </w:rPr>
        <w:t>Los</w:t>
      </w:r>
      <w:r w:rsidR="00E008F1" w:rsidRPr="006C0B38">
        <w:rPr>
          <w:rFonts w:ascii="Arial" w:hAnsi="Arial" w:cs="Arial"/>
          <w:sz w:val="18"/>
          <w:szCs w:val="18"/>
        </w:rPr>
        <w:t xml:space="preserve"> empleados no contemplados en esta prohibición solo podrán participar en dichas actividades y controversias en las condicione</w:t>
      </w:r>
      <w:r w:rsidR="00296D38" w:rsidRPr="006C0B38">
        <w:rPr>
          <w:rFonts w:ascii="Arial" w:hAnsi="Arial" w:cs="Arial"/>
          <w:sz w:val="18"/>
          <w:szCs w:val="18"/>
        </w:rPr>
        <w:t>s que señale la Ley Estatutaria</w:t>
      </w:r>
      <w:r w:rsidR="00E008F1" w:rsidRPr="006C0B38">
        <w:rPr>
          <w:rFonts w:ascii="Arial" w:hAnsi="Arial" w:cs="Arial"/>
          <w:sz w:val="18"/>
          <w:szCs w:val="18"/>
        </w:rPr>
        <w:t>».</w:t>
      </w:r>
    </w:p>
    <w:p w14:paraId="1AFDC93F" w14:textId="77777777" w:rsidR="006A049D" w:rsidRPr="006C0B38" w:rsidRDefault="006A049D" w:rsidP="006C0B38">
      <w:pPr>
        <w:pStyle w:val="Textonotapie"/>
        <w:spacing w:after="0" w:line="240" w:lineRule="auto"/>
        <w:ind w:firstLine="709"/>
        <w:rPr>
          <w:rFonts w:ascii="Arial" w:hAnsi="Arial" w:cs="Arial"/>
          <w:sz w:val="18"/>
          <w:szCs w:val="18"/>
        </w:rPr>
      </w:pPr>
    </w:p>
  </w:footnote>
  <w:footnote w:id="3">
    <w:p w14:paraId="5CECD26A" w14:textId="07594946" w:rsidR="006A049D" w:rsidRPr="006C0B38" w:rsidRDefault="007A1418"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Gaceta del Congreso de la República No. 71 del 2005.</w:t>
      </w:r>
    </w:p>
  </w:footnote>
  <w:footnote w:id="4">
    <w:p w14:paraId="2D822DE1" w14:textId="77777777" w:rsidR="009F3083" w:rsidRPr="006C0B38" w:rsidRDefault="009F3083"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Corte Constitucional, Sentencia C- 1153 de 2005, M.P. Marco Gerardo Monroy Cabra.</w:t>
      </w:r>
    </w:p>
  </w:footnote>
  <w:footnote w:id="5">
    <w:p w14:paraId="16C8143B" w14:textId="075CC6FE" w:rsidR="0062127B" w:rsidRPr="006C0B38" w:rsidRDefault="001F55B5"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62127B" w:rsidRPr="006C0B38" w:rsidRDefault="001F55B5" w:rsidP="006C0B38">
      <w:pPr>
        <w:pStyle w:val="Textonotapie"/>
        <w:spacing w:after="0" w:line="240" w:lineRule="auto"/>
        <w:rPr>
          <w:rFonts w:ascii="Arial" w:hAnsi="Arial" w:cs="Arial"/>
          <w:sz w:val="18"/>
          <w:szCs w:val="18"/>
          <w:lang w:val="es-CO"/>
        </w:rPr>
      </w:pPr>
      <w:r w:rsidRPr="006C0B38">
        <w:rPr>
          <w:rStyle w:val="Refdenotaalpie"/>
          <w:rFonts w:ascii="Arial" w:hAnsi="Arial" w:cs="Arial"/>
          <w:sz w:val="18"/>
          <w:szCs w:val="18"/>
        </w:rPr>
        <w:footnoteRef/>
      </w:r>
      <w:r w:rsidRPr="006C0B38">
        <w:rPr>
          <w:rFonts w:ascii="Arial" w:hAnsi="Arial" w:cs="Arial"/>
          <w:sz w:val="18"/>
          <w:szCs w:val="18"/>
          <w:lang w:val="es-CO"/>
        </w:rPr>
        <w:t xml:space="preserve"> </w:t>
      </w:r>
      <w:r w:rsidRPr="006C0B38">
        <w:rPr>
          <w:rFonts w:ascii="Arial" w:hAnsi="Arial" w:cs="Arial"/>
          <w:sz w:val="18"/>
          <w:szCs w:val="18"/>
          <w:lang w:val="es-CO"/>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D626A3" w:rsidRPr="006C0B38" w:rsidRDefault="00883662"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Consejo de Estado, Sala de Consulta y Servicio Civil de </w:t>
      </w:r>
      <w:r w:rsidR="00A923B7" w:rsidRPr="006C0B38">
        <w:rPr>
          <w:rFonts w:ascii="Arial" w:hAnsi="Arial" w:cs="Arial"/>
          <w:sz w:val="18"/>
          <w:szCs w:val="18"/>
        </w:rPr>
        <w:t>fecha 24</w:t>
      </w:r>
      <w:r w:rsidRPr="006C0B38">
        <w:rPr>
          <w:rFonts w:ascii="Arial" w:hAnsi="Arial" w:cs="Arial"/>
          <w:sz w:val="18"/>
          <w:szCs w:val="18"/>
        </w:rPr>
        <w:t xml:space="preserve"> de julio de 2013, radicado 2166, Consejero Ponente</w:t>
      </w:r>
      <w:r w:rsidR="00C579C6" w:rsidRPr="006C0B38">
        <w:rPr>
          <w:rFonts w:ascii="Arial" w:hAnsi="Arial" w:cs="Arial"/>
          <w:sz w:val="18"/>
          <w:szCs w:val="18"/>
        </w:rPr>
        <w:t>:</w:t>
      </w:r>
      <w:r w:rsidRPr="006C0B38">
        <w:rPr>
          <w:rFonts w:ascii="Arial" w:hAnsi="Arial" w:cs="Arial"/>
          <w:sz w:val="18"/>
          <w:szCs w:val="18"/>
        </w:rPr>
        <w:t xml:space="preserve"> Álvaro Namén Vargas.  </w:t>
      </w:r>
    </w:p>
  </w:footnote>
  <w:footnote w:id="8">
    <w:p w14:paraId="775A205E" w14:textId="77777777" w:rsidR="0022085C" w:rsidRPr="006C0B38" w:rsidRDefault="0022085C" w:rsidP="006C0B38">
      <w:pPr>
        <w:spacing w:after="0" w:line="240" w:lineRule="auto"/>
        <w:ind w:firstLine="709"/>
        <w:rPr>
          <w:rFonts w:ascii="Arial" w:eastAsia="Times New Roman"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16" w:name="33"/>
      <w:r w:rsidRPr="006C0B38">
        <w:rPr>
          <w:rFonts w:ascii="Arial" w:eastAsia="Calibri" w:hAnsi="Arial" w:cs="Arial"/>
          <w:bCs/>
          <w:color w:val="000000"/>
          <w:sz w:val="18"/>
          <w:szCs w:val="18"/>
        </w:rPr>
        <w:t>«</w:t>
      </w:r>
      <w:r w:rsidRPr="006C0B38">
        <w:rPr>
          <w:rFonts w:ascii="Arial" w:eastAsia="Times New Roman" w:hAnsi="Arial" w:cs="Arial"/>
          <w:sz w:val="18"/>
          <w:szCs w:val="18"/>
        </w:rPr>
        <w:t>Artículo 33. Restricciones a la contratación pública.</w:t>
      </w:r>
      <w:bookmarkEnd w:id="16"/>
      <w:r w:rsidRPr="006C0B38">
        <w:rPr>
          <w:rFonts w:ascii="Arial" w:eastAsia="Times New Roman"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6C0B38" w:rsidRDefault="00A923B7" w:rsidP="006C0B38">
      <w:pPr>
        <w:spacing w:after="0" w:line="240" w:lineRule="auto"/>
        <w:ind w:firstLine="709"/>
        <w:rPr>
          <w:rFonts w:ascii="Arial" w:eastAsia="Times New Roman" w:hAnsi="Arial" w:cs="Arial"/>
          <w:sz w:val="18"/>
          <w:szCs w:val="18"/>
        </w:rPr>
      </w:pPr>
      <w:r w:rsidRPr="006C0B38">
        <w:rPr>
          <w:rFonts w:ascii="Arial" w:eastAsia="Calibri" w:hAnsi="Arial" w:cs="Arial"/>
          <w:bCs/>
          <w:color w:val="000000"/>
          <w:sz w:val="18"/>
          <w:szCs w:val="18"/>
        </w:rPr>
        <w:t>»</w:t>
      </w:r>
      <w:r w:rsidRPr="006C0B38">
        <w:rPr>
          <w:rFonts w:ascii="Arial" w:eastAsia="Times New Roman" w:hAnsi="Arial" w:cs="Arial"/>
          <w:sz w:val="18"/>
          <w:szCs w:val="18"/>
        </w:rPr>
        <w:t xml:space="preserve"> Queda</w:t>
      </w:r>
      <w:r w:rsidR="0022085C" w:rsidRPr="006C0B38">
        <w:rPr>
          <w:rFonts w:ascii="Arial" w:eastAsia="Times New Roman" w:hAnsi="Arial"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6C0B38">
        <w:rPr>
          <w:rFonts w:ascii="Arial" w:eastAsia="Calibri" w:hAnsi="Arial" w:cs="Arial"/>
          <w:bCs/>
          <w:color w:val="000000"/>
          <w:sz w:val="18"/>
          <w:szCs w:val="18"/>
        </w:rPr>
        <w:t>»</w:t>
      </w:r>
      <w:r w:rsidR="0022085C" w:rsidRPr="006C0B38">
        <w:rPr>
          <w:rFonts w:ascii="Arial" w:eastAsia="Times New Roman" w:hAnsi="Arial" w:cs="Arial"/>
          <w:sz w:val="18"/>
          <w:szCs w:val="18"/>
        </w:rPr>
        <w:t>.</w:t>
      </w:r>
    </w:p>
  </w:footnote>
  <w:footnote w:id="9">
    <w:p w14:paraId="79A56581" w14:textId="77777777" w:rsidR="0022085C" w:rsidRPr="006C0B38" w:rsidRDefault="0022085C" w:rsidP="006C0B38">
      <w:pPr>
        <w:pStyle w:val="NormalWeb"/>
        <w:spacing w:before="0" w:beforeAutospacing="0" w:after="0" w:afterAutospacing="0" w:line="240" w:lineRule="auto"/>
        <w:ind w:firstLine="709"/>
        <w:rPr>
          <w:rFonts w:ascii="Arial" w:hAnsi="Arial" w:cs="Arial"/>
          <w:sz w:val="18"/>
          <w:szCs w:val="18"/>
          <w:lang w:val="es-MX"/>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17" w:name="38"/>
      <w:r w:rsidRPr="006C0B38">
        <w:rPr>
          <w:rFonts w:ascii="Arial" w:eastAsia="Calibri" w:hAnsi="Arial" w:cs="Arial"/>
          <w:bCs/>
          <w:color w:val="000000"/>
          <w:sz w:val="18"/>
          <w:szCs w:val="18"/>
        </w:rPr>
        <w:t>«</w:t>
      </w:r>
      <w:r w:rsidRPr="006C0B38">
        <w:rPr>
          <w:rFonts w:ascii="Arial" w:hAnsi="Arial" w:cs="Arial"/>
          <w:sz w:val="18"/>
          <w:szCs w:val="18"/>
          <w:lang w:val="es-MX"/>
        </w:rPr>
        <w:t>Artículo 38. Prohibiciones para los servidores públicos. A los empleados del Estado les está prohibido:</w:t>
      </w:r>
      <w:bookmarkEnd w:id="17"/>
    </w:p>
    <w:p w14:paraId="5933F9A0" w14:textId="77777777" w:rsidR="0022085C" w:rsidRPr="006C0B38" w:rsidRDefault="0022085C" w:rsidP="006C0B38">
      <w:pPr>
        <w:pStyle w:val="NormalWeb"/>
        <w:spacing w:before="0" w:beforeAutospacing="0" w:after="0" w:afterAutospacing="0" w:line="240" w:lineRule="auto"/>
        <w:ind w:firstLine="709"/>
        <w:rPr>
          <w:rFonts w:ascii="Arial" w:hAnsi="Arial" w:cs="Arial"/>
          <w:sz w:val="18"/>
          <w:szCs w:val="18"/>
          <w:lang w:val="es-MX"/>
        </w:rPr>
      </w:pPr>
      <w:r w:rsidRPr="006C0B38">
        <w:rPr>
          <w:rFonts w:ascii="Arial" w:eastAsia="Calibri" w:hAnsi="Arial" w:cs="Arial"/>
          <w:bCs/>
          <w:color w:val="000000"/>
          <w:sz w:val="18"/>
          <w:szCs w:val="18"/>
        </w:rPr>
        <w:t>»</w:t>
      </w:r>
      <w:r w:rsidRPr="006C0B38">
        <w:rPr>
          <w:rFonts w:ascii="Arial" w:hAnsi="Arial" w:cs="Arial"/>
          <w:sz w:val="18"/>
          <w:szCs w:val="18"/>
          <w:lang w:val="es-MX"/>
        </w:rPr>
        <w:t xml:space="preserve"> […]</w:t>
      </w:r>
    </w:p>
    <w:p w14:paraId="2231133F" w14:textId="06B9F71B" w:rsidR="0022085C" w:rsidRPr="006C0B38" w:rsidRDefault="00A923B7" w:rsidP="006C0B38">
      <w:pPr>
        <w:pStyle w:val="NormalWeb"/>
        <w:spacing w:before="0" w:beforeAutospacing="0" w:after="0" w:afterAutospacing="0" w:line="240" w:lineRule="auto"/>
        <w:ind w:firstLine="709"/>
        <w:rPr>
          <w:rFonts w:ascii="Arial" w:hAnsi="Arial" w:cs="Arial"/>
          <w:sz w:val="18"/>
          <w:szCs w:val="18"/>
          <w:lang w:val="es-MX"/>
        </w:rPr>
      </w:pPr>
      <w:r w:rsidRPr="006C0B38">
        <w:rPr>
          <w:rFonts w:ascii="Arial" w:eastAsia="Calibri" w:hAnsi="Arial" w:cs="Arial"/>
          <w:bCs/>
          <w:color w:val="000000"/>
          <w:sz w:val="18"/>
          <w:szCs w:val="18"/>
        </w:rPr>
        <w:t>»</w:t>
      </w:r>
      <w:r w:rsidRPr="006C0B38">
        <w:rPr>
          <w:rStyle w:val="baj"/>
          <w:rFonts w:ascii="Arial" w:hAnsi="Arial" w:cs="Arial"/>
          <w:sz w:val="18"/>
          <w:szCs w:val="18"/>
          <w:lang w:val="es-MX"/>
        </w:rPr>
        <w:t xml:space="preserve"> Parágrafo</w:t>
      </w:r>
      <w:r w:rsidR="0022085C" w:rsidRPr="006C0B38">
        <w:rPr>
          <w:rStyle w:val="baj"/>
          <w:rFonts w:ascii="Arial" w:hAnsi="Arial" w:cs="Arial"/>
          <w:sz w:val="18"/>
          <w:szCs w:val="18"/>
          <w:lang w:val="es-MX"/>
        </w:rPr>
        <w:t>.</w:t>
      </w:r>
      <w:r w:rsidR="0022085C" w:rsidRPr="006C0B38">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6C0B38">
        <w:rPr>
          <w:rFonts w:ascii="Arial" w:eastAsia="Calibri" w:hAnsi="Arial" w:cs="Arial"/>
          <w:bCs/>
          <w:color w:val="000000"/>
          <w:sz w:val="18"/>
          <w:szCs w:val="18"/>
        </w:rPr>
        <w:t>»</w:t>
      </w:r>
      <w:r w:rsidR="0022085C" w:rsidRPr="006C0B38">
        <w:rPr>
          <w:rFonts w:ascii="Arial" w:hAnsi="Arial" w:cs="Arial"/>
          <w:sz w:val="18"/>
          <w:szCs w:val="18"/>
          <w:lang w:val="es-MX"/>
        </w:rPr>
        <w:t>.</w:t>
      </w:r>
    </w:p>
  </w:footnote>
  <w:footnote w:id="10">
    <w:p w14:paraId="7BDEC286" w14:textId="0D4AB978" w:rsidR="0022085C" w:rsidRPr="006C0B38" w:rsidRDefault="0022085C" w:rsidP="006C0B38">
      <w:pPr>
        <w:spacing w:after="0" w:line="240" w:lineRule="auto"/>
        <w:ind w:left="100" w:right="244"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Concepto del 17 de febrero de 2015. C.P. William Zambrano Cetina. Radicación No. 11001-03-06-000-2015-00164-00(2269).</w:t>
      </w:r>
    </w:p>
  </w:footnote>
  <w:footnote w:id="11">
    <w:p w14:paraId="413E2E84" w14:textId="2749775D" w:rsidR="000E33BC" w:rsidRPr="006C0B38" w:rsidRDefault="00DB61B2"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23" w:name="_Hlk74272731"/>
      <w:r w:rsidRPr="006C0B38">
        <w:rPr>
          <w:rFonts w:ascii="Arial" w:hAnsi="Arial" w:cs="Arial"/>
          <w:sz w:val="18"/>
          <w:szCs w:val="18"/>
        </w:rPr>
        <w:t>«</w:t>
      </w:r>
      <w:bookmarkEnd w:id="23"/>
      <w:r w:rsidRPr="006C0B38">
        <w:rPr>
          <w:rFonts w:ascii="Arial" w:hAnsi="Arial" w:cs="Arial"/>
          <w:sz w:val="18"/>
          <w:szCs w:val="18"/>
          <w:lang w:val="es-ES"/>
        </w:rPr>
        <w:t xml:space="preserve">[25] </w:t>
      </w:r>
      <w:r w:rsidRPr="006C0B38">
        <w:rPr>
          <w:rFonts w:ascii="Arial" w:hAnsi="Arial" w:cs="Arial"/>
          <w:sz w:val="18"/>
          <w:szCs w:val="18"/>
        </w:rPr>
        <w:t>Cfr. Consejo de Estado. Sección Tercera. Sentencia de 3 de diciembre de 2007. Radicados: 24.715, 25.206, 25.409, 24.524, 27.834, 25.410, 26.105, 28.244, 31.447 -acumulados-</w:t>
      </w:r>
      <w:bookmarkStart w:id="24" w:name="_Hlk74271358"/>
      <w:r w:rsidRPr="006C0B38">
        <w:rPr>
          <w:rFonts w:ascii="Arial" w:hAnsi="Arial" w:cs="Arial"/>
          <w:sz w:val="18"/>
          <w:szCs w:val="18"/>
        </w:rPr>
        <w:t>»</w:t>
      </w:r>
      <w:bookmarkEnd w:id="24"/>
      <w:r w:rsidRPr="006C0B38">
        <w:rPr>
          <w:rFonts w:ascii="Arial" w:hAnsi="Arial" w:cs="Arial"/>
          <w:sz w:val="18"/>
          <w:szCs w:val="18"/>
        </w:rPr>
        <w:t>.</w:t>
      </w:r>
    </w:p>
  </w:footnote>
  <w:footnote w:id="12">
    <w:p w14:paraId="4285AEFA" w14:textId="4874F93C" w:rsidR="000E33BC" w:rsidRPr="006C0B38" w:rsidRDefault="00DB61B2"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26" w:name="_Hlk74294506"/>
      <w:r w:rsidRPr="006C0B38">
        <w:rPr>
          <w:rFonts w:ascii="Arial" w:hAnsi="Arial" w:cs="Arial"/>
          <w:sz w:val="18"/>
          <w:szCs w:val="18"/>
        </w:rPr>
        <w:t>«</w:t>
      </w:r>
      <w:r w:rsidRPr="006C0B38">
        <w:rPr>
          <w:rFonts w:ascii="Arial" w:hAnsi="Arial" w:cs="Arial"/>
          <w:sz w:val="18"/>
          <w:szCs w:val="18"/>
          <w:lang w:val="es-ES"/>
        </w:rPr>
        <w:t xml:space="preserve">[26] </w:t>
      </w:r>
      <w:bookmarkEnd w:id="26"/>
      <w:r w:rsidRPr="006C0B38">
        <w:rPr>
          <w:rFonts w:ascii="Arial" w:hAnsi="Arial" w:cs="Arial"/>
          <w:sz w:val="18"/>
          <w:szCs w:val="18"/>
        </w:rPr>
        <w:t>Al respecto ver el concepto 1712 de 2 de febrero de 2006. Consejo de Estado Sala de Consulta y Servicio Civil».</w:t>
      </w:r>
    </w:p>
  </w:footnote>
  <w:footnote w:id="13">
    <w:p w14:paraId="38B6337A" w14:textId="77777777" w:rsidR="007701D9" w:rsidRPr="006C0B38" w:rsidRDefault="007701D9"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Concepto del 2 de septiembre de 2013. Radicación número: 11001-03-06-000-2013-00412-00 (2168). Consejero Ponente: Álvaro Namén Vargas.</w:t>
      </w:r>
    </w:p>
  </w:footnote>
  <w:footnote w:id="14">
    <w:p w14:paraId="3390695E" w14:textId="4A8A5374" w:rsidR="000E33BC" w:rsidRPr="006C0B38" w:rsidRDefault="00DB61B2"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ES"/>
        </w:rPr>
        <w:t xml:space="preserve">Artículo 2. </w:t>
      </w:r>
    </w:p>
  </w:footnote>
  <w:footnote w:id="15">
    <w:p w14:paraId="63F8641B" w14:textId="37B06F1E" w:rsidR="000E33BC" w:rsidRPr="006C0B38" w:rsidRDefault="00DB61B2"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i/>
          <w:sz w:val="18"/>
          <w:szCs w:val="18"/>
          <w:lang w:val="es-ES"/>
        </w:rPr>
        <w:t>Ídem</w:t>
      </w:r>
      <w:r w:rsidRPr="006C0B38">
        <w:rPr>
          <w:rFonts w:ascii="Arial" w:hAnsi="Arial" w:cs="Arial"/>
          <w:sz w:val="18"/>
          <w:szCs w:val="18"/>
          <w:lang w:val="es-ES"/>
        </w:rPr>
        <w:t>.</w:t>
      </w:r>
    </w:p>
  </w:footnote>
  <w:footnote w:id="16">
    <w:p w14:paraId="726E5571" w14:textId="06A3B3E9" w:rsidR="000E33BC" w:rsidRPr="006C0B38" w:rsidRDefault="00DB61B2"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Style w:val="Refdenotaalpie"/>
          <w:rFonts w:ascii="Arial" w:hAnsi="Arial" w:cs="Arial"/>
          <w:sz w:val="18"/>
          <w:szCs w:val="18"/>
        </w:rPr>
        <w:t xml:space="preserve"> </w:t>
      </w:r>
      <w:bookmarkStart w:id="30" w:name="_Hlk74297130"/>
      <w:r w:rsidRPr="006C0B38">
        <w:rPr>
          <w:rFonts w:ascii="Arial" w:hAnsi="Arial" w:cs="Arial"/>
          <w:sz w:val="18"/>
          <w:szCs w:val="18"/>
          <w:lang w:val="es-ES"/>
        </w:rPr>
        <w:t>«</w:t>
      </w:r>
      <w:bookmarkEnd w:id="30"/>
      <w:r w:rsidRPr="006C0B38">
        <w:rPr>
          <w:rFonts w:ascii="Arial" w:hAnsi="Arial" w:cs="Arial"/>
          <w:sz w:val="18"/>
          <w:szCs w:val="18"/>
          <w:lang w:val="es-ES"/>
        </w:rPr>
        <w:t>[…] A este respecto, cabe recordar que el artículo 860 del Código de Comercio regula la licitación en el derecho privado»</w:t>
      </w:r>
      <w:r w:rsidR="000E33BC" w:rsidRPr="006C0B38">
        <w:rPr>
          <w:rFonts w:ascii="Arial" w:hAnsi="Arial" w:cs="Arial"/>
          <w:sz w:val="18"/>
          <w:szCs w:val="18"/>
          <w:lang w:val="es-ES"/>
        </w:rPr>
        <w:t>.</w:t>
      </w:r>
      <w:r w:rsidRPr="006C0B38">
        <w:rPr>
          <w:rFonts w:ascii="Arial" w:hAnsi="Arial" w:cs="Arial"/>
          <w:sz w:val="18"/>
          <w:szCs w:val="18"/>
          <w:lang w:val="es-ES"/>
        </w:rPr>
        <w:t xml:space="preserve"> </w:t>
      </w:r>
    </w:p>
  </w:footnote>
  <w:footnote w:id="17">
    <w:p w14:paraId="3DE7C088" w14:textId="5139953C" w:rsidR="00856B57" w:rsidRPr="006C0B38" w:rsidRDefault="008C6B51" w:rsidP="006C0B38">
      <w:pPr>
        <w:shd w:val="clear" w:color="auto" w:fill="FFFFFF"/>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Style w:val="Refdenotaalpie"/>
          <w:rFonts w:ascii="Arial" w:hAnsi="Arial" w:cs="Arial"/>
          <w:sz w:val="18"/>
          <w:szCs w:val="18"/>
        </w:rPr>
        <w:t xml:space="preserve"> </w:t>
      </w:r>
      <w:r w:rsidRPr="006C0B38">
        <w:rPr>
          <w:rFonts w:ascii="Arial" w:hAnsi="Arial" w:cs="Arial"/>
          <w:sz w:val="18"/>
          <w:szCs w:val="18"/>
          <w:lang w:val="es-ES"/>
        </w:rPr>
        <w:t xml:space="preserve">Consejo de Estado. Sala de Consulta y Servicio Civil, Concepto de 8 de mayo de 2018. Radicación Número: 11001-03-06-000-2018-00095-00(2382). Consejero Ponente: Álvaro </w:t>
      </w:r>
      <w:proofErr w:type="spellStart"/>
      <w:r w:rsidRPr="006C0B38">
        <w:rPr>
          <w:rFonts w:ascii="Arial" w:hAnsi="Arial" w:cs="Arial"/>
          <w:sz w:val="18"/>
          <w:szCs w:val="18"/>
          <w:lang w:val="es-ES"/>
        </w:rPr>
        <w:t>Namén</w:t>
      </w:r>
      <w:proofErr w:type="spellEnd"/>
      <w:r w:rsidRPr="006C0B38">
        <w:rPr>
          <w:rFonts w:ascii="Arial" w:hAnsi="Arial" w:cs="Arial"/>
          <w:sz w:val="18"/>
          <w:szCs w:val="18"/>
          <w:lang w:val="es-ES"/>
        </w:rPr>
        <w:t xml:space="preserve"> Vargas.</w:t>
      </w:r>
    </w:p>
  </w:footnote>
  <w:footnote w:id="18">
    <w:p w14:paraId="49A02CDD" w14:textId="70865DBB" w:rsidR="00F61159" w:rsidRPr="006C0B38" w:rsidRDefault="00F61159"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Concepto del 08 de mayo de 2018. Exp. 2.382. C.P. Álvaro Namén Vargas.</w:t>
      </w:r>
    </w:p>
  </w:footnote>
  <w:footnote w:id="19">
    <w:p w14:paraId="14F5FB64" w14:textId="77777777" w:rsidR="00856B57" w:rsidRPr="006C0B38" w:rsidRDefault="00856B57"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C561595" w14:textId="291F035A" w:rsidR="004E638B" w:rsidRPr="006C0B38" w:rsidRDefault="00856B57"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6FDACAF" w:rsidR="00182C6C" w:rsidRPr="006C0B38" w:rsidRDefault="00182C6C"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bookmarkStart w:id="44" w:name="_Hlk75633115"/>
      <w:r w:rsidR="00204F6E" w:rsidRPr="006C0B38">
        <w:rPr>
          <w:rFonts w:ascii="Arial" w:hAnsi="Arial" w:cs="Arial"/>
          <w:sz w:val="18"/>
          <w:szCs w:val="18"/>
        </w:rPr>
        <w:t xml:space="preserve">Consejo de Estado. Sala de Consulta y Servicio Civil. Concepto </w:t>
      </w:r>
      <w:bookmarkEnd w:id="44"/>
      <w:r w:rsidR="00204F6E" w:rsidRPr="006C0B38">
        <w:rPr>
          <w:rFonts w:ascii="Arial" w:hAnsi="Arial" w:cs="Arial"/>
          <w:sz w:val="18"/>
          <w:szCs w:val="18"/>
        </w:rPr>
        <w:t>de 6 de abril de 2006. Radicación Número:</w:t>
      </w:r>
      <w:r w:rsidR="00D07F68" w:rsidRPr="006C0B38">
        <w:rPr>
          <w:rFonts w:ascii="Arial" w:hAnsi="Arial" w:cs="Arial"/>
          <w:sz w:val="18"/>
          <w:szCs w:val="18"/>
        </w:rPr>
        <w:t xml:space="preserve"> </w:t>
      </w:r>
      <w:r w:rsidR="00204F6E" w:rsidRPr="006C0B38">
        <w:rPr>
          <w:rFonts w:ascii="Arial" w:hAnsi="Arial" w:cs="Arial"/>
          <w:sz w:val="18"/>
          <w:szCs w:val="18"/>
        </w:rPr>
        <w:t>11001-03-06-000-2006-00038-00(1738). Consejero Ponente: Enrique José Arboleda Perdomo</w:t>
      </w:r>
      <w:r w:rsidR="00D07F68" w:rsidRPr="006C0B38">
        <w:rPr>
          <w:rFonts w:ascii="Arial" w:hAnsi="Arial" w:cs="Arial"/>
          <w:sz w:val="18"/>
          <w:szCs w:val="18"/>
        </w:rPr>
        <w:t>:</w:t>
      </w:r>
      <w:r w:rsidR="00D07F68" w:rsidRPr="006C0B38">
        <w:rPr>
          <w:rFonts w:ascii="Arial" w:eastAsia="Times New Roman" w:hAnsi="Arial" w:cs="Arial"/>
          <w:bCs/>
          <w:sz w:val="18"/>
          <w:szCs w:val="18"/>
          <w:lang w:eastAsia="x-none"/>
        </w:rPr>
        <w:t xml:space="preserve"> «</w:t>
      </w:r>
      <w:r w:rsidR="00D07F68" w:rsidRPr="006C0B38">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6C0B38">
        <w:rPr>
          <w:rFonts w:ascii="Arial" w:eastAsia="Times New Roman" w:hAnsi="Arial" w:cs="Arial"/>
          <w:bCs/>
          <w:sz w:val="18"/>
          <w:szCs w:val="18"/>
          <w:lang w:eastAsia="x-none"/>
        </w:rPr>
        <w:t>»</w:t>
      </w:r>
      <w:r w:rsidR="004E638B" w:rsidRPr="006C0B38">
        <w:rPr>
          <w:rFonts w:ascii="Arial" w:eastAsia="Times New Roman" w:hAnsi="Arial" w:cs="Arial"/>
          <w:bCs/>
          <w:sz w:val="18"/>
          <w:szCs w:val="18"/>
          <w:lang w:eastAsia="x-none"/>
        </w:rPr>
        <w:t>.</w:t>
      </w:r>
    </w:p>
  </w:footnote>
  <w:footnote w:id="22">
    <w:p w14:paraId="004661B1" w14:textId="25D06465" w:rsidR="004E638B" w:rsidRPr="006C0B38" w:rsidRDefault="003D73F1"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Concepto de 6 de abril de 2006. Radicación Número: 11001-03-06-000-2006-00038-00(1738). Consejero Ponente: Enrique José Arboleda Perdomo</w:t>
      </w:r>
      <w:r w:rsidR="004E638B" w:rsidRPr="006C0B38">
        <w:rPr>
          <w:rFonts w:ascii="Arial" w:hAnsi="Arial" w:cs="Arial"/>
          <w:sz w:val="18"/>
          <w:szCs w:val="18"/>
        </w:rPr>
        <w:t>.</w:t>
      </w:r>
    </w:p>
  </w:footnote>
  <w:footnote w:id="23">
    <w:p w14:paraId="5BA39CA3" w14:textId="77777777" w:rsidR="003D73F1" w:rsidRPr="006C0B38" w:rsidRDefault="003D73F1" w:rsidP="006C0B38">
      <w:pPr>
        <w:pStyle w:val="Textonotapie"/>
        <w:spacing w:after="0" w:line="240" w:lineRule="auto"/>
        <w:ind w:right="51"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ídem.</w:t>
      </w:r>
    </w:p>
  </w:footnote>
  <w:footnote w:id="24">
    <w:p w14:paraId="1503365A" w14:textId="11BDF214" w:rsidR="0025237E" w:rsidRPr="006C0B38" w:rsidRDefault="0025237E"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Concepto de 20 de febrero de2006. Radicación 11001-03-06-000-2006-00023-00(1724). Consejero Ponente: Flavio Augusto Rodríguez Arce.</w:t>
      </w:r>
    </w:p>
  </w:footnote>
  <w:footnote w:id="25">
    <w:p w14:paraId="3748E0E7" w14:textId="77777777" w:rsidR="0025237E" w:rsidRPr="006C0B38" w:rsidRDefault="0025237E"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1E8DF54" w14:textId="77777777" w:rsidR="0025237E" w:rsidRPr="006C0B38" w:rsidRDefault="0025237E" w:rsidP="006C0B38">
      <w:pPr>
        <w:spacing w:after="0" w:line="240" w:lineRule="auto"/>
        <w:ind w:firstLine="709"/>
        <w:rPr>
          <w:rFonts w:ascii="Arial" w:hAnsi="Arial" w:cs="Arial"/>
          <w:sz w:val="18"/>
          <w:szCs w:val="18"/>
        </w:rPr>
      </w:pPr>
      <w:r w:rsidRPr="006C0B38">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6C0B38">
        <w:rPr>
          <w:rFonts w:ascii="Arial" w:hAnsi="Arial" w:cs="Arial"/>
          <w:spacing w:val="-1"/>
          <w:sz w:val="18"/>
          <w:szCs w:val="18"/>
        </w:rPr>
        <w:t xml:space="preserve"> </w:t>
      </w:r>
      <w:r w:rsidRPr="006C0B38">
        <w:rPr>
          <w:rFonts w:ascii="Arial" w:hAnsi="Arial" w:cs="Arial"/>
          <w:sz w:val="18"/>
          <w:szCs w:val="18"/>
        </w:rPr>
        <w:t>Estatales».</w:t>
      </w:r>
    </w:p>
  </w:footnote>
  <w:footnote w:id="26">
    <w:p w14:paraId="0275F528" w14:textId="46A84238" w:rsidR="0025237E" w:rsidRPr="006C0B38" w:rsidRDefault="0025237E"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6C0B38">
        <w:rPr>
          <w:rFonts w:ascii="Arial" w:hAnsi="Arial" w:cs="Arial"/>
          <w:spacing w:val="-6"/>
          <w:sz w:val="18"/>
          <w:szCs w:val="18"/>
        </w:rPr>
        <w:t xml:space="preserve"> </w:t>
      </w:r>
      <w:r w:rsidRPr="006C0B38">
        <w:rPr>
          <w:rFonts w:ascii="Arial" w:hAnsi="Arial" w:cs="Arial"/>
          <w:sz w:val="18"/>
          <w:szCs w:val="18"/>
        </w:rPr>
        <w:t>artículo».</w:t>
      </w:r>
    </w:p>
  </w:footnote>
  <w:footnote w:id="27">
    <w:p w14:paraId="0862F2A7" w14:textId="40013BC8" w:rsidR="0025237E" w:rsidRPr="006C0B38" w:rsidRDefault="00456BF3" w:rsidP="006C0B38">
      <w:pPr>
        <w:spacing w:after="0" w:line="240" w:lineRule="auto"/>
        <w:ind w:right="454" w:firstLine="709"/>
        <w:rPr>
          <w:rFonts w:ascii="Arial" w:hAnsi="Arial" w:cs="Arial"/>
          <w:sz w:val="18"/>
          <w:szCs w:val="18"/>
        </w:rPr>
      </w:pPr>
      <w:r w:rsidRPr="006C0B38">
        <w:rPr>
          <w:rStyle w:val="Refdenotaalpie"/>
          <w:rFonts w:ascii="Arial" w:hAnsi="Arial" w:cs="Arial"/>
          <w:sz w:val="18"/>
          <w:szCs w:val="18"/>
        </w:rPr>
        <w:footnoteRef/>
      </w:r>
      <w:r w:rsidR="0025237E" w:rsidRPr="006C0B38">
        <w:rPr>
          <w:rFonts w:ascii="Arial" w:hAnsi="Arial" w:cs="Arial"/>
          <w:position w:val="7"/>
          <w:sz w:val="18"/>
          <w:szCs w:val="18"/>
        </w:rPr>
        <w:t xml:space="preserve"> </w:t>
      </w:r>
      <w:r w:rsidR="0025237E" w:rsidRPr="006C0B38">
        <w:rPr>
          <w:rFonts w:ascii="Arial" w:hAnsi="Arial" w:cs="Arial"/>
          <w:sz w:val="18"/>
          <w:szCs w:val="18"/>
        </w:rPr>
        <w:t>Consejo de Estado. Sección Tercera. Sentencia del 23 de junio de 2010. Radicación No. 66001-23-31-000-1998-00261-01(17.860). Consejero Ponente: Mauricio Fajardo Gómez.</w:t>
      </w:r>
    </w:p>
  </w:footnote>
  <w:footnote w:id="28">
    <w:p w14:paraId="41CE025A" w14:textId="146A2400" w:rsidR="0025237E" w:rsidRPr="006C0B38" w:rsidRDefault="0025237E" w:rsidP="006C0B38">
      <w:pPr>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Sección Tercera. Subsección C. Sentencia del 11 de diciembre de 2019. Exp. 46.986. C.P. Jaime Enrique Rodríguez Navas.</w:t>
      </w:r>
    </w:p>
  </w:footnote>
  <w:footnote w:id="29">
    <w:p w14:paraId="173D01A0" w14:textId="7777777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[Referencia propia de la cita] «CE. SCSC. Concepto de 1 de noviembre de 2016 [Rad. 11001-03-06-000-2016-00125-00(2305)]. MP. Germán Alberto Bula Escobar».</w:t>
      </w:r>
    </w:p>
  </w:footnote>
  <w:footnote w:id="30">
    <w:p w14:paraId="1A74232E" w14:textId="7777777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[Referencia propia de la cita] «CE. SCSC. Concepto de 30 de abril de 2008 [Rad. 11001-03-06-000-2008-00013-00(1881)]. MP. Enrique José Arboleda Perdomo. En esta oportunidad, la Sala indicó que el contenido </w:t>
      </w:r>
      <w:r w:rsidRPr="006C0B38">
        <w:rPr>
          <w:rFonts w:ascii="Arial" w:hAnsi="Arial" w:cs="Arial"/>
          <w:i/>
          <w:sz w:val="18"/>
          <w:szCs w:val="18"/>
        </w:rPr>
        <w:t>“obligacional”</w:t>
      </w:r>
      <w:r w:rsidRPr="006C0B38">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1">
    <w:p w14:paraId="74765D32" w14:textId="7777777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[Referencia propia de la cita] «La normativa vigente del EGCAP </w:t>
      </w:r>
      <w:r w:rsidRPr="006C0B38">
        <w:rPr>
          <w:rFonts w:ascii="Arial" w:hAnsi="Arial" w:cs="Arial"/>
          <w:i/>
          <w:sz w:val="18"/>
          <w:szCs w:val="18"/>
        </w:rPr>
        <w:t>[literal c) del numeral 4. del artículo 2 de la Ley 1150/07]</w:t>
      </w:r>
      <w:r w:rsidRPr="006C0B38">
        <w:rPr>
          <w:rFonts w:ascii="Arial" w:hAnsi="Arial" w:cs="Arial"/>
          <w:sz w:val="18"/>
          <w:szCs w:val="18"/>
        </w:rPr>
        <w:t xml:space="preserve"> se refiere a </w:t>
      </w:r>
      <w:r w:rsidRPr="006C0B38">
        <w:rPr>
          <w:rFonts w:ascii="Arial" w:hAnsi="Arial" w:cs="Arial"/>
          <w:i/>
          <w:sz w:val="18"/>
          <w:szCs w:val="18"/>
        </w:rPr>
        <w:t>“contratos interadministrativos”</w:t>
      </w:r>
      <w:r w:rsidRPr="006C0B38">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7BE23DEC" w14:textId="714AEE02"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00FF521D" w:rsidRPr="006C0B38">
        <w:rPr>
          <w:rFonts w:ascii="Arial" w:hAnsi="Arial" w:cs="Arial"/>
          <w:sz w:val="18"/>
          <w:szCs w:val="18"/>
        </w:rPr>
        <w:t>.</w:t>
      </w:r>
    </w:p>
  </w:footnote>
  <w:footnote w:id="33">
    <w:p w14:paraId="77ABBD66" w14:textId="35DE1387" w:rsidR="0025237E" w:rsidRPr="006C0B38" w:rsidRDefault="0025237E"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Es lo que sucede, por ejemplo, con el Decreto 092 de 2017, que en su desarrollo hace referencia tanto a los «contratos» como a los «convenios». </w:t>
      </w:r>
    </w:p>
  </w:footnote>
  <w:footnote w:id="34">
    <w:p w14:paraId="128DE0A7" w14:textId="77777777" w:rsidR="0025237E" w:rsidRPr="006C0B38" w:rsidRDefault="0025237E" w:rsidP="006C0B38">
      <w:pPr>
        <w:pStyle w:val="Textonotapie"/>
        <w:spacing w:after="0" w:line="240" w:lineRule="auto"/>
        <w:ind w:firstLine="708"/>
        <w:rPr>
          <w:rFonts w:ascii="Arial" w:hAnsi="Arial" w:cs="Arial"/>
          <w:sz w:val="18"/>
          <w:szCs w:val="18"/>
          <w:lang w:val="es-CO"/>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54D48212" w14:textId="7292C040" w:rsidR="00377BF5" w:rsidRPr="006C0B38" w:rsidRDefault="00377BF5"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Lo anterior, salvo que se traten de organismos internacionales que se rijan por normas internacionales y se financien con cargo a recursos de esos organismos (Cfr. Colombia Compra Eficiente. Concepto C-559 del 31 de agosto de 2021). </w:t>
      </w:r>
    </w:p>
  </w:footnote>
  <w:footnote w:id="36">
    <w:p w14:paraId="5B59F591" w14:textId="239FF866" w:rsidR="00D23B7C" w:rsidRPr="006C0B38" w:rsidRDefault="0025237E"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Consejo de Estado. Sala de Consulta y Servicio Civil. Concepto del 15 de noviembre de 2007. Expediente número 1863. Consejero Ponente: Luis Fernando Álvarez Jaramillo.</w:t>
      </w:r>
    </w:p>
  </w:footnote>
  <w:footnote w:id="37">
    <w:p w14:paraId="53AC7BAC" w14:textId="3975AB11" w:rsidR="00D23B7C"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Que en su artículo 141 establece: «La presente Ley rige a partir de la fecha de su publicación y surte efectos fiscales a partir del 1 de enero de 2022».</w:t>
      </w:r>
    </w:p>
  </w:footnote>
  <w:footnote w:id="38">
    <w:p w14:paraId="1858968D" w14:textId="77777777" w:rsidR="007B234F" w:rsidRPr="006C0B38" w:rsidRDefault="007B234F"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ES"/>
        </w:rPr>
        <w:t xml:space="preserve">Correspondiente al Proyecto de Ley 158/21 Cámara y 096/2021 Senado, cuyo texto definitivo fue aprobado en plenaria del Senado de la República el día 19 de octubre de 2021, según la </w:t>
      </w:r>
      <w:proofErr w:type="gramStart"/>
      <w:r w:rsidRPr="006C0B38">
        <w:rPr>
          <w:rFonts w:ascii="Arial" w:hAnsi="Arial" w:cs="Arial"/>
          <w:sz w:val="18"/>
          <w:szCs w:val="18"/>
          <w:lang w:val="es-ES"/>
        </w:rPr>
        <w:t>Gaceta  del</w:t>
      </w:r>
      <w:proofErr w:type="gramEnd"/>
      <w:r w:rsidRPr="006C0B38">
        <w:rPr>
          <w:rFonts w:ascii="Arial" w:hAnsi="Arial" w:cs="Arial"/>
          <w:sz w:val="18"/>
          <w:szCs w:val="18"/>
          <w:lang w:val="es-ES"/>
        </w:rPr>
        <w:t xml:space="preserve"> Congreso de la República nro. 1496. </w:t>
      </w:r>
    </w:p>
  </w:footnote>
  <w:footnote w:id="39">
    <w:p w14:paraId="1BF9C89C" w14:textId="3B3C5F57" w:rsidR="0003107B"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Aunque el Estado sea un concepto más amplio que comprende al conjunto de órganos que realizan las diversas funciones y servicios estatales, ya sea en el orden nacional, o ya sea en los otros niveles territoriales.</w:t>
      </w:r>
    </w:p>
  </w:footnote>
  <w:footnote w:id="40">
    <w:p w14:paraId="6659E3E3"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sz w:val="18"/>
          <w:szCs w:val="18"/>
          <w:lang w:val="es-CO" w:eastAsia="es-CO"/>
        </w:rPr>
        <w:t>«</w:t>
      </w:r>
      <w:r w:rsidRPr="006C0B38">
        <w:rPr>
          <w:rFonts w:ascii="Arial" w:hAnsi="Arial" w:cs="Arial"/>
          <w:sz w:val="18"/>
          <w:szCs w:val="18"/>
        </w:rPr>
        <w:t xml:space="preserve">Artículo 287. Las entidades territoriales gozan de autonomía para la gestión de sus intereses, y dentro de los límites de la Constitución y la ley. En tal virtud tendrán los siguientes derechos: </w:t>
      </w:r>
    </w:p>
    <w:p w14:paraId="21886A49"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Fonts w:ascii="Arial" w:eastAsia="Times New Roman" w:hAnsi="Arial" w:cs="Arial"/>
          <w:sz w:val="18"/>
          <w:szCs w:val="18"/>
          <w:lang w:val="es-CO" w:eastAsia="es-CO"/>
        </w:rPr>
        <w:t xml:space="preserve">» </w:t>
      </w:r>
      <w:r w:rsidRPr="006C0B38">
        <w:rPr>
          <w:rFonts w:ascii="Arial" w:hAnsi="Arial" w:cs="Arial"/>
          <w:sz w:val="18"/>
          <w:szCs w:val="18"/>
        </w:rPr>
        <w:t xml:space="preserve">1. Gobernarse por autoridades propias. </w:t>
      </w:r>
    </w:p>
    <w:p w14:paraId="09623ECD"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Fonts w:ascii="Arial" w:eastAsia="Times New Roman" w:hAnsi="Arial" w:cs="Arial"/>
          <w:sz w:val="18"/>
          <w:szCs w:val="18"/>
          <w:lang w:val="es-CO" w:eastAsia="es-CO"/>
        </w:rPr>
        <w:t xml:space="preserve">» </w:t>
      </w:r>
      <w:r w:rsidRPr="006C0B38">
        <w:rPr>
          <w:rFonts w:ascii="Arial" w:hAnsi="Arial" w:cs="Arial"/>
          <w:sz w:val="18"/>
          <w:szCs w:val="18"/>
        </w:rPr>
        <w:t xml:space="preserve">2. Ejercer las competencias que les correspondan. </w:t>
      </w:r>
    </w:p>
    <w:p w14:paraId="190FEE81" w14:textId="7230847D" w:rsidR="007B234F" w:rsidRPr="006C0B38" w:rsidRDefault="007B234F" w:rsidP="006C0B38">
      <w:pPr>
        <w:pStyle w:val="Textonotapie"/>
        <w:spacing w:after="0" w:line="240" w:lineRule="auto"/>
        <w:ind w:left="708"/>
        <w:rPr>
          <w:rFonts w:ascii="Arial" w:hAnsi="Arial" w:cs="Arial"/>
          <w:sz w:val="18"/>
          <w:szCs w:val="18"/>
        </w:rPr>
      </w:pPr>
      <w:r w:rsidRPr="006C0B38">
        <w:rPr>
          <w:rFonts w:ascii="Arial" w:eastAsia="Times New Roman" w:hAnsi="Arial" w:cs="Arial"/>
          <w:sz w:val="18"/>
          <w:szCs w:val="18"/>
          <w:lang w:val="es-CO" w:eastAsia="es-CO"/>
        </w:rPr>
        <w:t>»</w:t>
      </w:r>
      <w:r w:rsidRPr="006C0B38">
        <w:rPr>
          <w:rFonts w:ascii="Arial" w:hAnsi="Arial" w:cs="Arial"/>
          <w:sz w:val="18"/>
          <w:szCs w:val="18"/>
        </w:rPr>
        <w:t xml:space="preserve">3. Administrar los recursos y establecer los tributos necesarios para el cumplimiento de sus funciones. </w:t>
      </w:r>
    </w:p>
    <w:p w14:paraId="133D8EE7"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Fonts w:ascii="Arial" w:eastAsia="Times New Roman" w:hAnsi="Arial" w:cs="Arial"/>
          <w:sz w:val="18"/>
          <w:szCs w:val="18"/>
          <w:lang w:val="es-CO" w:eastAsia="es-CO"/>
        </w:rPr>
        <w:t xml:space="preserve">» </w:t>
      </w:r>
      <w:r w:rsidRPr="006C0B38">
        <w:rPr>
          <w:rFonts w:ascii="Arial" w:hAnsi="Arial" w:cs="Arial"/>
          <w:sz w:val="18"/>
          <w:szCs w:val="18"/>
        </w:rPr>
        <w:t>4. Participar en las rentas nacionales,</w:t>
      </w:r>
      <w:r w:rsidRPr="006C0B38">
        <w:rPr>
          <w:rFonts w:ascii="Arial" w:eastAsia="Times New Roman" w:hAnsi="Arial" w:cs="Arial"/>
          <w:sz w:val="18"/>
          <w:szCs w:val="18"/>
          <w:lang w:val="es-CO" w:eastAsia="es-CO"/>
        </w:rPr>
        <w:t>»</w:t>
      </w:r>
    </w:p>
  </w:footnote>
  <w:footnote w:id="41">
    <w:p w14:paraId="2C08F4C6" w14:textId="16225A89" w:rsidR="006E4F08"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Corte Constitucional, Sentencia C-221 del 29 de abril de 1997. M.P. Alejandro Martínez Caballero.</w:t>
      </w:r>
    </w:p>
  </w:footnote>
  <w:footnote w:id="42">
    <w:p w14:paraId="00156406" w14:textId="77777777" w:rsidR="007B234F" w:rsidRPr="006C0B38" w:rsidRDefault="007B234F" w:rsidP="006C0B38">
      <w:pPr>
        <w:shd w:val="clear" w:color="auto" w:fill="FFFFFF"/>
        <w:spacing w:after="0" w:line="240" w:lineRule="auto"/>
        <w:ind w:firstLine="709"/>
        <w:rPr>
          <w:rFonts w:ascii="Arial" w:eastAsia="Times New Roman" w:hAnsi="Arial" w:cs="Arial"/>
          <w:bCs/>
          <w:sz w:val="18"/>
          <w:szCs w:val="18"/>
          <w:lang w:eastAsia="es-CO"/>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bCs/>
          <w:sz w:val="18"/>
          <w:szCs w:val="18"/>
          <w:lang w:eastAsia="es-CO"/>
        </w:rPr>
        <w:t>Corte Constitucional, Sentencia T-247 del 10 de abril de 2007.</w:t>
      </w:r>
      <w:r w:rsidRPr="006C0B38">
        <w:rPr>
          <w:rFonts w:ascii="Arial" w:hAnsi="Arial" w:cs="Arial"/>
          <w:sz w:val="18"/>
          <w:szCs w:val="18"/>
        </w:rPr>
        <w:t xml:space="preserve"> </w:t>
      </w:r>
      <w:r w:rsidRPr="006C0B38">
        <w:rPr>
          <w:rFonts w:ascii="Arial" w:eastAsia="Times New Roman" w:hAnsi="Arial" w:cs="Arial"/>
          <w:bCs/>
          <w:sz w:val="18"/>
          <w:szCs w:val="18"/>
          <w:lang w:eastAsia="es-CO"/>
        </w:rPr>
        <w:t>M.P. Rodrigo Escobar Gil.</w:t>
      </w:r>
    </w:p>
  </w:footnote>
  <w:footnote w:id="43">
    <w:p w14:paraId="431612AD" w14:textId="4A579D08" w:rsidR="008C596E" w:rsidRPr="006C0B38" w:rsidRDefault="007B234F" w:rsidP="006C0B38">
      <w:pPr>
        <w:pStyle w:val="Textonotapie"/>
        <w:spacing w:after="0" w:line="240" w:lineRule="auto"/>
        <w:ind w:firstLine="709"/>
        <w:rPr>
          <w:rFonts w:ascii="Arial" w:eastAsia="Times New Roman" w:hAnsi="Arial" w:cs="Arial"/>
          <w:bCs/>
          <w:sz w:val="18"/>
          <w:szCs w:val="18"/>
          <w:lang w:eastAsia="es-CO"/>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El artículo 68 de la Ley 489 de 1998 sobre este sector preceptúa: </w:t>
      </w:r>
      <w:r w:rsidRPr="006C0B38">
        <w:rPr>
          <w:rFonts w:ascii="Arial" w:eastAsia="Times New Roman" w:hAnsi="Arial" w:cs="Arial"/>
          <w:bCs/>
          <w:sz w:val="18"/>
          <w:szCs w:val="18"/>
          <w:lang w:eastAsia="es-CO"/>
        </w:rPr>
        <w:t>«</w:t>
      </w:r>
      <w:r w:rsidRPr="006C0B38">
        <w:rPr>
          <w:rFonts w:ascii="Arial" w:hAnsi="Arial" w:cs="Arial"/>
          <w:sz w:val="18"/>
          <w:szCs w:val="18"/>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6C0B38">
        <w:rPr>
          <w:rFonts w:ascii="Arial" w:eastAsia="Times New Roman" w:hAnsi="Arial" w:cs="Arial"/>
          <w:bCs/>
          <w:sz w:val="18"/>
          <w:szCs w:val="18"/>
          <w:lang w:eastAsia="es-CO"/>
        </w:rPr>
        <w:t>»</w:t>
      </w:r>
      <w:r w:rsidR="008C596E" w:rsidRPr="006C0B38">
        <w:rPr>
          <w:rFonts w:ascii="Arial" w:eastAsia="Times New Roman" w:hAnsi="Arial" w:cs="Arial"/>
          <w:bCs/>
          <w:sz w:val="18"/>
          <w:szCs w:val="18"/>
          <w:lang w:eastAsia="es-CO"/>
        </w:rPr>
        <w:t>.</w:t>
      </w:r>
    </w:p>
  </w:footnote>
  <w:footnote w:id="44">
    <w:p w14:paraId="3DA31957" w14:textId="77777777" w:rsidR="007B234F" w:rsidRPr="006C0B38" w:rsidRDefault="007B234F"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Rodríguez Libardo, Derecho Administrativo, general y colombiano, Editorial Temis, (2015), Bogotá, Colombia, p. 160.</w:t>
      </w:r>
    </w:p>
  </w:footnote>
  <w:footnote w:id="45">
    <w:p w14:paraId="3097A572" w14:textId="47CB61C4" w:rsidR="008C596E" w:rsidRPr="006C0B38" w:rsidRDefault="007B234F" w:rsidP="006C0B38">
      <w:pPr>
        <w:spacing w:after="0" w:line="240" w:lineRule="auto"/>
        <w:ind w:firstLine="708"/>
        <w:rPr>
          <w:rFonts w:ascii="Arial" w:eastAsia="Times New Roman" w:hAnsi="Arial" w:cs="Arial"/>
          <w:color w:val="333333"/>
          <w:sz w:val="18"/>
          <w:szCs w:val="18"/>
          <w:shd w:val="clear" w:color="auto" w:fill="FFFFFF"/>
          <w:lang w:val="es-CO" w:eastAsia="es-ES_tradnl"/>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Vidal Perdomo Libardo, Derecho Administrativo, editorial Legis, (2016), Bogotá, Colombia, p. 151. En similar sentido se ha expresado la Sala de Consulta y Servicio Civil del Consejo de Estado al definir a las entidades públicas descentralizadas indirectamente como «[…]</w:t>
      </w:r>
      <w:r w:rsidRPr="006C0B38">
        <w:rPr>
          <w:rFonts w:ascii="Arial" w:eastAsia="Times New Roman" w:hAnsi="Arial" w:cs="Arial"/>
          <w:color w:val="333333"/>
          <w:sz w:val="18"/>
          <w:szCs w:val="18"/>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p>
  </w:footnote>
  <w:footnote w:id="46">
    <w:p w14:paraId="55018064" w14:textId="60727B96" w:rsidR="00EF66A8" w:rsidRPr="006C0B38" w:rsidRDefault="00EF66A8"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Ver, Tafur Galvis Álvaro, las entidades descentralizadas, Bogotá, Editorial, Montoya y Araujo, (1984), p. 205. </w:t>
      </w:r>
    </w:p>
  </w:footnote>
  <w:footnote w:id="47">
    <w:p w14:paraId="4F3E4F61" w14:textId="77777777" w:rsidR="007B234F" w:rsidRPr="006C0B38" w:rsidRDefault="007B234F" w:rsidP="006C0B38">
      <w:pPr>
        <w:pStyle w:val="Textonotapie"/>
        <w:spacing w:after="0" w:line="240" w:lineRule="auto"/>
        <w:ind w:firstLine="708"/>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Sala de Consulta y Servicio Civil, Concepto Rad 1291, Ob. Cit. </w:t>
      </w:r>
    </w:p>
  </w:footnote>
  <w:footnote w:id="48">
    <w:p w14:paraId="247818DA"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Corte Constitucional, Sentencia C-374 del 25 de agosto de 1994, M.P. Jorge Arango Mejía. </w:t>
      </w:r>
    </w:p>
  </w:footnote>
  <w:footnote w:id="49">
    <w:p w14:paraId="6D83F487" w14:textId="3A68F66C" w:rsidR="007B234F" w:rsidRPr="006C0B38" w:rsidRDefault="007B234F" w:rsidP="006C0B38">
      <w:pPr>
        <w:pStyle w:val="Textonotapie"/>
        <w:spacing w:after="0" w:line="240" w:lineRule="auto"/>
        <w:ind w:firstLine="709"/>
        <w:rPr>
          <w:rFonts w:ascii="Arial" w:hAnsi="Arial" w:cs="Arial"/>
          <w:i/>
          <w:iCs/>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i/>
          <w:iCs/>
          <w:sz w:val="18"/>
          <w:szCs w:val="18"/>
        </w:rPr>
        <w:t>Ibid</w:t>
      </w:r>
    </w:p>
  </w:footnote>
  <w:footnote w:id="50">
    <w:p w14:paraId="7A48E17D" w14:textId="77777777" w:rsidR="007B234F" w:rsidRPr="006C0B38" w:rsidRDefault="007B234F" w:rsidP="006C0B38">
      <w:pPr>
        <w:pStyle w:val="Textonotapie"/>
        <w:spacing w:after="0" w:line="240" w:lineRule="auto"/>
        <w:ind w:firstLine="709"/>
        <w:rPr>
          <w:rFonts w:ascii="Arial" w:hAnsi="Arial" w:cs="Arial"/>
          <w:sz w:val="18"/>
          <w:szCs w:val="18"/>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bCs/>
          <w:sz w:val="18"/>
          <w:szCs w:val="18"/>
          <w:lang w:eastAsia="es-CO"/>
        </w:rPr>
        <w:t>«</w:t>
      </w:r>
      <w:r w:rsidRPr="006C0B38">
        <w:rPr>
          <w:rFonts w:ascii="Arial" w:hAnsi="Arial" w:cs="Arial"/>
          <w:sz w:val="18"/>
          <w:szCs w:val="18"/>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6C0B38">
        <w:rPr>
          <w:rFonts w:ascii="Arial" w:eastAsia="Times New Roman" w:hAnsi="Arial" w:cs="Arial"/>
          <w:bCs/>
          <w:sz w:val="18"/>
          <w:szCs w:val="18"/>
          <w:lang w:eastAsia="es-CO"/>
        </w:rPr>
        <w:t>»</w:t>
      </w:r>
    </w:p>
  </w:footnote>
  <w:footnote w:id="51">
    <w:p w14:paraId="79B9C8CC" w14:textId="24A35BFC" w:rsidR="004F1065" w:rsidRPr="006C0B38" w:rsidRDefault="00785E18" w:rsidP="006C0B38">
      <w:pPr>
        <w:spacing w:after="0" w:line="240" w:lineRule="auto"/>
        <w:ind w:firstLine="708"/>
        <w:rPr>
          <w:rFonts w:ascii="Arial" w:eastAsia="Times New Roman" w:hAnsi="Arial" w:cs="Arial"/>
          <w:sz w:val="18"/>
          <w:szCs w:val="18"/>
          <w:shd w:val="clear" w:color="auto" w:fill="FFFFFF"/>
          <w:lang w:val="es-CO" w:eastAsia="es-ES_tradnl"/>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sz w:val="18"/>
          <w:szCs w:val="18"/>
          <w:lang w:val="es-CO" w:eastAsia="es-ES_tradnl"/>
        </w:rPr>
        <w:t>ARTÍCULO 6º: «</w:t>
      </w:r>
      <w:r w:rsidRPr="006C0B38">
        <w:rPr>
          <w:rFonts w:ascii="Arial" w:eastAsia="Times New Roman" w:hAnsi="Arial" w:cs="Arial"/>
          <w:sz w:val="18"/>
          <w:szCs w:val="18"/>
          <w:shd w:val="clear" w:color="auto" w:fill="FFFFFF"/>
          <w:lang w:val="es-CO" w:eastAsia="es-ES_tradnl"/>
        </w:rPr>
        <w:t>Sistema presupuestal. Está constituido por un plan financiero, por un plan operativo anual de inversiones y por el presupuesto anual de la Nación».</w:t>
      </w:r>
    </w:p>
  </w:footnote>
  <w:footnote w:id="52">
    <w:p w14:paraId="65E1E1B6" w14:textId="3AE980C4" w:rsidR="00480940" w:rsidRPr="006C0B38" w:rsidRDefault="00785E18" w:rsidP="006C0B38">
      <w:pPr>
        <w:pStyle w:val="Textonotapie"/>
        <w:spacing w:after="0" w:line="240" w:lineRule="auto"/>
        <w:ind w:firstLine="709"/>
        <w:rPr>
          <w:rFonts w:ascii="Arial" w:eastAsia="Times New Roman" w:hAnsi="Arial" w:cs="Arial"/>
          <w:sz w:val="18"/>
          <w:szCs w:val="18"/>
          <w:shd w:val="clear" w:color="auto" w:fill="FFFFFF"/>
          <w:lang w:val="es-CO" w:eastAsia="es-ES_tradnl"/>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eastAsia="Times New Roman" w:hAnsi="Arial" w:cs="Arial"/>
          <w:sz w:val="18"/>
          <w:szCs w:val="18"/>
          <w:lang w:val="es-CO" w:eastAsia="es-ES_tradnl"/>
        </w:rPr>
        <w:t>ARTÍCULO 8º: «</w:t>
      </w:r>
      <w:r w:rsidRPr="006C0B38">
        <w:rPr>
          <w:rFonts w:ascii="Arial" w:eastAsia="Times New Roman" w:hAnsi="Arial" w:cs="Arial"/>
          <w:sz w:val="18"/>
          <w:szCs w:val="18"/>
          <w:shd w:val="clear" w:color="auto" w:fill="FFFFFF"/>
          <w:lang w:val="es-CO" w:eastAsia="es-ES_tradnl"/>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p w14:paraId="2AFDB4FF" w14:textId="77777777" w:rsidR="002937F6" w:rsidRPr="006C0B38" w:rsidRDefault="002937F6" w:rsidP="006C0B38">
      <w:pPr>
        <w:pStyle w:val="Textonotapie"/>
        <w:spacing w:after="0" w:line="240" w:lineRule="auto"/>
        <w:ind w:firstLine="709"/>
        <w:rPr>
          <w:rFonts w:ascii="Arial" w:eastAsia="Times New Roman" w:hAnsi="Arial" w:cs="Arial"/>
          <w:sz w:val="18"/>
          <w:szCs w:val="18"/>
          <w:shd w:val="clear" w:color="auto" w:fill="FFFFFF"/>
          <w:lang w:val="es-CO" w:eastAsia="es-ES_tradnl"/>
        </w:rPr>
      </w:pPr>
    </w:p>
  </w:footnote>
  <w:footnote w:id="53">
    <w:p w14:paraId="58FF81C1" w14:textId="77777777" w:rsidR="007B234F" w:rsidRPr="006C0B38" w:rsidRDefault="007B234F"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 xml:space="preserve">Registraduría Nacional del Estado Civil, </w:t>
      </w:r>
      <w:r w:rsidRPr="006C0B38">
        <w:rPr>
          <w:rFonts w:ascii="Arial" w:hAnsi="Arial" w:cs="Arial"/>
          <w:sz w:val="18"/>
          <w:szCs w:val="18"/>
          <w:lang w:val="es-ES"/>
        </w:rPr>
        <w:t xml:space="preserve">Resolución 2098 del 12 de marzo de 2021, mediante la cual «se fija el calendario electoral del Congreso de la República que se realizarán el 13 de marzo». </w:t>
      </w:r>
    </w:p>
  </w:footnote>
  <w:footnote w:id="54">
    <w:p w14:paraId="6E2A7FAC" w14:textId="77777777" w:rsidR="007B234F" w:rsidRPr="006C0B38" w:rsidRDefault="007B234F" w:rsidP="006C0B38">
      <w:pPr>
        <w:pStyle w:val="Textonotapie"/>
        <w:spacing w:after="0" w:line="240" w:lineRule="auto"/>
        <w:ind w:firstLine="709"/>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Registraduría Nacional del Estado Civil, Resolución 4371 del 18 de mayo de 2021, «por la cual se fija el calendario electoral para las elecciones de Presidente y Vicepresidente de la República (primera vuelta) para el periodo constitucional 2022-2026.</w:t>
      </w:r>
    </w:p>
  </w:footnote>
  <w:footnote w:id="55">
    <w:p w14:paraId="3FAB1409" w14:textId="5BAA1B23"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Sobre esta norma consultar los conceptos del 8 de octubre de 2019, con radicado 2201913000007532, y del 20 de diciembre de 2019, cuyo radicado es el No. 4201913000008240.</w:t>
      </w:r>
    </w:p>
  </w:footnote>
  <w:footnote w:id="56">
    <w:p w14:paraId="212C6A39"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84298AB" w14:textId="27DFED66"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Fonts w:ascii="Arial" w:hAnsi="Arial" w:cs="Arial"/>
          <w:color w:val="000000" w:themeColor="text1"/>
          <w:sz w:val="18"/>
          <w:szCs w:val="18"/>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57">
    <w:p w14:paraId="36FD1D17" w14:textId="54A33A2B"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En el concepto emitido el 5 de febrero de 2019, dentro del radicado No. 2201913000000663, se dijo: «[l]os convenios de asociación del artículo 5 son distintos a los contratos de colaboración del artículo 2 del Decreto 092 de 2017».</w:t>
      </w:r>
    </w:p>
  </w:footnote>
  <w:footnote w:id="58">
    <w:p w14:paraId="098F2F4A" w14:textId="14FB74D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Concepto del 3 de septiembre de 2019, emitido en el radicado No. 2201913000006512.</w:t>
      </w:r>
    </w:p>
  </w:footnote>
  <w:footnote w:id="59">
    <w:p w14:paraId="5515D1D2"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El numeral 16.9 de la Circular Externa Única de Colombia Compra Eficiente determina:</w:t>
      </w:r>
    </w:p>
    <w:p w14:paraId="411F3803"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Fonts w:ascii="Arial" w:hAnsi="Arial" w:cs="Arial"/>
          <w:color w:val="000000" w:themeColor="text1"/>
          <w:sz w:val="18"/>
          <w:szCs w:val="18"/>
        </w:rPr>
        <w:t>«16.9 Uniones temporales y consorcios conformados por entidades sin ánimo de lucro.</w:t>
      </w:r>
    </w:p>
    <w:p w14:paraId="5B762F2B" w14:textId="0DBE2131"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Fonts w:ascii="Arial" w:hAnsi="Arial" w:cs="Arial"/>
          <w:color w:val="000000" w:themeColor="text1"/>
          <w:sz w:val="18"/>
          <w:szCs w:val="18"/>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60">
    <w:p w14:paraId="5FFC7BFB" w14:textId="77777777" w:rsidR="009B6258" w:rsidRPr="006C0B38" w:rsidRDefault="009B6258" w:rsidP="006C0B38">
      <w:pPr>
        <w:pStyle w:val="Textonotapie"/>
        <w:spacing w:after="0" w:line="240" w:lineRule="auto"/>
        <w:ind w:firstLine="708"/>
        <w:rPr>
          <w:rFonts w:ascii="Arial" w:hAnsi="Arial" w:cs="Arial"/>
          <w:color w:val="000000" w:themeColor="text1"/>
          <w:sz w:val="18"/>
          <w:szCs w:val="18"/>
          <w:lang w:val="es-ES"/>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Concepto del 19 de noviembre de 2019, emitido en el radicado No. 2201913000008611.</w:t>
      </w:r>
    </w:p>
  </w:footnote>
  <w:footnote w:id="61">
    <w:p w14:paraId="0520CE73" w14:textId="520C1A69"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62">
    <w:p w14:paraId="54AD3E4A" w14:textId="355DFE2B" w:rsidR="009B6258" w:rsidRPr="006C0B38" w:rsidRDefault="009B6258" w:rsidP="006C0B38">
      <w:pPr>
        <w:pStyle w:val="Textonotapie"/>
        <w:spacing w:after="0" w:line="240" w:lineRule="auto"/>
        <w:ind w:firstLine="708"/>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r w:rsidRPr="006C0B38">
        <w:rPr>
          <w:rFonts w:ascii="Arial" w:hAnsi="Arial" w:cs="Arial"/>
          <w:color w:val="000000" w:themeColor="text1"/>
          <w:sz w:val="18"/>
          <w:szCs w:val="18"/>
        </w:rPr>
        <w:t>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63">
    <w:p w14:paraId="76BDC8E1" w14:textId="26A26F9E" w:rsidR="00FA0E3E" w:rsidRPr="006C0B38" w:rsidRDefault="00FA0E3E" w:rsidP="006C0B38">
      <w:pPr>
        <w:pStyle w:val="Textonotapie"/>
        <w:spacing w:after="0" w:line="240" w:lineRule="auto"/>
        <w:ind w:firstLine="708"/>
        <w:rPr>
          <w:rFonts w:ascii="Arial" w:hAnsi="Arial" w:cs="Arial"/>
          <w:sz w:val="18"/>
          <w:szCs w:val="18"/>
          <w:lang w:val="es-CO"/>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rPr>
        <w:t>En efecto, conforme al artículo 4 del Decreto 092 de 2017, «</w:t>
      </w:r>
      <w:r w:rsidRPr="006C0B38">
        <w:rPr>
          <w:rFonts w:ascii="Arial" w:hAnsi="Arial" w:cs="Arial"/>
          <w:i/>
          <w:iCs/>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r w:rsidRPr="006C0B38">
        <w:rPr>
          <w:rFonts w:ascii="Arial" w:hAnsi="Arial" w:cs="Arial"/>
          <w:sz w:val="18"/>
          <w:szCs w:val="18"/>
          <w:lang w:val="es-CO"/>
        </w:rPr>
        <w:t>.</w:t>
      </w:r>
    </w:p>
    <w:p w14:paraId="69D0506E" w14:textId="5F69149C" w:rsidR="00FA0E3E" w:rsidRPr="00FA0E3E" w:rsidRDefault="00FA0E3E" w:rsidP="006C0B38">
      <w:pPr>
        <w:pStyle w:val="Textonotapie"/>
        <w:spacing w:after="0" w:line="240" w:lineRule="auto"/>
        <w:ind w:firstLine="708"/>
        <w:rPr>
          <w:rFonts w:ascii="Arial" w:hAnsi="Arial" w:cs="Arial"/>
          <w:sz w:val="18"/>
          <w:szCs w:val="18"/>
          <w:lang w:val="es-CO"/>
        </w:rPr>
      </w:pPr>
      <w:r w:rsidRPr="006C0B38">
        <w:rPr>
          <w:rFonts w:ascii="Arial" w:hAnsi="Arial" w:cs="Arial"/>
          <w:sz w:val="18"/>
          <w:szCs w:val="18"/>
          <w:lang w:val="es-CO"/>
        </w:rPr>
        <w:t>»</w:t>
      </w:r>
      <w:r w:rsidRPr="00FA0E3E">
        <w:rPr>
          <w:rFonts w:ascii="Arial" w:hAnsi="Arial" w:cs="Arial"/>
          <w:sz w:val="18"/>
          <w:szCs w:val="18"/>
          <w:lang w:val="es-CO"/>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r w:rsidRPr="006C0B38">
        <w:rPr>
          <w:rFonts w:ascii="Arial" w:hAnsi="Arial" w:cs="Arial"/>
          <w:sz w:val="18"/>
          <w:szCs w:val="18"/>
          <w:lang w:val="es-CO"/>
        </w:rPr>
        <w:t>» (Énfasis fuera de texto)</w:t>
      </w:r>
      <w:r w:rsidRPr="00FA0E3E">
        <w:rPr>
          <w:rFonts w:ascii="Arial" w:hAnsi="Arial" w:cs="Arial"/>
          <w:sz w:val="18"/>
          <w:szCs w:val="18"/>
          <w:lang w:val="es-CO"/>
        </w:rPr>
        <w:t>.</w:t>
      </w:r>
    </w:p>
    <w:p w14:paraId="5149B225" w14:textId="77AA6CFD" w:rsidR="00FA0E3E" w:rsidRPr="006C0B38" w:rsidRDefault="00FA0E3E" w:rsidP="006C0B38">
      <w:pPr>
        <w:pStyle w:val="Textonotapie"/>
        <w:spacing w:after="0" w:line="240" w:lineRule="auto"/>
        <w:ind w:firstLine="708"/>
        <w:rPr>
          <w:rFonts w:ascii="Arial" w:hAnsi="Arial" w:cs="Arial"/>
          <w:sz w:val="18"/>
          <w:szCs w:val="18"/>
        </w:rPr>
      </w:pPr>
    </w:p>
  </w:footnote>
  <w:footnote w:id="64">
    <w:p w14:paraId="063A171D" w14:textId="55F3E352" w:rsidR="00645346" w:rsidRPr="00645346" w:rsidRDefault="00645346" w:rsidP="00645346">
      <w:pPr>
        <w:pStyle w:val="Textonotapie"/>
        <w:ind w:firstLine="708"/>
        <w:rPr>
          <w:rFonts w:ascii="Arial" w:hAnsi="Arial" w:cs="Arial"/>
          <w:sz w:val="18"/>
          <w:szCs w:val="18"/>
          <w:lang w:val="es-CO"/>
        </w:rPr>
      </w:pPr>
      <w:r>
        <w:rPr>
          <w:rStyle w:val="Refdenotaalpie"/>
        </w:rPr>
        <w:footnoteRef/>
      </w:r>
      <w:r>
        <w:t xml:space="preserve"> </w:t>
      </w:r>
      <w:r>
        <w:t xml:space="preserve">Ley 388 de 1997. </w:t>
      </w:r>
      <w:r w:rsidRPr="006C0B38">
        <w:rPr>
          <w:rFonts w:ascii="Arial" w:hAnsi="Arial" w:cs="Arial"/>
          <w:color w:val="000000" w:themeColor="text1"/>
          <w:sz w:val="18"/>
          <w:szCs w:val="18"/>
        </w:rPr>
        <w:t>«</w:t>
      </w:r>
      <w:r w:rsidRPr="00645346">
        <w:rPr>
          <w:rFonts w:ascii="Arial" w:hAnsi="Arial" w:cs="Arial"/>
          <w:sz w:val="18"/>
          <w:szCs w:val="18"/>
          <w:lang w:val="es-CO"/>
        </w:rPr>
        <w:t>ARTÍCULO 130º.-Mientras los municipios y distritos adoptan o adecuan los planes de ordenamiento territorial en el término previsto en el artículo 23 de esta Ley, regirán en las materias correspondientes los planes de desarrollo, los planes maestros de infraestructuras, los códigos de urbanismo y normas urbanísticas</w:t>
      </w:r>
      <w:r w:rsidRPr="006C0B38">
        <w:rPr>
          <w:rFonts w:ascii="Arial" w:hAnsi="Arial" w:cs="Arial"/>
          <w:sz w:val="18"/>
          <w:szCs w:val="18"/>
          <w:lang w:val="es-CO"/>
        </w:rPr>
        <w:t>»</w:t>
      </w:r>
    </w:p>
  </w:footnote>
  <w:footnote w:id="65">
    <w:p w14:paraId="0045B2A0" w14:textId="77777777" w:rsidR="00436F9D" w:rsidRPr="006C0B38" w:rsidRDefault="00436F9D" w:rsidP="00436F9D">
      <w:pPr>
        <w:pStyle w:val="Textonotapie"/>
        <w:spacing w:after="0" w:line="240" w:lineRule="auto"/>
        <w:ind w:firstLine="709"/>
        <w:rPr>
          <w:rFonts w:ascii="Arial" w:hAnsi="Arial" w:cs="Arial"/>
          <w:color w:val="000000" w:themeColor="text1"/>
          <w:sz w:val="18"/>
          <w:szCs w:val="18"/>
        </w:rPr>
      </w:pPr>
      <w:r w:rsidRPr="006C0B38">
        <w:rPr>
          <w:rStyle w:val="Refdenotaalpie"/>
          <w:rFonts w:ascii="Arial" w:hAnsi="Arial" w:cs="Arial"/>
          <w:color w:val="000000" w:themeColor="text1"/>
          <w:sz w:val="18"/>
          <w:szCs w:val="18"/>
        </w:rPr>
        <w:footnoteRef/>
      </w:r>
      <w:r w:rsidRPr="006C0B38">
        <w:rPr>
          <w:rFonts w:ascii="Arial" w:hAnsi="Arial" w:cs="Arial"/>
          <w:color w:val="000000" w:themeColor="text1"/>
          <w:sz w:val="18"/>
          <w:szCs w:val="18"/>
        </w:rPr>
        <w:t xml:space="preserve"> </w:t>
      </w:r>
      <w:bookmarkStart w:id="63" w:name="_Hlk75244261"/>
      <w:r w:rsidRPr="006C0B38">
        <w:rPr>
          <w:rFonts w:ascii="Arial" w:hAnsi="Arial" w:cs="Arial"/>
          <w:color w:val="000000" w:themeColor="text1"/>
          <w:sz w:val="18"/>
          <w:szCs w:val="18"/>
        </w:rPr>
        <w:t>Decreto 1082 de 2015</w:t>
      </w:r>
      <w:bookmarkEnd w:id="63"/>
      <w:r w:rsidRPr="006C0B38">
        <w:rPr>
          <w:rFonts w:ascii="Arial" w:hAnsi="Arial" w:cs="Arial"/>
          <w:color w:val="000000" w:themeColor="text1"/>
          <w:sz w:val="18"/>
          <w:szCs w:val="18"/>
        </w:rPr>
        <w:t xml:space="preserve">: «Artículo </w:t>
      </w:r>
      <w:bookmarkStart w:id="64" w:name="_Hlk75244247"/>
      <w:r w:rsidRPr="006C0B38">
        <w:rPr>
          <w:rFonts w:ascii="Arial" w:hAnsi="Arial" w:cs="Arial"/>
          <w:color w:val="000000" w:themeColor="text1"/>
          <w:sz w:val="18"/>
          <w:szCs w:val="18"/>
        </w:rPr>
        <w:t>2.2.1.2.1.4.4</w:t>
      </w:r>
      <w:bookmarkEnd w:id="64"/>
      <w:r w:rsidRPr="006C0B38">
        <w:rPr>
          <w:rFonts w:ascii="Arial" w:hAnsi="Arial" w:cs="Arial"/>
          <w:color w:val="000000" w:themeColor="text1"/>
          <w:sz w:val="18"/>
          <w:szCs w:val="18"/>
        </w:rPr>
        <w:t>. Convenios o contratos interadministrativos. La modalidad de selección para la contratación entre Entidades Estatales es la contratación directa; y en consecuencia, le es aplicable lo establecido en el artículo 2.2.1.2.1.4.1 del presente decreto.</w:t>
      </w:r>
    </w:p>
    <w:p w14:paraId="0CE263BE" w14:textId="77777777" w:rsidR="00436F9D" w:rsidRPr="006C0B38" w:rsidRDefault="00436F9D" w:rsidP="00436F9D">
      <w:pPr>
        <w:pStyle w:val="Textonotapie"/>
        <w:spacing w:after="0" w:line="240" w:lineRule="auto"/>
        <w:ind w:firstLine="709"/>
        <w:rPr>
          <w:rFonts w:ascii="Arial" w:hAnsi="Arial" w:cs="Arial"/>
          <w:color w:val="000000" w:themeColor="text1"/>
          <w:sz w:val="18"/>
          <w:szCs w:val="18"/>
        </w:rPr>
      </w:pPr>
      <w:r w:rsidRPr="006C0B38">
        <w:rPr>
          <w:rFonts w:ascii="Arial" w:hAnsi="Arial" w:cs="Arial"/>
          <w:color w:val="000000" w:themeColor="text1"/>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66">
    <w:p w14:paraId="4128CF3B" w14:textId="77777777" w:rsidR="002400B3" w:rsidRPr="006C0B38" w:rsidRDefault="002400B3" w:rsidP="006C0B38">
      <w:pPr>
        <w:pStyle w:val="Textonotapie"/>
        <w:spacing w:after="0" w:line="240" w:lineRule="auto"/>
        <w:ind w:firstLine="708"/>
        <w:rPr>
          <w:rFonts w:ascii="Arial" w:hAnsi="Arial" w:cs="Arial"/>
          <w:sz w:val="18"/>
          <w:szCs w:val="18"/>
          <w:lang w:val="es-ES"/>
        </w:rPr>
      </w:pPr>
      <w:r w:rsidRPr="006C0B38">
        <w:rPr>
          <w:rStyle w:val="Refdenotaalpie"/>
          <w:rFonts w:ascii="Arial" w:hAnsi="Arial" w:cs="Arial"/>
          <w:sz w:val="18"/>
          <w:szCs w:val="18"/>
        </w:rPr>
        <w:footnoteRef/>
      </w:r>
      <w:r w:rsidRPr="006C0B38">
        <w:rPr>
          <w:rFonts w:ascii="Arial" w:hAnsi="Arial" w:cs="Arial"/>
          <w:sz w:val="18"/>
          <w:szCs w:val="18"/>
        </w:rPr>
        <w:t xml:space="preserve"> </w:t>
      </w:r>
      <w:r w:rsidRPr="006C0B38">
        <w:rPr>
          <w:rFonts w:ascii="Arial" w:hAnsi="Arial" w:cs="Arial"/>
          <w:sz w:val="18"/>
          <w:szCs w:val="18"/>
          <w:lang w:val="es-CO"/>
        </w:rPr>
        <w:t>CONSEJO DE ESTADO. Sala de Consulta y Servicio Civil. Concepto del 8 de mayo de 2018. Rad. 2382. C.P.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3AEE"/>
    <w:rsid w:val="0000404B"/>
    <w:rsid w:val="00004F5E"/>
    <w:rsid w:val="0000591C"/>
    <w:rsid w:val="0000645E"/>
    <w:rsid w:val="0000682D"/>
    <w:rsid w:val="00006906"/>
    <w:rsid w:val="00006BE6"/>
    <w:rsid w:val="000105E2"/>
    <w:rsid w:val="00010981"/>
    <w:rsid w:val="00011726"/>
    <w:rsid w:val="000123BA"/>
    <w:rsid w:val="000126BB"/>
    <w:rsid w:val="00012A1B"/>
    <w:rsid w:val="000136DC"/>
    <w:rsid w:val="0001574B"/>
    <w:rsid w:val="000165EE"/>
    <w:rsid w:val="00016F33"/>
    <w:rsid w:val="00016FAC"/>
    <w:rsid w:val="0001726A"/>
    <w:rsid w:val="000177B1"/>
    <w:rsid w:val="0001794A"/>
    <w:rsid w:val="0001795B"/>
    <w:rsid w:val="00020801"/>
    <w:rsid w:val="00020D8D"/>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3E68"/>
    <w:rsid w:val="00034F55"/>
    <w:rsid w:val="00035AC7"/>
    <w:rsid w:val="00036083"/>
    <w:rsid w:val="000365C0"/>
    <w:rsid w:val="00036FF6"/>
    <w:rsid w:val="0003711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625D"/>
    <w:rsid w:val="00067665"/>
    <w:rsid w:val="00070770"/>
    <w:rsid w:val="00070A22"/>
    <w:rsid w:val="00071D6E"/>
    <w:rsid w:val="000743C2"/>
    <w:rsid w:val="0007460B"/>
    <w:rsid w:val="000751BB"/>
    <w:rsid w:val="0007590A"/>
    <w:rsid w:val="0007639B"/>
    <w:rsid w:val="00077C34"/>
    <w:rsid w:val="00077D20"/>
    <w:rsid w:val="00077E04"/>
    <w:rsid w:val="00077E1C"/>
    <w:rsid w:val="00080D35"/>
    <w:rsid w:val="00081AF3"/>
    <w:rsid w:val="00081B2F"/>
    <w:rsid w:val="00081E50"/>
    <w:rsid w:val="0008260E"/>
    <w:rsid w:val="000828E9"/>
    <w:rsid w:val="00082DAD"/>
    <w:rsid w:val="00083BE4"/>
    <w:rsid w:val="00084DC0"/>
    <w:rsid w:val="0008592F"/>
    <w:rsid w:val="00085CC3"/>
    <w:rsid w:val="0008644C"/>
    <w:rsid w:val="00086C08"/>
    <w:rsid w:val="000873C1"/>
    <w:rsid w:val="00087888"/>
    <w:rsid w:val="00090D35"/>
    <w:rsid w:val="000914F4"/>
    <w:rsid w:val="0009180B"/>
    <w:rsid w:val="00091F2A"/>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1DA7"/>
    <w:rsid w:val="000A2C01"/>
    <w:rsid w:val="000A4D0D"/>
    <w:rsid w:val="000A5189"/>
    <w:rsid w:val="000A668C"/>
    <w:rsid w:val="000A66CF"/>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8C2"/>
    <w:rsid w:val="000E1761"/>
    <w:rsid w:val="000E182B"/>
    <w:rsid w:val="000E190F"/>
    <w:rsid w:val="000E1F13"/>
    <w:rsid w:val="000E24E1"/>
    <w:rsid w:val="000E32F8"/>
    <w:rsid w:val="000E331F"/>
    <w:rsid w:val="000E33BC"/>
    <w:rsid w:val="000E33FD"/>
    <w:rsid w:val="000E4B6B"/>
    <w:rsid w:val="000E5299"/>
    <w:rsid w:val="000E576C"/>
    <w:rsid w:val="000E59C2"/>
    <w:rsid w:val="000E68FA"/>
    <w:rsid w:val="000E6962"/>
    <w:rsid w:val="000E6D84"/>
    <w:rsid w:val="000E7E85"/>
    <w:rsid w:val="000F14E8"/>
    <w:rsid w:val="000F17FC"/>
    <w:rsid w:val="000F1D24"/>
    <w:rsid w:val="000F354B"/>
    <w:rsid w:val="000F3B04"/>
    <w:rsid w:val="000F3C44"/>
    <w:rsid w:val="000F3D91"/>
    <w:rsid w:val="000F6869"/>
    <w:rsid w:val="000F68D3"/>
    <w:rsid w:val="000F7AE4"/>
    <w:rsid w:val="001000EC"/>
    <w:rsid w:val="001015E9"/>
    <w:rsid w:val="001017F1"/>
    <w:rsid w:val="001024CE"/>
    <w:rsid w:val="00102AA1"/>
    <w:rsid w:val="00103915"/>
    <w:rsid w:val="00103D3D"/>
    <w:rsid w:val="00104423"/>
    <w:rsid w:val="00105B6D"/>
    <w:rsid w:val="001065D1"/>
    <w:rsid w:val="00106AC5"/>
    <w:rsid w:val="00106B75"/>
    <w:rsid w:val="00107244"/>
    <w:rsid w:val="001103D3"/>
    <w:rsid w:val="001112CF"/>
    <w:rsid w:val="00111438"/>
    <w:rsid w:val="00111636"/>
    <w:rsid w:val="00112192"/>
    <w:rsid w:val="00112D2F"/>
    <w:rsid w:val="00112D6B"/>
    <w:rsid w:val="001139AE"/>
    <w:rsid w:val="00114236"/>
    <w:rsid w:val="00114E2B"/>
    <w:rsid w:val="001152BA"/>
    <w:rsid w:val="0011561C"/>
    <w:rsid w:val="0011730D"/>
    <w:rsid w:val="00121409"/>
    <w:rsid w:val="001214FF"/>
    <w:rsid w:val="001229C6"/>
    <w:rsid w:val="00122B23"/>
    <w:rsid w:val="00123C67"/>
    <w:rsid w:val="00124E73"/>
    <w:rsid w:val="00124EC3"/>
    <w:rsid w:val="00124EE5"/>
    <w:rsid w:val="00125291"/>
    <w:rsid w:val="00125D4C"/>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3600"/>
    <w:rsid w:val="001448B5"/>
    <w:rsid w:val="0014582F"/>
    <w:rsid w:val="00145AAA"/>
    <w:rsid w:val="00146E1D"/>
    <w:rsid w:val="00147605"/>
    <w:rsid w:val="001509CD"/>
    <w:rsid w:val="00151D31"/>
    <w:rsid w:val="001520A3"/>
    <w:rsid w:val="00152609"/>
    <w:rsid w:val="00152B00"/>
    <w:rsid w:val="00152C65"/>
    <w:rsid w:val="00152CA8"/>
    <w:rsid w:val="0015382E"/>
    <w:rsid w:val="00154879"/>
    <w:rsid w:val="00154A20"/>
    <w:rsid w:val="00154D1D"/>
    <w:rsid w:val="001550CF"/>
    <w:rsid w:val="001554A4"/>
    <w:rsid w:val="001568EE"/>
    <w:rsid w:val="00156DAF"/>
    <w:rsid w:val="0015784C"/>
    <w:rsid w:val="00160F84"/>
    <w:rsid w:val="0016135A"/>
    <w:rsid w:val="0016149E"/>
    <w:rsid w:val="00161D78"/>
    <w:rsid w:val="0016262F"/>
    <w:rsid w:val="0016397F"/>
    <w:rsid w:val="001640BC"/>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50"/>
    <w:rsid w:val="00174FBC"/>
    <w:rsid w:val="0017528B"/>
    <w:rsid w:val="001755EC"/>
    <w:rsid w:val="00175795"/>
    <w:rsid w:val="001765FA"/>
    <w:rsid w:val="001770E9"/>
    <w:rsid w:val="00177BAA"/>
    <w:rsid w:val="00180B3B"/>
    <w:rsid w:val="001823A0"/>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94D"/>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4EC6"/>
    <w:rsid w:val="001B528A"/>
    <w:rsid w:val="001B53B4"/>
    <w:rsid w:val="001B59D6"/>
    <w:rsid w:val="001B6044"/>
    <w:rsid w:val="001B6084"/>
    <w:rsid w:val="001B686F"/>
    <w:rsid w:val="001B7618"/>
    <w:rsid w:val="001B7DEA"/>
    <w:rsid w:val="001C1A26"/>
    <w:rsid w:val="001C219D"/>
    <w:rsid w:val="001C24AA"/>
    <w:rsid w:val="001C33CB"/>
    <w:rsid w:val="001C398F"/>
    <w:rsid w:val="001C5292"/>
    <w:rsid w:val="001C722C"/>
    <w:rsid w:val="001C775D"/>
    <w:rsid w:val="001C7B1F"/>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276"/>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1EB"/>
    <w:rsid w:val="0022655C"/>
    <w:rsid w:val="0022678E"/>
    <w:rsid w:val="002272CA"/>
    <w:rsid w:val="00227541"/>
    <w:rsid w:val="00227D81"/>
    <w:rsid w:val="002311BD"/>
    <w:rsid w:val="0023158E"/>
    <w:rsid w:val="00231E50"/>
    <w:rsid w:val="00231FD4"/>
    <w:rsid w:val="0023236C"/>
    <w:rsid w:val="00233A24"/>
    <w:rsid w:val="00233DF3"/>
    <w:rsid w:val="0023484E"/>
    <w:rsid w:val="00234B84"/>
    <w:rsid w:val="00235B42"/>
    <w:rsid w:val="00236137"/>
    <w:rsid w:val="00236740"/>
    <w:rsid w:val="00237253"/>
    <w:rsid w:val="00237329"/>
    <w:rsid w:val="002400B3"/>
    <w:rsid w:val="00240225"/>
    <w:rsid w:val="00240A06"/>
    <w:rsid w:val="002416BA"/>
    <w:rsid w:val="002427B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57F4E"/>
    <w:rsid w:val="00261631"/>
    <w:rsid w:val="002633DE"/>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D7E"/>
    <w:rsid w:val="00277428"/>
    <w:rsid w:val="002806C6"/>
    <w:rsid w:val="002812E1"/>
    <w:rsid w:val="00281E62"/>
    <w:rsid w:val="00281ED6"/>
    <w:rsid w:val="00282175"/>
    <w:rsid w:val="00282493"/>
    <w:rsid w:val="0028312F"/>
    <w:rsid w:val="00283380"/>
    <w:rsid w:val="00284F66"/>
    <w:rsid w:val="00285D7E"/>
    <w:rsid w:val="00285D82"/>
    <w:rsid w:val="00285FED"/>
    <w:rsid w:val="00286660"/>
    <w:rsid w:val="00286A53"/>
    <w:rsid w:val="00287542"/>
    <w:rsid w:val="002877E9"/>
    <w:rsid w:val="0029159E"/>
    <w:rsid w:val="002933BF"/>
    <w:rsid w:val="002937F6"/>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5ED5"/>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2AD"/>
    <w:rsid w:val="002D5D70"/>
    <w:rsid w:val="002D6942"/>
    <w:rsid w:val="002D7A44"/>
    <w:rsid w:val="002D7E62"/>
    <w:rsid w:val="002D7F92"/>
    <w:rsid w:val="002E0633"/>
    <w:rsid w:val="002E0A18"/>
    <w:rsid w:val="002E1888"/>
    <w:rsid w:val="002E1964"/>
    <w:rsid w:val="002E19A5"/>
    <w:rsid w:val="002E1E7E"/>
    <w:rsid w:val="002E27E0"/>
    <w:rsid w:val="002E39A3"/>
    <w:rsid w:val="002E5EB7"/>
    <w:rsid w:val="002E6150"/>
    <w:rsid w:val="002E631C"/>
    <w:rsid w:val="002E6B6F"/>
    <w:rsid w:val="002E74C9"/>
    <w:rsid w:val="002F0800"/>
    <w:rsid w:val="002F3451"/>
    <w:rsid w:val="002F3606"/>
    <w:rsid w:val="002F3CF5"/>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152"/>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D"/>
    <w:rsid w:val="00351383"/>
    <w:rsid w:val="003528F0"/>
    <w:rsid w:val="00352927"/>
    <w:rsid w:val="00352FE4"/>
    <w:rsid w:val="00353FDF"/>
    <w:rsid w:val="00354432"/>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164"/>
    <w:rsid w:val="00384B44"/>
    <w:rsid w:val="00384F42"/>
    <w:rsid w:val="00385EC9"/>
    <w:rsid w:val="00386456"/>
    <w:rsid w:val="00387241"/>
    <w:rsid w:val="00387E1C"/>
    <w:rsid w:val="0039009A"/>
    <w:rsid w:val="0039010E"/>
    <w:rsid w:val="003901D8"/>
    <w:rsid w:val="00390732"/>
    <w:rsid w:val="00390B41"/>
    <w:rsid w:val="0039100A"/>
    <w:rsid w:val="00391D93"/>
    <w:rsid w:val="00392714"/>
    <w:rsid w:val="00392E7E"/>
    <w:rsid w:val="00392F63"/>
    <w:rsid w:val="00393184"/>
    <w:rsid w:val="0039340C"/>
    <w:rsid w:val="003934DD"/>
    <w:rsid w:val="00394337"/>
    <w:rsid w:val="00396D23"/>
    <w:rsid w:val="003978D0"/>
    <w:rsid w:val="003A0468"/>
    <w:rsid w:val="003A046A"/>
    <w:rsid w:val="003A0603"/>
    <w:rsid w:val="003A1031"/>
    <w:rsid w:val="003A1157"/>
    <w:rsid w:val="003A187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6EE4"/>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5AE"/>
    <w:rsid w:val="003E5C80"/>
    <w:rsid w:val="003E5ED1"/>
    <w:rsid w:val="003E6682"/>
    <w:rsid w:val="003E7261"/>
    <w:rsid w:val="003E7A20"/>
    <w:rsid w:val="003E7AAD"/>
    <w:rsid w:val="003F088B"/>
    <w:rsid w:val="003F0FBE"/>
    <w:rsid w:val="003F165C"/>
    <w:rsid w:val="003F28CF"/>
    <w:rsid w:val="003F2AD2"/>
    <w:rsid w:val="003F30B1"/>
    <w:rsid w:val="003F328D"/>
    <w:rsid w:val="003F47E5"/>
    <w:rsid w:val="003F5439"/>
    <w:rsid w:val="003F5CDD"/>
    <w:rsid w:val="003F5D5D"/>
    <w:rsid w:val="003F60D3"/>
    <w:rsid w:val="003F7E6A"/>
    <w:rsid w:val="00400083"/>
    <w:rsid w:val="0040059A"/>
    <w:rsid w:val="00402FD5"/>
    <w:rsid w:val="00403A30"/>
    <w:rsid w:val="00404797"/>
    <w:rsid w:val="00405524"/>
    <w:rsid w:val="00406868"/>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6F9D"/>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57C2F"/>
    <w:rsid w:val="004620B3"/>
    <w:rsid w:val="00463997"/>
    <w:rsid w:val="004648D2"/>
    <w:rsid w:val="004652E5"/>
    <w:rsid w:val="0046604D"/>
    <w:rsid w:val="00471F7A"/>
    <w:rsid w:val="0047250D"/>
    <w:rsid w:val="0047358F"/>
    <w:rsid w:val="0047429E"/>
    <w:rsid w:val="00474434"/>
    <w:rsid w:val="0047444E"/>
    <w:rsid w:val="00474614"/>
    <w:rsid w:val="00474880"/>
    <w:rsid w:val="004750AA"/>
    <w:rsid w:val="004755D2"/>
    <w:rsid w:val="004768C9"/>
    <w:rsid w:val="00476A0B"/>
    <w:rsid w:val="004774B6"/>
    <w:rsid w:val="00477A49"/>
    <w:rsid w:val="00477BFF"/>
    <w:rsid w:val="00480940"/>
    <w:rsid w:val="00481FA4"/>
    <w:rsid w:val="004821AB"/>
    <w:rsid w:val="00482A4E"/>
    <w:rsid w:val="004832C7"/>
    <w:rsid w:val="00485197"/>
    <w:rsid w:val="00485AD7"/>
    <w:rsid w:val="00485ED3"/>
    <w:rsid w:val="004861A0"/>
    <w:rsid w:val="00487569"/>
    <w:rsid w:val="004878C1"/>
    <w:rsid w:val="00487986"/>
    <w:rsid w:val="004928C4"/>
    <w:rsid w:val="00492B6F"/>
    <w:rsid w:val="00492EB5"/>
    <w:rsid w:val="00493E48"/>
    <w:rsid w:val="004946A7"/>
    <w:rsid w:val="0049475A"/>
    <w:rsid w:val="0049505C"/>
    <w:rsid w:val="00496626"/>
    <w:rsid w:val="0049684A"/>
    <w:rsid w:val="00497B27"/>
    <w:rsid w:val="00497F48"/>
    <w:rsid w:val="004A0A76"/>
    <w:rsid w:val="004A1C14"/>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544E"/>
    <w:rsid w:val="004C6C01"/>
    <w:rsid w:val="004C7677"/>
    <w:rsid w:val="004D1653"/>
    <w:rsid w:val="004D1B75"/>
    <w:rsid w:val="004D1CE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08C9"/>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32CC"/>
    <w:rsid w:val="004F38A9"/>
    <w:rsid w:val="004F3AFC"/>
    <w:rsid w:val="004F4394"/>
    <w:rsid w:val="004F46FC"/>
    <w:rsid w:val="004F4EB9"/>
    <w:rsid w:val="004F5711"/>
    <w:rsid w:val="004F5F6A"/>
    <w:rsid w:val="004F6CC2"/>
    <w:rsid w:val="004F71C2"/>
    <w:rsid w:val="0050188C"/>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1997"/>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2B9"/>
    <w:rsid w:val="00542FF3"/>
    <w:rsid w:val="0054323F"/>
    <w:rsid w:val="00543D6E"/>
    <w:rsid w:val="0054413A"/>
    <w:rsid w:val="005443C9"/>
    <w:rsid w:val="00545144"/>
    <w:rsid w:val="00545326"/>
    <w:rsid w:val="005457A0"/>
    <w:rsid w:val="005465E5"/>
    <w:rsid w:val="00550551"/>
    <w:rsid w:val="00551DC1"/>
    <w:rsid w:val="0055201A"/>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54CB"/>
    <w:rsid w:val="005A6DCD"/>
    <w:rsid w:val="005A79FE"/>
    <w:rsid w:val="005B0132"/>
    <w:rsid w:val="005B2AF3"/>
    <w:rsid w:val="005B2F60"/>
    <w:rsid w:val="005B373F"/>
    <w:rsid w:val="005B4049"/>
    <w:rsid w:val="005B41D2"/>
    <w:rsid w:val="005B43FE"/>
    <w:rsid w:val="005B4AA6"/>
    <w:rsid w:val="005B5336"/>
    <w:rsid w:val="005B6475"/>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066"/>
    <w:rsid w:val="006178DB"/>
    <w:rsid w:val="00620CBF"/>
    <w:rsid w:val="00620E47"/>
    <w:rsid w:val="0062127B"/>
    <w:rsid w:val="00622002"/>
    <w:rsid w:val="006231D1"/>
    <w:rsid w:val="00623F97"/>
    <w:rsid w:val="00624730"/>
    <w:rsid w:val="00624D8F"/>
    <w:rsid w:val="0062567A"/>
    <w:rsid w:val="006274A6"/>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5346"/>
    <w:rsid w:val="00645EF8"/>
    <w:rsid w:val="00646512"/>
    <w:rsid w:val="00646829"/>
    <w:rsid w:val="00647622"/>
    <w:rsid w:val="0065089D"/>
    <w:rsid w:val="00650BA6"/>
    <w:rsid w:val="00651C73"/>
    <w:rsid w:val="00651D31"/>
    <w:rsid w:val="00652478"/>
    <w:rsid w:val="006524A2"/>
    <w:rsid w:val="006524BE"/>
    <w:rsid w:val="00652A5C"/>
    <w:rsid w:val="006533F8"/>
    <w:rsid w:val="006537D0"/>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D14"/>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76340"/>
    <w:rsid w:val="00681A07"/>
    <w:rsid w:val="00681E72"/>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37F"/>
    <w:rsid w:val="00697665"/>
    <w:rsid w:val="00697D73"/>
    <w:rsid w:val="006A00B7"/>
    <w:rsid w:val="006A049D"/>
    <w:rsid w:val="006A0BF9"/>
    <w:rsid w:val="006A12F4"/>
    <w:rsid w:val="006A1A12"/>
    <w:rsid w:val="006A2013"/>
    <w:rsid w:val="006A2F2D"/>
    <w:rsid w:val="006A3206"/>
    <w:rsid w:val="006A3CD1"/>
    <w:rsid w:val="006A3CF2"/>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0B38"/>
    <w:rsid w:val="006C14D1"/>
    <w:rsid w:val="006C2EB8"/>
    <w:rsid w:val="006C41CF"/>
    <w:rsid w:val="006C453C"/>
    <w:rsid w:val="006C4F96"/>
    <w:rsid w:val="006C627E"/>
    <w:rsid w:val="006C68E5"/>
    <w:rsid w:val="006C6A3B"/>
    <w:rsid w:val="006C6E36"/>
    <w:rsid w:val="006C7E2B"/>
    <w:rsid w:val="006D18A5"/>
    <w:rsid w:val="006D23BA"/>
    <w:rsid w:val="006D2A3B"/>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159"/>
    <w:rsid w:val="007029A4"/>
    <w:rsid w:val="0070369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17A45"/>
    <w:rsid w:val="0072005B"/>
    <w:rsid w:val="00720966"/>
    <w:rsid w:val="007210EC"/>
    <w:rsid w:val="0072127D"/>
    <w:rsid w:val="007229B0"/>
    <w:rsid w:val="00724809"/>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5DBC"/>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33"/>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5FAA"/>
    <w:rsid w:val="007B6218"/>
    <w:rsid w:val="007B6351"/>
    <w:rsid w:val="007C0326"/>
    <w:rsid w:val="007C0A36"/>
    <w:rsid w:val="007C1EB9"/>
    <w:rsid w:val="007C2221"/>
    <w:rsid w:val="007C36EC"/>
    <w:rsid w:val="007C3946"/>
    <w:rsid w:val="007C60A9"/>
    <w:rsid w:val="007C6117"/>
    <w:rsid w:val="007C6410"/>
    <w:rsid w:val="007C672F"/>
    <w:rsid w:val="007C7077"/>
    <w:rsid w:val="007C7370"/>
    <w:rsid w:val="007C7638"/>
    <w:rsid w:val="007C7F04"/>
    <w:rsid w:val="007D0305"/>
    <w:rsid w:val="007D0BF9"/>
    <w:rsid w:val="007D0F47"/>
    <w:rsid w:val="007D1727"/>
    <w:rsid w:val="007D1AD1"/>
    <w:rsid w:val="007D28C9"/>
    <w:rsid w:val="007D40E2"/>
    <w:rsid w:val="007D58E1"/>
    <w:rsid w:val="007D5E0B"/>
    <w:rsid w:val="007D65AC"/>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7F76F9"/>
    <w:rsid w:val="00800175"/>
    <w:rsid w:val="00802A13"/>
    <w:rsid w:val="00802D30"/>
    <w:rsid w:val="00804C29"/>
    <w:rsid w:val="00804CE6"/>
    <w:rsid w:val="00804EB1"/>
    <w:rsid w:val="0080594C"/>
    <w:rsid w:val="008101D2"/>
    <w:rsid w:val="00810C11"/>
    <w:rsid w:val="00810CB8"/>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9D4"/>
    <w:rsid w:val="00840B58"/>
    <w:rsid w:val="00841280"/>
    <w:rsid w:val="0084152B"/>
    <w:rsid w:val="00841639"/>
    <w:rsid w:val="008419D1"/>
    <w:rsid w:val="00841E0B"/>
    <w:rsid w:val="00842535"/>
    <w:rsid w:val="00842F23"/>
    <w:rsid w:val="00843449"/>
    <w:rsid w:val="00843BC4"/>
    <w:rsid w:val="00843E6C"/>
    <w:rsid w:val="00843F7A"/>
    <w:rsid w:val="00844326"/>
    <w:rsid w:val="00844554"/>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4E9"/>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3047"/>
    <w:rsid w:val="00863AF7"/>
    <w:rsid w:val="00865014"/>
    <w:rsid w:val="00865967"/>
    <w:rsid w:val="008700C1"/>
    <w:rsid w:val="008705DE"/>
    <w:rsid w:val="00871295"/>
    <w:rsid w:val="0087249D"/>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B59B6"/>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84F"/>
    <w:rsid w:val="00907A73"/>
    <w:rsid w:val="00907E9D"/>
    <w:rsid w:val="009106BD"/>
    <w:rsid w:val="0091085E"/>
    <w:rsid w:val="00910B86"/>
    <w:rsid w:val="009110E3"/>
    <w:rsid w:val="0091237C"/>
    <w:rsid w:val="00913299"/>
    <w:rsid w:val="00914F02"/>
    <w:rsid w:val="00915E71"/>
    <w:rsid w:val="00916A72"/>
    <w:rsid w:val="00916C89"/>
    <w:rsid w:val="0091746C"/>
    <w:rsid w:val="00917585"/>
    <w:rsid w:val="009176F3"/>
    <w:rsid w:val="00917700"/>
    <w:rsid w:val="0092110B"/>
    <w:rsid w:val="009213FA"/>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75"/>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3B8B"/>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CA3"/>
    <w:rsid w:val="009966E7"/>
    <w:rsid w:val="00996A2D"/>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258"/>
    <w:rsid w:val="009B63F0"/>
    <w:rsid w:val="009B7EC0"/>
    <w:rsid w:val="009C02BD"/>
    <w:rsid w:val="009C0EC1"/>
    <w:rsid w:val="009C17B9"/>
    <w:rsid w:val="009C1933"/>
    <w:rsid w:val="009C1FFB"/>
    <w:rsid w:val="009C24BD"/>
    <w:rsid w:val="009C28F4"/>
    <w:rsid w:val="009C2A57"/>
    <w:rsid w:val="009C3181"/>
    <w:rsid w:val="009C375E"/>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3DD"/>
    <w:rsid w:val="00A14F3C"/>
    <w:rsid w:val="00A17B91"/>
    <w:rsid w:val="00A206C9"/>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7C"/>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2B3"/>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075"/>
    <w:rsid w:val="00A61FEE"/>
    <w:rsid w:val="00A62BAF"/>
    <w:rsid w:val="00A63DEC"/>
    <w:rsid w:val="00A6404B"/>
    <w:rsid w:val="00A641CA"/>
    <w:rsid w:val="00A656EF"/>
    <w:rsid w:val="00A65AA6"/>
    <w:rsid w:val="00A679E3"/>
    <w:rsid w:val="00A70311"/>
    <w:rsid w:val="00A70419"/>
    <w:rsid w:val="00A71148"/>
    <w:rsid w:val="00A72A3B"/>
    <w:rsid w:val="00A740E0"/>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55DC"/>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698D"/>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0B3C"/>
    <w:rsid w:val="00AF1383"/>
    <w:rsid w:val="00AF152E"/>
    <w:rsid w:val="00AF1ED8"/>
    <w:rsid w:val="00AF28FF"/>
    <w:rsid w:val="00AF51A0"/>
    <w:rsid w:val="00AF5CE1"/>
    <w:rsid w:val="00AF6D47"/>
    <w:rsid w:val="00AF713D"/>
    <w:rsid w:val="00AF7FCE"/>
    <w:rsid w:val="00B00F9B"/>
    <w:rsid w:val="00B01850"/>
    <w:rsid w:val="00B02601"/>
    <w:rsid w:val="00B029E3"/>
    <w:rsid w:val="00B02B52"/>
    <w:rsid w:val="00B0312C"/>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5DA9"/>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70169"/>
    <w:rsid w:val="00B70283"/>
    <w:rsid w:val="00B7078C"/>
    <w:rsid w:val="00B710C4"/>
    <w:rsid w:val="00B71561"/>
    <w:rsid w:val="00B7345C"/>
    <w:rsid w:val="00B737A3"/>
    <w:rsid w:val="00B73B11"/>
    <w:rsid w:val="00B751B4"/>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8E3"/>
    <w:rsid w:val="00B84B3E"/>
    <w:rsid w:val="00B85623"/>
    <w:rsid w:val="00B90205"/>
    <w:rsid w:val="00B90B22"/>
    <w:rsid w:val="00B90B34"/>
    <w:rsid w:val="00B91CF1"/>
    <w:rsid w:val="00B91EAD"/>
    <w:rsid w:val="00B92CB6"/>
    <w:rsid w:val="00B93287"/>
    <w:rsid w:val="00B94B1F"/>
    <w:rsid w:val="00B9556D"/>
    <w:rsid w:val="00B95717"/>
    <w:rsid w:val="00B97975"/>
    <w:rsid w:val="00BA0FA8"/>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63D"/>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8C7"/>
    <w:rsid w:val="00BF3E3E"/>
    <w:rsid w:val="00BF3E9C"/>
    <w:rsid w:val="00BF46EB"/>
    <w:rsid w:val="00BF52BB"/>
    <w:rsid w:val="00BF5655"/>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5D6D"/>
    <w:rsid w:val="00C16340"/>
    <w:rsid w:val="00C1755A"/>
    <w:rsid w:val="00C2009C"/>
    <w:rsid w:val="00C20311"/>
    <w:rsid w:val="00C20858"/>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91D"/>
    <w:rsid w:val="00C355B4"/>
    <w:rsid w:val="00C358C6"/>
    <w:rsid w:val="00C35C94"/>
    <w:rsid w:val="00C35CCA"/>
    <w:rsid w:val="00C36B79"/>
    <w:rsid w:val="00C3789F"/>
    <w:rsid w:val="00C37E77"/>
    <w:rsid w:val="00C40376"/>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4E4E"/>
    <w:rsid w:val="00C5659C"/>
    <w:rsid w:val="00C579C6"/>
    <w:rsid w:val="00C606C0"/>
    <w:rsid w:val="00C60A58"/>
    <w:rsid w:val="00C611EF"/>
    <w:rsid w:val="00C61655"/>
    <w:rsid w:val="00C63537"/>
    <w:rsid w:val="00C63B97"/>
    <w:rsid w:val="00C63E4C"/>
    <w:rsid w:val="00C64C51"/>
    <w:rsid w:val="00C6585A"/>
    <w:rsid w:val="00C67675"/>
    <w:rsid w:val="00C70C9A"/>
    <w:rsid w:val="00C7127A"/>
    <w:rsid w:val="00C713D7"/>
    <w:rsid w:val="00C71798"/>
    <w:rsid w:val="00C74D7F"/>
    <w:rsid w:val="00C75515"/>
    <w:rsid w:val="00C76A33"/>
    <w:rsid w:val="00C8005F"/>
    <w:rsid w:val="00C8023B"/>
    <w:rsid w:val="00C80B95"/>
    <w:rsid w:val="00C80DCC"/>
    <w:rsid w:val="00C8107E"/>
    <w:rsid w:val="00C81676"/>
    <w:rsid w:val="00C818C5"/>
    <w:rsid w:val="00C81AC2"/>
    <w:rsid w:val="00C82037"/>
    <w:rsid w:val="00C8219B"/>
    <w:rsid w:val="00C821FE"/>
    <w:rsid w:val="00C82754"/>
    <w:rsid w:val="00C828A1"/>
    <w:rsid w:val="00C8292A"/>
    <w:rsid w:val="00C83D45"/>
    <w:rsid w:val="00C845E6"/>
    <w:rsid w:val="00C847FA"/>
    <w:rsid w:val="00C84D6B"/>
    <w:rsid w:val="00C8577F"/>
    <w:rsid w:val="00C859B3"/>
    <w:rsid w:val="00C878E8"/>
    <w:rsid w:val="00C87A79"/>
    <w:rsid w:val="00C87DE6"/>
    <w:rsid w:val="00C87FB1"/>
    <w:rsid w:val="00C90A72"/>
    <w:rsid w:val="00C92306"/>
    <w:rsid w:val="00C92639"/>
    <w:rsid w:val="00C94383"/>
    <w:rsid w:val="00C949D9"/>
    <w:rsid w:val="00C95026"/>
    <w:rsid w:val="00C9670A"/>
    <w:rsid w:val="00C969DD"/>
    <w:rsid w:val="00C9707B"/>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2894"/>
    <w:rsid w:val="00CB3DAB"/>
    <w:rsid w:val="00CB4B63"/>
    <w:rsid w:val="00CB4C30"/>
    <w:rsid w:val="00CB532E"/>
    <w:rsid w:val="00CB5663"/>
    <w:rsid w:val="00CB58CF"/>
    <w:rsid w:val="00CB61ED"/>
    <w:rsid w:val="00CB6518"/>
    <w:rsid w:val="00CB7FCB"/>
    <w:rsid w:val="00CC00CD"/>
    <w:rsid w:val="00CC0E2F"/>
    <w:rsid w:val="00CC14C5"/>
    <w:rsid w:val="00CC1A35"/>
    <w:rsid w:val="00CC2C34"/>
    <w:rsid w:val="00CC2D5F"/>
    <w:rsid w:val="00CC4A96"/>
    <w:rsid w:val="00CC5BE0"/>
    <w:rsid w:val="00CC5E3E"/>
    <w:rsid w:val="00CC670C"/>
    <w:rsid w:val="00CC6DD5"/>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4850"/>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1B72"/>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67DD3"/>
    <w:rsid w:val="00D70679"/>
    <w:rsid w:val="00D70901"/>
    <w:rsid w:val="00D710DF"/>
    <w:rsid w:val="00D729F6"/>
    <w:rsid w:val="00D72E9D"/>
    <w:rsid w:val="00D73D07"/>
    <w:rsid w:val="00D73D62"/>
    <w:rsid w:val="00D74389"/>
    <w:rsid w:val="00D74E75"/>
    <w:rsid w:val="00D7538F"/>
    <w:rsid w:val="00D7663C"/>
    <w:rsid w:val="00D76689"/>
    <w:rsid w:val="00D7722E"/>
    <w:rsid w:val="00D80001"/>
    <w:rsid w:val="00D80E2D"/>
    <w:rsid w:val="00D80EB6"/>
    <w:rsid w:val="00D813D1"/>
    <w:rsid w:val="00D81B3A"/>
    <w:rsid w:val="00D82056"/>
    <w:rsid w:val="00D82CE5"/>
    <w:rsid w:val="00D83D88"/>
    <w:rsid w:val="00D8437F"/>
    <w:rsid w:val="00D84C74"/>
    <w:rsid w:val="00D84D9D"/>
    <w:rsid w:val="00D84F1E"/>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09E0"/>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BDA"/>
    <w:rsid w:val="00DD1C18"/>
    <w:rsid w:val="00DD2116"/>
    <w:rsid w:val="00DD21A2"/>
    <w:rsid w:val="00DD2D30"/>
    <w:rsid w:val="00DD2D47"/>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3B36"/>
    <w:rsid w:val="00E240CB"/>
    <w:rsid w:val="00E240E7"/>
    <w:rsid w:val="00E251D4"/>
    <w:rsid w:val="00E2553E"/>
    <w:rsid w:val="00E2799E"/>
    <w:rsid w:val="00E3090F"/>
    <w:rsid w:val="00E329F7"/>
    <w:rsid w:val="00E335CF"/>
    <w:rsid w:val="00E33B62"/>
    <w:rsid w:val="00E33CB5"/>
    <w:rsid w:val="00E342C3"/>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062A"/>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04C"/>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15B"/>
    <w:rsid w:val="00F85499"/>
    <w:rsid w:val="00F859F0"/>
    <w:rsid w:val="00F8789E"/>
    <w:rsid w:val="00F91CA6"/>
    <w:rsid w:val="00F92E29"/>
    <w:rsid w:val="00F93448"/>
    <w:rsid w:val="00F94AEF"/>
    <w:rsid w:val="00FA06A3"/>
    <w:rsid w:val="00FA0AD1"/>
    <w:rsid w:val="00FA0E3E"/>
    <w:rsid w:val="00FA2ACB"/>
    <w:rsid w:val="00FA310C"/>
    <w:rsid w:val="00FA3B5A"/>
    <w:rsid w:val="00FA40C0"/>
    <w:rsid w:val="00FA4A30"/>
    <w:rsid w:val="00FA4B7C"/>
    <w:rsid w:val="00FA4CDC"/>
    <w:rsid w:val="00FA540E"/>
    <w:rsid w:val="00FA6587"/>
    <w:rsid w:val="00FA6DE2"/>
    <w:rsid w:val="00FA723D"/>
    <w:rsid w:val="00FB0D40"/>
    <w:rsid w:val="00FB301D"/>
    <w:rsid w:val="00FB42FF"/>
    <w:rsid w:val="00FB47F3"/>
    <w:rsid w:val="00FB516F"/>
    <w:rsid w:val="00FB58AF"/>
    <w:rsid w:val="00FB5BF9"/>
    <w:rsid w:val="00FC0B6A"/>
    <w:rsid w:val="00FC0F82"/>
    <w:rsid w:val="00FC3D45"/>
    <w:rsid w:val="00FC4647"/>
    <w:rsid w:val="00FC5D0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0EBA"/>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60FB"/>
    <w:rsid w:val="00FF66DD"/>
    <w:rsid w:val="00FF6F65"/>
    <w:rsid w:val="00FF7737"/>
    <w:rsid w:val="00FF773A"/>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94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2469">
      <w:bodyDiv w:val="1"/>
      <w:marLeft w:val="0"/>
      <w:marRight w:val="0"/>
      <w:marTop w:val="0"/>
      <w:marBottom w:val="0"/>
      <w:divBdr>
        <w:top w:val="none" w:sz="0" w:space="0" w:color="auto"/>
        <w:left w:val="none" w:sz="0" w:space="0" w:color="auto"/>
        <w:bottom w:val="none" w:sz="0" w:space="0" w:color="auto"/>
        <w:right w:val="none" w:sz="0" w:space="0" w:color="auto"/>
      </w:divBdr>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894316445">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6840">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169</TotalTime>
  <Pages>46</Pages>
  <Words>15486</Words>
  <Characters>85173</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Felipe Bastidas Paredes</cp:lastModifiedBy>
  <cp:revision>50</cp:revision>
  <dcterms:created xsi:type="dcterms:W3CDTF">2022-02-05T01:07:00Z</dcterms:created>
  <dcterms:modified xsi:type="dcterms:W3CDTF">2022-03-08T20:04:00Z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