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7D2E9C" w:rsidRDefault="009F59C2" w:rsidP="0034177C">
      <w:pPr>
        <w:jc w:val="right"/>
        <w:rPr>
          <w:rFonts w:ascii="Arial" w:hAnsi="Arial" w:cs="Arial"/>
          <w:b/>
          <w:sz w:val="16"/>
          <w:szCs w:val="16"/>
          <w:lang w:val="es-ES_tradnl" w:eastAsia="es-ES"/>
        </w:rPr>
      </w:pPr>
      <w:bookmarkStart w:id="0" w:name="_Hlk28946138"/>
      <w:bookmarkStart w:id="1" w:name="_Hlk29548183"/>
      <w:r w:rsidRPr="007D2E9C">
        <w:rPr>
          <w:rFonts w:ascii="Arial" w:hAnsi="Arial" w:cs="Arial"/>
          <w:b/>
          <w:sz w:val="16"/>
          <w:szCs w:val="16"/>
          <w:lang w:val="es-ES_tradnl" w:eastAsia="es-ES"/>
        </w:rPr>
        <w:tab/>
      </w:r>
      <w:r w:rsidR="0034177C" w:rsidRPr="007D2E9C">
        <w:rPr>
          <w:rFonts w:ascii="Arial" w:hAnsi="Arial" w:cs="Arial"/>
          <w:b/>
          <w:sz w:val="16"/>
          <w:szCs w:val="16"/>
          <w:lang w:val="es-ES_tradnl" w:eastAsia="es-ES"/>
        </w:rPr>
        <w:t>CCE-DES-FM-17</w:t>
      </w:r>
    </w:p>
    <w:p w14:paraId="59236251" w14:textId="77777777" w:rsidR="00FA2C2D" w:rsidRPr="007D2E9C" w:rsidRDefault="00FA2C2D" w:rsidP="00F1108B">
      <w:pPr>
        <w:jc w:val="both"/>
        <w:rPr>
          <w:rFonts w:ascii="Arial" w:eastAsia="Calibri" w:hAnsi="Arial" w:cs="Arial"/>
          <w:b/>
          <w:sz w:val="16"/>
          <w:szCs w:val="16"/>
          <w:lang w:val="es-ES_tradnl"/>
        </w:rPr>
      </w:pPr>
      <w:bookmarkStart w:id="2" w:name="_Hlk35420410"/>
      <w:bookmarkEnd w:id="0"/>
      <w:bookmarkEnd w:id="1"/>
    </w:p>
    <w:p w14:paraId="64F08AF7" w14:textId="47065623" w:rsidR="00F1108B" w:rsidRPr="007D2E9C" w:rsidRDefault="00BB2E7C" w:rsidP="00F1108B">
      <w:pPr>
        <w:jc w:val="both"/>
        <w:rPr>
          <w:rFonts w:ascii="Arial" w:eastAsia="Calibri" w:hAnsi="Arial" w:cs="Arial"/>
          <w:b/>
          <w:sz w:val="22"/>
          <w:lang w:val="es-ES_tradnl"/>
        </w:rPr>
      </w:pPr>
      <w:r w:rsidRPr="007D2E9C">
        <w:rPr>
          <w:rFonts w:ascii="Arial" w:eastAsia="Calibri" w:hAnsi="Arial" w:cs="Arial"/>
          <w:b/>
          <w:sz w:val="22"/>
          <w:lang w:val="es-ES_tradnl"/>
        </w:rPr>
        <w:t>DELEGACIÓN</w:t>
      </w:r>
      <w:r w:rsidR="005E1574" w:rsidRPr="007D2E9C">
        <w:rPr>
          <w:rFonts w:ascii="Arial" w:eastAsia="Calibri" w:hAnsi="Arial" w:cs="Arial"/>
          <w:b/>
          <w:sz w:val="22"/>
          <w:lang w:val="es-ES_tradnl"/>
        </w:rPr>
        <w:t xml:space="preserve"> </w:t>
      </w:r>
      <w:bookmarkStart w:id="3" w:name="_Hlk39676694"/>
      <w:r w:rsidR="003B72E9" w:rsidRPr="007D2E9C">
        <w:rPr>
          <w:rFonts w:ascii="Arial" w:eastAsia="Calibri" w:hAnsi="Arial" w:cs="Arial"/>
          <w:b/>
          <w:color w:val="000000" w:themeColor="text1"/>
          <w:sz w:val="22"/>
          <w:lang w:val="es-ES_tradnl"/>
        </w:rPr>
        <w:t>–</w:t>
      </w:r>
      <w:bookmarkEnd w:id="3"/>
      <w:r w:rsidR="00702FE3" w:rsidRPr="007D2E9C">
        <w:rPr>
          <w:rFonts w:ascii="Arial" w:eastAsia="Calibri" w:hAnsi="Arial" w:cs="Arial"/>
          <w:b/>
          <w:sz w:val="22"/>
          <w:lang w:val="es-ES_tradnl"/>
        </w:rPr>
        <w:t xml:space="preserve"> </w:t>
      </w:r>
      <w:r w:rsidR="005F4975" w:rsidRPr="007D2E9C">
        <w:rPr>
          <w:rFonts w:ascii="Arial" w:eastAsia="Calibri" w:hAnsi="Arial" w:cs="Arial"/>
          <w:b/>
          <w:sz w:val="22"/>
          <w:lang w:val="es-ES_tradnl"/>
        </w:rPr>
        <w:t xml:space="preserve">Fundamento normativo </w:t>
      </w:r>
      <w:r w:rsidR="003B72E9" w:rsidRPr="007D2E9C">
        <w:rPr>
          <w:rFonts w:ascii="Arial" w:eastAsia="Calibri" w:hAnsi="Arial" w:cs="Arial"/>
          <w:b/>
          <w:color w:val="000000" w:themeColor="text1"/>
          <w:sz w:val="22"/>
          <w:lang w:val="es-ES_tradnl"/>
        </w:rPr>
        <w:t>–</w:t>
      </w:r>
      <w:r w:rsidR="005F4975" w:rsidRPr="007D2E9C">
        <w:rPr>
          <w:rFonts w:ascii="Arial" w:eastAsia="Calibri" w:hAnsi="Arial" w:cs="Arial"/>
          <w:b/>
          <w:sz w:val="22"/>
          <w:lang w:val="es-ES_tradnl"/>
        </w:rPr>
        <w:t xml:space="preserve"> </w:t>
      </w:r>
      <w:r w:rsidR="00872BEC" w:rsidRPr="007D2E9C">
        <w:rPr>
          <w:rFonts w:ascii="Arial" w:eastAsia="Calibri" w:hAnsi="Arial" w:cs="Arial"/>
          <w:b/>
          <w:sz w:val="22"/>
          <w:lang w:val="es-ES_tradnl"/>
        </w:rPr>
        <w:t>Requisitos legales</w:t>
      </w:r>
    </w:p>
    <w:bookmarkEnd w:id="2"/>
    <w:p w14:paraId="6627C2DB" w14:textId="77777777" w:rsidR="006B4D31" w:rsidRPr="007D2E9C" w:rsidRDefault="006B4D31" w:rsidP="00F1108B">
      <w:pPr>
        <w:jc w:val="both"/>
        <w:rPr>
          <w:rFonts w:ascii="Arial" w:eastAsia="Calibri" w:hAnsi="Arial" w:cs="Arial"/>
          <w:sz w:val="22"/>
          <w:lang w:val="es-ES_tradnl"/>
        </w:rPr>
      </w:pPr>
    </w:p>
    <w:p w14:paraId="02199F49" w14:textId="11CBA0AB" w:rsidR="003E583A" w:rsidRPr="007D2E9C" w:rsidRDefault="003E583A" w:rsidP="0C7ED9AC">
      <w:pPr>
        <w:spacing w:after="120"/>
        <w:jc w:val="both"/>
        <w:rPr>
          <w:rFonts w:ascii="Arial" w:eastAsia="Calibri" w:hAnsi="Arial" w:cs="Arial"/>
          <w:sz w:val="20"/>
          <w:szCs w:val="20"/>
          <w:lang w:val="es-ES_tradnl"/>
        </w:rPr>
      </w:pPr>
      <w:r w:rsidRPr="007D2E9C">
        <w:rPr>
          <w:rFonts w:ascii="Arial" w:eastAsia="Calibri" w:hAnsi="Arial" w:cs="Arial"/>
          <w:sz w:val="20"/>
          <w:szCs w:val="20"/>
          <w:lang w:val="es-ES_tradnl"/>
        </w:rPr>
        <w:t xml:space="preserve">[…] </w:t>
      </w:r>
      <w:r w:rsidR="4AE5B05C" w:rsidRPr="007D2E9C">
        <w:rPr>
          <w:rFonts w:ascii="Arial" w:eastAsia="Calibri" w:hAnsi="Arial" w:cs="Arial"/>
          <w:sz w:val="20"/>
          <w:szCs w:val="20"/>
          <w:lang w:val="es-ES_tradnl"/>
        </w:rPr>
        <w:t>e</w:t>
      </w:r>
      <w:r w:rsidR="005F4975" w:rsidRPr="007D2E9C">
        <w:rPr>
          <w:rFonts w:ascii="Arial" w:eastAsia="Calibri" w:hAnsi="Arial" w:cs="Arial"/>
          <w:sz w:val="20"/>
          <w:szCs w:val="20"/>
          <w:lang w:val="es-ES_tradnl"/>
        </w:rPr>
        <w:t>n desarrollo del artículo 211 superior, el artículo 12 del Estatuto General de Contratación contiene una regla especial según la cual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 Así las cosas, atenuando el rigor de la centralización, esta técnica organizacional implica una actuación administrativa mediante la cual el titular de una función –delegante–, previa autorización expresa por parte del órgano que asignó originariamente la competencia, inviste voluntaria y formalmente de autoridad a quien ejerce un cargo subordinado –delegatario–, para que asuma una o varias de las atribuciones del primero.</w:t>
      </w:r>
    </w:p>
    <w:p w14:paraId="6C2F7E99" w14:textId="77777777" w:rsidR="003E583A" w:rsidRPr="007D2E9C" w:rsidRDefault="005F4975" w:rsidP="003E583A">
      <w:pPr>
        <w:spacing w:after="120"/>
        <w:jc w:val="both"/>
        <w:rPr>
          <w:rFonts w:ascii="Arial" w:eastAsia="Calibri" w:hAnsi="Arial" w:cs="Arial"/>
          <w:sz w:val="20"/>
          <w:lang w:val="es-ES_tradnl"/>
        </w:rPr>
      </w:pPr>
      <w:r w:rsidRPr="007D2E9C">
        <w:rPr>
          <w:rFonts w:ascii="Arial" w:eastAsia="Calibri" w:hAnsi="Arial" w:cs="Arial"/>
          <w:sz w:val="20"/>
          <w:lang w:val="es-ES_tradnl"/>
        </w:rPr>
        <w:t>Como se observa, la facultad se limitó a la celebración de contratos, dejando dudas sobre la posibilidad de delegar la firma del acto de adjudicación; motivo por el cual, el artículo 37 del Decreto-Ley 2150 de 1995 amplió las materias delegables al disponer que «Los jefes y los representantes legales de las entidades estatales podrán delegar total o parcialmente la competencia para la realización de licitaciones o para la celebración de contratos, sin consideración a la naturaleza o cuantía de los mismos, en los servidores públicos que desempeñen cargos del nivel directivo o ejecutivo o en sus equivalentes».</w:t>
      </w:r>
    </w:p>
    <w:p w14:paraId="0CCBB2C2" w14:textId="118CEAFA" w:rsidR="00963C15" w:rsidRPr="007D2E9C" w:rsidRDefault="005F4975" w:rsidP="005F4975">
      <w:pPr>
        <w:jc w:val="both"/>
        <w:rPr>
          <w:rFonts w:ascii="Arial" w:eastAsia="Calibri" w:hAnsi="Arial" w:cs="Arial"/>
          <w:sz w:val="20"/>
          <w:lang w:val="es-ES_tradnl"/>
        </w:rPr>
      </w:pPr>
      <w:r w:rsidRPr="007D2E9C">
        <w:rPr>
          <w:rFonts w:ascii="Arial" w:eastAsia="Calibri" w:hAnsi="Arial" w:cs="Arial"/>
          <w:sz w:val="20"/>
          <w:lang w:val="es-ES_tradnl"/>
        </w:rPr>
        <w:t xml:space="preserve">Posteriormente, el artículo 9 de la Ley 489 de 1998 permite la delegación en funcionarios públicos del nivel directivo y asesor vinculados al órgano correspondiente. En todo caso, esta última ley exige un acto administrativo donde se determine la autoridad delegataria y las funciones específicas que se transfiere el delegante, sin perjuicio de que este último se informe sobre el desarrollo de la delegación e imparta orientaciones generales para el ejercicio de las funciones delegadas –art. 10–. Además, se supedita a que no se confiera para expedir reglamentos –salvo excepciones legales–, subdelegar o transferir funciones que por su naturaleza o por mandato constitucional o legal son indelegables –art. 11–. Finalmente, los actos del delegatario tienen los requisitos y recursos que los del delegante, reiterando el régimen de responsabilidad y recuperación de la competencia previsto en el artículo 211 constitucional –art. 12–.  </w:t>
      </w:r>
    </w:p>
    <w:p w14:paraId="09F7E976" w14:textId="77777777" w:rsidR="008D3080" w:rsidRPr="007D2E9C" w:rsidRDefault="008D3080" w:rsidP="008D3080">
      <w:pPr>
        <w:jc w:val="both"/>
        <w:rPr>
          <w:rFonts w:ascii="Arial" w:eastAsia="Calibri" w:hAnsi="Arial" w:cs="Arial"/>
          <w:b/>
          <w:sz w:val="22"/>
          <w:lang w:val="es-ES_tradnl"/>
        </w:rPr>
      </w:pPr>
    </w:p>
    <w:p w14:paraId="425E4D16" w14:textId="7C5EADE9" w:rsidR="006B4D31" w:rsidRPr="007D2E9C" w:rsidRDefault="00F154E7" w:rsidP="006B4D31">
      <w:pPr>
        <w:jc w:val="both"/>
        <w:rPr>
          <w:rFonts w:ascii="Arial" w:eastAsia="Calibri" w:hAnsi="Arial" w:cs="Arial"/>
          <w:b/>
          <w:sz w:val="22"/>
          <w:lang w:val="es-ES_tradnl"/>
        </w:rPr>
      </w:pPr>
      <w:r w:rsidRPr="007D2E9C">
        <w:rPr>
          <w:rFonts w:ascii="Arial" w:eastAsia="Calibri" w:hAnsi="Arial" w:cs="Arial"/>
          <w:b/>
          <w:sz w:val="22"/>
          <w:lang w:val="es-ES_tradnl"/>
        </w:rPr>
        <w:t xml:space="preserve">DESCONCENTRACIÓN </w:t>
      </w:r>
      <w:r w:rsidR="003B72E9" w:rsidRPr="007D2E9C">
        <w:rPr>
          <w:rFonts w:ascii="Arial" w:eastAsia="Calibri" w:hAnsi="Arial" w:cs="Arial"/>
          <w:b/>
          <w:color w:val="000000" w:themeColor="text1"/>
          <w:sz w:val="22"/>
          <w:lang w:val="es-ES_tradnl"/>
        </w:rPr>
        <w:t>–</w:t>
      </w:r>
      <w:r w:rsidR="006B4D31" w:rsidRPr="007D2E9C">
        <w:rPr>
          <w:rFonts w:ascii="Arial" w:eastAsia="Calibri" w:hAnsi="Arial" w:cs="Arial"/>
          <w:b/>
          <w:sz w:val="22"/>
          <w:lang w:val="es-ES_tradnl"/>
        </w:rPr>
        <w:t xml:space="preserve"> </w:t>
      </w:r>
      <w:bookmarkStart w:id="4" w:name="_Hlk36233079"/>
      <w:r w:rsidRPr="007D2E9C">
        <w:rPr>
          <w:rFonts w:ascii="Arial" w:eastAsia="Calibri" w:hAnsi="Arial" w:cs="Arial"/>
          <w:b/>
          <w:sz w:val="22"/>
          <w:lang w:val="es-ES_tradnl"/>
        </w:rPr>
        <w:t xml:space="preserve">Fundamento normativo </w:t>
      </w:r>
      <w:r w:rsidR="003B72E9" w:rsidRPr="007D2E9C">
        <w:rPr>
          <w:rFonts w:ascii="Arial" w:eastAsia="Calibri" w:hAnsi="Arial" w:cs="Arial"/>
          <w:b/>
          <w:color w:val="000000" w:themeColor="text1"/>
          <w:sz w:val="22"/>
          <w:lang w:val="es-ES_tradnl"/>
        </w:rPr>
        <w:t>–</w:t>
      </w:r>
      <w:r w:rsidRPr="007D2E9C">
        <w:rPr>
          <w:rFonts w:ascii="Arial" w:eastAsia="Calibri" w:hAnsi="Arial" w:cs="Arial"/>
          <w:b/>
          <w:sz w:val="22"/>
          <w:lang w:val="es-ES_tradnl"/>
        </w:rPr>
        <w:t xml:space="preserve"> Concepto</w:t>
      </w:r>
    </w:p>
    <w:bookmarkEnd w:id="4"/>
    <w:p w14:paraId="6DEC82EB" w14:textId="77777777" w:rsidR="006B4D31" w:rsidRPr="007D2E9C" w:rsidRDefault="006B4D31" w:rsidP="00320D07">
      <w:pPr>
        <w:jc w:val="both"/>
        <w:rPr>
          <w:rFonts w:ascii="Arial" w:eastAsia="Calibri" w:hAnsi="Arial" w:cs="Arial"/>
          <w:sz w:val="20"/>
          <w:lang w:val="es-ES_tradnl"/>
        </w:rPr>
      </w:pPr>
    </w:p>
    <w:p w14:paraId="6833B029" w14:textId="77777777" w:rsidR="003E583A" w:rsidRPr="007D2E9C" w:rsidRDefault="00F154E7" w:rsidP="003E583A">
      <w:pPr>
        <w:spacing w:after="120"/>
        <w:jc w:val="both"/>
        <w:rPr>
          <w:rFonts w:ascii="Arial" w:eastAsia="Calibri" w:hAnsi="Arial" w:cs="Arial"/>
          <w:sz w:val="20"/>
          <w:lang w:val="es-ES_tradnl"/>
        </w:rPr>
      </w:pPr>
      <w:r w:rsidRPr="007D2E9C">
        <w:rPr>
          <w:rFonts w:ascii="Arial" w:eastAsia="Calibri" w:hAnsi="Arial" w:cs="Arial"/>
          <w:sz w:val="20"/>
          <w:lang w:val="es-ES_tradnl"/>
        </w:rPr>
        <w:t>Al igual que la delegación, el artículo 209 de la Constitución Política de 1991 autoriza la desconcentración como técnica organizacional que atempera el rigor de la centralización. Prevista en inciso primero del artículo 12 de la Ley 80 de 1993, permite que los representantes legales de las entidades estatales desconcentren el trámite de los procesos de selección en los funcionarios que, dentro de la entidad, ostenten cargos directivos o ejecutivos.</w:t>
      </w:r>
    </w:p>
    <w:p w14:paraId="468B0DB1" w14:textId="4CFEFA22" w:rsidR="00FF0B2F" w:rsidRPr="007D2E9C" w:rsidRDefault="00F154E7" w:rsidP="00FF0B2F">
      <w:pPr>
        <w:spacing w:after="120"/>
        <w:jc w:val="both"/>
        <w:rPr>
          <w:rFonts w:ascii="Arial" w:eastAsia="Calibri" w:hAnsi="Arial" w:cs="Arial"/>
          <w:sz w:val="20"/>
          <w:lang w:val="es-ES_tradnl"/>
        </w:rPr>
      </w:pPr>
      <w:r w:rsidRPr="007D2E9C">
        <w:rPr>
          <w:rFonts w:ascii="Arial" w:eastAsia="Calibri" w:hAnsi="Arial" w:cs="Arial"/>
          <w:sz w:val="20"/>
          <w:lang w:val="es-ES_tradnl"/>
        </w:rPr>
        <w:t>Para estos efectos, la doctrina la define como «[…] el proceso a través del cual las funciones de una entidad u organismo son distribuidas en diferentes áreas; funcionales o unidades territoriales, las cuales cuentan generalmente con una estructura administrativa, y cuyo fin último es, al igual que la descentralización y la delegación, garantizar los fines esenciales del Estado</w:t>
      </w:r>
      <w:proofErr w:type="gramStart"/>
      <w:r w:rsidRPr="007D2E9C">
        <w:rPr>
          <w:rFonts w:ascii="Arial" w:eastAsia="Calibri" w:hAnsi="Arial" w:cs="Arial"/>
          <w:sz w:val="20"/>
          <w:lang w:val="es-ES_tradnl"/>
        </w:rPr>
        <w:t>» .</w:t>
      </w:r>
      <w:proofErr w:type="gramEnd"/>
      <w:r w:rsidRPr="007D2E9C">
        <w:rPr>
          <w:rFonts w:ascii="Arial" w:eastAsia="Calibri" w:hAnsi="Arial" w:cs="Arial"/>
          <w:sz w:val="20"/>
          <w:lang w:val="es-ES_tradnl"/>
        </w:rPr>
        <w:t xml:space="preserve"> En otras palabras, se trata de una atribución que tiene el superior jerárquico para repartir algunas competencias entre los subalternos, sin que esto les otorgue autonomía en el cumplimiento de sus funciones; razón por la cual, implica una adecuada distribución del trabajo en la que el titular de las funciones conserva la dirección y el control de las tareas asignadas.</w:t>
      </w:r>
    </w:p>
    <w:p w14:paraId="6CCEBCC5" w14:textId="7C7BD275" w:rsidR="0048162D" w:rsidRPr="007D2E9C" w:rsidRDefault="0048162D" w:rsidP="00FF0B2F">
      <w:pPr>
        <w:spacing w:after="120"/>
        <w:jc w:val="both"/>
        <w:rPr>
          <w:rFonts w:ascii="Arial" w:eastAsia="Calibri" w:hAnsi="Arial" w:cs="Arial"/>
          <w:sz w:val="20"/>
          <w:lang w:val="es-ES_tradnl"/>
        </w:rPr>
      </w:pPr>
      <w:r w:rsidRPr="007D2E9C">
        <w:rPr>
          <w:rFonts w:ascii="Arial" w:eastAsia="Calibri" w:hAnsi="Arial" w:cs="Arial"/>
          <w:sz w:val="20"/>
          <w:lang w:val="es-ES_tradnl"/>
        </w:rPr>
        <w:t>[…]</w:t>
      </w:r>
    </w:p>
    <w:p w14:paraId="19091BF8" w14:textId="5F990DE6" w:rsidR="00963C15" w:rsidRPr="007D2E9C" w:rsidRDefault="00F154E7" w:rsidP="00F154E7">
      <w:pPr>
        <w:jc w:val="both"/>
        <w:rPr>
          <w:rFonts w:ascii="Arial" w:eastAsia="Calibri" w:hAnsi="Arial" w:cs="Arial"/>
          <w:sz w:val="20"/>
          <w:lang w:val="es-ES_tradnl"/>
        </w:rPr>
      </w:pPr>
      <w:r w:rsidRPr="007D2E9C">
        <w:rPr>
          <w:rFonts w:ascii="Arial" w:eastAsia="Calibri" w:hAnsi="Arial" w:cs="Arial"/>
          <w:sz w:val="20"/>
          <w:lang w:val="es-ES_tradnl"/>
        </w:rPr>
        <w:lastRenderedPageBreak/>
        <w:t>Con una orientación similar, el parágrafo del artículo 12 del Estatuto General –adicionado por el artículo 21 de la Ley 1150 de 2007– dispone que «[…] se entiende por desconcentración la distribución adecuada del trabajo que realiza el jefe o representante legal de la entidad, sin que ello implique autonomía administrativa en su ejercicio […]». Incluso este artículo introduce un cambio relevante en la materia, pues –a diferencia del inciso final del artículo 8 de la Ley 489 de 1998– agrega que contra los actos no procede el recurso de reposición, expresión declarada exequible mediante la Sentencia de la Corte Constitucional C-259 de 2008 con ponencia del Magistrado Jaime Córdoba Triviño.</w:t>
      </w:r>
    </w:p>
    <w:p w14:paraId="74EC4ED3" w14:textId="0D96345A" w:rsidR="00F4469E" w:rsidRDefault="00F4469E" w:rsidP="00F4469E">
      <w:pPr>
        <w:jc w:val="both"/>
        <w:rPr>
          <w:rFonts w:ascii="Arial" w:eastAsia="Calibri" w:hAnsi="Arial" w:cs="Arial"/>
          <w:sz w:val="20"/>
          <w:lang w:val="es-ES_tradnl"/>
        </w:rPr>
      </w:pPr>
    </w:p>
    <w:p w14:paraId="308B5EDC" w14:textId="28CC1204" w:rsidR="00290AC3" w:rsidRPr="007D2E9C" w:rsidRDefault="00290AC3" w:rsidP="00290AC3">
      <w:pPr>
        <w:jc w:val="both"/>
        <w:rPr>
          <w:rFonts w:ascii="Arial" w:eastAsia="Calibri" w:hAnsi="Arial" w:cs="Arial"/>
          <w:b/>
          <w:sz w:val="22"/>
          <w:lang w:val="es-ES_tradnl"/>
        </w:rPr>
      </w:pPr>
      <w:r>
        <w:rPr>
          <w:rFonts w:ascii="Arial" w:eastAsia="Calibri" w:hAnsi="Arial" w:cs="Arial"/>
          <w:b/>
          <w:sz w:val="22"/>
          <w:lang w:val="es-ES_tradnl"/>
        </w:rPr>
        <w:t>DELEGACIÓN Y DESCONCENTRACIÓN</w:t>
      </w:r>
      <w:r w:rsidRPr="007D2E9C">
        <w:rPr>
          <w:rFonts w:ascii="Arial" w:eastAsia="Calibri" w:hAnsi="Arial" w:cs="Arial"/>
          <w:b/>
          <w:sz w:val="22"/>
          <w:lang w:val="es-ES_tradnl"/>
        </w:rPr>
        <w:t xml:space="preserve"> </w:t>
      </w:r>
      <w:r w:rsidRPr="007D2E9C">
        <w:rPr>
          <w:rFonts w:ascii="Arial" w:eastAsia="Calibri" w:hAnsi="Arial" w:cs="Arial"/>
          <w:b/>
          <w:color w:val="000000" w:themeColor="text1"/>
          <w:sz w:val="22"/>
          <w:lang w:val="es-ES_tradnl"/>
        </w:rPr>
        <w:t>–</w:t>
      </w:r>
      <w:r w:rsidRPr="007D2E9C">
        <w:rPr>
          <w:rFonts w:ascii="Arial" w:eastAsia="Calibri" w:hAnsi="Arial" w:cs="Arial"/>
          <w:b/>
          <w:sz w:val="22"/>
          <w:lang w:val="es-ES_tradnl"/>
        </w:rPr>
        <w:t xml:space="preserve"> </w:t>
      </w:r>
      <w:r>
        <w:rPr>
          <w:rFonts w:ascii="Arial" w:eastAsia="Calibri" w:hAnsi="Arial" w:cs="Arial"/>
          <w:b/>
          <w:sz w:val="22"/>
          <w:lang w:val="es-ES_tradnl"/>
        </w:rPr>
        <w:t>Técnicas transversales</w:t>
      </w:r>
      <w:r w:rsidRPr="007D2E9C">
        <w:rPr>
          <w:rFonts w:ascii="Arial" w:eastAsia="Calibri" w:hAnsi="Arial" w:cs="Arial"/>
          <w:b/>
          <w:sz w:val="22"/>
          <w:lang w:val="es-ES_tradnl"/>
        </w:rPr>
        <w:t xml:space="preserve"> </w:t>
      </w:r>
      <w:r w:rsidRPr="007D2E9C">
        <w:rPr>
          <w:rFonts w:ascii="Arial" w:eastAsia="Calibri" w:hAnsi="Arial" w:cs="Arial"/>
          <w:b/>
          <w:color w:val="000000" w:themeColor="text1"/>
          <w:sz w:val="22"/>
          <w:lang w:val="es-ES_tradnl"/>
        </w:rPr>
        <w:t>–</w:t>
      </w:r>
      <w:r w:rsidRPr="007D2E9C">
        <w:rPr>
          <w:rFonts w:ascii="Arial" w:eastAsia="Calibri" w:hAnsi="Arial" w:cs="Arial"/>
          <w:b/>
          <w:sz w:val="22"/>
          <w:lang w:val="es-ES_tradnl"/>
        </w:rPr>
        <w:t xml:space="preserve"> </w:t>
      </w:r>
      <w:r>
        <w:rPr>
          <w:rFonts w:ascii="Arial" w:eastAsia="Calibri" w:hAnsi="Arial" w:cs="Arial"/>
          <w:b/>
          <w:sz w:val="22"/>
          <w:lang w:val="es-ES_tradnl"/>
        </w:rPr>
        <w:t>Modalidades de selección</w:t>
      </w:r>
    </w:p>
    <w:p w14:paraId="56630A34" w14:textId="77777777" w:rsidR="00290AC3" w:rsidRPr="007D2E9C" w:rsidRDefault="00290AC3" w:rsidP="00F4469E">
      <w:pPr>
        <w:jc w:val="both"/>
        <w:rPr>
          <w:rFonts w:ascii="Arial" w:eastAsia="Calibri" w:hAnsi="Arial" w:cs="Arial"/>
          <w:sz w:val="20"/>
          <w:lang w:val="es-ES_tradnl"/>
        </w:rPr>
      </w:pPr>
    </w:p>
    <w:p w14:paraId="7CEA0E41" w14:textId="3FC5A676" w:rsidR="00397D40" w:rsidRDefault="00397D40" w:rsidP="00397D40">
      <w:pPr>
        <w:jc w:val="both"/>
        <w:rPr>
          <w:rFonts w:ascii="Arial" w:eastAsia="Calibri" w:hAnsi="Arial" w:cs="Arial"/>
          <w:sz w:val="20"/>
          <w:lang w:val="es-ES_tradnl"/>
        </w:rPr>
      </w:pPr>
      <w:r w:rsidRPr="00397D40">
        <w:rPr>
          <w:rFonts w:ascii="Arial" w:eastAsia="Calibri" w:hAnsi="Arial" w:cs="Arial"/>
          <w:sz w:val="20"/>
          <w:lang w:val="es-ES_tradnl"/>
        </w:rPr>
        <w:t>Si bien el artículo 32 de la Ley 1150 de 2007 derogó la expresión «concurso» de todo el Estatuto y, en consecuencia, dicha palabra quedó eliminada del artículo 12 de la Ley 80 de 1993, no se debe hacer una interpretación exegética del citado precepto. Por el contrario, debe efectuarse una interpretación sistemática, que haga coherente la posibilidad de desconcentrar la realización de la etapa precontractual en las distintas modalidades de selección, no solo en virtud de lo dispuesto en la Ley 80 de 1993, sino en la Ley 489 de 1998 y en la Ley 1150 de 2007.</w:t>
      </w:r>
    </w:p>
    <w:p w14:paraId="1C8FC6D3" w14:textId="77777777" w:rsidR="00397D40" w:rsidRPr="00397D40" w:rsidRDefault="00397D40" w:rsidP="00397D40">
      <w:pPr>
        <w:jc w:val="both"/>
        <w:rPr>
          <w:rFonts w:ascii="Arial" w:eastAsia="Calibri" w:hAnsi="Arial" w:cs="Arial"/>
          <w:sz w:val="20"/>
          <w:lang w:val="es-ES_tradnl"/>
        </w:rPr>
      </w:pPr>
    </w:p>
    <w:p w14:paraId="5C03112A" w14:textId="77777777" w:rsidR="00397D40" w:rsidRDefault="00397D40" w:rsidP="00397D40">
      <w:pPr>
        <w:jc w:val="both"/>
        <w:rPr>
          <w:rFonts w:ascii="Arial" w:eastAsia="Calibri" w:hAnsi="Arial" w:cs="Arial"/>
          <w:sz w:val="20"/>
          <w:lang w:val="es-ES_tradnl"/>
        </w:rPr>
      </w:pPr>
      <w:r w:rsidRPr="00397D40">
        <w:rPr>
          <w:rFonts w:ascii="Arial" w:eastAsia="Calibri" w:hAnsi="Arial" w:cs="Arial"/>
          <w:sz w:val="20"/>
          <w:lang w:val="es-ES_tradnl"/>
        </w:rPr>
        <w:t xml:space="preserve">En efecto, con la </w:t>
      </w:r>
      <w:proofErr w:type="gramStart"/>
      <w:r w:rsidRPr="00397D40">
        <w:rPr>
          <w:rFonts w:ascii="Arial" w:eastAsia="Calibri" w:hAnsi="Arial" w:cs="Arial"/>
          <w:sz w:val="20"/>
          <w:lang w:val="es-ES_tradnl"/>
        </w:rPr>
        <w:t>entrada en vigencia</w:t>
      </w:r>
      <w:proofErr w:type="gramEnd"/>
      <w:r w:rsidRPr="00397D40">
        <w:rPr>
          <w:rFonts w:ascii="Arial" w:eastAsia="Calibri" w:hAnsi="Arial" w:cs="Arial"/>
          <w:sz w:val="20"/>
          <w:lang w:val="es-ES_tradnl"/>
        </w:rPr>
        <w:t xml:space="preserve"> de la Ley 1150 de 2007 se crearon nuevas modalidades de selección, quedado las siguientes: licitación pública, selección abreviada, concurso de méritos, contratación directa y mínima cuantía. Por lo anterior, la interpretación otorgada al artículo 12 debe hacerse a la luz de las modificaciones introducidas por la Ley 1150 de 2007, entendiendo que cuando esta norma señala que puede desconcentrarse la realización de «licitaciones», se incluye en esta expresión cualquier procedimiento de selección contractual.</w:t>
      </w:r>
    </w:p>
    <w:p w14:paraId="3A31D28B" w14:textId="52CB4AD8" w:rsidR="00397D40" w:rsidRPr="00397D40" w:rsidRDefault="00397D40" w:rsidP="00397D40">
      <w:pPr>
        <w:jc w:val="both"/>
        <w:rPr>
          <w:rFonts w:ascii="Arial" w:eastAsia="Calibri" w:hAnsi="Arial" w:cs="Arial"/>
          <w:sz w:val="20"/>
          <w:lang w:val="es-ES_tradnl"/>
        </w:rPr>
      </w:pPr>
      <w:r w:rsidRPr="00397D40">
        <w:rPr>
          <w:rFonts w:ascii="Arial" w:eastAsia="Calibri" w:hAnsi="Arial" w:cs="Arial"/>
          <w:sz w:val="20"/>
          <w:lang w:val="es-ES_tradnl"/>
        </w:rPr>
        <w:t xml:space="preserve"> </w:t>
      </w:r>
    </w:p>
    <w:p w14:paraId="2466ECF3" w14:textId="77777777" w:rsidR="00397D40" w:rsidRPr="00397D40" w:rsidRDefault="00397D40" w:rsidP="00397D40">
      <w:pPr>
        <w:jc w:val="both"/>
        <w:rPr>
          <w:rFonts w:ascii="Arial" w:eastAsia="Calibri" w:hAnsi="Arial" w:cs="Arial"/>
          <w:sz w:val="20"/>
          <w:lang w:val="es-ES_tradnl"/>
        </w:rPr>
      </w:pPr>
      <w:r w:rsidRPr="00397D40">
        <w:rPr>
          <w:rFonts w:ascii="Arial" w:eastAsia="Calibri" w:hAnsi="Arial" w:cs="Arial"/>
          <w:sz w:val="20"/>
          <w:lang w:val="es-ES_tradnl"/>
        </w:rPr>
        <w:t>Adicionalmente, no se puede perder de vista que la interpretación que se haga de los preceptos del Estatuto General de Contratación de la Administración Pública debe ser acorde con el desarrollo que se vaya dando en la materia. Así las cosas, con la introducción de nuevas modalidades de selección de contratistas de las entidades públicas, se debe entender que la posibilidad de delegación y desconcentración de los procedimientos que aquellas adelanten se aplica a todos los procedimientos contractuales. Además, como se indicó, la regulación de la delegación y la desconcentración, contenida en la Ley 80 de 1993, se complementa con los artículos 8 al 12 de la Ley 489 de 1998, que permiten la delegación y la desconcentración, de manera transversal, en las actuaciones administrativas, siendo la actividad contractual una de estas actuaciones.</w:t>
      </w:r>
    </w:p>
    <w:p w14:paraId="29E10BED" w14:textId="77777777" w:rsidR="00B54166" w:rsidRPr="007D2E9C" w:rsidRDefault="00B54166" w:rsidP="00B54166">
      <w:pPr>
        <w:pStyle w:val="Default"/>
        <w:rPr>
          <w:sz w:val="20"/>
          <w:szCs w:val="20"/>
          <w:lang w:val="es-ES_tradnl"/>
        </w:rPr>
      </w:pPr>
    </w:p>
    <w:p w14:paraId="5122E1DC" w14:textId="77777777" w:rsidR="00FA3CEB" w:rsidRPr="007D2E9C" w:rsidRDefault="00FA3CEB" w:rsidP="00B54166">
      <w:pPr>
        <w:pStyle w:val="Default"/>
        <w:rPr>
          <w:sz w:val="22"/>
          <w:szCs w:val="22"/>
          <w:lang w:val="es-ES_tradnl"/>
        </w:rPr>
      </w:pPr>
    </w:p>
    <w:p w14:paraId="1AC7C6DA" w14:textId="77777777" w:rsidR="00FA3CEB" w:rsidRPr="007D2E9C" w:rsidRDefault="00FA3CEB" w:rsidP="00B54166">
      <w:pPr>
        <w:pStyle w:val="Default"/>
        <w:rPr>
          <w:sz w:val="22"/>
          <w:szCs w:val="22"/>
          <w:lang w:val="es-ES_tradnl"/>
        </w:rPr>
      </w:pPr>
    </w:p>
    <w:p w14:paraId="76110378" w14:textId="77777777" w:rsidR="00FA3CEB" w:rsidRPr="007D2E9C" w:rsidRDefault="00FA3CEB" w:rsidP="00B54166">
      <w:pPr>
        <w:pStyle w:val="Default"/>
        <w:rPr>
          <w:sz w:val="22"/>
          <w:szCs w:val="22"/>
          <w:lang w:val="es-ES_tradnl"/>
        </w:rPr>
      </w:pPr>
    </w:p>
    <w:p w14:paraId="0F046511" w14:textId="77777777" w:rsidR="00FA3CEB" w:rsidRPr="007D2E9C" w:rsidRDefault="00FA3CEB" w:rsidP="00B54166">
      <w:pPr>
        <w:pStyle w:val="Default"/>
        <w:rPr>
          <w:sz w:val="22"/>
          <w:szCs w:val="22"/>
          <w:lang w:val="es-ES_tradnl"/>
        </w:rPr>
      </w:pPr>
    </w:p>
    <w:p w14:paraId="1647B144" w14:textId="77777777" w:rsidR="00FA3CEB" w:rsidRPr="007D2E9C" w:rsidRDefault="00FA3CEB" w:rsidP="00B54166">
      <w:pPr>
        <w:pStyle w:val="Default"/>
        <w:rPr>
          <w:sz w:val="22"/>
          <w:szCs w:val="22"/>
          <w:lang w:val="es-ES_tradnl"/>
        </w:rPr>
      </w:pPr>
    </w:p>
    <w:p w14:paraId="5580C8DF" w14:textId="77777777" w:rsidR="00FA3CEB" w:rsidRPr="007D2E9C" w:rsidRDefault="00FA3CEB" w:rsidP="00B54166">
      <w:pPr>
        <w:pStyle w:val="Default"/>
        <w:rPr>
          <w:sz w:val="22"/>
          <w:szCs w:val="22"/>
          <w:lang w:val="es-ES_tradnl"/>
        </w:rPr>
      </w:pPr>
    </w:p>
    <w:p w14:paraId="46A85B11" w14:textId="77777777" w:rsidR="00FA3CEB" w:rsidRPr="007D2E9C" w:rsidRDefault="00FA3CEB" w:rsidP="00B54166">
      <w:pPr>
        <w:pStyle w:val="Default"/>
        <w:rPr>
          <w:sz w:val="22"/>
          <w:szCs w:val="22"/>
          <w:lang w:val="es-ES_tradnl"/>
        </w:rPr>
      </w:pPr>
    </w:p>
    <w:p w14:paraId="6216D869" w14:textId="77777777" w:rsidR="00FA3CEB" w:rsidRPr="007D2E9C" w:rsidRDefault="00FA3CEB" w:rsidP="00B54166">
      <w:pPr>
        <w:pStyle w:val="Default"/>
        <w:rPr>
          <w:sz w:val="22"/>
          <w:szCs w:val="22"/>
          <w:lang w:val="es-ES_tradnl"/>
        </w:rPr>
      </w:pPr>
    </w:p>
    <w:p w14:paraId="3D36E16A" w14:textId="77777777" w:rsidR="00FA3CEB" w:rsidRPr="007D2E9C" w:rsidRDefault="00FA3CEB" w:rsidP="00B54166">
      <w:pPr>
        <w:pStyle w:val="Default"/>
        <w:rPr>
          <w:sz w:val="22"/>
          <w:szCs w:val="22"/>
          <w:lang w:val="es-ES_tradnl"/>
        </w:rPr>
      </w:pPr>
    </w:p>
    <w:p w14:paraId="2DAE6599" w14:textId="77777777" w:rsidR="00FA3CEB" w:rsidRPr="007D2E9C" w:rsidRDefault="00FA3CEB" w:rsidP="00B54166">
      <w:pPr>
        <w:pStyle w:val="Default"/>
        <w:rPr>
          <w:sz w:val="22"/>
          <w:szCs w:val="22"/>
          <w:lang w:val="es-ES_tradnl"/>
        </w:rPr>
      </w:pPr>
    </w:p>
    <w:p w14:paraId="3D89B6E9" w14:textId="77777777" w:rsidR="00FA3CEB" w:rsidRPr="007D2E9C" w:rsidRDefault="00FA3CEB" w:rsidP="00B54166">
      <w:pPr>
        <w:pStyle w:val="Default"/>
        <w:rPr>
          <w:sz w:val="22"/>
          <w:szCs w:val="22"/>
          <w:lang w:val="es-ES_tradnl"/>
        </w:rPr>
      </w:pPr>
    </w:p>
    <w:p w14:paraId="51AAC88B" w14:textId="77777777" w:rsidR="00397D40" w:rsidRDefault="00397D40" w:rsidP="00885349">
      <w:pPr>
        <w:rPr>
          <w:rFonts w:ascii="Arial" w:hAnsi="Arial" w:cs="Arial"/>
          <w:b/>
          <w:bCs/>
          <w:color w:val="000000"/>
          <w:sz w:val="22"/>
          <w:lang w:val="es-ES_tradnl"/>
        </w:rPr>
      </w:pPr>
    </w:p>
    <w:p w14:paraId="6308917D" w14:textId="77777777" w:rsidR="00397D40" w:rsidRDefault="00397D40" w:rsidP="00885349">
      <w:pPr>
        <w:rPr>
          <w:rFonts w:ascii="Arial" w:hAnsi="Arial" w:cs="Arial"/>
          <w:b/>
          <w:bCs/>
          <w:color w:val="000000"/>
          <w:sz w:val="22"/>
          <w:lang w:val="es-ES_tradnl"/>
        </w:rPr>
      </w:pPr>
    </w:p>
    <w:p w14:paraId="5171E4F1" w14:textId="77777777" w:rsidR="007A2FEA" w:rsidRDefault="007A2FEA" w:rsidP="00F1108B">
      <w:pPr>
        <w:rPr>
          <w:rFonts w:ascii="Arial" w:eastAsia="Calibri" w:hAnsi="Arial" w:cs="Arial"/>
          <w:sz w:val="22"/>
          <w:szCs w:val="20"/>
          <w:lang w:val="es-ES_tradnl"/>
        </w:rPr>
      </w:pPr>
    </w:p>
    <w:p w14:paraId="64E50646" w14:textId="068BE94E" w:rsidR="007A2FEA" w:rsidRDefault="007A2FEA" w:rsidP="007A2FEA">
      <w:pPr>
        <w:jc w:val="right"/>
        <w:rPr>
          <w:rFonts w:ascii="Arial" w:eastAsia="Calibri" w:hAnsi="Arial" w:cs="Arial"/>
          <w:sz w:val="22"/>
          <w:szCs w:val="20"/>
          <w:lang w:val="es-ES_tradnl"/>
        </w:rPr>
      </w:pPr>
      <w:r>
        <w:rPr>
          <w:noProof/>
        </w:rPr>
        <w:drawing>
          <wp:inline distT="0" distB="0" distL="0" distR="0" wp14:anchorId="40821267" wp14:editId="73630B91">
            <wp:extent cx="2883877" cy="836681"/>
            <wp:effectExtent l="0" t="0" r="0" b="1905"/>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rotWithShape="1">
                    <a:blip r:embed="rId11"/>
                    <a:srcRect l="61055" t="41976" r="9931" b="42362"/>
                    <a:stretch/>
                  </pic:blipFill>
                  <pic:spPr bwMode="auto">
                    <a:xfrm>
                      <a:off x="0" y="0"/>
                      <a:ext cx="2932520" cy="850794"/>
                    </a:xfrm>
                    <a:prstGeom prst="rect">
                      <a:avLst/>
                    </a:prstGeom>
                    <a:ln>
                      <a:noFill/>
                    </a:ln>
                    <a:extLst>
                      <a:ext uri="{53640926-AAD7-44D8-BBD7-CCE9431645EC}">
                        <a14:shadowObscured xmlns:a14="http://schemas.microsoft.com/office/drawing/2010/main"/>
                      </a:ext>
                    </a:extLst>
                  </pic:spPr>
                </pic:pic>
              </a:graphicData>
            </a:graphic>
          </wp:inline>
        </w:drawing>
      </w:r>
    </w:p>
    <w:p w14:paraId="330B9F19" w14:textId="1BA3B469" w:rsidR="007A2FEA" w:rsidRPr="007A2FEA" w:rsidRDefault="007A2FEA" w:rsidP="00F1108B">
      <w:pPr>
        <w:rPr>
          <w:rFonts w:ascii="Arial" w:eastAsia="Calibri" w:hAnsi="Arial" w:cs="Arial"/>
          <w:sz w:val="22"/>
          <w:szCs w:val="20"/>
          <w:lang w:val="es-ES_tradnl"/>
        </w:rPr>
      </w:pPr>
      <w:r w:rsidRPr="007A2FEA">
        <w:rPr>
          <w:rFonts w:ascii="Arial" w:eastAsia="Calibri" w:hAnsi="Arial" w:cs="Arial"/>
          <w:sz w:val="22"/>
          <w:szCs w:val="20"/>
          <w:lang w:val="es-ES_tradnl"/>
        </w:rPr>
        <w:t xml:space="preserve">Bogotá, 10 </w:t>
      </w:r>
      <w:proofErr w:type="gramStart"/>
      <w:r w:rsidRPr="007A2FEA">
        <w:rPr>
          <w:rFonts w:ascii="Arial" w:eastAsia="Calibri" w:hAnsi="Arial" w:cs="Arial"/>
          <w:sz w:val="22"/>
          <w:szCs w:val="20"/>
          <w:lang w:val="es-ES_tradnl"/>
        </w:rPr>
        <w:t>Marzo</w:t>
      </w:r>
      <w:proofErr w:type="gramEnd"/>
      <w:r w:rsidRPr="007A2FEA">
        <w:rPr>
          <w:rFonts w:ascii="Arial" w:eastAsia="Calibri" w:hAnsi="Arial" w:cs="Arial"/>
          <w:sz w:val="22"/>
          <w:szCs w:val="20"/>
          <w:lang w:val="es-ES_tradnl"/>
        </w:rPr>
        <w:t xml:space="preserve"> 2022</w:t>
      </w:r>
    </w:p>
    <w:p w14:paraId="724CE41A" w14:textId="77777777" w:rsidR="007A2FEA" w:rsidRDefault="007A2FEA" w:rsidP="00F1108B">
      <w:pPr>
        <w:rPr>
          <w:rFonts w:ascii="Arial" w:eastAsia="Calibri" w:hAnsi="Arial" w:cs="Arial"/>
          <w:sz w:val="22"/>
          <w:szCs w:val="20"/>
          <w:lang w:val="es-ES_tradnl"/>
        </w:rPr>
      </w:pPr>
    </w:p>
    <w:p w14:paraId="1AC01C9C" w14:textId="412E94B4" w:rsidR="00F1108B" w:rsidRPr="007D2E9C" w:rsidRDefault="007227D2" w:rsidP="00F1108B">
      <w:pPr>
        <w:rPr>
          <w:rFonts w:ascii="Arial" w:eastAsia="Calibri" w:hAnsi="Arial" w:cs="Arial"/>
          <w:sz w:val="22"/>
          <w:szCs w:val="20"/>
          <w:lang w:val="es-ES_tradnl"/>
        </w:rPr>
      </w:pPr>
      <w:r w:rsidRPr="007D2E9C">
        <w:rPr>
          <w:rFonts w:ascii="Arial" w:eastAsia="Calibri" w:hAnsi="Arial" w:cs="Arial"/>
          <w:sz w:val="22"/>
          <w:szCs w:val="20"/>
          <w:lang w:val="es-ES_tradnl"/>
        </w:rPr>
        <w:t>Señor</w:t>
      </w:r>
    </w:p>
    <w:p w14:paraId="345BD6FA" w14:textId="5111378A" w:rsidR="007227D2" w:rsidRPr="007D2E9C" w:rsidRDefault="007227D2" w:rsidP="007227D2">
      <w:pPr>
        <w:spacing w:line="276" w:lineRule="auto"/>
        <w:contextualSpacing/>
        <w:jc w:val="both"/>
        <w:rPr>
          <w:rFonts w:ascii="Arial" w:eastAsia="Calibri" w:hAnsi="Arial" w:cs="Arial"/>
          <w:b/>
          <w:bCs/>
          <w:sz w:val="22"/>
          <w:lang w:val="es-ES_tradnl"/>
        </w:rPr>
      </w:pPr>
      <w:r w:rsidRPr="007D2E9C">
        <w:rPr>
          <w:rFonts w:ascii="Arial" w:eastAsia="Calibri" w:hAnsi="Arial" w:cs="Arial"/>
          <w:b/>
          <w:bCs/>
          <w:sz w:val="22"/>
          <w:lang w:val="es-ES_tradnl"/>
        </w:rPr>
        <w:t>Marlon Augusto</w:t>
      </w:r>
      <w:r w:rsidRPr="007D2E9C">
        <w:rPr>
          <w:lang w:val="es-ES_tradnl"/>
        </w:rPr>
        <w:t xml:space="preserve"> </w:t>
      </w:r>
      <w:r w:rsidRPr="007D2E9C">
        <w:rPr>
          <w:rFonts w:ascii="Arial" w:eastAsia="Calibri" w:hAnsi="Arial" w:cs="Arial"/>
          <w:b/>
          <w:bCs/>
          <w:sz w:val="22"/>
          <w:lang w:val="es-ES_tradnl"/>
        </w:rPr>
        <w:t>Cabrera Daza</w:t>
      </w:r>
    </w:p>
    <w:p w14:paraId="0C515BDA" w14:textId="63458F51" w:rsidR="00F1108B" w:rsidRPr="007D2E9C" w:rsidRDefault="00F1108B" w:rsidP="00F1108B">
      <w:pPr>
        <w:rPr>
          <w:rFonts w:ascii="Arial" w:eastAsia="Calibri" w:hAnsi="Arial" w:cs="Arial"/>
          <w:sz w:val="22"/>
          <w:szCs w:val="20"/>
          <w:lang w:val="es-ES_tradnl"/>
        </w:rPr>
      </w:pPr>
      <w:r w:rsidRPr="007D2E9C">
        <w:rPr>
          <w:rFonts w:ascii="Arial" w:eastAsia="Calibri" w:hAnsi="Arial" w:cs="Arial"/>
          <w:sz w:val="22"/>
          <w:szCs w:val="20"/>
          <w:lang w:val="es-ES_tradnl"/>
        </w:rPr>
        <w:t>Ciudad</w:t>
      </w:r>
    </w:p>
    <w:p w14:paraId="67DB9390" w14:textId="77777777" w:rsidR="003D2C4D" w:rsidRPr="007D2E9C" w:rsidRDefault="003D2C4D" w:rsidP="00F1108B">
      <w:pPr>
        <w:rPr>
          <w:rFonts w:ascii="Arial" w:eastAsia="Calibri" w:hAnsi="Arial" w:cs="Arial"/>
          <w:sz w:val="22"/>
          <w:szCs w:val="20"/>
          <w:lang w:val="es-ES_tradnl"/>
        </w:rPr>
      </w:pPr>
    </w:p>
    <w:p w14:paraId="283D6043" w14:textId="7EAB8543" w:rsidR="00F1108B" w:rsidRPr="007D2E9C" w:rsidRDefault="00F1108B" w:rsidP="00C97B6C">
      <w:pPr>
        <w:ind w:left="2124" w:firstLine="708"/>
        <w:rPr>
          <w:rFonts w:ascii="Arial" w:eastAsia="Calibri" w:hAnsi="Arial" w:cs="Arial"/>
          <w:b/>
          <w:sz w:val="22"/>
          <w:lang w:val="es-ES_tradnl"/>
        </w:rPr>
      </w:pPr>
      <w:r w:rsidRPr="007D2E9C">
        <w:rPr>
          <w:rFonts w:ascii="Arial" w:eastAsia="Calibri" w:hAnsi="Arial" w:cs="Arial"/>
          <w:b/>
          <w:sz w:val="22"/>
          <w:lang w:val="es-ES_tradnl"/>
        </w:rPr>
        <w:t xml:space="preserve">Concepto C ─ </w:t>
      </w:r>
      <w:r w:rsidR="0067421E" w:rsidRPr="007D2E9C">
        <w:rPr>
          <w:rFonts w:ascii="Arial" w:eastAsia="Calibri" w:hAnsi="Arial" w:cs="Arial"/>
          <w:b/>
          <w:sz w:val="22"/>
          <w:lang w:val="es-ES_tradnl"/>
        </w:rPr>
        <w:t>060</w:t>
      </w:r>
      <w:r w:rsidR="002F7856" w:rsidRPr="007D2E9C">
        <w:rPr>
          <w:rFonts w:ascii="Arial" w:eastAsia="Calibri" w:hAnsi="Arial" w:cs="Arial"/>
          <w:b/>
          <w:sz w:val="22"/>
          <w:lang w:val="es-ES_tradnl"/>
        </w:rPr>
        <w:t xml:space="preserve"> </w:t>
      </w:r>
      <w:r w:rsidRPr="007D2E9C">
        <w:rPr>
          <w:rFonts w:ascii="Arial" w:eastAsia="Calibri" w:hAnsi="Arial" w:cs="Arial"/>
          <w:b/>
          <w:sz w:val="22"/>
          <w:lang w:val="es-ES_tradnl"/>
        </w:rPr>
        <w:t>de 202</w:t>
      </w:r>
      <w:r w:rsidR="0067421E" w:rsidRPr="007D2E9C">
        <w:rPr>
          <w:rFonts w:ascii="Arial" w:eastAsia="Calibri" w:hAnsi="Arial" w:cs="Arial"/>
          <w:b/>
          <w:sz w:val="22"/>
          <w:lang w:val="es-ES_tradnl"/>
        </w:rPr>
        <w:t>2</w:t>
      </w:r>
    </w:p>
    <w:p w14:paraId="55A2A84E" w14:textId="6DB8DB71" w:rsidR="00F1108B" w:rsidRPr="007D2E9C" w:rsidRDefault="00F1108B" w:rsidP="00F1108B">
      <w:pPr>
        <w:rPr>
          <w:rFonts w:ascii="Arial" w:eastAsia="Calibri" w:hAnsi="Arial" w:cs="Arial"/>
          <w:sz w:val="22"/>
          <w:lang w:val="es-ES_tradnl"/>
        </w:rPr>
      </w:pPr>
    </w:p>
    <w:p w14:paraId="67C77FF9" w14:textId="77777777" w:rsidR="003D2C4D" w:rsidRPr="007D2E9C" w:rsidRDefault="003D2C4D" w:rsidP="00F1108B">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F1611" w:rsidRPr="007D2E9C" w14:paraId="522C04FC" w14:textId="77777777" w:rsidTr="007C4906">
        <w:tc>
          <w:tcPr>
            <w:tcW w:w="2689" w:type="dxa"/>
            <w:hideMark/>
          </w:tcPr>
          <w:p w14:paraId="5C1F9A7E" w14:textId="77777777" w:rsidR="00F1108B" w:rsidRPr="007D2E9C" w:rsidRDefault="00F1108B" w:rsidP="007C4906">
            <w:pPr>
              <w:rPr>
                <w:rFonts w:ascii="Arial" w:eastAsia="Calibri" w:hAnsi="Arial" w:cs="Arial"/>
                <w:sz w:val="22"/>
                <w:lang w:val="es-ES_tradnl"/>
              </w:rPr>
            </w:pPr>
            <w:r w:rsidRPr="007D2E9C">
              <w:rPr>
                <w:rFonts w:ascii="Arial" w:eastAsia="Calibri" w:hAnsi="Arial" w:cs="Arial"/>
                <w:b/>
                <w:sz w:val="22"/>
                <w:lang w:val="es-ES_tradnl"/>
              </w:rPr>
              <w:t>Temas:</w:t>
            </w:r>
            <w:r w:rsidRPr="007D2E9C">
              <w:rPr>
                <w:rFonts w:ascii="Arial" w:eastAsia="Calibri" w:hAnsi="Arial" w:cs="Arial"/>
                <w:sz w:val="22"/>
                <w:lang w:val="es-ES_tradnl"/>
              </w:rPr>
              <w:t xml:space="preserve">           </w:t>
            </w:r>
          </w:p>
          <w:p w14:paraId="4376ABAA" w14:textId="77777777" w:rsidR="00F1108B" w:rsidRPr="007D2E9C" w:rsidRDefault="00F1108B" w:rsidP="007C4906">
            <w:pPr>
              <w:rPr>
                <w:rFonts w:ascii="Arial" w:eastAsia="Calibri" w:hAnsi="Arial" w:cs="Arial"/>
                <w:sz w:val="22"/>
                <w:lang w:val="es-ES_tradnl"/>
              </w:rPr>
            </w:pPr>
            <w:r w:rsidRPr="007D2E9C">
              <w:rPr>
                <w:rFonts w:ascii="Arial" w:eastAsia="Calibri" w:hAnsi="Arial" w:cs="Arial"/>
                <w:sz w:val="22"/>
                <w:lang w:val="es-ES_tradnl"/>
              </w:rPr>
              <w:t xml:space="preserve">                           </w:t>
            </w:r>
          </w:p>
        </w:tc>
        <w:tc>
          <w:tcPr>
            <w:tcW w:w="6237" w:type="dxa"/>
            <w:hideMark/>
          </w:tcPr>
          <w:p w14:paraId="7A0843AA" w14:textId="25D623E9" w:rsidR="00F1108B" w:rsidRDefault="00F154E7" w:rsidP="007C4906">
            <w:pPr>
              <w:jc w:val="both"/>
              <w:rPr>
                <w:rFonts w:ascii="Arial" w:eastAsia="Calibri" w:hAnsi="Arial" w:cs="Arial"/>
                <w:sz w:val="22"/>
                <w:lang w:val="es-ES_tradnl"/>
              </w:rPr>
            </w:pPr>
            <w:r w:rsidRPr="007D2E9C">
              <w:rPr>
                <w:rFonts w:ascii="Arial" w:eastAsia="Calibri" w:hAnsi="Arial" w:cs="Arial"/>
                <w:sz w:val="22"/>
                <w:lang w:val="es-ES_tradnl"/>
              </w:rPr>
              <w:t xml:space="preserve">DELEGACIÓN ― Fundamento normativo ― </w:t>
            </w:r>
            <w:r w:rsidR="00872BEC" w:rsidRPr="007D2E9C">
              <w:rPr>
                <w:rFonts w:ascii="Arial" w:eastAsia="Calibri" w:hAnsi="Arial" w:cs="Arial"/>
                <w:sz w:val="22"/>
                <w:lang w:val="es-ES_tradnl"/>
              </w:rPr>
              <w:t>Requisitos legales</w:t>
            </w:r>
            <w:r w:rsidRPr="007D2E9C">
              <w:rPr>
                <w:rFonts w:ascii="Arial" w:eastAsia="Calibri" w:hAnsi="Arial" w:cs="Arial"/>
                <w:sz w:val="22"/>
                <w:lang w:val="es-ES_tradnl"/>
              </w:rPr>
              <w:t xml:space="preserve"> </w:t>
            </w:r>
            <w:r w:rsidR="00897F5B" w:rsidRPr="007D2E9C">
              <w:rPr>
                <w:rFonts w:ascii="Arial" w:eastAsia="Calibri" w:hAnsi="Arial" w:cs="Arial"/>
                <w:sz w:val="22"/>
                <w:lang w:val="es-ES_tradnl"/>
              </w:rPr>
              <w:t xml:space="preserve">/ </w:t>
            </w:r>
            <w:r w:rsidRPr="007D2E9C">
              <w:rPr>
                <w:rFonts w:ascii="Arial" w:eastAsia="Calibri" w:hAnsi="Arial" w:cs="Arial"/>
                <w:sz w:val="22"/>
                <w:lang w:val="es-ES_tradnl"/>
              </w:rPr>
              <w:t>DESCONCENTRACIÓN ― Fundamento normativo ― Concepto</w:t>
            </w:r>
            <w:r w:rsidR="00397D40">
              <w:rPr>
                <w:rFonts w:ascii="Arial" w:eastAsia="Calibri" w:hAnsi="Arial" w:cs="Arial"/>
                <w:sz w:val="22"/>
                <w:lang w:val="es-ES_tradnl"/>
              </w:rPr>
              <w:t xml:space="preserve"> / </w:t>
            </w:r>
            <w:r w:rsidR="00397D40" w:rsidRPr="00397D40">
              <w:rPr>
                <w:rFonts w:ascii="Arial" w:eastAsia="Calibri" w:hAnsi="Arial" w:cs="Arial"/>
                <w:sz w:val="22"/>
                <w:lang w:val="es-ES_tradnl"/>
              </w:rPr>
              <w:t>DELEGACIÓN Y DESCONCENTRACIÓN – Técnicas transversales – Modalidades de selección</w:t>
            </w:r>
            <w:r w:rsidR="00397D40">
              <w:rPr>
                <w:rFonts w:ascii="Arial" w:eastAsia="Calibri" w:hAnsi="Arial" w:cs="Arial"/>
                <w:sz w:val="22"/>
                <w:lang w:val="es-ES_tradnl"/>
              </w:rPr>
              <w:t>.</w:t>
            </w:r>
          </w:p>
          <w:p w14:paraId="232C587E" w14:textId="77777777" w:rsidR="00397D40" w:rsidRPr="007D2E9C" w:rsidRDefault="00397D40" w:rsidP="007C4906">
            <w:pPr>
              <w:jc w:val="both"/>
              <w:rPr>
                <w:rFonts w:ascii="Arial" w:eastAsia="Calibri" w:hAnsi="Arial" w:cs="Arial"/>
                <w:sz w:val="22"/>
                <w:lang w:val="es-ES_tradnl"/>
              </w:rPr>
            </w:pPr>
          </w:p>
          <w:p w14:paraId="3AA47512" w14:textId="20D72DE4" w:rsidR="00F154E7" w:rsidRPr="007D2E9C" w:rsidRDefault="00F154E7" w:rsidP="007C4906">
            <w:pPr>
              <w:jc w:val="both"/>
              <w:rPr>
                <w:rFonts w:ascii="Arial" w:eastAsia="Calibri" w:hAnsi="Arial" w:cs="Arial"/>
                <w:sz w:val="22"/>
                <w:highlight w:val="yellow"/>
                <w:lang w:val="es-ES_tradnl"/>
              </w:rPr>
            </w:pPr>
          </w:p>
        </w:tc>
      </w:tr>
      <w:tr w:rsidR="00F1108B" w:rsidRPr="007D2E9C" w14:paraId="7D0D2FDB" w14:textId="77777777" w:rsidTr="007C4906">
        <w:tc>
          <w:tcPr>
            <w:tcW w:w="2689" w:type="dxa"/>
          </w:tcPr>
          <w:p w14:paraId="7DC82264" w14:textId="77777777" w:rsidR="00F1108B" w:rsidRPr="007D2E9C" w:rsidRDefault="00F1108B" w:rsidP="007C4906">
            <w:pPr>
              <w:rPr>
                <w:rFonts w:ascii="Arial" w:eastAsia="Calibri" w:hAnsi="Arial" w:cs="Arial"/>
                <w:b/>
                <w:sz w:val="22"/>
                <w:lang w:val="es-ES_tradnl"/>
              </w:rPr>
            </w:pPr>
            <w:r w:rsidRPr="007D2E9C">
              <w:rPr>
                <w:rFonts w:ascii="Arial" w:eastAsia="Calibri" w:hAnsi="Arial" w:cs="Arial"/>
                <w:b/>
                <w:sz w:val="22"/>
                <w:lang w:val="es-ES_tradnl"/>
              </w:rPr>
              <w:t>Radicación:</w:t>
            </w:r>
            <w:r w:rsidRPr="007D2E9C">
              <w:rPr>
                <w:rFonts w:ascii="Arial" w:eastAsia="Calibri" w:hAnsi="Arial" w:cs="Arial"/>
                <w:sz w:val="22"/>
                <w:lang w:val="es-ES_tradnl"/>
              </w:rPr>
              <w:t xml:space="preserve">                              </w:t>
            </w:r>
          </w:p>
        </w:tc>
        <w:tc>
          <w:tcPr>
            <w:tcW w:w="6237" w:type="dxa"/>
          </w:tcPr>
          <w:p w14:paraId="01DC5749" w14:textId="693A83BC" w:rsidR="00F1108B" w:rsidRPr="007D2E9C" w:rsidRDefault="00F1108B" w:rsidP="007F785F">
            <w:pPr>
              <w:jc w:val="both"/>
              <w:rPr>
                <w:rFonts w:ascii="Arial" w:eastAsia="Calibri" w:hAnsi="Arial" w:cs="Arial"/>
                <w:sz w:val="22"/>
                <w:lang w:val="es-ES_tradnl"/>
              </w:rPr>
            </w:pPr>
            <w:r w:rsidRPr="007D2E9C">
              <w:rPr>
                <w:rFonts w:ascii="Arial" w:eastAsia="Calibri" w:hAnsi="Arial" w:cs="Arial"/>
                <w:sz w:val="22"/>
                <w:lang w:val="es-ES_tradnl"/>
              </w:rPr>
              <w:t>Respuesta a</w:t>
            </w:r>
            <w:r w:rsidR="00D33F51" w:rsidRPr="007D2E9C">
              <w:rPr>
                <w:rFonts w:ascii="Arial" w:eastAsia="Calibri" w:hAnsi="Arial" w:cs="Arial"/>
                <w:sz w:val="22"/>
                <w:lang w:val="es-ES_tradnl"/>
              </w:rPr>
              <w:t xml:space="preserve"> la</w:t>
            </w:r>
            <w:r w:rsidRPr="007D2E9C">
              <w:rPr>
                <w:rFonts w:ascii="Arial" w:eastAsia="Calibri" w:hAnsi="Arial" w:cs="Arial"/>
                <w:sz w:val="22"/>
                <w:lang w:val="es-ES_tradnl"/>
              </w:rPr>
              <w:t xml:space="preserve"> consulta # </w:t>
            </w:r>
            <w:r w:rsidR="00BA1FE3" w:rsidRPr="007D2E9C">
              <w:rPr>
                <w:rFonts w:ascii="Arial" w:hAnsi="Arial" w:cs="Arial"/>
                <w:sz w:val="22"/>
                <w:shd w:val="clear" w:color="auto" w:fill="FFFFFF"/>
                <w:lang w:val="es-ES_tradnl"/>
              </w:rPr>
              <w:t>P20220131000803</w:t>
            </w:r>
          </w:p>
        </w:tc>
      </w:tr>
    </w:tbl>
    <w:p w14:paraId="7DF1E86E" w14:textId="77777777" w:rsidR="00F1108B" w:rsidRPr="007D2E9C" w:rsidRDefault="00F1108B" w:rsidP="00F1108B">
      <w:pPr>
        <w:jc w:val="both"/>
        <w:rPr>
          <w:rFonts w:ascii="Arial" w:eastAsia="Calibri" w:hAnsi="Arial" w:cs="Arial"/>
          <w:sz w:val="22"/>
          <w:lang w:val="es-ES_tradnl"/>
        </w:rPr>
      </w:pPr>
    </w:p>
    <w:p w14:paraId="446ECF41" w14:textId="77777777" w:rsidR="00F1108B" w:rsidRPr="007D2E9C" w:rsidRDefault="00F1108B" w:rsidP="00F1108B">
      <w:pPr>
        <w:jc w:val="both"/>
        <w:rPr>
          <w:rFonts w:ascii="Arial" w:eastAsia="Calibri" w:hAnsi="Arial" w:cs="Arial"/>
          <w:sz w:val="22"/>
          <w:lang w:val="es-ES_tradnl"/>
        </w:rPr>
      </w:pPr>
    </w:p>
    <w:p w14:paraId="6A11BDDD" w14:textId="1C4585D2" w:rsidR="00F1108B" w:rsidRPr="007D2E9C" w:rsidRDefault="00F1108B" w:rsidP="00F1108B">
      <w:pPr>
        <w:rPr>
          <w:rFonts w:ascii="Arial" w:eastAsia="Calibri" w:hAnsi="Arial" w:cs="Arial"/>
          <w:sz w:val="22"/>
          <w:lang w:val="es-ES_tradnl"/>
        </w:rPr>
      </w:pPr>
      <w:r w:rsidRPr="007D2E9C">
        <w:rPr>
          <w:rFonts w:ascii="Arial" w:eastAsia="Calibri" w:hAnsi="Arial" w:cs="Arial"/>
          <w:sz w:val="22"/>
          <w:lang w:val="es-ES_tradnl"/>
        </w:rPr>
        <w:t xml:space="preserve">Estimado </w:t>
      </w:r>
      <w:r w:rsidR="00DD614E" w:rsidRPr="007D2E9C">
        <w:rPr>
          <w:rFonts w:ascii="Arial" w:eastAsia="Calibri" w:hAnsi="Arial" w:cs="Arial"/>
          <w:sz w:val="22"/>
          <w:lang w:val="es-ES_tradnl"/>
        </w:rPr>
        <w:t>señor</w:t>
      </w:r>
      <w:r w:rsidR="00D33F51" w:rsidRPr="007D2E9C">
        <w:rPr>
          <w:rFonts w:ascii="Arial" w:eastAsia="Calibri" w:hAnsi="Arial" w:cs="Arial"/>
          <w:sz w:val="22"/>
          <w:lang w:val="es-ES_tradnl"/>
        </w:rPr>
        <w:t xml:space="preserve"> </w:t>
      </w:r>
      <w:r w:rsidR="00DD614E" w:rsidRPr="007D2E9C">
        <w:rPr>
          <w:rFonts w:ascii="Arial" w:eastAsia="Calibri" w:hAnsi="Arial" w:cs="Arial"/>
          <w:sz w:val="22"/>
          <w:lang w:val="es-ES_tradnl"/>
        </w:rPr>
        <w:t>Cabrera</w:t>
      </w:r>
      <w:r w:rsidRPr="007D2E9C">
        <w:rPr>
          <w:rFonts w:ascii="Arial" w:eastAsia="Calibri" w:hAnsi="Arial" w:cs="Arial"/>
          <w:sz w:val="22"/>
          <w:lang w:val="es-ES_tradnl"/>
        </w:rPr>
        <w:t>,</w:t>
      </w:r>
    </w:p>
    <w:p w14:paraId="45ADAB8A" w14:textId="77777777" w:rsidR="00F1108B" w:rsidRPr="007D2E9C" w:rsidRDefault="00F1108B" w:rsidP="00F1108B">
      <w:pPr>
        <w:rPr>
          <w:rFonts w:ascii="Arial" w:eastAsia="Calibri" w:hAnsi="Arial" w:cs="Arial"/>
          <w:sz w:val="22"/>
          <w:lang w:val="es-ES_tradnl"/>
        </w:rPr>
      </w:pPr>
    </w:p>
    <w:p w14:paraId="329AA852" w14:textId="6CADDA82" w:rsidR="00F1108B" w:rsidRPr="007D2E9C" w:rsidRDefault="00DD464C" w:rsidP="00D65576">
      <w:pPr>
        <w:spacing w:after="120" w:line="276" w:lineRule="auto"/>
        <w:ind w:right="51"/>
        <w:jc w:val="both"/>
        <w:rPr>
          <w:rFonts w:ascii="Arial" w:eastAsia="Calibri" w:hAnsi="Arial" w:cs="Arial"/>
          <w:sz w:val="22"/>
          <w:lang w:val="es-ES_tradnl"/>
        </w:rPr>
      </w:pPr>
      <w:r w:rsidRPr="007D2E9C">
        <w:rPr>
          <w:rFonts w:ascii="Arial" w:eastAsia="Calibri" w:hAnsi="Arial" w:cs="Arial"/>
          <w:sz w:val="22"/>
          <w:lang w:val="es-ES_tradnl"/>
        </w:rPr>
        <w:t xml:space="preserve">La Agencia Nacional de Contratación Pública ―Colombia Compra Eficiente― responde su consulta del </w:t>
      </w:r>
      <w:r w:rsidR="004669D5" w:rsidRPr="007D2E9C">
        <w:rPr>
          <w:rFonts w:ascii="Arial" w:eastAsia="Calibri" w:hAnsi="Arial" w:cs="Arial"/>
          <w:sz w:val="22"/>
          <w:lang w:val="es-ES_tradnl"/>
        </w:rPr>
        <w:t>28</w:t>
      </w:r>
      <w:r w:rsidR="008A4E5A" w:rsidRPr="007D2E9C">
        <w:rPr>
          <w:rFonts w:ascii="Arial" w:eastAsia="Calibri" w:hAnsi="Arial" w:cs="Arial"/>
          <w:sz w:val="22"/>
          <w:lang w:val="es-ES_tradnl"/>
        </w:rPr>
        <w:t xml:space="preserve"> de </w:t>
      </w:r>
      <w:r w:rsidR="004669D5" w:rsidRPr="007D2E9C">
        <w:rPr>
          <w:rFonts w:ascii="Arial" w:eastAsia="Calibri" w:hAnsi="Arial" w:cs="Arial"/>
          <w:sz w:val="22"/>
          <w:lang w:val="es-ES_tradnl"/>
        </w:rPr>
        <w:t>enero</w:t>
      </w:r>
      <w:r w:rsidR="008A4E5A" w:rsidRPr="007D2E9C">
        <w:rPr>
          <w:rFonts w:ascii="Arial" w:eastAsia="Calibri" w:hAnsi="Arial" w:cs="Arial"/>
          <w:sz w:val="22"/>
          <w:lang w:val="es-ES_tradnl"/>
        </w:rPr>
        <w:t xml:space="preserve"> de 202</w:t>
      </w:r>
      <w:r w:rsidR="004669D5" w:rsidRPr="007D2E9C">
        <w:rPr>
          <w:rFonts w:ascii="Arial" w:eastAsia="Calibri" w:hAnsi="Arial" w:cs="Arial"/>
          <w:sz w:val="22"/>
          <w:lang w:val="es-ES_tradnl"/>
        </w:rPr>
        <w:t>2</w:t>
      </w:r>
      <w:r w:rsidRPr="007D2E9C">
        <w:rPr>
          <w:rFonts w:ascii="Arial" w:eastAsia="Calibri" w:hAnsi="Arial" w:cs="Arial"/>
          <w:sz w:val="22"/>
          <w:lang w:val="es-ES_tradnl"/>
        </w:rPr>
        <w:t>, en ejercicio de la competencia otorgada por el numeral 8 del artículo 11 y el numeral 5 del artículo 3 del Decreto Ley 4170 de 2011.</w:t>
      </w:r>
    </w:p>
    <w:p w14:paraId="72382DCC" w14:textId="77777777" w:rsidR="00F1108B" w:rsidRPr="007D2E9C" w:rsidRDefault="00F1108B" w:rsidP="00F1108B">
      <w:pPr>
        <w:pStyle w:val="Prrafodelista"/>
        <w:tabs>
          <w:tab w:val="left" w:pos="284"/>
        </w:tabs>
        <w:spacing w:line="276" w:lineRule="auto"/>
        <w:ind w:left="0"/>
        <w:jc w:val="both"/>
        <w:rPr>
          <w:rFonts w:ascii="Arial" w:eastAsia="Calibri" w:hAnsi="Arial" w:cs="Arial"/>
          <w:sz w:val="22"/>
          <w:lang w:val="es-ES_tradnl"/>
        </w:rPr>
      </w:pPr>
    </w:p>
    <w:p w14:paraId="7041ED68" w14:textId="77777777" w:rsidR="00F1108B" w:rsidRPr="007D2E9C" w:rsidRDefault="00F1108B" w:rsidP="00D65576">
      <w:pPr>
        <w:pStyle w:val="Prrafodelista"/>
        <w:tabs>
          <w:tab w:val="left" w:pos="284"/>
        </w:tabs>
        <w:spacing w:after="120" w:line="276" w:lineRule="auto"/>
        <w:ind w:left="0"/>
        <w:jc w:val="both"/>
        <w:rPr>
          <w:rFonts w:ascii="Arial" w:eastAsia="Calibri" w:hAnsi="Arial" w:cs="Arial"/>
          <w:b/>
          <w:sz w:val="22"/>
          <w:lang w:val="es-ES_tradnl"/>
        </w:rPr>
      </w:pPr>
      <w:r w:rsidRPr="007D2E9C">
        <w:rPr>
          <w:rFonts w:ascii="Arial" w:eastAsia="Calibri" w:hAnsi="Arial" w:cs="Arial"/>
          <w:b/>
          <w:sz w:val="22"/>
          <w:lang w:val="es-ES_tradnl"/>
        </w:rPr>
        <w:t>1.</w:t>
      </w:r>
      <w:r w:rsidRPr="007D2E9C">
        <w:rPr>
          <w:rFonts w:ascii="Arial" w:eastAsia="Calibri" w:hAnsi="Arial" w:cs="Arial"/>
          <w:sz w:val="22"/>
          <w:lang w:val="es-ES_tradnl"/>
        </w:rPr>
        <w:t xml:space="preserve"> </w:t>
      </w:r>
      <w:r w:rsidRPr="007D2E9C">
        <w:rPr>
          <w:rFonts w:ascii="Arial" w:eastAsia="Calibri" w:hAnsi="Arial" w:cs="Arial"/>
          <w:b/>
          <w:sz w:val="22"/>
          <w:lang w:val="es-ES_tradnl"/>
        </w:rPr>
        <w:t xml:space="preserve">Problemas planteados </w:t>
      </w:r>
    </w:p>
    <w:p w14:paraId="2C3DAA31" w14:textId="77777777" w:rsidR="00F1108B" w:rsidRPr="007D2E9C" w:rsidRDefault="00F1108B" w:rsidP="00F1108B">
      <w:pPr>
        <w:tabs>
          <w:tab w:val="left" w:pos="426"/>
        </w:tabs>
        <w:spacing w:line="276" w:lineRule="auto"/>
        <w:jc w:val="both"/>
        <w:rPr>
          <w:rFonts w:ascii="Arial" w:eastAsia="Calibri" w:hAnsi="Arial" w:cs="Arial"/>
          <w:b/>
          <w:sz w:val="22"/>
          <w:lang w:val="es-ES_tradnl"/>
        </w:rPr>
      </w:pPr>
    </w:p>
    <w:p w14:paraId="3DB80024" w14:textId="77777777" w:rsidR="000353CE" w:rsidRPr="007D2E9C" w:rsidRDefault="000353CE" w:rsidP="000353CE">
      <w:pPr>
        <w:pStyle w:val="Sinespaciado"/>
        <w:spacing w:line="276" w:lineRule="auto"/>
        <w:contextualSpacing/>
        <w:jc w:val="both"/>
        <w:rPr>
          <w:rFonts w:ascii="Arial" w:eastAsia="Calibri" w:hAnsi="Arial" w:cs="Arial"/>
          <w:bCs/>
          <w:sz w:val="22"/>
          <w:lang w:val="es-ES_tradnl"/>
        </w:rPr>
      </w:pPr>
      <w:r w:rsidRPr="007D2E9C">
        <w:rPr>
          <w:rFonts w:ascii="Arial" w:eastAsia="Calibri" w:hAnsi="Arial" w:cs="Arial"/>
          <w:bCs/>
          <w:sz w:val="22"/>
          <w:lang w:val="es-ES_tradnl"/>
        </w:rPr>
        <w:t xml:space="preserve">En relación con la delegación y la desconcentración en materia de contratación estatal, usted formula la siguiente pregunta: </w:t>
      </w:r>
      <w:r w:rsidRPr="007D2E9C">
        <w:rPr>
          <w:rFonts w:ascii="Arial" w:hAnsi="Arial" w:cs="Arial"/>
          <w:bCs/>
          <w:sz w:val="22"/>
          <w:shd w:val="clear" w:color="auto" w:fill="FFFFFF"/>
          <w:lang w:val="es-ES_tradnl"/>
        </w:rPr>
        <w:t>«</w:t>
      </w:r>
      <w:r w:rsidRPr="007D2E9C">
        <w:rPr>
          <w:rFonts w:ascii="Arial" w:hAnsi="Arial" w:cs="Arial"/>
          <w:i/>
          <w:iCs/>
          <w:sz w:val="22"/>
          <w:lang w:val="es-ES_tradnl"/>
        </w:rPr>
        <w:t>las entidades públicas sujetas al estatuto de contratación estatal de la ley 80, solo pueden desconcentrar las funciones de contratación para la modalidad de licitación pública, conforme preceptúa el artículo 12 de la ley 80 de 1993, por cuanto la modalidad de concurso fue derogada por la ley 1150 de 2007, y las demás modalidades no se encuentran incluidas?</w:t>
      </w:r>
      <w:r w:rsidRPr="007D2E9C">
        <w:rPr>
          <w:rFonts w:ascii="Arial" w:hAnsi="Arial" w:cs="Arial"/>
          <w:sz w:val="22"/>
          <w:shd w:val="clear" w:color="auto" w:fill="FFFFFF"/>
          <w:lang w:val="es-ES_tradnl"/>
        </w:rPr>
        <w:t>» (sic).</w:t>
      </w:r>
    </w:p>
    <w:p w14:paraId="04DF639B" w14:textId="77777777" w:rsidR="00F1108B" w:rsidRPr="007D2E9C" w:rsidRDefault="00F1108B" w:rsidP="00D562B1">
      <w:pPr>
        <w:tabs>
          <w:tab w:val="left" w:pos="426"/>
        </w:tabs>
        <w:spacing w:line="276" w:lineRule="auto"/>
        <w:jc w:val="both"/>
        <w:rPr>
          <w:rFonts w:ascii="Arial" w:eastAsia="Calibri" w:hAnsi="Arial" w:cs="Arial"/>
          <w:sz w:val="22"/>
          <w:lang w:val="es-ES_tradnl"/>
        </w:rPr>
      </w:pPr>
    </w:p>
    <w:p w14:paraId="08FCE370" w14:textId="77777777" w:rsidR="00F1108B" w:rsidRPr="007D2E9C" w:rsidRDefault="00F1108B" w:rsidP="00D562B1">
      <w:pPr>
        <w:tabs>
          <w:tab w:val="left" w:pos="426"/>
        </w:tabs>
        <w:spacing w:line="276" w:lineRule="auto"/>
        <w:jc w:val="both"/>
        <w:rPr>
          <w:rFonts w:ascii="Arial" w:eastAsia="Calibri" w:hAnsi="Arial" w:cs="Arial"/>
          <w:b/>
          <w:sz w:val="22"/>
          <w:lang w:val="es-ES_tradnl"/>
        </w:rPr>
      </w:pPr>
      <w:r w:rsidRPr="007D2E9C">
        <w:rPr>
          <w:rFonts w:ascii="Arial" w:eastAsia="Calibri" w:hAnsi="Arial" w:cs="Arial"/>
          <w:b/>
          <w:sz w:val="22"/>
          <w:lang w:val="es-ES_tradnl"/>
        </w:rPr>
        <w:t>2.</w:t>
      </w:r>
      <w:r w:rsidRPr="007D2E9C">
        <w:rPr>
          <w:rFonts w:ascii="Arial" w:eastAsia="Calibri" w:hAnsi="Arial" w:cs="Arial"/>
          <w:sz w:val="22"/>
          <w:lang w:val="es-ES_tradnl"/>
        </w:rPr>
        <w:t xml:space="preserve"> </w:t>
      </w:r>
      <w:r w:rsidRPr="007D2E9C">
        <w:rPr>
          <w:rFonts w:ascii="Arial" w:eastAsia="Calibri" w:hAnsi="Arial" w:cs="Arial"/>
          <w:b/>
          <w:sz w:val="22"/>
          <w:lang w:val="es-ES_tradnl"/>
        </w:rPr>
        <w:t>Consideraciones</w:t>
      </w:r>
    </w:p>
    <w:p w14:paraId="68AE0704" w14:textId="77777777" w:rsidR="00F1108B" w:rsidRPr="007D2E9C" w:rsidRDefault="00F1108B" w:rsidP="00D562B1">
      <w:pPr>
        <w:pStyle w:val="Prrafodelista"/>
        <w:tabs>
          <w:tab w:val="left" w:pos="284"/>
        </w:tabs>
        <w:spacing w:line="276" w:lineRule="auto"/>
        <w:ind w:left="0"/>
        <w:jc w:val="both"/>
        <w:rPr>
          <w:rFonts w:ascii="Arial" w:eastAsia="Calibri" w:hAnsi="Arial" w:cs="Arial"/>
          <w:b/>
          <w:sz w:val="22"/>
          <w:lang w:val="es-ES_tradnl"/>
        </w:rPr>
      </w:pPr>
    </w:p>
    <w:p w14:paraId="173B0B0F" w14:textId="774BB21C" w:rsidR="00D562B1" w:rsidRDefault="00D562B1" w:rsidP="00D562B1">
      <w:pPr>
        <w:spacing w:line="276" w:lineRule="auto"/>
        <w:contextualSpacing/>
        <w:jc w:val="both"/>
        <w:rPr>
          <w:rFonts w:ascii="Arial" w:eastAsia="Calibri" w:hAnsi="Arial" w:cs="Arial"/>
          <w:bCs/>
          <w:sz w:val="22"/>
          <w:lang w:val="es-ES_tradnl"/>
        </w:rPr>
      </w:pPr>
      <w:r w:rsidRPr="007D2E9C">
        <w:rPr>
          <w:rFonts w:ascii="Arial" w:eastAsia="Calibri" w:hAnsi="Arial" w:cs="Arial"/>
          <w:bCs/>
          <w:sz w:val="22"/>
          <w:lang w:val="es-ES_tradnl"/>
        </w:rPr>
        <w:t xml:space="preserve">Esta Agencia se ha pronunciado sobre la delegación y la desconcentración de funciones contractuales en los conceptos con número de radicado: </w:t>
      </w:r>
      <w:r w:rsidRPr="007D2E9C">
        <w:rPr>
          <w:rFonts w:ascii="Arial" w:hAnsi="Arial" w:cs="Arial"/>
          <w:bCs/>
          <w:sz w:val="22"/>
          <w:lang w:val="es-ES_tradnl"/>
        </w:rPr>
        <w:t xml:space="preserve">4201912000006841 del 28 de </w:t>
      </w:r>
      <w:r w:rsidRPr="007D2E9C">
        <w:rPr>
          <w:rFonts w:ascii="Arial" w:hAnsi="Arial" w:cs="Arial"/>
          <w:bCs/>
          <w:sz w:val="22"/>
          <w:lang w:val="es-ES_tradnl"/>
        </w:rPr>
        <w:lastRenderedPageBreak/>
        <w:t xml:space="preserve">octubre de 2019, 2201913000008176 del 31 de octubre de 2019, </w:t>
      </w:r>
      <w:r w:rsidRPr="007D2E9C">
        <w:rPr>
          <w:rFonts w:ascii="Arial" w:hAnsi="Arial" w:cs="Arial"/>
          <w:sz w:val="22"/>
          <w:lang w:val="es-ES_tradnl"/>
        </w:rPr>
        <w:t xml:space="preserve">2201913000009082, del 9 de diciembre de 2019, </w:t>
      </w:r>
      <w:r w:rsidR="00CB5695" w:rsidRPr="007D2E9C">
        <w:rPr>
          <w:rFonts w:ascii="Arial" w:hAnsi="Arial" w:cs="Arial"/>
          <w:sz w:val="22"/>
          <w:lang w:val="es-ES_tradnl"/>
        </w:rPr>
        <w:t>C-268 del 2</w:t>
      </w:r>
      <w:r w:rsidR="005736A6" w:rsidRPr="007D2E9C">
        <w:rPr>
          <w:rFonts w:ascii="Arial" w:hAnsi="Arial" w:cs="Arial"/>
          <w:sz w:val="22"/>
          <w:lang w:val="es-ES_tradnl"/>
        </w:rPr>
        <w:t>1</w:t>
      </w:r>
      <w:r w:rsidR="00CB5695" w:rsidRPr="007D2E9C">
        <w:rPr>
          <w:rFonts w:ascii="Arial" w:hAnsi="Arial" w:cs="Arial"/>
          <w:sz w:val="22"/>
          <w:lang w:val="es-ES_tradnl"/>
        </w:rPr>
        <w:t xml:space="preserve"> de abril de 2020</w:t>
      </w:r>
      <w:r w:rsidR="00072EBC" w:rsidRPr="007D2E9C">
        <w:rPr>
          <w:rFonts w:ascii="Arial" w:hAnsi="Arial" w:cs="Arial"/>
          <w:sz w:val="22"/>
          <w:lang w:val="es-ES_tradnl"/>
        </w:rPr>
        <w:t xml:space="preserve"> y </w:t>
      </w:r>
      <w:r w:rsidR="00055A53" w:rsidRPr="007D2E9C">
        <w:rPr>
          <w:rFonts w:ascii="Arial" w:hAnsi="Arial" w:cs="Arial"/>
          <w:sz w:val="22"/>
          <w:lang w:val="es-ES_tradnl"/>
        </w:rPr>
        <w:t>C-448</w:t>
      </w:r>
      <w:r w:rsidR="00C4640A" w:rsidRPr="007D2E9C">
        <w:rPr>
          <w:rFonts w:ascii="Arial" w:hAnsi="Arial" w:cs="Arial"/>
          <w:sz w:val="22"/>
          <w:lang w:val="es-ES_tradnl"/>
        </w:rPr>
        <w:t xml:space="preserve"> del 28 de julio de 2020</w:t>
      </w:r>
      <w:r w:rsidRPr="007D2E9C">
        <w:rPr>
          <w:rFonts w:ascii="Arial" w:hAnsi="Arial" w:cs="Arial"/>
          <w:sz w:val="22"/>
          <w:lang w:val="es-ES_tradnl"/>
        </w:rPr>
        <w:t>.</w:t>
      </w:r>
      <w:r w:rsidRPr="007D2E9C">
        <w:rPr>
          <w:rFonts w:ascii="Arial" w:eastAsia="Calibri" w:hAnsi="Arial" w:cs="Arial"/>
          <w:bCs/>
          <w:sz w:val="22"/>
          <w:lang w:val="es-ES_tradnl"/>
        </w:rPr>
        <w:t xml:space="preserve"> La tesis propuesta en estos conceptos de desarrolla a continuación. </w:t>
      </w:r>
    </w:p>
    <w:p w14:paraId="2DFCE24C" w14:textId="77777777" w:rsidR="00397D40" w:rsidRPr="007D2E9C" w:rsidRDefault="00397D40" w:rsidP="00D562B1">
      <w:pPr>
        <w:spacing w:line="276" w:lineRule="auto"/>
        <w:contextualSpacing/>
        <w:jc w:val="both"/>
        <w:rPr>
          <w:rFonts w:ascii="Arial" w:eastAsia="Calibri" w:hAnsi="Arial" w:cs="Arial"/>
          <w:bCs/>
          <w:sz w:val="22"/>
          <w:lang w:val="es-ES_tradnl"/>
        </w:rPr>
      </w:pPr>
    </w:p>
    <w:p w14:paraId="04EFE765" w14:textId="77777777" w:rsidR="001C70DF" w:rsidRPr="007D2E9C" w:rsidRDefault="001C70DF" w:rsidP="00C40C6C">
      <w:pPr>
        <w:spacing w:line="276" w:lineRule="auto"/>
        <w:jc w:val="both"/>
        <w:rPr>
          <w:rFonts w:ascii="Arial" w:eastAsia="Calibri" w:hAnsi="Arial" w:cs="Arial"/>
          <w:b/>
          <w:bCs/>
          <w:sz w:val="22"/>
          <w:lang w:val="es-ES_tradnl"/>
        </w:rPr>
      </w:pPr>
    </w:p>
    <w:p w14:paraId="2475AAC0" w14:textId="48EB462C" w:rsidR="00C40C6C" w:rsidRPr="007D2E9C" w:rsidRDefault="00C40C6C" w:rsidP="00C40C6C">
      <w:pPr>
        <w:spacing w:line="276" w:lineRule="auto"/>
        <w:jc w:val="both"/>
        <w:rPr>
          <w:rFonts w:ascii="Arial" w:eastAsia="Calibri" w:hAnsi="Arial" w:cs="Arial"/>
          <w:b/>
          <w:bCs/>
          <w:sz w:val="22"/>
          <w:lang w:val="es-ES_tradnl"/>
        </w:rPr>
      </w:pPr>
      <w:r w:rsidRPr="007D2E9C">
        <w:rPr>
          <w:rFonts w:ascii="Arial" w:eastAsia="Calibri" w:hAnsi="Arial" w:cs="Arial"/>
          <w:b/>
          <w:bCs/>
          <w:sz w:val="22"/>
          <w:lang w:val="es-ES_tradnl"/>
        </w:rPr>
        <w:t xml:space="preserve">2.1. </w:t>
      </w:r>
      <w:r w:rsidR="002F6493" w:rsidRPr="007D2E9C">
        <w:rPr>
          <w:rFonts w:ascii="Arial" w:eastAsia="Calibri" w:hAnsi="Arial" w:cs="Arial"/>
          <w:b/>
          <w:bCs/>
          <w:sz w:val="22"/>
          <w:lang w:val="es-ES_tradnl"/>
        </w:rPr>
        <w:t xml:space="preserve">Delegación en los contratos estatales </w:t>
      </w:r>
      <w:r w:rsidRPr="007D2E9C">
        <w:rPr>
          <w:rFonts w:ascii="Arial" w:eastAsia="Calibri" w:hAnsi="Arial" w:cs="Arial"/>
          <w:b/>
          <w:bCs/>
          <w:sz w:val="22"/>
          <w:lang w:val="es-ES_tradnl"/>
        </w:rPr>
        <w:t xml:space="preserve"> </w:t>
      </w:r>
    </w:p>
    <w:p w14:paraId="51244E68" w14:textId="59B114BE" w:rsidR="00C40C6C" w:rsidRPr="007D2E9C" w:rsidRDefault="00C40C6C" w:rsidP="00C40C6C">
      <w:pPr>
        <w:jc w:val="both"/>
        <w:rPr>
          <w:rFonts w:ascii="Arial" w:eastAsia="Calibri" w:hAnsi="Arial" w:cs="Arial"/>
          <w:b/>
          <w:bCs/>
          <w:sz w:val="22"/>
          <w:lang w:val="es-ES_tradnl"/>
        </w:rPr>
      </w:pPr>
    </w:p>
    <w:p w14:paraId="0B8FD955" w14:textId="0ACF2EF7" w:rsidR="002F6493" w:rsidRPr="007D2E9C" w:rsidRDefault="00813A2B" w:rsidP="00C40C6C">
      <w:pPr>
        <w:spacing w:before="120" w:line="276" w:lineRule="auto"/>
        <w:jc w:val="both"/>
        <w:rPr>
          <w:rFonts w:ascii="Arial" w:eastAsia="Calibri" w:hAnsi="Arial" w:cs="Arial"/>
          <w:sz w:val="22"/>
          <w:lang w:val="es-ES_tradnl"/>
        </w:rPr>
      </w:pPr>
      <w:bookmarkStart w:id="5" w:name="_Hlk35882939"/>
      <w:r w:rsidRPr="007D2E9C">
        <w:rPr>
          <w:rFonts w:ascii="Arial" w:eastAsia="Calibri" w:hAnsi="Arial" w:cs="Arial"/>
          <w:sz w:val="22"/>
          <w:lang w:val="es-ES_tradnl"/>
        </w:rPr>
        <w:t>Los actos administrativos</w:t>
      </w:r>
      <w:r w:rsidR="006538EA" w:rsidRPr="007D2E9C">
        <w:rPr>
          <w:rFonts w:ascii="Arial" w:eastAsia="Calibri" w:hAnsi="Arial" w:cs="Arial"/>
          <w:sz w:val="22"/>
          <w:lang w:val="es-ES_tradnl"/>
        </w:rPr>
        <w:t xml:space="preserve">, como </w:t>
      </w:r>
      <w:r w:rsidRPr="007D2E9C">
        <w:rPr>
          <w:rFonts w:ascii="Arial" w:eastAsia="Calibri" w:hAnsi="Arial" w:cs="Arial"/>
          <w:sz w:val="22"/>
          <w:lang w:val="es-ES_tradnl"/>
        </w:rPr>
        <w:t>declaraci</w:t>
      </w:r>
      <w:r w:rsidR="00A6407C" w:rsidRPr="007D2E9C">
        <w:rPr>
          <w:rFonts w:ascii="Arial" w:eastAsia="Calibri" w:hAnsi="Arial" w:cs="Arial"/>
          <w:sz w:val="22"/>
          <w:lang w:val="es-ES_tradnl"/>
        </w:rPr>
        <w:t>ones</w:t>
      </w:r>
      <w:r w:rsidRPr="007D2E9C">
        <w:rPr>
          <w:rFonts w:ascii="Arial" w:eastAsia="Calibri" w:hAnsi="Arial" w:cs="Arial"/>
          <w:sz w:val="22"/>
          <w:lang w:val="es-ES_tradnl"/>
        </w:rPr>
        <w:t xml:space="preserve"> unilateral</w:t>
      </w:r>
      <w:r w:rsidR="00A6407C" w:rsidRPr="007D2E9C">
        <w:rPr>
          <w:rFonts w:ascii="Arial" w:eastAsia="Calibri" w:hAnsi="Arial" w:cs="Arial"/>
          <w:sz w:val="22"/>
          <w:lang w:val="es-ES_tradnl"/>
        </w:rPr>
        <w:t>es</w:t>
      </w:r>
      <w:r w:rsidRPr="007D2E9C">
        <w:rPr>
          <w:rFonts w:ascii="Arial" w:eastAsia="Calibri" w:hAnsi="Arial" w:cs="Arial"/>
          <w:sz w:val="22"/>
          <w:lang w:val="es-ES_tradnl"/>
        </w:rPr>
        <w:t xml:space="preserve"> de voluntad proveniente</w:t>
      </w:r>
      <w:r w:rsidR="00A6407C" w:rsidRPr="007D2E9C">
        <w:rPr>
          <w:rFonts w:ascii="Arial" w:eastAsia="Calibri" w:hAnsi="Arial" w:cs="Arial"/>
          <w:sz w:val="22"/>
          <w:lang w:val="es-ES_tradnl"/>
        </w:rPr>
        <w:t>s</w:t>
      </w:r>
      <w:r w:rsidRPr="007D2E9C">
        <w:rPr>
          <w:rFonts w:ascii="Arial" w:eastAsia="Calibri" w:hAnsi="Arial" w:cs="Arial"/>
          <w:sz w:val="22"/>
          <w:lang w:val="es-ES_tradnl"/>
        </w:rPr>
        <w:t xml:space="preserve"> de órganos estatales que ejercen función administrativa y que produce</w:t>
      </w:r>
      <w:r w:rsidR="00A6407C" w:rsidRPr="007D2E9C">
        <w:rPr>
          <w:rFonts w:ascii="Arial" w:eastAsia="Calibri" w:hAnsi="Arial" w:cs="Arial"/>
          <w:sz w:val="22"/>
          <w:lang w:val="es-ES_tradnl"/>
        </w:rPr>
        <w:t>n</w:t>
      </w:r>
      <w:r w:rsidRPr="007D2E9C">
        <w:rPr>
          <w:rFonts w:ascii="Arial" w:eastAsia="Calibri" w:hAnsi="Arial" w:cs="Arial"/>
          <w:sz w:val="22"/>
          <w:lang w:val="es-ES_tradnl"/>
        </w:rPr>
        <w:t xml:space="preserve"> efectos jurídicos, y los contratos estatales, como acuerdos de voluntades para producir obligaciones, requieren</w:t>
      </w:r>
      <w:r w:rsidR="005D14EC">
        <w:rPr>
          <w:rFonts w:ascii="Arial" w:eastAsia="Calibri" w:hAnsi="Arial" w:cs="Arial"/>
          <w:sz w:val="22"/>
          <w:lang w:val="es-ES_tradnl"/>
        </w:rPr>
        <w:t>,</w:t>
      </w:r>
      <w:r w:rsidRPr="007D2E9C">
        <w:rPr>
          <w:rFonts w:ascii="Arial" w:eastAsia="Calibri" w:hAnsi="Arial" w:cs="Arial"/>
          <w:sz w:val="22"/>
          <w:lang w:val="es-ES_tradnl"/>
        </w:rPr>
        <w:t xml:space="preserve"> para su validez –entre otros requisitos–</w:t>
      </w:r>
      <w:r w:rsidR="005D14EC">
        <w:rPr>
          <w:rFonts w:ascii="Arial" w:eastAsia="Calibri" w:hAnsi="Arial" w:cs="Arial"/>
          <w:sz w:val="22"/>
          <w:lang w:val="es-ES_tradnl"/>
        </w:rPr>
        <w:t>,</w:t>
      </w:r>
      <w:r w:rsidRPr="007D2E9C">
        <w:rPr>
          <w:rFonts w:ascii="Arial" w:eastAsia="Calibri" w:hAnsi="Arial" w:cs="Arial"/>
          <w:sz w:val="22"/>
          <w:lang w:val="es-ES_tradnl"/>
        </w:rPr>
        <w:t xml:space="preserve"> que el órgano posea competencia para expedirlos </w:t>
      </w:r>
      <w:r w:rsidR="00A6407C" w:rsidRPr="007D2E9C">
        <w:rPr>
          <w:rFonts w:ascii="Arial" w:eastAsia="Calibri" w:hAnsi="Arial" w:cs="Arial"/>
          <w:sz w:val="22"/>
          <w:lang w:val="es-ES_tradnl"/>
        </w:rPr>
        <w:t>y</w:t>
      </w:r>
      <w:r w:rsidRPr="007D2E9C">
        <w:rPr>
          <w:rFonts w:ascii="Arial" w:eastAsia="Calibri" w:hAnsi="Arial" w:cs="Arial"/>
          <w:sz w:val="22"/>
          <w:lang w:val="es-ES_tradnl"/>
        </w:rPr>
        <w:t xml:space="preserve"> suscribirlos, respectivamente. </w:t>
      </w:r>
      <w:r w:rsidR="00F04056" w:rsidRPr="007D2E9C">
        <w:rPr>
          <w:rFonts w:ascii="Arial" w:eastAsia="Calibri" w:hAnsi="Arial" w:cs="Arial"/>
          <w:sz w:val="22"/>
          <w:lang w:val="es-ES_tradnl"/>
        </w:rPr>
        <w:t xml:space="preserve">Al ser un presupuesto necesario de la actuación administrativa, la competencia es la otra cara de la capacidad, pues mientras </w:t>
      </w:r>
      <w:r w:rsidR="00C31B82">
        <w:rPr>
          <w:rFonts w:ascii="Arial" w:eastAsia="Calibri" w:hAnsi="Arial" w:cs="Arial"/>
          <w:sz w:val="22"/>
          <w:lang w:val="es-ES_tradnl"/>
        </w:rPr>
        <w:t>e</w:t>
      </w:r>
      <w:r w:rsidR="00F04056" w:rsidRPr="007D2E9C">
        <w:rPr>
          <w:rFonts w:ascii="Arial" w:eastAsia="Calibri" w:hAnsi="Arial" w:cs="Arial"/>
          <w:sz w:val="22"/>
          <w:lang w:val="es-ES_tradnl"/>
        </w:rPr>
        <w:t xml:space="preserve">sta es la regla general aquella es excepcional. No en vano, el artículo 6 de la Constitución Política de 1991 dispone que «Los particulares sólo son responsables ante las autoridades por infringir la Constitución y las leyes. Los servidores públicos lo son por la misma causa y por omisión o extralimitación en el ejercicio de sus funciones». </w:t>
      </w:r>
    </w:p>
    <w:p w14:paraId="79E65508" w14:textId="59AA6A9B" w:rsidR="00F04056" w:rsidRPr="007D2E9C" w:rsidRDefault="00F04056" w:rsidP="00C40C6C">
      <w:pPr>
        <w:spacing w:before="120" w:line="276" w:lineRule="auto"/>
        <w:jc w:val="both"/>
        <w:rPr>
          <w:rFonts w:ascii="Arial" w:eastAsia="Calibri" w:hAnsi="Arial" w:cs="Arial"/>
          <w:sz w:val="22"/>
          <w:lang w:val="es-ES_tradnl"/>
        </w:rPr>
      </w:pPr>
      <w:r w:rsidRPr="007D2E9C">
        <w:rPr>
          <w:rFonts w:ascii="Arial" w:eastAsia="Calibri" w:hAnsi="Arial" w:cs="Arial"/>
          <w:sz w:val="22"/>
          <w:lang w:val="es-ES_tradnl"/>
        </w:rPr>
        <w:tab/>
      </w:r>
      <w:r w:rsidR="001D0D0A" w:rsidRPr="007D2E9C">
        <w:rPr>
          <w:rFonts w:ascii="Arial" w:eastAsia="Calibri" w:hAnsi="Arial" w:cs="Arial"/>
          <w:sz w:val="22"/>
          <w:lang w:val="es-ES_tradnl"/>
        </w:rPr>
        <w:t>En este contexto</w:t>
      </w:r>
      <w:r w:rsidRPr="007D2E9C">
        <w:rPr>
          <w:rFonts w:ascii="Arial" w:eastAsia="Calibri" w:hAnsi="Arial" w:cs="Arial"/>
          <w:sz w:val="22"/>
          <w:lang w:val="es-ES_tradnl"/>
        </w:rPr>
        <w:t xml:space="preserve">, el artículo </w:t>
      </w:r>
      <w:r w:rsidR="001D0D0A" w:rsidRPr="007D2E9C">
        <w:rPr>
          <w:rFonts w:ascii="Arial" w:eastAsia="Calibri" w:hAnsi="Arial" w:cs="Arial"/>
          <w:sz w:val="22"/>
          <w:lang w:val="es-ES_tradnl"/>
        </w:rPr>
        <w:t>11 de la Ley 80 de 1993 define la competencia para dirigir procesos de selección y suscribir contratos</w:t>
      </w:r>
      <w:r w:rsidR="001427E4" w:rsidRPr="007D2E9C">
        <w:rPr>
          <w:rFonts w:ascii="Arial" w:eastAsia="Calibri" w:hAnsi="Arial" w:cs="Arial"/>
          <w:sz w:val="22"/>
          <w:lang w:val="es-ES_tradnl"/>
        </w:rPr>
        <w:t xml:space="preserve">, </w:t>
      </w:r>
      <w:r w:rsidR="000B7320" w:rsidRPr="007D2E9C">
        <w:rPr>
          <w:rFonts w:ascii="Arial" w:eastAsia="Calibri" w:hAnsi="Arial" w:cs="Arial"/>
          <w:sz w:val="22"/>
          <w:lang w:val="es-ES_tradnl"/>
        </w:rPr>
        <w:t>centralizándola</w:t>
      </w:r>
      <w:r w:rsidR="001427E4" w:rsidRPr="007D2E9C">
        <w:rPr>
          <w:rFonts w:ascii="Arial" w:eastAsia="Calibri" w:hAnsi="Arial" w:cs="Arial"/>
          <w:sz w:val="22"/>
          <w:lang w:val="es-ES_tradnl"/>
        </w:rPr>
        <w:t xml:space="preserve"> en determinadas autoridades estatales</w:t>
      </w:r>
      <w:r w:rsidR="001D0D0A" w:rsidRPr="007D2E9C">
        <w:rPr>
          <w:rStyle w:val="Refdenotaalpie"/>
          <w:rFonts w:ascii="Arial" w:eastAsia="Calibri" w:hAnsi="Arial" w:cs="Arial"/>
          <w:sz w:val="22"/>
          <w:lang w:val="es-ES_tradnl"/>
        </w:rPr>
        <w:footnoteReference w:id="1"/>
      </w:r>
      <w:r w:rsidR="001D0D0A" w:rsidRPr="007D2E9C">
        <w:rPr>
          <w:rFonts w:ascii="Arial" w:eastAsia="Calibri" w:hAnsi="Arial" w:cs="Arial"/>
          <w:sz w:val="22"/>
          <w:lang w:val="es-ES_tradnl"/>
        </w:rPr>
        <w:t>.</w:t>
      </w:r>
      <w:r w:rsidR="001427E4" w:rsidRPr="007D2E9C">
        <w:rPr>
          <w:rFonts w:ascii="Arial" w:eastAsia="Calibri" w:hAnsi="Arial" w:cs="Arial"/>
          <w:sz w:val="22"/>
          <w:lang w:val="es-ES_tradnl"/>
        </w:rPr>
        <w:t xml:space="preserve"> Dado que, además </w:t>
      </w:r>
      <w:r w:rsidR="00913CF8" w:rsidRPr="007D2E9C">
        <w:rPr>
          <w:rFonts w:ascii="Arial" w:eastAsia="Calibri" w:hAnsi="Arial" w:cs="Arial"/>
          <w:sz w:val="22"/>
          <w:lang w:val="es-ES_tradnl"/>
        </w:rPr>
        <w:t>de la actividad contractual</w:t>
      </w:r>
      <w:r w:rsidR="001427E4" w:rsidRPr="007D2E9C">
        <w:rPr>
          <w:rFonts w:ascii="Arial" w:eastAsia="Calibri" w:hAnsi="Arial" w:cs="Arial"/>
          <w:sz w:val="22"/>
          <w:lang w:val="es-ES_tradnl"/>
        </w:rPr>
        <w:t xml:space="preserve">, dichos órganos cumplen </w:t>
      </w:r>
      <w:r w:rsidR="00913CF8" w:rsidRPr="007D2E9C">
        <w:rPr>
          <w:rFonts w:ascii="Arial" w:eastAsia="Calibri" w:hAnsi="Arial" w:cs="Arial"/>
          <w:sz w:val="22"/>
          <w:lang w:val="es-ES_tradnl"/>
        </w:rPr>
        <w:t xml:space="preserve">con </w:t>
      </w:r>
      <w:r w:rsidR="001427E4" w:rsidRPr="007D2E9C">
        <w:rPr>
          <w:rFonts w:ascii="Arial" w:eastAsia="Calibri" w:hAnsi="Arial" w:cs="Arial"/>
          <w:sz w:val="22"/>
          <w:lang w:val="es-ES_tradnl"/>
        </w:rPr>
        <w:t xml:space="preserve">una multiplicidad de funciones </w:t>
      </w:r>
      <w:r w:rsidR="00913CF8" w:rsidRPr="007D2E9C">
        <w:rPr>
          <w:rFonts w:ascii="Arial" w:eastAsia="Calibri" w:hAnsi="Arial" w:cs="Arial"/>
          <w:sz w:val="22"/>
          <w:lang w:val="es-ES_tradnl"/>
        </w:rPr>
        <w:t>diferentes, el ordenamiento jurídico dispone técnicas de organización administrativa que permiten el reparto de las tareas asignadas con miras a su cumplimiento eficaz y eficiente</w:t>
      </w:r>
      <w:r w:rsidR="009A0E8E">
        <w:rPr>
          <w:rFonts w:ascii="Arial" w:eastAsia="Calibri" w:hAnsi="Arial" w:cs="Arial"/>
          <w:sz w:val="22"/>
          <w:lang w:val="es-ES_tradnl"/>
        </w:rPr>
        <w:t>.</w:t>
      </w:r>
      <w:r w:rsidR="000B7320" w:rsidRPr="007D2E9C">
        <w:rPr>
          <w:rFonts w:ascii="Arial" w:eastAsia="Calibri" w:hAnsi="Arial" w:cs="Arial"/>
          <w:sz w:val="22"/>
          <w:lang w:val="es-ES_tradnl"/>
        </w:rPr>
        <w:t xml:space="preserve"> </w:t>
      </w:r>
      <w:r w:rsidR="009A0E8E">
        <w:rPr>
          <w:rFonts w:ascii="Arial" w:eastAsia="Calibri" w:hAnsi="Arial" w:cs="Arial"/>
          <w:sz w:val="22"/>
          <w:lang w:val="es-ES_tradnl"/>
        </w:rPr>
        <w:t xml:space="preserve">Por esta </w:t>
      </w:r>
      <w:r w:rsidR="000B7320" w:rsidRPr="007D2E9C">
        <w:rPr>
          <w:rFonts w:ascii="Arial" w:eastAsia="Calibri" w:hAnsi="Arial" w:cs="Arial"/>
          <w:sz w:val="22"/>
          <w:lang w:val="es-ES_tradnl"/>
        </w:rPr>
        <w:t xml:space="preserve">razón, </w:t>
      </w:r>
      <w:r w:rsidR="00913CF8" w:rsidRPr="007D2E9C">
        <w:rPr>
          <w:rFonts w:ascii="Arial" w:eastAsia="Calibri" w:hAnsi="Arial" w:cs="Arial"/>
          <w:sz w:val="22"/>
          <w:lang w:val="es-ES_tradnl"/>
        </w:rPr>
        <w:t>el artículo 209 de la Constitución Política</w:t>
      </w:r>
      <w:r w:rsidR="00FE6977" w:rsidRPr="007D2E9C">
        <w:rPr>
          <w:rFonts w:ascii="Arial" w:eastAsia="Calibri" w:hAnsi="Arial" w:cs="Arial"/>
          <w:sz w:val="22"/>
          <w:lang w:val="es-ES_tradnl"/>
        </w:rPr>
        <w:t xml:space="preserve"> dispone que </w:t>
      </w:r>
      <w:r w:rsidR="000B7320" w:rsidRPr="007D2E9C">
        <w:rPr>
          <w:rFonts w:ascii="Arial" w:eastAsia="Calibri" w:hAnsi="Arial" w:cs="Arial"/>
          <w:sz w:val="22"/>
          <w:lang w:val="es-ES_tradnl"/>
        </w:rPr>
        <w:t>l</w:t>
      </w:r>
      <w:r w:rsidR="00FE6977" w:rsidRPr="007D2E9C">
        <w:rPr>
          <w:rFonts w:ascii="Arial" w:eastAsia="Calibri" w:hAnsi="Arial" w:cs="Arial"/>
          <w:sz w:val="22"/>
          <w:lang w:val="es-ES_tradnl"/>
        </w:rPr>
        <w:t>a función administrativa se desarrolla</w:t>
      </w:r>
      <w:r w:rsidR="000B7320" w:rsidRPr="007D2E9C">
        <w:rPr>
          <w:rFonts w:ascii="Arial" w:eastAsia="Calibri" w:hAnsi="Arial" w:cs="Arial"/>
          <w:sz w:val="22"/>
          <w:lang w:val="es-ES_tradnl"/>
        </w:rPr>
        <w:t xml:space="preserve"> </w:t>
      </w:r>
      <w:r w:rsidR="00FE6977" w:rsidRPr="007D2E9C">
        <w:rPr>
          <w:rFonts w:ascii="Arial" w:eastAsia="Calibri" w:hAnsi="Arial" w:cs="Arial"/>
          <w:sz w:val="22"/>
          <w:lang w:val="es-ES_tradnl"/>
        </w:rPr>
        <w:t>mediante la descentralización, la delegación y la desconcentración de funciones.</w:t>
      </w:r>
      <w:r w:rsidR="00913CF8" w:rsidRPr="007D2E9C">
        <w:rPr>
          <w:rFonts w:ascii="Arial" w:eastAsia="Calibri" w:hAnsi="Arial" w:cs="Arial"/>
          <w:sz w:val="22"/>
          <w:lang w:val="es-ES_tradnl"/>
        </w:rPr>
        <w:t xml:space="preserve"> </w:t>
      </w:r>
    </w:p>
    <w:p w14:paraId="17081811" w14:textId="271227C0" w:rsidR="006227A6" w:rsidRPr="007D2E9C" w:rsidRDefault="00323270" w:rsidP="00323270">
      <w:pPr>
        <w:spacing w:before="120" w:line="276" w:lineRule="auto"/>
        <w:jc w:val="both"/>
        <w:rPr>
          <w:rFonts w:ascii="Arial" w:eastAsia="Calibri" w:hAnsi="Arial" w:cs="Arial"/>
          <w:sz w:val="22"/>
          <w:lang w:val="es-ES_tradnl"/>
        </w:rPr>
      </w:pPr>
      <w:r w:rsidRPr="007D2E9C">
        <w:rPr>
          <w:rFonts w:ascii="Arial" w:eastAsia="Calibri" w:hAnsi="Arial" w:cs="Arial"/>
          <w:sz w:val="22"/>
          <w:lang w:val="es-ES_tradnl"/>
        </w:rPr>
        <w:tab/>
        <w:t xml:space="preserve">Por ello, </w:t>
      </w:r>
      <w:bookmarkStart w:id="6" w:name="_Hlk37183374"/>
      <w:r w:rsidRPr="007D2E9C">
        <w:rPr>
          <w:rFonts w:ascii="Arial" w:eastAsia="Calibri" w:hAnsi="Arial" w:cs="Arial"/>
          <w:sz w:val="22"/>
          <w:lang w:val="es-ES_tradnl"/>
        </w:rPr>
        <w:t>en desarrollo del artículo 211 superior</w:t>
      </w:r>
      <w:r w:rsidRPr="007D2E9C">
        <w:rPr>
          <w:rStyle w:val="Refdenotaalpie"/>
          <w:rFonts w:ascii="Arial" w:eastAsia="Calibri" w:hAnsi="Arial" w:cs="Arial"/>
          <w:sz w:val="22"/>
          <w:lang w:val="es-ES_tradnl"/>
        </w:rPr>
        <w:footnoteReference w:id="2"/>
      </w:r>
      <w:r w:rsidRPr="007D2E9C">
        <w:rPr>
          <w:rFonts w:ascii="Arial" w:eastAsia="Calibri" w:hAnsi="Arial" w:cs="Arial"/>
          <w:sz w:val="22"/>
          <w:lang w:val="es-ES_tradnl"/>
        </w:rPr>
        <w:t xml:space="preserve">, el artículo 12 del Estatuto General de Contratación </w:t>
      </w:r>
      <w:r w:rsidR="0038352A" w:rsidRPr="007D2E9C">
        <w:rPr>
          <w:rFonts w:ascii="Arial" w:eastAsia="Calibri" w:hAnsi="Arial" w:cs="Arial"/>
          <w:sz w:val="22"/>
          <w:lang w:val="es-ES_tradnl"/>
        </w:rPr>
        <w:t>contiene una regla especial según la cual</w:t>
      </w:r>
      <w:r w:rsidRPr="007D2E9C">
        <w:rPr>
          <w:rFonts w:ascii="Arial" w:eastAsia="Calibri" w:hAnsi="Arial" w:cs="Arial"/>
          <w:sz w:val="22"/>
          <w:lang w:val="es-ES_tradnl"/>
        </w:rPr>
        <w:t xml:space="preserve"> «Los jefes y los representantes </w:t>
      </w:r>
      <w:r w:rsidRPr="007D2E9C">
        <w:rPr>
          <w:rFonts w:ascii="Arial" w:eastAsia="Calibri" w:hAnsi="Arial" w:cs="Arial"/>
          <w:sz w:val="22"/>
          <w:lang w:val="es-ES_tradnl"/>
        </w:rPr>
        <w:lastRenderedPageBreak/>
        <w:t xml:space="preserve">legales de las entidades estatales podrán delegar total o parcialmente la competencia para celebrar contratos y desconcentrar la realización de licitaciones en los servidores públicos que desempeñen cargos del nivel directivo o ejecutivo o en sus equivalentes». Así las cosas, atenuando el rigor de la centralización, </w:t>
      </w:r>
      <w:r w:rsidR="00FB35FF" w:rsidRPr="007D2E9C">
        <w:rPr>
          <w:rFonts w:ascii="Arial" w:eastAsia="Calibri" w:hAnsi="Arial" w:cs="Arial"/>
          <w:sz w:val="22"/>
          <w:lang w:val="es-ES_tradnl"/>
        </w:rPr>
        <w:t>esta técnica organizacional</w:t>
      </w:r>
      <w:r w:rsidRPr="007D2E9C">
        <w:rPr>
          <w:rFonts w:ascii="Arial" w:eastAsia="Calibri" w:hAnsi="Arial" w:cs="Arial"/>
          <w:sz w:val="22"/>
          <w:lang w:val="es-ES_tradnl"/>
        </w:rPr>
        <w:t xml:space="preserve"> implica una actuación administrativa mediante la cual el titular de </w:t>
      </w:r>
      <w:r w:rsidR="00FB35FF" w:rsidRPr="007D2E9C">
        <w:rPr>
          <w:rFonts w:ascii="Arial" w:eastAsia="Calibri" w:hAnsi="Arial" w:cs="Arial"/>
          <w:sz w:val="22"/>
          <w:lang w:val="es-ES_tradnl"/>
        </w:rPr>
        <w:t>una función –delegante–</w:t>
      </w:r>
      <w:r w:rsidRPr="007D2E9C">
        <w:rPr>
          <w:rFonts w:ascii="Arial" w:eastAsia="Calibri" w:hAnsi="Arial" w:cs="Arial"/>
          <w:sz w:val="22"/>
          <w:lang w:val="es-ES_tradnl"/>
        </w:rPr>
        <w:t xml:space="preserve">, previa autorización expresa </w:t>
      </w:r>
      <w:r w:rsidR="00FB35FF" w:rsidRPr="007D2E9C">
        <w:rPr>
          <w:rFonts w:ascii="Arial" w:eastAsia="Calibri" w:hAnsi="Arial" w:cs="Arial"/>
          <w:sz w:val="22"/>
          <w:lang w:val="es-ES_tradnl"/>
        </w:rPr>
        <w:t>por parte del órgano que asignó originariamente la competencia</w:t>
      </w:r>
      <w:r w:rsidRPr="007D2E9C">
        <w:rPr>
          <w:rFonts w:ascii="Arial" w:eastAsia="Calibri" w:hAnsi="Arial" w:cs="Arial"/>
          <w:sz w:val="22"/>
          <w:lang w:val="es-ES_tradnl"/>
        </w:rPr>
        <w:t xml:space="preserve">, inviste voluntaria y formalmente de autoridad </w:t>
      </w:r>
      <w:r w:rsidR="00FB35FF" w:rsidRPr="007D2E9C">
        <w:rPr>
          <w:rFonts w:ascii="Arial" w:eastAsia="Calibri" w:hAnsi="Arial" w:cs="Arial"/>
          <w:sz w:val="22"/>
          <w:lang w:val="es-ES_tradnl"/>
        </w:rPr>
        <w:t>a quien ejerce un cargo subordinado –delegatario–</w:t>
      </w:r>
      <w:r w:rsidRPr="007D2E9C">
        <w:rPr>
          <w:rFonts w:ascii="Arial" w:eastAsia="Calibri" w:hAnsi="Arial" w:cs="Arial"/>
          <w:sz w:val="22"/>
          <w:lang w:val="es-ES_tradnl"/>
        </w:rPr>
        <w:t xml:space="preserve">, para que </w:t>
      </w:r>
      <w:r w:rsidR="00FB35FF" w:rsidRPr="007D2E9C">
        <w:rPr>
          <w:rFonts w:ascii="Arial" w:eastAsia="Calibri" w:hAnsi="Arial" w:cs="Arial"/>
          <w:sz w:val="22"/>
          <w:lang w:val="es-ES_tradnl"/>
        </w:rPr>
        <w:t>asuma una o varias de las atribuciones del primero</w:t>
      </w:r>
      <w:r w:rsidR="00AE587D" w:rsidRPr="007D2E9C">
        <w:rPr>
          <w:rStyle w:val="Refdenotaalpie"/>
          <w:rFonts w:ascii="Arial" w:eastAsia="Calibri" w:hAnsi="Arial" w:cs="Arial"/>
          <w:sz w:val="22"/>
          <w:lang w:val="es-ES_tradnl"/>
        </w:rPr>
        <w:footnoteReference w:id="3"/>
      </w:r>
      <w:r w:rsidR="00FB35FF" w:rsidRPr="007D2E9C">
        <w:rPr>
          <w:rFonts w:ascii="Arial" w:eastAsia="Calibri" w:hAnsi="Arial" w:cs="Arial"/>
          <w:sz w:val="22"/>
          <w:lang w:val="es-ES_tradnl"/>
        </w:rPr>
        <w:t>.</w:t>
      </w:r>
      <w:r w:rsidR="003C4A39" w:rsidRPr="007D2E9C">
        <w:rPr>
          <w:rFonts w:ascii="Arial" w:eastAsia="Calibri" w:hAnsi="Arial" w:cs="Arial"/>
          <w:sz w:val="22"/>
          <w:lang w:val="es-ES_tradnl"/>
        </w:rPr>
        <w:t xml:space="preserve"> </w:t>
      </w:r>
      <w:r w:rsidR="00FB35FF" w:rsidRPr="007D2E9C">
        <w:rPr>
          <w:rFonts w:ascii="Arial" w:eastAsia="Calibri" w:hAnsi="Arial" w:cs="Arial"/>
          <w:sz w:val="22"/>
          <w:lang w:val="es-ES_tradnl"/>
        </w:rPr>
        <w:t xml:space="preserve"> </w:t>
      </w:r>
    </w:p>
    <w:p w14:paraId="5B17A687" w14:textId="0221DA25" w:rsidR="00143E08" w:rsidRPr="007D2E9C" w:rsidRDefault="00143E08" w:rsidP="00323270">
      <w:pPr>
        <w:spacing w:before="120" w:line="276" w:lineRule="auto"/>
        <w:jc w:val="both"/>
        <w:rPr>
          <w:rFonts w:ascii="Arial" w:eastAsia="Calibri" w:hAnsi="Arial" w:cs="Arial"/>
          <w:sz w:val="22"/>
          <w:lang w:val="es-ES_tradnl"/>
        </w:rPr>
      </w:pPr>
      <w:r w:rsidRPr="007D2E9C">
        <w:rPr>
          <w:rFonts w:ascii="Arial" w:eastAsia="Calibri" w:hAnsi="Arial" w:cs="Arial"/>
          <w:sz w:val="22"/>
          <w:lang w:val="es-ES_tradnl"/>
        </w:rPr>
        <w:tab/>
      </w:r>
      <w:r w:rsidR="00AC2AF3" w:rsidRPr="007D2E9C">
        <w:rPr>
          <w:rFonts w:ascii="Arial" w:eastAsia="Calibri" w:hAnsi="Arial" w:cs="Arial"/>
          <w:sz w:val="22"/>
          <w:lang w:val="es-ES_tradnl"/>
        </w:rPr>
        <w:t>Como se observa</w:t>
      </w:r>
      <w:r w:rsidRPr="007D2E9C">
        <w:rPr>
          <w:rFonts w:ascii="Arial" w:eastAsia="Calibri" w:hAnsi="Arial" w:cs="Arial"/>
          <w:sz w:val="22"/>
          <w:lang w:val="es-ES_tradnl"/>
        </w:rPr>
        <w:t xml:space="preserve">, </w:t>
      </w:r>
      <w:r w:rsidR="00C43181" w:rsidRPr="007D2E9C">
        <w:rPr>
          <w:rFonts w:ascii="Arial" w:eastAsia="Calibri" w:hAnsi="Arial" w:cs="Arial"/>
          <w:sz w:val="22"/>
          <w:lang w:val="es-ES_tradnl"/>
        </w:rPr>
        <w:t>la facultad se limitó a la celebración de contratos, dejando dudas sobre la posibilidad de delegar la firma del acto de adjudicación</w:t>
      </w:r>
      <w:r w:rsidR="006278E6" w:rsidRPr="007D2E9C">
        <w:rPr>
          <w:rFonts w:ascii="Arial" w:eastAsia="Calibri" w:hAnsi="Arial" w:cs="Arial"/>
          <w:sz w:val="22"/>
          <w:lang w:val="es-ES_tradnl"/>
        </w:rPr>
        <w:t>; motivo por el cual, el artículo 37 del Decreto-Ley 2150 de 1995</w:t>
      </w:r>
      <w:r w:rsidR="00AC2AF3" w:rsidRPr="007D2E9C">
        <w:rPr>
          <w:rFonts w:ascii="Arial" w:eastAsia="Calibri" w:hAnsi="Arial" w:cs="Arial"/>
          <w:sz w:val="22"/>
          <w:lang w:val="es-ES_tradnl"/>
        </w:rPr>
        <w:t xml:space="preserve"> amplió </w:t>
      </w:r>
      <w:r w:rsidR="00187ED3" w:rsidRPr="007D2E9C">
        <w:rPr>
          <w:rFonts w:ascii="Arial" w:eastAsia="Calibri" w:hAnsi="Arial" w:cs="Arial"/>
          <w:sz w:val="22"/>
          <w:lang w:val="es-ES_tradnl"/>
        </w:rPr>
        <w:t xml:space="preserve">las </w:t>
      </w:r>
      <w:r w:rsidR="00AC2AF3" w:rsidRPr="007D2E9C">
        <w:rPr>
          <w:rFonts w:ascii="Arial" w:eastAsia="Calibri" w:hAnsi="Arial" w:cs="Arial"/>
          <w:sz w:val="22"/>
          <w:lang w:val="es-ES_tradnl"/>
        </w:rPr>
        <w:t>materias</w:t>
      </w:r>
      <w:r w:rsidR="00C43181" w:rsidRPr="007D2E9C">
        <w:rPr>
          <w:rFonts w:ascii="Arial" w:eastAsia="Calibri" w:hAnsi="Arial" w:cs="Arial"/>
          <w:sz w:val="22"/>
          <w:lang w:val="es-ES_tradnl"/>
        </w:rPr>
        <w:t xml:space="preserve"> delegables</w:t>
      </w:r>
      <w:r w:rsidR="00AC2AF3" w:rsidRPr="007D2E9C">
        <w:rPr>
          <w:rFonts w:ascii="Arial" w:eastAsia="Calibri" w:hAnsi="Arial" w:cs="Arial"/>
          <w:sz w:val="22"/>
          <w:lang w:val="es-ES_tradnl"/>
        </w:rPr>
        <w:t xml:space="preserve"> al disponer que «Los jefes y los representantes legales de las entidades estatales podrán delegar total o parcialmente la competencia para la realización de licitaciones o para la celebración de contratos, sin consideración a la naturaleza o cuantía de los mismos, en los servidores públicos que desempeñen cargos del nivel directivo o ejecutivo o en sus equivalentes».</w:t>
      </w:r>
      <w:r w:rsidR="006278E6" w:rsidRPr="007D2E9C">
        <w:rPr>
          <w:rFonts w:ascii="Arial" w:eastAsia="Calibri" w:hAnsi="Arial" w:cs="Arial"/>
          <w:sz w:val="22"/>
          <w:lang w:val="es-ES_tradnl"/>
        </w:rPr>
        <w:t xml:space="preserve">  </w:t>
      </w:r>
      <w:r w:rsidRPr="007D2E9C">
        <w:rPr>
          <w:rFonts w:ascii="Arial" w:eastAsia="Calibri" w:hAnsi="Arial" w:cs="Arial"/>
          <w:sz w:val="22"/>
          <w:lang w:val="es-ES_tradnl"/>
        </w:rPr>
        <w:t xml:space="preserve">  </w:t>
      </w:r>
    </w:p>
    <w:p w14:paraId="4F6CA479" w14:textId="0069036A" w:rsidR="006227A6" w:rsidRPr="007D2E9C" w:rsidRDefault="000D147F" w:rsidP="00531869">
      <w:pPr>
        <w:spacing w:before="120" w:line="276" w:lineRule="auto"/>
        <w:ind w:firstLine="708"/>
        <w:jc w:val="both"/>
        <w:rPr>
          <w:rFonts w:ascii="Arial" w:eastAsia="Calibri" w:hAnsi="Arial" w:cs="Arial"/>
          <w:sz w:val="22"/>
          <w:lang w:val="es-ES_tradnl"/>
        </w:rPr>
      </w:pPr>
      <w:r w:rsidRPr="007D2E9C">
        <w:rPr>
          <w:rFonts w:ascii="Arial" w:eastAsia="Calibri" w:hAnsi="Arial" w:cs="Arial"/>
          <w:sz w:val="22"/>
          <w:lang w:val="es-ES_tradnl"/>
        </w:rPr>
        <w:t xml:space="preserve">Posteriormente, </w:t>
      </w:r>
      <w:r w:rsidR="00EA3947" w:rsidRPr="007D2E9C">
        <w:rPr>
          <w:rFonts w:ascii="Arial" w:eastAsia="Calibri" w:hAnsi="Arial" w:cs="Arial"/>
          <w:sz w:val="22"/>
          <w:lang w:val="es-ES_tradnl"/>
        </w:rPr>
        <w:t>el artículo 9 de la Ley 489 de 1998</w:t>
      </w:r>
      <w:r w:rsidR="00187ED3" w:rsidRPr="007D2E9C">
        <w:rPr>
          <w:rFonts w:ascii="Arial" w:eastAsia="Calibri" w:hAnsi="Arial" w:cs="Arial"/>
          <w:sz w:val="22"/>
          <w:lang w:val="es-ES_tradnl"/>
        </w:rPr>
        <w:t xml:space="preserve"> </w:t>
      </w:r>
      <w:r w:rsidR="00EA3947" w:rsidRPr="007D2E9C">
        <w:rPr>
          <w:rFonts w:ascii="Arial" w:eastAsia="Calibri" w:hAnsi="Arial" w:cs="Arial"/>
          <w:sz w:val="22"/>
          <w:lang w:val="es-ES_tradnl"/>
        </w:rPr>
        <w:t xml:space="preserve">permite la delegación en funcionarios </w:t>
      </w:r>
      <w:r w:rsidR="00531869" w:rsidRPr="007D2E9C">
        <w:rPr>
          <w:rFonts w:ascii="Arial" w:eastAsia="Calibri" w:hAnsi="Arial" w:cs="Arial"/>
          <w:sz w:val="22"/>
          <w:lang w:val="es-ES_tradnl"/>
        </w:rPr>
        <w:t xml:space="preserve">públicos </w:t>
      </w:r>
      <w:r w:rsidR="00EA3947" w:rsidRPr="007D2E9C">
        <w:rPr>
          <w:rFonts w:ascii="Arial" w:eastAsia="Calibri" w:hAnsi="Arial" w:cs="Arial"/>
          <w:sz w:val="22"/>
          <w:lang w:val="es-ES_tradnl"/>
        </w:rPr>
        <w:t>del nivel directivo y asesor v</w:t>
      </w:r>
      <w:r w:rsidR="00531869" w:rsidRPr="007D2E9C">
        <w:rPr>
          <w:rFonts w:ascii="Arial" w:eastAsia="Calibri" w:hAnsi="Arial" w:cs="Arial"/>
          <w:sz w:val="22"/>
          <w:lang w:val="es-ES_tradnl"/>
        </w:rPr>
        <w:t>inculados al órgano correspondiente. En todo caso</w:t>
      </w:r>
      <w:r w:rsidR="003D20C7" w:rsidRPr="007D2E9C">
        <w:rPr>
          <w:rFonts w:ascii="Arial" w:eastAsia="Calibri" w:hAnsi="Arial" w:cs="Arial"/>
          <w:sz w:val="22"/>
          <w:lang w:val="es-ES_tradnl"/>
        </w:rPr>
        <w:t>,</w:t>
      </w:r>
      <w:r w:rsidR="00531869" w:rsidRPr="007D2E9C">
        <w:rPr>
          <w:rFonts w:ascii="Arial" w:eastAsia="Calibri" w:hAnsi="Arial" w:cs="Arial"/>
          <w:sz w:val="22"/>
          <w:lang w:val="es-ES_tradnl"/>
        </w:rPr>
        <w:t xml:space="preserve"> esta última ley</w:t>
      </w:r>
      <w:r w:rsidR="003D20C7" w:rsidRPr="007D2E9C">
        <w:rPr>
          <w:rFonts w:ascii="Arial" w:eastAsia="Calibri" w:hAnsi="Arial" w:cs="Arial"/>
          <w:sz w:val="22"/>
          <w:lang w:val="es-ES_tradnl"/>
        </w:rPr>
        <w:t xml:space="preserve"> </w:t>
      </w:r>
      <w:r w:rsidR="001A3615" w:rsidRPr="007D2E9C">
        <w:rPr>
          <w:rFonts w:ascii="Arial" w:eastAsia="Calibri" w:hAnsi="Arial" w:cs="Arial"/>
          <w:sz w:val="22"/>
          <w:lang w:val="es-ES_tradnl"/>
        </w:rPr>
        <w:t>exige un acto administrativo donde se determine la autoridad delegataria y las funciones específicas que se transfiere el delegante, sin perjuicio de que este último se informe sobre el desarrollo de la delegación e imparta orientaciones generales para el ejercicio de las funciones delegadas –art. 10–</w:t>
      </w:r>
      <w:r w:rsidR="006278E6" w:rsidRPr="007D2E9C">
        <w:rPr>
          <w:rFonts w:ascii="Arial" w:eastAsia="Calibri" w:hAnsi="Arial" w:cs="Arial"/>
          <w:sz w:val="22"/>
          <w:lang w:val="es-ES_tradnl"/>
        </w:rPr>
        <w:t xml:space="preserve">. Además, se supedita </w:t>
      </w:r>
      <w:r w:rsidR="006227A6" w:rsidRPr="007D2E9C">
        <w:rPr>
          <w:rFonts w:ascii="Arial" w:eastAsia="Calibri" w:hAnsi="Arial" w:cs="Arial"/>
          <w:sz w:val="22"/>
          <w:lang w:val="es-ES_tradnl"/>
        </w:rPr>
        <w:t xml:space="preserve">a que no se confiera para expedir reglamentos –salvo excepciones legales–, subdelegar o transferir funciones que por su naturaleza o por mandato constitucional o legal </w:t>
      </w:r>
      <w:r w:rsidR="00EA3947" w:rsidRPr="007D2E9C">
        <w:rPr>
          <w:rFonts w:ascii="Arial" w:eastAsia="Calibri" w:hAnsi="Arial" w:cs="Arial"/>
          <w:sz w:val="22"/>
          <w:lang w:val="es-ES_tradnl"/>
        </w:rPr>
        <w:t>son indelegables</w:t>
      </w:r>
      <w:r w:rsidR="006227A6" w:rsidRPr="007D2E9C">
        <w:rPr>
          <w:rFonts w:ascii="Arial" w:eastAsia="Calibri" w:hAnsi="Arial" w:cs="Arial"/>
          <w:sz w:val="22"/>
          <w:lang w:val="es-ES_tradnl"/>
        </w:rPr>
        <w:t xml:space="preserve"> –art. 11–.</w:t>
      </w:r>
      <w:r w:rsidR="006278E6" w:rsidRPr="007D2E9C">
        <w:rPr>
          <w:rFonts w:ascii="Arial" w:eastAsia="Calibri" w:hAnsi="Arial" w:cs="Arial"/>
          <w:sz w:val="22"/>
          <w:lang w:val="es-ES_tradnl"/>
        </w:rPr>
        <w:t xml:space="preserve"> Finalmente, los actos del delegatario tienen los requisitos y recursos que los del delegante, reiterando el régimen de responsabilidad y recuperación de la competencia previsto en el artículo 211 constitucional –art. 12–. </w:t>
      </w:r>
      <w:r w:rsidR="006227A6" w:rsidRPr="007D2E9C">
        <w:rPr>
          <w:rFonts w:ascii="Arial" w:eastAsia="Calibri" w:hAnsi="Arial" w:cs="Arial"/>
          <w:sz w:val="22"/>
          <w:lang w:val="es-ES_tradnl"/>
        </w:rPr>
        <w:t xml:space="preserve"> </w:t>
      </w:r>
    </w:p>
    <w:bookmarkEnd w:id="6"/>
    <w:p w14:paraId="010927E3" w14:textId="2AA8FD9C" w:rsidR="00531869" w:rsidRPr="007D2E9C" w:rsidRDefault="00531869" w:rsidP="00531869">
      <w:pPr>
        <w:spacing w:before="120" w:line="276" w:lineRule="auto"/>
        <w:ind w:firstLine="708"/>
        <w:jc w:val="both"/>
        <w:rPr>
          <w:rFonts w:ascii="Arial" w:eastAsia="Calibri" w:hAnsi="Arial" w:cs="Arial"/>
          <w:sz w:val="22"/>
          <w:lang w:val="es-ES_tradnl"/>
        </w:rPr>
      </w:pPr>
      <w:r w:rsidRPr="007D2E9C">
        <w:rPr>
          <w:rFonts w:ascii="Arial" w:eastAsia="Calibri" w:hAnsi="Arial" w:cs="Arial"/>
          <w:sz w:val="22"/>
          <w:lang w:val="es-ES_tradnl"/>
        </w:rPr>
        <w:t xml:space="preserve">Sin embargo, la delegación en materia contractual </w:t>
      </w:r>
      <w:r w:rsidR="00B84C1B" w:rsidRPr="007D2E9C">
        <w:rPr>
          <w:rFonts w:ascii="Arial" w:eastAsia="Calibri" w:hAnsi="Arial" w:cs="Arial"/>
          <w:sz w:val="22"/>
          <w:lang w:val="es-ES_tradnl"/>
        </w:rPr>
        <w:t xml:space="preserve">tuvo cambios importantes con la expedición de la Ley 1150 de 2007, adicionando un segundo inciso al artículo 12 del Estatuto General. En esta medida, dispuso </w:t>
      </w:r>
      <w:r w:rsidR="00187ED3" w:rsidRPr="007D2E9C">
        <w:rPr>
          <w:rFonts w:ascii="Arial" w:eastAsia="Calibri" w:hAnsi="Arial" w:cs="Arial"/>
          <w:sz w:val="22"/>
          <w:lang w:val="es-ES_tradnl"/>
        </w:rPr>
        <w:t>que</w:t>
      </w:r>
      <w:r w:rsidR="00B84C1B" w:rsidRPr="007D2E9C">
        <w:rPr>
          <w:rFonts w:ascii="Arial" w:eastAsia="Calibri" w:hAnsi="Arial" w:cs="Arial"/>
          <w:sz w:val="22"/>
          <w:lang w:val="es-ES_tradnl"/>
        </w:rPr>
        <w:t xml:space="preserve">: «En ningún caso, los jefes y representantes legales de las entidades estatales quedarán exonerados por virtud de la delegación de sus deberes de control y vigilancia de la actividad precontractual y contractual». Dicha </w:t>
      </w:r>
      <w:r w:rsidR="00B84C1B" w:rsidRPr="007D2E9C">
        <w:rPr>
          <w:rFonts w:ascii="Arial" w:eastAsia="Calibri" w:hAnsi="Arial" w:cs="Arial"/>
          <w:sz w:val="22"/>
          <w:lang w:val="es-ES_tradnl"/>
        </w:rPr>
        <w:lastRenderedPageBreak/>
        <w:t xml:space="preserve">disposición cambió el régimen de responsabilidad del delegante previsto en el precitado inciso segundo del artículo 211 superior. Por ello, la Corte Constitucional </w:t>
      </w:r>
      <w:r w:rsidR="001571FA" w:rsidRPr="007D2E9C">
        <w:rPr>
          <w:rFonts w:ascii="Arial" w:eastAsia="Calibri" w:hAnsi="Arial" w:cs="Arial"/>
          <w:sz w:val="22"/>
          <w:lang w:val="es-ES_tradnl"/>
        </w:rPr>
        <w:t>–retomando la línea jurisprudencial de la Sentencia C-</w:t>
      </w:r>
      <w:bookmarkStart w:id="7" w:name="_Hlk37168691"/>
      <w:r w:rsidR="001571FA" w:rsidRPr="007D2E9C">
        <w:rPr>
          <w:rFonts w:ascii="Arial" w:eastAsia="Calibri" w:hAnsi="Arial" w:cs="Arial"/>
          <w:sz w:val="22"/>
          <w:lang w:val="es-ES_tradnl"/>
        </w:rPr>
        <w:t>372 de 2002</w:t>
      </w:r>
      <w:bookmarkEnd w:id="7"/>
      <w:r w:rsidR="001571FA" w:rsidRPr="007D2E9C">
        <w:rPr>
          <w:rFonts w:ascii="Arial" w:eastAsia="Calibri" w:hAnsi="Arial" w:cs="Arial"/>
          <w:sz w:val="22"/>
          <w:lang w:val="es-ES_tradnl"/>
        </w:rPr>
        <w:t xml:space="preserve">– </w:t>
      </w:r>
      <w:r w:rsidR="00B84C1B" w:rsidRPr="007D2E9C">
        <w:rPr>
          <w:rFonts w:ascii="Arial" w:eastAsia="Calibri" w:hAnsi="Arial" w:cs="Arial"/>
          <w:sz w:val="22"/>
          <w:lang w:val="es-ES_tradnl"/>
        </w:rPr>
        <w:t>declaró que este inciso es condicionalmente exequible</w:t>
      </w:r>
      <w:r w:rsidR="001571FA" w:rsidRPr="007D2E9C">
        <w:rPr>
          <w:rFonts w:ascii="Arial" w:eastAsia="Calibri" w:hAnsi="Arial" w:cs="Arial"/>
          <w:sz w:val="22"/>
          <w:lang w:val="es-ES_tradnl"/>
        </w:rPr>
        <w:t>,</w:t>
      </w:r>
      <w:r w:rsidR="00B84C1B" w:rsidRPr="007D2E9C">
        <w:rPr>
          <w:rFonts w:ascii="Arial" w:eastAsia="Calibri" w:hAnsi="Arial" w:cs="Arial"/>
          <w:sz w:val="22"/>
          <w:lang w:val="es-ES_tradnl"/>
        </w:rPr>
        <w:t xml:space="preserve"> </w:t>
      </w:r>
      <w:r w:rsidR="001571FA" w:rsidRPr="007D2E9C">
        <w:rPr>
          <w:rFonts w:ascii="Arial" w:eastAsia="Calibri" w:hAnsi="Arial" w:cs="Arial"/>
          <w:sz w:val="22"/>
          <w:lang w:val="es-ES_tradnl"/>
        </w:rPr>
        <w:t xml:space="preserve">en el entendido </w:t>
      </w:r>
      <w:r w:rsidR="00CA4A2C">
        <w:rPr>
          <w:rFonts w:ascii="Arial" w:eastAsia="Calibri" w:hAnsi="Arial" w:cs="Arial"/>
          <w:sz w:val="22"/>
          <w:lang w:val="es-ES_tradnl"/>
        </w:rPr>
        <w:t xml:space="preserve">de </w:t>
      </w:r>
      <w:r w:rsidR="001571FA" w:rsidRPr="007D2E9C">
        <w:rPr>
          <w:rFonts w:ascii="Arial" w:eastAsia="Calibri" w:hAnsi="Arial" w:cs="Arial"/>
          <w:sz w:val="22"/>
          <w:lang w:val="es-ES_tradnl"/>
        </w:rPr>
        <w:t>que el delegante s</w:t>
      </w:r>
      <w:r w:rsidR="00CA4A2C">
        <w:rPr>
          <w:rFonts w:ascii="Arial" w:eastAsia="Calibri" w:hAnsi="Arial" w:cs="Arial"/>
          <w:sz w:val="22"/>
          <w:lang w:val="es-ES_tradnl"/>
        </w:rPr>
        <w:t>o</w:t>
      </w:r>
      <w:r w:rsidR="001571FA" w:rsidRPr="007D2E9C">
        <w:rPr>
          <w:rFonts w:ascii="Arial" w:eastAsia="Calibri" w:hAnsi="Arial" w:cs="Arial"/>
          <w:sz w:val="22"/>
          <w:lang w:val="es-ES_tradnl"/>
        </w:rPr>
        <w:t>lo responde por la ausencia de control y vigilancia siempre que medie dolo o culpa grave</w:t>
      </w:r>
      <w:r w:rsidR="001735D5" w:rsidRPr="007D2E9C">
        <w:rPr>
          <w:rStyle w:val="Refdenotaalpie"/>
          <w:rFonts w:ascii="Arial" w:eastAsia="Calibri" w:hAnsi="Arial" w:cs="Arial"/>
          <w:sz w:val="22"/>
          <w:lang w:val="es-ES_tradnl"/>
        </w:rPr>
        <w:footnoteReference w:id="4"/>
      </w:r>
      <w:r w:rsidR="001571FA" w:rsidRPr="007D2E9C">
        <w:rPr>
          <w:rFonts w:ascii="Arial" w:eastAsia="Calibri" w:hAnsi="Arial" w:cs="Arial"/>
          <w:sz w:val="22"/>
          <w:lang w:val="es-ES_tradnl"/>
        </w:rPr>
        <w:t xml:space="preserve">. Lo anterior, en la medida </w:t>
      </w:r>
      <w:r w:rsidR="00142365">
        <w:rPr>
          <w:rFonts w:ascii="Arial" w:eastAsia="Calibri" w:hAnsi="Arial" w:cs="Arial"/>
          <w:sz w:val="22"/>
          <w:lang w:val="es-ES_tradnl"/>
        </w:rPr>
        <w:t xml:space="preserve">en </w:t>
      </w:r>
      <w:r w:rsidR="001571FA" w:rsidRPr="007D2E9C">
        <w:rPr>
          <w:rFonts w:ascii="Arial" w:eastAsia="Calibri" w:hAnsi="Arial" w:cs="Arial"/>
          <w:sz w:val="22"/>
          <w:lang w:val="es-ES_tradnl"/>
        </w:rPr>
        <w:t xml:space="preserve">que: </w:t>
      </w:r>
    </w:p>
    <w:p w14:paraId="58CD4397" w14:textId="55A6CC26" w:rsidR="001571FA" w:rsidRPr="007D2E9C" w:rsidRDefault="001571FA" w:rsidP="001735D5">
      <w:pPr>
        <w:spacing w:line="276" w:lineRule="auto"/>
        <w:jc w:val="both"/>
        <w:rPr>
          <w:rFonts w:ascii="Arial" w:eastAsia="Calibri" w:hAnsi="Arial" w:cs="Arial"/>
          <w:sz w:val="22"/>
          <w:lang w:val="es-ES_tradnl"/>
        </w:rPr>
      </w:pPr>
    </w:p>
    <w:p w14:paraId="7AF2B4E7" w14:textId="60AF70FE" w:rsidR="001571FA" w:rsidRPr="007D2E9C" w:rsidRDefault="001571FA" w:rsidP="00142365">
      <w:pPr>
        <w:ind w:left="709" w:right="709"/>
        <w:jc w:val="both"/>
        <w:rPr>
          <w:rFonts w:ascii="Arial" w:eastAsia="Calibri" w:hAnsi="Arial" w:cs="Arial"/>
          <w:sz w:val="21"/>
          <w:szCs w:val="21"/>
          <w:lang w:val="es-ES_tradnl"/>
        </w:rPr>
      </w:pPr>
      <w:r w:rsidRPr="007D2E9C">
        <w:rPr>
          <w:rFonts w:ascii="Arial" w:eastAsia="Calibri" w:hAnsi="Arial" w:cs="Arial"/>
          <w:sz w:val="21"/>
          <w:szCs w:val="21"/>
          <w:lang w:val="es-ES_tradnl"/>
        </w:rPr>
        <w:t>La delegación no es un mecanismo para desprenderse del cumplimiento de las funciones del cargo y menos aún para utilizarse con fines contrarios a los principios que rigen la función administrativa como la moralidad, la eficacia, la igualdad o la imparcialidad (C.P., art. 209). Tampoco es admisible el extremo opuesto según el cual el delegante responderá siempre por las actuaciones del delegatario, por cuanto se abandonaría el principio de responsabilidad subjetiva de los servidores públicos, de tal manera que inexorablemente respondan por las decisiones de otros.   Por lo tanto, para determinar la responsabilidad del delegante no es suficiente el artículo 211 de la Carta Política y será necesario considerar otros principios constitucionales sobre la materia</w:t>
      </w:r>
      <w:r w:rsidR="001735D5" w:rsidRPr="007D2E9C">
        <w:rPr>
          <w:rStyle w:val="Refdenotaalpie"/>
          <w:rFonts w:ascii="Arial" w:eastAsia="Calibri" w:hAnsi="Arial" w:cs="Arial"/>
          <w:sz w:val="21"/>
          <w:szCs w:val="21"/>
          <w:lang w:val="es-ES_tradnl"/>
        </w:rPr>
        <w:footnoteReference w:id="5"/>
      </w:r>
      <w:r w:rsidRPr="007D2E9C">
        <w:rPr>
          <w:rFonts w:ascii="Arial" w:eastAsia="Calibri" w:hAnsi="Arial" w:cs="Arial"/>
          <w:sz w:val="21"/>
          <w:szCs w:val="21"/>
          <w:lang w:val="es-ES_tradnl"/>
        </w:rPr>
        <w:t xml:space="preserve">.   </w:t>
      </w:r>
    </w:p>
    <w:p w14:paraId="458EB34A" w14:textId="0E80F0C2" w:rsidR="001735D5" w:rsidRPr="007D2E9C" w:rsidRDefault="001735D5" w:rsidP="001735D5">
      <w:pPr>
        <w:spacing w:line="276" w:lineRule="auto"/>
        <w:jc w:val="both"/>
        <w:rPr>
          <w:rFonts w:ascii="Arial" w:eastAsia="Calibri" w:hAnsi="Arial" w:cs="Arial"/>
          <w:sz w:val="22"/>
          <w:lang w:val="es-ES_tradnl"/>
        </w:rPr>
      </w:pPr>
    </w:p>
    <w:p w14:paraId="53768BD5" w14:textId="5324FC8E" w:rsidR="002B4F1F" w:rsidRPr="007D2E9C" w:rsidRDefault="001735D5" w:rsidP="00236520">
      <w:pPr>
        <w:spacing w:line="276" w:lineRule="auto"/>
        <w:ind w:firstLine="709"/>
        <w:jc w:val="both"/>
        <w:rPr>
          <w:rFonts w:ascii="Arial" w:eastAsia="Calibri" w:hAnsi="Arial" w:cs="Arial"/>
          <w:b/>
          <w:bCs/>
          <w:sz w:val="22"/>
          <w:lang w:val="es-ES_tradnl"/>
        </w:rPr>
      </w:pPr>
      <w:r w:rsidRPr="007D2E9C">
        <w:rPr>
          <w:rFonts w:ascii="Arial" w:eastAsia="Calibri" w:hAnsi="Arial" w:cs="Arial"/>
          <w:sz w:val="22"/>
          <w:lang w:val="es-ES_tradnl"/>
        </w:rPr>
        <w:t>La aplicación de es</w:t>
      </w:r>
      <w:r w:rsidR="00941A51" w:rsidRPr="007D2E9C">
        <w:rPr>
          <w:rFonts w:ascii="Arial" w:eastAsia="Calibri" w:hAnsi="Arial" w:cs="Arial"/>
          <w:sz w:val="22"/>
          <w:lang w:val="es-ES_tradnl"/>
        </w:rPr>
        <w:t xml:space="preserve">te </w:t>
      </w:r>
      <w:r w:rsidRPr="007D2E9C">
        <w:rPr>
          <w:rFonts w:ascii="Arial" w:eastAsia="Calibri" w:hAnsi="Arial" w:cs="Arial"/>
          <w:sz w:val="22"/>
          <w:lang w:val="es-ES_tradnl"/>
        </w:rPr>
        <w:t xml:space="preserve">régimen </w:t>
      </w:r>
      <w:r w:rsidR="00941A51" w:rsidRPr="007D2E9C">
        <w:rPr>
          <w:rFonts w:ascii="Arial" w:eastAsia="Calibri" w:hAnsi="Arial" w:cs="Arial"/>
          <w:sz w:val="22"/>
          <w:lang w:val="es-ES_tradnl"/>
        </w:rPr>
        <w:t>especial de responsabilidad</w:t>
      </w:r>
      <w:r w:rsidRPr="007D2E9C">
        <w:rPr>
          <w:rFonts w:ascii="Arial" w:eastAsia="Calibri" w:hAnsi="Arial" w:cs="Arial"/>
          <w:sz w:val="22"/>
          <w:lang w:val="es-ES_tradnl"/>
        </w:rPr>
        <w:t xml:space="preserve"> supone que el órgano competente para adelantar procesos de selección y celebrar contratos, por medio de un acto administrativo, asigna determinadas funciones</w:t>
      </w:r>
      <w:r w:rsidR="00941A51" w:rsidRPr="007D2E9C">
        <w:rPr>
          <w:rFonts w:ascii="Arial" w:eastAsia="Calibri" w:hAnsi="Arial" w:cs="Arial"/>
          <w:sz w:val="22"/>
          <w:lang w:val="es-ES_tradnl"/>
        </w:rPr>
        <w:t xml:space="preserve"> a los servidores </w:t>
      </w:r>
      <w:r w:rsidR="000D147F" w:rsidRPr="007D2E9C">
        <w:rPr>
          <w:rFonts w:ascii="Arial" w:eastAsia="Calibri" w:hAnsi="Arial" w:cs="Arial"/>
          <w:sz w:val="22"/>
          <w:lang w:val="es-ES_tradnl"/>
        </w:rPr>
        <w:t>autorizados</w:t>
      </w:r>
      <w:r w:rsidR="00187ED3" w:rsidRPr="007D2E9C">
        <w:rPr>
          <w:rFonts w:ascii="Arial" w:eastAsia="Calibri" w:hAnsi="Arial" w:cs="Arial"/>
          <w:sz w:val="22"/>
          <w:lang w:val="es-ES_tradnl"/>
        </w:rPr>
        <w:t xml:space="preserve"> previamente</w:t>
      </w:r>
      <w:r w:rsidR="000D147F" w:rsidRPr="007D2E9C">
        <w:rPr>
          <w:rFonts w:ascii="Arial" w:eastAsia="Calibri" w:hAnsi="Arial" w:cs="Arial"/>
          <w:sz w:val="22"/>
          <w:lang w:val="es-ES_tradnl"/>
        </w:rPr>
        <w:t xml:space="preserve"> por la ley</w:t>
      </w:r>
      <w:r w:rsidR="00941A51" w:rsidRPr="007D2E9C">
        <w:rPr>
          <w:rFonts w:ascii="Arial" w:eastAsia="Calibri" w:hAnsi="Arial" w:cs="Arial"/>
          <w:sz w:val="22"/>
          <w:lang w:val="es-ES_tradnl"/>
        </w:rPr>
        <w:t>. Mientras no se cumplan en su totalidad los presupuestos legales mencionados en el presente considerando, más allá del dolo y la cu</w:t>
      </w:r>
      <w:r w:rsidR="00A35EBA" w:rsidRPr="007D2E9C">
        <w:rPr>
          <w:rFonts w:ascii="Arial" w:eastAsia="Calibri" w:hAnsi="Arial" w:cs="Arial"/>
          <w:sz w:val="22"/>
          <w:lang w:val="es-ES_tradnl"/>
        </w:rPr>
        <w:t>l</w:t>
      </w:r>
      <w:r w:rsidR="00941A51" w:rsidRPr="007D2E9C">
        <w:rPr>
          <w:rFonts w:ascii="Arial" w:eastAsia="Calibri" w:hAnsi="Arial" w:cs="Arial"/>
          <w:sz w:val="22"/>
          <w:lang w:val="es-ES_tradnl"/>
        </w:rPr>
        <w:t xml:space="preserve">pa grave, el titular originario de la atribución responde por </w:t>
      </w:r>
      <w:r w:rsidR="000D147F" w:rsidRPr="007D2E9C">
        <w:rPr>
          <w:rFonts w:ascii="Arial" w:eastAsia="Calibri" w:hAnsi="Arial" w:cs="Arial"/>
          <w:sz w:val="22"/>
          <w:lang w:val="es-ES_tradnl"/>
        </w:rPr>
        <w:t>l</w:t>
      </w:r>
      <w:r w:rsidR="00941A51" w:rsidRPr="007D2E9C">
        <w:rPr>
          <w:rFonts w:ascii="Arial" w:eastAsia="Calibri" w:hAnsi="Arial" w:cs="Arial"/>
          <w:sz w:val="22"/>
          <w:lang w:val="es-ES_tradnl"/>
        </w:rPr>
        <w:t xml:space="preserve">as irregularidades </w:t>
      </w:r>
      <w:r w:rsidR="00143E08" w:rsidRPr="007D2E9C">
        <w:rPr>
          <w:rFonts w:ascii="Arial" w:eastAsia="Calibri" w:hAnsi="Arial" w:cs="Arial"/>
          <w:sz w:val="22"/>
          <w:lang w:val="es-ES_tradnl"/>
        </w:rPr>
        <w:t>de la actividad contractual</w:t>
      </w:r>
      <w:r w:rsidR="00941A51" w:rsidRPr="007D2E9C">
        <w:rPr>
          <w:rFonts w:ascii="Arial" w:eastAsia="Calibri" w:hAnsi="Arial" w:cs="Arial"/>
          <w:sz w:val="22"/>
          <w:lang w:val="es-ES_tradnl"/>
        </w:rPr>
        <w:t xml:space="preserve">. </w:t>
      </w:r>
      <w:bookmarkEnd w:id="5"/>
    </w:p>
    <w:p w14:paraId="6226400E" w14:textId="77777777" w:rsidR="002B4F1F" w:rsidRPr="007D2E9C" w:rsidRDefault="002B4F1F" w:rsidP="00C40C6C">
      <w:pPr>
        <w:spacing w:line="276" w:lineRule="auto"/>
        <w:jc w:val="both"/>
        <w:rPr>
          <w:rFonts w:ascii="Arial" w:eastAsia="Calibri" w:hAnsi="Arial" w:cs="Arial"/>
          <w:b/>
          <w:bCs/>
          <w:sz w:val="22"/>
          <w:lang w:val="es-ES_tradnl"/>
        </w:rPr>
      </w:pPr>
    </w:p>
    <w:p w14:paraId="6794C8B3" w14:textId="1D3DCD3D" w:rsidR="00C40C6C" w:rsidRPr="007D2E9C" w:rsidRDefault="00C40C6C" w:rsidP="00C40C6C">
      <w:pPr>
        <w:spacing w:line="276" w:lineRule="auto"/>
        <w:jc w:val="both"/>
        <w:rPr>
          <w:rFonts w:ascii="Arial" w:eastAsia="Calibri" w:hAnsi="Arial" w:cs="Arial"/>
          <w:b/>
          <w:bCs/>
          <w:sz w:val="22"/>
          <w:lang w:val="es-ES_tradnl"/>
        </w:rPr>
      </w:pPr>
      <w:r w:rsidRPr="007D2E9C">
        <w:rPr>
          <w:rFonts w:ascii="Arial" w:eastAsia="Calibri" w:hAnsi="Arial" w:cs="Arial"/>
          <w:b/>
          <w:bCs/>
          <w:sz w:val="22"/>
          <w:lang w:val="es-ES_tradnl"/>
        </w:rPr>
        <w:t xml:space="preserve">2.2. </w:t>
      </w:r>
      <w:bookmarkStart w:id="8" w:name="_Hlk35869057"/>
      <w:r w:rsidR="00A35EBA" w:rsidRPr="007D2E9C">
        <w:rPr>
          <w:rFonts w:ascii="Arial" w:eastAsia="Calibri" w:hAnsi="Arial" w:cs="Arial"/>
          <w:b/>
          <w:bCs/>
          <w:sz w:val="22"/>
          <w:lang w:val="es-ES_tradnl"/>
        </w:rPr>
        <w:t>Desconcentración de la actividad contractual</w:t>
      </w:r>
    </w:p>
    <w:bookmarkEnd w:id="8"/>
    <w:p w14:paraId="51E4583D" w14:textId="77777777" w:rsidR="00C40C6C" w:rsidRPr="007D2E9C" w:rsidRDefault="00C40C6C" w:rsidP="00C40C6C">
      <w:pPr>
        <w:spacing w:line="276" w:lineRule="auto"/>
        <w:jc w:val="both"/>
        <w:rPr>
          <w:rFonts w:ascii="Arial" w:eastAsia="Calibri" w:hAnsi="Arial" w:cs="Arial"/>
          <w:sz w:val="22"/>
          <w:lang w:val="es-ES_tradnl"/>
        </w:rPr>
      </w:pPr>
    </w:p>
    <w:p w14:paraId="3A8A4D6D" w14:textId="77777777" w:rsidR="00B24038" w:rsidRPr="007D2E9C" w:rsidRDefault="00A35EBA" w:rsidP="00236520">
      <w:pPr>
        <w:spacing w:line="276" w:lineRule="auto"/>
        <w:jc w:val="both"/>
        <w:rPr>
          <w:rFonts w:ascii="Arial" w:eastAsia="Calibri" w:hAnsi="Arial" w:cs="Arial"/>
          <w:sz w:val="22"/>
          <w:lang w:val="es-ES_tradnl"/>
        </w:rPr>
      </w:pPr>
      <w:bookmarkStart w:id="9" w:name="_Hlk37183512"/>
      <w:bookmarkStart w:id="10" w:name="_Hlk35876968"/>
      <w:r w:rsidRPr="007D2E9C">
        <w:rPr>
          <w:rFonts w:ascii="Arial" w:eastAsia="Calibri" w:hAnsi="Arial" w:cs="Arial"/>
          <w:sz w:val="22"/>
          <w:lang w:val="es-ES_tradnl"/>
        </w:rPr>
        <w:t xml:space="preserve">Al igual que la delegación, el artículo 209 de la Constitución Política de 1991 autoriza la desconcentración como técnica </w:t>
      </w:r>
      <w:r w:rsidR="00187ED3" w:rsidRPr="007D2E9C">
        <w:rPr>
          <w:rFonts w:ascii="Arial" w:eastAsia="Calibri" w:hAnsi="Arial" w:cs="Arial"/>
          <w:sz w:val="22"/>
          <w:lang w:val="es-ES_tradnl"/>
        </w:rPr>
        <w:t>organizacional</w:t>
      </w:r>
      <w:r w:rsidRPr="007D2E9C">
        <w:rPr>
          <w:rFonts w:ascii="Arial" w:eastAsia="Calibri" w:hAnsi="Arial" w:cs="Arial"/>
          <w:sz w:val="22"/>
          <w:lang w:val="es-ES_tradnl"/>
        </w:rPr>
        <w:t xml:space="preserve"> que atempera el rigor de la centralización</w:t>
      </w:r>
      <w:r w:rsidR="00187ED3" w:rsidRPr="007D2E9C">
        <w:rPr>
          <w:rFonts w:ascii="Arial" w:eastAsia="Calibri" w:hAnsi="Arial" w:cs="Arial"/>
          <w:sz w:val="22"/>
          <w:lang w:val="es-ES_tradnl"/>
        </w:rPr>
        <w:t>. Prevista en inciso primero del artículo 12 de la Ley 80 de 1993, permite que los representantes legales de las entidades estatales desconcentren</w:t>
      </w:r>
      <w:r w:rsidR="00F42363" w:rsidRPr="007D2E9C">
        <w:rPr>
          <w:rFonts w:ascii="Arial" w:eastAsia="Calibri" w:hAnsi="Arial" w:cs="Arial"/>
          <w:sz w:val="22"/>
          <w:lang w:val="es-ES_tradnl"/>
        </w:rPr>
        <w:t xml:space="preserve"> el trámite</w:t>
      </w:r>
      <w:r w:rsidR="00187ED3" w:rsidRPr="007D2E9C">
        <w:rPr>
          <w:rFonts w:ascii="Arial" w:eastAsia="Calibri" w:hAnsi="Arial" w:cs="Arial"/>
          <w:sz w:val="22"/>
          <w:lang w:val="es-ES_tradnl"/>
        </w:rPr>
        <w:t xml:space="preserve"> </w:t>
      </w:r>
      <w:r w:rsidR="00F42363" w:rsidRPr="007D2E9C">
        <w:rPr>
          <w:rFonts w:ascii="Arial" w:eastAsia="Calibri" w:hAnsi="Arial" w:cs="Arial"/>
          <w:sz w:val="22"/>
          <w:lang w:val="es-ES_tradnl"/>
        </w:rPr>
        <w:t>de los procesos de selección</w:t>
      </w:r>
      <w:r w:rsidR="00484C8D" w:rsidRPr="007D2E9C">
        <w:rPr>
          <w:rFonts w:ascii="Arial" w:eastAsia="Calibri" w:hAnsi="Arial" w:cs="Arial"/>
          <w:sz w:val="22"/>
          <w:lang w:val="es-ES_tradnl"/>
        </w:rPr>
        <w:t xml:space="preserve"> en los funcionarios que, dentro de la entidad, ostenten cargos directivos o ejecutivos.</w:t>
      </w:r>
      <w:r w:rsidR="00740B8C" w:rsidRPr="007D2E9C">
        <w:rPr>
          <w:rFonts w:ascii="Arial" w:eastAsia="Calibri" w:hAnsi="Arial" w:cs="Arial"/>
          <w:sz w:val="22"/>
          <w:lang w:val="es-ES_tradnl"/>
        </w:rPr>
        <w:t xml:space="preserve"> </w:t>
      </w:r>
    </w:p>
    <w:p w14:paraId="12403B85" w14:textId="69B20E86" w:rsidR="002B6620" w:rsidRPr="007D2E9C" w:rsidRDefault="00740B8C" w:rsidP="002B6620">
      <w:pPr>
        <w:spacing w:before="120" w:line="276" w:lineRule="auto"/>
        <w:ind w:firstLine="708"/>
        <w:jc w:val="both"/>
        <w:rPr>
          <w:rFonts w:ascii="Arial" w:eastAsia="Calibri" w:hAnsi="Arial" w:cs="Arial"/>
          <w:sz w:val="22"/>
          <w:lang w:val="es-ES_tradnl"/>
        </w:rPr>
      </w:pPr>
      <w:r w:rsidRPr="007D2E9C">
        <w:rPr>
          <w:rFonts w:ascii="Arial" w:eastAsia="Calibri" w:hAnsi="Arial" w:cs="Arial"/>
          <w:sz w:val="22"/>
          <w:lang w:val="es-ES_tradnl"/>
        </w:rPr>
        <w:t>Para estos efectos, la doctrina define</w:t>
      </w:r>
      <w:r w:rsidR="00236520">
        <w:rPr>
          <w:rFonts w:ascii="Arial" w:eastAsia="Calibri" w:hAnsi="Arial" w:cs="Arial"/>
          <w:sz w:val="22"/>
          <w:lang w:val="es-ES_tradnl"/>
        </w:rPr>
        <w:t xml:space="preserve"> la desconcentración</w:t>
      </w:r>
      <w:r w:rsidRPr="007D2E9C">
        <w:rPr>
          <w:rFonts w:ascii="Arial" w:eastAsia="Calibri" w:hAnsi="Arial" w:cs="Arial"/>
          <w:sz w:val="22"/>
          <w:lang w:val="es-ES_tradnl"/>
        </w:rPr>
        <w:t xml:space="preserve"> como «[…] el proceso a través del cual las funciones de una entidad u organismo son distribuidas en diferentes áreas; funcionales o unidades territoriales, las cuales cuentan generalmente con una estructura administrativa, y cuyo fin último es, al igual que la descentralización y la </w:t>
      </w:r>
      <w:r w:rsidRPr="007D2E9C">
        <w:rPr>
          <w:rFonts w:ascii="Arial" w:eastAsia="Calibri" w:hAnsi="Arial" w:cs="Arial"/>
          <w:sz w:val="22"/>
          <w:lang w:val="es-ES_tradnl"/>
        </w:rPr>
        <w:lastRenderedPageBreak/>
        <w:t>delegación, garantizar los fines esenciales del Estado»</w:t>
      </w:r>
      <w:r w:rsidRPr="007D2E9C">
        <w:rPr>
          <w:rStyle w:val="Refdenotaalpie"/>
          <w:rFonts w:ascii="Arial" w:eastAsia="Calibri" w:hAnsi="Arial" w:cs="Arial"/>
          <w:sz w:val="22"/>
          <w:lang w:val="es-ES_tradnl"/>
        </w:rPr>
        <w:footnoteReference w:id="6"/>
      </w:r>
      <w:r w:rsidRPr="007D2E9C">
        <w:rPr>
          <w:rFonts w:ascii="Arial" w:eastAsia="Calibri" w:hAnsi="Arial" w:cs="Arial"/>
          <w:sz w:val="22"/>
          <w:lang w:val="es-ES_tradnl"/>
        </w:rPr>
        <w:t>.</w:t>
      </w:r>
      <w:r w:rsidR="00B24038" w:rsidRPr="007D2E9C">
        <w:rPr>
          <w:rFonts w:ascii="Arial" w:eastAsia="Calibri" w:hAnsi="Arial" w:cs="Arial"/>
          <w:sz w:val="22"/>
          <w:lang w:val="es-ES_tradnl"/>
        </w:rPr>
        <w:t xml:space="preserve"> </w:t>
      </w:r>
      <w:r w:rsidR="002B6620" w:rsidRPr="007D2E9C">
        <w:rPr>
          <w:rFonts w:ascii="Arial" w:eastAsia="Calibri" w:hAnsi="Arial" w:cs="Arial"/>
          <w:sz w:val="22"/>
          <w:lang w:val="es-ES_tradnl"/>
        </w:rPr>
        <w:t>En otras palabras, s</w:t>
      </w:r>
      <w:r w:rsidR="00B24038" w:rsidRPr="007D2E9C">
        <w:rPr>
          <w:rFonts w:ascii="Arial" w:eastAsia="Calibri" w:hAnsi="Arial" w:cs="Arial"/>
          <w:sz w:val="22"/>
          <w:lang w:val="es-ES_tradnl"/>
        </w:rPr>
        <w:t>e trata de una atribución que tiene el superior jerárquico para repartir algunas competencias entre los subalternos, sin que esto les otorgue autonomía en el cumplimiento de sus funciones; razón por la cual, implica una adecuada distribución del trabajo en la que el titular de las funciones conserva la dirección y el control de las tareas asignadas</w:t>
      </w:r>
      <w:bookmarkEnd w:id="9"/>
      <w:r w:rsidR="00524D38" w:rsidRPr="007D2E9C">
        <w:rPr>
          <w:rStyle w:val="Refdenotaalpie"/>
          <w:rFonts w:ascii="Arial" w:eastAsia="Calibri" w:hAnsi="Arial" w:cs="Arial"/>
          <w:sz w:val="22"/>
          <w:lang w:val="es-ES_tradnl"/>
        </w:rPr>
        <w:footnoteReference w:id="7"/>
      </w:r>
      <w:r w:rsidR="00B24038" w:rsidRPr="007D2E9C">
        <w:rPr>
          <w:rFonts w:ascii="Arial" w:eastAsia="Calibri" w:hAnsi="Arial" w:cs="Arial"/>
          <w:sz w:val="22"/>
          <w:lang w:val="es-ES_tradnl"/>
        </w:rPr>
        <w:t xml:space="preserve">. </w:t>
      </w:r>
      <w:r w:rsidR="002B6620" w:rsidRPr="007D2E9C">
        <w:rPr>
          <w:rFonts w:ascii="Arial" w:eastAsia="Calibri" w:hAnsi="Arial" w:cs="Arial"/>
          <w:sz w:val="22"/>
          <w:lang w:val="es-ES_tradnl"/>
        </w:rPr>
        <w:t>Por ello</w:t>
      </w:r>
      <w:r w:rsidR="00B24038" w:rsidRPr="007D2E9C">
        <w:rPr>
          <w:rFonts w:ascii="Arial" w:eastAsia="Calibri" w:hAnsi="Arial" w:cs="Arial"/>
          <w:sz w:val="22"/>
          <w:lang w:val="es-ES_tradnl"/>
        </w:rPr>
        <w:t xml:space="preserve">, el artículo 8 de la Ley 489 de 1998 </w:t>
      </w:r>
      <w:r w:rsidR="002B6620" w:rsidRPr="007D2E9C">
        <w:rPr>
          <w:rFonts w:ascii="Arial" w:eastAsia="Calibri" w:hAnsi="Arial" w:cs="Arial"/>
          <w:sz w:val="22"/>
          <w:lang w:val="es-ES_tradnl"/>
        </w:rPr>
        <w:t>dispone lo siguiente:</w:t>
      </w:r>
    </w:p>
    <w:p w14:paraId="0F576CA1" w14:textId="27EF234C" w:rsidR="002B6620" w:rsidRPr="007D2E9C" w:rsidRDefault="002B6620" w:rsidP="002B4F1F">
      <w:pPr>
        <w:spacing w:line="276" w:lineRule="auto"/>
        <w:jc w:val="both"/>
        <w:rPr>
          <w:rFonts w:ascii="Arial" w:eastAsia="Calibri" w:hAnsi="Arial" w:cs="Arial"/>
          <w:sz w:val="22"/>
          <w:lang w:val="es-ES_tradnl"/>
        </w:rPr>
      </w:pPr>
    </w:p>
    <w:p w14:paraId="0C1A4621" w14:textId="77777777" w:rsidR="002B6620" w:rsidRPr="007D2E9C" w:rsidRDefault="002B6620" w:rsidP="002B6620">
      <w:pPr>
        <w:spacing w:before="120"/>
        <w:ind w:left="709" w:right="709"/>
        <w:jc w:val="both"/>
        <w:rPr>
          <w:rFonts w:ascii="Arial" w:eastAsia="Calibri" w:hAnsi="Arial" w:cs="Arial"/>
          <w:sz w:val="21"/>
          <w:szCs w:val="21"/>
          <w:lang w:val="es-ES_tradnl"/>
        </w:rPr>
      </w:pPr>
      <w:r w:rsidRPr="007D2E9C">
        <w:rPr>
          <w:rFonts w:ascii="Arial" w:eastAsia="Calibri" w:hAnsi="Arial" w:cs="Arial"/>
          <w:sz w:val="21"/>
          <w:szCs w:val="21"/>
          <w:lang w:val="es-ES_tradnl"/>
        </w:rPr>
        <w:t>La desconcentración es la radicación de competencias y funciones en dependencias ubicadas fuera de la sede principal del organismo o entidad administrativa, sin perjuicio de las potestades y deberes de orientación e instrucción que corresponde ejercer a los jefes superiores de la Administración, la cual no implica delegación y podrá hacerse por territorio y por funciones.</w:t>
      </w:r>
    </w:p>
    <w:p w14:paraId="6E611F06" w14:textId="2E87B99F" w:rsidR="002B6620" w:rsidRPr="007D2E9C" w:rsidRDefault="002B6620" w:rsidP="002B6620">
      <w:pPr>
        <w:spacing w:before="120"/>
        <w:ind w:left="709" w:right="709"/>
        <w:jc w:val="both"/>
        <w:rPr>
          <w:rFonts w:ascii="Arial" w:eastAsia="Calibri" w:hAnsi="Arial" w:cs="Arial"/>
          <w:sz w:val="21"/>
          <w:szCs w:val="21"/>
          <w:lang w:val="es-ES_tradnl"/>
        </w:rPr>
      </w:pPr>
      <w:r w:rsidRPr="007D2E9C">
        <w:rPr>
          <w:rFonts w:ascii="Arial" w:eastAsia="Calibri" w:hAnsi="Arial" w:cs="Arial"/>
          <w:sz w:val="21"/>
          <w:szCs w:val="21"/>
          <w:lang w:val="es-ES_tradnl"/>
        </w:rPr>
        <w:t>Parágrafo. En el acto correspondiente se determinarán los medios necesarios para su adecuado cumplimiento.</w:t>
      </w:r>
    </w:p>
    <w:p w14:paraId="1C29E70A" w14:textId="27E8D27E" w:rsidR="002B6620" w:rsidRPr="007D2E9C" w:rsidRDefault="002B6620" w:rsidP="002B6620">
      <w:pPr>
        <w:spacing w:before="120"/>
        <w:ind w:left="709" w:right="709"/>
        <w:jc w:val="both"/>
        <w:rPr>
          <w:rFonts w:ascii="Arial" w:eastAsia="Calibri" w:hAnsi="Arial" w:cs="Arial"/>
          <w:sz w:val="21"/>
          <w:szCs w:val="21"/>
          <w:lang w:val="es-ES_tradnl"/>
        </w:rPr>
      </w:pPr>
      <w:r w:rsidRPr="007D2E9C">
        <w:rPr>
          <w:rFonts w:ascii="Arial" w:eastAsia="Calibri" w:hAnsi="Arial" w:cs="Arial"/>
          <w:sz w:val="21"/>
          <w:szCs w:val="21"/>
          <w:lang w:val="es-ES_tradnl"/>
        </w:rPr>
        <w:t>Los actos cumplidos por las autoridades en virtud de desconcentración administrativa sólo serán susceptibles del recurso de reposición en los términos establecidos en las normas pertinentes.</w:t>
      </w:r>
    </w:p>
    <w:p w14:paraId="29DFFB6D" w14:textId="10BD3B4C" w:rsidR="002B6620" w:rsidRPr="007D2E9C" w:rsidRDefault="002B6620" w:rsidP="002B4F1F">
      <w:pPr>
        <w:spacing w:line="276" w:lineRule="auto"/>
        <w:jc w:val="both"/>
        <w:rPr>
          <w:rFonts w:ascii="Arial" w:eastAsia="Calibri" w:hAnsi="Arial" w:cs="Arial"/>
          <w:sz w:val="22"/>
          <w:lang w:val="es-ES_tradnl"/>
        </w:rPr>
      </w:pPr>
    </w:p>
    <w:p w14:paraId="1A5E9FFB" w14:textId="77777777" w:rsidR="002F19F4" w:rsidRDefault="002B6620" w:rsidP="00FB5E05">
      <w:pPr>
        <w:spacing w:before="120" w:line="276" w:lineRule="auto"/>
        <w:ind w:firstLine="708"/>
        <w:jc w:val="both"/>
        <w:rPr>
          <w:rFonts w:ascii="Arial" w:eastAsia="Calibri" w:hAnsi="Arial" w:cs="Arial"/>
          <w:sz w:val="22"/>
          <w:lang w:val="es-ES_tradnl"/>
        </w:rPr>
      </w:pPr>
      <w:bookmarkStart w:id="11" w:name="_Hlk37183560"/>
      <w:r w:rsidRPr="007D2E9C">
        <w:rPr>
          <w:rFonts w:ascii="Arial" w:eastAsia="Calibri" w:hAnsi="Arial" w:cs="Arial"/>
          <w:sz w:val="22"/>
          <w:lang w:val="es-ES_tradnl"/>
        </w:rPr>
        <w:t>Con una orientación similar, el parágrafo del artículo 12 del Estatuto General –adicionado por el artículo 21 de la Ley 1150</w:t>
      </w:r>
      <w:r w:rsidR="002B4F1F" w:rsidRPr="007D2E9C">
        <w:rPr>
          <w:rFonts w:ascii="Arial" w:eastAsia="Calibri" w:hAnsi="Arial" w:cs="Arial"/>
          <w:sz w:val="22"/>
          <w:lang w:val="es-ES_tradnl"/>
        </w:rPr>
        <w:t xml:space="preserve"> de 2007</w:t>
      </w:r>
      <w:r w:rsidRPr="007D2E9C">
        <w:rPr>
          <w:rFonts w:ascii="Arial" w:eastAsia="Calibri" w:hAnsi="Arial" w:cs="Arial"/>
          <w:sz w:val="22"/>
          <w:lang w:val="es-ES_tradnl"/>
        </w:rPr>
        <w:t xml:space="preserve">– </w:t>
      </w:r>
      <w:r w:rsidR="002B4F1F" w:rsidRPr="007D2E9C">
        <w:rPr>
          <w:rFonts w:ascii="Arial" w:eastAsia="Calibri" w:hAnsi="Arial" w:cs="Arial"/>
          <w:sz w:val="22"/>
          <w:lang w:val="es-ES_tradnl"/>
        </w:rPr>
        <w:t xml:space="preserve">dispone que «[…] se entiende por desconcentración la distribución adecuada del trabajo que realiza el jefe o representante legal de la entidad, sin que ello implique autonomía administrativa en su ejercicio […]». </w:t>
      </w:r>
      <w:r w:rsidR="00E9667F" w:rsidRPr="007D2E9C">
        <w:rPr>
          <w:rFonts w:ascii="Arial" w:eastAsia="Calibri" w:hAnsi="Arial" w:cs="Arial"/>
          <w:sz w:val="22"/>
          <w:lang w:val="es-ES_tradnl"/>
        </w:rPr>
        <w:t>E</w:t>
      </w:r>
      <w:r w:rsidR="002B4F1F" w:rsidRPr="007D2E9C">
        <w:rPr>
          <w:rFonts w:ascii="Arial" w:eastAsia="Calibri" w:hAnsi="Arial" w:cs="Arial"/>
          <w:sz w:val="22"/>
          <w:lang w:val="es-ES_tradnl"/>
        </w:rPr>
        <w:t>ste artículo introduce un cambio relevante en la materia, pues –a diferencia del inciso final del artículo 8 de la Ley 489 de 1998– agrega que contra los actos no procede el recurso de reposición</w:t>
      </w:r>
      <w:r w:rsidR="00524D38" w:rsidRPr="007D2E9C">
        <w:rPr>
          <w:rFonts w:ascii="Arial" w:eastAsia="Calibri" w:hAnsi="Arial" w:cs="Arial"/>
          <w:sz w:val="22"/>
          <w:lang w:val="es-ES_tradnl"/>
        </w:rPr>
        <w:t>, expresión declarada exequible mediante la Sentencia de la Corte Constitucional C-259 de 2008 con ponencia del Magistrado Jaime Córdoba Triviño</w:t>
      </w:r>
      <w:r w:rsidR="002B4F1F" w:rsidRPr="007D2E9C">
        <w:rPr>
          <w:rFonts w:ascii="Arial" w:eastAsia="Calibri" w:hAnsi="Arial" w:cs="Arial"/>
          <w:sz w:val="22"/>
          <w:lang w:val="es-ES_tradnl"/>
        </w:rPr>
        <w:t>.</w:t>
      </w:r>
    </w:p>
    <w:p w14:paraId="3DE282D5" w14:textId="2F9F2BDA" w:rsidR="00FB5E05" w:rsidRDefault="002F19F4" w:rsidP="00FB5E05">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A partir de las consideraciones anteriores, se puede concluir </w:t>
      </w:r>
      <w:r w:rsidR="00956BEA">
        <w:rPr>
          <w:rFonts w:ascii="Arial" w:eastAsia="Calibri" w:hAnsi="Arial" w:cs="Arial"/>
          <w:sz w:val="22"/>
          <w:lang w:val="es-ES_tradnl"/>
        </w:rPr>
        <w:t xml:space="preserve">que </w:t>
      </w:r>
      <w:r>
        <w:rPr>
          <w:rFonts w:ascii="Arial" w:eastAsia="Calibri" w:hAnsi="Arial" w:cs="Arial"/>
          <w:sz w:val="22"/>
          <w:lang w:val="es-ES_tradnl"/>
        </w:rPr>
        <w:t xml:space="preserve">tanto el constituyente, como el legislador, </w:t>
      </w:r>
      <w:r w:rsidR="00D1542C">
        <w:rPr>
          <w:rFonts w:ascii="Arial" w:eastAsia="Calibri" w:hAnsi="Arial" w:cs="Arial"/>
          <w:sz w:val="22"/>
          <w:lang w:val="es-ES_tradnl"/>
        </w:rPr>
        <w:t>permiten el ejercicio de la función administrativa –concretada en la actividad contractual de las entidades públicas–, empleando las técnicas de la delegación y la desconcentración</w:t>
      </w:r>
      <w:r w:rsidR="00C046E3">
        <w:rPr>
          <w:rFonts w:ascii="Arial" w:eastAsia="Calibri" w:hAnsi="Arial" w:cs="Arial"/>
          <w:sz w:val="22"/>
          <w:lang w:val="es-ES_tradnl"/>
        </w:rPr>
        <w:t>.</w:t>
      </w:r>
      <w:r w:rsidR="002B4F1F" w:rsidRPr="007D2E9C">
        <w:rPr>
          <w:rFonts w:ascii="Arial" w:eastAsia="Calibri" w:hAnsi="Arial" w:cs="Arial"/>
          <w:sz w:val="22"/>
          <w:lang w:val="es-ES_tradnl"/>
        </w:rPr>
        <w:t xml:space="preserve"> </w:t>
      </w:r>
      <w:bookmarkEnd w:id="10"/>
      <w:bookmarkEnd w:id="11"/>
      <w:r w:rsidR="00EB7A87">
        <w:rPr>
          <w:rFonts w:ascii="Arial" w:eastAsia="Calibri" w:hAnsi="Arial" w:cs="Arial"/>
          <w:sz w:val="22"/>
          <w:lang w:val="es-ES_tradnl"/>
        </w:rPr>
        <w:t xml:space="preserve">Con estas instituciones se busca mitigar la </w:t>
      </w:r>
      <w:r w:rsidR="00EB7A87">
        <w:rPr>
          <w:rFonts w:ascii="Arial" w:eastAsia="Calibri" w:hAnsi="Arial" w:cs="Arial"/>
          <w:sz w:val="22"/>
          <w:lang w:val="es-ES_tradnl"/>
        </w:rPr>
        <w:lastRenderedPageBreak/>
        <w:t>centralización</w:t>
      </w:r>
      <w:r w:rsidR="006A1EC5">
        <w:rPr>
          <w:rFonts w:ascii="Arial" w:eastAsia="Calibri" w:hAnsi="Arial" w:cs="Arial"/>
          <w:sz w:val="22"/>
          <w:lang w:val="es-ES_tradnl"/>
        </w:rPr>
        <w:t xml:space="preserve">, para que las </w:t>
      </w:r>
      <w:r w:rsidR="00C34E06">
        <w:rPr>
          <w:rFonts w:ascii="Arial" w:eastAsia="Calibri" w:hAnsi="Arial" w:cs="Arial"/>
          <w:sz w:val="22"/>
          <w:lang w:val="es-ES_tradnl"/>
        </w:rPr>
        <w:t>funciones del Estado se adelanten con eficiencia, celeridad y economía</w:t>
      </w:r>
      <w:r w:rsidR="00D6475A">
        <w:rPr>
          <w:rFonts w:ascii="Arial" w:eastAsia="Calibri" w:hAnsi="Arial" w:cs="Arial"/>
          <w:sz w:val="22"/>
          <w:lang w:val="es-ES_tradnl"/>
        </w:rPr>
        <w:t>, en los términos del artículo 209 de la Constitución</w:t>
      </w:r>
      <w:r w:rsidR="00C34E06">
        <w:rPr>
          <w:rFonts w:ascii="Arial" w:eastAsia="Calibri" w:hAnsi="Arial" w:cs="Arial"/>
          <w:sz w:val="22"/>
          <w:lang w:val="es-ES_tradnl"/>
        </w:rPr>
        <w:t>. Estos principios también impactan</w:t>
      </w:r>
      <w:r w:rsidR="00155B39">
        <w:rPr>
          <w:rFonts w:ascii="Arial" w:eastAsia="Calibri" w:hAnsi="Arial" w:cs="Arial"/>
          <w:sz w:val="22"/>
          <w:lang w:val="es-ES_tradnl"/>
        </w:rPr>
        <w:t>,</w:t>
      </w:r>
      <w:r w:rsidR="00C34E06">
        <w:rPr>
          <w:rFonts w:ascii="Arial" w:eastAsia="Calibri" w:hAnsi="Arial" w:cs="Arial"/>
          <w:sz w:val="22"/>
          <w:lang w:val="es-ES_tradnl"/>
        </w:rPr>
        <w:t xml:space="preserve"> </w:t>
      </w:r>
      <w:r w:rsidR="00155B39">
        <w:rPr>
          <w:rFonts w:ascii="Arial" w:eastAsia="Calibri" w:hAnsi="Arial" w:cs="Arial"/>
          <w:sz w:val="22"/>
          <w:lang w:val="es-ES_tradnl"/>
        </w:rPr>
        <w:t>de manera favorable,</w:t>
      </w:r>
      <w:r w:rsidR="00C34E06">
        <w:rPr>
          <w:rFonts w:ascii="Arial" w:eastAsia="Calibri" w:hAnsi="Arial" w:cs="Arial"/>
          <w:sz w:val="22"/>
          <w:lang w:val="es-ES_tradnl"/>
        </w:rPr>
        <w:t xml:space="preserve"> la contratación estatal –independientemente de la modalidad de selección que se emplee–</w:t>
      </w:r>
      <w:r w:rsidR="00EB3A43">
        <w:rPr>
          <w:rFonts w:ascii="Arial" w:eastAsia="Calibri" w:hAnsi="Arial" w:cs="Arial"/>
          <w:sz w:val="22"/>
          <w:lang w:val="es-ES_tradnl"/>
        </w:rPr>
        <w:t xml:space="preserve">, y es por ello </w:t>
      </w:r>
      <w:proofErr w:type="gramStart"/>
      <w:r w:rsidR="00EB3A43">
        <w:rPr>
          <w:rFonts w:ascii="Arial" w:eastAsia="Calibri" w:hAnsi="Arial" w:cs="Arial"/>
          <w:sz w:val="22"/>
          <w:lang w:val="es-ES_tradnl"/>
        </w:rPr>
        <w:t>que</w:t>
      </w:r>
      <w:proofErr w:type="gramEnd"/>
      <w:r w:rsidR="00EB3A43">
        <w:rPr>
          <w:rFonts w:ascii="Arial" w:eastAsia="Calibri" w:hAnsi="Arial" w:cs="Arial"/>
          <w:sz w:val="22"/>
          <w:lang w:val="es-ES_tradnl"/>
        </w:rPr>
        <w:t xml:space="preserve"> la descentralización y la desconcentración no se restringen a la licitación pública, sino que cualquier procedimiento</w:t>
      </w:r>
      <w:r w:rsidR="00155B39">
        <w:rPr>
          <w:rFonts w:ascii="Arial" w:eastAsia="Calibri" w:hAnsi="Arial" w:cs="Arial"/>
          <w:sz w:val="22"/>
          <w:lang w:val="es-ES_tradnl"/>
        </w:rPr>
        <w:t xml:space="preserve"> de escogencia</w:t>
      </w:r>
      <w:r w:rsidR="00EB3A43">
        <w:rPr>
          <w:rFonts w:ascii="Arial" w:eastAsia="Calibri" w:hAnsi="Arial" w:cs="Arial"/>
          <w:sz w:val="22"/>
          <w:lang w:val="es-ES_tradnl"/>
        </w:rPr>
        <w:t xml:space="preserve"> e incluso la celebración del contrato, pueden delegarse y desconcentrarse, como ya se indicó.</w:t>
      </w:r>
    </w:p>
    <w:p w14:paraId="38EF7753" w14:textId="44094DD8" w:rsidR="00FB5E05" w:rsidRPr="00FB5E05" w:rsidRDefault="00FB5E05" w:rsidP="00FB5E05">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suma, </w:t>
      </w:r>
      <w:r>
        <w:rPr>
          <w:rFonts w:ascii="Arial" w:hAnsi="Arial" w:cs="Arial"/>
          <w:sz w:val="22"/>
        </w:rPr>
        <w:t>s</w:t>
      </w:r>
      <w:r w:rsidRPr="000C3F8D">
        <w:rPr>
          <w:rFonts w:ascii="Arial" w:hAnsi="Arial" w:cs="Arial"/>
          <w:sz w:val="22"/>
        </w:rPr>
        <w:t xml:space="preserve">i bien el artículo 32 de la Ley 1150 de 2007 derogó la expresión </w:t>
      </w:r>
      <w:r>
        <w:rPr>
          <w:rFonts w:ascii="Arial" w:hAnsi="Arial" w:cs="Arial"/>
          <w:sz w:val="22"/>
        </w:rPr>
        <w:t>«</w:t>
      </w:r>
      <w:r w:rsidRPr="000C3F8D">
        <w:rPr>
          <w:rFonts w:ascii="Arial" w:hAnsi="Arial" w:cs="Arial"/>
          <w:sz w:val="22"/>
        </w:rPr>
        <w:t>concurso</w:t>
      </w:r>
      <w:r>
        <w:rPr>
          <w:rFonts w:ascii="Arial" w:hAnsi="Arial" w:cs="Arial"/>
          <w:sz w:val="22"/>
        </w:rPr>
        <w:t>»</w:t>
      </w:r>
      <w:r w:rsidRPr="000C3F8D">
        <w:rPr>
          <w:rFonts w:ascii="Arial" w:hAnsi="Arial" w:cs="Arial"/>
          <w:sz w:val="22"/>
        </w:rPr>
        <w:t xml:space="preserve"> de todo el Estatuto y, en consecuencia, </w:t>
      </w:r>
      <w:r>
        <w:rPr>
          <w:rFonts w:ascii="Arial" w:hAnsi="Arial" w:cs="Arial"/>
          <w:sz w:val="22"/>
        </w:rPr>
        <w:t xml:space="preserve">dicha palabra </w:t>
      </w:r>
      <w:r w:rsidRPr="000C3F8D">
        <w:rPr>
          <w:rFonts w:ascii="Arial" w:hAnsi="Arial" w:cs="Arial"/>
          <w:sz w:val="22"/>
        </w:rPr>
        <w:t>qued</w:t>
      </w:r>
      <w:r>
        <w:rPr>
          <w:rFonts w:ascii="Arial" w:hAnsi="Arial" w:cs="Arial"/>
          <w:sz w:val="22"/>
        </w:rPr>
        <w:t>ó</w:t>
      </w:r>
      <w:r w:rsidRPr="000C3F8D">
        <w:rPr>
          <w:rFonts w:ascii="Arial" w:hAnsi="Arial" w:cs="Arial"/>
          <w:sz w:val="22"/>
        </w:rPr>
        <w:t xml:space="preserve"> eliminada del artículo 12 de la Ley 80</w:t>
      </w:r>
      <w:r>
        <w:rPr>
          <w:rFonts w:ascii="Arial" w:hAnsi="Arial" w:cs="Arial"/>
          <w:sz w:val="22"/>
        </w:rPr>
        <w:t xml:space="preserve"> de 1993</w:t>
      </w:r>
      <w:r w:rsidRPr="000C3F8D">
        <w:rPr>
          <w:rFonts w:ascii="Arial" w:hAnsi="Arial" w:cs="Arial"/>
          <w:sz w:val="22"/>
        </w:rPr>
        <w:t xml:space="preserve">, no se debe </w:t>
      </w:r>
      <w:r>
        <w:rPr>
          <w:rFonts w:ascii="Arial" w:hAnsi="Arial" w:cs="Arial"/>
          <w:sz w:val="22"/>
        </w:rPr>
        <w:t>hacer</w:t>
      </w:r>
      <w:r w:rsidRPr="000C3F8D">
        <w:rPr>
          <w:rFonts w:ascii="Arial" w:hAnsi="Arial" w:cs="Arial"/>
          <w:sz w:val="22"/>
        </w:rPr>
        <w:t xml:space="preserve"> una interpretación </w:t>
      </w:r>
      <w:r>
        <w:rPr>
          <w:rFonts w:ascii="Arial" w:hAnsi="Arial" w:cs="Arial"/>
          <w:sz w:val="22"/>
        </w:rPr>
        <w:t>exegética del</w:t>
      </w:r>
      <w:r w:rsidRPr="000C3F8D">
        <w:rPr>
          <w:rFonts w:ascii="Arial" w:hAnsi="Arial" w:cs="Arial"/>
          <w:sz w:val="22"/>
        </w:rPr>
        <w:t xml:space="preserve"> citado precepto. </w:t>
      </w:r>
      <w:r>
        <w:rPr>
          <w:rFonts w:ascii="Arial" w:hAnsi="Arial" w:cs="Arial"/>
          <w:sz w:val="22"/>
        </w:rPr>
        <w:t>Por el contrario, debe efectuarse una interpretación sistemática, que haga coherente la posibilidad de desconcentrar la realización de la etapa precontractual en las distintas modalidades de selección, no solo en virtud de lo dispuesto en la Ley 80 de 1993, sino en la Ley 489 de 1998 y en la Ley 1150 de 2007.</w:t>
      </w:r>
    </w:p>
    <w:p w14:paraId="55C175DB" w14:textId="77777777" w:rsidR="00FB5E05" w:rsidRDefault="00FB5E05" w:rsidP="00FB5E05">
      <w:pPr>
        <w:pStyle w:val="NormalWeb"/>
        <w:shd w:val="clear" w:color="auto" w:fill="FFFFFF"/>
        <w:spacing w:before="120" w:beforeAutospacing="0" w:after="0" w:afterAutospacing="0" w:line="276" w:lineRule="auto"/>
        <w:ind w:firstLine="709"/>
        <w:jc w:val="both"/>
        <w:rPr>
          <w:rFonts w:ascii="Arial" w:hAnsi="Arial" w:cs="Arial"/>
          <w:sz w:val="22"/>
          <w:lang w:val="es-ES"/>
        </w:rPr>
      </w:pPr>
      <w:r>
        <w:rPr>
          <w:rFonts w:ascii="Arial" w:hAnsi="Arial" w:cs="Arial"/>
          <w:sz w:val="22"/>
          <w:lang w:val="es-ES"/>
        </w:rPr>
        <w:t xml:space="preserve">En efecto, </w:t>
      </w:r>
      <w:r w:rsidRPr="000C3F8D">
        <w:rPr>
          <w:rFonts w:ascii="Arial" w:hAnsi="Arial" w:cs="Arial"/>
          <w:sz w:val="22"/>
          <w:lang w:val="es-ES"/>
        </w:rPr>
        <w:t xml:space="preserve">con </w:t>
      </w:r>
      <w:r>
        <w:rPr>
          <w:rFonts w:ascii="Arial" w:hAnsi="Arial" w:cs="Arial"/>
          <w:sz w:val="22"/>
          <w:lang w:val="es-ES"/>
        </w:rPr>
        <w:t xml:space="preserve">la </w:t>
      </w:r>
      <w:proofErr w:type="gramStart"/>
      <w:r w:rsidRPr="000C3F8D">
        <w:rPr>
          <w:rFonts w:ascii="Arial" w:hAnsi="Arial" w:cs="Arial"/>
          <w:sz w:val="22"/>
          <w:lang w:val="es-ES"/>
        </w:rPr>
        <w:t>entrada en vigencia</w:t>
      </w:r>
      <w:proofErr w:type="gramEnd"/>
      <w:r w:rsidRPr="000C3F8D">
        <w:rPr>
          <w:rFonts w:ascii="Arial" w:hAnsi="Arial" w:cs="Arial"/>
          <w:sz w:val="22"/>
          <w:lang w:val="es-ES"/>
        </w:rPr>
        <w:t xml:space="preserve"> de la Ley 1150 de 2007 se </w:t>
      </w:r>
      <w:r>
        <w:rPr>
          <w:rFonts w:ascii="Arial" w:hAnsi="Arial" w:cs="Arial"/>
          <w:sz w:val="22"/>
          <w:lang w:val="es-ES"/>
        </w:rPr>
        <w:t>crearon</w:t>
      </w:r>
      <w:r w:rsidRPr="000C3F8D">
        <w:rPr>
          <w:rFonts w:ascii="Arial" w:hAnsi="Arial" w:cs="Arial"/>
          <w:sz w:val="22"/>
          <w:lang w:val="es-ES"/>
        </w:rPr>
        <w:t xml:space="preserve"> nuevas modalidades de selección, quedado </w:t>
      </w:r>
      <w:r>
        <w:rPr>
          <w:rFonts w:ascii="Arial" w:hAnsi="Arial" w:cs="Arial"/>
          <w:sz w:val="22"/>
          <w:lang w:val="es-ES"/>
        </w:rPr>
        <w:t>las siguientes</w:t>
      </w:r>
      <w:r w:rsidRPr="000C3F8D">
        <w:rPr>
          <w:rFonts w:ascii="Arial" w:hAnsi="Arial" w:cs="Arial"/>
          <w:sz w:val="22"/>
          <w:lang w:val="es-ES"/>
        </w:rPr>
        <w:t xml:space="preserve">: licitación pública, selección abreviada, concurso de méritos, contratación directa y mínima cuantía. Por lo anterior, la interpretación </w:t>
      </w:r>
      <w:r>
        <w:rPr>
          <w:rFonts w:ascii="Arial" w:hAnsi="Arial" w:cs="Arial"/>
          <w:sz w:val="22"/>
          <w:lang w:val="es-ES"/>
        </w:rPr>
        <w:t>otorgada</w:t>
      </w:r>
      <w:r w:rsidRPr="000C3F8D">
        <w:rPr>
          <w:rFonts w:ascii="Arial" w:hAnsi="Arial" w:cs="Arial"/>
          <w:sz w:val="22"/>
          <w:lang w:val="es-ES"/>
        </w:rPr>
        <w:t xml:space="preserve"> al artículo 12 debe hacerse a la luz de las modificaciones introducidas por la Ley 1150 de 2007, entendiendo que cuando esta norma señala que puede desconcentrarse la realización de </w:t>
      </w:r>
      <w:r>
        <w:rPr>
          <w:rFonts w:ascii="Arial" w:hAnsi="Arial" w:cs="Arial"/>
          <w:sz w:val="22"/>
          <w:lang w:val="es-ES"/>
        </w:rPr>
        <w:t>«</w:t>
      </w:r>
      <w:r w:rsidRPr="00C32063">
        <w:rPr>
          <w:rFonts w:ascii="Arial" w:hAnsi="Arial" w:cs="Arial"/>
          <w:sz w:val="22"/>
          <w:lang w:val="es-ES"/>
        </w:rPr>
        <w:t>licitaciones</w:t>
      </w:r>
      <w:r>
        <w:rPr>
          <w:rFonts w:ascii="Arial" w:hAnsi="Arial" w:cs="Arial"/>
          <w:sz w:val="22"/>
          <w:lang w:val="es-ES"/>
        </w:rPr>
        <w:t>»,</w:t>
      </w:r>
      <w:r w:rsidRPr="000C3F8D">
        <w:rPr>
          <w:rFonts w:ascii="Arial" w:hAnsi="Arial" w:cs="Arial"/>
          <w:sz w:val="22"/>
          <w:lang w:val="es-ES"/>
        </w:rPr>
        <w:t xml:space="preserve"> se incluye </w:t>
      </w:r>
      <w:r>
        <w:rPr>
          <w:rFonts w:ascii="Arial" w:hAnsi="Arial" w:cs="Arial"/>
          <w:sz w:val="22"/>
          <w:lang w:val="es-ES"/>
        </w:rPr>
        <w:t>en</w:t>
      </w:r>
      <w:r w:rsidRPr="000C3F8D">
        <w:rPr>
          <w:rFonts w:ascii="Arial" w:hAnsi="Arial" w:cs="Arial"/>
          <w:sz w:val="22"/>
          <w:lang w:val="es-ES"/>
        </w:rPr>
        <w:t xml:space="preserve"> esta expresión cualquier </w:t>
      </w:r>
      <w:r>
        <w:rPr>
          <w:rFonts w:ascii="Arial" w:hAnsi="Arial" w:cs="Arial"/>
          <w:sz w:val="22"/>
          <w:lang w:val="es-ES"/>
        </w:rPr>
        <w:t>procedimiento de selección contractual</w:t>
      </w:r>
      <w:r w:rsidRPr="000C3F8D">
        <w:rPr>
          <w:rFonts w:ascii="Arial" w:hAnsi="Arial" w:cs="Arial"/>
          <w:sz w:val="22"/>
          <w:lang w:val="es-ES"/>
        </w:rPr>
        <w:t xml:space="preserve">. </w:t>
      </w:r>
    </w:p>
    <w:p w14:paraId="79D33011" w14:textId="77777777" w:rsidR="00FB5E05" w:rsidRPr="007D2E9C" w:rsidRDefault="00FB5E05" w:rsidP="00FB5E05">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Adicionalmente</w:t>
      </w:r>
      <w:r w:rsidRPr="007D2E9C">
        <w:rPr>
          <w:rFonts w:ascii="Arial" w:eastAsia="Calibri" w:hAnsi="Arial" w:cs="Arial"/>
          <w:sz w:val="22"/>
          <w:lang w:val="es-ES_tradnl"/>
        </w:rPr>
        <w:t xml:space="preserve">, no se puede perder de vista que la interpretación que se haga de los preceptos del Estatuto General de Contratación de la Administración Pública debe </w:t>
      </w:r>
      <w:r>
        <w:rPr>
          <w:rFonts w:ascii="Arial" w:eastAsia="Calibri" w:hAnsi="Arial" w:cs="Arial"/>
          <w:sz w:val="22"/>
          <w:lang w:val="es-ES_tradnl"/>
        </w:rPr>
        <w:t>ser</w:t>
      </w:r>
      <w:r w:rsidRPr="007D2E9C">
        <w:rPr>
          <w:rFonts w:ascii="Arial" w:eastAsia="Calibri" w:hAnsi="Arial" w:cs="Arial"/>
          <w:sz w:val="22"/>
          <w:lang w:val="es-ES_tradnl"/>
        </w:rPr>
        <w:t xml:space="preserve"> acorde con el desarrollo que se vaya dando en la materia. Así las cosas, con la introducción de nuevas modalidades de selección de contratistas de las entidades públicas, se debe entender que la posibilidad de delegación y desconcentración de los procedimientos que aquellas adelanten se aplica a todos los procedimientos contractuales. Además, como se indicó, la regulación de la delegación y la desconcentración, contenida en la Ley 80 de 1993, se complementa con los artículos 8 al 12 de la Ley 489 de 1998, que permiten la delegación y la desconcentración, de manera transversal, en las actuaciones administrativas</w:t>
      </w:r>
      <w:r>
        <w:rPr>
          <w:rFonts w:ascii="Arial" w:eastAsia="Calibri" w:hAnsi="Arial" w:cs="Arial"/>
          <w:sz w:val="22"/>
          <w:lang w:val="es-ES_tradnl"/>
        </w:rPr>
        <w:t>, siendo la actividad contractual una de estas actuaciones.</w:t>
      </w:r>
    </w:p>
    <w:p w14:paraId="453162E2" w14:textId="77777777" w:rsidR="00582888" w:rsidRPr="007D2E9C" w:rsidRDefault="00582888" w:rsidP="00C40C6C">
      <w:pPr>
        <w:spacing w:before="120" w:line="276" w:lineRule="auto"/>
        <w:ind w:firstLine="708"/>
        <w:jc w:val="both"/>
        <w:rPr>
          <w:rFonts w:ascii="Arial" w:eastAsia="Calibri" w:hAnsi="Arial" w:cs="Arial"/>
          <w:sz w:val="22"/>
          <w:lang w:val="es-ES_tradnl"/>
        </w:rPr>
      </w:pPr>
    </w:p>
    <w:p w14:paraId="66BB1BEE" w14:textId="77777777" w:rsidR="00C40C6C" w:rsidRPr="007D2E9C" w:rsidRDefault="00C40C6C" w:rsidP="00C40C6C">
      <w:pPr>
        <w:pStyle w:val="Prrafodelista"/>
        <w:tabs>
          <w:tab w:val="left" w:pos="284"/>
        </w:tabs>
        <w:spacing w:line="276" w:lineRule="auto"/>
        <w:ind w:left="0"/>
        <w:jc w:val="both"/>
        <w:rPr>
          <w:rFonts w:ascii="Arial" w:eastAsia="Calibri" w:hAnsi="Arial" w:cs="Arial"/>
          <w:b/>
          <w:sz w:val="22"/>
          <w:lang w:val="es-ES_tradnl"/>
        </w:rPr>
      </w:pPr>
      <w:r w:rsidRPr="007D2E9C">
        <w:rPr>
          <w:rFonts w:ascii="Arial" w:eastAsia="Calibri" w:hAnsi="Arial" w:cs="Arial"/>
          <w:b/>
          <w:sz w:val="22"/>
          <w:lang w:val="es-ES_tradnl"/>
        </w:rPr>
        <w:t>3. Respuesta</w:t>
      </w:r>
    </w:p>
    <w:p w14:paraId="1A698C18" w14:textId="51E03EA7" w:rsidR="00C40C6C" w:rsidRDefault="00C40C6C" w:rsidP="00C40C6C">
      <w:pPr>
        <w:spacing w:line="276" w:lineRule="auto"/>
        <w:jc w:val="both"/>
        <w:rPr>
          <w:rFonts w:ascii="Arial" w:eastAsia="Calibri" w:hAnsi="Arial" w:cs="Arial"/>
          <w:sz w:val="22"/>
          <w:lang w:val="es-ES_tradnl"/>
        </w:rPr>
      </w:pPr>
    </w:p>
    <w:p w14:paraId="31244D73" w14:textId="77777777" w:rsidR="00C32063" w:rsidRPr="007D2E9C" w:rsidRDefault="00C32063" w:rsidP="00C32063">
      <w:pPr>
        <w:pStyle w:val="Sinespaciado"/>
        <w:ind w:left="709" w:right="709"/>
        <w:contextualSpacing/>
        <w:jc w:val="both"/>
        <w:rPr>
          <w:rFonts w:ascii="Arial" w:eastAsia="Calibri" w:hAnsi="Arial" w:cs="Arial"/>
          <w:bCs/>
          <w:sz w:val="22"/>
          <w:lang w:val="es-ES_tradnl"/>
        </w:rPr>
      </w:pPr>
      <w:r w:rsidRPr="007D2E9C">
        <w:rPr>
          <w:rFonts w:ascii="Arial" w:hAnsi="Arial" w:cs="Arial"/>
          <w:bCs/>
          <w:sz w:val="22"/>
          <w:shd w:val="clear" w:color="auto" w:fill="FFFFFF"/>
          <w:lang w:val="es-ES_tradnl"/>
        </w:rPr>
        <w:t>«</w:t>
      </w:r>
      <w:r w:rsidRPr="007D2E9C">
        <w:rPr>
          <w:rFonts w:ascii="Arial" w:hAnsi="Arial" w:cs="Arial"/>
          <w:i/>
          <w:iCs/>
          <w:sz w:val="22"/>
          <w:lang w:val="es-ES_tradnl"/>
        </w:rPr>
        <w:t>las entidades públicas sujetas al estatuto de contratación estatal de la ley 80, solo pueden desconcentrar las funciones de contratación para la modalidad de licitación pública, conforme preceptúa el artículo 12 de la ley 80 de 1993, por cuanto la modalidad de concurso fue derogada por la ley 1150 de 2007, y las demás modalidades no se encuentran incluidas?</w:t>
      </w:r>
      <w:r w:rsidRPr="007D2E9C">
        <w:rPr>
          <w:rFonts w:ascii="Arial" w:hAnsi="Arial" w:cs="Arial"/>
          <w:sz w:val="22"/>
          <w:shd w:val="clear" w:color="auto" w:fill="FFFFFF"/>
          <w:lang w:val="es-ES_tradnl"/>
        </w:rPr>
        <w:t>» (sic).</w:t>
      </w:r>
    </w:p>
    <w:p w14:paraId="22D06E4D" w14:textId="77777777" w:rsidR="00C32063" w:rsidRPr="007D2E9C" w:rsidRDefault="00C32063" w:rsidP="00C40C6C">
      <w:pPr>
        <w:spacing w:line="276" w:lineRule="auto"/>
        <w:jc w:val="both"/>
        <w:rPr>
          <w:rFonts w:ascii="Arial" w:eastAsia="Calibri" w:hAnsi="Arial" w:cs="Arial"/>
          <w:sz w:val="22"/>
          <w:lang w:val="es-ES_tradnl"/>
        </w:rPr>
      </w:pPr>
    </w:p>
    <w:p w14:paraId="6D4C1F95" w14:textId="77777777" w:rsidR="00726178" w:rsidRDefault="00C32063" w:rsidP="00726178">
      <w:pPr>
        <w:pStyle w:val="NormalWeb"/>
        <w:shd w:val="clear" w:color="auto" w:fill="FFFFFF"/>
        <w:spacing w:before="0" w:beforeAutospacing="0" w:after="0" w:afterAutospacing="0" w:line="276" w:lineRule="auto"/>
        <w:contextualSpacing/>
        <w:jc w:val="both"/>
        <w:rPr>
          <w:rFonts w:ascii="Arial" w:hAnsi="Arial" w:cs="Arial"/>
          <w:sz w:val="22"/>
          <w:szCs w:val="22"/>
        </w:rPr>
      </w:pPr>
      <w:r>
        <w:rPr>
          <w:rFonts w:ascii="Arial" w:hAnsi="Arial" w:cs="Arial"/>
          <w:sz w:val="22"/>
          <w:szCs w:val="22"/>
        </w:rPr>
        <w:t>S</w:t>
      </w:r>
      <w:r w:rsidRPr="000C3F8D">
        <w:rPr>
          <w:rFonts w:ascii="Arial" w:hAnsi="Arial" w:cs="Arial"/>
          <w:sz w:val="22"/>
          <w:szCs w:val="22"/>
        </w:rPr>
        <w:t xml:space="preserve">i bien el artículo 32 de la Ley 1150 de 2007 derogó la expresión </w:t>
      </w:r>
      <w:r>
        <w:rPr>
          <w:rFonts w:ascii="Arial" w:hAnsi="Arial" w:cs="Arial"/>
          <w:sz w:val="22"/>
          <w:szCs w:val="22"/>
        </w:rPr>
        <w:t>«</w:t>
      </w:r>
      <w:r w:rsidRPr="000C3F8D">
        <w:rPr>
          <w:rFonts w:ascii="Arial" w:hAnsi="Arial" w:cs="Arial"/>
          <w:sz w:val="22"/>
          <w:szCs w:val="22"/>
        </w:rPr>
        <w:t>concurso</w:t>
      </w:r>
      <w:r>
        <w:rPr>
          <w:rFonts w:ascii="Arial" w:hAnsi="Arial" w:cs="Arial"/>
          <w:sz w:val="22"/>
          <w:szCs w:val="22"/>
        </w:rPr>
        <w:t>»</w:t>
      </w:r>
      <w:r w:rsidRPr="000C3F8D">
        <w:rPr>
          <w:rFonts w:ascii="Arial" w:hAnsi="Arial" w:cs="Arial"/>
          <w:sz w:val="22"/>
          <w:szCs w:val="22"/>
        </w:rPr>
        <w:t xml:space="preserve"> de todo el Estatuto y, en consecuencia, </w:t>
      </w:r>
      <w:r>
        <w:rPr>
          <w:rFonts w:ascii="Arial" w:hAnsi="Arial" w:cs="Arial"/>
          <w:sz w:val="22"/>
          <w:szCs w:val="22"/>
        </w:rPr>
        <w:t xml:space="preserve">dicha palabra </w:t>
      </w:r>
      <w:r w:rsidRPr="000C3F8D">
        <w:rPr>
          <w:rFonts w:ascii="Arial" w:hAnsi="Arial" w:cs="Arial"/>
          <w:sz w:val="22"/>
          <w:szCs w:val="22"/>
        </w:rPr>
        <w:t>qued</w:t>
      </w:r>
      <w:r>
        <w:rPr>
          <w:rFonts w:ascii="Arial" w:hAnsi="Arial" w:cs="Arial"/>
          <w:sz w:val="22"/>
          <w:szCs w:val="22"/>
        </w:rPr>
        <w:t>ó</w:t>
      </w:r>
      <w:r w:rsidRPr="000C3F8D">
        <w:rPr>
          <w:rFonts w:ascii="Arial" w:hAnsi="Arial" w:cs="Arial"/>
          <w:sz w:val="22"/>
          <w:szCs w:val="22"/>
        </w:rPr>
        <w:t xml:space="preserve"> eliminada del artículo 12 de la Ley 80</w:t>
      </w:r>
      <w:r>
        <w:rPr>
          <w:rFonts w:ascii="Arial" w:hAnsi="Arial" w:cs="Arial"/>
          <w:sz w:val="22"/>
          <w:szCs w:val="22"/>
        </w:rPr>
        <w:t xml:space="preserve"> de 1993</w:t>
      </w:r>
      <w:r w:rsidRPr="000C3F8D">
        <w:rPr>
          <w:rFonts w:ascii="Arial" w:hAnsi="Arial" w:cs="Arial"/>
          <w:sz w:val="22"/>
          <w:szCs w:val="22"/>
        </w:rPr>
        <w:t xml:space="preserve">, no se debe </w:t>
      </w:r>
      <w:r>
        <w:rPr>
          <w:rFonts w:ascii="Arial" w:hAnsi="Arial" w:cs="Arial"/>
          <w:sz w:val="22"/>
          <w:szCs w:val="22"/>
        </w:rPr>
        <w:t>hacer</w:t>
      </w:r>
      <w:r w:rsidRPr="000C3F8D">
        <w:rPr>
          <w:rFonts w:ascii="Arial" w:hAnsi="Arial" w:cs="Arial"/>
          <w:sz w:val="22"/>
          <w:szCs w:val="22"/>
        </w:rPr>
        <w:t xml:space="preserve"> una interpretación </w:t>
      </w:r>
      <w:r>
        <w:rPr>
          <w:rFonts w:ascii="Arial" w:hAnsi="Arial" w:cs="Arial"/>
          <w:sz w:val="22"/>
          <w:szCs w:val="22"/>
        </w:rPr>
        <w:t>exegética del</w:t>
      </w:r>
      <w:r w:rsidRPr="000C3F8D">
        <w:rPr>
          <w:rFonts w:ascii="Arial" w:hAnsi="Arial" w:cs="Arial"/>
          <w:sz w:val="22"/>
          <w:szCs w:val="22"/>
        </w:rPr>
        <w:t xml:space="preserve"> citado precepto. </w:t>
      </w:r>
      <w:r>
        <w:rPr>
          <w:rFonts w:ascii="Arial" w:hAnsi="Arial" w:cs="Arial"/>
          <w:sz w:val="22"/>
          <w:szCs w:val="22"/>
        </w:rPr>
        <w:t>Por el contrario, debe efectuarse una interpretación sistemática, que haga coherente la posibilidad de desconcentrar la realización de la etapa precontractual en las distintas modalidades de selección, no solo en virtud de lo dispuesto en la Ley 80 de 1993, sino en la Ley 489 de 1998 y en la Ley 1150 de 2007.</w:t>
      </w:r>
    </w:p>
    <w:p w14:paraId="5AF9DAAD" w14:textId="6935EF70" w:rsidR="00DB3C60" w:rsidRDefault="00C32063" w:rsidP="00DB3C60">
      <w:pPr>
        <w:pStyle w:val="NormalWeb"/>
        <w:shd w:val="clear" w:color="auto" w:fill="FFFFFF"/>
        <w:spacing w:before="120" w:beforeAutospacing="0" w:after="0" w:afterAutospacing="0" w:line="276" w:lineRule="auto"/>
        <w:ind w:firstLine="709"/>
        <w:jc w:val="both"/>
        <w:rPr>
          <w:rFonts w:ascii="Arial" w:hAnsi="Arial" w:cs="Arial"/>
          <w:sz w:val="22"/>
          <w:lang w:val="es-ES"/>
        </w:rPr>
      </w:pPr>
      <w:r>
        <w:rPr>
          <w:rFonts w:ascii="Arial" w:hAnsi="Arial" w:cs="Arial"/>
          <w:sz w:val="22"/>
          <w:lang w:val="es-ES"/>
        </w:rPr>
        <w:t xml:space="preserve">En efecto, </w:t>
      </w:r>
      <w:r w:rsidRPr="000C3F8D">
        <w:rPr>
          <w:rFonts w:ascii="Arial" w:hAnsi="Arial" w:cs="Arial"/>
          <w:sz w:val="22"/>
          <w:lang w:val="es-ES"/>
        </w:rPr>
        <w:t xml:space="preserve">con </w:t>
      </w:r>
      <w:r>
        <w:rPr>
          <w:rFonts w:ascii="Arial" w:hAnsi="Arial" w:cs="Arial"/>
          <w:sz w:val="22"/>
          <w:lang w:val="es-ES"/>
        </w:rPr>
        <w:t xml:space="preserve">la </w:t>
      </w:r>
      <w:proofErr w:type="gramStart"/>
      <w:r w:rsidRPr="000C3F8D">
        <w:rPr>
          <w:rFonts w:ascii="Arial" w:hAnsi="Arial" w:cs="Arial"/>
          <w:sz w:val="22"/>
          <w:lang w:val="es-ES"/>
        </w:rPr>
        <w:t>entrada en vigencia</w:t>
      </w:r>
      <w:proofErr w:type="gramEnd"/>
      <w:r w:rsidRPr="000C3F8D">
        <w:rPr>
          <w:rFonts w:ascii="Arial" w:hAnsi="Arial" w:cs="Arial"/>
          <w:sz w:val="22"/>
          <w:lang w:val="es-ES"/>
        </w:rPr>
        <w:t xml:space="preserve"> de la Ley 1150 de 2007 se </w:t>
      </w:r>
      <w:r w:rsidR="00015C28">
        <w:rPr>
          <w:rFonts w:ascii="Arial" w:hAnsi="Arial" w:cs="Arial"/>
          <w:sz w:val="22"/>
          <w:lang w:val="es-ES"/>
        </w:rPr>
        <w:t>crearon</w:t>
      </w:r>
      <w:r w:rsidRPr="000C3F8D">
        <w:rPr>
          <w:rFonts w:ascii="Arial" w:hAnsi="Arial" w:cs="Arial"/>
          <w:sz w:val="22"/>
          <w:lang w:val="es-ES"/>
        </w:rPr>
        <w:t xml:space="preserve"> nuevas modalidades de selección, quedado </w:t>
      </w:r>
      <w:r w:rsidR="00485F76">
        <w:rPr>
          <w:rFonts w:ascii="Arial" w:hAnsi="Arial" w:cs="Arial"/>
          <w:sz w:val="22"/>
          <w:lang w:val="es-ES"/>
        </w:rPr>
        <w:t>las siguientes</w:t>
      </w:r>
      <w:r w:rsidRPr="000C3F8D">
        <w:rPr>
          <w:rFonts w:ascii="Arial" w:hAnsi="Arial" w:cs="Arial"/>
          <w:sz w:val="22"/>
          <w:lang w:val="es-ES"/>
        </w:rPr>
        <w:t xml:space="preserve">: licitación pública, selección abreviada, concurso de méritos, contratación directa y mínima cuantía. Por lo anterior, la interpretación </w:t>
      </w:r>
      <w:r>
        <w:rPr>
          <w:rFonts w:ascii="Arial" w:hAnsi="Arial" w:cs="Arial"/>
          <w:sz w:val="22"/>
          <w:lang w:val="es-ES"/>
        </w:rPr>
        <w:t>otorgada</w:t>
      </w:r>
      <w:r w:rsidRPr="000C3F8D">
        <w:rPr>
          <w:rFonts w:ascii="Arial" w:hAnsi="Arial" w:cs="Arial"/>
          <w:sz w:val="22"/>
          <w:lang w:val="es-ES"/>
        </w:rPr>
        <w:t xml:space="preserve"> al artículo 12 debe hacerse a la luz de las modificaciones introducidas por la Ley 1150 de 2007, entendiendo que cuando esta norma señala que puede desconcentrarse la realización de </w:t>
      </w:r>
      <w:r>
        <w:rPr>
          <w:rFonts w:ascii="Arial" w:hAnsi="Arial" w:cs="Arial"/>
          <w:sz w:val="22"/>
          <w:lang w:val="es-ES"/>
        </w:rPr>
        <w:t>«</w:t>
      </w:r>
      <w:r w:rsidRPr="00C32063">
        <w:rPr>
          <w:rFonts w:ascii="Arial" w:hAnsi="Arial" w:cs="Arial"/>
          <w:sz w:val="22"/>
          <w:lang w:val="es-ES"/>
        </w:rPr>
        <w:t>licitaciones</w:t>
      </w:r>
      <w:r>
        <w:rPr>
          <w:rFonts w:ascii="Arial" w:hAnsi="Arial" w:cs="Arial"/>
          <w:sz w:val="22"/>
          <w:lang w:val="es-ES"/>
        </w:rPr>
        <w:t>»</w:t>
      </w:r>
      <w:r w:rsidR="00015C28">
        <w:rPr>
          <w:rFonts w:ascii="Arial" w:hAnsi="Arial" w:cs="Arial"/>
          <w:sz w:val="22"/>
          <w:lang w:val="es-ES"/>
        </w:rPr>
        <w:t>,</w:t>
      </w:r>
      <w:r w:rsidRPr="000C3F8D">
        <w:rPr>
          <w:rFonts w:ascii="Arial" w:hAnsi="Arial" w:cs="Arial"/>
          <w:sz w:val="22"/>
          <w:lang w:val="es-ES"/>
        </w:rPr>
        <w:t xml:space="preserve"> se incluye </w:t>
      </w:r>
      <w:r w:rsidR="008E565D">
        <w:rPr>
          <w:rFonts w:ascii="Arial" w:hAnsi="Arial" w:cs="Arial"/>
          <w:sz w:val="22"/>
          <w:lang w:val="es-ES"/>
        </w:rPr>
        <w:t>en</w:t>
      </w:r>
      <w:r w:rsidRPr="000C3F8D">
        <w:rPr>
          <w:rFonts w:ascii="Arial" w:hAnsi="Arial" w:cs="Arial"/>
          <w:sz w:val="22"/>
          <w:lang w:val="es-ES"/>
        </w:rPr>
        <w:t xml:space="preserve"> esta expresión cualquier </w:t>
      </w:r>
      <w:r w:rsidR="008E565D">
        <w:rPr>
          <w:rFonts w:ascii="Arial" w:hAnsi="Arial" w:cs="Arial"/>
          <w:sz w:val="22"/>
          <w:lang w:val="es-ES"/>
        </w:rPr>
        <w:t>procedimiento de selección contractual</w:t>
      </w:r>
      <w:r w:rsidRPr="000C3F8D">
        <w:rPr>
          <w:rFonts w:ascii="Arial" w:hAnsi="Arial" w:cs="Arial"/>
          <w:sz w:val="22"/>
          <w:lang w:val="es-ES"/>
        </w:rPr>
        <w:t xml:space="preserve">. </w:t>
      </w:r>
    </w:p>
    <w:p w14:paraId="02E27202" w14:textId="05397D63" w:rsidR="00DB3C60" w:rsidRPr="007D2E9C" w:rsidRDefault="003A3DBB" w:rsidP="00DB3C6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Adicionalmente</w:t>
      </w:r>
      <w:r w:rsidR="00DB3C60" w:rsidRPr="007D2E9C">
        <w:rPr>
          <w:rFonts w:ascii="Arial" w:eastAsia="Calibri" w:hAnsi="Arial" w:cs="Arial"/>
          <w:sz w:val="22"/>
          <w:lang w:val="es-ES_tradnl"/>
        </w:rPr>
        <w:t xml:space="preserve">, no se puede perder de vista que la interpretación que se haga de los preceptos del Estatuto General de Contratación de la Administración Pública debe </w:t>
      </w:r>
      <w:r w:rsidR="00015C28">
        <w:rPr>
          <w:rFonts w:ascii="Arial" w:eastAsia="Calibri" w:hAnsi="Arial" w:cs="Arial"/>
          <w:sz w:val="22"/>
          <w:lang w:val="es-ES_tradnl"/>
        </w:rPr>
        <w:t>ser</w:t>
      </w:r>
      <w:r w:rsidR="00DB3C60" w:rsidRPr="007D2E9C">
        <w:rPr>
          <w:rFonts w:ascii="Arial" w:eastAsia="Calibri" w:hAnsi="Arial" w:cs="Arial"/>
          <w:sz w:val="22"/>
          <w:lang w:val="es-ES_tradnl"/>
        </w:rPr>
        <w:t xml:space="preserve"> acorde con el desarrollo que se vaya dando en la materia. Así las cosas, con la introducción de nuevas modalidades de selección de contratistas de las entidades públicas, se debe entender que la posibilidad de delegación y desconcentración de los procedimientos que aquellas adelanten se aplica a todos los procedimientos contractuales. Además, como se indicó, la regulación de la delegación y la desconcentración, contenida en la Ley 80 de 1993, se complementa con los artículos 8 al 12 de la Ley 489 de 1998, que permiten la delegación y la desconcentración, de manera transversal, en las actuaciones administrativas</w:t>
      </w:r>
      <w:r>
        <w:rPr>
          <w:rFonts w:ascii="Arial" w:eastAsia="Calibri" w:hAnsi="Arial" w:cs="Arial"/>
          <w:sz w:val="22"/>
          <w:lang w:val="es-ES_tradnl"/>
        </w:rPr>
        <w:t>, siendo la actividad contractual una de estas actuaciones.</w:t>
      </w:r>
    </w:p>
    <w:p w14:paraId="6B997275" w14:textId="77777777" w:rsidR="00C40C6C" w:rsidRPr="007D2E9C" w:rsidRDefault="00C40C6C" w:rsidP="00DB3C60">
      <w:pPr>
        <w:spacing w:line="276" w:lineRule="auto"/>
        <w:jc w:val="both"/>
        <w:rPr>
          <w:rFonts w:ascii="Arial" w:eastAsia="Calibri" w:hAnsi="Arial" w:cs="Arial"/>
          <w:sz w:val="22"/>
          <w:lang w:val="es-ES_tradnl"/>
        </w:rPr>
      </w:pPr>
    </w:p>
    <w:p w14:paraId="7CC88A7D" w14:textId="77777777" w:rsidR="00F1108B" w:rsidRPr="007D2E9C" w:rsidRDefault="00F1108B" w:rsidP="003979E7">
      <w:pPr>
        <w:spacing w:before="120" w:line="276" w:lineRule="auto"/>
        <w:jc w:val="both"/>
        <w:rPr>
          <w:rFonts w:ascii="Arial" w:eastAsia="Calibri" w:hAnsi="Arial" w:cs="Arial"/>
          <w:sz w:val="22"/>
          <w:lang w:val="es-ES_tradnl"/>
        </w:rPr>
      </w:pPr>
      <w:r w:rsidRPr="007D2E9C">
        <w:rPr>
          <w:rFonts w:ascii="Arial" w:eastAsia="Calibri" w:hAnsi="Arial" w:cs="Arial"/>
          <w:sz w:val="22"/>
          <w:lang w:val="es-ES_tradnl"/>
        </w:rPr>
        <w:t>Este concepto tiene el alcance previsto en el artículo 28 del Código de Procedimiento Administrativo y de lo Contencioso Administrativo.</w:t>
      </w:r>
    </w:p>
    <w:p w14:paraId="43D2F84E" w14:textId="77777777" w:rsidR="00A37FB6" w:rsidRPr="007D2E9C" w:rsidRDefault="00A37FB6" w:rsidP="00D01760">
      <w:pPr>
        <w:spacing w:line="276" w:lineRule="auto"/>
        <w:jc w:val="both"/>
        <w:rPr>
          <w:rFonts w:ascii="Arial" w:eastAsia="Calibri" w:hAnsi="Arial" w:cs="Arial"/>
          <w:sz w:val="22"/>
          <w:lang w:val="es-ES_tradnl"/>
        </w:rPr>
      </w:pPr>
    </w:p>
    <w:p w14:paraId="0F8C901F" w14:textId="53E059FA" w:rsidR="00A37FB6" w:rsidRPr="007D2E9C" w:rsidRDefault="00A37FB6" w:rsidP="00D01760">
      <w:pPr>
        <w:jc w:val="both"/>
        <w:rPr>
          <w:rFonts w:ascii="Arial" w:eastAsia="Calibri" w:hAnsi="Arial" w:cs="Arial"/>
          <w:sz w:val="22"/>
          <w:lang w:val="es-ES_tradnl"/>
        </w:rPr>
      </w:pPr>
    </w:p>
    <w:p w14:paraId="1E81A930" w14:textId="77777777" w:rsidR="00A37FB6" w:rsidRPr="007D2E9C" w:rsidRDefault="00A37FB6" w:rsidP="00D01760">
      <w:pPr>
        <w:rPr>
          <w:rFonts w:ascii="Arial" w:eastAsia="Times New Roman" w:hAnsi="Arial" w:cs="Arial"/>
          <w:sz w:val="22"/>
          <w:lang w:val="es-ES_tradnl" w:eastAsia="es-CO"/>
        </w:rPr>
      </w:pPr>
      <w:r w:rsidRPr="007D2E9C">
        <w:rPr>
          <w:rFonts w:ascii="Arial" w:eastAsia="Times New Roman" w:hAnsi="Arial" w:cs="Arial"/>
          <w:sz w:val="22"/>
          <w:lang w:val="es-ES_tradnl" w:eastAsia="es-CO"/>
        </w:rPr>
        <w:t>Atentamente,</w:t>
      </w:r>
    </w:p>
    <w:p w14:paraId="3EEDF2D7" w14:textId="77777777" w:rsidR="00C3264F" w:rsidRPr="000C3F8D" w:rsidRDefault="00C3264F" w:rsidP="00C3264F">
      <w:pPr>
        <w:spacing w:line="276" w:lineRule="auto"/>
        <w:contextualSpacing/>
        <w:jc w:val="center"/>
        <w:rPr>
          <w:rFonts w:ascii="Arial" w:hAnsi="Arial" w:cs="Arial"/>
          <w:noProof/>
          <w:color w:val="FF0000"/>
          <w:sz w:val="22"/>
          <w:lang w:val="en-US"/>
        </w:rPr>
      </w:pPr>
    </w:p>
    <w:p w14:paraId="498A0310" w14:textId="77777777" w:rsidR="00C3264F" w:rsidRPr="000C3F8D" w:rsidRDefault="00C3264F" w:rsidP="00C3264F">
      <w:pPr>
        <w:widowControl w:val="0"/>
        <w:autoSpaceDE w:val="0"/>
        <w:autoSpaceDN w:val="0"/>
        <w:spacing w:line="276" w:lineRule="auto"/>
        <w:contextualSpacing/>
        <w:rPr>
          <w:rFonts w:ascii="Arial" w:eastAsia="Arial" w:hAnsi="Arial" w:cs="Arial"/>
          <w:color w:val="FF0000"/>
          <w:sz w:val="22"/>
          <w:lang w:val="es-ES"/>
        </w:rPr>
      </w:pPr>
    </w:p>
    <w:p w14:paraId="4EA4584D" w14:textId="77777777" w:rsidR="00C3264F" w:rsidRPr="00DC6E9C" w:rsidRDefault="00C3264F" w:rsidP="00C3264F">
      <w:pPr>
        <w:pStyle w:val="NormalWeb"/>
        <w:spacing w:before="0" w:beforeAutospacing="0" w:after="0" w:afterAutospacing="0" w:line="276" w:lineRule="auto"/>
        <w:jc w:val="both"/>
        <w:rPr>
          <w:rFonts w:ascii="Arial" w:hAnsi="Arial" w:cs="Arial"/>
          <w:sz w:val="22"/>
          <w:szCs w:val="22"/>
          <w:lang w:val="es-ES_tradnl"/>
        </w:rPr>
      </w:pPr>
    </w:p>
    <w:p w14:paraId="11DC537F" w14:textId="3730F19E" w:rsidR="00C3264F" w:rsidRPr="00DC6E9C" w:rsidRDefault="007A2FEA" w:rsidP="007A2FEA">
      <w:pPr>
        <w:jc w:val="center"/>
        <w:rPr>
          <w:rFonts w:ascii="Arial" w:hAnsi="Arial" w:cs="Arial"/>
          <w:sz w:val="22"/>
          <w:lang w:val="es-ES_tradnl" w:eastAsia="es-CO"/>
        </w:rPr>
      </w:pPr>
      <w:r w:rsidRPr="00FC4438">
        <w:rPr>
          <w:noProof/>
        </w:rPr>
        <w:lastRenderedPageBreak/>
        <w:drawing>
          <wp:inline distT="0" distB="0" distL="0" distR="0" wp14:anchorId="5B484CFF" wp14:editId="7FBEC114">
            <wp:extent cx="2514600" cy="1114425"/>
            <wp:effectExtent l="0" t="0" r="0"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4C7BFA97" w14:textId="77777777" w:rsidR="00C3264F" w:rsidRPr="00496EEB" w:rsidRDefault="00C3264F" w:rsidP="00C3264F">
      <w:pPr>
        <w:jc w:val="center"/>
        <w:rPr>
          <w:rFonts w:ascii="Arial" w:hAnsi="Arial" w:cs="Arial"/>
          <w:sz w:val="18"/>
          <w:szCs w:val="20"/>
          <w:lang w:val="es-ES_tradnl" w:eastAsia="es-CO"/>
        </w:rPr>
      </w:pPr>
    </w:p>
    <w:p w14:paraId="4B494953" w14:textId="77777777" w:rsidR="00C3264F" w:rsidRPr="00DC6E9C" w:rsidRDefault="00C3264F" w:rsidP="00C3264F">
      <w:pPr>
        <w:jc w:val="center"/>
        <w:rPr>
          <w:rFonts w:ascii="Arial" w:hAnsi="Arial" w:cs="Arial"/>
          <w:sz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4783"/>
      </w:tblGrid>
      <w:tr w:rsidR="00C3264F" w:rsidRPr="00DC6E9C" w14:paraId="0A01AE6B" w14:textId="77777777" w:rsidTr="000A698C">
        <w:trPr>
          <w:trHeight w:val="315"/>
        </w:trPr>
        <w:tc>
          <w:tcPr>
            <w:tcW w:w="887" w:type="dxa"/>
            <w:vAlign w:val="center"/>
            <w:hideMark/>
          </w:tcPr>
          <w:p w14:paraId="558EC028" w14:textId="77777777" w:rsidR="00C3264F" w:rsidRPr="00DC6E9C" w:rsidRDefault="00C3264F" w:rsidP="000A698C">
            <w:pPr>
              <w:rPr>
                <w:rFonts w:ascii="Arial" w:hAnsi="Arial" w:cs="Arial"/>
                <w:sz w:val="17"/>
                <w:szCs w:val="17"/>
                <w:lang w:val="es-ES_tradnl" w:eastAsia="es-ES"/>
              </w:rPr>
            </w:pPr>
            <w:r w:rsidRPr="00DC6E9C">
              <w:rPr>
                <w:rFonts w:ascii="Arial" w:hAnsi="Arial" w:cs="Arial"/>
                <w:sz w:val="17"/>
                <w:szCs w:val="17"/>
                <w:lang w:val="es-ES_tradnl" w:eastAsia="es-ES"/>
              </w:rPr>
              <w:t>Elaboró:</w:t>
            </w:r>
          </w:p>
        </w:tc>
        <w:tc>
          <w:tcPr>
            <w:tcW w:w="4783" w:type="dxa"/>
            <w:tcBorders>
              <w:top w:val="nil"/>
              <w:left w:val="nil"/>
              <w:bottom w:val="dotted" w:sz="4" w:space="0" w:color="7F7F7F" w:themeColor="text1" w:themeTint="80"/>
              <w:right w:val="nil"/>
            </w:tcBorders>
            <w:vAlign w:val="center"/>
            <w:hideMark/>
          </w:tcPr>
          <w:p w14:paraId="606E918D" w14:textId="77777777" w:rsidR="00C3264F" w:rsidRDefault="00C3264F" w:rsidP="000A698C">
            <w:pPr>
              <w:rPr>
                <w:rFonts w:ascii="Arial" w:hAnsi="Arial" w:cs="Arial"/>
                <w:sz w:val="17"/>
                <w:szCs w:val="17"/>
                <w:lang w:val="es-ES_tradnl" w:eastAsia="es-ES"/>
              </w:rPr>
            </w:pPr>
            <w:r w:rsidRPr="002C07E8">
              <w:rPr>
                <w:rFonts w:ascii="Arial" w:hAnsi="Arial" w:cs="Arial"/>
                <w:sz w:val="17"/>
                <w:szCs w:val="17"/>
                <w:lang w:val="es-ES_tradnl" w:eastAsia="es-ES"/>
              </w:rPr>
              <w:t>Diana Lucia Saavedra Castañeda</w:t>
            </w:r>
            <w:r>
              <w:rPr>
                <w:rFonts w:ascii="Arial" w:hAnsi="Arial" w:cs="Arial"/>
                <w:sz w:val="17"/>
                <w:szCs w:val="17"/>
                <w:lang w:val="es-ES_tradnl" w:eastAsia="es-ES"/>
              </w:rPr>
              <w:t xml:space="preserve"> </w:t>
            </w:r>
          </w:p>
          <w:p w14:paraId="0CD2B1F5" w14:textId="77777777" w:rsidR="00C3264F" w:rsidRPr="00DC6E9C" w:rsidRDefault="00C3264F" w:rsidP="000A698C">
            <w:pPr>
              <w:rPr>
                <w:rFonts w:ascii="Arial" w:hAnsi="Arial" w:cs="Arial"/>
                <w:sz w:val="17"/>
                <w:szCs w:val="17"/>
                <w:lang w:val="es-ES_tradnl" w:eastAsia="es-ES"/>
              </w:rPr>
            </w:pPr>
            <w:r>
              <w:rPr>
                <w:rFonts w:ascii="Arial" w:hAnsi="Arial" w:cs="Arial"/>
                <w:sz w:val="17"/>
                <w:szCs w:val="17"/>
                <w:lang w:val="es-ES_tradnl" w:eastAsia="es-ES"/>
              </w:rPr>
              <w:t xml:space="preserve">Contratista de la </w:t>
            </w:r>
            <w:r w:rsidRPr="00DC6E9C">
              <w:rPr>
                <w:rFonts w:ascii="Arial" w:hAnsi="Arial" w:cs="Arial"/>
                <w:sz w:val="17"/>
                <w:szCs w:val="17"/>
                <w:lang w:val="es-ES_tradnl" w:eastAsia="es-ES"/>
              </w:rPr>
              <w:t>Subdirección de Gestión Contractual</w:t>
            </w:r>
          </w:p>
        </w:tc>
      </w:tr>
      <w:tr w:rsidR="00C3264F" w:rsidRPr="00DC6E9C" w14:paraId="0F67CB78" w14:textId="77777777" w:rsidTr="000A698C">
        <w:trPr>
          <w:trHeight w:val="330"/>
        </w:trPr>
        <w:tc>
          <w:tcPr>
            <w:tcW w:w="887" w:type="dxa"/>
            <w:vAlign w:val="center"/>
            <w:hideMark/>
          </w:tcPr>
          <w:p w14:paraId="7D8CEB00" w14:textId="77777777" w:rsidR="00C3264F" w:rsidRPr="00496EEB" w:rsidRDefault="00C3264F" w:rsidP="000A698C">
            <w:pPr>
              <w:rPr>
                <w:rFonts w:ascii="Arial" w:hAnsi="Arial" w:cs="Arial"/>
                <w:sz w:val="17"/>
                <w:szCs w:val="17"/>
                <w:lang w:val="es-ES_tradnl" w:eastAsia="es-ES"/>
              </w:rPr>
            </w:pPr>
            <w:r w:rsidRPr="00DC6E9C">
              <w:rPr>
                <w:rFonts w:ascii="Arial" w:hAnsi="Arial" w:cs="Arial"/>
                <w:sz w:val="17"/>
                <w:szCs w:val="17"/>
                <w:lang w:val="es-ES_tradnl" w:eastAsia="es-ES"/>
              </w:rPr>
              <w:t>Revisó:</w:t>
            </w:r>
          </w:p>
        </w:tc>
        <w:tc>
          <w:tcPr>
            <w:tcW w:w="4783" w:type="dxa"/>
            <w:tcBorders>
              <w:top w:val="dotted" w:sz="4" w:space="0" w:color="7F7F7F" w:themeColor="text1" w:themeTint="80"/>
              <w:left w:val="nil"/>
              <w:bottom w:val="dotted" w:sz="4" w:space="0" w:color="7F7F7F" w:themeColor="text1" w:themeTint="80"/>
              <w:right w:val="nil"/>
            </w:tcBorders>
            <w:vAlign w:val="center"/>
            <w:hideMark/>
          </w:tcPr>
          <w:p w14:paraId="22205EAE" w14:textId="77777777" w:rsidR="00C3264F" w:rsidRPr="00DC6E9C" w:rsidRDefault="00C3264F" w:rsidP="000A698C">
            <w:pPr>
              <w:rPr>
                <w:rFonts w:ascii="Arial" w:hAnsi="Arial" w:cs="Arial"/>
                <w:sz w:val="17"/>
                <w:szCs w:val="17"/>
                <w:lang w:val="es-ES_tradnl" w:eastAsia="es-ES"/>
              </w:rPr>
            </w:pPr>
            <w:r w:rsidRPr="00DC6E9C">
              <w:rPr>
                <w:rFonts w:ascii="Arial" w:hAnsi="Arial" w:cs="Arial"/>
                <w:sz w:val="17"/>
                <w:szCs w:val="17"/>
                <w:lang w:val="es-ES_tradnl" w:eastAsia="es-ES"/>
              </w:rPr>
              <w:t>Cristian Andrés Díaz Díez</w:t>
            </w:r>
          </w:p>
          <w:p w14:paraId="4EDD0078" w14:textId="77777777" w:rsidR="00C3264F" w:rsidRPr="00DC6E9C" w:rsidRDefault="00C3264F" w:rsidP="000A698C">
            <w:pPr>
              <w:rPr>
                <w:rFonts w:ascii="Arial" w:hAnsi="Arial" w:cs="Arial"/>
                <w:sz w:val="17"/>
                <w:szCs w:val="17"/>
                <w:lang w:val="es-ES_tradnl" w:eastAsia="es-ES"/>
              </w:rPr>
            </w:pPr>
            <w:r w:rsidRPr="00DC6E9C">
              <w:rPr>
                <w:rFonts w:ascii="Arial" w:hAnsi="Arial" w:cs="Arial"/>
                <w:sz w:val="17"/>
                <w:szCs w:val="17"/>
                <w:lang w:val="es-ES_tradnl" w:eastAsia="es-ES"/>
              </w:rPr>
              <w:t>Contratista de la Subdirección de Gestión Contractual</w:t>
            </w:r>
          </w:p>
        </w:tc>
      </w:tr>
      <w:tr w:rsidR="00C3264F" w:rsidRPr="00DC6E9C" w14:paraId="56C9533E" w14:textId="77777777" w:rsidTr="000A698C">
        <w:trPr>
          <w:trHeight w:val="300"/>
        </w:trPr>
        <w:tc>
          <w:tcPr>
            <w:tcW w:w="887" w:type="dxa"/>
            <w:vAlign w:val="center"/>
            <w:hideMark/>
          </w:tcPr>
          <w:p w14:paraId="1BF58633" w14:textId="77777777" w:rsidR="00C3264F" w:rsidRPr="00496EEB" w:rsidRDefault="00C3264F" w:rsidP="000A698C">
            <w:pPr>
              <w:rPr>
                <w:rFonts w:ascii="Arial" w:hAnsi="Arial" w:cs="Arial"/>
                <w:sz w:val="17"/>
                <w:szCs w:val="17"/>
                <w:lang w:val="es-ES_tradnl" w:eastAsia="es-ES"/>
              </w:rPr>
            </w:pPr>
            <w:r w:rsidRPr="00DC6E9C">
              <w:rPr>
                <w:rFonts w:ascii="Arial" w:hAnsi="Arial" w:cs="Arial"/>
                <w:sz w:val="17"/>
                <w:szCs w:val="17"/>
                <w:lang w:val="es-ES_tradnl" w:eastAsia="es-ES"/>
              </w:rPr>
              <w:t>Aprobó:</w:t>
            </w:r>
          </w:p>
        </w:tc>
        <w:tc>
          <w:tcPr>
            <w:tcW w:w="4783" w:type="dxa"/>
            <w:tcBorders>
              <w:top w:val="dotted" w:sz="4" w:space="0" w:color="7F7F7F" w:themeColor="text1" w:themeTint="80"/>
              <w:left w:val="nil"/>
              <w:bottom w:val="dotted" w:sz="4" w:space="0" w:color="7F7F7F" w:themeColor="text1" w:themeTint="80"/>
              <w:right w:val="nil"/>
            </w:tcBorders>
            <w:vAlign w:val="center"/>
            <w:hideMark/>
          </w:tcPr>
          <w:p w14:paraId="352A1092" w14:textId="77777777" w:rsidR="00C3264F" w:rsidRPr="00DC6E9C" w:rsidRDefault="00C3264F" w:rsidP="000A698C">
            <w:pPr>
              <w:rPr>
                <w:rFonts w:ascii="Arial" w:hAnsi="Arial" w:cs="Arial"/>
                <w:sz w:val="17"/>
                <w:szCs w:val="17"/>
                <w:lang w:val="es-ES_tradnl" w:eastAsia="es-ES"/>
              </w:rPr>
            </w:pPr>
            <w:r w:rsidRPr="00DC6E9C">
              <w:rPr>
                <w:rFonts w:ascii="Arial" w:hAnsi="Arial" w:cs="Arial"/>
                <w:sz w:val="17"/>
                <w:szCs w:val="17"/>
                <w:lang w:val="es-ES_tradnl" w:eastAsia="es-ES"/>
              </w:rPr>
              <w:t>Jorge Augusto Tirado Navarro</w:t>
            </w:r>
          </w:p>
          <w:p w14:paraId="29CA73CD" w14:textId="77777777" w:rsidR="00C3264F" w:rsidRPr="00DC6E9C" w:rsidRDefault="00C3264F" w:rsidP="000A698C">
            <w:pPr>
              <w:rPr>
                <w:rFonts w:ascii="Arial" w:hAnsi="Arial" w:cs="Arial"/>
                <w:sz w:val="17"/>
                <w:szCs w:val="17"/>
                <w:lang w:val="es-ES_tradnl" w:eastAsia="es-ES"/>
              </w:rPr>
            </w:pPr>
            <w:r w:rsidRPr="00DC6E9C">
              <w:rPr>
                <w:rFonts w:ascii="Arial" w:hAnsi="Arial" w:cs="Arial"/>
                <w:sz w:val="17"/>
                <w:szCs w:val="17"/>
                <w:lang w:val="es-ES_tradnl" w:eastAsia="es-ES"/>
              </w:rPr>
              <w:t>Subdirector de Gestión Contractual ANCP – CCE</w:t>
            </w:r>
          </w:p>
        </w:tc>
      </w:tr>
    </w:tbl>
    <w:p w14:paraId="048B4E37" w14:textId="77777777" w:rsidR="00C3264F" w:rsidRPr="00C3264F" w:rsidRDefault="00C3264F" w:rsidP="00C3264F">
      <w:pPr>
        <w:widowControl w:val="0"/>
        <w:autoSpaceDE w:val="0"/>
        <w:autoSpaceDN w:val="0"/>
        <w:spacing w:line="276" w:lineRule="auto"/>
        <w:contextualSpacing/>
        <w:rPr>
          <w:rFonts w:ascii="Arial" w:eastAsia="Arial" w:hAnsi="Arial" w:cs="Arial"/>
          <w:color w:val="FF0000"/>
          <w:sz w:val="22"/>
        </w:rPr>
      </w:pPr>
    </w:p>
    <w:p w14:paraId="6F443B8A" w14:textId="77777777" w:rsidR="00C3264F" w:rsidRPr="000C3F8D" w:rsidRDefault="00C3264F" w:rsidP="00C3264F">
      <w:pPr>
        <w:spacing w:line="276" w:lineRule="auto"/>
        <w:contextualSpacing/>
        <w:jc w:val="both"/>
        <w:rPr>
          <w:rFonts w:ascii="Arial" w:hAnsi="Arial" w:cs="Arial"/>
          <w:color w:val="FF0000"/>
          <w:sz w:val="22"/>
        </w:rPr>
      </w:pPr>
    </w:p>
    <w:p w14:paraId="35B56F46" w14:textId="77777777" w:rsidR="00746E08" w:rsidRPr="00C3264F" w:rsidRDefault="00746E08" w:rsidP="00746E08">
      <w:pPr>
        <w:rPr>
          <w:rFonts w:ascii="Arial" w:eastAsia="Times New Roman" w:hAnsi="Arial" w:cs="Arial"/>
          <w:sz w:val="16"/>
          <w:szCs w:val="16"/>
          <w:lang w:eastAsia="es-ES"/>
        </w:rPr>
      </w:pPr>
    </w:p>
    <w:sectPr w:rsidR="00746E08" w:rsidRPr="00C3264F" w:rsidSect="000505E5">
      <w:headerReference w:type="default" r:id="rId13"/>
      <w:footerReference w:type="default" r:id="rId14"/>
      <w:pgSz w:w="12240" w:h="15840"/>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2212" w14:textId="77777777" w:rsidR="001B1406" w:rsidRDefault="001B1406">
      <w:r>
        <w:separator/>
      </w:r>
    </w:p>
  </w:endnote>
  <w:endnote w:type="continuationSeparator" w:id="0">
    <w:p w14:paraId="6A372E87" w14:textId="77777777" w:rsidR="001B1406" w:rsidRDefault="001B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C70DF" w:rsidRDefault="001C70DF" w:rsidP="00322937">
    <w:pPr>
      <w:pStyle w:val="Sinespaciado"/>
      <w:jc w:val="right"/>
      <w:rPr>
        <w:rFonts w:ascii="Arial" w:hAnsi="Arial" w:cs="Arial"/>
        <w:sz w:val="18"/>
        <w:szCs w:val="18"/>
      </w:rPr>
    </w:pPr>
  </w:p>
  <w:p w14:paraId="7A3785F3" w14:textId="2EF28465" w:rsidR="001C70DF" w:rsidRPr="008217B7" w:rsidRDefault="001C70D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48FC6A04" w14:textId="5FD1A7C9" w:rsidR="001C70DF" w:rsidRDefault="704B13AD" w:rsidP="00322937">
    <w:pPr>
      <w:pStyle w:val="Piedepgina"/>
      <w:jc w:val="center"/>
      <w:rPr>
        <w:lang w:val="es-ES"/>
      </w:rPr>
    </w:pPr>
    <w:r>
      <w:rPr>
        <w:noProof/>
      </w:rPr>
      <w:drawing>
        <wp:inline distT="0" distB="0" distL="0" distR="0" wp14:anchorId="608B196D" wp14:editId="166C1919">
          <wp:extent cx="3700130" cy="519139"/>
          <wp:effectExtent l="0" t="0" r="0" b="0"/>
          <wp:docPr id="16104542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1C70DF" w:rsidRDefault="001C70DF" w:rsidP="007B0854">
    <w:pPr>
      <w:pStyle w:val="Piedepgina"/>
      <w:jc w:val="center"/>
      <w:rPr>
        <w:lang w:val="es-ES"/>
      </w:rPr>
    </w:pPr>
  </w:p>
  <w:p w14:paraId="6C0EFC49" w14:textId="77777777" w:rsidR="001C70DF" w:rsidRPr="007B0854" w:rsidRDefault="001C70D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24B2" w14:textId="77777777" w:rsidR="001B1406" w:rsidRDefault="001B1406">
      <w:r>
        <w:separator/>
      </w:r>
    </w:p>
  </w:footnote>
  <w:footnote w:type="continuationSeparator" w:id="0">
    <w:p w14:paraId="4DCA07FB" w14:textId="77777777" w:rsidR="001B1406" w:rsidRDefault="001B1406">
      <w:r>
        <w:continuationSeparator/>
      </w:r>
    </w:p>
  </w:footnote>
  <w:footnote w:id="1">
    <w:p w14:paraId="2B1C19A8" w14:textId="132EE1B1" w:rsidR="001C70DF" w:rsidRPr="00C31B82" w:rsidRDefault="001C70DF" w:rsidP="00874DDC">
      <w:pPr>
        <w:pStyle w:val="Textonotapie"/>
        <w:ind w:firstLine="709"/>
        <w:jc w:val="both"/>
        <w:rPr>
          <w:rFonts w:ascii="Arial" w:eastAsia="Calibri" w:hAnsi="Arial" w:cs="Arial"/>
          <w:sz w:val="19"/>
          <w:szCs w:val="19"/>
          <w:lang w:val="es-ES_tradnl"/>
        </w:rPr>
      </w:pPr>
      <w:r w:rsidRPr="00C31B82">
        <w:rPr>
          <w:rStyle w:val="Refdenotaalpie"/>
          <w:rFonts w:ascii="Arial" w:hAnsi="Arial" w:cs="Arial"/>
          <w:sz w:val="19"/>
          <w:szCs w:val="19"/>
        </w:rPr>
        <w:footnoteRef/>
      </w:r>
      <w:r w:rsidRPr="00C31B82">
        <w:rPr>
          <w:rFonts w:ascii="Arial" w:hAnsi="Arial" w:cs="Arial"/>
          <w:sz w:val="19"/>
          <w:szCs w:val="19"/>
        </w:rPr>
        <w:t xml:space="preserve"> </w:t>
      </w:r>
      <w:r w:rsidRPr="00C31B82">
        <w:rPr>
          <w:rFonts w:ascii="Arial" w:eastAsia="Calibri" w:hAnsi="Arial" w:cs="Arial"/>
          <w:sz w:val="19"/>
          <w:szCs w:val="19"/>
          <w:lang w:val="es-ES_tradnl"/>
        </w:rPr>
        <w:t>En lo pertinente, la norma dispone los siguiente: «En las entidades estatales a que se refiere el artículo 2°:»</w:t>
      </w:r>
    </w:p>
    <w:p w14:paraId="74E9976D" w14:textId="77777777" w:rsidR="001C70DF" w:rsidRPr="00C31B82" w:rsidRDefault="001C70DF" w:rsidP="00874DDC">
      <w:pPr>
        <w:pStyle w:val="Textonotapie"/>
        <w:ind w:firstLine="709"/>
        <w:jc w:val="both"/>
        <w:rPr>
          <w:rFonts w:ascii="Arial" w:eastAsia="Calibri" w:hAnsi="Arial" w:cs="Arial"/>
          <w:sz w:val="19"/>
          <w:szCs w:val="19"/>
          <w:lang w:val="es-ES_tradnl"/>
        </w:rPr>
      </w:pPr>
      <w:r w:rsidRPr="00C31B82">
        <w:rPr>
          <w:rFonts w:ascii="Arial" w:eastAsia="Calibri" w:hAnsi="Arial" w:cs="Arial"/>
          <w:sz w:val="19"/>
          <w:szCs w:val="19"/>
          <w:lang w:val="es-ES_tradnl"/>
        </w:rPr>
        <w:t>[…]</w:t>
      </w:r>
    </w:p>
    <w:p w14:paraId="365EF55F" w14:textId="56E89529" w:rsidR="001C70DF" w:rsidRPr="00C31B82" w:rsidRDefault="001C70DF" w:rsidP="00874DDC">
      <w:pPr>
        <w:pStyle w:val="Textonotapie"/>
        <w:ind w:firstLine="709"/>
        <w:jc w:val="both"/>
        <w:rPr>
          <w:rFonts w:ascii="Arial" w:eastAsia="Calibri" w:hAnsi="Arial" w:cs="Arial"/>
          <w:sz w:val="19"/>
          <w:szCs w:val="19"/>
          <w:lang w:val="es-ES_tradnl"/>
        </w:rPr>
      </w:pPr>
      <w:r w:rsidRPr="00C31B82">
        <w:rPr>
          <w:rFonts w:ascii="Arial" w:eastAsia="Calibri" w:hAnsi="Arial" w:cs="Arial"/>
          <w:sz w:val="19"/>
          <w:szCs w:val="19"/>
          <w:lang w:val="es-ES_tradnl"/>
        </w:rPr>
        <w:t>»3°. Tienen competencia para celebrar contratos a nombre de la entidad respectiva:»</w:t>
      </w:r>
    </w:p>
    <w:p w14:paraId="1B959CB7" w14:textId="77777777" w:rsidR="001C70DF" w:rsidRPr="00C31B82" w:rsidRDefault="001C70DF" w:rsidP="00874DDC">
      <w:pPr>
        <w:pStyle w:val="Textonotapie"/>
        <w:ind w:firstLine="709"/>
        <w:jc w:val="both"/>
        <w:rPr>
          <w:rFonts w:ascii="Arial" w:eastAsia="Calibri" w:hAnsi="Arial" w:cs="Arial"/>
          <w:sz w:val="19"/>
          <w:szCs w:val="19"/>
          <w:lang w:val="es-ES_tradnl"/>
        </w:rPr>
      </w:pPr>
      <w:r w:rsidRPr="00C31B82">
        <w:rPr>
          <w:rFonts w:ascii="Arial" w:eastAsia="Calibri" w:hAnsi="Arial" w:cs="Arial"/>
          <w:sz w:val="19"/>
          <w:szCs w:val="19"/>
          <w:lang w:val="es-ES_tradnl"/>
        </w:rPr>
        <w:t>[…]</w:t>
      </w:r>
    </w:p>
    <w:p w14:paraId="33298A7C" w14:textId="77777777" w:rsidR="00874DDC" w:rsidRDefault="001C70DF" w:rsidP="00874DDC">
      <w:pPr>
        <w:pStyle w:val="Textonotapie"/>
        <w:ind w:firstLine="709"/>
        <w:jc w:val="both"/>
        <w:rPr>
          <w:rFonts w:ascii="Arial" w:eastAsia="Calibri" w:hAnsi="Arial" w:cs="Arial"/>
          <w:sz w:val="19"/>
          <w:szCs w:val="19"/>
          <w:lang w:val="es-ES_tradnl"/>
        </w:rPr>
      </w:pPr>
      <w:proofErr w:type="gramStart"/>
      <w:r w:rsidRPr="00C31B82">
        <w:rPr>
          <w:rFonts w:ascii="Arial" w:eastAsia="Calibri" w:hAnsi="Arial" w:cs="Arial"/>
          <w:sz w:val="19"/>
          <w:szCs w:val="19"/>
          <w:lang w:val="es-ES_tradnl"/>
        </w:rPr>
        <w:t>»b</w:t>
      </w:r>
      <w:proofErr w:type="gramEnd"/>
      <w:r w:rsidRPr="00C31B82">
        <w:rPr>
          <w:rFonts w:ascii="Arial" w:eastAsia="Calibri" w:hAnsi="Arial" w:cs="Arial"/>
          <w:sz w:val="19"/>
          <w:szCs w:val="19"/>
          <w:lang w:val="es-ES_tradnl"/>
        </w:rPr>
        <w:t>)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w:t>
      </w:r>
    </w:p>
    <w:p w14:paraId="519BCC0E" w14:textId="7FE47480" w:rsidR="001C70DF" w:rsidRPr="00C31B82" w:rsidRDefault="00874DDC" w:rsidP="00874DDC">
      <w:pPr>
        <w:ind w:firstLine="709"/>
        <w:rPr>
          <w:rFonts w:ascii="Arial" w:eastAsia="Calibri" w:hAnsi="Arial" w:cs="Arial"/>
          <w:sz w:val="19"/>
          <w:szCs w:val="19"/>
          <w:lang w:val="es-ES_tradnl"/>
        </w:rPr>
      </w:pPr>
      <w:r>
        <w:rPr>
          <w:rFonts w:ascii="Arial" w:eastAsia="Calibri" w:hAnsi="Arial" w:cs="Arial"/>
          <w:sz w:val="19"/>
          <w:szCs w:val="19"/>
          <w:lang w:val="es-ES_tradnl"/>
        </w:rPr>
        <w:t>»</w:t>
      </w:r>
      <w:r w:rsidRPr="00874DDC">
        <w:rPr>
          <w:rFonts w:ascii="Arial" w:eastAsia="Calibri" w:hAnsi="Arial" w:cs="Arial"/>
          <w:sz w:val="19"/>
          <w:szCs w:val="19"/>
          <w:lang w:val="es-ES_tradnl"/>
        </w:rPr>
        <w:t>c) Los representantes legales de las entidades descentralizadas en todos los órdenes y niveles</w:t>
      </w:r>
      <w:r w:rsidR="001C70DF" w:rsidRPr="00C31B82">
        <w:rPr>
          <w:rFonts w:ascii="Arial" w:eastAsia="Calibri" w:hAnsi="Arial" w:cs="Arial"/>
          <w:sz w:val="19"/>
          <w:szCs w:val="19"/>
          <w:lang w:val="es-ES_tradnl"/>
        </w:rPr>
        <w:t xml:space="preserve">». </w:t>
      </w:r>
    </w:p>
    <w:p w14:paraId="6E36899F" w14:textId="77777777" w:rsidR="001C70DF" w:rsidRPr="00C31B82" w:rsidRDefault="001C70DF" w:rsidP="00874DDC">
      <w:pPr>
        <w:pStyle w:val="Textonotapie"/>
        <w:ind w:firstLine="709"/>
        <w:jc w:val="both"/>
        <w:rPr>
          <w:rFonts w:ascii="Arial" w:eastAsia="Calibri" w:hAnsi="Arial" w:cs="Arial"/>
          <w:sz w:val="19"/>
          <w:szCs w:val="19"/>
          <w:lang w:val="es-ES_tradnl"/>
        </w:rPr>
      </w:pPr>
    </w:p>
  </w:footnote>
  <w:footnote w:id="2">
    <w:p w14:paraId="701FD600" w14:textId="07A7FDCA" w:rsidR="001C70DF" w:rsidRPr="00C31B82" w:rsidRDefault="001C70DF" w:rsidP="00874DDC">
      <w:pPr>
        <w:pStyle w:val="Textonotapie"/>
        <w:ind w:firstLine="709"/>
        <w:jc w:val="both"/>
        <w:rPr>
          <w:rFonts w:ascii="Arial" w:eastAsia="Calibri" w:hAnsi="Arial" w:cs="Arial"/>
          <w:sz w:val="19"/>
          <w:szCs w:val="19"/>
          <w:lang w:val="es-ES_tradnl"/>
        </w:rPr>
      </w:pPr>
      <w:r w:rsidRPr="00C31B82">
        <w:rPr>
          <w:rStyle w:val="Refdenotaalpie"/>
          <w:rFonts w:ascii="Arial" w:hAnsi="Arial" w:cs="Arial"/>
          <w:sz w:val="19"/>
          <w:szCs w:val="19"/>
        </w:rPr>
        <w:footnoteRef/>
      </w:r>
      <w:r w:rsidRPr="00C31B82">
        <w:rPr>
          <w:rFonts w:ascii="Arial" w:hAnsi="Arial" w:cs="Arial"/>
          <w:sz w:val="19"/>
          <w:szCs w:val="19"/>
        </w:rPr>
        <w:t xml:space="preserve"> </w:t>
      </w:r>
      <w:r w:rsidRPr="00C31B82">
        <w:rPr>
          <w:rFonts w:ascii="Arial" w:eastAsia="Calibri" w:hAnsi="Arial" w:cs="Arial"/>
          <w:sz w:val="19"/>
          <w:szCs w:val="19"/>
          <w:lang w:val="es-ES_tradnl"/>
        </w:rPr>
        <w:t xml:space="preserve">La norma prescribe que «La ley señalará las funciones que el </w:t>
      </w:r>
      <w:proofErr w:type="gramStart"/>
      <w:r w:rsidRPr="00C31B82">
        <w:rPr>
          <w:rFonts w:ascii="Arial" w:eastAsia="Calibri" w:hAnsi="Arial" w:cs="Arial"/>
          <w:sz w:val="19"/>
          <w:szCs w:val="19"/>
          <w:lang w:val="es-ES_tradnl"/>
        </w:rPr>
        <w:t>Presidente</w:t>
      </w:r>
      <w:proofErr w:type="gramEnd"/>
      <w:r w:rsidRPr="00C31B82">
        <w:rPr>
          <w:rFonts w:ascii="Arial" w:eastAsia="Calibri" w:hAnsi="Arial" w:cs="Arial"/>
          <w:sz w:val="19"/>
          <w:szCs w:val="19"/>
          <w:lang w:val="es-ES_tradnl"/>
        </w:rPr>
        <w:t xml:space="preserv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p>
    <w:p w14:paraId="2D4D2DC2" w14:textId="5663FEA0" w:rsidR="001C70DF" w:rsidRPr="00C31B82" w:rsidRDefault="001C70DF" w:rsidP="00874DDC">
      <w:pPr>
        <w:pStyle w:val="Textonotapie"/>
        <w:ind w:firstLine="709"/>
        <w:jc w:val="both"/>
        <w:rPr>
          <w:rFonts w:ascii="Arial" w:eastAsia="Calibri" w:hAnsi="Arial" w:cs="Arial"/>
          <w:sz w:val="19"/>
          <w:szCs w:val="19"/>
          <w:lang w:val="es-ES_tradnl"/>
        </w:rPr>
      </w:pPr>
      <w:proofErr w:type="gramStart"/>
      <w:r w:rsidRPr="00C31B82">
        <w:rPr>
          <w:rFonts w:ascii="Arial" w:eastAsia="Calibri" w:hAnsi="Arial" w:cs="Arial"/>
          <w:sz w:val="19"/>
          <w:szCs w:val="19"/>
          <w:lang w:val="es-ES_tradnl"/>
        </w:rPr>
        <w:t>»La</w:t>
      </w:r>
      <w:proofErr w:type="gramEnd"/>
      <w:r w:rsidRPr="00C31B82">
        <w:rPr>
          <w:rFonts w:ascii="Arial" w:eastAsia="Calibri" w:hAnsi="Arial" w:cs="Arial"/>
          <w:sz w:val="19"/>
          <w:szCs w:val="19"/>
          <w:lang w:val="es-ES_tradnl"/>
        </w:rPr>
        <w:t xml:space="preserve"> delegación exime de responsabilidad al delegante, la cual corresponderá exclusivamente al delegatario, cuyos actos o resoluciones podrá siempre reformar o revocar aquel, reasumiendo la responsabilidad consiguiente».</w:t>
      </w:r>
    </w:p>
    <w:p w14:paraId="552C3191" w14:textId="77777777" w:rsidR="001C70DF" w:rsidRPr="00C31B82" w:rsidRDefault="001C70DF" w:rsidP="00874DDC">
      <w:pPr>
        <w:pStyle w:val="Textonotapie"/>
        <w:ind w:firstLine="709"/>
        <w:jc w:val="both"/>
        <w:rPr>
          <w:rFonts w:ascii="Arial" w:eastAsia="Calibri" w:hAnsi="Arial" w:cs="Arial"/>
          <w:sz w:val="19"/>
          <w:szCs w:val="19"/>
          <w:lang w:val="es-ES_tradnl"/>
        </w:rPr>
      </w:pPr>
    </w:p>
  </w:footnote>
  <w:footnote w:id="3">
    <w:p w14:paraId="12A3986C" w14:textId="5B94210C" w:rsidR="001C70DF" w:rsidRPr="00C31B82" w:rsidRDefault="001C70DF" w:rsidP="00874DDC">
      <w:pPr>
        <w:pStyle w:val="Textonotapie"/>
        <w:ind w:firstLine="709"/>
        <w:jc w:val="both"/>
        <w:rPr>
          <w:rFonts w:ascii="Arial" w:eastAsia="Calibri" w:hAnsi="Arial" w:cs="Arial"/>
          <w:sz w:val="19"/>
          <w:szCs w:val="19"/>
          <w:lang w:val="es-ES_tradnl"/>
        </w:rPr>
      </w:pPr>
      <w:r w:rsidRPr="00C31B82">
        <w:rPr>
          <w:rStyle w:val="Refdenotaalpie"/>
          <w:rFonts w:ascii="Arial" w:hAnsi="Arial" w:cs="Arial"/>
          <w:sz w:val="19"/>
          <w:szCs w:val="19"/>
        </w:rPr>
        <w:footnoteRef/>
      </w:r>
      <w:r w:rsidRPr="00C31B82">
        <w:rPr>
          <w:rFonts w:ascii="Arial" w:hAnsi="Arial" w:cs="Arial"/>
          <w:sz w:val="19"/>
          <w:szCs w:val="19"/>
        </w:rPr>
        <w:t xml:space="preserve"> </w:t>
      </w:r>
      <w:r w:rsidRPr="00C31B82">
        <w:rPr>
          <w:rFonts w:ascii="Arial" w:eastAsia="Calibri" w:hAnsi="Arial" w:cs="Arial"/>
          <w:sz w:val="19"/>
          <w:szCs w:val="19"/>
          <w:lang w:val="es-ES_tradnl"/>
        </w:rPr>
        <w:t xml:space="preserve">Cfr. CORTE CONSTITUCIONAL. Sentencia C-372 de 2002. M.P. Jaime Córdoba Triviño. </w:t>
      </w:r>
    </w:p>
    <w:p w14:paraId="64099C8F" w14:textId="77777777" w:rsidR="001C70DF" w:rsidRPr="00C31B82" w:rsidRDefault="001C70DF" w:rsidP="00874DDC">
      <w:pPr>
        <w:pStyle w:val="Textonotapie"/>
        <w:ind w:firstLine="709"/>
        <w:jc w:val="both"/>
        <w:rPr>
          <w:rFonts w:ascii="Arial" w:eastAsia="Calibri" w:hAnsi="Arial" w:cs="Arial"/>
          <w:sz w:val="19"/>
          <w:szCs w:val="19"/>
          <w:lang w:val="es-ES_tradnl"/>
        </w:rPr>
      </w:pPr>
    </w:p>
  </w:footnote>
  <w:footnote w:id="4">
    <w:p w14:paraId="2F9B5B9C" w14:textId="21778C89" w:rsidR="001C70DF" w:rsidRPr="00C31B82" w:rsidRDefault="001C70DF" w:rsidP="00874DDC">
      <w:pPr>
        <w:pStyle w:val="Textonotapie"/>
        <w:ind w:firstLine="709"/>
        <w:jc w:val="both"/>
        <w:rPr>
          <w:rFonts w:ascii="Arial" w:eastAsia="Calibri" w:hAnsi="Arial" w:cs="Arial"/>
          <w:sz w:val="19"/>
          <w:szCs w:val="19"/>
          <w:lang w:val="es-ES_tradnl"/>
        </w:rPr>
      </w:pPr>
      <w:r w:rsidRPr="00C31B82">
        <w:rPr>
          <w:rStyle w:val="Refdenotaalpie"/>
          <w:rFonts w:ascii="Arial" w:hAnsi="Arial" w:cs="Arial"/>
          <w:sz w:val="19"/>
          <w:szCs w:val="19"/>
        </w:rPr>
        <w:footnoteRef/>
      </w:r>
      <w:r w:rsidRPr="00C31B82">
        <w:rPr>
          <w:rFonts w:ascii="Arial" w:hAnsi="Arial" w:cs="Arial"/>
          <w:sz w:val="19"/>
          <w:szCs w:val="19"/>
        </w:rPr>
        <w:t xml:space="preserve"> </w:t>
      </w:r>
      <w:r w:rsidRPr="00C31B82">
        <w:rPr>
          <w:rFonts w:ascii="Arial" w:eastAsia="Calibri" w:hAnsi="Arial" w:cs="Arial"/>
          <w:sz w:val="19"/>
          <w:szCs w:val="19"/>
          <w:lang w:val="es-ES_tradnl"/>
        </w:rPr>
        <w:t>CORTE CONSTITUCIONAL. Sentencia C-</w:t>
      </w:r>
      <w:r w:rsidRPr="00C31B82">
        <w:rPr>
          <w:rFonts w:ascii="Arial" w:hAnsi="Arial" w:cs="Arial"/>
          <w:sz w:val="19"/>
          <w:szCs w:val="19"/>
        </w:rPr>
        <w:t xml:space="preserve"> </w:t>
      </w:r>
      <w:r w:rsidRPr="00C31B82">
        <w:rPr>
          <w:rFonts w:ascii="Arial" w:eastAsia="Calibri" w:hAnsi="Arial" w:cs="Arial"/>
          <w:sz w:val="19"/>
          <w:szCs w:val="19"/>
          <w:lang w:val="es-ES_tradnl"/>
        </w:rPr>
        <w:t>693 de 2008. M.P. Marco Gerardo Monroy Cabra.</w:t>
      </w:r>
    </w:p>
    <w:p w14:paraId="025716F3" w14:textId="77777777" w:rsidR="001C70DF" w:rsidRPr="00C31B82" w:rsidRDefault="001C70DF" w:rsidP="00874DDC">
      <w:pPr>
        <w:pStyle w:val="Textonotapie"/>
        <w:ind w:firstLine="709"/>
        <w:jc w:val="both"/>
        <w:rPr>
          <w:rFonts w:ascii="Arial" w:hAnsi="Arial" w:cs="Arial"/>
          <w:sz w:val="19"/>
          <w:szCs w:val="19"/>
          <w:lang w:val="es-ES"/>
        </w:rPr>
      </w:pPr>
    </w:p>
  </w:footnote>
  <w:footnote w:id="5">
    <w:p w14:paraId="4C277F2B" w14:textId="117BA594" w:rsidR="001C70DF" w:rsidRPr="00C31B82" w:rsidRDefault="001C70DF" w:rsidP="00874DDC">
      <w:pPr>
        <w:pStyle w:val="Textonotapie"/>
        <w:ind w:firstLine="709"/>
        <w:rPr>
          <w:rFonts w:ascii="Arial" w:eastAsia="Calibri" w:hAnsi="Arial" w:cs="Arial"/>
          <w:sz w:val="19"/>
          <w:szCs w:val="19"/>
          <w:lang w:val="es-ES_tradnl"/>
        </w:rPr>
      </w:pPr>
      <w:r w:rsidRPr="00C31B82">
        <w:rPr>
          <w:rStyle w:val="Refdenotaalpie"/>
          <w:rFonts w:ascii="Arial" w:hAnsi="Arial" w:cs="Arial"/>
          <w:sz w:val="19"/>
          <w:szCs w:val="19"/>
        </w:rPr>
        <w:footnoteRef/>
      </w:r>
      <w:r w:rsidRPr="00C31B82">
        <w:rPr>
          <w:rFonts w:ascii="Arial" w:hAnsi="Arial" w:cs="Arial"/>
          <w:sz w:val="19"/>
          <w:szCs w:val="19"/>
        </w:rPr>
        <w:t xml:space="preserve"> </w:t>
      </w:r>
      <w:r w:rsidRPr="00C31B82">
        <w:rPr>
          <w:rFonts w:ascii="Arial" w:eastAsia="Calibri" w:hAnsi="Arial" w:cs="Arial"/>
          <w:sz w:val="19"/>
          <w:szCs w:val="19"/>
          <w:lang w:val="es-ES_tradnl"/>
        </w:rPr>
        <w:t>CORTE CONSTITUCIONAL. Sentencia C-382 de 2000. M.P. Antonio Barrera Carbonell.</w:t>
      </w:r>
    </w:p>
    <w:p w14:paraId="4F8BD503" w14:textId="77777777" w:rsidR="001C70DF" w:rsidRPr="00C31B82" w:rsidRDefault="001C70DF" w:rsidP="00874DDC">
      <w:pPr>
        <w:pStyle w:val="Textonotapie"/>
        <w:ind w:firstLine="709"/>
        <w:rPr>
          <w:rFonts w:ascii="Arial" w:hAnsi="Arial" w:cs="Arial"/>
          <w:sz w:val="19"/>
          <w:szCs w:val="19"/>
          <w:lang w:val="es-ES"/>
        </w:rPr>
      </w:pPr>
    </w:p>
  </w:footnote>
  <w:footnote w:id="6">
    <w:p w14:paraId="44022C42" w14:textId="5AA42CA4" w:rsidR="001C70DF" w:rsidRPr="00C31B82" w:rsidRDefault="001C70DF" w:rsidP="00874DDC">
      <w:pPr>
        <w:pStyle w:val="Textonotapie"/>
        <w:ind w:firstLine="709"/>
        <w:jc w:val="both"/>
        <w:rPr>
          <w:rFonts w:ascii="Arial" w:eastAsia="Calibri" w:hAnsi="Arial" w:cs="Arial"/>
          <w:sz w:val="19"/>
          <w:szCs w:val="19"/>
          <w:lang w:val="es-ES_tradnl"/>
        </w:rPr>
      </w:pPr>
      <w:r w:rsidRPr="00C31B82">
        <w:rPr>
          <w:rStyle w:val="Refdenotaalpie"/>
          <w:rFonts w:ascii="Arial" w:hAnsi="Arial" w:cs="Arial"/>
          <w:sz w:val="19"/>
          <w:szCs w:val="19"/>
        </w:rPr>
        <w:footnoteRef/>
      </w:r>
      <w:r w:rsidRPr="00C31B82">
        <w:rPr>
          <w:rFonts w:ascii="Arial" w:hAnsi="Arial" w:cs="Arial"/>
          <w:sz w:val="19"/>
          <w:szCs w:val="19"/>
        </w:rPr>
        <w:t xml:space="preserve"> </w:t>
      </w:r>
      <w:r w:rsidRPr="00C31B82">
        <w:rPr>
          <w:rFonts w:ascii="Arial" w:eastAsia="Calibri" w:hAnsi="Arial" w:cs="Arial"/>
          <w:sz w:val="19"/>
          <w:szCs w:val="19"/>
          <w:lang w:val="es-ES_tradnl"/>
        </w:rPr>
        <w:t>HERNÁNDEZ, Pedro Alfonso. Descentralización, desconcentración y delegación en Colombia. Bogotá: Legis, 1999. p. 158.</w:t>
      </w:r>
    </w:p>
    <w:p w14:paraId="67518058" w14:textId="77777777" w:rsidR="001C70DF" w:rsidRPr="00C31B82" w:rsidRDefault="001C70DF" w:rsidP="00874DDC">
      <w:pPr>
        <w:pStyle w:val="Textonotapie"/>
        <w:ind w:firstLine="709"/>
        <w:jc w:val="both"/>
        <w:rPr>
          <w:rFonts w:ascii="Arial" w:eastAsia="Calibri" w:hAnsi="Arial" w:cs="Arial"/>
          <w:sz w:val="19"/>
          <w:szCs w:val="19"/>
          <w:lang w:val="es-ES_tradnl"/>
        </w:rPr>
      </w:pPr>
    </w:p>
  </w:footnote>
  <w:footnote w:id="7">
    <w:p w14:paraId="70D821E3" w14:textId="39CEC406" w:rsidR="001C70DF" w:rsidRPr="00C31B82" w:rsidRDefault="001C70DF" w:rsidP="00874DDC">
      <w:pPr>
        <w:pStyle w:val="Textonotapie"/>
        <w:ind w:firstLine="709"/>
        <w:jc w:val="both"/>
        <w:rPr>
          <w:rFonts w:ascii="Arial" w:hAnsi="Arial" w:cs="Arial"/>
          <w:sz w:val="19"/>
          <w:szCs w:val="19"/>
          <w:lang w:val="es-ES"/>
        </w:rPr>
      </w:pPr>
      <w:r w:rsidRPr="00C31B82">
        <w:rPr>
          <w:rStyle w:val="Refdenotaalpie"/>
          <w:rFonts w:ascii="Arial" w:hAnsi="Arial" w:cs="Arial"/>
          <w:sz w:val="19"/>
          <w:szCs w:val="19"/>
        </w:rPr>
        <w:footnoteRef/>
      </w:r>
      <w:r w:rsidRPr="00C31B82">
        <w:rPr>
          <w:rFonts w:ascii="Arial" w:hAnsi="Arial" w:cs="Arial"/>
          <w:sz w:val="19"/>
          <w:szCs w:val="19"/>
        </w:rPr>
        <w:t xml:space="preserve"> </w:t>
      </w:r>
      <w:r w:rsidRPr="00C31B82">
        <w:rPr>
          <w:rFonts w:ascii="Arial" w:eastAsia="Calibri" w:hAnsi="Arial" w:cs="Arial"/>
          <w:sz w:val="19"/>
          <w:szCs w:val="19"/>
          <w:lang w:val="es-ES_tradnl"/>
        </w:rPr>
        <w:t xml:space="preserve">En esta medida, «Difiere […] la delegación y la desconcentración, en que la primera supone una asignación específica de funciones de un órgano que las ejecuta bajo su entera autonomía y responsabilidad, salvo que el delegante obre con dolo o culpa grave en sus funciones generales de vigilancia y control, evento en el que también sería responsable, mientras que en la segunda, esto es, la desconcentración, es el encargo que el superior hace a sus dependientes para que éstos, actuando a nombre y dirección de aquel, descongestionen la actividad administrativa» (Cfr. PALACIO HINCAPÉ, Juan Ángel. La contratación de las entidades estatales. Séptima Edición. Medellín: Librería Jurídica Sánchez, 2014. p. 97).   </w:t>
      </w:r>
      <w:r w:rsidRPr="00C31B82">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C70DF" w:rsidRDefault="001C70DF">
    <w:pPr>
      <w:pStyle w:val="Encabezado"/>
    </w:pPr>
    <w:r>
      <w:rPr>
        <w:noProof/>
        <w:lang w:val="es-ES" w:eastAsia="es-E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6C"/>
    <w:rsid w:val="00000C88"/>
    <w:rsid w:val="0000190D"/>
    <w:rsid w:val="00002FFB"/>
    <w:rsid w:val="00003D0D"/>
    <w:rsid w:val="00004F39"/>
    <w:rsid w:val="000059D3"/>
    <w:rsid w:val="0001035E"/>
    <w:rsid w:val="00015C28"/>
    <w:rsid w:val="00025650"/>
    <w:rsid w:val="000353CE"/>
    <w:rsid w:val="000408FE"/>
    <w:rsid w:val="000505E5"/>
    <w:rsid w:val="0005415B"/>
    <w:rsid w:val="00055A53"/>
    <w:rsid w:val="0005742B"/>
    <w:rsid w:val="00063DD0"/>
    <w:rsid w:val="000714B0"/>
    <w:rsid w:val="00072EBC"/>
    <w:rsid w:val="00080ACD"/>
    <w:rsid w:val="00084B97"/>
    <w:rsid w:val="000942EB"/>
    <w:rsid w:val="000A0158"/>
    <w:rsid w:val="000A37B5"/>
    <w:rsid w:val="000A610D"/>
    <w:rsid w:val="000A6499"/>
    <w:rsid w:val="000A655A"/>
    <w:rsid w:val="000B103F"/>
    <w:rsid w:val="000B419B"/>
    <w:rsid w:val="000B7320"/>
    <w:rsid w:val="000C0359"/>
    <w:rsid w:val="000C20B0"/>
    <w:rsid w:val="000C639D"/>
    <w:rsid w:val="000C75EC"/>
    <w:rsid w:val="000C7E7A"/>
    <w:rsid w:val="000D0ED2"/>
    <w:rsid w:val="000D147F"/>
    <w:rsid w:val="000E422C"/>
    <w:rsid w:val="000E4937"/>
    <w:rsid w:val="000E6BB0"/>
    <w:rsid w:val="000E6D01"/>
    <w:rsid w:val="000F0756"/>
    <w:rsid w:val="000F14E8"/>
    <w:rsid w:val="000F5896"/>
    <w:rsid w:val="000F68C3"/>
    <w:rsid w:val="001019AF"/>
    <w:rsid w:val="00103915"/>
    <w:rsid w:val="001051E5"/>
    <w:rsid w:val="00113705"/>
    <w:rsid w:val="00117D6D"/>
    <w:rsid w:val="00121580"/>
    <w:rsid w:val="00122B23"/>
    <w:rsid w:val="00124E5D"/>
    <w:rsid w:val="00125BED"/>
    <w:rsid w:val="00125C59"/>
    <w:rsid w:val="00127AF2"/>
    <w:rsid w:val="00127D28"/>
    <w:rsid w:val="00135144"/>
    <w:rsid w:val="00136BF7"/>
    <w:rsid w:val="00137FFA"/>
    <w:rsid w:val="00141245"/>
    <w:rsid w:val="00142365"/>
    <w:rsid w:val="0014270C"/>
    <w:rsid w:val="001427E4"/>
    <w:rsid w:val="00143E08"/>
    <w:rsid w:val="00147497"/>
    <w:rsid w:val="001529B8"/>
    <w:rsid w:val="001548A2"/>
    <w:rsid w:val="00155B39"/>
    <w:rsid w:val="001571FA"/>
    <w:rsid w:val="00160401"/>
    <w:rsid w:val="0016200B"/>
    <w:rsid w:val="00165D90"/>
    <w:rsid w:val="00167489"/>
    <w:rsid w:val="00167920"/>
    <w:rsid w:val="00170861"/>
    <w:rsid w:val="001735D5"/>
    <w:rsid w:val="00182D22"/>
    <w:rsid w:val="00187ED3"/>
    <w:rsid w:val="001A009B"/>
    <w:rsid w:val="001A3615"/>
    <w:rsid w:val="001A3EC0"/>
    <w:rsid w:val="001A597E"/>
    <w:rsid w:val="001B0444"/>
    <w:rsid w:val="001B1406"/>
    <w:rsid w:val="001B2456"/>
    <w:rsid w:val="001C1A48"/>
    <w:rsid w:val="001C26F2"/>
    <w:rsid w:val="001C3E5C"/>
    <w:rsid w:val="001C70DF"/>
    <w:rsid w:val="001C723E"/>
    <w:rsid w:val="001D0D0A"/>
    <w:rsid w:val="001E1318"/>
    <w:rsid w:val="001F2356"/>
    <w:rsid w:val="00200BE9"/>
    <w:rsid w:val="0020632A"/>
    <w:rsid w:val="002110EB"/>
    <w:rsid w:val="00211338"/>
    <w:rsid w:val="00211388"/>
    <w:rsid w:val="002133B7"/>
    <w:rsid w:val="00213A1F"/>
    <w:rsid w:val="00214B70"/>
    <w:rsid w:val="002304E7"/>
    <w:rsid w:val="00231AF0"/>
    <w:rsid w:val="00234B84"/>
    <w:rsid w:val="00236520"/>
    <w:rsid w:val="0024107C"/>
    <w:rsid w:val="00245778"/>
    <w:rsid w:val="00247712"/>
    <w:rsid w:val="002579EA"/>
    <w:rsid w:val="002813EE"/>
    <w:rsid w:val="00290AC3"/>
    <w:rsid w:val="002A486B"/>
    <w:rsid w:val="002A6C12"/>
    <w:rsid w:val="002B0D21"/>
    <w:rsid w:val="002B1E46"/>
    <w:rsid w:val="002B20A8"/>
    <w:rsid w:val="002B4F1F"/>
    <w:rsid w:val="002B6620"/>
    <w:rsid w:val="002C257B"/>
    <w:rsid w:val="002C4C0C"/>
    <w:rsid w:val="002D22E7"/>
    <w:rsid w:val="002D46CF"/>
    <w:rsid w:val="002D6698"/>
    <w:rsid w:val="002F19F4"/>
    <w:rsid w:val="002F6493"/>
    <w:rsid w:val="002F7856"/>
    <w:rsid w:val="00300138"/>
    <w:rsid w:val="003030DC"/>
    <w:rsid w:val="003033BA"/>
    <w:rsid w:val="003103CE"/>
    <w:rsid w:val="003108A3"/>
    <w:rsid w:val="003207AF"/>
    <w:rsid w:val="00320D07"/>
    <w:rsid w:val="00322937"/>
    <w:rsid w:val="00323270"/>
    <w:rsid w:val="003240F4"/>
    <w:rsid w:val="00327A5C"/>
    <w:rsid w:val="0033092C"/>
    <w:rsid w:val="00333B5D"/>
    <w:rsid w:val="00333E2D"/>
    <w:rsid w:val="00336729"/>
    <w:rsid w:val="003370E7"/>
    <w:rsid w:val="0034177C"/>
    <w:rsid w:val="003424B0"/>
    <w:rsid w:val="00342566"/>
    <w:rsid w:val="003432C8"/>
    <w:rsid w:val="0034680A"/>
    <w:rsid w:val="00347B3D"/>
    <w:rsid w:val="00353DD5"/>
    <w:rsid w:val="00356B1B"/>
    <w:rsid w:val="00357A54"/>
    <w:rsid w:val="00363DAD"/>
    <w:rsid w:val="00375C0B"/>
    <w:rsid w:val="00375EB5"/>
    <w:rsid w:val="0038352A"/>
    <w:rsid w:val="003856A6"/>
    <w:rsid w:val="00386456"/>
    <w:rsid w:val="003913E6"/>
    <w:rsid w:val="003953D2"/>
    <w:rsid w:val="003979E7"/>
    <w:rsid w:val="00397D40"/>
    <w:rsid w:val="00397FF0"/>
    <w:rsid w:val="003A0878"/>
    <w:rsid w:val="003A3DBB"/>
    <w:rsid w:val="003A581E"/>
    <w:rsid w:val="003A753A"/>
    <w:rsid w:val="003B09C2"/>
    <w:rsid w:val="003B1589"/>
    <w:rsid w:val="003B22E0"/>
    <w:rsid w:val="003B3E7C"/>
    <w:rsid w:val="003B72E9"/>
    <w:rsid w:val="003B7D60"/>
    <w:rsid w:val="003C1AF4"/>
    <w:rsid w:val="003C2370"/>
    <w:rsid w:val="003C4A39"/>
    <w:rsid w:val="003D20C7"/>
    <w:rsid w:val="003D2C4D"/>
    <w:rsid w:val="003E093F"/>
    <w:rsid w:val="003E2CDA"/>
    <w:rsid w:val="003E583A"/>
    <w:rsid w:val="003E7C51"/>
    <w:rsid w:val="003F1468"/>
    <w:rsid w:val="003F14DE"/>
    <w:rsid w:val="003F2195"/>
    <w:rsid w:val="003F2A1B"/>
    <w:rsid w:val="004067A3"/>
    <w:rsid w:val="004068B0"/>
    <w:rsid w:val="00413FFA"/>
    <w:rsid w:val="0042026F"/>
    <w:rsid w:val="00423F9F"/>
    <w:rsid w:val="00434787"/>
    <w:rsid w:val="00435489"/>
    <w:rsid w:val="0043561A"/>
    <w:rsid w:val="00435C73"/>
    <w:rsid w:val="00436CD4"/>
    <w:rsid w:val="004422D6"/>
    <w:rsid w:val="00442B36"/>
    <w:rsid w:val="00444471"/>
    <w:rsid w:val="004526D1"/>
    <w:rsid w:val="0045271D"/>
    <w:rsid w:val="00452803"/>
    <w:rsid w:val="00454217"/>
    <w:rsid w:val="00455354"/>
    <w:rsid w:val="004553BE"/>
    <w:rsid w:val="00460454"/>
    <w:rsid w:val="00460A7F"/>
    <w:rsid w:val="00462125"/>
    <w:rsid w:val="00464030"/>
    <w:rsid w:val="004669D5"/>
    <w:rsid w:val="004747DF"/>
    <w:rsid w:val="00474C43"/>
    <w:rsid w:val="00474C5E"/>
    <w:rsid w:val="004808DE"/>
    <w:rsid w:val="00481406"/>
    <w:rsid w:val="0048162D"/>
    <w:rsid w:val="00484C8D"/>
    <w:rsid w:val="0048553D"/>
    <w:rsid w:val="00485F76"/>
    <w:rsid w:val="004861B4"/>
    <w:rsid w:val="0049241A"/>
    <w:rsid w:val="004954B2"/>
    <w:rsid w:val="004A08D1"/>
    <w:rsid w:val="004A2AE8"/>
    <w:rsid w:val="004A34D2"/>
    <w:rsid w:val="004A7887"/>
    <w:rsid w:val="004C1DAE"/>
    <w:rsid w:val="004C22F7"/>
    <w:rsid w:val="004C48B3"/>
    <w:rsid w:val="004C6076"/>
    <w:rsid w:val="004D7243"/>
    <w:rsid w:val="004E0352"/>
    <w:rsid w:val="004F1ABB"/>
    <w:rsid w:val="0050065A"/>
    <w:rsid w:val="00501464"/>
    <w:rsid w:val="0051032D"/>
    <w:rsid w:val="0051074C"/>
    <w:rsid w:val="00512C4F"/>
    <w:rsid w:val="00513976"/>
    <w:rsid w:val="00513AF2"/>
    <w:rsid w:val="00520CF6"/>
    <w:rsid w:val="005248CF"/>
    <w:rsid w:val="00524D38"/>
    <w:rsid w:val="00531869"/>
    <w:rsid w:val="005323F6"/>
    <w:rsid w:val="00534B5D"/>
    <w:rsid w:val="0054311A"/>
    <w:rsid w:val="00543494"/>
    <w:rsid w:val="0054413A"/>
    <w:rsid w:val="00550658"/>
    <w:rsid w:val="0055305B"/>
    <w:rsid w:val="005564CA"/>
    <w:rsid w:val="0056182B"/>
    <w:rsid w:val="00566BD6"/>
    <w:rsid w:val="0057358E"/>
    <w:rsid w:val="005736A6"/>
    <w:rsid w:val="005756AA"/>
    <w:rsid w:val="00580AA3"/>
    <w:rsid w:val="005813DE"/>
    <w:rsid w:val="00581D6D"/>
    <w:rsid w:val="00582888"/>
    <w:rsid w:val="00583580"/>
    <w:rsid w:val="0059165F"/>
    <w:rsid w:val="0059176C"/>
    <w:rsid w:val="00594FFF"/>
    <w:rsid w:val="0059623E"/>
    <w:rsid w:val="0059629E"/>
    <w:rsid w:val="005A1976"/>
    <w:rsid w:val="005A5A3D"/>
    <w:rsid w:val="005A69B5"/>
    <w:rsid w:val="005B5414"/>
    <w:rsid w:val="005C28EC"/>
    <w:rsid w:val="005C4F6F"/>
    <w:rsid w:val="005C5C52"/>
    <w:rsid w:val="005C6398"/>
    <w:rsid w:val="005D14EC"/>
    <w:rsid w:val="005D1705"/>
    <w:rsid w:val="005D51FA"/>
    <w:rsid w:val="005D5DD2"/>
    <w:rsid w:val="005D791B"/>
    <w:rsid w:val="005E1574"/>
    <w:rsid w:val="005E2ECB"/>
    <w:rsid w:val="005E77AA"/>
    <w:rsid w:val="005F0528"/>
    <w:rsid w:val="005F44D8"/>
    <w:rsid w:val="005F46FD"/>
    <w:rsid w:val="005F4975"/>
    <w:rsid w:val="005F5F8F"/>
    <w:rsid w:val="0060057C"/>
    <w:rsid w:val="00614817"/>
    <w:rsid w:val="006227A6"/>
    <w:rsid w:val="00623AC2"/>
    <w:rsid w:val="00624829"/>
    <w:rsid w:val="006278E6"/>
    <w:rsid w:val="00633DBF"/>
    <w:rsid w:val="006538EA"/>
    <w:rsid w:val="00654583"/>
    <w:rsid w:val="00655371"/>
    <w:rsid w:val="0066628C"/>
    <w:rsid w:val="00670B20"/>
    <w:rsid w:val="0067364A"/>
    <w:rsid w:val="0067421E"/>
    <w:rsid w:val="00675042"/>
    <w:rsid w:val="00676127"/>
    <w:rsid w:val="0068291D"/>
    <w:rsid w:val="006842AA"/>
    <w:rsid w:val="006908DB"/>
    <w:rsid w:val="00695C98"/>
    <w:rsid w:val="006961D5"/>
    <w:rsid w:val="00697665"/>
    <w:rsid w:val="006A1EC5"/>
    <w:rsid w:val="006A4AD1"/>
    <w:rsid w:val="006A7CB5"/>
    <w:rsid w:val="006A7FD0"/>
    <w:rsid w:val="006B3845"/>
    <w:rsid w:val="006B3BBE"/>
    <w:rsid w:val="006B4D31"/>
    <w:rsid w:val="006D6404"/>
    <w:rsid w:val="006D7687"/>
    <w:rsid w:val="006E0181"/>
    <w:rsid w:val="006E0572"/>
    <w:rsid w:val="00702FE3"/>
    <w:rsid w:val="00705631"/>
    <w:rsid w:val="00711286"/>
    <w:rsid w:val="00715C29"/>
    <w:rsid w:val="00715EAA"/>
    <w:rsid w:val="007227D2"/>
    <w:rsid w:val="00722CE7"/>
    <w:rsid w:val="0072427F"/>
    <w:rsid w:val="00725AFD"/>
    <w:rsid w:val="00726178"/>
    <w:rsid w:val="00730800"/>
    <w:rsid w:val="00733B32"/>
    <w:rsid w:val="00736500"/>
    <w:rsid w:val="00736EA4"/>
    <w:rsid w:val="0074040D"/>
    <w:rsid w:val="00740B8C"/>
    <w:rsid w:val="00742DD2"/>
    <w:rsid w:val="007441A2"/>
    <w:rsid w:val="00745035"/>
    <w:rsid w:val="00746AB6"/>
    <w:rsid w:val="00746E08"/>
    <w:rsid w:val="00747C96"/>
    <w:rsid w:val="00747CB2"/>
    <w:rsid w:val="00747CD5"/>
    <w:rsid w:val="0075094E"/>
    <w:rsid w:val="007522E8"/>
    <w:rsid w:val="00754FC5"/>
    <w:rsid w:val="0075647A"/>
    <w:rsid w:val="007634AD"/>
    <w:rsid w:val="0076544A"/>
    <w:rsid w:val="00772FF8"/>
    <w:rsid w:val="00773BC8"/>
    <w:rsid w:val="00776D12"/>
    <w:rsid w:val="00780C22"/>
    <w:rsid w:val="00780F32"/>
    <w:rsid w:val="0078122E"/>
    <w:rsid w:val="00781CF5"/>
    <w:rsid w:val="0079381F"/>
    <w:rsid w:val="00795647"/>
    <w:rsid w:val="007A2FEA"/>
    <w:rsid w:val="007A40B9"/>
    <w:rsid w:val="007B0854"/>
    <w:rsid w:val="007B366C"/>
    <w:rsid w:val="007B61A8"/>
    <w:rsid w:val="007B66B1"/>
    <w:rsid w:val="007B6EC8"/>
    <w:rsid w:val="007C2970"/>
    <w:rsid w:val="007C2EB2"/>
    <w:rsid w:val="007C2FC8"/>
    <w:rsid w:val="007C4906"/>
    <w:rsid w:val="007C624E"/>
    <w:rsid w:val="007C6AA3"/>
    <w:rsid w:val="007D0D36"/>
    <w:rsid w:val="007D2E9C"/>
    <w:rsid w:val="007E3EA4"/>
    <w:rsid w:val="007F22A0"/>
    <w:rsid w:val="007F6B46"/>
    <w:rsid w:val="007F72CB"/>
    <w:rsid w:val="007F785F"/>
    <w:rsid w:val="00802F1E"/>
    <w:rsid w:val="0080595F"/>
    <w:rsid w:val="00806D9A"/>
    <w:rsid w:val="00807078"/>
    <w:rsid w:val="008077B6"/>
    <w:rsid w:val="00810A37"/>
    <w:rsid w:val="00811527"/>
    <w:rsid w:val="00811727"/>
    <w:rsid w:val="008136A9"/>
    <w:rsid w:val="00813A2B"/>
    <w:rsid w:val="0081766B"/>
    <w:rsid w:val="00817D92"/>
    <w:rsid w:val="008217B7"/>
    <w:rsid w:val="00827C87"/>
    <w:rsid w:val="0083119B"/>
    <w:rsid w:val="00836EAB"/>
    <w:rsid w:val="0083724E"/>
    <w:rsid w:val="00844948"/>
    <w:rsid w:val="0085092D"/>
    <w:rsid w:val="00850F79"/>
    <w:rsid w:val="00851DFA"/>
    <w:rsid w:val="00856D34"/>
    <w:rsid w:val="00857630"/>
    <w:rsid w:val="008618BB"/>
    <w:rsid w:val="0087039D"/>
    <w:rsid w:val="00872BEC"/>
    <w:rsid w:val="00874DDC"/>
    <w:rsid w:val="00885349"/>
    <w:rsid w:val="00892A72"/>
    <w:rsid w:val="0089774F"/>
    <w:rsid w:val="00897F5B"/>
    <w:rsid w:val="008A4E5A"/>
    <w:rsid w:val="008A5552"/>
    <w:rsid w:val="008A796E"/>
    <w:rsid w:val="008B061A"/>
    <w:rsid w:val="008C11F0"/>
    <w:rsid w:val="008C1C06"/>
    <w:rsid w:val="008C3798"/>
    <w:rsid w:val="008C45BD"/>
    <w:rsid w:val="008C4864"/>
    <w:rsid w:val="008C5BC4"/>
    <w:rsid w:val="008C6E19"/>
    <w:rsid w:val="008C7145"/>
    <w:rsid w:val="008D0BEA"/>
    <w:rsid w:val="008D3080"/>
    <w:rsid w:val="008D3EB2"/>
    <w:rsid w:val="008D69B1"/>
    <w:rsid w:val="008E1C15"/>
    <w:rsid w:val="008E2227"/>
    <w:rsid w:val="008E3B9B"/>
    <w:rsid w:val="008E565D"/>
    <w:rsid w:val="008E7D6E"/>
    <w:rsid w:val="008F06C1"/>
    <w:rsid w:val="008F538E"/>
    <w:rsid w:val="00902E5C"/>
    <w:rsid w:val="009047C5"/>
    <w:rsid w:val="0090494C"/>
    <w:rsid w:val="00913CF8"/>
    <w:rsid w:val="0093076B"/>
    <w:rsid w:val="00933333"/>
    <w:rsid w:val="009346EE"/>
    <w:rsid w:val="00937401"/>
    <w:rsid w:val="00941A51"/>
    <w:rsid w:val="009422A0"/>
    <w:rsid w:val="009426B9"/>
    <w:rsid w:val="00943038"/>
    <w:rsid w:val="00945680"/>
    <w:rsid w:val="009528B3"/>
    <w:rsid w:val="0095385A"/>
    <w:rsid w:val="00956BEA"/>
    <w:rsid w:val="0095780A"/>
    <w:rsid w:val="009616ED"/>
    <w:rsid w:val="00963A6D"/>
    <w:rsid w:val="00963C15"/>
    <w:rsid w:val="00967F39"/>
    <w:rsid w:val="009715D4"/>
    <w:rsid w:val="00980DF4"/>
    <w:rsid w:val="009824BE"/>
    <w:rsid w:val="0098427D"/>
    <w:rsid w:val="009865D5"/>
    <w:rsid w:val="009874FA"/>
    <w:rsid w:val="009924E0"/>
    <w:rsid w:val="009953AD"/>
    <w:rsid w:val="009A0E8E"/>
    <w:rsid w:val="009A18E3"/>
    <w:rsid w:val="009A2EE0"/>
    <w:rsid w:val="009A4D58"/>
    <w:rsid w:val="009C118E"/>
    <w:rsid w:val="009D4858"/>
    <w:rsid w:val="009D5FB8"/>
    <w:rsid w:val="009E36B7"/>
    <w:rsid w:val="009E61EA"/>
    <w:rsid w:val="009E69FA"/>
    <w:rsid w:val="009F1832"/>
    <w:rsid w:val="009F209A"/>
    <w:rsid w:val="009F59C2"/>
    <w:rsid w:val="009F6E43"/>
    <w:rsid w:val="00A0188B"/>
    <w:rsid w:val="00A041BC"/>
    <w:rsid w:val="00A06E51"/>
    <w:rsid w:val="00A07011"/>
    <w:rsid w:val="00A10365"/>
    <w:rsid w:val="00A121EC"/>
    <w:rsid w:val="00A127D2"/>
    <w:rsid w:val="00A12928"/>
    <w:rsid w:val="00A13AAC"/>
    <w:rsid w:val="00A1403F"/>
    <w:rsid w:val="00A14DF3"/>
    <w:rsid w:val="00A14E80"/>
    <w:rsid w:val="00A20264"/>
    <w:rsid w:val="00A23A76"/>
    <w:rsid w:val="00A24560"/>
    <w:rsid w:val="00A25625"/>
    <w:rsid w:val="00A34538"/>
    <w:rsid w:val="00A35EBA"/>
    <w:rsid w:val="00A378F8"/>
    <w:rsid w:val="00A37FB6"/>
    <w:rsid w:val="00A40A51"/>
    <w:rsid w:val="00A431FE"/>
    <w:rsid w:val="00A45944"/>
    <w:rsid w:val="00A53E79"/>
    <w:rsid w:val="00A5512A"/>
    <w:rsid w:val="00A56873"/>
    <w:rsid w:val="00A6242B"/>
    <w:rsid w:val="00A629B7"/>
    <w:rsid w:val="00A6407C"/>
    <w:rsid w:val="00A668BA"/>
    <w:rsid w:val="00A67FA8"/>
    <w:rsid w:val="00A72BF0"/>
    <w:rsid w:val="00A72C05"/>
    <w:rsid w:val="00A7680B"/>
    <w:rsid w:val="00A8043B"/>
    <w:rsid w:val="00A91368"/>
    <w:rsid w:val="00A91512"/>
    <w:rsid w:val="00A965EA"/>
    <w:rsid w:val="00AA08E7"/>
    <w:rsid w:val="00AA3064"/>
    <w:rsid w:val="00AA442B"/>
    <w:rsid w:val="00AA669D"/>
    <w:rsid w:val="00AA7416"/>
    <w:rsid w:val="00AC2AF3"/>
    <w:rsid w:val="00AD206A"/>
    <w:rsid w:val="00AE082C"/>
    <w:rsid w:val="00AE587D"/>
    <w:rsid w:val="00AF26CF"/>
    <w:rsid w:val="00AF3F88"/>
    <w:rsid w:val="00AF7889"/>
    <w:rsid w:val="00B02BCC"/>
    <w:rsid w:val="00B05A55"/>
    <w:rsid w:val="00B06595"/>
    <w:rsid w:val="00B11C8F"/>
    <w:rsid w:val="00B11DBF"/>
    <w:rsid w:val="00B13EC0"/>
    <w:rsid w:val="00B178C8"/>
    <w:rsid w:val="00B22E22"/>
    <w:rsid w:val="00B23476"/>
    <w:rsid w:val="00B234F7"/>
    <w:rsid w:val="00B24038"/>
    <w:rsid w:val="00B240A3"/>
    <w:rsid w:val="00B2510E"/>
    <w:rsid w:val="00B3115C"/>
    <w:rsid w:val="00B35F6F"/>
    <w:rsid w:val="00B37C24"/>
    <w:rsid w:val="00B4347D"/>
    <w:rsid w:val="00B45B06"/>
    <w:rsid w:val="00B46978"/>
    <w:rsid w:val="00B479E4"/>
    <w:rsid w:val="00B525CB"/>
    <w:rsid w:val="00B530AE"/>
    <w:rsid w:val="00B530B6"/>
    <w:rsid w:val="00B54166"/>
    <w:rsid w:val="00B61B3F"/>
    <w:rsid w:val="00B63872"/>
    <w:rsid w:val="00B638DA"/>
    <w:rsid w:val="00B63CB2"/>
    <w:rsid w:val="00B64EDB"/>
    <w:rsid w:val="00B7153E"/>
    <w:rsid w:val="00B7315F"/>
    <w:rsid w:val="00B74455"/>
    <w:rsid w:val="00B83758"/>
    <w:rsid w:val="00B84344"/>
    <w:rsid w:val="00B84C1B"/>
    <w:rsid w:val="00B91B8E"/>
    <w:rsid w:val="00BA1382"/>
    <w:rsid w:val="00BA1386"/>
    <w:rsid w:val="00BA1FE3"/>
    <w:rsid w:val="00BA22FC"/>
    <w:rsid w:val="00BA28AA"/>
    <w:rsid w:val="00BA4771"/>
    <w:rsid w:val="00BA61A6"/>
    <w:rsid w:val="00BB2E7C"/>
    <w:rsid w:val="00BC0F21"/>
    <w:rsid w:val="00BC563E"/>
    <w:rsid w:val="00BD0410"/>
    <w:rsid w:val="00BD730D"/>
    <w:rsid w:val="00BD78FE"/>
    <w:rsid w:val="00BE4BC5"/>
    <w:rsid w:val="00BF23A3"/>
    <w:rsid w:val="00BF6534"/>
    <w:rsid w:val="00BF7C52"/>
    <w:rsid w:val="00C01997"/>
    <w:rsid w:val="00C046E3"/>
    <w:rsid w:val="00C06632"/>
    <w:rsid w:val="00C070FA"/>
    <w:rsid w:val="00C10BD9"/>
    <w:rsid w:val="00C165FC"/>
    <w:rsid w:val="00C20C4E"/>
    <w:rsid w:val="00C20FF0"/>
    <w:rsid w:val="00C22758"/>
    <w:rsid w:val="00C246DB"/>
    <w:rsid w:val="00C24913"/>
    <w:rsid w:val="00C25CC7"/>
    <w:rsid w:val="00C26A34"/>
    <w:rsid w:val="00C30123"/>
    <w:rsid w:val="00C31B82"/>
    <w:rsid w:val="00C32017"/>
    <w:rsid w:val="00C32063"/>
    <w:rsid w:val="00C3264F"/>
    <w:rsid w:val="00C33259"/>
    <w:rsid w:val="00C34E06"/>
    <w:rsid w:val="00C40C6C"/>
    <w:rsid w:val="00C419E3"/>
    <w:rsid w:val="00C41E6A"/>
    <w:rsid w:val="00C43181"/>
    <w:rsid w:val="00C4640A"/>
    <w:rsid w:val="00C464FF"/>
    <w:rsid w:val="00C46957"/>
    <w:rsid w:val="00C50CA8"/>
    <w:rsid w:val="00C610FB"/>
    <w:rsid w:val="00C61B53"/>
    <w:rsid w:val="00C6299A"/>
    <w:rsid w:val="00C63E99"/>
    <w:rsid w:val="00C65A73"/>
    <w:rsid w:val="00C7104A"/>
    <w:rsid w:val="00C726A9"/>
    <w:rsid w:val="00C75518"/>
    <w:rsid w:val="00C91F75"/>
    <w:rsid w:val="00C93D8C"/>
    <w:rsid w:val="00C97B6C"/>
    <w:rsid w:val="00CA35BE"/>
    <w:rsid w:val="00CA383B"/>
    <w:rsid w:val="00CA4A2C"/>
    <w:rsid w:val="00CB0062"/>
    <w:rsid w:val="00CB2252"/>
    <w:rsid w:val="00CB5695"/>
    <w:rsid w:val="00CB5F4F"/>
    <w:rsid w:val="00CC00CD"/>
    <w:rsid w:val="00CC315F"/>
    <w:rsid w:val="00CD3A34"/>
    <w:rsid w:val="00CD4212"/>
    <w:rsid w:val="00CD7360"/>
    <w:rsid w:val="00CE0566"/>
    <w:rsid w:val="00CE2452"/>
    <w:rsid w:val="00CF11FC"/>
    <w:rsid w:val="00CF2E59"/>
    <w:rsid w:val="00CF550D"/>
    <w:rsid w:val="00CF5A9C"/>
    <w:rsid w:val="00CF5AC6"/>
    <w:rsid w:val="00D01760"/>
    <w:rsid w:val="00D047E2"/>
    <w:rsid w:val="00D10E7C"/>
    <w:rsid w:val="00D13FEB"/>
    <w:rsid w:val="00D1542C"/>
    <w:rsid w:val="00D16E39"/>
    <w:rsid w:val="00D17657"/>
    <w:rsid w:val="00D17E38"/>
    <w:rsid w:val="00D21BB5"/>
    <w:rsid w:val="00D223B6"/>
    <w:rsid w:val="00D23F88"/>
    <w:rsid w:val="00D254B1"/>
    <w:rsid w:val="00D30078"/>
    <w:rsid w:val="00D31C6A"/>
    <w:rsid w:val="00D32256"/>
    <w:rsid w:val="00D33F51"/>
    <w:rsid w:val="00D34CE3"/>
    <w:rsid w:val="00D35161"/>
    <w:rsid w:val="00D435FA"/>
    <w:rsid w:val="00D46993"/>
    <w:rsid w:val="00D50F51"/>
    <w:rsid w:val="00D562B1"/>
    <w:rsid w:val="00D57940"/>
    <w:rsid w:val="00D57B61"/>
    <w:rsid w:val="00D60327"/>
    <w:rsid w:val="00D6115B"/>
    <w:rsid w:val="00D6475A"/>
    <w:rsid w:val="00D65576"/>
    <w:rsid w:val="00D72E9D"/>
    <w:rsid w:val="00D74158"/>
    <w:rsid w:val="00D759EC"/>
    <w:rsid w:val="00D75E99"/>
    <w:rsid w:val="00D80BB3"/>
    <w:rsid w:val="00D82CE5"/>
    <w:rsid w:val="00D8342C"/>
    <w:rsid w:val="00D93726"/>
    <w:rsid w:val="00D9515E"/>
    <w:rsid w:val="00D96362"/>
    <w:rsid w:val="00D974C8"/>
    <w:rsid w:val="00DA2E2C"/>
    <w:rsid w:val="00DA348C"/>
    <w:rsid w:val="00DA5AB1"/>
    <w:rsid w:val="00DB1AFF"/>
    <w:rsid w:val="00DB3C60"/>
    <w:rsid w:val="00DC1515"/>
    <w:rsid w:val="00DC4238"/>
    <w:rsid w:val="00DC518A"/>
    <w:rsid w:val="00DC62E5"/>
    <w:rsid w:val="00DC77EE"/>
    <w:rsid w:val="00DD464C"/>
    <w:rsid w:val="00DD5EC6"/>
    <w:rsid w:val="00DD614E"/>
    <w:rsid w:val="00DD6358"/>
    <w:rsid w:val="00DD735D"/>
    <w:rsid w:val="00DE02B7"/>
    <w:rsid w:val="00DE2198"/>
    <w:rsid w:val="00DE260A"/>
    <w:rsid w:val="00DE2630"/>
    <w:rsid w:val="00DE3119"/>
    <w:rsid w:val="00DE52D6"/>
    <w:rsid w:val="00DE7335"/>
    <w:rsid w:val="00DF236B"/>
    <w:rsid w:val="00DF4451"/>
    <w:rsid w:val="00DF45AD"/>
    <w:rsid w:val="00DF6A71"/>
    <w:rsid w:val="00E035FB"/>
    <w:rsid w:val="00E1028E"/>
    <w:rsid w:val="00E109DD"/>
    <w:rsid w:val="00E13AB8"/>
    <w:rsid w:val="00E248DD"/>
    <w:rsid w:val="00E25CB3"/>
    <w:rsid w:val="00E267B7"/>
    <w:rsid w:val="00E27359"/>
    <w:rsid w:val="00E275C6"/>
    <w:rsid w:val="00E33B62"/>
    <w:rsid w:val="00E356DF"/>
    <w:rsid w:val="00E36CEB"/>
    <w:rsid w:val="00E40117"/>
    <w:rsid w:val="00E4143A"/>
    <w:rsid w:val="00E53189"/>
    <w:rsid w:val="00E547C3"/>
    <w:rsid w:val="00E56090"/>
    <w:rsid w:val="00E565B9"/>
    <w:rsid w:val="00E63F11"/>
    <w:rsid w:val="00E63FF6"/>
    <w:rsid w:val="00E65CB1"/>
    <w:rsid w:val="00E71BD5"/>
    <w:rsid w:val="00E82B19"/>
    <w:rsid w:val="00E82D14"/>
    <w:rsid w:val="00E84E8B"/>
    <w:rsid w:val="00E90553"/>
    <w:rsid w:val="00E909E3"/>
    <w:rsid w:val="00E91178"/>
    <w:rsid w:val="00E91454"/>
    <w:rsid w:val="00E94299"/>
    <w:rsid w:val="00E9556D"/>
    <w:rsid w:val="00E9667F"/>
    <w:rsid w:val="00EA0680"/>
    <w:rsid w:val="00EA30DC"/>
    <w:rsid w:val="00EA3947"/>
    <w:rsid w:val="00EA3D5B"/>
    <w:rsid w:val="00EA5464"/>
    <w:rsid w:val="00EA559C"/>
    <w:rsid w:val="00EB3A43"/>
    <w:rsid w:val="00EB7A87"/>
    <w:rsid w:val="00EC0E7E"/>
    <w:rsid w:val="00EC1CE7"/>
    <w:rsid w:val="00ED0218"/>
    <w:rsid w:val="00ED0ED8"/>
    <w:rsid w:val="00ED1E6B"/>
    <w:rsid w:val="00ED587F"/>
    <w:rsid w:val="00EE0C5C"/>
    <w:rsid w:val="00EE5402"/>
    <w:rsid w:val="00EE55E7"/>
    <w:rsid w:val="00EE59B5"/>
    <w:rsid w:val="00EE5D90"/>
    <w:rsid w:val="00EF017B"/>
    <w:rsid w:val="00EF4288"/>
    <w:rsid w:val="00F007D6"/>
    <w:rsid w:val="00F04056"/>
    <w:rsid w:val="00F043C8"/>
    <w:rsid w:val="00F071AC"/>
    <w:rsid w:val="00F07FC0"/>
    <w:rsid w:val="00F1108B"/>
    <w:rsid w:val="00F154E7"/>
    <w:rsid w:val="00F20463"/>
    <w:rsid w:val="00F24082"/>
    <w:rsid w:val="00F25971"/>
    <w:rsid w:val="00F25D33"/>
    <w:rsid w:val="00F30727"/>
    <w:rsid w:val="00F3748D"/>
    <w:rsid w:val="00F42363"/>
    <w:rsid w:val="00F4469E"/>
    <w:rsid w:val="00F50605"/>
    <w:rsid w:val="00F50E11"/>
    <w:rsid w:val="00F5717A"/>
    <w:rsid w:val="00F57B72"/>
    <w:rsid w:val="00F63FFD"/>
    <w:rsid w:val="00F70542"/>
    <w:rsid w:val="00F71F6B"/>
    <w:rsid w:val="00F811ED"/>
    <w:rsid w:val="00F83114"/>
    <w:rsid w:val="00F84899"/>
    <w:rsid w:val="00F859F0"/>
    <w:rsid w:val="00F85FFB"/>
    <w:rsid w:val="00F87E29"/>
    <w:rsid w:val="00F90296"/>
    <w:rsid w:val="00F94D5C"/>
    <w:rsid w:val="00F957EB"/>
    <w:rsid w:val="00FA2895"/>
    <w:rsid w:val="00FA2C2D"/>
    <w:rsid w:val="00FA384F"/>
    <w:rsid w:val="00FA3CEB"/>
    <w:rsid w:val="00FA7E91"/>
    <w:rsid w:val="00FA7FA7"/>
    <w:rsid w:val="00FB24E4"/>
    <w:rsid w:val="00FB27B7"/>
    <w:rsid w:val="00FB35FF"/>
    <w:rsid w:val="00FB5E05"/>
    <w:rsid w:val="00FB6738"/>
    <w:rsid w:val="00FC113C"/>
    <w:rsid w:val="00FC1381"/>
    <w:rsid w:val="00FC1644"/>
    <w:rsid w:val="00FC18DC"/>
    <w:rsid w:val="00FC1D91"/>
    <w:rsid w:val="00FC7C7B"/>
    <w:rsid w:val="00FD00EF"/>
    <w:rsid w:val="00FD160E"/>
    <w:rsid w:val="00FE0B48"/>
    <w:rsid w:val="00FE141E"/>
    <w:rsid w:val="00FE3854"/>
    <w:rsid w:val="00FE42ED"/>
    <w:rsid w:val="00FE5C5A"/>
    <w:rsid w:val="00FE6977"/>
    <w:rsid w:val="00FE700A"/>
    <w:rsid w:val="00FF0B2F"/>
    <w:rsid w:val="00FF10C0"/>
    <w:rsid w:val="00FF1611"/>
    <w:rsid w:val="00FF5FA6"/>
    <w:rsid w:val="0C7ED9AC"/>
    <w:rsid w:val="4AE5B05C"/>
    <w:rsid w:val="704B13AD"/>
    <w:rsid w:val="7AA6B37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3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B54166"/>
    <w:pPr>
      <w:autoSpaceDE w:val="0"/>
      <w:autoSpaceDN w:val="0"/>
      <w:adjustRightInd w:val="0"/>
      <w:spacing w:after="0" w:line="240" w:lineRule="auto"/>
    </w:pPr>
    <w:rPr>
      <w:rFonts w:ascii="Arial" w:hAnsi="Arial" w:cs="Arial"/>
      <w:color w:val="000000"/>
      <w:sz w:val="24"/>
      <w:szCs w:val="24"/>
    </w:rPr>
  </w:style>
  <w:style w:type="character" w:customStyle="1" w:styleId="NormalWebCar">
    <w:name w:val="Normal (Web) Car"/>
    <w:link w:val="NormalWeb"/>
    <w:uiPriority w:val="99"/>
    <w:rsid w:val="00C32063"/>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992452">
      <w:bodyDiv w:val="1"/>
      <w:marLeft w:val="0"/>
      <w:marRight w:val="0"/>
      <w:marTop w:val="0"/>
      <w:marBottom w:val="0"/>
      <w:divBdr>
        <w:top w:val="none" w:sz="0" w:space="0" w:color="auto"/>
        <w:left w:val="none" w:sz="0" w:space="0" w:color="auto"/>
        <w:bottom w:val="none" w:sz="0" w:space="0" w:color="auto"/>
        <w:right w:val="none" w:sz="0" w:space="0" w:color="auto"/>
      </w:divBdr>
    </w:div>
    <w:div w:id="335496686">
      <w:bodyDiv w:val="1"/>
      <w:marLeft w:val="0"/>
      <w:marRight w:val="0"/>
      <w:marTop w:val="0"/>
      <w:marBottom w:val="0"/>
      <w:divBdr>
        <w:top w:val="none" w:sz="0" w:space="0" w:color="auto"/>
        <w:left w:val="none" w:sz="0" w:space="0" w:color="auto"/>
        <w:bottom w:val="none" w:sz="0" w:space="0" w:color="auto"/>
        <w:right w:val="none" w:sz="0" w:space="0" w:color="auto"/>
      </w:divBdr>
    </w:div>
    <w:div w:id="399670504">
      <w:bodyDiv w:val="1"/>
      <w:marLeft w:val="0"/>
      <w:marRight w:val="0"/>
      <w:marTop w:val="0"/>
      <w:marBottom w:val="0"/>
      <w:divBdr>
        <w:top w:val="none" w:sz="0" w:space="0" w:color="auto"/>
        <w:left w:val="none" w:sz="0" w:space="0" w:color="auto"/>
        <w:bottom w:val="none" w:sz="0" w:space="0" w:color="auto"/>
        <w:right w:val="none" w:sz="0" w:space="0" w:color="auto"/>
      </w:divBdr>
    </w:div>
    <w:div w:id="413094632">
      <w:bodyDiv w:val="1"/>
      <w:marLeft w:val="0"/>
      <w:marRight w:val="0"/>
      <w:marTop w:val="0"/>
      <w:marBottom w:val="0"/>
      <w:divBdr>
        <w:top w:val="none" w:sz="0" w:space="0" w:color="auto"/>
        <w:left w:val="none" w:sz="0" w:space="0" w:color="auto"/>
        <w:bottom w:val="none" w:sz="0" w:space="0" w:color="auto"/>
        <w:right w:val="none" w:sz="0" w:space="0" w:color="auto"/>
      </w:divBdr>
    </w:div>
    <w:div w:id="418983548">
      <w:bodyDiv w:val="1"/>
      <w:marLeft w:val="0"/>
      <w:marRight w:val="0"/>
      <w:marTop w:val="0"/>
      <w:marBottom w:val="0"/>
      <w:divBdr>
        <w:top w:val="none" w:sz="0" w:space="0" w:color="auto"/>
        <w:left w:val="none" w:sz="0" w:space="0" w:color="auto"/>
        <w:bottom w:val="none" w:sz="0" w:space="0" w:color="auto"/>
        <w:right w:val="none" w:sz="0" w:space="0" w:color="auto"/>
      </w:divBdr>
    </w:div>
    <w:div w:id="495075204">
      <w:bodyDiv w:val="1"/>
      <w:marLeft w:val="0"/>
      <w:marRight w:val="0"/>
      <w:marTop w:val="0"/>
      <w:marBottom w:val="0"/>
      <w:divBdr>
        <w:top w:val="none" w:sz="0" w:space="0" w:color="auto"/>
        <w:left w:val="none" w:sz="0" w:space="0" w:color="auto"/>
        <w:bottom w:val="none" w:sz="0" w:space="0" w:color="auto"/>
        <w:right w:val="none" w:sz="0" w:space="0" w:color="auto"/>
      </w:divBdr>
    </w:div>
    <w:div w:id="608315339">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00285538">
      <w:bodyDiv w:val="1"/>
      <w:marLeft w:val="0"/>
      <w:marRight w:val="0"/>
      <w:marTop w:val="0"/>
      <w:marBottom w:val="0"/>
      <w:divBdr>
        <w:top w:val="none" w:sz="0" w:space="0" w:color="auto"/>
        <w:left w:val="none" w:sz="0" w:space="0" w:color="auto"/>
        <w:bottom w:val="none" w:sz="0" w:space="0" w:color="auto"/>
        <w:right w:val="none" w:sz="0" w:space="0" w:color="auto"/>
      </w:divBdr>
    </w:div>
    <w:div w:id="93529145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2116536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565137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4CC2A-7E43-495D-86D7-5BB906A58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62AA35E-297F-F842-AC50-C6104CF046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10</Pages>
  <Words>3490</Words>
  <Characters>19199</Characters>
  <Application>Microsoft Office Word</Application>
  <DocSecurity>4</DocSecurity>
  <Lines>159</Lines>
  <Paragraphs>45</Paragraphs>
  <ScaleCrop>false</ScaleCrop>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Diana Lucia Saavedra</cp:lastModifiedBy>
  <cp:revision>2</cp:revision>
  <cp:lastPrinted>2020-01-30T15:05:00Z</cp:lastPrinted>
  <dcterms:created xsi:type="dcterms:W3CDTF">2022-03-11T00:01:00Z</dcterms:created>
  <dcterms:modified xsi:type="dcterms:W3CDTF">2022-03-11T00:01:00Z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