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36F9" w14:textId="77777777" w:rsidR="002739C0" w:rsidRPr="00382C9D" w:rsidRDefault="002739C0" w:rsidP="002739C0">
      <w:pPr>
        <w:jc w:val="both"/>
        <w:rPr>
          <w:rFonts w:ascii="Arial" w:eastAsia="Calibri" w:hAnsi="Arial" w:cs="Arial"/>
          <w:b/>
          <w:sz w:val="22"/>
          <w:szCs w:val="22"/>
          <w:lang w:val="es-ES_tradnl"/>
        </w:rPr>
      </w:pPr>
      <w:r w:rsidRPr="00382C9D">
        <w:rPr>
          <w:rFonts w:ascii="Arial" w:eastAsia="Calibri" w:hAnsi="Arial" w:cs="Arial"/>
          <w:b/>
          <w:sz w:val="22"/>
          <w:szCs w:val="22"/>
          <w:lang w:val="es-ES_tradnl"/>
        </w:rPr>
        <w:t xml:space="preserve">DOCUMENTOS TIPO </w:t>
      </w:r>
      <w:r w:rsidRPr="00382C9D">
        <w:rPr>
          <w:rFonts w:ascii="Arial" w:eastAsia="Calibri" w:hAnsi="Arial" w:cs="Arial"/>
          <w:b/>
          <w:color w:val="000000"/>
          <w:sz w:val="22"/>
          <w:szCs w:val="22"/>
          <w:lang w:val="es-ES_tradnl"/>
        </w:rPr>
        <w:t>–</w:t>
      </w:r>
      <w:r w:rsidRPr="00382C9D">
        <w:rPr>
          <w:rFonts w:ascii="Arial" w:eastAsia="Calibri" w:hAnsi="Arial" w:cs="Arial"/>
          <w:b/>
          <w:sz w:val="22"/>
          <w:szCs w:val="22"/>
          <w:lang w:val="es-ES_tradnl"/>
        </w:rPr>
        <w:t xml:space="preserve"> Fundamento normativo </w:t>
      </w:r>
      <w:r w:rsidRPr="00382C9D">
        <w:rPr>
          <w:rFonts w:ascii="Arial" w:eastAsia="Calibri" w:hAnsi="Arial" w:cs="Arial"/>
          <w:b/>
          <w:color w:val="000000"/>
          <w:sz w:val="22"/>
          <w:szCs w:val="22"/>
          <w:lang w:val="es-ES_tradnl"/>
        </w:rPr>
        <w:t xml:space="preserve">– </w:t>
      </w:r>
      <w:r w:rsidRPr="00382C9D">
        <w:rPr>
          <w:rFonts w:ascii="Arial" w:eastAsia="Calibri" w:hAnsi="Arial" w:cs="Arial"/>
          <w:b/>
          <w:sz w:val="22"/>
          <w:szCs w:val="22"/>
          <w:lang w:val="es-ES_tradnl"/>
        </w:rPr>
        <w:t>Ley 2022 de 2020</w:t>
      </w:r>
    </w:p>
    <w:p w14:paraId="3229A887" w14:textId="77777777" w:rsidR="002739C0" w:rsidRDefault="002739C0" w:rsidP="002739C0">
      <w:pPr>
        <w:jc w:val="both"/>
        <w:rPr>
          <w:rFonts w:ascii="Arial" w:eastAsia="Calibri" w:hAnsi="Arial" w:cs="Arial"/>
          <w:b/>
          <w:lang w:val="es-ES_tradnl"/>
        </w:rPr>
      </w:pPr>
    </w:p>
    <w:p w14:paraId="0333141F" w14:textId="77777777" w:rsidR="002739C0" w:rsidRDefault="002739C0" w:rsidP="002739C0">
      <w:pPr>
        <w:jc w:val="both"/>
        <w:rPr>
          <w:rFonts w:ascii="Arial" w:eastAsia="Calibri" w:hAnsi="Arial" w:cs="Arial"/>
          <w:color w:val="000000"/>
          <w:sz w:val="20"/>
          <w:szCs w:val="20"/>
          <w:lang w:val="es-ES_tradnl" w:eastAsia="es-ES"/>
        </w:rPr>
      </w:pPr>
      <w:r w:rsidRPr="00382C9D">
        <w:rPr>
          <w:rFonts w:ascii="Arial" w:eastAsia="Calibri" w:hAnsi="Arial" w:cs="Arial"/>
          <w:color w:val="000000"/>
          <w:sz w:val="20"/>
          <w:szCs w:val="20"/>
          <w:lang w:val="es-ES_tradnl" w:eastAsia="es-ES"/>
        </w:rPr>
        <w:t xml:space="preserve">La adopción de los documentos tipo obligatorios en el ordenamiento jurídico colombiano se incluyó por primera vez en el parágrafo 3 del artículo 2 de la Ley 1150 de </w:t>
      </w:r>
      <w:proofErr w:type="gramStart"/>
      <w:r w:rsidRPr="00382C9D">
        <w:rPr>
          <w:rFonts w:ascii="Arial" w:eastAsia="Calibri" w:hAnsi="Arial" w:cs="Arial"/>
          <w:color w:val="000000"/>
          <w:sz w:val="20"/>
          <w:szCs w:val="20"/>
          <w:lang w:val="es-ES_tradnl" w:eastAsia="es-ES"/>
        </w:rPr>
        <w:t>2007 ,</w:t>
      </w:r>
      <w:proofErr w:type="gramEnd"/>
      <w:r w:rsidRPr="00382C9D">
        <w:rPr>
          <w:rFonts w:ascii="Arial" w:eastAsia="Calibri" w:hAnsi="Arial" w:cs="Arial"/>
          <w:color w:val="000000"/>
          <w:sz w:val="20"/>
          <w:szCs w:val="20"/>
          <w:lang w:val="es-ES_tradnl" w:eastAsia="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w:t>
      </w:r>
    </w:p>
    <w:p w14:paraId="59978AE7" w14:textId="77777777" w:rsidR="002739C0" w:rsidRPr="00382C9D" w:rsidRDefault="002739C0" w:rsidP="002739C0">
      <w:pPr>
        <w:jc w:val="both"/>
        <w:rPr>
          <w:rFonts w:ascii="Arial" w:eastAsia="Calibri" w:hAnsi="Arial" w:cs="Arial"/>
          <w:color w:val="000000"/>
          <w:sz w:val="20"/>
          <w:szCs w:val="20"/>
          <w:lang w:val="es-ES_tradnl" w:eastAsia="es-ES"/>
        </w:rPr>
      </w:pPr>
      <w:r w:rsidRPr="00382C9D">
        <w:rPr>
          <w:rFonts w:ascii="Arial" w:eastAsia="Calibri" w:hAnsi="Arial" w:cs="Arial"/>
          <w:color w:val="000000"/>
          <w:sz w:val="20"/>
          <w:szCs w:val="20"/>
          <w:lang w:val="es-ES_tradnl" w:eastAsia="es-ES"/>
        </w:rPr>
        <w:t xml:space="preserve"> </w:t>
      </w:r>
    </w:p>
    <w:p w14:paraId="25B8AF1E" w14:textId="77777777" w:rsidR="002739C0" w:rsidRDefault="002739C0" w:rsidP="002739C0">
      <w:pPr>
        <w:jc w:val="both"/>
        <w:rPr>
          <w:rFonts w:ascii="Arial" w:eastAsia="Calibri" w:hAnsi="Arial" w:cs="Arial"/>
          <w:color w:val="000000"/>
          <w:sz w:val="20"/>
          <w:szCs w:val="20"/>
          <w:lang w:val="es-ES_tradnl" w:eastAsia="es-ES"/>
        </w:rPr>
      </w:pPr>
      <w:r w:rsidRPr="00382C9D">
        <w:rPr>
          <w:rFonts w:ascii="Arial" w:eastAsia="Calibri" w:hAnsi="Arial" w:cs="Arial"/>
          <w:color w:val="000000"/>
          <w:sz w:val="20"/>
          <w:szCs w:val="20"/>
          <w:lang w:val="es-ES_tradnl" w:eastAsia="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922CB4B" w14:textId="77777777" w:rsidR="002739C0" w:rsidRPr="00382C9D" w:rsidRDefault="002739C0" w:rsidP="002739C0">
      <w:pPr>
        <w:jc w:val="both"/>
        <w:rPr>
          <w:rFonts w:ascii="Arial" w:eastAsia="Calibri" w:hAnsi="Arial" w:cs="Arial"/>
          <w:color w:val="000000"/>
          <w:sz w:val="20"/>
          <w:szCs w:val="20"/>
          <w:lang w:val="es-ES_tradnl" w:eastAsia="es-ES"/>
        </w:rPr>
      </w:pPr>
    </w:p>
    <w:p w14:paraId="06DDDB55" w14:textId="77777777" w:rsidR="002739C0" w:rsidRDefault="002739C0" w:rsidP="002739C0">
      <w:pPr>
        <w:jc w:val="both"/>
        <w:rPr>
          <w:rFonts w:ascii="Arial" w:eastAsia="Calibri" w:hAnsi="Arial" w:cs="Arial"/>
          <w:color w:val="000000"/>
          <w:sz w:val="20"/>
          <w:szCs w:val="20"/>
          <w:lang w:val="es-ES_tradnl" w:eastAsia="es-ES"/>
        </w:rPr>
      </w:pPr>
      <w:r w:rsidRPr="00382C9D">
        <w:rPr>
          <w:rFonts w:ascii="Arial" w:eastAsia="Calibri" w:hAnsi="Arial" w:cs="Arial"/>
          <w:color w:val="000000"/>
          <w:sz w:val="20"/>
          <w:szCs w:val="20"/>
          <w:lang w:val="es-ES_tradnl" w:eastAsia="es-ES"/>
        </w:rPr>
        <w:t xml:space="preserve">Por otra parte, debe tenerse en cuenta que la Ley 2022 de 2020 fue sancionada por el Presidente de la República el 22 de julio del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w:t>
      </w:r>
      <w:proofErr w:type="gramStart"/>
      <w:r w:rsidRPr="00382C9D">
        <w:rPr>
          <w:rFonts w:ascii="Arial" w:eastAsia="Calibri" w:hAnsi="Arial" w:cs="Arial"/>
          <w:color w:val="000000"/>
          <w:sz w:val="20"/>
          <w:szCs w:val="20"/>
          <w:lang w:val="es-ES_tradnl" w:eastAsia="es-ES"/>
        </w:rPr>
        <w:t>tipo .</w:t>
      </w:r>
      <w:proofErr w:type="gramEnd"/>
      <w:r w:rsidRPr="00382C9D">
        <w:rPr>
          <w:rFonts w:ascii="Arial" w:eastAsia="Calibri" w:hAnsi="Arial" w:cs="Arial"/>
          <w:color w:val="000000"/>
          <w:sz w:val="20"/>
          <w:szCs w:val="20"/>
          <w:lang w:val="es-ES_tradnl" w:eastAsia="es-ES"/>
        </w:rPr>
        <w:t xml:space="preserve"> En este sentido,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Adicionalmente,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cuya aplicación inició para convocatorias publicadas a partir del 9 de agosto de 2021.</w:t>
      </w:r>
    </w:p>
    <w:p w14:paraId="0834129D" w14:textId="77777777" w:rsidR="002739C0" w:rsidRDefault="002739C0" w:rsidP="002739C0">
      <w:pPr>
        <w:spacing w:line="276" w:lineRule="auto"/>
        <w:jc w:val="both"/>
        <w:rPr>
          <w:rFonts w:ascii="Arial" w:eastAsia="Calibri" w:hAnsi="Arial" w:cs="Arial"/>
          <w:color w:val="000000"/>
          <w:sz w:val="20"/>
          <w:szCs w:val="20"/>
          <w:lang w:val="es-ES_tradnl" w:eastAsia="es-ES"/>
        </w:rPr>
      </w:pPr>
    </w:p>
    <w:p w14:paraId="50BAD67E" w14:textId="77777777" w:rsidR="002739C0" w:rsidRPr="00382C9D" w:rsidRDefault="002739C0" w:rsidP="002739C0">
      <w:pPr>
        <w:spacing w:line="276" w:lineRule="auto"/>
        <w:jc w:val="both"/>
        <w:rPr>
          <w:rFonts w:ascii="Arial" w:eastAsia="Calibri" w:hAnsi="Arial" w:cs="Arial"/>
          <w:b/>
          <w:bCs/>
          <w:color w:val="000000" w:themeColor="text1"/>
          <w:sz w:val="22"/>
          <w:szCs w:val="22"/>
          <w:lang w:val="es-ES_tradnl"/>
        </w:rPr>
      </w:pPr>
      <w:r w:rsidRPr="00382C9D">
        <w:rPr>
          <w:rFonts w:ascii="Arial" w:hAnsi="Arial" w:cs="Arial"/>
          <w:b/>
          <w:bCs/>
          <w:sz w:val="22"/>
          <w:szCs w:val="22"/>
        </w:rPr>
        <w:t xml:space="preserve">DOCUMENTOS TIPO DE CONSULTORÍA − </w:t>
      </w:r>
      <w:r w:rsidRPr="00382C9D">
        <w:rPr>
          <w:rFonts w:ascii="Arial" w:eastAsia="Calibri" w:hAnsi="Arial" w:cs="Arial"/>
          <w:b/>
          <w:bCs/>
          <w:color w:val="000000" w:themeColor="text1"/>
          <w:sz w:val="22"/>
          <w:szCs w:val="22"/>
          <w:lang w:val="es-ES_tradnl"/>
        </w:rPr>
        <w:t>Experiencia mínima habilitante</w:t>
      </w:r>
    </w:p>
    <w:p w14:paraId="2AC3883A" w14:textId="77777777" w:rsidR="002739C0" w:rsidRPr="00B63B0A" w:rsidRDefault="002739C0" w:rsidP="002739C0">
      <w:pPr>
        <w:jc w:val="both"/>
        <w:rPr>
          <w:rFonts w:ascii="Arial" w:eastAsia="Calibri" w:hAnsi="Arial" w:cs="Arial"/>
          <w:color w:val="000000"/>
          <w:lang w:val="es-ES_tradnl"/>
        </w:rPr>
      </w:pPr>
    </w:p>
    <w:p w14:paraId="2A4DD47D" w14:textId="77777777" w:rsidR="002739C0" w:rsidRDefault="002739C0" w:rsidP="002739C0">
      <w:pPr>
        <w:rPr>
          <w:rFonts w:ascii="Arial" w:eastAsia="Arial" w:hAnsi="Arial" w:cs="Arial"/>
          <w:sz w:val="20"/>
          <w:szCs w:val="20"/>
          <w:lang w:eastAsia="es-ES"/>
        </w:rPr>
      </w:pPr>
      <w:r w:rsidRPr="00382C9D">
        <w:rPr>
          <w:rFonts w:ascii="Arial" w:eastAsia="Arial" w:hAnsi="Arial" w:cs="Arial"/>
          <w:sz w:val="20"/>
          <w:szCs w:val="20"/>
          <w:lang w:eastAsia="es-ES"/>
        </w:rPr>
        <w:t xml:space="preserve">En el documento tipo de consultoría se estableció un requisito mínimo de experiencia habilitante, consistente en que el proponente debe acreditar que la sumatoria de los contratos aportados como experiencia es mayor o igual al 100% respecto del valor total del presupuesto oficial expresado en SMMLV </w:t>
      </w:r>
    </w:p>
    <w:p w14:paraId="06DD9AD4" w14:textId="77777777" w:rsidR="002739C0" w:rsidRDefault="002739C0" w:rsidP="002739C0">
      <w:pPr>
        <w:rPr>
          <w:rFonts w:ascii="Arial" w:eastAsia="Arial" w:hAnsi="Arial" w:cs="Arial"/>
          <w:sz w:val="20"/>
          <w:szCs w:val="20"/>
          <w:lang w:eastAsia="es-ES"/>
        </w:rPr>
      </w:pPr>
      <w:r>
        <w:rPr>
          <w:rFonts w:ascii="Arial" w:eastAsia="Arial" w:hAnsi="Arial" w:cs="Arial"/>
          <w:sz w:val="20"/>
          <w:szCs w:val="20"/>
          <w:lang w:eastAsia="es-ES"/>
        </w:rPr>
        <w:t>[…]</w:t>
      </w:r>
    </w:p>
    <w:p w14:paraId="7E895B34" w14:textId="77777777" w:rsidR="002739C0" w:rsidRPr="00382C9D" w:rsidRDefault="002739C0" w:rsidP="002739C0">
      <w:pPr>
        <w:pStyle w:val="Textoindependiente"/>
        <w:spacing w:after="120"/>
        <w:jc w:val="both"/>
        <w:rPr>
          <w:rFonts w:ascii="Arial" w:eastAsia="Arial" w:hAnsi="Arial" w:cs="Arial"/>
          <w:sz w:val="20"/>
          <w:szCs w:val="20"/>
          <w:lang w:val="es-CO" w:eastAsia="es-ES"/>
        </w:rPr>
      </w:pPr>
      <w:r w:rsidRPr="00382C9D">
        <w:rPr>
          <w:rFonts w:ascii="Arial" w:eastAsia="Arial" w:hAnsi="Arial" w:cs="Arial"/>
          <w:sz w:val="20"/>
          <w:szCs w:val="20"/>
          <w:lang w:val="es-CO" w:eastAsia="es-ES"/>
        </w:rPr>
        <w:t xml:space="preserve">Conforme con lo anterior, con los contratos aportados por el proponente para acreditar la experiencia se debe certificar un valor mínimo correspondiente a un porcentaje del presupuesto oficial del proceso de interventoría expresado en SMMLV, cuya verificación se hará con base en la sumatoria de los valores totales ejecutados de los contratos que cumplan con los requisitos establecidos en el pliego de condiciones. 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p>
    <w:p w14:paraId="767CCFD3" w14:textId="77777777" w:rsidR="002739C0" w:rsidRDefault="002739C0" w:rsidP="002739C0">
      <w:pPr>
        <w:pStyle w:val="Textoindependiente"/>
        <w:spacing w:after="120"/>
        <w:jc w:val="both"/>
        <w:rPr>
          <w:rFonts w:ascii="Arial" w:eastAsia="Times New Roman" w:hAnsi="Arial" w:cs="Arial"/>
          <w:b/>
          <w:color w:val="000000"/>
          <w:lang w:val="es-ES_tradnl"/>
        </w:rPr>
      </w:pPr>
      <w:r w:rsidRPr="00382C9D">
        <w:rPr>
          <w:rFonts w:ascii="Arial" w:eastAsia="Arial" w:hAnsi="Arial" w:cs="Arial"/>
          <w:sz w:val="20"/>
          <w:szCs w:val="20"/>
          <w:lang w:val="es-CO" w:eastAsia="es-ES"/>
        </w:rPr>
        <w:t>Ahora bien, resulta necesario mencionar que, en estos documentos tipo de consultoría, a diferencia de lo indicado en los de licitación de obra pública de infraestructura de transporte –Versión 3–, el porcentaje mínimo a acreditar por los proponentes no varía dependiendo de la cantidad de  contratos aportados; sino que el porcentaje se mantiene invariable, exigiéndose en los de consultoría que el porcentaje del presupuesto oficial del proceso expresado en SMMLV a certificar por parte de los proponentes sea del 100% del presupuesto del procedimiento de selección.</w:t>
      </w:r>
    </w:p>
    <w:p w14:paraId="2D3DCE42" w14:textId="77777777" w:rsidR="002739C0" w:rsidRPr="00382C9D" w:rsidRDefault="002739C0" w:rsidP="002739C0">
      <w:pPr>
        <w:pStyle w:val="Textoindependiente"/>
        <w:spacing w:after="120"/>
        <w:jc w:val="both"/>
        <w:rPr>
          <w:rFonts w:ascii="Arial" w:hAnsi="Arial" w:cs="Arial"/>
          <w:sz w:val="22"/>
          <w:szCs w:val="22"/>
        </w:rPr>
      </w:pPr>
      <w:r w:rsidRPr="00382C9D">
        <w:rPr>
          <w:rFonts w:ascii="Arial" w:eastAsia="Times New Roman" w:hAnsi="Arial" w:cs="Arial"/>
          <w:b/>
          <w:color w:val="000000"/>
          <w:sz w:val="22"/>
          <w:szCs w:val="22"/>
          <w:lang w:val="es-ES_tradnl"/>
        </w:rPr>
        <w:lastRenderedPageBreak/>
        <w:t xml:space="preserve">MÉTODOS DE PONDERACIÓN – </w:t>
      </w:r>
      <w:r w:rsidRPr="00382C9D">
        <w:rPr>
          <w:rFonts w:ascii="Arial" w:hAnsi="Arial" w:cs="Arial"/>
          <w:b/>
          <w:bCs/>
          <w:sz w:val="22"/>
          <w:szCs w:val="22"/>
        </w:rPr>
        <w:t xml:space="preserve">Documentos Tipo de CONSULTORÍA </w:t>
      </w:r>
      <w:r w:rsidRPr="00382C9D">
        <w:rPr>
          <w:rFonts w:ascii="Arial" w:eastAsia="Times New Roman" w:hAnsi="Arial" w:cs="Arial"/>
          <w:b/>
          <w:color w:val="000000"/>
          <w:sz w:val="22"/>
          <w:szCs w:val="22"/>
          <w:lang w:val="es-ES_tradnl"/>
        </w:rPr>
        <w:t xml:space="preserve">– Método aleatorio – </w:t>
      </w:r>
      <w:r w:rsidRPr="00382C9D">
        <w:rPr>
          <w:rFonts w:ascii="Arial" w:hAnsi="Arial" w:cs="Arial"/>
          <w:b/>
          <w:color w:val="000000"/>
          <w:sz w:val="22"/>
          <w:szCs w:val="22"/>
          <w:lang w:val="es-ES_tradnl"/>
        </w:rPr>
        <w:t>media aritmética alta</w:t>
      </w:r>
      <w:r w:rsidRPr="00382C9D">
        <w:rPr>
          <w:rFonts w:ascii="Arial" w:eastAsia="Times New Roman" w:hAnsi="Arial" w:cs="Arial"/>
          <w:b/>
          <w:color w:val="000000"/>
          <w:sz w:val="22"/>
          <w:szCs w:val="22"/>
          <w:lang w:val="es-ES_tradnl"/>
        </w:rPr>
        <w:t xml:space="preserve"> </w:t>
      </w:r>
    </w:p>
    <w:p w14:paraId="371E9684" w14:textId="77777777" w:rsidR="002739C0" w:rsidRPr="00B63B0A" w:rsidRDefault="002739C0" w:rsidP="002739C0">
      <w:pPr>
        <w:jc w:val="both"/>
        <w:rPr>
          <w:rFonts w:ascii="Arial" w:hAnsi="Arial" w:cs="Arial"/>
          <w:color w:val="000000"/>
          <w:lang w:val="es-ES_tradnl"/>
        </w:rPr>
      </w:pPr>
    </w:p>
    <w:p w14:paraId="2B8105F2" w14:textId="77777777" w:rsidR="002739C0" w:rsidRPr="00382C9D" w:rsidRDefault="002739C0" w:rsidP="002739C0">
      <w:pPr>
        <w:jc w:val="both"/>
        <w:rPr>
          <w:rFonts w:ascii="Arial" w:hAnsi="Arial" w:cs="Arial"/>
          <w:color w:val="000000"/>
          <w:sz w:val="20"/>
          <w:szCs w:val="20"/>
          <w:lang w:val="es-ES_tradnl"/>
        </w:rPr>
      </w:pPr>
      <w:r w:rsidRPr="00382C9D">
        <w:rPr>
          <w:rFonts w:ascii="Arial" w:hAnsi="Arial" w:cs="Arial"/>
          <w:color w:val="000000"/>
          <w:sz w:val="20"/>
          <w:szCs w:val="20"/>
          <w:lang w:val="es-ES_tradnl"/>
        </w:rPr>
        <w:t>Como se aprecia, en los procedimientos de concurso de méritos para la escogencia de consultores de estudios de ingeniería de infraestructura de transporte adelantados con documentos tipo, la experiencia del proponente debe ser ponderada, de acuerdo con un método aleatorio, a efectos de determinar el puntaje que le corresponde. Al respecto, el Documento Base establece tres (3) alternativas para ponderar la experiencia de los proponentes, aplicables según la TRM que rija en el momento indicado en los apartes citados, dando lugar a la aplicación de alguno de los siguientes métodos: i) media con valor absoluto; ii) media geométrica; y iii) media aritmética alta.</w:t>
      </w:r>
    </w:p>
    <w:p w14:paraId="0FCDCD0A" w14:textId="77777777" w:rsidR="002739C0" w:rsidRDefault="002739C0" w:rsidP="002739C0">
      <w:pPr>
        <w:jc w:val="both"/>
        <w:rPr>
          <w:rFonts w:ascii="Arial" w:hAnsi="Arial" w:cs="Arial"/>
          <w:color w:val="000000"/>
          <w:sz w:val="20"/>
          <w:szCs w:val="20"/>
          <w:lang w:val="es-ES_tradnl"/>
        </w:rPr>
      </w:pPr>
      <w:r w:rsidRPr="00382C9D">
        <w:rPr>
          <w:rFonts w:ascii="Arial" w:hAnsi="Arial" w:cs="Arial"/>
          <w:color w:val="000000"/>
          <w:sz w:val="20"/>
          <w:szCs w:val="20"/>
          <w:lang w:val="es-ES_tradnl"/>
        </w:rPr>
        <w:t xml:space="preserve">De conformidad con lo anterior, el método aleatorio para seleccionar la fórmula de ponderación de la experiencia del proponente desestimula los actos contrarios a la selección objetiva, puesto que no es posible manipular la TRM para conocer con anticipación la fórmula aplicable y poder adjudicar al proponente que la entidad desee. En tal sentido, como se estableció en el documento base la regla aplicable para escoger el método aplicable será con fundamento en la TRM que rija el segundo día hábil después del cierre del proceso. </w:t>
      </w:r>
    </w:p>
    <w:p w14:paraId="653FADFB" w14:textId="77777777" w:rsidR="002739C0" w:rsidRDefault="002739C0" w:rsidP="002739C0">
      <w:pPr>
        <w:jc w:val="both"/>
        <w:rPr>
          <w:rFonts w:ascii="Arial" w:hAnsi="Arial" w:cs="Arial"/>
          <w:color w:val="000000"/>
          <w:sz w:val="20"/>
          <w:szCs w:val="20"/>
          <w:lang w:val="es-ES_tradnl"/>
        </w:rPr>
      </w:pPr>
      <w:r>
        <w:rPr>
          <w:rFonts w:ascii="Arial" w:hAnsi="Arial" w:cs="Arial"/>
          <w:color w:val="000000"/>
          <w:sz w:val="20"/>
          <w:szCs w:val="20"/>
          <w:lang w:val="es-ES_tradnl"/>
        </w:rPr>
        <w:t>[…]</w:t>
      </w:r>
    </w:p>
    <w:p w14:paraId="57025C9C" w14:textId="77777777" w:rsidR="002739C0" w:rsidRPr="006C750D" w:rsidRDefault="002739C0" w:rsidP="002739C0">
      <w:pPr>
        <w:jc w:val="both"/>
        <w:rPr>
          <w:rFonts w:ascii="Arial" w:hAnsi="Arial" w:cs="Arial"/>
          <w:color w:val="000000"/>
          <w:sz w:val="20"/>
          <w:szCs w:val="20"/>
          <w:lang w:val="es-ES_tradnl"/>
        </w:rPr>
      </w:pPr>
      <w:r w:rsidRPr="00382C9D">
        <w:rPr>
          <w:rFonts w:ascii="Arial" w:hAnsi="Arial" w:cs="Arial"/>
          <w:color w:val="000000"/>
          <w:sz w:val="20"/>
          <w:szCs w:val="20"/>
          <w:lang w:val="es-ES_tradnl"/>
        </w:rPr>
        <w:t>una vez escogido el método de ponderación de forma aleatoria en función de la TRM, si este corresponde a la media aritmética alta, la fórmula prevista en el literal C del numeral 4.1 «FORMA DE VERIFICACIÓN Y ASIGNACIÓN DE PUNTAJE POR LA EXPERIENCIA DEL PROPONENTE» del Documento Base es</w:t>
      </w:r>
      <w:r>
        <w:rPr>
          <w:rFonts w:ascii="Arial" w:hAnsi="Arial" w:cs="Arial"/>
          <w:color w:val="000000"/>
          <w:sz w:val="20"/>
          <w:szCs w:val="20"/>
          <w:lang w:val="es-ES_tradnl"/>
        </w:rPr>
        <w:t>:</w:t>
      </w:r>
      <w:r w:rsidRPr="002624F7">
        <w:rPr>
          <w:rFonts w:ascii="Arial" w:hAnsi="Arial" w:cs="Arial"/>
          <w:color w:val="000000"/>
          <w:sz w:val="20"/>
          <w:szCs w:val="20"/>
          <w:lang w:val="es-ES_tradnl"/>
        </w:rPr>
        <w:t xml:space="preserve"> C.</w:t>
      </w:r>
      <w:r w:rsidRPr="002624F7">
        <w:rPr>
          <w:rFonts w:ascii="Arial" w:hAnsi="Arial" w:cs="Arial"/>
          <w:color w:val="000000"/>
          <w:sz w:val="20"/>
          <w:szCs w:val="20"/>
          <w:lang w:val="es-ES_tradnl"/>
        </w:rPr>
        <w:tab/>
        <w:t>Media Aritmética Alta</w:t>
      </w:r>
      <w:r>
        <w:rPr>
          <w:rFonts w:ascii="Arial" w:hAnsi="Arial" w:cs="Arial"/>
          <w:color w:val="000000"/>
          <w:sz w:val="20"/>
          <w:szCs w:val="20"/>
          <w:lang w:val="es-ES_tradnl"/>
        </w:rPr>
        <w:t xml:space="preserve">. </w:t>
      </w:r>
      <w:r w:rsidRPr="002624F7">
        <w:rPr>
          <w:rFonts w:ascii="Arial" w:hAnsi="Arial" w:cs="Arial"/>
          <w:color w:val="000000"/>
          <w:sz w:val="20"/>
          <w:szCs w:val="20"/>
          <w:lang w:val="es-ES_tradnl"/>
        </w:rPr>
        <w:t>Consiste en la determinación de la media aritmética entre el valor de los promedios de los contratos expresada en SMMLV de la propuesta válida más alta y el promedio aritmético del promedio de los contratos de las propuestas hábiles que no han sido rechazadas y se encuentran válidas</w:t>
      </w:r>
      <w:r>
        <w:rPr>
          <w:rFonts w:ascii="Arial" w:hAnsi="Arial" w:cs="Arial"/>
          <w:color w:val="000000"/>
          <w:sz w:val="20"/>
          <w:szCs w:val="20"/>
          <w:lang w:val="es-ES_tradnl"/>
        </w:rPr>
        <w:t>.</w:t>
      </w:r>
      <w:r w:rsidRPr="006C750D">
        <w:rPr>
          <w:rFonts w:ascii="Arial" w:hAnsi="Arial" w:cs="Arial"/>
          <w:color w:val="000000"/>
          <w:sz w:val="20"/>
          <w:szCs w:val="20"/>
          <w:lang w:val="es-ES_tradnl"/>
        </w:rPr>
        <w:t xml:space="preserve">  </w:t>
      </w:r>
    </w:p>
    <w:p w14:paraId="6DE308B8" w14:textId="3E5C217F" w:rsidR="002158C3" w:rsidRDefault="006C750D" w:rsidP="006C750D">
      <w:pPr>
        <w:jc w:val="both"/>
        <w:rPr>
          <w:rFonts w:ascii="Arial" w:hAnsi="Arial" w:cs="Arial"/>
          <w:color w:val="000000"/>
          <w:sz w:val="20"/>
          <w:szCs w:val="20"/>
          <w:lang w:val="es-ES_tradnl"/>
        </w:rPr>
      </w:pPr>
      <w:r w:rsidRPr="006C750D">
        <w:rPr>
          <w:rFonts w:ascii="Arial" w:hAnsi="Arial" w:cs="Arial"/>
          <w:color w:val="000000"/>
          <w:sz w:val="20"/>
          <w:szCs w:val="20"/>
          <w:lang w:val="es-ES_tradnl"/>
        </w:rPr>
        <w:t xml:space="preserve"> </w:t>
      </w:r>
    </w:p>
    <w:p w14:paraId="56C7FB25" w14:textId="50FAA417" w:rsidR="002158C3" w:rsidRDefault="002158C3" w:rsidP="00890357">
      <w:pPr>
        <w:jc w:val="both"/>
        <w:rPr>
          <w:rFonts w:ascii="Arial" w:hAnsi="Arial" w:cs="Arial"/>
          <w:color w:val="000000"/>
          <w:sz w:val="20"/>
          <w:szCs w:val="20"/>
          <w:lang w:val="es-ES_tradnl"/>
        </w:rPr>
      </w:pPr>
    </w:p>
    <w:p w14:paraId="3A75E48A" w14:textId="57CD6855" w:rsidR="002158C3" w:rsidRDefault="002158C3" w:rsidP="00890357">
      <w:pPr>
        <w:jc w:val="both"/>
        <w:rPr>
          <w:rFonts w:ascii="Arial" w:hAnsi="Arial" w:cs="Arial"/>
          <w:color w:val="000000"/>
          <w:sz w:val="20"/>
          <w:szCs w:val="20"/>
          <w:lang w:val="es-ES_tradnl"/>
        </w:rPr>
      </w:pPr>
    </w:p>
    <w:p w14:paraId="7E287BC9" w14:textId="7221D856" w:rsidR="002158C3" w:rsidRDefault="002158C3" w:rsidP="00890357">
      <w:pPr>
        <w:jc w:val="both"/>
        <w:rPr>
          <w:rFonts w:ascii="Arial" w:hAnsi="Arial" w:cs="Arial"/>
          <w:color w:val="000000"/>
          <w:sz w:val="20"/>
          <w:szCs w:val="20"/>
          <w:lang w:val="es-ES_tradnl"/>
        </w:rPr>
      </w:pPr>
    </w:p>
    <w:p w14:paraId="17754113" w14:textId="084E23B0" w:rsidR="002158C3" w:rsidRDefault="002158C3" w:rsidP="00890357">
      <w:pPr>
        <w:jc w:val="both"/>
        <w:rPr>
          <w:rFonts w:ascii="Arial" w:hAnsi="Arial" w:cs="Arial"/>
          <w:color w:val="000000"/>
          <w:sz w:val="20"/>
          <w:szCs w:val="20"/>
          <w:lang w:val="es-ES_tradnl"/>
        </w:rPr>
      </w:pPr>
    </w:p>
    <w:p w14:paraId="38BBC9BD" w14:textId="17373759" w:rsidR="002158C3" w:rsidRDefault="002158C3" w:rsidP="00890357">
      <w:pPr>
        <w:jc w:val="both"/>
        <w:rPr>
          <w:rFonts w:ascii="Arial" w:hAnsi="Arial" w:cs="Arial"/>
          <w:color w:val="000000"/>
          <w:sz w:val="20"/>
          <w:szCs w:val="20"/>
          <w:lang w:val="es-ES_tradnl"/>
        </w:rPr>
      </w:pPr>
    </w:p>
    <w:p w14:paraId="3C530316" w14:textId="57AA2DD8" w:rsidR="002158C3" w:rsidRDefault="002158C3" w:rsidP="00890357">
      <w:pPr>
        <w:jc w:val="both"/>
        <w:rPr>
          <w:rFonts w:ascii="Arial" w:hAnsi="Arial" w:cs="Arial"/>
          <w:color w:val="000000"/>
          <w:sz w:val="20"/>
          <w:szCs w:val="20"/>
          <w:lang w:val="es-ES_tradnl"/>
        </w:rPr>
      </w:pPr>
    </w:p>
    <w:p w14:paraId="36ADA2EB" w14:textId="3E4FD6FB" w:rsidR="002158C3" w:rsidRDefault="002158C3" w:rsidP="00890357">
      <w:pPr>
        <w:jc w:val="both"/>
        <w:rPr>
          <w:rFonts w:ascii="Arial" w:hAnsi="Arial" w:cs="Arial"/>
          <w:color w:val="000000"/>
          <w:sz w:val="20"/>
          <w:szCs w:val="20"/>
          <w:lang w:val="es-ES_tradnl"/>
        </w:rPr>
      </w:pPr>
    </w:p>
    <w:p w14:paraId="17F72B36" w14:textId="004169CC" w:rsidR="002158C3" w:rsidRDefault="002158C3" w:rsidP="00890357">
      <w:pPr>
        <w:jc w:val="both"/>
        <w:rPr>
          <w:rFonts w:ascii="Arial" w:hAnsi="Arial" w:cs="Arial"/>
          <w:color w:val="000000"/>
          <w:sz w:val="20"/>
          <w:szCs w:val="20"/>
          <w:lang w:val="es-ES_tradnl"/>
        </w:rPr>
      </w:pPr>
    </w:p>
    <w:p w14:paraId="68846CE8" w14:textId="3B52EA28" w:rsidR="002158C3" w:rsidRDefault="002158C3" w:rsidP="00890357">
      <w:pPr>
        <w:jc w:val="both"/>
        <w:rPr>
          <w:rFonts w:ascii="Arial" w:hAnsi="Arial" w:cs="Arial"/>
          <w:color w:val="000000"/>
          <w:sz w:val="20"/>
          <w:szCs w:val="20"/>
          <w:lang w:val="es-ES_tradnl"/>
        </w:rPr>
      </w:pPr>
    </w:p>
    <w:p w14:paraId="76EDDBA4" w14:textId="1E101DFD" w:rsidR="002158C3" w:rsidRDefault="002158C3" w:rsidP="00890357">
      <w:pPr>
        <w:jc w:val="both"/>
        <w:rPr>
          <w:rFonts w:ascii="Arial" w:hAnsi="Arial" w:cs="Arial"/>
          <w:color w:val="000000"/>
          <w:sz w:val="20"/>
          <w:szCs w:val="20"/>
          <w:lang w:val="es-ES_tradnl"/>
        </w:rPr>
      </w:pPr>
    </w:p>
    <w:p w14:paraId="6B5B2CAD" w14:textId="23CDEAC6" w:rsidR="002158C3" w:rsidRDefault="002158C3" w:rsidP="00890357">
      <w:pPr>
        <w:jc w:val="both"/>
        <w:rPr>
          <w:rFonts w:ascii="Arial" w:hAnsi="Arial" w:cs="Arial"/>
          <w:color w:val="000000"/>
          <w:sz w:val="20"/>
          <w:szCs w:val="20"/>
          <w:lang w:val="es-ES_tradnl"/>
        </w:rPr>
      </w:pPr>
    </w:p>
    <w:p w14:paraId="2DB48692" w14:textId="019B6450" w:rsidR="002158C3" w:rsidRDefault="002158C3" w:rsidP="00890357">
      <w:pPr>
        <w:jc w:val="both"/>
        <w:rPr>
          <w:rFonts w:ascii="Arial" w:hAnsi="Arial" w:cs="Arial"/>
          <w:color w:val="000000"/>
          <w:sz w:val="20"/>
          <w:szCs w:val="20"/>
          <w:lang w:val="es-ES_tradnl"/>
        </w:rPr>
      </w:pPr>
    </w:p>
    <w:p w14:paraId="4163F94D" w14:textId="335FC735" w:rsidR="002158C3" w:rsidRDefault="002158C3" w:rsidP="00890357">
      <w:pPr>
        <w:jc w:val="both"/>
        <w:rPr>
          <w:rFonts w:ascii="Arial" w:hAnsi="Arial" w:cs="Arial"/>
          <w:color w:val="000000"/>
          <w:sz w:val="20"/>
          <w:szCs w:val="20"/>
          <w:lang w:val="es-ES_tradnl"/>
        </w:rPr>
      </w:pPr>
    </w:p>
    <w:p w14:paraId="7C69FF16" w14:textId="515BADF7" w:rsidR="002158C3" w:rsidRDefault="002158C3" w:rsidP="00890357">
      <w:pPr>
        <w:jc w:val="both"/>
        <w:rPr>
          <w:rFonts w:ascii="Arial" w:hAnsi="Arial" w:cs="Arial"/>
          <w:color w:val="000000"/>
          <w:sz w:val="20"/>
          <w:szCs w:val="20"/>
          <w:lang w:val="es-ES_tradnl"/>
        </w:rPr>
      </w:pPr>
    </w:p>
    <w:p w14:paraId="452DBA9E" w14:textId="065D09BB" w:rsidR="000870D0" w:rsidRDefault="000870D0" w:rsidP="00890357">
      <w:pPr>
        <w:jc w:val="both"/>
        <w:rPr>
          <w:rFonts w:ascii="Arial" w:hAnsi="Arial" w:cs="Arial"/>
          <w:color w:val="000000"/>
          <w:sz w:val="20"/>
          <w:szCs w:val="20"/>
          <w:lang w:val="es-ES_tradnl"/>
        </w:rPr>
      </w:pPr>
    </w:p>
    <w:p w14:paraId="3A4B059A" w14:textId="6B22C766" w:rsidR="000870D0" w:rsidRDefault="000870D0" w:rsidP="00890357">
      <w:pPr>
        <w:jc w:val="both"/>
        <w:rPr>
          <w:rFonts w:ascii="Arial" w:hAnsi="Arial" w:cs="Arial"/>
          <w:color w:val="000000"/>
          <w:sz w:val="20"/>
          <w:szCs w:val="20"/>
          <w:lang w:val="es-ES_tradnl"/>
        </w:rPr>
      </w:pPr>
    </w:p>
    <w:p w14:paraId="304887D2" w14:textId="698F4F30" w:rsidR="000870D0" w:rsidRDefault="000870D0" w:rsidP="00890357">
      <w:pPr>
        <w:jc w:val="both"/>
        <w:rPr>
          <w:rFonts w:ascii="Arial" w:hAnsi="Arial" w:cs="Arial"/>
          <w:color w:val="000000"/>
          <w:sz w:val="20"/>
          <w:szCs w:val="20"/>
          <w:lang w:val="es-ES_tradnl"/>
        </w:rPr>
      </w:pPr>
    </w:p>
    <w:p w14:paraId="6628D74C" w14:textId="6F7DE258" w:rsidR="006C750D" w:rsidRDefault="006C750D" w:rsidP="00DB6D6B">
      <w:pPr>
        <w:jc w:val="both"/>
        <w:rPr>
          <w:rFonts w:ascii="Arial" w:hAnsi="Arial" w:cs="Arial"/>
          <w:color w:val="000000"/>
          <w:sz w:val="20"/>
          <w:szCs w:val="20"/>
          <w:lang w:val="es-ES_tradnl"/>
        </w:rPr>
      </w:pPr>
    </w:p>
    <w:p w14:paraId="4B6148AC" w14:textId="3EC41DC8" w:rsidR="006C750D" w:rsidRDefault="006C750D" w:rsidP="00DB6D6B">
      <w:pPr>
        <w:jc w:val="both"/>
        <w:rPr>
          <w:rFonts w:ascii="Arial" w:hAnsi="Arial" w:cs="Arial"/>
          <w:color w:val="000000"/>
          <w:sz w:val="20"/>
          <w:szCs w:val="20"/>
          <w:lang w:val="es-ES_tradnl"/>
        </w:rPr>
      </w:pPr>
    </w:p>
    <w:p w14:paraId="04B76397" w14:textId="0A745AD8" w:rsidR="002739C0" w:rsidRDefault="002739C0" w:rsidP="00DB6D6B">
      <w:pPr>
        <w:jc w:val="both"/>
        <w:rPr>
          <w:rFonts w:ascii="Arial" w:hAnsi="Arial" w:cs="Arial"/>
          <w:color w:val="000000"/>
          <w:sz w:val="20"/>
          <w:szCs w:val="20"/>
          <w:lang w:val="es-ES_tradnl"/>
        </w:rPr>
      </w:pPr>
    </w:p>
    <w:p w14:paraId="2CCDD2C8" w14:textId="6F1C12FA" w:rsidR="002739C0" w:rsidRDefault="002739C0" w:rsidP="00DB6D6B">
      <w:pPr>
        <w:jc w:val="both"/>
        <w:rPr>
          <w:rFonts w:ascii="Arial" w:hAnsi="Arial" w:cs="Arial"/>
          <w:color w:val="000000"/>
          <w:sz w:val="20"/>
          <w:szCs w:val="20"/>
          <w:lang w:val="es-ES_tradnl"/>
        </w:rPr>
      </w:pPr>
    </w:p>
    <w:p w14:paraId="2310F63C" w14:textId="5CC3278C" w:rsidR="002739C0" w:rsidRDefault="002739C0" w:rsidP="00DB6D6B">
      <w:pPr>
        <w:jc w:val="both"/>
        <w:rPr>
          <w:rFonts w:ascii="Arial" w:hAnsi="Arial" w:cs="Arial"/>
          <w:color w:val="000000"/>
          <w:sz w:val="20"/>
          <w:szCs w:val="20"/>
          <w:lang w:val="es-ES_tradnl"/>
        </w:rPr>
      </w:pPr>
    </w:p>
    <w:p w14:paraId="45D11833" w14:textId="019A3D6A" w:rsidR="002739C0" w:rsidRDefault="002739C0" w:rsidP="00DB6D6B">
      <w:pPr>
        <w:jc w:val="both"/>
        <w:rPr>
          <w:rFonts w:ascii="Arial" w:hAnsi="Arial" w:cs="Arial"/>
          <w:color w:val="000000"/>
          <w:sz w:val="20"/>
          <w:szCs w:val="20"/>
          <w:lang w:val="es-ES_tradnl"/>
        </w:rPr>
      </w:pPr>
    </w:p>
    <w:p w14:paraId="1532B9AB" w14:textId="77777777" w:rsidR="002739C0" w:rsidRDefault="002739C0" w:rsidP="00DB6D6B">
      <w:pPr>
        <w:jc w:val="both"/>
        <w:rPr>
          <w:rFonts w:ascii="Arial" w:hAnsi="Arial" w:cs="Arial"/>
          <w:color w:val="000000"/>
          <w:sz w:val="20"/>
          <w:szCs w:val="20"/>
          <w:lang w:val="es-ES_tradnl"/>
        </w:rPr>
      </w:pPr>
    </w:p>
    <w:p w14:paraId="6E50DF7A" w14:textId="77777777" w:rsidR="006C750D" w:rsidRDefault="006C750D" w:rsidP="00DB6D6B">
      <w:pPr>
        <w:jc w:val="both"/>
        <w:rPr>
          <w:rFonts w:ascii="Arial" w:hAnsi="Arial" w:cs="Arial"/>
          <w:color w:val="000000"/>
          <w:sz w:val="20"/>
          <w:szCs w:val="20"/>
          <w:lang w:val="es-ES_tradnl"/>
        </w:rPr>
      </w:pPr>
    </w:p>
    <w:p w14:paraId="28DA6E58" w14:textId="77777777" w:rsidR="00DE2410" w:rsidRDefault="00DE2410" w:rsidP="00DB6D6B">
      <w:pPr>
        <w:jc w:val="both"/>
        <w:rPr>
          <w:rFonts w:ascii="Arial" w:eastAsia="Calibri" w:hAnsi="Arial" w:cs="Arial"/>
          <w:color w:val="000000"/>
          <w:sz w:val="22"/>
          <w:szCs w:val="22"/>
          <w:lang w:val="es-ES_tradnl"/>
        </w:rPr>
      </w:pPr>
    </w:p>
    <w:p w14:paraId="374C154A" w14:textId="77777777" w:rsidR="00DE2410" w:rsidRDefault="00DE2410" w:rsidP="00DB6D6B">
      <w:pPr>
        <w:jc w:val="both"/>
        <w:rPr>
          <w:rFonts w:ascii="Arial" w:eastAsia="Calibri" w:hAnsi="Arial" w:cs="Arial"/>
          <w:color w:val="000000"/>
          <w:sz w:val="22"/>
          <w:szCs w:val="22"/>
          <w:lang w:val="es-ES_tradnl"/>
        </w:rPr>
      </w:pPr>
    </w:p>
    <w:p w14:paraId="3632C11A" w14:textId="5E7018C5" w:rsidR="009F7031" w:rsidRDefault="007968C4" w:rsidP="00DB6D6B">
      <w:pPr>
        <w:jc w:val="both"/>
        <w:rPr>
          <w:rFonts w:ascii="Arial" w:eastAsia="Calibri" w:hAnsi="Arial" w:cs="Arial"/>
          <w:color w:val="000000"/>
          <w:sz w:val="22"/>
          <w:szCs w:val="22"/>
          <w:lang w:val="es-ES_tradnl"/>
        </w:rPr>
      </w:pPr>
      <w:r>
        <w:rPr>
          <w:rFonts w:ascii="_≤ò" w:eastAsiaTheme="minorHAnsi" w:hAnsi="_≤ò" w:cs="_≤ò"/>
          <w:color w:val="4E4D4D"/>
          <w:sz w:val="22"/>
          <w:szCs w:val="22"/>
          <w:lang w:val="es-ES_tradnl" w:eastAsia="en-US"/>
        </w:rPr>
        <w:lastRenderedPageBreak/>
        <w:t>Bogot</w:t>
      </w:r>
      <w:r>
        <w:rPr>
          <w:rFonts w:ascii="_≤ò" w:eastAsiaTheme="minorHAnsi" w:hAnsi="_≤ò" w:cs="_≤ò"/>
          <w:color w:val="4E4D4D"/>
          <w:sz w:val="22"/>
          <w:szCs w:val="22"/>
          <w:lang w:val="es-ES_tradnl" w:eastAsia="en-US"/>
        </w:rPr>
        <w:t>á</w:t>
      </w:r>
      <w:r>
        <w:rPr>
          <w:rFonts w:ascii="_≤ò" w:eastAsiaTheme="minorHAnsi" w:hAnsi="_≤ò" w:cs="_≤ò"/>
          <w:color w:val="4E4D4D"/>
          <w:sz w:val="22"/>
          <w:szCs w:val="22"/>
          <w:lang w:val="es-ES_tradnl" w:eastAsia="en-US"/>
        </w:rPr>
        <w:t xml:space="preserve">, 16 </w:t>
      </w:r>
      <w:proofErr w:type="gramStart"/>
      <w:r>
        <w:rPr>
          <w:rFonts w:ascii="_≤ò" w:eastAsiaTheme="minorHAnsi" w:hAnsi="_≤ò" w:cs="_≤ò"/>
          <w:color w:val="4E4D4D"/>
          <w:sz w:val="22"/>
          <w:szCs w:val="22"/>
          <w:lang w:val="es-ES_tradnl" w:eastAsia="en-US"/>
        </w:rPr>
        <w:t>Marzo</w:t>
      </w:r>
      <w:proofErr w:type="gramEnd"/>
      <w:r>
        <w:rPr>
          <w:rFonts w:ascii="_≤ò" w:eastAsiaTheme="minorHAnsi" w:hAnsi="_≤ò" w:cs="_≤ò"/>
          <w:color w:val="4E4D4D"/>
          <w:sz w:val="22"/>
          <w:szCs w:val="22"/>
          <w:lang w:val="es-ES_tradnl" w:eastAsia="en-US"/>
        </w:rPr>
        <w:t xml:space="preserve"> 2022</w:t>
      </w:r>
      <w:r>
        <w:rPr>
          <w:rFonts w:ascii="_≤ò" w:eastAsiaTheme="minorHAnsi" w:hAnsi="_≤ò" w:cs="_≤ò"/>
          <w:color w:val="4E4D4D"/>
          <w:sz w:val="22"/>
          <w:szCs w:val="22"/>
          <w:lang w:val="es-ES_tradnl" w:eastAsia="en-US"/>
        </w:rPr>
        <w:tab/>
      </w:r>
      <w:r>
        <w:rPr>
          <w:rFonts w:ascii="_≤ò" w:eastAsiaTheme="minorHAnsi" w:hAnsi="_≤ò" w:cs="_≤ò"/>
          <w:color w:val="4E4D4D"/>
          <w:sz w:val="22"/>
          <w:szCs w:val="22"/>
          <w:lang w:val="es-ES_tradnl" w:eastAsia="en-US"/>
        </w:rPr>
        <w:tab/>
      </w:r>
      <w:r>
        <w:rPr>
          <w:rFonts w:ascii="_≤ò" w:eastAsiaTheme="minorHAnsi" w:hAnsi="_≤ò" w:cs="_≤ò"/>
          <w:color w:val="4E4D4D"/>
          <w:sz w:val="22"/>
          <w:szCs w:val="22"/>
          <w:lang w:val="es-ES_tradnl" w:eastAsia="en-US"/>
        </w:rPr>
        <w:tab/>
      </w:r>
      <w:r>
        <w:rPr>
          <w:rFonts w:ascii="_≤ò" w:eastAsiaTheme="minorHAnsi" w:hAnsi="_≤ò" w:cs="_≤ò"/>
          <w:color w:val="4E4D4D"/>
          <w:sz w:val="22"/>
          <w:szCs w:val="22"/>
          <w:lang w:val="es-ES_tradnl" w:eastAsia="en-US"/>
        </w:rPr>
        <w:tab/>
      </w:r>
      <w:r w:rsidRPr="007968C4">
        <w:rPr>
          <w:rFonts w:ascii="_≤ò" w:eastAsiaTheme="minorHAnsi" w:hAnsi="_≤ò" w:cs="_≤ò"/>
          <w:color w:val="4E4D4D"/>
          <w:sz w:val="22"/>
          <w:szCs w:val="22"/>
          <w:lang w:val="es-ES_tradnl" w:eastAsia="en-US"/>
        </w:rPr>
        <w:drawing>
          <wp:inline distT="0" distB="0" distL="0" distR="0" wp14:anchorId="25C24A69" wp14:editId="39A53BF5">
            <wp:extent cx="2783394" cy="694055"/>
            <wp:effectExtent l="0" t="0" r="0" b="444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881844" cy="718604"/>
                    </a:xfrm>
                    <a:prstGeom prst="rect">
                      <a:avLst/>
                    </a:prstGeom>
                  </pic:spPr>
                </pic:pic>
              </a:graphicData>
            </a:graphic>
          </wp:inline>
        </w:drawing>
      </w:r>
    </w:p>
    <w:p w14:paraId="6EE11097" w14:textId="77777777" w:rsidR="009F7031" w:rsidRDefault="009F7031" w:rsidP="00DB6D6B">
      <w:pPr>
        <w:jc w:val="both"/>
        <w:rPr>
          <w:rFonts w:ascii="Arial" w:eastAsia="Calibri" w:hAnsi="Arial" w:cs="Arial"/>
          <w:color w:val="000000"/>
          <w:sz w:val="22"/>
          <w:szCs w:val="22"/>
          <w:lang w:val="es-ES_tradnl"/>
        </w:rPr>
      </w:pPr>
    </w:p>
    <w:p w14:paraId="31E79A86" w14:textId="5426C85A" w:rsidR="009067B1" w:rsidRPr="00E0681A" w:rsidRDefault="009067B1" w:rsidP="00DB6D6B">
      <w:pPr>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Señor</w:t>
      </w:r>
    </w:p>
    <w:p w14:paraId="20BC75D2" w14:textId="128B6DDE" w:rsidR="00DB6D6B" w:rsidRPr="00E0681A" w:rsidRDefault="00A42E11" w:rsidP="00DB6D6B">
      <w:pPr>
        <w:jc w:val="both"/>
        <w:rPr>
          <w:rFonts w:ascii="Arial" w:eastAsia="Calibri" w:hAnsi="Arial" w:cs="Arial"/>
          <w:b/>
          <w:bCs/>
          <w:color w:val="000000"/>
          <w:sz w:val="22"/>
          <w:szCs w:val="22"/>
          <w:lang w:val="es-ES_tradnl"/>
        </w:rPr>
      </w:pPr>
      <w:r>
        <w:rPr>
          <w:rFonts w:ascii="Arial" w:hAnsi="Arial" w:cs="Arial"/>
          <w:b/>
          <w:bCs/>
          <w:sz w:val="22"/>
          <w:szCs w:val="22"/>
        </w:rPr>
        <w:t>Gustavo Adolfo Díaz Rojas</w:t>
      </w:r>
    </w:p>
    <w:p w14:paraId="6AD2A18A" w14:textId="5BD78DFD" w:rsidR="009067B1" w:rsidRPr="00E0681A" w:rsidRDefault="00A42E11" w:rsidP="009067B1">
      <w:pPr>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Cali, Valle del Cauca</w:t>
      </w:r>
    </w:p>
    <w:p w14:paraId="2D8C0F9D" w14:textId="77777777" w:rsidR="009067B1" w:rsidRPr="00E0681A" w:rsidRDefault="009067B1" w:rsidP="009067B1">
      <w:pPr>
        <w:jc w:val="both"/>
        <w:rPr>
          <w:rFonts w:ascii="Arial" w:eastAsia="Calibri" w:hAnsi="Arial" w:cs="Arial"/>
          <w:color w:val="000000"/>
          <w:sz w:val="22"/>
          <w:szCs w:val="22"/>
          <w:lang w:val="es-ES_tradnl"/>
        </w:rPr>
      </w:pPr>
    </w:p>
    <w:p w14:paraId="713FC3D6" w14:textId="49F0B849" w:rsidR="009067B1" w:rsidRPr="00E0681A" w:rsidRDefault="009067B1" w:rsidP="009067B1">
      <w:pPr>
        <w:jc w:val="center"/>
        <w:rPr>
          <w:rFonts w:ascii="Arial" w:eastAsia="Calibri" w:hAnsi="Arial" w:cs="Arial"/>
          <w:b/>
          <w:bCs/>
          <w:color w:val="000000"/>
          <w:sz w:val="22"/>
          <w:szCs w:val="22"/>
          <w:lang w:val="es-ES_tradnl"/>
        </w:rPr>
      </w:pPr>
    </w:p>
    <w:p w14:paraId="32DAAD13" w14:textId="77777777" w:rsidR="00B4322C" w:rsidRPr="00E0681A" w:rsidRDefault="00B4322C" w:rsidP="009067B1">
      <w:pPr>
        <w:jc w:val="center"/>
        <w:rPr>
          <w:rFonts w:ascii="Arial" w:eastAsia="Calibri" w:hAnsi="Arial" w:cs="Arial"/>
          <w:b/>
          <w:bCs/>
          <w:color w:val="000000"/>
          <w:sz w:val="22"/>
          <w:szCs w:val="22"/>
          <w:lang w:val="es-ES_tradnl"/>
        </w:rPr>
      </w:pPr>
    </w:p>
    <w:p w14:paraId="3648E5B9" w14:textId="5162F4E6" w:rsidR="009067B1" w:rsidRPr="00E0681A" w:rsidRDefault="009067B1" w:rsidP="00534882">
      <w:pPr>
        <w:ind w:left="1416" w:firstLine="708"/>
        <w:rPr>
          <w:rFonts w:ascii="Arial" w:eastAsia="Calibri" w:hAnsi="Arial" w:cs="Arial"/>
          <w:b/>
          <w:bCs/>
          <w:color w:val="000000"/>
          <w:sz w:val="22"/>
          <w:szCs w:val="22"/>
          <w:lang w:val="es-ES_tradnl"/>
        </w:rPr>
      </w:pPr>
      <w:r w:rsidRPr="00E0681A">
        <w:rPr>
          <w:rFonts w:ascii="Arial" w:eastAsia="Calibri" w:hAnsi="Arial" w:cs="Arial"/>
          <w:b/>
          <w:bCs/>
          <w:color w:val="000000"/>
          <w:sz w:val="22"/>
          <w:szCs w:val="22"/>
          <w:lang w:val="es-ES_tradnl"/>
        </w:rPr>
        <w:t xml:space="preserve">Concepto C ‒ </w:t>
      </w:r>
      <w:r w:rsidR="00534882" w:rsidRPr="00E0681A">
        <w:rPr>
          <w:rFonts w:ascii="Arial" w:eastAsia="Calibri" w:hAnsi="Arial" w:cs="Arial"/>
          <w:b/>
          <w:bCs/>
          <w:color w:val="000000"/>
          <w:sz w:val="22"/>
          <w:szCs w:val="22"/>
          <w:lang w:val="es-ES_tradnl"/>
        </w:rPr>
        <w:t>0</w:t>
      </w:r>
      <w:r w:rsidR="00A42E11">
        <w:rPr>
          <w:rFonts w:ascii="Arial" w:eastAsia="Calibri" w:hAnsi="Arial" w:cs="Arial"/>
          <w:b/>
          <w:bCs/>
          <w:color w:val="000000"/>
          <w:sz w:val="22"/>
          <w:szCs w:val="22"/>
          <w:lang w:val="es-ES_tradnl"/>
        </w:rPr>
        <w:t>62</w:t>
      </w:r>
      <w:r w:rsidRPr="00E0681A">
        <w:rPr>
          <w:rFonts w:ascii="Arial" w:eastAsia="Calibri" w:hAnsi="Arial" w:cs="Arial"/>
          <w:b/>
          <w:bCs/>
          <w:color w:val="000000"/>
          <w:sz w:val="22"/>
          <w:szCs w:val="22"/>
          <w:lang w:val="es-ES_tradnl"/>
        </w:rPr>
        <w:t xml:space="preserve"> de 202</w:t>
      </w:r>
      <w:r w:rsidR="00534882" w:rsidRPr="00E0681A">
        <w:rPr>
          <w:rFonts w:ascii="Arial" w:eastAsia="Calibri" w:hAnsi="Arial" w:cs="Arial"/>
          <w:b/>
          <w:bCs/>
          <w:color w:val="000000"/>
          <w:sz w:val="22"/>
          <w:szCs w:val="22"/>
          <w:lang w:val="es-ES_tradnl"/>
        </w:rPr>
        <w:t>2</w:t>
      </w:r>
    </w:p>
    <w:p w14:paraId="25A1C326" w14:textId="0A2E829B" w:rsidR="009067B1" w:rsidRPr="00E0681A" w:rsidRDefault="009067B1" w:rsidP="009067B1">
      <w:pPr>
        <w:jc w:val="both"/>
        <w:rPr>
          <w:rFonts w:ascii="Arial" w:eastAsia="Calibri" w:hAnsi="Arial" w:cs="Arial"/>
          <w:color w:val="000000"/>
          <w:sz w:val="22"/>
          <w:szCs w:val="22"/>
          <w:lang w:val="es-ES_tradnl"/>
        </w:rPr>
      </w:pPr>
    </w:p>
    <w:p w14:paraId="35551979" w14:textId="77777777" w:rsidR="00B4322C" w:rsidRPr="00E0681A" w:rsidRDefault="00B4322C" w:rsidP="009067B1">
      <w:pPr>
        <w:jc w:val="both"/>
        <w:rPr>
          <w:rFonts w:ascii="Arial" w:eastAsia="Calibri" w:hAnsi="Arial" w:cs="Arial"/>
          <w:color w:val="000000"/>
          <w:sz w:val="22"/>
          <w:szCs w:val="22"/>
          <w:lang w:val="es-ES_tradnl"/>
        </w:rPr>
      </w:pPr>
    </w:p>
    <w:p w14:paraId="49C85395" w14:textId="77777777" w:rsidR="009067B1" w:rsidRPr="00E0681A" w:rsidRDefault="009067B1" w:rsidP="009067B1">
      <w:pPr>
        <w:jc w:val="both"/>
        <w:rPr>
          <w:rFonts w:ascii="Arial" w:eastAsia="Calibri" w:hAnsi="Arial" w:cs="Arial"/>
          <w:color w:val="000000"/>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658"/>
      </w:tblGrid>
      <w:tr w:rsidR="009067B1" w:rsidRPr="00E0681A" w14:paraId="473C1811" w14:textId="77777777" w:rsidTr="008A76D6">
        <w:tc>
          <w:tcPr>
            <w:tcW w:w="2268" w:type="dxa"/>
          </w:tcPr>
          <w:p w14:paraId="253B5F9C" w14:textId="77777777" w:rsidR="009067B1" w:rsidRPr="00E0681A" w:rsidRDefault="009067B1" w:rsidP="00111BB7">
            <w:pPr>
              <w:rPr>
                <w:rFonts w:ascii="Arial" w:eastAsia="Calibri" w:hAnsi="Arial" w:cs="Arial"/>
                <w:color w:val="000000"/>
                <w:sz w:val="22"/>
                <w:szCs w:val="22"/>
                <w:lang w:val="es-ES_tradnl"/>
              </w:rPr>
            </w:pPr>
            <w:r w:rsidRPr="00E0681A">
              <w:rPr>
                <w:rFonts w:ascii="Arial" w:eastAsia="Calibri" w:hAnsi="Arial" w:cs="Arial"/>
                <w:b/>
                <w:color w:val="000000"/>
                <w:sz w:val="22"/>
                <w:szCs w:val="22"/>
                <w:lang w:val="es-ES_tradnl"/>
              </w:rPr>
              <w:t>Temas:</w:t>
            </w:r>
            <w:r w:rsidRPr="00E0681A">
              <w:rPr>
                <w:rFonts w:ascii="Arial" w:eastAsia="Calibri" w:hAnsi="Arial" w:cs="Arial"/>
                <w:color w:val="000000"/>
                <w:sz w:val="22"/>
                <w:szCs w:val="22"/>
                <w:lang w:val="es-ES_tradnl"/>
              </w:rPr>
              <w:t xml:space="preserve">                                      </w:t>
            </w:r>
          </w:p>
        </w:tc>
        <w:tc>
          <w:tcPr>
            <w:tcW w:w="6658" w:type="dxa"/>
          </w:tcPr>
          <w:p w14:paraId="1DA690DA" w14:textId="3A17E8B8" w:rsidR="004560E2" w:rsidRPr="00E0681A" w:rsidRDefault="00B157B3" w:rsidP="00047027">
            <w:pPr>
              <w:pStyle w:val="Textoindependiente"/>
              <w:jc w:val="both"/>
              <w:rPr>
                <w:rFonts w:ascii="Arial" w:eastAsia="Calibri" w:hAnsi="Arial" w:cs="Arial"/>
                <w:b/>
                <w:sz w:val="22"/>
                <w:szCs w:val="22"/>
                <w:lang w:val="es-ES_tradnl"/>
              </w:rPr>
            </w:pPr>
            <w:r w:rsidRPr="00E0681A">
              <w:rPr>
                <w:rFonts w:ascii="Arial" w:eastAsia="Calibri" w:hAnsi="Arial" w:cs="Arial"/>
                <w:bCs/>
                <w:sz w:val="22"/>
                <w:szCs w:val="22"/>
                <w:lang w:val="es-ES_tradnl"/>
              </w:rPr>
              <w:t xml:space="preserve">DOCUMENTOS TIPO </w:t>
            </w:r>
            <w:r w:rsidRPr="00E0681A">
              <w:rPr>
                <w:rFonts w:ascii="Arial" w:eastAsia="Calibri" w:hAnsi="Arial" w:cs="Arial"/>
                <w:bCs/>
                <w:color w:val="000000"/>
                <w:sz w:val="22"/>
                <w:szCs w:val="22"/>
                <w:lang w:val="es-ES_tradnl"/>
              </w:rPr>
              <w:t>–</w:t>
            </w:r>
            <w:r w:rsidRPr="00E0681A">
              <w:rPr>
                <w:rFonts w:ascii="Arial" w:eastAsia="Calibri" w:hAnsi="Arial" w:cs="Arial"/>
                <w:bCs/>
                <w:sz w:val="22"/>
                <w:szCs w:val="22"/>
                <w:lang w:val="es-ES_tradnl"/>
              </w:rPr>
              <w:t xml:space="preserve"> Fundamento normativo </w:t>
            </w:r>
            <w:r w:rsidRPr="00E0681A">
              <w:rPr>
                <w:rFonts w:ascii="Arial" w:eastAsia="Calibri" w:hAnsi="Arial" w:cs="Arial"/>
                <w:bCs/>
                <w:color w:val="000000"/>
                <w:sz w:val="22"/>
                <w:szCs w:val="22"/>
                <w:lang w:val="es-ES_tradnl"/>
              </w:rPr>
              <w:t xml:space="preserve">– </w:t>
            </w:r>
            <w:r w:rsidRPr="00E0681A">
              <w:rPr>
                <w:rFonts w:ascii="Arial" w:eastAsia="Calibri" w:hAnsi="Arial" w:cs="Arial"/>
                <w:bCs/>
                <w:sz w:val="22"/>
                <w:szCs w:val="22"/>
                <w:lang w:val="es-ES_tradnl"/>
              </w:rPr>
              <w:t>Ley 2022 de 2020</w:t>
            </w:r>
            <w:r w:rsidR="004560E2" w:rsidRPr="00E0681A">
              <w:rPr>
                <w:rFonts w:ascii="Arial" w:eastAsia="Calibri" w:hAnsi="Arial" w:cs="Arial"/>
                <w:bCs/>
                <w:sz w:val="22"/>
                <w:szCs w:val="22"/>
                <w:lang w:val="es-ES_tradnl"/>
              </w:rPr>
              <w:t xml:space="preserve"> </w:t>
            </w:r>
            <w:r w:rsidR="004560E2" w:rsidRPr="00E0681A">
              <w:rPr>
                <w:rFonts w:ascii="Arial" w:eastAsia="Calibri" w:hAnsi="Arial" w:cs="Arial"/>
                <w:bCs/>
                <w:color w:val="000000"/>
                <w:sz w:val="22"/>
                <w:szCs w:val="22"/>
                <w:lang w:val="es-ES_tradnl"/>
              </w:rPr>
              <w:t xml:space="preserve">/ </w:t>
            </w:r>
            <w:r w:rsidR="004560E2" w:rsidRPr="00E0681A">
              <w:rPr>
                <w:rFonts w:ascii="Arial" w:hAnsi="Arial" w:cs="Arial"/>
                <w:bCs/>
                <w:sz w:val="22"/>
                <w:szCs w:val="22"/>
              </w:rPr>
              <w:t xml:space="preserve">DOCUMENTOS TIPO DE </w:t>
            </w:r>
            <w:r w:rsidR="00A42E11">
              <w:rPr>
                <w:rFonts w:ascii="Arial" w:hAnsi="Arial" w:cs="Arial"/>
                <w:bCs/>
                <w:sz w:val="22"/>
                <w:szCs w:val="22"/>
              </w:rPr>
              <w:t>CONSULTORÍA</w:t>
            </w:r>
            <w:r w:rsidR="004560E2" w:rsidRPr="00E0681A">
              <w:rPr>
                <w:rFonts w:ascii="Arial" w:hAnsi="Arial" w:cs="Arial"/>
                <w:bCs/>
                <w:sz w:val="22"/>
                <w:szCs w:val="22"/>
              </w:rPr>
              <w:t xml:space="preserve"> − </w:t>
            </w:r>
            <w:r w:rsidR="004560E2" w:rsidRPr="00E0681A">
              <w:rPr>
                <w:rFonts w:ascii="Arial" w:eastAsia="Calibri" w:hAnsi="Arial" w:cs="Arial"/>
                <w:bCs/>
                <w:color w:val="000000" w:themeColor="text1"/>
                <w:sz w:val="22"/>
                <w:szCs w:val="22"/>
                <w:lang w:val="es-ES_tradnl"/>
              </w:rPr>
              <w:t xml:space="preserve">Experiencia mínima habilitante </w:t>
            </w:r>
            <w:r w:rsidR="004560E2" w:rsidRPr="00E0681A">
              <w:rPr>
                <w:rFonts w:ascii="Arial" w:eastAsia="Times New Roman" w:hAnsi="Arial" w:cs="Arial"/>
                <w:bCs/>
                <w:color w:val="000000"/>
                <w:sz w:val="22"/>
                <w:szCs w:val="22"/>
                <w:lang w:val="es-ES_tradnl"/>
              </w:rPr>
              <w:t xml:space="preserve">/ </w:t>
            </w:r>
            <w:r w:rsidR="00047027" w:rsidRPr="00E0681A">
              <w:rPr>
                <w:rFonts w:ascii="Arial" w:hAnsi="Arial" w:cs="Arial"/>
                <w:bCs/>
                <w:sz w:val="22"/>
                <w:szCs w:val="22"/>
              </w:rPr>
              <w:t xml:space="preserve">DOCUMENTOS TIPO DE </w:t>
            </w:r>
            <w:r w:rsidR="00A42E11">
              <w:rPr>
                <w:rFonts w:ascii="Arial" w:hAnsi="Arial" w:cs="Arial"/>
                <w:bCs/>
                <w:sz w:val="22"/>
                <w:szCs w:val="22"/>
              </w:rPr>
              <w:t>CONSULTORÍA</w:t>
            </w:r>
            <w:r w:rsidR="00F712A6">
              <w:rPr>
                <w:rFonts w:ascii="Arial" w:hAnsi="Arial" w:cs="Arial"/>
                <w:bCs/>
                <w:sz w:val="22"/>
                <w:szCs w:val="22"/>
              </w:rPr>
              <w:t xml:space="preserve"> </w:t>
            </w:r>
            <w:r w:rsidR="004560E2" w:rsidRPr="00E0681A">
              <w:rPr>
                <w:rFonts w:ascii="Arial" w:hAnsi="Arial" w:cs="Arial"/>
                <w:bCs/>
                <w:sz w:val="22"/>
                <w:szCs w:val="22"/>
              </w:rPr>
              <w:t xml:space="preserve">/ </w:t>
            </w:r>
            <w:r w:rsidR="009347CA" w:rsidRPr="009347CA">
              <w:rPr>
                <w:rFonts w:ascii="Arial" w:eastAsia="Times New Roman" w:hAnsi="Arial" w:cs="Arial"/>
                <w:bCs/>
                <w:color w:val="000000"/>
                <w:sz w:val="22"/>
                <w:szCs w:val="22"/>
                <w:lang w:val="es-ES_tradnl"/>
              </w:rPr>
              <w:t>MÉTODOS DE PONDERACIÓN – Experiencia del proponente – Documentos tipo de consultoría – Método aleatorio – Media aritmética alta</w:t>
            </w:r>
          </w:p>
          <w:p w14:paraId="71CFAD66" w14:textId="24983615" w:rsidR="009067B1" w:rsidRPr="00E0681A" w:rsidRDefault="009067B1" w:rsidP="00111BB7">
            <w:pPr>
              <w:rPr>
                <w:rFonts w:ascii="Arial" w:eastAsia="Calibri" w:hAnsi="Arial" w:cs="Arial"/>
                <w:color w:val="000000"/>
                <w:sz w:val="22"/>
                <w:szCs w:val="22"/>
                <w:lang w:val="es-ES_tradnl"/>
              </w:rPr>
            </w:pPr>
          </w:p>
        </w:tc>
      </w:tr>
      <w:tr w:rsidR="009067B1" w:rsidRPr="00E0681A" w14:paraId="114EBAAE" w14:textId="77777777" w:rsidTr="008A76D6">
        <w:tc>
          <w:tcPr>
            <w:tcW w:w="2268" w:type="dxa"/>
          </w:tcPr>
          <w:p w14:paraId="6774214F" w14:textId="77777777" w:rsidR="009067B1" w:rsidRPr="00E0681A" w:rsidRDefault="009067B1" w:rsidP="008F0443">
            <w:pPr>
              <w:rPr>
                <w:rFonts w:ascii="Arial" w:eastAsia="Calibri" w:hAnsi="Arial" w:cs="Arial"/>
                <w:b/>
                <w:color w:val="000000"/>
                <w:sz w:val="22"/>
                <w:szCs w:val="22"/>
                <w:lang w:val="es-ES_tradnl"/>
              </w:rPr>
            </w:pPr>
            <w:r w:rsidRPr="00E0681A">
              <w:rPr>
                <w:rFonts w:ascii="Arial" w:eastAsia="Calibri" w:hAnsi="Arial" w:cs="Arial"/>
                <w:b/>
                <w:color w:val="000000"/>
                <w:sz w:val="22"/>
                <w:szCs w:val="22"/>
                <w:lang w:val="es-ES_tradnl"/>
              </w:rPr>
              <w:t>Radicación:</w:t>
            </w:r>
            <w:r w:rsidRPr="00E0681A">
              <w:rPr>
                <w:rFonts w:ascii="Arial" w:eastAsia="Calibri" w:hAnsi="Arial" w:cs="Arial"/>
                <w:color w:val="000000"/>
                <w:sz w:val="22"/>
                <w:szCs w:val="22"/>
                <w:lang w:val="es-ES_tradnl"/>
              </w:rPr>
              <w:t xml:space="preserve">                              </w:t>
            </w:r>
          </w:p>
        </w:tc>
        <w:tc>
          <w:tcPr>
            <w:tcW w:w="6658" w:type="dxa"/>
          </w:tcPr>
          <w:p w14:paraId="6D2ECB6F" w14:textId="53977536" w:rsidR="009067B1" w:rsidRPr="00E0681A" w:rsidRDefault="009067B1" w:rsidP="008F0443">
            <w:pPr>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 xml:space="preserve">Respuesta a consulta # </w:t>
            </w:r>
            <w:r w:rsidR="00A42E11" w:rsidRPr="00A42E11">
              <w:rPr>
                <w:rFonts w:ascii="Arial" w:eastAsia="Calibri" w:hAnsi="Arial" w:cs="Arial"/>
                <w:color w:val="000000"/>
                <w:sz w:val="22"/>
                <w:szCs w:val="22"/>
                <w:lang w:val="es-ES_tradnl"/>
              </w:rPr>
              <w:t>P20220202000907</w:t>
            </w:r>
          </w:p>
          <w:p w14:paraId="373F4534" w14:textId="77777777" w:rsidR="009067B1" w:rsidRPr="00E0681A" w:rsidRDefault="009067B1" w:rsidP="008F0443">
            <w:pPr>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 xml:space="preserve"> </w:t>
            </w:r>
          </w:p>
        </w:tc>
      </w:tr>
    </w:tbl>
    <w:p w14:paraId="0FB2985E" w14:textId="77777777" w:rsidR="008F0443" w:rsidRPr="00E0681A" w:rsidRDefault="008F0443" w:rsidP="008F0443">
      <w:pPr>
        <w:jc w:val="both"/>
        <w:rPr>
          <w:rFonts w:ascii="Arial" w:eastAsia="Calibri" w:hAnsi="Arial" w:cs="Arial"/>
          <w:color w:val="000000"/>
          <w:sz w:val="22"/>
          <w:szCs w:val="22"/>
          <w:lang w:val="es-ES_tradnl"/>
        </w:rPr>
      </w:pPr>
    </w:p>
    <w:p w14:paraId="3478987C" w14:textId="7532BC06" w:rsidR="009067B1" w:rsidRPr="00E0681A" w:rsidRDefault="009067B1" w:rsidP="008F0443">
      <w:pPr>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Estimad</w:t>
      </w:r>
      <w:r w:rsidR="00DB6D6B" w:rsidRPr="00E0681A">
        <w:rPr>
          <w:rFonts w:ascii="Arial" w:eastAsia="Calibri" w:hAnsi="Arial" w:cs="Arial"/>
          <w:color w:val="000000"/>
          <w:sz w:val="22"/>
          <w:szCs w:val="22"/>
          <w:lang w:val="es-ES_tradnl"/>
        </w:rPr>
        <w:t>o</w:t>
      </w:r>
      <w:r w:rsidRPr="00E0681A">
        <w:rPr>
          <w:rFonts w:ascii="Arial" w:eastAsia="Calibri" w:hAnsi="Arial" w:cs="Arial"/>
          <w:color w:val="000000"/>
          <w:sz w:val="22"/>
          <w:szCs w:val="22"/>
          <w:lang w:val="es-ES_tradnl"/>
        </w:rPr>
        <w:t xml:space="preserve"> señor </w:t>
      </w:r>
      <w:r w:rsidR="00A42E11">
        <w:rPr>
          <w:rFonts w:ascii="Arial" w:hAnsi="Arial" w:cs="Arial"/>
          <w:sz w:val="22"/>
          <w:szCs w:val="22"/>
        </w:rPr>
        <w:t>Díaz Rojas</w:t>
      </w:r>
      <w:r w:rsidR="00DB6D6B" w:rsidRPr="00E0681A">
        <w:rPr>
          <w:rFonts w:ascii="Arial" w:hAnsi="Arial" w:cs="Arial"/>
          <w:sz w:val="22"/>
          <w:szCs w:val="22"/>
        </w:rPr>
        <w:t>:</w:t>
      </w:r>
    </w:p>
    <w:p w14:paraId="3F0C6FB8" w14:textId="77777777" w:rsidR="009067B1" w:rsidRPr="00E0681A" w:rsidRDefault="009067B1" w:rsidP="00111BB7">
      <w:pPr>
        <w:jc w:val="both"/>
        <w:rPr>
          <w:rFonts w:ascii="Arial" w:eastAsia="Calibri" w:hAnsi="Arial" w:cs="Arial"/>
          <w:color w:val="000000"/>
          <w:sz w:val="22"/>
          <w:szCs w:val="22"/>
          <w:lang w:val="es-ES_tradnl"/>
        </w:rPr>
      </w:pPr>
    </w:p>
    <w:p w14:paraId="5B26C6F3" w14:textId="32F0570C" w:rsidR="009067B1" w:rsidRPr="00E0681A" w:rsidRDefault="009067B1" w:rsidP="002B6815">
      <w:pPr>
        <w:spacing w:line="276" w:lineRule="auto"/>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A42E11">
        <w:rPr>
          <w:rFonts w:ascii="Arial" w:eastAsia="Calibri" w:hAnsi="Arial" w:cs="Arial"/>
          <w:color w:val="000000"/>
          <w:sz w:val="22"/>
          <w:szCs w:val="22"/>
          <w:lang w:val="es-ES_tradnl"/>
        </w:rPr>
        <w:t>2</w:t>
      </w:r>
      <w:r w:rsidRPr="00E0681A">
        <w:rPr>
          <w:rFonts w:ascii="Arial" w:eastAsia="Calibri" w:hAnsi="Arial" w:cs="Arial"/>
          <w:color w:val="000000"/>
          <w:sz w:val="22"/>
          <w:szCs w:val="22"/>
          <w:lang w:val="es-ES_tradnl"/>
        </w:rPr>
        <w:t xml:space="preserve"> de </w:t>
      </w:r>
      <w:r w:rsidR="00A42E11">
        <w:rPr>
          <w:rFonts w:ascii="Arial" w:eastAsia="Calibri" w:hAnsi="Arial" w:cs="Arial"/>
          <w:color w:val="000000"/>
          <w:sz w:val="22"/>
          <w:szCs w:val="22"/>
          <w:lang w:val="es-ES_tradnl"/>
        </w:rPr>
        <w:t>febrero</w:t>
      </w:r>
      <w:r w:rsidRPr="00E0681A">
        <w:rPr>
          <w:rFonts w:ascii="Arial" w:eastAsia="Calibri" w:hAnsi="Arial" w:cs="Arial"/>
          <w:color w:val="000000"/>
          <w:sz w:val="22"/>
          <w:szCs w:val="22"/>
          <w:lang w:val="es-ES_tradnl"/>
        </w:rPr>
        <w:t xml:space="preserve"> del 202</w:t>
      </w:r>
      <w:r w:rsidR="00534882" w:rsidRPr="00E0681A">
        <w:rPr>
          <w:rFonts w:ascii="Arial" w:eastAsia="Calibri" w:hAnsi="Arial" w:cs="Arial"/>
          <w:color w:val="000000"/>
          <w:sz w:val="22"/>
          <w:szCs w:val="22"/>
          <w:lang w:val="es-ES_tradnl"/>
        </w:rPr>
        <w:t>2</w:t>
      </w:r>
      <w:r w:rsidRPr="00E0681A">
        <w:rPr>
          <w:rFonts w:ascii="Arial" w:eastAsia="Calibri" w:hAnsi="Arial" w:cs="Arial"/>
          <w:color w:val="000000"/>
          <w:sz w:val="22"/>
          <w:szCs w:val="22"/>
          <w:lang w:val="es-ES_tradnl"/>
        </w:rPr>
        <w:t>.</w:t>
      </w:r>
    </w:p>
    <w:p w14:paraId="3A045FAC" w14:textId="77777777" w:rsidR="009067B1" w:rsidRPr="00E0681A" w:rsidRDefault="009067B1" w:rsidP="002B6815">
      <w:pPr>
        <w:spacing w:line="276" w:lineRule="auto"/>
        <w:jc w:val="both"/>
        <w:rPr>
          <w:rFonts w:ascii="Arial" w:eastAsia="Calibri" w:hAnsi="Arial" w:cs="Arial"/>
          <w:b/>
          <w:color w:val="000000"/>
          <w:sz w:val="22"/>
          <w:szCs w:val="22"/>
          <w:lang w:val="es-ES_tradnl"/>
        </w:rPr>
      </w:pPr>
    </w:p>
    <w:p w14:paraId="54D715D6" w14:textId="609E9B02" w:rsidR="009067B1" w:rsidRPr="00E0681A" w:rsidRDefault="002B6815" w:rsidP="002B6815">
      <w:pPr>
        <w:pStyle w:val="InviasNormal"/>
        <w:spacing w:before="0" w:after="0"/>
        <w:jc w:val="both"/>
        <w:rPr>
          <w:rFonts w:ascii="Arial" w:eastAsia="Calibri" w:hAnsi="Arial" w:cs="Arial"/>
          <w:b/>
          <w:bCs/>
          <w:sz w:val="22"/>
          <w:szCs w:val="22"/>
        </w:rPr>
      </w:pPr>
      <w:r w:rsidRPr="00E0681A">
        <w:rPr>
          <w:rFonts w:ascii="Arial" w:eastAsia="Calibri" w:hAnsi="Arial" w:cs="Arial"/>
          <w:b/>
          <w:bCs/>
          <w:sz w:val="22"/>
          <w:szCs w:val="22"/>
          <w:lang w:val="es-CO"/>
        </w:rPr>
        <w:t>1.</w:t>
      </w:r>
      <w:r w:rsidR="00E328FA">
        <w:rPr>
          <w:rFonts w:ascii="Arial" w:eastAsia="Calibri" w:hAnsi="Arial" w:cs="Arial"/>
          <w:b/>
          <w:bCs/>
          <w:sz w:val="22"/>
          <w:szCs w:val="22"/>
          <w:lang w:val="es-CO"/>
        </w:rPr>
        <w:t xml:space="preserve"> </w:t>
      </w:r>
      <w:r w:rsidR="009067B1" w:rsidRPr="00E0681A">
        <w:rPr>
          <w:rFonts w:ascii="Arial" w:eastAsia="Calibri" w:hAnsi="Arial" w:cs="Arial"/>
          <w:b/>
          <w:bCs/>
          <w:sz w:val="22"/>
          <w:szCs w:val="22"/>
        </w:rPr>
        <w:t xml:space="preserve">Problema planteado </w:t>
      </w:r>
    </w:p>
    <w:p w14:paraId="235529A0" w14:textId="77777777" w:rsidR="007551F6" w:rsidRPr="00E0681A" w:rsidRDefault="007551F6" w:rsidP="007551F6">
      <w:pPr>
        <w:jc w:val="both"/>
        <w:rPr>
          <w:rFonts w:ascii="Arial" w:eastAsia="Calibri" w:hAnsi="Arial" w:cs="Arial"/>
          <w:color w:val="000000" w:themeColor="text1"/>
          <w:sz w:val="22"/>
          <w:szCs w:val="22"/>
          <w:lang w:val="es-ES_tradnl"/>
        </w:rPr>
      </w:pPr>
    </w:p>
    <w:p w14:paraId="51A1A921" w14:textId="553B814A" w:rsidR="007551F6" w:rsidRPr="00E0681A" w:rsidRDefault="007551F6" w:rsidP="007551F6">
      <w:pPr>
        <w:jc w:val="both"/>
        <w:rPr>
          <w:rFonts w:ascii="Arial" w:hAnsi="Arial" w:cs="Arial"/>
          <w:sz w:val="22"/>
          <w:szCs w:val="22"/>
        </w:rPr>
      </w:pPr>
      <w:r w:rsidRPr="00E0681A">
        <w:rPr>
          <w:rFonts w:ascii="Arial" w:eastAsia="Calibri" w:hAnsi="Arial" w:cs="Arial"/>
          <w:color w:val="000000" w:themeColor="text1"/>
          <w:sz w:val="22"/>
          <w:szCs w:val="22"/>
          <w:lang w:val="es-ES_tradnl"/>
        </w:rPr>
        <w:t xml:space="preserve">En relación con los documentos tipo de </w:t>
      </w:r>
      <w:r w:rsidR="001C6CC7" w:rsidRPr="00E0681A">
        <w:rPr>
          <w:rFonts w:ascii="Arial" w:eastAsia="Calibri" w:hAnsi="Arial" w:cs="Arial"/>
          <w:color w:val="000000" w:themeColor="text1"/>
          <w:sz w:val="22"/>
          <w:szCs w:val="22"/>
          <w:lang w:val="es-ES_tradnl"/>
        </w:rPr>
        <w:t xml:space="preserve">concurso de méritos para </w:t>
      </w:r>
      <w:r w:rsidR="00A42E11">
        <w:rPr>
          <w:rFonts w:ascii="Arial" w:eastAsia="Calibri" w:hAnsi="Arial" w:cs="Arial"/>
          <w:color w:val="000000" w:themeColor="text1"/>
          <w:sz w:val="22"/>
          <w:szCs w:val="22"/>
          <w:lang w:val="es-ES_tradnl"/>
        </w:rPr>
        <w:t>consultoría de estudios de ingeniería para infraestructura de transporte</w:t>
      </w:r>
      <w:r w:rsidRPr="00E0681A">
        <w:rPr>
          <w:rFonts w:ascii="Arial" w:hAnsi="Arial" w:cs="Arial"/>
          <w:sz w:val="22"/>
          <w:szCs w:val="22"/>
        </w:rPr>
        <w:t>,</w:t>
      </w:r>
      <w:r w:rsidR="002E71FF" w:rsidRPr="002E71FF">
        <w:t xml:space="preserve"> </w:t>
      </w:r>
      <w:r w:rsidR="002E71FF" w:rsidRPr="002E71FF">
        <w:rPr>
          <w:rFonts w:ascii="Arial" w:eastAsia="Calibri" w:hAnsi="Arial" w:cs="Arial"/>
          <w:color w:val="000000" w:themeColor="text1"/>
          <w:sz w:val="22"/>
          <w:szCs w:val="22"/>
          <w:lang w:val="es-ES_tradnl"/>
        </w:rPr>
        <w:t>adoptados mediante la Resolución 193 de 14 de julio de 2021,</w:t>
      </w:r>
      <w:r w:rsidRPr="002E71FF">
        <w:rPr>
          <w:rFonts w:ascii="Arial" w:eastAsia="Calibri" w:hAnsi="Arial" w:cs="Arial"/>
          <w:color w:val="000000" w:themeColor="text1"/>
          <w:sz w:val="22"/>
          <w:szCs w:val="22"/>
          <w:lang w:val="es-ES_tradnl"/>
        </w:rPr>
        <w:t xml:space="preserve"> y en espec</w:t>
      </w:r>
      <w:r w:rsidRPr="00E0681A">
        <w:rPr>
          <w:rFonts w:ascii="Arial" w:hAnsi="Arial" w:cs="Arial"/>
          <w:sz w:val="22"/>
          <w:szCs w:val="22"/>
        </w:rPr>
        <w:t>ial</w:t>
      </w:r>
      <w:r w:rsidR="00DB61CA" w:rsidRPr="00E0681A">
        <w:rPr>
          <w:rFonts w:ascii="Arial" w:hAnsi="Arial" w:cs="Arial"/>
          <w:sz w:val="22"/>
          <w:szCs w:val="22"/>
        </w:rPr>
        <w:t>,</w:t>
      </w:r>
      <w:r w:rsidRPr="00E0681A">
        <w:rPr>
          <w:rFonts w:ascii="Arial" w:hAnsi="Arial" w:cs="Arial"/>
          <w:sz w:val="22"/>
          <w:szCs w:val="22"/>
        </w:rPr>
        <w:t xml:space="preserve"> lo dispuesto en el </w:t>
      </w:r>
      <w:r w:rsidR="00DB61CA" w:rsidRPr="00E0681A">
        <w:rPr>
          <w:rFonts w:ascii="Arial" w:hAnsi="Arial" w:cs="Arial"/>
          <w:sz w:val="22"/>
          <w:szCs w:val="22"/>
        </w:rPr>
        <w:t xml:space="preserve">literal </w:t>
      </w:r>
      <w:r w:rsidR="0010350A">
        <w:rPr>
          <w:rFonts w:ascii="Arial" w:hAnsi="Arial" w:cs="Arial"/>
          <w:sz w:val="22"/>
          <w:szCs w:val="22"/>
        </w:rPr>
        <w:t>C</w:t>
      </w:r>
      <w:r w:rsidR="00DB61CA" w:rsidRPr="00E0681A">
        <w:rPr>
          <w:rFonts w:ascii="Arial" w:hAnsi="Arial" w:cs="Arial"/>
          <w:sz w:val="22"/>
          <w:szCs w:val="22"/>
        </w:rPr>
        <w:t xml:space="preserve"> del numeral 4.1 «FORMA DE VERIFICACIÓN Y </w:t>
      </w:r>
      <w:r w:rsidR="00DB61CA" w:rsidRPr="00DE2410">
        <w:rPr>
          <w:rFonts w:ascii="Arial" w:hAnsi="Arial" w:cs="Arial"/>
          <w:sz w:val="22"/>
          <w:szCs w:val="22"/>
        </w:rPr>
        <w:t>ASIGNACIÓN</w:t>
      </w:r>
      <w:r w:rsidR="00DB61CA" w:rsidRPr="00E0681A">
        <w:rPr>
          <w:rFonts w:ascii="Arial" w:hAnsi="Arial" w:cs="Arial"/>
          <w:sz w:val="22"/>
          <w:szCs w:val="22"/>
        </w:rPr>
        <w:t xml:space="preserve"> DE PUNTAJE POR LA EXPERIENCIA DEL PROPONENTE» del </w:t>
      </w:r>
      <w:r w:rsidRPr="00E0681A">
        <w:rPr>
          <w:rFonts w:ascii="Arial" w:hAnsi="Arial" w:cs="Arial"/>
          <w:sz w:val="22"/>
          <w:szCs w:val="22"/>
        </w:rPr>
        <w:t>Documento Base, concretamente</w:t>
      </w:r>
      <w:r w:rsidR="00DB61CA" w:rsidRPr="00E0681A">
        <w:rPr>
          <w:rFonts w:ascii="Arial" w:hAnsi="Arial" w:cs="Arial"/>
          <w:sz w:val="22"/>
          <w:szCs w:val="22"/>
        </w:rPr>
        <w:t>, frente a la fórmula de la media aritméti</w:t>
      </w:r>
      <w:r w:rsidR="0010350A">
        <w:rPr>
          <w:rFonts w:ascii="Arial" w:hAnsi="Arial" w:cs="Arial"/>
          <w:sz w:val="22"/>
          <w:szCs w:val="22"/>
        </w:rPr>
        <w:t>ca alta</w:t>
      </w:r>
      <w:r w:rsidRPr="00E0681A">
        <w:rPr>
          <w:rFonts w:ascii="Arial" w:hAnsi="Arial" w:cs="Arial"/>
          <w:sz w:val="22"/>
          <w:szCs w:val="22"/>
        </w:rPr>
        <w:t xml:space="preserve">, usted </w:t>
      </w:r>
      <w:r w:rsidR="00DB61CA" w:rsidRPr="00E0681A">
        <w:rPr>
          <w:rFonts w:ascii="Arial" w:hAnsi="Arial" w:cs="Arial"/>
          <w:sz w:val="22"/>
          <w:szCs w:val="22"/>
        </w:rPr>
        <w:t>pide la siguiente aclaración</w:t>
      </w:r>
      <w:r w:rsidRPr="00E0681A">
        <w:rPr>
          <w:rFonts w:ascii="Arial" w:hAnsi="Arial" w:cs="Arial"/>
          <w:sz w:val="22"/>
          <w:szCs w:val="22"/>
        </w:rPr>
        <w:t>:</w:t>
      </w:r>
    </w:p>
    <w:p w14:paraId="41E24223" w14:textId="77777777" w:rsidR="007551F6" w:rsidRPr="009C0CE5" w:rsidRDefault="007551F6" w:rsidP="007551F6"/>
    <w:p w14:paraId="201008D1" w14:textId="50287A92" w:rsidR="007551F6" w:rsidRPr="009C0CE5" w:rsidRDefault="00DB61CA" w:rsidP="0010350A">
      <w:pPr>
        <w:tabs>
          <w:tab w:val="left" w:pos="1545"/>
        </w:tabs>
        <w:spacing w:after="120"/>
        <w:ind w:left="709" w:right="709"/>
        <w:jc w:val="both"/>
        <w:rPr>
          <w:rFonts w:ascii="Arial" w:hAnsi="Arial" w:cs="Arial"/>
          <w:sz w:val="21"/>
          <w:szCs w:val="21"/>
        </w:rPr>
      </w:pPr>
      <w:r w:rsidRPr="009C0CE5">
        <w:rPr>
          <w:rFonts w:ascii="Arial" w:hAnsi="Arial" w:cs="Arial"/>
          <w:sz w:val="21"/>
          <w:szCs w:val="21"/>
        </w:rPr>
        <w:t>«</w:t>
      </w:r>
      <w:r w:rsidRPr="00DB61CA">
        <w:rPr>
          <w:rFonts w:ascii="Arial" w:hAnsi="Arial" w:cs="Arial"/>
          <w:sz w:val="21"/>
          <w:szCs w:val="21"/>
        </w:rPr>
        <w:t xml:space="preserve">[…] </w:t>
      </w:r>
      <w:r w:rsidR="0010350A" w:rsidRPr="0010350A">
        <w:rPr>
          <w:rFonts w:ascii="Arial" w:hAnsi="Arial" w:cs="Arial"/>
          <w:sz w:val="21"/>
          <w:szCs w:val="21"/>
        </w:rPr>
        <w:t>aclare</w:t>
      </w:r>
      <w:r w:rsidR="0010350A">
        <w:rPr>
          <w:rFonts w:ascii="Arial" w:hAnsi="Arial" w:cs="Arial"/>
          <w:sz w:val="21"/>
          <w:szCs w:val="21"/>
        </w:rPr>
        <w:t xml:space="preserve"> </w:t>
      </w:r>
      <w:r w:rsidR="0010350A" w:rsidRPr="0010350A">
        <w:rPr>
          <w:rFonts w:ascii="Arial" w:hAnsi="Arial" w:cs="Arial"/>
          <w:sz w:val="21"/>
          <w:szCs w:val="21"/>
        </w:rPr>
        <w:t>la manera correcta de utilizar el m</w:t>
      </w:r>
      <w:r w:rsidR="00E328FA">
        <w:rPr>
          <w:rFonts w:ascii="Arial" w:hAnsi="Arial" w:cs="Arial"/>
          <w:sz w:val="21"/>
          <w:szCs w:val="21"/>
        </w:rPr>
        <w:t>é</w:t>
      </w:r>
      <w:r w:rsidR="0010350A" w:rsidRPr="0010350A">
        <w:rPr>
          <w:rFonts w:ascii="Arial" w:hAnsi="Arial" w:cs="Arial"/>
          <w:sz w:val="21"/>
          <w:szCs w:val="21"/>
        </w:rPr>
        <w:t>todo de MEDIA ARITM</w:t>
      </w:r>
      <w:r w:rsidR="00E328FA">
        <w:rPr>
          <w:rFonts w:ascii="Arial" w:hAnsi="Arial" w:cs="Arial"/>
          <w:sz w:val="21"/>
          <w:szCs w:val="21"/>
        </w:rPr>
        <w:t>É</w:t>
      </w:r>
      <w:r w:rsidR="0010350A" w:rsidRPr="0010350A">
        <w:rPr>
          <w:rFonts w:ascii="Arial" w:hAnsi="Arial" w:cs="Arial"/>
          <w:sz w:val="21"/>
          <w:szCs w:val="21"/>
        </w:rPr>
        <w:t>TICA ALTA,</w:t>
      </w:r>
      <w:r w:rsidR="0010350A">
        <w:rPr>
          <w:rFonts w:ascii="Arial" w:hAnsi="Arial" w:cs="Arial"/>
          <w:sz w:val="21"/>
          <w:szCs w:val="21"/>
        </w:rPr>
        <w:t xml:space="preserve"> </w:t>
      </w:r>
      <w:r w:rsidR="0010350A" w:rsidRPr="0010350A">
        <w:rPr>
          <w:rFonts w:ascii="Arial" w:hAnsi="Arial" w:cs="Arial"/>
          <w:sz w:val="21"/>
          <w:szCs w:val="21"/>
        </w:rPr>
        <w:t>espec</w:t>
      </w:r>
      <w:r w:rsidR="0010350A">
        <w:rPr>
          <w:rFonts w:ascii="Arial" w:hAnsi="Arial" w:cs="Arial"/>
          <w:sz w:val="21"/>
          <w:szCs w:val="21"/>
        </w:rPr>
        <w:t>í</w:t>
      </w:r>
      <w:r w:rsidR="0010350A" w:rsidRPr="0010350A">
        <w:rPr>
          <w:rFonts w:ascii="Arial" w:hAnsi="Arial" w:cs="Arial"/>
          <w:sz w:val="21"/>
          <w:szCs w:val="21"/>
        </w:rPr>
        <w:t>ficamente en la interpretaci</w:t>
      </w:r>
      <w:r w:rsidR="0010350A">
        <w:rPr>
          <w:rFonts w:ascii="Arial" w:hAnsi="Arial" w:cs="Arial"/>
          <w:sz w:val="21"/>
          <w:szCs w:val="21"/>
        </w:rPr>
        <w:t>ó</w:t>
      </w:r>
      <w:r w:rsidR="0010350A" w:rsidRPr="0010350A">
        <w:rPr>
          <w:rFonts w:ascii="Arial" w:hAnsi="Arial" w:cs="Arial"/>
          <w:sz w:val="21"/>
          <w:szCs w:val="21"/>
        </w:rPr>
        <w:t>n de las variables que componen la f</w:t>
      </w:r>
      <w:r w:rsidR="0010350A">
        <w:rPr>
          <w:rFonts w:ascii="Arial" w:hAnsi="Arial" w:cs="Arial"/>
          <w:sz w:val="21"/>
          <w:szCs w:val="21"/>
        </w:rPr>
        <w:t>ó</w:t>
      </w:r>
      <w:r w:rsidR="0010350A" w:rsidRPr="0010350A">
        <w:rPr>
          <w:rFonts w:ascii="Arial" w:hAnsi="Arial" w:cs="Arial"/>
          <w:sz w:val="21"/>
          <w:szCs w:val="21"/>
        </w:rPr>
        <w:t>rmula utilizada</w:t>
      </w:r>
      <w:r w:rsidR="0010350A">
        <w:rPr>
          <w:rFonts w:ascii="Arial" w:hAnsi="Arial" w:cs="Arial"/>
          <w:sz w:val="21"/>
          <w:szCs w:val="21"/>
        </w:rPr>
        <w:t xml:space="preserve"> </w:t>
      </w:r>
      <w:r w:rsidR="0010350A" w:rsidRPr="0010350A">
        <w:rPr>
          <w:rFonts w:ascii="Arial" w:hAnsi="Arial" w:cs="Arial"/>
          <w:sz w:val="21"/>
          <w:szCs w:val="21"/>
        </w:rPr>
        <w:t>para calcularla, pues en varios concursos de m</w:t>
      </w:r>
      <w:r w:rsidR="0010350A">
        <w:rPr>
          <w:rFonts w:ascii="Arial" w:hAnsi="Arial" w:cs="Arial"/>
          <w:sz w:val="21"/>
          <w:szCs w:val="21"/>
        </w:rPr>
        <w:t>é</w:t>
      </w:r>
      <w:r w:rsidR="0010350A" w:rsidRPr="0010350A">
        <w:rPr>
          <w:rFonts w:ascii="Arial" w:hAnsi="Arial" w:cs="Arial"/>
          <w:sz w:val="21"/>
          <w:szCs w:val="21"/>
        </w:rPr>
        <w:t>ritos en que hemos participado se han</w:t>
      </w:r>
      <w:r w:rsidR="0010350A">
        <w:rPr>
          <w:rFonts w:ascii="Arial" w:hAnsi="Arial" w:cs="Arial"/>
          <w:sz w:val="21"/>
          <w:szCs w:val="21"/>
        </w:rPr>
        <w:t xml:space="preserve"> </w:t>
      </w:r>
      <w:r w:rsidR="0010350A" w:rsidRPr="0010350A">
        <w:rPr>
          <w:rFonts w:ascii="Arial" w:hAnsi="Arial" w:cs="Arial"/>
          <w:sz w:val="21"/>
          <w:szCs w:val="21"/>
        </w:rPr>
        <w:t>interpretado de dos maneras diferentes</w:t>
      </w:r>
      <w:r w:rsidR="0010350A">
        <w:rPr>
          <w:rFonts w:ascii="Arial" w:hAnsi="Arial" w:cs="Arial"/>
          <w:sz w:val="21"/>
          <w:szCs w:val="21"/>
        </w:rPr>
        <w:t xml:space="preserve"> […]</w:t>
      </w:r>
      <w:r w:rsidR="007551F6" w:rsidRPr="009C0CE5">
        <w:rPr>
          <w:rFonts w:ascii="Arial" w:hAnsi="Arial" w:cs="Arial"/>
          <w:sz w:val="21"/>
          <w:szCs w:val="21"/>
        </w:rPr>
        <w:t>».</w:t>
      </w:r>
    </w:p>
    <w:p w14:paraId="0526E61D" w14:textId="77777777" w:rsidR="003E396A" w:rsidRPr="009C0CE5" w:rsidRDefault="003E396A" w:rsidP="003E396A">
      <w:pPr>
        <w:tabs>
          <w:tab w:val="left" w:pos="1545"/>
        </w:tabs>
        <w:ind w:left="709" w:right="709"/>
        <w:jc w:val="both"/>
        <w:rPr>
          <w:rFonts w:ascii="Arial" w:hAnsi="Arial" w:cs="Arial"/>
        </w:rPr>
      </w:pPr>
    </w:p>
    <w:p w14:paraId="6B4B6B81" w14:textId="3AA567C6" w:rsidR="003E396A" w:rsidRPr="00E0681A" w:rsidRDefault="003E396A" w:rsidP="003E396A">
      <w:pPr>
        <w:tabs>
          <w:tab w:val="left" w:pos="426"/>
        </w:tabs>
        <w:spacing w:line="276" w:lineRule="auto"/>
        <w:contextualSpacing/>
        <w:jc w:val="both"/>
        <w:rPr>
          <w:rFonts w:ascii="Arial" w:eastAsia="Calibri" w:hAnsi="Arial" w:cs="Arial"/>
          <w:b/>
          <w:sz w:val="22"/>
          <w:szCs w:val="22"/>
          <w:lang w:val="es-ES_tradnl"/>
        </w:rPr>
      </w:pPr>
      <w:r w:rsidRPr="00E0681A">
        <w:rPr>
          <w:rFonts w:ascii="Arial" w:eastAsia="Calibri" w:hAnsi="Arial" w:cs="Arial"/>
          <w:b/>
          <w:sz w:val="22"/>
          <w:szCs w:val="22"/>
          <w:lang w:val="es-ES_tradnl"/>
        </w:rPr>
        <w:t>2. Consideraciones</w:t>
      </w:r>
    </w:p>
    <w:p w14:paraId="476827C7" w14:textId="77777777" w:rsidR="003E396A" w:rsidRPr="00E0681A" w:rsidRDefault="003E396A" w:rsidP="003E396A">
      <w:pPr>
        <w:tabs>
          <w:tab w:val="left" w:pos="426"/>
        </w:tabs>
        <w:ind w:left="284"/>
        <w:contextualSpacing/>
        <w:jc w:val="both"/>
        <w:rPr>
          <w:rFonts w:ascii="Arial" w:eastAsia="Calibri" w:hAnsi="Arial" w:cs="Arial"/>
          <w:b/>
          <w:sz w:val="22"/>
          <w:szCs w:val="22"/>
          <w:lang w:val="es-ES_tradnl"/>
        </w:rPr>
      </w:pPr>
    </w:p>
    <w:p w14:paraId="76AFFFBE" w14:textId="1053F193" w:rsidR="000C561E" w:rsidRPr="00E0681A" w:rsidRDefault="003E396A" w:rsidP="00AA0F85">
      <w:pPr>
        <w:tabs>
          <w:tab w:val="left" w:pos="-142"/>
        </w:tabs>
        <w:autoSpaceDE w:val="0"/>
        <w:autoSpaceDN w:val="0"/>
        <w:adjustRightInd w:val="0"/>
        <w:spacing w:after="120" w:line="276" w:lineRule="auto"/>
        <w:jc w:val="both"/>
        <w:rPr>
          <w:rFonts w:ascii="Arial" w:eastAsia="Calibri" w:hAnsi="Arial" w:cs="Arial"/>
          <w:color w:val="000000"/>
          <w:sz w:val="22"/>
          <w:szCs w:val="22"/>
          <w:lang w:val="es-ES_tradnl"/>
        </w:rPr>
      </w:pPr>
      <w:r w:rsidRPr="00E0681A">
        <w:rPr>
          <w:rFonts w:ascii="Arial" w:hAnsi="Arial" w:cs="Arial"/>
          <w:sz w:val="22"/>
          <w:szCs w:val="22"/>
          <w:lang w:val="es-ES"/>
        </w:rPr>
        <w:lastRenderedPageBreak/>
        <w:t>Para absolver los interrogantes formulados</w:t>
      </w:r>
      <w:r w:rsidR="004B6AC4" w:rsidRPr="00E0681A">
        <w:rPr>
          <w:rFonts w:ascii="Arial" w:hAnsi="Arial" w:cs="Arial"/>
          <w:sz w:val="22"/>
          <w:szCs w:val="22"/>
          <w:lang w:val="es-ES"/>
        </w:rPr>
        <w:t xml:space="preserve"> en su consulta</w:t>
      </w:r>
      <w:r w:rsidRPr="00E0681A">
        <w:rPr>
          <w:rFonts w:ascii="Arial" w:hAnsi="Arial" w:cs="Arial"/>
          <w:sz w:val="22"/>
          <w:szCs w:val="22"/>
          <w:lang w:val="es-ES"/>
        </w:rPr>
        <w:t>, esta dependencia analizará los siguientes temas:</w:t>
      </w:r>
      <w:r w:rsidRPr="00E0681A">
        <w:rPr>
          <w:rFonts w:ascii="Arial" w:eastAsia="Calibri" w:hAnsi="Arial" w:cs="Arial"/>
          <w:sz w:val="22"/>
          <w:szCs w:val="22"/>
          <w:lang w:val="es-ES_tradnl"/>
        </w:rPr>
        <w:t xml:space="preserve"> i) </w:t>
      </w:r>
      <w:r w:rsidR="0092291F" w:rsidRPr="00E0681A">
        <w:rPr>
          <w:rFonts w:ascii="Arial" w:eastAsia="Calibri" w:hAnsi="Arial" w:cs="Arial"/>
          <w:color w:val="000000" w:themeColor="text1"/>
          <w:sz w:val="22"/>
          <w:szCs w:val="22"/>
          <w:lang w:val="es-ES_tradnl"/>
        </w:rPr>
        <w:t>f</w:t>
      </w:r>
      <w:r w:rsidRPr="00E0681A">
        <w:rPr>
          <w:rFonts w:ascii="Arial" w:eastAsia="Calibri" w:hAnsi="Arial" w:cs="Arial"/>
          <w:color w:val="000000" w:themeColor="text1"/>
          <w:sz w:val="22"/>
          <w:szCs w:val="22"/>
          <w:lang w:val="es-ES_tradnl"/>
        </w:rPr>
        <w:t>undamento normativo de los documentos tipo</w:t>
      </w:r>
      <w:r w:rsidR="00CA4A0F" w:rsidRPr="00E0681A">
        <w:rPr>
          <w:rFonts w:ascii="Arial" w:eastAsia="Arial" w:hAnsi="Arial" w:cs="Arial"/>
          <w:color w:val="000000"/>
          <w:sz w:val="22"/>
          <w:szCs w:val="22"/>
          <w:lang w:val="es-ES_tradnl"/>
        </w:rPr>
        <w:t xml:space="preserve">; </w:t>
      </w:r>
      <w:r w:rsidRPr="00E0681A">
        <w:rPr>
          <w:rFonts w:ascii="Arial" w:eastAsia="Calibri" w:hAnsi="Arial" w:cs="Arial"/>
          <w:sz w:val="22"/>
          <w:szCs w:val="22"/>
          <w:lang w:val="es-ES_tradnl"/>
        </w:rPr>
        <w:t xml:space="preserve">ii) </w:t>
      </w:r>
      <w:r w:rsidR="00753D32" w:rsidRPr="00E0681A">
        <w:rPr>
          <w:rFonts w:ascii="Arial" w:eastAsia="Calibri" w:hAnsi="Arial" w:cs="Arial"/>
          <w:color w:val="000000" w:themeColor="text1"/>
          <w:sz w:val="22"/>
          <w:szCs w:val="22"/>
          <w:lang w:val="es-ES_tradnl"/>
        </w:rPr>
        <w:t>l</w:t>
      </w:r>
      <w:r w:rsidR="00DE1696" w:rsidRPr="00E0681A">
        <w:rPr>
          <w:rFonts w:ascii="Arial" w:eastAsia="Calibri" w:hAnsi="Arial" w:cs="Arial"/>
          <w:color w:val="000000" w:themeColor="text1"/>
          <w:sz w:val="22"/>
          <w:szCs w:val="22"/>
          <w:lang w:val="es-ES_tradnl"/>
        </w:rPr>
        <w:t xml:space="preserve">a experiencia mínima –habilitante– del proponente en los documentos tipo </w:t>
      </w:r>
      <w:r w:rsidR="0092291F" w:rsidRPr="00E0681A">
        <w:rPr>
          <w:rFonts w:ascii="Arial" w:eastAsia="Calibri" w:hAnsi="Arial" w:cs="Arial"/>
          <w:color w:val="000000" w:themeColor="text1"/>
          <w:sz w:val="22"/>
          <w:szCs w:val="22"/>
          <w:lang w:val="es-ES_tradnl"/>
        </w:rPr>
        <w:t xml:space="preserve">de </w:t>
      </w:r>
      <w:r w:rsidR="0010350A">
        <w:rPr>
          <w:rFonts w:ascii="Arial" w:eastAsia="Calibri" w:hAnsi="Arial" w:cs="Arial"/>
          <w:color w:val="000000" w:themeColor="text1"/>
          <w:sz w:val="22"/>
          <w:szCs w:val="22"/>
          <w:lang w:val="es-ES_tradnl"/>
        </w:rPr>
        <w:t xml:space="preserve">consultoría para estudios de ingeniería </w:t>
      </w:r>
      <w:r w:rsidR="00DE1696" w:rsidRPr="00E0681A">
        <w:rPr>
          <w:rFonts w:ascii="Arial" w:eastAsia="Calibri" w:hAnsi="Arial" w:cs="Arial"/>
          <w:color w:val="000000" w:themeColor="text1"/>
          <w:sz w:val="22"/>
          <w:szCs w:val="22"/>
          <w:lang w:val="es-ES_tradnl"/>
        </w:rPr>
        <w:t>de infraestructura de transporte</w:t>
      </w:r>
      <w:r w:rsidR="00F712A6">
        <w:rPr>
          <w:rFonts w:ascii="Arial" w:eastAsia="Calibri" w:hAnsi="Arial" w:cs="Arial"/>
          <w:color w:val="000000" w:themeColor="text1"/>
          <w:sz w:val="22"/>
          <w:szCs w:val="22"/>
          <w:lang w:val="es-ES_tradnl"/>
        </w:rPr>
        <w:t xml:space="preserve"> y iii</w:t>
      </w:r>
      <w:r w:rsidR="00DE1696" w:rsidRPr="00E0681A">
        <w:rPr>
          <w:rFonts w:ascii="Arial" w:eastAsia="Calibri" w:hAnsi="Arial" w:cs="Arial"/>
          <w:color w:val="000000" w:themeColor="text1"/>
          <w:sz w:val="22"/>
          <w:szCs w:val="22"/>
          <w:lang w:val="es-ES_tradnl"/>
        </w:rPr>
        <w:t xml:space="preserve">) </w:t>
      </w:r>
      <w:r w:rsidR="0019345B" w:rsidRPr="00E0681A">
        <w:rPr>
          <w:rFonts w:ascii="Arial" w:eastAsia="Calibri" w:hAnsi="Arial" w:cs="Arial"/>
          <w:color w:val="000000"/>
          <w:sz w:val="22"/>
          <w:szCs w:val="22"/>
          <w:lang w:val="es-ES_tradnl"/>
        </w:rPr>
        <w:t xml:space="preserve">regla para la determinación del método de ponderación de la experiencia en el documento tipo </w:t>
      </w:r>
      <w:r w:rsidR="0010350A" w:rsidRPr="00E0681A">
        <w:rPr>
          <w:rFonts w:ascii="Arial" w:eastAsia="Calibri" w:hAnsi="Arial" w:cs="Arial"/>
          <w:color w:val="000000" w:themeColor="text1"/>
          <w:sz w:val="22"/>
          <w:szCs w:val="22"/>
          <w:lang w:val="es-ES_tradnl"/>
        </w:rPr>
        <w:t xml:space="preserve">de </w:t>
      </w:r>
      <w:r w:rsidR="0010350A">
        <w:rPr>
          <w:rFonts w:ascii="Arial" w:eastAsia="Calibri" w:hAnsi="Arial" w:cs="Arial"/>
          <w:color w:val="000000" w:themeColor="text1"/>
          <w:sz w:val="22"/>
          <w:szCs w:val="22"/>
          <w:lang w:val="es-ES_tradnl"/>
        </w:rPr>
        <w:t xml:space="preserve">consultoría para estudios de ingeniería </w:t>
      </w:r>
      <w:r w:rsidR="0010350A" w:rsidRPr="00E0681A">
        <w:rPr>
          <w:rFonts w:ascii="Arial" w:eastAsia="Calibri" w:hAnsi="Arial" w:cs="Arial"/>
          <w:color w:val="000000" w:themeColor="text1"/>
          <w:sz w:val="22"/>
          <w:szCs w:val="22"/>
          <w:lang w:val="es-ES_tradnl"/>
        </w:rPr>
        <w:t>de infraestructura de transporte</w:t>
      </w:r>
      <w:r w:rsidR="0010350A">
        <w:rPr>
          <w:rFonts w:ascii="Arial" w:eastAsia="Calibri" w:hAnsi="Arial" w:cs="Arial"/>
          <w:color w:val="000000" w:themeColor="text1"/>
          <w:sz w:val="22"/>
          <w:szCs w:val="22"/>
          <w:lang w:val="es-ES_tradnl"/>
        </w:rPr>
        <w:t>.</w:t>
      </w:r>
      <w:r w:rsidR="0019345B" w:rsidRPr="00E0681A">
        <w:rPr>
          <w:rFonts w:ascii="Arial" w:eastAsia="Calibri" w:hAnsi="Arial" w:cs="Arial"/>
          <w:color w:val="000000"/>
          <w:sz w:val="22"/>
          <w:szCs w:val="22"/>
          <w:lang w:val="es-ES_tradnl"/>
        </w:rPr>
        <w:t xml:space="preserve"> </w:t>
      </w:r>
    </w:p>
    <w:p w14:paraId="541B9FD8" w14:textId="6965B751" w:rsidR="004B781F" w:rsidRPr="00E0681A" w:rsidRDefault="00B933DA" w:rsidP="002E3661">
      <w:pPr>
        <w:tabs>
          <w:tab w:val="left" w:pos="-142"/>
        </w:tabs>
        <w:autoSpaceDE w:val="0"/>
        <w:autoSpaceDN w:val="0"/>
        <w:adjustRightInd w:val="0"/>
        <w:spacing w:after="120" w:line="276" w:lineRule="auto"/>
        <w:jc w:val="both"/>
        <w:rPr>
          <w:rFonts w:ascii="Arial" w:eastAsia="Arial" w:hAnsi="Arial" w:cs="Arial"/>
          <w:sz w:val="22"/>
          <w:szCs w:val="22"/>
          <w:lang w:val="es-ES_tradnl"/>
        </w:rPr>
      </w:pPr>
      <w:r w:rsidRPr="00E0681A">
        <w:rPr>
          <w:rFonts w:ascii="Arial" w:hAnsi="Arial" w:cs="Arial"/>
          <w:noProof/>
          <w:color w:val="000000" w:themeColor="text1"/>
          <w:sz w:val="22"/>
          <w:szCs w:val="22"/>
          <w:lang w:val="es-ES_tradnl"/>
        </w:rPr>
        <w:tab/>
        <w:t xml:space="preserve">La Agencia Nacional de Contratación Pública – Colombia Compra Eficiente se pronunció sobre </w:t>
      </w:r>
      <w:r w:rsidRPr="00E0681A">
        <w:rPr>
          <w:rFonts w:ascii="Arial" w:eastAsia="Arial" w:hAnsi="Arial" w:cs="Arial"/>
          <w:color w:val="000000"/>
          <w:sz w:val="22"/>
          <w:szCs w:val="22"/>
          <w:lang w:val="es-ES_tradnl"/>
        </w:rPr>
        <w:t xml:space="preserve">los </w:t>
      </w:r>
      <w:r w:rsidR="003C5857" w:rsidRPr="00E0681A">
        <w:rPr>
          <w:rFonts w:ascii="Arial" w:eastAsia="Arial" w:hAnsi="Arial" w:cs="Arial"/>
          <w:color w:val="000000"/>
          <w:sz w:val="22"/>
          <w:szCs w:val="22"/>
          <w:lang w:val="es-ES_tradnl"/>
        </w:rPr>
        <w:t>documentos tipo</w:t>
      </w:r>
      <w:r w:rsidRPr="00E0681A">
        <w:rPr>
          <w:rFonts w:ascii="Arial" w:eastAsia="Arial" w:hAnsi="Arial" w:cs="Arial"/>
          <w:color w:val="000000"/>
          <w:sz w:val="22"/>
          <w:szCs w:val="22"/>
          <w:lang w:val="es-ES_tradnl"/>
        </w:rPr>
        <w:t xml:space="preserve"> en la contratación estatal, así como su inalterabilidad, entre otros, en los siguientes conceptos: </w:t>
      </w:r>
      <w:r w:rsidRPr="00E0681A">
        <w:rPr>
          <w:rFonts w:ascii="Arial" w:eastAsia="Arial" w:hAnsi="Arial" w:cs="Arial"/>
          <w:sz w:val="22"/>
          <w:szCs w:val="22"/>
          <w:lang w:val="es-ES_tradnl"/>
        </w:rPr>
        <w:t xml:space="preserve">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C-179 del </w:t>
      </w:r>
      <w:r w:rsidR="00B23F98" w:rsidRPr="00E0681A">
        <w:rPr>
          <w:rFonts w:ascii="Arial" w:eastAsia="Arial" w:hAnsi="Arial" w:cs="Arial"/>
          <w:sz w:val="22"/>
          <w:szCs w:val="22"/>
          <w:lang w:val="es-ES_tradnl"/>
        </w:rPr>
        <w:t xml:space="preserve">28 de abril de 2021, </w:t>
      </w:r>
      <w:r w:rsidR="00E16818" w:rsidRPr="00E0681A">
        <w:rPr>
          <w:rFonts w:ascii="Arial" w:eastAsia="Arial" w:hAnsi="Arial" w:cs="Arial"/>
          <w:sz w:val="22"/>
          <w:szCs w:val="22"/>
          <w:lang w:val="es-ES_tradnl"/>
        </w:rPr>
        <w:t>C-188 del 29 de abril de 20212</w:t>
      </w:r>
      <w:r w:rsidR="003C5857" w:rsidRPr="00E0681A">
        <w:rPr>
          <w:rFonts w:ascii="Arial" w:eastAsia="Arial" w:hAnsi="Arial" w:cs="Arial"/>
          <w:sz w:val="22"/>
          <w:szCs w:val="22"/>
          <w:lang w:val="es-ES_tradnl"/>
        </w:rPr>
        <w:t xml:space="preserve"> y</w:t>
      </w:r>
      <w:r w:rsidR="00E16818" w:rsidRPr="00E0681A">
        <w:rPr>
          <w:rFonts w:ascii="Arial" w:eastAsia="Arial" w:hAnsi="Arial" w:cs="Arial"/>
          <w:sz w:val="22"/>
          <w:szCs w:val="22"/>
          <w:lang w:val="es-ES_tradnl"/>
        </w:rPr>
        <w:t xml:space="preserve"> </w:t>
      </w:r>
      <w:r w:rsidR="009D140A" w:rsidRPr="00E0681A">
        <w:rPr>
          <w:rFonts w:ascii="Arial" w:eastAsia="Arial" w:hAnsi="Arial" w:cs="Arial"/>
          <w:sz w:val="22"/>
          <w:szCs w:val="22"/>
          <w:lang w:val="es-ES_tradnl"/>
        </w:rPr>
        <w:t xml:space="preserve">C-332 del </w:t>
      </w:r>
      <w:r w:rsidR="009C7035" w:rsidRPr="00E0681A">
        <w:rPr>
          <w:rFonts w:ascii="Arial" w:eastAsia="Arial" w:hAnsi="Arial" w:cs="Arial"/>
          <w:sz w:val="22"/>
          <w:szCs w:val="22"/>
          <w:lang w:val="es-ES_tradnl"/>
        </w:rPr>
        <w:t>7 de mayo de 2021</w:t>
      </w:r>
      <w:r w:rsidR="00D14AD1" w:rsidRPr="00E0681A">
        <w:rPr>
          <w:rFonts w:ascii="Arial" w:eastAsia="Arial" w:hAnsi="Arial" w:cs="Arial"/>
          <w:sz w:val="22"/>
          <w:szCs w:val="22"/>
          <w:lang w:val="es-ES_tradnl"/>
        </w:rPr>
        <w:t xml:space="preserve">. </w:t>
      </w:r>
    </w:p>
    <w:p w14:paraId="5DAC0506" w14:textId="434C1AFA" w:rsidR="003E396A" w:rsidRPr="00E0681A" w:rsidRDefault="004B781F" w:rsidP="009F1461">
      <w:pPr>
        <w:tabs>
          <w:tab w:val="left" w:pos="-142"/>
        </w:tabs>
        <w:autoSpaceDE w:val="0"/>
        <w:autoSpaceDN w:val="0"/>
        <w:adjustRightInd w:val="0"/>
        <w:spacing w:after="120" w:line="276" w:lineRule="auto"/>
        <w:jc w:val="both"/>
        <w:rPr>
          <w:rFonts w:ascii="Arial" w:eastAsia="Calibri" w:hAnsi="Arial" w:cs="Arial"/>
          <w:color w:val="000000" w:themeColor="text1"/>
          <w:sz w:val="22"/>
          <w:szCs w:val="22"/>
          <w:lang w:val="es-ES_tradnl"/>
        </w:rPr>
      </w:pPr>
      <w:r w:rsidRPr="00E0681A">
        <w:rPr>
          <w:rFonts w:ascii="Arial" w:eastAsia="Arial" w:hAnsi="Arial" w:cs="Arial"/>
          <w:sz w:val="22"/>
          <w:szCs w:val="22"/>
          <w:lang w:val="es-ES_tradnl"/>
        </w:rPr>
        <w:tab/>
      </w:r>
      <w:r w:rsidR="00D14AD1" w:rsidRPr="00E0681A">
        <w:rPr>
          <w:rFonts w:ascii="Arial" w:eastAsia="Arial" w:hAnsi="Arial" w:cs="Arial"/>
          <w:sz w:val="22"/>
          <w:szCs w:val="22"/>
          <w:lang w:val="es-ES_tradnl"/>
        </w:rPr>
        <w:t xml:space="preserve">Ahora bien, </w:t>
      </w:r>
      <w:r w:rsidR="002E3661" w:rsidRPr="00E0681A">
        <w:rPr>
          <w:rFonts w:ascii="Arial" w:eastAsia="Calibri" w:hAnsi="Arial" w:cs="Arial"/>
          <w:color w:val="000000" w:themeColor="text1"/>
          <w:sz w:val="22"/>
          <w:szCs w:val="22"/>
          <w:lang w:val="es-ES_tradnl"/>
        </w:rPr>
        <w:t xml:space="preserve">en relación con la </w:t>
      </w:r>
      <w:r w:rsidR="00A92250" w:rsidRPr="00E0681A">
        <w:rPr>
          <w:rFonts w:ascii="Arial" w:eastAsia="Calibri" w:hAnsi="Arial" w:cs="Arial"/>
          <w:color w:val="000000" w:themeColor="text1"/>
          <w:sz w:val="22"/>
          <w:szCs w:val="22"/>
          <w:lang w:val="es-ES_tradnl"/>
        </w:rPr>
        <w:t xml:space="preserve">experiencia mínima –habilitante– del proponente en los documentos tipo para procesos de selección de concurso de méritos, </w:t>
      </w:r>
      <w:r w:rsidR="00B448AC" w:rsidRPr="00E0681A">
        <w:rPr>
          <w:rFonts w:ascii="Arial" w:eastAsia="Calibri" w:hAnsi="Arial" w:cs="Arial"/>
          <w:color w:val="000000" w:themeColor="text1"/>
          <w:sz w:val="22"/>
          <w:szCs w:val="22"/>
          <w:lang w:val="es-ES_tradnl"/>
        </w:rPr>
        <w:t xml:space="preserve">esta Agencia se ha pronunciado, </w:t>
      </w:r>
      <w:r w:rsidR="00A92250" w:rsidRPr="00E0681A">
        <w:rPr>
          <w:rFonts w:ascii="Arial" w:eastAsia="Calibri" w:hAnsi="Arial" w:cs="Arial"/>
          <w:color w:val="000000" w:themeColor="text1"/>
          <w:sz w:val="22"/>
          <w:szCs w:val="22"/>
          <w:lang w:val="es-ES_tradnl"/>
        </w:rPr>
        <w:t>en</w:t>
      </w:r>
      <w:r w:rsidR="004667BB" w:rsidRPr="00E0681A">
        <w:rPr>
          <w:rFonts w:ascii="Arial" w:eastAsia="Calibri" w:hAnsi="Arial" w:cs="Arial"/>
          <w:color w:val="000000" w:themeColor="text1"/>
          <w:sz w:val="22"/>
          <w:szCs w:val="22"/>
          <w:lang w:val="es-ES_tradnl"/>
        </w:rPr>
        <w:t xml:space="preserve">tre otros, en </w:t>
      </w:r>
      <w:r w:rsidR="00A92250" w:rsidRPr="00E0681A">
        <w:rPr>
          <w:rFonts w:ascii="Arial" w:eastAsia="Calibri" w:hAnsi="Arial" w:cs="Arial"/>
          <w:color w:val="000000" w:themeColor="text1"/>
          <w:sz w:val="22"/>
          <w:szCs w:val="22"/>
          <w:lang w:val="es-ES_tradnl"/>
        </w:rPr>
        <w:t xml:space="preserve">los conceptos C-228 del </w:t>
      </w:r>
      <w:r w:rsidR="00225204" w:rsidRPr="00E0681A">
        <w:rPr>
          <w:rFonts w:ascii="Arial" w:eastAsia="Calibri" w:hAnsi="Arial" w:cs="Arial"/>
          <w:color w:val="000000" w:themeColor="text1"/>
          <w:sz w:val="22"/>
          <w:szCs w:val="22"/>
          <w:lang w:val="es-ES_tradnl"/>
        </w:rPr>
        <w:t>4 de mayo de 2021</w:t>
      </w:r>
      <w:r w:rsidR="003C5857" w:rsidRPr="00E0681A">
        <w:rPr>
          <w:rFonts w:ascii="Arial" w:eastAsia="Calibri" w:hAnsi="Arial" w:cs="Arial"/>
          <w:color w:val="000000" w:themeColor="text1"/>
          <w:sz w:val="22"/>
          <w:szCs w:val="22"/>
          <w:lang w:val="es-ES_tradnl"/>
        </w:rPr>
        <w:t xml:space="preserve"> y</w:t>
      </w:r>
      <w:r w:rsidR="00225204" w:rsidRPr="00E0681A">
        <w:rPr>
          <w:rFonts w:ascii="Arial" w:eastAsia="Calibri" w:hAnsi="Arial" w:cs="Arial"/>
          <w:color w:val="000000" w:themeColor="text1"/>
          <w:sz w:val="22"/>
          <w:szCs w:val="22"/>
          <w:lang w:val="es-ES_tradnl"/>
        </w:rPr>
        <w:t xml:space="preserve"> </w:t>
      </w:r>
      <w:r w:rsidR="004667BB" w:rsidRPr="00E0681A">
        <w:rPr>
          <w:rFonts w:ascii="Arial" w:eastAsia="Calibri" w:hAnsi="Arial" w:cs="Arial"/>
          <w:color w:val="000000" w:themeColor="text1"/>
          <w:sz w:val="22"/>
          <w:szCs w:val="22"/>
          <w:lang w:val="es-ES_tradnl"/>
        </w:rPr>
        <w:t xml:space="preserve">C-332 del </w:t>
      </w:r>
      <w:r w:rsidR="008103ED" w:rsidRPr="00E0681A">
        <w:rPr>
          <w:rFonts w:ascii="Arial" w:eastAsia="Calibri" w:hAnsi="Arial" w:cs="Arial"/>
          <w:color w:val="000000" w:themeColor="text1"/>
          <w:sz w:val="22"/>
          <w:szCs w:val="22"/>
          <w:lang w:val="es-ES_tradnl"/>
        </w:rPr>
        <w:t>7 de mayo de 2021.</w:t>
      </w:r>
      <w:r w:rsidR="0079752F" w:rsidRPr="00E0681A">
        <w:rPr>
          <w:rFonts w:ascii="Arial" w:eastAsia="Calibri" w:hAnsi="Arial" w:cs="Arial"/>
          <w:color w:val="000000" w:themeColor="text1"/>
          <w:sz w:val="22"/>
          <w:szCs w:val="22"/>
          <w:lang w:val="es-ES_tradnl"/>
        </w:rPr>
        <w:t xml:space="preserve"> Así mismo</w:t>
      </w:r>
      <w:r w:rsidR="008103ED" w:rsidRPr="00E0681A">
        <w:rPr>
          <w:rFonts w:ascii="Arial" w:eastAsia="Calibri" w:hAnsi="Arial" w:cs="Arial"/>
          <w:color w:val="000000" w:themeColor="text1"/>
          <w:sz w:val="22"/>
          <w:szCs w:val="22"/>
          <w:lang w:val="es-ES_tradnl"/>
        </w:rPr>
        <w:t xml:space="preserve">, en relación con la acreditación de la experiencia en los documentos tipo se </w:t>
      </w:r>
      <w:r w:rsidR="003C5857" w:rsidRPr="00E0681A">
        <w:rPr>
          <w:rFonts w:ascii="Arial" w:eastAsia="Calibri" w:hAnsi="Arial" w:cs="Arial"/>
          <w:color w:val="000000" w:themeColor="text1"/>
          <w:sz w:val="22"/>
          <w:szCs w:val="22"/>
          <w:lang w:val="es-ES_tradnl"/>
        </w:rPr>
        <w:t>expidió</w:t>
      </w:r>
      <w:r w:rsidR="005F507B" w:rsidRPr="00E0681A">
        <w:rPr>
          <w:rFonts w:ascii="Arial" w:eastAsia="Calibri" w:hAnsi="Arial" w:cs="Arial"/>
          <w:color w:val="000000" w:themeColor="text1"/>
          <w:sz w:val="22"/>
          <w:szCs w:val="22"/>
          <w:lang w:val="es-ES_tradnl"/>
        </w:rPr>
        <w:t xml:space="preserve"> el concepto </w:t>
      </w:r>
      <w:r w:rsidR="00EE6DEE" w:rsidRPr="00E0681A">
        <w:rPr>
          <w:rFonts w:ascii="Arial" w:hAnsi="Arial" w:cs="Arial"/>
          <w:sz w:val="22"/>
          <w:szCs w:val="22"/>
        </w:rPr>
        <w:t>C-323 del 6 de julio de 2021</w:t>
      </w:r>
      <w:r w:rsidR="00EE6DEE" w:rsidRPr="00E0681A">
        <w:rPr>
          <w:rFonts w:ascii="Arial" w:eastAsia="Calibri" w:hAnsi="Arial" w:cs="Arial"/>
          <w:color w:val="000000" w:themeColor="text1"/>
          <w:sz w:val="22"/>
          <w:szCs w:val="22"/>
          <w:lang w:val="es-ES_tradnl"/>
        </w:rPr>
        <w:t>.</w:t>
      </w:r>
    </w:p>
    <w:p w14:paraId="09212A56" w14:textId="3BF30BE8" w:rsidR="00D72967" w:rsidRPr="00E0681A" w:rsidRDefault="00EE6DEE" w:rsidP="00D3423F">
      <w:pPr>
        <w:spacing w:line="276" w:lineRule="auto"/>
        <w:ind w:firstLine="708"/>
        <w:jc w:val="both"/>
        <w:rPr>
          <w:rFonts w:ascii="Arial" w:eastAsia="Calibri" w:hAnsi="Arial" w:cs="Arial"/>
          <w:color w:val="000000" w:themeColor="text1"/>
          <w:sz w:val="22"/>
          <w:szCs w:val="22"/>
          <w:lang w:val="es-ES_tradnl"/>
        </w:rPr>
      </w:pPr>
      <w:r w:rsidRPr="00E0681A">
        <w:rPr>
          <w:rFonts w:ascii="Arial" w:eastAsia="Calibri" w:hAnsi="Arial" w:cs="Arial"/>
          <w:color w:val="000000" w:themeColor="text1"/>
          <w:sz w:val="22"/>
          <w:szCs w:val="22"/>
          <w:lang w:val="es-ES_tradnl"/>
        </w:rPr>
        <w:t xml:space="preserve">Finalmente, </w:t>
      </w:r>
      <w:r w:rsidR="00D72967" w:rsidRPr="00E0681A">
        <w:rPr>
          <w:rFonts w:ascii="Arial" w:eastAsia="Calibri" w:hAnsi="Arial" w:cs="Arial"/>
          <w:color w:val="000000" w:themeColor="text1"/>
          <w:sz w:val="22"/>
          <w:szCs w:val="22"/>
          <w:lang w:val="es-ES_tradnl"/>
        </w:rPr>
        <w:t>en relación con la aplicación de los métodos de ponderación en particular se pronunció en el Concepto C-042 de</w:t>
      </w:r>
      <w:r w:rsidR="00D144EB" w:rsidRPr="00E0681A">
        <w:rPr>
          <w:rFonts w:ascii="Arial" w:eastAsia="Calibri" w:hAnsi="Arial" w:cs="Arial"/>
          <w:color w:val="000000" w:themeColor="text1"/>
          <w:sz w:val="22"/>
          <w:szCs w:val="22"/>
          <w:lang w:val="es-ES_tradnl"/>
        </w:rPr>
        <w:t>l 3 de marzo de</w:t>
      </w:r>
      <w:r w:rsidR="00D72967" w:rsidRPr="00E0681A">
        <w:rPr>
          <w:rFonts w:ascii="Arial" w:eastAsia="Calibri" w:hAnsi="Arial" w:cs="Arial"/>
          <w:color w:val="000000" w:themeColor="text1"/>
          <w:sz w:val="22"/>
          <w:szCs w:val="22"/>
          <w:lang w:val="es-ES_tradnl"/>
        </w:rPr>
        <w:t xml:space="preserve"> 2021</w:t>
      </w:r>
      <w:r w:rsidR="003C5857" w:rsidRPr="00E0681A">
        <w:rPr>
          <w:rFonts w:ascii="Arial" w:eastAsia="Calibri" w:hAnsi="Arial" w:cs="Arial"/>
          <w:color w:val="000000" w:themeColor="text1"/>
          <w:sz w:val="22"/>
          <w:szCs w:val="22"/>
          <w:lang w:val="es-ES_tradnl"/>
        </w:rPr>
        <w:t>;</w:t>
      </w:r>
      <w:r w:rsidR="00567FB4" w:rsidRPr="00E0681A">
        <w:rPr>
          <w:rFonts w:ascii="Arial" w:eastAsia="Calibri" w:hAnsi="Arial" w:cs="Arial"/>
          <w:color w:val="000000" w:themeColor="text1"/>
          <w:sz w:val="22"/>
          <w:szCs w:val="22"/>
          <w:lang w:val="es-ES_tradnl"/>
        </w:rPr>
        <w:t xml:space="preserve"> por otra parte, sobre los métodos de ponderación en los documentos tipo se expidi</w:t>
      </w:r>
      <w:r w:rsidR="00E328FA">
        <w:rPr>
          <w:rFonts w:ascii="Arial" w:eastAsia="Calibri" w:hAnsi="Arial" w:cs="Arial"/>
          <w:color w:val="000000" w:themeColor="text1"/>
          <w:sz w:val="22"/>
          <w:szCs w:val="22"/>
          <w:lang w:val="es-ES_tradnl"/>
        </w:rPr>
        <w:t>eron</w:t>
      </w:r>
      <w:r w:rsidR="00567FB4" w:rsidRPr="00E0681A">
        <w:rPr>
          <w:rFonts w:ascii="Arial" w:eastAsia="Calibri" w:hAnsi="Arial" w:cs="Arial"/>
          <w:color w:val="000000" w:themeColor="text1"/>
          <w:sz w:val="22"/>
          <w:szCs w:val="22"/>
          <w:lang w:val="es-ES_tradnl"/>
        </w:rPr>
        <w:t xml:space="preserve"> </w:t>
      </w:r>
      <w:r w:rsidR="00A97C1C" w:rsidRPr="00E0681A">
        <w:rPr>
          <w:rFonts w:ascii="Arial" w:eastAsia="Calibri" w:hAnsi="Arial" w:cs="Arial"/>
          <w:color w:val="000000" w:themeColor="text1"/>
          <w:sz w:val="22"/>
          <w:szCs w:val="22"/>
          <w:lang w:val="es-ES_tradnl"/>
        </w:rPr>
        <w:t>los</w:t>
      </w:r>
      <w:r w:rsidR="00567FB4" w:rsidRPr="00E0681A">
        <w:rPr>
          <w:rFonts w:ascii="Arial" w:eastAsia="Calibri" w:hAnsi="Arial" w:cs="Arial"/>
          <w:color w:val="000000" w:themeColor="text1"/>
          <w:sz w:val="22"/>
          <w:szCs w:val="22"/>
          <w:lang w:val="es-ES_tradnl"/>
        </w:rPr>
        <w:t xml:space="preserve"> concepto</w:t>
      </w:r>
      <w:r w:rsidR="00A97C1C" w:rsidRPr="00E0681A">
        <w:rPr>
          <w:rFonts w:ascii="Arial" w:eastAsia="Calibri" w:hAnsi="Arial" w:cs="Arial"/>
          <w:color w:val="000000" w:themeColor="text1"/>
          <w:sz w:val="22"/>
          <w:szCs w:val="22"/>
          <w:lang w:val="es-ES_tradnl"/>
        </w:rPr>
        <w:t>s</w:t>
      </w:r>
      <w:r w:rsidR="00203EF3" w:rsidRPr="00E0681A">
        <w:rPr>
          <w:rFonts w:ascii="Arial" w:eastAsia="Calibri" w:hAnsi="Arial" w:cs="Arial"/>
          <w:color w:val="000000" w:themeColor="text1"/>
          <w:sz w:val="22"/>
          <w:szCs w:val="22"/>
          <w:lang w:val="es-ES_tradnl"/>
        </w:rPr>
        <w:t xml:space="preserve"> C-</w:t>
      </w:r>
      <w:r w:rsidR="00AA69EB" w:rsidRPr="00E0681A">
        <w:rPr>
          <w:rFonts w:ascii="Arial" w:eastAsia="Calibri" w:hAnsi="Arial" w:cs="Arial"/>
          <w:color w:val="000000" w:themeColor="text1"/>
          <w:sz w:val="22"/>
          <w:szCs w:val="22"/>
          <w:lang w:val="es-ES_tradnl"/>
        </w:rPr>
        <w:t>174 de</w:t>
      </w:r>
      <w:r w:rsidR="00F32105" w:rsidRPr="00E0681A">
        <w:rPr>
          <w:rFonts w:ascii="Arial" w:eastAsia="Calibri" w:hAnsi="Arial" w:cs="Arial"/>
          <w:color w:val="000000" w:themeColor="text1"/>
          <w:sz w:val="22"/>
          <w:szCs w:val="22"/>
          <w:lang w:val="es-ES_tradnl"/>
        </w:rPr>
        <w:t>l 26 de abril de</w:t>
      </w:r>
      <w:r w:rsidR="00AA69EB" w:rsidRPr="00E0681A">
        <w:rPr>
          <w:rFonts w:ascii="Arial" w:eastAsia="Calibri" w:hAnsi="Arial" w:cs="Arial"/>
          <w:color w:val="000000" w:themeColor="text1"/>
          <w:sz w:val="22"/>
          <w:szCs w:val="22"/>
          <w:lang w:val="es-ES_tradnl"/>
        </w:rPr>
        <w:t xml:space="preserve"> 2021</w:t>
      </w:r>
      <w:r w:rsidR="00A97C1C" w:rsidRPr="00E0681A">
        <w:rPr>
          <w:rFonts w:ascii="Arial" w:eastAsia="Calibri" w:hAnsi="Arial" w:cs="Arial"/>
          <w:color w:val="000000" w:themeColor="text1"/>
          <w:sz w:val="22"/>
          <w:szCs w:val="22"/>
          <w:lang w:val="es-ES_tradnl"/>
        </w:rPr>
        <w:t>, C-402 y C-425 de 19 de agosto de 2021</w:t>
      </w:r>
      <w:r w:rsidR="00D72967" w:rsidRPr="00E0681A">
        <w:rPr>
          <w:rFonts w:ascii="Arial" w:eastAsia="Calibri" w:hAnsi="Arial" w:cs="Arial"/>
          <w:color w:val="000000" w:themeColor="text1"/>
          <w:sz w:val="22"/>
          <w:szCs w:val="22"/>
          <w:lang w:val="es-ES_tradnl"/>
        </w:rPr>
        <w:t>. Algunas de las consideraciones de estos conceptos se reiteran a continuación</w:t>
      </w:r>
      <w:r w:rsidR="003C5857" w:rsidRPr="00E0681A">
        <w:rPr>
          <w:rFonts w:ascii="Arial" w:eastAsia="Calibri" w:hAnsi="Arial" w:cs="Arial"/>
          <w:color w:val="000000" w:themeColor="text1"/>
          <w:sz w:val="22"/>
          <w:szCs w:val="22"/>
          <w:lang w:val="es-ES_tradnl"/>
        </w:rPr>
        <w:t xml:space="preserve"> y se complementan en lo pertinente.</w:t>
      </w:r>
    </w:p>
    <w:p w14:paraId="151B4137" w14:textId="77777777" w:rsidR="007551F6" w:rsidRPr="00E0681A" w:rsidRDefault="007551F6" w:rsidP="00567FB4">
      <w:pPr>
        <w:spacing w:line="276" w:lineRule="auto"/>
        <w:jc w:val="both"/>
        <w:rPr>
          <w:rFonts w:ascii="Arial" w:eastAsia="Arial" w:hAnsi="Arial" w:cs="Arial"/>
          <w:b/>
          <w:bCs/>
          <w:color w:val="000000"/>
          <w:sz w:val="22"/>
          <w:szCs w:val="22"/>
          <w:lang w:val="es-ES_tradnl"/>
        </w:rPr>
      </w:pPr>
    </w:p>
    <w:p w14:paraId="6EC0A8F6" w14:textId="216CFF4A" w:rsidR="00284BBF" w:rsidRPr="00E0681A" w:rsidRDefault="00284BBF" w:rsidP="00567FB4">
      <w:pPr>
        <w:spacing w:line="276" w:lineRule="auto"/>
        <w:jc w:val="both"/>
        <w:rPr>
          <w:rFonts w:ascii="Arial" w:eastAsia="Arial" w:hAnsi="Arial" w:cs="Arial"/>
          <w:b/>
          <w:bCs/>
          <w:color w:val="000000"/>
          <w:sz w:val="22"/>
          <w:szCs w:val="22"/>
          <w:lang w:val="es-ES_tradnl"/>
        </w:rPr>
      </w:pPr>
      <w:r w:rsidRPr="00E0681A">
        <w:rPr>
          <w:rFonts w:ascii="Arial" w:eastAsia="Arial" w:hAnsi="Arial" w:cs="Arial"/>
          <w:b/>
          <w:bCs/>
          <w:color w:val="000000"/>
          <w:sz w:val="22"/>
          <w:szCs w:val="22"/>
          <w:lang w:val="es-ES_tradnl"/>
        </w:rPr>
        <w:t xml:space="preserve">2.1. Fundamento normativo de los documentos tipo </w:t>
      </w:r>
    </w:p>
    <w:p w14:paraId="701ECF77" w14:textId="77777777" w:rsidR="00284BBF" w:rsidRPr="00E0681A" w:rsidRDefault="00284BBF" w:rsidP="00284BBF">
      <w:pPr>
        <w:spacing w:line="276" w:lineRule="auto"/>
        <w:jc w:val="both"/>
        <w:rPr>
          <w:rFonts w:ascii="Arial" w:eastAsia="Arial" w:hAnsi="Arial" w:cs="Arial"/>
          <w:b/>
          <w:bCs/>
          <w:color w:val="000000"/>
          <w:sz w:val="22"/>
          <w:szCs w:val="22"/>
          <w:lang w:val="es-ES_tradnl"/>
        </w:rPr>
      </w:pPr>
    </w:p>
    <w:p w14:paraId="0401EAE8" w14:textId="77777777" w:rsidR="00FE650E" w:rsidRPr="00FE650E" w:rsidRDefault="00FE650E" w:rsidP="00FE650E">
      <w:pPr>
        <w:spacing w:before="120" w:after="120" w:line="276" w:lineRule="auto"/>
        <w:jc w:val="both"/>
        <w:rPr>
          <w:rFonts w:ascii="Arial" w:eastAsia="Calibri" w:hAnsi="Arial" w:cs="Arial"/>
          <w:bCs/>
          <w:sz w:val="22"/>
          <w:szCs w:val="22"/>
          <w:lang w:eastAsia="es-MX"/>
        </w:rPr>
      </w:pPr>
      <w:r w:rsidRPr="00FE650E">
        <w:rPr>
          <w:rFonts w:ascii="Arial" w:eastAsia="Calibri" w:hAnsi="Arial" w:cs="Arial"/>
          <w:bCs/>
          <w:sz w:val="22"/>
          <w:szCs w:val="22"/>
          <w:lang w:eastAsia="es-MX"/>
        </w:rPr>
        <w:t>La adopción de los documentos tipo obligatorios en el ordenamiento jurídico colombiano se incluyó por primera vez en el parágrafo 3 del artículo 2 de la Ley 1150 de 2007</w:t>
      </w:r>
      <w:r w:rsidRPr="00FE650E">
        <w:rPr>
          <w:rFonts w:ascii="Arial" w:eastAsia="Calibri" w:hAnsi="Arial" w:cs="Arial"/>
          <w:bCs/>
          <w:sz w:val="22"/>
          <w:szCs w:val="22"/>
          <w:vertAlign w:val="superscript"/>
          <w:lang w:eastAsia="es-MX"/>
        </w:rPr>
        <w:footnoteReference w:id="1"/>
      </w:r>
      <w:r w:rsidRPr="00FE650E">
        <w:rPr>
          <w:rFonts w:ascii="Arial" w:eastAsia="Calibri" w:hAnsi="Arial" w:cs="Arial"/>
          <w:bCs/>
          <w:sz w:val="22"/>
          <w:szCs w:val="22"/>
          <w:lang w:eastAsia="es-MX"/>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89D7A94" w14:textId="77777777" w:rsidR="00FE650E" w:rsidRPr="00FE650E" w:rsidRDefault="00FE650E" w:rsidP="00FE650E">
      <w:pPr>
        <w:spacing w:before="120" w:after="120" w:line="276" w:lineRule="auto"/>
        <w:ind w:firstLine="708"/>
        <w:jc w:val="both"/>
        <w:rPr>
          <w:rFonts w:ascii="Arial" w:eastAsia="Calibri" w:hAnsi="Arial" w:cs="Arial"/>
          <w:bCs/>
          <w:sz w:val="22"/>
          <w:szCs w:val="22"/>
          <w:lang w:eastAsia="es-MX"/>
        </w:rPr>
      </w:pPr>
      <w:r w:rsidRPr="00FE650E">
        <w:rPr>
          <w:rFonts w:ascii="Arial" w:eastAsia="Calibri" w:hAnsi="Arial" w:cs="Arial"/>
          <w:bCs/>
          <w:sz w:val="22"/>
          <w:szCs w:val="22"/>
          <w:lang w:eastAsia="es-MX"/>
        </w:rPr>
        <w:lastRenderedPageBreak/>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78936C4E" w14:textId="77777777" w:rsidR="009F7031" w:rsidRDefault="00FE650E" w:rsidP="008E0B9B">
      <w:pPr>
        <w:spacing w:before="120" w:after="120" w:line="276" w:lineRule="auto"/>
        <w:ind w:firstLine="709"/>
        <w:jc w:val="both"/>
        <w:rPr>
          <w:rFonts w:ascii="Arial" w:eastAsia="Calibri" w:hAnsi="Arial" w:cs="Arial"/>
          <w:bCs/>
          <w:sz w:val="22"/>
          <w:szCs w:val="22"/>
          <w:lang w:eastAsia="es-MX"/>
        </w:rPr>
      </w:pPr>
      <w:r w:rsidRPr="00E0681A">
        <w:rPr>
          <w:rFonts w:ascii="Arial" w:eastAsia="Calibri" w:hAnsi="Arial" w:cs="Arial"/>
          <w:bCs/>
          <w:sz w:val="22"/>
          <w:szCs w:val="22"/>
          <w:lang w:eastAsia="es-MX"/>
        </w:rPr>
        <w:t xml:space="preserve">Por otra parte, debe tenerse en cuenta que la Ley 2022 de 2020 fue sancionada por el Presidente de la República el 22 de julio </w:t>
      </w:r>
      <w:r w:rsidR="00F87511">
        <w:rPr>
          <w:rFonts w:ascii="Arial" w:eastAsia="Calibri" w:hAnsi="Arial" w:cs="Arial"/>
          <w:bCs/>
          <w:sz w:val="22"/>
          <w:szCs w:val="22"/>
          <w:lang w:eastAsia="es-MX"/>
        </w:rPr>
        <w:t>del 2020</w:t>
      </w:r>
      <w:r w:rsidRPr="00E0681A">
        <w:rPr>
          <w:rFonts w:ascii="Arial" w:eastAsia="Calibri" w:hAnsi="Arial" w:cs="Arial"/>
          <w:bCs/>
          <w:sz w:val="22"/>
          <w:szCs w:val="22"/>
          <w:lang w:eastAsia="es-MX"/>
        </w:rPr>
        <w:t>,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0681A">
        <w:rPr>
          <w:rFonts w:ascii="Arial" w:eastAsia="Calibri" w:hAnsi="Arial" w:cs="Arial"/>
          <w:bCs/>
          <w:sz w:val="22"/>
          <w:szCs w:val="22"/>
          <w:vertAlign w:val="superscript"/>
          <w:lang w:eastAsia="es-MX"/>
        </w:rPr>
        <w:footnoteReference w:id="2"/>
      </w:r>
      <w:r w:rsidRPr="00E0681A">
        <w:rPr>
          <w:rFonts w:ascii="Arial" w:eastAsia="Calibri" w:hAnsi="Arial" w:cs="Arial"/>
          <w:bCs/>
          <w:sz w:val="22"/>
          <w:szCs w:val="22"/>
          <w:lang w:eastAsia="es-MX"/>
        </w:rPr>
        <w:t xml:space="preserve">. </w:t>
      </w:r>
    </w:p>
    <w:p w14:paraId="10D78B89" w14:textId="4DBA2111" w:rsidR="00FE650E" w:rsidRPr="00E0681A" w:rsidRDefault="00FE650E" w:rsidP="008E0B9B">
      <w:pPr>
        <w:spacing w:before="120" w:after="120" w:line="276" w:lineRule="auto"/>
        <w:ind w:firstLine="709"/>
        <w:jc w:val="both"/>
        <w:rPr>
          <w:rFonts w:ascii="Arial" w:eastAsia="Calibri" w:hAnsi="Arial" w:cs="Arial"/>
          <w:color w:val="000000"/>
          <w:sz w:val="22"/>
          <w:szCs w:val="22"/>
          <w:lang w:val="es-ES_tradnl" w:eastAsia="es-ES"/>
        </w:rPr>
      </w:pPr>
      <w:r w:rsidRPr="00E0681A">
        <w:rPr>
          <w:rFonts w:ascii="Arial" w:eastAsia="Calibri" w:hAnsi="Arial" w:cs="Arial"/>
          <w:bCs/>
          <w:sz w:val="22"/>
          <w:szCs w:val="22"/>
          <w:lang w:eastAsia="es-MX"/>
        </w:rPr>
        <w:t>En este sentido,</w:t>
      </w:r>
      <w:r w:rsidRPr="00E0681A">
        <w:rPr>
          <w:rFonts w:ascii="Arial" w:eastAsia="Calibri" w:hAnsi="Arial" w:cs="Arial"/>
          <w:color w:val="000000"/>
          <w:sz w:val="22"/>
          <w:szCs w:val="22"/>
          <w:lang w:val="es-ES" w:eastAsia="es-ES"/>
        </w:rPr>
        <w:t xml:space="preserve">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Adicionalmente, </w:t>
      </w:r>
      <w:r w:rsidR="00E77F17">
        <w:rPr>
          <w:rFonts w:ascii="Arial" w:eastAsia="Calibri" w:hAnsi="Arial" w:cs="Arial"/>
          <w:color w:val="000000"/>
          <w:sz w:val="22"/>
          <w:szCs w:val="22"/>
          <w:lang w:val="es-ES" w:eastAsia="es-ES"/>
        </w:rPr>
        <w:t>en</w:t>
      </w:r>
      <w:r w:rsidR="00E77F17" w:rsidRPr="00E77F17">
        <w:rPr>
          <w:rFonts w:ascii="Arial" w:eastAsia="Calibri" w:hAnsi="Arial" w:cs="Arial"/>
          <w:color w:val="000000"/>
          <w:sz w:val="22"/>
          <w:szCs w:val="22"/>
          <w:lang w:val="es-ES" w:eastAsia="es-ES"/>
        </w:rPr>
        <w:t xml:space="preserve">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w:t>
      </w:r>
      <w:r w:rsidR="00E77F17">
        <w:rPr>
          <w:rFonts w:ascii="Arial" w:eastAsia="Calibri" w:hAnsi="Arial" w:cs="Arial"/>
          <w:color w:val="000000"/>
          <w:sz w:val="22"/>
          <w:szCs w:val="22"/>
          <w:lang w:val="es-ES" w:eastAsia="es-ES"/>
        </w:rPr>
        <w:t xml:space="preserve"> cuya aplicación inició para convocatorias publicadas a partir del 9 de agosto de 2021. </w:t>
      </w:r>
    </w:p>
    <w:p w14:paraId="2E308E17" w14:textId="26887FF3" w:rsidR="001D47F9" w:rsidRPr="00E0681A" w:rsidRDefault="001D47F9" w:rsidP="008E0B9B">
      <w:pPr>
        <w:spacing w:after="120" w:line="276" w:lineRule="auto"/>
        <w:ind w:firstLine="709"/>
        <w:jc w:val="both"/>
        <w:rPr>
          <w:rFonts w:ascii="Arial" w:eastAsia="Calibri" w:hAnsi="Arial" w:cs="Arial"/>
          <w:color w:val="000000"/>
          <w:sz w:val="22"/>
          <w:szCs w:val="22"/>
          <w:lang w:val="es-ES_tradnl" w:eastAsia="es-ES"/>
        </w:rPr>
      </w:pPr>
      <w:r w:rsidRPr="00E0681A">
        <w:rPr>
          <w:rFonts w:ascii="Arial" w:eastAsia="Calibri" w:hAnsi="Arial" w:cs="Arial"/>
          <w:color w:val="000000"/>
          <w:sz w:val="22"/>
          <w:szCs w:val="22"/>
          <w:lang w:val="es-ES_tradnl" w:eastAsia="es-ES"/>
        </w:rPr>
        <w:t>L</w:t>
      </w:r>
      <w:r w:rsidR="00FE650E" w:rsidRPr="00E0681A">
        <w:rPr>
          <w:rFonts w:ascii="Arial" w:eastAsia="Calibri" w:hAnsi="Arial" w:cs="Arial"/>
          <w:color w:val="000000"/>
          <w:sz w:val="22"/>
          <w:szCs w:val="22"/>
          <w:lang w:val="es-ES_tradnl" w:eastAsia="es-ES"/>
        </w:rPr>
        <w:t xml:space="preserve">a expedición de documentos tipo para procesos de selección de contratos estatales a cargo de </w:t>
      </w:r>
      <w:r w:rsidR="00F87511">
        <w:rPr>
          <w:rFonts w:ascii="Arial" w:eastAsia="Calibri" w:hAnsi="Arial" w:cs="Arial"/>
          <w:color w:val="000000"/>
          <w:sz w:val="22"/>
          <w:szCs w:val="22"/>
          <w:lang w:val="es-ES_tradnl" w:eastAsia="es-ES"/>
        </w:rPr>
        <w:t xml:space="preserve">la </w:t>
      </w:r>
      <w:r w:rsidR="00284BBF" w:rsidRPr="00E0681A">
        <w:rPr>
          <w:rFonts w:ascii="Arial" w:eastAsia="Calibri" w:hAnsi="Arial" w:cs="Arial"/>
          <w:color w:val="000000"/>
          <w:sz w:val="22"/>
          <w:szCs w:val="22"/>
          <w:lang w:val="es-ES_tradnl" w:eastAsia="es-ES"/>
        </w:rPr>
        <w:t xml:space="preserve">Agencia Nacional de Contratación Pública </w:t>
      </w:r>
      <w:r w:rsidRPr="00E0681A">
        <w:rPr>
          <w:rFonts w:ascii="Arial" w:eastAsia="Calibri" w:hAnsi="Arial" w:cs="Arial"/>
          <w:color w:val="000000"/>
          <w:sz w:val="22"/>
          <w:szCs w:val="22"/>
          <w:lang w:val="es-ES_tradnl" w:eastAsia="es-ES"/>
        </w:rPr>
        <w:t xml:space="preserve">está precedida de </w:t>
      </w:r>
      <w:r w:rsidR="00284BBF" w:rsidRPr="00E0681A">
        <w:rPr>
          <w:rFonts w:ascii="Arial" w:eastAsia="Calibri" w:hAnsi="Arial" w:cs="Arial"/>
          <w:color w:val="000000"/>
          <w:sz w:val="22"/>
          <w:szCs w:val="22"/>
          <w:lang w:val="es-ES_tradnl" w:eastAsia="es-ES"/>
        </w:rPr>
        <w:t xml:space="preserve">un minucioso </w:t>
      </w:r>
      <w:r w:rsidR="00284BBF" w:rsidRPr="00E0681A">
        <w:rPr>
          <w:rFonts w:ascii="Arial" w:eastAsia="Calibri" w:hAnsi="Arial" w:cs="Arial"/>
          <w:color w:val="000000"/>
          <w:sz w:val="22"/>
          <w:szCs w:val="22"/>
          <w:lang w:val="es-ES_tradnl" w:eastAsia="es-ES"/>
        </w:rPr>
        <w:lastRenderedPageBreak/>
        <w:t>desarrollo</w:t>
      </w:r>
      <w:r w:rsidRPr="00E0681A">
        <w:rPr>
          <w:rFonts w:ascii="Arial" w:eastAsia="Calibri" w:hAnsi="Arial" w:cs="Arial"/>
          <w:color w:val="000000"/>
          <w:sz w:val="22"/>
          <w:szCs w:val="22"/>
          <w:lang w:val="es-ES_tradnl" w:eastAsia="es-ES"/>
        </w:rPr>
        <w:t>,</w:t>
      </w:r>
      <w:r w:rsidR="00284BBF" w:rsidRPr="00E0681A">
        <w:rPr>
          <w:rFonts w:ascii="Arial" w:eastAsia="Calibri" w:hAnsi="Arial" w:cs="Arial"/>
          <w:color w:val="000000"/>
          <w:sz w:val="22"/>
          <w:szCs w:val="22"/>
          <w:lang w:val="es-ES_tradnl" w:eastAsia="es-ES"/>
        </w:rPr>
        <w:t xml:space="preserve">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sidRPr="00E0681A">
        <w:rPr>
          <w:rFonts w:ascii="Arial" w:eastAsia="Calibri" w:hAnsi="Arial" w:cs="Arial"/>
          <w:color w:val="000000"/>
          <w:sz w:val="22"/>
          <w:szCs w:val="22"/>
          <w:lang w:val="es-ES_tradnl" w:eastAsia="es-ES"/>
        </w:rPr>
        <w:t xml:space="preserve"> </w:t>
      </w:r>
    </w:p>
    <w:p w14:paraId="5208DA8A" w14:textId="40102DF0" w:rsidR="001D47F9" w:rsidRPr="001D47F9" w:rsidRDefault="00873A0A" w:rsidP="001D47F9">
      <w:pPr>
        <w:spacing w:line="276" w:lineRule="auto"/>
        <w:ind w:firstLine="709"/>
        <w:jc w:val="both"/>
        <w:rPr>
          <w:rFonts w:ascii="Arial" w:eastAsia="Calibri" w:hAnsi="Arial" w:cs="Arial"/>
          <w:color w:val="000000"/>
          <w:sz w:val="22"/>
          <w:szCs w:val="22"/>
          <w:lang w:val="es-ES_tradnl" w:eastAsia="es-ES"/>
        </w:rPr>
      </w:pPr>
      <w:r w:rsidRPr="00E0681A">
        <w:rPr>
          <w:rFonts w:ascii="Arial" w:eastAsia="Calibri" w:hAnsi="Arial" w:cs="Arial"/>
          <w:color w:val="000000"/>
          <w:sz w:val="22"/>
          <w:szCs w:val="22"/>
          <w:lang w:val="es-ES_tradnl" w:eastAsia="es-ES"/>
        </w:rPr>
        <w:t>Después de que cobra vigencia el acto administrativo que adopta los referidos</w:t>
      </w:r>
      <w:r w:rsidR="001D47F9" w:rsidRPr="00E0681A">
        <w:rPr>
          <w:rFonts w:ascii="Arial" w:eastAsia="Calibri" w:hAnsi="Arial" w:cs="Arial"/>
          <w:color w:val="000000"/>
          <w:sz w:val="22"/>
          <w:szCs w:val="22"/>
          <w:lang w:val="es-ES" w:eastAsia="es-ES"/>
        </w:rPr>
        <w:t xml:space="preserve"> documentos tipo</w:t>
      </w:r>
      <w:r w:rsidRPr="00E0681A">
        <w:rPr>
          <w:rFonts w:ascii="Arial" w:eastAsia="Calibri" w:hAnsi="Arial" w:cs="Arial"/>
          <w:color w:val="000000"/>
          <w:sz w:val="22"/>
          <w:szCs w:val="22"/>
          <w:lang w:val="es-ES" w:eastAsia="es-ES"/>
        </w:rPr>
        <w:t xml:space="preserve">, éstos </w:t>
      </w:r>
      <w:r w:rsidR="001D47F9" w:rsidRPr="001D47F9">
        <w:rPr>
          <w:rFonts w:ascii="Arial" w:eastAsia="Calibri" w:hAnsi="Arial" w:cs="Arial"/>
          <w:color w:val="000000"/>
          <w:sz w:val="22"/>
          <w:szCs w:val="22"/>
          <w:lang w:val="es-ES_tradnl" w:eastAsia="es-ES"/>
        </w:rPr>
        <w:t>resulta</w:t>
      </w:r>
      <w:r w:rsidRPr="00E0681A">
        <w:rPr>
          <w:rFonts w:ascii="Arial" w:eastAsia="Calibri" w:hAnsi="Arial" w:cs="Arial"/>
          <w:color w:val="000000"/>
          <w:sz w:val="22"/>
          <w:szCs w:val="22"/>
          <w:lang w:val="es-ES_tradnl" w:eastAsia="es-ES"/>
        </w:rPr>
        <w:t>n</w:t>
      </w:r>
      <w:r w:rsidR="001D47F9" w:rsidRPr="001D47F9">
        <w:rPr>
          <w:rFonts w:ascii="Arial" w:eastAsia="Calibri" w:hAnsi="Arial" w:cs="Arial"/>
          <w:color w:val="000000"/>
          <w:sz w:val="22"/>
          <w:szCs w:val="22"/>
          <w:lang w:val="es-ES_tradnl" w:eastAsia="es-ES"/>
        </w:rPr>
        <w:t xml:space="preserve"> obligatorio</w:t>
      </w:r>
      <w:r w:rsidRPr="00E0681A">
        <w:rPr>
          <w:rFonts w:ascii="Arial" w:eastAsia="Calibri" w:hAnsi="Arial" w:cs="Arial"/>
          <w:color w:val="000000"/>
          <w:sz w:val="22"/>
          <w:szCs w:val="22"/>
          <w:lang w:val="es-ES_tradnl" w:eastAsia="es-ES"/>
        </w:rPr>
        <w:t>s</w:t>
      </w:r>
      <w:r w:rsidR="001D47F9" w:rsidRPr="001D47F9">
        <w:rPr>
          <w:rFonts w:ascii="Arial" w:eastAsia="Calibri" w:hAnsi="Arial" w:cs="Arial"/>
          <w:color w:val="000000"/>
          <w:sz w:val="22"/>
          <w:szCs w:val="22"/>
          <w:lang w:val="es-ES_tradnl" w:eastAsia="es-ES"/>
        </w:rPr>
        <w:t xml:space="preserve"> para todas las entidades sometidas al Estatuto General de Contratación de la Administración Pública, que adelanten procesos de concursos de méritos para contratar la </w:t>
      </w:r>
      <w:r w:rsidR="00E77F17">
        <w:rPr>
          <w:rFonts w:ascii="Arial" w:eastAsia="Calibri" w:hAnsi="Arial" w:cs="Arial"/>
          <w:color w:val="000000"/>
          <w:sz w:val="22"/>
          <w:szCs w:val="22"/>
          <w:lang w:val="es-ES_tradnl" w:eastAsia="es-ES"/>
        </w:rPr>
        <w:t xml:space="preserve">consultoría </w:t>
      </w:r>
      <w:r w:rsidR="001D47F9" w:rsidRPr="001D47F9">
        <w:rPr>
          <w:rFonts w:ascii="Arial" w:eastAsia="Calibri" w:hAnsi="Arial" w:cs="Arial"/>
          <w:color w:val="000000"/>
          <w:sz w:val="22"/>
          <w:szCs w:val="22"/>
          <w:lang w:val="es-ES_tradnl" w:eastAsia="es-ES"/>
        </w:rPr>
        <w:t xml:space="preserve">de cualquiera de los proyectos señalados en la «Matriz 1 – Experiencia». Lo anterior se deriva de lo dispuesto en el «documento base» del documento tipo de </w:t>
      </w:r>
      <w:r w:rsidR="00E77F17">
        <w:rPr>
          <w:rFonts w:ascii="Arial" w:eastAsia="Calibri" w:hAnsi="Arial" w:cs="Arial"/>
          <w:color w:val="000000"/>
          <w:sz w:val="22"/>
          <w:szCs w:val="22"/>
          <w:lang w:val="es-ES_tradnl" w:eastAsia="es-ES"/>
        </w:rPr>
        <w:t>consultoría</w:t>
      </w:r>
      <w:r w:rsidR="001D47F9" w:rsidRPr="001D47F9">
        <w:rPr>
          <w:rFonts w:ascii="Arial" w:eastAsia="Calibri" w:hAnsi="Arial" w:cs="Arial"/>
          <w:color w:val="000000"/>
          <w:sz w:val="22"/>
          <w:szCs w:val="22"/>
          <w:lang w:val="es-ES_tradnl" w:eastAsia="es-ES"/>
        </w:rPr>
        <w:t>, al prescribir que:</w:t>
      </w:r>
    </w:p>
    <w:p w14:paraId="38B4C79C" w14:textId="77777777" w:rsidR="001D47F9" w:rsidRPr="001D47F9" w:rsidRDefault="001D47F9" w:rsidP="001D47F9">
      <w:pPr>
        <w:spacing w:line="276" w:lineRule="auto"/>
        <w:ind w:firstLine="709"/>
        <w:jc w:val="both"/>
        <w:rPr>
          <w:rFonts w:ascii="Arial" w:eastAsia="Calibri" w:hAnsi="Arial" w:cs="Arial"/>
          <w:color w:val="000000"/>
          <w:lang w:val="es-ES_tradnl" w:eastAsia="es-ES"/>
        </w:rPr>
      </w:pPr>
    </w:p>
    <w:p w14:paraId="0A5A7F98" w14:textId="3B682F96" w:rsidR="001D47F9" w:rsidRPr="001D47F9" w:rsidRDefault="00E77F17" w:rsidP="001D47F9">
      <w:pPr>
        <w:ind w:left="709" w:right="709"/>
        <w:jc w:val="both"/>
        <w:rPr>
          <w:rFonts w:ascii="Arial" w:eastAsia="Calibri" w:hAnsi="Arial" w:cs="Arial"/>
          <w:color w:val="000000"/>
          <w:sz w:val="21"/>
          <w:szCs w:val="21"/>
          <w:lang w:val="es-ES_tradnl" w:eastAsia="es-ES"/>
        </w:rPr>
      </w:pPr>
      <w:r w:rsidRPr="00E77F17">
        <w:rPr>
          <w:rFonts w:ascii="Arial" w:eastAsia="Calibri" w:hAnsi="Arial" w:cs="Arial"/>
          <w:color w:val="000000"/>
          <w:sz w:val="21"/>
          <w:szCs w:val="21"/>
          <w:lang w:val="es-ES_tradnl" w:eastAsia="es-ES"/>
        </w:rPr>
        <w:t xml:space="preserve">Este Documento Tipo aplica a los procesos de consultoría de estudios de ingeniería de infraestructura de transporte celebrados en la modalidad de concurso de méritos abierto, que correspondan con las actividades definidas en la “Matriz 1 – Experiencia”. En los términos del numeral 10.1.1, literal B, también aplica a los componentes de consultorías integrales (predial, ambiental, social y seguridad y salud en el trabajo) que tengan otros componentes aparte del técnico descrito en la mencionada Matriz. Por tanto, no son aplicables en las actividades de consultoría de estudios de ingeniería de infraestructura de transporte no contempladas en la “Matriz 1 – Experiencia”, sin perjuicio de lo previsto en el artículo 4 de la resolución que adopta estos Documentos Tipo.  </w:t>
      </w:r>
    </w:p>
    <w:p w14:paraId="4CDDAE7A" w14:textId="77777777" w:rsidR="001D47F9" w:rsidRPr="001D47F9" w:rsidRDefault="001D47F9" w:rsidP="001D47F9">
      <w:pPr>
        <w:spacing w:line="276" w:lineRule="auto"/>
        <w:jc w:val="both"/>
        <w:rPr>
          <w:rFonts w:ascii="Arial" w:eastAsia="Calibri" w:hAnsi="Arial" w:cs="Arial"/>
          <w:color w:val="000000"/>
          <w:lang w:val="es-ES_tradnl" w:eastAsia="es-ES"/>
        </w:rPr>
      </w:pPr>
    </w:p>
    <w:p w14:paraId="6F7B6A5D" w14:textId="26F670A0" w:rsidR="001D47F9" w:rsidRPr="001D47F9" w:rsidRDefault="001D47F9" w:rsidP="001D47F9">
      <w:pPr>
        <w:spacing w:line="276" w:lineRule="auto"/>
        <w:ind w:firstLine="709"/>
        <w:jc w:val="both"/>
        <w:rPr>
          <w:rFonts w:ascii="Arial" w:eastAsia="Calibri" w:hAnsi="Arial" w:cs="Arial"/>
          <w:color w:val="000000"/>
          <w:sz w:val="22"/>
          <w:szCs w:val="22"/>
          <w:lang w:val="es-MX" w:eastAsia="es-ES"/>
        </w:rPr>
      </w:pPr>
      <w:r w:rsidRPr="001D47F9">
        <w:rPr>
          <w:rFonts w:ascii="Arial" w:eastAsia="Calibri" w:hAnsi="Arial" w:cs="Arial"/>
          <w:color w:val="000000"/>
          <w:sz w:val="22"/>
          <w:szCs w:val="22"/>
          <w:lang w:val="es-ES_tradnl" w:eastAsia="es-ES"/>
        </w:rPr>
        <w:t xml:space="preserve">En tal sentido, siempre que se vaya a contratar la </w:t>
      </w:r>
      <w:r w:rsidR="00E77F17">
        <w:rPr>
          <w:rFonts w:ascii="Arial" w:eastAsia="Calibri" w:hAnsi="Arial" w:cs="Arial"/>
          <w:color w:val="000000"/>
          <w:sz w:val="22"/>
          <w:szCs w:val="22"/>
          <w:lang w:val="es-ES_tradnl" w:eastAsia="es-ES"/>
        </w:rPr>
        <w:t>consultor</w:t>
      </w:r>
      <w:r w:rsidR="00F87511">
        <w:rPr>
          <w:rFonts w:ascii="Arial" w:eastAsia="Calibri" w:hAnsi="Arial" w:cs="Arial"/>
          <w:color w:val="000000"/>
          <w:sz w:val="22"/>
          <w:szCs w:val="22"/>
          <w:lang w:val="es-ES_tradnl" w:eastAsia="es-ES"/>
        </w:rPr>
        <w:t>í</w:t>
      </w:r>
      <w:r w:rsidR="00E77F17">
        <w:rPr>
          <w:rFonts w:ascii="Arial" w:eastAsia="Calibri" w:hAnsi="Arial" w:cs="Arial"/>
          <w:color w:val="000000"/>
          <w:sz w:val="22"/>
          <w:szCs w:val="22"/>
          <w:lang w:val="es-ES_tradnl" w:eastAsia="es-ES"/>
        </w:rPr>
        <w:t xml:space="preserve">a de estudios de </w:t>
      </w:r>
      <w:r w:rsidR="00E61376">
        <w:rPr>
          <w:rFonts w:ascii="Arial" w:eastAsia="Calibri" w:hAnsi="Arial" w:cs="Arial"/>
          <w:color w:val="000000"/>
          <w:sz w:val="22"/>
          <w:szCs w:val="22"/>
          <w:lang w:val="es-ES_tradnl" w:eastAsia="es-ES"/>
        </w:rPr>
        <w:t>ingeniería de infraestructura de transporte</w:t>
      </w:r>
      <w:r w:rsidRPr="001D47F9">
        <w:rPr>
          <w:rFonts w:ascii="Arial" w:eastAsia="Calibri" w:hAnsi="Arial" w:cs="Arial"/>
          <w:color w:val="000000"/>
          <w:sz w:val="22"/>
          <w:szCs w:val="22"/>
          <w:lang w:val="es-ES_tradnl" w:eastAsia="es-ES"/>
        </w:rPr>
        <w:t xml:space="preserve"> de alguno de los proyectos señalados en la «Matriz 1 – Experiencia» y la modalidad de selección aplicable sea el concurso de méritos, las entidades estatales deben aplicar este documento tipo, acatando su contenido obligatorio. </w:t>
      </w:r>
      <w:r w:rsidRPr="001D47F9">
        <w:rPr>
          <w:rFonts w:ascii="Arial" w:eastAsia="Calibri" w:hAnsi="Arial" w:cs="Arial"/>
          <w:color w:val="000000"/>
          <w:sz w:val="22"/>
          <w:szCs w:val="22"/>
          <w:lang w:val="es-MX" w:eastAsia="es-ES"/>
        </w:rPr>
        <w:t>De esta manera, la Matriz 1 – Experiencia, entre otras finalidades, sirve como criterio para establecer el ámbito de aplicación de los documentos tipo, en los términos explicados con anterioridad.</w:t>
      </w:r>
    </w:p>
    <w:p w14:paraId="0A7B561C" w14:textId="77777777" w:rsidR="00266F1C" w:rsidRPr="00E0681A" w:rsidRDefault="00266F1C" w:rsidP="00873A0A">
      <w:pPr>
        <w:spacing w:line="276" w:lineRule="auto"/>
        <w:jc w:val="both"/>
        <w:rPr>
          <w:rFonts w:ascii="Arial" w:eastAsia="Calibri" w:hAnsi="Arial" w:cs="Arial"/>
          <w:color w:val="000000"/>
          <w:sz w:val="22"/>
          <w:szCs w:val="22"/>
          <w:lang w:val="es-ES_tradnl"/>
        </w:rPr>
      </w:pPr>
    </w:p>
    <w:p w14:paraId="5B571B1B" w14:textId="60C1B947" w:rsidR="00F127A4" w:rsidRPr="00E0681A" w:rsidRDefault="00284BBF" w:rsidP="00BA7FA8">
      <w:pPr>
        <w:spacing w:line="276" w:lineRule="auto"/>
        <w:jc w:val="both"/>
        <w:rPr>
          <w:rFonts w:ascii="Arial" w:hAnsi="Arial" w:cs="Arial"/>
          <w:sz w:val="22"/>
          <w:szCs w:val="22"/>
          <w:shd w:val="clear" w:color="auto" w:fill="FFFFFF"/>
          <w:lang w:val="es-ES_tradnl"/>
        </w:rPr>
      </w:pPr>
      <w:r w:rsidRPr="00E0681A">
        <w:rPr>
          <w:rFonts w:ascii="Arial" w:eastAsia="Arial" w:hAnsi="Arial" w:cs="Arial"/>
          <w:b/>
          <w:bCs/>
          <w:color w:val="000000"/>
          <w:sz w:val="22"/>
          <w:szCs w:val="22"/>
          <w:lang w:val="es-ES_tradnl"/>
        </w:rPr>
        <w:t>2.2.</w:t>
      </w:r>
      <w:r w:rsidR="00A84921" w:rsidRPr="00E0681A">
        <w:rPr>
          <w:rFonts w:ascii="Arial" w:eastAsia="Arial" w:hAnsi="Arial" w:cs="Arial"/>
          <w:b/>
          <w:bCs/>
          <w:color w:val="000000"/>
          <w:sz w:val="22"/>
          <w:szCs w:val="22"/>
          <w:lang w:val="es-ES_tradnl"/>
        </w:rPr>
        <w:t xml:space="preserve"> </w:t>
      </w:r>
      <w:r w:rsidR="00F127A4" w:rsidRPr="00E0681A">
        <w:rPr>
          <w:rFonts w:ascii="Arial" w:eastAsia="Calibri" w:hAnsi="Arial" w:cs="Arial"/>
          <w:b/>
          <w:bCs/>
          <w:color w:val="000000" w:themeColor="text1"/>
          <w:sz w:val="22"/>
          <w:szCs w:val="22"/>
          <w:lang w:val="es-ES_tradnl"/>
        </w:rPr>
        <w:t xml:space="preserve">Experiencia mínima –habilitante– del proponente en los documentos tipo para procesos de selección de concurso de méritos, para contratar la </w:t>
      </w:r>
      <w:r w:rsidR="00E61376">
        <w:rPr>
          <w:rFonts w:ascii="Arial" w:eastAsia="Calibri" w:hAnsi="Arial" w:cs="Arial"/>
          <w:b/>
          <w:bCs/>
          <w:color w:val="000000" w:themeColor="text1"/>
          <w:sz w:val="22"/>
          <w:szCs w:val="22"/>
          <w:lang w:val="es-ES_tradnl"/>
        </w:rPr>
        <w:t xml:space="preserve">consultoría de estudios de ingeniería de </w:t>
      </w:r>
      <w:r w:rsidR="00F127A4" w:rsidRPr="00E0681A">
        <w:rPr>
          <w:rFonts w:ascii="Arial" w:eastAsia="Calibri" w:hAnsi="Arial" w:cs="Arial"/>
          <w:b/>
          <w:bCs/>
          <w:color w:val="000000" w:themeColor="text1"/>
          <w:sz w:val="22"/>
          <w:szCs w:val="22"/>
          <w:lang w:val="es-ES_tradnl"/>
        </w:rPr>
        <w:t>infraestructura de transporte</w:t>
      </w:r>
    </w:p>
    <w:p w14:paraId="37B7BCBE" w14:textId="77777777" w:rsidR="00F127A4" w:rsidRPr="00E0681A" w:rsidRDefault="00F127A4" w:rsidP="006E1CDF">
      <w:pPr>
        <w:spacing w:line="276" w:lineRule="auto"/>
        <w:jc w:val="both"/>
        <w:rPr>
          <w:rFonts w:ascii="Arial" w:eastAsia="Arial" w:hAnsi="Arial" w:cs="Arial"/>
          <w:sz w:val="22"/>
          <w:szCs w:val="22"/>
          <w:lang w:eastAsia="es-ES"/>
        </w:rPr>
      </w:pPr>
    </w:p>
    <w:p w14:paraId="1ED08803" w14:textId="1022E3BB" w:rsidR="00F127A4" w:rsidRPr="00E0681A" w:rsidRDefault="00F127A4" w:rsidP="006E1CDF">
      <w:pPr>
        <w:spacing w:line="276" w:lineRule="auto"/>
        <w:jc w:val="both"/>
        <w:rPr>
          <w:rFonts w:ascii="Arial" w:hAnsi="Arial" w:cs="Arial"/>
          <w:sz w:val="22"/>
          <w:szCs w:val="22"/>
        </w:rPr>
      </w:pPr>
      <w:r w:rsidRPr="00E0681A">
        <w:rPr>
          <w:rFonts w:ascii="Arial" w:eastAsia="Arial" w:hAnsi="Arial" w:cs="Arial"/>
          <w:sz w:val="22"/>
          <w:szCs w:val="22"/>
          <w:lang w:eastAsia="es-ES"/>
        </w:rPr>
        <w:t>En el</w:t>
      </w:r>
      <w:r w:rsidRPr="00E0681A">
        <w:rPr>
          <w:rFonts w:ascii="Arial" w:hAnsi="Arial" w:cs="Arial"/>
          <w:color w:val="000000" w:themeColor="text1"/>
          <w:sz w:val="22"/>
          <w:szCs w:val="22"/>
          <w:lang w:val="es-ES_tradnl"/>
        </w:rPr>
        <w:t xml:space="preserve"> documento tipo de </w:t>
      </w:r>
      <w:r w:rsidR="00E61376">
        <w:rPr>
          <w:rFonts w:ascii="Arial" w:hAnsi="Arial" w:cs="Arial"/>
          <w:color w:val="000000" w:themeColor="text1"/>
          <w:sz w:val="22"/>
          <w:szCs w:val="22"/>
          <w:lang w:val="es-ES_tradnl"/>
        </w:rPr>
        <w:t>consultoría</w:t>
      </w:r>
      <w:r w:rsidRPr="00E0681A">
        <w:rPr>
          <w:rFonts w:ascii="Arial" w:hAnsi="Arial" w:cs="Arial"/>
          <w:color w:val="000000" w:themeColor="text1"/>
          <w:sz w:val="22"/>
          <w:szCs w:val="22"/>
          <w:lang w:val="es-ES_tradnl"/>
        </w:rPr>
        <w:t xml:space="preserve"> se estableció un requisito mínimo de experiencia habilitante, consistente en que el proponente debe acreditar que la sumatoria de los contratos aportados como experiencia es mayor o igual al 100% respecto del valor total del presupuesto oficial expresado en SMMLV. </w:t>
      </w:r>
      <w:r w:rsidRPr="00E0681A">
        <w:rPr>
          <w:rFonts w:ascii="Arial" w:hAnsi="Arial" w:cs="Arial"/>
          <w:sz w:val="22"/>
          <w:szCs w:val="22"/>
        </w:rPr>
        <w:t>En este sentido, dicho numeral</w:t>
      </w:r>
      <w:r w:rsidRPr="00E0681A">
        <w:rPr>
          <w:rFonts w:ascii="Arial" w:hAnsi="Arial" w:cs="Arial"/>
          <w:spacing w:val="1"/>
          <w:sz w:val="22"/>
          <w:szCs w:val="22"/>
        </w:rPr>
        <w:t xml:space="preserve"> </w:t>
      </w:r>
      <w:r w:rsidRPr="00E0681A">
        <w:rPr>
          <w:rFonts w:ascii="Arial" w:hAnsi="Arial" w:cs="Arial"/>
          <w:sz w:val="22"/>
          <w:szCs w:val="22"/>
        </w:rPr>
        <w:t>señala</w:t>
      </w:r>
      <w:r w:rsidRPr="00E0681A">
        <w:rPr>
          <w:rFonts w:ascii="Arial" w:hAnsi="Arial" w:cs="Arial"/>
          <w:spacing w:val="-1"/>
          <w:sz w:val="22"/>
          <w:szCs w:val="22"/>
        </w:rPr>
        <w:t xml:space="preserve"> </w:t>
      </w:r>
      <w:r w:rsidRPr="00E0681A">
        <w:rPr>
          <w:rFonts w:ascii="Arial" w:hAnsi="Arial" w:cs="Arial"/>
          <w:sz w:val="22"/>
          <w:szCs w:val="22"/>
        </w:rPr>
        <w:t>lo</w:t>
      </w:r>
      <w:r w:rsidRPr="00E0681A">
        <w:rPr>
          <w:rFonts w:ascii="Arial" w:hAnsi="Arial" w:cs="Arial"/>
          <w:spacing w:val="-2"/>
          <w:sz w:val="22"/>
          <w:szCs w:val="22"/>
        </w:rPr>
        <w:t xml:space="preserve"> </w:t>
      </w:r>
      <w:r w:rsidRPr="00E0681A">
        <w:rPr>
          <w:rFonts w:ascii="Arial" w:hAnsi="Arial" w:cs="Arial"/>
          <w:sz w:val="22"/>
          <w:szCs w:val="22"/>
        </w:rPr>
        <w:t>siguiente:</w:t>
      </w:r>
    </w:p>
    <w:p w14:paraId="40FE9D67" w14:textId="77777777" w:rsidR="00F127A4" w:rsidRPr="009C0CE5" w:rsidRDefault="00F127A4" w:rsidP="00F127A4">
      <w:pPr>
        <w:widowControl w:val="0"/>
        <w:autoSpaceDE w:val="0"/>
        <w:autoSpaceDN w:val="0"/>
        <w:rPr>
          <w:rFonts w:ascii="Arial MT" w:eastAsia="Arial MT" w:hAnsi="Arial MT" w:cs="Arial MT"/>
          <w:sz w:val="20"/>
          <w:lang w:val="es-ES"/>
        </w:rPr>
      </w:pPr>
    </w:p>
    <w:p w14:paraId="4A987013" w14:textId="70CAB570" w:rsidR="00F127A4" w:rsidRPr="009C0CE5" w:rsidRDefault="00F127A4" w:rsidP="006E1CDF">
      <w:pPr>
        <w:tabs>
          <w:tab w:val="left" w:pos="1527"/>
        </w:tabs>
        <w:spacing w:after="120"/>
        <w:ind w:left="709" w:right="709"/>
        <w:rPr>
          <w:rFonts w:ascii="Arial MT" w:eastAsia="Arial MT" w:hAnsi="Arial MT" w:cs="Arial MT"/>
          <w:b/>
          <w:bCs/>
          <w:sz w:val="20"/>
          <w:lang w:val="es-ES"/>
        </w:rPr>
      </w:pPr>
      <w:r w:rsidRPr="009C0CE5">
        <w:rPr>
          <w:rFonts w:ascii="Arial" w:hAnsi="Arial" w:cs="Arial"/>
          <w:b/>
          <w:bCs/>
          <w:sz w:val="21"/>
        </w:rPr>
        <w:t>3.8.1</w:t>
      </w:r>
      <w:r w:rsidRPr="009C0CE5">
        <w:rPr>
          <w:rFonts w:ascii="Arial" w:hAnsi="Arial" w:cs="Arial"/>
          <w:b/>
          <w:bCs/>
          <w:sz w:val="21"/>
        </w:rPr>
        <w:tab/>
        <w:t>EXIGENCIA</w:t>
      </w:r>
      <w:r w:rsidRPr="009C0CE5">
        <w:rPr>
          <w:rFonts w:ascii="Arial" w:hAnsi="Arial" w:cs="Arial"/>
          <w:b/>
          <w:bCs/>
          <w:spacing w:val="-6"/>
          <w:sz w:val="21"/>
        </w:rPr>
        <w:t xml:space="preserve"> </w:t>
      </w:r>
      <w:r w:rsidRPr="009C0CE5">
        <w:rPr>
          <w:rFonts w:ascii="Arial" w:hAnsi="Arial" w:cs="Arial"/>
          <w:b/>
          <w:bCs/>
          <w:sz w:val="21"/>
        </w:rPr>
        <w:t>MÍNIMA</w:t>
      </w:r>
      <w:r w:rsidRPr="009C0CE5">
        <w:rPr>
          <w:rFonts w:ascii="Arial" w:hAnsi="Arial" w:cs="Arial"/>
          <w:b/>
          <w:bCs/>
          <w:spacing w:val="-5"/>
          <w:sz w:val="21"/>
        </w:rPr>
        <w:t xml:space="preserve"> </w:t>
      </w:r>
      <w:r w:rsidRPr="009C0CE5">
        <w:rPr>
          <w:rFonts w:ascii="Arial" w:hAnsi="Arial" w:cs="Arial"/>
          <w:b/>
          <w:bCs/>
          <w:sz w:val="21"/>
        </w:rPr>
        <w:t>DE</w:t>
      </w:r>
      <w:r w:rsidRPr="009C0CE5">
        <w:rPr>
          <w:rFonts w:ascii="Arial" w:hAnsi="Arial" w:cs="Arial"/>
          <w:b/>
          <w:bCs/>
          <w:spacing w:val="-6"/>
          <w:sz w:val="21"/>
        </w:rPr>
        <w:t xml:space="preserve"> </w:t>
      </w:r>
      <w:r w:rsidRPr="009C0CE5">
        <w:rPr>
          <w:rFonts w:ascii="Arial" w:hAnsi="Arial" w:cs="Arial"/>
          <w:b/>
          <w:bCs/>
          <w:sz w:val="21"/>
        </w:rPr>
        <w:t>LA</w:t>
      </w:r>
      <w:r w:rsidRPr="009C0CE5">
        <w:rPr>
          <w:rFonts w:ascii="Arial" w:hAnsi="Arial" w:cs="Arial"/>
          <w:b/>
          <w:bCs/>
          <w:spacing w:val="-5"/>
          <w:sz w:val="21"/>
        </w:rPr>
        <w:t xml:space="preserve"> </w:t>
      </w:r>
      <w:r w:rsidRPr="009C0CE5">
        <w:rPr>
          <w:rFonts w:ascii="Arial" w:hAnsi="Arial" w:cs="Arial"/>
          <w:b/>
          <w:bCs/>
          <w:sz w:val="21"/>
        </w:rPr>
        <w:t>EXPERIENCIA</w:t>
      </w:r>
      <w:r w:rsidRPr="009C0CE5">
        <w:rPr>
          <w:rFonts w:ascii="Arial" w:hAnsi="Arial" w:cs="Arial"/>
          <w:b/>
          <w:bCs/>
          <w:spacing w:val="-6"/>
          <w:sz w:val="21"/>
        </w:rPr>
        <w:t xml:space="preserve"> </w:t>
      </w:r>
      <w:r w:rsidRPr="009C0CE5">
        <w:rPr>
          <w:rFonts w:ascii="Arial" w:hAnsi="Arial" w:cs="Arial"/>
          <w:b/>
          <w:bCs/>
          <w:sz w:val="21"/>
        </w:rPr>
        <w:t>DEL</w:t>
      </w:r>
      <w:r w:rsidRPr="009C0CE5">
        <w:rPr>
          <w:rFonts w:ascii="Arial" w:hAnsi="Arial" w:cs="Arial"/>
          <w:b/>
          <w:bCs/>
          <w:spacing w:val="-5"/>
          <w:sz w:val="21"/>
        </w:rPr>
        <w:t xml:space="preserve"> </w:t>
      </w:r>
      <w:r w:rsidRPr="009C0CE5">
        <w:rPr>
          <w:rFonts w:ascii="Arial" w:hAnsi="Arial" w:cs="Arial"/>
          <w:b/>
          <w:bCs/>
          <w:sz w:val="21"/>
        </w:rPr>
        <w:t>PROPONENTE</w:t>
      </w:r>
    </w:p>
    <w:p w14:paraId="4CAC4FDE" w14:textId="77777777" w:rsidR="00E61376" w:rsidRPr="00E61376" w:rsidRDefault="00E61376" w:rsidP="00E61376">
      <w:pPr>
        <w:spacing w:after="120"/>
        <w:ind w:left="709" w:right="709"/>
        <w:jc w:val="both"/>
        <w:rPr>
          <w:rFonts w:ascii="Arial" w:hAnsi="Arial" w:cs="Arial"/>
          <w:sz w:val="21"/>
        </w:rPr>
      </w:pPr>
      <w:r w:rsidRPr="00E61376">
        <w:rPr>
          <w:rFonts w:ascii="Arial" w:hAnsi="Arial" w:cs="Arial"/>
          <w:sz w:val="21"/>
        </w:rPr>
        <w:t xml:space="preserve">Para habilitarse en el Proceso de Contratación, el Proponente acreditará que la sumatoria de los contratos aportados como experiencia es mayor o igual al 100% respecto del valor total del presupuesto oficial establecido para el Proceso de </w:t>
      </w:r>
      <w:r w:rsidRPr="00E61376">
        <w:rPr>
          <w:rFonts w:ascii="Arial" w:hAnsi="Arial" w:cs="Arial"/>
          <w:sz w:val="21"/>
        </w:rPr>
        <w:lastRenderedPageBreak/>
        <w:t xml:space="preserve">Contratación expresado en SMMLV. Estos contratos serán verificados en el RUP y en el “Formato 3 – Experiencia”, para los Proponentes que no están obligados a estar inscritos en el RUP, cumpliendo con los requisitos de experiencia previstos en el numeral “10.1 Acreditación de la experiencia del proponente”.  </w:t>
      </w:r>
    </w:p>
    <w:p w14:paraId="0980D696" w14:textId="77777777" w:rsidR="00E61376" w:rsidRPr="00E61376" w:rsidRDefault="00E61376" w:rsidP="00E61376">
      <w:pPr>
        <w:spacing w:after="120"/>
        <w:ind w:left="709" w:right="709"/>
        <w:jc w:val="both"/>
        <w:rPr>
          <w:rFonts w:ascii="Arial" w:hAnsi="Arial" w:cs="Arial"/>
          <w:sz w:val="21"/>
        </w:rPr>
      </w:pPr>
    </w:p>
    <w:p w14:paraId="2EB4F14A" w14:textId="77777777" w:rsidR="00E61376" w:rsidRPr="00E61376" w:rsidRDefault="00E61376" w:rsidP="00E61376">
      <w:pPr>
        <w:spacing w:after="120"/>
        <w:ind w:left="709" w:right="709"/>
        <w:jc w:val="both"/>
        <w:rPr>
          <w:rFonts w:ascii="Arial" w:hAnsi="Arial" w:cs="Arial"/>
          <w:sz w:val="21"/>
        </w:rPr>
      </w:pPr>
      <w:r w:rsidRPr="00E61376">
        <w:rPr>
          <w:rFonts w:ascii="Arial" w:hAnsi="Arial" w:cs="Arial"/>
          <w:sz w:val="21"/>
        </w:rPr>
        <w:t xml:space="preserve"> </w:t>
      </w:r>
    </w:p>
    <w:p w14:paraId="6E997195" w14:textId="77777777" w:rsidR="00E61376" w:rsidRPr="00E61376" w:rsidRDefault="00E61376" w:rsidP="00E61376">
      <w:pPr>
        <w:spacing w:after="120"/>
        <w:ind w:left="709" w:right="709"/>
        <w:jc w:val="both"/>
        <w:rPr>
          <w:rFonts w:ascii="Arial" w:hAnsi="Arial" w:cs="Arial"/>
          <w:sz w:val="21"/>
        </w:rPr>
      </w:pPr>
    </w:p>
    <w:p w14:paraId="024823B9" w14:textId="77777777" w:rsidR="00E61376" w:rsidRDefault="00E61376" w:rsidP="00E61376">
      <w:pPr>
        <w:spacing w:after="120"/>
        <w:ind w:left="709" w:right="709"/>
        <w:jc w:val="both"/>
        <w:rPr>
          <w:rFonts w:ascii="Arial" w:hAnsi="Arial" w:cs="Arial"/>
          <w:sz w:val="21"/>
        </w:rPr>
      </w:pPr>
      <w:r w:rsidRPr="00E61376">
        <w:rPr>
          <w:rFonts w:ascii="Arial" w:hAnsi="Arial" w:cs="Arial"/>
          <w:sz w:val="21"/>
        </w:rPr>
        <w:t xml:space="preserve">Además, para habilitarse en el Proceso de Contratación, mediante los contratos aportados, en caso de ser procedente, deberá acreditarse la experiencia específica exigida en este pliego de condiciones; al igual que la experiencia en las actividades secundarias, en caso de que se solicite combinación de experiencia de la Matriz 1 – Experiencia; e igualmente, deberá acreditarse la experiencia adicional cuando el proyecto a ejecutar incluya servicios adicionales a la consultoría de estudios de ingeniería de infraestructura de transporte. Lo anterior, de conformidad con lo exigido en el numeral 10.1.1. </w:t>
      </w:r>
    </w:p>
    <w:p w14:paraId="6E89B423" w14:textId="574B6983" w:rsidR="00F127A4" w:rsidRPr="009C0CE5" w:rsidRDefault="00E61376" w:rsidP="00E61376">
      <w:pPr>
        <w:spacing w:after="120"/>
        <w:ind w:left="709" w:right="709"/>
        <w:jc w:val="both"/>
        <w:rPr>
          <w:rFonts w:ascii="Arial" w:hAnsi="Arial" w:cs="Arial"/>
          <w:sz w:val="21"/>
        </w:rPr>
      </w:pPr>
      <w:r w:rsidRPr="00E61376">
        <w:rPr>
          <w:rFonts w:ascii="Arial" w:hAnsi="Arial" w:cs="Arial"/>
          <w:sz w:val="21"/>
        </w:rPr>
        <w:t>En caso de que con los contratos aportados no se acrediten los requisitos exigidos en los dos párrafos anteriores, la Entidad solicitará al Proponente que subsane su oferta en los términos del numeral 1.6. Si el Proponente subsana el requisito mínimo de experiencia, se habilitará en el Proceso de Contratación, pero no se tendrán en cuenta estos contratos para la asignación del puntaje. En otras palabras, el otorgamiento de puntaje se realizará con los contratos válidos aportados en su oferta y que no fueron objeto de subsanación por parte del Proponente</w:t>
      </w:r>
      <w:r w:rsidR="00F127A4" w:rsidRPr="009C0CE5">
        <w:rPr>
          <w:rFonts w:ascii="Arial" w:hAnsi="Arial" w:cs="Arial"/>
          <w:sz w:val="21"/>
        </w:rPr>
        <w:t>.</w:t>
      </w:r>
    </w:p>
    <w:p w14:paraId="33D0A504" w14:textId="77777777" w:rsidR="00F127A4" w:rsidRPr="009C0CE5" w:rsidRDefault="00F127A4" w:rsidP="00E50079">
      <w:pPr>
        <w:widowControl w:val="0"/>
        <w:autoSpaceDE w:val="0"/>
        <w:autoSpaceDN w:val="0"/>
        <w:ind w:left="709" w:right="709"/>
        <w:rPr>
          <w:rFonts w:ascii="Arial MT" w:eastAsia="Arial MT" w:hAnsi="Arial MT" w:cs="Arial MT"/>
          <w:sz w:val="20"/>
          <w:lang w:val="es-ES"/>
        </w:rPr>
      </w:pPr>
    </w:p>
    <w:p w14:paraId="66575F7F" w14:textId="28D63E31" w:rsidR="00F127A4" w:rsidRPr="00E0681A" w:rsidRDefault="00F127A4" w:rsidP="0037049D">
      <w:pPr>
        <w:widowControl w:val="0"/>
        <w:autoSpaceDE w:val="0"/>
        <w:autoSpaceDN w:val="0"/>
        <w:spacing w:after="120" w:line="276" w:lineRule="auto"/>
        <w:ind w:firstLine="709"/>
        <w:jc w:val="both"/>
        <w:rPr>
          <w:rFonts w:ascii="Arial" w:eastAsia="Arial MT" w:hAnsi="Arial" w:cs="Arial"/>
          <w:color w:val="000000" w:themeColor="text1"/>
          <w:sz w:val="22"/>
          <w:szCs w:val="22"/>
          <w:lang w:val="es-ES_tradnl"/>
        </w:rPr>
      </w:pPr>
      <w:r w:rsidRPr="00E0681A">
        <w:rPr>
          <w:rFonts w:ascii="Arial" w:eastAsia="Arial MT" w:hAnsi="Arial" w:cs="Arial"/>
          <w:sz w:val="22"/>
          <w:szCs w:val="22"/>
          <w:lang w:val="es-ES"/>
        </w:rPr>
        <w:t>Conforme con lo anterior, con los contratos aportados por el proponente para acreditar la experiencia se debe certificar un valor mínimo correspondiente a un porcentaje del</w:t>
      </w:r>
      <w:r w:rsidRPr="00E0681A">
        <w:rPr>
          <w:rFonts w:ascii="Arial" w:eastAsia="Arial MT" w:hAnsi="Arial" w:cs="Arial"/>
          <w:spacing w:val="1"/>
          <w:sz w:val="22"/>
          <w:szCs w:val="22"/>
          <w:lang w:val="es-ES"/>
        </w:rPr>
        <w:t xml:space="preserve"> </w:t>
      </w:r>
      <w:r w:rsidRPr="00E0681A">
        <w:rPr>
          <w:rFonts w:ascii="Arial" w:eastAsia="Arial MT" w:hAnsi="Arial" w:cs="Arial"/>
          <w:sz w:val="22"/>
          <w:szCs w:val="22"/>
          <w:lang w:val="es-ES"/>
        </w:rPr>
        <w:t>presupuesto</w:t>
      </w:r>
      <w:r w:rsidRPr="00E0681A">
        <w:rPr>
          <w:rFonts w:ascii="Arial" w:eastAsia="Arial MT" w:hAnsi="Arial" w:cs="Arial"/>
          <w:spacing w:val="-14"/>
          <w:sz w:val="22"/>
          <w:szCs w:val="22"/>
          <w:lang w:val="es-ES"/>
        </w:rPr>
        <w:t xml:space="preserve"> </w:t>
      </w:r>
      <w:r w:rsidRPr="00E0681A">
        <w:rPr>
          <w:rFonts w:ascii="Arial" w:eastAsia="Arial MT" w:hAnsi="Arial" w:cs="Arial"/>
          <w:sz w:val="22"/>
          <w:szCs w:val="22"/>
          <w:lang w:val="es-ES"/>
        </w:rPr>
        <w:t>oficial</w:t>
      </w:r>
      <w:r w:rsidRPr="00E0681A">
        <w:rPr>
          <w:rFonts w:ascii="Arial" w:eastAsia="Arial MT" w:hAnsi="Arial" w:cs="Arial"/>
          <w:spacing w:val="-14"/>
          <w:sz w:val="22"/>
          <w:szCs w:val="22"/>
          <w:lang w:val="es-ES"/>
        </w:rPr>
        <w:t xml:space="preserve"> </w:t>
      </w:r>
      <w:r w:rsidRPr="00E0681A">
        <w:rPr>
          <w:rFonts w:ascii="Arial" w:eastAsia="Arial MT" w:hAnsi="Arial" w:cs="Arial"/>
          <w:sz w:val="22"/>
          <w:szCs w:val="22"/>
          <w:lang w:val="es-ES"/>
        </w:rPr>
        <w:t>del</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proceso</w:t>
      </w:r>
      <w:r w:rsidRPr="00E0681A">
        <w:rPr>
          <w:rFonts w:ascii="Arial" w:eastAsia="Arial MT" w:hAnsi="Arial" w:cs="Arial"/>
          <w:spacing w:val="-14"/>
          <w:sz w:val="22"/>
          <w:szCs w:val="22"/>
          <w:lang w:val="es-ES"/>
        </w:rPr>
        <w:t xml:space="preserve"> </w:t>
      </w:r>
      <w:r w:rsidRPr="00E0681A">
        <w:rPr>
          <w:rFonts w:ascii="Arial" w:eastAsia="Arial MT" w:hAnsi="Arial" w:cs="Arial"/>
          <w:sz w:val="22"/>
          <w:szCs w:val="22"/>
          <w:lang w:val="es-ES"/>
        </w:rPr>
        <w:t>de</w:t>
      </w:r>
      <w:r w:rsidRPr="00E0681A">
        <w:rPr>
          <w:rFonts w:ascii="Arial" w:eastAsia="Arial MT" w:hAnsi="Arial" w:cs="Arial"/>
          <w:spacing w:val="-13"/>
          <w:sz w:val="22"/>
          <w:szCs w:val="22"/>
          <w:lang w:val="es-ES"/>
        </w:rPr>
        <w:t xml:space="preserve"> </w:t>
      </w:r>
      <w:r w:rsidR="00B1414D" w:rsidRPr="00E0681A">
        <w:rPr>
          <w:rFonts w:ascii="Arial" w:eastAsia="Arial MT" w:hAnsi="Arial" w:cs="Arial"/>
          <w:sz w:val="22"/>
          <w:szCs w:val="22"/>
          <w:lang w:val="es-ES"/>
        </w:rPr>
        <w:t>interventoría</w:t>
      </w:r>
      <w:r w:rsidR="00B1414D" w:rsidRPr="00E0681A">
        <w:rPr>
          <w:rFonts w:ascii="Arial" w:eastAsia="Arial MT" w:hAnsi="Arial" w:cs="Arial"/>
          <w:spacing w:val="-14"/>
          <w:sz w:val="22"/>
          <w:szCs w:val="22"/>
          <w:lang w:val="es-ES"/>
        </w:rPr>
        <w:t xml:space="preserve"> </w:t>
      </w:r>
      <w:r w:rsidRPr="00E0681A">
        <w:rPr>
          <w:rFonts w:ascii="Arial" w:eastAsia="Arial MT" w:hAnsi="Arial" w:cs="Arial"/>
          <w:sz w:val="22"/>
          <w:szCs w:val="22"/>
          <w:lang w:val="es-ES"/>
        </w:rPr>
        <w:t>expresado</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en</w:t>
      </w:r>
      <w:r w:rsidRPr="00E0681A">
        <w:rPr>
          <w:rFonts w:ascii="Arial" w:eastAsia="Arial MT" w:hAnsi="Arial" w:cs="Arial"/>
          <w:spacing w:val="-14"/>
          <w:sz w:val="22"/>
          <w:szCs w:val="22"/>
          <w:lang w:val="es-ES"/>
        </w:rPr>
        <w:t xml:space="preserve"> </w:t>
      </w:r>
      <w:r w:rsidRPr="00E0681A">
        <w:rPr>
          <w:rFonts w:ascii="Arial" w:eastAsia="Arial MT" w:hAnsi="Arial" w:cs="Arial"/>
          <w:sz w:val="22"/>
          <w:szCs w:val="22"/>
          <w:lang w:val="es-ES"/>
        </w:rPr>
        <w:t>SMMLV,</w:t>
      </w:r>
      <w:r w:rsidRPr="00E0681A">
        <w:rPr>
          <w:rFonts w:ascii="Arial" w:eastAsia="Arial MT" w:hAnsi="Arial" w:cs="Arial"/>
          <w:spacing w:val="-12"/>
          <w:sz w:val="22"/>
          <w:szCs w:val="22"/>
          <w:lang w:val="es-ES"/>
        </w:rPr>
        <w:t xml:space="preserve"> </w:t>
      </w:r>
      <w:r w:rsidRPr="00E0681A">
        <w:rPr>
          <w:rFonts w:ascii="Arial" w:eastAsia="Arial MT" w:hAnsi="Arial" w:cs="Arial"/>
          <w:sz w:val="22"/>
          <w:szCs w:val="22"/>
          <w:lang w:val="es-ES"/>
        </w:rPr>
        <w:t>cuya</w:t>
      </w:r>
      <w:r w:rsidRPr="00E0681A">
        <w:rPr>
          <w:rFonts w:ascii="Arial" w:eastAsia="Arial MT" w:hAnsi="Arial" w:cs="Arial"/>
          <w:spacing w:val="-14"/>
          <w:sz w:val="22"/>
          <w:szCs w:val="22"/>
          <w:lang w:val="es-ES"/>
        </w:rPr>
        <w:t xml:space="preserve"> </w:t>
      </w:r>
      <w:r w:rsidRPr="00E0681A">
        <w:rPr>
          <w:rFonts w:ascii="Arial" w:eastAsia="Arial MT" w:hAnsi="Arial" w:cs="Arial"/>
          <w:sz w:val="22"/>
          <w:szCs w:val="22"/>
          <w:lang w:val="es-ES"/>
        </w:rPr>
        <w:t>verificación</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se</w:t>
      </w:r>
      <w:r w:rsidRPr="00E0681A">
        <w:rPr>
          <w:rFonts w:ascii="Arial" w:eastAsia="Arial MT" w:hAnsi="Arial" w:cs="Arial"/>
          <w:spacing w:val="-14"/>
          <w:sz w:val="22"/>
          <w:szCs w:val="22"/>
          <w:lang w:val="es-ES"/>
        </w:rPr>
        <w:t xml:space="preserve"> hará </w:t>
      </w:r>
      <w:r w:rsidRPr="00E0681A">
        <w:rPr>
          <w:rFonts w:ascii="Arial" w:eastAsia="Arial MT" w:hAnsi="Arial" w:cs="Arial"/>
          <w:sz w:val="22"/>
          <w:szCs w:val="22"/>
          <w:lang w:val="es-ES"/>
        </w:rPr>
        <w:t>con</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base</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en</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la</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sumatoria</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de</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los</w:t>
      </w:r>
      <w:r w:rsidRPr="00E0681A">
        <w:rPr>
          <w:rFonts w:ascii="Arial" w:eastAsia="Arial MT" w:hAnsi="Arial" w:cs="Arial"/>
          <w:spacing w:val="-13"/>
          <w:sz w:val="22"/>
          <w:szCs w:val="22"/>
          <w:lang w:val="es-ES"/>
        </w:rPr>
        <w:t xml:space="preserve"> </w:t>
      </w:r>
      <w:bookmarkStart w:id="0" w:name="_Hlk80286196"/>
      <w:r w:rsidRPr="00E0681A">
        <w:rPr>
          <w:rFonts w:ascii="Arial" w:eastAsia="Arial MT" w:hAnsi="Arial" w:cs="Arial"/>
          <w:sz w:val="22"/>
          <w:szCs w:val="22"/>
          <w:lang w:val="es-ES"/>
        </w:rPr>
        <w:t>valores</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totales</w:t>
      </w:r>
      <w:r w:rsidRPr="00E0681A">
        <w:rPr>
          <w:rFonts w:ascii="Arial" w:eastAsia="Arial MT" w:hAnsi="Arial" w:cs="Arial"/>
          <w:spacing w:val="-11"/>
          <w:sz w:val="22"/>
          <w:szCs w:val="22"/>
          <w:lang w:val="es-ES"/>
        </w:rPr>
        <w:t xml:space="preserve"> </w:t>
      </w:r>
      <w:r w:rsidRPr="00E0681A">
        <w:rPr>
          <w:rFonts w:ascii="Arial" w:eastAsia="Arial MT" w:hAnsi="Arial" w:cs="Arial"/>
          <w:sz w:val="22"/>
          <w:szCs w:val="22"/>
          <w:lang w:val="es-ES"/>
        </w:rPr>
        <w:t>ejecutados</w:t>
      </w:r>
      <w:r w:rsidRPr="00E0681A">
        <w:rPr>
          <w:rFonts w:ascii="Arial" w:eastAsia="Arial MT" w:hAnsi="Arial" w:cs="Arial"/>
          <w:spacing w:val="-12"/>
          <w:sz w:val="22"/>
          <w:szCs w:val="22"/>
          <w:lang w:val="es-ES"/>
        </w:rPr>
        <w:t xml:space="preserve"> </w:t>
      </w:r>
      <w:r w:rsidRPr="00E0681A">
        <w:rPr>
          <w:rFonts w:ascii="Arial" w:eastAsia="Arial MT" w:hAnsi="Arial" w:cs="Arial"/>
          <w:sz w:val="22"/>
          <w:szCs w:val="22"/>
          <w:lang w:val="es-ES"/>
        </w:rPr>
        <w:t>de</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los</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contratos</w:t>
      </w:r>
      <w:r w:rsidRPr="00E0681A">
        <w:rPr>
          <w:rFonts w:ascii="Arial" w:eastAsia="Arial MT" w:hAnsi="Arial" w:cs="Arial"/>
          <w:spacing w:val="-13"/>
          <w:sz w:val="22"/>
          <w:szCs w:val="22"/>
          <w:lang w:val="es-ES"/>
        </w:rPr>
        <w:t xml:space="preserve"> </w:t>
      </w:r>
      <w:r w:rsidRPr="00E0681A">
        <w:rPr>
          <w:rFonts w:ascii="Arial" w:eastAsia="Arial MT" w:hAnsi="Arial" w:cs="Arial"/>
          <w:sz w:val="22"/>
          <w:szCs w:val="22"/>
          <w:lang w:val="es-ES"/>
        </w:rPr>
        <w:t>que</w:t>
      </w:r>
      <w:r w:rsidRPr="00E0681A">
        <w:rPr>
          <w:rFonts w:ascii="Arial" w:eastAsia="Arial MT" w:hAnsi="Arial" w:cs="Arial"/>
          <w:spacing w:val="-13"/>
          <w:sz w:val="22"/>
          <w:szCs w:val="22"/>
          <w:lang w:val="es-ES"/>
        </w:rPr>
        <w:t xml:space="preserve"> </w:t>
      </w:r>
      <w:r w:rsidR="00D76326" w:rsidRPr="00E0681A">
        <w:rPr>
          <w:rFonts w:ascii="Arial" w:eastAsia="Arial MT" w:hAnsi="Arial" w:cs="Arial"/>
          <w:sz w:val="22"/>
          <w:szCs w:val="22"/>
          <w:lang w:val="es-ES"/>
        </w:rPr>
        <w:t xml:space="preserve">cumplan con </w:t>
      </w:r>
      <w:r w:rsidRPr="00E0681A">
        <w:rPr>
          <w:rFonts w:ascii="Arial" w:eastAsia="Arial MT" w:hAnsi="Arial" w:cs="Arial"/>
          <w:sz w:val="22"/>
          <w:szCs w:val="22"/>
          <w:lang w:val="es-ES"/>
        </w:rPr>
        <w:t>los requisitos establecidos en el pliego de condiciones</w:t>
      </w:r>
      <w:bookmarkEnd w:id="0"/>
      <w:r w:rsidRPr="00E0681A">
        <w:rPr>
          <w:rFonts w:ascii="Arial" w:eastAsia="Arial MT" w:hAnsi="Arial" w:cs="Arial"/>
          <w:sz w:val="22"/>
          <w:szCs w:val="22"/>
          <w:lang w:val="es-ES"/>
        </w:rPr>
        <w:t xml:space="preserve">. </w:t>
      </w:r>
      <w:r w:rsidRPr="00E0681A">
        <w:rPr>
          <w:rFonts w:ascii="Arial" w:eastAsia="Arial MT" w:hAnsi="Arial" w:cs="Arial"/>
          <w:color w:val="000000" w:themeColor="text1"/>
          <w:sz w:val="22"/>
          <w:szCs w:val="22"/>
          <w:lang w:val="es-ES_tradnl"/>
        </w:rPr>
        <w:t xml:space="preserve">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p>
    <w:p w14:paraId="40F76B32" w14:textId="031BBA0F" w:rsidR="00F127A4" w:rsidRPr="00E0681A" w:rsidRDefault="002A3ECE" w:rsidP="00B71AEC">
      <w:pPr>
        <w:widowControl w:val="0"/>
        <w:autoSpaceDE w:val="0"/>
        <w:autoSpaceDN w:val="0"/>
        <w:spacing w:line="276" w:lineRule="auto"/>
        <w:ind w:firstLine="709"/>
        <w:jc w:val="both"/>
        <w:rPr>
          <w:rFonts w:ascii="Arial" w:eastAsia="Arial MT" w:hAnsi="Arial" w:cs="Arial"/>
          <w:sz w:val="22"/>
          <w:szCs w:val="22"/>
          <w:lang w:val="es-ES"/>
        </w:rPr>
      </w:pPr>
      <w:r w:rsidRPr="00E0681A">
        <w:rPr>
          <w:rFonts w:ascii="Arial" w:eastAsia="Arial MT" w:hAnsi="Arial" w:cs="Arial"/>
          <w:sz w:val="22"/>
          <w:szCs w:val="22"/>
          <w:lang w:val="es-ES"/>
        </w:rPr>
        <w:t>Ahora bien, resulta necesario mencionar que, e</w:t>
      </w:r>
      <w:r w:rsidR="00F127A4" w:rsidRPr="00E0681A">
        <w:rPr>
          <w:rFonts w:ascii="Arial" w:eastAsia="Arial MT" w:hAnsi="Arial" w:cs="Arial"/>
          <w:sz w:val="22"/>
          <w:szCs w:val="22"/>
          <w:lang w:val="es-ES"/>
        </w:rPr>
        <w:t>n estos documentos tipo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 xml:space="preserve">de </w:t>
      </w:r>
      <w:r w:rsidR="00FB4238">
        <w:rPr>
          <w:rFonts w:ascii="Arial" w:eastAsia="Arial MT" w:hAnsi="Arial" w:cs="Arial"/>
          <w:sz w:val="22"/>
          <w:szCs w:val="22"/>
          <w:lang w:val="es-ES"/>
        </w:rPr>
        <w:t>consultoría</w:t>
      </w:r>
      <w:r w:rsidR="00F127A4" w:rsidRPr="00E0681A">
        <w:rPr>
          <w:rFonts w:ascii="Arial" w:eastAsia="Arial MT" w:hAnsi="Arial" w:cs="Arial"/>
          <w:sz w:val="22"/>
          <w:szCs w:val="22"/>
          <w:lang w:val="es-ES"/>
        </w:rPr>
        <w:t xml:space="preserve">, a diferencia de lo indicado en los de licitación </w:t>
      </w:r>
      <w:r w:rsidR="00F87511">
        <w:rPr>
          <w:rFonts w:ascii="Arial" w:eastAsia="Arial MT" w:hAnsi="Arial" w:cs="Arial"/>
          <w:sz w:val="22"/>
          <w:szCs w:val="22"/>
          <w:lang w:val="es-ES"/>
        </w:rPr>
        <w:t>de obra pública de infraestructura de transporte –V</w:t>
      </w:r>
      <w:r w:rsidR="00F127A4" w:rsidRPr="00E0681A">
        <w:rPr>
          <w:rFonts w:ascii="Arial" w:eastAsia="Arial MT" w:hAnsi="Arial" w:cs="Arial"/>
          <w:sz w:val="22"/>
          <w:szCs w:val="22"/>
          <w:lang w:val="es-ES"/>
        </w:rPr>
        <w:t>ersión 3</w:t>
      </w:r>
      <w:r w:rsidR="00F87511">
        <w:rPr>
          <w:rFonts w:ascii="Arial" w:eastAsia="Arial MT" w:hAnsi="Arial" w:cs="Arial"/>
          <w:sz w:val="22"/>
          <w:szCs w:val="22"/>
          <w:lang w:val="es-ES"/>
        </w:rPr>
        <w:t>–</w:t>
      </w:r>
      <w:r w:rsidR="00F127A4" w:rsidRPr="00E0681A">
        <w:rPr>
          <w:rFonts w:ascii="Arial" w:eastAsia="Arial MT" w:hAnsi="Arial" w:cs="Arial"/>
          <w:sz w:val="22"/>
          <w:szCs w:val="22"/>
          <w:lang w:val="es-ES"/>
        </w:rPr>
        <w:t>, el porcentaje</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mínimo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a</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acreditar</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por</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los</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proponentes</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no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varía</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dependiendo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la</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cantidad</w:t>
      </w:r>
      <w:r w:rsidR="00F127A4" w:rsidRPr="00E0681A">
        <w:rPr>
          <w:rFonts w:ascii="Arial" w:eastAsia="Arial MT" w:hAnsi="Arial" w:cs="Arial"/>
          <w:spacing w:val="1"/>
          <w:sz w:val="22"/>
          <w:szCs w:val="22"/>
          <w:lang w:val="es-ES"/>
        </w:rPr>
        <w:t xml:space="preserve"> </w:t>
      </w:r>
      <w:r w:rsidR="006D5473" w:rsidRPr="00E0681A">
        <w:rPr>
          <w:rFonts w:ascii="Arial" w:eastAsia="Arial MT" w:hAnsi="Arial" w:cs="Arial"/>
          <w:sz w:val="22"/>
          <w:szCs w:val="22"/>
          <w:lang w:val="es-ES"/>
        </w:rPr>
        <w:t xml:space="preserve">de </w:t>
      </w:r>
      <w:r w:rsidR="00F127A4" w:rsidRPr="00E0681A">
        <w:rPr>
          <w:rFonts w:ascii="Arial" w:eastAsia="Arial MT" w:hAnsi="Arial" w:cs="Arial"/>
          <w:spacing w:val="-59"/>
          <w:sz w:val="22"/>
          <w:szCs w:val="22"/>
          <w:lang w:val="es-ES"/>
        </w:rPr>
        <w:t xml:space="preserve"> </w:t>
      </w:r>
      <w:r w:rsidR="00F127A4" w:rsidRPr="00E0681A">
        <w:rPr>
          <w:rFonts w:ascii="Arial" w:eastAsia="Arial MT" w:hAnsi="Arial" w:cs="Arial"/>
          <w:sz w:val="22"/>
          <w:szCs w:val="22"/>
          <w:lang w:val="es-ES"/>
        </w:rPr>
        <w:t>contratos aportados; sino que el porcentaje se mantiene invariable, exigiéndose en los</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 xml:space="preserve">de </w:t>
      </w:r>
      <w:r w:rsidR="00FB4238">
        <w:rPr>
          <w:rFonts w:ascii="Arial" w:eastAsia="Arial MT" w:hAnsi="Arial" w:cs="Arial"/>
          <w:sz w:val="22"/>
          <w:szCs w:val="22"/>
          <w:lang w:val="es-ES"/>
        </w:rPr>
        <w:t>consultoría</w:t>
      </w:r>
      <w:r w:rsidR="00F127A4" w:rsidRPr="00E0681A">
        <w:rPr>
          <w:rFonts w:ascii="Arial" w:eastAsia="Arial MT" w:hAnsi="Arial" w:cs="Arial"/>
          <w:sz w:val="22"/>
          <w:szCs w:val="22"/>
          <w:lang w:val="es-ES"/>
        </w:rPr>
        <w:t xml:space="preserve"> que el porcentaje del presupuesto oficial del proceso expresado en</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SMMLV a certificar por parte de los proponentes sea del 100% del presupuesto del</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procedimiento</w:t>
      </w:r>
      <w:r w:rsidR="00F127A4" w:rsidRPr="00E0681A">
        <w:rPr>
          <w:rFonts w:ascii="Arial" w:eastAsia="Arial MT" w:hAnsi="Arial" w:cs="Arial"/>
          <w:spacing w:val="-2"/>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selección.</w:t>
      </w:r>
    </w:p>
    <w:p w14:paraId="6C3B7A8D" w14:textId="4B466046" w:rsidR="00E74729" w:rsidRDefault="00E74729" w:rsidP="00B71AEC">
      <w:pPr>
        <w:pStyle w:val="Textoindependiente"/>
        <w:spacing w:line="276" w:lineRule="auto"/>
        <w:jc w:val="both"/>
        <w:rPr>
          <w:sz w:val="22"/>
          <w:szCs w:val="22"/>
        </w:rPr>
      </w:pPr>
    </w:p>
    <w:p w14:paraId="65E83B2A" w14:textId="19329D04" w:rsidR="009F7031" w:rsidRDefault="009F7031" w:rsidP="00B71AEC">
      <w:pPr>
        <w:pStyle w:val="Textoindependiente"/>
        <w:spacing w:line="276" w:lineRule="auto"/>
        <w:jc w:val="both"/>
        <w:rPr>
          <w:sz w:val="22"/>
          <w:szCs w:val="22"/>
        </w:rPr>
      </w:pPr>
    </w:p>
    <w:p w14:paraId="45BE655D" w14:textId="3443827E" w:rsidR="009F7031" w:rsidRDefault="009F7031" w:rsidP="00B71AEC">
      <w:pPr>
        <w:pStyle w:val="Textoindependiente"/>
        <w:spacing w:line="276" w:lineRule="auto"/>
        <w:jc w:val="both"/>
        <w:rPr>
          <w:sz w:val="22"/>
          <w:szCs w:val="22"/>
        </w:rPr>
      </w:pPr>
    </w:p>
    <w:p w14:paraId="1CF1F038" w14:textId="08996306" w:rsidR="009F7031" w:rsidRDefault="009F7031" w:rsidP="00B71AEC">
      <w:pPr>
        <w:pStyle w:val="Textoindependiente"/>
        <w:spacing w:line="276" w:lineRule="auto"/>
        <w:jc w:val="both"/>
        <w:rPr>
          <w:sz w:val="22"/>
          <w:szCs w:val="22"/>
        </w:rPr>
      </w:pPr>
    </w:p>
    <w:p w14:paraId="7F788603" w14:textId="77777777" w:rsidR="009F7031" w:rsidRPr="00E0681A" w:rsidRDefault="009F7031" w:rsidP="00B71AEC">
      <w:pPr>
        <w:pStyle w:val="Textoindependiente"/>
        <w:spacing w:line="276" w:lineRule="auto"/>
        <w:jc w:val="both"/>
        <w:rPr>
          <w:sz w:val="22"/>
          <w:szCs w:val="22"/>
        </w:rPr>
      </w:pPr>
    </w:p>
    <w:p w14:paraId="7AA4BFFB" w14:textId="7792A146" w:rsidR="00A366E8" w:rsidRDefault="00BA7FA8" w:rsidP="00A84921">
      <w:pPr>
        <w:pStyle w:val="Textoindependiente"/>
        <w:spacing w:line="276" w:lineRule="auto"/>
        <w:jc w:val="both"/>
        <w:rPr>
          <w:rFonts w:ascii="Arial" w:eastAsia="Calibri" w:hAnsi="Arial" w:cs="Arial"/>
          <w:b/>
          <w:bCs/>
          <w:color w:val="000000"/>
          <w:sz w:val="22"/>
          <w:szCs w:val="22"/>
          <w:lang w:val="es-ES_tradnl"/>
        </w:rPr>
      </w:pPr>
      <w:r w:rsidRPr="00E0681A">
        <w:rPr>
          <w:rFonts w:ascii="Arial" w:hAnsi="Arial" w:cs="Arial"/>
          <w:b/>
          <w:bCs/>
          <w:sz w:val="22"/>
          <w:szCs w:val="22"/>
        </w:rPr>
        <w:t>2.</w:t>
      </w:r>
      <w:r w:rsidR="00F712A6">
        <w:rPr>
          <w:rFonts w:ascii="Arial" w:hAnsi="Arial" w:cs="Arial"/>
          <w:b/>
          <w:bCs/>
          <w:sz w:val="22"/>
          <w:szCs w:val="22"/>
        </w:rPr>
        <w:t>3</w:t>
      </w:r>
      <w:r w:rsidR="00A84921" w:rsidRPr="00E0681A">
        <w:rPr>
          <w:rFonts w:ascii="Arial" w:hAnsi="Arial" w:cs="Arial"/>
          <w:b/>
          <w:bCs/>
          <w:sz w:val="22"/>
          <w:szCs w:val="22"/>
        </w:rPr>
        <w:t>.</w:t>
      </w:r>
      <w:r w:rsidRPr="00E0681A">
        <w:rPr>
          <w:rFonts w:ascii="Arial" w:hAnsi="Arial" w:cs="Arial"/>
          <w:b/>
          <w:bCs/>
          <w:sz w:val="22"/>
          <w:szCs w:val="22"/>
        </w:rPr>
        <w:t xml:space="preserve"> </w:t>
      </w:r>
      <w:r w:rsidR="00A366E8">
        <w:rPr>
          <w:rFonts w:ascii="Arial" w:eastAsia="Calibri" w:hAnsi="Arial" w:cs="Arial"/>
          <w:b/>
          <w:bCs/>
          <w:color w:val="000000"/>
          <w:sz w:val="22"/>
          <w:szCs w:val="22"/>
          <w:lang w:val="es-ES_tradnl"/>
        </w:rPr>
        <w:t>Métodos</w:t>
      </w:r>
      <w:r w:rsidR="000B2DD3" w:rsidRPr="00E0681A">
        <w:rPr>
          <w:rFonts w:ascii="Arial" w:eastAsia="Calibri" w:hAnsi="Arial" w:cs="Arial"/>
          <w:b/>
          <w:bCs/>
          <w:color w:val="000000"/>
          <w:sz w:val="22"/>
          <w:szCs w:val="22"/>
          <w:lang w:val="es-ES_tradnl"/>
        </w:rPr>
        <w:t xml:space="preserve"> de ponderación de la experiencia en el documento tipo de </w:t>
      </w:r>
      <w:r w:rsidR="00A366E8">
        <w:rPr>
          <w:rFonts w:ascii="Arial" w:eastAsia="Calibri" w:hAnsi="Arial" w:cs="Arial"/>
          <w:b/>
          <w:bCs/>
          <w:color w:val="000000"/>
          <w:sz w:val="22"/>
          <w:szCs w:val="22"/>
          <w:lang w:val="es-ES_tradnl"/>
        </w:rPr>
        <w:t xml:space="preserve">concurso de méritos </w:t>
      </w:r>
      <w:r w:rsidR="00A366E8" w:rsidRPr="00A366E8">
        <w:rPr>
          <w:rFonts w:ascii="Arial" w:eastAsia="Calibri" w:hAnsi="Arial" w:cs="Arial"/>
          <w:b/>
          <w:bCs/>
          <w:color w:val="000000"/>
          <w:sz w:val="22"/>
          <w:szCs w:val="22"/>
          <w:lang w:val="es-ES_tradnl"/>
        </w:rPr>
        <w:t>para contratar la consultoría de estudios de ingeniería de infraestruc</w:t>
      </w:r>
      <w:r w:rsidR="00A366E8">
        <w:rPr>
          <w:rFonts w:ascii="Arial" w:eastAsia="Calibri" w:hAnsi="Arial" w:cs="Arial"/>
          <w:b/>
          <w:bCs/>
          <w:color w:val="000000"/>
          <w:sz w:val="22"/>
          <w:szCs w:val="22"/>
          <w:lang w:val="es-ES_tradnl"/>
        </w:rPr>
        <w:t>t</w:t>
      </w:r>
      <w:r w:rsidR="00A366E8" w:rsidRPr="00A366E8">
        <w:rPr>
          <w:rFonts w:ascii="Arial" w:eastAsia="Calibri" w:hAnsi="Arial" w:cs="Arial"/>
          <w:b/>
          <w:bCs/>
          <w:color w:val="000000"/>
          <w:sz w:val="22"/>
          <w:szCs w:val="22"/>
          <w:lang w:val="es-ES_tradnl"/>
        </w:rPr>
        <w:t>ura de transpor</w:t>
      </w:r>
      <w:r w:rsidR="00A366E8">
        <w:rPr>
          <w:rFonts w:ascii="Arial" w:eastAsia="Calibri" w:hAnsi="Arial" w:cs="Arial"/>
          <w:b/>
          <w:bCs/>
          <w:color w:val="000000"/>
          <w:sz w:val="22"/>
          <w:szCs w:val="22"/>
          <w:lang w:val="es-ES_tradnl"/>
        </w:rPr>
        <w:t>te</w:t>
      </w:r>
      <w:r w:rsidR="00A366E8" w:rsidRPr="00A366E8" w:rsidDel="00A366E8">
        <w:rPr>
          <w:rFonts w:ascii="Arial" w:eastAsia="Calibri" w:hAnsi="Arial" w:cs="Arial"/>
          <w:b/>
          <w:bCs/>
          <w:color w:val="000000"/>
          <w:sz w:val="22"/>
          <w:szCs w:val="22"/>
          <w:lang w:val="es-ES_tradnl"/>
        </w:rPr>
        <w:t xml:space="preserve"> </w:t>
      </w:r>
    </w:p>
    <w:p w14:paraId="3A457494" w14:textId="77777777" w:rsidR="00A366E8" w:rsidRPr="00E0681A" w:rsidRDefault="00A366E8" w:rsidP="00A84921">
      <w:pPr>
        <w:pStyle w:val="Textoindependiente"/>
        <w:spacing w:line="276" w:lineRule="auto"/>
        <w:jc w:val="both"/>
        <w:rPr>
          <w:rFonts w:ascii="Arial" w:eastAsia="Calibri" w:hAnsi="Arial" w:cs="Arial"/>
          <w:b/>
          <w:bCs/>
          <w:color w:val="000000"/>
          <w:sz w:val="22"/>
          <w:szCs w:val="22"/>
          <w:lang w:val="es-ES_tradnl"/>
        </w:rPr>
      </w:pPr>
    </w:p>
    <w:p w14:paraId="30816882" w14:textId="30899290" w:rsidR="00A366E8" w:rsidRPr="008E0B9B" w:rsidRDefault="00FA68D0" w:rsidP="008E0B9B">
      <w:pPr>
        <w:pStyle w:val="Textoindependiente"/>
        <w:spacing w:after="120" w:line="276" w:lineRule="auto"/>
        <w:jc w:val="both"/>
        <w:rPr>
          <w:rFonts w:ascii="Arial" w:hAnsi="Arial" w:cs="Arial"/>
          <w:sz w:val="22"/>
          <w:szCs w:val="22"/>
        </w:rPr>
      </w:pPr>
      <w:r w:rsidRPr="008E0B9B">
        <w:rPr>
          <w:rFonts w:ascii="Arial" w:hAnsi="Arial" w:cs="Arial"/>
          <w:sz w:val="22"/>
          <w:szCs w:val="22"/>
          <w:lang w:val="es-ES_tradnl"/>
        </w:rPr>
        <w:t>E</w:t>
      </w:r>
      <w:r w:rsidRPr="008E0B9B">
        <w:rPr>
          <w:rFonts w:ascii="Arial" w:hAnsi="Arial" w:cs="Arial"/>
          <w:sz w:val="22"/>
          <w:szCs w:val="22"/>
        </w:rPr>
        <w:t xml:space="preserve">l numeral 4° del artículo 5° de la Ley 1150 de 2007 contiene una regulación especial del deber de selección objetiva aplicable a procesos de selección de consultores. Esta disposición 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w:t>
      </w:r>
      <w:r w:rsidR="00A366E8">
        <w:rPr>
          <w:rFonts w:ascii="Arial" w:hAnsi="Arial" w:cs="Arial"/>
          <w:sz w:val="22"/>
          <w:szCs w:val="22"/>
        </w:rPr>
        <w:t>escogencia</w:t>
      </w:r>
      <w:r w:rsidRPr="008E0B9B">
        <w:rPr>
          <w:rFonts w:ascii="Arial" w:hAnsi="Arial" w:cs="Arial"/>
          <w:sz w:val="22"/>
          <w:szCs w:val="22"/>
        </w:rPr>
        <w:t xml:space="preserve">. </w:t>
      </w:r>
    </w:p>
    <w:p w14:paraId="0D78995C" w14:textId="2D29682E" w:rsidR="00FA68D0" w:rsidRPr="008E0B9B" w:rsidRDefault="00FA68D0" w:rsidP="008E0B9B">
      <w:pPr>
        <w:pStyle w:val="Textoindependiente"/>
        <w:spacing w:line="276" w:lineRule="auto"/>
        <w:ind w:firstLine="709"/>
        <w:jc w:val="both"/>
        <w:rPr>
          <w:rFonts w:ascii="Arial" w:eastAsia="Calibri" w:hAnsi="Arial" w:cs="Arial"/>
          <w:sz w:val="22"/>
          <w:szCs w:val="22"/>
        </w:rPr>
      </w:pPr>
      <w:r w:rsidRPr="008E0B9B">
        <w:rPr>
          <w:rFonts w:ascii="Arial" w:hAnsi="Arial" w:cs="Arial"/>
          <w:sz w:val="22"/>
          <w:szCs w:val="22"/>
        </w:rPr>
        <w:t xml:space="preserve">El procedimiento de selección de concurso de méritos, aplicable para la escogencia de consultores, está reglamentado por el artículo 2.2.1.2.1.3.2. del Decreto 1082 de 2015, recientemente modificado por el Decreto 399 de 2021.  El numeral 1 de dicha norma señala que: «1. La Entidad Estatal en los pliegos de condiciones debe indicar la forma como calificará, entre otros, los siguientes criterios: </w:t>
      </w:r>
      <w:r w:rsidRPr="008E0B9B">
        <w:rPr>
          <w:rFonts w:ascii="Arial" w:hAnsi="Arial" w:cs="Arial"/>
          <w:i/>
          <w:iCs/>
          <w:sz w:val="22"/>
          <w:szCs w:val="22"/>
        </w:rPr>
        <w:t>a) la experiencia del interesado y del equipo de trabajo y b) la formación académica del equipo de trabajo»</w:t>
      </w:r>
      <w:r w:rsidRPr="008E0B9B">
        <w:rPr>
          <w:rFonts w:ascii="Arial" w:hAnsi="Arial" w:cs="Arial"/>
          <w:sz w:val="22"/>
          <w:szCs w:val="22"/>
        </w:rPr>
        <w:t xml:space="preserve"> (énfasis fuera de texto). Conforme a esto, los factores ponderables en un proceso de selección de concurso de méritos –esto es, los que determinan la escogencia entre los proponentes habilitados– son</w:t>
      </w:r>
      <w:r w:rsidR="009710D8">
        <w:rPr>
          <w:rFonts w:ascii="Arial" w:hAnsi="Arial" w:cs="Arial"/>
          <w:sz w:val="22"/>
          <w:szCs w:val="22"/>
        </w:rPr>
        <w:t>, entre otros,</w:t>
      </w:r>
      <w:r w:rsidRPr="008E0B9B">
        <w:rPr>
          <w:rFonts w:ascii="Arial" w:hAnsi="Arial" w:cs="Arial"/>
          <w:sz w:val="22"/>
          <w:szCs w:val="22"/>
        </w:rPr>
        <w:t xml:space="preserve"> los indicados en la norma citada, sin perjuicio de que existan otros establecidos por la ley</w:t>
      </w:r>
      <w:r w:rsidR="009710D8">
        <w:rPr>
          <w:rFonts w:ascii="Arial" w:hAnsi="Arial" w:cs="Arial"/>
          <w:sz w:val="22"/>
          <w:szCs w:val="22"/>
        </w:rPr>
        <w:t xml:space="preserve"> o por la entidad en los pliegos de condiciones</w:t>
      </w:r>
      <w:r w:rsidRPr="008E0B9B">
        <w:rPr>
          <w:rFonts w:ascii="Arial" w:hAnsi="Arial" w:cs="Arial"/>
          <w:sz w:val="22"/>
          <w:szCs w:val="22"/>
        </w:rPr>
        <w:t xml:space="preserve">, de </w:t>
      </w:r>
      <w:r w:rsidRPr="008E0B9B">
        <w:rPr>
          <w:rFonts w:ascii="Arial" w:eastAsia="Calibri" w:hAnsi="Arial" w:cs="Arial"/>
          <w:sz w:val="22"/>
          <w:szCs w:val="22"/>
          <w:lang w:val="es-CO"/>
        </w:rPr>
        <w:t xml:space="preserve">manera que de acuerdo con este marco jurídico se definirán los criterios de asignación de puntaje.  </w:t>
      </w:r>
    </w:p>
    <w:p w14:paraId="66A0218E" w14:textId="0D1F06D9" w:rsidR="00FA68D0" w:rsidRPr="00FA68D0" w:rsidRDefault="00FA68D0" w:rsidP="00FA68D0">
      <w:pPr>
        <w:spacing w:before="120" w:line="276" w:lineRule="auto"/>
        <w:ind w:firstLine="709"/>
        <w:jc w:val="both"/>
        <w:rPr>
          <w:rFonts w:ascii="Calibri" w:eastAsia="Calibri" w:hAnsi="Calibri"/>
          <w:b/>
          <w:smallCaps/>
          <w:sz w:val="22"/>
          <w:szCs w:val="22"/>
          <w:lang w:val="es-MX"/>
        </w:rPr>
      </w:pPr>
      <w:r w:rsidRPr="00A366E8">
        <w:rPr>
          <w:rFonts w:ascii="Arial" w:eastAsia="Calibri" w:hAnsi="Arial" w:cs="Arial"/>
          <w:sz w:val="22"/>
          <w:szCs w:val="22"/>
        </w:rPr>
        <w:t xml:space="preserve">De acuerdo con esta normativa, en los documentos </w:t>
      </w:r>
      <w:r w:rsidRPr="00A366E8">
        <w:rPr>
          <w:rFonts w:ascii="Arial" w:eastAsia="Calibri" w:hAnsi="Arial" w:cs="Arial"/>
          <w:sz w:val="22"/>
          <w:szCs w:val="22"/>
          <w:lang w:val="es-MX"/>
        </w:rPr>
        <w:t xml:space="preserve">tipo de concursos de méritos para la </w:t>
      </w:r>
      <w:r w:rsidR="00FB4238" w:rsidRPr="00A366E8">
        <w:rPr>
          <w:rFonts w:ascii="Arial" w:eastAsia="Calibri" w:hAnsi="Arial" w:cs="Arial"/>
          <w:sz w:val="22"/>
          <w:szCs w:val="22"/>
          <w:lang w:val="es-MX"/>
        </w:rPr>
        <w:t>consultoría de estudios de ingenier</w:t>
      </w:r>
      <w:r w:rsidR="009710D8">
        <w:rPr>
          <w:rFonts w:ascii="Arial" w:eastAsia="Calibri" w:hAnsi="Arial" w:cs="Arial"/>
          <w:sz w:val="22"/>
          <w:szCs w:val="22"/>
          <w:lang w:val="es-MX"/>
        </w:rPr>
        <w:t>í</w:t>
      </w:r>
      <w:r w:rsidR="00FB4238" w:rsidRPr="00A366E8">
        <w:rPr>
          <w:rFonts w:ascii="Arial" w:eastAsia="Calibri" w:hAnsi="Arial" w:cs="Arial"/>
          <w:sz w:val="22"/>
          <w:szCs w:val="22"/>
          <w:lang w:val="es-MX"/>
        </w:rPr>
        <w:t>a</w:t>
      </w:r>
      <w:r w:rsidR="00FB4238">
        <w:rPr>
          <w:rFonts w:ascii="Arial" w:eastAsia="Calibri" w:hAnsi="Arial" w:cs="Arial"/>
          <w:sz w:val="22"/>
          <w:szCs w:val="22"/>
          <w:lang w:val="es-MX"/>
        </w:rPr>
        <w:t xml:space="preserve"> </w:t>
      </w:r>
      <w:r w:rsidRPr="00FA68D0">
        <w:rPr>
          <w:rFonts w:ascii="Arial" w:eastAsia="Calibri" w:hAnsi="Arial" w:cs="Arial"/>
          <w:sz w:val="22"/>
          <w:szCs w:val="22"/>
          <w:lang w:val="es-MX"/>
        </w:rPr>
        <w:t xml:space="preserve">de </w:t>
      </w:r>
      <w:r w:rsidRPr="00FA68D0">
        <w:rPr>
          <w:rFonts w:ascii="Arial" w:eastAsia="Calibri" w:hAnsi="Arial" w:cs="Arial"/>
          <w:sz w:val="22"/>
          <w:szCs w:val="22"/>
        </w:rPr>
        <w:t>infraestructura de transporte adoptados por esta Agencia, se consideran la experiencia del proponente y del equipo de trabajo como factores de evaluación. Esto se aprecia en el Capítulo IV del Documento Base, que señala que la entidad calificará las ofertas que hayan</w:t>
      </w:r>
      <w:r w:rsidRPr="00FA68D0">
        <w:rPr>
          <w:rFonts w:ascii="Arial" w:eastAsia="Calibri" w:hAnsi="Arial" w:cs="Arial"/>
          <w:sz w:val="22"/>
          <w:szCs w:val="22"/>
          <w:lang w:val="es-MX"/>
        </w:rPr>
        <w:t xml:space="preserve"> cumplido los requisitos habilitantes con los siguientes criterios de evaluación y puntajes: i) Experiencia del proponente</w:t>
      </w:r>
      <w:r w:rsidR="002C08E9">
        <w:rPr>
          <w:rFonts w:ascii="Arial" w:eastAsia="Calibri" w:hAnsi="Arial" w:cs="Arial"/>
          <w:sz w:val="22"/>
          <w:szCs w:val="22"/>
          <w:lang w:val="es-MX"/>
        </w:rPr>
        <w:t>,</w:t>
      </w:r>
      <w:r w:rsidRPr="00FA68D0">
        <w:rPr>
          <w:rFonts w:ascii="Arial" w:eastAsia="Calibri" w:hAnsi="Arial" w:cs="Arial"/>
          <w:sz w:val="22"/>
          <w:szCs w:val="22"/>
          <w:lang w:val="es-MX"/>
        </w:rPr>
        <w:t xml:space="preserve"> ii) Equipo de trabajo (personal clave evaluable)</w:t>
      </w:r>
      <w:r w:rsidR="002C08E9">
        <w:rPr>
          <w:rFonts w:ascii="Arial" w:eastAsia="Calibri" w:hAnsi="Arial" w:cs="Arial"/>
          <w:sz w:val="22"/>
          <w:szCs w:val="22"/>
          <w:lang w:val="es-MX"/>
        </w:rPr>
        <w:t>,</w:t>
      </w:r>
      <w:r w:rsidRPr="00FA68D0">
        <w:rPr>
          <w:rFonts w:ascii="Arial" w:eastAsia="Calibri" w:hAnsi="Arial" w:cs="Arial"/>
          <w:sz w:val="22"/>
          <w:szCs w:val="22"/>
          <w:lang w:val="es-MX"/>
        </w:rPr>
        <w:t xml:space="preserve"> iii) </w:t>
      </w:r>
      <w:r w:rsidR="002C08E9">
        <w:rPr>
          <w:rFonts w:ascii="Arial" w:eastAsia="Calibri" w:hAnsi="Arial" w:cs="Arial"/>
          <w:sz w:val="22"/>
          <w:szCs w:val="22"/>
          <w:lang w:val="es-MX"/>
        </w:rPr>
        <w:t>Factor de sostenibilidad, iv)</w:t>
      </w:r>
      <w:r w:rsidR="009B425F">
        <w:rPr>
          <w:rFonts w:ascii="Arial" w:eastAsia="Calibri" w:hAnsi="Arial" w:cs="Arial"/>
          <w:sz w:val="22"/>
          <w:szCs w:val="22"/>
          <w:lang w:val="es-MX"/>
        </w:rPr>
        <w:t xml:space="preserve"> </w:t>
      </w:r>
      <w:r w:rsidRPr="00FA68D0">
        <w:rPr>
          <w:rFonts w:ascii="Arial" w:eastAsia="Calibri" w:hAnsi="Arial" w:cs="Arial"/>
          <w:sz w:val="22"/>
          <w:szCs w:val="22"/>
          <w:lang w:val="es-MX"/>
        </w:rPr>
        <w:t xml:space="preserve">Apoyo a la industria nacional y v) </w:t>
      </w:r>
      <w:r w:rsidR="009B425F">
        <w:rPr>
          <w:rFonts w:ascii="Arial" w:eastAsia="Calibri" w:hAnsi="Arial" w:cs="Arial"/>
          <w:sz w:val="22"/>
          <w:szCs w:val="22"/>
          <w:lang w:val="es-MX"/>
        </w:rPr>
        <w:t>V</w:t>
      </w:r>
      <w:r w:rsidRPr="00FA68D0">
        <w:rPr>
          <w:rFonts w:ascii="Arial" w:eastAsia="Calibri" w:hAnsi="Arial" w:cs="Arial"/>
          <w:sz w:val="22"/>
          <w:szCs w:val="22"/>
          <w:lang w:val="es-MX"/>
        </w:rPr>
        <w:t>inculación de personas con discapacidad, así:</w:t>
      </w:r>
    </w:p>
    <w:p w14:paraId="28343B33" w14:textId="77777777" w:rsidR="00FA68D0" w:rsidRPr="00FA68D0" w:rsidRDefault="00FA68D0" w:rsidP="00FA68D0">
      <w:pPr>
        <w:rPr>
          <w:rFonts w:ascii="Calibri" w:eastAsia="Calibri" w:hAnsi="Calibri"/>
        </w:rPr>
      </w:pPr>
    </w:p>
    <w:tbl>
      <w:tblPr>
        <w:tblW w:w="5805" w:type="dxa"/>
        <w:tblInd w:w="1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1702"/>
      </w:tblGrid>
      <w:tr w:rsidR="00FA68D0" w:rsidRPr="00FA68D0" w14:paraId="794649AA" w14:textId="77777777" w:rsidTr="002C08E9">
        <w:trPr>
          <w:trHeight w:val="300"/>
        </w:trPr>
        <w:tc>
          <w:tcPr>
            <w:tcW w:w="4103" w:type="dxa"/>
            <w:tcBorders>
              <w:top w:val="double" w:sz="6" w:space="0" w:color="auto"/>
              <w:left w:val="double" w:sz="6" w:space="0" w:color="auto"/>
              <w:bottom w:val="single" w:sz="6" w:space="0" w:color="auto"/>
              <w:right w:val="single" w:sz="6" w:space="0" w:color="auto"/>
            </w:tcBorders>
            <w:shd w:val="clear" w:color="auto" w:fill="404040"/>
            <w:vAlign w:val="center"/>
            <w:hideMark/>
          </w:tcPr>
          <w:p w14:paraId="76CFDB9B"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b/>
                <w:bCs/>
                <w:color w:val="FFFFFF"/>
                <w:sz w:val="20"/>
                <w:szCs w:val="20"/>
                <w:lang w:eastAsia="es-CO"/>
              </w:rPr>
              <w:t>Concepto</w:t>
            </w:r>
            <w:r w:rsidRPr="00FA68D0">
              <w:rPr>
                <w:rFonts w:ascii="Arial" w:hAnsi="Arial" w:cs="Arial"/>
                <w:color w:val="FFFFFF"/>
                <w:sz w:val="20"/>
                <w:szCs w:val="20"/>
                <w:lang w:eastAsia="es-CO"/>
              </w:rPr>
              <w:t> </w:t>
            </w:r>
          </w:p>
        </w:tc>
        <w:tc>
          <w:tcPr>
            <w:tcW w:w="1702" w:type="dxa"/>
            <w:tcBorders>
              <w:top w:val="double" w:sz="6" w:space="0" w:color="auto"/>
              <w:left w:val="single" w:sz="6" w:space="0" w:color="auto"/>
              <w:bottom w:val="single" w:sz="6" w:space="0" w:color="auto"/>
              <w:right w:val="double" w:sz="6" w:space="0" w:color="auto"/>
            </w:tcBorders>
            <w:shd w:val="clear" w:color="auto" w:fill="404040"/>
            <w:vAlign w:val="center"/>
            <w:hideMark/>
          </w:tcPr>
          <w:p w14:paraId="1F28BF79"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b/>
                <w:bCs/>
                <w:color w:val="FFFFFF"/>
                <w:sz w:val="20"/>
                <w:szCs w:val="20"/>
                <w:lang w:eastAsia="es-CO"/>
              </w:rPr>
              <w:t>Puntaje máximo</w:t>
            </w:r>
            <w:r w:rsidRPr="00FA68D0">
              <w:rPr>
                <w:rFonts w:ascii="Arial" w:hAnsi="Arial" w:cs="Arial"/>
                <w:color w:val="FFFFFF"/>
                <w:sz w:val="20"/>
                <w:szCs w:val="20"/>
                <w:lang w:eastAsia="es-CO"/>
              </w:rPr>
              <w:t> </w:t>
            </w:r>
          </w:p>
        </w:tc>
      </w:tr>
      <w:tr w:rsidR="00FA68D0" w:rsidRPr="00FA68D0" w14:paraId="3EB01C68" w14:textId="77777777" w:rsidTr="002C08E9">
        <w:trPr>
          <w:trHeight w:val="330"/>
        </w:trPr>
        <w:tc>
          <w:tcPr>
            <w:tcW w:w="4103"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884EE41"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Experiencia del proponente</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3EB4F1E1" w14:textId="692521AD"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eastAsia="es-CO"/>
              </w:rPr>
              <w:t>6</w:t>
            </w:r>
            <w:r w:rsidR="00FB4238">
              <w:rPr>
                <w:rFonts w:ascii="Arial" w:hAnsi="Arial" w:cs="Arial"/>
                <w:sz w:val="20"/>
                <w:szCs w:val="20"/>
                <w:lang w:eastAsia="es-CO"/>
              </w:rPr>
              <w:t>8</w:t>
            </w:r>
            <w:r w:rsidRPr="00FA68D0">
              <w:rPr>
                <w:rFonts w:ascii="Arial" w:hAnsi="Arial" w:cs="Arial"/>
                <w:sz w:val="20"/>
                <w:szCs w:val="20"/>
                <w:lang w:eastAsia="es-CO"/>
              </w:rPr>
              <w:t> </w:t>
            </w:r>
          </w:p>
        </w:tc>
      </w:tr>
      <w:tr w:rsidR="00FA68D0" w:rsidRPr="00FA68D0" w14:paraId="6BD85E9C" w14:textId="77777777" w:rsidTr="002C08E9">
        <w:trPr>
          <w:trHeight w:val="330"/>
        </w:trPr>
        <w:tc>
          <w:tcPr>
            <w:tcW w:w="4103"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053E8931" w14:textId="2972E290"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Equipo de trabajo (</w:t>
            </w:r>
            <w:r w:rsidR="002C08E9">
              <w:rPr>
                <w:rFonts w:ascii="Arial" w:hAnsi="Arial" w:cs="Arial"/>
                <w:sz w:val="20"/>
                <w:szCs w:val="20"/>
                <w:lang w:val="es-ES" w:eastAsia="es-CO"/>
              </w:rPr>
              <w:t>P</w:t>
            </w:r>
            <w:r w:rsidRPr="00FA68D0">
              <w:rPr>
                <w:rFonts w:ascii="Arial" w:hAnsi="Arial" w:cs="Arial"/>
                <w:sz w:val="20"/>
                <w:szCs w:val="20"/>
                <w:lang w:val="es-ES" w:eastAsia="es-CO"/>
              </w:rPr>
              <w:t xml:space="preserve">ersonal </w:t>
            </w:r>
            <w:r w:rsidR="002C08E9">
              <w:rPr>
                <w:rFonts w:ascii="Arial" w:hAnsi="Arial" w:cs="Arial"/>
                <w:sz w:val="20"/>
                <w:szCs w:val="20"/>
                <w:lang w:val="es-ES" w:eastAsia="es-CO"/>
              </w:rPr>
              <w:t>C</w:t>
            </w:r>
            <w:r w:rsidRPr="00FA68D0">
              <w:rPr>
                <w:rFonts w:ascii="Arial" w:hAnsi="Arial" w:cs="Arial"/>
                <w:sz w:val="20"/>
                <w:szCs w:val="20"/>
                <w:lang w:val="es-ES" w:eastAsia="es-CO"/>
              </w:rPr>
              <w:t xml:space="preserve">lave </w:t>
            </w:r>
            <w:r w:rsidR="002C08E9">
              <w:rPr>
                <w:rFonts w:ascii="Arial" w:hAnsi="Arial" w:cs="Arial"/>
                <w:sz w:val="20"/>
                <w:szCs w:val="20"/>
                <w:lang w:val="es-ES" w:eastAsia="es-CO"/>
              </w:rPr>
              <w:t>E</w:t>
            </w:r>
            <w:r w:rsidRPr="00FA68D0">
              <w:rPr>
                <w:rFonts w:ascii="Arial" w:hAnsi="Arial" w:cs="Arial"/>
                <w:sz w:val="20"/>
                <w:szCs w:val="20"/>
                <w:lang w:val="es-ES" w:eastAsia="es-CO"/>
              </w:rPr>
              <w:t>valuable)</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B21D43F"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val="es-ES" w:eastAsia="es-CO"/>
              </w:rPr>
              <w:t>10</w:t>
            </w:r>
            <w:r w:rsidRPr="00FA68D0">
              <w:rPr>
                <w:rFonts w:ascii="Arial" w:hAnsi="Arial" w:cs="Arial"/>
                <w:sz w:val="20"/>
                <w:szCs w:val="20"/>
                <w:lang w:eastAsia="es-CO"/>
              </w:rPr>
              <w:t> </w:t>
            </w:r>
          </w:p>
        </w:tc>
      </w:tr>
      <w:tr w:rsidR="002C08E9" w:rsidRPr="00FA68D0" w14:paraId="2AB69658" w14:textId="77777777" w:rsidTr="002C08E9">
        <w:trPr>
          <w:trHeight w:val="330"/>
        </w:trPr>
        <w:tc>
          <w:tcPr>
            <w:tcW w:w="4103" w:type="dxa"/>
            <w:tcBorders>
              <w:top w:val="single" w:sz="6" w:space="0" w:color="auto"/>
              <w:left w:val="double" w:sz="6" w:space="0" w:color="auto"/>
              <w:bottom w:val="single" w:sz="6" w:space="0" w:color="auto"/>
              <w:right w:val="single" w:sz="6" w:space="0" w:color="auto"/>
            </w:tcBorders>
            <w:shd w:val="clear" w:color="auto" w:fill="auto"/>
            <w:vAlign w:val="center"/>
          </w:tcPr>
          <w:p w14:paraId="194112E1" w14:textId="707474E0" w:rsidR="002C08E9" w:rsidRPr="00FA68D0" w:rsidRDefault="002C08E9" w:rsidP="00FA68D0">
            <w:pPr>
              <w:jc w:val="both"/>
              <w:textAlignment w:val="baseline"/>
              <w:rPr>
                <w:rFonts w:ascii="Arial" w:hAnsi="Arial" w:cs="Arial"/>
                <w:sz w:val="20"/>
                <w:szCs w:val="20"/>
                <w:lang w:val="es-ES" w:eastAsia="es-CO"/>
              </w:rPr>
            </w:pPr>
            <w:r>
              <w:rPr>
                <w:rFonts w:ascii="Arial" w:hAnsi="Arial" w:cs="Arial"/>
                <w:sz w:val="20"/>
                <w:szCs w:val="20"/>
                <w:lang w:val="es-ES" w:eastAsia="es-CO"/>
              </w:rPr>
              <w:t>Factor de sostenibilidad</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tcPr>
          <w:p w14:paraId="707DF1EA" w14:textId="3EB4B881" w:rsidR="002C08E9" w:rsidRPr="00FA68D0" w:rsidRDefault="002C08E9" w:rsidP="00FA68D0">
            <w:pPr>
              <w:jc w:val="center"/>
              <w:textAlignment w:val="baseline"/>
              <w:rPr>
                <w:rFonts w:ascii="Arial" w:hAnsi="Arial" w:cs="Arial"/>
                <w:sz w:val="20"/>
                <w:szCs w:val="20"/>
                <w:lang w:val="es-ES" w:eastAsia="es-CO"/>
              </w:rPr>
            </w:pPr>
            <w:r>
              <w:rPr>
                <w:rFonts w:ascii="Arial" w:hAnsi="Arial" w:cs="Arial"/>
                <w:sz w:val="20"/>
                <w:szCs w:val="20"/>
                <w:lang w:val="es-ES" w:eastAsia="es-CO"/>
              </w:rPr>
              <w:t>1</w:t>
            </w:r>
          </w:p>
        </w:tc>
      </w:tr>
      <w:tr w:rsidR="00FA68D0" w:rsidRPr="00FA68D0" w14:paraId="456E3FF6" w14:textId="77777777" w:rsidTr="002C08E9">
        <w:trPr>
          <w:trHeight w:val="330"/>
        </w:trPr>
        <w:tc>
          <w:tcPr>
            <w:tcW w:w="4103"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6B26BD3"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Apoyo a la industria nacional</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5DF5FE2"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val="es-ES" w:eastAsia="es-CO"/>
              </w:rPr>
              <w:t>20</w:t>
            </w:r>
            <w:r w:rsidRPr="00FA68D0">
              <w:rPr>
                <w:rFonts w:ascii="Arial" w:hAnsi="Arial" w:cs="Arial"/>
                <w:sz w:val="20"/>
                <w:szCs w:val="20"/>
                <w:lang w:eastAsia="es-CO"/>
              </w:rPr>
              <w:t> </w:t>
            </w:r>
          </w:p>
        </w:tc>
      </w:tr>
      <w:tr w:rsidR="00FA68D0" w:rsidRPr="00FA68D0" w14:paraId="0CFCA7E5" w14:textId="77777777" w:rsidTr="002C08E9">
        <w:trPr>
          <w:trHeight w:val="160"/>
        </w:trPr>
        <w:tc>
          <w:tcPr>
            <w:tcW w:w="4103"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3198988F"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lastRenderedPageBreak/>
              <w:t>Vinculación de personas con discapacidad</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62177C5"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val="es-ES" w:eastAsia="es-CO"/>
              </w:rPr>
              <w:t>1</w:t>
            </w:r>
            <w:r w:rsidRPr="00FA68D0">
              <w:rPr>
                <w:rFonts w:ascii="Arial" w:hAnsi="Arial" w:cs="Arial"/>
                <w:sz w:val="20"/>
                <w:szCs w:val="20"/>
                <w:lang w:eastAsia="es-CO"/>
              </w:rPr>
              <w:t> </w:t>
            </w:r>
          </w:p>
        </w:tc>
      </w:tr>
    </w:tbl>
    <w:p w14:paraId="53C1C22C" w14:textId="77777777" w:rsidR="00FA68D0" w:rsidRPr="00FA68D0" w:rsidRDefault="00FA68D0" w:rsidP="00FA68D0">
      <w:pPr>
        <w:spacing w:line="254" w:lineRule="atLeast"/>
        <w:jc w:val="both"/>
        <w:rPr>
          <w:rFonts w:ascii="Arial" w:hAnsi="Arial" w:cs="Arial"/>
        </w:rPr>
      </w:pPr>
    </w:p>
    <w:p w14:paraId="4B4304D9" w14:textId="7A566C39" w:rsidR="00FA68D0" w:rsidRPr="00FA68D0" w:rsidRDefault="00FA68D0" w:rsidP="00FA68D0">
      <w:pPr>
        <w:spacing w:after="120" w:line="276" w:lineRule="auto"/>
        <w:ind w:firstLine="709"/>
        <w:jc w:val="both"/>
        <w:rPr>
          <w:rFonts w:ascii="Arial" w:eastAsia="Calibri" w:hAnsi="Arial" w:cs="Arial"/>
          <w:color w:val="000000"/>
          <w:sz w:val="22"/>
          <w:szCs w:val="22"/>
          <w:lang w:val="es-ES_tradnl"/>
        </w:rPr>
      </w:pPr>
      <w:r w:rsidRPr="00FA68D0">
        <w:rPr>
          <w:rFonts w:ascii="Arial" w:hAnsi="Arial" w:cs="Arial"/>
          <w:color w:val="000000"/>
          <w:sz w:val="22"/>
          <w:szCs w:val="22"/>
          <w:lang w:val="es-ES_tradnl"/>
        </w:rPr>
        <w:t>En atención a la modalidad de selección y, particularmente, de acuerdo con la naturaleza del contrato a celebrar, esto es, por tratarse de una consultoría</w:t>
      </w:r>
      <w:r w:rsidRPr="00FA68D0">
        <w:rPr>
          <w:rFonts w:ascii="Arial" w:hAnsi="Arial" w:cs="Arial"/>
          <w:color w:val="000000"/>
          <w:sz w:val="22"/>
          <w:szCs w:val="22"/>
          <w:vertAlign w:val="superscript"/>
          <w:lang w:val="es-ES_tradnl"/>
        </w:rPr>
        <w:footnoteReference w:id="3"/>
      </w:r>
      <w:r w:rsidRPr="00FA68D0">
        <w:rPr>
          <w:rFonts w:ascii="Arial" w:hAnsi="Arial" w:cs="Arial"/>
          <w:color w:val="000000"/>
          <w:sz w:val="22"/>
          <w:szCs w:val="22"/>
          <w:lang w:val="es-ES_tradnl"/>
        </w:rPr>
        <w:t xml:space="preserve">, no se tiene en cuenta el precio como factor de </w:t>
      </w:r>
      <w:r w:rsidR="009B425F">
        <w:rPr>
          <w:rFonts w:ascii="Arial" w:hAnsi="Arial" w:cs="Arial"/>
          <w:color w:val="000000"/>
          <w:sz w:val="22"/>
          <w:szCs w:val="22"/>
          <w:lang w:val="es-ES_tradnl"/>
        </w:rPr>
        <w:t>asignación de puntaje</w:t>
      </w:r>
      <w:r w:rsidRPr="00FA68D0">
        <w:rPr>
          <w:rFonts w:ascii="Arial" w:hAnsi="Arial" w:cs="Arial"/>
          <w:color w:val="000000"/>
          <w:sz w:val="22"/>
          <w:szCs w:val="22"/>
          <w:lang w:val="es-ES_tradnl"/>
        </w:rPr>
        <w:t xml:space="preserve">, a diferencia de lo que ocurre, por ejemplo, en una licitación pública, una selección abreviada o un proceso de mínima cuantía. </w:t>
      </w:r>
      <w:r w:rsidRPr="00FA68D0">
        <w:rPr>
          <w:rFonts w:ascii="Arial" w:eastAsia="Calibri" w:hAnsi="Arial" w:cs="Arial"/>
          <w:color w:val="000000"/>
          <w:sz w:val="22"/>
          <w:szCs w:val="22"/>
          <w:lang w:val="es-ES_tradnl"/>
        </w:rPr>
        <w:t xml:space="preserve">Por tanto, de conformidad con el inciso final del </w:t>
      </w:r>
      <w:r w:rsidRPr="00FA68D0">
        <w:rPr>
          <w:rFonts w:ascii="Arial" w:eastAsia="Calibri" w:hAnsi="Arial" w:cs="Arial"/>
          <w:sz w:val="22"/>
          <w:szCs w:val="22"/>
        </w:rPr>
        <w:t>numeral 4° del artículo 5° de la Ley 1150 de 2007</w:t>
      </w:r>
      <w:r w:rsidRPr="00FA68D0">
        <w:rPr>
          <w:rFonts w:ascii="Arial" w:eastAsia="Calibri" w:hAnsi="Arial" w:cs="Arial"/>
          <w:color w:val="000000"/>
          <w:sz w:val="22"/>
          <w:szCs w:val="22"/>
          <w:lang w:val="es-ES_tradnl"/>
        </w:rPr>
        <w:t>, la oferta económica no será factor de escogencia para la selección de consultores, por lo que no será un criterio de asignación de puntaje</w:t>
      </w:r>
      <w:r w:rsidRPr="00FA68D0">
        <w:rPr>
          <w:rFonts w:ascii="Arial" w:eastAsia="Calibri" w:hAnsi="Arial" w:cs="Arial"/>
          <w:color w:val="000000"/>
          <w:sz w:val="22"/>
          <w:szCs w:val="22"/>
          <w:vertAlign w:val="superscript"/>
          <w:lang w:val="es-ES_tradnl"/>
        </w:rPr>
        <w:footnoteReference w:id="4"/>
      </w:r>
      <w:r w:rsidRPr="00FA68D0">
        <w:rPr>
          <w:rFonts w:ascii="Arial" w:eastAsia="Calibri" w:hAnsi="Arial" w:cs="Arial"/>
          <w:color w:val="000000"/>
          <w:sz w:val="22"/>
          <w:szCs w:val="22"/>
          <w:lang w:val="es-ES_tradnl"/>
        </w:rPr>
        <w:t>.</w:t>
      </w:r>
    </w:p>
    <w:p w14:paraId="651DE421" w14:textId="7EBB0516" w:rsidR="00FA68D0" w:rsidRPr="00FA68D0" w:rsidRDefault="00FA68D0" w:rsidP="00FA68D0">
      <w:pPr>
        <w:spacing w:before="120" w:after="120" w:line="276" w:lineRule="auto"/>
        <w:ind w:firstLine="709"/>
        <w:jc w:val="both"/>
        <w:rPr>
          <w:rFonts w:ascii="Arial" w:eastAsia="Calibri" w:hAnsi="Arial" w:cs="Arial"/>
          <w:bCs/>
          <w:color w:val="000000"/>
          <w:sz w:val="22"/>
          <w:szCs w:val="22"/>
          <w:lang w:val="es-ES_tradnl"/>
        </w:rPr>
      </w:pPr>
      <w:r w:rsidRPr="00FA68D0">
        <w:rPr>
          <w:rFonts w:ascii="Arial" w:eastAsia="Calibri" w:hAnsi="Arial" w:cs="Arial"/>
          <w:color w:val="000000"/>
          <w:sz w:val="22"/>
          <w:szCs w:val="22"/>
          <w:lang w:val="es-ES_tradnl"/>
        </w:rPr>
        <w:t xml:space="preserve">Habiendo aclarado el punto anterior, cabe señalar que el Documento Base de los documentos tipo de concurso de méritos para contratar la </w:t>
      </w:r>
      <w:r w:rsidR="002C08E9">
        <w:rPr>
          <w:rFonts w:ascii="Arial" w:eastAsia="Calibri" w:hAnsi="Arial" w:cs="Arial"/>
          <w:color w:val="000000"/>
          <w:sz w:val="22"/>
          <w:szCs w:val="22"/>
          <w:lang w:val="es-ES_tradnl"/>
        </w:rPr>
        <w:t xml:space="preserve">consultoría de estudios de ingeniería </w:t>
      </w:r>
      <w:r w:rsidRPr="00FA68D0">
        <w:rPr>
          <w:rFonts w:ascii="Arial" w:eastAsia="Calibri" w:hAnsi="Arial" w:cs="Arial"/>
          <w:color w:val="000000"/>
          <w:sz w:val="22"/>
          <w:szCs w:val="22"/>
          <w:lang w:val="es-ES_tradnl"/>
        </w:rPr>
        <w:t xml:space="preserve">de infraestructura de transporte, en lo relativo a la evaluación de la experiencia del proponente, establece un método de ponderación de los requisitos de este factor de asignación de puntaje. Al respecto, el numeral 4.1, en los literales A y B del documento tipo </w:t>
      </w:r>
      <w:r w:rsidRPr="00FA68D0">
        <w:rPr>
          <w:rFonts w:ascii="Arial" w:eastAsia="Calibri" w:hAnsi="Arial" w:cs="Arial"/>
          <w:bCs/>
          <w:color w:val="000000"/>
          <w:sz w:val="22"/>
          <w:szCs w:val="22"/>
          <w:lang w:val="es-ES_tradnl"/>
        </w:rPr>
        <w:t>estudiado establecen:</w:t>
      </w:r>
    </w:p>
    <w:p w14:paraId="46C5A406" w14:textId="77777777" w:rsidR="00FA68D0" w:rsidRPr="00FA68D0" w:rsidRDefault="00FA68D0" w:rsidP="00FA68D0">
      <w:pPr>
        <w:spacing w:line="276" w:lineRule="auto"/>
        <w:ind w:firstLine="708"/>
        <w:jc w:val="both"/>
        <w:rPr>
          <w:rFonts w:ascii="Arial" w:eastAsia="Calibri" w:hAnsi="Arial" w:cs="Arial"/>
          <w:bCs/>
          <w:color w:val="000000"/>
          <w:lang w:val="es-ES_tradnl"/>
        </w:rPr>
      </w:pPr>
    </w:p>
    <w:p w14:paraId="4C32B54E" w14:textId="2E9B0B3D" w:rsidR="002C08E9" w:rsidRDefault="00FA68D0" w:rsidP="002C08E9">
      <w:pPr>
        <w:ind w:left="709" w:right="709"/>
        <w:jc w:val="both"/>
        <w:rPr>
          <w:rFonts w:ascii="Arial" w:eastAsia="Calibri" w:hAnsi="Arial" w:cs="Arial"/>
          <w:bCs/>
          <w:color w:val="000000"/>
          <w:sz w:val="21"/>
          <w:szCs w:val="21"/>
          <w:lang w:val="es-ES_tradnl"/>
        </w:rPr>
      </w:pPr>
      <w:r w:rsidRPr="00FA68D0">
        <w:rPr>
          <w:rFonts w:ascii="Arial" w:eastAsia="Calibri" w:hAnsi="Arial" w:cs="Arial"/>
          <w:bCs/>
          <w:color w:val="000000"/>
          <w:sz w:val="21"/>
          <w:szCs w:val="21"/>
          <w:lang w:val="es-ES_tradnl"/>
        </w:rPr>
        <w:t xml:space="preserve">A. </w:t>
      </w:r>
      <w:r w:rsidR="002C08E9" w:rsidRPr="002C08E9">
        <w:rPr>
          <w:rFonts w:ascii="Arial" w:eastAsia="Calibri" w:hAnsi="Arial" w:cs="Arial"/>
          <w:bCs/>
          <w:color w:val="000000"/>
          <w:sz w:val="21"/>
          <w:szCs w:val="21"/>
          <w:lang w:val="es-ES_tradnl"/>
        </w:rPr>
        <w:t xml:space="preserve">El Proponente cumplirá con la exigencia mínima de experiencia prevista en el numeral 3.8.1. De acuerdo con lo anterior, si el Proponente debió subsanar el cumplimiento de la experiencia mínima, para la asignación de puntaje no se </w:t>
      </w:r>
      <w:r w:rsidR="002C08E9" w:rsidRPr="002C08E9">
        <w:rPr>
          <w:rFonts w:ascii="Arial" w:eastAsia="Calibri" w:hAnsi="Arial" w:cs="Arial"/>
          <w:bCs/>
          <w:color w:val="000000"/>
          <w:sz w:val="21"/>
          <w:szCs w:val="21"/>
          <w:lang w:val="es-ES_tradnl"/>
        </w:rPr>
        <w:lastRenderedPageBreak/>
        <w:t xml:space="preserve">tendrán en cuenta los contratos que hayan sido objeto de subsanación, ni para definir el promedio de los contratos válidos aportados que se refiere el literal B) de este numeral.  </w:t>
      </w:r>
    </w:p>
    <w:p w14:paraId="0D0ADEF5" w14:textId="77777777" w:rsidR="002C08E9" w:rsidRPr="002C08E9" w:rsidRDefault="002C08E9" w:rsidP="002C08E9">
      <w:pPr>
        <w:ind w:left="709" w:right="709"/>
        <w:jc w:val="both"/>
        <w:rPr>
          <w:rFonts w:ascii="Arial" w:eastAsia="Calibri" w:hAnsi="Arial" w:cs="Arial"/>
          <w:bCs/>
          <w:color w:val="000000"/>
          <w:sz w:val="21"/>
          <w:szCs w:val="21"/>
          <w:lang w:val="es-ES_tradnl"/>
        </w:rPr>
      </w:pPr>
    </w:p>
    <w:p w14:paraId="27325272" w14:textId="50625A29" w:rsidR="00FA68D0" w:rsidRPr="00FA68D0" w:rsidRDefault="002C08E9" w:rsidP="002C08E9">
      <w:pPr>
        <w:ind w:left="709" w:right="709"/>
        <w:jc w:val="both"/>
        <w:rPr>
          <w:rFonts w:ascii="Arial" w:eastAsia="Calibri" w:hAnsi="Arial" w:cs="Arial"/>
          <w:bCs/>
          <w:color w:val="000000"/>
          <w:sz w:val="21"/>
          <w:szCs w:val="21"/>
          <w:lang w:val="es-ES_tradnl"/>
        </w:rPr>
      </w:pPr>
      <w:r w:rsidRPr="002C08E9">
        <w:rPr>
          <w:rFonts w:ascii="Arial" w:eastAsia="Calibri" w:hAnsi="Arial" w:cs="Arial"/>
          <w:bCs/>
          <w:color w:val="000000"/>
          <w:sz w:val="21"/>
          <w:szCs w:val="21"/>
          <w:lang w:val="es-ES_tradnl"/>
        </w:rPr>
        <w:t>En el caso en el cual un Proponente haya subsanado la totalidad de los Contratos aportados, su oferta no será tenida en cuenta para aplicar las fórmulas para la ponderación de la Experiencia del Proponente, por lo que, además, por este criterio de asignación de puntaje obtendrá cero (0) puntos.</w:t>
      </w:r>
    </w:p>
    <w:p w14:paraId="5091B834" w14:textId="77777777" w:rsidR="00FA68D0" w:rsidRPr="00FA68D0" w:rsidRDefault="00FA68D0" w:rsidP="00FA68D0">
      <w:pPr>
        <w:ind w:left="709" w:right="709"/>
        <w:jc w:val="both"/>
        <w:rPr>
          <w:rFonts w:ascii="Arial" w:eastAsia="Calibri" w:hAnsi="Arial" w:cs="Arial"/>
          <w:color w:val="000000"/>
          <w:sz w:val="21"/>
          <w:szCs w:val="21"/>
          <w:lang w:val="es-ES_tradnl"/>
        </w:rPr>
      </w:pPr>
    </w:p>
    <w:p w14:paraId="0154861A" w14:textId="1631E0D6" w:rsidR="00FA68D0" w:rsidRPr="00FA68D0" w:rsidRDefault="00FA68D0" w:rsidP="00FA68D0">
      <w:pPr>
        <w:ind w:left="709" w:right="709"/>
        <w:jc w:val="both"/>
        <w:rPr>
          <w:rFonts w:ascii="Arial" w:eastAsia="Calibri" w:hAnsi="Arial" w:cs="Arial"/>
          <w:color w:val="000000"/>
          <w:sz w:val="21"/>
          <w:szCs w:val="21"/>
          <w:lang w:val="es-ES_tradnl"/>
        </w:rPr>
      </w:pPr>
      <w:r w:rsidRPr="00FA68D0">
        <w:rPr>
          <w:rFonts w:ascii="Arial" w:eastAsia="Calibri" w:hAnsi="Arial" w:cs="Arial"/>
          <w:color w:val="000000"/>
          <w:sz w:val="21"/>
          <w:szCs w:val="21"/>
          <w:lang w:val="es-ES_tradnl"/>
        </w:rPr>
        <w:t xml:space="preserve">B. </w:t>
      </w:r>
      <w:r w:rsidR="003C4619" w:rsidRPr="003C4619">
        <w:rPr>
          <w:rFonts w:ascii="Arial" w:hAnsi="Arial" w:cs="Arial"/>
          <w:color w:val="000000"/>
          <w:sz w:val="21"/>
          <w:szCs w:val="21"/>
          <w:shd w:val="clear" w:color="auto" w:fill="FFFFFF"/>
        </w:rPr>
        <w:t xml:space="preserve">Para la asignación de puntaje, se tomará el promedio de los contratos válidos aportados de cada propuesta hábil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  </w:t>
      </w:r>
    </w:p>
    <w:p w14:paraId="22A93371" w14:textId="77777777" w:rsidR="00FA68D0" w:rsidRPr="00FA68D0" w:rsidRDefault="00FA68D0" w:rsidP="00FA68D0">
      <w:pPr>
        <w:spacing w:line="276" w:lineRule="auto"/>
        <w:ind w:firstLine="708"/>
        <w:jc w:val="both"/>
        <w:rPr>
          <w:rFonts w:ascii="Arial" w:hAnsi="Arial" w:cs="Arial"/>
          <w:color w:val="000000"/>
          <w:lang w:val="es-MX"/>
        </w:rPr>
      </w:pPr>
    </w:p>
    <w:p w14:paraId="50273F08" w14:textId="6082CC27" w:rsidR="00FA68D0" w:rsidRPr="00FA68D0" w:rsidRDefault="00FA68D0" w:rsidP="00FA68D0">
      <w:pPr>
        <w:spacing w:line="276" w:lineRule="auto"/>
        <w:ind w:firstLine="709"/>
        <w:jc w:val="both"/>
        <w:rPr>
          <w:rFonts w:ascii="Arial" w:hAnsi="Arial" w:cs="Arial"/>
          <w:color w:val="000000"/>
          <w:sz w:val="22"/>
          <w:szCs w:val="22"/>
          <w:lang w:val="es-MX"/>
        </w:rPr>
      </w:pPr>
      <w:r w:rsidRPr="00FA68D0">
        <w:rPr>
          <w:rFonts w:ascii="Arial" w:hAnsi="Arial" w:cs="Arial"/>
          <w:color w:val="000000"/>
          <w:sz w:val="22"/>
          <w:szCs w:val="22"/>
          <w:lang w:val="es-MX"/>
        </w:rPr>
        <w:t xml:space="preserve">Conforme indican estos literales, la valoración de la experiencia del proponente, de cara a la asignación del puntaje correspondiente por este factor de evaluación, debe hacerse de acuerdo con el promedio de los valores de los contratos </w:t>
      </w:r>
      <w:r w:rsidR="00B2454A">
        <w:rPr>
          <w:rFonts w:ascii="Arial" w:hAnsi="Arial" w:cs="Arial"/>
          <w:color w:val="000000"/>
          <w:sz w:val="22"/>
          <w:szCs w:val="22"/>
          <w:lang w:val="es-MX"/>
        </w:rPr>
        <w:t xml:space="preserve">válidos </w:t>
      </w:r>
      <w:r w:rsidRPr="00FA68D0">
        <w:rPr>
          <w:rFonts w:ascii="Arial" w:hAnsi="Arial" w:cs="Arial"/>
          <w:color w:val="000000"/>
          <w:sz w:val="22"/>
          <w:szCs w:val="22"/>
          <w:lang w:val="es-MX"/>
        </w:rPr>
        <w:t xml:space="preserve">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w:t>
      </w:r>
      <w:r w:rsidR="009B425F">
        <w:rPr>
          <w:rFonts w:ascii="Arial" w:hAnsi="Arial" w:cs="Arial"/>
          <w:color w:val="000000"/>
          <w:sz w:val="22"/>
          <w:szCs w:val="22"/>
          <w:lang w:val="es-MX"/>
        </w:rPr>
        <w:t>de acuerdo con</w:t>
      </w:r>
      <w:r w:rsidRPr="00FA68D0">
        <w:rPr>
          <w:rFonts w:ascii="Arial" w:hAnsi="Arial" w:cs="Arial"/>
          <w:color w:val="000000"/>
          <w:sz w:val="22"/>
          <w:szCs w:val="22"/>
          <w:lang w:val="es-MX"/>
        </w:rPr>
        <w:t xml:space="preserve"> la Tasa Representativa del Mercado–TRM–</w:t>
      </w:r>
      <w:r w:rsidR="009B425F">
        <w:rPr>
          <w:rFonts w:ascii="Arial" w:hAnsi="Arial" w:cs="Arial"/>
          <w:color w:val="000000"/>
          <w:sz w:val="22"/>
          <w:szCs w:val="22"/>
          <w:lang w:val="es-MX"/>
        </w:rPr>
        <w:t xml:space="preserve"> </w:t>
      </w:r>
      <w:r w:rsidR="009B425F" w:rsidRPr="008E0B9B">
        <w:rPr>
          <w:rStyle w:val="normaltextrun"/>
          <w:rFonts w:ascii="Arial" w:hAnsi="Arial" w:cs="Arial"/>
          <w:sz w:val="22"/>
          <w:szCs w:val="22"/>
        </w:rPr>
        <w:t xml:space="preserve">que rija el </w:t>
      </w:r>
      <w:r w:rsidR="009B425F" w:rsidRPr="008E0B9B">
        <w:rPr>
          <w:rStyle w:val="normaltextrun"/>
          <w:rFonts w:ascii="Arial" w:hAnsi="Arial" w:cs="Arial"/>
          <w:i/>
          <w:iCs/>
          <w:sz w:val="22"/>
          <w:szCs w:val="22"/>
        </w:rPr>
        <w:t>segundo día hábil después del cierre del proceso</w:t>
      </w:r>
      <w:r w:rsidRPr="009B425F">
        <w:rPr>
          <w:rFonts w:ascii="Arial" w:hAnsi="Arial" w:cs="Arial"/>
          <w:color w:val="000000"/>
          <w:sz w:val="22"/>
          <w:szCs w:val="22"/>
          <w:lang w:val="es-MX"/>
        </w:rPr>
        <w:t>. Al respecto los literales C y D del nume</w:t>
      </w:r>
      <w:r w:rsidRPr="00FA68D0">
        <w:rPr>
          <w:rFonts w:ascii="Arial" w:hAnsi="Arial" w:cs="Arial"/>
          <w:color w:val="000000"/>
          <w:sz w:val="22"/>
          <w:szCs w:val="22"/>
          <w:lang w:val="es-MX"/>
        </w:rPr>
        <w:t>ral 4.1 señalan:</w:t>
      </w:r>
    </w:p>
    <w:p w14:paraId="0CA9F81A" w14:textId="77777777" w:rsidR="00FA68D0" w:rsidRPr="00FA68D0" w:rsidRDefault="00FA68D0" w:rsidP="00FA68D0">
      <w:pPr>
        <w:ind w:left="709" w:right="709"/>
        <w:contextualSpacing/>
        <w:jc w:val="both"/>
        <w:rPr>
          <w:rFonts w:ascii="Arial" w:eastAsia="Arial" w:hAnsi="Arial" w:cs="Arial"/>
          <w:sz w:val="21"/>
          <w:szCs w:val="21"/>
          <w:lang w:val="es-MX" w:eastAsia="es-ES"/>
        </w:rPr>
      </w:pPr>
    </w:p>
    <w:p w14:paraId="6A196983" w14:textId="77777777" w:rsidR="003C4619" w:rsidRPr="008E0B9B" w:rsidRDefault="00FA68D0" w:rsidP="00C8354F">
      <w:pPr>
        <w:pStyle w:val="paragraph"/>
        <w:spacing w:before="0" w:beforeAutospacing="0" w:after="0" w:afterAutospacing="0"/>
        <w:ind w:left="705" w:right="616"/>
        <w:jc w:val="both"/>
        <w:textAlignment w:val="baseline"/>
        <w:rPr>
          <w:rFonts w:ascii="Arial" w:hAnsi="Arial" w:cs="Arial"/>
          <w:sz w:val="21"/>
          <w:szCs w:val="21"/>
        </w:rPr>
      </w:pPr>
      <w:r w:rsidRPr="009B425F">
        <w:rPr>
          <w:rFonts w:ascii="Arial" w:eastAsia="Arial" w:hAnsi="Arial" w:cs="Arial"/>
          <w:sz w:val="21"/>
          <w:szCs w:val="21"/>
          <w:lang w:val="es-MX" w:eastAsia="es-ES"/>
        </w:rPr>
        <w:t xml:space="preserve">C. </w:t>
      </w:r>
      <w:r w:rsidR="003C4619" w:rsidRPr="008E0B9B">
        <w:rPr>
          <w:rStyle w:val="normaltextrun"/>
          <w:rFonts w:ascii="Arial" w:hAnsi="Arial" w:cs="Arial"/>
          <w:sz w:val="21"/>
          <w:szCs w:val="21"/>
        </w:rPr>
        <w:t xml:space="preserve">Posteriormente, se seleccionará un método aleatorio en función de la Tasa de cambio Representativa del Mercado (TRM) certificada por la Superintendencia Financiera de Colombia </w:t>
      </w:r>
      <w:r w:rsidR="003C4619" w:rsidRPr="008E0B9B">
        <w:rPr>
          <w:rStyle w:val="normaltextrun"/>
          <w:rFonts w:ascii="Arial" w:hAnsi="Arial" w:cs="Arial"/>
          <w:sz w:val="21"/>
          <w:szCs w:val="21"/>
          <w:shd w:val="clear" w:color="auto" w:fill="C0C0C0"/>
        </w:rPr>
        <w:t>[en su sitio web: https://www.superfinanciera.gov.co/publicacion/60819]</w:t>
      </w:r>
      <w:r w:rsidR="003C4619" w:rsidRPr="008E0B9B">
        <w:rPr>
          <w:rStyle w:val="normaltextrun"/>
          <w:rFonts w:ascii="Arial" w:hAnsi="Arial" w:cs="Arial"/>
          <w:sz w:val="21"/>
          <w:szCs w:val="21"/>
        </w:rPr>
        <w:t>.</w:t>
      </w:r>
      <w:r w:rsidR="003C4619" w:rsidRPr="008E0B9B">
        <w:rPr>
          <w:rStyle w:val="eop"/>
          <w:rFonts w:ascii="Arial" w:eastAsia="Arial MT" w:hAnsi="Arial" w:cs="Arial"/>
          <w:sz w:val="21"/>
          <w:szCs w:val="21"/>
        </w:rPr>
        <w:t> </w:t>
      </w:r>
    </w:p>
    <w:p w14:paraId="6BF1AD2A" w14:textId="77777777" w:rsidR="003C4619" w:rsidRPr="008E0B9B" w:rsidRDefault="003C4619" w:rsidP="00C8354F">
      <w:pPr>
        <w:pStyle w:val="paragraph"/>
        <w:spacing w:before="0" w:beforeAutospacing="0" w:after="0" w:afterAutospacing="0"/>
        <w:ind w:right="616"/>
        <w:jc w:val="both"/>
        <w:textAlignment w:val="baseline"/>
        <w:rPr>
          <w:rFonts w:ascii="Segoe UI" w:hAnsi="Segoe UI" w:cs="Segoe UI"/>
          <w:sz w:val="21"/>
          <w:szCs w:val="21"/>
        </w:rPr>
      </w:pPr>
      <w:r w:rsidRPr="008E0B9B">
        <w:rPr>
          <w:rStyle w:val="eop"/>
          <w:rFonts w:ascii="Arial" w:eastAsia="Arial MT" w:hAnsi="Arial" w:cs="Arial"/>
          <w:sz w:val="21"/>
          <w:szCs w:val="21"/>
        </w:rPr>
        <w:t> </w:t>
      </w:r>
    </w:p>
    <w:p w14:paraId="318D17A6" w14:textId="77777777" w:rsidR="003C4619" w:rsidRPr="008E0B9B" w:rsidRDefault="003C4619" w:rsidP="00C8354F">
      <w:pPr>
        <w:pStyle w:val="paragraph"/>
        <w:spacing w:before="0" w:beforeAutospacing="0" w:after="0" w:afterAutospacing="0"/>
        <w:ind w:left="705" w:right="616"/>
        <w:jc w:val="both"/>
        <w:textAlignment w:val="baseline"/>
        <w:rPr>
          <w:rFonts w:ascii="Segoe UI" w:hAnsi="Segoe UI" w:cs="Segoe UI"/>
          <w:sz w:val="21"/>
          <w:szCs w:val="21"/>
        </w:rPr>
      </w:pPr>
      <w:r w:rsidRPr="008E0B9B">
        <w:rPr>
          <w:rStyle w:val="normaltextrun"/>
          <w:rFonts w:ascii="Arial" w:hAnsi="Arial" w:cs="Arial"/>
          <w:sz w:val="21"/>
          <w:szCs w:val="21"/>
        </w:rPr>
        <w:t xml:space="preserve">La TRM que la entidad utilizará para determinar el método de ponderación será la que rija el </w:t>
      </w:r>
      <w:r w:rsidRPr="008E0B9B">
        <w:rPr>
          <w:rStyle w:val="normaltextrun"/>
          <w:rFonts w:ascii="Arial" w:hAnsi="Arial" w:cs="Arial"/>
          <w:i/>
          <w:iCs/>
          <w:sz w:val="21"/>
          <w:szCs w:val="21"/>
        </w:rPr>
        <w:t xml:space="preserve">segundo día hábil después del cierre del proceso, </w:t>
      </w:r>
      <w:r w:rsidRPr="008E0B9B">
        <w:rPr>
          <w:rStyle w:val="normaltextrun"/>
          <w:rFonts w:ascii="Arial" w:hAnsi="Arial" w:cs="Arial"/>
          <w:sz w:val="21"/>
          <w:szCs w:val="21"/>
        </w:rPr>
        <w:t xml:space="preserve">aun cuando la fecha de la adjudicación se modifique posteriormente durante el Proceso de Contratación. Esto es, la que la Superintendencia publique en horas de la tarde del día hábil siguiente a la fecha efectiva del cierre del Proceso de Contratación </w:t>
      </w:r>
      <w:r w:rsidRPr="008E0B9B">
        <w:rPr>
          <w:rStyle w:val="normaltextrun"/>
          <w:rFonts w:ascii="Arial" w:hAnsi="Arial" w:cs="Arial"/>
          <w:sz w:val="21"/>
          <w:szCs w:val="21"/>
          <w:shd w:val="clear" w:color="auto" w:fill="C0C0C0"/>
        </w:rPr>
        <w:t>[Por ejemplo, si el cierre del Proceso de Contratación se realiza el 10 de febrero, la TRM que se usará para determinar el método de evaluación será la del 12 de febrero, que se publica en la tarde del 11 de febrero]</w:t>
      </w:r>
      <w:r w:rsidRPr="008E0B9B">
        <w:rPr>
          <w:rStyle w:val="normaltextrun"/>
          <w:rFonts w:ascii="Arial" w:hAnsi="Arial" w:cs="Arial"/>
          <w:sz w:val="21"/>
          <w:szCs w:val="21"/>
        </w:rPr>
        <w:t> </w:t>
      </w:r>
      <w:r w:rsidRPr="008E0B9B">
        <w:rPr>
          <w:rStyle w:val="eop"/>
          <w:rFonts w:ascii="Arial" w:eastAsia="Arial MT" w:hAnsi="Arial" w:cs="Arial"/>
          <w:sz w:val="21"/>
          <w:szCs w:val="21"/>
        </w:rPr>
        <w:t> </w:t>
      </w:r>
    </w:p>
    <w:p w14:paraId="0CD10AA8" w14:textId="77777777" w:rsidR="003C4619" w:rsidRPr="008E0B9B" w:rsidRDefault="003C4619" w:rsidP="00C8354F">
      <w:pPr>
        <w:pStyle w:val="paragraph"/>
        <w:spacing w:before="0" w:beforeAutospacing="0" w:after="0" w:afterAutospacing="0"/>
        <w:ind w:left="705" w:right="616"/>
        <w:jc w:val="both"/>
        <w:textAlignment w:val="baseline"/>
        <w:rPr>
          <w:rFonts w:ascii="Segoe UI" w:hAnsi="Segoe UI" w:cs="Segoe UI"/>
          <w:sz w:val="21"/>
          <w:szCs w:val="21"/>
        </w:rPr>
      </w:pPr>
      <w:r w:rsidRPr="008E0B9B">
        <w:rPr>
          <w:rStyle w:val="eop"/>
          <w:rFonts w:ascii="Arial" w:eastAsia="Arial MT" w:hAnsi="Arial" w:cs="Arial"/>
          <w:sz w:val="21"/>
          <w:szCs w:val="21"/>
        </w:rPr>
        <w:t> </w:t>
      </w:r>
    </w:p>
    <w:p w14:paraId="3571C662" w14:textId="77777777" w:rsidR="003C4619" w:rsidRPr="008E0B9B" w:rsidRDefault="003C4619" w:rsidP="00C8354F">
      <w:pPr>
        <w:pStyle w:val="paragraph"/>
        <w:spacing w:before="0" w:beforeAutospacing="0" w:after="0" w:afterAutospacing="0"/>
        <w:ind w:left="705" w:right="616"/>
        <w:jc w:val="both"/>
        <w:textAlignment w:val="baseline"/>
        <w:rPr>
          <w:rFonts w:ascii="Arial" w:hAnsi="Arial" w:cs="Arial"/>
          <w:sz w:val="21"/>
          <w:szCs w:val="21"/>
        </w:rPr>
      </w:pPr>
      <w:r w:rsidRPr="008E0B9B">
        <w:rPr>
          <w:rStyle w:val="normaltextrun"/>
          <w:rFonts w:ascii="Arial" w:hAnsi="Arial" w:cs="Arial"/>
          <w:sz w:val="21"/>
          <w:szCs w:val="21"/>
        </w:rPr>
        <w:t>El método de ponderación se determinará de acuerdo con los rangos del siguiente cuadro, en función de la parte decimal -centavos- de la TRM:</w:t>
      </w:r>
      <w:r w:rsidRPr="008E0B9B">
        <w:rPr>
          <w:rStyle w:val="eop"/>
          <w:rFonts w:ascii="Arial" w:hAnsi="Arial" w:cs="Arial"/>
          <w:sz w:val="21"/>
          <w:szCs w:val="21"/>
        </w:rPr>
        <w:t> </w:t>
      </w:r>
    </w:p>
    <w:p w14:paraId="68D45B91" w14:textId="77777777" w:rsidR="003C4619" w:rsidRPr="008E0B9B" w:rsidRDefault="003C4619" w:rsidP="00C8354F">
      <w:pPr>
        <w:pStyle w:val="paragraph"/>
        <w:spacing w:before="0" w:beforeAutospacing="0" w:after="0" w:afterAutospacing="0"/>
        <w:ind w:right="616"/>
        <w:jc w:val="both"/>
        <w:textAlignment w:val="baseline"/>
        <w:rPr>
          <w:rFonts w:ascii="Arial" w:hAnsi="Arial" w:cs="Arial"/>
          <w:sz w:val="21"/>
          <w:szCs w:val="21"/>
        </w:rPr>
      </w:pPr>
      <w:r w:rsidRPr="008E0B9B">
        <w:rPr>
          <w:rStyle w:val="eop"/>
          <w:rFonts w:ascii="Arial" w:hAnsi="Arial" w:cs="Arial"/>
          <w:sz w:val="21"/>
          <w:szCs w:val="21"/>
        </w:rPr>
        <w:t> </w:t>
      </w:r>
    </w:p>
    <w:tbl>
      <w:tblPr>
        <w:tblW w:w="6000" w:type="dxa"/>
        <w:tblInd w:w="17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1"/>
        <w:gridCol w:w="1173"/>
        <w:gridCol w:w="3136"/>
      </w:tblGrid>
      <w:tr w:rsidR="003C4619" w:rsidRPr="009B425F" w14:paraId="4EBF53AF" w14:textId="77777777" w:rsidTr="008E0B9B">
        <w:trPr>
          <w:trHeight w:val="15"/>
        </w:trPr>
        <w:tc>
          <w:tcPr>
            <w:tcW w:w="1691" w:type="dxa"/>
            <w:tcBorders>
              <w:top w:val="double" w:sz="6" w:space="0" w:color="auto"/>
              <w:left w:val="double" w:sz="6" w:space="0" w:color="auto"/>
              <w:bottom w:val="single" w:sz="6" w:space="0" w:color="auto"/>
              <w:right w:val="single" w:sz="6" w:space="0" w:color="auto"/>
            </w:tcBorders>
            <w:shd w:val="clear" w:color="auto" w:fill="262626"/>
            <w:vAlign w:val="center"/>
            <w:hideMark/>
          </w:tcPr>
          <w:p w14:paraId="35C9ABD5" w14:textId="77777777" w:rsidR="003C4619" w:rsidRPr="008E0B9B" w:rsidRDefault="003C4619" w:rsidP="008E0B9B">
            <w:pPr>
              <w:pStyle w:val="paragraph"/>
              <w:spacing w:before="0" w:beforeAutospacing="0" w:after="0" w:afterAutospacing="0"/>
              <w:jc w:val="center"/>
              <w:textAlignment w:val="baseline"/>
              <w:rPr>
                <w:sz w:val="21"/>
                <w:szCs w:val="21"/>
              </w:rPr>
            </w:pPr>
            <w:r w:rsidRPr="008E0B9B">
              <w:rPr>
                <w:rStyle w:val="normaltextrun"/>
                <w:rFonts w:ascii="Arial" w:hAnsi="Arial" w:cs="Arial"/>
                <w:b/>
                <w:bCs/>
                <w:color w:val="FFFFFF"/>
                <w:sz w:val="21"/>
                <w:szCs w:val="21"/>
                <w:lang w:val="es-ES"/>
              </w:rPr>
              <w:t>Rango (inclusive)</w:t>
            </w:r>
            <w:r w:rsidRPr="008E0B9B">
              <w:rPr>
                <w:rStyle w:val="eop"/>
                <w:rFonts w:ascii="Arial" w:hAnsi="Arial" w:cs="Arial"/>
                <w:color w:val="FFFFFF"/>
                <w:sz w:val="21"/>
                <w:szCs w:val="21"/>
              </w:rPr>
              <w:t> </w:t>
            </w:r>
          </w:p>
        </w:tc>
        <w:tc>
          <w:tcPr>
            <w:tcW w:w="1173" w:type="dxa"/>
            <w:tcBorders>
              <w:top w:val="double" w:sz="6" w:space="0" w:color="auto"/>
              <w:left w:val="single" w:sz="6" w:space="0" w:color="auto"/>
              <w:bottom w:val="single" w:sz="6" w:space="0" w:color="auto"/>
              <w:right w:val="single" w:sz="6" w:space="0" w:color="auto"/>
            </w:tcBorders>
            <w:shd w:val="clear" w:color="auto" w:fill="262626"/>
            <w:vAlign w:val="center"/>
            <w:hideMark/>
          </w:tcPr>
          <w:p w14:paraId="14D1E246" w14:textId="77777777" w:rsidR="003C4619" w:rsidRPr="008E0B9B" w:rsidRDefault="003C4619" w:rsidP="008E0B9B">
            <w:pPr>
              <w:pStyle w:val="paragraph"/>
              <w:spacing w:before="0" w:beforeAutospacing="0" w:after="0" w:afterAutospacing="0"/>
              <w:ind w:right="-12"/>
              <w:jc w:val="center"/>
              <w:textAlignment w:val="baseline"/>
              <w:rPr>
                <w:sz w:val="21"/>
                <w:szCs w:val="21"/>
              </w:rPr>
            </w:pPr>
            <w:r w:rsidRPr="008E0B9B">
              <w:rPr>
                <w:rStyle w:val="normaltextrun"/>
                <w:rFonts w:ascii="Arial" w:hAnsi="Arial" w:cs="Arial"/>
                <w:b/>
                <w:bCs/>
                <w:color w:val="FFFFFF"/>
                <w:sz w:val="21"/>
                <w:szCs w:val="21"/>
                <w:lang w:val="es-ES"/>
              </w:rPr>
              <w:t>Número</w:t>
            </w:r>
            <w:r w:rsidRPr="008E0B9B">
              <w:rPr>
                <w:rStyle w:val="eop"/>
                <w:rFonts w:ascii="Arial" w:hAnsi="Arial" w:cs="Arial"/>
                <w:color w:val="FFFFFF"/>
                <w:sz w:val="21"/>
                <w:szCs w:val="21"/>
              </w:rPr>
              <w:t> </w:t>
            </w:r>
          </w:p>
        </w:tc>
        <w:tc>
          <w:tcPr>
            <w:tcW w:w="3136" w:type="dxa"/>
            <w:tcBorders>
              <w:top w:val="double" w:sz="6" w:space="0" w:color="auto"/>
              <w:left w:val="single" w:sz="6" w:space="0" w:color="auto"/>
              <w:bottom w:val="single" w:sz="6" w:space="0" w:color="auto"/>
              <w:right w:val="double" w:sz="6" w:space="0" w:color="auto"/>
            </w:tcBorders>
            <w:shd w:val="clear" w:color="auto" w:fill="262626"/>
            <w:vAlign w:val="center"/>
            <w:hideMark/>
          </w:tcPr>
          <w:p w14:paraId="52E24D61" w14:textId="77777777" w:rsidR="003C4619" w:rsidRPr="008E0B9B" w:rsidRDefault="003C4619" w:rsidP="008E0B9B">
            <w:pPr>
              <w:pStyle w:val="paragraph"/>
              <w:spacing w:before="0" w:beforeAutospacing="0" w:after="0" w:afterAutospacing="0"/>
              <w:jc w:val="center"/>
              <w:textAlignment w:val="baseline"/>
              <w:rPr>
                <w:sz w:val="21"/>
                <w:szCs w:val="21"/>
              </w:rPr>
            </w:pPr>
            <w:r w:rsidRPr="008E0B9B">
              <w:rPr>
                <w:rStyle w:val="normaltextrun"/>
                <w:rFonts w:ascii="Arial" w:hAnsi="Arial" w:cs="Arial"/>
                <w:b/>
                <w:bCs/>
                <w:color w:val="FFFFFF"/>
                <w:sz w:val="21"/>
                <w:szCs w:val="21"/>
                <w:lang w:val="es-ES"/>
              </w:rPr>
              <w:t>Método</w:t>
            </w:r>
            <w:r w:rsidRPr="008E0B9B">
              <w:rPr>
                <w:rStyle w:val="eop"/>
                <w:rFonts w:ascii="Arial" w:hAnsi="Arial" w:cs="Arial"/>
                <w:color w:val="FFFFFF"/>
                <w:sz w:val="21"/>
                <w:szCs w:val="21"/>
              </w:rPr>
              <w:t> </w:t>
            </w:r>
          </w:p>
        </w:tc>
      </w:tr>
      <w:tr w:rsidR="003C4619" w:rsidRPr="009B425F" w14:paraId="6EBC4DB2" w14:textId="77777777" w:rsidTr="008E0B9B">
        <w:trPr>
          <w:trHeight w:val="15"/>
        </w:trPr>
        <w:tc>
          <w:tcPr>
            <w:tcW w:w="1691"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CFA4B6D" w14:textId="77777777" w:rsidR="003C4619" w:rsidRPr="008E0B9B" w:rsidRDefault="003C4619" w:rsidP="008E0B9B">
            <w:pPr>
              <w:pStyle w:val="paragraph"/>
              <w:spacing w:before="0" w:beforeAutospacing="0" w:after="0" w:afterAutospacing="0"/>
              <w:jc w:val="center"/>
              <w:textAlignment w:val="baseline"/>
              <w:rPr>
                <w:sz w:val="21"/>
                <w:szCs w:val="21"/>
              </w:rPr>
            </w:pPr>
            <w:r w:rsidRPr="008E0B9B">
              <w:rPr>
                <w:rStyle w:val="normaltextrun"/>
                <w:rFonts w:ascii="Arial" w:hAnsi="Arial" w:cs="Arial"/>
                <w:sz w:val="21"/>
                <w:szCs w:val="21"/>
                <w:lang w:val="es-ES"/>
              </w:rPr>
              <w:t>De 0.00 a 0.33</w:t>
            </w:r>
            <w:r w:rsidRPr="008E0B9B">
              <w:rPr>
                <w:rStyle w:val="eop"/>
                <w:rFonts w:ascii="Arial" w:hAnsi="Arial" w:cs="Arial"/>
                <w:sz w:val="21"/>
                <w:szCs w:val="21"/>
              </w:rPr>
              <w:t> </w:t>
            </w:r>
          </w:p>
        </w:tc>
        <w:tc>
          <w:tcPr>
            <w:tcW w:w="11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C48D3" w14:textId="77777777" w:rsidR="003C4619" w:rsidRPr="008E0B9B" w:rsidRDefault="003C4619" w:rsidP="008E0B9B">
            <w:pPr>
              <w:pStyle w:val="paragraph"/>
              <w:spacing w:before="0" w:beforeAutospacing="0" w:after="0" w:afterAutospacing="0"/>
              <w:ind w:right="-12"/>
              <w:jc w:val="center"/>
              <w:textAlignment w:val="baseline"/>
              <w:rPr>
                <w:sz w:val="21"/>
                <w:szCs w:val="21"/>
              </w:rPr>
            </w:pPr>
            <w:r w:rsidRPr="008E0B9B">
              <w:rPr>
                <w:rStyle w:val="normaltextrun"/>
                <w:rFonts w:ascii="Arial" w:hAnsi="Arial" w:cs="Arial"/>
                <w:sz w:val="21"/>
                <w:szCs w:val="21"/>
                <w:lang w:val="es-ES"/>
              </w:rPr>
              <w:t>1</w:t>
            </w:r>
            <w:r w:rsidRPr="008E0B9B">
              <w:rPr>
                <w:rStyle w:val="eop"/>
                <w:rFonts w:ascii="Arial" w:hAnsi="Arial" w:cs="Arial"/>
                <w:sz w:val="21"/>
                <w:szCs w:val="21"/>
              </w:rPr>
              <w:t> </w:t>
            </w:r>
          </w:p>
        </w:tc>
        <w:tc>
          <w:tcPr>
            <w:tcW w:w="3136"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2F29148" w14:textId="77777777" w:rsidR="003C4619" w:rsidRPr="008E0B9B" w:rsidRDefault="003C4619" w:rsidP="008E0B9B">
            <w:pPr>
              <w:pStyle w:val="paragraph"/>
              <w:spacing w:before="0" w:beforeAutospacing="0" w:after="0" w:afterAutospacing="0"/>
              <w:jc w:val="both"/>
              <w:textAlignment w:val="baseline"/>
              <w:rPr>
                <w:sz w:val="21"/>
                <w:szCs w:val="21"/>
              </w:rPr>
            </w:pPr>
            <w:r w:rsidRPr="008E0B9B">
              <w:rPr>
                <w:rStyle w:val="normaltextrun"/>
                <w:rFonts w:ascii="Arial" w:hAnsi="Arial" w:cs="Arial"/>
                <w:sz w:val="21"/>
                <w:szCs w:val="21"/>
                <w:lang w:val="es-ES"/>
              </w:rPr>
              <w:t>Mediana con valor absoluto</w:t>
            </w:r>
            <w:r w:rsidRPr="008E0B9B">
              <w:rPr>
                <w:rStyle w:val="eop"/>
                <w:rFonts w:ascii="Arial" w:hAnsi="Arial" w:cs="Arial"/>
                <w:sz w:val="21"/>
                <w:szCs w:val="21"/>
              </w:rPr>
              <w:t> </w:t>
            </w:r>
          </w:p>
        </w:tc>
      </w:tr>
      <w:tr w:rsidR="003C4619" w:rsidRPr="009B425F" w14:paraId="0CF0D76E" w14:textId="77777777" w:rsidTr="008E0B9B">
        <w:trPr>
          <w:trHeight w:val="30"/>
        </w:trPr>
        <w:tc>
          <w:tcPr>
            <w:tcW w:w="1691"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48FD9E00" w14:textId="77777777" w:rsidR="003C4619" w:rsidRPr="008E0B9B" w:rsidRDefault="003C4619" w:rsidP="008E0B9B">
            <w:pPr>
              <w:pStyle w:val="paragraph"/>
              <w:spacing w:before="0" w:beforeAutospacing="0" w:after="0" w:afterAutospacing="0"/>
              <w:jc w:val="center"/>
              <w:textAlignment w:val="baseline"/>
              <w:rPr>
                <w:sz w:val="21"/>
                <w:szCs w:val="21"/>
              </w:rPr>
            </w:pPr>
            <w:r w:rsidRPr="008E0B9B">
              <w:rPr>
                <w:rStyle w:val="normaltextrun"/>
                <w:rFonts w:ascii="Arial" w:hAnsi="Arial" w:cs="Arial"/>
                <w:sz w:val="21"/>
                <w:szCs w:val="21"/>
                <w:lang w:val="es-ES"/>
              </w:rPr>
              <w:lastRenderedPageBreak/>
              <w:t>De 0.34 a 0.66</w:t>
            </w:r>
            <w:r w:rsidRPr="008E0B9B">
              <w:rPr>
                <w:rStyle w:val="eop"/>
                <w:rFonts w:ascii="Arial" w:hAnsi="Arial" w:cs="Arial"/>
                <w:sz w:val="21"/>
                <w:szCs w:val="21"/>
              </w:rPr>
              <w:t> </w:t>
            </w:r>
          </w:p>
        </w:tc>
        <w:tc>
          <w:tcPr>
            <w:tcW w:w="11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3350D" w14:textId="77777777" w:rsidR="003C4619" w:rsidRPr="008E0B9B" w:rsidRDefault="003C4619" w:rsidP="008E0B9B">
            <w:pPr>
              <w:pStyle w:val="paragraph"/>
              <w:spacing w:before="0" w:beforeAutospacing="0" w:after="0" w:afterAutospacing="0"/>
              <w:ind w:right="-12"/>
              <w:jc w:val="center"/>
              <w:textAlignment w:val="baseline"/>
              <w:rPr>
                <w:sz w:val="21"/>
                <w:szCs w:val="21"/>
              </w:rPr>
            </w:pPr>
            <w:r w:rsidRPr="008E0B9B">
              <w:rPr>
                <w:rStyle w:val="normaltextrun"/>
                <w:rFonts w:ascii="Arial" w:hAnsi="Arial" w:cs="Arial"/>
                <w:sz w:val="21"/>
                <w:szCs w:val="21"/>
                <w:lang w:val="es-ES"/>
              </w:rPr>
              <w:t>2</w:t>
            </w:r>
            <w:r w:rsidRPr="008E0B9B">
              <w:rPr>
                <w:rStyle w:val="eop"/>
                <w:rFonts w:ascii="Arial" w:hAnsi="Arial" w:cs="Arial"/>
                <w:sz w:val="21"/>
                <w:szCs w:val="21"/>
              </w:rPr>
              <w:t> </w:t>
            </w:r>
          </w:p>
        </w:tc>
        <w:tc>
          <w:tcPr>
            <w:tcW w:w="3136"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436FF66" w14:textId="77777777" w:rsidR="003C4619" w:rsidRPr="008E0B9B" w:rsidRDefault="003C4619" w:rsidP="008E0B9B">
            <w:pPr>
              <w:pStyle w:val="paragraph"/>
              <w:spacing w:before="0" w:beforeAutospacing="0" w:after="0" w:afterAutospacing="0"/>
              <w:jc w:val="both"/>
              <w:textAlignment w:val="baseline"/>
              <w:rPr>
                <w:sz w:val="21"/>
                <w:szCs w:val="21"/>
              </w:rPr>
            </w:pPr>
            <w:r w:rsidRPr="008E0B9B">
              <w:rPr>
                <w:rStyle w:val="normaltextrun"/>
                <w:rFonts w:ascii="Arial" w:hAnsi="Arial" w:cs="Arial"/>
                <w:sz w:val="21"/>
                <w:szCs w:val="21"/>
                <w:lang w:val="es-ES"/>
              </w:rPr>
              <w:t>Media geométrica</w:t>
            </w:r>
            <w:r w:rsidRPr="008E0B9B">
              <w:rPr>
                <w:rStyle w:val="eop"/>
                <w:rFonts w:ascii="Arial" w:hAnsi="Arial" w:cs="Arial"/>
                <w:sz w:val="21"/>
                <w:szCs w:val="21"/>
              </w:rPr>
              <w:t> </w:t>
            </w:r>
          </w:p>
        </w:tc>
      </w:tr>
      <w:tr w:rsidR="003C4619" w:rsidRPr="009B425F" w14:paraId="46A9DE00" w14:textId="77777777" w:rsidTr="008E0B9B">
        <w:trPr>
          <w:trHeight w:val="15"/>
        </w:trPr>
        <w:tc>
          <w:tcPr>
            <w:tcW w:w="1691" w:type="dxa"/>
            <w:tcBorders>
              <w:top w:val="single" w:sz="6" w:space="0" w:color="auto"/>
              <w:left w:val="double" w:sz="6" w:space="0" w:color="auto"/>
              <w:bottom w:val="double" w:sz="6" w:space="0" w:color="auto"/>
              <w:right w:val="single" w:sz="6" w:space="0" w:color="auto"/>
            </w:tcBorders>
            <w:shd w:val="clear" w:color="auto" w:fill="auto"/>
            <w:vAlign w:val="center"/>
            <w:hideMark/>
          </w:tcPr>
          <w:p w14:paraId="0E85559B" w14:textId="77777777" w:rsidR="003C4619" w:rsidRPr="008E0B9B" w:rsidRDefault="003C4619" w:rsidP="008E0B9B">
            <w:pPr>
              <w:pStyle w:val="paragraph"/>
              <w:spacing w:before="0" w:beforeAutospacing="0" w:after="0" w:afterAutospacing="0"/>
              <w:jc w:val="center"/>
              <w:textAlignment w:val="baseline"/>
              <w:rPr>
                <w:sz w:val="21"/>
                <w:szCs w:val="21"/>
              </w:rPr>
            </w:pPr>
            <w:r w:rsidRPr="008E0B9B">
              <w:rPr>
                <w:rStyle w:val="normaltextrun"/>
                <w:rFonts w:ascii="Arial" w:hAnsi="Arial" w:cs="Arial"/>
                <w:sz w:val="21"/>
                <w:szCs w:val="21"/>
                <w:lang w:val="es-ES"/>
              </w:rPr>
              <w:t>De 0.67 a 0.99</w:t>
            </w:r>
            <w:r w:rsidRPr="008E0B9B">
              <w:rPr>
                <w:rStyle w:val="eop"/>
                <w:rFonts w:ascii="Arial" w:hAnsi="Arial" w:cs="Arial"/>
                <w:sz w:val="21"/>
                <w:szCs w:val="21"/>
              </w:rPr>
              <w:t> </w:t>
            </w:r>
          </w:p>
        </w:tc>
        <w:tc>
          <w:tcPr>
            <w:tcW w:w="1173"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2C31C917" w14:textId="77777777" w:rsidR="003C4619" w:rsidRPr="008E0B9B" w:rsidRDefault="003C4619" w:rsidP="008E0B9B">
            <w:pPr>
              <w:pStyle w:val="paragraph"/>
              <w:spacing w:before="0" w:beforeAutospacing="0" w:after="0" w:afterAutospacing="0"/>
              <w:ind w:right="-12"/>
              <w:jc w:val="center"/>
              <w:textAlignment w:val="baseline"/>
              <w:rPr>
                <w:sz w:val="21"/>
                <w:szCs w:val="21"/>
              </w:rPr>
            </w:pPr>
            <w:r w:rsidRPr="008E0B9B">
              <w:rPr>
                <w:rStyle w:val="normaltextrun"/>
                <w:rFonts w:ascii="Arial" w:hAnsi="Arial" w:cs="Arial"/>
                <w:sz w:val="21"/>
                <w:szCs w:val="21"/>
                <w:lang w:val="es-ES"/>
              </w:rPr>
              <w:t>3</w:t>
            </w:r>
            <w:r w:rsidRPr="008E0B9B">
              <w:rPr>
                <w:rStyle w:val="eop"/>
                <w:rFonts w:ascii="Arial" w:hAnsi="Arial" w:cs="Arial"/>
                <w:sz w:val="21"/>
                <w:szCs w:val="21"/>
              </w:rPr>
              <w:t> </w:t>
            </w:r>
          </w:p>
        </w:tc>
        <w:tc>
          <w:tcPr>
            <w:tcW w:w="3136" w:type="dxa"/>
            <w:tcBorders>
              <w:top w:val="single" w:sz="6" w:space="0" w:color="auto"/>
              <w:left w:val="single" w:sz="6" w:space="0" w:color="auto"/>
              <w:bottom w:val="double" w:sz="6" w:space="0" w:color="auto"/>
              <w:right w:val="double" w:sz="6" w:space="0" w:color="auto"/>
            </w:tcBorders>
            <w:shd w:val="clear" w:color="auto" w:fill="auto"/>
            <w:vAlign w:val="center"/>
            <w:hideMark/>
          </w:tcPr>
          <w:p w14:paraId="0CFC5086" w14:textId="77777777" w:rsidR="003C4619" w:rsidRPr="008E0B9B" w:rsidRDefault="003C4619" w:rsidP="008E0B9B">
            <w:pPr>
              <w:pStyle w:val="paragraph"/>
              <w:spacing w:before="0" w:beforeAutospacing="0" w:after="0" w:afterAutospacing="0"/>
              <w:jc w:val="both"/>
              <w:textAlignment w:val="baseline"/>
              <w:rPr>
                <w:sz w:val="21"/>
                <w:szCs w:val="21"/>
              </w:rPr>
            </w:pPr>
            <w:r w:rsidRPr="008E0B9B">
              <w:rPr>
                <w:rStyle w:val="normaltextrun"/>
                <w:rFonts w:ascii="Arial" w:hAnsi="Arial" w:cs="Arial"/>
                <w:sz w:val="21"/>
                <w:szCs w:val="21"/>
                <w:lang w:val="es-ES"/>
              </w:rPr>
              <w:t>Media aritmética alta</w:t>
            </w:r>
            <w:r w:rsidRPr="008E0B9B">
              <w:rPr>
                <w:rStyle w:val="eop"/>
                <w:rFonts w:ascii="Arial" w:hAnsi="Arial" w:cs="Arial"/>
                <w:sz w:val="21"/>
                <w:szCs w:val="21"/>
              </w:rPr>
              <w:t> </w:t>
            </w:r>
          </w:p>
        </w:tc>
      </w:tr>
    </w:tbl>
    <w:p w14:paraId="7DB67E1D" w14:textId="77777777" w:rsidR="003C4619" w:rsidRPr="008E0B9B" w:rsidRDefault="003C4619" w:rsidP="00C8354F">
      <w:pPr>
        <w:pStyle w:val="paragraph"/>
        <w:spacing w:before="0" w:beforeAutospacing="0" w:after="0" w:afterAutospacing="0"/>
        <w:ind w:right="616"/>
        <w:jc w:val="both"/>
        <w:textAlignment w:val="baseline"/>
        <w:rPr>
          <w:rFonts w:ascii="Arial" w:hAnsi="Arial" w:cs="Arial"/>
          <w:sz w:val="21"/>
          <w:szCs w:val="21"/>
        </w:rPr>
      </w:pPr>
      <w:r w:rsidRPr="008E0B9B">
        <w:rPr>
          <w:rStyle w:val="eop"/>
          <w:rFonts w:ascii="Arial" w:hAnsi="Arial" w:cs="Arial"/>
          <w:sz w:val="21"/>
          <w:szCs w:val="21"/>
        </w:rPr>
        <w:t> </w:t>
      </w:r>
    </w:p>
    <w:p w14:paraId="5D110FC0" w14:textId="4C6B5C2E" w:rsidR="003C4619" w:rsidRPr="008E0B9B" w:rsidRDefault="003C4619" w:rsidP="00C8354F">
      <w:pPr>
        <w:pStyle w:val="paragraph"/>
        <w:spacing w:before="0" w:beforeAutospacing="0" w:after="0" w:afterAutospacing="0"/>
        <w:ind w:left="709" w:right="616"/>
        <w:jc w:val="both"/>
        <w:textAlignment w:val="baseline"/>
        <w:rPr>
          <w:rFonts w:ascii="Arial" w:hAnsi="Arial" w:cs="Arial"/>
          <w:sz w:val="21"/>
          <w:szCs w:val="21"/>
        </w:rPr>
      </w:pPr>
      <w:r w:rsidRPr="008E0B9B">
        <w:rPr>
          <w:rStyle w:val="normaltextrun"/>
          <w:rFonts w:ascii="Arial" w:hAnsi="Arial" w:cs="Arial"/>
          <w:sz w:val="21"/>
          <w:szCs w:val="21"/>
        </w:rPr>
        <w:t>D. Dependiendo del método aleatorio establecido según la TRM, cada uno de los Proponentes habilitados participarán con el valor del promedio de los contratos válidos aportados que no fueron objeto de subsanación según la metodología descrita para cada alternativa. </w:t>
      </w:r>
      <w:r w:rsidRPr="008E0B9B">
        <w:rPr>
          <w:rStyle w:val="eop"/>
          <w:rFonts w:ascii="Arial" w:hAnsi="Arial" w:cs="Arial"/>
          <w:sz w:val="21"/>
          <w:szCs w:val="21"/>
        </w:rPr>
        <w:t> </w:t>
      </w:r>
    </w:p>
    <w:p w14:paraId="496835FC" w14:textId="77777777" w:rsidR="003C4619" w:rsidRDefault="003C4619" w:rsidP="00FA68D0">
      <w:pPr>
        <w:spacing w:after="120" w:line="276" w:lineRule="auto"/>
        <w:jc w:val="both"/>
        <w:rPr>
          <w:rFonts w:ascii="Arial" w:eastAsia="Calibri" w:hAnsi="Arial" w:cs="Arial"/>
          <w:color w:val="000000"/>
        </w:rPr>
      </w:pPr>
    </w:p>
    <w:p w14:paraId="73333E22" w14:textId="45779308" w:rsidR="000B2DD3" w:rsidRPr="00E0681A" w:rsidRDefault="00FA68D0" w:rsidP="008E0B9B">
      <w:pPr>
        <w:spacing w:after="120" w:line="276" w:lineRule="auto"/>
        <w:ind w:firstLine="709"/>
        <w:jc w:val="both"/>
        <w:rPr>
          <w:rFonts w:ascii="Arial" w:eastAsia="Calibri" w:hAnsi="Arial" w:cs="Arial"/>
          <w:sz w:val="22"/>
          <w:szCs w:val="22"/>
        </w:rPr>
      </w:pPr>
      <w:r w:rsidRPr="00E0681A">
        <w:rPr>
          <w:rFonts w:ascii="Arial" w:eastAsia="Calibri" w:hAnsi="Arial" w:cs="Arial"/>
          <w:color w:val="000000"/>
          <w:sz w:val="22"/>
          <w:szCs w:val="22"/>
          <w:lang w:val="es-ES_tradnl"/>
        </w:rPr>
        <w:t xml:space="preserve">Como se aprecia, en los procedimientos de concurso de méritos para la escogencia de </w:t>
      </w:r>
      <w:r w:rsidR="003C4619">
        <w:rPr>
          <w:rFonts w:ascii="Arial" w:eastAsia="Calibri" w:hAnsi="Arial" w:cs="Arial"/>
          <w:color w:val="000000"/>
          <w:sz w:val="22"/>
          <w:szCs w:val="22"/>
          <w:lang w:val="es-ES_tradnl"/>
        </w:rPr>
        <w:t>consultores de estudios de ingeniería de</w:t>
      </w:r>
      <w:r w:rsidRPr="00E0681A">
        <w:rPr>
          <w:rFonts w:ascii="Arial" w:eastAsia="Calibri" w:hAnsi="Arial" w:cs="Arial"/>
          <w:color w:val="000000"/>
          <w:sz w:val="22"/>
          <w:szCs w:val="22"/>
          <w:lang w:val="es-ES_tradnl"/>
        </w:rPr>
        <w:t xml:space="preserve"> infraestructura de transporte adelantados con documentos tipo, la experiencia del proponente debe ser ponderada, de acuerdo con un método aleatorio, a efectos de determinar el puntaje que le corresponde.</w:t>
      </w:r>
      <w:r w:rsidRPr="00E0681A">
        <w:rPr>
          <w:rFonts w:ascii="Arial" w:eastAsia="Calibri" w:hAnsi="Arial" w:cs="Arial"/>
          <w:sz w:val="22"/>
          <w:szCs w:val="22"/>
          <w:lang w:val="es-MX"/>
        </w:rPr>
        <w:t xml:space="preserve"> Al respecto, el Documento Base establece </w:t>
      </w:r>
      <w:r w:rsidR="007A4A6F">
        <w:rPr>
          <w:rFonts w:ascii="Arial" w:eastAsia="Calibri" w:hAnsi="Arial" w:cs="Arial"/>
          <w:sz w:val="22"/>
          <w:szCs w:val="22"/>
          <w:lang w:val="es-MX"/>
        </w:rPr>
        <w:t>tres</w:t>
      </w:r>
      <w:r w:rsidRPr="00E0681A">
        <w:rPr>
          <w:rFonts w:ascii="Arial" w:eastAsia="Calibri" w:hAnsi="Arial" w:cs="Arial"/>
          <w:sz w:val="22"/>
          <w:szCs w:val="22"/>
          <w:lang w:val="es-MX"/>
        </w:rPr>
        <w:t xml:space="preserve"> (</w:t>
      </w:r>
      <w:r w:rsidR="007A4A6F">
        <w:rPr>
          <w:rFonts w:ascii="Arial" w:eastAsia="Calibri" w:hAnsi="Arial" w:cs="Arial"/>
          <w:color w:val="000000"/>
          <w:sz w:val="22"/>
          <w:szCs w:val="22"/>
          <w:lang w:val="es-ES_tradnl"/>
        </w:rPr>
        <w:t>3</w:t>
      </w:r>
      <w:r w:rsidRPr="00E0681A">
        <w:rPr>
          <w:rFonts w:ascii="Arial" w:eastAsia="Calibri" w:hAnsi="Arial" w:cs="Arial"/>
          <w:color w:val="000000"/>
          <w:sz w:val="22"/>
          <w:szCs w:val="22"/>
          <w:lang w:val="es-ES_tradnl"/>
        </w:rPr>
        <w:t xml:space="preserve">) alternativas para ponderar la experiencia de los proponentes, aplicables según la TRM que rija en el momento indicado en los apartes citados, dando lugar a la aplicación de alguno de los siguientes métodos: i) media con valor absoluto; ii) media geométrica; </w:t>
      </w:r>
      <w:r w:rsidR="007A4A6F">
        <w:rPr>
          <w:rFonts w:ascii="Arial" w:eastAsia="Calibri" w:hAnsi="Arial" w:cs="Arial"/>
          <w:color w:val="000000"/>
          <w:sz w:val="22"/>
          <w:szCs w:val="22"/>
          <w:lang w:val="es-ES_tradnl"/>
        </w:rPr>
        <w:t xml:space="preserve">y </w:t>
      </w:r>
      <w:r w:rsidRPr="00E0681A">
        <w:rPr>
          <w:rFonts w:ascii="Arial" w:eastAsia="Calibri" w:hAnsi="Arial" w:cs="Arial"/>
          <w:color w:val="000000"/>
          <w:sz w:val="22"/>
          <w:szCs w:val="22"/>
          <w:lang w:val="es-ES_tradnl"/>
        </w:rPr>
        <w:t>iii) media aritmética alta.</w:t>
      </w:r>
    </w:p>
    <w:p w14:paraId="26136FB4" w14:textId="31BDB611" w:rsidR="000B2DD3" w:rsidRPr="00E0681A" w:rsidRDefault="000B2DD3" w:rsidP="000B2DD3">
      <w:pPr>
        <w:spacing w:after="120" w:line="276" w:lineRule="auto"/>
        <w:ind w:firstLine="709"/>
        <w:jc w:val="both"/>
        <w:rPr>
          <w:rFonts w:ascii="Arial" w:eastAsia="Calibri" w:hAnsi="Arial" w:cs="Arial"/>
          <w:sz w:val="22"/>
          <w:szCs w:val="22"/>
        </w:rPr>
      </w:pPr>
      <w:r w:rsidRPr="00E0681A">
        <w:rPr>
          <w:rFonts w:ascii="Arial" w:eastAsia="Calibri" w:hAnsi="Arial" w:cs="Arial"/>
          <w:sz w:val="22"/>
          <w:szCs w:val="22"/>
        </w:rPr>
        <w:t xml:space="preserve">De conformidad con lo anterior, el método aleatorio para seleccionar la fórmula de ponderación de la </w:t>
      </w:r>
      <w:r w:rsidR="0009185B" w:rsidRPr="00E0681A">
        <w:rPr>
          <w:rFonts w:ascii="Arial" w:eastAsia="Calibri" w:hAnsi="Arial" w:cs="Arial"/>
          <w:sz w:val="22"/>
          <w:szCs w:val="22"/>
        </w:rPr>
        <w:t>experiencia del proponente</w:t>
      </w:r>
      <w:r w:rsidRPr="00E0681A">
        <w:rPr>
          <w:rFonts w:ascii="Arial" w:eastAsia="Calibri" w:hAnsi="Arial" w:cs="Arial"/>
          <w:sz w:val="22"/>
          <w:szCs w:val="22"/>
        </w:rPr>
        <w:t xml:space="preserve"> desestimula los actos </w:t>
      </w:r>
      <w:r w:rsidR="00FA68D0" w:rsidRPr="00E0681A">
        <w:rPr>
          <w:rFonts w:ascii="Arial" w:eastAsia="Calibri" w:hAnsi="Arial" w:cs="Arial"/>
          <w:sz w:val="22"/>
          <w:szCs w:val="22"/>
        </w:rPr>
        <w:t>contrarios a la selección objetiva</w:t>
      </w:r>
      <w:r w:rsidRPr="00E0681A">
        <w:rPr>
          <w:rFonts w:ascii="Arial" w:eastAsia="Calibri" w:hAnsi="Arial" w:cs="Arial"/>
          <w:sz w:val="22"/>
          <w:szCs w:val="22"/>
        </w:rPr>
        <w:t xml:space="preserve">, puesto que no es posible manipular la TRM para conocer con anticipación la fórmula aplicable y poder adjudicar al proponente que la entidad desee. </w:t>
      </w:r>
      <w:r w:rsidR="001B5C46" w:rsidRPr="00E0681A">
        <w:rPr>
          <w:rFonts w:ascii="Arial" w:eastAsia="Calibri" w:hAnsi="Arial" w:cs="Arial"/>
          <w:sz w:val="22"/>
          <w:szCs w:val="22"/>
        </w:rPr>
        <w:t xml:space="preserve">En tal sentido, como se estableció en el documento base </w:t>
      </w:r>
      <w:r w:rsidRPr="00E0681A">
        <w:rPr>
          <w:rFonts w:ascii="Arial" w:eastAsia="Calibri" w:hAnsi="Arial" w:cs="Arial"/>
          <w:sz w:val="22"/>
          <w:szCs w:val="22"/>
        </w:rPr>
        <w:t xml:space="preserve">la regla aplicable para escoger el método </w:t>
      </w:r>
      <w:r w:rsidR="001B5C46" w:rsidRPr="00E0681A">
        <w:rPr>
          <w:rFonts w:ascii="Arial" w:eastAsia="Calibri" w:hAnsi="Arial" w:cs="Arial"/>
          <w:sz w:val="22"/>
          <w:szCs w:val="22"/>
        </w:rPr>
        <w:t>aplicable será</w:t>
      </w:r>
      <w:r w:rsidRPr="00E0681A">
        <w:rPr>
          <w:rFonts w:ascii="Arial" w:eastAsia="Calibri" w:hAnsi="Arial" w:cs="Arial"/>
          <w:sz w:val="22"/>
          <w:szCs w:val="22"/>
        </w:rPr>
        <w:t xml:space="preserve"> con fundamento en la TRM que rija el segundo día hábil después del cierre del proceso. </w:t>
      </w:r>
    </w:p>
    <w:p w14:paraId="2429D3E7" w14:textId="2E8C4760" w:rsidR="00834642" w:rsidRPr="00834642" w:rsidRDefault="00095929" w:rsidP="00834642">
      <w:pPr>
        <w:spacing w:line="276" w:lineRule="auto"/>
        <w:ind w:firstLine="709"/>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En relación con la inquietud planteada en la consulta, se precisa que, de acuerdo con las consideraciones antes expuestas,</w:t>
      </w:r>
      <w:r w:rsidR="002030D1" w:rsidRPr="00E0681A">
        <w:rPr>
          <w:rFonts w:ascii="Arial" w:eastAsia="Calibri" w:hAnsi="Arial" w:cs="Arial"/>
          <w:color w:val="000000"/>
          <w:sz w:val="22"/>
          <w:szCs w:val="22"/>
          <w:lang w:val="es-ES_tradnl"/>
        </w:rPr>
        <w:t xml:space="preserve"> </w:t>
      </w:r>
      <w:r w:rsidR="0074055E" w:rsidRPr="00E0681A">
        <w:rPr>
          <w:rFonts w:ascii="Arial" w:eastAsia="Calibri" w:hAnsi="Arial" w:cs="Arial"/>
          <w:color w:val="000000"/>
          <w:sz w:val="22"/>
          <w:szCs w:val="22"/>
          <w:lang w:val="es-ES_tradnl"/>
        </w:rPr>
        <w:t>una vez escogido el método de ponderación de forma aleatoria</w:t>
      </w:r>
      <w:r w:rsidR="00400A86">
        <w:rPr>
          <w:rFonts w:ascii="Arial" w:eastAsia="Calibri" w:hAnsi="Arial" w:cs="Arial"/>
          <w:color w:val="000000"/>
          <w:sz w:val="22"/>
          <w:szCs w:val="22"/>
          <w:lang w:val="es-ES_tradnl"/>
        </w:rPr>
        <w:t xml:space="preserve"> en función de la TRM</w:t>
      </w:r>
      <w:r w:rsidR="0074055E" w:rsidRPr="00E0681A">
        <w:rPr>
          <w:rFonts w:ascii="Arial" w:eastAsia="Calibri" w:hAnsi="Arial" w:cs="Arial"/>
          <w:color w:val="000000"/>
          <w:sz w:val="22"/>
          <w:szCs w:val="22"/>
          <w:lang w:val="es-ES_tradnl"/>
        </w:rPr>
        <w:t xml:space="preserve">, si este corresponde a la media aritmética </w:t>
      </w:r>
      <w:r w:rsidR="00834642">
        <w:rPr>
          <w:rFonts w:ascii="Arial" w:eastAsia="Calibri" w:hAnsi="Arial" w:cs="Arial"/>
          <w:color w:val="000000"/>
          <w:sz w:val="22"/>
          <w:szCs w:val="22"/>
          <w:lang w:val="es-ES_tradnl"/>
        </w:rPr>
        <w:t>alta</w:t>
      </w:r>
      <w:r w:rsidR="0074055E" w:rsidRPr="00E0681A">
        <w:rPr>
          <w:rFonts w:ascii="Arial" w:eastAsia="Calibri" w:hAnsi="Arial" w:cs="Arial"/>
          <w:color w:val="000000"/>
          <w:sz w:val="22"/>
          <w:szCs w:val="22"/>
          <w:lang w:val="es-ES_tradnl"/>
        </w:rPr>
        <w:t xml:space="preserve">, la fórmula prevista en el literal </w:t>
      </w:r>
      <w:r w:rsidR="00834642">
        <w:rPr>
          <w:rFonts w:ascii="Arial" w:hAnsi="Arial" w:cs="Arial"/>
          <w:sz w:val="22"/>
          <w:szCs w:val="22"/>
        </w:rPr>
        <w:t>C</w:t>
      </w:r>
      <w:r w:rsidR="0074055E" w:rsidRPr="00E0681A">
        <w:rPr>
          <w:rFonts w:ascii="Arial" w:hAnsi="Arial" w:cs="Arial"/>
          <w:sz w:val="22"/>
          <w:szCs w:val="22"/>
        </w:rPr>
        <w:t xml:space="preserve"> del numeral 4.1 «FORMA DE VERIFICACIÓN Y ASIGNACIÓN DE PUNTAJE POR LA EXPERIENCIA DEL PROPONENTE»</w:t>
      </w:r>
      <w:r w:rsidR="0074055E" w:rsidRPr="00E0681A">
        <w:rPr>
          <w:rFonts w:ascii="Arial" w:eastAsia="Calibri" w:hAnsi="Arial" w:cs="Arial"/>
          <w:color w:val="000000"/>
          <w:sz w:val="22"/>
          <w:szCs w:val="22"/>
          <w:lang w:val="es-ES_tradnl"/>
        </w:rPr>
        <w:t xml:space="preserve"> del Documento Base es: </w:t>
      </w:r>
    </w:p>
    <w:p w14:paraId="61F85BD8" w14:textId="72E0DA0A" w:rsidR="0074055E" w:rsidRDefault="0074055E" w:rsidP="00095929">
      <w:pPr>
        <w:spacing w:line="276" w:lineRule="auto"/>
        <w:ind w:firstLine="709"/>
        <w:jc w:val="both"/>
        <w:rPr>
          <w:rFonts w:ascii="Arial" w:eastAsia="Calibri" w:hAnsi="Arial" w:cs="Arial"/>
          <w:color w:val="000000"/>
          <w:lang w:val="es-ES_tradnl"/>
        </w:rPr>
      </w:pPr>
    </w:p>
    <w:p w14:paraId="6C52D852" w14:textId="3115E557" w:rsidR="00C8354F" w:rsidRPr="00EF2CCD" w:rsidRDefault="00C8354F" w:rsidP="00EF2CCD">
      <w:pPr>
        <w:pStyle w:val="Prrafodelista"/>
        <w:numPr>
          <w:ilvl w:val="0"/>
          <w:numId w:val="19"/>
        </w:numPr>
        <w:ind w:right="616"/>
        <w:contextualSpacing/>
        <w:rPr>
          <w:rFonts w:ascii="Arial" w:eastAsia="Calibri" w:hAnsi="Arial" w:cs="Arial"/>
          <w:b/>
          <w:bCs/>
          <w:sz w:val="20"/>
          <w:szCs w:val="22"/>
          <w:lang w:eastAsia="en-US"/>
        </w:rPr>
      </w:pPr>
      <w:r w:rsidRPr="00EF2CCD">
        <w:rPr>
          <w:rFonts w:ascii="Arial" w:eastAsia="Calibri" w:hAnsi="Arial" w:cs="Arial"/>
          <w:b/>
          <w:bCs/>
          <w:sz w:val="20"/>
          <w:szCs w:val="22"/>
          <w:lang w:eastAsia="en-US"/>
        </w:rPr>
        <w:t>Media Aritmética Alta</w:t>
      </w:r>
    </w:p>
    <w:p w14:paraId="4141A572" w14:textId="77777777" w:rsidR="00C8354F" w:rsidRPr="00C8354F" w:rsidRDefault="00C8354F" w:rsidP="00C8354F">
      <w:pPr>
        <w:ind w:left="851" w:right="616"/>
        <w:jc w:val="both"/>
        <w:rPr>
          <w:rFonts w:ascii="Arial" w:eastAsia="Calibri" w:hAnsi="Arial" w:cs="Arial"/>
          <w:sz w:val="20"/>
          <w:szCs w:val="22"/>
          <w:lang w:eastAsia="en-US"/>
        </w:rPr>
      </w:pPr>
    </w:p>
    <w:p w14:paraId="0E74D05F" w14:textId="77777777" w:rsidR="00C8354F" w:rsidRPr="00C8354F" w:rsidRDefault="00C8354F" w:rsidP="00C8354F">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Consiste en la determinación de la media aritmética entre el valor de los promedios de los contratos expresada en SMMLV de la propuesta válida más alta y el promedio aritmético del promedio de los contratos de las propuestas hábiles que no han sido rechazadas y se encuentran válidas, para esto se aplicará la siguiente fórmula: </w:t>
      </w:r>
    </w:p>
    <w:p w14:paraId="326A8AB4" w14:textId="77777777" w:rsidR="00C8354F" w:rsidRPr="00C8354F" w:rsidRDefault="00C8354F" w:rsidP="00C8354F">
      <w:pPr>
        <w:ind w:left="851" w:right="616"/>
        <w:jc w:val="both"/>
        <w:rPr>
          <w:rFonts w:ascii="Arial" w:eastAsia="Calibri" w:hAnsi="Arial" w:cs="Arial"/>
          <w:sz w:val="20"/>
          <w:szCs w:val="22"/>
          <w:lang w:eastAsia="en-US"/>
        </w:rPr>
      </w:pPr>
    </w:p>
    <w:p w14:paraId="3C57EC17" w14:textId="77777777" w:rsidR="00C8354F" w:rsidRPr="00C8354F" w:rsidRDefault="00877A29" w:rsidP="00C8354F">
      <w:pPr>
        <w:ind w:left="851" w:right="616"/>
        <w:jc w:val="both"/>
        <w:rPr>
          <w:rFonts w:ascii="Arial" w:eastAsia="Calibri" w:hAnsi="Arial" w:cs="Arial"/>
          <w:sz w:val="20"/>
          <w:szCs w:val="22"/>
          <w:lang w:eastAsia="en-US"/>
        </w:rPr>
      </w:pPr>
      <m:oMathPara>
        <m:oMath>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r>
            <w:rPr>
              <w:rFonts w:ascii="Cambria Math" w:eastAsia="Calibri" w:hAnsi="Cambria Math" w:cs="Arial"/>
              <w:sz w:val="20"/>
              <w:szCs w:val="22"/>
              <w:lang w:eastAsia="en-US"/>
            </w:rPr>
            <m:t>=</m:t>
          </m:r>
          <m:f>
            <m:fPr>
              <m:ctrlPr>
                <w:rPr>
                  <w:rFonts w:ascii="Cambria Math" w:eastAsia="Calibri" w:hAnsi="Cambria Math" w:cs="Arial"/>
                  <w:i/>
                  <w:sz w:val="20"/>
                  <w:szCs w:val="22"/>
                  <w:lang w:eastAsia="en-US"/>
                </w:rPr>
              </m:ctrlPr>
            </m:fPr>
            <m:num>
              <m:r>
                <w:rPr>
                  <w:rFonts w:ascii="Cambria Math" w:eastAsia="Calibri" w:hAnsi="Cambria Math" w:cs="Arial"/>
                  <w:sz w:val="20"/>
                  <w:szCs w:val="22"/>
                  <w:lang w:eastAsia="en-US"/>
                </w:rPr>
                <m:t>(</m:t>
              </m:r>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max</m:t>
                  </m:r>
                </m:sub>
              </m:sSub>
              <m:r>
                <w:rPr>
                  <w:rFonts w:ascii="Cambria Math" w:eastAsia="Calibri" w:hAnsi="Cambria Math" w:cs="Arial"/>
                  <w:sz w:val="20"/>
                  <w:szCs w:val="22"/>
                  <w:lang w:eastAsia="en-US"/>
                </w:rPr>
                <m:t>+</m:t>
              </m:r>
              <m:acc>
                <m:accPr>
                  <m:chr m:val="̅"/>
                  <m:ctrlPr>
                    <w:rPr>
                      <w:rFonts w:ascii="Cambria Math" w:eastAsia="Calibri" w:hAnsi="Cambria Math" w:cs="Arial"/>
                      <w:i/>
                      <w:sz w:val="20"/>
                      <w:szCs w:val="22"/>
                      <w:lang w:eastAsia="en-US"/>
                    </w:rPr>
                  </m:ctrlPr>
                </m:accPr>
                <m:e>
                  <m:r>
                    <w:rPr>
                      <w:rFonts w:ascii="Cambria Math" w:eastAsia="Calibri" w:hAnsi="Cambria Math" w:cs="Arial"/>
                      <w:sz w:val="20"/>
                      <w:szCs w:val="22"/>
                      <w:lang w:eastAsia="en-US"/>
                    </w:rPr>
                    <m:t>X</m:t>
                  </m:r>
                </m:e>
              </m:acc>
              <m:r>
                <w:rPr>
                  <w:rFonts w:ascii="Cambria Math" w:eastAsia="Calibri" w:hAnsi="Cambria Math" w:cs="Arial"/>
                  <w:sz w:val="20"/>
                  <w:szCs w:val="22"/>
                  <w:lang w:eastAsia="en-US"/>
                </w:rPr>
                <m:t>)</m:t>
              </m:r>
            </m:num>
            <m:den>
              <m:r>
                <w:rPr>
                  <w:rFonts w:ascii="Cambria Math" w:eastAsia="Calibri" w:hAnsi="Cambria Math" w:cs="Arial"/>
                  <w:sz w:val="20"/>
                  <w:szCs w:val="22"/>
                  <w:lang w:eastAsia="en-US"/>
                </w:rPr>
                <m:t>2</m:t>
              </m:r>
            </m:den>
          </m:f>
        </m:oMath>
      </m:oMathPara>
    </w:p>
    <w:p w14:paraId="1408F9E3" w14:textId="77777777" w:rsidR="00C8354F" w:rsidRPr="00C8354F" w:rsidRDefault="00C8354F" w:rsidP="00C8354F">
      <w:pPr>
        <w:ind w:left="851" w:right="616"/>
        <w:jc w:val="both"/>
        <w:rPr>
          <w:rFonts w:ascii="Arial" w:eastAsia="Calibri" w:hAnsi="Arial" w:cs="Arial"/>
          <w:sz w:val="20"/>
          <w:szCs w:val="22"/>
          <w:lang w:eastAsia="en-US"/>
        </w:rPr>
      </w:pPr>
    </w:p>
    <w:p w14:paraId="3767308A" w14:textId="77777777" w:rsidR="00C8354F" w:rsidRPr="00C8354F" w:rsidRDefault="00C8354F" w:rsidP="00C8354F">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Donde: </w:t>
      </w:r>
    </w:p>
    <w:p w14:paraId="0CBDE505" w14:textId="77777777" w:rsidR="00C8354F" w:rsidRPr="00C8354F" w:rsidRDefault="00877A29" w:rsidP="00C8354F">
      <w:pPr>
        <w:numPr>
          <w:ilvl w:val="0"/>
          <w:numId w:val="14"/>
        </w:numPr>
        <w:ind w:left="851" w:right="616" w:firstLine="0"/>
        <w:jc w:val="both"/>
        <w:rPr>
          <w:rFonts w:ascii="Arial" w:eastAsia="Calibri" w:hAnsi="Arial" w:cs="Arial"/>
          <w:sz w:val="20"/>
          <w:szCs w:val="22"/>
          <w:lang w:eastAsia="en-US"/>
        </w:rPr>
      </w:pPr>
      <m:oMath>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max</m:t>
            </m:r>
          </m:sub>
        </m:sSub>
      </m:oMath>
      <w:r w:rsidR="00C8354F" w:rsidRPr="00C8354F">
        <w:rPr>
          <w:rFonts w:ascii="Arial" w:eastAsia="Calibri" w:hAnsi="Arial" w:cs="Arial"/>
          <w:sz w:val="20"/>
          <w:szCs w:val="22"/>
          <w:lang w:eastAsia="en-US"/>
        </w:rPr>
        <w:t>: Es el valor total corregido del promedio de los SMMLV válidos más alto.</w:t>
      </w:r>
    </w:p>
    <w:p w14:paraId="6C079DD9" w14:textId="77777777" w:rsidR="00C8354F" w:rsidRPr="00C8354F" w:rsidRDefault="00877A29" w:rsidP="00C8354F">
      <w:pPr>
        <w:numPr>
          <w:ilvl w:val="0"/>
          <w:numId w:val="14"/>
        </w:numPr>
        <w:ind w:left="851" w:right="616" w:firstLine="0"/>
        <w:jc w:val="both"/>
        <w:rPr>
          <w:rFonts w:ascii="Arial" w:eastAsia="Calibri" w:hAnsi="Arial" w:cs="Arial"/>
          <w:sz w:val="20"/>
          <w:szCs w:val="22"/>
          <w:lang w:eastAsia="en-US"/>
        </w:rPr>
      </w:pPr>
      <m:oMath>
        <m:acc>
          <m:accPr>
            <m:chr m:val="̅"/>
            <m:ctrlPr>
              <w:rPr>
                <w:rFonts w:ascii="Cambria Math" w:eastAsia="Calibri" w:hAnsi="Cambria Math" w:cs="Arial"/>
                <w:i/>
                <w:sz w:val="20"/>
                <w:szCs w:val="22"/>
                <w:lang w:eastAsia="en-US"/>
              </w:rPr>
            </m:ctrlPr>
          </m:accPr>
          <m:e>
            <m:r>
              <w:rPr>
                <w:rFonts w:ascii="Cambria Math" w:eastAsia="Calibri" w:hAnsi="Cambria Math" w:cs="Arial"/>
                <w:sz w:val="20"/>
                <w:szCs w:val="22"/>
                <w:lang w:eastAsia="en-US"/>
              </w:rPr>
              <m:t>X</m:t>
            </m:r>
          </m:e>
        </m:acc>
      </m:oMath>
      <w:r w:rsidR="00C8354F" w:rsidRPr="00C8354F">
        <w:rPr>
          <w:rFonts w:ascii="Arial" w:eastAsia="Calibri" w:hAnsi="Arial" w:cs="Arial"/>
          <w:sz w:val="20"/>
          <w:szCs w:val="22"/>
          <w:lang w:eastAsia="en-US"/>
        </w:rPr>
        <w:t>: Es el promedio aritmético simple de los promedios de los SMMLV de los contratos válidos de las otras propuestas habilitadas.</w:t>
      </w:r>
    </w:p>
    <w:p w14:paraId="7B3F6E09" w14:textId="77777777" w:rsidR="00C8354F" w:rsidRPr="00C8354F" w:rsidRDefault="00877A29" w:rsidP="00C8354F">
      <w:pPr>
        <w:numPr>
          <w:ilvl w:val="0"/>
          <w:numId w:val="14"/>
        </w:numPr>
        <w:ind w:left="851" w:right="616" w:firstLine="0"/>
        <w:jc w:val="both"/>
        <w:rPr>
          <w:rFonts w:ascii="Arial" w:eastAsia="Calibri" w:hAnsi="Arial" w:cs="Arial"/>
          <w:sz w:val="20"/>
          <w:szCs w:val="22"/>
          <w:lang w:eastAsia="en-US"/>
        </w:rPr>
      </w:pPr>
      <m:oMath>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oMath>
      <w:r w:rsidR="00C8354F" w:rsidRPr="00C8354F">
        <w:rPr>
          <w:rFonts w:ascii="Arial" w:eastAsia="Calibri" w:hAnsi="Arial" w:cs="Arial"/>
          <w:sz w:val="20"/>
          <w:szCs w:val="22"/>
          <w:lang w:eastAsia="en-US"/>
        </w:rPr>
        <w:t>: Es la media aritmética alta.</w:t>
      </w:r>
    </w:p>
    <w:p w14:paraId="4B6D582A" w14:textId="77777777" w:rsidR="00C8354F" w:rsidRPr="00C8354F" w:rsidRDefault="00C8354F" w:rsidP="00C8354F">
      <w:pPr>
        <w:ind w:left="851" w:right="616"/>
        <w:jc w:val="both"/>
        <w:rPr>
          <w:rFonts w:ascii="Arial" w:eastAsia="Calibri" w:hAnsi="Arial" w:cs="Arial"/>
          <w:sz w:val="20"/>
          <w:szCs w:val="22"/>
          <w:lang w:eastAsia="en-US"/>
        </w:rPr>
      </w:pPr>
    </w:p>
    <w:p w14:paraId="3CDC17B4" w14:textId="77777777" w:rsidR="00C8354F" w:rsidRPr="00C8354F" w:rsidRDefault="00C8354F" w:rsidP="00C8354F">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Obtenida la media aritmética alta se procederá a ponderar las propuestas de acuerdo con la siguiente fórmula: </w:t>
      </w:r>
    </w:p>
    <w:p w14:paraId="62862310" w14:textId="77777777" w:rsidR="00C8354F" w:rsidRPr="00C8354F" w:rsidRDefault="00C8354F" w:rsidP="00C8354F">
      <w:pPr>
        <w:ind w:left="851" w:right="616"/>
        <w:jc w:val="both"/>
        <w:rPr>
          <w:rFonts w:ascii="Arial" w:eastAsia="Calibri" w:hAnsi="Arial" w:cs="Arial"/>
          <w:sz w:val="20"/>
          <w:szCs w:val="22"/>
          <w:lang w:eastAsia="en-US"/>
        </w:rPr>
      </w:pPr>
    </w:p>
    <w:p w14:paraId="4EFC1260" w14:textId="77777777" w:rsidR="00C8354F" w:rsidRPr="00C8354F" w:rsidRDefault="00877A29" w:rsidP="00C8354F">
      <w:pPr>
        <w:ind w:left="851" w:right="616"/>
        <w:jc w:val="both"/>
        <w:rPr>
          <w:rFonts w:ascii="Arial" w:eastAsia="Calibri" w:hAnsi="Arial" w:cs="Arial"/>
          <w:sz w:val="20"/>
          <w:szCs w:val="22"/>
          <w:lang w:eastAsia="en-US"/>
        </w:rPr>
      </w:pPr>
      <m:oMathPara>
        <m:oMath>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Puntaje</m:t>
              </m:r>
            </m:e>
            <m:sub>
              <m:r>
                <w:rPr>
                  <w:rFonts w:ascii="Cambria Math" w:eastAsia="Calibri" w:hAnsi="Cambria Math" w:cs="Arial"/>
                  <w:sz w:val="20"/>
                  <w:szCs w:val="22"/>
                  <w:lang w:eastAsia="en-US"/>
                </w:rPr>
                <m:t>Asignar</m:t>
              </m:r>
            </m:sub>
          </m:sSub>
          <m:r>
            <w:rPr>
              <w:rFonts w:ascii="Cambria Math" w:eastAsia="Calibri" w:hAnsi="Cambria Math" w:cs="Arial"/>
              <w:sz w:val="20"/>
              <w:szCs w:val="22"/>
              <w:lang w:eastAsia="en-US"/>
            </w:rPr>
            <m:t>=</m:t>
          </m:r>
          <m:d>
            <m:dPr>
              <m:begChr m:val="{"/>
              <m:endChr m:val="}"/>
              <m:ctrlPr>
                <w:rPr>
                  <w:rFonts w:ascii="Cambria Math" w:eastAsia="Calibri" w:hAnsi="Cambria Math" w:cs="Arial"/>
                  <w:i/>
                  <w:sz w:val="20"/>
                  <w:szCs w:val="22"/>
                  <w:lang w:eastAsia="en-US"/>
                </w:rPr>
              </m:ctrlPr>
            </m:dPr>
            <m:e>
              <m:eqArr>
                <m:eqArrPr>
                  <m:ctrlPr>
                    <w:rPr>
                      <w:rFonts w:ascii="Cambria Math" w:eastAsia="Calibri" w:hAnsi="Cambria Math" w:cs="Arial"/>
                      <w:i/>
                      <w:sz w:val="20"/>
                      <w:szCs w:val="22"/>
                      <w:lang w:eastAsia="en-US"/>
                    </w:rPr>
                  </m:ctrlPr>
                </m:eqArrPr>
                <m:e>
                  <m:r>
                    <w:rPr>
                      <w:rFonts w:ascii="Cambria Math" w:eastAsia="Calibri" w:hAnsi="Cambria Math" w:cs="Arial"/>
                      <w:sz w:val="20"/>
                      <w:szCs w:val="22"/>
                      <w:lang w:eastAsia="en-US"/>
                    </w:rPr>
                    <m:t>Puntaje máximo*</m:t>
                  </m:r>
                  <m:d>
                    <m:dPr>
                      <m:ctrlPr>
                        <w:rPr>
                          <w:rFonts w:ascii="Cambria Math" w:eastAsia="Calibri" w:hAnsi="Cambria Math" w:cs="Arial"/>
                          <w:i/>
                          <w:sz w:val="20"/>
                          <w:szCs w:val="22"/>
                          <w:lang w:eastAsia="en-US"/>
                        </w:rPr>
                      </m:ctrlPr>
                    </m:dPr>
                    <m:e>
                      <m:r>
                        <w:rPr>
                          <w:rFonts w:ascii="Cambria Math" w:eastAsia="Calibri" w:hAnsi="Cambria Math" w:cs="Arial"/>
                          <w:sz w:val="20"/>
                          <w:szCs w:val="22"/>
                          <w:lang w:eastAsia="en-US"/>
                        </w:rPr>
                        <m:t>1-</m:t>
                      </m:r>
                      <m:d>
                        <m:dPr>
                          <m:ctrlPr>
                            <w:rPr>
                              <w:rFonts w:ascii="Cambria Math" w:eastAsia="Calibri" w:hAnsi="Cambria Math" w:cs="Arial"/>
                              <w:i/>
                              <w:sz w:val="20"/>
                              <w:szCs w:val="22"/>
                              <w:lang w:eastAsia="en-US"/>
                            </w:rPr>
                          </m:ctrlPr>
                        </m:dPr>
                        <m:e>
                          <m:f>
                            <m:fPr>
                              <m:ctrlPr>
                                <w:rPr>
                                  <w:rFonts w:ascii="Cambria Math" w:eastAsia="Calibri" w:hAnsi="Cambria Math" w:cs="Arial"/>
                                  <w:i/>
                                  <w:sz w:val="20"/>
                                  <w:szCs w:val="22"/>
                                  <w:lang w:eastAsia="en-US"/>
                                </w:rPr>
                              </m:ctrlPr>
                            </m:fPr>
                            <m:num>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r>
                                <w:rPr>
                                  <w:rFonts w:ascii="Cambria Math" w:eastAsia="Calibri" w:hAnsi="Cambria Math" w:cs="Arial"/>
                                  <w:sz w:val="20"/>
                                  <w:szCs w:val="22"/>
                                  <w:lang w:eastAsia="en-US"/>
                                </w:rPr>
                                <m:t>-</m:t>
                              </m:r>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i</m:t>
                                  </m:r>
                                </m:sub>
                              </m:sSub>
                            </m:num>
                            <m:den>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den>
                          </m:f>
                        </m:e>
                      </m:d>
                    </m:e>
                  </m:d>
                  <m:r>
                    <w:rPr>
                      <w:rFonts w:ascii="Cambria Math" w:eastAsia="Calibri" w:hAnsi="Cambria Math" w:cs="Arial"/>
                      <w:sz w:val="20"/>
                      <w:szCs w:val="22"/>
                      <w:lang w:eastAsia="en-US"/>
                    </w:rPr>
                    <m:t xml:space="preserve"> Para valores menores o iguales a </m:t>
                  </m:r>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e>
                <m:e>
                  <m:r>
                    <w:rPr>
                      <w:rFonts w:ascii="Cambria Math" w:eastAsia="Calibri" w:hAnsi="Cambria Math" w:cs="Arial"/>
                      <w:sz w:val="20"/>
                      <w:szCs w:val="22"/>
                      <w:lang w:eastAsia="en-US"/>
                    </w:rPr>
                    <m:t xml:space="preserve"> </m:t>
                  </m:r>
                </m:e>
                <m:e>
                  <m:r>
                    <w:rPr>
                      <w:rFonts w:ascii="Cambria Math" w:eastAsia="Calibri" w:hAnsi="Cambria Math" w:cs="Arial"/>
                      <w:sz w:val="20"/>
                      <w:szCs w:val="22"/>
                      <w:lang w:eastAsia="en-US"/>
                    </w:rPr>
                    <m:t xml:space="preserve"> </m:t>
                  </m:r>
                </m:e>
                <m:e>
                  <m:r>
                    <w:rPr>
                      <w:rFonts w:ascii="Cambria Math" w:eastAsia="Calibri" w:hAnsi="Cambria Math" w:cs="Arial"/>
                      <w:sz w:val="20"/>
                      <w:szCs w:val="22"/>
                      <w:lang w:eastAsia="en-US"/>
                    </w:rPr>
                    <m:t xml:space="preserve"> </m:t>
                  </m:r>
                </m:e>
                <m:e>
                  <m:r>
                    <w:rPr>
                      <w:rFonts w:ascii="Cambria Math" w:eastAsia="Calibri" w:hAnsi="Cambria Math" w:cs="Arial"/>
                      <w:sz w:val="20"/>
                      <w:szCs w:val="22"/>
                      <w:lang w:eastAsia="en-US"/>
                    </w:rPr>
                    <m:t>Puntaje máximo*</m:t>
                  </m:r>
                  <m:d>
                    <m:dPr>
                      <m:ctrlPr>
                        <w:rPr>
                          <w:rFonts w:ascii="Cambria Math" w:eastAsia="Calibri" w:hAnsi="Cambria Math" w:cs="Arial"/>
                          <w:i/>
                          <w:sz w:val="20"/>
                          <w:szCs w:val="22"/>
                          <w:lang w:eastAsia="en-US"/>
                        </w:rPr>
                      </m:ctrlPr>
                    </m:dPr>
                    <m:e>
                      <m:r>
                        <w:rPr>
                          <w:rFonts w:ascii="Cambria Math" w:eastAsia="Calibri" w:hAnsi="Cambria Math" w:cs="Arial"/>
                          <w:sz w:val="20"/>
                          <w:szCs w:val="22"/>
                          <w:lang w:eastAsia="en-US"/>
                        </w:rPr>
                        <m:t>1-2*</m:t>
                      </m:r>
                      <m:d>
                        <m:dPr>
                          <m:ctrlPr>
                            <w:rPr>
                              <w:rFonts w:ascii="Cambria Math" w:eastAsia="Calibri" w:hAnsi="Cambria Math" w:cs="Arial"/>
                              <w:i/>
                              <w:sz w:val="20"/>
                              <w:szCs w:val="22"/>
                              <w:lang w:eastAsia="en-US"/>
                            </w:rPr>
                          </m:ctrlPr>
                        </m:dPr>
                        <m:e>
                          <m:f>
                            <m:fPr>
                              <m:ctrlPr>
                                <w:rPr>
                                  <w:rFonts w:ascii="Cambria Math" w:eastAsia="Calibri" w:hAnsi="Cambria Math" w:cs="Arial"/>
                                  <w:i/>
                                  <w:sz w:val="20"/>
                                  <w:szCs w:val="22"/>
                                  <w:lang w:eastAsia="en-US"/>
                                </w:rPr>
                              </m:ctrlPr>
                            </m:fPr>
                            <m:num>
                              <m:d>
                                <m:dPr>
                                  <m:begChr m:val="|"/>
                                  <m:endChr m:val="|"/>
                                  <m:ctrlPr>
                                    <w:rPr>
                                      <w:rFonts w:ascii="Cambria Math" w:eastAsia="Calibri" w:hAnsi="Cambria Math" w:cs="Arial"/>
                                      <w:i/>
                                      <w:sz w:val="20"/>
                                      <w:szCs w:val="22"/>
                                      <w:lang w:eastAsia="en-US"/>
                                    </w:rPr>
                                  </m:ctrlPr>
                                </m:dPr>
                                <m:e>
                                  <m:r>
                                    <w:rPr>
                                      <w:rFonts w:ascii="Cambria Math" w:eastAsia="Calibri" w:hAnsi="Cambria Math" w:cs="Arial"/>
                                      <w:sz w:val="20"/>
                                      <w:szCs w:val="22"/>
                                      <w:lang w:eastAsia="en-US"/>
                                    </w:rPr>
                                    <m:t xml:space="preserve"> </m:t>
                                  </m:r>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r>
                                    <w:rPr>
                                      <w:rFonts w:ascii="Cambria Math" w:eastAsia="Calibri" w:hAnsi="Cambria Math" w:cs="Arial"/>
                                      <w:sz w:val="20"/>
                                      <w:szCs w:val="22"/>
                                      <w:lang w:eastAsia="en-US"/>
                                    </w:rPr>
                                    <m:t>-</m:t>
                                  </m:r>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i</m:t>
                                      </m:r>
                                    </m:sub>
                                  </m:sSub>
                                  <m:r>
                                    <w:rPr>
                                      <w:rFonts w:ascii="Cambria Math" w:eastAsia="Calibri" w:hAnsi="Cambria Math" w:cs="Arial"/>
                                      <w:sz w:val="20"/>
                                      <w:szCs w:val="22"/>
                                      <w:lang w:eastAsia="en-US"/>
                                    </w:rPr>
                                    <m:t xml:space="preserve"> </m:t>
                                  </m:r>
                                </m:e>
                              </m:d>
                            </m:num>
                            <m:den>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den>
                          </m:f>
                        </m:e>
                      </m:d>
                    </m:e>
                  </m:d>
                  <m:r>
                    <w:rPr>
                      <w:rFonts w:ascii="Cambria Math" w:eastAsia="Calibri" w:hAnsi="Cambria Math" w:cs="Arial"/>
                      <w:sz w:val="20"/>
                      <w:szCs w:val="22"/>
                      <w:lang w:eastAsia="en-US"/>
                    </w:rPr>
                    <m:t xml:space="preserve"> Para valores mayores a </m:t>
                  </m:r>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e>
              </m:eqArr>
            </m:e>
          </m:d>
        </m:oMath>
      </m:oMathPara>
    </w:p>
    <w:p w14:paraId="3759C67D" w14:textId="77777777" w:rsidR="00C8354F" w:rsidRPr="00C8354F" w:rsidRDefault="00C8354F" w:rsidP="00C8354F">
      <w:pPr>
        <w:ind w:left="851" w:right="616"/>
        <w:jc w:val="both"/>
        <w:rPr>
          <w:rFonts w:ascii="Arial" w:eastAsia="Calibri" w:hAnsi="Arial" w:cs="Arial"/>
          <w:sz w:val="20"/>
          <w:szCs w:val="22"/>
          <w:lang w:eastAsia="en-US"/>
        </w:rPr>
      </w:pPr>
    </w:p>
    <w:p w14:paraId="0A208C8B" w14:textId="77777777" w:rsidR="00C8354F" w:rsidRPr="00C8354F" w:rsidRDefault="00C8354F" w:rsidP="00C8354F">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Donde: </w:t>
      </w:r>
    </w:p>
    <w:p w14:paraId="1DBC6FE3" w14:textId="77777777" w:rsidR="00C8354F" w:rsidRPr="00C8354F" w:rsidRDefault="00877A29" w:rsidP="00C8354F">
      <w:pPr>
        <w:numPr>
          <w:ilvl w:val="0"/>
          <w:numId w:val="15"/>
        </w:numPr>
        <w:ind w:left="851" w:right="616" w:firstLine="0"/>
        <w:jc w:val="both"/>
        <w:rPr>
          <w:rFonts w:ascii="Arial" w:eastAsia="Calibri" w:hAnsi="Arial" w:cs="Arial"/>
          <w:sz w:val="20"/>
          <w:szCs w:val="22"/>
          <w:lang w:eastAsia="en-US"/>
        </w:rPr>
      </w:pPr>
      <m:oMath>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oMath>
      <w:r w:rsidR="00C8354F" w:rsidRPr="00C8354F">
        <w:rPr>
          <w:rFonts w:ascii="Arial" w:eastAsia="Calibri" w:hAnsi="Arial" w:cs="Arial"/>
          <w:sz w:val="20"/>
          <w:szCs w:val="22"/>
          <w:lang w:eastAsia="en-US"/>
        </w:rPr>
        <w:t>: Es la media aritmética alta.</w:t>
      </w:r>
    </w:p>
    <w:p w14:paraId="611D2490" w14:textId="77777777" w:rsidR="00C8354F" w:rsidRPr="00C8354F" w:rsidRDefault="00877A29" w:rsidP="00C8354F">
      <w:pPr>
        <w:numPr>
          <w:ilvl w:val="0"/>
          <w:numId w:val="15"/>
        </w:numPr>
        <w:ind w:left="851" w:right="616" w:firstLine="0"/>
        <w:jc w:val="both"/>
        <w:rPr>
          <w:rFonts w:ascii="Arial" w:eastAsia="Calibri" w:hAnsi="Arial" w:cs="Arial"/>
          <w:sz w:val="20"/>
          <w:szCs w:val="22"/>
          <w:lang w:eastAsia="en-US"/>
        </w:rPr>
      </w:pPr>
      <m:oMath>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i</m:t>
            </m:r>
          </m:sub>
        </m:sSub>
      </m:oMath>
      <w:r w:rsidR="00C8354F" w:rsidRPr="00C8354F">
        <w:rPr>
          <w:rFonts w:ascii="Arial" w:eastAsia="Calibri" w:hAnsi="Arial" w:cs="Arial"/>
          <w:sz w:val="20"/>
          <w:szCs w:val="22"/>
          <w:lang w:eastAsia="en-US"/>
        </w:rPr>
        <w:t>: Es el valor promedio de los SMMLV válidos de cada una de las propuestas “i”.</w:t>
      </w:r>
    </w:p>
    <w:p w14:paraId="3610A4FE" w14:textId="77777777" w:rsidR="00C8354F" w:rsidRPr="00C8354F" w:rsidRDefault="00C8354F" w:rsidP="00C8354F">
      <w:pPr>
        <w:ind w:left="851" w:right="616"/>
        <w:jc w:val="both"/>
        <w:rPr>
          <w:rFonts w:ascii="Arial" w:eastAsia="Calibri" w:hAnsi="Arial" w:cs="Arial"/>
          <w:sz w:val="20"/>
          <w:szCs w:val="22"/>
          <w:lang w:eastAsia="en-US"/>
        </w:rPr>
      </w:pPr>
    </w:p>
    <w:p w14:paraId="379687B4" w14:textId="77777777" w:rsidR="00C8354F" w:rsidRPr="00C8354F" w:rsidRDefault="00C8354F" w:rsidP="00C8354F">
      <w:pPr>
        <w:ind w:left="851" w:right="616"/>
        <w:jc w:val="both"/>
        <w:rPr>
          <w:rFonts w:ascii="Arial" w:eastAsia="Calibri" w:hAnsi="Arial" w:cs="Arial"/>
          <w:sz w:val="20"/>
          <w:szCs w:val="22"/>
          <w:lang w:eastAsia="en-US"/>
        </w:rPr>
      </w:pPr>
      <w:r w:rsidRPr="00C8354F">
        <w:rPr>
          <w:rFonts w:ascii="Arial" w:eastAsia="Calibri" w:hAnsi="Arial" w:cs="Arial"/>
          <w:b/>
          <w:bCs/>
          <w:sz w:val="20"/>
          <w:szCs w:val="22"/>
          <w:lang w:eastAsia="en-US"/>
        </w:rPr>
        <w:t>Nota:</w:t>
      </w:r>
      <w:r w:rsidRPr="00C8354F">
        <w:rPr>
          <w:rFonts w:ascii="Arial" w:eastAsia="Calibri" w:hAnsi="Arial" w:cs="Arial"/>
          <w:sz w:val="20"/>
          <w:szCs w:val="22"/>
          <w:lang w:eastAsia="en-US"/>
        </w:rPr>
        <w:t xml:space="preserve"> Cuando el resultado de la fórmula anterior sea un número negativo, se asignará 0,0 puntos.</w:t>
      </w:r>
    </w:p>
    <w:p w14:paraId="24E0DFA8" w14:textId="77777777" w:rsidR="00C8354F" w:rsidRPr="00C8354F" w:rsidRDefault="00C8354F" w:rsidP="00C8354F">
      <w:pPr>
        <w:jc w:val="both"/>
        <w:rPr>
          <w:rFonts w:ascii="Arial" w:eastAsia="Calibri" w:hAnsi="Arial" w:cs="Arial"/>
          <w:sz w:val="20"/>
          <w:szCs w:val="22"/>
          <w:lang w:eastAsia="en-US"/>
        </w:rPr>
      </w:pPr>
    </w:p>
    <w:p w14:paraId="37199AC2" w14:textId="77777777" w:rsidR="00C8354F" w:rsidRPr="00C8354F" w:rsidRDefault="00C8354F" w:rsidP="00095929">
      <w:pPr>
        <w:spacing w:line="276" w:lineRule="auto"/>
        <w:ind w:firstLine="709"/>
        <w:jc w:val="both"/>
        <w:rPr>
          <w:rFonts w:ascii="Arial" w:eastAsia="Calibri" w:hAnsi="Arial" w:cs="Arial"/>
          <w:color w:val="000000"/>
        </w:rPr>
      </w:pPr>
    </w:p>
    <w:p w14:paraId="6823991B" w14:textId="1A542E50" w:rsidR="00C26B8F" w:rsidRPr="00C26B8F" w:rsidRDefault="00C26B8F" w:rsidP="00A42E11">
      <w:pPr>
        <w:spacing w:line="276" w:lineRule="auto"/>
        <w:ind w:right="49" w:firstLine="708"/>
        <w:jc w:val="both"/>
        <w:rPr>
          <w:rFonts w:ascii="Arial" w:eastAsia="Arial" w:hAnsi="Arial" w:cs="Arial"/>
          <w:sz w:val="22"/>
          <w:szCs w:val="22"/>
          <w:lang w:eastAsia="es-ES"/>
        </w:rPr>
      </w:pPr>
      <w:r w:rsidRPr="00C26B8F">
        <w:rPr>
          <w:rFonts w:ascii="Arial" w:hAnsi="Arial" w:cs="Arial"/>
          <w:sz w:val="22"/>
          <w:szCs w:val="22"/>
        </w:rPr>
        <w:t>Como en efecto lo diferencia</w:t>
      </w:r>
      <w:r w:rsidR="0036599E">
        <w:rPr>
          <w:rFonts w:ascii="Arial" w:hAnsi="Arial" w:cs="Arial"/>
          <w:sz w:val="22"/>
          <w:szCs w:val="22"/>
        </w:rPr>
        <w:t xml:space="preserve"> textualmente</w:t>
      </w:r>
      <w:r w:rsidRPr="00C26B8F">
        <w:rPr>
          <w:rFonts w:ascii="Arial" w:hAnsi="Arial" w:cs="Arial"/>
          <w:sz w:val="22"/>
          <w:szCs w:val="22"/>
        </w:rPr>
        <w:t xml:space="preserve"> la explicación de la fórmula o ecuación, la media aritmética </w:t>
      </w:r>
      <w:r w:rsidR="00C8354F">
        <w:rPr>
          <w:rFonts w:ascii="Arial" w:hAnsi="Arial" w:cs="Arial"/>
          <w:sz w:val="22"/>
          <w:szCs w:val="22"/>
        </w:rPr>
        <w:t>alta</w:t>
      </w:r>
      <w:r w:rsidRPr="00C26B8F">
        <w:rPr>
          <w:rFonts w:ascii="Arial" w:hAnsi="Arial" w:cs="Arial"/>
          <w:sz w:val="22"/>
          <w:szCs w:val="22"/>
        </w:rPr>
        <w:t xml:space="preserve"> es el resultado de dividir entre 2 la suma de dos variables</w:t>
      </w:r>
      <w:r w:rsidR="004E137E">
        <w:rPr>
          <w:rFonts w:ascii="Arial" w:hAnsi="Arial" w:cs="Arial"/>
          <w:sz w:val="22"/>
          <w:szCs w:val="22"/>
        </w:rPr>
        <w:t>,</w:t>
      </w:r>
      <w:r w:rsidRPr="00C26B8F">
        <w:rPr>
          <w:rFonts w:ascii="Arial" w:hAnsi="Arial" w:cs="Arial"/>
          <w:sz w:val="22"/>
          <w:szCs w:val="22"/>
        </w:rPr>
        <w:t xml:space="preserve"> a saber: </w:t>
      </w:r>
      <m:oMath>
        <m:sSub>
          <m:sSubPr>
            <m:ctrlPr>
              <w:rPr>
                <w:rFonts w:ascii="Cambria Math" w:eastAsia="Arial" w:hAnsi="Cambria Math" w:cs="Arial"/>
                <w:i/>
                <w:sz w:val="22"/>
                <w:szCs w:val="22"/>
                <w:lang w:eastAsia="es-ES"/>
              </w:rPr>
            </m:ctrlPr>
          </m:sSubPr>
          <m:e>
            <m:r>
              <m:rPr>
                <m:sty m:val="p"/>
              </m:rPr>
              <w:rPr>
                <w:rFonts w:ascii="Cambria Math" w:hAnsi="Cambria Math" w:cs="Arial"/>
                <w:sz w:val="22"/>
                <w:szCs w:val="22"/>
              </w:rPr>
              <m:t>«</m:t>
            </m:r>
            <m:r>
              <w:rPr>
                <w:rFonts w:ascii="Cambria Math" w:eastAsia="Arial" w:hAnsi="Cambria Math" w:cs="Arial"/>
                <w:sz w:val="22"/>
                <w:szCs w:val="22"/>
                <w:lang w:eastAsia="es-ES"/>
              </w:rPr>
              <m:t>V</m:t>
            </m:r>
          </m:e>
          <m:sub>
            <m:r>
              <w:rPr>
                <w:rFonts w:ascii="Cambria Math" w:eastAsia="Arial" w:hAnsi="Cambria Math" w:cs="Arial"/>
                <w:sz w:val="22"/>
                <w:szCs w:val="22"/>
                <w:lang w:eastAsia="es-ES"/>
              </w:rPr>
              <m:t>max</m:t>
            </m:r>
          </m:sub>
        </m:sSub>
      </m:oMath>
      <w:r>
        <w:rPr>
          <w:rFonts w:ascii="Arial" w:eastAsia="Arial" w:hAnsi="Arial" w:cs="Arial"/>
          <w:sz w:val="22"/>
          <w:szCs w:val="22"/>
          <w:lang w:eastAsia="es-ES"/>
        </w:rPr>
        <w:t xml:space="preserve"> </w:t>
      </w:r>
      <w:r w:rsidRPr="00E0681A">
        <w:rPr>
          <w:rFonts w:ascii="Arial" w:hAnsi="Arial" w:cs="Arial"/>
          <w:sz w:val="22"/>
          <w:szCs w:val="22"/>
        </w:rPr>
        <w:t>»</w:t>
      </w:r>
      <w:r>
        <w:rPr>
          <w:rFonts w:ascii="Arial" w:eastAsia="Arial" w:hAnsi="Arial" w:cs="Arial"/>
          <w:sz w:val="22"/>
          <w:szCs w:val="22"/>
          <w:lang w:eastAsia="es-ES"/>
        </w:rPr>
        <w:t xml:space="preserve"> </w:t>
      </w:r>
      <w:r w:rsidR="004E137E">
        <w:rPr>
          <w:rFonts w:ascii="Arial" w:eastAsia="Arial" w:hAnsi="Arial" w:cs="Arial"/>
          <w:sz w:val="22"/>
          <w:szCs w:val="22"/>
          <w:lang w:eastAsia="es-ES"/>
        </w:rPr>
        <w:t>(</w:t>
      </w:r>
      <w:r w:rsidRPr="00C26B8F">
        <w:rPr>
          <w:rFonts w:ascii="Arial" w:eastAsia="Arial" w:hAnsi="Arial" w:cs="Arial"/>
          <w:sz w:val="22"/>
          <w:szCs w:val="22"/>
          <w:lang w:eastAsia="es-ES"/>
        </w:rPr>
        <w:t xml:space="preserve">Es el valor total corregido del promedio de los SMMLV válidos más </w:t>
      </w:r>
      <w:r w:rsidR="00C8354F">
        <w:rPr>
          <w:rFonts w:ascii="Arial" w:eastAsia="Arial" w:hAnsi="Arial" w:cs="Arial"/>
          <w:sz w:val="22"/>
          <w:szCs w:val="22"/>
          <w:lang w:eastAsia="es-ES"/>
        </w:rPr>
        <w:t>alto</w:t>
      </w:r>
      <w:r w:rsidR="004E137E">
        <w:rPr>
          <w:rFonts w:ascii="Arial" w:eastAsia="Arial" w:hAnsi="Arial" w:cs="Arial"/>
          <w:sz w:val="22"/>
          <w:szCs w:val="22"/>
          <w:lang w:eastAsia="es-ES"/>
        </w:rPr>
        <w:t>)</w:t>
      </w:r>
      <w:r w:rsidRPr="00C26B8F">
        <w:rPr>
          <w:rFonts w:ascii="Arial" w:eastAsia="Arial" w:hAnsi="Arial" w:cs="Arial"/>
          <w:sz w:val="22"/>
          <w:szCs w:val="22"/>
          <w:lang w:eastAsia="es-ES"/>
        </w:rPr>
        <w:t xml:space="preserve"> y </w:t>
      </w:r>
      <w:r w:rsidRPr="00E0681A">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Pr="00E0681A">
        <w:rPr>
          <w:rFonts w:ascii="Arial" w:hAnsi="Arial" w:cs="Arial"/>
          <w:sz w:val="22"/>
          <w:szCs w:val="22"/>
        </w:rPr>
        <w:t>»</w:t>
      </w:r>
      <w:r w:rsidRPr="00C26B8F">
        <w:rPr>
          <w:rFonts w:ascii="Arial" w:eastAsia="Arial" w:hAnsi="Arial" w:cs="Arial"/>
          <w:sz w:val="22"/>
          <w:szCs w:val="22"/>
          <w:lang w:eastAsia="es-ES"/>
        </w:rPr>
        <w:t xml:space="preserve"> </w:t>
      </w:r>
      <w:r w:rsidR="00E3124E">
        <w:rPr>
          <w:rFonts w:ascii="Arial" w:eastAsia="Arial" w:hAnsi="Arial" w:cs="Arial"/>
          <w:sz w:val="22"/>
          <w:szCs w:val="22"/>
          <w:lang w:eastAsia="es-ES"/>
        </w:rPr>
        <w:t>(</w:t>
      </w:r>
      <w:r w:rsidRPr="00C26B8F">
        <w:rPr>
          <w:rFonts w:ascii="Arial" w:eastAsia="Arial" w:hAnsi="Arial" w:cs="Arial"/>
          <w:sz w:val="22"/>
          <w:szCs w:val="22"/>
          <w:lang w:eastAsia="es-ES"/>
        </w:rPr>
        <w:t xml:space="preserve">Es el promedio aritmético simple de los promedios de los SMMLV </w:t>
      </w:r>
      <w:r w:rsidR="00C8354F">
        <w:rPr>
          <w:rFonts w:ascii="Arial" w:eastAsia="Arial" w:hAnsi="Arial" w:cs="Arial"/>
          <w:sz w:val="22"/>
          <w:szCs w:val="22"/>
          <w:lang w:eastAsia="es-ES"/>
        </w:rPr>
        <w:t xml:space="preserve">de los contratos </w:t>
      </w:r>
      <w:r w:rsidRPr="00C26B8F">
        <w:rPr>
          <w:rFonts w:ascii="Arial" w:eastAsia="Arial" w:hAnsi="Arial" w:cs="Arial"/>
          <w:sz w:val="22"/>
          <w:szCs w:val="22"/>
          <w:lang w:eastAsia="es-ES"/>
        </w:rPr>
        <w:t>válidos de las otras propuestas habilitadas</w:t>
      </w:r>
      <w:r w:rsidR="00E3124E">
        <w:rPr>
          <w:rFonts w:ascii="Arial" w:eastAsia="Arial" w:hAnsi="Arial" w:cs="Arial"/>
          <w:sz w:val="22"/>
          <w:szCs w:val="22"/>
          <w:lang w:eastAsia="es-ES"/>
        </w:rPr>
        <w:t>)</w:t>
      </w:r>
      <w:r w:rsidRPr="00C26B8F">
        <w:rPr>
          <w:rFonts w:ascii="Arial" w:eastAsia="Arial" w:hAnsi="Arial" w:cs="Arial"/>
          <w:sz w:val="22"/>
          <w:szCs w:val="22"/>
          <w:lang w:eastAsia="es-ES"/>
        </w:rPr>
        <w:t>.</w:t>
      </w:r>
      <w:r w:rsidR="0036599E">
        <w:rPr>
          <w:rFonts w:ascii="Arial" w:eastAsia="Arial" w:hAnsi="Arial" w:cs="Arial"/>
          <w:sz w:val="22"/>
          <w:szCs w:val="22"/>
          <w:lang w:eastAsia="es-ES"/>
        </w:rPr>
        <w:t xml:space="preserve"> En consecuencia, como bien lo entiende el peticionario en la consulta, al calcular la segunda variable referida no se debe incluir el promedio de los SMLMV de la propuesta válida más </w:t>
      </w:r>
      <w:r w:rsidR="00EF2CCD">
        <w:rPr>
          <w:rFonts w:ascii="Arial" w:eastAsia="Arial" w:hAnsi="Arial" w:cs="Arial"/>
          <w:sz w:val="22"/>
          <w:szCs w:val="22"/>
          <w:lang w:eastAsia="es-ES"/>
        </w:rPr>
        <w:t>alta</w:t>
      </w:r>
      <w:r w:rsidR="0036599E">
        <w:rPr>
          <w:rFonts w:ascii="Arial" w:eastAsia="Arial" w:hAnsi="Arial" w:cs="Arial"/>
          <w:sz w:val="22"/>
          <w:szCs w:val="22"/>
          <w:lang w:eastAsia="es-ES"/>
        </w:rPr>
        <w:t xml:space="preserve">, pues tal y como textualmente lo indica la regla establecida en la fórmula, la variable </w:t>
      </w:r>
      <w:r w:rsidR="0036599E" w:rsidRPr="00E0681A">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0036599E" w:rsidRPr="00E0681A">
        <w:rPr>
          <w:rFonts w:ascii="Arial" w:hAnsi="Arial" w:cs="Arial"/>
          <w:sz w:val="22"/>
          <w:szCs w:val="22"/>
        </w:rPr>
        <w:t>»</w:t>
      </w:r>
      <w:r w:rsidR="0036599E" w:rsidRPr="00C26B8F">
        <w:rPr>
          <w:rFonts w:ascii="Arial" w:eastAsia="Arial" w:hAnsi="Arial" w:cs="Arial"/>
          <w:sz w:val="22"/>
          <w:szCs w:val="22"/>
          <w:lang w:eastAsia="es-ES"/>
        </w:rPr>
        <w:t xml:space="preserve"> </w:t>
      </w:r>
      <w:r w:rsidR="0036599E">
        <w:rPr>
          <w:rFonts w:ascii="Arial" w:eastAsia="Arial" w:hAnsi="Arial" w:cs="Arial"/>
          <w:sz w:val="22"/>
          <w:szCs w:val="22"/>
          <w:lang w:eastAsia="es-ES"/>
        </w:rPr>
        <w:t>s</w:t>
      </w:r>
      <w:r w:rsidR="00E3124E">
        <w:rPr>
          <w:rFonts w:ascii="Arial" w:eastAsia="Arial" w:hAnsi="Arial" w:cs="Arial"/>
          <w:sz w:val="22"/>
          <w:szCs w:val="22"/>
          <w:lang w:eastAsia="es-ES"/>
        </w:rPr>
        <w:t>o</w:t>
      </w:r>
      <w:r w:rsidR="0036599E">
        <w:rPr>
          <w:rFonts w:ascii="Arial" w:eastAsia="Arial" w:hAnsi="Arial" w:cs="Arial"/>
          <w:sz w:val="22"/>
          <w:szCs w:val="22"/>
          <w:lang w:eastAsia="es-ES"/>
        </w:rPr>
        <w:t xml:space="preserve">lo se calcula con el </w:t>
      </w:r>
      <w:r w:rsidR="0036599E" w:rsidRPr="00C26B8F">
        <w:rPr>
          <w:rFonts w:ascii="Arial" w:eastAsia="Arial" w:hAnsi="Arial" w:cs="Arial"/>
          <w:sz w:val="22"/>
          <w:szCs w:val="22"/>
          <w:lang w:eastAsia="es-ES"/>
        </w:rPr>
        <w:t xml:space="preserve">promedio aritmético simple de los promedios de los SMMLV válidos de las </w:t>
      </w:r>
      <w:r w:rsidR="0036599E" w:rsidRPr="008E0B9B">
        <w:rPr>
          <w:rFonts w:ascii="Arial" w:eastAsia="Arial" w:hAnsi="Arial" w:cs="Arial"/>
          <w:i/>
          <w:iCs/>
          <w:sz w:val="22"/>
          <w:szCs w:val="22"/>
          <w:lang w:eastAsia="es-ES"/>
        </w:rPr>
        <w:t>otras</w:t>
      </w:r>
      <w:r w:rsidR="0036599E" w:rsidRPr="00C26B8F">
        <w:rPr>
          <w:rFonts w:ascii="Arial" w:eastAsia="Arial" w:hAnsi="Arial" w:cs="Arial"/>
          <w:sz w:val="22"/>
          <w:szCs w:val="22"/>
          <w:lang w:eastAsia="es-ES"/>
        </w:rPr>
        <w:t xml:space="preserve"> propuestas habilitadas</w:t>
      </w:r>
      <w:r w:rsidR="0036599E">
        <w:rPr>
          <w:rFonts w:ascii="Arial" w:eastAsia="Arial" w:hAnsi="Arial" w:cs="Arial"/>
          <w:sz w:val="22"/>
          <w:szCs w:val="22"/>
          <w:lang w:eastAsia="es-ES"/>
        </w:rPr>
        <w:t xml:space="preserve">. </w:t>
      </w:r>
      <w:r>
        <w:rPr>
          <w:rFonts w:ascii="Arial" w:eastAsia="Arial" w:hAnsi="Arial" w:cs="Arial"/>
          <w:sz w:val="22"/>
          <w:szCs w:val="22"/>
          <w:lang w:eastAsia="es-ES"/>
        </w:rPr>
        <w:t xml:space="preserve">  </w:t>
      </w:r>
    </w:p>
    <w:p w14:paraId="21B0A563" w14:textId="77777777" w:rsidR="00CF3033" w:rsidRDefault="00CF3033" w:rsidP="00C26B8F">
      <w:pPr>
        <w:pStyle w:val="Textoindependiente"/>
        <w:spacing w:line="276" w:lineRule="auto"/>
        <w:ind w:firstLine="708"/>
        <w:jc w:val="both"/>
        <w:rPr>
          <w:rFonts w:ascii="Arial" w:hAnsi="Arial" w:cs="Arial"/>
          <w:sz w:val="22"/>
          <w:szCs w:val="22"/>
        </w:rPr>
      </w:pPr>
    </w:p>
    <w:p w14:paraId="18B6EE2B" w14:textId="2A81633E" w:rsidR="00124CB2" w:rsidRDefault="00CF3033" w:rsidP="00C26B8F">
      <w:pPr>
        <w:pStyle w:val="Textoindependiente"/>
        <w:spacing w:line="276" w:lineRule="auto"/>
        <w:ind w:firstLine="708"/>
        <w:jc w:val="both"/>
        <w:rPr>
          <w:rFonts w:ascii="Arial" w:hAnsi="Arial" w:cs="Arial"/>
          <w:sz w:val="22"/>
          <w:szCs w:val="22"/>
        </w:rPr>
      </w:pPr>
      <w:r>
        <w:rPr>
          <w:rFonts w:ascii="Arial" w:hAnsi="Arial" w:cs="Arial"/>
          <w:sz w:val="22"/>
          <w:szCs w:val="22"/>
        </w:rPr>
        <w:t xml:space="preserve">Con la finalidad de brindar mayor claridad al respecto, se desarrolla el </w:t>
      </w:r>
      <w:r w:rsidR="00FA007D">
        <w:rPr>
          <w:rFonts w:ascii="Arial" w:hAnsi="Arial" w:cs="Arial"/>
          <w:sz w:val="22"/>
          <w:szCs w:val="22"/>
        </w:rPr>
        <w:t xml:space="preserve">siguiente ejemplo para explicar la forma </w:t>
      </w:r>
      <w:r w:rsidR="00C93117">
        <w:rPr>
          <w:rFonts w:ascii="Arial" w:hAnsi="Arial" w:cs="Arial"/>
          <w:sz w:val="22"/>
          <w:szCs w:val="22"/>
        </w:rPr>
        <w:t>como</w:t>
      </w:r>
      <w:r w:rsidR="00FA007D">
        <w:rPr>
          <w:rFonts w:ascii="Arial" w:hAnsi="Arial" w:cs="Arial"/>
          <w:sz w:val="22"/>
          <w:szCs w:val="22"/>
        </w:rPr>
        <w:t xml:space="preserve"> se aplica la fórmula de la media aritmética </w:t>
      </w:r>
      <w:r w:rsidR="00EF2CCD">
        <w:rPr>
          <w:rFonts w:ascii="Arial" w:hAnsi="Arial" w:cs="Arial"/>
          <w:sz w:val="22"/>
          <w:szCs w:val="22"/>
        </w:rPr>
        <w:t>alta</w:t>
      </w:r>
      <w:r w:rsidR="00A4360E">
        <w:rPr>
          <w:rFonts w:ascii="Arial" w:hAnsi="Arial" w:cs="Arial"/>
          <w:sz w:val="22"/>
          <w:szCs w:val="22"/>
        </w:rPr>
        <w:t>:</w:t>
      </w:r>
    </w:p>
    <w:p w14:paraId="67AA1EA4" w14:textId="77777777" w:rsidR="00DF381C" w:rsidRDefault="00DF381C" w:rsidP="00C26B8F">
      <w:pPr>
        <w:pStyle w:val="Textoindependiente"/>
        <w:spacing w:line="276" w:lineRule="auto"/>
        <w:ind w:firstLine="708"/>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3116"/>
        <w:gridCol w:w="691"/>
        <w:gridCol w:w="591"/>
        <w:gridCol w:w="691"/>
        <w:gridCol w:w="591"/>
      </w:tblGrid>
      <w:tr w:rsidR="00580CA3" w:rsidRPr="00580CA3" w14:paraId="6ACE472C" w14:textId="77777777" w:rsidTr="00A42E11">
        <w:trPr>
          <w:trHeight w:val="20"/>
          <w:tblHeader/>
          <w:jc w:val="center"/>
        </w:trPr>
        <w:tc>
          <w:tcPr>
            <w:tcW w:w="3116" w:type="dxa"/>
            <w:tcBorders>
              <w:top w:val="nil"/>
              <w:left w:val="nil"/>
              <w:bottom w:val="nil"/>
              <w:right w:val="nil"/>
            </w:tcBorders>
            <w:shd w:val="clear" w:color="auto" w:fill="auto"/>
            <w:noWrap/>
            <w:vAlign w:val="bottom"/>
            <w:hideMark/>
          </w:tcPr>
          <w:p w14:paraId="68A3454D" w14:textId="77777777" w:rsidR="00580CA3" w:rsidRPr="00A42E11" w:rsidRDefault="00580CA3" w:rsidP="00580CA3">
            <w:pPr>
              <w:rPr>
                <w:rFonts w:ascii="Arial" w:hAnsi="Arial" w:cs="Arial"/>
                <w:sz w:val="18"/>
                <w:szCs w:val="18"/>
                <w:lang w:eastAsia="es-CO"/>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AA681C6" w14:textId="77777777" w:rsidR="00580CA3" w:rsidRPr="00A42E11" w:rsidRDefault="00580CA3" w:rsidP="00580CA3">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Proponente</w:t>
            </w:r>
          </w:p>
        </w:tc>
      </w:tr>
      <w:tr w:rsidR="00580CA3" w:rsidRPr="00580CA3" w14:paraId="14D097F5" w14:textId="77777777" w:rsidTr="00A42E11">
        <w:trPr>
          <w:trHeight w:val="20"/>
          <w:tblHeader/>
          <w:jc w:val="center"/>
        </w:trPr>
        <w:tc>
          <w:tcPr>
            <w:tcW w:w="3116" w:type="dxa"/>
            <w:tcBorders>
              <w:top w:val="nil"/>
              <w:left w:val="nil"/>
              <w:bottom w:val="nil"/>
              <w:right w:val="nil"/>
            </w:tcBorders>
            <w:shd w:val="clear" w:color="auto" w:fill="auto"/>
            <w:noWrap/>
            <w:vAlign w:val="bottom"/>
            <w:hideMark/>
          </w:tcPr>
          <w:p w14:paraId="23896346" w14:textId="77777777" w:rsidR="00580CA3" w:rsidRPr="00A42E11" w:rsidRDefault="00580CA3" w:rsidP="00580CA3">
            <w:pPr>
              <w:jc w:val="center"/>
              <w:rPr>
                <w:rFonts w:ascii="Arial" w:hAnsi="Arial" w:cs="Arial"/>
                <w:b/>
                <w:bCs/>
                <w:color w:val="000000"/>
                <w:sz w:val="18"/>
                <w:szCs w:val="18"/>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236BD" w14:textId="77777777" w:rsidR="00580CA3" w:rsidRPr="00A42E11" w:rsidRDefault="00580CA3" w:rsidP="00580CA3">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17EAE759" w14:textId="77777777" w:rsidR="00580CA3" w:rsidRPr="00A42E11" w:rsidRDefault="00580CA3" w:rsidP="00580CA3">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B</w:t>
            </w:r>
          </w:p>
        </w:tc>
        <w:tc>
          <w:tcPr>
            <w:tcW w:w="0" w:type="auto"/>
            <w:tcBorders>
              <w:top w:val="nil"/>
              <w:left w:val="nil"/>
              <w:bottom w:val="single" w:sz="4" w:space="0" w:color="auto"/>
              <w:right w:val="single" w:sz="4" w:space="0" w:color="auto"/>
            </w:tcBorders>
            <w:shd w:val="clear" w:color="auto" w:fill="auto"/>
            <w:noWrap/>
            <w:vAlign w:val="center"/>
            <w:hideMark/>
          </w:tcPr>
          <w:p w14:paraId="29BA1062" w14:textId="77777777" w:rsidR="00580CA3" w:rsidRPr="00A42E11" w:rsidRDefault="00580CA3" w:rsidP="00580CA3">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D</w:t>
            </w:r>
          </w:p>
        </w:tc>
        <w:tc>
          <w:tcPr>
            <w:tcW w:w="0" w:type="auto"/>
            <w:tcBorders>
              <w:top w:val="nil"/>
              <w:left w:val="nil"/>
              <w:bottom w:val="single" w:sz="4" w:space="0" w:color="auto"/>
              <w:right w:val="single" w:sz="4" w:space="0" w:color="auto"/>
            </w:tcBorders>
            <w:shd w:val="clear" w:color="auto" w:fill="auto"/>
            <w:noWrap/>
            <w:vAlign w:val="center"/>
            <w:hideMark/>
          </w:tcPr>
          <w:p w14:paraId="62134B47" w14:textId="77777777" w:rsidR="00580CA3" w:rsidRPr="00A42E11" w:rsidRDefault="00580CA3" w:rsidP="00580CA3">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G</w:t>
            </w:r>
          </w:p>
        </w:tc>
      </w:tr>
      <w:tr w:rsidR="00580CA3" w:rsidRPr="00580CA3" w14:paraId="219A8BFE" w14:textId="77777777" w:rsidTr="00A42E11">
        <w:trPr>
          <w:trHeight w:val="20"/>
          <w:jc w:val="center"/>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10643" w14:textId="77777777" w:rsidR="00580CA3" w:rsidRPr="00A42E11" w:rsidRDefault="00580CA3" w:rsidP="00580CA3">
            <w:pPr>
              <w:rPr>
                <w:rFonts w:ascii="Arial" w:hAnsi="Arial" w:cs="Arial"/>
                <w:b/>
                <w:bCs/>
                <w:color w:val="000000"/>
                <w:sz w:val="18"/>
                <w:szCs w:val="18"/>
                <w:lang w:eastAsia="es-CO"/>
              </w:rPr>
            </w:pPr>
            <w:r w:rsidRPr="00A42E11">
              <w:rPr>
                <w:rFonts w:ascii="Arial" w:hAnsi="Arial" w:cs="Arial"/>
                <w:b/>
                <w:bCs/>
                <w:color w:val="000000"/>
                <w:sz w:val="18"/>
                <w:szCs w:val="18"/>
                <w:lang w:eastAsia="es-CO"/>
              </w:rPr>
              <w:t>Promedio de SMMLV que cumplen con la experiencia</w:t>
            </w:r>
          </w:p>
        </w:tc>
        <w:tc>
          <w:tcPr>
            <w:tcW w:w="0" w:type="auto"/>
            <w:tcBorders>
              <w:top w:val="nil"/>
              <w:left w:val="nil"/>
              <w:bottom w:val="single" w:sz="4" w:space="0" w:color="auto"/>
              <w:right w:val="single" w:sz="4" w:space="0" w:color="auto"/>
            </w:tcBorders>
            <w:shd w:val="clear" w:color="auto" w:fill="auto"/>
            <w:noWrap/>
            <w:vAlign w:val="center"/>
            <w:hideMark/>
          </w:tcPr>
          <w:p w14:paraId="733A0C7B" w14:textId="648FE785" w:rsidR="00580CA3" w:rsidRPr="00A42E11" w:rsidRDefault="00580CA3" w:rsidP="00580CA3">
            <w:pPr>
              <w:jc w:val="center"/>
              <w:rPr>
                <w:rFonts w:ascii="Arial" w:hAnsi="Arial" w:cs="Arial"/>
                <w:color w:val="000000"/>
                <w:sz w:val="18"/>
                <w:szCs w:val="18"/>
                <w:lang w:eastAsia="es-CO"/>
              </w:rPr>
            </w:pPr>
            <w:r w:rsidRPr="00A42E11">
              <w:rPr>
                <w:rFonts w:ascii="Arial" w:hAnsi="Arial" w:cs="Arial"/>
                <w:color w:val="000000"/>
                <w:sz w:val="18"/>
                <w:szCs w:val="18"/>
                <w:lang w:eastAsia="es-CO"/>
              </w:rPr>
              <w:t>15.002</w:t>
            </w:r>
          </w:p>
        </w:tc>
        <w:tc>
          <w:tcPr>
            <w:tcW w:w="0" w:type="auto"/>
            <w:tcBorders>
              <w:top w:val="nil"/>
              <w:left w:val="nil"/>
              <w:bottom w:val="single" w:sz="4" w:space="0" w:color="auto"/>
              <w:right w:val="single" w:sz="4" w:space="0" w:color="auto"/>
            </w:tcBorders>
            <w:shd w:val="clear" w:color="auto" w:fill="auto"/>
            <w:noWrap/>
            <w:vAlign w:val="center"/>
            <w:hideMark/>
          </w:tcPr>
          <w:p w14:paraId="14FDCA37" w14:textId="634C07FF" w:rsidR="00580CA3" w:rsidRPr="00A42E11" w:rsidRDefault="00580CA3" w:rsidP="00580CA3">
            <w:pPr>
              <w:jc w:val="center"/>
              <w:rPr>
                <w:rFonts w:ascii="Arial" w:hAnsi="Arial" w:cs="Arial"/>
                <w:color w:val="000000"/>
                <w:sz w:val="18"/>
                <w:szCs w:val="18"/>
                <w:lang w:eastAsia="es-CO"/>
              </w:rPr>
            </w:pPr>
            <w:r w:rsidRPr="00A42E11">
              <w:rPr>
                <w:rFonts w:ascii="Arial" w:hAnsi="Arial" w:cs="Arial"/>
                <w:color w:val="000000"/>
                <w:sz w:val="18"/>
                <w:szCs w:val="18"/>
                <w:lang w:eastAsia="es-CO"/>
              </w:rPr>
              <w:t>7.800</w:t>
            </w:r>
          </w:p>
        </w:tc>
        <w:tc>
          <w:tcPr>
            <w:tcW w:w="0" w:type="auto"/>
            <w:tcBorders>
              <w:top w:val="nil"/>
              <w:left w:val="nil"/>
              <w:bottom w:val="single" w:sz="4" w:space="0" w:color="auto"/>
              <w:right w:val="single" w:sz="4" w:space="0" w:color="auto"/>
            </w:tcBorders>
            <w:shd w:val="clear" w:color="auto" w:fill="auto"/>
            <w:noWrap/>
            <w:vAlign w:val="center"/>
            <w:hideMark/>
          </w:tcPr>
          <w:p w14:paraId="67435973" w14:textId="66663543" w:rsidR="00580CA3" w:rsidRPr="00A42E11" w:rsidRDefault="00580CA3" w:rsidP="00580CA3">
            <w:pPr>
              <w:jc w:val="center"/>
              <w:rPr>
                <w:rFonts w:ascii="Arial" w:hAnsi="Arial" w:cs="Arial"/>
                <w:color w:val="000000"/>
                <w:sz w:val="18"/>
                <w:szCs w:val="18"/>
                <w:lang w:eastAsia="es-CO"/>
              </w:rPr>
            </w:pPr>
            <w:r w:rsidRPr="00A42E11">
              <w:rPr>
                <w:rFonts w:ascii="Arial" w:hAnsi="Arial" w:cs="Arial"/>
                <w:color w:val="000000"/>
                <w:sz w:val="18"/>
                <w:szCs w:val="18"/>
                <w:lang w:eastAsia="es-CO"/>
              </w:rPr>
              <w:t>22.456</w:t>
            </w:r>
          </w:p>
        </w:tc>
        <w:tc>
          <w:tcPr>
            <w:tcW w:w="0" w:type="auto"/>
            <w:tcBorders>
              <w:top w:val="nil"/>
              <w:left w:val="nil"/>
              <w:bottom w:val="single" w:sz="4" w:space="0" w:color="auto"/>
              <w:right w:val="single" w:sz="4" w:space="0" w:color="auto"/>
            </w:tcBorders>
            <w:shd w:val="clear" w:color="auto" w:fill="auto"/>
            <w:noWrap/>
            <w:vAlign w:val="center"/>
            <w:hideMark/>
          </w:tcPr>
          <w:p w14:paraId="1DCB76D5" w14:textId="3EBFA5D5" w:rsidR="00580CA3" w:rsidRPr="00A42E11" w:rsidRDefault="00580CA3" w:rsidP="00580CA3">
            <w:pPr>
              <w:jc w:val="center"/>
              <w:rPr>
                <w:rFonts w:ascii="Arial" w:hAnsi="Arial" w:cs="Arial"/>
                <w:color w:val="000000"/>
                <w:sz w:val="18"/>
                <w:szCs w:val="18"/>
                <w:lang w:eastAsia="es-CO"/>
              </w:rPr>
            </w:pPr>
            <w:r w:rsidRPr="00A42E11">
              <w:rPr>
                <w:rFonts w:ascii="Arial" w:hAnsi="Arial" w:cs="Arial"/>
                <w:color w:val="000000"/>
                <w:sz w:val="18"/>
                <w:szCs w:val="18"/>
                <w:lang w:eastAsia="es-CO"/>
              </w:rPr>
              <w:t>8.978</w:t>
            </w:r>
          </w:p>
        </w:tc>
      </w:tr>
    </w:tbl>
    <w:p w14:paraId="167FEAA2" w14:textId="77777777" w:rsidR="00580CA3" w:rsidRDefault="00580CA3" w:rsidP="00580CA3">
      <w:pPr>
        <w:pStyle w:val="Textoindependiente"/>
        <w:spacing w:line="276" w:lineRule="auto"/>
        <w:jc w:val="both"/>
        <w:rPr>
          <w:rFonts w:ascii="Arial" w:hAnsi="Arial" w:cs="Arial"/>
          <w:sz w:val="22"/>
          <w:szCs w:val="22"/>
        </w:rPr>
      </w:pPr>
    </w:p>
    <w:p w14:paraId="033D28A5" w14:textId="46D58720" w:rsidR="00D14B9D" w:rsidRDefault="00580CA3" w:rsidP="008E0B9B">
      <w:pPr>
        <w:pStyle w:val="Textoindependiente"/>
        <w:spacing w:line="276" w:lineRule="auto"/>
        <w:ind w:firstLine="709"/>
        <w:jc w:val="both"/>
        <w:rPr>
          <w:rFonts w:ascii="Arial" w:hAnsi="Arial" w:cs="Arial"/>
          <w:sz w:val="22"/>
          <w:szCs w:val="22"/>
        </w:rPr>
      </w:pPr>
      <w:r>
        <w:rPr>
          <w:rFonts w:ascii="Arial" w:hAnsi="Arial" w:cs="Arial"/>
          <w:sz w:val="22"/>
          <w:szCs w:val="22"/>
        </w:rPr>
        <w:t xml:space="preserve">En el caso hipotético que se cuenten con un total de 4 proponentes habilitados para aplicar la fórmula de la alternativa de evaluación de la media aritmética </w:t>
      </w:r>
      <w:r w:rsidR="00EF2CCD">
        <w:rPr>
          <w:rFonts w:ascii="Arial" w:hAnsi="Arial" w:cs="Arial"/>
          <w:sz w:val="22"/>
          <w:szCs w:val="22"/>
        </w:rPr>
        <w:t>alta</w:t>
      </w:r>
      <w:r>
        <w:rPr>
          <w:rFonts w:ascii="Arial" w:hAnsi="Arial" w:cs="Arial"/>
          <w:sz w:val="22"/>
          <w:szCs w:val="22"/>
        </w:rPr>
        <w:t xml:space="preserve">, y cuyos promedios de </w:t>
      </w:r>
      <w:r w:rsidR="00D14B9D">
        <w:rPr>
          <w:rFonts w:ascii="Arial" w:hAnsi="Arial" w:cs="Arial"/>
          <w:sz w:val="22"/>
          <w:szCs w:val="22"/>
        </w:rPr>
        <w:t xml:space="preserve">SMMLV de los contratos válidos aportados sea el indicado en la tabla anterior, se procederá a dar aplicación a lo indicado en el literal </w:t>
      </w:r>
      <w:r w:rsidR="00EF2CCD">
        <w:rPr>
          <w:rFonts w:ascii="Arial" w:hAnsi="Arial" w:cs="Arial"/>
          <w:sz w:val="22"/>
          <w:szCs w:val="22"/>
        </w:rPr>
        <w:t>C</w:t>
      </w:r>
      <w:r w:rsidR="00D14B9D" w:rsidRPr="00E0681A">
        <w:rPr>
          <w:rFonts w:ascii="Arial" w:hAnsi="Arial" w:cs="Arial"/>
          <w:sz w:val="22"/>
          <w:szCs w:val="22"/>
        </w:rPr>
        <w:t xml:space="preserve"> del numeral 4.1</w:t>
      </w:r>
      <w:r w:rsidR="00C93117">
        <w:rPr>
          <w:rFonts w:ascii="Arial" w:hAnsi="Arial" w:cs="Arial"/>
          <w:sz w:val="22"/>
          <w:szCs w:val="22"/>
        </w:rPr>
        <w:t xml:space="preserve">. En primer lugar, </w:t>
      </w:r>
      <w:r w:rsidR="002C454A">
        <w:rPr>
          <w:rFonts w:ascii="Arial" w:hAnsi="Arial" w:cs="Arial"/>
          <w:sz w:val="22"/>
          <w:szCs w:val="22"/>
        </w:rPr>
        <w:t xml:space="preserve">es necesario identificar </w:t>
      </w:r>
      <w:r w:rsidR="0027439F">
        <w:rPr>
          <w:rFonts w:ascii="Arial" w:hAnsi="Arial" w:cs="Arial"/>
          <w:sz w:val="22"/>
          <w:szCs w:val="22"/>
        </w:rPr>
        <w:t xml:space="preserve">las variables que inciden en la aplicación de la respectiva ecuación, de la siguiente manera: </w:t>
      </w:r>
    </w:p>
    <w:p w14:paraId="74AE8365" w14:textId="77AD26EB" w:rsidR="0027439F" w:rsidRDefault="0027439F" w:rsidP="00580CA3">
      <w:pPr>
        <w:pStyle w:val="Textoindependiente"/>
        <w:spacing w:line="276" w:lineRule="auto"/>
        <w:jc w:val="both"/>
        <w:rPr>
          <w:rFonts w:ascii="Arial" w:hAnsi="Arial" w:cs="Arial"/>
          <w:sz w:val="22"/>
          <w:szCs w:val="22"/>
        </w:rPr>
      </w:pPr>
    </w:p>
    <w:p w14:paraId="48BAFB9C" w14:textId="102A95BA" w:rsidR="0027439F" w:rsidRPr="00A42E11" w:rsidRDefault="00877A29" w:rsidP="00A42E11">
      <w:pPr>
        <w:pStyle w:val="Textoindependiente"/>
        <w:numPr>
          <w:ilvl w:val="0"/>
          <w:numId w:val="15"/>
        </w:numPr>
        <w:spacing w:line="276" w:lineRule="auto"/>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max</m:t>
            </m:r>
          </m:sub>
        </m:sSub>
        <m:r>
          <w:rPr>
            <w:rFonts w:ascii="Cambria Math" w:hAnsi="Cambria Math" w:cs="Arial"/>
            <w:sz w:val="20"/>
            <w:szCs w:val="20"/>
          </w:rPr>
          <m:t>=Valor total corregido del promedio de los SMMLV válidos más alto</m:t>
        </m:r>
      </m:oMath>
    </w:p>
    <w:p w14:paraId="492D46BD" w14:textId="5BBA1BD0" w:rsidR="00262EC8" w:rsidRPr="00A42E11" w:rsidRDefault="00877A29" w:rsidP="00262EC8">
      <w:pPr>
        <w:pStyle w:val="Textoindependiente"/>
        <w:spacing w:line="276" w:lineRule="auto"/>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max</m:t>
              </m:r>
            </m:sub>
          </m:sSub>
          <m:r>
            <w:rPr>
              <w:rFonts w:ascii="Cambria Math" w:hAnsi="Cambria Math" w:cs="Arial"/>
              <w:sz w:val="20"/>
              <w:szCs w:val="20"/>
            </w:rPr>
            <m:t>=22.456 SMMLV</m:t>
          </m:r>
        </m:oMath>
      </m:oMathPara>
    </w:p>
    <w:p w14:paraId="5798C99C" w14:textId="48030BEA" w:rsidR="00262EC8" w:rsidRDefault="00262EC8" w:rsidP="00580CA3">
      <w:pPr>
        <w:pStyle w:val="Textoindependiente"/>
        <w:spacing w:line="276" w:lineRule="auto"/>
        <w:jc w:val="both"/>
        <w:rPr>
          <w:rFonts w:ascii="Arial" w:hAnsi="Arial" w:cs="Arial"/>
          <w:sz w:val="22"/>
          <w:szCs w:val="22"/>
        </w:rPr>
      </w:pPr>
    </w:p>
    <w:p w14:paraId="1151D1C7" w14:textId="77777777" w:rsidR="00212E9B" w:rsidRPr="00A42E11" w:rsidRDefault="00877A29" w:rsidP="00E94056">
      <w:pPr>
        <w:pStyle w:val="Textoindependiente"/>
        <w:numPr>
          <w:ilvl w:val="0"/>
          <w:numId w:val="15"/>
        </w:numPr>
        <w:spacing w:line="276" w:lineRule="auto"/>
        <w:jc w:val="both"/>
        <w:rPr>
          <w:rFonts w:ascii="Arial" w:hAnsi="Arial" w:cs="Arial"/>
          <w:sz w:val="20"/>
          <w:szCs w:val="20"/>
        </w:rPr>
      </w:pP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 xml:space="preserve">=Promedio aritmético simple de los promedios de los SMMLV </m:t>
        </m:r>
      </m:oMath>
    </w:p>
    <w:p w14:paraId="37ECF3BD" w14:textId="4CB8DC22" w:rsidR="00E94056" w:rsidRPr="00B26A67" w:rsidRDefault="00212E9B" w:rsidP="00A15302">
      <w:pPr>
        <w:pStyle w:val="Textoindependiente"/>
        <w:spacing w:line="276" w:lineRule="auto"/>
        <w:ind w:left="720"/>
        <w:jc w:val="both"/>
        <w:rPr>
          <w:rFonts w:ascii="Arial" w:hAnsi="Arial" w:cs="Arial"/>
          <w:sz w:val="20"/>
          <w:szCs w:val="20"/>
        </w:rPr>
      </w:pPr>
      <m:oMathPara>
        <m:oMath>
          <m:r>
            <w:rPr>
              <w:rFonts w:ascii="Cambria Math" w:hAnsi="Cambria Math" w:cs="Arial"/>
              <w:sz w:val="20"/>
              <w:szCs w:val="20"/>
            </w:rPr>
            <m:t>válidos de las otras propuestas habilitadas</m:t>
          </m:r>
        </m:oMath>
      </m:oMathPara>
    </w:p>
    <w:p w14:paraId="6AE1DABE" w14:textId="77777777" w:rsidR="00B26A67" w:rsidRPr="00A42E11" w:rsidRDefault="00B26A67" w:rsidP="00A42E11">
      <w:pPr>
        <w:pStyle w:val="Textoindependiente"/>
        <w:spacing w:line="276" w:lineRule="auto"/>
        <w:ind w:left="720"/>
        <w:jc w:val="both"/>
        <w:rPr>
          <w:rFonts w:ascii="Arial" w:hAnsi="Arial" w:cs="Arial"/>
          <w:sz w:val="20"/>
          <w:szCs w:val="20"/>
        </w:rPr>
      </w:pPr>
    </w:p>
    <w:p w14:paraId="2BD7B182" w14:textId="2E9AC3E5" w:rsidR="00212E9B" w:rsidRPr="00A42E11" w:rsidRDefault="00877A29" w:rsidP="00A42E11">
      <w:pPr>
        <w:pStyle w:val="Textoindependiente"/>
        <w:spacing w:line="276" w:lineRule="auto"/>
        <w:ind w:left="720"/>
        <w:jc w:val="both"/>
        <w:rPr>
          <w:rFonts w:ascii="Arial" w:hAnsi="Arial" w:cs="Arial"/>
          <w:sz w:val="20"/>
          <w:szCs w:val="20"/>
        </w:rPr>
      </w:pPr>
      <m:oMathPara>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15.002+7.800+8.978</m:t>
              </m:r>
            </m:num>
            <m:den>
              <m:r>
                <w:rPr>
                  <w:rFonts w:ascii="Cambria Math" w:hAnsi="Cambria Math" w:cs="Arial"/>
                  <w:sz w:val="20"/>
                  <w:szCs w:val="20"/>
                </w:rPr>
                <m:t>3</m:t>
              </m:r>
            </m:den>
          </m:f>
          <m:r>
            <w:rPr>
              <w:rFonts w:ascii="Cambria Math" w:hAnsi="Cambria Math" w:cs="Arial"/>
              <w:sz w:val="20"/>
              <w:szCs w:val="20"/>
            </w:rPr>
            <m:t>=10.593 SMMLV</m:t>
          </m:r>
        </m:oMath>
      </m:oMathPara>
    </w:p>
    <w:p w14:paraId="6B8A76B3" w14:textId="77777777" w:rsidR="00D653AF" w:rsidRDefault="00D653AF" w:rsidP="00D653AF">
      <w:pPr>
        <w:pStyle w:val="Textoindependiente"/>
        <w:spacing w:line="276" w:lineRule="auto"/>
        <w:jc w:val="both"/>
        <w:rPr>
          <w:rFonts w:ascii="Arial" w:hAnsi="Arial" w:cs="Arial"/>
          <w:sz w:val="22"/>
          <w:szCs w:val="22"/>
        </w:rPr>
      </w:pPr>
    </w:p>
    <w:p w14:paraId="00AC2346" w14:textId="5BBCD000" w:rsidR="00D653AF" w:rsidRDefault="00D653AF" w:rsidP="00D653AF">
      <w:pPr>
        <w:pStyle w:val="Textoindependiente"/>
        <w:spacing w:line="276" w:lineRule="auto"/>
        <w:jc w:val="both"/>
        <w:rPr>
          <w:rFonts w:ascii="Arial" w:hAnsi="Arial" w:cs="Arial"/>
          <w:sz w:val="22"/>
          <w:szCs w:val="22"/>
        </w:rPr>
      </w:pPr>
      <w:r>
        <w:rPr>
          <w:rFonts w:ascii="Arial" w:hAnsi="Arial" w:cs="Arial"/>
          <w:sz w:val="22"/>
          <w:szCs w:val="22"/>
        </w:rPr>
        <w:t xml:space="preserve">Donde la media aritmética </w:t>
      </w:r>
      <w:r w:rsidR="00EF2CCD">
        <w:rPr>
          <w:rFonts w:ascii="Arial" w:hAnsi="Arial" w:cs="Arial"/>
          <w:sz w:val="22"/>
          <w:szCs w:val="22"/>
        </w:rPr>
        <w:t>alta</w:t>
      </w:r>
      <w:r>
        <w:rPr>
          <w:rFonts w:ascii="Arial" w:hAnsi="Arial" w:cs="Arial"/>
          <w:sz w:val="22"/>
          <w:szCs w:val="22"/>
        </w:rPr>
        <w:t xml:space="preserve"> corresponde a:</w:t>
      </w:r>
    </w:p>
    <w:p w14:paraId="04E0B61E" w14:textId="04130798" w:rsidR="00D653AF" w:rsidRDefault="00D653AF" w:rsidP="00D653AF">
      <w:pPr>
        <w:pStyle w:val="Textoindependiente"/>
        <w:spacing w:line="276" w:lineRule="auto"/>
        <w:jc w:val="both"/>
        <w:rPr>
          <w:rFonts w:ascii="Arial" w:hAnsi="Arial" w:cs="Arial"/>
          <w:sz w:val="22"/>
          <w:szCs w:val="22"/>
        </w:rPr>
      </w:pPr>
    </w:p>
    <w:p w14:paraId="0BBEBB18" w14:textId="0BE724EE" w:rsidR="00D653AF" w:rsidRPr="00B4777E" w:rsidRDefault="00877A29" w:rsidP="00D653AF">
      <w:pPr>
        <w:pStyle w:val="Textoindependiente"/>
        <w:spacing w:line="276" w:lineRule="auto"/>
        <w:ind w:left="720"/>
        <w:jc w:val="both"/>
        <w:rPr>
          <w:rFonts w:ascii="Arial" w:hAnsi="Arial" w:cs="Arial"/>
          <w:sz w:val="20"/>
          <w:szCs w:val="20"/>
        </w:rPr>
      </w:pPr>
      <m:oMathPara>
        <m:oMath>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A</m:t>
                  </m:r>
                </m:sub>
              </m:sSub>
            </m:e>
          </m:acc>
          <m:r>
            <w:rPr>
              <w:rFonts w:ascii="Cambria Math" w:hAnsi="Cambria Math" w:cs="Arial"/>
              <w:sz w:val="20"/>
              <w:szCs w:val="20"/>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max</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r>
            <w:rPr>
              <w:rFonts w:ascii="Cambria Math" w:eastAsia="Arial" w:hAnsi="Cambria Math" w:cs="Arial"/>
              <w:sz w:val="20"/>
              <w:szCs w:val="20"/>
              <w:lang w:eastAsia="es-ES"/>
            </w:rPr>
            <m:t>=</m:t>
          </m:r>
          <m:f>
            <m:fPr>
              <m:ctrlPr>
                <w:rPr>
                  <w:rFonts w:ascii="Cambria Math" w:hAnsi="Cambria Math" w:cs="Arial"/>
                  <w:i/>
                  <w:sz w:val="20"/>
                  <w:szCs w:val="20"/>
                </w:rPr>
              </m:ctrlPr>
            </m:fPr>
            <m:num>
              <m:r>
                <w:rPr>
                  <w:rFonts w:ascii="Cambria Math" w:hAnsi="Cambria Math" w:cs="Arial"/>
                  <w:sz w:val="20"/>
                  <w:szCs w:val="20"/>
                </w:rPr>
                <m:t>22.456+10.593</m:t>
              </m:r>
            </m:num>
            <m:den>
              <m:r>
                <w:rPr>
                  <w:rFonts w:ascii="Cambria Math" w:hAnsi="Cambria Math" w:cs="Arial"/>
                  <w:sz w:val="20"/>
                  <w:szCs w:val="20"/>
                </w:rPr>
                <m:t>2</m:t>
              </m:r>
            </m:den>
          </m:f>
          <m:r>
            <w:rPr>
              <w:rFonts w:ascii="Cambria Math" w:hAnsi="Cambria Math" w:cs="Arial"/>
              <w:sz w:val="20"/>
              <w:szCs w:val="20"/>
            </w:rPr>
            <m:t>=16.524 SMMLV</m:t>
          </m:r>
        </m:oMath>
      </m:oMathPara>
    </w:p>
    <w:p w14:paraId="7DD28021" w14:textId="77777777" w:rsidR="00E17A1E" w:rsidRDefault="00E17A1E" w:rsidP="00D653AF">
      <w:pPr>
        <w:pStyle w:val="Textoindependiente"/>
        <w:spacing w:line="276" w:lineRule="auto"/>
        <w:jc w:val="both"/>
        <w:rPr>
          <w:rFonts w:ascii="Arial" w:hAnsi="Arial" w:cs="Arial"/>
          <w:sz w:val="22"/>
          <w:szCs w:val="22"/>
        </w:rPr>
      </w:pPr>
    </w:p>
    <w:p w14:paraId="69171594" w14:textId="4AAED217" w:rsidR="00D653AF" w:rsidRDefault="00E17A1E" w:rsidP="00D653AF">
      <w:pPr>
        <w:pStyle w:val="Textoindependiente"/>
        <w:spacing w:line="276" w:lineRule="auto"/>
        <w:jc w:val="both"/>
        <w:rPr>
          <w:rFonts w:ascii="Arial" w:hAnsi="Arial" w:cs="Arial"/>
          <w:sz w:val="22"/>
          <w:szCs w:val="22"/>
        </w:rPr>
      </w:pPr>
      <w:r>
        <w:rPr>
          <w:rFonts w:ascii="Arial" w:hAnsi="Arial" w:cs="Arial"/>
          <w:sz w:val="22"/>
          <w:szCs w:val="22"/>
        </w:rPr>
        <w:t xml:space="preserve">Una vez determinada la media aritmética </w:t>
      </w:r>
      <w:r w:rsidR="00EF2CCD">
        <w:rPr>
          <w:rFonts w:ascii="Arial" w:hAnsi="Arial" w:cs="Arial"/>
          <w:sz w:val="22"/>
          <w:szCs w:val="22"/>
        </w:rPr>
        <w:t>alta</w:t>
      </w:r>
      <w:r w:rsidR="00DC52E6">
        <w:rPr>
          <w:rFonts w:ascii="Arial" w:hAnsi="Arial" w:cs="Arial"/>
          <w:sz w:val="22"/>
          <w:szCs w:val="22"/>
        </w:rPr>
        <w:t xml:space="preserve">, se procederá a asignar el puntaje de cada proponente de acuerdo con las dos alternativas según la relación entre </w:t>
      </w:r>
      <w:r w:rsidR="00756A84">
        <w:rPr>
          <w:rFonts w:ascii="Arial" w:hAnsi="Arial" w:cs="Arial"/>
          <w:sz w:val="22"/>
          <w:szCs w:val="22"/>
        </w:rPr>
        <w:t xml:space="preserve">la media aritmética </w:t>
      </w:r>
      <w:r w:rsidR="00EF2CCD">
        <w:rPr>
          <w:rFonts w:ascii="Arial" w:hAnsi="Arial" w:cs="Arial"/>
          <w:sz w:val="22"/>
          <w:szCs w:val="22"/>
        </w:rPr>
        <w:t>alta</w:t>
      </w:r>
      <w:r w:rsidR="00756A84">
        <w:rPr>
          <w:rFonts w:ascii="Arial" w:hAnsi="Arial" w:cs="Arial"/>
          <w:sz w:val="22"/>
          <w:szCs w:val="22"/>
        </w:rPr>
        <w:t xml:space="preserve">, y el valor </w:t>
      </w:r>
      <w:r w:rsidR="00F829A5">
        <w:rPr>
          <w:rFonts w:ascii="Arial" w:hAnsi="Arial" w:cs="Arial"/>
          <w:sz w:val="22"/>
          <w:szCs w:val="22"/>
        </w:rPr>
        <w:t xml:space="preserve">del promedio de los salarios de cada proponente. </w:t>
      </w:r>
    </w:p>
    <w:p w14:paraId="2FBE899C" w14:textId="77777777" w:rsidR="009F7031" w:rsidRDefault="009F7031" w:rsidP="00D653AF">
      <w:pPr>
        <w:pStyle w:val="Textoindependiente"/>
        <w:spacing w:line="276" w:lineRule="auto"/>
        <w:jc w:val="both"/>
        <w:rPr>
          <w:rFonts w:ascii="Arial" w:hAnsi="Arial" w:cs="Arial"/>
          <w:sz w:val="22"/>
          <w:szCs w:val="22"/>
        </w:rPr>
      </w:pPr>
    </w:p>
    <w:p w14:paraId="120D005F" w14:textId="146DB0A9" w:rsidR="00F829A5" w:rsidRDefault="00F829A5" w:rsidP="00D653AF">
      <w:pPr>
        <w:pStyle w:val="Textoindependiente"/>
        <w:spacing w:line="276" w:lineRule="auto"/>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2552"/>
        <w:gridCol w:w="875"/>
        <w:gridCol w:w="968"/>
        <w:gridCol w:w="1134"/>
        <w:gridCol w:w="708"/>
      </w:tblGrid>
      <w:tr w:rsidR="001C4E3B" w:rsidRPr="007825EB" w14:paraId="310E8EAD" w14:textId="77777777" w:rsidTr="00A42E11">
        <w:trPr>
          <w:trHeight w:val="20"/>
          <w:jc w:val="center"/>
        </w:trPr>
        <w:tc>
          <w:tcPr>
            <w:tcW w:w="2552" w:type="dxa"/>
            <w:tcBorders>
              <w:top w:val="nil"/>
              <w:left w:val="nil"/>
              <w:bottom w:val="nil"/>
              <w:right w:val="nil"/>
            </w:tcBorders>
            <w:shd w:val="clear" w:color="auto" w:fill="auto"/>
            <w:noWrap/>
            <w:vAlign w:val="bottom"/>
            <w:hideMark/>
          </w:tcPr>
          <w:p w14:paraId="22BADB64" w14:textId="77777777" w:rsidR="001C4E3B" w:rsidRPr="00A42E11" w:rsidRDefault="001C4E3B" w:rsidP="001C4E3B">
            <w:pPr>
              <w:rPr>
                <w:rFonts w:ascii="Arial" w:hAnsi="Arial" w:cs="Arial"/>
                <w:sz w:val="18"/>
                <w:szCs w:val="18"/>
                <w:lang w:eastAsia="es-CO"/>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7F55E1" w14:textId="77777777" w:rsidR="001C4E3B" w:rsidRPr="00A42E11" w:rsidRDefault="001C4E3B" w:rsidP="001C4E3B">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Proponente</w:t>
            </w:r>
          </w:p>
        </w:tc>
      </w:tr>
      <w:tr w:rsidR="001C4E3B" w:rsidRPr="007825EB" w14:paraId="74B0E252" w14:textId="77777777" w:rsidTr="00A42E11">
        <w:trPr>
          <w:trHeight w:val="20"/>
          <w:jc w:val="center"/>
        </w:trPr>
        <w:tc>
          <w:tcPr>
            <w:tcW w:w="2552" w:type="dxa"/>
            <w:tcBorders>
              <w:top w:val="nil"/>
              <w:left w:val="nil"/>
              <w:bottom w:val="nil"/>
              <w:right w:val="nil"/>
            </w:tcBorders>
            <w:shd w:val="clear" w:color="auto" w:fill="auto"/>
            <w:noWrap/>
            <w:vAlign w:val="bottom"/>
            <w:hideMark/>
          </w:tcPr>
          <w:p w14:paraId="16845918" w14:textId="77777777" w:rsidR="001C4E3B" w:rsidRPr="00A42E11" w:rsidRDefault="001C4E3B" w:rsidP="001C4E3B">
            <w:pPr>
              <w:jc w:val="center"/>
              <w:rPr>
                <w:rFonts w:ascii="Arial" w:hAnsi="Arial" w:cs="Arial"/>
                <w:b/>
                <w:bCs/>
                <w:color w:val="000000"/>
                <w:sz w:val="18"/>
                <w:szCs w:val="18"/>
                <w:lang w:eastAsia="es-CO"/>
              </w:rPr>
            </w:pP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E5AA3D1" w14:textId="77777777" w:rsidR="001C4E3B" w:rsidRPr="00A42E11" w:rsidRDefault="001C4E3B" w:rsidP="001C4E3B">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A</w:t>
            </w:r>
          </w:p>
        </w:tc>
        <w:tc>
          <w:tcPr>
            <w:tcW w:w="968" w:type="dxa"/>
            <w:tcBorders>
              <w:top w:val="nil"/>
              <w:left w:val="nil"/>
              <w:bottom w:val="single" w:sz="4" w:space="0" w:color="auto"/>
              <w:right w:val="single" w:sz="4" w:space="0" w:color="auto"/>
            </w:tcBorders>
            <w:shd w:val="clear" w:color="auto" w:fill="auto"/>
            <w:noWrap/>
            <w:vAlign w:val="center"/>
            <w:hideMark/>
          </w:tcPr>
          <w:p w14:paraId="264B6850" w14:textId="77777777" w:rsidR="001C4E3B" w:rsidRPr="00A42E11" w:rsidRDefault="001C4E3B" w:rsidP="001C4E3B">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B</w:t>
            </w:r>
          </w:p>
        </w:tc>
        <w:tc>
          <w:tcPr>
            <w:tcW w:w="1134" w:type="dxa"/>
            <w:tcBorders>
              <w:top w:val="nil"/>
              <w:left w:val="nil"/>
              <w:bottom w:val="single" w:sz="4" w:space="0" w:color="auto"/>
              <w:right w:val="single" w:sz="4" w:space="0" w:color="auto"/>
            </w:tcBorders>
            <w:shd w:val="clear" w:color="auto" w:fill="auto"/>
            <w:noWrap/>
            <w:vAlign w:val="center"/>
            <w:hideMark/>
          </w:tcPr>
          <w:p w14:paraId="35ED8161" w14:textId="77777777" w:rsidR="001C4E3B" w:rsidRPr="00A42E11" w:rsidRDefault="001C4E3B" w:rsidP="001C4E3B">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D</w:t>
            </w:r>
          </w:p>
        </w:tc>
        <w:tc>
          <w:tcPr>
            <w:tcW w:w="708" w:type="dxa"/>
            <w:tcBorders>
              <w:top w:val="nil"/>
              <w:left w:val="nil"/>
              <w:bottom w:val="single" w:sz="4" w:space="0" w:color="auto"/>
              <w:right w:val="single" w:sz="4" w:space="0" w:color="auto"/>
            </w:tcBorders>
            <w:shd w:val="clear" w:color="auto" w:fill="auto"/>
            <w:noWrap/>
            <w:vAlign w:val="center"/>
            <w:hideMark/>
          </w:tcPr>
          <w:p w14:paraId="7389488B" w14:textId="77777777" w:rsidR="001C4E3B" w:rsidRPr="00A42E11" w:rsidRDefault="001C4E3B" w:rsidP="001C4E3B">
            <w:pPr>
              <w:jc w:val="center"/>
              <w:rPr>
                <w:rFonts w:ascii="Arial" w:hAnsi="Arial" w:cs="Arial"/>
                <w:b/>
                <w:bCs/>
                <w:color w:val="000000"/>
                <w:sz w:val="18"/>
                <w:szCs w:val="18"/>
                <w:lang w:eastAsia="es-CO"/>
              </w:rPr>
            </w:pPr>
            <w:r w:rsidRPr="00A42E11">
              <w:rPr>
                <w:rFonts w:ascii="Arial" w:hAnsi="Arial" w:cs="Arial"/>
                <w:b/>
                <w:bCs/>
                <w:color w:val="000000"/>
                <w:sz w:val="18"/>
                <w:szCs w:val="18"/>
                <w:lang w:eastAsia="es-CO"/>
              </w:rPr>
              <w:t>G</w:t>
            </w:r>
          </w:p>
        </w:tc>
      </w:tr>
      <w:tr w:rsidR="001C4E3B" w:rsidRPr="007825EB" w14:paraId="4F0C4912" w14:textId="77777777" w:rsidTr="00A42E11">
        <w:trPr>
          <w:trHeight w:val="20"/>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75E4C" w14:textId="77777777" w:rsidR="001C4E3B" w:rsidRPr="00A42E11" w:rsidRDefault="001C4E3B" w:rsidP="001C4E3B">
            <w:pPr>
              <w:rPr>
                <w:rFonts w:ascii="Arial" w:hAnsi="Arial" w:cs="Arial"/>
                <w:b/>
                <w:bCs/>
                <w:color w:val="000000"/>
                <w:sz w:val="18"/>
                <w:szCs w:val="18"/>
                <w:lang w:eastAsia="es-CO"/>
              </w:rPr>
            </w:pPr>
            <w:r w:rsidRPr="00A42E11">
              <w:rPr>
                <w:rFonts w:ascii="Arial" w:hAnsi="Arial" w:cs="Arial"/>
                <w:b/>
                <w:bCs/>
                <w:color w:val="000000"/>
                <w:sz w:val="18"/>
                <w:szCs w:val="18"/>
                <w:lang w:eastAsia="es-CO"/>
              </w:rPr>
              <w:t>Promedio de SMMLV que cumplen con la experiencia</w:t>
            </w:r>
          </w:p>
        </w:tc>
        <w:tc>
          <w:tcPr>
            <w:tcW w:w="875" w:type="dxa"/>
            <w:tcBorders>
              <w:top w:val="nil"/>
              <w:left w:val="nil"/>
              <w:bottom w:val="single" w:sz="4" w:space="0" w:color="auto"/>
              <w:right w:val="single" w:sz="4" w:space="0" w:color="auto"/>
            </w:tcBorders>
            <w:shd w:val="clear" w:color="auto" w:fill="auto"/>
            <w:noWrap/>
            <w:vAlign w:val="center"/>
            <w:hideMark/>
          </w:tcPr>
          <w:p w14:paraId="071962DA" w14:textId="7E4FA435" w:rsidR="001C4E3B" w:rsidRPr="00A42E11" w:rsidRDefault="001C4E3B" w:rsidP="001C4E3B">
            <w:pPr>
              <w:jc w:val="center"/>
              <w:rPr>
                <w:rFonts w:ascii="Arial" w:hAnsi="Arial" w:cs="Arial"/>
                <w:color w:val="000000"/>
                <w:sz w:val="18"/>
                <w:szCs w:val="18"/>
                <w:lang w:eastAsia="es-CO"/>
              </w:rPr>
            </w:pPr>
            <w:r w:rsidRPr="00A42E11">
              <w:rPr>
                <w:rFonts w:ascii="Arial" w:hAnsi="Arial" w:cs="Arial"/>
                <w:color w:val="000000"/>
                <w:sz w:val="18"/>
                <w:szCs w:val="18"/>
                <w:lang w:eastAsia="es-CO"/>
              </w:rPr>
              <w:t>15.002</w:t>
            </w:r>
          </w:p>
        </w:tc>
        <w:tc>
          <w:tcPr>
            <w:tcW w:w="968" w:type="dxa"/>
            <w:tcBorders>
              <w:top w:val="nil"/>
              <w:left w:val="nil"/>
              <w:bottom w:val="single" w:sz="4" w:space="0" w:color="auto"/>
              <w:right w:val="single" w:sz="4" w:space="0" w:color="auto"/>
            </w:tcBorders>
            <w:shd w:val="clear" w:color="auto" w:fill="auto"/>
            <w:noWrap/>
            <w:vAlign w:val="center"/>
            <w:hideMark/>
          </w:tcPr>
          <w:p w14:paraId="73F2057B" w14:textId="5FE284DB" w:rsidR="001C4E3B" w:rsidRPr="00A42E11" w:rsidRDefault="001C4E3B" w:rsidP="001C4E3B">
            <w:pPr>
              <w:jc w:val="center"/>
              <w:rPr>
                <w:rFonts w:ascii="Arial" w:hAnsi="Arial" w:cs="Arial"/>
                <w:color w:val="000000"/>
                <w:sz w:val="18"/>
                <w:szCs w:val="18"/>
                <w:lang w:eastAsia="es-CO"/>
              </w:rPr>
            </w:pPr>
            <w:r w:rsidRPr="00A42E11">
              <w:rPr>
                <w:rFonts w:ascii="Arial" w:hAnsi="Arial" w:cs="Arial"/>
                <w:color w:val="000000"/>
                <w:sz w:val="18"/>
                <w:szCs w:val="18"/>
                <w:lang w:eastAsia="es-CO"/>
              </w:rPr>
              <w:t>7.800</w:t>
            </w:r>
          </w:p>
        </w:tc>
        <w:tc>
          <w:tcPr>
            <w:tcW w:w="1134" w:type="dxa"/>
            <w:tcBorders>
              <w:top w:val="nil"/>
              <w:left w:val="nil"/>
              <w:bottom w:val="single" w:sz="4" w:space="0" w:color="auto"/>
              <w:right w:val="single" w:sz="4" w:space="0" w:color="auto"/>
            </w:tcBorders>
            <w:shd w:val="clear" w:color="auto" w:fill="auto"/>
            <w:noWrap/>
            <w:vAlign w:val="center"/>
            <w:hideMark/>
          </w:tcPr>
          <w:p w14:paraId="26C93A0B" w14:textId="44E9A0A1" w:rsidR="001C4E3B" w:rsidRPr="00A42E11" w:rsidRDefault="001C4E3B" w:rsidP="001C4E3B">
            <w:pPr>
              <w:jc w:val="center"/>
              <w:rPr>
                <w:rFonts w:ascii="Arial" w:hAnsi="Arial" w:cs="Arial"/>
                <w:color w:val="000000"/>
                <w:sz w:val="18"/>
                <w:szCs w:val="18"/>
                <w:lang w:eastAsia="es-CO"/>
              </w:rPr>
            </w:pPr>
            <w:r w:rsidRPr="00A42E11">
              <w:rPr>
                <w:rFonts w:ascii="Arial" w:hAnsi="Arial" w:cs="Arial"/>
                <w:color w:val="000000"/>
                <w:sz w:val="18"/>
                <w:szCs w:val="18"/>
                <w:lang w:eastAsia="es-CO"/>
              </w:rPr>
              <w:t>22.456</w:t>
            </w:r>
          </w:p>
        </w:tc>
        <w:tc>
          <w:tcPr>
            <w:tcW w:w="708" w:type="dxa"/>
            <w:tcBorders>
              <w:top w:val="nil"/>
              <w:left w:val="nil"/>
              <w:bottom w:val="single" w:sz="4" w:space="0" w:color="auto"/>
              <w:right w:val="single" w:sz="4" w:space="0" w:color="auto"/>
            </w:tcBorders>
            <w:shd w:val="clear" w:color="auto" w:fill="auto"/>
            <w:noWrap/>
            <w:vAlign w:val="center"/>
            <w:hideMark/>
          </w:tcPr>
          <w:p w14:paraId="10C4834D" w14:textId="6A278636" w:rsidR="001C4E3B" w:rsidRPr="00A42E11" w:rsidRDefault="001C4E3B" w:rsidP="001C4E3B">
            <w:pPr>
              <w:jc w:val="center"/>
              <w:rPr>
                <w:rFonts w:ascii="Arial" w:hAnsi="Arial" w:cs="Arial"/>
                <w:color w:val="000000"/>
                <w:sz w:val="18"/>
                <w:szCs w:val="18"/>
                <w:lang w:eastAsia="es-CO"/>
              </w:rPr>
            </w:pPr>
            <w:r w:rsidRPr="00A42E11">
              <w:rPr>
                <w:rFonts w:ascii="Arial" w:hAnsi="Arial" w:cs="Arial"/>
                <w:color w:val="000000"/>
                <w:sz w:val="18"/>
                <w:szCs w:val="18"/>
                <w:lang w:eastAsia="es-CO"/>
              </w:rPr>
              <w:t>8.978</w:t>
            </w:r>
          </w:p>
        </w:tc>
      </w:tr>
      <w:tr w:rsidR="00594BD3" w:rsidRPr="007825EB" w14:paraId="20768CC5" w14:textId="77777777" w:rsidTr="00A42E11">
        <w:trPr>
          <w:trHeight w:val="20"/>
          <w:jc w:val="center"/>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B23CD1D" w14:textId="77777777" w:rsidR="00594BD3" w:rsidRPr="00A42E11" w:rsidRDefault="00594BD3" w:rsidP="00594BD3">
            <w:pPr>
              <w:rPr>
                <w:rFonts w:ascii="Arial" w:hAnsi="Arial" w:cs="Arial"/>
                <w:b/>
                <w:bCs/>
                <w:color w:val="000000"/>
                <w:sz w:val="18"/>
                <w:szCs w:val="18"/>
                <w:lang w:eastAsia="es-CO"/>
              </w:rPr>
            </w:pPr>
            <w:r w:rsidRPr="00A42E11">
              <w:rPr>
                <w:rFonts w:ascii="Arial" w:hAnsi="Arial" w:cs="Arial"/>
                <w:b/>
                <w:bCs/>
                <w:color w:val="000000"/>
                <w:sz w:val="18"/>
                <w:szCs w:val="18"/>
                <w:lang w:eastAsia="es-CO"/>
              </w:rPr>
              <w:t>Puntaje a asignar</w:t>
            </w:r>
          </w:p>
        </w:tc>
        <w:tc>
          <w:tcPr>
            <w:tcW w:w="875" w:type="dxa"/>
            <w:tcBorders>
              <w:top w:val="nil"/>
              <w:left w:val="nil"/>
              <w:bottom w:val="single" w:sz="4" w:space="0" w:color="auto"/>
              <w:right w:val="single" w:sz="4" w:space="0" w:color="auto"/>
            </w:tcBorders>
            <w:shd w:val="clear" w:color="auto" w:fill="auto"/>
            <w:noWrap/>
            <w:vAlign w:val="center"/>
            <w:hideMark/>
          </w:tcPr>
          <w:p w14:paraId="77807D71" w14:textId="3D80741C" w:rsidR="00594BD3" w:rsidRPr="00DF381C" w:rsidRDefault="00594BD3" w:rsidP="00594BD3">
            <w:pPr>
              <w:jc w:val="center"/>
              <w:rPr>
                <w:rFonts w:ascii="Arial" w:hAnsi="Arial" w:cs="Arial"/>
                <w:color w:val="000000"/>
                <w:sz w:val="18"/>
                <w:szCs w:val="18"/>
                <w:highlight w:val="yellow"/>
                <w:lang w:eastAsia="es-CO"/>
              </w:rPr>
            </w:pPr>
            <w:r>
              <w:rPr>
                <w:rFonts w:ascii="Arial" w:hAnsi="Arial" w:cs="Arial"/>
                <w:color w:val="000000"/>
                <w:sz w:val="18"/>
                <w:szCs w:val="18"/>
              </w:rPr>
              <w:t>61,7</w:t>
            </w:r>
          </w:p>
        </w:tc>
        <w:tc>
          <w:tcPr>
            <w:tcW w:w="968" w:type="dxa"/>
            <w:tcBorders>
              <w:top w:val="nil"/>
              <w:left w:val="nil"/>
              <w:bottom w:val="single" w:sz="4" w:space="0" w:color="auto"/>
              <w:right w:val="single" w:sz="4" w:space="0" w:color="auto"/>
            </w:tcBorders>
            <w:shd w:val="clear" w:color="auto" w:fill="auto"/>
            <w:noWrap/>
            <w:vAlign w:val="center"/>
            <w:hideMark/>
          </w:tcPr>
          <w:p w14:paraId="175942D4" w14:textId="03F3321D" w:rsidR="00594BD3" w:rsidRPr="00DF381C" w:rsidRDefault="00594BD3" w:rsidP="00594BD3">
            <w:pPr>
              <w:jc w:val="center"/>
              <w:rPr>
                <w:rFonts w:ascii="Arial" w:hAnsi="Arial" w:cs="Arial"/>
                <w:color w:val="000000"/>
                <w:sz w:val="18"/>
                <w:szCs w:val="18"/>
                <w:highlight w:val="yellow"/>
                <w:lang w:eastAsia="es-CO"/>
              </w:rPr>
            </w:pPr>
            <w:r>
              <w:rPr>
                <w:rFonts w:ascii="Arial" w:hAnsi="Arial" w:cs="Arial"/>
                <w:color w:val="000000"/>
                <w:sz w:val="18"/>
                <w:szCs w:val="18"/>
              </w:rPr>
              <w:t>32,1</w:t>
            </w:r>
          </w:p>
        </w:tc>
        <w:tc>
          <w:tcPr>
            <w:tcW w:w="1134" w:type="dxa"/>
            <w:tcBorders>
              <w:top w:val="nil"/>
              <w:left w:val="nil"/>
              <w:bottom w:val="single" w:sz="4" w:space="0" w:color="auto"/>
              <w:right w:val="single" w:sz="4" w:space="0" w:color="auto"/>
            </w:tcBorders>
            <w:shd w:val="clear" w:color="auto" w:fill="auto"/>
            <w:noWrap/>
            <w:vAlign w:val="center"/>
            <w:hideMark/>
          </w:tcPr>
          <w:p w14:paraId="56656C59" w14:textId="23D63125" w:rsidR="00594BD3" w:rsidRPr="00DF381C" w:rsidRDefault="00594BD3" w:rsidP="00594BD3">
            <w:pPr>
              <w:jc w:val="center"/>
              <w:rPr>
                <w:rFonts w:ascii="Arial" w:hAnsi="Arial" w:cs="Arial"/>
                <w:color w:val="000000"/>
                <w:sz w:val="18"/>
                <w:szCs w:val="18"/>
                <w:highlight w:val="yellow"/>
                <w:lang w:eastAsia="es-CO"/>
              </w:rPr>
            </w:pPr>
            <w:r>
              <w:rPr>
                <w:rFonts w:ascii="Arial" w:hAnsi="Arial" w:cs="Arial"/>
                <w:color w:val="000000"/>
                <w:sz w:val="18"/>
                <w:szCs w:val="18"/>
              </w:rPr>
              <w:t>19,2</w:t>
            </w:r>
          </w:p>
        </w:tc>
        <w:tc>
          <w:tcPr>
            <w:tcW w:w="708" w:type="dxa"/>
            <w:tcBorders>
              <w:top w:val="nil"/>
              <w:left w:val="nil"/>
              <w:bottom w:val="single" w:sz="4" w:space="0" w:color="auto"/>
              <w:right w:val="single" w:sz="4" w:space="0" w:color="auto"/>
            </w:tcBorders>
            <w:shd w:val="clear" w:color="auto" w:fill="auto"/>
            <w:noWrap/>
            <w:vAlign w:val="center"/>
            <w:hideMark/>
          </w:tcPr>
          <w:p w14:paraId="0BFA680E" w14:textId="6B280B2A" w:rsidR="00594BD3" w:rsidRPr="00DF381C" w:rsidRDefault="00594BD3" w:rsidP="00594BD3">
            <w:pPr>
              <w:jc w:val="center"/>
              <w:rPr>
                <w:rFonts w:ascii="Arial" w:hAnsi="Arial" w:cs="Arial"/>
                <w:color w:val="000000"/>
                <w:sz w:val="18"/>
                <w:szCs w:val="18"/>
                <w:highlight w:val="yellow"/>
                <w:lang w:eastAsia="es-CO"/>
              </w:rPr>
            </w:pPr>
            <w:r>
              <w:rPr>
                <w:rFonts w:ascii="Arial" w:hAnsi="Arial" w:cs="Arial"/>
                <w:color w:val="000000"/>
                <w:sz w:val="18"/>
                <w:szCs w:val="18"/>
              </w:rPr>
              <w:t>36,9</w:t>
            </w:r>
          </w:p>
        </w:tc>
      </w:tr>
    </w:tbl>
    <w:p w14:paraId="4F1EEEB4" w14:textId="22F988F7" w:rsidR="00F829A5" w:rsidRDefault="00F829A5" w:rsidP="00D653AF">
      <w:pPr>
        <w:pStyle w:val="Textoindependiente"/>
        <w:spacing w:line="276" w:lineRule="auto"/>
        <w:jc w:val="both"/>
        <w:rPr>
          <w:rFonts w:ascii="Arial" w:hAnsi="Arial" w:cs="Arial"/>
          <w:sz w:val="22"/>
          <w:szCs w:val="22"/>
        </w:rPr>
      </w:pPr>
    </w:p>
    <w:p w14:paraId="5A083648" w14:textId="249E7872" w:rsidR="00272741" w:rsidRDefault="002009B3" w:rsidP="00D653AF">
      <w:pPr>
        <w:pStyle w:val="Textoindependiente"/>
        <w:spacing w:line="276" w:lineRule="auto"/>
        <w:jc w:val="both"/>
        <w:rPr>
          <w:rFonts w:ascii="Arial" w:hAnsi="Arial" w:cs="Arial"/>
          <w:sz w:val="22"/>
          <w:szCs w:val="22"/>
        </w:rPr>
      </w:pPr>
      <w:r>
        <w:rPr>
          <w:rFonts w:ascii="Arial" w:hAnsi="Arial" w:cs="Arial"/>
          <w:sz w:val="22"/>
          <w:szCs w:val="22"/>
        </w:rPr>
        <w:t xml:space="preserve">Por lo cual, la entidad analizará si el valor promedio de SMMLV de los contratos válidos de cada proponente es mayor o menor a la media aritmética </w:t>
      </w:r>
      <w:r w:rsidR="009C51F7">
        <w:rPr>
          <w:rFonts w:ascii="Arial" w:hAnsi="Arial" w:cs="Arial"/>
          <w:sz w:val="22"/>
          <w:szCs w:val="22"/>
        </w:rPr>
        <w:t>alta</w:t>
      </w:r>
      <w:r>
        <w:rPr>
          <w:rFonts w:ascii="Arial" w:hAnsi="Arial" w:cs="Arial"/>
          <w:sz w:val="22"/>
          <w:szCs w:val="22"/>
        </w:rPr>
        <w:t xml:space="preserve">, con la finalidad </w:t>
      </w:r>
      <w:r w:rsidR="007825EB">
        <w:rPr>
          <w:rFonts w:ascii="Arial" w:hAnsi="Arial" w:cs="Arial"/>
          <w:sz w:val="22"/>
          <w:szCs w:val="22"/>
        </w:rPr>
        <w:t>de establecer la f</w:t>
      </w:r>
      <w:r w:rsidR="009C51F7">
        <w:rPr>
          <w:rFonts w:ascii="Arial" w:hAnsi="Arial" w:cs="Arial"/>
          <w:sz w:val="22"/>
          <w:szCs w:val="22"/>
        </w:rPr>
        <w:t>ó</w:t>
      </w:r>
      <w:r w:rsidR="007825EB">
        <w:rPr>
          <w:rFonts w:ascii="Arial" w:hAnsi="Arial" w:cs="Arial"/>
          <w:sz w:val="22"/>
          <w:szCs w:val="22"/>
        </w:rPr>
        <w:t xml:space="preserve">rmula respectiva de asignación de puntaje. </w:t>
      </w:r>
    </w:p>
    <w:p w14:paraId="5149CF33" w14:textId="3BB1E390" w:rsidR="00124CB2" w:rsidRDefault="00124CB2" w:rsidP="00124CB2">
      <w:pPr>
        <w:pStyle w:val="Textoindependiente"/>
        <w:spacing w:line="276" w:lineRule="auto"/>
        <w:jc w:val="both"/>
        <w:rPr>
          <w:rFonts w:ascii="Arial" w:hAnsi="Arial" w:cs="Arial"/>
          <w:b/>
          <w:bCs/>
        </w:rPr>
      </w:pPr>
    </w:p>
    <w:p w14:paraId="3273E680" w14:textId="77777777" w:rsidR="009F7031" w:rsidRPr="009C0CE5" w:rsidRDefault="009F7031" w:rsidP="00124CB2">
      <w:pPr>
        <w:pStyle w:val="Textoindependiente"/>
        <w:spacing w:line="276" w:lineRule="auto"/>
        <w:jc w:val="both"/>
        <w:rPr>
          <w:rFonts w:ascii="Arial" w:hAnsi="Arial" w:cs="Arial"/>
          <w:b/>
          <w:bCs/>
        </w:rPr>
      </w:pPr>
    </w:p>
    <w:p w14:paraId="51129439" w14:textId="754FF7BA" w:rsidR="007A2749" w:rsidRPr="00E0681A" w:rsidRDefault="00CE4A35" w:rsidP="00CE4A35">
      <w:pPr>
        <w:rPr>
          <w:rFonts w:ascii="Arial" w:hAnsi="Arial" w:cs="Arial"/>
          <w:b/>
          <w:bCs/>
          <w:sz w:val="22"/>
          <w:szCs w:val="22"/>
        </w:rPr>
      </w:pPr>
      <w:r w:rsidRPr="00E0681A">
        <w:rPr>
          <w:rFonts w:ascii="Arial" w:hAnsi="Arial" w:cs="Arial"/>
          <w:b/>
          <w:bCs/>
          <w:sz w:val="22"/>
          <w:szCs w:val="22"/>
        </w:rPr>
        <w:t xml:space="preserve">3. </w:t>
      </w:r>
      <w:r w:rsidR="00414696" w:rsidRPr="00E0681A">
        <w:rPr>
          <w:rFonts w:ascii="Arial" w:hAnsi="Arial" w:cs="Arial"/>
          <w:b/>
          <w:bCs/>
          <w:sz w:val="22"/>
          <w:szCs w:val="22"/>
        </w:rPr>
        <w:t>R</w:t>
      </w:r>
      <w:r w:rsidRPr="00E0681A">
        <w:rPr>
          <w:rFonts w:ascii="Arial" w:hAnsi="Arial" w:cs="Arial"/>
          <w:b/>
          <w:bCs/>
          <w:sz w:val="22"/>
          <w:szCs w:val="22"/>
        </w:rPr>
        <w:t xml:space="preserve">espuesta </w:t>
      </w:r>
    </w:p>
    <w:p w14:paraId="17DFA291" w14:textId="77777777" w:rsidR="00CE4A35" w:rsidRPr="009C0CE5" w:rsidRDefault="00CE4A35" w:rsidP="00CE4A35">
      <w:pPr>
        <w:rPr>
          <w:rFonts w:ascii="Arial" w:hAnsi="Arial" w:cs="Arial"/>
          <w:b/>
          <w:bCs/>
        </w:rPr>
      </w:pPr>
    </w:p>
    <w:p w14:paraId="0641A08B" w14:textId="35A7447B" w:rsidR="00CE4A35" w:rsidRPr="009C0CE5" w:rsidRDefault="0010350A" w:rsidP="004D6E48">
      <w:pPr>
        <w:tabs>
          <w:tab w:val="left" w:pos="1545"/>
        </w:tabs>
        <w:spacing w:after="120"/>
        <w:ind w:left="709" w:right="709"/>
        <w:jc w:val="both"/>
        <w:rPr>
          <w:rFonts w:ascii="Arial" w:hAnsi="Arial" w:cs="Arial"/>
          <w:sz w:val="21"/>
          <w:szCs w:val="21"/>
        </w:rPr>
      </w:pPr>
      <w:r w:rsidRPr="0010350A">
        <w:rPr>
          <w:rFonts w:ascii="Arial" w:hAnsi="Arial" w:cs="Arial"/>
          <w:sz w:val="21"/>
          <w:szCs w:val="21"/>
        </w:rPr>
        <w:t>«[…] aclare la manera correcta de utilizar el m</w:t>
      </w:r>
      <w:r w:rsidR="00E3124E">
        <w:rPr>
          <w:rFonts w:ascii="Arial" w:hAnsi="Arial" w:cs="Arial"/>
          <w:sz w:val="21"/>
          <w:szCs w:val="21"/>
        </w:rPr>
        <w:t>é</w:t>
      </w:r>
      <w:r w:rsidRPr="0010350A">
        <w:rPr>
          <w:rFonts w:ascii="Arial" w:hAnsi="Arial" w:cs="Arial"/>
          <w:sz w:val="21"/>
          <w:szCs w:val="21"/>
        </w:rPr>
        <w:t>todo de MEDIA ARITM</w:t>
      </w:r>
      <w:r w:rsidR="00E3124E">
        <w:rPr>
          <w:rFonts w:ascii="Arial" w:hAnsi="Arial" w:cs="Arial"/>
          <w:sz w:val="21"/>
          <w:szCs w:val="21"/>
        </w:rPr>
        <w:t>É</w:t>
      </w:r>
      <w:r w:rsidRPr="0010350A">
        <w:rPr>
          <w:rFonts w:ascii="Arial" w:hAnsi="Arial" w:cs="Arial"/>
          <w:sz w:val="21"/>
          <w:szCs w:val="21"/>
        </w:rPr>
        <w:t>TICA ALTA, específicamente en la interpretación de las variables que componen la fórmula utilizada para calcularla, pues en varios concursos de méritos en que hemos participado se han interpretado de dos maneras diferentes […]».</w:t>
      </w:r>
      <w:r w:rsidR="00CE4A35" w:rsidRPr="009C0CE5">
        <w:rPr>
          <w:rFonts w:ascii="Arial" w:hAnsi="Arial" w:cs="Arial"/>
          <w:sz w:val="21"/>
          <w:szCs w:val="21"/>
        </w:rPr>
        <w:t xml:space="preserve"> </w:t>
      </w:r>
    </w:p>
    <w:p w14:paraId="59E3A9E7" w14:textId="77777777" w:rsidR="004D6E48" w:rsidRDefault="004D6E48" w:rsidP="00FB7A53">
      <w:pPr>
        <w:jc w:val="both"/>
      </w:pPr>
    </w:p>
    <w:p w14:paraId="59B822A7" w14:textId="6CFAED3C" w:rsidR="00D50BF6" w:rsidRPr="00E0681A" w:rsidRDefault="00D50BF6" w:rsidP="00D50BF6">
      <w:pPr>
        <w:spacing w:line="276" w:lineRule="auto"/>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D</w:t>
      </w:r>
      <w:r w:rsidRPr="00E0681A">
        <w:rPr>
          <w:rFonts w:ascii="Arial" w:eastAsia="Calibri" w:hAnsi="Arial" w:cs="Arial"/>
          <w:color w:val="000000"/>
          <w:sz w:val="22"/>
          <w:szCs w:val="22"/>
          <w:lang w:val="es-ES_tradnl"/>
        </w:rPr>
        <w:t xml:space="preserve">e acuerdo con las consideraciones antes expuestas, una vez escogido el método de ponderación de forma aleatoria, si este corresponde a la media aritmética </w:t>
      </w:r>
      <w:r w:rsidR="009C51F7">
        <w:rPr>
          <w:rFonts w:ascii="Arial" w:eastAsia="Calibri" w:hAnsi="Arial" w:cs="Arial"/>
          <w:color w:val="000000"/>
          <w:sz w:val="22"/>
          <w:szCs w:val="22"/>
          <w:lang w:val="es-ES_tradnl"/>
        </w:rPr>
        <w:t>alta</w:t>
      </w:r>
      <w:r w:rsidRPr="00E0681A">
        <w:rPr>
          <w:rFonts w:ascii="Arial" w:eastAsia="Calibri" w:hAnsi="Arial" w:cs="Arial"/>
          <w:color w:val="000000"/>
          <w:sz w:val="22"/>
          <w:szCs w:val="22"/>
          <w:lang w:val="es-ES_tradnl"/>
        </w:rPr>
        <w:t xml:space="preserve">, la fórmula prevista en el literal </w:t>
      </w:r>
      <w:r w:rsidR="009C51F7">
        <w:rPr>
          <w:rFonts w:ascii="Arial" w:hAnsi="Arial" w:cs="Arial"/>
          <w:sz w:val="22"/>
          <w:szCs w:val="22"/>
        </w:rPr>
        <w:t>C</w:t>
      </w:r>
      <w:r w:rsidRPr="00E0681A">
        <w:rPr>
          <w:rFonts w:ascii="Arial" w:hAnsi="Arial" w:cs="Arial"/>
          <w:sz w:val="22"/>
          <w:szCs w:val="22"/>
        </w:rPr>
        <w:t xml:space="preserve"> del numeral 4.1 «FORMA DE VERIFICACIÓN Y ASIGNACIÓN DE PUNTAJE POR LA EXPERIENCIA DEL PROPONENTE»</w:t>
      </w:r>
      <w:r w:rsidRPr="00E0681A">
        <w:rPr>
          <w:rFonts w:ascii="Arial" w:eastAsia="Calibri" w:hAnsi="Arial" w:cs="Arial"/>
          <w:color w:val="000000"/>
          <w:sz w:val="22"/>
          <w:szCs w:val="22"/>
          <w:lang w:val="es-ES_tradnl"/>
        </w:rPr>
        <w:t xml:space="preserve"> del Documento Base es: </w:t>
      </w:r>
    </w:p>
    <w:p w14:paraId="081635A4" w14:textId="235E9884" w:rsidR="00D50BF6" w:rsidRDefault="00D50BF6" w:rsidP="00D50BF6">
      <w:pPr>
        <w:spacing w:line="276" w:lineRule="auto"/>
        <w:ind w:firstLine="709"/>
        <w:jc w:val="both"/>
        <w:rPr>
          <w:rFonts w:ascii="Arial" w:eastAsia="Calibri" w:hAnsi="Arial" w:cs="Arial"/>
          <w:color w:val="000000"/>
          <w:lang w:val="es-ES_tradnl"/>
        </w:rPr>
      </w:pPr>
    </w:p>
    <w:p w14:paraId="7F0DB586" w14:textId="4BF9D103" w:rsidR="009F7031" w:rsidRDefault="009F7031" w:rsidP="00D50BF6">
      <w:pPr>
        <w:spacing w:line="276" w:lineRule="auto"/>
        <w:ind w:firstLine="709"/>
        <w:jc w:val="both"/>
        <w:rPr>
          <w:rFonts w:ascii="Arial" w:eastAsia="Calibri" w:hAnsi="Arial" w:cs="Arial"/>
          <w:color w:val="000000"/>
          <w:lang w:val="es-ES_tradnl"/>
        </w:rPr>
      </w:pPr>
    </w:p>
    <w:p w14:paraId="49D43954" w14:textId="77777777" w:rsidR="009F7031" w:rsidRDefault="009F7031" w:rsidP="00D50BF6">
      <w:pPr>
        <w:spacing w:line="276" w:lineRule="auto"/>
        <w:ind w:firstLine="709"/>
        <w:jc w:val="both"/>
        <w:rPr>
          <w:rFonts w:ascii="Arial" w:eastAsia="Calibri" w:hAnsi="Arial" w:cs="Arial"/>
          <w:color w:val="000000"/>
          <w:lang w:val="es-ES_tradnl"/>
        </w:rPr>
      </w:pPr>
    </w:p>
    <w:p w14:paraId="07714477" w14:textId="77777777" w:rsidR="009C51F7" w:rsidRPr="00EF2CCD" w:rsidRDefault="009C51F7" w:rsidP="009C51F7">
      <w:pPr>
        <w:pStyle w:val="Prrafodelista"/>
        <w:numPr>
          <w:ilvl w:val="0"/>
          <w:numId w:val="19"/>
        </w:numPr>
        <w:ind w:right="616"/>
        <w:contextualSpacing/>
        <w:rPr>
          <w:rFonts w:ascii="Arial" w:eastAsia="Calibri" w:hAnsi="Arial" w:cs="Arial"/>
          <w:b/>
          <w:bCs/>
          <w:sz w:val="20"/>
          <w:szCs w:val="22"/>
          <w:lang w:eastAsia="en-US"/>
        </w:rPr>
      </w:pPr>
      <w:r w:rsidRPr="00EF2CCD">
        <w:rPr>
          <w:rFonts w:ascii="Arial" w:eastAsia="Calibri" w:hAnsi="Arial" w:cs="Arial"/>
          <w:b/>
          <w:bCs/>
          <w:sz w:val="20"/>
          <w:szCs w:val="22"/>
          <w:lang w:eastAsia="en-US"/>
        </w:rPr>
        <w:lastRenderedPageBreak/>
        <w:t>Media Aritmética Alta</w:t>
      </w:r>
    </w:p>
    <w:p w14:paraId="1F5C3C42" w14:textId="77777777" w:rsidR="009C51F7" w:rsidRPr="00C8354F" w:rsidRDefault="009C51F7" w:rsidP="009C51F7">
      <w:pPr>
        <w:ind w:left="851" w:right="616"/>
        <w:jc w:val="both"/>
        <w:rPr>
          <w:rFonts w:ascii="Arial" w:eastAsia="Calibri" w:hAnsi="Arial" w:cs="Arial"/>
          <w:sz w:val="20"/>
          <w:szCs w:val="22"/>
          <w:lang w:eastAsia="en-US"/>
        </w:rPr>
      </w:pPr>
    </w:p>
    <w:p w14:paraId="30807E34" w14:textId="77777777" w:rsidR="009C51F7" w:rsidRPr="00C8354F" w:rsidRDefault="009C51F7" w:rsidP="009C51F7">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Consiste en la determinación de la media aritmética entre el valor de los promedios de los contratos expresada en SMMLV de la propuesta válida más alta y el promedio aritmético del promedio de los contratos de las propuestas hábiles que no han sido rechazadas y se encuentran válidas, para esto se aplicará la siguiente fórmula: </w:t>
      </w:r>
    </w:p>
    <w:p w14:paraId="4C765CA5" w14:textId="77777777" w:rsidR="009C51F7" w:rsidRPr="00C8354F" w:rsidRDefault="009C51F7" w:rsidP="009C51F7">
      <w:pPr>
        <w:ind w:left="851" w:right="616"/>
        <w:jc w:val="both"/>
        <w:rPr>
          <w:rFonts w:ascii="Arial" w:eastAsia="Calibri" w:hAnsi="Arial" w:cs="Arial"/>
          <w:sz w:val="20"/>
          <w:szCs w:val="22"/>
          <w:lang w:eastAsia="en-US"/>
        </w:rPr>
      </w:pPr>
    </w:p>
    <w:p w14:paraId="73CCF1EA" w14:textId="77777777" w:rsidR="009C51F7" w:rsidRPr="00C8354F" w:rsidRDefault="00877A29" w:rsidP="009C51F7">
      <w:pPr>
        <w:ind w:left="851" w:right="616"/>
        <w:jc w:val="both"/>
        <w:rPr>
          <w:rFonts w:ascii="Arial" w:eastAsia="Calibri" w:hAnsi="Arial" w:cs="Arial"/>
          <w:sz w:val="20"/>
          <w:szCs w:val="22"/>
          <w:lang w:eastAsia="en-US"/>
        </w:rPr>
      </w:pPr>
      <m:oMathPara>
        <m:oMath>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r>
            <w:rPr>
              <w:rFonts w:ascii="Cambria Math" w:eastAsia="Calibri" w:hAnsi="Cambria Math" w:cs="Arial"/>
              <w:sz w:val="20"/>
              <w:szCs w:val="22"/>
              <w:lang w:eastAsia="en-US"/>
            </w:rPr>
            <m:t>=</m:t>
          </m:r>
          <m:f>
            <m:fPr>
              <m:ctrlPr>
                <w:rPr>
                  <w:rFonts w:ascii="Cambria Math" w:eastAsia="Calibri" w:hAnsi="Cambria Math" w:cs="Arial"/>
                  <w:i/>
                  <w:sz w:val="20"/>
                  <w:szCs w:val="22"/>
                  <w:lang w:eastAsia="en-US"/>
                </w:rPr>
              </m:ctrlPr>
            </m:fPr>
            <m:num>
              <m:r>
                <w:rPr>
                  <w:rFonts w:ascii="Cambria Math" w:eastAsia="Calibri" w:hAnsi="Cambria Math" w:cs="Arial"/>
                  <w:sz w:val="20"/>
                  <w:szCs w:val="22"/>
                  <w:lang w:eastAsia="en-US"/>
                </w:rPr>
                <m:t>(</m:t>
              </m:r>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max</m:t>
                  </m:r>
                </m:sub>
              </m:sSub>
              <m:r>
                <w:rPr>
                  <w:rFonts w:ascii="Cambria Math" w:eastAsia="Calibri" w:hAnsi="Cambria Math" w:cs="Arial"/>
                  <w:sz w:val="20"/>
                  <w:szCs w:val="22"/>
                  <w:lang w:eastAsia="en-US"/>
                </w:rPr>
                <m:t>+</m:t>
              </m:r>
              <m:acc>
                <m:accPr>
                  <m:chr m:val="̅"/>
                  <m:ctrlPr>
                    <w:rPr>
                      <w:rFonts w:ascii="Cambria Math" w:eastAsia="Calibri" w:hAnsi="Cambria Math" w:cs="Arial"/>
                      <w:i/>
                      <w:sz w:val="20"/>
                      <w:szCs w:val="22"/>
                      <w:lang w:eastAsia="en-US"/>
                    </w:rPr>
                  </m:ctrlPr>
                </m:accPr>
                <m:e>
                  <m:r>
                    <w:rPr>
                      <w:rFonts w:ascii="Cambria Math" w:eastAsia="Calibri" w:hAnsi="Cambria Math" w:cs="Arial"/>
                      <w:sz w:val="20"/>
                      <w:szCs w:val="22"/>
                      <w:lang w:eastAsia="en-US"/>
                    </w:rPr>
                    <m:t>X</m:t>
                  </m:r>
                </m:e>
              </m:acc>
              <m:r>
                <w:rPr>
                  <w:rFonts w:ascii="Cambria Math" w:eastAsia="Calibri" w:hAnsi="Cambria Math" w:cs="Arial"/>
                  <w:sz w:val="20"/>
                  <w:szCs w:val="22"/>
                  <w:lang w:eastAsia="en-US"/>
                </w:rPr>
                <m:t>)</m:t>
              </m:r>
            </m:num>
            <m:den>
              <m:r>
                <w:rPr>
                  <w:rFonts w:ascii="Cambria Math" w:eastAsia="Calibri" w:hAnsi="Cambria Math" w:cs="Arial"/>
                  <w:sz w:val="20"/>
                  <w:szCs w:val="22"/>
                  <w:lang w:eastAsia="en-US"/>
                </w:rPr>
                <m:t>2</m:t>
              </m:r>
            </m:den>
          </m:f>
        </m:oMath>
      </m:oMathPara>
    </w:p>
    <w:p w14:paraId="1869A542" w14:textId="77777777" w:rsidR="009C51F7" w:rsidRPr="00C8354F" w:rsidRDefault="009C51F7" w:rsidP="009C51F7">
      <w:pPr>
        <w:ind w:left="851" w:right="616"/>
        <w:jc w:val="both"/>
        <w:rPr>
          <w:rFonts w:ascii="Arial" w:eastAsia="Calibri" w:hAnsi="Arial" w:cs="Arial"/>
          <w:sz w:val="20"/>
          <w:szCs w:val="22"/>
          <w:lang w:eastAsia="en-US"/>
        </w:rPr>
      </w:pPr>
    </w:p>
    <w:p w14:paraId="27F58336" w14:textId="77777777" w:rsidR="009C51F7" w:rsidRPr="00C8354F" w:rsidRDefault="009C51F7" w:rsidP="009C51F7">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Donde: </w:t>
      </w:r>
    </w:p>
    <w:p w14:paraId="10B764DE" w14:textId="77777777" w:rsidR="009C51F7" w:rsidRPr="00C8354F" w:rsidRDefault="00877A29" w:rsidP="009C51F7">
      <w:pPr>
        <w:numPr>
          <w:ilvl w:val="0"/>
          <w:numId w:val="14"/>
        </w:numPr>
        <w:ind w:left="851" w:right="616" w:firstLine="0"/>
        <w:jc w:val="both"/>
        <w:rPr>
          <w:rFonts w:ascii="Arial" w:eastAsia="Calibri" w:hAnsi="Arial" w:cs="Arial"/>
          <w:sz w:val="20"/>
          <w:szCs w:val="22"/>
          <w:lang w:eastAsia="en-US"/>
        </w:rPr>
      </w:pPr>
      <m:oMath>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max</m:t>
            </m:r>
          </m:sub>
        </m:sSub>
      </m:oMath>
      <w:r w:rsidR="009C51F7" w:rsidRPr="00C8354F">
        <w:rPr>
          <w:rFonts w:ascii="Arial" w:eastAsia="Calibri" w:hAnsi="Arial" w:cs="Arial"/>
          <w:sz w:val="20"/>
          <w:szCs w:val="22"/>
          <w:lang w:eastAsia="en-US"/>
        </w:rPr>
        <w:t>: Es el valor total corregido del promedio de los SMMLV válidos más alto.</w:t>
      </w:r>
    </w:p>
    <w:p w14:paraId="66A55F9A" w14:textId="77777777" w:rsidR="009C51F7" w:rsidRPr="00C8354F" w:rsidRDefault="00877A29" w:rsidP="009C51F7">
      <w:pPr>
        <w:numPr>
          <w:ilvl w:val="0"/>
          <w:numId w:val="14"/>
        </w:numPr>
        <w:ind w:left="851" w:right="616" w:firstLine="0"/>
        <w:jc w:val="both"/>
        <w:rPr>
          <w:rFonts w:ascii="Arial" w:eastAsia="Calibri" w:hAnsi="Arial" w:cs="Arial"/>
          <w:sz w:val="20"/>
          <w:szCs w:val="22"/>
          <w:lang w:eastAsia="en-US"/>
        </w:rPr>
      </w:pPr>
      <m:oMath>
        <m:acc>
          <m:accPr>
            <m:chr m:val="̅"/>
            <m:ctrlPr>
              <w:rPr>
                <w:rFonts w:ascii="Cambria Math" w:eastAsia="Calibri" w:hAnsi="Cambria Math" w:cs="Arial"/>
                <w:i/>
                <w:sz w:val="20"/>
                <w:szCs w:val="22"/>
                <w:lang w:eastAsia="en-US"/>
              </w:rPr>
            </m:ctrlPr>
          </m:accPr>
          <m:e>
            <m:r>
              <w:rPr>
                <w:rFonts w:ascii="Cambria Math" w:eastAsia="Calibri" w:hAnsi="Cambria Math" w:cs="Arial"/>
                <w:sz w:val="20"/>
                <w:szCs w:val="22"/>
                <w:lang w:eastAsia="en-US"/>
              </w:rPr>
              <m:t>X</m:t>
            </m:r>
          </m:e>
        </m:acc>
      </m:oMath>
      <w:r w:rsidR="009C51F7" w:rsidRPr="00C8354F">
        <w:rPr>
          <w:rFonts w:ascii="Arial" w:eastAsia="Calibri" w:hAnsi="Arial" w:cs="Arial"/>
          <w:sz w:val="20"/>
          <w:szCs w:val="22"/>
          <w:lang w:eastAsia="en-US"/>
        </w:rPr>
        <w:t>: Es el promedio aritmético simple de los promedios de los SMMLV de los contratos válidos de las otras propuestas habilitadas.</w:t>
      </w:r>
    </w:p>
    <w:p w14:paraId="715197AB" w14:textId="77777777" w:rsidR="009C51F7" w:rsidRPr="00C8354F" w:rsidRDefault="00877A29" w:rsidP="009C51F7">
      <w:pPr>
        <w:numPr>
          <w:ilvl w:val="0"/>
          <w:numId w:val="14"/>
        </w:numPr>
        <w:ind w:left="851" w:right="616" w:firstLine="0"/>
        <w:jc w:val="both"/>
        <w:rPr>
          <w:rFonts w:ascii="Arial" w:eastAsia="Calibri" w:hAnsi="Arial" w:cs="Arial"/>
          <w:sz w:val="20"/>
          <w:szCs w:val="22"/>
          <w:lang w:eastAsia="en-US"/>
        </w:rPr>
      </w:pPr>
      <m:oMath>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oMath>
      <w:r w:rsidR="009C51F7" w:rsidRPr="00C8354F">
        <w:rPr>
          <w:rFonts w:ascii="Arial" w:eastAsia="Calibri" w:hAnsi="Arial" w:cs="Arial"/>
          <w:sz w:val="20"/>
          <w:szCs w:val="22"/>
          <w:lang w:eastAsia="en-US"/>
        </w:rPr>
        <w:t>: Es la media aritmética alta.</w:t>
      </w:r>
    </w:p>
    <w:p w14:paraId="62347D92" w14:textId="77777777" w:rsidR="009C51F7" w:rsidRPr="00C8354F" w:rsidRDefault="009C51F7" w:rsidP="009C51F7">
      <w:pPr>
        <w:ind w:left="851" w:right="616"/>
        <w:jc w:val="both"/>
        <w:rPr>
          <w:rFonts w:ascii="Arial" w:eastAsia="Calibri" w:hAnsi="Arial" w:cs="Arial"/>
          <w:sz w:val="20"/>
          <w:szCs w:val="22"/>
          <w:lang w:eastAsia="en-US"/>
        </w:rPr>
      </w:pPr>
    </w:p>
    <w:p w14:paraId="12C22D06" w14:textId="77777777" w:rsidR="009C51F7" w:rsidRPr="00C8354F" w:rsidRDefault="009C51F7" w:rsidP="009C51F7">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Obtenida la media aritmética alta se procederá a ponderar las propuestas de acuerdo con la siguiente fórmula: </w:t>
      </w:r>
    </w:p>
    <w:p w14:paraId="3E45F0A2" w14:textId="77777777" w:rsidR="009C51F7" w:rsidRPr="00C8354F" w:rsidRDefault="009C51F7" w:rsidP="009C51F7">
      <w:pPr>
        <w:ind w:left="851" w:right="616"/>
        <w:jc w:val="both"/>
        <w:rPr>
          <w:rFonts w:ascii="Arial" w:eastAsia="Calibri" w:hAnsi="Arial" w:cs="Arial"/>
          <w:sz w:val="20"/>
          <w:szCs w:val="22"/>
          <w:lang w:eastAsia="en-US"/>
        </w:rPr>
      </w:pPr>
    </w:p>
    <w:p w14:paraId="1C2D4C33" w14:textId="77777777" w:rsidR="009C51F7" w:rsidRPr="00C8354F" w:rsidRDefault="00877A29" w:rsidP="009C51F7">
      <w:pPr>
        <w:ind w:left="851" w:right="616"/>
        <w:jc w:val="both"/>
        <w:rPr>
          <w:rFonts w:ascii="Arial" w:eastAsia="Calibri" w:hAnsi="Arial" w:cs="Arial"/>
          <w:sz w:val="20"/>
          <w:szCs w:val="22"/>
          <w:lang w:eastAsia="en-US"/>
        </w:rPr>
      </w:pPr>
      <m:oMathPara>
        <m:oMath>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Puntaje</m:t>
              </m:r>
            </m:e>
            <m:sub>
              <m:r>
                <w:rPr>
                  <w:rFonts w:ascii="Cambria Math" w:eastAsia="Calibri" w:hAnsi="Cambria Math" w:cs="Arial"/>
                  <w:sz w:val="20"/>
                  <w:szCs w:val="22"/>
                  <w:lang w:eastAsia="en-US"/>
                </w:rPr>
                <m:t>Asignar</m:t>
              </m:r>
            </m:sub>
          </m:sSub>
          <m:r>
            <w:rPr>
              <w:rFonts w:ascii="Cambria Math" w:eastAsia="Calibri" w:hAnsi="Cambria Math" w:cs="Arial"/>
              <w:sz w:val="20"/>
              <w:szCs w:val="22"/>
              <w:lang w:eastAsia="en-US"/>
            </w:rPr>
            <m:t>=</m:t>
          </m:r>
          <m:d>
            <m:dPr>
              <m:begChr m:val="{"/>
              <m:endChr m:val="}"/>
              <m:ctrlPr>
                <w:rPr>
                  <w:rFonts w:ascii="Cambria Math" w:eastAsia="Calibri" w:hAnsi="Cambria Math" w:cs="Arial"/>
                  <w:i/>
                  <w:sz w:val="20"/>
                  <w:szCs w:val="22"/>
                  <w:lang w:eastAsia="en-US"/>
                </w:rPr>
              </m:ctrlPr>
            </m:dPr>
            <m:e>
              <m:eqArr>
                <m:eqArrPr>
                  <m:ctrlPr>
                    <w:rPr>
                      <w:rFonts w:ascii="Cambria Math" w:eastAsia="Calibri" w:hAnsi="Cambria Math" w:cs="Arial"/>
                      <w:i/>
                      <w:sz w:val="20"/>
                      <w:szCs w:val="22"/>
                      <w:lang w:eastAsia="en-US"/>
                    </w:rPr>
                  </m:ctrlPr>
                </m:eqArrPr>
                <m:e>
                  <m:r>
                    <w:rPr>
                      <w:rFonts w:ascii="Cambria Math" w:eastAsia="Calibri" w:hAnsi="Cambria Math" w:cs="Arial"/>
                      <w:sz w:val="20"/>
                      <w:szCs w:val="22"/>
                      <w:lang w:eastAsia="en-US"/>
                    </w:rPr>
                    <m:t>Puntaje máximo*</m:t>
                  </m:r>
                  <m:d>
                    <m:dPr>
                      <m:ctrlPr>
                        <w:rPr>
                          <w:rFonts w:ascii="Cambria Math" w:eastAsia="Calibri" w:hAnsi="Cambria Math" w:cs="Arial"/>
                          <w:i/>
                          <w:sz w:val="20"/>
                          <w:szCs w:val="22"/>
                          <w:lang w:eastAsia="en-US"/>
                        </w:rPr>
                      </m:ctrlPr>
                    </m:dPr>
                    <m:e>
                      <m:r>
                        <w:rPr>
                          <w:rFonts w:ascii="Cambria Math" w:eastAsia="Calibri" w:hAnsi="Cambria Math" w:cs="Arial"/>
                          <w:sz w:val="20"/>
                          <w:szCs w:val="22"/>
                          <w:lang w:eastAsia="en-US"/>
                        </w:rPr>
                        <m:t>1-</m:t>
                      </m:r>
                      <m:d>
                        <m:dPr>
                          <m:ctrlPr>
                            <w:rPr>
                              <w:rFonts w:ascii="Cambria Math" w:eastAsia="Calibri" w:hAnsi="Cambria Math" w:cs="Arial"/>
                              <w:i/>
                              <w:sz w:val="20"/>
                              <w:szCs w:val="22"/>
                              <w:lang w:eastAsia="en-US"/>
                            </w:rPr>
                          </m:ctrlPr>
                        </m:dPr>
                        <m:e>
                          <m:f>
                            <m:fPr>
                              <m:ctrlPr>
                                <w:rPr>
                                  <w:rFonts w:ascii="Cambria Math" w:eastAsia="Calibri" w:hAnsi="Cambria Math" w:cs="Arial"/>
                                  <w:i/>
                                  <w:sz w:val="20"/>
                                  <w:szCs w:val="22"/>
                                  <w:lang w:eastAsia="en-US"/>
                                </w:rPr>
                              </m:ctrlPr>
                            </m:fPr>
                            <m:num>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r>
                                <w:rPr>
                                  <w:rFonts w:ascii="Cambria Math" w:eastAsia="Calibri" w:hAnsi="Cambria Math" w:cs="Arial"/>
                                  <w:sz w:val="20"/>
                                  <w:szCs w:val="22"/>
                                  <w:lang w:eastAsia="en-US"/>
                                </w:rPr>
                                <m:t>-</m:t>
                              </m:r>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i</m:t>
                                  </m:r>
                                </m:sub>
                              </m:sSub>
                            </m:num>
                            <m:den>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den>
                          </m:f>
                        </m:e>
                      </m:d>
                    </m:e>
                  </m:d>
                  <m:r>
                    <w:rPr>
                      <w:rFonts w:ascii="Cambria Math" w:eastAsia="Calibri" w:hAnsi="Cambria Math" w:cs="Arial"/>
                      <w:sz w:val="20"/>
                      <w:szCs w:val="22"/>
                      <w:lang w:eastAsia="en-US"/>
                    </w:rPr>
                    <m:t xml:space="preserve"> Para valores menores o iguales a </m:t>
                  </m:r>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e>
                <m:e>
                  <m:r>
                    <w:rPr>
                      <w:rFonts w:ascii="Cambria Math" w:eastAsia="Calibri" w:hAnsi="Cambria Math" w:cs="Arial"/>
                      <w:sz w:val="20"/>
                      <w:szCs w:val="22"/>
                      <w:lang w:eastAsia="en-US"/>
                    </w:rPr>
                    <m:t xml:space="preserve"> </m:t>
                  </m:r>
                </m:e>
                <m:e>
                  <m:r>
                    <w:rPr>
                      <w:rFonts w:ascii="Cambria Math" w:eastAsia="Calibri" w:hAnsi="Cambria Math" w:cs="Arial"/>
                      <w:sz w:val="20"/>
                      <w:szCs w:val="22"/>
                      <w:lang w:eastAsia="en-US"/>
                    </w:rPr>
                    <m:t xml:space="preserve"> </m:t>
                  </m:r>
                </m:e>
                <m:e>
                  <m:r>
                    <w:rPr>
                      <w:rFonts w:ascii="Cambria Math" w:eastAsia="Calibri" w:hAnsi="Cambria Math" w:cs="Arial"/>
                      <w:sz w:val="20"/>
                      <w:szCs w:val="22"/>
                      <w:lang w:eastAsia="en-US"/>
                    </w:rPr>
                    <m:t xml:space="preserve"> </m:t>
                  </m:r>
                </m:e>
                <m:e>
                  <m:r>
                    <w:rPr>
                      <w:rFonts w:ascii="Cambria Math" w:eastAsia="Calibri" w:hAnsi="Cambria Math" w:cs="Arial"/>
                      <w:sz w:val="20"/>
                      <w:szCs w:val="22"/>
                      <w:lang w:eastAsia="en-US"/>
                    </w:rPr>
                    <m:t>Puntaje máximo*</m:t>
                  </m:r>
                  <m:d>
                    <m:dPr>
                      <m:ctrlPr>
                        <w:rPr>
                          <w:rFonts w:ascii="Cambria Math" w:eastAsia="Calibri" w:hAnsi="Cambria Math" w:cs="Arial"/>
                          <w:i/>
                          <w:sz w:val="20"/>
                          <w:szCs w:val="22"/>
                          <w:lang w:eastAsia="en-US"/>
                        </w:rPr>
                      </m:ctrlPr>
                    </m:dPr>
                    <m:e>
                      <m:r>
                        <w:rPr>
                          <w:rFonts w:ascii="Cambria Math" w:eastAsia="Calibri" w:hAnsi="Cambria Math" w:cs="Arial"/>
                          <w:sz w:val="20"/>
                          <w:szCs w:val="22"/>
                          <w:lang w:eastAsia="en-US"/>
                        </w:rPr>
                        <m:t>1-2*</m:t>
                      </m:r>
                      <m:d>
                        <m:dPr>
                          <m:ctrlPr>
                            <w:rPr>
                              <w:rFonts w:ascii="Cambria Math" w:eastAsia="Calibri" w:hAnsi="Cambria Math" w:cs="Arial"/>
                              <w:i/>
                              <w:sz w:val="20"/>
                              <w:szCs w:val="22"/>
                              <w:lang w:eastAsia="en-US"/>
                            </w:rPr>
                          </m:ctrlPr>
                        </m:dPr>
                        <m:e>
                          <m:f>
                            <m:fPr>
                              <m:ctrlPr>
                                <w:rPr>
                                  <w:rFonts w:ascii="Cambria Math" w:eastAsia="Calibri" w:hAnsi="Cambria Math" w:cs="Arial"/>
                                  <w:i/>
                                  <w:sz w:val="20"/>
                                  <w:szCs w:val="22"/>
                                  <w:lang w:eastAsia="en-US"/>
                                </w:rPr>
                              </m:ctrlPr>
                            </m:fPr>
                            <m:num>
                              <m:d>
                                <m:dPr>
                                  <m:begChr m:val="|"/>
                                  <m:endChr m:val="|"/>
                                  <m:ctrlPr>
                                    <w:rPr>
                                      <w:rFonts w:ascii="Cambria Math" w:eastAsia="Calibri" w:hAnsi="Cambria Math" w:cs="Arial"/>
                                      <w:i/>
                                      <w:sz w:val="20"/>
                                      <w:szCs w:val="22"/>
                                      <w:lang w:eastAsia="en-US"/>
                                    </w:rPr>
                                  </m:ctrlPr>
                                </m:dPr>
                                <m:e>
                                  <m:r>
                                    <w:rPr>
                                      <w:rFonts w:ascii="Cambria Math" w:eastAsia="Calibri" w:hAnsi="Cambria Math" w:cs="Arial"/>
                                      <w:sz w:val="20"/>
                                      <w:szCs w:val="22"/>
                                      <w:lang w:eastAsia="en-US"/>
                                    </w:rPr>
                                    <m:t xml:space="preserve"> </m:t>
                                  </m:r>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r>
                                    <w:rPr>
                                      <w:rFonts w:ascii="Cambria Math" w:eastAsia="Calibri" w:hAnsi="Cambria Math" w:cs="Arial"/>
                                      <w:sz w:val="20"/>
                                      <w:szCs w:val="22"/>
                                      <w:lang w:eastAsia="en-US"/>
                                    </w:rPr>
                                    <m:t>-</m:t>
                                  </m:r>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i</m:t>
                                      </m:r>
                                    </m:sub>
                                  </m:sSub>
                                  <m:r>
                                    <w:rPr>
                                      <w:rFonts w:ascii="Cambria Math" w:eastAsia="Calibri" w:hAnsi="Cambria Math" w:cs="Arial"/>
                                      <w:sz w:val="20"/>
                                      <w:szCs w:val="22"/>
                                      <w:lang w:eastAsia="en-US"/>
                                    </w:rPr>
                                    <m:t xml:space="preserve"> </m:t>
                                  </m:r>
                                </m:e>
                              </m:d>
                            </m:num>
                            <m:den>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den>
                          </m:f>
                        </m:e>
                      </m:d>
                    </m:e>
                  </m:d>
                  <m:r>
                    <w:rPr>
                      <w:rFonts w:ascii="Cambria Math" w:eastAsia="Calibri" w:hAnsi="Cambria Math" w:cs="Arial"/>
                      <w:sz w:val="20"/>
                      <w:szCs w:val="22"/>
                      <w:lang w:eastAsia="en-US"/>
                    </w:rPr>
                    <m:t xml:space="preserve"> Para valores mayores a </m:t>
                  </m:r>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e>
              </m:eqArr>
            </m:e>
          </m:d>
        </m:oMath>
      </m:oMathPara>
    </w:p>
    <w:p w14:paraId="10D0EFBC" w14:textId="77777777" w:rsidR="009C51F7" w:rsidRPr="00C8354F" w:rsidRDefault="009C51F7" w:rsidP="009C51F7">
      <w:pPr>
        <w:ind w:left="851" w:right="616"/>
        <w:jc w:val="both"/>
        <w:rPr>
          <w:rFonts w:ascii="Arial" w:eastAsia="Calibri" w:hAnsi="Arial" w:cs="Arial"/>
          <w:sz w:val="20"/>
          <w:szCs w:val="22"/>
          <w:lang w:eastAsia="en-US"/>
        </w:rPr>
      </w:pPr>
    </w:p>
    <w:p w14:paraId="3A89C368" w14:textId="77777777" w:rsidR="009C51F7" w:rsidRPr="00C8354F" w:rsidRDefault="009C51F7" w:rsidP="009C51F7">
      <w:pPr>
        <w:ind w:left="851" w:right="616"/>
        <w:jc w:val="both"/>
        <w:rPr>
          <w:rFonts w:ascii="Arial" w:eastAsia="Calibri" w:hAnsi="Arial" w:cs="Arial"/>
          <w:sz w:val="20"/>
          <w:szCs w:val="22"/>
          <w:lang w:eastAsia="en-US"/>
        </w:rPr>
      </w:pPr>
      <w:r w:rsidRPr="00C8354F">
        <w:rPr>
          <w:rFonts w:ascii="Arial" w:eastAsia="Calibri" w:hAnsi="Arial" w:cs="Arial"/>
          <w:sz w:val="20"/>
          <w:szCs w:val="22"/>
          <w:lang w:eastAsia="en-US"/>
        </w:rPr>
        <w:t xml:space="preserve">Donde: </w:t>
      </w:r>
    </w:p>
    <w:p w14:paraId="521A4AE4" w14:textId="77777777" w:rsidR="009C51F7" w:rsidRPr="00C8354F" w:rsidRDefault="00877A29" w:rsidP="009C51F7">
      <w:pPr>
        <w:numPr>
          <w:ilvl w:val="0"/>
          <w:numId w:val="15"/>
        </w:numPr>
        <w:ind w:left="851" w:right="616" w:firstLine="0"/>
        <w:jc w:val="both"/>
        <w:rPr>
          <w:rFonts w:ascii="Arial" w:eastAsia="Calibri" w:hAnsi="Arial" w:cs="Arial"/>
          <w:sz w:val="20"/>
          <w:szCs w:val="22"/>
          <w:lang w:eastAsia="en-US"/>
        </w:rPr>
      </w:pPr>
      <m:oMath>
        <m:acc>
          <m:accPr>
            <m:chr m:val="̅"/>
            <m:ctrlPr>
              <w:rPr>
                <w:rFonts w:ascii="Cambria Math" w:eastAsia="Calibri" w:hAnsi="Cambria Math" w:cs="Arial"/>
                <w:i/>
                <w:sz w:val="20"/>
                <w:szCs w:val="22"/>
                <w:lang w:eastAsia="en-US"/>
              </w:rPr>
            </m:ctrlPr>
          </m:accPr>
          <m:e>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X</m:t>
                </m:r>
              </m:e>
              <m:sub>
                <m:r>
                  <w:rPr>
                    <w:rFonts w:ascii="Cambria Math" w:eastAsia="Calibri" w:hAnsi="Cambria Math" w:cs="Arial"/>
                    <w:sz w:val="20"/>
                    <w:szCs w:val="22"/>
                    <w:lang w:eastAsia="en-US"/>
                  </w:rPr>
                  <m:t>A</m:t>
                </m:r>
              </m:sub>
            </m:sSub>
          </m:e>
        </m:acc>
      </m:oMath>
      <w:r w:rsidR="009C51F7" w:rsidRPr="00C8354F">
        <w:rPr>
          <w:rFonts w:ascii="Arial" w:eastAsia="Calibri" w:hAnsi="Arial" w:cs="Arial"/>
          <w:sz w:val="20"/>
          <w:szCs w:val="22"/>
          <w:lang w:eastAsia="en-US"/>
        </w:rPr>
        <w:t>: Es la media aritmética alta.</w:t>
      </w:r>
    </w:p>
    <w:p w14:paraId="55B7EC10" w14:textId="77777777" w:rsidR="009C51F7" w:rsidRPr="00C8354F" w:rsidRDefault="00877A29" w:rsidP="009C51F7">
      <w:pPr>
        <w:numPr>
          <w:ilvl w:val="0"/>
          <w:numId w:val="15"/>
        </w:numPr>
        <w:ind w:left="851" w:right="616" w:firstLine="0"/>
        <w:jc w:val="both"/>
        <w:rPr>
          <w:rFonts w:ascii="Arial" w:eastAsia="Calibri" w:hAnsi="Arial" w:cs="Arial"/>
          <w:sz w:val="20"/>
          <w:szCs w:val="22"/>
          <w:lang w:eastAsia="en-US"/>
        </w:rPr>
      </w:pPr>
      <m:oMath>
        <m:sSub>
          <m:sSubPr>
            <m:ctrlPr>
              <w:rPr>
                <w:rFonts w:ascii="Cambria Math" w:eastAsia="Calibri" w:hAnsi="Cambria Math" w:cs="Arial"/>
                <w:i/>
                <w:sz w:val="20"/>
                <w:szCs w:val="22"/>
                <w:lang w:eastAsia="en-US"/>
              </w:rPr>
            </m:ctrlPr>
          </m:sSubPr>
          <m:e>
            <m:r>
              <w:rPr>
                <w:rFonts w:ascii="Cambria Math" w:eastAsia="Calibri" w:hAnsi="Cambria Math" w:cs="Arial"/>
                <w:sz w:val="20"/>
                <w:szCs w:val="22"/>
                <w:lang w:eastAsia="en-US"/>
              </w:rPr>
              <m:t>V</m:t>
            </m:r>
          </m:e>
          <m:sub>
            <m:r>
              <w:rPr>
                <w:rFonts w:ascii="Cambria Math" w:eastAsia="Calibri" w:hAnsi="Cambria Math" w:cs="Arial"/>
                <w:sz w:val="20"/>
                <w:szCs w:val="22"/>
                <w:lang w:eastAsia="en-US"/>
              </w:rPr>
              <m:t>i</m:t>
            </m:r>
          </m:sub>
        </m:sSub>
      </m:oMath>
      <w:r w:rsidR="009C51F7" w:rsidRPr="00C8354F">
        <w:rPr>
          <w:rFonts w:ascii="Arial" w:eastAsia="Calibri" w:hAnsi="Arial" w:cs="Arial"/>
          <w:sz w:val="20"/>
          <w:szCs w:val="22"/>
          <w:lang w:eastAsia="en-US"/>
        </w:rPr>
        <w:t>: Es el valor promedio de los SMMLV válidos de cada una de las propuestas “i”.</w:t>
      </w:r>
    </w:p>
    <w:p w14:paraId="0BE7F67C" w14:textId="77777777" w:rsidR="009C51F7" w:rsidRPr="00C8354F" w:rsidRDefault="009C51F7" w:rsidP="009C51F7">
      <w:pPr>
        <w:ind w:left="851" w:right="616"/>
        <w:jc w:val="both"/>
        <w:rPr>
          <w:rFonts w:ascii="Arial" w:eastAsia="Calibri" w:hAnsi="Arial" w:cs="Arial"/>
          <w:sz w:val="20"/>
          <w:szCs w:val="22"/>
          <w:lang w:eastAsia="en-US"/>
        </w:rPr>
      </w:pPr>
    </w:p>
    <w:p w14:paraId="5CE7B043" w14:textId="77777777" w:rsidR="009C51F7" w:rsidRPr="00C8354F" w:rsidRDefault="009C51F7" w:rsidP="009C51F7">
      <w:pPr>
        <w:ind w:left="851" w:right="616"/>
        <w:jc w:val="both"/>
        <w:rPr>
          <w:rFonts w:ascii="Arial" w:eastAsia="Calibri" w:hAnsi="Arial" w:cs="Arial"/>
          <w:sz w:val="20"/>
          <w:szCs w:val="22"/>
          <w:lang w:eastAsia="en-US"/>
        </w:rPr>
      </w:pPr>
      <w:r w:rsidRPr="00C8354F">
        <w:rPr>
          <w:rFonts w:ascii="Arial" w:eastAsia="Calibri" w:hAnsi="Arial" w:cs="Arial"/>
          <w:b/>
          <w:bCs/>
          <w:sz w:val="20"/>
          <w:szCs w:val="22"/>
          <w:lang w:eastAsia="en-US"/>
        </w:rPr>
        <w:t>Nota:</w:t>
      </w:r>
      <w:r w:rsidRPr="00C8354F">
        <w:rPr>
          <w:rFonts w:ascii="Arial" w:eastAsia="Calibri" w:hAnsi="Arial" w:cs="Arial"/>
          <w:sz w:val="20"/>
          <w:szCs w:val="22"/>
          <w:lang w:eastAsia="en-US"/>
        </w:rPr>
        <w:t xml:space="preserve"> Cuando el resultado de la fórmula anterior sea un número negativo, se asignará 0,0 puntos.</w:t>
      </w:r>
    </w:p>
    <w:p w14:paraId="2D18EF0D" w14:textId="77777777" w:rsidR="00D50BF6" w:rsidRPr="009C51F7" w:rsidRDefault="00D50BF6" w:rsidP="00D50BF6">
      <w:pPr>
        <w:pStyle w:val="Textoindependiente"/>
        <w:spacing w:line="276" w:lineRule="auto"/>
        <w:jc w:val="both"/>
        <w:rPr>
          <w:rFonts w:ascii="Arial" w:hAnsi="Arial" w:cs="Arial"/>
          <w:b/>
          <w:bCs/>
          <w:lang w:val="es-CO"/>
        </w:rPr>
      </w:pPr>
    </w:p>
    <w:p w14:paraId="003EE07E" w14:textId="0CFA767A" w:rsidR="00D50BF6" w:rsidRDefault="00C93117" w:rsidP="00DF381C">
      <w:pPr>
        <w:tabs>
          <w:tab w:val="left" w:pos="426"/>
        </w:tabs>
        <w:spacing w:line="276" w:lineRule="auto"/>
        <w:jc w:val="both"/>
        <w:rPr>
          <w:rFonts w:ascii="Arial" w:hAnsi="Arial" w:cs="Arial"/>
          <w:sz w:val="22"/>
          <w:szCs w:val="22"/>
          <w:shd w:val="clear" w:color="auto" w:fill="FFFFFF"/>
          <w:lang w:val="es-MX"/>
        </w:rPr>
      </w:pPr>
      <w:r>
        <w:rPr>
          <w:rFonts w:ascii="Arial" w:hAnsi="Arial" w:cs="Arial"/>
          <w:sz w:val="22"/>
          <w:szCs w:val="22"/>
        </w:rPr>
        <w:tab/>
      </w:r>
      <w:r>
        <w:rPr>
          <w:rFonts w:ascii="Arial" w:hAnsi="Arial" w:cs="Arial"/>
          <w:sz w:val="22"/>
          <w:szCs w:val="22"/>
        </w:rPr>
        <w:tab/>
      </w:r>
      <w:r w:rsidR="00D50BF6" w:rsidRPr="00C26B8F">
        <w:rPr>
          <w:rFonts w:ascii="Arial" w:hAnsi="Arial" w:cs="Arial"/>
          <w:sz w:val="22"/>
          <w:szCs w:val="22"/>
        </w:rPr>
        <w:t>Como en efecto lo diferencia</w:t>
      </w:r>
      <w:r w:rsidR="00D50BF6">
        <w:rPr>
          <w:rFonts w:ascii="Arial" w:hAnsi="Arial" w:cs="Arial"/>
          <w:sz w:val="22"/>
          <w:szCs w:val="22"/>
        </w:rPr>
        <w:t xml:space="preserve"> textualmente</w:t>
      </w:r>
      <w:r w:rsidR="00D50BF6" w:rsidRPr="00C26B8F">
        <w:rPr>
          <w:rFonts w:ascii="Arial" w:hAnsi="Arial" w:cs="Arial"/>
          <w:sz w:val="22"/>
          <w:szCs w:val="22"/>
        </w:rPr>
        <w:t xml:space="preserve"> la explicación de la fórmula o ecuación, la media aritmética </w:t>
      </w:r>
      <w:r w:rsidR="009C51F7">
        <w:rPr>
          <w:rFonts w:ascii="Arial" w:hAnsi="Arial" w:cs="Arial"/>
          <w:sz w:val="22"/>
          <w:szCs w:val="22"/>
        </w:rPr>
        <w:t>alta</w:t>
      </w:r>
      <w:r w:rsidR="00D50BF6" w:rsidRPr="00C26B8F">
        <w:rPr>
          <w:rFonts w:ascii="Arial" w:hAnsi="Arial" w:cs="Arial"/>
          <w:sz w:val="22"/>
          <w:szCs w:val="22"/>
        </w:rPr>
        <w:t xml:space="preserve"> es el resultado de dividir entre 2 la suma de dos variables</w:t>
      </w:r>
      <w:r>
        <w:rPr>
          <w:rFonts w:ascii="Arial" w:hAnsi="Arial" w:cs="Arial"/>
          <w:sz w:val="22"/>
          <w:szCs w:val="22"/>
        </w:rPr>
        <w:t>,</w:t>
      </w:r>
      <w:r w:rsidR="00D50BF6" w:rsidRPr="00C26B8F">
        <w:rPr>
          <w:rFonts w:ascii="Arial" w:hAnsi="Arial" w:cs="Arial"/>
          <w:sz w:val="22"/>
          <w:szCs w:val="22"/>
        </w:rPr>
        <w:t xml:space="preserve"> a saber: </w:t>
      </w:r>
      <m:oMath>
        <m:sSub>
          <m:sSubPr>
            <m:ctrlPr>
              <w:rPr>
                <w:rFonts w:ascii="Cambria Math" w:eastAsia="Arial" w:hAnsi="Cambria Math" w:cs="Arial"/>
                <w:i/>
                <w:sz w:val="22"/>
                <w:szCs w:val="22"/>
                <w:lang w:eastAsia="es-ES"/>
              </w:rPr>
            </m:ctrlPr>
          </m:sSubPr>
          <m:e>
            <m:r>
              <m:rPr>
                <m:sty m:val="p"/>
              </m:rPr>
              <w:rPr>
                <w:rFonts w:ascii="Cambria Math" w:hAnsi="Cambria Math" w:cs="Arial"/>
                <w:sz w:val="22"/>
                <w:szCs w:val="22"/>
              </w:rPr>
              <m:t>«</m:t>
            </m:r>
            <m:r>
              <w:rPr>
                <w:rFonts w:ascii="Cambria Math" w:eastAsia="Arial" w:hAnsi="Cambria Math" w:cs="Arial"/>
                <w:sz w:val="22"/>
                <w:szCs w:val="22"/>
                <w:lang w:eastAsia="es-ES"/>
              </w:rPr>
              <m:t>V</m:t>
            </m:r>
          </m:e>
          <m:sub>
            <m:r>
              <w:rPr>
                <w:rFonts w:ascii="Cambria Math" w:eastAsia="Arial" w:hAnsi="Cambria Math" w:cs="Arial"/>
                <w:sz w:val="22"/>
                <w:szCs w:val="22"/>
                <w:lang w:eastAsia="es-ES"/>
              </w:rPr>
              <m:t>max</m:t>
            </m:r>
          </m:sub>
        </m:sSub>
      </m:oMath>
      <w:r w:rsidR="00D50BF6">
        <w:rPr>
          <w:rFonts w:ascii="Arial" w:eastAsia="Arial" w:hAnsi="Arial" w:cs="Arial"/>
          <w:sz w:val="22"/>
          <w:szCs w:val="22"/>
          <w:lang w:eastAsia="es-ES"/>
        </w:rPr>
        <w:t xml:space="preserve"> </w:t>
      </w:r>
      <w:r w:rsidR="00D50BF6" w:rsidRPr="00E0681A">
        <w:rPr>
          <w:rFonts w:ascii="Arial" w:hAnsi="Arial" w:cs="Arial"/>
          <w:sz w:val="22"/>
          <w:szCs w:val="22"/>
        </w:rPr>
        <w:t>»</w:t>
      </w:r>
      <w:r w:rsidR="00D50BF6">
        <w:rPr>
          <w:rFonts w:ascii="Arial" w:eastAsia="Arial" w:hAnsi="Arial" w:cs="Arial"/>
          <w:sz w:val="22"/>
          <w:szCs w:val="22"/>
          <w:lang w:eastAsia="es-ES"/>
        </w:rPr>
        <w:t xml:space="preserve"> </w:t>
      </w:r>
      <w:r>
        <w:rPr>
          <w:rFonts w:ascii="Arial" w:eastAsia="Arial" w:hAnsi="Arial" w:cs="Arial"/>
          <w:sz w:val="22"/>
          <w:szCs w:val="22"/>
          <w:lang w:eastAsia="es-ES"/>
        </w:rPr>
        <w:t>(</w:t>
      </w:r>
      <w:r w:rsidR="00D50BF6" w:rsidRPr="00C26B8F">
        <w:rPr>
          <w:rFonts w:ascii="Arial" w:eastAsia="Arial" w:hAnsi="Arial" w:cs="Arial"/>
          <w:sz w:val="22"/>
          <w:szCs w:val="22"/>
          <w:lang w:eastAsia="es-ES"/>
        </w:rPr>
        <w:t xml:space="preserve">Es el valor total corregido del promedio de los SMMLV válidos más </w:t>
      </w:r>
      <w:r w:rsidR="009C51F7">
        <w:rPr>
          <w:rFonts w:ascii="Arial" w:eastAsia="Arial" w:hAnsi="Arial" w:cs="Arial"/>
          <w:sz w:val="22"/>
          <w:szCs w:val="22"/>
          <w:lang w:eastAsia="es-ES"/>
        </w:rPr>
        <w:t>alto</w:t>
      </w:r>
      <w:r>
        <w:rPr>
          <w:rFonts w:ascii="Arial" w:eastAsia="Arial" w:hAnsi="Arial" w:cs="Arial"/>
          <w:sz w:val="22"/>
          <w:szCs w:val="22"/>
          <w:lang w:eastAsia="es-ES"/>
        </w:rPr>
        <w:t>)</w:t>
      </w:r>
      <w:r w:rsidR="00D50BF6" w:rsidRPr="00C26B8F">
        <w:rPr>
          <w:rFonts w:ascii="Arial" w:eastAsia="Arial" w:hAnsi="Arial" w:cs="Arial"/>
          <w:sz w:val="22"/>
          <w:szCs w:val="22"/>
          <w:lang w:eastAsia="es-ES"/>
        </w:rPr>
        <w:t xml:space="preserve"> y </w:t>
      </w:r>
      <w:r w:rsidR="00D50BF6" w:rsidRPr="00E0681A">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00D50BF6" w:rsidRPr="00E0681A">
        <w:rPr>
          <w:rFonts w:ascii="Arial" w:hAnsi="Arial" w:cs="Arial"/>
          <w:sz w:val="22"/>
          <w:szCs w:val="22"/>
        </w:rPr>
        <w:t>»</w:t>
      </w:r>
      <w:r w:rsidR="00D50BF6" w:rsidRPr="00C26B8F">
        <w:rPr>
          <w:rFonts w:ascii="Arial" w:eastAsia="Arial" w:hAnsi="Arial" w:cs="Arial"/>
          <w:sz w:val="22"/>
          <w:szCs w:val="22"/>
          <w:lang w:eastAsia="es-ES"/>
        </w:rPr>
        <w:t xml:space="preserve"> </w:t>
      </w:r>
      <w:r>
        <w:rPr>
          <w:rFonts w:ascii="Arial" w:eastAsia="Arial" w:hAnsi="Arial" w:cs="Arial"/>
          <w:sz w:val="22"/>
          <w:szCs w:val="22"/>
          <w:lang w:eastAsia="es-ES"/>
        </w:rPr>
        <w:t>(</w:t>
      </w:r>
      <w:r w:rsidR="00D50BF6" w:rsidRPr="00C26B8F">
        <w:rPr>
          <w:rFonts w:ascii="Arial" w:eastAsia="Arial" w:hAnsi="Arial" w:cs="Arial"/>
          <w:sz w:val="22"/>
          <w:szCs w:val="22"/>
          <w:lang w:eastAsia="es-ES"/>
        </w:rPr>
        <w:t xml:space="preserve">Es el promedio aritmético simple de los promedios de los SMMLV </w:t>
      </w:r>
      <w:r w:rsidR="00DF381C">
        <w:rPr>
          <w:rFonts w:ascii="Arial" w:eastAsia="Arial" w:hAnsi="Arial" w:cs="Arial"/>
          <w:sz w:val="22"/>
          <w:szCs w:val="22"/>
          <w:lang w:eastAsia="es-ES"/>
        </w:rPr>
        <w:t xml:space="preserve">de los contratos </w:t>
      </w:r>
      <w:r w:rsidR="00D50BF6" w:rsidRPr="00C26B8F">
        <w:rPr>
          <w:rFonts w:ascii="Arial" w:eastAsia="Arial" w:hAnsi="Arial" w:cs="Arial"/>
          <w:sz w:val="22"/>
          <w:szCs w:val="22"/>
          <w:lang w:eastAsia="es-ES"/>
        </w:rPr>
        <w:t xml:space="preserve">válidos </w:t>
      </w:r>
      <w:r w:rsidR="00D50BF6" w:rsidRPr="00DF381C">
        <w:rPr>
          <w:rFonts w:ascii="Arial" w:eastAsia="Arial" w:hAnsi="Arial" w:cs="Arial"/>
          <w:i/>
          <w:iCs/>
          <w:sz w:val="22"/>
          <w:szCs w:val="22"/>
          <w:lang w:eastAsia="es-ES"/>
        </w:rPr>
        <w:t>de las otras propuestas habilitadas</w:t>
      </w:r>
      <w:r>
        <w:rPr>
          <w:rFonts w:ascii="Arial" w:eastAsia="Arial" w:hAnsi="Arial" w:cs="Arial"/>
          <w:sz w:val="22"/>
          <w:szCs w:val="22"/>
          <w:lang w:eastAsia="es-ES"/>
        </w:rPr>
        <w:t>)</w:t>
      </w:r>
      <w:r w:rsidR="00D50BF6" w:rsidRPr="00C26B8F">
        <w:rPr>
          <w:rFonts w:ascii="Arial" w:eastAsia="Arial" w:hAnsi="Arial" w:cs="Arial"/>
          <w:sz w:val="22"/>
          <w:szCs w:val="22"/>
          <w:lang w:eastAsia="es-ES"/>
        </w:rPr>
        <w:t>.</w:t>
      </w:r>
      <w:r w:rsidR="00D50BF6">
        <w:rPr>
          <w:rFonts w:ascii="Arial" w:eastAsia="Arial" w:hAnsi="Arial" w:cs="Arial"/>
          <w:sz w:val="22"/>
          <w:szCs w:val="22"/>
          <w:lang w:eastAsia="es-ES"/>
        </w:rPr>
        <w:t xml:space="preserve"> En consecuencia, como bien lo entiende el peticionario en la consulta, al calcular la segunda variable referida no se debe incluir el promedio de los SMLMV de la propuesta válida más </w:t>
      </w:r>
      <w:r w:rsidR="00DF381C">
        <w:rPr>
          <w:rFonts w:ascii="Arial" w:eastAsia="Arial" w:hAnsi="Arial" w:cs="Arial"/>
          <w:sz w:val="22"/>
          <w:szCs w:val="22"/>
          <w:lang w:eastAsia="es-ES"/>
        </w:rPr>
        <w:t>alta</w:t>
      </w:r>
      <w:r w:rsidR="00D50BF6">
        <w:rPr>
          <w:rFonts w:ascii="Arial" w:eastAsia="Arial" w:hAnsi="Arial" w:cs="Arial"/>
          <w:sz w:val="22"/>
          <w:szCs w:val="22"/>
          <w:lang w:eastAsia="es-ES"/>
        </w:rPr>
        <w:t xml:space="preserve">, pues tal y como </w:t>
      </w:r>
      <w:r w:rsidR="004464AE">
        <w:rPr>
          <w:rFonts w:ascii="Arial" w:eastAsia="Arial" w:hAnsi="Arial" w:cs="Arial"/>
          <w:sz w:val="22"/>
          <w:szCs w:val="22"/>
          <w:lang w:eastAsia="es-ES"/>
        </w:rPr>
        <w:t>expresamente</w:t>
      </w:r>
      <w:r w:rsidR="00D50BF6">
        <w:rPr>
          <w:rFonts w:ascii="Arial" w:eastAsia="Arial" w:hAnsi="Arial" w:cs="Arial"/>
          <w:sz w:val="22"/>
          <w:szCs w:val="22"/>
          <w:lang w:eastAsia="es-ES"/>
        </w:rPr>
        <w:t xml:space="preserve"> lo indica la regla establecida en la fórmula, la variable </w:t>
      </w:r>
      <w:r w:rsidR="00D50BF6" w:rsidRPr="00E0681A">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00D50BF6" w:rsidRPr="00E0681A">
        <w:rPr>
          <w:rFonts w:ascii="Arial" w:hAnsi="Arial" w:cs="Arial"/>
          <w:sz w:val="22"/>
          <w:szCs w:val="22"/>
        </w:rPr>
        <w:t>»</w:t>
      </w:r>
      <w:r w:rsidR="00D50BF6" w:rsidRPr="00C26B8F">
        <w:rPr>
          <w:rFonts w:ascii="Arial" w:eastAsia="Arial" w:hAnsi="Arial" w:cs="Arial"/>
          <w:sz w:val="22"/>
          <w:szCs w:val="22"/>
          <w:lang w:eastAsia="es-ES"/>
        </w:rPr>
        <w:t xml:space="preserve"> </w:t>
      </w:r>
      <w:r w:rsidR="00D50BF6">
        <w:rPr>
          <w:rFonts w:ascii="Arial" w:eastAsia="Arial" w:hAnsi="Arial" w:cs="Arial"/>
          <w:sz w:val="22"/>
          <w:szCs w:val="22"/>
          <w:lang w:eastAsia="es-ES"/>
        </w:rPr>
        <w:t>s</w:t>
      </w:r>
      <w:r>
        <w:rPr>
          <w:rFonts w:ascii="Arial" w:eastAsia="Arial" w:hAnsi="Arial" w:cs="Arial"/>
          <w:sz w:val="22"/>
          <w:szCs w:val="22"/>
          <w:lang w:eastAsia="es-ES"/>
        </w:rPr>
        <w:t>o</w:t>
      </w:r>
      <w:r w:rsidR="00D50BF6">
        <w:rPr>
          <w:rFonts w:ascii="Arial" w:eastAsia="Arial" w:hAnsi="Arial" w:cs="Arial"/>
          <w:sz w:val="22"/>
          <w:szCs w:val="22"/>
          <w:lang w:eastAsia="es-ES"/>
        </w:rPr>
        <w:t xml:space="preserve">lo se calcula con el </w:t>
      </w:r>
      <w:r w:rsidR="00D50BF6" w:rsidRPr="00C26B8F">
        <w:rPr>
          <w:rFonts w:ascii="Arial" w:eastAsia="Arial" w:hAnsi="Arial" w:cs="Arial"/>
          <w:sz w:val="22"/>
          <w:szCs w:val="22"/>
          <w:lang w:eastAsia="es-ES"/>
        </w:rPr>
        <w:t>promedio aritmético simple de los promedios de los SMMLV</w:t>
      </w:r>
      <w:r w:rsidR="00DF381C">
        <w:rPr>
          <w:rFonts w:ascii="Arial" w:eastAsia="Arial" w:hAnsi="Arial" w:cs="Arial"/>
          <w:sz w:val="22"/>
          <w:szCs w:val="22"/>
          <w:lang w:eastAsia="es-ES"/>
        </w:rPr>
        <w:t xml:space="preserve"> de los contratos</w:t>
      </w:r>
      <w:r w:rsidR="00D50BF6" w:rsidRPr="00C26B8F">
        <w:rPr>
          <w:rFonts w:ascii="Arial" w:eastAsia="Arial" w:hAnsi="Arial" w:cs="Arial"/>
          <w:sz w:val="22"/>
          <w:szCs w:val="22"/>
          <w:lang w:eastAsia="es-ES"/>
        </w:rPr>
        <w:t xml:space="preserve"> válidos </w:t>
      </w:r>
      <w:r w:rsidR="00796183">
        <w:rPr>
          <w:rFonts w:ascii="Arial" w:eastAsia="Arial" w:hAnsi="Arial" w:cs="Arial"/>
          <w:sz w:val="22"/>
          <w:szCs w:val="22"/>
          <w:lang w:eastAsia="es-ES"/>
        </w:rPr>
        <w:t>«</w:t>
      </w:r>
      <w:r w:rsidR="00D50BF6" w:rsidRPr="008E0B9B">
        <w:rPr>
          <w:rFonts w:ascii="Arial" w:eastAsia="Arial" w:hAnsi="Arial" w:cs="Arial"/>
          <w:sz w:val="22"/>
          <w:szCs w:val="22"/>
          <w:lang w:eastAsia="es-ES"/>
        </w:rPr>
        <w:t xml:space="preserve">de las </w:t>
      </w:r>
      <w:r w:rsidR="00D50BF6" w:rsidRPr="00796183">
        <w:rPr>
          <w:rFonts w:ascii="Arial" w:eastAsia="Arial" w:hAnsi="Arial" w:cs="Arial"/>
          <w:i/>
          <w:iCs/>
          <w:sz w:val="22"/>
          <w:szCs w:val="22"/>
          <w:lang w:eastAsia="es-ES"/>
        </w:rPr>
        <w:t>otras</w:t>
      </w:r>
      <w:r w:rsidR="00D50BF6" w:rsidRPr="008E0B9B">
        <w:rPr>
          <w:rFonts w:ascii="Arial" w:eastAsia="Arial" w:hAnsi="Arial" w:cs="Arial"/>
          <w:sz w:val="22"/>
          <w:szCs w:val="22"/>
          <w:lang w:eastAsia="es-ES"/>
        </w:rPr>
        <w:t xml:space="preserve"> propuestas habilitadas</w:t>
      </w:r>
      <w:r w:rsidR="00796183">
        <w:rPr>
          <w:rFonts w:ascii="Arial" w:eastAsia="Arial" w:hAnsi="Arial" w:cs="Arial"/>
          <w:sz w:val="22"/>
          <w:szCs w:val="22"/>
          <w:lang w:eastAsia="es-ES"/>
        </w:rPr>
        <w:t>»</w:t>
      </w:r>
      <w:r w:rsidR="00D50BF6">
        <w:rPr>
          <w:rFonts w:ascii="Arial" w:eastAsia="Arial" w:hAnsi="Arial" w:cs="Arial"/>
          <w:sz w:val="22"/>
          <w:szCs w:val="22"/>
          <w:lang w:eastAsia="es-ES"/>
        </w:rPr>
        <w:t>.</w:t>
      </w:r>
      <w:r w:rsidR="00414696" w:rsidRPr="00E0681A">
        <w:rPr>
          <w:rFonts w:ascii="Arial" w:eastAsia="Calibri" w:hAnsi="Arial" w:cs="Arial"/>
          <w:bCs/>
          <w:color w:val="000000" w:themeColor="text1"/>
          <w:sz w:val="22"/>
          <w:szCs w:val="22"/>
          <w:lang w:val="es-MX"/>
        </w:rPr>
        <w:tab/>
      </w:r>
      <w:r w:rsidR="00414696" w:rsidRPr="00E0681A">
        <w:rPr>
          <w:rFonts w:ascii="Arial" w:hAnsi="Arial" w:cs="Arial"/>
          <w:sz w:val="22"/>
          <w:szCs w:val="22"/>
          <w:shd w:val="clear" w:color="auto" w:fill="FFFFFF"/>
          <w:lang w:val="es-MX"/>
        </w:rPr>
        <w:t xml:space="preserve"> </w:t>
      </w:r>
    </w:p>
    <w:p w14:paraId="6EAF63B2" w14:textId="77777777" w:rsidR="00796183" w:rsidRPr="00DF381C" w:rsidRDefault="00796183" w:rsidP="00DF381C">
      <w:pPr>
        <w:tabs>
          <w:tab w:val="left" w:pos="426"/>
        </w:tabs>
        <w:spacing w:line="276" w:lineRule="auto"/>
        <w:jc w:val="both"/>
        <w:rPr>
          <w:rFonts w:ascii="Arial" w:hAnsi="Arial" w:cs="Arial"/>
          <w:sz w:val="22"/>
          <w:szCs w:val="22"/>
          <w:shd w:val="clear" w:color="auto" w:fill="FFFFFF"/>
          <w:lang w:val="es-MX"/>
        </w:rPr>
      </w:pPr>
    </w:p>
    <w:p w14:paraId="4A54C765" w14:textId="3EE55D73" w:rsidR="00414696" w:rsidRPr="00E0681A" w:rsidRDefault="00414696" w:rsidP="009C2695">
      <w:pPr>
        <w:spacing w:line="276" w:lineRule="auto"/>
        <w:jc w:val="both"/>
        <w:rPr>
          <w:rFonts w:ascii="Arial" w:eastAsia="Calibri" w:hAnsi="Arial" w:cs="Arial"/>
          <w:color w:val="000000" w:themeColor="text1"/>
          <w:sz w:val="22"/>
          <w:szCs w:val="22"/>
          <w:lang w:val="es-MX"/>
        </w:rPr>
      </w:pPr>
      <w:r w:rsidRPr="00E0681A">
        <w:rPr>
          <w:rFonts w:ascii="Arial" w:eastAsia="Calibri" w:hAnsi="Arial" w:cs="Arial"/>
          <w:color w:val="000000" w:themeColor="text1"/>
          <w:sz w:val="22"/>
          <w:szCs w:val="22"/>
          <w:lang w:val="es-MX"/>
        </w:rPr>
        <w:lastRenderedPageBreak/>
        <w:t>Este concepto tiene el alcance previsto en el artículo 28 del Código de Procedimiento Administrativo y de lo Contencioso Administrativo.</w:t>
      </w:r>
    </w:p>
    <w:p w14:paraId="3172504C" w14:textId="77777777" w:rsidR="00414696" w:rsidRPr="00E0681A" w:rsidRDefault="00414696" w:rsidP="00414696">
      <w:pPr>
        <w:ind w:firstLine="709"/>
        <w:jc w:val="both"/>
        <w:rPr>
          <w:rFonts w:ascii="Arial" w:eastAsia="Calibri" w:hAnsi="Arial" w:cs="Arial"/>
          <w:color w:val="000000" w:themeColor="text1"/>
          <w:sz w:val="22"/>
          <w:szCs w:val="22"/>
          <w:lang w:val="es-MX"/>
        </w:rPr>
      </w:pPr>
    </w:p>
    <w:p w14:paraId="097F4EF3" w14:textId="77777777" w:rsidR="00414696" w:rsidRPr="00E0681A" w:rsidRDefault="00414696" w:rsidP="00414696">
      <w:pPr>
        <w:jc w:val="both"/>
        <w:rPr>
          <w:rFonts w:ascii="Arial" w:hAnsi="Arial" w:cs="Arial"/>
          <w:color w:val="000000" w:themeColor="text1"/>
          <w:sz w:val="22"/>
          <w:szCs w:val="22"/>
          <w:lang w:val="es-MX" w:eastAsia="es-CO"/>
        </w:rPr>
      </w:pPr>
      <w:r w:rsidRPr="00E0681A">
        <w:rPr>
          <w:rFonts w:ascii="Arial" w:hAnsi="Arial" w:cs="Arial"/>
          <w:color w:val="000000" w:themeColor="text1"/>
          <w:sz w:val="22"/>
          <w:szCs w:val="22"/>
          <w:lang w:val="es-MX" w:eastAsia="es-CO"/>
        </w:rPr>
        <w:t>Atentamente,</w:t>
      </w:r>
    </w:p>
    <w:p w14:paraId="740483DC" w14:textId="77777777" w:rsidR="00414696" w:rsidRPr="009C0CE5" w:rsidRDefault="00414696" w:rsidP="00414696">
      <w:pPr>
        <w:jc w:val="center"/>
        <w:rPr>
          <w:rFonts w:ascii="Arial" w:hAnsi="Arial" w:cs="Arial"/>
          <w:color w:val="000000" w:themeColor="text1"/>
          <w:sz w:val="18"/>
          <w:szCs w:val="20"/>
          <w:lang w:val="es-MX" w:eastAsia="es-CO"/>
        </w:rPr>
      </w:pPr>
    </w:p>
    <w:p w14:paraId="6C4388FA" w14:textId="733C4362" w:rsidR="00414696" w:rsidRPr="009C0CE5" w:rsidRDefault="003458FB" w:rsidP="00414696">
      <w:pPr>
        <w:jc w:val="center"/>
        <w:rPr>
          <w:rFonts w:ascii="Arial" w:hAnsi="Arial" w:cs="Arial"/>
          <w:sz w:val="18"/>
          <w:szCs w:val="20"/>
          <w:lang w:val="es-MX" w:eastAsia="es-CO"/>
        </w:rPr>
      </w:pPr>
      <w:r>
        <w:rPr>
          <w:noProof/>
        </w:rPr>
        <w:drawing>
          <wp:inline distT="0" distB="0" distL="0" distR="0" wp14:anchorId="69F2030E" wp14:editId="046C250E">
            <wp:extent cx="2371725" cy="1000125"/>
            <wp:effectExtent l="0" t="0" r="0" b="0"/>
            <wp:docPr id="618322011" name="Imagen 6183220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22011" name="Imagen 61832201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75EADAF9" w14:textId="77777777" w:rsidR="00414696" w:rsidRPr="009C0CE5" w:rsidRDefault="00414696" w:rsidP="00414696">
      <w:pPr>
        <w:spacing w:line="276" w:lineRule="auto"/>
        <w:jc w:val="center"/>
        <w:rPr>
          <w:rFonts w:ascii="Calibri" w:eastAsia="Calibri" w:hAnsi="Calibri"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14696" w:rsidRPr="009C0CE5" w14:paraId="643518C3" w14:textId="77777777" w:rsidTr="00086957">
        <w:trPr>
          <w:trHeight w:val="315"/>
        </w:trPr>
        <w:tc>
          <w:tcPr>
            <w:tcW w:w="812" w:type="dxa"/>
            <w:vAlign w:val="center"/>
            <w:hideMark/>
          </w:tcPr>
          <w:p w14:paraId="4DDF81E9"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1287A070" w14:textId="326C5D46" w:rsidR="00414696" w:rsidRPr="009C0CE5" w:rsidRDefault="004D6E48" w:rsidP="00414696">
            <w:pPr>
              <w:rPr>
                <w:rFonts w:ascii="Arial" w:eastAsia="Calibri" w:hAnsi="Arial" w:cs="Arial"/>
                <w:sz w:val="16"/>
                <w:szCs w:val="16"/>
                <w:lang w:val="es-ES_tradnl" w:eastAsia="es-ES"/>
              </w:rPr>
            </w:pPr>
            <w:r>
              <w:rPr>
                <w:rFonts w:ascii="Arial" w:eastAsia="Calibri" w:hAnsi="Arial" w:cs="Arial"/>
                <w:sz w:val="16"/>
                <w:szCs w:val="16"/>
                <w:lang w:val="es-ES_tradnl" w:eastAsia="es-ES"/>
              </w:rPr>
              <w:t>Felipe Bastidas Paredes</w:t>
            </w:r>
          </w:p>
          <w:p w14:paraId="7822A587" w14:textId="77777777"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Contratista de la Subdirección de Gestión Contractual</w:t>
            </w:r>
          </w:p>
        </w:tc>
      </w:tr>
      <w:tr w:rsidR="00414696" w:rsidRPr="009C0CE5" w14:paraId="2BDC5B66" w14:textId="77777777" w:rsidTr="00086957">
        <w:trPr>
          <w:trHeight w:val="330"/>
        </w:trPr>
        <w:tc>
          <w:tcPr>
            <w:tcW w:w="812" w:type="dxa"/>
            <w:vAlign w:val="center"/>
            <w:hideMark/>
          </w:tcPr>
          <w:p w14:paraId="6403E042"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349A6DE" w14:textId="03FE621D" w:rsidR="00414696" w:rsidRPr="009C0CE5" w:rsidRDefault="00DF381C" w:rsidP="00414696">
            <w:pPr>
              <w:rPr>
                <w:rFonts w:ascii="Arial" w:eastAsia="Calibri" w:hAnsi="Arial" w:cs="Arial"/>
                <w:sz w:val="16"/>
                <w:szCs w:val="16"/>
                <w:lang w:val="es-ES_tradnl" w:eastAsia="es-ES"/>
              </w:rPr>
            </w:pPr>
            <w:r>
              <w:rPr>
                <w:rFonts w:ascii="Arial" w:eastAsia="Calibri" w:hAnsi="Arial" w:cs="Arial"/>
                <w:sz w:val="16"/>
                <w:szCs w:val="16"/>
                <w:lang w:val="es-ES_tradnl" w:eastAsia="es-ES"/>
              </w:rPr>
              <w:t>Sebastián Ramírez Grisales</w:t>
            </w:r>
          </w:p>
          <w:p w14:paraId="306CE201" w14:textId="7F9FDE70" w:rsidR="00414696" w:rsidRPr="009C0CE5" w:rsidRDefault="00E328FA"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 xml:space="preserve">Contratista de la </w:t>
            </w:r>
            <w:r w:rsidR="00414696" w:rsidRPr="009C0CE5">
              <w:rPr>
                <w:rFonts w:ascii="Arial" w:eastAsia="Calibri" w:hAnsi="Arial" w:cs="Arial"/>
                <w:sz w:val="16"/>
                <w:szCs w:val="16"/>
                <w:lang w:val="es-ES_tradnl" w:eastAsia="es-ES"/>
              </w:rPr>
              <w:t>Subdirección de Gestión Contractual</w:t>
            </w:r>
          </w:p>
          <w:p w14:paraId="5C2716E7" w14:textId="77777777" w:rsidR="00E128C2" w:rsidRPr="009C0CE5" w:rsidRDefault="00E128C2" w:rsidP="00E128C2">
            <w:pPr>
              <w:rPr>
                <w:rFonts w:ascii="Arial" w:hAnsi="Arial" w:cs="Arial"/>
                <w:color w:val="000000" w:themeColor="text1"/>
                <w:sz w:val="16"/>
                <w:szCs w:val="16"/>
                <w:lang w:val="es-ES" w:eastAsia="es-ES"/>
              </w:rPr>
            </w:pPr>
            <w:r w:rsidRPr="009C0CE5">
              <w:rPr>
                <w:rFonts w:ascii="Arial" w:hAnsi="Arial" w:cs="Arial"/>
                <w:color w:val="000000" w:themeColor="text1"/>
                <w:sz w:val="16"/>
                <w:szCs w:val="16"/>
                <w:lang w:val="es-ES" w:eastAsia="es-ES"/>
              </w:rPr>
              <w:t xml:space="preserve">Karlo Fernández Cala </w:t>
            </w:r>
          </w:p>
          <w:p w14:paraId="567A4600" w14:textId="62A69440" w:rsidR="00E128C2" w:rsidRPr="009C0CE5" w:rsidRDefault="00E128C2" w:rsidP="00E128C2">
            <w:pPr>
              <w:rPr>
                <w:rFonts w:ascii="Arial" w:eastAsia="Calibri" w:hAnsi="Arial" w:cs="Arial"/>
                <w:sz w:val="16"/>
                <w:szCs w:val="16"/>
                <w:lang w:val="es-ES_tradnl" w:eastAsia="es-ES"/>
              </w:rPr>
            </w:pPr>
            <w:r w:rsidRPr="009C0CE5">
              <w:rPr>
                <w:rFonts w:ascii="Arial" w:hAnsi="Arial" w:cs="Arial"/>
                <w:color w:val="000000" w:themeColor="text1"/>
                <w:sz w:val="16"/>
                <w:szCs w:val="16"/>
                <w:lang w:val="es-ES" w:eastAsia="es-ES"/>
              </w:rPr>
              <w:t>Gestor T1 – 15 de la Dirección General</w:t>
            </w:r>
          </w:p>
        </w:tc>
      </w:tr>
      <w:tr w:rsidR="00414696" w:rsidRPr="00414696" w14:paraId="606E0988" w14:textId="77777777" w:rsidTr="00086957">
        <w:trPr>
          <w:trHeight w:val="300"/>
        </w:trPr>
        <w:tc>
          <w:tcPr>
            <w:tcW w:w="812" w:type="dxa"/>
            <w:vAlign w:val="center"/>
            <w:hideMark/>
          </w:tcPr>
          <w:p w14:paraId="3FAB1306"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105A526" w14:textId="77777777" w:rsidR="00414696" w:rsidRPr="009C0CE5" w:rsidRDefault="00414696" w:rsidP="00414696">
            <w:pPr>
              <w:rPr>
                <w:rFonts w:ascii="Arial" w:eastAsia="Calibri" w:hAnsi="Arial" w:cs="Arial"/>
                <w:sz w:val="16"/>
                <w:szCs w:val="16"/>
                <w:lang w:val="pt-BR" w:eastAsia="es-ES"/>
              </w:rPr>
            </w:pPr>
            <w:r w:rsidRPr="009C0CE5">
              <w:rPr>
                <w:rFonts w:ascii="Arial" w:eastAsia="Calibri" w:hAnsi="Arial" w:cs="Arial"/>
                <w:sz w:val="16"/>
                <w:szCs w:val="16"/>
                <w:lang w:val="pt-BR" w:eastAsia="es-ES"/>
              </w:rPr>
              <w:t>Jorge Augusto Tirado Navarro</w:t>
            </w:r>
          </w:p>
          <w:p w14:paraId="709D5FB8" w14:textId="77777777" w:rsidR="00414696" w:rsidRPr="00414696" w:rsidRDefault="00414696" w:rsidP="00414696">
            <w:pPr>
              <w:rPr>
                <w:rFonts w:ascii="Arial" w:eastAsia="Calibri" w:hAnsi="Arial" w:cs="Arial"/>
                <w:sz w:val="16"/>
                <w:szCs w:val="16"/>
                <w:lang w:val="pt-BR" w:eastAsia="es-ES"/>
              </w:rPr>
            </w:pPr>
            <w:proofErr w:type="spellStart"/>
            <w:r w:rsidRPr="009C0CE5">
              <w:rPr>
                <w:rFonts w:ascii="Arial" w:eastAsia="Calibri" w:hAnsi="Arial" w:cs="Arial"/>
                <w:sz w:val="16"/>
                <w:szCs w:val="16"/>
                <w:lang w:eastAsia="es-ES"/>
              </w:rPr>
              <w:t>Subdirecto</w:t>
            </w:r>
            <w:proofErr w:type="spellEnd"/>
            <w:r w:rsidRPr="009C0CE5">
              <w:rPr>
                <w:rFonts w:ascii="Arial" w:eastAsia="Calibri" w:hAnsi="Arial" w:cs="Arial"/>
                <w:sz w:val="16"/>
                <w:szCs w:val="16"/>
                <w:lang w:val="pt-BR" w:eastAsia="es-ES"/>
              </w:rPr>
              <w:t xml:space="preserve">r de </w:t>
            </w:r>
            <w:proofErr w:type="spellStart"/>
            <w:r w:rsidRPr="009C0CE5">
              <w:rPr>
                <w:rFonts w:ascii="Arial" w:eastAsia="Calibri" w:hAnsi="Arial" w:cs="Arial"/>
                <w:sz w:val="16"/>
                <w:szCs w:val="16"/>
                <w:lang w:val="pt-BR" w:eastAsia="es-ES"/>
              </w:rPr>
              <w:t>Gestión</w:t>
            </w:r>
            <w:proofErr w:type="spellEnd"/>
            <w:r w:rsidRPr="009C0CE5">
              <w:rPr>
                <w:rFonts w:ascii="Arial" w:eastAsia="Calibri" w:hAnsi="Arial" w:cs="Arial"/>
                <w:sz w:val="16"/>
                <w:szCs w:val="16"/>
                <w:lang w:val="pt-BR" w:eastAsia="es-ES"/>
              </w:rPr>
              <w:t xml:space="preserve"> </w:t>
            </w:r>
            <w:proofErr w:type="spellStart"/>
            <w:r w:rsidRPr="009C0CE5">
              <w:rPr>
                <w:rFonts w:ascii="Arial" w:eastAsia="Calibri" w:hAnsi="Arial" w:cs="Arial"/>
                <w:sz w:val="16"/>
                <w:szCs w:val="16"/>
                <w:lang w:val="pt-BR" w:eastAsia="es-ES"/>
              </w:rPr>
              <w:t>Contractual</w:t>
            </w:r>
            <w:proofErr w:type="spellEnd"/>
            <w:r w:rsidRPr="009C0CE5">
              <w:rPr>
                <w:rFonts w:ascii="Arial" w:eastAsia="Calibri" w:hAnsi="Arial" w:cs="Arial"/>
                <w:sz w:val="16"/>
                <w:szCs w:val="16"/>
                <w:lang w:val="pt-BR" w:eastAsia="es-ES"/>
              </w:rPr>
              <w:t xml:space="preserve"> ANCP - CCE</w:t>
            </w:r>
          </w:p>
        </w:tc>
      </w:tr>
    </w:tbl>
    <w:p w14:paraId="787091A0" w14:textId="77777777" w:rsidR="00414696" w:rsidRPr="00414696" w:rsidRDefault="00414696" w:rsidP="00414696">
      <w:pPr>
        <w:spacing w:line="276" w:lineRule="auto"/>
        <w:jc w:val="both"/>
        <w:rPr>
          <w:rFonts w:ascii="Arial" w:hAnsi="Arial" w:cs="Arial"/>
          <w:color w:val="000000"/>
          <w:lang w:val="es-ES_tradnl" w:eastAsia="es-CO"/>
        </w:rPr>
      </w:pPr>
    </w:p>
    <w:p w14:paraId="4BF660F6" w14:textId="77777777" w:rsidR="00414696" w:rsidRPr="0061508E" w:rsidRDefault="00414696" w:rsidP="00824C57">
      <w:pPr>
        <w:pStyle w:val="Textoindependiente"/>
        <w:spacing w:after="120" w:line="276" w:lineRule="auto"/>
        <w:ind w:firstLine="708"/>
        <w:jc w:val="both"/>
      </w:pPr>
    </w:p>
    <w:p w14:paraId="5ABB9ED2" w14:textId="184A2916" w:rsidR="000B2DD3" w:rsidRPr="000B2DD3" w:rsidRDefault="000B2DD3" w:rsidP="000B2DD3">
      <w:pPr>
        <w:spacing w:after="120" w:line="276" w:lineRule="auto"/>
        <w:jc w:val="both"/>
        <w:rPr>
          <w:rFonts w:ascii="Arial" w:hAnsi="Arial" w:cs="Arial"/>
          <w:color w:val="000000"/>
          <w:lang w:val="es-ES_tradnl"/>
        </w:rPr>
      </w:pPr>
    </w:p>
    <w:p w14:paraId="6E300063" w14:textId="77777777" w:rsidR="00F22DD8" w:rsidRDefault="00F22DD8" w:rsidP="000B2DD3">
      <w:pPr>
        <w:pStyle w:val="Textoindependiente"/>
        <w:spacing w:after="120" w:line="276" w:lineRule="auto"/>
        <w:jc w:val="both"/>
        <w:rPr>
          <w:rFonts w:ascii="Arial" w:hAnsi="Arial" w:cs="Arial"/>
        </w:rPr>
      </w:pPr>
    </w:p>
    <w:p w14:paraId="5EB5DA68" w14:textId="1A0EBB23" w:rsidR="00247529" w:rsidRPr="00DA2B5A" w:rsidRDefault="00247529" w:rsidP="00DA2B5A">
      <w:pPr>
        <w:pStyle w:val="Textoindependiente"/>
        <w:spacing w:after="120" w:line="276" w:lineRule="auto"/>
        <w:ind w:firstLine="708"/>
        <w:jc w:val="both"/>
        <w:rPr>
          <w:rFonts w:ascii="Arial" w:hAnsi="Arial" w:cs="Arial"/>
        </w:rPr>
      </w:pPr>
    </w:p>
    <w:p w14:paraId="19CB3C99" w14:textId="77777777" w:rsidR="003255AD" w:rsidRDefault="003255AD"/>
    <w:sectPr w:rsidR="003255A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465D" w14:textId="77777777" w:rsidR="00877A29" w:rsidRDefault="00877A29" w:rsidP="001B6E09">
      <w:r>
        <w:separator/>
      </w:r>
    </w:p>
  </w:endnote>
  <w:endnote w:type="continuationSeparator" w:id="0">
    <w:p w14:paraId="3685EB02" w14:textId="77777777" w:rsidR="00877A29" w:rsidRDefault="00877A29" w:rsidP="001B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ò">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CB3" w14:textId="77777777" w:rsidR="00B4322C" w:rsidRDefault="00B4322C" w:rsidP="00F0158F">
    <w:pPr>
      <w:pStyle w:val="Sinespaciado"/>
      <w:jc w:val="right"/>
      <w:rPr>
        <w:rFonts w:ascii="Arial" w:hAnsi="Arial" w:cs="Arial"/>
        <w:sz w:val="18"/>
        <w:szCs w:val="18"/>
      </w:rPr>
    </w:pPr>
  </w:p>
  <w:p w14:paraId="30D8079B" w14:textId="77777777" w:rsidR="00F0158F" w:rsidRPr="008F0443" w:rsidRDefault="00F0158F" w:rsidP="00F0158F">
    <w:pPr>
      <w:pStyle w:val="Piedepgina"/>
      <w:jc w:val="right"/>
      <w:rPr>
        <w:rFonts w:ascii="Arial" w:hAnsi="Arial" w:cs="Arial"/>
        <w:color w:val="7F7F7F"/>
        <w:sz w:val="16"/>
        <w:szCs w:val="16"/>
      </w:rPr>
    </w:pPr>
    <w:r w:rsidRPr="008F0443">
      <w:rPr>
        <w:rFonts w:ascii="Arial" w:hAnsi="Arial" w:cs="Arial"/>
        <w:bCs/>
        <w:color w:val="7F7F7F"/>
        <w:sz w:val="16"/>
        <w:szCs w:val="16"/>
      </w:rPr>
      <w:t xml:space="preserve">Página </w:t>
    </w:r>
    <w:r w:rsidRPr="008F0443">
      <w:rPr>
        <w:rFonts w:ascii="Arial" w:hAnsi="Arial" w:cs="Arial"/>
        <w:b/>
        <w:bCs/>
        <w:color w:val="7F7F7F"/>
        <w:sz w:val="16"/>
        <w:szCs w:val="16"/>
      </w:rPr>
      <w:fldChar w:fldCharType="begin"/>
    </w:r>
    <w:r w:rsidRPr="008F0443">
      <w:rPr>
        <w:rFonts w:ascii="Arial" w:hAnsi="Arial" w:cs="Arial"/>
        <w:b/>
        <w:bCs/>
        <w:color w:val="7F7F7F"/>
        <w:sz w:val="16"/>
        <w:szCs w:val="16"/>
      </w:rPr>
      <w:instrText>PAGE  \* Arabic  \* MERGEFORMAT</w:instrText>
    </w:r>
    <w:r w:rsidRPr="008F0443">
      <w:rPr>
        <w:rFonts w:ascii="Arial" w:hAnsi="Arial" w:cs="Arial"/>
        <w:b/>
        <w:bCs/>
        <w:color w:val="7F7F7F"/>
        <w:sz w:val="16"/>
        <w:szCs w:val="16"/>
      </w:rPr>
      <w:fldChar w:fldCharType="separate"/>
    </w:r>
    <w:r w:rsidRPr="008F0443">
      <w:rPr>
        <w:rFonts w:ascii="Arial" w:hAnsi="Arial" w:cs="Arial"/>
        <w:b/>
        <w:bCs/>
        <w:color w:val="7F7F7F"/>
        <w:sz w:val="16"/>
        <w:szCs w:val="16"/>
      </w:rPr>
      <w:t>9</w:t>
    </w:r>
    <w:r w:rsidRPr="008F0443">
      <w:rPr>
        <w:rFonts w:ascii="Arial" w:hAnsi="Arial" w:cs="Arial"/>
        <w:b/>
        <w:bCs/>
        <w:color w:val="7F7F7F"/>
        <w:sz w:val="16"/>
        <w:szCs w:val="16"/>
      </w:rPr>
      <w:fldChar w:fldCharType="end"/>
    </w:r>
    <w:r w:rsidRPr="008F0443">
      <w:rPr>
        <w:rFonts w:ascii="Arial" w:hAnsi="Arial" w:cs="Arial"/>
        <w:color w:val="7F7F7F"/>
        <w:sz w:val="16"/>
        <w:szCs w:val="16"/>
      </w:rPr>
      <w:t xml:space="preserve"> de </w:t>
    </w:r>
    <w:r w:rsidRPr="008F0443">
      <w:rPr>
        <w:rFonts w:ascii="Arial" w:hAnsi="Arial" w:cs="Arial"/>
        <w:b/>
        <w:bCs/>
        <w:color w:val="7F7F7F"/>
        <w:sz w:val="16"/>
        <w:szCs w:val="16"/>
      </w:rPr>
      <w:fldChar w:fldCharType="begin"/>
    </w:r>
    <w:r w:rsidRPr="008F0443">
      <w:rPr>
        <w:rFonts w:ascii="Arial" w:hAnsi="Arial" w:cs="Arial"/>
        <w:b/>
        <w:bCs/>
        <w:color w:val="7F7F7F"/>
        <w:sz w:val="16"/>
        <w:szCs w:val="16"/>
      </w:rPr>
      <w:instrText>NUMPAGES  \* Arabic  \* MERGEFORMAT</w:instrText>
    </w:r>
    <w:r w:rsidRPr="008F0443">
      <w:rPr>
        <w:rFonts w:ascii="Arial" w:hAnsi="Arial" w:cs="Arial"/>
        <w:b/>
        <w:bCs/>
        <w:color w:val="7F7F7F"/>
        <w:sz w:val="16"/>
        <w:szCs w:val="16"/>
      </w:rPr>
      <w:fldChar w:fldCharType="separate"/>
    </w:r>
    <w:r w:rsidRPr="008F0443">
      <w:rPr>
        <w:rFonts w:ascii="Arial" w:hAnsi="Arial" w:cs="Arial"/>
        <w:b/>
        <w:bCs/>
        <w:color w:val="7F7F7F"/>
        <w:sz w:val="16"/>
        <w:szCs w:val="16"/>
      </w:rPr>
      <w:t>17</w:t>
    </w:r>
    <w:r w:rsidRPr="008F0443">
      <w:rPr>
        <w:rFonts w:ascii="Arial" w:hAnsi="Arial" w:cs="Arial"/>
        <w:b/>
        <w:bCs/>
        <w:color w:val="7F7F7F"/>
        <w:sz w:val="16"/>
        <w:szCs w:val="16"/>
      </w:rPr>
      <w:fldChar w:fldCharType="end"/>
    </w:r>
  </w:p>
  <w:p w14:paraId="79BE41C8" w14:textId="48A47668" w:rsidR="00FB1F1F" w:rsidRDefault="00F0158F" w:rsidP="00F0158F">
    <w:pPr>
      <w:pStyle w:val="Piedepgina"/>
      <w:jc w:val="center"/>
    </w:pPr>
    <w:r>
      <w:rPr>
        <w:noProof/>
        <w:lang w:val="es-419" w:eastAsia="es-419"/>
      </w:rPr>
      <w:drawing>
        <wp:inline distT="0" distB="0" distL="0" distR="0" wp14:anchorId="685F61C6" wp14:editId="2E36DBA5">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3F9" w14:textId="77777777" w:rsidR="00877A29" w:rsidRDefault="00877A29" w:rsidP="001B6E09">
      <w:r>
        <w:separator/>
      </w:r>
    </w:p>
  </w:footnote>
  <w:footnote w:type="continuationSeparator" w:id="0">
    <w:p w14:paraId="67CFD559" w14:textId="77777777" w:rsidR="00877A29" w:rsidRDefault="00877A29" w:rsidP="001B6E09">
      <w:r>
        <w:continuationSeparator/>
      </w:r>
    </w:p>
  </w:footnote>
  <w:footnote w:id="1">
    <w:p w14:paraId="0B21ECFF" w14:textId="77777777" w:rsidR="00FE650E" w:rsidRPr="000549D1" w:rsidRDefault="00FE650E" w:rsidP="00FE650E">
      <w:pPr>
        <w:pStyle w:val="Textonotapie"/>
        <w:ind w:firstLine="709"/>
        <w:jc w:val="both"/>
        <w:rPr>
          <w:rFonts w:ascii="Arial" w:hAnsi="Arial" w:cs="Arial"/>
          <w:color w:val="000000"/>
          <w:sz w:val="19"/>
          <w:szCs w:val="19"/>
        </w:rPr>
      </w:pPr>
      <w:r w:rsidRPr="000549D1">
        <w:rPr>
          <w:rStyle w:val="Refdenotaalpie"/>
          <w:rFonts w:ascii="Arial" w:hAnsi="Arial" w:cs="Arial"/>
          <w:color w:val="000000"/>
          <w:sz w:val="19"/>
          <w:szCs w:val="19"/>
        </w:rPr>
        <w:footnoteRef/>
      </w:r>
      <w:r w:rsidRPr="000549D1">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F8D9E9F" w14:textId="77777777" w:rsidR="00FE650E" w:rsidRPr="000549D1" w:rsidRDefault="00FE650E" w:rsidP="00FE650E">
      <w:pPr>
        <w:pStyle w:val="Textonotapie"/>
        <w:ind w:firstLine="709"/>
        <w:jc w:val="both"/>
        <w:rPr>
          <w:rFonts w:ascii="Arial" w:hAnsi="Arial" w:cs="Arial"/>
          <w:color w:val="000000"/>
          <w:sz w:val="19"/>
          <w:szCs w:val="19"/>
          <w:lang w:val="es-CO"/>
        </w:rPr>
      </w:pPr>
    </w:p>
  </w:footnote>
  <w:footnote w:id="2">
    <w:p w14:paraId="670B0523" w14:textId="77777777" w:rsidR="00FE650E" w:rsidRPr="000549D1" w:rsidRDefault="00FE650E" w:rsidP="00FE650E">
      <w:pPr>
        <w:pStyle w:val="Textonotapie"/>
        <w:ind w:firstLine="708"/>
        <w:jc w:val="both"/>
        <w:rPr>
          <w:rFonts w:ascii="Arial" w:hAnsi="Arial" w:cs="Arial"/>
          <w:color w:val="000000"/>
          <w:sz w:val="19"/>
          <w:szCs w:val="19"/>
        </w:rPr>
      </w:pPr>
      <w:r w:rsidRPr="000549D1">
        <w:rPr>
          <w:rStyle w:val="Refdenotaalpie"/>
          <w:rFonts w:ascii="Arial" w:hAnsi="Arial" w:cs="Arial"/>
          <w:color w:val="000000"/>
          <w:sz w:val="19"/>
          <w:szCs w:val="19"/>
        </w:rPr>
        <w:footnoteRef/>
      </w:r>
      <w:r w:rsidRPr="000549D1">
        <w:rPr>
          <w:rFonts w:ascii="Arial" w:hAnsi="Arial" w:cs="Arial"/>
          <w:color w:val="000000"/>
          <w:sz w:val="19"/>
          <w:szCs w:val="19"/>
        </w:rPr>
        <w:t xml:space="preserve"> «ARTÍCULO 1o. Modifíquese el artículo 4o de la Ley 1882 de 2018, el cual quedará así:</w:t>
      </w:r>
    </w:p>
    <w:p w14:paraId="2CD10594" w14:textId="77777777" w:rsidR="00FE650E" w:rsidRPr="000549D1" w:rsidRDefault="00FE650E" w:rsidP="00FE650E">
      <w:pPr>
        <w:pStyle w:val="Textonotapie"/>
        <w:ind w:firstLine="708"/>
        <w:jc w:val="both"/>
        <w:rPr>
          <w:rFonts w:ascii="Arial" w:hAnsi="Arial" w:cs="Arial"/>
          <w:color w:val="000000"/>
          <w:sz w:val="19"/>
          <w:szCs w:val="19"/>
        </w:rPr>
      </w:pPr>
      <w:r w:rsidRPr="000549D1">
        <w:rPr>
          <w:rFonts w:ascii="Arial" w:hAnsi="Arial" w:cs="Arial"/>
          <w:color w:val="000000"/>
          <w:sz w:val="19"/>
          <w:szCs w:val="19"/>
        </w:rPr>
        <w:t>»Artículo 4o. Adiciónese el siguiente parágrafo al artículo 2o de la Ley 1150 de 2007.</w:t>
      </w:r>
    </w:p>
    <w:p w14:paraId="69CFCDE3" w14:textId="77777777" w:rsidR="00FE650E" w:rsidRPr="000549D1" w:rsidRDefault="00FE650E" w:rsidP="00FE650E">
      <w:pPr>
        <w:pStyle w:val="Textonotapie"/>
        <w:ind w:firstLine="708"/>
        <w:jc w:val="both"/>
        <w:rPr>
          <w:rFonts w:ascii="Arial" w:hAnsi="Arial" w:cs="Arial"/>
          <w:color w:val="000000"/>
          <w:sz w:val="19"/>
          <w:szCs w:val="19"/>
        </w:rPr>
      </w:pPr>
      <w:r w:rsidRPr="000549D1">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41A7679" w14:textId="77777777" w:rsidR="00FE650E" w:rsidRPr="000549D1" w:rsidRDefault="00FE650E" w:rsidP="00FE650E">
      <w:pPr>
        <w:pStyle w:val="Textonotapie"/>
        <w:ind w:firstLine="708"/>
        <w:jc w:val="both"/>
        <w:rPr>
          <w:rFonts w:ascii="Arial" w:hAnsi="Arial" w:cs="Arial"/>
          <w:color w:val="000000"/>
          <w:sz w:val="19"/>
          <w:szCs w:val="19"/>
        </w:rPr>
      </w:pPr>
      <w:r w:rsidRPr="000549D1">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63FE735" w14:textId="77777777" w:rsidR="00FE650E" w:rsidRPr="000549D1" w:rsidRDefault="00FE650E" w:rsidP="00FE650E">
      <w:pPr>
        <w:pStyle w:val="Textonotapie"/>
        <w:ind w:firstLine="708"/>
        <w:jc w:val="both"/>
        <w:rPr>
          <w:rFonts w:ascii="Arial" w:hAnsi="Arial" w:cs="Arial"/>
          <w:color w:val="000000"/>
          <w:sz w:val="19"/>
          <w:szCs w:val="19"/>
        </w:rPr>
      </w:pPr>
      <w:r w:rsidRPr="000549D1">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C95C1A2" w14:textId="77777777" w:rsidR="00FE650E" w:rsidRPr="000549D1" w:rsidRDefault="00FE650E" w:rsidP="00FE650E">
      <w:pPr>
        <w:pStyle w:val="Textonotapie"/>
        <w:ind w:firstLine="708"/>
        <w:jc w:val="both"/>
        <w:rPr>
          <w:rFonts w:ascii="Arial" w:hAnsi="Arial" w:cs="Arial"/>
          <w:color w:val="000000"/>
          <w:sz w:val="19"/>
          <w:szCs w:val="19"/>
        </w:rPr>
      </w:pPr>
      <w:r w:rsidRPr="000549D1">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8323479" w14:textId="77777777" w:rsidR="00FE650E" w:rsidRPr="000549D1" w:rsidRDefault="00FE650E" w:rsidP="00FE650E">
      <w:pPr>
        <w:pStyle w:val="Textonotapie"/>
        <w:ind w:firstLine="708"/>
        <w:jc w:val="both"/>
        <w:rPr>
          <w:rFonts w:ascii="Arial" w:hAnsi="Arial" w:cs="Arial"/>
          <w:color w:val="000000"/>
          <w:sz w:val="19"/>
          <w:szCs w:val="19"/>
          <w:lang w:val="es-CO"/>
        </w:rPr>
      </w:pPr>
      <w:r w:rsidRPr="000549D1">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3">
    <w:p w14:paraId="7D692B5D" w14:textId="77777777" w:rsidR="00FA68D0" w:rsidRPr="00FA68D0" w:rsidRDefault="00FA68D0" w:rsidP="00FA68D0">
      <w:pPr>
        <w:pStyle w:val="Textonotapie"/>
        <w:ind w:firstLine="708"/>
        <w:jc w:val="both"/>
        <w:rPr>
          <w:rFonts w:ascii="Arial" w:hAnsi="Arial" w:cs="Arial"/>
          <w:color w:val="000000"/>
          <w:sz w:val="19"/>
          <w:szCs w:val="19"/>
        </w:rPr>
      </w:pPr>
      <w:r w:rsidRPr="00FA68D0">
        <w:rPr>
          <w:rStyle w:val="Refdenotaalpie"/>
          <w:rFonts w:ascii="Arial" w:hAnsi="Arial" w:cs="Arial"/>
          <w:color w:val="000000"/>
          <w:sz w:val="19"/>
          <w:szCs w:val="19"/>
        </w:rPr>
        <w:footnoteRef/>
      </w:r>
      <w:r w:rsidRPr="00FA68D0">
        <w:rPr>
          <w:rFonts w:ascii="Arial" w:hAnsi="Arial" w:cs="Arial"/>
          <w:color w:val="000000"/>
          <w:sz w:val="19"/>
          <w:szCs w:val="19"/>
        </w:rPr>
        <w:t xml:space="preserve"> </w:t>
      </w:r>
      <w:bookmarkStart w:id="1" w:name="32"/>
      <w:r w:rsidRPr="00FA68D0">
        <w:rPr>
          <w:rFonts w:ascii="Arial" w:hAnsi="Arial" w:cs="Arial"/>
          <w:color w:val="000000"/>
          <w:sz w:val="19"/>
          <w:szCs w:val="19"/>
        </w:rPr>
        <w:t>«Artículo 32. de los contratos estatales.</w:t>
      </w:r>
      <w:bookmarkEnd w:id="1"/>
      <w:r w:rsidRPr="00FA68D0">
        <w:rPr>
          <w:rFonts w:ascii="Arial" w:hAnsi="Arial" w:cs="Arial"/>
          <w:color w:val="000000"/>
          <w:sz w:val="19"/>
          <w:szCs w:val="19"/>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6B18A4E" w14:textId="77777777" w:rsidR="00FA68D0" w:rsidRPr="00FA68D0" w:rsidRDefault="00FA68D0" w:rsidP="00FA68D0">
      <w:pPr>
        <w:pStyle w:val="Textonotapie"/>
        <w:ind w:firstLine="708"/>
        <w:jc w:val="both"/>
        <w:rPr>
          <w:rFonts w:ascii="Arial" w:hAnsi="Arial" w:cs="Arial"/>
          <w:color w:val="000000"/>
          <w:sz w:val="19"/>
          <w:szCs w:val="19"/>
        </w:rPr>
      </w:pPr>
      <w:r w:rsidRPr="00FA68D0">
        <w:rPr>
          <w:rFonts w:ascii="Arial" w:hAnsi="Arial" w:cs="Arial"/>
          <w:color w:val="000000"/>
          <w:sz w:val="19"/>
          <w:szCs w:val="19"/>
        </w:rPr>
        <w:t>[…]</w:t>
      </w:r>
    </w:p>
    <w:p w14:paraId="2413A9C7"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 xml:space="preserve">»2o. </w:t>
      </w:r>
      <w:r w:rsidRPr="003C4619">
        <w:rPr>
          <w:rFonts w:ascii="Arial" w:hAnsi="Arial" w:cs="Arial"/>
          <w:i/>
          <w:iCs/>
          <w:color w:val="000000"/>
          <w:sz w:val="19"/>
          <w:szCs w:val="19"/>
          <w:lang w:val="es-CO"/>
        </w:rPr>
        <w:t>Contrato de Consultoría</w:t>
      </w:r>
      <w:r w:rsidRPr="00FA68D0">
        <w:rPr>
          <w:rFonts w:ascii="Arial" w:hAnsi="Arial" w:cs="Arial"/>
          <w:color w:val="000000"/>
          <w:sz w:val="19"/>
          <w:szCs w:val="19"/>
          <w:lang w:val="es-CO"/>
        </w:rPr>
        <w:t>.</w:t>
      </w:r>
    </w:p>
    <w:p w14:paraId="21651029"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 xml:space="preserve">Son contratos de consultoría los que celebren las entidades estatales referidos a los </w:t>
      </w:r>
      <w:r w:rsidRPr="003C4619">
        <w:rPr>
          <w:rFonts w:ascii="Arial" w:hAnsi="Arial" w:cs="Arial"/>
          <w:i/>
          <w:iCs/>
          <w:color w:val="000000"/>
          <w:sz w:val="19"/>
          <w:szCs w:val="19"/>
          <w:lang w:val="es-CO"/>
        </w:rPr>
        <w:t>estudios necesarios para la ejecución de proyectos de inversión, estudios de diagnóstico, prefactibilidad o factibilidad para programas o proyectos específicos</w:t>
      </w:r>
      <w:r w:rsidRPr="00FA68D0">
        <w:rPr>
          <w:rFonts w:ascii="Arial" w:hAnsi="Arial" w:cs="Arial"/>
          <w:color w:val="000000"/>
          <w:sz w:val="19"/>
          <w:szCs w:val="19"/>
          <w:lang w:val="es-CO"/>
        </w:rPr>
        <w:t>, así como a las asesorías técnicas de coordinación, control y supervisión.</w:t>
      </w:r>
    </w:p>
    <w:p w14:paraId="3D29B8B5" w14:textId="77777777" w:rsidR="00FA68D0" w:rsidRPr="00FA68D0" w:rsidRDefault="00FA68D0" w:rsidP="00FA68D0">
      <w:pPr>
        <w:pStyle w:val="Textonotapie"/>
        <w:ind w:firstLine="708"/>
        <w:jc w:val="both"/>
        <w:rPr>
          <w:rFonts w:ascii="Arial" w:hAnsi="Arial" w:cs="Arial"/>
          <w:color w:val="000000"/>
          <w:sz w:val="19"/>
          <w:szCs w:val="19"/>
          <w:lang w:val="es-CO"/>
        </w:rPr>
      </w:pPr>
      <w:r w:rsidRPr="003C4619">
        <w:rPr>
          <w:rFonts w:ascii="Arial" w:hAnsi="Arial" w:cs="Arial"/>
          <w:color w:val="000000"/>
          <w:sz w:val="19"/>
          <w:szCs w:val="19"/>
          <w:lang w:val="es-CO"/>
        </w:rPr>
        <w:t>Son también contratos de consultoría los que tienen por objeto la interventoría,</w:t>
      </w:r>
      <w:r w:rsidRPr="00FA68D0">
        <w:rPr>
          <w:rFonts w:ascii="Arial" w:hAnsi="Arial" w:cs="Arial"/>
          <w:color w:val="000000"/>
          <w:sz w:val="19"/>
          <w:szCs w:val="19"/>
          <w:lang w:val="es-CO"/>
        </w:rPr>
        <w:t xml:space="preserve"> asesoría, gerencia de obra o de proyectos, dirección, programación y la ejecución de diseños, planos, anteproyectos y proyectos.</w:t>
      </w:r>
    </w:p>
    <w:p w14:paraId="049FB9FF"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Ninguna orden del interventor de una obra podrá darse verbalmente. Es obligatorio para el interventor entregar por escrito sus órdenes o sugerencias y ellas deben enmarcarse dentro de los términos del respectivo contrato (Cursiva fuera del original).</w:t>
      </w:r>
    </w:p>
    <w:p w14:paraId="7EAF0EA0" w14:textId="77777777" w:rsidR="00FA68D0" w:rsidRPr="00FA68D0" w:rsidRDefault="00FA68D0" w:rsidP="00FA68D0">
      <w:pPr>
        <w:pStyle w:val="Textonotapie"/>
        <w:ind w:firstLine="708"/>
        <w:jc w:val="both"/>
        <w:rPr>
          <w:rFonts w:ascii="Arial" w:hAnsi="Arial" w:cs="Arial"/>
          <w:color w:val="000000"/>
          <w:sz w:val="19"/>
          <w:szCs w:val="19"/>
          <w:lang w:val="es-CO"/>
        </w:rPr>
      </w:pPr>
    </w:p>
  </w:footnote>
  <w:footnote w:id="4">
    <w:p w14:paraId="1CD109A9" w14:textId="77777777" w:rsidR="00FA68D0" w:rsidRPr="00FA68D0" w:rsidRDefault="00FA68D0" w:rsidP="00FA68D0">
      <w:pPr>
        <w:pStyle w:val="Textonotapie"/>
        <w:ind w:firstLine="708"/>
        <w:jc w:val="both"/>
        <w:rPr>
          <w:rFonts w:ascii="Arial" w:hAnsi="Arial" w:cs="Arial"/>
          <w:color w:val="000000"/>
          <w:sz w:val="19"/>
          <w:szCs w:val="19"/>
          <w:lang w:val="es-CO"/>
        </w:rPr>
      </w:pPr>
      <w:r>
        <w:rPr>
          <w:rStyle w:val="Refdenotaalpie"/>
        </w:rPr>
        <w:footnoteRef/>
      </w:r>
      <w:r>
        <w:t xml:space="preserve"> </w:t>
      </w:r>
      <w:r w:rsidRPr="00FA68D0">
        <w:rPr>
          <w:rFonts w:ascii="Arial" w:hAnsi="Arial" w:cs="Arial"/>
          <w:color w:val="000000"/>
          <w:sz w:val="19"/>
          <w:szCs w:val="19"/>
          <w:lang w:val="es-CO"/>
        </w:rPr>
        <w:t>Ley 1150 de 2007. «</w:t>
      </w:r>
      <w:bookmarkStart w:id="2" w:name="5"/>
      <w:r w:rsidRPr="00FA68D0">
        <w:rPr>
          <w:rFonts w:ascii="Arial" w:hAnsi="Arial" w:cs="Arial"/>
          <w:color w:val="000000"/>
          <w:sz w:val="19"/>
          <w:szCs w:val="19"/>
          <w:lang w:val="es-CO"/>
        </w:rPr>
        <w:t>Artículo 5o. De la selección objetiva.</w:t>
      </w:r>
      <w:bookmarkEnd w:id="2"/>
      <w:r w:rsidRPr="00FA68D0">
        <w:rPr>
          <w:rFonts w:ascii="Arial" w:hAnsi="Arial" w:cs="Arial"/>
          <w:color w:val="000000"/>
          <w:sz w:val="19"/>
          <w:szCs w:val="19"/>
          <w:lang w:val="es-CO"/>
        </w:rPr>
        <w:t>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A6C63DA"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w:t>
      </w:r>
    </w:p>
    <w:p w14:paraId="4B3F524D"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57451EFA"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»En ningún caso se podrá incluir el precio, como factor de escogencia para la selección de consultores».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3D3" w14:textId="0090FD7E" w:rsidR="00667EB6" w:rsidRDefault="00667EB6">
    <w:pPr>
      <w:pStyle w:val="Encabezado"/>
    </w:pPr>
    <w:r>
      <w:rPr>
        <w:noProof/>
        <w:lang w:val="es-419" w:eastAsia="es-419"/>
      </w:rPr>
      <w:drawing>
        <wp:anchor distT="0" distB="0" distL="114300" distR="114300" simplePos="0" relativeHeight="251659264" behindDoc="1" locked="0" layoutInCell="1" allowOverlap="1" wp14:anchorId="5A22559D" wp14:editId="0FBA02E4">
          <wp:simplePos x="0" y="0"/>
          <wp:positionH relativeFrom="margin">
            <wp:align>right</wp:align>
          </wp:positionH>
          <wp:positionV relativeFrom="paragraph">
            <wp:posOffset>-69215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811A4" w14:textId="77777777" w:rsidR="00667EB6" w:rsidRDefault="00667EB6">
    <w:pPr>
      <w:pStyle w:val="Encabezado"/>
      <w:rPr>
        <w:noProof/>
        <w:lang w:val="es-419" w:eastAsia="es-419"/>
      </w:rPr>
    </w:pPr>
  </w:p>
  <w:p w14:paraId="71CED935" w14:textId="78FF98AC" w:rsidR="00FB1F1F" w:rsidRDefault="00FB1F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7A3405"/>
    <w:multiLevelType w:val="multilevel"/>
    <w:tmpl w:val="AAB8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C70370"/>
    <w:multiLevelType w:val="hybridMultilevel"/>
    <w:tmpl w:val="5122FA9E"/>
    <w:lvl w:ilvl="0" w:tplc="240A0013">
      <w:start w:val="1"/>
      <w:numFmt w:val="upperRoman"/>
      <w:lvlText w:val="%1."/>
      <w:lvlJc w:val="right"/>
      <w:pPr>
        <w:ind w:left="720" w:hanging="360"/>
      </w:pPr>
    </w:lvl>
    <w:lvl w:ilvl="1" w:tplc="85C4390E">
      <w:start w:val="1"/>
      <w:numFmt w:val="upperLetter"/>
      <w:lvlText w:val="%2."/>
      <w:lvlJc w:val="left"/>
      <w:pPr>
        <w:ind w:left="1785" w:hanging="705"/>
      </w:pPr>
      <w:rPr>
        <w:rFonts w:hint="default"/>
      </w:rPr>
    </w:lvl>
    <w:lvl w:ilvl="2" w:tplc="240A001B">
      <w:start w:val="1"/>
      <w:numFmt w:val="lowerRoman"/>
      <w:lvlText w:val="%3."/>
      <w:lvlJc w:val="right"/>
      <w:pPr>
        <w:ind w:left="2160" w:hanging="180"/>
      </w:pPr>
    </w:lvl>
    <w:lvl w:ilvl="3" w:tplc="4CE08C8C">
      <w:start w:val="2"/>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D6565C"/>
    <w:multiLevelType w:val="hybridMultilevel"/>
    <w:tmpl w:val="56E26C54"/>
    <w:lvl w:ilvl="0" w:tplc="240A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5" w15:restartNumberingAfterBreak="0">
    <w:nsid w:val="300B5A0E"/>
    <w:multiLevelType w:val="hybridMultilevel"/>
    <w:tmpl w:val="B5B8070A"/>
    <w:lvl w:ilvl="0" w:tplc="70D63084">
      <w:start w:val="3"/>
      <w:numFmt w:val="upperLetter"/>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6" w15:restartNumberingAfterBreak="0">
    <w:nsid w:val="37DF1E13"/>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BF7263B"/>
    <w:multiLevelType w:val="multilevel"/>
    <w:tmpl w:val="BF70B47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E52C93"/>
    <w:multiLevelType w:val="multilevel"/>
    <w:tmpl w:val="6F9AE80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0201F81"/>
    <w:multiLevelType w:val="multilevel"/>
    <w:tmpl w:val="9A74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C65AC"/>
    <w:multiLevelType w:val="hybridMultilevel"/>
    <w:tmpl w:val="95E4D02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721C16"/>
    <w:multiLevelType w:val="multilevel"/>
    <w:tmpl w:val="542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5C176B"/>
    <w:multiLevelType w:val="multilevel"/>
    <w:tmpl w:val="105C0502"/>
    <w:lvl w:ilvl="0">
      <w:start w:val="3"/>
      <w:numFmt w:val="decimal"/>
      <w:lvlText w:val="%1"/>
      <w:lvlJc w:val="left"/>
      <w:pPr>
        <w:ind w:left="101" w:hanging="547"/>
      </w:pPr>
      <w:rPr>
        <w:rFonts w:hint="default"/>
        <w:lang w:val="es-ES" w:eastAsia="en-US" w:bidi="ar-SA"/>
      </w:rPr>
    </w:lvl>
    <w:lvl w:ilvl="1">
      <w:start w:val="5"/>
      <w:numFmt w:val="decimal"/>
      <w:lvlText w:val="%1.%2"/>
      <w:lvlJc w:val="left"/>
      <w:pPr>
        <w:ind w:left="101" w:hanging="547"/>
      </w:pPr>
      <w:rPr>
        <w:rFonts w:hint="default"/>
        <w:lang w:val="es-ES" w:eastAsia="en-US" w:bidi="ar-SA"/>
      </w:rPr>
    </w:lvl>
    <w:lvl w:ilvl="2">
      <w:start w:val="3"/>
      <w:numFmt w:val="decimal"/>
      <w:lvlText w:val="%1.%2.%3"/>
      <w:lvlJc w:val="left"/>
      <w:pPr>
        <w:ind w:left="101" w:hanging="547"/>
      </w:pPr>
      <w:rPr>
        <w:rFonts w:ascii="Arial MT" w:eastAsia="Arial MT" w:hAnsi="Arial MT" w:cs="Arial MT" w:hint="default"/>
        <w:spacing w:val="-1"/>
        <w:w w:val="100"/>
        <w:sz w:val="22"/>
        <w:szCs w:val="22"/>
        <w:lang w:val="es-ES" w:eastAsia="en-US" w:bidi="ar-SA"/>
      </w:rPr>
    </w:lvl>
    <w:lvl w:ilvl="3">
      <w:start w:val="1"/>
      <w:numFmt w:val="upperLetter"/>
      <w:lvlText w:val="%4."/>
      <w:lvlJc w:val="left"/>
      <w:pPr>
        <w:ind w:left="821" w:hanging="360"/>
      </w:pPr>
      <w:rPr>
        <w:rFonts w:ascii="Arial MT" w:eastAsia="Arial MT" w:hAnsi="Arial MT" w:cs="Arial MT" w:hint="default"/>
        <w:spacing w:val="-1"/>
        <w:w w:val="100"/>
        <w:sz w:val="21"/>
        <w:szCs w:val="21"/>
        <w:lang w:val="es-ES" w:eastAsia="en-US" w:bidi="ar-SA"/>
      </w:rPr>
    </w:lvl>
    <w:lvl w:ilvl="4">
      <w:numFmt w:val="bullet"/>
      <w:lvlText w:val="•"/>
      <w:lvlJc w:val="left"/>
      <w:pPr>
        <w:ind w:left="3593" w:hanging="360"/>
      </w:pPr>
      <w:rPr>
        <w:rFonts w:hint="default"/>
        <w:lang w:val="es-ES" w:eastAsia="en-US" w:bidi="ar-SA"/>
      </w:rPr>
    </w:lvl>
    <w:lvl w:ilvl="5">
      <w:numFmt w:val="bullet"/>
      <w:lvlText w:val="•"/>
      <w:lvlJc w:val="left"/>
      <w:pPr>
        <w:ind w:left="4517" w:hanging="360"/>
      </w:pPr>
      <w:rPr>
        <w:rFonts w:hint="default"/>
        <w:lang w:val="es-ES" w:eastAsia="en-US" w:bidi="ar-SA"/>
      </w:rPr>
    </w:lvl>
    <w:lvl w:ilvl="6">
      <w:numFmt w:val="bullet"/>
      <w:lvlText w:val="•"/>
      <w:lvlJc w:val="left"/>
      <w:pPr>
        <w:ind w:left="5442" w:hanging="360"/>
      </w:pPr>
      <w:rPr>
        <w:rFonts w:hint="default"/>
        <w:lang w:val="es-ES" w:eastAsia="en-US" w:bidi="ar-SA"/>
      </w:rPr>
    </w:lvl>
    <w:lvl w:ilvl="7">
      <w:numFmt w:val="bullet"/>
      <w:lvlText w:val="•"/>
      <w:lvlJc w:val="left"/>
      <w:pPr>
        <w:ind w:left="6366" w:hanging="360"/>
      </w:pPr>
      <w:rPr>
        <w:rFonts w:hint="default"/>
        <w:lang w:val="es-ES" w:eastAsia="en-US" w:bidi="ar-SA"/>
      </w:rPr>
    </w:lvl>
    <w:lvl w:ilvl="8">
      <w:numFmt w:val="bullet"/>
      <w:lvlText w:val="•"/>
      <w:lvlJc w:val="left"/>
      <w:pPr>
        <w:ind w:left="7291" w:hanging="360"/>
      </w:pPr>
      <w:rPr>
        <w:rFonts w:hint="default"/>
        <w:lang w:val="es-ES" w:eastAsia="en-US" w:bidi="ar-SA"/>
      </w:rPr>
    </w:lvl>
  </w:abstractNum>
  <w:abstractNum w:abstractNumId="14" w15:restartNumberingAfterBreak="0">
    <w:nsid w:val="636B4BC4"/>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4C82A9B"/>
    <w:multiLevelType w:val="multilevel"/>
    <w:tmpl w:val="590C92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6"/>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
  </w:num>
  <w:num w:numId="13">
    <w:abstractNumId w:val="10"/>
  </w:num>
  <w:num w:numId="14">
    <w:abstractNumId w:val="2"/>
  </w:num>
  <w:num w:numId="15">
    <w:abstractNumId w:val="8"/>
  </w:num>
  <w:num w:numId="16">
    <w:abstractNumId w:val="15"/>
  </w:num>
  <w:num w:numId="17">
    <w:abstractNumId w:val="7"/>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9"/>
    <w:rsid w:val="000168E4"/>
    <w:rsid w:val="000270A7"/>
    <w:rsid w:val="00040E17"/>
    <w:rsid w:val="00047027"/>
    <w:rsid w:val="00053B7E"/>
    <w:rsid w:val="00056E2D"/>
    <w:rsid w:val="000709AE"/>
    <w:rsid w:val="00071968"/>
    <w:rsid w:val="000752B7"/>
    <w:rsid w:val="00081544"/>
    <w:rsid w:val="00083696"/>
    <w:rsid w:val="00084137"/>
    <w:rsid w:val="000855CF"/>
    <w:rsid w:val="000870D0"/>
    <w:rsid w:val="0009185B"/>
    <w:rsid w:val="00093F45"/>
    <w:rsid w:val="00095929"/>
    <w:rsid w:val="000A3F91"/>
    <w:rsid w:val="000B2DD3"/>
    <w:rsid w:val="000C385E"/>
    <w:rsid w:val="000C561E"/>
    <w:rsid w:val="000D097D"/>
    <w:rsid w:val="000E4152"/>
    <w:rsid w:val="000F13A9"/>
    <w:rsid w:val="00100946"/>
    <w:rsid w:val="00101F75"/>
    <w:rsid w:val="0010350A"/>
    <w:rsid w:val="001107B1"/>
    <w:rsid w:val="00111ABD"/>
    <w:rsid w:val="00111BB7"/>
    <w:rsid w:val="00117045"/>
    <w:rsid w:val="00122C05"/>
    <w:rsid w:val="0012498B"/>
    <w:rsid w:val="00124CB2"/>
    <w:rsid w:val="00125740"/>
    <w:rsid w:val="001268FB"/>
    <w:rsid w:val="00134F1D"/>
    <w:rsid w:val="001364C3"/>
    <w:rsid w:val="00137825"/>
    <w:rsid w:val="00142D8B"/>
    <w:rsid w:val="00144DB1"/>
    <w:rsid w:val="0015420A"/>
    <w:rsid w:val="0017194C"/>
    <w:rsid w:val="00175473"/>
    <w:rsid w:val="001804C2"/>
    <w:rsid w:val="0019345B"/>
    <w:rsid w:val="00196772"/>
    <w:rsid w:val="001A0BC2"/>
    <w:rsid w:val="001B0E64"/>
    <w:rsid w:val="001B3003"/>
    <w:rsid w:val="001B5C46"/>
    <w:rsid w:val="001B6E09"/>
    <w:rsid w:val="001B7674"/>
    <w:rsid w:val="001B7FCB"/>
    <w:rsid w:val="001C4E3B"/>
    <w:rsid w:val="001C5383"/>
    <w:rsid w:val="001C6CC7"/>
    <w:rsid w:val="001D47F9"/>
    <w:rsid w:val="001D4DC1"/>
    <w:rsid w:val="001D6592"/>
    <w:rsid w:val="001E10C8"/>
    <w:rsid w:val="001F3F8A"/>
    <w:rsid w:val="002009B3"/>
    <w:rsid w:val="002030D1"/>
    <w:rsid w:val="00203EF3"/>
    <w:rsid w:val="00205347"/>
    <w:rsid w:val="00212E9B"/>
    <w:rsid w:val="002158C3"/>
    <w:rsid w:val="002173AA"/>
    <w:rsid w:val="00220D97"/>
    <w:rsid w:val="00224107"/>
    <w:rsid w:val="00225204"/>
    <w:rsid w:val="0024518C"/>
    <w:rsid w:val="002451AA"/>
    <w:rsid w:val="00247529"/>
    <w:rsid w:val="00253A27"/>
    <w:rsid w:val="00261A34"/>
    <w:rsid w:val="002624F7"/>
    <w:rsid w:val="0026257E"/>
    <w:rsid w:val="00262EC8"/>
    <w:rsid w:val="00263DB3"/>
    <w:rsid w:val="00266F1C"/>
    <w:rsid w:val="00272741"/>
    <w:rsid w:val="002739C0"/>
    <w:rsid w:val="0027415E"/>
    <w:rsid w:val="0027439F"/>
    <w:rsid w:val="00284BBF"/>
    <w:rsid w:val="00285DA6"/>
    <w:rsid w:val="002A37A0"/>
    <w:rsid w:val="002A3ECE"/>
    <w:rsid w:val="002A4E5B"/>
    <w:rsid w:val="002B0219"/>
    <w:rsid w:val="002B6815"/>
    <w:rsid w:val="002C08E9"/>
    <w:rsid w:val="002C454A"/>
    <w:rsid w:val="002D0EA6"/>
    <w:rsid w:val="002D1686"/>
    <w:rsid w:val="002E3661"/>
    <w:rsid w:val="002E37CD"/>
    <w:rsid w:val="002E71FF"/>
    <w:rsid w:val="002F14F6"/>
    <w:rsid w:val="002F6C4F"/>
    <w:rsid w:val="002F7739"/>
    <w:rsid w:val="003048B6"/>
    <w:rsid w:val="003067A4"/>
    <w:rsid w:val="00313CF7"/>
    <w:rsid w:val="00314C31"/>
    <w:rsid w:val="003255AD"/>
    <w:rsid w:val="00335BC2"/>
    <w:rsid w:val="003458FB"/>
    <w:rsid w:val="00347DA3"/>
    <w:rsid w:val="003548EA"/>
    <w:rsid w:val="0036599E"/>
    <w:rsid w:val="00365F9D"/>
    <w:rsid w:val="0037049D"/>
    <w:rsid w:val="00370556"/>
    <w:rsid w:val="0037749F"/>
    <w:rsid w:val="00383BE9"/>
    <w:rsid w:val="003A100B"/>
    <w:rsid w:val="003A1611"/>
    <w:rsid w:val="003A2F64"/>
    <w:rsid w:val="003A5638"/>
    <w:rsid w:val="003B63E0"/>
    <w:rsid w:val="003C4619"/>
    <w:rsid w:val="003C5857"/>
    <w:rsid w:val="003D04DD"/>
    <w:rsid w:val="003D1533"/>
    <w:rsid w:val="003E029D"/>
    <w:rsid w:val="003E396A"/>
    <w:rsid w:val="003E5EE1"/>
    <w:rsid w:val="00400A86"/>
    <w:rsid w:val="00402A13"/>
    <w:rsid w:val="0040672E"/>
    <w:rsid w:val="004073C6"/>
    <w:rsid w:val="00410B3A"/>
    <w:rsid w:val="00411D13"/>
    <w:rsid w:val="00414131"/>
    <w:rsid w:val="00414696"/>
    <w:rsid w:val="004260F1"/>
    <w:rsid w:val="004314AB"/>
    <w:rsid w:val="004464AE"/>
    <w:rsid w:val="004560E2"/>
    <w:rsid w:val="004667BB"/>
    <w:rsid w:val="00471652"/>
    <w:rsid w:val="004763ED"/>
    <w:rsid w:val="00484FF9"/>
    <w:rsid w:val="00490E16"/>
    <w:rsid w:val="00493717"/>
    <w:rsid w:val="00495F70"/>
    <w:rsid w:val="004A1882"/>
    <w:rsid w:val="004B2689"/>
    <w:rsid w:val="004B517E"/>
    <w:rsid w:val="004B6AC4"/>
    <w:rsid w:val="004B781F"/>
    <w:rsid w:val="004D6B90"/>
    <w:rsid w:val="004D6E48"/>
    <w:rsid w:val="004E137E"/>
    <w:rsid w:val="004E1DDC"/>
    <w:rsid w:val="004E5678"/>
    <w:rsid w:val="004E6C9E"/>
    <w:rsid w:val="004E6D6E"/>
    <w:rsid w:val="004F05FD"/>
    <w:rsid w:val="004F59C4"/>
    <w:rsid w:val="004F5B86"/>
    <w:rsid w:val="005128B6"/>
    <w:rsid w:val="00517A2B"/>
    <w:rsid w:val="00534882"/>
    <w:rsid w:val="00540D18"/>
    <w:rsid w:val="00547BEE"/>
    <w:rsid w:val="00553069"/>
    <w:rsid w:val="005565C3"/>
    <w:rsid w:val="00567FB4"/>
    <w:rsid w:val="00580CA3"/>
    <w:rsid w:val="00584F4B"/>
    <w:rsid w:val="00594BD3"/>
    <w:rsid w:val="005979AE"/>
    <w:rsid w:val="005A69E5"/>
    <w:rsid w:val="005A78F2"/>
    <w:rsid w:val="005B1BCF"/>
    <w:rsid w:val="005B3F30"/>
    <w:rsid w:val="005B505C"/>
    <w:rsid w:val="005C5C1C"/>
    <w:rsid w:val="005D291F"/>
    <w:rsid w:val="005E3D05"/>
    <w:rsid w:val="005E59D0"/>
    <w:rsid w:val="005F0973"/>
    <w:rsid w:val="005F3C6C"/>
    <w:rsid w:val="005F507B"/>
    <w:rsid w:val="005F54D0"/>
    <w:rsid w:val="00606AB4"/>
    <w:rsid w:val="00610E30"/>
    <w:rsid w:val="00620F34"/>
    <w:rsid w:val="006210C6"/>
    <w:rsid w:val="00623472"/>
    <w:rsid w:val="00624847"/>
    <w:rsid w:val="00646CEF"/>
    <w:rsid w:val="0064746F"/>
    <w:rsid w:val="00656504"/>
    <w:rsid w:val="0066416F"/>
    <w:rsid w:val="00667B6D"/>
    <w:rsid w:val="00667EB6"/>
    <w:rsid w:val="0067447B"/>
    <w:rsid w:val="00681174"/>
    <w:rsid w:val="006848CA"/>
    <w:rsid w:val="006979DD"/>
    <w:rsid w:val="006C6A9C"/>
    <w:rsid w:val="006C750D"/>
    <w:rsid w:val="006D3603"/>
    <w:rsid w:val="006D5473"/>
    <w:rsid w:val="006E1CDF"/>
    <w:rsid w:val="006E3535"/>
    <w:rsid w:val="006F6F98"/>
    <w:rsid w:val="007070B3"/>
    <w:rsid w:val="00707384"/>
    <w:rsid w:val="00715441"/>
    <w:rsid w:val="00716B72"/>
    <w:rsid w:val="0073238E"/>
    <w:rsid w:val="00734E36"/>
    <w:rsid w:val="0074055E"/>
    <w:rsid w:val="00746F84"/>
    <w:rsid w:val="00753D32"/>
    <w:rsid w:val="00753D6D"/>
    <w:rsid w:val="007551F6"/>
    <w:rsid w:val="007563F9"/>
    <w:rsid w:val="00756A84"/>
    <w:rsid w:val="00765950"/>
    <w:rsid w:val="00766DFC"/>
    <w:rsid w:val="00774B0F"/>
    <w:rsid w:val="00781472"/>
    <w:rsid w:val="007816F1"/>
    <w:rsid w:val="007825EB"/>
    <w:rsid w:val="00782A91"/>
    <w:rsid w:val="007906C4"/>
    <w:rsid w:val="00796183"/>
    <w:rsid w:val="0079620A"/>
    <w:rsid w:val="007968C4"/>
    <w:rsid w:val="0079752F"/>
    <w:rsid w:val="007A2749"/>
    <w:rsid w:val="007A4A6F"/>
    <w:rsid w:val="007A4BC8"/>
    <w:rsid w:val="007B31B8"/>
    <w:rsid w:val="007C52E4"/>
    <w:rsid w:val="007D3D56"/>
    <w:rsid w:val="007E22B0"/>
    <w:rsid w:val="007E517E"/>
    <w:rsid w:val="007E6041"/>
    <w:rsid w:val="00802767"/>
    <w:rsid w:val="0080503C"/>
    <w:rsid w:val="00807B8B"/>
    <w:rsid w:val="008103ED"/>
    <w:rsid w:val="00824B5A"/>
    <w:rsid w:val="00824C57"/>
    <w:rsid w:val="00832996"/>
    <w:rsid w:val="00833780"/>
    <w:rsid w:val="00834642"/>
    <w:rsid w:val="00834C65"/>
    <w:rsid w:val="0084599A"/>
    <w:rsid w:val="00851151"/>
    <w:rsid w:val="00864D4D"/>
    <w:rsid w:val="0087384D"/>
    <w:rsid w:val="00873A0A"/>
    <w:rsid w:val="00877A29"/>
    <w:rsid w:val="00880319"/>
    <w:rsid w:val="00890357"/>
    <w:rsid w:val="008A3176"/>
    <w:rsid w:val="008A629D"/>
    <w:rsid w:val="008A76D6"/>
    <w:rsid w:val="008B5FD9"/>
    <w:rsid w:val="008B652D"/>
    <w:rsid w:val="008B72F0"/>
    <w:rsid w:val="008C0CBB"/>
    <w:rsid w:val="008C78CE"/>
    <w:rsid w:val="008C7FAC"/>
    <w:rsid w:val="008D1112"/>
    <w:rsid w:val="008D5B0A"/>
    <w:rsid w:val="008E0B9B"/>
    <w:rsid w:val="008E683D"/>
    <w:rsid w:val="008E780D"/>
    <w:rsid w:val="008F0443"/>
    <w:rsid w:val="008F2D9E"/>
    <w:rsid w:val="008F56C5"/>
    <w:rsid w:val="009021C5"/>
    <w:rsid w:val="009067B1"/>
    <w:rsid w:val="0092291F"/>
    <w:rsid w:val="00927CF1"/>
    <w:rsid w:val="009347CA"/>
    <w:rsid w:val="00946713"/>
    <w:rsid w:val="0094716F"/>
    <w:rsid w:val="009609B8"/>
    <w:rsid w:val="00965A9D"/>
    <w:rsid w:val="00970C8B"/>
    <w:rsid w:val="009710D8"/>
    <w:rsid w:val="00981B00"/>
    <w:rsid w:val="00982A7B"/>
    <w:rsid w:val="00986969"/>
    <w:rsid w:val="00995CED"/>
    <w:rsid w:val="00997893"/>
    <w:rsid w:val="00997F07"/>
    <w:rsid w:val="009B425F"/>
    <w:rsid w:val="009C0CE5"/>
    <w:rsid w:val="009C2695"/>
    <w:rsid w:val="009C51F7"/>
    <w:rsid w:val="009C7035"/>
    <w:rsid w:val="009D140A"/>
    <w:rsid w:val="009D3836"/>
    <w:rsid w:val="009E1173"/>
    <w:rsid w:val="009F1461"/>
    <w:rsid w:val="009F4ECB"/>
    <w:rsid w:val="009F7031"/>
    <w:rsid w:val="00A012A6"/>
    <w:rsid w:val="00A0502F"/>
    <w:rsid w:val="00A05D44"/>
    <w:rsid w:val="00A10B9E"/>
    <w:rsid w:val="00A116E9"/>
    <w:rsid w:val="00A15302"/>
    <w:rsid w:val="00A253CD"/>
    <w:rsid w:val="00A2544B"/>
    <w:rsid w:val="00A256F4"/>
    <w:rsid w:val="00A316EC"/>
    <w:rsid w:val="00A366E8"/>
    <w:rsid w:val="00A42E11"/>
    <w:rsid w:val="00A4360E"/>
    <w:rsid w:val="00A441E1"/>
    <w:rsid w:val="00A502FE"/>
    <w:rsid w:val="00A679C4"/>
    <w:rsid w:val="00A77F1D"/>
    <w:rsid w:val="00A80891"/>
    <w:rsid w:val="00A82051"/>
    <w:rsid w:val="00A83A31"/>
    <w:rsid w:val="00A84921"/>
    <w:rsid w:val="00A87595"/>
    <w:rsid w:val="00A92250"/>
    <w:rsid w:val="00A92A75"/>
    <w:rsid w:val="00A97C1C"/>
    <w:rsid w:val="00AA0F85"/>
    <w:rsid w:val="00AA69EB"/>
    <w:rsid w:val="00AB0D0B"/>
    <w:rsid w:val="00AB24ED"/>
    <w:rsid w:val="00AB5258"/>
    <w:rsid w:val="00AC0B33"/>
    <w:rsid w:val="00AC1B9F"/>
    <w:rsid w:val="00AC2C23"/>
    <w:rsid w:val="00AC5FA9"/>
    <w:rsid w:val="00AD59CF"/>
    <w:rsid w:val="00AD7F7E"/>
    <w:rsid w:val="00AE0616"/>
    <w:rsid w:val="00B010FE"/>
    <w:rsid w:val="00B019BC"/>
    <w:rsid w:val="00B02D02"/>
    <w:rsid w:val="00B102A7"/>
    <w:rsid w:val="00B13C35"/>
    <w:rsid w:val="00B1414D"/>
    <w:rsid w:val="00B157B3"/>
    <w:rsid w:val="00B1790F"/>
    <w:rsid w:val="00B205CD"/>
    <w:rsid w:val="00B22508"/>
    <w:rsid w:val="00B23F98"/>
    <w:rsid w:val="00B2454A"/>
    <w:rsid w:val="00B26A67"/>
    <w:rsid w:val="00B30609"/>
    <w:rsid w:val="00B339CE"/>
    <w:rsid w:val="00B4322C"/>
    <w:rsid w:val="00B448AC"/>
    <w:rsid w:val="00B458F2"/>
    <w:rsid w:val="00B47301"/>
    <w:rsid w:val="00B610A3"/>
    <w:rsid w:val="00B63B0A"/>
    <w:rsid w:val="00B64FF4"/>
    <w:rsid w:val="00B71AEC"/>
    <w:rsid w:val="00B933DA"/>
    <w:rsid w:val="00B96D7C"/>
    <w:rsid w:val="00B979A0"/>
    <w:rsid w:val="00BA7AB5"/>
    <w:rsid w:val="00BA7FA8"/>
    <w:rsid w:val="00BB1A49"/>
    <w:rsid w:val="00BC6193"/>
    <w:rsid w:val="00BC744C"/>
    <w:rsid w:val="00BE1B30"/>
    <w:rsid w:val="00BF06F2"/>
    <w:rsid w:val="00BF1223"/>
    <w:rsid w:val="00BF39BC"/>
    <w:rsid w:val="00C03946"/>
    <w:rsid w:val="00C05BD4"/>
    <w:rsid w:val="00C0676A"/>
    <w:rsid w:val="00C13174"/>
    <w:rsid w:val="00C212E2"/>
    <w:rsid w:val="00C26B8F"/>
    <w:rsid w:val="00C27A58"/>
    <w:rsid w:val="00C4071A"/>
    <w:rsid w:val="00C40ED6"/>
    <w:rsid w:val="00C46BDD"/>
    <w:rsid w:val="00C8354F"/>
    <w:rsid w:val="00C93117"/>
    <w:rsid w:val="00C95B83"/>
    <w:rsid w:val="00C95C53"/>
    <w:rsid w:val="00C972DE"/>
    <w:rsid w:val="00CA4A0F"/>
    <w:rsid w:val="00CA5025"/>
    <w:rsid w:val="00CB2559"/>
    <w:rsid w:val="00CC61CD"/>
    <w:rsid w:val="00CD4EBC"/>
    <w:rsid w:val="00CD7693"/>
    <w:rsid w:val="00CE4A35"/>
    <w:rsid w:val="00CE4B42"/>
    <w:rsid w:val="00CF3033"/>
    <w:rsid w:val="00CF4A08"/>
    <w:rsid w:val="00CF6175"/>
    <w:rsid w:val="00CF7EC4"/>
    <w:rsid w:val="00D026CA"/>
    <w:rsid w:val="00D02BE0"/>
    <w:rsid w:val="00D02DCC"/>
    <w:rsid w:val="00D07945"/>
    <w:rsid w:val="00D144EB"/>
    <w:rsid w:val="00D14AD1"/>
    <w:rsid w:val="00D14B9D"/>
    <w:rsid w:val="00D1561C"/>
    <w:rsid w:val="00D268E9"/>
    <w:rsid w:val="00D30ED7"/>
    <w:rsid w:val="00D3423F"/>
    <w:rsid w:val="00D3470F"/>
    <w:rsid w:val="00D43622"/>
    <w:rsid w:val="00D50BF6"/>
    <w:rsid w:val="00D53722"/>
    <w:rsid w:val="00D630D8"/>
    <w:rsid w:val="00D653AF"/>
    <w:rsid w:val="00D655DB"/>
    <w:rsid w:val="00D721EB"/>
    <w:rsid w:val="00D72967"/>
    <w:rsid w:val="00D76326"/>
    <w:rsid w:val="00D8120E"/>
    <w:rsid w:val="00D836FA"/>
    <w:rsid w:val="00D83A82"/>
    <w:rsid w:val="00D850EA"/>
    <w:rsid w:val="00DA2B5A"/>
    <w:rsid w:val="00DA60C0"/>
    <w:rsid w:val="00DB0676"/>
    <w:rsid w:val="00DB5B7B"/>
    <w:rsid w:val="00DB61CA"/>
    <w:rsid w:val="00DB6B5F"/>
    <w:rsid w:val="00DB6D6B"/>
    <w:rsid w:val="00DC3307"/>
    <w:rsid w:val="00DC52E6"/>
    <w:rsid w:val="00DD1317"/>
    <w:rsid w:val="00DE156B"/>
    <w:rsid w:val="00DE1696"/>
    <w:rsid w:val="00DE2410"/>
    <w:rsid w:val="00DE3FF0"/>
    <w:rsid w:val="00DF381C"/>
    <w:rsid w:val="00DF38A9"/>
    <w:rsid w:val="00E0681A"/>
    <w:rsid w:val="00E128C2"/>
    <w:rsid w:val="00E16818"/>
    <w:rsid w:val="00E16CFA"/>
    <w:rsid w:val="00E16DB4"/>
    <w:rsid w:val="00E17A1E"/>
    <w:rsid w:val="00E305A2"/>
    <w:rsid w:val="00E3124E"/>
    <w:rsid w:val="00E328FA"/>
    <w:rsid w:val="00E42832"/>
    <w:rsid w:val="00E43CFF"/>
    <w:rsid w:val="00E50079"/>
    <w:rsid w:val="00E61376"/>
    <w:rsid w:val="00E74728"/>
    <w:rsid w:val="00E74729"/>
    <w:rsid w:val="00E77F17"/>
    <w:rsid w:val="00E80F4F"/>
    <w:rsid w:val="00E83AF0"/>
    <w:rsid w:val="00E86C65"/>
    <w:rsid w:val="00E94056"/>
    <w:rsid w:val="00EA0988"/>
    <w:rsid w:val="00EA0B86"/>
    <w:rsid w:val="00EA5E96"/>
    <w:rsid w:val="00EB0FCF"/>
    <w:rsid w:val="00EB3E1E"/>
    <w:rsid w:val="00ED6019"/>
    <w:rsid w:val="00EE33E2"/>
    <w:rsid w:val="00EE6DEE"/>
    <w:rsid w:val="00EE6F83"/>
    <w:rsid w:val="00EF2CCD"/>
    <w:rsid w:val="00EF5CBE"/>
    <w:rsid w:val="00EF71F4"/>
    <w:rsid w:val="00F0158F"/>
    <w:rsid w:val="00F05382"/>
    <w:rsid w:val="00F127A4"/>
    <w:rsid w:val="00F22DD8"/>
    <w:rsid w:val="00F2350D"/>
    <w:rsid w:val="00F23DC2"/>
    <w:rsid w:val="00F32105"/>
    <w:rsid w:val="00F3250E"/>
    <w:rsid w:val="00F43BE7"/>
    <w:rsid w:val="00F64647"/>
    <w:rsid w:val="00F70AF1"/>
    <w:rsid w:val="00F712A6"/>
    <w:rsid w:val="00F74056"/>
    <w:rsid w:val="00F829A5"/>
    <w:rsid w:val="00F830E6"/>
    <w:rsid w:val="00F87511"/>
    <w:rsid w:val="00F875E3"/>
    <w:rsid w:val="00FA007D"/>
    <w:rsid w:val="00FA68D0"/>
    <w:rsid w:val="00FB1F1F"/>
    <w:rsid w:val="00FB4238"/>
    <w:rsid w:val="00FB4714"/>
    <w:rsid w:val="00FB7A53"/>
    <w:rsid w:val="00FC1B28"/>
    <w:rsid w:val="00FC2466"/>
    <w:rsid w:val="00FC4F02"/>
    <w:rsid w:val="00FE3292"/>
    <w:rsid w:val="00FE650E"/>
    <w:rsid w:val="00FF63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66C2"/>
  <w15:chartTrackingRefBased/>
  <w15:docId w15:val="{31EA7334-CC38-485E-AEC4-D0247F0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5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E09"/>
    <w:pPr>
      <w:tabs>
        <w:tab w:val="center" w:pos="4419"/>
        <w:tab w:val="right" w:pos="8838"/>
      </w:tabs>
    </w:pPr>
  </w:style>
  <w:style w:type="character" w:customStyle="1" w:styleId="EncabezadoCar">
    <w:name w:val="Encabezado Car"/>
    <w:basedOn w:val="Fuentedeprrafopredeter"/>
    <w:link w:val="Encabezado"/>
    <w:uiPriority w:val="99"/>
    <w:rsid w:val="001B6E09"/>
  </w:style>
  <w:style w:type="paragraph" w:styleId="Piedepgina">
    <w:name w:val="footer"/>
    <w:basedOn w:val="Normal"/>
    <w:link w:val="PiedepginaCar"/>
    <w:uiPriority w:val="99"/>
    <w:unhideWhenUsed/>
    <w:rsid w:val="001B6E09"/>
    <w:pPr>
      <w:tabs>
        <w:tab w:val="center" w:pos="4419"/>
        <w:tab w:val="right" w:pos="8838"/>
      </w:tabs>
    </w:pPr>
  </w:style>
  <w:style w:type="character" w:customStyle="1" w:styleId="PiedepginaCar">
    <w:name w:val="Pie de página Car"/>
    <w:basedOn w:val="Fuentedeprrafopredeter"/>
    <w:link w:val="Piedepgina"/>
    <w:uiPriority w:val="99"/>
    <w:rsid w:val="001B6E09"/>
  </w:style>
  <w:style w:type="paragraph" w:styleId="Textoindependiente">
    <w:name w:val="Body Text"/>
    <w:basedOn w:val="Normal"/>
    <w:link w:val="TextoindependienteCar"/>
    <w:uiPriority w:val="1"/>
    <w:qFormat/>
    <w:rsid w:val="001B6E09"/>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6E09"/>
    <w:rPr>
      <w:rFonts w:ascii="Arial MT" w:eastAsia="Arial MT" w:hAnsi="Arial MT" w:cs="Arial MT"/>
      <w:lang w:val="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1B6E09"/>
    <w:pPr>
      <w:widowControl w:val="0"/>
      <w:autoSpaceDE w:val="0"/>
      <w:autoSpaceDN w:val="0"/>
      <w:ind w:left="1547" w:right="1239" w:hanging="360"/>
      <w:jc w:val="both"/>
    </w:pPr>
    <w:rPr>
      <w:rFonts w:ascii="Arial MT" w:eastAsia="Arial MT" w:hAnsi="Arial MT" w:cs="Arial MT"/>
      <w:lang w:val="es-ES"/>
    </w:rPr>
  </w:style>
  <w:style w:type="character" w:styleId="Hipervnculo">
    <w:name w:val="Hyperlink"/>
    <w:basedOn w:val="Fuentedeprrafopredeter"/>
    <w:uiPriority w:val="99"/>
    <w:unhideWhenUsed/>
    <w:rsid w:val="00F70AF1"/>
    <w:rPr>
      <w:color w:val="0563C1" w:themeColor="hyperlink"/>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70AF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70AF1"/>
    <w:rPr>
      <w:sz w:val="20"/>
      <w:szCs w:val="20"/>
      <w:lang w:val="es-MX"/>
    </w:rPr>
  </w:style>
  <w:style w:type="character" w:customStyle="1" w:styleId="TextonotapieCar1">
    <w:name w:val="Texto nota pie Car1"/>
    <w:basedOn w:val="Fuentedeprrafopredeter"/>
    <w:uiPriority w:val="99"/>
    <w:semiHidden/>
    <w:rsid w:val="00F70AF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70AF1"/>
    <w:rPr>
      <w:vertAlign w:val="superscript"/>
    </w:rPr>
  </w:style>
  <w:style w:type="character" w:customStyle="1" w:styleId="normaltextrun">
    <w:name w:val="normaltextrun"/>
    <w:basedOn w:val="Fuentedeprrafopredeter"/>
    <w:rsid w:val="00F70AF1"/>
  </w:style>
  <w:style w:type="paragraph" w:customStyle="1" w:styleId="Appelnotedebasde">
    <w:name w:val="Appel note de bas de..."/>
    <w:basedOn w:val="Normal"/>
    <w:link w:val="Refdenotaalpie"/>
    <w:uiPriority w:val="99"/>
    <w:rsid w:val="00F70AF1"/>
    <w:pPr>
      <w:spacing w:line="240" w:lineRule="exact"/>
    </w:pPr>
    <w:rPr>
      <w:vertAlign w:val="superscript"/>
    </w:rPr>
  </w:style>
  <w:style w:type="paragraph" w:customStyle="1" w:styleId="InviasNormal">
    <w:name w:val="Invias Normal"/>
    <w:basedOn w:val="Normal"/>
    <w:link w:val="InviasNormalCar"/>
    <w:qFormat/>
    <w:rsid w:val="00AC5FA9"/>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AC5FA9"/>
    <w:rPr>
      <w:rFonts w:ascii="Arial Narrow" w:eastAsia="Times New Roman" w:hAnsi="Arial Narrow" w:cs="Times New Roman"/>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0E4152"/>
    <w:rPr>
      <w:rFonts w:ascii="Arial MT" w:eastAsia="Arial MT" w:hAnsi="Arial MT" w:cs="Arial MT"/>
      <w:lang w:val="es-ES"/>
    </w:rPr>
  </w:style>
  <w:style w:type="table" w:styleId="Tablaconcuadrcula">
    <w:name w:val="Table Grid"/>
    <w:basedOn w:val="Tablanormal"/>
    <w:uiPriority w:val="59"/>
    <w:qFormat/>
    <w:rsid w:val="0090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158F"/>
    <w:pPr>
      <w:spacing w:after="0" w:line="240" w:lineRule="auto"/>
    </w:pPr>
    <w:rPr>
      <w:sz w:val="24"/>
      <w:lang w:val="es-MX"/>
    </w:rPr>
  </w:style>
  <w:style w:type="character" w:styleId="Refdecomentario">
    <w:name w:val="annotation reference"/>
    <w:basedOn w:val="Fuentedeprrafopredeter"/>
    <w:uiPriority w:val="99"/>
    <w:semiHidden/>
    <w:unhideWhenUsed/>
    <w:rsid w:val="00A05D44"/>
    <w:rPr>
      <w:sz w:val="16"/>
      <w:szCs w:val="16"/>
    </w:rPr>
  </w:style>
  <w:style w:type="paragraph" w:styleId="Textocomentario">
    <w:name w:val="annotation text"/>
    <w:basedOn w:val="Normal"/>
    <w:link w:val="TextocomentarioCar"/>
    <w:uiPriority w:val="99"/>
    <w:semiHidden/>
    <w:unhideWhenUsed/>
    <w:rsid w:val="00A05D44"/>
    <w:rPr>
      <w:sz w:val="20"/>
      <w:szCs w:val="20"/>
    </w:rPr>
  </w:style>
  <w:style w:type="character" w:customStyle="1" w:styleId="TextocomentarioCar">
    <w:name w:val="Texto comentario Car"/>
    <w:basedOn w:val="Fuentedeprrafopredeter"/>
    <w:link w:val="Textocomentario"/>
    <w:uiPriority w:val="99"/>
    <w:semiHidden/>
    <w:rsid w:val="00A05D44"/>
    <w:rPr>
      <w:sz w:val="20"/>
      <w:szCs w:val="20"/>
    </w:rPr>
  </w:style>
  <w:style w:type="paragraph" w:styleId="Asuntodelcomentario">
    <w:name w:val="annotation subject"/>
    <w:basedOn w:val="Textocomentario"/>
    <w:next w:val="Textocomentario"/>
    <w:link w:val="AsuntodelcomentarioCar"/>
    <w:uiPriority w:val="99"/>
    <w:semiHidden/>
    <w:unhideWhenUsed/>
    <w:rsid w:val="00A05D44"/>
    <w:rPr>
      <w:b/>
      <w:bCs/>
    </w:rPr>
  </w:style>
  <w:style w:type="character" w:customStyle="1" w:styleId="AsuntodelcomentarioCar">
    <w:name w:val="Asunto del comentario Car"/>
    <w:basedOn w:val="TextocomentarioCar"/>
    <w:link w:val="Asuntodelcomentario"/>
    <w:uiPriority w:val="99"/>
    <w:semiHidden/>
    <w:rsid w:val="00A05D44"/>
    <w:rPr>
      <w:b/>
      <w:bCs/>
      <w:sz w:val="20"/>
      <w:szCs w:val="20"/>
    </w:rPr>
  </w:style>
  <w:style w:type="paragraph" w:styleId="Revisin">
    <w:name w:val="Revision"/>
    <w:hidden/>
    <w:uiPriority w:val="99"/>
    <w:semiHidden/>
    <w:rsid w:val="001A0BC2"/>
    <w:pPr>
      <w:spacing w:after="0" w:line="240" w:lineRule="auto"/>
    </w:pPr>
    <w:rPr>
      <w:rFonts w:ascii="Times New Roman" w:eastAsia="Times New Roman" w:hAnsi="Times New Roman" w:cs="Times New Roman"/>
      <w:sz w:val="24"/>
      <w:szCs w:val="24"/>
      <w:lang w:eastAsia="es-ES_tradnl"/>
    </w:rPr>
  </w:style>
  <w:style w:type="character" w:styleId="Textodelmarcadordeposicin">
    <w:name w:val="Placeholder Text"/>
    <w:basedOn w:val="Fuentedeprrafopredeter"/>
    <w:uiPriority w:val="99"/>
    <w:semiHidden/>
    <w:rsid w:val="0027439F"/>
    <w:rPr>
      <w:color w:val="808080"/>
    </w:rPr>
  </w:style>
  <w:style w:type="paragraph" w:customStyle="1" w:styleId="paragraph">
    <w:name w:val="paragraph"/>
    <w:basedOn w:val="Normal"/>
    <w:rsid w:val="003C4619"/>
    <w:pPr>
      <w:spacing w:before="100" w:beforeAutospacing="1" w:after="100" w:afterAutospacing="1"/>
    </w:pPr>
  </w:style>
  <w:style w:type="character" w:customStyle="1" w:styleId="eop">
    <w:name w:val="eop"/>
    <w:basedOn w:val="Fuentedeprrafopredeter"/>
    <w:rsid w:val="003C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14">
      <w:bodyDiv w:val="1"/>
      <w:marLeft w:val="0"/>
      <w:marRight w:val="0"/>
      <w:marTop w:val="0"/>
      <w:marBottom w:val="0"/>
      <w:divBdr>
        <w:top w:val="none" w:sz="0" w:space="0" w:color="auto"/>
        <w:left w:val="none" w:sz="0" w:space="0" w:color="auto"/>
        <w:bottom w:val="none" w:sz="0" w:space="0" w:color="auto"/>
        <w:right w:val="none" w:sz="0" w:space="0" w:color="auto"/>
      </w:divBdr>
      <w:divsChild>
        <w:div w:id="249780737">
          <w:marLeft w:val="-75"/>
          <w:marRight w:val="0"/>
          <w:marTop w:val="30"/>
          <w:marBottom w:val="30"/>
          <w:divBdr>
            <w:top w:val="none" w:sz="0" w:space="0" w:color="auto"/>
            <w:left w:val="none" w:sz="0" w:space="0" w:color="auto"/>
            <w:bottom w:val="none" w:sz="0" w:space="0" w:color="auto"/>
            <w:right w:val="none" w:sz="0" w:space="0" w:color="auto"/>
          </w:divBdr>
          <w:divsChild>
            <w:div w:id="447043650">
              <w:marLeft w:val="0"/>
              <w:marRight w:val="0"/>
              <w:marTop w:val="0"/>
              <w:marBottom w:val="0"/>
              <w:divBdr>
                <w:top w:val="none" w:sz="0" w:space="0" w:color="auto"/>
                <w:left w:val="none" w:sz="0" w:space="0" w:color="auto"/>
                <w:bottom w:val="none" w:sz="0" w:space="0" w:color="auto"/>
                <w:right w:val="none" w:sz="0" w:space="0" w:color="auto"/>
              </w:divBdr>
              <w:divsChild>
                <w:div w:id="1229850949">
                  <w:marLeft w:val="0"/>
                  <w:marRight w:val="0"/>
                  <w:marTop w:val="0"/>
                  <w:marBottom w:val="0"/>
                  <w:divBdr>
                    <w:top w:val="none" w:sz="0" w:space="0" w:color="auto"/>
                    <w:left w:val="none" w:sz="0" w:space="0" w:color="auto"/>
                    <w:bottom w:val="none" w:sz="0" w:space="0" w:color="auto"/>
                    <w:right w:val="none" w:sz="0" w:space="0" w:color="auto"/>
                  </w:divBdr>
                </w:div>
              </w:divsChild>
            </w:div>
            <w:div w:id="1390227537">
              <w:marLeft w:val="0"/>
              <w:marRight w:val="0"/>
              <w:marTop w:val="0"/>
              <w:marBottom w:val="0"/>
              <w:divBdr>
                <w:top w:val="none" w:sz="0" w:space="0" w:color="auto"/>
                <w:left w:val="none" w:sz="0" w:space="0" w:color="auto"/>
                <w:bottom w:val="none" w:sz="0" w:space="0" w:color="auto"/>
                <w:right w:val="none" w:sz="0" w:space="0" w:color="auto"/>
              </w:divBdr>
              <w:divsChild>
                <w:div w:id="1830172201">
                  <w:marLeft w:val="0"/>
                  <w:marRight w:val="0"/>
                  <w:marTop w:val="0"/>
                  <w:marBottom w:val="0"/>
                  <w:divBdr>
                    <w:top w:val="none" w:sz="0" w:space="0" w:color="auto"/>
                    <w:left w:val="none" w:sz="0" w:space="0" w:color="auto"/>
                    <w:bottom w:val="none" w:sz="0" w:space="0" w:color="auto"/>
                    <w:right w:val="none" w:sz="0" w:space="0" w:color="auto"/>
                  </w:divBdr>
                </w:div>
              </w:divsChild>
            </w:div>
            <w:div w:id="1672028285">
              <w:marLeft w:val="0"/>
              <w:marRight w:val="0"/>
              <w:marTop w:val="0"/>
              <w:marBottom w:val="0"/>
              <w:divBdr>
                <w:top w:val="none" w:sz="0" w:space="0" w:color="auto"/>
                <w:left w:val="none" w:sz="0" w:space="0" w:color="auto"/>
                <w:bottom w:val="none" w:sz="0" w:space="0" w:color="auto"/>
                <w:right w:val="none" w:sz="0" w:space="0" w:color="auto"/>
              </w:divBdr>
              <w:divsChild>
                <w:div w:id="611085279">
                  <w:marLeft w:val="0"/>
                  <w:marRight w:val="0"/>
                  <w:marTop w:val="0"/>
                  <w:marBottom w:val="0"/>
                  <w:divBdr>
                    <w:top w:val="none" w:sz="0" w:space="0" w:color="auto"/>
                    <w:left w:val="none" w:sz="0" w:space="0" w:color="auto"/>
                    <w:bottom w:val="none" w:sz="0" w:space="0" w:color="auto"/>
                    <w:right w:val="none" w:sz="0" w:space="0" w:color="auto"/>
                  </w:divBdr>
                </w:div>
              </w:divsChild>
            </w:div>
            <w:div w:id="1706825508">
              <w:marLeft w:val="0"/>
              <w:marRight w:val="0"/>
              <w:marTop w:val="0"/>
              <w:marBottom w:val="0"/>
              <w:divBdr>
                <w:top w:val="none" w:sz="0" w:space="0" w:color="auto"/>
                <w:left w:val="none" w:sz="0" w:space="0" w:color="auto"/>
                <w:bottom w:val="none" w:sz="0" w:space="0" w:color="auto"/>
                <w:right w:val="none" w:sz="0" w:space="0" w:color="auto"/>
              </w:divBdr>
              <w:divsChild>
                <w:div w:id="1722944392">
                  <w:marLeft w:val="0"/>
                  <w:marRight w:val="0"/>
                  <w:marTop w:val="0"/>
                  <w:marBottom w:val="0"/>
                  <w:divBdr>
                    <w:top w:val="none" w:sz="0" w:space="0" w:color="auto"/>
                    <w:left w:val="none" w:sz="0" w:space="0" w:color="auto"/>
                    <w:bottom w:val="none" w:sz="0" w:space="0" w:color="auto"/>
                    <w:right w:val="none" w:sz="0" w:space="0" w:color="auto"/>
                  </w:divBdr>
                </w:div>
              </w:divsChild>
            </w:div>
            <w:div w:id="836574904">
              <w:marLeft w:val="0"/>
              <w:marRight w:val="0"/>
              <w:marTop w:val="0"/>
              <w:marBottom w:val="0"/>
              <w:divBdr>
                <w:top w:val="none" w:sz="0" w:space="0" w:color="auto"/>
                <w:left w:val="none" w:sz="0" w:space="0" w:color="auto"/>
                <w:bottom w:val="none" w:sz="0" w:space="0" w:color="auto"/>
                <w:right w:val="none" w:sz="0" w:space="0" w:color="auto"/>
              </w:divBdr>
              <w:divsChild>
                <w:div w:id="1118598677">
                  <w:marLeft w:val="0"/>
                  <w:marRight w:val="0"/>
                  <w:marTop w:val="0"/>
                  <w:marBottom w:val="0"/>
                  <w:divBdr>
                    <w:top w:val="none" w:sz="0" w:space="0" w:color="auto"/>
                    <w:left w:val="none" w:sz="0" w:space="0" w:color="auto"/>
                    <w:bottom w:val="none" w:sz="0" w:space="0" w:color="auto"/>
                    <w:right w:val="none" w:sz="0" w:space="0" w:color="auto"/>
                  </w:divBdr>
                </w:div>
              </w:divsChild>
            </w:div>
            <w:div w:id="1867137200">
              <w:marLeft w:val="0"/>
              <w:marRight w:val="0"/>
              <w:marTop w:val="0"/>
              <w:marBottom w:val="0"/>
              <w:divBdr>
                <w:top w:val="none" w:sz="0" w:space="0" w:color="auto"/>
                <w:left w:val="none" w:sz="0" w:space="0" w:color="auto"/>
                <w:bottom w:val="none" w:sz="0" w:space="0" w:color="auto"/>
                <w:right w:val="none" w:sz="0" w:space="0" w:color="auto"/>
              </w:divBdr>
              <w:divsChild>
                <w:div w:id="29958459">
                  <w:marLeft w:val="0"/>
                  <w:marRight w:val="0"/>
                  <w:marTop w:val="0"/>
                  <w:marBottom w:val="0"/>
                  <w:divBdr>
                    <w:top w:val="none" w:sz="0" w:space="0" w:color="auto"/>
                    <w:left w:val="none" w:sz="0" w:space="0" w:color="auto"/>
                    <w:bottom w:val="none" w:sz="0" w:space="0" w:color="auto"/>
                    <w:right w:val="none" w:sz="0" w:space="0" w:color="auto"/>
                  </w:divBdr>
                </w:div>
              </w:divsChild>
            </w:div>
            <w:div w:id="2079013214">
              <w:marLeft w:val="0"/>
              <w:marRight w:val="0"/>
              <w:marTop w:val="0"/>
              <w:marBottom w:val="0"/>
              <w:divBdr>
                <w:top w:val="none" w:sz="0" w:space="0" w:color="auto"/>
                <w:left w:val="none" w:sz="0" w:space="0" w:color="auto"/>
                <w:bottom w:val="none" w:sz="0" w:space="0" w:color="auto"/>
                <w:right w:val="none" w:sz="0" w:space="0" w:color="auto"/>
              </w:divBdr>
              <w:divsChild>
                <w:div w:id="1111321971">
                  <w:marLeft w:val="0"/>
                  <w:marRight w:val="0"/>
                  <w:marTop w:val="0"/>
                  <w:marBottom w:val="0"/>
                  <w:divBdr>
                    <w:top w:val="none" w:sz="0" w:space="0" w:color="auto"/>
                    <w:left w:val="none" w:sz="0" w:space="0" w:color="auto"/>
                    <w:bottom w:val="none" w:sz="0" w:space="0" w:color="auto"/>
                    <w:right w:val="none" w:sz="0" w:space="0" w:color="auto"/>
                  </w:divBdr>
                </w:div>
              </w:divsChild>
            </w:div>
            <w:div w:id="804275093">
              <w:marLeft w:val="0"/>
              <w:marRight w:val="0"/>
              <w:marTop w:val="0"/>
              <w:marBottom w:val="0"/>
              <w:divBdr>
                <w:top w:val="none" w:sz="0" w:space="0" w:color="auto"/>
                <w:left w:val="none" w:sz="0" w:space="0" w:color="auto"/>
                <w:bottom w:val="none" w:sz="0" w:space="0" w:color="auto"/>
                <w:right w:val="none" w:sz="0" w:space="0" w:color="auto"/>
              </w:divBdr>
              <w:divsChild>
                <w:div w:id="1965958788">
                  <w:marLeft w:val="0"/>
                  <w:marRight w:val="0"/>
                  <w:marTop w:val="0"/>
                  <w:marBottom w:val="0"/>
                  <w:divBdr>
                    <w:top w:val="none" w:sz="0" w:space="0" w:color="auto"/>
                    <w:left w:val="none" w:sz="0" w:space="0" w:color="auto"/>
                    <w:bottom w:val="none" w:sz="0" w:space="0" w:color="auto"/>
                    <w:right w:val="none" w:sz="0" w:space="0" w:color="auto"/>
                  </w:divBdr>
                </w:div>
              </w:divsChild>
            </w:div>
            <w:div w:id="1667439021">
              <w:marLeft w:val="0"/>
              <w:marRight w:val="0"/>
              <w:marTop w:val="0"/>
              <w:marBottom w:val="0"/>
              <w:divBdr>
                <w:top w:val="none" w:sz="0" w:space="0" w:color="auto"/>
                <w:left w:val="none" w:sz="0" w:space="0" w:color="auto"/>
                <w:bottom w:val="none" w:sz="0" w:space="0" w:color="auto"/>
                <w:right w:val="none" w:sz="0" w:space="0" w:color="auto"/>
              </w:divBdr>
              <w:divsChild>
                <w:div w:id="1463379147">
                  <w:marLeft w:val="0"/>
                  <w:marRight w:val="0"/>
                  <w:marTop w:val="0"/>
                  <w:marBottom w:val="0"/>
                  <w:divBdr>
                    <w:top w:val="none" w:sz="0" w:space="0" w:color="auto"/>
                    <w:left w:val="none" w:sz="0" w:space="0" w:color="auto"/>
                    <w:bottom w:val="none" w:sz="0" w:space="0" w:color="auto"/>
                    <w:right w:val="none" w:sz="0" w:space="0" w:color="auto"/>
                  </w:divBdr>
                </w:div>
              </w:divsChild>
            </w:div>
            <w:div w:id="580021736">
              <w:marLeft w:val="0"/>
              <w:marRight w:val="0"/>
              <w:marTop w:val="0"/>
              <w:marBottom w:val="0"/>
              <w:divBdr>
                <w:top w:val="none" w:sz="0" w:space="0" w:color="auto"/>
                <w:left w:val="none" w:sz="0" w:space="0" w:color="auto"/>
                <w:bottom w:val="none" w:sz="0" w:space="0" w:color="auto"/>
                <w:right w:val="none" w:sz="0" w:space="0" w:color="auto"/>
              </w:divBdr>
              <w:divsChild>
                <w:div w:id="108353546">
                  <w:marLeft w:val="0"/>
                  <w:marRight w:val="0"/>
                  <w:marTop w:val="0"/>
                  <w:marBottom w:val="0"/>
                  <w:divBdr>
                    <w:top w:val="none" w:sz="0" w:space="0" w:color="auto"/>
                    <w:left w:val="none" w:sz="0" w:space="0" w:color="auto"/>
                    <w:bottom w:val="none" w:sz="0" w:space="0" w:color="auto"/>
                    <w:right w:val="none" w:sz="0" w:space="0" w:color="auto"/>
                  </w:divBdr>
                </w:div>
              </w:divsChild>
            </w:div>
            <w:div w:id="142739779">
              <w:marLeft w:val="0"/>
              <w:marRight w:val="0"/>
              <w:marTop w:val="0"/>
              <w:marBottom w:val="0"/>
              <w:divBdr>
                <w:top w:val="none" w:sz="0" w:space="0" w:color="auto"/>
                <w:left w:val="none" w:sz="0" w:space="0" w:color="auto"/>
                <w:bottom w:val="none" w:sz="0" w:space="0" w:color="auto"/>
                <w:right w:val="none" w:sz="0" w:space="0" w:color="auto"/>
              </w:divBdr>
              <w:divsChild>
                <w:div w:id="1966302816">
                  <w:marLeft w:val="0"/>
                  <w:marRight w:val="0"/>
                  <w:marTop w:val="0"/>
                  <w:marBottom w:val="0"/>
                  <w:divBdr>
                    <w:top w:val="none" w:sz="0" w:space="0" w:color="auto"/>
                    <w:left w:val="none" w:sz="0" w:space="0" w:color="auto"/>
                    <w:bottom w:val="none" w:sz="0" w:space="0" w:color="auto"/>
                    <w:right w:val="none" w:sz="0" w:space="0" w:color="auto"/>
                  </w:divBdr>
                </w:div>
              </w:divsChild>
            </w:div>
            <w:div w:id="1937134036">
              <w:marLeft w:val="0"/>
              <w:marRight w:val="0"/>
              <w:marTop w:val="0"/>
              <w:marBottom w:val="0"/>
              <w:divBdr>
                <w:top w:val="none" w:sz="0" w:space="0" w:color="auto"/>
                <w:left w:val="none" w:sz="0" w:space="0" w:color="auto"/>
                <w:bottom w:val="none" w:sz="0" w:space="0" w:color="auto"/>
                <w:right w:val="none" w:sz="0" w:space="0" w:color="auto"/>
              </w:divBdr>
              <w:divsChild>
                <w:div w:id="12151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7212">
          <w:marLeft w:val="0"/>
          <w:marRight w:val="0"/>
          <w:marTop w:val="0"/>
          <w:marBottom w:val="0"/>
          <w:divBdr>
            <w:top w:val="none" w:sz="0" w:space="0" w:color="auto"/>
            <w:left w:val="none" w:sz="0" w:space="0" w:color="auto"/>
            <w:bottom w:val="none" w:sz="0" w:space="0" w:color="auto"/>
            <w:right w:val="none" w:sz="0" w:space="0" w:color="auto"/>
          </w:divBdr>
        </w:div>
        <w:div w:id="198661683">
          <w:marLeft w:val="0"/>
          <w:marRight w:val="0"/>
          <w:marTop w:val="0"/>
          <w:marBottom w:val="0"/>
          <w:divBdr>
            <w:top w:val="none" w:sz="0" w:space="0" w:color="auto"/>
            <w:left w:val="none" w:sz="0" w:space="0" w:color="auto"/>
            <w:bottom w:val="none" w:sz="0" w:space="0" w:color="auto"/>
            <w:right w:val="none" w:sz="0" w:space="0" w:color="auto"/>
          </w:divBdr>
        </w:div>
      </w:divsChild>
    </w:div>
    <w:div w:id="210844188">
      <w:bodyDiv w:val="1"/>
      <w:marLeft w:val="0"/>
      <w:marRight w:val="0"/>
      <w:marTop w:val="0"/>
      <w:marBottom w:val="0"/>
      <w:divBdr>
        <w:top w:val="none" w:sz="0" w:space="0" w:color="auto"/>
        <w:left w:val="none" w:sz="0" w:space="0" w:color="auto"/>
        <w:bottom w:val="none" w:sz="0" w:space="0" w:color="auto"/>
        <w:right w:val="none" w:sz="0" w:space="0" w:color="auto"/>
      </w:divBdr>
      <w:divsChild>
        <w:div w:id="706298388">
          <w:marLeft w:val="0"/>
          <w:marRight w:val="0"/>
          <w:marTop w:val="0"/>
          <w:marBottom w:val="0"/>
          <w:divBdr>
            <w:top w:val="none" w:sz="0" w:space="0" w:color="auto"/>
            <w:left w:val="none" w:sz="0" w:space="0" w:color="auto"/>
            <w:bottom w:val="none" w:sz="0" w:space="0" w:color="auto"/>
            <w:right w:val="none" w:sz="0" w:space="0" w:color="auto"/>
          </w:divBdr>
          <w:divsChild>
            <w:div w:id="1990672732">
              <w:marLeft w:val="0"/>
              <w:marRight w:val="0"/>
              <w:marTop w:val="0"/>
              <w:marBottom w:val="0"/>
              <w:divBdr>
                <w:top w:val="none" w:sz="0" w:space="0" w:color="auto"/>
                <w:left w:val="none" w:sz="0" w:space="0" w:color="auto"/>
                <w:bottom w:val="none" w:sz="0" w:space="0" w:color="auto"/>
                <w:right w:val="none" w:sz="0" w:space="0" w:color="auto"/>
              </w:divBdr>
            </w:div>
            <w:div w:id="161706865">
              <w:marLeft w:val="0"/>
              <w:marRight w:val="0"/>
              <w:marTop w:val="0"/>
              <w:marBottom w:val="0"/>
              <w:divBdr>
                <w:top w:val="none" w:sz="0" w:space="0" w:color="auto"/>
                <w:left w:val="none" w:sz="0" w:space="0" w:color="auto"/>
                <w:bottom w:val="none" w:sz="0" w:space="0" w:color="auto"/>
                <w:right w:val="none" w:sz="0" w:space="0" w:color="auto"/>
              </w:divBdr>
            </w:div>
            <w:div w:id="1402487242">
              <w:marLeft w:val="0"/>
              <w:marRight w:val="0"/>
              <w:marTop w:val="0"/>
              <w:marBottom w:val="0"/>
              <w:divBdr>
                <w:top w:val="none" w:sz="0" w:space="0" w:color="auto"/>
                <w:left w:val="none" w:sz="0" w:space="0" w:color="auto"/>
                <w:bottom w:val="none" w:sz="0" w:space="0" w:color="auto"/>
                <w:right w:val="none" w:sz="0" w:space="0" w:color="auto"/>
              </w:divBdr>
            </w:div>
            <w:div w:id="43992010">
              <w:marLeft w:val="0"/>
              <w:marRight w:val="0"/>
              <w:marTop w:val="0"/>
              <w:marBottom w:val="0"/>
              <w:divBdr>
                <w:top w:val="none" w:sz="0" w:space="0" w:color="auto"/>
                <w:left w:val="none" w:sz="0" w:space="0" w:color="auto"/>
                <w:bottom w:val="none" w:sz="0" w:space="0" w:color="auto"/>
                <w:right w:val="none" w:sz="0" w:space="0" w:color="auto"/>
              </w:divBdr>
            </w:div>
          </w:divsChild>
        </w:div>
        <w:div w:id="127555183">
          <w:marLeft w:val="0"/>
          <w:marRight w:val="0"/>
          <w:marTop w:val="0"/>
          <w:marBottom w:val="0"/>
          <w:divBdr>
            <w:top w:val="none" w:sz="0" w:space="0" w:color="auto"/>
            <w:left w:val="none" w:sz="0" w:space="0" w:color="auto"/>
            <w:bottom w:val="none" w:sz="0" w:space="0" w:color="auto"/>
            <w:right w:val="none" w:sz="0" w:space="0" w:color="auto"/>
          </w:divBdr>
        </w:div>
      </w:divsChild>
    </w:div>
    <w:div w:id="463960446">
      <w:bodyDiv w:val="1"/>
      <w:marLeft w:val="0"/>
      <w:marRight w:val="0"/>
      <w:marTop w:val="0"/>
      <w:marBottom w:val="0"/>
      <w:divBdr>
        <w:top w:val="none" w:sz="0" w:space="0" w:color="auto"/>
        <w:left w:val="none" w:sz="0" w:space="0" w:color="auto"/>
        <w:bottom w:val="none" w:sz="0" w:space="0" w:color="auto"/>
        <w:right w:val="none" w:sz="0" w:space="0" w:color="auto"/>
      </w:divBdr>
      <w:divsChild>
        <w:div w:id="972250992">
          <w:marLeft w:val="0"/>
          <w:marRight w:val="0"/>
          <w:marTop w:val="0"/>
          <w:marBottom w:val="0"/>
          <w:divBdr>
            <w:top w:val="none" w:sz="0" w:space="0" w:color="auto"/>
            <w:left w:val="none" w:sz="0" w:space="0" w:color="auto"/>
            <w:bottom w:val="none" w:sz="0" w:space="0" w:color="auto"/>
            <w:right w:val="none" w:sz="0" w:space="0" w:color="auto"/>
          </w:divBdr>
          <w:divsChild>
            <w:div w:id="334456097">
              <w:marLeft w:val="0"/>
              <w:marRight w:val="0"/>
              <w:marTop w:val="0"/>
              <w:marBottom w:val="0"/>
              <w:divBdr>
                <w:top w:val="none" w:sz="0" w:space="0" w:color="auto"/>
                <w:left w:val="none" w:sz="0" w:space="0" w:color="auto"/>
                <w:bottom w:val="none" w:sz="0" w:space="0" w:color="auto"/>
                <w:right w:val="none" w:sz="0" w:space="0" w:color="auto"/>
              </w:divBdr>
            </w:div>
            <w:div w:id="1179084789">
              <w:marLeft w:val="0"/>
              <w:marRight w:val="0"/>
              <w:marTop w:val="0"/>
              <w:marBottom w:val="0"/>
              <w:divBdr>
                <w:top w:val="none" w:sz="0" w:space="0" w:color="auto"/>
                <w:left w:val="none" w:sz="0" w:space="0" w:color="auto"/>
                <w:bottom w:val="none" w:sz="0" w:space="0" w:color="auto"/>
                <w:right w:val="none" w:sz="0" w:space="0" w:color="auto"/>
              </w:divBdr>
            </w:div>
            <w:div w:id="914362281">
              <w:marLeft w:val="0"/>
              <w:marRight w:val="0"/>
              <w:marTop w:val="0"/>
              <w:marBottom w:val="0"/>
              <w:divBdr>
                <w:top w:val="none" w:sz="0" w:space="0" w:color="auto"/>
                <w:left w:val="none" w:sz="0" w:space="0" w:color="auto"/>
                <w:bottom w:val="none" w:sz="0" w:space="0" w:color="auto"/>
                <w:right w:val="none" w:sz="0" w:space="0" w:color="auto"/>
              </w:divBdr>
            </w:div>
            <w:div w:id="1492285333">
              <w:marLeft w:val="0"/>
              <w:marRight w:val="0"/>
              <w:marTop w:val="0"/>
              <w:marBottom w:val="0"/>
              <w:divBdr>
                <w:top w:val="none" w:sz="0" w:space="0" w:color="auto"/>
                <w:left w:val="none" w:sz="0" w:space="0" w:color="auto"/>
                <w:bottom w:val="none" w:sz="0" w:space="0" w:color="auto"/>
                <w:right w:val="none" w:sz="0" w:space="0" w:color="auto"/>
              </w:divBdr>
            </w:div>
          </w:divsChild>
        </w:div>
        <w:div w:id="907034564">
          <w:marLeft w:val="0"/>
          <w:marRight w:val="0"/>
          <w:marTop w:val="0"/>
          <w:marBottom w:val="0"/>
          <w:divBdr>
            <w:top w:val="none" w:sz="0" w:space="0" w:color="auto"/>
            <w:left w:val="none" w:sz="0" w:space="0" w:color="auto"/>
            <w:bottom w:val="none" w:sz="0" w:space="0" w:color="auto"/>
            <w:right w:val="none" w:sz="0" w:space="0" w:color="auto"/>
          </w:divBdr>
          <w:divsChild>
            <w:div w:id="1949123212">
              <w:marLeft w:val="0"/>
              <w:marRight w:val="0"/>
              <w:marTop w:val="0"/>
              <w:marBottom w:val="0"/>
              <w:divBdr>
                <w:top w:val="none" w:sz="0" w:space="0" w:color="auto"/>
                <w:left w:val="none" w:sz="0" w:space="0" w:color="auto"/>
                <w:bottom w:val="none" w:sz="0" w:space="0" w:color="auto"/>
                <w:right w:val="none" w:sz="0" w:space="0" w:color="auto"/>
              </w:divBdr>
            </w:div>
            <w:div w:id="558399348">
              <w:marLeft w:val="0"/>
              <w:marRight w:val="0"/>
              <w:marTop w:val="0"/>
              <w:marBottom w:val="0"/>
              <w:divBdr>
                <w:top w:val="none" w:sz="0" w:space="0" w:color="auto"/>
                <w:left w:val="none" w:sz="0" w:space="0" w:color="auto"/>
                <w:bottom w:val="none" w:sz="0" w:space="0" w:color="auto"/>
                <w:right w:val="none" w:sz="0" w:space="0" w:color="auto"/>
              </w:divBdr>
            </w:div>
            <w:div w:id="1052197079">
              <w:marLeft w:val="0"/>
              <w:marRight w:val="0"/>
              <w:marTop w:val="0"/>
              <w:marBottom w:val="0"/>
              <w:divBdr>
                <w:top w:val="none" w:sz="0" w:space="0" w:color="auto"/>
                <w:left w:val="none" w:sz="0" w:space="0" w:color="auto"/>
                <w:bottom w:val="none" w:sz="0" w:space="0" w:color="auto"/>
                <w:right w:val="none" w:sz="0" w:space="0" w:color="auto"/>
              </w:divBdr>
            </w:div>
            <w:div w:id="1775709072">
              <w:marLeft w:val="0"/>
              <w:marRight w:val="0"/>
              <w:marTop w:val="0"/>
              <w:marBottom w:val="0"/>
              <w:divBdr>
                <w:top w:val="none" w:sz="0" w:space="0" w:color="auto"/>
                <w:left w:val="none" w:sz="0" w:space="0" w:color="auto"/>
                <w:bottom w:val="none" w:sz="0" w:space="0" w:color="auto"/>
                <w:right w:val="none" w:sz="0" w:space="0" w:color="auto"/>
              </w:divBdr>
            </w:div>
          </w:divsChild>
        </w:div>
        <w:div w:id="483547266">
          <w:marLeft w:val="0"/>
          <w:marRight w:val="0"/>
          <w:marTop w:val="0"/>
          <w:marBottom w:val="0"/>
          <w:divBdr>
            <w:top w:val="none" w:sz="0" w:space="0" w:color="auto"/>
            <w:left w:val="none" w:sz="0" w:space="0" w:color="auto"/>
            <w:bottom w:val="none" w:sz="0" w:space="0" w:color="auto"/>
            <w:right w:val="none" w:sz="0" w:space="0" w:color="auto"/>
          </w:divBdr>
          <w:divsChild>
            <w:div w:id="199436499">
              <w:marLeft w:val="0"/>
              <w:marRight w:val="0"/>
              <w:marTop w:val="0"/>
              <w:marBottom w:val="0"/>
              <w:divBdr>
                <w:top w:val="none" w:sz="0" w:space="0" w:color="auto"/>
                <w:left w:val="none" w:sz="0" w:space="0" w:color="auto"/>
                <w:bottom w:val="none" w:sz="0" w:space="0" w:color="auto"/>
                <w:right w:val="none" w:sz="0" w:space="0" w:color="auto"/>
              </w:divBdr>
            </w:div>
            <w:div w:id="878933017">
              <w:marLeft w:val="0"/>
              <w:marRight w:val="0"/>
              <w:marTop w:val="0"/>
              <w:marBottom w:val="0"/>
              <w:divBdr>
                <w:top w:val="none" w:sz="0" w:space="0" w:color="auto"/>
                <w:left w:val="none" w:sz="0" w:space="0" w:color="auto"/>
                <w:bottom w:val="none" w:sz="0" w:space="0" w:color="auto"/>
                <w:right w:val="none" w:sz="0" w:space="0" w:color="auto"/>
              </w:divBdr>
            </w:div>
            <w:div w:id="134375840">
              <w:marLeft w:val="0"/>
              <w:marRight w:val="0"/>
              <w:marTop w:val="0"/>
              <w:marBottom w:val="0"/>
              <w:divBdr>
                <w:top w:val="none" w:sz="0" w:space="0" w:color="auto"/>
                <w:left w:val="none" w:sz="0" w:space="0" w:color="auto"/>
                <w:bottom w:val="none" w:sz="0" w:space="0" w:color="auto"/>
                <w:right w:val="none" w:sz="0" w:space="0" w:color="auto"/>
              </w:divBdr>
            </w:div>
            <w:div w:id="981690619">
              <w:marLeft w:val="0"/>
              <w:marRight w:val="0"/>
              <w:marTop w:val="0"/>
              <w:marBottom w:val="0"/>
              <w:divBdr>
                <w:top w:val="none" w:sz="0" w:space="0" w:color="auto"/>
                <w:left w:val="none" w:sz="0" w:space="0" w:color="auto"/>
                <w:bottom w:val="none" w:sz="0" w:space="0" w:color="auto"/>
                <w:right w:val="none" w:sz="0" w:space="0" w:color="auto"/>
              </w:divBdr>
            </w:div>
            <w:div w:id="401104203">
              <w:marLeft w:val="0"/>
              <w:marRight w:val="0"/>
              <w:marTop w:val="0"/>
              <w:marBottom w:val="0"/>
              <w:divBdr>
                <w:top w:val="none" w:sz="0" w:space="0" w:color="auto"/>
                <w:left w:val="none" w:sz="0" w:space="0" w:color="auto"/>
                <w:bottom w:val="none" w:sz="0" w:space="0" w:color="auto"/>
                <w:right w:val="none" w:sz="0" w:space="0" w:color="auto"/>
              </w:divBdr>
            </w:div>
          </w:divsChild>
        </w:div>
        <w:div w:id="434635195">
          <w:marLeft w:val="0"/>
          <w:marRight w:val="0"/>
          <w:marTop w:val="0"/>
          <w:marBottom w:val="0"/>
          <w:divBdr>
            <w:top w:val="none" w:sz="0" w:space="0" w:color="auto"/>
            <w:left w:val="none" w:sz="0" w:space="0" w:color="auto"/>
            <w:bottom w:val="none" w:sz="0" w:space="0" w:color="auto"/>
            <w:right w:val="none" w:sz="0" w:space="0" w:color="auto"/>
          </w:divBdr>
          <w:divsChild>
            <w:div w:id="623124720">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779373420">
              <w:marLeft w:val="0"/>
              <w:marRight w:val="0"/>
              <w:marTop w:val="0"/>
              <w:marBottom w:val="0"/>
              <w:divBdr>
                <w:top w:val="none" w:sz="0" w:space="0" w:color="auto"/>
                <w:left w:val="none" w:sz="0" w:space="0" w:color="auto"/>
                <w:bottom w:val="none" w:sz="0" w:space="0" w:color="auto"/>
                <w:right w:val="none" w:sz="0" w:space="0" w:color="auto"/>
              </w:divBdr>
            </w:div>
            <w:div w:id="346908857">
              <w:marLeft w:val="0"/>
              <w:marRight w:val="0"/>
              <w:marTop w:val="0"/>
              <w:marBottom w:val="0"/>
              <w:divBdr>
                <w:top w:val="none" w:sz="0" w:space="0" w:color="auto"/>
                <w:left w:val="none" w:sz="0" w:space="0" w:color="auto"/>
                <w:bottom w:val="none" w:sz="0" w:space="0" w:color="auto"/>
                <w:right w:val="none" w:sz="0" w:space="0" w:color="auto"/>
              </w:divBdr>
            </w:div>
          </w:divsChild>
        </w:div>
        <w:div w:id="1749569716">
          <w:marLeft w:val="0"/>
          <w:marRight w:val="0"/>
          <w:marTop w:val="0"/>
          <w:marBottom w:val="0"/>
          <w:divBdr>
            <w:top w:val="none" w:sz="0" w:space="0" w:color="auto"/>
            <w:left w:val="none" w:sz="0" w:space="0" w:color="auto"/>
            <w:bottom w:val="none" w:sz="0" w:space="0" w:color="auto"/>
            <w:right w:val="none" w:sz="0" w:space="0" w:color="auto"/>
          </w:divBdr>
        </w:div>
      </w:divsChild>
    </w:div>
    <w:div w:id="652369171">
      <w:bodyDiv w:val="1"/>
      <w:marLeft w:val="0"/>
      <w:marRight w:val="0"/>
      <w:marTop w:val="0"/>
      <w:marBottom w:val="0"/>
      <w:divBdr>
        <w:top w:val="none" w:sz="0" w:space="0" w:color="auto"/>
        <w:left w:val="none" w:sz="0" w:space="0" w:color="auto"/>
        <w:bottom w:val="none" w:sz="0" w:space="0" w:color="auto"/>
        <w:right w:val="none" w:sz="0" w:space="0" w:color="auto"/>
      </w:divBdr>
    </w:div>
    <w:div w:id="658313165">
      <w:bodyDiv w:val="1"/>
      <w:marLeft w:val="0"/>
      <w:marRight w:val="0"/>
      <w:marTop w:val="0"/>
      <w:marBottom w:val="0"/>
      <w:divBdr>
        <w:top w:val="none" w:sz="0" w:space="0" w:color="auto"/>
        <w:left w:val="none" w:sz="0" w:space="0" w:color="auto"/>
        <w:bottom w:val="none" w:sz="0" w:space="0" w:color="auto"/>
        <w:right w:val="none" w:sz="0" w:space="0" w:color="auto"/>
      </w:divBdr>
      <w:divsChild>
        <w:div w:id="527450613">
          <w:marLeft w:val="0"/>
          <w:marRight w:val="0"/>
          <w:marTop w:val="0"/>
          <w:marBottom w:val="0"/>
          <w:divBdr>
            <w:top w:val="none" w:sz="0" w:space="0" w:color="auto"/>
            <w:left w:val="none" w:sz="0" w:space="0" w:color="auto"/>
            <w:bottom w:val="none" w:sz="0" w:space="0" w:color="auto"/>
            <w:right w:val="none" w:sz="0" w:space="0" w:color="auto"/>
          </w:divBdr>
          <w:divsChild>
            <w:div w:id="1369643493">
              <w:marLeft w:val="0"/>
              <w:marRight w:val="0"/>
              <w:marTop w:val="0"/>
              <w:marBottom w:val="0"/>
              <w:divBdr>
                <w:top w:val="none" w:sz="0" w:space="0" w:color="auto"/>
                <w:left w:val="none" w:sz="0" w:space="0" w:color="auto"/>
                <w:bottom w:val="none" w:sz="0" w:space="0" w:color="auto"/>
                <w:right w:val="none" w:sz="0" w:space="0" w:color="auto"/>
              </w:divBdr>
            </w:div>
            <w:div w:id="9727638">
              <w:marLeft w:val="0"/>
              <w:marRight w:val="0"/>
              <w:marTop w:val="0"/>
              <w:marBottom w:val="0"/>
              <w:divBdr>
                <w:top w:val="none" w:sz="0" w:space="0" w:color="auto"/>
                <w:left w:val="none" w:sz="0" w:space="0" w:color="auto"/>
                <w:bottom w:val="none" w:sz="0" w:space="0" w:color="auto"/>
                <w:right w:val="none" w:sz="0" w:space="0" w:color="auto"/>
              </w:divBdr>
            </w:div>
            <w:div w:id="166484986">
              <w:marLeft w:val="0"/>
              <w:marRight w:val="0"/>
              <w:marTop w:val="0"/>
              <w:marBottom w:val="0"/>
              <w:divBdr>
                <w:top w:val="none" w:sz="0" w:space="0" w:color="auto"/>
                <w:left w:val="none" w:sz="0" w:space="0" w:color="auto"/>
                <w:bottom w:val="none" w:sz="0" w:space="0" w:color="auto"/>
                <w:right w:val="none" w:sz="0" w:space="0" w:color="auto"/>
              </w:divBdr>
            </w:div>
          </w:divsChild>
        </w:div>
        <w:div w:id="1672370829">
          <w:marLeft w:val="0"/>
          <w:marRight w:val="0"/>
          <w:marTop w:val="0"/>
          <w:marBottom w:val="0"/>
          <w:divBdr>
            <w:top w:val="none" w:sz="0" w:space="0" w:color="auto"/>
            <w:left w:val="none" w:sz="0" w:space="0" w:color="auto"/>
            <w:bottom w:val="none" w:sz="0" w:space="0" w:color="auto"/>
            <w:right w:val="none" w:sz="0" w:space="0" w:color="auto"/>
          </w:divBdr>
        </w:div>
        <w:div w:id="1810589871">
          <w:marLeft w:val="0"/>
          <w:marRight w:val="0"/>
          <w:marTop w:val="0"/>
          <w:marBottom w:val="0"/>
          <w:divBdr>
            <w:top w:val="none" w:sz="0" w:space="0" w:color="auto"/>
            <w:left w:val="none" w:sz="0" w:space="0" w:color="auto"/>
            <w:bottom w:val="none" w:sz="0" w:space="0" w:color="auto"/>
            <w:right w:val="none" w:sz="0" w:space="0" w:color="auto"/>
          </w:divBdr>
        </w:div>
      </w:divsChild>
    </w:div>
    <w:div w:id="744886816">
      <w:bodyDiv w:val="1"/>
      <w:marLeft w:val="0"/>
      <w:marRight w:val="0"/>
      <w:marTop w:val="0"/>
      <w:marBottom w:val="0"/>
      <w:divBdr>
        <w:top w:val="none" w:sz="0" w:space="0" w:color="auto"/>
        <w:left w:val="none" w:sz="0" w:space="0" w:color="auto"/>
        <w:bottom w:val="none" w:sz="0" w:space="0" w:color="auto"/>
        <w:right w:val="none" w:sz="0" w:space="0" w:color="auto"/>
      </w:divBdr>
      <w:divsChild>
        <w:div w:id="1735543265">
          <w:marLeft w:val="0"/>
          <w:marRight w:val="0"/>
          <w:marTop w:val="0"/>
          <w:marBottom w:val="0"/>
          <w:divBdr>
            <w:top w:val="none" w:sz="0" w:space="0" w:color="auto"/>
            <w:left w:val="none" w:sz="0" w:space="0" w:color="auto"/>
            <w:bottom w:val="none" w:sz="0" w:space="0" w:color="auto"/>
            <w:right w:val="none" w:sz="0" w:space="0" w:color="auto"/>
          </w:divBdr>
          <w:divsChild>
            <w:div w:id="1096755657">
              <w:marLeft w:val="0"/>
              <w:marRight w:val="0"/>
              <w:marTop w:val="0"/>
              <w:marBottom w:val="0"/>
              <w:divBdr>
                <w:top w:val="none" w:sz="0" w:space="0" w:color="auto"/>
                <w:left w:val="none" w:sz="0" w:space="0" w:color="auto"/>
                <w:bottom w:val="none" w:sz="0" w:space="0" w:color="auto"/>
                <w:right w:val="none" w:sz="0" w:space="0" w:color="auto"/>
              </w:divBdr>
            </w:div>
            <w:div w:id="464351723">
              <w:marLeft w:val="0"/>
              <w:marRight w:val="0"/>
              <w:marTop w:val="0"/>
              <w:marBottom w:val="0"/>
              <w:divBdr>
                <w:top w:val="none" w:sz="0" w:space="0" w:color="auto"/>
                <w:left w:val="none" w:sz="0" w:space="0" w:color="auto"/>
                <w:bottom w:val="none" w:sz="0" w:space="0" w:color="auto"/>
                <w:right w:val="none" w:sz="0" w:space="0" w:color="auto"/>
              </w:divBdr>
            </w:div>
            <w:div w:id="1624770585">
              <w:marLeft w:val="0"/>
              <w:marRight w:val="0"/>
              <w:marTop w:val="0"/>
              <w:marBottom w:val="0"/>
              <w:divBdr>
                <w:top w:val="none" w:sz="0" w:space="0" w:color="auto"/>
                <w:left w:val="none" w:sz="0" w:space="0" w:color="auto"/>
                <w:bottom w:val="none" w:sz="0" w:space="0" w:color="auto"/>
                <w:right w:val="none" w:sz="0" w:space="0" w:color="auto"/>
              </w:divBdr>
            </w:div>
            <w:div w:id="951983279">
              <w:marLeft w:val="0"/>
              <w:marRight w:val="0"/>
              <w:marTop w:val="0"/>
              <w:marBottom w:val="0"/>
              <w:divBdr>
                <w:top w:val="none" w:sz="0" w:space="0" w:color="auto"/>
                <w:left w:val="none" w:sz="0" w:space="0" w:color="auto"/>
                <w:bottom w:val="none" w:sz="0" w:space="0" w:color="auto"/>
                <w:right w:val="none" w:sz="0" w:space="0" w:color="auto"/>
              </w:divBdr>
            </w:div>
          </w:divsChild>
        </w:div>
        <w:div w:id="2134980777">
          <w:marLeft w:val="0"/>
          <w:marRight w:val="0"/>
          <w:marTop w:val="0"/>
          <w:marBottom w:val="0"/>
          <w:divBdr>
            <w:top w:val="none" w:sz="0" w:space="0" w:color="auto"/>
            <w:left w:val="none" w:sz="0" w:space="0" w:color="auto"/>
            <w:bottom w:val="none" w:sz="0" w:space="0" w:color="auto"/>
            <w:right w:val="none" w:sz="0" w:space="0" w:color="auto"/>
          </w:divBdr>
          <w:divsChild>
            <w:div w:id="1257522158">
              <w:marLeft w:val="0"/>
              <w:marRight w:val="0"/>
              <w:marTop w:val="0"/>
              <w:marBottom w:val="0"/>
              <w:divBdr>
                <w:top w:val="none" w:sz="0" w:space="0" w:color="auto"/>
                <w:left w:val="none" w:sz="0" w:space="0" w:color="auto"/>
                <w:bottom w:val="none" w:sz="0" w:space="0" w:color="auto"/>
                <w:right w:val="none" w:sz="0" w:space="0" w:color="auto"/>
              </w:divBdr>
            </w:div>
            <w:div w:id="425732191">
              <w:marLeft w:val="0"/>
              <w:marRight w:val="0"/>
              <w:marTop w:val="0"/>
              <w:marBottom w:val="0"/>
              <w:divBdr>
                <w:top w:val="none" w:sz="0" w:space="0" w:color="auto"/>
                <w:left w:val="none" w:sz="0" w:space="0" w:color="auto"/>
                <w:bottom w:val="none" w:sz="0" w:space="0" w:color="auto"/>
                <w:right w:val="none" w:sz="0" w:space="0" w:color="auto"/>
              </w:divBdr>
            </w:div>
            <w:div w:id="1279752252">
              <w:marLeft w:val="0"/>
              <w:marRight w:val="0"/>
              <w:marTop w:val="0"/>
              <w:marBottom w:val="0"/>
              <w:divBdr>
                <w:top w:val="none" w:sz="0" w:space="0" w:color="auto"/>
                <w:left w:val="none" w:sz="0" w:space="0" w:color="auto"/>
                <w:bottom w:val="none" w:sz="0" w:space="0" w:color="auto"/>
                <w:right w:val="none" w:sz="0" w:space="0" w:color="auto"/>
              </w:divBdr>
            </w:div>
            <w:div w:id="1452626853">
              <w:marLeft w:val="0"/>
              <w:marRight w:val="0"/>
              <w:marTop w:val="0"/>
              <w:marBottom w:val="0"/>
              <w:divBdr>
                <w:top w:val="none" w:sz="0" w:space="0" w:color="auto"/>
                <w:left w:val="none" w:sz="0" w:space="0" w:color="auto"/>
                <w:bottom w:val="none" w:sz="0" w:space="0" w:color="auto"/>
                <w:right w:val="none" w:sz="0" w:space="0" w:color="auto"/>
              </w:divBdr>
            </w:div>
          </w:divsChild>
        </w:div>
        <w:div w:id="1957129305">
          <w:marLeft w:val="0"/>
          <w:marRight w:val="0"/>
          <w:marTop w:val="0"/>
          <w:marBottom w:val="0"/>
          <w:divBdr>
            <w:top w:val="none" w:sz="0" w:space="0" w:color="auto"/>
            <w:left w:val="none" w:sz="0" w:space="0" w:color="auto"/>
            <w:bottom w:val="none" w:sz="0" w:space="0" w:color="auto"/>
            <w:right w:val="none" w:sz="0" w:space="0" w:color="auto"/>
          </w:divBdr>
          <w:divsChild>
            <w:div w:id="1057897242">
              <w:marLeft w:val="0"/>
              <w:marRight w:val="0"/>
              <w:marTop w:val="0"/>
              <w:marBottom w:val="0"/>
              <w:divBdr>
                <w:top w:val="none" w:sz="0" w:space="0" w:color="auto"/>
                <w:left w:val="none" w:sz="0" w:space="0" w:color="auto"/>
                <w:bottom w:val="none" w:sz="0" w:space="0" w:color="auto"/>
                <w:right w:val="none" w:sz="0" w:space="0" w:color="auto"/>
              </w:divBdr>
            </w:div>
            <w:div w:id="2128304944">
              <w:marLeft w:val="0"/>
              <w:marRight w:val="0"/>
              <w:marTop w:val="0"/>
              <w:marBottom w:val="0"/>
              <w:divBdr>
                <w:top w:val="none" w:sz="0" w:space="0" w:color="auto"/>
                <w:left w:val="none" w:sz="0" w:space="0" w:color="auto"/>
                <w:bottom w:val="none" w:sz="0" w:space="0" w:color="auto"/>
                <w:right w:val="none" w:sz="0" w:space="0" w:color="auto"/>
              </w:divBdr>
            </w:div>
            <w:div w:id="1968386082">
              <w:marLeft w:val="0"/>
              <w:marRight w:val="0"/>
              <w:marTop w:val="0"/>
              <w:marBottom w:val="0"/>
              <w:divBdr>
                <w:top w:val="none" w:sz="0" w:space="0" w:color="auto"/>
                <w:left w:val="none" w:sz="0" w:space="0" w:color="auto"/>
                <w:bottom w:val="none" w:sz="0" w:space="0" w:color="auto"/>
                <w:right w:val="none" w:sz="0" w:space="0" w:color="auto"/>
              </w:divBdr>
            </w:div>
            <w:div w:id="763382770">
              <w:marLeft w:val="0"/>
              <w:marRight w:val="0"/>
              <w:marTop w:val="0"/>
              <w:marBottom w:val="0"/>
              <w:divBdr>
                <w:top w:val="none" w:sz="0" w:space="0" w:color="auto"/>
                <w:left w:val="none" w:sz="0" w:space="0" w:color="auto"/>
                <w:bottom w:val="none" w:sz="0" w:space="0" w:color="auto"/>
                <w:right w:val="none" w:sz="0" w:space="0" w:color="auto"/>
              </w:divBdr>
            </w:div>
            <w:div w:id="858347199">
              <w:marLeft w:val="0"/>
              <w:marRight w:val="0"/>
              <w:marTop w:val="0"/>
              <w:marBottom w:val="0"/>
              <w:divBdr>
                <w:top w:val="none" w:sz="0" w:space="0" w:color="auto"/>
                <w:left w:val="none" w:sz="0" w:space="0" w:color="auto"/>
                <w:bottom w:val="none" w:sz="0" w:space="0" w:color="auto"/>
                <w:right w:val="none" w:sz="0" w:space="0" w:color="auto"/>
              </w:divBdr>
            </w:div>
          </w:divsChild>
        </w:div>
        <w:div w:id="856115802">
          <w:marLeft w:val="0"/>
          <w:marRight w:val="0"/>
          <w:marTop w:val="0"/>
          <w:marBottom w:val="0"/>
          <w:divBdr>
            <w:top w:val="none" w:sz="0" w:space="0" w:color="auto"/>
            <w:left w:val="none" w:sz="0" w:space="0" w:color="auto"/>
            <w:bottom w:val="none" w:sz="0" w:space="0" w:color="auto"/>
            <w:right w:val="none" w:sz="0" w:space="0" w:color="auto"/>
          </w:divBdr>
          <w:divsChild>
            <w:div w:id="995843265">
              <w:marLeft w:val="0"/>
              <w:marRight w:val="0"/>
              <w:marTop w:val="0"/>
              <w:marBottom w:val="0"/>
              <w:divBdr>
                <w:top w:val="none" w:sz="0" w:space="0" w:color="auto"/>
                <w:left w:val="none" w:sz="0" w:space="0" w:color="auto"/>
                <w:bottom w:val="none" w:sz="0" w:space="0" w:color="auto"/>
                <w:right w:val="none" w:sz="0" w:space="0" w:color="auto"/>
              </w:divBdr>
            </w:div>
            <w:div w:id="1986352481">
              <w:marLeft w:val="0"/>
              <w:marRight w:val="0"/>
              <w:marTop w:val="0"/>
              <w:marBottom w:val="0"/>
              <w:divBdr>
                <w:top w:val="none" w:sz="0" w:space="0" w:color="auto"/>
                <w:left w:val="none" w:sz="0" w:space="0" w:color="auto"/>
                <w:bottom w:val="none" w:sz="0" w:space="0" w:color="auto"/>
                <w:right w:val="none" w:sz="0" w:space="0" w:color="auto"/>
              </w:divBdr>
            </w:div>
            <w:div w:id="311957508">
              <w:marLeft w:val="0"/>
              <w:marRight w:val="0"/>
              <w:marTop w:val="0"/>
              <w:marBottom w:val="0"/>
              <w:divBdr>
                <w:top w:val="none" w:sz="0" w:space="0" w:color="auto"/>
                <w:left w:val="none" w:sz="0" w:space="0" w:color="auto"/>
                <w:bottom w:val="none" w:sz="0" w:space="0" w:color="auto"/>
                <w:right w:val="none" w:sz="0" w:space="0" w:color="auto"/>
              </w:divBdr>
            </w:div>
            <w:div w:id="1773474388">
              <w:marLeft w:val="0"/>
              <w:marRight w:val="0"/>
              <w:marTop w:val="0"/>
              <w:marBottom w:val="0"/>
              <w:divBdr>
                <w:top w:val="none" w:sz="0" w:space="0" w:color="auto"/>
                <w:left w:val="none" w:sz="0" w:space="0" w:color="auto"/>
                <w:bottom w:val="none" w:sz="0" w:space="0" w:color="auto"/>
                <w:right w:val="none" w:sz="0" w:space="0" w:color="auto"/>
              </w:divBdr>
            </w:div>
          </w:divsChild>
        </w:div>
        <w:div w:id="1891113760">
          <w:marLeft w:val="0"/>
          <w:marRight w:val="0"/>
          <w:marTop w:val="0"/>
          <w:marBottom w:val="0"/>
          <w:divBdr>
            <w:top w:val="none" w:sz="0" w:space="0" w:color="auto"/>
            <w:left w:val="none" w:sz="0" w:space="0" w:color="auto"/>
            <w:bottom w:val="none" w:sz="0" w:space="0" w:color="auto"/>
            <w:right w:val="none" w:sz="0" w:space="0" w:color="auto"/>
          </w:divBdr>
        </w:div>
      </w:divsChild>
    </w:div>
    <w:div w:id="872185091">
      <w:bodyDiv w:val="1"/>
      <w:marLeft w:val="0"/>
      <w:marRight w:val="0"/>
      <w:marTop w:val="0"/>
      <w:marBottom w:val="0"/>
      <w:divBdr>
        <w:top w:val="none" w:sz="0" w:space="0" w:color="auto"/>
        <w:left w:val="none" w:sz="0" w:space="0" w:color="auto"/>
        <w:bottom w:val="none" w:sz="0" w:space="0" w:color="auto"/>
        <w:right w:val="none" w:sz="0" w:space="0" w:color="auto"/>
      </w:divBdr>
    </w:div>
    <w:div w:id="920793079">
      <w:bodyDiv w:val="1"/>
      <w:marLeft w:val="0"/>
      <w:marRight w:val="0"/>
      <w:marTop w:val="0"/>
      <w:marBottom w:val="0"/>
      <w:divBdr>
        <w:top w:val="none" w:sz="0" w:space="0" w:color="auto"/>
        <w:left w:val="none" w:sz="0" w:space="0" w:color="auto"/>
        <w:bottom w:val="none" w:sz="0" w:space="0" w:color="auto"/>
        <w:right w:val="none" w:sz="0" w:space="0" w:color="auto"/>
      </w:divBdr>
    </w:div>
    <w:div w:id="1420058519">
      <w:bodyDiv w:val="1"/>
      <w:marLeft w:val="0"/>
      <w:marRight w:val="0"/>
      <w:marTop w:val="0"/>
      <w:marBottom w:val="0"/>
      <w:divBdr>
        <w:top w:val="none" w:sz="0" w:space="0" w:color="auto"/>
        <w:left w:val="none" w:sz="0" w:space="0" w:color="auto"/>
        <w:bottom w:val="none" w:sz="0" w:space="0" w:color="auto"/>
        <w:right w:val="none" w:sz="0" w:space="0" w:color="auto"/>
      </w:divBdr>
      <w:divsChild>
        <w:div w:id="1447773604">
          <w:marLeft w:val="0"/>
          <w:marRight w:val="0"/>
          <w:marTop w:val="0"/>
          <w:marBottom w:val="0"/>
          <w:divBdr>
            <w:top w:val="none" w:sz="0" w:space="0" w:color="auto"/>
            <w:left w:val="none" w:sz="0" w:space="0" w:color="auto"/>
            <w:bottom w:val="none" w:sz="0" w:space="0" w:color="auto"/>
            <w:right w:val="none" w:sz="0" w:space="0" w:color="auto"/>
          </w:divBdr>
        </w:div>
        <w:div w:id="1161769451">
          <w:marLeft w:val="0"/>
          <w:marRight w:val="0"/>
          <w:marTop w:val="0"/>
          <w:marBottom w:val="0"/>
          <w:divBdr>
            <w:top w:val="none" w:sz="0" w:space="0" w:color="auto"/>
            <w:left w:val="none" w:sz="0" w:space="0" w:color="auto"/>
            <w:bottom w:val="none" w:sz="0" w:space="0" w:color="auto"/>
            <w:right w:val="none" w:sz="0" w:space="0" w:color="auto"/>
          </w:divBdr>
        </w:div>
        <w:div w:id="245699366">
          <w:marLeft w:val="0"/>
          <w:marRight w:val="0"/>
          <w:marTop w:val="0"/>
          <w:marBottom w:val="0"/>
          <w:divBdr>
            <w:top w:val="none" w:sz="0" w:space="0" w:color="auto"/>
            <w:left w:val="none" w:sz="0" w:space="0" w:color="auto"/>
            <w:bottom w:val="none" w:sz="0" w:space="0" w:color="auto"/>
            <w:right w:val="none" w:sz="0" w:space="0" w:color="auto"/>
          </w:divBdr>
        </w:div>
        <w:div w:id="600379861">
          <w:marLeft w:val="0"/>
          <w:marRight w:val="0"/>
          <w:marTop w:val="0"/>
          <w:marBottom w:val="0"/>
          <w:divBdr>
            <w:top w:val="none" w:sz="0" w:space="0" w:color="auto"/>
            <w:left w:val="none" w:sz="0" w:space="0" w:color="auto"/>
            <w:bottom w:val="none" w:sz="0" w:space="0" w:color="auto"/>
            <w:right w:val="none" w:sz="0" w:space="0" w:color="auto"/>
          </w:divBdr>
        </w:div>
        <w:div w:id="385760086">
          <w:marLeft w:val="0"/>
          <w:marRight w:val="0"/>
          <w:marTop w:val="0"/>
          <w:marBottom w:val="0"/>
          <w:divBdr>
            <w:top w:val="none" w:sz="0" w:space="0" w:color="auto"/>
            <w:left w:val="none" w:sz="0" w:space="0" w:color="auto"/>
            <w:bottom w:val="none" w:sz="0" w:space="0" w:color="auto"/>
            <w:right w:val="none" w:sz="0" w:space="0" w:color="auto"/>
          </w:divBdr>
        </w:div>
        <w:div w:id="1945183727">
          <w:marLeft w:val="0"/>
          <w:marRight w:val="0"/>
          <w:marTop w:val="0"/>
          <w:marBottom w:val="0"/>
          <w:divBdr>
            <w:top w:val="none" w:sz="0" w:space="0" w:color="auto"/>
            <w:left w:val="none" w:sz="0" w:space="0" w:color="auto"/>
            <w:bottom w:val="none" w:sz="0" w:space="0" w:color="auto"/>
            <w:right w:val="none" w:sz="0" w:space="0" w:color="auto"/>
          </w:divBdr>
        </w:div>
        <w:div w:id="1082609106">
          <w:marLeft w:val="0"/>
          <w:marRight w:val="0"/>
          <w:marTop w:val="0"/>
          <w:marBottom w:val="0"/>
          <w:divBdr>
            <w:top w:val="none" w:sz="0" w:space="0" w:color="auto"/>
            <w:left w:val="none" w:sz="0" w:space="0" w:color="auto"/>
            <w:bottom w:val="none" w:sz="0" w:space="0" w:color="auto"/>
            <w:right w:val="none" w:sz="0" w:space="0" w:color="auto"/>
          </w:divBdr>
        </w:div>
        <w:div w:id="442766090">
          <w:marLeft w:val="0"/>
          <w:marRight w:val="0"/>
          <w:marTop w:val="0"/>
          <w:marBottom w:val="0"/>
          <w:divBdr>
            <w:top w:val="none" w:sz="0" w:space="0" w:color="auto"/>
            <w:left w:val="none" w:sz="0" w:space="0" w:color="auto"/>
            <w:bottom w:val="none" w:sz="0" w:space="0" w:color="auto"/>
            <w:right w:val="none" w:sz="0" w:space="0" w:color="auto"/>
          </w:divBdr>
        </w:div>
        <w:div w:id="106394846">
          <w:marLeft w:val="0"/>
          <w:marRight w:val="0"/>
          <w:marTop w:val="0"/>
          <w:marBottom w:val="0"/>
          <w:divBdr>
            <w:top w:val="none" w:sz="0" w:space="0" w:color="auto"/>
            <w:left w:val="none" w:sz="0" w:space="0" w:color="auto"/>
            <w:bottom w:val="none" w:sz="0" w:space="0" w:color="auto"/>
            <w:right w:val="none" w:sz="0" w:space="0" w:color="auto"/>
          </w:divBdr>
        </w:div>
        <w:div w:id="504323740">
          <w:marLeft w:val="0"/>
          <w:marRight w:val="0"/>
          <w:marTop w:val="0"/>
          <w:marBottom w:val="0"/>
          <w:divBdr>
            <w:top w:val="none" w:sz="0" w:space="0" w:color="auto"/>
            <w:left w:val="none" w:sz="0" w:space="0" w:color="auto"/>
            <w:bottom w:val="none" w:sz="0" w:space="0" w:color="auto"/>
            <w:right w:val="none" w:sz="0" w:space="0" w:color="auto"/>
          </w:divBdr>
        </w:div>
        <w:div w:id="560677792">
          <w:marLeft w:val="0"/>
          <w:marRight w:val="0"/>
          <w:marTop w:val="0"/>
          <w:marBottom w:val="0"/>
          <w:divBdr>
            <w:top w:val="none" w:sz="0" w:space="0" w:color="auto"/>
            <w:left w:val="none" w:sz="0" w:space="0" w:color="auto"/>
            <w:bottom w:val="none" w:sz="0" w:space="0" w:color="auto"/>
            <w:right w:val="none" w:sz="0" w:space="0" w:color="auto"/>
          </w:divBdr>
        </w:div>
        <w:div w:id="1527913344">
          <w:marLeft w:val="0"/>
          <w:marRight w:val="0"/>
          <w:marTop w:val="0"/>
          <w:marBottom w:val="0"/>
          <w:divBdr>
            <w:top w:val="none" w:sz="0" w:space="0" w:color="auto"/>
            <w:left w:val="none" w:sz="0" w:space="0" w:color="auto"/>
            <w:bottom w:val="none" w:sz="0" w:space="0" w:color="auto"/>
            <w:right w:val="none" w:sz="0" w:space="0" w:color="auto"/>
          </w:divBdr>
        </w:div>
        <w:div w:id="116460795">
          <w:marLeft w:val="0"/>
          <w:marRight w:val="0"/>
          <w:marTop w:val="0"/>
          <w:marBottom w:val="0"/>
          <w:divBdr>
            <w:top w:val="none" w:sz="0" w:space="0" w:color="auto"/>
            <w:left w:val="none" w:sz="0" w:space="0" w:color="auto"/>
            <w:bottom w:val="none" w:sz="0" w:space="0" w:color="auto"/>
            <w:right w:val="none" w:sz="0" w:space="0" w:color="auto"/>
          </w:divBdr>
        </w:div>
        <w:div w:id="370351398">
          <w:marLeft w:val="0"/>
          <w:marRight w:val="0"/>
          <w:marTop w:val="0"/>
          <w:marBottom w:val="0"/>
          <w:divBdr>
            <w:top w:val="none" w:sz="0" w:space="0" w:color="auto"/>
            <w:left w:val="none" w:sz="0" w:space="0" w:color="auto"/>
            <w:bottom w:val="none" w:sz="0" w:space="0" w:color="auto"/>
            <w:right w:val="none" w:sz="0" w:space="0" w:color="auto"/>
          </w:divBdr>
        </w:div>
        <w:div w:id="201020814">
          <w:marLeft w:val="0"/>
          <w:marRight w:val="0"/>
          <w:marTop w:val="0"/>
          <w:marBottom w:val="0"/>
          <w:divBdr>
            <w:top w:val="none" w:sz="0" w:space="0" w:color="auto"/>
            <w:left w:val="none" w:sz="0" w:space="0" w:color="auto"/>
            <w:bottom w:val="none" w:sz="0" w:space="0" w:color="auto"/>
            <w:right w:val="none" w:sz="0" w:space="0" w:color="auto"/>
          </w:divBdr>
        </w:div>
      </w:divsChild>
    </w:div>
    <w:div w:id="1492986371">
      <w:bodyDiv w:val="1"/>
      <w:marLeft w:val="0"/>
      <w:marRight w:val="0"/>
      <w:marTop w:val="0"/>
      <w:marBottom w:val="0"/>
      <w:divBdr>
        <w:top w:val="none" w:sz="0" w:space="0" w:color="auto"/>
        <w:left w:val="none" w:sz="0" w:space="0" w:color="auto"/>
        <w:bottom w:val="none" w:sz="0" w:space="0" w:color="auto"/>
        <w:right w:val="none" w:sz="0" w:space="0" w:color="auto"/>
      </w:divBdr>
    </w:div>
    <w:div w:id="1550529991">
      <w:bodyDiv w:val="1"/>
      <w:marLeft w:val="0"/>
      <w:marRight w:val="0"/>
      <w:marTop w:val="0"/>
      <w:marBottom w:val="0"/>
      <w:divBdr>
        <w:top w:val="none" w:sz="0" w:space="0" w:color="auto"/>
        <w:left w:val="none" w:sz="0" w:space="0" w:color="auto"/>
        <w:bottom w:val="none" w:sz="0" w:space="0" w:color="auto"/>
        <w:right w:val="none" w:sz="0" w:space="0" w:color="auto"/>
      </w:divBdr>
    </w:div>
    <w:div w:id="1719235661">
      <w:bodyDiv w:val="1"/>
      <w:marLeft w:val="0"/>
      <w:marRight w:val="0"/>
      <w:marTop w:val="0"/>
      <w:marBottom w:val="0"/>
      <w:divBdr>
        <w:top w:val="none" w:sz="0" w:space="0" w:color="auto"/>
        <w:left w:val="none" w:sz="0" w:space="0" w:color="auto"/>
        <w:bottom w:val="none" w:sz="0" w:space="0" w:color="auto"/>
        <w:right w:val="none" w:sz="0" w:space="0" w:color="auto"/>
      </w:divBdr>
    </w:div>
    <w:div w:id="1764641767">
      <w:bodyDiv w:val="1"/>
      <w:marLeft w:val="0"/>
      <w:marRight w:val="0"/>
      <w:marTop w:val="0"/>
      <w:marBottom w:val="0"/>
      <w:divBdr>
        <w:top w:val="none" w:sz="0" w:space="0" w:color="auto"/>
        <w:left w:val="none" w:sz="0" w:space="0" w:color="auto"/>
        <w:bottom w:val="none" w:sz="0" w:space="0" w:color="auto"/>
        <w:right w:val="none" w:sz="0" w:space="0" w:color="auto"/>
      </w:divBdr>
      <w:divsChild>
        <w:div w:id="1094549187">
          <w:marLeft w:val="0"/>
          <w:marRight w:val="0"/>
          <w:marTop w:val="0"/>
          <w:marBottom w:val="0"/>
          <w:divBdr>
            <w:top w:val="none" w:sz="0" w:space="0" w:color="auto"/>
            <w:left w:val="none" w:sz="0" w:space="0" w:color="auto"/>
            <w:bottom w:val="none" w:sz="0" w:space="0" w:color="auto"/>
            <w:right w:val="none" w:sz="0" w:space="0" w:color="auto"/>
          </w:divBdr>
          <w:divsChild>
            <w:div w:id="1349062594">
              <w:marLeft w:val="0"/>
              <w:marRight w:val="0"/>
              <w:marTop w:val="0"/>
              <w:marBottom w:val="0"/>
              <w:divBdr>
                <w:top w:val="none" w:sz="0" w:space="0" w:color="auto"/>
                <w:left w:val="none" w:sz="0" w:space="0" w:color="auto"/>
                <w:bottom w:val="none" w:sz="0" w:space="0" w:color="auto"/>
                <w:right w:val="none" w:sz="0" w:space="0" w:color="auto"/>
              </w:divBdr>
            </w:div>
            <w:div w:id="264000161">
              <w:marLeft w:val="0"/>
              <w:marRight w:val="0"/>
              <w:marTop w:val="0"/>
              <w:marBottom w:val="0"/>
              <w:divBdr>
                <w:top w:val="none" w:sz="0" w:space="0" w:color="auto"/>
                <w:left w:val="none" w:sz="0" w:space="0" w:color="auto"/>
                <w:bottom w:val="none" w:sz="0" w:space="0" w:color="auto"/>
                <w:right w:val="none" w:sz="0" w:space="0" w:color="auto"/>
              </w:divBdr>
            </w:div>
            <w:div w:id="221210631">
              <w:marLeft w:val="0"/>
              <w:marRight w:val="0"/>
              <w:marTop w:val="0"/>
              <w:marBottom w:val="0"/>
              <w:divBdr>
                <w:top w:val="none" w:sz="0" w:space="0" w:color="auto"/>
                <w:left w:val="none" w:sz="0" w:space="0" w:color="auto"/>
                <w:bottom w:val="none" w:sz="0" w:space="0" w:color="auto"/>
                <w:right w:val="none" w:sz="0" w:space="0" w:color="auto"/>
              </w:divBdr>
            </w:div>
            <w:div w:id="1752845696">
              <w:marLeft w:val="0"/>
              <w:marRight w:val="0"/>
              <w:marTop w:val="0"/>
              <w:marBottom w:val="0"/>
              <w:divBdr>
                <w:top w:val="none" w:sz="0" w:space="0" w:color="auto"/>
                <w:left w:val="none" w:sz="0" w:space="0" w:color="auto"/>
                <w:bottom w:val="none" w:sz="0" w:space="0" w:color="auto"/>
                <w:right w:val="none" w:sz="0" w:space="0" w:color="auto"/>
              </w:divBdr>
            </w:div>
          </w:divsChild>
        </w:div>
        <w:div w:id="1312175378">
          <w:marLeft w:val="0"/>
          <w:marRight w:val="0"/>
          <w:marTop w:val="0"/>
          <w:marBottom w:val="0"/>
          <w:divBdr>
            <w:top w:val="none" w:sz="0" w:space="0" w:color="auto"/>
            <w:left w:val="none" w:sz="0" w:space="0" w:color="auto"/>
            <w:bottom w:val="none" w:sz="0" w:space="0" w:color="auto"/>
            <w:right w:val="none" w:sz="0" w:space="0" w:color="auto"/>
          </w:divBdr>
          <w:divsChild>
            <w:div w:id="992830142">
              <w:marLeft w:val="0"/>
              <w:marRight w:val="0"/>
              <w:marTop w:val="0"/>
              <w:marBottom w:val="0"/>
              <w:divBdr>
                <w:top w:val="none" w:sz="0" w:space="0" w:color="auto"/>
                <w:left w:val="none" w:sz="0" w:space="0" w:color="auto"/>
                <w:bottom w:val="none" w:sz="0" w:space="0" w:color="auto"/>
                <w:right w:val="none" w:sz="0" w:space="0" w:color="auto"/>
              </w:divBdr>
            </w:div>
            <w:div w:id="674579662">
              <w:marLeft w:val="0"/>
              <w:marRight w:val="0"/>
              <w:marTop w:val="0"/>
              <w:marBottom w:val="0"/>
              <w:divBdr>
                <w:top w:val="none" w:sz="0" w:space="0" w:color="auto"/>
                <w:left w:val="none" w:sz="0" w:space="0" w:color="auto"/>
                <w:bottom w:val="none" w:sz="0" w:space="0" w:color="auto"/>
                <w:right w:val="none" w:sz="0" w:space="0" w:color="auto"/>
              </w:divBdr>
            </w:div>
            <w:div w:id="770320314">
              <w:marLeft w:val="0"/>
              <w:marRight w:val="0"/>
              <w:marTop w:val="0"/>
              <w:marBottom w:val="0"/>
              <w:divBdr>
                <w:top w:val="none" w:sz="0" w:space="0" w:color="auto"/>
                <w:left w:val="none" w:sz="0" w:space="0" w:color="auto"/>
                <w:bottom w:val="none" w:sz="0" w:space="0" w:color="auto"/>
                <w:right w:val="none" w:sz="0" w:space="0" w:color="auto"/>
              </w:divBdr>
            </w:div>
            <w:div w:id="1372193013">
              <w:marLeft w:val="0"/>
              <w:marRight w:val="0"/>
              <w:marTop w:val="0"/>
              <w:marBottom w:val="0"/>
              <w:divBdr>
                <w:top w:val="none" w:sz="0" w:space="0" w:color="auto"/>
                <w:left w:val="none" w:sz="0" w:space="0" w:color="auto"/>
                <w:bottom w:val="none" w:sz="0" w:space="0" w:color="auto"/>
                <w:right w:val="none" w:sz="0" w:space="0" w:color="auto"/>
              </w:divBdr>
            </w:div>
          </w:divsChild>
        </w:div>
        <w:div w:id="299386314">
          <w:marLeft w:val="0"/>
          <w:marRight w:val="0"/>
          <w:marTop w:val="0"/>
          <w:marBottom w:val="0"/>
          <w:divBdr>
            <w:top w:val="none" w:sz="0" w:space="0" w:color="auto"/>
            <w:left w:val="none" w:sz="0" w:space="0" w:color="auto"/>
            <w:bottom w:val="none" w:sz="0" w:space="0" w:color="auto"/>
            <w:right w:val="none" w:sz="0" w:space="0" w:color="auto"/>
          </w:divBdr>
          <w:divsChild>
            <w:div w:id="1867792988">
              <w:marLeft w:val="0"/>
              <w:marRight w:val="0"/>
              <w:marTop w:val="0"/>
              <w:marBottom w:val="0"/>
              <w:divBdr>
                <w:top w:val="none" w:sz="0" w:space="0" w:color="auto"/>
                <w:left w:val="none" w:sz="0" w:space="0" w:color="auto"/>
                <w:bottom w:val="none" w:sz="0" w:space="0" w:color="auto"/>
                <w:right w:val="none" w:sz="0" w:space="0" w:color="auto"/>
              </w:divBdr>
            </w:div>
            <w:div w:id="1813593020">
              <w:marLeft w:val="0"/>
              <w:marRight w:val="0"/>
              <w:marTop w:val="0"/>
              <w:marBottom w:val="0"/>
              <w:divBdr>
                <w:top w:val="none" w:sz="0" w:space="0" w:color="auto"/>
                <w:left w:val="none" w:sz="0" w:space="0" w:color="auto"/>
                <w:bottom w:val="none" w:sz="0" w:space="0" w:color="auto"/>
                <w:right w:val="none" w:sz="0" w:space="0" w:color="auto"/>
              </w:divBdr>
            </w:div>
            <w:div w:id="686248138">
              <w:marLeft w:val="0"/>
              <w:marRight w:val="0"/>
              <w:marTop w:val="0"/>
              <w:marBottom w:val="0"/>
              <w:divBdr>
                <w:top w:val="none" w:sz="0" w:space="0" w:color="auto"/>
                <w:left w:val="none" w:sz="0" w:space="0" w:color="auto"/>
                <w:bottom w:val="none" w:sz="0" w:space="0" w:color="auto"/>
                <w:right w:val="none" w:sz="0" w:space="0" w:color="auto"/>
              </w:divBdr>
            </w:div>
            <w:div w:id="2064517297">
              <w:marLeft w:val="0"/>
              <w:marRight w:val="0"/>
              <w:marTop w:val="0"/>
              <w:marBottom w:val="0"/>
              <w:divBdr>
                <w:top w:val="none" w:sz="0" w:space="0" w:color="auto"/>
                <w:left w:val="none" w:sz="0" w:space="0" w:color="auto"/>
                <w:bottom w:val="none" w:sz="0" w:space="0" w:color="auto"/>
                <w:right w:val="none" w:sz="0" w:space="0" w:color="auto"/>
              </w:divBdr>
            </w:div>
            <w:div w:id="1784376508">
              <w:marLeft w:val="0"/>
              <w:marRight w:val="0"/>
              <w:marTop w:val="0"/>
              <w:marBottom w:val="0"/>
              <w:divBdr>
                <w:top w:val="none" w:sz="0" w:space="0" w:color="auto"/>
                <w:left w:val="none" w:sz="0" w:space="0" w:color="auto"/>
                <w:bottom w:val="none" w:sz="0" w:space="0" w:color="auto"/>
                <w:right w:val="none" w:sz="0" w:space="0" w:color="auto"/>
              </w:divBdr>
            </w:div>
          </w:divsChild>
        </w:div>
        <w:div w:id="1772235017">
          <w:marLeft w:val="0"/>
          <w:marRight w:val="0"/>
          <w:marTop w:val="0"/>
          <w:marBottom w:val="0"/>
          <w:divBdr>
            <w:top w:val="none" w:sz="0" w:space="0" w:color="auto"/>
            <w:left w:val="none" w:sz="0" w:space="0" w:color="auto"/>
            <w:bottom w:val="none" w:sz="0" w:space="0" w:color="auto"/>
            <w:right w:val="none" w:sz="0" w:space="0" w:color="auto"/>
          </w:divBdr>
          <w:divsChild>
            <w:div w:id="1766420316">
              <w:marLeft w:val="0"/>
              <w:marRight w:val="0"/>
              <w:marTop w:val="0"/>
              <w:marBottom w:val="0"/>
              <w:divBdr>
                <w:top w:val="none" w:sz="0" w:space="0" w:color="auto"/>
                <w:left w:val="none" w:sz="0" w:space="0" w:color="auto"/>
                <w:bottom w:val="none" w:sz="0" w:space="0" w:color="auto"/>
                <w:right w:val="none" w:sz="0" w:space="0" w:color="auto"/>
              </w:divBdr>
            </w:div>
            <w:div w:id="988051190">
              <w:marLeft w:val="0"/>
              <w:marRight w:val="0"/>
              <w:marTop w:val="0"/>
              <w:marBottom w:val="0"/>
              <w:divBdr>
                <w:top w:val="none" w:sz="0" w:space="0" w:color="auto"/>
                <w:left w:val="none" w:sz="0" w:space="0" w:color="auto"/>
                <w:bottom w:val="none" w:sz="0" w:space="0" w:color="auto"/>
                <w:right w:val="none" w:sz="0" w:space="0" w:color="auto"/>
              </w:divBdr>
            </w:div>
            <w:div w:id="985738405">
              <w:marLeft w:val="0"/>
              <w:marRight w:val="0"/>
              <w:marTop w:val="0"/>
              <w:marBottom w:val="0"/>
              <w:divBdr>
                <w:top w:val="none" w:sz="0" w:space="0" w:color="auto"/>
                <w:left w:val="none" w:sz="0" w:space="0" w:color="auto"/>
                <w:bottom w:val="none" w:sz="0" w:space="0" w:color="auto"/>
                <w:right w:val="none" w:sz="0" w:space="0" w:color="auto"/>
              </w:divBdr>
            </w:div>
            <w:div w:id="1405832544">
              <w:marLeft w:val="0"/>
              <w:marRight w:val="0"/>
              <w:marTop w:val="0"/>
              <w:marBottom w:val="0"/>
              <w:divBdr>
                <w:top w:val="none" w:sz="0" w:space="0" w:color="auto"/>
                <w:left w:val="none" w:sz="0" w:space="0" w:color="auto"/>
                <w:bottom w:val="none" w:sz="0" w:space="0" w:color="auto"/>
                <w:right w:val="none" w:sz="0" w:space="0" w:color="auto"/>
              </w:divBdr>
            </w:div>
          </w:divsChild>
        </w:div>
        <w:div w:id="1105466509">
          <w:marLeft w:val="0"/>
          <w:marRight w:val="0"/>
          <w:marTop w:val="0"/>
          <w:marBottom w:val="0"/>
          <w:divBdr>
            <w:top w:val="none" w:sz="0" w:space="0" w:color="auto"/>
            <w:left w:val="none" w:sz="0" w:space="0" w:color="auto"/>
            <w:bottom w:val="none" w:sz="0" w:space="0" w:color="auto"/>
            <w:right w:val="none" w:sz="0" w:space="0" w:color="auto"/>
          </w:divBdr>
        </w:div>
      </w:divsChild>
    </w:div>
    <w:div w:id="2122455892">
      <w:bodyDiv w:val="1"/>
      <w:marLeft w:val="0"/>
      <w:marRight w:val="0"/>
      <w:marTop w:val="0"/>
      <w:marBottom w:val="0"/>
      <w:divBdr>
        <w:top w:val="none" w:sz="0" w:space="0" w:color="auto"/>
        <w:left w:val="none" w:sz="0" w:space="0" w:color="auto"/>
        <w:bottom w:val="none" w:sz="0" w:space="0" w:color="auto"/>
        <w:right w:val="none" w:sz="0" w:space="0" w:color="auto"/>
      </w:divBdr>
      <w:divsChild>
        <w:div w:id="1694305161">
          <w:marLeft w:val="0"/>
          <w:marRight w:val="0"/>
          <w:marTop w:val="0"/>
          <w:marBottom w:val="0"/>
          <w:divBdr>
            <w:top w:val="none" w:sz="0" w:space="0" w:color="auto"/>
            <w:left w:val="none" w:sz="0" w:space="0" w:color="auto"/>
            <w:bottom w:val="none" w:sz="0" w:space="0" w:color="auto"/>
            <w:right w:val="none" w:sz="0" w:space="0" w:color="auto"/>
          </w:divBdr>
          <w:divsChild>
            <w:div w:id="1067800889">
              <w:marLeft w:val="0"/>
              <w:marRight w:val="0"/>
              <w:marTop w:val="0"/>
              <w:marBottom w:val="0"/>
              <w:divBdr>
                <w:top w:val="none" w:sz="0" w:space="0" w:color="auto"/>
                <w:left w:val="none" w:sz="0" w:space="0" w:color="auto"/>
                <w:bottom w:val="none" w:sz="0" w:space="0" w:color="auto"/>
                <w:right w:val="none" w:sz="0" w:space="0" w:color="auto"/>
              </w:divBdr>
            </w:div>
            <w:div w:id="1873836999">
              <w:marLeft w:val="0"/>
              <w:marRight w:val="0"/>
              <w:marTop w:val="0"/>
              <w:marBottom w:val="0"/>
              <w:divBdr>
                <w:top w:val="none" w:sz="0" w:space="0" w:color="auto"/>
                <w:left w:val="none" w:sz="0" w:space="0" w:color="auto"/>
                <w:bottom w:val="none" w:sz="0" w:space="0" w:color="auto"/>
                <w:right w:val="none" w:sz="0" w:space="0" w:color="auto"/>
              </w:divBdr>
            </w:div>
            <w:div w:id="651523816">
              <w:marLeft w:val="0"/>
              <w:marRight w:val="0"/>
              <w:marTop w:val="0"/>
              <w:marBottom w:val="0"/>
              <w:divBdr>
                <w:top w:val="none" w:sz="0" w:space="0" w:color="auto"/>
                <w:left w:val="none" w:sz="0" w:space="0" w:color="auto"/>
                <w:bottom w:val="none" w:sz="0" w:space="0" w:color="auto"/>
                <w:right w:val="none" w:sz="0" w:space="0" w:color="auto"/>
              </w:divBdr>
            </w:div>
            <w:div w:id="1520969353">
              <w:marLeft w:val="0"/>
              <w:marRight w:val="0"/>
              <w:marTop w:val="0"/>
              <w:marBottom w:val="0"/>
              <w:divBdr>
                <w:top w:val="none" w:sz="0" w:space="0" w:color="auto"/>
                <w:left w:val="none" w:sz="0" w:space="0" w:color="auto"/>
                <w:bottom w:val="none" w:sz="0" w:space="0" w:color="auto"/>
                <w:right w:val="none" w:sz="0" w:space="0" w:color="auto"/>
              </w:divBdr>
            </w:div>
          </w:divsChild>
        </w:div>
        <w:div w:id="1552226248">
          <w:marLeft w:val="0"/>
          <w:marRight w:val="0"/>
          <w:marTop w:val="0"/>
          <w:marBottom w:val="0"/>
          <w:divBdr>
            <w:top w:val="none" w:sz="0" w:space="0" w:color="auto"/>
            <w:left w:val="none" w:sz="0" w:space="0" w:color="auto"/>
            <w:bottom w:val="none" w:sz="0" w:space="0" w:color="auto"/>
            <w:right w:val="none" w:sz="0" w:space="0" w:color="auto"/>
          </w:divBdr>
          <w:divsChild>
            <w:div w:id="568884931">
              <w:marLeft w:val="0"/>
              <w:marRight w:val="0"/>
              <w:marTop w:val="0"/>
              <w:marBottom w:val="0"/>
              <w:divBdr>
                <w:top w:val="none" w:sz="0" w:space="0" w:color="auto"/>
                <w:left w:val="none" w:sz="0" w:space="0" w:color="auto"/>
                <w:bottom w:val="none" w:sz="0" w:space="0" w:color="auto"/>
                <w:right w:val="none" w:sz="0" w:space="0" w:color="auto"/>
              </w:divBdr>
            </w:div>
            <w:div w:id="734855493">
              <w:marLeft w:val="0"/>
              <w:marRight w:val="0"/>
              <w:marTop w:val="0"/>
              <w:marBottom w:val="0"/>
              <w:divBdr>
                <w:top w:val="none" w:sz="0" w:space="0" w:color="auto"/>
                <w:left w:val="none" w:sz="0" w:space="0" w:color="auto"/>
                <w:bottom w:val="none" w:sz="0" w:space="0" w:color="auto"/>
                <w:right w:val="none" w:sz="0" w:space="0" w:color="auto"/>
              </w:divBdr>
            </w:div>
            <w:div w:id="932516365">
              <w:marLeft w:val="0"/>
              <w:marRight w:val="0"/>
              <w:marTop w:val="0"/>
              <w:marBottom w:val="0"/>
              <w:divBdr>
                <w:top w:val="none" w:sz="0" w:space="0" w:color="auto"/>
                <w:left w:val="none" w:sz="0" w:space="0" w:color="auto"/>
                <w:bottom w:val="none" w:sz="0" w:space="0" w:color="auto"/>
                <w:right w:val="none" w:sz="0" w:space="0" w:color="auto"/>
              </w:divBdr>
            </w:div>
            <w:div w:id="1728262637">
              <w:marLeft w:val="0"/>
              <w:marRight w:val="0"/>
              <w:marTop w:val="0"/>
              <w:marBottom w:val="0"/>
              <w:divBdr>
                <w:top w:val="none" w:sz="0" w:space="0" w:color="auto"/>
                <w:left w:val="none" w:sz="0" w:space="0" w:color="auto"/>
                <w:bottom w:val="none" w:sz="0" w:space="0" w:color="auto"/>
                <w:right w:val="none" w:sz="0" w:space="0" w:color="auto"/>
              </w:divBdr>
            </w:div>
          </w:divsChild>
        </w:div>
        <w:div w:id="2029870734">
          <w:marLeft w:val="0"/>
          <w:marRight w:val="0"/>
          <w:marTop w:val="0"/>
          <w:marBottom w:val="0"/>
          <w:divBdr>
            <w:top w:val="none" w:sz="0" w:space="0" w:color="auto"/>
            <w:left w:val="none" w:sz="0" w:space="0" w:color="auto"/>
            <w:bottom w:val="none" w:sz="0" w:space="0" w:color="auto"/>
            <w:right w:val="none" w:sz="0" w:space="0" w:color="auto"/>
          </w:divBdr>
          <w:divsChild>
            <w:div w:id="803079570">
              <w:marLeft w:val="0"/>
              <w:marRight w:val="0"/>
              <w:marTop w:val="0"/>
              <w:marBottom w:val="0"/>
              <w:divBdr>
                <w:top w:val="none" w:sz="0" w:space="0" w:color="auto"/>
                <w:left w:val="none" w:sz="0" w:space="0" w:color="auto"/>
                <w:bottom w:val="none" w:sz="0" w:space="0" w:color="auto"/>
                <w:right w:val="none" w:sz="0" w:space="0" w:color="auto"/>
              </w:divBdr>
            </w:div>
            <w:div w:id="1277366895">
              <w:marLeft w:val="0"/>
              <w:marRight w:val="0"/>
              <w:marTop w:val="0"/>
              <w:marBottom w:val="0"/>
              <w:divBdr>
                <w:top w:val="none" w:sz="0" w:space="0" w:color="auto"/>
                <w:left w:val="none" w:sz="0" w:space="0" w:color="auto"/>
                <w:bottom w:val="none" w:sz="0" w:space="0" w:color="auto"/>
                <w:right w:val="none" w:sz="0" w:space="0" w:color="auto"/>
              </w:divBdr>
            </w:div>
            <w:div w:id="1175531708">
              <w:marLeft w:val="0"/>
              <w:marRight w:val="0"/>
              <w:marTop w:val="0"/>
              <w:marBottom w:val="0"/>
              <w:divBdr>
                <w:top w:val="none" w:sz="0" w:space="0" w:color="auto"/>
                <w:left w:val="none" w:sz="0" w:space="0" w:color="auto"/>
                <w:bottom w:val="none" w:sz="0" w:space="0" w:color="auto"/>
                <w:right w:val="none" w:sz="0" w:space="0" w:color="auto"/>
              </w:divBdr>
            </w:div>
            <w:div w:id="821510467">
              <w:marLeft w:val="0"/>
              <w:marRight w:val="0"/>
              <w:marTop w:val="0"/>
              <w:marBottom w:val="0"/>
              <w:divBdr>
                <w:top w:val="none" w:sz="0" w:space="0" w:color="auto"/>
                <w:left w:val="none" w:sz="0" w:space="0" w:color="auto"/>
                <w:bottom w:val="none" w:sz="0" w:space="0" w:color="auto"/>
                <w:right w:val="none" w:sz="0" w:space="0" w:color="auto"/>
              </w:divBdr>
            </w:div>
            <w:div w:id="868029871">
              <w:marLeft w:val="0"/>
              <w:marRight w:val="0"/>
              <w:marTop w:val="0"/>
              <w:marBottom w:val="0"/>
              <w:divBdr>
                <w:top w:val="none" w:sz="0" w:space="0" w:color="auto"/>
                <w:left w:val="none" w:sz="0" w:space="0" w:color="auto"/>
                <w:bottom w:val="none" w:sz="0" w:space="0" w:color="auto"/>
                <w:right w:val="none" w:sz="0" w:space="0" w:color="auto"/>
              </w:divBdr>
            </w:div>
          </w:divsChild>
        </w:div>
        <w:div w:id="20710547">
          <w:marLeft w:val="0"/>
          <w:marRight w:val="0"/>
          <w:marTop w:val="0"/>
          <w:marBottom w:val="0"/>
          <w:divBdr>
            <w:top w:val="none" w:sz="0" w:space="0" w:color="auto"/>
            <w:left w:val="none" w:sz="0" w:space="0" w:color="auto"/>
            <w:bottom w:val="none" w:sz="0" w:space="0" w:color="auto"/>
            <w:right w:val="none" w:sz="0" w:space="0" w:color="auto"/>
          </w:divBdr>
          <w:divsChild>
            <w:div w:id="196239638">
              <w:marLeft w:val="0"/>
              <w:marRight w:val="0"/>
              <w:marTop w:val="0"/>
              <w:marBottom w:val="0"/>
              <w:divBdr>
                <w:top w:val="none" w:sz="0" w:space="0" w:color="auto"/>
                <w:left w:val="none" w:sz="0" w:space="0" w:color="auto"/>
                <w:bottom w:val="none" w:sz="0" w:space="0" w:color="auto"/>
                <w:right w:val="none" w:sz="0" w:space="0" w:color="auto"/>
              </w:divBdr>
            </w:div>
            <w:div w:id="586696966">
              <w:marLeft w:val="0"/>
              <w:marRight w:val="0"/>
              <w:marTop w:val="0"/>
              <w:marBottom w:val="0"/>
              <w:divBdr>
                <w:top w:val="none" w:sz="0" w:space="0" w:color="auto"/>
                <w:left w:val="none" w:sz="0" w:space="0" w:color="auto"/>
                <w:bottom w:val="none" w:sz="0" w:space="0" w:color="auto"/>
                <w:right w:val="none" w:sz="0" w:space="0" w:color="auto"/>
              </w:divBdr>
            </w:div>
            <w:div w:id="1909456985">
              <w:marLeft w:val="0"/>
              <w:marRight w:val="0"/>
              <w:marTop w:val="0"/>
              <w:marBottom w:val="0"/>
              <w:divBdr>
                <w:top w:val="none" w:sz="0" w:space="0" w:color="auto"/>
                <w:left w:val="none" w:sz="0" w:space="0" w:color="auto"/>
                <w:bottom w:val="none" w:sz="0" w:space="0" w:color="auto"/>
                <w:right w:val="none" w:sz="0" w:space="0" w:color="auto"/>
              </w:divBdr>
            </w:div>
            <w:div w:id="1656032120">
              <w:marLeft w:val="0"/>
              <w:marRight w:val="0"/>
              <w:marTop w:val="0"/>
              <w:marBottom w:val="0"/>
              <w:divBdr>
                <w:top w:val="none" w:sz="0" w:space="0" w:color="auto"/>
                <w:left w:val="none" w:sz="0" w:space="0" w:color="auto"/>
                <w:bottom w:val="none" w:sz="0" w:space="0" w:color="auto"/>
                <w:right w:val="none" w:sz="0" w:space="0" w:color="auto"/>
              </w:divBdr>
            </w:div>
          </w:divsChild>
        </w:div>
        <w:div w:id="23246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F93E-0293-478C-9AE9-3F098556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46A7F-2AC2-442C-9327-FD6D463EB3F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A939E56-6C79-4ED4-B456-80DEB2658C53}">
  <ds:schemaRefs>
    <ds:schemaRef ds:uri="http://schemas.microsoft.com/sharepoint/v3/contenttype/forms"/>
  </ds:schemaRefs>
</ds:datastoreItem>
</file>

<file path=customXml/itemProps4.xml><?xml version="1.0" encoding="utf-8"?>
<ds:datastoreItem xmlns:ds="http://schemas.openxmlformats.org/officeDocument/2006/customXml" ds:itemID="{8F5F942D-28BF-4129-A9A3-33A622E2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15</Pages>
  <Words>5235</Words>
  <Characters>28794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22</cp:revision>
  <dcterms:created xsi:type="dcterms:W3CDTF">2022-02-08T14:53:00Z</dcterms:created>
  <dcterms:modified xsi:type="dcterms:W3CDTF">2022-03-16T19:25:00Z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