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DBAC1" w14:textId="77777777" w:rsidR="00CA482A" w:rsidRPr="00F1638D" w:rsidRDefault="00CA482A" w:rsidP="00CA482A">
      <w:pPr>
        <w:jc w:val="right"/>
        <w:rPr>
          <w:rFonts w:ascii="Arial" w:eastAsia="Calibri" w:hAnsi="Arial" w:cs="Arial"/>
          <w:b/>
          <w:color w:val="000000" w:themeColor="text1"/>
          <w:sz w:val="20"/>
          <w:szCs w:val="20"/>
          <w:lang w:val="es-ES_tradnl"/>
        </w:rPr>
      </w:pPr>
      <w:bookmarkStart w:id="0" w:name="_Hlk28946138"/>
      <w:bookmarkStart w:id="1" w:name="_Hlk29548183"/>
      <w:bookmarkStart w:id="2" w:name="_Hlk73000316"/>
      <w:bookmarkStart w:id="3" w:name="_Hlk98878270"/>
      <w:r w:rsidRPr="00F1638D">
        <w:rPr>
          <w:rFonts w:ascii="Arial" w:hAnsi="Arial" w:cs="Arial"/>
          <w:bCs/>
          <w:color w:val="000000" w:themeColor="text1"/>
          <w:sz w:val="16"/>
          <w:szCs w:val="16"/>
          <w:lang w:val="es-ES_tradnl" w:eastAsia="es-ES"/>
        </w:rPr>
        <w:t>CCE-DES-FM-17</w:t>
      </w:r>
      <w:bookmarkEnd w:id="0"/>
      <w:bookmarkEnd w:id="1"/>
    </w:p>
    <w:p w14:paraId="04A25C87" w14:textId="77777777" w:rsidR="00CA482A" w:rsidRPr="00F1638D" w:rsidRDefault="00CA482A" w:rsidP="00CA482A">
      <w:pPr>
        <w:jc w:val="both"/>
        <w:rPr>
          <w:rFonts w:ascii="Arial" w:eastAsia="Calibri" w:hAnsi="Arial" w:cs="Arial"/>
          <w:b/>
          <w:color w:val="000000" w:themeColor="text1"/>
          <w:sz w:val="22"/>
          <w:lang w:val="es-ES_tradnl"/>
        </w:rPr>
      </w:pPr>
    </w:p>
    <w:p w14:paraId="2A18C685" w14:textId="77777777" w:rsidR="00BE6F34" w:rsidRPr="00F1638D" w:rsidRDefault="00BE6F34" w:rsidP="00BE6F34">
      <w:pPr>
        <w:jc w:val="both"/>
        <w:rPr>
          <w:rFonts w:ascii="Arial" w:eastAsia="Calibri" w:hAnsi="Arial" w:cs="Arial"/>
          <w:sz w:val="20"/>
          <w:szCs w:val="20"/>
        </w:rPr>
      </w:pPr>
      <w:r w:rsidRPr="00F1638D">
        <w:rPr>
          <w:rFonts w:ascii="Arial" w:eastAsia="Calibri" w:hAnsi="Arial" w:cs="Arial"/>
          <w:b/>
          <w:sz w:val="22"/>
        </w:rPr>
        <w:t xml:space="preserve">ENTIDADES PROMOTORAS DE SALUD </w:t>
      </w:r>
      <w:r w:rsidRPr="00F1638D">
        <w:rPr>
          <w:rFonts w:ascii="Arial" w:eastAsia="Calibri" w:hAnsi="Arial" w:cs="Arial"/>
          <w:b/>
          <w:sz w:val="22"/>
          <w:szCs w:val="20"/>
        </w:rPr>
        <w:t>– EPS – Naturaleza jurídica</w:t>
      </w:r>
    </w:p>
    <w:p w14:paraId="13849770" w14:textId="77777777" w:rsidR="00BE6F34" w:rsidRPr="00F1638D" w:rsidRDefault="00BE6F34" w:rsidP="00BE6F34">
      <w:pPr>
        <w:jc w:val="both"/>
        <w:rPr>
          <w:rFonts w:ascii="Arial" w:eastAsia="Calibri" w:hAnsi="Arial" w:cs="Arial"/>
          <w:sz w:val="20"/>
          <w:szCs w:val="20"/>
        </w:rPr>
      </w:pPr>
    </w:p>
    <w:p w14:paraId="60B2633A" w14:textId="77777777" w:rsidR="00BE6F34" w:rsidRDefault="00BE6F34" w:rsidP="00BE6F34">
      <w:pPr>
        <w:jc w:val="both"/>
        <w:rPr>
          <w:rFonts w:ascii="Arial" w:eastAsia="Calibri" w:hAnsi="Arial" w:cs="Arial"/>
          <w:sz w:val="20"/>
          <w:szCs w:val="20"/>
        </w:rPr>
      </w:pPr>
      <w:r w:rsidRPr="006C4168">
        <w:rPr>
          <w:rFonts w:ascii="Arial" w:eastAsia="Calibri" w:hAnsi="Arial" w:cs="Arial"/>
          <w:sz w:val="20"/>
          <w:szCs w:val="20"/>
        </w:rPr>
        <w:t>Respecto de la naturaleza jurídica de las Entidades Promotoras de Salud –E.P.S.–, el artículo 180 de la Ley 100 de 1993 establece que estas pueden ser públicas, privadas o mixtas. Esto implica que las EPS pueden conformarse de acuerdo con los diferentes tipos de entidades que engloban las categorías de pública, mixta o privada, lo que, en principio, en el caso de las públicas y mixtas, determina sus regímenes de contratación, en los términos del artículo 14 de la Ley 1150 de 2007, modificado por la Ley 1474 de 2011</w:t>
      </w:r>
      <w:r>
        <w:rPr>
          <w:rFonts w:ascii="Arial" w:eastAsia="Calibri" w:hAnsi="Arial" w:cs="Arial"/>
          <w:sz w:val="20"/>
          <w:szCs w:val="20"/>
        </w:rPr>
        <w:t xml:space="preserve">. </w:t>
      </w:r>
    </w:p>
    <w:p w14:paraId="3695831C" w14:textId="77777777" w:rsidR="00BE6F34" w:rsidRPr="00F1638D" w:rsidRDefault="00BE6F34" w:rsidP="00BE6F34">
      <w:pPr>
        <w:jc w:val="both"/>
        <w:rPr>
          <w:rFonts w:ascii="Arial" w:eastAsia="Calibri" w:hAnsi="Arial" w:cs="Arial"/>
          <w:b/>
          <w:sz w:val="22"/>
        </w:rPr>
      </w:pPr>
    </w:p>
    <w:p w14:paraId="20D39740" w14:textId="77777777" w:rsidR="00BE6F34" w:rsidRPr="00F1638D" w:rsidRDefault="00BE6F34" w:rsidP="00BE6F34">
      <w:pPr>
        <w:jc w:val="both"/>
        <w:rPr>
          <w:rFonts w:ascii="Arial" w:hAnsi="Arial" w:cs="Arial"/>
          <w:b/>
          <w:sz w:val="22"/>
        </w:rPr>
      </w:pPr>
      <w:r w:rsidRPr="00F1638D">
        <w:rPr>
          <w:rFonts w:ascii="Arial" w:eastAsia="Calibri" w:hAnsi="Arial" w:cs="Arial"/>
          <w:b/>
          <w:sz w:val="22"/>
        </w:rPr>
        <w:t xml:space="preserve">EPS </w:t>
      </w:r>
      <w:r w:rsidRPr="00F1638D">
        <w:rPr>
          <w:rFonts w:ascii="Arial" w:eastAsia="Calibri" w:hAnsi="Arial" w:cs="Arial"/>
          <w:b/>
          <w:sz w:val="22"/>
          <w:szCs w:val="20"/>
        </w:rPr>
        <w:t xml:space="preserve">– </w:t>
      </w:r>
      <w:r w:rsidRPr="00F1638D">
        <w:rPr>
          <w:rFonts w:ascii="Arial" w:eastAsia="Calibri" w:hAnsi="Arial" w:cs="Arial"/>
          <w:b/>
          <w:sz w:val="22"/>
        </w:rPr>
        <w:t>Administración de recursos públicos</w:t>
      </w:r>
    </w:p>
    <w:p w14:paraId="705E3010" w14:textId="77777777" w:rsidR="00BE6F34" w:rsidRPr="00F1638D" w:rsidRDefault="00BE6F34" w:rsidP="00BE6F34">
      <w:pPr>
        <w:jc w:val="both"/>
        <w:rPr>
          <w:rFonts w:ascii="Arial" w:hAnsi="Arial" w:cs="Arial"/>
          <w:sz w:val="22"/>
        </w:rPr>
      </w:pPr>
    </w:p>
    <w:p w14:paraId="6866D065" w14:textId="77777777" w:rsidR="00BE6F34" w:rsidRPr="00F1638D" w:rsidRDefault="00BE6F34" w:rsidP="00BE6F34">
      <w:pPr>
        <w:jc w:val="both"/>
        <w:rPr>
          <w:rFonts w:ascii="Arial" w:eastAsia="Calibri" w:hAnsi="Arial" w:cs="Arial"/>
          <w:sz w:val="20"/>
        </w:rPr>
      </w:pPr>
      <w:r w:rsidRPr="00F1638D">
        <w:rPr>
          <w:rFonts w:ascii="Arial" w:eastAsia="Calibri" w:hAnsi="Arial" w:cs="Arial"/>
          <w:sz w:val="20"/>
        </w:rPr>
        <w:t>[I]</w:t>
      </w:r>
      <w:proofErr w:type="spellStart"/>
      <w:r w:rsidRPr="00F1638D">
        <w:rPr>
          <w:rFonts w:ascii="Arial" w:eastAsia="Calibri" w:hAnsi="Arial" w:cs="Arial"/>
          <w:sz w:val="20"/>
        </w:rPr>
        <w:t>ndependientemente</w:t>
      </w:r>
      <w:proofErr w:type="spellEnd"/>
      <w:r w:rsidRPr="00F1638D">
        <w:rPr>
          <w:rFonts w:ascii="Arial" w:eastAsia="Calibri" w:hAnsi="Arial" w:cs="Arial"/>
          <w:sz w:val="20"/>
        </w:rPr>
        <w:t xml:space="preserve"> de la naturaleza jurídica concreta a la que obedezca una EPS, es claro que estas como actores del sistema general de seguridad social en salud, administran recursos públicos. Así se desprende, en el caso de las EPS del régimen subsidiado–del artículo 214 de la Ley 100 de 1993, modificado por el 11 de la Ley 1122 de 2007, en donde se establecen como fuentes de financiación recursos trasferidos por parte entidades territoriales y así como otros provenientes del Fondo de Solidaridad y Garantía.</w:t>
      </w:r>
    </w:p>
    <w:p w14:paraId="48596F89" w14:textId="77777777" w:rsidR="00BE6F34" w:rsidRDefault="00BE6F34" w:rsidP="00CA482A">
      <w:pPr>
        <w:jc w:val="both"/>
        <w:rPr>
          <w:rFonts w:ascii="Arial" w:hAnsi="Arial" w:cs="Arial"/>
          <w:b/>
          <w:sz w:val="22"/>
          <w:szCs w:val="22"/>
          <w:lang w:val="es-ES_tradnl" w:eastAsia="es-ES"/>
        </w:rPr>
      </w:pPr>
    </w:p>
    <w:p w14:paraId="63C4556C" w14:textId="0BFB7237" w:rsidR="00CA482A" w:rsidRPr="00F1638D" w:rsidRDefault="00CA482A" w:rsidP="00CA482A">
      <w:pPr>
        <w:jc w:val="both"/>
        <w:rPr>
          <w:rFonts w:ascii="Arial" w:hAnsi="Arial" w:cs="Arial"/>
          <w:b/>
          <w:sz w:val="22"/>
          <w:szCs w:val="22"/>
          <w:lang w:val="es-ES_tradnl" w:eastAsia="es-ES"/>
        </w:rPr>
      </w:pPr>
      <w:r w:rsidRPr="00F1638D">
        <w:rPr>
          <w:rFonts w:ascii="Arial" w:hAnsi="Arial" w:cs="Arial"/>
          <w:b/>
          <w:sz w:val="22"/>
          <w:szCs w:val="22"/>
          <w:lang w:val="es-ES_tradnl" w:eastAsia="es-ES"/>
        </w:rPr>
        <w:t>PRINCIPIO DE PUBLICIDAD – Democracia – Estado social de Derecho – Fundamento axiológico</w:t>
      </w:r>
    </w:p>
    <w:p w14:paraId="7E0DFAC7" w14:textId="77777777" w:rsidR="00CA482A" w:rsidRPr="00F1638D" w:rsidRDefault="00CA482A" w:rsidP="00CA482A">
      <w:pPr>
        <w:jc w:val="both"/>
        <w:rPr>
          <w:rFonts w:ascii="Arial" w:hAnsi="Arial" w:cs="Arial"/>
          <w:noProof/>
          <w:color w:val="000000" w:themeColor="text1"/>
          <w:sz w:val="22"/>
          <w:lang w:val="es-ES_tradnl"/>
        </w:rPr>
      </w:pPr>
    </w:p>
    <w:p w14:paraId="795AAFBB" w14:textId="057A4937" w:rsidR="00CA482A" w:rsidRPr="00F1638D" w:rsidRDefault="00CA482A" w:rsidP="00CA482A">
      <w:pPr>
        <w:jc w:val="both"/>
        <w:rPr>
          <w:rFonts w:ascii="Arial" w:eastAsia="Calibri" w:hAnsi="Arial" w:cs="Arial"/>
          <w:color w:val="000000" w:themeColor="text1"/>
          <w:sz w:val="20"/>
          <w:szCs w:val="20"/>
          <w:lang w:val="es-ES_tradnl"/>
        </w:rPr>
      </w:pPr>
      <w:r w:rsidRPr="00F1638D">
        <w:rPr>
          <w:rFonts w:ascii="Arial" w:eastAsia="Calibri" w:hAnsi="Arial" w:cs="Arial"/>
          <w:color w:val="000000" w:themeColor="text1"/>
          <w:sz w:val="20"/>
          <w:szCs w:val="20"/>
          <w:lang w:val="es-ES_tradnl"/>
        </w:rPr>
        <w:t xml:space="preserve">Uno de los postulados más importantes de un Estado social y democrático de derecho es el principio de publicidad, pues este permite que las actuaciones de las autoridades gocen de visibilidad. En tal sentido, la filosofía política explica que la democracia «[…] es idealmente el gobierno de un poder visible, es decir, el gobierno cuyos actos se realizan ante el público y bajo la supervisión de la opinión pública». El secreto generalizado en el ejercicio del poder político constituye, por el contrario, una negación de la democracia, porque dificulta la supervisión de las autoridades por parte de la sociedad civil y establece una barrera para la participación ciudadana. </w:t>
      </w:r>
    </w:p>
    <w:p w14:paraId="27149A7D" w14:textId="77777777" w:rsidR="00CA482A" w:rsidRPr="00F1638D" w:rsidRDefault="00CA482A" w:rsidP="00CA482A">
      <w:pPr>
        <w:jc w:val="both"/>
        <w:rPr>
          <w:rFonts w:ascii="Arial" w:eastAsia="Calibri" w:hAnsi="Arial" w:cs="Arial"/>
          <w:color w:val="000000" w:themeColor="text1"/>
          <w:sz w:val="20"/>
          <w:szCs w:val="20"/>
          <w:lang w:val="es-ES_tradnl"/>
        </w:rPr>
      </w:pPr>
    </w:p>
    <w:p w14:paraId="5C776322" w14:textId="77777777" w:rsidR="00CA482A" w:rsidRPr="00F1638D" w:rsidRDefault="00CA482A" w:rsidP="00CA482A">
      <w:pPr>
        <w:jc w:val="both"/>
        <w:rPr>
          <w:rFonts w:ascii="Arial" w:eastAsia="Calibri" w:hAnsi="Arial" w:cs="Arial"/>
          <w:color w:val="000000" w:themeColor="text1"/>
          <w:sz w:val="20"/>
          <w:szCs w:val="20"/>
          <w:lang w:val="es-ES_tradnl"/>
        </w:rPr>
      </w:pPr>
      <w:r w:rsidRPr="00F1638D">
        <w:rPr>
          <w:rFonts w:ascii="Arial" w:eastAsia="Calibri" w:hAnsi="Arial" w:cs="Arial"/>
          <w:color w:val="000000" w:themeColor="text1"/>
          <w:sz w:val="20"/>
          <w:szCs w:val="20"/>
          <w:lang w:val="es-ES_tradnl"/>
        </w:rPr>
        <w:t xml:space="preserve">Inspirada en esta concepción axiológica, la Constitución Política de 1991 consagra en varios artículos la publicidad como un principio rector del Estado colombiano. Entre los más destacados, puede mencionarse el 209, que afirma que la publicidad es uno de los principios que fundamentan el ejercicio de la función administrativa y el 74, que consagra la garantía de acceso a los documentos públicos que no gocen de reserva –y esta, además, es excepcional, pues solo procede si existe causal constitucional o legal expresa–. En tal perspectiva, la Corte Constitucional ha señalado que el principio de publicidad es la garantía que tienen las personas de conocer las actuaciones judiciales y administrativas. </w:t>
      </w:r>
    </w:p>
    <w:p w14:paraId="6B22F241" w14:textId="77777777" w:rsidR="00CA482A" w:rsidRPr="00F1638D" w:rsidRDefault="00CA482A" w:rsidP="00CA482A">
      <w:pPr>
        <w:jc w:val="both"/>
        <w:rPr>
          <w:rFonts w:ascii="Arial" w:hAnsi="Arial" w:cs="Arial"/>
          <w:sz w:val="20"/>
          <w:szCs w:val="20"/>
          <w:lang w:val="es-ES_tradnl" w:eastAsia="es-ES"/>
        </w:rPr>
      </w:pPr>
    </w:p>
    <w:p w14:paraId="36B49ED3" w14:textId="77777777" w:rsidR="00CA482A" w:rsidRPr="00F1638D" w:rsidRDefault="00CA482A" w:rsidP="00CA482A">
      <w:pPr>
        <w:jc w:val="both"/>
        <w:rPr>
          <w:rFonts w:ascii="Arial" w:hAnsi="Arial" w:cs="Arial"/>
          <w:b/>
          <w:sz w:val="22"/>
          <w:szCs w:val="22"/>
          <w:lang w:val="es-ES_tradnl" w:eastAsia="es-ES"/>
        </w:rPr>
      </w:pPr>
      <w:r w:rsidRPr="00F1638D">
        <w:rPr>
          <w:rFonts w:ascii="Arial" w:hAnsi="Arial" w:cs="Arial"/>
          <w:b/>
          <w:sz w:val="22"/>
          <w:szCs w:val="22"/>
          <w:lang w:val="es-ES_tradnl" w:eastAsia="es-ES"/>
        </w:rPr>
        <w:t>SECOP – Entidades exceptuadas – Información oficial – Auto del 25 de febrero de 2021 – Efectos</w:t>
      </w:r>
    </w:p>
    <w:p w14:paraId="4A3DDE31" w14:textId="77777777" w:rsidR="00CA482A" w:rsidRPr="00F1638D" w:rsidRDefault="00CA482A" w:rsidP="00CA482A">
      <w:pPr>
        <w:jc w:val="both"/>
        <w:rPr>
          <w:rFonts w:ascii="Arial" w:hAnsi="Arial" w:cs="Arial"/>
          <w:sz w:val="20"/>
          <w:szCs w:val="20"/>
          <w:lang w:val="es-ES_tradnl" w:eastAsia="es-ES"/>
        </w:rPr>
      </w:pPr>
    </w:p>
    <w:p w14:paraId="4281D9F6" w14:textId="77777777" w:rsidR="00CA482A" w:rsidRPr="00F1638D" w:rsidRDefault="00CA482A" w:rsidP="00CA482A">
      <w:pPr>
        <w:jc w:val="both"/>
        <w:rPr>
          <w:rFonts w:ascii="Arial" w:hAnsi="Arial" w:cs="Arial"/>
          <w:color w:val="000000" w:themeColor="text1"/>
          <w:sz w:val="20"/>
          <w:szCs w:val="20"/>
          <w:lang w:val="es-ES_tradnl"/>
        </w:rPr>
      </w:pPr>
      <w:r w:rsidRPr="00F1638D">
        <w:rPr>
          <w:rFonts w:ascii="Arial" w:hAnsi="Arial" w:cs="Arial"/>
          <w:color w:val="000000" w:themeColor="text1"/>
          <w:sz w:val="20"/>
          <w:szCs w:val="20"/>
          <w:lang w:val="es-ES_tradnl"/>
        </w:rPr>
        <w:t xml:space="preserve">[…] en el auto bajo análisis la Sección Tercera admite que a las entidades exceptuadas de la aplicación del Estatuto General de Contratación de la Administración Pública sí les resulta aplicable el deber de publicar la «información oficial de la contratación» en el SECOP, pero no de la manera como precisó el alcance de dicho mandato la Agencia Nacional de Contratación Pública – Colombia Compra Eficiente en las circulares </w:t>
      </w:r>
      <w:proofErr w:type="spellStart"/>
      <w:r w:rsidRPr="00F1638D">
        <w:rPr>
          <w:rFonts w:ascii="Arial" w:hAnsi="Arial" w:cs="Arial"/>
          <w:color w:val="000000" w:themeColor="text1"/>
          <w:sz w:val="20"/>
          <w:szCs w:val="20"/>
          <w:lang w:val="es-ES_tradnl"/>
        </w:rPr>
        <w:t>Nº</w:t>
      </w:r>
      <w:proofErr w:type="spellEnd"/>
      <w:r w:rsidRPr="00F1638D">
        <w:rPr>
          <w:rFonts w:ascii="Arial" w:hAnsi="Arial" w:cs="Arial"/>
          <w:color w:val="000000" w:themeColor="text1"/>
          <w:sz w:val="20"/>
          <w:szCs w:val="20"/>
          <w:lang w:val="es-ES_tradnl"/>
        </w:rPr>
        <w:t xml:space="preserve"> 1 de 2013 y 20 de 2015. Esto se deduce del siguiente fragmento del auto: «Las Circulares Externas No. 1 de 2013 y 20 de 2015 exceden lo establecido en literal c) del artículo 3o de la Ley 1150 de 2007. Aunque dicho aparte es aplicable a las entidades </w:t>
      </w:r>
      <w:r w:rsidRPr="00F1638D">
        <w:rPr>
          <w:rFonts w:ascii="Arial" w:hAnsi="Arial" w:cs="Arial"/>
          <w:color w:val="000000" w:themeColor="text1"/>
          <w:sz w:val="20"/>
          <w:szCs w:val="20"/>
          <w:lang w:val="es-ES_tradnl"/>
        </w:rPr>
        <w:lastRenderedPageBreak/>
        <w:t>que no están regidas por el Estatuto General de Contratación de la Administración Pública, los actos demandados le dan un alcance indebido a la expresión “información oficial de la contratación”». Para el Consejo de Estado, quien debe decir qué debe entenderse por la expresión «información oficial de la contratación» es el legislador o a lo sumo el gobierno nacional a través de un decreto reglamentario, no la Agencia mediante una circular.</w:t>
      </w:r>
    </w:p>
    <w:p w14:paraId="0A939C3F" w14:textId="77777777" w:rsidR="00CA482A" w:rsidRPr="00F1638D" w:rsidRDefault="00CA482A" w:rsidP="00CA482A">
      <w:pPr>
        <w:jc w:val="both"/>
        <w:rPr>
          <w:rFonts w:ascii="Arial" w:hAnsi="Arial" w:cs="Arial"/>
          <w:color w:val="000000" w:themeColor="text1"/>
          <w:sz w:val="20"/>
          <w:szCs w:val="20"/>
          <w:lang w:val="es-ES_tradnl"/>
        </w:rPr>
      </w:pPr>
    </w:p>
    <w:p w14:paraId="5BDDC340" w14:textId="4B5592D3" w:rsidR="00CA482A" w:rsidRDefault="00CA482A" w:rsidP="00CA482A">
      <w:pPr>
        <w:jc w:val="both"/>
        <w:rPr>
          <w:rFonts w:ascii="Arial" w:hAnsi="Arial" w:cs="Arial"/>
          <w:color w:val="000000" w:themeColor="text1"/>
          <w:sz w:val="20"/>
          <w:szCs w:val="20"/>
          <w:lang w:val="es-ES_tradnl"/>
        </w:rPr>
      </w:pPr>
      <w:r w:rsidRPr="00F1638D">
        <w:rPr>
          <w:rFonts w:ascii="Arial" w:hAnsi="Arial" w:cs="Arial"/>
          <w:color w:val="000000" w:themeColor="text1"/>
          <w:sz w:val="20"/>
          <w:szCs w:val="20"/>
          <w:lang w:val="es-ES_tradnl"/>
        </w:rPr>
        <w:t>Sin embargo, se destaca de nuevo que en el auto del 25 de febrero de 2021 el Consejo de Estado no expresa que las entidades estatales que se rigen por el derecho privado en su actividad contractual no deban publicar la «información oficial de la contratación» en el SECOP. Todo lo contrario. La máxima corporación judicial aclara en varios apartados del auto que el artículo 3 de la Ley 1150 de 2007 –y específicamente, el literal c)– también debe ser acatado por dichas entidades. En efecto, para el Consejo de Estado, hay disposiciones de esta Ley que son transversales a la contratación estatal –o sea, que vinculan también a las entidades exceptuadas–, y que «No hay duda de que el literal c) del artículo 3o pertenece a este grupo de normas. Expresamente establece que ese aparte del artículo se aplica a la “contratación realizada con dineros públicos”. Para su aplicación resulta irrelevante el régimen contractual del contrato. La publicación de la información oficial de la contratación debe realizarse si los negocios jurídicos adelantados fueron financiados con recursos públicos».</w:t>
      </w:r>
    </w:p>
    <w:p w14:paraId="2CEE8437" w14:textId="77777777" w:rsidR="00BE6F34" w:rsidRPr="00F1638D" w:rsidRDefault="00BE6F34" w:rsidP="00CA482A">
      <w:pPr>
        <w:jc w:val="both"/>
        <w:rPr>
          <w:rFonts w:ascii="Arial" w:hAnsi="Arial" w:cs="Arial"/>
          <w:sz w:val="20"/>
          <w:szCs w:val="20"/>
          <w:lang w:val="es-ES_tradnl" w:eastAsia="es-ES"/>
        </w:rPr>
      </w:pPr>
    </w:p>
    <w:p w14:paraId="65984816" w14:textId="77777777" w:rsidR="00CA482A" w:rsidRPr="00F1638D" w:rsidRDefault="00CA482A" w:rsidP="00CA482A">
      <w:pPr>
        <w:jc w:val="both"/>
        <w:rPr>
          <w:rFonts w:ascii="Arial" w:hAnsi="Arial" w:cs="Arial"/>
          <w:b/>
          <w:sz w:val="22"/>
          <w:szCs w:val="22"/>
          <w:lang w:val="es-ES_tradnl" w:eastAsia="es-ES"/>
        </w:rPr>
      </w:pPr>
      <w:r w:rsidRPr="00F1638D">
        <w:rPr>
          <w:rFonts w:ascii="Arial" w:hAnsi="Arial" w:cs="Arial"/>
          <w:b/>
          <w:sz w:val="22"/>
          <w:szCs w:val="22"/>
          <w:lang w:val="es-ES_tradnl" w:eastAsia="es-ES"/>
        </w:rPr>
        <w:t>SECOP – Entidades exceptuadas – Publicidad – Documentos – Información oficial – Concepto CU-003</w:t>
      </w:r>
    </w:p>
    <w:p w14:paraId="1E126C08" w14:textId="77777777" w:rsidR="00CA482A" w:rsidRPr="00F1638D" w:rsidRDefault="00CA482A" w:rsidP="00CA482A">
      <w:pPr>
        <w:jc w:val="both"/>
        <w:rPr>
          <w:rFonts w:ascii="Arial" w:hAnsi="Arial" w:cs="Arial"/>
          <w:b/>
          <w:sz w:val="22"/>
          <w:szCs w:val="22"/>
          <w:lang w:val="es-ES_tradnl" w:eastAsia="es-ES"/>
        </w:rPr>
      </w:pPr>
    </w:p>
    <w:p w14:paraId="43C721EF" w14:textId="5B1C872C" w:rsidR="00CA482A" w:rsidRPr="00F1638D" w:rsidRDefault="00CA482A" w:rsidP="00CA482A">
      <w:pPr>
        <w:jc w:val="both"/>
        <w:rPr>
          <w:rFonts w:ascii="Arial" w:eastAsia="Calibri" w:hAnsi="Arial" w:cs="Arial"/>
          <w:color w:val="000000" w:themeColor="text1"/>
          <w:sz w:val="20"/>
          <w:szCs w:val="20"/>
          <w:lang w:val="es-ES_tradnl"/>
        </w:rPr>
      </w:pPr>
      <w:r w:rsidRPr="00F1638D">
        <w:rPr>
          <w:rFonts w:ascii="Arial" w:eastAsia="Calibri" w:hAnsi="Arial" w:cs="Arial"/>
          <w:color w:val="000000" w:themeColor="text1"/>
          <w:sz w:val="20"/>
          <w:szCs w:val="20"/>
          <w:lang w:val="es-ES_tradnl"/>
        </w:rPr>
        <w:t>[…] l</w:t>
      </w:r>
      <w:r w:rsidR="006C4168" w:rsidRPr="006C4168">
        <w:t xml:space="preserve"> </w:t>
      </w:r>
      <w:r w:rsidR="006C4168" w:rsidRPr="006C4168">
        <w:rPr>
          <w:rFonts w:ascii="Arial" w:eastAsia="Calibri" w:hAnsi="Arial" w:cs="Arial"/>
          <w:color w:val="000000" w:themeColor="text1"/>
          <w:sz w:val="20"/>
          <w:szCs w:val="20"/>
          <w:lang w:val="es-ES_tradnl"/>
        </w:rPr>
        <w:t>En efecto, la Ley 1712 de 2014 –«Por medio de la cual se crea la Ley de Transparencia y del Derecho de Acceso a la Información Pública Nacional y se dictan otras disposiciones»–, señala en el artículo 11, literal g), que todo sujeto obligado –y las entidades estatales con régimen especial de contratación lo son– debe publicar sus procedimientos, lineamientos, políticas en materia de adquisiciones y compras, así como todos los datos de adjudicación y ejecución de sus contratos. Lo anterior implica que se deberá publicar cada procedimiento para la adquisición de un producto o servicio, incluidos los datos de adjudicación y ejecución del contrato.</w:t>
      </w:r>
      <w:r w:rsidRPr="00F1638D">
        <w:rPr>
          <w:rFonts w:ascii="Arial" w:eastAsia="Calibri" w:hAnsi="Arial" w:cs="Arial"/>
          <w:color w:val="000000" w:themeColor="text1"/>
          <w:sz w:val="20"/>
          <w:szCs w:val="20"/>
          <w:lang w:val="es-ES_tradnl"/>
        </w:rPr>
        <w:t xml:space="preserve"> </w:t>
      </w:r>
    </w:p>
    <w:p w14:paraId="496D9C0D" w14:textId="77777777" w:rsidR="00CA482A" w:rsidRPr="00F1638D" w:rsidRDefault="00CA482A" w:rsidP="00CA482A">
      <w:pPr>
        <w:jc w:val="both"/>
        <w:rPr>
          <w:rFonts w:ascii="Arial" w:eastAsia="Calibri" w:hAnsi="Arial" w:cs="Arial"/>
          <w:color w:val="000000" w:themeColor="text1"/>
          <w:sz w:val="20"/>
          <w:szCs w:val="20"/>
          <w:lang w:val="es-ES_tradnl"/>
        </w:rPr>
      </w:pPr>
    </w:p>
    <w:p w14:paraId="0D086A7B" w14:textId="7E1A9AD7" w:rsidR="00CA482A" w:rsidRPr="00F1638D" w:rsidRDefault="00CA482A" w:rsidP="00CA482A">
      <w:pPr>
        <w:jc w:val="both"/>
        <w:rPr>
          <w:rFonts w:ascii="Arial" w:eastAsia="Calibri" w:hAnsi="Arial" w:cs="Arial"/>
          <w:color w:val="000000" w:themeColor="text1"/>
          <w:sz w:val="20"/>
          <w:szCs w:val="20"/>
          <w:lang w:val="es-ES_tradnl"/>
        </w:rPr>
      </w:pPr>
      <w:r w:rsidRPr="00F1638D">
        <w:rPr>
          <w:rFonts w:ascii="Arial" w:eastAsia="Calibri" w:hAnsi="Arial" w:cs="Arial"/>
          <w:color w:val="000000" w:themeColor="text1"/>
          <w:sz w:val="20"/>
          <w:szCs w:val="20"/>
          <w:lang w:val="es-ES_tradnl"/>
        </w:rPr>
        <w:t xml:space="preserve">[…] </w:t>
      </w:r>
      <w:r w:rsidR="006C4168" w:rsidRPr="006C4168">
        <w:rPr>
          <w:rFonts w:ascii="Arial" w:eastAsia="Calibri" w:hAnsi="Arial" w:cs="Arial"/>
          <w:color w:val="000000" w:themeColor="text1"/>
          <w:sz w:val="20"/>
          <w:szCs w:val="20"/>
          <w:lang w:val="es-ES_tradnl"/>
        </w:rPr>
        <w:t>el Decreto reglamentario 103 de 2015, «Por el cual se reglamenta parcialmente la Ley 1712 de 2014 y se dictan otras disposiciones» –que fue compilado en el Decreto 1081 de 2015–, en el artículo 8, que corresponde actualmente al artículo 2.1.1.2.1.8. del Decreto 1081 de 2015, establece de forma enunciativa que se debe publicar la información relativa a la ejecución del contrato, como las aprobaciones, autorizaciones, requerimientos o informes del supervisor o interventor, que aprueben la ejecución del contrato. Por su parte, el artículo 9 del Decreto 103 de 2015 –artículo 2.1.1.2.1.9. del Decreto 1081 de 2015– señala que las entidades deberán publicar los procedimientos, lineamientos y políticas en materia de adquisición, que no son otros que los previstos en el manual de contratación, que se haya expedido de acuerdo con los lineamientos de la Agencia Nacional de Contratación Pública – Colombia Compra Eficiente, el cual debe publicarse en el sitio web del sujeto obligado. Finalmente, el artículo 10 del Decreto 103 de 2015 –artículo 2.1.1.2.1.10. del Decreto 1081 de 2015– consagra la obligación que tienen las entidades estatales de publicar en el SECOP el Plan Anual de Adquisiciones</w:t>
      </w:r>
      <w:r w:rsidR="006C4168">
        <w:rPr>
          <w:rFonts w:ascii="Arial" w:eastAsia="Calibri" w:hAnsi="Arial" w:cs="Arial"/>
          <w:color w:val="000000" w:themeColor="text1"/>
          <w:sz w:val="20"/>
          <w:szCs w:val="20"/>
          <w:lang w:val="es-ES_tradnl"/>
        </w:rPr>
        <w:t>.</w:t>
      </w:r>
    </w:p>
    <w:p w14:paraId="16E9964D" w14:textId="77777777" w:rsidR="00CA482A" w:rsidRPr="00F1638D" w:rsidRDefault="00CA482A" w:rsidP="00CA482A">
      <w:pPr>
        <w:jc w:val="both"/>
        <w:rPr>
          <w:rFonts w:ascii="Arial" w:hAnsi="Arial" w:cs="Arial"/>
          <w:sz w:val="20"/>
          <w:szCs w:val="20"/>
          <w:lang w:val="es-ES_tradnl" w:eastAsia="es-ES"/>
        </w:rPr>
      </w:pPr>
    </w:p>
    <w:p w14:paraId="1A37C27F" w14:textId="77777777" w:rsidR="00CA482A" w:rsidRPr="00F1638D" w:rsidRDefault="00CA482A" w:rsidP="00CA482A">
      <w:pPr>
        <w:jc w:val="both"/>
        <w:rPr>
          <w:rFonts w:ascii="Arial" w:hAnsi="Arial" w:cs="Arial"/>
          <w:b/>
          <w:sz w:val="22"/>
          <w:szCs w:val="22"/>
          <w:lang w:val="es-ES_tradnl" w:eastAsia="es-ES"/>
        </w:rPr>
      </w:pPr>
      <w:r w:rsidRPr="00F1638D">
        <w:rPr>
          <w:rFonts w:ascii="Arial" w:hAnsi="Arial" w:cs="Arial"/>
          <w:b/>
          <w:sz w:val="22"/>
          <w:szCs w:val="22"/>
          <w:lang w:val="es-ES_tradnl" w:eastAsia="es-ES"/>
        </w:rPr>
        <w:t>SECOP – Auto del 25 de febrero de 2021 – Publicidad – Mandato vigente</w:t>
      </w:r>
    </w:p>
    <w:p w14:paraId="682D304A" w14:textId="77777777" w:rsidR="00CA482A" w:rsidRPr="00F1638D" w:rsidRDefault="00CA482A" w:rsidP="00CA482A">
      <w:pPr>
        <w:jc w:val="both"/>
        <w:rPr>
          <w:rFonts w:ascii="Arial" w:hAnsi="Arial" w:cs="Arial"/>
          <w:sz w:val="20"/>
          <w:szCs w:val="20"/>
          <w:lang w:val="es-ES_tradnl" w:eastAsia="es-ES"/>
        </w:rPr>
      </w:pPr>
    </w:p>
    <w:p w14:paraId="28A282E4" w14:textId="231F1124" w:rsidR="00CA482A" w:rsidRPr="00F1638D" w:rsidRDefault="00CA482A" w:rsidP="00CA482A">
      <w:pPr>
        <w:jc w:val="both"/>
        <w:rPr>
          <w:rFonts w:ascii="Arial" w:hAnsi="Arial" w:cs="Arial"/>
          <w:color w:val="000000" w:themeColor="text1"/>
          <w:sz w:val="20"/>
          <w:szCs w:val="20"/>
          <w:lang w:val="es-ES_tradnl"/>
        </w:rPr>
      </w:pPr>
      <w:r w:rsidRPr="00F1638D">
        <w:rPr>
          <w:rFonts w:ascii="Arial" w:hAnsi="Arial" w:cs="Arial"/>
          <w:color w:val="000000" w:themeColor="text1"/>
          <w:sz w:val="20"/>
          <w:szCs w:val="20"/>
          <w:lang w:val="es-ES_tradnl" w:eastAsia="es-CO"/>
        </w:rPr>
        <w:t xml:space="preserve">[…] </w:t>
      </w:r>
      <w:r w:rsidR="006C4168" w:rsidRPr="006C4168">
        <w:rPr>
          <w:rFonts w:ascii="Arial" w:hAnsi="Arial" w:cs="Arial"/>
          <w:color w:val="000000" w:themeColor="text1"/>
          <w:sz w:val="20"/>
          <w:szCs w:val="20"/>
          <w:lang w:val="es-ES_tradnl" w:eastAsia="es-CO"/>
        </w:rPr>
        <w:t xml:space="preserve">no puede entenderse que con la expedición del auto del Consejo de Estado del 25 de febrero de 2021 las entidades exceptuadas del Estatuto General de Contratación de la Administración Pública o que cuentan con un régimen contractual especial quedaron eximidas de la obligación de publicar en el SECOP la información oficial de la contratación que realicen con recursos públicos. Primero, </w:t>
      </w:r>
      <w:r w:rsidR="006C4168" w:rsidRPr="006C4168">
        <w:rPr>
          <w:rFonts w:ascii="Arial" w:hAnsi="Arial" w:cs="Arial"/>
          <w:color w:val="000000" w:themeColor="text1"/>
          <w:sz w:val="20"/>
          <w:szCs w:val="20"/>
          <w:lang w:val="es-ES_tradnl" w:eastAsia="es-CO"/>
        </w:rPr>
        <w:lastRenderedPageBreak/>
        <w:t>porque precisamente dicho auto indica que el artículo 3, literal c), de la Ley 1150 de 2007 también les resulta aplicable a dichas entidades, independientemente de su régimen contractual. Segundo, porque estas deben garantizar los principios de publicidad y transparencia, previstos en los artículos 209 y 74 de la Constitución Política. Tercero, porque las entidades estatales –incluidas las que se rigen generalmente por el derecho privado en materia contractual–, al ser sujetos obligados a garantizar el derecho de acceso a la información y a los documentos públicos, deben publicar en el SECOP los documentos a los que se refiere el literal e), del artículo 9 y el literal g), del artículo 11, de la Ley 1712 de 2014, como los artículos 7 al 10 del Decreto 103 de 2015 –compilado en los artículos 2.1.1.1.1. al 2.1.1.6.1. del Decreto 1081 de 2015–. Cuarto, porque, el auto del 25 de febrero de 2021 no suspende todo el contenido de las circulares No. 1 del 21 de junio de 2013 y No. 20 del 27 de agosto de 2015, sino solo las expresiones que utilizan la frase «actividad contractual», quedando vigente lo demás –que continúa estableciendo el referido deber–. Quinto, porque el imperativo de publicar en el SECOP la información oficial de la contratación que se realice con recursos públicos se desprende además de las circulares No. 23 del 16 de marzo de 2017 y No. 007 de 2020, así como de la Circular Externa Única –actualizada el 16 de abril de 2019–, las cuales se encuentran vigentes</w:t>
      </w:r>
      <w:r w:rsidRPr="00F1638D">
        <w:rPr>
          <w:rFonts w:ascii="Arial" w:hAnsi="Arial" w:cs="Arial"/>
          <w:bCs/>
          <w:color w:val="000000" w:themeColor="text1"/>
          <w:sz w:val="20"/>
          <w:szCs w:val="20"/>
          <w:lang w:val="es-ES_tradnl"/>
        </w:rPr>
        <w:t>.</w:t>
      </w:r>
      <w:r w:rsidRPr="00F1638D">
        <w:rPr>
          <w:rFonts w:ascii="Arial" w:hAnsi="Arial" w:cs="Arial"/>
          <w:color w:val="000000" w:themeColor="text1"/>
          <w:sz w:val="20"/>
          <w:szCs w:val="20"/>
          <w:lang w:val="es-ES_tradnl"/>
        </w:rPr>
        <w:t xml:space="preserve"> </w:t>
      </w:r>
    </w:p>
    <w:bookmarkEnd w:id="3"/>
    <w:p w14:paraId="57A6AFD7" w14:textId="7E3260FB" w:rsidR="00CA482A" w:rsidRDefault="00CA482A" w:rsidP="00CA482A">
      <w:pPr>
        <w:jc w:val="both"/>
        <w:rPr>
          <w:rFonts w:ascii="Arial" w:eastAsia="Calibri" w:hAnsi="Arial" w:cs="Arial"/>
          <w:color w:val="000000" w:themeColor="text1"/>
          <w:sz w:val="20"/>
          <w:szCs w:val="20"/>
        </w:rPr>
      </w:pPr>
    </w:p>
    <w:p w14:paraId="6DBF7C56" w14:textId="2C614F10" w:rsidR="002B787F" w:rsidRPr="00F1638D" w:rsidRDefault="002B787F" w:rsidP="002B787F">
      <w:pPr>
        <w:jc w:val="right"/>
        <w:rPr>
          <w:rFonts w:ascii="Arial" w:eastAsia="Calibri" w:hAnsi="Arial" w:cs="Arial"/>
          <w:color w:val="000000" w:themeColor="text1"/>
          <w:sz w:val="20"/>
          <w:szCs w:val="20"/>
        </w:rPr>
      </w:pPr>
      <w:r>
        <w:rPr>
          <w:noProof/>
        </w:rPr>
        <w:drawing>
          <wp:inline distT="0" distB="0" distL="0" distR="0" wp14:anchorId="2C22D2A9" wp14:editId="4EF85990">
            <wp:extent cx="2543175" cy="781050"/>
            <wp:effectExtent l="0" t="0" r="9525" b="0"/>
            <wp:docPr id="1" name="Imagen 1"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Texto&#10;&#10;Descripción generada automáticamente"/>
                    <pic:cNvPicPr/>
                  </pic:nvPicPr>
                  <pic:blipFill>
                    <a:blip r:embed="rId8"/>
                    <a:stretch>
                      <a:fillRect/>
                    </a:stretch>
                  </pic:blipFill>
                  <pic:spPr>
                    <a:xfrm>
                      <a:off x="0" y="0"/>
                      <a:ext cx="2543175" cy="781050"/>
                    </a:xfrm>
                    <a:prstGeom prst="rect">
                      <a:avLst/>
                    </a:prstGeom>
                  </pic:spPr>
                </pic:pic>
              </a:graphicData>
            </a:graphic>
          </wp:inline>
        </w:drawing>
      </w:r>
    </w:p>
    <w:p w14:paraId="3F4CD051" w14:textId="4ED62E5F" w:rsidR="00856A34" w:rsidRPr="00F1638D" w:rsidRDefault="00CA482A" w:rsidP="00BE6F34">
      <w:pPr>
        <w:jc w:val="right"/>
        <w:rPr>
          <w:rFonts w:ascii="Arial" w:eastAsia="Calibri" w:hAnsi="Arial" w:cs="Arial"/>
          <w:color w:val="000000" w:themeColor="text1"/>
          <w:sz w:val="22"/>
          <w:lang w:val="es-ES_tradnl"/>
        </w:rPr>
      </w:pPr>
      <w:r w:rsidRPr="00F1638D">
        <w:fldChar w:fldCharType="begin"/>
      </w:r>
      <w:r w:rsidRPr="00F1638D">
        <w:instrText xml:space="preserve"> INCLUDEPICTURE "C:\\var\\folders\\5l\\v1rdjm0x1x9416lmbj7_vjt40000gn\\T\\com.microsoft.Word\\WebArchiveCopyPasteTempFiles\\page1image3851712" \* MERGEFORMAT </w:instrText>
      </w:r>
      <w:r w:rsidRPr="00F1638D">
        <w:fldChar w:fldCharType="end"/>
      </w:r>
    </w:p>
    <w:p w14:paraId="73255CB0" w14:textId="51E452E4" w:rsidR="00CA482A" w:rsidRPr="00F1638D" w:rsidRDefault="00CA482A" w:rsidP="00CA482A">
      <w:pPr>
        <w:jc w:val="both"/>
        <w:rPr>
          <w:rFonts w:ascii="Arial" w:eastAsia="Calibri" w:hAnsi="Arial" w:cs="Arial"/>
          <w:color w:val="000000" w:themeColor="text1"/>
          <w:sz w:val="22"/>
          <w:lang w:val="es-ES_tradnl"/>
        </w:rPr>
      </w:pPr>
      <w:r w:rsidRPr="00F1638D">
        <w:rPr>
          <w:rFonts w:ascii="Arial" w:eastAsia="Calibri" w:hAnsi="Arial" w:cs="Arial"/>
          <w:color w:val="000000" w:themeColor="text1"/>
          <w:sz w:val="22"/>
          <w:lang w:val="es-ES_tradnl"/>
        </w:rPr>
        <w:t>Señor</w:t>
      </w:r>
    </w:p>
    <w:p w14:paraId="6F57879C" w14:textId="77777777" w:rsidR="00116355" w:rsidRPr="00F1638D" w:rsidRDefault="00116355" w:rsidP="00CA482A">
      <w:pPr>
        <w:jc w:val="both"/>
        <w:rPr>
          <w:rFonts w:ascii="Arial" w:eastAsia="Calibri" w:hAnsi="Arial" w:cs="Arial"/>
          <w:b/>
          <w:color w:val="000000" w:themeColor="text1"/>
          <w:sz w:val="22"/>
          <w:lang w:val="es-ES_tradnl"/>
        </w:rPr>
      </w:pPr>
      <w:r w:rsidRPr="00F1638D">
        <w:rPr>
          <w:rFonts w:ascii="Arial" w:eastAsia="Calibri" w:hAnsi="Arial" w:cs="Arial"/>
          <w:b/>
          <w:color w:val="000000" w:themeColor="text1"/>
          <w:sz w:val="22"/>
          <w:lang w:val="es-ES_tradnl"/>
        </w:rPr>
        <w:t>JESÚS DAVID ESQUIVEL NAVARRO</w:t>
      </w:r>
    </w:p>
    <w:p w14:paraId="6D946448" w14:textId="59BAD3AD" w:rsidR="00CA482A" w:rsidRPr="00F1638D" w:rsidRDefault="00CA482A" w:rsidP="00CA482A">
      <w:pPr>
        <w:jc w:val="both"/>
        <w:rPr>
          <w:rFonts w:ascii="Arial" w:eastAsia="Calibri" w:hAnsi="Arial" w:cs="Arial"/>
          <w:color w:val="000000" w:themeColor="text1"/>
          <w:sz w:val="22"/>
          <w:lang w:val="es-ES_tradnl"/>
        </w:rPr>
      </w:pPr>
      <w:r w:rsidRPr="00F1638D">
        <w:rPr>
          <w:rFonts w:ascii="Arial" w:eastAsia="Calibri" w:hAnsi="Arial" w:cs="Arial"/>
          <w:color w:val="000000" w:themeColor="text1"/>
          <w:sz w:val="22"/>
          <w:lang w:val="es-ES_tradnl"/>
        </w:rPr>
        <w:t>Bogotá D.C</w:t>
      </w:r>
    </w:p>
    <w:p w14:paraId="70D7FD16" w14:textId="77777777" w:rsidR="00CA482A" w:rsidRPr="00F1638D" w:rsidRDefault="00CA482A" w:rsidP="00CA482A">
      <w:pPr>
        <w:jc w:val="both"/>
        <w:rPr>
          <w:rFonts w:ascii="Arial" w:eastAsia="Calibri" w:hAnsi="Arial" w:cs="Arial"/>
          <w:color w:val="000000" w:themeColor="text1"/>
          <w:sz w:val="22"/>
          <w:lang w:val="es-ES_tradnl"/>
        </w:rPr>
      </w:pPr>
    </w:p>
    <w:p w14:paraId="29153A97" w14:textId="77777777" w:rsidR="00CA482A" w:rsidRPr="00F1638D" w:rsidRDefault="00CA482A" w:rsidP="00CA482A">
      <w:pPr>
        <w:jc w:val="both"/>
        <w:rPr>
          <w:rFonts w:ascii="Arial" w:eastAsia="Calibri" w:hAnsi="Arial" w:cs="Arial"/>
          <w:color w:val="000000" w:themeColor="text1"/>
          <w:sz w:val="22"/>
          <w:lang w:val="es-ES_tradnl"/>
        </w:rPr>
      </w:pPr>
    </w:p>
    <w:p w14:paraId="2E75879A" w14:textId="051F43D7" w:rsidR="00CA482A" w:rsidRPr="00F1638D" w:rsidRDefault="00CA482A" w:rsidP="00CA482A">
      <w:pPr>
        <w:jc w:val="center"/>
        <w:rPr>
          <w:rFonts w:ascii="Arial" w:eastAsia="Calibri" w:hAnsi="Arial" w:cs="Arial"/>
          <w:b/>
          <w:bCs/>
          <w:color w:val="000000" w:themeColor="text1"/>
          <w:sz w:val="22"/>
          <w:lang w:val="es-ES_tradnl"/>
        </w:rPr>
      </w:pPr>
      <w:r w:rsidRPr="00F1638D">
        <w:rPr>
          <w:rFonts w:ascii="Arial" w:eastAsia="Calibri" w:hAnsi="Arial" w:cs="Arial"/>
          <w:b/>
          <w:bCs/>
          <w:color w:val="000000" w:themeColor="text1"/>
          <w:sz w:val="22"/>
          <w:lang w:val="es-ES_tradnl"/>
        </w:rPr>
        <w:t xml:space="preserve">Concepto C ‒ </w:t>
      </w:r>
      <w:r w:rsidR="0094275B" w:rsidRPr="00F1638D">
        <w:rPr>
          <w:rFonts w:ascii="Arial" w:eastAsia="Calibri" w:hAnsi="Arial" w:cs="Arial"/>
          <w:b/>
          <w:bCs/>
          <w:color w:val="000000" w:themeColor="text1"/>
          <w:sz w:val="22"/>
          <w:lang w:val="es-ES_tradnl"/>
        </w:rPr>
        <w:t>083</w:t>
      </w:r>
      <w:r w:rsidRPr="00F1638D">
        <w:rPr>
          <w:rFonts w:ascii="Arial" w:eastAsia="Calibri" w:hAnsi="Arial" w:cs="Arial"/>
          <w:b/>
          <w:bCs/>
          <w:color w:val="000000" w:themeColor="text1"/>
          <w:sz w:val="22"/>
          <w:lang w:val="es-ES_tradnl"/>
        </w:rPr>
        <w:t xml:space="preserve"> de 202</w:t>
      </w:r>
      <w:r w:rsidR="0094275B" w:rsidRPr="00F1638D">
        <w:rPr>
          <w:rFonts w:ascii="Arial" w:eastAsia="Calibri" w:hAnsi="Arial" w:cs="Arial"/>
          <w:b/>
          <w:bCs/>
          <w:color w:val="000000" w:themeColor="text1"/>
          <w:sz w:val="22"/>
          <w:lang w:val="es-ES_tradnl"/>
        </w:rPr>
        <w:t>2</w:t>
      </w:r>
    </w:p>
    <w:p w14:paraId="6DDFE321" w14:textId="77777777" w:rsidR="00CA482A" w:rsidRPr="00F1638D" w:rsidRDefault="00CA482A" w:rsidP="00CA482A">
      <w:pPr>
        <w:jc w:val="both"/>
        <w:rPr>
          <w:rFonts w:ascii="Arial" w:eastAsia="Calibri" w:hAnsi="Arial" w:cs="Arial"/>
          <w:color w:val="000000" w:themeColor="text1"/>
          <w:sz w:val="22"/>
          <w:lang w:val="es-ES_tradnl"/>
        </w:rPr>
      </w:pPr>
    </w:p>
    <w:p w14:paraId="41194E11" w14:textId="77777777" w:rsidR="00CA482A" w:rsidRPr="00F1638D" w:rsidRDefault="00CA482A" w:rsidP="00CA482A">
      <w:pPr>
        <w:jc w:val="both"/>
        <w:rPr>
          <w:rFonts w:ascii="Arial" w:eastAsia="Calibri" w:hAnsi="Arial" w:cs="Arial"/>
          <w:color w:val="000000" w:themeColor="text1"/>
          <w:sz w:val="22"/>
          <w:lang w:val="es-ES_tradnl"/>
        </w:rPr>
      </w:pPr>
    </w:p>
    <w:p w14:paraId="02D4BD5E" w14:textId="77777777" w:rsidR="00CA482A" w:rsidRPr="00F1638D" w:rsidRDefault="00CA482A" w:rsidP="00CA482A">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CA482A" w:rsidRPr="00F1638D" w14:paraId="79E1C254" w14:textId="77777777" w:rsidTr="00224927">
        <w:tc>
          <w:tcPr>
            <w:tcW w:w="2689" w:type="dxa"/>
          </w:tcPr>
          <w:p w14:paraId="367174CC" w14:textId="77777777" w:rsidR="00CA482A" w:rsidRPr="00F1638D" w:rsidRDefault="00CA482A" w:rsidP="00224927">
            <w:pPr>
              <w:jc w:val="both"/>
              <w:rPr>
                <w:rFonts w:ascii="Arial" w:eastAsia="Calibri" w:hAnsi="Arial" w:cs="Arial"/>
                <w:color w:val="000000" w:themeColor="text1"/>
                <w:sz w:val="22"/>
                <w:lang w:val="es-ES_tradnl"/>
              </w:rPr>
            </w:pPr>
            <w:r w:rsidRPr="00F1638D">
              <w:rPr>
                <w:rFonts w:ascii="Arial" w:eastAsia="Calibri" w:hAnsi="Arial" w:cs="Arial"/>
                <w:b/>
                <w:color w:val="000000" w:themeColor="text1"/>
                <w:sz w:val="22"/>
                <w:lang w:val="es-ES_tradnl"/>
              </w:rPr>
              <w:t>Temas:</w:t>
            </w:r>
            <w:r w:rsidRPr="00F1638D">
              <w:rPr>
                <w:rFonts w:ascii="Arial" w:eastAsia="Calibri" w:hAnsi="Arial" w:cs="Arial"/>
                <w:color w:val="000000" w:themeColor="text1"/>
                <w:sz w:val="22"/>
                <w:lang w:val="es-ES_tradnl"/>
              </w:rPr>
              <w:t xml:space="preserve">                                      </w:t>
            </w:r>
          </w:p>
        </w:tc>
        <w:tc>
          <w:tcPr>
            <w:tcW w:w="6237" w:type="dxa"/>
          </w:tcPr>
          <w:p w14:paraId="399A920D" w14:textId="7F8219B7" w:rsidR="00CA482A" w:rsidRPr="00F1638D" w:rsidRDefault="00CA482A" w:rsidP="00224927">
            <w:pPr>
              <w:spacing w:after="120"/>
              <w:jc w:val="both"/>
              <w:rPr>
                <w:rFonts w:ascii="Arial" w:eastAsia="Calibri" w:hAnsi="Arial" w:cs="Arial"/>
                <w:color w:val="000000" w:themeColor="text1"/>
                <w:sz w:val="22"/>
              </w:rPr>
            </w:pPr>
            <w:r w:rsidRPr="00F1638D">
              <w:rPr>
                <w:rFonts w:ascii="Arial" w:eastAsia="Calibri" w:hAnsi="Arial" w:cs="Arial"/>
                <w:color w:val="000000" w:themeColor="text1"/>
                <w:sz w:val="22"/>
                <w:lang w:val="es-ES_tradnl"/>
              </w:rPr>
              <w:t xml:space="preserve">PRINCIPIO DE PUBLICIDAD – Democracia – Estado social de Derecho – Fundamento axiológico / SECOP – Entidades exceptuadas – Información oficial – Auto del 25 de febrero de 2021 – Efectos / SECOP – Entidades exceptuadas – Publicidad – Documentos – Información oficial – Concepto CU-003 / SECOP – Auto del 25 de febrero de 2021 – Publicidad – Mandato vigente / </w:t>
            </w:r>
            <w:r w:rsidR="00F92058" w:rsidRPr="00F1638D">
              <w:rPr>
                <w:rFonts w:ascii="Arial" w:eastAsia="Calibri" w:hAnsi="Arial" w:cs="Arial"/>
                <w:sz w:val="22"/>
              </w:rPr>
              <w:t xml:space="preserve">ENTIDADES PROMOTORAD DE SALUD – </w:t>
            </w:r>
            <w:r w:rsidR="002371B8" w:rsidRPr="00F1638D">
              <w:rPr>
                <w:rFonts w:ascii="Arial" w:eastAsia="Calibri" w:hAnsi="Arial" w:cs="Arial"/>
                <w:sz w:val="22"/>
              </w:rPr>
              <w:t xml:space="preserve">EPS – </w:t>
            </w:r>
            <w:r w:rsidR="00F92058" w:rsidRPr="00F1638D">
              <w:rPr>
                <w:rFonts w:ascii="Arial" w:eastAsia="Calibri" w:hAnsi="Arial" w:cs="Arial"/>
                <w:sz w:val="22"/>
              </w:rPr>
              <w:t>Naturaleza jurídica / EPS – Administración de recursos públicos</w:t>
            </w:r>
          </w:p>
        </w:tc>
      </w:tr>
      <w:tr w:rsidR="00CA482A" w:rsidRPr="00F1638D" w14:paraId="1B6544A2" w14:textId="77777777" w:rsidTr="00224927">
        <w:tc>
          <w:tcPr>
            <w:tcW w:w="2689" w:type="dxa"/>
          </w:tcPr>
          <w:p w14:paraId="64E906E7" w14:textId="77777777" w:rsidR="00CA482A" w:rsidRPr="00F1638D" w:rsidRDefault="00CA482A" w:rsidP="00224927">
            <w:pPr>
              <w:spacing w:before="120"/>
              <w:jc w:val="both"/>
              <w:rPr>
                <w:rFonts w:ascii="Arial" w:eastAsia="Calibri" w:hAnsi="Arial" w:cs="Arial"/>
                <w:b/>
                <w:color w:val="000000" w:themeColor="text1"/>
                <w:sz w:val="22"/>
                <w:lang w:val="es-ES_tradnl"/>
              </w:rPr>
            </w:pPr>
            <w:r w:rsidRPr="00F1638D">
              <w:rPr>
                <w:rFonts w:ascii="Arial" w:eastAsia="Calibri" w:hAnsi="Arial" w:cs="Arial"/>
                <w:b/>
                <w:color w:val="000000" w:themeColor="text1"/>
                <w:sz w:val="22"/>
                <w:lang w:val="es-ES_tradnl"/>
              </w:rPr>
              <w:t>Radicación:</w:t>
            </w:r>
            <w:r w:rsidRPr="00F1638D">
              <w:rPr>
                <w:rFonts w:ascii="Arial" w:eastAsia="Calibri" w:hAnsi="Arial" w:cs="Arial"/>
                <w:color w:val="000000" w:themeColor="text1"/>
                <w:sz w:val="22"/>
                <w:lang w:val="es-ES_tradnl"/>
              </w:rPr>
              <w:t xml:space="preserve">                              </w:t>
            </w:r>
          </w:p>
        </w:tc>
        <w:tc>
          <w:tcPr>
            <w:tcW w:w="6237" w:type="dxa"/>
          </w:tcPr>
          <w:p w14:paraId="5ABAA575" w14:textId="235EA906" w:rsidR="00CA482A" w:rsidRPr="00F1638D" w:rsidRDefault="00CA482A" w:rsidP="00224927">
            <w:pPr>
              <w:spacing w:before="120"/>
              <w:jc w:val="both"/>
              <w:rPr>
                <w:rFonts w:ascii="Arial" w:eastAsia="Calibri" w:hAnsi="Arial" w:cs="Arial"/>
                <w:color w:val="000000" w:themeColor="text1"/>
                <w:sz w:val="22"/>
                <w:lang w:val="es-ES_tradnl"/>
              </w:rPr>
            </w:pPr>
            <w:r w:rsidRPr="00F1638D">
              <w:rPr>
                <w:rFonts w:ascii="Arial" w:eastAsia="Calibri" w:hAnsi="Arial" w:cs="Arial"/>
                <w:color w:val="000000" w:themeColor="text1"/>
                <w:sz w:val="22"/>
                <w:lang w:val="es-ES_tradnl"/>
              </w:rPr>
              <w:t xml:space="preserve">Respuesta a consulta # </w:t>
            </w:r>
            <w:r w:rsidR="00F92058" w:rsidRPr="00F1638D">
              <w:rPr>
                <w:rFonts w:ascii="Arial" w:eastAsia="Calibri" w:hAnsi="Arial" w:cs="Arial"/>
                <w:color w:val="000000" w:themeColor="text1"/>
                <w:sz w:val="22"/>
                <w:lang w:val="es-ES_tradnl"/>
              </w:rPr>
              <w:t>P20220204001053</w:t>
            </w:r>
          </w:p>
          <w:p w14:paraId="456A55AA" w14:textId="77777777" w:rsidR="00CA482A" w:rsidRPr="00F1638D" w:rsidRDefault="00CA482A" w:rsidP="00224927">
            <w:pPr>
              <w:spacing w:before="120"/>
              <w:jc w:val="both"/>
              <w:rPr>
                <w:rFonts w:ascii="Arial" w:eastAsia="Calibri" w:hAnsi="Arial" w:cs="Arial"/>
                <w:color w:val="000000" w:themeColor="text1"/>
                <w:sz w:val="22"/>
                <w:lang w:val="es-ES_tradnl"/>
              </w:rPr>
            </w:pPr>
            <w:r w:rsidRPr="00F1638D">
              <w:rPr>
                <w:rFonts w:ascii="Arial" w:eastAsia="Calibri" w:hAnsi="Arial" w:cs="Arial"/>
                <w:color w:val="000000" w:themeColor="text1"/>
                <w:sz w:val="22"/>
                <w:lang w:val="es-ES_tradnl"/>
              </w:rPr>
              <w:t xml:space="preserve"> </w:t>
            </w:r>
          </w:p>
        </w:tc>
      </w:tr>
    </w:tbl>
    <w:p w14:paraId="1706C795" w14:textId="20CA1D11" w:rsidR="00CA482A" w:rsidRPr="00F1638D" w:rsidRDefault="00CA482A" w:rsidP="00CA482A">
      <w:pPr>
        <w:jc w:val="both"/>
        <w:rPr>
          <w:rFonts w:ascii="Arial" w:eastAsia="Calibri" w:hAnsi="Arial" w:cs="Arial"/>
          <w:color w:val="000000" w:themeColor="text1"/>
          <w:sz w:val="22"/>
          <w:lang w:val="es-ES_tradnl"/>
        </w:rPr>
      </w:pPr>
      <w:r w:rsidRPr="00F1638D">
        <w:rPr>
          <w:rFonts w:ascii="Arial" w:eastAsia="Calibri" w:hAnsi="Arial" w:cs="Arial"/>
          <w:color w:val="000000" w:themeColor="text1"/>
          <w:sz w:val="22"/>
          <w:lang w:val="es-ES_tradnl"/>
        </w:rPr>
        <w:t>Estimad</w:t>
      </w:r>
      <w:r w:rsidR="00F92058" w:rsidRPr="00F1638D">
        <w:rPr>
          <w:rFonts w:ascii="Arial" w:eastAsia="Calibri" w:hAnsi="Arial" w:cs="Arial"/>
          <w:color w:val="000000" w:themeColor="text1"/>
          <w:sz w:val="22"/>
          <w:lang w:val="es-ES_tradnl"/>
        </w:rPr>
        <w:t xml:space="preserve">o </w:t>
      </w:r>
      <w:r w:rsidRPr="00F1638D">
        <w:rPr>
          <w:rFonts w:ascii="Arial" w:eastAsia="Calibri" w:hAnsi="Arial" w:cs="Arial"/>
          <w:color w:val="000000" w:themeColor="text1"/>
          <w:sz w:val="22"/>
          <w:lang w:val="es-ES_tradnl"/>
        </w:rPr>
        <w:t xml:space="preserve">señor </w:t>
      </w:r>
      <w:r w:rsidR="00F92058" w:rsidRPr="00F1638D">
        <w:rPr>
          <w:rFonts w:ascii="Arial" w:eastAsia="Calibri" w:hAnsi="Arial" w:cs="Arial"/>
          <w:color w:val="000000" w:themeColor="text1"/>
          <w:sz w:val="22"/>
          <w:lang w:val="es-ES_tradnl"/>
        </w:rPr>
        <w:t>Esquivel</w:t>
      </w:r>
      <w:r w:rsidRPr="00F1638D">
        <w:rPr>
          <w:rFonts w:ascii="Arial" w:eastAsia="Calibri" w:hAnsi="Arial" w:cs="Arial"/>
          <w:color w:val="000000" w:themeColor="text1"/>
          <w:sz w:val="22"/>
          <w:lang w:val="es-ES_tradnl"/>
        </w:rPr>
        <w:t>:</w:t>
      </w:r>
    </w:p>
    <w:p w14:paraId="7A23529A" w14:textId="77777777" w:rsidR="00CA482A" w:rsidRPr="00F1638D" w:rsidRDefault="00CA482A" w:rsidP="00CA482A">
      <w:pPr>
        <w:jc w:val="both"/>
        <w:rPr>
          <w:rFonts w:ascii="Arial" w:eastAsia="Calibri" w:hAnsi="Arial" w:cs="Arial"/>
          <w:color w:val="000000" w:themeColor="text1"/>
          <w:sz w:val="22"/>
          <w:lang w:val="es-ES_tradnl"/>
        </w:rPr>
      </w:pPr>
    </w:p>
    <w:p w14:paraId="3824D5FB" w14:textId="70E6BA29" w:rsidR="00CA482A" w:rsidRPr="00F1638D" w:rsidRDefault="00CA482A" w:rsidP="00CA482A">
      <w:pPr>
        <w:spacing w:line="276" w:lineRule="auto"/>
        <w:jc w:val="both"/>
        <w:rPr>
          <w:rFonts w:ascii="Arial" w:eastAsia="Calibri" w:hAnsi="Arial" w:cs="Arial"/>
          <w:color w:val="000000" w:themeColor="text1"/>
          <w:sz w:val="22"/>
          <w:lang w:val="es-ES_tradnl"/>
        </w:rPr>
      </w:pPr>
      <w:r w:rsidRPr="00F1638D">
        <w:rPr>
          <w:rFonts w:ascii="Arial" w:eastAsia="Calibri" w:hAnsi="Arial" w:cs="Arial"/>
          <w:color w:val="000000" w:themeColor="text1"/>
          <w:sz w:val="22"/>
          <w:lang w:val="es-ES_tradnl"/>
        </w:rPr>
        <w:lastRenderedPageBreak/>
        <w:t xml:space="preserve">En ejercicio de la competencia otorgada por el numeral 8 del artículo 11 y el numeral 5 del artículo 3 del Decreto Ley 4170 de 2011, la Agencia Nacional de Contratación Pública ― Colombia Compra Eficiente responde su consulta del 4 de </w:t>
      </w:r>
      <w:r w:rsidR="00F92058" w:rsidRPr="00F1638D">
        <w:rPr>
          <w:rFonts w:ascii="Arial" w:eastAsia="Calibri" w:hAnsi="Arial" w:cs="Arial"/>
          <w:color w:val="000000" w:themeColor="text1"/>
          <w:sz w:val="22"/>
          <w:lang w:val="es-ES_tradnl"/>
        </w:rPr>
        <w:t xml:space="preserve">febrero </w:t>
      </w:r>
      <w:r w:rsidRPr="00F1638D">
        <w:rPr>
          <w:rFonts w:ascii="Arial" w:eastAsia="Calibri" w:hAnsi="Arial" w:cs="Arial"/>
          <w:color w:val="000000" w:themeColor="text1"/>
          <w:sz w:val="22"/>
          <w:lang w:val="es-ES_tradnl"/>
        </w:rPr>
        <w:t>del 202</w:t>
      </w:r>
      <w:r w:rsidR="00F92058" w:rsidRPr="00F1638D">
        <w:rPr>
          <w:rFonts w:ascii="Arial" w:eastAsia="Calibri" w:hAnsi="Arial" w:cs="Arial"/>
          <w:color w:val="000000" w:themeColor="text1"/>
          <w:sz w:val="22"/>
          <w:lang w:val="es-ES_tradnl"/>
        </w:rPr>
        <w:t>2</w:t>
      </w:r>
      <w:r w:rsidRPr="00F1638D">
        <w:rPr>
          <w:rFonts w:ascii="Arial" w:eastAsia="Calibri" w:hAnsi="Arial" w:cs="Arial"/>
          <w:color w:val="000000" w:themeColor="text1"/>
          <w:sz w:val="22"/>
          <w:lang w:val="es-ES_tradnl"/>
        </w:rPr>
        <w:t>.</w:t>
      </w:r>
    </w:p>
    <w:p w14:paraId="7831D7B8" w14:textId="77777777" w:rsidR="00CA482A" w:rsidRPr="00F1638D" w:rsidRDefault="00CA482A" w:rsidP="00CA482A">
      <w:pPr>
        <w:spacing w:line="276" w:lineRule="auto"/>
        <w:jc w:val="both"/>
        <w:rPr>
          <w:rFonts w:ascii="Arial" w:eastAsia="Calibri" w:hAnsi="Arial" w:cs="Arial"/>
          <w:b/>
          <w:color w:val="000000" w:themeColor="text1"/>
          <w:sz w:val="22"/>
          <w:lang w:val="es-ES_tradnl"/>
        </w:rPr>
      </w:pPr>
    </w:p>
    <w:p w14:paraId="2B2DB05F" w14:textId="77777777" w:rsidR="00CA482A" w:rsidRPr="00F1638D" w:rsidRDefault="00CA482A" w:rsidP="00CA482A">
      <w:pPr>
        <w:pStyle w:val="Prrafodelista"/>
        <w:numPr>
          <w:ilvl w:val="0"/>
          <w:numId w:val="1"/>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F1638D">
        <w:rPr>
          <w:rFonts w:ascii="Arial" w:eastAsia="Calibri" w:hAnsi="Arial" w:cs="Arial"/>
          <w:b/>
          <w:color w:val="000000" w:themeColor="text1"/>
          <w:sz w:val="22"/>
          <w:lang w:val="es-ES_tradnl"/>
        </w:rPr>
        <w:t xml:space="preserve">Problema planteado </w:t>
      </w:r>
    </w:p>
    <w:p w14:paraId="12D3F02D" w14:textId="77777777" w:rsidR="00CA482A" w:rsidRPr="00F1638D" w:rsidRDefault="00CA482A" w:rsidP="00CA482A">
      <w:pPr>
        <w:tabs>
          <w:tab w:val="left" w:pos="426"/>
        </w:tabs>
        <w:spacing w:line="276" w:lineRule="auto"/>
        <w:jc w:val="both"/>
        <w:rPr>
          <w:rFonts w:ascii="Arial" w:eastAsia="Calibri" w:hAnsi="Arial" w:cs="Arial"/>
          <w:b/>
          <w:color w:val="000000" w:themeColor="text1"/>
          <w:sz w:val="22"/>
          <w:lang w:val="es-ES_tradnl"/>
        </w:rPr>
      </w:pPr>
    </w:p>
    <w:p w14:paraId="67B1A2A5" w14:textId="77777777" w:rsidR="00CA482A" w:rsidRPr="00F1638D" w:rsidRDefault="00CA482A" w:rsidP="00CA482A">
      <w:pPr>
        <w:spacing w:line="276" w:lineRule="auto"/>
        <w:jc w:val="both"/>
        <w:rPr>
          <w:rFonts w:ascii="Arial" w:hAnsi="Arial" w:cs="Arial"/>
          <w:color w:val="000000" w:themeColor="text1"/>
          <w:sz w:val="22"/>
          <w:lang w:val="es-ES_tradnl"/>
        </w:rPr>
      </w:pPr>
      <w:r w:rsidRPr="00F1638D">
        <w:rPr>
          <w:rFonts w:ascii="Arial" w:hAnsi="Arial" w:cs="Arial"/>
          <w:color w:val="000000" w:themeColor="text1"/>
          <w:sz w:val="22"/>
          <w:lang w:val="es-ES_tradnl"/>
        </w:rPr>
        <w:t xml:space="preserve">Usted formula la siguiente consulta: </w:t>
      </w:r>
    </w:p>
    <w:p w14:paraId="24B98BE7" w14:textId="77777777" w:rsidR="00CA482A" w:rsidRPr="00F1638D" w:rsidRDefault="00CA482A" w:rsidP="00CA482A">
      <w:pPr>
        <w:spacing w:line="276" w:lineRule="auto"/>
        <w:jc w:val="both"/>
        <w:rPr>
          <w:rFonts w:ascii="Arial" w:hAnsi="Arial" w:cs="Arial"/>
          <w:color w:val="000000" w:themeColor="text1"/>
          <w:sz w:val="22"/>
          <w:lang w:val="es-ES_tradnl"/>
        </w:rPr>
      </w:pPr>
    </w:p>
    <w:p w14:paraId="3AED1BA9" w14:textId="6A5F198D" w:rsidR="00935211" w:rsidRPr="00F1638D" w:rsidRDefault="00CA482A" w:rsidP="00935211">
      <w:pPr>
        <w:ind w:left="709" w:right="709"/>
        <w:jc w:val="both"/>
        <w:rPr>
          <w:rFonts w:ascii="Arial" w:hAnsi="Arial" w:cs="Arial"/>
          <w:sz w:val="21"/>
          <w:szCs w:val="21"/>
        </w:rPr>
      </w:pPr>
      <w:r w:rsidRPr="00F1638D">
        <w:rPr>
          <w:rFonts w:ascii="Arial" w:hAnsi="Arial" w:cs="Arial"/>
          <w:color w:val="000000" w:themeColor="text1"/>
          <w:sz w:val="21"/>
          <w:szCs w:val="21"/>
          <w:lang w:val="es-ES_tradnl"/>
        </w:rPr>
        <w:t>«</w:t>
      </w:r>
      <w:bookmarkStart w:id="4" w:name="_Hlk70359962"/>
      <w:r w:rsidR="00935211" w:rsidRPr="00F1638D">
        <w:rPr>
          <w:rFonts w:ascii="Arial" w:hAnsi="Arial" w:cs="Arial"/>
          <w:b/>
          <w:bCs/>
          <w:sz w:val="21"/>
          <w:szCs w:val="21"/>
        </w:rPr>
        <w:t>PRIMERO</w:t>
      </w:r>
      <w:r w:rsidR="00935211" w:rsidRPr="00F1638D">
        <w:rPr>
          <w:rFonts w:ascii="Arial" w:hAnsi="Arial" w:cs="Arial"/>
          <w:sz w:val="21"/>
          <w:szCs w:val="21"/>
        </w:rPr>
        <w:t xml:space="preserve">: Que en el marco de lo expuesto COLOMBIA COMPRA EFICIENTE determine si los actos de contratación de la EPS al no ser publicados mediante el SECOP se predican faltos de transparencia y buena fe, teniendo en cuenta que esta cuenta con un Manual de Contratación que dispone las diferentes modalidades de contratación y sus procesos. </w:t>
      </w:r>
    </w:p>
    <w:p w14:paraId="753E9217" w14:textId="4F1EF5EC" w:rsidR="00CA482A" w:rsidRPr="00F1638D" w:rsidRDefault="00935211" w:rsidP="00935211">
      <w:pPr>
        <w:ind w:left="709" w:right="709"/>
        <w:jc w:val="both"/>
        <w:rPr>
          <w:rFonts w:ascii="Arial" w:hAnsi="Arial" w:cs="Arial"/>
          <w:color w:val="000000" w:themeColor="text1"/>
          <w:sz w:val="22"/>
          <w:lang w:val="es-ES_tradnl"/>
        </w:rPr>
      </w:pPr>
      <w:r w:rsidRPr="00F1638D">
        <w:rPr>
          <w:rFonts w:ascii="Arial" w:hAnsi="Arial" w:cs="Arial"/>
          <w:b/>
          <w:bCs/>
          <w:sz w:val="21"/>
          <w:szCs w:val="21"/>
        </w:rPr>
        <w:t>SEGUNDO</w:t>
      </w:r>
      <w:r w:rsidRPr="00F1638D">
        <w:rPr>
          <w:rFonts w:ascii="Arial" w:hAnsi="Arial" w:cs="Arial"/>
          <w:sz w:val="21"/>
          <w:szCs w:val="21"/>
        </w:rPr>
        <w:t xml:space="preserve">: De acuerdo con la suspensión provisional por parte del Consejo de Estado, de las Circulares Externas 1 de 2013 y 20 de 2015, indique si es o no obligatoria la publicación ante el SECOP, de los contratos suscritos por la EPS. </w:t>
      </w:r>
      <w:r w:rsidRPr="00F1638D">
        <w:rPr>
          <w:rFonts w:ascii="Arial" w:hAnsi="Arial" w:cs="Arial"/>
          <w:b/>
          <w:bCs/>
          <w:sz w:val="21"/>
          <w:szCs w:val="21"/>
        </w:rPr>
        <w:t>TERCERO</w:t>
      </w:r>
      <w:r w:rsidRPr="00F1638D">
        <w:rPr>
          <w:rFonts w:ascii="Arial" w:hAnsi="Arial" w:cs="Arial"/>
          <w:sz w:val="21"/>
          <w:szCs w:val="21"/>
        </w:rPr>
        <w:t xml:space="preserve">: Indique si la ANCP efectúa requerimientos a los entes de control y vigilancia, para el caso la CONTRALORIAS GENERAL DE LA REPUBLICA con el fin de que se de aplicación a las Circulares Externas 1 del 2013 y 20 del 2015. </w:t>
      </w:r>
      <w:r w:rsidRPr="00F1638D">
        <w:rPr>
          <w:rFonts w:ascii="Arial" w:hAnsi="Arial" w:cs="Arial"/>
          <w:b/>
          <w:bCs/>
          <w:sz w:val="21"/>
          <w:szCs w:val="21"/>
        </w:rPr>
        <w:t>CUARTO</w:t>
      </w:r>
      <w:r w:rsidRPr="00F1638D">
        <w:rPr>
          <w:rFonts w:ascii="Arial" w:hAnsi="Arial" w:cs="Arial"/>
          <w:sz w:val="21"/>
          <w:szCs w:val="21"/>
        </w:rPr>
        <w:t>: Indique porque la ANCP exige la aplicación de las Circulares Externas 1 del 2013 y 20 del 2015 las cuales fueron emitidas por fuera del ámbito de su competencia y desconociendo el artículo 3º del Decreto Ley 4170 del 2011</w:t>
      </w:r>
      <w:r w:rsidRPr="00F1638D">
        <w:rPr>
          <w:rFonts w:ascii="Arial" w:eastAsia="Calibri" w:hAnsi="Arial" w:cs="Arial"/>
          <w:color w:val="000000" w:themeColor="text1"/>
          <w:sz w:val="22"/>
          <w:lang w:val="es-ES_tradnl"/>
        </w:rPr>
        <w:t>»</w:t>
      </w:r>
      <w:r w:rsidRPr="00F1638D">
        <w:rPr>
          <w:rFonts w:ascii="Arial" w:hAnsi="Arial" w:cs="Arial"/>
          <w:color w:val="000000" w:themeColor="text1"/>
          <w:sz w:val="21"/>
          <w:szCs w:val="21"/>
          <w:lang w:val="es-ES_tradnl"/>
        </w:rPr>
        <w:t>.</w:t>
      </w:r>
    </w:p>
    <w:p w14:paraId="7C77792F" w14:textId="77777777" w:rsidR="00CA482A" w:rsidRPr="00F1638D" w:rsidRDefault="00CA482A" w:rsidP="00CA482A">
      <w:pPr>
        <w:ind w:left="709" w:right="709"/>
        <w:jc w:val="both"/>
        <w:rPr>
          <w:rFonts w:ascii="Arial" w:hAnsi="Arial" w:cs="Arial"/>
          <w:color w:val="000000" w:themeColor="text1"/>
          <w:sz w:val="22"/>
          <w:lang w:val="es-ES_tradnl"/>
        </w:rPr>
      </w:pPr>
    </w:p>
    <w:bookmarkEnd w:id="4"/>
    <w:p w14:paraId="0E70F198" w14:textId="77777777" w:rsidR="00CA482A" w:rsidRPr="00F1638D" w:rsidRDefault="00CA482A" w:rsidP="00CA482A">
      <w:pPr>
        <w:pStyle w:val="Prrafodelista"/>
        <w:numPr>
          <w:ilvl w:val="0"/>
          <w:numId w:val="1"/>
        </w:numPr>
        <w:tabs>
          <w:tab w:val="left" w:pos="0"/>
          <w:tab w:val="left" w:pos="284"/>
        </w:tabs>
        <w:ind w:left="0" w:firstLine="0"/>
        <w:jc w:val="both"/>
        <w:rPr>
          <w:rFonts w:ascii="Arial" w:eastAsia="Calibri" w:hAnsi="Arial" w:cs="Arial"/>
          <w:b/>
          <w:color w:val="000000" w:themeColor="text1"/>
          <w:sz w:val="22"/>
          <w:lang w:val="es-ES_tradnl"/>
        </w:rPr>
      </w:pPr>
      <w:r w:rsidRPr="00F1638D">
        <w:rPr>
          <w:rFonts w:ascii="Arial" w:eastAsia="Calibri" w:hAnsi="Arial" w:cs="Arial"/>
          <w:b/>
          <w:color w:val="000000" w:themeColor="text1"/>
          <w:sz w:val="22"/>
          <w:lang w:val="es-ES_tradnl"/>
        </w:rPr>
        <w:t>Consideraciones</w:t>
      </w:r>
    </w:p>
    <w:p w14:paraId="1DF10EE4" w14:textId="77777777" w:rsidR="00CA482A" w:rsidRPr="00F1638D" w:rsidRDefault="00CA482A" w:rsidP="00CA482A">
      <w:pPr>
        <w:spacing w:line="276" w:lineRule="auto"/>
        <w:jc w:val="both"/>
        <w:rPr>
          <w:rFonts w:ascii="Arial" w:eastAsia="Calibri" w:hAnsi="Arial" w:cs="Arial"/>
          <w:color w:val="000000" w:themeColor="text1"/>
          <w:sz w:val="22"/>
          <w:szCs w:val="22"/>
          <w:lang w:val="es-ES_tradnl"/>
        </w:rPr>
      </w:pPr>
    </w:p>
    <w:p w14:paraId="43D4FCEC" w14:textId="3D90881B" w:rsidR="00CA482A" w:rsidRPr="00F1638D" w:rsidRDefault="00CA482A" w:rsidP="00CA482A">
      <w:pPr>
        <w:spacing w:line="276" w:lineRule="auto"/>
        <w:jc w:val="both"/>
        <w:rPr>
          <w:rFonts w:ascii="Arial" w:eastAsia="Calibri" w:hAnsi="Arial" w:cs="Arial"/>
          <w:color w:val="000000" w:themeColor="text1"/>
          <w:sz w:val="22"/>
          <w:lang w:val="es-ES_tradnl"/>
        </w:rPr>
      </w:pPr>
      <w:r w:rsidRPr="00F1638D">
        <w:rPr>
          <w:rFonts w:ascii="Arial" w:eastAsia="Calibri" w:hAnsi="Arial" w:cs="Arial"/>
          <w:bCs/>
          <w:color w:val="000000" w:themeColor="text1"/>
          <w:sz w:val="22"/>
          <w:lang w:val="es-ES_tradnl"/>
        </w:rPr>
        <w:t>Para responder la consulta se analizarán los siguientes temas: i)</w:t>
      </w:r>
      <w:r w:rsidR="008D610D" w:rsidRPr="00F1638D">
        <w:rPr>
          <w:rFonts w:ascii="Arial" w:eastAsia="Calibri" w:hAnsi="Arial" w:cs="Arial"/>
          <w:bCs/>
          <w:color w:val="000000" w:themeColor="text1"/>
          <w:sz w:val="22"/>
          <w:lang w:val="es-ES_tradnl"/>
        </w:rPr>
        <w:t xml:space="preserve"> la naturaleza de las entidades promotoras de salud; </w:t>
      </w:r>
      <w:proofErr w:type="spellStart"/>
      <w:r w:rsidR="008D610D" w:rsidRPr="00F1638D">
        <w:rPr>
          <w:rFonts w:ascii="Arial" w:eastAsia="Calibri" w:hAnsi="Arial" w:cs="Arial"/>
          <w:bCs/>
          <w:color w:val="000000" w:themeColor="text1"/>
          <w:sz w:val="22"/>
          <w:lang w:val="es-ES_tradnl"/>
        </w:rPr>
        <w:t>ii</w:t>
      </w:r>
      <w:proofErr w:type="spellEnd"/>
      <w:r w:rsidR="008D610D" w:rsidRPr="00F1638D">
        <w:rPr>
          <w:rFonts w:ascii="Arial" w:eastAsia="Calibri" w:hAnsi="Arial" w:cs="Arial"/>
          <w:bCs/>
          <w:color w:val="000000" w:themeColor="text1"/>
          <w:sz w:val="22"/>
          <w:lang w:val="es-ES_tradnl"/>
        </w:rPr>
        <w:t xml:space="preserve">) el </w:t>
      </w:r>
      <w:r w:rsidRPr="00F1638D">
        <w:rPr>
          <w:rFonts w:ascii="Arial" w:eastAsia="Calibri" w:hAnsi="Arial" w:cs="Arial"/>
          <w:bCs/>
          <w:color w:val="000000" w:themeColor="text1"/>
          <w:sz w:val="22"/>
          <w:lang w:val="es-ES_tradnl"/>
        </w:rPr>
        <w:t>fundamento axiológico de la publicidad de la información oficial de la contratación estatal en el Sistema Electrónico para la Contratación Pública –SECOP–</w:t>
      </w:r>
      <w:r w:rsidR="008D610D" w:rsidRPr="00F1638D">
        <w:rPr>
          <w:rFonts w:ascii="Arial" w:eastAsia="Calibri" w:hAnsi="Arial" w:cs="Arial"/>
          <w:bCs/>
          <w:color w:val="000000" w:themeColor="text1"/>
          <w:sz w:val="22"/>
          <w:lang w:val="es-ES_tradnl"/>
        </w:rPr>
        <w:t>; y,</w:t>
      </w:r>
      <w:r w:rsidRPr="00F1638D">
        <w:rPr>
          <w:rFonts w:ascii="Arial" w:eastAsia="Calibri" w:hAnsi="Arial" w:cs="Arial"/>
          <w:bCs/>
          <w:color w:val="000000" w:themeColor="text1"/>
          <w:sz w:val="22"/>
          <w:lang w:val="es-ES_tradnl"/>
        </w:rPr>
        <w:t xml:space="preserve"> </w:t>
      </w:r>
      <w:proofErr w:type="spellStart"/>
      <w:r w:rsidRPr="00F1638D">
        <w:rPr>
          <w:rFonts w:ascii="Arial" w:eastAsia="Calibri" w:hAnsi="Arial" w:cs="Arial"/>
          <w:bCs/>
          <w:color w:val="000000" w:themeColor="text1"/>
          <w:sz w:val="22"/>
          <w:lang w:val="es-ES_tradnl"/>
        </w:rPr>
        <w:t>ii</w:t>
      </w:r>
      <w:r w:rsidR="008D610D" w:rsidRPr="00F1638D">
        <w:rPr>
          <w:rFonts w:ascii="Arial" w:eastAsia="Calibri" w:hAnsi="Arial" w:cs="Arial"/>
          <w:bCs/>
          <w:color w:val="000000" w:themeColor="text1"/>
          <w:sz w:val="22"/>
          <w:lang w:val="es-ES_tradnl"/>
        </w:rPr>
        <w:t>i</w:t>
      </w:r>
      <w:proofErr w:type="spellEnd"/>
      <w:r w:rsidRPr="00F1638D">
        <w:rPr>
          <w:rFonts w:ascii="Arial" w:eastAsia="Calibri" w:hAnsi="Arial" w:cs="Arial"/>
          <w:bCs/>
          <w:color w:val="000000" w:themeColor="text1"/>
          <w:sz w:val="22"/>
          <w:lang w:val="es-ES_tradnl"/>
        </w:rPr>
        <w:t>) efectos del auto del Consejo de Estado del 25 de febrero de 2021 sobre la publicación en el SECOP por parte de las entidades estatales con régimen especial de contratación</w:t>
      </w:r>
    </w:p>
    <w:p w14:paraId="5CF7B722" w14:textId="77777777" w:rsidR="00CA482A" w:rsidRPr="00F1638D" w:rsidRDefault="00CA482A" w:rsidP="00CA482A">
      <w:pPr>
        <w:spacing w:before="120" w:after="120" w:line="276" w:lineRule="auto"/>
        <w:ind w:firstLine="709"/>
        <w:jc w:val="both"/>
        <w:rPr>
          <w:rFonts w:ascii="Arial" w:eastAsia="Calibri" w:hAnsi="Arial" w:cs="Arial"/>
          <w:color w:val="1A1A1A" w:themeColor="background1" w:themeShade="1A"/>
          <w:sz w:val="22"/>
        </w:rPr>
      </w:pPr>
      <w:r w:rsidRPr="00F1638D">
        <w:rPr>
          <w:rFonts w:ascii="Arial" w:eastAsia="Calibri" w:hAnsi="Arial" w:cs="Arial"/>
          <w:bCs/>
          <w:color w:val="000000" w:themeColor="text1"/>
          <w:sz w:val="22"/>
          <w:lang w:val="es-ES_tradnl"/>
        </w:rPr>
        <w:t xml:space="preserve">La Agencia Nacional de Contratación Pública –Colombia Compra Eficiente– unificó su doctrina sobre el deber de las entidades exceptuadas del Estatuto General de Contratación de la Administración Pública –o con régimen especial– de publicar sus actuaciones contractuales en el SECOP, en el concepto CU-003 del 15 de enero de 2020.  Este concepto se reiterará a continuación, porque, como se explicará, no es contrario al contenido del auto del Consejo de Estado del 25 de febrero de 2021, que motiva la formulación de la consulta. </w:t>
      </w:r>
    </w:p>
    <w:p w14:paraId="2639858B" w14:textId="7CC70FEB" w:rsidR="00CA482A" w:rsidRPr="00F1638D" w:rsidRDefault="00CA482A" w:rsidP="00CA482A">
      <w:pPr>
        <w:spacing w:line="276" w:lineRule="auto"/>
        <w:ind w:firstLine="708"/>
        <w:jc w:val="both"/>
        <w:rPr>
          <w:rFonts w:ascii="Arial" w:hAnsi="Arial" w:cs="Arial"/>
          <w:color w:val="1A1A1A" w:themeColor="background1" w:themeShade="1A"/>
          <w:sz w:val="22"/>
        </w:rPr>
      </w:pPr>
      <w:r w:rsidRPr="00F1638D">
        <w:rPr>
          <w:rFonts w:ascii="Arial" w:eastAsia="Calibri" w:hAnsi="Arial" w:cs="Arial"/>
          <w:color w:val="1A1A1A" w:themeColor="background1" w:themeShade="1A"/>
          <w:sz w:val="22"/>
        </w:rPr>
        <w:t xml:space="preserve">Adicionalmente, para desarrollar el problema planteado, se explicará el deber de publicidad de la información contractual en el SECOP. </w:t>
      </w:r>
      <w:r w:rsidRPr="00F1638D">
        <w:rPr>
          <w:rFonts w:ascii="Arial" w:eastAsia="Calibri" w:hAnsi="Arial" w:cs="Arial"/>
          <w:bCs/>
          <w:color w:val="1A1A1A" w:themeColor="background1" w:themeShade="1A"/>
          <w:sz w:val="22"/>
        </w:rPr>
        <w:t xml:space="preserve">La Agencia Nacional de Contratación Pública estudió este tema en la consulta No. 4201913000005397 del 9 de agosto de 2019 y reiteró la posición en los siguientes conceptos: 4201912000006611 del 25 de septiembre </w:t>
      </w:r>
      <w:r w:rsidRPr="00F1638D">
        <w:rPr>
          <w:rFonts w:ascii="Arial" w:eastAsia="Calibri" w:hAnsi="Arial" w:cs="Arial"/>
          <w:bCs/>
          <w:color w:val="1A1A1A" w:themeColor="background1" w:themeShade="1A"/>
          <w:sz w:val="22"/>
        </w:rPr>
        <w:lastRenderedPageBreak/>
        <w:t xml:space="preserve">de 2019, </w:t>
      </w:r>
      <w:r w:rsidRPr="00F1638D">
        <w:rPr>
          <w:rFonts w:ascii="Arial" w:hAnsi="Arial" w:cs="Arial"/>
          <w:sz w:val="22"/>
        </w:rPr>
        <w:t>4201913000006847</w:t>
      </w:r>
      <w:r w:rsidRPr="00F1638D">
        <w:rPr>
          <w:rFonts w:ascii="Arial" w:hAnsi="Arial" w:cs="Arial"/>
          <w:color w:val="1A1A1A" w:themeColor="background1" w:themeShade="1A"/>
          <w:sz w:val="22"/>
        </w:rPr>
        <w:t xml:space="preserve"> del 4 de octubre de 2019, </w:t>
      </w:r>
      <w:r w:rsidRPr="00F1638D">
        <w:rPr>
          <w:rFonts w:ascii="Arial" w:eastAsia="Calibri" w:hAnsi="Arial" w:cs="Arial"/>
          <w:bCs/>
          <w:color w:val="1A1A1A" w:themeColor="background1" w:themeShade="1A"/>
          <w:sz w:val="22"/>
        </w:rPr>
        <w:t xml:space="preserve">4201912000007762 del 18 de noviembre de 2019 y 4201912000007828 del 13 de noviembre de 2019. Las tesis expuestas en los anteriores conceptos fueron unificadas en el concepto CU-003 del 15 de enero de 2020. </w:t>
      </w:r>
      <w:r w:rsidRPr="00F1638D">
        <w:rPr>
          <w:rFonts w:ascii="Arial" w:hAnsi="Arial" w:cs="Arial"/>
          <w:color w:val="1A1A1A" w:themeColor="background1" w:themeShade="1A"/>
          <w:sz w:val="22"/>
        </w:rPr>
        <w:t xml:space="preserve">Dicho concepto de unificación, fue reiterado en los conceptos C-116 del 18 de febrero de 2020, C-079 del 5 de febrero de 2020, C-061 del 3 de marzo de 2020, C-088 del 3 de marzo de 2020, C-072 del 4 de marzo de 2020, C-087 del 4 de marzo de 2020, C-147 del 17 de marzo de 2020, C-149 del 24 de marzo de 2020, C-158 del 3 de abril de 2020, C-265 del 3 de abril de 2020, C-176 del 6 de abril de 2020, C-264 del 7 de abril de 2020, C-270 del 15 de abril de 2020, C-271 del 22 de abril de 2020, C-009 del 27 de abril de 2020, C-011 del 27 de abril de 2020, C-272 del 27 de abril de 2020, C-015 del 29 de abril de 2020,  C-312 del 6 de mayo de 2020, C-035 del 26 de mayo de 2020, C-346 del 26 de mayo de 2020,  C-369 del 4 de junio de 2020, C-399 del 26 de junio de 2020, C-372 del 30 de junio de 2020, C-437 del 6 de julio de 2020,C-468 del 24 de julio de 2020, C-494 del 4 de agosto de 2020, C-449 del 5 de agosto de 2020, C-559 del 25 de agosto de 2020, C-562 del 25 de agosto de 2020, C-574 del 27 de agosto de 2020, C-680 de 18 de noviembre de 2020 y C-780 del 18 de enero de 2021. Finalmente, como consecuencia del </w:t>
      </w:r>
      <w:r w:rsidRPr="00F1638D">
        <w:rPr>
          <w:rFonts w:ascii="Arial" w:eastAsia="Calibri" w:hAnsi="Arial" w:cs="Arial"/>
          <w:bCs/>
          <w:color w:val="000000" w:themeColor="text1"/>
          <w:sz w:val="22"/>
          <w:lang w:val="es-ES_tradnl"/>
        </w:rPr>
        <w:t xml:space="preserve">Auto del Consejo de Estado del 25 de febrero de 2021 se expidió el concepto C-094 del 13 de abril de 2021, C-137 del </w:t>
      </w:r>
      <w:r w:rsidRPr="00F1638D">
        <w:rPr>
          <w:rFonts w:ascii="Arial" w:hAnsi="Arial" w:cs="Arial"/>
          <w:color w:val="1A1A1A" w:themeColor="background1" w:themeShade="1A"/>
          <w:sz w:val="22"/>
        </w:rPr>
        <w:t>13 de abril de 2021</w:t>
      </w:r>
      <w:r w:rsidR="008D610D" w:rsidRPr="00F1638D">
        <w:rPr>
          <w:rFonts w:ascii="Arial" w:hAnsi="Arial" w:cs="Arial"/>
          <w:color w:val="1A1A1A" w:themeColor="background1" w:themeShade="1A"/>
          <w:sz w:val="22"/>
        </w:rPr>
        <w:t>,</w:t>
      </w:r>
      <w:r w:rsidRPr="00F1638D">
        <w:rPr>
          <w:rFonts w:ascii="Arial" w:hAnsi="Arial" w:cs="Arial"/>
          <w:color w:val="1A1A1A" w:themeColor="background1" w:themeShade="1A"/>
          <w:sz w:val="22"/>
        </w:rPr>
        <w:t xml:space="preserve"> C-185 del 29 de abril de 2021</w:t>
      </w:r>
      <w:r w:rsidR="008D610D" w:rsidRPr="00F1638D">
        <w:rPr>
          <w:rFonts w:ascii="Arial" w:hAnsi="Arial" w:cs="Arial"/>
          <w:color w:val="1A1A1A" w:themeColor="background1" w:themeShade="1A"/>
          <w:sz w:val="22"/>
        </w:rPr>
        <w:t>, C-241 del 27 de mayo de 2021</w:t>
      </w:r>
      <w:r w:rsidRPr="00F1638D">
        <w:rPr>
          <w:rFonts w:ascii="Arial" w:hAnsi="Arial" w:cs="Arial"/>
          <w:color w:val="1A1A1A" w:themeColor="background1" w:themeShade="1A"/>
          <w:sz w:val="22"/>
        </w:rPr>
        <w:t xml:space="preserve">. </w:t>
      </w:r>
      <w:r w:rsidRPr="00F1638D">
        <w:rPr>
          <w:rFonts w:ascii="Arial" w:eastAsia="Calibri" w:hAnsi="Arial" w:cs="Arial"/>
          <w:color w:val="1A1A1A" w:themeColor="background1" w:themeShade="1A"/>
          <w:sz w:val="22"/>
        </w:rPr>
        <w:t>La tesis de estos conceptos se reitera a continuación:</w:t>
      </w:r>
      <w:r w:rsidRPr="00F1638D">
        <w:rPr>
          <w:rFonts w:ascii="Arial" w:hAnsi="Arial" w:cs="Arial"/>
          <w:color w:val="1A1A1A" w:themeColor="background1" w:themeShade="1A"/>
          <w:sz w:val="22"/>
        </w:rPr>
        <w:t xml:space="preserve"> </w:t>
      </w:r>
    </w:p>
    <w:p w14:paraId="07C4F872" w14:textId="1B38C37B" w:rsidR="00CA482A" w:rsidRPr="00F1638D" w:rsidRDefault="00CA482A" w:rsidP="00CA482A">
      <w:pPr>
        <w:spacing w:line="276" w:lineRule="auto"/>
        <w:jc w:val="both"/>
        <w:rPr>
          <w:rFonts w:ascii="Arial" w:hAnsi="Arial" w:cs="Arial"/>
          <w:b/>
          <w:bCs/>
          <w:color w:val="000000" w:themeColor="text1"/>
          <w:sz w:val="22"/>
          <w:lang w:val="es-ES_tradnl"/>
        </w:rPr>
      </w:pPr>
    </w:p>
    <w:p w14:paraId="6BB01242" w14:textId="3D21874E" w:rsidR="008D610D" w:rsidRPr="00F1638D" w:rsidRDefault="008D610D" w:rsidP="00CA482A">
      <w:pPr>
        <w:spacing w:line="276" w:lineRule="auto"/>
        <w:jc w:val="both"/>
        <w:rPr>
          <w:rFonts w:ascii="Arial" w:hAnsi="Arial" w:cs="Arial"/>
          <w:b/>
          <w:bCs/>
          <w:color w:val="000000" w:themeColor="text1"/>
          <w:sz w:val="22"/>
          <w:lang w:val="es-ES_tradnl"/>
        </w:rPr>
      </w:pPr>
      <w:r w:rsidRPr="00F1638D">
        <w:rPr>
          <w:rFonts w:ascii="Arial" w:hAnsi="Arial" w:cs="Arial"/>
          <w:b/>
          <w:bCs/>
          <w:color w:val="000000" w:themeColor="text1"/>
          <w:sz w:val="22"/>
          <w:lang w:val="es-ES_tradnl"/>
        </w:rPr>
        <w:t xml:space="preserve">2.1 Entidades promotoras de salud: </w:t>
      </w:r>
      <w:r w:rsidR="002371B8" w:rsidRPr="00F1638D">
        <w:rPr>
          <w:rFonts w:ascii="Arial" w:hAnsi="Arial" w:cs="Arial"/>
          <w:b/>
          <w:bCs/>
          <w:color w:val="000000" w:themeColor="text1"/>
          <w:sz w:val="22"/>
          <w:lang w:val="es-ES_tradnl"/>
        </w:rPr>
        <w:t>n</w:t>
      </w:r>
      <w:r w:rsidRPr="00F1638D">
        <w:rPr>
          <w:rFonts w:ascii="Arial" w:hAnsi="Arial" w:cs="Arial"/>
          <w:b/>
          <w:bCs/>
          <w:color w:val="000000" w:themeColor="text1"/>
          <w:sz w:val="22"/>
          <w:lang w:val="es-ES_tradnl"/>
        </w:rPr>
        <w:t>aturaleza jurídica</w:t>
      </w:r>
    </w:p>
    <w:p w14:paraId="57423ADA" w14:textId="22D8B382" w:rsidR="008D610D" w:rsidRPr="00F1638D" w:rsidRDefault="008D610D" w:rsidP="00CA482A">
      <w:pPr>
        <w:spacing w:line="276" w:lineRule="auto"/>
        <w:jc w:val="both"/>
        <w:rPr>
          <w:rFonts w:ascii="Arial" w:hAnsi="Arial" w:cs="Arial"/>
          <w:b/>
          <w:bCs/>
          <w:color w:val="000000" w:themeColor="text1"/>
          <w:sz w:val="22"/>
          <w:lang w:val="es-ES_tradnl"/>
        </w:rPr>
      </w:pPr>
    </w:p>
    <w:p w14:paraId="0EFDBCB1" w14:textId="4A507EB2" w:rsidR="008C3318" w:rsidRPr="00F1638D" w:rsidRDefault="008C3318" w:rsidP="008C3318">
      <w:pPr>
        <w:spacing w:after="120" w:line="276" w:lineRule="auto"/>
        <w:jc w:val="both"/>
        <w:rPr>
          <w:rFonts w:ascii="Arial" w:hAnsi="Arial" w:cs="Arial"/>
          <w:sz w:val="22"/>
          <w:lang w:eastAsia="es-CO"/>
        </w:rPr>
      </w:pPr>
      <w:bookmarkStart w:id="5" w:name="_Hlk98877945"/>
      <w:r w:rsidRPr="00F1638D">
        <w:rPr>
          <w:rFonts w:ascii="Arial" w:hAnsi="Arial" w:cs="Arial"/>
          <w:sz w:val="22"/>
          <w:lang w:eastAsia="es-CO"/>
        </w:rPr>
        <w:t xml:space="preserve">Respecto de la naturaleza jurídica </w:t>
      </w:r>
      <w:r w:rsidR="00D84012" w:rsidRPr="00F1638D">
        <w:rPr>
          <w:rFonts w:ascii="Arial" w:hAnsi="Arial" w:cs="Arial"/>
          <w:sz w:val="22"/>
          <w:lang w:eastAsia="es-CO"/>
        </w:rPr>
        <w:t xml:space="preserve">de </w:t>
      </w:r>
      <w:r w:rsidRPr="00F1638D">
        <w:rPr>
          <w:rFonts w:ascii="Arial" w:hAnsi="Arial" w:cs="Arial"/>
          <w:sz w:val="22"/>
          <w:lang w:eastAsia="es-CO"/>
        </w:rPr>
        <w:t>las Entidades Promotoras de Salud</w:t>
      </w:r>
      <w:r w:rsidR="000858CA" w:rsidRPr="00F1638D">
        <w:rPr>
          <w:rFonts w:ascii="Arial" w:hAnsi="Arial" w:cs="Arial"/>
          <w:sz w:val="22"/>
          <w:lang w:eastAsia="es-CO"/>
        </w:rPr>
        <w:t xml:space="preserve"> –E.P.S</w:t>
      </w:r>
      <w:r w:rsidR="00856A34" w:rsidRPr="00F1638D">
        <w:rPr>
          <w:rFonts w:ascii="Arial" w:hAnsi="Arial" w:cs="Arial"/>
          <w:sz w:val="22"/>
          <w:lang w:eastAsia="es-CO"/>
        </w:rPr>
        <w:t>.–</w:t>
      </w:r>
      <w:r w:rsidRPr="00F1638D">
        <w:rPr>
          <w:rFonts w:ascii="Arial" w:hAnsi="Arial" w:cs="Arial"/>
          <w:sz w:val="22"/>
          <w:lang w:eastAsia="es-CO"/>
        </w:rPr>
        <w:t>, el artículo 180 de la Ley 100 de 1993 establece que estas pueden ser públicas, privadas o mixtas. Esto implica que las EPS pueden conformarse de acuerdo con los diferentes tipos de entidades que engloban las categorías de pública, mixta o privada, lo que, en principio, en el caso de las públicas y mixtas, determina sus regímenes de contratación, en los términos del artículo 14 de la Ley 1150 de 2007, modificado por la Ley 1474 de 2011</w:t>
      </w:r>
      <w:bookmarkEnd w:id="5"/>
      <w:r w:rsidRPr="00F1638D">
        <w:rPr>
          <w:rStyle w:val="Refdenotaalpie"/>
          <w:rFonts w:ascii="Arial" w:hAnsi="Arial" w:cs="Arial"/>
          <w:sz w:val="22"/>
          <w:lang w:eastAsia="es-CO"/>
        </w:rPr>
        <w:footnoteReference w:id="1"/>
      </w:r>
      <w:r w:rsidRPr="00F1638D">
        <w:rPr>
          <w:rFonts w:ascii="Arial" w:hAnsi="Arial" w:cs="Arial"/>
          <w:sz w:val="22"/>
          <w:lang w:eastAsia="es-CO"/>
        </w:rPr>
        <w:t xml:space="preserve">. </w:t>
      </w:r>
    </w:p>
    <w:p w14:paraId="373C797D" w14:textId="20C5AADE" w:rsidR="008C3318" w:rsidRPr="00F1638D" w:rsidRDefault="008C3318" w:rsidP="008C3318">
      <w:pPr>
        <w:spacing w:after="120" w:line="276" w:lineRule="auto"/>
        <w:jc w:val="both"/>
        <w:rPr>
          <w:rFonts w:ascii="Arial" w:hAnsi="Arial" w:cs="Arial"/>
          <w:sz w:val="22"/>
          <w:lang w:eastAsia="es-CO"/>
        </w:rPr>
      </w:pPr>
      <w:r w:rsidRPr="00F1638D">
        <w:rPr>
          <w:rFonts w:ascii="Arial" w:hAnsi="Arial" w:cs="Arial"/>
          <w:sz w:val="22"/>
          <w:lang w:eastAsia="es-CO"/>
        </w:rPr>
        <w:lastRenderedPageBreak/>
        <w:tab/>
        <w:t>Tratándose de E</w:t>
      </w:r>
      <w:r w:rsidR="000858CA" w:rsidRPr="00F1638D">
        <w:rPr>
          <w:rFonts w:ascii="Arial" w:hAnsi="Arial" w:cs="Arial"/>
          <w:sz w:val="22"/>
          <w:lang w:eastAsia="es-CO"/>
        </w:rPr>
        <w:t>.</w:t>
      </w:r>
      <w:r w:rsidRPr="00F1638D">
        <w:rPr>
          <w:rFonts w:ascii="Arial" w:hAnsi="Arial" w:cs="Arial"/>
          <w:sz w:val="22"/>
          <w:lang w:eastAsia="es-CO"/>
        </w:rPr>
        <w:t>P</w:t>
      </w:r>
      <w:r w:rsidR="000858CA" w:rsidRPr="00F1638D">
        <w:rPr>
          <w:rFonts w:ascii="Arial" w:hAnsi="Arial" w:cs="Arial"/>
          <w:sz w:val="22"/>
          <w:lang w:eastAsia="es-CO"/>
        </w:rPr>
        <w:t>.</w:t>
      </w:r>
      <w:r w:rsidRPr="00F1638D">
        <w:rPr>
          <w:rFonts w:ascii="Arial" w:hAnsi="Arial" w:cs="Arial"/>
          <w:sz w:val="22"/>
          <w:lang w:eastAsia="es-CO"/>
        </w:rPr>
        <w:t>S de naturaleza pública, estas pueden ser conformadas como empresas industriales y comerciales del Estado, conforme indica el artículo 85 de la Ley 489 de 1998</w:t>
      </w:r>
      <w:r w:rsidRPr="00F1638D">
        <w:rPr>
          <w:rStyle w:val="Refdenotaalpie"/>
          <w:rFonts w:ascii="Arial" w:hAnsi="Arial" w:cs="Arial"/>
          <w:sz w:val="22"/>
          <w:lang w:eastAsia="es-CO"/>
        </w:rPr>
        <w:footnoteReference w:id="2"/>
      </w:r>
      <w:r w:rsidRPr="00F1638D">
        <w:rPr>
          <w:rFonts w:ascii="Arial" w:hAnsi="Arial" w:cs="Arial"/>
          <w:sz w:val="22"/>
          <w:lang w:eastAsia="es-CO"/>
        </w:rPr>
        <w:t xml:space="preserve"> o como sociedades públicas conformadas con participación de una o diversas entidades estatales. En ambos casos, estas tienen la calidad de entidades descentralizadas por servicios</w:t>
      </w:r>
      <w:r w:rsidR="00A572BA" w:rsidRPr="00F1638D">
        <w:rPr>
          <w:rFonts w:ascii="Arial" w:hAnsi="Arial" w:cs="Arial"/>
          <w:sz w:val="22"/>
          <w:lang w:eastAsia="es-CO"/>
        </w:rPr>
        <w:t>,</w:t>
      </w:r>
      <w:r w:rsidRPr="00F1638D">
        <w:rPr>
          <w:rFonts w:ascii="Arial" w:hAnsi="Arial" w:cs="Arial"/>
          <w:sz w:val="22"/>
          <w:lang w:eastAsia="es-CO"/>
        </w:rPr>
        <w:t xml:space="preserve"> por lo que deben ser creadas por disposición o autorización de la ley, en los términos de los artículos 68 y 69 de la Ley 489 de 1998</w:t>
      </w:r>
      <w:r w:rsidRPr="00F1638D">
        <w:rPr>
          <w:rStyle w:val="Refdenotaalpie"/>
          <w:rFonts w:ascii="Arial" w:hAnsi="Arial" w:cs="Arial"/>
          <w:sz w:val="22"/>
          <w:lang w:eastAsia="es-CO"/>
        </w:rPr>
        <w:footnoteReference w:id="3"/>
      </w:r>
      <w:r w:rsidRPr="00F1638D">
        <w:rPr>
          <w:rFonts w:ascii="Arial" w:hAnsi="Arial" w:cs="Arial"/>
          <w:sz w:val="22"/>
          <w:lang w:eastAsia="es-CO"/>
        </w:rPr>
        <w:t xml:space="preserve">. </w:t>
      </w:r>
    </w:p>
    <w:p w14:paraId="260D8A2D" w14:textId="1B920051" w:rsidR="008C3318" w:rsidRPr="00F1638D" w:rsidRDefault="008C3318" w:rsidP="008C3318">
      <w:pPr>
        <w:spacing w:after="120" w:line="276" w:lineRule="auto"/>
        <w:ind w:firstLine="708"/>
        <w:jc w:val="both"/>
        <w:rPr>
          <w:rFonts w:ascii="Arial" w:hAnsi="Arial" w:cs="Arial"/>
          <w:sz w:val="22"/>
          <w:lang w:eastAsia="es-CO"/>
        </w:rPr>
      </w:pPr>
      <w:r w:rsidRPr="00F1638D">
        <w:rPr>
          <w:rFonts w:ascii="Arial" w:hAnsi="Arial" w:cs="Arial"/>
          <w:sz w:val="22"/>
          <w:lang w:eastAsia="es-CO"/>
        </w:rPr>
        <w:lastRenderedPageBreak/>
        <w:t>Sin embargo, en cuanto al régimen de contratación de las E</w:t>
      </w:r>
      <w:r w:rsidR="000858CA" w:rsidRPr="00F1638D">
        <w:rPr>
          <w:rFonts w:ascii="Arial" w:hAnsi="Arial" w:cs="Arial"/>
          <w:sz w:val="22"/>
          <w:lang w:eastAsia="es-CO"/>
        </w:rPr>
        <w:t>.</w:t>
      </w:r>
      <w:r w:rsidRPr="00F1638D">
        <w:rPr>
          <w:rFonts w:ascii="Arial" w:hAnsi="Arial" w:cs="Arial"/>
          <w:sz w:val="22"/>
          <w:lang w:eastAsia="es-CO"/>
        </w:rPr>
        <w:t>P</w:t>
      </w:r>
      <w:r w:rsidR="000858CA" w:rsidRPr="00F1638D">
        <w:rPr>
          <w:rFonts w:ascii="Arial" w:hAnsi="Arial" w:cs="Arial"/>
          <w:sz w:val="22"/>
          <w:lang w:eastAsia="es-CO"/>
        </w:rPr>
        <w:t>.</w:t>
      </w:r>
      <w:r w:rsidRPr="00F1638D">
        <w:rPr>
          <w:rFonts w:ascii="Arial" w:hAnsi="Arial" w:cs="Arial"/>
          <w:sz w:val="22"/>
          <w:lang w:eastAsia="es-CO"/>
        </w:rPr>
        <w:t>S</w:t>
      </w:r>
      <w:r w:rsidR="00280744" w:rsidRPr="00F1638D">
        <w:rPr>
          <w:rFonts w:ascii="Arial" w:hAnsi="Arial" w:cs="Arial"/>
          <w:sz w:val="22"/>
          <w:lang w:eastAsia="es-CO"/>
        </w:rPr>
        <w:t>.</w:t>
      </w:r>
      <w:r w:rsidRPr="00F1638D">
        <w:rPr>
          <w:rFonts w:ascii="Arial" w:hAnsi="Arial" w:cs="Arial"/>
          <w:sz w:val="22"/>
          <w:lang w:eastAsia="es-CO"/>
        </w:rPr>
        <w:t xml:space="preserve"> públicas existe una norma especial que regula su régimen de contratación, establecida en el artículo 45 de la Ley 1122 de 2007</w:t>
      </w:r>
      <w:r w:rsidRPr="00F1638D">
        <w:rPr>
          <w:rStyle w:val="Refdenotaalpie"/>
          <w:rFonts w:ascii="Arial" w:hAnsi="Arial" w:cs="Arial"/>
          <w:sz w:val="22"/>
          <w:lang w:eastAsia="es-CO"/>
        </w:rPr>
        <w:footnoteReference w:id="4"/>
      </w:r>
      <w:r w:rsidRPr="00F1638D">
        <w:rPr>
          <w:rFonts w:ascii="Arial" w:hAnsi="Arial" w:cs="Arial"/>
          <w:sz w:val="22"/>
          <w:lang w:eastAsia="es-CO"/>
        </w:rPr>
        <w:t xml:space="preserve">, </w:t>
      </w:r>
      <w:r w:rsidR="00825B92" w:rsidRPr="00F1638D">
        <w:rPr>
          <w:rFonts w:ascii="Arial" w:hAnsi="Arial" w:cs="Arial"/>
          <w:sz w:val="22"/>
          <w:lang w:eastAsia="es-CO"/>
        </w:rPr>
        <w:t>que</w:t>
      </w:r>
      <w:r w:rsidRPr="00F1638D">
        <w:rPr>
          <w:rFonts w:ascii="Arial" w:hAnsi="Arial" w:cs="Arial"/>
          <w:sz w:val="22"/>
          <w:lang w:eastAsia="es-CO"/>
        </w:rPr>
        <w:t xml:space="preserve"> les hace extensivo el régimen de contratación de las empresas sociales del Estado</w:t>
      </w:r>
      <w:r w:rsidR="002371B8" w:rsidRPr="00F1638D">
        <w:rPr>
          <w:rFonts w:ascii="Arial" w:hAnsi="Arial" w:cs="Arial"/>
          <w:sz w:val="22"/>
          <w:lang w:eastAsia="es-CO"/>
        </w:rPr>
        <w:t xml:space="preserve"> –E.S.E.–</w:t>
      </w:r>
      <w:r w:rsidRPr="00F1638D">
        <w:rPr>
          <w:rFonts w:ascii="Arial" w:hAnsi="Arial" w:cs="Arial"/>
          <w:sz w:val="22"/>
          <w:lang w:eastAsia="es-CO"/>
        </w:rPr>
        <w:t>, entidades cuya contratación, de conformidad con el artículo 195, numeral 6, está regida de manera prevalente por el derecho privado</w:t>
      </w:r>
      <w:r w:rsidRPr="00F1638D">
        <w:rPr>
          <w:rStyle w:val="Refdenotaalpie"/>
          <w:rFonts w:ascii="Arial" w:hAnsi="Arial" w:cs="Arial"/>
          <w:sz w:val="22"/>
          <w:lang w:eastAsia="es-CO"/>
        </w:rPr>
        <w:footnoteReference w:id="5"/>
      </w:r>
      <w:r w:rsidRPr="00F1638D">
        <w:rPr>
          <w:rFonts w:ascii="Arial" w:hAnsi="Arial" w:cs="Arial"/>
          <w:sz w:val="22"/>
          <w:lang w:eastAsia="es-CO"/>
        </w:rPr>
        <w:t>.</w:t>
      </w:r>
    </w:p>
    <w:p w14:paraId="707AAB0C" w14:textId="1D435575" w:rsidR="008C3318" w:rsidRPr="00F1638D" w:rsidRDefault="008C3318" w:rsidP="008C3318">
      <w:pPr>
        <w:spacing w:after="120" w:line="276" w:lineRule="auto"/>
        <w:ind w:firstLine="708"/>
        <w:jc w:val="both"/>
        <w:rPr>
          <w:rFonts w:ascii="Arial" w:hAnsi="Arial" w:cs="Arial"/>
          <w:sz w:val="22"/>
          <w:lang w:eastAsia="es-CO"/>
        </w:rPr>
      </w:pPr>
      <w:r w:rsidRPr="00F1638D">
        <w:rPr>
          <w:rFonts w:ascii="Arial" w:hAnsi="Arial" w:cs="Arial"/>
          <w:sz w:val="22"/>
          <w:lang w:eastAsia="es-CO"/>
        </w:rPr>
        <w:t>En cuanto a las E</w:t>
      </w:r>
      <w:r w:rsidR="000858CA" w:rsidRPr="00F1638D">
        <w:rPr>
          <w:rFonts w:ascii="Arial" w:hAnsi="Arial" w:cs="Arial"/>
          <w:sz w:val="22"/>
          <w:lang w:eastAsia="es-CO"/>
        </w:rPr>
        <w:t>.</w:t>
      </w:r>
      <w:r w:rsidRPr="00F1638D">
        <w:rPr>
          <w:rFonts w:ascii="Arial" w:hAnsi="Arial" w:cs="Arial"/>
          <w:sz w:val="22"/>
          <w:lang w:eastAsia="es-CO"/>
        </w:rPr>
        <w:t>P</w:t>
      </w:r>
      <w:r w:rsidR="000858CA" w:rsidRPr="00F1638D">
        <w:rPr>
          <w:rFonts w:ascii="Arial" w:hAnsi="Arial" w:cs="Arial"/>
          <w:sz w:val="22"/>
          <w:lang w:eastAsia="es-CO"/>
        </w:rPr>
        <w:t>.</w:t>
      </w:r>
      <w:r w:rsidRPr="00F1638D">
        <w:rPr>
          <w:rFonts w:ascii="Arial" w:hAnsi="Arial" w:cs="Arial"/>
          <w:sz w:val="22"/>
          <w:lang w:eastAsia="es-CO"/>
        </w:rPr>
        <w:t>S mixtas, estas son creadas como sociedades de economía mixta, de acuerdo con el artículo 97 de la Ley 489 de 1998</w:t>
      </w:r>
      <w:r w:rsidRPr="00F1638D">
        <w:rPr>
          <w:rStyle w:val="Refdenotaalpie"/>
          <w:rFonts w:ascii="Arial" w:hAnsi="Arial" w:cs="Arial"/>
          <w:sz w:val="22"/>
          <w:lang w:eastAsia="es-CO"/>
        </w:rPr>
        <w:footnoteReference w:id="6"/>
      </w:r>
      <w:r w:rsidRPr="00F1638D">
        <w:rPr>
          <w:rFonts w:ascii="Arial" w:hAnsi="Arial" w:cs="Arial"/>
          <w:sz w:val="22"/>
          <w:lang w:eastAsia="es-CO"/>
        </w:rPr>
        <w:t>. Este tipo de entidades</w:t>
      </w:r>
      <w:r w:rsidR="004D5CE7" w:rsidRPr="00F1638D">
        <w:rPr>
          <w:rFonts w:ascii="Arial" w:hAnsi="Arial" w:cs="Arial"/>
          <w:sz w:val="22"/>
          <w:lang w:eastAsia="es-CO"/>
        </w:rPr>
        <w:t>, bajo ciertos supuestos,</w:t>
      </w:r>
      <w:r w:rsidRPr="00F1638D">
        <w:rPr>
          <w:rFonts w:ascii="Arial" w:hAnsi="Arial" w:cs="Arial"/>
          <w:sz w:val="22"/>
          <w:lang w:eastAsia="es-CO"/>
        </w:rPr>
        <w:t xml:space="preserve"> </w:t>
      </w:r>
      <w:r w:rsidRPr="00F1638D">
        <w:rPr>
          <w:rFonts w:ascii="Arial" w:hAnsi="Arial" w:cs="Arial"/>
          <w:sz w:val="22"/>
        </w:rPr>
        <w:t>se encuentran exceptuadas de la aplicación del Estatuto General de Contratación de la Administración Pública, de conformidad con el artículo 14 de la Ley 1150 de 2007</w:t>
      </w:r>
      <w:r w:rsidR="00635F0F" w:rsidRPr="00F1638D">
        <w:rPr>
          <w:rFonts w:ascii="Arial" w:hAnsi="Arial" w:cs="Arial"/>
          <w:sz w:val="22"/>
        </w:rPr>
        <w:t>.</w:t>
      </w:r>
    </w:p>
    <w:p w14:paraId="2D00EF3C" w14:textId="3B322F30" w:rsidR="008C3318" w:rsidRPr="00F1638D" w:rsidRDefault="008C3318" w:rsidP="008C3318">
      <w:pPr>
        <w:spacing w:after="120" w:line="276" w:lineRule="auto"/>
        <w:ind w:firstLine="708"/>
        <w:jc w:val="both"/>
        <w:rPr>
          <w:rFonts w:ascii="Arial" w:hAnsi="Arial" w:cs="Arial"/>
          <w:sz w:val="22"/>
          <w:lang w:eastAsia="es-CO"/>
        </w:rPr>
      </w:pPr>
      <w:r w:rsidRPr="00F1638D">
        <w:rPr>
          <w:rFonts w:ascii="Arial" w:hAnsi="Arial" w:cs="Arial"/>
          <w:sz w:val="22"/>
          <w:lang w:eastAsia="es-CO"/>
        </w:rPr>
        <w:t>Por otro lado, respecto de las E</w:t>
      </w:r>
      <w:r w:rsidR="000858CA" w:rsidRPr="00F1638D">
        <w:rPr>
          <w:rFonts w:ascii="Arial" w:hAnsi="Arial" w:cs="Arial"/>
          <w:sz w:val="22"/>
          <w:lang w:eastAsia="es-CO"/>
        </w:rPr>
        <w:t>.</w:t>
      </w:r>
      <w:r w:rsidRPr="00F1638D">
        <w:rPr>
          <w:rFonts w:ascii="Arial" w:hAnsi="Arial" w:cs="Arial"/>
          <w:sz w:val="22"/>
          <w:lang w:eastAsia="es-CO"/>
        </w:rPr>
        <w:t>P</w:t>
      </w:r>
      <w:r w:rsidR="000858CA" w:rsidRPr="00F1638D">
        <w:rPr>
          <w:rFonts w:ascii="Arial" w:hAnsi="Arial" w:cs="Arial"/>
          <w:sz w:val="22"/>
          <w:lang w:eastAsia="es-CO"/>
        </w:rPr>
        <w:t>.</w:t>
      </w:r>
      <w:r w:rsidRPr="00F1638D">
        <w:rPr>
          <w:rFonts w:ascii="Arial" w:hAnsi="Arial" w:cs="Arial"/>
          <w:sz w:val="22"/>
          <w:lang w:eastAsia="es-CO"/>
        </w:rPr>
        <w:t>S privadas, el artículo 181 de la Ley 100 de 1993 permite que distintos tipos de entidades regidas por el derecho privado se constituyan como E</w:t>
      </w:r>
      <w:r w:rsidR="000858CA" w:rsidRPr="00F1638D">
        <w:rPr>
          <w:rFonts w:ascii="Arial" w:hAnsi="Arial" w:cs="Arial"/>
          <w:sz w:val="22"/>
          <w:lang w:eastAsia="es-CO"/>
        </w:rPr>
        <w:t>.</w:t>
      </w:r>
      <w:r w:rsidRPr="00F1638D">
        <w:rPr>
          <w:rFonts w:ascii="Arial" w:hAnsi="Arial" w:cs="Arial"/>
          <w:sz w:val="22"/>
          <w:lang w:eastAsia="es-CO"/>
        </w:rPr>
        <w:t>P</w:t>
      </w:r>
      <w:r w:rsidR="000858CA" w:rsidRPr="00F1638D">
        <w:rPr>
          <w:rFonts w:ascii="Arial" w:hAnsi="Arial" w:cs="Arial"/>
          <w:sz w:val="22"/>
          <w:lang w:eastAsia="es-CO"/>
        </w:rPr>
        <w:t>.</w:t>
      </w:r>
      <w:r w:rsidRPr="00F1638D">
        <w:rPr>
          <w:rFonts w:ascii="Arial" w:hAnsi="Arial" w:cs="Arial"/>
          <w:sz w:val="22"/>
          <w:lang w:eastAsia="es-CO"/>
        </w:rPr>
        <w:t>S. Así</w:t>
      </w:r>
      <w:r w:rsidR="00A572BA" w:rsidRPr="00F1638D">
        <w:rPr>
          <w:rFonts w:ascii="Arial" w:hAnsi="Arial" w:cs="Arial"/>
          <w:sz w:val="22"/>
          <w:lang w:eastAsia="es-CO"/>
        </w:rPr>
        <w:t>,</w:t>
      </w:r>
      <w:r w:rsidRPr="00F1638D">
        <w:rPr>
          <w:rFonts w:ascii="Arial" w:hAnsi="Arial" w:cs="Arial"/>
          <w:sz w:val="22"/>
          <w:lang w:eastAsia="es-CO"/>
        </w:rPr>
        <w:t xml:space="preserve"> por ejemplo</w:t>
      </w:r>
      <w:r w:rsidR="00A572BA" w:rsidRPr="00F1638D">
        <w:rPr>
          <w:rFonts w:ascii="Arial" w:hAnsi="Arial" w:cs="Arial"/>
          <w:sz w:val="22"/>
          <w:lang w:eastAsia="es-CO"/>
        </w:rPr>
        <w:t>,</w:t>
      </w:r>
      <w:r w:rsidRPr="00F1638D">
        <w:rPr>
          <w:rFonts w:ascii="Arial" w:hAnsi="Arial" w:cs="Arial"/>
          <w:sz w:val="22"/>
          <w:lang w:eastAsia="es-CO"/>
        </w:rPr>
        <w:t xml:space="preserve"> podrán hacerlo las asociaciones de cajas de compensación</w:t>
      </w:r>
      <w:r w:rsidRPr="00F1638D">
        <w:rPr>
          <w:rStyle w:val="Refdenotaalpie"/>
          <w:rFonts w:ascii="Arial" w:hAnsi="Arial" w:cs="Arial"/>
          <w:sz w:val="22"/>
          <w:lang w:eastAsia="es-CO"/>
        </w:rPr>
        <w:footnoteReference w:id="7"/>
      </w:r>
      <w:r w:rsidRPr="00F1638D">
        <w:rPr>
          <w:rFonts w:ascii="Arial" w:hAnsi="Arial" w:cs="Arial"/>
          <w:sz w:val="22"/>
          <w:lang w:eastAsia="es-CO"/>
        </w:rPr>
        <w:t xml:space="preserve"> –literal c)–, las sociedades comerciales y entidades de economía solidaria</w:t>
      </w:r>
      <w:r w:rsidRPr="00F1638D">
        <w:rPr>
          <w:rStyle w:val="Refdenotaalpie"/>
          <w:rFonts w:ascii="Arial" w:hAnsi="Arial" w:cs="Arial"/>
          <w:sz w:val="22"/>
          <w:lang w:eastAsia="es-CO"/>
        </w:rPr>
        <w:footnoteReference w:id="8"/>
      </w:r>
      <w:r w:rsidRPr="00F1638D">
        <w:rPr>
          <w:rFonts w:ascii="Arial" w:hAnsi="Arial" w:cs="Arial"/>
          <w:sz w:val="22"/>
          <w:lang w:eastAsia="es-CO"/>
        </w:rPr>
        <w:t xml:space="preserve"> que se creen con el </w:t>
      </w:r>
      <w:r w:rsidRPr="00F1638D">
        <w:rPr>
          <w:rFonts w:ascii="Arial" w:hAnsi="Arial" w:cs="Arial"/>
          <w:sz w:val="22"/>
          <w:lang w:eastAsia="es-CO"/>
        </w:rPr>
        <w:lastRenderedPageBreak/>
        <w:t>propósito de funcionar como E</w:t>
      </w:r>
      <w:r w:rsidR="000858CA" w:rsidRPr="00F1638D">
        <w:rPr>
          <w:rFonts w:ascii="Arial" w:hAnsi="Arial" w:cs="Arial"/>
          <w:sz w:val="22"/>
          <w:lang w:eastAsia="es-CO"/>
        </w:rPr>
        <w:t>.</w:t>
      </w:r>
      <w:r w:rsidRPr="00F1638D">
        <w:rPr>
          <w:rFonts w:ascii="Arial" w:hAnsi="Arial" w:cs="Arial"/>
          <w:sz w:val="22"/>
          <w:lang w:eastAsia="es-CO"/>
        </w:rPr>
        <w:t>P</w:t>
      </w:r>
      <w:r w:rsidR="000858CA" w:rsidRPr="00F1638D">
        <w:rPr>
          <w:rFonts w:ascii="Arial" w:hAnsi="Arial" w:cs="Arial"/>
          <w:sz w:val="22"/>
          <w:lang w:eastAsia="es-CO"/>
        </w:rPr>
        <w:t>.</w:t>
      </w:r>
      <w:r w:rsidRPr="00F1638D">
        <w:rPr>
          <w:rFonts w:ascii="Arial" w:hAnsi="Arial" w:cs="Arial"/>
          <w:sz w:val="22"/>
          <w:lang w:eastAsia="es-CO"/>
        </w:rPr>
        <w:t>S</w:t>
      </w:r>
      <w:r w:rsidR="008D2CD6" w:rsidRPr="00F1638D">
        <w:rPr>
          <w:rFonts w:ascii="Arial" w:hAnsi="Arial" w:cs="Arial"/>
          <w:sz w:val="22"/>
          <w:lang w:eastAsia="es-CO"/>
        </w:rPr>
        <w:t xml:space="preserve"> </w:t>
      </w:r>
      <w:r w:rsidRPr="00F1638D">
        <w:rPr>
          <w:rFonts w:ascii="Arial" w:hAnsi="Arial" w:cs="Arial"/>
          <w:sz w:val="22"/>
          <w:lang w:eastAsia="es-CO"/>
        </w:rPr>
        <w:t>–literal h–. Este tipo de entidades, en tanto son personas jurídicas de derecho privado, les corresponde contratar conforme a dicho régimen, sin perjuicio de que en virtud de sus calidades de sujetos miembros del sistema de seguridad social en salud deban aplicar las disposiciones sectoriales correspondientes.</w:t>
      </w:r>
    </w:p>
    <w:p w14:paraId="05611595" w14:textId="0F491B6F" w:rsidR="008C3318" w:rsidRPr="00F1638D" w:rsidRDefault="008C3318" w:rsidP="002A16F4">
      <w:pPr>
        <w:spacing w:after="120" w:line="276" w:lineRule="auto"/>
        <w:ind w:firstLine="708"/>
        <w:jc w:val="both"/>
        <w:rPr>
          <w:rFonts w:ascii="Arial" w:hAnsi="Arial" w:cs="Arial"/>
          <w:sz w:val="22"/>
          <w:lang w:eastAsia="es-CO"/>
        </w:rPr>
      </w:pPr>
      <w:r w:rsidRPr="00F1638D">
        <w:rPr>
          <w:rFonts w:ascii="Arial" w:hAnsi="Arial" w:cs="Arial"/>
          <w:sz w:val="22"/>
          <w:lang w:eastAsia="es-CO"/>
        </w:rPr>
        <w:t>Ahora bien, independientemente de la naturaleza jurídica concreta a la que obedezca una E</w:t>
      </w:r>
      <w:r w:rsidR="002A16F4" w:rsidRPr="00F1638D">
        <w:rPr>
          <w:rFonts w:ascii="Arial" w:hAnsi="Arial" w:cs="Arial"/>
          <w:sz w:val="22"/>
          <w:lang w:eastAsia="es-CO"/>
        </w:rPr>
        <w:t>.</w:t>
      </w:r>
      <w:r w:rsidRPr="00F1638D">
        <w:rPr>
          <w:rFonts w:ascii="Arial" w:hAnsi="Arial" w:cs="Arial"/>
          <w:sz w:val="22"/>
          <w:lang w:eastAsia="es-CO"/>
        </w:rPr>
        <w:t>P</w:t>
      </w:r>
      <w:r w:rsidR="002A16F4" w:rsidRPr="00F1638D">
        <w:rPr>
          <w:rFonts w:ascii="Arial" w:hAnsi="Arial" w:cs="Arial"/>
          <w:sz w:val="22"/>
          <w:lang w:eastAsia="es-CO"/>
        </w:rPr>
        <w:t>.</w:t>
      </w:r>
      <w:r w:rsidRPr="00F1638D">
        <w:rPr>
          <w:rFonts w:ascii="Arial" w:hAnsi="Arial" w:cs="Arial"/>
          <w:sz w:val="22"/>
          <w:lang w:eastAsia="es-CO"/>
        </w:rPr>
        <w:t>S, es claro que estas como actores del sistema general de seguridad social en salud</w:t>
      </w:r>
      <w:r w:rsidR="002A16F4" w:rsidRPr="00F1638D">
        <w:rPr>
          <w:rStyle w:val="Refdenotaalpie"/>
          <w:rFonts w:ascii="Arial" w:hAnsi="Arial" w:cs="Arial"/>
          <w:sz w:val="22"/>
          <w:lang w:eastAsia="es-CO"/>
        </w:rPr>
        <w:footnoteReference w:id="9"/>
      </w:r>
      <w:r w:rsidRPr="00F1638D">
        <w:rPr>
          <w:rFonts w:ascii="Arial" w:hAnsi="Arial" w:cs="Arial"/>
          <w:sz w:val="22"/>
          <w:lang w:eastAsia="es-CO"/>
        </w:rPr>
        <w:t>, administran recursos públicos. Así se desprende, en el caso de las E</w:t>
      </w:r>
      <w:r w:rsidR="002A16F4" w:rsidRPr="00F1638D">
        <w:rPr>
          <w:rFonts w:ascii="Arial" w:hAnsi="Arial" w:cs="Arial"/>
          <w:sz w:val="22"/>
          <w:lang w:eastAsia="es-CO"/>
        </w:rPr>
        <w:t>.</w:t>
      </w:r>
      <w:r w:rsidRPr="00F1638D">
        <w:rPr>
          <w:rFonts w:ascii="Arial" w:hAnsi="Arial" w:cs="Arial"/>
          <w:sz w:val="22"/>
          <w:lang w:eastAsia="es-CO"/>
        </w:rPr>
        <w:t>P</w:t>
      </w:r>
      <w:r w:rsidR="002A16F4" w:rsidRPr="00F1638D">
        <w:rPr>
          <w:rFonts w:ascii="Arial" w:hAnsi="Arial" w:cs="Arial"/>
          <w:sz w:val="22"/>
          <w:lang w:eastAsia="es-CO"/>
        </w:rPr>
        <w:t>.</w:t>
      </w:r>
      <w:r w:rsidRPr="00F1638D">
        <w:rPr>
          <w:rFonts w:ascii="Arial" w:hAnsi="Arial" w:cs="Arial"/>
          <w:sz w:val="22"/>
          <w:lang w:eastAsia="es-CO"/>
        </w:rPr>
        <w:t>S del régimen subsidiado</w:t>
      </w:r>
      <w:r w:rsidR="002A16F4" w:rsidRPr="00F1638D">
        <w:rPr>
          <w:rFonts w:ascii="Arial" w:hAnsi="Arial" w:cs="Arial"/>
          <w:sz w:val="22"/>
          <w:lang w:eastAsia="es-CO"/>
        </w:rPr>
        <w:t xml:space="preserve"> </w:t>
      </w:r>
      <w:r w:rsidRPr="00F1638D">
        <w:rPr>
          <w:rFonts w:ascii="Arial" w:hAnsi="Arial" w:cs="Arial"/>
          <w:sz w:val="22"/>
          <w:lang w:eastAsia="es-CO"/>
        </w:rPr>
        <w:t xml:space="preserve">del artículo 214 de la Ley 100 de 1993, modificado por el 11 de la Ley 1122 de 2007, en donde se establecen como fuentes de financiación recursos </w:t>
      </w:r>
      <w:r w:rsidRPr="00F1638D">
        <w:rPr>
          <w:rFonts w:ascii="Arial" w:hAnsi="Arial" w:cs="Arial"/>
          <w:sz w:val="22"/>
          <w:lang w:eastAsia="es-CO"/>
        </w:rPr>
        <w:lastRenderedPageBreak/>
        <w:t xml:space="preserve">transferidos por parte </w:t>
      </w:r>
      <w:r w:rsidR="008A1ED0" w:rsidRPr="00F1638D">
        <w:rPr>
          <w:rFonts w:ascii="Arial" w:hAnsi="Arial" w:cs="Arial"/>
          <w:sz w:val="22"/>
          <w:lang w:eastAsia="es-CO"/>
        </w:rPr>
        <w:t xml:space="preserve">de </w:t>
      </w:r>
      <w:r w:rsidRPr="00F1638D">
        <w:rPr>
          <w:rFonts w:ascii="Arial" w:hAnsi="Arial" w:cs="Arial"/>
          <w:sz w:val="22"/>
          <w:lang w:eastAsia="es-CO"/>
        </w:rPr>
        <w:t>entidades territoriales</w:t>
      </w:r>
      <w:r w:rsidR="00825B92" w:rsidRPr="00F1638D">
        <w:rPr>
          <w:rFonts w:ascii="Arial" w:hAnsi="Arial" w:cs="Arial"/>
          <w:sz w:val="22"/>
          <w:lang w:eastAsia="es-CO"/>
        </w:rPr>
        <w:t>,</w:t>
      </w:r>
      <w:r w:rsidRPr="00F1638D">
        <w:rPr>
          <w:rFonts w:ascii="Arial" w:hAnsi="Arial" w:cs="Arial"/>
          <w:sz w:val="22"/>
          <w:lang w:eastAsia="es-CO"/>
        </w:rPr>
        <w:t xml:space="preserve"> así como otros provenientes del Fondo de Solidaridad y Garantía.</w:t>
      </w:r>
    </w:p>
    <w:p w14:paraId="2A7BE3D0" w14:textId="40B92E7A" w:rsidR="00CA482A" w:rsidRPr="00F1638D" w:rsidRDefault="00CA482A" w:rsidP="00CA482A">
      <w:pPr>
        <w:tabs>
          <w:tab w:val="left" w:pos="426"/>
        </w:tabs>
        <w:spacing w:line="276" w:lineRule="auto"/>
        <w:jc w:val="both"/>
        <w:rPr>
          <w:rFonts w:ascii="Arial" w:eastAsia="Calibri" w:hAnsi="Arial" w:cs="Arial"/>
          <w:b/>
          <w:color w:val="000000" w:themeColor="text1"/>
          <w:sz w:val="22"/>
          <w:lang w:val="es-ES_tradnl"/>
        </w:rPr>
      </w:pPr>
      <w:bookmarkStart w:id="9" w:name="_Hlk69128905"/>
      <w:r w:rsidRPr="00F1638D">
        <w:rPr>
          <w:rFonts w:ascii="Arial" w:eastAsia="Calibri" w:hAnsi="Arial" w:cs="Arial"/>
          <w:b/>
          <w:color w:val="000000" w:themeColor="text1"/>
          <w:sz w:val="22"/>
          <w:lang w:val="es-ES_tradnl"/>
        </w:rPr>
        <w:t>2.</w:t>
      </w:r>
      <w:r w:rsidR="008D610D" w:rsidRPr="00F1638D">
        <w:rPr>
          <w:rFonts w:ascii="Arial" w:eastAsia="Calibri" w:hAnsi="Arial" w:cs="Arial"/>
          <w:b/>
          <w:color w:val="000000" w:themeColor="text1"/>
          <w:sz w:val="22"/>
          <w:lang w:val="es-ES_tradnl"/>
        </w:rPr>
        <w:t>2</w:t>
      </w:r>
      <w:r w:rsidRPr="00F1638D">
        <w:rPr>
          <w:rFonts w:ascii="Arial" w:eastAsia="Calibri" w:hAnsi="Arial" w:cs="Arial"/>
          <w:b/>
          <w:color w:val="000000" w:themeColor="text1"/>
          <w:sz w:val="22"/>
          <w:lang w:val="es-ES_tradnl"/>
        </w:rPr>
        <w:t>. Fundamento axiológico de la publicidad de la información oficial de la contratación estatal en el Sistema Electrónico para la Contratación Pública –SECOP–</w:t>
      </w:r>
    </w:p>
    <w:p w14:paraId="6DDF7774" w14:textId="77777777" w:rsidR="00CA482A" w:rsidRPr="00F1638D" w:rsidRDefault="00CA482A" w:rsidP="00CA482A">
      <w:pPr>
        <w:pStyle w:val="Prrafodelista"/>
        <w:spacing w:line="276" w:lineRule="auto"/>
        <w:ind w:left="0" w:firstLine="709"/>
        <w:jc w:val="both"/>
        <w:rPr>
          <w:rFonts w:ascii="Arial" w:eastAsia="Calibri" w:hAnsi="Arial" w:cs="Arial"/>
          <w:b/>
          <w:color w:val="000000" w:themeColor="text1"/>
          <w:sz w:val="22"/>
          <w:lang w:val="es-ES_tradnl"/>
        </w:rPr>
      </w:pPr>
    </w:p>
    <w:p w14:paraId="30F695A0" w14:textId="77777777" w:rsidR="00CA482A" w:rsidRPr="00F1638D" w:rsidRDefault="00CA482A" w:rsidP="00CA482A">
      <w:pPr>
        <w:spacing w:after="120" w:line="276" w:lineRule="auto"/>
        <w:jc w:val="both"/>
        <w:rPr>
          <w:rFonts w:ascii="Arial" w:eastAsia="Calibri" w:hAnsi="Arial" w:cs="Arial"/>
          <w:color w:val="000000" w:themeColor="text1"/>
          <w:sz w:val="22"/>
          <w:lang w:val="es-ES_tradnl"/>
        </w:rPr>
      </w:pPr>
      <w:r w:rsidRPr="00F1638D">
        <w:rPr>
          <w:rFonts w:ascii="Arial" w:eastAsia="Calibri" w:hAnsi="Arial" w:cs="Arial"/>
          <w:color w:val="000000" w:themeColor="text1"/>
          <w:sz w:val="22"/>
          <w:lang w:val="es-ES_tradnl"/>
        </w:rPr>
        <w:t xml:space="preserve">Uno de los postulados más importantes de un Estado social y democrático de derecho es el principio de </w:t>
      </w:r>
      <w:r w:rsidRPr="00F1638D">
        <w:rPr>
          <w:rFonts w:ascii="Arial" w:eastAsia="Calibri" w:hAnsi="Arial" w:cs="Arial"/>
          <w:i/>
          <w:iCs/>
          <w:color w:val="000000" w:themeColor="text1"/>
          <w:sz w:val="22"/>
          <w:lang w:val="es-ES_tradnl"/>
        </w:rPr>
        <w:t>publicidad</w:t>
      </w:r>
      <w:r w:rsidRPr="00F1638D">
        <w:rPr>
          <w:rFonts w:ascii="Arial" w:eastAsia="Calibri" w:hAnsi="Arial" w:cs="Arial"/>
          <w:color w:val="000000" w:themeColor="text1"/>
          <w:sz w:val="22"/>
          <w:lang w:val="es-ES_tradnl"/>
        </w:rPr>
        <w:t>, pues este permite que las actuaciones de las autoridades gocen de visibilidad. En tal sentido, la filosofía política explica que la democracia «[…] es idealmente el gobierno de un poder visible, es decir, el gobierno cuyos actos se realizan ante el público y bajo la supervisión de la opinión pública»</w:t>
      </w:r>
      <w:r w:rsidRPr="00F1638D">
        <w:rPr>
          <w:rStyle w:val="Refdenotaalpie"/>
          <w:rFonts w:ascii="Arial" w:eastAsia="Calibri" w:hAnsi="Arial" w:cs="Arial"/>
          <w:color w:val="000000" w:themeColor="text1"/>
          <w:sz w:val="22"/>
          <w:lang w:val="es-ES_tradnl"/>
        </w:rPr>
        <w:footnoteReference w:id="10"/>
      </w:r>
      <w:r w:rsidRPr="00F1638D">
        <w:rPr>
          <w:rFonts w:ascii="Arial" w:eastAsia="Calibri" w:hAnsi="Arial" w:cs="Arial"/>
          <w:color w:val="000000" w:themeColor="text1"/>
          <w:sz w:val="22"/>
          <w:lang w:val="es-ES_tradnl"/>
        </w:rPr>
        <w:t xml:space="preserve">. El secreto generalizado en el ejercicio del poder político constituye, por el contrario, una negación de la democracia, porque dificulta la supervisión de las autoridades por parte de la sociedad civil y establece una barrera para la participación ciudadana. </w:t>
      </w:r>
    </w:p>
    <w:p w14:paraId="7ED6F7F5" w14:textId="77777777" w:rsidR="00CA482A" w:rsidRPr="00F1638D" w:rsidRDefault="00CA482A" w:rsidP="00CA482A">
      <w:pPr>
        <w:spacing w:line="276" w:lineRule="auto"/>
        <w:ind w:firstLine="708"/>
        <w:jc w:val="both"/>
        <w:rPr>
          <w:rFonts w:ascii="Arial" w:eastAsia="Calibri" w:hAnsi="Arial" w:cs="Arial"/>
          <w:color w:val="000000" w:themeColor="text1"/>
          <w:sz w:val="22"/>
          <w:lang w:val="es-ES_tradnl"/>
        </w:rPr>
      </w:pPr>
      <w:r w:rsidRPr="00F1638D">
        <w:rPr>
          <w:rFonts w:ascii="Arial" w:eastAsia="Calibri" w:hAnsi="Arial" w:cs="Arial"/>
          <w:color w:val="000000" w:themeColor="text1"/>
          <w:sz w:val="22"/>
          <w:lang w:val="es-ES_tradnl"/>
        </w:rPr>
        <w:t>Inspirada en esta concepción axiológica, la Constitución Política de 1991 consagra en varios artículos la publicidad como un principio rector del Estado colombiano. Entre los más destacados, puede mencionarse el 209, que afirma que la publicidad es uno de los principios que fundamentan el ejercicio de la función administrativa y el 74, que consagra la garantía de acceso a los documentos públicos que no gocen de reserva –y esta, además, es excepcional, pues solo procede si existe causal constitucional o legal expresa–. En tal perspectiva, la Corte Constitucional ha señalado que el principio de publicidad es la garantía que tienen las personas de conocer las actuaciones judiciales y administrativas. De este modo, explica:</w:t>
      </w:r>
    </w:p>
    <w:p w14:paraId="17F3743B" w14:textId="77777777" w:rsidR="00CA482A" w:rsidRPr="00F1638D" w:rsidRDefault="00CA482A" w:rsidP="00CA482A">
      <w:pPr>
        <w:ind w:firstLine="709"/>
        <w:jc w:val="both"/>
        <w:rPr>
          <w:rFonts w:ascii="Arial" w:eastAsia="Calibri" w:hAnsi="Arial" w:cs="Arial"/>
          <w:color w:val="000000" w:themeColor="text1"/>
          <w:sz w:val="22"/>
          <w:lang w:val="es-ES_tradnl"/>
        </w:rPr>
      </w:pPr>
    </w:p>
    <w:p w14:paraId="71BEC995" w14:textId="77777777" w:rsidR="00CA482A" w:rsidRPr="00F1638D" w:rsidRDefault="00CA482A" w:rsidP="00CA482A">
      <w:pPr>
        <w:tabs>
          <w:tab w:val="left" w:pos="3885"/>
        </w:tabs>
        <w:spacing w:after="120"/>
        <w:ind w:left="709" w:right="709"/>
        <w:jc w:val="both"/>
        <w:rPr>
          <w:rFonts w:ascii="Arial" w:hAnsi="Arial" w:cs="Arial"/>
          <w:color w:val="000000" w:themeColor="text1"/>
          <w:sz w:val="21"/>
          <w:szCs w:val="21"/>
          <w:lang w:val="es-ES_tradnl"/>
        </w:rPr>
      </w:pPr>
      <w:r w:rsidRPr="00F1638D">
        <w:rPr>
          <w:rFonts w:ascii="Arial" w:hAnsi="Arial" w:cs="Arial"/>
          <w:color w:val="000000" w:themeColor="text1"/>
          <w:sz w:val="21"/>
          <w:szCs w:val="21"/>
          <w:lang w:val="es-ES_tradnl"/>
        </w:rPr>
        <w:t>El principio de publicidad se encuentra consagrado en el artículo 209 de la Constitución Política, que señala que la función administrativa está al servicio de los intereses generales y se desarrolla con fundamento entre otros, en el «principio de publicidad», el cual se evidencia en dos dimensiones.</w:t>
      </w:r>
    </w:p>
    <w:p w14:paraId="3F484447" w14:textId="77777777" w:rsidR="00CA482A" w:rsidRPr="00F1638D" w:rsidRDefault="00CA482A" w:rsidP="00CA482A">
      <w:pPr>
        <w:tabs>
          <w:tab w:val="left" w:pos="3885"/>
          <w:tab w:val="left" w:pos="8222"/>
        </w:tabs>
        <w:ind w:left="709" w:right="709"/>
        <w:jc w:val="both"/>
        <w:rPr>
          <w:rFonts w:ascii="Arial" w:hAnsi="Arial" w:cs="Arial"/>
          <w:color w:val="000000" w:themeColor="text1"/>
          <w:sz w:val="22"/>
          <w:lang w:val="es-ES_tradnl"/>
        </w:rPr>
      </w:pPr>
      <w:r w:rsidRPr="00F1638D">
        <w:rPr>
          <w:rFonts w:ascii="Arial" w:hAnsi="Arial" w:cs="Arial"/>
          <w:color w:val="000000" w:themeColor="text1"/>
          <w:sz w:val="21"/>
          <w:szCs w:val="21"/>
          <w:lang w:val="es-ES_tradnl"/>
        </w:rPr>
        <w:t xml:space="preserve">La primera de ellas, como el derecho que tienen las personas directamente involucradas, al conocimiento de las actuaciones judiciales y administrativas, la cual se concreta a través de los mecanismos de comunicación y la segunda, como el reconocimiento del derecho que tiene la comunidad de conocer las actuaciones de las </w:t>
      </w:r>
      <w:proofErr w:type="gramStart"/>
      <w:r w:rsidRPr="00F1638D">
        <w:rPr>
          <w:rFonts w:ascii="Arial" w:hAnsi="Arial" w:cs="Arial"/>
          <w:color w:val="000000" w:themeColor="text1"/>
          <w:sz w:val="21"/>
          <w:szCs w:val="21"/>
          <w:lang w:val="es-ES_tradnl"/>
        </w:rPr>
        <w:t>autoridades públicas</w:t>
      </w:r>
      <w:proofErr w:type="gramEnd"/>
      <w:r w:rsidRPr="00F1638D">
        <w:rPr>
          <w:rFonts w:ascii="Arial" w:hAnsi="Arial" w:cs="Arial"/>
          <w:color w:val="000000" w:themeColor="text1"/>
          <w:sz w:val="21"/>
          <w:szCs w:val="21"/>
          <w:lang w:val="es-ES_tradnl"/>
        </w:rPr>
        <w:t xml:space="preserve"> y, a través de ese conocimiento, a exigir que ellas se surtan conforme a la ley</w:t>
      </w:r>
      <w:r w:rsidRPr="00F1638D">
        <w:rPr>
          <w:rStyle w:val="Refdenotaalpie"/>
          <w:rFonts w:ascii="Arial" w:eastAsia="Calibri" w:hAnsi="Arial" w:cs="Arial"/>
          <w:color w:val="000000" w:themeColor="text1"/>
          <w:sz w:val="21"/>
          <w:szCs w:val="21"/>
          <w:lang w:val="es-ES_tradnl"/>
        </w:rPr>
        <w:footnoteReference w:id="11"/>
      </w:r>
      <w:r w:rsidRPr="00F1638D">
        <w:rPr>
          <w:rFonts w:ascii="Arial" w:eastAsia="Calibri" w:hAnsi="Arial" w:cs="Arial"/>
          <w:color w:val="000000" w:themeColor="text1"/>
          <w:sz w:val="21"/>
          <w:szCs w:val="21"/>
          <w:lang w:val="es-ES_tradnl"/>
        </w:rPr>
        <w:t>.</w:t>
      </w:r>
    </w:p>
    <w:p w14:paraId="5270280A" w14:textId="77777777" w:rsidR="00CA482A" w:rsidRPr="00F1638D" w:rsidRDefault="00CA482A" w:rsidP="00CA482A">
      <w:pPr>
        <w:spacing w:line="276" w:lineRule="auto"/>
        <w:ind w:right="709"/>
        <w:jc w:val="both"/>
        <w:rPr>
          <w:rFonts w:ascii="Arial" w:eastAsia="Calibri" w:hAnsi="Arial" w:cs="Arial"/>
          <w:color w:val="000000" w:themeColor="text1"/>
          <w:sz w:val="22"/>
          <w:lang w:val="es-ES_tradnl"/>
        </w:rPr>
      </w:pPr>
    </w:p>
    <w:p w14:paraId="33BCF614" w14:textId="77777777" w:rsidR="00CA482A" w:rsidRPr="00F1638D" w:rsidRDefault="00CA482A" w:rsidP="00CA482A">
      <w:pPr>
        <w:spacing w:line="276" w:lineRule="auto"/>
        <w:ind w:firstLine="709"/>
        <w:jc w:val="both"/>
        <w:rPr>
          <w:rFonts w:ascii="Arial" w:eastAsia="Calibri" w:hAnsi="Arial" w:cs="Arial"/>
          <w:color w:val="000000" w:themeColor="text1"/>
          <w:sz w:val="22"/>
          <w:lang w:val="es-ES_tradnl"/>
        </w:rPr>
      </w:pPr>
      <w:r w:rsidRPr="00F1638D">
        <w:rPr>
          <w:rFonts w:ascii="Arial" w:eastAsia="Calibri" w:hAnsi="Arial" w:cs="Arial"/>
          <w:color w:val="000000" w:themeColor="text1"/>
          <w:sz w:val="22"/>
          <w:lang w:val="es-ES_tradnl"/>
        </w:rPr>
        <w:t xml:space="preserve">El principio de publicidad impone a las autoridades administrativas el deber de dar a conocer sus actos, contratos y decisiones, para que se divulguen y eventualmente se controlen dichas actuaciones. Es por eso </w:t>
      </w:r>
      <w:proofErr w:type="gramStart"/>
      <w:r w:rsidRPr="00F1638D">
        <w:rPr>
          <w:rFonts w:ascii="Arial" w:eastAsia="Calibri" w:hAnsi="Arial" w:cs="Arial"/>
          <w:color w:val="000000" w:themeColor="text1"/>
          <w:sz w:val="22"/>
          <w:lang w:val="es-ES_tradnl"/>
        </w:rPr>
        <w:t>que</w:t>
      </w:r>
      <w:proofErr w:type="gramEnd"/>
      <w:r w:rsidRPr="00F1638D">
        <w:rPr>
          <w:rFonts w:ascii="Arial" w:eastAsia="Calibri" w:hAnsi="Arial" w:cs="Arial"/>
          <w:color w:val="000000" w:themeColor="text1"/>
          <w:sz w:val="22"/>
          <w:lang w:val="es-ES_tradnl"/>
        </w:rPr>
        <w:t xml:space="preserve">, en la contratación estatal, el literal c) del </w:t>
      </w:r>
      <w:r w:rsidRPr="00F1638D">
        <w:rPr>
          <w:rFonts w:ascii="Arial" w:eastAsia="Calibri" w:hAnsi="Arial" w:cs="Arial"/>
          <w:color w:val="000000" w:themeColor="text1"/>
          <w:sz w:val="22"/>
          <w:lang w:val="es-ES_tradnl"/>
        </w:rPr>
        <w:lastRenderedPageBreak/>
        <w:t>artículo 3 de la Ley 1150 de 2007 establece el Sistema Electrónico para la Contratación Pública –SECOP– como un mecanismo que «contará con la información oficial de la contratación realizada con dineros públicos, para lo cual establecerá los patrones a que haya lugar y se encargará de su difusión a través de canales electrónicos»</w:t>
      </w:r>
      <w:r w:rsidRPr="00F1638D">
        <w:rPr>
          <w:rStyle w:val="Refdenotaalpie"/>
          <w:rFonts w:ascii="Arial" w:eastAsia="Calibri" w:hAnsi="Arial" w:cs="Arial"/>
          <w:color w:val="000000" w:themeColor="text1"/>
          <w:sz w:val="22"/>
          <w:lang w:val="es-ES_tradnl"/>
        </w:rPr>
        <w:footnoteReference w:id="12"/>
      </w:r>
      <w:r w:rsidRPr="00F1638D">
        <w:rPr>
          <w:rFonts w:ascii="Arial" w:eastAsia="Calibri" w:hAnsi="Arial" w:cs="Arial"/>
          <w:color w:val="000000" w:themeColor="text1"/>
          <w:sz w:val="22"/>
          <w:lang w:val="es-ES_tradnl"/>
        </w:rPr>
        <w:t xml:space="preserve">. </w:t>
      </w:r>
    </w:p>
    <w:p w14:paraId="73392D10" w14:textId="77777777" w:rsidR="00CA482A" w:rsidRPr="00F1638D" w:rsidRDefault="00CA482A" w:rsidP="00CA482A">
      <w:pPr>
        <w:spacing w:before="120" w:line="276" w:lineRule="auto"/>
        <w:ind w:firstLine="709"/>
        <w:jc w:val="both"/>
        <w:rPr>
          <w:rFonts w:ascii="Arial" w:eastAsia="Calibri" w:hAnsi="Arial" w:cs="Arial"/>
          <w:color w:val="000000" w:themeColor="text1"/>
          <w:sz w:val="22"/>
          <w:lang w:val="es-ES_tradnl"/>
        </w:rPr>
      </w:pPr>
      <w:r w:rsidRPr="00F1638D">
        <w:rPr>
          <w:rFonts w:ascii="Arial" w:hAnsi="Arial" w:cs="Arial"/>
          <w:color w:val="000000" w:themeColor="text1"/>
          <w:sz w:val="22"/>
          <w:lang w:val="es-ES_tradnl"/>
        </w:rPr>
        <w:t>De otra parte, la Ley 1712 de 2014 –ley estatutaria que regula la transparencia y el derecho de acceso a la información y a los documentos públicos–, identifica como principios que orientan el derecho de acceso a la información pública, el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w:t>
      </w:r>
      <w:r w:rsidRPr="00F1638D">
        <w:rPr>
          <w:rStyle w:val="Refdenotaalpie"/>
          <w:rFonts w:ascii="Arial" w:hAnsi="Arial" w:cs="Arial"/>
          <w:color w:val="000000" w:themeColor="text1"/>
          <w:sz w:val="22"/>
          <w:lang w:val="es-ES_tradnl"/>
        </w:rPr>
        <w:footnoteReference w:id="13"/>
      </w:r>
      <w:r w:rsidRPr="00F1638D">
        <w:rPr>
          <w:rFonts w:ascii="Arial" w:hAnsi="Arial" w:cs="Arial"/>
          <w:color w:val="000000" w:themeColor="text1"/>
          <w:sz w:val="22"/>
          <w:lang w:val="es-ES_tradnl"/>
        </w:rPr>
        <w:t xml:space="preserve">. El principio de transparencia en la información alude al deber de los sujetos de proporcionar y facilitar el acceso a la misma en los términos más amplios posibles, y a través de los medios y procedimientos legales. </w:t>
      </w:r>
      <w:r w:rsidRPr="00F1638D">
        <w:rPr>
          <w:rFonts w:ascii="Arial" w:eastAsiaTheme="minorHAnsi" w:hAnsi="Arial" w:cs="Arial"/>
          <w:color w:val="000000" w:themeColor="text1"/>
          <w:sz w:val="22"/>
          <w:szCs w:val="22"/>
          <w:lang w:val="es-ES_tradnl" w:eastAsia="en-US"/>
        </w:rPr>
        <w:t>En el literal e) del artículo 9, la ley estatutaria citada establece dispone que los sujetos obligados, que son todas las entidades públicas</w:t>
      </w:r>
      <w:r w:rsidRPr="00F1638D">
        <w:rPr>
          <w:rStyle w:val="Refdenotaalpie"/>
          <w:rFonts w:ascii="Arial" w:eastAsiaTheme="minorHAnsi" w:hAnsi="Arial" w:cs="Arial"/>
          <w:color w:val="000000" w:themeColor="text1"/>
          <w:sz w:val="22"/>
          <w:szCs w:val="22"/>
          <w:lang w:val="es-ES_tradnl" w:eastAsia="en-US"/>
        </w:rPr>
        <w:footnoteReference w:id="14"/>
      </w:r>
      <w:r w:rsidRPr="00F1638D">
        <w:rPr>
          <w:rFonts w:ascii="Arial" w:eastAsiaTheme="minorHAnsi" w:hAnsi="Arial" w:cs="Arial"/>
          <w:color w:val="000000" w:themeColor="text1"/>
          <w:sz w:val="22"/>
          <w:szCs w:val="22"/>
          <w:lang w:val="es-ES_tradnl" w:eastAsia="en-US"/>
        </w:rPr>
        <w:t>, deben publicar la información relativa a su contratación. Esta obligación fue desarrollada por el Decreto Único Reglamentario 1081 de 2015</w:t>
      </w:r>
      <w:r w:rsidRPr="00F1638D">
        <w:rPr>
          <w:rStyle w:val="Refdenotaalpie"/>
          <w:rFonts w:ascii="Arial" w:eastAsiaTheme="minorHAnsi" w:hAnsi="Arial" w:cs="Arial"/>
          <w:color w:val="000000" w:themeColor="text1"/>
          <w:sz w:val="22"/>
          <w:szCs w:val="22"/>
          <w:lang w:val="es-ES_tradnl" w:eastAsia="en-US"/>
        </w:rPr>
        <w:footnoteReference w:id="15"/>
      </w:r>
      <w:r w:rsidRPr="00F1638D">
        <w:rPr>
          <w:rFonts w:ascii="Arial" w:eastAsiaTheme="minorHAnsi" w:hAnsi="Arial" w:cs="Arial"/>
          <w:color w:val="000000" w:themeColor="text1"/>
          <w:sz w:val="22"/>
          <w:szCs w:val="22"/>
          <w:lang w:val="es-ES_tradnl" w:eastAsia="en-US"/>
        </w:rPr>
        <w:t xml:space="preserve">, el cual dispuso que la publicación de la información </w:t>
      </w:r>
      <w:r w:rsidRPr="00F1638D">
        <w:rPr>
          <w:rFonts w:ascii="Arial" w:eastAsiaTheme="minorHAnsi" w:hAnsi="Arial" w:cs="Arial"/>
          <w:color w:val="000000" w:themeColor="text1"/>
          <w:sz w:val="22"/>
          <w:szCs w:val="22"/>
          <w:lang w:val="es-ES_tradnl" w:eastAsia="en-US"/>
        </w:rPr>
        <w:lastRenderedPageBreak/>
        <w:t>contractual de los sujetos obligados, que contratan con cargo a recursos públicos, debe hacerse en el Sistema Electrónico para la Contratación Pública ─</w:t>
      </w:r>
      <w:r w:rsidRPr="00F1638D">
        <w:rPr>
          <w:rFonts w:ascii="Arial" w:eastAsiaTheme="minorHAnsi" w:hAnsi="Arial" w:cs="Arial"/>
          <w:color w:val="000000" w:themeColor="text1"/>
          <w:sz w:val="22"/>
          <w:szCs w:val="22"/>
          <w:lang w:val="es-ES_tradnl" w:eastAsia="en-US"/>
        </w:rPr>
        <w:softHyphen/>
        <w:t xml:space="preserve"> </w:t>
      </w:r>
      <w:r w:rsidRPr="00F1638D">
        <w:rPr>
          <w:rFonts w:ascii="Arial" w:eastAsiaTheme="minorHAnsi" w:hAnsi="Arial" w:cs="Arial"/>
          <w:color w:val="000000" w:themeColor="text1"/>
          <w:sz w:val="22"/>
          <w:szCs w:val="22"/>
          <w:lang w:val="es-ES_tradnl" w:eastAsia="en-US"/>
        </w:rPr>
        <w:softHyphen/>
        <w:t>SECOP–.</w:t>
      </w:r>
    </w:p>
    <w:p w14:paraId="7382A9CF" w14:textId="77777777" w:rsidR="00CA482A" w:rsidRPr="00F1638D" w:rsidRDefault="00CA482A" w:rsidP="00CA482A">
      <w:pPr>
        <w:spacing w:before="120" w:line="276" w:lineRule="auto"/>
        <w:ind w:firstLine="709"/>
        <w:jc w:val="both"/>
        <w:rPr>
          <w:rFonts w:ascii="Arial" w:hAnsi="Arial" w:cs="Arial"/>
          <w:color w:val="000000" w:themeColor="text1"/>
          <w:sz w:val="22"/>
          <w:lang w:val="es-ES_tradnl"/>
        </w:rPr>
      </w:pPr>
      <w:r w:rsidRPr="00F1638D">
        <w:rPr>
          <w:rFonts w:ascii="Arial" w:hAnsi="Arial" w:cs="Arial"/>
          <w:color w:val="000000" w:themeColor="text1"/>
          <w:sz w:val="22"/>
          <w:lang w:val="es-ES_tradnl"/>
        </w:rPr>
        <w:t xml:space="preserve">Asimismo, de acuerdo con el literal g) del artículo 11 de la misma Ley, todos los destinatarios de la ley de transparencia deben garantizar la publicidad de «sus procedimientos, lineamientos, políticas en materia de adquisiciones y compras, así como todos los datos de adjudicación y ejecución de contratos, incluidos concursos y licitaciones», y esta información también debe estar en el SECOP. </w:t>
      </w:r>
      <w:r w:rsidRPr="00F1638D">
        <w:rPr>
          <w:rFonts w:ascii="Arial" w:eastAsia="Calibri" w:hAnsi="Arial" w:cs="Arial"/>
          <w:color w:val="000000" w:themeColor="text1"/>
          <w:sz w:val="22"/>
          <w:lang w:val="es-ES_tradnl"/>
        </w:rPr>
        <w:t>El derecho de acceso a la información pública o de interés público permite a toda persona, sin necesidad de acreditar calidad, interés o condición particular, conocer la existencia de información pública, acceder a la misma y difundirla o publicarla, según su interés</w:t>
      </w:r>
      <w:r w:rsidRPr="00F1638D">
        <w:rPr>
          <w:rStyle w:val="Refdenotaalpie"/>
          <w:rFonts w:ascii="Arial" w:eastAsia="Calibri" w:hAnsi="Arial" w:cs="Arial"/>
          <w:color w:val="000000" w:themeColor="text1"/>
          <w:sz w:val="22"/>
          <w:lang w:val="es-ES_tradnl"/>
        </w:rPr>
        <w:footnoteReference w:id="16"/>
      </w:r>
      <w:r w:rsidRPr="00F1638D">
        <w:rPr>
          <w:rFonts w:ascii="Arial" w:eastAsia="Calibri" w:hAnsi="Arial" w:cs="Arial"/>
          <w:color w:val="000000" w:themeColor="text1"/>
          <w:sz w:val="22"/>
          <w:lang w:val="es-ES_tradnl"/>
        </w:rPr>
        <w:t>.</w:t>
      </w:r>
    </w:p>
    <w:p w14:paraId="76B952B9" w14:textId="77777777" w:rsidR="00CA482A" w:rsidRPr="00F1638D" w:rsidRDefault="00CA482A" w:rsidP="00CA482A">
      <w:pPr>
        <w:spacing w:before="120" w:line="276" w:lineRule="auto"/>
        <w:ind w:firstLine="709"/>
        <w:jc w:val="both"/>
        <w:rPr>
          <w:rFonts w:ascii="Arial" w:hAnsi="Arial" w:cs="Arial"/>
          <w:color w:val="000000" w:themeColor="text1"/>
          <w:sz w:val="22"/>
          <w:lang w:val="es-ES_tradnl"/>
        </w:rPr>
      </w:pPr>
      <w:r w:rsidRPr="00F1638D">
        <w:rPr>
          <w:rFonts w:ascii="Arial" w:hAnsi="Arial" w:cs="Arial"/>
          <w:color w:val="000000" w:themeColor="text1"/>
          <w:sz w:val="22"/>
          <w:lang w:val="es-ES_tradnl"/>
        </w:rPr>
        <w:t>Para el año 2013, la Agencia Nacional de Contratación Pública – Colombia Compra Eficiente, mediante la Circular Externa No 1 del 21 de junio de 2013, recopilada en la Circular Externa Única, recordó a todas las entidades del Estado el deber de publicar oportunamente la información oficial de la contratación en el SECOP, sin distinción de su régimen jurídico, naturaleza jurídica o la pertenencia a una u otra rama del poder público</w:t>
      </w:r>
      <w:r w:rsidRPr="00F1638D">
        <w:rPr>
          <w:rStyle w:val="Refdenotaalpie"/>
          <w:rFonts w:ascii="Arial" w:hAnsi="Arial" w:cs="Arial"/>
          <w:color w:val="000000" w:themeColor="text1"/>
          <w:sz w:val="22"/>
          <w:lang w:val="es-ES_tradnl"/>
        </w:rPr>
        <w:footnoteReference w:id="17"/>
      </w:r>
      <w:r w:rsidRPr="00F1638D">
        <w:rPr>
          <w:rFonts w:ascii="Arial" w:hAnsi="Arial" w:cs="Arial"/>
          <w:color w:val="000000" w:themeColor="text1"/>
          <w:sz w:val="22"/>
          <w:lang w:val="es-ES_tradnl"/>
        </w:rPr>
        <w:t>. Este deber, como se verá más adelante, permanece vigente, incluso con el auto del 25 de febrero de 2021. Además, la Circular Externa Única, en el numeral 1.1., estableció, de manera enunciativa, que deben publicar en el SECOP: «2. Las entidades del Estado que tienen un régimen especial de contratación, siempre y cuando el contrato ejecute o tenga como fuente de financiación dineros públicos, sin importar su proporción, a través del módulo [Régimen Especial], de acuerdo con lo establecido en su propio manual de contratación».</w:t>
      </w:r>
    </w:p>
    <w:p w14:paraId="3EA76C08" w14:textId="77777777" w:rsidR="00CA482A" w:rsidRPr="00F1638D" w:rsidRDefault="00CA482A" w:rsidP="00CA482A">
      <w:pPr>
        <w:spacing w:before="120" w:line="276" w:lineRule="auto"/>
        <w:ind w:firstLine="709"/>
        <w:jc w:val="both"/>
        <w:rPr>
          <w:rFonts w:ascii="Arial" w:hAnsi="Arial" w:cs="Arial"/>
          <w:color w:val="000000" w:themeColor="text1"/>
          <w:sz w:val="22"/>
          <w:lang w:val="es-ES_tradnl"/>
        </w:rPr>
      </w:pPr>
      <w:r w:rsidRPr="00F1638D">
        <w:rPr>
          <w:rFonts w:ascii="Arial" w:hAnsi="Arial" w:cs="Arial"/>
          <w:color w:val="000000" w:themeColor="text1"/>
          <w:sz w:val="22"/>
          <w:lang w:val="es-ES_tradnl"/>
        </w:rPr>
        <w:t>El debate sobre la obligatoriedad o no de publicar en el SECOP, para las entidades con régimen especial de contratación, había sido definido, al menos de manera preliminar, por el Consejo de Estado. En este sentido, la Sección Tercera, Subsección C, en el Auto del 14 de agosto de 2017</w:t>
      </w:r>
      <w:r w:rsidRPr="00F1638D">
        <w:rPr>
          <w:rStyle w:val="Refdenotaalpie"/>
          <w:rFonts w:ascii="Arial" w:hAnsi="Arial" w:cs="Arial"/>
          <w:color w:val="000000" w:themeColor="text1"/>
          <w:sz w:val="22"/>
          <w:lang w:val="es-ES_tradnl"/>
        </w:rPr>
        <w:footnoteReference w:id="18"/>
      </w:r>
      <w:r w:rsidRPr="00F1638D">
        <w:rPr>
          <w:rFonts w:ascii="Arial" w:hAnsi="Arial" w:cs="Arial"/>
          <w:color w:val="000000" w:themeColor="text1"/>
          <w:sz w:val="22"/>
          <w:lang w:val="es-ES_tradnl"/>
        </w:rPr>
        <w:t>, expresó que la obligación prevista en la Circular Externa No. 1 se ajusta a la normativa superior, en los siguientes términos:</w:t>
      </w:r>
    </w:p>
    <w:p w14:paraId="37E84D3E" w14:textId="77777777" w:rsidR="00CA482A" w:rsidRPr="00F1638D" w:rsidRDefault="00CA482A" w:rsidP="00CA482A">
      <w:pPr>
        <w:spacing w:line="276" w:lineRule="auto"/>
        <w:jc w:val="both"/>
        <w:rPr>
          <w:rFonts w:ascii="Arial" w:hAnsi="Arial" w:cs="Arial"/>
          <w:color w:val="000000" w:themeColor="text1"/>
          <w:sz w:val="22"/>
          <w:lang w:val="es-ES_tradnl"/>
        </w:rPr>
      </w:pPr>
    </w:p>
    <w:p w14:paraId="65E8114C" w14:textId="77777777" w:rsidR="00CA482A" w:rsidRPr="00F1638D" w:rsidRDefault="00CA482A" w:rsidP="00CA482A">
      <w:pPr>
        <w:tabs>
          <w:tab w:val="left" w:pos="3885"/>
        </w:tabs>
        <w:spacing w:after="120"/>
        <w:ind w:left="709" w:right="709"/>
        <w:jc w:val="both"/>
        <w:rPr>
          <w:rFonts w:ascii="Arial" w:hAnsi="Arial" w:cs="Arial"/>
          <w:color w:val="000000" w:themeColor="text1"/>
          <w:sz w:val="21"/>
          <w:szCs w:val="21"/>
          <w:lang w:val="es-ES_tradnl"/>
        </w:rPr>
      </w:pPr>
      <w:r w:rsidRPr="00F1638D">
        <w:rPr>
          <w:rFonts w:ascii="Arial" w:hAnsi="Arial" w:cs="Arial"/>
          <w:color w:val="000000" w:themeColor="text1"/>
          <w:sz w:val="21"/>
          <w:szCs w:val="21"/>
          <w:lang w:val="es-ES_tradnl"/>
        </w:rPr>
        <w:lastRenderedPageBreak/>
        <w:t>[…] resulta razonable concluir, en esta oportunidad, que en virtud del deber de información prescrito en el literal c) del artículo 3 o de la Ley 1150 de 2007 los sujetos obligados bajo tal norma [todos los que realizan contratación con dineros públicos] deben suministrar información sobre su contratación en términos veraces, auténticos y completos en el sistema electrónico SECOP, lo que incluye, entonces, todo acto que sea expresión de ejercicio o despliegue de actividad contractual.</w:t>
      </w:r>
    </w:p>
    <w:p w14:paraId="12EC7F48" w14:textId="77777777" w:rsidR="00CA482A" w:rsidRPr="00F1638D" w:rsidRDefault="00CA482A" w:rsidP="00CA482A">
      <w:pPr>
        <w:tabs>
          <w:tab w:val="left" w:pos="3885"/>
        </w:tabs>
        <w:ind w:left="709" w:right="709"/>
        <w:jc w:val="both"/>
        <w:rPr>
          <w:rFonts w:ascii="Arial" w:hAnsi="Arial" w:cs="Arial"/>
          <w:color w:val="000000" w:themeColor="text1"/>
          <w:sz w:val="21"/>
          <w:szCs w:val="21"/>
          <w:lang w:val="es-ES_tradnl"/>
        </w:rPr>
      </w:pPr>
      <w:r w:rsidRPr="00F1638D">
        <w:rPr>
          <w:rFonts w:ascii="Arial" w:hAnsi="Arial" w:cs="Arial"/>
          <w:color w:val="000000" w:themeColor="text1"/>
          <w:sz w:val="21"/>
          <w:szCs w:val="21"/>
          <w:lang w:val="es-ES_tradnl"/>
        </w:rPr>
        <w:t>11.5. ─Y es que, si se quiere en términos más detallados el literal c) del artículo 3o de la Ley en comento responde claramente las siguientes inquietudes: ¿Quiénes están obligados? los que realizan contratación con dineros públicos; ¿</w:t>
      </w:r>
      <w:proofErr w:type="gramStart"/>
      <w:r w:rsidRPr="00F1638D">
        <w:rPr>
          <w:rFonts w:ascii="Arial" w:hAnsi="Arial" w:cs="Arial"/>
          <w:color w:val="000000" w:themeColor="text1"/>
          <w:sz w:val="21"/>
          <w:szCs w:val="21"/>
          <w:lang w:val="es-ES_tradnl"/>
        </w:rPr>
        <w:t>en razón de</w:t>
      </w:r>
      <w:proofErr w:type="gramEnd"/>
      <w:r w:rsidRPr="00F1638D">
        <w:rPr>
          <w:rFonts w:ascii="Arial" w:hAnsi="Arial" w:cs="Arial"/>
          <w:color w:val="000000" w:themeColor="text1"/>
          <w:sz w:val="21"/>
          <w:szCs w:val="21"/>
          <w:lang w:val="es-ES_tradnl"/>
        </w:rPr>
        <w:t xml:space="preserve"> qué están obligados? En razón al manejo de tales recursos públicos y no por razón diferente; ¿Cuál es el límite o la extensión de ese deber? Única y exclusivamente comprende la información relativa a lo que sea objeto de contratación con recursos públicos, se excluyen de allí la que se realice con otras fuentes. ¿Dónde se debe surtir ese deber de información? Por conducto del sistema electrónico SECOP.</w:t>
      </w:r>
    </w:p>
    <w:p w14:paraId="15DBAB80" w14:textId="77777777" w:rsidR="00CA482A" w:rsidRPr="00F1638D" w:rsidRDefault="00CA482A" w:rsidP="00CA482A">
      <w:pPr>
        <w:tabs>
          <w:tab w:val="left" w:pos="3885"/>
        </w:tabs>
        <w:spacing w:after="120"/>
        <w:ind w:left="709" w:right="709"/>
        <w:jc w:val="both"/>
        <w:rPr>
          <w:rFonts w:ascii="Arial" w:hAnsi="Arial" w:cs="Arial"/>
          <w:color w:val="000000" w:themeColor="text1"/>
          <w:sz w:val="21"/>
          <w:szCs w:val="21"/>
          <w:lang w:val="es-ES_tradnl"/>
        </w:rPr>
      </w:pPr>
      <w:r w:rsidRPr="00F1638D">
        <w:rPr>
          <w:rFonts w:ascii="Arial" w:hAnsi="Arial" w:cs="Arial"/>
          <w:color w:val="000000" w:themeColor="text1"/>
          <w:sz w:val="21"/>
          <w:szCs w:val="21"/>
          <w:lang w:val="es-ES_tradnl"/>
        </w:rPr>
        <w:t>[…]</w:t>
      </w:r>
    </w:p>
    <w:p w14:paraId="274F05C6" w14:textId="77777777" w:rsidR="00CA482A" w:rsidRPr="00F1638D" w:rsidRDefault="00CA482A" w:rsidP="00CA482A">
      <w:pPr>
        <w:tabs>
          <w:tab w:val="left" w:pos="3885"/>
        </w:tabs>
        <w:ind w:left="709" w:right="709"/>
        <w:jc w:val="both"/>
        <w:rPr>
          <w:rFonts w:ascii="Arial" w:hAnsi="Arial" w:cs="Arial"/>
          <w:color w:val="000000" w:themeColor="text1"/>
          <w:sz w:val="21"/>
          <w:szCs w:val="21"/>
          <w:lang w:val="es-ES_tradnl"/>
        </w:rPr>
      </w:pPr>
      <w:r w:rsidRPr="00F1638D">
        <w:rPr>
          <w:rFonts w:ascii="Arial" w:hAnsi="Arial" w:cs="Arial"/>
          <w:color w:val="000000" w:themeColor="text1"/>
          <w:sz w:val="21"/>
          <w:szCs w:val="21"/>
          <w:lang w:val="es-ES_tradnl"/>
        </w:rPr>
        <w:t>Así, lo que resulta también razonable afirmar es que el aludido deber de informar ya se encontraba bien dispuesto y definido desde el precepto legal de 2007, pues del texto del inciso de marras se sabe qué, quién y cómo se debe satisfacer ese deber y no surgió, como parece anotarlo la Fundación, con la expedición de la Circular Externa contra la cual se promueve este juicio contencioso de legalidad. Y, agrega este Despacho, este deber vino a ser reiterado [no creado] en la Ley 1712 de 2014</w:t>
      </w:r>
      <w:r w:rsidRPr="00F1638D">
        <w:rPr>
          <w:rStyle w:val="Refdenotaalpie"/>
          <w:rFonts w:ascii="Arial" w:hAnsi="Arial" w:cs="Arial"/>
          <w:color w:val="000000" w:themeColor="text1"/>
          <w:sz w:val="21"/>
          <w:szCs w:val="21"/>
          <w:lang w:val="es-ES_tradnl"/>
        </w:rPr>
        <w:footnoteReference w:id="19"/>
      </w:r>
      <w:r w:rsidRPr="00F1638D">
        <w:rPr>
          <w:rFonts w:ascii="Arial" w:hAnsi="Arial" w:cs="Arial"/>
          <w:color w:val="000000" w:themeColor="text1"/>
          <w:sz w:val="21"/>
          <w:szCs w:val="21"/>
          <w:lang w:val="es-ES_tradnl"/>
        </w:rPr>
        <w:t>.</w:t>
      </w:r>
    </w:p>
    <w:p w14:paraId="1D9D4038" w14:textId="77777777" w:rsidR="00CA482A" w:rsidRPr="00F1638D" w:rsidRDefault="00CA482A" w:rsidP="00CA482A">
      <w:pPr>
        <w:tabs>
          <w:tab w:val="left" w:pos="3885"/>
        </w:tabs>
        <w:spacing w:line="276" w:lineRule="auto"/>
        <w:ind w:left="709" w:right="709"/>
        <w:jc w:val="both"/>
        <w:rPr>
          <w:rFonts w:ascii="Arial" w:eastAsia="Calibri" w:hAnsi="Arial" w:cs="Arial"/>
          <w:color w:val="000000" w:themeColor="text1"/>
          <w:sz w:val="22"/>
          <w:lang w:val="es-ES_tradnl"/>
        </w:rPr>
      </w:pPr>
    </w:p>
    <w:p w14:paraId="34B55C2B" w14:textId="77777777" w:rsidR="00CA482A" w:rsidRPr="00F1638D" w:rsidRDefault="00CA482A" w:rsidP="00CA482A">
      <w:pPr>
        <w:spacing w:line="276" w:lineRule="auto"/>
        <w:ind w:firstLine="708"/>
        <w:jc w:val="both"/>
        <w:rPr>
          <w:rFonts w:ascii="Arial" w:hAnsi="Arial" w:cs="Arial"/>
          <w:color w:val="000000" w:themeColor="text1"/>
          <w:sz w:val="22"/>
          <w:lang w:val="es-ES_tradnl"/>
        </w:rPr>
      </w:pPr>
      <w:r w:rsidRPr="00F1638D">
        <w:rPr>
          <w:rFonts w:ascii="Arial" w:hAnsi="Arial" w:cs="Arial"/>
          <w:color w:val="000000" w:themeColor="text1"/>
          <w:sz w:val="22"/>
          <w:lang w:val="es-ES_tradnl"/>
        </w:rPr>
        <w:t xml:space="preserve">Adicionalmente, la publicación de la información contractual oficial no se determina por la naturaleza de la entidad ejecutora ─pública o privada─, ni por el régimen sustantivo contractual que aplique, sea la Ley 80 de 1993 o un régimen exceptuado. En particular, sobre el deber de publicidad de las entidades con régimen especial, el Consejo de Estado sostuvo: </w:t>
      </w:r>
    </w:p>
    <w:p w14:paraId="2C9D9D76" w14:textId="77777777" w:rsidR="00CA482A" w:rsidRPr="00F1638D" w:rsidRDefault="00CA482A" w:rsidP="00CA482A">
      <w:pPr>
        <w:ind w:leftChars="709" w:left="1702" w:right="709" w:firstLine="2"/>
        <w:jc w:val="both"/>
        <w:rPr>
          <w:rFonts w:ascii="Arial" w:hAnsi="Arial" w:cs="Arial"/>
          <w:color w:val="000000" w:themeColor="text1"/>
          <w:sz w:val="21"/>
          <w:szCs w:val="21"/>
          <w:lang w:val="es-ES_tradnl"/>
        </w:rPr>
      </w:pPr>
    </w:p>
    <w:p w14:paraId="35AE886B" w14:textId="77777777" w:rsidR="00CA482A" w:rsidRPr="00F1638D" w:rsidRDefault="00CA482A" w:rsidP="00CA482A">
      <w:pPr>
        <w:ind w:left="709" w:right="709"/>
        <w:jc w:val="both"/>
        <w:rPr>
          <w:rFonts w:ascii="Arial" w:hAnsi="Arial" w:cs="Arial"/>
          <w:color w:val="000000" w:themeColor="text1"/>
          <w:sz w:val="21"/>
          <w:szCs w:val="21"/>
          <w:lang w:val="es-ES_tradnl"/>
        </w:rPr>
      </w:pPr>
      <w:r w:rsidRPr="00F1638D">
        <w:rPr>
          <w:rFonts w:ascii="Arial" w:hAnsi="Arial" w:cs="Arial"/>
          <w:color w:val="000000" w:themeColor="text1"/>
          <w:sz w:val="21"/>
          <w:szCs w:val="21"/>
          <w:lang w:val="es-ES_tradnl"/>
        </w:rPr>
        <w:t>Por consiguiente, otra conclusión natural de lo que se viene de decir es que la exigibilidad prevista en el literal c) del artículo 3° de la Ley 1150 de 2007 y aquella reflejada en la Circular Externa sobre deber de informar no alteran ni trastocan el régimen jurídico contractual, por la potísima razón que lo único que impone o carga a cuenta de los sujetos obligados es hacer público, publicitar, reportar, informar ciertos asuntos específicos: la completa actividad contractual que hayan ejecutado con cargo a tales recursos públicos, de donde se desprende que no se estructura ese deber informativo en relación a los negocios que celebren con cargo a recursos de otra índole</w:t>
      </w:r>
      <w:r w:rsidRPr="00F1638D">
        <w:rPr>
          <w:rStyle w:val="Refdenotaalpie"/>
          <w:rFonts w:ascii="Arial" w:hAnsi="Arial" w:cs="Arial"/>
          <w:color w:val="000000" w:themeColor="text1"/>
          <w:sz w:val="21"/>
          <w:szCs w:val="21"/>
          <w:lang w:val="es-ES_tradnl"/>
        </w:rPr>
        <w:footnoteReference w:id="20"/>
      </w:r>
      <w:r w:rsidRPr="00F1638D">
        <w:rPr>
          <w:rFonts w:ascii="Arial" w:hAnsi="Arial" w:cs="Arial"/>
          <w:color w:val="000000" w:themeColor="text1"/>
          <w:sz w:val="21"/>
          <w:szCs w:val="21"/>
          <w:lang w:val="es-ES_tradnl"/>
        </w:rPr>
        <w:t>.</w:t>
      </w:r>
    </w:p>
    <w:p w14:paraId="03B42E77" w14:textId="77777777" w:rsidR="00CA482A" w:rsidRPr="00F1638D" w:rsidRDefault="00CA482A" w:rsidP="00CA482A">
      <w:pPr>
        <w:spacing w:line="276" w:lineRule="auto"/>
        <w:ind w:leftChars="709" w:left="1702" w:right="709"/>
        <w:jc w:val="both"/>
        <w:rPr>
          <w:rFonts w:ascii="Arial" w:hAnsi="Arial" w:cs="Arial"/>
          <w:color w:val="000000" w:themeColor="text1"/>
          <w:sz w:val="21"/>
          <w:szCs w:val="21"/>
          <w:lang w:val="es-ES_tradnl"/>
        </w:rPr>
      </w:pPr>
    </w:p>
    <w:p w14:paraId="32674A8C" w14:textId="687CAF1E" w:rsidR="00CA482A" w:rsidRPr="00F1638D" w:rsidRDefault="00CA482A" w:rsidP="00F1638D">
      <w:pPr>
        <w:spacing w:after="120" w:line="276" w:lineRule="auto"/>
        <w:ind w:firstLine="709"/>
        <w:jc w:val="both"/>
        <w:rPr>
          <w:rFonts w:ascii="Arial" w:hAnsi="Arial" w:cs="Arial"/>
          <w:color w:val="000000" w:themeColor="text1"/>
          <w:sz w:val="22"/>
          <w:lang w:val="es-ES_tradnl"/>
        </w:rPr>
      </w:pPr>
      <w:r w:rsidRPr="00F1638D">
        <w:rPr>
          <w:rFonts w:ascii="Arial" w:hAnsi="Arial" w:cs="Arial"/>
          <w:color w:val="000000" w:themeColor="text1"/>
          <w:sz w:val="22"/>
          <w:lang w:val="es-ES_tradnl"/>
        </w:rPr>
        <w:t>Nótese, entonces, que en ese momento el Consejo de Estado asumió como criterio para determinar la obligatoriedad de publicar en el SECOP que la contratación se realizara con recursos públicos, conclusión que se fundamenta en el literal c) del artículo 3 de la Ley 1150 de 2007. Así, la decisión judicial citada refuerza la obligación de publicar en el SECOP, mandato que además está expresamente consagrado en las Leyes 1150 de 2007, 1712 de 2014 y la Circular Externa Única.</w:t>
      </w:r>
    </w:p>
    <w:p w14:paraId="5779C6D6" w14:textId="54D92DC3" w:rsidR="00385909" w:rsidRPr="00F1638D" w:rsidRDefault="00385909" w:rsidP="00385909">
      <w:pPr>
        <w:spacing w:before="120" w:line="276" w:lineRule="auto"/>
        <w:ind w:firstLine="709"/>
        <w:jc w:val="both"/>
        <w:rPr>
          <w:rFonts w:ascii="Arial" w:eastAsia="Calibri" w:hAnsi="Arial" w:cs="Arial"/>
          <w:color w:val="000000"/>
          <w:sz w:val="22"/>
          <w:szCs w:val="22"/>
          <w:lang w:val="es-ES_tradnl"/>
        </w:rPr>
      </w:pPr>
      <w:r w:rsidRPr="00F1638D">
        <w:rPr>
          <w:rFonts w:ascii="Arial" w:hAnsi="Arial" w:cs="Arial"/>
          <w:color w:val="000000" w:themeColor="text1"/>
          <w:sz w:val="22"/>
          <w:lang w:val="es-ES_tradnl"/>
        </w:rPr>
        <w:t xml:space="preserve">De otro lado, </w:t>
      </w:r>
      <w:bookmarkStart w:id="10" w:name="_Hlk98517564"/>
      <w:r w:rsidRPr="00F1638D">
        <w:rPr>
          <w:rFonts w:ascii="Arial" w:eastAsia="Calibri" w:hAnsi="Arial" w:cs="Arial"/>
          <w:color w:val="000000"/>
          <w:sz w:val="22"/>
          <w:szCs w:val="22"/>
          <w:lang w:val="es-ES_tradnl"/>
        </w:rPr>
        <w:t>el 18 de enero del año en curso se promulgó la Ley 2195 de 2022. Según lo establece su artículo 1, esta Ley «</w:t>
      </w:r>
      <w:r w:rsidRPr="00F1638D">
        <w:rPr>
          <w:rFonts w:ascii="Arial" w:hAnsi="Arial" w:cs="Arial"/>
          <w:sz w:val="22"/>
          <w:szCs w:val="22"/>
          <w:lang w:val="es-ES_tradnl"/>
        </w:rPr>
        <w:t xml:space="preserve">[…] </w:t>
      </w:r>
      <w:r w:rsidRPr="00F1638D">
        <w:rPr>
          <w:rFonts w:ascii="Arial" w:eastAsia="Calibri" w:hAnsi="Arial" w:cs="Arial"/>
          <w:color w:val="000000"/>
          <w:sz w:val="22"/>
          <w:szCs w:val="22"/>
          <w:lang w:val="es-ES_tradnl"/>
        </w:rPr>
        <w:t xml:space="preserve">tiene por objeto adoptar disposiciones tendientes a prevenir los actos de corrupción, a reforzar la articulación y coordinación de las entidades del Estado y a recuperar los daños ocasionados por dichos actos con el fin de asegurar promover la cultura de la legalidad e integridad y recuperar la confianza ciudadana y el respeto por lo público». Dentro del capítulo VIII de esta Ley, que lleva por título «Disposiciones en materia contractual para la moralización y la transparencia», se ubican los artículos 50 al 58, que, en su conjunto, regulan los siguientes aspectos: i) el registro de la contabilidad, por parte de los contratistas del Estado obligados a ello, que ejecuten recursos públicos –artículo 50–, </w:t>
      </w:r>
      <w:proofErr w:type="spellStart"/>
      <w:r w:rsidRPr="00F1638D">
        <w:rPr>
          <w:rFonts w:ascii="Arial" w:eastAsia="Calibri" w:hAnsi="Arial" w:cs="Arial"/>
          <w:color w:val="000000"/>
          <w:sz w:val="22"/>
          <w:szCs w:val="22"/>
          <w:lang w:val="es-ES_tradnl"/>
        </w:rPr>
        <w:t>ii</w:t>
      </w:r>
      <w:proofErr w:type="spellEnd"/>
      <w:r w:rsidRPr="00F1638D">
        <w:rPr>
          <w:rFonts w:ascii="Arial" w:eastAsia="Calibri" w:hAnsi="Arial" w:cs="Arial"/>
          <w:color w:val="000000"/>
          <w:sz w:val="22"/>
          <w:szCs w:val="22"/>
          <w:lang w:val="es-ES_tradnl"/>
        </w:rPr>
        <w:t xml:space="preserve">) la inhabilidad por incumplimiento reiterado en los contratos de alimentación escolar –artículo 51–, </w:t>
      </w:r>
      <w:proofErr w:type="spellStart"/>
      <w:r w:rsidRPr="00F1638D">
        <w:rPr>
          <w:rFonts w:ascii="Arial" w:eastAsia="Calibri" w:hAnsi="Arial" w:cs="Arial"/>
          <w:color w:val="000000"/>
          <w:sz w:val="22"/>
          <w:szCs w:val="22"/>
          <w:lang w:val="es-ES_tradnl"/>
        </w:rPr>
        <w:t>iii</w:t>
      </w:r>
      <w:proofErr w:type="spellEnd"/>
      <w:r w:rsidRPr="00F1638D">
        <w:rPr>
          <w:rFonts w:ascii="Arial" w:eastAsia="Calibri" w:hAnsi="Arial" w:cs="Arial"/>
          <w:color w:val="000000"/>
          <w:sz w:val="22"/>
          <w:szCs w:val="22"/>
          <w:lang w:val="es-ES_tradnl"/>
        </w:rPr>
        <w:t xml:space="preserve">) las cláusulas excepcionales en los contratos celebrados con el objeto señalado anteriormente –artículo 52–, </w:t>
      </w:r>
      <w:proofErr w:type="spellStart"/>
      <w:r w:rsidRPr="00F1638D">
        <w:rPr>
          <w:rFonts w:ascii="Arial" w:eastAsia="Calibri" w:hAnsi="Arial" w:cs="Arial"/>
          <w:color w:val="000000"/>
          <w:sz w:val="22"/>
          <w:szCs w:val="22"/>
          <w:lang w:val="es-ES_tradnl"/>
        </w:rPr>
        <w:t>iv</w:t>
      </w:r>
      <w:proofErr w:type="spellEnd"/>
      <w:r w:rsidRPr="00F1638D">
        <w:rPr>
          <w:rFonts w:ascii="Arial" w:eastAsia="Calibri" w:hAnsi="Arial" w:cs="Arial"/>
          <w:color w:val="000000"/>
          <w:sz w:val="22"/>
          <w:szCs w:val="22"/>
          <w:lang w:val="es-ES_tradnl"/>
        </w:rPr>
        <w:t xml:space="preserve">) el deber de las entidades que cuentan con un régimen contractual especial, de publicar los documentos relacionados con su actividad contractual en el SECOP II –artículo 53–, v) la nueva causal de selección abreviada para la adquisición de bienes o servicios </w:t>
      </w:r>
      <w:r w:rsidRPr="00F1638D">
        <w:rPr>
          <w:rFonts w:ascii="Arial" w:eastAsia="Calibri" w:hAnsi="Arial" w:cs="Arial"/>
          <w:i/>
          <w:iCs/>
          <w:color w:val="000000"/>
          <w:sz w:val="22"/>
          <w:szCs w:val="22"/>
          <w:lang w:val="es-ES_tradnl"/>
        </w:rPr>
        <w:t>no</w:t>
      </w:r>
      <w:r w:rsidRPr="00F1638D">
        <w:rPr>
          <w:rFonts w:ascii="Arial" w:eastAsia="Calibri" w:hAnsi="Arial" w:cs="Arial"/>
          <w:color w:val="000000"/>
          <w:sz w:val="22"/>
          <w:szCs w:val="22"/>
          <w:lang w:val="es-ES_tradnl"/>
        </w:rPr>
        <w:t xml:space="preserve"> uniformes de común utilización –artículo 54–, vi) la obligación de adoptar el modelo de autoevaluación periódico para los sujetos obligados a implementar políticas de transparencia y ética empresarial –artículo 55–, </w:t>
      </w:r>
      <w:proofErr w:type="spellStart"/>
      <w:r w:rsidRPr="00F1638D">
        <w:rPr>
          <w:rFonts w:ascii="Arial" w:eastAsia="Calibri" w:hAnsi="Arial" w:cs="Arial"/>
          <w:color w:val="000000"/>
          <w:sz w:val="22"/>
          <w:szCs w:val="22"/>
          <w:lang w:val="es-ES_tradnl"/>
        </w:rPr>
        <w:t>vii</w:t>
      </w:r>
      <w:proofErr w:type="spellEnd"/>
      <w:r w:rsidRPr="00F1638D">
        <w:rPr>
          <w:rFonts w:ascii="Arial" w:eastAsia="Calibri" w:hAnsi="Arial" w:cs="Arial"/>
          <w:color w:val="000000"/>
          <w:sz w:val="22"/>
          <w:szCs w:val="22"/>
          <w:lang w:val="es-ES_tradnl"/>
        </w:rPr>
        <w:t xml:space="preserve">) la aplicación de los documentos tipo a entidades con régimen especial –artículo 56–, </w:t>
      </w:r>
      <w:proofErr w:type="spellStart"/>
      <w:r w:rsidRPr="00F1638D">
        <w:rPr>
          <w:rFonts w:ascii="Arial" w:eastAsia="Calibri" w:hAnsi="Arial" w:cs="Arial"/>
          <w:color w:val="000000"/>
          <w:sz w:val="22"/>
          <w:szCs w:val="22"/>
          <w:lang w:val="es-ES_tradnl"/>
        </w:rPr>
        <w:t>viii</w:t>
      </w:r>
      <w:proofErr w:type="spellEnd"/>
      <w:r w:rsidRPr="00F1638D">
        <w:rPr>
          <w:rFonts w:ascii="Arial" w:eastAsia="Calibri" w:hAnsi="Arial" w:cs="Arial"/>
          <w:color w:val="000000"/>
          <w:sz w:val="22"/>
          <w:szCs w:val="22"/>
          <w:lang w:val="es-ES_tradnl"/>
        </w:rPr>
        <w:t xml:space="preserve">) la obligación, radicada en los revisores fiscales, de denunciar los actos de corrupción –artículo 57–, y </w:t>
      </w:r>
      <w:proofErr w:type="spellStart"/>
      <w:r w:rsidRPr="00F1638D">
        <w:rPr>
          <w:rFonts w:ascii="Arial" w:eastAsia="Calibri" w:hAnsi="Arial" w:cs="Arial"/>
          <w:color w:val="000000"/>
          <w:sz w:val="22"/>
          <w:szCs w:val="22"/>
          <w:lang w:val="es-ES_tradnl"/>
        </w:rPr>
        <w:t>ix</w:t>
      </w:r>
      <w:proofErr w:type="spellEnd"/>
      <w:r w:rsidRPr="00F1638D">
        <w:rPr>
          <w:rFonts w:ascii="Arial" w:eastAsia="Calibri" w:hAnsi="Arial" w:cs="Arial"/>
          <w:color w:val="000000"/>
          <w:sz w:val="22"/>
          <w:szCs w:val="22"/>
          <w:lang w:val="es-ES_tradnl"/>
        </w:rPr>
        <w:t>) la reducción de puntaje por incumplimiento de contratos –artículo 58–.</w:t>
      </w:r>
    </w:p>
    <w:p w14:paraId="75CDEF88" w14:textId="77777777" w:rsidR="00385909" w:rsidRPr="00F1638D" w:rsidRDefault="00385909" w:rsidP="00385909">
      <w:pPr>
        <w:spacing w:before="120" w:line="276" w:lineRule="auto"/>
        <w:ind w:firstLine="709"/>
        <w:jc w:val="both"/>
        <w:rPr>
          <w:rFonts w:ascii="Arial" w:eastAsia="Calibri" w:hAnsi="Arial" w:cs="Arial"/>
          <w:color w:val="000000"/>
          <w:sz w:val="22"/>
          <w:szCs w:val="22"/>
          <w:lang w:val="es-ES_tradnl"/>
        </w:rPr>
      </w:pPr>
      <w:r w:rsidRPr="00F1638D">
        <w:rPr>
          <w:rFonts w:ascii="Arial" w:eastAsia="Calibri" w:hAnsi="Arial" w:cs="Arial"/>
          <w:color w:val="000000"/>
          <w:sz w:val="22"/>
          <w:szCs w:val="22"/>
          <w:lang w:val="es-ES_tradnl"/>
        </w:rPr>
        <w:t>Según se indicó, el artículo 53 de la Ley 2195 de 2022 hace obligatorio el uso del SECOP II para las entidades exceptuadas del Estatuto General de Contratación de la Administración Pública. En efecto, esta norma dispone:</w:t>
      </w:r>
    </w:p>
    <w:p w14:paraId="786B34E8" w14:textId="77777777" w:rsidR="00385909" w:rsidRPr="00F1638D" w:rsidRDefault="00385909" w:rsidP="00385909">
      <w:pPr>
        <w:ind w:left="709" w:right="709"/>
        <w:jc w:val="both"/>
        <w:rPr>
          <w:rFonts w:ascii="Arial" w:eastAsia="Calibri" w:hAnsi="Arial" w:cs="Arial"/>
          <w:color w:val="000000"/>
          <w:sz w:val="21"/>
          <w:szCs w:val="21"/>
          <w:lang w:val="es-ES_tradnl"/>
        </w:rPr>
      </w:pPr>
    </w:p>
    <w:p w14:paraId="43D995E7" w14:textId="77777777" w:rsidR="00385909" w:rsidRPr="00F1638D" w:rsidRDefault="00385909" w:rsidP="00385909">
      <w:pPr>
        <w:ind w:left="709" w:right="709"/>
        <w:jc w:val="both"/>
        <w:rPr>
          <w:rFonts w:ascii="Arial" w:eastAsia="Calibri" w:hAnsi="Arial" w:cs="Arial"/>
          <w:sz w:val="21"/>
          <w:szCs w:val="21"/>
        </w:rPr>
      </w:pPr>
      <w:r w:rsidRPr="00F1638D">
        <w:rPr>
          <w:rFonts w:ascii="Arial" w:eastAsia="Calibri" w:hAnsi="Arial" w:cs="Arial"/>
          <w:sz w:val="21"/>
          <w:szCs w:val="21"/>
        </w:rPr>
        <w:t>Adiciónese los siguientes incisos al artículo 13 de la Ley 1150 de 2007, el cual quedará así:</w:t>
      </w:r>
    </w:p>
    <w:p w14:paraId="0D588EDF" w14:textId="77777777" w:rsidR="00385909" w:rsidRPr="00F1638D" w:rsidRDefault="00385909" w:rsidP="00385909">
      <w:pPr>
        <w:ind w:left="709" w:right="709"/>
        <w:jc w:val="both"/>
        <w:rPr>
          <w:rFonts w:ascii="Arial" w:eastAsia="Calibri" w:hAnsi="Arial" w:cs="Arial"/>
          <w:sz w:val="21"/>
          <w:szCs w:val="21"/>
        </w:rPr>
      </w:pPr>
    </w:p>
    <w:p w14:paraId="196DAD39" w14:textId="77777777" w:rsidR="00385909" w:rsidRPr="00F1638D" w:rsidRDefault="00385909" w:rsidP="00385909">
      <w:pPr>
        <w:ind w:left="709" w:right="709"/>
        <w:jc w:val="both"/>
        <w:rPr>
          <w:rFonts w:ascii="Arial" w:eastAsia="Calibri" w:hAnsi="Arial" w:cs="Arial"/>
          <w:sz w:val="21"/>
          <w:szCs w:val="21"/>
        </w:rPr>
      </w:pPr>
      <w:r w:rsidRPr="00F1638D">
        <w:rPr>
          <w:rFonts w:ascii="Arial" w:eastAsia="Calibri" w:hAnsi="Arial" w:cs="Arial"/>
          <w:sz w:val="21"/>
          <w:szCs w:val="21"/>
        </w:rPr>
        <w:t xml:space="preserve">Artículo 13. PRINCIPIOS GENERALES DE LA ACTIVIDAD CONTRACTUAL PARA ENTIDADES NO SOMETIDAS AL ESTATUTO GENERAL DE CONTRATACIÓN DE LA ADMINISTRACIÓN PÚBLICA. Las entidades estatales que por disposición legal cuenten con un régimen contractual excepcional al del Estatuto General de Contratación de la Administración Pública, aplicarán en desarrollo de su actividad contractual, acorde con su régimen legal especial, los </w:t>
      </w:r>
      <w:r w:rsidRPr="00F1638D">
        <w:rPr>
          <w:rFonts w:ascii="Arial" w:eastAsia="Calibri" w:hAnsi="Arial" w:cs="Arial"/>
          <w:sz w:val="21"/>
          <w:szCs w:val="21"/>
        </w:rPr>
        <w:lastRenderedPageBreak/>
        <w:t>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p>
    <w:p w14:paraId="1F9B1DA1" w14:textId="77777777" w:rsidR="00385909" w:rsidRPr="00F1638D" w:rsidRDefault="00385909" w:rsidP="00385909">
      <w:pPr>
        <w:ind w:left="709" w:right="709"/>
        <w:jc w:val="both"/>
        <w:rPr>
          <w:rFonts w:ascii="Arial" w:eastAsia="Calibri" w:hAnsi="Arial" w:cs="Arial"/>
          <w:sz w:val="21"/>
          <w:szCs w:val="21"/>
        </w:rPr>
      </w:pPr>
    </w:p>
    <w:p w14:paraId="1CCC6CA0" w14:textId="77777777" w:rsidR="00385909" w:rsidRPr="00F1638D" w:rsidRDefault="00385909" w:rsidP="00385909">
      <w:pPr>
        <w:ind w:left="709" w:right="709"/>
        <w:jc w:val="both"/>
        <w:rPr>
          <w:rFonts w:ascii="Arial" w:eastAsia="Calibri" w:hAnsi="Arial" w:cs="Arial"/>
          <w:sz w:val="21"/>
          <w:szCs w:val="21"/>
        </w:rPr>
      </w:pPr>
      <w:r w:rsidRPr="00F1638D">
        <w:rPr>
          <w:rFonts w:ascii="Arial" w:eastAsia="Calibri" w:hAnsi="Arial" w:cs="Arial"/>
          <w:sz w:val="21"/>
          <w:szCs w:val="21"/>
        </w:rPr>
        <w:t xml:space="preserve">En desarrollo de los anteriores principios, deberán publicar los documentos relacionados con su actividad contractual en el Sistema Electrónico para la Contratación PÚBLICA –SECOP II– o la plataforma transaccional que haga sus veces. Para los efectos de este artículo, se entiende por actividad contractual los documentos, contratos, actos e información generada por oferentes, contratista, contratante, supervisor o interventor, tanto en la etapa precontractual, como en la contractual y la </w:t>
      </w:r>
      <w:proofErr w:type="spellStart"/>
      <w:r w:rsidRPr="00F1638D">
        <w:rPr>
          <w:rFonts w:ascii="Arial" w:eastAsia="Calibri" w:hAnsi="Arial" w:cs="Arial"/>
          <w:sz w:val="21"/>
          <w:szCs w:val="21"/>
        </w:rPr>
        <w:t>postcontractual</w:t>
      </w:r>
      <w:proofErr w:type="spellEnd"/>
      <w:r w:rsidRPr="00F1638D">
        <w:rPr>
          <w:rFonts w:ascii="Arial" w:eastAsia="Calibri" w:hAnsi="Arial" w:cs="Arial"/>
          <w:sz w:val="21"/>
          <w:szCs w:val="21"/>
        </w:rPr>
        <w:t>.</w:t>
      </w:r>
    </w:p>
    <w:p w14:paraId="6970065F" w14:textId="77777777" w:rsidR="00385909" w:rsidRPr="00F1638D" w:rsidRDefault="00385909" w:rsidP="00385909">
      <w:pPr>
        <w:ind w:left="709" w:right="709"/>
        <w:jc w:val="both"/>
        <w:rPr>
          <w:rFonts w:ascii="Arial" w:eastAsia="Calibri" w:hAnsi="Arial" w:cs="Arial"/>
          <w:sz w:val="21"/>
          <w:szCs w:val="21"/>
        </w:rPr>
      </w:pPr>
    </w:p>
    <w:p w14:paraId="09B158F6" w14:textId="77777777" w:rsidR="00385909" w:rsidRPr="00F1638D" w:rsidRDefault="00385909" w:rsidP="00385909">
      <w:pPr>
        <w:ind w:left="709" w:right="709"/>
        <w:jc w:val="both"/>
        <w:rPr>
          <w:rFonts w:ascii="Arial" w:eastAsia="Calibri" w:hAnsi="Arial" w:cs="Arial"/>
          <w:sz w:val="21"/>
          <w:szCs w:val="21"/>
        </w:rPr>
      </w:pPr>
      <w:r w:rsidRPr="00F1638D">
        <w:rPr>
          <w:rFonts w:ascii="Arial" w:eastAsia="Calibri" w:hAnsi="Arial" w:cs="Arial"/>
          <w:sz w:val="21"/>
          <w:szCs w:val="21"/>
        </w:rPr>
        <w:t xml:space="preserve">A partir de la </w:t>
      </w:r>
      <w:proofErr w:type="gramStart"/>
      <w:r w:rsidRPr="00F1638D">
        <w:rPr>
          <w:rFonts w:ascii="Arial" w:eastAsia="Calibri" w:hAnsi="Arial" w:cs="Arial"/>
          <w:sz w:val="21"/>
          <w:szCs w:val="21"/>
        </w:rPr>
        <w:t>entrada en vigencia</w:t>
      </w:r>
      <w:proofErr w:type="gramEnd"/>
      <w:r w:rsidRPr="00F1638D">
        <w:rPr>
          <w:rFonts w:ascii="Arial" w:eastAsia="Calibri" w:hAnsi="Arial" w:cs="Arial"/>
          <w:sz w:val="21"/>
          <w:szCs w:val="21"/>
        </w:rPr>
        <w:t xml:space="preserve"> de la presente Ley, se establecerá un periodo de transición de seis (6) meses, para que las entidades den cumplimiento efectivo a lo aquí establecido.</w:t>
      </w:r>
    </w:p>
    <w:p w14:paraId="73AE7ECD" w14:textId="77777777" w:rsidR="00385909" w:rsidRPr="00F1638D" w:rsidRDefault="00385909" w:rsidP="00385909">
      <w:pPr>
        <w:spacing w:line="276" w:lineRule="auto"/>
        <w:ind w:firstLine="709"/>
        <w:jc w:val="both"/>
        <w:rPr>
          <w:rFonts w:ascii="Arial" w:eastAsia="Calibri" w:hAnsi="Arial" w:cs="Arial"/>
          <w:color w:val="000000"/>
          <w:sz w:val="22"/>
          <w:szCs w:val="22"/>
          <w:lang w:val="es-ES_tradnl"/>
        </w:rPr>
      </w:pPr>
    </w:p>
    <w:p w14:paraId="08436979" w14:textId="77777777" w:rsidR="00385909" w:rsidRPr="00F1638D" w:rsidRDefault="00385909" w:rsidP="00385909">
      <w:pPr>
        <w:spacing w:line="276" w:lineRule="auto"/>
        <w:ind w:firstLine="709"/>
        <w:jc w:val="both"/>
        <w:rPr>
          <w:rFonts w:ascii="Arial" w:eastAsia="Calibri" w:hAnsi="Arial" w:cs="Arial"/>
          <w:color w:val="000000"/>
          <w:sz w:val="22"/>
          <w:szCs w:val="22"/>
          <w:lang w:val="es-ES_tradnl"/>
        </w:rPr>
      </w:pPr>
      <w:r w:rsidRPr="00F1638D">
        <w:rPr>
          <w:rFonts w:ascii="Arial" w:eastAsia="Calibri" w:hAnsi="Arial" w:cs="Arial"/>
          <w:color w:val="000000"/>
          <w:sz w:val="22"/>
          <w:szCs w:val="22"/>
          <w:lang w:val="es-ES_tradnl"/>
        </w:rPr>
        <w:t xml:space="preserve">Como puede observarse, aunque la publicación en el SECOP de los documentos relacionados con la actividad contractual ya era obligatoria –lo sigue siendo– para las entidades que cuentan con un régimen especial, el artículo 53 de la Ley 2195 de 2022 –que modifica el artículo 13 de la Ley 1150 de 2007– establece con mayor precisión este deber y lo complementa con la exigencia de emplear el SECOP II. En otras palabras, en el artículo 53 de la Ley 2195 de 2022 el Congreso de la República dispone que las entidades estatales exceptuadas del Estatuto General de Contratación de la Administración Pública deben publicar en el SECOP II –es decir en la plataforma transaccional vigente– su actividad contractual. </w:t>
      </w:r>
    </w:p>
    <w:p w14:paraId="1D32091F" w14:textId="77777777" w:rsidR="00385909" w:rsidRPr="00F1638D" w:rsidRDefault="00385909" w:rsidP="00385909">
      <w:pPr>
        <w:spacing w:before="120" w:line="276" w:lineRule="auto"/>
        <w:ind w:firstLine="709"/>
        <w:jc w:val="both"/>
        <w:rPr>
          <w:rFonts w:ascii="Arial" w:eastAsia="Calibri" w:hAnsi="Arial" w:cs="Arial"/>
          <w:color w:val="000000"/>
          <w:sz w:val="22"/>
          <w:szCs w:val="22"/>
          <w:lang w:val="es-ES_tradnl"/>
        </w:rPr>
      </w:pPr>
      <w:r w:rsidRPr="00F1638D">
        <w:rPr>
          <w:rFonts w:ascii="Arial" w:eastAsia="Calibri" w:hAnsi="Arial" w:cs="Arial"/>
          <w:color w:val="000000"/>
          <w:sz w:val="22"/>
          <w:szCs w:val="22"/>
          <w:lang w:val="es-ES_tradnl"/>
        </w:rPr>
        <w:t xml:space="preserve">La Agencia Nacional de Contratación Pública – Colombia Compra Eficiente considera que al establecer el artículo 53 que este deber ha de cumplirse en el SECOP II «o la plataforma transaccional que haga sus veces» esto debe interpretarse en el sentido en que a pesar de que en la actualidad el SECOP II es la plataforma transaccional vigente en el Estado colombiano, si en el futuro esta es reemplazada por otra que tenga otra denominación, las entidades que tienen un régimen especial de contratación pública deben continuar publicando la documentación de su actividad transaccional en la nueva plataforma. </w:t>
      </w:r>
    </w:p>
    <w:p w14:paraId="2394ACA6" w14:textId="64264442" w:rsidR="00385909" w:rsidRPr="00F1638D" w:rsidRDefault="00385909" w:rsidP="00385909">
      <w:pPr>
        <w:spacing w:before="120" w:line="276" w:lineRule="auto"/>
        <w:ind w:firstLine="709"/>
        <w:jc w:val="both"/>
        <w:rPr>
          <w:rFonts w:ascii="Arial" w:eastAsia="Calibri" w:hAnsi="Arial" w:cs="Arial"/>
          <w:color w:val="000000"/>
          <w:sz w:val="22"/>
          <w:szCs w:val="22"/>
          <w:lang w:val="es-ES_tradnl"/>
        </w:rPr>
      </w:pPr>
      <w:r w:rsidRPr="00F1638D">
        <w:rPr>
          <w:rFonts w:ascii="Arial" w:eastAsia="Calibri" w:hAnsi="Arial" w:cs="Arial"/>
          <w:color w:val="000000"/>
          <w:sz w:val="22"/>
          <w:szCs w:val="22"/>
          <w:lang w:val="es-ES_tradnl"/>
        </w:rPr>
        <w:t xml:space="preserve">Finalmente, el referido artículo dispone, en el inciso final, que «A partir de la </w:t>
      </w:r>
      <w:proofErr w:type="gramStart"/>
      <w:r w:rsidRPr="00F1638D">
        <w:rPr>
          <w:rFonts w:ascii="Arial" w:eastAsia="Calibri" w:hAnsi="Arial" w:cs="Arial"/>
          <w:color w:val="000000"/>
          <w:sz w:val="22"/>
          <w:szCs w:val="22"/>
          <w:lang w:val="es-ES_tradnl"/>
        </w:rPr>
        <w:t>entrada en vigencia</w:t>
      </w:r>
      <w:proofErr w:type="gramEnd"/>
      <w:r w:rsidRPr="00F1638D">
        <w:rPr>
          <w:rFonts w:ascii="Arial" w:eastAsia="Calibri" w:hAnsi="Arial" w:cs="Arial"/>
          <w:color w:val="000000"/>
          <w:sz w:val="22"/>
          <w:szCs w:val="22"/>
          <w:lang w:val="es-ES_tradnl"/>
        </w:rPr>
        <w:t xml:space="preserve"> de la presente Ley, se establecerá un periodo de transición de seis (6) meses, para que las entidades den cumplimiento efectivo a lo aquí establecido». Es decir que se trata de un período concedido por el Legislador a las entidades que tienen un régimen especial de contratación para adelantar las gestiones administrativas, técnicas y jurídicas pertinentes, a fin de cumplir lo establecido en el artículo 53. Este período de transición va del 18 de enero al 18 de julio de 2022. La Agencia Nacional de Contratación Pública – </w:t>
      </w:r>
      <w:r w:rsidRPr="00F1638D">
        <w:rPr>
          <w:rFonts w:ascii="Arial" w:eastAsia="Calibri" w:hAnsi="Arial" w:cs="Arial"/>
          <w:color w:val="000000"/>
          <w:sz w:val="22"/>
          <w:szCs w:val="22"/>
          <w:lang w:val="es-ES_tradnl"/>
        </w:rPr>
        <w:lastRenderedPageBreak/>
        <w:t>Colombia Compra Eficiente también podría impartir directrices sobre este tema a través de sus instrumentos doctrinarios y reglamentarios</w:t>
      </w:r>
      <w:r w:rsidR="00EE708F" w:rsidRPr="00F1638D">
        <w:rPr>
          <w:rStyle w:val="Refdenotaalpie"/>
          <w:rFonts w:ascii="Arial" w:eastAsia="Calibri" w:hAnsi="Arial" w:cs="Arial"/>
          <w:color w:val="000000"/>
          <w:sz w:val="22"/>
          <w:szCs w:val="22"/>
          <w:lang w:val="es-ES_tradnl"/>
        </w:rPr>
        <w:footnoteReference w:id="21"/>
      </w:r>
      <w:r w:rsidRPr="00F1638D">
        <w:rPr>
          <w:rFonts w:ascii="Arial" w:eastAsia="Calibri" w:hAnsi="Arial" w:cs="Arial"/>
          <w:color w:val="000000"/>
          <w:sz w:val="22"/>
          <w:szCs w:val="22"/>
          <w:lang w:val="es-ES_tradnl"/>
        </w:rPr>
        <w:t>.</w:t>
      </w:r>
    </w:p>
    <w:p w14:paraId="3FA3A2FE" w14:textId="77777777" w:rsidR="00CA482A" w:rsidRPr="00F1638D" w:rsidRDefault="00CA482A" w:rsidP="00CA482A">
      <w:pPr>
        <w:pStyle w:val="Prrafodelista"/>
        <w:tabs>
          <w:tab w:val="left" w:pos="284"/>
          <w:tab w:val="left" w:pos="426"/>
        </w:tabs>
        <w:spacing w:line="276" w:lineRule="auto"/>
        <w:ind w:left="0"/>
        <w:jc w:val="both"/>
        <w:rPr>
          <w:rFonts w:ascii="Arial" w:hAnsi="Arial" w:cs="Arial"/>
          <w:b/>
          <w:color w:val="000000" w:themeColor="text1"/>
          <w:sz w:val="22"/>
          <w:lang w:val="es-ES_tradnl"/>
        </w:rPr>
      </w:pPr>
    </w:p>
    <w:bookmarkEnd w:id="10"/>
    <w:p w14:paraId="03B0C4B7" w14:textId="3FAF6201" w:rsidR="00CA482A" w:rsidRPr="00F1638D" w:rsidRDefault="00CA482A" w:rsidP="00CA482A">
      <w:pPr>
        <w:spacing w:line="276" w:lineRule="auto"/>
        <w:jc w:val="both"/>
        <w:rPr>
          <w:rFonts w:ascii="Arial" w:eastAsia="Calibri" w:hAnsi="Arial" w:cs="Arial"/>
          <w:b/>
          <w:color w:val="000000" w:themeColor="text1"/>
          <w:sz w:val="22"/>
          <w:lang w:val="es-ES_tradnl"/>
        </w:rPr>
      </w:pPr>
      <w:r w:rsidRPr="00F1638D">
        <w:rPr>
          <w:rFonts w:ascii="Arial" w:eastAsia="Calibri" w:hAnsi="Arial" w:cs="Arial"/>
          <w:b/>
          <w:color w:val="000000" w:themeColor="text1"/>
          <w:sz w:val="22"/>
          <w:lang w:val="es-ES_tradnl"/>
        </w:rPr>
        <w:t>2.</w:t>
      </w:r>
      <w:r w:rsidR="00D81FE7" w:rsidRPr="00F1638D">
        <w:rPr>
          <w:rFonts w:ascii="Arial" w:eastAsia="Calibri" w:hAnsi="Arial" w:cs="Arial"/>
          <w:b/>
          <w:color w:val="000000" w:themeColor="text1"/>
          <w:sz w:val="22"/>
          <w:lang w:val="es-ES_tradnl"/>
        </w:rPr>
        <w:t>3</w:t>
      </w:r>
      <w:r w:rsidRPr="00F1638D">
        <w:rPr>
          <w:rFonts w:ascii="Arial" w:eastAsia="Calibri" w:hAnsi="Arial" w:cs="Arial"/>
          <w:b/>
          <w:color w:val="000000" w:themeColor="text1"/>
          <w:sz w:val="22"/>
          <w:lang w:val="es-ES_tradnl"/>
        </w:rPr>
        <w:t>. Efectos del auto del Consejo de Estado del 25 de febrero de 2021 sobre la publicación en el SECOP por parte de las entidades estatales con régimen especial de contratación</w:t>
      </w:r>
    </w:p>
    <w:p w14:paraId="2F775D2C" w14:textId="77777777" w:rsidR="00CA482A" w:rsidRPr="00F1638D" w:rsidRDefault="00CA482A" w:rsidP="00CA482A">
      <w:pPr>
        <w:pStyle w:val="Prrafodelista"/>
        <w:tabs>
          <w:tab w:val="left" w:pos="284"/>
          <w:tab w:val="left" w:pos="426"/>
        </w:tabs>
        <w:spacing w:line="276" w:lineRule="auto"/>
        <w:ind w:left="0"/>
        <w:jc w:val="both"/>
        <w:rPr>
          <w:rFonts w:ascii="Arial" w:hAnsi="Arial" w:cs="Arial"/>
          <w:b/>
          <w:color w:val="000000" w:themeColor="text1"/>
          <w:sz w:val="22"/>
          <w:lang w:val="es-ES_tradnl"/>
        </w:rPr>
      </w:pPr>
    </w:p>
    <w:p w14:paraId="113E3FC6" w14:textId="77777777" w:rsidR="00CA482A" w:rsidRPr="00F1638D" w:rsidRDefault="00CA482A" w:rsidP="00CA482A">
      <w:pPr>
        <w:pStyle w:val="Prrafodelista"/>
        <w:tabs>
          <w:tab w:val="left" w:pos="284"/>
          <w:tab w:val="left" w:pos="426"/>
        </w:tabs>
        <w:spacing w:line="276" w:lineRule="auto"/>
        <w:ind w:left="0"/>
        <w:jc w:val="both"/>
        <w:rPr>
          <w:rFonts w:ascii="Arial" w:hAnsi="Arial" w:cs="Arial"/>
          <w:bCs/>
          <w:color w:val="000000" w:themeColor="text1"/>
          <w:sz w:val="22"/>
          <w:lang w:val="es-ES_tradnl"/>
        </w:rPr>
      </w:pPr>
      <w:r w:rsidRPr="00F1638D">
        <w:rPr>
          <w:rFonts w:ascii="Arial" w:hAnsi="Arial" w:cs="Arial"/>
          <w:bCs/>
          <w:color w:val="000000" w:themeColor="text1"/>
          <w:sz w:val="22"/>
          <w:lang w:val="es-ES_tradnl"/>
        </w:rPr>
        <w:t>El 25 de febrero de 2021 la Sección Tercera del Consejo de Estado expidió un auto</w:t>
      </w:r>
      <w:r w:rsidRPr="00F1638D">
        <w:rPr>
          <w:rStyle w:val="Refdenotaalpie"/>
          <w:rFonts w:ascii="Arial" w:hAnsi="Arial" w:cs="Arial"/>
          <w:bCs/>
          <w:color w:val="000000" w:themeColor="text1"/>
          <w:sz w:val="22"/>
          <w:lang w:val="es-ES_tradnl"/>
        </w:rPr>
        <w:footnoteReference w:id="22"/>
      </w:r>
      <w:r w:rsidRPr="00F1638D">
        <w:rPr>
          <w:rFonts w:ascii="Arial" w:hAnsi="Arial" w:cs="Arial"/>
          <w:bCs/>
          <w:color w:val="000000" w:themeColor="text1"/>
          <w:sz w:val="22"/>
          <w:lang w:val="es-ES_tradnl"/>
        </w:rPr>
        <w:t xml:space="preserve"> mediante el cual decretó la suspensión provisional de algunos apartes de las circulares externas No. 1 del 21 de junio de 2013 y No. 20 del 27 de agosto de 2015. Teniendo en cuenta que esta decisión judicial es la razón que motiva la presente consulta, se efectuará una síntesis de la providencia y de los argumentos en los que se apoya el Consejo de Estado. Sin embargo, antes de proceder con ello, es importante hacer tres aclaraciones importantes: </w:t>
      </w:r>
    </w:p>
    <w:p w14:paraId="1C2139CB" w14:textId="77777777" w:rsidR="00CA482A" w:rsidRPr="00F1638D" w:rsidRDefault="00CA482A" w:rsidP="00CA482A">
      <w:pPr>
        <w:spacing w:before="120" w:line="276" w:lineRule="auto"/>
        <w:ind w:firstLine="709"/>
        <w:jc w:val="both"/>
        <w:rPr>
          <w:rFonts w:ascii="Arial" w:hAnsi="Arial" w:cs="Arial"/>
          <w:bCs/>
          <w:color w:val="000000" w:themeColor="text1"/>
          <w:sz w:val="22"/>
          <w:lang w:val="es-ES_tradnl"/>
        </w:rPr>
      </w:pPr>
      <w:r w:rsidRPr="00F1638D">
        <w:rPr>
          <w:rFonts w:ascii="Arial" w:hAnsi="Arial" w:cs="Arial"/>
          <w:bCs/>
          <w:color w:val="000000" w:themeColor="text1"/>
          <w:sz w:val="22"/>
          <w:lang w:val="es-ES_tradnl"/>
        </w:rPr>
        <w:t>La primera es que la suspensión provisional es una medida cautelar consagrada en el artículo 238 de la Constitución Política</w:t>
      </w:r>
      <w:r w:rsidRPr="00F1638D">
        <w:rPr>
          <w:rStyle w:val="Refdenotaalpie"/>
          <w:rFonts w:ascii="Arial" w:hAnsi="Arial" w:cs="Arial"/>
          <w:bCs/>
          <w:color w:val="000000" w:themeColor="text1"/>
          <w:sz w:val="22"/>
          <w:lang w:val="es-ES_tradnl"/>
        </w:rPr>
        <w:footnoteReference w:id="23"/>
      </w:r>
      <w:r w:rsidRPr="00F1638D">
        <w:rPr>
          <w:rFonts w:ascii="Arial" w:hAnsi="Arial" w:cs="Arial"/>
          <w:bCs/>
          <w:color w:val="000000" w:themeColor="text1"/>
          <w:sz w:val="22"/>
          <w:lang w:val="es-ES_tradnl"/>
        </w:rPr>
        <w:t xml:space="preserve"> y en el artículo 230, numeral 3 de la Ley 1437 de 2011</w:t>
      </w:r>
      <w:r w:rsidRPr="00F1638D">
        <w:rPr>
          <w:rStyle w:val="Refdenotaalpie"/>
          <w:rFonts w:ascii="Arial" w:hAnsi="Arial" w:cs="Arial"/>
          <w:bCs/>
          <w:color w:val="000000" w:themeColor="text1"/>
          <w:sz w:val="22"/>
          <w:lang w:val="es-ES_tradnl"/>
        </w:rPr>
        <w:footnoteReference w:id="24"/>
      </w:r>
      <w:r w:rsidRPr="00F1638D">
        <w:rPr>
          <w:rFonts w:ascii="Arial" w:hAnsi="Arial" w:cs="Arial"/>
          <w:bCs/>
          <w:color w:val="000000" w:themeColor="text1"/>
          <w:sz w:val="22"/>
          <w:lang w:val="es-ES_tradnl"/>
        </w:rPr>
        <w:t>, que genera –al menos mientras se expide la sentencia– la pérdida de fuerza ejecutoria de los actos administrativos</w:t>
      </w:r>
      <w:r w:rsidRPr="00F1638D">
        <w:rPr>
          <w:rStyle w:val="Refdenotaalpie"/>
          <w:rFonts w:ascii="Arial" w:hAnsi="Arial" w:cs="Arial"/>
          <w:bCs/>
          <w:color w:val="000000" w:themeColor="text1"/>
          <w:sz w:val="22"/>
          <w:lang w:val="es-ES_tradnl"/>
        </w:rPr>
        <w:footnoteReference w:id="25"/>
      </w:r>
      <w:r w:rsidRPr="00F1638D">
        <w:rPr>
          <w:rFonts w:ascii="Arial" w:hAnsi="Arial" w:cs="Arial"/>
          <w:bCs/>
          <w:color w:val="000000" w:themeColor="text1"/>
          <w:sz w:val="22"/>
          <w:lang w:val="es-ES_tradnl"/>
        </w:rPr>
        <w:t xml:space="preserve">, pero no la pérdida de su presunción de legalidad, pues el artículo 88 de la Ley 1437 de 2011 dispone que esta solo desaparece cuando los </w:t>
      </w:r>
      <w:r w:rsidRPr="00F1638D">
        <w:rPr>
          <w:rFonts w:ascii="Arial" w:hAnsi="Arial" w:cs="Arial"/>
          <w:bCs/>
          <w:color w:val="000000" w:themeColor="text1"/>
          <w:sz w:val="22"/>
          <w:lang w:val="es-ES_tradnl"/>
        </w:rPr>
        <w:lastRenderedPageBreak/>
        <w:t xml:space="preserve">actos administrativos «hayan sido anulados por la Jurisdicción de lo Contencioso Administrativo». Por consiguiente, las circulares externas No. 1 del 21 de junio de 2013 y No. 20 del 27 de agosto de 2015 continúan presumiéndose legales.  </w:t>
      </w:r>
    </w:p>
    <w:p w14:paraId="41B2D053" w14:textId="77777777" w:rsidR="00CA482A" w:rsidRPr="00F1638D" w:rsidRDefault="00CA482A" w:rsidP="00CA482A">
      <w:pPr>
        <w:spacing w:before="120" w:line="276" w:lineRule="auto"/>
        <w:ind w:firstLine="709"/>
        <w:jc w:val="both"/>
        <w:rPr>
          <w:rFonts w:ascii="Arial" w:hAnsi="Arial" w:cs="Arial"/>
          <w:bCs/>
          <w:color w:val="000000" w:themeColor="text1"/>
          <w:sz w:val="22"/>
          <w:lang w:val="es-ES_tradnl"/>
        </w:rPr>
      </w:pPr>
      <w:r w:rsidRPr="00F1638D">
        <w:rPr>
          <w:rFonts w:ascii="Arial" w:hAnsi="Arial" w:cs="Arial"/>
          <w:bCs/>
          <w:color w:val="000000" w:themeColor="text1"/>
          <w:sz w:val="22"/>
          <w:lang w:val="es-ES_tradnl"/>
        </w:rPr>
        <w:t xml:space="preserve">La segunda precisión es que en el auto que se comentará a continuación, no se declara la suspensión provisional de todo el contenido de las circulares externas No. 1 del 21 de junio de 2013 y No. 20 del 27 de agosto de 2015, sino solo de algunos apartes que utilizan la expresión «actividad contractual», lo que por supuesto, exige determinar en qué estado queda la obligación de las entidades estatales con régimen especial de contratación de publicar la documentación contractual en el SECOP. </w:t>
      </w:r>
    </w:p>
    <w:p w14:paraId="03EEE71C" w14:textId="77777777" w:rsidR="00CA482A" w:rsidRPr="00F1638D" w:rsidRDefault="00CA482A" w:rsidP="00CA482A">
      <w:pPr>
        <w:spacing w:before="120" w:line="276" w:lineRule="auto"/>
        <w:ind w:firstLine="709"/>
        <w:jc w:val="both"/>
        <w:rPr>
          <w:rFonts w:ascii="Arial" w:hAnsi="Arial" w:cs="Arial"/>
          <w:bCs/>
          <w:color w:val="000000" w:themeColor="text1"/>
          <w:sz w:val="22"/>
          <w:lang w:val="es-ES_tradnl"/>
        </w:rPr>
      </w:pPr>
      <w:r w:rsidRPr="00F1638D">
        <w:rPr>
          <w:rFonts w:ascii="Arial" w:hAnsi="Arial" w:cs="Arial"/>
          <w:bCs/>
          <w:color w:val="000000" w:themeColor="text1"/>
          <w:sz w:val="22"/>
          <w:lang w:val="es-ES_tradnl"/>
        </w:rPr>
        <w:t>La tercera salvedad es que la Circular Externa Única –actualizada el 16 de abril de 2019–</w:t>
      </w:r>
      <w:r w:rsidRPr="00F1638D">
        <w:rPr>
          <w:rStyle w:val="Refdenotaalpie"/>
          <w:rFonts w:ascii="Arial" w:hAnsi="Arial" w:cs="Arial"/>
          <w:bCs/>
          <w:color w:val="000000" w:themeColor="text1"/>
          <w:sz w:val="22"/>
          <w:lang w:val="es-ES_tradnl"/>
        </w:rPr>
        <w:footnoteReference w:id="26"/>
      </w:r>
      <w:r w:rsidRPr="00F1638D">
        <w:rPr>
          <w:rFonts w:ascii="Arial" w:hAnsi="Arial" w:cs="Arial"/>
          <w:bCs/>
          <w:color w:val="000000" w:themeColor="text1"/>
          <w:sz w:val="22"/>
          <w:lang w:val="es-ES_tradnl"/>
        </w:rPr>
        <w:t xml:space="preserve">, la Circular No. 007 de 2020 </w:t>
      </w:r>
      <w:r w:rsidRPr="00F1638D">
        <w:rPr>
          <w:rFonts w:ascii="Arial" w:hAnsi="Arial" w:cs="Arial"/>
          <w:bCs/>
          <w:color w:val="000000" w:themeColor="text1"/>
          <w:sz w:val="22"/>
          <w:lang w:val="es-ES_tradnl"/>
        </w:rPr>
        <w:softHyphen/>
        <w:t>–sobre actualización y diligenciamiento de información en el Sistema Electrónico para la Contratación Pública – SECOP–</w:t>
      </w:r>
      <w:r w:rsidRPr="00F1638D">
        <w:rPr>
          <w:rStyle w:val="Refdenotaalpie"/>
          <w:rFonts w:ascii="Arial" w:hAnsi="Arial" w:cs="Arial"/>
          <w:bCs/>
          <w:color w:val="000000" w:themeColor="text1"/>
          <w:sz w:val="22"/>
          <w:lang w:val="es-ES_tradnl"/>
        </w:rPr>
        <w:footnoteReference w:id="27"/>
      </w:r>
      <w:r w:rsidRPr="00F1638D">
        <w:rPr>
          <w:rFonts w:ascii="Arial" w:hAnsi="Arial" w:cs="Arial"/>
          <w:bCs/>
          <w:color w:val="000000" w:themeColor="text1"/>
          <w:sz w:val="22"/>
          <w:lang w:val="es-ES_tradnl"/>
        </w:rPr>
        <w:t xml:space="preserve"> y la Circular </w:t>
      </w:r>
      <w:proofErr w:type="spellStart"/>
      <w:r w:rsidRPr="00F1638D">
        <w:rPr>
          <w:rFonts w:ascii="Arial" w:hAnsi="Arial" w:cs="Arial"/>
          <w:bCs/>
          <w:color w:val="000000" w:themeColor="text1"/>
          <w:sz w:val="22"/>
          <w:lang w:val="es-ES_tradnl"/>
        </w:rPr>
        <w:t>Nº</w:t>
      </w:r>
      <w:proofErr w:type="spellEnd"/>
      <w:r w:rsidRPr="00F1638D">
        <w:rPr>
          <w:rFonts w:ascii="Arial" w:hAnsi="Arial" w:cs="Arial"/>
          <w:bCs/>
          <w:color w:val="000000" w:themeColor="text1"/>
          <w:sz w:val="22"/>
          <w:lang w:val="es-ES_tradnl"/>
        </w:rPr>
        <w:t xml:space="preserve"> 23 del 16 de marzo de 2017 –sobre la calidad y oportunidad de la información del Sistema de Compra Pública disponible en el SECOP–</w:t>
      </w:r>
      <w:r w:rsidRPr="00F1638D">
        <w:rPr>
          <w:rStyle w:val="Refdenotaalpie"/>
          <w:rFonts w:ascii="Arial" w:hAnsi="Arial" w:cs="Arial"/>
          <w:bCs/>
          <w:color w:val="000000" w:themeColor="text1"/>
          <w:sz w:val="22"/>
          <w:lang w:val="es-ES_tradnl"/>
        </w:rPr>
        <w:footnoteReference w:id="28"/>
      </w:r>
      <w:r w:rsidRPr="00F1638D">
        <w:rPr>
          <w:rFonts w:ascii="Arial" w:hAnsi="Arial" w:cs="Arial"/>
          <w:bCs/>
          <w:color w:val="000000" w:themeColor="text1"/>
          <w:sz w:val="22"/>
          <w:lang w:val="es-ES_tradnl"/>
        </w:rPr>
        <w:t xml:space="preserve">, permanecen vigentes, pues no fueron tampoco suspendidas por dicho auto. Como se verá, no </w:t>
      </w:r>
      <w:proofErr w:type="gramStart"/>
      <w:r w:rsidRPr="00F1638D">
        <w:rPr>
          <w:rFonts w:ascii="Arial" w:hAnsi="Arial" w:cs="Arial"/>
          <w:bCs/>
          <w:color w:val="000000" w:themeColor="text1"/>
          <w:sz w:val="22"/>
          <w:lang w:val="es-ES_tradnl"/>
        </w:rPr>
        <w:t>obstante</w:t>
      </w:r>
      <w:proofErr w:type="gramEnd"/>
      <w:r w:rsidRPr="00F1638D">
        <w:rPr>
          <w:rFonts w:ascii="Arial" w:hAnsi="Arial" w:cs="Arial"/>
          <w:bCs/>
          <w:color w:val="000000" w:themeColor="text1"/>
          <w:sz w:val="22"/>
          <w:lang w:val="es-ES_tradnl"/>
        </w:rPr>
        <w:t xml:space="preserve"> la suspensión provisional de los apartes de las circulares externas No. 1 del 21 de junio de 2013 y No. 20 del 27 de agosto de 2015, las otras circulares mencionadas, que no fueron suspendidas, continúan estableciendo directrices sobre la publicación de los documentos de la contratación en el SECOP para las entidades estatales que contratan con recursos públicos, incluidas aquellas que tienen régimen especial. Este deber se sustenta no solo en dichas circulares, sino, especialmente, en normas de rango constitucional, legal y reglamentario, como las señaladas en los numerales 2.1. y 2.3. de este concepto. Hechas estas aclaraciones, se comentará el auto del 25 de febrero de 2021.</w:t>
      </w:r>
    </w:p>
    <w:p w14:paraId="7F24C04F" w14:textId="77777777" w:rsidR="00CA482A" w:rsidRPr="00F1638D" w:rsidRDefault="00CA482A" w:rsidP="00CA482A">
      <w:pPr>
        <w:spacing w:before="120" w:line="276" w:lineRule="auto"/>
        <w:ind w:firstLine="709"/>
        <w:jc w:val="both"/>
        <w:rPr>
          <w:rFonts w:ascii="Arial" w:hAnsi="Arial" w:cs="Arial"/>
          <w:color w:val="000000" w:themeColor="text1"/>
          <w:sz w:val="22"/>
          <w:lang w:val="es-ES_tradnl"/>
        </w:rPr>
      </w:pPr>
      <w:r w:rsidRPr="00F1638D">
        <w:rPr>
          <w:rFonts w:ascii="Arial" w:hAnsi="Arial" w:cs="Arial"/>
          <w:color w:val="000000" w:themeColor="text1"/>
          <w:sz w:val="22"/>
          <w:lang w:val="es-ES_tradnl"/>
        </w:rPr>
        <w:t xml:space="preserve">En ejercicio del medio de control de nulidad simple, dos empresas prestadoras de servicios públicos domiciliarios interpusieron demandas en contra de la Agencia Nacional de Contratación Pública – Colombia Compra Eficiente, para que se declarara la nulidad de las circulares externas No. 1 de 21 de junio de 2013 y No. 20 de 27 de agosto de 2015, considerando que dichas circulares se expidieron con falta de competencia e inobservancia de las normas en que deberían fundarse, solicitando a su vez la suspensión provisional de las mismas. En dichas circulares se trata, respectivamente, el deber de publicar la actividad </w:t>
      </w:r>
      <w:r w:rsidRPr="00F1638D">
        <w:rPr>
          <w:rFonts w:ascii="Arial" w:hAnsi="Arial" w:cs="Arial"/>
          <w:color w:val="000000" w:themeColor="text1"/>
          <w:sz w:val="22"/>
          <w:lang w:val="es-ES_tradnl"/>
        </w:rPr>
        <w:lastRenderedPageBreak/>
        <w:t>contractual en el SECOP y las condiciones de publicidad de esta información por parte de las empresas industriales y comerciales del Estado, las sociedades de economía mixta y las empresas de servicios públicos domiciliarios.</w:t>
      </w:r>
    </w:p>
    <w:p w14:paraId="3FF29E2B" w14:textId="77777777" w:rsidR="00CA482A" w:rsidRPr="00F1638D" w:rsidRDefault="00CA482A" w:rsidP="00CA482A">
      <w:pPr>
        <w:spacing w:before="120" w:line="276" w:lineRule="auto"/>
        <w:ind w:firstLine="709"/>
        <w:jc w:val="both"/>
        <w:rPr>
          <w:rFonts w:ascii="Arial" w:hAnsi="Arial" w:cs="Arial"/>
          <w:color w:val="000000" w:themeColor="text1"/>
          <w:sz w:val="22"/>
          <w:lang w:val="es-ES_tradnl"/>
        </w:rPr>
      </w:pPr>
      <w:r w:rsidRPr="00F1638D">
        <w:rPr>
          <w:rFonts w:ascii="Arial" w:hAnsi="Arial" w:cs="Arial"/>
          <w:color w:val="000000" w:themeColor="text1"/>
          <w:sz w:val="22"/>
          <w:lang w:val="es-ES_tradnl"/>
        </w:rPr>
        <w:t xml:space="preserve">Luego de verificar las condiciones de procedencia de la medida cautelar solicitada, en el auto del 25 de febrero de 2021 la Sección Tercera del Consejo de Estado decreta la suspensión provisional de los apartes de las mencionadas circulares que establecen que dichas entidades deben publicar su </w:t>
      </w:r>
      <w:r w:rsidRPr="00F1638D">
        <w:rPr>
          <w:rFonts w:ascii="Arial" w:hAnsi="Arial" w:cs="Arial"/>
          <w:i/>
          <w:iCs/>
          <w:color w:val="000000" w:themeColor="text1"/>
          <w:sz w:val="22"/>
          <w:lang w:val="es-ES_tradnl"/>
        </w:rPr>
        <w:t>actividad contractual</w:t>
      </w:r>
      <w:r w:rsidRPr="00F1638D">
        <w:rPr>
          <w:rFonts w:ascii="Arial" w:hAnsi="Arial" w:cs="Arial"/>
          <w:color w:val="000000" w:themeColor="text1"/>
          <w:sz w:val="22"/>
          <w:lang w:val="es-ES_tradnl"/>
        </w:rPr>
        <w:t xml:space="preserve"> en el SECOP. Los argumentos en los que se apoya el alto tribunal para suspender provisionalmente tales expresiones son básicamente dos: «(i) las circulares se expidieron por fuera del ámbito de competencia de Colombia Compra Eficiente; y (</w:t>
      </w:r>
      <w:proofErr w:type="spellStart"/>
      <w:r w:rsidRPr="00F1638D">
        <w:rPr>
          <w:rFonts w:ascii="Arial" w:hAnsi="Arial" w:cs="Arial"/>
          <w:color w:val="000000" w:themeColor="text1"/>
          <w:sz w:val="22"/>
          <w:lang w:val="es-ES_tradnl"/>
        </w:rPr>
        <w:t>ii</w:t>
      </w:r>
      <w:proofErr w:type="spellEnd"/>
      <w:r w:rsidRPr="00F1638D">
        <w:rPr>
          <w:rFonts w:ascii="Arial" w:hAnsi="Arial" w:cs="Arial"/>
          <w:color w:val="000000" w:themeColor="text1"/>
          <w:sz w:val="22"/>
          <w:lang w:val="es-ES_tradnl"/>
        </w:rPr>
        <w:t>) las Circulares Externas No. 1 de 21 de junio de 2013 y 20 de 27 de agosto de 2015 contrarían lo previsto en el artículo 3o de la Ley 1150 de 2007»</w:t>
      </w:r>
      <w:r w:rsidRPr="00F1638D">
        <w:rPr>
          <w:rStyle w:val="Refdenotaalpie"/>
          <w:rFonts w:ascii="Arial" w:hAnsi="Arial" w:cs="Arial"/>
          <w:color w:val="000000" w:themeColor="text1"/>
          <w:sz w:val="22"/>
          <w:lang w:val="es-ES_tradnl"/>
        </w:rPr>
        <w:footnoteReference w:id="29"/>
      </w:r>
      <w:r w:rsidRPr="00F1638D">
        <w:rPr>
          <w:rFonts w:ascii="Arial" w:hAnsi="Arial" w:cs="Arial"/>
          <w:color w:val="000000" w:themeColor="text1"/>
          <w:sz w:val="22"/>
          <w:lang w:val="es-ES_tradnl"/>
        </w:rPr>
        <w:t>. La providencia, además, indica que se aparta del auto de la Sección Tercera del 14 de agosto de 2017, que había negado la suspensión provisional de la circular externa No. 1 de 21 de junio de 2013, por considerar que no hace un análisis adecuado sobre la viabilidad de dicha medida y porque no existe en él cosa juzgada.</w:t>
      </w:r>
    </w:p>
    <w:p w14:paraId="59AAC10B" w14:textId="77777777" w:rsidR="00CA482A" w:rsidRPr="00F1638D" w:rsidRDefault="00CA482A" w:rsidP="00CA482A">
      <w:pPr>
        <w:spacing w:before="120" w:line="276" w:lineRule="auto"/>
        <w:ind w:firstLine="709"/>
        <w:jc w:val="both"/>
        <w:rPr>
          <w:rFonts w:ascii="Arial" w:hAnsi="Arial" w:cs="Arial"/>
          <w:color w:val="000000" w:themeColor="text1"/>
          <w:sz w:val="22"/>
          <w:lang w:val="es-ES_tradnl"/>
        </w:rPr>
      </w:pPr>
      <w:r w:rsidRPr="00F1638D">
        <w:rPr>
          <w:rFonts w:ascii="Arial" w:hAnsi="Arial" w:cs="Arial"/>
          <w:color w:val="000000" w:themeColor="text1"/>
          <w:sz w:val="22"/>
          <w:lang w:val="es-ES_tradnl"/>
        </w:rPr>
        <w:t xml:space="preserve">Por otra parte, en el auto del 25 de febrero de 2021 se sostiene que la Agencia Nacional de Contratación Pública – Colombia Compra Eficiente habría contrariado el literal c) del artículo 3 de la Ley 1150 de 2007, porque en las circulares cuya nulidad se demanda equiparó la expresión «información oficial de la contratación» con la de «actividad contractual». En otras palabras, señala que cuando el artículo 3, literal c) de la Ley 1150 de 2007 establece que el SECOP «Contará con la </w:t>
      </w:r>
      <w:r w:rsidRPr="00F1638D">
        <w:rPr>
          <w:rFonts w:ascii="Arial" w:hAnsi="Arial" w:cs="Arial"/>
          <w:i/>
          <w:iCs/>
          <w:color w:val="000000" w:themeColor="text1"/>
          <w:sz w:val="22"/>
          <w:lang w:val="es-ES_tradnl"/>
        </w:rPr>
        <w:t>información oficial</w:t>
      </w:r>
      <w:r w:rsidRPr="00F1638D">
        <w:rPr>
          <w:rFonts w:ascii="Arial" w:hAnsi="Arial" w:cs="Arial"/>
          <w:color w:val="000000" w:themeColor="text1"/>
          <w:sz w:val="22"/>
          <w:lang w:val="es-ES_tradnl"/>
        </w:rPr>
        <w:t xml:space="preserve"> de la contratación realizada con dineros públicos, […]» (cursiva fuera de texto), la expresión «información contractual» no se puede entender, para las entidades estatales que en la contratación se rigen por el derecho privado, como «actividad contractual», porque ello desconoce que aunque contratan con recursos públicos, el alcance del deber de publicidad en aquellas es diferente del que está radicado en las entidades estatales sometidas al Estatuto General de Contratación de la Administración Pública ‒en adelante también EGCAP‒. En consecuencia, para el Consejo de Estado, Colombia Compra eficiente ejerció una potestad reglamentaria sobre el mencionado literal de la Ley 1150 de 2007, para la cual carecía de competencia.</w:t>
      </w:r>
    </w:p>
    <w:p w14:paraId="06BCB2A5" w14:textId="6D1D05C6" w:rsidR="00CA482A" w:rsidRPr="00F1638D" w:rsidRDefault="00CA482A" w:rsidP="00CA482A">
      <w:pPr>
        <w:spacing w:before="120" w:line="276" w:lineRule="auto"/>
        <w:ind w:firstLine="709"/>
        <w:jc w:val="both"/>
        <w:rPr>
          <w:rFonts w:ascii="Arial" w:hAnsi="Arial" w:cs="Arial"/>
          <w:color w:val="000000" w:themeColor="text1"/>
          <w:sz w:val="22"/>
          <w:lang w:val="es-ES_tradnl"/>
        </w:rPr>
      </w:pPr>
      <w:r w:rsidRPr="00F1638D">
        <w:rPr>
          <w:rFonts w:ascii="Arial" w:hAnsi="Arial" w:cs="Arial"/>
          <w:color w:val="000000" w:themeColor="text1"/>
          <w:sz w:val="22"/>
          <w:lang w:val="es-ES_tradnl"/>
        </w:rPr>
        <w:t xml:space="preserve">No obstante, en el auto bajo análisis la Sección Tercera admite que a las entidades exceptuadas de la aplicación del Estatuto General de Contratación de la Administración Pública </w:t>
      </w:r>
      <w:r w:rsidRPr="00F1638D">
        <w:rPr>
          <w:rFonts w:ascii="Arial" w:hAnsi="Arial" w:cs="Arial"/>
          <w:i/>
          <w:iCs/>
          <w:color w:val="000000" w:themeColor="text1"/>
          <w:sz w:val="22"/>
          <w:lang w:val="es-ES_tradnl"/>
        </w:rPr>
        <w:t>sí</w:t>
      </w:r>
      <w:r w:rsidRPr="00F1638D">
        <w:rPr>
          <w:rFonts w:ascii="Arial" w:hAnsi="Arial" w:cs="Arial"/>
          <w:color w:val="000000" w:themeColor="text1"/>
          <w:sz w:val="22"/>
          <w:lang w:val="es-ES_tradnl"/>
        </w:rPr>
        <w:t xml:space="preserve"> les resulta aplicable el deber de publicar la «información oficial de la contratación» en el SECOP, pero no de la manera como precisó el alcance de dicho mandato la Agencia Nacional de Contratación Pública – Colombia Compra Eficiente en las circulares </w:t>
      </w:r>
      <w:proofErr w:type="spellStart"/>
      <w:r w:rsidRPr="00F1638D">
        <w:rPr>
          <w:rFonts w:ascii="Arial" w:hAnsi="Arial" w:cs="Arial"/>
          <w:color w:val="000000" w:themeColor="text1"/>
          <w:sz w:val="22"/>
          <w:lang w:val="es-ES_tradnl"/>
        </w:rPr>
        <w:t>Nº</w:t>
      </w:r>
      <w:proofErr w:type="spellEnd"/>
      <w:r w:rsidRPr="00F1638D">
        <w:rPr>
          <w:rFonts w:ascii="Arial" w:hAnsi="Arial" w:cs="Arial"/>
          <w:color w:val="000000" w:themeColor="text1"/>
          <w:sz w:val="22"/>
          <w:lang w:val="es-ES_tradnl"/>
        </w:rPr>
        <w:t xml:space="preserve"> 1 de 2013 y 20 de 2015. Esto se deduce del siguiente </w:t>
      </w:r>
      <w:r w:rsidR="00385909" w:rsidRPr="00F1638D">
        <w:rPr>
          <w:rFonts w:ascii="Arial" w:hAnsi="Arial" w:cs="Arial"/>
          <w:color w:val="000000" w:themeColor="text1"/>
          <w:sz w:val="22"/>
          <w:lang w:val="es-ES_tradnl"/>
        </w:rPr>
        <w:t xml:space="preserve">aparte </w:t>
      </w:r>
      <w:r w:rsidRPr="00F1638D">
        <w:rPr>
          <w:rFonts w:ascii="Arial" w:hAnsi="Arial" w:cs="Arial"/>
          <w:color w:val="000000" w:themeColor="text1"/>
          <w:sz w:val="22"/>
          <w:lang w:val="es-ES_tradnl"/>
        </w:rPr>
        <w:t xml:space="preserve">del auto: «Las Circulares Externas </w:t>
      </w:r>
      <w:r w:rsidRPr="00F1638D">
        <w:rPr>
          <w:rFonts w:ascii="Arial" w:hAnsi="Arial" w:cs="Arial"/>
          <w:color w:val="000000" w:themeColor="text1"/>
          <w:sz w:val="22"/>
          <w:lang w:val="es-ES_tradnl"/>
        </w:rPr>
        <w:lastRenderedPageBreak/>
        <w:t>No. 1 de 2013 y 20 de 2015 exceden lo establecido en literal c) del artículo 3o de la Ley 1150 de 2007. Aunque dicho aparte es aplicable a las entidades que no están regidas por el Estatuto General de Contratación de la Administración Pública, los actos demandados le dan un alcance indebido a la expresión “información oficial de la contratación”»</w:t>
      </w:r>
      <w:r w:rsidRPr="00F1638D">
        <w:rPr>
          <w:rStyle w:val="Refdenotaalpie"/>
          <w:rFonts w:ascii="Arial" w:hAnsi="Arial" w:cs="Arial"/>
          <w:color w:val="000000" w:themeColor="text1"/>
          <w:sz w:val="22"/>
          <w:lang w:val="es-ES_tradnl"/>
        </w:rPr>
        <w:footnoteReference w:id="30"/>
      </w:r>
      <w:r w:rsidRPr="00F1638D">
        <w:rPr>
          <w:rFonts w:ascii="Arial" w:hAnsi="Arial" w:cs="Arial"/>
          <w:color w:val="000000" w:themeColor="text1"/>
          <w:sz w:val="22"/>
          <w:lang w:val="es-ES_tradnl"/>
        </w:rPr>
        <w:t>. Para el Consejo de Estado, quien debe decir qué debe entenderse por la expresión «información oficial de la contratación» es el legislador o a lo sumo el gobierno nacional a través de un decreto reglamentario, no la Agencia mediante una circular.</w:t>
      </w:r>
    </w:p>
    <w:p w14:paraId="101E09C9" w14:textId="77777777" w:rsidR="00CA482A" w:rsidRPr="00F1638D" w:rsidRDefault="00CA482A" w:rsidP="00CA482A">
      <w:pPr>
        <w:spacing w:before="120" w:line="276" w:lineRule="auto"/>
        <w:ind w:firstLine="709"/>
        <w:jc w:val="both"/>
        <w:rPr>
          <w:rFonts w:ascii="Arial" w:hAnsi="Arial" w:cs="Arial"/>
          <w:sz w:val="22"/>
          <w:szCs w:val="22"/>
          <w:lang w:val="es-ES_tradnl"/>
        </w:rPr>
      </w:pPr>
      <w:r w:rsidRPr="00F1638D">
        <w:rPr>
          <w:rFonts w:ascii="Arial" w:hAnsi="Arial" w:cs="Arial"/>
          <w:color w:val="000000" w:themeColor="text1"/>
          <w:sz w:val="22"/>
          <w:szCs w:val="22"/>
          <w:lang w:val="es-ES_tradnl"/>
        </w:rPr>
        <w:t>Sin embargo, se destaca de nuevo que en el auto del 25 de febrero de 2021 el Consejo de Estado no expresa que las entidades estatales que se rigen por el derecho privado en su actividad contractual no deban publicar la «información oficial de la contratación» en el SECOP. Todo lo contrario. La máxima corporación judicial aclara en varios apartados del auto que el artículo 3 de la Ley 1150 de 2007 –y específicamente, el literal c)– también debe ser acatado por dichas entidades. En efecto, para el Consejo de Estado, hay disposiciones de esta Ley que son transversales a la contratación estatal –o sea, que vinculan también a las entidades exceptuadas–, y que «</w:t>
      </w:r>
      <w:r w:rsidRPr="00F1638D">
        <w:rPr>
          <w:rFonts w:ascii="Arial" w:hAnsi="Arial" w:cs="Arial"/>
          <w:sz w:val="22"/>
          <w:szCs w:val="22"/>
          <w:lang w:val="es-ES_tradnl"/>
        </w:rPr>
        <w:t>No hay duda de que el literal c) del artículo 3o pertenece a este grupo de normas. Expresamente establece que ese aparte del artículo se aplica a la “</w:t>
      </w:r>
      <w:r w:rsidRPr="00F1638D">
        <w:rPr>
          <w:rFonts w:ascii="Arial" w:hAnsi="Arial" w:cs="Arial"/>
          <w:i/>
          <w:iCs/>
          <w:sz w:val="22"/>
          <w:szCs w:val="22"/>
          <w:lang w:val="es-ES_tradnl"/>
        </w:rPr>
        <w:t>contratación realizada con dineros públicos</w:t>
      </w:r>
      <w:r w:rsidRPr="00F1638D">
        <w:rPr>
          <w:rFonts w:ascii="Arial" w:hAnsi="Arial" w:cs="Arial"/>
          <w:sz w:val="22"/>
          <w:szCs w:val="22"/>
          <w:lang w:val="es-ES_tradnl"/>
        </w:rPr>
        <w:t>”. Para su aplicación resulta irrelevante el régimen contractual del contrato. La publicación de la información oficial de la contratación debe realizarse si los negocios jurídicos adelantados fueron financiados con recursos públicos»</w:t>
      </w:r>
      <w:r w:rsidRPr="00F1638D">
        <w:rPr>
          <w:rStyle w:val="Refdenotaalpie"/>
          <w:rFonts w:ascii="Arial" w:hAnsi="Arial" w:cs="Arial"/>
          <w:sz w:val="22"/>
          <w:szCs w:val="22"/>
          <w:lang w:val="es-ES_tradnl"/>
        </w:rPr>
        <w:footnoteReference w:id="31"/>
      </w:r>
      <w:r w:rsidRPr="00F1638D">
        <w:rPr>
          <w:rFonts w:ascii="Arial" w:hAnsi="Arial" w:cs="Arial"/>
          <w:sz w:val="22"/>
          <w:szCs w:val="22"/>
          <w:lang w:val="es-ES_tradnl"/>
        </w:rPr>
        <w:t xml:space="preserve">. </w:t>
      </w:r>
    </w:p>
    <w:p w14:paraId="6B6A0D14" w14:textId="77777777" w:rsidR="00CA482A" w:rsidRPr="00F1638D" w:rsidRDefault="00CA482A" w:rsidP="00CA482A">
      <w:pPr>
        <w:spacing w:before="120" w:line="276" w:lineRule="auto"/>
        <w:ind w:firstLine="709"/>
        <w:jc w:val="both"/>
        <w:rPr>
          <w:rFonts w:ascii="Arial" w:hAnsi="Arial" w:cs="Arial"/>
          <w:sz w:val="22"/>
          <w:szCs w:val="22"/>
          <w:lang w:val="es-ES_tradnl"/>
        </w:rPr>
      </w:pPr>
      <w:r w:rsidRPr="00F1638D">
        <w:rPr>
          <w:rFonts w:ascii="Arial" w:hAnsi="Arial" w:cs="Arial"/>
          <w:sz w:val="22"/>
          <w:szCs w:val="22"/>
          <w:lang w:val="es-ES_tradnl"/>
        </w:rPr>
        <w:t xml:space="preserve">El Consejo de Estado señala, por tanto, en armonía con lo sostenido por esta Agencia, que el mandato de publicar la «información oficial de la contratación» se predica de la contratación </w:t>
      </w:r>
      <w:r w:rsidRPr="00F1638D">
        <w:rPr>
          <w:rFonts w:ascii="Arial" w:hAnsi="Arial" w:cs="Arial"/>
          <w:i/>
          <w:iCs/>
          <w:sz w:val="22"/>
          <w:szCs w:val="22"/>
          <w:lang w:val="es-ES_tradnl"/>
        </w:rPr>
        <w:t>con recursos públicos</w:t>
      </w:r>
      <w:r w:rsidRPr="00F1638D">
        <w:rPr>
          <w:rFonts w:ascii="Arial" w:hAnsi="Arial" w:cs="Arial"/>
          <w:sz w:val="22"/>
          <w:szCs w:val="22"/>
          <w:lang w:val="es-ES_tradnl"/>
        </w:rPr>
        <w:t xml:space="preserve">, independientemente de si es adelantada por una entidad estatal sometida o exceptuada del Estatuto General de Contratación de la Administración Pública ‒EGCAP‒. Sin embargo, aclara que el alcance de dicha obligación no es igual para las entidades que se rigen por la Ley 80 de 1993 y demás normas complementarias, que para las que aplican el derecho privado o cuentan con un régimen especial. Al respecto, afirma que mientras que una entidad sometida al EGCAP debe publicar «todos los actos relacionados con la actividad contractual», esto mismo no lo exige el artículo 3 de la Ley 1150 de 2007 para las entidades exceptuadas de dicho Estatuto. Según el alto tribunal, esta interpretación es acorde con los principios de publicidad y de la gestión fiscal, consagrados en los artículo 209 y 267 de la Constitución, respectivamente, así como con los principios de igualdad y de libertad de empresa previstos en los artículos 13 y 333 de la misma Carta, en la medida en que, como la mayoría de las entidades exceptuadas del Estatuto General de Contratación de la Administración Pública actúan en competencia en el mercado, exigir que deban publicar en el SECOP la información de toda </w:t>
      </w:r>
      <w:r w:rsidRPr="00F1638D">
        <w:rPr>
          <w:rFonts w:ascii="Arial" w:hAnsi="Arial" w:cs="Arial"/>
          <w:sz w:val="22"/>
          <w:szCs w:val="22"/>
          <w:lang w:val="es-ES_tradnl"/>
        </w:rPr>
        <w:lastRenderedPageBreak/>
        <w:t>la actividad contractual podría ponerlas en una situación de desventaja respecto de sus competidores.</w:t>
      </w:r>
    </w:p>
    <w:p w14:paraId="5E84A6C9" w14:textId="77777777" w:rsidR="00CA482A" w:rsidRPr="00F1638D" w:rsidRDefault="00CA482A" w:rsidP="00CA482A">
      <w:pPr>
        <w:spacing w:before="120" w:line="276" w:lineRule="auto"/>
        <w:ind w:firstLine="709"/>
        <w:jc w:val="both"/>
        <w:rPr>
          <w:rFonts w:ascii="Arial" w:hAnsi="Arial" w:cs="Arial"/>
          <w:color w:val="000000" w:themeColor="text1"/>
          <w:sz w:val="22"/>
          <w:lang w:val="es-ES_tradnl"/>
        </w:rPr>
      </w:pPr>
      <w:r w:rsidRPr="00F1638D">
        <w:rPr>
          <w:rFonts w:ascii="Arial" w:hAnsi="Arial" w:cs="Arial"/>
          <w:sz w:val="22"/>
          <w:szCs w:val="22"/>
          <w:lang w:val="es-ES_tradnl"/>
        </w:rPr>
        <w:t xml:space="preserve">Sin embargo, como se indicó al inicio de este numeral, en el auto del 25 de febrero de 2021 no se decreta la suspensión provisional de todo el contenido de las circulares </w:t>
      </w:r>
      <w:r w:rsidRPr="00F1638D">
        <w:rPr>
          <w:rFonts w:ascii="Arial" w:hAnsi="Arial" w:cs="Arial"/>
          <w:color w:val="000000" w:themeColor="text1"/>
          <w:sz w:val="22"/>
          <w:lang w:val="es-ES_tradnl"/>
        </w:rPr>
        <w:t xml:space="preserve">No. 1 de 2013 y No. 20 de 2015, sino de las expresiones que empleaban la frase «actividad contractual». De este modo, siendo coherente con la argumentación utilizada en la providencia, el Consejo de Estado mantiene incólume el deber de las entidades exceptuadas del Estatuto General de Contratación de la Administración Pública de publicar la «información oficial de la contratación» en el SECOP. En efecto, con el mencionado auto dichas circulares </w:t>
      </w:r>
      <w:r w:rsidRPr="00F1638D">
        <w:rPr>
          <w:rFonts w:ascii="Arial" w:hAnsi="Arial" w:cs="Arial"/>
          <w:i/>
          <w:iCs/>
          <w:color w:val="000000" w:themeColor="text1"/>
          <w:sz w:val="22"/>
          <w:lang w:val="es-ES_tradnl"/>
        </w:rPr>
        <w:t>quedaron vigentes</w:t>
      </w:r>
      <w:r w:rsidRPr="00F1638D">
        <w:rPr>
          <w:rFonts w:ascii="Arial" w:hAnsi="Arial" w:cs="Arial"/>
          <w:color w:val="000000" w:themeColor="text1"/>
          <w:sz w:val="22"/>
          <w:lang w:val="es-ES_tradnl"/>
        </w:rPr>
        <w:t>, redactadas en los siguientes términos –solo hay que entender suspendidas las expresiones tachadas–:</w:t>
      </w:r>
    </w:p>
    <w:p w14:paraId="21FF43DD" w14:textId="77777777" w:rsidR="00CA482A" w:rsidRPr="00F1638D" w:rsidRDefault="00CA482A" w:rsidP="00CA482A">
      <w:pPr>
        <w:ind w:left="709" w:right="709"/>
        <w:jc w:val="both"/>
        <w:rPr>
          <w:rFonts w:ascii="Arial" w:hAnsi="Arial" w:cs="Arial"/>
          <w:color w:val="000000" w:themeColor="text1"/>
          <w:sz w:val="21"/>
          <w:szCs w:val="21"/>
          <w:lang w:val="es-ES_tradnl"/>
        </w:rPr>
      </w:pPr>
    </w:p>
    <w:p w14:paraId="58DB3CC4" w14:textId="77777777" w:rsidR="00CA482A" w:rsidRPr="00F1638D" w:rsidRDefault="00CA482A" w:rsidP="00CA482A">
      <w:pPr>
        <w:widowControl w:val="0"/>
        <w:ind w:left="709" w:right="709"/>
        <w:jc w:val="both"/>
        <w:rPr>
          <w:rFonts w:ascii="Arial" w:eastAsia="Arial" w:hAnsi="Arial" w:cs="Arial"/>
          <w:sz w:val="21"/>
          <w:szCs w:val="21"/>
          <w:lang w:val="es-ES_tradnl"/>
        </w:rPr>
      </w:pPr>
      <w:r w:rsidRPr="00F1638D">
        <w:rPr>
          <w:rFonts w:ascii="Arial" w:eastAsia="Arial" w:hAnsi="Arial" w:cs="Arial"/>
          <w:sz w:val="21"/>
          <w:szCs w:val="21"/>
          <w:lang w:val="es-ES_tradnl"/>
        </w:rPr>
        <w:t>Circular Externa No. 1 del 21 de junio de 2013:</w:t>
      </w:r>
    </w:p>
    <w:p w14:paraId="6DB70FFB" w14:textId="77777777" w:rsidR="00CA482A" w:rsidRPr="00F1638D" w:rsidRDefault="00CA482A" w:rsidP="00CA482A">
      <w:pPr>
        <w:widowControl w:val="0"/>
        <w:ind w:left="709" w:right="709"/>
        <w:jc w:val="both"/>
        <w:rPr>
          <w:rFonts w:ascii="Arial" w:eastAsia="Arial" w:hAnsi="Arial" w:cs="Arial"/>
          <w:sz w:val="21"/>
          <w:szCs w:val="21"/>
          <w:lang w:val="es-ES_tradnl"/>
        </w:rPr>
      </w:pPr>
    </w:p>
    <w:p w14:paraId="22ECF5CA" w14:textId="77777777" w:rsidR="00CA482A" w:rsidRPr="00F1638D" w:rsidRDefault="00CA482A" w:rsidP="00CA482A">
      <w:pPr>
        <w:ind w:left="709" w:right="709"/>
        <w:jc w:val="both"/>
        <w:rPr>
          <w:rFonts w:ascii="Arial" w:eastAsia="Arial" w:hAnsi="Arial" w:cs="Arial"/>
          <w:i/>
          <w:sz w:val="21"/>
          <w:szCs w:val="21"/>
          <w:lang w:val="es-ES_tradnl"/>
        </w:rPr>
      </w:pPr>
      <w:r w:rsidRPr="00F1638D">
        <w:rPr>
          <w:rFonts w:ascii="Arial" w:eastAsia="Arial" w:hAnsi="Arial" w:cs="Arial"/>
          <w:i/>
          <w:sz w:val="21"/>
          <w:szCs w:val="21"/>
          <w:lang w:val="es-ES_tradnl"/>
        </w:rPr>
        <w:t>&lt;&lt;Para: Entidades que contratan con recursos públicos</w:t>
      </w:r>
    </w:p>
    <w:p w14:paraId="779E058B" w14:textId="77777777" w:rsidR="00CA482A" w:rsidRPr="00F1638D" w:rsidRDefault="00CA482A" w:rsidP="00CA482A">
      <w:pPr>
        <w:ind w:left="709" w:right="709"/>
        <w:jc w:val="both"/>
        <w:rPr>
          <w:rFonts w:ascii="Arial" w:eastAsia="Arial" w:hAnsi="Arial" w:cs="Arial"/>
          <w:i/>
          <w:sz w:val="21"/>
          <w:szCs w:val="21"/>
          <w:lang w:val="es-ES_tradnl"/>
        </w:rPr>
      </w:pPr>
      <w:r w:rsidRPr="00F1638D">
        <w:rPr>
          <w:rFonts w:ascii="Arial" w:eastAsia="Arial" w:hAnsi="Arial" w:cs="Arial"/>
          <w:i/>
          <w:sz w:val="21"/>
          <w:szCs w:val="21"/>
          <w:lang w:val="es-ES_tradnl"/>
        </w:rPr>
        <w:t xml:space="preserve">Asunto: Publicación </w:t>
      </w:r>
      <w:r w:rsidRPr="00F1638D">
        <w:rPr>
          <w:rFonts w:ascii="Arial" w:eastAsia="Arial" w:hAnsi="Arial" w:cs="Arial"/>
          <w:i/>
          <w:strike/>
          <w:sz w:val="21"/>
          <w:szCs w:val="21"/>
          <w:lang w:val="es-ES_tradnl"/>
        </w:rPr>
        <w:t>de la actividad contractual</w:t>
      </w:r>
      <w:r w:rsidRPr="00F1638D">
        <w:rPr>
          <w:rFonts w:ascii="Arial" w:eastAsia="Arial" w:hAnsi="Arial" w:cs="Arial"/>
          <w:i/>
          <w:sz w:val="21"/>
          <w:szCs w:val="21"/>
          <w:lang w:val="es-ES_tradnl"/>
        </w:rPr>
        <w:t xml:space="preserve"> en el SECOP</w:t>
      </w:r>
    </w:p>
    <w:p w14:paraId="0447AA6C" w14:textId="77777777" w:rsidR="00CA482A" w:rsidRPr="00F1638D" w:rsidRDefault="00CA482A" w:rsidP="00CA482A">
      <w:pPr>
        <w:widowControl w:val="0"/>
        <w:ind w:left="709" w:right="709"/>
        <w:jc w:val="both"/>
        <w:rPr>
          <w:rFonts w:ascii="Arial" w:eastAsia="Arial" w:hAnsi="Arial" w:cs="Arial"/>
          <w:i/>
          <w:sz w:val="21"/>
          <w:szCs w:val="21"/>
          <w:lang w:val="es-ES_tradnl"/>
        </w:rPr>
      </w:pPr>
    </w:p>
    <w:p w14:paraId="4C61ADB3" w14:textId="77777777" w:rsidR="00CA482A" w:rsidRPr="00F1638D" w:rsidRDefault="00CA482A" w:rsidP="00CA482A">
      <w:pPr>
        <w:ind w:left="709" w:right="709"/>
        <w:jc w:val="both"/>
        <w:rPr>
          <w:rFonts w:ascii="Arial" w:eastAsia="Arial" w:hAnsi="Arial" w:cs="Arial"/>
          <w:i/>
          <w:sz w:val="21"/>
          <w:szCs w:val="21"/>
          <w:lang w:val="es-ES_tradnl"/>
        </w:rPr>
      </w:pPr>
      <w:r w:rsidRPr="00F1638D">
        <w:rPr>
          <w:rFonts w:ascii="Arial" w:eastAsia="Arial" w:hAnsi="Arial" w:cs="Arial"/>
          <w:i/>
          <w:sz w:val="21"/>
          <w:szCs w:val="21"/>
          <w:lang w:val="es-ES_tradnl"/>
        </w:rPr>
        <w:t xml:space="preserve">La Agencia Nacional de Contratación Pública -Colombia Compra Eficiente- en cumplimiento de su objetivo como ente rector del sistema de compras y contratación pública, recuerda a todas las entidades del Estado la obligación de publicar </w:t>
      </w:r>
      <w:r w:rsidRPr="00F1638D">
        <w:rPr>
          <w:rFonts w:ascii="Arial" w:eastAsia="Arial" w:hAnsi="Arial" w:cs="Arial"/>
          <w:i/>
          <w:strike/>
          <w:sz w:val="21"/>
          <w:szCs w:val="21"/>
          <w:lang w:val="es-ES_tradnl"/>
        </w:rPr>
        <w:t xml:space="preserve">su actividad contractual </w:t>
      </w:r>
      <w:r w:rsidRPr="00F1638D">
        <w:rPr>
          <w:rFonts w:ascii="Arial" w:eastAsia="Arial" w:hAnsi="Arial" w:cs="Arial"/>
          <w:i/>
          <w:sz w:val="21"/>
          <w:szCs w:val="21"/>
          <w:lang w:val="es-ES_tradnl"/>
        </w:rPr>
        <w:t>en el Sistema Electrónico para la Contratación Pública -SECOP-.</w:t>
      </w:r>
    </w:p>
    <w:p w14:paraId="5A519C45" w14:textId="77777777" w:rsidR="00CA482A" w:rsidRPr="00F1638D" w:rsidRDefault="00CA482A" w:rsidP="00CA482A">
      <w:pPr>
        <w:widowControl w:val="0"/>
        <w:ind w:left="709" w:right="709"/>
        <w:jc w:val="both"/>
        <w:rPr>
          <w:rFonts w:ascii="Arial" w:eastAsia="Arial" w:hAnsi="Arial" w:cs="Arial"/>
          <w:i/>
          <w:sz w:val="21"/>
          <w:szCs w:val="21"/>
          <w:lang w:val="es-ES_tradnl"/>
        </w:rPr>
      </w:pPr>
    </w:p>
    <w:p w14:paraId="07E4E0A8" w14:textId="77777777" w:rsidR="00CA482A" w:rsidRPr="00F1638D" w:rsidRDefault="00CA482A" w:rsidP="00CA482A">
      <w:pPr>
        <w:ind w:left="709" w:right="709"/>
        <w:jc w:val="both"/>
        <w:rPr>
          <w:rFonts w:ascii="Arial" w:eastAsia="Arial" w:hAnsi="Arial" w:cs="Arial"/>
          <w:i/>
          <w:sz w:val="21"/>
          <w:szCs w:val="21"/>
          <w:lang w:val="es-ES_tradnl"/>
        </w:rPr>
      </w:pPr>
      <w:r w:rsidRPr="00F1638D">
        <w:rPr>
          <w:rFonts w:ascii="Arial" w:eastAsia="Arial" w:hAnsi="Arial" w:cs="Arial"/>
          <w:i/>
          <w:sz w:val="21"/>
          <w:szCs w:val="21"/>
          <w:lang w:val="es-ES_tradnl"/>
        </w:rPr>
        <w:t xml:space="preserve">Las entidades que contratan con cargo a recursos públicos están obligadas a publicar oportunamente </w:t>
      </w:r>
      <w:r w:rsidRPr="00F1638D">
        <w:rPr>
          <w:rFonts w:ascii="Arial" w:eastAsia="Arial" w:hAnsi="Arial" w:cs="Arial"/>
          <w:i/>
          <w:strike/>
          <w:sz w:val="21"/>
          <w:szCs w:val="21"/>
          <w:lang w:val="es-ES_tradnl"/>
        </w:rPr>
        <w:t>su actividad contractual</w:t>
      </w:r>
      <w:r w:rsidRPr="00F1638D">
        <w:rPr>
          <w:rFonts w:ascii="Arial" w:eastAsia="Arial" w:hAnsi="Arial" w:cs="Arial"/>
          <w:i/>
          <w:sz w:val="21"/>
          <w:szCs w:val="21"/>
          <w:lang w:val="es-ES_tradnl"/>
        </w:rPr>
        <w:t xml:space="preserve"> en el SECOP, sin que sea relevante para la exigencia de esta obligación su régimen jurídico, naturaleza de público o privado o la pertenencia a una u otra rama del poder público. Las instituciones que ejecutan recursos públicos sin ser entidades del Estado están obligadas a publicar en el SECOP </w:t>
      </w:r>
      <w:r w:rsidRPr="00F1638D">
        <w:rPr>
          <w:rFonts w:ascii="Arial" w:eastAsia="Arial" w:hAnsi="Arial" w:cs="Arial"/>
          <w:i/>
          <w:strike/>
          <w:sz w:val="21"/>
          <w:szCs w:val="21"/>
          <w:lang w:val="es-ES_tradnl"/>
        </w:rPr>
        <w:t>su actividad contractual</w:t>
      </w:r>
      <w:r w:rsidRPr="00F1638D">
        <w:rPr>
          <w:rFonts w:ascii="Arial" w:eastAsia="Arial" w:hAnsi="Arial" w:cs="Arial"/>
          <w:i/>
          <w:sz w:val="21"/>
          <w:szCs w:val="21"/>
          <w:lang w:val="es-ES_tradnl"/>
        </w:rPr>
        <w:t xml:space="preserve"> que se ejecute con cargo a recursos públicos.</w:t>
      </w:r>
    </w:p>
    <w:p w14:paraId="728B3B7C" w14:textId="77777777" w:rsidR="00CA482A" w:rsidRPr="00F1638D" w:rsidRDefault="00CA482A" w:rsidP="00CA482A">
      <w:pPr>
        <w:widowControl w:val="0"/>
        <w:ind w:left="709" w:right="709"/>
        <w:jc w:val="both"/>
        <w:rPr>
          <w:rFonts w:ascii="Arial" w:eastAsia="Arial" w:hAnsi="Arial" w:cs="Arial"/>
          <w:i/>
          <w:sz w:val="21"/>
          <w:szCs w:val="21"/>
          <w:lang w:val="es-ES_tradnl"/>
        </w:rPr>
      </w:pPr>
    </w:p>
    <w:p w14:paraId="6275F590" w14:textId="77777777" w:rsidR="00CA482A" w:rsidRPr="00F1638D" w:rsidRDefault="00CA482A" w:rsidP="00CA482A">
      <w:pPr>
        <w:ind w:left="709" w:right="709"/>
        <w:jc w:val="both"/>
        <w:rPr>
          <w:rFonts w:ascii="Arial" w:eastAsia="Arial" w:hAnsi="Arial" w:cs="Arial"/>
          <w:i/>
          <w:sz w:val="21"/>
          <w:szCs w:val="21"/>
          <w:lang w:val="es-ES_tradnl"/>
        </w:rPr>
      </w:pPr>
      <w:r w:rsidRPr="00F1638D">
        <w:rPr>
          <w:rFonts w:ascii="Arial" w:eastAsia="Arial" w:hAnsi="Arial" w:cs="Arial"/>
          <w:i/>
          <w:sz w:val="21"/>
          <w:szCs w:val="21"/>
          <w:lang w:val="es-ES_tradnl"/>
        </w:rPr>
        <w:t>La publicación en gacetas locales, regionales o diarios de amplia circulación nacional, departamental o municipal solamente es obligatoria cuando es la forma de cumplir con una obligación de carácter tributario establecida en acuerdos u ordenanzas, y en ningún caso remplaza la publicación en el SECOP.</w:t>
      </w:r>
    </w:p>
    <w:p w14:paraId="625A7658" w14:textId="77777777" w:rsidR="00CA482A" w:rsidRPr="00F1638D" w:rsidRDefault="00CA482A" w:rsidP="00CA482A">
      <w:pPr>
        <w:widowControl w:val="0"/>
        <w:ind w:left="709" w:right="709"/>
        <w:jc w:val="both"/>
        <w:rPr>
          <w:rFonts w:ascii="Arial" w:eastAsia="Arial" w:hAnsi="Arial" w:cs="Arial"/>
          <w:i/>
          <w:sz w:val="21"/>
          <w:szCs w:val="21"/>
          <w:lang w:val="es-ES_tradnl"/>
        </w:rPr>
      </w:pPr>
    </w:p>
    <w:p w14:paraId="437AF06D" w14:textId="77777777" w:rsidR="00CA482A" w:rsidRPr="00F1638D" w:rsidRDefault="00CA482A" w:rsidP="00CA482A">
      <w:pPr>
        <w:ind w:left="709" w:right="709"/>
        <w:jc w:val="both"/>
        <w:rPr>
          <w:rFonts w:ascii="Arial" w:eastAsia="Arial" w:hAnsi="Arial" w:cs="Arial"/>
          <w:i/>
          <w:sz w:val="21"/>
          <w:szCs w:val="21"/>
          <w:lang w:val="es-ES_tradnl"/>
        </w:rPr>
      </w:pPr>
      <w:r w:rsidRPr="00F1638D">
        <w:rPr>
          <w:rFonts w:ascii="Arial" w:eastAsia="Arial" w:hAnsi="Arial" w:cs="Arial"/>
          <w:i/>
          <w:sz w:val="21"/>
          <w:szCs w:val="21"/>
          <w:lang w:val="es-ES_tradnl"/>
        </w:rPr>
        <w:t xml:space="preserve">Las entidades que contraten de acuerdo con regímenes especiales deben publicar </w:t>
      </w:r>
      <w:r w:rsidRPr="00F1638D">
        <w:rPr>
          <w:rFonts w:ascii="Arial" w:eastAsia="Arial" w:hAnsi="Arial" w:cs="Arial"/>
          <w:i/>
          <w:strike/>
          <w:sz w:val="21"/>
          <w:szCs w:val="21"/>
          <w:lang w:val="es-ES_tradnl"/>
        </w:rPr>
        <w:t>la actividad contractual</w:t>
      </w:r>
      <w:r w:rsidRPr="00F1638D">
        <w:rPr>
          <w:rFonts w:ascii="Arial" w:eastAsia="Arial" w:hAnsi="Arial" w:cs="Arial"/>
          <w:i/>
          <w:sz w:val="21"/>
          <w:szCs w:val="21"/>
          <w:lang w:val="es-ES_tradnl"/>
        </w:rPr>
        <w:t xml:space="preserve"> en el SECOP utilizando la clasificación "régimen especial".</w:t>
      </w:r>
    </w:p>
    <w:p w14:paraId="5E6652FF" w14:textId="77777777" w:rsidR="00CA482A" w:rsidRPr="00F1638D" w:rsidRDefault="00CA482A" w:rsidP="00CA482A">
      <w:pPr>
        <w:widowControl w:val="0"/>
        <w:ind w:left="709" w:right="709"/>
        <w:jc w:val="both"/>
        <w:rPr>
          <w:rFonts w:ascii="Arial" w:eastAsia="Arial" w:hAnsi="Arial" w:cs="Arial"/>
          <w:i/>
          <w:sz w:val="21"/>
          <w:szCs w:val="21"/>
          <w:lang w:val="es-ES_tradnl"/>
        </w:rPr>
      </w:pPr>
    </w:p>
    <w:p w14:paraId="168AF2D5" w14:textId="77777777" w:rsidR="00CA482A" w:rsidRPr="00F1638D" w:rsidRDefault="00CA482A" w:rsidP="00CA482A">
      <w:pPr>
        <w:ind w:left="709" w:right="709"/>
        <w:jc w:val="both"/>
        <w:rPr>
          <w:rFonts w:ascii="Arial" w:eastAsia="Arial" w:hAnsi="Arial" w:cs="Arial"/>
          <w:sz w:val="21"/>
          <w:szCs w:val="21"/>
          <w:lang w:val="es-ES_tradnl"/>
        </w:rPr>
      </w:pPr>
      <w:r w:rsidRPr="00F1638D">
        <w:rPr>
          <w:rFonts w:ascii="Arial" w:eastAsia="Arial" w:hAnsi="Arial" w:cs="Arial"/>
          <w:i/>
          <w:sz w:val="21"/>
          <w:szCs w:val="21"/>
          <w:lang w:val="es-ES_tradnl"/>
        </w:rPr>
        <w:t xml:space="preserve">En http://www.colombiacompra.gov.co/es/compradores está publicado el instructivo para obtener el permiso para publicar </w:t>
      </w:r>
      <w:r w:rsidRPr="00F1638D">
        <w:rPr>
          <w:rFonts w:ascii="Arial" w:eastAsia="Arial" w:hAnsi="Arial" w:cs="Arial"/>
          <w:i/>
          <w:strike/>
          <w:sz w:val="21"/>
          <w:szCs w:val="21"/>
          <w:lang w:val="es-ES_tradnl"/>
        </w:rPr>
        <w:t>la actividad contractual</w:t>
      </w:r>
      <w:r w:rsidRPr="00F1638D">
        <w:rPr>
          <w:rFonts w:ascii="Arial" w:eastAsia="Arial" w:hAnsi="Arial" w:cs="Arial"/>
          <w:i/>
          <w:sz w:val="21"/>
          <w:szCs w:val="21"/>
          <w:lang w:val="es-ES_tradnl"/>
        </w:rPr>
        <w:t>. Si tiene dudas sobre el particular comuníquese en Bogotá al 5953525 opción 5 y para el resto del país al 018000952525 opción 5.&gt;&gt;</w:t>
      </w:r>
    </w:p>
    <w:p w14:paraId="6B9281F5" w14:textId="77777777" w:rsidR="00CA482A" w:rsidRPr="00F1638D" w:rsidRDefault="00CA482A" w:rsidP="00CA482A">
      <w:pPr>
        <w:widowControl w:val="0"/>
        <w:ind w:left="709" w:right="709"/>
        <w:jc w:val="both"/>
        <w:rPr>
          <w:rFonts w:ascii="Arial" w:eastAsia="Arial" w:hAnsi="Arial" w:cs="Arial"/>
          <w:sz w:val="21"/>
          <w:szCs w:val="21"/>
          <w:lang w:val="es-ES_tradnl"/>
        </w:rPr>
      </w:pPr>
    </w:p>
    <w:p w14:paraId="6E909720" w14:textId="77777777" w:rsidR="00CA482A" w:rsidRPr="00F1638D" w:rsidRDefault="00CA482A" w:rsidP="00CA482A">
      <w:pPr>
        <w:widowControl w:val="0"/>
        <w:ind w:left="709" w:right="709"/>
        <w:jc w:val="both"/>
        <w:rPr>
          <w:rFonts w:ascii="Arial" w:eastAsia="Arial" w:hAnsi="Arial" w:cs="Arial"/>
          <w:sz w:val="21"/>
          <w:szCs w:val="21"/>
          <w:u w:val="single"/>
          <w:lang w:val="es-ES_tradnl"/>
        </w:rPr>
      </w:pPr>
      <w:r w:rsidRPr="00F1638D">
        <w:rPr>
          <w:rFonts w:ascii="Arial" w:eastAsia="Arial" w:hAnsi="Arial" w:cs="Arial"/>
          <w:sz w:val="21"/>
          <w:szCs w:val="21"/>
          <w:u w:val="single"/>
          <w:lang w:val="es-ES_tradnl"/>
        </w:rPr>
        <w:t>Circular Externa No. 20 del 27 de agosto de 2015:</w:t>
      </w:r>
    </w:p>
    <w:p w14:paraId="3C02A208" w14:textId="77777777" w:rsidR="00CA482A" w:rsidRPr="00F1638D" w:rsidRDefault="00CA482A" w:rsidP="00CA482A">
      <w:pPr>
        <w:widowControl w:val="0"/>
        <w:ind w:left="709" w:right="709"/>
        <w:jc w:val="both"/>
        <w:rPr>
          <w:rFonts w:ascii="Arial" w:eastAsia="Arial" w:hAnsi="Arial" w:cs="Arial"/>
          <w:sz w:val="21"/>
          <w:szCs w:val="21"/>
          <w:lang w:val="es-ES_tradnl"/>
        </w:rPr>
      </w:pPr>
    </w:p>
    <w:p w14:paraId="4C0EED0A" w14:textId="77777777" w:rsidR="00CA482A" w:rsidRPr="00F1638D" w:rsidRDefault="00CA482A" w:rsidP="00CA482A">
      <w:pPr>
        <w:ind w:left="709" w:right="709"/>
        <w:jc w:val="both"/>
        <w:rPr>
          <w:rFonts w:ascii="Arial" w:eastAsia="Arial" w:hAnsi="Arial" w:cs="Arial"/>
          <w:i/>
          <w:sz w:val="21"/>
          <w:szCs w:val="21"/>
          <w:lang w:val="es-ES_tradnl"/>
        </w:rPr>
      </w:pPr>
      <w:r w:rsidRPr="00F1638D">
        <w:rPr>
          <w:rFonts w:ascii="Arial" w:eastAsia="Arial" w:hAnsi="Arial" w:cs="Arial"/>
          <w:i/>
          <w:sz w:val="21"/>
          <w:szCs w:val="21"/>
          <w:lang w:val="es-ES_tradnl"/>
        </w:rPr>
        <w:t xml:space="preserve">&lt;&lt;Para: Entidades que contratan con recursos públicos </w:t>
      </w:r>
    </w:p>
    <w:p w14:paraId="73A87431" w14:textId="77777777" w:rsidR="00CA482A" w:rsidRPr="00F1638D" w:rsidRDefault="00CA482A" w:rsidP="00CA482A">
      <w:pPr>
        <w:ind w:left="709" w:right="709"/>
        <w:jc w:val="both"/>
        <w:rPr>
          <w:rFonts w:ascii="Arial" w:eastAsia="Arial" w:hAnsi="Arial" w:cs="Arial"/>
          <w:i/>
          <w:sz w:val="21"/>
          <w:szCs w:val="21"/>
          <w:lang w:val="es-ES_tradnl"/>
        </w:rPr>
      </w:pPr>
      <w:r w:rsidRPr="00F1638D">
        <w:rPr>
          <w:rFonts w:ascii="Arial" w:eastAsia="Arial" w:hAnsi="Arial" w:cs="Arial"/>
          <w:i/>
          <w:sz w:val="21"/>
          <w:szCs w:val="21"/>
          <w:lang w:val="es-ES_tradnl"/>
        </w:rPr>
        <w:t xml:space="preserve">Asunto: Publicidad de las empresas industriales y comerciales del Estado, las sociedades de economía mixta y las empresas de servicios públicos domiciliarios que en su actividad comercial están en situación de competencia. </w:t>
      </w:r>
    </w:p>
    <w:p w14:paraId="207E7AA8" w14:textId="77777777" w:rsidR="00CA482A" w:rsidRPr="00F1638D" w:rsidRDefault="00CA482A" w:rsidP="00CA482A">
      <w:pPr>
        <w:ind w:left="709" w:right="709"/>
        <w:jc w:val="both"/>
        <w:rPr>
          <w:rFonts w:ascii="Arial" w:eastAsia="Arial" w:hAnsi="Arial" w:cs="Arial"/>
          <w:i/>
          <w:sz w:val="21"/>
          <w:szCs w:val="21"/>
          <w:lang w:val="es-ES_tradnl"/>
        </w:rPr>
      </w:pPr>
    </w:p>
    <w:p w14:paraId="2F344670" w14:textId="77777777" w:rsidR="00CA482A" w:rsidRPr="00F1638D" w:rsidRDefault="00CA482A" w:rsidP="00CA482A">
      <w:pPr>
        <w:ind w:left="709" w:right="709"/>
        <w:jc w:val="both"/>
        <w:rPr>
          <w:rFonts w:ascii="Arial" w:eastAsia="Arial" w:hAnsi="Arial" w:cs="Arial"/>
          <w:i/>
          <w:sz w:val="21"/>
          <w:szCs w:val="21"/>
          <w:lang w:val="es-ES_tradnl"/>
        </w:rPr>
      </w:pPr>
      <w:r w:rsidRPr="00F1638D">
        <w:rPr>
          <w:rFonts w:ascii="Arial" w:eastAsia="Arial" w:hAnsi="Arial" w:cs="Arial"/>
          <w:i/>
          <w:sz w:val="21"/>
          <w:szCs w:val="21"/>
          <w:lang w:val="es-ES_tradnl"/>
        </w:rPr>
        <w:t xml:space="preserve">La Agencia Nacional de Contratación Pública -Colombia Compra Eficiente- en cumplimiento de su objetivo como ente rector del sistema de compra y contratación pública, da alcance a la Circular Externa 1 de 2013 para establecer las condiciones de publicidad </w:t>
      </w:r>
      <w:r w:rsidRPr="00F1638D">
        <w:rPr>
          <w:rFonts w:ascii="Arial" w:eastAsia="Arial" w:hAnsi="Arial" w:cs="Arial"/>
          <w:i/>
          <w:strike/>
          <w:sz w:val="21"/>
          <w:szCs w:val="21"/>
          <w:lang w:val="es-ES_tradnl"/>
        </w:rPr>
        <w:t>de la actividad contractual</w:t>
      </w:r>
      <w:r w:rsidRPr="00F1638D">
        <w:rPr>
          <w:rFonts w:ascii="Arial" w:eastAsia="Arial" w:hAnsi="Arial" w:cs="Arial"/>
          <w:i/>
          <w:sz w:val="21"/>
          <w:szCs w:val="21"/>
          <w:lang w:val="es-ES_tradnl"/>
        </w:rPr>
        <w:t xml:space="preserve"> de las empresas industriales y comerciales del Estado, las sociedades de economía mixta y las empresas de servicios públicos domiciliarios que en su actividad comercial están en situación de competencia. </w:t>
      </w:r>
    </w:p>
    <w:p w14:paraId="037F1480" w14:textId="77777777" w:rsidR="00CA482A" w:rsidRPr="00F1638D" w:rsidRDefault="00CA482A" w:rsidP="00CA482A">
      <w:pPr>
        <w:ind w:left="709" w:right="709"/>
        <w:jc w:val="both"/>
        <w:rPr>
          <w:rFonts w:ascii="Arial" w:eastAsia="Arial" w:hAnsi="Arial" w:cs="Arial"/>
          <w:i/>
          <w:sz w:val="21"/>
          <w:szCs w:val="21"/>
          <w:lang w:val="es-ES_tradnl"/>
        </w:rPr>
      </w:pPr>
    </w:p>
    <w:p w14:paraId="3D4235DC" w14:textId="77777777" w:rsidR="00CA482A" w:rsidRPr="00F1638D" w:rsidRDefault="00CA482A" w:rsidP="00CA482A">
      <w:pPr>
        <w:ind w:left="709" w:right="709"/>
        <w:jc w:val="both"/>
        <w:rPr>
          <w:rFonts w:ascii="Arial" w:eastAsia="Arial" w:hAnsi="Arial" w:cs="Arial"/>
          <w:i/>
          <w:sz w:val="21"/>
          <w:szCs w:val="21"/>
          <w:lang w:val="es-ES_tradnl"/>
        </w:rPr>
      </w:pPr>
      <w:r w:rsidRPr="00F1638D">
        <w:rPr>
          <w:rFonts w:ascii="Arial" w:eastAsia="Arial" w:hAnsi="Arial" w:cs="Arial"/>
          <w:i/>
          <w:sz w:val="21"/>
          <w:szCs w:val="21"/>
          <w:lang w:val="es-ES_tradnl"/>
        </w:rPr>
        <w:t xml:space="preserve">Las entidades destinatarias de la presente Circular Externa pueden utilizar sus sistemas de información propios para efectos de la publicidad </w:t>
      </w:r>
      <w:r w:rsidRPr="00F1638D">
        <w:rPr>
          <w:rFonts w:ascii="Arial" w:eastAsia="Arial" w:hAnsi="Arial" w:cs="Arial"/>
          <w:i/>
          <w:strike/>
          <w:sz w:val="21"/>
          <w:szCs w:val="21"/>
          <w:lang w:val="es-ES_tradnl"/>
        </w:rPr>
        <w:t>de la actividad contractual</w:t>
      </w:r>
      <w:r w:rsidRPr="00F1638D">
        <w:rPr>
          <w:rFonts w:ascii="Arial" w:eastAsia="Arial" w:hAnsi="Arial" w:cs="Arial"/>
          <w:i/>
          <w:sz w:val="21"/>
          <w:szCs w:val="21"/>
          <w:lang w:val="es-ES_tradnl"/>
        </w:rPr>
        <w:t xml:space="preserve"> cuando estos permitan hacer el proceso de contratación en línea, además de permitir a los proveedores y al público en general tener acceso oportuno, permanente e ininterrumpido a la información </w:t>
      </w:r>
      <w:r w:rsidRPr="00F1638D">
        <w:rPr>
          <w:rFonts w:ascii="Arial" w:eastAsia="Arial" w:hAnsi="Arial" w:cs="Arial"/>
          <w:i/>
          <w:strike/>
          <w:sz w:val="21"/>
          <w:szCs w:val="21"/>
          <w:lang w:val="es-ES_tradnl"/>
        </w:rPr>
        <w:t>de su actividad contractual</w:t>
      </w:r>
      <w:r w:rsidRPr="00F1638D">
        <w:rPr>
          <w:rFonts w:ascii="Arial" w:eastAsia="Arial" w:hAnsi="Arial" w:cs="Arial"/>
          <w:i/>
          <w:sz w:val="21"/>
          <w:szCs w:val="21"/>
          <w:lang w:val="es-ES_tradnl"/>
        </w:rPr>
        <w:t xml:space="preserve">. La información </w:t>
      </w:r>
      <w:r w:rsidRPr="00F1638D">
        <w:rPr>
          <w:rFonts w:ascii="Arial" w:eastAsia="Arial" w:hAnsi="Arial" w:cs="Arial"/>
          <w:i/>
          <w:strike/>
          <w:sz w:val="21"/>
          <w:szCs w:val="21"/>
          <w:lang w:val="es-ES_tradnl"/>
        </w:rPr>
        <w:t>de la actividad contractual</w:t>
      </w:r>
      <w:r w:rsidRPr="00F1638D">
        <w:rPr>
          <w:rFonts w:ascii="Arial" w:eastAsia="Arial" w:hAnsi="Arial" w:cs="Arial"/>
          <w:i/>
          <w:sz w:val="21"/>
          <w:szCs w:val="21"/>
          <w:lang w:val="es-ES_tradnl"/>
        </w:rPr>
        <w:t xml:space="preserve"> debe cumplir los plazos y requerimientos de las normas aplicables en materia de contratación y de acceso a la información, respetando la información y documentos reservados de acuerdo con la normativa aplicable. </w:t>
      </w:r>
    </w:p>
    <w:p w14:paraId="30191E14" w14:textId="77777777" w:rsidR="00CA482A" w:rsidRPr="00F1638D" w:rsidRDefault="00CA482A" w:rsidP="00CA482A">
      <w:pPr>
        <w:ind w:left="709" w:right="709"/>
        <w:jc w:val="both"/>
        <w:rPr>
          <w:rFonts w:ascii="Arial" w:eastAsia="Arial" w:hAnsi="Arial" w:cs="Arial"/>
          <w:i/>
          <w:sz w:val="21"/>
          <w:szCs w:val="21"/>
          <w:lang w:val="es-ES_tradnl"/>
        </w:rPr>
      </w:pPr>
    </w:p>
    <w:p w14:paraId="4EA3A0FC" w14:textId="77777777" w:rsidR="00CA482A" w:rsidRPr="00F1638D" w:rsidRDefault="00CA482A" w:rsidP="00CA482A">
      <w:pPr>
        <w:ind w:left="709" w:right="709"/>
        <w:jc w:val="both"/>
        <w:rPr>
          <w:rFonts w:ascii="Arial" w:eastAsia="Arial" w:hAnsi="Arial" w:cs="Arial"/>
          <w:i/>
          <w:sz w:val="21"/>
          <w:szCs w:val="21"/>
          <w:lang w:val="es-ES_tradnl"/>
        </w:rPr>
      </w:pPr>
      <w:r w:rsidRPr="00F1638D">
        <w:rPr>
          <w:rFonts w:ascii="Arial" w:eastAsia="Arial" w:hAnsi="Arial" w:cs="Arial"/>
          <w:i/>
          <w:sz w:val="21"/>
          <w:szCs w:val="21"/>
          <w:lang w:val="es-ES_tradnl"/>
        </w:rPr>
        <w:t xml:space="preserve">Para que la información de la contratación con cargo a recursos públicos esté disponible al público en general en un solo sitio de internet, Colombia Compra Eficiente y las entidades destinatarias de la presente Circular Externa que cuentan con sistemas de información propios, deben disponer de un hipervínculo que comunique al SECOP con los sistemas de información de las entidades mencionadas antes del 30 de noviembre de 2015. Las entidades destinatarias de la presente Circular Externa cuyos sistemas de información propios no cumplan las condiciones señaladas, deben publicar </w:t>
      </w:r>
      <w:r w:rsidRPr="00F1638D">
        <w:rPr>
          <w:rFonts w:ascii="Arial" w:eastAsia="Arial" w:hAnsi="Arial" w:cs="Arial"/>
          <w:i/>
          <w:strike/>
          <w:sz w:val="21"/>
          <w:szCs w:val="21"/>
          <w:lang w:val="es-ES_tradnl"/>
        </w:rPr>
        <w:t xml:space="preserve">su actividad contractual </w:t>
      </w:r>
      <w:r w:rsidRPr="00F1638D">
        <w:rPr>
          <w:rFonts w:ascii="Arial" w:eastAsia="Arial" w:hAnsi="Arial" w:cs="Arial"/>
          <w:i/>
          <w:sz w:val="21"/>
          <w:szCs w:val="21"/>
          <w:lang w:val="es-ES_tradnl"/>
        </w:rPr>
        <w:t>en el SECOP utilizando la clasificación "régimen especial”.&gt;&gt;</w:t>
      </w:r>
    </w:p>
    <w:p w14:paraId="7663B477" w14:textId="77777777" w:rsidR="00CA482A" w:rsidRPr="00F1638D" w:rsidRDefault="00CA482A" w:rsidP="00CA482A">
      <w:pPr>
        <w:ind w:right="709"/>
        <w:jc w:val="both"/>
        <w:rPr>
          <w:rFonts w:ascii="Arial" w:hAnsi="Arial" w:cs="Arial"/>
          <w:color w:val="000000" w:themeColor="text1"/>
          <w:sz w:val="21"/>
          <w:szCs w:val="21"/>
          <w:lang w:val="es-ES_tradnl"/>
        </w:rPr>
      </w:pPr>
    </w:p>
    <w:p w14:paraId="6A0F4006" w14:textId="7ED00991" w:rsidR="00CA482A" w:rsidRPr="00F1638D" w:rsidRDefault="00CA482A" w:rsidP="00CA482A">
      <w:pPr>
        <w:spacing w:line="276" w:lineRule="auto"/>
        <w:ind w:firstLine="709"/>
        <w:jc w:val="both"/>
        <w:rPr>
          <w:rFonts w:ascii="Arial" w:hAnsi="Arial" w:cs="Arial"/>
          <w:sz w:val="22"/>
          <w:szCs w:val="22"/>
          <w:lang w:val="es-ES_tradnl"/>
        </w:rPr>
      </w:pPr>
      <w:r w:rsidRPr="00F1638D">
        <w:rPr>
          <w:rFonts w:ascii="Arial" w:hAnsi="Arial" w:cs="Arial"/>
          <w:sz w:val="22"/>
          <w:szCs w:val="22"/>
          <w:lang w:val="es-ES_tradnl"/>
        </w:rPr>
        <w:t xml:space="preserve">No cabe entonces duda alguna de que, aún a pesar de la expedición del auto del 25 de febrero de 2021, las entidades que cuentan con un régimen especial de contratación conservan el deber de publicar la información oficial de la contratación con recursos públicos en el SECOP. Esta obligación se fundamenta, entre otros, en los siguientes enunciados normativos: i) los artículos 74 y 209 de la Constitución, </w:t>
      </w:r>
      <w:proofErr w:type="spellStart"/>
      <w:r w:rsidRPr="00F1638D">
        <w:rPr>
          <w:rFonts w:ascii="Arial" w:hAnsi="Arial" w:cs="Arial"/>
          <w:sz w:val="22"/>
          <w:szCs w:val="22"/>
          <w:lang w:val="es-ES_tradnl"/>
        </w:rPr>
        <w:t>ii</w:t>
      </w:r>
      <w:proofErr w:type="spellEnd"/>
      <w:r w:rsidRPr="00F1638D">
        <w:rPr>
          <w:rFonts w:ascii="Arial" w:hAnsi="Arial" w:cs="Arial"/>
          <w:sz w:val="22"/>
          <w:szCs w:val="22"/>
          <w:lang w:val="es-ES_tradnl"/>
        </w:rPr>
        <w:t xml:space="preserve">) el artículo 3, literal c) de la Ley 1150 de 2007, </w:t>
      </w:r>
      <w:proofErr w:type="spellStart"/>
      <w:r w:rsidRPr="00F1638D">
        <w:rPr>
          <w:rFonts w:ascii="Arial" w:hAnsi="Arial" w:cs="Arial"/>
          <w:sz w:val="22"/>
          <w:szCs w:val="22"/>
          <w:lang w:val="es-ES_tradnl"/>
        </w:rPr>
        <w:t>iii</w:t>
      </w:r>
      <w:proofErr w:type="spellEnd"/>
      <w:r w:rsidRPr="00F1638D">
        <w:rPr>
          <w:rFonts w:ascii="Arial" w:hAnsi="Arial" w:cs="Arial"/>
          <w:sz w:val="22"/>
          <w:szCs w:val="22"/>
          <w:lang w:val="es-ES_tradnl"/>
        </w:rPr>
        <w:t xml:space="preserve">) los artículos 3, 9, literal e) y 11, literal g), de la Ley 1712 de 2014, </w:t>
      </w:r>
      <w:proofErr w:type="spellStart"/>
      <w:r w:rsidRPr="00F1638D">
        <w:rPr>
          <w:rFonts w:ascii="Arial" w:hAnsi="Arial" w:cs="Arial"/>
          <w:sz w:val="22"/>
          <w:szCs w:val="22"/>
          <w:lang w:val="es-ES_tradnl"/>
        </w:rPr>
        <w:t>iv</w:t>
      </w:r>
      <w:proofErr w:type="spellEnd"/>
      <w:r w:rsidRPr="00F1638D">
        <w:rPr>
          <w:rFonts w:ascii="Arial" w:hAnsi="Arial" w:cs="Arial"/>
          <w:sz w:val="22"/>
          <w:szCs w:val="22"/>
          <w:lang w:val="es-ES_tradnl"/>
        </w:rPr>
        <w:t xml:space="preserve">) </w:t>
      </w:r>
      <w:r w:rsidRPr="00F1638D">
        <w:rPr>
          <w:rFonts w:ascii="Arial" w:eastAsia="Calibri" w:hAnsi="Arial" w:cs="Arial"/>
          <w:color w:val="000000" w:themeColor="text1"/>
          <w:sz w:val="22"/>
          <w:lang w:val="es-ES_tradnl"/>
        </w:rPr>
        <w:t>los artículos 7 al 10 del Decreto 103 de 2015 –compilado en los artículos 2.1.1.1.1. al 2.1.1.6.1. del Decreto 1081 de 2015–</w:t>
      </w:r>
      <w:r w:rsidRPr="00F1638D">
        <w:rPr>
          <w:rFonts w:ascii="Arial" w:hAnsi="Arial" w:cs="Arial"/>
          <w:sz w:val="22"/>
          <w:szCs w:val="22"/>
          <w:lang w:val="es-ES_tradnl"/>
        </w:rPr>
        <w:t xml:space="preserve"> y v) las circulares </w:t>
      </w:r>
      <w:r w:rsidRPr="00F1638D">
        <w:rPr>
          <w:rFonts w:ascii="Arial" w:eastAsia="Arial" w:hAnsi="Arial" w:cs="Arial"/>
          <w:sz w:val="22"/>
          <w:szCs w:val="22"/>
          <w:lang w:val="es-ES_tradnl"/>
        </w:rPr>
        <w:t xml:space="preserve">No. 1 del 21 de junio de 2013, No. 20 del 27 de agosto de 2015, </w:t>
      </w:r>
      <w:r w:rsidRPr="00F1638D">
        <w:rPr>
          <w:rFonts w:ascii="Arial" w:hAnsi="Arial" w:cs="Arial"/>
          <w:bCs/>
          <w:color w:val="000000" w:themeColor="text1"/>
          <w:sz w:val="22"/>
          <w:szCs w:val="22"/>
          <w:lang w:val="es-ES_tradnl"/>
        </w:rPr>
        <w:t xml:space="preserve">No. 23 del 16 de marzo de 2017, No. 007 de 2020 y la </w:t>
      </w:r>
      <w:r w:rsidRPr="00F1638D">
        <w:rPr>
          <w:rFonts w:ascii="Arial" w:hAnsi="Arial" w:cs="Arial"/>
          <w:bCs/>
          <w:color w:val="000000" w:themeColor="text1"/>
          <w:sz w:val="22"/>
          <w:szCs w:val="22"/>
          <w:lang w:val="es-ES_tradnl"/>
        </w:rPr>
        <w:lastRenderedPageBreak/>
        <w:t>Circular Externa Única –actualizada el 16 de abril de 2019–</w:t>
      </w:r>
      <w:r w:rsidRPr="00F1638D">
        <w:rPr>
          <w:rStyle w:val="Refdenotaalpie"/>
          <w:rFonts w:ascii="Arial" w:hAnsi="Arial" w:cs="Arial"/>
          <w:bCs/>
          <w:color w:val="000000" w:themeColor="text1"/>
          <w:sz w:val="22"/>
          <w:szCs w:val="22"/>
          <w:lang w:val="es-ES_tradnl"/>
        </w:rPr>
        <w:footnoteReference w:id="32"/>
      </w:r>
      <w:r w:rsidRPr="00F1638D">
        <w:rPr>
          <w:rFonts w:ascii="Arial" w:hAnsi="Arial" w:cs="Arial"/>
          <w:bCs/>
          <w:color w:val="000000" w:themeColor="text1"/>
          <w:sz w:val="22"/>
          <w:szCs w:val="22"/>
          <w:lang w:val="es-ES_tradnl"/>
        </w:rPr>
        <w:t>, de la Agencia Nacional de Contratación Pública – Colombia Compra Eficiente</w:t>
      </w:r>
      <w:r w:rsidR="00385909" w:rsidRPr="00F1638D">
        <w:rPr>
          <w:rStyle w:val="Refdenotaalpie"/>
          <w:rFonts w:ascii="Arial" w:hAnsi="Arial" w:cs="Arial"/>
          <w:bCs/>
          <w:color w:val="000000" w:themeColor="text1"/>
          <w:sz w:val="22"/>
          <w:szCs w:val="22"/>
          <w:lang w:val="es-ES_tradnl"/>
        </w:rPr>
        <w:footnoteReference w:id="33"/>
      </w:r>
      <w:r w:rsidRPr="00F1638D">
        <w:rPr>
          <w:rFonts w:ascii="Arial" w:hAnsi="Arial" w:cs="Arial"/>
          <w:bCs/>
          <w:color w:val="000000" w:themeColor="text1"/>
          <w:sz w:val="22"/>
          <w:szCs w:val="22"/>
          <w:lang w:val="es-ES_tradnl"/>
        </w:rPr>
        <w:t>.</w:t>
      </w:r>
    </w:p>
    <w:p w14:paraId="66181DB0" w14:textId="77777777" w:rsidR="00CA482A" w:rsidRPr="00F1638D" w:rsidRDefault="00CA482A" w:rsidP="00CA482A">
      <w:pPr>
        <w:spacing w:before="120" w:line="276" w:lineRule="auto"/>
        <w:ind w:firstLine="709"/>
        <w:jc w:val="both"/>
        <w:rPr>
          <w:rFonts w:ascii="Arial" w:hAnsi="Arial" w:cs="Arial"/>
          <w:bCs/>
          <w:color w:val="000000" w:themeColor="text1"/>
          <w:sz w:val="22"/>
          <w:lang w:val="es-ES_tradnl"/>
        </w:rPr>
      </w:pPr>
      <w:r w:rsidRPr="00F1638D">
        <w:rPr>
          <w:rFonts w:ascii="Arial" w:hAnsi="Arial" w:cs="Arial"/>
          <w:bCs/>
          <w:color w:val="000000" w:themeColor="text1"/>
          <w:sz w:val="22"/>
          <w:lang w:val="es-ES_tradnl"/>
        </w:rPr>
        <w:t>Ahora, en lo que respecta al contenido o alcance de la expresión «información oficial de la contratación», empleada por el Congreso de la República en el artículo 3, literal c) de la Ley 1150 de 2007, la Agencia Nacional de Contratación Pública considera que el auto del 25 de febrero de 2021 no afecta la interpretación adoptada por esta misma Agencia en el Concepto CU-003 del 15 de enero de 2020 y, en consecuencia, mantendrá los argumentos que allí se expusieron y que a continuación se reproducirán. Pero, antes de eso, se explica por qué el referido auto no se aparta de la interpretación que en el siguiente numeral de este concepto reiterará la Subdirección de Gestión Contractual:</w:t>
      </w:r>
    </w:p>
    <w:p w14:paraId="4637DE46" w14:textId="77777777" w:rsidR="00CA482A" w:rsidRPr="00F1638D" w:rsidRDefault="00CA482A" w:rsidP="00CA482A">
      <w:pPr>
        <w:spacing w:before="120" w:line="276" w:lineRule="auto"/>
        <w:ind w:firstLine="709"/>
        <w:jc w:val="both"/>
        <w:rPr>
          <w:rFonts w:ascii="Arial" w:eastAsia="Calibri" w:hAnsi="Arial" w:cs="Arial"/>
          <w:color w:val="000000" w:themeColor="text1"/>
          <w:sz w:val="22"/>
          <w:lang w:val="es-ES_tradnl"/>
        </w:rPr>
      </w:pPr>
      <w:r w:rsidRPr="00F1638D">
        <w:rPr>
          <w:rFonts w:ascii="Arial" w:hAnsi="Arial" w:cs="Arial"/>
          <w:bCs/>
          <w:color w:val="000000" w:themeColor="text1"/>
          <w:sz w:val="22"/>
          <w:lang w:val="es-ES_tradnl"/>
        </w:rPr>
        <w:t xml:space="preserve">a) En dicha providencia se dice que la Agencia Nacional de Contratación Pública – Colombia Compra Eficiente carece de competencia para expedir un reglamento que establezca por vía de autoridad qué significa «información oficial de la contratación» para una entidad estatal con régimen contractual excepcional o de derecho privado. Sin embargo, tal afirmación no niega la competencia de la Agencia para resolver consultas sobre la aplicación de normas de carácter general en materia de compras y contratación pública. Esta habilitación se encuentra en </w:t>
      </w:r>
      <w:r w:rsidRPr="00F1638D">
        <w:rPr>
          <w:rFonts w:ascii="Arial" w:eastAsia="Calibri" w:hAnsi="Arial" w:cs="Arial"/>
          <w:color w:val="000000" w:themeColor="text1"/>
          <w:sz w:val="22"/>
          <w:lang w:val="es-ES_tradnl"/>
        </w:rPr>
        <w:t>el numeral 8 del artículo 11 y en el numeral 5 del artículo 3 del Decreto Ley 4170 de 2011. Además, como es sabido, la interpretación realizada por la Agencia Nacional de Contratación Pública – Colombia Compra Eficiente en los conceptos que profiere no tiene carácter vinculante y, por lo tanto, no es un reglamento, sino que es un criterio doctrinario o auxiliar, según el efecto que a aquellos les confiere el segundo inciso del artículo 230 de la Constitución Política y el artículo 28 de la Ley 1437 de 2011.</w:t>
      </w:r>
    </w:p>
    <w:p w14:paraId="68570E80" w14:textId="77777777" w:rsidR="00CA482A" w:rsidRPr="00F1638D" w:rsidRDefault="00CA482A" w:rsidP="00CA482A">
      <w:pPr>
        <w:spacing w:before="120" w:line="276" w:lineRule="auto"/>
        <w:ind w:firstLine="709"/>
        <w:jc w:val="both"/>
        <w:rPr>
          <w:rFonts w:ascii="Arial" w:eastAsia="Calibri" w:hAnsi="Arial" w:cs="Arial"/>
          <w:color w:val="000000" w:themeColor="text1"/>
          <w:sz w:val="22"/>
          <w:lang w:val="es-ES_tradnl"/>
        </w:rPr>
      </w:pPr>
      <w:r w:rsidRPr="00F1638D">
        <w:rPr>
          <w:rFonts w:ascii="Arial" w:eastAsia="Calibri" w:hAnsi="Arial" w:cs="Arial"/>
          <w:color w:val="000000" w:themeColor="text1"/>
          <w:sz w:val="22"/>
          <w:lang w:val="es-ES_tradnl"/>
        </w:rPr>
        <w:t xml:space="preserve">b) En el auto del 25 de febrero de 2021 la Sección Tercera del Consejo de Estado señala que las entidades exceptuadas del Estatuto General de Contratación de la Administración Pública –es decir, las que cuentan con un régimen especial, preponderantemente de derecho privado– no deben publicar la misma información en el SECOP que las sometidas a dicho Estatuto. Pues bien, en el concepto CU-003 del 15 de enero de 2020 Colombia Compra Eficiente acoge una tesis similar, explicando cuáles </w:t>
      </w:r>
      <w:r w:rsidRPr="00F1638D">
        <w:rPr>
          <w:rFonts w:ascii="Arial" w:eastAsia="Calibri" w:hAnsi="Arial" w:cs="Arial"/>
          <w:color w:val="000000" w:themeColor="text1"/>
          <w:sz w:val="22"/>
          <w:lang w:val="es-ES_tradnl"/>
        </w:rPr>
        <w:lastRenderedPageBreak/>
        <w:t>deberían ser entonces los documentos que han de publicar en el SECOP las entidades que se rigen por el derecho privado en su contratación, que no son los mismos que aquellos que deben publicar las que se rigen por la Ley 80 de 1993 y demás disposiciones complementarias de esta.</w:t>
      </w:r>
    </w:p>
    <w:p w14:paraId="3A79BAEA" w14:textId="77777777" w:rsidR="00927480" w:rsidRPr="00F1638D" w:rsidRDefault="00CA482A" w:rsidP="00927480">
      <w:pPr>
        <w:spacing w:before="120" w:line="276" w:lineRule="auto"/>
        <w:ind w:firstLine="709"/>
        <w:jc w:val="both"/>
        <w:rPr>
          <w:rFonts w:ascii="Arial" w:eastAsia="Calibri" w:hAnsi="Arial" w:cs="Arial"/>
          <w:color w:val="000000" w:themeColor="text1"/>
          <w:sz w:val="22"/>
          <w:lang w:val="es-ES_tradnl"/>
        </w:rPr>
      </w:pPr>
      <w:r w:rsidRPr="00F1638D">
        <w:rPr>
          <w:rFonts w:ascii="Arial" w:eastAsia="Calibri" w:hAnsi="Arial" w:cs="Arial"/>
          <w:color w:val="000000" w:themeColor="text1"/>
          <w:sz w:val="22"/>
          <w:lang w:val="es-ES_tradnl"/>
        </w:rPr>
        <w:t>c) En el concepto CU-003 del 15 de enero de 2020 la Agencia Nacional de Contratación Pública – Colombia Compra Eficiente se fundamenta, para concluir cuáles son los documentos que deben publicar en el SECOP las entidades estatales que cuentan con un régimen especial, en el artículo 3, literal c) de la Ley 1150 de 2007, en el artículo 11, literal g) de la Ley 1712 de 2014 y en los artículos 7 al 10 del Decreto 103 de 2015 –compilado en los artículos 2.1.1.1.1. al 2.1.1.6.1. del Decreto 1081 de 2015–. Es decir, la Agencia respetó el régimen legal y reglamentario que en la actualidad desarrolla el derecho de transparencia y de acceso a la información pública. Por ende, la interpretación aquí expuesta es congruente con el auto del Consejo de Estado del 25 de febrero de 2021.</w:t>
      </w:r>
    </w:p>
    <w:p w14:paraId="0342CA75" w14:textId="536A0842" w:rsidR="008F2370" w:rsidRPr="00F1638D" w:rsidRDefault="008F2370" w:rsidP="00927480">
      <w:pPr>
        <w:spacing w:before="120" w:line="276" w:lineRule="auto"/>
        <w:ind w:firstLine="709"/>
        <w:jc w:val="both"/>
        <w:rPr>
          <w:rFonts w:ascii="Arial" w:eastAsia="Calibri" w:hAnsi="Arial" w:cs="Arial"/>
          <w:bCs/>
          <w:color w:val="000000" w:themeColor="text1"/>
          <w:sz w:val="22"/>
        </w:rPr>
      </w:pPr>
      <w:r w:rsidRPr="00F1638D">
        <w:rPr>
          <w:rFonts w:ascii="Arial" w:eastAsia="Calibri" w:hAnsi="Arial" w:cs="Arial"/>
          <w:bCs/>
          <w:color w:val="000000" w:themeColor="text1"/>
          <w:sz w:val="22"/>
        </w:rPr>
        <w:t>En suma, a la luz de los criterios desarrollados por la Agencia Nacional de Contratación Pública, el deber de publicar en el SECOP se fundamenta en una idea general, esto es, que se debe publicar toda actividad contractual en la que se ejecuten recursos públicos, con independencia de la naturaleza jurídica de la entidad contratante, de su régimen contractual, incluso, sin importar la tipología del contrato a celebrar. Igualmente, este deber debe hacerse efectivo en el SECOP I o en el SECOP II, dependiendo de cada caso.</w:t>
      </w:r>
    </w:p>
    <w:p w14:paraId="25CBB328" w14:textId="77777777" w:rsidR="00C3377B" w:rsidRPr="00F1638D" w:rsidRDefault="00C3377B" w:rsidP="00927480">
      <w:pPr>
        <w:spacing w:before="120" w:line="276" w:lineRule="auto"/>
        <w:ind w:firstLine="709"/>
        <w:jc w:val="both"/>
        <w:rPr>
          <w:rFonts w:ascii="Arial" w:eastAsia="Calibri" w:hAnsi="Arial" w:cs="Arial"/>
          <w:color w:val="000000" w:themeColor="text1"/>
          <w:sz w:val="22"/>
          <w:lang w:val="es-ES_tradnl"/>
        </w:rPr>
      </w:pPr>
    </w:p>
    <w:p w14:paraId="482D24A9" w14:textId="49D61A3B" w:rsidR="00CA482A" w:rsidRPr="00F1638D" w:rsidRDefault="00CA482A" w:rsidP="00CA482A">
      <w:pPr>
        <w:pStyle w:val="Prrafodelista"/>
        <w:tabs>
          <w:tab w:val="left" w:pos="284"/>
          <w:tab w:val="left" w:pos="426"/>
        </w:tabs>
        <w:spacing w:line="276" w:lineRule="auto"/>
        <w:ind w:left="0"/>
        <w:jc w:val="both"/>
        <w:rPr>
          <w:rFonts w:ascii="Arial" w:hAnsi="Arial" w:cs="Arial"/>
          <w:b/>
          <w:color w:val="000000" w:themeColor="text1"/>
          <w:sz w:val="22"/>
          <w:lang w:val="es-ES_tradnl"/>
        </w:rPr>
      </w:pPr>
      <w:r w:rsidRPr="00F1638D">
        <w:rPr>
          <w:rFonts w:ascii="Arial" w:hAnsi="Arial" w:cs="Arial"/>
          <w:b/>
          <w:color w:val="000000" w:themeColor="text1"/>
          <w:sz w:val="22"/>
          <w:lang w:val="es-ES_tradnl"/>
        </w:rPr>
        <w:t>2.</w:t>
      </w:r>
      <w:r w:rsidR="00D81FE7" w:rsidRPr="00F1638D">
        <w:rPr>
          <w:rFonts w:ascii="Arial" w:hAnsi="Arial" w:cs="Arial"/>
          <w:b/>
          <w:color w:val="000000" w:themeColor="text1"/>
          <w:sz w:val="22"/>
          <w:lang w:val="es-ES_tradnl"/>
        </w:rPr>
        <w:t>4</w:t>
      </w:r>
      <w:r w:rsidRPr="00F1638D">
        <w:rPr>
          <w:rFonts w:ascii="Arial" w:hAnsi="Arial" w:cs="Arial"/>
          <w:b/>
          <w:color w:val="000000" w:themeColor="text1"/>
          <w:sz w:val="22"/>
          <w:lang w:val="es-ES_tradnl"/>
        </w:rPr>
        <w:t xml:space="preserve">. Documentos que deben publicar en el SECOP las entidades estatales de régimen especial. Reiteración del concepto CU-003 del 15 de enero de 2020 </w:t>
      </w:r>
    </w:p>
    <w:p w14:paraId="06E435C6" w14:textId="77777777" w:rsidR="00CA482A" w:rsidRPr="00F1638D" w:rsidRDefault="00CA482A" w:rsidP="00CA482A">
      <w:pPr>
        <w:pStyle w:val="Prrafodelista"/>
        <w:spacing w:line="276" w:lineRule="auto"/>
        <w:ind w:left="0"/>
        <w:jc w:val="both"/>
        <w:rPr>
          <w:rFonts w:ascii="Arial" w:hAnsi="Arial" w:cs="Arial"/>
          <w:b/>
          <w:color w:val="000000" w:themeColor="text1"/>
          <w:sz w:val="22"/>
          <w:lang w:val="es-ES_tradnl"/>
        </w:rPr>
      </w:pPr>
    </w:p>
    <w:p w14:paraId="7BEFA041" w14:textId="77777777" w:rsidR="00CA482A" w:rsidRPr="00F1638D" w:rsidRDefault="00CA482A" w:rsidP="00CA482A">
      <w:pPr>
        <w:pStyle w:val="Prrafodelista"/>
        <w:spacing w:line="276" w:lineRule="auto"/>
        <w:ind w:left="0"/>
        <w:jc w:val="both"/>
        <w:rPr>
          <w:rFonts w:ascii="Arial" w:eastAsia="Calibri" w:hAnsi="Arial" w:cs="Arial"/>
          <w:color w:val="000000" w:themeColor="text1"/>
          <w:sz w:val="22"/>
          <w:lang w:val="es-ES_tradnl"/>
        </w:rPr>
      </w:pPr>
      <w:r w:rsidRPr="00F1638D">
        <w:rPr>
          <w:rFonts w:ascii="Arial" w:eastAsia="Calibri" w:hAnsi="Arial" w:cs="Arial"/>
          <w:color w:val="000000" w:themeColor="text1"/>
          <w:sz w:val="22"/>
          <w:lang w:val="es-ES_tradnl"/>
        </w:rPr>
        <w:t>Determinada la obligación que tienen las entidades sujetas a un régimen especial de publicar la información oficial de su contratación con recursos públicos en el SECOP, se identificarán los documentos que deben publicar, n</w:t>
      </w:r>
      <w:r w:rsidRPr="00F1638D">
        <w:rPr>
          <w:rFonts w:ascii="Arial" w:hAnsi="Arial" w:cs="Arial"/>
          <w:bCs/>
          <w:color w:val="000000" w:themeColor="text1"/>
          <w:sz w:val="22"/>
          <w:lang w:val="es-ES_tradnl"/>
        </w:rPr>
        <w:t xml:space="preserve">o sin antes explicar la posición que la Agencia Nacional de Contratación Pública ─ Colombia Compra Eficiente adoptó desde el 2016 hasta el 2019. Posteriormente, se reiterará el concepto CU-003 del 15 de enero de 2020, que contiene la tesis que actualmente acoge la Agencia. </w:t>
      </w:r>
    </w:p>
    <w:p w14:paraId="32E3C7B6" w14:textId="77777777" w:rsidR="00CA482A" w:rsidRPr="00F1638D" w:rsidRDefault="00CA482A" w:rsidP="00CA482A">
      <w:pPr>
        <w:spacing w:before="120" w:line="276" w:lineRule="auto"/>
        <w:ind w:firstLine="709"/>
        <w:jc w:val="both"/>
        <w:rPr>
          <w:rFonts w:ascii="Arial" w:hAnsi="Arial" w:cs="Arial"/>
          <w:color w:val="000000" w:themeColor="text1"/>
          <w:sz w:val="22"/>
          <w:lang w:val="es-ES_tradnl"/>
        </w:rPr>
      </w:pPr>
      <w:r w:rsidRPr="00F1638D">
        <w:rPr>
          <w:rFonts w:ascii="Arial" w:eastAsia="Calibri" w:hAnsi="Arial" w:cs="Arial"/>
          <w:color w:val="000000" w:themeColor="text1"/>
          <w:sz w:val="22"/>
          <w:lang w:val="es-ES_tradnl"/>
        </w:rPr>
        <w:t>Primero, en respuesta a la consulta identificada con el radicado No. 41612000877 del 15 de febrero de 2016, la Agencia señaló que las empresas industriales y comerciales del Estado, las empresas de servicios públicos domiciliarios y las sociedades de economía mixta –sometidas a un régimen especial de contratación– debían publicar en el SECO</w:t>
      </w:r>
      <w:r w:rsidRPr="00F1638D">
        <w:rPr>
          <w:rFonts w:ascii="Arial" w:hAnsi="Arial" w:cs="Arial"/>
          <w:bCs/>
          <w:color w:val="000000" w:themeColor="text1"/>
          <w:sz w:val="22"/>
          <w:lang w:val="es-ES_tradnl"/>
        </w:rPr>
        <w:t xml:space="preserve">P todos los documentos del proceso que define el Decreto 1082 de 2015, así como lo relativo a la ejecución del contrato. Lo anterior, a partir de lo dispuesto en el literal c) del artículo 3 </w:t>
      </w:r>
      <w:r w:rsidRPr="00F1638D">
        <w:rPr>
          <w:rFonts w:ascii="Arial" w:hAnsi="Arial" w:cs="Arial"/>
          <w:bCs/>
          <w:color w:val="000000" w:themeColor="text1"/>
          <w:sz w:val="22"/>
          <w:lang w:val="es-ES_tradnl"/>
        </w:rPr>
        <w:lastRenderedPageBreak/>
        <w:t>de la Ley 1150 de 2007</w:t>
      </w:r>
      <w:r w:rsidRPr="00F1638D">
        <w:rPr>
          <w:rStyle w:val="Refdenotaalpie"/>
          <w:rFonts w:ascii="Arial" w:hAnsi="Arial" w:cs="Arial"/>
          <w:bCs/>
          <w:color w:val="000000" w:themeColor="text1"/>
          <w:sz w:val="22"/>
          <w:lang w:val="es-ES_tradnl"/>
        </w:rPr>
        <w:footnoteReference w:id="34"/>
      </w:r>
      <w:r w:rsidRPr="00F1638D">
        <w:rPr>
          <w:rFonts w:ascii="Arial" w:hAnsi="Arial" w:cs="Arial"/>
          <w:bCs/>
          <w:color w:val="000000" w:themeColor="text1"/>
          <w:sz w:val="22"/>
          <w:lang w:val="es-ES_tradnl"/>
        </w:rPr>
        <w:t xml:space="preserve">. </w:t>
      </w:r>
      <w:r w:rsidRPr="00F1638D">
        <w:rPr>
          <w:rFonts w:ascii="Arial" w:hAnsi="Arial" w:cs="Arial"/>
          <w:color w:val="000000" w:themeColor="text1"/>
          <w:sz w:val="22"/>
          <w:lang w:val="es-ES_tradnl"/>
        </w:rPr>
        <w:t xml:space="preserve">En este sentido, reconoció la obligatoriedad, por parte de las entidades de régimen especial, de publicar su </w:t>
      </w:r>
      <w:r w:rsidRPr="00F1638D">
        <w:rPr>
          <w:rFonts w:ascii="Arial" w:hAnsi="Arial" w:cs="Arial"/>
          <w:i/>
          <w:iCs/>
          <w:color w:val="000000" w:themeColor="text1"/>
          <w:sz w:val="22"/>
          <w:lang w:val="es-ES_tradnl"/>
        </w:rPr>
        <w:t>actividad contractual</w:t>
      </w:r>
      <w:r w:rsidRPr="00F1638D">
        <w:rPr>
          <w:rFonts w:ascii="Arial" w:hAnsi="Arial" w:cs="Arial"/>
          <w:color w:val="000000" w:themeColor="text1"/>
          <w:sz w:val="22"/>
          <w:lang w:val="es-ES_tradnl"/>
        </w:rPr>
        <w:t xml:space="preserve"> en el SECOP. De este modo, con fundamento en el artículo 2.2.1.1.1.3.1 del Decreto 1082 de 2015, normativa que aplica a las entidades que se rigen por la Ley 80 de 1993, indicó que los documentos del proceso que se enunciaban allí también eran los que debían publicar las entidades exceptuadas del Estatuto General de Contratación de la Administración Pública.</w:t>
      </w:r>
    </w:p>
    <w:p w14:paraId="677172BF" w14:textId="77777777" w:rsidR="00CA482A" w:rsidRPr="00F1638D" w:rsidRDefault="00CA482A" w:rsidP="00CA482A">
      <w:pPr>
        <w:spacing w:before="120" w:line="276" w:lineRule="auto"/>
        <w:ind w:firstLine="709"/>
        <w:jc w:val="both"/>
        <w:rPr>
          <w:rFonts w:ascii="Arial" w:eastAsia="Calibri" w:hAnsi="Arial" w:cs="Arial"/>
          <w:color w:val="000000" w:themeColor="text1"/>
          <w:sz w:val="22"/>
          <w:lang w:val="es-ES_tradnl"/>
        </w:rPr>
      </w:pPr>
      <w:r w:rsidRPr="00F1638D">
        <w:rPr>
          <w:rFonts w:ascii="Arial" w:eastAsia="Calibri" w:hAnsi="Arial" w:cs="Arial"/>
          <w:color w:val="000000" w:themeColor="text1"/>
          <w:sz w:val="22"/>
          <w:lang w:val="es-ES_tradnl"/>
        </w:rPr>
        <w:t>Posteriormente, en el año 2018, cambió el fundamento normativo que define los documentos que las entidades de régimen especial debían publicar en el SECOP. Así, en el concepto con radicado No. 4201814000008329 del 8 de octubre de 2018, la Agencia dijo que en virtud del artículo 11 de la Ley 1712 de 2014, los destinatarios de las normas contenidas en la ley de transparencia debían publicar los procedimientos, lineamientos, políticas en materia de adquisiciones y compras, así como todos los datos de adjudicación y ejecución de contratos, incluidos concursos y licitaciones. Por lo tanto, los documentos que se debían publicar eran los previstos en el manual de contratación de cada entidad de régimen especial para la adquisición de un bien o servicio, y no los que definía el artículo 2.2.1.1.1.3.1 del Decreto 1082 de 2015</w:t>
      </w:r>
      <w:r w:rsidRPr="00F1638D">
        <w:rPr>
          <w:rStyle w:val="Refdenotaalpie"/>
          <w:rFonts w:ascii="Arial" w:eastAsia="Calibri" w:hAnsi="Arial" w:cs="Arial"/>
          <w:color w:val="000000" w:themeColor="text1"/>
          <w:sz w:val="22"/>
          <w:lang w:val="es-ES_tradnl"/>
        </w:rPr>
        <w:footnoteReference w:id="35"/>
      </w:r>
      <w:r w:rsidRPr="00F1638D">
        <w:rPr>
          <w:rFonts w:ascii="Arial" w:eastAsia="Calibri" w:hAnsi="Arial" w:cs="Arial"/>
          <w:color w:val="000000" w:themeColor="text1"/>
          <w:sz w:val="22"/>
          <w:lang w:val="es-ES_tradnl"/>
        </w:rPr>
        <w:t xml:space="preserve">. </w:t>
      </w:r>
    </w:p>
    <w:p w14:paraId="064BFD3B" w14:textId="77777777" w:rsidR="00CA482A" w:rsidRPr="00F1638D" w:rsidRDefault="00CA482A" w:rsidP="00CA482A">
      <w:pPr>
        <w:spacing w:before="120" w:line="276" w:lineRule="auto"/>
        <w:ind w:firstLine="709"/>
        <w:jc w:val="both"/>
        <w:rPr>
          <w:rFonts w:ascii="Arial" w:eastAsia="Calibri" w:hAnsi="Arial" w:cs="Arial"/>
          <w:color w:val="000000" w:themeColor="text1"/>
          <w:sz w:val="22"/>
          <w:lang w:val="es-ES_tradnl"/>
        </w:rPr>
      </w:pPr>
      <w:r w:rsidRPr="00F1638D">
        <w:rPr>
          <w:rFonts w:ascii="Arial" w:eastAsia="Calibri" w:hAnsi="Arial" w:cs="Arial"/>
          <w:color w:val="000000" w:themeColor="text1"/>
          <w:sz w:val="22"/>
          <w:lang w:val="es-ES_tradnl"/>
        </w:rPr>
        <w:t xml:space="preserve">Conforme a lo anterior, en un primer momento la Agencia Nacional de Contratación Pública – Colombia Compra Eficiente definió los documentos del proceso que las entidades de régimen especial debían publicar en el SECOP, con fundamento en el artículo 2.2.1.1.1.3.1 del Decreto 1082 de 2015. En un segundo momento se identificaron los documentos en virtud del literal g), del artículo 11 de la Ley 1712 de 2014 y lo previsto en </w:t>
      </w:r>
      <w:r w:rsidRPr="00F1638D">
        <w:rPr>
          <w:rFonts w:ascii="Arial" w:eastAsia="Calibri" w:hAnsi="Arial" w:cs="Arial"/>
          <w:color w:val="000000" w:themeColor="text1"/>
          <w:sz w:val="22"/>
          <w:lang w:val="es-ES_tradnl"/>
        </w:rPr>
        <w:lastRenderedPageBreak/>
        <w:t>el Decreto 103 de 2015 –compilado en los artículos 2.1.1.1.1. al 2.1.1.6.1. del Decreto 1081 de 2015–. Esta posición –que fue la acogida y desarrollada en el concepto de unificación CU-003 de 2020– es la que se reiterará a continuación.</w:t>
      </w:r>
    </w:p>
    <w:p w14:paraId="2C3E6CDE" w14:textId="77777777" w:rsidR="00CA482A" w:rsidRPr="00F1638D" w:rsidRDefault="00CA482A" w:rsidP="00CA482A">
      <w:pPr>
        <w:spacing w:before="120" w:line="276" w:lineRule="auto"/>
        <w:ind w:firstLine="709"/>
        <w:jc w:val="both"/>
        <w:rPr>
          <w:rFonts w:ascii="Arial" w:eastAsia="Calibri" w:hAnsi="Arial" w:cs="Arial"/>
          <w:color w:val="000000" w:themeColor="text1"/>
          <w:sz w:val="22"/>
          <w:lang w:val="es-ES_tradnl"/>
        </w:rPr>
      </w:pPr>
      <w:r w:rsidRPr="00F1638D">
        <w:rPr>
          <w:rFonts w:ascii="Arial" w:eastAsia="Calibri" w:hAnsi="Arial" w:cs="Arial"/>
          <w:color w:val="000000" w:themeColor="text1"/>
          <w:sz w:val="22"/>
          <w:lang w:val="es-ES_tradnl"/>
        </w:rPr>
        <w:t xml:space="preserve">En efecto, la Ley 1712 de 2014 –«Por medio de la cual se crea la Ley de Transparencia y del Derecho de Acceso a la Información Pública Nacional y se dictan otras disposiciones»–, señala en el artículo 11, literal g), que todo </w:t>
      </w:r>
      <w:r w:rsidRPr="00F1638D">
        <w:rPr>
          <w:rFonts w:ascii="Arial" w:eastAsia="Calibri" w:hAnsi="Arial" w:cs="Arial"/>
          <w:i/>
          <w:iCs/>
          <w:color w:val="000000" w:themeColor="text1"/>
          <w:sz w:val="22"/>
          <w:lang w:val="es-ES_tradnl"/>
        </w:rPr>
        <w:t>sujeto obligado</w:t>
      </w:r>
      <w:r w:rsidRPr="00F1638D">
        <w:rPr>
          <w:rFonts w:ascii="Arial" w:eastAsia="Calibri" w:hAnsi="Arial" w:cs="Arial"/>
          <w:color w:val="000000" w:themeColor="text1"/>
          <w:sz w:val="22"/>
          <w:lang w:val="es-ES_tradnl"/>
        </w:rPr>
        <w:t xml:space="preserve"> –y las entidades estatales con régimen especial de contratación lo son– debe publicar sus procedimientos, lineamientos, políticas en materia de adquisiciones y compras, así como todos los datos de adjudicación y ejecución de sus contratos. Lo anterior implica que se deberá publicar cada procedimiento para la adquisición de un producto o servicio, incluidos los datos de adjudicación y ejecución del contrato. </w:t>
      </w:r>
    </w:p>
    <w:p w14:paraId="71E34F78" w14:textId="28816A77" w:rsidR="00CA482A" w:rsidRPr="00F1638D" w:rsidRDefault="00CA482A" w:rsidP="00CA482A">
      <w:pPr>
        <w:spacing w:before="120" w:line="276" w:lineRule="auto"/>
        <w:ind w:firstLine="709"/>
        <w:jc w:val="both"/>
        <w:rPr>
          <w:rFonts w:ascii="Arial" w:eastAsia="Calibri" w:hAnsi="Arial" w:cs="Arial"/>
          <w:color w:val="000000" w:themeColor="text1"/>
          <w:sz w:val="22"/>
          <w:szCs w:val="22"/>
          <w:lang w:val="es-ES_tradnl"/>
        </w:rPr>
      </w:pPr>
      <w:r w:rsidRPr="00F1638D">
        <w:rPr>
          <w:rFonts w:ascii="Arial" w:eastAsia="Calibri" w:hAnsi="Arial" w:cs="Arial"/>
          <w:color w:val="000000" w:themeColor="text1"/>
          <w:sz w:val="22"/>
          <w:szCs w:val="22"/>
          <w:lang w:val="es-ES_tradnl"/>
        </w:rPr>
        <w:t>Luego, el Decreto reglamentario 103 de 2015</w:t>
      </w:r>
      <w:r w:rsidR="005C601F" w:rsidRPr="00F1638D">
        <w:rPr>
          <w:rFonts w:ascii="Arial" w:eastAsia="Calibri" w:hAnsi="Arial" w:cs="Arial"/>
          <w:color w:val="000000" w:themeColor="text1"/>
          <w:sz w:val="22"/>
          <w:szCs w:val="22"/>
          <w:lang w:val="es-ES_tradnl"/>
        </w:rPr>
        <w:t>,</w:t>
      </w:r>
      <w:r w:rsidRPr="00F1638D">
        <w:rPr>
          <w:rFonts w:ascii="Arial" w:eastAsia="Calibri" w:hAnsi="Arial" w:cs="Arial"/>
          <w:color w:val="000000" w:themeColor="text1"/>
          <w:sz w:val="22"/>
          <w:szCs w:val="22"/>
          <w:lang w:val="es-ES_tradnl"/>
        </w:rPr>
        <w:t xml:space="preserve"> «Por el cual se reglamenta parcialmente la Ley 1712 de 2014 y se dictan otras disposiciones»</w:t>
      </w:r>
      <w:r w:rsidR="00385909" w:rsidRPr="00F1638D">
        <w:rPr>
          <w:rFonts w:ascii="Arial" w:eastAsia="Calibri" w:hAnsi="Arial" w:cs="Arial"/>
          <w:color w:val="000000" w:themeColor="text1"/>
          <w:sz w:val="22"/>
          <w:szCs w:val="22"/>
          <w:lang w:val="es-ES_tradnl"/>
        </w:rPr>
        <w:t xml:space="preserve"> </w:t>
      </w:r>
      <w:r w:rsidR="005C601F" w:rsidRPr="00F1638D">
        <w:rPr>
          <w:rFonts w:ascii="Arial" w:eastAsia="Calibri" w:hAnsi="Arial" w:cs="Arial"/>
          <w:color w:val="000000" w:themeColor="text1"/>
          <w:sz w:val="22"/>
          <w:szCs w:val="22"/>
          <w:lang w:val="es-ES_tradnl"/>
        </w:rPr>
        <w:t>–</w:t>
      </w:r>
      <w:r w:rsidR="00D75F64" w:rsidRPr="00F1638D">
        <w:rPr>
          <w:rFonts w:ascii="Arial" w:eastAsia="Calibri" w:hAnsi="Arial" w:cs="Arial"/>
          <w:color w:val="000000" w:themeColor="text1"/>
          <w:sz w:val="22"/>
          <w:szCs w:val="22"/>
          <w:lang w:val="es-ES_tradnl"/>
        </w:rPr>
        <w:t xml:space="preserve">que fue </w:t>
      </w:r>
      <w:r w:rsidR="00385909" w:rsidRPr="00F1638D">
        <w:rPr>
          <w:rFonts w:ascii="Arial" w:eastAsia="Calibri" w:hAnsi="Arial" w:cs="Arial"/>
          <w:color w:val="000000" w:themeColor="text1"/>
          <w:sz w:val="22"/>
          <w:szCs w:val="22"/>
          <w:lang w:val="es-ES_tradnl"/>
        </w:rPr>
        <w:t>compilado en el Decreto 1081 de 2015</w:t>
      </w:r>
      <w:r w:rsidR="005C601F" w:rsidRPr="00F1638D">
        <w:rPr>
          <w:rFonts w:ascii="Arial" w:eastAsia="Calibri" w:hAnsi="Arial" w:cs="Arial"/>
          <w:color w:val="000000" w:themeColor="text1"/>
          <w:sz w:val="22"/>
          <w:szCs w:val="22"/>
          <w:lang w:val="es-ES_tradnl"/>
        </w:rPr>
        <w:t>–</w:t>
      </w:r>
      <w:r w:rsidR="00D75F64" w:rsidRPr="00F1638D">
        <w:rPr>
          <w:rFonts w:ascii="Arial" w:eastAsia="Calibri" w:hAnsi="Arial" w:cs="Arial"/>
          <w:color w:val="000000" w:themeColor="text1"/>
          <w:sz w:val="22"/>
          <w:szCs w:val="22"/>
          <w:lang w:val="es-ES_tradnl"/>
        </w:rPr>
        <w:t>,</w:t>
      </w:r>
      <w:r w:rsidRPr="00F1638D">
        <w:rPr>
          <w:rFonts w:ascii="Arial" w:eastAsia="Calibri" w:hAnsi="Arial" w:cs="Arial"/>
          <w:color w:val="000000" w:themeColor="text1"/>
          <w:sz w:val="22"/>
          <w:szCs w:val="22"/>
          <w:lang w:val="es-ES_tradnl"/>
        </w:rPr>
        <w:t xml:space="preserve"> en el artículo 8</w:t>
      </w:r>
      <w:r w:rsidR="00D75F64" w:rsidRPr="00F1638D">
        <w:rPr>
          <w:rFonts w:ascii="Arial" w:eastAsia="Calibri" w:hAnsi="Arial" w:cs="Arial"/>
          <w:color w:val="000000" w:themeColor="text1"/>
          <w:sz w:val="22"/>
          <w:szCs w:val="22"/>
          <w:lang w:val="es-ES_tradnl"/>
        </w:rPr>
        <w:t xml:space="preserve">, que corresponde actualmente al </w:t>
      </w:r>
      <w:r w:rsidRPr="00F1638D">
        <w:rPr>
          <w:rFonts w:ascii="Arial" w:eastAsia="Calibri" w:hAnsi="Arial" w:cs="Arial"/>
          <w:color w:val="000000" w:themeColor="text1"/>
          <w:sz w:val="22"/>
          <w:szCs w:val="22"/>
          <w:lang w:val="es-ES_tradnl"/>
        </w:rPr>
        <w:t xml:space="preserve">artículo 2.1.1.2.1.8. del Decreto 1081 de 2015, </w:t>
      </w:r>
      <w:r w:rsidR="00D75F64" w:rsidRPr="00F1638D">
        <w:rPr>
          <w:rFonts w:ascii="Arial" w:eastAsia="Calibri" w:hAnsi="Arial" w:cs="Arial"/>
          <w:color w:val="000000" w:themeColor="text1"/>
          <w:sz w:val="22"/>
          <w:szCs w:val="22"/>
          <w:lang w:val="es-ES_tradnl"/>
        </w:rPr>
        <w:t xml:space="preserve">establece </w:t>
      </w:r>
      <w:r w:rsidRPr="00F1638D">
        <w:rPr>
          <w:rFonts w:ascii="Arial" w:eastAsia="Calibri" w:hAnsi="Arial" w:cs="Arial"/>
          <w:color w:val="000000" w:themeColor="text1"/>
          <w:sz w:val="22"/>
          <w:szCs w:val="22"/>
          <w:lang w:val="es-ES_tradnl"/>
        </w:rPr>
        <w:t>de forma enunciativa que se debe publicar la información relativa a la ejecución del contrato, como las aprobaciones, autorizaciones, requerimientos o informes del supervisor o interventor, que aprueben la ejecución del contrato</w:t>
      </w:r>
      <w:r w:rsidRPr="00F1638D">
        <w:rPr>
          <w:rStyle w:val="Refdenotaalpie"/>
          <w:rFonts w:ascii="Arial" w:eastAsia="Calibri" w:hAnsi="Arial" w:cs="Arial"/>
          <w:color w:val="000000" w:themeColor="text1"/>
          <w:sz w:val="22"/>
          <w:szCs w:val="22"/>
          <w:lang w:val="es-ES_tradnl"/>
        </w:rPr>
        <w:footnoteReference w:id="36"/>
      </w:r>
      <w:r w:rsidRPr="00F1638D">
        <w:rPr>
          <w:rFonts w:ascii="Arial" w:eastAsia="Calibri" w:hAnsi="Arial" w:cs="Arial"/>
          <w:color w:val="000000" w:themeColor="text1"/>
          <w:sz w:val="22"/>
          <w:szCs w:val="22"/>
          <w:lang w:val="es-ES_tradnl"/>
        </w:rPr>
        <w:t>. Por su parte, el artículo 9 del Decreto 103 de 2015 –artículo 2.1.1.2.1.9. del Decreto 1081 de 2015– señala que las entidades deberán publicar los procedimientos, lineamientos y políticas en materia de adquisición, que no son otros que los previstos en el manual de contratación, que se haya expedido de acuerdo con los lineamientos de la Agencia Nacional de Contratación Pública – Colombia Compra Eficiente, el cual debe publicarse en el sitio web del sujeto obligado</w:t>
      </w:r>
      <w:r w:rsidRPr="00F1638D">
        <w:rPr>
          <w:rStyle w:val="Refdenotaalpie"/>
          <w:rFonts w:ascii="Arial" w:eastAsia="Calibri" w:hAnsi="Arial" w:cs="Arial"/>
          <w:color w:val="000000" w:themeColor="text1"/>
          <w:sz w:val="22"/>
          <w:szCs w:val="22"/>
          <w:lang w:val="es-ES_tradnl"/>
        </w:rPr>
        <w:footnoteReference w:id="37"/>
      </w:r>
      <w:r w:rsidRPr="00F1638D">
        <w:rPr>
          <w:rFonts w:ascii="Arial" w:eastAsia="Calibri" w:hAnsi="Arial" w:cs="Arial"/>
          <w:color w:val="000000" w:themeColor="text1"/>
          <w:sz w:val="22"/>
          <w:szCs w:val="22"/>
          <w:lang w:val="es-ES_tradnl"/>
        </w:rPr>
        <w:t>. Finalmente, el artículo 10 del Decreto 103 de 2015 –</w:t>
      </w:r>
      <w:r w:rsidRPr="00F1638D">
        <w:rPr>
          <w:rFonts w:ascii="Arial" w:hAnsi="Arial" w:cs="Arial"/>
          <w:sz w:val="22"/>
          <w:szCs w:val="22"/>
          <w:lang w:val="es-ES_tradnl"/>
        </w:rPr>
        <w:t xml:space="preserve">artículo </w:t>
      </w:r>
      <w:r w:rsidRPr="00F1638D">
        <w:rPr>
          <w:rFonts w:ascii="Arial" w:eastAsia="Calibri" w:hAnsi="Arial" w:cs="Arial"/>
          <w:color w:val="000000" w:themeColor="text1"/>
          <w:sz w:val="22"/>
          <w:szCs w:val="22"/>
          <w:lang w:val="es-ES_tradnl"/>
        </w:rPr>
        <w:t>2.1.1.2.1.10. del Decreto 1081 de 2015– consagra la obligación que tienen las entidades estatales de publicar en el SECOP el Plan Anual de Adquisiciones</w:t>
      </w:r>
      <w:r w:rsidRPr="00F1638D">
        <w:rPr>
          <w:rStyle w:val="Refdenotaalpie"/>
          <w:rFonts w:ascii="Arial" w:eastAsia="Calibri" w:hAnsi="Arial" w:cs="Arial"/>
          <w:color w:val="000000" w:themeColor="text1"/>
          <w:sz w:val="22"/>
          <w:szCs w:val="22"/>
          <w:lang w:val="es-ES_tradnl"/>
        </w:rPr>
        <w:footnoteReference w:id="38"/>
      </w:r>
      <w:r w:rsidRPr="00F1638D">
        <w:rPr>
          <w:rFonts w:ascii="Arial" w:eastAsia="Calibri" w:hAnsi="Arial" w:cs="Arial"/>
          <w:color w:val="000000" w:themeColor="text1"/>
          <w:sz w:val="22"/>
          <w:szCs w:val="22"/>
          <w:lang w:val="es-ES_tradnl"/>
        </w:rPr>
        <w:t>.</w:t>
      </w:r>
    </w:p>
    <w:p w14:paraId="386CB218" w14:textId="77777777" w:rsidR="00CA482A" w:rsidRPr="00F1638D" w:rsidRDefault="00CA482A" w:rsidP="00CA482A">
      <w:pPr>
        <w:spacing w:before="120" w:line="276" w:lineRule="auto"/>
        <w:ind w:firstLine="709"/>
        <w:jc w:val="both"/>
        <w:rPr>
          <w:rFonts w:ascii="Arial" w:eastAsia="Calibri" w:hAnsi="Arial" w:cs="Arial"/>
          <w:color w:val="000000" w:themeColor="text1"/>
          <w:sz w:val="22"/>
          <w:lang w:val="es-ES_tradnl"/>
        </w:rPr>
      </w:pPr>
      <w:r w:rsidRPr="00F1638D">
        <w:rPr>
          <w:rFonts w:ascii="Arial" w:eastAsia="Calibri" w:hAnsi="Arial" w:cs="Arial"/>
          <w:color w:val="000000" w:themeColor="text1"/>
          <w:sz w:val="22"/>
          <w:lang w:val="es-ES_tradnl"/>
        </w:rPr>
        <w:lastRenderedPageBreak/>
        <w:t xml:space="preserve">De conformidad con lo anterior, el Decreto 103 de 2015 –compilado en los artículos 2.1.1.1.1. al 2.1.1.6.1. del Decreto 1081 de 2015– preceptúa que los documentos que deben publicar las entidades estatales, entre estas las empresas industriales y comerciales del Estado que actúan en competencia o en mercados regulados, las sociedades de economía mixta que se encuentren en la misma condición o que tenga capital privado igual o superior al 50% de todo el capital social, las empresas de servicios públicos domiciliarios, las universidades públicas, y en general todas las entidades estatales con régimen especial de contratación, son: i) las autorizaciones, requerimientos, aprobaciones o informes del supervisor o del interventor, que prueben la ejecución del contrato, </w:t>
      </w:r>
      <w:proofErr w:type="spellStart"/>
      <w:r w:rsidRPr="00F1638D">
        <w:rPr>
          <w:rFonts w:ascii="Arial" w:eastAsia="Calibri" w:hAnsi="Arial" w:cs="Arial"/>
          <w:color w:val="000000" w:themeColor="text1"/>
          <w:sz w:val="22"/>
          <w:lang w:val="es-ES_tradnl"/>
        </w:rPr>
        <w:t>ii</w:t>
      </w:r>
      <w:proofErr w:type="spellEnd"/>
      <w:r w:rsidRPr="00F1638D">
        <w:rPr>
          <w:rFonts w:ascii="Arial" w:eastAsia="Calibri" w:hAnsi="Arial" w:cs="Arial"/>
          <w:color w:val="000000" w:themeColor="text1"/>
          <w:sz w:val="22"/>
          <w:lang w:val="es-ES_tradnl"/>
        </w:rPr>
        <w:t xml:space="preserve">) los procedimientos, lineamientos y políticas en materia de adquisición que corresponden a los  documentos que los conforman, previstos en el manual de contratación de la entidad, y finalmente, </w:t>
      </w:r>
      <w:proofErr w:type="spellStart"/>
      <w:r w:rsidRPr="00F1638D">
        <w:rPr>
          <w:rFonts w:ascii="Arial" w:eastAsia="Calibri" w:hAnsi="Arial" w:cs="Arial"/>
          <w:color w:val="000000" w:themeColor="text1"/>
          <w:sz w:val="22"/>
          <w:lang w:val="es-ES_tradnl"/>
        </w:rPr>
        <w:t>iii</w:t>
      </w:r>
      <w:proofErr w:type="spellEnd"/>
      <w:r w:rsidRPr="00F1638D">
        <w:rPr>
          <w:rFonts w:ascii="Arial" w:eastAsia="Calibri" w:hAnsi="Arial" w:cs="Arial"/>
          <w:color w:val="000000" w:themeColor="text1"/>
          <w:sz w:val="22"/>
          <w:lang w:val="es-ES_tradnl"/>
        </w:rPr>
        <w:t>) el plan anual de adquisiciones.</w:t>
      </w:r>
    </w:p>
    <w:p w14:paraId="3CF9142B" w14:textId="77777777" w:rsidR="00CA482A" w:rsidRPr="00F1638D" w:rsidRDefault="00CA482A" w:rsidP="00CA482A">
      <w:pPr>
        <w:spacing w:before="120" w:line="276" w:lineRule="auto"/>
        <w:ind w:firstLine="709"/>
        <w:jc w:val="both"/>
        <w:rPr>
          <w:rFonts w:ascii="Arial" w:eastAsia="Calibri" w:hAnsi="Arial" w:cs="Arial"/>
          <w:color w:val="000000" w:themeColor="text1"/>
          <w:sz w:val="22"/>
          <w:lang w:val="es-ES_tradnl"/>
        </w:rPr>
      </w:pPr>
      <w:r w:rsidRPr="00F1638D">
        <w:rPr>
          <w:rFonts w:ascii="Arial" w:eastAsia="Calibri" w:hAnsi="Arial" w:cs="Arial"/>
          <w:color w:val="000000" w:themeColor="text1"/>
          <w:sz w:val="22"/>
          <w:lang w:val="es-ES_tradnl"/>
        </w:rPr>
        <w:t>En relación con el segundo grupo de documentos, debido a que estas entidades están sometidas al derecho privado y, por lo tanto, no celebran sus procesos de contratación mediante las modalidades previstas en la Ley 80 de 1993, cada una definirá en su manual el procedimiento para contratar sus bienes y servicios. En este sentido, la entidad lo hará ya sea por medio de un procedimiento público, mediante el cual se realice una convocatoria y una evaluación para seleccionar la oferta más favorable, o a través de una contratación directa, cuando no es necesario efectuar un proceso competitivo. En estos casos, el manual definirá las etapas y los documentos que forman parte del procedimiento que realicen, y se publicarán en la plataforma del SECOP para cada procedimiento de contratación que se adelante, incluido el acto de adjudicación –o de selección de la oferta en la policitación regulada en el artículo 860 del Código de Comercio–, por expresa disposición del literal g) del artículo 11 de la Ley 1712 de 2014.</w:t>
      </w:r>
    </w:p>
    <w:p w14:paraId="3A877A1B" w14:textId="21438045" w:rsidR="00CA482A" w:rsidRPr="00F1638D" w:rsidRDefault="00CA482A" w:rsidP="00CA482A">
      <w:pPr>
        <w:spacing w:before="120" w:line="276" w:lineRule="auto"/>
        <w:ind w:firstLine="709"/>
        <w:jc w:val="both"/>
        <w:rPr>
          <w:rFonts w:ascii="Arial" w:hAnsi="Arial" w:cs="Arial"/>
          <w:color w:val="000000" w:themeColor="text1"/>
          <w:sz w:val="22"/>
          <w:lang w:val="es-ES_tradnl" w:eastAsia="es-CO"/>
        </w:rPr>
      </w:pPr>
      <w:r w:rsidRPr="00F1638D">
        <w:rPr>
          <w:rFonts w:ascii="Arial" w:eastAsia="Calibri" w:hAnsi="Arial" w:cs="Arial"/>
          <w:color w:val="000000" w:themeColor="text1"/>
          <w:sz w:val="22"/>
          <w:lang w:val="es-ES_tradnl"/>
        </w:rPr>
        <w:t xml:space="preserve">Por lo tanto, en estos casos aplica la Ley 1712 de 2014 y el Decreto 103 de 2015, no el Decreto 1082 de 2015, porque esta última norma rige a las entidades sometidas al Estatuto General de Contratación </w:t>
      </w:r>
      <w:r w:rsidR="00EE708F" w:rsidRPr="00F1638D">
        <w:rPr>
          <w:rFonts w:ascii="Arial" w:eastAsia="Calibri" w:hAnsi="Arial" w:cs="Arial"/>
          <w:color w:val="000000" w:themeColor="text1"/>
          <w:sz w:val="22"/>
          <w:lang w:val="es-ES_tradnl"/>
        </w:rPr>
        <w:t xml:space="preserve">de la Administración </w:t>
      </w:r>
      <w:r w:rsidRPr="00F1638D">
        <w:rPr>
          <w:rFonts w:ascii="Arial" w:eastAsia="Calibri" w:hAnsi="Arial" w:cs="Arial"/>
          <w:color w:val="000000" w:themeColor="text1"/>
          <w:sz w:val="22"/>
          <w:lang w:val="es-ES_tradnl"/>
        </w:rPr>
        <w:t>Pública, y por lo tanto no aplica a las entidades exceptuadas de dicho Estatuto que, por regla general, se rigen por el derecho privado. Por su parte, la Ley 1712 de 2014 y el Decreto reglamentario 103 de 2015 –compilado en los artículos 2.1.1.1.1. al 2.1.1.6.1. del Decreto 1081 de 2015– le aplican a cualquier entidad pública, incluyendo</w:t>
      </w:r>
      <w:r w:rsidRPr="00F1638D">
        <w:rPr>
          <w:rFonts w:ascii="Arial" w:hAnsi="Arial" w:cs="Arial"/>
          <w:color w:val="000000" w:themeColor="text1"/>
          <w:sz w:val="22"/>
          <w:lang w:val="es-ES_tradnl"/>
        </w:rPr>
        <w:t xml:space="preserve"> </w:t>
      </w:r>
      <w:r w:rsidRPr="00F1638D">
        <w:rPr>
          <w:rFonts w:ascii="Arial" w:hAnsi="Arial" w:cs="Arial"/>
          <w:color w:val="000000" w:themeColor="text1"/>
          <w:sz w:val="22"/>
          <w:lang w:val="es-ES_tradnl" w:eastAsia="es-CO"/>
        </w:rPr>
        <w:t xml:space="preserve">las pertenecientes a todas las ramas del poder </w:t>
      </w:r>
      <w:r w:rsidRPr="00F1638D">
        <w:rPr>
          <w:rFonts w:ascii="Arial" w:hAnsi="Arial" w:cs="Arial"/>
          <w:color w:val="000000" w:themeColor="text1"/>
          <w:sz w:val="22"/>
          <w:lang w:val="es-ES_tradnl" w:eastAsia="es-CO"/>
        </w:rPr>
        <w:lastRenderedPageBreak/>
        <w:t>público, en todos los niveles de la estructura estatal, central o descentralizada por servicios o territorialmente, en los órdenes nacional, departamental, municipal y distrital.</w:t>
      </w:r>
    </w:p>
    <w:p w14:paraId="7A643865" w14:textId="4565FA77" w:rsidR="00CA482A" w:rsidRPr="00F1638D" w:rsidRDefault="00CA482A" w:rsidP="00F1638D">
      <w:pPr>
        <w:spacing w:before="120" w:after="120" w:line="276" w:lineRule="auto"/>
        <w:ind w:firstLine="709"/>
        <w:jc w:val="both"/>
        <w:rPr>
          <w:rFonts w:ascii="Arial" w:hAnsi="Arial" w:cs="Arial"/>
          <w:color w:val="000000" w:themeColor="text1"/>
          <w:sz w:val="22"/>
          <w:szCs w:val="22"/>
          <w:lang w:val="es-ES_tradnl"/>
        </w:rPr>
      </w:pPr>
      <w:r w:rsidRPr="00F1638D">
        <w:rPr>
          <w:rFonts w:ascii="Arial" w:hAnsi="Arial" w:cs="Arial"/>
          <w:color w:val="000000" w:themeColor="text1"/>
          <w:sz w:val="22"/>
          <w:lang w:val="es-ES_tradnl" w:eastAsia="es-CO"/>
        </w:rPr>
        <w:t>Se concluye entonces que no</w:t>
      </w:r>
      <w:r w:rsidRPr="00F1638D">
        <w:rPr>
          <w:rFonts w:ascii="Arial" w:hAnsi="Arial" w:cs="Arial"/>
          <w:color w:val="000000" w:themeColor="text1"/>
          <w:sz w:val="22"/>
          <w:szCs w:val="22"/>
          <w:lang w:val="es-ES_tradnl"/>
        </w:rPr>
        <w:t xml:space="preserve"> puede entenderse que con la expedición del auto del Consejo de Estado del 25 de febrero de 2021 las entidades exceptuadas del Estatuto General de Contratación de la Administración Pública o que cuentan con un régimen contractual especial quedaron eximidas de la obligación de publicar en el SECOP la información oficial de la contratación que realicen con recursos públicos. Primero, porque precisamente dicho auto indica que el artículo 3, literal c), de la Ley 1150 de 2007 también les resulta aplicable a dichas entidades, independientemente de su régimen contractual. Segundo, porque estas deben garantizar los principios de publicidad y transparencia, previstos en los artículos 209 y 74 de la Constitución Política. Tercero, porque las entidades estatales –incluidas las que se rigen generalmente por el derecho privado en materia contractual–, al ser </w:t>
      </w:r>
      <w:r w:rsidRPr="00F1638D">
        <w:rPr>
          <w:rFonts w:ascii="Arial" w:hAnsi="Arial" w:cs="Arial"/>
          <w:i/>
          <w:iCs/>
          <w:color w:val="000000" w:themeColor="text1"/>
          <w:sz w:val="22"/>
          <w:szCs w:val="22"/>
          <w:lang w:val="es-ES_tradnl"/>
        </w:rPr>
        <w:t>sujetos obligados</w:t>
      </w:r>
      <w:r w:rsidRPr="00F1638D">
        <w:rPr>
          <w:rFonts w:ascii="Arial" w:hAnsi="Arial" w:cs="Arial"/>
          <w:color w:val="000000" w:themeColor="text1"/>
          <w:sz w:val="22"/>
          <w:szCs w:val="22"/>
          <w:lang w:val="es-ES_tradnl"/>
        </w:rPr>
        <w:t xml:space="preserve"> a garantizar el derecho de acceso a la información y a los documentos públicos, deben publicar en el SECOP los documentos a los que se refiere el literal e), del artículo 9 y el </w:t>
      </w:r>
      <w:r w:rsidRPr="00F1638D">
        <w:rPr>
          <w:rFonts w:ascii="Arial" w:eastAsia="Calibri" w:hAnsi="Arial" w:cs="Arial"/>
          <w:color w:val="000000" w:themeColor="text1"/>
          <w:sz w:val="22"/>
          <w:szCs w:val="22"/>
          <w:lang w:val="es-ES_tradnl"/>
        </w:rPr>
        <w:t>literal g), del artículo 11, de la Ley 1712 de 2014, como los artículos 7 al 10 del Decreto 103 de 2015 –compilado en los artículos 2.1.1.1.1. al 2.1.1.6.1. del Decreto 1081 de 2015–</w:t>
      </w:r>
      <w:r w:rsidRPr="00F1638D">
        <w:rPr>
          <w:rFonts w:ascii="Arial" w:hAnsi="Arial" w:cs="Arial"/>
          <w:color w:val="000000" w:themeColor="text1"/>
          <w:sz w:val="22"/>
          <w:szCs w:val="22"/>
          <w:lang w:val="es-ES_tradnl"/>
        </w:rPr>
        <w:t xml:space="preserve">. Cuarto, porque, el auto del 25 de febrero de 2021 no suspende todo el contenido de las </w:t>
      </w:r>
      <w:r w:rsidRPr="00F1638D">
        <w:rPr>
          <w:rFonts w:ascii="Arial" w:hAnsi="Arial" w:cs="Arial"/>
          <w:sz w:val="22"/>
          <w:szCs w:val="22"/>
          <w:lang w:val="es-ES_tradnl"/>
        </w:rPr>
        <w:t xml:space="preserve">circulares </w:t>
      </w:r>
      <w:r w:rsidRPr="00F1638D">
        <w:rPr>
          <w:rFonts w:ascii="Arial" w:eastAsia="Arial" w:hAnsi="Arial" w:cs="Arial"/>
          <w:sz w:val="22"/>
          <w:szCs w:val="22"/>
          <w:lang w:val="es-ES_tradnl"/>
        </w:rPr>
        <w:t xml:space="preserve">No. 1 del 21 de junio de 2013 y No. 20 del 27 de agosto de 2015, sino solo las expresiones que utilizan la frase «actividad contractual», quedando vigente lo demás –que continúa estableciendo el referido deber–. Quinto, porque el imperativo de publicar en el SECOP la información oficial de la contratación </w:t>
      </w:r>
      <w:r w:rsidR="00EE708F" w:rsidRPr="00F1638D">
        <w:rPr>
          <w:rFonts w:ascii="Arial" w:eastAsia="Arial" w:hAnsi="Arial" w:cs="Arial"/>
          <w:sz w:val="22"/>
          <w:szCs w:val="22"/>
          <w:lang w:val="es-ES_tradnl"/>
        </w:rPr>
        <w:t xml:space="preserve">que se realice con recursos públicos </w:t>
      </w:r>
      <w:r w:rsidRPr="00F1638D">
        <w:rPr>
          <w:rFonts w:ascii="Arial" w:eastAsia="Arial" w:hAnsi="Arial" w:cs="Arial"/>
          <w:sz w:val="22"/>
          <w:szCs w:val="22"/>
          <w:lang w:val="es-ES_tradnl"/>
        </w:rPr>
        <w:t xml:space="preserve">se desprende además de las circulares </w:t>
      </w:r>
      <w:r w:rsidRPr="00F1638D">
        <w:rPr>
          <w:rFonts w:ascii="Arial" w:hAnsi="Arial" w:cs="Arial"/>
          <w:bCs/>
          <w:color w:val="000000" w:themeColor="text1"/>
          <w:sz w:val="22"/>
          <w:szCs w:val="22"/>
          <w:lang w:val="es-ES_tradnl"/>
        </w:rPr>
        <w:t>No. 23 del 16 de marzo de 2017 y No. 007 de 2020, así como de la Circular Externa Única –actualizada el 16 de abril de 2019–, las cuales se encuentran vigentes.</w:t>
      </w:r>
      <w:bookmarkEnd w:id="9"/>
      <w:r w:rsidRPr="00F1638D">
        <w:rPr>
          <w:rFonts w:ascii="Arial" w:hAnsi="Arial" w:cs="Arial"/>
          <w:color w:val="000000" w:themeColor="text1"/>
          <w:sz w:val="22"/>
          <w:szCs w:val="22"/>
          <w:lang w:val="es-ES_tradnl"/>
        </w:rPr>
        <w:t xml:space="preserve"> </w:t>
      </w:r>
    </w:p>
    <w:p w14:paraId="4D5A3C8D" w14:textId="41892EE3" w:rsidR="00CA482A" w:rsidRPr="00F1638D" w:rsidRDefault="00EE708F" w:rsidP="00F1638D">
      <w:pPr>
        <w:pStyle w:val="paragraph"/>
        <w:spacing w:before="0" w:beforeAutospacing="0" w:after="120" w:afterAutospacing="0" w:line="276" w:lineRule="auto"/>
        <w:ind w:firstLine="709"/>
        <w:jc w:val="both"/>
        <w:textAlignment w:val="baseline"/>
        <w:rPr>
          <w:rFonts w:ascii="Arial" w:hAnsi="Arial" w:cs="Arial"/>
          <w:color w:val="000000" w:themeColor="text1"/>
          <w:sz w:val="22"/>
          <w:szCs w:val="22"/>
        </w:rPr>
      </w:pPr>
      <w:bookmarkStart w:id="11" w:name="_Hlk65589443"/>
      <w:bookmarkStart w:id="12" w:name="_Hlk70968001"/>
      <w:r w:rsidRPr="00F1638D">
        <w:rPr>
          <w:rFonts w:ascii="Arial" w:eastAsiaTheme="minorHAnsi" w:hAnsi="Arial" w:cs="Arial"/>
          <w:color w:val="000000" w:themeColor="text1"/>
          <w:sz w:val="22"/>
          <w:szCs w:val="22"/>
          <w:lang w:eastAsia="en-US"/>
        </w:rPr>
        <w:t>En caso de que se desee</w:t>
      </w:r>
      <w:r w:rsidR="00CA482A" w:rsidRPr="00F1638D">
        <w:rPr>
          <w:rFonts w:ascii="Arial" w:eastAsiaTheme="minorHAnsi" w:hAnsi="Arial" w:cs="Arial"/>
          <w:color w:val="000000" w:themeColor="text1"/>
          <w:sz w:val="22"/>
          <w:szCs w:val="22"/>
          <w:lang w:eastAsia="en-US"/>
        </w:rPr>
        <w:t xml:space="preserve"> conocer información sobre el funcionamiento técnico de</w:t>
      </w:r>
      <w:r w:rsidRPr="00F1638D">
        <w:rPr>
          <w:rFonts w:ascii="Arial" w:eastAsiaTheme="minorHAnsi" w:hAnsi="Arial" w:cs="Arial"/>
          <w:color w:val="000000" w:themeColor="text1"/>
          <w:sz w:val="22"/>
          <w:szCs w:val="22"/>
          <w:lang w:eastAsia="en-US"/>
        </w:rPr>
        <w:t>l</w:t>
      </w:r>
      <w:r w:rsidR="00CA482A" w:rsidRPr="00F1638D">
        <w:rPr>
          <w:rFonts w:ascii="Arial" w:eastAsiaTheme="minorHAnsi" w:hAnsi="Arial" w:cs="Arial"/>
          <w:color w:val="000000" w:themeColor="text1"/>
          <w:sz w:val="22"/>
          <w:szCs w:val="22"/>
          <w:lang w:eastAsia="en-US"/>
        </w:rPr>
        <w:t xml:space="preserve"> SECOP II </w:t>
      </w:r>
      <w:r w:rsidRPr="00F1638D">
        <w:rPr>
          <w:rFonts w:ascii="Arial" w:eastAsiaTheme="minorHAnsi" w:hAnsi="Arial" w:cs="Arial"/>
          <w:color w:val="000000" w:themeColor="text1"/>
          <w:sz w:val="22"/>
          <w:szCs w:val="22"/>
          <w:lang w:eastAsia="en-US"/>
        </w:rPr>
        <w:t xml:space="preserve">se </w:t>
      </w:r>
      <w:r w:rsidR="00CA482A" w:rsidRPr="00F1638D">
        <w:rPr>
          <w:rFonts w:ascii="Arial" w:eastAsiaTheme="minorHAnsi" w:hAnsi="Arial" w:cs="Arial"/>
          <w:color w:val="000000" w:themeColor="text1"/>
          <w:sz w:val="22"/>
          <w:szCs w:val="22"/>
          <w:lang w:eastAsia="en-US"/>
        </w:rPr>
        <w:t>puede</w:t>
      </w:r>
      <w:r w:rsidRPr="00F1638D">
        <w:rPr>
          <w:rFonts w:ascii="Arial" w:eastAsiaTheme="minorHAnsi" w:hAnsi="Arial" w:cs="Arial"/>
          <w:color w:val="000000" w:themeColor="text1"/>
          <w:sz w:val="22"/>
          <w:szCs w:val="22"/>
          <w:lang w:eastAsia="en-US"/>
        </w:rPr>
        <w:t>n</w:t>
      </w:r>
      <w:r w:rsidR="00CA482A" w:rsidRPr="00F1638D">
        <w:rPr>
          <w:rFonts w:ascii="Arial" w:eastAsiaTheme="minorHAnsi" w:hAnsi="Arial" w:cs="Arial"/>
          <w:color w:val="000000" w:themeColor="text1"/>
          <w:sz w:val="22"/>
          <w:szCs w:val="22"/>
          <w:lang w:eastAsia="en-US"/>
        </w:rPr>
        <w:t xml:space="preserve"> consultar</w:t>
      </w:r>
      <w:r w:rsidR="00CA482A" w:rsidRPr="00F1638D">
        <w:rPr>
          <w:rFonts w:ascii="Arial" w:hAnsi="Arial" w:cs="Arial"/>
          <w:color w:val="000000" w:themeColor="text1"/>
          <w:sz w:val="22"/>
          <w:szCs w:val="22"/>
        </w:rPr>
        <w:t xml:space="preserve"> las guías y manuales dispuestos por la ANCP- CCE en el minisitio de SECOP II en el siguiente enlace </w:t>
      </w:r>
      <w:hyperlink r:id="rId9" w:history="1">
        <w:r w:rsidR="00CA482A" w:rsidRPr="00F1638D">
          <w:rPr>
            <w:rStyle w:val="Hipervnculo"/>
            <w:rFonts w:ascii="Arial" w:eastAsiaTheme="minorHAnsi" w:hAnsi="Arial" w:cs="Arial"/>
            <w:color w:val="000000" w:themeColor="text1"/>
            <w:sz w:val="22"/>
            <w:szCs w:val="22"/>
            <w:lang w:eastAsia="en-US"/>
          </w:rPr>
          <w:t>https://www.colombiacompra.gov.co/secop-ii</w:t>
        </w:r>
      </w:hyperlink>
      <w:r w:rsidR="00CA482A" w:rsidRPr="00F1638D">
        <w:rPr>
          <w:rStyle w:val="Hipervnculo"/>
          <w:rFonts w:ascii="Arial" w:eastAsiaTheme="minorHAnsi" w:hAnsi="Arial" w:cs="Arial"/>
          <w:color w:val="000000" w:themeColor="text1"/>
          <w:sz w:val="22"/>
          <w:szCs w:val="22"/>
          <w:lang w:eastAsia="en-US"/>
        </w:rPr>
        <w:t>.</w:t>
      </w:r>
      <w:r w:rsidR="00CA482A" w:rsidRPr="00F1638D">
        <w:rPr>
          <w:rFonts w:ascii="Arial" w:hAnsi="Arial" w:cs="Arial"/>
          <w:color w:val="000000" w:themeColor="text1"/>
          <w:sz w:val="22"/>
          <w:szCs w:val="22"/>
        </w:rPr>
        <w:t xml:space="preserve"> Finalmente, en caso de tener dudas sobre las herramientas puede acceder a la Mesa de Servicio de la ANCP - CCE a través de los canales especificados en este enlace: </w:t>
      </w:r>
      <w:hyperlink r:id="rId10" w:history="1">
        <w:r w:rsidR="00CA482A" w:rsidRPr="00F1638D">
          <w:rPr>
            <w:rStyle w:val="Hipervnculo"/>
            <w:rFonts w:ascii="Arial" w:hAnsi="Arial" w:cs="Arial"/>
            <w:color w:val="000000" w:themeColor="text1"/>
            <w:sz w:val="22"/>
            <w:szCs w:val="22"/>
          </w:rPr>
          <w:t>https://www.colombiacompra.gov.co/mesa-de-servicio</w:t>
        </w:r>
      </w:hyperlink>
      <w:r w:rsidR="00CA482A" w:rsidRPr="00F1638D">
        <w:rPr>
          <w:rFonts w:ascii="Arial" w:hAnsi="Arial" w:cs="Arial"/>
          <w:color w:val="000000" w:themeColor="text1"/>
          <w:sz w:val="22"/>
          <w:szCs w:val="22"/>
        </w:rPr>
        <w:t xml:space="preserve">. </w:t>
      </w:r>
    </w:p>
    <w:bookmarkEnd w:id="11"/>
    <w:bookmarkEnd w:id="12"/>
    <w:p w14:paraId="19D1CC76" w14:textId="77777777" w:rsidR="00CA482A" w:rsidRPr="00F1638D" w:rsidRDefault="00CA482A" w:rsidP="00CA482A">
      <w:pPr>
        <w:spacing w:line="276" w:lineRule="auto"/>
        <w:jc w:val="both"/>
        <w:rPr>
          <w:rFonts w:ascii="Arial" w:eastAsia="Calibri" w:hAnsi="Arial" w:cs="Arial"/>
          <w:b/>
          <w:color w:val="000000" w:themeColor="text1"/>
          <w:sz w:val="22"/>
          <w:lang w:val="es-ES_tradnl"/>
        </w:rPr>
      </w:pPr>
    </w:p>
    <w:p w14:paraId="209D792D" w14:textId="77777777" w:rsidR="00CA482A" w:rsidRPr="00F1638D" w:rsidRDefault="00CA482A" w:rsidP="00CA482A">
      <w:pPr>
        <w:spacing w:line="276" w:lineRule="auto"/>
        <w:jc w:val="both"/>
        <w:rPr>
          <w:rFonts w:ascii="Arial" w:hAnsi="Arial" w:cs="Arial"/>
          <w:sz w:val="22"/>
          <w:lang w:val="es-ES_tradnl"/>
        </w:rPr>
      </w:pPr>
      <w:r w:rsidRPr="00F1638D">
        <w:rPr>
          <w:rFonts w:ascii="Arial" w:eastAsia="Calibri" w:hAnsi="Arial" w:cs="Arial"/>
          <w:b/>
          <w:color w:val="000000" w:themeColor="text1"/>
          <w:sz w:val="22"/>
          <w:lang w:val="es-ES_tradnl"/>
        </w:rPr>
        <w:t>3. Respuesta</w:t>
      </w:r>
    </w:p>
    <w:p w14:paraId="543E7090" w14:textId="77777777" w:rsidR="00CA482A" w:rsidRPr="00F1638D" w:rsidRDefault="00CA482A" w:rsidP="00CA482A">
      <w:pPr>
        <w:tabs>
          <w:tab w:val="left" w:pos="0"/>
        </w:tabs>
        <w:jc w:val="both"/>
        <w:rPr>
          <w:rFonts w:ascii="Arial" w:eastAsia="Calibri" w:hAnsi="Arial" w:cs="Arial"/>
          <w:color w:val="000000" w:themeColor="text1"/>
          <w:sz w:val="22"/>
          <w:lang w:val="es-ES_tradnl"/>
        </w:rPr>
      </w:pPr>
    </w:p>
    <w:p w14:paraId="321CF033" w14:textId="6DE1DABC" w:rsidR="00935211" w:rsidRPr="00F1638D" w:rsidRDefault="00CA482A" w:rsidP="00935211">
      <w:pPr>
        <w:ind w:left="709" w:right="709"/>
        <w:jc w:val="both"/>
        <w:rPr>
          <w:rFonts w:ascii="Arial" w:hAnsi="Arial" w:cs="Arial"/>
          <w:sz w:val="21"/>
          <w:szCs w:val="21"/>
        </w:rPr>
      </w:pPr>
      <w:r w:rsidRPr="00F1638D">
        <w:rPr>
          <w:rFonts w:ascii="Arial" w:hAnsi="Arial" w:cs="Arial"/>
          <w:color w:val="000000" w:themeColor="text1"/>
          <w:sz w:val="21"/>
          <w:szCs w:val="21"/>
          <w:lang w:val="es-ES_tradnl"/>
        </w:rPr>
        <w:t>«</w:t>
      </w:r>
      <w:r w:rsidR="00935211" w:rsidRPr="00F1638D">
        <w:rPr>
          <w:rFonts w:ascii="Arial" w:hAnsi="Arial" w:cs="Arial"/>
          <w:b/>
          <w:bCs/>
          <w:sz w:val="21"/>
          <w:szCs w:val="21"/>
        </w:rPr>
        <w:t>PRIMERO</w:t>
      </w:r>
      <w:r w:rsidR="00935211" w:rsidRPr="00F1638D">
        <w:rPr>
          <w:rFonts w:ascii="Arial" w:hAnsi="Arial" w:cs="Arial"/>
          <w:sz w:val="21"/>
          <w:szCs w:val="21"/>
        </w:rPr>
        <w:t xml:space="preserve">: Que en el marco de lo expuesto COLOMBIA COMPRA EFICIENTE determine si los actos de contratación de la EPS al no ser publicados mediante el SECOP se predican faltos de transparencia y buena fe, teniendo en cuenta que esta cuenta con un Manual de Contratación que dispone las diferentes modalidades de contratación y sus procesos. </w:t>
      </w:r>
    </w:p>
    <w:p w14:paraId="0C914FD1" w14:textId="011AC923" w:rsidR="000B182C" w:rsidRPr="00F1638D" w:rsidRDefault="000B182C" w:rsidP="00935211">
      <w:pPr>
        <w:ind w:left="709" w:right="709"/>
        <w:jc w:val="both"/>
        <w:rPr>
          <w:rFonts w:ascii="Arial" w:hAnsi="Arial" w:cs="Arial"/>
          <w:sz w:val="21"/>
          <w:szCs w:val="21"/>
        </w:rPr>
      </w:pPr>
      <w:r w:rsidRPr="00F1638D">
        <w:rPr>
          <w:rFonts w:ascii="Arial" w:hAnsi="Arial" w:cs="Arial"/>
          <w:sz w:val="21"/>
          <w:szCs w:val="21"/>
        </w:rPr>
        <w:t>[…]</w:t>
      </w:r>
    </w:p>
    <w:p w14:paraId="247FBDD9" w14:textId="53A3007A" w:rsidR="00B66724" w:rsidRPr="00F1638D" w:rsidRDefault="00B66724" w:rsidP="00B66724">
      <w:pPr>
        <w:ind w:right="709"/>
        <w:jc w:val="both"/>
        <w:rPr>
          <w:rFonts w:ascii="Arial" w:hAnsi="Arial" w:cs="Arial"/>
          <w:sz w:val="22"/>
          <w:szCs w:val="22"/>
        </w:rPr>
      </w:pPr>
    </w:p>
    <w:p w14:paraId="6FB302B2" w14:textId="54C1242D" w:rsidR="00B66724" w:rsidRPr="00F1638D" w:rsidRDefault="00B66724" w:rsidP="00F1638D">
      <w:pPr>
        <w:spacing w:after="120" w:line="276" w:lineRule="auto"/>
        <w:jc w:val="both"/>
        <w:textAlignment w:val="baseline"/>
        <w:rPr>
          <w:rFonts w:ascii="Arial" w:hAnsi="Arial" w:cs="Arial"/>
          <w:sz w:val="22"/>
          <w:szCs w:val="22"/>
          <w:lang w:val="es-MX" w:eastAsia="es-CO"/>
        </w:rPr>
      </w:pPr>
      <w:r w:rsidRPr="00F1638D">
        <w:rPr>
          <w:rFonts w:ascii="Arial" w:hAnsi="Arial" w:cs="Arial"/>
          <w:sz w:val="22"/>
          <w:szCs w:val="22"/>
        </w:rPr>
        <w:lastRenderedPageBreak/>
        <w:t>De conformidad con la competencia otorgada por el numeral 5 del artículo 3 y el numeral 8 del artículo 11 del Decreto</w:t>
      </w:r>
      <w:r w:rsidR="00BF0D1C" w:rsidRPr="00F1638D">
        <w:rPr>
          <w:rFonts w:ascii="Arial" w:hAnsi="Arial" w:cs="Arial"/>
          <w:sz w:val="22"/>
          <w:szCs w:val="22"/>
        </w:rPr>
        <w:t>-Ley</w:t>
      </w:r>
      <w:r w:rsidRPr="00F1638D">
        <w:rPr>
          <w:rFonts w:ascii="Arial" w:hAnsi="Arial" w:cs="Arial"/>
          <w:sz w:val="22"/>
          <w:szCs w:val="22"/>
        </w:rPr>
        <w:t xml:space="preserve"> 4170 de 2011, la Agencia Nacional de Contratación Pública tiene competencia para atender consultas relativas a temas contractuales, pero solo para «absolver consultas sobre la aplicación de normas de carácter general»</w:t>
      </w:r>
      <w:r w:rsidRPr="00F1638D">
        <w:rPr>
          <w:rFonts w:ascii="Arial" w:hAnsi="Arial" w:cs="Arial"/>
          <w:sz w:val="22"/>
          <w:szCs w:val="22"/>
          <w:vertAlign w:val="superscript"/>
        </w:rPr>
        <w:footnoteReference w:id="39"/>
      </w:r>
      <w:r w:rsidRPr="00F1638D">
        <w:rPr>
          <w:rFonts w:ascii="Arial" w:hAnsi="Arial" w:cs="Arial"/>
          <w:sz w:val="22"/>
          <w:szCs w:val="22"/>
        </w:rPr>
        <w:t xml:space="preserve">. Esto significa que no podemos pronunciarnos sobre casos particulares o sobre preguntas que no contengan dudas sobre la aplicación de una norma general en </w:t>
      </w:r>
      <w:r w:rsidRPr="00F1638D">
        <w:rPr>
          <w:rFonts w:ascii="Arial" w:hAnsi="Arial" w:cs="Arial"/>
          <w:sz w:val="22"/>
          <w:szCs w:val="22"/>
          <w:lang w:val="es-MX" w:eastAsia="es-CO"/>
        </w:rPr>
        <w:t>materia de contratación pública.</w:t>
      </w:r>
    </w:p>
    <w:p w14:paraId="7EC24FDB" w14:textId="73360F94" w:rsidR="00B66724" w:rsidRPr="00F1638D" w:rsidRDefault="000E7B7B" w:rsidP="00F1638D">
      <w:pPr>
        <w:spacing w:after="120" w:line="276" w:lineRule="auto"/>
        <w:ind w:firstLine="708"/>
        <w:jc w:val="both"/>
        <w:textAlignment w:val="baseline"/>
        <w:rPr>
          <w:rFonts w:ascii="Arial" w:hAnsi="Arial" w:cs="Arial"/>
          <w:sz w:val="22"/>
          <w:szCs w:val="22"/>
        </w:rPr>
      </w:pPr>
      <w:r w:rsidRPr="00F1638D">
        <w:rPr>
          <w:rFonts w:ascii="Arial" w:hAnsi="Arial" w:cs="Arial"/>
          <w:sz w:val="22"/>
          <w:szCs w:val="22"/>
        </w:rPr>
        <w:t>Dado que l</w:t>
      </w:r>
      <w:r w:rsidR="00B66724" w:rsidRPr="00F1638D">
        <w:rPr>
          <w:rFonts w:ascii="Arial" w:hAnsi="Arial" w:cs="Arial"/>
          <w:sz w:val="22"/>
          <w:szCs w:val="22"/>
        </w:rPr>
        <w:t xml:space="preserve">a solicitud tiene como propósito que Colombia Compra Eficiente </w:t>
      </w:r>
      <w:r w:rsidR="00ED107E" w:rsidRPr="00F1638D">
        <w:rPr>
          <w:rFonts w:ascii="Arial" w:hAnsi="Arial" w:cs="Arial"/>
          <w:sz w:val="22"/>
          <w:szCs w:val="22"/>
        </w:rPr>
        <w:t xml:space="preserve">se pronuncie sobre supuestos de hecho </w:t>
      </w:r>
      <w:r w:rsidR="00B66724" w:rsidRPr="00F1638D">
        <w:rPr>
          <w:rFonts w:ascii="Arial" w:hAnsi="Arial" w:cs="Arial"/>
          <w:sz w:val="22"/>
          <w:szCs w:val="22"/>
        </w:rPr>
        <w:t>emitiendo un concepto jurídico en el que se establezca</w:t>
      </w:r>
      <w:r w:rsidR="00ED107E" w:rsidRPr="00F1638D">
        <w:rPr>
          <w:rFonts w:ascii="Arial" w:hAnsi="Arial" w:cs="Arial"/>
          <w:sz w:val="22"/>
          <w:szCs w:val="22"/>
        </w:rPr>
        <w:t xml:space="preserve"> el cumplimiento o no</w:t>
      </w:r>
      <w:r w:rsidRPr="00F1638D">
        <w:rPr>
          <w:rFonts w:ascii="Arial" w:hAnsi="Arial" w:cs="Arial"/>
          <w:sz w:val="22"/>
          <w:szCs w:val="22"/>
        </w:rPr>
        <w:t xml:space="preserve"> de</w:t>
      </w:r>
      <w:r w:rsidR="00ED107E" w:rsidRPr="00F1638D">
        <w:rPr>
          <w:rFonts w:ascii="Arial" w:hAnsi="Arial" w:cs="Arial"/>
          <w:sz w:val="22"/>
          <w:szCs w:val="22"/>
        </w:rPr>
        <w:t xml:space="preserve"> principios de la contratación estata</w:t>
      </w:r>
      <w:r w:rsidRPr="00F1638D">
        <w:rPr>
          <w:rFonts w:ascii="Arial" w:hAnsi="Arial" w:cs="Arial"/>
          <w:sz w:val="22"/>
          <w:szCs w:val="22"/>
        </w:rPr>
        <w:t>l, d</w:t>
      </w:r>
      <w:r w:rsidR="00B66724" w:rsidRPr="00F1638D">
        <w:rPr>
          <w:rFonts w:ascii="Arial" w:hAnsi="Arial" w:cs="Arial"/>
          <w:sz w:val="22"/>
          <w:szCs w:val="22"/>
        </w:rPr>
        <w:t>esafortunadamente no podemos responder su solicitud, pues no se refiere al alcance de alguna norma que rija la contratación de las entidades públicas sino a la resolución de unas problemáticas particulares y concretas.</w:t>
      </w:r>
    </w:p>
    <w:p w14:paraId="320E91BA" w14:textId="06D61C21" w:rsidR="00B66724" w:rsidRPr="00F1638D" w:rsidRDefault="00B66724" w:rsidP="00F1638D">
      <w:pPr>
        <w:spacing w:after="120" w:line="276" w:lineRule="auto"/>
        <w:ind w:firstLine="708"/>
        <w:jc w:val="both"/>
        <w:textAlignment w:val="baseline"/>
        <w:rPr>
          <w:rFonts w:ascii="Arial" w:hAnsi="Arial" w:cs="Arial"/>
          <w:sz w:val="22"/>
          <w:szCs w:val="22"/>
        </w:rPr>
      </w:pPr>
      <w:r w:rsidRPr="00F1638D">
        <w:rPr>
          <w:rFonts w:ascii="Arial" w:hAnsi="Arial" w:cs="Arial"/>
          <w:sz w:val="22"/>
          <w:szCs w:val="22"/>
        </w:rPr>
        <w:t>En ese orden, usted no está solicitando que se absuelvan dudas sobre la interpretación y la aplicación de normas de carácter general en materia de compras y contratación pública. En realidad, procura una asesoría particular, cuyo propósito</w:t>
      </w:r>
      <w:r w:rsidR="000E7B7B" w:rsidRPr="00F1638D">
        <w:rPr>
          <w:rFonts w:ascii="Arial" w:hAnsi="Arial" w:cs="Arial"/>
          <w:sz w:val="22"/>
          <w:szCs w:val="22"/>
        </w:rPr>
        <w:t xml:space="preserve"> </w:t>
      </w:r>
      <w:r w:rsidRPr="00F1638D">
        <w:rPr>
          <w:rFonts w:ascii="Arial" w:hAnsi="Arial" w:cs="Arial"/>
          <w:sz w:val="22"/>
          <w:szCs w:val="22"/>
        </w:rPr>
        <w:t>es determinar validar las decisiones y/o actuaciones que</w:t>
      </w:r>
      <w:r w:rsidR="008B5A0E" w:rsidRPr="00F1638D">
        <w:rPr>
          <w:rFonts w:ascii="Arial" w:hAnsi="Arial" w:cs="Arial"/>
          <w:sz w:val="22"/>
          <w:szCs w:val="22"/>
        </w:rPr>
        <w:t xml:space="preserve"> realizan o </w:t>
      </w:r>
      <w:r w:rsidRPr="00F1638D">
        <w:rPr>
          <w:rFonts w:ascii="Arial" w:hAnsi="Arial" w:cs="Arial"/>
          <w:sz w:val="22"/>
          <w:szCs w:val="22"/>
        </w:rPr>
        <w:t xml:space="preserve">deben tomar </w:t>
      </w:r>
      <w:r w:rsidR="008B5A0E" w:rsidRPr="00F1638D">
        <w:rPr>
          <w:rFonts w:ascii="Arial" w:hAnsi="Arial" w:cs="Arial"/>
          <w:sz w:val="22"/>
          <w:szCs w:val="22"/>
        </w:rPr>
        <w:t>de forma autónoma la entidad particular</w:t>
      </w:r>
      <w:r w:rsidRPr="00F1638D">
        <w:rPr>
          <w:rFonts w:ascii="Arial" w:hAnsi="Arial" w:cs="Arial"/>
          <w:sz w:val="22"/>
          <w:szCs w:val="22"/>
        </w:rPr>
        <w:t xml:space="preserve">. </w:t>
      </w:r>
      <w:r w:rsidR="008B5A0E" w:rsidRPr="00F1638D">
        <w:rPr>
          <w:rFonts w:ascii="Arial" w:hAnsi="Arial" w:cs="Arial"/>
          <w:sz w:val="22"/>
          <w:szCs w:val="22"/>
        </w:rPr>
        <w:t>Así las cosas, e</w:t>
      </w:r>
      <w:r w:rsidRPr="00F1638D">
        <w:rPr>
          <w:rFonts w:ascii="Arial" w:hAnsi="Arial" w:cs="Arial"/>
          <w:sz w:val="22"/>
          <w:szCs w:val="22"/>
        </w:rPr>
        <w:t xml:space="preserve">l pronunciamiento por parte de esta entidad sobre </w:t>
      </w:r>
      <w:r w:rsidR="008B5A0E" w:rsidRPr="00F1638D">
        <w:rPr>
          <w:rFonts w:ascii="Arial" w:hAnsi="Arial" w:cs="Arial"/>
          <w:sz w:val="22"/>
          <w:szCs w:val="22"/>
        </w:rPr>
        <w:t xml:space="preserve">la presente </w:t>
      </w:r>
      <w:r w:rsidRPr="00F1638D">
        <w:rPr>
          <w:rFonts w:ascii="Arial" w:hAnsi="Arial" w:cs="Arial"/>
          <w:sz w:val="22"/>
          <w:szCs w:val="22"/>
        </w:rPr>
        <w:t xml:space="preserve">pregunta desborda nuestra competencia consultiva, la cual está limitada a resolver problemas de aplicación de normas de carácter general, situación que no se configura en el presente asunto.  </w:t>
      </w:r>
    </w:p>
    <w:p w14:paraId="5BD2A8FD" w14:textId="2254B8BC" w:rsidR="00B66724" w:rsidRPr="00F1638D" w:rsidRDefault="00B66724" w:rsidP="00F1638D">
      <w:pPr>
        <w:spacing w:after="120" w:line="276" w:lineRule="auto"/>
        <w:ind w:firstLine="708"/>
        <w:jc w:val="both"/>
        <w:textAlignment w:val="baseline"/>
        <w:rPr>
          <w:rFonts w:ascii="Arial" w:hAnsi="Arial" w:cs="Arial"/>
          <w:sz w:val="22"/>
          <w:szCs w:val="22"/>
        </w:rPr>
      </w:pPr>
      <w:r w:rsidRPr="00F1638D">
        <w:rPr>
          <w:rFonts w:ascii="Arial" w:hAnsi="Arial" w:cs="Arial"/>
          <w:sz w:val="22"/>
          <w:szCs w:val="22"/>
        </w:rPr>
        <w:t xml:space="preserve">Resulta </w:t>
      </w:r>
      <w:r w:rsidR="00BF0D1C" w:rsidRPr="00F1638D">
        <w:rPr>
          <w:rFonts w:ascii="Arial" w:hAnsi="Arial" w:cs="Arial"/>
          <w:sz w:val="22"/>
          <w:szCs w:val="22"/>
        </w:rPr>
        <w:t xml:space="preserve">importante </w:t>
      </w:r>
      <w:r w:rsidRPr="00F1638D">
        <w:rPr>
          <w:rFonts w:ascii="Arial" w:hAnsi="Arial" w:cs="Arial"/>
          <w:sz w:val="22"/>
          <w:szCs w:val="22"/>
        </w:rPr>
        <w:t>señalar la autonomía administrativa de la que fueron dotadas las autoridades para el ejercicio de las funciones y las competencias que, en virtud del principio de legalidad</w:t>
      </w:r>
      <w:r w:rsidR="00BF0D1C" w:rsidRPr="00F1638D">
        <w:rPr>
          <w:rFonts w:ascii="Arial" w:hAnsi="Arial" w:cs="Arial"/>
          <w:sz w:val="22"/>
          <w:szCs w:val="22"/>
        </w:rPr>
        <w:t>,</w:t>
      </w:r>
      <w:r w:rsidRPr="00F1638D">
        <w:rPr>
          <w:rFonts w:ascii="Arial" w:hAnsi="Arial" w:cs="Arial"/>
          <w:sz w:val="22"/>
          <w:szCs w:val="22"/>
        </w:rPr>
        <w:t xml:space="preserve"> les fueron atribuidas por el ordenamiento jurídico. Por esa razón, como responsables de su actividad contractual y conforme al régimen jurídico de contratación que les resulta aplicable, les corresponde adoptar las decisiones y adelantar las actuaciones que estimen pertinentes para desarrollar dicha actividad.  </w:t>
      </w:r>
    </w:p>
    <w:p w14:paraId="0E49443B" w14:textId="273FBCF2" w:rsidR="00B66724" w:rsidRPr="00F1638D" w:rsidRDefault="00B66724" w:rsidP="008B5A0E">
      <w:pPr>
        <w:spacing w:line="276" w:lineRule="auto"/>
        <w:ind w:firstLine="708"/>
        <w:jc w:val="both"/>
        <w:textAlignment w:val="baseline"/>
        <w:rPr>
          <w:rFonts w:ascii="Arial" w:hAnsi="Arial" w:cs="Arial"/>
          <w:sz w:val="22"/>
          <w:szCs w:val="22"/>
        </w:rPr>
      </w:pPr>
      <w:r w:rsidRPr="00F1638D">
        <w:rPr>
          <w:rFonts w:ascii="Arial" w:hAnsi="Arial" w:cs="Arial"/>
          <w:sz w:val="22"/>
          <w:szCs w:val="22"/>
        </w:rPr>
        <w:t xml:space="preserve">En consecuencia, en este caso, con el apoyo de sus equipos jurídicos y en virtud de las disposiciones legales aplicables al asunto, les atañe dilucidar </w:t>
      </w:r>
      <w:r w:rsidR="008B5A0E" w:rsidRPr="00F1638D">
        <w:rPr>
          <w:rFonts w:ascii="Arial" w:hAnsi="Arial" w:cs="Arial"/>
          <w:sz w:val="22"/>
          <w:szCs w:val="22"/>
        </w:rPr>
        <w:t xml:space="preserve">«si los actos de contratación de la EPS al no ser publicados mediante el SECOP se predican faltos de </w:t>
      </w:r>
      <w:r w:rsidR="008B5A0E" w:rsidRPr="00F1638D">
        <w:rPr>
          <w:rFonts w:ascii="Arial" w:hAnsi="Arial" w:cs="Arial"/>
          <w:sz w:val="22"/>
          <w:szCs w:val="22"/>
        </w:rPr>
        <w:lastRenderedPageBreak/>
        <w:t>transparencia y buena fe»</w:t>
      </w:r>
      <w:r w:rsidR="00BF0D1C" w:rsidRPr="00F1638D">
        <w:rPr>
          <w:rFonts w:ascii="Arial" w:hAnsi="Arial" w:cs="Arial"/>
          <w:sz w:val="22"/>
          <w:szCs w:val="22"/>
        </w:rPr>
        <w:t>, sin perjuicio de que, para dicho análisis, se tengan en cuenta las consideraciones realizadas en este concepto.</w:t>
      </w:r>
    </w:p>
    <w:p w14:paraId="7B88E922" w14:textId="77777777" w:rsidR="00B66724" w:rsidRPr="00F1638D" w:rsidRDefault="00B66724" w:rsidP="00B66724">
      <w:pPr>
        <w:spacing w:line="276" w:lineRule="auto"/>
        <w:jc w:val="both"/>
        <w:textAlignment w:val="baseline"/>
        <w:rPr>
          <w:rFonts w:ascii="Arial" w:hAnsi="Arial" w:cs="Arial"/>
          <w:sz w:val="22"/>
          <w:szCs w:val="22"/>
        </w:rPr>
      </w:pPr>
    </w:p>
    <w:p w14:paraId="4F80CF09" w14:textId="5F90A6D7" w:rsidR="000B182C" w:rsidRPr="00F1638D" w:rsidRDefault="000B182C" w:rsidP="00935211">
      <w:pPr>
        <w:ind w:left="709" w:right="709"/>
        <w:jc w:val="both"/>
        <w:rPr>
          <w:rFonts w:ascii="Arial" w:hAnsi="Arial" w:cs="Arial"/>
          <w:sz w:val="21"/>
          <w:szCs w:val="21"/>
        </w:rPr>
      </w:pPr>
      <w:r w:rsidRPr="00F1638D">
        <w:rPr>
          <w:rFonts w:ascii="Arial" w:hAnsi="Arial" w:cs="Arial"/>
          <w:color w:val="000000" w:themeColor="text1"/>
          <w:sz w:val="21"/>
          <w:szCs w:val="21"/>
          <w:lang w:val="es-ES_tradnl"/>
        </w:rPr>
        <w:t>«</w:t>
      </w:r>
      <w:r w:rsidR="00935211" w:rsidRPr="00F1638D">
        <w:rPr>
          <w:rFonts w:ascii="Arial" w:hAnsi="Arial" w:cs="Arial"/>
          <w:b/>
          <w:bCs/>
          <w:sz w:val="21"/>
          <w:szCs w:val="21"/>
        </w:rPr>
        <w:t>SEGUNDO</w:t>
      </w:r>
      <w:r w:rsidR="00935211" w:rsidRPr="00F1638D">
        <w:rPr>
          <w:rFonts w:ascii="Arial" w:hAnsi="Arial" w:cs="Arial"/>
          <w:sz w:val="21"/>
          <w:szCs w:val="21"/>
        </w:rPr>
        <w:t xml:space="preserve">: De acuerdo con la suspensión provisional por parte del Consejo de Estado, de las Circulares Externas 1 de 2013 y 20 de 2015, indique si es o no obligatoria la publicación ante el SECOP, de los contratos suscritos por la EPS. </w:t>
      </w:r>
    </w:p>
    <w:p w14:paraId="0E60DE55" w14:textId="01F3242A" w:rsidR="00CC4503" w:rsidRPr="00F1638D" w:rsidRDefault="00CC4503" w:rsidP="008B5A0E">
      <w:pPr>
        <w:ind w:left="709" w:right="709"/>
        <w:jc w:val="both"/>
        <w:rPr>
          <w:rFonts w:ascii="Arial" w:hAnsi="Arial" w:cs="Arial"/>
          <w:sz w:val="21"/>
          <w:szCs w:val="21"/>
        </w:rPr>
      </w:pPr>
      <w:r w:rsidRPr="00F1638D">
        <w:rPr>
          <w:rFonts w:ascii="Arial" w:eastAsia="Calibri" w:hAnsi="Arial" w:cs="Arial"/>
          <w:color w:val="000000" w:themeColor="text1"/>
          <w:sz w:val="22"/>
          <w:lang w:val="es-ES_tradnl"/>
        </w:rPr>
        <w:t>[…]</w:t>
      </w:r>
    </w:p>
    <w:p w14:paraId="0C63D029" w14:textId="3E2D40CA" w:rsidR="00CA482A" w:rsidRPr="00F1638D" w:rsidRDefault="000B182C" w:rsidP="000B4D71">
      <w:pPr>
        <w:ind w:left="709" w:right="709"/>
        <w:jc w:val="both"/>
        <w:rPr>
          <w:rFonts w:ascii="Arial" w:hAnsi="Arial" w:cs="Arial"/>
          <w:sz w:val="21"/>
          <w:szCs w:val="21"/>
        </w:rPr>
      </w:pPr>
      <w:proofErr w:type="gramStart"/>
      <w:r w:rsidRPr="00F1638D">
        <w:rPr>
          <w:rFonts w:ascii="Arial" w:eastAsia="Calibri" w:hAnsi="Arial" w:cs="Arial"/>
          <w:color w:val="000000" w:themeColor="text1"/>
          <w:sz w:val="22"/>
          <w:lang w:val="es-ES_tradnl"/>
        </w:rPr>
        <w:t>»</w:t>
      </w:r>
      <w:r w:rsidRPr="00F1638D">
        <w:rPr>
          <w:rFonts w:ascii="Arial" w:hAnsi="Arial" w:cs="Arial"/>
          <w:color w:val="000000" w:themeColor="text1"/>
          <w:sz w:val="21"/>
          <w:szCs w:val="21"/>
          <w:lang w:val="es-ES_tradnl"/>
        </w:rPr>
        <w:t>.</w:t>
      </w:r>
      <w:r w:rsidR="00935211" w:rsidRPr="00F1638D">
        <w:rPr>
          <w:rFonts w:ascii="Arial" w:hAnsi="Arial" w:cs="Arial"/>
          <w:b/>
          <w:bCs/>
          <w:sz w:val="21"/>
          <w:szCs w:val="21"/>
        </w:rPr>
        <w:t>CUARTO</w:t>
      </w:r>
      <w:proofErr w:type="gramEnd"/>
      <w:r w:rsidR="00935211" w:rsidRPr="00F1638D">
        <w:rPr>
          <w:rFonts w:ascii="Arial" w:hAnsi="Arial" w:cs="Arial"/>
          <w:sz w:val="21"/>
          <w:szCs w:val="21"/>
        </w:rPr>
        <w:t>: Indique porque la ANCP exige la aplicación de las Circulares Externas 1 del 2013 y 20 del 2015 las cuales fueron emitidas por fuera del ámbito de su competencia y desconociendo el artículo 3º del Decreto Ley 4170 del 2011</w:t>
      </w:r>
      <w:r w:rsidR="00CA482A" w:rsidRPr="00F1638D">
        <w:rPr>
          <w:rFonts w:ascii="Arial" w:eastAsia="Calibri" w:hAnsi="Arial" w:cs="Arial"/>
          <w:color w:val="000000" w:themeColor="text1"/>
          <w:sz w:val="22"/>
          <w:lang w:val="es-ES_tradnl"/>
        </w:rPr>
        <w:t>»</w:t>
      </w:r>
      <w:r w:rsidR="00CA482A" w:rsidRPr="00F1638D">
        <w:rPr>
          <w:rFonts w:ascii="Arial" w:hAnsi="Arial" w:cs="Arial"/>
          <w:color w:val="000000" w:themeColor="text1"/>
          <w:sz w:val="21"/>
          <w:szCs w:val="21"/>
          <w:lang w:val="es-ES_tradnl"/>
        </w:rPr>
        <w:t>.</w:t>
      </w:r>
    </w:p>
    <w:p w14:paraId="6C3563CC" w14:textId="77777777" w:rsidR="00CA482A" w:rsidRPr="00F1638D" w:rsidRDefault="00CA482A" w:rsidP="00CA482A">
      <w:pPr>
        <w:ind w:left="709" w:right="709"/>
        <w:jc w:val="both"/>
        <w:rPr>
          <w:rFonts w:ascii="Arial" w:hAnsi="Arial" w:cs="Arial"/>
          <w:color w:val="000000" w:themeColor="text1"/>
          <w:sz w:val="21"/>
          <w:szCs w:val="21"/>
          <w:lang w:val="es-ES_tradnl"/>
        </w:rPr>
      </w:pPr>
    </w:p>
    <w:p w14:paraId="57427E12" w14:textId="653D8FCA" w:rsidR="00CA482A" w:rsidRPr="00F1638D" w:rsidRDefault="00BF0D1C" w:rsidP="00F1638D">
      <w:pPr>
        <w:spacing w:after="120" w:line="276" w:lineRule="auto"/>
        <w:jc w:val="both"/>
        <w:rPr>
          <w:rFonts w:ascii="Arial" w:hAnsi="Arial" w:cs="Arial"/>
          <w:color w:val="000000" w:themeColor="text1"/>
          <w:sz w:val="22"/>
          <w:szCs w:val="22"/>
          <w:lang w:val="es-ES_tradnl"/>
        </w:rPr>
      </w:pPr>
      <w:r w:rsidRPr="00F1638D">
        <w:rPr>
          <w:rFonts w:ascii="Arial" w:hAnsi="Arial" w:cs="Arial"/>
          <w:color w:val="000000" w:themeColor="text1"/>
          <w:sz w:val="22"/>
          <w:szCs w:val="22"/>
          <w:lang w:val="es-ES_tradnl"/>
        </w:rPr>
        <w:t>No</w:t>
      </w:r>
      <w:r w:rsidR="00CA482A" w:rsidRPr="00F1638D">
        <w:rPr>
          <w:rFonts w:ascii="Arial" w:hAnsi="Arial" w:cs="Arial"/>
          <w:color w:val="000000" w:themeColor="text1"/>
          <w:sz w:val="22"/>
          <w:szCs w:val="22"/>
          <w:lang w:val="es-ES_tradnl"/>
        </w:rPr>
        <w:t xml:space="preserve"> puede entenderse que con la expedición del auto del Consejo de Estado del 25 de febrero de 2021 las entidades exceptuadas del Estatuto General de Contratación de la Administración Pública o que cuentan con un régimen contractual especial quedaron eximidas de la obligación de publicar en el SECOP la información oficial de la contratación que realicen con recursos públicos. Primero, porque precisamente dicho auto indica que el artículo 3, literal c), de la Ley 1150 de 2007 también les resulta aplicable a dichas entidades, independientemente de su régimen contractual. Segundo, porque estas deben garantizar los principios de publicidad y transparencia, previstos en los artículos 209 y 74 de la Constitución Política. Tercero, porque las entidades estatales –incluidas las que se rigen generalmente por el derecho privado en materia contractual–, al ser </w:t>
      </w:r>
      <w:r w:rsidR="00CA482A" w:rsidRPr="00F1638D">
        <w:rPr>
          <w:rFonts w:ascii="Arial" w:hAnsi="Arial" w:cs="Arial"/>
          <w:i/>
          <w:iCs/>
          <w:color w:val="000000" w:themeColor="text1"/>
          <w:sz w:val="22"/>
          <w:szCs w:val="22"/>
          <w:lang w:val="es-ES_tradnl"/>
        </w:rPr>
        <w:t>sujetos obligados</w:t>
      </w:r>
      <w:r w:rsidR="00CA482A" w:rsidRPr="00F1638D">
        <w:rPr>
          <w:rFonts w:ascii="Arial" w:hAnsi="Arial" w:cs="Arial"/>
          <w:color w:val="000000" w:themeColor="text1"/>
          <w:sz w:val="22"/>
          <w:szCs w:val="22"/>
          <w:lang w:val="es-ES_tradnl"/>
        </w:rPr>
        <w:t xml:space="preserve"> a garantizar el derecho de acceso a la información y a los documentos públicos, deben publicar en el SECOP los documentos a los que se refiere el literal e), del artículo 9 y el</w:t>
      </w:r>
      <w:r w:rsidR="00CA482A" w:rsidRPr="00F1638D">
        <w:rPr>
          <w:rFonts w:ascii="Arial" w:eastAsia="Calibri" w:hAnsi="Arial" w:cs="Arial"/>
          <w:color w:val="000000" w:themeColor="text1"/>
          <w:sz w:val="22"/>
          <w:szCs w:val="22"/>
          <w:lang w:val="es-ES_tradnl"/>
        </w:rPr>
        <w:t xml:space="preserve"> literal g), del artículo 11, de la Ley 1712 de 2014, como los artículos 7 al 10 del Decreto 103 de 2015 –compilado en los artículos 2.1.1.1.1. al 2.1.1.6.1. del Decreto 1081 de 2015–</w:t>
      </w:r>
      <w:r w:rsidR="00CA482A" w:rsidRPr="00F1638D">
        <w:rPr>
          <w:rFonts w:ascii="Arial" w:hAnsi="Arial" w:cs="Arial"/>
          <w:color w:val="000000" w:themeColor="text1"/>
          <w:sz w:val="22"/>
          <w:szCs w:val="22"/>
          <w:lang w:val="es-ES_tradnl"/>
        </w:rPr>
        <w:t xml:space="preserve">. Cuarto, porque el auto del 25 de febrero de 2021 no suspende todo el contenido de las </w:t>
      </w:r>
      <w:r w:rsidR="00CA482A" w:rsidRPr="00F1638D">
        <w:rPr>
          <w:rFonts w:ascii="Arial" w:hAnsi="Arial" w:cs="Arial"/>
          <w:sz w:val="22"/>
          <w:szCs w:val="22"/>
          <w:lang w:val="es-ES_tradnl"/>
        </w:rPr>
        <w:t xml:space="preserve">circulares </w:t>
      </w:r>
      <w:r w:rsidR="00CA482A" w:rsidRPr="00F1638D">
        <w:rPr>
          <w:rFonts w:ascii="Arial" w:eastAsia="Arial" w:hAnsi="Arial" w:cs="Arial"/>
          <w:sz w:val="22"/>
          <w:szCs w:val="22"/>
          <w:lang w:val="es-ES_tradnl"/>
        </w:rPr>
        <w:t xml:space="preserve">No. 1 del 21 de junio de 2013 y No. 20 del 27 de agosto de 2015, sino solo las expresiones que utilizan la frase «actividad contractual», quedando vigente lo demás –que continúa estableciendo el referido deber–. Quinto, porque el imperativo de publicar en el SECOP la información oficial de la contratación </w:t>
      </w:r>
      <w:r w:rsidR="004E0D23" w:rsidRPr="00F1638D">
        <w:rPr>
          <w:rFonts w:ascii="Arial" w:eastAsia="Arial" w:hAnsi="Arial" w:cs="Arial"/>
          <w:sz w:val="22"/>
          <w:szCs w:val="22"/>
          <w:lang w:val="es-ES_tradnl"/>
        </w:rPr>
        <w:t xml:space="preserve">que se realice con recursos públicos </w:t>
      </w:r>
      <w:r w:rsidR="00CA482A" w:rsidRPr="00F1638D">
        <w:rPr>
          <w:rFonts w:ascii="Arial" w:eastAsia="Arial" w:hAnsi="Arial" w:cs="Arial"/>
          <w:sz w:val="22"/>
          <w:szCs w:val="22"/>
          <w:lang w:val="es-ES_tradnl"/>
        </w:rPr>
        <w:t xml:space="preserve">se desprende además de las circulares </w:t>
      </w:r>
      <w:r w:rsidR="00CA482A" w:rsidRPr="00F1638D">
        <w:rPr>
          <w:rFonts w:ascii="Arial" w:hAnsi="Arial" w:cs="Arial"/>
          <w:bCs/>
          <w:color w:val="000000" w:themeColor="text1"/>
          <w:sz w:val="22"/>
          <w:szCs w:val="22"/>
          <w:lang w:val="es-ES_tradnl"/>
        </w:rPr>
        <w:t>No. 23 del 16 de marzo de 2017 y No. 007 de 2020, así como de la Circular Externa Única –actualizada el 16 de abril de 2019–, las cuales se encuentran vigentes.</w:t>
      </w:r>
      <w:r w:rsidR="00CA482A" w:rsidRPr="00F1638D">
        <w:rPr>
          <w:rFonts w:ascii="Arial" w:hAnsi="Arial" w:cs="Arial"/>
          <w:color w:val="000000" w:themeColor="text1"/>
          <w:sz w:val="22"/>
          <w:szCs w:val="22"/>
          <w:lang w:val="es-ES_tradnl"/>
        </w:rPr>
        <w:t xml:space="preserve"> </w:t>
      </w:r>
      <w:r w:rsidR="00C130CA" w:rsidRPr="00F1638D">
        <w:rPr>
          <w:rFonts w:ascii="Arial" w:hAnsi="Arial" w:cs="Arial"/>
          <w:color w:val="000000" w:themeColor="text1"/>
          <w:sz w:val="22"/>
          <w:szCs w:val="22"/>
          <w:lang w:val="es-ES_tradnl"/>
        </w:rPr>
        <w:t xml:space="preserve">Finalmente, el deber de publicidad en el SECOP se reforzó con el artículo </w:t>
      </w:r>
      <w:r w:rsidR="00C130CA" w:rsidRPr="00F1638D">
        <w:rPr>
          <w:rFonts w:ascii="Arial" w:eastAsia="Calibri" w:hAnsi="Arial" w:cs="Arial"/>
          <w:color w:val="000000"/>
          <w:sz w:val="22"/>
          <w:szCs w:val="22"/>
          <w:lang w:val="es-ES_tradnl"/>
        </w:rPr>
        <w:t>53 de la Ley 2195 de 2022, que modificó el artículo 13 de la Ley 1150 de 2007, en los términos explicados en las consideraciones.</w:t>
      </w:r>
    </w:p>
    <w:p w14:paraId="5DE340F5" w14:textId="03640DD0" w:rsidR="00CA482A" w:rsidRPr="00F1638D" w:rsidRDefault="004E0D23" w:rsidP="00CA482A">
      <w:pPr>
        <w:spacing w:line="276" w:lineRule="auto"/>
        <w:ind w:firstLine="708"/>
        <w:jc w:val="both"/>
        <w:rPr>
          <w:rFonts w:ascii="Arial" w:hAnsi="Arial" w:cs="Arial"/>
          <w:color w:val="000000" w:themeColor="text1"/>
          <w:sz w:val="22"/>
          <w:lang w:val="es-ES_tradnl"/>
        </w:rPr>
      </w:pPr>
      <w:r w:rsidRPr="00F1638D">
        <w:rPr>
          <w:rFonts w:ascii="Arial" w:eastAsia="Calibri" w:hAnsi="Arial" w:cs="Arial"/>
          <w:bCs/>
          <w:color w:val="000000" w:themeColor="text1"/>
          <w:sz w:val="22"/>
          <w:szCs w:val="22"/>
        </w:rPr>
        <w:t>En armonía con lo anterior</w:t>
      </w:r>
      <w:r w:rsidR="00CA482A" w:rsidRPr="00F1638D">
        <w:rPr>
          <w:rFonts w:ascii="Arial" w:eastAsia="Calibri" w:hAnsi="Arial" w:cs="Arial"/>
          <w:bCs/>
          <w:color w:val="000000" w:themeColor="text1"/>
          <w:sz w:val="22"/>
          <w:szCs w:val="22"/>
        </w:rPr>
        <w:t>, se aclara que el</w:t>
      </w:r>
      <w:r w:rsidR="00CA482A" w:rsidRPr="00F1638D">
        <w:rPr>
          <w:rFonts w:ascii="Arial" w:hAnsi="Arial" w:cs="Arial"/>
          <w:color w:val="000000" w:themeColor="text1"/>
          <w:sz w:val="22"/>
          <w:lang w:val="es-ES_tradnl"/>
        </w:rPr>
        <w:t xml:space="preserve"> criterio para determinar la obligatoriedad de publicar en el SECOP es que la contratación se realice con recursos públicos, conclusión que extrae del literal c) del artículo 3 de la Ley 1150 de 2007, así como de la decisión judicial citada. Por tanto, a las entidades exceptuadas de la aplicación del Estatuto General de </w:t>
      </w:r>
      <w:r w:rsidR="00CA482A" w:rsidRPr="00F1638D">
        <w:rPr>
          <w:rFonts w:ascii="Arial" w:hAnsi="Arial" w:cs="Arial"/>
          <w:color w:val="000000" w:themeColor="text1"/>
          <w:sz w:val="22"/>
          <w:lang w:val="es-ES_tradnl"/>
        </w:rPr>
        <w:lastRenderedPageBreak/>
        <w:t xml:space="preserve">Contratación de la Administración Pública, independientemente de su naturaleza pública o privada, les resulta aplicable el deber de publicar la «información oficial de la contratación» en el SECOP, siempre que con esta se </w:t>
      </w:r>
      <w:r w:rsidRPr="00F1638D">
        <w:rPr>
          <w:rFonts w:ascii="Arial" w:hAnsi="Arial" w:cs="Arial"/>
          <w:color w:val="000000" w:themeColor="text1"/>
          <w:sz w:val="22"/>
          <w:lang w:val="es-ES_tradnl"/>
        </w:rPr>
        <w:t xml:space="preserve">realice con </w:t>
      </w:r>
      <w:r w:rsidR="00CA482A" w:rsidRPr="00F1638D">
        <w:rPr>
          <w:rFonts w:ascii="Arial" w:hAnsi="Arial" w:cs="Arial"/>
          <w:color w:val="000000" w:themeColor="text1"/>
          <w:sz w:val="22"/>
          <w:lang w:val="es-ES_tradnl"/>
        </w:rPr>
        <w:t>recursos públicos.</w:t>
      </w:r>
    </w:p>
    <w:p w14:paraId="723FD5A3" w14:textId="67BF0146" w:rsidR="00CA482A" w:rsidRPr="00F1638D" w:rsidRDefault="00CA482A" w:rsidP="00CA482A">
      <w:pPr>
        <w:spacing w:line="276" w:lineRule="auto"/>
        <w:jc w:val="both"/>
        <w:rPr>
          <w:rFonts w:ascii="Arial" w:hAnsi="Arial" w:cs="Arial"/>
          <w:color w:val="000000" w:themeColor="text1"/>
          <w:sz w:val="22"/>
          <w:lang w:val="es-ES_tradnl"/>
        </w:rPr>
      </w:pPr>
    </w:p>
    <w:p w14:paraId="3F6935A4" w14:textId="6465A692" w:rsidR="00CC4503" w:rsidRPr="00F1638D" w:rsidRDefault="00FC06B7" w:rsidP="00CC4503">
      <w:pPr>
        <w:ind w:left="709" w:right="709"/>
        <w:jc w:val="both"/>
        <w:rPr>
          <w:rFonts w:ascii="Arial" w:hAnsi="Arial" w:cs="Arial"/>
          <w:sz w:val="21"/>
          <w:szCs w:val="21"/>
        </w:rPr>
      </w:pPr>
      <w:r w:rsidRPr="00F1638D">
        <w:rPr>
          <w:rFonts w:ascii="Arial" w:hAnsi="Arial" w:cs="Arial"/>
          <w:b/>
          <w:bCs/>
          <w:sz w:val="21"/>
          <w:szCs w:val="21"/>
        </w:rPr>
        <w:t>«</w:t>
      </w:r>
      <w:r w:rsidR="00CC4503" w:rsidRPr="00F1638D">
        <w:rPr>
          <w:rFonts w:ascii="Arial" w:hAnsi="Arial" w:cs="Arial"/>
          <w:b/>
          <w:bCs/>
          <w:sz w:val="21"/>
          <w:szCs w:val="21"/>
        </w:rPr>
        <w:t>TERCERO</w:t>
      </w:r>
      <w:r w:rsidR="00CC4503" w:rsidRPr="00F1638D">
        <w:rPr>
          <w:rFonts w:ascii="Arial" w:hAnsi="Arial" w:cs="Arial"/>
          <w:sz w:val="21"/>
          <w:szCs w:val="21"/>
        </w:rPr>
        <w:t>: Indique si la ANCP efectúa requerimientos a los entes de control y vigilancia, para el caso la CONTRALORIAS GENERAL DE LA REPUBLICA con el fin de que se de aplicación a las Circulares Externas 1 del 2013 y 20 del 2015</w:t>
      </w:r>
      <w:r w:rsidR="00CC4503" w:rsidRPr="00F1638D">
        <w:rPr>
          <w:rFonts w:ascii="Arial" w:eastAsia="Calibri" w:hAnsi="Arial" w:cs="Arial"/>
          <w:color w:val="000000" w:themeColor="text1"/>
          <w:sz w:val="22"/>
          <w:lang w:val="es-ES_tradnl"/>
        </w:rPr>
        <w:t>»</w:t>
      </w:r>
      <w:r w:rsidR="00CC4503" w:rsidRPr="00F1638D">
        <w:rPr>
          <w:rFonts w:ascii="Arial" w:hAnsi="Arial" w:cs="Arial"/>
          <w:sz w:val="21"/>
          <w:szCs w:val="21"/>
        </w:rPr>
        <w:t>.</w:t>
      </w:r>
    </w:p>
    <w:p w14:paraId="423BA61A" w14:textId="77777777" w:rsidR="00CC4503" w:rsidRPr="00F1638D" w:rsidRDefault="00CC4503" w:rsidP="00CC4503">
      <w:pPr>
        <w:ind w:left="709" w:right="709"/>
        <w:jc w:val="both"/>
        <w:rPr>
          <w:rFonts w:ascii="Arial" w:hAnsi="Arial" w:cs="Arial"/>
          <w:sz w:val="21"/>
          <w:szCs w:val="21"/>
        </w:rPr>
      </w:pPr>
    </w:p>
    <w:p w14:paraId="41A78CE5" w14:textId="34D2A53D" w:rsidR="00FC06B7" w:rsidRPr="00F1638D" w:rsidRDefault="00CC4503" w:rsidP="00F1638D">
      <w:pPr>
        <w:pStyle w:val="Textoindependiente"/>
        <w:spacing w:line="276" w:lineRule="auto"/>
        <w:ind w:right="308"/>
        <w:jc w:val="both"/>
      </w:pPr>
      <w:r w:rsidRPr="00F1638D">
        <w:t xml:space="preserve">El Decreto 4170 de 2011, en el artículo 3, estableció que la Agencia Nacional de Contratación Pública ejercerá la función de desarrollar y administrar el Sistema Electrónico para la Contratación Pública </w:t>
      </w:r>
      <w:r w:rsidR="004E0D23" w:rsidRPr="00F1638D">
        <w:t>–</w:t>
      </w:r>
      <w:r w:rsidRPr="00F1638D">
        <w:t>SECOP</w:t>
      </w:r>
      <w:r w:rsidR="004E0D23" w:rsidRPr="00F1638D">
        <w:t>–</w:t>
      </w:r>
      <w:r w:rsidRPr="00F1638D">
        <w:t xml:space="preserve"> o el que haga sus veces, y gestionar nuevos desarrollos tecnológicos en los asuntos de su competencia, teniendo en cuenta los parámetros fijados por el Consejo Directivo</w:t>
      </w:r>
      <w:r w:rsidRPr="00F1638D">
        <w:rPr>
          <w:rStyle w:val="Refdenotaalpie"/>
        </w:rPr>
        <w:footnoteReference w:id="40"/>
      </w:r>
      <w:r w:rsidRPr="00F1638D">
        <w:t>.</w:t>
      </w:r>
    </w:p>
    <w:p w14:paraId="2D731B7A" w14:textId="77777777" w:rsidR="00FC06B7" w:rsidRPr="00F1638D" w:rsidRDefault="00FC06B7" w:rsidP="00FC06B7">
      <w:pPr>
        <w:pStyle w:val="Textoindependiente"/>
        <w:spacing w:line="276" w:lineRule="auto"/>
        <w:ind w:right="308" w:firstLine="709"/>
        <w:jc w:val="both"/>
      </w:pPr>
    </w:p>
    <w:p w14:paraId="342492E6" w14:textId="4F0C57FF" w:rsidR="00CC4503" w:rsidRPr="00F1638D" w:rsidRDefault="00CC4503" w:rsidP="00FC06B7">
      <w:pPr>
        <w:pStyle w:val="Textoindependiente"/>
        <w:spacing w:line="276" w:lineRule="auto"/>
        <w:ind w:right="308" w:firstLine="709"/>
        <w:jc w:val="both"/>
      </w:pPr>
      <w:r w:rsidRPr="00F1638D">
        <w:t xml:space="preserve">Además, el artículo 13 del Decreto 4170 de 2011 establece que son funciones de la Subdirección de Información y Desarrollo Tecnológico: i) gestionar y administrar el Sistema Electrónico para la Contratación Pública (SECOP), o el que haga sus veces, </w:t>
      </w:r>
      <w:proofErr w:type="spellStart"/>
      <w:r w:rsidRPr="00F1638D">
        <w:t>ii</w:t>
      </w:r>
      <w:proofErr w:type="spellEnd"/>
      <w:r w:rsidRPr="00F1638D">
        <w:t xml:space="preserve">) realizar las actividades para la integración del SECOP, o del sistema que haga sus veces, con el Registro Único Empresarial de las Cámaras de Comercio, el Diario Único de Contratación Estatal y demás sistemas de gestión contractual pública, y finalmente, </w:t>
      </w:r>
      <w:proofErr w:type="spellStart"/>
      <w:r w:rsidRPr="00F1638D">
        <w:t>iii</w:t>
      </w:r>
      <w:proofErr w:type="spellEnd"/>
      <w:r w:rsidRPr="00F1638D">
        <w:t>) proponer mecanismos para articular el SECOP con los sistemas electrónicos públicos que contengan información relacionada con el objeto de la</w:t>
      </w:r>
      <w:r w:rsidRPr="00F1638D">
        <w:rPr>
          <w:spacing w:val="-10"/>
        </w:rPr>
        <w:t xml:space="preserve"> </w:t>
      </w:r>
      <w:r w:rsidR="004E0D23" w:rsidRPr="00F1638D">
        <w:t>A</w:t>
      </w:r>
      <w:r w:rsidRPr="00F1638D">
        <w:t>gencia</w:t>
      </w:r>
      <w:r w:rsidRPr="00F1638D">
        <w:rPr>
          <w:rStyle w:val="Refdenotaalpie"/>
        </w:rPr>
        <w:footnoteReference w:id="41"/>
      </w:r>
      <w:r w:rsidRPr="00F1638D">
        <w:t xml:space="preserve">. </w:t>
      </w:r>
    </w:p>
    <w:p w14:paraId="140A9C5F" w14:textId="1E3BDFDD" w:rsidR="00CC4503" w:rsidRPr="00F1638D" w:rsidRDefault="00CC4503" w:rsidP="00FC06B7">
      <w:pPr>
        <w:pStyle w:val="Textoindependiente"/>
        <w:spacing w:before="93" w:line="276" w:lineRule="auto"/>
        <w:ind w:right="308" w:firstLine="709"/>
        <w:jc w:val="both"/>
      </w:pPr>
      <w:r w:rsidRPr="00F1638D">
        <w:t>Del estudio de la</w:t>
      </w:r>
      <w:r w:rsidR="004E0D23" w:rsidRPr="00F1638D">
        <w:t>s</w:t>
      </w:r>
      <w:r w:rsidRPr="00F1638D">
        <w:t xml:space="preserve"> norma</w:t>
      </w:r>
      <w:r w:rsidR="004E0D23" w:rsidRPr="00F1638D">
        <w:t>s</w:t>
      </w:r>
      <w:r w:rsidRPr="00F1638D">
        <w:t xml:space="preserve"> que asigna</w:t>
      </w:r>
      <w:r w:rsidR="004E0D23" w:rsidRPr="00F1638D">
        <w:t>n</w:t>
      </w:r>
      <w:r w:rsidRPr="00F1638D">
        <w:t xml:space="preserve"> funciones a la Agencia Nacional de Contratación Pública se </w:t>
      </w:r>
      <w:r w:rsidR="004E0D23" w:rsidRPr="00F1638D">
        <w:t xml:space="preserve">concluye </w:t>
      </w:r>
      <w:r w:rsidRPr="00F1638D">
        <w:t>que, si bien tiene la competencia para administrar el Sistema Electrónico para la Contratación Pública y gestionar los nuevos desarrollos tecnológicos que se implementan en la plataforma; no se tiene la competencia para ejercer la función de inspección, vigilancia y control frente a los documentos que</w:t>
      </w:r>
      <w:r w:rsidR="00D05EA5" w:rsidRPr="00F1638D">
        <w:t xml:space="preserve"> se</w:t>
      </w:r>
      <w:r w:rsidRPr="00F1638D">
        <w:t xml:space="preserve"> </w:t>
      </w:r>
      <w:r w:rsidRPr="00F1638D">
        <w:lastRenderedPageBreak/>
        <w:t>publican</w:t>
      </w:r>
      <w:r w:rsidR="00D05EA5" w:rsidRPr="00F1638D">
        <w:t xml:space="preserve"> en la misma.</w:t>
      </w:r>
    </w:p>
    <w:p w14:paraId="005C86B9" w14:textId="68D1FAF1" w:rsidR="00CC4503" w:rsidRPr="00F1638D" w:rsidRDefault="00CC4503" w:rsidP="00FC06B7">
      <w:pPr>
        <w:pStyle w:val="Textoindependiente"/>
        <w:spacing w:before="93" w:line="276" w:lineRule="auto"/>
        <w:ind w:right="308" w:firstLine="709"/>
        <w:jc w:val="both"/>
      </w:pPr>
      <w:r w:rsidRPr="00F1638D">
        <w:t xml:space="preserve">En este sentido, cada entidad es la encargada de manejar sus procesos de contratación en la plataforma del SECOP o en la Tienda Virtual del Estado Colombiano (TVEC) y frente </w:t>
      </w:r>
      <w:r w:rsidR="0060236A" w:rsidRPr="00F1638D">
        <w:t xml:space="preserve">a </w:t>
      </w:r>
      <w:r w:rsidRPr="00F1638D">
        <w:t xml:space="preserve">alguna irregularidad, los órganos de control como la </w:t>
      </w:r>
      <w:proofErr w:type="gramStart"/>
      <w:r w:rsidRPr="00F1638D">
        <w:t>Fiscalía General</w:t>
      </w:r>
      <w:proofErr w:type="gramEnd"/>
      <w:r w:rsidRPr="00F1638D">
        <w:t xml:space="preserve"> de la República, la Contraloría General de la República o la Procuraduría General de la </w:t>
      </w:r>
      <w:r w:rsidR="0060236A" w:rsidRPr="00F1638D">
        <w:t xml:space="preserve">Nación </w:t>
      </w:r>
      <w:r w:rsidRPr="00F1638D">
        <w:t xml:space="preserve">son los encargados de </w:t>
      </w:r>
      <w:r w:rsidR="0060236A" w:rsidRPr="00F1638D">
        <w:t>investigar dichas actuaciones</w:t>
      </w:r>
      <w:r w:rsidRPr="00F1638D">
        <w:t xml:space="preserve"> y determinar si existe alguna responsabilidad penal, fiscal o disciplinaria.</w:t>
      </w:r>
    </w:p>
    <w:p w14:paraId="25A0C61B" w14:textId="23DCC4F7" w:rsidR="00CC4503" w:rsidRPr="00F1638D" w:rsidRDefault="00CC4503" w:rsidP="00FC06B7">
      <w:pPr>
        <w:spacing w:line="276" w:lineRule="auto"/>
        <w:ind w:firstLine="709"/>
        <w:jc w:val="both"/>
        <w:rPr>
          <w:rFonts w:ascii="Arial" w:hAnsi="Arial" w:cs="Arial"/>
          <w:color w:val="000000" w:themeColor="text1"/>
          <w:sz w:val="22"/>
          <w:lang w:val="es-ES_tradnl"/>
        </w:rPr>
      </w:pPr>
    </w:p>
    <w:p w14:paraId="41E1779F" w14:textId="77777777" w:rsidR="00CA482A" w:rsidRPr="00F1638D" w:rsidRDefault="00CA482A" w:rsidP="00CA482A">
      <w:pPr>
        <w:spacing w:line="276" w:lineRule="auto"/>
        <w:jc w:val="both"/>
        <w:rPr>
          <w:rFonts w:ascii="Arial" w:hAnsi="Arial" w:cs="Arial"/>
          <w:color w:val="000000" w:themeColor="text1"/>
          <w:sz w:val="22"/>
          <w:lang w:val="es-ES_tradnl"/>
        </w:rPr>
      </w:pPr>
      <w:r w:rsidRPr="00F1638D">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01B6DC8B" w14:textId="77777777" w:rsidR="00CA482A" w:rsidRPr="00F1638D" w:rsidRDefault="00CA482A" w:rsidP="00CA482A">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6AC84764" w14:textId="06271272" w:rsidR="00CA482A" w:rsidRPr="00F1638D" w:rsidRDefault="00CA482A" w:rsidP="00CA482A">
      <w:pPr>
        <w:pStyle w:val="NormalWeb"/>
        <w:spacing w:before="0" w:beforeAutospacing="0" w:after="0" w:afterAutospacing="0" w:line="276" w:lineRule="auto"/>
        <w:jc w:val="both"/>
        <w:rPr>
          <w:rFonts w:ascii="Arial" w:hAnsi="Arial" w:cs="Arial"/>
          <w:color w:val="000000" w:themeColor="text1"/>
          <w:sz w:val="22"/>
          <w:szCs w:val="22"/>
          <w:lang w:val="es-ES_tradnl"/>
        </w:rPr>
      </w:pPr>
      <w:r w:rsidRPr="00F1638D">
        <w:rPr>
          <w:rFonts w:ascii="Arial" w:hAnsi="Arial" w:cs="Arial"/>
          <w:color w:val="000000" w:themeColor="text1"/>
          <w:sz w:val="22"/>
          <w:szCs w:val="22"/>
          <w:lang w:val="es-ES_tradnl"/>
        </w:rPr>
        <w:t>Atentamente,</w:t>
      </w:r>
    </w:p>
    <w:p w14:paraId="2067BCF8" w14:textId="3C36D0A3" w:rsidR="00CA482A" w:rsidRPr="00F1638D" w:rsidRDefault="00EA719E" w:rsidP="00CA482A">
      <w:pPr>
        <w:pStyle w:val="NormalWeb"/>
        <w:spacing w:before="0" w:beforeAutospacing="0" w:after="0" w:afterAutospacing="0" w:line="276" w:lineRule="auto"/>
        <w:jc w:val="center"/>
        <w:rPr>
          <w:rFonts w:ascii="Arial" w:hAnsi="Arial" w:cs="Arial"/>
          <w:color w:val="000000" w:themeColor="text1"/>
          <w:sz w:val="22"/>
          <w:szCs w:val="22"/>
          <w:lang w:val="es-ES_tradnl"/>
        </w:rPr>
      </w:pPr>
      <w:r>
        <w:rPr>
          <w:noProof/>
        </w:rPr>
        <w:drawing>
          <wp:inline distT="0" distB="0" distL="0" distR="0" wp14:anchorId="1DEEBF74" wp14:editId="6B338E7E">
            <wp:extent cx="2519680" cy="1116330"/>
            <wp:effectExtent l="0" t="0" r="0" b="7620"/>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9680" cy="1116330"/>
                    </a:xfrm>
                    <a:prstGeom prst="rect">
                      <a:avLst/>
                    </a:prstGeom>
                    <a:noFill/>
                    <a:ln>
                      <a:noFill/>
                    </a:ln>
                  </pic:spPr>
                </pic:pic>
              </a:graphicData>
            </a:graphic>
          </wp:inline>
        </w:drawing>
      </w:r>
    </w:p>
    <w:p w14:paraId="46C93076" w14:textId="77777777" w:rsidR="00CA482A" w:rsidRPr="00F1638D" w:rsidRDefault="00CA482A" w:rsidP="00CA482A">
      <w:pPr>
        <w:jc w:val="center"/>
        <w:rPr>
          <w:rFonts w:ascii="Arial" w:hAnsi="Arial" w:cs="Arial"/>
          <w:color w:val="000000" w:themeColor="text1"/>
          <w:sz w:val="18"/>
          <w:szCs w:val="20"/>
          <w:lang w:val="es-ES_tradnl" w:eastAsia="es-CO"/>
        </w:rPr>
      </w:pPr>
    </w:p>
    <w:p w14:paraId="2F550BD0" w14:textId="77777777" w:rsidR="00CA482A" w:rsidRPr="00F1638D" w:rsidRDefault="00CA482A" w:rsidP="00CA482A">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CA482A" w:rsidRPr="00F1638D" w14:paraId="781AB48F" w14:textId="77777777" w:rsidTr="00224927">
        <w:trPr>
          <w:trHeight w:val="315"/>
        </w:trPr>
        <w:tc>
          <w:tcPr>
            <w:tcW w:w="812" w:type="dxa"/>
            <w:vAlign w:val="center"/>
            <w:hideMark/>
          </w:tcPr>
          <w:p w14:paraId="6CB30872" w14:textId="77777777" w:rsidR="00CA482A" w:rsidRPr="00F1638D" w:rsidRDefault="00CA482A" w:rsidP="00224927">
            <w:pPr>
              <w:jc w:val="both"/>
              <w:rPr>
                <w:rFonts w:ascii="Arial" w:hAnsi="Arial" w:cs="Arial"/>
                <w:color w:val="000000" w:themeColor="text1"/>
                <w:sz w:val="16"/>
                <w:szCs w:val="16"/>
                <w:lang w:val="es-ES_tradnl" w:eastAsia="es-ES"/>
              </w:rPr>
            </w:pPr>
            <w:r w:rsidRPr="00F1638D">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2B57EE1C" w14:textId="77777777" w:rsidR="00CA482A" w:rsidRPr="00F1638D" w:rsidRDefault="00CA482A" w:rsidP="00224927">
            <w:pPr>
              <w:jc w:val="both"/>
              <w:rPr>
                <w:rFonts w:ascii="Arial" w:hAnsi="Arial" w:cs="Arial"/>
                <w:color w:val="000000" w:themeColor="text1"/>
                <w:sz w:val="16"/>
                <w:szCs w:val="16"/>
                <w:lang w:val="es-ES_tradnl" w:eastAsia="es-ES"/>
              </w:rPr>
            </w:pPr>
            <w:r w:rsidRPr="00F1638D">
              <w:rPr>
                <w:rFonts w:ascii="Arial" w:hAnsi="Arial" w:cs="Arial"/>
                <w:color w:val="000000" w:themeColor="text1"/>
                <w:sz w:val="16"/>
                <w:szCs w:val="16"/>
                <w:lang w:val="es-ES_tradnl" w:eastAsia="es-ES"/>
              </w:rPr>
              <w:t>Nathalia Urrego Jiménez</w:t>
            </w:r>
          </w:p>
          <w:p w14:paraId="675662D7" w14:textId="77777777" w:rsidR="00CA482A" w:rsidRPr="00F1638D" w:rsidRDefault="00CA482A" w:rsidP="00224927">
            <w:pPr>
              <w:jc w:val="both"/>
              <w:rPr>
                <w:rFonts w:ascii="Arial" w:hAnsi="Arial" w:cs="Arial"/>
                <w:color w:val="000000" w:themeColor="text1"/>
                <w:sz w:val="16"/>
                <w:szCs w:val="16"/>
                <w:lang w:val="es-ES_tradnl" w:eastAsia="es-ES"/>
              </w:rPr>
            </w:pPr>
            <w:r w:rsidRPr="00F1638D">
              <w:rPr>
                <w:rFonts w:ascii="Arial" w:hAnsi="Arial" w:cs="Arial"/>
                <w:color w:val="000000" w:themeColor="text1"/>
                <w:sz w:val="16"/>
                <w:szCs w:val="16"/>
                <w:lang w:val="es-ES_tradnl" w:eastAsia="es-ES"/>
              </w:rPr>
              <w:t>Contratista de la Subdirección de Gestión Contractual</w:t>
            </w:r>
          </w:p>
        </w:tc>
      </w:tr>
      <w:tr w:rsidR="00CA482A" w:rsidRPr="00F1638D" w14:paraId="79103697" w14:textId="77777777" w:rsidTr="00224927">
        <w:trPr>
          <w:trHeight w:val="330"/>
        </w:trPr>
        <w:tc>
          <w:tcPr>
            <w:tcW w:w="812" w:type="dxa"/>
            <w:vAlign w:val="center"/>
            <w:hideMark/>
          </w:tcPr>
          <w:p w14:paraId="338DC5B7" w14:textId="77777777" w:rsidR="00CA482A" w:rsidRPr="00F1638D" w:rsidRDefault="00CA482A" w:rsidP="00224927">
            <w:pPr>
              <w:jc w:val="both"/>
              <w:rPr>
                <w:rFonts w:ascii="Arial" w:hAnsi="Arial" w:cs="Arial"/>
                <w:color w:val="000000" w:themeColor="text1"/>
                <w:sz w:val="16"/>
                <w:szCs w:val="16"/>
                <w:lang w:val="es-ES_tradnl" w:eastAsia="es-ES"/>
              </w:rPr>
            </w:pPr>
            <w:r w:rsidRPr="00F1638D">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0E6C962" w14:textId="1E00E36C" w:rsidR="00CA482A" w:rsidRPr="00F1638D" w:rsidRDefault="0094275B" w:rsidP="00224927">
            <w:pPr>
              <w:jc w:val="both"/>
              <w:rPr>
                <w:rFonts w:ascii="Arial" w:hAnsi="Arial" w:cs="Arial"/>
                <w:color w:val="000000" w:themeColor="text1"/>
                <w:sz w:val="16"/>
                <w:szCs w:val="16"/>
                <w:lang w:val="es-ES_tradnl" w:eastAsia="es-ES"/>
              </w:rPr>
            </w:pPr>
            <w:r w:rsidRPr="00F1638D">
              <w:rPr>
                <w:rFonts w:ascii="Arial" w:hAnsi="Arial" w:cs="Arial"/>
                <w:color w:val="000000" w:themeColor="text1"/>
                <w:sz w:val="16"/>
                <w:szCs w:val="16"/>
                <w:lang w:val="es-ES_tradnl" w:eastAsia="es-ES"/>
              </w:rPr>
              <w:t>Sebastián Ramirez Grisales</w:t>
            </w:r>
          </w:p>
          <w:p w14:paraId="10C88E85" w14:textId="181DD370" w:rsidR="00CA482A" w:rsidRPr="00F1638D" w:rsidRDefault="0094275B" w:rsidP="00224927">
            <w:pPr>
              <w:jc w:val="both"/>
              <w:rPr>
                <w:rFonts w:ascii="Arial" w:hAnsi="Arial" w:cs="Arial"/>
                <w:color w:val="000000" w:themeColor="text1"/>
                <w:sz w:val="16"/>
                <w:szCs w:val="16"/>
                <w:lang w:val="es-ES_tradnl" w:eastAsia="es-ES"/>
              </w:rPr>
            </w:pPr>
            <w:r w:rsidRPr="00F1638D">
              <w:rPr>
                <w:rFonts w:ascii="Arial" w:hAnsi="Arial" w:cs="Arial"/>
                <w:color w:val="000000" w:themeColor="text1"/>
                <w:sz w:val="16"/>
                <w:szCs w:val="16"/>
                <w:lang w:val="es-ES_tradnl" w:eastAsia="es-ES"/>
              </w:rPr>
              <w:t>Contratista</w:t>
            </w:r>
            <w:r w:rsidR="00CA482A" w:rsidRPr="00F1638D">
              <w:rPr>
                <w:rFonts w:ascii="Arial" w:hAnsi="Arial" w:cs="Arial"/>
                <w:color w:val="000000" w:themeColor="text1"/>
                <w:sz w:val="16"/>
                <w:szCs w:val="16"/>
                <w:lang w:val="es-ES_tradnl" w:eastAsia="es-ES"/>
              </w:rPr>
              <w:t xml:space="preserve"> de la Subdirección de Gestión Contractual</w:t>
            </w:r>
          </w:p>
        </w:tc>
      </w:tr>
      <w:tr w:rsidR="00CA482A" w:rsidRPr="00DD2D97" w14:paraId="5666C62D" w14:textId="77777777" w:rsidTr="00224927">
        <w:trPr>
          <w:trHeight w:val="300"/>
        </w:trPr>
        <w:tc>
          <w:tcPr>
            <w:tcW w:w="812" w:type="dxa"/>
            <w:vAlign w:val="center"/>
            <w:hideMark/>
          </w:tcPr>
          <w:p w14:paraId="7E0B3A7C" w14:textId="77777777" w:rsidR="00CA482A" w:rsidRPr="00F1638D" w:rsidRDefault="00CA482A" w:rsidP="00224927">
            <w:pPr>
              <w:jc w:val="both"/>
              <w:rPr>
                <w:rFonts w:ascii="Arial" w:hAnsi="Arial" w:cs="Arial"/>
                <w:color w:val="000000" w:themeColor="text1"/>
                <w:sz w:val="16"/>
                <w:szCs w:val="16"/>
                <w:lang w:val="es-ES_tradnl" w:eastAsia="es-ES"/>
              </w:rPr>
            </w:pPr>
            <w:r w:rsidRPr="00F1638D">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FCF9C2A" w14:textId="77777777" w:rsidR="00CA482A" w:rsidRPr="00F1638D" w:rsidRDefault="00CA482A" w:rsidP="00224927">
            <w:pPr>
              <w:jc w:val="both"/>
              <w:rPr>
                <w:rFonts w:ascii="Arial" w:hAnsi="Arial" w:cs="Arial"/>
                <w:color w:val="000000" w:themeColor="text1"/>
                <w:sz w:val="16"/>
                <w:szCs w:val="16"/>
                <w:lang w:val="es-ES_tradnl" w:eastAsia="es-ES"/>
              </w:rPr>
            </w:pPr>
            <w:r w:rsidRPr="00F1638D">
              <w:rPr>
                <w:rFonts w:ascii="Arial" w:hAnsi="Arial" w:cs="Arial"/>
                <w:color w:val="000000" w:themeColor="text1"/>
                <w:sz w:val="16"/>
                <w:szCs w:val="16"/>
                <w:lang w:val="es-ES_tradnl" w:eastAsia="es-ES"/>
              </w:rPr>
              <w:t>Jorge Augusto Tirado Navarro</w:t>
            </w:r>
          </w:p>
          <w:p w14:paraId="2AA6A723" w14:textId="77777777" w:rsidR="00CA482A" w:rsidRPr="00DD2D97" w:rsidRDefault="00CA482A" w:rsidP="00224927">
            <w:pPr>
              <w:jc w:val="both"/>
              <w:rPr>
                <w:rFonts w:ascii="Arial" w:hAnsi="Arial" w:cs="Arial"/>
                <w:color w:val="000000" w:themeColor="text1"/>
                <w:sz w:val="16"/>
                <w:szCs w:val="16"/>
                <w:lang w:val="es-ES_tradnl" w:eastAsia="es-ES"/>
              </w:rPr>
            </w:pPr>
            <w:r w:rsidRPr="00F1638D">
              <w:rPr>
                <w:rFonts w:ascii="Arial" w:hAnsi="Arial" w:cs="Arial"/>
                <w:color w:val="000000" w:themeColor="text1"/>
                <w:sz w:val="16"/>
                <w:szCs w:val="16"/>
                <w:lang w:val="es-ES_tradnl" w:eastAsia="es-ES"/>
              </w:rPr>
              <w:t>Subdirector de Gestión Contractual ANCP – CCE</w:t>
            </w:r>
          </w:p>
        </w:tc>
      </w:tr>
      <w:bookmarkEnd w:id="2"/>
    </w:tbl>
    <w:p w14:paraId="66696835" w14:textId="77777777" w:rsidR="00CE7CA5" w:rsidRDefault="002736A3" w:rsidP="006230D1"/>
    <w:sectPr w:rsidR="00CE7CA5"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B405B" w14:textId="77777777" w:rsidR="002736A3" w:rsidRDefault="002736A3" w:rsidP="00CA482A">
      <w:r>
        <w:separator/>
      </w:r>
    </w:p>
  </w:endnote>
  <w:endnote w:type="continuationSeparator" w:id="0">
    <w:p w14:paraId="2C1C68A0" w14:textId="77777777" w:rsidR="002736A3" w:rsidRDefault="002736A3" w:rsidP="00CA4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B691E" w14:textId="77777777" w:rsidR="003D3D44" w:rsidRDefault="002736A3" w:rsidP="00322937">
    <w:pPr>
      <w:pStyle w:val="Sinespaciado"/>
      <w:jc w:val="right"/>
      <w:rPr>
        <w:rFonts w:ascii="Arial" w:hAnsi="Arial" w:cs="Arial"/>
        <w:sz w:val="18"/>
        <w:szCs w:val="18"/>
      </w:rPr>
    </w:pPr>
  </w:p>
  <w:p w14:paraId="38CC53A1" w14:textId="77777777" w:rsidR="003D3D44" w:rsidRPr="008217B7" w:rsidRDefault="00AA2617"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11B11604" w14:textId="77777777" w:rsidR="003D3D44" w:rsidRDefault="00AA2617" w:rsidP="00322937">
    <w:pPr>
      <w:pStyle w:val="Piedepgina"/>
      <w:jc w:val="center"/>
      <w:rPr>
        <w:lang w:val="es-ES"/>
      </w:rPr>
    </w:pPr>
    <w:r>
      <w:rPr>
        <w:noProof/>
        <w:lang w:val="es-ES_tradnl" w:eastAsia="es-ES_tradnl"/>
      </w:rPr>
      <w:drawing>
        <wp:inline distT="0" distB="0" distL="0" distR="0" wp14:anchorId="66E09C04" wp14:editId="51CE261C">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1A658B7" w14:textId="77777777" w:rsidR="003D3D44" w:rsidRDefault="002736A3" w:rsidP="007B0854">
    <w:pPr>
      <w:pStyle w:val="Piedepgina"/>
      <w:jc w:val="center"/>
      <w:rPr>
        <w:lang w:val="es-ES"/>
      </w:rPr>
    </w:pPr>
  </w:p>
  <w:p w14:paraId="75A64655" w14:textId="77777777" w:rsidR="003D3D44" w:rsidRPr="007B0854" w:rsidRDefault="002736A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D0848" w14:textId="77777777" w:rsidR="002736A3" w:rsidRDefault="002736A3" w:rsidP="00CA482A">
      <w:r>
        <w:separator/>
      </w:r>
    </w:p>
  </w:footnote>
  <w:footnote w:type="continuationSeparator" w:id="0">
    <w:p w14:paraId="3F3FFC72" w14:textId="77777777" w:rsidR="002736A3" w:rsidRDefault="002736A3" w:rsidP="00CA482A">
      <w:r>
        <w:continuationSeparator/>
      </w:r>
    </w:p>
  </w:footnote>
  <w:footnote w:id="1">
    <w:p w14:paraId="3BA4C857" w14:textId="5A94EB7B" w:rsidR="008C3318" w:rsidRPr="00856A34" w:rsidRDefault="008C3318" w:rsidP="00F1638D">
      <w:pPr>
        <w:pStyle w:val="NormalWeb"/>
        <w:spacing w:before="0" w:beforeAutospacing="0" w:after="0" w:afterAutospacing="0"/>
        <w:ind w:firstLine="708"/>
        <w:jc w:val="both"/>
        <w:rPr>
          <w:rFonts w:ascii="Arial" w:hAnsi="Arial" w:cs="Arial"/>
          <w:color w:val="000000"/>
          <w:sz w:val="19"/>
          <w:szCs w:val="19"/>
        </w:rPr>
      </w:pPr>
      <w:r w:rsidRPr="00856A34">
        <w:rPr>
          <w:rStyle w:val="Refdenotaalpie"/>
          <w:rFonts w:ascii="Arial" w:hAnsi="Arial" w:cs="Arial"/>
          <w:sz w:val="19"/>
          <w:szCs w:val="19"/>
        </w:rPr>
        <w:footnoteRef/>
      </w:r>
      <w:r w:rsidRPr="00856A34">
        <w:rPr>
          <w:rFonts w:ascii="Arial" w:hAnsi="Arial" w:cs="Arial"/>
          <w:sz w:val="19"/>
          <w:szCs w:val="19"/>
        </w:rPr>
        <w:t xml:space="preserve">  Ley 1474 de 2011 «</w:t>
      </w:r>
      <w:r w:rsidRPr="00F1638D">
        <w:rPr>
          <w:rStyle w:val="Textoennegrita"/>
          <w:rFonts w:ascii="Arial" w:hAnsi="Arial" w:cs="Arial"/>
          <w:b w:val="0"/>
          <w:bCs w:val="0"/>
          <w:color w:val="000000"/>
          <w:sz w:val="19"/>
          <w:szCs w:val="19"/>
        </w:rPr>
        <w:t>Artículo 93.</w:t>
      </w:r>
      <w:r w:rsidRPr="00856A34">
        <w:rPr>
          <w:rStyle w:val="nfasis"/>
          <w:rFonts w:ascii="Arial" w:eastAsia="Arial" w:hAnsi="Arial" w:cs="Arial"/>
          <w:color w:val="000000"/>
          <w:sz w:val="19"/>
          <w:szCs w:val="19"/>
        </w:rPr>
        <w:t> Del régimen contractual de las Empresas Industriales y Comerciales del Estado, las Sociedades de Economía Mixta, sus filiales y empresas con participación mayoritaria del Estado.</w:t>
      </w:r>
      <w:r w:rsidRPr="00856A34">
        <w:rPr>
          <w:rFonts w:ascii="Arial" w:hAnsi="Arial" w:cs="Arial"/>
          <w:color w:val="000000"/>
          <w:sz w:val="19"/>
          <w:szCs w:val="19"/>
        </w:rPr>
        <w:t> Modifíquese el artículo 14 de la Ley 1150 de 2007, el cual quedará así:   </w:t>
      </w:r>
      <w:r w:rsidRPr="00856A34">
        <w:rPr>
          <w:rFonts w:ascii="Arial" w:hAnsi="Arial" w:cs="Arial"/>
          <w:color w:val="000000"/>
          <w:sz w:val="19"/>
          <w:szCs w:val="19"/>
        </w:rPr>
        <w:tab/>
        <w:t>»Las Empresas Industriales y Comerciales del Estado, las Sociedades de Economía Mixta en las que el Estado tenga participación superior al cincuenta por ciento (50%), sus filiales y las Sociedades entre Entidades Públicas con participación mayoritaria del Estado superior al cincuenta por ciento (50%), estarán sometidas al Estatuto General de Contratación de la Administración Pública, con excepción de aquellas que desarrollen actividades comerciales en competencia con el sector privado y/o público, nacional o internacional o en mercados regulados, caso en el cual se regirán por las disposiciones legales y reglamentarias aplicables a sus actividades económicas y comerciales, sin perjuicio de lo previsto en el artículo 13 de la presente ley. Se exceptúan los contratos de ciencia y tecnología, que se regirán por la Ley 29 de 1990 y las disposiciones normativas existentes». </w:t>
      </w:r>
    </w:p>
    <w:p w14:paraId="3BA697BC" w14:textId="77777777" w:rsidR="008C3318" w:rsidRPr="00856A34" w:rsidRDefault="008C3318" w:rsidP="00856A34">
      <w:pPr>
        <w:pStyle w:val="Textonotapie"/>
        <w:jc w:val="both"/>
        <w:rPr>
          <w:rFonts w:ascii="Arial" w:hAnsi="Arial" w:cs="Arial"/>
          <w:sz w:val="19"/>
          <w:szCs w:val="19"/>
        </w:rPr>
      </w:pPr>
    </w:p>
  </w:footnote>
  <w:footnote w:id="2">
    <w:p w14:paraId="0117D0E1" w14:textId="77777777" w:rsidR="008C3318" w:rsidRPr="00856A34" w:rsidRDefault="008C3318" w:rsidP="00856A34">
      <w:pPr>
        <w:pStyle w:val="NormalWeb"/>
        <w:spacing w:before="0" w:beforeAutospacing="0" w:after="0" w:afterAutospacing="0"/>
        <w:ind w:firstLine="708"/>
        <w:jc w:val="both"/>
        <w:rPr>
          <w:rFonts w:ascii="Arial" w:hAnsi="Arial" w:cs="Arial"/>
          <w:color w:val="000000"/>
          <w:sz w:val="19"/>
          <w:szCs w:val="19"/>
        </w:rPr>
      </w:pPr>
      <w:r w:rsidRPr="00856A34">
        <w:rPr>
          <w:rStyle w:val="Refdenotaalpie"/>
          <w:rFonts w:ascii="Arial" w:hAnsi="Arial" w:cs="Arial"/>
          <w:sz w:val="19"/>
          <w:szCs w:val="19"/>
        </w:rPr>
        <w:footnoteRef/>
      </w:r>
      <w:r w:rsidRPr="00856A34">
        <w:rPr>
          <w:rFonts w:ascii="Arial" w:hAnsi="Arial" w:cs="Arial"/>
          <w:sz w:val="19"/>
          <w:szCs w:val="19"/>
        </w:rPr>
        <w:t xml:space="preserve"> Ley 489 de 1998 «</w:t>
      </w:r>
      <w:r w:rsidRPr="00F1638D">
        <w:rPr>
          <w:rStyle w:val="Textoennegrita"/>
          <w:rFonts w:ascii="Arial" w:hAnsi="Arial" w:cs="Arial"/>
          <w:b w:val="0"/>
          <w:bCs w:val="0"/>
          <w:color w:val="000000"/>
          <w:sz w:val="19"/>
          <w:szCs w:val="19"/>
        </w:rPr>
        <w:t>Artículo 85.</w:t>
      </w:r>
      <w:r w:rsidRPr="00856A34">
        <w:rPr>
          <w:rStyle w:val="Textoennegrita"/>
          <w:rFonts w:ascii="Arial" w:hAnsi="Arial" w:cs="Arial"/>
          <w:color w:val="000000"/>
          <w:sz w:val="19"/>
          <w:szCs w:val="19"/>
        </w:rPr>
        <w:t xml:space="preserve"> </w:t>
      </w:r>
      <w:r w:rsidRPr="00856A34">
        <w:rPr>
          <w:rStyle w:val="nfasis"/>
          <w:rFonts w:ascii="Arial" w:eastAsia="Arial" w:hAnsi="Arial" w:cs="Arial"/>
          <w:color w:val="000000"/>
          <w:sz w:val="19"/>
          <w:szCs w:val="19"/>
        </w:rPr>
        <w:t>Empresas industriales y comerciales del Estado. </w:t>
      </w:r>
      <w:r w:rsidRPr="00856A34">
        <w:rPr>
          <w:rFonts w:ascii="Arial" w:hAnsi="Arial" w:cs="Arial"/>
          <w:color w:val="000000"/>
          <w:sz w:val="19"/>
          <w:szCs w:val="19"/>
        </w:rPr>
        <w:t>Las empresas industriales y comerciales del Estado son organismos creados por la ley o autorizados por ésta, que desarrollan actividades de naturaleza industrial o comercial y de gestión económica conforme a las reglas del Derecho Privado, salvo las excepciones que consagra la ley, y que reúnen las siguientes características: </w:t>
      </w:r>
    </w:p>
    <w:p w14:paraId="09B50974" w14:textId="77777777" w:rsidR="008C3318" w:rsidRPr="00856A34" w:rsidRDefault="008C3318" w:rsidP="00856A34">
      <w:pPr>
        <w:pStyle w:val="NormalWeb"/>
        <w:spacing w:before="0" w:beforeAutospacing="0" w:after="0" w:afterAutospacing="0"/>
        <w:jc w:val="both"/>
        <w:rPr>
          <w:rFonts w:ascii="Arial" w:hAnsi="Arial" w:cs="Arial"/>
          <w:color w:val="000000"/>
          <w:sz w:val="19"/>
          <w:szCs w:val="19"/>
        </w:rPr>
      </w:pPr>
      <w:r w:rsidRPr="00856A34">
        <w:rPr>
          <w:rFonts w:ascii="Arial" w:hAnsi="Arial" w:cs="Arial"/>
          <w:color w:val="000000"/>
          <w:sz w:val="19"/>
          <w:szCs w:val="19"/>
        </w:rPr>
        <w:t>  </w:t>
      </w:r>
      <w:r w:rsidRPr="00856A34">
        <w:rPr>
          <w:rFonts w:ascii="Arial" w:hAnsi="Arial" w:cs="Arial"/>
          <w:color w:val="000000"/>
          <w:sz w:val="19"/>
          <w:szCs w:val="19"/>
        </w:rPr>
        <w:tab/>
      </w:r>
      <w:proofErr w:type="gramStart"/>
      <w:r w:rsidRPr="00856A34">
        <w:rPr>
          <w:rFonts w:ascii="Arial" w:hAnsi="Arial" w:cs="Arial"/>
          <w:color w:val="000000"/>
          <w:sz w:val="19"/>
          <w:szCs w:val="19"/>
        </w:rPr>
        <w:t>»a</w:t>
      </w:r>
      <w:proofErr w:type="gramEnd"/>
      <w:r w:rsidRPr="00856A34">
        <w:rPr>
          <w:rFonts w:ascii="Arial" w:hAnsi="Arial" w:cs="Arial"/>
          <w:color w:val="000000"/>
          <w:sz w:val="19"/>
          <w:szCs w:val="19"/>
        </w:rPr>
        <w:t>) Personería jurídica; </w:t>
      </w:r>
    </w:p>
    <w:p w14:paraId="01386616" w14:textId="77777777" w:rsidR="008C3318" w:rsidRPr="00856A34" w:rsidRDefault="008C3318" w:rsidP="00856A34">
      <w:pPr>
        <w:pStyle w:val="NormalWeb"/>
        <w:spacing w:before="0" w:beforeAutospacing="0" w:after="0" w:afterAutospacing="0"/>
        <w:jc w:val="both"/>
        <w:rPr>
          <w:rFonts w:ascii="Arial" w:hAnsi="Arial" w:cs="Arial"/>
          <w:color w:val="000000"/>
          <w:sz w:val="19"/>
          <w:szCs w:val="19"/>
        </w:rPr>
      </w:pPr>
      <w:r w:rsidRPr="00856A34">
        <w:rPr>
          <w:rFonts w:ascii="Arial" w:hAnsi="Arial" w:cs="Arial"/>
          <w:color w:val="000000"/>
          <w:sz w:val="19"/>
          <w:szCs w:val="19"/>
        </w:rPr>
        <w:t>  </w:t>
      </w:r>
      <w:r w:rsidRPr="00856A34">
        <w:rPr>
          <w:rFonts w:ascii="Arial" w:hAnsi="Arial" w:cs="Arial"/>
          <w:color w:val="000000"/>
          <w:sz w:val="19"/>
          <w:szCs w:val="19"/>
        </w:rPr>
        <w:tab/>
      </w:r>
      <w:proofErr w:type="gramStart"/>
      <w:r w:rsidRPr="00856A34">
        <w:rPr>
          <w:rFonts w:ascii="Arial" w:hAnsi="Arial" w:cs="Arial"/>
          <w:color w:val="000000"/>
          <w:sz w:val="19"/>
          <w:szCs w:val="19"/>
        </w:rPr>
        <w:t>»b</w:t>
      </w:r>
      <w:proofErr w:type="gramEnd"/>
      <w:r w:rsidRPr="00856A34">
        <w:rPr>
          <w:rFonts w:ascii="Arial" w:hAnsi="Arial" w:cs="Arial"/>
          <w:color w:val="000000"/>
          <w:sz w:val="19"/>
          <w:szCs w:val="19"/>
        </w:rPr>
        <w:t>) Autonomía administrativa y financiera; </w:t>
      </w:r>
    </w:p>
    <w:p w14:paraId="6BB108C8" w14:textId="77777777" w:rsidR="008C3318" w:rsidRPr="00856A34" w:rsidRDefault="008C3318" w:rsidP="00856A34">
      <w:pPr>
        <w:pStyle w:val="NormalWeb"/>
        <w:spacing w:before="0" w:beforeAutospacing="0" w:after="0" w:afterAutospacing="0"/>
        <w:jc w:val="both"/>
        <w:rPr>
          <w:rFonts w:ascii="Arial" w:hAnsi="Arial" w:cs="Arial"/>
          <w:color w:val="000000"/>
          <w:sz w:val="19"/>
          <w:szCs w:val="19"/>
        </w:rPr>
      </w:pPr>
      <w:r w:rsidRPr="00856A34">
        <w:rPr>
          <w:rFonts w:ascii="Arial" w:hAnsi="Arial" w:cs="Arial"/>
          <w:color w:val="000000"/>
          <w:sz w:val="19"/>
          <w:szCs w:val="19"/>
        </w:rPr>
        <w:t>  </w:t>
      </w:r>
      <w:r w:rsidRPr="00856A34">
        <w:rPr>
          <w:rFonts w:ascii="Arial" w:hAnsi="Arial" w:cs="Arial"/>
          <w:color w:val="000000"/>
          <w:sz w:val="19"/>
          <w:szCs w:val="19"/>
        </w:rPr>
        <w:tab/>
        <w:t>»c) Capital independiente, constituido totalmente con bienes o fondos públicos comunes, los productos de ellos, o el rendimiento de tasas que perciban por las funciones o servicios, y contribuciones de destinación especial en los casos autorizados por la Constitución. </w:t>
      </w:r>
    </w:p>
    <w:p w14:paraId="01AADE5B" w14:textId="77777777" w:rsidR="008C3318" w:rsidRPr="00856A34" w:rsidRDefault="008C3318" w:rsidP="00856A34">
      <w:pPr>
        <w:pStyle w:val="NormalWeb"/>
        <w:spacing w:before="0" w:beforeAutospacing="0" w:after="0" w:afterAutospacing="0"/>
        <w:jc w:val="both"/>
        <w:rPr>
          <w:rFonts w:ascii="Arial" w:hAnsi="Arial" w:cs="Arial"/>
          <w:color w:val="000000"/>
          <w:sz w:val="19"/>
          <w:szCs w:val="19"/>
        </w:rPr>
      </w:pPr>
      <w:r w:rsidRPr="00856A34">
        <w:rPr>
          <w:rFonts w:ascii="Arial" w:hAnsi="Arial" w:cs="Arial"/>
          <w:color w:val="000000"/>
          <w:sz w:val="19"/>
          <w:szCs w:val="19"/>
        </w:rPr>
        <w:t>  </w:t>
      </w:r>
      <w:r w:rsidRPr="00856A34">
        <w:rPr>
          <w:rFonts w:ascii="Arial" w:hAnsi="Arial" w:cs="Arial"/>
          <w:color w:val="000000"/>
          <w:sz w:val="19"/>
          <w:szCs w:val="19"/>
        </w:rPr>
        <w:tab/>
      </w:r>
      <w:proofErr w:type="gramStart"/>
      <w:r w:rsidRPr="00856A34">
        <w:rPr>
          <w:rFonts w:ascii="Arial" w:hAnsi="Arial" w:cs="Arial"/>
          <w:color w:val="000000"/>
          <w:sz w:val="19"/>
          <w:szCs w:val="19"/>
        </w:rPr>
        <w:t>»El</w:t>
      </w:r>
      <w:proofErr w:type="gramEnd"/>
      <w:r w:rsidRPr="00856A34">
        <w:rPr>
          <w:rFonts w:ascii="Arial" w:hAnsi="Arial" w:cs="Arial"/>
          <w:color w:val="000000"/>
          <w:sz w:val="19"/>
          <w:szCs w:val="19"/>
        </w:rPr>
        <w:t xml:space="preserve"> capital de las empresas industriales y comerciales del Estado podrá estar representado en cuotas o acciones de igual valor nominal. </w:t>
      </w:r>
    </w:p>
    <w:p w14:paraId="1320E981" w14:textId="77777777" w:rsidR="008C3318" w:rsidRPr="00856A34" w:rsidRDefault="008C3318" w:rsidP="00856A34">
      <w:pPr>
        <w:pStyle w:val="NormalWeb"/>
        <w:spacing w:before="0" w:beforeAutospacing="0" w:after="0" w:afterAutospacing="0"/>
        <w:jc w:val="both"/>
        <w:rPr>
          <w:rFonts w:ascii="Arial" w:hAnsi="Arial" w:cs="Arial"/>
          <w:color w:val="000000"/>
          <w:sz w:val="19"/>
          <w:szCs w:val="19"/>
        </w:rPr>
      </w:pPr>
      <w:r w:rsidRPr="00856A34">
        <w:rPr>
          <w:rFonts w:ascii="Arial" w:hAnsi="Arial" w:cs="Arial"/>
          <w:color w:val="000000"/>
          <w:sz w:val="19"/>
          <w:szCs w:val="19"/>
        </w:rPr>
        <w:t>  </w:t>
      </w:r>
      <w:r w:rsidRPr="00856A34">
        <w:rPr>
          <w:rFonts w:ascii="Arial" w:hAnsi="Arial" w:cs="Arial"/>
          <w:color w:val="000000"/>
          <w:sz w:val="19"/>
          <w:szCs w:val="19"/>
        </w:rPr>
        <w:tab/>
      </w:r>
      <w:proofErr w:type="gramStart"/>
      <w:r w:rsidRPr="00856A34">
        <w:rPr>
          <w:rFonts w:ascii="Arial" w:hAnsi="Arial" w:cs="Arial"/>
          <w:color w:val="000000"/>
          <w:sz w:val="19"/>
          <w:szCs w:val="19"/>
        </w:rPr>
        <w:t>»A</w:t>
      </w:r>
      <w:proofErr w:type="gramEnd"/>
      <w:r w:rsidRPr="00856A34">
        <w:rPr>
          <w:rFonts w:ascii="Arial" w:hAnsi="Arial" w:cs="Arial"/>
          <w:color w:val="000000"/>
          <w:sz w:val="19"/>
          <w:szCs w:val="19"/>
        </w:rPr>
        <w:t xml:space="preserve"> las empresas industriales y comerciales del Estado y a las sociedades de economía mixta se les aplicará en lo pertinente los artículos 19, numerales 2°, 4°, 5°, 6°, 12, 13, 17, 27, numerales 2°, 3°, 4°, 5°, y 7°, y 183 de la Ley 142 de 1994. </w:t>
      </w:r>
    </w:p>
    <w:p w14:paraId="70AAC64A" w14:textId="77777777" w:rsidR="008C3318" w:rsidRPr="00856A34" w:rsidRDefault="008C3318" w:rsidP="00856A34">
      <w:pPr>
        <w:pStyle w:val="NormalWeb"/>
        <w:spacing w:before="0" w:beforeAutospacing="0" w:after="0" w:afterAutospacing="0"/>
        <w:ind w:firstLine="708"/>
        <w:jc w:val="both"/>
        <w:rPr>
          <w:rFonts w:ascii="Arial" w:hAnsi="Arial" w:cs="Arial"/>
          <w:color w:val="000000"/>
          <w:sz w:val="19"/>
          <w:szCs w:val="19"/>
        </w:rPr>
      </w:pPr>
      <w:proofErr w:type="gramStart"/>
      <w:r w:rsidRPr="00856A34">
        <w:rPr>
          <w:rFonts w:ascii="Arial" w:hAnsi="Arial" w:cs="Arial"/>
          <w:color w:val="000000"/>
          <w:sz w:val="19"/>
          <w:szCs w:val="19"/>
        </w:rPr>
        <w:t>»</w:t>
      </w:r>
      <w:r w:rsidRPr="00F1638D">
        <w:rPr>
          <w:rStyle w:val="Textoennegrita"/>
          <w:rFonts w:ascii="Arial" w:hAnsi="Arial" w:cs="Arial"/>
          <w:b w:val="0"/>
          <w:bCs w:val="0"/>
          <w:color w:val="000000"/>
          <w:sz w:val="19"/>
          <w:szCs w:val="19"/>
        </w:rPr>
        <w:t>Parágrafo</w:t>
      </w:r>
      <w:proofErr w:type="gramEnd"/>
      <w:r w:rsidRPr="00856A34">
        <w:rPr>
          <w:rStyle w:val="Textoennegrita"/>
          <w:rFonts w:ascii="Arial" w:hAnsi="Arial" w:cs="Arial"/>
          <w:color w:val="000000"/>
          <w:sz w:val="19"/>
          <w:szCs w:val="19"/>
        </w:rPr>
        <w:t>.</w:t>
      </w:r>
      <w:r w:rsidRPr="00856A34">
        <w:rPr>
          <w:rFonts w:ascii="Arial" w:hAnsi="Arial" w:cs="Arial"/>
          <w:color w:val="000000"/>
          <w:sz w:val="19"/>
          <w:szCs w:val="19"/>
        </w:rPr>
        <w:t> Las disposiciones legales que protegen el secreto industrial y la información comercial se aplicarán a aquellos secretos e informaciones de esa naturaleza que desarrollen y posean las empresas industriales y comerciales del Estado». </w:t>
      </w:r>
    </w:p>
    <w:p w14:paraId="62860037" w14:textId="77777777" w:rsidR="008C3318" w:rsidRPr="00856A34" w:rsidRDefault="008C3318" w:rsidP="00856A34">
      <w:pPr>
        <w:pStyle w:val="Textonotapie"/>
        <w:jc w:val="both"/>
        <w:rPr>
          <w:rFonts w:ascii="Arial" w:hAnsi="Arial" w:cs="Arial"/>
          <w:sz w:val="19"/>
          <w:szCs w:val="19"/>
        </w:rPr>
      </w:pPr>
    </w:p>
  </w:footnote>
  <w:footnote w:id="3">
    <w:p w14:paraId="49C31738" w14:textId="77777777" w:rsidR="008C3318" w:rsidRPr="00856A34" w:rsidRDefault="008C3318" w:rsidP="00856A34">
      <w:pPr>
        <w:pStyle w:val="NormalWeb"/>
        <w:spacing w:before="0" w:beforeAutospacing="0" w:after="0" w:afterAutospacing="0"/>
        <w:ind w:firstLine="708"/>
        <w:jc w:val="both"/>
        <w:rPr>
          <w:rFonts w:ascii="Arial" w:hAnsi="Arial" w:cs="Arial"/>
          <w:color w:val="000000"/>
          <w:sz w:val="19"/>
          <w:szCs w:val="19"/>
        </w:rPr>
      </w:pPr>
      <w:r w:rsidRPr="00856A34">
        <w:rPr>
          <w:rStyle w:val="Refdenotaalpie"/>
          <w:rFonts w:ascii="Arial" w:hAnsi="Arial" w:cs="Arial"/>
          <w:sz w:val="19"/>
          <w:szCs w:val="19"/>
        </w:rPr>
        <w:footnoteRef/>
      </w:r>
      <w:r w:rsidRPr="00856A34">
        <w:rPr>
          <w:rFonts w:ascii="Arial" w:hAnsi="Arial" w:cs="Arial"/>
          <w:sz w:val="19"/>
          <w:szCs w:val="19"/>
        </w:rPr>
        <w:t xml:space="preserve"> Ley 489 de 1998 «</w:t>
      </w:r>
      <w:r w:rsidRPr="00F1638D">
        <w:rPr>
          <w:rStyle w:val="Textoennegrita"/>
          <w:rFonts w:ascii="Arial" w:hAnsi="Arial" w:cs="Arial"/>
          <w:b w:val="0"/>
          <w:bCs w:val="0"/>
          <w:color w:val="000000"/>
          <w:sz w:val="19"/>
          <w:szCs w:val="19"/>
        </w:rPr>
        <w:t>Artículo 68.</w:t>
      </w:r>
      <w:r w:rsidRPr="00856A34">
        <w:rPr>
          <w:rStyle w:val="Textoennegrita"/>
          <w:rFonts w:ascii="Arial" w:hAnsi="Arial" w:cs="Arial"/>
          <w:color w:val="000000"/>
          <w:sz w:val="19"/>
          <w:szCs w:val="19"/>
        </w:rPr>
        <w:t xml:space="preserve"> </w:t>
      </w:r>
      <w:r w:rsidRPr="00856A34">
        <w:rPr>
          <w:rStyle w:val="nfasis"/>
          <w:rFonts w:ascii="Arial" w:eastAsia="Arial" w:hAnsi="Arial" w:cs="Arial"/>
          <w:color w:val="000000"/>
          <w:sz w:val="19"/>
          <w:szCs w:val="19"/>
        </w:rPr>
        <w:t>Entidades descentralizadas. </w:t>
      </w:r>
      <w:r w:rsidRPr="00856A34">
        <w:rPr>
          <w:rFonts w:ascii="Arial" w:hAnsi="Arial" w:cs="Arial"/>
          <w:color w:val="000000"/>
          <w:sz w:val="19"/>
          <w:szCs w:val="19"/>
        </w:rPr>
        <w:t>Son entidades descentralizadas del orden nacional, los establecimientos públicos, las empresas industriales y comerciales del Estado, las sociedades públicas y las sociedades de economía mixta, las superintendencias y las unidades administrativas especiales con personería jurídica, las empresas sociales del Estado, las empresas oficiales de servicios públicos y las demás entidades creadas por la ley o con su autorización, cuyo objeto principal sea el ejercicio de funciones administrativas, la prestación de servicios públicos o la realización de actividades industriales o comerciales con personería jurídica, autonomía administrativa y patrimonio propio. </w:t>
      </w:r>
    </w:p>
    <w:p w14:paraId="5C5EA5FE" w14:textId="77777777" w:rsidR="008C3318" w:rsidRPr="00856A34" w:rsidRDefault="008C3318" w:rsidP="00856A34">
      <w:pPr>
        <w:pStyle w:val="NormalWeb"/>
        <w:spacing w:before="0" w:beforeAutospacing="0" w:after="0" w:afterAutospacing="0"/>
        <w:jc w:val="both"/>
        <w:rPr>
          <w:rFonts w:ascii="Arial" w:hAnsi="Arial" w:cs="Arial"/>
          <w:color w:val="000000"/>
          <w:sz w:val="19"/>
          <w:szCs w:val="19"/>
        </w:rPr>
      </w:pPr>
      <w:r w:rsidRPr="00856A34">
        <w:rPr>
          <w:rFonts w:ascii="Arial" w:hAnsi="Arial" w:cs="Arial"/>
          <w:color w:val="000000"/>
          <w:sz w:val="19"/>
          <w:szCs w:val="19"/>
        </w:rPr>
        <w:t>  </w:t>
      </w:r>
      <w:r w:rsidRPr="00856A34">
        <w:rPr>
          <w:rFonts w:ascii="Arial" w:hAnsi="Arial" w:cs="Arial"/>
          <w:color w:val="000000"/>
          <w:sz w:val="19"/>
          <w:szCs w:val="19"/>
        </w:rPr>
        <w:tab/>
      </w:r>
      <w:proofErr w:type="gramStart"/>
      <w:r w:rsidRPr="00856A34">
        <w:rPr>
          <w:rFonts w:ascii="Arial" w:hAnsi="Arial" w:cs="Arial"/>
          <w:color w:val="000000"/>
          <w:sz w:val="19"/>
          <w:szCs w:val="19"/>
        </w:rPr>
        <w:t>»Como</w:t>
      </w:r>
      <w:proofErr w:type="gramEnd"/>
      <w:r w:rsidRPr="00856A34">
        <w:rPr>
          <w:rFonts w:ascii="Arial" w:hAnsi="Arial" w:cs="Arial"/>
          <w:color w:val="000000"/>
          <w:sz w:val="19"/>
          <w:szCs w:val="19"/>
        </w:rPr>
        <w:t xml:space="preserve"> órganos del Estado aun cuando gozan de autonomía administrativa están sujetas al control político y a la suprema dirección del órgano de la administración al cual están adscritas. </w:t>
      </w:r>
    </w:p>
    <w:p w14:paraId="3612FBA2" w14:textId="77777777" w:rsidR="008C3318" w:rsidRPr="00856A34" w:rsidRDefault="008C3318" w:rsidP="00856A34">
      <w:pPr>
        <w:pStyle w:val="NormalWeb"/>
        <w:spacing w:before="0" w:beforeAutospacing="0" w:after="0" w:afterAutospacing="0"/>
        <w:jc w:val="both"/>
        <w:rPr>
          <w:rFonts w:ascii="Arial" w:hAnsi="Arial" w:cs="Arial"/>
          <w:color w:val="000000"/>
          <w:sz w:val="19"/>
          <w:szCs w:val="19"/>
        </w:rPr>
      </w:pPr>
      <w:r w:rsidRPr="00856A34">
        <w:rPr>
          <w:rFonts w:ascii="Arial" w:hAnsi="Arial" w:cs="Arial"/>
          <w:color w:val="000000"/>
          <w:sz w:val="19"/>
          <w:szCs w:val="19"/>
        </w:rPr>
        <w:t>  </w:t>
      </w:r>
      <w:r w:rsidRPr="00856A34">
        <w:rPr>
          <w:rFonts w:ascii="Arial" w:hAnsi="Arial" w:cs="Arial"/>
          <w:color w:val="000000"/>
          <w:sz w:val="19"/>
          <w:szCs w:val="19"/>
        </w:rPr>
        <w:tab/>
      </w:r>
      <w:proofErr w:type="gramStart"/>
      <w:r w:rsidRPr="00856A34">
        <w:rPr>
          <w:rFonts w:ascii="Arial" w:hAnsi="Arial" w:cs="Arial"/>
          <w:color w:val="000000"/>
          <w:sz w:val="19"/>
          <w:szCs w:val="19"/>
        </w:rPr>
        <w:t>»Las</w:t>
      </w:r>
      <w:proofErr w:type="gramEnd"/>
      <w:r w:rsidRPr="00856A34">
        <w:rPr>
          <w:rFonts w:ascii="Arial" w:hAnsi="Arial" w:cs="Arial"/>
          <w:color w:val="000000"/>
          <w:sz w:val="19"/>
          <w:szCs w:val="19"/>
        </w:rPr>
        <w:t xml:space="preserve"> entidades descentralizadas se sujetan a las reglas señaladas en la Constitución Política, en la presente ley, en las leyes que las creen y determinen su estructura orgánica y a sus estatutos internos. </w:t>
      </w:r>
    </w:p>
    <w:p w14:paraId="114C4115" w14:textId="77777777" w:rsidR="008C3318" w:rsidRPr="00856A34" w:rsidRDefault="008C3318" w:rsidP="00856A34">
      <w:pPr>
        <w:pStyle w:val="NormalWeb"/>
        <w:spacing w:before="0" w:beforeAutospacing="0" w:after="0" w:afterAutospacing="0"/>
        <w:jc w:val="both"/>
        <w:rPr>
          <w:rFonts w:ascii="Arial" w:hAnsi="Arial" w:cs="Arial"/>
          <w:color w:val="000000"/>
          <w:sz w:val="19"/>
          <w:szCs w:val="19"/>
        </w:rPr>
      </w:pPr>
      <w:r w:rsidRPr="00856A34">
        <w:rPr>
          <w:rFonts w:ascii="Arial" w:hAnsi="Arial" w:cs="Arial"/>
          <w:color w:val="000000"/>
          <w:sz w:val="19"/>
          <w:szCs w:val="19"/>
        </w:rPr>
        <w:t>  </w:t>
      </w:r>
      <w:r w:rsidRPr="00856A34">
        <w:rPr>
          <w:rFonts w:ascii="Arial" w:hAnsi="Arial" w:cs="Arial"/>
          <w:color w:val="000000"/>
          <w:sz w:val="19"/>
          <w:szCs w:val="19"/>
        </w:rPr>
        <w:tab/>
      </w:r>
      <w:proofErr w:type="gramStart"/>
      <w:r w:rsidRPr="00856A34">
        <w:rPr>
          <w:rFonts w:ascii="Arial" w:hAnsi="Arial" w:cs="Arial"/>
          <w:color w:val="000000"/>
          <w:sz w:val="19"/>
          <w:szCs w:val="19"/>
        </w:rPr>
        <w:t>»Los</w:t>
      </w:r>
      <w:proofErr w:type="gramEnd"/>
      <w:r w:rsidRPr="00856A34">
        <w:rPr>
          <w:rFonts w:ascii="Arial" w:hAnsi="Arial" w:cs="Arial"/>
          <w:color w:val="000000"/>
          <w:sz w:val="19"/>
          <w:szCs w:val="19"/>
        </w:rPr>
        <w:t xml:space="preserve"> organismos y entidades descentralizados, sujetos a regímenes especiales por mandato de la Constitución Política, se someterán a las disposiciones que para ellos establezca la respectiva ley. </w:t>
      </w:r>
    </w:p>
    <w:p w14:paraId="35698431" w14:textId="77777777" w:rsidR="008C3318" w:rsidRPr="002371B8" w:rsidRDefault="008C3318" w:rsidP="00856A34">
      <w:pPr>
        <w:pStyle w:val="NormalWeb"/>
        <w:spacing w:before="0" w:beforeAutospacing="0" w:after="0" w:afterAutospacing="0"/>
        <w:jc w:val="both"/>
        <w:rPr>
          <w:rFonts w:ascii="Arial" w:hAnsi="Arial" w:cs="Arial"/>
          <w:color w:val="000000"/>
          <w:sz w:val="19"/>
          <w:szCs w:val="19"/>
        </w:rPr>
      </w:pPr>
      <w:r w:rsidRPr="00856A34">
        <w:rPr>
          <w:rFonts w:ascii="Arial" w:hAnsi="Arial" w:cs="Arial"/>
          <w:color w:val="000000"/>
          <w:sz w:val="19"/>
          <w:szCs w:val="19"/>
        </w:rPr>
        <w:t>  </w:t>
      </w:r>
      <w:r w:rsidRPr="00856A34">
        <w:rPr>
          <w:rFonts w:ascii="Arial" w:hAnsi="Arial" w:cs="Arial"/>
          <w:color w:val="000000"/>
          <w:sz w:val="19"/>
          <w:szCs w:val="19"/>
        </w:rPr>
        <w:tab/>
      </w:r>
      <w:proofErr w:type="gramStart"/>
      <w:r w:rsidRPr="00F1638D">
        <w:rPr>
          <w:rStyle w:val="Textoennegrita"/>
          <w:rFonts w:ascii="Arial" w:hAnsi="Arial" w:cs="Arial"/>
          <w:b w:val="0"/>
          <w:bCs w:val="0"/>
          <w:color w:val="000000"/>
          <w:sz w:val="19"/>
          <w:szCs w:val="19"/>
        </w:rPr>
        <w:t>»Parágrafo</w:t>
      </w:r>
      <w:proofErr w:type="gramEnd"/>
      <w:r w:rsidRPr="00F1638D">
        <w:rPr>
          <w:rStyle w:val="Textoennegrita"/>
          <w:rFonts w:ascii="Arial" w:hAnsi="Arial" w:cs="Arial"/>
          <w:b w:val="0"/>
          <w:bCs w:val="0"/>
          <w:color w:val="000000"/>
          <w:sz w:val="19"/>
          <w:szCs w:val="19"/>
        </w:rPr>
        <w:t xml:space="preserve"> 1°.</w:t>
      </w:r>
      <w:r w:rsidRPr="002371B8">
        <w:rPr>
          <w:rFonts w:ascii="Arial" w:hAnsi="Arial" w:cs="Arial"/>
          <w:color w:val="000000"/>
          <w:sz w:val="19"/>
          <w:szCs w:val="19"/>
        </w:rPr>
        <w:t> De conformidad con el inciso segundo del artículo 210 de la Constitución Política, el régimen jurídico aquí previsto para las entidades descentralizadas es aplicable a las de las entidades territoriales sin perjuicio de las competencias asignadas por la Constitución y la ley a las autoridades del orden territorial. </w:t>
      </w:r>
    </w:p>
    <w:p w14:paraId="2C01232B" w14:textId="77777777" w:rsidR="008C3318" w:rsidRPr="002371B8" w:rsidRDefault="008C3318" w:rsidP="00856A34">
      <w:pPr>
        <w:pStyle w:val="NormalWeb"/>
        <w:spacing w:before="0" w:beforeAutospacing="0" w:after="0" w:afterAutospacing="0"/>
        <w:jc w:val="both"/>
        <w:rPr>
          <w:rFonts w:ascii="Arial" w:hAnsi="Arial" w:cs="Arial"/>
          <w:color w:val="000000"/>
          <w:sz w:val="19"/>
          <w:szCs w:val="19"/>
        </w:rPr>
      </w:pPr>
      <w:r w:rsidRPr="002371B8">
        <w:rPr>
          <w:rFonts w:ascii="Arial" w:hAnsi="Arial" w:cs="Arial"/>
          <w:color w:val="000000"/>
          <w:sz w:val="19"/>
          <w:szCs w:val="19"/>
        </w:rPr>
        <w:t>  </w:t>
      </w:r>
      <w:r w:rsidRPr="002371B8">
        <w:rPr>
          <w:rFonts w:ascii="Arial" w:hAnsi="Arial" w:cs="Arial"/>
          <w:color w:val="000000"/>
          <w:sz w:val="19"/>
          <w:szCs w:val="19"/>
        </w:rPr>
        <w:tab/>
      </w:r>
      <w:proofErr w:type="gramStart"/>
      <w:r w:rsidRPr="00F1638D">
        <w:rPr>
          <w:rStyle w:val="Textoennegrita"/>
          <w:rFonts w:ascii="Arial" w:hAnsi="Arial" w:cs="Arial"/>
          <w:b w:val="0"/>
          <w:bCs w:val="0"/>
          <w:color w:val="000000"/>
          <w:sz w:val="19"/>
          <w:szCs w:val="19"/>
        </w:rPr>
        <w:t>»Parágrafo</w:t>
      </w:r>
      <w:proofErr w:type="gramEnd"/>
      <w:r w:rsidRPr="00F1638D">
        <w:rPr>
          <w:rStyle w:val="Textoennegrita"/>
          <w:rFonts w:ascii="Arial" w:hAnsi="Arial" w:cs="Arial"/>
          <w:b w:val="0"/>
          <w:bCs w:val="0"/>
          <w:color w:val="000000"/>
          <w:sz w:val="19"/>
          <w:szCs w:val="19"/>
        </w:rPr>
        <w:t xml:space="preserve"> 2°.</w:t>
      </w:r>
      <w:r w:rsidRPr="002371B8">
        <w:rPr>
          <w:rFonts w:ascii="Arial" w:hAnsi="Arial" w:cs="Arial"/>
          <w:color w:val="000000"/>
          <w:sz w:val="19"/>
          <w:szCs w:val="19"/>
        </w:rPr>
        <w:t> Los organismos o entidades del Sector Descentralizado que tengan como objetivo desarrollar actividades científicas y tecnológicas, se sujetarán a la Legislación de Ciencia y Tecnología y su organización será determinada por el Gobierno Nacional. </w:t>
      </w:r>
    </w:p>
    <w:p w14:paraId="42AEFA85" w14:textId="77777777" w:rsidR="008C3318" w:rsidRPr="002371B8" w:rsidRDefault="008C3318" w:rsidP="00856A34">
      <w:pPr>
        <w:pStyle w:val="NormalWeb"/>
        <w:spacing w:before="0" w:beforeAutospacing="0" w:after="0" w:afterAutospacing="0"/>
        <w:ind w:firstLine="708"/>
        <w:jc w:val="both"/>
        <w:rPr>
          <w:rFonts w:ascii="Arial" w:hAnsi="Arial" w:cs="Arial"/>
          <w:color w:val="000000"/>
          <w:sz w:val="19"/>
          <w:szCs w:val="19"/>
        </w:rPr>
      </w:pPr>
      <w:proofErr w:type="gramStart"/>
      <w:r w:rsidRPr="00F1638D">
        <w:rPr>
          <w:rStyle w:val="Textoennegrita"/>
          <w:rFonts w:ascii="Arial" w:hAnsi="Arial" w:cs="Arial"/>
          <w:b w:val="0"/>
          <w:bCs w:val="0"/>
          <w:color w:val="000000"/>
          <w:sz w:val="19"/>
          <w:szCs w:val="19"/>
        </w:rPr>
        <w:t>»Parágrafo</w:t>
      </w:r>
      <w:proofErr w:type="gramEnd"/>
      <w:r w:rsidRPr="00F1638D">
        <w:rPr>
          <w:rStyle w:val="Textoennegrita"/>
          <w:rFonts w:ascii="Arial" w:hAnsi="Arial" w:cs="Arial"/>
          <w:b w:val="0"/>
          <w:bCs w:val="0"/>
          <w:color w:val="000000"/>
          <w:sz w:val="19"/>
          <w:szCs w:val="19"/>
        </w:rPr>
        <w:t xml:space="preserve"> 3°.</w:t>
      </w:r>
      <w:r w:rsidRPr="002371B8">
        <w:rPr>
          <w:rFonts w:ascii="Arial" w:hAnsi="Arial" w:cs="Arial"/>
          <w:color w:val="000000"/>
          <w:sz w:val="19"/>
          <w:szCs w:val="19"/>
        </w:rPr>
        <w:t> Lo dispuesto en el presente artículo no se aplica a las corporaciones civiles sin ánimo de lucro de derecho privado, vinculadas al Ministerio del Medio Ambiente, creadas por la Ley 99 de 1993. </w:t>
      </w:r>
    </w:p>
    <w:p w14:paraId="4DCD883F" w14:textId="77777777" w:rsidR="008C3318" w:rsidRPr="00856A34" w:rsidRDefault="008C3318" w:rsidP="00856A34">
      <w:pPr>
        <w:pStyle w:val="NormalWeb"/>
        <w:spacing w:before="0" w:beforeAutospacing="0" w:after="0" w:afterAutospacing="0"/>
        <w:ind w:firstLine="708"/>
        <w:jc w:val="both"/>
        <w:rPr>
          <w:rFonts w:ascii="Arial" w:hAnsi="Arial" w:cs="Arial"/>
          <w:color w:val="000000"/>
          <w:sz w:val="19"/>
          <w:szCs w:val="19"/>
        </w:rPr>
      </w:pPr>
      <w:bookmarkStart w:id="6" w:name="ver_1833064"/>
      <w:bookmarkEnd w:id="6"/>
      <w:proofErr w:type="gramStart"/>
      <w:r w:rsidRPr="00F1638D">
        <w:rPr>
          <w:rStyle w:val="Textoennegrita"/>
          <w:rFonts w:ascii="Arial" w:hAnsi="Arial" w:cs="Arial"/>
          <w:b w:val="0"/>
          <w:bCs w:val="0"/>
          <w:color w:val="000000"/>
          <w:sz w:val="19"/>
          <w:szCs w:val="19"/>
        </w:rPr>
        <w:t>»Artículo</w:t>
      </w:r>
      <w:proofErr w:type="gramEnd"/>
      <w:r w:rsidRPr="00F1638D">
        <w:rPr>
          <w:rStyle w:val="Textoennegrita"/>
          <w:rFonts w:ascii="Arial" w:hAnsi="Arial" w:cs="Arial"/>
          <w:b w:val="0"/>
          <w:bCs w:val="0"/>
          <w:color w:val="000000"/>
          <w:sz w:val="19"/>
          <w:szCs w:val="19"/>
        </w:rPr>
        <w:t xml:space="preserve"> 69.</w:t>
      </w:r>
      <w:r w:rsidRPr="00856A34">
        <w:rPr>
          <w:rStyle w:val="nfasis"/>
          <w:rFonts w:ascii="Arial" w:eastAsia="Arial" w:hAnsi="Arial" w:cs="Arial"/>
          <w:color w:val="000000"/>
          <w:sz w:val="19"/>
          <w:szCs w:val="19"/>
        </w:rPr>
        <w:t xml:space="preserve"> Creación de las entidades descentralizadas. </w:t>
      </w:r>
      <w:r w:rsidRPr="00856A34">
        <w:rPr>
          <w:rFonts w:ascii="Arial" w:hAnsi="Arial" w:cs="Arial"/>
          <w:color w:val="000000"/>
          <w:sz w:val="19"/>
          <w:szCs w:val="19"/>
        </w:rPr>
        <w:t>Las entidades descentralizadas, en el orden nacional, se crean por la ley, en el orden departamental, distrital y municipal, por la ordenanza o el acuerdo, o con su autorización, de conformidad con las disposiciones de la presente ley. El proyecto respectivo deberá acompañarse del estudio demostrativo que justifique la iniciativa, con la observancia de los principios señalados en el artículo 209 de la Constitución Política». </w:t>
      </w:r>
    </w:p>
    <w:p w14:paraId="60F0C11C" w14:textId="77777777" w:rsidR="008C3318" w:rsidRPr="00856A34" w:rsidRDefault="008C3318" w:rsidP="00856A34">
      <w:pPr>
        <w:pStyle w:val="Textonotapie"/>
        <w:jc w:val="both"/>
        <w:rPr>
          <w:rFonts w:ascii="Arial" w:hAnsi="Arial" w:cs="Arial"/>
          <w:sz w:val="19"/>
          <w:szCs w:val="19"/>
        </w:rPr>
      </w:pPr>
    </w:p>
  </w:footnote>
  <w:footnote w:id="4">
    <w:p w14:paraId="0F2D426A" w14:textId="5C459BAC" w:rsidR="008C3318" w:rsidRPr="00856A34" w:rsidRDefault="008C3318" w:rsidP="00856A34">
      <w:pPr>
        <w:pStyle w:val="NormalWeb"/>
        <w:spacing w:before="0" w:beforeAutospacing="0" w:after="0" w:afterAutospacing="0"/>
        <w:ind w:firstLine="708"/>
        <w:jc w:val="both"/>
        <w:rPr>
          <w:rFonts w:ascii="Arial" w:hAnsi="Arial" w:cs="Arial"/>
          <w:color w:val="000000"/>
          <w:sz w:val="19"/>
          <w:szCs w:val="19"/>
        </w:rPr>
      </w:pPr>
      <w:r w:rsidRPr="00856A34">
        <w:rPr>
          <w:rStyle w:val="Refdenotaalpie"/>
          <w:rFonts w:ascii="Arial" w:hAnsi="Arial" w:cs="Arial"/>
          <w:sz w:val="19"/>
          <w:szCs w:val="19"/>
        </w:rPr>
        <w:footnoteRef/>
      </w:r>
      <w:r w:rsidRPr="00856A34">
        <w:rPr>
          <w:rFonts w:ascii="Arial" w:hAnsi="Arial" w:cs="Arial"/>
          <w:sz w:val="19"/>
          <w:szCs w:val="19"/>
        </w:rPr>
        <w:t xml:space="preserve"> Ley 1122 </w:t>
      </w:r>
      <w:r w:rsidRPr="002371B8">
        <w:rPr>
          <w:rFonts w:ascii="Arial" w:hAnsi="Arial" w:cs="Arial"/>
          <w:sz w:val="19"/>
          <w:szCs w:val="19"/>
        </w:rPr>
        <w:t>de 2007</w:t>
      </w:r>
      <w:r w:rsidR="00A572BA">
        <w:rPr>
          <w:rFonts w:ascii="Arial" w:hAnsi="Arial" w:cs="Arial"/>
          <w:sz w:val="19"/>
          <w:szCs w:val="19"/>
        </w:rPr>
        <w:t>.</w:t>
      </w:r>
      <w:r w:rsidRPr="002371B8">
        <w:rPr>
          <w:rFonts w:ascii="Arial" w:hAnsi="Arial" w:cs="Arial"/>
          <w:sz w:val="19"/>
          <w:szCs w:val="19"/>
        </w:rPr>
        <w:t xml:space="preserve"> «</w:t>
      </w:r>
      <w:r w:rsidRPr="00F1638D">
        <w:rPr>
          <w:rStyle w:val="Textoennegrita"/>
          <w:rFonts w:ascii="Arial" w:hAnsi="Arial" w:cs="Arial"/>
          <w:b w:val="0"/>
          <w:bCs w:val="0"/>
          <w:color w:val="000000"/>
          <w:sz w:val="19"/>
          <w:szCs w:val="19"/>
        </w:rPr>
        <w:t>Artículo 45.</w:t>
      </w:r>
      <w:r w:rsidRPr="00856A34">
        <w:rPr>
          <w:rStyle w:val="Textoennegrita"/>
          <w:rFonts w:ascii="Arial" w:hAnsi="Arial" w:cs="Arial"/>
          <w:color w:val="000000"/>
          <w:sz w:val="19"/>
          <w:szCs w:val="19"/>
        </w:rPr>
        <w:t xml:space="preserve"> </w:t>
      </w:r>
      <w:r w:rsidRPr="00856A34">
        <w:rPr>
          <w:rStyle w:val="nfasis"/>
          <w:rFonts w:ascii="Arial" w:eastAsia="Arial" w:hAnsi="Arial" w:cs="Arial"/>
          <w:color w:val="000000"/>
          <w:sz w:val="19"/>
          <w:szCs w:val="19"/>
        </w:rPr>
        <w:t>Régimen de contratación de EPS públicas. </w:t>
      </w:r>
      <w:r w:rsidRPr="00856A34">
        <w:rPr>
          <w:rFonts w:ascii="Arial" w:hAnsi="Arial" w:cs="Arial"/>
          <w:color w:val="000000"/>
          <w:sz w:val="19"/>
          <w:szCs w:val="19"/>
        </w:rPr>
        <w:t>Las Empresas promotoras de Salud del Régimen Subsidiado y Contributivo Públicas tendrán el mismo régimen de contratación que las Empresas Sociales del Estado». </w:t>
      </w:r>
    </w:p>
    <w:p w14:paraId="56599DEB" w14:textId="77777777" w:rsidR="008C3318" w:rsidRPr="00856A34" w:rsidRDefault="008C3318" w:rsidP="00856A34">
      <w:pPr>
        <w:pStyle w:val="NormalWeb"/>
        <w:spacing w:before="0" w:beforeAutospacing="0" w:after="0" w:afterAutospacing="0"/>
        <w:jc w:val="both"/>
        <w:rPr>
          <w:rFonts w:ascii="Arial" w:hAnsi="Arial" w:cs="Arial"/>
          <w:sz w:val="19"/>
          <w:szCs w:val="19"/>
        </w:rPr>
      </w:pPr>
      <w:r w:rsidRPr="00856A34">
        <w:rPr>
          <w:rFonts w:ascii="Arial" w:hAnsi="Arial" w:cs="Arial"/>
          <w:color w:val="000000"/>
          <w:sz w:val="19"/>
          <w:szCs w:val="19"/>
        </w:rPr>
        <w:t>  </w:t>
      </w:r>
    </w:p>
  </w:footnote>
  <w:footnote w:id="5">
    <w:p w14:paraId="470C302A" w14:textId="6B9CA5C0" w:rsidR="008C3318" w:rsidRPr="00856A34" w:rsidRDefault="008C3318" w:rsidP="00856A34">
      <w:pPr>
        <w:pStyle w:val="Textonotapie"/>
        <w:ind w:firstLine="708"/>
        <w:jc w:val="both"/>
        <w:rPr>
          <w:rFonts w:ascii="Arial" w:hAnsi="Arial" w:cs="Arial"/>
          <w:sz w:val="19"/>
          <w:szCs w:val="19"/>
        </w:rPr>
      </w:pPr>
      <w:r w:rsidRPr="00856A34">
        <w:rPr>
          <w:rStyle w:val="Refdenotaalpie"/>
          <w:rFonts w:ascii="Arial" w:hAnsi="Arial" w:cs="Arial"/>
          <w:sz w:val="19"/>
          <w:szCs w:val="19"/>
        </w:rPr>
        <w:footnoteRef/>
      </w:r>
      <w:r w:rsidRPr="00856A34">
        <w:rPr>
          <w:rFonts w:ascii="Arial" w:hAnsi="Arial" w:cs="Arial"/>
          <w:sz w:val="19"/>
          <w:szCs w:val="19"/>
        </w:rPr>
        <w:t xml:space="preserve"> Ley 100 de 1993 «Artículo 195.</w:t>
      </w:r>
      <w:r w:rsidR="00A572BA">
        <w:rPr>
          <w:rFonts w:ascii="Arial" w:hAnsi="Arial" w:cs="Arial"/>
          <w:sz w:val="19"/>
          <w:szCs w:val="19"/>
        </w:rPr>
        <w:t xml:space="preserve"> </w:t>
      </w:r>
      <w:r w:rsidRPr="00856A34">
        <w:rPr>
          <w:rFonts w:ascii="Arial" w:hAnsi="Arial" w:cs="Arial"/>
          <w:sz w:val="19"/>
          <w:szCs w:val="19"/>
        </w:rPr>
        <w:t xml:space="preserve">Régimen jurídico. Las Empresas Sociales de Salud se someterán al siguiente régimen jurídico: </w:t>
      </w:r>
    </w:p>
    <w:p w14:paraId="39A09566" w14:textId="77777777" w:rsidR="008C3318" w:rsidRPr="00856A34" w:rsidRDefault="008C3318" w:rsidP="00856A34">
      <w:pPr>
        <w:pStyle w:val="Textonotapie"/>
        <w:ind w:firstLine="708"/>
        <w:jc w:val="both"/>
        <w:rPr>
          <w:rFonts w:ascii="Arial" w:hAnsi="Arial" w:cs="Arial"/>
          <w:sz w:val="19"/>
          <w:szCs w:val="19"/>
        </w:rPr>
      </w:pPr>
      <w:r w:rsidRPr="00856A34">
        <w:rPr>
          <w:rFonts w:ascii="Arial" w:hAnsi="Arial" w:cs="Arial"/>
          <w:sz w:val="19"/>
          <w:szCs w:val="19"/>
        </w:rPr>
        <w:t>[…]</w:t>
      </w:r>
    </w:p>
    <w:p w14:paraId="6090313C" w14:textId="77777777" w:rsidR="008C3318" w:rsidRPr="00856A34" w:rsidRDefault="008C3318" w:rsidP="00856A34">
      <w:pPr>
        <w:pStyle w:val="Textonotapie"/>
        <w:ind w:firstLine="708"/>
        <w:jc w:val="both"/>
        <w:rPr>
          <w:rFonts w:ascii="Arial" w:hAnsi="Arial" w:cs="Arial"/>
          <w:sz w:val="19"/>
          <w:szCs w:val="19"/>
        </w:rPr>
      </w:pPr>
      <w:r w:rsidRPr="00856A34">
        <w:rPr>
          <w:rFonts w:ascii="Arial" w:hAnsi="Arial" w:cs="Arial"/>
          <w:sz w:val="19"/>
          <w:szCs w:val="19"/>
        </w:rPr>
        <w:t>»6. En materia contractual se regirá por el derecho privado, pero podrá discrecionalmente utilizar las cláusulas exorbitantes previstas en el Estatuto General de Contratación de la Administración Pública».</w:t>
      </w:r>
    </w:p>
    <w:p w14:paraId="16BDBA11" w14:textId="77777777" w:rsidR="008C3318" w:rsidRPr="00856A34" w:rsidRDefault="008C3318" w:rsidP="00856A34">
      <w:pPr>
        <w:pStyle w:val="Textonotapie"/>
        <w:ind w:firstLine="708"/>
        <w:jc w:val="both"/>
        <w:rPr>
          <w:rFonts w:ascii="Arial" w:hAnsi="Arial" w:cs="Arial"/>
          <w:sz w:val="19"/>
          <w:szCs w:val="19"/>
        </w:rPr>
      </w:pPr>
      <w:r w:rsidRPr="00856A34">
        <w:rPr>
          <w:rFonts w:ascii="Arial" w:hAnsi="Arial" w:cs="Arial"/>
          <w:sz w:val="19"/>
          <w:szCs w:val="19"/>
        </w:rPr>
        <w:t xml:space="preserve"> </w:t>
      </w:r>
    </w:p>
  </w:footnote>
  <w:footnote w:id="6">
    <w:p w14:paraId="0797EDE7" w14:textId="77777777" w:rsidR="008C3318" w:rsidRPr="00856A34" w:rsidRDefault="008C3318" w:rsidP="00856A34">
      <w:pPr>
        <w:pStyle w:val="NormalWeb"/>
        <w:spacing w:before="0" w:beforeAutospacing="0" w:after="0" w:afterAutospacing="0"/>
        <w:ind w:firstLine="708"/>
        <w:jc w:val="both"/>
        <w:rPr>
          <w:rFonts w:ascii="Arial" w:hAnsi="Arial" w:cs="Arial"/>
          <w:color w:val="000000"/>
          <w:sz w:val="19"/>
          <w:szCs w:val="19"/>
        </w:rPr>
      </w:pPr>
      <w:r w:rsidRPr="00856A34">
        <w:rPr>
          <w:rStyle w:val="Refdenotaalpie"/>
          <w:rFonts w:ascii="Arial" w:hAnsi="Arial" w:cs="Arial"/>
          <w:sz w:val="19"/>
          <w:szCs w:val="19"/>
        </w:rPr>
        <w:footnoteRef/>
      </w:r>
      <w:r w:rsidRPr="00856A34">
        <w:rPr>
          <w:rFonts w:ascii="Arial" w:hAnsi="Arial" w:cs="Arial"/>
          <w:sz w:val="19"/>
          <w:szCs w:val="19"/>
        </w:rPr>
        <w:t xml:space="preserve"> Ley 489 de 1998 «</w:t>
      </w:r>
      <w:r w:rsidRPr="00F1638D">
        <w:rPr>
          <w:rStyle w:val="Textoennegrita"/>
          <w:rFonts w:ascii="Arial" w:hAnsi="Arial" w:cs="Arial"/>
          <w:b w:val="0"/>
          <w:bCs w:val="0"/>
          <w:color w:val="000000"/>
          <w:sz w:val="19"/>
          <w:szCs w:val="19"/>
        </w:rPr>
        <w:t>Artículo 97.</w:t>
      </w:r>
      <w:r w:rsidRPr="00856A34">
        <w:rPr>
          <w:rStyle w:val="nfasis"/>
          <w:rFonts w:ascii="Arial" w:eastAsia="Arial" w:hAnsi="Arial" w:cs="Arial"/>
          <w:color w:val="000000"/>
          <w:sz w:val="19"/>
          <w:szCs w:val="19"/>
        </w:rPr>
        <w:t xml:space="preserve"> Sociedades de economía mixta. </w:t>
      </w:r>
      <w:r w:rsidRPr="00856A34">
        <w:rPr>
          <w:rFonts w:ascii="Arial" w:hAnsi="Arial" w:cs="Arial"/>
          <w:color w:val="000000"/>
          <w:sz w:val="19"/>
          <w:szCs w:val="19"/>
        </w:rPr>
        <w:t>Las sociedades de economía mixta son organismos autorizados por la ley, constituidos bajo la forma de sociedades comerciales con aportes estatales y de capital privado, que desarrollan actividades de naturaleza industrial o comercial conforme a las reglas de Derecho Privado, salvo las excepciones que consagra la ley. </w:t>
      </w:r>
    </w:p>
    <w:p w14:paraId="6A8E7495" w14:textId="77777777" w:rsidR="008C3318" w:rsidRPr="00856A34" w:rsidRDefault="008C3318" w:rsidP="00856A34">
      <w:pPr>
        <w:pStyle w:val="NormalWeb"/>
        <w:spacing w:before="0" w:beforeAutospacing="0" w:after="0" w:afterAutospacing="0"/>
        <w:ind w:firstLine="708"/>
        <w:jc w:val="both"/>
        <w:rPr>
          <w:rFonts w:ascii="Arial" w:hAnsi="Arial" w:cs="Arial"/>
          <w:color w:val="000000"/>
          <w:sz w:val="19"/>
          <w:szCs w:val="19"/>
        </w:rPr>
      </w:pPr>
      <w:proofErr w:type="gramStart"/>
      <w:r w:rsidRPr="00856A34">
        <w:rPr>
          <w:rFonts w:ascii="Arial" w:hAnsi="Arial" w:cs="Arial"/>
          <w:color w:val="000000"/>
          <w:sz w:val="19"/>
          <w:szCs w:val="19"/>
        </w:rPr>
        <w:t>»Las</w:t>
      </w:r>
      <w:proofErr w:type="gramEnd"/>
      <w:r w:rsidRPr="00856A34">
        <w:rPr>
          <w:rFonts w:ascii="Arial" w:hAnsi="Arial" w:cs="Arial"/>
          <w:color w:val="000000"/>
          <w:sz w:val="19"/>
          <w:szCs w:val="19"/>
        </w:rPr>
        <w:t xml:space="preserve"> inversiones temporales de carácter financiero no afectan su naturaleza jurídica ni su régimen. </w:t>
      </w:r>
    </w:p>
    <w:p w14:paraId="761B64C6" w14:textId="77777777" w:rsidR="008C3318" w:rsidRPr="00856A34" w:rsidRDefault="008C3318" w:rsidP="00856A34">
      <w:pPr>
        <w:pStyle w:val="NormalWeb"/>
        <w:spacing w:before="0" w:beforeAutospacing="0" w:after="0" w:afterAutospacing="0"/>
        <w:jc w:val="both"/>
        <w:rPr>
          <w:rFonts w:ascii="Arial" w:hAnsi="Arial" w:cs="Arial"/>
          <w:color w:val="000000"/>
          <w:sz w:val="19"/>
          <w:szCs w:val="19"/>
        </w:rPr>
      </w:pPr>
      <w:r w:rsidRPr="00856A34">
        <w:rPr>
          <w:rFonts w:ascii="Arial" w:hAnsi="Arial" w:cs="Arial"/>
          <w:color w:val="000000"/>
          <w:sz w:val="19"/>
          <w:szCs w:val="19"/>
        </w:rPr>
        <w:t>  </w:t>
      </w:r>
      <w:r w:rsidRPr="00856A34">
        <w:rPr>
          <w:rFonts w:ascii="Arial" w:hAnsi="Arial" w:cs="Arial"/>
          <w:color w:val="000000"/>
          <w:sz w:val="19"/>
          <w:szCs w:val="19"/>
        </w:rPr>
        <w:tab/>
      </w:r>
      <w:proofErr w:type="gramStart"/>
      <w:r w:rsidRPr="00856A34">
        <w:rPr>
          <w:rFonts w:ascii="Arial" w:hAnsi="Arial" w:cs="Arial"/>
          <w:color w:val="000000"/>
          <w:sz w:val="19"/>
          <w:szCs w:val="19"/>
        </w:rPr>
        <w:t>»</w:t>
      </w:r>
      <w:r w:rsidRPr="00F1638D">
        <w:rPr>
          <w:rStyle w:val="Textoennegrita"/>
          <w:rFonts w:ascii="Arial" w:hAnsi="Arial" w:cs="Arial"/>
          <w:b w:val="0"/>
          <w:bCs w:val="0"/>
          <w:color w:val="000000"/>
          <w:sz w:val="19"/>
          <w:szCs w:val="19"/>
        </w:rPr>
        <w:t>Parágrafo</w:t>
      </w:r>
      <w:proofErr w:type="gramEnd"/>
      <w:r w:rsidRPr="00F1638D">
        <w:rPr>
          <w:rStyle w:val="Textoennegrita"/>
          <w:rFonts w:ascii="Arial" w:hAnsi="Arial" w:cs="Arial"/>
          <w:b w:val="0"/>
          <w:bCs w:val="0"/>
          <w:color w:val="000000"/>
          <w:sz w:val="19"/>
          <w:szCs w:val="19"/>
        </w:rPr>
        <w:t>.</w:t>
      </w:r>
      <w:r w:rsidRPr="00F1638D">
        <w:rPr>
          <w:rFonts w:ascii="Arial" w:hAnsi="Arial" w:cs="Arial"/>
          <w:b/>
          <w:color w:val="000000"/>
          <w:sz w:val="19"/>
          <w:szCs w:val="19"/>
        </w:rPr>
        <w:t> </w:t>
      </w:r>
      <w:r w:rsidRPr="00856A34">
        <w:rPr>
          <w:rFonts w:ascii="Arial" w:hAnsi="Arial" w:cs="Arial"/>
          <w:color w:val="000000"/>
          <w:sz w:val="19"/>
          <w:szCs w:val="19"/>
        </w:rPr>
        <w:t>Los regímenes de las actividades y de los servidores de las sociedades de economía mixta en las cuales el aporte de la Nación, de entidades territoriales y de entidades descentralizadas, sea igual o superior al noventa (90%) del capital social es el de las empresas industriales y comerciales del Estado». </w:t>
      </w:r>
    </w:p>
    <w:p w14:paraId="13F5E84F" w14:textId="77777777" w:rsidR="008C3318" w:rsidRPr="00856A34" w:rsidRDefault="008C3318" w:rsidP="00856A34">
      <w:pPr>
        <w:pStyle w:val="Textonotapie"/>
        <w:ind w:firstLine="708"/>
        <w:jc w:val="both"/>
        <w:rPr>
          <w:rFonts w:ascii="Arial" w:hAnsi="Arial" w:cs="Arial"/>
          <w:sz w:val="19"/>
          <w:szCs w:val="19"/>
        </w:rPr>
      </w:pPr>
      <w:r w:rsidRPr="00856A34">
        <w:rPr>
          <w:rFonts w:ascii="Arial" w:hAnsi="Arial" w:cs="Arial"/>
          <w:sz w:val="19"/>
          <w:szCs w:val="19"/>
        </w:rPr>
        <w:t xml:space="preserve"> </w:t>
      </w:r>
    </w:p>
  </w:footnote>
  <w:footnote w:id="7">
    <w:p w14:paraId="5BDDD339" w14:textId="77777777" w:rsidR="008C3318" w:rsidRPr="00856A34" w:rsidRDefault="008C3318" w:rsidP="00856A34">
      <w:pPr>
        <w:pStyle w:val="Textonotapie"/>
        <w:ind w:firstLine="708"/>
        <w:jc w:val="both"/>
        <w:rPr>
          <w:rFonts w:ascii="Arial" w:hAnsi="Arial" w:cs="Arial"/>
          <w:sz w:val="19"/>
          <w:szCs w:val="19"/>
        </w:rPr>
      </w:pPr>
      <w:r w:rsidRPr="00856A34">
        <w:rPr>
          <w:rStyle w:val="Refdenotaalpie"/>
          <w:rFonts w:ascii="Arial" w:hAnsi="Arial" w:cs="Arial"/>
          <w:sz w:val="19"/>
          <w:szCs w:val="19"/>
        </w:rPr>
        <w:footnoteRef/>
      </w:r>
      <w:r w:rsidRPr="00856A34">
        <w:rPr>
          <w:rFonts w:ascii="Arial" w:hAnsi="Arial" w:cs="Arial"/>
          <w:sz w:val="19"/>
          <w:szCs w:val="19"/>
        </w:rPr>
        <w:t xml:space="preserve">  Ley 21 de 1982 «</w:t>
      </w:r>
      <w:r w:rsidRPr="00856A34">
        <w:rPr>
          <w:rFonts w:ascii="Arial" w:hAnsi="Arial" w:cs="Arial"/>
          <w:color w:val="000000"/>
          <w:sz w:val="19"/>
          <w:szCs w:val="19"/>
        </w:rPr>
        <w:t>Artículo 39. Las Cajas de Compensación Familiar son personas jurídicas de derecho privado sin ánimo de lucro, organizadas como corporaciones en la forma prevista en el Código Civil, cumplen funciones de seguridad social y se hallan sometidas al control y vigilancia del Estado en la forma establecida por la ley». </w:t>
      </w:r>
    </w:p>
  </w:footnote>
  <w:footnote w:id="8">
    <w:p w14:paraId="67FD1835" w14:textId="77777777" w:rsidR="008C3318" w:rsidRPr="00856A34" w:rsidRDefault="008C3318" w:rsidP="00856A34">
      <w:pPr>
        <w:pStyle w:val="Textonotapie"/>
        <w:jc w:val="both"/>
        <w:rPr>
          <w:rFonts w:ascii="Arial" w:hAnsi="Arial" w:cs="Arial"/>
          <w:sz w:val="19"/>
          <w:szCs w:val="19"/>
        </w:rPr>
      </w:pPr>
    </w:p>
    <w:p w14:paraId="739695AC" w14:textId="77777777" w:rsidR="008C3318" w:rsidRPr="00856A34" w:rsidRDefault="008C3318" w:rsidP="00856A34">
      <w:pPr>
        <w:pStyle w:val="NormalWeb"/>
        <w:spacing w:before="0" w:beforeAutospacing="0" w:after="0" w:afterAutospacing="0"/>
        <w:ind w:firstLine="708"/>
        <w:jc w:val="both"/>
        <w:rPr>
          <w:rFonts w:ascii="Arial" w:hAnsi="Arial" w:cs="Arial"/>
          <w:color w:val="000000"/>
          <w:sz w:val="19"/>
          <w:szCs w:val="19"/>
        </w:rPr>
      </w:pPr>
      <w:r w:rsidRPr="00856A34">
        <w:rPr>
          <w:rStyle w:val="Refdenotaalpie"/>
          <w:rFonts w:ascii="Arial" w:hAnsi="Arial" w:cs="Arial"/>
          <w:sz w:val="19"/>
          <w:szCs w:val="19"/>
        </w:rPr>
        <w:footnoteRef/>
      </w:r>
      <w:r w:rsidRPr="00856A34">
        <w:rPr>
          <w:rFonts w:ascii="Arial" w:hAnsi="Arial" w:cs="Arial"/>
          <w:sz w:val="19"/>
          <w:szCs w:val="19"/>
        </w:rPr>
        <w:t xml:space="preserve"> Ley 454 de 1998 «</w:t>
      </w:r>
      <w:r w:rsidRPr="00F1638D">
        <w:rPr>
          <w:rStyle w:val="Textoennegrita"/>
          <w:rFonts w:ascii="Arial" w:hAnsi="Arial" w:cs="Arial"/>
          <w:b w:val="0"/>
          <w:bCs w:val="0"/>
          <w:color w:val="000000"/>
          <w:sz w:val="19"/>
          <w:szCs w:val="19"/>
        </w:rPr>
        <w:t>Artículo 6</w:t>
      </w:r>
      <w:r w:rsidRPr="00856A34">
        <w:rPr>
          <w:rStyle w:val="Textoennegrita"/>
          <w:rFonts w:ascii="Arial" w:hAnsi="Arial" w:cs="Arial"/>
          <w:color w:val="000000"/>
          <w:sz w:val="19"/>
          <w:szCs w:val="19"/>
        </w:rPr>
        <w:t xml:space="preserve">°. </w:t>
      </w:r>
      <w:r w:rsidRPr="00856A34">
        <w:rPr>
          <w:rStyle w:val="nfasis"/>
          <w:rFonts w:ascii="Arial" w:eastAsia="Arial" w:hAnsi="Arial" w:cs="Arial"/>
          <w:color w:val="000000"/>
          <w:sz w:val="19"/>
          <w:szCs w:val="19"/>
        </w:rPr>
        <w:t>Características de las organizaciones de Economía Solidaria. </w:t>
      </w:r>
      <w:r w:rsidRPr="00856A34">
        <w:rPr>
          <w:rFonts w:ascii="Arial" w:hAnsi="Arial" w:cs="Arial"/>
          <w:color w:val="000000"/>
          <w:sz w:val="19"/>
          <w:szCs w:val="19"/>
        </w:rPr>
        <w:t>Son sujetos de la presente ley las personas jurídicas organizadas para realizar actividades sin ánimo de lucro, en las cuales los trabajadores o los usuarios según el caso, son simultáneamente sus aportantes y gestores, creadas con el objeto de producir, distribuir y consumir conjunta y eficientemente, bienes y servicios para satisfacer las necesidades de sus miembros y al desarrollo de obras de servicio a la comunidad en general, observando en su funcionamiento las siguientes características: </w:t>
      </w:r>
    </w:p>
    <w:p w14:paraId="72F8E151" w14:textId="77777777" w:rsidR="008C3318" w:rsidRPr="00856A34" w:rsidRDefault="008C3318" w:rsidP="00856A34">
      <w:pPr>
        <w:pStyle w:val="NormalWeb"/>
        <w:spacing w:before="0" w:beforeAutospacing="0" w:after="0" w:afterAutospacing="0"/>
        <w:jc w:val="both"/>
        <w:rPr>
          <w:rFonts w:ascii="Arial" w:hAnsi="Arial" w:cs="Arial"/>
          <w:color w:val="000000"/>
          <w:sz w:val="19"/>
          <w:szCs w:val="19"/>
        </w:rPr>
      </w:pPr>
      <w:r w:rsidRPr="00856A34">
        <w:rPr>
          <w:rFonts w:ascii="Arial" w:hAnsi="Arial" w:cs="Arial"/>
          <w:color w:val="000000"/>
          <w:sz w:val="19"/>
          <w:szCs w:val="19"/>
        </w:rPr>
        <w:t>  </w:t>
      </w:r>
      <w:r w:rsidRPr="00856A34">
        <w:rPr>
          <w:rFonts w:ascii="Arial" w:hAnsi="Arial" w:cs="Arial"/>
          <w:color w:val="000000"/>
          <w:sz w:val="19"/>
          <w:szCs w:val="19"/>
        </w:rPr>
        <w:tab/>
        <w:t>»1. Estar organizada como empresa que contemple en su objeto social, el ejercicio de una actividad socioeconómica, tendiente a satisfacer necesidades de sus asociados y el desarrollo de obras de servicio comunitario. </w:t>
      </w:r>
    </w:p>
    <w:p w14:paraId="50E8C7C0" w14:textId="77777777" w:rsidR="008C3318" w:rsidRPr="00856A34" w:rsidRDefault="008C3318" w:rsidP="00856A34">
      <w:pPr>
        <w:pStyle w:val="NormalWeb"/>
        <w:spacing w:before="0" w:beforeAutospacing="0" w:after="0" w:afterAutospacing="0"/>
        <w:jc w:val="both"/>
        <w:rPr>
          <w:rFonts w:ascii="Arial" w:hAnsi="Arial" w:cs="Arial"/>
          <w:color w:val="000000"/>
          <w:sz w:val="19"/>
          <w:szCs w:val="19"/>
        </w:rPr>
      </w:pPr>
      <w:r w:rsidRPr="00856A34">
        <w:rPr>
          <w:rFonts w:ascii="Arial" w:hAnsi="Arial" w:cs="Arial"/>
          <w:color w:val="000000"/>
          <w:sz w:val="19"/>
          <w:szCs w:val="19"/>
        </w:rPr>
        <w:t>  </w:t>
      </w:r>
      <w:r w:rsidRPr="00856A34">
        <w:rPr>
          <w:rFonts w:ascii="Arial" w:hAnsi="Arial" w:cs="Arial"/>
          <w:color w:val="000000"/>
          <w:sz w:val="19"/>
          <w:szCs w:val="19"/>
        </w:rPr>
        <w:tab/>
        <w:t>»2. Tener establecido un vínculo asociativo, fundado en los principios y fines contemplados en la presente ley. </w:t>
      </w:r>
    </w:p>
    <w:p w14:paraId="0D43FD2D" w14:textId="77777777" w:rsidR="008C3318" w:rsidRPr="00856A34" w:rsidRDefault="008C3318" w:rsidP="00856A34">
      <w:pPr>
        <w:pStyle w:val="NormalWeb"/>
        <w:spacing w:before="0" w:beforeAutospacing="0" w:after="0" w:afterAutospacing="0"/>
        <w:jc w:val="both"/>
        <w:rPr>
          <w:rFonts w:ascii="Arial" w:hAnsi="Arial" w:cs="Arial"/>
          <w:color w:val="000000"/>
          <w:sz w:val="19"/>
          <w:szCs w:val="19"/>
        </w:rPr>
      </w:pPr>
      <w:r w:rsidRPr="00856A34">
        <w:rPr>
          <w:rFonts w:ascii="Arial" w:hAnsi="Arial" w:cs="Arial"/>
          <w:color w:val="000000"/>
          <w:sz w:val="19"/>
          <w:szCs w:val="19"/>
        </w:rPr>
        <w:t>  </w:t>
      </w:r>
      <w:r w:rsidRPr="00856A34">
        <w:rPr>
          <w:rFonts w:ascii="Arial" w:hAnsi="Arial" w:cs="Arial"/>
          <w:color w:val="000000"/>
          <w:sz w:val="19"/>
          <w:szCs w:val="19"/>
        </w:rPr>
        <w:tab/>
        <w:t>»3. Tener incluido en sus estatutos o reglas básicas de funcionamiento la ausencia de ánimo de lucro, movida por la solidaridad, el servicio social o comunitario. </w:t>
      </w:r>
    </w:p>
    <w:p w14:paraId="04545475" w14:textId="77777777" w:rsidR="008C3318" w:rsidRPr="00856A34" w:rsidRDefault="008C3318" w:rsidP="00856A34">
      <w:pPr>
        <w:pStyle w:val="NormalWeb"/>
        <w:spacing w:before="0" w:beforeAutospacing="0" w:after="0" w:afterAutospacing="0"/>
        <w:jc w:val="both"/>
        <w:rPr>
          <w:rFonts w:ascii="Arial" w:hAnsi="Arial" w:cs="Arial"/>
          <w:color w:val="000000"/>
          <w:sz w:val="19"/>
          <w:szCs w:val="19"/>
        </w:rPr>
      </w:pPr>
      <w:r w:rsidRPr="00856A34">
        <w:rPr>
          <w:rFonts w:ascii="Arial" w:hAnsi="Arial" w:cs="Arial"/>
          <w:color w:val="000000"/>
          <w:sz w:val="19"/>
          <w:szCs w:val="19"/>
        </w:rPr>
        <w:t>  </w:t>
      </w:r>
    </w:p>
    <w:p w14:paraId="3238CD51" w14:textId="77777777" w:rsidR="008C3318" w:rsidRPr="00856A34" w:rsidRDefault="008C3318" w:rsidP="00856A34">
      <w:pPr>
        <w:pStyle w:val="NormalWeb"/>
        <w:spacing w:before="0" w:beforeAutospacing="0" w:after="0" w:afterAutospacing="0"/>
        <w:ind w:firstLine="708"/>
        <w:jc w:val="both"/>
        <w:rPr>
          <w:rFonts w:ascii="Arial" w:hAnsi="Arial" w:cs="Arial"/>
          <w:color w:val="000000"/>
          <w:sz w:val="19"/>
          <w:szCs w:val="19"/>
        </w:rPr>
      </w:pPr>
      <w:r w:rsidRPr="00856A34">
        <w:rPr>
          <w:rFonts w:ascii="Arial" w:hAnsi="Arial" w:cs="Arial"/>
          <w:color w:val="000000"/>
          <w:sz w:val="19"/>
          <w:szCs w:val="19"/>
        </w:rPr>
        <w:t>»4. Garantizar la igualdad de derechos y obligaciones de sus miembros sin consideración a sus aportes. </w:t>
      </w:r>
    </w:p>
    <w:p w14:paraId="48297AD6" w14:textId="77777777" w:rsidR="008C3318" w:rsidRPr="00856A34" w:rsidRDefault="008C3318" w:rsidP="00856A34">
      <w:pPr>
        <w:pStyle w:val="NormalWeb"/>
        <w:spacing w:before="0" w:beforeAutospacing="0" w:after="0" w:afterAutospacing="0"/>
        <w:jc w:val="both"/>
        <w:rPr>
          <w:rFonts w:ascii="Arial" w:hAnsi="Arial" w:cs="Arial"/>
          <w:color w:val="000000"/>
          <w:sz w:val="19"/>
          <w:szCs w:val="19"/>
        </w:rPr>
      </w:pPr>
      <w:r w:rsidRPr="00856A34">
        <w:rPr>
          <w:rFonts w:ascii="Arial" w:hAnsi="Arial" w:cs="Arial"/>
          <w:color w:val="000000"/>
          <w:sz w:val="19"/>
          <w:szCs w:val="19"/>
        </w:rPr>
        <w:t>  </w:t>
      </w:r>
      <w:r w:rsidRPr="00856A34">
        <w:rPr>
          <w:rFonts w:ascii="Arial" w:hAnsi="Arial" w:cs="Arial"/>
          <w:color w:val="000000"/>
          <w:sz w:val="19"/>
          <w:szCs w:val="19"/>
        </w:rPr>
        <w:tab/>
        <w:t>»5. Establecer en sus estatutos un monto mínimo de aportes sociales no reducibles, debidamente pagados, durante su existencia. </w:t>
      </w:r>
    </w:p>
    <w:p w14:paraId="7A5A387C" w14:textId="77777777" w:rsidR="008C3318" w:rsidRPr="00856A34" w:rsidRDefault="008C3318" w:rsidP="00856A34">
      <w:pPr>
        <w:pStyle w:val="NormalWeb"/>
        <w:spacing w:before="0" w:beforeAutospacing="0" w:after="0" w:afterAutospacing="0"/>
        <w:jc w:val="both"/>
        <w:rPr>
          <w:rFonts w:ascii="Arial" w:hAnsi="Arial" w:cs="Arial"/>
          <w:color w:val="000000"/>
          <w:sz w:val="19"/>
          <w:szCs w:val="19"/>
        </w:rPr>
      </w:pPr>
      <w:r w:rsidRPr="00856A34">
        <w:rPr>
          <w:rFonts w:ascii="Arial" w:hAnsi="Arial" w:cs="Arial"/>
          <w:color w:val="000000"/>
          <w:sz w:val="19"/>
          <w:szCs w:val="19"/>
        </w:rPr>
        <w:t>  </w:t>
      </w:r>
      <w:r w:rsidRPr="00856A34">
        <w:rPr>
          <w:rFonts w:ascii="Arial" w:hAnsi="Arial" w:cs="Arial"/>
          <w:color w:val="000000"/>
          <w:sz w:val="19"/>
          <w:szCs w:val="19"/>
        </w:rPr>
        <w:tab/>
        <w:t>»6. Integrarse social y económicamente, sin perjuicio de sus vínculos con otras entidades sin ánimo de lucro que tengan por fin promover el desarrollo integral del ser humano. </w:t>
      </w:r>
    </w:p>
    <w:p w14:paraId="7235D798" w14:textId="77777777" w:rsidR="008C3318" w:rsidRPr="00856A34" w:rsidRDefault="008C3318" w:rsidP="00856A34">
      <w:pPr>
        <w:pStyle w:val="NormalWeb"/>
        <w:spacing w:before="0" w:beforeAutospacing="0" w:after="0" w:afterAutospacing="0"/>
        <w:jc w:val="both"/>
        <w:rPr>
          <w:rFonts w:ascii="Arial" w:hAnsi="Arial" w:cs="Arial"/>
          <w:color w:val="000000"/>
          <w:sz w:val="19"/>
          <w:szCs w:val="19"/>
        </w:rPr>
      </w:pPr>
      <w:r w:rsidRPr="00856A34">
        <w:rPr>
          <w:rFonts w:ascii="Arial" w:hAnsi="Arial" w:cs="Arial"/>
          <w:color w:val="000000"/>
          <w:sz w:val="19"/>
          <w:szCs w:val="19"/>
        </w:rPr>
        <w:t>  </w:t>
      </w:r>
      <w:r w:rsidRPr="00856A34">
        <w:rPr>
          <w:rFonts w:ascii="Arial" w:hAnsi="Arial" w:cs="Arial"/>
          <w:color w:val="000000"/>
          <w:sz w:val="19"/>
          <w:szCs w:val="19"/>
        </w:rPr>
        <w:tab/>
      </w:r>
      <w:proofErr w:type="gramStart"/>
      <w:r w:rsidRPr="00856A34">
        <w:rPr>
          <w:rFonts w:ascii="Arial" w:hAnsi="Arial" w:cs="Arial"/>
          <w:color w:val="000000"/>
          <w:sz w:val="19"/>
          <w:szCs w:val="19"/>
        </w:rPr>
        <w:t>»</w:t>
      </w:r>
      <w:r w:rsidRPr="00F1638D">
        <w:rPr>
          <w:rStyle w:val="Textoennegrita"/>
          <w:rFonts w:ascii="Arial" w:hAnsi="Arial" w:cs="Arial"/>
          <w:b w:val="0"/>
          <w:bCs w:val="0"/>
          <w:color w:val="000000"/>
          <w:sz w:val="19"/>
          <w:szCs w:val="19"/>
        </w:rPr>
        <w:t>Parágrafo</w:t>
      </w:r>
      <w:proofErr w:type="gramEnd"/>
      <w:r w:rsidRPr="00F1638D">
        <w:rPr>
          <w:rStyle w:val="Textoennegrita"/>
          <w:rFonts w:ascii="Arial" w:hAnsi="Arial" w:cs="Arial"/>
          <w:b w:val="0"/>
          <w:bCs w:val="0"/>
          <w:color w:val="000000"/>
          <w:sz w:val="19"/>
          <w:szCs w:val="19"/>
        </w:rPr>
        <w:t xml:space="preserve"> 1°.</w:t>
      </w:r>
      <w:r w:rsidRPr="00856A34">
        <w:rPr>
          <w:rFonts w:ascii="Arial" w:hAnsi="Arial" w:cs="Arial"/>
          <w:color w:val="000000"/>
          <w:sz w:val="19"/>
          <w:szCs w:val="19"/>
        </w:rPr>
        <w:t> En todo caso, las organizaciones de la economía solidaria deberán cumplir con los siguientes principios económicos: </w:t>
      </w:r>
    </w:p>
    <w:p w14:paraId="169CC773" w14:textId="77777777" w:rsidR="008C3318" w:rsidRPr="00856A34" w:rsidRDefault="008C3318" w:rsidP="00856A34">
      <w:pPr>
        <w:pStyle w:val="NormalWeb"/>
        <w:spacing w:before="0" w:beforeAutospacing="0" w:after="0" w:afterAutospacing="0"/>
        <w:jc w:val="both"/>
        <w:rPr>
          <w:rFonts w:ascii="Arial" w:hAnsi="Arial" w:cs="Arial"/>
          <w:color w:val="000000"/>
          <w:sz w:val="19"/>
          <w:szCs w:val="19"/>
        </w:rPr>
      </w:pPr>
      <w:r w:rsidRPr="00856A34">
        <w:rPr>
          <w:rFonts w:ascii="Arial" w:hAnsi="Arial" w:cs="Arial"/>
          <w:color w:val="000000"/>
          <w:sz w:val="19"/>
          <w:szCs w:val="19"/>
        </w:rPr>
        <w:t>  </w:t>
      </w:r>
      <w:r w:rsidRPr="00856A34">
        <w:rPr>
          <w:rFonts w:ascii="Arial" w:hAnsi="Arial" w:cs="Arial"/>
          <w:color w:val="000000"/>
          <w:sz w:val="19"/>
          <w:szCs w:val="19"/>
        </w:rPr>
        <w:tab/>
        <w:t>»1. Establecer la irrepartibilidad de las reservas sociales y, en caso de liquidación, la del remanente patrimonial. </w:t>
      </w:r>
    </w:p>
    <w:p w14:paraId="179C498B" w14:textId="77777777" w:rsidR="008C3318" w:rsidRPr="00856A34" w:rsidRDefault="008C3318" w:rsidP="00856A34">
      <w:pPr>
        <w:pStyle w:val="NormalWeb"/>
        <w:spacing w:before="0" w:beforeAutospacing="0" w:after="0" w:afterAutospacing="0"/>
        <w:jc w:val="both"/>
        <w:rPr>
          <w:rFonts w:ascii="Arial" w:hAnsi="Arial" w:cs="Arial"/>
          <w:color w:val="000000"/>
          <w:sz w:val="19"/>
          <w:szCs w:val="19"/>
        </w:rPr>
      </w:pPr>
      <w:r w:rsidRPr="00856A34">
        <w:rPr>
          <w:rFonts w:ascii="Arial" w:hAnsi="Arial" w:cs="Arial"/>
          <w:color w:val="000000"/>
          <w:sz w:val="19"/>
          <w:szCs w:val="19"/>
        </w:rPr>
        <w:t>  </w:t>
      </w:r>
      <w:r w:rsidRPr="00856A34">
        <w:rPr>
          <w:rFonts w:ascii="Arial" w:hAnsi="Arial" w:cs="Arial"/>
          <w:color w:val="000000"/>
          <w:sz w:val="19"/>
          <w:szCs w:val="19"/>
        </w:rPr>
        <w:tab/>
        <w:t xml:space="preserve">»2. Destinar sus excedentes a la prestación de servicios de carácter social, al crecimiento de sus reservas y fondos, y a reintegrar a sus asociados parte de </w:t>
      </w:r>
      <w:proofErr w:type="gramStart"/>
      <w:r w:rsidRPr="00856A34">
        <w:rPr>
          <w:rFonts w:ascii="Arial" w:hAnsi="Arial" w:cs="Arial"/>
          <w:color w:val="000000"/>
          <w:sz w:val="19"/>
          <w:szCs w:val="19"/>
        </w:rPr>
        <w:t>los mismos</w:t>
      </w:r>
      <w:proofErr w:type="gramEnd"/>
      <w:r w:rsidRPr="00856A34">
        <w:rPr>
          <w:rFonts w:ascii="Arial" w:hAnsi="Arial" w:cs="Arial"/>
          <w:color w:val="000000"/>
          <w:sz w:val="19"/>
          <w:szCs w:val="19"/>
        </w:rPr>
        <w:t xml:space="preserve"> en proporción al uso de los servicios o a la participación en el trabajo de la empresa, sin perjuicio de amortizar los aportes y conservarlos en su valor real. </w:t>
      </w:r>
    </w:p>
    <w:p w14:paraId="61BE06E7" w14:textId="77777777" w:rsidR="008C3318" w:rsidRPr="00856A34" w:rsidRDefault="008C3318" w:rsidP="00856A34">
      <w:pPr>
        <w:pStyle w:val="NormalWeb"/>
        <w:spacing w:before="0" w:beforeAutospacing="0" w:after="0" w:afterAutospacing="0"/>
        <w:jc w:val="both"/>
        <w:rPr>
          <w:rFonts w:ascii="Arial" w:hAnsi="Arial" w:cs="Arial"/>
          <w:sz w:val="19"/>
          <w:szCs w:val="19"/>
        </w:rPr>
      </w:pPr>
      <w:r w:rsidRPr="00856A34">
        <w:rPr>
          <w:rFonts w:ascii="Arial" w:hAnsi="Arial" w:cs="Arial"/>
          <w:color w:val="000000"/>
          <w:sz w:val="19"/>
          <w:szCs w:val="19"/>
        </w:rPr>
        <w:t>  </w:t>
      </w:r>
      <w:r w:rsidRPr="00856A34">
        <w:rPr>
          <w:rFonts w:ascii="Arial" w:hAnsi="Arial" w:cs="Arial"/>
          <w:color w:val="000000"/>
          <w:sz w:val="19"/>
          <w:szCs w:val="19"/>
        </w:rPr>
        <w:tab/>
      </w:r>
      <w:proofErr w:type="gramStart"/>
      <w:r w:rsidRPr="00856A34">
        <w:rPr>
          <w:rFonts w:ascii="Arial" w:hAnsi="Arial" w:cs="Arial"/>
          <w:color w:val="000000"/>
          <w:sz w:val="19"/>
          <w:szCs w:val="19"/>
        </w:rPr>
        <w:t>»</w:t>
      </w:r>
      <w:r w:rsidRPr="00F1638D">
        <w:rPr>
          <w:rStyle w:val="Textoennegrita"/>
          <w:rFonts w:ascii="Arial" w:hAnsi="Arial" w:cs="Arial"/>
          <w:b w:val="0"/>
          <w:bCs w:val="0"/>
          <w:color w:val="000000"/>
          <w:sz w:val="19"/>
          <w:szCs w:val="19"/>
        </w:rPr>
        <w:t>Parágrafo</w:t>
      </w:r>
      <w:proofErr w:type="gramEnd"/>
      <w:r w:rsidRPr="00F1638D">
        <w:rPr>
          <w:rStyle w:val="Textoennegrita"/>
          <w:rFonts w:ascii="Arial" w:hAnsi="Arial" w:cs="Arial"/>
          <w:b w:val="0"/>
          <w:bCs w:val="0"/>
          <w:color w:val="000000"/>
          <w:sz w:val="19"/>
          <w:szCs w:val="19"/>
        </w:rPr>
        <w:t xml:space="preserve"> 2°.</w:t>
      </w:r>
      <w:r w:rsidRPr="00F1638D">
        <w:rPr>
          <w:rFonts w:ascii="Arial" w:hAnsi="Arial" w:cs="Arial"/>
          <w:b/>
          <w:color w:val="000000"/>
          <w:sz w:val="19"/>
          <w:szCs w:val="19"/>
        </w:rPr>
        <w:t> </w:t>
      </w:r>
      <w:r w:rsidRPr="00856A34">
        <w:rPr>
          <w:rFonts w:ascii="Arial" w:hAnsi="Arial" w:cs="Arial"/>
          <w:color w:val="000000"/>
          <w:sz w:val="19"/>
          <w:szCs w:val="19"/>
        </w:rPr>
        <w:t>Tienen el carácter de organizaciones solidarias entre otras: cooperativas, los organismos de segundo y tercer grado que agrupen cooperativas u otras formas asociativas y solidarias de propiedad, las instituciones auxiliares de la Economía solidaria, las empresas comunitarias, las empresas solidarias de salud, las precooperativas, los fondos de empleados, las asociaciones mutualistas, las empresas de servicios en las formas de administraciones públicas cooperativas, las empresas asociativas de trabajo y todas aquellas formas asociativas solidarias que cumplan con las características mencionadas en el presente capítulo». </w:t>
      </w:r>
    </w:p>
  </w:footnote>
  <w:footnote w:id="9">
    <w:p w14:paraId="20FA8A97" w14:textId="77777777" w:rsidR="002A16F4" w:rsidRPr="00F1638D" w:rsidRDefault="002A16F4" w:rsidP="00856A34">
      <w:pPr>
        <w:pStyle w:val="Textonotapie"/>
        <w:ind w:firstLine="708"/>
        <w:jc w:val="both"/>
        <w:rPr>
          <w:rFonts w:ascii="Arial" w:hAnsi="Arial" w:cs="Arial"/>
          <w:sz w:val="19"/>
          <w:szCs w:val="19"/>
        </w:rPr>
      </w:pPr>
    </w:p>
    <w:p w14:paraId="2A4C4503" w14:textId="2D61622B" w:rsidR="002A16F4" w:rsidRPr="00F1638D" w:rsidRDefault="002A16F4" w:rsidP="00856A34">
      <w:pPr>
        <w:pStyle w:val="Textonotapie"/>
        <w:ind w:firstLine="708"/>
        <w:jc w:val="both"/>
        <w:rPr>
          <w:rFonts w:ascii="Arial" w:hAnsi="Arial" w:cs="Arial"/>
          <w:sz w:val="19"/>
          <w:szCs w:val="19"/>
          <w:lang w:val="es-ES"/>
        </w:rPr>
      </w:pPr>
      <w:r w:rsidRPr="00F1638D">
        <w:rPr>
          <w:rStyle w:val="Refdenotaalpie"/>
          <w:rFonts w:ascii="Arial" w:hAnsi="Arial" w:cs="Arial"/>
          <w:sz w:val="19"/>
          <w:szCs w:val="19"/>
        </w:rPr>
        <w:footnoteRef/>
      </w:r>
      <w:r w:rsidRPr="00F1638D">
        <w:rPr>
          <w:rFonts w:ascii="Arial" w:hAnsi="Arial" w:cs="Arial"/>
          <w:sz w:val="19"/>
          <w:szCs w:val="19"/>
        </w:rPr>
        <w:t xml:space="preserve"> </w:t>
      </w:r>
      <w:bookmarkStart w:id="7" w:name="8"/>
      <w:bookmarkEnd w:id="7"/>
      <w:r w:rsidRPr="00856A34">
        <w:rPr>
          <w:rFonts w:ascii="Arial" w:eastAsia="Times New Roman" w:hAnsi="Arial" w:cs="Arial"/>
          <w:color w:val="000000"/>
          <w:sz w:val="19"/>
          <w:szCs w:val="19"/>
          <w:lang w:val="es-CO" w:eastAsia="es-CO"/>
        </w:rPr>
        <w:t xml:space="preserve">Ley 100 de 1993, </w:t>
      </w:r>
      <w:r w:rsidRPr="00856A34">
        <w:rPr>
          <w:rFonts w:ascii="Arial" w:hAnsi="Arial" w:cs="Arial"/>
          <w:sz w:val="19"/>
          <w:szCs w:val="19"/>
        </w:rPr>
        <w:t>«A</w:t>
      </w:r>
      <w:r w:rsidRPr="00856A34">
        <w:rPr>
          <w:rFonts w:ascii="Arial" w:eastAsia="Times New Roman" w:hAnsi="Arial" w:cs="Arial"/>
          <w:color w:val="000000"/>
          <w:sz w:val="19"/>
          <w:szCs w:val="19"/>
          <w:lang w:val="es-CO" w:eastAsia="es-CO"/>
        </w:rPr>
        <w:t>rtículo</w:t>
      </w:r>
      <w:r w:rsidRPr="00856A34">
        <w:rPr>
          <w:rFonts w:ascii="Arial" w:eastAsia="Times New Roman" w:hAnsi="Arial" w:cs="Arial"/>
          <w:b/>
          <w:bCs/>
          <w:color w:val="000000"/>
          <w:sz w:val="19"/>
          <w:szCs w:val="19"/>
          <w:lang w:val="es-CO" w:eastAsia="es-CO"/>
        </w:rPr>
        <w:t> </w:t>
      </w:r>
      <w:r w:rsidRPr="00856A34">
        <w:rPr>
          <w:rFonts w:ascii="Arial" w:eastAsia="Times New Roman" w:hAnsi="Arial" w:cs="Arial"/>
          <w:color w:val="000000"/>
          <w:sz w:val="19"/>
          <w:szCs w:val="19"/>
          <w:lang w:val="es-CO" w:eastAsia="es-CO"/>
        </w:rPr>
        <w:t>8</w:t>
      </w:r>
      <w:r w:rsidRPr="00856A34">
        <w:rPr>
          <w:rFonts w:ascii="Arial" w:eastAsia="Times New Roman" w:hAnsi="Arial" w:cs="Arial"/>
          <w:b/>
          <w:bCs/>
          <w:color w:val="000000"/>
          <w:sz w:val="19"/>
          <w:szCs w:val="19"/>
          <w:lang w:val="es-CO" w:eastAsia="es-CO"/>
        </w:rPr>
        <w:t>.</w:t>
      </w:r>
      <w:r w:rsidRPr="00856A34">
        <w:rPr>
          <w:rFonts w:ascii="Arial" w:eastAsia="Times New Roman" w:hAnsi="Arial" w:cs="Arial"/>
          <w:color w:val="000000"/>
          <w:sz w:val="19"/>
          <w:szCs w:val="19"/>
          <w:lang w:val="es-CO" w:eastAsia="es-CO"/>
        </w:rPr>
        <w:t> Conformación del Sistema de Seguridad Social Integral. El Sistema de Seguridad Social Integral es el conjunto armónico de entidades públicas y privadas, normas y procedimientos y está conformado por los regímenes generales establecidos para pensiones, salud, riesgos profesionales y los servicios sociales complementarios que se definen en la presente</w:t>
      </w:r>
      <w:bookmarkStart w:id="8" w:name="LPHit20"/>
      <w:bookmarkEnd w:id="8"/>
      <w:r w:rsidRPr="00856A34">
        <w:rPr>
          <w:rFonts w:ascii="Arial" w:eastAsia="Times New Roman" w:hAnsi="Arial" w:cs="Arial"/>
          <w:color w:val="000000"/>
          <w:sz w:val="19"/>
          <w:szCs w:val="19"/>
          <w:lang w:val="es-CO" w:eastAsia="es-CO"/>
        </w:rPr>
        <w:t> Ley</w:t>
      </w:r>
      <w:r w:rsidRPr="00856A34">
        <w:rPr>
          <w:rFonts w:ascii="Arial" w:hAnsi="Arial" w:cs="Arial"/>
          <w:color w:val="000000"/>
          <w:sz w:val="19"/>
          <w:szCs w:val="19"/>
        </w:rPr>
        <w:t>»</w:t>
      </w:r>
    </w:p>
  </w:footnote>
  <w:footnote w:id="10">
    <w:p w14:paraId="6EDE8E3B" w14:textId="77777777" w:rsidR="00CA482A" w:rsidRPr="00F1638D" w:rsidRDefault="00CA482A" w:rsidP="00856A34">
      <w:pPr>
        <w:pStyle w:val="Textonotapie"/>
        <w:ind w:firstLine="709"/>
        <w:jc w:val="both"/>
        <w:rPr>
          <w:rFonts w:ascii="Arial" w:hAnsi="Arial" w:cs="Arial"/>
          <w:sz w:val="19"/>
          <w:szCs w:val="19"/>
          <w:lang w:val="es-ES"/>
        </w:rPr>
      </w:pPr>
      <w:r w:rsidRPr="00F1638D">
        <w:rPr>
          <w:rStyle w:val="Refdenotaalpie"/>
          <w:rFonts w:ascii="Arial" w:hAnsi="Arial" w:cs="Arial"/>
          <w:sz w:val="19"/>
          <w:szCs w:val="19"/>
        </w:rPr>
        <w:footnoteRef/>
      </w:r>
      <w:r w:rsidRPr="00F1638D">
        <w:rPr>
          <w:rFonts w:ascii="Arial" w:hAnsi="Arial" w:cs="Arial"/>
          <w:sz w:val="19"/>
          <w:szCs w:val="19"/>
        </w:rPr>
        <w:t xml:space="preserve"> </w:t>
      </w:r>
      <w:r w:rsidRPr="00F1638D">
        <w:rPr>
          <w:rFonts w:ascii="Arial" w:hAnsi="Arial" w:cs="Arial"/>
          <w:sz w:val="19"/>
          <w:szCs w:val="19"/>
          <w:lang w:val="es-ES"/>
        </w:rPr>
        <w:t>BOBBIO, Norberto. Democracia y secreto. México: Fondo de Cultura Económica, 2013. p. 27.</w:t>
      </w:r>
    </w:p>
  </w:footnote>
  <w:footnote w:id="11">
    <w:p w14:paraId="6B03658B" w14:textId="77777777" w:rsidR="00CA482A" w:rsidRPr="00F1638D" w:rsidRDefault="00CA482A" w:rsidP="00856A34">
      <w:pPr>
        <w:pStyle w:val="Textonotapie"/>
        <w:ind w:firstLine="709"/>
        <w:jc w:val="both"/>
        <w:rPr>
          <w:rFonts w:ascii="Arial" w:hAnsi="Arial" w:cs="Arial"/>
          <w:color w:val="000000" w:themeColor="text1"/>
          <w:sz w:val="19"/>
          <w:szCs w:val="19"/>
        </w:rPr>
      </w:pPr>
    </w:p>
    <w:p w14:paraId="7C5B65ED" w14:textId="77777777" w:rsidR="00CA482A" w:rsidRPr="00F1638D" w:rsidRDefault="00CA482A" w:rsidP="00856A34">
      <w:pPr>
        <w:pStyle w:val="Textonotapie"/>
        <w:ind w:firstLine="709"/>
        <w:jc w:val="both"/>
        <w:rPr>
          <w:rFonts w:ascii="Arial" w:hAnsi="Arial" w:cs="Arial"/>
          <w:color w:val="000000" w:themeColor="text1"/>
          <w:sz w:val="19"/>
          <w:szCs w:val="19"/>
        </w:rPr>
      </w:pPr>
      <w:r w:rsidRPr="00F1638D">
        <w:rPr>
          <w:rStyle w:val="Refdenotaalpie"/>
          <w:rFonts w:ascii="Arial" w:hAnsi="Arial" w:cs="Arial"/>
          <w:color w:val="000000" w:themeColor="text1"/>
          <w:sz w:val="19"/>
          <w:szCs w:val="19"/>
        </w:rPr>
        <w:footnoteRef/>
      </w:r>
      <w:r w:rsidRPr="00F1638D">
        <w:rPr>
          <w:rFonts w:ascii="Arial" w:hAnsi="Arial" w:cs="Arial"/>
          <w:color w:val="000000" w:themeColor="text1"/>
          <w:sz w:val="19"/>
          <w:szCs w:val="19"/>
        </w:rPr>
        <w:t xml:space="preserve"> Corte Constitucional. Sentencia C- 341 del 4 de junio de 2014. M. P. Mauricio González Cuervo.</w:t>
      </w:r>
    </w:p>
    <w:p w14:paraId="59622C9B" w14:textId="77777777" w:rsidR="00CA482A" w:rsidRPr="00F1638D" w:rsidRDefault="00CA482A" w:rsidP="00856A34">
      <w:pPr>
        <w:pStyle w:val="Textonotapie"/>
        <w:ind w:firstLine="709"/>
        <w:jc w:val="both"/>
        <w:rPr>
          <w:rFonts w:ascii="Arial" w:hAnsi="Arial" w:cs="Arial"/>
          <w:color w:val="000000" w:themeColor="text1"/>
          <w:sz w:val="19"/>
          <w:szCs w:val="19"/>
        </w:rPr>
      </w:pPr>
    </w:p>
  </w:footnote>
  <w:footnote w:id="12">
    <w:p w14:paraId="26562BB9" w14:textId="77777777" w:rsidR="00CA482A" w:rsidRPr="00F1638D" w:rsidRDefault="00CA482A" w:rsidP="00856A34">
      <w:pPr>
        <w:pStyle w:val="Textonotapie"/>
        <w:ind w:firstLine="709"/>
        <w:jc w:val="both"/>
        <w:rPr>
          <w:rFonts w:ascii="Arial" w:hAnsi="Arial" w:cs="Arial"/>
          <w:color w:val="000000" w:themeColor="text1"/>
          <w:sz w:val="19"/>
          <w:szCs w:val="19"/>
        </w:rPr>
      </w:pPr>
      <w:r w:rsidRPr="00F1638D">
        <w:rPr>
          <w:rStyle w:val="Refdenotaalpie"/>
          <w:rFonts w:ascii="Arial" w:hAnsi="Arial" w:cs="Arial"/>
          <w:color w:val="000000" w:themeColor="text1"/>
          <w:sz w:val="19"/>
          <w:szCs w:val="19"/>
        </w:rPr>
        <w:footnoteRef/>
      </w:r>
      <w:r w:rsidRPr="00F1638D">
        <w:rPr>
          <w:rFonts w:ascii="Arial" w:hAnsi="Arial" w:cs="Arial"/>
          <w:color w:val="000000" w:themeColor="text1"/>
          <w:sz w:val="19"/>
          <w:szCs w:val="19"/>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52D823E2" w14:textId="77777777" w:rsidR="00CA482A" w:rsidRPr="00F1638D" w:rsidRDefault="00CA482A" w:rsidP="00856A34">
      <w:pPr>
        <w:pStyle w:val="Textonotapie"/>
        <w:ind w:firstLine="709"/>
        <w:jc w:val="both"/>
        <w:rPr>
          <w:rFonts w:ascii="Arial" w:hAnsi="Arial" w:cs="Arial"/>
          <w:color w:val="000000" w:themeColor="text1"/>
          <w:sz w:val="19"/>
          <w:szCs w:val="19"/>
        </w:rPr>
      </w:pPr>
      <w:proofErr w:type="gramStart"/>
      <w:r w:rsidRPr="00F1638D">
        <w:rPr>
          <w:rFonts w:ascii="Arial" w:hAnsi="Arial" w:cs="Arial"/>
          <w:color w:val="000000" w:themeColor="text1"/>
          <w:sz w:val="19"/>
          <w:szCs w:val="19"/>
        </w:rPr>
        <w:t>»Lo</w:t>
      </w:r>
      <w:proofErr w:type="gramEnd"/>
      <w:r w:rsidRPr="00F1638D">
        <w:rPr>
          <w:rFonts w:ascii="Arial" w:hAnsi="Arial" w:cs="Arial"/>
          <w:color w:val="000000" w:themeColor="text1"/>
          <w:sz w:val="19"/>
          <w:szCs w:val="19"/>
        </w:rPr>
        <w:t xml:space="preserve"> anterior, sin perjuicio de las publicaciones previstas en el numeral 3 del artículo 30 de la Ley 80 de 1993.</w:t>
      </w:r>
    </w:p>
    <w:p w14:paraId="48E58079" w14:textId="77777777" w:rsidR="00CA482A" w:rsidRPr="00F1638D" w:rsidRDefault="00CA482A" w:rsidP="00856A34">
      <w:pPr>
        <w:pStyle w:val="Textonotapie"/>
        <w:ind w:firstLine="709"/>
        <w:jc w:val="both"/>
        <w:rPr>
          <w:rFonts w:ascii="Arial" w:hAnsi="Arial" w:cs="Arial"/>
          <w:color w:val="000000" w:themeColor="text1"/>
          <w:sz w:val="19"/>
          <w:szCs w:val="19"/>
        </w:rPr>
      </w:pPr>
      <w:proofErr w:type="gramStart"/>
      <w:r w:rsidRPr="00F1638D">
        <w:rPr>
          <w:rFonts w:ascii="Arial" w:hAnsi="Arial" w:cs="Arial"/>
          <w:color w:val="000000" w:themeColor="text1"/>
          <w:sz w:val="19"/>
          <w:szCs w:val="19"/>
        </w:rPr>
        <w:t>»Con</w:t>
      </w:r>
      <w:proofErr w:type="gramEnd"/>
      <w:r w:rsidRPr="00F1638D">
        <w:rPr>
          <w:rFonts w:ascii="Arial" w:hAnsi="Arial" w:cs="Arial"/>
          <w:color w:val="000000" w:themeColor="text1"/>
          <w:sz w:val="19"/>
          <w:szCs w:val="19"/>
        </w:rPr>
        <w:t xml:space="preserve"> el fin de materializar los objetivos a que se refiere el inciso anterior, el Gobierno Nacional desarrollará el Sistema Electrónico para la Contratación Pública, Secop, el cual: </w:t>
      </w:r>
    </w:p>
    <w:p w14:paraId="277E86F6" w14:textId="77777777" w:rsidR="00CA482A" w:rsidRPr="00F1638D" w:rsidRDefault="00CA482A" w:rsidP="00856A34">
      <w:pPr>
        <w:pStyle w:val="Textonotapie"/>
        <w:ind w:firstLine="709"/>
        <w:jc w:val="both"/>
        <w:rPr>
          <w:rFonts w:ascii="Arial" w:hAnsi="Arial" w:cs="Arial"/>
          <w:color w:val="000000" w:themeColor="text1"/>
          <w:sz w:val="19"/>
          <w:szCs w:val="19"/>
        </w:rPr>
      </w:pPr>
      <w:r w:rsidRPr="00F1638D">
        <w:rPr>
          <w:rFonts w:ascii="Arial" w:hAnsi="Arial" w:cs="Arial"/>
          <w:color w:val="000000" w:themeColor="text1"/>
          <w:sz w:val="19"/>
          <w:szCs w:val="19"/>
        </w:rPr>
        <w:t>[…]</w:t>
      </w:r>
    </w:p>
    <w:p w14:paraId="3C0C5F83" w14:textId="77777777" w:rsidR="00CA482A" w:rsidRPr="00F1638D" w:rsidRDefault="00CA482A" w:rsidP="00856A34">
      <w:pPr>
        <w:pStyle w:val="Textonotapie"/>
        <w:ind w:firstLine="709"/>
        <w:jc w:val="both"/>
        <w:rPr>
          <w:rFonts w:ascii="Arial" w:hAnsi="Arial" w:cs="Arial"/>
          <w:color w:val="000000" w:themeColor="text1"/>
          <w:sz w:val="19"/>
          <w:szCs w:val="19"/>
        </w:rPr>
      </w:pPr>
      <w:r w:rsidRPr="00F1638D">
        <w:rPr>
          <w:rFonts w:ascii="Arial" w:hAnsi="Arial" w:cs="Arial"/>
          <w:color w:val="000000" w:themeColor="text1"/>
          <w:sz w:val="19"/>
          <w:szCs w:val="19"/>
        </w:rPr>
        <w:t xml:space="preserve">»c) Contará con la información oficial de la contratación realizada con dineros públicos, para lo cual establecerá los patrones a que haya lugar y se encargará de su difusión a través de canales electrónico». </w:t>
      </w:r>
    </w:p>
    <w:p w14:paraId="41B8FDC1" w14:textId="77777777" w:rsidR="00CA482A" w:rsidRPr="00F1638D" w:rsidRDefault="00CA482A" w:rsidP="00856A34">
      <w:pPr>
        <w:pStyle w:val="Textonotapie"/>
        <w:ind w:firstLine="709"/>
        <w:jc w:val="both"/>
        <w:rPr>
          <w:rFonts w:ascii="Arial" w:hAnsi="Arial" w:cs="Arial"/>
          <w:color w:val="000000" w:themeColor="text1"/>
          <w:sz w:val="19"/>
          <w:szCs w:val="19"/>
          <w:lang w:val="es-CO"/>
        </w:rPr>
      </w:pPr>
    </w:p>
  </w:footnote>
  <w:footnote w:id="13">
    <w:p w14:paraId="70EBB4CB" w14:textId="77777777" w:rsidR="00CA482A" w:rsidRPr="00F1638D" w:rsidRDefault="00CA482A" w:rsidP="00856A34">
      <w:pPr>
        <w:pStyle w:val="Textonotapie"/>
        <w:ind w:firstLine="709"/>
        <w:jc w:val="both"/>
        <w:rPr>
          <w:rFonts w:ascii="Arial" w:hAnsi="Arial" w:cs="Arial"/>
          <w:color w:val="000000" w:themeColor="text1"/>
          <w:sz w:val="19"/>
          <w:szCs w:val="19"/>
        </w:rPr>
      </w:pPr>
      <w:r w:rsidRPr="00F1638D">
        <w:rPr>
          <w:rStyle w:val="Refdenotaalpie"/>
          <w:rFonts w:ascii="Arial" w:hAnsi="Arial" w:cs="Arial"/>
          <w:color w:val="000000" w:themeColor="text1"/>
          <w:sz w:val="19"/>
          <w:szCs w:val="19"/>
        </w:rPr>
        <w:footnoteRef/>
      </w:r>
      <w:r w:rsidRPr="00F1638D">
        <w:rPr>
          <w:rFonts w:ascii="Arial" w:hAnsi="Arial" w:cs="Arial"/>
          <w:color w:val="000000" w:themeColor="text1"/>
          <w:sz w:val="19"/>
          <w:szCs w:val="19"/>
        </w:rPr>
        <w:t xml:space="preserve"> Ley 1712 de 2014: «Artículo 2. Toda información en posesión, bajo control o custodia de un sujeto obligado es pública y no podrá ser reservada o limitada sino por disposición constitucional o legal, de conformidad con la presente ley».</w:t>
      </w:r>
    </w:p>
    <w:p w14:paraId="1D83CE3A" w14:textId="77777777" w:rsidR="00CA482A" w:rsidRPr="00F1638D" w:rsidRDefault="00CA482A" w:rsidP="00856A34">
      <w:pPr>
        <w:pStyle w:val="Textonotapie"/>
        <w:ind w:firstLine="709"/>
        <w:jc w:val="both"/>
        <w:rPr>
          <w:rFonts w:ascii="Arial" w:hAnsi="Arial" w:cs="Arial"/>
          <w:color w:val="000000" w:themeColor="text1"/>
          <w:sz w:val="19"/>
          <w:szCs w:val="19"/>
          <w:lang w:val="es-CO"/>
        </w:rPr>
      </w:pPr>
    </w:p>
  </w:footnote>
  <w:footnote w:id="14">
    <w:p w14:paraId="648B51EC" w14:textId="77777777" w:rsidR="00CA482A" w:rsidRPr="00F1638D" w:rsidRDefault="00CA482A" w:rsidP="00856A34">
      <w:pPr>
        <w:pStyle w:val="Textonotapie"/>
        <w:ind w:firstLine="709"/>
        <w:jc w:val="both"/>
        <w:rPr>
          <w:rFonts w:ascii="Arial" w:hAnsi="Arial" w:cs="Arial"/>
          <w:color w:val="000000" w:themeColor="text1"/>
          <w:sz w:val="19"/>
          <w:szCs w:val="19"/>
        </w:rPr>
      </w:pPr>
      <w:r w:rsidRPr="00F1638D">
        <w:rPr>
          <w:rStyle w:val="Refdenotaalpie"/>
          <w:rFonts w:ascii="Arial" w:hAnsi="Arial" w:cs="Arial"/>
          <w:color w:val="000000" w:themeColor="text1"/>
          <w:sz w:val="19"/>
          <w:szCs w:val="19"/>
        </w:rPr>
        <w:footnoteRef/>
      </w:r>
      <w:r w:rsidRPr="00F1638D">
        <w:rPr>
          <w:rFonts w:ascii="Arial" w:hAnsi="Arial" w:cs="Arial"/>
          <w:color w:val="000000" w:themeColor="text1"/>
          <w:sz w:val="19"/>
          <w:szCs w:val="19"/>
        </w:rPr>
        <w:t xml:space="preserve"> Ley 1712 de 2014: «Artículo 5. Ámbito de aplicación. Las disposiciones de esta ley serán aplicables a las siguientes personas en calidad de sujetos obligados: </w:t>
      </w:r>
    </w:p>
    <w:p w14:paraId="4FD2B62E" w14:textId="77777777" w:rsidR="00CA482A" w:rsidRPr="00F1638D" w:rsidRDefault="00CA482A" w:rsidP="00856A34">
      <w:pPr>
        <w:pStyle w:val="Textonotapie"/>
        <w:ind w:firstLine="709"/>
        <w:jc w:val="both"/>
        <w:rPr>
          <w:rFonts w:ascii="Arial" w:hAnsi="Arial" w:cs="Arial"/>
          <w:color w:val="000000" w:themeColor="text1"/>
          <w:sz w:val="19"/>
          <w:szCs w:val="19"/>
        </w:rPr>
      </w:pPr>
      <w:proofErr w:type="gramStart"/>
      <w:r w:rsidRPr="00F1638D">
        <w:rPr>
          <w:rFonts w:ascii="Arial" w:hAnsi="Arial" w:cs="Arial"/>
          <w:color w:val="000000" w:themeColor="text1"/>
          <w:sz w:val="19"/>
          <w:szCs w:val="19"/>
        </w:rPr>
        <w:t>»a</w:t>
      </w:r>
      <w:proofErr w:type="gramEnd"/>
      <w:r w:rsidRPr="00F1638D">
        <w:rPr>
          <w:rFonts w:ascii="Arial" w:hAnsi="Arial" w:cs="Arial"/>
          <w:color w:val="000000" w:themeColor="text1"/>
          <w:sz w:val="19"/>
          <w:szCs w:val="19"/>
        </w:rPr>
        <w:t>) Toda entidad pública, incluyendo las pertenecientes a todas las Ramas del Poder Público, en todos los niveles de la estructura estatal, central o descentralizada por servicios o territorialmente, en los órdenes nacional, departamental, municipal y distrital».</w:t>
      </w:r>
    </w:p>
    <w:p w14:paraId="61A3EEAE" w14:textId="77777777" w:rsidR="00CA482A" w:rsidRPr="00F1638D" w:rsidRDefault="00CA482A" w:rsidP="00856A34">
      <w:pPr>
        <w:pStyle w:val="Textonotapie"/>
        <w:ind w:firstLine="709"/>
        <w:jc w:val="both"/>
        <w:rPr>
          <w:rFonts w:ascii="Arial" w:hAnsi="Arial" w:cs="Arial"/>
          <w:color w:val="000000" w:themeColor="text1"/>
          <w:sz w:val="19"/>
          <w:szCs w:val="19"/>
          <w:lang w:val="es-CO"/>
        </w:rPr>
      </w:pPr>
    </w:p>
  </w:footnote>
  <w:footnote w:id="15">
    <w:p w14:paraId="69087F98" w14:textId="77777777" w:rsidR="00CA482A" w:rsidRPr="00F1638D" w:rsidRDefault="00CA482A" w:rsidP="00856A34">
      <w:pPr>
        <w:pStyle w:val="Textonotapie"/>
        <w:ind w:firstLine="709"/>
        <w:jc w:val="both"/>
        <w:rPr>
          <w:rFonts w:ascii="Arial" w:hAnsi="Arial" w:cs="Arial"/>
          <w:color w:val="000000" w:themeColor="text1"/>
          <w:sz w:val="19"/>
          <w:szCs w:val="19"/>
        </w:rPr>
      </w:pPr>
      <w:r w:rsidRPr="00F1638D">
        <w:rPr>
          <w:rFonts w:ascii="Arial" w:eastAsia="Times New Roman" w:hAnsi="Arial" w:cs="Arial"/>
          <w:color w:val="000000" w:themeColor="text1"/>
          <w:sz w:val="19"/>
          <w:szCs w:val="19"/>
          <w:vertAlign w:val="superscript"/>
          <w:lang w:val="es-ES" w:eastAsia="es-ES"/>
        </w:rPr>
        <w:footnoteRef/>
      </w:r>
      <w:r w:rsidRPr="00F1638D">
        <w:rPr>
          <w:rFonts w:ascii="Arial" w:eastAsia="Times New Roman" w:hAnsi="Arial" w:cs="Arial"/>
          <w:color w:val="000000" w:themeColor="text1"/>
          <w:sz w:val="19"/>
          <w:szCs w:val="19"/>
          <w:vertAlign w:val="superscript"/>
          <w:lang w:val="es-ES" w:eastAsia="es-ES"/>
        </w:rPr>
        <w:t xml:space="preserve"> </w:t>
      </w:r>
      <w:r w:rsidRPr="00F1638D">
        <w:rPr>
          <w:rFonts w:ascii="Arial" w:eastAsia="Times New Roman" w:hAnsi="Arial" w:cs="Arial"/>
          <w:color w:val="000000" w:themeColor="text1"/>
          <w:sz w:val="19"/>
          <w:szCs w:val="19"/>
          <w:lang w:val="es-ES" w:eastAsia="es-ES"/>
        </w:rPr>
        <w:t>«</w:t>
      </w:r>
      <w:r w:rsidRPr="00F1638D">
        <w:rPr>
          <w:rFonts w:ascii="Arial" w:hAnsi="Arial" w:cs="Arial"/>
          <w:color w:val="000000" w:themeColor="text1"/>
          <w:sz w:val="19"/>
          <w:szCs w:val="19"/>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0613EA20" w14:textId="77777777" w:rsidR="00CA482A" w:rsidRPr="00F1638D" w:rsidRDefault="00CA482A" w:rsidP="00856A34">
      <w:pPr>
        <w:pStyle w:val="Textonotapie"/>
        <w:ind w:firstLine="709"/>
        <w:jc w:val="both"/>
        <w:rPr>
          <w:rFonts w:ascii="Arial" w:eastAsia="Times New Roman" w:hAnsi="Arial" w:cs="Arial"/>
          <w:color w:val="000000" w:themeColor="text1"/>
          <w:sz w:val="19"/>
          <w:szCs w:val="19"/>
          <w:lang w:val="es-ES" w:eastAsia="es-ES"/>
        </w:rPr>
      </w:pPr>
      <w:r w:rsidRPr="00F1638D">
        <w:rPr>
          <w:rFonts w:ascii="Arial" w:hAnsi="Arial" w:cs="Arial"/>
          <w:color w:val="000000" w:themeColor="text1"/>
          <w:sz w:val="19"/>
          <w:szCs w:val="19"/>
        </w:rPr>
        <w:t>[…].</w:t>
      </w:r>
    </w:p>
    <w:p w14:paraId="4509836C" w14:textId="77777777" w:rsidR="00CA482A" w:rsidRPr="00F1638D" w:rsidRDefault="00CA482A" w:rsidP="00856A34">
      <w:pPr>
        <w:pStyle w:val="Textonotapie"/>
        <w:ind w:firstLine="709"/>
        <w:jc w:val="both"/>
        <w:rPr>
          <w:rFonts w:ascii="Arial" w:eastAsia="Times New Roman" w:hAnsi="Arial" w:cs="Arial"/>
          <w:color w:val="000000" w:themeColor="text1"/>
          <w:sz w:val="19"/>
          <w:szCs w:val="19"/>
          <w:lang w:val="es-ES" w:eastAsia="es-ES"/>
        </w:rPr>
      </w:pPr>
      <w:r w:rsidRPr="00F1638D">
        <w:rPr>
          <w:rFonts w:ascii="Arial" w:eastAsia="Times New Roman" w:hAnsi="Arial" w:cs="Arial"/>
          <w:color w:val="000000" w:themeColor="text1"/>
          <w:sz w:val="19"/>
          <w:szCs w:val="19"/>
          <w:lang w:val="es-ES" w:eastAsia="es-ES"/>
        </w:rPr>
        <w:t>«Los sujetos obligados que contratan con recursos públicos y recursos privados, deben publicar la información de su gestión contractual con cargo a recursos públicos en el Sistema Electrónico para la Contratación Pública [SECOP]».</w:t>
      </w:r>
    </w:p>
    <w:p w14:paraId="1903B01C" w14:textId="77777777" w:rsidR="00CA482A" w:rsidRPr="00F1638D" w:rsidRDefault="00CA482A" w:rsidP="00856A34">
      <w:pPr>
        <w:pStyle w:val="Textonotapie"/>
        <w:ind w:firstLine="709"/>
        <w:jc w:val="both"/>
        <w:rPr>
          <w:rFonts w:ascii="Arial" w:eastAsia="Times New Roman" w:hAnsi="Arial" w:cs="Arial"/>
          <w:color w:val="000000" w:themeColor="text1"/>
          <w:sz w:val="19"/>
          <w:szCs w:val="19"/>
          <w:lang w:val="es-ES" w:eastAsia="es-ES"/>
        </w:rPr>
      </w:pPr>
    </w:p>
  </w:footnote>
  <w:footnote w:id="16">
    <w:p w14:paraId="3D87EEE6" w14:textId="77777777" w:rsidR="00CA482A" w:rsidRPr="00F1638D" w:rsidRDefault="00CA482A" w:rsidP="00856A34">
      <w:pPr>
        <w:pStyle w:val="Textonotapie"/>
        <w:ind w:firstLine="709"/>
        <w:jc w:val="both"/>
        <w:rPr>
          <w:rFonts w:ascii="Arial" w:hAnsi="Arial" w:cs="Arial"/>
          <w:color w:val="000000" w:themeColor="text1"/>
          <w:sz w:val="19"/>
          <w:szCs w:val="19"/>
        </w:rPr>
      </w:pPr>
      <w:r w:rsidRPr="00F1638D">
        <w:rPr>
          <w:rStyle w:val="Refdenotaalpie"/>
          <w:rFonts w:ascii="Arial" w:hAnsi="Arial" w:cs="Arial"/>
          <w:color w:val="000000" w:themeColor="text1"/>
          <w:sz w:val="19"/>
          <w:szCs w:val="19"/>
        </w:rPr>
        <w:footnoteRef/>
      </w:r>
      <w:r w:rsidRPr="00F1638D">
        <w:rPr>
          <w:rFonts w:ascii="Arial" w:hAnsi="Arial" w:cs="Arial"/>
          <w:color w:val="000000" w:themeColor="text1"/>
          <w:sz w:val="19"/>
          <w:szCs w:val="19"/>
        </w:rPr>
        <w:t xml:space="preserve"> C</w:t>
      </w:r>
      <w:r w:rsidRPr="00F1638D">
        <w:rPr>
          <w:rFonts w:ascii="Arial" w:eastAsia="Times New Roman" w:hAnsi="Arial" w:cs="Arial"/>
          <w:color w:val="000000" w:themeColor="text1"/>
          <w:sz w:val="19"/>
          <w:szCs w:val="19"/>
          <w:lang w:val="es-ES" w:eastAsia="es-ES"/>
        </w:rPr>
        <w:t xml:space="preserve">orte Constitucional. Sentencia C‒274 de 9 de mayo de 2013. M.P. María Victoria Calle Correa. </w:t>
      </w:r>
    </w:p>
    <w:p w14:paraId="22E4C765" w14:textId="77777777" w:rsidR="00CA482A" w:rsidRPr="00F1638D" w:rsidRDefault="00CA482A" w:rsidP="00856A34">
      <w:pPr>
        <w:pStyle w:val="Textonotapie"/>
        <w:ind w:firstLine="709"/>
        <w:jc w:val="both"/>
        <w:rPr>
          <w:rFonts w:ascii="Arial" w:hAnsi="Arial" w:cs="Arial"/>
          <w:color w:val="000000" w:themeColor="text1"/>
          <w:sz w:val="19"/>
          <w:szCs w:val="19"/>
          <w:lang w:val="es-CO"/>
        </w:rPr>
      </w:pPr>
    </w:p>
  </w:footnote>
  <w:footnote w:id="17">
    <w:p w14:paraId="3DC23F5D" w14:textId="77777777" w:rsidR="00CA482A" w:rsidRPr="00F1638D" w:rsidRDefault="00CA482A" w:rsidP="00856A34">
      <w:pPr>
        <w:pStyle w:val="Textonotapie"/>
        <w:ind w:firstLine="709"/>
        <w:jc w:val="both"/>
        <w:rPr>
          <w:rFonts w:ascii="Arial" w:hAnsi="Arial" w:cs="Arial"/>
          <w:color w:val="000000" w:themeColor="text1"/>
          <w:sz w:val="19"/>
          <w:szCs w:val="19"/>
        </w:rPr>
      </w:pPr>
      <w:r w:rsidRPr="00F1638D">
        <w:rPr>
          <w:rStyle w:val="Refdenotaalpie"/>
          <w:rFonts w:ascii="Arial" w:hAnsi="Arial" w:cs="Arial"/>
          <w:color w:val="000000" w:themeColor="text1"/>
          <w:sz w:val="19"/>
          <w:szCs w:val="19"/>
        </w:rPr>
        <w:footnoteRef/>
      </w:r>
      <w:r w:rsidRPr="00F1638D">
        <w:rPr>
          <w:rFonts w:ascii="Arial" w:hAnsi="Arial" w:cs="Arial"/>
          <w:color w:val="000000" w:themeColor="text1"/>
          <w:sz w:val="19"/>
          <w:szCs w:val="19"/>
        </w:rPr>
        <w:t xml:space="preserve"> «Numeral 1.1 […] Las Entidades que contratan con cargo a recursos públicos están obligadas a publicar oportunamente su actividad contractual en el SECOP, sin que sea relevante para la exigencia de esta obligación su régimen jurídico, naturaleza de público o privado o la pertenencia a una u otra rama del poder público».</w:t>
      </w:r>
    </w:p>
    <w:p w14:paraId="6005AC2C" w14:textId="77777777" w:rsidR="00CA482A" w:rsidRPr="00F1638D" w:rsidRDefault="00CA482A" w:rsidP="00856A34">
      <w:pPr>
        <w:pStyle w:val="Textonotapie"/>
        <w:ind w:firstLine="709"/>
        <w:jc w:val="both"/>
        <w:rPr>
          <w:rFonts w:ascii="Arial" w:hAnsi="Arial" w:cs="Arial"/>
          <w:color w:val="000000" w:themeColor="text1"/>
          <w:sz w:val="19"/>
          <w:szCs w:val="19"/>
          <w:lang w:val="es-CO"/>
        </w:rPr>
      </w:pPr>
    </w:p>
  </w:footnote>
  <w:footnote w:id="18">
    <w:p w14:paraId="54AB0892" w14:textId="77777777" w:rsidR="00CA482A" w:rsidRPr="00F1638D" w:rsidRDefault="00CA482A" w:rsidP="00856A34">
      <w:pPr>
        <w:pStyle w:val="Textonotapie"/>
        <w:ind w:firstLine="709"/>
        <w:jc w:val="both"/>
        <w:rPr>
          <w:rFonts w:ascii="Arial" w:hAnsi="Arial" w:cs="Arial"/>
          <w:sz w:val="19"/>
          <w:szCs w:val="19"/>
          <w:lang w:val="es-ES"/>
        </w:rPr>
      </w:pPr>
      <w:r w:rsidRPr="00F1638D">
        <w:rPr>
          <w:rStyle w:val="Refdenotaalpie"/>
          <w:rFonts w:ascii="Arial" w:hAnsi="Arial" w:cs="Arial"/>
          <w:sz w:val="19"/>
          <w:szCs w:val="19"/>
        </w:rPr>
        <w:footnoteRef/>
      </w:r>
      <w:r w:rsidRPr="00F1638D">
        <w:rPr>
          <w:rFonts w:ascii="Arial" w:hAnsi="Arial" w:cs="Arial"/>
          <w:sz w:val="19"/>
          <w:szCs w:val="19"/>
        </w:rPr>
        <w:t xml:space="preserve"> </w:t>
      </w:r>
      <w:r w:rsidRPr="00F1638D">
        <w:rPr>
          <w:rFonts w:ascii="Arial" w:hAnsi="Arial" w:cs="Arial"/>
          <w:color w:val="000000" w:themeColor="text1"/>
          <w:sz w:val="19"/>
          <w:szCs w:val="19"/>
          <w:lang w:val="es-ES"/>
        </w:rPr>
        <w:t>Consejero Ponente: Jaime Orlando Santofimio Gamboa.</w:t>
      </w:r>
    </w:p>
  </w:footnote>
  <w:footnote w:id="19">
    <w:p w14:paraId="4074BB28" w14:textId="77777777" w:rsidR="00CA482A" w:rsidRPr="00F1638D" w:rsidRDefault="00CA482A" w:rsidP="00856A34">
      <w:pPr>
        <w:pStyle w:val="Textonotapie"/>
        <w:ind w:firstLine="709"/>
        <w:jc w:val="both"/>
        <w:rPr>
          <w:rFonts w:ascii="Arial" w:hAnsi="Arial" w:cs="Arial"/>
          <w:color w:val="000000" w:themeColor="text1"/>
          <w:sz w:val="19"/>
          <w:szCs w:val="19"/>
        </w:rPr>
      </w:pPr>
    </w:p>
    <w:p w14:paraId="593CB982" w14:textId="77777777" w:rsidR="00CA482A" w:rsidRPr="00F1638D" w:rsidRDefault="00CA482A" w:rsidP="00856A34">
      <w:pPr>
        <w:pStyle w:val="Textonotapie"/>
        <w:ind w:firstLine="709"/>
        <w:jc w:val="both"/>
        <w:rPr>
          <w:rFonts w:ascii="Arial" w:hAnsi="Arial" w:cs="Arial"/>
          <w:color w:val="000000" w:themeColor="text1"/>
          <w:sz w:val="19"/>
          <w:szCs w:val="19"/>
        </w:rPr>
      </w:pPr>
      <w:r w:rsidRPr="00F1638D">
        <w:rPr>
          <w:rStyle w:val="Refdenotaalpie"/>
          <w:rFonts w:ascii="Arial" w:hAnsi="Arial" w:cs="Arial"/>
          <w:color w:val="000000" w:themeColor="text1"/>
          <w:sz w:val="19"/>
          <w:szCs w:val="19"/>
        </w:rPr>
        <w:footnoteRef/>
      </w:r>
      <w:r w:rsidRPr="00F1638D">
        <w:rPr>
          <w:rFonts w:ascii="Arial" w:hAnsi="Arial" w:cs="Arial"/>
          <w:color w:val="000000" w:themeColor="text1"/>
          <w:sz w:val="19"/>
          <w:szCs w:val="19"/>
        </w:rPr>
        <w:t xml:space="preserve"> Consejo de Estado. Sección Tercera. Subsección C. Auto del 14 de agosto de 2017. Exp. 58.820. C.P. Jaime Orlando Santofimio Gamboa. </w:t>
      </w:r>
    </w:p>
    <w:p w14:paraId="09A5911D" w14:textId="77777777" w:rsidR="00CA482A" w:rsidRPr="00F1638D" w:rsidRDefault="00CA482A" w:rsidP="00856A34">
      <w:pPr>
        <w:pStyle w:val="Textonotapie"/>
        <w:ind w:firstLine="709"/>
        <w:jc w:val="both"/>
        <w:rPr>
          <w:rFonts w:ascii="Arial" w:hAnsi="Arial" w:cs="Arial"/>
          <w:color w:val="000000" w:themeColor="text1"/>
          <w:sz w:val="19"/>
          <w:szCs w:val="19"/>
          <w:lang w:val="es-CO"/>
        </w:rPr>
      </w:pPr>
    </w:p>
  </w:footnote>
  <w:footnote w:id="20">
    <w:p w14:paraId="2FBCB3B1" w14:textId="77777777" w:rsidR="00CA482A" w:rsidRPr="00F1638D" w:rsidRDefault="00CA482A" w:rsidP="00856A34">
      <w:pPr>
        <w:pStyle w:val="Textonotapie"/>
        <w:ind w:firstLine="709"/>
        <w:jc w:val="both"/>
        <w:rPr>
          <w:rFonts w:ascii="Arial" w:hAnsi="Arial" w:cs="Arial"/>
          <w:sz w:val="19"/>
          <w:szCs w:val="19"/>
        </w:rPr>
      </w:pPr>
      <w:r w:rsidRPr="00F1638D">
        <w:rPr>
          <w:rStyle w:val="Refdenotaalpie"/>
          <w:rFonts w:ascii="Arial" w:hAnsi="Arial" w:cs="Arial"/>
          <w:sz w:val="19"/>
          <w:szCs w:val="19"/>
        </w:rPr>
        <w:footnoteRef/>
      </w:r>
      <w:r w:rsidRPr="00F1638D">
        <w:rPr>
          <w:rFonts w:ascii="Arial" w:hAnsi="Arial" w:cs="Arial"/>
          <w:sz w:val="19"/>
          <w:szCs w:val="19"/>
        </w:rPr>
        <w:t xml:space="preserve"> Ibíd. </w:t>
      </w:r>
    </w:p>
  </w:footnote>
  <w:footnote w:id="21">
    <w:p w14:paraId="2B1584B3" w14:textId="634C369F" w:rsidR="00EE708F" w:rsidRPr="00F1638D" w:rsidRDefault="00EE708F" w:rsidP="00F1638D">
      <w:pPr>
        <w:pStyle w:val="Textonotapie"/>
        <w:ind w:firstLine="708"/>
        <w:jc w:val="both"/>
        <w:rPr>
          <w:rFonts w:ascii="Arial" w:hAnsi="Arial" w:cs="Arial"/>
          <w:sz w:val="19"/>
          <w:szCs w:val="19"/>
          <w:lang w:val="es-CO"/>
        </w:rPr>
      </w:pPr>
      <w:r>
        <w:rPr>
          <w:rStyle w:val="Refdenotaalpie"/>
        </w:rPr>
        <w:footnoteRef/>
      </w:r>
      <w:r>
        <w:t xml:space="preserve"> </w:t>
      </w:r>
      <w:r w:rsidRPr="00F1638D">
        <w:rPr>
          <w:rFonts w:ascii="Arial" w:hAnsi="Arial" w:cs="Arial"/>
          <w:sz w:val="19"/>
          <w:szCs w:val="19"/>
        </w:rPr>
        <w:t xml:space="preserve">En relación con este aspecto, también resulta relevante la Circular Externa 002 del 17 de marzo de 2022, de la Agencia Nacional de Contratación Pública – Colombia Compra Eficiente, disponible en: </w:t>
      </w:r>
      <w:hyperlink r:id="rId1" w:history="1">
        <w:r w:rsidRPr="00F1638D">
          <w:rPr>
            <w:rStyle w:val="Hipervnculo"/>
            <w:rFonts w:ascii="Arial" w:hAnsi="Arial" w:cs="Arial"/>
            <w:sz w:val="19"/>
            <w:szCs w:val="19"/>
          </w:rPr>
          <w:t>https://www.colombiacompra.gov.co/circulares</w:t>
        </w:r>
      </w:hyperlink>
      <w:r w:rsidRPr="00F1638D">
        <w:rPr>
          <w:rFonts w:ascii="Arial" w:hAnsi="Arial" w:cs="Arial"/>
          <w:sz w:val="19"/>
          <w:szCs w:val="19"/>
        </w:rPr>
        <w:t xml:space="preserve">. </w:t>
      </w:r>
    </w:p>
  </w:footnote>
  <w:footnote w:id="22">
    <w:p w14:paraId="754662F1" w14:textId="77777777" w:rsidR="00CA482A" w:rsidRPr="00F1638D" w:rsidRDefault="00CA482A" w:rsidP="00EE708F">
      <w:pPr>
        <w:pStyle w:val="Textonotapie"/>
        <w:ind w:firstLine="709"/>
        <w:jc w:val="both"/>
        <w:rPr>
          <w:rFonts w:ascii="Arial" w:hAnsi="Arial" w:cs="Arial"/>
          <w:sz w:val="19"/>
          <w:szCs w:val="19"/>
        </w:rPr>
      </w:pPr>
    </w:p>
    <w:p w14:paraId="284EA8FE" w14:textId="77777777" w:rsidR="00CA482A" w:rsidRPr="00F1638D" w:rsidRDefault="00CA482A" w:rsidP="00856A34">
      <w:pPr>
        <w:pStyle w:val="Textonotapie"/>
        <w:ind w:firstLine="709"/>
        <w:jc w:val="both"/>
        <w:rPr>
          <w:rFonts w:ascii="Arial" w:hAnsi="Arial" w:cs="Arial"/>
          <w:sz w:val="19"/>
          <w:szCs w:val="19"/>
        </w:rPr>
      </w:pPr>
      <w:r w:rsidRPr="00F1638D">
        <w:rPr>
          <w:rStyle w:val="Refdenotaalpie"/>
          <w:rFonts w:ascii="Arial" w:hAnsi="Arial" w:cs="Arial"/>
          <w:sz w:val="19"/>
          <w:szCs w:val="19"/>
        </w:rPr>
        <w:footnoteRef/>
      </w:r>
      <w:r w:rsidRPr="00F1638D">
        <w:rPr>
          <w:rFonts w:ascii="Arial" w:hAnsi="Arial" w:cs="Arial"/>
          <w:sz w:val="19"/>
          <w:szCs w:val="19"/>
        </w:rPr>
        <w:t xml:space="preserve"> Consejo de Estado. Sección Tercera. Subsección B. Auto del 25 de febrero de 2021. Consejero Ponente: Martín Bermúdez Muñoz. Expedientes acumulados: 56.151, 56.160, 56.162, 56.163 y 58.711.</w:t>
      </w:r>
    </w:p>
    <w:p w14:paraId="6CB5F269" w14:textId="77777777" w:rsidR="00CA482A" w:rsidRPr="00F1638D" w:rsidRDefault="00CA482A" w:rsidP="00856A34">
      <w:pPr>
        <w:pStyle w:val="Textonotapie"/>
        <w:ind w:firstLine="709"/>
        <w:jc w:val="both"/>
        <w:rPr>
          <w:rFonts w:ascii="Arial" w:hAnsi="Arial" w:cs="Arial"/>
          <w:sz w:val="19"/>
          <w:szCs w:val="19"/>
          <w:lang w:val="es-ES_tradnl"/>
        </w:rPr>
      </w:pPr>
    </w:p>
  </w:footnote>
  <w:footnote w:id="23">
    <w:p w14:paraId="1B2193B1" w14:textId="77777777" w:rsidR="00CA482A" w:rsidRPr="00F1638D" w:rsidRDefault="00CA482A" w:rsidP="00856A34">
      <w:pPr>
        <w:pStyle w:val="Textonotapie"/>
        <w:ind w:firstLine="709"/>
        <w:jc w:val="both"/>
        <w:rPr>
          <w:rFonts w:ascii="Arial" w:hAnsi="Arial" w:cs="Arial"/>
          <w:sz w:val="19"/>
          <w:szCs w:val="19"/>
        </w:rPr>
      </w:pPr>
      <w:r w:rsidRPr="00F1638D">
        <w:rPr>
          <w:rStyle w:val="Refdenotaalpie"/>
          <w:rFonts w:ascii="Arial" w:hAnsi="Arial" w:cs="Arial"/>
          <w:sz w:val="19"/>
          <w:szCs w:val="19"/>
        </w:rPr>
        <w:footnoteRef/>
      </w:r>
      <w:r w:rsidRPr="00F1638D">
        <w:rPr>
          <w:rFonts w:ascii="Arial" w:hAnsi="Arial" w:cs="Arial"/>
          <w:sz w:val="19"/>
          <w:szCs w:val="19"/>
        </w:rPr>
        <w:t xml:space="preserve"> Esta norma establece: «La jurisdicción de lo contencioso administrativo podrá suspender provisionalmente, por los motivos y con los requisitos que establezca la ley, los efectos de los actos administrativos que sean susceptibles de impugnación por vía judicial».</w:t>
      </w:r>
    </w:p>
    <w:p w14:paraId="722BB65A" w14:textId="77777777" w:rsidR="00CA482A" w:rsidRPr="00F1638D" w:rsidRDefault="00CA482A" w:rsidP="00856A34">
      <w:pPr>
        <w:pStyle w:val="Textonotapie"/>
        <w:ind w:firstLine="709"/>
        <w:jc w:val="both"/>
        <w:rPr>
          <w:rFonts w:ascii="Arial" w:hAnsi="Arial" w:cs="Arial"/>
          <w:sz w:val="19"/>
          <w:szCs w:val="19"/>
          <w:lang w:val="es-CO"/>
        </w:rPr>
      </w:pPr>
    </w:p>
  </w:footnote>
  <w:footnote w:id="24">
    <w:p w14:paraId="11FF9EB9" w14:textId="77777777" w:rsidR="00CA482A" w:rsidRPr="00F1638D" w:rsidRDefault="00CA482A" w:rsidP="00856A34">
      <w:pPr>
        <w:ind w:firstLine="709"/>
        <w:jc w:val="both"/>
        <w:rPr>
          <w:rFonts w:ascii="Arial" w:eastAsiaTheme="minorHAnsi" w:hAnsi="Arial" w:cs="Arial"/>
          <w:sz w:val="19"/>
          <w:szCs w:val="19"/>
          <w:lang w:val="es-MX" w:eastAsia="en-US"/>
        </w:rPr>
      </w:pPr>
      <w:r w:rsidRPr="00F1638D">
        <w:rPr>
          <w:rStyle w:val="Refdenotaalpie"/>
          <w:rFonts w:ascii="Arial" w:hAnsi="Arial" w:cs="Arial"/>
          <w:sz w:val="19"/>
          <w:szCs w:val="19"/>
        </w:rPr>
        <w:footnoteRef/>
      </w:r>
      <w:r w:rsidRPr="00F1638D">
        <w:rPr>
          <w:rFonts w:ascii="Arial" w:hAnsi="Arial" w:cs="Arial"/>
          <w:sz w:val="19"/>
          <w:szCs w:val="19"/>
        </w:rPr>
        <w:t xml:space="preserve"> Este enunciado normativo dispone que «</w:t>
      </w:r>
      <w:r w:rsidRPr="00F1638D">
        <w:rPr>
          <w:rFonts w:ascii="Arial" w:eastAsiaTheme="minorHAnsi" w:hAnsi="Arial" w:cs="Arial"/>
          <w:sz w:val="19"/>
          <w:szCs w:val="19"/>
          <w:lang w:val="es-MX" w:eastAsia="en-US"/>
        </w:rPr>
        <w:t>Las medidas cautelares podrán ser preventivas, conservativas, anticipativas o de suspensión, y deberán tener relación directa y necesaria con las pretensiones de la demanda. Para el efecto, el Juez o Magistrado Ponente podrá decretar una o varias de las siguientes medidas:</w:t>
      </w:r>
    </w:p>
    <w:p w14:paraId="1678D4C9" w14:textId="77777777" w:rsidR="00CA482A" w:rsidRPr="00F1638D" w:rsidRDefault="00CA482A" w:rsidP="00856A34">
      <w:pPr>
        <w:ind w:firstLine="709"/>
        <w:jc w:val="both"/>
        <w:rPr>
          <w:rFonts w:ascii="Arial" w:eastAsiaTheme="minorHAnsi" w:hAnsi="Arial" w:cs="Arial"/>
          <w:sz w:val="19"/>
          <w:szCs w:val="19"/>
          <w:lang w:val="es-MX" w:eastAsia="en-US"/>
        </w:rPr>
      </w:pPr>
      <w:r w:rsidRPr="00F1638D">
        <w:rPr>
          <w:rFonts w:ascii="Arial" w:eastAsiaTheme="minorHAnsi" w:hAnsi="Arial" w:cs="Arial"/>
          <w:sz w:val="19"/>
          <w:szCs w:val="19"/>
          <w:lang w:val="es-MX" w:eastAsia="en-US"/>
        </w:rPr>
        <w:t>»[…]</w:t>
      </w:r>
    </w:p>
    <w:p w14:paraId="3487D1A0" w14:textId="77777777" w:rsidR="00CA482A" w:rsidRPr="00F1638D" w:rsidRDefault="00CA482A" w:rsidP="00856A34">
      <w:pPr>
        <w:shd w:val="clear" w:color="auto" w:fill="FFFFFF"/>
        <w:ind w:firstLine="709"/>
        <w:jc w:val="both"/>
        <w:rPr>
          <w:rFonts w:ascii="Arial" w:hAnsi="Arial" w:cs="Arial"/>
          <w:color w:val="333333"/>
          <w:sz w:val="19"/>
          <w:szCs w:val="19"/>
        </w:rPr>
      </w:pPr>
      <w:r w:rsidRPr="00F1638D">
        <w:rPr>
          <w:rFonts w:ascii="Arial" w:hAnsi="Arial" w:cs="Arial"/>
          <w:color w:val="333333"/>
          <w:sz w:val="19"/>
          <w:szCs w:val="19"/>
        </w:rPr>
        <w:t>»3. Suspender provisionalmente los efectos de un acto administrativo.</w:t>
      </w:r>
    </w:p>
    <w:p w14:paraId="5981C037" w14:textId="77777777" w:rsidR="00CA482A" w:rsidRPr="00F1638D" w:rsidRDefault="00CA482A" w:rsidP="00856A34">
      <w:pPr>
        <w:shd w:val="clear" w:color="auto" w:fill="FFFFFF"/>
        <w:ind w:firstLine="709"/>
        <w:jc w:val="both"/>
        <w:rPr>
          <w:rFonts w:ascii="Arial" w:hAnsi="Arial" w:cs="Arial"/>
          <w:color w:val="333333"/>
          <w:sz w:val="19"/>
          <w:szCs w:val="19"/>
        </w:rPr>
      </w:pPr>
      <w:r w:rsidRPr="00F1638D">
        <w:rPr>
          <w:rFonts w:ascii="Arial" w:hAnsi="Arial" w:cs="Arial"/>
          <w:color w:val="333333"/>
          <w:sz w:val="19"/>
          <w:szCs w:val="19"/>
        </w:rPr>
        <w:t>»[…]».</w:t>
      </w:r>
    </w:p>
    <w:p w14:paraId="61B7D6B2" w14:textId="77777777" w:rsidR="00CA482A" w:rsidRPr="00F1638D" w:rsidRDefault="00CA482A" w:rsidP="00856A34">
      <w:pPr>
        <w:pStyle w:val="Textonotapie"/>
        <w:ind w:firstLine="709"/>
        <w:jc w:val="both"/>
        <w:rPr>
          <w:rFonts w:ascii="Arial" w:hAnsi="Arial" w:cs="Arial"/>
          <w:sz w:val="19"/>
          <w:szCs w:val="19"/>
          <w:lang w:val="es-CO"/>
        </w:rPr>
      </w:pPr>
    </w:p>
  </w:footnote>
  <w:footnote w:id="25">
    <w:p w14:paraId="64B446E6" w14:textId="77777777" w:rsidR="00CA482A" w:rsidRPr="00F1638D" w:rsidRDefault="00CA482A" w:rsidP="00856A34">
      <w:pPr>
        <w:pStyle w:val="Textonotapie"/>
        <w:ind w:firstLine="709"/>
        <w:jc w:val="both"/>
        <w:rPr>
          <w:rFonts w:ascii="Arial" w:hAnsi="Arial" w:cs="Arial"/>
          <w:sz w:val="19"/>
          <w:szCs w:val="19"/>
        </w:rPr>
      </w:pPr>
      <w:r w:rsidRPr="00F1638D">
        <w:rPr>
          <w:rStyle w:val="Refdenotaalpie"/>
          <w:rFonts w:ascii="Arial" w:hAnsi="Arial" w:cs="Arial"/>
          <w:sz w:val="19"/>
          <w:szCs w:val="19"/>
        </w:rPr>
        <w:footnoteRef/>
      </w:r>
      <w:r w:rsidRPr="00F1638D">
        <w:rPr>
          <w:rFonts w:ascii="Arial" w:hAnsi="Arial" w:cs="Arial"/>
          <w:sz w:val="19"/>
          <w:szCs w:val="19"/>
        </w:rPr>
        <w:t xml:space="preserve"> En efecto, el artículo 91 de la Ley 1437 de 2011 dice que «Salvo norma expresa en contrario, los actos administrativos en firme serán obligatorios mientras no hayan sido anulados por la Jurisdicción de lo Contencioso Administrativo. Perderán obligatoriedad y, por lo tanto, no podrán ser ejecutados en los siguientes casos:</w:t>
      </w:r>
    </w:p>
    <w:p w14:paraId="7310D665" w14:textId="77777777" w:rsidR="00CA482A" w:rsidRPr="00F1638D" w:rsidRDefault="00CA482A" w:rsidP="00856A34">
      <w:pPr>
        <w:pStyle w:val="Textonotapie"/>
        <w:ind w:firstLine="709"/>
        <w:jc w:val="both"/>
        <w:rPr>
          <w:rFonts w:ascii="Arial" w:hAnsi="Arial" w:cs="Arial"/>
          <w:sz w:val="19"/>
          <w:szCs w:val="19"/>
        </w:rPr>
      </w:pPr>
      <w:r w:rsidRPr="00F1638D">
        <w:rPr>
          <w:rFonts w:ascii="Arial" w:hAnsi="Arial" w:cs="Arial"/>
          <w:sz w:val="19"/>
          <w:szCs w:val="19"/>
        </w:rPr>
        <w:t>1. Cuando sean suspendidos provisionalmente sus efectos por la Jurisdicción de lo Contencioso Administrativo.</w:t>
      </w:r>
    </w:p>
    <w:p w14:paraId="67FDCFA8" w14:textId="77777777" w:rsidR="00CA482A" w:rsidRPr="00F1638D" w:rsidRDefault="00CA482A" w:rsidP="00856A34">
      <w:pPr>
        <w:pStyle w:val="Textonotapie"/>
        <w:ind w:firstLine="709"/>
        <w:jc w:val="both"/>
        <w:rPr>
          <w:rFonts w:ascii="Arial" w:hAnsi="Arial" w:cs="Arial"/>
          <w:sz w:val="19"/>
          <w:szCs w:val="19"/>
        </w:rPr>
      </w:pPr>
      <w:r w:rsidRPr="00F1638D">
        <w:rPr>
          <w:rFonts w:ascii="Arial" w:hAnsi="Arial" w:cs="Arial"/>
          <w:sz w:val="19"/>
          <w:szCs w:val="19"/>
        </w:rPr>
        <w:t xml:space="preserve">[…]». </w:t>
      </w:r>
    </w:p>
  </w:footnote>
  <w:footnote w:id="26">
    <w:p w14:paraId="0F1460B0" w14:textId="77777777" w:rsidR="00CA482A" w:rsidRPr="00F1638D" w:rsidRDefault="00CA482A" w:rsidP="00856A34">
      <w:pPr>
        <w:pStyle w:val="Textonotapie"/>
        <w:ind w:firstLine="709"/>
        <w:jc w:val="both"/>
        <w:rPr>
          <w:rFonts w:ascii="Arial" w:hAnsi="Arial" w:cs="Arial"/>
          <w:sz w:val="19"/>
          <w:szCs w:val="19"/>
        </w:rPr>
      </w:pPr>
    </w:p>
    <w:p w14:paraId="1BCDEEB2" w14:textId="77777777" w:rsidR="00CA482A" w:rsidRPr="00F1638D" w:rsidRDefault="00CA482A" w:rsidP="00856A34">
      <w:pPr>
        <w:pStyle w:val="Textonotapie"/>
        <w:ind w:firstLine="709"/>
        <w:jc w:val="both"/>
        <w:rPr>
          <w:rFonts w:ascii="Arial" w:hAnsi="Arial" w:cs="Arial"/>
          <w:sz w:val="19"/>
          <w:szCs w:val="19"/>
        </w:rPr>
      </w:pPr>
      <w:r w:rsidRPr="00F1638D">
        <w:rPr>
          <w:rStyle w:val="Refdenotaalpie"/>
          <w:rFonts w:ascii="Arial" w:hAnsi="Arial" w:cs="Arial"/>
          <w:sz w:val="19"/>
          <w:szCs w:val="19"/>
        </w:rPr>
        <w:footnoteRef/>
      </w:r>
      <w:r w:rsidRPr="00F1638D">
        <w:rPr>
          <w:rFonts w:ascii="Arial" w:hAnsi="Arial" w:cs="Arial"/>
          <w:sz w:val="19"/>
          <w:szCs w:val="19"/>
        </w:rPr>
        <w:t>En sitio web:</w:t>
      </w:r>
    </w:p>
    <w:p w14:paraId="464AE354" w14:textId="77777777" w:rsidR="00CA482A" w:rsidRPr="00F1638D" w:rsidRDefault="00CA482A" w:rsidP="00856A34">
      <w:pPr>
        <w:pStyle w:val="Textonotapie"/>
        <w:jc w:val="both"/>
        <w:rPr>
          <w:rFonts w:ascii="Arial" w:hAnsi="Arial" w:cs="Arial"/>
          <w:sz w:val="19"/>
          <w:szCs w:val="19"/>
        </w:rPr>
      </w:pPr>
      <w:r w:rsidRPr="00F1638D">
        <w:rPr>
          <w:rFonts w:ascii="Arial" w:hAnsi="Arial" w:cs="Arial"/>
          <w:sz w:val="19"/>
          <w:szCs w:val="19"/>
        </w:rPr>
        <w:t>https://www.colombiacompra.gov.co/sites/cce_public/files/cce_circulares/cce_circular_unica.pdf</w:t>
      </w:r>
    </w:p>
  </w:footnote>
  <w:footnote w:id="27">
    <w:p w14:paraId="41FFDDFD" w14:textId="77777777" w:rsidR="00CA482A" w:rsidRPr="00F1638D" w:rsidRDefault="00CA482A" w:rsidP="00856A34">
      <w:pPr>
        <w:pStyle w:val="Textonotapie"/>
        <w:ind w:firstLine="709"/>
        <w:jc w:val="both"/>
        <w:rPr>
          <w:rFonts w:ascii="Arial" w:hAnsi="Arial" w:cs="Arial"/>
          <w:sz w:val="19"/>
          <w:szCs w:val="19"/>
        </w:rPr>
      </w:pPr>
    </w:p>
    <w:p w14:paraId="0FF40FE6" w14:textId="77777777" w:rsidR="00CA482A" w:rsidRPr="00F1638D" w:rsidRDefault="00CA482A" w:rsidP="00856A34">
      <w:pPr>
        <w:pStyle w:val="Textonotapie"/>
        <w:ind w:firstLine="709"/>
        <w:jc w:val="both"/>
        <w:rPr>
          <w:rFonts w:ascii="Arial" w:hAnsi="Arial" w:cs="Arial"/>
          <w:sz w:val="19"/>
          <w:szCs w:val="19"/>
        </w:rPr>
      </w:pPr>
      <w:r w:rsidRPr="00F1638D">
        <w:rPr>
          <w:rStyle w:val="Refdenotaalpie"/>
          <w:rFonts w:ascii="Arial" w:hAnsi="Arial" w:cs="Arial"/>
          <w:sz w:val="19"/>
          <w:szCs w:val="19"/>
        </w:rPr>
        <w:footnoteRef/>
      </w:r>
      <w:r w:rsidRPr="00F1638D">
        <w:rPr>
          <w:rFonts w:ascii="Arial" w:hAnsi="Arial" w:cs="Arial"/>
          <w:sz w:val="19"/>
          <w:szCs w:val="19"/>
        </w:rPr>
        <w:t xml:space="preserve"> En sitio web:</w:t>
      </w:r>
    </w:p>
    <w:p w14:paraId="2112ADFE" w14:textId="77777777" w:rsidR="00CA482A" w:rsidRPr="00F1638D" w:rsidRDefault="00CA482A" w:rsidP="00856A34">
      <w:pPr>
        <w:pStyle w:val="Textonotapie"/>
        <w:ind w:firstLine="709"/>
        <w:jc w:val="both"/>
        <w:rPr>
          <w:rFonts w:ascii="Arial" w:hAnsi="Arial" w:cs="Arial"/>
          <w:sz w:val="19"/>
          <w:szCs w:val="19"/>
        </w:rPr>
      </w:pPr>
      <w:r w:rsidRPr="00F1638D">
        <w:rPr>
          <w:rFonts w:ascii="Arial" w:hAnsi="Arial" w:cs="Arial"/>
          <w:sz w:val="19"/>
          <w:szCs w:val="19"/>
        </w:rPr>
        <w:t>https://www.colombiacompra.gov.co/sites/cce_public/files/cce_circulares/circular_007_de_2020_uso_secop.pdf</w:t>
      </w:r>
    </w:p>
  </w:footnote>
  <w:footnote w:id="28">
    <w:p w14:paraId="64A9AF08" w14:textId="77777777" w:rsidR="00CA482A" w:rsidRPr="00F1638D" w:rsidRDefault="00CA482A" w:rsidP="00856A34">
      <w:pPr>
        <w:pStyle w:val="Textonotapie"/>
        <w:ind w:firstLine="709"/>
        <w:jc w:val="both"/>
        <w:rPr>
          <w:rFonts w:ascii="Arial" w:hAnsi="Arial" w:cs="Arial"/>
          <w:sz w:val="19"/>
          <w:szCs w:val="19"/>
        </w:rPr>
      </w:pPr>
    </w:p>
    <w:p w14:paraId="5CACA3DD" w14:textId="77777777" w:rsidR="00CA482A" w:rsidRPr="00F1638D" w:rsidRDefault="00CA482A" w:rsidP="00856A34">
      <w:pPr>
        <w:pStyle w:val="Textonotapie"/>
        <w:ind w:firstLine="709"/>
        <w:jc w:val="both"/>
        <w:rPr>
          <w:rFonts w:ascii="Arial" w:hAnsi="Arial" w:cs="Arial"/>
          <w:sz w:val="19"/>
          <w:szCs w:val="19"/>
        </w:rPr>
      </w:pPr>
      <w:r w:rsidRPr="00F1638D">
        <w:rPr>
          <w:rStyle w:val="Refdenotaalpie"/>
          <w:rFonts w:ascii="Arial" w:hAnsi="Arial" w:cs="Arial"/>
          <w:sz w:val="19"/>
          <w:szCs w:val="19"/>
        </w:rPr>
        <w:footnoteRef/>
      </w:r>
      <w:r w:rsidRPr="00F1638D">
        <w:rPr>
          <w:rFonts w:ascii="Arial" w:hAnsi="Arial" w:cs="Arial"/>
          <w:sz w:val="19"/>
          <w:szCs w:val="19"/>
        </w:rPr>
        <w:t xml:space="preserve"> En sitio web:</w:t>
      </w:r>
    </w:p>
    <w:p w14:paraId="66174CF2" w14:textId="77777777" w:rsidR="00CA482A" w:rsidRPr="00F1638D" w:rsidRDefault="00CA482A" w:rsidP="00856A34">
      <w:pPr>
        <w:pStyle w:val="Textonotapie"/>
        <w:ind w:firstLine="709"/>
        <w:jc w:val="both"/>
        <w:rPr>
          <w:rFonts w:ascii="Arial" w:hAnsi="Arial" w:cs="Arial"/>
          <w:sz w:val="19"/>
          <w:szCs w:val="19"/>
        </w:rPr>
      </w:pPr>
      <w:r w:rsidRPr="00F1638D">
        <w:rPr>
          <w:rFonts w:ascii="Arial" w:hAnsi="Arial" w:cs="Arial"/>
          <w:sz w:val="19"/>
          <w:szCs w:val="19"/>
        </w:rPr>
        <w:t>https://www.colombiacompra.gov.co/sites/cce_public/files/cce_circulares/20170316circularinformacion.pdf</w:t>
      </w:r>
    </w:p>
  </w:footnote>
  <w:footnote w:id="29">
    <w:p w14:paraId="26EFBCD4" w14:textId="77777777" w:rsidR="00CA482A" w:rsidRPr="00F1638D" w:rsidRDefault="00CA482A" w:rsidP="00856A34">
      <w:pPr>
        <w:pStyle w:val="Textonotapie"/>
        <w:ind w:firstLine="709"/>
        <w:jc w:val="both"/>
        <w:rPr>
          <w:rFonts w:ascii="Arial" w:hAnsi="Arial" w:cs="Arial"/>
          <w:sz w:val="19"/>
          <w:szCs w:val="19"/>
        </w:rPr>
      </w:pPr>
    </w:p>
    <w:p w14:paraId="562BCD7B" w14:textId="77777777" w:rsidR="00CA482A" w:rsidRPr="00F1638D" w:rsidRDefault="00CA482A" w:rsidP="00856A34">
      <w:pPr>
        <w:pStyle w:val="Textonotapie"/>
        <w:ind w:firstLine="709"/>
        <w:jc w:val="both"/>
        <w:rPr>
          <w:rFonts w:ascii="Arial" w:hAnsi="Arial" w:cs="Arial"/>
          <w:sz w:val="19"/>
          <w:szCs w:val="19"/>
          <w:lang w:val="es-ES_tradnl"/>
        </w:rPr>
      </w:pPr>
      <w:r w:rsidRPr="00F1638D">
        <w:rPr>
          <w:rStyle w:val="Refdenotaalpie"/>
          <w:rFonts w:ascii="Arial" w:hAnsi="Arial" w:cs="Arial"/>
          <w:sz w:val="19"/>
          <w:szCs w:val="19"/>
        </w:rPr>
        <w:footnoteRef/>
      </w:r>
      <w:r w:rsidRPr="00F1638D">
        <w:rPr>
          <w:rFonts w:ascii="Arial" w:hAnsi="Arial" w:cs="Arial"/>
          <w:sz w:val="19"/>
          <w:szCs w:val="19"/>
        </w:rPr>
        <w:t xml:space="preserve"> Consejo de Estado. Sección Tercera. Subsección B. Auto del 25 de febrero de 2021. Consejero Ponente: Martín Bermúdez Muñoz. Expedientes acumulados: 56.151, 56.160, 56.162, 56.163 y 58.711.</w:t>
      </w:r>
    </w:p>
  </w:footnote>
  <w:footnote w:id="30">
    <w:p w14:paraId="6976D7ED" w14:textId="77777777" w:rsidR="00CA482A" w:rsidRPr="00F1638D" w:rsidRDefault="00CA482A" w:rsidP="00856A34">
      <w:pPr>
        <w:pStyle w:val="Textonotapie"/>
        <w:ind w:firstLine="709"/>
        <w:jc w:val="both"/>
        <w:rPr>
          <w:rFonts w:ascii="Arial" w:hAnsi="Arial" w:cs="Arial"/>
          <w:sz w:val="19"/>
          <w:szCs w:val="19"/>
        </w:rPr>
      </w:pPr>
      <w:r w:rsidRPr="00F1638D">
        <w:rPr>
          <w:rStyle w:val="Refdenotaalpie"/>
          <w:rFonts w:ascii="Arial" w:hAnsi="Arial" w:cs="Arial"/>
          <w:sz w:val="19"/>
          <w:szCs w:val="19"/>
        </w:rPr>
        <w:footnoteRef/>
      </w:r>
      <w:r w:rsidRPr="00F1638D">
        <w:rPr>
          <w:rFonts w:ascii="Arial" w:hAnsi="Arial" w:cs="Arial"/>
          <w:sz w:val="19"/>
          <w:szCs w:val="19"/>
        </w:rPr>
        <w:t xml:space="preserve"> Ibíd.</w:t>
      </w:r>
    </w:p>
    <w:p w14:paraId="0F467CB0" w14:textId="77777777" w:rsidR="00CA482A" w:rsidRPr="00F1638D" w:rsidRDefault="00CA482A" w:rsidP="00856A34">
      <w:pPr>
        <w:pStyle w:val="Textonotapie"/>
        <w:ind w:firstLine="709"/>
        <w:jc w:val="both"/>
        <w:rPr>
          <w:rFonts w:ascii="Arial" w:hAnsi="Arial" w:cs="Arial"/>
          <w:sz w:val="19"/>
          <w:szCs w:val="19"/>
        </w:rPr>
      </w:pPr>
    </w:p>
  </w:footnote>
  <w:footnote w:id="31">
    <w:p w14:paraId="1E2A1A65" w14:textId="77777777" w:rsidR="00CA482A" w:rsidRPr="00F1638D" w:rsidRDefault="00CA482A" w:rsidP="00856A34">
      <w:pPr>
        <w:pStyle w:val="Textonotapie"/>
        <w:ind w:firstLine="709"/>
        <w:jc w:val="both"/>
        <w:rPr>
          <w:rFonts w:ascii="Arial" w:hAnsi="Arial" w:cs="Arial"/>
          <w:sz w:val="19"/>
          <w:szCs w:val="19"/>
        </w:rPr>
      </w:pPr>
      <w:r w:rsidRPr="00F1638D">
        <w:rPr>
          <w:rStyle w:val="Refdenotaalpie"/>
          <w:rFonts w:ascii="Arial" w:hAnsi="Arial" w:cs="Arial"/>
          <w:sz w:val="19"/>
          <w:szCs w:val="19"/>
        </w:rPr>
        <w:footnoteRef/>
      </w:r>
      <w:r w:rsidRPr="00F1638D">
        <w:rPr>
          <w:rFonts w:ascii="Arial" w:hAnsi="Arial" w:cs="Arial"/>
          <w:sz w:val="19"/>
          <w:szCs w:val="19"/>
        </w:rPr>
        <w:t xml:space="preserve"> Ibíd.</w:t>
      </w:r>
    </w:p>
  </w:footnote>
  <w:footnote w:id="32">
    <w:p w14:paraId="50435FD8" w14:textId="77777777" w:rsidR="00CA482A" w:rsidRPr="00F1638D" w:rsidRDefault="00CA482A" w:rsidP="00856A34">
      <w:pPr>
        <w:ind w:firstLine="709"/>
        <w:jc w:val="both"/>
        <w:rPr>
          <w:rFonts w:ascii="Arial" w:hAnsi="Arial" w:cs="Arial"/>
          <w:sz w:val="19"/>
          <w:szCs w:val="19"/>
        </w:rPr>
      </w:pPr>
      <w:r w:rsidRPr="00F1638D">
        <w:rPr>
          <w:rStyle w:val="Refdenotaalpie"/>
          <w:rFonts w:ascii="Arial" w:hAnsi="Arial" w:cs="Arial"/>
          <w:sz w:val="19"/>
          <w:szCs w:val="19"/>
        </w:rPr>
        <w:footnoteRef/>
      </w:r>
      <w:r w:rsidRPr="00F1638D">
        <w:rPr>
          <w:rFonts w:ascii="Arial" w:hAnsi="Arial" w:cs="Arial"/>
          <w:sz w:val="19"/>
          <w:szCs w:val="19"/>
        </w:rPr>
        <w:t xml:space="preserve"> El numeral 1.1. de la Circular Externa Única establece que deben publicar en el SECOP «Las entidades del Estado que tienen un régimen especial de contratación, siempre y cuando el contrato ejecute o tenga como fuente de financiación dineros públicos, sin importar su proporción, a través del módulo “Régimen Especial”, de acuerdo con lo establecido en su propio manual de contratación. De manera enunciativa, estas son: las empresas industriales y comerciales del Estado y sociedades de economía mixta en las que el Estado tenga una participación superior al 50% que desarrollen actividades comerciales en competencia con el sector privado y/o público, nacional o internacional o en mercados regulados, empresas de servicios públicos domiciliarios, empresas sociales del Estado, entidades descentralizadas indirectas, entre otras».</w:t>
      </w:r>
    </w:p>
    <w:p w14:paraId="43C0C26D" w14:textId="77777777" w:rsidR="00CA482A" w:rsidRPr="00F1638D" w:rsidRDefault="00CA482A" w:rsidP="00856A34">
      <w:pPr>
        <w:pStyle w:val="Textonotapie"/>
        <w:ind w:firstLine="709"/>
        <w:jc w:val="both"/>
        <w:rPr>
          <w:rFonts w:ascii="Arial" w:hAnsi="Arial" w:cs="Arial"/>
          <w:sz w:val="19"/>
          <w:szCs w:val="19"/>
          <w:lang w:val="es-CO"/>
        </w:rPr>
      </w:pPr>
    </w:p>
  </w:footnote>
  <w:footnote w:id="33">
    <w:p w14:paraId="0E0C03DA" w14:textId="77777777" w:rsidR="00385909" w:rsidRDefault="00385909" w:rsidP="00385909">
      <w:pPr>
        <w:pStyle w:val="Textonotapie"/>
        <w:ind w:firstLine="708"/>
      </w:pPr>
      <w:r>
        <w:rPr>
          <w:rStyle w:val="Refdenotaalpie"/>
        </w:rPr>
        <w:footnoteRef/>
      </w:r>
      <w:r>
        <w:t xml:space="preserve"> </w:t>
      </w:r>
      <w:r w:rsidRPr="00C44EAA">
        <w:rPr>
          <w:rFonts w:ascii="Arial" w:eastAsia="Times New Roman" w:hAnsi="Arial" w:cs="Arial"/>
          <w:sz w:val="19"/>
          <w:szCs w:val="19"/>
          <w:lang w:val="es-CO" w:eastAsia="es-ES_tradnl"/>
        </w:rPr>
        <w:t>Fundamentos jurídicos a</w:t>
      </w:r>
      <w:r>
        <w:rPr>
          <w:rFonts w:ascii="Arial" w:eastAsia="Times New Roman" w:hAnsi="Arial" w:cs="Arial"/>
          <w:sz w:val="19"/>
          <w:szCs w:val="19"/>
          <w:lang w:val="es-CO" w:eastAsia="es-ES_tradnl"/>
        </w:rPr>
        <w:t xml:space="preserve"> </w:t>
      </w:r>
      <w:r w:rsidRPr="00C44EAA">
        <w:rPr>
          <w:rFonts w:ascii="Arial" w:eastAsia="Times New Roman" w:hAnsi="Arial" w:cs="Arial"/>
          <w:sz w:val="19"/>
          <w:szCs w:val="19"/>
          <w:lang w:val="es-CO" w:eastAsia="es-ES_tradnl"/>
        </w:rPr>
        <w:t>l</w:t>
      </w:r>
      <w:r>
        <w:rPr>
          <w:rFonts w:ascii="Arial" w:eastAsia="Times New Roman" w:hAnsi="Arial" w:cs="Arial"/>
          <w:sz w:val="19"/>
          <w:szCs w:val="19"/>
          <w:lang w:val="es-CO" w:eastAsia="es-ES_tradnl"/>
        </w:rPr>
        <w:t>os</w:t>
      </w:r>
      <w:r w:rsidRPr="00C44EAA">
        <w:rPr>
          <w:rFonts w:ascii="Arial" w:eastAsia="Times New Roman" w:hAnsi="Arial" w:cs="Arial"/>
          <w:sz w:val="19"/>
          <w:szCs w:val="19"/>
          <w:lang w:val="es-CO" w:eastAsia="es-ES_tradnl"/>
        </w:rPr>
        <w:t xml:space="preserve"> que se sumará el artículo 13 de la Ley 1150 de 2007, de acuerdo con la modificación realizada por la Ley 2195 de 2022.</w:t>
      </w:r>
    </w:p>
  </w:footnote>
  <w:footnote w:id="34">
    <w:p w14:paraId="54EFAB16" w14:textId="77777777" w:rsidR="00CA482A" w:rsidRPr="00F1638D" w:rsidRDefault="00CA482A" w:rsidP="00F1638D">
      <w:pPr>
        <w:pStyle w:val="Prrafodelista"/>
        <w:ind w:left="0" w:firstLine="709"/>
        <w:contextualSpacing w:val="0"/>
        <w:jc w:val="both"/>
        <w:rPr>
          <w:rFonts w:ascii="Arial" w:hAnsi="Arial" w:cs="Arial"/>
          <w:bCs/>
          <w:color w:val="000000" w:themeColor="text1"/>
          <w:sz w:val="19"/>
          <w:szCs w:val="19"/>
          <w:lang w:val="es-ES"/>
        </w:rPr>
      </w:pPr>
      <w:r w:rsidRPr="00F1638D">
        <w:rPr>
          <w:rStyle w:val="Refdenotaalpie"/>
          <w:rFonts w:ascii="Arial" w:hAnsi="Arial" w:cs="Arial"/>
          <w:color w:val="000000" w:themeColor="text1"/>
          <w:sz w:val="19"/>
          <w:szCs w:val="19"/>
        </w:rPr>
        <w:footnoteRef/>
      </w:r>
      <w:r w:rsidRPr="00F1638D">
        <w:rPr>
          <w:rFonts w:ascii="Arial" w:hAnsi="Arial" w:cs="Arial"/>
          <w:color w:val="000000" w:themeColor="text1"/>
          <w:sz w:val="19"/>
          <w:szCs w:val="19"/>
        </w:rPr>
        <w:t xml:space="preserve"> </w:t>
      </w:r>
      <w:r w:rsidRPr="00F1638D">
        <w:rPr>
          <w:rFonts w:ascii="Arial" w:hAnsi="Arial" w:cs="Arial"/>
          <w:bCs/>
          <w:color w:val="000000" w:themeColor="text1"/>
          <w:sz w:val="19"/>
          <w:szCs w:val="19"/>
          <w:lang w:val="es-ES"/>
        </w:rPr>
        <w:t xml:space="preserve">La anterior posición fue reiterada en las siguientes consultas de los años 2016 y 2017: 416130000999 del 23 de febrero de 2016, 4201613000005457 del 24 de octubre de 2016, 42017000001243 del 15 de marzo de 2017, 4201714000003623 del 21 de julio de 2017, entre otras. En estas consultas se señaló que las entidades con régimen especial de contratación publicarán los documentos del proceso que define el Decreto 1082 de 2015, es decir: (a) los estudios y documentos previos, (b) el aviso de convocatoria; (c) los pliegos de condiciones o la invitación; (d) las Adendas; (e) la oferta; (f) el informe de evaluación; (g) el contrato; y cualquier otro documento expedido por la Entidad Estatal durante el Proceso.  </w:t>
      </w:r>
    </w:p>
    <w:p w14:paraId="09833C85" w14:textId="77777777" w:rsidR="00CA482A" w:rsidRPr="00F1638D" w:rsidRDefault="00CA482A" w:rsidP="00856A34">
      <w:pPr>
        <w:pStyle w:val="Textonotapie"/>
        <w:ind w:firstLine="709"/>
        <w:jc w:val="both"/>
        <w:rPr>
          <w:rFonts w:ascii="Arial" w:hAnsi="Arial" w:cs="Arial"/>
          <w:color w:val="000000" w:themeColor="text1"/>
          <w:sz w:val="19"/>
          <w:szCs w:val="19"/>
          <w:lang w:val="es-ES"/>
        </w:rPr>
      </w:pPr>
    </w:p>
  </w:footnote>
  <w:footnote w:id="35">
    <w:p w14:paraId="0AB55F69" w14:textId="77777777" w:rsidR="00CA482A" w:rsidRPr="00F1638D" w:rsidRDefault="00CA482A" w:rsidP="00856A34">
      <w:pPr>
        <w:pStyle w:val="Textonotapie"/>
        <w:ind w:firstLine="709"/>
        <w:jc w:val="both"/>
        <w:rPr>
          <w:rFonts w:ascii="Arial" w:hAnsi="Arial" w:cs="Arial"/>
          <w:color w:val="000000" w:themeColor="text1"/>
          <w:sz w:val="19"/>
          <w:szCs w:val="19"/>
        </w:rPr>
      </w:pPr>
      <w:r w:rsidRPr="00F1638D">
        <w:rPr>
          <w:rStyle w:val="Refdenotaalpie"/>
          <w:rFonts w:ascii="Arial" w:hAnsi="Arial" w:cs="Arial"/>
          <w:color w:val="000000" w:themeColor="text1"/>
          <w:sz w:val="19"/>
          <w:szCs w:val="19"/>
        </w:rPr>
        <w:footnoteRef/>
      </w:r>
      <w:r w:rsidRPr="00F1638D">
        <w:rPr>
          <w:rFonts w:ascii="Arial" w:hAnsi="Arial" w:cs="Arial"/>
          <w:color w:val="000000" w:themeColor="text1"/>
          <w:sz w:val="19"/>
          <w:szCs w:val="19"/>
        </w:rPr>
        <w:t xml:space="preserve"> Esta posición se reiteró en las siguientes consultas: No. 4201813000006842 del 16 de agosto de 2018, 4201813000010011 del 5 de diciembre de 2018, 4201813000009778 del 29 de octubre de 2018, entre otros. Al respecto se indicó lo siguiente: «Las Entidades con regímenes especiales de contratación están obligadas publicar en el SECOP la información resultante de su actividad contractual en todas sus fases que se ejecute con cargo a recursos públicos, según los procedimientos de selección que tengan definidos en su manual de contratación. Estos documentos incluyen invitaciones a participar, documentos de apertura de procesos, términos de referencia, pliegos de condiciones o sus equivalentes, documentos relativos al procedimiento de selección como observaciones y respuesta, informes de evaluación, ofertas ganadoras, contratos, evidencia del seguimiento a la ejecución, actas de liquidación, entre otros.</w:t>
      </w:r>
    </w:p>
    <w:p w14:paraId="6B19EF3F" w14:textId="77777777" w:rsidR="00CA482A" w:rsidRPr="00F1638D" w:rsidRDefault="00CA482A" w:rsidP="00856A34">
      <w:pPr>
        <w:pStyle w:val="Textonotapie"/>
        <w:ind w:firstLine="709"/>
        <w:jc w:val="both"/>
        <w:rPr>
          <w:rFonts w:ascii="Arial" w:hAnsi="Arial" w:cs="Arial"/>
          <w:color w:val="000000" w:themeColor="text1"/>
          <w:sz w:val="19"/>
          <w:szCs w:val="19"/>
        </w:rPr>
      </w:pPr>
      <w:proofErr w:type="gramStart"/>
      <w:r w:rsidRPr="00F1638D">
        <w:rPr>
          <w:rFonts w:ascii="Arial" w:hAnsi="Arial" w:cs="Arial"/>
          <w:color w:val="000000" w:themeColor="text1"/>
          <w:sz w:val="19"/>
          <w:szCs w:val="19"/>
        </w:rPr>
        <w:t>»Así</w:t>
      </w:r>
      <w:proofErr w:type="gramEnd"/>
      <w:r w:rsidRPr="00F1638D">
        <w:rPr>
          <w:rFonts w:ascii="Arial" w:hAnsi="Arial" w:cs="Arial"/>
          <w:color w:val="000000" w:themeColor="text1"/>
          <w:sz w:val="19"/>
          <w:szCs w:val="19"/>
        </w:rPr>
        <w:t xml:space="preserve"> las cosas, se precisa que en la normativa no existe una lista taxativa de los documentos que debe contener cada etapa del Proceso de Contratación, ya que algunos de dichos documentos dependerán de la dinámica en la que se desarrolle la actividad contractual de la Entidad Estatal y de lo establecido en el manual de contratación».</w:t>
      </w:r>
    </w:p>
    <w:p w14:paraId="5CFC3540" w14:textId="77777777" w:rsidR="00CA482A" w:rsidRPr="00F1638D" w:rsidRDefault="00CA482A" w:rsidP="00856A34">
      <w:pPr>
        <w:pStyle w:val="Textonotapie"/>
        <w:ind w:firstLine="709"/>
        <w:jc w:val="both"/>
        <w:rPr>
          <w:rFonts w:ascii="Arial" w:hAnsi="Arial" w:cs="Arial"/>
          <w:color w:val="000000" w:themeColor="text1"/>
          <w:sz w:val="19"/>
          <w:szCs w:val="19"/>
        </w:rPr>
      </w:pPr>
    </w:p>
  </w:footnote>
  <w:footnote w:id="36">
    <w:p w14:paraId="5293D1B5" w14:textId="77777777" w:rsidR="00CA482A" w:rsidRPr="00F1638D" w:rsidRDefault="00CA482A" w:rsidP="00856A34">
      <w:pPr>
        <w:pStyle w:val="Textonotapie"/>
        <w:ind w:firstLine="709"/>
        <w:jc w:val="both"/>
        <w:rPr>
          <w:rFonts w:ascii="Arial" w:hAnsi="Arial" w:cs="Arial"/>
          <w:color w:val="000000" w:themeColor="text1"/>
          <w:sz w:val="19"/>
          <w:szCs w:val="19"/>
        </w:rPr>
      </w:pPr>
      <w:r w:rsidRPr="00F1638D">
        <w:rPr>
          <w:rStyle w:val="Refdenotaalpie"/>
          <w:rFonts w:ascii="Arial" w:hAnsi="Arial" w:cs="Arial"/>
          <w:color w:val="000000" w:themeColor="text1"/>
          <w:sz w:val="19"/>
          <w:szCs w:val="19"/>
        </w:rPr>
        <w:footnoteRef/>
      </w:r>
      <w:r w:rsidRPr="00F1638D">
        <w:rPr>
          <w:rFonts w:ascii="Arial" w:hAnsi="Arial" w:cs="Arial"/>
          <w:color w:val="000000" w:themeColor="text1"/>
          <w:sz w:val="19"/>
          <w:szCs w:val="19"/>
        </w:rPr>
        <w:t xml:space="preserve"> Decreto 103 de 2015: «Artículo 8°. Publicación de la ejecución de contratos. Para efectos del cumplimiento de la obligación contenida en el literal g) del artículo 11 de la Ley 1712 de 2014, relativa a la información sobre la ejecución de contratos, el sujeto obligado debe publicar las aprobaciones, autorizaciones, requerimientos o informes del supervisor o del interventor, que prueben la ejecución del contrato».</w:t>
      </w:r>
    </w:p>
  </w:footnote>
  <w:footnote w:id="37">
    <w:p w14:paraId="0BE0F775" w14:textId="77777777" w:rsidR="00CA482A" w:rsidRPr="00F1638D" w:rsidRDefault="00CA482A" w:rsidP="00856A34">
      <w:pPr>
        <w:pStyle w:val="Textonotapie"/>
        <w:ind w:firstLine="709"/>
        <w:jc w:val="both"/>
        <w:rPr>
          <w:rFonts w:ascii="Arial" w:hAnsi="Arial" w:cs="Arial"/>
          <w:color w:val="000000" w:themeColor="text1"/>
          <w:sz w:val="19"/>
          <w:szCs w:val="19"/>
        </w:rPr>
      </w:pPr>
    </w:p>
    <w:p w14:paraId="5081E9CB" w14:textId="77777777" w:rsidR="00CA482A" w:rsidRPr="00F1638D" w:rsidRDefault="00CA482A" w:rsidP="00856A34">
      <w:pPr>
        <w:pStyle w:val="Textonotapie"/>
        <w:ind w:firstLine="709"/>
        <w:jc w:val="both"/>
        <w:rPr>
          <w:rFonts w:ascii="Arial" w:hAnsi="Arial" w:cs="Arial"/>
          <w:color w:val="000000" w:themeColor="text1"/>
          <w:sz w:val="19"/>
          <w:szCs w:val="19"/>
        </w:rPr>
      </w:pPr>
      <w:r w:rsidRPr="00F1638D">
        <w:rPr>
          <w:rStyle w:val="Refdenotaalpie"/>
          <w:rFonts w:ascii="Arial" w:hAnsi="Arial" w:cs="Arial"/>
          <w:color w:val="000000" w:themeColor="text1"/>
          <w:sz w:val="19"/>
          <w:szCs w:val="19"/>
        </w:rPr>
        <w:footnoteRef/>
      </w:r>
      <w:r w:rsidRPr="00F1638D">
        <w:rPr>
          <w:rFonts w:ascii="Arial" w:hAnsi="Arial" w:cs="Arial"/>
          <w:color w:val="000000" w:themeColor="text1"/>
          <w:sz w:val="19"/>
          <w:szCs w:val="19"/>
        </w:rPr>
        <w:t xml:space="preserve"> Decreto 103 de 2015: «Artículo 9°. Publicación de procedimientos, lineamientos y políticas en materia de adquisición y compras. Para los sujetos obligados que contratan con cargo a recursos públicos, los procedimientos, lineamientos y políticas en materia de adquisición y compras de los que trata el literal g) del artículo 11 de la Ley 1712 de 2014 son los previstos en el manual de contratación expedido conforme a las directrices señaladas por la Agencia Nacional de Contratación Pública ─ Colombia Compra Eficiente, el cual debe estar publicado en el sitio web oficial del sujeto obligado».</w:t>
      </w:r>
    </w:p>
    <w:p w14:paraId="22F2E39E" w14:textId="77777777" w:rsidR="00CA482A" w:rsidRPr="00F1638D" w:rsidRDefault="00CA482A" w:rsidP="00856A34">
      <w:pPr>
        <w:pStyle w:val="Textonotapie"/>
        <w:ind w:firstLine="709"/>
        <w:jc w:val="both"/>
        <w:rPr>
          <w:rFonts w:ascii="Arial" w:hAnsi="Arial" w:cs="Arial"/>
          <w:color w:val="000000" w:themeColor="text1"/>
          <w:sz w:val="19"/>
          <w:szCs w:val="19"/>
        </w:rPr>
      </w:pPr>
    </w:p>
  </w:footnote>
  <w:footnote w:id="38">
    <w:p w14:paraId="5B12FA31" w14:textId="77777777" w:rsidR="00CA482A" w:rsidRPr="00F1638D" w:rsidRDefault="00CA482A" w:rsidP="00856A34">
      <w:pPr>
        <w:pStyle w:val="Textonotapie"/>
        <w:ind w:firstLine="709"/>
        <w:jc w:val="both"/>
        <w:rPr>
          <w:rFonts w:ascii="Arial" w:hAnsi="Arial" w:cs="Arial"/>
          <w:color w:val="000000" w:themeColor="text1"/>
          <w:sz w:val="19"/>
          <w:szCs w:val="19"/>
        </w:rPr>
      </w:pPr>
      <w:r w:rsidRPr="00F1638D">
        <w:rPr>
          <w:rStyle w:val="Refdenotaalpie"/>
          <w:rFonts w:ascii="Arial" w:hAnsi="Arial" w:cs="Arial"/>
          <w:color w:val="000000" w:themeColor="text1"/>
          <w:sz w:val="19"/>
          <w:szCs w:val="19"/>
        </w:rPr>
        <w:footnoteRef/>
      </w:r>
      <w:r w:rsidRPr="00F1638D">
        <w:rPr>
          <w:rFonts w:ascii="Arial" w:hAnsi="Arial" w:cs="Arial"/>
          <w:color w:val="000000" w:themeColor="text1"/>
          <w:sz w:val="19"/>
          <w:szCs w:val="19"/>
        </w:rPr>
        <w:t xml:space="preserve"> Decreto 103 de 2015: «Artículo 10. Publicación del Plan Anual de Adquisiciones. Los sujetos obligados que contratan con cargo a recursos públicos deben publicar en su página web y en el Secop el Plan Anual de Adquisiciones, de acuerdo con lo previsto en el artículo 74 de la Ley 1474 de 2011, el literal e) del artículo 9° de la Ley 1712 de 2014 y el Decreto 1510 de 2013, o el que lo modifique, sustituya o adicione.</w:t>
      </w:r>
    </w:p>
    <w:p w14:paraId="021502D2" w14:textId="77777777" w:rsidR="00CA482A" w:rsidRPr="00F1638D" w:rsidRDefault="00CA482A" w:rsidP="00856A34">
      <w:pPr>
        <w:pStyle w:val="Textonotapie"/>
        <w:ind w:firstLine="709"/>
        <w:jc w:val="both"/>
        <w:rPr>
          <w:rFonts w:ascii="Arial" w:hAnsi="Arial" w:cs="Arial"/>
          <w:color w:val="000000" w:themeColor="text1"/>
          <w:sz w:val="19"/>
          <w:szCs w:val="19"/>
        </w:rPr>
      </w:pPr>
      <w:proofErr w:type="gramStart"/>
      <w:r w:rsidRPr="00F1638D">
        <w:rPr>
          <w:rFonts w:ascii="Arial" w:hAnsi="Arial" w:cs="Arial"/>
          <w:color w:val="000000" w:themeColor="text1"/>
          <w:sz w:val="19"/>
          <w:szCs w:val="19"/>
        </w:rPr>
        <w:t>»Los</w:t>
      </w:r>
      <w:proofErr w:type="gramEnd"/>
      <w:r w:rsidRPr="00F1638D">
        <w:rPr>
          <w:rFonts w:ascii="Arial" w:hAnsi="Arial" w:cs="Arial"/>
          <w:color w:val="000000" w:themeColor="text1"/>
          <w:sz w:val="19"/>
          <w:szCs w:val="19"/>
        </w:rPr>
        <w:t xml:space="preserve"> sujetos obligados que no contratan con cargo a recursos públicos no están obligados a publicar su Plan Anual de Adquisiciones.</w:t>
      </w:r>
    </w:p>
    <w:p w14:paraId="7B19DDAB" w14:textId="77777777" w:rsidR="00CA482A" w:rsidRPr="00F1638D" w:rsidRDefault="00CA482A" w:rsidP="00856A34">
      <w:pPr>
        <w:pStyle w:val="Textonotapie"/>
        <w:ind w:firstLine="709"/>
        <w:jc w:val="both"/>
        <w:rPr>
          <w:rFonts w:ascii="Arial" w:hAnsi="Arial" w:cs="Arial"/>
          <w:color w:val="000000" w:themeColor="text1"/>
          <w:sz w:val="19"/>
          <w:szCs w:val="19"/>
        </w:rPr>
      </w:pPr>
      <w:proofErr w:type="gramStart"/>
      <w:r w:rsidRPr="00F1638D">
        <w:rPr>
          <w:rFonts w:ascii="Arial" w:hAnsi="Arial" w:cs="Arial"/>
          <w:color w:val="000000" w:themeColor="text1"/>
          <w:sz w:val="19"/>
          <w:szCs w:val="19"/>
        </w:rPr>
        <w:t>»Los</w:t>
      </w:r>
      <w:proofErr w:type="gramEnd"/>
      <w:r w:rsidRPr="00F1638D">
        <w:rPr>
          <w:rFonts w:ascii="Arial" w:hAnsi="Arial" w:cs="Arial"/>
          <w:color w:val="000000" w:themeColor="text1"/>
          <w:sz w:val="19"/>
          <w:szCs w:val="19"/>
        </w:rPr>
        <w:t xml:space="preserve"> sujetos obligados que contratan con cargo a recursos públicos y recursos privados, deben publicar en su página web y en el SECOP el Plan Anual de Adquisiciones para los recursos de carácter público que ejecutarán en el año.</w:t>
      </w:r>
    </w:p>
    <w:p w14:paraId="2A59EFD9" w14:textId="77777777" w:rsidR="00CA482A" w:rsidRPr="00F1638D" w:rsidRDefault="00CA482A" w:rsidP="00856A34">
      <w:pPr>
        <w:pStyle w:val="Textonotapie"/>
        <w:ind w:firstLine="709"/>
        <w:jc w:val="both"/>
        <w:rPr>
          <w:rFonts w:ascii="Arial" w:hAnsi="Arial" w:cs="Arial"/>
          <w:color w:val="000000" w:themeColor="text1"/>
          <w:sz w:val="19"/>
          <w:szCs w:val="19"/>
        </w:rPr>
      </w:pPr>
      <w:proofErr w:type="gramStart"/>
      <w:r w:rsidRPr="00F1638D">
        <w:rPr>
          <w:rFonts w:ascii="Arial" w:hAnsi="Arial" w:cs="Arial"/>
          <w:color w:val="000000" w:themeColor="text1"/>
          <w:sz w:val="19"/>
          <w:szCs w:val="19"/>
        </w:rPr>
        <w:t>»Se</w:t>
      </w:r>
      <w:proofErr w:type="gramEnd"/>
      <w:r w:rsidRPr="00F1638D">
        <w:rPr>
          <w:rFonts w:ascii="Arial" w:hAnsi="Arial" w:cs="Arial"/>
          <w:color w:val="000000" w:themeColor="text1"/>
          <w:sz w:val="19"/>
          <w:szCs w:val="19"/>
        </w:rPr>
        <w:t xml:space="preserve"> entenderá como definición de Plan Anual de Adquisiciones respecto a todos los sujetos obligados que contratan con recursos públicos, la prevista en el artículo 3° del Decreto 1510 de 2013, o el que lo modifique, sustituya o adicione».</w:t>
      </w:r>
    </w:p>
  </w:footnote>
  <w:footnote w:id="39">
    <w:p w14:paraId="417B484C" w14:textId="77777777" w:rsidR="00B66724" w:rsidRPr="00856A34" w:rsidRDefault="00B66724" w:rsidP="00856A34">
      <w:pPr>
        <w:pStyle w:val="Textonotapie"/>
        <w:ind w:firstLine="709"/>
        <w:jc w:val="both"/>
        <w:rPr>
          <w:rFonts w:ascii="Arial" w:hAnsi="Arial" w:cs="Arial"/>
          <w:sz w:val="19"/>
          <w:szCs w:val="19"/>
        </w:rPr>
      </w:pPr>
      <w:r w:rsidRPr="00856A34">
        <w:rPr>
          <w:rStyle w:val="Refdenotaalpie"/>
          <w:rFonts w:ascii="Arial" w:hAnsi="Arial" w:cs="Arial"/>
          <w:sz w:val="19"/>
          <w:szCs w:val="19"/>
        </w:rPr>
        <w:footnoteRef/>
      </w:r>
      <w:r w:rsidRPr="00856A34">
        <w:rPr>
          <w:rFonts w:ascii="Arial" w:hAnsi="Arial" w:cs="Arial"/>
          <w:sz w:val="19"/>
          <w:szCs w:val="19"/>
        </w:rPr>
        <w:t xml:space="preserve"> «Artículo 3°. Funciones. La Agencia Nacional de Contratación Pública –Colombia Compra Eficiente– ejercerá las siguientes funciones: </w:t>
      </w:r>
    </w:p>
    <w:p w14:paraId="31915929" w14:textId="77777777" w:rsidR="00B66724" w:rsidRPr="00856A34" w:rsidRDefault="00B66724" w:rsidP="00856A34">
      <w:pPr>
        <w:pStyle w:val="Textonotapie"/>
        <w:ind w:firstLine="709"/>
        <w:jc w:val="both"/>
        <w:rPr>
          <w:rFonts w:ascii="Arial" w:hAnsi="Arial" w:cs="Arial"/>
          <w:sz w:val="19"/>
          <w:szCs w:val="19"/>
          <w:lang w:val="es-ES"/>
        </w:rPr>
      </w:pPr>
      <w:r w:rsidRPr="00856A34">
        <w:rPr>
          <w:rFonts w:ascii="Arial" w:hAnsi="Arial" w:cs="Arial"/>
          <w:sz w:val="19"/>
          <w:szCs w:val="19"/>
          <w:lang w:val="es-ES"/>
        </w:rPr>
        <w:t xml:space="preserve">»[...] </w:t>
      </w:r>
    </w:p>
    <w:p w14:paraId="63944519" w14:textId="1E1AB829" w:rsidR="00B66724" w:rsidRPr="00856A34" w:rsidRDefault="00B66724" w:rsidP="00856A34">
      <w:pPr>
        <w:pStyle w:val="Textonotapie"/>
        <w:ind w:firstLine="709"/>
        <w:jc w:val="both"/>
        <w:rPr>
          <w:rFonts w:ascii="Arial" w:hAnsi="Arial" w:cs="Arial"/>
          <w:sz w:val="19"/>
          <w:szCs w:val="19"/>
          <w:lang w:val="es-ES"/>
        </w:rPr>
      </w:pPr>
      <w:r w:rsidRPr="00856A34">
        <w:rPr>
          <w:rFonts w:ascii="Arial" w:hAnsi="Arial" w:cs="Arial"/>
          <w:sz w:val="19"/>
          <w:szCs w:val="19"/>
          <w:lang w:val="es-ES"/>
        </w:rPr>
        <w:t xml:space="preserve"> »5. Absolver consultas sobre la aplicación de normas de carácter general y expedir circulares externas en materia de compras y contratación pública».</w:t>
      </w:r>
    </w:p>
    <w:p w14:paraId="4A2BAD98" w14:textId="0217B4A5" w:rsidR="00B66724" w:rsidRPr="00856A34" w:rsidRDefault="00BF0D1C" w:rsidP="00856A34">
      <w:pPr>
        <w:pStyle w:val="Textonotapie"/>
        <w:ind w:firstLine="709"/>
        <w:jc w:val="both"/>
        <w:rPr>
          <w:rFonts w:ascii="Arial" w:hAnsi="Arial" w:cs="Arial"/>
          <w:sz w:val="19"/>
          <w:szCs w:val="19"/>
          <w:lang w:val="es-ES"/>
        </w:rPr>
      </w:pPr>
      <w:r>
        <w:rPr>
          <w:rFonts w:ascii="Arial" w:eastAsia="Times New Roman" w:hAnsi="Arial" w:cs="Arial"/>
          <w:sz w:val="19"/>
          <w:szCs w:val="19"/>
          <w:lang w:val="es-CO" w:eastAsia="es-ES_tradnl"/>
        </w:rPr>
        <w:t>«</w:t>
      </w:r>
      <w:r w:rsidR="00B66724" w:rsidRPr="00856A34">
        <w:rPr>
          <w:rFonts w:ascii="Arial" w:hAnsi="Arial" w:cs="Arial"/>
          <w:sz w:val="19"/>
          <w:szCs w:val="19"/>
          <w:lang w:val="es-ES"/>
        </w:rPr>
        <w:t xml:space="preserve">Artículo 11. Subdirección de Gestión Contractual. Son funciones de la Subdirección de Gestión Contractual las siguientes: </w:t>
      </w:r>
    </w:p>
    <w:p w14:paraId="08AF6E13" w14:textId="77777777" w:rsidR="00B66724" w:rsidRPr="00856A34" w:rsidRDefault="00B66724" w:rsidP="00856A34">
      <w:pPr>
        <w:pStyle w:val="Textonotapie"/>
        <w:ind w:firstLine="709"/>
        <w:jc w:val="both"/>
        <w:rPr>
          <w:rFonts w:ascii="Arial" w:hAnsi="Arial" w:cs="Arial"/>
          <w:sz w:val="19"/>
          <w:szCs w:val="19"/>
          <w:lang w:val="es-ES"/>
        </w:rPr>
      </w:pPr>
      <w:r w:rsidRPr="00856A34">
        <w:rPr>
          <w:rFonts w:ascii="Arial" w:hAnsi="Arial" w:cs="Arial"/>
          <w:sz w:val="19"/>
          <w:szCs w:val="19"/>
          <w:lang w:val="es-ES"/>
        </w:rPr>
        <w:t xml:space="preserve">»[...] </w:t>
      </w:r>
    </w:p>
    <w:p w14:paraId="4D1E77D0" w14:textId="77777777" w:rsidR="00B66724" w:rsidRPr="00856A34" w:rsidRDefault="00B66724" w:rsidP="00856A34">
      <w:pPr>
        <w:pStyle w:val="Textonotapie"/>
        <w:ind w:firstLine="709"/>
        <w:jc w:val="both"/>
        <w:rPr>
          <w:rFonts w:ascii="Arial" w:hAnsi="Arial" w:cs="Arial"/>
          <w:sz w:val="19"/>
          <w:szCs w:val="19"/>
          <w:lang w:val="es-ES"/>
        </w:rPr>
      </w:pPr>
      <w:r w:rsidRPr="00856A34">
        <w:rPr>
          <w:rFonts w:ascii="Arial" w:eastAsia="Times New Roman" w:hAnsi="Arial" w:cs="Arial"/>
          <w:sz w:val="19"/>
          <w:szCs w:val="19"/>
          <w:lang w:val="es-CO" w:eastAsia="es-ES_tradnl"/>
        </w:rPr>
        <w:t>»</w:t>
      </w:r>
      <w:r w:rsidRPr="00856A34">
        <w:rPr>
          <w:rFonts w:ascii="Arial" w:hAnsi="Arial" w:cs="Arial"/>
          <w:sz w:val="19"/>
          <w:szCs w:val="19"/>
          <w:lang w:val="es-ES"/>
        </w:rPr>
        <w:t xml:space="preserve">8. Absolver consultas sobre la aplicación de normas de carácter general». </w:t>
      </w:r>
    </w:p>
  </w:footnote>
  <w:footnote w:id="40">
    <w:p w14:paraId="0A5D5E28" w14:textId="7B4BE424" w:rsidR="00CC4503" w:rsidRPr="00F1638D" w:rsidRDefault="00CC4503" w:rsidP="00F1638D">
      <w:pPr>
        <w:ind w:firstLine="707"/>
        <w:jc w:val="both"/>
        <w:rPr>
          <w:rFonts w:ascii="Arial" w:hAnsi="Arial" w:cs="Arial"/>
          <w:sz w:val="19"/>
          <w:szCs w:val="19"/>
        </w:rPr>
      </w:pPr>
      <w:r w:rsidRPr="00856A34">
        <w:rPr>
          <w:rStyle w:val="Refdenotaalpie"/>
          <w:rFonts w:ascii="Arial" w:eastAsiaTheme="minorHAnsi" w:hAnsi="Arial" w:cs="Arial"/>
          <w:sz w:val="19"/>
          <w:szCs w:val="19"/>
          <w:lang w:val="es-MX" w:eastAsia="en-US"/>
        </w:rPr>
        <w:footnoteRef/>
      </w:r>
      <w:r w:rsidRPr="00F1638D">
        <w:rPr>
          <w:rStyle w:val="Refdenotaalpie"/>
          <w:rFonts w:ascii="Arial" w:eastAsiaTheme="minorHAnsi" w:hAnsi="Arial" w:cs="Arial"/>
          <w:sz w:val="19"/>
          <w:szCs w:val="19"/>
          <w:lang w:val="es-MX" w:eastAsia="en-US"/>
        </w:rPr>
        <w:t xml:space="preserve"> </w:t>
      </w:r>
      <w:r w:rsidRPr="00F1638D">
        <w:rPr>
          <w:rFonts w:ascii="Arial" w:hAnsi="Arial" w:cs="Arial"/>
          <w:sz w:val="19"/>
          <w:szCs w:val="19"/>
        </w:rPr>
        <w:t>Decreto 4170 de 2011 “Artículo 3°. Funciones. La Agencia Nacional de Contratación Pública – Colombia Compra Eficiente– ejercerá las siguientes funciones:</w:t>
      </w:r>
      <w:r w:rsidR="00AA2617" w:rsidRPr="00F1638D">
        <w:rPr>
          <w:rFonts w:ascii="Arial" w:hAnsi="Arial" w:cs="Arial"/>
          <w:sz w:val="19"/>
          <w:szCs w:val="19"/>
        </w:rPr>
        <w:t xml:space="preserve"> [</w:t>
      </w:r>
      <w:r w:rsidRPr="00F1638D">
        <w:rPr>
          <w:rFonts w:ascii="Arial" w:hAnsi="Arial" w:cs="Arial"/>
          <w:sz w:val="19"/>
          <w:szCs w:val="19"/>
        </w:rPr>
        <w:t>…</w:t>
      </w:r>
      <w:r w:rsidR="00AA2617" w:rsidRPr="00F1638D">
        <w:rPr>
          <w:rFonts w:ascii="Arial" w:hAnsi="Arial" w:cs="Arial"/>
          <w:sz w:val="19"/>
          <w:szCs w:val="19"/>
        </w:rPr>
        <w:t>]</w:t>
      </w:r>
    </w:p>
    <w:p w14:paraId="6BA50EA3" w14:textId="537665A1" w:rsidR="00CC4503" w:rsidRPr="00F1638D" w:rsidRDefault="00AA2617" w:rsidP="00F1638D">
      <w:pPr>
        <w:ind w:firstLine="707"/>
        <w:jc w:val="both"/>
        <w:rPr>
          <w:rFonts w:ascii="Arial" w:hAnsi="Arial" w:cs="Arial"/>
          <w:sz w:val="19"/>
          <w:szCs w:val="19"/>
        </w:rPr>
      </w:pPr>
      <w:r w:rsidRPr="00F1638D">
        <w:rPr>
          <w:rFonts w:ascii="Arial" w:hAnsi="Arial" w:cs="Arial"/>
          <w:sz w:val="19"/>
          <w:szCs w:val="19"/>
        </w:rPr>
        <w:t>»</w:t>
      </w:r>
      <w:r w:rsidR="00CC4503" w:rsidRPr="00F1638D">
        <w:rPr>
          <w:rFonts w:ascii="Arial" w:hAnsi="Arial" w:cs="Arial"/>
          <w:sz w:val="19"/>
          <w:szCs w:val="19"/>
        </w:rPr>
        <w:t>8. Desarrollar y administrar el Sistema Electrónico para la Contratación Pública (SECOP) o el que haga sus veces, y gestionar nuevos desarrollos tecnológicos en los asuntos de su competencia, teniendo en cuenta los parámetros fijados por el Consejo Directivo</w:t>
      </w:r>
      <w:r w:rsidRPr="00F1638D">
        <w:rPr>
          <w:rFonts w:ascii="Arial" w:hAnsi="Arial" w:cs="Arial"/>
          <w:sz w:val="19"/>
          <w:szCs w:val="19"/>
        </w:rPr>
        <w:t>»</w:t>
      </w:r>
      <w:r w:rsidR="00CC4503" w:rsidRPr="00F1638D">
        <w:rPr>
          <w:rFonts w:ascii="Arial" w:hAnsi="Arial" w:cs="Arial"/>
          <w:sz w:val="19"/>
          <w:szCs w:val="19"/>
        </w:rPr>
        <w:t>.</w:t>
      </w:r>
    </w:p>
    <w:p w14:paraId="362F71E3" w14:textId="77777777" w:rsidR="00CC4503" w:rsidRPr="00F1638D" w:rsidRDefault="00CC4503" w:rsidP="00F1638D">
      <w:pPr>
        <w:pStyle w:val="Textoindependiente"/>
        <w:jc w:val="both"/>
        <w:rPr>
          <w:sz w:val="19"/>
          <w:szCs w:val="19"/>
        </w:rPr>
      </w:pPr>
    </w:p>
    <w:p w14:paraId="5530CFE1" w14:textId="77777777" w:rsidR="00CC4503" w:rsidRPr="00F1638D" w:rsidRDefault="00CC4503" w:rsidP="00856A34">
      <w:pPr>
        <w:pStyle w:val="Textonotapie"/>
        <w:jc w:val="both"/>
        <w:rPr>
          <w:rFonts w:ascii="Arial" w:hAnsi="Arial" w:cs="Arial"/>
          <w:sz w:val="19"/>
          <w:szCs w:val="19"/>
        </w:rPr>
      </w:pPr>
    </w:p>
  </w:footnote>
  <w:footnote w:id="41">
    <w:p w14:paraId="4CA3D057" w14:textId="77777777" w:rsidR="00CC4503" w:rsidRPr="00F1638D" w:rsidRDefault="00CC4503" w:rsidP="00F1638D">
      <w:pPr>
        <w:ind w:firstLine="707"/>
        <w:jc w:val="both"/>
        <w:rPr>
          <w:rFonts w:ascii="Arial" w:hAnsi="Arial" w:cs="Arial"/>
          <w:sz w:val="19"/>
          <w:szCs w:val="19"/>
        </w:rPr>
      </w:pPr>
      <w:r w:rsidRPr="00F1638D">
        <w:rPr>
          <w:rStyle w:val="Refdenotaalpie"/>
          <w:rFonts w:ascii="Arial" w:hAnsi="Arial" w:cs="Arial"/>
          <w:sz w:val="19"/>
          <w:szCs w:val="19"/>
        </w:rPr>
        <w:footnoteRef/>
      </w:r>
      <w:r w:rsidRPr="00F1638D">
        <w:rPr>
          <w:rFonts w:ascii="Arial" w:hAnsi="Arial" w:cs="Arial"/>
          <w:sz w:val="19"/>
          <w:szCs w:val="19"/>
        </w:rPr>
        <w:t xml:space="preserve"> Decreto 4170 de 2011: “Artículo 13. Subdirección de Información y Desarrollo Tecnológico. Son funciones de la Subdirección de Información y Desarrollo Tecnológico las siguientes:</w:t>
      </w:r>
    </w:p>
    <w:p w14:paraId="437C7F22" w14:textId="77777777" w:rsidR="00CC4503" w:rsidRPr="00F1638D" w:rsidRDefault="00CC4503" w:rsidP="00F1638D">
      <w:pPr>
        <w:jc w:val="both"/>
        <w:rPr>
          <w:rFonts w:ascii="Arial" w:hAnsi="Arial" w:cs="Arial"/>
          <w:sz w:val="19"/>
          <w:szCs w:val="19"/>
        </w:rPr>
      </w:pPr>
      <w:r w:rsidRPr="00F1638D">
        <w:rPr>
          <w:rFonts w:ascii="Arial" w:hAnsi="Arial" w:cs="Arial"/>
          <w:sz w:val="19"/>
          <w:szCs w:val="19"/>
        </w:rPr>
        <w:t>“6. Gestionar y administrar el Sistema Electrónico para la Contratación Pública (SECOP), o el que haga sus veces.</w:t>
      </w:r>
    </w:p>
    <w:p w14:paraId="1A2619EA" w14:textId="77777777" w:rsidR="00CC4503" w:rsidRPr="00F1638D" w:rsidRDefault="00CC4503" w:rsidP="00F1638D">
      <w:pPr>
        <w:jc w:val="both"/>
        <w:rPr>
          <w:rFonts w:ascii="Arial" w:hAnsi="Arial" w:cs="Arial"/>
          <w:sz w:val="19"/>
          <w:szCs w:val="19"/>
        </w:rPr>
      </w:pPr>
      <w:r w:rsidRPr="00F1638D">
        <w:rPr>
          <w:rFonts w:ascii="Arial" w:hAnsi="Arial" w:cs="Arial"/>
          <w:sz w:val="19"/>
          <w:szCs w:val="19"/>
        </w:rPr>
        <w:t>“7. Realizar las actividades para la integración del SECOP, o del sistema que haga sus veces, con el Registro Único Empresarial de las Cámaras de Comercio, el Diario Único de Contratación Estatal y los demás sistemas de gestión contractual pública.</w:t>
      </w:r>
    </w:p>
    <w:p w14:paraId="42BCE253" w14:textId="77777777" w:rsidR="00CC4503" w:rsidRPr="00F1638D" w:rsidRDefault="00CC4503" w:rsidP="00F1638D">
      <w:pPr>
        <w:jc w:val="both"/>
        <w:rPr>
          <w:rFonts w:ascii="Arial" w:hAnsi="Arial" w:cs="Arial"/>
          <w:sz w:val="19"/>
          <w:szCs w:val="19"/>
        </w:rPr>
      </w:pPr>
      <w:r w:rsidRPr="00F1638D">
        <w:rPr>
          <w:rFonts w:ascii="Arial" w:hAnsi="Arial" w:cs="Arial"/>
          <w:sz w:val="19"/>
          <w:szCs w:val="19"/>
        </w:rPr>
        <w:t>“8. Proponer mecanismos para articular el SECOP con los sistemas electrónicos públicos que contengan información relacionada con el objeto de la Agencia”.</w:t>
      </w:r>
    </w:p>
    <w:p w14:paraId="63436C75" w14:textId="77777777" w:rsidR="00CC4503" w:rsidRPr="00F1638D" w:rsidRDefault="00CC4503" w:rsidP="00856A34">
      <w:pPr>
        <w:pStyle w:val="Textonotapie"/>
        <w:jc w:val="both"/>
        <w:rPr>
          <w:rFonts w:ascii="Arial" w:hAnsi="Arial" w:cs="Arial"/>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D5A54" w14:textId="77777777" w:rsidR="003D3D44" w:rsidRDefault="00AA2617">
    <w:pPr>
      <w:pStyle w:val="Encabezado"/>
    </w:pPr>
    <w:r>
      <w:rPr>
        <w:noProof/>
        <w:lang w:val="es-ES_tradnl" w:eastAsia="es-ES_tradnl"/>
      </w:rPr>
      <w:drawing>
        <wp:anchor distT="0" distB="0" distL="114300" distR="114300" simplePos="0" relativeHeight="251659264" behindDoc="1" locked="0" layoutInCell="1" allowOverlap="1" wp14:anchorId="21FA47A2" wp14:editId="199AE8C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59D91B8B"/>
    <w:multiLevelType w:val="hybridMultilevel"/>
    <w:tmpl w:val="B69E75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82A"/>
    <w:rsid w:val="000858CA"/>
    <w:rsid w:val="000B182C"/>
    <w:rsid w:val="000B4D71"/>
    <w:rsid w:val="000E7B7B"/>
    <w:rsid w:val="00116355"/>
    <w:rsid w:val="00126615"/>
    <w:rsid w:val="002371B8"/>
    <w:rsid w:val="002736A3"/>
    <w:rsid w:val="00280744"/>
    <w:rsid w:val="002A16F4"/>
    <w:rsid w:val="002B787F"/>
    <w:rsid w:val="00385909"/>
    <w:rsid w:val="0049327F"/>
    <w:rsid w:val="004C7A25"/>
    <w:rsid w:val="004D5CE7"/>
    <w:rsid w:val="004E0D23"/>
    <w:rsid w:val="0058641C"/>
    <w:rsid w:val="005C601F"/>
    <w:rsid w:val="0060236A"/>
    <w:rsid w:val="00611B2F"/>
    <w:rsid w:val="006230D1"/>
    <w:rsid w:val="00635F0F"/>
    <w:rsid w:val="006B2650"/>
    <w:rsid w:val="006C4168"/>
    <w:rsid w:val="007A39B0"/>
    <w:rsid w:val="00825B92"/>
    <w:rsid w:val="00856A34"/>
    <w:rsid w:val="008A1ED0"/>
    <w:rsid w:val="008B5A0E"/>
    <w:rsid w:val="008C3318"/>
    <w:rsid w:val="008D2CD6"/>
    <w:rsid w:val="008D610D"/>
    <w:rsid w:val="008F2370"/>
    <w:rsid w:val="00927480"/>
    <w:rsid w:val="00935211"/>
    <w:rsid w:val="0094275B"/>
    <w:rsid w:val="009D3982"/>
    <w:rsid w:val="00A00255"/>
    <w:rsid w:val="00A572BA"/>
    <w:rsid w:val="00AA2617"/>
    <w:rsid w:val="00AA7AC5"/>
    <w:rsid w:val="00B66724"/>
    <w:rsid w:val="00BE59A3"/>
    <w:rsid w:val="00BE6F34"/>
    <w:rsid w:val="00BF0D1C"/>
    <w:rsid w:val="00C130CA"/>
    <w:rsid w:val="00C3377B"/>
    <w:rsid w:val="00C52776"/>
    <w:rsid w:val="00C84415"/>
    <w:rsid w:val="00CA482A"/>
    <w:rsid w:val="00CC4503"/>
    <w:rsid w:val="00D05EA5"/>
    <w:rsid w:val="00D37EBF"/>
    <w:rsid w:val="00D44A3C"/>
    <w:rsid w:val="00D75F64"/>
    <w:rsid w:val="00D81FE7"/>
    <w:rsid w:val="00D84012"/>
    <w:rsid w:val="00E101F2"/>
    <w:rsid w:val="00EA719E"/>
    <w:rsid w:val="00ED107E"/>
    <w:rsid w:val="00EE708F"/>
    <w:rsid w:val="00F15A5B"/>
    <w:rsid w:val="00F1638D"/>
    <w:rsid w:val="00F47206"/>
    <w:rsid w:val="00F92058"/>
    <w:rsid w:val="00FC06B7"/>
    <w:rsid w:val="00FE3A4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FAD2E"/>
  <w15:chartTrackingRefBased/>
  <w15:docId w15:val="{5D0A977F-13F6-479F-8245-12522117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82A"/>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CA482A"/>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CA482A"/>
    <w:rPr>
      <w:sz w:val="24"/>
      <w:lang w:val="es-MX"/>
    </w:rPr>
  </w:style>
  <w:style w:type="paragraph" w:styleId="Encabezado">
    <w:name w:val="header"/>
    <w:basedOn w:val="Normal"/>
    <w:link w:val="EncabezadoCar"/>
    <w:uiPriority w:val="99"/>
    <w:unhideWhenUsed/>
    <w:rsid w:val="00CA482A"/>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CA482A"/>
    <w:rPr>
      <w:sz w:val="24"/>
      <w:lang w:val="es-MX"/>
    </w:rPr>
  </w:style>
  <w:style w:type="table" w:styleId="Tablaconcuadrcula">
    <w:name w:val="Table Grid"/>
    <w:basedOn w:val="Tablanormal"/>
    <w:uiPriority w:val="59"/>
    <w:rsid w:val="00CA4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CA482A"/>
    <w:pPr>
      <w:ind w:left="720"/>
      <w:contextualSpacing/>
    </w:pPr>
    <w:rPr>
      <w:rFonts w:asciiTheme="minorHAnsi" w:eastAsiaTheme="minorHAnsi" w:hAnsiTheme="minorHAnsi" w:cstheme="minorBidi"/>
      <w:szCs w:val="22"/>
      <w:lang w:val="es-MX" w:eastAsia="en-US"/>
    </w:rPr>
  </w:style>
  <w:style w:type="character" w:styleId="Hipervnculo">
    <w:name w:val="Hyperlink"/>
    <w:basedOn w:val="Fuentedeprrafopredeter"/>
    <w:uiPriority w:val="99"/>
    <w:unhideWhenUsed/>
    <w:rsid w:val="00CA482A"/>
    <w:rPr>
      <w:color w:val="0563C1" w:themeColor="hyperlink"/>
      <w:u w:val="single"/>
    </w:rPr>
  </w:style>
  <w:style w:type="paragraph" w:styleId="NormalWeb">
    <w:name w:val="Normal (Web)"/>
    <w:basedOn w:val="Normal"/>
    <w:link w:val="NormalWebCar"/>
    <w:uiPriority w:val="99"/>
    <w:unhideWhenUsed/>
    <w:rsid w:val="00CA482A"/>
    <w:pPr>
      <w:spacing w:before="100" w:beforeAutospacing="1" w:after="100" w:afterAutospacing="1"/>
    </w:pPr>
    <w:rPr>
      <w:lang w:eastAsia="es-CO"/>
    </w:rPr>
  </w:style>
  <w:style w:type="paragraph" w:styleId="Sinespaciado">
    <w:name w:val="No Spacing"/>
    <w:aliases w:val="No Indent"/>
    <w:uiPriority w:val="3"/>
    <w:qFormat/>
    <w:rsid w:val="00CA482A"/>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CA482A"/>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CA482A"/>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CA482A"/>
    <w:rPr>
      <w:rFonts w:ascii="Times New Roman" w:eastAsia="Times New Roman" w:hAnsi="Times New Roman" w:cs="Times New Roman"/>
      <w:sz w:val="20"/>
      <w:szCs w:val="20"/>
      <w:lang w:eastAsia="es-ES_tradn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CA482A"/>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CA482A"/>
    <w:rPr>
      <w:vertAlign w:val="superscript"/>
    </w:rPr>
  </w:style>
  <w:style w:type="paragraph" w:customStyle="1" w:styleId="paragraph">
    <w:name w:val="paragraph"/>
    <w:basedOn w:val="Normal"/>
    <w:uiPriority w:val="99"/>
    <w:rsid w:val="00CA482A"/>
    <w:pPr>
      <w:spacing w:before="100" w:beforeAutospacing="1" w:after="100" w:afterAutospacing="1"/>
    </w:pPr>
    <w:rPr>
      <w:lang w:eastAsia="es-CO"/>
    </w:rPr>
  </w:style>
  <w:style w:type="character" w:customStyle="1" w:styleId="normaltextrun">
    <w:name w:val="normaltextrun"/>
    <w:basedOn w:val="Fuentedeprrafopredeter"/>
    <w:rsid w:val="00CA482A"/>
  </w:style>
  <w:style w:type="paragraph" w:customStyle="1" w:styleId="Appelnotedebasde">
    <w:name w:val="Appel note de bas de..."/>
    <w:basedOn w:val="Normal"/>
    <w:link w:val="Refdenotaalpie"/>
    <w:uiPriority w:val="99"/>
    <w:rsid w:val="00CA482A"/>
    <w:pPr>
      <w:spacing w:after="160" w:line="240" w:lineRule="exact"/>
    </w:pPr>
    <w:rPr>
      <w:rFonts w:asciiTheme="minorHAnsi" w:eastAsiaTheme="minorHAnsi" w:hAnsiTheme="minorHAnsi" w:cstheme="minorBidi"/>
      <w:sz w:val="22"/>
      <w:szCs w:val="22"/>
      <w:vertAlign w:val="superscript"/>
      <w:lang w:eastAsia="en-US"/>
    </w:rPr>
  </w:style>
  <w:style w:type="character" w:customStyle="1" w:styleId="NormalWebCar">
    <w:name w:val="Normal (Web) Car"/>
    <w:link w:val="NormalWeb"/>
    <w:uiPriority w:val="99"/>
    <w:rsid w:val="00CA482A"/>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8C3318"/>
    <w:rPr>
      <w:b/>
      <w:bCs/>
    </w:rPr>
  </w:style>
  <w:style w:type="character" w:styleId="nfasis">
    <w:name w:val="Emphasis"/>
    <w:basedOn w:val="Fuentedeprrafopredeter"/>
    <w:uiPriority w:val="20"/>
    <w:qFormat/>
    <w:rsid w:val="008C3318"/>
    <w:rPr>
      <w:i/>
      <w:iCs/>
    </w:rPr>
  </w:style>
  <w:style w:type="character" w:styleId="Refdecomentario">
    <w:name w:val="annotation reference"/>
    <w:basedOn w:val="Fuentedeprrafopredeter"/>
    <w:uiPriority w:val="99"/>
    <w:semiHidden/>
    <w:unhideWhenUsed/>
    <w:rsid w:val="00B66724"/>
    <w:rPr>
      <w:sz w:val="16"/>
      <w:szCs w:val="16"/>
    </w:rPr>
  </w:style>
  <w:style w:type="paragraph" w:styleId="Textocomentario">
    <w:name w:val="annotation text"/>
    <w:basedOn w:val="Normal"/>
    <w:link w:val="TextocomentarioCar"/>
    <w:uiPriority w:val="99"/>
    <w:semiHidden/>
    <w:unhideWhenUsed/>
    <w:rsid w:val="00B66724"/>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B66724"/>
    <w:rPr>
      <w:sz w:val="20"/>
      <w:szCs w:val="20"/>
    </w:rPr>
  </w:style>
  <w:style w:type="paragraph" w:styleId="Textoindependiente">
    <w:name w:val="Body Text"/>
    <w:basedOn w:val="Normal"/>
    <w:link w:val="TextoindependienteCar"/>
    <w:uiPriority w:val="1"/>
    <w:qFormat/>
    <w:rsid w:val="00CC4503"/>
    <w:pPr>
      <w:widowControl w:val="0"/>
      <w:autoSpaceDE w:val="0"/>
      <w:autoSpaceDN w:val="0"/>
    </w:pPr>
    <w:rPr>
      <w:rFonts w:ascii="Arial" w:eastAsia="Arial" w:hAnsi="Arial" w:cs="Arial"/>
      <w:sz w:val="22"/>
      <w:szCs w:val="22"/>
      <w:lang w:val="es-ES" w:eastAsia="en-US"/>
    </w:rPr>
  </w:style>
  <w:style w:type="character" w:customStyle="1" w:styleId="TextoindependienteCar">
    <w:name w:val="Texto independiente Car"/>
    <w:basedOn w:val="Fuentedeprrafopredeter"/>
    <w:link w:val="Textoindependiente"/>
    <w:uiPriority w:val="1"/>
    <w:rsid w:val="00CC4503"/>
    <w:rPr>
      <w:rFonts w:ascii="Arial" w:eastAsia="Arial" w:hAnsi="Arial" w:cs="Arial"/>
      <w:lang w:val="es-ES"/>
    </w:rPr>
  </w:style>
  <w:style w:type="paragraph" w:styleId="Revisin">
    <w:name w:val="Revision"/>
    <w:hidden/>
    <w:uiPriority w:val="99"/>
    <w:semiHidden/>
    <w:rsid w:val="00856A34"/>
    <w:pPr>
      <w:spacing w:after="0" w:line="240" w:lineRule="auto"/>
    </w:pPr>
    <w:rPr>
      <w:rFonts w:ascii="Times New Roman" w:eastAsia="Times New Roman" w:hAnsi="Times New Roman" w:cs="Times New Roman"/>
      <w:sz w:val="24"/>
      <w:szCs w:val="24"/>
      <w:lang w:eastAsia="es-ES_tradnl"/>
    </w:rPr>
  </w:style>
  <w:style w:type="character" w:styleId="Hipervnculovisitado">
    <w:name w:val="FollowedHyperlink"/>
    <w:basedOn w:val="Fuentedeprrafopredeter"/>
    <w:uiPriority w:val="99"/>
    <w:semiHidden/>
    <w:unhideWhenUsed/>
    <w:rsid w:val="00EE708F"/>
    <w:rPr>
      <w:color w:val="954F72" w:themeColor="followedHyperlink"/>
      <w:u w:val="single"/>
    </w:rPr>
  </w:style>
  <w:style w:type="character" w:styleId="Mencinsinresolver">
    <w:name w:val="Unresolved Mention"/>
    <w:basedOn w:val="Fuentedeprrafopredeter"/>
    <w:uiPriority w:val="99"/>
    <w:semiHidden/>
    <w:unhideWhenUsed/>
    <w:rsid w:val="00EE708F"/>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9D3982"/>
    <w:pPr>
      <w:spacing w:after="0"/>
    </w:pPr>
    <w:rPr>
      <w:rFonts w:ascii="Times New Roman" w:eastAsia="Times New Roman" w:hAnsi="Times New Roman" w:cs="Times New Roman"/>
      <w:b/>
      <w:bCs/>
      <w:lang w:eastAsia="es-ES_tradnl"/>
    </w:rPr>
  </w:style>
  <w:style w:type="character" w:customStyle="1" w:styleId="AsuntodelcomentarioCar">
    <w:name w:val="Asunto del comentario Car"/>
    <w:basedOn w:val="TextocomentarioCar"/>
    <w:link w:val="Asuntodelcomentario"/>
    <w:uiPriority w:val="99"/>
    <w:semiHidden/>
    <w:rsid w:val="009D3982"/>
    <w:rPr>
      <w:rFonts w:ascii="Times New Roman" w:eastAsia="Times New Roman" w:hAnsi="Times New Roman" w:cs="Times New Roman"/>
      <w:b/>
      <w:bCs/>
      <w:sz w:val="20"/>
      <w:szCs w:val="20"/>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olombiacompra.gov.co/mesa-de-servicio" TargetMode="External"/><Relationship Id="rId4" Type="http://schemas.openxmlformats.org/officeDocument/2006/relationships/settings" Target="settings.xml"/><Relationship Id="rId9" Type="http://schemas.openxmlformats.org/officeDocument/2006/relationships/hyperlink" Target="https://www.colombiacompra.gov.co/secop-i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circular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7845B4E0-A315-4521-8491-9D0FC34928FD}">
  <ds:schemaRefs>
    <ds:schemaRef ds:uri="http://schemas.openxmlformats.org/officeDocument/2006/bibliography"/>
  </ds:schemaRefs>
</ds:datastoreItem>
</file>

<file path=customXml/itemProps2.xml><?xml version="1.0" encoding="utf-8"?>
<ds:datastoreItem xmlns:ds="http://schemas.openxmlformats.org/officeDocument/2006/customXml" ds:itemID="{7C4F0CDA-8D6A-4D4E-B416-5AA55F4C7413}"/>
</file>

<file path=customXml/itemProps3.xml><?xml version="1.0" encoding="utf-8"?>
<ds:datastoreItem xmlns:ds="http://schemas.openxmlformats.org/officeDocument/2006/customXml" ds:itemID="{2A05064A-9B28-4580-AC20-21B858886A5D}"/>
</file>

<file path=customXml/itemProps4.xml><?xml version="1.0" encoding="utf-8"?>
<ds:datastoreItem xmlns:ds="http://schemas.openxmlformats.org/officeDocument/2006/customXml" ds:itemID="{C34EFEFA-16BA-46D4-9C8C-3DC259BDE287}"/>
</file>

<file path=docProps/app.xml><?xml version="1.0" encoding="utf-8"?>
<Properties xmlns="http://schemas.openxmlformats.org/officeDocument/2006/extended-properties" xmlns:vt="http://schemas.openxmlformats.org/officeDocument/2006/docPropsVTypes">
  <Template>Normal</Template>
  <TotalTime>11</TotalTime>
  <Pages>30</Pages>
  <Words>10834</Words>
  <Characters>59588</Characters>
  <Application>Microsoft Office Word</Application>
  <DocSecurity>0</DocSecurity>
  <Lines>496</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Nathalia Urrego J.</dc:creator>
  <cp:keywords/>
  <dc:description/>
  <cp:lastModifiedBy>Nathalia Urrego J.</cp:lastModifiedBy>
  <cp:revision>4</cp:revision>
  <dcterms:created xsi:type="dcterms:W3CDTF">2022-03-18T23:33:00Z</dcterms:created>
  <dcterms:modified xsi:type="dcterms:W3CDTF">2022-03-23T02:51:00Z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