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2E8F" w14:textId="77777777" w:rsidR="00FE4C26" w:rsidRPr="004A1D82" w:rsidRDefault="00FE4C26" w:rsidP="00FE4C26">
      <w:pPr>
        <w:spacing w:line="276" w:lineRule="auto"/>
        <w:jc w:val="right"/>
        <w:rPr>
          <w:rFonts w:ascii="Arial" w:eastAsia="Calibri" w:hAnsi="Arial" w:cs="Arial"/>
          <w:b/>
          <w:bCs/>
          <w:color w:val="000000" w:themeColor="text1"/>
          <w:sz w:val="22"/>
        </w:rPr>
      </w:pPr>
      <w:bookmarkStart w:id="0" w:name="_Hlk47949675"/>
      <w:r w:rsidRPr="004A1D82">
        <w:rPr>
          <w:rFonts w:ascii="Arial" w:hAnsi="Arial" w:cs="Arial"/>
          <w:b/>
          <w:bCs/>
          <w:color w:val="000000" w:themeColor="text1"/>
          <w:sz w:val="16"/>
          <w:szCs w:val="16"/>
          <w:lang w:eastAsia="es-ES"/>
        </w:rPr>
        <w:t>CCE-DES-FM-17</w:t>
      </w:r>
    </w:p>
    <w:p w14:paraId="0E5EA32E" w14:textId="77777777" w:rsidR="003F18DE" w:rsidRPr="004A1D82" w:rsidRDefault="003F18DE" w:rsidP="00886E97">
      <w:pPr>
        <w:jc w:val="both"/>
        <w:rPr>
          <w:rFonts w:ascii="Arial" w:eastAsia="Calibri" w:hAnsi="Arial" w:cs="Arial"/>
          <w:b/>
          <w:color w:val="000000" w:themeColor="text1"/>
          <w:sz w:val="16"/>
          <w:szCs w:val="16"/>
          <w:lang w:eastAsia="en-US"/>
        </w:rPr>
      </w:pPr>
      <w:bookmarkStart w:id="1" w:name="_Hlk52928496"/>
      <w:bookmarkEnd w:id="0"/>
    </w:p>
    <w:p w14:paraId="589A9D5A" w14:textId="21B9DB71" w:rsidR="004C60C5" w:rsidRPr="004A1D82" w:rsidRDefault="004C60C5" w:rsidP="004C60C5">
      <w:pPr>
        <w:tabs>
          <w:tab w:val="left" w:pos="426"/>
        </w:tabs>
        <w:rPr>
          <w:rFonts w:ascii="Arial" w:eastAsia="Calibri" w:hAnsi="Arial" w:cs="Arial"/>
          <w:b/>
          <w:bCs/>
          <w:color w:val="000000" w:themeColor="text1"/>
          <w:sz w:val="22"/>
          <w:szCs w:val="22"/>
        </w:rPr>
      </w:pPr>
      <w:bookmarkStart w:id="2" w:name="_Hlk77152637"/>
      <w:bookmarkStart w:id="3" w:name="_Hlk77157066"/>
      <w:bookmarkEnd w:id="1"/>
      <w:r w:rsidRPr="004A1D82">
        <w:rPr>
          <w:rFonts w:ascii="Arial" w:eastAsia="Calibri" w:hAnsi="Arial" w:cs="Arial"/>
          <w:b/>
          <w:bCs/>
          <w:color w:val="000000" w:themeColor="text1"/>
          <w:sz w:val="22"/>
          <w:szCs w:val="22"/>
        </w:rPr>
        <w:t>LEY DE GARANTÍAS ELECTORALES ‒</w:t>
      </w:r>
      <w:bookmarkEnd w:id="2"/>
      <w:r w:rsidRPr="004A1D82">
        <w:rPr>
          <w:rFonts w:ascii="Arial" w:eastAsia="Calibri" w:hAnsi="Arial" w:cs="Arial"/>
          <w:b/>
          <w:bCs/>
          <w:color w:val="000000" w:themeColor="text1"/>
          <w:sz w:val="22"/>
          <w:szCs w:val="22"/>
        </w:rPr>
        <w:t xml:space="preserve"> </w:t>
      </w:r>
      <w:r w:rsidR="00E5404C" w:rsidRPr="004A1D82">
        <w:rPr>
          <w:rFonts w:ascii="Arial" w:eastAsia="Calibri" w:hAnsi="Arial" w:cs="Arial"/>
          <w:b/>
          <w:bCs/>
          <w:color w:val="000000" w:themeColor="text1"/>
          <w:sz w:val="22"/>
          <w:szCs w:val="22"/>
          <w:lang w:val="es-ES_tradnl" w:eastAsia="en-US"/>
        </w:rPr>
        <w:t xml:space="preserve">Definición </w:t>
      </w:r>
      <w:r w:rsidR="00E5404C" w:rsidRPr="004A1D82">
        <w:rPr>
          <w:rFonts w:ascii="Arial" w:eastAsia="Calibri" w:hAnsi="Arial" w:cs="Arial"/>
          <w:b/>
          <w:bCs/>
          <w:color w:val="000000" w:themeColor="text1"/>
          <w:sz w:val="22"/>
          <w:szCs w:val="22"/>
        </w:rPr>
        <w:t>‒</w:t>
      </w:r>
      <w:r w:rsidR="00E5404C" w:rsidRPr="004A1D82">
        <w:rPr>
          <w:rFonts w:ascii="Arial" w:eastAsia="Calibri" w:hAnsi="Arial" w:cs="Arial"/>
          <w:b/>
          <w:bCs/>
          <w:color w:val="000000" w:themeColor="text1"/>
          <w:sz w:val="22"/>
          <w:szCs w:val="22"/>
          <w:lang w:val="es-ES_tradnl" w:eastAsia="en-US"/>
        </w:rPr>
        <w:t xml:space="preserve"> </w:t>
      </w:r>
      <w:r w:rsidR="00E5404C">
        <w:rPr>
          <w:rFonts w:ascii="Arial" w:eastAsia="Calibri" w:hAnsi="Arial" w:cs="Arial"/>
          <w:b/>
          <w:bCs/>
          <w:color w:val="000000" w:themeColor="text1"/>
          <w:sz w:val="22"/>
          <w:szCs w:val="22"/>
          <w:lang w:val="es-ES_tradnl" w:eastAsia="en-US"/>
        </w:rPr>
        <w:t>F</w:t>
      </w:r>
      <w:r w:rsidR="00E5404C" w:rsidRPr="004A1D82">
        <w:rPr>
          <w:rFonts w:ascii="Arial" w:eastAsia="Calibri" w:hAnsi="Arial" w:cs="Arial"/>
          <w:b/>
          <w:bCs/>
          <w:color w:val="000000" w:themeColor="text1"/>
          <w:sz w:val="22"/>
          <w:szCs w:val="22"/>
          <w:lang w:val="es-ES_tradnl" w:eastAsia="en-US"/>
        </w:rPr>
        <w:t xml:space="preserve">inalidad </w:t>
      </w:r>
    </w:p>
    <w:p w14:paraId="3E93586B" w14:textId="77777777" w:rsidR="004C60C5" w:rsidRPr="004A1D82" w:rsidRDefault="004C60C5" w:rsidP="004C60C5">
      <w:pPr>
        <w:tabs>
          <w:tab w:val="left" w:pos="426"/>
        </w:tabs>
        <w:rPr>
          <w:rFonts w:ascii="Arial" w:eastAsia="Calibri" w:hAnsi="Arial" w:cs="Arial"/>
          <w:b/>
          <w:bCs/>
          <w:color w:val="000000" w:themeColor="text1"/>
          <w:sz w:val="20"/>
          <w:szCs w:val="20"/>
        </w:rPr>
      </w:pPr>
    </w:p>
    <w:bookmarkEnd w:id="3"/>
    <w:p w14:paraId="35B3C8BA" w14:textId="72242FE0" w:rsidR="004C60C5" w:rsidRPr="00E5404C" w:rsidRDefault="004C60C5" w:rsidP="004C60C5">
      <w:pPr>
        <w:tabs>
          <w:tab w:val="left" w:pos="426"/>
        </w:tabs>
        <w:jc w:val="both"/>
        <w:rPr>
          <w:rFonts w:ascii="Arial" w:eastAsia="Calibri" w:hAnsi="Arial" w:cs="Arial"/>
          <w:noProof/>
          <w:color w:val="000000" w:themeColor="text1"/>
          <w:sz w:val="20"/>
          <w:szCs w:val="20"/>
        </w:rPr>
      </w:pPr>
      <w:r w:rsidRPr="004A1D82">
        <w:rPr>
          <w:rFonts w:ascii="Arial" w:eastAsia="Calibri" w:hAnsi="Arial" w:cs="Arial"/>
          <w:noProof/>
          <w:color w:val="000000" w:themeColor="text1"/>
          <w:sz w:val="20"/>
          <w:szCs w:val="20"/>
          <w:lang w:val="es-ES_tradnl"/>
        </w:rPr>
        <w:t xml:space="preserve">[…] </w:t>
      </w:r>
      <w:r w:rsidR="00E5404C" w:rsidRPr="00E5404C">
        <w:rPr>
          <w:rFonts w:ascii="Arial" w:eastAsia="Calibri" w:hAnsi="Arial" w:cs="Arial"/>
          <w:noProof/>
          <w:color w:val="000000" w:themeColor="text1"/>
          <w:sz w:val="20"/>
          <w:szCs w:val="20"/>
        </w:rPr>
        <w:t>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w:t>
      </w:r>
      <w:r w:rsidRPr="00E5404C">
        <w:rPr>
          <w:rFonts w:ascii="Arial" w:eastAsia="Calibri" w:hAnsi="Arial" w:cs="Arial"/>
          <w:noProof/>
          <w:color w:val="000000" w:themeColor="text1"/>
          <w:sz w:val="20"/>
          <w:szCs w:val="20"/>
        </w:rPr>
        <w:t>.</w:t>
      </w:r>
    </w:p>
    <w:p w14:paraId="4D2868D4" w14:textId="77777777" w:rsidR="004C60C5" w:rsidRPr="004A1D82" w:rsidRDefault="004C60C5" w:rsidP="004C60C5">
      <w:pPr>
        <w:tabs>
          <w:tab w:val="left" w:pos="426"/>
        </w:tabs>
        <w:rPr>
          <w:rFonts w:ascii="Arial" w:eastAsia="Calibri" w:hAnsi="Arial" w:cs="Arial"/>
          <w:noProof/>
          <w:color w:val="000000" w:themeColor="text1"/>
          <w:sz w:val="20"/>
          <w:szCs w:val="20"/>
          <w:lang w:val="es-ES_tradnl"/>
        </w:rPr>
      </w:pPr>
    </w:p>
    <w:p w14:paraId="224A5E04" w14:textId="4F47735B" w:rsidR="004C60C5" w:rsidRPr="00747E88" w:rsidRDefault="00747E88" w:rsidP="004C60C5">
      <w:pPr>
        <w:tabs>
          <w:tab w:val="left" w:pos="426"/>
        </w:tabs>
        <w:jc w:val="both"/>
        <w:rPr>
          <w:rFonts w:ascii="Arial" w:eastAsia="Calibri" w:hAnsi="Arial" w:cs="Arial"/>
          <w:b/>
          <w:bCs/>
          <w:color w:val="000000" w:themeColor="text1"/>
          <w:sz w:val="22"/>
          <w:szCs w:val="22"/>
          <w:lang w:val="es-ES_tradnl" w:eastAsia="en-US"/>
        </w:rPr>
      </w:pPr>
      <w:r w:rsidRPr="000D05FB">
        <w:rPr>
          <w:rFonts w:ascii="Arial" w:eastAsia="Calibri" w:hAnsi="Arial" w:cs="Arial"/>
          <w:b/>
          <w:bCs/>
          <w:color w:val="000000" w:themeColor="text1"/>
          <w:sz w:val="22"/>
          <w:szCs w:val="22"/>
          <w:lang w:val="es-ES_tradnl" w:eastAsia="en-US"/>
        </w:rPr>
        <w:t xml:space="preserve">LEY DE GARANTÍAS ELECTORALES ‒ Restricciones </w:t>
      </w:r>
      <w:bookmarkStart w:id="4" w:name="_Hlk77157034"/>
      <w:r w:rsidRPr="000D05FB">
        <w:rPr>
          <w:rFonts w:ascii="Arial" w:eastAsia="Calibri" w:hAnsi="Arial" w:cs="Arial"/>
          <w:b/>
          <w:bCs/>
          <w:color w:val="000000" w:themeColor="text1"/>
          <w:sz w:val="22"/>
          <w:szCs w:val="22"/>
          <w:lang w:val="es-ES_tradnl" w:eastAsia="en-US"/>
        </w:rPr>
        <w:t xml:space="preserve">‒ </w:t>
      </w:r>
      <w:bookmarkEnd w:id="4"/>
      <w:r w:rsidRPr="000D05FB">
        <w:rPr>
          <w:rFonts w:ascii="Arial" w:eastAsia="Calibri" w:hAnsi="Arial" w:cs="Arial"/>
          <w:b/>
          <w:bCs/>
          <w:color w:val="000000" w:themeColor="text1"/>
          <w:sz w:val="22"/>
          <w:szCs w:val="22"/>
          <w:lang w:val="es-ES_tradnl" w:eastAsia="en-US"/>
        </w:rPr>
        <w:t>Contratación</w:t>
      </w:r>
      <w:bookmarkStart w:id="5" w:name="_Hlk77153098"/>
      <w:r w:rsidRPr="000D05FB">
        <w:rPr>
          <w:rFonts w:ascii="Arial" w:eastAsia="Calibri" w:hAnsi="Arial" w:cs="Arial"/>
          <w:b/>
          <w:bCs/>
          <w:color w:val="000000" w:themeColor="text1"/>
          <w:sz w:val="22"/>
          <w:szCs w:val="22"/>
          <w:lang w:val="es-ES_tradnl" w:eastAsia="en-US"/>
        </w:rPr>
        <w:t xml:space="preserve"> ‒ Tipos de elección</w:t>
      </w:r>
      <w:bookmarkEnd w:id="5"/>
      <w:r w:rsidRPr="000D05FB">
        <w:rPr>
          <w:rFonts w:ascii="Arial" w:eastAsia="Calibri" w:hAnsi="Arial" w:cs="Arial"/>
          <w:b/>
          <w:bCs/>
          <w:color w:val="000000" w:themeColor="text1"/>
          <w:sz w:val="22"/>
          <w:szCs w:val="22"/>
          <w:lang w:val="es-ES_tradnl" w:eastAsia="en-US"/>
        </w:rPr>
        <w:t xml:space="preserve"> </w:t>
      </w:r>
    </w:p>
    <w:p w14:paraId="1A05807E" w14:textId="77777777" w:rsidR="004C60C5" w:rsidRPr="004A1D82" w:rsidRDefault="004C60C5" w:rsidP="004C60C5">
      <w:pPr>
        <w:tabs>
          <w:tab w:val="left" w:pos="426"/>
        </w:tabs>
        <w:rPr>
          <w:rFonts w:ascii="Arial" w:eastAsia="Calibri" w:hAnsi="Arial" w:cs="Arial"/>
          <w:noProof/>
          <w:color w:val="000000" w:themeColor="text1"/>
          <w:sz w:val="20"/>
          <w:szCs w:val="20"/>
        </w:rPr>
      </w:pPr>
    </w:p>
    <w:p w14:paraId="6E80DB73" w14:textId="2AB7907C" w:rsidR="00747E88" w:rsidRPr="00747E88" w:rsidRDefault="004C60C5" w:rsidP="00223E65">
      <w:pPr>
        <w:spacing w:after="120"/>
        <w:jc w:val="both"/>
        <w:rPr>
          <w:rFonts w:ascii="Arial" w:eastAsia="Calibri" w:hAnsi="Arial" w:cs="Arial"/>
          <w:noProof/>
          <w:color w:val="000000" w:themeColor="text1"/>
          <w:sz w:val="20"/>
          <w:szCs w:val="20"/>
        </w:rPr>
      </w:pPr>
      <w:r w:rsidRPr="004A1D82">
        <w:rPr>
          <w:rFonts w:ascii="Arial" w:eastAsia="Calibri" w:hAnsi="Arial" w:cs="Arial"/>
          <w:noProof/>
          <w:color w:val="000000" w:themeColor="text1"/>
          <w:sz w:val="20"/>
          <w:szCs w:val="20"/>
        </w:rPr>
        <w:t xml:space="preserve">[…] </w:t>
      </w:r>
      <w:r w:rsidR="00747E88" w:rsidRPr="00747E88">
        <w:rPr>
          <w:rFonts w:ascii="Arial" w:eastAsia="Calibri" w:hAnsi="Arial" w:cs="Arial"/>
          <w:noProof/>
          <w:color w:val="000000" w:themeColor="text1"/>
          <w:sz w:val="20"/>
          <w:szCs w:val="20"/>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00223E65">
        <w:rPr>
          <w:rFonts w:ascii="Arial" w:eastAsia="Calibri" w:hAnsi="Arial" w:cs="Arial"/>
          <w:noProof/>
          <w:color w:val="000000" w:themeColor="text1"/>
          <w:sz w:val="20"/>
          <w:szCs w:val="20"/>
        </w:rPr>
        <w:t xml:space="preserve"> </w:t>
      </w:r>
      <w:r w:rsidR="00747E88" w:rsidRPr="00747E88">
        <w:rPr>
          <w:rFonts w:ascii="Arial" w:eastAsia="Calibri" w:hAnsi="Arial" w:cs="Arial"/>
          <w:noProof/>
          <w:color w:val="000000" w:themeColor="text1"/>
          <w:sz w:val="20"/>
          <w:szCs w:val="20"/>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20FB6547" w14:textId="77777777" w:rsidR="00371F43" w:rsidRPr="004A1D82" w:rsidRDefault="00371F43" w:rsidP="00652BAA">
      <w:pPr>
        <w:jc w:val="both"/>
        <w:rPr>
          <w:rFonts w:ascii="Arial" w:eastAsia="Calibri" w:hAnsi="Arial" w:cs="Arial"/>
          <w:color w:val="000000" w:themeColor="text1"/>
          <w:sz w:val="20"/>
          <w:szCs w:val="20"/>
          <w:lang w:eastAsia="en-US"/>
        </w:rPr>
      </w:pPr>
    </w:p>
    <w:p w14:paraId="33007A0C" w14:textId="5918EE17" w:rsidR="00160CB0" w:rsidRPr="004A1D82" w:rsidRDefault="00264FB8" w:rsidP="00264FB8">
      <w:pPr>
        <w:jc w:val="both"/>
        <w:rPr>
          <w:rFonts w:ascii="Arial" w:hAnsi="Arial" w:cs="Arial"/>
          <w:b/>
          <w:color w:val="000000" w:themeColor="text1"/>
          <w:sz w:val="22"/>
          <w:szCs w:val="22"/>
          <w:lang w:val="es-ES" w:eastAsia="es-CO"/>
        </w:rPr>
      </w:pPr>
      <w:r w:rsidRPr="000D05FB">
        <w:rPr>
          <w:rFonts w:ascii="Arial" w:eastAsia="Calibri" w:hAnsi="Arial" w:cs="Arial"/>
          <w:b/>
          <w:bCs/>
          <w:sz w:val="22"/>
          <w:szCs w:val="22"/>
          <w:lang w:val="es-ES_tradnl" w:eastAsia="en-US"/>
        </w:rPr>
        <w:t>LEY DE GARANTÍAS ELECTORALES ─ Prohibición artículo 33 ‒ Contratación directa ‒ Alcance</w:t>
      </w:r>
    </w:p>
    <w:p w14:paraId="3456E71E" w14:textId="77777777" w:rsidR="00160CB0" w:rsidRPr="004A1D82" w:rsidRDefault="00160CB0" w:rsidP="00160CB0">
      <w:pPr>
        <w:tabs>
          <w:tab w:val="left" w:pos="426"/>
        </w:tabs>
        <w:rPr>
          <w:rFonts w:ascii="Arial" w:eastAsia="Calibri" w:hAnsi="Arial" w:cs="Arial"/>
          <w:noProof/>
          <w:color w:val="000000" w:themeColor="text1"/>
          <w:sz w:val="20"/>
          <w:szCs w:val="20"/>
          <w:lang w:val="es-ES"/>
        </w:rPr>
      </w:pPr>
    </w:p>
    <w:p w14:paraId="714BAFFE" w14:textId="71648171" w:rsidR="00264FB8" w:rsidRPr="00264FB8" w:rsidRDefault="00160CB0" w:rsidP="00B1521D">
      <w:pPr>
        <w:jc w:val="both"/>
        <w:rPr>
          <w:rFonts w:ascii="Arial" w:eastAsia="Calibri" w:hAnsi="Arial" w:cs="Arial"/>
          <w:noProof/>
          <w:color w:val="000000" w:themeColor="text1"/>
          <w:sz w:val="20"/>
          <w:szCs w:val="20"/>
        </w:rPr>
      </w:pPr>
      <w:r w:rsidRPr="004A1D82">
        <w:rPr>
          <w:rFonts w:ascii="Arial" w:eastAsia="Calibri" w:hAnsi="Arial" w:cs="Arial"/>
          <w:noProof/>
          <w:color w:val="000000" w:themeColor="text1"/>
          <w:sz w:val="20"/>
          <w:szCs w:val="20"/>
        </w:rPr>
        <w:t xml:space="preserve">[…] </w:t>
      </w:r>
      <w:r w:rsidR="00264FB8" w:rsidRPr="00264FB8">
        <w:rPr>
          <w:rFonts w:ascii="Arial" w:eastAsia="Calibri" w:hAnsi="Arial" w:cs="Arial"/>
          <w:noProof/>
          <w:color w:val="000000" w:themeColor="text1"/>
          <w:sz w:val="20"/>
          <w:szCs w:val="20"/>
        </w:rPr>
        <w:t>El ámbito material de la prohibición contenida en el artículo 33 de la ley 996 de 2005 está delimitado por la expresión «queda prohibida la contratación directa»</w:t>
      </w:r>
      <w:r w:rsidR="00B1521D">
        <w:rPr>
          <w:rFonts w:ascii="Arial" w:eastAsia="Calibri" w:hAnsi="Arial" w:cs="Arial"/>
          <w:noProof/>
          <w:color w:val="000000" w:themeColor="text1"/>
          <w:sz w:val="20"/>
          <w:szCs w:val="20"/>
        </w:rPr>
        <w:t xml:space="preserve">. </w:t>
      </w:r>
      <w:r w:rsidR="00B1521D" w:rsidRPr="004A1D82">
        <w:rPr>
          <w:rFonts w:ascii="Arial" w:eastAsia="Calibri" w:hAnsi="Arial" w:cs="Arial"/>
          <w:noProof/>
          <w:color w:val="000000" w:themeColor="text1"/>
          <w:sz w:val="20"/>
          <w:szCs w:val="20"/>
        </w:rPr>
        <w:t>[…]</w:t>
      </w:r>
      <w:r w:rsidR="00B1521D">
        <w:rPr>
          <w:rFonts w:ascii="Arial" w:eastAsia="Calibri" w:hAnsi="Arial" w:cs="Arial"/>
          <w:noProof/>
          <w:color w:val="000000" w:themeColor="text1"/>
          <w:sz w:val="20"/>
          <w:szCs w:val="20"/>
        </w:rPr>
        <w:t xml:space="preserve"> </w:t>
      </w:r>
      <w:r w:rsidR="00264FB8" w:rsidRPr="00264FB8">
        <w:rPr>
          <w:rFonts w:ascii="Arial" w:eastAsia="Calibri" w:hAnsi="Arial" w:cs="Arial"/>
          <w:noProof/>
          <w:color w:val="000000" w:themeColor="text1"/>
          <w:sz w:val="20"/>
          <w:szCs w:val="20"/>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De lo anterior se desprende que la restricción aplica, sin perjuicio de las excepciones establecidas en la misma ley, para celebrar cualquier contrato de forma directa, esto es, sin que exista un proceso abierto y competitivo.</w:t>
      </w:r>
    </w:p>
    <w:p w14:paraId="04ED2BB0" w14:textId="7FABA99E" w:rsidR="00160CB0" w:rsidRPr="004A1D82" w:rsidRDefault="00160CB0" w:rsidP="00160CB0">
      <w:pPr>
        <w:tabs>
          <w:tab w:val="left" w:pos="426"/>
        </w:tabs>
        <w:jc w:val="both"/>
        <w:rPr>
          <w:rFonts w:ascii="Arial" w:eastAsia="Calibri" w:hAnsi="Arial" w:cs="Arial"/>
          <w:noProof/>
          <w:color w:val="000000" w:themeColor="text1"/>
          <w:sz w:val="20"/>
          <w:szCs w:val="20"/>
        </w:rPr>
      </w:pPr>
    </w:p>
    <w:p w14:paraId="1B1B04CA" w14:textId="4B49C725" w:rsidR="00CF7275" w:rsidRDefault="009F2CD0" w:rsidP="00A2084E">
      <w:pPr>
        <w:jc w:val="both"/>
        <w:rPr>
          <w:rFonts w:ascii="Arial" w:hAnsi="Arial" w:cs="Arial"/>
          <w:b/>
          <w:bCs/>
          <w:sz w:val="22"/>
          <w:szCs w:val="22"/>
          <w:lang w:val="es-ES_tradnl" w:eastAsia="es-CO"/>
        </w:rPr>
      </w:pPr>
      <w:r w:rsidRPr="000D05FB">
        <w:rPr>
          <w:rFonts w:ascii="Arial" w:hAnsi="Arial" w:cs="Arial"/>
          <w:b/>
          <w:bCs/>
          <w:sz w:val="22"/>
          <w:szCs w:val="22"/>
          <w:lang w:val="es-ES_tradnl" w:eastAsia="es-CO"/>
        </w:rPr>
        <w:t xml:space="preserve">LEY DE GARANTÍAS ELECTORALES </w:t>
      </w:r>
      <w:bookmarkStart w:id="6" w:name="_Hlk77022358"/>
      <w:r w:rsidRPr="000D05FB">
        <w:rPr>
          <w:rFonts w:ascii="Arial" w:hAnsi="Arial" w:cs="Arial"/>
          <w:b/>
          <w:bCs/>
          <w:sz w:val="22"/>
          <w:szCs w:val="22"/>
          <w:lang w:val="es-ES_tradnl" w:eastAsia="es-CO"/>
        </w:rPr>
        <w:t>‒</w:t>
      </w:r>
      <w:bookmarkEnd w:id="6"/>
      <w:r w:rsidRPr="000D05FB">
        <w:rPr>
          <w:rFonts w:ascii="Arial" w:hAnsi="Arial" w:cs="Arial"/>
          <w:b/>
          <w:bCs/>
          <w:sz w:val="22"/>
          <w:szCs w:val="22"/>
          <w:lang w:val="es-ES_tradnl" w:eastAsia="es-CO"/>
        </w:rPr>
        <w:t xml:space="preserve"> Excepciones</w:t>
      </w:r>
    </w:p>
    <w:p w14:paraId="6869B3CD" w14:textId="3A23A5C0" w:rsidR="009F2CD0" w:rsidRDefault="009F2CD0" w:rsidP="00A2084E">
      <w:pPr>
        <w:jc w:val="both"/>
        <w:rPr>
          <w:rFonts w:ascii="Arial" w:hAnsi="Arial" w:cs="Arial"/>
          <w:b/>
          <w:bCs/>
          <w:sz w:val="22"/>
          <w:szCs w:val="22"/>
          <w:lang w:val="es-ES_tradnl" w:eastAsia="es-CO"/>
        </w:rPr>
      </w:pPr>
    </w:p>
    <w:p w14:paraId="049A8E45" w14:textId="507B92D6" w:rsidR="009F2CD0" w:rsidRPr="004A1D82" w:rsidRDefault="00C81F76" w:rsidP="00A2084E">
      <w:pPr>
        <w:jc w:val="both"/>
        <w:rPr>
          <w:rFonts w:ascii="Arial" w:eastAsia="Calibri" w:hAnsi="Arial" w:cs="Arial"/>
          <w:noProof/>
          <w:color w:val="000000" w:themeColor="text1"/>
          <w:sz w:val="20"/>
          <w:szCs w:val="20"/>
        </w:rPr>
      </w:pPr>
      <w:r w:rsidRPr="004A1D82">
        <w:rPr>
          <w:rFonts w:ascii="Arial" w:eastAsia="Calibri" w:hAnsi="Arial" w:cs="Arial"/>
          <w:noProof/>
          <w:color w:val="000000" w:themeColor="text1"/>
          <w:sz w:val="20"/>
          <w:szCs w:val="20"/>
        </w:rPr>
        <w:t xml:space="preserve">[…] </w:t>
      </w:r>
      <w:r w:rsidRPr="00C81F76">
        <w:rPr>
          <w:rFonts w:ascii="Arial" w:eastAsia="Calibri" w:hAnsi="Arial" w:cs="Arial"/>
          <w:noProof/>
          <w:color w:val="000000" w:themeColor="text1"/>
          <w:sz w:val="20"/>
          <w:szCs w:val="20"/>
        </w:rPr>
        <w:t>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0B8C4F4D" w14:textId="77777777" w:rsidR="00D43FAB" w:rsidRDefault="00D43FAB" w:rsidP="00264FB8">
      <w:pPr>
        <w:spacing w:after="120"/>
        <w:jc w:val="both"/>
        <w:rPr>
          <w:rFonts w:ascii="Arial" w:hAnsi="Arial" w:cs="Arial"/>
          <w:noProof/>
          <w:color w:val="000000" w:themeColor="text1"/>
          <w:sz w:val="22"/>
          <w:lang w:val="es-ES_tradnl"/>
        </w:rPr>
      </w:pPr>
    </w:p>
    <w:p w14:paraId="20CAFD6A" w14:textId="341769F6" w:rsidR="00D43FAB" w:rsidRPr="000D05FB" w:rsidRDefault="00D43FAB" w:rsidP="00D43FAB">
      <w:pPr>
        <w:jc w:val="both"/>
        <w:rPr>
          <w:rFonts w:ascii="Arial" w:hAnsi="Arial" w:cs="Arial"/>
          <w:b/>
          <w:sz w:val="22"/>
          <w:szCs w:val="22"/>
          <w:lang w:val="es-ES_tradnl" w:eastAsia="es-CO"/>
        </w:rPr>
      </w:pPr>
      <w:r w:rsidRPr="000D05FB">
        <w:rPr>
          <w:rFonts w:ascii="Arial" w:hAnsi="Arial" w:cs="Arial"/>
          <w:b/>
          <w:bCs/>
          <w:sz w:val="22"/>
          <w:szCs w:val="22"/>
          <w:lang w:val="es-ES_tradnl" w:eastAsia="es-CO"/>
        </w:rPr>
        <w:t xml:space="preserve">LEY DE GARANTÍAS ELECTORALES </w:t>
      </w:r>
      <w:bookmarkStart w:id="7" w:name="_Hlk77166669"/>
      <w:r w:rsidRPr="000D05FB">
        <w:rPr>
          <w:rFonts w:ascii="Arial" w:hAnsi="Arial" w:cs="Arial"/>
          <w:b/>
          <w:bCs/>
          <w:sz w:val="22"/>
          <w:szCs w:val="22"/>
          <w:lang w:val="es-ES_tradnl" w:eastAsia="es-CO"/>
        </w:rPr>
        <w:t>‒</w:t>
      </w:r>
      <w:bookmarkEnd w:id="7"/>
      <w:r w:rsidRPr="000D05FB">
        <w:rPr>
          <w:rFonts w:ascii="Arial" w:hAnsi="Arial" w:cs="Arial"/>
          <w:b/>
          <w:bCs/>
          <w:sz w:val="22"/>
          <w:szCs w:val="22"/>
          <w:lang w:val="es-ES_tradnl" w:eastAsia="es-CO"/>
        </w:rPr>
        <w:t xml:space="preserve"> </w:t>
      </w:r>
      <w:r w:rsidRPr="000D05FB">
        <w:rPr>
          <w:rFonts w:ascii="Arial" w:hAnsi="Arial" w:cs="Arial"/>
          <w:b/>
          <w:sz w:val="22"/>
          <w:szCs w:val="22"/>
          <w:lang w:val="es-ES_tradnl" w:eastAsia="es-CO"/>
        </w:rPr>
        <w:t xml:space="preserve">Prohibición del artículo 33 </w:t>
      </w:r>
      <w:r w:rsidRPr="000D05FB">
        <w:rPr>
          <w:rFonts w:ascii="Arial" w:hAnsi="Arial" w:cs="Arial"/>
          <w:b/>
          <w:bCs/>
          <w:sz w:val="22"/>
          <w:szCs w:val="22"/>
          <w:lang w:val="es-ES_tradnl" w:eastAsia="es-CO"/>
        </w:rPr>
        <w:t>‒ Destinatarios</w:t>
      </w:r>
    </w:p>
    <w:p w14:paraId="26688714" w14:textId="77777777" w:rsidR="00D43FAB" w:rsidRPr="000D05FB" w:rsidRDefault="00D43FAB" w:rsidP="00D43FAB">
      <w:pPr>
        <w:tabs>
          <w:tab w:val="left" w:pos="426"/>
        </w:tabs>
        <w:jc w:val="both"/>
        <w:rPr>
          <w:rFonts w:ascii="Arial" w:eastAsia="Calibri" w:hAnsi="Arial" w:cs="Arial"/>
          <w:noProof/>
          <w:sz w:val="22"/>
          <w:szCs w:val="22"/>
          <w:lang w:val="es-ES_tradnl" w:eastAsia="en-US"/>
        </w:rPr>
      </w:pPr>
    </w:p>
    <w:p w14:paraId="1312CD41" w14:textId="6666B23D" w:rsidR="00D43FAB" w:rsidRDefault="00D43FAB" w:rsidP="00D43FAB">
      <w:pPr>
        <w:tabs>
          <w:tab w:val="left" w:pos="426"/>
        </w:tabs>
        <w:jc w:val="both"/>
        <w:rPr>
          <w:rFonts w:ascii="Arial" w:hAnsi="Arial" w:cs="Arial"/>
          <w:bCs/>
          <w:sz w:val="20"/>
          <w:szCs w:val="20"/>
          <w:lang w:val="es-ES_tradnl" w:eastAsia="x-none"/>
        </w:rPr>
      </w:pPr>
      <w:r w:rsidRPr="000D05FB">
        <w:rPr>
          <w:rFonts w:ascii="Arial" w:hAnsi="Arial" w:cs="Arial"/>
          <w:bCs/>
          <w:sz w:val="20"/>
          <w:szCs w:val="20"/>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0D05FB">
        <w:rPr>
          <w:rFonts w:ascii="Arial" w:eastAsia="Calibri" w:hAnsi="Arial" w:cs="Arial"/>
          <w:sz w:val="20"/>
          <w:szCs w:val="20"/>
          <w:lang w:val="es-ES_tradnl" w:eastAsia="en-US"/>
        </w:rPr>
        <w:t xml:space="preserve"> </w:t>
      </w:r>
      <w:r w:rsidRPr="000D05FB">
        <w:rPr>
          <w:rFonts w:ascii="Arial" w:hAnsi="Arial" w:cs="Arial"/>
          <w:bCs/>
          <w:sz w:val="20"/>
          <w:szCs w:val="20"/>
          <w:lang w:val="es-ES_tradnl" w:eastAsia="x-none"/>
        </w:rPr>
        <w:t>En efecto, tal como lo ha sostenido el Consejo de Estado, el vocablo «todos» utilizado por el legislador comprende</w:t>
      </w:r>
      <w:r w:rsidRPr="000D05FB">
        <w:rPr>
          <w:rFonts w:ascii="Arial" w:eastAsia="Calibri" w:hAnsi="Arial" w:cs="Arial"/>
          <w:sz w:val="20"/>
          <w:szCs w:val="20"/>
          <w:lang w:val="es-ES_tradnl" w:eastAsia="en-US"/>
        </w:rPr>
        <w:t xml:space="preserve"> </w:t>
      </w:r>
      <w:r w:rsidRPr="000D05FB">
        <w:rPr>
          <w:rFonts w:ascii="Arial" w:hAnsi="Arial" w:cs="Arial"/>
          <w:bCs/>
          <w:sz w:val="20"/>
          <w:szCs w:val="20"/>
          <w:lang w:val="es-ES_tradnl"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0CD0BD35" w14:textId="3EF75513" w:rsidR="00DA0A02" w:rsidRDefault="00DA0A02" w:rsidP="00D43FAB">
      <w:pPr>
        <w:tabs>
          <w:tab w:val="left" w:pos="426"/>
        </w:tabs>
        <w:jc w:val="both"/>
        <w:rPr>
          <w:rFonts w:ascii="Arial" w:hAnsi="Arial" w:cs="Arial"/>
          <w:bCs/>
          <w:sz w:val="20"/>
          <w:szCs w:val="20"/>
          <w:lang w:val="es-ES_tradnl" w:eastAsia="x-none"/>
        </w:rPr>
      </w:pPr>
    </w:p>
    <w:p w14:paraId="318783EF" w14:textId="1597E07F" w:rsidR="00DA0A02" w:rsidRDefault="00DA0A02" w:rsidP="00D43FAB">
      <w:pPr>
        <w:tabs>
          <w:tab w:val="left" w:pos="426"/>
        </w:tabs>
        <w:jc w:val="both"/>
        <w:rPr>
          <w:rFonts w:ascii="Arial" w:eastAsia="Calibri" w:hAnsi="Arial" w:cs="Arial"/>
          <w:b/>
          <w:color w:val="000000" w:themeColor="text1"/>
          <w:sz w:val="22"/>
          <w:szCs w:val="22"/>
          <w:lang w:val="es-ES_tradnl" w:eastAsia="en-US"/>
        </w:rPr>
      </w:pPr>
      <w:r w:rsidRPr="000D05FB">
        <w:rPr>
          <w:rFonts w:ascii="Arial" w:eastAsia="Calibri" w:hAnsi="Arial" w:cs="Arial"/>
          <w:b/>
          <w:color w:val="000000" w:themeColor="text1"/>
          <w:sz w:val="22"/>
          <w:szCs w:val="22"/>
          <w:lang w:val="es-ES_tradnl" w:eastAsia="en-US"/>
        </w:rPr>
        <w:t xml:space="preserve">CONTRATOS Y </w:t>
      </w:r>
      <w:r w:rsidRPr="000D05FB">
        <w:rPr>
          <w:rFonts w:ascii="Arial" w:eastAsiaTheme="minorHAnsi" w:hAnsi="Arial" w:cs="Arial"/>
          <w:b/>
          <w:color w:val="000000" w:themeColor="text1"/>
          <w:sz w:val="22"/>
          <w:szCs w:val="22"/>
          <w:lang w:val="es-ES_tradnl" w:eastAsia="en-US"/>
        </w:rPr>
        <w:t xml:space="preserve">CONVENIOS INTERADMINISTRATIVOS </w:t>
      </w:r>
      <w:r w:rsidRPr="000D05FB">
        <w:rPr>
          <w:rFonts w:ascii="Arial" w:eastAsia="Calibri" w:hAnsi="Arial" w:cs="Arial"/>
          <w:b/>
          <w:color w:val="000000" w:themeColor="text1"/>
          <w:sz w:val="22"/>
          <w:szCs w:val="22"/>
          <w:lang w:val="es-ES_tradnl" w:eastAsia="en-US"/>
        </w:rPr>
        <w:t>– Definición – Criterio orgánico</w:t>
      </w:r>
    </w:p>
    <w:p w14:paraId="7E8C24E6" w14:textId="30048477" w:rsidR="00DA0A02" w:rsidRDefault="00DA0A02" w:rsidP="00D43FAB">
      <w:pPr>
        <w:tabs>
          <w:tab w:val="left" w:pos="426"/>
        </w:tabs>
        <w:jc w:val="both"/>
        <w:rPr>
          <w:rFonts w:ascii="Arial" w:eastAsia="Calibri" w:hAnsi="Arial" w:cs="Arial"/>
          <w:b/>
          <w:color w:val="000000" w:themeColor="text1"/>
          <w:sz w:val="22"/>
          <w:szCs w:val="22"/>
          <w:lang w:val="es-ES_tradnl" w:eastAsia="en-US"/>
        </w:rPr>
      </w:pPr>
    </w:p>
    <w:p w14:paraId="7BE0068C" w14:textId="77777777" w:rsidR="00DA0A02" w:rsidRPr="000D05FB" w:rsidRDefault="00DA0A02" w:rsidP="00DA0A02">
      <w:pPr>
        <w:widowControl w:val="0"/>
        <w:autoSpaceDE w:val="0"/>
        <w:autoSpaceDN w:val="0"/>
        <w:jc w:val="both"/>
        <w:rPr>
          <w:rFonts w:ascii="Arial" w:eastAsia="Arial" w:hAnsi="Arial" w:cs="Arial"/>
          <w:color w:val="000000" w:themeColor="text1"/>
          <w:sz w:val="20"/>
          <w:szCs w:val="20"/>
          <w:lang w:val="es-ES_tradnl" w:eastAsia="es-ES" w:bidi="es-ES"/>
        </w:rPr>
      </w:pPr>
      <w:r w:rsidRPr="000D05FB">
        <w:rPr>
          <w:rFonts w:ascii="Arial" w:eastAsia="Arial" w:hAnsi="Arial" w:cs="Arial"/>
          <w:color w:val="000000" w:themeColor="text1"/>
          <w:sz w:val="20"/>
          <w:szCs w:val="20"/>
          <w:lang w:val="es-ES_tradnl" w:eastAsia="es-ES" w:bidi="es-ES"/>
        </w:rPr>
        <w:t>[…] la tipología de convenio interadministrativo fue creada en la Ley 80 de 1993. Aunque esta ley no lo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el propósito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0D05FB">
        <w:rPr>
          <w:rFonts w:ascii="Arial" w:eastAsia="Arial" w:hAnsi="Arial" w:cs="Arial"/>
          <w:color w:val="000000" w:themeColor="text1"/>
          <w:spacing w:val="-6"/>
          <w:sz w:val="20"/>
          <w:szCs w:val="20"/>
          <w:lang w:val="es-ES_tradnl" w:eastAsia="es-ES" w:bidi="es-ES"/>
        </w:rPr>
        <w:t xml:space="preserve"> </w:t>
      </w:r>
      <w:r w:rsidRPr="000D05FB">
        <w:rPr>
          <w:rFonts w:ascii="Arial" w:eastAsia="Arial" w:hAnsi="Arial" w:cs="Arial"/>
          <w:color w:val="000000" w:themeColor="text1"/>
          <w:sz w:val="20"/>
          <w:szCs w:val="20"/>
          <w:lang w:val="es-ES_tradnl" w:eastAsia="es-ES" w:bidi="es-ES"/>
        </w:rPr>
        <w:t>estatales.</w:t>
      </w:r>
    </w:p>
    <w:p w14:paraId="5C682A69" w14:textId="77777777" w:rsidR="00DA0A02" w:rsidRPr="000D05FB" w:rsidRDefault="00DA0A02" w:rsidP="00DA0A02">
      <w:pPr>
        <w:jc w:val="both"/>
        <w:rPr>
          <w:rFonts w:ascii="Arial" w:eastAsia="Calibri" w:hAnsi="Arial" w:cs="Arial"/>
          <w:bCs/>
          <w:color w:val="000000" w:themeColor="text1"/>
          <w:sz w:val="22"/>
          <w:szCs w:val="22"/>
          <w:lang w:val="es-ES_tradnl" w:eastAsia="en-US"/>
        </w:rPr>
      </w:pPr>
    </w:p>
    <w:p w14:paraId="232FDA3C" w14:textId="77777777" w:rsidR="00DA0A02" w:rsidRPr="000D05FB" w:rsidRDefault="00DA0A02" w:rsidP="00DA0A02">
      <w:pPr>
        <w:jc w:val="both"/>
        <w:rPr>
          <w:rFonts w:ascii="Arial" w:eastAsiaTheme="minorHAnsi" w:hAnsi="Arial" w:cs="Arial"/>
          <w:b/>
          <w:color w:val="000000" w:themeColor="text1"/>
          <w:sz w:val="22"/>
          <w:szCs w:val="22"/>
          <w:lang w:val="es-ES_tradnl" w:eastAsia="en-US"/>
        </w:rPr>
      </w:pPr>
      <w:r w:rsidRPr="000D05FB">
        <w:rPr>
          <w:rFonts w:ascii="Arial" w:eastAsia="Calibri" w:hAnsi="Arial" w:cs="Arial"/>
          <w:b/>
          <w:color w:val="000000" w:themeColor="text1"/>
          <w:sz w:val="22"/>
          <w:szCs w:val="22"/>
          <w:lang w:val="es-ES_tradnl" w:eastAsia="en-US"/>
        </w:rPr>
        <w:t xml:space="preserve">CONTRATOS Y </w:t>
      </w:r>
      <w:r w:rsidRPr="000D05FB">
        <w:rPr>
          <w:rFonts w:ascii="Arial" w:eastAsiaTheme="minorHAnsi" w:hAnsi="Arial" w:cs="Arial"/>
          <w:b/>
          <w:color w:val="000000" w:themeColor="text1"/>
          <w:sz w:val="22"/>
          <w:szCs w:val="22"/>
          <w:lang w:val="es-ES_tradnl" w:eastAsia="en-US"/>
        </w:rPr>
        <w:t>CONVENIOS INTERADMINISTRATIVOS – Modalidad de selección</w:t>
      </w:r>
    </w:p>
    <w:p w14:paraId="7DD3EC56" w14:textId="236D4DE5" w:rsidR="00DA0A02" w:rsidRDefault="00DA0A02" w:rsidP="00DA0A02">
      <w:pPr>
        <w:jc w:val="both"/>
        <w:rPr>
          <w:rFonts w:ascii="Arial" w:eastAsiaTheme="minorHAnsi" w:hAnsi="Arial" w:cs="Arial"/>
          <w:b/>
          <w:color w:val="000000" w:themeColor="text1"/>
          <w:sz w:val="20"/>
          <w:szCs w:val="20"/>
          <w:lang w:val="es-ES_tradnl" w:eastAsia="en-US"/>
        </w:rPr>
      </w:pPr>
    </w:p>
    <w:p w14:paraId="461E9674" w14:textId="77777777" w:rsidR="00DA0A02" w:rsidRPr="000D05FB" w:rsidRDefault="00DA0A02" w:rsidP="00DA0A02">
      <w:pPr>
        <w:widowControl w:val="0"/>
        <w:autoSpaceDE w:val="0"/>
        <w:autoSpaceDN w:val="0"/>
        <w:jc w:val="both"/>
        <w:rPr>
          <w:rFonts w:ascii="Arial" w:eastAsia="Arial" w:hAnsi="Arial" w:cs="Arial"/>
          <w:color w:val="000000" w:themeColor="text1"/>
          <w:sz w:val="20"/>
          <w:szCs w:val="20"/>
          <w:lang w:val="es-ES_tradnl" w:eastAsia="es-ES" w:bidi="es-ES"/>
        </w:rPr>
      </w:pPr>
      <w:r w:rsidRPr="000D05FB">
        <w:rPr>
          <w:rFonts w:ascii="Arial" w:eastAsia="Arial" w:hAnsi="Arial" w:cs="Arial"/>
          <w:color w:val="000000" w:themeColor="text1"/>
          <w:sz w:val="20"/>
          <w:szCs w:val="20"/>
          <w:lang w:val="es-ES_tradnl" w:eastAsia="es-ES" w:bidi="es-ES"/>
        </w:rPr>
        <w:t xml:space="preserve">[…]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abierta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por la </w:t>
      </w:r>
      <w:r w:rsidRPr="000D05FB">
        <w:rPr>
          <w:rFonts w:ascii="Arial" w:eastAsia="Arial" w:hAnsi="Arial" w:cs="Arial"/>
          <w:color w:val="000000" w:themeColor="text1"/>
          <w:sz w:val="20"/>
          <w:szCs w:val="20"/>
          <w:lang w:val="es-ES_tradnl" w:eastAsia="es-ES" w:bidi="es-ES"/>
        </w:rPr>
        <w:lastRenderedPageBreak/>
        <w:t>calidad de entidades</w:t>
      </w:r>
      <w:r w:rsidRPr="000D05FB">
        <w:rPr>
          <w:rFonts w:ascii="Arial" w:eastAsia="Arial" w:hAnsi="Arial" w:cs="Arial"/>
          <w:color w:val="000000" w:themeColor="text1"/>
          <w:spacing w:val="-3"/>
          <w:sz w:val="20"/>
          <w:szCs w:val="20"/>
          <w:lang w:val="es-ES_tradnl" w:eastAsia="es-ES" w:bidi="es-ES"/>
        </w:rPr>
        <w:t xml:space="preserve"> </w:t>
      </w:r>
      <w:r w:rsidRPr="000D05FB">
        <w:rPr>
          <w:rFonts w:ascii="Arial" w:eastAsia="Arial" w:hAnsi="Arial" w:cs="Arial"/>
          <w:color w:val="000000" w:themeColor="text1"/>
          <w:sz w:val="20"/>
          <w:szCs w:val="20"/>
          <w:lang w:val="es-ES_tradnl" w:eastAsia="es-ES" w:bidi="es-ES"/>
        </w:rPr>
        <w:t>estatales.</w:t>
      </w:r>
    </w:p>
    <w:p w14:paraId="1E7EB9AF" w14:textId="77777777" w:rsidR="00DA0A02" w:rsidRPr="000D05FB" w:rsidRDefault="00DA0A02" w:rsidP="00DA0A02">
      <w:pPr>
        <w:widowControl w:val="0"/>
        <w:autoSpaceDE w:val="0"/>
        <w:autoSpaceDN w:val="0"/>
        <w:jc w:val="both"/>
        <w:rPr>
          <w:rFonts w:ascii="Arial" w:eastAsia="Arial" w:hAnsi="Arial" w:cs="Arial"/>
          <w:color w:val="000000" w:themeColor="text1"/>
          <w:sz w:val="20"/>
          <w:szCs w:val="20"/>
          <w:lang w:val="es-ES_tradnl" w:eastAsia="es-ES" w:bidi="es-ES"/>
        </w:rPr>
      </w:pPr>
    </w:p>
    <w:p w14:paraId="7EA6245F" w14:textId="77777777" w:rsidR="00DA0A02" w:rsidRPr="000D05FB" w:rsidRDefault="00DA0A02" w:rsidP="00DA0A02">
      <w:pPr>
        <w:tabs>
          <w:tab w:val="left" w:pos="426"/>
        </w:tabs>
        <w:jc w:val="both"/>
        <w:rPr>
          <w:rFonts w:ascii="Arial" w:eastAsia="Calibri" w:hAnsi="Arial" w:cs="Arial"/>
          <w:b/>
          <w:bCs/>
          <w:color w:val="000000" w:themeColor="text1"/>
          <w:sz w:val="22"/>
          <w:szCs w:val="22"/>
          <w:lang w:val="es-ES_tradnl" w:eastAsia="en-US"/>
        </w:rPr>
      </w:pPr>
      <w:r w:rsidRPr="000D05FB">
        <w:rPr>
          <w:rFonts w:ascii="Arial" w:eastAsia="Calibri" w:hAnsi="Arial" w:cs="Arial"/>
          <w:b/>
          <w:bCs/>
          <w:color w:val="000000" w:themeColor="text1"/>
          <w:sz w:val="22"/>
          <w:szCs w:val="22"/>
          <w:lang w:val="es-ES_tradnl" w:eastAsia="en-US"/>
        </w:rPr>
        <w:t xml:space="preserve">CONVENIOS SOLIDARIOS ‒ Contratación directa ‒ Ley de Garantías ‒ Prohibición </w:t>
      </w:r>
    </w:p>
    <w:p w14:paraId="46CE3A63" w14:textId="77777777" w:rsidR="00DA0A02" w:rsidRPr="000D05FB" w:rsidRDefault="00DA0A02" w:rsidP="00DA0A02">
      <w:pPr>
        <w:widowControl w:val="0"/>
        <w:autoSpaceDE w:val="0"/>
        <w:autoSpaceDN w:val="0"/>
        <w:jc w:val="both"/>
        <w:rPr>
          <w:rFonts w:ascii="Arial" w:eastAsia="Calibri" w:hAnsi="Arial" w:cs="Arial"/>
          <w:b/>
          <w:color w:val="000000" w:themeColor="text1"/>
          <w:sz w:val="22"/>
          <w:szCs w:val="22"/>
          <w:lang w:val="es-ES_tradnl" w:eastAsia="en-US"/>
        </w:rPr>
      </w:pPr>
    </w:p>
    <w:p w14:paraId="37776EBC" w14:textId="1DA91278" w:rsidR="00DA0A02" w:rsidRDefault="00DA0A02" w:rsidP="00DA0A02">
      <w:pPr>
        <w:tabs>
          <w:tab w:val="left" w:pos="426"/>
        </w:tabs>
        <w:jc w:val="both"/>
        <w:rPr>
          <w:rFonts w:ascii="Arial" w:eastAsia="Arial" w:hAnsi="Arial" w:cs="Arial"/>
          <w:color w:val="000000" w:themeColor="text1"/>
          <w:sz w:val="20"/>
          <w:szCs w:val="20"/>
          <w:lang w:val="es-ES_tradnl" w:eastAsia="es-ES" w:bidi="es-ES"/>
        </w:rPr>
      </w:pPr>
      <w:r w:rsidRPr="000D05FB">
        <w:rPr>
          <w:rFonts w:ascii="Arial" w:eastAsia="Arial" w:hAnsi="Arial" w:cs="Arial"/>
          <w:color w:val="000000" w:themeColor="text1"/>
          <w:sz w:val="20"/>
          <w:szCs w:val="20"/>
          <w:lang w:val="es-ES_tradnl" w:eastAsia="es-ES" w:bidi="es-ES"/>
        </w:rPr>
        <w:t xml:space="preserve">[…] </w:t>
      </w:r>
      <w:r w:rsidRPr="000D05FB">
        <w:rPr>
          <w:rFonts w:ascii="Arial" w:hAnsi="Arial" w:cs="Arial"/>
        </w:rPr>
        <w:t xml:space="preserve"> </w:t>
      </w:r>
      <w:r w:rsidRPr="000D05FB">
        <w:rPr>
          <w:rFonts w:ascii="Arial" w:eastAsia="Arial" w:hAnsi="Arial" w:cs="Arial"/>
          <w:color w:val="000000" w:themeColor="text1"/>
          <w:sz w:val="20"/>
          <w:szCs w:val="20"/>
          <w:lang w:val="es-ES_tradnl" w:eastAsia="es-ES" w:bidi="es-ES"/>
        </w:rPr>
        <w:t xml:space="preserve">el artículo 33 de la Ley 996 de 2005 prohíbe la contratación directa «Durante los cuatro (4) meses anteriores a la elección presidencial y hasta la realización de la elección en la segunda vuelta». Esta norma consagra excepciones taxativas a dicha prohibición, dentro de las cuales no está prevista la posibilidad de que se celebren directamente convenios solidarios por parte de las entidades territoriales. Por tanto, como lo señala la Circular Conjunta 100-006 de 2021 del Departamento Administrativo de la Presidencia de la República y del Departamento Administrativo de la Función Pública, el artículo 33 de la Ley de Garantías Electorales «restringe la contratación directa por parte de todos los entes del Estado desde el día 29 de enero de 2022 y hasta la elección en segunda vuelta, si fuere el caso». Dentro de esta restricción queda contemplada la prohibición de celebrar directamente convenios solidarios.  </w:t>
      </w:r>
    </w:p>
    <w:p w14:paraId="7A3657B6" w14:textId="11CFE452" w:rsidR="00676AA9" w:rsidRDefault="00676AA9" w:rsidP="00DA0A02">
      <w:pPr>
        <w:tabs>
          <w:tab w:val="left" w:pos="426"/>
        </w:tabs>
        <w:jc w:val="both"/>
        <w:rPr>
          <w:rFonts w:ascii="Arial" w:eastAsia="Arial" w:hAnsi="Arial" w:cs="Arial"/>
          <w:color w:val="000000" w:themeColor="text1"/>
          <w:sz w:val="20"/>
          <w:szCs w:val="20"/>
          <w:lang w:val="es-ES_tradnl" w:eastAsia="es-ES" w:bidi="es-ES"/>
        </w:rPr>
      </w:pPr>
    </w:p>
    <w:p w14:paraId="6F76D35C" w14:textId="654C62D6" w:rsidR="00676AA9" w:rsidRPr="000D05FB" w:rsidRDefault="00676AA9" w:rsidP="00DA0A02">
      <w:pPr>
        <w:tabs>
          <w:tab w:val="left" w:pos="426"/>
        </w:tabs>
        <w:jc w:val="both"/>
        <w:rPr>
          <w:rFonts w:ascii="Arial" w:hAnsi="Arial" w:cs="Arial"/>
          <w:bCs/>
          <w:sz w:val="20"/>
          <w:szCs w:val="20"/>
          <w:lang w:val="es-ES_tradnl" w:eastAsia="x-none"/>
        </w:rPr>
      </w:pPr>
    </w:p>
    <w:p w14:paraId="333846C7" w14:textId="1969D13A" w:rsidR="007B44E5" w:rsidRPr="00264FB8" w:rsidRDefault="007B44E5" w:rsidP="00264FB8">
      <w:pPr>
        <w:spacing w:after="120"/>
        <w:jc w:val="both"/>
        <w:rPr>
          <w:rFonts w:ascii="Arial" w:eastAsia="Calibri" w:hAnsi="Arial" w:cs="Arial"/>
          <w:noProof/>
          <w:color w:val="000000" w:themeColor="text1"/>
          <w:sz w:val="20"/>
          <w:szCs w:val="20"/>
        </w:rPr>
      </w:pPr>
      <w:r w:rsidRPr="004A1D82">
        <w:rPr>
          <w:rFonts w:ascii="Arial" w:hAnsi="Arial" w:cs="Arial"/>
          <w:noProof/>
          <w:color w:val="000000" w:themeColor="text1"/>
          <w:sz w:val="22"/>
          <w:lang w:val="es-ES_tradnl"/>
        </w:rPr>
        <w:br w:type="page"/>
      </w:r>
    </w:p>
    <w:p w14:paraId="00E5E5E0" w14:textId="445FF175" w:rsidR="00772AFC" w:rsidRDefault="00A276F2" w:rsidP="00A276F2">
      <w:pPr>
        <w:jc w:val="right"/>
        <w:rPr>
          <w:rFonts w:ascii="Arial" w:hAnsi="Arial" w:cs="Arial"/>
          <w:noProof/>
          <w:color w:val="000000" w:themeColor="text1"/>
          <w:sz w:val="22"/>
          <w:lang w:val="es-ES_tradnl"/>
        </w:rPr>
      </w:pPr>
      <w:r>
        <w:rPr>
          <w:noProof/>
        </w:rPr>
        <w:lastRenderedPageBreak/>
        <w:drawing>
          <wp:inline distT="0" distB="0" distL="0" distR="0" wp14:anchorId="2FBEFB1C" wp14:editId="431524C8">
            <wp:extent cx="2066309" cy="5581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1426" t="35621" r="19042" b="50191"/>
                    <a:stretch/>
                  </pic:blipFill>
                  <pic:spPr bwMode="auto">
                    <a:xfrm>
                      <a:off x="0" y="0"/>
                      <a:ext cx="2076323" cy="560846"/>
                    </a:xfrm>
                    <a:prstGeom prst="rect">
                      <a:avLst/>
                    </a:prstGeom>
                    <a:ln>
                      <a:noFill/>
                    </a:ln>
                    <a:extLst>
                      <a:ext uri="{53640926-AAD7-44D8-BBD7-CCE9431645EC}">
                        <a14:shadowObscured xmlns:a14="http://schemas.microsoft.com/office/drawing/2010/main"/>
                      </a:ext>
                    </a:extLst>
                  </pic:spPr>
                </pic:pic>
              </a:graphicData>
            </a:graphic>
          </wp:inline>
        </w:drawing>
      </w:r>
    </w:p>
    <w:p w14:paraId="222D434D" w14:textId="77777777" w:rsidR="00772AFC" w:rsidRDefault="00772AFC" w:rsidP="00A10053">
      <w:pPr>
        <w:jc w:val="both"/>
        <w:rPr>
          <w:rFonts w:ascii="Arial" w:hAnsi="Arial" w:cs="Arial"/>
          <w:noProof/>
          <w:color w:val="000000" w:themeColor="text1"/>
          <w:sz w:val="22"/>
          <w:lang w:val="es-ES_tradnl"/>
        </w:rPr>
      </w:pPr>
    </w:p>
    <w:p w14:paraId="7A3E3ED8" w14:textId="0EB072B5" w:rsidR="00A10053" w:rsidRPr="00772AFC" w:rsidRDefault="00A10053" w:rsidP="00A10053">
      <w:pPr>
        <w:jc w:val="both"/>
        <w:rPr>
          <w:rFonts w:ascii="Arial" w:hAnsi="Arial" w:cs="Arial"/>
          <w:bCs/>
          <w:noProof/>
          <w:color w:val="000000" w:themeColor="text1"/>
          <w:sz w:val="20"/>
          <w:szCs w:val="20"/>
          <w:lang w:val="es-ES_tradnl"/>
        </w:rPr>
      </w:pPr>
      <w:r w:rsidRPr="004A1D82">
        <w:rPr>
          <w:rFonts w:ascii="Arial" w:hAnsi="Arial" w:cs="Arial"/>
          <w:noProof/>
          <w:color w:val="000000" w:themeColor="text1"/>
          <w:sz w:val="22"/>
          <w:lang w:val="es-ES_tradnl"/>
        </w:rPr>
        <w:t xml:space="preserve">Bogotá, </w:t>
      </w:r>
      <w:r w:rsidR="00772AFC" w:rsidRPr="00772AFC">
        <w:rPr>
          <w:rFonts w:ascii="Arial" w:hAnsi="Arial" w:cs="Arial"/>
          <w:bCs/>
          <w:color w:val="000000" w:themeColor="text1"/>
          <w:sz w:val="22"/>
          <w:lang w:val="es-ES_tradnl"/>
        </w:rPr>
        <w:t xml:space="preserve">18 de </w:t>
      </w:r>
      <w:proofErr w:type="gramStart"/>
      <w:r w:rsidR="00772AFC" w:rsidRPr="00772AFC">
        <w:rPr>
          <w:rFonts w:ascii="Arial" w:hAnsi="Arial" w:cs="Arial"/>
          <w:bCs/>
          <w:color w:val="000000" w:themeColor="text1"/>
          <w:sz w:val="22"/>
          <w:lang w:val="es-ES_tradnl"/>
        </w:rPr>
        <w:t>Marzo</w:t>
      </w:r>
      <w:proofErr w:type="gramEnd"/>
      <w:r w:rsidR="00772AFC" w:rsidRPr="00772AFC">
        <w:rPr>
          <w:rFonts w:ascii="Arial" w:hAnsi="Arial" w:cs="Arial"/>
          <w:bCs/>
          <w:color w:val="000000" w:themeColor="text1"/>
          <w:sz w:val="22"/>
          <w:lang w:val="es-ES_tradnl"/>
        </w:rPr>
        <w:t xml:space="preserve"> de 2022</w:t>
      </w:r>
    </w:p>
    <w:p w14:paraId="40FDD96F" w14:textId="77777777" w:rsidR="00A10053" w:rsidRPr="004A1D82" w:rsidRDefault="00A10053" w:rsidP="00A10053">
      <w:pPr>
        <w:spacing w:line="276" w:lineRule="auto"/>
        <w:jc w:val="both"/>
        <w:rPr>
          <w:rFonts w:ascii="Arial" w:eastAsia="Calibri" w:hAnsi="Arial" w:cs="Arial"/>
          <w:noProof/>
          <w:color w:val="000000" w:themeColor="text1"/>
          <w:sz w:val="22"/>
          <w:szCs w:val="22"/>
          <w:lang w:val="es-ES_tradnl"/>
        </w:rPr>
      </w:pPr>
    </w:p>
    <w:p w14:paraId="2A14E832" w14:textId="77777777" w:rsidR="00A10053" w:rsidRPr="004A1D82" w:rsidRDefault="00A10053" w:rsidP="00A10053">
      <w:pPr>
        <w:jc w:val="both"/>
        <w:rPr>
          <w:rFonts w:ascii="Arial" w:hAnsi="Arial" w:cs="Arial"/>
          <w:bCs/>
          <w:color w:val="000000" w:themeColor="text1"/>
          <w:sz w:val="22"/>
          <w:lang w:val="es-ES_tradnl"/>
        </w:rPr>
      </w:pPr>
    </w:p>
    <w:p w14:paraId="6E444D61" w14:textId="5235E70B" w:rsidR="00E54365" w:rsidRPr="004A1D82" w:rsidRDefault="00E54365" w:rsidP="006C2B00">
      <w:pPr>
        <w:rPr>
          <w:rFonts w:ascii="Arial" w:hAnsi="Arial" w:cs="Arial"/>
          <w:color w:val="000000" w:themeColor="text1"/>
          <w:sz w:val="22"/>
        </w:rPr>
      </w:pPr>
      <w:bookmarkStart w:id="8" w:name="_Hlk70510939"/>
      <w:r w:rsidRPr="004A1D82">
        <w:rPr>
          <w:rFonts w:ascii="Arial" w:hAnsi="Arial" w:cs="Arial"/>
          <w:color w:val="000000" w:themeColor="text1"/>
          <w:sz w:val="22"/>
        </w:rPr>
        <w:t>Señor</w:t>
      </w:r>
      <w:r w:rsidR="00C64E43" w:rsidRPr="004A1D82">
        <w:rPr>
          <w:rFonts w:ascii="Arial" w:hAnsi="Arial" w:cs="Arial"/>
          <w:color w:val="000000" w:themeColor="text1"/>
          <w:sz w:val="22"/>
        </w:rPr>
        <w:t>a</w:t>
      </w:r>
    </w:p>
    <w:p w14:paraId="1CB0E71B" w14:textId="0D6AEF7D" w:rsidR="00C64E43" w:rsidRPr="004A1D82" w:rsidRDefault="00770B28" w:rsidP="006C2B00">
      <w:pPr>
        <w:rPr>
          <w:rFonts w:ascii="Arial" w:hAnsi="Arial" w:cs="Arial"/>
          <w:b/>
          <w:color w:val="000000" w:themeColor="text1"/>
          <w:sz w:val="22"/>
        </w:rPr>
      </w:pPr>
      <w:r w:rsidRPr="004A1D82">
        <w:rPr>
          <w:rFonts w:ascii="Arial" w:hAnsi="Arial" w:cs="Arial"/>
          <w:b/>
          <w:color w:val="000000" w:themeColor="text1"/>
          <w:sz w:val="22"/>
        </w:rPr>
        <w:t>Bernarda Álvarez Chávez</w:t>
      </w:r>
    </w:p>
    <w:p w14:paraId="7D2AC42E" w14:textId="3B3D2038" w:rsidR="00C64E43" w:rsidRPr="004A1D82" w:rsidRDefault="00770B28" w:rsidP="006C2B00">
      <w:pPr>
        <w:rPr>
          <w:rFonts w:ascii="Arial" w:hAnsi="Arial" w:cs="Arial"/>
          <w:bCs/>
          <w:color w:val="000000" w:themeColor="text1"/>
          <w:sz w:val="22"/>
        </w:rPr>
      </w:pPr>
      <w:r w:rsidRPr="004A1D82">
        <w:rPr>
          <w:rFonts w:ascii="Arial" w:hAnsi="Arial" w:cs="Arial"/>
          <w:bCs/>
          <w:color w:val="000000" w:themeColor="text1"/>
          <w:sz w:val="22"/>
        </w:rPr>
        <w:t>Alcaldía de Morelia</w:t>
      </w:r>
      <w:r w:rsidRPr="004A1D82">
        <w:rPr>
          <w:rFonts w:ascii="Calibri" w:hAnsi="Calibri" w:cs="Calibri"/>
          <w:color w:val="000000" w:themeColor="text1"/>
          <w:sz w:val="22"/>
          <w:szCs w:val="22"/>
          <w:shd w:val="clear" w:color="auto" w:fill="FFFFFF"/>
        </w:rPr>
        <w:t xml:space="preserve"> </w:t>
      </w:r>
    </w:p>
    <w:p w14:paraId="190AC816" w14:textId="7C85E7C7" w:rsidR="00C64E43" w:rsidRPr="004A1D82" w:rsidRDefault="004956F3" w:rsidP="006C2B00">
      <w:pPr>
        <w:rPr>
          <w:rFonts w:ascii="Arial" w:hAnsi="Arial" w:cs="Arial"/>
          <w:color w:val="000000" w:themeColor="text1"/>
          <w:sz w:val="22"/>
        </w:rPr>
      </w:pPr>
      <w:r w:rsidRPr="004A1D82">
        <w:rPr>
          <w:rFonts w:ascii="Arial" w:hAnsi="Arial" w:cs="Arial"/>
          <w:bCs/>
          <w:color w:val="000000" w:themeColor="text1"/>
          <w:sz w:val="22"/>
        </w:rPr>
        <w:t>Morelia</w:t>
      </w:r>
      <w:r w:rsidR="00992127" w:rsidRPr="004A1D82">
        <w:rPr>
          <w:rFonts w:ascii="Arial" w:hAnsi="Arial" w:cs="Arial"/>
          <w:color w:val="000000" w:themeColor="text1"/>
          <w:sz w:val="22"/>
        </w:rPr>
        <w:t xml:space="preserve"> (</w:t>
      </w:r>
      <w:r w:rsidRPr="004A1D82">
        <w:rPr>
          <w:rFonts w:ascii="Arial" w:hAnsi="Arial" w:cs="Arial"/>
          <w:color w:val="000000" w:themeColor="text1"/>
          <w:sz w:val="22"/>
        </w:rPr>
        <w:t>Caquetá</w:t>
      </w:r>
      <w:r w:rsidR="00992127" w:rsidRPr="004A1D82">
        <w:rPr>
          <w:rFonts w:ascii="Arial" w:hAnsi="Arial" w:cs="Arial"/>
          <w:color w:val="000000" w:themeColor="text1"/>
          <w:sz w:val="22"/>
        </w:rPr>
        <w:t>)</w:t>
      </w:r>
    </w:p>
    <w:p w14:paraId="207B3DB4" w14:textId="77777777" w:rsidR="00C64E43" w:rsidRPr="004A1D82" w:rsidRDefault="00C64E43" w:rsidP="006C2B00">
      <w:pPr>
        <w:rPr>
          <w:rFonts w:ascii="Arial" w:hAnsi="Arial" w:cs="Arial"/>
          <w:color w:val="000000" w:themeColor="text1"/>
          <w:sz w:val="22"/>
        </w:rPr>
      </w:pPr>
    </w:p>
    <w:p w14:paraId="462F7397" w14:textId="77777777" w:rsidR="0076432E" w:rsidRPr="004A1D82" w:rsidRDefault="0076432E" w:rsidP="006C2B00">
      <w:pPr>
        <w:ind w:left="2124" w:firstLine="708"/>
        <w:rPr>
          <w:rFonts w:ascii="Arial" w:hAnsi="Arial" w:cs="Arial"/>
          <w:b/>
          <w:bCs/>
          <w:color w:val="000000" w:themeColor="text1"/>
          <w:sz w:val="22"/>
        </w:rPr>
      </w:pPr>
    </w:p>
    <w:p w14:paraId="17BA6817" w14:textId="4DF7C959" w:rsidR="00E54365" w:rsidRPr="004A1D82" w:rsidRDefault="00E54365" w:rsidP="006C2B00">
      <w:pPr>
        <w:ind w:left="2124" w:firstLine="708"/>
        <w:rPr>
          <w:rFonts w:ascii="Arial" w:hAnsi="Arial" w:cs="Arial"/>
          <w:b/>
          <w:bCs/>
          <w:color w:val="000000" w:themeColor="text1"/>
          <w:sz w:val="22"/>
        </w:rPr>
      </w:pPr>
      <w:r w:rsidRPr="004A1D82">
        <w:rPr>
          <w:rFonts w:ascii="Arial" w:hAnsi="Arial" w:cs="Arial"/>
          <w:b/>
          <w:bCs/>
          <w:color w:val="000000" w:themeColor="text1"/>
          <w:sz w:val="22"/>
        </w:rPr>
        <w:t>Concepto</w:t>
      </w:r>
      <w:r w:rsidR="006559E3" w:rsidRPr="004A1D82">
        <w:rPr>
          <w:rFonts w:ascii="Arial" w:hAnsi="Arial" w:cs="Arial"/>
          <w:b/>
          <w:bCs/>
          <w:color w:val="000000" w:themeColor="text1"/>
          <w:sz w:val="22"/>
        </w:rPr>
        <w:t xml:space="preserve"> </w:t>
      </w:r>
      <w:r w:rsidRPr="004A1D82">
        <w:rPr>
          <w:rFonts w:ascii="Arial" w:hAnsi="Arial" w:cs="Arial"/>
          <w:b/>
          <w:bCs/>
          <w:color w:val="000000" w:themeColor="text1"/>
          <w:sz w:val="22"/>
        </w:rPr>
        <w:t>C</w:t>
      </w:r>
      <w:r w:rsidR="00766A70" w:rsidRPr="004A1D82">
        <w:rPr>
          <w:rFonts w:ascii="Arial" w:hAnsi="Arial" w:cs="Arial"/>
          <w:b/>
          <w:bCs/>
          <w:color w:val="000000" w:themeColor="text1"/>
          <w:sz w:val="22"/>
        </w:rPr>
        <w:t xml:space="preserve"> </w:t>
      </w:r>
      <w:r w:rsidR="00F301AD" w:rsidRPr="004A1D82">
        <w:rPr>
          <w:rFonts w:ascii="Arial" w:hAnsi="Arial" w:cs="Arial"/>
          <w:b/>
          <w:bCs/>
          <w:color w:val="000000" w:themeColor="text1"/>
          <w:sz w:val="22"/>
        </w:rPr>
        <w:t>–</w:t>
      </w:r>
      <w:r w:rsidR="00766A70" w:rsidRPr="004A1D82">
        <w:rPr>
          <w:rFonts w:ascii="Arial" w:hAnsi="Arial" w:cs="Arial"/>
          <w:b/>
          <w:bCs/>
          <w:color w:val="000000" w:themeColor="text1"/>
          <w:sz w:val="22"/>
        </w:rPr>
        <w:t xml:space="preserve"> </w:t>
      </w:r>
      <w:r w:rsidR="00692F57" w:rsidRPr="004A1D82">
        <w:rPr>
          <w:rFonts w:ascii="Arial" w:hAnsi="Arial" w:cs="Arial"/>
          <w:b/>
          <w:bCs/>
          <w:color w:val="000000" w:themeColor="text1"/>
          <w:sz w:val="22"/>
        </w:rPr>
        <w:t>10</w:t>
      </w:r>
      <w:r w:rsidR="004956F3" w:rsidRPr="004A1D82">
        <w:rPr>
          <w:rFonts w:ascii="Arial" w:hAnsi="Arial" w:cs="Arial"/>
          <w:b/>
          <w:bCs/>
          <w:color w:val="000000" w:themeColor="text1"/>
          <w:sz w:val="22"/>
        </w:rPr>
        <w:t>7</w:t>
      </w:r>
      <w:r w:rsidRPr="004A1D82">
        <w:rPr>
          <w:rFonts w:ascii="Arial" w:hAnsi="Arial" w:cs="Arial"/>
          <w:b/>
          <w:bCs/>
          <w:color w:val="000000" w:themeColor="text1"/>
          <w:sz w:val="22"/>
        </w:rPr>
        <w:t xml:space="preserve"> de 202</w:t>
      </w:r>
      <w:r w:rsidR="00DC02B2" w:rsidRPr="004A1D82">
        <w:rPr>
          <w:rFonts w:ascii="Arial" w:hAnsi="Arial" w:cs="Arial"/>
          <w:b/>
          <w:bCs/>
          <w:color w:val="000000" w:themeColor="text1"/>
          <w:sz w:val="22"/>
        </w:rPr>
        <w:t>2</w:t>
      </w:r>
    </w:p>
    <w:p w14:paraId="3C57C781" w14:textId="77777777" w:rsidR="00FE4C26" w:rsidRPr="004A1D82" w:rsidRDefault="00FE4C26" w:rsidP="00416308">
      <w:pPr>
        <w:spacing w:after="120"/>
        <w:ind w:left="2824" w:hanging="2818"/>
        <w:jc w:val="both"/>
        <w:rPr>
          <w:rFonts w:ascii="Arial" w:eastAsia="Calibri" w:hAnsi="Arial" w:cs="Arial"/>
          <w:b/>
          <w:noProof/>
          <w:color w:val="000000" w:themeColor="text1"/>
          <w:sz w:val="22"/>
          <w:szCs w:val="22"/>
          <w:lang w:eastAsia="en-US"/>
        </w:rPr>
      </w:pPr>
    </w:p>
    <w:p w14:paraId="680028CD" w14:textId="52C8680D" w:rsidR="00676AA9" w:rsidRPr="004A1D82" w:rsidRDefault="00E54365" w:rsidP="00160CB0">
      <w:pPr>
        <w:spacing w:after="120"/>
        <w:ind w:left="2824" w:hanging="2818"/>
        <w:jc w:val="both"/>
        <w:rPr>
          <w:rFonts w:ascii="Arial" w:eastAsia="Calibri" w:hAnsi="Arial" w:cs="Arial"/>
          <w:bCs/>
          <w:color w:val="000000" w:themeColor="text1"/>
          <w:sz w:val="22"/>
          <w:lang w:val="es-ES_tradnl"/>
        </w:rPr>
      </w:pPr>
      <w:r w:rsidRPr="004A1D82">
        <w:rPr>
          <w:rFonts w:ascii="Arial" w:eastAsia="Calibri" w:hAnsi="Arial" w:cs="Arial"/>
          <w:b/>
          <w:noProof/>
          <w:color w:val="000000" w:themeColor="text1"/>
          <w:sz w:val="22"/>
          <w:szCs w:val="22"/>
          <w:lang w:eastAsia="en-US"/>
        </w:rPr>
        <w:t>Temas</w:t>
      </w:r>
      <w:r w:rsidRPr="004A1D82">
        <w:rPr>
          <w:rFonts w:ascii="Arial" w:eastAsia="Calibri" w:hAnsi="Arial" w:cs="Arial"/>
          <w:bCs/>
          <w:noProof/>
          <w:color w:val="000000" w:themeColor="text1"/>
          <w:sz w:val="22"/>
          <w:szCs w:val="22"/>
          <w:lang w:eastAsia="en-US"/>
        </w:rPr>
        <w:t xml:space="preserve">: </w:t>
      </w:r>
      <w:r w:rsidRPr="004A1D82">
        <w:rPr>
          <w:rFonts w:ascii="Arial" w:eastAsia="Calibri" w:hAnsi="Arial" w:cs="Arial"/>
          <w:bCs/>
          <w:noProof/>
          <w:color w:val="000000" w:themeColor="text1"/>
          <w:sz w:val="22"/>
          <w:szCs w:val="22"/>
          <w:lang w:eastAsia="en-US"/>
        </w:rPr>
        <w:tab/>
      </w:r>
      <w:r w:rsidR="00676AA9">
        <w:rPr>
          <w:rFonts w:ascii="Arial" w:eastAsia="Calibri" w:hAnsi="Arial" w:cs="Arial"/>
          <w:bCs/>
          <w:color w:val="000000" w:themeColor="text1"/>
          <w:sz w:val="22"/>
          <w:lang w:val="es-ES_tradnl"/>
        </w:rPr>
        <w:tab/>
      </w:r>
      <w:r w:rsidR="00676AA9" w:rsidRPr="00676AA9">
        <w:rPr>
          <w:rFonts w:ascii="Arial" w:eastAsia="Calibri" w:hAnsi="Arial" w:cs="Arial"/>
          <w:bCs/>
          <w:color w:val="000000" w:themeColor="text1"/>
          <w:sz w:val="22"/>
          <w:lang w:val="es-ES_tradnl"/>
        </w:rPr>
        <w:t>LEY DE GARANTÍAS ELECTORALES ‒ Definición ‒ Finalidad / LEY DE GARANTÍAS ELECTORALES ‒ Restricciones ‒ Contratación ‒ Tipos de elección / LEY DE GARANTÍAS ELECTORALES ─ Prohibición artículo 33 ‒ Contratación directa ‒ Alcance / LEY DE GARANTÍAS ELECTORALES ‒ Excepciones / LEY DE GARANTÍAS ELECTORALES ‒ Prohibición del artículo 33 ‒ Destinatarios / CONTRATOS Y CONVENIOS INTERADMINISTRATIVOS – Definición – Criterio orgánico / CONTRATOS Y CONVENIOS INTERADMINISTRATIVOS – Modalidad de selección / CONVENIOS SOLIDARIOS ‒ Contratación directa ‒ Ley de Garantías ‒ Prohibición</w:t>
      </w:r>
    </w:p>
    <w:p w14:paraId="18EF2AD1" w14:textId="77777777" w:rsidR="0076432E" w:rsidRPr="004A1D82" w:rsidRDefault="0076432E" w:rsidP="00416308">
      <w:pPr>
        <w:spacing w:after="120"/>
        <w:ind w:left="2824" w:hanging="2818"/>
        <w:jc w:val="both"/>
        <w:rPr>
          <w:rFonts w:ascii="Arial" w:eastAsia="Calibri" w:hAnsi="Arial" w:cs="Arial"/>
          <w:bCs/>
          <w:noProof/>
          <w:color w:val="000000" w:themeColor="text1"/>
          <w:sz w:val="22"/>
          <w:szCs w:val="22"/>
          <w:lang w:eastAsia="en-US"/>
        </w:rPr>
      </w:pPr>
    </w:p>
    <w:p w14:paraId="30A873A7" w14:textId="7DDF17A9" w:rsidR="00E54365" w:rsidRPr="004A1D82" w:rsidRDefault="00E54365" w:rsidP="007D01F0">
      <w:pPr>
        <w:ind w:left="2835" w:hanging="2835"/>
        <w:jc w:val="both"/>
        <w:rPr>
          <w:rFonts w:ascii="Arial" w:eastAsia="Calibri" w:hAnsi="Arial" w:cs="Arial"/>
          <w:bCs/>
          <w:noProof/>
          <w:color w:val="000000" w:themeColor="text1"/>
          <w:sz w:val="22"/>
          <w:szCs w:val="22"/>
          <w:lang w:eastAsia="en-US"/>
        </w:rPr>
      </w:pPr>
      <w:r w:rsidRPr="004A1D82">
        <w:rPr>
          <w:rFonts w:ascii="Arial" w:eastAsia="Calibri" w:hAnsi="Arial" w:cs="Arial"/>
          <w:b/>
          <w:noProof/>
          <w:color w:val="000000" w:themeColor="text1"/>
          <w:sz w:val="22"/>
          <w:szCs w:val="22"/>
          <w:lang w:eastAsia="en-US"/>
        </w:rPr>
        <w:t>Radicación</w:t>
      </w:r>
      <w:r w:rsidRPr="004A1D82">
        <w:rPr>
          <w:rFonts w:ascii="Arial" w:eastAsia="Calibri" w:hAnsi="Arial" w:cs="Arial"/>
          <w:bCs/>
          <w:noProof/>
          <w:color w:val="000000" w:themeColor="text1"/>
          <w:sz w:val="22"/>
          <w:szCs w:val="22"/>
          <w:lang w:eastAsia="en-US"/>
        </w:rPr>
        <w:t>:</w:t>
      </w:r>
      <w:r w:rsidRPr="004A1D82">
        <w:rPr>
          <w:rFonts w:ascii="Arial" w:eastAsia="Calibri" w:hAnsi="Arial" w:cs="Arial"/>
          <w:bCs/>
          <w:noProof/>
          <w:color w:val="000000" w:themeColor="text1"/>
          <w:sz w:val="22"/>
          <w:szCs w:val="22"/>
          <w:lang w:eastAsia="en-US"/>
        </w:rPr>
        <w:tab/>
        <w:t>Respuesta a consulta</w:t>
      </w:r>
      <w:r w:rsidR="00FB5E3B" w:rsidRPr="004A1D82">
        <w:rPr>
          <w:rFonts w:ascii="Arial" w:eastAsia="Calibri" w:hAnsi="Arial" w:cs="Arial"/>
          <w:bCs/>
          <w:noProof/>
          <w:color w:val="000000" w:themeColor="text1"/>
          <w:sz w:val="22"/>
          <w:szCs w:val="22"/>
          <w:lang w:eastAsia="en-US"/>
        </w:rPr>
        <w:t xml:space="preserve"> </w:t>
      </w:r>
      <w:r w:rsidR="005112E4" w:rsidRPr="004A1D82">
        <w:rPr>
          <w:rFonts w:ascii="Arial" w:eastAsia="Calibri" w:hAnsi="Arial" w:cs="Arial"/>
          <w:bCs/>
          <w:noProof/>
          <w:color w:val="000000" w:themeColor="text1"/>
          <w:sz w:val="22"/>
          <w:szCs w:val="22"/>
          <w:lang w:eastAsia="en-US"/>
        </w:rPr>
        <w:t>P20220207001161</w:t>
      </w:r>
    </w:p>
    <w:p w14:paraId="49699107" w14:textId="77777777" w:rsidR="00E54365" w:rsidRPr="004A1D82" w:rsidRDefault="00E54365" w:rsidP="006C2B00">
      <w:pPr>
        <w:rPr>
          <w:rFonts w:ascii="Arial" w:hAnsi="Arial" w:cs="Arial"/>
          <w:color w:val="000000" w:themeColor="text1"/>
          <w:sz w:val="22"/>
        </w:rPr>
      </w:pPr>
    </w:p>
    <w:p w14:paraId="6502F989" w14:textId="77777777" w:rsidR="00C366C4" w:rsidRPr="004A1D82" w:rsidRDefault="00C366C4" w:rsidP="006C2B00">
      <w:pPr>
        <w:rPr>
          <w:rFonts w:ascii="Arial" w:hAnsi="Arial" w:cs="Arial"/>
          <w:color w:val="000000" w:themeColor="text1"/>
          <w:sz w:val="22"/>
        </w:rPr>
      </w:pPr>
    </w:p>
    <w:p w14:paraId="71ED9EB2" w14:textId="1BFC58B6" w:rsidR="00E54365" w:rsidRPr="004A1D82" w:rsidRDefault="00E54365" w:rsidP="006F56C4">
      <w:pPr>
        <w:spacing w:line="276" w:lineRule="auto"/>
        <w:rPr>
          <w:rFonts w:ascii="Arial" w:hAnsi="Arial" w:cs="Arial"/>
          <w:color w:val="000000" w:themeColor="text1"/>
          <w:sz w:val="22"/>
        </w:rPr>
      </w:pPr>
      <w:r w:rsidRPr="004A1D82">
        <w:rPr>
          <w:rFonts w:ascii="Arial" w:hAnsi="Arial" w:cs="Arial"/>
          <w:color w:val="000000" w:themeColor="text1"/>
          <w:sz w:val="22"/>
        </w:rPr>
        <w:t>Estimad</w:t>
      </w:r>
      <w:r w:rsidR="007D01F0" w:rsidRPr="004A1D82">
        <w:rPr>
          <w:rFonts w:ascii="Arial" w:hAnsi="Arial" w:cs="Arial"/>
          <w:color w:val="000000" w:themeColor="text1"/>
          <w:sz w:val="22"/>
        </w:rPr>
        <w:t>a</w:t>
      </w:r>
      <w:r w:rsidRPr="004A1D82">
        <w:rPr>
          <w:rFonts w:ascii="Arial" w:hAnsi="Arial" w:cs="Arial"/>
          <w:color w:val="000000" w:themeColor="text1"/>
          <w:sz w:val="22"/>
        </w:rPr>
        <w:t xml:space="preserve"> señor</w:t>
      </w:r>
      <w:r w:rsidR="007D01F0" w:rsidRPr="004A1D82">
        <w:rPr>
          <w:rFonts w:ascii="Arial" w:hAnsi="Arial" w:cs="Arial"/>
          <w:color w:val="000000" w:themeColor="text1"/>
          <w:sz w:val="22"/>
        </w:rPr>
        <w:t>a</w:t>
      </w:r>
      <w:r w:rsidR="00880D11" w:rsidRPr="004A1D82">
        <w:rPr>
          <w:rFonts w:ascii="Arial" w:hAnsi="Arial" w:cs="Arial"/>
          <w:color w:val="000000" w:themeColor="text1"/>
          <w:sz w:val="22"/>
        </w:rPr>
        <w:t xml:space="preserve"> </w:t>
      </w:r>
      <w:r w:rsidR="005112E4" w:rsidRPr="004A1D82">
        <w:rPr>
          <w:rFonts w:ascii="Arial" w:hAnsi="Arial" w:cs="Arial"/>
          <w:bCs/>
          <w:color w:val="000000" w:themeColor="text1"/>
          <w:sz w:val="22"/>
        </w:rPr>
        <w:t>Álvarez</w:t>
      </w:r>
      <w:r w:rsidRPr="004A1D82">
        <w:rPr>
          <w:rFonts w:ascii="Arial" w:hAnsi="Arial" w:cs="Arial"/>
          <w:bCs/>
          <w:color w:val="000000" w:themeColor="text1"/>
          <w:sz w:val="22"/>
        </w:rPr>
        <w:t>,</w:t>
      </w:r>
      <w:r w:rsidRPr="004A1D82">
        <w:rPr>
          <w:rFonts w:ascii="Arial" w:hAnsi="Arial" w:cs="Arial"/>
          <w:color w:val="000000" w:themeColor="text1"/>
          <w:sz w:val="22"/>
        </w:rPr>
        <w:t xml:space="preserve"> </w:t>
      </w:r>
    </w:p>
    <w:p w14:paraId="60D2C28E" w14:textId="77777777" w:rsidR="006F56C4" w:rsidRPr="004A1D82" w:rsidRDefault="006F56C4" w:rsidP="006F56C4">
      <w:pPr>
        <w:spacing w:line="276" w:lineRule="auto"/>
        <w:rPr>
          <w:rFonts w:ascii="Arial" w:hAnsi="Arial" w:cs="Arial"/>
          <w:color w:val="000000" w:themeColor="text1"/>
          <w:sz w:val="22"/>
        </w:rPr>
      </w:pPr>
    </w:p>
    <w:p w14:paraId="43EDF4BF" w14:textId="3858A466" w:rsidR="00E54365" w:rsidRPr="004A1D82" w:rsidRDefault="00E54365" w:rsidP="006B39D4">
      <w:pPr>
        <w:spacing w:line="276" w:lineRule="auto"/>
        <w:jc w:val="both"/>
        <w:rPr>
          <w:rFonts w:ascii="Arial" w:hAnsi="Arial" w:cs="Arial"/>
          <w:color w:val="000000" w:themeColor="text1"/>
          <w:sz w:val="22"/>
        </w:rPr>
      </w:pPr>
      <w:r w:rsidRPr="004A1D82">
        <w:rPr>
          <w:rFonts w:ascii="Arial" w:hAnsi="Arial" w:cs="Arial"/>
          <w:color w:val="000000" w:themeColor="text1"/>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76432E" w:rsidRPr="004A1D82">
        <w:rPr>
          <w:rFonts w:ascii="Arial" w:hAnsi="Arial" w:cs="Arial"/>
          <w:color w:val="000000" w:themeColor="text1"/>
          <w:sz w:val="22"/>
        </w:rPr>
        <w:t>4</w:t>
      </w:r>
      <w:r w:rsidRPr="004A1D82">
        <w:rPr>
          <w:rFonts w:ascii="Arial" w:hAnsi="Arial" w:cs="Arial"/>
          <w:color w:val="000000" w:themeColor="text1"/>
          <w:sz w:val="22"/>
        </w:rPr>
        <w:t xml:space="preserve"> de </w:t>
      </w:r>
      <w:r w:rsidR="0076432E" w:rsidRPr="004A1D82">
        <w:rPr>
          <w:rFonts w:ascii="Arial" w:hAnsi="Arial" w:cs="Arial"/>
          <w:color w:val="000000" w:themeColor="text1"/>
          <w:sz w:val="22"/>
        </w:rPr>
        <w:t>febrero</w:t>
      </w:r>
      <w:r w:rsidRPr="004A1D82">
        <w:rPr>
          <w:rFonts w:ascii="Arial" w:hAnsi="Arial" w:cs="Arial"/>
          <w:color w:val="000000" w:themeColor="text1"/>
          <w:sz w:val="22"/>
        </w:rPr>
        <w:t xml:space="preserve"> de 202</w:t>
      </w:r>
      <w:r w:rsidR="0076432E" w:rsidRPr="004A1D82">
        <w:rPr>
          <w:rFonts w:ascii="Arial" w:hAnsi="Arial" w:cs="Arial"/>
          <w:color w:val="000000" w:themeColor="text1"/>
          <w:sz w:val="22"/>
        </w:rPr>
        <w:t>2</w:t>
      </w:r>
      <w:r w:rsidRPr="004A1D82">
        <w:rPr>
          <w:rFonts w:ascii="Arial" w:hAnsi="Arial" w:cs="Arial"/>
          <w:color w:val="000000" w:themeColor="text1"/>
          <w:sz w:val="22"/>
        </w:rPr>
        <w:t>.</w:t>
      </w:r>
    </w:p>
    <w:p w14:paraId="7163A7AF" w14:textId="77777777" w:rsidR="00015E80" w:rsidRPr="004A1D82" w:rsidRDefault="00015E80">
      <w:pPr>
        <w:rPr>
          <w:rFonts w:ascii="Arial" w:hAnsi="Arial" w:cs="Arial"/>
          <w:color w:val="000000" w:themeColor="text1"/>
          <w:sz w:val="22"/>
        </w:rPr>
      </w:pPr>
    </w:p>
    <w:p w14:paraId="4CDB27A1" w14:textId="23AF4B73" w:rsidR="00FB5E3B" w:rsidRPr="004A1D82" w:rsidRDefault="00E54365" w:rsidP="00416308">
      <w:pPr>
        <w:rPr>
          <w:rFonts w:ascii="Arial" w:hAnsi="Arial" w:cs="Arial"/>
          <w:b/>
          <w:color w:val="000000" w:themeColor="text1"/>
          <w:sz w:val="22"/>
        </w:rPr>
      </w:pPr>
      <w:r w:rsidRPr="004A1D82">
        <w:rPr>
          <w:rFonts w:ascii="Arial" w:hAnsi="Arial" w:cs="Arial"/>
          <w:b/>
          <w:color w:val="000000" w:themeColor="text1"/>
          <w:sz w:val="22"/>
        </w:rPr>
        <w:t xml:space="preserve">1. Problema planteado </w:t>
      </w:r>
    </w:p>
    <w:p w14:paraId="5834083C" w14:textId="5B5F17F3" w:rsidR="00695B70" w:rsidRPr="004A1D82" w:rsidRDefault="00695B70" w:rsidP="00416308">
      <w:pPr>
        <w:rPr>
          <w:rFonts w:ascii="Arial" w:hAnsi="Arial" w:cs="Arial"/>
          <w:b/>
          <w:color w:val="000000" w:themeColor="text1"/>
          <w:sz w:val="22"/>
        </w:rPr>
      </w:pPr>
    </w:p>
    <w:p w14:paraId="14D7785A" w14:textId="77777777" w:rsidR="00C76212" w:rsidRPr="004A1D82" w:rsidRDefault="00FB5E3B" w:rsidP="00C50A4B">
      <w:pPr>
        <w:spacing w:after="120" w:line="276" w:lineRule="auto"/>
        <w:jc w:val="both"/>
        <w:rPr>
          <w:rFonts w:ascii="Arial" w:hAnsi="Arial" w:cs="Arial"/>
          <w:color w:val="000000" w:themeColor="text1"/>
          <w:sz w:val="22"/>
        </w:rPr>
      </w:pPr>
      <w:r w:rsidRPr="004A1D82">
        <w:rPr>
          <w:rFonts w:ascii="Arial" w:hAnsi="Arial" w:cs="Arial"/>
          <w:color w:val="000000" w:themeColor="text1"/>
          <w:sz w:val="22"/>
        </w:rPr>
        <w:t xml:space="preserve">Usted </w:t>
      </w:r>
      <w:r w:rsidR="00EF64D8" w:rsidRPr="004A1D82">
        <w:rPr>
          <w:rFonts w:ascii="Arial" w:hAnsi="Arial" w:cs="Arial"/>
          <w:color w:val="000000" w:themeColor="text1"/>
          <w:sz w:val="22"/>
        </w:rPr>
        <w:t>formula</w:t>
      </w:r>
      <w:r w:rsidRPr="004A1D82">
        <w:rPr>
          <w:rFonts w:ascii="Arial" w:hAnsi="Arial" w:cs="Arial"/>
          <w:color w:val="000000" w:themeColor="text1"/>
          <w:sz w:val="22"/>
        </w:rPr>
        <w:t xml:space="preserve"> la siguiente consulta</w:t>
      </w:r>
      <w:r w:rsidR="00A74544" w:rsidRPr="004A1D82">
        <w:rPr>
          <w:rFonts w:ascii="Arial" w:hAnsi="Arial" w:cs="Arial"/>
          <w:color w:val="000000" w:themeColor="text1"/>
          <w:sz w:val="22"/>
        </w:rPr>
        <w:t>:</w:t>
      </w:r>
      <w:r w:rsidR="00880D11" w:rsidRPr="004A1D82">
        <w:rPr>
          <w:rFonts w:ascii="Arial" w:hAnsi="Arial" w:cs="Arial"/>
          <w:color w:val="000000" w:themeColor="text1"/>
          <w:sz w:val="22"/>
        </w:rPr>
        <w:t xml:space="preserve"> </w:t>
      </w:r>
    </w:p>
    <w:p w14:paraId="7058BC23" w14:textId="5B90A40C" w:rsidR="001E4B0D" w:rsidRPr="004A1D82" w:rsidRDefault="00B94548" w:rsidP="001E4B0D">
      <w:pPr>
        <w:spacing w:after="120"/>
        <w:ind w:left="709" w:right="709"/>
        <w:jc w:val="both"/>
        <w:rPr>
          <w:rFonts w:ascii="Arial" w:hAnsi="Arial" w:cs="Arial"/>
          <w:color w:val="000000" w:themeColor="text1"/>
          <w:sz w:val="21"/>
          <w:szCs w:val="21"/>
        </w:rPr>
      </w:pPr>
      <w:r w:rsidRPr="004A1D82">
        <w:rPr>
          <w:rFonts w:ascii="Arial" w:hAnsi="Arial" w:cs="Arial"/>
          <w:color w:val="000000" w:themeColor="text1"/>
          <w:sz w:val="21"/>
          <w:szCs w:val="21"/>
        </w:rPr>
        <w:lastRenderedPageBreak/>
        <w:t>«</w:t>
      </w:r>
      <w:r w:rsidR="004B7D5F" w:rsidRPr="004A1D82">
        <w:rPr>
          <w:rFonts w:ascii="Arial" w:hAnsi="Arial" w:cs="Arial"/>
          <w:color w:val="000000" w:themeColor="text1"/>
          <w:sz w:val="21"/>
          <w:szCs w:val="21"/>
        </w:rPr>
        <w:t xml:space="preserve">[…] </w:t>
      </w:r>
      <w:r w:rsidR="001E4B0D" w:rsidRPr="004A1D82">
        <w:rPr>
          <w:rFonts w:ascii="Arial" w:hAnsi="Arial" w:cs="Arial"/>
          <w:color w:val="000000" w:themeColor="text1"/>
          <w:sz w:val="21"/>
          <w:szCs w:val="21"/>
        </w:rPr>
        <w:t>¿SE PUEDEN CELEBRAR CONVENIOS SOLIDARIOS ENTRE UN MUNICIPIO Y LAS JUNTAS DE ACCION COMUNAL EN LEY DE GARANTIAS? FAVOR INDICAR NORMATIVIDAD PORQUE HAY VACIOS JURIDICOS</w:t>
      </w:r>
      <w:r w:rsidR="001E4B0D" w:rsidRPr="004A1D82">
        <w:rPr>
          <w:rFonts w:ascii="Calibri" w:hAnsi="Calibri" w:cs="Calibri"/>
          <w:color w:val="000000" w:themeColor="text1"/>
        </w:rPr>
        <w:t>»</w:t>
      </w:r>
    </w:p>
    <w:p w14:paraId="5A1BAD33" w14:textId="77777777" w:rsidR="0001231C" w:rsidRPr="004A1D82" w:rsidRDefault="0001231C">
      <w:pPr>
        <w:rPr>
          <w:rFonts w:ascii="Arial" w:hAnsi="Arial" w:cs="Arial"/>
          <w:color w:val="000000" w:themeColor="text1"/>
          <w:sz w:val="22"/>
        </w:rPr>
      </w:pPr>
    </w:p>
    <w:p w14:paraId="22C81704" w14:textId="02C30143" w:rsidR="00FB5E3B" w:rsidRPr="004A1D82" w:rsidRDefault="00E54365" w:rsidP="00416308">
      <w:pPr>
        <w:rPr>
          <w:rFonts w:ascii="Arial" w:hAnsi="Arial" w:cs="Arial"/>
          <w:b/>
          <w:color w:val="000000" w:themeColor="text1"/>
          <w:sz w:val="22"/>
        </w:rPr>
      </w:pPr>
      <w:r w:rsidRPr="004A1D82">
        <w:rPr>
          <w:rFonts w:ascii="Arial" w:hAnsi="Arial" w:cs="Arial"/>
          <w:b/>
          <w:color w:val="000000" w:themeColor="text1"/>
          <w:sz w:val="22"/>
        </w:rPr>
        <w:t xml:space="preserve">2. Consideraciones </w:t>
      </w:r>
    </w:p>
    <w:p w14:paraId="783FA24B" w14:textId="77777777" w:rsidR="0051759B" w:rsidRPr="004A1D82" w:rsidRDefault="0051759B" w:rsidP="008B2C6A">
      <w:pPr>
        <w:spacing w:line="276" w:lineRule="auto"/>
        <w:ind w:firstLine="708"/>
        <w:jc w:val="both"/>
        <w:rPr>
          <w:rFonts w:ascii="Arial" w:hAnsi="Arial" w:cs="Arial"/>
          <w:color w:val="000000" w:themeColor="text1"/>
          <w:sz w:val="22"/>
          <w:szCs w:val="22"/>
        </w:rPr>
      </w:pPr>
    </w:p>
    <w:p w14:paraId="5D0516F3" w14:textId="2F018C5F" w:rsidR="0001231C" w:rsidRPr="004A1D82" w:rsidRDefault="00657259" w:rsidP="004A1D82">
      <w:pPr>
        <w:spacing w:after="120" w:line="276" w:lineRule="auto"/>
        <w:jc w:val="both"/>
        <w:rPr>
          <w:rFonts w:ascii="Arial" w:eastAsia="Calibri" w:hAnsi="Arial" w:cs="Arial"/>
          <w:color w:val="000000" w:themeColor="text1"/>
          <w:sz w:val="22"/>
          <w:szCs w:val="22"/>
          <w:u w:val="single"/>
        </w:rPr>
      </w:pPr>
      <w:r w:rsidRPr="004A1D82">
        <w:rPr>
          <w:rFonts w:ascii="Arial" w:eastAsia="Calibri" w:hAnsi="Arial" w:cs="Arial"/>
          <w:color w:val="000000" w:themeColor="text1"/>
          <w:sz w:val="22"/>
          <w:szCs w:val="22"/>
        </w:rPr>
        <w:t xml:space="preserve">La Agencia Nacional de Contratación Pública ‒ Colombia Compra Eficiente, en los conceptos </w:t>
      </w:r>
      <w:r w:rsidR="0001231C" w:rsidRPr="004A1D82">
        <w:rPr>
          <w:rFonts w:ascii="Arial" w:eastAsia="Calibri" w:hAnsi="Arial" w:cs="Arial"/>
          <w:bCs/>
          <w:color w:val="000000" w:themeColor="text1"/>
          <w:sz w:val="22"/>
        </w:rPr>
        <w:t>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C-695 del 22 de diciembre de 2021 y C-015 del 12 de enero de 2022,</w:t>
      </w:r>
      <w:r w:rsidR="00477514" w:rsidRPr="004A1D82">
        <w:rPr>
          <w:rFonts w:ascii="Arial" w:eastAsia="Calibri" w:hAnsi="Arial" w:cs="Arial"/>
          <w:color w:val="000000" w:themeColor="text1"/>
          <w:sz w:val="22"/>
          <w:szCs w:val="22"/>
        </w:rPr>
        <w:t xml:space="preserve"> </w:t>
      </w:r>
      <w:r w:rsidRPr="004A1D82">
        <w:rPr>
          <w:rFonts w:ascii="Arial" w:eastAsia="Calibri" w:hAnsi="Arial" w:cs="Arial"/>
          <w:color w:val="000000" w:themeColor="text1"/>
          <w:sz w:val="22"/>
          <w:szCs w:val="22"/>
        </w:rPr>
        <w:t xml:space="preserve">estudió </w:t>
      </w:r>
      <w:r w:rsidR="00DF6AA5" w:rsidRPr="004A1D82">
        <w:rPr>
          <w:rFonts w:ascii="Arial" w:eastAsia="Calibri" w:hAnsi="Arial" w:cs="Arial"/>
          <w:color w:val="000000" w:themeColor="text1"/>
          <w:sz w:val="22"/>
          <w:szCs w:val="22"/>
        </w:rPr>
        <w:t xml:space="preserve">el ámbito de aplicación de </w:t>
      </w:r>
      <w:r w:rsidR="0001231C" w:rsidRPr="004A1D82">
        <w:rPr>
          <w:rFonts w:ascii="Arial" w:eastAsia="Calibri" w:hAnsi="Arial" w:cs="Arial"/>
          <w:color w:val="000000" w:themeColor="text1"/>
          <w:sz w:val="22"/>
          <w:szCs w:val="22"/>
        </w:rPr>
        <w:t xml:space="preserve">la ley 996 de 2005 y la restricción específica contenida en </w:t>
      </w:r>
      <w:r w:rsidR="00914DA0" w:rsidRPr="004A1D82">
        <w:rPr>
          <w:rFonts w:ascii="Arial" w:eastAsia="Calibri" w:hAnsi="Arial" w:cs="Arial"/>
          <w:color w:val="000000" w:themeColor="text1"/>
          <w:sz w:val="22"/>
          <w:szCs w:val="22"/>
        </w:rPr>
        <w:t>su</w:t>
      </w:r>
      <w:r w:rsidR="0001231C" w:rsidRPr="004A1D82">
        <w:rPr>
          <w:rFonts w:ascii="Arial" w:eastAsia="Calibri" w:hAnsi="Arial" w:cs="Arial"/>
          <w:color w:val="000000" w:themeColor="text1"/>
          <w:sz w:val="22"/>
          <w:szCs w:val="22"/>
        </w:rPr>
        <w:t xml:space="preserve"> artículo 33</w:t>
      </w:r>
      <w:r w:rsidRPr="004A1D82">
        <w:rPr>
          <w:rFonts w:ascii="Arial" w:eastAsia="Calibri" w:hAnsi="Arial" w:cs="Arial"/>
          <w:color w:val="000000" w:themeColor="text1"/>
          <w:sz w:val="22"/>
          <w:szCs w:val="22"/>
        </w:rPr>
        <w:t>.</w:t>
      </w:r>
      <w:r w:rsidRPr="004A1D82">
        <w:rPr>
          <w:rFonts w:ascii="Arial" w:eastAsia="Calibri" w:hAnsi="Arial" w:cs="Arial"/>
          <w:color w:val="000000" w:themeColor="text1"/>
          <w:sz w:val="22"/>
          <w:szCs w:val="22"/>
          <w:u w:val="single"/>
        </w:rPr>
        <w:t xml:space="preserve"> </w:t>
      </w:r>
    </w:p>
    <w:p w14:paraId="626F26E0" w14:textId="535BFF77" w:rsidR="00DA41EF" w:rsidRPr="004A1D82" w:rsidRDefault="0001231C" w:rsidP="00DF64F5">
      <w:pPr>
        <w:spacing w:line="276" w:lineRule="auto"/>
        <w:ind w:firstLine="708"/>
        <w:jc w:val="both"/>
        <w:rPr>
          <w:rFonts w:ascii="Arial" w:eastAsia="Calibri" w:hAnsi="Arial" w:cs="Arial"/>
          <w:color w:val="000000" w:themeColor="text1"/>
          <w:sz w:val="22"/>
          <w:szCs w:val="22"/>
        </w:rPr>
      </w:pPr>
      <w:r w:rsidRPr="004A1D82">
        <w:rPr>
          <w:rFonts w:ascii="Arial" w:eastAsia="Calibri" w:hAnsi="Arial" w:cs="Arial"/>
          <w:color w:val="000000" w:themeColor="text1"/>
          <w:sz w:val="22"/>
          <w:szCs w:val="22"/>
        </w:rPr>
        <w:t xml:space="preserve">Por otra parte, </w:t>
      </w:r>
      <w:r w:rsidR="00DF64F5" w:rsidRPr="004A1D82">
        <w:rPr>
          <w:rFonts w:ascii="Arial" w:eastAsia="Calibri" w:hAnsi="Arial" w:cs="Arial"/>
          <w:color w:val="000000" w:themeColor="text1"/>
          <w:sz w:val="22"/>
          <w:lang w:val="es-ES"/>
        </w:rPr>
        <w:t>la Agencia, en los conceptos No. 4201913000006135 del 10 de septiembre de 2019,</w:t>
      </w:r>
      <w:r w:rsidR="00DF64F5" w:rsidRPr="004A1D82">
        <w:rPr>
          <w:color w:val="000000" w:themeColor="text1"/>
        </w:rPr>
        <w:t xml:space="preserve"> </w:t>
      </w:r>
      <w:r w:rsidR="00DF64F5" w:rsidRPr="004A1D82">
        <w:rPr>
          <w:rFonts w:ascii="Arial" w:eastAsia="Calibri" w:hAnsi="Arial" w:cs="Arial"/>
          <w:color w:val="000000" w:themeColor="text1"/>
          <w:sz w:val="22"/>
          <w:lang w:val="es-ES"/>
        </w:rPr>
        <w:t>4201912000004117 del 17 de septiembre de 2019, C – 140 del 31 de marzo de 2020, C – 223 del 29 de abril de 2020, C – 477 del 27 de julio de 2020, C – 656 del 17 de noviembre de 2020, C-785 del 18 de enero de 2021 y C-155 del 14 de abril de 2021, analizó los convenios solidarios y su alcance.</w:t>
      </w:r>
      <w:r w:rsidR="002421C9" w:rsidRPr="004A1D82">
        <w:rPr>
          <w:rFonts w:ascii="Arial" w:eastAsia="Calibri" w:hAnsi="Arial" w:cs="Arial"/>
          <w:color w:val="000000" w:themeColor="text1"/>
          <w:sz w:val="22"/>
          <w:lang w:val="es-ES"/>
        </w:rPr>
        <w:t xml:space="preserve"> Finalmente, en el concepto C-</w:t>
      </w:r>
      <w:r w:rsidR="000319A6" w:rsidRPr="004A1D82">
        <w:rPr>
          <w:rFonts w:ascii="Arial" w:eastAsia="Calibri" w:hAnsi="Arial" w:cs="Arial"/>
          <w:color w:val="000000" w:themeColor="text1"/>
          <w:sz w:val="22"/>
          <w:lang w:val="es-ES"/>
        </w:rPr>
        <w:t xml:space="preserve">008 del 24 de febrero de 2022 se analizó el alcance de la Ley de Garantías Electorales, en relación con los convenios solidarios. </w:t>
      </w:r>
      <w:r w:rsidR="00657259" w:rsidRPr="004A1D82">
        <w:rPr>
          <w:rFonts w:ascii="Arial" w:eastAsia="Calibri" w:hAnsi="Arial" w:cs="Arial"/>
          <w:color w:val="000000" w:themeColor="text1"/>
          <w:sz w:val="22"/>
          <w:szCs w:val="22"/>
        </w:rPr>
        <w:t>Los argumentos y consideraciones expuestos en los conceptos mencionados se reiteran y se complementan en lo pertinente.</w:t>
      </w:r>
    </w:p>
    <w:p w14:paraId="3D5BBEF8" w14:textId="77777777" w:rsidR="00DF64F5" w:rsidRPr="004A1D82" w:rsidRDefault="00DF64F5" w:rsidP="00DF64F5">
      <w:pPr>
        <w:spacing w:line="276" w:lineRule="auto"/>
        <w:jc w:val="both"/>
        <w:rPr>
          <w:rFonts w:ascii="Arial" w:eastAsia="Calibri" w:hAnsi="Arial" w:cs="Arial"/>
          <w:color w:val="000000" w:themeColor="text1"/>
          <w:sz w:val="22"/>
          <w:szCs w:val="22"/>
        </w:rPr>
      </w:pPr>
    </w:p>
    <w:p w14:paraId="7399E95E" w14:textId="77777777" w:rsidR="00EA03F6" w:rsidRPr="004A1D82" w:rsidRDefault="00EA03F6" w:rsidP="00EA03F6">
      <w:pPr>
        <w:tabs>
          <w:tab w:val="left" w:pos="426"/>
        </w:tabs>
        <w:spacing w:line="276" w:lineRule="auto"/>
        <w:jc w:val="both"/>
        <w:rPr>
          <w:rFonts w:ascii="Arial" w:eastAsia="Calibri" w:hAnsi="Arial" w:cs="Arial"/>
          <w:b/>
          <w:bCs/>
          <w:color w:val="000000" w:themeColor="text1"/>
          <w:sz w:val="22"/>
          <w:szCs w:val="22"/>
          <w:lang w:val="es-ES_tradnl" w:eastAsia="en-US"/>
        </w:rPr>
      </w:pPr>
      <w:r w:rsidRPr="004A1D82">
        <w:rPr>
          <w:rFonts w:ascii="Arial" w:eastAsia="Calibri" w:hAnsi="Arial" w:cs="Arial"/>
          <w:b/>
          <w:bCs/>
          <w:color w:val="000000" w:themeColor="text1"/>
          <w:sz w:val="22"/>
          <w:szCs w:val="22"/>
          <w:lang w:val="es-ES_tradnl" w:eastAsia="en-US"/>
        </w:rPr>
        <w:t>2.1. Definición y finalidad de la Ley de Garantías Electorales: alcance de las restricciones</w:t>
      </w:r>
    </w:p>
    <w:p w14:paraId="729A9DFA" w14:textId="77777777" w:rsidR="00EA03F6" w:rsidRPr="004A1D82" w:rsidRDefault="00EA03F6" w:rsidP="00EA03F6">
      <w:pPr>
        <w:tabs>
          <w:tab w:val="left" w:pos="426"/>
        </w:tabs>
        <w:spacing w:line="276" w:lineRule="auto"/>
        <w:ind w:firstLine="709"/>
        <w:jc w:val="both"/>
        <w:rPr>
          <w:rFonts w:ascii="Arial" w:eastAsia="Calibri" w:hAnsi="Arial" w:cs="Arial"/>
          <w:bCs/>
          <w:color w:val="000000" w:themeColor="text1"/>
          <w:sz w:val="22"/>
          <w:szCs w:val="22"/>
          <w:lang w:val="es-ES_tradnl" w:eastAsia="en-US"/>
        </w:rPr>
      </w:pPr>
    </w:p>
    <w:p w14:paraId="30AB7024" w14:textId="77777777" w:rsidR="00EA03F6" w:rsidRPr="004A1D82" w:rsidRDefault="00EA03F6" w:rsidP="00EA03F6">
      <w:pPr>
        <w:tabs>
          <w:tab w:val="left" w:pos="426"/>
        </w:tabs>
        <w:spacing w:after="120" w:line="276" w:lineRule="auto"/>
        <w:jc w:val="both"/>
        <w:rPr>
          <w:rFonts w:ascii="Arial" w:hAnsi="Arial" w:cs="Arial"/>
          <w:bCs/>
          <w:color w:val="000000" w:themeColor="text1"/>
          <w:sz w:val="22"/>
          <w:szCs w:val="22"/>
          <w:lang w:val="es-ES_tradnl" w:eastAsia="es-CO"/>
        </w:rPr>
      </w:pPr>
      <w:r w:rsidRPr="004A1D82">
        <w:rPr>
          <w:rFonts w:ascii="Arial" w:eastAsia="Calibri" w:hAnsi="Arial" w:cs="Arial"/>
          <w:bCs/>
          <w:color w:val="000000" w:themeColor="text1"/>
          <w:sz w:val="22"/>
          <w:szCs w:val="22"/>
          <w:lang w:val="es-ES_tradnl" w:eastAsia="en-US"/>
        </w:rPr>
        <w:t>El ordenamiento jurídico colombiano contempla previsiones claras para evitar la obtención de beneficios personales en asuntos propios de la administración pública</w:t>
      </w:r>
      <w:r w:rsidRPr="004A1D82">
        <w:rPr>
          <w:rFonts w:ascii="Arial" w:eastAsia="Calibri" w:hAnsi="Arial" w:cs="Arial"/>
          <w:bCs/>
          <w:i/>
          <w:iCs/>
          <w:color w:val="000000" w:themeColor="text1"/>
          <w:sz w:val="22"/>
          <w:szCs w:val="22"/>
          <w:lang w:val="es-ES_tradnl" w:eastAsia="en-US"/>
        </w:rPr>
        <w:t xml:space="preserve">. </w:t>
      </w:r>
      <w:r w:rsidRPr="004A1D82">
        <w:rPr>
          <w:rFonts w:ascii="Arial" w:eastAsia="Calibri" w:hAnsi="Arial" w:cs="Arial"/>
          <w:bCs/>
          <w:color w:val="000000" w:themeColor="text1"/>
          <w:sz w:val="22"/>
          <w:szCs w:val="22"/>
          <w:lang w:val="es-ES_tradnl" w:eastAsia="en-US"/>
        </w:rPr>
        <w:t xml:space="preserve">Por ejemplo, el artículo 127 de la Constitución Política establece una prohibición contractual a los servidores públicos y, </w:t>
      </w:r>
      <w:r w:rsidRPr="004A1D82">
        <w:rPr>
          <w:rFonts w:ascii="Arial" w:eastAsia="Calibri" w:hAnsi="Arial" w:cs="Arial"/>
          <w:bCs/>
          <w:color w:val="000000" w:themeColor="text1"/>
          <w:sz w:val="22"/>
          <w:szCs w:val="22"/>
          <w:lang w:val="es-ES_tradnl" w:eastAsia="en-US"/>
        </w:rPr>
        <w:lastRenderedPageBreak/>
        <w:t>en cuanto a aspectos políticos, establece restricciones a ciertos empleados del Estado, incluso en época no electoral</w:t>
      </w:r>
      <w:r w:rsidRPr="004A1D82">
        <w:rPr>
          <w:rFonts w:ascii="Arial" w:eastAsia="Calibri" w:hAnsi="Arial" w:cs="Arial"/>
          <w:color w:val="000000" w:themeColor="text1"/>
          <w:vertAlign w:val="superscript"/>
          <w:lang w:eastAsia="es-ES_tradnl"/>
        </w:rPr>
        <w:footnoteReference w:id="1"/>
      </w:r>
      <w:r w:rsidRPr="004A1D82">
        <w:rPr>
          <w:rFonts w:ascii="Arial" w:eastAsia="Calibri" w:hAnsi="Arial" w:cs="Arial"/>
          <w:bCs/>
          <w:color w:val="000000" w:themeColor="text1"/>
          <w:sz w:val="22"/>
          <w:szCs w:val="22"/>
          <w:lang w:val="es-ES_tradnl" w:eastAsia="en-US"/>
        </w:rPr>
        <w:t xml:space="preserve">. </w:t>
      </w:r>
    </w:p>
    <w:p w14:paraId="3BF9D358" w14:textId="77777777" w:rsidR="00EA03F6" w:rsidRPr="004A1D82" w:rsidRDefault="00EA03F6" w:rsidP="00EA03F6">
      <w:pPr>
        <w:tabs>
          <w:tab w:val="left" w:pos="426"/>
        </w:tabs>
        <w:spacing w:line="276" w:lineRule="auto"/>
        <w:ind w:firstLine="709"/>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es-CO"/>
        </w:rPr>
        <w:t>En el mismo sentido, la Ley 996 de 2005, conocida como «Ley de Garantías Electorales», se suma a la normatividad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A1D82">
        <w:rPr>
          <w:rFonts w:ascii="Arial" w:hAnsi="Arial" w:cs="Arial"/>
          <w:color w:val="000000" w:themeColor="text1"/>
          <w:vertAlign w:val="superscript"/>
          <w:lang w:eastAsia="es-ES_tradnl"/>
        </w:rPr>
        <w:footnoteReference w:id="2"/>
      </w:r>
      <w:r w:rsidRPr="004A1D82">
        <w:rPr>
          <w:rFonts w:ascii="Arial" w:hAnsi="Arial" w:cs="Arial"/>
          <w:bCs/>
          <w:color w:val="000000" w:themeColor="text1"/>
          <w:sz w:val="22"/>
          <w:szCs w:val="22"/>
          <w:lang w:val="es-ES_tradnl" w:eastAsia="es-CO"/>
        </w:rPr>
        <w:t>. En esta medida, introduce limitaciones para realizar nombramientos, postulaciones, contrataciones o cualquier otro tipo de actividad que implique destinación de recursos públicos bajo el devenir propio de las entidades estatales.</w:t>
      </w:r>
      <w:r w:rsidRPr="004A1D82">
        <w:rPr>
          <w:rFonts w:ascii="Arial" w:eastAsia="Calibri" w:hAnsi="Arial" w:cs="Arial"/>
          <w:noProof/>
          <w:color w:val="000000" w:themeColor="text1"/>
          <w:sz w:val="22"/>
          <w:szCs w:val="22"/>
          <w:lang w:val="es-ES_tradnl" w:eastAsia="en-US"/>
        </w:rPr>
        <w:t xml:space="preserve"> </w:t>
      </w:r>
      <w:r w:rsidRPr="004A1D82">
        <w:rPr>
          <w:rFonts w:ascii="Arial" w:hAnsi="Arial" w:cs="Arial"/>
          <w:bCs/>
          <w:color w:val="000000" w:themeColor="text1"/>
          <w:sz w:val="22"/>
          <w:szCs w:val="22"/>
          <w:lang w:val="es-ES_tradnl" w:eastAsia="es-CO"/>
        </w:rPr>
        <w:t>En armonía con lo anterior, la Corte Constitucional ha abordado la definición de la Ley de Garantías Electorales. De esta manera, explica que tiene como propósito:</w:t>
      </w:r>
    </w:p>
    <w:p w14:paraId="7A2DAEA2" w14:textId="77777777" w:rsidR="00EA03F6" w:rsidRPr="004A1D82" w:rsidRDefault="00EA03F6" w:rsidP="00EA03F6">
      <w:pPr>
        <w:ind w:right="709"/>
        <w:jc w:val="both"/>
        <w:rPr>
          <w:rFonts w:ascii="Arial" w:hAnsi="Arial" w:cs="Arial"/>
          <w:color w:val="000000" w:themeColor="text1"/>
          <w:sz w:val="21"/>
          <w:szCs w:val="21"/>
          <w:lang w:val="es-ES_tradnl" w:eastAsia="es-CO"/>
        </w:rPr>
      </w:pPr>
    </w:p>
    <w:p w14:paraId="45916A9F" w14:textId="77777777" w:rsidR="00EA03F6" w:rsidRPr="004A1D82" w:rsidRDefault="00EA03F6" w:rsidP="00EA03F6">
      <w:pPr>
        <w:ind w:left="709" w:right="709"/>
        <w:jc w:val="both"/>
        <w:rPr>
          <w:rFonts w:ascii="Arial" w:hAnsi="Arial" w:cs="Arial"/>
          <w:bCs/>
          <w:color w:val="000000" w:themeColor="text1"/>
          <w:sz w:val="21"/>
          <w:szCs w:val="21"/>
          <w:lang w:val="es-ES_tradnl" w:eastAsia="es-CO"/>
        </w:rPr>
      </w:pPr>
      <w:r w:rsidRPr="004A1D82">
        <w:rPr>
          <w:rFonts w:ascii="Arial" w:hAnsi="Arial" w:cs="Arial"/>
          <w:color w:val="000000" w:themeColor="text1"/>
          <w:sz w:val="21"/>
          <w:szCs w:val="21"/>
          <w:lang w:val="es-ES_tradnl" w:eastAsia="es-CO"/>
        </w:rPr>
        <w:t xml:space="preserve">[…] </w:t>
      </w:r>
      <w:r w:rsidRPr="004A1D82">
        <w:rPr>
          <w:rFonts w:ascii="Arial" w:hAnsi="Arial" w:cs="Arial"/>
          <w:bCs/>
          <w:color w:val="000000" w:themeColor="text1"/>
          <w:sz w:val="21"/>
          <w:szCs w:val="21"/>
          <w:lang w:val="es-ES_tradnl" w:eastAsia="es-CO"/>
        </w:rPr>
        <w:t>la definición de reglas claras que permitan acceder a los canales de expresión democrática de manera efectiva e igualitaria. El objetivo de una ley de garantías es definir esas reglas.</w:t>
      </w:r>
    </w:p>
    <w:p w14:paraId="76B433A5" w14:textId="77777777" w:rsidR="00EA03F6" w:rsidRPr="004A1D82" w:rsidRDefault="00EA03F6" w:rsidP="00EA03F6">
      <w:pPr>
        <w:spacing w:after="120"/>
        <w:ind w:left="709" w:right="709"/>
        <w:jc w:val="both"/>
        <w:rPr>
          <w:rFonts w:ascii="Arial" w:hAnsi="Arial" w:cs="Arial"/>
          <w:bCs/>
          <w:color w:val="000000" w:themeColor="text1"/>
          <w:sz w:val="21"/>
          <w:szCs w:val="21"/>
          <w:lang w:val="es-ES_tradnl" w:eastAsia="es-CO"/>
        </w:rPr>
      </w:pPr>
      <w:r w:rsidRPr="004A1D82">
        <w:rPr>
          <w:rFonts w:ascii="Arial" w:hAnsi="Arial" w:cs="Arial"/>
          <w:bCs/>
          <w:color w:val="000000" w:themeColor="text1"/>
          <w:sz w:val="21"/>
          <w:szCs w:val="21"/>
          <w:lang w:val="es-ES_tradnl" w:eastAsia="es-CO"/>
        </w:rPr>
        <w:t xml:space="preserve">[…] </w:t>
      </w:r>
    </w:p>
    <w:p w14:paraId="7A2E31A1" w14:textId="77777777" w:rsidR="00EA03F6" w:rsidRPr="004A1D82" w:rsidRDefault="00EA03F6" w:rsidP="00EA03F6">
      <w:pPr>
        <w:ind w:left="709" w:right="709"/>
        <w:jc w:val="both"/>
        <w:rPr>
          <w:rFonts w:ascii="Arial" w:hAnsi="Arial" w:cs="Arial"/>
          <w:bCs/>
          <w:color w:val="000000" w:themeColor="text1"/>
          <w:sz w:val="21"/>
          <w:szCs w:val="21"/>
          <w:lang w:val="es-ES_tradnl" w:eastAsia="es-CO"/>
        </w:rPr>
      </w:pPr>
      <w:r w:rsidRPr="004A1D82">
        <w:rPr>
          <w:rFonts w:ascii="Arial" w:hAnsi="Arial" w:cs="Arial"/>
          <w:bCs/>
          <w:color w:val="000000" w:themeColor="text1"/>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4A1D82">
        <w:rPr>
          <w:rFonts w:ascii="Arial" w:eastAsiaTheme="minorHAnsi" w:hAnsi="Arial" w:cs="Arial"/>
          <w:color w:val="000000" w:themeColor="text1"/>
          <w:vertAlign w:val="superscript"/>
          <w:lang w:eastAsia="es-ES_tradnl"/>
        </w:rPr>
        <w:footnoteReference w:id="3"/>
      </w:r>
    </w:p>
    <w:p w14:paraId="5932F4E2" w14:textId="77777777" w:rsidR="00EA03F6" w:rsidRPr="004A1D82" w:rsidRDefault="00EA03F6" w:rsidP="00EA03F6">
      <w:pPr>
        <w:spacing w:line="276" w:lineRule="auto"/>
        <w:ind w:left="709" w:right="709"/>
        <w:jc w:val="both"/>
        <w:rPr>
          <w:rFonts w:ascii="Arial" w:hAnsi="Arial" w:cs="Arial"/>
          <w:bCs/>
          <w:color w:val="000000" w:themeColor="text1"/>
          <w:sz w:val="21"/>
          <w:szCs w:val="21"/>
          <w:lang w:val="es-ES_tradnl" w:eastAsia="es-CO"/>
        </w:rPr>
      </w:pPr>
    </w:p>
    <w:p w14:paraId="12E964A3" w14:textId="77777777" w:rsidR="00EA03F6" w:rsidRPr="004A1D82" w:rsidRDefault="00EA03F6" w:rsidP="00EA03F6">
      <w:pPr>
        <w:spacing w:line="276" w:lineRule="auto"/>
        <w:ind w:firstLine="709"/>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es-CO"/>
        </w:rPr>
        <w:lastRenderedPageBreak/>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1EC66F39" w14:textId="77777777" w:rsidR="00EA03F6" w:rsidRPr="004A1D82" w:rsidRDefault="00EA03F6" w:rsidP="00EA03F6">
      <w:pPr>
        <w:spacing w:line="276" w:lineRule="auto"/>
        <w:ind w:firstLine="709"/>
        <w:jc w:val="both"/>
        <w:rPr>
          <w:rFonts w:ascii="Arial" w:hAnsi="Arial" w:cs="Arial"/>
          <w:bCs/>
          <w:color w:val="000000" w:themeColor="text1"/>
          <w:sz w:val="22"/>
          <w:szCs w:val="22"/>
          <w:lang w:val="es-ES_tradnl" w:eastAsia="es-CO"/>
        </w:rPr>
      </w:pPr>
    </w:p>
    <w:p w14:paraId="3DA5A56A" w14:textId="77777777" w:rsidR="00EA03F6" w:rsidRPr="004A1D82" w:rsidRDefault="00EA03F6" w:rsidP="00EA03F6">
      <w:pPr>
        <w:spacing w:after="120"/>
        <w:ind w:left="709" w:right="709"/>
        <w:jc w:val="both"/>
        <w:rPr>
          <w:rFonts w:ascii="Arial" w:hAnsi="Arial" w:cs="Arial"/>
          <w:bCs/>
          <w:color w:val="000000" w:themeColor="text1"/>
          <w:sz w:val="21"/>
          <w:szCs w:val="21"/>
          <w:lang w:val="es-ES_tradnl" w:eastAsia="es-CO"/>
        </w:rPr>
      </w:pPr>
      <w:r w:rsidRPr="004A1D82">
        <w:rPr>
          <w:rFonts w:ascii="Arial" w:hAnsi="Arial" w:cs="Arial"/>
          <w:bCs/>
          <w:color w:val="000000" w:themeColor="text1"/>
          <w:sz w:val="21"/>
          <w:szCs w:val="21"/>
          <w:lang w:val="es-ES_tradnl"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4A1D82">
        <w:rPr>
          <w:rFonts w:ascii="Arial" w:hAnsi="Arial" w:cs="Arial"/>
          <w:bCs/>
          <w:color w:val="000000" w:themeColor="text1"/>
          <w:sz w:val="21"/>
          <w:szCs w:val="21"/>
          <w:lang w:val="es-ES_tradnl" w:eastAsia="es-CO"/>
        </w:rPr>
        <w:t>legis</w:t>
      </w:r>
      <w:proofErr w:type="spellEnd"/>
      <w:r w:rsidRPr="004A1D82">
        <w:rPr>
          <w:rFonts w:ascii="Arial" w:hAnsi="Arial" w:cs="Arial"/>
          <w:bCs/>
          <w:color w:val="000000" w:themeColor="text1"/>
          <w:sz w:val="21"/>
          <w:szCs w:val="21"/>
          <w:lang w:val="es-ES_tradnl"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6C7A6D5" w14:textId="77777777" w:rsidR="00EA03F6" w:rsidRPr="004A1D82" w:rsidRDefault="00EA03F6" w:rsidP="00EA03F6">
      <w:pPr>
        <w:ind w:left="709" w:right="709"/>
        <w:jc w:val="both"/>
        <w:rPr>
          <w:rFonts w:ascii="Arial" w:hAnsi="Arial" w:cs="Arial"/>
          <w:bCs/>
          <w:color w:val="000000" w:themeColor="text1"/>
          <w:sz w:val="21"/>
          <w:szCs w:val="21"/>
          <w:lang w:val="es-ES_tradnl" w:eastAsia="es-CO"/>
        </w:rPr>
      </w:pPr>
      <w:r w:rsidRPr="004A1D82">
        <w:rPr>
          <w:rFonts w:ascii="Arial" w:hAnsi="Arial" w:cs="Arial"/>
          <w:bCs/>
          <w:color w:val="000000" w:themeColor="text1"/>
          <w:sz w:val="21"/>
          <w:szCs w:val="21"/>
          <w:lang w:val="es-ES_tradnl" w:eastAsia="es-CO"/>
        </w:rPr>
        <w:t>La jurisprudencia de la Corte Constitucional</w:t>
      </w:r>
      <w:r w:rsidRPr="004A1D82">
        <w:rPr>
          <w:rFonts w:ascii="Arial" w:hAnsi="Arial" w:cs="Arial"/>
          <w:color w:val="000000" w:themeColor="text1"/>
          <w:vertAlign w:val="superscript"/>
          <w:lang w:eastAsia="es-ES_tradnl"/>
        </w:rPr>
        <w:footnoteReference w:id="4"/>
      </w:r>
      <w:r w:rsidRPr="004A1D82">
        <w:rPr>
          <w:rFonts w:ascii="Arial" w:hAnsi="Arial" w:cs="Arial"/>
          <w:bCs/>
          <w:color w:val="000000" w:themeColor="text1"/>
          <w:sz w:val="21"/>
          <w:szCs w:val="21"/>
          <w:lang w:val="es-ES_tradnl" w:eastAsia="es-CO"/>
        </w:rPr>
        <w:t> y del Consejo de Estado</w:t>
      </w:r>
      <w:r w:rsidRPr="004A1D82">
        <w:rPr>
          <w:rFonts w:ascii="Arial" w:hAnsi="Arial" w:cs="Arial"/>
          <w:color w:val="000000" w:themeColor="text1"/>
          <w:vertAlign w:val="superscript"/>
          <w:lang w:eastAsia="es-ES_tradnl"/>
        </w:rPr>
        <w:footnoteReference w:id="5"/>
      </w:r>
      <w:r w:rsidRPr="004A1D82">
        <w:rPr>
          <w:rFonts w:ascii="Arial" w:hAnsi="Arial" w:cs="Arial"/>
          <w:bCs/>
          <w:color w:val="000000" w:themeColor="text1"/>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A1D82">
        <w:rPr>
          <w:rFonts w:ascii="Arial" w:hAnsi="Arial" w:cs="Arial"/>
          <w:color w:val="000000" w:themeColor="text1"/>
          <w:vertAlign w:val="superscript"/>
          <w:lang w:eastAsia="es-ES_tradnl"/>
        </w:rPr>
        <w:footnoteReference w:id="6"/>
      </w:r>
      <w:r w:rsidRPr="004A1D82">
        <w:rPr>
          <w:rFonts w:ascii="Arial" w:hAnsi="Arial" w:cs="Arial"/>
          <w:bCs/>
          <w:color w:val="000000" w:themeColor="text1"/>
          <w:sz w:val="21"/>
          <w:szCs w:val="21"/>
          <w:lang w:val="es-ES_tradnl" w:eastAsia="es-CO"/>
        </w:rPr>
        <w:t>.</w:t>
      </w:r>
    </w:p>
    <w:p w14:paraId="0457EC42" w14:textId="77777777" w:rsidR="00EA03F6" w:rsidRPr="004A1D82" w:rsidRDefault="00EA03F6" w:rsidP="00EA03F6">
      <w:pPr>
        <w:spacing w:line="276" w:lineRule="auto"/>
        <w:ind w:right="709"/>
        <w:jc w:val="both"/>
        <w:rPr>
          <w:rFonts w:ascii="Arial" w:hAnsi="Arial" w:cs="Arial"/>
          <w:bCs/>
          <w:color w:val="000000" w:themeColor="text1"/>
          <w:sz w:val="22"/>
          <w:szCs w:val="22"/>
          <w:lang w:val="es-ES_tradnl" w:eastAsia="es-CO"/>
        </w:rPr>
      </w:pPr>
    </w:p>
    <w:p w14:paraId="3C0F6044" w14:textId="77777777" w:rsidR="00EA03F6" w:rsidRPr="004A1D82" w:rsidRDefault="00EA03F6" w:rsidP="00EA03F6">
      <w:pPr>
        <w:spacing w:after="120" w:line="276" w:lineRule="auto"/>
        <w:jc w:val="both"/>
        <w:rPr>
          <w:rFonts w:ascii="Arial" w:eastAsia="Arial" w:hAnsi="Arial" w:cs="Arial"/>
          <w:color w:val="000000" w:themeColor="text1"/>
          <w:sz w:val="22"/>
          <w:szCs w:val="22"/>
          <w:lang w:val="es-ES_tradnl" w:eastAsia="es-ES" w:bidi="es-ES"/>
        </w:rPr>
      </w:pPr>
      <w:r w:rsidRPr="004A1D82">
        <w:rPr>
          <w:rFonts w:ascii="Arial" w:hAnsi="Arial" w:cs="Arial"/>
          <w:bCs/>
          <w:color w:val="000000" w:themeColor="text1"/>
          <w:sz w:val="22"/>
          <w:szCs w:val="22"/>
          <w:lang w:val="es-ES_tradnl" w:eastAsia="es-CO"/>
        </w:rPr>
        <w:tab/>
        <w:t>De</w:t>
      </w:r>
      <w:r w:rsidRPr="004A1D82">
        <w:rPr>
          <w:rFonts w:ascii="Arial" w:eastAsia="Arial" w:hAnsi="Arial" w:cs="Arial"/>
          <w:color w:val="000000" w:themeColor="text1"/>
          <w:sz w:val="22"/>
          <w:szCs w:val="22"/>
          <w:lang w:val="es-ES_tradnl"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w:t>
      </w:r>
      <w:r w:rsidRPr="004A1D82">
        <w:rPr>
          <w:rFonts w:ascii="Arial" w:eastAsia="Arial" w:hAnsi="Arial" w:cs="Arial"/>
          <w:color w:val="000000" w:themeColor="text1"/>
          <w:sz w:val="22"/>
          <w:szCs w:val="22"/>
          <w:lang w:val="es-ES_tradnl" w:eastAsia="es-ES" w:bidi="es-ES"/>
        </w:rPr>
        <w:lastRenderedPageBreak/>
        <w:t>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34ECE4B3" w14:textId="77777777" w:rsidR="00EA03F6" w:rsidRPr="004A1D82" w:rsidRDefault="00EA03F6" w:rsidP="00EA03F6">
      <w:pPr>
        <w:spacing w:after="120" w:line="276" w:lineRule="auto"/>
        <w:ind w:firstLine="708"/>
        <w:jc w:val="both"/>
        <w:rPr>
          <w:rFonts w:ascii="Arial" w:eastAsia="Calibri" w:hAnsi="Arial" w:cs="Arial"/>
          <w:color w:val="000000" w:themeColor="text1"/>
          <w:sz w:val="22"/>
          <w:szCs w:val="22"/>
          <w:lang w:val="es-ES_tradnl" w:eastAsia="en-US"/>
        </w:rPr>
      </w:pPr>
      <w:r w:rsidRPr="004A1D82">
        <w:rPr>
          <w:rFonts w:ascii="Arial" w:eastAsia="Calibri" w:hAnsi="Arial" w:cs="Arial"/>
          <w:color w:val="000000" w:themeColor="text1"/>
          <w:sz w:val="22"/>
          <w:szCs w:val="22"/>
          <w:lang w:val="es-ES_tradnl" w:eastAsia="en-US"/>
        </w:rPr>
        <w:t xml:space="preserve">Por un lado, el artículo 33 de la Ley 996 de 2005 prohíbe </w:t>
      </w:r>
      <w:r w:rsidRPr="004A1D82">
        <w:rPr>
          <w:rFonts w:ascii="Arial" w:eastAsia="Calibri" w:hAnsi="Arial" w:cs="Arial"/>
          <w:bCs/>
          <w:color w:val="000000" w:themeColor="text1"/>
          <w:sz w:val="22"/>
          <w:szCs w:val="22"/>
          <w:lang w:val="es-ES_tradnl" w:eastAsia="en-US"/>
        </w:rPr>
        <w:t xml:space="preserve">«[…] </w:t>
      </w:r>
      <w:r w:rsidRPr="004A1D82">
        <w:rPr>
          <w:rFonts w:ascii="Arial" w:eastAsia="Calibri" w:hAnsi="Arial" w:cs="Arial"/>
          <w:color w:val="000000" w:themeColor="text1"/>
          <w:sz w:val="22"/>
          <w:szCs w:val="22"/>
          <w:lang w:val="es-ES_tradnl" w:eastAsia="en-US"/>
        </w:rPr>
        <w:t>la contratación directa por parte de todos los entes del Estado</w:t>
      </w:r>
      <w:r w:rsidRPr="004A1D82">
        <w:rPr>
          <w:rFonts w:ascii="Arial" w:eastAsia="Calibri" w:hAnsi="Arial" w:cs="Arial"/>
          <w:bCs/>
          <w:color w:val="000000" w:themeColor="text1"/>
          <w:sz w:val="22"/>
          <w:szCs w:val="22"/>
          <w:lang w:val="es-ES_tradnl" w:eastAsia="en-US"/>
        </w:rPr>
        <w:t>»</w:t>
      </w:r>
      <w:r w:rsidRPr="004A1D82">
        <w:rPr>
          <w:rFonts w:ascii="Arial" w:eastAsia="Calibri" w:hAnsi="Arial" w:cs="Arial"/>
          <w:color w:val="000000" w:themeColor="text1"/>
          <w:sz w:val="22"/>
          <w:szCs w:val="22"/>
          <w:lang w:val="es-ES_tradnl" w:eastAsia="en-US"/>
        </w:rPr>
        <w:t xml:space="preserve"> durante los cuatro (4) meses anteriores a las elecciones presidenciales, salvo </w:t>
      </w:r>
      <w:r w:rsidRPr="004A1D82">
        <w:rPr>
          <w:rFonts w:ascii="Arial" w:eastAsia="Calibri" w:hAnsi="Arial" w:cs="Arial"/>
          <w:bCs/>
          <w:color w:val="000000" w:themeColor="text1"/>
          <w:sz w:val="22"/>
          <w:szCs w:val="22"/>
          <w:lang w:val="es-ES_tradnl" w:eastAsia="en-US"/>
        </w:rPr>
        <w:t xml:space="preserve">«[…] </w:t>
      </w:r>
      <w:r w:rsidRPr="004A1D82">
        <w:rPr>
          <w:rFonts w:ascii="Arial" w:eastAsia="Calibri" w:hAnsi="Arial" w:cs="Arial"/>
          <w:color w:val="000000" w:themeColor="text1"/>
          <w:sz w:val="22"/>
          <w:szCs w:val="22"/>
          <w:lang w:val="es-ES_tradnl"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A1D82">
        <w:rPr>
          <w:rFonts w:ascii="Arial" w:eastAsia="Calibri" w:hAnsi="Arial" w:cs="Arial"/>
          <w:bCs/>
          <w:color w:val="000000" w:themeColor="text1"/>
          <w:sz w:val="22"/>
          <w:szCs w:val="22"/>
          <w:lang w:val="es-ES_tradnl" w:eastAsia="en-US"/>
        </w:rPr>
        <w:t>»</w:t>
      </w:r>
      <w:r w:rsidRPr="004A1D82">
        <w:rPr>
          <w:rFonts w:ascii="Arial" w:eastAsia="Calibri" w:hAnsi="Arial" w:cs="Arial"/>
          <w:color w:val="000000" w:themeColor="text1"/>
          <w:vertAlign w:val="superscript"/>
          <w:lang w:eastAsia="es-ES_tradnl"/>
        </w:rPr>
        <w:footnoteReference w:id="7"/>
      </w:r>
      <w:r w:rsidRPr="004A1D82">
        <w:rPr>
          <w:rFonts w:ascii="Arial" w:eastAsia="Calibri" w:hAnsi="Arial" w:cs="Arial"/>
          <w:color w:val="000000" w:themeColor="text1"/>
          <w:sz w:val="22"/>
          <w:szCs w:val="22"/>
          <w:lang w:val="es-ES_tradnl" w:eastAsia="en-US"/>
        </w:rPr>
        <w:t>.</w:t>
      </w:r>
    </w:p>
    <w:p w14:paraId="7F0E7240" w14:textId="77777777" w:rsidR="00EA03F6" w:rsidRPr="004A1D82" w:rsidRDefault="00EA03F6" w:rsidP="00EA03F6">
      <w:pPr>
        <w:widowControl w:val="0"/>
        <w:autoSpaceDE w:val="0"/>
        <w:autoSpaceDN w:val="0"/>
        <w:spacing w:line="276" w:lineRule="auto"/>
        <w:ind w:right="113" w:firstLine="708"/>
        <w:jc w:val="both"/>
        <w:rPr>
          <w:rFonts w:ascii="Arial" w:eastAsia="Arial" w:hAnsi="Arial" w:cs="Arial"/>
          <w:color w:val="000000" w:themeColor="text1"/>
          <w:sz w:val="22"/>
          <w:szCs w:val="22"/>
          <w:lang w:val="es-ES_tradnl" w:eastAsia="es-ES" w:bidi="es-ES"/>
        </w:rPr>
      </w:pPr>
      <w:r w:rsidRPr="004A1D82">
        <w:rPr>
          <w:rFonts w:ascii="Arial" w:eastAsia="Calibri" w:hAnsi="Arial" w:cs="Arial"/>
          <w:color w:val="000000" w:themeColor="text1"/>
          <w:sz w:val="22"/>
          <w:szCs w:val="22"/>
          <w:lang w:val="es-ES_tradnl" w:eastAsia="en-US"/>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4A1D82">
        <w:rPr>
          <w:rFonts w:ascii="Arial" w:eastAsia="Calibri" w:hAnsi="Arial" w:cs="Arial"/>
          <w:bCs/>
          <w:color w:val="000000" w:themeColor="text1"/>
          <w:sz w:val="22"/>
          <w:szCs w:val="22"/>
          <w:lang w:val="es-ES_tradnl" w:eastAsia="en-US"/>
        </w:rPr>
        <w:t xml:space="preserve">«[…] </w:t>
      </w:r>
      <w:r w:rsidRPr="004A1D82">
        <w:rPr>
          <w:rFonts w:ascii="Arial" w:eastAsia="Calibri" w:hAnsi="Arial" w:cs="Arial"/>
          <w:color w:val="000000" w:themeColor="text1"/>
          <w:sz w:val="22"/>
          <w:szCs w:val="22"/>
          <w:lang w:val="es-ES_tradnl"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A1D82">
        <w:rPr>
          <w:rFonts w:ascii="Arial" w:eastAsia="Calibri" w:hAnsi="Arial" w:cs="Arial"/>
          <w:bCs/>
          <w:color w:val="000000" w:themeColor="text1"/>
          <w:sz w:val="19"/>
          <w:szCs w:val="19"/>
          <w:lang w:val="es-ES_tradnl" w:eastAsia="en-US"/>
        </w:rPr>
        <w:t>»</w:t>
      </w:r>
      <w:r w:rsidRPr="004A1D82">
        <w:rPr>
          <w:rFonts w:ascii="Arial" w:eastAsia="Calibri" w:hAnsi="Arial" w:cs="Arial"/>
          <w:color w:val="000000" w:themeColor="text1"/>
          <w:vertAlign w:val="superscript"/>
          <w:lang w:eastAsia="es-ES_tradnl"/>
        </w:rPr>
        <w:footnoteReference w:id="8"/>
      </w:r>
      <w:r w:rsidRPr="004A1D82">
        <w:rPr>
          <w:rFonts w:ascii="Arial" w:eastAsia="Calibri" w:hAnsi="Arial" w:cs="Arial"/>
          <w:color w:val="000000" w:themeColor="text1"/>
          <w:sz w:val="22"/>
          <w:szCs w:val="22"/>
          <w:lang w:val="es-ES_tradnl" w:eastAsia="en-US"/>
        </w:rPr>
        <w:t>.</w:t>
      </w:r>
      <w:r w:rsidRPr="004A1D82">
        <w:rPr>
          <w:rFonts w:ascii="Arial" w:eastAsia="Arial" w:hAnsi="Arial" w:cs="Arial"/>
          <w:color w:val="000000" w:themeColor="text1"/>
          <w:sz w:val="22"/>
          <w:szCs w:val="22"/>
          <w:lang w:val="es-ES_tradnl" w:eastAsia="es-ES" w:bidi="es-ES"/>
        </w:rPr>
        <w:t xml:space="preserve"> La Sala de Consulta y Servicio Civil del Consejo de Estado ha aclarado la distinción en la aplicación de las prohibiciones de la Ley 996 de 2005, dependiendo del tipo de elección que se trate. Al respecto, </w:t>
      </w:r>
      <w:r w:rsidRPr="004A1D82">
        <w:rPr>
          <w:rFonts w:ascii="Arial" w:eastAsia="Arial" w:hAnsi="Arial" w:cs="Arial"/>
          <w:color w:val="000000" w:themeColor="text1"/>
          <w:sz w:val="22"/>
          <w:szCs w:val="22"/>
          <w:lang w:val="es-ES_tradnl" w:eastAsia="es-ES" w:bidi="es-ES"/>
        </w:rPr>
        <w:lastRenderedPageBreak/>
        <w:t>considera que:</w:t>
      </w:r>
    </w:p>
    <w:p w14:paraId="68420F89" w14:textId="77777777" w:rsidR="00EA03F6" w:rsidRPr="004A1D82" w:rsidRDefault="00EA03F6" w:rsidP="00EA03F6">
      <w:pPr>
        <w:widowControl w:val="0"/>
        <w:autoSpaceDE w:val="0"/>
        <w:autoSpaceDN w:val="0"/>
        <w:ind w:left="805" w:right="812"/>
        <w:jc w:val="both"/>
        <w:rPr>
          <w:rFonts w:ascii="Arial" w:eastAsia="Arial" w:hAnsi="Arial" w:cs="Arial"/>
          <w:color w:val="000000" w:themeColor="text1"/>
          <w:sz w:val="22"/>
          <w:szCs w:val="22"/>
          <w:lang w:val="es-ES_tradnl" w:eastAsia="es-ES" w:bidi="es-ES"/>
        </w:rPr>
      </w:pPr>
    </w:p>
    <w:p w14:paraId="495AF893" w14:textId="77777777" w:rsidR="00EA03F6" w:rsidRPr="004A1D82" w:rsidRDefault="00EA03F6" w:rsidP="00EA03F6">
      <w:pPr>
        <w:widowControl w:val="0"/>
        <w:autoSpaceDE w:val="0"/>
        <w:autoSpaceDN w:val="0"/>
        <w:ind w:left="709" w:right="709"/>
        <w:jc w:val="both"/>
        <w:rPr>
          <w:rFonts w:ascii="Arial" w:eastAsia="Arial" w:hAnsi="Arial" w:cs="Arial"/>
          <w:color w:val="000000" w:themeColor="text1"/>
          <w:sz w:val="21"/>
          <w:szCs w:val="21"/>
          <w:lang w:val="es-ES_tradnl" w:eastAsia="es-ES" w:bidi="es-ES"/>
        </w:rPr>
      </w:pPr>
      <w:r w:rsidRPr="004A1D82">
        <w:rPr>
          <w:rFonts w:ascii="Arial" w:eastAsia="Arial" w:hAnsi="Arial" w:cs="Arial"/>
          <w:color w:val="000000" w:themeColor="text1"/>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A1D82">
        <w:rPr>
          <w:rFonts w:ascii="Arial" w:eastAsia="Arial" w:hAnsi="Arial" w:cs="Arial"/>
          <w:bCs/>
          <w:color w:val="000000" w:themeColor="text1"/>
          <w:sz w:val="21"/>
          <w:szCs w:val="21"/>
          <w:lang w:val="es-ES_tradnl" w:eastAsia="es-ES" w:bidi="es-ES"/>
        </w:rPr>
        <w:t xml:space="preserve">En cambio, para elecciones en general, excluyendo las correspondientes a </w:t>
      </w:r>
      <w:proofErr w:type="gramStart"/>
      <w:r w:rsidRPr="004A1D82">
        <w:rPr>
          <w:rFonts w:ascii="Arial" w:eastAsia="Arial" w:hAnsi="Arial" w:cs="Arial"/>
          <w:bCs/>
          <w:color w:val="000000" w:themeColor="text1"/>
          <w:sz w:val="21"/>
          <w:szCs w:val="21"/>
          <w:lang w:val="es-ES_tradnl" w:eastAsia="es-ES" w:bidi="es-ES"/>
        </w:rPr>
        <w:t>Presidente</w:t>
      </w:r>
      <w:proofErr w:type="gramEnd"/>
      <w:r w:rsidRPr="004A1D82">
        <w:rPr>
          <w:rFonts w:ascii="Arial" w:eastAsia="Arial" w:hAnsi="Arial" w:cs="Arial"/>
          <w:bCs/>
          <w:color w:val="000000" w:themeColor="text1"/>
          <w:sz w:val="21"/>
          <w:szCs w:val="21"/>
          <w:lang w:val="es-ES_tradnl" w:eastAsia="es-ES" w:bidi="es-ES"/>
        </w:rPr>
        <w:t xml:space="preserve"> de la República, a las autoridades territoriales allí mencionadas sólo se aplican las restricciones contenidas en el parágrafo del artículo 38</w:t>
      </w:r>
      <w:r w:rsidRPr="004A1D82">
        <w:rPr>
          <w:rFonts w:ascii="Arial" w:eastAsia="Arial" w:hAnsi="Arial" w:cs="Arial"/>
          <w:color w:val="000000" w:themeColor="text1"/>
          <w:vertAlign w:val="superscript"/>
          <w:lang w:eastAsia="es-ES_tradnl"/>
        </w:rPr>
        <w:footnoteReference w:id="9"/>
      </w:r>
      <w:r w:rsidRPr="004A1D82">
        <w:rPr>
          <w:rFonts w:ascii="Arial" w:eastAsia="Arial" w:hAnsi="Arial" w:cs="Arial"/>
          <w:bCs/>
          <w:color w:val="000000" w:themeColor="text1"/>
          <w:sz w:val="21"/>
          <w:szCs w:val="21"/>
          <w:lang w:val="es-ES_tradnl" w:eastAsia="es-ES" w:bidi="es-ES"/>
        </w:rPr>
        <w:t>.</w:t>
      </w:r>
    </w:p>
    <w:p w14:paraId="41FEF844" w14:textId="77777777" w:rsidR="00EA03F6" w:rsidRPr="004A1D82" w:rsidRDefault="00EA03F6" w:rsidP="00EA03F6">
      <w:pPr>
        <w:widowControl w:val="0"/>
        <w:autoSpaceDE w:val="0"/>
        <w:autoSpaceDN w:val="0"/>
        <w:spacing w:before="8"/>
        <w:rPr>
          <w:rFonts w:ascii="Arial" w:eastAsia="Arial" w:hAnsi="Arial" w:cs="Arial"/>
          <w:color w:val="000000" w:themeColor="text1"/>
          <w:sz w:val="22"/>
          <w:szCs w:val="22"/>
          <w:lang w:val="es-ES_tradnl" w:eastAsia="es-ES" w:bidi="es-ES"/>
        </w:rPr>
      </w:pPr>
    </w:p>
    <w:p w14:paraId="6D8732E0" w14:textId="77777777" w:rsidR="00EA03F6" w:rsidRPr="004A1D82" w:rsidRDefault="00EA03F6" w:rsidP="00EA03F6">
      <w:pPr>
        <w:spacing w:after="120" w:line="276" w:lineRule="auto"/>
        <w:ind w:firstLine="709"/>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 xml:space="preserve">De lo anterior se desprende que la Ley 996 de 2005 establece dos (2) tipos de restricciones en materia de contratación, las cuales coinciden parcialmente. </w:t>
      </w:r>
      <w:r w:rsidRPr="004A1D82">
        <w:rPr>
          <w:rFonts w:ascii="Arial" w:eastAsia="Arial" w:hAnsi="Arial" w:cs="Arial"/>
          <w:i/>
          <w:iCs/>
          <w:color w:val="000000" w:themeColor="text1"/>
          <w:sz w:val="22"/>
          <w:szCs w:val="22"/>
          <w:lang w:val="es-ES_tradnl" w:eastAsia="es-ES" w:bidi="es-ES"/>
        </w:rPr>
        <w:t>En primer lugar</w:t>
      </w:r>
      <w:r w:rsidRPr="004A1D82">
        <w:rPr>
          <w:rFonts w:ascii="Arial" w:eastAsia="Arial" w:hAnsi="Arial" w:cs="Arial"/>
          <w:color w:val="000000" w:themeColor="text1"/>
          <w:sz w:val="22"/>
          <w:szCs w:val="22"/>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conforme al artículo 190 de la Constitución Política. Para estos efectos, la restricción se extenderá hasta la fecha en la que se realice la segunda vuelta. </w:t>
      </w:r>
      <w:r w:rsidRPr="004A1D82">
        <w:rPr>
          <w:rFonts w:ascii="Arial" w:eastAsia="Arial" w:hAnsi="Arial" w:cs="Arial"/>
          <w:i/>
          <w:iCs/>
          <w:color w:val="000000" w:themeColor="text1"/>
          <w:sz w:val="22"/>
          <w:szCs w:val="22"/>
          <w:lang w:val="es-ES_tradnl" w:eastAsia="es-ES" w:bidi="es-ES"/>
        </w:rPr>
        <w:t>En segundo lugar</w:t>
      </w:r>
      <w:r w:rsidRPr="004A1D82">
        <w:rPr>
          <w:rFonts w:ascii="Arial" w:eastAsia="Arial" w:hAnsi="Arial" w:cs="Arial"/>
          <w:color w:val="000000" w:themeColor="text1"/>
          <w:sz w:val="22"/>
          <w:szCs w:val="22"/>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76B7A3F9" w14:textId="77777777" w:rsidR="00EA03F6" w:rsidRPr="004A1D82" w:rsidRDefault="00EA03F6" w:rsidP="00EA03F6">
      <w:pPr>
        <w:spacing w:after="120" w:line="276" w:lineRule="auto"/>
        <w:ind w:firstLine="709"/>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 xml:space="preserve">Ambas restricciones no son excluyentes, lo que permite concluir que en el período preelectoral para elección de </w:t>
      </w:r>
      <w:proofErr w:type="gramStart"/>
      <w:r w:rsidRPr="004A1D82">
        <w:rPr>
          <w:rFonts w:ascii="Arial" w:eastAsia="Arial" w:hAnsi="Arial" w:cs="Arial"/>
          <w:color w:val="000000" w:themeColor="text1"/>
          <w:sz w:val="22"/>
          <w:szCs w:val="22"/>
          <w:lang w:val="es-ES_tradnl" w:eastAsia="es-ES" w:bidi="es-ES"/>
        </w:rPr>
        <w:t>Presidente</w:t>
      </w:r>
      <w:proofErr w:type="gramEnd"/>
      <w:r w:rsidRPr="004A1D82">
        <w:rPr>
          <w:rFonts w:ascii="Arial" w:eastAsia="Arial" w:hAnsi="Arial" w:cs="Arial"/>
          <w:color w:val="000000" w:themeColor="text1"/>
          <w:sz w:val="22"/>
          <w:szCs w:val="22"/>
          <w:lang w:val="es-ES_tradnl"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4A1D82">
        <w:rPr>
          <w:rFonts w:ascii="Arial" w:eastAsia="Arial" w:hAnsi="Arial" w:cs="Arial"/>
          <w:color w:val="000000" w:themeColor="text1"/>
          <w:sz w:val="22"/>
          <w:szCs w:val="22"/>
          <w:lang w:val="es-ES_tradnl" w:eastAsia="es-ES" w:bidi="es-ES"/>
        </w:rPr>
        <w:t>Presidente</w:t>
      </w:r>
      <w:proofErr w:type="gramEnd"/>
      <w:r w:rsidRPr="004A1D82">
        <w:rPr>
          <w:rFonts w:ascii="Arial" w:eastAsia="Arial" w:hAnsi="Arial" w:cs="Arial"/>
          <w:color w:val="000000" w:themeColor="text1"/>
          <w:sz w:val="22"/>
          <w:szCs w:val="22"/>
          <w:lang w:val="es-ES_tradnl" w:eastAsia="es-ES" w:bidi="es-ES"/>
        </w:rPr>
        <w:t xml:space="preserve"> de la República, las autoridades allí mencionadas solo deben aplicar las restricciones contenidas en el parágrafo del artículo 38.</w:t>
      </w:r>
    </w:p>
    <w:p w14:paraId="7E1A772C" w14:textId="77777777" w:rsidR="00EA03F6" w:rsidRPr="004A1D82" w:rsidRDefault="00EA03F6" w:rsidP="00EA03F6">
      <w:pPr>
        <w:spacing w:line="276" w:lineRule="auto"/>
        <w:ind w:firstLine="708"/>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lastRenderedPageBreak/>
        <w:t xml:space="preserve">La Corte Constitucional, en la Sentencia C-1153 del 11 de noviembre de 2005, señaló que, para que la garantía sea plena, era necesario que la prohibición se aplicara para el </w:t>
      </w:r>
      <w:proofErr w:type="gramStart"/>
      <w:r w:rsidRPr="004A1D82">
        <w:rPr>
          <w:rFonts w:ascii="Arial" w:eastAsia="Arial" w:hAnsi="Arial" w:cs="Arial"/>
          <w:color w:val="000000" w:themeColor="text1"/>
          <w:sz w:val="22"/>
          <w:szCs w:val="22"/>
          <w:lang w:val="es-ES_tradnl" w:eastAsia="es-ES" w:bidi="es-ES"/>
        </w:rPr>
        <w:t>Presidente</w:t>
      </w:r>
      <w:proofErr w:type="gramEnd"/>
      <w:r w:rsidRPr="004A1D82">
        <w:rPr>
          <w:rFonts w:ascii="Arial" w:eastAsia="Arial" w:hAnsi="Arial" w:cs="Arial"/>
          <w:color w:val="000000" w:themeColor="text1"/>
          <w:sz w:val="22"/>
          <w:szCs w:val="22"/>
          <w:lang w:val="es-ES_tradnl"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585ACC98" w14:textId="77777777" w:rsidR="00EA03F6" w:rsidRPr="004A1D82" w:rsidRDefault="00EA03F6" w:rsidP="00EA03F6">
      <w:pPr>
        <w:spacing w:line="276" w:lineRule="auto"/>
        <w:jc w:val="both"/>
        <w:rPr>
          <w:rFonts w:ascii="Arial" w:eastAsia="Arial" w:hAnsi="Arial" w:cs="Arial"/>
          <w:color w:val="000000" w:themeColor="text1"/>
          <w:sz w:val="22"/>
          <w:szCs w:val="22"/>
          <w:lang w:val="es-ES_tradnl" w:eastAsia="es-ES" w:bidi="es-ES"/>
        </w:rPr>
      </w:pPr>
    </w:p>
    <w:p w14:paraId="2E67B591" w14:textId="77777777" w:rsidR="00EA03F6" w:rsidRPr="004A1D82" w:rsidRDefault="00EA03F6" w:rsidP="00EA03F6">
      <w:pPr>
        <w:spacing w:line="276" w:lineRule="auto"/>
        <w:jc w:val="both"/>
        <w:rPr>
          <w:rFonts w:ascii="Arial" w:hAnsi="Arial" w:cs="Arial"/>
          <w:b/>
          <w:color w:val="000000" w:themeColor="text1"/>
          <w:sz w:val="22"/>
          <w:szCs w:val="22"/>
          <w:lang w:val="es-ES_tradnl" w:eastAsia="es-CO"/>
        </w:rPr>
      </w:pPr>
      <w:r w:rsidRPr="004A1D82">
        <w:rPr>
          <w:rFonts w:ascii="Arial" w:hAnsi="Arial" w:cs="Arial"/>
          <w:b/>
          <w:color w:val="000000" w:themeColor="text1"/>
          <w:sz w:val="22"/>
          <w:szCs w:val="22"/>
          <w:lang w:val="es-ES_tradnl" w:eastAsia="es-CO"/>
        </w:rPr>
        <w:t xml:space="preserve">2.2. </w:t>
      </w:r>
      <w:r w:rsidRPr="004A1D82">
        <w:rPr>
          <w:rFonts w:ascii="Arial" w:hAnsi="Arial" w:cs="Arial"/>
          <w:b/>
          <w:bCs/>
          <w:color w:val="000000" w:themeColor="text1"/>
          <w:sz w:val="22"/>
          <w:szCs w:val="22"/>
          <w:lang w:val="es-ES_tradnl" w:eastAsia="es-CO"/>
        </w:rPr>
        <w:t>Restricciones en elecciones presidenciales: prohibición del artículo 33 de la Ley 996 de 2005</w:t>
      </w:r>
    </w:p>
    <w:p w14:paraId="5BAD470D" w14:textId="77777777" w:rsidR="00EA03F6" w:rsidRPr="004A1D82" w:rsidRDefault="00EA03F6" w:rsidP="00EA03F6">
      <w:pPr>
        <w:spacing w:line="276" w:lineRule="auto"/>
        <w:jc w:val="both"/>
        <w:rPr>
          <w:rFonts w:ascii="Arial" w:hAnsi="Arial" w:cs="Arial"/>
          <w:bCs/>
          <w:color w:val="000000" w:themeColor="text1"/>
          <w:sz w:val="22"/>
          <w:szCs w:val="22"/>
          <w:lang w:val="es-ES_tradnl" w:eastAsia="x-none"/>
        </w:rPr>
      </w:pPr>
    </w:p>
    <w:p w14:paraId="218BB396" w14:textId="77777777" w:rsidR="00EA03F6" w:rsidRPr="004A1D82" w:rsidRDefault="00EA03F6" w:rsidP="00EA03F6">
      <w:pPr>
        <w:spacing w:line="276" w:lineRule="auto"/>
        <w:jc w:val="both"/>
        <w:rPr>
          <w:rFonts w:ascii="Arial" w:hAnsi="Arial" w:cs="Arial"/>
          <w:bCs/>
          <w:color w:val="000000" w:themeColor="text1"/>
          <w:sz w:val="22"/>
          <w:szCs w:val="22"/>
          <w:lang w:val="es-ES_tradnl" w:eastAsia="es-CO"/>
        </w:rPr>
      </w:pPr>
      <w:bookmarkStart w:id="9" w:name="_Hlk98519720"/>
      <w:r w:rsidRPr="004A1D82">
        <w:rPr>
          <w:rFonts w:ascii="Arial" w:hAnsi="Arial" w:cs="Arial"/>
          <w:bCs/>
          <w:color w:val="000000" w:themeColor="text1"/>
          <w:sz w:val="22"/>
          <w:szCs w:val="22"/>
          <w:lang w:val="es-ES_tradnl" w:eastAsia="x-none"/>
        </w:rPr>
        <w:t xml:space="preserve">El ámbito material de la prohibición contenida en el artículo 33 de la ley 996 de 2005 está delimitado por la expresión </w:t>
      </w:r>
      <w:r w:rsidRPr="004A1D82">
        <w:rPr>
          <w:rFonts w:ascii="Arial" w:eastAsia="Calibri" w:hAnsi="Arial" w:cs="Arial"/>
          <w:bCs/>
          <w:color w:val="000000" w:themeColor="text1"/>
          <w:sz w:val="20"/>
          <w:szCs w:val="20"/>
          <w:lang w:val="es-ES_tradnl" w:eastAsia="en-US"/>
        </w:rPr>
        <w:t>«</w:t>
      </w:r>
      <w:r w:rsidRPr="004A1D82">
        <w:rPr>
          <w:rFonts w:ascii="Arial" w:hAnsi="Arial" w:cs="Arial"/>
          <w:bCs/>
          <w:color w:val="000000" w:themeColor="text1"/>
          <w:sz w:val="22"/>
          <w:szCs w:val="22"/>
          <w:lang w:val="es-ES_tradnl" w:eastAsia="x-none"/>
        </w:rPr>
        <w:t>queda prohibida la contratación directa</w:t>
      </w:r>
      <w:r w:rsidRPr="004A1D82">
        <w:rPr>
          <w:rFonts w:ascii="Arial" w:eastAsiaTheme="minorHAnsi" w:hAnsi="Arial" w:cs="Arial"/>
          <w:color w:val="000000" w:themeColor="text1"/>
          <w:sz w:val="20"/>
          <w:szCs w:val="20"/>
          <w:lang w:val="es-ES_tradnl" w:eastAsia="en-US"/>
        </w:rPr>
        <w:t>»</w:t>
      </w:r>
      <w:bookmarkEnd w:id="9"/>
      <w:r w:rsidRPr="004A1D82">
        <w:rPr>
          <w:rFonts w:ascii="Arial" w:hAnsi="Arial" w:cs="Arial"/>
          <w:bCs/>
          <w:color w:val="000000" w:themeColor="text1"/>
          <w:sz w:val="22"/>
          <w:szCs w:val="22"/>
          <w:lang w:val="es-ES_tradnl" w:eastAsia="x-none"/>
        </w:rPr>
        <w:t xml:space="preserve">. </w:t>
      </w:r>
      <w:r w:rsidRPr="004A1D82">
        <w:rPr>
          <w:rFonts w:ascii="Arial" w:hAnsi="Arial" w:cs="Arial"/>
          <w:color w:val="000000" w:themeColor="text1"/>
          <w:sz w:val="22"/>
          <w:szCs w:val="22"/>
          <w:lang w:val="es-ES_tradnl" w:eastAsia="es-CO"/>
        </w:rPr>
        <w:t xml:space="preserve"> A propósito de esta restricción de la Ley de Garantías Electorales, la Sala de Consulta y Servicio Civil del Consejo de Estado ha considerado que:</w:t>
      </w:r>
    </w:p>
    <w:p w14:paraId="0775509F" w14:textId="77777777" w:rsidR="00EA03F6" w:rsidRPr="004A1D82" w:rsidRDefault="00EA03F6" w:rsidP="00EA03F6">
      <w:pPr>
        <w:ind w:left="708" w:right="709"/>
        <w:jc w:val="both"/>
        <w:rPr>
          <w:rFonts w:ascii="Arial" w:eastAsiaTheme="minorHAnsi" w:hAnsi="Arial" w:cs="Arial"/>
          <w:color w:val="000000" w:themeColor="text1"/>
          <w:sz w:val="21"/>
          <w:szCs w:val="21"/>
          <w:lang w:val="es-ES_tradnl" w:eastAsia="en-US"/>
        </w:rPr>
      </w:pPr>
    </w:p>
    <w:p w14:paraId="3AA2900C" w14:textId="77777777" w:rsidR="00EA03F6" w:rsidRPr="004A1D82" w:rsidRDefault="00EA03F6" w:rsidP="00EA03F6">
      <w:pPr>
        <w:spacing w:after="120"/>
        <w:ind w:left="709"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4A1D82">
        <w:rPr>
          <w:rFonts w:ascii="Arial" w:hAnsi="Arial" w:cs="Arial"/>
          <w:color w:val="000000" w:themeColor="text1"/>
          <w:vertAlign w:val="superscript"/>
          <w:lang w:eastAsia="es-ES_tradnl"/>
        </w:rPr>
        <w:footnoteReference w:id="10"/>
      </w:r>
      <w:r w:rsidRPr="004A1D82">
        <w:rPr>
          <w:rFonts w:ascii="Arial" w:eastAsiaTheme="minorHAnsi" w:hAnsi="Arial" w:cs="Arial"/>
          <w:color w:val="000000" w:themeColor="text1"/>
          <w:sz w:val="21"/>
          <w:szCs w:val="21"/>
          <w:lang w:val="es-ES_tradnl" w:eastAsia="en-US"/>
        </w:rPr>
        <w:t>.</w:t>
      </w:r>
    </w:p>
    <w:p w14:paraId="097CDD40" w14:textId="77777777" w:rsidR="00EA03F6" w:rsidRPr="004A1D82" w:rsidRDefault="00EA03F6" w:rsidP="00EA03F6">
      <w:pPr>
        <w:ind w:left="708"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t xml:space="preserve">Esta Sala ha entendido </w:t>
      </w:r>
      <w:proofErr w:type="gramStart"/>
      <w:r w:rsidRPr="004A1D82">
        <w:rPr>
          <w:rFonts w:ascii="Arial" w:eastAsiaTheme="minorHAnsi" w:hAnsi="Arial" w:cs="Arial"/>
          <w:color w:val="000000" w:themeColor="text1"/>
          <w:sz w:val="21"/>
          <w:szCs w:val="21"/>
          <w:lang w:val="es-ES_tradnl" w:eastAsia="en-US"/>
        </w:rPr>
        <w:t>que</w:t>
      </w:r>
      <w:proofErr w:type="gramEnd"/>
      <w:r w:rsidRPr="004A1D82">
        <w:rPr>
          <w:rFonts w:ascii="Arial" w:eastAsiaTheme="minorHAnsi" w:hAnsi="Arial" w:cs="Arial"/>
          <w:color w:val="000000" w:themeColor="text1"/>
          <w:sz w:val="21"/>
          <w:szCs w:val="21"/>
          <w:lang w:val="es-ES_tradnl" w:eastAsia="en-US"/>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4A1D82">
        <w:rPr>
          <w:rFonts w:ascii="Arial" w:hAnsi="Arial" w:cs="Arial"/>
          <w:color w:val="000000" w:themeColor="text1"/>
          <w:vertAlign w:val="superscript"/>
          <w:lang w:eastAsia="es-ES_tradnl"/>
        </w:rPr>
        <w:footnoteReference w:id="11"/>
      </w:r>
      <w:r w:rsidRPr="004A1D82">
        <w:rPr>
          <w:rFonts w:ascii="Arial" w:hAnsi="Arial" w:cs="Arial"/>
          <w:color w:val="000000" w:themeColor="text1"/>
          <w:sz w:val="21"/>
          <w:szCs w:val="21"/>
          <w:vertAlign w:val="superscript"/>
          <w:lang w:val="es-ES_tradnl" w:eastAsia="en-US"/>
        </w:rPr>
        <w:t>.</w:t>
      </w:r>
      <w:r w:rsidRPr="004A1D82">
        <w:rPr>
          <w:rFonts w:ascii="Arial" w:eastAsiaTheme="minorHAnsi" w:hAnsi="Arial" w:cs="Arial"/>
          <w:color w:val="000000" w:themeColor="text1"/>
          <w:sz w:val="21"/>
          <w:szCs w:val="21"/>
          <w:lang w:val="es-ES_tradnl" w:eastAsia="en-US"/>
        </w:rPr>
        <w:t xml:space="preserve"> Por tanto, no son materia de la prohibición las demás modalidades de selección previstas en la ley 1150 de 2007, siendo estas, la licitación pública, el concurso de méritos y la selección abreviada, razón por la cual en ese </w:t>
      </w:r>
      <w:r w:rsidRPr="004A1D82">
        <w:rPr>
          <w:rFonts w:ascii="Arial" w:eastAsiaTheme="minorHAnsi" w:hAnsi="Arial" w:cs="Arial"/>
          <w:color w:val="000000" w:themeColor="text1"/>
          <w:sz w:val="21"/>
          <w:szCs w:val="21"/>
          <w:lang w:val="es-ES_tradnl" w:eastAsia="en-US"/>
        </w:rPr>
        <w:lastRenderedPageBreak/>
        <w:t>periodo preelectoral de que trata la disposición pueden las entidades públicas seguir contratando bajo estos sistemas. [...]</w:t>
      </w:r>
      <w:r w:rsidRPr="004A1D82">
        <w:rPr>
          <w:rFonts w:ascii="Arial" w:hAnsi="Arial" w:cs="Arial"/>
          <w:color w:val="000000" w:themeColor="text1"/>
          <w:vertAlign w:val="superscript"/>
          <w:lang w:eastAsia="es-ES_tradnl"/>
        </w:rPr>
        <w:footnoteReference w:id="12"/>
      </w:r>
      <w:r w:rsidRPr="004A1D82">
        <w:rPr>
          <w:rFonts w:ascii="Arial" w:eastAsiaTheme="minorHAnsi" w:hAnsi="Arial" w:cs="Arial"/>
          <w:color w:val="000000" w:themeColor="text1"/>
          <w:sz w:val="21"/>
          <w:szCs w:val="21"/>
          <w:lang w:val="es-ES_tradnl" w:eastAsia="en-US"/>
        </w:rPr>
        <w:t xml:space="preserve"> .</w:t>
      </w:r>
    </w:p>
    <w:p w14:paraId="16409F44" w14:textId="77777777" w:rsidR="00EA03F6" w:rsidRPr="004A1D82" w:rsidRDefault="00EA03F6" w:rsidP="00EA03F6">
      <w:pPr>
        <w:shd w:val="clear" w:color="auto" w:fill="FFFFFF"/>
        <w:spacing w:line="276" w:lineRule="auto"/>
        <w:ind w:firstLine="709"/>
        <w:jc w:val="both"/>
        <w:rPr>
          <w:rFonts w:ascii="Arial" w:hAnsi="Arial" w:cs="Arial"/>
          <w:color w:val="000000" w:themeColor="text1"/>
          <w:sz w:val="22"/>
          <w:szCs w:val="22"/>
          <w:lang w:val="es-ES_tradnl" w:eastAsia="x-none"/>
        </w:rPr>
      </w:pPr>
    </w:p>
    <w:p w14:paraId="482AC453" w14:textId="77777777" w:rsidR="00EA03F6" w:rsidRPr="004A1D82" w:rsidRDefault="00EA03F6" w:rsidP="00EA03F6">
      <w:pPr>
        <w:spacing w:after="120" w:line="276" w:lineRule="auto"/>
        <w:ind w:firstLine="708"/>
        <w:jc w:val="both"/>
        <w:rPr>
          <w:rFonts w:ascii="Arial" w:hAnsi="Arial" w:cs="Arial"/>
          <w:bCs/>
          <w:color w:val="000000" w:themeColor="text1"/>
          <w:sz w:val="22"/>
          <w:szCs w:val="22"/>
          <w:lang w:val="es-ES_tradnl" w:eastAsia="x-none"/>
        </w:rPr>
      </w:pPr>
      <w:r w:rsidRPr="004A1D82">
        <w:rPr>
          <w:rFonts w:ascii="Arial" w:hAnsi="Arial" w:cs="Arial"/>
          <w:color w:val="000000" w:themeColor="text1"/>
          <w:sz w:val="22"/>
          <w:szCs w:val="22"/>
          <w:lang w:val="es-ES_tradnl" w:eastAsia="x-none"/>
        </w:rPr>
        <w:t xml:space="preserve">De acuerdo con el citado concepto, </w:t>
      </w:r>
      <w:bookmarkStart w:id="10" w:name="_Hlk98519748"/>
      <w:r w:rsidRPr="004A1D82">
        <w:rPr>
          <w:rFonts w:ascii="Arial" w:hAnsi="Arial" w:cs="Arial"/>
          <w:color w:val="000000" w:themeColor="text1"/>
          <w:sz w:val="22"/>
          <w:szCs w:val="22"/>
          <w:lang w:val="es-ES_tradnl" w:eastAsia="x-none"/>
        </w:rPr>
        <w:t xml:space="preserve">la prohibición del artículo 33 de la Ley de Garantías Electorales se refiere a </w:t>
      </w:r>
      <w:r w:rsidRPr="004A1D82">
        <w:rPr>
          <w:rFonts w:ascii="Arial" w:hAnsi="Arial" w:cs="Arial"/>
          <w:color w:val="000000" w:themeColor="text1"/>
          <w:sz w:val="19"/>
          <w:szCs w:val="19"/>
          <w:lang w:val="es-ES_tradnl"/>
        </w:rPr>
        <w:t>«</w:t>
      </w:r>
      <w:r w:rsidRPr="004A1D82">
        <w:rPr>
          <w:rFonts w:ascii="Arial" w:hAnsi="Arial" w:cs="Arial"/>
          <w:color w:val="000000" w:themeColor="text1"/>
          <w:sz w:val="22"/>
          <w:szCs w:val="22"/>
          <w:lang w:val="es-ES_tradnl" w:eastAsia="x-none"/>
        </w:rPr>
        <w:t>cualquier sistema que no implique convocatoria pública y posibilidad de pluralidad de oferentes</w:t>
      </w:r>
      <w:r w:rsidRPr="004A1D82">
        <w:rPr>
          <w:rFonts w:ascii="Arial" w:hAnsi="Arial" w:cs="Arial"/>
          <w:color w:val="000000" w:themeColor="text1"/>
          <w:sz w:val="22"/>
          <w:szCs w:val="22"/>
          <w:lang w:val="es-ES_tradnl"/>
        </w:rPr>
        <w:t>»</w:t>
      </w:r>
      <w:r w:rsidRPr="004A1D82">
        <w:rPr>
          <w:rFonts w:ascii="Arial" w:hAnsi="Arial" w:cs="Arial"/>
          <w:color w:val="000000" w:themeColor="text1"/>
          <w:sz w:val="22"/>
          <w:szCs w:val="22"/>
          <w:lang w:val="es-ES_tradnl" w:eastAsia="x-none"/>
        </w:rPr>
        <w:t>,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w:t>
      </w:r>
      <w:bookmarkEnd w:id="10"/>
      <w:r w:rsidRPr="004A1D82">
        <w:rPr>
          <w:rFonts w:ascii="Arial" w:hAnsi="Arial" w:cs="Arial"/>
          <w:color w:val="000000" w:themeColor="text1"/>
          <w:sz w:val="22"/>
          <w:szCs w:val="22"/>
          <w:lang w:val="es-ES_tradnl" w:eastAsia="x-none"/>
        </w:rPr>
        <w:t xml:space="preserve"> Esta posición es congruente con la expedición de la Ley 1150 de 2007 que, entre otras reformas, introdujo la selección abreviada, rediseñó el concurso de méritos</w:t>
      </w:r>
      <w:r w:rsidRPr="004A1D82">
        <w:rPr>
          <w:rFonts w:ascii="Arial" w:hAnsi="Arial" w:cs="Arial"/>
          <w:color w:val="000000" w:themeColor="text1"/>
          <w:vertAlign w:val="superscript"/>
          <w:lang w:eastAsia="es-ES_tradnl"/>
        </w:rPr>
        <w:footnoteReference w:id="13"/>
      </w:r>
      <w:r w:rsidRPr="004A1D82">
        <w:rPr>
          <w:rFonts w:ascii="Arial" w:hAnsi="Arial" w:cs="Arial"/>
          <w:color w:val="000000" w:themeColor="text1"/>
          <w:sz w:val="22"/>
          <w:szCs w:val="22"/>
          <w:lang w:val="es-ES_tradnl" w:eastAsia="x-none"/>
        </w:rPr>
        <w:t xml:space="preserve"> y sistematizó las causales de contratación directa</w:t>
      </w:r>
      <w:r w:rsidRPr="004A1D82">
        <w:rPr>
          <w:rFonts w:ascii="Arial" w:hAnsi="Arial" w:cs="Arial"/>
          <w:color w:val="000000" w:themeColor="text1"/>
          <w:vertAlign w:val="superscript"/>
          <w:lang w:eastAsia="es-ES_tradnl"/>
        </w:rPr>
        <w:footnoteReference w:id="14"/>
      </w:r>
      <w:r w:rsidRPr="004A1D82">
        <w:rPr>
          <w:rFonts w:ascii="Arial" w:hAnsi="Arial" w:cs="Arial"/>
          <w:color w:val="000000" w:themeColor="text1"/>
          <w:sz w:val="22"/>
          <w:szCs w:val="22"/>
          <w:lang w:val="es-ES_tradnl" w:eastAsia="x-none"/>
        </w:rPr>
        <w:t xml:space="preserve">, </w:t>
      </w:r>
      <w:r w:rsidRPr="004A1D82">
        <w:rPr>
          <w:rFonts w:ascii="Arial" w:eastAsiaTheme="minorHAnsi" w:hAnsi="Arial" w:cs="Arial"/>
          <w:color w:val="000000" w:themeColor="text1"/>
          <w:sz w:val="22"/>
          <w:lang w:eastAsia="x-none"/>
        </w:rPr>
        <w:t>además lo es con la posterior creación de la modalidad de mínima cuantía establecida actualmente en el numeral 5 del artículo 2 de la Ley 1150 de 2007, de acuerdo con las modificaciones realizadas por leyes posteriores.</w:t>
      </w:r>
    </w:p>
    <w:p w14:paraId="2BBA8F14" w14:textId="77777777" w:rsidR="00EA03F6" w:rsidRPr="004A1D82" w:rsidRDefault="00EA03F6" w:rsidP="00EA03F6">
      <w:pPr>
        <w:spacing w:after="120" w:line="276" w:lineRule="auto"/>
        <w:ind w:firstLine="708"/>
        <w:jc w:val="both"/>
        <w:rPr>
          <w:rFonts w:ascii="Arial" w:hAnsi="Arial" w:cs="Arial"/>
          <w:color w:val="000000" w:themeColor="text1"/>
          <w:sz w:val="22"/>
          <w:szCs w:val="22"/>
          <w:lang w:val="es-ES_tradnl" w:eastAsia="x-none"/>
        </w:rPr>
      </w:pPr>
      <w:r w:rsidRPr="004A1D82">
        <w:rPr>
          <w:rFonts w:ascii="Arial" w:hAnsi="Arial" w:cs="Arial"/>
          <w:color w:val="000000" w:themeColor="text1"/>
          <w:sz w:val="22"/>
          <w:szCs w:val="22"/>
          <w:lang w:val="es-ES_tradnl" w:eastAsia="x-none"/>
        </w:rPr>
        <w:t xml:space="preserve">De esta forma, con fundamento en la evolución de la normativa sobre la contratación pública, se ha depurado la noción de </w:t>
      </w:r>
      <w:r w:rsidRPr="004A1D82">
        <w:rPr>
          <w:rFonts w:ascii="Arial" w:hAnsi="Arial" w:cs="Arial"/>
          <w:color w:val="000000" w:themeColor="text1"/>
          <w:sz w:val="19"/>
          <w:szCs w:val="19"/>
          <w:lang w:val="es-ES_tradnl"/>
        </w:rPr>
        <w:t>«</w:t>
      </w:r>
      <w:r w:rsidRPr="004A1D82">
        <w:rPr>
          <w:rFonts w:ascii="Arial" w:hAnsi="Arial" w:cs="Arial"/>
          <w:color w:val="000000" w:themeColor="text1"/>
          <w:sz w:val="22"/>
          <w:szCs w:val="22"/>
          <w:lang w:val="es-ES_tradnl" w:eastAsia="x-none"/>
        </w:rPr>
        <w:t>contratación directa</w:t>
      </w:r>
      <w:r w:rsidRPr="004A1D82">
        <w:rPr>
          <w:rFonts w:ascii="Arial" w:hAnsi="Arial" w:cs="Arial"/>
          <w:color w:val="000000" w:themeColor="text1"/>
          <w:sz w:val="22"/>
          <w:szCs w:val="22"/>
          <w:lang w:val="es-ES_tradnl"/>
        </w:rPr>
        <w:t>»</w:t>
      </w:r>
      <w:r w:rsidRPr="004A1D82">
        <w:rPr>
          <w:rFonts w:ascii="Arial" w:hAnsi="Arial" w:cs="Arial"/>
          <w:color w:val="000000" w:themeColor="text1"/>
          <w:sz w:val="22"/>
          <w:szCs w:val="22"/>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4A1D82">
        <w:rPr>
          <w:rFonts w:ascii="Arial" w:hAnsi="Arial" w:cs="Arial"/>
          <w:color w:val="000000" w:themeColor="text1"/>
          <w:vertAlign w:val="superscript"/>
          <w:lang w:eastAsia="es-ES_tradnl"/>
        </w:rPr>
        <w:footnoteReference w:id="15"/>
      </w:r>
      <w:r w:rsidRPr="004A1D82">
        <w:rPr>
          <w:rFonts w:ascii="Arial" w:hAnsi="Arial" w:cs="Arial"/>
          <w:color w:val="000000" w:themeColor="text1"/>
          <w:sz w:val="22"/>
          <w:szCs w:val="22"/>
          <w:lang w:val="es-ES_tradnl" w:eastAsia="x-none"/>
        </w:rPr>
        <w:t>, han establecido sistemas de contratación que implican convocatoria pública y participación de varios oferentes</w:t>
      </w:r>
      <w:r w:rsidRPr="004A1D82">
        <w:rPr>
          <w:rFonts w:ascii="Arial" w:hAnsi="Arial" w:cs="Arial"/>
          <w:color w:val="000000" w:themeColor="text1"/>
          <w:sz w:val="22"/>
          <w:szCs w:val="22"/>
          <w:lang w:val="es-ES_tradnl"/>
        </w:rPr>
        <w:t>»</w:t>
      </w:r>
      <w:r w:rsidRPr="004A1D82">
        <w:rPr>
          <w:rFonts w:ascii="Arial" w:hAnsi="Arial" w:cs="Arial"/>
          <w:color w:val="000000" w:themeColor="text1"/>
          <w:sz w:val="22"/>
          <w:szCs w:val="22"/>
          <w:lang w:val="es-ES_tradnl" w:eastAsia="x-none"/>
        </w:rPr>
        <w:t xml:space="preserve">. </w:t>
      </w:r>
    </w:p>
    <w:p w14:paraId="2F0FAD76" w14:textId="77777777" w:rsidR="00EA03F6" w:rsidRPr="004A1D82" w:rsidRDefault="00EA03F6" w:rsidP="00EA03F6">
      <w:pPr>
        <w:spacing w:after="120" w:line="276" w:lineRule="auto"/>
        <w:ind w:firstLine="708"/>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x-none"/>
        </w:rPr>
        <w:t>E</w:t>
      </w:r>
      <w:r w:rsidRPr="004A1D82">
        <w:rPr>
          <w:rFonts w:ascii="Arial" w:hAnsi="Arial" w:cs="Arial"/>
          <w:color w:val="000000" w:themeColor="text1"/>
          <w:sz w:val="22"/>
          <w:szCs w:val="22"/>
          <w:lang w:val="es-ES_tradnl" w:eastAsia="x-none"/>
        </w:rPr>
        <w:t xml:space="preserve">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w:t>
      </w:r>
      <w:r w:rsidRPr="004A1D82">
        <w:rPr>
          <w:rFonts w:ascii="Arial" w:hAnsi="Arial" w:cs="Arial"/>
          <w:color w:val="000000" w:themeColor="text1"/>
          <w:sz w:val="22"/>
          <w:szCs w:val="22"/>
          <w:lang w:val="es-ES_tradnl" w:eastAsia="x-none"/>
        </w:rPr>
        <w:lastRenderedPageBreak/>
        <w:t>previa se haga de manera pública, y que se permita la participación de una pluralidad de oferentes</w:t>
      </w:r>
      <w:r w:rsidRPr="004A1D82">
        <w:rPr>
          <w:rFonts w:ascii="Arial" w:hAnsi="Arial" w:cs="Arial"/>
          <w:color w:val="000000" w:themeColor="text1"/>
          <w:vertAlign w:val="superscript"/>
          <w:lang w:eastAsia="es-ES_tradnl"/>
        </w:rPr>
        <w:footnoteReference w:id="16"/>
      </w:r>
      <w:r w:rsidRPr="004A1D82">
        <w:rPr>
          <w:rFonts w:ascii="Arial" w:hAnsi="Arial" w:cs="Arial"/>
          <w:color w:val="000000" w:themeColor="text1"/>
          <w:sz w:val="22"/>
          <w:szCs w:val="22"/>
          <w:lang w:val="es-ES_tradnl" w:eastAsia="x-none"/>
        </w:rPr>
        <w:t xml:space="preserve">. </w:t>
      </w:r>
    </w:p>
    <w:p w14:paraId="077E4E61" w14:textId="77777777" w:rsidR="00EA03F6" w:rsidRPr="004A1D82" w:rsidRDefault="00EA03F6" w:rsidP="00EA03F6">
      <w:pPr>
        <w:spacing w:after="120" w:line="276" w:lineRule="auto"/>
        <w:ind w:firstLine="708"/>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13918FCB" w14:textId="77777777" w:rsidR="00EA03F6" w:rsidRPr="004A1D82" w:rsidRDefault="00EA03F6" w:rsidP="00EA03F6">
      <w:pPr>
        <w:spacing w:after="120" w:line="276" w:lineRule="auto"/>
        <w:ind w:firstLine="708"/>
        <w:jc w:val="both"/>
        <w:rPr>
          <w:rFonts w:ascii="Arial" w:hAnsi="Arial" w:cs="Arial"/>
          <w:bCs/>
          <w:color w:val="000000" w:themeColor="text1"/>
          <w:sz w:val="22"/>
          <w:szCs w:val="22"/>
          <w:lang w:val="es-ES_tradnl" w:eastAsia="x-none"/>
        </w:rPr>
      </w:pPr>
      <w:r w:rsidRPr="004A1D82">
        <w:rPr>
          <w:rFonts w:ascii="Arial" w:hAnsi="Arial" w:cs="Arial"/>
          <w:bCs/>
          <w:color w:val="000000" w:themeColor="text1"/>
          <w:sz w:val="22"/>
          <w:szCs w:val="22"/>
          <w:lang w:val="es-ES_tradnl"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4A1D82">
        <w:rPr>
          <w:rFonts w:ascii="Arial" w:hAnsi="Arial" w:cs="Arial"/>
          <w:color w:val="000000" w:themeColor="text1"/>
          <w:vertAlign w:val="superscript"/>
          <w:lang w:eastAsia="es-ES_tradnl"/>
        </w:rPr>
        <w:footnoteReference w:id="17"/>
      </w:r>
      <w:r w:rsidRPr="004A1D82">
        <w:rPr>
          <w:rFonts w:ascii="Arial" w:hAnsi="Arial" w:cs="Arial"/>
          <w:bCs/>
          <w:color w:val="000000" w:themeColor="text1"/>
          <w:sz w:val="22"/>
          <w:szCs w:val="22"/>
          <w:lang w:val="es-ES_tradnl" w:eastAsia="x-none"/>
        </w:rPr>
        <w:t>.</w:t>
      </w:r>
      <w:r w:rsidRPr="004A1D82">
        <w:rPr>
          <w:rFonts w:ascii="Arial" w:hAnsi="Arial" w:cs="Arial"/>
          <w:color w:val="000000" w:themeColor="text1"/>
          <w:sz w:val="22"/>
          <w:szCs w:val="22"/>
          <w:vertAlign w:val="superscript"/>
          <w:lang w:val="es-ES_tradnl" w:eastAsia="x-none"/>
        </w:rPr>
        <w:t xml:space="preserve"> </w:t>
      </w:r>
    </w:p>
    <w:p w14:paraId="52462D32" w14:textId="77777777" w:rsidR="00EA03F6" w:rsidRPr="004A1D82" w:rsidRDefault="00EA03F6" w:rsidP="00EA03F6">
      <w:pPr>
        <w:spacing w:after="120" w:line="276" w:lineRule="auto"/>
        <w:ind w:firstLine="708"/>
        <w:jc w:val="both"/>
        <w:rPr>
          <w:rFonts w:ascii="Arial" w:hAnsi="Arial" w:cs="Arial"/>
          <w:color w:val="000000" w:themeColor="text1"/>
          <w:sz w:val="22"/>
          <w:szCs w:val="22"/>
          <w:lang w:val="es-ES_tradnl" w:eastAsia="x-none"/>
        </w:rPr>
      </w:pPr>
      <w:bookmarkStart w:id="11" w:name="_Hlk98519874"/>
      <w:r w:rsidRPr="004A1D82">
        <w:rPr>
          <w:rFonts w:ascii="Arial" w:hAnsi="Arial" w:cs="Arial"/>
          <w:bCs/>
          <w:color w:val="000000" w:themeColor="text1"/>
          <w:sz w:val="22"/>
          <w:szCs w:val="22"/>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4A1D82">
        <w:rPr>
          <w:rFonts w:ascii="Arial" w:hAnsi="Arial" w:cs="Arial"/>
          <w:color w:val="000000" w:themeColor="text1"/>
          <w:sz w:val="22"/>
          <w:szCs w:val="22"/>
          <w:lang w:val="es-ES_tradnl" w:eastAsia="x-none"/>
        </w:rPr>
        <w:t xml:space="preserve"> </w:t>
      </w:r>
      <w:bookmarkEnd w:id="11"/>
      <w:r w:rsidRPr="004A1D82">
        <w:rPr>
          <w:rFonts w:ascii="Arial" w:hAnsi="Arial" w:cs="Arial"/>
          <w:color w:val="000000" w:themeColor="text1"/>
          <w:sz w:val="22"/>
          <w:szCs w:val="22"/>
          <w:lang w:val="es-ES_tradnl" w:eastAsia="x-none"/>
        </w:rPr>
        <w:t>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procedimientos.</w:t>
      </w:r>
    </w:p>
    <w:p w14:paraId="6940B7D2" w14:textId="77777777" w:rsidR="00EA03F6" w:rsidRPr="004A1D82" w:rsidRDefault="00EA03F6" w:rsidP="00EA03F6">
      <w:pPr>
        <w:spacing w:after="120" w:line="276" w:lineRule="auto"/>
        <w:ind w:firstLine="708"/>
        <w:jc w:val="both"/>
        <w:rPr>
          <w:rFonts w:ascii="Arial" w:hAnsi="Arial" w:cs="Arial"/>
          <w:bCs/>
          <w:color w:val="000000" w:themeColor="text1"/>
          <w:sz w:val="22"/>
          <w:szCs w:val="22"/>
          <w:lang w:val="es-ES_tradnl" w:eastAsia="x-none"/>
        </w:rPr>
      </w:pPr>
      <w:r w:rsidRPr="004A1D82">
        <w:rPr>
          <w:rFonts w:ascii="Arial" w:hAnsi="Arial" w:cs="Arial"/>
          <w:bCs/>
          <w:color w:val="000000" w:themeColor="text1"/>
          <w:sz w:val="22"/>
          <w:szCs w:val="22"/>
          <w:lang w:val="es-ES_tradnl"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w:t>
      </w:r>
      <w:r w:rsidRPr="004A1D82">
        <w:rPr>
          <w:rFonts w:ascii="Arial" w:hAnsi="Arial" w:cs="Arial"/>
          <w:color w:val="000000" w:themeColor="text1"/>
          <w:vertAlign w:val="superscript"/>
          <w:lang w:eastAsia="es-ES_tradnl"/>
        </w:rPr>
        <w:footnoteReference w:id="18"/>
      </w:r>
      <w:r w:rsidRPr="004A1D82">
        <w:rPr>
          <w:rFonts w:ascii="Arial" w:hAnsi="Arial" w:cs="Arial"/>
          <w:bCs/>
          <w:color w:val="000000" w:themeColor="text1"/>
          <w:sz w:val="22"/>
          <w:szCs w:val="22"/>
          <w:lang w:val="es-ES_tradnl" w:eastAsia="es-CO"/>
        </w:rPr>
        <w:t>. Esto sin que ello haga nugatoria la restricción de la contratación directa y siempre que cumplan los principios de planeación, transparencia y responsabilidad.</w:t>
      </w:r>
    </w:p>
    <w:p w14:paraId="72D8D944" w14:textId="77777777" w:rsidR="00EA03F6" w:rsidRPr="004A1D82" w:rsidRDefault="00EA03F6" w:rsidP="00EA03F6">
      <w:pPr>
        <w:spacing w:after="120" w:line="276" w:lineRule="auto"/>
        <w:ind w:firstLine="708"/>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x-none"/>
        </w:rPr>
        <w:t xml:space="preserve">De otro lado, </w:t>
      </w:r>
      <w:bookmarkStart w:id="12" w:name="_Hlk98520335"/>
      <w:r w:rsidRPr="004A1D82">
        <w:rPr>
          <w:rFonts w:ascii="Arial" w:hAnsi="Arial" w:cs="Arial"/>
          <w:bCs/>
          <w:color w:val="000000" w:themeColor="text1"/>
          <w:sz w:val="22"/>
          <w:szCs w:val="22"/>
          <w:lang w:val="es-ES_tradnl"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w:t>
      </w:r>
      <w:r w:rsidRPr="004A1D82">
        <w:rPr>
          <w:rFonts w:ascii="Arial" w:hAnsi="Arial" w:cs="Arial"/>
          <w:bCs/>
          <w:color w:val="000000" w:themeColor="text1"/>
          <w:sz w:val="22"/>
          <w:szCs w:val="22"/>
          <w:lang w:val="es-ES_tradnl" w:eastAsia="x-none"/>
        </w:rPr>
        <w:lastRenderedPageBreak/>
        <w:t xml:space="preserve">consagradas en el inciso final del citado artículo 33 de la Ley 996 de 2005 en lo referente a i) la defensa y seguridad del Estado; </w:t>
      </w:r>
      <w:proofErr w:type="spellStart"/>
      <w:r w:rsidRPr="004A1D82">
        <w:rPr>
          <w:rFonts w:ascii="Arial" w:hAnsi="Arial" w:cs="Arial"/>
          <w:bCs/>
          <w:color w:val="000000" w:themeColor="text1"/>
          <w:sz w:val="22"/>
          <w:szCs w:val="22"/>
          <w:lang w:val="es-ES_tradnl" w:eastAsia="x-none"/>
        </w:rPr>
        <w:t>ii</w:t>
      </w:r>
      <w:proofErr w:type="spellEnd"/>
      <w:r w:rsidRPr="004A1D82">
        <w:rPr>
          <w:rFonts w:ascii="Arial" w:hAnsi="Arial" w:cs="Arial"/>
          <w:bCs/>
          <w:color w:val="000000" w:themeColor="text1"/>
          <w:sz w:val="22"/>
          <w:szCs w:val="22"/>
          <w:lang w:val="es-ES_tradnl" w:eastAsia="x-none"/>
        </w:rPr>
        <w:t xml:space="preserve">) los contratos de crédito público; </w:t>
      </w:r>
      <w:proofErr w:type="spellStart"/>
      <w:r w:rsidRPr="004A1D82">
        <w:rPr>
          <w:rFonts w:ascii="Arial" w:hAnsi="Arial" w:cs="Arial"/>
          <w:bCs/>
          <w:color w:val="000000" w:themeColor="text1"/>
          <w:sz w:val="22"/>
          <w:szCs w:val="22"/>
          <w:lang w:val="es-ES_tradnl" w:eastAsia="x-none"/>
        </w:rPr>
        <w:t>iii</w:t>
      </w:r>
      <w:proofErr w:type="spellEnd"/>
      <w:r w:rsidRPr="004A1D82">
        <w:rPr>
          <w:rFonts w:ascii="Arial" w:hAnsi="Arial" w:cs="Arial"/>
          <w:bCs/>
          <w:color w:val="000000" w:themeColor="text1"/>
          <w:sz w:val="22"/>
          <w:szCs w:val="22"/>
          <w:lang w:val="es-ES_tradnl" w:eastAsia="x-none"/>
        </w:rPr>
        <w:t xml:space="preserve">) los requeridos para cubrir las emergencias educativas, sanitarias y desastres; </w:t>
      </w:r>
      <w:proofErr w:type="spellStart"/>
      <w:r w:rsidRPr="004A1D82">
        <w:rPr>
          <w:rFonts w:ascii="Arial" w:hAnsi="Arial" w:cs="Arial"/>
          <w:bCs/>
          <w:color w:val="000000" w:themeColor="text1"/>
          <w:sz w:val="22"/>
          <w:szCs w:val="22"/>
          <w:lang w:val="es-ES_tradnl" w:eastAsia="x-none"/>
        </w:rPr>
        <w:t>iv</w:t>
      </w:r>
      <w:proofErr w:type="spellEnd"/>
      <w:r w:rsidRPr="004A1D82">
        <w:rPr>
          <w:rFonts w:ascii="Arial" w:hAnsi="Arial" w:cs="Arial"/>
          <w:bCs/>
          <w:color w:val="000000" w:themeColor="text1"/>
          <w:sz w:val="22"/>
          <w:szCs w:val="22"/>
          <w:lang w:val="es-ES_tradnl"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A1D82">
        <w:rPr>
          <w:rFonts w:ascii="Arial" w:hAnsi="Arial" w:cs="Arial"/>
          <w:bCs/>
          <w:color w:val="000000" w:themeColor="text1"/>
          <w:sz w:val="22"/>
          <w:szCs w:val="22"/>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bookmarkEnd w:id="12"/>
    </w:p>
    <w:p w14:paraId="0413E7B7" w14:textId="77777777" w:rsidR="00EA03F6" w:rsidRPr="004A1D82" w:rsidRDefault="00EA03F6" w:rsidP="004A1D82">
      <w:pPr>
        <w:spacing w:after="120" w:line="276" w:lineRule="auto"/>
        <w:ind w:firstLine="709"/>
        <w:jc w:val="both"/>
        <w:rPr>
          <w:rFonts w:ascii="Arial" w:hAnsi="Arial" w:cs="Arial"/>
          <w:bCs/>
          <w:color w:val="000000" w:themeColor="text1"/>
          <w:sz w:val="22"/>
          <w:szCs w:val="22"/>
          <w:lang w:val="es-ES_tradnl" w:eastAsia="x-none"/>
        </w:rPr>
      </w:pPr>
      <w:r w:rsidRPr="004A1D82">
        <w:rPr>
          <w:rFonts w:ascii="Arial" w:hAnsi="Arial" w:cs="Arial"/>
          <w:bCs/>
          <w:color w:val="000000" w:themeColor="text1"/>
          <w:sz w:val="22"/>
          <w:szCs w:val="22"/>
          <w:lang w:val="es-ES_tradnl"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4A1D82">
        <w:rPr>
          <w:rFonts w:ascii="Arial" w:eastAsiaTheme="minorHAnsi" w:hAnsi="Arial" w:cs="Arial"/>
          <w:color w:val="000000" w:themeColor="text1"/>
          <w:vertAlign w:val="superscript"/>
          <w:lang w:eastAsia="es-ES_tradnl"/>
        </w:rPr>
        <w:footnoteReference w:id="19"/>
      </w:r>
      <w:r w:rsidRPr="004A1D82">
        <w:rPr>
          <w:rFonts w:ascii="Arial" w:hAnsi="Arial" w:cs="Arial"/>
          <w:bCs/>
          <w:color w:val="000000" w:themeColor="text1"/>
          <w:sz w:val="22"/>
          <w:szCs w:val="22"/>
          <w:lang w:val="es-ES_tradnl"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04DA6F67" w14:textId="238A4D01" w:rsidR="00EA03F6" w:rsidRPr="004A1D82" w:rsidRDefault="001F13F0" w:rsidP="004A1D82">
      <w:pPr>
        <w:spacing w:after="120" w:line="276" w:lineRule="auto"/>
        <w:ind w:firstLine="709"/>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MX" w:eastAsia="x-none"/>
        </w:rPr>
        <w:t xml:space="preserve">En relación con los destinatarios de la restricción analizada, el artículo 33 de la Ley 996 de 2005 los señala expresamente,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La Sala de Consulta y Servicio Civil del Consejo de Estado, en Concepto 1727 del 20 de febrero de 2006, consideró que 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w:t>
      </w:r>
      <w:r w:rsidRPr="004A1D82">
        <w:rPr>
          <w:rFonts w:ascii="Arial" w:hAnsi="Arial" w:cs="Arial"/>
          <w:bCs/>
          <w:color w:val="000000" w:themeColor="text1"/>
          <w:sz w:val="22"/>
          <w:szCs w:val="22"/>
          <w:lang w:val="es-MX" w:eastAsia="x-none"/>
        </w:rPr>
        <w:lastRenderedPageBreak/>
        <w:t>los municipios prestadores directos, incluyendo las excepciones contenidas en el segundo inciso de esta norma»</w:t>
      </w:r>
      <w:r w:rsidRPr="004A1D82">
        <w:rPr>
          <w:rFonts w:ascii="Arial" w:hAnsi="Arial" w:cs="Arial"/>
          <w:bCs/>
          <w:color w:val="000000" w:themeColor="text1"/>
          <w:sz w:val="22"/>
          <w:szCs w:val="22"/>
          <w:vertAlign w:val="superscript"/>
          <w:lang w:val="es-MX" w:eastAsia="x-none"/>
        </w:rPr>
        <w:footnoteReference w:id="20"/>
      </w:r>
      <w:r w:rsidRPr="004A1D82">
        <w:rPr>
          <w:rFonts w:ascii="Arial" w:hAnsi="Arial" w:cs="Arial"/>
          <w:bCs/>
          <w:color w:val="000000" w:themeColor="text1"/>
          <w:sz w:val="22"/>
          <w:szCs w:val="22"/>
          <w:lang w:val="es-MX" w:eastAsia="x-none"/>
        </w:rPr>
        <w:t xml:space="preserve">. </w:t>
      </w:r>
    </w:p>
    <w:p w14:paraId="4AF0797D" w14:textId="77777777" w:rsidR="00EA03F6" w:rsidRPr="004A1D82" w:rsidRDefault="00EA03F6" w:rsidP="00EA03F6">
      <w:pPr>
        <w:spacing w:line="276" w:lineRule="auto"/>
        <w:ind w:firstLine="708"/>
        <w:jc w:val="both"/>
        <w:rPr>
          <w:rFonts w:ascii="Arial" w:eastAsiaTheme="minorHAnsi" w:hAnsi="Arial" w:cs="Arial"/>
          <w:color w:val="000000" w:themeColor="text1"/>
          <w:sz w:val="22"/>
          <w:szCs w:val="22"/>
          <w:lang w:val="es-ES_tradnl" w:eastAsia="en-US"/>
        </w:rPr>
      </w:pPr>
      <w:r w:rsidRPr="004A1D82">
        <w:rPr>
          <w:rFonts w:ascii="Arial" w:hAnsi="Arial" w:cs="Arial"/>
          <w:bCs/>
          <w:color w:val="000000" w:themeColor="text1"/>
          <w:sz w:val="22"/>
          <w:szCs w:val="22"/>
          <w:lang w:val="es-ES_tradnl" w:eastAsia="x-none"/>
        </w:rPr>
        <w:t>De igual forma, en Concepto 1738 de 6 de abril de 2006, también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4A1D82">
        <w:rPr>
          <w:rFonts w:ascii="Arial" w:eastAsiaTheme="minorHAnsi" w:hAnsi="Arial" w:cs="Arial"/>
          <w:color w:val="000000" w:themeColor="text1"/>
          <w:vertAlign w:val="superscript"/>
          <w:lang w:eastAsia="es-ES_tradnl"/>
        </w:rPr>
        <w:footnoteReference w:id="21"/>
      </w:r>
      <w:r w:rsidRPr="004A1D82">
        <w:rPr>
          <w:rFonts w:ascii="Arial" w:hAnsi="Arial" w:cs="Arial"/>
          <w:bCs/>
          <w:color w:val="000000" w:themeColor="text1"/>
          <w:sz w:val="22"/>
          <w:szCs w:val="22"/>
          <w:lang w:val="es-ES_tradnl" w:eastAsia="x-none"/>
        </w:rPr>
        <w:t>.</w:t>
      </w:r>
      <w:r w:rsidRPr="004A1D82">
        <w:rPr>
          <w:rFonts w:ascii="Arial" w:eastAsiaTheme="minorHAnsi" w:hAnsi="Arial" w:cs="Arial"/>
          <w:color w:val="000000" w:themeColor="text1"/>
          <w:sz w:val="22"/>
          <w:szCs w:val="22"/>
          <w:lang w:val="es-ES_tradnl" w:eastAsia="en-US"/>
        </w:rPr>
        <w:t xml:space="preserve"> Sin embargo, debe precisarse el siguiente aspecto que distinguió la Sala de Consulta y Servicio Civil:</w:t>
      </w:r>
    </w:p>
    <w:p w14:paraId="06719DA9" w14:textId="77777777" w:rsidR="00EA03F6" w:rsidRPr="004A1D82" w:rsidRDefault="00EA03F6" w:rsidP="00EA03F6">
      <w:pPr>
        <w:spacing w:line="276" w:lineRule="auto"/>
        <w:jc w:val="both"/>
        <w:rPr>
          <w:rFonts w:ascii="Arial" w:eastAsiaTheme="minorHAnsi" w:hAnsi="Arial" w:cs="Arial"/>
          <w:color w:val="000000" w:themeColor="text1"/>
          <w:sz w:val="22"/>
          <w:szCs w:val="22"/>
          <w:lang w:val="es-ES_tradnl" w:eastAsia="en-US"/>
        </w:rPr>
      </w:pPr>
    </w:p>
    <w:p w14:paraId="4FBA096D" w14:textId="77777777" w:rsidR="00EA03F6" w:rsidRPr="004A1D82" w:rsidRDefault="00EA03F6" w:rsidP="00EA03F6">
      <w:pPr>
        <w:ind w:left="708"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4A1D82">
        <w:rPr>
          <w:rFonts w:ascii="Arial" w:eastAsiaTheme="minorHAnsi" w:hAnsi="Arial" w:cs="Arial"/>
          <w:color w:val="000000" w:themeColor="text1"/>
          <w:vertAlign w:val="superscript"/>
          <w:lang w:eastAsia="es-ES_tradnl"/>
        </w:rPr>
        <w:footnoteReference w:id="22"/>
      </w:r>
      <w:r w:rsidRPr="004A1D82">
        <w:rPr>
          <w:rFonts w:ascii="Arial" w:hAnsi="Arial" w:cs="Arial"/>
          <w:bCs/>
          <w:color w:val="000000" w:themeColor="text1"/>
          <w:sz w:val="22"/>
          <w:szCs w:val="22"/>
          <w:lang w:val="es-ES_tradnl" w:eastAsia="x-none"/>
        </w:rPr>
        <w:t>.</w:t>
      </w:r>
    </w:p>
    <w:p w14:paraId="2F087ACF" w14:textId="77777777" w:rsidR="00EA03F6" w:rsidRPr="004A1D82" w:rsidRDefault="00EA03F6" w:rsidP="00EA03F6">
      <w:pPr>
        <w:spacing w:line="276" w:lineRule="auto"/>
        <w:jc w:val="both"/>
        <w:rPr>
          <w:rFonts w:ascii="Arial" w:eastAsiaTheme="minorHAnsi" w:hAnsi="Arial" w:cs="Arial"/>
          <w:color w:val="000000" w:themeColor="text1"/>
          <w:sz w:val="22"/>
          <w:szCs w:val="22"/>
          <w:lang w:val="es-ES_tradnl" w:eastAsia="en-US"/>
        </w:rPr>
      </w:pPr>
    </w:p>
    <w:p w14:paraId="735C135D" w14:textId="766F5992" w:rsidR="00EA03F6" w:rsidRPr="004A1D82" w:rsidRDefault="00EA03F6" w:rsidP="00EA03F6">
      <w:pPr>
        <w:spacing w:after="120" w:line="276" w:lineRule="auto"/>
        <w:ind w:firstLine="709"/>
        <w:jc w:val="both"/>
        <w:rPr>
          <w:rFonts w:ascii="Arial" w:hAnsi="Arial" w:cs="Arial"/>
          <w:bCs/>
          <w:color w:val="000000" w:themeColor="text1"/>
          <w:sz w:val="22"/>
          <w:szCs w:val="22"/>
          <w:lang w:val="es-ES_tradnl" w:eastAsia="x-none"/>
        </w:rPr>
      </w:pPr>
      <w:r w:rsidRPr="004A1D82">
        <w:rPr>
          <w:rFonts w:ascii="Arial" w:eastAsiaTheme="minorHAnsi" w:hAnsi="Arial" w:cs="Arial"/>
          <w:color w:val="000000" w:themeColor="text1"/>
          <w:sz w:val="22"/>
          <w:szCs w:val="22"/>
          <w:lang w:val="es-ES_tradnl" w:eastAsia="en-US"/>
        </w:rPr>
        <w:t xml:space="preserve">Aplicando este razonamiento, se tiene, por ejemplo, que las empresas industriales y comerciales del estado y a las empresas de servicios públicos oficiales y mixtas no pueden </w:t>
      </w:r>
      <w:r w:rsidRPr="004A1D82">
        <w:rPr>
          <w:rFonts w:ascii="Arial" w:eastAsiaTheme="minorHAnsi" w:hAnsi="Arial" w:cs="Arial"/>
          <w:color w:val="000000" w:themeColor="text1"/>
          <w:sz w:val="22"/>
          <w:szCs w:val="22"/>
          <w:lang w:val="es-ES_tradnl" w:eastAsia="en-US"/>
        </w:rPr>
        <w:lastRenderedPageBreak/>
        <w:t>adquirir los suministros de bienes y servicios necesarios para la realización de su actividad por contratación directa sino por mecanismos competitivos que impliquen convocatoria pública y la posibilidad de pluralidad de oferentes, pero «</w:t>
      </w:r>
      <w:r w:rsidR="006A2544" w:rsidRPr="004A1D82">
        <w:rPr>
          <w:rFonts w:ascii="Arial" w:eastAsiaTheme="minorHAnsi" w:hAnsi="Arial" w:cs="Arial"/>
          <w:color w:val="000000" w:themeColor="text1"/>
          <w:sz w:val="22"/>
          <w:szCs w:val="22"/>
          <w:lang w:val="es-ES_tradnl" w:eastAsia="en-US"/>
        </w:rPr>
        <w:t>es obvio que si una de éstas entidades va a prestar un servicio […] a un particular, lo puede hacer, pues éstos se ofrecen a toda la comunidad en condiciones de igualdad. Si se supusiera que está prohibida su contratación directa, significaría la parálisis de tal actividad de interés público, lo que de ninguna manera es lo querido por la ley 996 de 2005</w:t>
      </w:r>
      <w:r w:rsidRPr="004A1D82">
        <w:rPr>
          <w:rFonts w:ascii="Arial" w:eastAsiaTheme="minorHAnsi" w:hAnsi="Arial" w:cs="Arial"/>
          <w:color w:val="000000" w:themeColor="text1"/>
          <w:sz w:val="22"/>
          <w:szCs w:val="22"/>
          <w:lang w:val="es-ES_tradnl" w:eastAsia="en-US"/>
        </w:rPr>
        <w:t>»</w:t>
      </w:r>
      <w:r w:rsidRPr="004A1D82">
        <w:rPr>
          <w:rFonts w:ascii="Arial" w:eastAsiaTheme="minorHAnsi" w:hAnsi="Arial" w:cs="Arial"/>
          <w:color w:val="000000" w:themeColor="text1"/>
          <w:szCs w:val="22"/>
          <w:vertAlign w:val="superscript"/>
          <w:lang w:val="es-ES_tradnl" w:eastAsia="en-US"/>
        </w:rPr>
        <w:t xml:space="preserve"> </w:t>
      </w:r>
      <w:r w:rsidRPr="004A1D82">
        <w:rPr>
          <w:rFonts w:ascii="Arial" w:eastAsiaTheme="minorHAnsi" w:hAnsi="Arial" w:cs="Arial"/>
          <w:color w:val="000000" w:themeColor="text1"/>
          <w:vertAlign w:val="superscript"/>
          <w:lang w:eastAsia="es-ES_tradnl"/>
        </w:rPr>
        <w:footnoteReference w:id="23"/>
      </w:r>
      <w:r w:rsidRPr="004A1D82">
        <w:rPr>
          <w:rFonts w:ascii="Arial" w:eastAsiaTheme="minorHAnsi" w:hAnsi="Arial" w:cs="Arial"/>
          <w:color w:val="000000" w:themeColor="text1"/>
          <w:sz w:val="22"/>
          <w:szCs w:val="22"/>
          <w:lang w:val="es-ES_tradnl" w:eastAsia="en-US"/>
        </w:rPr>
        <w:t>.</w:t>
      </w:r>
    </w:p>
    <w:p w14:paraId="2E5FD185" w14:textId="77777777" w:rsidR="00EA03F6" w:rsidRPr="004A1D82" w:rsidRDefault="00EA03F6" w:rsidP="00EA03F6">
      <w:pPr>
        <w:spacing w:after="120" w:line="276" w:lineRule="auto"/>
        <w:ind w:firstLine="709"/>
        <w:jc w:val="both"/>
        <w:rPr>
          <w:rFonts w:ascii="Arial" w:hAnsi="Arial" w:cs="Arial"/>
          <w:bCs/>
          <w:color w:val="000000" w:themeColor="text1"/>
          <w:sz w:val="22"/>
          <w:szCs w:val="22"/>
          <w:lang w:val="es-ES_tradnl" w:eastAsia="x-none"/>
        </w:rPr>
      </w:pPr>
      <w:r w:rsidRPr="004A1D82">
        <w:rPr>
          <w:rFonts w:ascii="Arial" w:eastAsiaTheme="minorHAnsi" w:hAnsi="Arial" w:cs="Arial"/>
          <w:color w:val="000000" w:themeColor="text1"/>
          <w:sz w:val="22"/>
          <w:szCs w:val="22"/>
          <w:lang w:val="es-ES_tradnl" w:eastAsia="en-US"/>
        </w:rPr>
        <w:t xml:space="preserve">Por lo tanto, la restricción prevista en la Ley 996 de 2005, </w:t>
      </w:r>
      <w:r w:rsidRPr="004A1D82">
        <w:rPr>
          <w:rFonts w:ascii="Arial" w:hAnsi="Arial" w:cs="Arial"/>
          <w:bCs/>
          <w:color w:val="000000" w:themeColor="text1"/>
          <w:sz w:val="22"/>
          <w:szCs w:val="22"/>
          <w:lang w:val="es-ES_tradnl"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normas especiales. </w:t>
      </w:r>
    </w:p>
    <w:p w14:paraId="2CF5A32D" w14:textId="28CC1E0B" w:rsidR="00EA03F6" w:rsidRPr="004A1D82" w:rsidRDefault="00EA03F6" w:rsidP="004A1D82">
      <w:pPr>
        <w:spacing w:before="120" w:after="120" w:line="276" w:lineRule="auto"/>
        <w:ind w:firstLine="709"/>
        <w:jc w:val="both"/>
        <w:rPr>
          <w:rFonts w:ascii="Arial" w:eastAsia="Calibri" w:hAnsi="Arial" w:cs="Arial"/>
          <w:color w:val="000000" w:themeColor="text1"/>
          <w:sz w:val="22"/>
          <w:szCs w:val="22"/>
          <w:lang w:val="es-ES" w:eastAsia="en-US"/>
        </w:rPr>
      </w:pPr>
      <w:r w:rsidRPr="004A1D82">
        <w:rPr>
          <w:rFonts w:ascii="Arial" w:hAnsi="Arial" w:cs="Arial"/>
          <w:bCs/>
          <w:color w:val="000000" w:themeColor="text1"/>
          <w:sz w:val="22"/>
          <w:szCs w:val="22"/>
          <w:lang w:val="es-ES_tradnl" w:eastAsia="x-none"/>
        </w:rPr>
        <w:t>Aplicadas las consideraciones a la problemática planteada por el peticionario,</w:t>
      </w:r>
      <w:r w:rsidRPr="004A1D82">
        <w:rPr>
          <w:rFonts w:ascii="Arial" w:eastAsia="Calibri" w:hAnsi="Arial" w:cs="Arial"/>
          <w:color w:val="000000" w:themeColor="text1"/>
          <w:sz w:val="22"/>
          <w:szCs w:val="22"/>
          <w:lang w:val="es-ES" w:eastAsia="en-US"/>
        </w:rPr>
        <w:t xml:space="preserve"> se reitera que el artículo 33 de la Ley 996 de 2005 prohíbe la contratación directa «Durante los cuatro (4) meses anteriores a la elección presidencial y hasta la realización de la elección en la segunda vuelta». Esta norma consagra excepciones taxativas a dicha prohibición, dentro de las cuales no está prevista la posibilidad de que se celebren </w:t>
      </w:r>
      <w:r w:rsidRPr="004A1D82">
        <w:rPr>
          <w:rFonts w:ascii="Arial" w:eastAsia="Calibri" w:hAnsi="Arial" w:cs="Arial"/>
          <w:i/>
          <w:iCs/>
          <w:color w:val="000000" w:themeColor="text1"/>
          <w:sz w:val="22"/>
          <w:szCs w:val="22"/>
          <w:lang w:val="es-ES" w:eastAsia="en-US"/>
        </w:rPr>
        <w:t>directamente</w:t>
      </w:r>
      <w:r w:rsidRPr="004A1D82">
        <w:rPr>
          <w:rFonts w:ascii="Arial" w:eastAsia="Calibri" w:hAnsi="Arial" w:cs="Arial"/>
          <w:color w:val="000000" w:themeColor="text1"/>
          <w:sz w:val="22"/>
          <w:szCs w:val="22"/>
          <w:lang w:val="es-ES" w:eastAsia="en-US"/>
        </w:rPr>
        <w:t xml:space="preserve"> convenios solidarios por parte de las entidades territoriales. Por tanto, como lo señala la Circular Conjunta 100-006 de 2021 del Departamento Administrativo de la Presidencia de la República y del Departamento Administrativo de la Función Pública</w:t>
      </w:r>
      <w:r w:rsidRPr="004A1D82">
        <w:rPr>
          <w:rFonts w:ascii="Arial" w:eastAsia="Calibri" w:hAnsi="Arial" w:cs="Arial"/>
          <w:color w:val="000000" w:themeColor="text1"/>
          <w:vertAlign w:val="superscript"/>
          <w:lang w:eastAsia="es-ES_tradnl"/>
        </w:rPr>
        <w:footnoteReference w:id="24"/>
      </w:r>
      <w:r w:rsidRPr="004A1D82">
        <w:rPr>
          <w:rFonts w:ascii="Arial" w:eastAsia="Calibri" w:hAnsi="Arial" w:cs="Arial"/>
          <w:color w:val="000000" w:themeColor="text1"/>
          <w:sz w:val="22"/>
          <w:szCs w:val="22"/>
          <w:lang w:val="es-ES" w:eastAsia="en-US"/>
        </w:rPr>
        <w:t xml:space="preserve">, el artículo 33 de la Ley de Garantías Electorales «restringe la contratación directa por parte de todos los entes del Estado desde el día 29 de enero de 2022 y hasta la elección en segunda vuelta, si fuere el caso». Dentro de esta restricción queda contemplada la prohibición de celebrar </w:t>
      </w:r>
      <w:r w:rsidRPr="004A1D82">
        <w:rPr>
          <w:rFonts w:ascii="Arial" w:eastAsia="Calibri" w:hAnsi="Arial" w:cs="Arial"/>
          <w:i/>
          <w:iCs/>
          <w:color w:val="000000" w:themeColor="text1"/>
          <w:sz w:val="22"/>
          <w:szCs w:val="22"/>
          <w:lang w:val="es-ES" w:eastAsia="en-US"/>
        </w:rPr>
        <w:t>directamente</w:t>
      </w:r>
      <w:r w:rsidRPr="004A1D82">
        <w:rPr>
          <w:rFonts w:ascii="Arial" w:eastAsia="Calibri" w:hAnsi="Arial" w:cs="Arial"/>
          <w:color w:val="000000" w:themeColor="text1"/>
          <w:sz w:val="22"/>
          <w:szCs w:val="22"/>
          <w:lang w:val="es-ES" w:eastAsia="en-US"/>
        </w:rPr>
        <w:t xml:space="preserve"> convenios solidarios. </w:t>
      </w:r>
      <w:r w:rsidR="006A2544" w:rsidRPr="004A1D82">
        <w:rPr>
          <w:rFonts w:ascii="Arial" w:eastAsia="Calibri" w:hAnsi="Arial" w:cs="Arial"/>
          <w:color w:val="000000" w:themeColor="text1"/>
          <w:sz w:val="22"/>
          <w:szCs w:val="22"/>
          <w:lang w:val="es-ES" w:eastAsia="en-US"/>
        </w:rPr>
        <w:t>Lo anterior, salvo que en el caso concreto se presente alguna de las excepciones establecidas a la prohibición consagrada en el inciso segundo del artículo 33 de la Ley de Garantías Electorales.</w:t>
      </w:r>
    </w:p>
    <w:p w14:paraId="474F5734" w14:textId="4272B493" w:rsidR="006A2544" w:rsidRPr="004A1D82" w:rsidRDefault="006A2544" w:rsidP="00DB797A">
      <w:pPr>
        <w:spacing w:before="120" w:line="276" w:lineRule="auto"/>
        <w:ind w:firstLine="708"/>
        <w:jc w:val="both"/>
        <w:rPr>
          <w:rFonts w:ascii="Arial" w:eastAsiaTheme="minorHAnsi" w:hAnsi="Arial" w:cs="Arial"/>
          <w:color w:val="000000" w:themeColor="text1"/>
          <w:sz w:val="22"/>
          <w:szCs w:val="22"/>
          <w:lang w:val="es-MX" w:eastAsia="en-US"/>
        </w:rPr>
      </w:pPr>
      <w:r w:rsidRPr="004A1D82">
        <w:rPr>
          <w:rFonts w:ascii="Arial" w:hAnsi="Arial" w:cs="Arial"/>
          <w:bCs/>
          <w:color w:val="000000" w:themeColor="text1"/>
          <w:sz w:val="22"/>
          <w:lang w:val="es-ES_tradnl" w:eastAsia="es-ES_tradnl"/>
        </w:rPr>
        <w:t>Sin perjuicio de lo anterior,</w:t>
      </w:r>
      <w:r w:rsidRPr="004A1D82">
        <w:rPr>
          <w:rFonts w:ascii="Arial" w:eastAsia="Calibri" w:hAnsi="Arial" w:cs="Arial"/>
          <w:color w:val="000000" w:themeColor="text1"/>
          <w:sz w:val="22"/>
          <w:lang w:val="es-ES"/>
        </w:rPr>
        <w:t xml:space="preserve"> dado que lo prohibido es la contratación </w:t>
      </w:r>
      <w:r w:rsidRPr="004A1D82">
        <w:rPr>
          <w:rFonts w:ascii="Arial" w:eastAsia="Calibri" w:hAnsi="Arial" w:cs="Arial"/>
          <w:i/>
          <w:iCs/>
          <w:color w:val="000000" w:themeColor="text1"/>
          <w:sz w:val="22"/>
          <w:lang w:val="es-ES"/>
        </w:rPr>
        <w:t xml:space="preserve">directa, </w:t>
      </w:r>
      <w:r w:rsidR="00194867" w:rsidRPr="004A1D82">
        <w:rPr>
          <w:rFonts w:ascii="Arial" w:eastAsia="Calibri" w:hAnsi="Arial" w:cs="Arial"/>
          <w:color w:val="000000" w:themeColor="text1"/>
          <w:sz w:val="22"/>
          <w:lang w:val="es-ES"/>
        </w:rPr>
        <w:t xml:space="preserve">en cada caso particular debe analizarse </w:t>
      </w:r>
      <w:r w:rsidR="005B71F9" w:rsidRPr="004A1D82">
        <w:rPr>
          <w:rFonts w:ascii="Arial" w:eastAsia="Calibri" w:hAnsi="Arial" w:cs="Arial"/>
          <w:color w:val="000000" w:themeColor="text1"/>
          <w:sz w:val="22"/>
          <w:lang w:val="es-ES"/>
        </w:rPr>
        <w:t xml:space="preserve">la </w:t>
      </w:r>
      <w:r w:rsidR="00194867" w:rsidRPr="004A1D82">
        <w:rPr>
          <w:rFonts w:ascii="Arial" w:eastAsia="Calibri" w:hAnsi="Arial" w:cs="Arial"/>
          <w:color w:val="000000" w:themeColor="text1"/>
          <w:sz w:val="22"/>
          <w:lang w:val="es-ES"/>
        </w:rPr>
        <w:t>forma en que se celebrará el convenio solidario</w:t>
      </w:r>
      <w:r w:rsidRPr="004A1D82">
        <w:rPr>
          <w:rFonts w:ascii="Arial" w:eastAsia="Calibri" w:hAnsi="Arial" w:cs="Arial"/>
          <w:color w:val="000000" w:themeColor="text1"/>
          <w:sz w:val="22"/>
          <w:lang w:val="es-ES"/>
        </w:rPr>
        <w:t>,</w:t>
      </w:r>
      <w:r w:rsidR="00194867" w:rsidRPr="004A1D82">
        <w:rPr>
          <w:rFonts w:ascii="Arial" w:eastAsia="Calibri" w:hAnsi="Arial" w:cs="Arial"/>
          <w:color w:val="000000" w:themeColor="text1"/>
          <w:sz w:val="22"/>
          <w:lang w:val="es-ES"/>
        </w:rPr>
        <w:t xml:space="preserve"> de acuerdo con el marco jurídico que los regula,</w:t>
      </w:r>
      <w:r w:rsidRPr="004A1D82">
        <w:rPr>
          <w:rFonts w:ascii="Arial" w:eastAsia="Calibri" w:hAnsi="Arial" w:cs="Arial"/>
          <w:color w:val="000000" w:themeColor="text1"/>
          <w:sz w:val="22"/>
          <w:lang w:val="es-ES"/>
        </w:rPr>
        <w:t xml:space="preserve"> bajo la premisa </w:t>
      </w:r>
      <w:r w:rsidR="00194867" w:rsidRPr="004A1D82">
        <w:rPr>
          <w:rFonts w:ascii="Arial" w:eastAsia="Calibri" w:hAnsi="Arial" w:cs="Arial"/>
          <w:color w:val="000000" w:themeColor="text1"/>
          <w:sz w:val="22"/>
          <w:lang w:val="es-ES"/>
        </w:rPr>
        <w:t xml:space="preserve">de </w:t>
      </w:r>
      <w:r w:rsidRPr="004A1D82">
        <w:rPr>
          <w:rFonts w:ascii="Arial" w:eastAsia="Calibri" w:hAnsi="Arial" w:cs="Arial"/>
          <w:color w:val="000000" w:themeColor="text1"/>
          <w:sz w:val="22"/>
          <w:lang w:val="es-ES"/>
        </w:rPr>
        <w:t>que</w:t>
      </w:r>
      <w:r w:rsidR="00194867" w:rsidRPr="004A1D82">
        <w:rPr>
          <w:rFonts w:ascii="Arial" w:eastAsia="Calibri" w:hAnsi="Arial" w:cs="Arial"/>
          <w:color w:val="000000" w:themeColor="text1"/>
          <w:sz w:val="22"/>
          <w:lang w:val="es-ES"/>
        </w:rPr>
        <w:t xml:space="preserve"> las entidades estatales </w:t>
      </w:r>
      <w:r w:rsidRPr="004A1D82">
        <w:rPr>
          <w:rFonts w:ascii="Arial" w:eastAsiaTheme="minorHAnsi" w:hAnsi="Arial" w:cs="Arial"/>
          <w:color w:val="000000" w:themeColor="text1"/>
          <w:sz w:val="22"/>
          <w:szCs w:val="22"/>
          <w:lang w:val="es-MX" w:eastAsia="en-US"/>
        </w:rPr>
        <w:t>podrá</w:t>
      </w:r>
      <w:r w:rsidR="00194867" w:rsidRPr="004A1D82">
        <w:rPr>
          <w:rFonts w:ascii="Arial" w:eastAsiaTheme="minorHAnsi" w:hAnsi="Arial" w:cs="Arial"/>
          <w:color w:val="000000" w:themeColor="text1"/>
          <w:sz w:val="22"/>
          <w:szCs w:val="22"/>
          <w:lang w:val="es-MX" w:eastAsia="en-US"/>
        </w:rPr>
        <w:t>n</w:t>
      </w:r>
      <w:r w:rsidRPr="004A1D82">
        <w:rPr>
          <w:rFonts w:ascii="Arial" w:eastAsiaTheme="minorHAnsi" w:hAnsi="Arial" w:cs="Arial"/>
          <w:color w:val="000000" w:themeColor="text1"/>
          <w:sz w:val="22"/>
          <w:szCs w:val="22"/>
          <w:lang w:val="es-MX" w:eastAsia="en-US"/>
        </w:rPr>
        <w:t xml:space="preserve"> suscribir convenios solidarios</w:t>
      </w:r>
      <w:r w:rsidR="004068DE" w:rsidRPr="004A1D82">
        <w:rPr>
          <w:rFonts w:ascii="Arial" w:eastAsiaTheme="minorHAnsi" w:hAnsi="Arial" w:cs="Arial"/>
          <w:color w:val="000000" w:themeColor="text1"/>
          <w:sz w:val="22"/>
          <w:szCs w:val="22"/>
          <w:lang w:val="es-MX" w:eastAsia="en-US"/>
        </w:rPr>
        <w:t xml:space="preserve"> durante la vigencia de la prohibición analizada</w:t>
      </w:r>
      <w:r w:rsidRPr="004A1D82">
        <w:rPr>
          <w:rFonts w:ascii="Arial" w:eastAsiaTheme="minorHAnsi" w:hAnsi="Arial" w:cs="Arial"/>
          <w:color w:val="000000" w:themeColor="text1"/>
          <w:sz w:val="22"/>
          <w:szCs w:val="22"/>
          <w:lang w:val="es-MX" w:eastAsia="en-US"/>
        </w:rPr>
        <w:t xml:space="preserve">, en tanto se de aplicación </w:t>
      </w:r>
      <w:r w:rsidR="00194867" w:rsidRPr="004A1D82">
        <w:rPr>
          <w:rFonts w:ascii="Arial" w:eastAsiaTheme="minorHAnsi" w:hAnsi="Arial" w:cs="Arial"/>
          <w:color w:val="000000" w:themeColor="text1"/>
          <w:sz w:val="22"/>
          <w:szCs w:val="22"/>
          <w:lang w:val="es-MX" w:eastAsia="en-US"/>
        </w:rPr>
        <w:t xml:space="preserve">a </w:t>
      </w:r>
      <w:r w:rsidR="00194867" w:rsidRPr="004A1D82">
        <w:rPr>
          <w:rFonts w:ascii="Arial" w:eastAsiaTheme="minorHAnsi" w:hAnsi="Arial" w:cs="Arial"/>
          <w:color w:val="000000" w:themeColor="text1"/>
          <w:sz w:val="22"/>
          <w:szCs w:val="22"/>
          <w:lang w:val="es-MX" w:eastAsia="en-US"/>
        </w:rPr>
        <w:lastRenderedPageBreak/>
        <w:t>un</w:t>
      </w:r>
      <w:r w:rsidRPr="004A1D82">
        <w:rPr>
          <w:rFonts w:ascii="Arial" w:eastAsiaTheme="minorHAnsi" w:hAnsi="Arial" w:cs="Arial"/>
          <w:color w:val="000000" w:themeColor="text1"/>
          <w:sz w:val="22"/>
          <w:szCs w:val="22"/>
          <w:lang w:val="es-MX" w:eastAsia="en-US"/>
        </w:rPr>
        <w:t xml:space="preserve"> proceso competitivo</w:t>
      </w:r>
      <w:r w:rsidR="005B71F9" w:rsidRPr="004A1D82">
        <w:rPr>
          <w:rFonts w:ascii="Arial" w:eastAsiaTheme="minorHAnsi" w:hAnsi="Arial" w:cs="Arial"/>
          <w:color w:val="000000" w:themeColor="text1"/>
          <w:sz w:val="22"/>
          <w:szCs w:val="22"/>
          <w:lang w:val="es-MX" w:eastAsia="en-US"/>
        </w:rPr>
        <w:t xml:space="preserve"> para la selección del contratista</w:t>
      </w:r>
      <w:r w:rsidR="00194867" w:rsidRPr="004A1D82">
        <w:rPr>
          <w:rFonts w:ascii="Arial" w:eastAsiaTheme="minorHAnsi" w:hAnsi="Arial" w:cs="Arial"/>
          <w:color w:val="000000" w:themeColor="text1"/>
          <w:sz w:val="22"/>
          <w:szCs w:val="22"/>
          <w:lang w:val="es-MX" w:eastAsia="en-US"/>
        </w:rPr>
        <w:t xml:space="preserve">, esto es, en </w:t>
      </w:r>
      <w:r w:rsidR="004068DE" w:rsidRPr="004A1D82">
        <w:rPr>
          <w:rFonts w:ascii="Arial" w:eastAsiaTheme="minorHAnsi" w:hAnsi="Arial" w:cs="Arial"/>
          <w:color w:val="000000" w:themeColor="text1"/>
          <w:sz w:val="22"/>
          <w:szCs w:val="22"/>
          <w:lang w:val="es-MX" w:eastAsia="en-US"/>
        </w:rPr>
        <w:t>el</w:t>
      </w:r>
      <w:r w:rsidR="00194867" w:rsidRPr="004A1D82">
        <w:rPr>
          <w:rFonts w:ascii="Arial" w:eastAsiaTheme="minorHAnsi" w:hAnsi="Arial" w:cs="Arial"/>
          <w:color w:val="000000" w:themeColor="text1"/>
          <w:sz w:val="22"/>
          <w:szCs w:val="22"/>
          <w:lang w:val="es-MX" w:eastAsia="en-US"/>
        </w:rPr>
        <w:t xml:space="preserve"> que exista convocatoria pública y posibilidad de participación de pluralidad de oferentes</w:t>
      </w:r>
      <w:r w:rsidR="004068DE" w:rsidRPr="004A1D82">
        <w:rPr>
          <w:rFonts w:ascii="Arial" w:eastAsiaTheme="minorHAnsi" w:hAnsi="Arial" w:cs="Arial"/>
          <w:color w:val="000000" w:themeColor="text1"/>
          <w:sz w:val="22"/>
          <w:szCs w:val="22"/>
          <w:lang w:val="es-MX" w:eastAsia="en-US"/>
        </w:rPr>
        <w:t>. Esto, debido a</w:t>
      </w:r>
      <w:r w:rsidRPr="004A1D82">
        <w:rPr>
          <w:rFonts w:ascii="Arial" w:eastAsiaTheme="minorHAnsi" w:hAnsi="Arial" w:cs="Arial"/>
          <w:color w:val="000000" w:themeColor="text1"/>
          <w:sz w:val="22"/>
          <w:szCs w:val="22"/>
          <w:lang w:val="es-MX" w:eastAsia="en-US"/>
        </w:rPr>
        <w:t xml:space="preserve"> que la prohibición de contratación directa del artículo 33 de la Ley de Garantías </w:t>
      </w:r>
      <w:r w:rsidR="00194867" w:rsidRPr="004A1D82">
        <w:rPr>
          <w:rFonts w:ascii="Arial" w:eastAsiaTheme="minorHAnsi" w:hAnsi="Arial" w:cs="Arial"/>
          <w:color w:val="000000" w:themeColor="text1"/>
          <w:sz w:val="22"/>
          <w:szCs w:val="22"/>
          <w:lang w:val="es-MX" w:eastAsia="en-US"/>
        </w:rPr>
        <w:t xml:space="preserve">Electorales </w:t>
      </w:r>
      <w:r w:rsidRPr="004A1D82">
        <w:rPr>
          <w:rFonts w:ascii="Arial" w:eastAsiaTheme="minorHAnsi" w:hAnsi="Arial" w:cs="Arial"/>
          <w:color w:val="000000" w:themeColor="text1"/>
          <w:sz w:val="22"/>
          <w:szCs w:val="22"/>
          <w:lang w:val="es-MX" w:eastAsia="en-US"/>
        </w:rPr>
        <w:t xml:space="preserve">únicamente </w:t>
      </w:r>
      <w:r w:rsidR="00194867" w:rsidRPr="004A1D82">
        <w:rPr>
          <w:rFonts w:ascii="Arial" w:eastAsiaTheme="minorHAnsi" w:hAnsi="Arial" w:cs="Arial"/>
          <w:color w:val="000000" w:themeColor="text1"/>
          <w:sz w:val="22"/>
          <w:szCs w:val="22"/>
          <w:lang w:val="es-MX" w:eastAsia="en-US"/>
        </w:rPr>
        <w:t xml:space="preserve">aplica </w:t>
      </w:r>
      <w:r w:rsidRPr="004A1D82">
        <w:rPr>
          <w:rFonts w:ascii="Arial" w:eastAsiaTheme="minorHAnsi" w:hAnsi="Arial" w:cs="Arial"/>
          <w:color w:val="000000" w:themeColor="text1"/>
          <w:sz w:val="22"/>
          <w:szCs w:val="22"/>
          <w:lang w:val="es-MX" w:eastAsia="en-US"/>
        </w:rPr>
        <w:t xml:space="preserve">a los procedimientos </w:t>
      </w:r>
      <w:r w:rsidR="00194867" w:rsidRPr="004A1D82">
        <w:rPr>
          <w:rFonts w:ascii="Arial" w:eastAsiaTheme="minorHAnsi" w:hAnsi="Arial" w:cs="Arial"/>
          <w:color w:val="000000" w:themeColor="text1"/>
          <w:sz w:val="22"/>
          <w:szCs w:val="22"/>
          <w:lang w:val="es-MX" w:eastAsia="en-US"/>
        </w:rPr>
        <w:t>«</w:t>
      </w:r>
      <w:r w:rsidRPr="004A1D82">
        <w:rPr>
          <w:rFonts w:ascii="Arial" w:eastAsiaTheme="minorHAnsi" w:hAnsi="Arial" w:cs="Arial"/>
          <w:color w:val="000000" w:themeColor="text1"/>
          <w:sz w:val="22"/>
          <w:szCs w:val="22"/>
          <w:lang w:val="es-MX" w:eastAsia="en-US"/>
        </w:rPr>
        <w:t>no competitivos</w:t>
      </w:r>
      <w:r w:rsidR="00194867" w:rsidRPr="004A1D82">
        <w:rPr>
          <w:rFonts w:ascii="Arial" w:eastAsiaTheme="minorHAnsi" w:hAnsi="Arial" w:cs="Arial"/>
          <w:color w:val="000000" w:themeColor="text1"/>
          <w:sz w:val="22"/>
          <w:szCs w:val="22"/>
          <w:lang w:val="es-MX" w:eastAsia="en-US"/>
        </w:rPr>
        <w:t>»</w:t>
      </w:r>
      <w:r w:rsidRPr="004A1D82">
        <w:rPr>
          <w:rFonts w:ascii="Arial" w:eastAsiaTheme="minorHAnsi" w:hAnsi="Arial" w:cs="Arial"/>
          <w:color w:val="000000" w:themeColor="text1"/>
          <w:sz w:val="22"/>
          <w:szCs w:val="22"/>
          <w:lang w:val="es-MX" w:eastAsia="en-US"/>
        </w:rPr>
        <w:t>,</w:t>
      </w:r>
      <w:r w:rsidR="00194867" w:rsidRPr="004A1D82">
        <w:rPr>
          <w:rFonts w:ascii="Arial" w:eastAsiaTheme="minorHAnsi" w:hAnsi="Arial" w:cs="Arial"/>
          <w:color w:val="000000" w:themeColor="text1"/>
          <w:sz w:val="22"/>
          <w:szCs w:val="22"/>
          <w:lang w:val="es-MX" w:eastAsia="en-US"/>
        </w:rPr>
        <w:t xml:space="preserve"> que son los que implican una contratación directa. En efecto,</w:t>
      </w:r>
      <w:r w:rsidRPr="004A1D82">
        <w:rPr>
          <w:rFonts w:ascii="Arial" w:eastAsiaTheme="minorHAnsi" w:hAnsi="Arial" w:cs="Arial"/>
          <w:color w:val="000000" w:themeColor="text1"/>
          <w:sz w:val="22"/>
          <w:szCs w:val="22"/>
          <w:lang w:val="es-MX" w:eastAsia="en-US"/>
        </w:rPr>
        <w:t xml:space="preserve"> como </w:t>
      </w:r>
      <w:r w:rsidR="00194867" w:rsidRPr="004A1D82">
        <w:rPr>
          <w:rFonts w:ascii="Arial" w:eastAsiaTheme="minorHAnsi" w:hAnsi="Arial" w:cs="Arial"/>
          <w:color w:val="000000" w:themeColor="text1"/>
          <w:sz w:val="22"/>
          <w:szCs w:val="22"/>
          <w:lang w:val="es-MX" w:eastAsia="en-US"/>
        </w:rPr>
        <w:t xml:space="preserve">lo </w:t>
      </w:r>
      <w:r w:rsidRPr="004A1D82">
        <w:rPr>
          <w:rFonts w:ascii="Arial" w:eastAsiaTheme="minorHAnsi" w:hAnsi="Arial" w:cs="Arial"/>
          <w:color w:val="000000" w:themeColor="text1"/>
          <w:sz w:val="22"/>
          <w:szCs w:val="22"/>
          <w:lang w:val="es-MX" w:eastAsia="en-US"/>
        </w:rPr>
        <w:t xml:space="preserve">explica la Sala de Consulta y Servicio Civil del Consejo de Estado: </w:t>
      </w:r>
      <w:r w:rsidRPr="004A1D82">
        <w:rPr>
          <w:rFonts w:ascii="Arial" w:hAnsi="Arial" w:cs="Arial"/>
          <w:color w:val="000000" w:themeColor="text1"/>
          <w:sz w:val="21"/>
          <w:szCs w:val="21"/>
        </w:rPr>
        <w:t>«</w:t>
      </w:r>
      <w:r w:rsidRPr="004A1D82">
        <w:rPr>
          <w:rFonts w:ascii="Arial" w:eastAsiaTheme="minorHAnsi" w:hAnsi="Arial" w:cs="Arial"/>
          <w:color w:val="000000" w:themeColor="text1"/>
          <w:sz w:val="22"/>
          <w:szCs w:val="22"/>
          <w:lang w:val="es-MX" w:eastAsia="en-US"/>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4A1D82">
        <w:rPr>
          <w:rFonts w:ascii="Calibri" w:hAnsi="Calibri" w:cs="Calibri"/>
          <w:color w:val="000000" w:themeColor="text1"/>
        </w:rPr>
        <w:t>»</w:t>
      </w:r>
      <w:r w:rsidRPr="004A1D82">
        <w:rPr>
          <w:rFonts w:ascii="Arial" w:eastAsiaTheme="minorHAnsi" w:hAnsi="Arial" w:cs="Arial"/>
          <w:color w:val="000000" w:themeColor="text1"/>
          <w:sz w:val="22"/>
          <w:szCs w:val="22"/>
          <w:lang w:val="es-MX" w:eastAsia="en-US"/>
        </w:rPr>
        <w:t xml:space="preserve">. </w:t>
      </w:r>
      <w:r w:rsidR="00194867" w:rsidRPr="004A1D82">
        <w:rPr>
          <w:rFonts w:ascii="Arial" w:eastAsiaTheme="minorHAnsi" w:hAnsi="Arial" w:cs="Arial"/>
          <w:color w:val="000000" w:themeColor="text1"/>
          <w:sz w:val="22"/>
          <w:szCs w:val="22"/>
          <w:lang w:val="es-MX" w:eastAsia="en-US"/>
        </w:rPr>
        <w:t xml:space="preserve">En este sentido, la prohibición del artículo 33 solo aplicaría a los convenios solidarios que se celebren de forma directa, durante el término de vigencia de la </w:t>
      </w:r>
      <w:r w:rsidR="004068DE" w:rsidRPr="004A1D82">
        <w:rPr>
          <w:rFonts w:ascii="Arial" w:eastAsiaTheme="minorHAnsi" w:hAnsi="Arial" w:cs="Arial"/>
          <w:color w:val="000000" w:themeColor="text1"/>
          <w:sz w:val="22"/>
          <w:szCs w:val="22"/>
          <w:lang w:val="es-MX" w:eastAsia="en-US"/>
        </w:rPr>
        <w:t>restricción</w:t>
      </w:r>
      <w:r w:rsidR="00194867" w:rsidRPr="004A1D82">
        <w:rPr>
          <w:rFonts w:ascii="Arial" w:eastAsiaTheme="minorHAnsi" w:hAnsi="Arial" w:cs="Arial"/>
          <w:color w:val="000000" w:themeColor="text1"/>
          <w:sz w:val="22"/>
          <w:szCs w:val="22"/>
          <w:lang w:val="es-MX" w:eastAsia="en-US"/>
        </w:rPr>
        <w:t>, salvo que se configure alguna de las excepciones establecidas en el inciso segundo de la misma disposición,</w:t>
      </w:r>
      <w:r w:rsidR="004068DE" w:rsidRPr="004A1D82">
        <w:rPr>
          <w:rFonts w:ascii="Arial" w:eastAsiaTheme="minorHAnsi" w:hAnsi="Arial" w:cs="Arial"/>
          <w:color w:val="000000" w:themeColor="text1"/>
          <w:sz w:val="22"/>
          <w:szCs w:val="22"/>
          <w:lang w:val="es-MX" w:eastAsia="en-US"/>
        </w:rPr>
        <w:t xml:space="preserve"> bajo los cuales sí procedería la contratación directa</w:t>
      </w:r>
      <w:r w:rsidR="00194867" w:rsidRPr="004A1D82">
        <w:rPr>
          <w:rFonts w:ascii="Arial" w:eastAsiaTheme="minorHAnsi" w:hAnsi="Arial" w:cs="Arial"/>
          <w:color w:val="000000" w:themeColor="text1"/>
          <w:sz w:val="22"/>
          <w:szCs w:val="22"/>
          <w:lang w:val="es-MX" w:eastAsia="en-US"/>
        </w:rPr>
        <w:t>.</w:t>
      </w:r>
      <w:r w:rsidR="005B71F9" w:rsidRPr="004A1D82">
        <w:rPr>
          <w:rFonts w:ascii="Arial" w:eastAsiaTheme="minorHAnsi" w:hAnsi="Arial" w:cs="Arial"/>
          <w:color w:val="000000" w:themeColor="text1"/>
          <w:sz w:val="22"/>
          <w:szCs w:val="22"/>
          <w:lang w:val="es-MX" w:eastAsia="en-US"/>
        </w:rPr>
        <w:t xml:space="preserve"> </w:t>
      </w:r>
    </w:p>
    <w:p w14:paraId="7E87A39E" w14:textId="77777777" w:rsidR="00194867" w:rsidRPr="004A1D82" w:rsidRDefault="00194867" w:rsidP="006A2544">
      <w:pPr>
        <w:pStyle w:val="NormalWeb"/>
        <w:shd w:val="clear" w:color="auto" w:fill="FFFFFF"/>
        <w:spacing w:before="0" w:beforeAutospacing="0" w:after="0" w:afterAutospacing="0"/>
        <w:ind w:firstLine="708"/>
        <w:rPr>
          <w:rFonts w:ascii="Arial" w:eastAsiaTheme="minorHAnsi" w:hAnsi="Arial" w:cs="Arial"/>
          <w:color w:val="000000" w:themeColor="text1"/>
          <w:sz w:val="22"/>
          <w:szCs w:val="22"/>
          <w:lang w:val="es-MX" w:eastAsia="en-US"/>
        </w:rPr>
      </w:pPr>
    </w:p>
    <w:p w14:paraId="18530B86" w14:textId="77777777" w:rsidR="00EA03F6" w:rsidRPr="004A1D82" w:rsidRDefault="00EA03F6" w:rsidP="00EA03F6">
      <w:pPr>
        <w:spacing w:line="276" w:lineRule="auto"/>
        <w:jc w:val="both"/>
        <w:rPr>
          <w:rFonts w:ascii="Arial" w:hAnsi="Arial" w:cs="Arial"/>
          <w:b/>
          <w:bCs/>
          <w:color w:val="000000" w:themeColor="text1"/>
          <w:sz w:val="22"/>
          <w:szCs w:val="22"/>
          <w:lang w:val="es-ES_tradnl" w:eastAsia="es-CO"/>
        </w:rPr>
      </w:pPr>
      <w:bookmarkStart w:id="13" w:name="_Hlk75784645"/>
      <w:r w:rsidRPr="004A1D82">
        <w:rPr>
          <w:rFonts w:ascii="Arial" w:eastAsiaTheme="minorHAnsi" w:hAnsi="Arial" w:cs="Arial"/>
          <w:b/>
          <w:bCs/>
          <w:color w:val="000000" w:themeColor="text1"/>
          <w:sz w:val="22"/>
          <w:szCs w:val="22"/>
          <w:lang w:val="es-ES_tradnl" w:eastAsia="en-US"/>
        </w:rPr>
        <w:t xml:space="preserve">2.3. </w:t>
      </w:r>
      <w:r w:rsidRPr="004A1D82">
        <w:rPr>
          <w:rFonts w:ascii="Arial" w:hAnsi="Arial" w:cs="Arial"/>
          <w:b/>
          <w:bCs/>
          <w:color w:val="000000" w:themeColor="text1"/>
          <w:sz w:val="22"/>
          <w:szCs w:val="22"/>
          <w:lang w:val="es-ES_tradnl" w:eastAsia="es-CO"/>
        </w:rPr>
        <w:t xml:space="preserve">Restricciones para la celebración de contratos y convenios interadministrativos en los comicios de cargos de elección popular: prohibición del parágrafo del artículo 38 de la Ley 996 de 2005 </w:t>
      </w:r>
    </w:p>
    <w:p w14:paraId="44EDD4B8" w14:textId="77777777" w:rsidR="00EA03F6" w:rsidRPr="004A1D82" w:rsidRDefault="00EA03F6" w:rsidP="00EA03F6">
      <w:pPr>
        <w:spacing w:line="276" w:lineRule="auto"/>
        <w:jc w:val="both"/>
        <w:rPr>
          <w:rFonts w:ascii="Arial" w:eastAsiaTheme="minorHAnsi" w:hAnsi="Arial" w:cs="Arial"/>
          <w:b/>
          <w:bCs/>
          <w:color w:val="000000" w:themeColor="text1"/>
          <w:sz w:val="22"/>
          <w:szCs w:val="22"/>
          <w:lang w:val="es-ES_tradnl" w:eastAsia="en-US"/>
        </w:rPr>
      </w:pPr>
    </w:p>
    <w:p w14:paraId="730663CB" w14:textId="77777777" w:rsidR="00EA03F6" w:rsidRPr="004A1D82" w:rsidRDefault="00EA03F6" w:rsidP="00EA03F6">
      <w:pPr>
        <w:tabs>
          <w:tab w:val="left" w:pos="426"/>
        </w:tabs>
        <w:spacing w:after="120" w:line="276" w:lineRule="auto"/>
        <w:jc w:val="both"/>
        <w:rPr>
          <w:rFonts w:ascii="Arial" w:eastAsia="Calibri" w:hAnsi="Arial" w:cs="Arial"/>
          <w:bCs/>
          <w:color w:val="000000" w:themeColor="text1"/>
          <w:sz w:val="22"/>
          <w:szCs w:val="22"/>
          <w:lang w:val="es-ES_tradnl" w:eastAsia="en-US"/>
        </w:rPr>
      </w:pPr>
      <w:r w:rsidRPr="004A1D82">
        <w:rPr>
          <w:rFonts w:ascii="Arial" w:eastAsia="Calibri" w:hAnsi="Arial" w:cs="Arial"/>
          <w:bCs/>
          <w:color w:val="000000" w:themeColor="text1"/>
          <w:sz w:val="22"/>
          <w:szCs w:val="22"/>
          <w:lang w:val="es-ES_tradnl" w:eastAsia="en-US"/>
        </w:rPr>
        <w:t xml:space="preserve">El parágrafo del artículo 38 de la Ley 996 de 2005 dispone que «[l]os Gobernadores, </w:t>
      </w:r>
      <w:proofErr w:type="gramStart"/>
      <w:r w:rsidRPr="004A1D82">
        <w:rPr>
          <w:rFonts w:ascii="Arial" w:eastAsia="Calibri" w:hAnsi="Arial" w:cs="Arial"/>
          <w:bCs/>
          <w:color w:val="000000" w:themeColor="text1"/>
          <w:sz w:val="22"/>
          <w:szCs w:val="22"/>
          <w:lang w:val="es-ES_tradnl" w:eastAsia="en-US"/>
        </w:rPr>
        <w:t>Alcaldes</w:t>
      </w:r>
      <w:proofErr w:type="gramEnd"/>
      <w:r w:rsidRPr="004A1D82">
        <w:rPr>
          <w:rFonts w:ascii="Arial" w:eastAsia="Calibri" w:hAnsi="Arial" w:cs="Arial"/>
          <w:bCs/>
          <w:color w:val="000000" w:themeColor="text1"/>
          <w:sz w:val="22"/>
          <w:szCs w:val="22"/>
          <w:lang w:val="es-ES_tradnl" w:eastAsia="en-U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A1D82">
        <w:rPr>
          <w:rFonts w:ascii="Arial" w:hAnsi="Arial" w:cs="Arial"/>
          <w:bCs/>
          <w:iCs/>
          <w:color w:val="000000" w:themeColor="text1"/>
          <w:sz w:val="22"/>
          <w:szCs w:val="22"/>
          <w:lang w:val="es-ES_tradnl"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A1D82">
        <w:rPr>
          <w:rFonts w:ascii="Arial" w:hAnsi="Arial" w:cs="Arial"/>
          <w:color w:val="000000" w:themeColor="text1"/>
          <w:vertAlign w:val="superscript"/>
          <w:lang w:eastAsia="es-ES_tradnl"/>
        </w:rPr>
        <w:footnoteReference w:id="25"/>
      </w:r>
      <w:r w:rsidRPr="004A1D82">
        <w:rPr>
          <w:rFonts w:ascii="Arial" w:hAnsi="Arial" w:cs="Arial"/>
          <w:bCs/>
          <w:iCs/>
          <w:color w:val="000000" w:themeColor="text1"/>
          <w:sz w:val="22"/>
          <w:szCs w:val="22"/>
          <w:lang w:val="es-ES_tradnl" w:eastAsia="x-none"/>
        </w:rPr>
        <w:t>.</w:t>
      </w:r>
      <w:r w:rsidRPr="004A1D82">
        <w:rPr>
          <w:rFonts w:ascii="Arial" w:eastAsiaTheme="minorHAnsi" w:hAnsi="Arial" w:cs="Arial"/>
          <w:color w:val="000000" w:themeColor="text1"/>
          <w:szCs w:val="22"/>
          <w:lang w:val="es-ES_tradnl" w:eastAsia="en-US"/>
        </w:rPr>
        <w:t xml:space="preserve"> </w:t>
      </w:r>
    </w:p>
    <w:p w14:paraId="572F517D" w14:textId="77777777" w:rsidR="00EA03F6" w:rsidRPr="004A1D82" w:rsidRDefault="00EA03F6" w:rsidP="00EA03F6">
      <w:pPr>
        <w:widowControl w:val="0"/>
        <w:autoSpaceDE w:val="0"/>
        <w:autoSpaceDN w:val="0"/>
        <w:spacing w:after="120" w:line="276" w:lineRule="auto"/>
        <w:ind w:firstLine="707"/>
        <w:jc w:val="both"/>
        <w:rPr>
          <w:rFonts w:ascii="Arial" w:eastAsia="Arial" w:hAnsi="Arial" w:cs="Arial"/>
          <w:color w:val="000000" w:themeColor="text1"/>
          <w:sz w:val="22"/>
          <w:szCs w:val="22"/>
          <w:lang w:val="es-ES_tradnl" w:eastAsia="es-ES" w:bidi="es-ES"/>
        </w:rPr>
      </w:pPr>
      <w:r w:rsidRPr="004A1D82">
        <w:rPr>
          <w:rFonts w:ascii="Arial" w:eastAsia="Calibri" w:hAnsi="Arial" w:cs="Arial"/>
          <w:bCs/>
          <w:color w:val="000000" w:themeColor="text1"/>
          <w:sz w:val="22"/>
          <w:szCs w:val="22"/>
          <w:lang w:val="es-ES_tradnl" w:eastAsia="es-ES" w:bidi="es-ES"/>
        </w:rPr>
        <w:t xml:space="preserve">Ahora bien, </w:t>
      </w:r>
      <w:bookmarkStart w:id="14" w:name="_Hlk78820161"/>
      <w:r w:rsidRPr="004A1D82">
        <w:rPr>
          <w:rFonts w:ascii="Arial" w:eastAsia="Calibri" w:hAnsi="Arial" w:cs="Arial"/>
          <w:bCs/>
          <w:color w:val="000000" w:themeColor="text1"/>
          <w:sz w:val="22"/>
          <w:szCs w:val="22"/>
          <w:lang w:val="es-ES_tradnl" w:eastAsia="es-ES" w:bidi="es-ES"/>
        </w:rPr>
        <w:t xml:space="preserve">para determinar el alcance de la prohibición consagrada por la Ley de Garantías Electorales, conviene precisar la tipología de convenios o contratos interadministrativos. </w:t>
      </w:r>
      <w:r w:rsidRPr="004A1D82">
        <w:rPr>
          <w:rFonts w:ascii="Arial" w:eastAsia="Arial" w:hAnsi="Arial" w:cs="Arial"/>
          <w:color w:val="000000" w:themeColor="text1"/>
          <w:sz w:val="22"/>
          <w:szCs w:val="22"/>
          <w:lang w:val="es-ES_tradnl" w:eastAsia="es-ES" w:bidi="es-ES"/>
        </w:rPr>
        <w:t>Aunque la ley no la definió ni desarrolló, el Decreto 1082 de 2015 califica a los convenios o contratos interadministrativos como aquella contratación entre entidades estatales</w:t>
      </w:r>
      <w:r w:rsidRPr="004A1D82">
        <w:rPr>
          <w:rFonts w:ascii="Arial" w:eastAsia="Arial" w:hAnsi="Arial" w:cs="Arial"/>
          <w:color w:val="000000" w:themeColor="text1"/>
          <w:vertAlign w:val="superscript"/>
          <w:lang w:eastAsia="es-ES_tradnl"/>
        </w:rPr>
        <w:footnoteReference w:id="26"/>
      </w:r>
      <w:r w:rsidRPr="004A1D82">
        <w:rPr>
          <w:rFonts w:ascii="Arial" w:eastAsia="Arial" w:hAnsi="Arial" w:cs="Arial"/>
          <w:color w:val="000000" w:themeColor="text1"/>
          <w:sz w:val="22"/>
          <w:szCs w:val="22"/>
          <w:lang w:val="es-ES_tradnl" w:eastAsia="es-ES" w:bidi="es-ES"/>
        </w:rPr>
        <w:t xml:space="preserve">. De acuerdo con lo anterior, el contrato o el convenio interadministrativo es el acuerdo </w:t>
      </w:r>
      <w:r w:rsidRPr="004A1D82">
        <w:rPr>
          <w:rFonts w:ascii="Arial" w:eastAsia="Arial" w:hAnsi="Arial" w:cs="Arial"/>
          <w:color w:val="000000" w:themeColor="text1"/>
          <w:sz w:val="22"/>
          <w:szCs w:val="22"/>
          <w:lang w:val="es-ES_tradnl" w:eastAsia="es-ES" w:bidi="es-ES"/>
        </w:rPr>
        <w:lastRenderedPageBreak/>
        <w:t>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A1D82">
        <w:rPr>
          <w:rFonts w:ascii="Arial" w:eastAsia="Arial" w:hAnsi="Arial" w:cs="Arial"/>
          <w:color w:val="000000" w:themeColor="text1"/>
          <w:spacing w:val="-6"/>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t>estatales.</w:t>
      </w:r>
    </w:p>
    <w:p w14:paraId="4D56143B" w14:textId="77777777" w:rsidR="00EA03F6" w:rsidRPr="004A1D82" w:rsidRDefault="00EA03F6" w:rsidP="00EA03F6">
      <w:pPr>
        <w:widowControl w:val="0"/>
        <w:autoSpaceDE w:val="0"/>
        <w:autoSpaceDN w:val="0"/>
        <w:spacing w:before="117" w:after="120" w:line="276" w:lineRule="auto"/>
        <w:ind w:firstLine="707"/>
        <w:jc w:val="both"/>
        <w:rPr>
          <w:rFonts w:ascii="Arial" w:eastAsia="Arial" w:hAnsi="Arial" w:cs="Arial"/>
          <w:color w:val="000000" w:themeColor="text1"/>
          <w:sz w:val="22"/>
          <w:szCs w:val="22"/>
          <w:lang w:val="es-ES_tradnl" w:eastAsia="es-ES" w:bidi="es-ES"/>
        </w:rPr>
      </w:pPr>
      <w:bookmarkStart w:id="15" w:name="_Hlk78820654"/>
      <w:bookmarkEnd w:id="14"/>
      <w:r w:rsidRPr="004A1D82">
        <w:rPr>
          <w:rFonts w:ascii="Arial" w:eastAsia="Arial" w:hAnsi="Arial" w:cs="Arial"/>
          <w:color w:val="000000" w:themeColor="text1"/>
          <w:sz w:val="22"/>
          <w:szCs w:val="22"/>
          <w:lang w:val="es-ES_tradnl"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5"/>
    <w:p w14:paraId="7A5303E1" w14:textId="77777777" w:rsidR="00EA03F6" w:rsidRPr="004A1D82" w:rsidRDefault="00EA03F6" w:rsidP="00EA03F6">
      <w:pPr>
        <w:widowControl w:val="0"/>
        <w:autoSpaceDE w:val="0"/>
        <w:autoSpaceDN w:val="0"/>
        <w:spacing w:before="121" w:after="120" w:line="276" w:lineRule="auto"/>
        <w:ind w:firstLine="707"/>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Estos tipos contractuales no están determinados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A1D82">
        <w:rPr>
          <w:rFonts w:ascii="Arial" w:eastAsia="Arial" w:hAnsi="Arial" w:cs="Arial"/>
          <w:color w:val="000000" w:themeColor="text1"/>
          <w:vertAlign w:val="superscript"/>
          <w:lang w:eastAsia="es-ES_tradnl"/>
        </w:rPr>
        <w:footnoteReference w:id="27"/>
      </w:r>
      <w:r w:rsidRPr="004A1D82">
        <w:rPr>
          <w:rFonts w:ascii="Arial" w:eastAsia="Arial" w:hAnsi="Arial" w:cs="Arial"/>
          <w:color w:val="000000" w:themeColor="text1"/>
          <w:sz w:val="22"/>
          <w:szCs w:val="22"/>
          <w:lang w:val="es-ES_tradnl" w:eastAsia="es-ES" w:bidi="es-ES"/>
        </w:rPr>
        <w:t>. Nótese que, en este caso, lo que cambia es la modalidad de selección y no la naturaleza de contrato</w:t>
      </w:r>
      <w:r w:rsidRPr="004A1D82">
        <w:rPr>
          <w:rFonts w:ascii="Arial" w:eastAsia="Arial" w:hAnsi="Arial" w:cs="Arial"/>
          <w:color w:val="000000" w:themeColor="text1"/>
          <w:spacing w:val="-18"/>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t>interadministrativo.</w:t>
      </w:r>
    </w:p>
    <w:p w14:paraId="5DC8D6E2" w14:textId="77777777" w:rsidR="00EA03F6" w:rsidRPr="004A1D82" w:rsidRDefault="00EA03F6" w:rsidP="00EA03F6">
      <w:pPr>
        <w:widowControl w:val="0"/>
        <w:autoSpaceDE w:val="0"/>
        <w:autoSpaceDN w:val="0"/>
        <w:spacing w:before="114" w:line="276" w:lineRule="auto"/>
        <w:ind w:firstLine="707"/>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A1D82">
        <w:rPr>
          <w:rFonts w:ascii="Arial" w:eastAsia="Arial" w:hAnsi="Arial" w:cs="Arial"/>
          <w:color w:val="000000" w:themeColor="text1"/>
          <w:spacing w:val="-13"/>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t>que:</w:t>
      </w:r>
    </w:p>
    <w:p w14:paraId="7CE87796" w14:textId="77777777" w:rsidR="00EA03F6" w:rsidRPr="004A1D82" w:rsidRDefault="00EA03F6" w:rsidP="00EA03F6">
      <w:pPr>
        <w:widowControl w:val="0"/>
        <w:autoSpaceDE w:val="0"/>
        <w:autoSpaceDN w:val="0"/>
        <w:spacing w:line="276" w:lineRule="auto"/>
        <w:ind w:firstLine="707"/>
        <w:jc w:val="both"/>
        <w:rPr>
          <w:rFonts w:ascii="Arial" w:eastAsia="Arial" w:hAnsi="Arial" w:cs="Arial"/>
          <w:color w:val="000000" w:themeColor="text1"/>
          <w:sz w:val="22"/>
          <w:szCs w:val="22"/>
          <w:lang w:val="es-ES_tradnl" w:eastAsia="es-ES" w:bidi="es-ES"/>
        </w:rPr>
      </w:pPr>
    </w:p>
    <w:p w14:paraId="7D40AD60" w14:textId="77777777" w:rsidR="00EA03F6" w:rsidRPr="004A1D82" w:rsidRDefault="00EA03F6" w:rsidP="00EA03F6">
      <w:pPr>
        <w:ind w:left="709" w:right="709"/>
        <w:jc w:val="both"/>
        <w:rPr>
          <w:rFonts w:ascii="Arial" w:eastAsiaTheme="minorHAnsi" w:hAnsi="Arial" w:cs="Arial"/>
          <w:color w:val="000000" w:themeColor="text1"/>
          <w:sz w:val="21"/>
          <w:szCs w:val="22"/>
          <w:lang w:val="es-ES_tradnl" w:eastAsia="en-US"/>
        </w:rPr>
      </w:pPr>
      <w:r w:rsidRPr="004A1D82">
        <w:rPr>
          <w:rFonts w:ascii="Arial" w:eastAsiaTheme="minorHAnsi" w:hAnsi="Arial" w:cs="Arial"/>
          <w:color w:val="000000" w:themeColor="text1"/>
          <w:sz w:val="21"/>
          <w:szCs w:val="22"/>
          <w:lang w:val="es-ES_tradnl" w:eastAsia="en-US"/>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4A1D82">
        <w:rPr>
          <w:rFonts w:ascii="Arial" w:eastAsiaTheme="minorHAnsi" w:hAnsi="Arial" w:cs="Arial"/>
          <w:color w:val="000000" w:themeColor="text1"/>
          <w:sz w:val="21"/>
          <w:szCs w:val="22"/>
          <w:lang w:val="es-ES_tradnl" w:eastAsia="en-US"/>
        </w:rPr>
        <w:t>ii</w:t>
      </w:r>
      <w:proofErr w:type="spellEnd"/>
      <w:r w:rsidRPr="004A1D82">
        <w:rPr>
          <w:rFonts w:ascii="Arial" w:eastAsiaTheme="minorHAnsi" w:hAnsi="Arial" w:cs="Arial"/>
          <w:color w:val="000000" w:themeColor="text1"/>
          <w:sz w:val="21"/>
          <w:szCs w:val="22"/>
          <w:lang w:val="es-ES_tradnl" w:eastAsia="en-US"/>
        </w:rPr>
        <w:t>) tienen como fuente la autonomía contractual; (</w:t>
      </w:r>
      <w:proofErr w:type="spellStart"/>
      <w:r w:rsidRPr="004A1D82">
        <w:rPr>
          <w:rFonts w:ascii="Arial" w:eastAsiaTheme="minorHAnsi" w:hAnsi="Arial" w:cs="Arial"/>
          <w:color w:val="000000" w:themeColor="text1"/>
          <w:sz w:val="21"/>
          <w:szCs w:val="22"/>
          <w:lang w:val="es-ES_tradnl" w:eastAsia="en-US"/>
        </w:rPr>
        <w:t>iii</w:t>
      </w:r>
      <w:proofErr w:type="spellEnd"/>
      <w:r w:rsidRPr="004A1D82">
        <w:rPr>
          <w:rFonts w:ascii="Arial" w:eastAsiaTheme="minorHAnsi" w:hAnsi="Arial" w:cs="Arial"/>
          <w:color w:val="000000" w:themeColor="text1"/>
          <w:sz w:val="21"/>
          <w:szCs w:val="22"/>
          <w:lang w:val="es-ES_tradnl" w:eastAsia="en-US"/>
        </w:rPr>
        <w:t>) son contratos nominados puesto que están mencionados en la ley; (</w:t>
      </w:r>
      <w:proofErr w:type="spellStart"/>
      <w:r w:rsidRPr="004A1D82">
        <w:rPr>
          <w:rFonts w:ascii="Arial" w:eastAsiaTheme="minorHAnsi" w:hAnsi="Arial" w:cs="Arial"/>
          <w:color w:val="000000" w:themeColor="text1"/>
          <w:sz w:val="21"/>
          <w:szCs w:val="22"/>
          <w:lang w:val="es-ES_tradnl" w:eastAsia="en-US"/>
        </w:rPr>
        <w:t>iv</w:t>
      </w:r>
      <w:proofErr w:type="spellEnd"/>
      <w:r w:rsidRPr="004A1D82">
        <w:rPr>
          <w:rFonts w:ascii="Arial" w:eastAsiaTheme="minorHAnsi" w:hAnsi="Arial" w:cs="Arial"/>
          <w:color w:val="000000" w:themeColor="text1"/>
          <w:sz w:val="21"/>
          <w:szCs w:val="22"/>
          <w:lang w:val="es-ES_tradnl" w:eastAsia="en-US"/>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4A1D82">
        <w:rPr>
          <w:rFonts w:ascii="Arial" w:eastAsiaTheme="minorHAnsi" w:hAnsi="Arial" w:cs="Arial"/>
          <w:color w:val="000000" w:themeColor="text1"/>
          <w:sz w:val="21"/>
          <w:szCs w:val="22"/>
          <w:lang w:val="es-ES_tradnl" w:eastAsia="en-US"/>
        </w:rPr>
        <w:t>vii</w:t>
      </w:r>
      <w:proofErr w:type="spellEnd"/>
      <w:r w:rsidRPr="004A1D82">
        <w:rPr>
          <w:rFonts w:ascii="Arial" w:eastAsiaTheme="minorHAnsi" w:hAnsi="Arial" w:cs="Arial"/>
          <w:color w:val="000000" w:themeColor="text1"/>
          <w:sz w:val="21"/>
          <w:szCs w:val="22"/>
          <w:lang w:val="es-ES_tradnl" w:eastAsia="en-US"/>
        </w:rPr>
        <w:t>) persiguen  una finalidad común a través de la realización de intereses compartidos entre las entidades vinculadas; (</w:t>
      </w:r>
      <w:proofErr w:type="spellStart"/>
      <w:r w:rsidRPr="004A1D82">
        <w:rPr>
          <w:rFonts w:ascii="Arial" w:eastAsiaTheme="minorHAnsi" w:hAnsi="Arial" w:cs="Arial"/>
          <w:color w:val="000000" w:themeColor="text1"/>
          <w:sz w:val="21"/>
          <w:szCs w:val="22"/>
          <w:lang w:val="es-ES_tradnl" w:eastAsia="en-US"/>
        </w:rPr>
        <w:t>viii</w:t>
      </w:r>
      <w:proofErr w:type="spellEnd"/>
      <w:r w:rsidRPr="004A1D82">
        <w:rPr>
          <w:rFonts w:ascii="Arial" w:eastAsiaTheme="minorHAnsi" w:hAnsi="Arial" w:cs="Arial"/>
          <w:color w:val="000000" w:themeColor="text1"/>
          <w:sz w:val="21"/>
          <w:szCs w:val="22"/>
          <w:lang w:val="es-ES_tradnl" w:eastAsia="en-US"/>
        </w:rPr>
        <w:t>) la acción mediante la cual se deben ventilar las diferencias que sobre el particular surjan es la de controversias contractuales</w:t>
      </w:r>
      <w:r w:rsidRPr="004A1D82">
        <w:rPr>
          <w:rFonts w:ascii="Arial" w:eastAsiaTheme="minorHAnsi" w:hAnsi="Arial" w:cs="Arial"/>
          <w:color w:val="000000" w:themeColor="text1"/>
          <w:vertAlign w:val="superscript"/>
          <w:lang w:eastAsia="es-ES_tradnl"/>
        </w:rPr>
        <w:footnoteReference w:id="28"/>
      </w:r>
      <w:r w:rsidRPr="004A1D82">
        <w:rPr>
          <w:rFonts w:ascii="Arial" w:eastAsiaTheme="minorHAnsi" w:hAnsi="Arial" w:cs="Arial"/>
          <w:color w:val="000000" w:themeColor="text1"/>
          <w:sz w:val="21"/>
          <w:szCs w:val="22"/>
          <w:lang w:val="es-ES_tradnl" w:eastAsia="en-US"/>
        </w:rPr>
        <w:t>.</w:t>
      </w:r>
    </w:p>
    <w:p w14:paraId="35482DB1" w14:textId="77777777" w:rsidR="00EA03F6" w:rsidRPr="004A1D82" w:rsidRDefault="00EA03F6" w:rsidP="00EA03F6">
      <w:pPr>
        <w:spacing w:line="276" w:lineRule="auto"/>
        <w:ind w:left="709" w:right="709"/>
        <w:jc w:val="both"/>
        <w:rPr>
          <w:rFonts w:ascii="Arial" w:eastAsiaTheme="minorHAnsi" w:hAnsi="Arial" w:cs="Arial"/>
          <w:color w:val="000000" w:themeColor="text1"/>
          <w:sz w:val="22"/>
          <w:szCs w:val="22"/>
          <w:lang w:val="es-ES_tradnl" w:eastAsia="en-US"/>
        </w:rPr>
      </w:pPr>
    </w:p>
    <w:p w14:paraId="2D0DB5D8" w14:textId="77777777" w:rsidR="00EA03F6" w:rsidRPr="004A1D82" w:rsidRDefault="00EA03F6" w:rsidP="00EA03F6">
      <w:pPr>
        <w:widowControl w:val="0"/>
        <w:autoSpaceDE w:val="0"/>
        <w:autoSpaceDN w:val="0"/>
        <w:spacing w:after="120" w:line="276" w:lineRule="auto"/>
        <w:ind w:firstLine="707"/>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0205F172" w14:textId="77777777" w:rsidR="00EA03F6" w:rsidRPr="004A1D82" w:rsidRDefault="00EA03F6" w:rsidP="00EA03F6">
      <w:pPr>
        <w:widowControl w:val="0"/>
        <w:autoSpaceDE w:val="0"/>
        <w:autoSpaceDN w:val="0"/>
        <w:spacing w:before="119" w:after="120" w:line="276" w:lineRule="auto"/>
        <w:ind w:firstLine="707"/>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4A1D82">
        <w:rPr>
          <w:rFonts w:ascii="Arial" w:eastAsia="Arial" w:hAnsi="Arial" w:cs="Arial"/>
          <w:color w:val="000000" w:themeColor="text1"/>
          <w:spacing w:val="-3"/>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t>estatales.</w:t>
      </w:r>
    </w:p>
    <w:p w14:paraId="390C4AF3" w14:textId="77777777" w:rsidR="00EA03F6" w:rsidRPr="004A1D82" w:rsidRDefault="00EA03F6" w:rsidP="00EA03F6">
      <w:pPr>
        <w:widowControl w:val="0"/>
        <w:autoSpaceDE w:val="0"/>
        <w:autoSpaceDN w:val="0"/>
        <w:spacing w:before="120" w:after="200" w:line="276" w:lineRule="auto"/>
        <w:ind w:firstLine="709"/>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 xml:space="preserve">Además, es necesario tener en cuenta que para que un contrato o convenio interadministrativo exista, debe cumplir con los siguientes elementos: acuerdo sobre el objeto y </w:t>
      </w:r>
      <w:r w:rsidRPr="004A1D82">
        <w:rPr>
          <w:rFonts w:ascii="Arial" w:eastAsia="Arial" w:hAnsi="Arial" w:cs="Arial"/>
          <w:color w:val="000000" w:themeColor="text1"/>
          <w:sz w:val="22"/>
          <w:szCs w:val="22"/>
          <w:lang w:val="es-ES_tradnl" w:eastAsia="es-ES" w:bidi="es-ES"/>
        </w:rPr>
        <w:lastRenderedPageBreak/>
        <w:t>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A1D82">
        <w:rPr>
          <w:rFonts w:ascii="Arial" w:eastAsia="Arial" w:hAnsi="Arial" w:cs="Arial"/>
          <w:color w:val="000000" w:themeColor="text1"/>
          <w:spacing w:val="-4"/>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t>estatales.</w:t>
      </w:r>
    </w:p>
    <w:p w14:paraId="27A43063" w14:textId="77777777" w:rsidR="00EA03F6" w:rsidRPr="004A1D82" w:rsidRDefault="00EA03F6" w:rsidP="00EA03F6">
      <w:pPr>
        <w:widowControl w:val="0"/>
        <w:autoSpaceDE w:val="0"/>
        <w:autoSpaceDN w:val="0"/>
        <w:spacing w:before="122" w:after="120" w:line="276" w:lineRule="auto"/>
        <w:ind w:firstLine="708"/>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60E103DB" w14:textId="77777777" w:rsidR="00EA03F6" w:rsidRPr="004A1D82" w:rsidRDefault="00EA03F6" w:rsidP="00EA03F6">
      <w:pPr>
        <w:widowControl w:val="0"/>
        <w:autoSpaceDE w:val="0"/>
        <w:autoSpaceDN w:val="0"/>
        <w:spacing w:line="276" w:lineRule="auto"/>
        <w:ind w:firstLine="708"/>
        <w:jc w:val="both"/>
        <w:rPr>
          <w:rFonts w:ascii="Arial" w:eastAsia="Calibri" w:hAnsi="Arial" w:cs="Arial"/>
          <w:bCs/>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A1D82">
        <w:rPr>
          <w:rFonts w:ascii="Arial" w:eastAsia="Arial" w:hAnsi="Arial" w:cs="Arial"/>
          <w:color w:val="000000" w:themeColor="text1"/>
          <w:spacing w:val="-4"/>
          <w:sz w:val="22"/>
          <w:szCs w:val="22"/>
          <w:lang w:val="es-ES_tradnl" w:eastAsia="es-ES" w:bidi="es-ES"/>
        </w:rPr>
        <w:t xml:space="preserve"> </w:t>
      </w:r>
      <w:r w:rsidRPr="004A1D82">
        <w:rPr>
          <w:rFonts w:ascii="Arial" w:eastAsia="Arial" w:hAnsi="Arial" w:cs="Arial"/>
          <w:color w:val="000000" w:themeColor="text1"/>
          <w:sz w:val="22"/>
          <w:szCs w:val="22"/>
          <w:lang w:val="es-ES_tradnl" w:eastAsia="es-ES" w:bidi="es-ES"/>
        </w:rPr>
        <w:t>[…]»</w:t>
      </w:r>
      <w:r w:rsidRPr="004A1D82">
        <w:rPr>
          <w:rFonts w:ascii="Arial" w:eastAsia="Arial" w:hAnsi="Arial" w:cs="Arial"/>
          <w:color w:val="000000" w:themeColor="text1"/>
          <w:vertAlign w:val="superscript"/>
          <w:lang w:eastAsia="es-ES_tradnl"/>
        </w:rPr>
        <w:footnoteReference w:id="29"/>
      </w:r>
      <w:r w:rsidRPr="004A1D82">
        <w:rPr>
          <w:rFonts w:ascii="Arial" w:eastAsia="Arial" w:hAnsi="Arial" w:cs="Arial"/>
          <w:color w:val="000000" w:themeColor="text1"/>
          <w:sz w:val="22"/>
          <w:szCs w:val="22"/>
          <w:lang w:val="es-ES_tradnl" w:eastAsia="es-ES" w:bidi="es-ES"/>
        </w:rPr>
        <w:t>.</w:t>
      </w:r>
      <w:bookmarkStart w:id="16" w:name="_Hlk77171241"/>
    </w:p>
    <w:p w14:paraId="335DC3BF" w14:textId="77777777" w:rsidR="00EA03F6" w:rsidRPr="004A1D82" w:rsidRDefault="00EA03F6" w:rsidP="00EA03F6">
      <w:pPr>
        <w:widowControl w:val="0"/>
        <w:autoSpaceDE w:val="0"/>
        <w:autoSpaceDN w:val="0"/>
        <w:spacing w:before="122" w:line="276" w:lineRule="auto"/>
        <w:ind w:firstLine="709"/>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 en Sentencia del 14 de junio de 2019, el Consejo de Estado expresó:</w:t>
      </w:r>
    </w:p>
    <w:p w14:paraId="2F2B5266" w14:textId="77777777" w:rsidR="00EA03F6" w:rsidRPr="004A1D82" w:rsidRDefault="00EA03F6" w:rsidP="00EA03F6">
      <w:pPr>
        <w:widowControl w:val="0"/>
        <w:autoSpaceDE w:val="0"/>
        <w:autoSpaceDN w:val="0"/>
        <w:spacing w:line="276" w:lineRule="auto"/>
        <w:ind w:firstLine="709"/>
        <w:jc w:val="both"/>
        <w:rPr>
          <w:rFonts w:ascii="Arial" w:eastAsia="Arial" w:hAnsi="Arial" w:cs="Arial"/>
          <w:color w:val="000000" w:themeColor="text1"/>
          <w:sz w:val="22"/>
          <w:szCs w:val="22"/>
          <w:lang w:val="es-ES_tradnl" w:eastAsia="es-ES" w:bidi="es-ES"/>
        </w:rPr>
      </w:pPr>
    </w:p>
    <w:p w14:paraId="2C04EEFE" w14:textId="77777777" w:rsidR="00EA03F6" w:rsidRPr="004A1D82" w:rsidRDefault="00EA03F6" w:rsidP="00EA03F6">
      <w:pPr>
        <w:ind w:left="709"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lastRenderedPageBreak/>
        <w:t>La Sala de Consulta y Servicio Civil</w:t>
      </w:r>
      <w:r w:rsidRPr="004A1D82">
        <w:rPr>
          <w:rFonts w:ascii="Arial" w:eastAsiaTheme="minorHAnsi" w:hAnsi="Arial" w:cs="Arial"/>
          <w:color w:val="000000" w:themeColor="text1"/>
          <w:vertAlign w:val="superscript"/>
          <w:lang w:eastAsia="es-ES_tradnl"/>
        </w:rPr>
        <w:footnoteReference w:id="30"/>
      </w:r>
      <w:r w:rsidRPr="004A1D82">
        <w:rPr>
          <w:rFonts w:ascii="Arial" w:eastAsiaTheme="minorHAnsi" w:hAnsi="Arial" w:cs="Arial"/>
          <w:color w:val="000000" w:themeColor="text1"/>
          <w:sz w:val="21"/>
          <w:szCs w:val="21"/>
          <w:lang w:val="es-ES_tradnl" w:eastAsia="en-US"/>
        </w:rPr>
        <w:t xml:space="preserve"> de esta Corporación se ha referido a los </w:t>
      </w:r>
      <w:r w:rsidRPr="004A1D82">
        <w:rPr>
          <w:rFonts w:ascii="Arial" w:eastAsiaTheme="minorHAnsi" w:hAnsi="Arial" w:cs="Arial"/>
          <w:i/>
          <w:color w:val="000000" w:themeColor="text1"/>
          <w:sz w:val="21"/>
          <w:szCs w:val="21"/>
          <w:lang w:val="es-ES_tradnl" w:eastAsia="en-US"/>
        </w:rPr>
        <w:t>“convenios interadministrativos”</w:t>
      </w:r>
      <w:r w:rsidRPr="004A1D82">
        <w:rPr>
          <w:rFonts w:ascii="Arial" w:eastAsiaTheme="minorHAnsi" w:hAnsi="Arial" w:cs="Arial"/>
          <w:color w:val="000000" w:themeColor="text1"/>
          <w:sz w:val="21"/>
          <w:szCs w:val="21"/>
          <w:lang w:val="es-ES_tradnl" w:eastAsia="en-US"/>
        </w:rPr>
        <w:t xml:space="preserve"> a los cuales alude el artículo 95 de la Ley 489 de 1998, calificándolos de </w:t>
      </w:r>
      <w:r w:rsidRPr="004A1D82">
        <w:rPr>
          <w:rFonts w:ascii="Arial" w:eastAsiaTheme="minorHAnsi" w:hAnsi="Arial" w:cs="Arial"/>
          <w:i/>
          <w:color w:val="000000" w:themeColor="text1"/>
          <w:sz w:val="21"/>
          <w:szCs w:val="21"/>
          <w:lang w:val="es-ES_tradnl" w:eastAsia="en-US"/>
        </w:rPr>
        <w:t xml:space="preserve">“puros” </w:t>
      </w:r>
      <w:r w:rsidRPr="004A1D82">
        <w:rPr>
          <w:rFonts w:ascii="Arial" w:eastAsiaTheme="minorHAnsi" w:hAnsi="Arial" w:cs="Arial"/>
          <w:color w:val="000000" w:themeColor="text1"/>
          <w:sz w:val="21"/>
          <w:szCs w:val="21"/>
          <w:lang w:val="es-ES_tradnl" w:eastAsia="en-US"/>
        </w:rPr>
        <w:t xml:space="preserve">y entendiendo que estos, además de perseguir la finalidad de cooperación antes indicada, no implican intereses contrapuestos ni tampoco se circunscriben a un </w:t>
      </w:r>
      <w:r w:rsidRPr="004A1D82">
        <w:rPr>
          <w:rFonts w:ascii="Arial" w:eastAsiaTheme="minorHAnsi" w:hAnsi="Arial" w:cs="Arial"/>
          <w:i/>
          <w:color w:val="000000" w:themeColor="text1"/>
          <w:sz w:val="21"/>
          <w:szCs w:val="21"/>
          <w:lang w:val="es-ES_tradnl" w:eastAsia="en-US"/>
        </w:rPr>
        <w:t>“intercambio patrimonial”</w:t>
      </w:r>
      <w:r w:rsidRPr="004A1D82">
        <w:rPr>
          <w:rFonts w:ascii="Arial" w:eastAsiaTheme="minorHAnsi" w:hAnsi="Arial" w:cs="Arial"/>
          <w:color w:val="000000" w:themeColor="text1"/>
          <w:sz w:val="21"/>
          <w:szCs w:val="21"/>
          <w:lang w:val="es-ES_tradnl" w:eastAsia="en-US"/>
        </w:rPr>
        <w:t>. Sin perjuicio de lo anterior, en otra oportunidad, la misma Sala</w:t>
      </w:r>
      <w:r w:rsidRPr="004A1D82">
        <w:rPr>
          <w:rFonts w:ascii="Arial" w:eastAsiaTheme="minorHAnsi" w:hAnsi="Arial" w:cs="Arial"/>
          <w:color w:val="000000" w:themeColor="text1"/>
          <w:vertAlign w:val="superscript"/>
          <w:lang w:eastAsia="es-ES_tradnl"/>
        </w:rPr>
        <w:footnoteReference w:id="31"/>
      </w:r>
      <w:r w:rsidRPr="004A1D82">
        <w:rPr>
          <w:rFonts w:ascii="Arial" w:eastAsiaTheme="minorHAnsi" w:hAnsi="Arial" w:cs="Arial"/>
          <w:color w:val="000000" w:themeColor="text1"/>
          <w:sz w:val="21"/>
          <w:szCs w:val="21"/>
          <w:lang w:val="es-ES_tradnl" w:eastAsia="en-US"/>
        </w:rPr>
        <w:t xml:space="preserve"> había indicado que, si bien en dichos convenios no se daba un </w:t>
      </w:r>
      <w:r w:rsidRPr="004A1D82">
        <w:rPr>
          <w:rFonts w:ascii="Arial" w:eastAsiaTheme="minorHAnsi" w:hAnsi="Arial" w:cs="Arial"/>
          <w:i/>
          <w:color w:val="000000" w:themeColor="text1"/>
          <w:sz w:val="21"/>
          <w:szCs w:val="21"/>
          <w:lang w:val="es-ES_tradnl" w:eastAsia="en-US"/>
        </w:rPr>
        <w:t>“verdadero intercambio de bienes o servicios (contrato conmutativo)”</w:t>
      </w:r>
      <w:r w:rsidRPr="004A1D82">
        <w:rPr>
          <w:rFonts w:ascii="Arial" w:eastAsiaTheme="minorHAnsi" w:hAnsi="Arial" w:cs="Arial"/>
          <w:color w:val="000000" w:themeColor="text1"/>
          <w:sz w:val="21"/>
          <w:szCs w:val="21"/>
          <w:lang w:val="es-ES_tradnl" w:eastAsia="en-US"/>
        </w:rPr>
        <w:t>, ello no impedía que se conviniera una remuneración a cargo de alguna(s) entidad(es).</w:t>
      </w:r>
    </w:p>
    <w:p w14:paraId="54515B3E" w14:textId="77777777" w:rsidR="00EA03F6" w:rsidRPr="004A1D82" w:rsidRDefault="00EA03F6" w:rsidP="00EA03F6">
      <w:pPr>
        <w:ind w:left="709" w:right="709"/>
        <w:jc w:val="both"/>
        <w:rPr>
          <w:rFonts w:ascii="Arial" w:eastAsiaTheme="minorHAnsi" w:hAnsi="Arial" w:cs="Arial"/>
          <w:color w:val="000000" w:themeColor="text1"/>
          <w:sz w:val="21"/>
          <w:szCs w:val="21"/>
          <w:lang w:val="es-ES_tradnl" w:eastAsia="en-US"/>
        </w:rPr>
      </w:pPr>
    </w:p>
    <w:p w14:paraId="5026329D" w14:textId="77777777" w:rsidR="00EA03F6" w:rsidRPr="004A1D82" w:rsidRDefault="00EA03F6" w:rsidP="00EA03F6">
      <w:pPr>
        <w:widowControl w:val="0"/>
        <w:autoSpaceDE w:val="0"/>
        <w:autoSpaceDN w:val="0"/>
        <w:ind w:left="709" w:right="709"/>
        <w:jc w:val="both"/>
        <w:rPr>
          <w:rFonts w:ascii="Arial" w:eastAsia="Arial" w:hAnsi="Arial" w:cs="Arial"/>
          <w:color w:val="000000" w:themeColor="text1"/>
          <w:sz w:val="21"/>
          <w:szCs w:val="21"/>
          <w:lang w:val="es-ES_tradnl" w:eastAsia="es-ES" w:bidi="es-ES"/>
        </w:rPr>
      </w:pPr>
      <w:r w:rsidRPr="004A1D82">
        <w:rPr>
          <w:rFonts w:ascii="Arial" w:eastAsia="Arial" w:hAnsi="Arial" w:cs="Arial"/>
          <w:color w:val="000000" w:themeColor="text1"/>
          <w:sz w:val="21"/>
          <w:szCs w:val="21"/>
          <w:lang w:val="es-ES_tradnl" w:eastAsia="es-ES" w:bidi="es-ES"/>
        </w:rPr>
        <w:t xml:space="preserve">Lo expuesto evidencia que, en general, las interpretaciones en torno a los </w:t>
      </w:r>
      <w:r w:rsidRPr="004A1D82">
        <w:rPr>
          <w:rFonts w:ascii="Arial" w:eastAsia="Arial" w:hAnsi="Arial" w:cs="Arial"/>
          <w:i/>
          <w:color w:val="000000" w:themeColor="text1"/>
          <w:sz w:val="21"/>
          <w:szCs w:val="21"/>
          <w:lang w:val="es-ES_tradnl" w:eastAsia="es-ES" w:bidi="es-ES"/>
        </w:rPr>
        <w:t>“convenios interadministrativos”</w:t>
      </w:r>
      <w:r w:rsidRPr="004A1D82">
        <w:rPr>
          <w:rFonts w:ascii="Arial" w:eastAsia="Arial" w:hAnsi="Arial" w:cs="Arial"/>
          <w:color w:val="000000" w:themeColor="text1"/>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4A1D82">
        <w:rPr>
          <w:rFonts w:ascii="Arial" w:eastAsia="Arial" w:hAnsi="Arial" w:cs="Arial"/>
          <w:color w:val="000000" w:themeColor="text1"/>
          <w:vertAlign w:val="superscript"/>
          <w:lang w:eastAsia="es-ES_tradnl"/>
        </w:rPr>
        <w:footnoteReference w:id="32"/>
      </w:r>
      <w:r w:rsidRPr="004A1D82">
        <w:rPr>
          <w:rFonts w:ascii="Arial" w:eastAsia="Arial" w:hAnsi="Arial" w:cs="Arial"/>
          <w:color w:val="000000" w:themeColor="text1"/>
          <w:vertAlign w:val="superscript"/>
          <w:lang w:eastAsia="es-ES_tradnl"/>
        </w:rPr>
        <w:footnoteReference w:id="33"/>
      </w:r>
      <w:r w:rsidRPr="004A1D82">
        <w:rPr>
          <w:rFonts w:ascii="Arial" w:eastAsia="Arial" w:hAnsi="Arial" w:cs="Arial"/>
          <w:color w:val="000000" w:themeColor="text1"/>
          <w:sz w:val="21"/>
          <w:szCs w:val="21"/>
          <w:lang w:val="es-ES_tradnl" w:eastAsia="es-ES" w:bidi="es-ES"/>
        </w:rPr>
        <w:t>.</w:t>
      </w:r>
    </w:p>
    <w:p w14:paraId="647089C0" w14:textId="77777777" w:rsidR="00EA03F6" w:rsidRPr="004A1D82" w:rsidRDefault="00EA03F6" w:rsidP="00EA03F6">
      <w:pPr>
        <w:widowControl w:val="0"/>
        <w:autoSpaceDE w:val="0"/>
        <w:autoSpaceDN w:val="0"/>
        <w:spacing w:line="276" w:lineRule="auto"/>
        <w:jc w:val="both"/>
        <w:rPr>
          <w:rFonts w:ascii="Arial" w:eastAsia="Arial" w:hAnsi="Arial" w:cs="Arial"/>
          <w:color w:val="000000" w:themeColor="text1"/>
          <w:sz w:val="22"/>
          <w:szCs w:val="22"/>
          <w:lang w:val="es-ES_tradnl" w:eastAsia="es-ES" w:bidi="es-ES"/>
        </w:rPr>
      </w:pPr>
    </w:p>
    <w:p w14:paraId="4C6166FC" w14:textId="77777777" w:rsidR="00EA03F6" w:rsidRPr="004A1D82" w:rsidRDefault="00EA03F6" w:rsidP="00EA03F6">
      <w:pPr>
        <w:widowControl w:val="0"/>
        <w:autoSpaceDE w:val="0"/>
        <w:autoSpaceDN w:val="0"/>
        <w:spacing w:after="120" w:line="276" w:lineRule="auto"/>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ab/>
        <w:t>En todo caso, debe reiterarse que el ordenamiento jurídico, en distintas ocasiones utiliza de forma indistinta los conceptos de contrato o convenio para referirse a la misma institución jurídica</w:t>
      </w:r>
      <w:r w:rsidRPr="004A1D82">
        <w:rPr>
          <w:rFonts w:ascii="Arial" w:eastAsia="Arial" w:hAnsi="Arial" w:cs="Arial"/>
          <w:color w:val="000000" w:themeColor="text1"/>
          <w:vertAlign w:val="superscript"/>
          <w:lang w:eastAsia="es-ES_tradnl"/>
        </w:rPr>
        <w:footnoteReference w:id="34"/>
      </w:r>
      <w:r w:rsidRPr="004A1D82">
        <w:rPr>
          <w:rFonts w:ascii="Arial" w:eastAsia="Arial" w:hAnsi="Arial" w:cs="Arial"/>
          <w:color w:val="000000" w:themeColor="text1"/>
          <w:sz w:val="22"/>
          <w:szCs w:val="22"/>
          <w:lang w:val="es-ES_tradnl" w:eastAsia="es-ES" w:bidi="es-ES"/>
        </w:rPr>
        <w:t xml:space="preserve">. Incluso la Corte Constitucional explica la posibilidad de celebrar convenios </w:t>
      </w:r>
      <w:r w:rsidRPr="004A1D82">
        <w:rPr>
          <w:rFonts w:ascii="Arial" w:eastAsia="Arial" w:hAnsi="Arial" w:cs="Arial"/>
          <w:color w:val="000000" w:themeColor="text1"/>
          <w:sz w:val="22"/>
          <w:szCs w:val="22"/>
          <w:lang w:val="es-ES_tradnl" w:eastAsia="es-ES" w:bidi="es-ES"/>
        </w:rPr>
        <w:lastRenderedPageBreak/>
        <w:t>interadministrativos de forma directa, con fundamento en la causal establecida en la Ley 1150 de 2007 respecto a los contratos interadministrativos</w:t>
      </w:r>
      <w:r w:rsidRPr="004A1D82">
        <w:rPr>
          <w:rFonts w:ascii="Arial" w:eastAsia="Arial" w:hAnsi="Arial" w:cs="Arial"/>
          <w:color w:val="000000" w:themeColor="text1"/>
          <w:vertAlign w:val="superscript"/>
          <w:lang w:eastAsia="es-ES_tradnl"/>
        </w:rPr>
        <w:footnoteReference w:id="35"/>
      </w:r>
      <w:r w:rsidRPr="004A1D82">
        <w:rPr>
          <w:rFonts w:ascii="Arial" w:eastAsia="Arial" w:hAnsi="Arial" w:cs="Arial"/>
          <w:color w:val="000000" w:themeColor="text1"/>
          <w:sz w:val="22"/>
          <w:szCs w:val="22"/>
          <w:lang w:val="es-ES_tradnl" w:eastAsia="es-ES" w:bidi="es-ES"/>
        </w:rPr>
        <w:t>.</w:t>
      </w:r>
    </w:p>
    <w:p w14:paraId="4FB8C263" w14:textId="77777777" w:rsidR="00EA03F6" w:rsidRPr="004A1D82" w:rsidRDefault="00EA03F6" w:rsidP="00EA03F6">
      <w:pPr>
        <w:widowControl w:val="0"/>
        <w:autoSpaceDE w:val="0"/>
        <w:autoSpaceDN w:val="0"/>
        <w:spacing w:line="276" w:lineRule="auto"/>
        <w:jc w:val="both"/>
        <w:rPr>
          <w:rFonts w:ascii="Arial" w:eastAsia="Arial" w:hAnsi="Arial" w:cs="Arial"/>
          <w:color w:val="000000" w:themeColor="text1"/>
          <w:sz w:val="22"/>
          <w:szCs w:val="22"/>
          <w:lang w:val="es-ES_tradnl" w:eastAsia="es-ES" w:bidi="es-ES"/>
        </w:rPr>
      </w:pPr>
      <w:r w:rsidRPr="004A1D82">
        <w:rPr>
          <w:rFonts w:ascii="Arial" w:eastAsia="Arial" w:hAnsi="Arial" w:cs="Arial"/>
          <w:color w:val="000000" w:themeColor="text1"/>
          <w:sz w:val="22"/>
          <w:szCs w:val="22"/>
          <w:lang w:val="es-ES_tradnl" w:eastAsia="es-ES" w:bidi="es-ES"/>
        </w:rPr>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lo que resulta relevante en este concepto para la aplicación de la Ley de Garantías. En este sentido, la Circular Externa Única, refiriéndose al parágrafo del artículo 38 de la Ley 996 de 2005, expresa:</w:t>
      </w:r>
    </w:p>
    <w:p w14:paraId="7E063EEE" w14:textId="77777777" w:rsidR="00EA03F6" w:rsidRPr="004A1D82" w:rsidRDefault="00EA03F6" w:rsidP="00EA03F6">
      <w:pPr>
        <w:widowControl w:val="0"/>
        <w:autoSpaceDE w:val="0"/>
        <w:autoSpaceDN w:val="0"/>
        <w:spacing w:line="276" w:lineRule="auto"/>
        <w:jc w:val="both"/>
        <w:rPr>
          <w:rFonts w:ascii="Arial" w:eastAsia="Arial" w:hAnsi="Arial" w:cs="Arial"/>
          <w:color w:val="000000" w:themeColor="text1"/>
          <w:sz w:val="22"/>
          <w:szCs w:val="22"/>
          <w:lang w:val="es-ES_tradnl" w:eastAsia="es-ES" w:bidi="es-ES"/>
        </w:rPr>
      </w:pPr>
    </w:p>
    <w:p w14:paraId="50A9310A" w14:textId="77777777" w:rsidR="00EA03F6" w:rsidRPr="004A1D82" w:rsidRDefault="00EA03F6" w:rsidP="00EA03F6">
      <w:pPr>
        <w:spacing w:after="120"/>
        <w:ind w:left="709"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05CB1AC9" w14:textId="77777777" w:rsidR="00EA03F6" w:rsidRPr="004A1D82" w:rsidRDefault="00EA03F6" w:rsidP="00EA03F6">
      <w:pPr>
        <w:spacing w:after="120"/>
        <w:ind w:left="709" w:right="709"/>
        <w:jc w:val="both"/>
        <w:rPr>
          <w:rFonts w:ascii="Arial" w:eastAsiaTheme="minorHAnsi" w:hAnsi="Arial" w:cs="Arial"/>
          <w:color w:val="000000" w:themeColor="text1"/>
          <w:sz w:val="21"/>
          <w:szCs w:val="21"/>
          <w:lang w:val="es-ES_tradnl" w:eastAsia="en-US"/>
        </w:rPr>
      </w:pPr>
      <w:r w:rsidRPr="004A1D82">
        <w:rPr>
          <w:rFonts w:ascii="Arial" w:eastAsiaTheme="minorHAnsi" w:hAnsi="Arial" w:cs="Arial"/>
          <w:color w:val="000000" w:themeColor="text1"/>
          <w:sz w:val="21"/>
          <w:szCs w:val="21"/>
          <w:lang w:val="es-ES_tradnl"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5BCF55CD" w14:textId="77777777" w:rsidR="00EA03F6" w:rsidRPr="004A1D82" w:rsidRDefault="00EA03F6" w:rsidP="00EA03F6">
      <w:pPr>
        <w:ind w:left="709" w:right="709"/>
        <w:jc w:val="both"/>
        <w:rPr>
          <w:rFonts w:ascii="Arial" w:eastAsiaTheme="minorHAnsi" w:hAnsi="Arial" w:cs="Arial"/>
          <w:color w:val="000000" w:themeColor="text1"/>
          <w:szCs w:val="22"/>
          <w:lang w:val="es-ES_tradnl" w:eastAsia="en-US"/>
        </w:rPr>
      </w:pPr>
      <w:r w:rsidRPr="004A1D82">
        <w:rPr>
          <w:rFonts w:ascii="Arial" w:eastAsiaTheme="minorHAnsi" w:hAnsi="Arial" w:cs="Arial"/>
          <w:color w:val="000000" w:themeColor="text1"/>
          <w:sz w:val="21"/>
          <w:szCs w:val="21"/>
          <w:lang w:val="es-ES_tradnl" w:eastAsia="en-US"/>
        </w:rPr>
        <w:t xml:space="preserve">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w:t>
      </w:r>
      <w:r w:rsidRPr="004A1D82">
        <w:rPr>
          <w:rFonts w:ascii="Arial" w:eastAsiaTheme="minorHAnsi" w:hAnsi="Arial" w:cs="Arial"/>
          <w:color w:val="000000" w:themeColor="text1"/>
          <w:sz w:val="21"/>
          <w:szCs w:val="21"/>
          <w:lang w:val="es-ES_tradnl" w:eastAsia="en-US"/>
        </w:rPr>
        <w:lastRenderedPageBreak/>
        <w:t>artículo 38 de la Ley de Garantías consiste en evitar que los recursos del Estado se ejecuten para lograr apoyos indebidos mediante la suscripción de contratos y/o convenios, que para efectos de la Ley de Garantías tienen la misma connotación y propósito.</w:t>
      </w:r>
    </w:p>
    <w:p w14:paraId="3C1B8FEF" w14:textId="77777777" w:rsidR="00EA03F6" w:rsidRPr="004A1D82" w:rsidRDefault="00EA03F6" w:rsidP="00EA03F6">
      <w:pPr>
        <w:widowControl w:val="0"/>
        <w:autoSpaceDE w:val="0"/>
        <w:autoSpaceDN w:val="0"/>
        <w:spacing w:before="3" w:line="276" w:lineRule="auto"/>
        <w:jc w:val="both"/>
        <w:rPr>
          <w:rFonts w:ascii="Arial" w:eastAsia="Arial" w:hAnsi="Arial" w:cs="Arial"/>
          <w:color w:val="000000" w:themeColor="text1"/>
          <w:sz w:val="22"/>
          <w:szCs w:val="22"/>
          <w:lang w:val="es-ES_tradnl" w:eastAsia="es-ES" w:bidi="es-ES"/>
        </w:rPr>
      </w:pPr>
    </w:p>
    <w:p w14:paraId="086DA456" w14:textId="77777777" w:rsidR="00EA03F6" w:rsidRPr="004A1D82" w:rsidRDefault="00EA03F6" w:rsidP="00EA03F6">
      <w:pPr>
        <w:widowControl w:val="0"/>
        <w:autoSpaceDE w:val="0"/>
        <w:autoSpaceDN w:val="0"/>
        <w:spacing w:after="120" w:line="276" w:lineRule="auto"/>
        <w:jc w:val="both"/>
        <w:rPr>
          <w:rFonts w:ascii="Arial" w:eastAsia="Calibri" w:hAnsi="Arial" w:cs="Arial"/>
          <w:bCs/>
          <w:color w:val="000000" w:themeColor="text1"/>
          <w:sz w:val="22"/>
          <w:szCs w:val="22"/>
          <w:lang w:val="es-ES_tradnl" w:eastAsia="es-ES" w:bidi="es-ES"/>
        </w:rPr>
      </w:pPr>
      <w:r w:rsidRPr="004A1D82">
        <w:rPr>
          <w:rFonts w:ascii="Arial" w:eastAsia="Arial" w:hAnsi="Arial" w:cs="Arial"/>
          <w:color w:val="000000" w:themeColor="text1"/>
          <w:sz w:val="25"/>
          <w:szCs w:val="22"/>
          <w:lang w:val="es-ES_tradnl" w:eastAsia="es-ES" w:bidi="es-ES"/>
        </w:rPr>
        <w:tab/>
      </w:r>
      <w:r w:rsidRPr="004A1D82">
        <w:rPr>
          <w:rFonts w:ascii="Arial" w:eastAsia="Arial" w:hAnsi="Arial" w:cs="Arial"/>
          <w:color w:val="000000" w:themeColor="text1"/>
          <w:sz w:val="22"/>
          <w:szCs w:val="22"/>
          <w:lang w:val="es-ES_tradnl"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asimilaron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16"/>
    </w:p>
    <w:p w14:paraId="714628EB" w14:textId="77777777" w:rsidR="00EA03F6" w:rsidRPr="004A1D82" w:rsidRDefault="00EA03F6" w:rsidP="00EA03F6">
      <w:pPr>
        <w:tabs>
          <w:tab w:val="left" w:pos="426"/>
        </w:tabs>
        <w:spacing w:after="120" w:line="276" w:lineRule="auto"/>
        <w:ind w:firstLine="709"/>
        <w:jc w:val="both"/>
        <w:rPr>
          <w:rFonts w:ascii="Arial" w:hAnsi="Arial" w:cs="Arial"/>
          <w:bCs/>
          <w:color w:val="000000" w:themeColor="text1"/>
          <w:sz w:val="22"/>
          <w:szCs w:val="22"/>
          <w:lang w:val="es-ES_tradnl" w:eastAsia="es-CO"/>
        </w:rPr>
      </w:pPr>
      <w:r w:rsidRPr="004A1D82">
        <w:rPr>
          <w:rFonts w:ascii="Arial" w:hAnsi="Arial" w:cs="Arial"/>
          <w:bCs/>
          <w:color w:val="000000" w:themeColor="text1"/>
          <w:sz w:val="22"/>
          <w:szCs w:val="22"/>
          <w:lang w:val="es-ES_tradnl" w:eastAsia="es-CO"/>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A1D82">
        <w:rPr>
          <w:rFonts w:ascii="Arial" w:hAnsi="Arial" w:cs="Arial"/>
          <w:bCs/>
          <w:i/>
          <w:iCs/>
          <w:color w:val="000000" w:themeColor="text1"/>
          <w:sz w:val="22"/>
          <w:szCs w:val="22"/>
          <w:lang w:val="es-ES_tradnl" w:eastAsia="es-CO"/>
        </w:rPr>
        <w:t>ibidem</w:t>
      </w:r>
      <w:r w:rsidRPr="004A1D82">
        <w:rPr>
          <w:rFonts w:ascii="Arial" w:hAnsi="Arial" w:cs="Arial"/>
          <w:bCs/>
          <w:color w:val="000000" w:themeColor="text1"/>
          <w:sz w:val="22"/>
          <w:szCs w:val="22"/>
          <w:lang w:val="es-ES_tradnl"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4A1D82">
        <w:rPr>
          <w:rFonts w:ascii="Arial" w:hAnsi="Arial" w:cs="Arial"/>
          <w:color w:val="000000" w:themeColor="text1"/>
          <w:vertAlign w:val="superscript"/>
          <w:lang w:eastAsia="es-ES_tradnl"/>
        </w:rPr>
        <w:footnoteReference w:id="36"/>
      </w:r>
      <w:r w:rsidRPr="004A1D82">
        <w:rPr>
          <w:rFonts w:ascii="Arial" w:hAnsi="Arial" w:cs="Arial"/>
          <w:bCs/>
          <w:color w:val="000000" w:themeColor="text1"/>
          <w:sz w:val="22"/>
          <w:szCs w:val="22"/>
          <w:lang w:val="es-ES_tradnl" w:eastAsia="es-CO"/>
        </w:rPr>
        <w:t xml:space="preserve">. </w:t>
      </w:r>
    </w:p>
    <w:p w14:paraId="2B9CA99F" w14:textId="77777777" w:rsidR="00EA03F6" w:rsidRPr="004A1D82" w:rsidRDefault="00EA03F6" w:rsidP="00EA03F6">
      <w:pPr>
        <w:widowControl w:val="0"/>
        <w:autoSpaceDE w:val="0"/>
        <w:autoSpaceDN w:val="0"/>
        <w:spacing w:line="276" w:lineRule="auto"/>
        <w:ind w:firstLine="709"/>
        <w:jc w:val="both"/>
        <w:rPr>
          <w:rFonts w:ascii="Arial" w:eastAsia="Calibri" w:hAnsi="Arial" w:cs="Arial"/>
          <w:color w:val="000000" w:themeColor="text1"/>
          <w:sz w:val="22"/>
          <w:szCs w:val="22"/>
          <w:lang w:val="es-ES_tradnl" w:eastAsia="es-ES" w:bidi="es-ES"/>
        </w:rPr>
      </w:pPr>
      <w:r w:rsidRPr="004A1D82">
        <w:rPr>
          <w:rFonts w:ascii="Arial" w:hAnsi="Arial" w:cs="Arial"/>
          <w:bCs/>
          <w:color w:val="000000" w:themeColor="text1"/>
          <w:sz w:val="22"/>
          <w:szCs w:val="22"/>
          <w:lang w:val="es-ES_tradnl" w:eastAsia="es-CO" w:bidi="es-ES"/>
        </w:rPr>
        <w:t>En todo caso</w:t>
      </w:r>
      <w:bookmarkStart w:id="17" w:name="_Hlk77154098"/>
      <w:r w:rsidRPr="004A1D82">
        <w:rPr>
          <w:rFonts w:ascii="Arial" w:eastAsia="Arial" w:hAnsi="Arial" w:cs="Arial"/>
          <w:color w:val="000000" w:themeColor="text1"/>
          <w:sz w:val="22"/>
          <w:szCs w:val="22"/>
          <w:lang w:val="es-ES_tradnl" w:eastAsia="es-ES" w:bidi="es-ES"/>
        </w:rPr>
        <w:t xml:space="preserve">, es importante resaltar que la Sala de Consulta y Servicio Civil del Consejo de Estado se ha pronunciado en el sentido de que </w:t>
      </w:r>
      <w:bookmarkStart w:id="18" w:name="_Hlk78820889"/>
      <w:r w:rsidRPr="004A1D82">
        <w:rPr>
          <w:rFonts w:ascii="Arial" w:eastAsia="Arial" w:hAnsi="Arial" w:cs="Arial"/>
          <w:color w:val="000000" w:themeColor="text1"/>
          <w:sz w:val="22"/>
          <w:szCs w:val="22"/>
          <w:lang w:val="es-ES_tradnl"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18"/>
      <w:r w:rsidRPr="004A1D82">
        <w:rPr>
          <w:rFonts w:ascii="Arial" w:eastAsia="Arial" w:hAnsi="Arial" w:cs="Arial"/>
          <w:color w:val="000000" w:themeColor="text1"/>
          <w:vertAlign w:val="superscript"/>
          <w:lang w:eastAsia="es-ES_tradnl"/>
        </w:rPr>
        <w:footnoteReference w:id="37"/>
      </w:r>
      <w:r w:rsidRPr="004A1D82">
        <w:rPr>
          <w:rFonts w:ascii="Arial" w:eastAsia="Calibri" w:hAnsi="Arial" w:cs="Arial"/>
          <w:color w:val="000000" w:themeColor="text1"/>
          <w:sz w:val="22"/>
          <w:szCs w:val="22"/>
          <w:lang w:val="es-ES_tradnl" w:eastAsia="es-ES" w:bidi="es-ES"/>
        </w:rPr>
        <w:t>.</w:t>
      </w:r>
      <w:bookmarkEnd w:id="17"/>
    </w:p>
    <w:bookmarkEnd w:id="13"/>
    <w:p w14:paraId="7A4E8C33" w14:textId="019292D7" w:rsidR="000319A6" w:rsidRPr="004A1D82" w:rsidRDefault="000319A6" w:rsidP="00532B96">
      <w:pPr>
        <w:tabs>
          <w:tab w:val="left" w:pos="426"/>
        </w:tabs>
        <w:jc w:val="both"/>
        <w:rPr>
          <w:rFonts w:ascii="Arial" w:eastAsia="Calibri" w:hAnsi="Arial" w:cs="Arial"/>
          <w:b/>
          <w:bCs/>
          <w:color w:val="000000" w:themeColor="text1"/>
          <w:sz w:val="22"/>
        </w:rPr>
      </w:pPr>
    </w:p>
    <w:p w14:paraId="3EA1DB63" w14:textId="6A2FE97C" w:rsidR="00E54365" w:rsidRPr="004A1D82" w:rsidRDefault="00E54365" w:rsidP="006C2B00">
      <w:pPr>
        <w:rPr>
          <w:rFonts w:ascii="Arial" w:eastAsia="Calibri" w:hAnsi="Arial" w:cs="Arial"/>
          <w:b/>
          <w:noProof/>
          <w:color w:val="000000" w:themeColor="text1"/>
          <w:sz w:val="22"/>
        </w:rPr>
      </w:pPr>
      <w:r w:rsidRPr="004A1D82">
        <w:rPr>
          <w:rFonts w:ascii="Arial" w:eastAsia="Calibri" w:hAnsi="Arial" w:cs="Arial"/>
          <w:b/>
          <w:noProof/>
          <w:color w:val="000000" w:themeColor="text1"/>
          <w:sz w:val="22"/>
        </w:rPr>
        <w:t xml:space="preserve">3. Respuesta </w:t>
      </w:r>
    </w:p>
    <w:p w14:paraId="3A415E19" w14:textId="2AD3AB43" w:rsidR="00853AE0" w:rsidRPr="004A1D82" w:rsidRDefault="00853AE0" w:rsidP="00D350DE">
      <w:pPr>
        <w:ind w:right="760"/>
        <w:rPr>
          <w:rFonts w:ascii="Arial" w:hAnsi="Arial" w:cs="Arial"/>
          <w:color w:val="000000" w:themeColor="text1"/>
          <w:sz w:val="22"/>
        </w:rPr>
      </w:pPr>
    </w:p>
    <w:p w14:paraId="529177C2" w14:textId="170D2D80" w:rsidR="00C96C1B" w:rsidRPr="004A1D82" w:rsidRDefault="00C96C1B" w:rsidP="00C96C1B">
      <w:pPr>
        <w:ind w:left="709" w:right="786"/>
        <w:jc w:val="both"/>
        <w:rPr>
          <w:rFonts w:ascii="Arial" w:hAnsi="Arial" w:cs="Arial"/>
          <w:color w:val="000000" w:themeColor="text1"/>
          <w:sz w:val="21"/>
          <w:szCs w:val="21"/>
        </w:rPr>
      </w:pPr>
      <w:r w:rsidRPr="004A1D82">
        <w:rPr>
          <w:rFonts w:ascii="Arial" w:hAnsi="Arial" w:cs="Arial"/>
          <w:color w:val="000000" w:themeColor="text1"/>
          <w:sz w:val="21"/>
          <w:szCs w:val="21"/>
        </w:rPr>
        <w:lastRenderedPageBreak/>
        <w:t>«[…]</w:t>
      </w:r>
      <w:r w:rsidR="008A1C35" w:rsidRPr="004A1D82">
        <w:rPr>
          <w:rFonts w:ascii="Arial" w:hAnsi="Arial" w:cs="Arial"/>
          <w:color w:val="000000" w:themeColor="text1"/>
          <w:sz w:val="21"/>
          <w:szCs w:val="21"/>
        </w:rPr>
        <w:t xml:space="preserve"> ¿SE PUEDEN CELEBRAR CONVENIOS SOLIDARIOS ENTRE UN MUNICIPIO Y LAS JUNTAS DE ACCION COMUNAL EN LEY DE GARANTIAS? FAVOR INDICAR NORMATIVIDAD PORQUE HAY VACIOS JURIDICOS</w:t>
      </w:r>
      <w:r w:rsidR="008A1C35" w:rsidRPr="004A1D82">
        <w:rPr>
          <w:rFonts w:ascii="Calibri" w:hAnsi="Calibri" w:cs="Calibri"/>
          <w:color w:val="000000" w:themeColor="text1"/>
        </w:rPr>
        <w:t>»</w:t>
      </w:r>
    </w:p>
    <w:p w14:paraId="3893929B" w14:textId="1A32452C" w:rsidR="00C24D7E" w:rsidRPr="004A1D82" w:rsidRDefault="00C24D7E" w:rsidP="005F788C">
      <w:pPr>
        <w:spacing w:after="120" w:line="276" w:lineRule="auto"/>
        <w:jc w:val="both"/>
        <w:rPr>
          <w:rFonts w:ascii="Arial" w:eastAsia="Calibri" w:hAnsi="Arial" w:cs="Arial"/>
          <w:color w:val="000000" w:themeColor="text1"/>
          <w:sz w:val="22"/>
        </w:rPr>
      </w:pPr>
    </w:p>
    <w:p w14:paraId="736E491B" w14:textId="6854A487" w:rsidR="005B71F9" w:rsidRPr="004A1D82" w:rsidRDefault="005B71F9" w:rsidP="004A1D82">
      <w:pPr>
        <w:spacing w:before="120" w:after="120" w:line="276" w:lineRule="auto"/>
        <w:jc w:val="both"/>
        <w:rPr>
          <w:rFonts w:ascii="Arial" w:eastAsia="Calibri" w:hAnsi="Arial" w:cs="Arial"/>
          <w:color w:val="000000" w:themeColor="text1"/>
          <w:sz w:val="22"/>
          <w:szCs w:val="22"/>
          <w:lang w:val="es-ES" w:eastAsia="en-US"/>
        </w:rPr>
      </w:pPr>
      <w:r w:rsidRPr="004A1D82">
        <w:rPr>
          <w:rFonts w:ascii="Arial" w:hAnsi="Arial" w:cs="Arial"/>
          <w:bCs/>
          <w:color w:val="000000" w:themeColor="text1"/>
          <w:sz w:val="22"/>
          <w:szCs w:val="22"/>
          <w:lang w:val="es-ES_tradnl" w:eastAsia="x-none"/>
        </w:rPr>
        <w:t>De acuerdo con las consideraciones expuestas,</w:t>
      </w:r>
      <w:r w:rsidRPr="004A1D82">
        <w:rPr>
          <w:rFonts w:ascii="Arial" w:eastAsia="Calibri" w:hAnsi="Arial" w:cs="Arial"/>
          <w:color w:val="000000" w:themeColor="text1"/>
          <w:sz w:val="22"/>
          <w:szCs w:val="22"/>
          <w:lang w:val="es-ES" w:eastAsia="en-US"/>
        </w:rPr>
        <w:t xml:space="preserve"> se reitera que el artículo 33 de la Ley 996 de 2005 prohíbe la contratación directa «Durante los cuatro (4) meses anteriores a la elección presidencial y hasta la realización de la elección en la segunda vuelta». Esta norma </w:t>
      </w:r>
      <w:r w:rsidR="00FB472F" w:rsidRPr="004A1D82">
        <w:rPr>
          <w:rFonts w:ascii="Arial" w:eastAsia="Calibri" w:hAnsi="Arial" w:cs="Arial"/>
          <w:color w:val="000000" w:themeColor="text1"/>
          <w:sz w:val="22"/>
          <w:szCs w:val="22"/>
          <w:lang w:val="es-ES" w:eastAsia="en-US"/>
        </w:rPr>
        <w:t xml:space="preserve">–en su inciso segundo– </w:t>
      </w:r>
      <w:r w:rsidRPr="004A1D82">
        <w:rPr>
          <w:rFonts w:ascii="Arial" w:eastAsia="Calibri" w:hAnsi="Arial" w:cs="Arial"/>
          <w:color w:val="000000" w:themeColor="text1"/>
          <w:sz w:val="22"/>
          <w:szCs w:val="22"/>
          <w:lang w:val="es-ES" w:eastAsia="en-US"/>
        </w:rPr>
        <w:t xml:space="preserve">consagra excepciones taxativas a dicha prohibición, dentro de las cuales no está prevista la posibilidad de que se celebren </w:t>
      </w:r>
      <w:r w:rsidRPr="004A1D82">
        <w:rPr>
          <w:rFonts w:ascii="Arial" w:eastAsia="Calibri" w:hAnsi="Arial" w:cs="Arial"/>
          <w:i/>
          <w:iCs/>
          <w:color w:val="000000" w:themeColor="text1"/>
          <w:sz w:val="22"/>
          <w:szCs w:val="22"/>
          <w:lang w:val="es-ES" w:eastAsia="en-US"/>
        </w:rPr>
        <w:t>directamente</w:t>
      </w:r>
      <w:r w:rsidRPr="004A1D82">
        <w:rPr>
          <w:rFonts w:ascii="Arial" w:eastAsia="Calibri" w:hAnsi="Arial" w:cs="Arial"/>
          <w:color w:val="000000" w:themeColor="text1"/>
          <w:sz w:val="22"/>
          <w:szCs w:val="22"/>
          <w:lang w:val="es-ES" w:eastAsia="en-US"/>
        </w:rPr>
        <w:t xml:space="preserve"> convenios solidarios por parte de las entidades territoriales. Por tanto, como lo señala la Circular Conjunta 100-006 de 2021 del Departamento Administrativo de la Presidencia de la República y del Departamento Administrativo de la Función Pública</w:t>
      </w:r>
      <w:r w:rsidRPr="004A1D82">
        <w:rPr>
          <w:rFonts w:ascii="Arial" w:eastAsia="Calibri" w:hAnsi="Arial" w:cs="Arial"/>
          <w:color w:val="000000" w:themeColor="text1"/>
          <w:vertAlign w:val="superscript"/>
          <w:lang w:eastAsia="es-ES_tradnl"/>
        </w:rPr>
        <w:footnoteReference w:id="38"/>
      </w:r>
      <w:r w:rsidRPr="004A1D82">
        <w:rPr>
          <w:rFonts w:ascii="Arial" w:eastAsia="Calibri" w:hAnsi="Arial" w:cs="Arial"/>
          <w:color w:val="000000" w:themeColor="text1"/>
          <w:sz w:val="22"/>
          <w:szCs w:val="22"/>
          <w:lang w:val="es-ES" w:eastAsia="en-US"/>
        </w:rPr>
        <w:t xml:space="preserve">, el artículo 33 de la Ley de Garantías Electorales «restringe la contratación directa por parte de todos los entes del Estado desde el día 29 de enero de 2022 y hasta la elección en segunda vuelta, si fuere el caso». Dentro de esta restricción queda contemplada la prohibición de celebrar </w:t>
      </w:r>
      <w:r w:rsidRPr="004A1D82">
        <w:rPr>
          <w:rFonts w:ascii="Arial" w:eastAsia="Calibri" w:hAnsi="Arial" w:cs="Arial"/>
          <w:i/>
          <w:iCs/>
          <w:color w:val="000000" w:themeColor="text1"/>
          <w:sz w:val="22"/>
          <w:szCs w:val="22"/>
          <w:lang w:val="es-ES" w:eastAsia="en-US"/>
        </w:rPr>
        <w:t>directamente</w:t>
      </w:r>
      <w:r w:rsidRPr="004A1D82">
        <w:rPr>
          <w:rFonts w:ascii="Arial" w:eastAsia="Calibri" w:hAnsi="Arial" w:cs="Arial"/>
          <w:color w:val="000000" w:themeColor="text1"/>
          <w:sz w:val="22"/>
          <w:szCs w:val="22"/>
          <w:lang w:val="es-ES" w:eastAsia="en-US"/>
        </w:rPr>
        <w:t xml:space="preserve"> convenios solidarios. Lo anterior, salvo que en el caso concreto se presente alguna de las excepciones establecidas a la prohibición consagrada en el inciso segundo del artículo 33 de la Ley de Garantías Electorales.</w:t>
      </w:r>
    </w:p>
    <w:p w14:paraId="68F78984" w14:textId="5C416A8E" w:rsidR="005B71F9" w:rsidRPr="004A1D82" w:rsidRDefault="005B71F9" w:rsidP="004A1D82">
      <w:pPr>
        <w:pStyle w:val="NormalWeb"/>
        <w:shd w:val="clear" w:color="auto" w:fill="FFFFFF"/>
        <w:spacing w:before="0" w:beforeAutospacing="0" w:after="120" w:afterAutospacing="0"/>
        <w:ind w:firstLine="709"/>
        <w:rPr>
          <w:rFonts w:ascii="Arial" w:eastAsiaTheme="minorHAnsi" w:hAnsi="Arial" w:cs="Arial"/>
          <w:color w:val="000000" w:themeColor="text1"/>
          <w:sz w:val="22"/>
          <w:szCs w:val="22"/>
          <w:lang w:val="es-MX" w:eastAsia="en-US"/>
        </w:rPr>
      </w:pPr>
      <w:r w:rsidRPr="004A1D82">
        <w:rPr>
          <w:rFonts w:ascii="Arial" w:hAnsi="Arial" w:cs="Arial"/>
          <w:bCs/>
          <w:color w:val="000000" w:themeColor="text1"/>
          <w:sz w:val="22"/>
          <w:lang w:val="es-ES_tradnl" w:eastAsia="es-ES_tradnl"/>
        </w:rPr>
        <w:t>Sin perjuicio de lo anterior,</w:t>
      </w:r>
      <w:r w:rsidRPr="004A1D82">
        <w:rPr>
          <w:rFonts w:ascii="Arial" w:eastAsia="Calibri" w:hAnsi="Arial" w:cs="Arial"/>
          <w:color w:val="000000" w:themeColor="text1"/>
          <w:sz w:val="22"/>
          <w:lang w:val="es-ES"/>
        </w:rPr>
        <w:t xml:space="preserve"> dado que lo prohibido es la contratación </w:t>
      </w:r>
      <w:r w:rsidRPr="004A1D82">
        <w:rPr>
          <w:rFonts w:ascii="Arial" w:eastAsia="Calibri" w:hAnsi="Arial" w:cs="Arial"/>
          <w:i/>
          <w:iCs/>
          <w:color w:val="000000" w:themeColor="text1"/>
          <w:sz w:val="22"/>
          <w:lang w:val="es-ES"/>
        </w:rPr>
        <w:t xml:space="preserve">directa, </w:t>
      </w:r>
      <w:r w:rsidRPr="004A1D82">
        <w:rPr>
          <w:rFonts w:ascii="Arial" w:eastAsia="Calibri" w:hAnsi="Arial" w:cs="Arial"/>
          <w:color w:val="000000" w:themeColor="text1"/>
          <w:sz w:val="22"/>
          <w:lang w:val="es-ES"/>
        </w:rPr>
        <w:t xml:space="preserve">en cada caso particular debe analizarse la forma en que se celebrará el convenio solidario, de acuerdo con el marco jurídico que los regula, bajo la premisa de que </w:t>
      </w:r>
      <w:r w:rsidRPr="004A1D82">
        <w:rPr>
          <w:rFonts w:ascii="Arial" w:eastAsia="Calibri" w:hAnsi="Arial" w:cs="Arial"/>
          <w:i/>
          <w:iCs/>
          <w:color w:val="000000" w:themeColor="text1"/>
          <w:sz w:val="22"/>
          <w:lang w:val="es-ES"/>
        </w:rPr>
        <w:t xml:space="preserve">las entidades estatales </w:t>
      </w:r>
      <w:r w:rsidRPr="004A1D82">
        <w:rPr>
          <w:rFonts w:ascii="Arial" w:eastAsiaTheme="minorHAnsi" w:hAnsi="Arial" w:cs="Arial"/>
          <w:i/>
          <w:iCs/>
          <w:color w:val="000000" w:themeColor="text1"/>
          <w:sz w:val="22"/>
          <w:szCs w:val="22"/>
          <w:lang w:val="es-MX" w:eastAsia="en-US"/>
        </w:rPr>
        <w:t>podrán suscribir convenios solidarios durante la vigencia de la prohibición analizada, en tanto se de aplicación a un proceso competitivo para la selección del contratista</w:t>
      </w:r>
      <w:r w:rsidRPr="004A1D82">
        <w:rPr>
          <w:rFonts w:ascii="Arial" w:eastAsiaTheme="minorHAnsi" w:hAnsi="Arial" w:cs="Arial"/>
          <w:color w:val="000000" w:themeColor="text1"/>
          <w:sz w:val="22"/>
          <w:szCs w:val="22"/>
          <w:lang w:val="es-MX" w:eastAsia="en-US"/>
        </w:rPr>
        <w:t xml:space="preserve">, esto es, en el que exista convocatoria pública y posibilidad de participación de pluralidad de oferentes. Esto, debido a que la prohibición de contratación directa del artículo 33 de la Ley de Garantías Electorales únicamente aplica a los procedimientos «no competitivos», que son los que implican una contratación directa. En efecto, como lo explica la Sala de Consulta y Servicio Civil del Consejo de Estado: </w:t>
      </w:r>
      <w:r w:rsidRPr="004A1D82">
        <w:rPr>
          <w:rFonts w:ascii="Arial" w:hAnsi="Arial" w:cs="Arial"/>
          <w:color w:val="000000" w:themeColor="text1"/>
          <w:sz w:val="21"/>
          <w:szCs w:val="21"/>
        </w:rPr>
        <w:t>«</w:t>
      </w:r>
      <w:r w:rsidRPr="004A1D82">
        <w:rPr>
          <w:rFonts w:ascii="Arial" w:eastAsiaTheme="minorHAnsi" w:hAnsi="Arial" w:cs="Arial"/>
          <w:color w:val="000000" w:themeColor="text1"/>
          <w:sz w:val="22"/>
          <w:szCs w:val="22"/>
          <w:lang w:val="es-MX" w:eastAsia="en-US"/>
        </w:rPr>
        <w:t>Para efectos de la “Ley de Garantías Electorales”, y en armonía con las normas que regulan la contratación pública en Colombia, debe entenderse por “contratación directa” cualquier sistema de selección de contratistas en el que no exista convocatoria pública, ni sea posible la participación de una pluralidad de oferentes, independientemente del régimen de contratación que se aplique</w:t>
      </w:r>
      <w:r w:rsidRPr="004A1D82">
        <w:rPr>
          <w:rFonts w:ascii="Calibri" w:hAnsi="Calibri" w:cs="Calibri"/>
          <w:color w:val="000000" w:themeColor="text1"/>
        </w:rPr>
        <w:t>»</w:t>
      </w:r>
      <w:r w:rsidRPr="004A1D82">
        <w:rPr>
          <w:rFonts w:ascii="Arial" w:eastAsiaTheme="minorHAnsi" w:hAnsi="Arial" w:cs="Arial"/>
          <w:color w:val="000000" w:themeColor="text1"/>
          <w:sz w:val="22"/>
          <w:szCs w:val="22"/>
          <w:lang w:val="es-MX" w:eastAsia="en-US"/>
        </w:rPr>
        <w:t xml:space="preserve">. </w:t>
      </w:r>
      <w:r w:rsidR="003B1735" w:rsidRPr="004A1D82">
        <w:rPr>
          <w:rFonts w:ascii="Arial" w:eastAsiaTheme="minorHAnsi" w:hAnsi="Arial" w:cs="Arial"/>
          <w:color w:val="000000" w:themeColor="text1"/>
          <w:sz w:val="22"/>
          <w:szCs w:val="22"/>
          <w:lang w:val="es-MX" w:eastAsia="en-US"/>
        </w:rPr>
        <w:t>Así las cosas</w:t>
      </w:r>
      <w:r w:rsidRPr="004A1D82">
        <w:rPr>
          <w:rFonts w:ascii="Arial" w:eastAsiaTheme="minorHAnsi" w:hAnsi="Arial" w:cs="Arial"/>
          <w:color w:val="000000" w:themeColor="text1"/>
          <w:sz w:val="22"/>
          <w:szCs w:val="22"/>
          <w:lang w:val="es-MX" w:eastAsia="en-US"/>
        </w:rPr>
        <w:t xml:space="preserve">, la prohibición del artículo 33 solo aplicaría a los convenios solidarios que se celebren de forma </w:t>
      </w:r>
      <w:r w:rsidRPr="004A1D82">
        <w:rPr>
          <w:rFonts w:ascii="Arial" w:eastAsiaTheme="minorHAnsi" w:hAnsi="Arial" w:cs="Arial"/>
          <w:i/>
          <w:iCs/>
          <w:color w:val="000000" w:themeColor="text1"/>
          <w:sz w:val="22"/>
          <w:szCs w:val="22"/>
          <w:lang w:val="es-MX" w:eastAsia="en-US"/>
        </w:rPr>
        <w:t>directa</w:t>
      </w:r>
      <w:r w:rsidRPr="004A1D82">
        <w:rPr>
          <w:rFonts w:ascii="Arial" w:eastAsiaTheme="minorHAnsi" w:hAnsi="Arial" w:cs="Arial"/>
          <w:color w:val="000000" w:themeColor="text1"/>
          <w:sz w:val="22"/>
          <w:szCs w:val="22"/>
          <w:lang w:val="es-MX" w:eastAsia="en-US"/>
        </w:rPr>
        <w:t xml:space="preserve">, durante el término de vigencia de la restricción, salvo que se configure alguna de las excepciones establecidas en el inciso segundo de la misma disposición, bajo los cuales sí procedería la contratación directa. </w:t>
      </w:r>
    </w:p>
    <w:p w14:paraId="1594787C" w14:textId="09994842" w:rsidR="005B71F9" w:rsidRPr="004A1D82" w:rsidRDefault="00FB472F" w:rsidP="004A1D82">
      <w:pPr>
        <w:spacing w:after="120" w:line="276" w:lineRule="auto"/>
        <w:ind w:firstLine="708"/>
        <w:jc w:val="both"/>
        <w:rPr>
          <w:rFonts w:ascii="Arial" w:eastAsia="Calibri" w:hAnsi="Arial" w:cs="Arial"/>
          <w:color w:val="000000" w:themeColor="text1"/>
          <w:sz w:val="22"/>
          <w:lang w:val="es-MX"/>
        </w:rPr>
      </w:pPr>
      <w:r w:rsidRPr="004A1D82">
        <w:rPr>
          <w:rFonts w:ascii="Arial" w:eastAsia="Calibri" w:hAnsi="Arial" w:cs="Arial"/>
          <w:color w:val="000000" w:themeColor="text1"/>
          <w:sz w:val="22"/>
          <w:szCs w:val="22"/>
          <w:lang w:val="es-ES" w:eastAsia="en-US"/>
        </w:rPr>
        <w:lastRenderedPageBreak/>
        <w:t>De otro lado</w:t>
      </w:r>
      <w:r w:rsidR="00891C12" w:rsidRPr="004A1D82">
        <w:rPr>
          <w:rFonts w:ascii="Arial" w:eastAsia="Calibri" w:hAnsi="Arial" w:cs="Arial"/>
          <w:color w:val="000000" w:themeColor="text1"/>
          <w:sz w:val="22"/>
          <w:szCs w:val="22"/>
          <w:lang w:val="es-ES" w:eastAsia="en-US"/>
        </w:rPr>
        <w:t xml:space="preserve">, </w:t>
      </w:r>
      <w:r w:rsidR="00891C12" w:rsidRPr="004A1D82">
        <w:rPr>
          <w:rFonts w:ascii="Arial" w:hAnsi="Arial" w:cs="Arial"/>
          <w:bCs/>
          <w:color w:val="000000" w:themeColor="text1"/>
          <w:sz w:val="22"/>
          <w:szCs w:val="22"/>
          <w:lang w:val="es-ES_tradnl"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dentro de los cuatro (4) meses anteriores a las elecciones.  En este sentido, se aclara que lo que define los convenios interadministrativos y, por tanto, el alcance de la prohibición se refiere a los contratos o convenios celebrados entre entidades públicas, por lo que si una o ambas partes de la relación contractual es una entidad de aquellas </w:t>
      </w:r>
      <w:r w:rsidRPr="004A1D82">
        <w:rPr>
          <w:rFonts w:ascii="Arial" w:hAnsi="Arial" w:cs="Arial"/>
          <w:bCs/>
          <w:color w:val="000000" w:themeColor="text1"/>
          <w:sz w:val="22"/>
          <w:szCs w:val="22"/>
          <w:lang w:val="es-ES_tradnl" w:eastAsia="es-CO"/>
        </w:rPr>
        <w:t>incluidas</w:t>
      </w:r>
      <w:r w:rsidR="00891C12" w:rsidRPr="004A1D82">
        <w:rPr>
          <w:rFonts w:ascii="Arial" w:hAnsi="Arial" w:cs="Arial"/>
          <w:bCs/>
          <w:color w:val="000000" w:themeColor="text1"/>
          <w:sz w:val="22"/>
          <w:szCs w:val="22"/>
          <w:lang w:val="es-ES_tradnl" w:eastAsia="es-CO"/>
        </w:rPr>
        <w:t xml:space="preserve"> en el parágrafo </w:t>
      </w:r>
      <w:r w:rsidR="00891C12" w:rsidRPr="004A1D82">
        <w:rPr>
          <w:rFonts w:ascii="Arial" w:hAnsi="Arial" w:cs="Arial"/>
          <w:bCs/>
          <w:i/>
          <w:iCs/>
          <w:color w:val="000000" w:themeColor="text1"/>
          <w:sz w:val="22"/>
          <w:szCs w:val="22"/>
          <w:lang w:val="es-ES_tradnl" w:eastAsia="es-CO"/>
        </w:rPr>
        <w:t>ibidem</w:t>
      </w:r>
      <w:r w:rsidR="00891C12" w:rsidRPr="004A1D82">
        <w:rPr>
          <w:rFonts w:ascii="Arial" w:hAnsi="Arial" w:cs="Arial"/>
          <w:bCs/>
          <w:color w:val="000000" w:themeColor="text1"/>
          <w:sz w:val="22"/>
          <w:szCs w:val="22"/>
          <w:lang w:val="es-ES_tradnl" w:eastAsia="es-CO"/>
        </w:rPr>
        <w:t>, no podrá celebrar tales convenios o contratos interadministrativos durante la aplicación de la ley de garantías, toda vez que la citada disposición hace referencia a dicha tipología contractual sin que el legislador hubiere contemplado excepción alguna frente a la modalidad de selección o naturaleza de su objeto. No obstante, se reitera que la prohibición del parágrafo del artículo 38 solo aplica a los contratos suscritos entre entidades públicas, en las cuales alguna de ellas sea de las incluidas en la norma citada.</w:t>
      </w:r>
    </w:p>
    <w:p w14:paraId="22D62F6A" w14:textId="7B9086A9" w:rsidR="00314C7D" w:rsidRPr="004A1D82" w:rsidRDefault="00314C7D" w:rsidP="00F3110C">
      <w:pPr>
        <w:pStyle w:val="NormalWeb"/>
        <w:shd w:val="clear" w:color="auto" w:fill="FFFFFF"/>
        <w:spacing w:before="0" w:beforeAutospacing="0" w:after="0" w:afterAutospacing="0"/>
        <w:ind w:firstLine="708"/>
        <w:rPr>
          <w:rFonts w:ascii="Arial" w:eastAsiaTheme="minorHAnsi" w:hAnsi="Arial" w:cs="Arial"/>
          <w:color w:val="000000" w:themeColor="text1"/>
          <w:sz w:val="22"/>
          <w:szCs w:val="22"/>
          <w:u w:val="single"/>
          <w:lang w:val="es-MX" w:eastAsia="en-US"/>
        </w:rPr>
      </w:pPr>
      <w:r w:rsidRPr="004A1D82">
        <w:rPr>
          <w:rFonts w:ascii="Arial" w:eastAsiaTheme="minorHAnsi" w:hAnsi="Arial" w:cs="Arial"/>
          <w:color w:val="000000" w:themeColor="text1"/>
          <w:sz w:val="22"/>
          <w:szCs w:val="22"/>
          <w:u w:val="single"/>
          <w:lang w:val="es-MX" w:eastAsia="en-US"/>
        </w:rPr>
        <w:t xml:space="preserve"> </w:t>
      </w:r>
    </w:p>
    <w:p w14:paraId="64BE30C1" w14:textId="41DFA07E" w:rsidR="00695B70" w:rsidRPr="004A1D82" w:rsidRDefault="00695B70" w:rsidP="00ED0181">
      <w:pPr>
        <w:spacing w:line="276" w:lineRule="auto"/>
        <w:jc w:val="both"/>
        <w:rPr>
          <w:rFonts w:ascii="Arial" w:eastAsia="Calibri" w:hAnsi="Arial" w:cs="Arial"/>
          <w:color w:val="000000" w:themeColor="text1"/>
          <w:sz w:val="22"/>
        </w:rPr>
      </w:pPr>
      <w:r w:rsidRPr="004A1D82">
        <w:rPr>
          <w:rFonts w:ascii="Arial" w:eastAsia="Calibri" w:hAnsi="Arial" w:cs="Arial"/>
          <w:color w:val="000000" w:themeColor="text1"/>
          <w:sz w:val="22"/>
        </w:rPr>
        <w:t>Este concepto tiene el alcance previsto en el artículo 28 del Código de Procedimiento Administrativo y de lo Contencioso Administrativo.</w:t>
      </w:r>
    </w:p>
    <w:p w14:paraId="32F6587C" w14:textId="77777777" w:rsidR="00ED0181" w:rsidRPr="004A1D82" w:rsidRDefault="00ED0181" w:rsidP="00416308">
      <w:pPr>
        <w:spacing w:line="276" w:lineRule="auto"/>
        <w:jc w:val="both"/>
        <w:rPr>
          <w:rFonts w:ascii="Arial" w:eastAsia="Calibri" w:hAnsi="Arial" w:cs="Arial"/>
          <w:color w:val="000000" w:themeColor="text1"/>
          <w:sz w:val="22"/>
        </w:rPr>
      </w:pPr>
    </w:p>
    <w:p w14:paraId="3DDD7097" w14:textId="25B062F0" w:rsidR="00EE6A82" w:rsidRPr="004A1D82" w:rsidRDefault="00DA63BC" w:rsidP="00EE6A82">
      <w:pPr>
        <w:rPr>
          <w:rFonts w:ascii="Arial" w:hAnsi="Arial" w:cs="Arial"/>
          <w:color w:val="000000" w:themeColor="text1"/>
          <w:sz w:val="22"/>
          <w:lang w:eastAsia="es-CO"/>
        </w:rPr>
      </w:pPr>
      <w:bookmarkStart w:id="19" w:name="_Hlk50986665"/>
      <w:bookmarkStart w:id="20" w:name="_Hlk52766744"/>
      <w:r w:rsidRPr="00570FD2">
        <w:rPr>
          <w:rFonts w:ascii="Arial" w:hAnsi="Arial" w:cs="Arial"/>
          <w:noProof/>
          <w:color w:val="000000" w:themeColor="text1"/>
          <w:sz w:val="22"/>
        </w:rPr>
        <w:drawing>
          <wp:anchor distT="0" distB="0" distL="114300" distR="114300" simplePos="0" relativeHeight="251659264" behindDoc="0" locked="0" layoutInCell="1" allowOverlap="1" wp14:anchorId="27B41DAC" wp14:editId="7FC53607">
            <wp:simplePos x="0" y="0"/>
            <wp:positionH relativeFrom="margin">
              <wp:posOffset>1140031</wp:posOffset>
            </wp:positionH>
            <wp:positionV relativeFrom="paragraph">
              <wp:posOffset>139980</wp:posOffset>
            </wp:positionV>
            <wp:extent cx="2714625" cy="1152525"/>
            <wp:effectExtent l="0" t="0" r="9525" b="9525"/>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14625" cy="1152525"/>
                    </a:xfrm>
                    <a:prstGeom prst="rect">
                      <a:avLst/>
                    </a:prstGeom>
                  </pic:spPr>
                </pic:pic>
              </a:graphicData>
            </a:graphic>
            <wp14:sizeRelH relativeFrom="page">
              <wp14:pctWidth>0</wp14:pctWidth>
            </wp14:sizeRelH>
            <wp14:sizeRelV relativeFrom="page">
              <wp14:pctHeight>0</wp14:pctHeight>
            </wp14:sizeRelV>
          </wp:anchor>
        </w:drawing>
      </w:r>
      <w:r w:rsidR="00EE6A82" w:rsidRPr="004A1D82">
        <w:rPr>
          <w:rFonts w:ascii="Arial" w:hAnsi="Arial" w:cs="Arial"/>
          <w:color w:val="000000" w:themeColor="text1"/>
          <w:sz w:val="22"/>
          <w:lang w:eastAsia="es-CO"/>
        </w:rPr>
        <w:t>Atentamente,</w:t>
      </w:r>
    </w:p>
    <w:p w14:paraId="73353508" w14:textId="77777777" w:rsidR="00EE6A82" w:rsidRPr="004A1D82" w:rsidRDefault="00EE6A82" w:rsidP="00EE6A82">
      <w:pPr>
        <w:rPr>
          <w:rFonts w:ascii="Arial" w:hAnsi="Arial" w:cs="Arial"/>
          <w:color w:val="000000" w:themeColor="text1"/>
          <w:sz w:val="22"/>
          <w:lang w:eastAsia="es-CO"/>
        </w:rPr>
      </w:pPr>
    </w:p>
    <w:bookmarkEnd w:id="8"/>
    <w:bookmarkEnd w:id="19"/>
    <w:bookmarkEnd w:id="20"/>
    <w:p w14:paraId="35B56F46" w14:textId="4733B24F" w:rsidR="00746E08" w:rsidRDefault="00746E08" w:rsidP="00123BE2">
      <w:pPr>
        <w:jc w:val="center"/>
        <w:rPr>
          <w:rFonts w:ascii="Arial" w:hAnsi="Arial" w:cs="Arial"/>
          <w:noProof/>
          <w:color w:val="000000" w:themeColor="text1"/>
          <w:lang w:eastAsia="es-CO"/>
        </w:rPr>
      </w:pPr>
    </w:p>
    <w:p w14:paraId="254C57FE" w14:textId="10805102" w:rsidR="00DA63BC" w:rsidRDefault="00DA63BC" w:rsidP="00123BE2">
      <w:pPr>
        <w:jc w:val="center"/>
        <w:rPr>
          <w:rFonts w:ascii="Arial" w:hAnsi="Arial" w:cs="Arial"/>
          <w:noProof/>
          <w:color w:val="000000" w:themeColor="text1"/>
          <w:lang w:eastAsia="es-CO"/>
        </w:rPr>
      </w:pPr>
    </w:p>
    <w:p w14:paraId="70FE04AF" w14:textId="7474AC9C" w:rsidR="00DA63BC" w:rsidRDefault="00DA63BC" w:rsidP="00123BE2">
      <w:pPr>
        <w:jc w:val="center"/>
        <w:rPr>
          <w:rFonts w:ascii="Arial" w:hAnsi="Arial" w:cs="Arial"/>
          <w:color w:val="000000" w:themeColor="text1"/>
          <w:sz w:val="18"/>
          <w:szCs w:val="20"/>
          <w:lang w:eastAsia="es-CO"/>
        </w:rPr>
      </w:pPr>
    </w:p>
    <w:p w14:paraId="3B0ED0F6" w14:textId="4273439C" w:rsidR="00DA63BC" w:rsidRDefault="00DA63BC" w:rsidP="00123BE2">
      <w:pPr>
        <w:jc w:val="center"/>
        <w:rPr>
          <w:rFonts w:ascii="Arial" w:hAnsi="Arial" w:cs="Arial"/>
          <w:color w:val="000000" w:themeColor="text1"/>
          <w:sz w:val="18"/>
          <w:szCs w:val="20"/>
          <w:lang w:eastAsia="es-CO"/>
        </w:rPr>
      </w:pPr>
    </w:p>
    <w:p w14:paraId="5AF59422" w14:textId="1A40BBBD" w:rsidR="00DA63BC" w:rsidRDefault="00DA63BC" w:rsidP="00123BE2">
      <w:pPr>
        <w:jc w:val="center"/>
        <w:rPr>
          <w:rFonts w:ascii="Arial" w:hAnsi="Arial" w:cs="Arial"/>
          <w:color w:val="000000" w:themeColor="text1"/>
          <w:sz w:val="18"/>
          <w:szCs w:val="20"/>
          <w:lang w:eastAsia="es-CO"/>
        </w:rPr>
      </w:pPr>
    </w:p>
    <w:p w14:paraId="406EFDE7" w14:textId="7D0F6241" w:rsidR="00DA63BC" w:rsidRDefault="00DA63BC" w:rsidP="00123BE2">
      <w:pPr>
        <w:jc w:val="center"/>
        <w:rPr>
          <w:rFonts w:ascii="Arial" w:hAnsi="Arial" w:cs="Arial"/>
          <w:color w:val="000000" w:themeColor="text1"/>
          <w:sz w:val="18"/>
          <w:szCs w:val="20"/>
          <w:lang w:eastAsia="es-CO"/>
        </w:rPr>
      </w:pPr>
    </w:p>
    <w:p w14:paraId="52394190" w14:textId="79950527" w:rsidR="00DA63BC" w:rsidRDefault="00DA63BC" w:rsidP="00123BE2">
      <w:pPr>
        <w:jc w:val="center"/>
        <w:rPr>
          <w:rFonts w:ascii="Arial" w:hAnsi="Arial" w:cs="Arial"/>
          <w:color w:val="000000" w:themeColor="text1"/>
          <w:sz w:val="18"/>
          <w:szCs w:val="20"/>
          <w:lang w:eastAsia="es-CO"/>
        </w:rPr>
      </w:pPr>
    </w:p>
    <w:p w14:paraId="64F3B32F" w14:textId="77777777" w:rsidR="00DA63BC" w:rsidRPr="004A1D82" w:rsidRDefault="00DA63BC" w:rsidP="00123BE2">
      <w:pPr>
        <w:jc w:val="center"/>
        <w:rPr>
          <w:rFonts w:ascii="Arial" w:hAnsi="Arial" w:cs="Arial"/>
          <w:color w:val="000000" w:themeColor="text1"/>
          <w:sz w:val="18"/>
          <w:szCs w:val="20"/>
          <w:lang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7B44E5" w:rsidRPr="004A1D82" w14:paraId="62043797" w14:textId="77777777" w:rsidTr="00DE36CB">
        <w:trPr>
          <w:trHeight w:val="286"/>
        </w:trPr>
        <w:tc>
          <w:tcPr>
            <w:tcW w:w="817" w:type="dxa"/>
            <w:vAlign w:val="center"/>
          </w:tcPr>
          <w:p w14:paraId="7016AE9D" w14:textId="77777777" w:rsidR="00123BE2" w:rsidRPr="004A1D82" w:rsidRDefault="00123BE2" w:rsidP="00DE36CB">
            <w:pPr>
              <w:rPr>
                <w:rFonts w:ascii="Arial" w:hAnsi="Arial" w:cs="Arial"/>
                <w:color w:val="000000" w:themeColor="text1"/>
                <w:sz w:val="14"/>
                <w:szCs w:val="14"/>
                <w:lang w:eastAsia="es-ES"/>
              </w:rPr>
            </w:pPr>
            <w:r w:rsidRPr="004A1D82">
              <w:rPr>
                <w:rFonts w:ascii="Arial" w:hAnsi="Arial" w:cs="Arial"/>
                <w:color w:val="000000" w:themeColor="text1"/>
                <w:sz w:val="14"/>
                <w:szCs w:val="14"/>
                <w:lang w:eastAsia="es-ES"/>
              </w:rPr>
              <w:t>Elaboró:</w:t>
            </w:r>
          </w:p>
        </w:tc>
        <w:tc>
          <w:tcPr>
            <w:tcW w:w="4445" w:type="dxa"/>
            <w:tcBorders>
              <w:bottom w:val="dotted" w:sz="4" w:space="0" w:color="7F7F7F"/>
            </w:tcBorders>
            <w:vAlign w:val="center"/>
          </w:tcPr>
          <w:p w14:paraId="3135B5D2" w14:textId="1C311975" w:rsidR="00123BE2" w:rsidRPr="004A1D82" w:rsidRDefault="00123BE2" w:rsidP="00DE36CB">
            <w:pPr>
              <w:rPr>
                <w:rFonts w:ascii="Arial" w:hAnsi="Arial" w:cs="Arial"/>
                <w:color w:val="000000" w:themeColor="text1"/>
                <w:sz w:val="14"/>
                <w:szCs w:val="14"/>
                <w:lang w:eastAsia="es-ES"/>
              </w:rPr>
            </w:pPr>
            <w:r w:rsidRPr="004A1D82">
              <w:rPr>
                <w:rFonts w:ascii="Arial" w:hAnsi="Arial" w:cs="Arial"/>
                <w:color w:val="000000" w:themeColor="text1"/>
                <w:sz w:val="14"/>
                <w:szCs w:val="14"/>
                <w:lang w:eastAsia="es-ES"/>
              </w:rPr>
              <w:t xml:space="preserve">Diana Fabiola Herrera Hernández </w:t>
            </w:r>
          </w:p>
          <w:p w14:paraId="748D0BA2" w14:textId="77777777" w:rsidR="00123BE2" w:rsidRPr="004A1D82" w:rsidRDefault="00123BE2" w:rsidP="00DE36CB">
            <w:pPr>
              <w:rPr>
                <w:rFonts w:ascii="Arial" w:hAnsi="Arial" w:cs="Arial"/>
                <w:color w:val="000000" w:themeColor="text1"/>
                <w:sz w:val="14"/>
                <w:szCs w:val="14"/>
                <w:lang w:eastAsia="es-ES"/>
              </w:rPr>
            </w:pPr>
            <w:r w:rsidRPr="004A1D82">
              <w:rPr>
                <w:rFonts w:ascii="Arial" w:hAnsi="Arial" w:cs="Arial"/>
                <w:color w:val="000000" w:themeColor="text1"/>
                <w:sz w:val="14"/>
                <w:szCs w:val="14"/>
                <w:lang w:eastAsia="es-ES"/>
              </w:rPr>
              <w:t>Contratista de la Subdirección de Gestión Contractual</w:t>
            </w:r>
          </w:p>
        </w:tc>
      </w:tr>
      <w:tr w:rsidR="007B44E5" w:rsidRPr="004A1D82" w14:paraId="7E176450" w14:textId="77777777" w:rsidTr="00DE36CB">
        <w:trPr>
          <w:trHeight w:val="299"/>
        </w:trPr>
        <w:tc>
          <w:tcPr>
            <w:tcW w:w="817" w:type="dxa"/>
            <w:vAlign w:val="center"/>
          </w:tcPr>
          <w:p w14:paraId="56D591DE" w14:textId="77777777" w:rsidR="00123BE2" w:rsidRPr="004A1D82" w:rsidRDefault="00123BE2" w:rsidP="00DE36CB">
            <w:pPr>
              <w:rPr>
                <w:rFonts w:ascii="Arial" w:hAnsi="Arial" w:cs="Arial"/>
                <w:color w:val="000000" w:themeColor="text1"/>
                <w:sz w:val="14"/>
                <w:szCs w:val="14"/>
                <w:lang w:eastAsia="es-ES"/>
              </w:rPr>
            </w:pPr>
            <w:r w:rsidRPr="004A1D82">
              <w:rPr>
                <w:rFonts w:ascii="Arial" w:hAnsi="Arial" w:cs="Arial"/>
                <w:color w:val="000000" w:themeColor="text1"/>
                <w:sz w:val="14"/>
                <w:szCs w:val="14"/>
                <w:lang w:eastAsia="es-ES"/>
              </w:rPr>
              <w:t>Revisó:</w:t>
            </w:r>
          </w:p>
        </w:tc>
        <w:tc>
          <w:tcPr>
            <w:tcW w:w="4445" w:type="dxa"/>
            <w:tcBorders>
              <w:top w:val="dotted" w:sz="4" w:space="0" w:color="7F7F7F"/>
              <w:bottom w:val="dotted" w:sz="4" w:space="0" w:color="7F7F7F"/>
            </w:tcBorders>
            <w:vAlign w:val="center"/>
          </w:tcPr>
          <w:p w14:paraId="5A49CEB5" w14:textId="4F520B3A" w:rsidR="00123BE2" w:rsidRPr="004A1D82" w:rsidRDefault="00B62F95" w:rsidP="00DE36CB">
            <w:pPr>
              <w:rPr>
                <w:rFonts w:ascii="Arial" w:hAnsi="Arial" w:cs="Arial"/>
                <w:color w:val="000000" w:themeColor="text1"/>
                <w:sz w:val="14"/>
                <w:szCs w:val="14"/>
                <w:lang w:eastAsia="es-ES"/>
              </w:rPr>
            </w:pPr>
            <w:r w:rsidRPr="004A1D82">
              <w:rPr>
                <w:rFonts w:ascii="Arial" w:hAnsi="Arial" w:cs="Arial"/>
                <w:color w:val="000000" w:themeColor="text1"/>
                <w:sz w:val="14"/>
                <w:szCs w:val="14"/>
                <w:lang w:eastAsia="es-ES"/>
              </w:rPr>
              <w:t>Sebastián Ramírez Grisales</w:t>
            </w:r>
          </w:p>
          <w:p w14:paraId="5C8BE685" w14:textId="038B4C58" w:rsidR="00123BE2" w:rsidRPr="004A1D82" w:rsidRDefault="00330722" w:rsidP="00DE36CB">
            <w:pPr>
              <w:rPr>
                <w:rFonts w:ascii="Arial" w:hAnsi="Arial" w:cs="Arial"/>
                <w:color w:val="000000" w:themeColor="text1"/>
                <w:sz w:val="14"/>
                <w:szCs w:val="14"/>
                <w:lang w:eastAsia="es-ES"/>
              </w:rPr>
            </w:pPr>
            <w:r w:rsidRPr="004A1D82">
              <w:rPr>
                <w:rFonts w:ascii="Arial" w:hAnsi="Arial" w:cs="Arial"/>
                <w:color w:val="000000" w:themeColor="text1"/>
                <w:sz w:val="14"/>
                <w:szCs w:val="14"/>
                <w:lang w:eastAsia="es-ES"/>
              </w:rPr>
              <w:t>Contratista de la Subdirección de Gestión Contractual</w:t>
            </w:r>
          </w:p>
        </w:tc>
      </w:tr>
      <w:tr w:rsidR="007B44E5" w:rsidRPr="004A1D82" w14:paraId="611127FC" w14:textId="77777777" w:rsidTr="00DE36CB">
        <w:trPr>
          <w:trHeight w:val="272"/>
        </w:trPr>
        <w:tc>
          <w:tcPr>
            <w:tcW w:w="817" w:type="dxa"/>
            <w:vAlign w:val="center"/>
          </w:tcPr>
          <w:p w14:paraId="627055C2" w14:textId="77777777" w:rsidR="00123BE2" w:rsidRPr="004A1D82" w:rsidRDefault="00123BE2" w:rsidP="00DE36CB">
            <w:pPr>
              <w:rPr>
                <w:rFonts w:ascii="Arial" w:hAnsi="Arial" w:cs="Arial"/>
                <w:color w:val="000000" w:themeColor="text1"/>
                <w:sz w:val="14"/>
                <w:szCs w:val="14"/>
                <w:lang w:eastAsia="es-ES"/>
              </w:rPr>
            </w:pPr>
            <w:r w:rsidRPr="004A1D82">
              <w:rPr>
                <w:rFonts w:ascii="Arial" w:hAnsi="Arial" w:cs="Arial"/>
                <w:color w:val="000000" w:themeColor="text1"/>
                <w:sz w:val="14"/>
                <w:szCs w:val="14"/>
                <w:lang w:eastAsia="es-ES"/>
              </w:rPr>
              <w:t>Aprobó:</w:t>
            </w:r>
          </w:p>
        </w:tc>
        <w:tc>
          <w:tcPr>
            <w:tcW w:w="4445" w:type="dxa"/>
            <w:tcBorders>
              <w:top w:val="dotted" w:sz="4" w:space="0" w:color="7F7F7F"/>
              <w:bottom w:val="dotted" w:sz="4" w:space="0" w:color="7F7F7F"/>
            </w:tcBorders>
            <w:vAlign w:val="center"/>
          </w:tcPr>
          <w:p w14:paraId="0A96E7B2" w14:textId="77777777" w:rsidR="00123BE2" w:rsidRPr="004A1D82" w:rsidRDefault="00123BE2" w:rsidP="00DE36CB">
            <w:pPr>
              <w:rPr>
                <w:rFonts w:ascii="Arial" w:hAnsi="Arial" w:cs="Arial"/>
                <w:color w:val="000000" w:themeColor="text1"/>
                <w:sz w:val="14"/>
                <w:szCs w:val="14"/>
                <w:lang w:eastAsia="es-ES"/>
              </w:rPr>
            </w:pPr>
            <w:r w:rsidRPr="004A1D82">
              <w:rPr>
                <w:rFonts w:ascii="Arial" w:hAnsi="Arial" w:cs="Arial"/>
                <w:color w:val="000000" w:themeColor="text1"/>
                <w:sz w:val="14"/>
                <w:szCs w:val="14"/>
                <w:lang w:eastAsia="es-ES"/>
              </w:rPr>
              <w:t>Jorge Augusto Tirado Navarro</w:t>
            </w:r>
          </w:p>
          <w:p w14:paraId="5A434093" w14:textId="77777777" w:rsidR="00123BE2" w:rsidRPr="004A1D82" w:rsidRDefault="00123BE2" w:rsidP="00DE36CB">
            <w:pPr>
              <w:rPr>
                <w:rFonts w:ascii="Arial" w:hAnsi="Arial" w:cs="Arial"/>
                <w:color w:val="000000" w:themeColor="text1"/>
                <w:sz w:val="14"/>
                <w:szCs w:val="14"/>
                <w:lang w:eastAsia="es-ES"/>
              </w:rPr>
            </w:pPr>
            <w:r w:rsidRPr="004A1D82">
              <w:rPr>
                <w:rFonts w:ascii="Arial" w:hAnsi="Arial" w:cs="Arial"/>
                <w:color w:val="000000" w:themeColor="text1"/>
                <w:sz w:val="14"/>
                <w:szCs w:val="14"/>
                <w:lang w:eastAsia="es-ES"/>
              </w:rPr>
              <w:t>Subdirector de Gestión Contractual ANCP – CCE</w:t>
            </w:r>
          </w:p>
        </w:tc>
      </w:tr>
      <w:tr w:rsidR="007B44E5" w:rsidRPr="007B44E5" w14:paraId="14698410" w14:textId="77777777" w:rsidTr="00DE36CB">
        <w:trPr>
          <w:trHeight w:val="272"/>
        </w:trPr>
        <w:tc>
          <w:tcPr>
            <w:tcW w:w="817" w:type="dxa"/>
            <w:vAlign w:val="center"/>
          </w:tcPr>
          <w:p w14:paraId="6A37CD8E" w14:textId="77777777" w:rsidR="00123BE2" w:rsidRPr="007B44E5" w:rsidRDefault="00123BE2" w:rsidP="00DE36CB">
            <w:pPr>
              <w:rPr>
                <w:rFonts w:ascii="Arial" w:hAnsi="Arial" w:cs="Arial"/>
                <w:color w:val="000000" w:themeColor="text1"/>
                <w:sz w:val="14"/>
                <w:szCs w:val="14"/>
                <w:lang w:eastAsia="es-ES"/>
              </w:rPr>
            </w:pPr>
            <w:r w:rsidRPr="004A1D82">
              <w:rPr>
                <w:rFonts w:ascii="Arial" w:hAnsi="Arial" w:cs="Arial"/>
                <w:color w:val="000000" w:themeColor="text1"/>
                <w:sz w:val="14"/>
                <w:szCs w:val="14"/>
                <w:lang w:eastAsia="es-ES"/>
              </w:rPr>
              <w:t>Anexo:</w:t>
            </w:r>
          </w:p>
        </w:tc>
        <w:tc>
          <w:tcPr>
            <w:tcW w:w="4445" w:type="dxa"/>
            <w:tcBorders>
              <w:top w:val="dotted" w:sz="4" w:space="0" w:color="7F7F7F"/>
              <w:bottom w:val="dotted" w:sz="4" w:space="0" w:color="7F7F7F"/>
            </w:tcBorders>
            <w:vAlign w:val="center"/>
          </w:tcPr>
          <w:p w14:paraId="79D5A6B6" w14:textId="556B2E38" w:rsidR="00123BE2" w:rsidRPr="007B44E5" w:rsidRDefault="00123BE2" w:rsidP="00DE36CB">
            <w:pPr>
              <w:rPr>
                <w:rFonts w:ascii="Arial" w:hAnsi="Arial" w:cs="Arial"/>
                <w:color w:val="000000" w:themeColor="text1"/>
                <w:sz w:val="14"/>
                <w:szCs w:val="14"/>
                <w:lang w:eastAsia="es-ES"/>
              </w:rPr>
            </w:pPr>
          </w:p>
        </w:tc>
      </w:tr>
    </w:tbl>
    <w:p w14:paraId="46A2D6C9" w14:textId="7AD06747" w:rsidR="00123BE2" w:rsidRDefault="00123BE2" w:rsidP="009A758C">
      <w:pPr>
        <w:rPr>
          <w:rFonts w:ascii="Arial" w:hAnsi="Arial" w:cs="Arial"/>
          <w:color w:val="000000" w:themeColor="text1"/>
        </w:rPr>
      </w:pPr>
    </w:p>
    <w:p w14:paraId="281703AF" w14:textId="00B11D3E" w:rsidR="00DA63BC" w:rsidRDefault="00DA63BC" w:rsidP="009A758C">
      <w:pPr>
        <w:rPr>
          <w:rFonts w:ascii="Arial" w:hAnsi="Arial" w:cs="Arial"/>
          <w:color w:val="000000" w:themeColor="text1"/>
        </w:rPr>
      </w:pPr>
    </w:p>
    <w:p w14:paraId="25BB8414" w14:textId="25C6CD37" w:rsidR="00DA63BC" w:rsidRDefault="00DA63BC" w:rsidP="009A758C">
      <w:pPr>
        <w:rPr>
          <w:rFonts w:ascii="Arial" w:hAnsi="Arial" w:cs="Arial"/>
          <w:color w:val="000000" w:themeColor="text1"/>
        </w:rPr>
      </w:pPr>
    </w:p>
    <w:p w14:paraId="56BB8F48" w14:textId="77777777" w:rsidR="00DA63BC" w:rsidRPr="007B44E5" w:rsidRDefault="00DA63BC" w:rsidP="009A758C">
      <w:pPr>
        <w:rPr>
          <w:rFonts w:ascii="Arial" w:hAnsi="Arial" w:cs="Arial"/>
          <w:color w:val="000000" w:themeColor="text1"/>
        </w:rPr>
      </w:pPr>
    </w:p>
    <w:sectPr w:rsidR="00DA63BC" w:rsidRPr="007B44E5" w:rsidSect="00A276F2">
      <w:headerReference w:type="default" r:id="rId13"/>
      <w:footerReference w:type="default" r:id="rId14"/>
      <w:pgSz w:w="12240" w:h="15840"/>
      <w:pgMar w:top="2041" w:right="1183"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6E8B" w14:textId="77777777" w:rsidR="00F84A94" w:rsidRDefault="00F84A94">
      <w:r>
        <w:separator/>
      </w:r>
    </w:p>
  </w:endnote>
  <w:endnote w:type="continuationSeparator" w:id="0">
    <w:p w14:paraId="51F45248" w14:textId="77777777" w:rsidR="00F84A94" w:rsidRDefault="00F8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801C7">
      <w:rPr>
        <w:rFonts w:ascii="Arial" w:hAnsi="Arial" w:cs="Arial"/>
        <w:b/>
        <w:bCs/>
        <w:noProof/>
        <w:color w:val="7F7F7F" w:themeColor="text1" w:themeTint="80"/>
        <w:sz w:val="16"/>
        <w:szCs w:val="16"/>
      </w:rPr>
      <w:t>9</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801C7">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C56E" w14:textId="77777777" w:rsidR="00F84A94" w:rsidRDefault="00F84A94">
      <w:r>
        <w:separator/>
      </w:r>
    </w:p>
  </w:footnote>
  <w:footnote w:type="continuationSeparator" w:id="0">
    <w:p w14:paraId="4610A83D" w14:textId="77777777" w:rsidR="00F84A94" w:rsidRDefault="00F84A94">
      <w:r>
        <w:continuationSeparator/>
      </w:r>
    </w:p>
  </w:footnote>
  <w:footnote w:id="1">
    <w:p w14:paraId="3424021E" w14:textId="77777777" w:rsidR="00EA03F6" w:rsidRPr="00EA03F6" w:rsidRDefault="00EA03F6" w:rsidP="004A1D82">
      <w:pPr>
        <w:pStyle w:val="Textonotapie"/>
        <w:spacing w:before="0" w:after="0" w:line="240" w:lineRule="auto"/>
        <w:ind w:firstLine="709"/>
        <w:rPr>
          <w:rFonts w:ascii="Arial" w:hAnsi="Arial" w:cs="Arial"/>
          <w:sz w:val="19"/>
          <w:szCs w:val="19"/>
        </w:rPr>
      </w:pPr>
    </w:p>
    <w:p w14:paraId="64720C11"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0645D9D9" w14:textId="77777777" w:rsidR="00EA03F6" w:rsidRPr="00EA03F6" w:rsidRDefault="00EA03F6" w:rsidP="004A1D82">
      <w:pPr>
        <w:pStyle w:val="Textonotapie"/>
        <w:spacing w:before="0" w:after="0" w:line="240" w:lineRule="auto"/>
        <w:ind w:firstLine="709"/>
        <w:rPr>
          <w:rFonts w:ascii="Arial" w:hAnsi="Arial" w:cs="Arial"/>
          <w:sz w:val="19"/>
          <w:szCs w:val="19"/>
        </w:rPr>
      </w:pPr>
      <w:proofErr w:type="gramStart"/>
      <w:r w:rsidRPr="00EA03F6">
        <w:rPr>
          <w:rFonts w:ascii="Arial" w:hAnsi="Arial" w:cs="Arial"/>
          <w:sz w:val="19"/>
          <w:szCs w:val="19"/>
        </w:rPr>
        <w:t>»A</w:t>
      </w:r>
      <w:proofErr w:type="gramEnd"/>
      <w:r w:rsidRPr="00EA03F6">
        <w:rPr>
          <w:rFonts w:ascii="Arial" w:hAnsi="Arial" w:cs="Arial"/>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40C2FC00" w14:textId="77777777" w:rsidR="00EA03F6" w:rsidRPr="00EA03F6" w:rsidRDefault="00EA03F6" w:rsidP="004A1D82">
      <w:pPr>
        <w:pStyle w:val="Textonotapie"/>
        <w:spacing w:before="0" w:after="0" w:line="240" w:lineRule="auto"/>
        <w:ind w:firstLine="709"/>
        <w:rPr>
          <w:rFonts w:ascii="Arial" w:hAnsi="Arial" w:cs="Arial"/>
          <w:sz w:val="19"/>
          <w:szCs w:val="19"/>
        </w:rPr>
      </w:pPr>
    </w:p>
  </w:footnote>
  <w:footnote w:id="2">
    <w:p w14:paraId="134A5F40"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Gaceta del Congreso de la República No. 71 del 2005.</w:t>
      </w:r>
    </w:p>
    <w:p w14:paraId="2734C629" w14:textId="77777777" w:rsidR="00EA03F6" w:rsidRPr="00EA03F6" w:rsidRDefault="00EA03F6" w:rsidP="004A1D82">
      <w:pPr>
        <w:pStyle w:val="Textonotapie"/>
        <w:spacing w:before="0" w:after="0" w:line="240" w:lineRule="auto"/>
        <w:ind w:firstLine="709"/>
        <w:rPr>
          <w:rFonts w:ascii="Arial" w:hAnsi="Arial" w:cs="Arial"/>
          <w:sz w:val="19"/>
          <w:szCs w:val="19"/>
        </w:rPr>
      </w:pPr>
    </w:p>
  </w:footnote>
  <w:footnote w:id="3">
    <w:p w14:paraId="2EA2D74E"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Corte Constitucional, Sentencia C- 1153 de 2005, M.P. Marco Gerardo Monroy Cabra.</w:t>
      </w:r>
    </w:p>
    <w:p w14:paraId="382A9EF5" w14:textId="77777777" w:rsidR="00EA03F6" w:rsidRPr="00EA03F6" w:rsidRDefault="00EA03F6" w:rsidP="004A1D82">
      <w:pPr>
        <w:pStyle w:val="Textonotapie"/>
        <w:spacing w:before="0" w:after="0" w:line="240" w:lineRule="auto"/>
        <w:ind w:firstLine="709"/>
        <w:rPr>
          <w:rFonts w:ascii="Arial" w:hAnsi="Arial" w:cs="Arial"/>
          <w:sz w:val="19"/>
          <w:szCs w:val="19"/>
        </w:rPr>
      </w:pPr>
    </w:p>
  </w:footnote>
  <w:footnote w:id="4">
    <w:p w14:paraId="5620EBC1"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48012148" w14:textId="77777777" w:rsidR="00EA03F6" w:rsidRPr="00EA03F6" w:rsidRDefault="00EA03F6" w:rsidP="004A1D82">
      <w:pPr>
        <w:pStyle w:val="Textonotapie"/>
        <w:spacing w:before="0" w:after="0" w:line="240" w:lineRule="auto"/>
        <w:ind w:firstLine="709"/>
        <w:rPr>
          <w:rFonts w:ascii="Arial" w:hAnsi="Arial" w:cs="Arial"/>
          <w:sz w:val="19"/>
          <w:szCs w:val="19"/>
        </w:rPr>
      </w:pPr>
    </w:p>
  </w:footnote>
  <w:footnote w:id="5">
    <w:p w14:paraId="6E669CA6" w14:textId="77777777" w:rsidR="00EA03F6" w:rsidRPr="00EA03F6" w:rsidRDefault="00EA03F6" w:rsidP="004A1D82">
      <w:pPr>
        <w:pStyle w:val="Textonotapie"/>
        <w:spacing w:before="0" w:after="0" w:line="240" w:lineRule="auto"/>
        <w:ind w:firstLine="709"/>
        <w:rPr>
          <w:rFonts w:ascii="Arial" w:hAnsi="Arial" w:cs="Arial"/>
          <w:sz w:val="19"/>
          <w:szCs w:val="19"/>
          <w:lang w:val="es-CO"/>
        </w:rPr>
      </w:pPr>
      <w:r w:rsidRPr="004A1D82">
        <w:rPr>
          <w:rStyle w:val="Refdenotaalpie"/>
          <w:rFonts w:ascii="Arial" w:hAnsi="Arial" w:cs="Arial"/>
          <w:sz w:val="19"/>
          <w:szCs w:val="19"/>
        </w:rPr>
        <w:footnoteRef/>
      </w:r>
      <w:r w:rsidRPr="00EA03F6">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71946FCF" w14:textId="77777777" w:rsidR="00EA03F6" w:rsidRPr="00EA03F6" w:rsidRDefault="00EA03F6" w:rsidP="004A1D82">
      <w:pPr>
        <w:pStyle w:val="Textonotapie"/>
        <w:spacing w:before="0" w:after="0" w:line="240" w:lineRule="auto"/>
        <w:ind w:firstLine="709"/>
        <w:rPr>
          <w:rFonts w:ascii="Arial" w:hAnsi="Arial" w:cs="Arial"/>
          <w:sz w:val="19"/>
          <w:szCs w:val="19"/>
          <w:lang w:val="es-CO"/>
        </w:rPr>
      </w:pPr>
    </w:p>
  </w:footnote>
  <w:footnote w:id="6">
    <w:p w14:paraId="66923A6E"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Consejo de Estado, Sala de Consulta y Servicio Civil de fecha 24 de julio de 2013, radicado 2166, </w:t>
      </w:r>
      <w:proofErr w:type="gramStart"/>
      <w:r w:rsidRPr="00EA03F6">
        <w:rPr>
          <w:rFonts w:ascii="Arial" w:hAnsi="Arial" w:cs="Arial"/>
          <w:sz w:val="19"/>
          <w:szCs w:val="19"/>
        </w:rPr>
        <w:t>Consejero</w:t>
      </w:r>
      <w:proofErr w:type="gramEnd"/>
      <w:r w:rsidRPr="00EA03F6">
        <w:rPr>
          <w:rFonts w:ascii="Arial" w:hAnsi="Arial" w:cs="Arial"/>
          <w:sz w:val="19"/>
          <w:szCs w:val="19"/>
        </w:rPr>
        <w:t xml:space="preserve"> Ponente: Álvaro Namén Vargas.  </w:t>
      </w:r>
    </w:p>
  </w:footnote>
  <w:footnote w:id="7">
    <w:p w14:paraId="12D86CE6" w14:textId="77777777" w:rsidR="00EA03F6" w:rsidRPr="00EA03F6" w:rsidRDefault="00EA03F6" w:rsidP="00EA03F6">
      <w:pPr>
        <w:ind w:firstLine="709"/>
        <w:jc w:val="both"/>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w:t>
      </w:r>
      <w:r w:rsidRPr="00EA03F6">
        <w:rPr>
          <w:rFonts w:ascii="Arial" w:eastAsia="Calibri" w:hAnsi="Arial" w:cs="Arial"/>
          <w:bCs/>
          <w:color w:val="000000"/>
          <w:sz w:val="19"/>
          <w:szCs w:val="19"/>
        </w:rPr>
        <w:t>«</w:t>
      </w:r>
      <w:r w:rsidRPr="00EA03F6">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13D66C5A" w14:textId="77777777" w:rsidR="00EA03F6" w:rsidRPr="00EA03F6" w:rsidRDefault="00EA03F6" w:rsidP="00EA03F6">
      <w:pPr>
        <w:ind w:firstLine="709"/>
        <w:jc w:val="both"/>
        <w:rPr>
          <w:rFonts w:ascii="Arial" w:hAnsi="Arial" w:cs="Arial"/>
          <w:sz w:val="19"/>
          <w:szCs w:val="19"/>
        </w:rPr>
      </w:pPr>
      <w:r w:rsidRPr="00EA03F6">
        <w:rPr>
          <w:rFonts w:ascii="Arial" w:eastAsia="Calibri" w:hAnsi="Arial" w:cs="Arial"/>
          <w:bCs/>
          <w:color w:val="000000"/>
          <w:sz w:val="19"/>
          <w:szCs w:val="19"/>
        </w:rPr>
        <w:t>»</w:t>
      </w:r>
      <w:r w:rsidRPr="00EA03F6">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A03F6">
        <w:rPr>
          <w:rFonts w:ascii="Arial" w:eastAsia="Calibri" w:hAnsi="Arial" w:cs="Arial"/>
          <w:bCs/>
          <w:color w:val="000000"/>
          <w:sz w:val="19"/>
          <w:szCs w:val="19"/>
        </w:rPr>
        <w:t>»</w:t>
      </w:r>
      <w:r w:rsidRPr="00EA03F6">
        <w:rPr>
          <w:rFonts w:ascii="Arial" w:hAnsi="Arial" w:cs="Arial"/>
          <w:sz w:val="19"/>
          <w:szCs w:val="19"/>
        </w:rPr>
        <w:t>.</w:t>
      </w:r>
    </w:p>
    <w:p w14:paraId="24078666" w14:textId="77777777" w:rsidR="00EA03F6" w:rsidRPr="00EA03F6" w:rsidRDefault="00EA03F6" w:rsidP="00EA03F6">
      <w:pPr>
        <w:ind w:firstLine="709"/>
        <w:jc w:val="both"/>
        <w:rPr>
          <w:rFonts w:ascii="Arial" w:hAnsi="Arial" w:cs="Arial"/>
          <w:sz w:val="19"/>
          <w:szCs w:val="19"/>
        </w:rPr>
      </w:pPr>
    </w:p>
  </w:footnote>
  <w:footnote w:id="8">
    <w:p w14:paraId="4FBBB864" w14:textId="77777777" w:rsidR="00EA03F6" w:rsidRPr="00EA03F6" w:rsidRDefault="00EA03F6" w:rsidP="004A1D82">
      <w:pPr>
        <w:pStyle w:val="NormalWeb"/>
        <w:spacing w:before="0" w:beforeAutospacing="0" w:after="0" w:afterAutospacing="0" w:line="240" w:lineRule="auto"/>
        <w:ind w:firstLine="709"/>
        <w:rPr>
          <w:rFonts w:ascii="Arial" w:hAnsi="Arial" w:cs="Arial"/>
          <w:sz w:val="19"/>
          <w:szCs w:val="19"/>
          <w:lang w:val="es-MX"/>
        </w:rPr>
      </w:pPr>
      <w:r w:rsidRPr="004A1D82">
        <w:rPr>
          <w:rStyle w:val="Refdenotaalpie"/>
          <w:rFonts w:ascii="Arial" w:hAnsi="Arial" w:cs="Arial"/>
          <w:sz w:val="19"/>
          <w:szCs w:val="19"/>
        </w:rPr>
        <w:footnoteRef/>
      </w:r>
      <w:r w:rsidRPr="00EA03F6">
        <w:rPr>
          <w:rFonts w:ascii="Arial" w:hAnsi="Arial" w:cs="Arial"/>
          <w:sz w:val="19"/>
          <w:szCs w:val="19"/>
        </w:rPr>
        <w:t xml:space="preserve"> </w:t>
      </w:r>
      <w:r w:rsidRPr="00EA03F6">
        <w:rPr>
          <w:rFonts w:ascii="Arial" w:eastAsia="Calibri" w:hAnsi="Arial" w:cs="Arial"/>
          <w:bCs/>
          <w:color w:val="000000"/>
          <w:sz w:val="19"/>
          <w:szCs w:val="19"/>
        </w:rPr>
        <w:t>«</w:t>
      </w:r>
      <w:r w:rsidRPr="00EA03F6">
        <w:rPr>
          <w:rFonts w:ascii="Arial" w:hAnsi="Arial" w:cs="Arial"/>
          <w:sz w:val="19"/>
          <w:szCs w:val="19"/>
          <w:lang w:val="es-MX"/>
        </w:rPr>
        <w:t>Artículo 38. Prohibiciones para los servidores públicos. A los empleados del Estado les está prohibido:</w:t>
      </w:r>
    </w:p>
    <w:p w14:paraId="6F9DBD26" w14:textId="77777777" w:rsidR="00EA03F6" w:rsidRPr="00EA03F6" w:rsidRDefault="00EA03F6" w:rsidP="004A1D82">
      <w:pPr>
        <w:pStyle w:val="NormalWeb"/>
        <w:spacing w:before="0" w:beforeAutospacing="0" w:after="0" w:afterAutospacing="0" w:line="240" w:lineRule="auto"/>
        <w:ind w:firstLine="709"/>
        <w:rPr>
          <w:rFonts w:ascii="Arial" w:hAnsi="Arial" w:cs="Arial"/>
          <w:sz w:val="19"/>
          <w:szCs w:val="19"/>
          <w:lang w:val="es-MX"/>
        </w:rPr>
      </w:pPr>
      <w:r w:rsidRPr="00EA03F6">
        <w:rPr>
          <w:rFonts w:ascii="Arial" w:eastAsia="Calibri" w:hAnsi="Arial" w:cs="Arial"/>
          <w:bCs/>
          <w:color w:val="000000"/>
          <w:sz w:val="19"/>
          <w:szCs w:val="19"/>
        </w:rPr>
        <w:t>»</w:t>
      </w:r>
      <w:r w:rsidRPr="00EA03F6">
        <w:rPr>
          <w:rFonts w:ascii="Arial" w:hAnsi="Arial" w:cs="Arial"/>
          <w:sz w:val="19"/>
          <w:szCs w:val="19"/>
          <w:lang w:val="es-MX"/>
        </w:rPr>
        <w:t xml:space="preserve"> […]</w:t>
      </w:r>
    </w:p>
    <w:p w14:paraId="116E5F6E" w14:textId="77777777" w:rsidR="00EA03F6" w:rsidRPr="00EA03F6" w:rsidRDefault="00EA03F6" w:rsidP="00EA03F6">
      <w:pPr>
        <w:ind w:firstLine="709"/>
        <w:jc w:val="both"/>
        <w:rPr>
          <w:rFonts w:ascii="Arial" w:hAnsi="Arial" w:cs="Arial"/>
          <w:sz w:val="19"/>
          <w:szCs w:val="19"/>
          <w:lang w:val="es-MX"/>
        </w:rPr>
      </w:pPr>
      <w:r w:rsidRPr="00EA03F6">
        <w:rPr>
          <w:rFonts w:ascii="Arial" w:eastAsia="Calibri" w:hAnsi="Arial" w:cs="Arial"/>
          <w:bCs/>
          <w:color w:val="000000"/>
          <w:sz w:val="19"/>
          <w:szCs w:val="19"/>
        </w:rPr>
        <w:t>»</w:t>
      </w:r>
      <w:r w:rsidRPr="00EA03F6">
        <w:rPr>
          <w:rStyle w:val="baj"/>
          <w:rFonts w:ascii="Arial" w:hAnsi="Arial" w:cs="Arial"/>
          <w:sz w:val="19"/>
          <w:szCs w:val="19"/>
          <w:lang w:val="es-MX"/>
        </w:rPr>
        <w:t xml:space="preserve"> Parágrafo.</w:t>
      </w:r>
      <w:r w:rsidRPr="00EA03F6">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EA03F6">
        <w:rPr>
          <w:rFonts w:ascii="Arial" w:eastAsia="Calibri" w:hAnsi="Arial" w:cs="Arial"/>
          <w:bCs/>
          <w:color w:val="000000"/>
          <w:sz w:val="19"/>
          <w:szCs w:val="19"/>
        </w:rPr>
        <w:t>»</w:t>
      </w:r>
      <w:r w:rsidRPr="00EA03F6">
        <w:rPr>
          <w:rFonts w:ascii="Arial" w:hAnsi="Arial" w:cs="Arial"/>
          <w:sz w:val="19"/>
          <w:szCs w:val="19"/>
          <w:lang w:val="es-MX"/>
        </w:rPr>
        <w:t>.</w:t>
      </w:r>
    </w:p>
    <w:p w14:paraId="524FC5EB" w14:textId="77777777" w:rsidR="00EA03F6" w:rsidRPr="00EA03F6" w:rsidRDefault="00EA03F6" w:rsidP="00EA03F6">
      <w:pPr>
        <w:ind w:firstLine="709"/>
        <w:jc w:val="both"/>
        <w:rPr>
          <w:rFonts w:ascii="Arial" w:hAnsi="Arial" w:cs="Arial"/>
          <w:sz w:val="19"/>
          <w:szCs w:val="19"/>
          <w:lang w:val="es-MX"/>
        </w:rPr>
      </w:pPr>
    </w:p>
  </w:footnote>
  <w:footnote w:id="9">
    <w:p w14:paraId="5968A2BC" w14:textId="77777777" w:rsidR="00EA03F6" w:rsidRPr="00EA03F6" w:rsidRDefault="00EA03F6" w:rsidP="00EA03F6">
      <w:pPr>
        <w:ind w:firstLine="709"/>
        <w:jc w:val="both"/>
        <w:rPr>
          <w:rFonts w:ascii="Arial" w:hAnsi="Arial" w:cs="Arial"/>
          <w:sz w:val="19"/>
          <w:szCs w:val="19"/>
          <w:lang w:val="es-ES"/>
        </w:rPr>
      </w:pPr>
      <w:r w:rsidRPr="004A1D82">
        <w:rPr>
          <w:rStyle w:val="Refdenotaalpie"/>
          <w:rFonts w:ascii="Arial" w:hAnsi="Arial" w:cs="Arial"/>
          <w:sz w:val="19"/>
          <w:szCs w:val="19"/>
        </w:rPr>
        <w:footnoteRef/>
      </w:r>
      <w:r w:rsidRPr="00EA03F6">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0">
    <w:p w14:paraId="1E37E263"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w:t>
      </w:r>
      <w:r w:rsidRPr="00EA03F6">
        <w:rPr>
          <w:rFonts w:ascii="Arial" w:hAnsi="Arial" w:cs="Arial"/>
          <w:sz w:val="19"/>
          <w:szCs w:val="19"/>
          <w:lang w:val="es-ES"/>
        </w:rPr>
        <w:t xml:space="preserve">[25] </w:t>
      </w:r>
      <w:r w:rsidRPr="00EA03F6">
        <w:rPr>
          <w:rFonts w:ascii="Arial" w:hAnsi="Arial" w:cs="Arial"/>
          <w:sz w:val="19"/>
          <w:szCs w:val="19"/>
        </w:rPr>
        <w:t>Cfr. Consejo de Estado. Sección Tercera. Sentencia de 3 de diciembre de 2007. Radicados: 24.715, 25.206, 25.409, 24.524, 27.834, 25.410, 26.105, 28.244, 31.447 -acumulados-».</w:t>
      </w:r>
    </w:p>
    <w:p w14:paraId="60F4AC81" w14:textId="77777777" w:rsidR="00EA03F6" w:rsidRPr="00EA03F6" w:rsidRDefault="00EA03F6" w:rsidP="004A1D82">
      <w:pPr>
        <w:pStyle w:val="Textonotapie"/>
        <w:spacing w:before="0" w:after="0" w:line="240" w:lineRule="auto"/>
        <w:ind w:firstLine="709"/>
        <w:rPr>
          <w:rFonts w:ascii="Arial" w:hAnsi="Arial" w:cs="Arial"/>
          <w:sz w:val="19"/>
          <w:szCs w:val="19"/>
        </w:rPr>
      </w:pPr>
    </w:p>
  </w:footnote>
  <w:footnote w:id="11">
    <w:p w14:paraId="258AC813"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w:t>
      </w:r>
      <w:r w:rsidRPr="00EA03F6">
        <w:rPr>
          <w:rFonts w:ascii="Arial" w:hAnsi="Arial" w:cs="Arial"/>
          <w:sz w:val="19"/>
          <w:szCs w:val="19"/>
          <w:lang w:val="es-ES"/>
        </w:rPr>
        <w:t xml:space="preserve">[26] </w:t>
      </w:r>
      <w:r w:rsidRPr="00EA03F6">
        <w:rPr>
          <w:rFonts w:ascii="Arial" w:hAnsi="Arial" w:cs="Arial"/>
          <w:sz w:val="19"/>
          <w:szCs w:val="19"/>
        </w:rPr>
        <w:t>Al respecto ver el concepto 1712 de 2 de febrero de 2006. Consejo de Estado Sala de Consulta y Servicio Civil».</w:t>
      </w:r>
    </w:p>
    <w:p w14:paraId="582A5A5E" w14:textId="77777777" w:rsidR="00EA03F6" w:rsidRPr="00EA03F6" w:rsidRDefault="00EA03F6" w:rsidP="004A1D82">
      <w:pPr>
        <w:pStyle w:val="Textonotapie"/>
        <w:spacing w:before="0" w:after="0" w:line="240" w:lineRule="auto"/>
        <w:ind w:firstLine="709"/>
        <w:rPr>
          <w:rFonts w:ascii="Arial" w:hAnsi="Arial" w:cs="Arial"/>
          <w:sz w:val="19"/>
          <w:szCs w:val="19"/>
        </w:rPr>
      </w:pPr>
    </w:p>
  </w:footnote>
  <w:footnote w:id="12">
    <w:p w14:paraId="6BD99D57"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1676009A" w14:textId="77777777" w:rsidR="00EA03F6" w:rsidRPr="00EA03F6" w:rsidRDefault="00EA03F6" w:rsidP="004A1D82">
      <w:pPr>
        <w:pStyle w:val="Textonotapie"/>
        <w:spacing w:before="0" w:after="0" w:line="240" w:lineRule="auto"/>
        <w:ind w:firstLine="709"/>
        <w:rPr>
          <w:rFonts w:ascii="Arial" w:hAnsi="Arial" w:cs="Arial"/>
          <w:sz w:val="19"/>
          <w:szCs w:val="19"/>
        </w:rPr>
      </w:pPr>
    </w:p>
  </w:footnote>
  <w:footnote w:id="13">
    <w:p w14:paraId="4801E04C" w14:textId="77777777" w:rsidR="00EA03F6" w:rsidRPr="00EA03F6" w:rsidRDefault="00EA03F6" w:rsidP="004A1D82">
      <w:pPr>
        <w:pStyle w:val="Textonotapie"/>
        <w:spacing w:before="0" w:after="0" w:line="240" w:lineRule="auto"/>
        <w:ind w:firstLine="709"/>
        <w:rPr>
          <w:rFonts w:ascii="Arial" w:hAnsi="Arial" w:cs="Arial"/>
          <w:sz w:val="19"/>
          <w:szCs w:val="19"/>
          <w:lang w:val="es-ES"/>
        </w:rPr>
      </w:pPr>
      <w:r w:rsidRPr="004A1D82">
        <w:rPr>
          <w:rStyle w:val="Refdenotaalpie"/>
          <w:rFonts w:ascii="Arial" w:hAnsi="Arial" w:cs="Arial"/>
          <w:sz w:val="19"/>
          <w:szCs w:val="19"/>
        </w:rPr>
        <w:footnoteRef/>
      </w:r>
      <w:r w:rsidRPr="00EA03F6">
        <w:rPr>
          <w:rFonts w:ascii="Arial" w:hAnsi="Arial" w:cs="Arial"/>
          <w:sz w:val="19"/>
          <w:szCs w:val="19"/>
        </w:rPr>
        <w:t xml:space="preserve"> </w:t>
      </w:r>
      <w:r w:rsidRPr="00EA03F6">
        <w:rPr>
          <w:rFonts w:ascii="Arial" w:hAnsi="Arial" w:cs="Arial"/>
          <w:sz w:val="19"/>
          <w:szCs w:val="19"/>
          <w:lang w:val="es-ES"/>
        </w:rPr>
        <w:t xml:space="preserve">Artículo 2. </w:t>
      </w:r>
    </w:p>
    <w:p w14:paraId="0B06A0F9" w14:textId="77777777" w:rsidR="00EA03F6" w:rsidRPr="00EA03F6" w:rsidRDefault="00EA03F6" w:rsidP="004A1D82">
      <w:pPr>
        <w:pStyle w:val="Textonotapie"/>
        <w:spacing w:before="0" w:after="0" w:line="240" w:lineRule="auto"/>
        <w:ind w:firstLine="709"/>
        <w:rPr>
          <w:rFonts w:ascii="Arial" w:hAnsi="Arial" w:cs="Arial"/>
          <w:sz w:val="19"/>
          <w:szCs w:val="19"/>
          <w:lang w:val="es-ES"/>
        </w:rPr>
      </w:pPr>
    </w:p>
  </w:footnote>
  <w:footnote w:id="14">
    <w:p w14:paraId="185A3060" w14:textId="77777777" w:rsidR="00EA03F6" w:rsidRPr="00EA03F6" w:rsidRDefault="00EA03F6" w:rsidP="004A1D82">
      <w:pPr>
        <w:pStyle w:val="Textonotapie"/>
        <w:spacing w:before="0" w:after="0" w:line="240" w:lineRule="auto"/>
        <w:ind w:firstLine="709"/>
        <w:rPr>
          <w:rFonts w:ascii="Arial" w:hAnsi="Arial" w:cs="Arial"/>
          <w:sz w:val="19"/>
          <w:szCs w:val="19"/>
          <w:lang w:val="es-ES"/>
        </w:rPr>
      </w:pPr>
      <w:r w:rsidRPr="004A1D82">
        <w:rPr>
          <w:rStyle w:val="Refdenotaalpie"/>
          <w:rFonts w:ascii="Arial" w:hAnsi="Arial" w:cs="Arial"/>
          <w:sz w:val="19"/>
          <w:szCs w:val="19"/>
        </w:rPr>
        <w:footnoteRef/>
      </w:r>
      <w:r w:rsidRPr="00EA03F6">
        <w:rPr>
          <w:rFonts w:ascii="Arial" w:hAnsi="Arial" w:cs="Arial"/>
          <w:sz w:val="19"/>
          <w:szCs w:val="19"/>
        </w:rPr>
        <w:t xml:space="preserve"> </w:t>
      </w:r>
      <w:r w:rsidRPr="00EA03F6">
        <w:rPr>
          <w:rFonts w:ascii="Arial" w:hAnsi="Arial" w:cs="Arial"/>
          <w:i/>
          <w:sz w:val="19"/>
          <w:szCs w:val="19"/>
          <w:lang w:val="es-ES"/>
        </w:rPr>
        <w:t>Ídem</w:t>
      </w:r>
      <w:r w:rsidRPr="00EA03F6">
        <w:rPr>
          <w:rFonts w:ascii="Arial" w:hAnsi="Arial" w:cs="Arial"/>
          <w:sz w:val="19"/>
          <w:szCs w:val="19"/>
          <w:lang w:val="es-ES"/>
        </w:rPr>
        <w:t>.</w:t>
      </w:r>
    </w:p>
    <w:p w14:paraId="56FE8407" w14:textId="77777777" w:rsidR="00EA03F6" w:rsidRPr="00EA03F6" w:rsidRDefault="00EA03F6" w:rsidP="004A1D82">
      <w:pPr>
        <w:pStyle w:val="Textonotapie"/>
        <w:spacing w:before="0" w:after="0" w:line="240" w:lineRule="auto"/>
        <w:ind w:firstLine="709"/>
        <w:rPr>
          <w:rFonts w:ascii="Arial" w:hAnsi="Arial" w:cs="Arial"/>
          <w:sz w:val="19"/>
          <w:szCs w:val="19"/>
          <w:lang w:val="es-ES"/>
        </w:rPr>
      </w:pPr>
    </w:p>
  </w:footnote>
  <w:footnote w:id="15">
    <w:p w14:paraId="7D1BE05F" w14:textId="77777777" w:rsidR="00EA03F6" w:rsidRPr="00EA03F6" w:rsidRDefault="00EA03F6" w:rsidP="004A1D82">
      <w:pPr>
        <w:pStyle w:val="Textonotapie"/>
        <w:spacing w:before="0" w:after="0" w:line="240" w:lineRule="auto"/>
        <w:ind w:firstLine="709"/>
        <w:rPr>
          <w:rFonts w:ascii="Arial" w:hAnsi="Arial" w:cs="Arial"/>
          <w:sz w:val="19"/>
          <w:szCs w:val="19"/>
          <w:lang w:val="es-ES"/>
        </w:rPr>
      </w:pPr>
      <w:r w:rsidRPr="004A1D82">
        <w:rPr>
          <w:rStyle w:val="Refdenotaalpie"/>
          <w:rFonts w:ascii="Arial" w:hAnsi="Arial" w:cs="Arial"/>
          <w:sz w:val="19"/>
          <w:szCs w:val="19"/>
        </w:rPr>
        <w:footnoteRef/>
      </w:r>
      <w:r w:rsidRPr="00EA03F6">
        <w:rPr>
          <w:rStyle w:val="Refdenotaalpie"/>
          <w:rFonts w:ascii="Arial" w:hAnsi="Arial" w:cs="Arial"/>
          <w:sz w:val="19"/>
          <w:szCs w:val="19"/>
        </w:rPr>
        <w:t xml:space="preserve"> </w:t>
      </w:r>
      <w:r w:rsidRPr="00EA03F6">
        <w:rPr>
          <w:rFonts w:ascii="Arial" w:hAnsi="Arial" w:cs="Arial"/>
          <w:sz w:val="19"/>
          <w:szCs w:val="19"/>
          <w:lang w:val="es-ES"/>
        </w:rPr>
        <w:t xml:space="preserve">«[…] A este respecto, cabe recordar que el artículo 860 del Código de Comercio regula la licitación en el derecho privado». </w:t>
      </w:r>
    </w:p>
    <w:p w14:paraId="317BA8EE" w14:textId="77777777" w:rsidR="00EA03F6" w:rsidRPr="00EA03F6" w:rsidRDefault="00EA03F6" w:rsidP="004A1D82">
      <w:pPr>
        <w:pStyle w:val="Textonotapie"/>
        <w:spacing w:before="0" w:after="0" w:line="240" w:lineRule="auto"/>
        <w:ind w:firstLine="709"/>
        <w:rPr>
          <w:rFonts w:ascii="Arial" w:hAnsi="Arial" w:cs="Arial"/>
          <w:sz w:val="19"/>
          <w:szCs w:val="19"/>
          <w:lang w:val="es-ES"/>
        </w:rPr>
      </w:pPr>
    </w:p>
  </w:footnote>
  <w:footnote w:id="16">
    <w:p w14:paraId="700C7538" w14:textId="77777777" w:rsidR="00EA03F6" w:rsidRPr="00EA03F6" w:rsidRDefault="00EA03F6" w:rsidP="00EA03F6">
      <w:pPr>
        <w:shd w:val="clear" w:color="auto" w:fill="FFFFFF"/>
        <w:ind w:firstLine="709"/>
        <w:jc w:val="both"/>
        <w:rPr>
          <w:rFonts w:ascii="Arial" w:hAnsi="Arial" w:cs="Arial"/>
          <w:sz w:val="19"/>
          <w:szCs w:val="19"/>
          <w:lang w:val="es-ES"/>
        </w:rPr>
      </w:pPr>
      <w:r w:rsidRPr="004A1D82">
        <w:rPr>
          <w:rStyle w:val="Refdenotaalpie"/>
          <w:rFonts w:ascii="Arial" w:hAnsi="Arial" w:cs="Arial"/>
          <w:sz w:val="19"/>
          <w:szCs w:val="19"/>
        </w:rPr>
        <w:footnoteRef/>
      </w:r>
      <w:r w:rsidRPr="00EA03F6">
        <w:rPr>
          <w:rStyle w:val="Refdenotaalpie"/>
          <w:rFonts w:ascii="Arial" w:hAnsi="Arial" w:cs="Arial"/>
          <w:sz w:val="19"/>
          <w:szCs w:val="19"/>
        </w:rPr>
        <w:t xml:space="preserve"> </w:t>
      </w:r>
      <w:r w:rsidRPr="00EA03F6">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17">
    <w:p w14:paraId="28F9DF7B"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Consejo de Estado. Sala de Consulta y Servicio Civil. Concepto del 08 de mayo de 2018. Exp. 2.382. C.P. Álvaro Namén Vargas.</w:t>
      </w:r>
    </w:p>
    <w:p w14:paraId="14FF2829" w14:textId="77777777" w:rsidR="00EA03F6" w:rsidRPr="00EA03F6" w:rsidRDefault="00EA03F6" w:rsidP="004A1D82">
      <w:pPr>
        <w:pStyle w:val="Textonotapie"/>
        <w:spacing w:before="0" w:after="0" w:line="240" w:lineRule="auto"/>
        <w:ind w:firstLine="709"/>
        <w:rPr>
          <w:rFonts w:ascii="Arial" w:hAnsi="Arial" w:cs="Arial"/>
          <w:sz w:val="19"/>
          <w:szCs w:val="19"/>
        </w:rPr>
      </w:pPr>
    </w:p>
  </w:footnote>
  <w:footnote w:id="18">
    <w:p w14:paraId="1BB46265"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Cfr. Concepto C-757 del 30 de diciembre de 2021.</w:t>
      </w:r>
    </w:p>
  </w:footnote>
  <w:footnote w:id="19">
    <w:p w14:paraId="722F8AB0"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24E88583" w14:textId="77777777" w:rsidR="00EA03F6" w:rsidRPr="00EA03F6" w:rsidRDefault="00EA03F6" w:rsidP="004A1D82">
      <w:pPr>
        <w:pStyle w:val="Textonotapie"/>
        <w:spacing w:before="0" w:after="0" w:line="240" w:lineRule="auto"/>
        <w:ind w:firstLine="709"/>
        <w:rPr>
          <w:rFonts w:ascii="Arial" w:hAnsi="Arial" w:cs="Arial"/>
          <w:sz w:val="19"/>
          <w:szCs w:val="19"/>
        </w:rPr>
      </w:pPr>
    </w:p>
  </w:footnote>
  <w:footnote w:id="20">
    <w:p w14:paraId="77B2D00A" w14:textId="169A7F2C" w:rsidR="001F13F0" w:rsidRDefault="001F13F0" w:rsidP="001F13F0">
      <w:pPr>
        <w:ind w:firstLine="709"/>
        <w:jc w:val="both"/>
        <w:rPr>
          <w:rFonts w:ascii="Arial" w:hAnsi="Arial" w:cs="Arial"/>
          <w:color w:val="000000" w:themeColor="text1"/>
          <w:sz w:val="19"/>
          <w:szCs w:val="19"/>
        </w:rPr>
      </w:pPr>
      <w:r w:rsidRPr="00C44EAA">
        <w:rPr>
          <w:rStyle w:val="Refdenotaalpie"/>
          <w:rFonts w:ascii="Arial" w:hAnsi="Arial" w:cs="Arial"/>
          <w:color w:val="000000" w:themeColor="text1"/>
          <w:sz w:val="19"/>
          <w:szCs w:val="19"/>
        </w:rPr>
        <w:footnoteRef/>
      </w:r>
      <w:r w:rsidRPr="00C44EAA">
        <w:rPr>
          <w:rFonts w:ascii="Arial" w:hAnsi="Arial" w:cs="Arial"/>
          <w:color w:val="000000" w:themeColor="text1"/>
          <w:sz w:val="19"/>
          <w:szCs w:val="19"/>
        </w:rPr>
        <w:t xml:space="preserve"> Consejo de Estado. Sala de Consulta y Servicio Civil. Concepto de 20 de febrero de 2006. Radicación Número: 11001-03-06-000-2006-00026-00 (1727).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400D7E92" w14:textId="77777777" w:rsidR="00017991" w:rsidRPr="00C44EAA" w:rsidRDefault="00017991" w:rsidP="001F13F0">
      <w:pPr>
        <w:ind w:firstLine="709"/>
        <w:jc w:val="both"/>
        <w:rPr>
          <w:rFonts w:ascii="Arial" w:hAnsi="Arial" w:cs="Arial"/>
          <w:color w:val="000000" w:themeColor="text1"/>
          <w:sz w:val="19"/>
          <w:szCs w:val="19"/>
        </w:rPr>
      </w:pPr>
    </w:p>
  </w:footnote>
  <w:footnote w:id="21">
    <w:p w14:paraId="3C79FF6E" w14:textId="77777777" w:rsidR="00EA03F6" w:rsidRPr="00EA03F6" w:rsidRDefault="00EA03F6" w:rsidP="004A1D82">
      <w:pPr>
        <w:pStyle w:val="Textonotapie"/>
        <w:spacing w:before="0" w:after="0" w:line="240" w:lineRule="auto"/>
        <w:ind w:firstLine="709"/>
        <w:rPr>
          <w:rFonts w:ascii="Arial" w:eastAsia="Times New Roman" w:hAnsi="Arial" w:cs="Arial"/>
          <w:bCs/>
          <w:sz w:val="19"/>
          <w:szCs w:val="19"/>
          <w:lang w:eastAsia="x-none"/>
        </w:rPr>
      </w:pPr>
      <w:r w:rsidRPr="004A1D82">
        <w:rPr>
          <w:rStyle w:val="Refdenotaalpie"/>
          <w:rFonts w:ascii="Arial" w:hAnsi="Arial" w:cs="Arial"/>
          <w:sz w:val="19"/>
          <w:szCs w:val="19"/>
        </w:rPr>
        <w:footnoteRef/>
      </w:r>
      <w:r w:rsidRPr="00EA03F6">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EA03F6">
        <w:rPr>
          <w:rFonts w:ascii="Arial" w:eastAsia="Times New Roman" w:hAnsi="Arial" w:cs="Arial"/>
          <w:bCs/>
          <w:sz w:val="19"/>
          <w:szCs w:val="19"/>
          <w:lang w:eastAsia="x-none"/>
        </w:rPr>
        <w:t xml:space="preserve"> «</w:t>
      </w:r>
      <w:r w:rsidRPr="00EA03F6">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EA03F6">
        <w:rPr>
          <w:rFonts w:ascii="Arial" w:eastAsia="Times New Roman" w:hAnsi="Arial" w:cs="Arial"/>
          <w:bCs/>
          <w:sz w:val="19"/>
          <w:szCs w:val="19"/>
          <w:lang w:eastAsia="x-none"/>
        </w:rPr>
        <w:t>».</w:t>
      </w:r>
    </w:p>
    <w:p w14:paraId="2F48E5B2" w14:textId="77777777" w:rsidR="00EA03F6" w:rsidRPr="00EA03F6" w:rsidRDefault="00EA03F6" w:rsidP="004A1D82">
      <w:pPr>
        <w:pStyle w:val="Textonotapie"/>
        <w:spacing w:before="0" w:after="0" w:line="240" w:lineRule="auto"/>
        <w:ind w:firstLine="709"/>
        <w:rPr>
          <w:rFonts w:ascii="Arial" w:hAnsi="Arial" w:cs="Arial"/>
          <w:sz w:val="19"/>
          <w:szCs w:val="19"/>
        </w:rPr>
      </w:pPr>
    </w:p>
  </w:footnote>
  <w:footnote w:id="22">
    <w:p w14:paraId="1AA0A320"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1F9EC4B7" w14:textId="77777777" w:rsidR="00EA03F6" w:rsidRPr="00EA03F6" w:rsidRDefault="00EA03F6" w:rsidP="004A1D82">
      <w:pPr>
        <w:pStyle w:val="Textonotapie"/>
        <w:spacing w:before="0" w:after="0" w:line="240" w:lineRule="auto"/>
        <w:ind w:firstLine="709"/>
        <w:rPr>
          <w:rFonts w:ascii="Arial" w:hAnsi="Arial" w:cs="Arial"/>
          <w:sz w:val="19"/>
          <w:szCs w:val="19"/>
        </w:rPr>
      </w:pPr>
    </w:p>
  </w:footnote>
  <w:footnote w:id="23">
    <w:p w14:paraId="28ED5BE6"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Consejo de Estado. Sala de Consulta y Servicio Civil, ídem.</w:t>
      </w:r>
    </w:p>
    <w:p w14:paraId="34EB61F8" w14:textId="77777777" w:rsidR="00EA03F6" w:rsidRPr="00EA03F6" w:rsidRDefault="00EA03F6" w:rsidP="004A1D82">
      <w:pPr>
        <w:pStyle w:val="Textonotapie"/>
        <w:spacing w:before="0" w:after="0" w:line="240" w:lineRule="auto"/>
        <w:ind w:firstLine="709"/>
        <w:rPr>
          <w:rFonts w:ascii="Arial" w:hAnsi="Arial" w:cs="Arial"/>
          <w:sz w:val="19"/>
          <w:szCs w:val="19"/>
        </w:rPr>
      </w:pPr>
    </w:p>
  </w:footnote>
  <w:footnote w:id="24">
    <w:p w14:paraId="451A31A6" w14:textId="77777777" w:rsidR="00EA03F6" w:rsidRPr="00EA03F6" w:rsidRDefault="00EA03F6" w:rsidP="004A1D82">
      <w:pPr>
        <w:pStyle w:val="Textonotapie"/>
        <w:spacing w:before="0" w:after="0" w:line="240" w:lineRule="auto"/>
        <w:ind w:firstLine="708"/>
        <w:rPr>
          <w:rFonts w:ascii="Arial" w:hAnsi="Arial" w:cs="Arial"/>
          <w:color w:val="000000" w:themeColor="text1"/>
          <w:sz w:val="19"/>
          <w:szCs w:val="19"/>
          <w:lang w:val="es-ES"/>
        </w:rPr>
      </w:pPr>
      <w:r w:rsidRPr="004A1D82">
        <w:rPr>
          <w:rStyle w:val="Refdenotaalpie"/>
          <w:rFonts w:ascii="Arial" w:hAnsi="Arial" w:cs="Arial"/>
          <w:sz w:val="19"/>
          <w:szCs w:val="19"/>
        </w:rPr>
        <w:footnoteRef/>
      </w:r>
      <w:hyperlink r:id="rId1" w:anchor=":~:text=La%20Ley%20de%20Garant%C3%ADas%20proh%C3%ADbe,de%20la%20Rep%C3%BAblica%20sea%20elegido" w:history="1">
        <w:r w:rsidRPr="00EA03F6">
          <w:rPr>
            <w:rStyle w:val="Hipervnculo"/>
            <w:rFonts w:ascii="Arial" w:hAnsi="Arial" w:cs="Arial"/>
            <w:color w:val="000000" w:themeColor="text1"/>
            <w:sz w:val="19"/>
            <w:szCs w:val="19"/>
            <w:lang w:val="es-ES"/>
          </w:rPr>
          <w:t>https://www.funcionpublica.gov.co/eva/gestornormativo/norma.php?i=173606#:~:text=La%20Ley%20de%20Garant%C3%ADas%20proh%C3%ADbe,de%20la%20Rep%C3%BAblica%20sea%20elegido</w:t>
        </w:r>
      </w:hyperlink>
      <w:r w:rsidRPr="00EA03F6">
        <w:rPr>
          <w:rFonts w:ascii="Arial" w:hAnsi="Arial" w:cs="Arial"/>
          <w:color w:val="000000" w:themeColor="text1"/>
          <w:sz w:val="19"/>
          <w:szCs w:val="19"/>
          <w:lang w:val="es-ES"/>
        </w:rPr>
        <w:t>.</w:t>
      </w:r>
    </w:p>
    <w:p w14:paraId="18EF7CE2" w14:textId="77777777" w:rsidR="00EA03F6" w:rsidRPr="004A1D82" w:rsidRDefault="00EA03F6" w:rsidP="004A1D82">
      <w:pPr>
        <w:pStyle w:val="Textonotapie"/>
        <w:spacing w:before="0" w:after="0" w:line="240" w:lineRule="auto"/>
        <w:ind w:firstLine="708"/>
        <w:rPr>
          <w:rFonts w:ascii="Arial" w:hAnsi="Arial" w:cs="Arial"/>
          <w:color w:val="000000" w:themeColor="text1"/>
          <w:sz w:val="19"/>
          <w:szCs w:val="19"/>
        </w:rPr>
      </w:pPr>
    </w:p>
  </w:footnote>
  <w:footnote w:id="25">
    <w:p w14:paraId="369699D5"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color w:val="000000" w:themeColor="text1"/>
          <w:sz w:val="19"/>
          <w:szCs w:val="19"/>
        </w:rPr>
        <w:t xml:space="preserve"> Consejo de Estado. Sala de Consulta y Servicio Civil. Concepto de 20 de febrero de2006. Radicación 11001</w:t>
      </w:r>
      <w:r w:rsidRPr="00EA03F6">
        <w:rPr>
          <w:rFonts w:ascii="Arial" w:hAnsi="Arial" w:cs="Arial"/>
          <w:sz w:val="19"/>
          <w:szCs w:val="19"/>
        </w:rPr>
        <w:t>-03-06-000-2006-00023-00(1724). Consejero Ponente: Flavio Augusto Rodríguez Arce.</w:t>
      </w:r>
    </w:p>
    <w:p w14:paraId="4A984EE7" w14:textId="77777777" w:rsidR="00EA03F6" w:rsidRPr="00EA03F6" w:rsidRDefault="00EA03F6" w:rsidP="004A1D82">
      <w:pPr>
        <w:pStyle w:val="Textonotapie"/>
        <w:spacing w:before="0" w:after="0" w:line="240" w:lineRule="auto"/>
        <w:ind w:firstLine="709"/>
        <w:rPr>
          <w:rFonts w:ascii="Arial" w:hAnsi="Arial" w:cs="Arial"/>
          <w:sz w:val="19"/>
          <w:szCs w:val="19"/>
        </w:rPr>
      </w:pPr>
    </w:p>
  </w:footnote>
  <w:footnote w:id="26">
    <w:p w14:paraId="5017DB8B" w14:textId="77777777" w:rsidR="00EA03F6" w:rsidRPr="00EA03F6" w:rsidRDefault="00EA03F6" w:rsidP="00EA03F6">
      <w:pPr>
        <w:ind w:firstLine="709"/>
        <w:jc w:val="both"/>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w:t>
      </w:r>
      <w:proofErr w:type="gramStart"/>
      <w:r w:rsidRPr="00EA03F6">
        <w:rPr>
          <w:rFonts w:ascii="Arial" w:hAnsi="Arial" w:cs="Arial"/>
          <w:sz w:val="19"/>
          <w:szCs w:val="19"/>
        </w:rPr>
        <w:t>y</w:t>
      </w:r>
      <w:proofErr w:type="gramEnd"/>
      <w:r w:rsidRPr="00EA03F6">
        <w:rPr>
          <w:rFonts w:ascii="Arial" w:hAnsi="Arial" w:cs="Arial"/>
          <w:sz w:val="19"/>
          <w:szCs w:val="19"/>
        </w:rPr>
        <w:t xml:space="preserve"> en consecuencia, le es aplicable lo establecido en el artículo 2.2.1.2.1.4.1 del presente decreto.</w:t>
      </w:r>
    </w:p>
    <w:p w14:paraId="3E4E455A" w14:textId="77777777" w:rsidR="00EA03F6" w:rsidRPr="00EA03F6" w:rsidRDefault="00EA03F6" w:rsidP="00EA03F6">
      <w:pPr>
        <w:ind w:firstLine="709"/>
        <w:jc w:val="both"/>
        <w:rPr>
          <w:rFonts w:ascii="Arial" w:hAnsi="Arial" w:cs="Arial"/>
          <w:sz w:val="19"/>
          <w:szCs w:val="19"/>
        </w:rPr>
      </w:pPr>
      <w:proofErr w:type="gramStart"/>
      <w:r w:rsidRPr="00EA03F6">
        <w:rPr>
          <w:rFonts w:ascii="Arial" w:hAnsi="Arial" w:cs="Arial"/>
          <w:sz w:val="19"/>
          <w:szCs w:val="19"/>
        </w:rPr>
        <w:t>»Cuando</w:t>
      </w:r>
      <w:proofErr w:type="gramEnd"/>
      <w:r w:rsidRPr="00EA03F6">
        <w:rPr>
          <w:rFonts w:ascii="Arial" w:hAnsi="Arial" w:cs="Arial"/>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EA03F6">
        <w:rPr>
          <w:rFonts w:ascii="Arial" w:hAnsi="Arial" w:cs="Arial"/>
          <w:spacing w:val="-1"/>
          <w:sz w:val="19"/>
          <w:szCs w:val="19"/>
        </w:rPr>
        <w:t xml:space="preserve"> </w:t>
      </w:r>
      <w:r w:rsidRPr="00EA03F6">
        <w:rPr>
          <w:rFonts w:ascii="Arial" w:hAnsi="Arial" w:cs="Arial"/>
          <w:sz w:val="19"/>
          <w:szCs w:val="19"/>
        </w:rPr>
        <w:t>Estatales».</w:t>
      </w:r>
    </w:p>
    <w:p w14:paraId="5BC77013" w14:textId="77777777" w:rsidR="00EA03F6" w:rsidRPr="00EA03F6" w:rsidRDefault="00EA03F6" w:rsidP="00EA03F6">
      <w:pPr>
        <w:ind w:firstLine="709"/>
        <w:jc w:val="both"/>
        <w:rPr>
          <w:rFonts w:ascii="Arial" w:hAnsi="Arial" w:cs="Arial"/>
          <w:sz w:val="19"/>
          <w:szCs w:val="19"/>
        </w:rPr>
      </w:pPr>
    </w:p>
  </w:footnote>
  <w:footnote w:id="27">
    <w:p w14:paraId="0D2375B4" w14:textId="77777777" w:rsidR="00EA03F6" w:rsidRPr="00EA03F6" w:rsidRDefault="00EA03F6" w:rsidP="00EA03F6">
      <w:pPr>
        <w:ind w:firstLine="709"/>
        <w:jc w:val="both"/>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EA03F6">
        <w:rPr>
          <w:rFonts w:ascii="Arial" w:hAnsi="Arial" w:cs="Arial"/>
          <w:spacing w:val="-6"/>
          <w:sz w:val="19"/>
          <w:szCs w:val="19"/>
        </w:rPr>
        <w:t xml:space="preserve"> </w:t>
      </w:r>
      <w:r w:rsidRPr="00EA03F6">
        <w:rPr>
          <w:rFonts w:ascii="Arial" w:hAnsi="Arial" w:cs="Arial"/>
          <w:sz w:val="19"/>
          <w:szCs w:val="19"/>
        </w:rPr>
        <w:t>artículo».</w:t>
      </w:r>
    </w:p>
    <w:p w14:paraId="246723FA" w14:textId="77777777" w:rsidR="00EA03F6" w:rsidRPr="00EA03F6" w:rsidRDefault="00EA03F6" w:rsidP="00EA03F6">
      <w:pPr>
        <w:ind w:firstLine="709"/>
        <w:jc w:val="both"/>
        <w:rPr>
          <w:rFonts w:ascii="Arial" w:hAnsi="Arial" w:cs="Arial"/>
          <w:sz w:val="19"/>
          <w:szCs w:val="19"/>
        </w:rPr>
      </w:pPr>
    </w:p>
  </w:footnote>
  <w:footnote w:id="28">
    <w:p w14:paraId="23DC0065" w14:textId="77777777" w:rsidR="00EA03F6" w:rsidRPr="00EA03F6" w:rsidRDefault="00EA03F6" w:rsidP="00EA03F6">
      <w:pPr>
        <w:ind w:firstLine="709"/>
        <w:jc w:val="both"/>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position w:val="7"/>
          <w:sz w:val="19"/>
          <w:szCs w:val="19"/>
        </w:rPr>
        <w:t xml:space="preserve"> </w:t>
      </w:r>
      <w:r w:rsidRPr="00EA03F6">
        <w:rPr>
          <w:rFonts w:ascii="Arial" w:hAnsi="Arial" w:cs="Arial"/>
          <w:sz w:val="19"/>
          <w:szCs w:val="19"/>
        </w:rPr>
        <w:t>Consejo de Estado. Sección Tercera. Sentencia del 23 de junio de 2010. Radicación No. 66001-23-31-000-1998-00261-01(17.860). Consejero Ponente: Mauricio Fajardo Gómez.</w:t>
      </w:r>
    </w:p>
  </w:footnote>
  <w:footnote w:id="29">
    <w:p w14:paraId="4A07DC9C" w14:textId="77777777" w:rsidR="00EA03F6" w:rsidRPr="00EA03F6" w:rsidRDefault="00EA03F6" w:rsidP="00EA03F6">
      <w:pPr>
        <w:ind w:firstLine="709"/>
        <w:jc w:val="both"/>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Consejo de Estado. Sección Tercera. Subsección C. Sentencia del 11 de diciembre de 2019. Exp. 46.986. C.P. Jaime Enrique Rodríguez Navas.</w:t>
      </w:r>
    </w:p>
    <w:p w14:paraId="2AA7362C" w14:textId="77777777" w:rsidR="00EA03F6" w:rsidRPr="00EA03F6" w:rsidRDefault="00EA03F6" w:rsidP="00EA03F6">
      <w:pPr>
        <w:ind w:firstLine="709"/>
        <w:jc w:val="both"/>
        <w:rPr>
          <w:rFonts w:ascii="Arial" w:hAnsi="Arial" w:cs="Arial"/>
          <w:sz w:val="19"/>
          <w:szCs w:val="19"/>
        </w:rPr>
      </w:pPr>
    </w:p>
  </w:footnote>
  <w:footnote w:id="30">
    <w:p w14:paraId="6BD6063B"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[Referencia propia de la cita] «CE. SCSC. Concepto de 1 de noviembre de 2016 [Rad. 11001-03-06-000-2016-00125-00(2305)]. MP. Germán Alberto Bula Escobar».</w:t>
      </w:r>
    </w:p>
    <w:p w14:paraId="0CB9F3E2" w14:textId="77777777" w:rsidR="00EA03F6" w:rsidRPr="00EA03F6" w:rsidRDefault="00EA03F6" w:rsidP="004A1D82">
      <w:pPr>
        <w:pStyle w:val="Textonotapie"/>
        <w:spacing w:before="0" w:after="0" w:line="240" w:lineRule="auto"/>
        <w:ind w:firstLine="709"/>
        <w:rPr>
          <w:rFonts w:ascii="Arial" w:hAnsi="Arial" w:cs="Arial"/>
          <w:sz w:val="19"/>
          <w:szCs w:val="19"/>
        </w:rPr>
      </w:pPr>
    </w:p>
  </w:footnote>
  <w:footnote w:id="31">
    <w:p w14:paraId="54CDCEB0"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EA03F6">
        <w:rPr>
          <w:rFonts w:ascii="Arial" w:hAnsi="Arial" w:cs="Arial"/>
          <w:i/>
          <w:sz w:val="19"/>
          <w:szCs w:val="19"/>
        </w:rPr>
        <w:t>“obligacional”</w:t>
      </w:r>
      <w:r w:rsidRPr="00EA03F6">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2">
    <w:p w14:paraId="767F0881"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[Referencia propia de la cita] «La normativa vigente del EGCAP </w:t>
      </w:r>
      <w:r w:rsidRPr="00EA03F6">
        <w:rPr>
          <w:rFonts w:ascii="Arial" w:hAnsi="Arial" w:cs="Arial"/>
          <w:i/>
          <w:sz w:val="19"/>
          <w:szCs w:val="19"/>
        </w:rPr>
        <w:t>[literal c) del numeral 4. del artículo 2 de la Ley 1150/07]</w:t>
      </w:r>
      <w:r w:rsidRPr="00EA03F6">
        <w:rPr>
          <w:rFonts w:ascii="Arial" w:hAnsi="Arial" w:cs="Arial"/>
          <w:sz w:val="19"/>
          <w:szCs w:val="19"/>
        </w:rPr>
        <w:t xml:space="preserve"> se refiere a </w:t>
      </w:r>
      <w:r w:rsidRPr="00EA03F6">
        <w:rPr>
          <w:rFonts w:ascii="Arial" w:hAnsi="Arial" w:cs="Arial"/>
          <w:i/>
          <w:sz w:val="19"/>
          <w:szCs w:val="19"/>
        </w:rPr>
        <w:t>“contratos interadministrativos”</w:t>
      </w:r>
      <w:r w:rsidRPr="00EA03F6">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02764383" w14:textId="77777777" w:rsidR="00EA03F6" w:rsidRPr="00EA03F6" w:rsidRDefault="00EA03F6" w:rsidP="004A1D82">
      <w:pPr>
        <w:pStyle w:val="Textonotapie"/>
        <w:spacing w:before="0" w:after="0" w:line="240" w:lineRule="auto"/>
        <w:ind w:firstLine="709"/>
        <w:rPr>
          <w:rFonts w:ascii="Arial" w:hAnsi="Arial" w:cs="Arial"/>
          <w:sz w:val="19"/>
          <w:szCs w:val="19"/>
        </w:rPr>
      </w:pPr>
    </w:p>
  </w:footnote>
  <w:footnote w:id="33">
    <w:p w14:paraId="0E08BBCE"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00197EB2" w14:textId="77777777" w:rsidR="00EA03F6" w:rsidRPr="00EA03F6" w:rsidRDefault="00EA03F6" w:rsidP="004A1D82">
      <w:pPr>
        <w:pStyle w:val="Textonotapie"/>
        <w:spacing w:before="0" w:after="0" w:line="240" w:lineRule="auto"/>
        <w:ind w:firstLine="709"/>
        <w:rPr>
          <w:rFonts w:ascii="Arial" w:hAnsi="Arial" w:cs="Arial"/>
          <w:sz w:val="19"/>
          <w:szCs w:val="19"/>
        </w:rPr>
      </w:pPr>
    </w:p>
  </w:footnote>
  <w:footnote w:id="34">
    <w:p w14:paraId="6D1E2743"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Es lo que sucede, por ejemplo, con el Decreto 092 de 2017, que en su desarrollo hace referencia tanto a los «contratos» como a los «convenios». </w:t>
      </w:r>
    </w:p>
    <w:p w14:paraId="38D522D0" w14:textId="77777777" w:rsidR="00EA03F6" w:rsidRPr="00EA03F6" w:rsidRDefault="00EA03F6" w:rsidP="004A1D82">
      <w:pPr>
        <w:pStyle w:val="Textonotapie"/>
        <w:spacing w:before="0" w:after="0" w:line="240" w:lineRule="auto"/>
        <w:ind w:firstLine="709"/>
        <w:rPr>
          <w:rFonts w:ascii="Arial" w:hAnsi="Arial" w:cs="Arial"/>
          <w:sz w:val="19"/>
          <w:szCs w:val="19"/>
          <w:lang w:val="es-CO"/>
        </w:rPr>
      </w:pPr>
    </w:p>
  </w:footnote>
  <w:footnote w:id="35">
    <w:p w14:paraId="63A55536" w14:textId="77777777" w:rsidR="00EA03F6" w:rsidRPr="00EA03F6" w:rsidRDefault="00EA03F6" w:rsidP="004A1D82">
      <w:pPr>
        <w:pStyle w:val="Textonotapie"/>
        <w:spacing w:before="0" w:after="0" w:line="240" w:lineRule="auto"/>
        <w:ind w:firstLine="709"/>
        <w:rPr>
          <w:rFonts w:ascii="Arial" w:hAnsi="Arial" w:cs="Arial"/>
          <w:sz w:val="19"/>
          <w:szCs w:val="19"/>
          <w:lang w:val="es-CO"/>
        </w:rPr>
      </w:pPr>
      <w:r w:rsidRPr="004A1D82">
        <w:rPr>
          <w:rStyle w:val="Refdenotaalpie"/>
          <w:rFonts w:ascii="Arial" w:hAnsi="Arial" w:cs="Arial"/>
          <w:sz w:val="19"/>
          <w:szCs w:val="19"/>
        </w:rPr>
        <w:footnoteRef/>
      </w:r>
      <w:r w:rsidRPr="00EA03F6">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6">
    <w:p w14:paraId="58C2D5AD"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37">
    <w:p w14:paraId="458C3E9D" w14:textId="77777777" w:rsidR="00EA03F6" w:rsidRPr="00EA03F6" w:rsidRDefault="00EA03F6" w:rsidP="004A1D82">
      <w:pPr>
        <w:pStyle w:val="Textonotapie"/>
        <w:spacing w:before="0" w:after="0" w:line="240" w:lineRule="auto"/>
        <w:ind w:firstLine="709"/>
        <w:rPr>
          <w:rFonts w:ascii="Arial" w:hAnsi="Arial" w:cs="Arial"/>
          <w:sz w:val="19"/>
          <w:szCs w:val="19"/>
        </w:rPr>
      </w:pPr>
    </w:p>
    <w:p w14:paraId="304AF509" w14:textId="77777777" w:rsidR="00EA03F6" w:rsidRPr="00EA03F6" w:rsidRDefault="00EA03F6" w:rsidP="004A1D82">
      <w:pPr>
        <w:pStyle w:val="Textonotapie"/>
        <w:spacing w:before="0" w:after="0" w:line="240" w:lineRule="auto"/>
        <w:ind w:firstLine="709"/>
        <w:rPr>
          <w:rFonts w:ascii="Arial" w:hAnsi="Arial" w:cs="Arial"/>
          <w:sz w:val="19"/>
          <w:szCs w:val="19"/>
        </w:rPr>
      </w:pPr>
      <w:r w:rsidRPr="004A1D82">
        <w:rPr>
          <w:rStyle w:val="Refdenotaalpie"/>
          <w:rFonts w:ascii="Arial" w:hAnsi="Arial" w:cs="Arial"/>
          <w:sz w:val="19"/>
          <w:szCs w:val="19"/>
        </w:rPr>
        <w:footnoteRef/>
      </w:r>
      <w:r w:rsidRPr="00EA03F6">
        <w:rPr>
          <w:rFonts w:ascii="Arial" w:hAnsi="Arial" w:cs="Arial"/>
          <w:sz w:val="19"/>
          <w:szCs w:val="19"/>
        </w:rPr>
        <w:t xml:space="preserve"> Consejo de Estado. Sala de Consulta y Servicio Civil. Concepto del 15 de noviembre de 2007. Expediente número 1863. Consejero Ponente: Luis Fernando Álvarez Jaramillo.</w:t>
      </w:r>
    </w:p>
    <w:p w14:paraId="46A7389B" w14:textId="77777777" w:rsidR="00EA03F6" w:rsidRPr="00EA03F6" w:rsidRDefault="00EA03F6" w:rsidP="004A1D82">
      <w:pPr>
        <w:pStyle w:val="Textonotapie"/>
        <w:spacing w:before="0" w:after="0" w:line="240" w:lineRule="auto"/>
        <w:ind w:firstLine="709"/>
        <w:rPr>
          <w:rFonts w:ascii="Arial" w:hAnsi="Arial" w:cs="Arial"/>
          <w:sz w:val="19"/>
          <w:szCs w:val="19"/>
          <w:lang w:val="es-CO"/>
        </w:rPr>
      </w:pPr>
    </w:p>
  </w:footnote>
  <w:footnote w:id="38">
    <w:p w14:paraId="7B637EC4" w14:textId="77777777" w:rsidR="005B71F9" w:rsidRPr="00EA03F6" w:rsidRDefault="005B71F9" w:rsidP="005B71F9">
      <w:pPr>
        <w:pStyle w:val="Textonotapie"/>
        <w:spacing w:before="0" w:after="0" w:line="240" w:lineRule="auto"/>
        <w:ind w:firstLine="708"/>
        <w:rPr>
          <w:rFonts w:ascii="Arial" w:hAnsi="Arial" w:cs="Arial"/>
          <w:color w:val="000000" w:themeColor="text1"/>
          <w:sz w:val="19"/>
          <w:szCs w:val="19"/>
          <w:lang w:val="es-ES"/>
        </w:rPr>
      </w:pPr>
      <w:r w:rsidRPr="00C44EAA">
        <w:rPr>
          <w:rStyle w:val="Refdenotaalpie"/>
          <w:rFonts w:ascii="Arial" w:hAnsi="Arial" w:cs="Arial"/>
          <w:sz w:val="19"/>
          <w:szCs w:val="19"/>
        </w:rPr>
        <w:footnoteRef/>
      </w:r>
      <w:hyperlink r:id="rId2" w:anchor=":~:text=La%20Ley%20de%20Garant%C3%ADas%20proh%C3%ADbe,de%20la%20Rep%C3%BAblica%20sea%20elegido" w:history="1">
        <w:r w:rsidRPr="00EA03F6">
          <w:rPr>
            <w:rStyle w:val="Hipervnculo"/>
            <w:rFonts w:ascii="Arial" w:hAnsi="Arial" w:cs="Arial"/>
            <w:color w:val="000000" w:themeColor="text1"/>
            <w:sz w:val="19"/>
            <w:szCs w:val="19"/>
            <w:lang w:val="es-ES"/>
          </w:rPr>
          <w:t>https://www.funcionpublica.gov.co/eva/gestornormativo/norma.php?i=173606#:~:text=La%20Ley%20de%20Garant%C3%ADas%20proh%C3%ADbe,de%20la%20Rep%C3%BAblica%20sea%20elegido</w:t>
        </w:r>
      </w:hyperlink>
      <w:r w:rsidRPr="00EA03F6">
        <w:rPr>
          <w:rFonts w:ascii="Arial" w:hAnsi="Arial" w:cs="Arial"/>
          <w:color w:val="000000" w:themeColor="text1"/>
          <w:sz w:val="19"/>
          <w:szCs w:val="19"/>
          <w:lang w:val="es-ES"/>
        </w:rPr>
        <w:t>.</w:t>
      </w:r>
    </w:p>
    <w:p w14:paraId="33032209" w14:textId="77777777" w:rsidR="005B71F9" w:rsidRPr="00C44EAA" w:rsidRDefault="005B71F9" w:rsidP="005B71F9">
      <w:pPr>
        <w:pStyle w:val="Textonotapie"/>
        <w:spacing w:before="0" w:after="0" w:line="240" w:lineRule="auto"/>
        <w:ind w:firstLine="708"/>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6"/>
  </w:num>
  <w:num w:numId="4">
    <w:abstractNumId w:val="7"/>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70A8"/>
    <w:rsid w:val="0001231C"/>
    <w:rsid w:val="000135A1"/>
    <w:rsid w:val="00013F7C"/>
    <w:rsid w:val="00015E80"/>
    <w:rsid w:val="00015F78"/>
    <w:rsid w:val="000169A0"/>
    <w:rsid w:val="00016D26"/>
    <w:rsid w:val="00016D2E"/>
    <w:rsid w:val="00017253"/>
    <w:rsid w:val="00017991"/>
    <w:rsid w:val="000205F1"/>
    <w:rsid w:val="000210DF"/>
    <w:rsid w:val="0002271C"/>
    <w:rsid w:val="000229A9"/>
    <w:rsid w:val="00023CD9"/>
    <w:rsid w:val="00024653"/>
    <w:rsid w:val="000268E2"/>
    <w:rsid w:val="000300C6"/>
    <w:rsid w:val="000319A6"/>
    <w:rsid w:val="00032989"/>
    <w:rsid w:val="00032A51"/>
    <w:rsid w:val="00033C14"/>
    <w:rsid w:val="00033D8C"/>
    <w:rsid w:val="00034398"/>
    <w:rsid w:val="00034663"/>
    <w:rsid w:val="00040044"/>
    <w:rsid w:val="000414BE"/>
    <w:rsid w:val="000432DF"/>
    <w:rsid w:val="00044D8C"/>
    <w:rsid w:val="00050C64"/>
    <w:rsid w:val="0005181E"/>
    <w:rsid w:val="00053136"/>
    <w:rsid w:val="000540E1"/>
    <w:rsid w:val="00054817"/>
    <w:rsid w:val="000641A8"/>
    <w:rsid w:val="0006467C"/>
    <w:rsid w:val="0006474E"/>
    <w:rsid w:val="00065205"/>
    <w:rsid w:val="00071132"/>
    <w:rsid w:val="00071351"/>
    <w:rsid w:val="000716B2"/>
    <w:rsid w:val="0007405A"/>
    <w:rsid w:val="00074BEE"/>
    <w:rsid w:val="00076B31"/>
    <w:rsid w:val="000770DB"/>
    <w:rsid w:val="00082CE0"/>
    <w:rsid w:val="00084B97"/>
    <w:rsid w:val="00086D8D"/>
    <w:rsid w:val="000877B5"/>
    <w:rsid w:val="000902BC"/>
    <w:rsid w:val="00091AC6"/>
    <w:rsid w:val="00092617"/>
    <w:rsid w:val="00092B6A"/>
    <w:rsid w:val="000942EB"/>
    <w:rsid w:val="000943FC"/>
    <w:rsid w:val="0009763D"/>
    <w:rsid w:val="000A4DD7"/>
    <w:rsid w:val="000A5915"/>
    <w:rsid w:val="000B076C"/>
    <w:rsid w:val="000B0E61"/>
    <w:rsid w:val="000B103F"/>
    <w:rsid w:val="000B2D9A"/>
    <w:rsid w:val="000B5C13"/>
    <w:rsid w:val="000C00A2"/>
    <w:rsid w:val="000C1515"/>
    <w:rsid w:val="000C3232"/>
    <w:rsid w:val="000C394F"/>
    <w:rsid w:val="000C3F9B"/>
    <w:rsid w:val="000C4E3E"/>
    <w:rsid w:val="000C5512"/>
    <w:rsid w:val="000C5D99"/>
    <w:rsid w:val="000D1837"/>
    <w:rsid w:val="000D186A"/>
    <w:rsid w:val="000D25BC"/>
    <w:rsid w:val="000D7953"/>
    <w:rsid w:val="000D7A0F"/>
    <w:rsid w:val="000E0DED"/>
    <w:rsid w:val="000E3909"/>
    <w:rsid w:val="000E6563"/>
    <w:rsid w:val="000E739D"/>
    <w:rsid w:val="000F091C"/>
    <w:rsid w:val="000F14E8"/>
    <w:rsid w:val="000F2AA2"/>
    <w:rsid w:val="000F4695"/>
    <w:rsid w:val="000F7FC3"/>
    <w:rsid w:val="00100D69"/>
    <w:rsid w:val="00101018"/>
    <w:rsid w:val="00103915"/>
    <w:rsid w:val="001072DB"/>
    <w:rsid w:val="001078AA"/>
    <w:rsid w:val="00110CE1"/>
    <w:rsid w:val="001112FD"/>
    <w:rsid w:val="0011178C"/>
    <w:rsid w:val="00111CDF"/>
    <w:rsid w:val="001124EB"/>
    <w:rsid w:val="00113157"/>
    <w:rsid w:val="00114327"/>
    <w:rsid w:val="00114900"/>
    <w:rsid w:val="0011520A"/>
    <w:rsid w:val="001155B8"/>
    <w:rsid w:val="00116C84"/>
    <w:rsid w:val="0011766B"/>
    <w:rsid w:val="00120D67"/>
    <w:rsid w:val="001214BC"/>
    <w:rsid w:val="00122B23"/>
    <w:rsid w:val="00122B9A"/>
    <w:rsid w:val="00123BE2"/>
    <w:rsid w:val="00124A82"/>
    <w:rsid w:val="00130457"/>
    <w:rsid w:val="001336B2"/>
    <w:rsid w:val="00133F8F"/>
    <w:rsid w:val="00134D65"/>
    <w:rsid w:val="0013770F"/>
    <w:rsid w:val="001377EC"/>
    <w:rsid w:val="00137E66"/>
    <w:rsid w:val="00137FFA"/>
    <w:rsid w:val="0014071F"/>
    <w:rsid w:val="00141B41"/>
    <w:rsid w:val="00141CCA"/>
    <w:rsid w:val="0014214B"/>
    <w:rsid w:val="00142560"/>
    <w:rsid w:val="001429C2"/>
    <w:rsid w:val="00143D03"/>
    <w:rsid w:val="00150CB3"/>
    <w:rsid w:val="00151129"/>
    <w:rsid w:val="00151936"/>
    <w:rsid w:val="00152FDA"/>
    <w:rsid w:val="00154785"/>
    <w:rsid w:val="00155B3D"/>
    <w:rsid w:val="00155C13"/>
    <w:rsid w:val="00160CB0"/>
    <w:rsid w:val="00161A37"/>
    <w:rsid w:val="001643A4"/>
    <w:rsid w:val="00165347"/>
    <w:rsid w:val="00165995"/>
    <w:rsid w:val="00171685"/>
    <w:rsid w:val="0017335A"/>
    <w:rsid w:val="00180188"/>
    <w:rsid w:val="001824DD"/>
    <w:rsid w:val="00182A86"/>
    <w:rsid w:val="00182EEE"/>
    <w:rsid w:val="0018335C"/>
    <w:rsid w:val="00190961"/>
    <w:rsid w:val="00191C4D"/>
    <w:rsid w:val="00192CDC"/>
    <w:rsid w:val="00192CE0"/>
    <w:rsid w:val="00194867"/>
    <w:rsid w:val="001961C8"/>
    <w:rsid w:val="00197BB3"/>
    <w:rsid w:val="001A0A19"/>
    <w:rsid w:val="001A0E7A"/>
    <w:rsid w:val="001A1753"/>
    <w:rsid w:val="001A78DE"/>
    <w:rsid w:val="001A7FD7"/>
    <w:rsid w:val="001B0444"/>
    <w:rsid w:val="001B0BE3"/>
    <w:rsid w:val="001B2F08"/>
    <w:rsid w:val="001B39FA"/>
    <w:rsid w:val="001B5217"/>
    <w:rsid w:val="001C01AF"/>
    <w:rsid w:val="001C24BF"/>
    <w:rsid w:val="001C47C8"/>
    <w:rsid w:val="001C6F95"/>
    <w:rsid w:val="001C763E"/>
    <w:rsid w:val="001D17C2"/>
    <w:rsid w:val="001D2F93"/>
    <w:rsid w:val="001D2FC9"/>
    <w:rsid w:val="001D30D8"/>
    <w:rsid w:val="001D4EA4"/>
    <w:rsid w:val="001D567B"/>
    <w:rsid w:val="001D612F"/>
    <w:rsid w:val="001E01F9"/>
    <w:rsid w:val="001E074F"/>
    <w:rsid w:val="001E1959"/>
    <w:rsid w:val="001E1EEE"/>
    <w:rsid w:val="001E2866"/>
    <w:rsid w:val="001E2A7A"/>
    <w:rsid w:val="001E4B0D"/>
    <w:rsid w:val="001E7D79"/>
    <w:rsid w:val="001F13F0"/>
    <w:rsid w:val="001F4D43"/>
    <w:rsid w:val="001F4F5C"/>
    <w:rsid w:val="001F5388"/>
    <w:rsid w:val="001F5745"/>
    <w:rsid w:val="001F6290"/>
    <w:rsid w:val="001F6378"/>
    <w:rsid w:val="001F7341"/>
    <w:rsid w:val="0020001F"/>
    <w:rsid w:val="00200651"/>
    <w:rsid w:val="002025CC"/>
    <w:rsid w:val="00203E16"/>
    <w:rsid w:val="00204675"/>
    <w:rsid w:val="00205185"/>
    <w:rsid w:val="00205753"/>
    <w:rsid w:val="00205CAE"/>
    <w:rsid w:val="0020632A"/>
    <w:rsid w:val="002076CC"/>
    <w:rsid w:val="00210A2D"/>
    <w:rsid w:val="00210DF2"/>
    <w:rsid w:val="002110EB"/>
    <w:rsid w:val="00211338"/>
    <w:rsid w:val="00213541"/>
    <w:rsid w:val="0021518A"/>
    <w:rsid w:val="00215B97"/>
    <w:rsid w:val="00216AEE"/>
    <w:rsid w:val="00216E64"/>
    <w:rsid w:val="002177D9"/>
    <w:rsid w:val="00217988"/>
    <w:rsid w:val="00217C7F"/>
    <w:rsid w:val="00220120"/>
    <w:rsid w:val="00220E20"/>
    <w:rsid w:val="00223E65"/>
    <w:rsid w:val="002270C0"/>
    <w:rsid w:val="002309D1"/>
    <w:rsid w:val="00230F89"/>
    <w:rsid w:val="00233909"/>
    <w:rsid w:val="002339D3"/>
    <w:rsid w:val="00234113"/>
    <w:rsid w:val="00234B84"/>
    <w:rsid w:val="00234C1A"/>
    <w:rsid w:val="002364D4"/>
    <w:rsid w:val="0023691B"/>
    <w:rsid w:val="002379B1"/>
    <w:rsid w:val="002409B6"/>
    <w:rsid w:val="002421C9"/>
    <w:rsid w:val="002456DB"/>
    <w:rsid w:val="00246944"/>
    <w:rsid w:val="0025069C"/>
    <w:rsid w:val="0025151A"/>
    <w:rsid w:val="002534F1"/>
    <w:rsid w:val="002538B5"/>
    <w:rsid w:val="00254711"/>
    <w:rsid w:val="00255215"/>
    <w:rsid w:val="00255D2C"/>
    <w:rsid w:val="002576FD"/>
    <w:rsid w:val="002627A8"/>
    <w:rsid w:val="0026362F"/>
    <w:rsid w:val="00263755"/>
    <w:rsid w:val="0026403D"/>
    <w:rsid w:val="002647F7"/>
    <w:rsid w:val="00264E94"/>
    <w:rsid w:val="00264FB8"/>
    <w:rsid w:val="002654C1"/>
    <w:rsid w:val="0026616C"/>
    <w:rsid w:val="00267A47"/>
    <w:rsid w:val="00267DDA"/>
    <w:rsid w:val="002708A2"/>
    <w:rsid w:val="00271043"/>
    <w:rsid w:val="002737FD"/>
    <w:rsid w:val="00273E83"/>
    <w:rsid w:val="00275E86"/>
    <w:rsid w:val="002801C7"/>
    <w:rsid w:val="00285503"/>
    <w:rsid w:val="00285AC8"/>
    <w:rsid w:val="00285AC9"/>
    <w:rsid w:val="00286089"/>
    <w:rsid w:val="00287343"/>
    <w:rsid w:val="00287741"/>
    <w:rsid w:val="00290E9F"/>
    <w:rsid w:val="002914E1"/>
    <w:rsid w:val="00291C4F"/>
    <w:rsid w:val="00291FE3"/>
    <w:rsid w:val="002938BD"/>
    <w:rsid w:val="00293BBD"/>
    <w:rsid w:val="002941C6"/>
    <w:rsid w:val="002A3C35"/>
    <w:rsid w:val="002A4F9E"/>
    <w:rsid w:val="002A5498"/>
    <w:rsid w:val="002A5F87"/>
    <w:rsid w:val="002A695B"/>
    <w:rsid w:val="002B3433"/>
    <w:rsid w:val="002B41FB"/>
    <w:rsid w:val="002B4390"/>
    <w:rsid w:val="002B4DA5"/>
    <w:rsid w:val="002B55C7"/>
    <w:rsid w:val="002C216A"/>
    <w:rsid w:val="002C28E1"/>
    <w:rsid w:val="002C2D1E"/>
    <w:rsid w:val="002C32E1"/>
    <w:rsid w:val="002C40FB"/>
    <w:rsid w:val="002C4C0C"/>
    <w:rsid w:val="002C57C8"/>
    <w:rsid w:val="002C6821"/>
    <w:rsid w:val="002D155C"/>
    <w:rsid w:val="002D2CD0"/>
    <w:rsid w:val="002D481A"/>
    <w:rsid w:val="002D65E2"/>
    <w:rsid w:val="002D7275"/>
    <w:rsid w:val="002E06A1"/>
    <w:rsid w:val="002E7979"/>
    <w:rsid w:val="002F334B"/>
    <w:rsid w:val="002F4470"/>
    <w:rsid w:val="002F7BD7"/>
    <w:rsid w:val="003033BA"/>
    <w:rsid w:val="00304580"/>
    <w:rsid w:val="0030589C"/>
    <w:rsid w:val="00306C30"/>
    <w:rsid w:val="00307067"/>
    <w:rsid w:val="003073C0"/>
    <w:rsid w:val="003078D7"/>
    <w:rsid w:val="003108EF"/>
    <w:rsid w:val="0031206F"/>
    <w:rsid w:val="00312204"/>
    <w:rsid w:val="00312D89"/>
    <w:rsid w:val="00314C7D"/>
    <w:rsid w:val="00316214"/>
    <w:rsid w:val="003162C8"/>
    <w:rsid w:val="00321018"/>
    <w:rsid w:val="00322937"/>
    <w:rsid w:val="0032350A"/>
    <w:rsid w:val="003238A9"/>
    <w:rsid w:val="00327549"/>
    <w:rsid w:val="00327CEB"/>
    <w:rsid w:val="00330722"/>
    <w:rsid w:val="00334638"/>
    <w:rsid w:val="003404C6"/>
    <w:rsid w:val="0034177C"/>
    <w:rsid w:val="003429F6"/>
    <w:rsid w:val="00344B03"/>
    <w:rsid w:val="00345705"/>
    <w:rsid w:val="0034680A"/>
    <w:rsid w:val="00347024"/>
    <w:rsid w:val="00350DA7"/>
    <w:rsid w:val="00353653"/>
    <w:rsid w:val="00353DD5"/>
    <w:rsid w:val="00353EE8"/>
    <w:rsid w:val="00355084"/>
    <w:rsid w:val="00355E8C"/>
    <w:rsid w:val="00357167"/>
    <w:rsid w:val="00361495"/>
    <w:rsid w:val="00364EF6"/>
    <w:rsid w:val="003652E7"/>
    <w:rsid w:val="00366283"/>
    <w:rsid w:val="00366693"/>
    <w:rsid w:val="00371F43"/>
    <w:rsid w:val="00372E26"/>
    <w:rsid w:val="003754D2"/>
    <w:rsid w:val="00376930"/>
    <w:rsid w:val="00381C32"/>
    <w:rsid w:val="00384C43"/>
    <w:rsid w:val="00385CF3"/>
    <w:rsid w:val="00386456"/>
    <w:rsid w:val="003901B3"/>
    <w:rsid w:val="003903B0"/>
    <w:rsid w:val="00390C02"/>
    <w:rsid w:val="003912A3"/>
    <w:rsid w:val="0039143D"/>
    <w:rsid w:val="003949EE"/>
    <w:rsid w:val="003964D5"/>
    <w:rsid w:val="003A0878"/>
    <w:rsid w:val="003A0EBE"/>
    <w:rsid w:val="003A581E"/>
    <w:rsid w:val="003A5E90"/>
    <w:rsid w:val="003A6751"/>
    <w:rsid w:val="003A7F89"/>
    <w:rsid w:val="003B027A"/>
    <w:rsid w:val="003B1735"/>
    <w:rsid w:val="003B2341"/>
    <w:rsid w:val="003B267F"/>
    <w:rsid w:val="003B43DB"/>
    <w:rsid w:val="003B49DA"/>
    <w:rsid w:val="003B73DE"/>
    <w:rsid w:val="003C01B1"/>
    <w:rsid w:val="003C75FC"/>
    <w:rsid w:val="003D1BE9"/>
    <w:rsid w:val="003D33FF"/>
    <w:rsid w:val="003D3D29"/>
    <w:rsid w:val="003D3D9D"/>
    <w:rsid w:val="003D43B0"/>
    <w:rsid w:val="003D45AC"/>
    <w:rsid w:val="003D527E"/>
    <w:rsid w:val="003D7E29"/>
    <w:rsid w:val="003E0D9E"/>
    <w:rsid w:val="003E1992"/>
    <w:rsid w:val="003E4A30"/>
    <w:rsid w:val="003E6423"/>
    <w:rsid w:val="003E6884"/>
    <w:rsid w:val="003E7AA5"/>
    <w:rsid w:val="003F00C3"/>
    <w:rsid w:val="003F0161"/>
    <w:rsid w:val="003F18DE"/>
    <w:rsid w:val="0040246E"/>
    <w:rsid w:val="004030F2"/>
    <w:rsid w:val="00405913"/>
    <w:rsid w:val="00406251"/>
    <w:rsid w:val="004068DE"/>
    <w:rsid w:val="00406A1A"/>
    <w:rsid w:val="0040799E"/>
    <w:rsid w:val="00413C8D"/>
    <w:rsid w:val="00413E61"/>
    <w:rsid w:val="00414152"/>
    <w:rsid w:val="00415DDE"/>
    <w:rsid w:val="00416308"/>
    <w:rsid w:val="00416996"/>
    <w:rsid w:val="00421624"/>
    <w:rsid w:val="00421DF6"/>
    <w:rsid w:val="004228D3"/>
    <w:rsid w:val="00423F66"/>
    <w:rsid w:val="00423F9F"/>
    <w:rsid w:val="00425FD7"/>
    <w:rsid w:val="00427F2F"/>
    <w:rsid w:val="00430D86"/>
    <w:rsid w:val="00432AD1"/>
    <w:rsid w:val="00432B52"/>
    <w:rsid w:val="00433494"/>
    <w:rsid w:val="00434140"/>
    <w:rsid w:val="00435826"/>
    <w:rsid w:val="0043612C"/>
    <w:rsid w:val="004376B9"/>
    <w:rsid w:val="00437BA7"/>
    <w:rsid w:val="00440848"/>
    <w:rsid w:val="004422D6"/>
    <w:rsid w:val="0044490E"/>
    <w:rsid w:val="00446E21"/>
    <w:rsid w:val="00447165"/>
    <w:rsid w:val="00447729"/>
    <w:rsid w:val="00452F9A"/>
    <w:rsid w:val="00457110"/>
    <w:rsid w:val="00460D1C"/>
    <w:rsid w:val="00464311"/>
    <w:rsid w:val="00464CF8"/>
    <w:rsid w:val="00466026"/>
    <w:rsid w:val="0046603E"/>
    <w:rsid w:val="00466082"/>
    <w:rsid w:val="0046653B"/>
    <w:rsid w:val="0046694E"/>
    <w:rsid w:val="0047380F"/>
    <w:rsid w:val="0047426F"/>
    <w:rsid w:val="0047453E"/>
    <w:rsid w:val="004746AD"/>
    <w:rsid w:val="00475F18"/>
    <w:rsid w:val="00477514"/>
    <w:rsid w:val="004779F8"/>
    <w:rsid w:val="00480824"/>
    <w:rsid w:val="00480D03"/>
    <w:rsid w:val="00480ECA"/>
    <w:rsid w:val="004861E4"/>
    <w:rsid w:val="0048674D"/>
    <w:rsid w:val="004870BB"/>
    <w:rsid w:val="004872D8"/>
    <w:rsid w:val="0048754A"/>
    <w:rsid w:val="00487C10"/>
    <w:rsid w:val="00490A62"/>
    <w:rsid w:val="0049241A"/>
    <w:rsid w:val="004956F3"/>
    <w:rsid w:val="004974CD"/>
    <w:rsid w:val="004A0106"/>
    <w:rsid w:val="004A0F49"/>
    <w:rsid w:val="004A1D82"/>
    <w:rsid w:val="004A34D2"/>
    <w:rsid w:val="004A4F76"/>
    <w:rsid w:val="004A6841"/>
    <w:rsid w:val="004A6903"/>
    <w:rsid w:val="004A7B59"/>
    <w:rsid w:val="004B353C"/>
    <w:rsid w:val="004B6500"/>
    <w:rsid w:val="004B6E7D"/>
    <w:rsid w:val="004B7D5F"/>
    <w:rsid w:val="004C246A"/>
    <w:rsid w:val="004C31AF"/>
    <w:rsid w:val="004C3ADF"/>
    <w:rsid w:val="004C59F7"/>
    <w:rsid w:val="004C60C5"/>
    <w:rsid w:val="004C755C"/>
    <w:rsid w:val="004C7603"/>
    <w:rsid w:val="004D087D"/>
    <w:rsid w:val="004D22DE"/>
    <w:rsid w:val="004D4A87"/>
    <w:rsid w:val="004D52FA"/>
    <w:rsid w:val="004D53FA"/>
    <w:rsid w:val="004D5756"/>
    <w:rsid w:val="004D65AC"/>
    <w:rsid w:val="004D702B"/>
    <w:rsid w:val="004D7944"/>
    <w:rsid w:val="004D7D21"/>
    <w:rsid w:val="004D7FB4"/>
    <w:rsid w:val="004E07A4"/>
    <w:rsid w:val="004E4C6D"/>
    <w:rsid w:val="004E5463"/>
    <w:rsid w:val="004F1425"/>
    <w:rsid w:val="004F16DB"/>
    <w:rsid w:val="004F30F8"/>
    <w:rsid w:val="004F3492"/>
    <w:rsid w:val="004F6048"/>
    <w:rsid w:val="00501473"/>
    <w:rsid w:val="005051F8"/>
    <w:rsid w:val="0051074C"/>
    <w:rsid w:val="00510CF8"/>
    <w:rsid w:val="005112E4"/>
    <w:rsid w:val="00511922"/>
    <w:rsid w:val="00513AF2"/>
    <w:rsid w:val="00514439"/>
    <w:rsid w:val="00514D99"/>
    <w:rsid w:val="00514E3C"/>
    <w:rsid w:val="0051759B"/>
    <w:rsid w:val="005216C1"/>
    <w:rsid w:val="00523703"/>
    <w:rsid w:val="00525997"/>
    <w:rsid w:val="00525FE7"/>
    <w:rsid w:val="005265E4"/>
    <w:rsid w:val="00526943"/>
    <w:rsid w:val="00527E3C"/>
    <w:rsid w:val="0053038B"/>
    <w:rsid w:val="0053170C"/>
    <w:rsid w:val="00531D5C"/>
    <w:rsid w:val="00532B96"/>
    <w:rsid w:val="00535106"/>
    <w:rsid w:val="005355D8"/>
    <w:rsid w:val="00535A34"/>
    <w:rsid w:val="0054155D"/>
    <w:rsid w:val="00542B62"/>
    <w:rsid w:val="00542BA7"/>
    <w:rsid w:val="0054413A"/>
    <w:rsid w:val="00550567"/>
    <w:rsid w:val="00550D93"/>
    <w:rsid w:val="005514ED"/>
    <w:rsid w:val="005564CA"/>
    <w:rsid w:val="00561506"/>
    <w:rsid w:val="0056182B"/>
    <w:rsid w:val="005622EB"/>
    <w:rsid w:val="00567F3B"/>
    <w:rsid w:val="005721B3"/>
    <w:rsid w:val="005756AA"/>
    <w:rsid w:val="00575A1C"/>
    <w:rsid w:val="0057646F"/>
    <w:rsid w:val="00577148"/>
    <w:rsid w:val="00582AE3"/>
    <w:rsid w:val="0058679D"/>
    <w:rsid w:val="00586BDB"/>
    <w:rsid w:val="005930B1"/>
    <w:rsid w:val="00596896"/>
    <w:rsid w:val="00597412"/>
    <w:rsid w:val="005A0414"/>
    <w:rsid w:val="005A1645"/>
    <w:rsid w:val="005A2130"/>
    <w:rsid w:val="005A4FC5"/>
    <w:rsid w:val="005A6AB9"/>
    <w:rsid w:val="005B1144"/>
    <w:rsid w:val="005B4267"/>
    <w:rsid w:val="005B5BE2"/>
    <w:rsid w:val="005B71F9"/>
    <w:rsid w:val="005B753A"/>
    <w:rsid w:val="005C00FA"/>
    <w:rsid w:val="005C343C"/>
    <w:rsid w:val="005C6A48"/>
    <w:rsid w:val="005C6C85"/>
    <w:rsid w:val="005C7184"/>
    <w:rsid w:val="005D3155"/>
    <w:rsid w:val="005D35B6"/>
    <w:rsid w:val="005D36B1"/>
    <w:rsid w:val="005D4AEF"/>
    <w:rsid w:val="005D4E8A"/>
    <w:rsid w:val="005D50CE"/>
    <w:rsid w:val="005D51FA"/>
    <w:rsid w:val="005D5B90"/>
    <w:rsid w:val="005D791B"/>
    <w:rsid w:val="005E01CE"/>
    <w:rsid w:val="005E09A6"/>
    <w:rsid w:val="005E139E"/>
    <w:rsid w:val="005E1974"/>
    <w:rsid w:val="005E4765"/>
    <w:rsid w:val="005F055F"/>
    <w:rsid w:val="005F1B0F"/>
    <w:rsid w:val="005F317C"/>
    <w:rsid w:val="005F37CD"/>
    <w:rsid w:val="005F3CD0"/>
    <w:rsid w:val="005F51FB"/>
    <w:rsid w:val="005F53B6"/>
    <w:rsid w:val="005F599B"/>
    <w:rsid w:val="005F788C"/>
    <w:rsid w:val="0060070B"/>
    <w:rsid w:val="00602708"/>
    <w:rsid w:val="00603E4D"/>
    <w:rsid w:val="00603FBE"/>
    <w:rsid w:val="00604B04"/>
    <w:rsid w:val="00611ED9"/>
    <w:rsid w:val="00612C51"/>
    <w:rsid w:val="00613FDA"/>
    <w:rsid w:val="006146F1"/>
    <w:rsid w:val="00614817"/>
    <w:rsid w:val="00620FE8"/>
    <w:rsid w:val="00621A1E"/>
    <w:rsid w:val="00623D2C"/>
    <w:rsid w:val="0062724E"/>
    <w:rsid w:val="00630D7C"/>
    <w:rsid w:val="006318E7"/>
    <w:rsid w:val="0063224F"/>
    <w:rsid w:val="00633DBF"/>
    <w:rsid w:val="006341BB"/>
    <w:rsid w:val="0063667E"/>
    <w:rsid w:val="00643B51"/>
    <w:rsid w:val="006441CE"/>
    <w:rsid w:val="00644D7F"/>
    <w:rsid w:val="0064514E"/>
    <w:rsid w:val="00650FE8"/>
    <w:rsid w:val="00652BAA"/>
    <w:rsid w:val="00653CA3"/>
    <w:rsid w:val="00654069"/>
    <w:rsid w:val="00655371"/>
    <w:rsid w:val="006559E3"/>
    <w:rsid w:val="00657259"/>
    <w:rsid w:val="00657446"/>
    <w:rsid w:val="00660D51"/>
    <w:rsid w:val="00662C7E"/>
    <w:rsid w:val="0066325D"/>
    <w:rsid w:val="00667768"/>
    <w:rsid w:val="006678A3"/>
    <w:rsid w:val="00667E0E"/>
    <w:rsid w:val="0067157B"/>
    <w:rsid w:val="00672272"/>
    <w:rsid w:val="006728A0"/>
    <w:rsid w:val="006734E6"/>
    <w:rsid w:val="00674F99"/>
    <w:rsid w:val="00676AA9"/>
    <w:rsid w:val="00680B58"/>
    <w:rsid w:val="00681EED"/>
    <w:rsid w:val="00682E7B"/>
    <w:rsid w:val="006852F3"/>
    <w:rsid w:val="006906D4"/>
    <w:rsid w:val="006919EA"/>
    <w:rsid w:val="00692992"/>
    <w:rsid w:val="00692F57"/>
    <w:rsid w:val="006938E2"/>
    <w:rsid w:val="006954E4"/>
    <w:rsid w:val="00695B70"/>
    <w:rsid w:val="00697665"/>
    <w:rsid w:val="00697742"/>
    <w:rsid w:val="00697C55"/>
    <w:rsid w:val="00697DD0"/>
    <w:rsid w:val="006A0EB7"/>
    <w:rsid w:val="006A2544"/>
    <w:rsid w:val="006A7CB5"/>
    <w:rsid w:val="006A7FD0"/>
    <w:rsid w:val="006B064B"/>
    <w:rsid w:val="006B08EC"/>
    <w:rsid w:val="006B0C4E"/>
    <w:rsid w:val="006B2398"/>
    <w:rsid w:val="006B24DE"/>
    <w:rsid w:val="006B318A"/>
    <w:rsid w:val="006B39D4"/>
    <w:rsid w:val="006B5051"/>
    <w:rsid w:val="006B5FA9"/>
    <w:rsid w:val="006C06E6"/>
    <w:rsid w:val="006C116D"/>
    <w:rsid w:val="006C1463"/>
    <w:rsid w:val="006C1A72"/>
    <w:rsid w:val="006C2A51"/>
    <w:rsid w:val="006C2B00"/>
    <w:rsid w:val="006C3B52"/>
    <w:rsid w:val="006C6EE9"/>
    <w:rsid w:val="006C771B"/>
    <w:rsid w:val="006C7F3D"/>
    <w:rsid w:val="006D0BAE"/>
    <w:rsid w:val="006D5552"/>
    <w:rsid w:val="006D5B2B"/>
    <w:rsid w:val="006D7687"/>
    <w:rsid w:val="006D7CF6"/>
    <w:rsid w:val="006E0572"/>
    <w:rsid w:val="006E131E"/>
    <w:rsid w:val="006E170C"/>
    <w:rsid w:val="006E1E98"/>
    <w:rsid w:val="006E5CAD"/>
    <w:rsid w:val="006F3617"/>
    <w:rsid w:val="006F4EB3"/>
    <w:rsid w:val="006F56C4"/>
    <w:rsid w:val="006F7679"/>
    <w:rsid w:val="00700B57"/>
    <w:rsid w:val="007014F8"/>
    <w:rsid w:val="00705403"/>
    <w:rsid w:val="00705631"/>
    <w:rsid w:val="00707531"/>
    <w:rsid w:val="00710134"/>
    <w:rsid w:val="00711205"/>
    <w:rsid w:val="007136AC"/>
    <w:rsid w:val="00715437"/>
    <w:rsid w:val="00715EAA"/>
    <w:rsid w:val="00716CC3"/>
    <w:rsid w:val="00720050"/>
    <w:rsid w:val="007213F0"/>
    <w:rsid w:val="00722293"/>
    <w:rsid w:val="00723B38"/>
    <w:rsid w:val="00724D11"/>
    <w:rsid w:val="00726F60"/>
    <w:rsid w:val="00733BCA"/>
    <w:rsid w:val="0073441F"/>
    <w:rsid w:val="0073589B"/>
    <w:rsid w:val="007412B8"/>
    <w:rsid w:val="00741A9E"/>
    <w:rsid w:val="00742281"/>
    <w:rsid w:val="00742DD2"/>
    <w:rsid w:val="00746E08"/>
    <w:rsid w:val="00747C96"/>
    <w:rsid w:val="00747E88"/>
    <w:rsid w:val="007503E9"/>
    <w:rsid w:val="0075094E"/>
    <w:rsid w:val="007522E8"/>
    <w:rsid w:val="00752B55"/>
    <w:rsid w:val="00755CC4"/>
    <w:rsid w:val="0075647A"/>
    <w:rsid w:val="007572F9"/>
    <w:rsid w:val="007634AD"/>
    <w:rsid w:val="00764011"/>
    <w:rsid w:val="0076432E"/>
    <w:rsid w:val="00766A70"/>
    <w:rsid w:val="0077057C"/>
    <w:rsid w:val="007707A7"/>
    <w:rsid w:val="00770B28"/>
    <w:rsid w:val="00771DF3"/>
    <w:rsid w:val="00772AFC"/>
    <w:rsid w:val="00773CB2"/>
    <w:rsid w:val="007750B1"/>
    <w:rsid w:val="00775563"/>
    <w:rsid w:val="00776689"/>
    <w:rsid w:val="0078122E"/>
    <w:rsid w:val="00783A83"/>
    <w:rsid w:val="00792E66"/>
    <w:rsid w:val="00792F13"/>
    <w:rsid w:val="007930A5"/>
    <w:rsid w:val="00793E57"/>
    <w:rsid w:val="00795647"/>
    <w:rsid w:val="007973B1"/>
    <w:rsid w:val="007A174B"/>
    <w:rsid w:val="007A3611"/>
    <w:rsid w:val="007A5737"/>
    <w:rsid w:val="007A6125"/>
    <w:rsid w:val="007B0854"/>
    <w:rsid w:val="007B1ACE"/>
    <w:rsid w:val="007B27D7"/>
    <w:rsid w:val="007B44E5"/>
    <w:rsid w:val="007B4F45"/>
    <w:rsid w:val="007B4F4C"/>
    <w:rsid w:val="007B660A"/>
    <w:rsid w:val="007C209F"/>
    <w:rsid w:val="007C22B6"/>
    <w:rsid w:val="007C2357"/>
    <w:rsid w:val="007C33A6"/>
    <w:rsid w:val="007C4A1C"/>
    <w:rsid w:val="007C58BD"/>
    <w:rsid w:val="007C5C1C"/>
    <w:rsid w:val="007D00BD"/>
    <w:rsid w:val="007D01F0"/>
    <w:rsid w:val="007D0B72"/>
    <w:rsid w:val="007D3671"/>
    <w:rsid w:val="007D4DBE"/>
    <w:rsid w:val="007D5C3E"/>
    <w:rsid w:val="007D6C71"/>
    <w:rsid w:val="007D7901"/>
    <w:rsid w:val="007D7DD8"/>
    <w:rsid w:val="007E0C58"/>
    <w:rsid w:val="007E1312"/>
    <w:rsid w:val="007E25A3"/>
    <w:rsid w:val="007E3ACA"/>
    <w:rsid w:val="007E5C16"/>
    <w:rsid w:val="007E676C"/>
    <w:rsid w:val="007E7A93"/>
    <w:rsid w:val="007F15AE"/>
    <w:rsid w:val="007F1C69"/>
    <w:rsid w:val="007F51B0"/>
    <w:rsid w:val="007F54FB"/>
    <w:rsid w:val="007F5623"/>
    <w:rsid w:val="007F573F"/>
    <w:rsid w:val="007F6B46"/>
    <w:rsid w:val="007F6D80"/>
    <w:rsid w:val="007F72CB"/>
    <w:rsid w:val="00800C47"/>
    <w:rsid w:val="0080224B"/>
    <w:rsid w:val="0080514C"/>
    <w:rsid w:val="00806AD5"/>
    <w:rsid w:val="00810EAD"/>
    <w:rsid w:val="008132FA"/>
    <w:rsid w:val="00813988"/>
    <w:rsid w:val="00814E0D"/>
    <w:rsid w:val="0081553B"/>
    <w:rsid w:val="00815BCC"/>
    <w:rsid w:val="008160B2"/>
    <w:rsid w:val="00817744"/>
    <w:rsid w:val="0082065D"/>
    <w:rsid w:val="00820A37"/>
    <w:rsid w:val="008217B7"/>
    <w:rsid w:val="00824BF9"/>
    <w:rsid w:val="00830018"/>
    <w:rsid w:val="00830303"/>
    <w:rsid w:val="0083119B"/>
    <w:rsid w:val="00833039"/>
    <w:rsid w:val="00836EAB"/>
    <w:rsid w:val="0083782B"/>
    <w:rsid w:val="00840960"/>
    <w:rsid w:val="008420C6"/>
    <w:rsid w:val="00844864"/>
    <w:rsid w:val="00846B3D"/>
    <w:rsid w:val="0085092D"/>
    <w:rsid w:val="00850F79"/>
    <w:rsid w:val="00851723"/>
    <w:rsid w:val="00851D62"/>
    <w:rsid w:val="00853074"/>
    <w:rsid w:val="00853AE0"/>
    <w:rsid w:val="00853AF8"/>
    <w:rsid w:val="00854D44"/>
    <w:rsid w:val="00854DB7"/>
    <w:rsid w:val="00857EEA"/>
    <w:rsid w:val="00861F54"/>
    <w:rsid w:val="008632AF"/>
    <w:rsid w:val="00864821"/>
    <w:rsid w:val="00870AF9"/>
    <w:rsid w:val="00871990"/>
    <w:rsid w:val="00872A2E"/>
    <w:rsid w:val="008749A9"/>
    <w:rsid w:val="00876146"/>
    <w:rsid w:val="0087668B"/>
    <w:rsid w:val="00876868"/>
    <w:rsid w:val="008770F7"/>
    <w:rsid w:val="00880378"/>
    <w:rsid w:val="00880D11"/>
    <w:rsid w:val="00881812"/>
    <w:rsid w:val="00881A23"/>
    <w:rsid w:val="00882C43"/>
    <w:rsid w:val="00882F5E"/>
    <w:rsid w:val="0088409B"/>
    <w:rsid w:val="0088434E"/>
    <w:rsid w:val="0088605D"/>
    <w:rsid w:val="00886E97"/>
    <w:rsid w:val="00887C57"/>
    <w:rsid w:val="00890D42"/>
    <w:rsid w:val="00891C12"/>
    <w:rsid w:val="00891FB0"/>
    <w:rsid w:val="008927F9"/>
    <w:rsid w:val="00894211"/>
    <w:rsid w:val="0089774F"/>
    <w:rsid w:val="008A18EE"/>
    <w:rsid w:val="008A1C35"/>
    <w:rsid w:val="008A1C99"/>
    <w:rsid w:val="008A1E91"/>
    <w:rsid w:val="008A2550"/>
    <w:rsid w:val="008A2823"/>
    <w:rsid w:val="008A3153"/>
    <w:rsid w:val="008A383B"/>
    <w:rsid w:val="008A4934"/>
    <w:rsid w:val="008A519B"/>
    <w:rsid w:val="008B1829"/>
    <w:rsid w:val="008B2C6A"/>
    <w:rsid w:val="008B3AED"/>
    <w:rsid w:val="008B6265"/>
    <w:rsid w:val="008C30C7"/>
    <w:rsid w:val="008C3736"/>
    <w:rsid w:val="008C4741"/>
    <w:rsid w:val="008C6F87"/>
    <w:rsid w:val="008C7C2E"/>
    <w:rsid w:val="008D1EFE"/>
    <w:rsid w:val="008D46D3"/>
    <w:rsid w:val="008D572E"/>
    <w:rsid w:val="008D79F4"/>
    <w:rsid w:val="008D7EE7"/>
    <w:rsid w:val="008E1C15"/>
    <w:rsid w:val="008E3C08"/>
    <w:rsid w:val="008E4E6A"/>
    <w:rsid w:val="008E5687"/>
    <w:rsid w:val="008E7DBB"/>
    <w:rsid w:val="008F0B5E"/>
    <w:rsid w:val="008F2D5F"/>
    <w:rsid w:val="008F39C7"/>
    <w:rsid w:val="008F538E"/>
    <w:rsid w:val="008F5551"/>
    <w:rsid w:val="008F6CB0"/>
    <w:rsid w:val="008F7712"/>
    <w:rsid w:val="00900304"/>
    <w:rsid w:val="00900817"/>
    <w:rsid w:val="009008CF"/>
    <w:rsid w:val="00900F40"/>
    <w:rsid w:val="009037EE"/>
    <w:rsid w:val="00904534"/>
    <w:rsid w:val="009047C5"/>
    <w:rsid w:val="009065BE"/>
    <w:rsid w:val="00906A56"/>
    <w:rsid w:val="009139FF"/>
    <w:rsid w:val="00913DEE"/>
    <w:rsid w:val="00914DA0"/>
    <w:rsid w:val="00915799"/>
    <w:rsid w:val="00915B66"/>
    <w:rsid w:val="00916D58"/>
    <w:rsid w:val="009173EE"/>
    <w:rsid w:val="0091758D"/>
    <w:rsid w:val="00917D8E"/>
    <w:rsid w:val="00920A32"/>
    <w:rsid w:val="00921674"/>
    <w:rsid w:val="009224E5"/>
    <w:rsid w:val="00922597"/>
    <w:rsid w:val="00922786"/>
    <w:rsid w:val="009234B9"/>
    <w:rsid w:val="00923802"/>
    <w:rsid w:val="009246D0"/>
    <w:rsid w:val="00924C63"/>
    <w:rsid w:val="00927D00"/>
    <w:rsid w:val="009350C1"/>
    <w:rsid w:val="009368B9"/>
    <w:rsid w:val="00937020"/>
    <w:rsid w:val="00940DB9"/>
    <w:rsid w:val="009471A0"/>
    <w:rsid w:val="00947622"/>
    <w:rsid w:val="00951621"/>
    <w:rsid w:val="00952E98"/>
    <w:rsid w:val="0095385A"/>
    <w:rsid w:val="00955202"/>
    <w:rsid w:val="00955B44"/>
    <w:rsid w:val="00956197"/>
    <w:rsid w:val="00956821"/>
    <w:rsid w:val="00964425"/>
    <w:rsid w:val="009658C0"/>
    <w:rsid w:val="00967268"/>
    <w:rsid w:val="00967CD8"/>
    <w:rsid w:val="00970437"/>
    <w:rsid w:val="00971F9D"/>
    <w:rsid w:val="00971FAB"/>
    <w:rsid w:val="009726BB"/>
    <w:rsid w:val="0097606C"/>
    <w:rsid w:val="00976295"/>
    <w:rsid w:val="00981216"/>
    <w:rsid w:val="00982027"/>
    <w:rsid w:val="009820DB"/>
    <w:rsid w:val="0098238F"/>
    <w:rsid w:val="0098489D"/>
    <w:rsid w:val="00984AB9"/>
    <w:rsid w:val="009916A7"/>
    <w:rsid w:val="00992127"/>
    <w:rsid w:val="0099237F"/>
    <w:rsid w:val="0099262B"/>
    <w:rsid w:val="00994DF5"/>
    <w:rsid w:val="00994E2D"/>
    <w:rsid w:val="009976EE"/>
    <w:rsid w:val="009A2B57"/>
    <w:rsid w:val="009A3569"/>
    <w:rsid w:val="009A60FC"/>
    <w:rsid w:val="009A758C"/>
    <w:rsid w:val="009B4776"/>
    <w:rsid w:val="009B512E"/>
    <w:rsid w:val="009B5190"/>
    <w:rsid w:val="009B61A4"/>
    <w:rsid w:val="009C31BE"/>
    <w:rsid w:val="009C37DC"/>
    <w:rsid w:val="009C6959"/>
    <w:rsid w:val="009C713B"/>
    <w:rsid w:val="009D3CF6"/>
    <w:rsid w:val="009D4945"/>
    <w:rsid w:val="009D4B2F"/>
    <w:rsid w:val="009D6E69"/>
    <w:rsid w:val="009E135F"/>
    <w:rsid w:val="009E30D4"/>
    <w:rsid w:val="009E54F2"/>
    <w:rsid w:val="009E5853"/>
    <w:rsid w:val="009E64D5"/>
    <w:rsid w:val="009F261D"/>
    <w:rsid w:val="009F2CD0"/>
    <w:rsid w:val="009F3602"/>
    <w:rsid w:val="009F5096"/>
    <w:rsid w:val="009F59C2"/>
    <w:rsid w:val="009F78A0"/>
    <w:rsid w:val="00A0103E"/>
    <w:rsid w:val="00A010FC"/>
    <w:rsid w:val="00A02213"/>
    <w:rsid w:val="00A03425"/>
    <w:rsid w:val="00A04B5C"/>
    <w:rsid w:val="00A05140"/>
    <w:rsid w:val="00A0528D"/>
    <w:rsid w:val="00A066BD"/>
    <w:rsid w:val="00A06E82"/>
    <w:rsid w:val="00A10053"/>
    <w:rsid w:val="00A13886"/>
    <w:rsid w:val="00A14415"/>
    <w:rsid w:val="00A146B7"/>
    <w:rsid w:val="00A16FAB"/>
    <w:rsid w:val="00A1798B"/>
    <w:rsid w:val="00A2084E"/>
    <w:rsid w:val="00A228C5"/>
    <w:rsid w:val="00A23693"/>
    <w:rsid w:val="00A23CE5"/>
    <w:rsid w:val="00A2433B"/>
    <w:rsid w:val="00A2439B"/>
    <w:rsid w:val="00A24560"/>
    <w:rsid w:val="00A24834"/>
    <w:rsid w:val="00A276F2"/>
    <w:rsid w:val="00A3420B"/>
    <w:rsid w:val="00A34538"/>
    <w:rsid w:val="00A350AF"/>
    <w:rsid w:val="00A35AD8"/>
    <w:rsid w:val="00A37C18"/>
    <w:rsid w:val="00A37FB6"/>
    <w:rsid w:val="00A40A28"/>
    <w:rsid w:val="00A42365"/>
    <w:rsid w:val="00A426EC"/>
    <w:rsid w:val="00A462AB"/>
    <w:rsid w:val="00A500EF"/>
    <w:rsid w:val="00A51659"/>
    <w:rsid w:val="00A5350E"/>
    <w:rsid w:val="00A5539A"/>
    <w:rsid w:val="00A568F6"/>
    <w:rsid w:val="00A57160"/>
    <w:rsid w:val="00A61297"/>
    <w:rsid w:val="00A612F6"/>
    <w:rsid w:val="00A62322"/>
    <w:rsid w:val="00A65AD5"/>
    <w:rsid w:val="00A7090A"/>
    <w:rsid w:val="00A74544"/>
    <w:rsid w:val="00A757E2"/>
    <w:rsid w:val="00A771A5"/>
    <w:rsid w:val="00A82473"/>
    <w:rsid w:val="00A83087"/>
    <w:rsid w:val="00A83E55"/>
    <w:rsid w:val="00A83F78"/>
    <w:rsid w:val="00A8570E"/>
    <w:rsid w:val="00A87ECD"/>
    <w:rsid w:val="00A944C2"/>
    <w:rsid w:val="00A95095"/>
    <w:rsid w:val="00A957B9"/>
    <w:rsid w:val="00A9641E"/>
    <w:rsid w:val="00A97234"/>
    <w:rsid w:val="00AA08E7"/>
    <w:rsid w:val="00AA0BE1"/>
    <w:rsid w:val="00AA1813"/>
    <w:rsid w:val="00AA2094"/>
    <w:rsid w:val="00AA442B"/>
    <w:rsid w:val="00AA669D"/>
    <w:rsid w:val="00AA7403"/>
    <w:rsid w:val="00AA7503"/>
    <w:rsid w:val="00AB3212"/>
    <w:rsid w:val="00AB5852"/>
    <w:rsid w:val="00AB5969"/>
    <w:rsid w:val="00AB5C7F"/>
    <w:rsid w:val="00AB628F"/>
    <w:rsid w:val="00AB6591"/>
    <w:rsid w:val="00AC146A"/>
    <w:rsid w:val="00AC27E8"/>
    <w:rsid w:val="00AC4829"/>
    <w:rsid w:val="00AC514C"/>
    <w:rsid w:val="00AC5690"/>
    <w:rsid w:val="00AC5F3A"/>
    <w:rsid w:val="00AD1A73"/>
    <w:rsid w:val="00AD45E3"/>
    <w:rsid w:val="00AE08F9"/>
    <w:rsid w:val="00AE1539"/>
    <w:rsid w:val="00AE2D2E"/>
    <w:rsid w:val="00AE32F2"/>
    <w:rsid w:val="00AE4B35"/>
    <w:rsid w:val="00AE4C20"/>
    <w:rsid w:val="00AE5ABF"/>
    <w:rsid w:val="00AE61E1"/>
    <w:rsid w:val="00AE6434"/>
    <w:rsid w:val="00AE69A5"/>
    <w:rsid w:val="00AE6C09"/>
    <w:rsid w:val="00AE7779"/>
    <w:rsid w:val="00AF0BEC"/>
    <w:rsid w:val="00AF373E"/>
    <w:rsid w:val="00AF561D"/>
    <w:rsid w:val="00B000D8"/>
    <w:rsid w:val="00B012D7"/>
    <w:rsid w:val="00B02774"/>
    <w:rsid w:val="00B04012"/>
    <w:rsid w:val="00B050B8"/>
    <w:rsid w:val="00B05411"/>
    <w:rsid w:val="00B0753B"/>
    <w:rsid w:val="00B12F06"/>
    <w:rsid w:val="00B13EC0"/>
    <w:rsid w:val="00B1521D"/>
    <w:rsid w:val="00B179C1"/>
    <w:rsid w:val="00B20525"/>
    <w:rsid w:val="00B21442"/>
    <w:rsid w:val="00B22E22"/>
    <w:rsid w:val="00B2548B"/>
    <w:rsid w:val="00B25E66"/>
    <w:rsid w:val="00B27AD4"/>
    <w:rsid w:val="00B30086"/>
    <w:rsid w:val="00B31F22"/>
    <w:rsid w:val="00B32BCD"/>
    <w:rsid w:val="00B35625"/>
    <w:rsid w:val="00B359ED"/>
    <w:rsid w:val="00B36260"/>
    <w:rsid w:val="00B37C00"/>
    <w:rsid w:val="00B44270"/>
    <w:rsid w:val="00B44AD6"/>
    <w:rsid w:val="00B44E8E"/>
    <w:rsid w:val="00B46C42"/>
    <w:rsid w:val="00B51003"/>
    <w:rsid w:val="00B512FD"/>
    <w:rsid w:val="00B525CB"/>
    <w:rsid w:val="00B5546E"/>
    <w:rsid w:val="00B5566E"/>
    <w:rsid w:val="00B55851"/>
    <w:rsid w:val="00B60461"/>
    <w:rsid w:val="00B62A61"/>
    <w:rsid w:val="00B62F95"/>
    <w:rsid w:val="00B633F9"/>
    <w:rsid w:val="00B63872"/>
    <w:rsid w:val="00B63CB2"/>
    <w:rsid w:val="00B641D9"/>
    <w:rsid w:val="00B64EDB"/>
    <w:rsid w:val="00B654E7"/>
    <w:rsid w:val="00B66578"/>
    <w:rsid w:val="00B71C79"/>
    <w:rsid w:val="00B7315F"/>
    <w:rsid w:val="00B750D9"/>
    <w:rsid w:val="00B76967"/>
    <w:rsid w:val="00B77F95"/>
    <w:rsid w:val="00B81F6E"/>
    <w:rsid w:val="00B84BA7"/>
    <w:rsid w:val="00B85186"/>
    <w:rsid w:val="00B91AF0"/>
    <w:rsid w:val="00B91B8E"/>
    <w:rsid w:val="00B9384C"/>
    <w:rsid w:val="00B93C9A"/>
    <w:rsid w:val="00B94548"/>
    <w:rsid w:val="00B955AB"/>
    <w:rsid w:val="00B95AC8"/>
    <w:rsid w:val="00B9618B"/>
    <w:rsid w:val="00BA3286"/>
    <w:rsid w:val="00BA3871"/>
    <w:rsid w:val="00BA4D28"/>
    <w:rsid w:val="00BA4E77"/>
    <w:rsid w:val="00BB3B04"/>
    <w:rsid w:val="00BB584D"/>
    <w:rsid w:val="00BB7084"/>
    <w:rsid w:val="00BC2704"/>
    <w:rsid w:val="00BC7280"/>
    <w:rsid w:val="00BD2036"/>
    <w:rsid w:val="00BD2700"/>
    <w:rsid w:val="00BD78FE"/>
    <w:rsid w:val="00BE0AD3"/>
    <w:rsid w:val="00BE15DA"/>
    <w:rsid w:val="00BE16E8"/>
    <w:rsid w:val="00BE1CEA"/>
    <w:rsid w:val="00BE642B"/>
    <w:rsid w:val="00BE67A9"/>
    <w:rsid w:val="00BE72D6"/>
    <w:rsid w:val="00BF31BA"/>
    <w:rsid w:val="00BF5E9C"/>
    <w:rsid w:val="00BF6D9D"/>
    <w:rsid w:val="00BF7724"/>
    <w:rsid w:val="00C014AB"/>
    <w:rsid w:val="00C0241E"/>
    <w:rsid w:val="00C02CA7"/>
    <w:rsid w:val="00C03773"/>
    <w:rsid w:val="00C0469E"/>
    <w:rsid w:val="00C055D5"/>
    <w:rsid w:val="00C06A57"/>
    <w:rsid w:val="00C06B30"/>
    <w:rsid w:val="00C07B9B"/>
    <w:rsid w:val="00C1486D"/>
    <w:rsid w:val="00C17911"/>
    <w:rsid w:val="00C17E35"/>
    <w:rsid w:val="00C20738"/>
    <w:rsid w:val="00C20AB9"/>
    <w:rsid w:val="00C220CE"/>
    <w:rsid w:val="00C22BB6"/>
    <w:rsid w:val="00C24150"/>
    <w:rsid w:val="00C245B6"/>
    <w:rsid w:val="00C24D7E"/>
    <w:rsid w:val="00C269AB"/>
    <w:rsid w:val="00C27711"/>
    <w:rsid w:val="00C3033B"/>
    <w:rsid w:val="00C309CE"/>
    <w:rsid w:val="00C32119"/>
    <w:rsid w:val="00C34208"/>
    <w:rsid w:val="00C366C4"/>
    <w:rsid w:val="00C374F0"/>
    <w:rsid w:val="00C404E4"/>
    <w:rsid w:val="00C42508"/>
    <w:rsid w:val="00C42C10"/>
    <w:rsid w:val="00C4437C"/>
    <w:rsid w:val="00C50A4B"/>
    <w:rsid w:val="00C5372F"/>
    <w:rsid w:val="00C54BAF"/>
    <w:rsid w:val="00C6465E"/>
    <w:rsid w:val="00C64A86"/>
    <w:rsid w:val="00C64E43"/>
    <w:rsid w:val="00C6552A"/>
    <w:rsid w:val="00C65533"/>
    <w:rsid w:val="00C70B9D"/>
    <w:rsid w:val="00C72B94"/>
    <w:rsid w:val="00C75629"/>
    <w:rsid w:val="00C758C6"/>
    <w:rsid w:val="00C76212"/>
    <w:rsid w:val="00C77849"/>
    <w:rsid w:val="00C77F03"/>
    <w:rsid w:val="00C818AF"/>
    <w:rsid w:val="00C81ADC"/>
    <w:rsid w:val="00C81F3D"/>
    <w:rsid w:val="00C81F76"/>
    <w:rsid w:val="00C822C2"/>
    <w:rsid w:val="00C8458D"/>
    <w:rsid w:val="00C8725E"/>
    <w:rsid w:val="00C9106A"/>
    <w:rsid w:val="00C91242"/>
    <w:rsid w:val="00C9585F"/>
    <w:rsid w:val="00C96C1B"/>
    <w:rsid w:val="00C97AAA"/>
    <w:rsid w:val="00CA059D"/>
    <w:rsid w:val="00CA2C72"/>
    <w:rsid w:val="00CA7385"/>
    <w:rsid w:val="00CB0765"/>
    <w:rsid w:val="00CB2B36"/>
    <w:rsid w:val="00CB2C0F"/>
    <w:rsid w:val="00CB42FC"/>
    <w:rsid w:val="00CB5943"/>
    <w:rsid w:val="00CC00CD"/>
    <w:rsid w:val="00CC0339"/>
    <w:rsid w:val="00CC0B3D"/>
    <w:rsid w:val="00CC0E85"/>
    <w:rsid w:val="00CC4DF1"/>
    <w:rsid w:val="00CC748E"/>
    <w:rsid w:val="00CD2B8C"/>
    <w:rsid w:val="00CD4A86"/>
    <w:rsid w:val="00CD5576"/>
    <w:rsid w:val="00CD7E27"/>
    <w:rsid w:val="00CE12E2"/>
    <w:rsid w:val="00CE15B5"/>
    <w:rsid w:val="00CE2805"/>
    <w:rsid w:val="00CE4E6E"/>
    <w:rsid w:val="00CE7A1A"/>
    <w:rsid w:val="00CF02E0"/>
    <w:rsid w:val="00CF0701"/>
    <w:rsid w:val="00CF600D"/>
    <w:rsid w:val="00CF7275"/>
    <w:rsid w:val="00D01760"/>
    <w:rsid w:val="00D01EBF"/>
    <w:rsid w:val="00D06596"/>
    <w:rsid w:val="00D077EB"/>
    <w:rsid w:val="00D10800"/>
    <w:rsid w:val="00D12085"/>
    <w:rsid w:val="00D13D5F"/>
    <w:rsid w:val="00D15B95"/>
    <w:rsid w:val="00D16E39"/>
    <w:rsid w:val="00D170B9"/>
    <w:rsid w:val="00D17379"/>
    <w:rsid w:val="00D1798A"/>
    <w:rsid w:val="00D21C43"/>
    <w:rsid w:val="00D220D3"/>
    <w:rsid w:val="00D2214A"/>
    <w:rsid w:val="00D223B6"/>
    <w:rsid w:val="00D22BEB"/>
    <w:rsid w:val="00D23AD8"/>
    <w:rsid w:val="00D2686C"/>
    <w:rsid w:val="00D26B57"/>
    <w:rsid w:val="00D32A50"/>
    <w:rsid w:val="00D350DE"/>
    <w:rsid w:val="00D35FC1"/>
    <w:rsid w:val="00D41655"/>
    <w:rsid w:val="00D41EE1"/>
    <w:rsid w:val="00D42298"/>
    <w:rsid w:val="00D4320D"/>
    <w:rsid w:val="00D43FAB"/>
    <w:rsid w:val="00D44E97"/>
    <w:rsid w:val="00D460D9"/>
    <w:rsid w:val="00D47709"/>
    <w:rsid w:val="00D506C0"/>
    <w:rsid w:val="00D51B2B"/>
    <w:rsid w:val="00D53894"/>
    <w:rsid w:val="00D53C6C"/>
    <w:rsid w:val="00D54876"/>
    <w:rsid w:val="00D54C45"/>
    <w:rsid w:val="00D60327"/>
    <w:rsid w:val="00D641C3"/>
    <w:rsid w:val="00D64981"/>
    <w:rsid w:val="00D650B5"/>
    <w:rsid w:val="00D66C4F"/>
    <w:rsid w:val="00D679D8"/>
    <w:rsid w:val="00D7075B"/>
    <w:rsid w:val="00D710B9"/>
    <w:rsid w:val="00D71D22"/>
    <w:rsid w:val="00D72126"/>
    <w:rsid w:val="00D72E9D"/>
    <w:rsid w:val="00D73FA7"/>
    <w:rsid w:val="00D74765"/>
    <w:rsid w:val="00D7568C"/>
    <w:rsid w:val="00D7727A"/>
    <w:rsid w:val="00D82CE5"/>
    <w:rsid w:val="00D84FE0"/>
    <w:rsid w:val="00D85C8F"/>
    <w:rsid w:val="00D87181"/>
    <w:rsid w:val="00D8736E"/>
    <w:rsid w:val="00D914DB"/>
    <w:rsid w:val="00D92770"/>
    <w:rsid w:val="00D93287"/>
    <w:rsid w:val="00D94D04"/>
    <w:rsid w:val="00D970D3"/>
    <w:rsid w:val="00D97DDD"/>
    <w:rsid w:val="00DA0A02"/>
    <w:rsid w:val="00DA41EF"/>
    <w:rsid w:val="00DA583D"/>
    <w:rsid w:val="00DA5AB1"/>
    <w:rsid w:val="00DA63BC"/>
    <w:rsid w:val="00DA7B6E"/>
    <w:rsid w:val="00DA7CCA"/>
    <w:rsid w:val="00DB0DFA"/>
    <w:rsid w:val="00DB28B8"/>
    <w:rsid w:val="00DB3D31"/>
    <w:rsid w:val="00DB6234"/>
    <w:rsid w:val="00DB68F9"/>
    <w:rsid w:val="00DB797A"/>
    <w:rsid w:val="00DC02B2"/>
    <w:rsid w:val="00DC1562"/>
    <w:rsid w:val="00DC2AFD"/>
    <w:rsid w:val="00DC3544"/>
    <w:rsid w:val="00DC3A87"/>
    <w:rsid w:val="00DC4E41"/>
    <w:rsid w:val="00DC62E5"/>
    <w:rsid w:val="00DC743F"/>
    <w:rsid w:val="00DD0BB0"/>
    <w:rsid w:val="00DD32A0"/>
    <w:rsid w:val="00DD3E02"/>
    <w:rsid w:val="00DD3E55"/>
    <w:rsid w:val="00DD451F"/>
    <w:rsid w:val="00DD47A2"/>
    <w:rsid w:val="00DD652D"/>
    <w:rsid w:val="00DD6845"/>
    <w:rsid w:val="00DD6847"/>
    <w:rsid w:val="00DD735D"/>
    <w:rsid w:val="00DD7FA8"/>
    <w:rsid w:val="00DE247F"/>
    <w:rsid w:val="00DE308A"/>
    <w:rsid w:val="00DE3119"/>
    <w:rsid w:val="00DE3139"/>
    <w:rsid w:val="00DE5BCA"/>
    <w:rsid w:val="00DE6872"/>
    <w:rsid w:val="00DF20FB"/>
    <w:rsid w:val="00DF2128"/>
    <w:rsid w:val="00DF236B"/>
    <w:rsid w:val="00DF2804"/>
    <w:rsid w:val="00DF28C7"/>
    <w:rsid w:val="00DF3553"/>
    <w:rsid w:val="00DF64F5"/>
    <w:rsid w:val="00DF6AA5"/>
    <w:rsid w:val="00DF7086"/>
    <w:rsid w:val="00DF7F9E"/>
    <w:rsid w:val="00E00221"/>
    <w:rsid w:val="00E0048D"/>
    <w:rsid w:val="00E04A52"/>
    <w:rsid w:val="00E057C5"/>
    <w:rsid w:val="00E0677C"/>
    <w:rsid w:val="00E06A8D"/>
    <w:rsid w:val="00E10879"/>
    <w:rsid w:val="00E13AB8"/>
    <w:rsid w:val="00E13D3F"/>
    <w:rsid w:val="00E1640E"/>
    <w:rsid w:val="00E234D7"/>
    <w:rsid w:val="00E25CB3"/>
    <w:rsid w:val="00E27E15"/>
    <w:rsid w:val="00E3074B"/>
    <w:rsid w:val="00E31A47"/>
    <w:rsid w:val="00E32A49"/>
    <w:rsid w:val="00E33B62"/>
    <w:rsid w:val="00E34106"/>
    <w:rsid w:val="00E356D7"/>
    <w:rsid w:val="00E36139"/>
    <w:rsid w:val="00E40D14"/>
    <w:rsid w:val="00E4143A"/>
    <w:rsid w:val="00E41823"/>
    <w:rsid w:val="00E41943"/>
    <w:rsid w:val="00E42461"/>
    <w:rsid w:val="00E42761"/>
    <w:rsid w:val="00E43624"/>
    <w:rsid w:val="00E44610"/>
    <w:rsid w:val="00E46137"/>
    <w:rsid w:val="00E50774"/>
    <w:rsid w:val="00E510C7"/>
    <w:rsid w:val="00E5199E"/>
    <w:rsid w:val="00E53B77"/>
    <w:rsid w:val="00E5404C"/>
    <w:rsid w:val="00E54365"/>
    <w:rsid w:val="00E5462E"/>
    <w:rsid w:val="00E56EC0"/>
    <w:rsid w:val="00E57652"/>
    <w:rsid w:val="00E62C10"/>
    <w:rsid w:val="00E631C7"/>
    <w:rsid w:val="00E65BDD"/>
    <w:rsid w:val="00E66455"/>
    <w:rsid w:val="00E70C4B"/>
    <w:rsid w:val="00E73728"/>
    <w:rsid w:val="00E73C2F"/>
    <w:rsid w:val="00E73F9E"/>
    <w:rsid w:val="00E76013"/>
    <w:rsid w:val="00E76D64"/>
    <w:rsid w:val="00E76DD0"/>
    <w:rsid w:val="00E81CD9"/>
    <w:rsid w:val="00E87FB5"/>
    <w:rsid w:val="00E91B88"/>
    <w:rsid w:val="00E9622C"/>
    <w:rsid w:val="00E96F1A"/>
    <w:rsid w:val="00EA03F6"/>
    <w:rsid w:val="00EA0C86"/>
    <w:rsid w:val="00EA3761"/>
    <w:rsid w:val="00EA3B8E"/>
    <w:rsid w:val="00EA4951"/>
    <w:rsid w:val="00EB0D38"/>
    <w:rsid w:val="00EB2CBD"/>
    <w:rsid w:val="00EB5263"/>
    <w:rsid w:val="00EB5408"/>
    <w:rsid w:val="00EB55EE"/>
    <w:rsid w:val="00EB5A79"/>
    <w:rsid w:val="00EC5B1B"/>
    <w:rsid w:val="00EC77E0"/>
    <w:rsid w:val="00ED0181"/>
    <w:rsid w:val="00ED05A8"/>
    <w:rsid w:val="00ED18C9"/>
    <w:rsid w:val="00ED1921"/>
    <w:rsid w:val="00ED1A5E"/>
    <w:rsid w:val="00ED21E1"/>
    <w:rsid w:val="00ED2C7A"/>
    <w:rsid w:val="00ED5E7E"/>
    <w:rsid w:val="00ED6D48"/>
    <w:rsid w:val="00EE2C9C"/>
    <w:rsid w:val="00EE336A"/>
    <w:rsid w:val="00EE4DB1"/>
    <w:rsid w:val="00EE59B5"/>
    <w:rsid w:val="00EE6A82"/>
    <w:rsid w:val="00EE75CC"/>
    <w:rsid w:val="00EE7C1A"/>
    <w:rsid w:val="00EF0420"/>
    <w:rsid w:val="00EF169E"/>
    <w:rsid w:val="00EF1F7B"/>
    <w:rsid w:val="00EF28A9"/>
    <w:rsid w:val="00EF2D58"/>
    <w:rsid w:val="00EF3258"/>
    <w:rsid w:val="00EF3BEB"/>
    <w:rsid w:val="00EF3F42"/>
    <w:rsid w:val="00EF4E3B"/>
    <w:rsid w:val="00EF5E27"/>
    <w:rsid w:val="00EF64D8"/>
    <w:rsid w:val="00EF6FEA"/>
    <w:rsid w:val="00F0076F"/>
    <w:rsid w:val="00F01990"/>
    <w:rsid w:val="00F04156"/>
    <w:rsid w:val="00F04D40"/>
    <w:rsid w:val="00F0608C"/>
    <w:rsid w:val="00F06296"/>
    <w:rsid w:val="00F074DD"/>
    <w:rsid w:val="00F0774D"/>
    <w:rsid w:val="00F077AE"/>
    <w:rsid w:val="00F10954"/>
    <w:rsid w:val="00F11955"/>
    <w:rsid w:val="00F128BC"/>
    <w:rsid w:val="00F16AE2"/>
    <w:rsid w:val="00F172E0"/>
    <w:rsid w:val="00F2035B"/>
    <w:rsid w:val="00F2107D"/>
    <w:rsid w:val="00F21B2C"/>
    <w:rsid w:val="00F21BA2"/>
    <w:rsid w:val="00F21D09"/>
    <w:rsid w:val="00F24230"/>
    <w:rsid w:val="00F26F4E"/>
    <w:rsid w:val="00F301AD"/>
    <w:rsid w:val="00F3110C"/>
    <w:rsid w:val="00F33364"/>
    <w:rsid w:val="00F34C8E"/>
    <w:rsid w:val="00F34CBA"/>
    <w:rsid w:val="00F3533F"/>
    <w:rsid w:val="00F3791E"/>
    <w:rsid w:val="00F42CA4"/>
    <w:rsid w:val="00F43A17"/>
    <w:rsid w:val="00F43A68"/>
    <w:rsid w:val="00F476A9"/>
    <w:rsid w:val="00F5101F"/>
    <w:rsid w:val="00F520D5"/>
    <w:rsid w:val="00F536CD"/>
    <w:rsid w:val="00F55F3A"/>
    <w:rsid w:val="00F574CC"/>
    <w:rsid w:val="00F6029C"/>
    <w:rsid w:val="00F61B1D"/>
    <w:rsid w:val="00F61F32"/>
    <w:rsid w:val="00F73D70"/>
    <w:rsid w:val="00F764CE"/>
    <w:rsid w:val="00F80D0F"/>
    <w:rsid w:val="00F80E8A"/>
    <w:rsid w:val="00F84899"/>
    <w:rsid w:val="00F84A94"/>
    <w:rsid w:val="00F859F0"/>
    <w:rsid w:val="00F90DB0"/>
    <w:rsid w:val="00F91287"/>
    <w:rsid w:val="00F91CA1"/>
    <w:rsid w:val="00F92D53"/>
    <w:rsid w:val="00F93250"/>
    <w:rsid w:val="00F94805"/>
    <w:rsid w:val="00F94B44"/>
    <w:rsid w:val="00F95598"/>
    <w:rsid w:val="00F95FAB"/>
    <w:rsid w:val="00FA0BE5"/>
    <w:rsid w:val="00FA1420"/>
    <w:rsid w:val="00FA15DA"/>
    <w:rsid w:val="00FA1947"/>
    <w:rsid w:val="00FA3221"/>
    <w:rsid w:val="00FA63A7"/>
    <w:rsid w:val="00FA6B54"/>
    <w:rsid w:val="00FB472F"/>
    <w:rsid w:val="00FB48C5"/>
    <w:rsid w:val="00FB5E3B"/>
    <w:rsid w:val="00FC16AE"/>
    <w:rsid w:val="00FD2829"/>
    <w:rsid w:val="00FD2EA3"/>
    <w:rsid w:val="00FD3F65"/>
    <w:rsid w:val="00FD461D"/>
    <w:rsid w:val="00FD46B4"/>
    <w:rsid w:val="00FD4AA4"/>
    <w:rsid w:val="00FD7D17"/>
    <w:rsid w:val="00FE07B7"/>
    <w:rsid w:val="00FE094E"/>
    <w:rsid w:val="00FE141E"/>
    <w:rsid w:val="00FE1C75"/>
    <w:rsid w:val="00FE1E34"/>
    <w:rsid w:val="00FE38FF"/>
    <w:rsid w:val="00FE42ED"/>
    <w:rsid w:val="00FE4C26"/>
    <w:rsid w:val="00FE4EF2"/>
    <w:rsid w:val="00FE63C7"/>
    <w:rsid w:val="00FE759E"/>
    <w:rsid w:val="00FE7664"/>
    <w:rsid w:val="00FF1C68"/>
    <w:rsid w:val="00FF4164"/>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54755376">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173606" TargetMode="External"/><Relationship Id="rId1" Type="http://schemas.openxmlformats.org/officeDocument/2006/relationships/hyperlink" Target="https://www.funcionpublica.gov.co/eva/gestornormativo/norma.php?i=1736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0AFB6-3159-40A6-84C9-AF29F4D53222}">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6B225C3-488F-4513-8B3E-6F83E48FDE4F}"/>
</file>

<file path=docProps/app.xml><?xml version="1.0" encoding="utf-8"?>
<Properties xmlns="http://schemas.openxmlformats.org/officeDocument/2006/extended-properties" xmlns:vt="http://schemas.openxmlformats.org/officeDocument/2006/docPropsVTypes">
  <Template>Respuesta a consultas</Template>
  <TotalTime>7</TotalTime>
  <Pages>24</Pages>
  <Words>8907</Words>
  <Characters>48989</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Diana Fabiola Herrera Hernandez</cp:lastModifiedBy>
  <cp:revision>6</cp:revision>
  <cp:lastPrinted>2020-01-30T15:05:00Z</cp:lastPrinted>
  <dcterms:created xsi:type="dcterms:W3CDTF">2022-03-23T03:31:00Z</dcterms:created>
  <dcterms:modified xsi:type="dcterms:W3CDTF">2022-03-23T03:37:00Z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