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2E8F" w14:textId="77777777" w:rsidR="00FE4C26" w:rsidRPr="0071727F" w:rsidRDefault="00FE4C26" w:rsidP="0022167B">
      <w:pPr>
        <w:jc w:val="right"/>
        <w:rPr>
          <w:rFonts w:ascii="Arial" w:eastAsia="Calibri" w:hAnsi="Arial" w:cs="Arial"/>
          <w:b/>
          <w:bCs/>
          <w:color w:val="161616" w:themeColor="background1" w:themeShade="1A"/>
          <w:sz w:val="22"/>
          <w:szCs w:val="22"/>
          <w:lang w:val="es-ES_tradnl"/>
        </w:rPr>
      </w:pPr>
      <w:bookmarkStart w:id="0" w:name="_Hlk47949675"/>
      <w:r w:rsidRPr="0071727F">
        <w:rPr>
          <w:rFonts w:ascii="Arial" w:hAnsi="Arial" w:cs="Arial"/>
          <w:b/>
          <w:bCs/>
          <w:color w:val="161616" w:themeColor="background1" w:themeShade="1A"/>
          <w:sz w:val="22"/>
          <w:szCs w:val="22"/>
          <w:lang w:val="es-ES_tradnl" w:eastAsia="es-ES"/>
        </w:rPr>
        <w:t>CCE-DES-FM-17</w:t>
      </w:r>
    </w:p>
    <w:p w14:paraId="0E5EA32E" w14:textId="583257F8" w:rsidR="003F18DE" w:rsidRPr="0071727F" w:rsidRDefault="003F18DE" w:rsidP="0022167B">
      <w:pPr>
        <w:jc w:val="both"/>
        <w:rPr>
          <w:rFonts w:ascii="Arial" w:eastAsia="Calibri" w:hAnsi="Arial" w:cs="Arial"/>
          <w:b/>
          <w:color w:val="161616" w:themeColor="background1" w:themeShade="1A"/>
          <w:sz w:val="22"/>
          <w:szCs w:val="22"/>
          <w:lang w:val="es-ES_tradnl" w:eastAsia="en-US"/>
        </w:rPr>
      </w:pPr>
      <w:bookmarkStart w:id="1" w:name="_Hlk52928496"/>
      <w:bookmarkEnd w:id="0"/>
    </w:p>
    <w:bookmarkEnd w:id="1"/>
    <w:p w14:paraId="1DCFD596" w14:textId="6416132E" w:rsidR="00846235" w:rsidRPr="0071727F" w:rsidRDefault="00160CB0" w:rsidP="0022167B">
      <w:pPr>
        <w:jc w:val="both"/>
        <w:rPr>
          <w:rFonts w:ascii="Arial" w:eastAsia="Arial" w:hAnsi="Arial" w:cs="Arial"/>
          <w:b/>
          <w:color w:val="161616" w:themeColor="background1" w:themeShade="1A"/>
          <w:sz w:val="22"/>
          <w:szCs w:val="22"/>
          <w:lang w:val="es-ES_tradnl"/>
        </w:rPr>
      </w:pPr>
      <w:r w:rsidRPr="0071727F">
        <w:rPr>
          <w:rFonts w:ascii="Arial" w:hAnsi="Arial" w:cs="Arial"/>
          <w:b/>
          <w:bCs/>
          <w:color w:val="161616" w:themeColor="background1" w:themeShade="1A"/>
          <w:sz w:val="22"/>
          <w:szCs w:val="22"/>
          <w:lang w:val="es-ES_tradnl" w:eastAsia="es-CO"/>
        </w:rPr>
        <w:t xml:space="preserve">LEY DE GARANTÍAS ELECTORALES </w:t>
      </w:r>
      <w:r w:rsidR="0071727F" w:rsidRPr="0071727F">
        <w:rPr>
          <w:rFonts w:ascii="Arial" w:eastAsia="Calibri" w:hAnsi="Arial" w:cs="Arial"/>
          <w:b/>
          <w:bCs/>
          <w:color w:val="161616" w:themeColor="background1" w:themeShade="1A"/>
          <w:sz w:val="22"/>
          <w:szCs w:val="22"/>
          <w:lang w:val="es-ES_tradnl"/>
        </w:rPr>
        <w:t>─</w:t>
      </w:r>
      <w:r w:rsidRPr="0071727F">
        <w:rPr>
          <w:rFonts w:ascii="Arial" w:hAnsi="Arial" w:cs="Arial"/>
          <w:b/>
          <w:bCs/>
          <w:color w:val="161616" w:themeColor="background1" w:themeShade="1A"/>
          <w:sz w:val="22"/>
          <w:szCs w:val="22"/>
          <w:lang w:val="es-ES_tradnl" w:eastAsia="es-CO"/>
        </w:rPr>
        <w:t xml:space="preserve"> </w:t>
      </w:r>
      <w:r w:rsidR="00846235" w:rsidRPr="0071727F">
        <w:rPr>
          <w:rFonts w:ascii="Arial" w:eastAsia="Arial" w:hAnsi="Arial" w:cs="Arial"/>
          <w:b/>
          <w:color w:val="161616" w:themeColor="background1" w:themeShade="1A"/>
          <w:sz w:val="22"/>
          <w:szCs w:val="22"/>
          <w:lang w:val="es-ES_tradnl"/>
        </w:rPr>
        <w:t xml:space="preserve">Definición </w:t>
      </w:r>
      <w:r w:rsidR="0071727F" w:rsidRPr="0071727F">
        <w:rPr>
          <w:rFonts w:ascii="Arial" w:eastAsia="Calibri" w:hAnsi="Arial" w:cs="Arial"/>
          <w:b/>
          <w:bCs/>
          <w:color w:val="161616" w:themeColor="background1" w:themeShade="1A"/>
          <w:sz w:val="22"/>
          <w:szCs w:val="22"/>
          <w:lang w:val="es-ES_tradnl"/>
        </w:rPr>
        <w:t>─</w:t>
      </w:r>
      <w:r w:rsidR="0071727F">
        <w:rPr>
          <w:rFonts w:ascii="Arial" w:eastAsia="Arial" w:hAnsi="Arial" w:cs="Arial"/>
          <w:b/>
          <w:color w:val="161616" w:themeColor="background1" w:themeShade="1A"/>
          <w:sz w:val="22"/>
          <w:szCs w:val="22"/>
          <w:lang w:val="es-ES_tradnl"/>
        </w:rPr>
        <w:t xml:space="preserve"> F</w:t>
      </w:r>
      <w:r w:rsidR="00846235" w:rsidRPr="0071727F">
        <w:rPr>
          <w:rFonts w:ascii="Arial" w:eastAsia="Arial" w:hAnsi="Arial" w:cs="Arial"/>
          <w:b/>
          <w:color w:val="161616" w:themeColor="background1" w:themeShade="1A"/>
          <w:sz w:val="22"/>
          <w:szCs w:val="22"/>
          <w:lang w:val="es-ES_tradnl"/>
        </w:rPr>
        <w:t xml:space="preserve">inalidad </w:t>
      </w:r>
      <w:r w:rsidR="0071727F" w:rsidRPr="0071727F">
        <w:rPr>
          <w:rFonts w:ascii="Arial" w:eastAsia="Calibri" w:hAnsi="Arial" w:cs="Arial"/>
          <w:b/>
          <w:bCs/>
          <w:color w:val="161616" w:themeColor="background1" w:themeShade="1A"/>
          <w:sz w:val="22"/>
          <w:szCs w:val="22"/>
          <w:lang w:val="es-ES_tradnl"/>
        </w:rPr>
        <w:t>─</w:t>
      </w:r>
      <w:r w:rsidR="00846235" w:rsidRPr="0071727F">
        <w:rPr>
          <w:rFonts w:ascii="Arial" w:eastAsia="Arial" w:hAnsi="Arial" w:cs="Arial"/>
          <w:b/>
          <w:color w:val="161616" w:themeColor="background1" w:themeShade="1A"/>
          <w:sz w:val="22"/>
          <w:szCs w:val="22"/>
          <w:lang w:val="es-ES_tradnl"/>
        </w:rPr>
        <w:t xml:space="preserve"> </w:t>
      </w:r>
      <w:r w:rsidR="00417025" w:rsidRPr="0071727F">
        <w:rPr>
          <w:rFonts w:ascii="Arial" w:eastAsia="Arial" w:hAnsi="Arial" w:cs="Arial"/>
          <w:b/>
          <w:color w:val="161616" w:themeColor="background1" w:themeShade="1A"/>
          <w:sz w:val="22"/>
          <w:szCs w:val="22"/>
          <w:lang w:val="es-ES_tradnl"/>
        </w:rPr>
        <w:t>R</w:t>
      </w:r>
      <w:r w:rsidR="00846235" w:rsidRPr="0071727F">
        <w:rPr>
          <w:rFonts w:ascii="Arial" w:eastAsia="Arial" w:hAnsi="Arial" w:cs="Arial"/>
          <w:b/>
          <w:color w:val="161616" w:themeColor="background1" w:themeShade="1A"/>
          <w:sz w:val="22"/>
          <w:szCs w:val="22"/>
          <w:lang w:val="es-ES_tradnl"/>
        </w:rPr>
        <w:t>estricciones</w:t>
      </w:r>
      <w:r w:rsidR="0071727F">
        <w:rPr>
          <w:rFonts w:ascii="Arial" w:eastAsia="Arial" w:hAnsi="Arial" w:cs="Arial"/>
          <w:b/>
          <w:color w:val="161616" w:themeColor="background1" w:themeShade="1A"/>
          <w:sz w:val="22"/>
          <w:szCs w:val="22"/>
          <w:lang w:val="es-ES_tradnl"/>
        </w:rPr>
        <w:t xml:space="preserve"> </w:t>
      </w:r>
      <w:r w:rsidR="0071727F" w:rsidRPr="0071727F">
        <w:rPr>
          <w:rFonts w:ascii="Arial" w:eastAsia="Calibri" w:hAnsi="Arial" w:cs="Arial"/>
          <w:b/>
          <w:bCs/>
          <w:color w:val="161616" w:themeColor="background1" w:themeShade="1A"/>
          <w:sz w:val="22"/>
          <w:szCs w:val="22"/>
          <w:lang w:val="es-ES_tradnl"/>
        </w:rPr>
        <w:t>─</w:t>
      </w:r>
      <w:r w:rsidR="00846235" w:rsidRPr="0071727F">
        <w:rPr>
          <w:rFonts w:ascii="Arial" w:eastAsia="Arial" w:hAnsi="Arial" w:cs="Arial"/>
          <w:b/>
          <w:color w:val="161616" w:themeColor="background1" w:themeShade="1A"/>
          <w:sz w:val="22"/>
          <w:szCs w:val="22"/>
          <w:lang w:val="es-ES_tradnl"/>
        </w:rPr>
        <w:t xml:space="preserve"> Destinatarios</w:t>
      </w:r>
    </w:p>
    <w:p w14:paraId="33007A0C" w14:textId="494195F0" w:rsidR="00160CB0" w:rsidRPr="0071727F" w:rsidRDefault="00160CB0" w:rsidP="0022167B">
      <w:pPr>
        <w:rPr>
          <w:rFonts w:ascii="Arial" w:hAnsi="Arial" w:cs="Arial"/>
          <w:b/>
          <w:color w:val="161616" w:themeColor="background1" w:themeShade="1A"/>
          <w:sz w:val="22"/>
          <w:szCs w:val="22"/>
          <w:lang w:val="es-ES_tradnl" w:eastAsia="es-CO"/>
        </w:rPr>
      </w:pPr>
    </w:p>
    <w:p w14:paraId="2EF666EB" w14:textId="77777777" w:rsidR="00C76AD9" w:rsidRPr="0071727F" w:rsidRDefault="000B14BA" w:rsidP="00075D07">
      <w:pPr>
        <w:tabs>
          <w:tab w:val="left" w:pos="426"/>
        </w:tabs>
        <w:jc w:val="both"/>
        <w:rPr>
          <w:rFonts w:ascii="Arial" w:eastAsia="Arial" w:hAnsi="Arial" w:cs="Arial"/>
          <w:color w:val="161616" w:themeColor="background1" w:themeShade="1A"/>
          <w:sz w:val="20"/>
          <w:szCs w:val="20"/>
          <w:lang w:val="es-ES_tradnl"/>
        </w:rPr>
      </w:pPr>
      <w:r w:rsidRPr="0071727F">
        <w:rPr>
          <w:rFonts w:ascii="Arial" w:eastAsia="Calibri" w:hAnsi="Arial" w:cs="Arial"/>
          <w:noProof/>
          <w:color w:val="161616" w:themeColor="background1" w:themeShade="1A"/>
          <w:sz w:val="20"/>
          <w:szCs w:val="20"/>
          <w:lang w:val="es-ES_tradnl"/>
        </w:rPr>
        <w:t xml:space="preserve">[…] La </w:t>
      </w:r>
      <w:r w:rsidRPr="0071727F">
        <w:rPr>
          <w:rFonts w:ascii="Arial" w:eastAsia="Arial" w:hAnsi="Arial" w:cs="Arial"/>
          <w:color w:val="161616" w:themeColor="background1" w:themeShade="1A"/>
          <w:sz w:val="20"/>
          <w:szCs w:val="20"/>
          <w:lang w:val="es-ES_tradnl"/>
        </w:rPr>
        <w:t xml:space="preserve">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 </w:t>
      </w:r>
    </w:p>
    <w:p w14:paraId="7ECCE3B2" w14:textId="77777777" w:rsidR="00C76AD9" w:rsidRPr="0071727F" w:rsidRDefault="00C76AD9" w:rsidP="00075D07">
      <w:pPr>
        <w:tabs>
          <w:tab w:val="left" w:pos="426"/>
        </w:tabs>
        <w:jc w:val="both"/>
        <w:rPr>
          <w:rFonts w:ascii="Arial" w:eastAsia="Arial" w:hAnsi="Arial" w:cs="Arial"/>
          <w:color w:val="161616" w:themeColor="background1" w:themeShade="1A"/>
          <w:sz w:val="20"/>
          <w:szCs w:val="20"/>
          <w:lang w:val="es-ES_tradnl"/>
        </w:rPr>
      </w:pPr>
    </w:p>
    <w:p w14:paraId="17D055C1" w14:textId="079D3A35" w:rsidR="000B14BA" w:rsidRPr="0071727F" w:rsidRDefault="000B14BA" w:rsidP="00075D07">
      <w:pPr>
        <w:tabs>
          <w:tab w:val="left" w:pos="426"/>
        </w:tabs>
        <w:jc w:val="both"/>
        <w:rPr>
          <w:rFonts w:ascii="Arial" w:eastAsia="Arial" w:hAnsi="Arial" w:cs="Arial"/>
          <w:color w:val="161616" w:themeColor="background1" w:themeShade="1A"/>
          <w:sz w:val="20"/>
          <w:szCs w:val="20"/>
          <w:lang w:val="es-ES_tradnl"/>
        </w:rPr>
      </w:pPr>
      <w:r w:rsidRPr="0071727F">
        <w:rPr>
          <w:rFonts w:ascii="Arial" w:eastAsia="Arial" w:hAnsi="Arial" w:cs="Arial"/>
          <w:color w:val="161616" w:themeColor="background1" w:themeShade="1A"/>
          <w:sz w:val="20"/>
          <w:szCs w:val="20"/>
          <w:lang w:val="es-ES_tradnl"/>
        </w:rPr>
        <w:t>En este contexto, la Ley de Garantías Electorales establece el marco jurídico para el desarrollo de las elecciones, procurando condiciones de igualdad y transparencia para los aspirantes y paralelamente incluye restricciones en el actuar de los servidores públicos, evitando interferencias en la contienda electoral, así como la posible desviación de recursos públicos en aspiraciones electorales.</w:t>
      </w:r>
    </w:p>
    <w:p w14:paraId="5707B303" w14:textId="77777777" w:rsidR="00E81FD0" w:rsidRPr="0071727F" w:rsidRDefault="00E81FD0" w:rsidP="00075D07">
      <w:pPr>
        <w:tabs>
          <w:tab w:val="left" w:pos="426"/>
        </w:tabs>
        <w:jc w:val="both"/>
        <w:rPr>
          <w:rFonts w:ascii="Arial" w:eastAsia="Arial" w:hAnsi="Arial" w:cs="Arial"/>
          <w:color w:val="161616" w:themeColor="background1" w:themeShade="1A"/>
          <w:sz w:val="20"/>
          <w:szCs w:val="20"/>
          <w:lang w:val="es-ES_tradnl"/>
        </w:rPr>
      </w:pPr>
    </w:p>
    <w:p w14:paraId="6E4BFDE6" w14:textId="0849451B" w:rsidR="00E81FD0" w:rsidRPr="0071727F" w:rsidRDefault="009C487F" w:rsidP="00E81FD0">
      <w:pPr>
        <w:tabs>
          <w:tab w:val="left" w:pos="426"/>
        </w:tabs>
        <w:jc w:val="both"/>
        <w:rPr>
          <w:rFonts w:ascii="Arial" w:hAnsi="Arial" w:cs="Arial"/>
          <w:color w:val="161616" w:themeColor="background1" w:themeShade="1A"/>
          <w:sz w:val="20"/>
          <w:szCs w:val="20"/>
          <w:lang w:val="es-ES_tradnl"/>
        </w:rPr>
      </w:pPr>
      <w:r w:rsidRPr="009C487F">
        <w:rPr>
          <w:rFonts w:ascii="Arial" w:eastAsia="Calibri" w:hAnsi="Arial" w:cs="Arial"/>
          <w:noProof/>
          <w:color w:val="161616" w:themeColor="background1" w:themeShade="1A"/>
          <w:sz w:val="20"/>
          <w:szCs w:val="20"/>
          <w:lang w:val="es-ES_tradnl"/>
        </w:rPr>
        <w:t>Bajo este contexto, la prohibición del artículo 33 de la Ley de Garantías Electorales cobija a todas las entidades estatales, incluidas las entidades territoriales como alcaldías y se refiere a «cualquier sistema que no implique convocatoria pública y posibilidad de pluralidad de oferentes». Por tanto, si un contrato de comodato pretende celebrarse de manera directa le aplica, en principio, la prohibición establecida en el artículo 33 de la Ley 996 de 2005</w:t>
      </w:r>
      <w:r>
        <w:rPr>
          <w:rFonts w:ascii="Arial" w:eastAsia="Calibri" w:hAnsi="Arial" w:cs="Arial"/>
          <w:noProof/>
          <w:color w:val="161616" w:themeColor="background1" w:themeShade="1A"/>
          <w:sz w:val="20"/>
          <w:szCs w:val="20"/>
          <w:lang w:val="es-ES_tradnl"/>
        </w:rPr>
        <w:t xml:space="preserve"> </w:t>
      </w:r>
      <w:r w:rsidRPr="0071727F">
        <w:rPr>
          <w:rFonts w:ascii="Arial" w:eastAsia="Arial" w:hAnsi="Arial" w:cs="Arial"/>
          <w:color w:val="161616" w:themeColor="background1" w:themeShade="1A"/>
          <w:sz w:val="20"/>
          <w:szCs w:val="20"/>
          <w:lang w:val="es-ES_tradnl"/>
        </w:rPr>
        <w:t>[…]</w:t>
      </w:r>
      <w:r>
        <w:rPr>
          <w:rFonts w:ascii="Arial" w:eastAsia="Arial" w:hAnsi="Arial" w:cs="Arial"/>
          <w:color w:val="161616" w:themeColor="background1" w:themeShade="1A"/>
          <w:sz w:val="20"/>
          <w:szCs w:val="20"/>
          <w:lang w:val="es-ES_tradnl"/>
        </w:rPr>
        <w:t xml:space="preserve">. </w:t>
      </w:r>
    </w:p>
    <w:p w14:paraId="3702654B" w14:textId="71F4AE88" w:rsidR="00156216" w:rsidRPr="0071727F" w:rsidRDefault="00156216" w:rsidP="0022167B">
      <w:pPr>
        <w:tabs>
          <w:tab w:val="left" w:pos="426"/>
        </w:tabs>
        <w:jc w:val="both"/>
        <w:rPr>
          <w:rFonts w:ascii="Arial" w:eastAsia="Calibri" w:hAnsi="Arial" w:cs="Arial"/>
          <w:noProof/>
          <w:color w:val="161616" w:themeColor="background1" w:themeShade="1A"/>
          <w:sz w:val="22"/>
          <w:szCs w:val="22"/>
          <w:lang w:val="es-ES_tradnl"/>
        </w:rPr>
      </w:pPr>
    </w:p>
    <w:p w14:paraId="59C45EC2" w14:textId="0FAD76BF" w:rsidR="00156216" w:rsidRPr="0071727F" w:rsidRDefault="00156216" w:rsidP="0022167B">
      <w:pPr>
        <w:tabs>
          <w:tab w:val="left" w:pos="426"/>
        </w:tabs>
        <w:jc w:val="both"/>
        <w:rPr>
          <w:rFonts w:ascii="Arial" w:eastAsia="Calibri" w:hAnsi="Arial" w:cs="Arial"/>
          <w:b/>
          <w:bCs/>
          <w:color w:val="161616" w:themeColor="background1" w:themeShade="1A"/>
          <w:sz w:val="22"/>
          <w:szCs w:val="22"/>
          <w:lang w:val="es-ES_tradnl"/>
        </w:rPr>
      </w:pPr>
      <w:bookmarkStart w:id="2" w:name="_Hlk77165666"/>
      <w:bookmarkStart w:id="3" w:name="_Hlk97039670"/>
      <w:r w:rsidRPr="0071727F">
        <w:rPr>
          <w:rFonts w:ascii="Arial" w:eastAsia="Calibri" w:hAnsi="Arial" w:cs="Arial"/>
          <w:b/>
          <w:bCs/>
          <w:color w:val="161616" w:themeColor="background1" w:themeShade="1A"/>
          <w:sz w:val="22"/>
          <w:szCs w:val="22"/>
          <w:lang w:val="es-ES_tradnl"/>
        </w:rPr>
        <w:t xml:space="preserve">LEY DE GARANTÍAS ELECTORALES ─ Prohibición </w:t>
      </w:r>
      <w:r w:rsidR="0071727F" w:rsidRPr="0071727F">
        <w:rPr>
          <w:rFonts w:ascii="Arial" w:eastAsia="Calibri" w:hAnsi="Arial" w:cs="Arial"/>
          <w:b/>
          <w:bCs/>
          <w:color w:val="161616" w:themeColor="background1" w:themeShade="1A"/>
          <w:sz w:val="22"/>
          <w:szCs w:val="22"/>
          <w:lang w:val="es-ES_tradnl"/>
        </w:rPr>
        <w:t>─</w:t>
      </w:r>
      <w:r w:rsidRPr="0071727F">
        <w:rPr>
          <w:rFonts w:ascii="Arial" w:eastAsia="Calibri" w:hAnsi="Arial" w:cs="Arial"/>
          <w:b/>
          <w:bCs/>
          <w:color w:val="161616" w:themeColor="background1" w:themeShade="1A"/>
          <w:sz w:val="22"/>
          <w:szCs w:val="22"/>
          <w:lang w:val="es-ES_tradnl"/>
        </w:rPr>
        <w:t xml:space="preserve"> </w:t>
      </w:r>
      <w:bookmarkEnd w:id="2"/>
      <w:r w:rsidRPr="0071727F">
        <w:rPr>
          <w:rFonts w:ascii="Arial" w:eastAsia="Calibri" w:hAnsi="Arial" w:cs="Arial"/>
          <w:b/>
          <w:bCs/>
          <w:color w:val="161616" w:themeColor="background1" w:themeShade="1A"/>
          <w:sz w:val="22"/>
          <w:szCs w:val="22"/>
          <w:lang w:val="es-ES_tradnl"/>
        </w:rPr>
        <w:t xml:space="preserve">Contratación </w:t>
      </w:r>
      <w:r w:rsidR="0071727F">
        <w:rPr>
          <w:rFonts w:ascii="Arial" w:eastAsia="Calibri" w:hAnsi="Arial" w:cs="Arial"/>
          <w:b/>
          <w:bCs/>
          <w:color w:val="161616" w:themeColor="background1" w:themeShade="1A"/>
          <w:sz w:val="22"/>
          <w:szCs w:val="22"/>
          <w:lang w:val="es-ES_tradnl"/>
        </w:rPr>
        <w:t>D</w:t>
      </w:r>
      <w:r w:rsidRPr="0071727F">
        <w:rPr>
          <w:rFonts w:ascii="Arial" w:eastAsia="Calibri" w:hAnsi="Arial" w:cs="Arial"/>
          <w:b/>
          <w:bCs/>
          <w:color w:val="161616" w:themeColor="background1" w:themeShade="1A"/>
          <w:sz w:val="22"/>
          <w:szCs w:val="22"/>
          <w:lang w:val="es-ES_tradnl"/>
        </w:rPr>
        <w:t xml:space="preserve">irecta </w:t>
      </w:r>
      <w:r w:rsidR="0071727F" w:rsidRPr="0071727F">
        <w:rPr>
          <w:rFonts w:ascii="Arial" w:eastAsia="Calibri" w:hAnsi="Arial" w:cs="Arial"/>
          <w:b/>
          <w:bCs/>
          <w:color w:val="161616" w:themeColor="background1" w:themeShade="1A"/>
          <w:sz w:val="22"/>
          <w:szCs w:val="22"/>
          <w:lang w:val="es-ES_tradnl"/>
        </w:rPr>
        <w:t>─</w:t>
      </w:r>
      <w:r w:rsidRPr="0071727F">
        <w:rPr>
          <w:rFonts w:ascii="Arial" w:eastAsia="Calibri" w:hAnsi="Arial" w:cs="Arial"/>
          <w:b/>
          <w:bCs/>
          <w:color w:val="161616" w:themeColor="background1" w:themeShade="1A"/>
          <w:sz w:val="22"/>
          <w:szCs w:val="22"/>
          <w:lang w:val="es-ES_tradnl"/>
        </w:rPr>
        <w:t xml:space="preserve"> Alcance </w:t>
      </w:r>
      <w:r w:rsidR="0071727F" w:rsidRPr="0071727F">
        <w:rPr>
          <w:rFonts w:ascii="Arial" w:eastAsia="Calibri" w:hAnsi="Arial" w:cs="Arial"/>
          <w:b/>
          <w:bCs/>
          <w:color w:val="161616" w:themeColor="background1" w:themeShade="1A"/>
          <w:sz w:val="22"/>
          <w:szCs w:val="22"/>
          <w:lang w:val="es-ES_tradnl"/>
        </w:rPr>
        <w:t>─</w:t>
      </w:r>
      <w:r w:rsidRPr="0071727F">
        <w:rPr>
          <w:rFonts w:ascii="Arial" w:eastAsia="Calibri" w:hAnsi="Arial" w:cs="Arial"/>
          <w:b/>
          <w:bCs/>
          <w:color w:val="161616" w:themeColor="background1" w:themeShade="1A"/>
          <w:sz w:val="22"/>
          <w:szCs w:val="22"/>
          <w:lang w:val="es-ES_tradnl"/>
        </w:rPr>
        <w:t xml:space="preserve"> </w:t>
      </w:r>
      <w:r w:rsidRPr="0071727F">
        <w:rPr>
          <w:rFonts w:ascii="Arial" w:hAnsi="Arial" w:cs="Arial"/>
          <w:b/>
          <w:bCs/>
          <w:color w:val="161616" w:themeColor="background1" w:themeShade="1A"/>
          <w:sz w:val="22"/>
          <w:szCs w:val="22"/>
          <w:lang w:val="es-ES_tradnl" w:eastAsia="es-CO"/>
        </w:rPr>
        <w:t>Excepciones</w:t>
      </w:r>
      <w:r w:rsidRPr="0071727F">
        <w:rPr>
          <w:rFonts w:ascii="Arial" w:eastAsia="Calibri" w:hAnsi="Arial" w:cs="Arial"/>
          <w:b/>
          <w:bCs/>
          <w:color w:val="161616" w:themeColor="background1" w:themeShade="1A"/>
          <w:sz w:val="22"/>
          <w:szCs w:val="22"/>
          <w:lang w:val="es-ES_tradnl"/>
        </w:rPr>
        <w:t xml:space="preserve"> </w:t>
      </w:r>
    </w:p>
    <w:bookmarkEnd w:id="3"/>
    <w:p w14:paraId="5D740BB8" w14:textId="77777777" w:rsidR="00156216" w:rsidRPr="0071727F" w:rsidRDefault="00156216" w:rsidP="0022167B">
      <w:pPr>
        <w:tabs>
          <w:tab w:val="left" w:pos="426"/>
        </w:tabs>
        <w:rPr>
          <w:rFonts w:ascii="Arial" w:eastAsia="Calibri" w:hAnsi="Arial" w:cs="Arial"/>
          <w:noProof/>
          <w:color w:val="161616" w:themeColor="background1" w:themeShade="1A"/>
          <w:sz w:val="22"/>
          <w:szCs w:val="22"/>
          <w:lang w:val="es-ES_tradnl"/>
        </w:rPr>
      </w:pPr>
    </w:p>
    <w:p w14:paraId="6BBB335E" w14:textId="77777777" w:rsidR="004F510B" w:rsidRPr="0071727F" w:rsidRDefault="00156216" w:rsidP="0022167B">
      <w:pPr>
        <w:tabs>
          <w:tab w:val="left" w:pos="426"/>
        </w:tabs>
        <w:jc w:val="both"/>
        <w:rPr>
          <w:rFonts w:ascii="Arial" w:eastAsia="Calibri" w:hAnsi="Arial" w:cs="Arial"/>
          <w:noProof/>
          <w:color w:val="161616" w:themeColor="background1" w:themeShade="1A"/>
          <w:sz w:val="20"/>
          <w:szCs w:val="20"/>
          <w:lang w:val="es-ES_tradnl"/>
        </w:rPr>
      </w:pPr>
      <w:r w:rsidRPr="0071727F">
        <w:rPr>
          <w:rFonts w:ascii="Arial" w:eastAsia="Calibri" w:hAnsi="Arial" w:cs="Arial"/>
          <w:noProof/>
          <w:color w:val="161616" w:themeColor="background1" w:themeShade="1A"/>
          <w:sz w:val="20"/>
          <w:szCs w:val="20"/>
          <w:lang w:val="es-ES_tradnl"/>
        </w:rPr>
        <w:t xml:space="preserve">[…] </w:t>
      </w:r>
      <w:r w:rsidR="004F510B" w:rsidRPr="0071727F">
        <w:rPr>
          <w:rFonts w:ascii="Arial" w:eastAsia="Calibri" w:hAnsi="Arial" w:cs="Arial"/>
          <w:noProof/>
          <w:color w:val="161616" w:themeColor="background1" w:themeShade="1A"/>
          <w:sz w:val="20"/>
          <w:szCs w:val="20"/>
          <w:lang w:val="es-ES_tradnl"/>
        </w:rPr>
        <w:t>La Ley 996 de 2005 establece en su artículo 33 que queda prohibida la contratación directa dentro de los cuatro (4) meses anteriores a la celebración de los comicios, salvo las excepciones que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639CA651" w14:textId="0BA56591" w:rsidR="0022167B" w:rsidRPr="0071727F" w:rsidRDefault="0022167B" w:rsidP="0022167B">
      <w:pPr>
        <w:jc w:val="both"/>
        <w:rPr>
          <w:rFonts w:ascii="Arial" w:eastAsia="Calibri" w:hAnsi="Arial" w:cs="Arial"/>
          <w:color w:val="161616" w:themeColor="background1" w:themeShade="1A"/>
          <w:sz w:val="22"/>
          <w:szCs w:val="22"/>
          <w:lang w:val="es-ES_tradnl" w:eastAsia="en-US"/>
        </w:rPr>
      </w:pPr>
    </w:p>
    <w:p w14:paraId="150FD955" w14:textId="2A5F0171" w:rsidR="0018335C" w:rsidRPr="0071727F" w:rsidRDefault="0071727F" w:rsidP="0022167B">
      <w:pPr>
        <w:tabs>
          <w:tab w:val="left" w:pos="426"/>
        </w:tabs>
        <w:jc w:val="both"/>
        <w:rPr>
          <w:rFonts w:ascii="Arial" w:eastAsia="Calibri" w:hAnsi="Arial" w:cs="Arial"/>
          <w:b/>
          <w:bCs/>
          <w:color w:val="161616" w:themeColor="background1" w:themeShade="1A"/>
          <w:sz w:val="22"/>
          <w:szCs w:val="22"/>
          <w:lang w:val="es-ES_tradnl"/>
        </w:rPr>
      </w:pPr>
      <w:r w:rsidRPr="0071727F">
        <w:rPr>
          <w:rFonts w:ascii="Arial" w:eastAsia="Calibri" w:hAnsi="Arial" w:cs="Arial"/>
          <w:b/>
          <w:bCs/>
          <w:color w:val="161616" w:themeColor="background1" w:themeShade="1A"/>
          <w:sz w:val="22"/>
          <w:szCs w:val="22"/>
          <w:lang w:val="es-ES_tradnl"/>
        </w:rPr>
        <w:t>CUERPO DE BOMBEROS VOLUNTARIOS</w:t>
      </w:r>
      <w:r>
        <w:rPr>
          <w:rFonts w:ascii="Arial" w:eastAsia="Calibri" w:hAnsi="Arial" w:cs="Arial"/>
          <w:b/>
          <w:bCs/>
          <w:color w:val="161616" w:themeColor="background1" w:themeShade="1A"/>
          <w:sz w:val="22"/>
          <w:szCs w:val="22"/>
          <w:lang w:val="es-ES_tradnl"/>
        </w:rPr>
        <w:t xml:space="preserve"> </w:t>
      </w:r>
      <w:r w:rsidRPr="0071727F">
        <w:rPr>
          <w:rFonts w:ascii="Arial" w:eastAsia="Calibri" w:hAnsi="Arial" w:cs="Arial"/>
          <w:b/>
          <w:bCs/>
          <w:color w:val="161616" w:themeColor="background1" w:themeShade="1A"/>
          <w:sz w:val="22"/>
          <w:szCs w:val="22"/>
          <w:lang w:val="es-ES_tradnl"/>
        </w:rPr>
        <w:t>─</w:t>
      </w:r>
      <w:r w:rsidR="00B5758A" w:rsidRPr="0071727F">
        <w:rPr>
          <w:rFonts w:ascii="Arial" w:eastAsia="Calibri" w:hAnsi="Arial" w:cs="Arial"/>
          <w:b/>
          <w:bCs/>
          <w:color w:val="161616" w:themeColor="background1" w:themeShade="1A"/>
          <w:sz w:val="22"/>
          <w:szCs w:val="22"/>
          <w:lang w:val="es-ES_tradnl"/>
        </w:rPr>
        <w:t xml:space="preserve"> </w:t>
      </w:r>
      <w:r w:rsidR="00156216" w:rsidRPr="0071727F">
        <w:rPr>
          <w:rFonts w:ascii="Arial" w:eastAsia="Calibri" w:hAnsi="Arial" w:cs="Arial"/>
          <w:b/>
          <w:bCs/>
          <w:color w:val="161616" w:themeColor="background1" w:themeShade="1A"/>
          <w:sz w:val="22"/>
          <w:szCs w:val="22"/>
          <w:lang w:val="es-ES_tradnl"/>
        </w:rPr>
        <w:t xml:space="preserve">Naturaleza </w:t>
      </w:r>
    </w:p>
    <w:p w14:paraId="0031845E" w14:textId="77777777" w:rsidR="00156216" w:rsidRPr="0071727F" w:rsidRDefault="00156216" w:rsidP="0022167B">
      <w:pPr>
        <w:tabs>
          <w:tab w:val="left" w:pos="426"/>
        </w:tabs>
        <w:jc w:val="both"/>
        <w:rPr>
          <w:rFonts w:ascii="Arial" w:eastAsia="Calibri" w:hAnsi="Arial" w:cs="Arial"/>
          <w:b/>
          <w:color w:val="161616" w:themeColor="background1" w:themeShade="1A"/>
          <w:sz w:val="22"/>
          <w:szCs w:val="22"/>
          <w:lang w:val="es-ES_tradnl"/>
        </w:rPr>
      </w:pPr>
    </w:p>
    <w:p w14:paraId="09585CF9" w14:textId="1615A720" w:rsidR="004F510B" w:rsidRPr="0071727F" w:rsidRDefault="000C5512" w:rsidP="001827CB">
      <w:pPr>
        <w:pStyle w:val="NormalWeb"/>
        <w:shd w:val="clear" w:color="auto" w:fill="FFFFFF"/>
        <w:spacing w:before="0" w:beforeAutospacing="0" w:after="0" w:afterAutospacing="0" w:line="240" w:lineRule="auto"/>
        <w:ind w:right="-65"/>
        <w:rPr>
          <w:rFonts w:ascii="Arial" w:eastAsia="Calibri" w:hAnsi="Arial" w:cs="Arial"/>
          <w:noProof/>
          <w:color w:val="161616" w:themeColor="background1" w:themeShade="1A"/>
          <w:sz w:val="20"/>
          <w:szCs w:val="20"/>
          <w:lang w:val="es-ES_tradnl" w:eastAsia="en-GB"/>
        </w:rPr>
      </w:pPr>
      <w:r w:rsidRPr="0071727F">
        <w:rPr>
          <w:rFonts w:ascii="Arial" w:eastAsia="Calibri" w:hAnsi="Arial" w:cs="Arial"/>
          <w:noProof/>
          <w:color w:val="161616" w:themeColor="background1" w:themeShade="1A"/>
          <w:sz w:val="20"/>
          <w:szCs w:val="20"/>
          <w:lang w:val="es-ES_tradnl" w:eastAsia="en-GB"/>
        </w:rPr>
        <w:t xml:space="preserve">[…] </w:t>
      </w:r>
      <w:r w:rsidR="004F510B" w:rsidRPr="0071727F">
        <w:rPr>
          <w:rFonts w:ascii="Arial" w:eastAsia="Calibri" w:hAnsi="Arial" w:cs="Arial"/>
          <w:noProof/>
          <w:color w:val="161616" w:themeColor="background1" w:themeShade="1A"/>
          <w:sz w:val="20"/>
          <w:szCs w:val="20"/>
          <w:lang w:val="es-ES_tradnl" w:eastAsia="en-GB"/>
        </w:rPr>
        <w:t>La Ley </w:t>
      </w:r>
      <w:hyperlink r:id="rId11" w:anchor="1575" w:history="1">
        <w:r w:rsidR="004F510B" w:rsidRPr="0071727F">
          <w:rPr>
            <w:rFonts w:ascii="Arial" w:eastAsia="Calibri" w:hAnsi="Arial" w:cs="Arial"/>
            <w:noProof/>
            <w:color w:val="161616" w:themeColor="background1" w:themeShade="1A"/>
            <w:sz w:val="20"/>
            <w:szCs w:val="20"/>
            <w:lang w:val="es-ES_tradnl" w:eastAsia="en-GB"/>
          </w:rPr>
          <w:t>1575</w:t>
        </w:r>
      </w:hyperlink>
      <w:r w:rsidR="004F510B" w:rsidRPr="0071727F">
        <w:rPr>
          <w:rFonts w:ascii="Arial" w:eastAsia="Calibri" w:hAnsi="Arial" w:cs="Arial"/>
          <w:noProof/>
          <w:color w:val="161616" w:themeColor="background1" w:themeShade="1A"/>
          <w:sz w:val="20"/>
          <w:szCs w:val="20"/>
          <w:lang w:val="es-ES_tradnl" w:eastAsia="en-GB"/>
        </w:rPr>
        <w:t> de 2012 establece que las clases de cuerpos de bomberos son Oficiales, Voluntarios y Aeronáuticos, a su vez señala que, los Cuerpos de Bomberos Voluntarios, son aquellos organizados como asociaciones sin ánimo de lucro, de utilidad común y con personería jurídica expedida por las secretarías de gobierno departamentales, organizadas para la prestación del servicio público para la gestión integral del riesgo contra incendio, los preparativos y atención de rescates en todas sus modalidades y la atención de incidentes con materiales peligrosos</w:t>
      </w:r>
      <w:r w:rsidR="00C76AD9" w:rsidRPr="0071727F">
        <w:rPr>
          <w:rFonts w:ascii="Arial" w:eastAsia="Calibri" w:hAnsi="Arial" w:cs="Arial"/>
          <w:noProof/>
          <w:color w:val="161616" w:themeColor="background1" w:themeShade="1A"/>
          <w:sz w:val="20"/>
          <w:szCs w:val="20"/>
          <w:lang w:val="es-ES_tradnl"/>
        </w:rPr>
        <w:t>»</w:t>
      </w:r>
    </w:p>
    <w:p w14:paraId="1DF382AB" w14:textId="77777777" w:rsidR="004F510B" w:rsidRPr="0071727F" w:rsidRDefault="004F510B" w:rsidP="0022167B">
      <w:pPr>
        <w:pStyle w:val="NormalWeb"/>
        <w:shd w:val="clear" w:color="auto" w:fill="FFFFFF"/>
        <w:spacing w:before="0" w:beforeAutospacing="0" w:after="0" w:afterAutospacing="0" w:line="240" w:lineRule="auto"/>
        <w:rPr>
          <w:rFonts w:ascii="Arial" w:eastAsia="Calibri" w:hAnsi="Arial" w:cs="Arial"/>
          <w:noProof/>
          <w:color w:val="161616" w:themeColor="background1" w:themeShade="1A"/>
          <w:sz w:val="20"/>
          <w:szCs w:val="20"/>
          <w:lang w:val="es-ES_tradnl" w:eastAsia="en-GB"/>
        </w:rPr>
      </w:pPr>
    </w:p>
    <w:p w14:paraId="21E8A0AB" w14:textId="06C68862" w:rsidR="004F510B" w:rsidRPr="0071727F" w:rsidRDefault="004F510B" w:rsidP="008654BA">
      <w:pPr>
        <w:shd w:val="clear" w:color="auto" w:fill="FFFFFF"/>
        <w:jc w:val="both"/>
        <w:rPr>
          <w:rFonts w:ascii="Arial" w:eastAsia="Calibri" w:hAnsi="Arial" w:cs="Arial"/>
          <w:noProof/>
          <w:color w:val="161616" w:themeColor="background1" w:themeShade="1A"/>
          <w:sz w:val="20"/>
          <w:szCs w:val="20"/>
          <w:lang w:val="es-ES_tradnl"/>
        </w:rPr>
      </w:pPr>
      <w:r w:rsidRPr="0071727F">
        <w:rPr>
          <w:rFonts w:ascii="Arial" w:eastAsia="Calibri" w:hAnsi="Arial" w:cs="Arial"/>
          <w:noProof/>
          <w:color w:val="161616" w:themeColor="background1" w:themeShade="1A"/>
          <w:sz w:val="20"/>
          <w:szCs w:val="20"/>
          <w:lang w:val="es-ES_tradnl"/>
        </w:rPr>
        <w:t>La Corte Constitucional en sentencia C-770 de 1998, con ponencia del Magistrado Dr. Alejandro Martínez Caballero, respecto de la naturaleza jurídica de los bomberos voluntarios, manifestó:</w:t>
      </w:r>
    </w:p>
    <w:p w14:paraId="096ABF18" w14:textId="77777777" w:rsidR="004F510B" w:rsidRPr="0071727F" w:rsidRDefault="004F510B" w:rsidP="0022167B">
      <w:pPr>
        <w:shd w:val="clear" w:color="auto" w:fill="FFFFFF"/>
        <w:rPr>
          <w:rFonts w:ascii="Arial" w:eastAsia="Calibri" w:hAnsi="Arial" w:cs="Arial"/>
          <w:noProof/>
          <w:color w:val="161616" w:themeColor="background1" w:themeShade="1A"/>
          <w:sz w:val="20"/>
          <w:szCs w:val="20"/>
          <w:lang w:val="es-ES_tradnl"/>
        </w:rPr>
      </w:pPr>
    </w:p>
    <w:p w14:paraId="74688756" w14:textId="69B0092C" w:rsidR="004F510B" w:rsidRPr="0071727F" w:rsidRDefault="004F510B" w:rsidP="0022167B">
      <w:pPr>
        <w:shd w:val="clear" w:color="auto" w:fill="FFFFFF"/>
        <w:ind w:left="567" w:right="1041"/>
        <w:jc w:val="both"/>
        <w:rPr>
          <w:rFonts w:ascii="Arial" w:eastAsia="Calibri" w:hAnsi="Arial" w:cs="Arial"/>
          <w:noProof/>
          <w:color w:val="161616" w:themeColor="background1" w:themeShade="1A"/>
          <w:sz w:val="20"/>
          <w:szCs w:val="20"/>
          <w:lang w:val="es-ES_tradnl"/>
        </w:rPr>
      </w:pPr>
      <w:r w:rsidRPr="0071727F">
        <w:rPr>
          <w:rFonts w:ascii="Arial" w:eastAsia="Calibri" w:hAnsi="Arial" w:cs="Arial"/>
          <w:noProof/>
          <w:color w:val="161616" w:themeColor="background1" w:themeShade="1A"/>
          <w:sz w:val="20"/>
          <w:szCs w:val="20"/>
          <w:lang w:val="es-ES_tradnl"/>
        </w:rPr>
        <w:lastRenderedPageBreak/>
        <w:t> «Los cuerpos de bomberos voluntarios no son una simple asociación privada o un club recreacional, sino que desarrollan un servicio público de importancia y riesgo, como es el servicio de bomberos. En efecto, la propia ley es clara en señalar que esas entidades asociativas se desarrollan para la prevención de incendios y calamidades, y como tales se encargan de un servicio público cuya deficiente prestación puede poner en peligro la vida, la integridad personal y los bienes de los asociados»</w:t>
      </w:r>
    </w:p>
    <w:p w14:paraId="215CC6A3" w14:textId="7F3D1308" w:rsidR="00C50170" w:rsidRPr="0071727F" w:rsidRDefault="00C50170" w:rsidP="0022167B">
      <w:pPr>
        <w:shd w:val="clear" w:color="auto" w:fill="FFFFFF"/>
        <w:ind w:left="567" w:right="1041"/>
        <w:jc w:val="both"/>
        <w:rPr>
          <w:rFonts w:ascii="Arial" w:eastAsia="Calibri" w:hAnsi="Arial" w:cs="Arial"/>
          <w:noProof/>
          <w:color w:val="161616" w:themeColor="background1" w:themeShade="1A"/>
          <w:sz w:val="20"/>
          <w:szCs w:val="20"/>
          <w:lang w:val="es-ES_tradnl"/>
        </w:rPr>
      </w:pPr>
    </w:p>
    <w:p w14:paraId="33320D9A" w14:textId="2C524F39" w:rsidR="0018335C" w:rsidRPr="0071727F" w:rsidRDefault="004F510B" w:rsidP="00947A71">
      <w:pPr>
        <w:shd w:val="clear" w:color="auto" w:fill="FFFFFF"/>
        <w:ind w:left="567" w:right="1069"/>
        <w:jc w:val="both"/>
        <w:rPr>
          <w:rFonts w:ascii="Arial" w:eastAsia="Calibri" w:hAnsi="Arial" w:cs="Arial"/>
          <w:noProof/>
          <w:color w:val="161616" w:themeColor="background1" w:themeShade="1A"/>
          <w:sz w:val="20"/>
          <w:szCs w:val="20"/>
          <w:lang w:val="es-ES_tradnl"/>
        </w:rPr>
      </w:pPr>
      <w:r w:rsidRPr="0071727F">
        <w:rPr>
          <w:rFonts w:ascii="Arial" w:eastAsia="Calibri" w:hAnsi="Arial" w:cs="Arial"/>
          <w:noProof/>
          <w:color w:val="161616" w:themeColor="background1" w:themeShade="1A"/>
          <w:sz w:val="20"/>
          <w:szCs w:val="20"/>
          <w:lang w:val="es-ES_tradnl"/>
        </w:rPr>
        <w:t>De acuerdo con lo anterior, es viable manifestar que los bomberos voluntarios se conforman como una asociación privada organizada sin ánimo de lucro para la prestación de un servicio público, sin que ello concluya en que prestan función pública;</w:t>
      </w:r>
      <w:r w:rsidR="00947A71">
        <w:rPr>
          <w:rFonts w:ascii="Arial" w:eastAsia="Calibri" w:hAnsi="Arial" w:cs="Arial"/>
          <w:noProof/>
          <w:color w:val="161616" w:themeColor="background1" w:themeShade="1A"/>
          <w:sz w:val="20"/>
          <w:szCs w:val="20"/>
          <w:lang w:val="es-ES_tradnl"/>
        </w:rPr>
        <w:t xml:space="preserve"> </w:t>
      </w:r>
      <w:r w:rsidR="00947A71" w:rsidRPr="0071727F">
        <w:rPr>
          <w:rFonts w:ascii="Arial" w:hAnsi="Arial" w:cs="Arial"/>
          <w:color w:val="161616" w:themeColor="background1" w:themeShade="1A"/>
          <w:sz w:val="20"/>
          <w:szCs w:val="20"/>
          <w:lang w:val="es-ES_tradnl" w:eastAsia="x-none"/>
        </w:rPr>
        <w:t>[…]</w:t>
      </w:r>
      <w:r w:rsidRPr="0071727F">
        <w:rPr>
          <w:rFonts w:ascii="Arial" w:eastAsia="Calibri" w:hAnsi="Arial" w:cs="Arial"/>
          <w:noProof/>
          <w:color w:val="161616" w:themeColor="background1" w:themeShade="1A"/>
          <w:sz w:val="20"/>
          <w:szCs w:val="20"/>
          <w:lang w:val="es-ES_tradnl"/>
        </w:rPr>
        <w:t xml:space="preserve"> </w:t>
      </w:r>
    </w:p>
    <w:p w14:paraId="2240AC68" w14:textId="77777777" w:rsidR="0018335C" w:rsidRPr="0071727F" w:rsidRDefault="0018335C" w:rsidP="0022167B">
      <w:pPr>
        <w:jc w:val="both"/>
        <w:outlineLvl w:val="0"/>
        <w:rPr>
          <w:rFonts w:ascii="Arial" w:eastAsia="Calibri" w:hAnsi="Arial" w:cs="Arial"/>
          <w:b/>
          <w:color w:val="161616" w:themeColor="background1" w:themeShade="1A"/>
          <w:sz w:val="22"/>
          <w:szCs w:val="22"/>
          <w:lang w:val="es-ES_tradnl"/>
        </w:rPr>
      </w:pPr>
    </w:p>
    <w:p w14:paraId="2622D4FE" w14:textId="31B0306F" w:rsidR="0018335C" w:rsidRPr="0071727F" w:rsidRDefault="0018335C" w:rsidP="00947A71">
      <w:pPr>
        <w:ind w:left="567"/>
        <w:jc w:val="both"/>
        <w:outlineLvl w:val="0"/>
        <w:rPr>
          <w:rFonts w:ascii="Arial" w:eastAsia="Calibri" w:hAnsi="Arial" w:cs="Arial"/>
          <w:b/>
          <w:color w:val="161616" w:themeColor="background1" w:themeShade="1A"/>
          <w:sz w:val="22"/>
          <w:szCs w:val="22"/>
          <w:lang w:val="es-ES_tradnl"/>
        </w:rPr>
      </w:pPr>
      <w:r w:rsidRPr="0071727F">
        <w:rPr>
          <w:rFonts w:ascii="Arial" w:eastAsia="Calibri" w:hAnsi="Arial" w:cs="Arial"/>
          <w:b/>
          <w:color w:val="161616" w:themeColor="background1" w:themeShade="1A"/>
          <w:sz w:val="22"/>
          <w:szCs w:val="22"/>
          <w:lang w:val="es-ES_tradnl"/>
        </w:rPr>
        <w:t>CON</w:t>
      </w:r>
      <w:r w:rsidR="00156216" w:rsidRPr="0071727F">
        <w:rPr>
          <w:rFonts w:ascii="Arial" w:eastAsia="Calibri" w:hAnsi="Arial" w:cs="Arial"/>
          <w:b/>
          <w:color w:val="161616" w:themeColor="background1" w:themeShade="1A"/>
          <w:sz w:val="22"/>
          <w:szCs w:val="22"/>
          <w:lang w:val="es-ES_tradnl"/>
        </w:rPr>
        <w:t>TRATOS DE COMODATO</w:t>
      </w:r>
      <w:r w:rsidRPr="0071727F">
        <w:rPr>
          <w:rFonts w:ascii="Arial" w:eastAsia="Calibri" w:hAnsi="Arial" w:cs="Arial"/>
          <w:b/>
          <w:color w:val="161616" w:themeColor="background1" w:themeShade="1A"/>
          <w:sz w:val="22"/>
          <w:szCs w:val="22"/>
          <w:lang w:val="es-ES_tradnl"/>
        </w:rPr>
        <w:t xml:space="preserve"> </w:t>
      </w:r>
      <w:r w:rsidR="00A74CA8" w:rsidRPr="0071727F">
        <w:rPr>
          <w:rFonts w:ascii="Arial" w:eastAsia="Calibri" w:hAnsi="Arial" w:cs="Arial"/>
          <w:b/>
          <w:bCs/>
          <w:color w:val="161616" w:themeColor="background1" w:themeShade="1A"/>
          <w:sz w:val="22"/>
          <w:szCs w:val="22"/>
          <w:lang w:val="es-ES_tradnl"/>
        </w:rPr>
        <w:t>─</w:t>
      </w:r>
      <w:r w:rsidRPr="0071727F">
        <w:rPr>
          <w:rFonts w:ascii="Arial" w:eastAsia="Calibri" w:hAnsi="Arial" w:cs="Arial"/>
          <w:b/>
          <w:color w:val="161616" w:themeColor="background1" w:themeShade="1A"/>
          <w:sz w:val="22"/>
          <w:szCs w:val="22"/>
          <w:lang w:val="es-ES_tradnl"/>
        </w:rPr>
        <w:t xml:space="preserve"> </w:t>
      </w:r>
      <w:r w:rsidR="00156216" w:rsidRPr="0071727F">
        <w:rPr>
          <w:rFonts w:ascii="Arial" w:eastAsia="Calibri" w:hAnsi="Arial" w:cs="Arial"/>
          <w:b/>
          <w:color w:val="161616" w:themeColor="background1" w:themeShade="1A"/>
          <w:sz w:val="22"/>
          <w:szCs w:val="22"/>
          <w:lang w:val="es-ES_tradnl"/>
        </w:rPr>
        <w:t>Entidades públicas</w:t>
      </w:r>
      <w:r w:rsidR="00A74CA8">
        <w:rPr>
          <w:rFonts w:ascii="Arial" w:eastAsia="Calibri" w:hAnsi="Arial" w:cs="Arial"/>
          <w:b/>
          <w:color w:val="161616" w:themeColor="background1" w:themeShade="1A"/>
          <w:sz w:val="22"/>
          <w:szCs w:val="22"/>
          <w:lang w:val="es-ES_tradnl"/>
        </w:rPr>
        <w:t xml:space="preserve"> </w:t>
      </w:r>
      <w:r w:rsidR="00A74CA8" w:rsidRPr="0071727F">
        <w:rPr>
          <w:rFonts w:ascii="Arial" w:eastAsia="Calibri" w:hAnsi="Arial" w:cs="Arial"/>
          <w:b/>
          <w:bCs/>
          <w:color w:val="161616" w:themeColor="background1" w:themeShade="1A"/>
          <w:sz w:val="22"/>
          <w:szCs w:val="22"/>
          <w:lang w:val="es-ES_tradnl"/>
        </w:rPr>
        <w:t>─</w:t>
      </w:r>
      <w:r w:rsidR="00156216" w:rsidRPr="0071727F">
        <w:rPr>
          <w:rFonts w:ascii="Arial" w:eastAsia="Calibri" w:hAnsi="Arial" w:cs="Arial"/>
          <w:b/>
          <w:color w:val="161616" w:themeColor="background1" w:themeShade="1A"/>
          <w:sz w:val="22"/>
          <w:szCs w:val="22"/>
          <w:lang w:val="es-ES_tradnl"/>
        </w:rPr>
        <w:t xml:space="preserve"> ESAL</w:t>
      </w:r>
    </w:p>
    <w:p w14:paraId="2151EB7E" w14:textId="77777777" w:rsidR="0018335C" w:rsidRPr="0071727F" w:rsidRDefault="0018335C" w:rsidP="0022167B">
      <w:pPr>
        <w:jc w:val="both"/>
        <w:rPr>
          <w:rFonts w:ascii="Arial" w:eastAsia="Calibri" w:hAnsi="Arial" w:cs="Arial"/>
          <w:b/>
          <w:color w:val="161616" w:themeColor="background1" w:themeShade="1A"/>
          <w:sz w:val="22"/>
          <w:szCs w:val="22"/>
          <w:lang w:val="es-ES_tradnl"/>
        </w:rPr>
      </w:pPr>
    </w:p>
    <w:p w14:paraId="4D9E7774" w14:textId="235A7ECB" w:rsidR="004F510B" w:rsidRPr="0071727F" w:rsidRDefault="000C5512" w:rsidP="00947A71">
      <w:pPr>
        <w:ind w:left="567" w:right="1069"/>
        <w:jc w:val="both"/>
        <w:rPr>
          <w:rFonts w:ascii="Arial" w:eastAsia="Calibri" w:hAnsi="Arial" w:cs="Arial"/>
          <w:color w:val="161616" w:themeColor="background1" w:themeShade="1A"/>
          <w:sz w:val="20"/>
          <w:szCs w:val="20"/>
          <w:lang w:val="es-ES_tradnl" w:eastAsia="es-CO"/>
        </w:rPr>
      </w:pPr>
      <w:r w:rsidRPr="0071727F">
        <w:rPr>
          <w:rFonts w:ascii="Arial" w:hAnsi="Arial" w:cs="Arial"/>
          <w:color w:val="161616" w:themeColor="background1" w:themeShade="1A"/>
          <w:sz w:val="20"/>
          <w:szCs w:val="20"/>
          <w:lang w:val="es-ES_tradnl" w:eastAsia="x-none"/>
        </w:rPr>
        <w:t xml:space="preserve">[…] </w:t>
      </w:r>
      <w:r w:rsidR="004F510B" w:rsidRPr="0071727F">
        <w:rPr>
          <w:rFonts w:ascii="Arial" w:eastAsia="Calibri" w:hAnsi="Arial" w:cs="Arial"/>
          <w:color w:val="161616" w:themeColor="background1" w:themeShade="1A"/>
          <w:sz w:val="20"/>
          <w:szCs w:val="20"/>
          <w:lang w:val="es-ES_tradnl" w:eastAsia="es-CO"/>
        </w:rPr>
        <w:t>Conforme lo señalado en el concepto C</w:t>
      </w:r>
      <w:r w:rsidR="00C50170" w:rsidRPr="0071727F">
        <w:rPr>
          <w:rFonts w:ascii="Arial" w:eastAsia="Calibri" w:hAnsi="Arial" w:cs="Arial"/>
          <w:color w:val="161616" w:themeColor="background1" w:themeShade="1A"/>
          <w:sz w:val="20"/>
          <w:szCs w:val="20"/>
          <w:lang w:val="es-ES_tradnl" w:eastAsia="es-CO"/>
        </w:rPr>
        <w:t>-</w:t>
      </w:r>
      <w:r w:rsidR="004F510B" w:rsidRPr="0071727F">
        <w:rPr>
          <w:rFonts w:ascii="Arial" w:eastAsia="Calibri" w:hAnsi="Arial" w:cs="Arial"/>
          <w:color w:val="161616" w:themeColor="background1" w:themeShade="1A"/>
          <w:sz w:val="20"/>
          <w:szCs w:val="20"/>
          <w:lang w:val="es-ES_tradnl" w:eastAsia="es-CO"/>
        </w:rPr>
        <w:t>014 de 2020</w:t>
      </w:r>
      <w:r w:rsidR="004F510B" w:rsidRPr="0071727F">
        <w:rPr>
          <w:rFonts w:ascii="Arial" w:eastAsia="Calibri" w:hAnsi="Arial" w:cs="Arial"/>
          <w:b/>
          <w:color w:val="161616" w:themeColor="background1" w:themeShade="1A"/>
          <w:sz w:val="20"/>
          <w:szCs w:val="20"/>
          <w:lang w:val="es-ES_tradnl"/>
        </w:rPr>
        <w:t xml:space="preserve"> </w:t>
      </w:r>
      <w:r w:rsidR="004F510B" w:rsidRPr="0071727F">
        <w:rPr>
          <w:rFonts w:ascii="Arial" w:eastAsia="Calibri" w:hAnsi="Arial" w:cs="Arial"/>
          <w:color w:val="161616" w:themeColor="background1" w:themeShade="1A"/>
          <w:sz w:val="20"/>
          <w:szCs w:val="20"/>
          <w:lang w:val="es-ES_tradnl" w:eastAsia="es-CO"/>
        </w:rPr>
        <w:t xml:space="preserve">de la Agencia Nacional de Contratación Pública </w:t>
      </w:r>
      <w:r w:rsidR="004F510B" w:rsidRPr="0071727F">
        <w:rPr>
          <w:rFonts w:ascii="Arial" w:hAnsi="Arial" w:cs="Arial"/>
          <w:color w:val="161616" w:themeColor="background1" w:themeShade="1A"/>
          <w:sz w:val="20"/>
          <w:szCs w:val="20"/>
          <w:lang w:val="es-ES_tradnl" w:eastAsia="es-CO"/>
        </w:rPr>
        <w:t> «</w:t>
      </w:r>
      <w:r w:rsidR="004F510B" w:rsidRPr="0071727F">
        <w:rPr>
          <w:rFonts w:ascii="Arial" w:eastAsia="Calibri" w:hAnsi="Arial" w:cs="Arial"/>
          <w:color w:val="161616" w:themeColor="background1" w:themeShade="1A"/>
          <w:sz w:val="20"/>
          <w:szCs w:val="20"/>
          <w:lang w:val="es-ES_tradnl" w:eastAsia="es-CO"/>
        </w:rPr>
        <w:t>el contrato de comodato es una de las tantas prestaciones que hace parte de la colaboración conjunta entre las entidades públicas y las ESAL para el cumplimiento de objetivos de interés general previstos en los planes de desarrollo o para el cumplimiento de las funciones de las entidades públicas</w:t>
      </w:r>
      <w:r w:rsidR="004F510B" w:rsidRPr="0071727F">
        <w:rPr>
          <w:rFonts w:ascii="Arial" w:hAnsi="Arial" w:cs="Arial"/>
          <w:iCs/>
          <w:color w:val="161616" w:themeColor="background1" w:themeShade="1A"/>
          <w:sz w:val="20"/>
          <w:szCs w:val="20"/>
          <w:shd w:val="clear" w:color="auto" w:fill="FFFFFF"/>
          <w:lang w:val="es-ES_tradnl"/>
        </w:rPr>
        <w:t>»</w:t>
      </w:r>
      <w:r w:rsidR="004F510B" w:rsidRPr="0071727F">
        <w:rPr>
          <w:rFonts w:ascii="Arial" w:eastAsia="Calibri" w:hAnsi="Arial" w:cs="Arial"/>
          <w:color w:val="161616" w:themeColor="background1" w:themeShade="1A"/>
          <w:sz w:val="20"/>
          <w:szCs w:val="20"/>
          <w:lang w:val="es-ES_tradnl" w:eastAsia="es-CO"/>
        </w:rPr>
        <w:t xml:space="preserve"> y en tal sentido, el comodato –sea de bienes inmuebles o muebles– están incorporados en los artículos 2 y 5 del Decreto 092 de 2017, de tal suerte que, por regla general </w:t>
      </w:r>
      <w:r w:rsidR="004F510B" w:rsidRPr="0071727F">
        <w:rPr>
          <w:rFonts w:ascii="Arial" w:hAnsi="Arial" w:cs="Arial"/>
          <w:color w:val="161616" w:themeColor="background1" w:themeShade="1A"/>
          <w:sz w:val="20"/>
          <w:szCs w:val="20"/>
          <w:shd w:val="clear" w:color="auto" w:fill="FFFFFF"/>
          <w:lang w:val="es-ES_tradnl"/>
        </w:rPr>
        <w:t xml:space="preserve">implican la existencia de un proceso competitivo, salvo excepciones en él previstas. </w:t>
      </w:r>
    </w:p>
    <w:p w14:paraId="7046682D" w14:textId="53596C1D" w:rsidR="00B012D7" w:rsidRPr="0071727F" w:rsidRDefault="00B012D7" w:rsidP="0022167B">
      <w:pPr>
        <w:jc w:val="both"/>
        <w:rPr>
          <w:rFonts w:ascii="Arial" w:eastAsia="Calibri" w:hAnsi="Arial" w:cs="Arial"/>
          <w:color w:val="161616" w:themeColor="background1" w:themeShade="1A"/>
          <w:sz w:val="22"/>
          <w:szCs w:val="22"/>
          <w:lang w:val="es-ES_tradnl"/>
        </w:rPr>
      </w:pPr>
      <w:r w:rsidRPr="0071727F">
        <w:rPr>
          <w:rFonts w:ascii="Arial" w:eastAsia="Calibri" w:hAnsi="Arial" w:cs="Arial"/>
          <w:color w:val="161616" w:themeColor="background1" w:themeShade="1A"/>
          <w:sz w:val="22"/>
          <w:szCs w:val="22"/>
          <w:lang w:val="es-ES_tradnl"/>
        </w:rPr>
        <w:br w:type="page"/>
      </w:r>
    </w:p>
    <w:p w14:paraId="4F2CBA08" w14:textId="3F14EF5F" w:rsidR="004F3E67" w:rsidRDefault="00033523" w:rsidP="00033523">
      <w:pPr>
        <w:jc w:val="right"/>
        <w:rPr>
          <w:rFonts w:ascii="Arial" w:hAnsi="Arial" w:cs="Arial"/>
          <w:noProof/>
          <w:color w:val="161616" w:themeColor="background1" w:themeShade="1A"/>
          <w:sz w:val="22"/>
          <w:szCs w:val="22"/>
          <w:lang w:val="es-ES_tradnl"/>
        </w:rPr>
      </w:pPr>
      <w:r>
        <w:rPr>
          <w:noProof/>
        </w:rPr>
        <w:lastRenderedPageBreak/>
        <w:drawing>
          <wp:inline distT="0" distB="0" distL="0" distR="0" wp14:anchorId="212FDE0A" wp14:editId="552A8F34">
            <wp:extent cx="2368161" cy="581891"/>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1256" t="35621" r="19043" b="51399"/>
                    <a:stretch/>
                  </pic:blipFill>
                  <pic:spPr bwMode="auto">
                    <a:xfrm>
                      <a:off x="0" y="0"/>
                      <a:ext cx="2375954" cy="583806"/>
                    </a:xfrm>
                    <a:prstGeom prst="rect">
                      <a:avLst/>
                    </a:prstGeom>
                    <a:ln>
                      <a:noFill/>
                    </a:ln>
                    <a:extLst>
                      <a:ext uri="{53640926-AAD7-44D8-BBD7-CCE9431645EC}">
                        <a14:shadowObscured xmlns:a14="http://schemas.microsoft.com/office/drawing/2010/main"/>
                      </a:ext>
                    </a:extLst>
                  </pic:spPr>
                </pic:pic>
              </a:graphicData>
            </a:graphic>
          </wp:inline>
        </w:drawing>
      </w:r>
    </w:p>
    <w:p w14:paraId="7BAF74AE" w14:textId="77777777" w:rsidR="004F3E67" w:rsidRDefault="004F3E67" w:rsidP="0022167B">
      <w:pPr>
        <w:jc w:val="both"/>
        <w:rPr>
          <w:rFonts w:ascii="Arial" w:hAnsi="Arial" w:cs="Arial"/>
          <w:noProof/>
          <w:color w:val="161616" w:themeColor="background1" w:themeShade="1A"/>
          <w:sz w:val="22"/>
          <w:szCs w:val="22"/>
          <w:lang w:val="es-ES_tradnl"/>
        </w:rPr>
      </w:pPr>
    </w:p>
    <w:p w14:paraId="7A3E3ED8" w14:textId="01E9A6C5" w:rsidR="00A10053" w:rsidRPr="00E34DEB" w:rsidRDefault="00A10053" w:rsidP="0022167B">
      <w:pPr>
        <w:jc w:val="both"/>
        <w:rPr>
          <w:rFonts w:ascii="Arial" w:hAnsi="Arial" w:cs="Arial"/>
          <w:noProof/>
          <w:color w:val="161616" w:themeColor="background1" w:themeShade="1A"/>
          <w:sz w:val="22"/>
          <w:szCs w:val="22"/>
          <w:lang w:val="es-ES_tradnl"/>
        </w:rPr>
      </w:pPr>
      <w:r w:rsidRPr="00E34DEB">
        <w:rPr>
          <w:rFonts w:ascii="Arial" w:hAnsi="Arial" w:cs="Arial"/>
          <w:noProof/>
          <w:color w:val="161616" w:themeColor="background1" w:themeShade="1A"/>
          <w:sz w:val="22"/>
          <w:szCs w:val="22"/>
          <w:lang w:val="es-ES_tradnl"/>
        </w:rPr>
        <w:t xml:space="preserve">Bogotá, </w:t>
      </w:r>
      <w:r w:rsidR="004F3E67">
        <w:rPr>
          <w:rFonts w:ascii="Arial" w:hAnsi="Arial" w:cs="Arial"/>
          <w:noProof/>
          <w:color w:val="161616" w:themeColor="background1" w:themeShade="1A"/>
          <w:sz w:val="22"/>
          <w:szCs w:val="22"/>
          <w:lang w:val="es-ES_tradnl"/>
        </w:rPr>
        <w:t>18 de Marzo de 2022</w:t>
      </w:r>
    </w:p>
    <w:p w14:paraId="40FDD96F" w14:textId="77777777" w:rsidR="00A10053" w:rsidRPr="00E34DEB" w:rsidRDefault="00A10053" w:rsidP="0022167B">
      <w:pPr>
        <w:jc w:val="both"/>
        <w:rPr>
          <w:rFonts w:ascii="Arial" w:eastAsia="Calibri" w:hAnsi="Arial" w:cs="Arial"/>
          <w:noProof/>
          <w:color w:val="161616" w:themeColor="background1" w:themeShade="1A"/>
          <w:sz w:val="22"/>
          <w:szCs w:val="22"/>
          <w:lang w:val="es-ES_tradnl"/>
        </w:rPr>
      </w:pPr>
    </w:p>
    <w:p w14:paraId="2A14E832" w14:textId="77777777" w:rsidR="00A10053" w:rsidRPr="00E34DEB" w:rsidRDefault="00A10053" w:rsidP="0022167B">
      <w:pPr>
        <w:jc w:val="both"/>
        <w:rPr>
          <w:rFonts w:ascii="Arial" w:hAnsi="Arial" w:cs="Arial"/>
          <w:bCs/>
          <w:color w:val="161616" w:themeColor="background1" w:themeShade="1A"/>
          <w:sz w:val="22"/>
          <w:szCs w:val="22"/>
          <w:lang w:val="es-ES_tradnl"/>
        </w:rPr>
      </w:pPr>
    </w:p>
    <w:p w14:paraId="6E444D61" w14:textId="249B4E0E" w:rsidR="00E54365" w:rsidRPr="0071727F" w:rsidRDefault="00E54365" w:rsidP="0022167B">
      <w:pPr>
        <w:rPr>
          <w:rFonts w:ascii="Arial" w:hAnsi="Arial" w:cs="Arial"/>
          <w:color w:val="161616" w:themeColor="background1" w:themeShade="1A"/>
          <w:sz w:val="22"/>
          <w:szCs w:val="22"/>
          <w:lang w:val="es-ES_tradnl"/>
        </w:rPr>
      </w:pPr>
      <w:bookmarkStart w:id="4" w:name="_Hlk70510939"/>
      <w:r w:rsidRPr="0071727F">
        <w:rPr>
          <w:rFonts w:ascii="Arial" w:hAnsi="Arial" w:cs="Arial"/>
          <w:color w:val="161616" w:themeColor="background1" w:themeShade="1A"/>
          <w:sz w:val="22"/>
          <w:szCs w:val="22"/>
          <w:lang w:val="es-ES_tradnl"/>
        </w:rPr>
        <w:t>Señor</w:t>
      </w:r>
    </w:p>
    <w:p w14:paraId="1CB0E71B" w14:textId="5A25B18B" w:rsidR="00C64E43" w:rsidRPr="0071727F" w:rsidRDefault="007C4BE5" w:rsidP="0022167B">
      <w:pPr>
        <w:rPr>
          <w:rFonts w:ascii="Arial" w:hAnsi="Arial" w:cs="Arial"/>
          <w:b/>
          <w:color w:val="000000" w:themeColor="text1"/>
          <w:sz w:val="22"/>
          <w:szCs w:val="22"/>
          <w:lang w:val="es-ES_tradnl"/>
        </w:rPr>
      </w:pPr>
      <w:r w:rsidRPr="0071727F">
        <w:rPr>
          <w:rFonts w:ascii="Arial" w:hAnsi="Arial" w:cs="Arial"/>
          <w:b/>
          <w:color w:val="000000" w:themeColor="text1"/>
          <w:sz w:val="22"/>
          <w:szCs w:val="22"/>
          <w:lang w:val="es-ES_tradnl"/>
        </w:rPr>
        <w:t xml:space="preserve">Fredy Alberto Amado Angulo </w:t>
      </w:r>
    </w:p>
    <w:p w14:paraId="7D2AC42E" w14:textId="61B5DA8F" w:rsidR="00C64E43" w:rsidRPr="0071727F" w:rsidRDefault="00770B28" w:rsidP="0022167B">
      <w:pPr>
        <w:rPr>
          <w:rFonts w:ascii="Arial" w:hAnsi="Arial" w:cs="Arial"/>
          <w:bCs/>
          <w:color w:val="161616" w:themeColor="background1" w:themeShade="1A"/>
          <w:sz w:val="22"/>
          <w:szCs w:val="22"/>
          <w:lang w:val="es-ES_tradnl"/>
        </w:rPr>
      </w:pPr>
      <w:r w:rsidRPr="0071727F">
        <w:rPr>
          <w:rFonts w:ascii="Arial" w:hAnsi="Arial" w:cs="Arial"/>
          <w:bCs/>
          <w:color w:val="161616" w:themeColor="background1" w:themeShade="1A"/>
          <w:sz w:val="22"/>
          <w:szCs w:val="22"/>
          <w:lang w:val="es-ES_tradnl"/>
        </w:rPr>
        <w:t xml:space="preserve">Alcaldía </w:t>
      </w:r>
      <w:r w:rsidR="007C4BE5" w:rsidRPr="0071727F">
        <w:rPr>
          <w:rFonts w:ascii="Arial" w:hAnsi="Arial" w:cs="Arial"/>
          <w:bCs/>
          <w:color w:val="161616" w:themeColor="background1" w:themeShade="1A"/>
          <w:sz w:val="22"/>
          <w:szCs w:val="22"/>
          <w:lang w:val="es-ES_tradnl"/>
        </w:rPr>
        <w:t xml:space="preserve">Municipal </w:t>
      </w:r>
    </w:p>
    <w:p w14:paraId="190AC816" w14:textId="33548A74" w:rsidR="00C64E43" w:rsidRPr="0071727F" w:rsidRDefault="007C4BE5" w:rsidP="0022167B">
      <w:pPr>
        <w:rPr>
          <w:rFonts w:ascii="Arial" w:hAnsi="Arial" w:cs="Arial"/>
          <w:color w:val="161616" w:themeColor="background1" w:themeShade="1A"/>
          <w:sz w:val="22"/>
          <w:szCs w:val="22"/>
          <w:lang w:val="es-ES_tradnl"/>
        </w:rPr>
      </w:pPr>
      <w:r w:rsidRPr="0071727F">
        <w:rPr>
          <w:rFonts w:ascii="Arial" w:hAnsi="Arial" w:cs="Arial"/>
          <w:bCs/>
          <w:color w:val="161616" w:themeColor="background1" w:themeShade="1A"/>
          <w:sz w:val="22"/>
          <w:szCs w:val="22"/>
          <w:lang w:val="es-ES_tradnl"/>
        </w:rPr>
        <w:t>Nilo</w:t>
      </w:r>
      <w:r w:rsidR="004C3BA4" w:rsidRPr="0071727F">
        <w:rPr>
          <w:rFonts w:ascii="Arial" w:hAnsi="Arial" w:cs="Arial"/>
          <w:bCs/>
          <w:color w:val="161616" w:themeColor="background1" w:themeShade="1A"/>
          <w:sz w:val="22"/>
          <w:szCs w:val="22"/>
          <w:lang w:val="es-ES_tradnl"/>
        </w:rPr>
        <w:t xml:space="preserve">, </w:t>
      </w:r>
      <w:r w:rsidRPr="0071727F">
        <w:rPr>
          <w:rFonts w:ascii="Arial" w:hAnsi="Arial" w:cs="Arial"/>
          <w:bCs/>
          <w:color w:val="161616" w:themeColor="background1" w:themeShade="1A"/>
          <w:sz w:val="22"/>
          <w:szCs w:val="22"/>
          <w:lang w:val="es-ES_tradnl"/>
        </w:rPr>
        <w:t xml:space="preserve">Cundinamarca </w:t>
      </w:r>
    </w:p>
    <w:p w14:paraId="207B3DB4" w14:textId="77777777" w:rsidR="00C64E43" w:rsidRPr="0071727F" w:rsidRDefault="00C64E43" w:rsidP="0022167B">
      <w:pPr>
        <w:rPr>
          <w:rFonts w:ascii="Arial" w:hAnsi="Arial" w:cs="Arial"/>
          <w:color w:val="161616" w:themeColor="background1" w:themeShade="1A"/>
          <w:sz w:val="22"/>
          <w:szCs w:val="22"/>
          <w:lang w:val="es-ES_tradnl"/>
        </w:rPr>
      </w:pPr>
    </w:p>
    <w:p w14:paraId="462F7397" w14:textId="77777777" w:rsidR="0076432E" w:rsidRPr="0071727F" w:rsidRDefault="0076432E" w:rsidP="0022167B">
      <w:pPr>
        <w:ind w:left="2124" w:firstLine="708"/>
        <w:rPr>
          <w:rFonts w:ascii="Arial" w:hAnsi="Arial" w:cs="Arial"/>
          <w:b/>
          <w:bCs/>
          <w:color w:val="161616" w:themeColor="background1" w:themeShade="1A"/>
          <w:sz w:val="22"/>
          <w:szCs w:val="22"/>
          <w:lang w:val="es-ES_tradnl"/>
        </w:rPr>
      </w:pPr>
    </w:p>
    <w:p w14:paraId="17BA6817" w14:textId="3DA00915" w:rsidR="00E54365" w:rsidRPr="0071727F" w:rsidRDefault="00E54365" w:rsidP="0022167B">
      <w:pPr>
        <w:ind w:left="2124" w:firstLine="708"/>
        <w:rPr>
          <w:rFonts w:ascii="Arial" w:hAnsi="Arial" w:cs="Arial"/>
          <w:b/>
          <w:bCs/>
          <w:color w:val="161616" w:themeColor="background1" w:themeShade="1A"/>
          <w:sz w:val="22"/>
          <w:szCs w:val="22"/>
          <w:lang w:val="es-ES_tradnl"/>
        </w:rPr>
      </w:pPr>
      <w:r w:rsidRPr="0071727F">
        <w:rPr>
          <w:rFonts w:ascii="Arial" w:hAnsi="Arial" w:cs="Arial"/>
          <w:b/>
          <w:bCs/>
          <w:color w:val="161616" w:themeColor="background1" w:themeShade="1A"/>
          <w:sz w:val="22"/>
          <w:szCs w:val="22"/>
          <w:lang w:val="es-ES_tradnl"/>
        </w:rPr>
        <w:t>Concepto</w:t>
      </w:r>
      <w:r w:rsidR="006559E3" w:rsidRPr="0071727F">
        <w:rPr>
          <w:rFonts w:ascii="Arial" w:hAnsi="Arial" w:cs="Arial"/>
          <w:b/>
          <w:bCs/>
          <w:color w:val="161616" w:themeColor="background1" w:themeShade="1A"/>
          <w:sz w:val="22"/>
          <w:szCs w:val="22"/>
          <w:lang w:val="es-ES_tradnl"/>
        </w:rPr>
        <w:t xml:space="preserve"> </w:t>
      </w:r>
      <w:r w:rsidRPr="0071727F">
        <w:rPr>
          <w:rFonts w:ascii="Arial" w:hAnsi="Arial" w:cs="Arial"/>
          <w:b/>
          <w:bCs/>
          <w:color w:val="161616" w:themeColor="background1" w:themeShade="1A"/>
          <w:sz w:val="22"/>
          <w:szCs w:val="22"/>
          <w:lang w:val="es-ES_tradnl"/>
        </w:rPr>
        <w:t>C</w:t>
      </w:r>
      <w:r w:rsidR="00766A70" w:rsidRPr="0071727F">
        <w:rPr>
          <w:rFonts w:ascii="Arial" w:hAnsi="Arial" w:cs="Arial"/>
          <w:b/>
          <w:bCs/>
          <w:color w:val="161616" w:themeColor="background1" w:themeShade="1A"/>
          <w:sz w:val="22"/>
          <w:szCs w:val="22"/>
          <w:lang w:val="es-ES_tradnl"/>
        </w:rPr>
        <w:t xml:space="preserve"> </w:t>
      </w:r>
      <w:r w:rsidR="00F301AD" w:rsidRPr="0071727F">
        <w:rPr>
          <w:rFonts w:ascii="Arial" w:hAnsi="Arial" w:cs="Arial"/>
          <w:b/>
          <w:bCs/>
          <w:color w:val="161616" w:themeColor="background1" w:themeShade="1A"/>
          <w:sz w:val="22"/>
          <w:szCs w:val="22"/>
          <w:lang w:val="es-ES_tradnl"/>
        </w:rPr>
        <w:t>–</w:t>
      </w:r>
      <w:r w:rsidR="00766A70" w:rsidRPr="0071727F">
        <w:rPr>
          <w:rFonts w:ascii="Arial" w:hAnsi="Arial" w:cs="Arial"/>
          <w:b/>
          <w:bCs/>
          <w:color w:val="161616" w:themeColor="background1" w:themeShade="1A"/>
          <w:sz w:val="22"/>
          <w:szCs w:val="22"/>
          <w:lang w:val="es-ES_tradnl"/>
        </w:rPr>
        <w:t xml:space="preserve"> </w:t>
      </w:r>
      <w:r w:rsidR="00E81FD0" w:rsidRPr="0071727F">
        <w:rPr>
          <w:rFonts w:ascii="Arial" w:hAnsi="Arial" w:cs="Arial"/>
          <w:b/>
          <w:bCs/>
          <w:color w:val="161616" w:themeColor="background1" w:themeShade="1A"/>
          <w:sz w:val="22"/>
          <w:szCs w:val="22"/>
          <w:lang w:val="es-ES_tradnl"/>
        </w:rPr>
        <w:t xml:space="preserve">122 </w:t>
      </w:r>
      <w:r w:rsidRPr="0071727F">
        <w:rPr>
          <w:rFonts w:ascii="Arial" w:hAnsi="Arial" w:cs="Arial"/>
          <w:b/>
          <w:bCs/>
          <w:color w:val="161616" w:themeColor="background1" w:themeShade="1A"/>
          <w:sz w:val="22"/>
          <w:szCs w:val="22"/>
          <w:lang w:val="es-ES_tradnl"/>
        </w:rPr>
        <w:t>de 202</w:t>
      </w:r>
      <w:r w:rsidR="00DC02B2" w:rsidRPr="0071727F">
        <w:rPr>
          <w:rFonts w:ascii="Arial" w:hAnsi="Arial" w:cs="Arial"/>
          <w:b/>
          <w:bCs/>
          <w:color w:val="161616" w:themeColor="background1" w:themeShade="1A"/>
          <w:sz w:val="22"/>
          <w:szCs w:val="22"/>
          <w:lang w:val="es-ES_tradnl"/>
        </w:rPr>
        <w:t>2</w:t>
      </w:r>
    </w:p>
    <w:p w14:paraId="3C57C781" w14:textId="77777777" w:rsidR="00FE4C26" w:rsidRPr="0071727F" w:rsidRDefault="00FE4C26" w:rsidP="0022167B">
      <w:pPr>
        <w:ind w:left="2824" w:hanging="2818"/>
        <w:jc w:val="both"/>
        <w:rPr>
          <w:rFonts w:ascii="Arial" w:eastAsia="Calibri" w:hAnsi="Arial" w:cs="Arial"/>
          <w:b/>
          <w:noProof/>
          <w:color w:val="161616" w:themeColor="background1" w:themeShade="1A"/>
          <w:sz w:val="22"/>
          <w:szCs w:val="22"/>
          <w:lang w:val="es-ES_tradnl" w:eastAsia="en-US"/>
        </w:rPr>
      </w:pPr>
    </w:p>
    <w:p w14:paraId="10CE4DD9" w14:textId="74610019" w:rsidR="00A74CA8" w:rsidRPr="00A74CA8" w:rsidRDefault="00E54365" w:rsidP="00A74CA8">
      <w:pPr>
        <w:ind w:left="2824" w:hanging="2818"/>
        <w:jc w:val="both"/>
        <w:rPr>
          <w:rFonts w:ascii="Arial" w:eastAsia="Calibri" w:hAnsi="Arial" w:cs="Arial"/>
          <w:bCs/>
          <w:color w:val="161616" w:themeColor="background1" w:themeShade="1A"/>
          <w:sz w:val="22"/>
          <w:szCs w:val="22"/>
          <w:lang w:val="es-ES_tradnl"/>
        </w:rPr>
      </w:pPr>
      <w:r w:rsidRPr="0071727F">
        <w:rPr>
          <w:rFonts w:ascii="Arial" w:eastAsia="Calibri" w:hAnsi="Arial" w:cs="Arial"/>
          <w:b/>
          <w:noProof/>
          <w:color w:val="161616" w:themeColor="background1" w:themeShade="1A"/>
          <w:sz w:val="22"/>
          <w:szCs w:val="22"/>
          <w:lang w:val="es-ES_tradnl" w:eastAsia="en-US"/>
        </w:rPr>
        <w:t>Temas</w:t>
      </w:r>
      <w:r w:rsidRPr="0071727F">
        <w:rPr>
          <w:rFonts w:ascii="Arial" w:eastAsia="Calibri" w:hAnsi="Arial" w:cs="Arial"/>
          <w:bCs/>
          <w:noProof/>
          <w:color w:val="161616" w:themeColor="background1" w:themeShade="1A"/>
          <w:sz w:val="22"/>
          <w:szCs w:val="22"/>
          <w:lang w:val="es-ES_tradnl" w:eastAsia="en-US"/>
        </w:rPr>
        <w:t xml:space="preserve">: </w:t>
      </w:r>
      <w:r w:rsidRPr="0071727F">
        <w:rPr>
          <w:rFonts w:ascii="Arial" w:eastAsia="Calibri" w:hAnsi="Arial" w:cs="Arial"/>
          <w:bCs/>
          <w:noProof/>
          <w:color w:val="161616" w:themeColor="background1" w:themeShade="1A"/>
          <w:sz w:val="22"/>
          <w:szCs w:val="22"/>
          <w:lang w:val="es-ES_tradnl" w:eastAsia="en-US"/>
        </w:rPr>
        <w:tab/>
      </w:r>
      <w:r w:rsidR="00A74CA8" w:rsidRPr="00A74CA8">
        <w:rPr>
          <w:rFonts w:ascii="Arial" w:eastAsia="Calibri" w:hAnsi="Arial" w:cs="Arial"/>
          <w:bCs/>
          <w:color w:val="161616" w:themeColor="background1" w:themeShade="1A"/>
          <w:sz w:val="22"/>
          <w:szCs w:val="22"/>
          <w:lang w:val="es-ES_tradnl"/>
        </w:rPr>
        <w:t>LEY DE GARANTÍAS ELECTORALES ─ Definición ─ Finalidad ─ Restricciones ─ Destinatarios / LEY DE GARANTÍAS ELECTORALES ─ Prohibición ─ Contratación Directa ─ Alcance ─ Excepciones / CUERPO DE BOMBEROS VOLUNTARIOS ─ Naturaleza / CONTRATOS DE COMODATO ─ Entidades públicas ─ ESAL</w:t>
      </w:r>
    </w:p>
    <w:p w14:paraId="785C87AF" w14:textId="77777777" w:rsidR="00A74CA8" w:rsidRPr="0071727F" w:rsidRDefault="00A74CA8" w:rsidP="0022167B">
      <w:pPr>
        <w:ind w:left="2824" w:hanging="2818"/>
        <w:jc w:val="both"/>
        <w:rPr>
          <w:rFonts w:ascii="Arial" w:eastAsia="Calibri" w:hAnsi="Arial" w:cs="Arial"/>
          <w:bCs/>
          <w:color w:val="161616" w:themeColor="background1" w:themeShade="1A"/>
          <w:sz w:val="22"/>
          <w:szCs w:val="22"/>
          <w:lang w:val="es-ES_tradnl"/>
        </w:rPr>
      </w:pPr>
    </w:p>
    <w:p w14:paraId="18EF2AD1" w14:textId="77777777" w:rsidR="0076432E" w:rsidRPr="0071727F" w:rsidRDefault="0076432E" w:rsidP="0022167B">
      <w:pPr>
        <w:ind w:left="2824" w:hanging="2818"/>
        <w:jc w:val="both"/>
        <w:rPr>
          <w:rFonts w:ascii="Arial" w:eastAsia="Calibri" w:hAnsi="Arial" w:cs="Arial"/>
          <w:bCs/>
          <w:noProof/>
          <w:color w:val="161616" w:themeColor="background1" w:themeShade="1A"/>
          <w:sz w:val="22"/>
          <w:szCs w:val="22"/>
          <w:lang w:val="es-ES_tradnl" w:eastAsia="en-US"/>
        </w:rPr>
      </w:pPr>
    </w:p>
    <w:p w14:paraId="30A873A7" w14:textId="130B93D5" w:rsidR="00E54365" w:rsidRPr="0071727F" w:rsidRDefault="00E54365" w:rsidP="0022167B">
      <w:pPr>
        <w:ind w:left="2835" w:hanging="2835"/>
        <w:jc w:val="both"/>
        <w:rPr>
          <w:rFonts w:ascii="Arial" w:eastAsia="Calibri" w:hAnsi="Arial" w:cs="Arial"/>
          <w:bCs/>
          <w:noProof/>
          <w:color w:val="161616" w:themeColor="background1" w:themeShade="1A"/>
          <w:sz w:val="22"/>
          <w:szCs w:val="22"/>
          <w:lang w:val="es-ES_tradnl" w:eastAsia="en-US"/>
        </w:rPr>
      </w:pPr>
      <w:r w:rsidRPr="0071727F">
        <w:rPr>
          <w:rFonts w:ascii="Arial" w:eastAsia="Calibri" w:hAnsi="Arial" w:cs="Arial"/>
          <w:b/>
          <w:noProof/>
          <w:color w:val="161616" w:themeColor="background1" w:themeShade="1A"/>
          <w:sz w:val="22"/>
          <w:szCs w:val="22"/>
          <w:lang w:val="es-ES_tradnl" w:eastAsia="en-US"/>
        </w:rPr>
        <w:t>Radicación</w:t>
      </w:r>
      <w:r w:rsidRPr="0071727F">
        <w:rPr>
          <w:rFonts w:ascii="Arial" w:eastAsia="Calibri" w:hAnsi="Arial" w:cs="Arial"/>
          <w:bCs/>
          <w:noProof/>
          <w:color w:val="161616" w:themeColor="background1" w:themeShade="1A"/>
          <w:sz w:val="22"/>
          <w:szCs w:val="22"/>
          <w:lang w:val="es-ES_tradnl" w:eastAsia="en-US"/>
        </w:rPr>
        <w:t>:</w:t>
      </w:r>
      <w:r w:rsidRPr="0071727F">
        <w:rPr>
          <w:rFonts w:ascii="Arial" w:eastAsia="Calibri" w:hAnsi="Arial" w:cs="Arial"/>
          <w:bCs/>
          <w:noProof/>
          <w:color w:val="161616" w:themeColor="background1" w:themeShade="1A"/>
          <w:sz w:val="22"/>
          <w:szCs w:val="22"/>
          <w:lang w:val="es-ES_tradnl" w:eastAsia="en-US"/>
        </w:rPr>
        <w:tab/>
        <w:t>Respuesta a consulta</w:t>
      </w:r>
      <w:r w:rsidR="00087FD0">
        <w:rPr>
          <w:rFonts w:ascii="Arial" w:eastAsia="Calibri" w:hAnsi="Arial" w:cs="Arial"/>
          <w:bCs/>
          <w:noProof/>
          <w:color w:val="161616" w:themeColor="background1" w:themeShade="1A"/>
          <w:sz w:val="22"/>
          <w:szCs w:val="22"/>
          <w:lang w:val="es-ES_tradnl" w:eastAsia="en-US"/>
        </w:rPr>
        <w:t>s acumuladas</w:t>
      </w:r>
      <w:r w:rsidR="00FB5E3B" w:rsidRPr="0071727F">
        <w:rPr>
          <w:rFonts w:ascii="Arial" w:eastAsia="Calibri" w:hAnsi="Arial" w:cs="Arial"/>
          <w:bCs/>
          <w:noProof/>
          <w:color w:val="161616" w:themeColor="background1" w:themeShade="1A"/>
          <w:sz w:val="22"/>
          <w:szCs w:val="22"/>
          <w:lang w:val="es-ES_tradnl" w:eastAsia="en-US"/>
        </w:rPr>
        <w:t xml:space="preserve"> </w:t>
      </w:r>
      <w:r w:rsidR="00087FD0">
        <w:rPr>
          <w:rFonts w:ascii="Arial" w:eastAsia="Calibri" w:hAnsi="Arial" w:cs="Arial"/>
          <w:bCs/>
          <w:noProof/>
          <w:color w:val="161616" w:themeColor="background1" w:themeShade="1A"/>
          <w:sz w:val="22"/>
          <w:szCs w:val="22"/>
          <w:lang w:val="es-ES_tradnl" w:eastAsia="en-US"/>
        </w:rPr>
        <w:t xml:space="preserve"># </w:t>
      </w:r>
      <w:r w:rsidR="006D2519" w:rsidRPr="0071727F">
        <w:rPr>
          <w:rFonts w:ascii="Arial" w:eastAsia="Calibri" w:hAnsi="Arial" w:cs="Arial"/>
          <w:bCs/>
          <w:noProof/>
          <w:color w:val="161616" w:themeColor="background1" w:themeShade="1A"/>
          <w:sz w:val="22"/>
          <w:szCs w:val="22"/>
          <w:lang w:val="es-ES_tradnl" w:eastAsia="en-US"/>
        </w:rPr>
        <w:t>P20220210001326</w:t>
      </w:r>
      <w:r w:rsidR="00087FD0">
        <w:rPr>
          <w:rFonts w:ascii="Arial" w:eastAsia="Calibri" w:hAnsi="Arial" w:cs="Arial"/>
          <w:bCs/>
          <w:noProof/>
          <w:color w:val="161616" w:themeColor="background1" w:themeShade="1A"/>
          <w:sz w:val="22"/>
          <w:szCs w:val="22"/>
          <w:lang w:val="es-ES_tradnl" w:eastAsia="en-US"/>
        </w:rPr>
        <w:t xml:space="preserve"> y </w:t>
      </w:r>
      <w:r w:rsidR="00087FD0" w:rsidRPr="00087FD0">
        <w:rPr>
          <w:rFonts w:ascii="Arial" w:eastAsia="Calibri" w:hAnsi="Arial" w:cs="Arial"/>
          <w:bCs/>
          <w:noProof/>
          <w:color w:val="161616" w:themeColor="background1" w:themeShade="1A"/>
          <w:sz w:val="22"/>
          <w:szCs w:val="22"/>
          <w:lang w:val="es-ES_tradnl" w:eastAsia="en-US"/>
        </w:rPr>
        <w:t>P20220225001886</w:t>
      </w:r>
    </w:p>
    <w:p w14:paraId="49699107" w14:textId="77777777" w:rsidR="00E54365" w:rsidRPr="0071727F" w:rsidRDefault="00E54365" w:rsidP="0022167B">
      <w:pPr>
        <w:rPr>
          <w:rFonts w:ascii="Arial" w:hAnsi="Arial" w:cs="Arial"/>
          <w:color w:val="161616" w:themeColor="background1" w:themeShade="1A"/>
          <w:sz w:val="22"/>
          <w:szCs w:val="22"/>
          <w:lang w:val="es-ES_tradnl"/>
        </w:rPr>
      </w:pPr>
    </w:p>
    <w:p w14:paraId="6502F989" w14:textId="77777777" w:rsidR="00C366C4" w:rsidRPr="0071727F" w:rsidRDefault="00C366C4" w:rsidP="0022167B">
      <w:pPr>
        <w:rPr>
          <w:rFonts w:ascii="Arial" w:hAnsi="Arial" w:cs="Arial"/>
          <w:color w:val="161616" w:themeColor="background1" w:themeShade="1A"/>
          <w:sz w:val="22"/>
          <w:szCs w:val="22"/>
          <w:lang w:val="es-ES_tradnl"/>
        </w:rPr>
      </w:pPr>
    </w:p>
    <w:p w14:paraId="71ED9EB2" w14:textId="66B1A401" w:rsidR="00E54365" w:rsidRPr="0071727F" w:rsidRDefault="00E54365" w:rsidP="0022167B">
      <w:pPr>
        <w:rPr>
          <w:rFonts w:ascii="Arial" w:hAnsi="Arial" w:cs="Arial"/>
          <w:color w:val="161616" w:themeColor="background1" w:themeShade="1A"/>
          <w:sz w:val="22"/>
          <w:szCs w:val="22"/>
          <w:lang w:val="es-ES_tradnl"/>
        </w:rPr>
      </w:pPr>
      <w:r w:rsidRPr="0071727F">
        <w:rPr>
          <w:rFonts w:ascii="Arial" w:hAnsi="Arial" w:cs="Arial"/>
          <w:color w:val="161616" w:themeColor="background1" w:themeShade="1A"/>
          <w:sz w:val="22"/>
          <w:szCs w:val="22"/>
          <w:lang w:val="es-ES_tradnl"/>
        </w:rPr>
        <w:t>Estimad</w:t>
      </w:r>
      <w:r w:rsidR="006D2519" w:rsidRPr="0071727F">
        <w:rPr>
          <w:rFonts w:ascii="Arial" w:hAnsi="Arial" w:cs="Arial"/>
          <w:color w:val="161616" w:themeColor="background1" w:themeShade="1A"/>
          <w:sz w:val="22"/>
          <w:szCs w:val="22"/>
          <w:lang w:val="es-ES_tradnl"/>
        </w:rPr>
        <w:t>o</w:t>
      </w:r>
      <w:r w:rsidRPr="0071727F">
        <w:rPr>
          <w:rFonts w:ascii="Arial" w:hAnsi="Arial" w:cs="Arial"/>
          <w:color w:val="161616" w:themeColor="background1" w:themeShade="1A"/>
          <w:sz w:val="22"/>
          <w:szCs w:val="22"/>
          <w:lang w:val="es-ES_tradnl"/>
        </w:rPr>
        <w:t xml:space="preserve"> señor</w:t>
      </w:r>
      <w:r w:rsidR="006D2519" w:rsidRPr="0071727F">
        <w:rPr>
          <w:rFonts w:ascii="Arial" w:hAnsi="Arial" w:cs="Arial"/>
          <w:color w:val="161616" w:themeColor="background1" w:themeShade="1A"/>
          <w:sz w:val="22"/>
          <w:szCs w:val="22"/>
          <w:lang w:val="es-ES_tradnl"/>
        </w:rPr>
        <w:t xml:space="preserve"> Amado, </w:t>
      </w:r>
      <w:r w:rsidRPr="0071727F">
        <w:rPr>
          <w:rFonts w:ascii="Arial" w:hAnsi="Arial" w:cs="Arial"/>
          <w:color w:val="161616" w:themeColor="background1" w:themeShade="1A"/>
          <w:sz w:val="22"/>
          <w:szCs w:val="22"/>
          <w:lang w:val="es-ES_tradnl"/>
        </w:rPr>
        <w:t xml:space="preserve"> </w:t>
      </w:r>
    </w:p>
    <w:p w14:paraId="60D2C28E" w14:textId="77777777" w:rsidR="006F56C4" w:rsidRPr="0071727F" w:rsidRDefault="006F56C4" w:rsidP="0022167B">
      <w:pPr>
        <w:rPr>
          <w:rFonts w:ascii="Arial" w:hAnsi="Arial" w:cs="Arial"/>
          <w:color w:val="161616" w:themeColor="background1" w:themeShade="1A"/>
          <w:sz w:val="22"/>
          <w:szCs w:val="22"/>
          <w:lang w:val="es-ES_tradnl"/>
        </w:rPr>
      </w:pPr>
    </w:p>
    <w:p w14:paraId="43EDF4BF" w14:textId="75463122" w:rsidR="00E54365" w:rsidRPr="0071727F" w:rsidRDefault="00E54365" w:rsidP="0022167B">
      <w:pPr>
        <w:jc w:val="both"/>
        <w:rPr>
          <w:rFonts w:ascii="Arial" w:hAnsi="Arial" w:cs="Arial"/>
          <w:color w:val="161616" w:themeColor="background1" w:themeShade="1A"/>
          <w:sz w:val="22"/>
          <w:szCs w:val="22"/>
          <w:lang w:val="es-ES_tradnl"/>
        </w:rPr>
      </w:pPr>
      <w:r w:rsidRPr="0071727F">
        <w:rPr>
          <w:rFonts w:ascii="Arial" w:hAnsi="Arial" w:cs="Arial"/>
          <w:color w:val="161616" w:themeColor="background1" w:themeShade="1A"/>
          <w:sz w:val="22"/>
          <w:szCs w:val="22"/>
          <w:lang w:val="es-ES_tradnl"/>
        </w:rPr>
        <w:t>En ejercicio de la competencia otorgada por el numeral 8 del artículo 11 y el numeral 5 del artículo 3 del Decreto Ley 4170 de 2011, la Agencia Nacional de Contratación Pública − Colombia Compra Eficiente responde su</w:t>
      </w:r>
      <w:r w:rsidR="0052030A">
        <w:rPr>
          <w:rFonts w:ascii="Arial" w:hAnsi="Arial" w:cs="Arial"/>
          <w:color w:val="161616" w:themeColor="background1" w:themeShade="1A"/>
          <w:sz w:val="22"/>
          <w:szCs w:val="22"/>
          <w:lang w:val="es-ES_tradnl"/>
        </w:rPr>
        <w:t>s</w:t>
      </w:r>
      <w:r w:rsidRPr="0071727F">
        <w:rPr>
          <w:rFonts w:ascii="Arial" w:hAnsi="Arial" w:cs="Arial"/>
          <w:color w:val="161616" w:themeColor="background1" w:themeShade="1A"/>
          <w:sz w:val="22"/>
          <w:szCs w:val="22"/>
          <w:lang w:val="es-ES_tradnl"/>
        </w:rPr>
        <w:t xml:space="preserve"> consulta</w:t>
      </w:r>
      <w:r w:rsidR="0052030A">
        <w:rPr>
          <w:rFonts w:ascii="Arial" w:hAnsi="Arial" w:cs="Arial"/>
          <w:color w:val="161616" w:themeColor="background1" w:themeShade="1A"/>
          <w:sz w:val="22"/>
          <w:szCs w:val="22"/>
          <w:lang w:val="es-ES_tradnl"/>
        </w:rPr>
        <w:t>s</w:t>
      </w:r>
      <w:r w:rsidRPr="0071727F">
        <w:rPr>
          <w:rFonts w:ascii="Arial" w:hAnsi="Arial" w:cs="Arial"/>
          <w:color w:val="161616" w:themeColor="background1" w:themeShade="1A"/>
          <w:sz w:val="22"/>
          <w:szCs w:val="22"/>
          <w:lang w:val="es-ES_tradnl"/>
        </w:rPr>
        <w:t xml:space="preserve"> del </w:t>
      </w:r>
      <w:r w:rsidR="00030271" w:rsidRPr="0071727F">
        <w:rPr>
          <w:rFonts w:ascii="Arial" w:hAnsi="Arial" w:cs="Arial"/>
          <w:color w:val="161616" w:themeColor="background1" w:themeShade="1A"/>
          <w:sz w:val="22"/>
          <w:szCs w:val="22"/>
          <w:lang w:val="es-ES_tradnl"/>
        </w:rPr>
        <w:t xml:space="preserve">10 </w:t>
      </w:r>
      <w:r w:rsidRPr="0071727F">
        <w:rPr>
          <w:rFonts w:ascii="Arial" w:hAnsi="Arial" w:cs="Arial"/>
          <w:color w:val="161616" w:themeColor="background1" w:themeShade="1A"/>
          <w:sz w:val="22"/>
          <w:szCs w:val="22"/>
          <w:lang w:val="es-ES_tradnl"/>
        </w:rPr>
        <w:t xml:space="preserve">de </w:t>
      </w:r>
      <w:r w:rsidR="0076432E" w:rsidRPr="0071727F">
        <w:rPr>
          <w:rFonts w:ascii="Arial" w:hAnsi="Arial" w:cs="Arial"/>
          <w:color w:val="161616" w:themeColor="background1" w:themeShade="1A"/>
          <w:sz w:val="22"/>
          <w:szCs w:val="22"/>
          <w:lang w:val="es-ES_tradnl"/>
        </w:rPr>
        <w:t>febrero</w:t>
      </w:r>
      <w:r w:rsidRPr="0071727F">
        <w:rPr>
          <w:rFonts w:ascii="Arial" w:hAnsi="Arial" w:cs="Arial"/>
          <w:color w:val="161616" w:themeColor="background1" w:themeShade="1A"/>
          <w:sz w:val="22"/>
          <w:szCs w:val="22"/>
          <w:lang w:val="es-ES_tradnl"/>
        </w:rPr>
        <w:t xml:space="preserve"> de 202</w:t>
      </w:r>
      <w:r w:rsidR="0076432E" w:rsidRPr="0071727F">
        <w:rPr>
          <w:rFonts w:ascii="Arial" w:hAnsi="Arial" w:cs="Arial"/>
          <w:color w:val="161616" w:themeColor="background1" w:themeShade="1A"/>
          <w:sz w:val="22"/>
          <w:szCs w:val="22"/>
          <w:lang w:val="es-ES_tradnl"/>
        </w:rPr>
        <w:t>2</w:t>
      </w:r>
      <w:r w:rsidR="00A452E7">
        <w:rPr>
          <w:rFonts w:ascii="Arial" w:hAnsi="Arial" w:cs="Arial"/>
          <w:color w:val="161616" w:themeColor="background1" w:themeShade="1A"/>
          <w:sz w:val="22"/>
          <w:szCs w:val="22"/>
          <w:lang w:val="es-ES_tradnl"/>
        </w:rPr>
        <w:t xml:space="preserve"> y del 2 de febrero de 2022 </w:t>
      </w:r>
      <w:r w:rsidR="009C215D">
        <w:rPr>
          <w:rFonts w:ascii="Arial" w:hAnsi="Arial" w:cs="Arial"/>
          <w:color w:val="161616" w:themeColor="background1" w:themeShade="1A"/>
          <w:sz w:val="22"/>
          <w:szCs w:val="22"/>
          <w:lang w:val="es-ES_tradnl"/>
        </w:rPr>
        <w:t xml:space="preserve">radicada en el Contraloría General de la Nación y </w:t>
      </w:r>
      <w:r w:rsidR="00A452E7">
        <w:rPr>
          <w:rFonts w:ascii="Arial" w:hAnsi="Arial" w:cs="Arial"/>
          <w:color w:val="161616" w:themeColor="background1" w:themeShade="1A"/>
          <w:sz w:val="22"/>
          <w:szCs w:val="22"/>
          <w:lang w:val="es-ES_tradnl"/>
        </w:rPr>
        <w:t>trasladada por competencia</w:t>
      </w:r>
      <w:r w:rsidR="009C215D">
        <w:rPr>
          <w:rFonts w:ascii="Arial" w:hAnsi="Arial" w:cs="Arial"/>
          <w:color w:val="161616" w:themeColor="background1" w:themeShade="1A"/>
          <w:sz w:val="22"/>
          <w:szCs w:val="22"/>
          <w:lang w:val="es-ES_tradnl"/>
        </w:rPr>
        <w:t xml:space="preserve"> a esta entidad</w:t>
      </w:r>
      <w:r w:rsidR="00A452E7">
        <w:rPr>
          <w:rFonts w:ascii="Arial" w:hAnsi="Arial" w:cs="Arial"/>
          <w:color w:val="161616" w:themeColor="background1" w:themeShade="1A"/>
          <w:sz w:val="22"/>
          <w:szCs w:val="22"/>
          <w:lang w:val="es-ES_tradnl"/>
        </w:rPr>
        <w:t xml:space="preserve"> el 23 de febrero de 2022</w:t>
      </w:r>
      <w:r w:rsidRPr="0071727F">
        <w:rPr>
          <w:rFonts w:ascii="Arial" w:hAnsi="Arial" w:cs="Arial"/>
          <w:color w:val="161616" w:themeColor="background1" w:themeShade="1A"/>
          <w:sz w:val="22"/>
          <w:szCs w:val="22"/>
          <w:lang w:val="es-ES_tradnl"/>
        </w:rPr>
        <w:t>.</w:t>
      </w:r>
    </w:p>
    <w:p w14:paraId="7163A7AF" w14:textId="77777777" w:rsidR="00015E80" w:rsidRPr="0071727F" w:rsidRDefault="00015E80" w:rsidP="0022167B">
      <w:pPr>
        <w:rPr>
          <w:rFonts w:ascii="Arial" w:hAnsi="Arial" w:cs="Arial"/>
          <w:color w:val="161616" w:themeColor="background1" w:themeShade="1A"/>
          <w:sz w:val="22"/>
          <w:szCs w:val="22"/>
          <w:lang w:val="es-ES_tradnl"/>
        </w:rPr>
      </w:pPr>
    </w:p>
    <w:p w14:paraId="4CDB27A1" w14:textId="23AF4B73" w:rsidR="00FB5E3B" w:rsidRPr="0071727F" w:rsidRDefault="00E54365" w:rsidP="0022167B">
      <w:pPr>
        <w:rPr>
          <w:rFonts w:ascii="Arial" w:hAnsi="Arial" w:cs="Arial"/>
          <w:b/>
          <w:color w:val="161616" w:themeColor="background1" w:themeShade="1A"/>
          <w:sz w:val="22"/>
          <w:szCs w:val="22"/>
          <w:lang w:val="es-ES_tradnl"/>
        </w:rPr>
      </w:pPr>
      <w:r w:rsidRPr="0071727F">
        <w:rPr>
          <w:rFonts w:ascii="Arial" w:hAnsi="Arial" w:cs="Arial"/>
          <w:b/>
          <w:color w:val="161616" w:themeColor="background1" w:themeShade="1A"/>
          <w:sz w:val="22"/>
          <w:szCs w:val="22"/>
          <w:lang w:val="es-ES_tradnl"/>
        </w:rPr>
        <w:t xml:space="preserve">1. Problema planteado </w:t>
      </w:r>
    </w:p>
    <w:p w14:paraId="5834083C" w14:textId="5B5F17F3" w:rsidR="00695B70" w:rsidRPr="0071727F" w:rsidRDefault="00695B70" w:rsidP="0022167B">
      <w:pPr>
        <w:rPr>
          <w:rFonts w:ascii="Arial" w:hAnsi="Arial" w:cs="Arial"/>
          <w:b/>
          <w:color w:val="161616" w:themeColor="background1" w:themeShade="1A"/>
          <w:sz w:val="22"/>
          <w:szCs w:val="22"/>
          <w:lang w:val="es-ES_tradnl"/>
        </w:rPr>
      </w:pPr>
    </w:p>
    <w:p w14:paraId="14D7785A" w14:textId="154DBDC4" w:rsidR="00C76212" w:rsidRPr="0071727F" w:rsidRDefault="00FB5E3B" w:rsidP="0022167B">
      <w:pPr>
        <w:jc w:val="both"/>
        <w:rPr>
          <w:rFonts w:ascii="Arial" w:hAnsi="Arial" w:cs="Arial"/>
          <w:color w:val="161616" w:themeColor="background1" w:themeShade="1A"/>
          <w:sz w:val="22"/>
          <w:szCs w:val="22"/>
          <w:lang w:val="es-ES_tradnl"/>
        </w:rPr>
      </w:pPr>
      <w:r w:rsidRPr="0071727F">
        <w:rPr>
          <w:rFonts w:ascii="Arial" w:hAnsi="Arial" w:cs="Arial"/>
          <w:color w:val="161616" w:themeColor="background1" w:themeShade="1A"/>
          <w:sz w:val="22"/>
          <w:szCs w:val="22"/>
          <w:lang w:val="es-ES_tradnl"/>
        </w:rPr>
        <w:t xml:space="preserve">Usted </w:t>
      </w:r>
      <w:r w:rsidR="00EF64D8" w:rsidRPr="0071727F">
        <w:rPr>
          <w:rFonts w:ascii="Arial" w:hAnsi="Arial" w:cs="Arial"/>
          <w:color w:val="161616" w:themeColor="background1" w:themeShade="1A"/>
          <w:sz w:val="22"/>
          <w:szCs w:val="22"/>
          <w:lang w:val="es-ES_tradnl"/>
        </w:rPr>
        <w:t>formula</w:t>
      </w:r>
      <w:r w:rsidRPr="0071727F">
        <w:rPr>
          <w:rFonts w:ascii="Arial" w:hAnsi="Arial" w:cs="Arial"/>
          <w:color w:val="161616" w:themeColor="background1" w:themeShade="1A"/>
          <w:sz w:val="22"/>
          <w:szCs w:val="22"/>
          <w:lang w:val="es-ES_tradnl"/>
        </w:rPr>
        <w:t xml:space="preserve"> la siguiente consulta</w:t>
      </w:r>
      <w:r w:rsidR="00A74544" w:rsidRPr="0071727F">
        <w:rPr>
          <w:rFonts w:ascii="Arial" w:hAnsi="Arial" w:cs="Arial"/>
          <w:color w:val="161616" w:themeColor="background1" w:themeShade="1A"/>
          <w:sz w:val="22"/>
          <w:szCs w:val="22"/>
          <w:lang w:val="es-ES_tradnl"/>
        </w:rPr>
        <w:t>:</w:t>
      </w:r>
      <w:r w:rsidR="00880D11" w:rsidRPr="0071727F">
        <w:rPr>
          <w:rFonts w:ascii="Arial" w:hAnsi="Arial" w:cs="Arial"/>
          <w:color w:val="161616" w:themeColor="background1" w:themeShade="1A"/>
          <w:sz w:val="22"/>
          <w:szCs w:val="22"/>
          <w:lang w:val="es-ES_tradnl"/>
        </w:rPr>
        <w:t xml:space="preserve"> </w:t>
      </w:r>
    </w:p>
    <w:p w14:paraId="6275C7F7" w14:textId="77777777" w:rsidR="00F26F3C" w:rsidRPr="0071727F" w:rsidRDefault="00F26F3C" w:rsidP="0022167B">
      <w:pPr>
        <w:jc w:val="both"/>
        <w:rPr>
          <w:rFonts w:ascii="Arial" w:hAnsi="Arial" w:cs="Arial"/>
          <w:color w:val="161616" w:themeColor="background1" w:themeShade="1A"/>
          <w:sz w:val="22"/>
          <w:szCs w:val="22"/>
          <w:lang w:val="es-ES_tradnl"/>
        </w:rPr>
      </w:pPr>
    </w:p>
    <w:p w14:paraId="146E37B6" w14:textId="28F7E717" w:rsidR="006D2519" w:rsidRPr="0071727F" w:rsidRDefault="00B94548" w:rsidP="0022167B">
      <w:pPr>
        <w:ind w:left="709" w:right="709"/>
        <w:jc w:val="both"/>
        <w:rPr>
          <w:rFonts w:ascii="Arial" w:hAnsi="Arial" w:cs="Arial"/>
          <w:color w:val="161616" w:themeColor="background1" w:themeShade="1A"/>
          <w:sz w:val="21"/>
          <w:szCs w:val="21"/>
          <w:lang w:val="es-ES_tradnl"/>
        </w:rPr>
      </w:pPr>
      <w:r w:rsidRPr="0071727F">
        <w:rPr>
          <w:rFonts w:ascii="Arial" w:hAnsi="Arial" w:cs="Arial"/>
          <w:color w:val="161616" w:themeColor="background1" w:themeShade="1A"/>
          <w:sz w:val="21"/>
          <w:szCs w:val="21"/>
          <w:lang w:val="es-ES_tradnl"/>
        </w:rPr>
        <w:t>«</w:t>
      </w:r>
      <w:r w:rsidR="004B7D5F" w:rsidRPr="0071727F">
        <w:rPr>
          <w:rFonts w:ascii="Arial" w:hAnsi="Arial" w:cs="Arial"/>
          <w:color w:val="161616" w:themeColor="background1" w:themeShade="1A"/>
          <w:sz w:val="21"/>
          <w:szCs w:val="21"/>
          <w:lang w:val="es-ES_tradnl"/>
        </w:rPr>
        <w:t xml:space="preserve">[…] </w:t>
      </w:r>
      <w:r w:rsidR="006D2519" w:rsidRPr="0071727F">
        <w:rPr>
          <w:rFonts w:ascii="Arial" w:hAnsi="Arial" w:cs="Arial"/>
          <w:color w:val="161616" w:themeColor="background1" w:themeShade="1A"/>
          <w:sz w:val="21"/>
          <w:szCs w:val="21"/>
          <w:lang w:val="es-ES_tradnl"/>
        </w:rPr>
        <w:t xml:space="preserve">me dirijo a la entidad con el fin de solicitar concepto formal, para realizar la contratación del Cuerpo Voluntario de Bomberos y la suscripción de los comodatos de los vehículos automotores destinados a la atención del riesgo contra incendio pendientes, toda vez que los mismos no se firmaron antes del </w:t>
      </w:r>
      <w:r w:rsidR="006D2519" w:rsidRPr="0071727F">
        <w:rPr>
          <w:rFonts w:ascii="Arial" w:hAnsi="Arial" w:cs="Arial"/>
          <w:color w:val="161616" w:themeColor="background1" w:themeShade="1A"/>
          <w:sz w:val="21"/>
          <w:szCs w:val="21"/>
          <w:lang w:val="es-ES_tradnl"/>
        </w:rPr>
        <w:lastRenderedPageBreak/>
        <w:t>inicio de la aplicación de la ley de garantías, a lo cual el cuerpo de bomberos manifiesta que se encuentran exceptuados, no obstante, la norma señala lo siguiente:</w:t>
      </w:r>
    </w:p>
    <w:p w14:paraId="635C0945" w14:textId="77777777" w:rsidR="006D2519" w:rsidRPr="0071727F" w:rsidRDefault="006D2519" w:rsidP="0022167B">
      <w:pPr>
        <w:ind w:left="709" w:right="709"/>
        <w:jc w:val="both"/>
        <w:rPr>
          <w:rFonts w:ascii="Arial" w:hAnsi="Arial" w:cs="Arial"/>
          <w:color w:val="161616" w:themeColor="background1" w:themeShade="1A"/>
          <w:sz w:val="21"/>
          <w:szCs w:val="21"/>
          <w:lang w:val="es-ES_tradnl"/>
        </w:rPr>
      </w:pPr>
    </w:p>
    <w:p w14:paraId="5CDC9932" w14:textId="2159ABFD" w:rsidR="006D2519" w:rsidRPr="0071727F" w:rsidRDefault="0091486D" w:rsidP="0022167B">
      <w:pPr>
        <w:ind w:left="709" w:right="709"/>
        <w:jc w:val="both"/>
        <w:rPr>
          <w:rFonts w:ascii="Arial" w:hAnsi="Arial" w:cs="Arial"/>
          <w:color w:val="161616" w:themeColor="background1" w:themeShade="1A"/>
          <w:sz w:val="21"/>
          <w:szCs w:val="21"/>
          <w:lang w:val="es-ES_tradnl"/>
        </w:rPr>
      </w:pPr>
      <w:r w:rsidRPr="00E34DEB">
        <w:rPr>
          <w:rFonts w:ascii="Arial" w:hAnsi="Arial" w:cs="Arial"/>
          <w:color w:val="161616" w:themeColor="background1" w:themeShade="1A"/>
          <w:sz w:val="21"/>
          <w:szCs w:val="21"/>
          <w:lang w:val="es-ES_tradnl"/>
        </w:rPr>
        <w:t>»</w:t>
      </w:r>
      <w:r w:rsidRPr="0071727F">
        <w:rPr>
          <w:rFonts w:ascii="Arial" w:hAnsi="Arial" w:cs="Arial"/>
          <w:color w:val="161616" w:themeColor="background1" w:themeShade="1A"/>
          <w:sz w:val="21"/>
          <w:szCs w:val="21"/>
          <w:lang w:val="es-ES_tradnl"/>
        </w:rPr>
        <w:t xml:space="preserve"> ARTÍCULO</w:t>
      </w:r>
      <w:r w:rsidR="006D2519" w:rsidRPr="0071727F">
        <w:rPr>
          <w:rFonts w:ascii="Arial" w:hAnsi="Arial" w:cs="Arial"/>
          <w:color w:val="161616" w:themeColor="background1" w:themeShade="1A"/>
          <w:sz w:val="21"/>
          <w:szCs w:val="21"/>
          <w:lang w:val="es-ES_tradnl"/>
        </w:rPr>
        <w:t xml:space="preserve"> 33. RESTRICCIONES A LA CONTRATACIÓN PÚBLICA. &lt;Artículo CONDICIONALMENTE exequible&gt; Durante los cuatro (4) meses anteriores a la elección presidencial y hasta la realización de la elección en la segunda vuelta, si fuere el caso, queda prohibida la contratación directa por parte de todos los entes del Estado.</w:t>
      </w:r>
    </w:p>
    <w:p w14:paraId="15EDFA0B" w14:textId="77777777" w:rsidR="006D2519" w:rsidRPr="0071727F" w:rsidRDefault="006D2519" w:rsidP="0022167B">
      <w:pPr>
        <w:ind w:left="709" w:right="709"/>
        <w:jc w:val="both"/>
        <w:rPr>
          <w:rFonts w:ascii="Arial" w:hAnsi="Arial" w:cs="Arial"/>
          <w:color w:val="161616" w:themeColor="background1" w:themeShade="1A"/>
          <w:sz w:val="21"/>
          <w:szCs w:val="21"/>
          <w:lang w:val="es-ES_tradnl"/>
        </w:rPr>
      </w:pPr>
    </w:p>
    <w:p w14:paraId="659E3A88" w14:textId="08C492A5" w:rsidR="006D2519" w:rsidRPr="0071727F" w:rsidRDefault="0091486D" w:rsidP="0022167B">
      <w:pPr>
        <w:ind w:left="709" w:right="709"/>
        <w:jc w:val="both"/>
        <w:rPr>
          <w:rFonts w:ascii="Arial" w:hAnsi="Arial" w:cs="Arial"/>
          <w:color w:val="161616" w:themeColor="background1" w:themeShade="1A"/>
          <w:sz w:val="21"/>
          <w:szCs w:val="21"/>
          <w:lang w:val="es-ES_tradnl"/>
        </w:rPr>
      </w:pPr>
      <w:r w:rsidRPr="00E34DEB">
        <w:rPr>
          <w:rFonts w:ascii="Arial" w:hAnsi="Arial" w:cs="Arial"/>
          <w:color w:val="161616" w:themeColor="background1" w:themeShade="1A"/>
          <w:sz w:val="21"/>
          <w:szCs w:val="21"/>
          <w:lang w:val="es-ES_tradnl"/>
        </w:rPr>
        <w:t>»</w:t>
      </w:r>
      <w:r w:rsidRPr="0071727F">
        <w:rPr>
          <w:rFonts w:ascii="Arial" w:hAnsi="Arial" w:cs="Arial"/>
          <w:color w:val="161616" w:themeColor="background1" w:themeShade="1A"/>
          <w:sz w:val="21"/>
          <w:szCs w:val="21"/>
          <w:lang w:val="es-ES_tradnl"/>
        </w:rPr>
        <w:t xml:space="preserve"> Queda</w:t>
      </w:r>
      <w:r w:rsidR="006D2519" w:rsidRPr="0071727F">
        <w:rPr>
          <w:rFonts w:ascii="Arial" w:hAnsi="Arial" w:cs="Arial"/>
          <w:color w:val="161616" w:themeColor="background1" w:themeShade="1A"/>
          <w:sz w:val="21"/>
          <w:szCs w:val="21"/>
          <w:lang w:val="es-ES_tradnl"/>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14:paraId="023858A3" w14:textId="77777777" w:rsidR="006D2519" w:rsidRPr="0071727F" w:rsidRDefault="006D2519" w:rsidP="0022167B">
      <w:pPr>
        <w:ind w:left="709" w:right="709"/>
        <w:jc w:val="both"/>
        <w:rPr>
          <w:rFonts w:ascii="Arial" w:hAnsi="Arial" w:cs="Arial"/>
          <w:color w:val="161616" w:themeColor="background1" w:themeShade="1A"/>
          <w:sz w:val="21"/>
          <w:szCs w:val="21"/>
          <w:lang w:val="es-ES_tradnl"/>
        </w:rPr>
      </w:pPr>
    </w:p>
    <w:p w14:paraId="7058BC23" w14:textId="7C9DA361" w:rsidR="001E4B0D" w:rsidRPr="0071727F" w:rsidRDefault="0091486D" w:rsidP="0022167B">
      <w:pPr>
        <w:ind w:left="709" w:right="709"/>
        <w:jc w:val="both"/>
        <w:rPr>
          <w:rFonts w:ascii="Arial" w:hAnsi="Arial" w:cs="Arial"/>
          <w:color w:val="161616" w:themeColor="background1" w:themeShade="1A"/>
          <w:sz w:val="21"/>
          <w:szCs w:val="21"/>
          <w:lang w:val="es-ES_tradnl"/>
        </w:rPr>
      </w:pPr>
      <w:r w:rsidRPr="00E34DEB">
        <w:rPr>
          <w:rFonts w:ascii="Arial" w:hAnsi="Arial" w:cs="Arial"/>
          <w:color w:val="161616" w:themeColor="background1" w:themeShade="1A"/>
          <w:sz w:val="21"/>
          <w:szCs w:val="21"/>
          <w:lang w:val="es-ES_tradnl"/>
        </w:rPr>
        <w:t>»</w:t>
      </w:r>
      <w:r w:rsidRPr="0071727F">
        <w:rPr>
          <w:rFonts w:ascii="Arial" w:hAnsi="Arial" w:cs="Arial"/>
          <w:color w:val="161616" w:themeColor="background1" w:themeShade="1A"/>
          <w:sz w:val="21"/>
          <w:szCs w:val="21"/>
          <w:lang w:val="es-ES_tradnl"/>
        </w:rPr>
        <w:t xml:space="preserve"> Teniendo</w:t>
      </w:r>
      <w:r w:rsidR="006D2519" w:rsidRPr="0071727F">
        <w:rPr>
          <w:rFonts w:ascii="Arial" w:hAnsi="Arial" w:cs="Arial"/>
          <w:color w:val="161616" w:themeColor="background1" w:themeShade="1A"/>
          <w:sz w:val="21"/>
          <w:szCs w:val="21"/>
          <w:lang w:val="es-ES_tradnl"/>
        </w:rPr>
        <w:t xml:space="preserve"> en cuenta lo anterior las excepciones señaladas en el artículo anterior no es claro en señalar si dentro del marco de aplicación de la ley de garantías se puede suscribir contratos con el cuerpo de bomberos enmarcados dentro de las excepciones señaladas en el artículo en cita»</w:t>
      </w:r>
    </w:p>
    <w:p w14:paraId="1888FB41" w14:textId="77777777" w:rsidR="0001231C" w:rsidRPr="0071727F" w:rsidRDefault="0001231C" w:rsidP="0022167B">
      <w:pPr>
        <w:rPr>
          <w:rFonts w:ascii="Arial" w:hAnsi="Arial" w:cs="Arial"/>
          <w:color w:val="161616" w:themeColor="background1" w:themeShade="1A"/>
          <w:sz w:val="21"/>
          <w:szCs w:val="21"/>
          <w:lang w:val="es-ES_tradnl"/>
        </w:rPr>
      </w:pPr>
    </w:p>
    <w:p w14:paraId="22C81704" w14:textId="2F0AB490" w:rsidR="00FB5E3B" w:rsidRPr="0071727F" w:rsidRDefault="00E54365" w:rsidP="0022167B">
      <w:pPr>
        <w:rPr>
          <w:rFonts w:ascii="Arial" w:hAnsi="Arial" w:cs="Arial"/>
          <w:b/>
          <w:color w:val="161616" w:themeColor="background1" w:themeShade="1A"/>
          <w:sz w:val="22"/>
          <w:szCs w:val="22"/>
          <w:lang w:val="es-ES_tradnl"/>
        </w:rPr>
      </w:pPr>
      <w:r w:rsidRPr="0071727F">
        <w:rPr>
          <w:rFonts w:ascii="Arial" w:hAnsi="Arial" w:cs="Arial"/>
          <w:b/>
          <w:color w:val="161616" w:themeColor="background1" w:themeShade="1A"/>
          <w:sz w:val="22"/>
          <w:szCs w:val="22"/>
          <w:lang w:val="es-ES_tradnl"/>
        </w:rPr>
        <w:t xml:space="preserve">2. Consideraciones </w:t>
      </w:r>
    </w:p>
    <w:p w14:paraId="48BDC962" w14:textId="33E3A2F9" w:rsidR="00A91BEA" w:rsidRPr="0071727F" w:rsidRDefault="00A91BEA" w:rsidP="0022167B">
      <w:pPr>
        <w:rPr>
          <w:rFonts w:ascii="Arial" w:hAnsi="Arial" w:cs="Arial"/>
          <w:b/>
          <w:color w:val="161616" w:themeColor="background1" w:themeShade="1A"/>
          <w:sz w:val="22"/>
          <w:szCs w:val="22"/>
          <w:lang w:val="es-ES_tradnl"/>
        </w:rPr>
      </w:pPr>
    </w:p>
    <w:p w14:paraId="66A08A34" w14:textId="1CF91177" w:rsidR="00FD2088" w:rsidRPr="0071727F" w:rsidRDefault="00B16829" w:rsidP="00361B7E">
      <w:pPr>
        <w:spacing w:line="276" w:lineRule="auto"/>
        <w:jc w:val="both"/>
        <w:rPr>
          <w:rFonts w:ascii="Arial" w:eastAsia="Calibri" w:hAnsi="Arial" w:cs="Arial"/>
          <w:color w:val="161616" w:themeColor="background1" w:themeShade="1A"/>
          <w:sz w:val="22"/>
          <w:szCs w:val="22"/>
          <w:lang w:val="es-ES_tradnl"/>
        </w:rPr>
      </w:pPr>
      <w:r w:rsidRPr="0071727F">
        <w:rPr>
          <w:rFonts w:ascii="Arial" w:eastAsia="Calibri" w:hAnsi="Arial" w:cs="Arial"/>
          <w:color w:val="161616" w:themeColor="background1" w:themeShade="1A"/>
          <w:sz w:val="22"/>
          <w:szCs w:val="22"/>
          <w:lang w:val="es-ES_tradnl"/>
        </w:rPr>
        <w:t>D</w:t>
      </w:r>
      <w:r w:rsidR="00A91BEA" w:rsidRPr="0071727F">
        <w:rPr>
          <w:rFonts w:ascii="Arial" w:eastAsia="Calibri" w:hAnsi="Arial" w:cs="Arial"/>
          <w:color w:val="161616" w:themeColor="background1" w:themeShade="1A"/>
          <w:sz w:val="22"/>
          <w:szCs w:val="22"/>
          <w:lang w:val="es-ES_tradnl"/>
        </w:rPr>
        <w:t>e conformidad con la competencia consultiva otorgada por el numeral 5 del artículo 3 y el numeral 8 del artículo 11 del Decreto 4170 de 2011, la Agencia Nacional de Contratación Pública – Colombia Compra Eficiente</w:t>
      </w:r>
      <w:r w:rsidRPr="0071727F">
        <w:rPr>
          <w:rFonts w:ascii="Arial" w:eastAsia="Calibri" w:hAnsi="Arial" w:cs="Arial"/>
          <w:color w:val="161616" w:themeColor="background1" w:themeShade="1A"/>
          <w:sz w:val="22"/>
          <w:szCs w:val="22"/>
          <w:lang w:val="es-ES_tradnl"/>
        </w:rPr>
        <w:t>,</w:t>
      </w:r>
      <w:r w:rsidR="00A91BEA" w:rsidRPr="0071727F">
        <w:rPr>
          <w:rFonts w:ascii="Arial" w:eastAsia="Calibri" w:hAnsi="Arial" w:cs="Arial"/>
          <w:color w:val="161616" w:themeColor="background1" w:themeShade="1A"/>
          <w:sz w:val="22"/>
          <w:szCs w:val="22"/>
          <w:lang w:val="es-ES_tradnl"/>
        </w:rPr>
        <w:t xml:space="preserve"> está facultada para atender solicitudes relacionadas con temas contractuales, pero solo para «absolver consultas sobre la aplicación de normas de carácter general»</w:t>
      </w:r>
      <w:r w:rsidR="00F77855" w:rsidRPr="0071727F">
        <w:rPr>
          <w:rStyle w:val="Refdenotaalpie"/>
          <w:rFonts w:ascii="Arial" w:eastAsia="Calibri" w:hAnsi="Arial" w:cs="Arial"/>
        </w:rPr>
        <w:footnoteReference w:id="1"/>
      </w:r>
      <w:r w:rsidR="00A91BEA" w:rsidRPr="0071727F">
        <w:rPr>
          <w:rFonts w:ascii="Arial" w:eastAsia="Calibri" w:hAnsi="Arial" w:cs="Arial"/>
          <w:color w:val="161616" w:themeColor="background1" w:themeShade="1A"/>
          <w:sz w:val="22"/>
          <w:szCs w:val="22"/>
          <w:lang w:val="es-ES_tradnl"/>
        </w:rPr>
        <w:t>. Por ello, la Agencia no tiene atribuciones para resolver casos particulares y concretos, ni para validar las actuaciones de las entidades estatales.</w:t>
      </w:r>
    </w:p>
    <w:p w14:paraId="572FEBDA" w14:textId="393A728E" w:rsidR="007C0AB3" w:rsidRPr="00E34DEB" w:rsidRDefault="00554A77" w:rsidP="0071727F">
      <w:pPr>
        <w:tabs>
          <w:tab w:val="left" w:pos="426"/>
        </w:tabs>
        <w:spacing w:before="120" w:line="276" w:lineRule="auto"/>
        <w:ind w:firstLine="709"/>
        <w:jc w:val="both"/>
        <w:rPr>
          <w:rFonts w:ascii="Arial" w:hAnsi="Arial" w:cs="Arial"/>
          <w:color w:val="161616" w:themeColor="background1" w:themeShade="1A"/>
          <w:sz w:val="22"/>
          <w:szCs w:val="22"/>
          <w:lang w:val="es-ES_tradnl"/>
        </w:rPr>
      </w:pPr>
      <w:r w:rsidRPr="0071727F">
        <w:rPr>
          <w:rFonts w:ascii="Arial" w:eastAsia="Calibri" w:hAnsi="Arial" w:cs="Arial"/>
          <w:color w:val="161616" w:themeColor="background1" w:themeShade="1A"/>
          <w:sz w:val="22"/>
          <w:szCs w:val="22"/>
          <w:lang w:val="es-ES_tradnl"/>
        </w:rPr>
        <w:t xml:space="preserve">Es </w:t>
      </w:r>
      <w:r w:rsidR="00A91BEA" w:rsidRPr="0071727F">
        <w:rPr>
          <w:rFonts w:ascii="Arial" w:eastAsia="Calibri" w:hAnsi="Arial" w:cs="Arial"/>
          <w:color w:val="161616" w:themeColor="background1" w:themeShade="1A"/>
          <w:sz w:val="22"/>
          <w:szCs w:val="22"/>
          <w:lang w:val="es-ES_tradnl"/>
        </w:rPr>
        <w:t>preciso advertir que los conceptos contienen la posición hermenéutica de la Subdirección de Gestión Contractual</w:t>
      </w:r>
      <w:r w:rsidR="001041A9" w:rsidRPr="00E34DEB">
        <w:rPr>
          <w:rFonts w:ascii="Arial" w:eastAsia="Calibri" w:hAnsi="Arial" w:cs="Arial"/>
          <w:color w:val="161616" w:themeColor="background1" w:themeShade="1A"/>
          <w:sz w:val="22"/>
          <w:szCs w:val="22"/>
          <w:lang w:val="es-ES_tradnl"/>
        </w:rPr>
        <w:t>,</w:t>
      </w:r>
      <w:r w:rsidR="00A91BEA" w:rsidRPr="0071727F">
        <w:rPr>
          <w:rFonts w:ascii="Arial" w:eastAsia="Calibri" w:hAnsi="Arial" w:cs="Arial"/>
          <w:color w:val="161616" w:themeColor="background1" w:themeShade="1A"/>
          <w:sz w:val="22"/>
          <w:szCs w:val="22"/>
          <w:lang w:val="es-ES_tradnl"/>
        </w:rPr>
        <w:t xml:space="preserve"> en relación con determinado aspecto del ordenamiento jurídico. Esta competencia de interpretación de normas generales, por definición, no puede extenderse a la resolución de controversias, ni a brindar asesorías sobre casos puntuales. En otras palabras, los conceptos de esta Agencia tienen como objeto la interpretación de normas de carácter general, esto es, del ordenamiento jurídico </w:t>
      </w:r>
      <w:r w:rsidR="00A91BEA" w:rsidRPr="0071727F">
        <w:rPr>
          <w:rFonts w:ascii="Arial" w:eastAsia="Calibri" w:hAnsi="Arial" w:cs="Arial"/>
          <w:color w:val="161616" w:themeColor="background1" w:themeShade="1A"/>
          <w:sz w:val="22"/>
          <w:szCs w:val="22"/>
          <w:lang w:val="es-ES_tradnl"/>
        </w:rPr>
        <w:lastRenderedPageBreak/>
        <w:t xml:space="preserve">en abstracto, no la resolución de controversias o la asesoría para casos concretos, de acuerdo con lo indicado respecto a las normas que otorgan competencia consultiva a esta Subdirección. Además, no son vinculantes o </w:t>
      </w:r>
      <w:r w:rsidRPr="0071727F">
        <w:rPr>
          <w:rFonts w:ascii="Arial" w:eastAsia="Arial" w:hAnsi="Arial" w:cs="Arial"/>
          <w:color w:val="161616" w:themeColor="background1" w:themeShade="1A"/>
          <w:sz w:val="22"/>
          <w:szCs w:val="22"/>
          <w:lang w:val="es-ES_tradnl"/>
        </w:rPr>
        <w:t>de obligatorio cumplimiento para el destinatario, sino que expresan la posición interpretativa del ente que elabora el concepto.</w:t>
      </w:r>
    </w:p>
    <w:p w14:paraId="15C81BF1" w14:textId="7D4A2363" w:rsidR="00256CE7" w:rsidRPr="0071727F" w:rsidRDefault="00B16829" w:rsidP="0071727F">
      <w:pPr>
        <w:tabs>
          <w:tab w:val="left" w:pos="426"/>
        </w:tabs>
        <w:spacing w:before="120" w:line="276" w:lineRule="auto"/>
        <w:ind w:firstLine="709"/>
        <w:jc w:val="both"/>
        <w:rPr>
          <w:rFonts w:ascii="Arial" w:eastAsia="Calibri" w:hAnsi="Arial" w:cs="Arial"/>
          <w:color w:val="161616" w:themeColor="background1" w:themeShade="1A"/>
          <w:sz w:val="22"/>
          <w:szCs w:val="22"/>
          <w:lang w:val="es-ES_tradnl"/>
        </w:rPr>
      </w:pPr>
      <w:r w:rsidRPr="0071727F">
        <w:rPr>
          <w:rFonts w:ascii="Arial" w:eastAsia="Calibri" w:hAnsi="Arial" w:cs="Arial"/>
          <w:color w:val="161616" w:themeColor="background1" w:themeShade="1A"/>
          <w:sz w:val="22"/>
          <w:szCs w:val="22"/>
          <w:lang w:val="es-ES_tradnl"/>
        </w:rPr>
        <w:t xml:space="preserve">La Agencia Nacional de Contratación Pública ‒ Colombia Compra Eficiente </w:t>
      </w:r>
      <w:r w:rsidR="00B04E6F" w:rsidRPr="00E34DEB">
        <w:rPr>
          <w:rFonts w:ascii="Arial" w:eastAsia="Calibri" w:hAnsi="Arial" w:cs="Arial"/>
          <w:color w:val="161616" w:themeColor="background1" w:themeShade="1A"/>
          <w:sz w:val="22"/>
          <w:szCs w:val="22"/>
          <w:lang w:val="es-ES_tradnl"/>
        </w:rPr>
        <w:t>estudió el ámbito de aplicación de la ley 996 de 2005 y la restricción específica contenida en su artículo 33</w:t>
      </w:r>
      <w:r w:rsidRPr="0071727F">
        <w:rPr>
          <w:rFonts w:ascii="Arial" w:eastAsia="Calibri" w:hAnsi="Arial" w:cs="Arial"/>
          <w:color w:val="161616" w:themeColor="background1" w:themeShade="1A"/>
          <w:sz w:val="22"/>
          <w:szCs w:val="22"/>
          <w:lang w:val="es-ES_tradnl"/>
        </w:rPr>
        <w:t>, entre otros</w:t>
      </w:r>
      <w:r w:rsidR="00B04E6F" w:rsidRPr="00E34DEB">
        <w:rPr>
          <w:rFonts w:ascii="Arial" w:eastAsia="Calibri" w:hAnsi="Arial" w:cs="Arial"/>
          <w:color w:val="161616" w:themeColor="background1" w:themeShade="1A"/>
          <w:sz w:val="22"/>
          <w:szCs w:val="22"/>
          <w:lang w:val="es-ES_tradnl"/>
        </w:rPr>
        <w:t xml:space="preserve"> pronunciamientos</w:t>
      </w:r>
      <w:r w:rsidRPr="0071727F">
        <w:rPr>
          <w:rFonts w:ascii="Arial" w:eastAsia="Calibri" w:hAnsi="Arial" w:cs="Arial"/>
          <w:color w:val="161616" w:themeColor="background1" w:themeShade="1A"/>
          <w:sz w:val="22"/>
          <w:szCs w:val="22"/>
          <w:lang w:val="es-ES_tradnl"/>
        </w:rPr>
        <w:t>, en los conceptos</w:t>
      </w:r>
      <w:r w:rsidR="001A217F" w:rsidRPr="00E34DEB">
        <w:rPr>
          <w:rFonts w:ascii="Arial" w:eastAsia="Calibri" w:hAnsi="Arial" w:cs="Arial"/>
          <w:color w:val="161616" w:themeColor="background1" w:themeShade="1A"/>
          <w:sz w:val="22"/>
          <w:szCs w:val="22"/>
          <w:lang w:val="es-ES_tradnl"/>
        </w:rPr>
        <w:t>:</w:t>
      </w:r>
      <w:r w:rsidRPr="0071727F">
        <w:rPr>
          <w:rFonts w:ascii="Arial" w:eastAsia="Calibri" w:hAnsi="Arial" w:cs="Arial"/>
          <w:color w:val="161616" w:themeColor="background1" w:themeShade="1A"/>
          <w:sz w:val="22"/>
          <w:szCs w:val="22"/>
          <w:lang w:val="es-ES_tradnl"/>
        </w:rPr>
        <w:t xml:space="preserve"> </w:t>
      </w:r>
      <w:r w:rsidRPr="00361B7E">
        <w:rPr>
          <w:rFonts w:ascii="Arial" w:eastAsia="Arial" w:hAnsi="Arial" w:cs="Arial"/>
          <w:color w:val="161616" w:themeColor="background1" w:themeShade="1A"/>
          <w:sz w:val="22"/>
          <w:szCs w:val="22"/>
          <w:lang w:val="es-ES_tradnl"/>
        </w:rPr>
        <w:t>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w:t>
      </w:r>
      <w:r w:rsidRPr="0071727F">
        <w:rPr>
          <w:rFonts w:ascii="Arial" w:eastAsia="Arial" w:hAnsi="Arial" w:cs="Arial"/>
          <w:color w:val="161616" w:themeColor="background1" w:themeShade="1A"/>
          <w:sz w:val="22"/>
          <w:szCs w:val="22"/>
          <w:lang w:val="es-ES_tradnl"/>
        </w:rPr>
        <w:t xml:space="preserve"> </w:t>
      </w:r>
      <w:r w:rsidRPr="0071727F">
        <w:rPr>
          <w:rFonts w:ascii="Arial" w:eastAsia="Calibri" w:hAnsi="Arial" w:cs="Arial"/>
          <w:bCs/>
          <w:color w:val="161616" w:themeColor="background1" w:themeShade="1A"/>
          <w:sz w:val="22"/>
          <w:szCs w:val="22"/>
          <w:lang w:val="es-ES_tradnl"/>
        </w:rPr>
        <w:t>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C-677 del 4 de diciembre de 2021, C-695 del 22 de diciembre de 2021</w:t>
      </w:r>
      <w:r w:rsidR="001A217F" w:rsidRPr="00E34DEB">
        <w:rPr>
          <w:rFonts w:ascii="Arial" w:eastAsia="Calibri" w:hAnsi="Arial" w:cs="Arial"/>
          <w:bCs/>
          <w:color w:val="161616" w:themeColor="background1" w:themeShade="1A"/>
          <w:sz w:val="22"/>
          <w:szCs w:val="22"/>
          <w:lang w:val="es-ES_tradnl"/>
        </w:rPr>
        <w:t>,</w:t>
      </w:r>
      <w:r w:rsidRPr="0071727F">
        <w:rPr>
          <w:rFonts w:ascii="Arial" w:eastAsia="Calibri" w:hAnsi="Arial" w:cs="Arial"/>
          <w:bCs/>
          <w:color w:val="161616" w:themeColor="background1" w:themeShade="1A"/>
          <w:sz w:val="22"/>
          <w:szCs w:val="22"/>
          <w:lang w:val="es-ES_tradnl"/>
        </w:rPr>
        <w:t xml:space="preserve"> C-015 del 12 de enero de 2022 y C-116 del 18 de febrero de 2022</w:t>
      </w:r>
      <w:r w:rsidRPr="0071727F">
        <w:rPr>
          <w:rFonts w:ascii="Arial" w:eastAsia="Calibri" w:hAnsi="Arial" w:cs="Arial"/>
          <w:color w:val="161616" w:themeColor="background1" w:themeShade="1A"/>
          <w:sz w:val="22"/>
          <w:szCs w:val="22"/>
          <w:lang w:val="es-ES_tradnl"/>
        </w:rPr>
        <w:t xml:space="preserve">. </w:t>
      </w:r>
      <w:r w:rsidR="00FD7084" w:rsidRPr="0071727F">
        <w:rPr>
          <w:rFonts w:ascii="Arial" w:eastAsia="Calibri" w:hAnsi="Arial" w:cs="Arial"/>
          <w:color w:val="161616" w:themeColor="background1" w:themeShade="1A"/>
          <w:sz w:val="22"/>
          <w:szCs w:val="22"/>
          <w:lang w:val="es-ES_tradnl"/>
        </w:rPr>
        <w:t xml:space="preserve">En el mismo sentido, en </w:t>
      </w:r>
      <w:r w:rsidR="00EA2E7A" w:rsidRPr="0071727F">
        <w:rPr>
          <w:rFonts w:ascii="Arial" w:eastAsia="Calibri" w:hAnsi="Arial" w:cs="Arial"/>
          <w:color w:val="161616" w:themeColor="background1" w:themeShade="1A"/>
          <w:sz w:val="22"/>
          <w:szCs w:val="22"/>
          <w:lang w:val="es-ES_tradnl"/>
        </w:rPr>
        <w:t xml:space="preserve">los </w:t>
      </w:r>
      <w:r w:rsidR="00FD7084" w:rsidRPr="0071727F">
        <w:rPr>
          <w:rFonts w:ascii="Arial" w:eastAsia="Calibri" w:hAnsi="Arial" w:cs="Arial"/>
          <w:color w:val="161616" w:themeColor="background1" w:themeShade="1A"/>
          <w:sz w:val="22"/>
          <w:szCs w:val="22"/>
          <w:lang w:val="es-ES_tradnl"/>
        </w:rPr>
        <w:t>concepto</w:t>
      </w:r>
      <w:r w:rsidR="00EA2E7A" w:rsidRPr="0071727F">
        <w:rPr>
          <w:rFonts w:ascii="Arial" w:eastAsia="Calibri" w:hAnsi="Arial" w:cs="Arial"/>
          <w:color w:val="161616" w:themeColor="background1" w:themeShade="1A"/>
          <w:sz w:val="22"/>
          <w:szCs w:val="22"/>
          <w:lang w:val="es-ES_tradnl"/>
        </w:rPr>
        <w:t>s</w:t>
      </w:r>
      <w:r w:rsidR="00FD7084" w:rsidRPr="0071727F">
        <w:rPr>
          <w:rFonts w:ascii="Arial" w:eastAsia="Calibri" w:hAnsi="Arial" w:cs="Arial"/>
          <w:color w:val="161616" w:themeColor="background1" w:themeShade="1A"/>
          <w:sz w:val="22"/>
          <w:szCs w:val="22"/>
          <w:lang w:val="es-ES_tradnl"/>
        </w:rPr>
        <w:t xml:space="preserve"> C-6</w:t>
      </w:r>
      <w:r w:rsidR="00EA2E7A" w:rsidRPr="0071727F">
        <w:rPr>
          <w:rFonts w:ascii="Arial" w:eastAsia="Calibri" w:hAnsi="Arial" w:cs="Arial"/>
          <w:color w:val="161616" w:themeColor="background1" w:themeShade="1A"/>
          <w:sz w:val="22"/>
          <w:szCs w:val="22"/>
          <w:lang w:val="es-ES_tradnl"/>
        </w:rPr>
        <w:t>74 del 6 de diciembre de 2021, C-699 del 6 de enero de 2022</w:t>
      </w:r>
      <w:r w:rsidR="00BA19D8" w:rsidRPr="00E34DEB">
        <w:rPr>
          <w:rFonts w:ascii="Arial" w:eastAsia="Calibri" w:hAnsi="Arial" w:cs="Arial"/>
          <w:color w:val="161616" w:themeColor="background1" w:themeShade="1A"/>
          <w:sz w:val="22"/>
          <w:szCs w:val="22"/>
          <w:lang w:val="es-ES_tradnl"/>
        </w:rPr>
        <w:t xml:space="preserve"> y</w:t>
      </w:r>
      <w:r w:rsidR="00EA2E7A" w:rsidRPr="0071727F">
        <w:rPr>
          <w:rFonts w:ascii="Arial" w:eastAsia="Calibri" w:hAnsi="Arial" w:cs="Arial"/>
          <w:color w:val="161616" w:themeColor="background1" w:themeShade="1A"/>
          <w:sz w:val="22"/>
          <w:szCs w:val="22"/>
          <w:lang w:val="es-ES_tradnl"/>
        </w:rPr>
        <w:t xml:space="preserve"> C-715 del 21 de enero de 2022, </w:t>
      </w:r>
      <w:r w:rsidR="00FD7084" w:rsidRPr="0071727F">
        <w:rPr>
          <w:rFonts w:ascii="Arial" w:eastAsia="Calibri" w:hAnsi="Arial" w:cs="Arial"/>
          <w:color w:val="161616" w:themeColor="background1" w:themeShade="1A"/>
          <w:sz w:val="22"/>
          <w:szCs w:val="22"/>
          <w:lang w:val="es-ES_tradnl"/>
        </w:rPr>
        <w:t xml:space="preserve">se refirió a los alcances de la modificación realizada por la Ley 2159 de 2021. </w:t>
      </w:r>
    </w:p>
    <w:p w14:paraId="504EF183" w14:textId="7EC485AB" w:rsidR="00FD7084" w:rsidRPr="0071727F" w:rsidRDefault="00B16829" w:rsidP="0071727F">
      <w:pPr>
        <w:tabs>
          <w:tab w:val="left" w:pos="426"/>
        </w:tabs>
        <w:spacing w:before="120" w:line="276" w:lineRule="auto"/>
        <w:ind w:firstLine="709"/>
        <w:jc w:val="both"/>
        <w:rPr>
          <w:rFonts w:ascii="Arial" w:eastAsia="Arial" w:hAnsi="Arial" w:cs="Arial"/>
          <w:color w:val="161616" w:themeColor="background1" w:themeShade="1A"/>
          <w:sz w:val="22"/>
          <w:szCs w:val="22"/>
          <w:lang w:val="es-ES_tradnl" w:eastAsia="es-ES_tradnl"/>
        </w:rPr>
      </w:pPr>
      <w:r w:rsidRPr="0071727F">
        <w:rPr>
          <w:rFonts w:ascii="Arial" w:eastAsia="Calibri" w:hAnsi="Arial" w:cs="Arial"/>
          <w:color w:val="161616" w:themeColor="background1" w:themeShade="1A"/>
          <w:sz w:val="22"/>
          <w:szCs w:val="22"/>
          <w:lang w:val="es-ES_tradnl"/>
        </w:rPr>
        <w:t>Por otra parte, la Agencia, en los conceptos No. 2201913000006306 del 28 de agosto de 2019, 2201913000007760</w:t>
      </w:r>
      <w:r w:rsidR="00FA28BF" w:rsidRPr="0071727F">
        <w:rPr>
          <w:rFonts w:ascii="Arial" w:eastAsia="Calibri" w:hAnsi="Arial" w:cs="Arial"/>
          <w:color w:val="161616" w:themeColor="background1" w:themeShade="1A"/>
          <w:sz w:val="22"/>
          <w:szCs w:val="22"/>
          <w:lang w:val="es-ES_tradnl"/>
        </w:rPr>
        <w:t xml:space="preserve"> </w:t>
      </w:r>
      <w:r w:rsidRPr="0071727F">
        <w:rPr>
          <w:rFonts w:ascii="Arial" w:eastAsia="Calibri" w:hAnsi="Arial" w:cs="Arial"/>
          <w:color w:val="161616" w:themeColor="background1" w:themeShade="1A"/>
          <w:sz w:val="22"/>
          <w:szCs w:val="22"/>
          <w:lang w:val="es-ES_tradnl"/>
        </w:rPr>
        <w:t>del 17 de octubre de 2019</w:t>
      </w:r>
      <w:r w:rsidR="00307855" w:rsidRPr="0071727F">
        <w:rPr>
          <w:rFonts w:ascii="Arial" w:eastAsia="Calibri" w:hAnsi="Arial" w:cs="Arial"/>
          <w:color w:val="161616" w:themeColor="background1" w:themeShade="1A"/>
          <w:sz w:val="22"/>
          <w:szCs w:val="22"/>
          <w:lang w:val="es-ES_tradnl"/>
        </w:rPr>
        <w:t xml:space="preserve">, </w:t>
      </w:r>
      <w:r w:rsidR="0020059F" w:rsidRPr="0071727F">
        <w:rPr>
          <w:rFonts w:ascii="Arial" w:eastAsia="Calibri" w:hAnsi="Arial" w:cs="Arial"/>
          <w:color w:val="161616" w:themeColor="background1" w:themeShade="1A"/>
          <w:sz w:val="22"/>
          <w:szCs w:val="22"/>
          <w:lang w:val="es-ES_tradnl"/>
        </w:rPr>
        <w:t xml:space="preserve">C-014 de 2020 </w:t>
      </w:r>
      <w:proofErr w:type="gramStart"/>
      <w:r w:rsidR="0020059F" w:rsidRPr="0071727F">
        <w:rPr>
          <w:rFonts w:ascii="Arial" w:eastAsia="Calibri" w:hAnsi="Arial" w:cs="Arial"/>
          <w:color w:val="161616" w:themeColor="background1" w:themeShade="1A"/>
          <w:sz w:val="22"/>
          <w:szCs w:val="22"/>
          <w:lang w:val="es-ES_tradnl"/>
        </w:rPr>
        <w:t xml:space="preserve">del </w:t>
      </w:r>
      <w:r w:rsidRPr="0071727F">
        <w:rPr>
          <w:rFonts w:ascii="Arial" w:eastAsia="Calibri" w:hAnsi="Arial" w:cs="Arial"/>
          <w:color w:val="161616" w:themeColor="background1" w:themeShade="1A"/>
          <w:sz w:val="22"/>
          <w:szCs w:val="22"/>
          <w:lang w:val="es-ES_tradnl"/>
        </w:rPr>
        <w:t xml:space="preserve"> </w:t>
      </w:r>
      <w:r w:rsidR="0020059F" w:rsidRPr="0071727F">
        <w:rPr>
          <w:rFonts w:ascii="Arial" w:eastAsia="Calibri" w:hAnsi="Arial" w:cs="Arial"/>
          <w:color w:val="161616" w:themeColor="background1" w:themeShade="1A"/>
          <w:sz w:val="22"/>
          <w:szCs w:val="22"/>
          <w:lang w:val="es-ES_tradnl"/>
        </w:rPr>
        <w:t>24</w:t>
      </w:r>
      <w:proofErr w:type="gramEnd"/>
      <w:r w:rsidR="0020059F" w:rsidRPr="0071727F">
        <w:rPr>
          <w:rFonts w:ascii="Arial" w:eastAsia="Calibri" w:hAnsi="Arial" w:cs="Arial"/>
          <w:color w:val="161616" w:themeColor="background1" w:themeShade="1A"/>
          <w:sz w:val="22"/>
          <w:szCs w:val="22"/>
          <w:lang w:val="es-ES_tradnl"/>
        </w:rPr>
        <w:t xml:space="preserve"> de marzo de 2020, </w:t>
      </w:r>
      <w:r w:rsidRPr="0071727F">
        <w:rPr>
          <w:rFonts w:ascii="Arial" w:eastAsia="Calibri" w:hAnsi="Arial" w:cs="Arial"/>
          <w:color w:val="161616" w:themeColor="background1" w:themeShade="1A"/>
          <w:sz w:val="22"/>
          <w:szCs w:val="22"/>
          <w:lang w:val="es-ES_tradnl"/>
        </w:rPr>
        <w:t>analizó el contrato de comodato y su alcance.</w:t>
      </w:r>
      <w:r w:rsidR="00256CE7" w:rsidRPr="00E34DEB">
        <w:rPr>
          <w:rFonts w:ascii="Arial" w:eastAsia="Calibri" w:hAnsi="Arial" w:cs="Arial"/>
          <w:color w:val="161616" w:themeColor="background1" w:themeShade="1A"/>
          <w:sz w:val="22"/>
          <w:szCs w:val="22"/>
          <w:lang w:val="es-ES_tradnl"/>
        </w:rPr>
        <w:t xml:space="preserve"> </w:t>
      </w:r>
      <w:r w:rsidRPr="0071727F">
        <w:rPr>
          <w:rFonts w:ascii="Arial" w:eastAsia="Calibri" w:hAnsi="Arial" w:cs="Arial"/>
          <w:color w:val="161616" w:themeColor="background1" w:themeShade="1A"/>
          <w:sz w:val="22"/>
          <w:szCs w:val="22"/>
          <w:lang w:val="es-ES_tradnl"/>
        </w:rPr>
        <w:t>A su vez, en los conceptos No.</w:t>
      </w:r>
      <w:r w:rsidR="00307855" w:rsidRPr="0071727F">
        <w:rPr>
          <w:rFonts w:ascii="Arial" w:eastAsia="Calibri" w:hAnsi="Arial" w:cs="Arial"/>
          <w:color w:val="161616" w:themeColor="background1" w:themeShade="1A"/>
          <w:sz w:val="22"/>
          <w:szCs w:val="22"/>
          <w:lang w:val="es-ES_tradnl"/>
        </w:rPr>
        <w:t xml:space="preserve"> </w:t>
      </w:r>
      <w:r w:rsidR="00307855" w:rsidRPr="0071727F">
        <w:rPr>
          <w:rFonts w:ascii="Arial" w:eastAsia="Calibri" w:hAnsi="Arial" w:cs="Arial"/>
          <w:bCs/>
          <w:color w:val="161616" w:themeColor="background1" w:themeShade="1A"/>
          <w:sz w:val="22"/>
          <w:szCs w:val="22"/>
          <w:lang w:val="es-ES_tradnl"/>
        </w:rPr>
        <w:t>415140000909 de 2015,</w:t>
      </w:r>
      <w:r w:rsidR="00307855" w:rsidRPr="00E34DEB">
        <w:rPr>
          <w:rFonts w:ascii="Arial" w:eastAsia="Calibri" w:hAnsi="Arial" w:cs="Arial"/>
          <w:bCs/>
          <w:color w:val="161616" w:themeColor="background1" w:themeShade="1A"/>
          <w:sz w:val="22"/>
          <w:szCs w:val="22"/>
          <w:lang w:val="es-ES_tradnl"/>
        </w:rPr>
        <w:t xml:space="preserve"> </w:t>
      </w:r>
      <w:r w:rsidR="00307855" w:rsidRPr="0071727F">
        <w:rPr>
          <w:rFonts w:ascii="Arial" w:eastAsia="Calibri" w:hAnsi="Arial" w:cs="Arial"/>
          <w:bCs/>
          <w:color w:val="161616" w:themeColor="background1" w:themeShade="1A"/>
          <w:sz w:val="22"/>
          <w:szCs w:val="22"/>
          <w:lang w:val="es-ES_tradnl"/>
        </w:rPr>
        <w:t xml:space="preserve">2201913000006394 del 30 de agosto de 2019, </w:t>
      </w:r>
      <w:r w:rsidRPr="0071727F">
        <w:rPr>
          <w:rFonts w:ascii="Arial" w:eastAsia="Calibri" w:hAnsi="Arial" w:cs="Arial"/>
          <w:color w:val="161616" w:themeColor="background1" w:themeShade="1A"/>
          <w:sz w:val="22"/>
          <w:szCs w:val="22"/>
          <w:lang w:val="es-ES_tradnl"/>
        </w:rPr>
        <w:t xml:space="preserve">2201913000009198 del 12 de diciembre de 2019, </w:t>
      </w:r>
      <w:r w:rsidR="00307855" w:rsidRPr="0071727F">
        <w:rPr>
          <w:rFonts w:ascii="Arial" w:eastAsia="Calibri" w:hAnsi="Arial" w:cs="Arial"/>
          <w:bCs/>
          <w:color w:val="161616" w:themeColor="background1" w:themeShade="1A"/>
          <w:sz w:val="22"/>
          <w:szCs w:val="22"/>
          <w:lang w:val="es-ES_tradnl"/>
        </w:rPr>
        <w:t xml:space="preserve">2201913000009467 del 20 de diciembre de 2019, </w:t>
      </w:r>
      <w:r w:rsidRPr="0071727F">
        <w:rPr>
          <w:rFonts w:ascii="Arial" w:eastAsia="Calibri" w:hAnsi="Arial" w:cs="Arial"/>
          <w:color w:val="161616" w:themeColor="background1" w:themeShade="1A"/>
          <w:sz w:val="22"/>
          <w:szCs w:val="22"/>
          <w:lang w:val="es-ES_tradnl"/>
        </w:rPr>
        <w:t>C-081 de 2020 del 3 de marzo de 2020, C-070 del 4 de marzo de 2020, C-094 del 4 de marzo de 2020, C-228 del 17 de marzo de 2020, C-416 del 3 de julio de 2020, C-498 del 27 de julio de 2020, C-483 del 6 de agosto de 2020, C-532 del 11 de agosto de 2020</w:t>
      </w:r>
      <w:r w:rsidR="0008228E" w:rsidRPr="00E34DEB">
        <w:rPr>
          <w:rFonts w:ascii="Arial" w:eastAsia="Calibri" w:hAnsi="Arial" w:cs="Arial"/>
          <w:color w:val="161616" w:themeColor="background1" w:themeShade="1A"/>
          <w:sz w:val="22"/>
          <w:szCs w:val="22"/>
          <w:lang w:val="es-ES_tradnl"/>
        </w:rPr>
        <w:t xml:space="preserve"> y</w:t>
      </w:r>
      <w:r w:rsidRPr="0071727F">
        <w:rPr>
          <w:rFonts w:ascii="Arial" w:eastAsia="Calibri" w:hAnsi="Arial" w:cs="Arial"/>
          <w:color w:val="161616" w:themeColor="background1" w:themeShade="1A"/>
          <w:sz w:val="22"/>
          <w:szCs w:val="22"/>
          <w:lang w:val="es-ES_tradnl"/>
        </w:rPr>
        <w:t xml:space="preserve"> C-515 del 19 de agosto de 2020, analizó la contratación con entidades sin ánimo de lucro </w:t>
      </w:r>
      <w:r w:rsidR="0008228E" w:rsidRPr="00E34DEB">
        <w:rPr>
          <w:rFonts w:ascii="Arial" w:eastAsia="Calibri" w:hAnsi="Arial" w:cs="Arial"/>
          <w:color w:val="161616" w:themeColor="background1" w:themeShade="1A"/>
          <w:sz w:val="22"/>
          <w:szCs w:val="22"/>
          <w:lang w:val="es-ES_tradnl"/>
        </w:rPr>
        <w:t>–</w:t>
      </w:r>
      <w:r w:rsidRPr="0071727F">
        <w:rPr>
          <w:rFonts w:ascii="Arial" w:eastAsia="Calibri" w:hAnsi="Arial" w:cs="Arial"/>
          <w:color w:val="161616" w:themeColor="background1" w:themeShade="1A"/>
          <w:sz w:val="22"/>
          <w:szCs w:val="22"/>
          <w:lang w:val="es-ES_tradnl"/>
        </w:rPr>
        <w:lastRenderedPageBreak/>
        <w:t>ESAL</w:t>
      </w:r>
      <w:r w:rsidR="0008228E" w:rsidRPr="00E34DEB">
        <w:rPr>
          <w:rFonts w:ascii="Arial" w:eastAsia="Calibri" w:hAnsi="Arial" w:cs="Arial"/>
          <w:color w:val="161616" w:themeColor="background1" w:themeShade="1A"/>
          <w:sz w:val="22"/>
          <w:szCs w:val="22"/>
          <w:lang w:val="es-ES_tradnl"/>
        </w:rPr>
        <w:t>–</w:t>
      </w:r>
      <w:r w:rsidRPr="0071727F">
        <w:rPr>
          <w:rFonts w:ascii="Arial" w:eastAsia="Calibri" w:hAnsi="Arial" w:cs="Arial"/>
          <w:color w:val="161616" w:themeColor="background1" w:themeShade="1A"/>
          <w:sz w:val="22"/>
          <w:szCs w:val="22"/>
          <w:lang w:val="es-ES_tradnl"/>
        </w:rPr>
        <w:t>.</w:t>
      </w:r>
      <w:r w:rsidR="0008228E" w:rsidRPr="00E34DEB">
        <w:rPr>
          <w:rFonts w:ascii="Arial" w:eastAsia="Arial" w:hAnsi="Arial" w:cs="Arial"/>
          <w:color w:val="161616" w:themeColor="background1" w:themeShade="1A"/>
          <w:sz w:val="22"/>
          <w:szCs w:val="22"/>
          <w:lang w:val="es-ES_tradnl"/>
        </w:rPr>
        <w:t xml:space="preserve"> </w:t>
      </w:r>
      <w:r w:rsidR="00FD7084" w:rsidRPr="0071727F">
        <w:rPr>
          <w:rFonts w:ascii="Arial" w:eastAsia="Arial" w:hAnsi="Arial" w:cs="Arial"/>
          <w:color w:val="161616" w:themeColor="background1" w:themeShade="1A"/>
          <w:sz w:val="22"/>
          <w:szCs w:val="22"/>
          <w:lang w:val="es-ES_tradnl"/>
        </w:rPr>
        <w:t>Las tesis desarrolladas en estos conceptos se reiteran y complementan a continuación.</w:t>
      </w:r>
    </w:p>
    <w:p w14:paraId="4F11C367" w14:textId="77777777" w:rsidR="00C50170" w:rsidRDefault="00C50170" w:rsidP="0022167B">
      <w:pPr>
        <w:jc w:val="both"/>
        <w:rPr>
          <w:rFonts w:ascii="Arial" w:eastAsia="Calibri" w:hAnsi="Arial" w:cs="Arial"/>
          <w:color w:val="161616" w:themeColor="background1" w:themeShade="1A"/>
          <w:sz w:val="22"/>
          <w:szCs w:val="22"/>
          <w:lang w:val="es-ES_tradnl"/>
        </w:rPr>
      </w:pPr>
    </w:p>
    <w:p w14:paraId="47AF1517" w14:textId="7947AC3F" w:rsidR="00BB7E79" w:rsidRPr="0071727F" w:rsidRDefault="00532B96" w:rsidP="0071727F">
      <w:pPr>
        <w:spacing w:line="276" w:lineRule="auto"/>
        <w:jc w:val="both"/>
        <w:rPr>
          <w:rFonts w:ascii="Arial" w:eastAsia="Arial" w:hAnsi="Arial" w:cs="Arial"/>
          <w:b/>
          <w:color w:val="161616" w:themeColor="background1" w:themeShade="1A"/>
          <w:sz w:val="22"/>
          <w:szCs w:val="22"/>
          <w:lang w:val="es-ES_tradnl"/>
        </w:rPr>
      </w:pPr>
      <w:r w:rsidRPr="0071727F">
        <w:rPr>
          <w:rFonts w:ascii="Arial" w:eastAsia="Calibri" w:hAnsi="Arial" w:cs="Arial"/>
          <w:b/>
          <w:bCs/>
          <w:color w:val="161616" w:themeColor="background1" w:themeShade="1A"/>
          <w:sz w:val="22"/>
          <w:szCs w:val="22"/>
          <w:lang w:val="es-ES_tradnl"/>
        </w:rPr>
        <w:t xml:space="preserve">2.1. </w:t>
      </w:r>
      <w:r w:rsidR="00B5758A" w:rsidRPr="0071727F">
        <w:rPr>
          <w:rFonts w:ascii="Arial" w:eastAsia="Arial" w:hAnsi="Arial" w:cs="Arial"/>
          <w:b/>
          <w:color w:val="161616" w:themeColor="background1" w:themeShade="1A"/>
          <w:sz w:val="22"/>
          <w:szCs w:val="22"/>
          <w:lang w:val="es-ES_tradnl"/>
        </w:rPr>
        <w:t>Definición y finalidad de la Ley de Garantías Electorales: alcance de las restricciones</w:t>
      </w:r>
      <w:r w:rsidR="00CA6FB7" w:rsidRPr="0071727F">
        <w:rPr>
          <w:rFonts w:ascii="Arial" w:eastAsia="Arial" w:hAnsi="Arial" w:cs="Arial"/>
          <w:b/>
          <w:color w:val="161616" w:themeColor="background1" w:themeShade="1A"/>
          <w:sz w:val="22"/>
          <w:szCs w:val="22"/>
          <w:lang w:val="es-ES_tradnl"/>
        </w:rPr>
        <w:t xml:space="preserve"> y d</w:t>
      </w:r>
      <w:r w:rsidR="00B5758A" w:rsidRPr="0071727F">
        <w:rPr>
          <w:rFonts w:ascii="Arial" w:eastAsia="Arial" w:hAnsi="Arial" w:cs="Arial"/>
          <w:b/>
          <w:color w:val="161616" w:themeColor="background1" w:themeShade="1A"/>
          <w:sz w:val="22"/>
          <w:szCs w:val="22"/>
          <w:lang w:val="es-ES_tradnl"/>
        </w:rPr>
        <w:t>estinatarios</w:t>
      </w:r>
    </w:p>
    <w:p w14:paraId="6CB5F434" w14:textId="77777777" w:rsidR="00616E1F" w:rsidRPr="0071727F" w:rsidRDefault="00616E1F" w:rsidP="0022167B">
      <w:pPr>
        <w:jc w:val="both"/>
        <w:rPr>
          <w:rFonts w:ascii="Arial" w:hAnsi="Arial" w:cs="Arial"/>
          <w:b/>
          <w:bCs/>
          <w:color w:val="161616" w:themeColor="background1" w:themeShade="1A"/>
          <w:sz w:val="22"/>
          <w:szCs w:val="22"/>
          <w:lang w:val="es-ES_tradnl" w:eastAsia="es-CO"/>
        </w:rPr>
      </w:pPr>
    </w:p>
    <w:p w14:paraId="1159EF5B" w14:textId="0F1C5AEF" w:rsidR="0094567D" w:rsidRPr="0071727F" w:rsidRDefault="00BB7E79" w:rsidP="0071727F">
      <w:pPr>
        <w:tabs>
          <w:tab w:val="left" w:pos="426"/>
        </w:tabs>
        <w:spacing w:line="276" w:lineRule="auto"/>
        <w:jc w:val="both"/>
        <w:rPr>
          <w:rFonts w:ascii="Arial" w:eastAsia="Arial" w:hAnsi="Arial" w:cs="Arial"/>
          <w:color w:val="161616" w:themeColor="background1" w:themeShade="1A"/>
          <w:sz w:val="22"/>
          <w:szCs w:val="22"/>
          <w:lang w:val="es-ES_tradnl"/>
        </w:rPr>
      </w:pPr>
      <w:r w:rsidRPr="0071727F">
        <w:rPr>
          <w:rFonts w:ascii="Arial" w:eastAsia="Arial" w:hAnsi="Arial" w:cs="Arial"/>
          <w:color w:val="161616" w:themeColor="background1" w:themeShade="1A"/>
          <w:sz w:val="22"/>
          <w:szCs w:val="22"/>
          <w:lang w:val="es-ES_tradnl"/>
        </w:rPr>
        <w:t>El ordenamiento jurídico colombiano contempla previsiones claras para evitar la obtención de beneficios personales en asuntos propios de la administración pública</w:t>
      </w:r>
      <w:r w:rsidRPr="0071727F">
        <w:rPr>
          <w:rFonts w:ascii="Arial" w:eastAsia="Arial" w:hAnsi="Arial" w:cs="Arial"/>
          <w:i/>
          <w:color w:val="161616" w:themeColor="background1" w:themeShade="1A"/>
          <w:sz w:val="22"/>
          <w:szCs w:val="22"/>
          <w:lang w:val="es-ES_tradnl"/>
        </w:rPr>
        <w:t xml:space="preserve">. </w:t>
      </w:r>
      <w:r w:rsidRPr="0071727F">
        <w:rPr>
          <w:rFonts w:ascii="Arial" w:eastAsia="Arial" w:hAnsi="Arial" w:cs="Arial"/>
          <w:color w:val="161616" w:themeColor="background1" w:themeShade="1A"/>
          <w:sz w:val="22"/>
          <w:szCs w:val="22"/>
          <w:lang w:val="es-ES_tradnl"/>
        </w:rPr>
        <w:t>Por ejemplo, el artículo 127 de la Constitución Política establece una prohibición contractual a los servidores públicos y</w:t>
      </w:r>
      <w:r w:rsidR="00096C01">
        <w:rPr>
          <w:rFonts w:ascii="Arial" w:eastAsia="Arial" w:hAnsi="Arial" w:cs="Arial"/>
          <w:color w:val="161616" w:themeColor="background1" w:themeShade="1A"/>
          <w:sz w:val="22"/>
          <w:szCs w:val="22"/>
          <w:lang w:val="es-ES_tradnl"/>
        </w:rPr>
        <w:t>,</w:t>
      </w:r>
      <w:r w:rsidRPr="0071727F">
        <w:rPr>
          <w:rFonts w:ascii="Arial" w:eastAsia="Arial" w:hAnsi="Arial" w:cs="Arial"/>
          <w:color w:val="161616" w:themeColor="background1" w:themeShade="1A"/>
          <w:sz w:val="22"/>
          <w:szCs w:val="22"/>
          <w:lang w:val="es-ES_tradnl"/>
        </w:rPr>
        <w:t xml:space="preserve"> en cuanto a aspectos políticos</w:t>
      </w:r>
      <w:r w:rsidR="00096C01">
        <w:rPr>
          <w:rFonts w:ascii="Arial" w:eastAsia="Arial" w:hAnsi="Arial" w:cs="Arial"/>
          <w:color w:val="161616" w:themeColor="background1" w:themeShade="1A"/>
          <w:sz w:val="22"/>
          <w:szCs w:val="22"/>
          <w:lang w:val="es-ES_tradnl"/>
        </w:rPr>
        <w:t>,</w:t>
      </w:r>
      <w:r w:rsidRPr="0071727F">
        <w:rPr>
          <w:rFonts w:ascii="Arial" w:eastAsia="Arial" w:hAnsi="Arial" w:cs="Arial"/>
          <w:color w:val="161616" w:themeColor="background1" w:themeShade="1A"/>
          <w:sz w:val="22"/>
          <w:szCs w:val="22"/>
          <w:lang w:val="es-ES_tradnl"/>
        </w:rPr>
        <w:t xml:space="preserve"> </w:t>
      </w:r>
      <w:r w:rsidR="00096C01">
        <w:rPr>
          <w:rFonts w:ascii="Arial" w:eastAsia="Arial" w:hAnsi="Arial" w:cs="Arial"/>
          <w:color w:val="161616" w:themeColor="background1" w:themeShade="1A"/>
          <w:sz w:val="22"/>
          <w:szCs w:val="22"/>
          <w:lang w:val="es-ES_tradnl"/>
        </w:rPr>
        <w:t>prevé</w:t>
      </w:r>
      <w:r w:rsidR="00096C01" w:rsidRPr="0071727F">
        <w:rPr>
          <w:rFonts w:ascii="Arial" w:eastAsia="Arial" w:hAnsi="Arial" w:cs="Arial"/>
          <w:color w:val="161616" w:themeColor="background1" w:themeShade="1A"/>
          <w:sz w:val="22"/>
          <w:szCs w:val="22"/>
          <w:lang w:val="es-ES_tradnl"/>
        </w:rPr>
        <w:t xml:space="preserve"> </w:t>
      </w:r>
      <w:r w:rsidRPr="0071727F">
        <w:rPr>
          <w:rFonts w:ascii="Arial" w:eastAsia="Arial" w:hAnsi="Arial" w:cs="Arial"/>
          <w:color w:val="161616" w:themeColor="background1" w:themeShade="1A"/>
          <w:sz w:val="22"/>
          <w:szCs w:val="22"/>
          <w:lang w:val="es-ES_tradnl"/>
        </w:rPr>
        <w:t>restricciones a ciertos empleados del Estado, incluso en época no electoral</w:t>
      </w:r>
      <w:r w:rsidRPr="0071727F">
        <w:rPr>
          <w:rStyle w:val="Refdenotaalpie"/>
          <w:rFonts w:eastAsia="Arial"/>
        </w:rPr>
        <w:footnoteReference w:id="2"/>
      </w:r>
      <w:r w:rsidRPr="0071727F">
        <w:rPr>
          <w:rFonts w:ascii="Arial" w:eastAsia="Arial" w:hAnsi="Arial" w:cs="Arial"/>
          <w:color w:val="161616" w:themeColor="background1" w:themeShade="1A"/>
          <w:sz w:val="22"/>
          <w:szCs w:val="22"/>
          <w:lang w:val="es-ES_tradnl"/>
        </w:rPr>
        <w:t xml:space="preserve">. </w:t>
      </w:r>
    </w:p>
    <w:p w14:paraId="5B2ED137" w14:textId="72B28414" w:rsidR="00BB7E79" w:rsidRPr="0071727F" w:rsidRDefault="00BB7E79" w:rsidP="0071727F">
      <w:pPr>
        <w:tabs>
          <w:tab w:val="left" w:pos="426"/>
        </w:tabs>
        <w:spacing w:before="120" w:line="276" w:lineRule="auto"/>
        <w:ind w:firstLine="709"/>
        <w:jc w:val="both"/>
        <w:rPr>
          <w:rFonts w:ascii="Arial" w:eastAsia="Arial" w:hAnsi="Arial" w:cs="Arial"/>
          <w:color w:val="161616" w:themeColor="background1" w:themeShade="1A"/>
          <w:sz w:val="22"/>
          <w:szCs w:val="22"/>
          <w:lang w:val="es-ES_tradnl"/>
        </w:rPr>
      </w:pPr>
      <w:r w:rsidRPr="0071727F">
        <w:rPr>
          <w:rFonts w:ascii="Arial" w:eastAsia="Arial" w:hAnsi="Arial" w:cs="Arial"/>
          <w:color w:val="161616" w:themeColor="background1" w:themeShade="1A"/>
          <w:sz w:val="22"/>
          <w:szCs w:val="22"/>
          <w:lang w:val="es-ES_tradnl"/>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71727F">
        <w:rPr>
          <w:rStyle w:val="Refdenotaalpie"/>
          <w:rFonts w:eastAsia="Arial"/>
        </w:rPr>
        <w:footnoteReference w:id="3"/>
      </w:r>
      <w:r w:rsidRPr="0071727F">
        <w:rPr>
          <w:rFonts w:ascii="Arial" w:eastAsia="Arial" w:hAnsi="Arial" w:cs="Arial"/>
          <w:color w:val="161616" w:themeColor="background1" w:themeShade="1A"/>
          <w:sz w:val="22"/>
          <w:szCs w:val="22"/>
          <w:lang w:val="es-ES_tradnl"/>
        </w:rPr>
        <w:t>. En esta medida, introduce limitaciones para realizar nombramientos, postulaciones, contrataciones o cualquier otro tipo de actividad que implique destinación de recursos públicos bajo el devenir propio de las entidades estatales.</w:t>
      </w:r>
      <w:r w:rsidR="0094567D" w:rsidRPr="00E34DEB">
        <w:rPr>
          <w:rFonts w:ascii="Arial" w:eastAsia="Arial" w:hAnsi="Arial" w:cs="Arial"/>
          <w:color w:val="161616" w:themeColor="background1" w:themeShade="1A"/>
          <w:sz w:val="22"/>
          <w:szCs w:val="22"/>
          <w:lang w:val="es-ES_tradnl"/>
        </w:rPr>
        <w:t xml:space="preserve"> </w:t>
      </w:r>
      <w:r w:rsidRPr="0071727F">
        <w:rPr>
          <w:rFonts w:ascii="Arial" w:eastAsia="Arial" w:hAnsi="Arial" w:cs="Arial"/>
          <w:color w:val="161616" w:themeColor="background1" w:themeShade="1A"/>
          <w:sz w:val="22"/>
          <w:szCs w:val="22"/>
          <w:lang w:val="es-ES_tradnl"/>
        </w:rPr>
        <w:t>En armonía con lo anterior, la Corte Constitucional ha abordado la definición de la Ley de Garantías Electorales. De esta manera, explica que tiene como propósito:</w:t>
      </w:r>
    </w:p>
    <w:p w14:paraId="2E1D220B" w14:textId="77777777" w:rsidR="00BB7E79" w:rsidRPr="0071727F" w:rsidRDefault="00BB7E79" w:rsidP="0022167B">
      <w:pPr>
        <w:ind w:right="709"/>
        <w:jc w:val="both"/>
        <w:rPr>
          <w:rFonts w:ascii="Arial" w:eastAsia="Arial" w:hAnsi="Arial" w:cs="Arial"/>
          <w:color w:val="161616" w:themeColor="background1" w:themeShade="1A"/>
          <w:sz w:val="22"/>
          <w:szCs w:val="22"/>
          <w:lang w:val="es-ES_tradnl"/>
        </w:rPr>
      </w:pPr>
    </w:p>
    <w:p w14:paraId="2EAFCB86" w14:textId="4581E72E" w:rsidR="00BB7E79" w:rsidRPr="0071727F" w:rsidRDefault="00C50170" w:rsidP="0022167B">
      <w:pPr>
        <w:ind w:left="709" w:right="709"/>
        <w:jc w:val="both"/>
        <w:rPr>
          <w:rFonts w:ascii="Arial" w:eastAsia="Arial" w:hAnsi="Arial" w:cs="Arial"/>
          <w:color w:val="161616" w:themeColor="background1" w:themeShade="1A"/>
          <w:sz w:val="21"/>
          <w:szCs w:val="21"/>
          <w:lang w:val="es-ES_tradnl"/>
        </w:rPr>
      </w:pPr>
      <w:r w:rsidRPr="0071727F">
        <w:rPr>
          <w:rFonts w:ascii="Arial" w:hAnsi="Arial" w:cs="Arial"/>
          <w:color w:val="161616" w:themeColor="background1" w:themeShade="1A"/>
          <w:sz w:val="21"/>
          <w:szCs w:val="21"/>
          <w:lang w:val="es-ES_tradnl"/>
        </w:rPr>
        <w:t xml:space="preserve">[…] </w:t>
      </w:r>
      <w:r w:rsidR="00BB7E79" w:rsidRPr="0071727F">
        <w:rPr>
          <w:rFonts w:ascii="Arial" w:eastAsia="Arial" w:hAnsi="Arial" w:cs="Arial"/>
          <w:color w:val="161616" w:themeColor="background1" w:themeShade="1A"/>
          <w:sz w:val="21"/>
          <w:szCs w:val="21"/>
          <w:lang w:val="es-ES_tradnl"/>
        </w:rPr>
        <w:t>la definición de reglas claras que permitan acceder a los canales de expresión democrática de manera efectiva e igualitaria. El objetivo de una ley de garantías es definir esas reglas.</w:t>
      </w:r>
    </w:p>
    <w:p w14:paraId="4E639F8D" w14:textId="77777777" w:rsidR="00EC5592" w:rsidRPr="0071727F" w:rsidRDefault="00EC5592" w:rsidP="0022167B">
      <w:pPr>
        <w:ind w:left="709" w:right="709"/>
        <w:jc w:val="both"/>
        <w:rPr>
          <w:rFonts w:ascii="Arial" w:hAnsi="Arial" w:cs="Arial"/>
          <w:color w:val="161616" w:themeColor="background1" w:themeShade="1A"/>
          <w:sz w:val="21"/>
          <w:szCs w:val="21"/>
          <w:lang w:val="es-ES_tradnl"/>
        </w:rPr>
      </w:pPr>
    </w:p>
    <w:p w14:paraId="291FB11E" w14:textId="2E94C79C" w:rsidR="00BB7E79" w:rsidRPr="0071727F" w:rsidRDefault="00BB7E79" w:rsidP="0022167B">
      <w:pPr>
        <w:ind w:left="709" w:right="709"/>
        <w:jc w:val="both"/>
        <w:rPr>
          <w:rFonts w:ascii="Arial" w:eastAsia="Arial" w:hAnsi="Arial" w:cs="Arial"/>
          <w:color w:val="161616" w:themeColor="background1" w:themeShade="1A"/>
          <w:sz w:val="21"/>
          <w:szCs w:val="21"/>
          <w:lang w:val="es-ES_tradnl"/>
        </w:rPr>
      </w:pPr>
      <w:r w:rsidRPr="0071727F">
        <w:rPr>
          <w:rFonts w:ascii="Arial" w:eastAsia="Arial" w:hAnsi="Arial" w:cs="Arial"/>
          <w:color w:val="161616" w:themeColor="background1" w:themeShade="1A"/>
          <w:sz w:val="21"/>
          <w:szCs w:val="21"/>
          <w:lang w:val="es-ES_tradnl"/>
        </w:rPr>
        <w:t xml:space="preserve">[…] </w:t>
      </w:r>
    </w:p>
    <w:p w14:paraId="1CBA745B" w14:textId="77777777" w:rsidR="00C50170" w:rsidRPr="0071727F" w:rsidRDefault="00C50170" w:rsidP="0022167B">
      <w:pPr>
        <w:ind w:left="709" w:right="709"/>
        <w:jc w:val="both"/>
        <w:rPr>
          <w:rFonts w:ascii="Arial" w:hAnsi="Arial" w:cs="Arial"/>
          <w:color w:val="161616" w:themeColor="background1" w:themeShade="1A"/>
          <w:sz w:val="21"/>
          <w:szCs w:val="21"/>
          <w:lang w:val="es-ES_tradnl"/>
        </w:rPr>
      </w:pPr>
    </w:p>
    <w:p w14:paraId="3FDA92C8" w14:textId="330B57E5" w:rsidR="00BB7E79" w:rsidRPr="0071727F" w:rsidRDefault="00BB7E79" w:rsidP="0022167B">
      <w:pPr>
        <w:ind w:left="709" w:right="709"/>
        <w:jc w:val="both"/>
        <w:rPr>
          <w:rFonts w:ascii="Arial" w:hAnsi="Arial" w:cs="Arial"/>
          <w:color w:val="161616" w:themeColor="background1" w:themeShade="1A"/>
          <w:sz w:val="21"/>
          <w:szCs w:val="21"/>
          <w:lang w:val="es-ES_tradnl"/>
        </w:rPr>
      </w:pPr>
      <w:r w:rsidRPr="0071727F">
        <w:rPr>
          <w:rFonts w:ascii="Arial" w:eastAsia="Arial" w:hAnsi="Arial" w:cs="Arial"/>
          <w:color w:val="161616" w:themeColor="background1" w:themeShade="1A"/>
          <w:sz w:val="21"/>
          <w:szCs w:val="21"/>
          <w:lang w:val="es-ES_tradnl"/>
        </w:rPr>
        <w:t xml:space="preserve">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w:t>
      </w:r>
      <w:r w:rsidRPr="0071727F">
        <w:rPr>
          <w:rFonts w:ascii="Arial" w:eastAsia="Arial" w:hAnsi="Arial" w:cs="Arial"/>
          <w:color w:val="161616" w:themeColor="background1" w:themeShade="1A"/>
          <w:sz w:val="21"/>
          <w:szCs w:val="21"/>
          <w:lang w:val="es-ES_tradnl"/>
        </w:rPr>
        <w:lastRenderedPageBreak/>
        <w:t>que, en el debate democrático, sean las ideas y las propuestas las que definan el ascenso al poder, y no el músculo económico de los que se lo disputan</w:t>
      </w:r>
      <w:r w:rsidRPr="0071727F">
        <w:rPr>
          <w:rStyle w:val="Refdenotaalpie"/>
          <w:rFonts w:eastAsia="Arial"/>
        </w:rPr>
        <w:footnoteReference w:id="4"/>
      </w:r>
      <w:r w:rsidR="00A04977">
        <w:rPr>
          <w:rFonts w:ascii="Arial" w:eastAsia="Calibri" w:hAnsi="Arial" w:cs="Arial"/>
          <w:bCs/>
          <w:color w:val="161616" w:themeColor="background1" w:themeShade="1A"/>
          <w:sz w:val="21"/>
          <w:szCs w:val="21"/>
          <w:lang w:val="es-ES_tradnl"/>
        </w:rPr>
        <w:t>.</w:t>
      </w:r>
    </w:p>
    <w:p w14:paraId="3F3DD60D" w14:textId="77777777" w:rsidR="00BB7E79" w:rsidRPr="0071727F" w:rsidRDefault="00BB7E79" w:rsidP="0022167B">
      <w:pPr>
        <w:ind w:left="709" w:right="709"/>
        <w:jc w:val="both"/>
        <w:rPr>
          <w:rFonts w:ascii="Arial" w:eastAsia="Arial" w:hAnsi="Arial" w:cs="Arial"/>
          <w:color w:val="161616" w:themeColor="background1" w:themeShade="1A"/>
          <w:sz w:val="21"/>
          <w:szCs w:val="21"/>
          <w:lang w:val="es-ES_tradnl"/>
        </w:rPr>
      </w:pPr>
    </w:p>
    <w:p w14:paraId="424990EE" w14:textId="57A3B35A" w:rsidR="00BB7E79" w:rsidRPr="0071727F" w:rsidRDefault="00BB7E79" w:rsidP="0071727F">
      <w:pPr>
        <w:spacing w:line="276" w:lineRule="auto"/>
        <w:ind w:firstLine="709"/>
        <w:jc w:val="both"/>
        <w:rPr>
          <w:rFonts w:ascii="Arial" w:eastAsia="Arial" w:hAnsi="Arial" w:cs="Arial"/>
          <w:color w:val="161616" w:themeColor="background1" w:themeShade="1A"/>
          <w:sz w:val="22"/>
          <w:szCs w:val="22"/>
          <w:lang w:val="es-ES_tradnl"/>
        </w:rPr>
      </w:pPr>
      <w:bookmarkStart w:id="5" w:name="_17dp8vu" w:colFirst="0" w:colLast="0"/>
      <w:bookmarkEnd w:id="5"/>
      <w:r w:rsidRPr="0071727F">
        <w:rPr>
          <w:rFonts w:ascii="Arial" w:eastAsia="Arial" w:hAnsi="Arial" w:cs="Arial"/>
          <w:color w:val="161616" w:themeColor="background1" w:themeShade="1A"/>
          <w:sz w:val="22"/>
          <w:szCs w:val="22"/>
          <w:lang w:val="es-ES_tradnl"/>
        </w:rPr>
        <w:t>En este contexto, la Ley de Garantías Electorales establece el marco jurídico para el desarrollo de las elecciones, procurando condiciones de igualdad y transparencia para los aspirantes</w:t>
      </w:r>
      <w:r w:rsidR="006C18C1">
        <w:rPr>
          <w:rFonts w:ascii="Arial" w:eastAsia="Arial" w:hAnsi="Arial" w:cs="Arial"/>
          <w:color w:val="161616" w:themeColor="background1" w:themeShade="1A"/>
          <w:sz w:val="22"/>
          <w:szCs w:val="22"/>
          <w:lang w:val="es-ES_tradnl"/>
        </w:rPr>
        <w:t>,</w:t>
      </w:r>
      <w:r w:rsidRPr="0071727F">
        <w:rPr>
          <w:rFonts w:ascii="Arial" w:eastAsia="Arial" w:hAnsi="Arial" w:cs="Arial"/>
          <w:color w:val="161616" w:themeColor="background1" w:themeShade="1A"/>
          <w:sz w:val="22"/>
          <w:szCs w:val="22"/>
          <w:lang w:val="es-ES_tradnl"/>
        </w:rPr>
        <w:t xml:space="preserve"> y paralelamente incluye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w:t>
      </w:r>
      <w:r w:rsidR="006C18C1">
        <w:rPr>
          <w:rFonts w:ascii="Arial" w:eastAsia="Arial" w:hAnsi="Arial" w:cs="Arial"/>
          <w:color w:val="161616" w:themeColor="background1" w:themeShade="1A"/>
          <w:sz w:val="22"/>
          <w:szCs w:val="22"/>
          <w:lang w:val="es-ES_tradnl"/>
        </w:rPr>
        <w:t>,</w:t>
      </w:r>
      <w:r w:rsidRPr="0071727F">
        <w:rPr>
          <w:rFonts w:ascii="Arial" w:eastAsia="Arial" w:hAnsi="Arial" w:cs="Arial"/>
          <w:color w:val="161616" w:themeColor="background1" w:themeShade="1A"/>
          <w:sz w:val="22"/>
          <w:szCs w:val="22"/>
          <w:lang w:val="es-ES_tradnl"/>
        </w:rPr>
        <w:t xml:space="preserve"> al analizar la referida ley, precisó lo siguiente:</w:t>
      </w:r>
    </w:p>
    <w:p w14:paraId="1B49DCFF" w14:textId="77777777" w:rsidR="00BB7E79" w:rsidRPr="0071727F" w:rsidRDefault="00BB7E79" w:rsidP="0022167B">
      <w:pPr>
        <w:ind w:firstLine="709"/>
        <w:jc w:val="both"/>
        <w:rPr>
          <w:rFonts w:ascii="Arial" w:eastAsia="Arial" w:hAnsi="Arial" w:cs="Arial"/>
          <w:color w:val="161616" w:themeColor="background1" w:themeShade="1A"/>
          <w:sz w:val="22"/>
          <w:szCs w:val="22"/>
          <w:lang w:val="es-ES_tradnl"/>
        </w:rPr>
      </w:pPr>
    </w:p>
    <w:p w14:paraId="7BAFD0A4" w14:textId="3E2475D0" w:rsidR="00BB7E79" w:rsidRPr="0071727F" w:rsidRDefault="00C50170" w:rsidP="0022167B">
      <w:pPr>
        <w:ind w:left="709" w:right="709"/>
        <w:jc w:val="both"/>
        <w:rPr>
          <w:rFonts w:ascii="Arial" w:eastAsia="Arial" w:hAnsi="Arial" w:cs="Arial"/>
          <w:color w:val="161616" w:themeColor="background1" w:themeShade="1A"/>
          <w:sz w:val="21"/>
          <w:szCs w:val="21"/>
          <w:lang w:val="es-ES_tradnl"/>
        </w:rPr>
      </w:pPr>
      <w:r w:rsidRPr="0071727F">
        <w:rPr>
          <w:rFonts w:ascii="Arial" w:hAnsi="Arial" w:cs="Arial"/>
          <w:color w:val="161616" w:themeColor="background1" w:themeShade="1A"/>
          <w:sz w:val="21"/>
          <w:szCs w:val="21"/>
          <w:lang w:val="es-ES_tradnl"/>
        </w:rPr>
        <w:t xml:space="preserve">[…] </w:t>
      </w:r>
      <w:r w:rsidR="00BB7E79" w:rsidRPr="0071727F">
        <w:rPr>
          <w:rFonts w:ascii="Arial" w:eastAsia="Arial" w:hAnsi="Arial" w:cs="Arial"/>
          <w:color w:val="161616" w:themeColor="background1" w:themeShade="1A"/>
          <w:sz w:val="21"/>
          <w:szCs w:val="21"/>
          <w:lang w:val="es-ES_tradnl"/>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00BB7E79" w:rsidRPr="0071727F">
        <w:rPr>
          <w:rFonts w:ascii="Arial" w:eastAsia="Arial" w:hAnsi="Arial" w:cs="Arial"/>
          <w:color w:val="161616" w:themeColor="background1" w:themeShade="1A"/>
          <w:sz w:val="21"/>
          <w:szCs w:val="21"/>
          <w:lang w:val="es-ES_tradnl"/>
        </w:rPr>
        <w:t>legis</w:t>
      </w:r>
      <w:proofErr w:type="spellEnd"/>
      <w:r w:rsidR="00BB7E79" w:rsidRPr="0071727F">
        <w:rPr>
          <w:rFonts w:ascii="Arial" w:eastAsia="Arial" w:hAnsi="Arial" w:cs="Arial"/>
          <w:color w:val="161616" w:themeColor="background1" w:themeShade="1A"/>
          <w:sz w:val="21"/>
          <w:szCs w:val="21"/>
          <w:lang w:val="es-ES_tradnl"/>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5C0EE4AC" w14:textId="77777777" w:rsidR="00FA28BF" w:rsidRPr="0071727F" w:rsidRDefault="00FA28BF" w:rsidP="0022167B">
      <w:pPr>
        <w:ind w:left="709" w:right="709"/>
        <w:jc w:val="both"/>
        <w:rPr>
          <w:rFonts w:ascii="Arial" w:hAnsi="Arial" w:cs="Arial"/>
          <w:color w:val="161616" w:themeColor="background1" w:themeShade="1A"/>
          <w:sz w:val="21"/>
          <w:szCs w:val="21"/>
          <w:lang w:val="es-ES_tradnl"/>
        </w:rPr>
      </w:pPr>
    </w:p>
    <w:p w14:paraId="22E411A6" w14:textId="00C52705" w:rsidR="00BB7E79" w:rsidRPr="0071727F" w:rsidRDefault="00BB7E79" w:rsidP="0022167B">
      <w:pPr>
        <w:ind w:left="709" w:right="709"/>
        <w:jc w:val="both"/>
        <w:rPr>
          <w:rFonts w:ascii="Arial" w:hAnsi="Arial" w:cs="Arial"/>
          <w:color w:val="161616" w:themeColor="background1" w:themeShade="1A"/>
          <w:sz w:val="21"/>
          <w:szCs w:val="21"/>
          <w:lang w:val="es-ES_tradnl"/>
        </w:rPr>
      </w:pPr>
      <w:r w:rsidRPr="0071727F">
        <w:rPr>
          <w:rFonts w:ascii="Arial" w:eastAsia="Arial" w:hAnsi="Arial" w:cs="Arial"/>
          <w:color w:val="161616" w:themeColor="background1" w:themeShade="1A"/>
          <w:sz w:val="21"/>
          <w:szCs w:val="21"/>
          <w:lang w:val="es-ES_tradnl"/>
        </w:rPr>
        <w:t>La jurisprudencia de la Corte Constitucional</w:t>
      </w:r>
      <w:r w:rsidRPr="0071727F">
        <w:rPr>
          <w:rStyle w:val="Refdenotaalpie"/>
          <w:rFonts w:eastAsia="Arial"/>
        </w:rPr>
        <w:footnoteReference w:id="5"/>
      </w:r>
      <w:r w:rsidRPr="0071727F">
        <w:rPr>
          <w:rFonts w:ascii="Arial" w:eastAsia="Arial" w:hAnsi="Arial" w:cs="Arial"/>
          <w:color w:val="161616" w:themeColor="background1" w:themeShade="1A"/>
          <w:sz w:val="21"/>
          <w:szCs w:val="21"/>
          <w:lang w:val="es-ES_tradnl"/>
        </w:rPr>
        <w:t> y del Consejo de Estado</w:t>
      </w:r>
      <w:r w:rsidRPr="0071727F">
        <w:rPr>
          <w:rStyle w:val="Refdenotaalpie"/>
          <w:rFonts w:eastAsia="Arial"/>
        </w:rPr>
        <w:footnoteReference w:id="6"/>
      </w:r>
      <w:r w:rsidRPr="0071727F">
        <w:rPr>
          <w:rFonts w:ascii="Arial" w:eastAsia="Arial" w:hAnsi="Arial" w:cs="Arial"/>
          <w:color w:val="161616" w:themeColor="background1" w:themeShade="1A"/>
          <w:sz w:val="21"/>
          <w:szCs w:val="21"/>
          <w:lang w:val="es-ES_tradnl"/>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71727F">
        <w:rPr>
          <w:rStyle w:val="Refdenotaalpie"/>
          <w:rFonts w:eastAsia="Arial"/>
        </w:rPr>
        <w:footnoteReference w:id="7"/>
      </w:r>
      <w:r w:rsidRPr="0071727F">
        <w:rPr>
          <w:rFonts w:ascii="Arial" w:eastAsia="Arial" w:hAnsi="Arial" w:cs="Arial"/>
          <w:color w:val="161616" w:themeColor="background1" w:themeShade="1A"/>
          <w:sz w:val="21"/>
          <w:szCs w:val="21"/>
          <w:lang w:val="es-ES_tradnl"/>
        </w:rPr>
        <w:t>.</w:t>
      </w:r>
    </w:p>
    <w:p w14:paraId="2285E0B4" w14:textId="77777777" w:rsidR="00BB7E79" w:rsidRPr="0071727F" w:rsidRDefault="00BB7E79" w:rsidP="0022167B">
      <w:pPr>
        <w:ind w:right="709"/>
        <w:jc w:val="both"/>
        <w:rPr>
          <w:rFonts w:ascii="Arial" w:eastAsia="Arial" w:hAnsi="Arial" w:cs="Arial"/>
          <w:color w:val="161616" w:themeColor="background1" w:themeShade="1A"/>
          <w:sz w:val="22"/>
          <w:szCs w:val="22"/>
          <w:lang w:val="es-ES_tradnl"/>
        </w:rPr>
      </w:pPr>
    </w:p>
    <w:p w14:paraId="4B6B981B" w14:textId="267698F9" w:rsidR="00670466" w:rsidRPr="0071727F" w:rsidRDefault="00BB7E79" w:rsidP="0071727F">
      <w:pPr>
        <w:spacing w:line="276" w:lineRule="auto"/>
        <w:ind w:firstLine="709"/>
        <w:jc w:val="both"/>
        <w:rPr>
          <w:rFonts w:ascii="Arial" w:eastAsia="Arial" w:hAnsi="Arial" w:cs="Arial"/>
          <w:color w:val="161616" w:themeColor="background1" w:themeShade="1A"/>
          <w:sz w:val="22"/>
          <w:szCs w:val="22"/>
          <w:lang w:val="es-ES_tradnl"/>
        </w:rPr>
      </w:pPr>
      <w:bookmarkStart w:id="6" w:name="_3rdcrjn" w:colFirst="0" w:colLast="0"/>
      <w:bookmarkEnd w:id="6"/>
      <w:r w:rsidRPr="0071727F">
        <w:rPr>
          <w:rFonts w:ascii="Arial" w:eastAsia="Arial" w:hAnsi="Arial" w:cs="Arial"/>
          <w:color w:val="161616" w:themeColor="background1" w:themeShade="1A"/>
          <w:sz w:val="22"/>
          <w:szCs w:val="22"/>
          <w:lang w:val="es-ES_tradnl"/>
        </w:rPr>
        <w:t xml:space="preserve">De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w:t>
      </w:r>
      <w:r w:rsidRPr="0071727F">
        <w:rPr>
          <w:rFonts w:ascii="Arial" w:eastAsia="Arial" w:hAnsi="Arial" w:cs="Arial"/>
          <w:color w:val="161616" w:themeColor="background1" w:themeShade="1A"/>
          <w:sz w:val="22"/>
          <w:szCs w:val="22"/>
          <w:lang w:val="es-ES_tradnl"/>
        </w:rPr>
        <w:lastRenderedPageBreak/>
        <w:t>en los periodos previos a la contienda electoral, se alteren las condiciones de igualdad entre los candidatos.</w:t>
      </w:r>
    </w:p>
    <w:p w14:paraId="050C94F3" w14:textId="1741E207" w:rsidR="004D63F7" w:rsidRPr="0071727F" w:rsidRDefault="00BB7E79" w:rsidP="0071727F">
      <w:pPr>
        <w:spacing w:before="120" w:line="276" w:lineRule="auto"/>
        <w:ind w:firstLine="709"/>
        <w:jc w:val="both"/>
        <w:rPr>
          <w:rFonts w:ascii="Arial" w:eastAsia="Arial" w:hAnsi="Arial" w:cs="Arial"/>
          <w:color w:val="161616" w:themeColor="background1" w:themeShade="1A"/>
          <w:sz w:val="22"/>
          <w:szCs w:val="22"/>
          <w:lang w:val="es-ES_tradnl"/>
        </w:rPr>
      </w:pPr>
      <w:r w:rsidRPr="0071727F">
        <w:rPr>
          <w:rFonts w:ascii="Arial" w:eastAsia="Arial" w:hAnsi="Arial" w:cs="Arial"/>
          <w:color w:val="161616" w:themeColor="background1" w:themeShade="1A"/>
          <w:sz w:val="22"/>
          <w:szCs w:val="22"/>
          <w:lang w:val="es-ES_tradnl"/>
        </w:rPr>
        <w:t>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74BB0087" w14:textId="5588E8D1" w:rsidR="004D63F7" w:rsidRPr="0071727F" w:rsidRDefault="00BB7E79" w:rsidP="0071727F">
      <w:pPr>
        <w:spacing w:before="120" w:line="276" w:lineRule="auto"/>
        <w:ind w:firstLine="709"/>
        <w:jc w:val="both"/>
        <w:rPr>
          <w:rFonts w:ascii="Arial" w:eastAsia="Arial" w:hAnsi="Arial" w:cs="Arial"/>
          <w:color w:val="161616" w:themeColor="background1" w:themeShade="1A"/>
          <w:sz w:val="22"/>
          <w:szCs w:val="22"/>
          <w:lang w:val="es-ES_tradnl"/>
        </w:rPr>
      </w:pPr>
      <w:r w:rsidRPr="0071727F">
        <w:rPr>
          <w:rFonts w:ascii="Arial" w:eastAsia="Arial" w:hAnsi="Arial" w:cs="Arial"/>
          <w:color w:val="161616" w:themeColor="background1" w:themeShade="1A"/>
          <w:sz w:val="22"/>
          <w:szCs w:val="22"/>
          <w:lang w:val="es-ES_tradnl"/>
        </w:rPr>
        <w:t xml:space="preserve">Por un lado, el artículo 33 de la Ley 996 de 2005 prohíbe «[…] la contratación directa por parte de todos los entes del Estado» durante los cuatro (4) meses anteriores a las elecciones presidenciales, salvo </w:t>
      </w:r>
      <w:r w:rsidRPr="0071727F">
        <w:rPr>
          <w:rFonts w:ascii="Arial" w:eastAsia="Arial" w:hAnsi="Arial" w:cs="Arial"/>
          <w:color w:val="161616" w:themeColor="background1" w:themeShade="1A"/>
          <w:sz w:val="21"/>
          <w:szCs w:val="21"/>
          <w:lang w:val="es-ES_tradnl"/>
        </w:rPr>
        <w:t>«[…]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71727F">
        <w:rPr>
          <w:rFonts w:ascii="Arial" w:eastAsia="Arial" w:hAnsi="Arial" w:cs="Arial"/>
          <w:color w:val="161616" w:themeColor="background1" w:themeShade="1A"/>
          <w:sz w:val="22"/>
          <w:szCs w:val="22"/>
          <w:lang w:val="es-ES_tradnl"/>
        </w:rPr>
        <w:t>»</w:t>
      </w:r>
      <w:r w:rsidRPr="0071727F">
        <w:rPr>
          <w:rStyle w:val="Refdenotaalpie"/>
          <w:rFonts w:eastAsia="Arial"/>
        </w:rPr>
        <w:footnoteReference w:id="8"/>
      </w:r>
      <w:r w:rsidRPr="0071727F">
        <w:rPr>
          <w:rFonts w:ascii="Arial" w:eastAsia="Arial" w:hAnsi="Arial" w:cs="Arial"/>
          <w:color w:val="161616" w:themeColor="background1" w:themeShade="1A"/>
          <w:sz w:val="22"/>
          <w:szCs w:val="22"/>
          <w:lang w:val="es-ES_tradnl"/>
        </w:rPr>
        <w:t>.</w:t>
      </w:r>
    </w:p>
    <w:p w14:paraId="433BB5E3" w14:textId="2E10D916" w:rsidR="00BB7E79" w:rsidRPr="0071727F" w:rsidRDefault="00BB7E79" w:rsidP="0071727F">
      <w:pPr>
        <w:spacing w:before="120" w:line="276" w:lineRule="auto"/>
        <w:ind w:firstLine="709"/>
        <w:jc w:val="both"/>
        <w:rPr>
          <w:rFonts w:ascii="Arial" w:eastAsia="Arial" w:hAnsi="Arial" w:cs="Arial"/>
          <w:color w:val="161616" w:themeColor="background1" w:themeShade="1A"/>
          <w:sz w:val="22"/>
          <w:szCs w:val="22"/>
          <w:lang w:val="es-ES_tradnl"/>
        </w:rPr>
      </w:pPr>
      <w:r w:rsidRPr="0071727F">
        <w:rPr>
          <w:rFonts w:ascii="Arial" w:eastAsia="Arial" w:hAnsi="Arial" w:cs="Arial"/>
          <w:color w:val="161616" w:themeColor="background1" w:themeShade="1A"/>
          <w:sz w:val="22"/>
          <w:szCs w:val="22"/>
          <w:lang w:val="es-ES_tradn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71727F">
        <w:rPr>
          <w:rFonts w:ascii="Arial" w:eastAsia="Arial" w:hAnsi="Arial" w:cs="Arial"/>
          <w:color w:val="161616" w:themeColor="background1" w:themeShade="1A"/>
          <w:sz w:val="21"/>
          <w:szCs w:val="21"/>
          <w:lang w:val="es-ES_tradnl"/>
        </w:rPr>
        <w:t>«[…]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71727F">
        <w:rPr>
          <w:rStyle w:val="Refdenotaalpie"/>
          <w:rFonts w:eastAsia="Arial"/>
        </w:rPr>
        <w:footnoteReference w:id="9"/>
      </w:r>
      <w:r w:rsidRPr="0071727F">
        <w:rPr>
          <w:rFonts w:ascii="Arial" w:eastAsia="Arial" w:hAnsi="Arial" w:cs="Arial"/>
          <w:color w:val="161616" w:themeColor="background1" w:themeShade="1A"/>
          <w:sz w:val="22"/>
          <w:szCs w:val="22"/>
          <w:lang w:val="es-ES_tradnl"/>
        </w:rPr>
        <w:t>.</w:t>
      </w:r>
      <w:r w:rsidR="00017C1D">
        <w:rPr>
          <w:rFonts w:ascii="Arial" w:eastAsia="Arial" w:hAnsi="Arial" w:cs="Arial"/>
          <w:color w:val="161616" w:themeColor="background1" w:themeShade="1A"/>
          <w:sz w:val="22"/>
          <w:szCs w:val="22"/>
          <w:lang w:val="es-ES_tradnl"/>
        </w:rPr>
        <w:t xml:space="preserve"> Esta</w:t>
      </w:r>
      <w:r w:rsidR="00066517">
        <w:rPr>
          <w:rFonts w:ascii="Arial" w:eastAsia="Arial" w:hAnsi="Arial" w:cs="Arial"/>
          <w:color w:val="161616" w:themeColor="background1" w:themeShade="1A"/>
          <w:sz w:val="22"/>
          <w:szCs w:val="22"/>
          <w:lang w:val="es-ES_tradnl"/>
        </w:rPr>
        <w:t xml:space="preserve"> prohibición debe analizarse en armonía con el artículo 124 de la Ley </w:t>
      </w:r>
      <w:r w:rsidR="009D5C7D">
        <w:rPr>
          <w:rFonts w:ascii="Arial" w:eastAsia="Arial" w:hAnsi="Arial" w:cs="Arial"/>
          <w:color w:val="161616" w:themeColor="background1" w:themeShade="1A"/>
          <w:sz w:val="22"/>
          <w:szCs w:val="22"/>
          <w:lang w:val="es-ES_tradnl"/>
        </w:rPr>
        <w:t>2159 de 2021</w:t>
      </w:r>
      <w:r w:rsidR="00F61C41">
        <w:rPr>
          <w:rStyle w:val="Refdenotaalpie"/>
          <w:rFonts w:ascii="Arial" w:eastAsia="Arial" w:hAnsi="Arial" w:cs="Arial"/>
          <w:color w:val="161616" w:themeColor="background1" w:themeShade="1A"/>
          <w:sz w:val="22"/>
          <w:szCs w:val="22"/>
          <w:lang w:val="es-ES_tradnl"/>
        </w:rPr>
        <w:footnoteReference w:id="10"/>
      </w:r>
      <w:r w:rsidR="009D5C7D">
        <w:rPr>
          <w:rFonts w:ascii="Arial" w:eastAsia="Arial" w:hAnsi="Arial" w:cs="Arial"/>
          <w:color w:val="161616" w:themeColor="background1" w:themeShade="1A"/>
          <w:sz w:val="22"/>
          <w:szCs w:val="22"/>
          <w:lang w:val="es-ES_tradnl"/>
        </w:rPr>
        <w:t>.</w:t>
      </w:r>
      <w:r w:rsidRPr="0071727F">
        <w:rPr>
          <w:rFonts w:ascii="Arial" w:eastAsia="Arial" w:hAnsi="Arial" w:cs="Arial"/>
          <w:color w:val="161616" w:themeColor="background1" w:themeShade="1A"/>
          <w:sz w:val="22"/>
          <w:szCs w:val="22"/>
          <w:lang w:val="es-ES_tradnl"/>
        </w:rPr>
        <w:t xml:space="preserve"> La Sala de Consulta y Servicio Civil del Consejo de Estado ha aclarado la distinción en la aplicación de las prohibiciones de la Ley 996 de 2005, dependiendo del tipo de elección que se trate. Al respecto, considera que:</w:t>
      </w:r>
    </w:p>
    <w:p w14:paraId="64BD8D52" w14:textId="77777777" w:rsidR="00BB7E79" w:rsidRPr="0071727F" w:rsidRDefault="00BB7E79" w:rsidP="0022167B">
      <w:pPr>
        <w:widowControl w:val="0"/>
        <w:ind w:left="805" w:right="812"/>
        <w:jc w:val="both"/>
        <w:rPr>
          <w:rFonts w:ascii="Arial" w:eastAsia="Arial" w:hAnsi="Arial" w:cs="Arial"/>
          <w:color w:val="161616" w:themeColor="background1" w:themeShade="1A"/>
          <w:sz w:val="22"/>
          <w:szCs w:val="22"/>
          <w:lang w:val="es-ES_tradnl"/>
        </w:rPr>
      </w:pPr>
    </w:p>
    <w:p w14:paraId="56E3640B" w14:textId="29B6E95A" w:rsidR="00BB7E79" w:rsidRPr="0071727F" w:rsidRDefault="00C50170" w:rsidP="0022167B">
      <w:pPr>
        <w:widowControl w:val="0"/>
        <w:ind w:left="709" w:right="709"/>
        <w:jc w:val="both"/>
        <w:rPr>
          <w:rFonts w:ascii="Arial" w:hAnsi="Arial" w:cs="Arial"/>
          <w:color w:val="161616" w:themeColor="background1" w:themeShade="1A"/>
          <w:sz w:val="22"/>
          <w:szCs w:val="22"/>
          <w:lang w:val="es-ES_tradnl"/>
        </w:rPr>
      </w:pPr>
      <w:bookmarkStart w:id="9" w:name="_26in1rg" w:colFirst="0" w:colLast="0"/>
      <w:bookmarkEnd w:id="9"/>
      <w:r w:rsidRPr="0071727F">
        <w:rPr>
          <w:rFonts w:ascii="Arial" w:eastAsia="Arial" w:hAnsi="Arial" w:cs="Arial"/>
          <w:color w:val="161616" w:themeColor="background1" w:themeShade="1A"/>
          <w:sz w:val="21"/>
          <w:szCs w:val="21"/>
          <w:lang w:val="es-ES_tradnl"/>
        </w:rPr>
        <w:t xml:space="preserve">[…] </w:t>
      </w:r>
      <w:r w:rsidR="00BB7E79" w:rsidRPr="0071727F">
        <w:rPr>
          <w:rFonts w:ascii="Arial" w:eastAsia="Arial" w:hAnsi="Arial" w:cs="Arial"/>
          <w:color w:val="161616" w:themeColor="background1" w:themeShade="1A"/>
          <w:sz w:val="21"/>
          <w:szCs w:val="21"/>
          <w:lang w:val="es-ES_tradnl"/>
        </w:rPr>
        <w:t xml:space="preserve">La interpretación sistemática de las disposiciones consagradas en los </w:t>
      </w:r>
      <w:r w:rsidR="00BB7E79" w:rsidRPr="0071727F">
        <w:rPr>
          <w:rFonts w:ascii="Arial" w:eastAsia="Arial" w:hAnsi="Arial" w:cs="Arial"/>
          <w:color w:val="161616" w:themeColor="background1" w:themeShade="1A"/>
          <w:sz w:val="21"/>
          <w:szCs w:val="21"/>
          <w:lang w:val="es-ES_tradnl"/>
        </w:rPr>
        <w:lastRenderedPageBreak/>
        <w:t xml:space="preserve">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En cambio, para elecciones en general, excluyendo las correspondientes a </w:t>
      </w:r>
      <w:proofErr w:type="gramStart"/>
      <w:r w:rsidR="00BB7E79" w:rsidRPr="0071727F">
        <w:rPr>
          <w:rFonts w:ascii="Arial" w:eastAsia="Arial" w:hAnsi="Arial" w:cs="Arial"/>
          <w:color w:val="161616" w:themeColor="background1" w:themeShade="1A"/>
          <w:sz w:val="21"/>
          <w:szCs w:val="21"/>
          <w:lang w:val="es-ES_tradnl"/>
        </w:rPr>
        <w:t>Presidente</w:t>
      </w:r>
      <w:proofErr w:type="gramEnd"/>
      <w:r w:rsidR="00BB7E79" w:rsidRPr="0071727F">
        <w:rPr>
          <w:rFonts w:ascii="Arial" w:eastAsia="Arial" w:hAnsi="Arial" w:cs="Arial"/>
          <w:color w:val="161616" w:themeColor="background1" w:themeShade="1A"/>
          <w:sz w:val="21"/>
          <w:szCs w:val="21"/>
          <w:lang w:val="es-ES_tradnl"/>
        </w:rPr>
        <w:t xml:space="preserve"> de la República, a las autoridades territoriales allí mencionadas sólo se aplican las restricciones contenidas en el parágrafo del artículo 38</w:t>
      </w:r>
      <w:r w:rsidR="00BB7E79" w:rsidRPr="0071727F">
        <w:rPr>
          <w:rStyle w:val="Refdenotaalpie"/>
          <w:rFonts w:eastAsia="Arial"/>
        </w:rPr>
        <w:footnoteReference w:id="11"/>
      </w:r>
    </w:p>
    <w:p w14:paraId="6C81F15B" w14:textId="77777777" w:rsidR="00BB7E79" w:rsidRPr="0071727F" w:rsidRDefault="00BB7E79" w:rsidP="0022167B">
      <w:pPr>
        <w:widowControl w:val="0"/>
        <w:jc w:val="both"/>
        <w:rPr>
          <w:rFonts w:ascii="Arial" w:eastAsia="Arial" w:hAnsi="Arial" w:cs="Arial"/>
          <w:color w:val="161616" w:themeColor="background1" w:themeShade="1A"/>
          <w:sz w:val="22"/>
          <w:szCs w:val="22"/>
          <w:lang w:val="es-ES_tradnl"/>
        </w:rPr>
      </w:pPr>
    </w:p>
    <w:p w14:paraId="49DD60A1" w14:textId="25AAD5D0" w:rsidR="004D63F7" w:rsidRPr="0071727F" w:rsidRDefault="00BB7E79" w:rsidP="0071727F">
      <w:pPr>
        <w:spacing w:line="276" w:lineRule="auto"/>
        <w:ind w:firstLine="709"/>
        <w:jc w:val="both"/>
        <w:rPr>
          <w:rFonts w:ascii="Arial" w:eastAsia="Arial" w:hAnsi="Arial" w:cs="Arial"/>
          <w:color w:val="161616" w:themeColor="background1" w:themeShade="1A"/>
          <w:sz w:val="22"/>
          <w:szCs w:val="22"/>
          <w:lang w:val="es-ES_tradnl"/>
        </w:rPr>
      </w:pPr>
      <w:bookmarkStart w:id="10" w:name="_lnxbz9" w:colFirst="0" w:colLast="0"/>
      <w:bookmarkEnd w:id="10"/>
      <w:r w:rsidRPr="0071727F">
        <w:rPr>
          <w:rFonts w:ascii="Arial" w:eastAsia="Arial" w:hAnsi="Arial" w:cs="Arial"/>
          <w:color w:val="161616" w:themeColor="background1" w:themeShade="1A"/>
          <w:sz w:val="22"/>
          <w:szCs w:val="22"/>
          <w:lang w:val="es-ES_tradnl"/>
        </w:rPr>
        <w:t xml:space="preserve">De conformidad con lo anterior, la Ley 996 de 2005 establece dos (2) tipos de restricciones en materia de contratación, las cuales coinciden parcialmente. </w:t>
      </w:r>
      <w:r w:rsidRPr="0071727F">
        <w:rPr>
          <w:rFonts w:ascii="Arial" w:eastAsia="Arial" w:hAnsi="Arial" w:cs="Arial"/>
          <w:i/>
          <w:color w:val="161616" w:themeColor="background1" w:themeShade="1A"/>
          <w:sz w:val="22"/>
          <w:szCs w:val="22"/>
          <w:lang w:val="es-ES_tradnl"/>
        </w:rPr>
        <w:t>En primer lugar</w:t>
      </w:r>
      <w:r w:rsidRPr="0071727F">
        <w:rPr>
          <w:rFonts w:ascii="Arial" w:eastAsia="Arial" w:hAnsi="Arial" w:cs="Arial"/>
          <w:color w:val="161616" w:themeColor="background1" w:themeShade="1A"/>
          <w:sz w:val="22"/>
          <w:szCs w:val="22"/>
          <w:lang w:val="es-ES_tradnl"/>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solo participarán los dos candidatos que hubieren obtenido las votaciones más altas, de conformidad con el artículo 190 de la Constitución Política. Para estos efectos, la restricción se extenderá hasta la fecha en la que se realice la segunda vuelta. </w:t>
      </w:r>
      <w:r w:rsidRPr="0071727F">
        <w:rPr>
          <w:rFonts w:ascii="Arial" w:eastAsia="Arial" w:hAnsi="Arial" w:cs="Arial"/>
          <w:i/>
          <w:color w:val="161616" w:themeColor="background1" w:themeShade="1A"/>
          <w:sz w:val="22"/>
          <w:szCs w:val="22"/>
          <w:lang w:val="es-ES_tradnl"/>
        </w:rPr>
        <w:t>En segundo lugar</w:t>
      </w:r>
      <w:r w:rsidRPr="0071727F">
        <w:rPr>
          <w:rFonts w:ascii="Arial" w:eastAsia="Arial" w:hAnsi="Arial" w:cs="Arial"/>
          <w:color w:val="161616" w:themeColor="background1" w:themeShade="1A"/>
          <w:sz w:val="22"/>
          <w:szCs w:val="22"/>
          <w:lang w:val="es-ES_tradnl"/>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3064B327" w14:textId="03975897" w:rsidR="004D63F7" w:rsidRPr="0071727F" w:rsidRDefault="00BB7E79" w:rsidP="0071727F">
      <w:pPr>
        <w:spacing w:before="120" w:line="276" w:lineRule="auto"/>
        <w:jc w:val="both"/>
        <w:rPr>
          <w:rFonts w:ascii="Arial" w:eastAsia="Arial" w:hAnsi="Arial" w:cs="Arial"/>
          <w:color w:val="161616" w:themeColor="background1" w:themeShade="1A"/>
          <w:sz w:val="22"/>
          <w:szCs w:val="22"/>
          <w:lang w:val="es-ES_tradnl"/>
        </w:rPr>
      </w:pPr>
      <w:r w:rsidRPr="0071727F">
        <w:rPr>
          <w:rFonts w:ascii="Arial" w:eastAsia="Arial" w:hAnsi="Arial" w:cs="Arial"/>
          <w:color w:val="161616" w:themeColor="background1" w:themeShade="1A"/>
          <w:sz w:val="22"/>
          <w:szCs w:val="22"/>
          <w:lang w:val="es-ES_tradnl"/>
        </w:rPr>
        <w:t xml:space="preserve">Ambas restricciones no son excluyentes, lo que permite concluir que en el período preelectoral para </w:t>
      </w:r>
      <w:r w:rsidR="004F5B24">
        <w:rPr>
          <w:rFonts w:ascii="Arial" w:eastAsia="Arial" w:hAnsi="Arial" w:cs="Arial"/>
          <w:color w:val="161616" w:themeColor="background1" w:themeShade="1A"/>
          <w:sz w:val="22"/>
          <w:szCs w:val="22"/>
          <w:lang w:val="es-ES_tradnl"/>
        </w:rPr>
        <w:t>la</w:t>
      </w:r>
      <w:r w:rsidR="008D56BF">
        <w:rPr>
          <w:rFonts w:ascii="Arial" w:eastAsia="Arial" w:hAnsi="Arial" w:cs="Arial"/>
          <w:color w:val="161616" w:themeColor="background1" w:themeShade="1A"/>
          <w:sz w:val="22"/>
          <w:szCs w:val="22"/>
          <w:lang w:val="es-ES_tradnl"/>
        </w:rPr>
        <w:t xml:space="preserve"> </w:t>
      </w:r>
      <w:r w:rsidRPr="0071727F">
        <w:rPr>
          <w:rFonts w:ascii="Arial" w:eastAsia="Arial" w:hAnsi="Arial" w:cs="Arial"/>
          <w:color w:val="161616" w:themeColor="background1" w:themeShade="1A"/>
          <w:sz w:val="22"/>
          <w:szCs w:val="22"/>
          <w:lang w:val="es-ES_tradnl"/>
        </w:rPr>
        <w:t>elección de</w:t>
      </w:r>
      <w:r w:rsidR="008D56BF">
        <w:rPr>
          <w:rFonts w:ascii="Arial" w:eastAsia="Arial" w:hAnsi="Arial" w:cs="Arial"/>
          <w:color w:val="161616" w:themeColor="background1" w:themeShade="1A"/>
          <w:sz w:val="22"/>
          <w:szCs w:val="22"/>
          <w:lang w:val="es-ES_tradnl"/>
        </w:rPr>
        <w:t>l</w:t>
      </w:r>
      <w:r w:rsidRPr="0071727F">
        <w:rPr>
          <w:rFonts w:ascii="Arial" w:eastAsia="Arial" w:hAnsi="Arial" w:cs="Arial"/>
          <w:color w:val="161616" w:themeColor="background1" w:themeShade="1A"/>
          <w:sz w:val="22"/>
          <w:szCs w:val="22"/>
          <w:lang w:val="es-ES_tradnl"/>
        </w:rPr>
        <w:t xml:space="preserve"> </w:t>
      </w:r>
      <w:proofErr w:type="gramStart"/>
      <w:r w:rsidRPr="0071727F">
        <w:rPr>
          <w:rFonts w:ascii="Arial" w:eastAsia="Arial" w:hAnsi="Arial" w:cs="Arial"/>
          <w:color w:val="161616" w:themeColor="background1" w:themeShade="1A"/>
          <w:sz w:val="22"/>
          <w:szCs w:val="22"/>
          <w:lang w:val="es-ES_tradnl"/>
        </w:rPr>
        <w:t>Presidente</w:t>
      </w:r>
      <w:proofErr w:type="gramEnd"/>
      <w:r w:rsidRPr="0071727F">
        <w:rPr>
          <w:rFonts w:ascii="Arial" w:eastAsia="Arial" w:hAnsi="Arial" w:cs="Arial"/>
          <w:color w:val="161616" w:themeColor="background1" w:themeShade="1A"/>
          <w:sz w:val="22"/>
          <w:szCs w:val="22"/>
          <w:lang w:val="es-ES_tradnl"/>
        </w:rPr>
        <w:t xml:space="preserve"> de la República, a todos los entes del Estado, incluidos los territoriales, </w:t>
      </w:r>
      <w:r w:rsidR="008D56BF">
        <w:rPr>
          <w:rFonts w:ascii="Arial" w:eastAsia="Arial" w:hAnsi="Arial" w:cs="Arial"/>
          <w:color w:val="161616" w:themeColor="background1" w:themeShade="1A"/>
          <w:sz w:val="22"/>
          <w:szCs w:val="22"/>
          <w:lang w:val="es-ES_tradnl"/>
        </w:rPr>
        <w:t xml:space="preserve">les </w:t>
      </w:r>
      <w:r w:rsidRPr="0071727F">
        <w:rPr>
          <w:rFonts w:ascii="Arial" w:eastAsia="Arial" w:hAnsi="Arial" w:cs="Arial"/>
          <w:color w:val="161616" w:themeColor="background1" w:themeShade="1A"/>
          <w:sz w:val="22"/>
          <w:szCs w:val="22"/>
          <w:lang w:val="es-ES_tradnl"/>
        </w:rPr>
        <w:t xml:space="preserve">aplican las restricciones del artículo 33 con sus excepciones, así como las del parágrafo del artículo 38. En cambio, tratándose de elecciones en general, excluyendo las correspondientes al </w:t>
      </w:r>
      <w:proofErr w:type="gramStart"/>
      <w:r w:rsidRPr="0071727F">
        <w:rPr>
          <w:rFonts w:ascii="Arial" w:eastAsia="Arial" w:hAnsi="Arial" w:cs="Arial"/>
          <w:color w:val="161616" w:themeColor="background1" w:themeShade="1A"/>
          <w:sz w:val="22"/>
          <w:szCs w:val="22"/>
          <w:lang w:val="es-ES_tradnl"/>
        </w:rPr>
        <w:t>Presidente</w:t>
      </w:r>
      <w:proofErr w:type="gramEnd"/>
      <w:r w:rsidRPr="0071727F">
        <w:rPr>
          <w:rFonts w:ascii="Arial" w:eastAsia="Arial" w:hAnsi="Arial" w:cs="Arial"/>
          <w:color w:val="161616" w:themeColor="background1" w:themeShade="1A"/>
          <w:sz w:val="22"/>
          <w:szCs w:val="22"/>
          <w:lang w:val="es-ES_tradnl"/>
        </w:rPr>
        <w:t xml:space="preserve"> de la República, las autoridades allí mencionadas solo deben aplicar las restricciones contenidas en el parágrafo del artículo 38.</w:t>
      </w:r>
    </w:p>
    <w:p w14:paraId="1CA58098" w14:textId="602E4B5B" w:rsidR="004D63F7" w:rsidRPr="0071727F" w:rsidRDefault="00C0362B" w:rsidP="0071727F">
      <w:pPr>
        <w:spacing w:before="120" w:line="276" w:lineRule="auto"/>
        <w:ind w:firstLine="709"/>
        <w:jc w:val="both"/>
        <w:rPr>
          <w:rFonts w:ascii="Arial" w:hAnsi="Arial" w:cs="Arial"/>
          <w:bCs/>
          <w:color w:val="161616" w:themeColor="background1" w:themeShade="1A"/>
          <w:sz w:val="22"/>
          <w:szCs w:val="22"/>
          <w:lang w:val="es-ES_tradnl" w:eastAsia="es-CO"/>
        </w:rPr>
      </w:pPr>
      <w:r w:rsidRPr="0071727F">
        <w:rPr>
          <w:rFonts w:ascii="Arial" w:hAnsi="Arial" w:cs="Arial"/>
          <w:bCs/>
          <w:color w:val="161616" w:themeColor="background1" w:themeShade="1A"/>
          <w:sz w:val="22"/>
          <w:szCs w:val="22"/>
          <w:lang w:val="es-ES_tradnl" w:eastAsia="x-none"/>
        </w:rPr>
        <w:t>Ahora bien, e</w:t>
      </w:r>
      <w:r w:rsidR="00D978B4" w:rsidRPr="0071727F">
        <w:rPr>
          <w:rFonts w:ascii="Arial" w:hAnsi="Arial" w:cs="Arial"/>
          <w:bCs/>
          <w:color w:val="161616" w:themeColor="background1" w:themeShade="1A"/>
          <w:sz w:val="22"/>
          <w:szCs w:val="22"/>
          <w:lang w:val="es-ES_tradnl" w:eastAsia="x-none"/>
        </w:rPr>
        <w:t xml:space="preserve">l artículo 33 de la Ley 996 de 2005 señala expresamente a los destinatarios de la prohibición, en el sentido de que son «todos los entes del Estado», </w:t>
      </w:r>
      <w:r w:rsidR="00D978B4" w:rsidRPr="0071727F">
        <w:rPr>
          <w:rFonts w:ascii="Arial" w:hAnsi="Arial" w:cs="Arial"/>
          <w:bCs/>
          <w:color w:val="161616" w:themeColor="background1" w:themeShade="1A"/>
          <w:sz w:val="22"/>
          <w:szCs w:val="22"/>
          <w:lang w:val="es-ES_tradnl" w:eastAsia="x-none"/>
        </w:rPr>
        <w:lastRenderedPageBreak/>
        <w:t>expresión que contempla a los diferentes organismos o entidades autorizadas por la ley para suscribir contratos.</w:t>
      </w:r>
      <w:r w:rsidR="00D978B4" w:rsidRPr="0071727F">
        <w:rPr>
          <w:rFonts w:ascii="Arial" w:hAnsi="Arial" w:cs="Arial"/>
          <w:color w:val="161616" w:themeColor="background1" w:themeShade="1A"/>
          <w:sz w:val="22"/>
          <w:szCs w:val="22"/>
          <w:lang w:val="es-ES_tradnl"/>
        </w:rPr>
        <w:t xml:space="preserve"> </w:t>
      </w:r>
      <w:r w:rsidR="00D978B4" w:rsidRPr="0071727F">
        <w:rPr>
          <w:rFonts w:ascii="Arial" w:hAnsi="Arial" w:cs="Arial"/>
          <w:bCs/>
          <w:color w:val="161616" w:themeColor="background1" w:themeShade="1A"/>
          <w:sz w:val="22"/>
          <w:szCs w:val="22"/>
          <w:lang w:val="es-ES_tradnl" w:eastAsia="x-none"/>
        </w:rPr>
        <w:t xml:space="preserve">En efecto, tal como lo ha sostenido el Consejo de Estado, el vocablo </w:t>
      </w:r>
      <w:bookmarkStart w:id="11" w:name="_Hlk75632581"/>
      <w:r w:rsidR="00D978B4" w:rsidRPr="0071727F">
        <w:rPr>
          <w:rFonts w:ascii="Arial" w:hAnsi="Arial" w:cs="Arial"/>
          <w:bCs/>
          <w:color w:val="161616" w:themeColor="background1" w:themeShade="1A"/>
          <w:sz w:val="22"/>
          <w:szCs w:val="22"/>
          <w:lang w:val="es-ES_tradnl" w:eastAsia="x-none"/>
        </w:rPr>
        <w:t>«</w:t>
      </w:r>
      <w:bookmarkEnd w:id="11"/>
      <w:r w:rsidR="00D978B4" w:rsidRPr="0071727F">
        <w:rPr>
          <w:rFonts w:ascii="Arial" w:hAnsi="Arial" w:cs="Arial"/>
          <w:bCs/>
          <w:color w:val="161616" w:themeColor="background1" w:themeShade="1A"/>
          <w:sz w:val="22"/>
          <w:szCs w:val="22"/>
          <w:lang w:val="es-ES_tradnl" w:eastAsia="x-none"/>
        </w:rPr>
        <w:t>todos» utilizado por el legislador comprende</w:t>
      </w:r>
      <w:r w:rsidR="00D978B4" w:rsidRPr="0071727F">
        <w:rPr>
          <w:rFonts w:ascii="Arial" w:hAnsi="Arial" w:cs="Arial"/>
          <w:color w:val="161616" w:themeColor="background1" w:themeShade="1A"/>
          <w:sz w:val="22"/>
          <w:szCs w:val="22"/>
          <w:lang w:val="es-ES_tradnl"/>
        </w:rPr>
        <w:t xml:space="preserve"> </w:t>
      </w:r>
      <w:r w:rsidR="00D978B4" w:rsidRPr="0071727F">
        <w:rPr>
          <w:rFonts w:ascii="Arial" w:hAnsi="Arial" w:cs="Arial"/>
          <w:bCs/>
          <w:color w:val="161616" w:themeColor="background1" w:themeShade="1A"/>
          <w:sz w:val="22"/>
          <w:szCs w:val="22"/>
          <w:lang w:val="es-ES_tradnl"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bookmarkStart w:id="12" w:name="_Hlk75787147"/>
    </w:p>
    <w:bookmarkEnd w:id="12"/>
    <w:p w14:paraId="0D9AFA05" w14:textId="1DCBE34C" w:rsidR="001D0C03" w:rsidRPr="0071727F" w:rsidRDefault="001D0C03" w:rsidP="0071727F">
      <w:pPr>
        <w:spacing w:before="120" w:line="276" w:lineRule="auto"/>
        <w:ind w:firstLine="709"/>
        <w:jc w:val="both"/>
        <w:rPr>
          <w:rFonts w:ascii="Arial" w:hAnsi="Arial" w:cs="Arial"/>
          <w:color w:val="161616" w:themeColor="background1" w:themeShade="1A"/>
          <w:sz w:val="22"/>
          <w:szCs w:val="22"/>
          <w:lang w:val="es-ES_tradnl"/>
        </w:rPr>
      </w:pPr>
      <w:r w:rsidRPr="0071727F">
        <w:rPr>
          <w:rFonts w:ascii="Arial" w:eastAsia="Calibri" w:hAnsi="Arial" w:cs="Arial"/>
          <w:noProof/>
          <w:color w:val="161616" w:themeColor="background1" w:themeShade="1A"/>
          <w:sz w:val="22"/>
          <w:szCs w:val="22"/>
          <w:lang w:val="es-ES_tradnl"/>
        </w:rPr>
        <w:t>Bajo este contexto, la prohibición del artículo 33 de la Ley de Garantías Electorales cobija a todas las entidades estatales, incluidas las entidades territoriales como alcaldías y se refiere a «cualquier sistema que no implique convocatoria pública y posibilidad de pluralidad de oferentes»</w:t>
      </w:r>
      <w:r w:rsidR="008C34B5">
        <w:rPr>
          <w:rFonts w:ascii="Arial" w:eastAsia="Calibri" w:hAnsi="Arial" w:cs="Arial"/>
          <w:noProof/>
          <w:color w:val="161616" w:themeColor="background1" w:themeShade="1A"/>
          <w:sz w:val="22"/>
          <w:szCs w:val="22"/>
          <w:lang w:val="es-ES_tradnl"/>
        </w:rPr>
        <w:t>.</w:t>
      </w:r>
      <w:r w:rsidRPr="0071727F">
        <w:rPr>
          <w:rFonts w:ascii="Arial" w:eastAsia="Calibri" w:hAnsi="Arial" w:cs="Arial"/>
          <w:noProof/>
          <w:color w:val="161616" w:themeColor="background1" w:themeShade="1A"/>
          <w:sz w:val="22"/>
          <w:szCs w:val="22"/>
          <w:lang w:val="es-ES_tradnl"/>
        </w:rPr>
        <w:t xml:space="preserve"> </w:t>
      </w:r>
      <w:r w:rsidR="008C34B5">
        <w:rPr>
          <w:rFonts w:ascii="Arial" w:eastAsia="Calibri" w:hAnsi="Arial" w:cs="Arial"/>
          <w:noProof/>
          <w:color w:val="161616" w:themeColor="background1" w:themeShade="1A"/>
          <w:sz w:val="22"/>
          <w:szCs w:val="22"/>
          <w:lang w:val="es-ES_tradnl"/>
        </w:rPr>
        <w:t>Por tanto, si un contrato de comodato pretende celebrarse de manera</w:t>
      </w:r>
      <w:r w:rsidRPr="0071727F">
        <w:rPr>
          <w:rFonts w:ascii="Arial" w:eastAsia="Calibri" w:hAnsi="Arial" w:cs="Arial"/>
          <w:noProof/>
          <w:color w:val="161616" w:themeColor="background1" w:themeShade="1A"/>
          <w:sz w:val="22"/>
          <w:szCs w:val="22"/>
          <w:lang w:val="es-ES_tradnl"/>
        </w:rPr>
        <w:t xml:space="preserve"> direct</w:t>
      </w:r>
      <w:r w:rsidR="008C34B5">
        <w:rPr>
          <w:rFonts w:ascii="Arial" w:eastAsia="Calibri" w:hAnsi="Arial" w:cs="Arial"/>
          <w:noProof/>
          <w:color w:val="161616" w:themeColor="background1" w:themeShade="1A"/>
          <w:sz w:val="22"/>
          <w:szCs w:val="22"/>
          <w:lang w:val="es-ES_tradnl"/>
        </w:rPr>
        <w:t>a</w:t>
      </w:r>
      <w:r w:rsidRPr="0071727F">
        <w:rPr>
          <w:rFonts w:ascii="Arial" w:eastAsia="Calibri" w:hAnsi="Arial" w:cs="Arial"/>
          <w:noProof/>
          <w:color w:val="161616" w:themeColor="background1" w:themeShade="1A"/>
          <w:sz w:val="22"/>
          <w:szCs w:val="22"/>
          <w:lang w:val="es-ES_tradnl"/>
        </w:rPr>
        <w:t xml:space="preserve"> le aplica</w:t>
      </w:r>
      <w:r w:rsidR="003757C2">
        <w:rPr>
          <w:rFonts w:ascii="Arial" w:eastAsia="Calibri" w:hAnsi="Arial" w:cs="Arial"/>
          <w:noProof/>
          <w:color w:val="161616" w:themeColor="background1" w:themeShade="1A"/>
          <w:sz w:val="22"/>
          <w:szCs w:val="22"/>
          <w:lang w:val="es-ES_tradnl"/>
        </w:rPr>
        <w:t>, en principio,</w:t>
      </w:r>
      <w:r w:rsidRPr="0071727F">
        <w:rPr>
          <w:rFonts w:ascii="Arial" w:eastAsia="Calibri" w:hAnsi="Arial" w:cs="Arial"/>
          <w:noProof/>
          <w:color w:val="161616" w:themeColor="background1" w:themeShade="1A"/>
          <w:sz w:val="22"/>
          <w:szCs w:val="22"/>
          <w:lang w:val="es-ES_tradnl"/>
        </w:rPr>
        <w:t xml:space="preserve"> la prohibición establecida en el artículo 33 de la Ley 996 de 2005</w:t>
      </w:r>
      <w:r w:rsidR="003757C2">
        <w:rPr>
          <w:rFonts w:ascii="Arial" w:eastAsia="Calibri" w:hAnsi="Arial" w:cs="Arial"/>
          <w:noProof/>
          <w:color w:val="161616" w:themeColor="background1" w:themeShade="1A"/>
          <w:sz w:val="22"/>
          <w:szCs w:val="22"/>
          <w:lang w:val="es-ES_tradnl"/>
        </w:rPr>
        <w:t>, como se explica a continuación.</w:t>
      </w:r>
    </w:p>
    <w:p w14:paraId="22436F23" w14:textId="5578F4A9" w:rsidR="00532B96" w:rsidRPr="0071727F" w:rsidRDefault="00532B96" w:rsidP="0022167B">
      <w:pPr>
        <w:jc w:val="both"/>
        <w:rPr>
          <w:rFonts w:ascii="Arial" w:hAnsi="Arial" w:cs="Arial"/>
          <w:bCs/>
          <w:color w:val="161616" w:themeColor="background1" w:themeShade="1A"/>
          <w:sz w:val="22"/>
          <w:szCs w:val="22"/>
          <w:lang w:val="es-ES_tradnl" w:eastAsia="es-CO"/>
        </w:rPr>
      </w:pPr>
    </w:p>
    <w:p w14:paraId="714C71C4" w14:textId="07774D4C" w:rsidR="00B5758A" w:rsidRPr="0071727F" w:rsidRDefault="00532B96" w:rsidP="00B5758A">
      <w:pPr>
        <w:tabs>
          <w:tab w:val="left" w:pos="426"/>
        </w:tabs>
        <w:jc w:val="both"/>
        <w:rPr>
          <w:rFonts w:ascii="Arial" w:eastAsia="Calibri" w:hAnsi="Arial" w:cs="Arial"/>
          <w:b/>
          <w:bCs/>
          <w:color w:val="161616" w:themeColor="background1" w:themeShade="1A"/>
          <w:sz w:val="22"/>
          <w:szCs w:val="22"/>
          <w:lang w:val="es-ES_tradnl"/>
        </w:rPr>
      </w:pPr>
      <w:r w:rsidRPr="0071727F">
        <w:rPr>
          <w:rFonts w:ascii="Arial" w:hAnsi="Arial" w:cs="Arial"/>
          <w:b/>
          <w:color w:val="161616" w:themeColor="background1" w:themeShade="1A"/>
          <w:sz w:val="22"/>
          <w:szCs w:val="22"/>
          <w:lang w:val="es-ES_tradnl" w:eastAsia="es-CO"/>
        </w:rPr>
        <w:t>2.</w:t>
      </w:r>
      <w:r w:rsidR="00F6064F" w:rsidRPr="00E34DEB">
        <w:rPr>
          <w:rFonts w:ascii="Arial" w:hAnsi="Arial" w:cs="Arial"/>
          <w:b/>
          <w:color w:val="161616" w:themeColor="background1" w:themeShade="1A"/>
          <w:sz w:val="22"/>
          <w:szCs w:val="22"/>
          <w:lang w:val="es-ES_tradnl" w:eastAsia="es-CO"/>
        </w:rPr>
        <w:t>2</w:t>
      </w:r>
      <w:r w:rsidR="00D978B4" w:rsidRPr="0071727F">
        <w:rPr>
          <w:rFonts w:ascii="Arial" w:hAnsi="Arial" w:cs="Arial"/>
          <w:b/>
          <w:color w:val="161616" w:themeColor="background1" w:themeShade="1A"/>
          <w:sz w:val="22"/>
          <w:szCs w:val="22"/>
          <w:lang w:val="es-ES_tradnl" w:eastAsia="es-CO"/>
        </w:rPr>
        <w:t xml:space="preserve">. </w:t>
      </w:r>
      <w:r w:rsidR="00EE084F" w:rsidRPr="00E34DEB">
        <w:rPr>
          <w:rFonts w:ascii="Arial" w:hAnsi="Arial" w:cs="Arial"/>
          <w:b/>
          <w:color w:val="161616" w:themeColor="background1" w:themeShade="1A"/>
          <w:sz w:val="22"/>
          <w:szCs w:val="22"/>
          <w:lang w:val="es-ES_tradnl" w:eastAsia="es-CO"/>
        </w:rPr>
        <w:t xml:space="preserve">Análisis de la </w:t>
      </w:r>
      <w:r w:rsidR="00EE084F" w:rsidRPr="00E34DEB">
        <w:rPr>
          <w:rFonts w:ascii="Arial" w:eastAsia="Calibri" w:hAnsi="Arial" w:cs="Arial"/>
          <w:b/>
          <w:bCs/>
          <w:color w:val="161616" w:themeColor="background1" w:themeShade="1A"/>
          <w:sz w:val="22"/>
          <w:szCs w:val="22"/>
          <w:lang w:val="es-ES_tradnl"/>
        </w:rPr>
        <w:t>p</w:t>
      </w:r>
      <w:r w:rsidR="00CA6FB7" w:rsidRPr="0071727F">
        <w:rPr>
          <w:rFonts w:ascii="Arial" w:eastAsia="Calibri" w:hAnsi="Arial" w:cs="Arial"/>
          <w:b/>
          <w:bCs/>
          <w:color w:val="161616" w:themeColor="background1" w:themeShade="1A"/>
          <w:sz w:val="22"/>
          <w:szCs w:val="22"/>
          <w:lang w:val="es-ES_tradnl"/>
        </w:rPr>
        <w:t>rohibici</w:t>
      </w:r>
      <w:r w:rsidR="00EE084F" w:rsidRPr="00E34DEB">
        <w:rPr>
          <w:rFonts w:ascii="Arial" w:eastAsia="Calibri" w:hAnsi="Arial" w:cs="Arial"/>
          <w:b/>
          <w:bCs/>
          <w:color w:val="161616" w:themeColor="background1" w:themeShade="1A"/>
          <w:sz w:val="22"/>
          <w:szCs w:val="22"/>
          <w:lang w:val="es-ES_tradnl"/>
        </w:rPr>
        <w:t>ó</w:t>
      </w:r>
      <w:r w:rsidR="00CA6FB7" w:rsidRPr="0071727F">
        <w:rPr>
          <w:rFonts w:ascii="Arial" w:eastAsia="Calibri" w:hAnsi="Arial" w:cs="Arial"/>
          <w:b/>
          <w:bCs/>
          <w:color w:val="161616" w:themeColor="background1" w:themeShade="1A"/>
          <w:sz w:val="22"/>
          <w:szCs w:val="22"/>
          <w:lang w:val="es-ES_tradnl"/>
        </w:rPr>
        <w:t xml:space="preserve">n </w:t>
      </w:r>
      <w:r w:rsidR="00EE084F" w:rsidRPr="00E34DEB">
        <w:rPr>
          <w:rFonts w:ascii="Arial" w:eastAsia="Calibri" w:hAnsi="Arial" w:cs="Arial"/>
          <w:b/>
          <w:bCs/>
          <w:color w:val="161616" w:themeColor="background1" w:themeShade="1A"/>
          <w:sz w:val="22"/>
          <w:szCs w:val="22"/>
          <w:lang w:val="es-ES_tradnl"/>
        </w:rPr>
        <w:t>a la contratación directa contenida en</w:t>
      </w:r>
      <w:r w:rsidR="00EE084F" w:rsidRPr="0071727F">
        <w:rPr>
          <w:rFonts w:ascii="Arial" w:eastAsia="Calibri" w:hAnsi="Arial" w:cs="Arial"/>
          <w:b/>
          <w:bCs/>
          <w:color w:val="161616" w:themeColor="background1" w:themeShade="1A"/>
          <w:sz w:val="22"/>
          <w:szCs w:val="22"/>
          <w:lang w:val="es-ES_tradnl"/>
        </w:rPr>
        <w:t xml:space="preserve"> </w:t>
      </w:r>
      <w:r w:rsidR="00CA6FB7" w:rsidRPr="0071727F">
        <w:rPr>
          <w:rFonts w:ascii="Arial" w:eastAsia="Calibri" w:hAnsi="Arial" w:cs="Arial"/>
          <w:b/>
          <w:bCs/>
          <w:color w:val="161616" w:themeColor="background1" w:themeShade="1A"/>
          <w:sz w:val="22"/>
          <w:szCs w:val="22"/>
          <w:lang w:val="es-ES_tradnl"/>
        </w:rPr>
        <w:t>la Ley de Garantías Electorales</w:t>
      </w:r>
    </w:p>
    <w:p w14:paraId="0DA849AB" w14:textId="1CB55EC5" w:rsidR="00C0362B" w:rsidRPr="0071727F" w:rsidRDefault="00C0362B" w:rsidP="0022167B">
      <w:pPr>
        <w:jc w:val="both"/>
        <w:rPr>
          <w:rFonts w:ascii="Arial" w:hAnsi="Arial" w:cs="Arial"/>
          <w:b/>
          <w:bCs/>
          <w:color w:val="161616" w:themeColor="background1" w:themeShade="1A"/>
          <w:sz w:val="22"/>
          <w:szCs w:val="22"/>
          <w:lang w:val="es-ES_tradnl" w:eastAsia="es-CO"/>
        </w:rPr>
      </w:pPr>
    </w:p>
    <w:p w14:paraId="1C1948AE" w14:textId="77777777" w:rsidR="00532B96" w:rsidRPr="0071727F" w:rsidRDefault="00532B96" w:rsidP="0071727F">
      <w:pPr>
        <w:spacing w:line="276" w:lineRule="auto"/>
        <w:jc w:val="both"/>
        <w:rPr>
          <w:rFonts w:ascii="Arial" w:hAnsi="Arial" w:cs="Arial"/>
          <w:bCs/>
          <w:color w:val="161616" w:themeColor="background1" w:themeShade="1A"/>
          <w:sz w:val="22"/>
          <w:szCs w:val="22"/>
          <w:lang w:val="es-ES_tradnl" w:eastAsia="es-CO"/>
        </w:rPr>
      </w:pPr>
      <w:r w:rsidRPr="0071727F">
        <w:rPr>
          <w:rFonts w:ascii="Arial" w:hAnsi="Arial" w:cs="Arial"/>
          <w:bCs/>
          <w:color w:val="161616" w:themeColor="background1" w:themeShade="1A"/>
          <w:sz w:val="22"/>
          <w:szCs w:val="22"/>
          <w:lang w:val="es-ES_tradnl" w:eastAsia="x-none"/>
        </w:rPr>
        <w:t xml:space="preserve">El ámbito material de la prohibición contenida </w:t>
      </w:r>
      <w:bookmarkStart w:id="13" w:name="_Hlk75628761"/>
      <w:r w:rsidRPr="0071727F">
        <w:rPr>
          <w:rFonts w:ascii="Arial" w:hAnsi="Arial" w:cs="Arial"/>
          <w:bCs/>
          <w:color w:val="161616" w:themeColor="background1" w:themeShade="1A"/>
          <w:sz w:val="22"/>
          <w:szCs w:val="22"/>
          <w:lang w:val="es-ES_tradnl" w:eastAsia="x-none"/>
        </w:rPr>
        <w:t xml:space="preserve">en el artículo 33 de la ley 996 de 2005 </w:t>
      </w:r>
      <w:bookmarkEnd w:id="13"/>
      <w:r w:rsidRPr="0071727F">
        <w:rPr>
          <w:rFonts w:ascii="Arial" w:hAnsi="Arial" w:cs="Arial"/>
          <w:bCs/>
          <w:color w:val="161616" w:themeColor="background1" w:themeShade="1A"/>
          <w:sz w:val="22"/>
          <w:szCs w:val="22"/>
          <w:lang w:val="es-ES_tradnl" w:eastAsia="x-none"/>
        </w:rPr>
        <w:t xml:space="preserve">está delimitado por la expresión </w:t>
      </w:r>
      <w:r w:rsidRPr="0071727F">
        <w:rPr>
          <w:rFonts w:ascii="Arial" w:eastAsia="Calibri" w:hAnsi="Arial" w:cs="Arial"/>
          <w:bCs/>
          <w:color w:val="161616" w:themeColor="background1" w:themeShade="1A"/>
          <w:sz w:val="22"/>
          <w:szCs w:val="22"/>
          <w:lang w:val="es-ES_tradnl"/>
        </w:rPr>
        <w:t>«</w:t>
      </w:r>
      <w:r w:rsidRPr="0071727F">
        <w:rPr>
          <w:rFonts w:ascii="Arial" w:hAnsi="Arial" w:cs="Arial"/>
          <w:bCs/>
          <w:color w:val="161616" w:themeColor="background1" w:themeShade="1A"/>
          <w:sz w:val="22"/>
          <w:szCs w:val="22"/>
          <w:lang w:val="es-ES_tradnl" w:eastAsia="x-none"/>
        </w:rPr>
        <w:t>queda prohibida la contratación directa</w:t>
      </w:r>
      <w:r w:rsidRPr="0071727F">
        <w:rPr>
          <w:rFonts w:ascii="Arial" w:hAnsi="Arial" w:cs="Arial"/>
          <w:color w:val="161616" w:themeColor="background1" w:themeShade="1A"/>
          <w:sz w:val="22"/>
          <w:szCs w:val="22"/>
          <w:lang w:val="es-ES_tradnl"/>
        </w:rPr>
        <w:t>»</w:t>
      </w:r>
      <w:r w:rsidRPr="0071727F">
        <w:rPr>
          <w:rFonts w:ascii="Arial" w:hAnsi="Arial" w:cs="Arial"/>
          <w:bCs/>
          <w:color w:val="161616" w:themeColor="background1" w:themeShade="1A"/>
          <w:sz w:val="22"/>
          <w:szCs w:val="22"/>
          <w:lang w:val="es-ES_tradnl" w:eastAsia="x-none"/>
        </w:rPr>
        <w:t xml:space="preserve">. </w:t>
      </w:r>
      <w:r w:rsidRPr="0071727F">
        <w:rPr>
          <w:rFonts w:ascii="Arial" w:hAnsi="Arial" w:cs="Arial"/>
          <w:color w:val="161616" w:themeColor="background1" w:themeShade="1A"/>
          <w:sz w:val="22"/>
          <w:szCs w:val="22"/>
          <w:lang w:val="es-ES_tradnl" w:eastAsia="es-CO"/>
        </w:rPr>
        <w:t>A propósito de esta restricción de la Ley de Garantías Electorales, la Sala de Consulta y Servicio Civil del Consejo de Estado ha considerado que:</w:t>
      </w:r>
    </w:p>
    <w:p w14:paraId="1105F9EE" w14:textId="77777777" w:rsidR="00532B96" w:rsidRPr="0071727F" w:rsidRDefault="00532B96" w:rsidP="0022167B">
      <w:pPr>
        <w:ind w:left="708" w:right="709"/>
        <w:jc w:val="both"/>
        <w:rPr>
          <w:rFonts w:ascii="Arial" w:hAnsi="Arial" w:cs="Arial"/>
          <w:color w:val="161616" w:themeColor="background1" w:themeShade="1A"/>
          <w:sz w:val="22"/>
          <w:szCs w:val="22"/>
          <w:lang w:val="es-ES_tradnl"/>
        </w:rPr>
      </w:pPr>
    </w:p>
    <w:p w14:paraId="2D51D436" w14:textId="06DD0D2B" w:rsidR="00532B96" w:rsidRPr="0071727F" w:rsidRDefault="00532B96" w:rsidP="0022167B">
      <w:pPr>
        <w:ind w:left="709" w:right="709"/>
        <w:jc w:val="both"/>
        <w:rPr>
          <w:rFonts w:ascii="Arial" w:hAnsi="Arial" w:cs="Arial"/>
          <w:color w:val="161616" w:themeColor="background1" w:themeShade="1A"/>
          <w:sz w:val="21"/>
          <w:szCs w:val="21"/>
          <w:lang w:val="es-ES_tradnl"/>
        </w:rPr>
      </w:pPr>
      <w:r w:rsidRPr="0071727F">
        <w:rPr>
          <w:rFonts w:ascii="Arial" w:hAnsi="Arial" w:cs="Arial"/>
          <w:color w:val="161616" w:themeColor="background1" w:themeShade="1A"/>
          <w:sz w:val="21"/>
          <w:szCs w:val="21"/>
          <w:lang w:val="es-ES_tradnl"/>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71727F">
        <w:rPr>
          <w:rStyle w:val="Refdenotaalpie"/>
        </w:rPr>
        <w:footnoteReference w:id="12"/>
      </w:r>
      <w:r w:rsidRPr="0071727F">
        <w:rPr>
          <w:rFonts w:ascii="Arial" w:hAnsi="Arial" w:cs="Arial"/>
          <w:color w:val="161616" w:themeColor="background1" w:themeShade="1A"/>
          <w:sz w:val="21"/>
          <w:szCs w:val="21"/>
          <w:lang w:val="es-ES_tradnl"/>
        </w:rPr>
        <w:t>.</w:t>
      </w:r>
    </w:p>
    <w:p w14:paraId="6C94BB9B" w14:textId="77777777" w:rsidR="00C0362B" w:rsidRPr="0071727F" w:rsidRDefault="00C0362B" w:rsidP="0022167B">
      <w:pPr>
        <w:ind w:left="709" w:right="709"/>
        <w:jc w:val="both"/>
        <w:rPr>
          <w:rFonts w:ascii="Arial" w:hAnsi="Arial" w:cs="Arial"/>
          <w:color w:val="161616" w:themeColor="background1" w:themeShade="1A"/>
          <w:sz w:val="21"/>
          <w:szCs w:val="21"/>
          <w:lang w:val="es-ES_tradnl"/>
        </w:rPr>
      </w:pPr>
    </w:p>
    <w:p w14:paraId="3746F0A9" w14:textId="7691841E" w:rsidR="00532B96" w:rsidRPr="0071727F" w:rsidRDefault="00532B96" w:rsidP="0022167B">
      <w:pPr>
        <w:ind w:left="708" w:right="709"/>
        <w:jc w:val="both"/>
        <w:rPr>
          <w:rFonts w:ascii="Arial" w:hAnsi="Arial" w:cs="Arial"/>
          <w:color w:val="161616" w:themeColor="background1" w:themeShade="1A"/>
          <w:sz w:val="21"/>
          <w:szCs w:val="21"/>
          <w:lang w:val="es-ES_tradnl"/>
        </w:rPr>
      </w:pPr>
      <w:r w:rsidRPr="0071727F">
        <w:rPr>
          <w:rFonts w:ascii="Arial" w:hAnsi="Arial" w:cs="Arial"/>
          <w:color w:val="161616" w:themeColor="background1" w:themeShade="1A"/>
          <w:sz w:val="21"/>
          <w:szCs w:val="21"/>
          <w:lang w:val="es-ES_tradnl"/>
        </w:rPr>
        <w:t xml:space="preserve">Esta Sala ha entendido </w:t>
      </w:r>
      <w:proofErr w:type="gramStart"/>
      <w:r w:rsidRPr="0071727F">
        <w:rPr>
          <w:rFonts w:ascii="Arial" w:hAnsi="Arial" w:cs="Arial"/>
          <w:color w:val="161616" w:themeColor="background1" w:themeShade="1A"/>
          <w:sz w:val="21"/>
          <w:szCs w:val="21"/>
          <w:lang w:val="es-ES_tradnl"/>
        </w:rPr>
        <w:t>que</w:t>
      </w:r>
      <w:proofErr w:type="gramEnd"/>
      <w:r w:rsidRPr="0071727F">
        <w:rPr>
          <w:rFonts w:ascii="Arial" w:hAnsi="Arial" w:cs="Arial"/>
          <w:color w:val="161616" w:themeColor="background1" w:themeShade="1A"/>
          <w:sz w:val="21"/>
          <w:szCs w:val="21"/>
          <w:lang w:val="es-ES_tradnl"/>
        </w:rPr>
        <w:t xml:space="preserve"> para los efectos de la ley de garantías, y dada su finalidad, el enunciado </w:t>
      </w:r>
      <w:r w:rsidR="00F6064F" w:rsidRPr="00E34DEB">
        <w:rPr>
          <w:rFonts w:ascii="Arial" w:hAnsi="Arial" w:cs="Arial"/>
          <w:color w:val="161616" w:themeColor="background1" w:themeShade="1A"/>
          <w:sz w:val="21"/>
          <w:szCs w:val="21"/>
          <w:lang w:val="es-ES_tradnl"/>
        </w:rPr>
        <w:t>«</w:t>
      </w:r>
      <w:r w:rsidRPr="0071727F">
        <w:rPr>
          <w:rFonts w:ascii="Arial" w:hAnsi="Arial" w:cs="Arial"/>
          <w:color w:val="161616" w:themeColor="background1" w:themeShade="1A"/>
          <w:sz w:val="21"/>
          <w:szCs w:val="21"/>
          <w:lang w:val="es-ES_tradnl"/>
        </w:rPr>
        <w:t>contratación directa</w:t>
      </w:r>
      <w:r w:rsidR="00F6064F" w:rsidRPr="00E34DEB">
        <w:rPr>
          <w:rFonts w:ascii="Arial" w:hAnsi="Arial" w:cs="Arial"/>
          <w:color w:val="161616" w:themeColor="background1" w:themeShade="1A"/>
          <w:sz w:val="21"/>
          <w:szCs w:val="21"/>
          <w:lang w:val="es-ES_tradnl"/>
        </w:rPr>
        <w:t>»</w:t>
      </w:r>
      <w:r w:rsidRPr="0071727F">
        <w:rPr>
          <w:rFonts w:ascii="Arial" w:hAnsi="Arial" w:cs="Arial"/>
          <w:color w:val="161616" w:themeColor="background1" w:themeShade="1A"/>
          <w:sz w:val="21"/>
          <w:szCs w:val="21"/>
          <w:lang w:val="es-ES_tradnl"/>
        </w:rPr>
        <w:t xml:space="preserve"> es sinónimo </w:t>
      </w:r>
      <w:bookmarkStart w:id="16" w:name="_Hlk75741738"/>
      <w:r w:rsidRPr="0071727F">
        <w:rPr>
          <w:rFonts w:ascii="Arial" w:hAnsi="Arial" w:cs="Arial"/>
          <w:color w:val="161616" w:themeColor="background1" w:themeShade="1A"/>
          <w:sz w:val="21"/>
          <w:szCs w:val="21"/>
          <w:lang w:val="es-ES_tradnl"/>
        </w:rPr>
        <w:t xml:space="preserve">de cualquier sistema que no implique convocatoria pública y posibilidad de pluralidad de oferentes, </w:t>
      </w:r>
      <w:bookmarkEnd w:id="16"/>
      <w:r w:rsidRPr="0071727F">
        <w:rPr>
          <w:rFonts w:ascii="Arial" w:hAnsi="Arial" w:cs="Arial"/>
          <w:color w:val="161616" w:themeColor="background1" w:themeShade="1A"/>
          <w:sz w:val="21"/>
          <w:szCs w:val="21"/>
          <w:lang w:val="es-ES_tradnl"/>
        </w:rPr>
        <w:t>y que, además, no necesariamente hace referencia al procedimiento especial regulado por la ley de contratación estatal, sino a cualquier otro que prescinda de un proceso de licitación pública o concurso</w:t>
      </w:r>
      <w:r w:rsidRPr="0071727F">
        <w:rPr>
          <w:rStyle w:val="Refdenotaalpie"/>
        </w:rPr>
        <w:footnoteReference w:id="13"/>
      </w:r>
      <w:r w:rsidRPr="0071727F">
        <w:rPr>
          <w:rFonts w:ascii="Arial" w:hAnsi="Arial" w:cs="Arial"/>
          <w:color w:val="161616" w:themeColor="background1" w:themeShade="1A"/>
          <w:sz w:val="21"/>
          <w:szCs w:val="21"/>
          <w:vertAlign w:val="superscript"/>
          <w:lang w:val="es-ES_tradnl"/>
        </w:rPr>
        <w:t>.</w:t>
      </w:r>
      <w:r w:rsidRPr="0071727F">
        <w:rPr>
          <w:rFonts w:ascii="Arial" w:hAnsi="Arial" w:cs="Arial"/>
          <w:color w:val="161616" w:themeColor="background1" w:themeShade="1A"/>
          <w:sz w:val="21"/>
          <w:szCs w:val="21"/>
          <w:lang w:val="es-ES_tradnl"/>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w:t>
      </w:r>
      <w:r w:rsidRPr="0071727F">
        <w:rPr>
          <w:rFonts w:ascii="Arial" w:hAnsi="Arial" w:cs="Arial"/>
          <w:color w:val="161616" w:themeColor="background1" w:themeShade="1A"/>
          <w:sz w:val="21"/>
          <w:szCs w:val="21"/>
          <w:lang w:val="es-ES_tradnl"/>
        </w:rPr>
        <w:lastRenderedPageBreak/>
        <w:t>disposición pueden las entidades públicas seguir contratando bajo estos sistemas. [...]</w:t>
      </w:r>
      <w:r w:rsidRPr="0071727F">
        <w:rPr>
          <w:rStyle w:val="Refdenotaalpie"/>
        </w:rPr>
        <w:footnoteReference w:id="14"/>
      </w:r>
      <w:r w:rsidRPr="0071727F">
        <w:rPr>
          <w:rFonts w:ascii="Arial" w:hAnsi="Arial" w:cs="Arial"/>
          <w:color w:val="161616" w:themeColor="background1" w:themeShade="1A"/>
          <w:sz w:val="21"/>
          <w:szCs w:val="21"/>
          <w:lang w:val="es-ES_tradnl"/>
        </w:rPr>
        <w:t xml:space="preserve"> .</w:t>
      </w:r>
      <w:r w:rsidR="008F0B5E" w:rsidRPr="0071727F">
        <w:rPr>
          <w:rFonts w:ascii="Arial" w:hAnsi="Arial" w:cs="Arial"/>
          <w:color w:val="161616" w:themeColor="background1" w:themeShade="1A"/>
          <w:sz w:val="21"/>
          <w:szCs w:val="21"/>
          <w:lang w:val="es-ES_tradnl"/>
        </w:rPr>
        <w:t xml:space="preserve"> </w:t>
      </w:r>
    </w:p>
    <w:p w14:paraId="378B6374" w14:textId="77777777" w:rsidR="00532B96" w:rsidRPr="0071727F" w:rsidRDefault="00532B96" w:rsidP="0022167B">
      <w:pPr>
        <w:shd w:val="clear" w:color="auto" w:fill="FFFFFF"/>
        <w:ind w:firstLine="709"/>
        <w:jc w:val="both"/>
        <w:rPr>
          <w:rFonts w:ascii="Arial" w:hAnsi="Arial" w:cs="Arial"/>
          <w:color w:val="161616" w:themeColor="background1" w:themeShade="1A"/>
          <w:sz w:val="22"/>
          <w:szCs w:val="22"/>
          <w:lang w:val="es-ES_tradnl" w:eastAsia="x-none"/>
        </w:rPr>
      </w:pPr>
    </w:p>
    <w:p w14:paraId="3EF96233" w14:textId="17C0345F" w:rsidR="00794007" w:rsidRPr="0071727F" w:rsidRDefault="00532B96" w:rsidP="0071727F">
      <w:pPr>
        <w:spacing w:line="276" w:lineRule="auto"/>
        <w:ind w:firstLine="709"/>
        <w:jc w:val="both"/>
        <w:rPr>
          <w:rFonts w:ascii="Arial" w:hAnsi="Arial" w:cs="Arial"/>
          <w:color w:val="161616" w:themeColor="background1" w:themeShade="1A"/>
          <w:sz w:val="22"/>
          <w:szCs w:val="22"/>
          <w:lang w:val="es-ES_tradnl" w:eastAsia="x-none"/>
        </w:rPr>
      </w:pPr>
      <w:r w:rsidRPr="0071727F">
        <w:rPr>
          <w:rFonts w:ascii="Arial" w:hAnsi="Arial" w:cs="Arial"/>
          <w:color w:val="161616" w:themeColor="background1" w:themeShade="1A"/>
          <w:sz w:val="22"/>
          <w:szCs w:val="22"/>
          <w:lang w:val="es-ES_tradnl" w:eastAsia="x-none"/>
        </w:rPr>
        <w:t xml:space="preserve">De conformidad con el citado concepto, </w:t>
      </w:r>
      <w:bookmarkStart w:id="18" w:name="_Hlk78818702"/>
      <w:r w:rsidRPr="0071727F">
        <w:rPr>
          <w:rFonts w:ascii="Arial" w:hAnsi="Arial" w:cs="Arial"/>
          <w:color w:val="161616" w:themeColor="background1" w:themeShade="1A"/>
          <w:sz w:val="22"/>
          <w:szCs w:val="22"/>
          <w:lang w:val="es-ES_tradnl" w:eastAsia="x-none"/>
        </w:rPr>
        <w:t xml:space="preserve">la prohibición del artículo 33 de la Ley de Garantías Electorales se refiere a </w:t>
      </w:r>
      <w:bookmarkStart w:id="19" w:name="_Hlk74294635"/>
      <w:r w:rsidRPr="0071727F">
        <w:rPr>
          <w:rFonts w:ascii="Arial" w:hAnsi="Arial" w:cs="Arial"/>
          <w:color w:val="161616" w:themeColor="background1" w:themeShade="1A"/>
          <w:sz w:val="22"/>
          <w:szCs w:val="22"/>
          <w:lang w:val="es-ES_tradnl"/>
        </w:rPr>
        <w:t>«</w:t>
      </w:r>
      <w:bookmarkEnd w:id="19"/>
      <w:r w:rsidRPr="0071727F">
        <w:rPr>
          <w:rFonts w:ascii="Arial" w:hAnsi="Arial" w:cs="Arial"/>
          <w:color w:val="161616" w:themeColor="background1" w:themeShade="1A"/>
          <w:sz w:val="22"/>
          <w:szCs w:val="22"/>
          <w:lang w:val="es-ES_tradnl" w:eastAsia="x-none"/>
        </w:rPr>
        <w:t>cualquier sistema que no implique convocatoria pública y posibilidad de pluralidad de oferentes</w:t>
      </w:r>
      <w:bookmarkStart w:id="20" w:name="_Hlk74404754"/>
      <w:r w:rsidRPr="0071727F">
        <w:rPr>
          <w:rFonts w:ascii="Arial" w:hAnsi="Arial" w:cs="Arial"/>
          <w:color w:val="161616" w:themeColor="background1" w:themeShade="1A"/>
          <w:sz w:val="22"/>
          <w:szCs w:val="22"/>
          <w:lang w:val="es-ES_tradnl"/>
        </w:rPr>
        <w:t>»</w:t>
      </w:r>
      <w:bookmarkEnd w:id="20"/>
      <w:r w:rsidRPr="0071727F">
        <w:rPr>
          <w:rFonts w:ascii="Arial" w:hAnsi="Arial" w:cs="Arial"/>
          <w:color w:val="161616" w:themeColor="background1" w:themeShade="1A"/>
          <w:sz w:val="22"/>
          <w:szCs w:val="22"/>
          <w:lang w:val="es-ES_tradnl" w:eastAsia="x-none"/>
        </w:rPr>
        <w:t>, por lo que excluye las demás modalidades de contratación previstas en la Ley 1150 de 2007, es decir, la licitación pública, la selección abreviada</w:t>
      </w:r>
      <w:r w:rsidR="001B5D90">
        <w:rPr>
          <w:rFonts w:ascii="Arial" w:hAnsi="Arial" w:cs="Arial"/>
          <w:color w:val="161616" w:themeColor="background1" w:themeShade="1A"/>
          <w:sz w:val="22"/>
          <w:szCs w:val="22"/>
          <w:lang w:val="es-ES_tradnl" w:eastAsia="x-none"/>
        </w:rPr>
        <w:t xml:space="preserve">, </w:t>
      </w:r>
      <w:r w:rsidRPr="0071727F">
        <w:rPr>
          <w:rFonts w:ascii="Arial" w:hAnsi="Arial" w:cs="Arial"/>
          <w:color w:val="161616" w:themeColor="background1" w:themeShade="1A"/>
          <w:sz w:val="22"/>
          <w:szCs w:val="22"/>
          <w:lang w:val="es-ES_tradnl" w:eastAsia="x-none"/>
        </w:rPr>
        <w:t>el concurso de méritos</w:t>
      </w:r>
      <w:r w:rsidR="001B5D90">
        <w:rPr>
          <w:rFonts w:ascii="Arial" w:hAnsi="Arial" w:cs="Arial"/>
          <w:color w:val="161616" w:themeColor="background1" w:themeShade="1A"/>
          <w:sz w:val="22"/>
          <w:szCs w:val="22"/>
          <w:lang w:val="es-ES_tradnl" w:eastAsia="x-none"/>
        </w:rPr>
        <w:t>, la contratación de mínima cuantía</w:t>
      </w:r>
      <w:r w:rsidRPr="0071727F">
        <w:rPr>
          <w:rFonts w:ascii="Arial" w:hAnsi="Arial" w:cs="Arial"/>
          <w:color w:val="161616" w:themeColor="background1" w:themeShade="1A"/>
          <w:sz w:val="22"/>
          <w:szCs w:val="22"/>
          <w:lang w:val="es-ES_tradnl" w:eastAsia="x-none"/>
        </w:rPr>
        <w:t xml:space="preserve"> u otros previstos en normas especiales. </w:t>
      </w:r>
      <w:bookmarkEnd w:id="18"/>
      <w:r w:rsidRPr="0071727F">
        <w:rPr>
          <w:rFonts w:ascii="Arial" w:hAnsi="Arial" w:cs="Arial"/>
          <w:color w:val="161616" w:themeColor="background1" w:themeShade="1A"/>
          <w:sz w:val="22"/>
          <w:szCs w:val="22"/>
          <w:lang w:val="es-ES_tradnl" w:eastAsia="x-none"/>
        </w:rPr>
        <w:t>Esta posición es congruente con la expedición de la Ley 1150 de 2007 que, entre otras reformas, introdujo la selección abreviada, rediseñó el concurso de méritos</w:t>
      </w:r>
      <w:r w:rsidRPr="0071727F">
        <w:rPr>
          <w:rStyle w:val="Refdenotaalpie"/>
        </w:rPr>
        <w:footnoteReference w:id="15"/>
      </w:r>
      <w:r w:rsidRPr="0071727F">
        <w:rPr>
          <w:rFonts w:ascii="Arial" w:hAnsi="Arial" w:cs="Arial"/>
          <w:color w:val="161616" w:themeColor="background1" w:themeShade="1A"/>
          <w:sz w:val="22"/>
          <w:szCs w:val="22"/>
          <w:lang w:val="es-ES_tradnl" w:eastAsia="x-none"/>
        </w:rPr>
        <w:t xml:space="preserve"> y sistematizó las causales de contratación directa</w:t>
      </w:r>
      <w:r w:rsidRPr="0071727F">
        <w:rPr>
          <w:rStyle w:val="Refdenotaalpie"/>
        </w:rPr>
        <w:footnoteReference w:id="16"/>
      </w:r>
      <w:r w:rsidRPr="0071727F">
        <w:rPr>
          <w:rFonts w:ascii="Arial" w:hAnsi="Arial" w:cs="Arial"/>
          <w:color w:val="161616" w:themeColor="background1" w:themeShade="1A"/>
          <w:sz w:val="22"/>
          <w:szCs w:val="22"/>
          <w:lang w:val="es-ES_tradnl" w:eastAsia="x-none"/>
        </w:rPr>
        <w:t xml:space="preserve">. </w:t>
      </w:r>
    </w:p>
    <w:p w14:paraId="42F32AAD" w14:textId="43A5F136" w:rsidR="006C132E" w:rsidRPr="0071727F" w:rsidRDefault="00532B96" w:rsidP="0071727F">
      <w:pPr>
        <w:spacing w:before="120" w:line="276" w:lineRule="auto"/>
        <w:ind w:firstLine="709"/>
        <w:jc w:val="both"/>
        <w:rPr>
          <w:rFonts w:ascii="Arial" w:hAnsi="Arial" w:cs="Arial"/>
          <w:color w:val="161616" w:themeColor="background1" w:themeShade="1A"/>
          <w:sz w:val="22"/>
          <w:szCs w:val="22"/>
          <w:lang w:val="es-ES_tradnl" w:eastAsia="x-none"/>
        </w:rPr>
      </w:pPr>
      <w:r w:rsidRPr="0071727F">
        <w:rPr>
          <w:rFonts w:ascii="Arial" w:hAnsi="Arial" w:cs="Arial"/>
          <w:color w:val="161616" w:themeColor="background1" w:themeShade="1A"/>
          <w:sz w:val="22"/>
          <w:szCs w:val="22"/>
          <w:lang w:val="es-ES_tradnl" w:eastAsia="x-none"/>
        </w:rPr>
        <w:t xml:space="preserve">De esta forma, con fundamento en la evolución de la normativa sobre la contratación pública, se ha depurado la noción de </w:t>
      </w:r>
      <w:r w:rsidRPr="0071727F">
        <w:rPr>
          <w:rFonts w:ascii="Arial" w:hAnsi="Arial" w:cs="Arial"/>
          <w:color w:val="161616" w:themeColor="background1" w:themeShade="1A"/>
          <w:sz w:val="22"/>
          <w:szCs w:val="22"/>
          <w:lang w:val="es-ES_tradnl"/>
        </w:rPr>
        <w:t>«</w:t>
      </w:r>
      <w:r w:rsidRPr="0071727F">
        <w:rPr>
          <w:rFonts w:ascii="Arial" w:hAnsi="Arial" w:cs="Arial"/>
          <w:color w:val="161616" w:themeColor="background1" w:themeShade="1A"/>
          <w:sz w:val="22"/>
          <w:szCs w:val="22"/>
          <w:lang w:val="es-ES_tradnl" w:eastAsia="x-none"/>
        </w:rPr>
        <w:t>contratación directa</w:t>
      </w:r>
      <w:r w:rsidRPr="0071727F">
        <w:rPr>
          <w:rFonts w:ascii="Arial" w:hAnsi="Arial" w:cs="Arial"/>
          <w:color w:val="161616" w:themeColor="background1" w:themeShade="1A"/>
          <w:sz w:val="22"/>
          <w:szCs w:val="22"/>
          <w:lang w:val="es-ES_tradnl"/>
        </w:rPr>
        <w:t>»</w:t>
      </w:r>
      <w:r w:rsidRPr="0071727F">
        <w:rPr>
          <w:rFonts w:ascii="Arial" w:hAnsi="Arial" w:cs="Arial"/>
          <w:color w:val="161616" w:themeColor="background1" w:themeShade="1A"/>
          <w:sz w:val="22"/>
          <w:szCs w:val="22"/>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71727F">
        <w:rPr>
          <w:rStyle w:val="Refdenotaalpie"/>
        </w:rPr>
        <w:footnoteReference w:id="17"/>
      </w:r>
      <w:r w:rsidRPr="0071727F">
        <w:rPr>
          <w:rFonts w:ascii="Arial" w:hAnsi="Arial" w:cs="Arial"/>
          <w:color w:val="161616" w:themeColor="background1" w:themeShade="1A"/>
          <w:sz w:val="22"/>
          <w:szCs w:val="22"/>
          <w:lang w:val="es-ES_tradnl" w:eastAsia="x-none"/>
        </w:rPr>
        <w:t>, han establecido sistemas de contratación que implican convocatoria pública y participación de varios oferentes</w:t>
      </w:r>
      <w:r w:rsidRPr="0071727F">
        <w:rPr>
          <w:rFonts w:ascii="Arial" w:hAnsi="Arial" w:cs="Arial"/>
          <w:color w:val="161616" w:themeColor="background1" w:themeShade="1A"/>
          <w:sz w:val="22"/>
          <w:szCs w:val="22"/>
          <w:lang w:val="es-ES_tradnl"/>
        </w:rPr>
        <w:t>»</w:t>
      </w:r>
      <w:r w:rsidRPr="0071727F">
        <w:rPr>
          <w:rFonts w:ascii="Arial" w:hAnsi="Arial" w:cs="Arial"/>
          <w:color w:val="161616" w:themeColor="background1" w:themeShade="1A"/>
          <w:sz w:val="22"/>
          <w:szCs w:val="22"/>
          <w:lang w:val="es-ES_tradnl" w:eastAsia="x-none"/>
        </w:rPr>
        <w:t xml:space="preserve">. </w:t>
      </w:r>
    </w:p>
    <w:p w14:paraId="249AF01D" w14:textId="50237025" w:rsidR="006C132E" w:rsidRPr="0071727F" w:rsidRDefault="00532B96" w:rsidP="0071727F">
      <w:pPr>
        <w:spacing w:before="120" w:line="276" w:lineRule="auto"/>
        <w:ind w:firstLine="709"/>
        <w:jc w:val="both"/>
        <w:rPr>
          <w:rFonts w:ascii="Arial" w:hAnsi="Arial" w:cs="Arial"/>
          <w:color w:val="161616" w:themeColor="background1" w:themeShade="1A"/>
          <w:sz w:val="22"/>
          <w:szCs w:val="22"/>
          <w:lang w:val="es-ES_tradnl" w:eastAsia="x-none"/>
        </w:rPr>
      </w:pPr>
      <w:r w:rsidRPr="0071727F">
        <w:rPr>
          <w:rFonts w:ascii="Arial" w:hAnsi="Arial" w:cs="Arial"/>
          <w:bCs/>
          <w:color w:val="161616" w:themeColor="background1" w:themeShade="1A"/>
          <w:sz w:val="22"/>
          <w:szCs w:val="22"/>
          <w:lang w:val="es-ES_tradnl" w:eastAsia="x-none"/>
        </w:rPr>
        <w:t>E</w:t>
      </w:r>
      <w:r w:rsidRPr="0071727F">
        <w:rPr>
          <w:rFonts w:ascii="Arial" w:hAnsi="Arial" w:cs="Arial"/>
          <w:color w:val="161616" w:themeColor="background1" w:themeShade="1A"/>
          <w:sz w:val="22"/>
          <w:szCs w:val="22"/>
          <w:lang w:val="es-ES_tradnl" w:eastAsia="x-none"/>
        </w:rPr>
        <w:t xml:space="preserve">n efecto, vale la pena mencionar que, </w:t>
      </w:r>
      <w:bookmarkStart w:id="22" w:name="_Hlk75636073"/>
      <w:r w:rsidRPr="0071727F">
        <w:rPr>
          <w:rFonts w:ascii="Arial" w:hAnsi="Arial" w:cs="Arial"/>
          <w:color w:val="161616" w:themeColor="background1" w:themeShade="1A"/>
          <w:sz w:val="22"/>
          <w:szCs w:val="22"/>
          <w:lang w:val="es-ES_tradnl"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2"/>
      <w:r w:rsidRPr="0071727F">
        <w:rPr>
          <w:rStyle w:val="Refdenotaalpie"/>
        </w:rPr>
        <w:footnoteReference w:id="18"/>
      </w:r>
      <w:r w:rsidRPr="0071727F">
        <w:rPr>
          <w:rFonts w:ascii="Arial" w:hAnsi="Arial" w:cs="Arial"/>
          <w:color w:val="161616" w:themeColor="background1" w:themeShade="1A"/>
          <w:sz w:val="22"/>
          <w:szCs w:val="22"/>
          <w:lang w:val="es-ES_tradnl" w:eastAsia="x-none"/>
        </w:rPr>
        <w:t xml:space="preserve">. </w:t>
      </w:r>
    </w:p>
    <w:p w14:paraId="2CC563C2" w14:textId="7A9218E0" w:rsidR="006C132E" w:rsidRPr="0071727F" w:rsidRDefault="00532B96" w:rsidP="0071727F">
      <w:pPr>
        <w:spacing w:before="120" w:line="276" w:lineRule="auto"/>
        <w:ind w:firstLine="709"/>
        <w:jc w:val="both"/>
        <w:rPr>
          <w:rFonts w:ascii="Arial" w:hAnsi="Arial" w:cs="Arial"/>
          <w:bCs/>
          <w:color w:val="161616" w:themeColor="background1" w:themeShade="1A"/>
          <w:sz w:val="22"/>
          <w:szCs w:val="22"/>
          <w:lang w:val="es-ES_tradnl" w:eastAsia="es-CO"/>
        </w:rPr>
      </w:pPr>
      <w:r w:rsidRPr="0071727F">
        <w:rPr>
          <w:rFonts w:ascii="Arial" w:hAnsi="Arial" w:cs="Arial"/>
          <w:bCs/>
          <w:color w:val="161616" w:themeColor="background1" w:themeShade="1A"/>
          <w:sz w:val="22"/>
          <w:szCs w:val="22"/>
          <w:lang w:val="es-ES_tradnl"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w:t>
      </w:r>
      <w:r w:rsidRPr="0071727F">
        <w:rPr>
          <w:rFonts w:ascii="Arial" w:hAnsi="Arial" w:cs="Arial"/>
          <w:bCs/>
          <w:color w:val="161616" w:themeColor="background1" w:themeShade="1A"/>
          <w:sz w:val="22"/>
          <w:szCs w:val="22"/>
          <w:lang w:val="es-ES_tradnl" w:eastAsia="es-CO"/>
        </w:rPr>
        <w:lastRenderedPageBreak/>
        <w:t>entidades que tengan un régimen especial de contratación. No obstante, también se observa que luego de la expedición de Ley 1150 de 2007, el Consejo de Estado comenzó a delimitar con mayor precisión el término de «contratación directa».</w:t>
      </w:r>
    </w:p>
    <w:p w14:paraId="07F260DE" w14:textId="6229454E" w:rsidR="00E34DEB" w:rsidRPr="0071727F" w:rsidRDefault="00532B96" w:rsidP="0071727F">
      <w:pPr>
        <w:spacing w:before="120" w:line="276" w:lineRule="auto"/>
        <w:ind w:firstLine="709"/>
        <w:jc w:val="both"/>
        <w:rPr>
          <w:rFonts w:ascii="Arial" w:hAnsi="Arial" w:cs="Arial"/>
          <w:color w:val="161616" w:themeColor="background1" w:themeShade="1A"/>
          <w:sz w:val="22"/>
          <w:szCs w:val="22"/>
          <w:vertAlign w:val="superscript"/>
          <w:lang w:val="es-ES_tradnl" w:eastAsia="x-none"/>
        </w:rPr>
      </w:pPr>
      <w:bookmarkStart w:id="23" w:name="_Hlk78818796"/>
      <w:r w:rsidRPr="0071727F">
        <w:rPr>
          <w:rFonts w:ascii="Arial" w:hAnsi="Arial" w:cs="Arial"/>
          <w:bCs/>
          <w:color w:val="161616" w:themeColor="background1" w:themeShade="1A"/>
          <w:sz w:val="22"/>
          <w:szCs w:val="22"/>
          <w:lang w:val="es-ES_tradnl" w:eastAsia="x-none"/>
        </w:rPr>
        <w:t>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71727F">
        <w:rPr>
          <w:rStyle w:val="Refdenotaalpie"/>
        </w:rPr>
        <w:footnoteReference w:id="19"/>
      </w:r>
      <w:r w:rsidRPr="0071727F">
        <w:rPr>
          <w:rFonts w:ascii="Arial" w:hAnsi="Arial" w:cs="Arial"/>
          <w:bCs/>
          <w:color w:val="161616" w:themeColor="background1" w:themeShade="1A"/>
          <w:sz w:val="22"/>
          <w:szCs w:val="22"/>
          <w:lang w:val="es-ES_tradnl" w:eastAsia="x-none"/>
        </w:rPr>
        <w:t>.</w:t>
      </w:r>
      <w:r w:rsidRPr="0071727F">
        <w:rPr>
          <w:rFonts w:ascii="Arial" w:hAnsi="Arial" w:cs="Arial"/>
          <w:color w:val="161616" w:themeColor="background1" w:themeShade="1A"/>
          <w:sz w:val="22"/>
          <w:szCs w:val="22"/>
          <w:vertAlign w:val="superscript"/>
          <w:lang w:val="es-ES_tradnl" w:eastAsia="x-none"/>
        </w:rPr>
        <w:t xml:space="preserve"> </w:t>
      </w:r>
    </w:p>
    <w:bookmarkEnd w:id="23"/>
    <w:p w14:paraId="2BE5827D" w14:textId="1FDCDBF9" w:rsidR="00E34DEB" w:rsidRPr="0071727F" w:rsidRDefault="00532B96" w:rsidP="0071727F">
      <w:pPr>
        <w:spacing w:before="120" w:line="276" w:lineRule="auto"/>
        <w:ind w:firstLine="709"/>
        <w:jc w:val="both"/>
        <w:rPr>
          <w:rFonts w:ascii="Arial" w:hAnsi="Arial" w:cs="Arial"/>
          <w:color w:val="161616" w:themeColor="background1" w:themeShade="1A"/>
          <w:sz w:val="22"/>
          <w:szCs w:val="22"/>
          <w:lang w:val="es-ES_tradnl" w:eastAsia="x-none"/>
        </w:rPr>
      </w:pPr>
      <w:r w:rsidRPr="0071727F">
        <w:rPr>
          <w:rFonts w:ascii="Arial" w:hAnsi="Arial" w:cs="Arial"/>
          <w:bCs/>
          <w:color w:val="161616" w:themeColor="background1" w:themeShade="1A"/>
          <w:sz w:val="22"/>
          <w:szCs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71727F">
        <w:rPr>
          <w:rFonts w:ascii="Arial" w:hAnsi="Arial" w:cs="Arial"/>
          <w:color w:val="161616" w:themeColor="background1" w:themeShade="1A"/>
          <w:sz w:val="22"/>
          <w:szCs w:val="22"/>
          <w:lang w:val="es-ES_tradnl" w:eastAsia="x-none"/>
        </w:rPr>
        <w:t xml:space="preserve"> Por tanto, no son materia de la prohibición las demás modalidades de selección previstas en la Ley 1150 de 2007, es decir, la licitación pública, el concurso de méritos</w:t>
      </w:r>
      <w:r w:rsidR="00ED0D83">
        <w:rPr>
          <w:rFonts w:ascii="Arial" w:hAnsi="Arial" w:cs="Arial"/>
          <w:color w:val="161616" w:themeColor="background1" w:themeShade="1A"/>
          <w:sz w:val="22"/>
          <w:szCs w:val="22"/>
          <w:lang w:val="es-ES_tradnl" w:eastAsia="x-none"/>
        </w:rPr>
        <w:t xml:space="preserve">, </w:t>
      </w:r>
      <w:r w:rsidRPr="0071727F">
        <w:rPr>
          <w:rFonts w:ascii="Arial" w:hAnsi="Arial" w:cs="Arial"/>
          <w:color w:val="161616" w:themeColor="background1" w:themeShade="1A"/>
          <w:sz w:val="22"/>
          <w:szCs w:val="22"/>
          <w:lang w:val="es-ES_tradnl" w:eastAsia="x-none"/>
        </w:rPr>
        <w:t>la selección abreviada</w:t>
      </w:r>
      <w:r w:rsidR="00ED0D83">
        <w:rPr>
          <w:rFonts w:ascii="Arial" w:hAnsi="Arial" w:cs="Arial"/>
          <w:color w:val="161616" w:themeColor="background1" w:themeShade="1A"/>
          <w:sz w:val="22"/>
          <w:szCs w:val="22"/>
          <w:lang w:val="es-ES_tradnl" w:eastAsia="x-none"/>
        </w:rPr>
        <w:t xml:space="preserve"> y la mínima cuantía</w:t>
      </w:r>
      <w:r w:rsidRPr="0071727F">
        <w:rPr>
          <w:rFonts w:ascii="Arial" w:hAnsi="Arial" w:cs="Arial"/>
          <w:color w:val="161616" w:themeColor="background1" w:themeShade="1A"/>
          <w:sz w:val="22"/>
          <w:szCs w:val="22"/>
          <w:lang w:val="es-ES_tradnl" w:eastAsia="x-none"/>
        </w:rPr>
        <w:t>, razón por la cual en ese período preelectoral de que trata la disposición pueden las entidades públicas seguir contratando bajo estos sistemas.</w:t>
      </w:r>
    </w:p>
    <w:p w14:paraId="743D5416" w14:textId="76EFB493" w:rsidR="006748E0" w:rsidRPr="0071727F" w:rsidRDefault="00532B96" w:rsidP="0071727F">
      <w:pPr>
        <w:spacing w:before="120" w:line="276" w:lineRule="auto"/>
        <w:ind w:firstLine="709"/>
        <w:jc w:val="both"/>
        <w:rPr>
          <w:rFonts w:ascii="Arial" w:hAnsi="Arial" w:cs="Arial"/>
          <w:bCs/>
          <w:color w:val="161616" w:themeColor="background1" w:themeShade="1A"/>
          <w:sz w:val="22"/>
          <w:szCs w:val="22"/>
          <w:lang w:val="es-ES_tradnl" w:eastAsia="es-CO"/>
        </w:rPr>
      </w:pPr>
      <w:r w:rsidRPr="0071727F">
        <w:rPr>
          <w:rFonts w:ascii="Arial" w:hAnsi="Arial" w:cs="Arial"/>
          <w:bCs/>
          <w:color w:val="161616" w:themeColor="background1" w:themeShade="1A"/>
          <w:sz w:val="22"/>
          <w:szCs w:val="22"/>
          <w:lang w:val="es-ES_tradnl"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w:t>
      </w:r>
      <w:r w:rsidR="006B2D45">
        <w:rPr>
          <w:rFonts w:ascii="Arial" w:hAnsi="Arial" w:cs="Arial"/>
          <w:bCs/>
          <w:color w:val="161616" w:themeColor="background1" w:themeShade="1A"/>
          <w:sz w:val="22"/>
          <w:szCs w:val="22"/>
          <w:lang w:val="es-ES_tradnl" w:eastAsia="x-none"/>
        </w:rPr>
        <w:t>:</w:t>
      </w:r>
      <w:r w:rsidRPr="0071727F">
        <w:rPr>
          <w:rFonts w:ascii="Arial" w:hAnsi="Arial" w:cs="Arial"/>
          <w:bCs/>
          <w:color w:val="161616" w:themeColor="background1" w:themeShade="1A"/>
          <w:sz w:val="22"/>
          <w:szCs w:val="22"/>
          <w:lang w:val="es-ES_tradnl" w:eastAsia="x-none"/>
        </w:rPr>
        <w:t xml:space="preserve"> i) la defensa y seguridad del Estado; </w:t>
      </w:r>
      <w:proofErr w:type="spellStart"/>
      <w:r w:rsidRPr="0071727F">
        <w:rPr>
          <w:rFonts w:ascii="Arial" w:hAnsi="Arial" w:cs="Arial"/>
          <w:bCs/>
          <w:color w:val="161616" w:themeColor="background1" w:themeShade="1A"/>
          <w:sz w:val="22"/>
          <w:szCs w:val="22"/>
          <w:lang w:val="es-ES_tradnl" w:eastAsia="x-none"/>
        </w:rPr>
        <w:t>ii</w:t>
      </w:r>
      <w:proofErr w:type="spellEnd"/>
      <w:r w:rsidRPr="0071727F">
        <w:rPr>
          <w:rFonts w:ascii="Arial" w:hAnsi="Arial" w:cs="Arial"/>
          <w:bCs/>
          <w:color w:val="161616" w:themeColor="background1" w:themeShade="1A"/>
          <w:sz w:val="22"/>
          <w:szCs w:val="22"/>
          <w:lang w:val="es-ES_tradnl" w:eastAsia="x-none"/>
        </w:rPr>
        <w:t xml:space="preserve">) los contratos de crédito público; </w:t>
      </w:r>
      <w:proofErr w:type="spellStart"/>
      <w:r w:rsidRPr="0071727F">
        <w:rPr>
          <w:rFonts w:ascii="Arial" w:hAnsi="Arial" w:cs="Arial"/>
          <w:bCs/>
          <w:color w:val="161616" w:themeColor="background1" w:themeShade="1A"/>
          <w:sz w:val="22"/>
          <w:szCs w:val="22"/>
          <w:lang w:val="es-ES_tradnl" w:eastAsia="x-none"/>
        </w:rPr>
        <w:t>iii</w:t>
      </w:r>
      <w:proofErr w:type="spellEnd"/>
      <w:r w:rsidRPr="0071727F">
        <w:rPr>
          <w:rFonts w:ascii="Arial" w:hAnsi="Arial" w:cs="Arial"/>
          <w:bCs/>
          <w:color w:val="161616" w:themeColor="background1" w:themeShade="1A"/>
          <w:sz w:val="22"/>
          <w:szCs w:val="22"/>
          <w:lang w:val="es-ES_tradnl" w:eastAsia="x-none"/>
        </w:rPr>
        <w:t xml:space="preserve">) los requeridos para cubrir las emergencias educativas, sanitarias y desastres; </w:t>
      </w:r>
      <w:proofErr w:type="spellStart"/>
      <w:r w:rsidRPr="0071727F">
        <w:rPr>
          <w:rFonts w:ascii="Arial" w:hAnsi="Arial" w:cs="Arial"/>
          <w:bCs/>
          <w:color w:val="161616" w:themeColor="background1" w:themeShade="1A"/>
          <w:sz w:val="22"/>
          <w:szCs w:val="22"/>
          <w:lang w:val="es-ES_tradnl" w:eastAsia="x-none"/>
        </w:rPr>
        <w:t>iv</w:t>
      </w:r>
      <w:proofErr w:type="spellEnd"/>
      <w:r w:rsidRPr="0071727F">
        <w:rPr>
          <w:rFonts w:ascii="Arial" w:hAnsi="Arial" w:cs="Arial"/>
          <w:bCs/>
          <w:color w:val="161616" w:themeColor="background1" w:themeShade="1A"/>
          <w:sz w:val="22"/>
          <w:szCs w:val="22"/>
          <w:lang w:val="es-ES_tradnl"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71727F">
        <w:rPr>
          <w:rFonts w:ascii="Arial" w:hAnsi="Arial" w:cs="Arial"/>
          <w:bCs/>
          <w:color w:val="161616" w:themeColor="background1" w:themeShade="1A"/>
          <w:sz w:val="22"/>
          <w:szCs w:val="22"/>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7760A660" w14:textId="4C3A1682" w:rsidR="00532B96" w:rsidRPr="0071727F" w:rsidRDefault="00532B96" w:rsidP="0071727F">
      <w:pPr>
        <w:spacing w:before="120" w:line="276" w:lineRule="auto"/>
        <w:ind w:firstLine="709"/>
        <w:jc w:val="both"/>
        <w:rPr>
          <w:rFonts w:ascii="Arial" w:hAnsi="Arial" w:cs="Arial"/>
          <w:bCs/>
          <w:color w:val="161616" w:themeColor="background1" w:themeShade="1A"/>
          <w:sz w:val="22"/>
          <w:szCs w:val="22"/>
          <w:lang w:val="es-ES_tradnl" w:eastAsia="x-none"/>
        </w:rPr>
      </w:pPr>
      <w:r w:rsidRPr="0071727F">
        <w:rPr>
          <w:rFonts w:ascii="Arial" w:hAnsi="Arial" w:cs="Arial"/>
          <w:bCs/>
          <w:color w:val="161616" w:themeColor="background1" w:themeShade="1A"/>
          <w:sz w:val="22"/>
          <w:szCs w:val="22"/>
          <w:lang w:val="es-ES_tradnl" w:eastAsia="x-none"/>
        </w:rPr>
        <w:t>En esta labor es importante tener en cuenta, como lo anotó la Corte Constitucional, en Sentencia C-1153 de noviembre 11 de 2005</w:t>
      </w:r>
      <w:r w:rsidR="002249BC">
        <w:rPr>
          <w:rFonts w:ascii="Arial" w:hAnsi="Arial" w:cs="Arial"/>
          <w:color w:val="161616" w:themeColor="background1" w:themeShade="1A"/>
          <w:sz w:val="22"/>
          <w:szCs w:val="22"/>
          <w:lang w:val="es-ES_tradnl"/>
        </w:rPr>
        <w:t>,</w:t>
      </w:r>
      <w:r w:rsidRPr="0071727F">
        <w:rPr>
          <w:rFonts w:ascii="Arial" w:hAnsi="Arial" w:cs="Arial"/>
          <w:bCs/>
          <w:color w:val="161616" w:themeColor="background1" w:themeShade="1A"/>
          <w:sz w:val="22"/>
          <w:szCs w:val="22"/>
          <w:lang w:val="es-ES_tradnl" w:eastAsia="x-none"/>
        </w:rPr>
        <w:t xml:space="preserve"> </w:t>
      </w:r>
      <w:bookmarkStart w:id="24" w:name="_Hlk74309042"/>
      <w:r w:rsidRPr="0071727F">
        <w:rPr>
          <w:rFonts w:ascii="Arial" w:hAnsi="Arial" w:cs="Arial"/>
          <w:bCs/>
          <w:color w:val="161616" w:themeColor="background1" w:themeShade="1A"/>
          <w:sz w:val="22"/>
          <w:szCs w:val="22"/>
          <w:lang w:val="es-ES_tradnl" w:eastAsia="x-none"/>
        </w:rPr>
        <w:t>que «</w:t>
      </w:r>
      <w:bookmarkEnd w:id="24"/>
      <w:r w:rsidRPr="0071727F">
        <w:rPr>
          <w:rFonts w:ascii="Arial" w:hAnsi="Arial" w:cs="Arial"/>
          <w:bCs/>
          <w:color w:val="161616" w:themeColor="background1" w:themeShade="1A"/>
          <w:sz w:val="22"/>
          <w:szCs w:val="22"/>
          <w:lang w:val="es-ES_tradnl" w:eastAsia="x-none"/>
        </w:rPr>
        <w:t xml:space="preserve">si bien la limitación garantiza la igualdad de condiciones, también es necesario que tal limitación que pretende la igualdad </w:t>
      </w:r>
      <w:bookmarkStart w:id="25" w:name="_Hlk75768308"/>
      <w:r w:rsidRPr="0071727F">
        <w:rPr>
          <w:rFonts w:ascii="Arial" w:hAnsi="Arial" w:cs="Arial"/>
          <w:bCs/>
          <w:color w:val="161616" w:themeColor="background1" w:themeShade="1A"/>
          <w:sz w:val="22"/>
          <w:szCs w:val="22"/>
          <w:lang w:val="es-ES_tradnl" w:eastAsia="x-none"/>
        </w:rPr>
        <w:t>no termine yendo en detrimento de intereses públicos, cuya garantía está en cabeza del ejecutivo, como son los inmersos en las excepciones para la prohibición de contratación</w:t>
      </w:r>
      <w:bookmarkStart w:id="26" w:name="_Hlk74309060"/>
      <w:r w:rsidRPr="0071727F">
        <w:rPr>
          <w:rFonts w:ascii="Arial" w:hAnsi="Arial" w:cs="Arial"/>
          <w:bCs/>
          <w:color w:val="161616" w:themeColor="background1" w:themeShade="1A"/>
          <w:sz w:val="22"/>
          <w:szCs w:val="22"/>
          <w:lang w:val="es-ES_tradnl" w:eastAsia="x-none"/>
        </w:rPr>
        <w:t>»</w:t>
      </w:r>
      <w:bookmarkEnd w:id="26"/>
      <w:r w:rsidRPr="0071727F">
        <w:rPr>
          <w:rStyle w:val="Refdenotaalpie"/>
          <w:rFonts w:ascii="Arial" w:hAnsi="Arial" w:cs="Arial"/>
        </w:rPr>
        <w:footnoteReference w:id="20"/>
      </w:r>
      <w:r w:rsidRPr="0071727F">
        <w:rPr>
          <w:rFonts w:ascii="Arial" w:hAnsi="Arial" w:cs="Arial"/>
          <w:bCs/>
          <w:color w:val="161616" w:themeColor="background1" w:themeShade="1A"/>
          <w:sz w:val="22"/>
          <w:szCs w:val="22"/>
          <w:lang w:val="es-ES_tradnl" w:eastAsia="x-none"/>
        </w:rPr>
        <w:t xml:space="preserve">. </w:t>
      </w:r>
      <w:r w:rsidRPr="0071727F">
        <w:rPr>
          <w:rFonts w:ascii="Arial" w:hAnsi="Arial" w:cs="Arial"/>
          <w:bCs/>
          <w:color w:val="161616" w:themeColor="background1" w:themeShade="1A"/>
          <w:sz w:val="22"/>
          <w:szCs w:val="22"/>
          <w:lang w:val="es-ES_tradnl" w:eastAsia="x-none"/>
        </w:rPr>
        <w:lastRenderedPageBreak/>
        <w:t xml:space="preserve">De ahí que la Corte haya hecho particular énfasis en que las excepciones a la restricción </w:t>
      </w:r>
      <w:r w:rsidR="002249BC">
        <w:rPr>
          <w:rFonts w:ascii="Arial" w:hAnsi="Arial" w:cs="Arial"/>
          <w:bCs/>
          <w:color w:val="161616" w:themeColor="background1" w:themeShade="1A"/>
          <w:sz w:val="22"/>
          <w:szCs w:val="22"/>
          <w:lang w:val="es-ES_tradnl" w:eastAsia="x-none"/>
        </w:rPr>
        <w:t>contemplan</w:t>
      </w:r>
      <w:r w:rsidR="002249BC" w:rsidRPr="0071727F">
        <w:rPr>
          <w:rFonts w:ascii="Arial" w:hAnsi="Arial" w:cs="Arial"/>
          <w:bCs/>
          <w:color w:val="161616" w:themeColor="background1" w:themeShade="1A"/>
          <w:sz w:val="22"/>
          <w:szCs w:val="22"/>
          <w:lang w:val="es-ES_tradnl" w:eastAsia="x-none"/>
        </w:rPr>
        <w:t xml:space="preserve"> </w:t>
      </w:r>
      <w:r w:rsidRPr="0071727F">
        <w:rPr>
          <w:rFonts w:ascii="Arial" w:hAnsi="Arial" w:cs="Arial"/>
          <w:bCs/>
          <w:color w:val="161616" w:themeColor="background1" w:themeShade="1A"/>
          <w:sz w:val="22"/>
          <w:szCs w:val="22"/>
          <w:lang w:val="es-ES_tradnl" w:eastAsia="x-none"/>
        </w:rPr>
        <w:t>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27" w:name="_Hlk75783800"/>
      <w:bookmarkEnd w:id="25"/>
    </w:p>
    <w:p w14:paraId="467F3288" w14:textId="77777777" w:rsidR="00FA28BF" w:rsidRPr="0071727F" w:rsidRDefault="00FA28BF" w:rsidP="00FA28BF">
      <w:pPr>
        <w:rPr>
          <w:rFonts w:ascii="Arial" w:eastAsia="Calibri" w:hAnsi="Arial" w:cs="Arial"/>
          <w:b/>
          <w:noProof/>
          <w:color w:val="161616" w:themeColor="background1" w:themeShade="1A"/>
          <w:sz w:val="22"/>
          <w:szCs w:val="22"/>
          <w:lang w:val="es-ES_tradnl"/>
        </w:rPr>
      </w:pPr>
      <w:bookmarkStart w:id="28" w:name="_1y810tw" w:colFirst="0" w:colLast="0"/>
      <w:bookmarkStart w:id="29" w:name="_2xcytpi" w:colFirst="0" w:colLast="0"/>
      <w:bookmarkStart w:id="30" w:name="_1ci93xb" w:colFirst="0" w:colLast="0"/>
      <w:bookmarkStart w:id="31" w:name="_3whwml4" w:colFirst="0" w:colLast="0"/>
      <w:bookmarkEnd w:id="27"/>
      <w:bookmarkEnd w:id="28"/>
      <w:bookmarkEnd w:id="29"/>
      <w:bookmarkEnd w:id="30"/>
      <w:bookmarkEnd w:id="31"/>
    </w:p>
    <w:p w14:paraId="5FD9CD3E" w14:textId="4B725143" w:rsidR="00762F48" w:rsidRPr="0071727F" w:rsidRDefault="00FA28BF" w:rsidP="0022167B">
      <w:pPr>
        <w:tabs>
          <w:tab w:val="left" w:pos="426"/>
        </w:tabs>
        <w:jc w:val="both"/>
        <w:rPr>
          <w:rFonts w:ascii="Arial" w:eastAsia="Calibri" w:hAnsi="Arial" w:cs="Arial"/>
          <w:b/>
          <w:bCs/>
          <w:color w:val="161616" w:themeColor="background1" w:themeShade="1A"/>
          <w:sz w:val="22"/>
          <w:szCs w:val="22"/>
          <w:lang w:val="es-ES_tradnl"/>
        </w:rPr>
      </w:pPr>
      <w:r w:rsidRPr="0071727F">
        <w:rPr>
          <w:rFonts w:ascii="Arial" w:eastAsia="Calibri" w:hAnsi="Arial" w:cs="Arial"/>
          <w:b/>
          <w:color w:val="161616" w:themeColor="background1" w:themeShade="1A"/>
          <w:sz w:val="22"/>
          <w:szCs w:val="22"/>
          <w:lang w:val="es-ES_tradnl"/>
        </w:rPr>
        <w:t>2.</w:t>
      </w:r>
      <w:r w:rsidR="00F6064F" w:rsidRPr="00E34DEB">
        <w:rPr>
          <w:rFonts w:ascii="Arial" w:eastAsia="Calibri" w:hAnsi="Arial" w:cs="Arial"/>
          <w:b/>
          <w:color w:val="161616" w:themeColor="background1" w:themeShade="1A"/>
          <w:sz w:val="22"/>
          <w:szCs w:val="22"/>
          <w:lang w:val="es-ES_tradnl"/>
        </w:rPr>
        <w:t>3</w:t>
      </w:r>
      <w:r w:rsidR="00247C35" w:rsidRPr="0071727F">
        <w:rPr>
          <w:rFonts w:ascii="Arial" w:eastAsia="Calibri" w:hAnsi="Arial" w:cs="Arial"/>
          <w:b/>
          <w:color w:val="161616" w:themeColor="background1" w:themeShade="1A"/>
          <w:sz w:val="22"/>
          <w:szCs w:val="22"/>
          <w:lang w:val="es-ES_tradnl"/>
        </w:rPr>
        <w:t>.</w:t>
      </w:r>
      <w:r w:rsidRPr="0071727F">
        <w:rPr>
          <w:rFonts w:ascii="Arial" w:eastAsia="Calibri" w:hAnsi="Arial" w:cs="Arial"/>
          <w:b/>
          <w:color w:val="161616" w:themeColor="background1" w:themeShade="1A"/>
          <w:sz w:val="22"/>
          <w:szCs w:val="22"/>
          <w:lang w:val="es-ES_tradnl"/>
        </w:rPr>
        <w:t xml:space="preserve"> </w:t>
      </w:r>
      <w:r w:rsidR="00762F48" w:rsidRPr="0071727F">
        <w:rPr>
          <w:rFonts w:ascii="Arial" w:eastAsia="Calibri" w:hAnsi="Arial" w:cs="Arial"/>
          <w:b/>
          <w:bCs/>
          <w:color w:val="161616" w:themeColor="background1" w:themeShade="1A"/>
          <w:sz w:val="22"/>
          <w:szCs w:val="22"/>
          <w:lang w:val="es-ES_tradnl"/>
        </w:rPr>
        <w:t>Naturaleza del Cuerpo de Bomberos Voluntarios</w:t>
      </w:r>
    </w:p>
    <w:p w14:paraId="3A1FB75D" w14:textId="420CC1CC" w:rsidR="00DC4E41" w:rsidRPr="0071727F" w:rsidRDefault="00DC4E41" w:rsidP="0022167B">
      <w:pPr>
        <w:tabs>
          <w:tab w:val="left" w:pos="426"/>
        </w:tabs>
        <w:jc w:val="both"/>
        <w:rPr>
          <w:rFonts w:ascii="Arial" w:eastAsia="Calibri" w:hAnsi="Arial" w:cs="Arial"/>
          <w:bCs/>
          <w:color w:val="161616" w:themeColor="background1" w:themeShade="1A"/>
          <w:sz w:val="22"/>
          <w:szCs w:val="22"/>
          <w:lang w:val="es-ES_tradnl"/>
        </w:rPr>
      </w:pPr>
    </w:p>
    <w:p w14:paraId="29E4F7CC" w14:textId="22B44316" w:rsidR="004B0B42" w:rsidRPr="0071727F" w:rsidRDefault="00562332" w:rsidP="0071727F">
      <w:pPr>
        <w:pStyle w:val="NormalWeb"/>
        <w:shd w:val="clear" w:color="auto" w:fill="FFFFFF"/>
        <w:spacing w:before="0" w:beforeAutospacing="0" w:after="0" w:afterAutospacing="0"/>
        <w:rPr>
          <w:rFonts w:ascii="Arial" w:eastAsia="Calibri" w:hAnsi="Arial" w:cs="Arial"/>
          <w:noProof/>
          <w:color w:val="161616" w:themeColor="background1" w:themeShade="1A"/>
          <w:sz w:val="22"/>
          <w:szCs w:val="22"/>
          <w:lang w:val="es-ES_tradnl" w:eastAsia="en-GB"/>
        </w:rPr>
      </w:pPr>
      <w:r>
        <w:rPr>
          <w:rFonts w:ascii="Arial" w:eastAsia="Calibri" w:hAnsi="Arial" w:cs="Arial"/>
          <w:noProof/>
          <w:color w:val="161616" w:themeColor="background1" w:themeShade="1A"/>
          <w:sz w:val="22"/>
          <w:szCs w:val="22"/>
          <w:lang w:val="es-ES_tradnl" w:eastAsia="en-GB"/>
        </w:rPr>
        <w:t>El artículo 2 de l</w:t>
      </w:r>
      <w:r w:rsidR="00762F48" w:rsidRPr="0071727F">
        <w:rPr>
          <w:rFonts w:ascii="Arial" w:eastAsia="Calibri" w:hAnsi="Arial" w:cs="Arial"/>
          <w:noProof/>
          <w:color w:val="161616" w:themeColor="background1" w:themeShade="1A"/>
          <w:sz w:val="22"/>
          <w:szCs w:val="22"/>
          <w:lang w:val="es-ES_tradnl"/>
        </w:rPr>
        <w:t>a Ley </w:t>
      </w:r>
      <w:hyperlink r:id="rId13" w:anchor="1575" w:history="1">
        <w:r w:rsidR="00762F48" w:rsidRPr="0071727F">
          <w:rPr>
            <w:rFonts w:ascii="Arial" w:eastAsia="Calibri" w:hAnsi="Arial" w:cs="Arial"/>
            <w:noProof/>
            <w:color w:val="161616" w:themeColor="background1" w:themeShade="1A"/>
            <w:sz w:val="22"/>
            <w:szCs w:val="22"/>
            <w:lang w:val="es-ES_tradnl"/>
          </w:rPr>
          <w:t>1575</w:t>
        </w:r>
      </w:hyperlink>
      <w:r w:rsidR="00762F48" w:rsidRPr="0071727F">
        <w:rPr>
          <w:rFonts w:ascii="Arial" w:eastAsia="Calibri" w:hAnsi="Arial" w:cs="Arial"/>
          <w:noProof/>
          <w:color w:val="161616" w:themeColor="background1" w:themeShade="1A"/>
          <w:sz w:val="22"/>
          <w:szCs w:val="22"/>
          <w:lang w:val="es-ES_tradnl"/>
        </w:rPr>
        <w:t xml:space="preserve"> de 2012 </w:t>
      </w:r>
      <w:r w:rsidR="005F68F7" w:rsidRPr="0071727F">
        <w:rPr>
          <w:rFonts w:ascii="Arial" w:eastAsia="Calibri" w:hAnsi="Arial" w:cs="Arial"/>
          <w:noProof/>
          <w:color w:val="161616" w:themeColor="background1" w:themeShade="1A"/>
          <w:sz w:val="22"/>
          <w:szCs w:val="22"/>
          <w:lang w:val="es-ES_tradnl"/>
        </w:rPr>
        <w:t xml:space="preserve">establece que la organización para la gestión integral del riesgo contra incendio, los preparativos y atención de rescates en todas sus modalidades y la atención de incidentes con materiales peligrosos, </w:t>
      </w:r>
      <w:r w:rsidR="000822A6">
        <w:rPr>
          <w:rFonts w:ascii="Arial" w:eastAsia="Calibri" w:hAnsi="Arial" w:cs="Arial"/>
          <w:noProof/>
          <w:color w:val="161616" w:themeColor="background1" w:themeShade="1A"/>
          <w:sz w:val="22"/>
          <w:szCs w:val="22"/>
          <w:lang w:val="es-ES_tradnl" w:eastAsia="en-GB"/>
        </w:rPr>
        <w:t>estarán</w:t>
      </w:r>
      <w:r>
        <w:rPr>
          <w:rFonts w:ascii="Arial" w:eastAsia="Calibri" w:hAnsi="Arial" w:cs="Arial"/>
          <w:noProof/>
          <w:color w:val="161616" w:themeColor="background1" w:themeShade="1A"/>
          <w:sz w:val="22"/>
          <w:szCs w:val="22"/>
          <w:lang w:val="es-ES_tradnl" w:eastAsia="en-GB"/>
        </w:rPr>
        <w:t xml:space="preserve"> a cargo de las instituciones bomberiles</w:t>
      </w:r>
      <w:r w:rsidR="005F68F7" w:rsidRPr="0071727F">
        <w:rPr>
          <w:rFonts w:ascii="Arial" w:eastAsia="Calibri" w:hAnsi="Arial" w:cs="Arial"/>
          <w:noProof/>
          <w:color w:val="161616" w:themeColor="background1" w:themeShade="1A"/>
          <w:sz w:val="22"/>
          <w:szCs w:val="22"/>
          <w:lang w:val="es-ES_tradnl"/>
        </w:rPr>
        <w:t xml:space="preserve">, </w:t>
      </w:r>
      <w:r w:rsidR="004B0B42" w:rsidRPr="0071727F">
        <w:rPr>
          <w:rFonts w:ascii="Arial" w:eastAsia="Calibri" w:hAnsi="Arial" w:cs="Arial"/>
          <w:noProof/>
          <w:color w:val="161616" w:themeColor="background1" w:themeShade="1A"/>
          <w:sz w:val="22"/>
          <w:szCs w:val="22"/>
          <w:lang w:val="es-ES_tradnl"/>
        </w:rPr>
        <w:t xml:space="preserve">los cuales </w:t>
      </w:r>
      <w:r w:rsidR="005F68F7" w:rsidRPr="0071727F">
        <w:rPr>
          <w:rFonts w:ascii="Arial" w:eastAsia="Calibri" w:hAnsi="Arial" w:cs="Arial"/>
          <w:noProof/>
          <w:color w:val="161616" w:themeColor="background1" w:themeShade="1A"/>
          <w:sz w:val="22"/>
          <w:szCs w:val="22"/>
          <w:lang w:val="es-ES_tradnl"/>
        </w:rPr>
        <w:t>forman parte integral del Sistema Nacional para la Prevención y Atención de Desastres o quien haga sus veces.</w:t>
      </w:r>
      <w:r w:rsidR="00FD5F1B">
        <w:rPr>
          <w:rFonts w:ascii="Arial" w:eastAsia="Calibri" w:hAnsi="Arial" w:cs="Arial"/>
          <w:noProof/>
          <w:color w:val="161616" w:themeColor="background1" w:themeShade="1A"/>
          <w:sz w:val="22"/>
          <w:szCs w:val="22"/>
          <w:lang w:val="es-ES_tradnl" w:eastAsia="en-GB"/>
        </w:rPr>
        <w:t xml:space="preserve"> </w:t>
      </w:r>
      <w:r w:rsidR="004B0B42" w:rsidRPr="0071727F">
        <w:rPr>
          <w:rFonts w:ascii="Arial" w:eastAsia="Calibri" w:hAnsi="Arial" w:cs="Arial"/>
          <w:noProof/>
          <w:color w:val="161616" w:themeColor="background1" w:themeShade="1A"/>
          <w:sz w:val="22"/>
          <w:szCs w:val="22"/>
          <w:lang w:val="es-ES_tradnl" w:eastAsia="en-GB"/>
        </w:rPr>
        <w:t xml:space="preserve">De conformidad con lo señalado en el artículo </w:t>
      </w:r>
      <w:r w:rsidR="00B5487A">
        <w:rPr>
          <w:rFonts w:ascii="Arial" w:eastAsia="Calibri" w:hAnsi="Arial" w:cs="Arial"/>
          <w:noProof/>
          <w:color w:val="161616" w:themeColor="background1" w:themeShade="1A"/>
          <w:sz w:val="22"/>
          <w:szCs w:val="22"/>
          <w:lang w:val="es-ES_tradnl" w:eastAsia="en-GB"/>
        </w:rPr>
        <w:t>4</w:t>
      </w:r>
      <w:r w:rsidR="00B5487A" w:rsidRPr="0071727F">
        <w:rPr>
          <w:rFonts w:ascii="Arial" w:eastAsia="Calibri" w:hAnsi="Arial" w:cs="Arial"/>
          <w:noProof/>
          <w:color w:val="161616" w:themeColor="background1" w:themeShade="1A"/>
          <w:sz w:val="22"/>
          <w:szCs w:val="22"/>
          <w:lang w:val="es-ES_tradnl" w:eastAsia="en-GB"/>
        </w:rPr>
        <w:t xml:space="preserve"> </w:t>
      </w:r>
      <w:r w:rsidR="004B0B42" w:rsidRPr="0071727F">
        <w:rPr>
          <w:rFonts w:ascii="Arial" w:eastAsia="Calibri" w:hAnsi="Arial" w:cs="Arial"/>
          <w:noProof/>
          <w:color w:val="161616" w:themeColor="background1" w:themeShade="1A"/>
          <w:sz w:val="22"/>
          <w:szCs w:val="22"/>
          <w:lang w:val="es-ES_tradnl" w:eastAsia="en-GB"/>
        </w:rPr>
        <w:t xml:space="preserve">de la </w:t>
      </w:r>
      <w:r w:rsidR="00B5487A" w:rsidRPr="0071727F">
        <w:rPr>
          <w:rFonts w:ascii="Arial" w:eastAsia="Calibri" w:hAnsi="Arial" w:cs="Arial"/>
          <w:noProof/>
          <w:color w:val="161616" w:themeColor="background1" w:themeShade="1A"/>
          <w:sz w:val="22"/>
          <w:szCs w:val="22"/>
          <w:lang w:val="es-ES_tradnl" w:eastAsia="en-GB"/>
        </w:rPr>
        <w:t>refer</w:t>
      </w:r>
      <w:r w:rsidR="00B5487A">
        <w:rPr>
          <w:rFonts w:ascii="Arial" w:eastAsia="Calibri" w:hAnsi="Arial" w:cs="Arial"/>
          <w:noProof/>
          <w:color w:val="161616" w:themeColor="background1" w:themeShade="1A"/>
          <w:sz w:val="22"/>
          <w:szCs w:val="22"/>
          <w:lang w:val="es-ES_tradnl" w:eastAsia="en-GB"/>
        </w:rPr>
        <w:t>ida</w:t>
      </w:r>
      <w:r w:rsidR="00B5487A" w:rsidRPr="0071727F">
        <w:rPr>
          <w:rFonts w:ascii="Arial" w:eastAsia="Calibri" w:hAnsi="Arial" w:cs="Arial"/>
          <w:noProof/>
          <w:color w:val="161616" w:themeColor="background1" w:themeShade="1A"/>
          <w:sz w:val="22"/>
          <w:szCs w:val="22"/>
          <w:lang w:val="es-ES_tradnl" w:eastAsia="en-GB"/>
        </w:rPr>
        <w:t xml:space="preserve"> </w:t>
      </w:r>
      <w:r w:rsidR="00B5487A">
        <w:rPr>
          <w:rFonts w:ascii="Arial" w:eastAsia="Calibri" w:hAnsi="Arial" w:cs="Arial"/>
          <w:noProof/>
          <w:color w:val="161616" w:themeColor="background1" w:themeShade="1A"/>
          <w:sz w:val="22"/>
          <w:szCs w:val="22"/>
          <w:lang w:val="es-ES_tradnl" w:eastAsia="en-GB"/>
        </w:rPr>
        <w:t>Ley</w:t>
      </w:r>
      <w:r w:rsidR="004B0B42" w:rsidRPr="0071727F">
        <w:rPr>
          <w:rFonts w:ascii="Arial" w:eastAsia="Calibri" w:hAnsi="Arial" w:cs="Arial"/>
          <w:noProof/>
          <w:color w:val="161616" w:themeColor="background1" w:themeShade="1A"/>
          <w:sz w:val="22"/>
          <w:szCs w:val="22"/>
          <w:lang w:val="es-ES_tradnl" w:eastAsia="en-GB"/>
        </w:rPr>
        <w:t>, las instituciones que integran los bomberos de Colombia son las siguientes:</w:t>
      </w:r>
    </w:p>
    <w:p w14:paraId="315B6EA2" w14:textId="77777777" w:rsidR="004B0B42" w:rsidRPr="0071727F" w:rsidRDefault="004B0B42" w:rsidP="0071727F">
      <w:pPr>
        <w:pStyle w:val="NormalWeb"/>
        <w:shd w:val="clear" w:color="auto" w:fill="FFFFFF"/>
        <w:spacing w:before="0" w:beforeAutospacing="0" w:after="0" w:afterAutospacing="0"/>
        <w:rPr>
          <w:rFonts w:ascii="Arial" w:eastAsia="Calibri" w:hAnsi="Arial" w:cs="Arial"/>
          <w:noProof/>
          <w:color w:val="161616" w:themeColor="background1" w:themeShade="1A"/>
          <w:sz w:val="22"/>
          <w:szCs w:val="22"/>
          <w:lang w:val="es-ES_tradnl" w:eastAsia="en-GB"/>
        </w:rPr>
      </w:pPr>
    </w:p>
    <w:p w14:paraId="500322FA" w14:textId="75615161" w:rsidR="004B0B42" w:rsidRPr="0071727F" w:rsidRDefault="004B0B42" w:rsidP="0071727F">
      <w:pPr>
        <w:pStyle w:val="NormalWeb"/>
        <w:numPr>
          <w:ilvl w:val="0"/>
          <w:numId w:val="11"/>
        </w:numPr>
        <w:shd w:val="clear" w:color="auto" w:fill="FFFFFF"/>
        <w:spacing w:before="0" w:beforeAutospacing="0" w:after="0" w:afterAutospacing="0"/>
        <w:ind w:hanging="11"/>
        <w:rPr>
          <w:rFonts w:ascii="Arial" w:eastAsia="Calibri" w:hAnsi="Arial" w:cs="Arial"/>
          <w:noProof/>
          <w:color w:val="161616" w:themeColor="background1" w:themeShade="1A"/>
          <w:sz w:val="22"/>
          <w:szCs w:val="22"/>
          <w:lang w:val="es-ES_tradnl" w:eastAsia="en-GB"/>
        </w:rPr>
      </w:pPr>
      <w:r w:rsidRPr="0071727F">
        <w:rPr>
          <w:rFonts w:ascii="Arial" w:eastAsia="Calibri" w:hAnsi="Arial" w:cs="Arial"/>
          <w:noProof/>
          <w:color w:val="161616" w:themeColor="background1" w:themeShade="1A"/>
          <w:sz w:val="22"/>
          <w:szCs w:val="22"/>
          <w:lang w:val="es-ES_tradnl" w:eastAsia="en-GB"/>
        </w:rPr>
        <w:t>Los Cuerpos de Bomberos Voluntarios Reconocidos.</w:t>
      </w:r>
    </w:p>
    <w:p w14:paraId="75C89C75" w14:textId="6A2F4F58" w:rsidR="004B0B42" w:rsidRPr="0071727F" w:rsidRDefault="004B0B42" w:rsidP="0071727F">
      <w:pPr>
        <w:pStyle w:val="NormalWeb"/>
        <w:numPr>
          <w:ilvl w:val="0"/>
          <w:numId w:val="11"/>
        </w:numPr>
        <w:shd w:val="clear" w:color="auto" w:fill="FFFFFF"/>
        <w:spacing w:before="0" w:beforeAutospacing="0" w:after="0" w:afterAutospacing="0"/>
        <w:ind w:hanging="11"/>
        <w:rPr>
          <w:rFonts w:ascii="Arial" w:eastAsia="Calibri" w:hAnsi="Arial" w:cs="Arial"/>
          <w:noProof/>
          <w:color w:val="161616" w:themeColor="background1" w:themeShade="1A"/>
          <w:sz w:val="22"/>
          <w:szCs w:val="22"/>
          <w:lang w:val="es-ES_tradnl" w:eastAsia="en-GB"/>
        </w:rPr>
      </w:pPr>
      <w:r w:rsidRPr="0071727F">
        <w:rPr>
          <w:rFonts w:ascii="Arial" w:eastAsia="Calibri" w:hAnsi="Arial" w:cs="Arial"/>
          <w:noProof/>
          <w:color w:val="161616" w:themeColor="background1" w:themeShade="1A"/>
          <w:sz w:val="22"/>
          <w:szCs w:val="22"/>
          <w:lang w:val="es-ES_tradnl" w:eastAsia="en-GB"/>
        </w:rPr>
        <w:t>Los Cuerpos de Bomberos Oficiales.</w:t>
      </w:r>
    </w:p>
    <w:p w14:paraId="78264999" w14:textId="3403C5CD" w:rsidR="004B0B42" w:rsidRPr="0071727F" w:rsidRDefault="004B0B42" w:rsidP="0071727F">
      <w:pPr>
        <w:pStyle w:val="NormalWeb"/>
        <w:numPr>
          <w:ilvl w:val="0"/>
          <w:numId w:val="11"/>
        </w:numPr>
        <w:shd w:val="clear" w:color="auto" w:fill="FFFFFF"/>
        <w:spacing w:before="0" w:beforeAutospacing="0" w:after="0" w:afterAutospacing="0"/>
        <w:ind w:hanging="11"/>
        <w:rPr>
          <w:rFonts w:ascii="Arial" w:eastAsia="Calibri" w:hAnsi="Arial" w:cs="Arial"/>
          <w:noProof/>
          <w:color w:val="161616" w:themeColor="background1" w:themeShade="1A"/>
          <w:sz w:val="22"/>
          <w:szCs w:val="22"/>
          <w:lang w:val="es-ES_tradnl" w:eastAsia="en-GB"/>
        </w:rPr>
      </w:pPr>
      <w:r w:rsidRPr="0071727F">
        <w:rPr>
          <w:rFonts w:ascii="Arial" w:eastAsia="Calibri" w:hAnsi="Arial" w:cs="Arial"/>
          <w:noProof/>
          <w:color w:val="161616" w:themeColor="background1" w:themeShade="1A"/>
          <w:sz w:val="22"/>
          <w:szCs w:val="22"/>
          <w:lang w:val="es-ES_tradnl" w:eastAsia="en-GB"/>
        </w:rPr>
        <w:t>Los Bomberos Aeronáuticos.</w:t>
      </w:r>
    </w:p>
    <w:p w14:paraId="5F00E7D4" w14:textId="0FC8135B" w:rsidR="004B0B42" w:rsidRPr="0071727F" w:rsidRDefault="004B0B42" w:rsidP="0071727F">
      <w:pPr>
        <w:pStyle w:val="NormalWeb"/>
        <w:numPr>
          <w:ilvl w:val="0"/>
          <w:numId w:val="11"/>
        </w:numPr>
        <w:shd w:val="clear" w:color="auto" w:fill="FFFFFF"/>
        <w:spacing w:before="0" w:beforeAutospacing="0" w:after="0" w:afterAutospacing="0"/>
        <w:ind w:hanging="11"/>
        <w:rPr>
          <w:rFonts w:ascii="Arial" w:eastAsia="Calibri" w:hAnsi="Arial" w:cs="Arial"/>
          <w:noProof/>
          <w:color w:val="161616" w:themeColor="background1" w:themeShade="1A"/>
          <w:sz w:val="22"/>
          <w:szCs w:val="22"/>
          <w:lang w:val="es-ES_tradnl" w:eastAsia="en-GB"/>
        </w:rPr>
      </w:pPr>
      <w:r w:rsidRPr="0071727F">
        <w:rPr>
          <w:rFonts w:ascii="Arial" w:eastAsia="Calibri" w:hAnsi="Arial" w:cs="Arial"/>
          <w:noProof/>
          <w:color w:val="161616" w:themeColor="background1" w:themeShade="1A"/>
          <w:sz w:val="22"/>
          <w:szCs w:val="22"/>
          <w:lang w:val="es-ES_tradnl" w:eastAsia="en-GB"/>
        </w:rPr>
        <w:t>Las Juntas Departamentales de Bomberos.</w:t>
      </w:r>
    </w:p>
    <w:p w14:paraId="385342FC" w14:textId="099B4149" w:rsidR="004B0B42" w:rsidRPr="0071727F" w:rsidRDefault="004B0B42" w:rsidP="0071727F">
      <w:pPr>
        <w:pStyle w:val="NormalWeb"/>
        <w:numPr>
          <w:ilvl w:val="0"/>
          <w:numId w:val="11"/>
        </w:numPr>
        <w:shd w:val="clear" w:color="auto" w:fill="FFFFFF"/>
        <w:spacing w:before="0" w:beforeAutospacing="0" w:after="0" w:afterAutospacing="0"/>
        <w:ind w:hanging="11"/>
        <w:rPr>
          <w:rFonts w:ascii="Arial" w:eastAsia="Calibri" w:hAnsi="Arial" w:cs="Arial"/>
          <w:noProof/>
          <w:color w:val="161616" w:themeColor="background1" w:themeShade="1A"/>
          <w:sz w:val="22"/>
          <w:szCs w:val="22"/>
          <w:lang w:val="es-ES_tradnl" w:eastAsia="en-GB"/>
        </w:rPr>
      </w:pPr>
      <w:r w:rsidRPr="0071727F">
        <w:rPr>
          <w:rFonts w:ascii="Arial" w:eastAsia="Calibri" w:hAnsi="Arial" w:cs="Arial"/>
          <w:noProof/>
          <w:color w:val="161616" w:themeColor="background1" w:themeShade="1A"/>
          <w:sz w:val="22"/>
          <w:szCs w:val="22"/>
          <w:lang w:val="es-ES_tradnl" w:eastAsia="en-GB"/>
        </w:rPr>
        <w:t>La Confederación Nacional de Cuerpos de Bomberos.</w:t>
      </w:r>
    </w:p>
    <w:p w14:paraId="6F303F46" w14:textId="24243BFA" w:rsidR="004B0B42" w:rsidRPr="0071727F" w:rsidRDefault="004B0B42" w:rsidP="0071727F">
      <w:pPr>
        <w:pStyle w:val="NormalWeb"/>
        <w:numPr>
          <w:ilvl w:val="0"/>
          <w:numId w:val="11"/>
        </w:numPr>
        <w:shd w:val="clear" w:color="auto" w:fill="FFFFFF"/>
        <w:spacing w:before="0" w:beforeAutospacing="0" w:after="0" w:afterAutospacing="0"/>
        <w:ind w:hanging="11"/>
        <w:rPr>
          <w:rFonts w:ascii="Arial" w:eastAsia="Calibri" w:hAnsi="Arial" w:cs="Arial"/>
          <w:noProof/>
          <w:color w:val="161616" w:themeColor="background1" w:themeShade="1A"/>
          <w:sz w:val="22"/>
          <w:szCs w:val="22"/>
          <w:lang w:val="es-ES_tradnl" w:eastAsia="en-GB"/>
        </w:rPr>
      </w:pPr>
      <w:r w:rsidRPr="0071727F">
        <w:rPr>
          <w:rFonts w:ascii="Arial" w:eastAsia="Calibri" w:hAnsi="Arial" w:cs="Arial"/>
          <w:noProof/>
          <w:color w:val="161616" w:themeColor="background1" w:themeShade="1A"/>
          <w:sz w:val="22"/>
          <w:szCs w:val="22"/>
          <w:lang w:val="es-ES_tradnl" w:eastAsia="en-GB"/>
        </w:rPr>
        <w:t>La Delegación Nacional de Bomberos de Colombia.</w:t>
      </w:r>
    </w:p>
    <w:p w14:paraId="56FFADE1" w14:textId="1D1DB0FA" w:rsidR="004B0B42" w:rsidRPr="0071727F" w:rsidRDefault="004B0B42" w:rsidP="0071727F">
      <w:pPr>
        <w:pStyle w:val="NormalWeb"/>
        <w:numPr>
          <w:ilvl w:val="0"/>
          <w:numId w:val="11"/>
        </w:numPr>
        <w:shd w:val="clear" w:color="auto" w:fill="FFFFFF"/>
        <w:spacing w:before="0" w:beforeAutospacing="0" w:after="0" w:afterAutospacing="0"/>
        <w:ind w:hanging="11"/>
        <w:rPr>
          <w:rFonts w:ascii="Arial" w:eastAsia="Calibri" w:hAnsi="Arial" w:cs="Arial"/>
          <w:noProof/>
          <w:color w:val="161616" w:themeColor="background1" w:themeShade="1A"/>
          <w:sz w:val="22"/>
          <w:szCs w:val="22"/>
          <w:lang w:val="es-ES_tradnl" w:eastAsia="en-GB"/>
        </w:rPr>
      </w:pPr>
      <w:r w:rsidRPr="0071727F">
        <w:rPr>
          <w:rFonts w:ascii="Arial" w:eastAsia="Calibri" w:hAnsi="Arial" w:cs="Arial"/>
          <w:noProof/>
          <w:color w:val="161616" w:themeColor="background1" w:themeShade="1A"/>
          <w:sz w:val="22"/>
          <w:szCs w:val="22"/>
          <w:lang w:val="es-ES_tradnl" w:eastAsia="en-GB"/>
        </w:rPr>
        <w:t>La Junta Nacional de Bomberos de Colombia.</w:t>
      </w:r>
    </w:p>
    <w:p w14:paraId="22F6352A" w14:textId="171B216B" w:rsidR="004B0B42" w:rsidRPr="0071727F" w:rsidRDefault="004B0B42" w:rsidP="0071727F">
      <w:pPr>
        <w:pStyle w:val="NormalWeb"/>
        <w:numPr>
          <w:ilvl w:val="0"/>
          <w:numId w:val="11"/>
        </w:numPr>
        <w:shd w:val="clear" w:color="auto" w:fill="FFFFFF"/>
        <w:spacing w:before="0" w:beforeAutospacing="0" w:after="0" w:afterAutospacing="0"/>
        <w:ind w:hanging="11"/>
        <w:rPr>
          <w:rFonts w:ascii="Arial" w:eastAsia="Calibri" w:hAnsi="Arial" w:cs="Arial"/>
          <w:noProof/>
          <w:color w:val="161616" w:themeColor="background1" w:themeShade="1A"/>
          <w:sz w:val="22"/>
          <w:szCs w:val="22"/>
          <w:lang w:val="es-ES_tradnl" w:eastAsia="en-GB"/>
        </w:rPr>
      </w:pPr>
      <w:r w:rsidRPr="0071727F">
        <w:rPr>
          <w:rFonts w:ascii="Arial" w:eastAsia="Calibri" w:hAnsi="Arial" w:cs="Arial"/>
          <w:noProof/>
          <w:color w:val="161616" w:themeColor="background1" w:themeShade="1A"/>
          <w:sz w:val="22"/>
          <w:szCs w:val="22"/>
          <w:lang w:val="es-ES_tradnl" w:eastAsia="en-GB"/>
        </w:rPr>
        <w:t>La Dirección Nacional de Bomberos de Colombia.</w:t>
      </w:r>
    </w:p>
    <w:p w14:paraId="089BED4B" w14:textId="77777777" w:rsidR="005F68F7" w:rsidRPr="0071727F" w:rsidRDefault="005F68F7" w:rsidP="0022167B">
      <w:pPr>
        <w:pStyle w:val="NormalWeb"/>
        <w:shd w:val="clear" w:color="auto" w:fill="FFFFFF"/>
        <w:spacing w:before="0" w:beforeAutospacing="0" w:after="0" w:afterAutospacing="0" w:line="240" w:lineRule="auto"/>
        <w:rPr>
          <w:rFonts w:ascii="Arial" w:eastAsia="Calibri" w:hAnsi="Arial" w:cs="Arial"/>
          <w:noProof/>
          <w:color w:val="161616" w:themeColor="background1" w:themeShade="1A"/>
          <w:sz w:val="22"/>
          <w:szCs w:val="22"/>
          <w:lang w:val="es-ES_tradnl" w:eastAsia="en-GB"/>
        </w:rPr>
      </w:pPr>
    </w:p>
    <w:p w14:paraId="4C1574DB" w14:textId="4F4C78EF" w:rsidR="009906BE" w:rsidRPr="0071727F" w:rsidRDefault="004B0B42" w:rsidP="0071727F">
      <w:pPr>
        <w:pStyle w:val="NormalWeb"/>
        <w:shd w:val="clear" w:color="auto" w:fill="FFFFFF"/>
        <w:spacing w:before="0" w:beforeAutospacing="0" w:after="0" w:afterAutospacing="0"/>
        <w:ind w:firstLine="709"/>
        <w:rPr>
          <w:rFonts w:ascii="Arial" w:eastAsia="Calibri" w:hAnsi="Arial" w:cs="Arial"/>
          <w:noProof/>
          <w:color w:val="161616" w:themeColor="background1" w:themeShade="1A"/>
          <w:sz w:val="22"/>
          <w:szCs w:val="22"/>
          <w:lang w:val="es-ES_tradnl" w:eastAsia="en-GB"/>
        </w:rPr>
      </w:pPr>
      <w:r w:rsidRPr="0071727F">
        <w:rPr>
          <w:rFonts w:ascii="Arial" w:eastAsia="Calibri" w:hAnsi="Arial" w:cs="Arial"/>
          <w:noProof/>
          <w:color w:val="161616" w:themeColor="background1" w:themeShade="1A"/>
          <w:sz w:val="22"/>
          <w:szCs w:val="22"/>
          <w:lang w:val="es-ES_tradnl"/>
        </w:rPr>
        <w:t>As</w:t>
      </w:r>
      <w:r w:rsidR="00247C35" w:rsidRPr="0071727F">
        <w:rPr>
          <w:rFonts w:ascii="Arial" w:eastAsia="Calibri" w:hAnsi="Arial" w:cs="Arial"/>
          <w:noProof/>
          <w:color w:val="161616" w:themeColor="background1" w:themeShade="1A"/>
          <w:sz w:val="22"/>
          <w:szCs w:val="22"/>
          <w:lang w:val="es-ES_tradnl"/>
        </w:rPr>
        <w:t>í</w:t>
      </w:r>
      <w:r w:rsidRPr="0071727F">
        <w:rPr>
          <w:rFonts w:ascii="Arial" w:eastAsia="Calibri" w:hAnsi="Arial" w:cs="Arial"/>
          <w:noProof/>
          <w:color w:val="161616" w:themeColor="background1" w:themeShade="1A"/>
          <w:sz w:val="22"/>
          <w:szCs w:val="22"/>
          <w:lang w:val="es-ES_tradnl"/>
        </w:rPr>
        <w:t xml:space="preserve"> mismo, el artículo 18 de la Ley </w:t>
      </w:r>
      <w:hyperlink r:id="rId14" w:anchor="1575" w:history="1">
        <w:r w:rsidRPr="0071727F">
          <w:rPr>
            <w:rFonts w:ascii="Arial" w:eastAsia="Calibri" w:hAnsi="Arial" w:cs="Arial"/>
            <w:noProof/>
            <w:color w:val="161616" w:themeColor="background1" w:themeShade="1A"/>
            <w:sz w:val="22"/>
            <w:szCs w:val="22"/>
            <w:lang w:val="es-ES_tradnl"/>
          </w:rPr>
          <w:t>1575</w:t>
        </w:r>
      </w:hyperlink>
      <w:r w:rsidRPr="0071727F">
        <w:rPr>
          <w:rFonts w:ascii="Arial" w:eastAsia="Calibri" w:hAnsi="Arial" w:cs="Arial"/>
          <w:noProof/>
          <w:color w:val="161616" w:themeColor="background1" w:themeShade="1A"/>
          <w:sz w:val="22"/>
          <w:szCs w:val="22"/>
          <w:lang w:val="es-ES_tradnl"/>
        </w:rPr>
        <w:t> de 2012 establece como clases de los Cuerpos de Bomberos los Oficiales, Voluntarios y Aeronáuticos y define los cuerpos de</w:t>
      </w:r>
      <w:r w:rsidR="00915933" w:rsidRPr="0071727F">
        <w:rPr>
          <w:rFonts w:ascii="Arial" w:eastAsia="Calibri" w:hAnsi="Arial" w:cs="Arial"/>
          <w:noProof/>
          <w:color w:val="161616" w:themeColor="background1" w:themeShade="1A"/>
          <w:sz w:val="22"/>
          <w:szCs w:val="22"/>
          <w:lang w:val="es-ES_tradnl"/>
        </w:rPr>
        <w:t xml:space="preserve"> </w:t>
      </w:r>
      <w:r w:rsidRPr="0071727F">
        <w:rPr>
          <w:rFonts w:ascii="Arial" w:eastAsia="Calibri" w:hAnsi="Arial" w:cs="Arial"/>
          <w:noProof/>
          <w:color w:val="161616" w:themeColor="background1" w:themeShade="1A"/>
          <w:sz w:val="22"/>
          <w:szCs w:val="22"/>
          <w:lang w:val="es-ES_tradnl"/>
        </w:rPr>
        <w:t>bomberos voluntarios como</w:t>
      </w:r>
      <w:r w:rsidR="00915933" w:rsidRPr="0071727F">
        <w:rPr>
          <w:rFonts w:ascii="Arial" w:eastAsia="Calibri" w:hAnsi="Arial" w:cs="Arial"/>
          <w:noProof/>
          <w:color w:val="161616" w:themeColor="background1" w:themeShade="1A"/>
          <w:sz w:val="22"/>
          <w:szCs w:val="22"/>
          <w:lang w:val="es-ES_tradnl"/>
        </w:rPr>
        <w:t>:</w:t>
      </w:r>
      <w:r w:rsidR="009922C8" w:rsidRPr="0071727F">
        <w:rPr>
          <w:rFonts w:ascii="Arial" w:eastAsia="Calibri" w:hAnsi="Arial" w:cs="Arial"/>
          <w:noProof/>
          <w:color w:val="161616" w:themeColor="background1" w:themeShade="1A"/>
          <w:sz w:val="22"/>
          <w:szCs w:val="22"/>
          <w:lang w:val="es-ES_tradnl"/>
        </w:rPr>
        <w:t xml:space="preserve"> </w:t>
      </w:r>
      <w:r w:rsidRPr="0071727F">
        <w:rPr>
          <w:rFonts w:ascii="Arial" w:eastAsia="Calibri" w:hAnsi="Arial" w:cs="Arial"/>
          <w:noProof/>
          <w:color w:val="161616" w:themeColor="background1" w:themeShade="1A"/>
          <w:sz w:val="22"/>
          <w:szCs w:val="22"/>
          <w:lang w:val="es-ES_tradnl"/>
        </w:rPr>
        <w:t>«aquellos organizados como asociaciones sin ánimo de lucro, de utilidad común y con personería jurídica expedida por las secretarías de gobierno departamentales, organizadas para la prestación del servicio público para la gestión integral del riesgo contra incendio, los preparativos y atención de rescates en todas sus modalidades y la atención de incidentes con materiales peligrosos, en los términos del artículo segundo de la presente ley y con certificado de cumplimiento expedido por la dirección Nacional de Bomberos»</w:t>
      </w:r>
      <w:r w:rsidRPr="0071727F">
        <w:rPr>
          <w:rStyle w:val="Refdenotaalpie"/>
          <w:rFonts w:ascii="Arial" w:eastAsia="Calibri" w:hAnsi="Arial" w:cs="Arial"/>
        </w:rPr>
        <w:footnoteReference w:id="21"/>
      </w:r>
      <w:r w:rsidR="009906BE">
        <w:rPr>
          <w:rFonts w:ascii="Arial" w:eastAsia="Calibri" w:hAnsi="Arial" w:cs="Arial"/>
          <w:noProof/>
          <w:color w:val="161616" w:themeColor="background1" w:themeShade="1A"/>
          <w:sz w:val="22"/>
          <w:szCs w:val="22"/>
          <w:lang w:val="es-ES_tradnl" w:eastAsia="en-GB"/>
        </w:rPr>
        <w:t>.</w:t>
      </w:r>
    </w:p>
    <w:p w14:paraId="580975E2" w14:textId="6941B73C" w:rsidR="009906BE" w:rsidRPr="0071727F" w:rsidRDefault="00914F6A" w:rsidP="0071727F">
      <w:pPr>
        <w:pStyle w:val="NormalWeb"/>
        <w:shd w:val="clear" w:color="auto" w:fill="FFFFFF"/>
        <w:spacing w:before="120" w:beforeAutospacing="0" w:after="0" w:afterAutospacing="0"/>
        <w:ind w:firstLine="709"/>
        <w:rPr>
          <w:rFonts w:ascii="Arial" w:eastAsia="Calibri" w:hAnsi="Arial" w:cs="Arial"/>
          <w:noProof/>
          <w:color w:val="161616" w:themeColor="background1" w:themeShade="1A"/>
          <w:sz w:val="22"/>
          <w:szCs w:val="22"/>
          <w:lang w:val="es-ES_tradnl" w:eastAsia="en-GB"/>
        </w:rPr>
      </w:pPr>
      <w:r w:rsidRPr="0071727F">
        <w:rPr>
          <w:rFonts w:ascii="Arial" w:eastAsia="Calibri" w:hAnsi="Arial" w:cs="Arial"/>
          <w:noProof/>
          <w:color w:val="161616" w:themeColor="background1" w:themeShade="1A"/>
          <w:sz w:val="22"/>
          <w:szCs w:val="22"/>
          <w:lang w:val="es-ES_tradnl"/>
        </w:rPr>
        <w:lastRenderedPageBreak/>
        <w:t>Respecto de la naturaleza jurídica de los bomberos voluntarios, el Consejo de Estado, mediante concepto </w:t>
      </w:r>
      <w:hyperlink r:id="rId15" w:anchor="1494" w:history="1">
        <w:r w:rsidRPr="0071727F">
          <w:rPr>
            <w:rFonts w:ascii="Arial" w:eastAsia="Calibri" w:hAnsi="Arial" w:cs="Arial"/>
            <w:noProof/>
            <w:color w:val="161616" w:themeColor="background1" w:themeShade="1A"/>
            <w:sz w:val="22"/>
            <w:szCs w:val="22"/>
            <w:lang w:val="es-ES_tradnl"/>
          </w:rPr>
          <w:t>1494</w:t>
        </w:r>
      </w:hyperlink>
      <w:r w:rsidRPr="0071727F">
        <w:rPr>
          <w:rFonts w:ascii="Arial" w:eastAsia="Calibri" w:hAnsi="Arial" w:cs="Arial"/>
          <w:noProof/>
          <w:color w:val="161616" w:themeColor="background1" w:themeShade="1A"/>
          <w:sz w:val="22"/>
          <w:szCs w:val="22"/>
          <w:lang w:val="es-ES_tradnl"/>
        </w:rPr>
        <w:t> del 4 de Julio de 2003</w:t>
      </w:r>
      <w:r w:rsidR="00361B7E">
        <w:rPr>
          <w:rStyle w:val="Refdenotaalpie"/>
          <w:rFonts w:ascii="Arial" w:eastAsia="Calibri" w:hAnsi="Arial" w:cs="Arial"/>
          <w:noProof/>
          <w:color w:val="161616" w:themeColor="background1" w:themeShade="1A"/>
          <w:sz w:val="22"/>
          <w:szCs w:val="22"/>
          <w:lang w:val="es-ES_tradnl"/>
        </w:rPr>
        <w:footnoteReference w:id="22"/>
      </w:r>
      <w:r w:rsidRPr="0071727F">
        <w:rPr>
          <w:rFonts w:ascii="Arial" w:eastAsia="Calibri" w:hAnsi="Arial" w:cs="Arial"/>
          <w:noProof/>
          <w:color w:val="161616" w:themeColor="background1" w:themeShade="1A"/>
          <w:sz w:val="22"/>
          <w:szCs w:val="22"/>
          <w:lang w:val="es-ES_tradnl"/>
        </w:rPr>
        <w:t>, indicó que si bien los bomberos voluntarios desarrollan un servicio público, no cumplen función pública asignada expresamente por el legislador; en ese sentido, no pueden ser considerados servidores públicos.</w:t>
      </w:r>
    </w:p>
    <w:p w14:paraId="7895C965" w14:textId="26DF0F80" w:rsidR="00762F48" w:rsidRPr="0071727F" w:rsidRDefault="00914F6A" w:rsidP="0071727F">
      <w:pPr>
        <w:pStyle w:val="NormalWeb"/>
        <w:shd w:val="clear" w:color="auto" w:fill="FFFFFF"/>
        <w:spacing w:before="120" w:beforeAutospacing="0" w:after="0" w:afterAutospacing="0"/>
        <w:ind w:firstLine="709"/>
        <w:rPr>
          <w:rFonts w:ascii="Arial" w:eastAsia="Calibri" w:hAnsi="Arial" w:cs="Arial"/>
          <w:noProof/>
          <w:sz w:val="22"/>
          <w:szCs w:val="22"/>
          <w:lang w:val="es-ES_tradnl"/>
        </w:rPr>
      </w:pPr>
      <w:r w:rsidRPr="0071727F">
        <w:rPr>
          <w:rFonts w:ascii="Arial" w:eastAsia="Calibri" w:hAnsi="Arial" w:cs="Arial"/>
          <w:noProof/>
          <w:sz w:val="22"/>
          <w:szCs w:val="22"/>
          <w:lang w:val="es-ES_tradnl"/>
        </w:rPr>
        <w:t>En este mismo sentido, l</w:t>
      </w:r>
      <w:r w:rsidR="00762F48" w:rsidRPr="0071727F">
        <w:rPr>
          <w:rFonts w:ascii="Arial" w:eastAsia="Calibri" w:hAnsi="Arial" w:cs="Arial"/>
          <w:noProof/>
          <w:sz w:val="22"/>
          <w:szCs w:val="22"/>
          <w:lang w:val="es-ES_tradnl"/>
        </w:rPr>
        <w:t>a Corte Constitucional en sentencia C-770 de 1998, con ponencia del Magistrado Dr. Alejandro Martínez Caballero, respecto de la naturaleza jurídica de los bomberos voluntarios, manifestó:</w:t>
      </w:r>
    </w:p>
    <w:p w14:paraId="255C2D5E" w14:textId="77777777" w:rsidR="00762F48" w:rsidRPr="0071727F" w:rsidRDefault="00762F48" w:rsidP="0022167B">
      <w:pPr>
        <w:shd w:val="clear" w:color="auto" w:fill="FFFFFF"/>
        <w:rPr>
          <w:rFonts w:ascii="Arial" w:eastAsia="Calibri" w:hAnsi="Arial" w:cs="Arial"/>
          <w:noProof/>
          <w:color w:val="161616" w:themeColor="background1" w:themeShade="1A"/>
          <w:sz w:val="22"/>
          <w:szCs w:val="22"/>
          <w:lang w:val="es-ES_tradnl"/>
        </w:rPr>
      </w:pPr>
    </w:p>
    <w:p w14:paraId="5C45246C" w14:textId="74569F64" w:rsidR="00762F48" w:rsidRPr="0071727F" w:rsidRDefault="009922C8" w:rsidP="0071727F">
      <w:pPr>
        <w:shd w:val="clear" w:color="auto" w:fill="FFFFFF"/>
        <w:ind w:left="709" w:right="709"/>
        <w:jc w:val="both"/>
        <w:rPr>
          <w:rFonts w:ascii="Arial" w:eastAsia="Calibri" w:hAnsi="Arial" w:cs="Arial"/>
          <w:noProof/>
          <w:color w:val="161616" w:themeColor="background1" w:themeShade="1A"/>
          <w:sz w:val="21"/>
          <w:szCs w:val="21"/>
          <w:lang w:val="es-ES_tradnl"/>
        </w:rPr>
      </w:pPr>
      <w:r w:rsidRPr="0071727F">
        <w:rPr>
          <w:rFonts w:ascii="Arial" w:eastAsia="Arial" w:hAnsi="Arial" w:cs="Arial"/>
          <w:color w:val="161616" w:themeColor="background1" w:themeShade="1A"/>
          <w:sz w:val="21"/>
          <w:szCs w:val="21"/>
          <w:lang w:val="es-ES_tradnl"/>
        </w:rPr>
        <w:t xml:space="preserve">[…] </w:t>
      </w:r>
      <w:r w:rsidR="00914F6A" w:rsidRPr="0071727F">
        <w:rPr>
          <w:rFonts w:ascii="Arial" w:eastAsia="Calibri" w:hAnsi="Arial" w:cs="Arial"/>
          <w:noProof/>
          <w:color w:val="161616" w:themeColor="background1" w:themeShade="1A"/>
          <w:sz w:val="21"/>
          <w:szCs w:val="21"/>
          <w:lang w:val="es-ES_tradnl"/>
        </w:rPr>
        <w:t>Los cuerpos de bomberos voluntarios no son una simple asociación privada o un club recreacional sino que desarrollan un servicio público de importancia y riesgo, como es el servicio de bomberos. En efecto, la propia ley es clara en señalar que esas entidades asociativas se desarrollan para la prevención de incendios y calamidades, y como tales se encargan de un servicio público cuya deficiente prestación puede poner en peligro la vida, la integridad personal y los bienes de los asociados. Por ende, debido a tal razón, la posibilidad de intervención de la ley es mayor, ya que si bien los servicios públicos pueden ser prestados por los particulares y por las comunidades, a la ley corresponde establecer su régimen jurídico y el Estado debe regularlos, controlarlos y vigilarlos. En el presente caso, el deber de vigilancia estatal es aún más claro, debido a los riesgos catastróficos que derivan de los incendios deficientemente prevenidos o controlados, por lo cual es normal que existan regulaciones encaminadas a garantizar la idoneidad y eficiencia de los cuerpos de bomberos, sean éstos oficiales o voluntarios</w:t>
      </w:r>
      <w:r w:rsidR="0020324E">
        <w:rPr>
          <w:rFonts w:ascii="Arial" w:eastAsia="Calibri" w:hAnsi="Arial" w:cs="Arial"/>
          <w:noProof/>
          <w:color w:val="161616" w:themeColor="background1" w:themeShade="1A"/>
          <w:sz w:val="21"/>
          <w:szCs w:val="21"/>
          <w:lang w:val="es-ES_tradnl"/>
        </w:rPr>
        <w:t>.</w:t>
      </w:r>
      <w:r w:rsidRPr="0071727F">
        <w:rPr>
          <w:rFonts w:ascii="Arial" w:eastAsia="Calibri" w:hAnsi="Arial" w:cs="Arial"/>
          <w:noProof/>
          <w:color w:val="161616" w:themeColor="background1" w:themeShade="1A"/>
          <w:sz w:val="21"/>
          <w:szCs w:val="21"/>
          <w:lang w:val="es-ES_tradnl"/>
        </w:rPr>
        <w:t xml:space="preserve"> </w:t>
      </w:r>
    </w:p>
    <w:p w14:paraId="639322B1" w14:textId="77777777" w:rsidR="00762F48" w:rsidRPr="0071727F" w:rsidRDefault="00762F48" w:rsidP="0022167B">
      <w:pPr>
        <w:shd w:val="clear" w:color="auto" w:fill="FFFFFF"/>
        <w:ind w:left="567" w:right="1041"/>
        <w:jc w:val="both"/>
        <w:rPr>
          <w:rFonts w:ascii="Arial" w:eastAsia="Calibri" w:hAnsi="Arial" w:cs="Arial"/>
          <w:noProof/>
          <w:color w:val="161616" w:themeColor="background1" w:themeShade="1A"/>
          <w:sz w:val="22"/>
          <w:szCs w:val="22"/>
          <w:lang w:val="es-ES_tradnl"/>
        </w:rPr>
      </w:pPr>
    </w:p>
    <w:p w14:paraId="1EA6C9E1" w14:textId="0670294C" w:rsidR="00762F48" w:rsidRPr="0071727F" w:rsidRDefault="00762F48" w:rsidP="0071727F">
      <w:pPr>
        <w:shd w:val="clear" w:color="auto" w:fill="FFFFFF"/>
        <w:spacing w:line="276" w:lineRule="auto"/>
        <w:ind w:firstLine="709"/>
        <w:jc w:val="both"/>
        <w:rPr>
          <w:rFonts w:ascii="Arial" w:eastAsia="Calibri" w:hAnsi="Arial" w:cs="Arial"/>
          <w:noProof/>
          <w:color w:val="161616" w:themeColor="background1" w:themeShade="1A"/>
          <w:sz w:val="22"/>
          <w:szCs w:val="22"/>
          <w:lang w:val="es-ES_tradnl"/>
        </w:rPr>
      </w:pPr>
      <w:r w:rsidRPr="0071727F">
        <w:rPr>
          <w:rFonts w:ascii="Arial" w:eastAsia="Calibri" w:hAnsi="Arial" w:cs="Arial"/>
          <w:noProof/>
          <w:color w:val="161616" w:themeColor="background1" w:themeShade="1A"/>
          <w:sz w:val="22"/>
          <w:szCs w:val="22"/>
          <w:lang w:val="es-ES_tradnl"/>
        </w:rPr>
        <w:t xml:space="preserve">De acuerdo con lo anterior, es viable manifestar que los bomberos voluntarios se conforman como una asociación privada organizada sin ánimo de lucro para la prestación de un servicio público, es decir que su naturaleza jurídica es privada.  </w:t>
      </w:r>
    </w:p>
    <w:p w14:paraId="7F9B6D97" w14:textId="77777777" w:rsidR="00762F48" w:rsidRPr="0071727F" w:rsidRDefault="00762F48" w:rsidP="0022167B">
      <w:pPr>
        <w:jc w:val="both"/>
        <w:outlineLvl w:val="0"/>
        <w:rPr>
          <w:rFonts w:ascii="Arial" w:eastAsia="Calibri" w:hAnsi="Arial" w:cs="Arial"/>
          <w:b/>
          <w:color w:val="161616" w:themeColor="background1" w:themeShade="1A"/>
          <w:sz w:val="22"/>
          <w:szCs w:val="22"/>
          <w:lang w:val="es-ES_tradnl"/>
        </w:rPr>
      </w:pPr>
    </w:p>
    <w:p w14:paraId="35292705" w14:textId="17ECFEB6" w:rsidR="0002739B" w:rsidRPr="0071727F" w:rsidRDefault="00247C35" w:rsidP="0022167B">
      <w:pPr>
        <w:jc w:val="both"/>
        <w:outlineLvl w:val="0"/>
        <w:rPr>
          <w:rFonts w:ascii="Arial" w:eastAsia="Calibri" w:hAnsi="Arial" w:cs="Arial"/>
          <w:b/>
          <w:color w:val="161616" w:themeColor="background1" w:themeShade="1A"/>
          <w:sz w:val="22"/>
          <w:szCs w:val="22"/>
          <w:lang w:val="es-ES_tradnl"/>
        </w:rPr>
      </w:pPr>
      <w:r w:rsidRPr="0071727F">
        <w:rPr>
          <w:rFonts w:ascii="Arial" w:eastAsia="Calibri" w:hAnsi="Arial" w:cs="Arial"/>
          <w:b/>
          <w:color w:val="161616" w:themeColor="background1" w:themeShade="1A"/>
          <w:sz w:val="22"/>
          <w:szCs w:val="22"/>
          <w:lang w:val="es-ES_tradnl"/>
        </w:rPr>
        <w:t>2.</w:t>
      </w:r>
      <w:r w:rsidR="00441EE4" w:rsidRPr="00E34DEB">
        <w:rPr>
          <w:rFonts w:ascii="Arial" w:eastAsia="Calibri" w:hAnsi="Arial" w:cs="Arial"/>
          <w:b/>
          <w:color w:val="161616" w:themeColor="background1" w:themeShade="1A"/>
          <w:sz w:val="22"/>
          <w:szCs w:val="22"/>
          <w:lang w:val="es-ES_tradnl"/>
        </w:rPr>
        <w:t>4</w:t>
      </w:r>
      <w:r w:rsidRPr="0071727F">
        <w:rPr>
          <w:rFonts w:ascii="Arial" w:eastAsia="Calibri" w:hAnsi="Arial" w:cs="Arial"/>
          <w:b/>
          <w:color w:val="161616" w:themeColor="background1" w:themeShade="1A"/>
          <w:sz w:val="22"/>
          <w:szCs w:val="22"/>
          <w:lang w:val="es-ES_tradnl"/>
        </w:rPr>
        <w:t>. Contratos de Comodato de</w:t>
      </w:r>
      <w:r w:rsidR="0002739B" w:rsidRPr="0071727F">
        <w:rPr>
          <w:rFonts w:ascii="Arial" w:eastAsia="Calibri" w:hAnsi="Arial" w:cs="Arial"/>
          <w:b/>
          <w:color w:val="161616" w:themeColor="background1" w:themeShade="1A"/>
          <w:sz w:val="22"/>
          <w:szCs w:val="22"/>
          <w:lang w:val="es-ES_tradnl"/>
        </w:rPr>
        <w:t xml:space="preserve"> Entidades públicas</w:t>
      </w:r>
      <w:r w:rsidRPr="0071727F">
        <w:rPr>
          <w:rFonts w:ascii="Arial" w:eastAsia="Calibri" w:hAnsi="Arial" w:cs="Arial"/>
          <w:b/>
          <w:color w:val="161616" w:themeColor="background1" w:themeShade="1A"/>
          <w:sz w:val="22"/>
          <w:szCs w:val="22"/>
          <w:lang w:val="es-ES_tradnl"/>
        </w:rPr>
        <w:t xml:space="preserve"> </w:t>
      </w:r>
      <w:r w:rsidR="0002739B" w:rsidRPr="0071727F">
        <w:rPr>
          <w:rFonts w:ascii="Arial" w:eastAsia="Calibri" w:hAnsi="Arial" w:cs="Arial"/>
          <w:b/>
          <w:color w:val="161616" w:themeColor="background1" w:themeShade="1A"/>
          <w:sz w:val="22"/>
          <w:szCs w:val="22"/>
          <w:lang w:val="es-ES_tradnl"/>
        </w:rPr>
        <w:t>- ESAL</w:t>
      </w:r>
    </w:p>
    <w:p w14:paraId="49013E11" w14:textId="77777777" w:rsidR="00017245" w:rsidRPr="0071727F" w:rsidRDefault="00017245" w:rsidP="0022167B">
      <w:pPr>
        <w:widowControl w:val="0"/>
        <w:ind w:firstLine="709"/>
        <w:rPr>
          <w:rFonts w:ascii="Arial" w:hAnsi="Arial" w:cs="Arial"/>
          <w:color w:val="161616" w:themeColor="background1" w:themeShade="1A"/>
          <w:sz w:val="22"/>
          <w:szCs w:val="22"/>
          <w:lang w:val="es-ES_tradnl"/>
        </w:rPr>
      </w:pPr>
    </w:p>
    <w:p w14:paraId="4DE53BEC" w14:textId="11214930" w:rsidR="001A40A1" w:rsidRPr="0071727F" w:rsidRDefault="009922C8" w:rsidP="0071727F">
      <w:pPr>
        <w:widowControl w:val="0"/>
        <w:spacing w:line="276" w:lineRule="auto"/>
        <w:jc w:val="both"/>
        <w:rPr>
          <w:rFonts w:ascii="Arial" w:eastAsia="Calibri" w:hAnsi="Arial" w:cs="Arial"/>
          <w:color w:val="161616" w:themeColor="background1" w:themeShade="1A"/>
          <w:sz w:val="22"/>
          <w:szCs w:val="22"/>
          <w:lang w:val="es-ES_tradnl" w:eastAsia="es-CO"/>
        </w:rPr>
      </w:pPr>
      <w:r w:rsidRPr="0071727F">
        <w:rPr>
          <w:rFonts w:ascii="Arial" w:eastAsia="Arial" w:hAnsi="Arial" w:cs="Arial"/>
          <w:color w:val="161616" w:themeColor="background1" w:themeShade="1A"/>
          <w:sz w:val="22"/>
          <w:szCs w:val="22"/>
          <w:lang w:val="es-ES_tradnl"/>
        </w:rPr>
        <w:t xml:space="preserve">El </w:t>
      </w:r>
      <w:r w:rsidR="00017245" w:rsidRPr="0071727F">
        <w:rPr>
          <w:rFonts w:ascii="Arial" w:eastAsia="Arial" w:hAnsi="Arial" w:cs="Arial"/>
          <w:color w:val="161616" w:themeColor="background1" w:themeShade="1A"/>
          <w:sz w:val="22"/>
          <w:szCs w:val="22"/>
          <w:lang w:val="es-ES_tradnl"/>
        </w:rPr>
        <w:t xml:space="preserve">contrato de comodato es un acuerdo de voluntades en virtud del cual una parte </w:t>
      </w:r>
      <w:r w:rsidR="006F6168">
        <w:rPr>
          <w:rFonts w:ascii="Arial" w:eastAsia="Arial" w:hAnsi="Arial" w:cs="Arial"/>
          <w:color w:val="161616" w:themeColor="background1" w:themeShade="1A"/>
          <w:sz w:val="22"/>
          <w:szCs w:val="22"/>
          <w:lang w:val="es-ES_tradnl"/>
        </w:rPr>
        <w:t xml:space="preserve">pone a </w:t>
      </w:r>
      <w:r w:rsidR="006F6168">
        <w:rPr>
          <w:rFonts w:ascii="Arial" w:eastAsia="Arial" w:hAnsi="Arial" w:cs="Arial"/>
          <w:color w:val="161616" w:themeColor="background1" w:themeShade="1A"/>
          <w:sz w:val="22"/>
          <w:szCs w:val="22"/>
          <w:lang w:val="es-ES_tradnl"/>
        </w:rPr>
        <w:lastRenderedPageBreak/>
        <w:t>disposición</w:t>
      </w:r>
      <w:r w:rsidR="006F6168" w:rsidRPr="0071727F">
        <w:rPr>
          <w:rFonts w:ascii="Arial" w:eastAsia="Arial" w:hAnsi="Arial" w:cs="Arial"/>
          <w:color w:val="161616" w:themeColor="background1" w:themeShade="1A"/>
          <w:sz w:val="22"/>
          <w:szCs w:val="22"/>
          <w:lang w:val="es-ES_tradnl"/>
        </w:rPr>
        <w:t xml:space="preserve"> </w:t>
      </w:r>
      <w:r w:rsidR="00017245" w:rsidRPr="0071727F">
        <w:rPr>
          <w:rFonts w:ascii="Arial" w:eastAsia="Arial" w:hAnsi="Arial" w:cs="Arial"/>
          <w:color w:val="161616" w:themeColor="background1" w:themeShade="1A"/>
          <w:sz w:val="22"/>
          <w:szCs w:val="22"/>
          <w:lang w:val="es-ES_tradnl"/>
        </w:rPr>
        <w:t>gratuita</w:t>
      </w:r>
      <w:r w:rsidR="004A0085">
        <w:rPr>
          <w:rFonts w:ascii="Arial" w:eastAsia="Arial" w:hAnsi="Arial" w:cs="Arial"/>
          <w:color w:val="161616" w:themeColor="background1" w:themeShade="1A"/>
          <w:sz w:val="22"/>
          <w:szCs w:val="22"/>
          <w:lang w:val="es-ES_tradnl"/>
        </w:rPr>
        <w:t>mente</w:t>
      </w:r>
      <w:r w:rsidR="00017245" w:rsidRPr="0071727F">
        <w:rPr>
          <w:rFonts w:ascii="Arial" w:eastAsia="Arial" w:hAnsi="Arial" w:cs="Arial"/>
          <w:color w:val="161616" w:themeColor="background1" w:themeShade="1A"/>
          <w:sz w:val="22"/>
          <w:szCs w:val="22"/>
          <w:lang w:val="es-ES_tradnl"/>
        </w:rPr>
        <w:t xml:space="preserve"> a otra un bien mueble o raíz para que lo use</w:t>
      </w:r>
      <w:r w:rsidR="00017245" w:rsidRPr="0071727F">
        <w:rPr>
          <w:rStyle w:val="Refdenotaalpie"/>
          <w:rFonts w:eastAsia="Arial"/>
        </w:rPr>
        <w:footnoteReference w:id="23"/>
      </w:r>
      <w:r w:rsidR="00017245" w:rsidRPr="0071727F">
        <w:rPr>
          <w:rFonts w:ascii="Arial" w:eastAsia="Arial" w:hAnsi="Arial" w:cs="Arial"/>
          <w:color w:val="161616" w:themeColor="background1" w:themeShade="1A"/>
          <w:sz w:val="22"/>
          <w:szCs w:val="22"/>
          <w:lang w:val="es-ES_tradnl"/>
        </w:rPr>
        <w:t xml:space="preserve">. La celebración de este contrato implica que el negocio jurídico esté dirigido a hacer la entrega de un bien, sin que por </w:t>
      </w:r>
      <w:r w:rsidR="006F6168">
        <w:rPr>
          <w:rFonts w:ascii="Arial" w:eastAsia="Arial" w:hAnsi="Arial" w:cs="Arial"/>
          <w:color w:val="161616" w:themeColor="background1" w:themeShade="1A"/>
          <w:sz w:val="22"/>
          <w:szCs w:val="22"/>
          <w:lang w:val="es-ES_tradnl"/>
        </w:rPr>
        <w:t>esta</w:t>
      </w:r>
      <w:r w:rsidR="00017245" w:rsidRPr="0071727F">
        <w:rPr>
          <w:rFonts w:ascii="Arial" w:eastAsia="Arial" w:hAnsi="Arial" w:cs="Arial"/>
          <w:color w:val="161616" w:themeColor="background1" w:themeShade="1A"/>
          <w:sz w:val="22"/>
          <w:szCs w:val="22"/>
          <w:lang w:val="es-ES_tradnl"/>
        </w:rPr>
        <w:t xml:space="preserve"> se obtenga una contraprestación. Por tanto, el contrato es</w:t>
      </w:r>
      <w:r w:rsidR="004F3CDF">
        <w:rPr>
          <w:rFonts w:ascii="Arial" w:eastAsia="Arial" w:hAnsi="Arial" w:cs="Arial"/>
          <w:color w:val="161616" w:themeColor="background1" w:themeShade="1A"/>
          <w:sz w:val="22"/>
          <w:szCs w:val="22"/>
          <w:lang w:val="es-ES_tradnl"/>
        </w:rPr>
        <w:t>,</w:t>
      </w:r>
      <w:r w:rsidR="00017245" w:rsidRPr="0071727F">
        <w:rPr>
          <w:rFonts w:ascii="Arial" w:eastAsia="Arial" w:hAnsi="Arial" w:cs="Arial"/>
          <w:color w:val="161616" w:themeColor="background1" w:themeShade="1A"/>
          <w:sz w:val="22"/>
          <w:szCs w:val="22"/>
          <w:lang w:val="es-ES_tradnl"/>
        </w:rPr>
        <w:t xml:space="preserve"> por naturaleza</w:t>
      </w:r>
      <w:r w:rsidR="004F3CDF">
        <w:rPr>
          <w:rFonts w:ascii="Arial" w:eastAsia="Arial" w:hAnsi="Arial" w:cs="Arial"/>
          <w:color w:val="161616" w:themeColor="background1" w:themeShade="1A"/>
          <w:sz w:val="22"/>
          <w:szCs w:val="22"/>
          <w:lang w:val="es-ES_tradnl"/>
        </w:rPr>
        <w:t>,</w:t>
      </w:r>
      <w:r w:rsidR="00017245" w:rsidRPr="0071727F">
        <w:rPr>
          <w:rFonts w:ascii="Arial" w:eastAsia="Arial" w:hAnsi="Arial" w:cs="Arial"/>
          <w:color w:val="161616" w:themeColor="background1" w:themeShade="1A"/>
          <w:sz w:val="22"/>
          <w:szCs w:val="22"/>
          <w:lang w:val="es-ES_tradnl"/>
        </w:rPr>
        <w:t xml:space="preserve"> gratuito</w:t>
      </w:r>
      <w:r w:rsidR="004F3CDF">
        <w:rPr>
          <w:rFonts w:ascii="Arial" w:eastAsia="Arial" w:hAnsi="Arial" w:cs="Arial"/>
          <w:color w:val="161616" w:themeColor="background1" w:themeShade="1A"/>
          <w:sz w:val="22"/>
          <w:szCs w:val="22"/>
          <w:lang w:val="es-ES_tradnl"/>
        </w:rPr>
        <w:t>,</w:t>
      </w:r>
      <w:r w:rsidR="00017245" w:rsidRPr="0071727F">
        <w:rPr>
          <w:rFonts w:ascii="Arial" w:eastAsia="Arial" w:hAnsi="Arial" w:cs="Arial"/>
          <w:color w:val="161616" w:themeColor="background1" w:themeShade="1A"/>
          <w:sz w:val="22"/>
          <w:szCs w:val="22"/>
          <w:lang w:val="es-ES_tradnl"/>
        </w:rPr>
        <w:t xml:space="preserve"> porque el uso y el goce se entrega al comodatario</w:t>
      </w:r>
      <w:r w:rsidR="004F3CDF">
        <w:rPr>
          <w:rFonts w:ascii="Arial" w:eastAsia="Arial" w:hAnsi="Arial" w:cs="Arial"/>
          <w:color w:val="161616" w:themeColor="background1" w:themeShade="1A"/>
          <w:sz w:val="22"/>
          <w:szCs w:val="22"/>
          <w:lang w:val="es-ES_tradnl"/>
        </w:rPr>
        <w:t>, es decir,</w:t>
      </w:r>
      <w:r w:rsidR="00017245" w:rsidRPr="0071727F">
        <w:rPr>
          <w:rFonts w:ascii="Arial" w:eastAsia="Arial" w:hAnsi="Arial" w:cs="Arial"/>
          <w:color w:val="161616" w:themeColor="background1" w:themeShade="1A"/>
          <w:sz w:val="22"/>
          <w:szCs w:val="22"/>
          <w:lang w:val="es-ES_tradnl"/>
        </w:rPr>
        <w:t xml:space="preserve"> </w:t>
      </w:r>
      <w:r w:rsidR="004F3CDF">
        <w:rPr>
          <w:rFonts w:ascii="Arial" w:eastAsia="Arial" w:hAnsi="Arial" w:cs="Arial"/>
          <w:color w:val="161616" w:themeColor="background1" w:themeShade="1A"/>
          <w:sz w:val="22"/>
          <w:szCs w:val="22"/>
          <w:lang w:val="es-ES_tradnl"/>
        </w:rPr>
        <w:t xml:space="preserve">a la </w:t>
      </w:r>
      <w:r w:rsidR="00017245" w:rsidRPr="0071727F">
        <w:rPr>
          <w:rFonts w:ascii="Arial" w:eastAsia="Arial" w:hAnsi="Arial" w:cs="Arial"/>
          <w:color w:val="161616" w:themeColor="background1" w:themeShade="1A"/>
          <w:sz w:val="22"/>
          <w:szCs w:val="22"/>
          <w:lang w:val="es-ES_tradnl"/>
        </w:rPr>
        <w:t>persona que disfruta del bien</w:t>
      </w:r>
      <w:r w:rsidR="004F3CDF">
        <w:rPr>
          <w:rFonts w:ascii="Arial" w:eastAsia="Arial" w:hAnsi="Arial" w:cs="Arial"/>
          <w:color w:val="161616" w:themeColor="background1" w:themeShade="1A"/>
          <w:sz w:val="22"/>
          <w:szCs w:val="22"/>
          <w:lang w:val="es-ES_tradnl"/>
        </w:rPr>
        <w:t xml:space="preserve">, </w:t>
      </w:r>
      <w:r w:rsidR="00E16924">
        <w:rPr>
          <w:rFonts w:ascii="Arial" w:eastAsia="Arial" w:hAnsi="Arial" w:cs="Arial"/>
          <w:color w:val="161616" w:themeColor="background1" w:themeShade="1A"/>
          <w:sz w:val="22"/>
          <w:szCs w:val="22"/>
          <w:lang w:val="es-ES_tradnl"/>
        </w:rPr>
        <w:t>sin que esta se obligue a pagar</w:t>
      </w:r>
      <w:r w:rsidR="006F6168">
        <w:rPr>
          <w:rFonts w:ascii="Arial" w:eastAsia="Arial" w:hAnsi="Arial" w:cs="Arial"/>
          <w:color w:val="161616" w:themeColor="background1" w:themeShade="1A"/>
          <w:sz w:val="22"/>
          <w:szCs w:val="22"/>
          <w:lang w:val="es-ES_tradnl"/>
        </w:rPr>
        <w:t xml:space="preserve"> por ello</w:t>
      </w:r>
      <w:r w:rsidR="00017245" w:rsidRPr="0071727F">
        <w:rPr>
          <w:rFonts w:ascii="Arial" w:eastAsia="Arial" w:hAnsi="Arial" w:cs="Arial"/>
          <w:color w:val="161616" w:themeColor="background1" w:themeShade="1A"/>
          <w:sz w:val="22"/>
          <w:szCs w:val="22"/>
          <w:lang w:val="es-ES_tradnl"/>
        </w:rPr>
        <w:t>. En consecuencia, si se trata de un bien que produce frutos naturales o civiles, es el comodatario quien recibirá dichos frutos</w:t>
      </w:r>
      <w:r w:rsidR="00017245" w:rsidRPr="0071727F">
        <w:rPr>
          <w:rStyle w:val="Refdenotaalpie"/>
          <w:rFonts w:eastAsia="Arial"/>
        </w:rPr>
        <w:footnoteReference w:id="24"/>
      </w:r>
      <w:r w:rsidR="00017245" w:rsidRPr="0071727F">
        <w:rPr>
          <w:rFonts w:ascii="Arial" w:eastAsia="Arial" w:hAnsi="Arial" w:cs="Arial"/>
          <w:color w:val="161616" w:themeColor="background1" w:themeShade="1A"/>
          <w:sz w:val="22"/>
          <w:szCs w:val="22"/>
          <w:lang w:val="es-ES_tradnl"/>
        </w:rPr>
        <w:t>.</w:t>
      </w:r>
    </w:p>
    <w:p w14:paraId="771EE76A" w14:textId="56C8E08B" w:rsidR="00E16924" w:rsidRPr="0071727F" w:rsidRDefault="0002739B" w:rsidP="0071727F">
      <w:pPr>
        <w:spacing w:before="120" w:line="276" w:lineRule="auto"/>
        <w:ind w:firstLine="709"/>
        <w:jc w:val="both"/>
        <w:rPr>
          <w:rFonts w:ascii="Arial" w:hAnsi="Arial" w:cs="Arial"/>
          <w:color w:val="161616" w:themeColor="background1" w:themeShade="1A"/>
          <w:sz w:val="22"/>
          <w:szCs w:val="22"/>
          <w:shd w:val="clear" w:color="auto" w:fill="FFFFFF"/>
          <w:lang w:val="es-ES_tradnl"/>
        </w:rPr>
      </w:pPr>
      <w:r w:rsidRPr="0071727F">
        <w:rPr>
          <w:rFonts w:ascii="Arial" w:eastAsia="Calibri" w:hAnsi="Arial" w:cs="Arial"/>
          <w:color w:val="161616" w:themeColor="background1" w:themeShade="1A"/>
          <w:sz w:val="22"/>
          <w:szCs w:val="22"/>
          <w:lang w:val="es-ES_tradnl" w:eastAsia="es-CO"/>
        </w:rPr>
        <w:t xml:space="preserve">Conforme </w:t>
      </w:r>
      <w:r w:rsidR="006F6168">
        <w:rPr>
          <w:rFonts w:ascii="Arial" w:eastAsia="Calibri" w:hAnsi="Arial" w:cs="Arial"/>
          <w:color w:val="161616" w:themeColor="background1" w:themeShade="1A"/>
          <w:sz w:val="22"/>
          <w:szCs w:val="22"/>
          <w:lang w:val="es-ES_tradnl" w:eastAsia="es-CO"/>
        </w:rPr>
        <w:t>se indicó</w:t>
      </w:r>
      <w:r w:rsidRPr="0071727F">
        <w:rPr>
          <w:rFonts w:ascii="Arial" w:eastAsia="Calibri" w:hAnsi="Arial" w:cs="Arial"/>
          <w:color w:val="161616" w:themeColor="background1" w:themeShade="1A"/>
          <w:sz w:val="22"/>
          <w:szCs w:val="22"/>
          <w:lang w:val="es-ES_tradnl" w:eastAsia="es-CO"/>
        </w:rPr>
        <w:t xml:space="preserve"> en el concepto C</w:t>
      </w:r>
      <w:r w:rsidR="0020059F" w:rsidRPr="0071727F">
        <w:rPr>
          <w:rFonts w:ascii="Arial" w:eastAsia="Calibri" w:hAnsi="Arial" w:cs="Arial"/>
          <w:color w:val="161616" w:themeColor="background1" w:themeShade="1A"/>
          <w:sz w:val="22"/>
          <w:szCs w:val="22"/>
          <w:lang w:val="es-ES_tradnl" w:eastAsia="es-CO"/>
        </w:rPr>
        <w:t xml:space="preserve">- </w:t>
      </w:r>
      <w:r w:rsidRPr="0071727F">
        <w:rPr>
          <w:rFonts w:ascii="Arial" w:eastAsia="Calibri" w:hAnsi="Arial" w:cs="Arial"/>
          <w:color w:val="161616" w:themeColor="background1" w:themeShade="1A"/>
          <w:sz w:val="22"/>
          <w:szCs w:val="22"/>
          <w:lang w:val="es-ES_tradnl" w:eastAsia="es-CO"/>
        </w:rPr>
        <w:t>014 de 2020</w:t>
      </w:r>
      <w:r w:rsidR="006F6168">
        <w:rPr>
          <w:rFonts w:ascii="Arial" w:eastAsia="Calibri" w:hAnsi="Arial" w:cs="Arial"/>
          <w:color w:val="161616" w:themeColor="background1" w:themeShade="1A"/>
          <w:sz w:val="22"/>
          <w:szCs w:val="22"/>
          <w:lang w:val="es-ES_tradnl" w:eastAsia="es-CO"/>
        </w:rPr>
        <w:t>,</w:t>
      </w:r>
      <w:r w:rsidRPr="0071727F">
        <w:rPr>
          <w:rFonts w:ascii="Arial" w:eastAsia="Calibri" w:hAnsi="Arial" w:cs="Arial"/>
          <w:b/>
          <w:color w:val="161616" w:themeColor="background1" w:themeShade="1A"/>
          <w:sz w:val="22"/>
          <w:szCs w:val="22"/>
          <w:lang w:val="es-ES_tradnl"/>
        </w:rPr>
        <w:t xml:space="preserve"> </w:t>
      </w:r>
      <w:r w:rsidRPr="0071727F">
        <w:rPr>
          <w:rFonts w:ascii="Arial" w:eastAsia="Calibri" w:hAnsi="Arial" w:cs="Arial"/>
          <w:color w:val="161616" w:themeColor="background1" w:themeShade="1A"/>
          <w:sz w:val="22"/>
          <w:szCs w:val="22"/>
          <w:lang w:val="es-ES_tradnl" w:eastAsia="es-CO"/>
        </w:rPr>
        <w:t>de la Agencia Nacional de Contratación Pública</w:t>
      </w:r>
      <w:r w:rsidR="006F6168">
        <w:rPr>
          <w:rFonts w:ascii="Arial" w:eastAsia="Calibri" w:hAnsi="Arial" w:cs="Arial"/>
          <w:color w:val="161616" w:themeColor="background1" w:themeShade="1A"/>
          <w:sz w:val="22"/>
          <w:szCs w:val="22"/>
          <w:lang w:val="es-ES_tradnl" w:eastAsia="es-CO"/>
        </w:rPr>
        <w:t xml:space="preserve"> – Colombia Compra Eficiente,</w:t>
      </w:r>
      <w:r w:rsidRPr="0071727F">
        <w:rPr>
          <w:rFonts w:ascii="Arial" w:eastAsia="Calibri" w:hAnsi="Arial" w:cs="Arial"/>
          <w:color w:val="161616" w:themeColor="background1" w:themeShade="1A"/>
          <w:sz w:val="22"/>
          <w:szCs w:val="22"/>
          <w:lang w:val="es-ES_tradnl" w:eastAsia="es-CO"/>
        </w:rPr>
        <w:t xml:space="preserve"> </w:t>
      </w:r>
      <w:r w:rsidRPr="0071727F">
        <w:rPr>
          <w:rFonts w:ascii="Arial" w:hAnsi="Arial" w:cs="Arial"/>
          <w:color w:val="161616" w:themeColor="background1" w:themeShade="1A"/>
          <w:sz w:val="22"/>
          <w:szCs w:val="22"/>
          <w:lang w:val="es-ES_tradnl" w:eastAsia="es-CO"/>
        </w:rPr>
        <w:t>«</w:t>
      </w:r>
      <w:r w:rsidRPr="0071727F">
        <w:rPr>
          <w:rFonts w:ascii="Arial" w:eastAsia="Calibri" w:hAnsi="Arial" w:cs="Arial"/>
          <w:color w:val="161616" w:themeColor="background1" w:themeShade="1A"/>
          <w:sz w:val="22"/>
          <w:szCs w:val="22"/>
          <w:lang w:val="es-ES_tradnl" w:eastAsia="es-CO"/>
        </w:rPr>
        <w:t>el contrato de comodato es una de las tantas prestaciones que hace parte de la colaboración conjunta entre las entidades públicas y las ESAL para el cumplimiento de objetivos de interés general previstos en los planes de desarrollo o para el cumplimiento de las funciones de las entidades públicas</w:t>
      </w:r>
      <w:r w:rsidRPr="0071727F">
        <w:rPr>
          <w:rFonts w:ascii="Arial" w:hAnsi="Arial" w:cs="Arial"/>
          <w:iCs/>
          <w:color w:val="161616" w:themeColor="background1" w:themeShade="1A"/>
          <w:sz w:val="22"/>
          <w:szCs w:val="22"/>
          <w:shd w:val="clear" w:color="auto" w:fill="FFFFFF"/>
          <w:lang w:val="es-ES_tradnl"/>
        </w:rPr>
        <w:t>»</w:t>
      </w:r>
      <w:r w:rsidRPr="0071727F">
        <w:rPr>
          <w:rFonts w:ascii="Arial" w:eastAsia="Calibri" w:hAnsi="Arial" w:cs="Arial"/>
          <w:color w:val="161616" w:themeColor="background1" w:themeShade="1A"/>
          <w:sz w:val="22"/>
          <w:szCs w:val="22"/>
          <w:lang w:val="es-ES_tradnl" w:eastAsia="es-CO"/>
        </w:rPr>
        <w:t xml:space="preserve"> y en tal sentido, el comodato –sea de bienes inmuebles o muebles– está incorporado en los artículos 2 y 5 del Decreto 092 de 2017, de tal suerte que, por regla general </w:t>
      </w:r>
      <w:r w:rsidR="005601A8">
        <w:rPr>
          <w:rFonts w:ascii="Arial" w:hAnsi="Arial" w:cs="Arial"/>
          <w:color w:val="161616" w:themeColor="background1" w:themeShade="1A"/>
          <w:sz w:val="22"/>
          <w:szCs w:val="22"/>
          <w:shd w:val="clear" w:color="auto" w:fill="FFFFFF"/>
          <w:lang w:val="es-ES_tradnl"/>
        </w:rPr>
        <w:t>requiere que se adelante</w:t>
      </w:r>
      <w:r w:rsidRPr="0071727F">
        <w:rPr>
          <w:rFonts w:ascii="Arial" w:hAnsi="Arial" w:cs="Arial"/>
          <w:color w:val="161616" w:themeColor="background1" w:themeShade="1A"/>
          <w:sz w:val="22"/>
          <w:szCs w:val="22"/>
          <w:shd w:val="clear" w:color="auto" w:fill="FFFFFF"/>
          <w:lang w:val="es-ES_tradnl"/>
        </w:rPr>
        <w:t xml:space="preserve"> un proceso competitivo, salvo </w:t>
      </w:r>
      <w:r w:rsidR="005601A8">
        <w:rPr>
          <w:rFonts w:ascii="Arial" w:hAnsi="Arial" w:cs="Arial"/>
          <w:color w:val="161616" w:themeColor="background1" w:themeShade="1A"/>
          <w:sz w:val="22"/>
          <w:szCs w:val="22"/>
          <w:shd w:val="clear" w:color="auto" w:fill="FFFFFF"/>
          <w:lang w:val="es-ES_tradnl"/>
        </w:rPr>
        <w:t xml:space="preserve">las </w:t>
      </w:r>
      <w:r w:rsidRPr="0071727F">
        <w:rPr>
          <w:rFonts w:ascii="Arial" w:hAnsi="Arial" w:cs="Arial"/>
          <w:color w:val="161616" w:themeColor="background1" w:themeShade="1A"/>
          <w:sz w:val="22"/>
          <w:szCs w:val="22"/>
          <w:shd w:val="clear" w:color="auto" w:fill="FFFFFF"/>
          <w:lang w:val="es-ES_tradnl"/>
        </w:rPr>
        <w:t>excepciones previstas</w:t>
      </w:r>
      <w:r w:rsidR="005601A8">
        <w:rPr>
          <w:rFonts w:ascii="Arial" w:hAnsi="Arial" w:cs="Arial"/>
          <w:color w:val="161616" w:themeColor="background1" w:themeShade="1A"/>
          <w:sz w:val="22"/>
          <w:szCs w:val="22"/>
          <w:shd w:val="clear" w:color="auto" w:fill="FFFFFF"/>
          <w:lang w:val="es-ES_tradnl"/>
        </w:rPr>
        <w:t xml:space="preserve"> en dicho Decreto</w:t>
      </w:r>
      <w:r w:rsidRPr="0071727F">
        <w:rPr>
          <w:rFonts w:ascii="Arial" w:hAnsi="Arial" w:cs="Arial"/>
          <w:color w:val="161616" w:themeColor="background1" w:themeShade="1A"/>
          <w:sz w:val="22"/>
          <w:szCs w:val="22"/>
          <w:shd w:val="clear" w:color="auto" w:fill="FFFFFF"/>
          <w:lang w:val="es-ES_tradnl"/>
        </w:rPr>
        <w:t xml:space="preserve">. </w:t>
      </w:r>
    </w:p>
    <w:p w14:paraId="385D9CED" w14:textId="78DE5E20" w:rsidR="00017245" w:rsidRPr="0071727F" w:rsidRDefault="00243EE8" w:rsidP="0071727F">
      <w:pPr>
        <w:spacing w:before="120" w:line="276" w:lineRule="auto"/>
        <w:ind w:firstLine="709"/>
        <w:jc w:val="both"/>
        <w:rPr>
          <w:rFonts w:ascii="Arial" w:eastAsia="Arial" w:hAnsi="Arial" w:cs="Arial"/>
          <w:color w:val="161616" w:themeColor="background1" w:themeShade="1A"/>
          <w:sz w:val="22"/>
          <w:szCs w:val="22"/>
          <w:lang w:val="es-ES_tradnl"/>
        </w:rPr>
      </w:pPr>
      <w:r>
        <w:rPr>
          <w:rFonts w:ascii="Arial" w:eastAsia="Arial" w:hAnsi="Arial" w:cs="Arial"/>
          <w:color w:val="161616" w:themeColor="background1" w:themeShade="1A"/>
          <w:sz w:val="22"/>
          <w:szCs w:val="22"/>
          <w:lang w:val="es-ES_tradnl"/>
        </w:rPr>
        <w:t>A partir de las consideraciones anteriores</w:t>
      </w:r>
      <w:r>
        <w:rPr>
          <w:rFonts w:ascii="Arial" w:hAnsi="Arial" w:cs="Arial"/>
          <w:color w:val="161616" w:themeColor="background1" w:themeShade="1A"/>
          <w:sz w:val="22"/>
          <w:szCs w:val="22"/>
          <w:shd w:val="clear" w:color="auto" w:fill="FFFFFF"/>
          <w:lang w:val="es-ES_tradnl"/>
        </w:rPr>
        <w:t xml:space="preserve">, se concluye que </w:t>
      </w:r>
      <w:r w:rsidR="002075B6">
        <w:rPr>
          <w:rFonts w:ascii="Arial" w:hAnsi="Arial" w:cs="Arial"/>
          <w:color w:val="161616" w:themeColor="background1" w:themeShade="1A"/>
          <w:sz w:val="22"/>
          <w:szCs w:val="22"/>
          <w:shd w:val="clear" w:color="auto" w:fill="FFFFFF"/>
          <w:lang w:val="es-ES_tradnl"/>
        </w:rPr>
        <w:t xml:space="preserve">en la actualidad se encuentran vigentes los artículos 33 y </w:t>
      </w:r>
      <w:r w:rsidR="00817C29">
        <w:rPr>
          <w:rFonts w:ascii="Arial" w:hAnsi="Arial" w:cs="Arial"/>
          <w:color w:val="161616" w:themeColor="background1" w:themeShade="1A"/>
          <w:sz w:val="22"/>
          <w:szCs w:val="22"/>
          <w:shd w:val="clear" w:color="auto" w:fill="FFFFFF"/>
          <w:lang w:val="es-ES_tradnl"/>
        </w:rPr>
        <w:t xml:space="preserve">38 de la Ley 996 de 2005, que consagran, </w:t>
      </w:r>
      <w:r w:rsidR="00624498">
        <w:rPr>
          <w:rFonts w:ascii="Arial" w:hAnsi="Arial" w:cs="Arial"/>
          <w:color w:val="161616" w:themeColor="background1" w:themeShade="1A"/>
          <w:sz w:val="22"/>
          <w:szCs w:val="22"/>
          <w:shd w:val="clear" w:color="auto" w:fill="FFFFFF"/>
          <w:lang w:val="es-ES_tradnl"/>
        </w:rPr>
        <w:t>respectivamente</w:t>
      </w:r>
      <w:r w:rsidR="00817C29">
        <w:rPr>
          <w:rFonts w:ascii="Arial" w:hAnsi="Arial" w:cs="Arial"/>
          <w:color w:val="161616" w:themeColor="background1" w:themeShade="1A"/>
          <w:sz w:val="22"/>
          <w:szCs w:val="22"/>
          <w:shd w:val="clear" w:color="auto" w:fill="FFFFFF"/>
          <w:lang w:val="es-ES_tradnl"/>
        </w:rPr>
        <w:t>, prohibiciones para contratar directamente</w:t>
      </w:r>
      <w:r w:rsidR="00624498">
        <w:rPr>
          <w:rFonts w:ascii="Arial" w:hAnsi="Arial" w:cs="Arial"/>
          <w:color w:val="161616" w:themeColor="background1" w:themeShade="1A"/>
          <w:sz w:val="22"/>
          <w:szCs w:val="22"/>
          <w:shd w:val="clear" w:color="auto" w:fill="FFFFFF"/>
          <w:lang w:val="es-ES_tradnl"/>
        </w:rPr>
        <w:t xml:space="preserve"> y para celebrar contratos interadministrativos, salvo excepciones. En tal medida</w:t>
      </w:r>
      <w:r w:rsidR="005D1BC0">
        <w:rPr>
          <w:rFonts w:ascii="Arial" w:hAnsi="Arial" w:cs="Arial"/>
          <w:color w:val="161616" w:themeColor="background1" w:themeShade="1A"/>
          <w:sz w:val="22"/>
          <w:szCs w:val="22"/>
          <w:shd w:val="clear" w:color="auto" w:fill="FFFFFF"/>
          <w:lang w:val="es-ES_tradnl"/>
        </w:rPr>
        <w:t xml:space="preserve">, en principio está prohibida </w:t>
      </w:r>
      <w:r w:rsidR="005D1BC0" w:rsidRPr="0071727F">
        <w:rPr>
          <w:rFonts w:ascii="Arial" w:hAnsi="Arial" w:cs="Arial"/>
          <w:i/>
          <w:iCs/>
          <w:color w:val="161616" w:themeColor="background1" w:themeShade="1A"/>
          <w:sz w:val="22"/>
          <w:szCs w:val="22"/>
          <w:shd w:val="clear" w:color="auto" w:fill="FFFFFF"/>
          <w:lang w:val="es-ES_tradnl"/>
        </w:rPr>
        <w:t>la contratación directa</w:t>
      </w:r>
      <w:r w:rsidR="005D1BC0">
        <w:rPr>
          <w:rFonts w:ascii="Arial" w:hAnsi="Arial" w:cs="Arial"/>
          <w:color w:val="161616" w:themeColor="background1" w:themeShade="1A"/>
          <w:sz w:val="22"/>
          <w:szCs w:val="22"/>
          <w:shd w:val="clear" w:color="auto" w:fill="FFFFFF"/>
          <w:lang w:val="es-ES_tradnl"/>
        </w:rPr>
        <w:t xml:space="preserve"> tanto de los cuerpos de bomberos</w:t>
      </w:r>
      <w:r w:rsidR="000F2EE1">
        <w:rPr>
          <w:rFonts w:ascii="Arial" w:hAnsi="Arial" w:cs="Arial"/>
          <w:color w:val="161616" w:themeColor="background1" w:themeShade="1A"/>
          <w:sz w:val="22"/>
          <w:szCs w:val="22"/>
          <w:shd w:val="clear" w:color="auto" w:fill="FFFFFF"/>
          <w:lang w:val="es-ES_tradnl"/>
        </w:rPr>
        <w:t xml:space="preserve"> voluntarios</w:t>
      </w:r>
      <w:r w:rsidR="005D1BC0">
        <w:rPr>
          <w:rFonts w:ascii="Arial" w:hAnsi="Arial" w:cs="Arial"/>
          <w:color w:val="161616" w:themeColor="background1" w:themeShade="1A"/>
          <w:sz w:val="22"/>
          <w:szCs w:val="22"/>
          <w:shd w:val="clear" w:color="auto" w:fill="FFFFFF"/>
          <w:lang w:val="es-ES_tradnl"/>
        </w:rPr>
        <w:t xml:space="preserve">, como de los </w:t>
      </w:r>
      <w:r w:rsidR="00B84416">
        <w:rPr>
          <w:rFonts w:ascii="Arial" w:hAnsi="Arial" w:cs="Arial"/>
          <w:color w:val="161616" w:themeColor="background1" w:themeShade="1A"/>
          <w:sz w:val="22"/>
          <w:szCs w:val="22"/>
          <w:shd w:val="clear" w:color="auto" w:fill="FFFFFF"/>
          <w:lang w:val="es-ES_tradnl"/>
        </w:rPr>
        <w:t xml:space="preserve">comodatos requeridos, salvo que se presenten los requisitos para celebrar, </w:t>
      </w:r>
      <w:r w:rsidR="00B84416" w:rsidRPr="0071727F">
        <w:rPr>
          <w:rFonts w:ascii="Arial" w:hAnsi="Arial" w:cs="Arial"/>
          <w:i/>
          <w:iCs/>
          <w:color w:val="161616" w:themeColor="background1" w:themeShade="1A"/>
          <w:sz w:val="22"/>
          <w:szCs w:val="22"/>
          <w:shd w:val="clear" w:color="auto" w:fill="FFFFFF"/>
          <w:lang w:val="es-ES_tradnl"/>
        </w:rPr>
        <w:t>de manera competitiva</w:t>
      </w:r>
      <w:r w:rsidR="00FC5EB6">
        <w:rPr>
          <w:rFonts w:ascii="Arial" w:hAnsi="Arial" w:cs="Arial"/>
          <w:color w:val="161616" w:themeColor="background1" w:themeShade="1A"/>
          <w:sz w:val="22"/>
          <w:szCs w:val="22"/>
          <w:shd w:val="clear" w:color="auto" w:fill="FFFFFF"/>
          <w:lang w:val="es-ES_tradnl"/>
        </w:rPr>
        <w:t>, los convenios de interés público o de asociación regulados en el Decreto 092 de 2017 o que se configure alguna de las excepciones previstas en el artículo 33 de la Ley 996 de 2005.</w:t>
      </w:r>
    </w:p>
    <w:p w14:paraId="32AC2979" w14:textId="77777777" w:rsidR="00EB03A0" w:rsidRPr="0071727F" w:rsidRDefault="00EB03A0" w:rsidP="0022167B">
      <w:pPr>
        <w:pBdr>
          <w:top w:val="nil"/>
          <w:left w:val="nil"/>
          <w:bottom w:val="nil"/>
          <w:right w:val="nil"/>
          <w:between w:val="nil"/>
        </w:pBdr>
        <w:ind w:left="100" w:right="102" w:firstLine="620"/>
        <w:jc w:val="both"/>
        <w:rPr>
          <w:rFonts w:ascii="Arial" w:eastAsia="Arial" w:hAnsi="Arial" w:cs="Arial"/>
          <w:color w:val="161616" w:themeColor="background1" w:themeShade="1A"/>
          <w:sz w:val="22"/>
          <w:szCs w:val="22"/>
          <w:lang w:val="es-ES_tradnl"/>
        </w:rPr>
      </w:pPr>
    </w:p>
    <w:p w14:paraId="3EA1DB63" w14:textId="50821B13" w:rsidR="00E54365" w:rsidRPr="0071727F" w:rsidRDefault="00E54365" w:rsidP="0022167B">
      <w:pPr>
        <w:rPr>
          <w:rFonts w:ascii="Arial" w:eastAsia="Calibri" w:hAnsi="Arial" w:cs="Arial"/>
          <w:b/>
          <w:noProof/>
          <w:color w:val="161616" w:themeColor="background1" w:themeShade="1A"/>
          <w:sz w:val="22"/>
          <w:szCs w:val="22"/>
          <w:lang w:val="es-ES_tradnl"/>
        </w:rPr>
      </w:pPr>
      <w:r w:rsidRPr="0071727F">
        <w:rPr>
          <w:rFonts w:ascii="Arial" w:eastAsia="Calibri" w:hAnsi="Arial" w:cs="Arial"/>
          <w:b/>
          <w:noProof/>
          <w:color w:val="161616" w:themeColor="background1" w:themeShade="1A"/>
          <w:sz w:val="22"/>
          <w:szCs w:val="22"/>
          <w:lang w:val="es-ES_tradnl"/>
        </w:rPr>
        <w:t xml:space="preserve">3. Respuesta </w:t>
      </w:r>
    </w:p>
    <w:p w14:paraId="3A415E19" w14:textId="2AD3AB43" w:rsidR="00853AE0" w:rsidRPr="0071727F" w:rsidRDefault="00853AE0" w:rsidP="0022167B">
      <w:pPr>
        <w:ind w:right="760"/>
        <w:rPr>
          <w:rFonts w:ascii="Arial" w:hAnsi="Arial" w:cs="Arial"/>
          <w:color w:val="161616" w:themeColor="background1" w:themeShade="1A"/>
          <w:sz w:val="22"/>
          <w:szCs w:val="22"/>
          <w:lang w:val="es-ES_tradnl"/>
        </w:rPr>
      </w:pPr>
    </w:p>
    <w:p w14:paraId="32D3469B" w14:textId="37C63664" w:rsidR="00F26F3C" w:rsidRPr="0071727F" w:rsidRDefault="00C96C1B" w:rsidP="00635DED">
      <w:pPr>
        <w:ind w:left="709" w:right="709"/>
        <w:jc w:val="both"/>
        <w:rPr>
          <w:rFonts w:ascii="Arial" w:hAnsi="Arial" w:cs="Arial"/>
          <w:color w:val="161616" w:themeColor="background1" w:themeShade="1A"/>
          <w:sz w:val="21"/>
          <w:szCs w:val="21"/>
          <w:lang w:val="es-ES_tradnl"/>
        </w:rPr>
      </w:pPr>
      <w:r w:rsidRPr="0071727F">
        <w:rPr>
          <w:rFonts w:ascii="Arial" w:hAnsi="Arial" w:cs="Arial"/>
          <w:color w:val="161616" w:themeColor="background1" w:themeShade="1A"/>
          <w:sz w:val="21"/>
          <w:szCs w:val="21"/>
          <w:lang w:val="es-ES_tradnl"/>
        </w:rPr>
        <w:t>«[…]</w:t>
      </w:r>
      <w:r w:rsidR="008A1C35" w:rsidRPr="0071727F">
        <w:rPr>
          <w:rFonts w:ascii="Arial" w:hAnsi="Arial" w:cs="Arial"/>
          <w:color w:val="161616" w:themeColor="background1" w:themeShade="1A"/>
          <w:sz w:val="21"/>
          <w:szCs w:val="21"/>
          <w:lang w:val="es-ES_tradnl"/>
        </w:rPr>
        <w:t xml:space="preserve"> </w:t>
      </w:r>
      <w:r w:rsidR="00F26F3C" w:rsidRPr="0071727F">
        <w:rPr>
          <w:rFonts w:ascii="Arial" w:hAnsi="Arial" w:cs="Arial"/>
          <w:color w:val="161616" w:themeColor="background1" w:themeShade="1A"/>
          <w:sz w:val="21"/>
          <w:szCs w:val="21"/>
          <w:lang w:val="es-ES_tradnl"/>
        </w:rPr>
        <w:t>me dirijo a la entidad con el fin de solicitar concepto formal, para realizar la contratación del Cuerpo Voluntario de Bomberos y la suscripción de los comodatos de los vehículos automotores destinados a la atención del riesgo contra incendio pendientes, toda vez que los mismos no se firmaron antes del inicio de la aplicación de la ley de garantías, a lo cual el cuerpo de bomberos manifiesta que se encuentran exceptuados, no obstante, la norma señala lo siguiente:</w:t>
      </w:r>
    </w:p>
    <w:p w14:paraId="6E487435" w14:textId="77777777" w:rsidR="00F26F3C" w:rsidRPr="0071727F" w:rsidRDefault="00F26F3C" w:rsidP="00635DED">
      <w:pPr>
        <w:ind w:left="709" w:right="709"/>
        <w:jc w:val="both"/>
        <w:rPr>
          <w:rFonts w:ascii="Arial" w:hAnsi="Arial" w:cs="Arial"/>
          <w:color w:val="161616" w:themeColor="background1" w:themeShade="1A"/>
          <w:sz w:val="21"/>
          <w:szCs w:val="21"/>
          <w:lang w:val="es-ES_tradnl"/>
        </w:rPr>
      </w:pPr>
    </w:p>
    <w:p w14:paraId="6C9F1587" w14:textId="77777777" w:rsidR="00F26F3C" w:rsidRPr="0071727F" w:rsidRDefault="00F26F3C" w:rsidP="00635DED">
      <w:pPr>
        <w:ind w:left="709" w:right="709"/>
        <w:jc w:val="both"/>
        <w:rPr>
          <w:rFonts w:ascii="Arial" w:hAnsi="Arial" w:cs="Arial"/>
          <w:color w:val="161616" w:themeColor="background1" w:themeShade="1A"/>
          <w:sz w:val="21"/>
          <w:szCs w:val="21"/>
          <w:lang w:val="es-ES_tradnl"/>
        </w:rPr>
      </w:pPr>
      <w:r w:rsidRPr="0071727F">
        <w:rPr>
          <w:rFonts w:ascii="Arial" w:hAnsi="Arial" w:cs="Arial"/>
          <w:color w:val="161616" w:themeColor="background1" w:themeShade="1A"/>
          <w:sz w:val="21"/>
          <w:szCs w:val="21"/>
          <w:lang w:val="es-ES_tradnl"/>
        </w:rPr>
        <w:lastRenderedPageBreak/>
        <w:t>ARTÍCULO 33. RESTRICCIONES A LA CONTRATACIÓN PÚBLICA. &lt;Artículo CONDICIONALMENTE exequible&gt; Durante los cuatro (4) meses anteriores a la elección presidencial y hasta la realización de la elección en la segunda vuelta, si fuere el caso, queda prohibida la contratación directa por parte de todos los entes del Estado.</w:t>
      </w:r>
    </w:p>
    <w:p w14:paraId="2E09DB0C" w14:textId="77777777" w:rsidR="00F26F3C" w:rsidRPr="0071727F" w:rsidRDefault="00F26F3C" w:rsidP="00635DED">
      <w:pPr>
        <w:ind w:left="709" w:right="709"/>
        <w:jc w:val="both"/>
        <w:rPr>
          <w:rFonts w:ascii="Arial" w:hAnsi="Arial" w:cs="Arial"/>
          <w:color w:val="161616" w:themeColor="background1" w:themeShade="1A"/>
          <w:sz w:val="21"/>
          <w:szCs w:val="21"/>
          <w:lang w:val="es-ES_tradnl"/>
        </w:rPr>
      </w:pPr>
    </w:p>
    <w:p w14:paraId="4B2530B4" w14:textId="77777777" w:rsidR="00F26F3C" w:rsidRPr="0071727F" w:rsidRDefault="00F26F3C" w:rsidP="00635DED">
      <w:pPr>
        <w:ind w:left="709" w:right="709"/>
        <w:jc w:val="both"/>
        <w:rPr>
          <w:rFonts w:ascii="Arial" w:hAnsi="Arial" w:cs="Arial"/>
          <w:color w:val="161616" w:themeColor="background1" w:themeShade="1A"/>
          <w:sz w:val="21"/>
          <w:szCs w:val="21"/>
          <w:lang w:val="es-ES_tradnl"/>
        </w:rPr>
      </w:pPr>
      <w:r w:rsidRPr="0071727F">
        <w:rPr>
          <w:rFonts w:ascii="Arial" w:hAnsi="Arial" w:cs="Arial"/>
          <w:color w:val="161616" w:themeColor="background1" w:themeShade="1A"/>
          <w:sz w:val="21"/>
          <w:szCs w:val="21"/>
          <w:lang w:val="es-ES_tradnl"/>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14:paraId="6CCA3EF5" w14:textId="77777777" w:rsidR="00F26F3C" w:rsidRPr="0071727F" w:rsidRDefault="00F26F3C" w:rsidP="00635DED">
      <w:pPr>
        <w:ind w:left="709" w:right="709"/>
        <w:jc w:val="both"/>
        <w:rPr>
          <w:rFonts w:ascii="Arial" w:hAnsi="Arial" w:cs="Arial"/>
          <w:color w:val="161616" w:themeColor="background1" w:themeShade="1A"/>
          <w:sz w:val="21"/>
          <w:szCs w:val="21"/>
          <w:lang w:val="es-ES_tradnl"/>
        </w:rPr>
      </w:pPr>
    </w:p>
    <w:p w14:paraId="529177C2" w14:textId="11BFC97F" w:rsidR="00C96C1B" w:rsidRPr="0071727F" w:rsidRDefault="00F26F3C" w:rsidP="00635DED">
      <w:pPr>
        <w:ind w:left="709" w:right="709"/>
        <w:jc w:val="both"/>
        <w:rPr>
          <w:rFonts w:ascii="Arial" w:hAnsi="Arial" w:cs="Arial"/>
          <w:color w:val="161616" w:themeColor="background1" w:themeShade="1A"/>
          <w:sz w:val="21"/>
          <w:szCs w:val="21"/>
          <w:lang w:val="es-ES_tradnl"/>
        </w:rPr>
      </w:pPr>
      <w:r w:rsidRPr="0071727F">
        <w:rPr>
          <w:rFonts w:ascii="Arial" w:hAnsi="Arial" w:cs="Arial"/>
          <w:color w:val="161616" w:themeColor="background1" w:themeShade="1A"/>
          <w:sz w:val="21"/>
          <w:szCs w:val="21"/>
          <w:lang w:val="es-ES_tradnl"/>
        </w:rPr>
        <w:t>Teniendo en cuenta lo anterior las excepciones señaladas en el artículo anterior no es claro en señalar si dentro del marco de aplicación de la ley de garantías se puede suscribir contratos con el cuerpo de bomberos enmarcados dentro de las excepciones señaladas en el artículo en cita»</w:t>
      </w:r>
    </w:p>
    <w:p w14:paraId="03CD5D5A" w14:textId="77777777" w:rsidR="00FD7084" w:rsidRPr="0071727F" w:rsidRDefault="00FD7084" w:rsidP="00EB03A0">
      <w:pPr>
        <w:ind w:firstLine="720"/>
        <w:jc w:val="both"/>
        <w:rPr>
          <w:rFonts w:ascii="Arial" w:eastAsia="Arial" w:hAnsi="Arial" w:cs="Arial"/>
          <w:color w:val="161616" w:themeColor="background1" w:themeShade="1A"/>
          <w:sz w:val="22"/>
          <w:szCs w:val="22"/>
          <w:lang w:val="es-ES_tradnl"/>
        </w:rPr>
      </w:pPr>
    </w:p>
    <w:p w14:paraId="554D53B4" w14:textId="05CDF953" w:rsidR="007C15C8" w:rsidRPr="0071727F" w:rsidRDefault="00FD7084" w:rsidP="0071727F">
      <w:pPr>
        <w:spacing w:line="276" w:lineRule="auto"/>
        <w:ind w:firstLine="709"/>
        <w:jc w:val="both"/>
        <w:rPr>
          <w:rFonts w:ascii="Arial" w:eastAsia="Arial" w:hAnsi="Arial" w:cs="Arial"/>
          <w:color w:val="161616" w:themeColor="background1" w:themeShade="1A"/>
          <w:sz w:val="22"/>
          <w:szCs w:val="22"/>
          <w:lang w:val="es-ES_tradnl"/>
        </w:rPr>
      </w:pPr>
      <w:r w:rsidRPr="0071727F">
        <w:rPr>
          <w:rFonts w:ascii="Arial" w:eastAsia="Arial" w:hAnsi="Arial" w:cs="Arial"/>
          <w:color w:val="161616" w:themeColor="background1" w:themeShade="1A"/>
          <w:sz w:val="22"/>
          <w:szCs w:val="22"/>
          <w:lang w:val="es-ES_tradnl"/>
        </w:rPr>
        <w:t>L</w:t>
      </w:r>
      <w:r w:rsidR="00017245" w:rsidRPr="0071727F">
        <w:rPr>
          <w:rFonts w:ascii="Arial" w:eastAsia="Arial" w:hAnsi="Arial" w:cs="Arial"/>
          <w:color w:val="161616" w:themeColor="background1" w:themeShade="1A"/>
          <w:sz w:val="22"/>
          <w:szCs w:val="22"/>
          <w:lang w:val="es-ES_tradnl"/>
        </w:rPr>
        <w:t>a prohibición a la contratación directa contenida en el artículo 33 de la Ley de Garantías Electorales restringe a todos los entes del Estado la celebración de contratos que no se encuentre antecedida por algún tipo de convocatoria pública y posibilidad de concurrencia de proponentes, lo que implica materialmente una contratación directa. De esta forma, si un contrato o convenio es celebrado sin previo concurso o convocatoria al público, resultará aplicable la restricción establecida en dicha norma.</w:t>
      </w:r>
    </w:p>
    <w:p w14:paraId="05908D52" w14:textId="0111384E" w:rsidR="005A7DBD" w:rsidRPr="0071727F" w:rsidRDefault="00FD7084" w:rsidP="0071727F">
      <w:pPr>
        <w:spacing w:before="120" w:line="276" w:lineRule="auto"/>
        <w:ind w:firstLine="709"/>
        <w:jc w:val="both"/>
        <w:rPr>
          <w:rFonts w:ascii="Arial" w:eastAsia="Arial" w:hAnsi="Arial" w:cs="Arial"/>
          <w:color w:val="161616" w:themeColor="background1" w:themeShade="1A"/>
          <w:sz w:val="22"/>
          <w:szCs w:val="22"/>
          <w:lang w:val="es-ES_tradnl"/>
        </w:rPr>
      </w:pPr>
      <w:r w:rsidRPr="0071727F">
        <w:rPr>
          <w:rFonts w:ascii="Arial" w:eastAsia="Arial" w:hAnsi="Arial" w:cs="Arial"/>
          <w:color w:val="161616" w:themeColor="background1" w:themeShade="1A"/>
          <w:sz w:val="22"/>
          <w:szCs w:val="22"/>
          <w:lang w:val="es-ES_tradnl"/>
        </w:rPr>
        <w:t>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007C15C8">
        <w:rPr>
          <w:rFonts w:ascii="Arial" w:eastAsia="Arial" w:hAnsi="Arial" w:cs="Arial"/>
          <w:color w:val="161616" w:themeColor="background1" w:themeShade="1A"/>
          <w:sz w:val="22"/>
          <w:szCs w:val="22"/>
          <w:lang w:val="es-ES_tradnl"/>
        </w:rPr>
        <w:t xml:space="preserve"> </w:t>
      </w:r>
      <w:r w:rsidRPr="0071727F">
        <w:rPr>
          <w:rFonts w:ascii="Arial" w:eastAsia="Arial" w:hAnsi="Arial" w:cs="Arial"/>
          <w:color w:val="161616" w:themeColor="background1" w:themeShade="1A"/>
          <w:sz w:val="22"/>
          <w:szCs w:val="22"/>
          <w:lang w:val="es-ES_tradnl"/>
        </w:rPr>
        <w:t xml:space="preserve">De lo anterior se desprende que la restricción aplica, sin perjuicio de las excepciones establecidas en la misma ley, para celebrar cualquier contrato de forma directa, esto es, sin que exista un proceso abierto y competitivo. </w:t>
      </w:r>
    </w:p>
    <w:p w14:paraId="7CF03D51" w14:textId="2B9A6184" w:rsidR="000F2EE1" w:rsidRPr="00B00610" w:rsidRDefault="000F2EE1" w:rsidP="000F2EE1">
      <w:pPr>
        <w:spacing w:before="120" w:line="276" w:lineRule="auto"/>
        <w:ind w:firstLine="709"/>
        <w:jc w:val="both"/>
        <w:rPr>
          <w:rFonts w:ascii="Arial" w:eastAsia="Arial" w:hAnsi="Arial" w:cs="Arial"/>
          <w:color w:val="161616" w:themeColor="background1" w:themeShade="1A"/>
          <w:sz w:val="22"/>
          <w:szCs w:val="22"/>
          <w:lang w:val="es-ES_tradnl"/>
        </w:rPr>
      </w:pPr>
      <w:r>
        <w:rPr>
          <w:rFonts w:ascii="Arial" w:eastAsia="Arial" w:hAnsi="Arial" w:cs="Arial"/>
          <w:color w:val="161616" w:themeColor="background1" w:themeShade="1A"/>
          <w:sz w:val="22"/>
          <w:szCs w:val="22"/>
          <w:lang w:val="es-ES_tradnl"/>
        </w:rPr>
        <w:t>A partir de las consideraciones anteriores</w:t>
      </w:r>
      <w:r>
        <w:rPr>
          <w:rFonts w:ascii="Arial" w:hAnsi="Arial" w:cs="Arial"/>
          <w:color w:val="161616" w:themeColor="background1" w:themeShade="1A"/>
          <w:sz w:val="22"/>
          <w:szCs w:val="22"/>
          <w:shd w:val="clear" w:color="auto" w:fill="FFFFFF"/>
          <w:lang w:val="es-ES_tradnl"/>
        </w:rPr>
        <w:t xml:space="preserve">, se concluye que en la actualidad se encuentran vigentes los artículos 33 y 38 de la Ley 996 de 2005, que consagran, respectivamente, prohibiciones para contratar directamente y para celebrar contratos interadministrativos, salvo excepciones. En tal medida, en principio está prohibida </w:t>
      </w:r>
      <w:r w:rsidRPr="00B00610">
        <w:rPr>
          <w:rFonts w:ascii="Arial" w:hAnsi="Arial" w:cs="Arial"/>
          <w:i/>
          <w:iCs/>
          <w:color w:val="161616" w:themeColor="background1" w:themeShade="1A"/>
          <w:sz w:val="22"/>
          <w:szCs w:val="22"/>
          <w:shd w:val="clear" w:color="auto" w:fill="FFFFFF"/>
          <w:lang w:val="es-ES_tradnl"/>
        </w:rPr>
        <w:t>la contratación directa</w:t>
      </w:r>
      <w:r>
        <w:rPr>
          <w:rFonts w:ascii="Arial" w:hAnsi="Arial" w:cs="Arial"/>
          <w:color w:val="161616" w:themeColor="background1" w:themeShade="1A"/>
          <w:sz w:val="22"/>
          <w:szCs w:val="22"/>
          <w:shd w:val="clear" w:color="auto" w:fill="FFFFFF"/>
          <w:lang w:val="es-ES_tradnl"/>
        </w:rPr>
        <w:t xml:space="preserve"> tanto de los cuerpos de bomberos voluntarios, como de los comodatos requeridos, salvo que se presenten los requisitos para celebrar, </w:t>
      </w:r>
      <w:r w:rsidRPr="00B00610">
        <w:rPr>
          <w:rFonts w:ascii="Arial" w:hAnsi="Arial" w:cs="Arial"/>
          <w:i/>
          <w:iCs/>
          <w:color w:val="161616" w:themeColor="background1" w:themeShade="1A"/>
          <w:sz w:val="22"/>
          <w:szCs w:val="22"/>
          <w:shd w:val="clear" w:color="auto" w:fill="FFFFFF"/>
          <w:lang w:val="es-ES_tradnl"/>
        </w:rPr>
        <w:t>de manera competitiva</w:t>
      </w:r>
      <w:r>
        <w:rPr>
          <w:rFonts w:ascii="Arial" w:hAnsi="Arial" w:cs="Arial"/>
          <w:color w:val="161616" w:themeColor="background1" w:themeShade="1A"/>
          <w:sz w:val="22"/>
          <w:szCs w:val="22"/>
          <w:shd w:val="clear" w:color="auto" w:fill="FFFFFF"/>
          <w:lang w:val="es-ES_tradnl"/>
        </w:rPr>
        <w:t>, los convenios de interés público o de asociación regulados en el Decreto 092 de 2017 o que se configure alguna de las excepciones previstas en el artículo 33 de la Ley 996 de 2005.</w:t>
      </w:r>
      <w:r w:rsidR="007C2D7E">
        <w:rPr>
          <w:rFonts w:ascii="Arial" w:hAnsi="Arial" w:cs="Arial"/>
          <w:color w:val="161616" w:themeColor="background1" w:themeShade="1A"/>
          <w:sz w:val="22"/>
          <w:szCs w:val="22"/>
          <w:shd w:val="clear" w:color="auto" w:fill="FFFFFF"/>
          <w:lang w:val="es-ES_tradnl"/>
        </w:rPr>
        <w:t xml:space="preserve"> El </w:t>
      </w:r>
      <w:r w:rsidR="007C2D7E">
        <w:rPr>
          <w:rFonts w:ascii="Arial" w:hAnsi="Arial" w:cs="Arial"/>
          <w:color w:val="161616" w:themeColor="background1" w:themeShade="1A"/>
          <w:sz w:val="22"/>
          <w:szCs w:val="22"/>
          <w:shd w:val="clear" w:color="auto" w:fill="FFFFFF"/>
          <w:lang w:val="es-ES_tradnl"/>
        </w:rPr>
        <w:lastRenderedPageBreak/>
        <w:t>análisis de las excepciones debe ser realizada por cada entidad estatal, de acuerdo con la situación fáctica y jurídica.</w:t>
      </w:r>
    </w:p>
    <w:p w14:paraId="60B773D1" w14:textId="77777777" w:rsidR="00017245" w:rsidRPr="0071727F" w:rsidRDefault="00017245" w:rsidP="0022167B">
      <w:pPr>
        <w:jc w:val="both"/>
        <w:rPr>
          <w:rFonts w:ascii="Arial" w:eastAsia="Calibri" w:hAnsi="Arial" w:cs="Arial"/>
          <w:color w:val="161616" w:themeColor="background1" w:themeShade="1A"/>
          <w:sz w:val="22"/>
          <w:szCs w:val="22"/>
          <w:lang w:val="es-ES_tradnl"/>
        </w:rPr>
      </w:pPr>
    </w:p>
    <w:p w14:paraId="64BE30C1" w14:textId="1F202FE9" w:rsidR="00695B70" w:rsidRPr="0071727F" w:rsidRDefault="00695B70" w:rsidP="001A40A1">
      <w:pPr>
        <w:jc w:val="both"/>
        <w:rPr>
          <w:rFonts w:ascii="Arial" w:eastAsia="Calibri" w:hAnsi="Arial" w:cs="Arial"/>
          <w:color w:val="161616" w:themeColor="background1" w:themeShade="1A"/>
          <w:sz w:val="22"/>
          <w:szCs w:val="22"/>
          <w:lang w:val="es-ES_tradnl"/>
        </w:rPr>
      </w:pPr>
      <w:r w:rsidRPr="0071727F">
        <w:rPr>
          <w:rFonts w:ascii="Arial" w:eastAsia="Calibri" w:hAnsi="Arial" w:cs="Arial"/>
          <w:color w:val="161616" w:themeColor="background1" w:themeShade="1A"/>
          <w:sz w:val="22"/>
          <w:szCs w:val="22"/>
          <w:lang w:val="es-ES_tradnl"/>
        </w:rPr>
        <w:t>Este concepto tiene el alcance previsto en el artículo 28 del Código de Procedimiento Administrativo y de lo Contencioso Administrativo.</w:t>
      </w:r>
    </w:p>
    <w:p w14:paraId="32F6587C" w14:textId="3FECFE3B" w:rsidR="00ED0181" w:rsidRPr="0071727F" w:rsidRDefault="00ED0181" w:rsidP="0022167B">
      <w:pPr>
        <w:jc w:val="both"/>
        <w:rPr>
          <w:rFonts w:ascii="Arial" w:eastAsia="Calibri" w:hAnsi="Arial" w:cs="Arial"/>
          <w:color w:val="161616" w:themeColor="background1" w:themeShade="1A"/>
          <w:sz w:val="22"/>
          <w:szCs w:val="22"/>
          <w:lang w:val="es-ES_tradnl"/>
        </w:rPr>
      </w:pPr>
    </w:p>
    <w:p w14:paraId="73353508" w14:textId="0739858A" w:rsidR="00EE6A82" w:rsidRPr="0071727F" w:rsidRDefault="00EE6A82" w:rsidP="0022167B">
      <w:pPr>
        <w:rPr>
          <w:rFonts w:ascii="Arial" w:hAnsi="Arial" w:cs="Arial"/>
          <w:color w:val="161616" w:themeColor="background1" w:themeShade="1A"/>
          <w:sz w:val="22"/>
          <w:szCs w:val="22"/>
          <w:lang w:val="es-ES_tradnl" w:eastAsia="es-CO"/>
        </w:rPr>
      </w:pPr>
      <w:bookmarkStart w:id="34" w:name="_Hlk50986665"/>
      <w:bookmarkStart w:id="35" w:name="_Hlk52766744"/>
      <w:r w:rsidRPr="0071727F">
        <w:rPr>
          <w:rFonts w:ascii="Arial" w:hAnsi="Arial" w:cs="Arial"/>
          <w:color w:val="161616" w:themeColor="background1" w:themeShade="1A"/>
          <w:sz w:val="22"/>
          <w:szCs w:val="22"/>
          <w:lang w:val="es-ES_tradnl" w:eastAsia="es-CO"/>
        </w:rPr>
        <w:t>Atentamente,</w:t>
      </w:r>
    </w:p>
    <w:bookmarkEnd w:id="4"/>
    <w:bookmarkEnd w:id="34"/>
    <w:bookmarkEnd w:id="35"/>
    <w:p w14:paraId="35B56F46" w14:textId="45D38D2F" w:rsidR="00746E08" w:rsidRDefault="00362CA1" w:rsidP="0022167B">
      <w:pPr>
        <w:jc w:val="center"/>
        <w:rPr>
          <w:rFonts w:ascii="Arial" w:hAnsi="Arial" w:cs="Arial"/>
          <w:color w:val="161616" w:themeColor="background1" w:themeShade="1A"/>
          <w:sz w:val="22"/>
          <w:szCs w:val="22"/>
          <w:lang w:val="es-ES_tradnl" w:eastAsia="es-CO"/>
        </w:rPr>
      </w:pPr>
      <w:r w:rsidRPr="00570FD2">
        <w:rPr>
          <w:rFonts w:ascii="Arial" w:hAnsi="Arial" w:cs="Arial"/>
          <w:noProof/>
          <w:color w:val="000000" w:themeColor="text1"/>
          <w:sz w:val="22"/>
        </w:rPr>
        <w:drawing>
          <wp:anchor distT="0" distB="0" distL="114300" distR="114300" simplePos="0" relativeHeight="251659264" behindDoc="0" locked="0" layoutInCell="1" allowOverlap="1" wp14:anchorId="29E7797A" wp14:editId="43975F4F">
            <wp:simplePos x="0" y="0"/>
            <wp:positionH relativeFrom="margin">
              <wp:align>center</wp:align>
            </wp:positionH>
            <wp:positionV relativeFrom="paragraph">
              <wp:posOffset>129540</wp:posOffset>
            </wp:positionV>
            <wp:extent cx="2200275" cy="934085"/>
            <wp:effectExtent l="0" t="0" r="9525" b="0"/>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2200275" cy="934085"/>
                    </a:xfrm>
                    <a:prstGeom prst="rect">
                      <a:avLst/>
                    </a:prstGeom>
                  </pic:spPr>
                </pic:pic>
              </a:graphicData>
            </a:graphic>
            <wp14:sizeRelH relativeFrom="page">
              <wp14:pctWidth>0</wp14:pctWidth>
            </wp14:sizeRelH>
            <wp14:sizeRelV relativeFrom="page">
              <wp14:pctHeight>0</wp14:pctHeight>
            </wp14:sizeRelV>
          </wp:anchor>
        </w:drawing>
      </w:r>
    </w:p>
    <w:p w14:paraId="1531ABC7" w14:textId="5FDC1718" w:rsidR="00362CA1" w:rsidRDefault="00362CA1" w:rsidP="0022167B">
      <w:pPr>
        <w:jc w:val="center"/>
        <w:rPr>
          <w:rFonts w:ascii="Arial" w:hAnsi="Arial" w:cs="Arial"/>
          <w:color w:val="161616" w:themeColor="background1" w:themeShade="1A"/>
          <w:sz w:val="22"/>
          <w:szCs w:val="22"/>
          <w:lang w:val="es-ES_tradnl" w:eastAsia="es-CO"/>
        </w:rPr>
      </w:pPr>
    </w:p>
    <w:p w14:paraId="196ED773" w14:textId="44CDB627" w:rsidR="00362CA1" w:rsidRDefault="00362CA1" w:rsidP="0022167B">
      <w:pPr>
        <w:jc w:val="center"/>
        <w:rPr>
          <w:rFonts w:ascii="Arial" w:hAnsi="Arial" w:cs="Arial"/>
          <w:color w:val="161616" w:themeColor="background1" w:themeShade="1A"/>
          <w:sz w:val="22"/>
          <w:szCs w:val="22"/>
          <w:lang w:val="es-ES_tradnl" w:eastAsia="es-CO"/>
        </w:rPr>
      </w:pPr>
    </w:p>
    <w:p w14:paraId="22D1C60B" w14:textId="64A75F99" w:rsidR="00362CA1" w:rsidRDefault="00362CA1" w:rsidP="0022167B">
      <w:pPr>
        <w:jc w:val="center"/>
        <w:rPr>
          <w:rFonts w:ascii="Arial" w:hAnsi="Arial" w:cs="Arial"/>
          <w:color w:val="161616" w:themeColor="background1" w:themeShade="1A"/>
          <w:sz w:val="22"/>
          <w:szCs w:val="22"/>
          <w:lang w:val="es-ES_tradnl" w:eastAsia="es-CO"/>
        </w:rPr>
      </w:pPr>
    </w:p>
    <w:p w14:paraId="040B54FD" w14:textId="41C830AC" w:rsidR="00362CA1" w:rsidRDefault="00362CA1" w:rsidP="0022167B">
      <w:pPr>
        <w:jc w:val="center"/>
        <w:rPr>
          <w:rFonts w:ascii="Arial" w:hAnsi="Arial" w:cs="Arial"/>
          <w:color w:val="161616" w:themeColor="background1" w:themeShade="1A"/>
          <w:sz w:val="22"/>
          <w:szCs w:val="22"/>
          <w:lang w:val="es-ES_tradnl" w:eastAsia="es-CO"/>
        </w:rPr>
      </w:pPr>
    </w:p>
    <w:p w14:paraId="38000A41" w14:textId="74963C4C" w:rsidR="00362CA1" w:rsidRDefault="00362CA1" w:rsidP="0022167B">
      <w:pPr>
        <w:jc w:val="center"/>
        <w:rPr>
          <w:rFonts w:ascii="Arial" w:hAnsi="Arial" w:cs="Arial"/>
          <w:color w:val="161616" w:themeColor="background1" w:themeShade="1A"/>
          <w:sz w:val="22"/>
          <w:szCs w:val="22"/>
          <w:lang w:val="es-ES_tradnl" w:eastAsia="es-CO"/>
        </w:rPr>
      </w:pPr>
    </w:p>
    <w:p w14:paraId="41EEE292" w14:textId="77777777" w:rsidR="00362CA1" w:rsidRPr="0071727F" w:rsidRDefault="00362CA1" w:rsidP="00362CA1">
      <w:pPr>
        <w:rPr>
          <w:rFonts w:ascii="Arial" w:hAnsi="Arial" w:cs="Arial"/>
          <w:color w:val="161616" w:themeColor="background1" w:themeShade="1A"/>
          <w:sz w:val="22"/>
          <w:szCs w:val="22"/>
          <w:lang w:val="es-ES_tradnl" w:eastAsia="es-CO"/>
        </w:rPr>
      </w:pP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4298"/>
      </w:tblGrid>
      <w:tr w:rsidR="009922C8" w:rsidRPr="00E34DEB" w14:paraId="62043797" w14:textId="77777777" w:rsidTr="00AA0B78">
        <w:trPr>
          <w:trHeight w:val="237"/>
        </w:trPr>
        <w:tc>
          <w:tcPr>
            <w:tcW w:w="790" w:type="dxa"/>
            <w:vAlign w:val="center"/>
          </w:tcPr>
          <w:p w14:paraId="7016AE9D" w14:textId="77777777" w:rsidR="00123BE2" w:rsidRPr="0071727F" w:rsidRDefault="00123BE2" w:rsidP="0022167B">
            <w:pPr>
              <w:rPr>
                <w:rFonts w:ascii="Arial" w:hAnsi="Arial" w:cs="Arial"/>
                <w:color w:val="161616" w:themeColor="background1" w:themeShade="1A"/>
                <w:sz w:val="14"/>
                <w:szCs w:val="14"/>
                <w:lang w:val="es-ES_tradnl" w:eastAsia="es-ES"/>
              </w:rPr>
            </w:pPr>
            <w:r w:rsidRPr="0071727F">
              <w:rPr>
                <w:rFonts w:ascii="Arial" w:hAnsi="Arial" w:cs="Arial"/>
                <w:color w:val="161616" w:themeColor="background1" w:themeShade="1A"/>
                <w:sz w:val="14"/>
                <w:szCs w:val="14"/>
                <w:lang w:val="es-ES_tradnl" w:eastAsia="es-ES"/>
              </w:rPr>
              <w:t>Elaboró:</w:t>
            </w:r>
          </w:p>
        </w:tc>
        <w:tc>
          <w:tcPr>
            <w:tcW w:w="4298" w:type="dxa"/>
            <w:tcBorders>
              <w:bottom w:val="dotted" w:sz="4" w:space="0" w:color="7F7F7F"/>
            </w:tcBorders>
            <w:vAlign w:val="center"/>
          </w:tcPr>
          <w:p w14:paraId="3135B5D2" w14:textId="192747F4" w:rsidR="00123BE2" w:rsidRPr="0071727F" w:rsidRDefault="00123BE2" w:rsidP="0022167B">
            <w:pPr>
              <w:rPr>
                <w:rFonts w:ascii="Arial" w:hAnsi="Arial" w:cs="Arial"/>
                <w:color w:val="161616" w:themeColor="background1" w:themeShade="1A"/>
                <w:sz w:val="14"/>
                <w:szCs w:val="14"/>
                <w:lang w:val="es-ES_tradnl" w:eastAsia="es-ES"/>
              </w:rPr>
            </w:pPr>
            <w:r w:rsidRPr="0071727F">
              <w:rPr>
                <w:rFonts w:ascii="Arial" w:hAnsi="Arial" w:cs="Arial"/>
                <w:color w:val="161616" w:themeColor="background1" w:themeShade="1A"/>
                <w:sz w:val="14"/>
                <w:szCs w:val="14"/>
                <w:lang w:val="es-ES_tradnl" w:eastAsia="es-ES"/>
              </w:rPr>
              <w:t xml:space="preserve">Diana Fabiola Herrera Hernández </w:t>
            </w:r>
          </w:p>
          <w:p w14:paraId="748D0BA2" w14:textId="77777777" w:rsidR="00123BE2" w:rsidRPr="0071727F" w:rsidRDefault="00123BE2" w:rsidP="0022167B">
            <w:pPr>
              <w:rPr>
                <w:rFonts w:ascii="Arial" w:hAnsi="Arial" w:cs="Arial"/>
                <w:color w:val="161616" w:themeColor="background1" w:themeShade="1A"/>
                <w:sz w:val="14"/>
                <w:szCs w:val="14"/>
                <w:lang w:val="es-ES_tradnl" w:eastAsia="es-ES"/>
              </w:rPr>
            </w:pPr>
            <w:r w:rsidRPr="0071727F">
              <w:rPr>
                <w:rFonts w:ascii="Arial" w:hAnsi="Arial" w:cs="Arial"/>
                <w:color w:val="161616" w:themeColor="background1" w:themeShade="1A"/>
                <w:sz w:val="14"/>
                <w:szCs w:val="14"/>
                <w:lang w:val="es-ES_tradnl" w:eastAsia="es-ES"/>
              </w:rPr>
              <w:t>Contratista de la Subdirección de Gestión Contractual</w:t>
            </w:r>
          </w:p>
        </w:tc>
      </w:tr>
      <w:tr w:rsidR="009922C8" w:rsidRPr="00E34DEB" w14:paraId="7E176450" w14:textId="77777777" w:rsidTr="00AA0B78">
        <w:trPr>
          <w:trHeight w:val="248"/>
        </w:trPr>
        <w:tc>
          <w:tcPr>
            <w:tcW w:w="790" w:type="dxa"/>
            <w:vAlign w:val="center"/>
          </w:tcPr>
          <w:p w14:paraId="56D591DE" w14:textId="77777777" w:rsidR="00123BE2" w:rsidRPr="0071727F" w:rsidRDefault="00123BE2" w:rsidP="0022167B">
            <w:pPr>
              <w:rPr>
                <w:rFonts w:ascii="Arial" w:hAnsi="Arial" w:cs="Arial"/>
                <w:color w:val="161616" w:themeColor="background1" w:themeShade="1A"/>
                <w:sz w:val="14"/>
                <w:szCs w:val="14"/>
                <w:lang w:val="es-ES_tradnl" w:eastAsia="es-ES"/>
              </w:rPr>
            </w:pPr>
            <w:r w:rsidRPr="0071727F">
              <w:rPr>
                <w:rFonts w:ascii="Arial" w:hAnsi="Arial" w:cs="Arial"/>
                <w:color w:val="161616" w:themeColor="background1" w:themeShade="1A"/>
                <w:sz w:val="14"/>
                <w:szCs w:val="14"/>
                <w:lang w:val="es-ES_tradnl" w:eastAsia="es-ES"/>
              </w:rPr>
              <w:t>Revisó:</w:t>
            </w:r>
          </w:p>
        </w:tc>
        <w:tc>
          <w:tcPr>
            <w:tcW w:w="4298" w:type="dxa"/>
            <w:tcBorders>
              <w:top w:val="dotted" w:sz="4" w:space="0" w:color="7F7F7F"/>
              <w:bottom w:val="dotted" w:sz="4" w:space="0" w:color="7F7F7F"/>
            </w:tcBorders>
            <w:vAlign w:val="center"/>
          </w:tcPr>
          <w:p w14:paraId="5A49CEB5" w14:textId="140F33E4" w:rsidR="00123BE2" w:rsidRPr="0071727F" w:rsidRDefault="009C0D78" w:rsidP="0022167B">
            <w:pPr>
              <w:rPr>
                <w:rFonts w:ascii="Arial" w:hAnsi="Arial" w:cs="Arial"/>
                <w:color w:val="161616" w:themeColor="background1" w:themeShade="1A"/>
                <w:sz w:val="14"/>
                <w:szCs w:val="14"/>
                <w:lang w:val="es-ES_tradnl" w:eastAsia="es-ES"/>
              </w:rPr>
            </w:pPr>
            <w:r w:rsidRPr="0071727F">
              <w:rPr>
                <w:rFonts w:ascii="Arial" w:hAnsi="Arial" w:cs="Arial"/>
                <w:color w:val="161616" w:themeColor="background1" w:themeShade="1A"/>
                <w:sz w:val="14"/>
                <w:szCs w:val="14"/>
                <w:lang w:val="es-ES_tradnl" w:eastAsia="es-ES"/>
              </w:rPr>
              <w:t>Cristian Andrés Díaz Dí</w:t>
            </w:r>
            <w:r w:rsidR="005F650A">
              <w:rPr>
                <w:rFonts w:ascii="Arial" w:hAnsi="Arial" w:cs="Arial"/>
                <w:color w:val="161616" w:themeColor="background1" w:themeShade="1A"/>
                <w:sz w:val="14"/>
                <w:szCs w:val="14"/>
                <w:lang w:val="es-ES_tradnl" w:eastAsia="es-ES"/>
              </w:rPr>
              <w:t>e</w:t>
            </w:r>
            <w:r w:rsidRPr="0071727F">
              <w:rPr>
                <w:rFonts w:ascii="Arial" w:hAnsi="Arial" w:cs="Arial"/>
                <w:color w:val="161616" w:themeColor="background1" w:themeShade="1A"/>
                <w:sz w:val="14"/>
                <w:szCs w:val="14"/>
                <w:lang w:val="es-ES_tradnl" w:eastAsia="es-ES"/>
              </w:rPr>
              <w:t>z</w:t>
            </w:r>
          </w:p>
          <w:p w14:paraId="5C8BE685" w14:textId="038B4C58" w:rsidR="00123BE2" w:rsidRPr="0071727F" w:rsidRDefault="00330722" w:rsidP="0022167B">
            <w:pPr>
              <w:rPr>
                <w:rFonts w:ascii="Arial" w:hAnsi="Arial" w:cs="Arial"/>
                <w:color w:val="161616" w:themeColor="background1" w:themeShade="1A"/>
                <w:sz w:val="14"/>
                <w:szCs w:val="14"/>
                <w:lang w:val="es-ES_tradnl" w:eastAsia="es-ES"/>
              </w:rPr>
            </w:pPr>
            <w:r w:rsidRPr="0071727F">
              <w:rPr>
                <w:rFonts w:ascii="Arial" w:hAnsi="Arial" w:cs="Arial"/>
                <w:color w:val="161616" w:themeColor="background1" w:themeShade="1A"/>
                <w:sz w:val="14"/>
                <w:szCs w:val="14"/>
                <w:lang w:val="es-ES_tradnl" w:eastAsia="es-ES"/>
              </w:rPr>
              <w:t>Contratista de la Subdirección de Gestión Contractual</w:t>
            </w:r>
          </w:p>
        </w:tc>
      </w:tr>
      <w:tr w:rsidR="009922C8" w:rsidRPr="00E34DEB" w14:paraId="611127FC" w14:textId="77777777" w:rsidTr="00AA0B78">
        <w:trPr>
          <w:trHeight w:val="225"/>
        </w:trPr>
        <w:tc>
          <w:tcPr>
            <w:tcW w:w="790" w:type="dxa"/>
            <w:vAlign w:val="center"/>
          </w:tcPr>
          <w:p w14:paraId="627055C2" w14:textId="77777777" w:rsidR="00123BE2" w:rsidRPr="0071727F" w:rsidRDefault="00123BE2" w:rsidP="0022167B">
            <w:pPr>
              <w:rPr>
                <w:rFonts w:ascii="Arial" w:hAnsi="Arial" w:cs="Arial"/>
                <w:color w:val="161616" w:themeColor="background1" w:themeShade="1A"/>
                <w:sz w:val="14"/>
                <w:szCs w:val="14"/>
                <w:lang w:val="es-ES_tradnl" w:eastAsia="es-ES"/>
              </w:rPr>
            </w:pPr>
            <w:r w:rsidRPr="0071727F">
              <w:rPr>
                <w:rFonts w:ascii="Arial" w:hAnsi="Arial" w:cs="Arial"/>
                <w:color w:val="161616" w:themeColor="background1" w:themeShade="1A"/>
                <w:sz w:val="14"/>
                <w:szCs w:val="14"/>
                <w:lang w:val="es-ES_tradnl" w:eastAsia="es-ES"/>
              </w:rPr>
              <w:t>Aprobó:</w:t>
            </w:r>
          </w:p>
        </w:tc>
        <w:tc>
          <w:tcPr>
            <w:tcW w:w="4298" w:type="dxa"/>
            <w:tcBorders>
              <w:top w:val="dotted" w:sz="4" w:space="0" w:color="7F7F7F"/>
              <w:bottom w:val="dotted" w:sz="4" w:space="0" w:color="7F7F7F"/>
            </w:tcBorders>
            <w:vAlign w:val="center"/>
          </w:tcPr>
          <w:p w14:paraId="0A96E7B2" w14:textId="35B6BC3E" w:rsidR="00123BE2" w:rsidRPr="0071727F" w:rsidRDefault="00123BE2" w:rsidP="0022167B">
            <w:pPr>
              <w:rPr>
                <w:rFonts w:ascii="Arial" w:hAnsi="Arial" w:cs="Arial"/>
                <w:color w:val="161616" w:themeColor="background1" w:themeShade="1A"/>
                <w:sz w:val="14"/>
                <w:szCs w:val="14"/>
                <w:lang w:val="es-ES_tradnl" w:eastAsia="es-ES"/>
              </w:rPr>
            </w:pPr>
            <w:r w:rsidRPr="0071727F">
              <w:rPr>
                <w:rFonts w:ascii="Arial" w:hAnsi="Arial" w:cs="Arial"/>
                <w:color w:val="161616" w:themeColor="background1" w:themeShade="1A"/>
                <w:sz w:val="14"/>
                <w:szCs w:val="14"/>
                <w:lang w:val="es-ES_tradnl" w:eastAsia="es-ES"/>
              </w:rPr>
              <w:t>Jorge Augusto Tirado Navarro</w:t>
            </w:r>
          </w:p>
          <w:p w14:paraId="5A434093" w14:textId="77777777" w:rsidR="00123BE2" w:rsidRPr="0071727F" w:rsidRDefault="00123BE2" w:rsidP="0022167B">
            <w:pPr>
              <w:rPr>
                <w:rFonts w:ascii="Arial" w:hAnsi="Arial" w:cs="Arial"/>
                <w:color w:val="161616" w:themeColor="background1" w:themeShade="1A"/>
                <w:sz w:val="14"/>
                <w:szCs w:val="14"/>
                <w:lang w:val="es-ES_tradnl" w:eastAsia="es-ES"/>
              </w:rPr>
            </w:pPr>
            <w:r w:rsidRPr="0071727F">
              <w:rPr>
                <w:rFonts w:ascii="Arial" w:hAnsi="Arial" w:cs="Arial"/>
                <w:color w:val="161616" w:themeColor="background1" w:themeShade="1A"/>
                <w:sz w:val="14"/>
                <w:szCs w:val="14"/>
                <w:lang w:val="es-ES_tradnl" w:eastAsia="es-ES"/>
              </w:rPr>
              <w:t>Subdirector de Gestión Contractual ANCP – CCE</w:t>
            </w:r>
          </w:p>
        </w:tc>
      </w:tr>
      <w:tr w:rsidR="009922C8" w:rsidRPr="00E34DEB" w14:paraId="14698410" w14:textId="77777777" w:rsidTr="00AA0B78">
        <w:trPr>
          <w:trHeight w:val="225"/>
        </w:trPr>
        <w:tc>
          <w:tcPr>
            <w:tcW w:w="790" w:type="dxa"/>
            <w:vAlign w:val="center"/>
          </w:tcPr>
          <w:p w14:paraId="6A37CD8E" w14:textId="77777777" w:rsidR="00123BE2" w:rsidRPr="0071727F" w:rsidRDefault="00123BE2" w:rsidP="0022167B">
            <w:pPr>
              <w:rPr>
                <w:rFonts w:ascii="Arial" w:hAnsi="Arial" w:cs="Arial"/>
                <w:color w:val="161616" w:themeColor="background1" w:themeShade="1A"/>
                <w:sz w:val="14"/>
                <w:szCs w:val="14"/>
                <w:lang w:val="es-ES_tradnl" w:eastAsia="es-ES"/>
              </w:rPr>
            </w:pPr>
            <w:r w:rsidRPr="0071727F">
              <w:rPr>
                <w:rFonts w:ascii="Arial" w:hAnsi="Arial" w:cs="Arial"/>
                <w:color w:val="161616" w:themeColor="background1" w:themeShade="1A"/>
                <w:sz w:val="14"/>
                <w:szCs w:val="14"/>
                <w:lang w:val="es-ES_tradnl" w:eastAsia="es-ES"/>
              </w:rPr>
              <w:t>Anexo:</w:t>
            </w:r>
          </w:p>
        </w:tc>
        <w:tc>
          <w:tcPr>
            <w:tcW w:w="4298" w:type="dxa"/>
            <w:tcBorders>
              <w:top w:val="dotted" w:sz="4" w:space="0" w:color="7F7F7F"/>
              <w:bottom w:val="dotted" w:sz="4" w:space="0" w:color="7F7F7F"/>
            </w:tcBorders>
            <w:vAlign w:val="center"/>
          </w:tcPr>
          <w:p w14:paraId="79D5A6B6" w14:textId="556B2E38" w:rsidR="00123BE2" w:rsidRPr="0071727F" w:rsidRDefault="00123BE2" w:rsidP="0022167B">
            <w:pPr>
              <w:rPr>
                <w:rFonts w:ascii="Arial" w:hAnsi="Arial" w:cs="Arial"/>
                <w:color w:val="161616" w:themeColor="background1" w:themeShade="1A"/>
                <w:sz w:val="14"/>
                <w:szCs w:val="14"/>
                <w:lang w:val="es-ES_tradnl" w:eastAsia="es-ES"/>
              </w:rPr>
            </w:pPr>
          </w:p>
        </w:tc>
      </w:tr>
    </w:tbl>
    <w:p w14:paraId="46A2D6C9" w14:textId="77777777" w:rsidR="00123BE2" w:rsidRPr="0071727F" w:rsidRDefault="00123BE2" w:rsidP="00362CA1">
      <w:pPr>
        <w:rPr>
          <w:rFonts w:ascii="Arial" w:hAnsi="Arial" w:cs="Arial"/>
          <w:color w:val="161616" w:themeColor="background1" w:themeShade="1A"/>
          <w:sz w:val="22"/>
          <w:szCs w:val="22"/>
          <w:lang w:val="es-ES_tradnl"/>
        </w:rPr>
      </w:pPr>
    </w:p>
    <w:sectPr w:rsidR="00123BE2" w:rsidRPr="0071727F" w:rsidSect="00033523">
      <w:headerReference w:type="default" r:id="rId17"/>
      <w:footerReference w:type="default" r:id="rId18"/>
      <w:pgSz w:w="12240" w:h="15840"/>
      <w:pgMar w:top="2041" w:right="160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6EBA4" w14:textId="77777777" w:rsidR="00145E51" w:rsidRDefault="00145E51">
      <w:r>
        <w:separator/>
      </w:r>
    </w:p>
  </w:endnote>
  <w:endnote w:type="continuationSeparator" w:id="0">
    <w:p w14:paraId="36E1EB0D" w14:textId="77777777" w:rsidR="00145E51" w:rsidRDefault="0014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565C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565C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EF64D8" w:rsidRDefault="434D2F1C" w:rsidP="00322937">
    <w:pPr>
      <w:pStyle w:val="Piedepgina"/>
      <w:jc w:val="center"/>
      <w:rPr>
        <w:lang w:val="es-ES"/>
      </w:rPr>
    </w:pPr>
    <w:r>
      <w:rPr>
        <w:noProof/>
        <w:lang w:val="es-CO" w:eastAsia="es-CO"/>
      </w:rPr>
      <w:drawing>
        <wp:inline distT="0" distB="0" distL="0" distR="0" wp14:anchorId="608B196D" wp14:editId="40ED6A14">
          <wp:extent cx="3700130" cy="519139"/>
          <wp:effectExtent l="0" t="0" r="0" b="0"/>
          <wp:docPr id="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F64D8" w:rsidRDefault="00EF64D8" w:rsidP="007B0854">
    <w:pPr>
      <w:pStyle w:val="Piedepgina"/>
      <w:jc w:val="center"/>
      <w:rPr>
        <w:lang w:val="es-ES"/>
      </w:rPr>
    </w:pPr>
  </w:p>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B5C96" w14:textId="77777777" w:rsidR="00145E51" w:rsidRDefault="00145E51">
      <w:r>
        <w:separator/>
      </w:r>
    </w:p>
  </w:footnote>
  <w:footnote w:type="continuationSeparator" w:id="0">
    <w:p w14:paraId="4117C7B7" w14:textId="77777777" w:rsidR="00145E51" w:rsidRDefault="00145E51">
      <w:r>
        <w:continuationSeparator/>
      </w:r>
    </w:p>
  </w:footnote>
  <w:footnote w:id="1">
    <w:p w14:paraId="55D7B2FC" w14:textId="77777777" w:rsidR="00F77855" w:rsidRPr="009C1600" w:rsidRDefault="00F77855" w:rsidP="0071727F">
      <w:pPr>
        <w:ind w:firstLine="709"/>
        <w:jc w:val="both"/>
        <w:rPr>
          <w:rFonts w:ascii="Arial" w:eastAsia="Arial" w:hAnsi="Arial" w:cs="Arial"/>
          <w:color w:val="000000" w:themeColor="text1"/>
          <w:sz w:val="12"/>
          <w:szCs w:val="12"/>
          <w:lang w:eastAsia="es-ES_tradnl"/>
        </w:rPr>
      </w:pPr>
      <w:r w:rsidRPr="009C1600">
        <w:rPr>
          <w:rStyle w:val="Refdenotaalpie"/>
          <w:rFonts w:ascii="Arial" w:hAnsi="Arial" w:cs="Arial"/>
          <w:color w:val="000000" w:themeColor="text1"/>
          <w:sz w:val="12"/>
          <w:szCs w:val="12"/>
        </w:rPr>
        <w:footnoteRef/>
      </w:r>
      <w:r w:rsidRPr="009C1600">
        <w:rPr>
          <w:rFonts w:ascii="Arial" w:hAnsi="Arial" w:cs="Arial"/>
          <w:color w:val="000000" w:themeColor="text1"/>
          <w:sz w:val="12"/>
          <w:szCs w:val="12"/>
        </w:rPr>
        <w:t xml:space="preserve"> </w:t>
      </w:r>
      <w:r w:rsidRPr="009C1600">
        <w:rPr>
          <w:rFonts w:ascii="Arial" w:eastAsia="Arial" w:hAnsi="Arial" w:cs="Arial"/>
          <w:color w:val="000000" w:themeColor="text1"/>
          <w:sz w:val="12"/>
          <w:szCs w:val="12"/>
        </w:rPr>
        <w:t xml:space="preserve">«Artículo 3°. Funciones. La Agencia Nacional de Contratación Pública –Colombia Compra Eficiente– ejercerá las siguientes funciones: </w:t>
      </w:r>
    </w:p>
    <w:p w14:paraId="4EFA4669" w14:textId="77777777" w:rsidR="00F77855" w:rsidRPr="009C1600" w:rsidRDefault="00F77855" w:rsidP="0071727F">
      <w:pPr>
        <w:ind w:firstLine="709"/>
        <w:jc w:val="both"/>
        <w:rPr>
          <w:rFonts w:ascii="Arial" w:eastAsia="Arial" w:hAnsi="Arial" w:cs="Arial"/>
          <w:color w:val="000000" w:themeColor="text1"/>
          <w:sz w:val="12"/>
          <w:szCs w:val="12"/>
        </w:rPr>
      </w:pPr>
      <w:r w:rsidRPr="009C1600">
        <w:rPr>
          <w:rFonts w:ascii="Arial" w:eastAsia="Arial" w:hAnsi="Arial" w:cs="Arial"/>
          <w:color w:val="000000" w:themeColor="text1"/>
          <w:sz w:val="12"/>
          <w:szCs w:val="12"/>
        </w:rPr>
        <w:t xml:space="preserve">[...] </w:t>
      </w:r>
    </w:p>
    <w:p w14:paraId="726C1451" w14:textId="77777777" w:rsidR="00F77855" w:rsidRPr="009C1600" w:rsidRDefault="00F77855" w:rsidP="0071727F">
      <w:pPr>
        <w:ind w:firstLine="709"/>
        <w:jc w:val="both"/>
        <w:rPr>
          <w:rFonts w:ascii="Arial" w:eastAsia="Arial" w:hAnsi="Arial" w:cs="Arial"/>
          <w:color w:val="000000" w:themeColor="text1"/>
          <w:sz w:val="12"/>
          <w:szCs w:val="12"/>
        </w:rPr>
      </w:pPr>
      <w:r w:rsidRPr="009C1600">
        <w:rPr>
          <w:rFonts w:ascii="Arial" w:eastAsia="Arial" w:hAnsi="Arial" w:cs="Arial"/>
          <w:color w:val="000000" w:themeColor="text1"/>
          <w:sz w:val="12"/>
          <w:szCs w:val="12"/>
        </w:rPr>
        <w:t>» 5. Absolver consultas sobre la aplicación de normas de carácter general y expedir circulares externas en materia de compras y contratación pública».</w:t>
      </w:r>
    </w:p>
    <w:p w14:paraId="37545007" w14:textId="77777777" w:rsidR="00F77855" w:rsidRPr="009C1600" w:rsidRDefault="00F77855" w:rsidP="0071727F">
      <w:pPr>
        <w:ind w:firstLine="709"/>
        <w:jc w:val="both"/>
        <w:rPr>
          <w:rFonts w:ascii="Arial" w:eastAsia="Arial" w:hAnsi="Arial" w:cs="Arial"/>
          <w:color w:val="000000" w:themeColor="text1"/>
          <w:sz w:val="12"/>
          <w:szCs w:val="12"/>
        </w:rPr>
      </w:pPr>
      <w:r w:rsidRPr="009C1600">
        <w:rPr>
          <w:rFonts w:ascii="Arial" w:eastAsia="Arial" w:hAnsi="Arial" w:cs="Arial"/>
          <w:color w:val="000000" w:themeColor="text1"/>
          <w:sz w:val="12"/>
          <w:szCs w:val="12"/>
        </w:rPr>
        <w:t>[..]</w:t>
      </w:r>
    </w:p>
    <w:p w14:paraId="388EE5E6" w14:textId="77777777" w:rsidR="00F77855" w:rsidRPr="009C1600" w:rsidRDefault="00F77855" w:rsidP="0071727F">
      <w:pPr>
        <w:ind w:firstLine="709"/>
        <w:jc w:val="both"/>
        <w:rPr>
          <w:rFonts w:ascii="Arial" w:eastAsia="Arial" w:hAnsi="Arial" w:cs="Arial"/>
          <w:color w:val="000000" w:themeColor="text1"/>
          <w:sz w:val="12"/>
          <w:szCs w:val="12"/>
        </w:rPr>
      </w:pPr>
      <w:proofErr w:type="gramStart"/>
      <w:r w:rsidRPr="009C1600">
        <w:rPr>
          <w:rFonts w:ascii="Arial" w:eastAsia="Arial" w:hAnsi="Arial" w:cs="Arial"/>
          <w:color w:val="000000" w:themeColor="text1"/>
          <w:sz w:val="12"/>
          <w:szCs w:val="12"/>
        </w:rPr>
        <w:t>»Artículo</w:t>
      </w:r>
      <w:proofErr w:type="gramEnd"/>
      <w:r w:rsidRPr="009C1600">
        <w:rPr>
          <w:rFonts w:ascii="Arial" w:eastAsia="Arial" w:hAnsi="Arial" w:cs="Arial"/>
          <w:color w:val="000000" w:themeColor="text1"/>
          <w:sz w:val="12"/>
          <w:szCs w:val="12"/>
        </w:rPr>
        <w:t xml:space="preserve"> 11. Subdirección de Gestión Contractual. Son funciones de la Subdirección de Gestión Contractual las siguientes: </w:t>
      </w:r>
    </w:p>
    <w:p w14:paraId="5D167BB9" w14:textId="77777777" w:rsidR="00F77855" w:rsidRPr="009C1600" w:rsidRDefault="00F77855" w:rsidP="0071727F">
      <w:pPr>
        <w:ind w:firstLine="709"/>
        <w:jc w:val="both"/>
        <w:rPr>
          <w:rFonts w:ascii="Arial" w:eastAsia="Arial" w:hAnsi="Arial" w:cs="Arial"/>
          <w:color w:val="000000" w:themeColor="text1"/>
          <w:sz w:val="12"/>
          <w:szCs w:val="12"/>
        </w:rPr>
      </w:pPr>
      <w:r w:rsidRPr="009C1600">
        <w:rPr>
          <w:rFonts w:ascii="Arial" w:eastAsia="Arial" w:hAnsi="Arial" w:cs="Arial"/>
          <w:color w:val="000000" w:themeColor="text1"/>
          <w:sz w:val="12"/>
          <w:szCs w:val="12"/>
        </w:rPr>
        <w:t xml:space="preserve">[...] </w:t>
      </w:r>
    </w:p>
    <w:p w14:paraId="429559E0" w14:textId="77777777" w:rsidR="00F77855" w:rsidRPr="009C1600" w:rsidRDefault="00F77855" w:rsidP="0071727F">
      <w:pPr>
        <w:ind w:firstLine="709"/>
        <w:jc w:val="both"/>
        <w:rPr>
          <w:rFonts w:ascii="Arial" w:eastAsia="Arial" w:hAnsi="Arial" w:cs="Arial"/>
          <w:color w:val="000000" w:themeColor="text1"/>
          <w:sz w:val="12"/>
          <w:szCs w:val="12"/>
        </w:rPr>
      </w:pPr>
      <w:r w:rsidRPr="009C1600">
        <w:rPr>
          <w:rFonts w:ascii="Arial" w:eastAsia="Arial" w:hAnsi="Arial" w:cs="Arial"/>
          <w:color w:val="000000" w:themeColor="text1"/>
          <w:sz w:val="12"/>
          <w:szCs w:val="12"/>
        </w:rPr>
        <w:t xml:space="preserve">»8. Absolver consultas sobre la aplicación de normas de carácter general». </w:t>
      </w:r>
    </w:p>
    <w:p w14:paraId="442F8EC8" w14:textId="76A5AEE7" w:rsidR="00F77855" w:rsidRPr="0071727F" w:rsidRDefault="00F77855" w:rsidP="0071727F">
      <w:pPr>
        <w:pStyle w:val="Textonotapie"/>
        <w:spacing w:before="0" w:after="0" w:line="240" w:lineRule="auto"/>
        <w:ind w:firstLine="709"/>
        <w:rPr>
          <w:rFonts w:ascii="Arial" w:hAnsi="Arial" w:cs="Arial"/>
          <w:color w:val="000000" w:themeColor="text1"/>
          <w:sz w:val="19"/>
          <w:szCs w:val="19"/>
          <w:lang w:val="es-CO"/>
        </w:rPr>
      </w:pPr>
    </w:p>
  </w:footnote>
  <w:footnote w:id="2">
    <w:p w14:paraId="1BD8D1CC" w14:textId="77777777" w:rsidR="00BB7E79" w:rsidRPr="009C1600" w:rsidRDefault="00BB7E79" w:rsidP="0071727F">
      <w:pPr>
        <w:pBdr>
          <w:top w:val="nil"/>
          <w:left w:val="nil"/>
          <w:bottom w:val="nil"/>
          <w:right w:val="nil"/>
          <w:between w:val="nil"/>
        </w:pBdr>
        <w:ind w:firstLine="709"/>
        <w:jc w:val="both"/>
        <w:rPr>
          <w:rFonts w:ascii="Arial" w:eastAsia="Arial" w:hAnsi="Arial" w:cs="Arial"/>
          <w:color w:val="000000" w:themeColor="text1"/>
          <w:sz w:val="12"/>
          <w:szCs w:val="12"/>
        </w:rPr>
      </w:pPr>
      <w:r w:rsidRPr="008C4858">
        <w:rPr>
          <w:rStyle w:val="Refdenotaalpie"/>
          <w:rFonts w:ascii="Arial" w:hAnsi="Arial" w:cs="Arial"/>
          <w:color w:val="000000" w:themeColor="text1"/>
          <w:sz w:val="13"/>
          <w:szCs w:val="13"/>
        </w:rPr>
        <w:footnoteRef/>
      </w:r>
      <w:r w:rsidRPr="008C4858">
        <w:rPr>
          <w:rFonts w:ascii="Arial" w:eastAsia="Arial" w:hAnsi="Arial" w:cs="Arial"/>
          <w:color w:val="000000" w:themeColor="text1"/>
          <w:sz w:val="13"/>
          <w:szCs w:val="13"/>
        </w:rPr>
        <w:t xml:space="preserve"> </w:t>
      </w:r>
      <w:r w:rsidRPr="009C1600">
        <w:rPr>
          <w:rFonts w:ascii="Arial" w:eastAsia="Arial" w:hAnsi="Arial" w:cs="Arial"/>
          <w:color w:val="000000" w:themeColor="text1"/>
          <w:sz w:val="12"/>
          <w:szCs w:val="12"/>
        </w:rPr>
        <w:t xml:space="preserve">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67F53342" w14:textId="77777777" w:rsidR="00BB7E79" w:rsidRPr="009C1600" w:rsidRDefault="00BB7E79" w:rsidP="0071727F">
      <w:pPr>
        <w:pBdr>
          <w:top w:val="nil"/>
          <w:left w:val="nil"/>
          <w:bottom w:val="nil"/>
          <w:right w:val="nil"/>
          <w:between w:val="nil"/>
        </w:pBdr>
        <w:ind w:firstLine="709"/>
        <w:jc w:val="both"/>
        <w:rPr>
          <w:rFonts w:ascii="Arial" w:eastAsia="Arial" w:hAnsi="Arial" w:cs="Arial"/>
          <w:color w:val="000000" w:themeColor="text1"/>
          <w:sz w:val="12"/>
          <w:szCs w:val="12"/>
        </w:rPr>
      </w:pPr>
      <w:proofErr w:type="gramStart"/>
      <w:r w:rsidRPr="009C1600">
        <w:rPr>
          <w:rFonts w:ascii="Arial" w:eastAsia="Arial" w:hAnsi="Arial" w:cs="Arial"/>
          <w:color w:val="000000" w:themeColor="text1"/>
          <w:sz w:val="12"/>
          <w:szCs w:val="12"/>
        </w:rPr>
        <w:t>»A</w:t>
      </w:r>
      <w:proofErr w:type="gramEnd"/>
      <w:r w:rsidRPr="009C1600">
        <w:rPr>
          <w:rFonts w:ascii="Arial" w:eastAsia="Arial" w:hAnsi="Arial" w:cs="Arial"/>
          <w:color w:val="000000" w:themeColor="text1"/>
          <w:sz w:val="12"/>
          <w:szCs w:val="12"/>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44BC5500" w14:textId="77777777" w:rsidR="00BB7E79" w:rsidRPr="009C1600" w:rsidRDefault="00BB7E79" w:rsidP="0071727F">
      <w:pPr>
        <w:pBdr>
          <w:top w:val="nil"/>
          <w:left w:val="nil"/>
          <w:bottom w:val="nil"/>
          <w:right w:val="nil"/>
          <w:between w:val="nil"/>
        </w:pBdr>
        <w:ind w:firstLine="709"/>
        <w:jc w:val="both"/>
        <w:rPr>
          <w:rFonts w:ascii="Arial" w:eastAsia="Arial" w:hAnsi="Arial" w:cs="Arial"/>
          <w:color w:val="000000" w:themeColor="text1"/>
          <w:sz w:val="12"/>
          <w:szCs w:val="12"/>
        </w:rPr>
      </w:pPr>
    </w:p>
  </w:footnote>
  <w:footnote w:id="3">
    <w:p w14:paraId="0815BBAB" w14:textId="77777777" w:rsidR="00BB7E79" w:rsidRPr="009C1600" w:rsidRDefault="00BB7E79" w:rsidP="0071727F">
      <w:pPr>
        <w:pBdr>
          <w:top w:val="nil"/>
          <w:left w:val="nil"/>
          <w:bottom w:val="nil"/>
          <w:right w:val="nil"/>
          <w:between w:val="nil"/>
        </w:pBdr>
        <w:ind w:firstLine="709"/>
        <w:jc w:val="both"/>
        <w:rPr>
          <w:rFonts w:ascii="Arial" w:eastAsia="Arial" w:hAnsi="Arial" w:cs="Arial"/>
          <w:color w:val="000000" w:themeColor="text1"/>
          <w:sz w:val="12"/>
          <w:szCs w:val="12"/>
        </w:rPr>
      </w:pPr>
      <w:r w:rsidRPr="009C1600">
        <w:rPr>
          <w:rStyle w:val="Refdenotaalpie"/>
          <w:rFonts w:ascii="Arial" w:hAnsi="Arial" w:cs="Arial"/>
          <w:color w:val="000000" w:themeColor="text1"/>
          <w:sz w:val="12"/>
          <w:szCs w:val="12"/>
        </w:rPr>
        <w:footnoteRef/>
      </w:r>
      <w:r w:rsidRPr="009C1600">
        <w:rPr>
          <w:rFonts w:ascii="Arial" w:eastAsia="Arial" w:hAnsi="Arial" w:cs="Arial"/>
          <w:color w:val="000000" w:themeColor="text1"/>
          <w:sz w:val="12"/>
          <w:szCs w:val="12"/>
        </w:rPr>
        <w:t xml:space="preserve"> Gaceta del Congreso de la República No. 71 del 2005.</w:t>
      </w:r>
    </w:p>
    <w:p w14:paraId="44CD3A5B" w14:textId="77777777" w:rsidR="00BB7E79" w:rsidRPr="0071727F" w:rsidRDefault="00BB7E79" w:rsidP="0071727F">
      <w:pPr>
        <w:pBdr>
          <w:top w:val="nil"/>
          <w:left w:val="nil"/>
          <w:bottom w:val="nil"/>
          <w:right w:val="nil"/>
          <w:between w:val="nil"/>
        </w:pBdr>
        <w:ind w:firstLine="709"/>
        <w:jc w:val="both"/>
        <w:rPr>
          <w:rFonts w:ascii="Arial" w:eastAsia="Arial" w:hAnsi="Arial" w:cs="Arial"/>
          <w:color w:val="000000" w:themeColor="text1"/>
          <w:sz w:val="19"/>
          <w:szCs w:val="19"/>
        </w:rPr>
      </w:pPr>
    </w:p>
  </w:footnote>
  <w:footnote w:id="4">
    <w:p w14:paraId="1044877C" w14:textId="77777777" w:rsidR="00BB7E79" w:rsidRPr="009C1600" w:rsidRDefault="00BB7E79" w:rsidP="0071727F">
      <w:pPr>
        <w:pBdr>
          <w:top w:val="nil"/>
          <w:left w:val="nil"/>
          <w:bottom w:val="nil"/>
          <w:right w:val="nil"/>
          <w:between w:val="nil"/>
        </w:pBdr>
        <w:ind w:firstLine="709"/>
        <w:jc w:val="both"/>
        <w:rPr>
          <w:rFonts w:ascii="Arial" w:eastAsia="Arial" w:hAnsi="Arial" w:cs="Arial"/>
          <w:color w:val="000000" w:themeColor="text1"/>
          <w:sz w:val="12"/>
          <w:szCs w:val="12"/>
        </w:rPr>
      </w:pPr>
      <w:r w:rsidRPr="008C4858">
        <w:rPr>
          <w:rStyle w:val="Refdenotaalpie"/>
          <w:rFonts w:ascii="Arial" w:hAnsi="Arial" w:cs="Arial"/>
          <w:color w:val="000000" w:themeColor="text1"/>
          <w:sz w:val="13"/>
          <w:szCs w:val="13"/>
        </w:rPr>
        <w:footnoteRef/>
      </w:r>
      <w:r w:rsidRPr="008C4858">
        <w:rPr>
          <w:rFonts w:ascii="Arial" w:eastAsia="Arial" w:hAnsi="Arial" w:cs="Arial"/>
          <w:color w:val="000000" w:themeColor="text1"/>
          <w:sz w:val="13"/>
          <w:szCs w:val="13"/>
        </w:rPr>
        <w:t xml:space="preserve"> </w:t>
      </w:r>
      <w:r w:rsidRPr="009C1600">
        <w:rPr>
          <w:rFonts w:ascii="Arial" w:eastAsia="Arial" w:hAnsi="Arial" w:cs="Arial"/>
          <w:color w:val="000000" w:themeColor="text1"/>
          <w:sz w:val="12"/>
          <w:szCs w:val="12"/>
        </w:rPr>
        <w:t>Corte Constitucional, Sentencia C- 1153 de 2005, M.P. Marco Gerardo Monroy Cabra.</w:t>
      </w:r>
    </w:p>
  </w:footnote>
  <w:footnote w:id="5">
    <w:p w14:paraId="209A23CB" w14:textId="77777777" w:rsidR="00670466" w:rsidRPr="009C1600" w:rsidRDefault="00670466" w:rsidP="00FC4AF7">
      <w:pPr>
        <w:pBdr>
          <w:top w:val="nil"/>
          <w:left w:val="nil"/>
          <w:bottom w:val="nil"/>
          <w:right w:val="nil"/>
          <w:between w:val="nil"/>
        </w:pBdr>
        <w:ind w:firstLine="709"/>
        <w:jc w:val="both"/>
        <w:rPr>
          <w:rFonts w:ascii="Arial" w:eastAsia="Arial" w:hAnsi="Arial" w:cs="Arial"/>
          <w:color w:val="000000" w:themeColor="text1"/>
          <w:sz w:val="12"/>
          <w:szCs w:val="12"/>
        </w:rPr>
      </w:pPr>
    </w:p>
    <w:p w14:paraId="300E4C08" w14:textId="080AC7A8" w:rsidR="00BB7E79" w:rsidRPr="009C1600" w:rsidRDefault="00BB7E79" w:rsidP="00FC4AF7">
      <w:pPr>
        <w:pBdr>
          <w:top w:val="nil"/>
          <w:left w:val="nil"/>
          <w:bottom w:val="nil"/>
          <w:right w:val="nil"/>
          <w:between w:val="nil"/>
        </w:pBdr>
        <w:ind w:firstLine="709"/>
        <w:jc w:val="both"/>
        <w:rPr>
          <w:rFonts w:ascii="Arial" w:eastAsia="Arial" w:hAnsi="Arial" w:cs="Arial"/>
          <w:color w:val="000000" w:themeColor="text1"/>
          <w:sz w:val="12"/>
          <w:szCs w:val="12"/>
        </w:rPr>
      </w:pPr>
      <w:r w:rsidRPr="009C1600">
        <w:rPr>
          <w:rStyle w:val="Refdenotaalpie"/>
          <w:rFonts w:ascii="Arial" w:hAnsi="Arial" w:cs="Arial"/>
          <w:color w:val="000000" w:themeColor="text1"/>
          <w:sz w:val="12"/>
          <w:szCs w:val="12"/>
        </w:rPr>
        <w:footnoteRef/>
      </w:r>
      <w:r w:rsidRPr="009C1600">
        <w:rPr>
          <w:rFonts w:ascii="Arial" w:eastAsia="Arial" w:hAnsi="Arial" w:cs="Arial"/>
          <w:color w:val="000000" w:themeColor="text1"/>
          <w:sz w:val="12"/>
          <w:szCs w:val="12"/>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2F879A49" w14:textId="77777777" w:rsidR="00BB7E79" w:rsidRPr="009C1600" w:rsidRDefault="00BB7E79" w:rsidP="00FC4AF7">
      <w:pPr>
        <w:pBdr>
          <w:top w:val="nil"/>
          <w:left w:val="nil"/>
          <w:bottom w:val="nil"/>
          <w:right w:val="nil"/>
          <w:between w:val="nil"/>
        </w:pBdr>
        <w:ind w:firstLine="709"/>
        <w:jc w:val="both"/>
        <w:rPr>
          <w:rFonts w:ascii="Arial" w:eastAsia="Arial" w:hAnsi="Arial" w:cs="Arial"/>
          <w:color w:val="000000" w:themeColor="text1"/>
          <w:sz w:val="12"/>
          <w:szCs w:val="12"/>
        </w:rPr>
      </w:pPr>
    </w:p>
  </w:footnote>
  <w:footnote w:id="6">
    <w:p w14:paraId="0036B206" w14:textId="77777777" w:rsidR="00BB7E79" w:rsidRPr="009C1600" w:rsidRDefault="00BB7E79" w:rsidP="00FC4AF7">
      <w:pPr>
        <w:pBdr>
          <w:top w:val="nil"/>
          <w:left w:val="nil"/>
          <w:bottom w:val="nil"/>
          <w:right w:val="nil"/>
          <w:between w:val="nil"/>
        </w:pBdr>
        <w:ind w:firstLine="709"/>
        <w:jc w:val="both"/>
        <w:rPr>
          <w:rFonts w:ascii="Arial" w:eastAsia="Arial" w:hAnsi="Arial" w:cs="Arial"/>
          <w:color w:val="000000" w:themeColor="text1"/>
          <w:sz w:val="12"/>
          <w:szCs w:val="12"/>
        </w:rPr>
      </w:pPr>
      <w:r w:rsidRPr="009C1600">
        <w:rPr>
          <w:rStyle w:val="Refdenotaalpie"/>
          <w:rFonts w:ascii="Arial" w:hAnsi="Arial" w:cs="Arial"/>
          <w:color w:val="000000" w:themeColor="text1"/>
          <w:sz w:val="12"/>
          <w:szCs w:val="12"/>
        </w:rPr>
        <w:footnoteRef/>
      </w:r>
      <w:r w:rsidRPr="009C1600">
        <w:rPr>
          <w:rFonts w:ascii="Arial" w:eastAsia="Arial" w:hAnsi="Arial" w:cs="Arial"/>
          <w:color w:val="000000" w:themeColor="text1"/>
          <w:sz w:val="12"/>
          <w:szCs w:val="12"/>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4D5838F1" w14:textId="77777777" w:rsidR="00BB7E79" w:rsidRPr="009C1600" w:rsidRDefault="00BB7E79" w:rsidP="00FC4AF7">
      <w:pPr>
        <w:pBdr>
          <w:top w:val="nil"/>
          <w:left w:val="nil"/>
          <w:bottom w:val="nil"/>
          <w:right w:val="nil"/>
          <w:between w:val="nil"/>
        </w:pBdr>
        <w:ind w:firstLine="709"/>
        <w:jc w:val="both"/>
        <w:rPr>
          <w:rFonts w:ascii="Arial" w:eastAsia="Arial" w:hAnsi="Arial" w:cs="Arial"/>
          <w:color w:val="000000" w:themeColor="text1"/>
          <w:sz w:val="12"/>
          <w:szCs w:val="12"/>
        </w:rPr>
      </w:pPr>
    </w:p>
  </w:footnote>
  <w:footnote w:id="7">
    <w:p w14:paraId="4C8D4833" w14:textId="77777777" w:rsidR="00BB7E79" w:rsidRPr="009C1600" w:rsidRDefault="00BB7E79" w:rsidP="00FC4AF7">
      <w:pPr>
        <w:pBdr>
          <w:top w:val="nil"/>
          <w:left w:val="nil"/>
          <w:bottom w:val="nil"/>
          <w:right w:val="nil"/>
          <w:between w:val="nil"/>
        </w:pBdr>
        <w:ind w:firstLine="709"/>
        <w:jc w:val="both"/>
        <w:rPr>
          <w:rFonts w:ascii="Arial" w:eastAsia="Arial" w:hAnsi="Arial" w:cs="Arial"/>
          <w:color w:val="000000" w:themeColor="text1"/>
          <w:sz w:val="12"/>
          <w:szCs w:val="12"/>
        </w:rPr>
      </w:pPr>
      <w:r w:rsidRPr="009C1600">
        <w:rPr>
          <w:rStyle w:val="Refdenotaalpie"/>
          <w:rFonts w:ascii="Arial" w:hAnsi="Arial" w:cs="Arial"/>
          <w:color w:val="000000" w:themeColor="text1"/>
          <w:sz w:val="12"/>
          <w:szCs w:val="12"/>
        </w:rPr>
        <w:footnoteRef/>
      </w:r>
      <w:r w:rsidRPr="009C1600">
        <w:rPr>
          <w:rFonts w:ascii="Arial" w:eastAsia="Arial" w:hAnsi="Arial" w:cs="Arial"/>
          <w:color w:val="000000" w:themeColor="text1"/>
          <w:sz w:val="12"/>
          <w:szCs w:val="12"/>
        </w:rPr>
        <w:t xml:space="preserve"> Consejo de Estado, Sala de Consulta y Servicio Civil de fecha 24 de julio de 2013, radicado 2166, </w:t>
      </w:r>
      <w:proofErr w:type="gramStart"/>
      <w:r w:rsidRPr="009C1600">
        <w:rPr>
          <w:rFonts w:ascii="Arial" w:eastAsia="Arial" w:hAnsi="Arial" w:cs="Arial"/>
          <w:color w:val="000000" w:themeColor="text1"/>
          <w:sz w:val="12"/>
          <w:szCs w:val="12"/>
        </w:rPr>
        <w:t>Consejero</w:t>
      </w:r>
      <w:proofErr w:type="gramEnd"/>
      <w:r w:rsidRPr="009C1600">
        <w:rPr>
          <w:rFonts w:ascii="Arial" w:eastAsia="Arial" w:hAnsi="Arial" w:cs="Arial"/>
          <w:color w:val="000000" w:themeColor="text1"/>
          <w:sz w:val="12"/>
          <w:szCs w:val="12"/>
        </w:rPr>
        <w:t xml:space="preserve"> Ponente: Álvaro </w:t>
      </w:r>
      <w:proofErr w:type="spellStart"/>
      <w:r w:rsidRPr="009C1600">
        <w:rPr>
          <w:rFonts w:ascii="Arial" w:eastAsia="Arial" w:hAnsi="Arial" w:cs="Arial"/>
          <w:color w:val="000000" w:themeColor="text1"/>
          <w:sz w:val="12"/>
          <w:szCs w:val="12"/>
        </w:rPr>
        <w:t>Namén</w:t>
      </w:r>
      <w:proofErr w:type="spellEnd"/>
      <w:r w:rsidRPr="009C1600">
        <w:rPr>
          <w:rFonts w:ascii="Arial" w:eastAsia="Arial" w:hAnsi="Arial" w:cs="Arial"/>
          <w:color w:val="000000" w:themeColor="text1"/>
          <w:sz w:val="12"/>
          <w:szCs w:val="12"/>
        </w:rPr>
        <w:t xml:space="preserve"> Vargas.  </w:t>
      </w:r>
    </w:p>
  </w:footnote>
  <w:footnote w:id="8">
    <w:p w14:paraId="55E04E91" w14:textId="77777777" w:rsidR="00AB0808" w:rsidRPr="0071727F" w:rsidRDefault="00AB0808" w:rsidP="00FC4AF7">
      <w:pPr>
        <w:ind w:firstLine="709"/>
        <w:jc w:val="both"/>
        <w:rPr>
          <w:rFonts w:ascii="Arial" w:eastAsia="Arial" w:hAnsi="Arial" w:cs="Arial"/>
          <w:color w:val="000000" w:themeColor="text1"/>
          <w:sz w:val="19"/>
          <w:szCs w:val="19"/>
        </w:rPr>
      </w:pPr>
    </w:p>
    <w:p w14:paraId="63179BCD" w14:textId="5C7028F6" w:rsidR="00BB7E79" w:rsidRPr="009C1600" w:rsidRDefault="00BB7E79" w:rsidP="00FC4AF7">
      <w:pPr>
        <w:ind w:firstLine="709"/>
        <w:jc w:val="both"/>
        <w:rPr>
          <w:rFonts w:ascii="Arial" w:eastAsia="Arial" w:hAnsi="Arial" w:cs="Arial"/>
          <w:color w:val="000000" w:themeColor="text1"/>
          <w:sz w:val="12"/>
          <w:szCs w:val="12"/>
        </w:rPr>
      </w:pPr>
      <w:r w:rsidRPr="009C1600">
        <w:rPr>
          <w:rStyle w:val="Refdenotaalpie"/>
          <w:rFonts w:ascii="Arial" w:hAnsi="Arial" w:cs="Arial"/>
          <w:color w:val="000000" w:themeColor="text1"/>
          <w:sz w:val="12"/>
          <w:szCs w:val="12"/>
        </w:rPr>
        <w:footnoteRef/>
      </w:r>
      <w:r w:rsidRPr="009C1600">
        <w:rPr>
          <w:rFonts w:ascii="Arial" w:eastAsia="Arial" w:hAnsi="Arial" w:cs="Arial"/>
          <w:color w:val="000000" w:themeColor="text1"/>
          <w:sz w:val="12"/>
          <w:szCs w:val="12"/>
        </w:rPr>
        <w:t xml:space="preserve"> </w:t>
      </w:r>
      <w:bookmarkStart w:id="7" w:name="qsh70q" w:colFirst="0" w:colLast="0"/>
      <w:bookmarkEnd w:id="7"/>
      <w:r w:rsidRPr="009C1600">
        <w:rPr>
          <w:rFonts w:ascii="Arial" w:eastAsia="Arial" w:hAnsi="Arial" w:cs="Arial"/>
          <w:color w:val="000000" w:themeColor="text1"/>
          <w:sz w:val="12"/>
          <w:szCs w:val="12"/>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1BC0E80F" w14:textId="77777777" w:rsidR="00BB7E79" w:rsidRPr="009C1600" w:rsidRDefault="00BB7E79" w:rsidP="00FC4AF7">
      <w:pPr>
        <w:ind w:firstLine="709"/>
        <w:jc w:val="both"/>
        <w:rPr>
          <w:rFonts w:ascii="Arial" w:eastAsia="Arial" w:hAnsi="Arial" w:cs="Arial"/>
          <w:color w:val="000000" w:themeColor="text1"/>
          <w:sz w:val="12"/>
          <w:szCs w:val="12"/>
        </w:rPr>
      </w:pPr>
      <w:r w:rsidRPr="009C1600">
        <w:rPr>
          <w:rFonts w:ascii="Arial" w:eastAsia="Arial" w:hAnsi="Arial" w:cs="Arial"/>
          <w:color w:val="000000" w:themeColor="text1"/>
          <w:sz w:val="12"/>
          <w:szCs w:val="12"/>
        </w:rPr>
        <w:t>»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footnote>
  <w:footnote w:id="9">
    <w:p w14:paraId="52934018" w14:textId="77777777" w:rsidR="00BB7E79" w:rsidRPr="009C1600" w:rsidRDefault="00BB7E79" w:rsidP="00FC4AF7">
      <w:pPr>
        <w:pBdr>
          <w:top w:val="nil"/>
          <w:left w:val="nil"/>
          <w:bottom w:val="nil"/>
          <w:right w:val="nil"/>
          <w:between w:val="nil"/>
        </w:pBdr>
        <w:ind w:firstLine="709"/>
        <w:jc w:val="both"/>
        <w:rPr>
          <w:rFonts w:ascii="Arial" w:eastAsia="Arial" w:hAnsi="Arial" w:cs="Arial"/>
          <w:color w:val="000000" w:themeColor="text1"/>
          <w:sz w:val="12"/>
          <w:szCs w:val="12"/>
        </w:rPr>
      </w:pPr>
      <w:r w:rsidRPr="009C1600">
        <w:rPr>
          <w:rStyle w:val="Refdenotaalpie"/>
          <w:rFonts w:ascii="Arial" w:hAnsi="Arial" w:cs="Arial"/>
          <w:color w:val="000000" w:themeColor="text1"/>
          <w:sz w:val="12"/>
          <w:szCs w:val="12"/>
        </w:rPr>
        <w:footnoteRef/>
      </w:r>
      <w:r w:rsidRPr="009C1600">
        <w:rPr>
          <w:rFonts w:ascii="Arial" w:eastAsia="Arial" w:hAnsi="Arial" w:cs="Arial"/>
          <w:color w:val="000000" w:themeColor="text1"/>
          <w:sz w:val="12"/>
          <w:szCs w:val="12"/>
        </w:rPr>
        <w:t xml:space="preserve"> </w:t>
      </w:r>
      <w:bookmarkStart w:id="8" w:name="3as4poj" w:colFirst="0" w:colLast="0"/>
      <w:bookmarkEnd w:id="8"/>
      <w:r w:rsidRPr="009C1600">
        <w:rPr>
          <w:rFonts w:ascii="Arial" w:eastAsia="Arial" w:hAnsi="Arial" w:cs="Arial"/>
          <w:color w:val="000000" w:themeColor="text1"/>
          <w:sz w:val="12"/>
          <w:szCs w:val="12"/>
        </w:rPr>
        <w:t>«Artículo 38. Prohibiciones para los servidores públicos. A los empleados del Estado les está prohibido:</w:t>
      </w:r>
    </w:p>
    <w:p w14:paraId="760EBED8" w14:textId="77777777" w:rsidR="00BB7E79" w:rsidRPr="009C1600" w:rsidRDefault="00BB7E79" w:rsidP="00FC4AF7">
      <w:pPr>
        <w:pBdr>
          <w:top w:val="nil"/>
          <w:left w:val="nil"/>
          <w:bottom w:val="nil"/>
          <w:right w:val="nil"/>
          <w:between w:val="nil"/>
        </w:pBdr>
        <w:ind w:firstLine="709"/>
        <w:jc w:val="both"/>
        <w:rPr>
          <w:rFonts w:ascii="Arial" w:eastAsia="Arial" w:hAnsi="Arial" w:cs="Arial"/>
          <w:color w:val="000000" w:themeColor="text1"/>
          <w:sz w:val="12"/>
          <w:szCs w:val="12"/>
        </w:rPr>
      </w:pPr>
      <w:r w:rsidRPr="009C1600">
        <w:rPr>
          <w:rFonts w:ascii="Arial" w:eastAsia="Arial" w:hAnsi="Arial" w:cs="Arial"/>
          <w:color w:val="000000" w:themeColor="text1"/>
          <w:sz w:val="12"/>
          <w:szCs w:val="12"/>
        </w:rPr>
        <w:t>» […]</w:t>
      </w:r>
    </w:p>
    <w:p w14:paraId="2EBC546A" w14:textId="77777777" w:rsidR="00BB7E79" w:rsidRPr="009C1600" w:rsidRDefault="00BB7E79" w:rsidP="00FC4AF7">
      <w:pPr>
        <w:pBdr>
          <w:top w:val="nil"/>
          <w:left w:val="nil"/>
          <w:bottom w:val="nil"/>
          <w:right w:val="nil"/>
          <w:between w:val="nil"/>
        </w:pBdr>
        <w:ind w:firstLine="709"/>
        <w:jc w:val="both"/>
        <w:rPr>
          <w:rFonts w:ascii="Arial" w:eastAsia="Arial" w:hAnsi="Arial" w:cs="Arial"/>
          <w:color w:val="000000" w:themeColor="text1"/>
          <w:sz w:val="12"/>
          <w:szCs w:val="12"/>
        </w:rPr>
      </w:pPr>
      <w:r w:rsidRPr="009C1600">
        <w:rPr>
          <w:rFonts w:ascii="Arial" w:eastAsia="Arial" w:hAnsi="Arial" w:cs="Arial"/>
          <w:color w:val="000000" w:themeColor="text1"/>
          <w:sz w:val="12"/>
          <w:szCs w:val="12"/>
        </w:rPr>
        <w:t>» Parágrafo.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09FF2860" w14:textId="77777777" w:rsidR="00BB7E79" w:rsidRPr="009C1600" w:rsidRDefault="00BB7E79" w:rsidP="0071727F">
      <w:pPr>
        <w:pBdr>
          <w:top w:val="nil"/>
          <w:left w:val="nil"/>
          <w:bottom w:val="nil"/>
          <w:right w:val="nil"/>
          <w:between w:val="nil"/>
        </w:pBdr>
        <w:ind w:firstLine="709"/>
        <w:jc w:val="both"/>
        <w:rPr>
          <w:rFonts w:ascii="Arial" w:eastAsia="Arial" w:hAnsi="Arial" w:cs="Arial"/>
          <w:color w:val="000000" w:themeColor="text1"/>
          <w:sz w:val="12"/>
          <w:szCs w:val="12"/>
        </w:rPr>
      </w:pPr>
    </w:p>
  </w:footnote>
  <w:footnote w:id="10">
    <w:p w14:paraId="1FC41FCE" w14:textId="460B007D" w:rsidR="00F61C41" w:rsidRPr="009C1600" w:rsidRDefault="00F61C41" w:rsidP="0071727F">
      <w:pPr>
        <w:ind w:firstLine="709"/>
        <w:jc w:val="both"/>
        <w:rPr>
          <w:rFonts w:ascii="Arial" w:hAnsi="Arial" w:cs="Arial"/>
          <w:sz w:val="12"/>
          <w:szCs w:val="12"/>
          <w:lang w:eastAsia="es-ES_tradnl"/>
        </w:rPr>
      </w:pPr>
      <w:r w:rsidRPr="009C1600">
        <w:rPr>
          <w:rStyle w:val="Refdenotaalpie"/>
          <w:rFonts w:ascii="Arial" w:hAnsi="Arial" w:cs="Arial"/>
          <w:sz w:val="12"/>
          <w:szCs w:val="12"/>
        </w:rPr>
        <w:footnoteRef/>
      </w:r>
      <w:r w:rsidRPr="009C1600">
        <w:rPr>
          <w:rFonts w:ascii="Arial" w:hAnsi="Arial" w:cs="Arial"/>
          <w:sz w:val="12"/>
          <w:szCs w:val="12"/>
        </w:rPr>
        <w:t xml:space="preserve"> </w:t>
      </w:r>
      <w:r w:rsidRPr="009C1600">
        <w:rPr>
          <w:rFonts w:ascii="Arial" w:hAnsi="Arial" w:cs="Arial"/>
          <w:sz w:val="12"/>
          <w:szCs w:val="12"/>
          <w:lang w:val="es-ES"/>
        </w:rPr>
        <w:t>«</w:t>
      </w:r>
      <w:r w:rsidRPr="009C1600">
        <w:rPr>
          <w:rFonts w:ascii="Arial" w:hAnsi="Arial" w:cs="Arial"/>
          <w:color w:val="333333"/>
          <w:sz w:val="12"/>
          <w:szCs w:val="12"/>
          <w:shd w:val="clear" w:color="auto" w:fill="FFFFFF"/>
        </w:rPr>
        <w:t>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La presente disposición modifica únicamente en la parte pertinente el inciso primero del parágrafo del artículo </w:t>
      </w:r>
      <w:hyperlink r:id="rId1" w:anchor="38" w:history="1">
        <w:r w:rsidRPr="009C1600">
          <w:rPr>
            <w:rStyle w:val="Hipervnculo"/>
            <w:rFonts w:ascii="Arial" w:hAnsi="Arial" w:cs="Arial"/>
            <w:color w:val="007BFF"/>
            <w:sz w:val="12"/>
            <w:szCs w:val="12"/>
            <w:shd w:val="clear" w:color="auto" w:fill="FFFFFF"/>
          </w:rPr>
          <w:t>38</w:t>
        </w:r>
      </w:hyperlink>
      <w:r w:rsidRPr="009C1600">
        <w:rPr>
          <w:rFonts w:ascii="Arial" w:hAnsi="Arial" w:cs="Arial"/>
          <w:color w:val="333333"/>
          <w:sz w:val="12"/>
          <w:szCs w:val="12"/>
          <w:shd w:val="clear" w:color="auto" w:fill="FFFFFF"/>
        </w:rPr>
        <w:t> de la Ley 996 de 2005».</w:t>
      </w:r>
    </w:p>
    <w:p w14:paraId="5764ED0B" w14:textId="4204E439" w:rsidR="00F61C41" w:rsidRPr="0071727F" w:rsidRDefault="00F61C41" w:rsidP="0071727F">
      <w:pPr>
        <w:pStyle w:val="Textonotapie"/>
        <w:spacing w:before="0" w:after="0" w:line="240" w:lineRule="auto"/>
        <w:ind w:firstLine="709"/>
        <w:rPr>
          <w:rFonts w:ascii="Arial" w:hAnsi="Arial" w:cs="Arial"/>
          <w:sz w:val="19"/>
          <w:szCs w:val="19"/>
          <w:lang w:val="es-ES"/>
        </w:rPr>
      </w:pPr>
    </w:p>
  </w:footnote>
  <w:footnote w:id="11">
    <w:p w14:paraId="1CBC9164" w14:textId="77777777" w:rsidR="00BB7E79" w:rsidRPr="009C1600" w:rsidRDefault="00BB7E79" w:rsidP="0071727F">
      <w:pPr>
        <w:ind w:firstLine="709"/>
        <w:jc w:val="both"/>
        <w:rPr>
          <w:rFonts w:ascii="Arial" w:eastAsia="Arial" w:hAnsi="Arial" w:cs="Arial"/>
          <w:color w:val="000000" w:themeColor="text1"/>
          <w:sz w:val="12"/>
          <w:szCs w:val="12"/>
        </w:rPr>
      </w:pPr>
      <w:r w:rsidRPr="0071727F">
        <w:rPr>
          <w:rStyle w:val="Refdenotaalpie"/>
          <w:rFonts w:ascii="Arial" w:hAnsi="Arial" w:cs="Arial"/>
          <w:color w:val="000000" w:themeColor="text1"/>
          <w:sz w:val="19"/>
          <w:szCs w:val="19"/>
        </w:rPr>
        <w:footnoteRef/>
      </w:r>
      <w:r w:rsidRPr="0071727F">
        <w:rPr>
          <w:rFonts w:ascii="Arial" w:eastAsia="Arial" w:hAnsi="Arial" w:cs="Arial"/>
          <w:color w:val="000000" w:themeColor="text1"/>
          <w:sz w:val="19"/>
          <w:szCs w:val="19"/>
        </w:rPr>
        <w:t xml:space="preserve"> </w:t>
      </w:r>
      <w:r w:rsidRPr="009C1600">
        <w:rPr>
          <w:rFonts w:ascii="Arial" w:eastAsia="Arial" w:hAnsi="Arial" w:cs="Arial"/>
          <w:color w:val="000000" w:themeColor="text1"/>
          <w:sz w:val="12"/>
          <w:szCs w:val="12"/>
        </w:rPr>
        <w:t>Consejo de Estado. Sala de Consulta y Servicio Civil. Concepto del 17 de febrero de 2015. C.P. William Zambrano Cetina. Radicación No. 11001-03-06-000-2015-00164-00(2269).</w:t>
      </w:r>
    </w:p>
    <w:p w14:paraId="09226ABF" w14:textId="77777777" w:rsidR="00BB7E79" w:rsidRPr="0071727F" w:rsidRDefault="00BB7E79" w:rsidP="0071727F">
      <w:pPr>
        <w:pBdr>
          <w:top w:val="nil"/>
          <w:left w:val="nil"/>
          <w:bottom w:val="nil"/>
          <w:right w:val="nil"/>
          <w:between w:val="nil"/>
        </w:pBdr>
        <w:ind w:firstLine="709"/>
        <w:jc w:val="both"/>
        <w:rPr>
          <w:rFonts w:ascii="Arial" w:eastAsia="Arial" w:hAnsi="Arial" w:cs="Arial"/>
          <w:color w:val="000000" w:themeColor="text1"/>
          <w:sz w:val="19"/>
          <w:szCs w:val="19"/>
        </w:rPr>
      </w:pPr>
    </w:p>
  </w:footnote>
  <w:footnote w:id="12">
    <w:p w14:paraId="789124E3" w14:textId="77777777" w:rsidR="00532B96" w:rsidRPr="009C1600" w:rsidRDefault="00532B96" w:rsidP="0071727F">
      <w:pPr>
        <w:pStyle w:val="Textonotapie"/>
        <w:spacing w:before="0" w:after="0" w:line="240" w:lineRule="auto"/>
        <w:ind w:firstLine="709"/>
        <w:rPr>
          <w:rFonts w:ascii="Arial" w:hAnsi="Arial" w:cs="Arial"/>
          <w:color w:val="000000" w:themeColor="text1"/>
          <w:sz w:val="12"/>
          <w:szCs w:val="12"/>
        </w:rPr>
      </w:pPr>
      <w:r w:rsidRPr="0071727F">
        <w:rPr>
          <w:rStyle w:val="Refdenotaalpie"/>
          <w:rFonts w:ascii="Arial" w:hAnsi="Arial" w:cs="Arial"/>
          <w:color w:val="000000" w:themeColor="text1"/>
          <w:sz w:val="19"/>
          <w:szCs w:val="19"/>
        </w:rPr>
        <w:footnoteRef/>
      </w:r>
      <w:r w:rsidRPr="0071727F">
        <w:rPr>
          <w:rFonts w:ascii="Arial" w:hAnsi="Arial" w:cs="Arial"/>
          <w:color w:val="000000" w:themeColor="text1"/>
          <w:sz w:val="19"/>
          <w:szCs w:val="19"/>
        </w:rPr>
        <w:t xml:space="preserve"> </w:t>
      </w:r>
      <w:bookmarkStart w:id="14" w:name="_Hlk74272731"/>
      <w:r w:rsidRPr="009C1600">
        <w:rPr>
          <w:rFonts w:ascii="Arial" w:hAnsi="Arial" w:cs="Arial"/>
          <w:color w:val="000000" w:themeColor="text1"/>
          <w:sz w:val="12"/>
          <w:szCs w:val="12"/>
        </w:rPr>
        <w:t>«</w:t>
      </w:r>
      <w:bookmarkEnd w:id="14"/>
      <w:r w:rsidRPr="009C1600">
        <w:rPr>
          <w:rFonts w:ascii="Arial" w:hAnsi="Arial" w:cs="Arial"/>
          <w:color w:val="000000" w:themeColor="text1"/>
          <w:sz w:val="12"/>
          <w:szCs w:val="12"/>
          <w:lang w:val="es-ES"/>
        </w:rPr>
        <w:t xml:space="preserve">[25] </w:t>
      </w:r>
      <w:r w:rsidRPr="009C1600">
        <w:rPr>
          <w:rFonts w:ascii="Arial" w:hAnsi="Arial" w:cs="Arial"/>
          <w:color w:val="000000" w:themeColor="text1"/>
          <w:sz w:val="12"/>
          <w:szCs w:val="12"/>
        </w:rPr>
        <w:t>Cfr. Consejo de Estado. Sección Tercera. Sentencia de 3 de diciembre de 2007. Radicados: 24.715, 25.206, 25.409, 24.524, 27.834, 25.410, 26.105, 28.244, 31.447 -acumulados-</w:t>
      </w:r>
      <w:bookmarkStart w:id="15" w:name="_Hlk74271358"/>
      <w:r w:rsidRPr="009C1600">
        <w:rPr>
          <w:rFonts w:ascii="Arial" w:hAnsi="Arial" w:cs="Arial"/>
          <w:color w:val="000000" w:themeColor="text1"/>
          <w:sz w:val="12"/>
          <w:szCs w:val="12"/>
        </w:rPr>
        <w:t>»</w:t>
      </w:r>
      <w:bookmarkEnd w:id="15"/>
      <w:r w:rsidRPr="009C1600">
        <w:rPr>
          <w:rFonts w:ascii="Arial" w:hAnsi="Arial" w:cs="Arial"/>
          <w:color w:val="000000" w:themeColor="text1"/>
          <w:sz w:val="12"/>
          <w:szCs w:val="12"/>
        </w:rPr>
        <w:t>.</w:t>
      </w:r>
    </w:p>
  </w:footnote>
  <w:footnote w:id="13">
    <w:p w14:paraId="517E1A13" w14:textId="77777777" w:rsidR="00AB0808" w:rsidRPr="009C1600" w:rsidRDefault="00AB0808" w:rsidP="00FC4AF7">
      <w:pPr>
        <w:pStyle w:val="Textonotapie"/>
        <w:spacing w:before="0" w:after="0" w:line="240" w:lineRule="auto"/>
        <w:ind w:firstLine="709"/>
        <w:rPr>
          <w:rFonts w:ascii="Arial" w:hAnsi="Arial" w:cs="Arial"/>
          <w:color w:val="000000" w:themeColor="text1"/>
          <w:sz w:val="12"/>
          <w:szCs w:val="12"/>
        </w:rPr>
      </w:pPr>
    </w:p>
    <w:p w14:paraId="73410B07" w14:textId="1932EB6B" w:rsidR="00532B96" w:rsidRPr="009C1600" w:rsidRDefault="00532B96" w:rsidP="0071727F">
      <w:pPr>
        <w:pStyle w:val="Textonotapie"/>
        <w:spacing w:before="0" w:after="0" w:line="240" w:lineRule="auto"/>
        <w:ind w:firstLine="709"/>
        <w:rPr>
          <w:rFonts w:ascii="Arial" w:hAnsi="Arial" w:cs="Arial"/>
          <w:color w:val="000000" w:themeColor="text1"/>
          <w:sz w:val="12"/>
          <w:szCs w:val="12"/>
        </w:rPr>
      </w:pPr>
      <w:r w:rsidRPr="009C1600">
        <w:rPr>
          <w:rStyle w:val="Refdenotaalpie"/>
          <w:rFonts w:ascii="Arial" w:hAnsi="Arial" w:cs="Arial"/>
          <w:color w:val="000000" w:themeColor="text1"/>
          <w:sz w:val="12"/>
          <w:szCs w:val="12"/>
        </w:rPr>
        <w:footnoteRef/>
      </w:r>
      <w:r w:rsidRPr="009C1600">
        <w:rPr>
          <w:rFonts w:ascii="Arial" w:hAnsi="Arial" w:cs="Arial"/>
          <w:color w:val="000000" w:themeColor="text1"/>
          <w:sz w:val="12"/>
          <w:szCs w:val="12"/>
        </w:rPr>
        <w:t xml:space="preserve"> </w:t>
      </w:r>
      <w:bookmarkStart w:id="17" w:name="_Hlk74294506"/>
      <w:r w:rsidRPr="009C1600">
        <w:rPr>
          <w:rFonts w:ascii="Arial" w:hAnsi="Arial" w:cs="Arial"/>
          <w:color w:val="000000" w:themeColor="text1"/>
          <w:sz w:val="12"/>
          <w:szCs w:val="12"/>
        </w:rPr>
        <w:t>«</w:t>
      </w:r>
      <w:r w:rsidRPr="009C1600">
        <w:rPr>
          <w:rFonts w:ascii="Arial" w:hAnsi="Arial" w:cs="Arial"/>
          <w:color w:val="000000" w:themeColor="text1"/>
          <w:sz w:val="12"/>
          <w:szCs w:val="12"/>
          <w:lang w:val="es-ES"/>
        </w:rPr>
        <w:t xml:space="preserve">[26] </w:t>
      </w:r>
      <w:bookmarkEnd w:id="17"/>
      <w:r w:rsidRPr="009C1600">
        <w:rPr>
          <w:rFonts w:ascii="Arial" w:hAnsi="Arial" w:cs="Arial"/>
          <w:color w:val="000000" w:themeColor="text1"/>
          <w:sz w:val="12"/>
          <w:szCs w:val="12"/>
        </w:rPr>
        <w:t>Al respecto ver el concepto 1712 de 2 de febrero de 2006. Consejo de Estado Sala de Consulta y Servicio Civil».</w:t>
      </w:r>
    </w:p>
  </w:footnote>
  <w:footnote w:id="14">
    <w:p w14:paraId="3DC2B29D" w14:textId="77777777" w:rsidR="00AB0808" w:rsidRPr="008C4858" w:rsidRDefault="00AB0808" w:rsidP="00FC4AF7">
      <w:pPr>
        <w:pStyle w:val="Textonotapie"/>
        <w:spacing w:before="0" w:after="0" w:line="240" w:lineRule="auto"/>
        <w:ind w:firstLine="709"/>
        <w:rPr>
          <w:rFonts w:ascii="Arial" w:hAnsi="Arial" w:cs="Arial"/>
          <w:color w:val="000000" w:themeColor="text1"/>
          <w:sz w:val="13"/>
          <w:szCs w:val="13"/>
        </w:rPr>
      </w:pPr>
    </w:p>
    <w:p w14:paraId="21510168" w14:textId="6DBB1933" w:rsidR="00532B96" w:rsidRPr="009C1600" w:rsidRDefault="00532B96" w:rsidP="0071727F">
      <w:pPr>
        <w:pStyle w:val="Textonotapie"/>
        <w:spacing w:before="0" w:after="0" w:line="240" w:lineRule="auto"/>
        <w:ind w:firstLine="709"/>
        <w:rPr>
          <w:rFonts w:ascii="Arial" w:hAnsi="Arial" w:cs="Arial"/>
          <w:color w:val="000000" w:themeColor="text1"/>
          <w:sz w:val="12"/>
          <w:szCs w:val="12"/>
        </w:rPr>
      </w:pPr>
      <w:r w:rsidRPr="008C4858">
        <w:rPr>
          <w:rStyle w:val="Refdenotaalpie"/>
          <w:rFonts w:ascii="Arial" w:hAnsi="Arial" w:cs="Arial"/>
          <w:color w:val="000000" w:themeColor="text1"/>
          <w:sz w:val="13"/>
          <w:szCs w:val="13"/>
        </w:rPr>
        <w:footnoteRef/>
      </w:r>
      <w:r w:rsidRPr="008C4858">
        <w:rPr>
          <w:rFonts w:ascii="Arial" w:hAnsi="Arial" w:cs="Arial"/>
          <w:color w:val="000000" w:themeColor="text1"/>
          <w:sz w:val="13"/>
          <w:szCs w:val="13"/>
        </w:rPr>
        <w:t xml:space="preserve"> </w:t>
      </w:r>
      <w:r w:rsidRPr="009C1600">
        <w:rPr>
          <w:rFonts w:ascii="Arial" w:hAnsi="Arial" w:cs="Arial"/>
          <w:color w:val="000000" w:themeColor="text1"/>
          <w:sz w:val="12"/>
          <w:szCs w:val="12"/>
        </w:rPr>
        <w:t xml:space="preserve">Consejo de Estado. Sala de Consulta y Servicio Civil. Concepto del 2 de septiembre de 2013. Radicación número: 11001-03-06-000-2013-00412-00 (2168). Consejero Ponente: Álvaro </w:t>
      </w:r>
      <w:proofErr w:type="spellStart"/>
      <w:r w:rsidRPr="009C1600">
        <w:rPr>
          <w:rFonts w:ascii="Arial" w:hAnsi="Arial" w:cs="Arial"/>
          <w:color w:val="000000" w:themeColor="text1"/>
          <w:sz w:val="12"/>
          <w:szCs w:val="12"/>
        </w:rPr>
        <w:t>Namén</w:t>
      </w:r>
      <w:proofErr w:type="spellEnd"/>
      <w:r w:rsidRPr="009C1600">
        <w:rPr>
          <w:rFonts w:ascii="Arial" w:hAnsi="Arial" w:cs="Arial"/>
          <w:color w:val="000000" w:themeColor="text1"/>
          <w:sz w:val="12"/>
          <w:szCs w:val="12"/>
        </w:rPr>
        <w:t xml:space="preserve"> Vargas.</w:t>
      </w:r>
    </w:p>
  </w:footnote>
  <w:footnote w:id="15">
    <w:p w14:paraId="3BAFC1FB" w14:textId="77777777" w:rsidR="00532B96" w:rsidRPr="009C1600" w:rsidRDefault="00532B96" w:rsidP="0071727F">
      <w:pPr>
        <w:pStyle w:val="Textonotapie"/>
        <w:spacing w:before="0" w:after="0" w:line="240" w:lineRule="auto"/>
        <w:ind w:firstLine="709"/>
        <w:rPr>
          <w:rFonts w:ascii="Arial" w:hAnsi="Arial" w:cs="Arial"/>
          <w:color w:val="000000" w:themeColor="text1"/>
          <w:sz w:val="12"/>
          <w:szCs w:val="12"/>
          <w:lang w:val="es-ES"/>
        </w:rPr>
      </w:pPr>
      <w:r w:rsidRPr="009C1600">
        <w:rPr>
          <w:rStyle w:val="Refdenotaalpie"/>
          <w:rFonts w:ascii="Arial" w:hAnsi="Arial" w:cs="Arial"/>
          <w:color w:val="000000" w:themeColor="text1"/>
          <w:sz w:val="12"/>
          <w:szCs w:val="12"/>
        </w:rPr>
        <w:footnoteRef/>
      </w:r>
      <w:r w:rsidRPr="009C1600">
        <w:rPr>
          <w:rFonts w:ascii="Arial" w:hAnsi="Arial" w:cs="Arial"/>
          <w:color w:val="000000" w:themeColor="text1"/>
          <w:sz w:val="12"/>
          <w:szCs w:val="12"/>
        </w:rPr>
        <w:t xml:space="preserve"> </w:t>
      </w:r>
      <w:r w:rsidRPr="009C1600">
        <w:rPr>
          <w:rFonts w:ascii="Arial" w:hAnsi="Arial" w:cs="Arial"/>
          <w:color w:val="000000" w:themeColor="text1"/>
          <w:sz w:val="12"/>
          <w:szCs w:val="12"/>
          <w:lang w:val="es-ES"/>
        </w:rPr>
        <w:t xml:space="preserve">Artículo 2. </w:t>
      </w:r>
    </w:p>
  </w:footnote>
  <w:footnote w:id="16">
    <w:p w14:paraId="60B193CC" w14:textId="77777777" w:rsidR="00532B96" w:rsidRPr="009C1600" w:rsidRDefault="00532B96" w:rsidP="0071727F">
      <w:pPr>
        <w:pStyle w:val="Textonotapie"/>
        <w:spacing w:before="0" w:after="0" w:line="240" w:lineRule="auto"/>
        <w:ind w:firstLine="709"/>
        <w:rPr>
          <w:rFonts w:ascii="Arial" w:hAnsi="Arial" w:cs="Arial"/>
          <w:color w:val="000000" w:themeColor="text1"/>
          <w:sz w:val="12"/>
          <w:szCs w:val="12"/>
          <w:lang w:val="es-ES"/>
        </w:rPr>
      </w:pPr>
      <w:r w:rsidRPr="009C1600">
        <w:rPr>
          <w:rStyle w:val="Refdenotaalpie"/>
          <w:rFonts w:ascii="Arial" w:hAnsi="Arial" w:cs="Arial"/>
          <w:color w:val="000000" w:themeColor="text1"/>
          <w:sz w:val="12"/>
          <w:szCs w:val="12"/>
        </w:rPr>
        <w:footnoteRef/>
      </w:r>
      <w:r w:rsidRPr="009C1600">
        <w:rPr>
          <w:rFonts w:ascii="Arial" w:hAnsi="Arial" w:cs="Arial"/>
          <w:color w:val="000000" w:themeColor="text1"/>
          <w:sz w:val="12"/>
          <w:szCs w:val="12"/>
        </w:rPr>
        <w:t xml:space="preserve"> </w:t>
      </w:r>
      <w:r w:rsidRPr="009C1600">
        <w:rPr>
          <w:rFonts w:ascii="Arial" w:hAnsi="Arial" w:cs="Arial"/>
          <w:i/>
          <w:color w:val="000000" w:themeColor="text1"/>
          <w:sz w:val="12"/>
          <w:szCs w:val="12"/>
          <w:lang w:val="es-ES"/>
        </w:rPr>
        <w:t>Ídem</w:t>
      </w:r>
      <w:r w:rsidRPr="009C1600">
        <w:rPr>
          <w:rFonts w:ascii="Arial" w:hAnsi="Arial" w:cs="Arial"/>
          <w:color w:val="000000" w:themeColor="text1"/>
          <w:sz w:val="12"/>
          <w:szCs w:val="12"/>
          <w:lang w:val="es-ES"/>
        </w:rPr>
        <w:t>.</w:t>
      </w:r>
    </w:p>
  </w:footnote>
  <w:footnote w:id="17">
    <w:p w14:paraId="177FDC3E" w14:textId="77777777" w:rsidR="00532B96" w:rsidRPr="009C1600" w:rsidRDefault="00532B96" w:rsidP="0071727F">
      <w:pPr>
        <w:pStyle w:val="Textonotapie"/>
        <w:spacing w:before="0" w:after="0" w:line="240" w:lineRule="auto"/>
        <w:ind w:firstLine="709"/>
        <w:rPr>
          <w:rFonts w:ascii="Arial" w:hAnsi="Arial" w:cs="Arial"/>
          <w:color w:val="000000" w:themeColor="text1"/>
          <w:sz w:val="12"/>
          <w:szCs w:val="12"/>
          <w:lang w:val="es-ES"/>
        </w:rPr>
      </w:pPr>
      <w:r w:rsidRPr="009C1600">
        <w:rPr>
          <w:rStyle w:val="Refdenotaalpie"/>
          <w:rFonts w:ascii="Arial" w:hAnsi="Arial" w:cs="Arial"/>
          <w:color w:val="000000" w:themeColor="text1"/>
          <w:sz w:val="12"/>
          <w:szCs w:val="12"/>
        </w:rPr>
        <w:footnoteRef/>
      </w:r>
      <w:r w:rsidRPr="009C1600">
        <w:rPr>
          <w:rStyle w:val="Refdenotaalpie"/>
          <w:rFonts w:ascii="Arial" w:hAnsi="Arial" w:cs="Arial"/>
          <w:color w:val="000000" w:themeColor="text1"/>
          <w:sz w:val="12"/>
          <w:szCs w:val="12"/>
        </w:rPr>
        <w:t xml:space="preserve"> </w:t>
      </w:r>
      <w:bookmarkStart w:id="21" w:name="_Hlk74297130"/>
      <w:r w:rsidRPr="009C1600">
        <w:rPr>
          <w:rFonts w:ascii="Arial" w:hAnsi="Arial" w:cs="Arial"/>
          <w:color w:val="000000" w:themeColor="text1"/>
          <w:sz w:val="12"/>
          <w:szCs w:val="12"/>
          <w:lang w:val="es-ES"/>
        </w:rPr>
        <w:t>«</w:t>
      </w:r>
      <w:bookmarkEnd w:id="21"/>
      <w:r w:rsidRPr="009C1600">
        <w:rPr>
          <w:rFonts w:ascii="Arial" w:hAnsi="Arial" w:cs="Arial"/>
          <w:color w:val="000000" w:themeColor="text1"/>
          <w:sz w:val="12"/>
          <w:szCs w:val="12"/>
          <w:lang w:val="es-ES"/>
        </w:rPr>
        <w:t xml:space="preserve">[…] A este respecto, cabe recordar que el artículo 860 del Código de Comercio regula la licitación en el derecho privado». </w:t>
      </w:r>
    </w:p>
  </w:footnote>
  <w:footnote w:id="18">
    <w:p w14:paraId="1F30F5EA" w14:textId="77777777" w:rsidR="00532B96" w:rsidRPr="009C1600" w:rsidRDefault="00532B96" w:rsidP="0071727F">
      <w:pPr>
        <w:shd w:val="clear" w:color="auto" w:fill="FFFFFF"/>
        <w:ind w:firstLine="709"/>
        <w:jc w:val="both"/>
        <w:rPr>
          <w:rFonts w:ascii="Arial" w:hAnsi="Arial" w:cs="Arial"/>
          <w:color w:val="000000" w:themeColor="text1"/>
          <w:sz w:val="12"/>
          <w:szCs w:val="12"/>
          <w:lang w:val="es-ES"/>
        </w:rPr>
      </w:pPr>
      <w:r w:rsidRPr="009C1600">
        <w:rPr>
          <w:rStyle w:val="Refdenotaalpie"/>
          <w:rFonts w:ascii="Arial" w:hAnsi="Arial" w:cs="Arial"/>
          <w:color w:val="000000" w:themeColor="text1"/>
          <w:sz w:val="12"/>
          <w:szCs w:val="12"/>
        </w:rPr>
        <w:footnoteRef/>
      </w:r>
      <w:r w:rsidRPr="009C1600">
        <w:rPr>
          <w:rStyle w:val="Refdenotaalpie"/>
          <w:rFonts w:ascii="Arial" w:hAnsi="Arial" w:cs="Arial"/>
          <w:color w:val="000000" w:themeColor="text1"/>
          <w:sz w:val="12"/>
          <w:szCs w:val="12"/>
        </w:rPr>
        <w:t xml:space="preserve"> </w:t>
      </w:r>
      <w:r w:rsidRPr="009C1600">
        <w:rPr>
          <w:rFonts w:ascii="Arial" w:hAnsi="Arial" w:cs="Arial"/>
          <w:color w:val="000000" w:themeColor="text1"/>
          <w:sz w:val="12"/>
          <w:szCs w:val="12"/>
          <w:lang w:val="es-ES"/>
        </w:rPr>
        <w:t xml:space="preserve">Consejo de Estado. Sala de Consulta y Servicio Civil, Concepto de 8 de mayo de 2018. Radicación Número: 11001-03-06-000-2018-00095-00(2382). Consejero Ponente: Álvaro </w:t>
      </w:r>
      <w:proofErr w:type="spellStart"/>
      <w:r w:rsidRPr="009C1600">
        <w:rPr>
          <w:rFonts w:ascii="Arial" w:hAnsi="Arial" w:cs="Arial"/>
          <w:color w:val="000000" w:themeColor="text1"/>
          <w:sz w:val="12"/>
          <w:szCs w:val="12"/>
          <w:lang w:val="es-ES"/>
        </w:rPr>
        <w:t>Namén</w:t>
      </w:r>
      <w:proofErr w:type="spellEnd"/>
      <w:r w:rsidRPr="009C1600">
        <w:rPr>
          <w:rFonts w:ascii="Arial" w:hAnsi="Arial" w:cs="Arial"/>
          <w:color w:val="000000" w:themeColor="text1"/>
          <w:sz w:val="12"/>
          <w:szCs w:val="12"/>
          <w:lang w:val="es-ES"/>
        </w:rPr>
        <w:t xml:space="preserve"> Vargas.</w:t>
      </w:r>
    </w:p>
  </w:footnote>
  <w:footnote w:id="19">
    <w:p w14:paraId="3456DF1C" w14:textId="77777777" w:rsidR="00532B96" w:rsidRPr="009C1600" w:rsidRDefault="00532B96" w:rsidP="0071727F">
      <w:pPr>
        <w:pStyle w:val="Textonotapie"/>
        <w:spacing w:before="0" w:after="0" w:line="240" w:lineRule="auto"/>
        <w:ind w:firstLine="709"/>
        <w:rPr>
          <w:rFonts w:ascii="Arial" w:hAnsi="Arial" w:cs="Arial"/>
          <w:color w:val="000000" w:themeColor="text1"/>
          <w:sz w:val="12"/>
          <w:szCs w:val="12"/>
        </w:rPr>
      </w:pPr>
      <w:r w:rsidRPr="0071727F">
        <w:rPr>
          <w:rStyle w:val="Refdenotaalpie"/>
          <w:rFonts w:ascii="Arial" w:hAnsi="Arial" w:cs="Arial"/>
          <w:color w:val="000000" w:themeColor="text1"/>
          <w:sz w:val="19"/>
          <w:szCs w:val="19"/>
        </w:rPr>
        <w:footnoteRef/>
      </w:r>
      <w:r w:rsidRPr="0071727F">
        <w:rPr>
          <w:rFonts w:ascii="Arial" w:hAnsi="Arial" w:cs="Arial"/>
          <w:color w:val="000000" w:themeColor="text1"/>
          <w:sz w:val="19"/>
          <w:szCs w:val="19"/>
        </w:rPr>
        <w:t xml:space="preserve"> </w:t>
      </w:r>
      <w:r w:rsidRPr="009C1600">
        <w:rPr>
          <w:rFonts w:ascii="Arial" w:hAnsi="Arial" w:cs="Arial"/>
          <w:color w:val="000000" w:themeColor="text1"/>
          <w:sz w:val="12"/>
          <w:szCs w:val="12"/>
        </w:rPr>
        <w:t xml:space="preserve">Consejo de Estado. Sala de Consulta y Servicio Civil. Concepto del 08 de mayo de 2018. </w:t>
      </w:r>
      <w:proofErr w:type="spellStart"/>
      <w:r w:rsidRPr="009C1600">
        <w:rPr>
          <w:rFonts w:ascii="Arial" w:hAnsi="Arial" w:cs="Arial"/>
          <w:color w:val="000000" w:themeColor="text1"/>
          <w:sz w:val="12"/>
          <w:szCs w:val="12"/>
        </w:rPr>
        <w:t>Exp</w:t>
      </w:r>
      <w:proofErr w:type="spellEnd"/>
      <w:r w:rsidRPr="009C1600">
        <w:rPr>
          <w:rFonts w:ascii="Arial" w:hAnsi="Arial" w:cs="Arial"/>
          <w:color w:val="000000" w:themeColor="text1"/>
          <w:sz w:val="12"/>
          <w:szCs w:val="12"/>
        </w:rPr>
        <w:t xml:space="preserve">. 2.382. C.P. Álvaro </w:t>
      </w:r>
      <w:proofErr w:type="spellStart"/>
      <w:r w:rsidRPr="009C1600">
        <w:rPr>
          <w:rFonts w:ascii="Arial" w:hAnsi="Arial" w:cs="Arial"/>
          <w:color w:val="000000" w:themeColor="text1"/>
          <w:sz w:val="12"/>
          <w:szCs w:val="12"/>
        </w:rPr>
        <w:t>Namén</w:t>
      </w:r>
      <w:proofErr w:type="spellEnd"/>
      <w:r w:rsidRPr="009C1600">
        <w:rPr>
          <w:rFonts w:ascii="Arial" w:hAnsi="Arial" w:cs="Arial"/>
          <w:color w:val="000000" w:themeColor="text1"/>
          <w:sz w:val="12"/>
          <w:szCs w:val="12"/>
        </w:rPr>
        <w:t xml:space="preserve"> Vargas.</w:t>
      </w:r>
    </w:p>
  </w:footnote>
  <w:footnote w:id="20">
    <w:p w14:paraId="03BA0B7E" w14:textId="77777777" w:rsidR="00532B96" w:rsidRPr="009C1600" w:rsidRDefault="00532B96" w:rsidP="0071727F">
      <w:pPr>
        <w:pStyle w:val="Textonotapie"/>
        <w:spacing w:before="0" w:after="0" w:line="240" w:lineRule="auto"/>
        <w:ind w:firstLine="709"/>
        <w:rPr>
          <w:rFonts w:ascii="Arial" w:hAnsi="Arial" w:cs="Arial"/>
          <w:color w:val="000000" w:themeColor="text1"/>
          <w:sz w:val="12"/>
          <w:szCs w:val="12"/>
        </w:rPr>
      </w:pPr>
      <w:r w:rsidRPr="0071727F">
        <w:rPr>
          <w:rStyle w:val="Refdenotaalpie"/>
          <w:rFonts w:ascii="Arial" w:hAnsi="Arial" w:cs="Arial"/>
          <w:color w:val="000000" w:themeColor="text1"/>
          <w:sz w:val="19"/>
          <w:szCs w:val="19"/>
        </w:rPr>
        <w:footnoteRef/>
      </w:r>
      <w:r w:rsidRPr="0071727F">
        <w:rPr>
          <w:rFonts w:ascii="Arial" w:hAnsi="Arial" w:cs="Arial"/>
          <w:color w:val="000000" w:themeColor="text1"/>
          <w:sz w:val="19"/>
          <w:szCs w:val="19"/>
        </w:rPr>
        <w:t xml:space="preserve"> </w:t>
      </w:r>
      <w:r w:rsidRPr="009C1600">
        <w:rPr>
          <w:rFonts w:ascii="Arial" w:hAnsi="Arial" w:cs="Arial"/>
          <w:color w:val="000000" w:themeColor="text1"/>
          <w:sz w:val="12"/>
          <w:szCs w:val="12"/>
        </w:rPr>
        <w:t xml:space="preserve">La Corte Constitucional mediante Sentencia C-1153-05 de 11 de noviembre de 2005, Magistrado Ponente Marco Gerardo Monroy Cabra, efectuó el Control constitucional al Proyecto de Ley Estatutaria </w:t>
      </w:r>
      <w:proofErr w:type="spellStart"/>
      <w:r w:rsidRPr="009C1600">
        <w:rPr>
          <w:rFonts w:ascii="Arial" w:hAnsi="Arial" w:cs="Arial"/>
          <w:color w:val="000000" w:themeColor="text1"/>
          <w:sz w:val="12"/>
          <w:szCs w:val="12"/>
        </w:rPr>
        <w:t>N°</w:t>
      </w:r>
      <w:proofErr w:type="spellEnd"/>
      <w:r w:rsidRPr="009C1600">
        <w:rPr>
          <w:rFonts w:ascii="Arial" w:hAnsi="Arial" w:cs="Arial"/>
          <w:color w:val="000000" w:themeColor="text1"/>
          <w:sz w:val="12"/>
          <w:szCs w:val="12"/>
        </w:rPr>
        <w:t xml:space="preserve"> 216/05 Senado, </w:t>
      </w:r>
      <w:proofErr w:type="spellStart"/>
      <w:r w:rsidRPr="009C1600">
        <w:rPr>
          <w:rFonts w:ascii="Arial" w:hAnsi="Arial" w:cs="Arial"/>
          <w:color w:val="000000" w:themeColor="text1"/>
          <w:sz w:val="12"/>
          <w:szCs w:val="12"/>
        </w:rPr>
        <w:t>N°</w:t>
      </w:r>
      <w:proofErr w:type="spellEnd"/>
      <w:r w:rsidRPr="009C1600">
        <w:rPr>
          <w:rFonts w:ascii="Arial" w:hAnsi="Arial" w:cs="Arial"/>
          <w:color w:val="000000" w:themeColor="text1"/>
          <w:sz w:val="12"/>
          <w:szCs w:val="12"/>
        </w:rPr>
        <w:t xml:space="preserve"> 235-Cámara que dio lugar a la Ley de Garantías Electorales.</w:t>
      </w:r>
    </w:p>
  </w:footnote>
  <w:footnote w:id="21">
    <w:p w14:paraId="4331D752" w14:textId="7D0ECB29" w:rsidR="00DF3F8D" w:rsidRPr="009C1600" w:rsidRDefault="004B0B42" w:rsidP="0071727F">
      <w:pPr>
        <w:pStyle w:val="NormalWeb"/>
        <w:shd w:val="clear" w:color="auto" w:fill="FFFFFF"/>
        <w:spacing w:before="0" w:beforeAutospacing="0" w:after="0" w:afterAutospacing="0" w:line="240" w:lineRule="auto"/>
        <w:ind w:firstLine="709"/>
        <w:rPr>
          <w:rFonts w:ascii="Arial" w:hAnsi="Arial" w:cs="Arial"/>
          <w:color w:val="000000" w:themeColor="text1"/>
          <w:sz w:val="12"/>
          <w:szCs w:val="12"/>
          <w:lang w:val="es-ES" w:eastAsia="es-ES"/>
        </w:rPr>
      </w:pPr>
      <w:r w:rsidRPr="0071727F">
        <w:rPr>
          <w:rStyle w:val="Refdenotaalpie"/>
          <w:rFonts w:ascii="Arial" w:hAnsi="Arial" w:cs="Arial"/>
          <w:color w:val="000000" w:themeColor="text1"/>
          <w:sz w:val="19"/>
          <w:szCs w:val="19"/>
        </w:rPr>
        <w:footnoteRef/>
      </w:r>
      <w:r w:rsidRPr="0071727F">
        <w:rPr>
          <w:rFonts w:ascii="Arial" w:hAnsi="Arial" w:cs="Arial"/>
          <w:color w:val="000000" w:themeColor="text1"/>
          <w:sz w:val="19"/>
          <w:szCs w:val="19"/>
        </w:rPr>
        <w:t xml:space="preserve"> </w:t>
      </w:r>
      <w:r w:rsidR="00DF3F8D" w:rsidRPr="009C1600">
        <w:rPr>
          <w:rFonts w:ascii="Arial" w:hAnsi="Arial" w:cs="Arial"/>
          <w:color w:val="000000" w:themeColor="text1"/>
          <w:sz w:val="12"/>
          <w:szCs w:val="12"/>
          <w:lang w:val="es-ES" w:eastAsia="es-ES"/>
        </w:rPr>
        <w:t>Artículo </w:t>
      </w:r>
      <w:bookmarkStart w:id="32" w:name="18"/>
      <w:bookmarkEnd w:id="32"/>
      <w:r w:rsidR="00DF3F8D" w:rsidRPr="009C1600">
        <w:rPr>
          <w:rFonts w:ascii="Arial" w:hAnsi="Arial" w:cs="Arial"/>
          <w:color w:val="000000" w:themeColor="text1"/>
          <w:sz w:val="12"/>
          <w:szCs w:val="12"/>
          <w:lang w:val="es-ES" w:eastAsia="es-ES"/>
        </w:rPr>
        <w:t>18. Clases. Los Cuerpos de Bomberos son Oficiales, Voluntarios y Aeronáuticos, así:</w:t>
      </w:r>
    </w:p>
    <w:p w14:paraId="3B94CDD8" w14:textId="77777777" w:rsidR="005E3B5B" w:rsidRPr="008C4858" w:rsidRDefault="005E3B5B" w:rsidP="0071727F">
      <w:pPr>
        <w:pStyle w:val="NormalWeb"/>
        <w:shd w:val="clear" w:color="auto" w:fill="FFFFFF"/>
        <w:spacing w:before="0" w:beforeAutospacing="0" w:after="0" w:afterAutospacing="0" w:line="240" w:lineRule="auto"/>
        <w:ind w:firstLine="709"/>
        <w:rPr>
          <w:rFonts w:ascii="Arial" w:hAnsi="Arial" w:cs="Arial"/>
          <w:color w:val="000000" w:themeColor="text1"/>
          <w:sz w:val="13"/>
          <w:szCs w:val="13"/>
          <w:lang w:val="es-ES" w:eastAsia="es-ES"/>
        </w:rPr>
      </w:pPr>
    </w:p>
    <w:p w14:paraId="6A1E3808" w14:textId="158023F1" w:rsidR="00DF3F8D" w:rsidRPr="009C1600" w:rsidRDefault="00DF3F8D" w:rsidP="0071727F">
      <w:pPr>
        <w:pStyle w:val="Prrafodelista"/>
        <w:numPr>
          <w:ilvl w:val="0"/>
          <w:numId w:val="23"/>
        </w:numPr>
        <w:shd w:val="clear" w:color="auto" w:fill="FFFFFF"/>
        <w:spacing w:before="0" w:after="0" w:line="240" w:lineRule="auto"/>
        <w:ind w:left="0" w:firstLine="709"/>
        <w:rPr>
          <w:rFonts w:ascii="Arial" w:hAnsi="Arial" w:cs="Arial"/>
          <w:color w:val="000000" w:themeColor="text1"/>
          <w:sz w:val="12"/>
          <w:szCs w:val="12"/>
          <w:lang w:val="es-ES" w:eastAsia="es-ES"/>
        </w:rPr>
      </w:pPr>
      <w:r w:rsidRPr="009C1600">
        <w:rPr>
          <w:rFonts w:ascii="Arial" w:hAnsi="Arial" w:cs="Arial"/>
          <w:color w:val="000000" w:themeColor="text1"/>
          <w:sz w:val="12"/>
          <w:szCs w:val="12"/>
          <w:lang w:val="es-ES" w:eastAsia="es-ES"/>
        </w:rPr>
        <w:t>Cuerpos de Bomberos Oficiales: Son aquellos que crean los concejos distritales o municipales, para el cumplimiento del servicio público para la gestión integral del riesgo contra incendio, los preparativos y atención de rescates en todas sus modalidades y la atención de incidentes con materiales peligrosos a su cargo en su respectiva jurisdicción.</w:t>
      </w:r>
    </w:p>
    <w:p w14:paraId="2458838B" w14:textId="5987AD4A" w:rsidR="00DF3F8D" w:rsidRPr="009C1600" w:rsidRDefault="00DF3F8D" w:rsidP="0071727F">
      <w:pPr>
        <w:pStyle w:val="Prrafodelista"/>
        <w:numPr>
          <w:ilvl w:val="0"/>
          <w:numId w:val="23"/>
        </w:numPr>
        <w:shd w:val="clear" w:color="auto" w:fill="FFFFFF"/>
        <w:spacing w:before="0" w:after="0" w:line="240" w:lineRule="auto"/>
        <w:ind w:left="0" w:firstLine="709"/>
        <w:rPr>
          <w:rFonts w:ascii="Arial" w:hAnsi="Arial" w:cs="Arial"/>
          <w:color w:val="000000" w:themeColor="text1"/>
          <w:sz w:val="12"/>
          <w:szCs w:val="12"/>
          <w:lang w:val="es-ES" w:eastAsia="es-ES"/>
        </w:rPr>
      </w:pPr>
      <w:bookmarkStart w:id="33" w:name="18.l.b"/>
      <w:bookmarkEnd w:id="33"/>
      <w:r w:rsidRPr="009C1600">
        <w:rPr>
          <w:rFonts w:ascii="Arial" w:hAnsi="Arial" w:cs="Arial"/>
          <w:color w:val="000000" w:themeColor="text1"/>
          <w:sz w:val="12"/>
          <w:szCs w:val="12"/>
          <w:lang w:val="es-ES" w:eastAsia="es-ES"/>
        </w:rPr>
        <w:t>Los Cuerpos de Bomberos Voluntarios: Son aquellos organizados como asociaciones sin ánimo de lucro, de utilidad común y con personería jurídica expedida por las secretarías de gobierno departamentales, organizadas para la prestación del servicio público para la gestión integral del riesgo contra incendio, los preparativos y atención de rescates en todas sus modalidades y la atención de incidentes con materiales peligrosos, en los términos del artículo segundo de la presente ley y con certificado de cumplimiento expedido por la dirección Nacional de Bomberos.</w:t>
      </w:r>
    </w:p>
    <w:p w14:paraId="72BB2FE7" w14:textId="31012E1B" w:rsidR="00DF3F8D" w:rsidRPr="009C1600" w:rsidRDefault="00DF3F8D" w:rsidP="0071727F">
      <w:pPr>
        <w:pStyle w:val="Prrafodelista"/>
        <w:numPr>
          <w:ilvl w:val="0"/>
          <w:numId w:val="23"/>
        </w:numPr>
        <w:shd w:val="clear" w:color="auto" w:fill="FFFFFF"/>
        <w:spacing w:before="0" w:after="0" w:line="240" w:lineRule="auto"/>
        <w:ind w:left="0" w:firstLine="709"/>
        <w:rPr>
          <w:rFonts w:ascii="Arial" w:hAnsi="Arial" w:cs="Arial"/>
          <w:color w:val="000000" w:themeColor="text1"/>
          <w:sz w:val="12"/>
          <w:szCs w:val="12"/>
          <w:lang w:val="es-ES" w:eastAsia="es-ES"/>
        </w:rPr>
      </w:pPr>
      <w:r w:rsidRPr="009C1600">
        <w:rPr>
          <w:rFonts w:ascii="Arial" w:hAnsi="Arial" w:cs="Arial"/>
          <w:color w:val="000000" w:themeColor="text1"/>
          <w:sz w:val="12"/>
          <w:szCs w:val="12"/>
          <w:lang w:val="es-ES" w:eastAsia="es-ES"/>
        </w:rPr>
        <w:t>Los Bomberos Aeronáuticos: son aquellos cuerpos de bomberos especializados y a cargo de los explotadores públicos y privados de aeropuertos, vigilados por la Autoridad Aeronáutica Colombiana y organizados para la gestión integral del riesgo contra incendio, los preparativos y atención de rescates en todas sus modalidades y la atención de incidentes con materiales peligrosos y demás calamidades conexas propias del sector aeronáutico.</w:t>
      </w:r>
    </w:p>
    <w:p w14:paraId="296836A1" w14:textId="77777777" w:rsidR="005E3B5B" w:rsidRPr="009C1600" w:rsidRDefault="005E3B5B" w:rsidP="0071727F">
      <w:pPr>
        <w:shd w:val="clear" w:color="auto" w:fill="FFFFFF"/>
        <w:ind w:firstLine="709"/>
        <w:jc w:val="both"/>
        <w:rPr>
          <w:rFonts w:ascii="Arial" w:hAnsi="Arial" w:cs="Arial"/>
          <w:color w:val="000000" w:themeColor="text1"/>
          <w:sz w:val="12"/>
          <w:szCs w:val="12"/>
          <w:lang w:val="es-ES" w:eastAsia="es-ES"/>
        </w:rPr>
      </w:pPr>
    </w:p>
    <w:p w14:paraId="638E2EAA" w14:textId="4E518BAC" w:rsidR="00DF3F8D" w:rsidRPr="009C1600" w:rsidRDefault="00DF3F8D" w:rsidP="0071727F">
      <w:pPr>
        <w:shd w:val="clear" w:color="auto" w:fill="FFFFFF"/>
        <w:ind w:firstLine="709"/>
        <w:jc w:val="both"/>
        <w:rPr>
          <w:rFonts w:ascii="Arial" w:hAnsi="Arial" w:cs="Arial"/>
          <w:color w:val="000000" w:themeColor="text1"/>
          <w:sz w:val="12"/>
          <w:szCs w:val="12"/>
          <w:lang w:val="es-ES" w:eastAsia="es-ES"/>
        </w:rPr>
      </w:pPr>
      <w:r w:rsidRPr="009C1600">
        <w:rPr>
          <w:rFonts w:ascii="Arial" w:hAnsi="Arial" w:cs="Arial"/>
          <w:color w:val="000000" w:themeColor="text1"/>
          <w:sz w:val="12"/>
          <w:szCs w:val="12"/>
          <w:lang w:val="es-ES" w:eastAsia="es-ES"/>
        </w:rPr>
        <w:t>Parágrafo 1.A partir de la promulgación de la presente ley, en ningún municipio o distrito podrán crearse cuerpos de bomberos voluntarios sin el lleno de los requisitos contemplados en el artículo 20 de la presente ley.</w:t>
      </w:r>
    </w:p>
    <w:p w14:paraId="2D2D100A" w14:textId="77777777" w:rsidR="005E3B5B" w:rsidRPr="009C1600" w:rsidRDefault="005E3B5B" w:rsidP="0071727F">
      <w:pPr>
        <w:shd w:val="clear" w:color="auto" w:fill="FFFFFF"/>
        <w:ind w:firstLine="709"/>
        <w:jc w:val="both"/>
        <w:rPr>
          <w:rFonts w:ascii="Arial" w:hAnsi="Arial" w:cs="Arial"/>
          <w:color w:val="000000" w:themeColor="text1"/>
          <w:sz w:val="12"/>
          <w:szCs w:val="12"/>
          <w:lang w:val="es-ES" w:eastAsia="es-ES"/>
        </w:rPr>
      </w:pPr>
    </w:p>
    <w:p w14:paraId="222CE861" w14:textId="1E047C9B" w:rsidR="00DF3F8D" w:rsidRPr="009C1600" w:rsidRDefault="00DF3F8D" w:rsidP="0071727F">
      <w:pPr>
        <w:shd w:val="clear" w:color="auto" w:fill="FFFFFF"/>
        <w:ind w:firstLine="709"/>
        <w:jc w:val="both"/>
        <w:rPr>
          <w:rFonts w:ascii="Arial" w:hAnsi="Arial" w:cs="Arial"/>
          <w:color w:val="000000" w:themeColor="text1"/>
          <w:sz w:val="12"/>
          <w:szCs w:val="12"/>
          <w:lang w:val="es-ES" w:eastAsia="es-ES"/>
        </w:rPr>
      </w:pPr>
      <w:r w:rsidRPr="009C1600">
        <w:rPr>
          <w:rFonts w:ascii="Arial" w:hAnsi="Arial" w:cs="Arial"/>
          <w:color w:val="000000" w:themeColor="text1"/>
          <w:sz w:val="12"/>
          <w:szCs w:val="12"/>
          <w:lang w:val="es-ES" w:eastAsia="es-ES"/>
        </w:rPr>
        <w:t xml:space="preserve">Parágrafo </w:t>
      </w:r>
      <w:proofErr w:type="gramStart"/>
      <w:r w:rsidRPr="009C1600">
        <w:rPr>
          <w:rFonts w:ascii="Arial" w:hAnsi="Arial" w:cs="Arial"/>
          <w:color w:val="000000" w:themeColor="text1"/>
          <w:sz w:val="12"/>
          <w:szCs w:val="12"/>
          <w:lang w:val="es-ES" w:eastAsia="es-ES"/>
        </w:rPr>
        <w:t>2.Las</w:t>
      </w:r>
      <w:proofErr w:type="gramEnd"/>
      <w:r w:rsidRPr="009C1600">
        <w:rPr>
          <w:rFonts w:ascii="Arial" w:hAnsi="Arial" w:cs="Arial"/>
          <w:color w:val="000000" w:themeColor="text1"/>
          <w:sz w:val="12"/>
          <w:szCs w:val="12"/>
          <w:lang w:val="es-ES" w:eastAsia="es-ES"/>
        </w:rPr>
        <w:t xml:space="preserve"> brigadas contraincendios industriales, comerciales, y similares, deberán capacitarse ante las instituciones bomberiles, de acuerdo a la reglamentación que para el efecto expida la Dirección Nacional de Bomberos de Colombia. Las brigadas y sus integrantes no podrán utilizar símbolos, insignias, uniformes o cualquier otro distintivo exclusivo de los bomberos de Colombia.</w:t>
      </w:r>
    </w:p>
    <w:p w14:paraId="203EA48F" w14:textId="2FDB8E62" w:rsidR="004B0B42" w:rsidRPr="009C1600" w:rsidRDefault="004B0B42" w:rsidP="0071727F">
      <w:pPr>
        <w:pStyle w:val="Textonotapie"/>
        <w:spacing w:before="0" w:after="0" w:line="240" w:lineRule="auto"/>
        <w:ind w:firstLine="709"/>
        <w:rPr>
          <w:rFonts w:ascii="Arial" w:hAnsi="Arial" w:cs="Arial"/>
          <w:color w:val="000000" w:themeColor="text1"/>
          <w:sz w:val="12"/>
          <w:szCs w:val="12"/>
          <w:lang w:val="es-ES"/>
        </w:rPr>
      </w:pPr>
    </w:p>
  </w:footnote>
  <w:footnote w:id="22">
    <w:p w14:paraId="0EA7F145" w14:textId="5A6828B5" w:rsidR="00361B7E" w:rsidRPr="009C1600" w:rsidRDefault="00361B7E">
      <w:pPr>
        <w:pStyle w:val="Textonotapie"/>
        <w:rPr>
          <w:rFonts w:ascii="Arial" w:eastAsia="Times New Roman" w:hAnsi="Arial" w:cs="Arial"/>
          <w:color w:val="000000" w:themeColor="text1"/>
          <w:sz w:val="12"/>
          <w:szCs w:val="12"/>
          <w:lang w:val="es-ES" w:eastAsia="es-ES"/>
        </w:rPr>
      </w:pPr>
      <w:r w:rsidRPr="009C1600">
        <w:rPr>
          <w:rStyle w:val="Refdenotaalpie"/>
          <w:sz w:val="12"/>
          <w:szCs w:val="12"/>
        </w:rPr>
        <w:footnoteRef/>
      </w:r>
      <w:r w:rsidRPr="009C1600">
        <w:rPr>
          <w:sz w:val="12"/>
          <w:szCs w:val="12"/>
        </w:rPr>
        <w:t xml:space="preserve"> </w:t>
      </w:r>
      <w:r w:rsidRPr="009C1600">
        <w:rPr>
          <w:rFonts w:ascii="Arial" w:eastAsia="Times New Roman" w:hAnsi="Arial" w:cs="Arial"/>
          <w:color w:val="000000" w:themeColor="text1"/>
          <w:sz w:val="12"/>
          <w:szCs w:val="12"/>
          <w:lang w:val="es-ES" w:eastAsia="es-ES"/>
        </w:rPr>
        <w:t>Consejo de Estado - Concepto </w:t>
      </w:r>
      <w:hyperlink r:id="rId2" w:anchor="1494" w:history="1">
        <w:r w:rsidRPr="009C1600">
          <w:rPr>
            <w:rFonts w:ascii="Arial" w:eastAsia="Times New Roman" w:hAnsi="Arial" w:cs="Arial"/>
            <w:color w:val="000000" w:themeColor="text1"/>
            <w:sz w:val="12"/>
            <w:szCs w:val="12"/>
            <w:lang w:val="es-ES" w:eastAsia="es-ES"/>
          </w:rPr>
          <w:t>1494</w:t>
        </w:r>
      </w:hyperlink>
      <w:r w:rsidRPr="009C1600">
        <w:rPr>
          <w:rFonts w:ascii="Arial" w:eastAsia="Times New Roman" w:hAnsi="Arial" w:cs="Arial"/>
          <w:color w:val="000000" w:themeColor="text1"/>
          <w:sz w:val="12"/>
          <w:szCs w:val="12"/>
          <w:lang w:val="es-ES" w:eastAsia="es-ES"/>
        </w:rPr>
        <w:t> del 4 de Julio de 2003, emitido por la Sala de Consulta y Servicio Civil, Magistrado Ponente Augusto Trejos Jaramillo.</w:t>
      </w:r>
    </w:p>
  </w:footnote>
  <w:footnote w:id="23">
    <w:p w14:paraId="144ADA6F" w14:textId="77777777" w:rsidR="00017245" w:rsidRPr="009C1600" w:rsidRDefault="00017245" w:rsidP="0071727F">
      <w:pPr>
        <w:pBdr>
          <w:top w:val="nil"/>
          <w:left w:val="nil"/>
          <w:bottom w:val="nil"/>
          <w:right w:val="nil"/>
          <w:between w:val="nil"/>
        </w:pBdr>
        <w:ind w:firstLine="709"/>
        <w:jc w:val="both"/>
        <w:rPr>
          <w:rFonts w:ascii="Arial" w:eastAsia="Cambria" w:hAnsi="Arial" w:cs="Arial"/>
          <w:color w:val="000000" w:themeColor="text1"/>
          <w:sz w:val="12"/>
          <w:szCs w:val="12"/>
        </w:rPr>
      </w:pPr>
      <w:r w:rsidRPr="0071727F">
        <w:rPr>
          <w:rStyle w:val="Refdenotaalpie"/>
          <w:color w:val="000000" w:themeColor="text1"/>
          <w:sz w:val="19"/>
          <w:szCs w:val="19"/>
        </w:rPr>
        <w:footnoteRef/>
      </w:r>
      <w:r w:rsidRPr="0071727F">
        <w:rPr>
          <w:rFonts w:ascii="Arial" w:eastAsia="Cambria" w:hAnsi="Arial" w:cs="Arial"/>
          <w:color w:val="000000" w:themeColor="text1"/>
          <w:sz w:val="19"/>
          <w:szCs w:val="19"/>
        </w:rPr>
        <w:t xml:space="preserve"> </w:t>
      </w:r>
      <w:r w:rsidRPr="009C1600">
        <w:rPr>
          <w:rFonts w:ascii="Arial" w:eastAsia="Cambria" w:hAnsi="Arial" w:cs="Arial"/>
          <w:color w:val="000000" w:themeColor="text1"/>
          <w:sz w:val="12"/>
          <w:szCs w:val="12"/>
        </w:rPr>
        <w:t xml:space="preserve">Código Civil: </w:t>
      </w:r>
      <w:r w:rsidRPr="009C1600">
        <w:rPr>
          <w:rFonts w:ascii="Arial" w:eastAsia="Arial" w:hAnsi="Arial" w:cs="Arial"/>
          <w:color w:val="000000" w:themeColor="text1"/>
          <w:sz w:val="12"/>
          <w:szCs w:val="12"/>
        </w:rPr>
        <w:t>«</w:t>
      </w:r>
      <w:r w:rsidRPr="009C1600">
        <w:rPr>
          <w:rFonts w:ascii="Arial" w:eastAsia="Cambria" w:hAnsi="Arial" w:cs="Arial"/>
          <w:color w:val="000000" w:themeColor="text1"/>
          <w:sz w:val="12"/>
          <w:szCs w:val="12"/>
        </w:rPr>
        <w:t>Articulo 2200. Definición y perfeccionamiento del comodato o préstamo de uso. El comodato o préstamo de uso es un contrato en que la una de las partes entrega a la otra gratuitamente una especie mueble o raíz, para que haga uso de ella, y con cargo de restituir la misma especie después de terminar el uso.</w:t>
      </w:r>
    </w:p>
    <w:p w14:paraId="16AA9F1B" w14:textId="77777777" w:rsidR="00017245" w:rsidRPr="009C1600" w:rsidRDefault="00017245" w:rsidP="0071727F">
      <w:pPr>
        <w:ind w:firstLine="709"/>
        <w:jc w:val="both"/>
        <w:rPr>
          <w:rFonts w:ascii="Arial" w:hAnsi="Arial" w:cs="Arial"/>
          <w:color w:val="000000" w:themeColor="text1"/>
          <w:sz w:val="12"/>
          <w:szCs w:val="12"/>
        </w:rPr>
      </w:pPr>
      <w:proofErr w:type="gramStart"/>
      <w:r w:rsidRPr="009C1600">
        <w:rPr>
          <w:rFonts w:ascii="Arial" w:eastAsia="Arial" w:hAnsi="Arial" w:cs="Arial"/>
          <w:color w:val="000000" w:themeColor="text1"/>
          <w:sz w:val="12"/>
          <w:szCs w:val="12"/>
        </w:rPr>
        <w:t>»</w:t>
      </w:r>
      <w:r w:rsidRPr="009C1600">
        <w:rPr>
          <w:rFonts w:ascii="Arial" w:hAnsi="Arial" w:cs="Arial"/>
          <w:color w:val="000000" w:themeColor="text1"/>
          <w:sz w:val="12"/>
          <w:szCs w:val="12"/>
        </w:rPr>
        <w:t>Este</w:t>
      </w:r>
      <w:proofErr w:type="gramEnd"/>
      <w:r w:rsidRPr="009C1600">
        <w:rPr>
          <w:rFonts w:ascii="Arial" w:hAnsi="Arial" w:cs="Arial"/>
          <w:color w:val="000000" w:themeColor="text1"/>
          <w:sz w:val="12"/>
          <w:szCs w:val="12"/>
        </w:rPr>
        <w:t xml:space="preserve"> contrato no se perfecciona sino por la tradición de la cosa</w:t>
      </w:r>
      <w:r w:rsidRPr="009C1600">
        <w:rPr>
          <w:rFonts w:ascii="Arial" w:eastAsia="Arial" w:hAnsi="Arial" w:cs="Arial"/>
          <w:color w:val="000000" w:themeColor="text1"/>
          <w:sz w:val="12"/>
          <w:szCs w:val="12"/>
        </w:rPr>
        <w:t>»</w:t>
      </w:r>
      <w:r w:rsidRPr="009C1600">
        <w:rPr>
          <w:rFonts w:ascii="Arial" w:hAnsi="Arial" w:cs="Arial"/>
          <w:color w:val="000000" w:themeColor="text1"/>
          <w:sz w:val="12"/>
          <w:szCs w:val="12"/>
        </w:rPr>
        <w:t>.</w:t>
      </w:r>
    </w:p>
    <w:p w14:paraId="2AA68CED" w14:textId="77777777" w:rsidR="00017245" w:rsidRPr="009C1600" w:rsidRDefault="00017245" w:rsidP="0071727F">
      <w:pPr>
        <w:pBdr>
          <w:top w:val="nil"/>
          <w:left w:val="nil"/>
          <w:bottom w:val="nil"/>
          <w:right w:val="nil"/>
          <w:between w:val="nil"/>
        </w:pBdr>
        <w:ind w:firstLine="709"/>
        <w:jc w:val="both"/>
        <w:rPr>
          <w:rFonts w:ascii="Arial" w:hAnsi="Arial" w:cs="Arial"/>
          <w:color w:val="000000" w:themeColor="text1"/>
          <w:sz w:val="12"/>
          <w:szCs w:val="12"/>
        </w:rPr>
      </w:pPr>
    </w:p>
  </w:footnote>
  <w:footnote w:id="24">
    <w:p w14:paraId="527929D4" w14:textId="77777777" w:rsidR="00017245" w:rsidRPr="009C1600" w:rsidRDefault="00017245" w:rsidP="0071727F">
      <w:pPr>
        <w:ind w:firstLine="709"/>
        <w:jc w:val="both"/>
        <w:rPr>
          <w:rFonts w:ascii="Arial" w:hAnsi="Arial" w:cs="Arial"/>
          <w:color w:val="000000" w:themeColor="text1"/>
          <w:sz w:val="12"/>
          <w:szCs w:val="12"/>
        </w:rPr>
      </w:pPr>
      <w:r w:rsidRPr="009C1600">
        <w:rPr>
          <w:rStyle w:val="Refdenotaalpie"/>
          <w:color w:val="000000" w:themeColor="text1"/>
          <w:sz w:val="12"/>
          <w:szCs w:val="12"/>
        </w:rPr>
        <w:footnoteRef/>
      </w:r>
      <w:r w:rsidRPr="009C1600">
        <w:rPr>
          <w:rFonts w:ascii="Arial" w:hAnsi="Arial" w:cs="Arial"/>
          <w:color w:val="000000" w:themeColor="text1"/>
          <w:sz w:val="12"/>
          <w:szCs w:val="12"/>
        </w:rPr>
        <w:t xml:space="preserve"> Consejo de Estado. Sección Tercera. Subsección A. </w:t>
      </w:r>
      <w:r w:rsidRPr="009C1600">
        <w:rPr>
          <w:rFonts w:ascii="Arial" w:eastAsia="Arial" w:hAnsi="Arial" w:cs="Arial"/>
          <w:color w:val="000000" w:themeColor="text1"/>
          <w:sz w:val="12"/>
          <w:szCs w:val="12"/>
        </w:rPr>
        <w:t xml:space="preserve">Sentencia del </w:t>
      </w:r>
      <w:r w:rsidRPr="009C1600">
        <w:rPr>
          <w:rFonts w:ascii="Arial" w:hAnsi="Arial" w:cs="Arial"/>
          <w:color w:val="000000" w:themeColor="text1"/>
          <w:sz w:val="12"/>
          <w:szCs w:val="12"/>
        </w:rPr>
        <w:t>9 de abril de 2014. Radicación 85001- 23-31-000-2000-00178-01(23.040).</w:t>
      </w:r>
      <w:r w:rsidRPr="009C1600">
        <w:rPr>
          <w:rFonts w:ascii="Arial" w:eastAsia="Arial" w:hAnsi="Arial" w:cs="Arial"/>
          <w:color w:val="000000" w:themeColor="text1"/>
          <w:sz w:val="12"/>
          <w:szCs w:val="12"/>
        </w:rPr>
        <w:t xml:space="preserve"> C.P. Carlos Alberto Zambrano Barrera.</w:t>
      </w:r>
    </w:p>
    <w:p w14:paraId="0D4679AB" w14:textId="77777777" w:rsidR="00017245" w:rsidRPr="0071727F" w:rsidRDefault="00017245" w:rsidP="0071727F">
      <w:pPr>
        <w:pBdr>
          <w:top w:val="nil"/>
          <w:left w:val="nil"/>
          <w:bottom w:val="nil"/>
          <w:right w:val="nil"/>
          <w:between w:val="nil"/>
        </w:pBdr>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2F02B9"/>
    <w:multiLevelType w:val="hybridMultilevel"/>
    <w:tmpl w:val="64F6A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A2D41"/>
    <w:multiLevelType w:val="hybridMultilevel"/>
    <w:tmpl w:val="B8CC0D4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29380B19"/>
    <w:multiLevelType w:val="hybridMultilevel"/>
    <w:tmpl w:val="1F66EDE8"/>
    <w:lvl w:ilvl="0" w:tplc="60226B48">
      <w:start w:val="1"/>
      <w:numFmt w:val="decimal"/>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3B1499"/>
    <w:multiLevelType w:val="hybridMultilevel"/>
    <w:tmpl w:val="B5BA0E08"/>
    <w:lvl w:ilvl="0" w:tplc="EC46EAB4">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7B7BA6"/>
    <w:multiLevelType w:val="hybridMultilevel"/>
    <w:tmpl w:val="0A9A1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C1658E"/>
    <w:multiLevelType w:val="hybridMultilevel"/>
    <w:tmpl w:val="6BB45F22"/>
    <w:lvl w:ilvl="0" w:tplc="324E2A2C">
      <w:start w:val="1"/>
      <w:numFmt w:val="upperRoman"/>
      <w:lvlText w:val="%1."/>
      <w:lvlJc w:val="right"/>
      <w:pPr>
        <w:ind w:left="1429" w:hanging="360"/>
      </w:pPr>
      <w:rPr>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3642528B"/>
    <w:multiLevelType w:val="hybridMultilevel"/>
    <w:tmpl w:val="D408B580"/>
    <w:lvl w:ilvl="0" w:tplc="15DE398A">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3DF77F05"/>
    <w:multiLevelType w:val="hybridMultilevel"/>
    <w:tmpl w:val="0E90E834"/>
    <w:lvl w:ilvl="0" w:tplc="073E4240">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444D0259"/>
    <w:multiLevelType w:val="hybridMultilevel"/>
    <w:tmpl w:val="77FC860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32B27AF"/>
    <w:multiLevelType w:val="hybridMultilevel"/>
    <w:tmpl w:val="BA34E780"/>
    <w:lvl w:ilvl="0" w:tplc="56241FF8">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9" w15:restartNumberingAfterBreak="0">
    <w:nsid w:val="6A9B7B46"/>
    <w:multiLevelType w:val="hybridMultilevel"/>
    <w:tmpl w:val="103E82C4"/>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6FEE5641"/>
    <w:multiLevelType w:val="hybridMultilevel"/>
    <w:tmpl w:val="CE064F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0966857"/>
    <w:multiLevelType w:val="hybridMultilevel"/>
    <w:tmpl w:val="2EB8A2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7C703690"/>
    <w:multiLevelType w:val="hybridMultilevel"/>
    <w:tmpl w:val="F9862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8"/>
  </w:num>
  <w:num w:numId="3">
    <w:abstractNumId w:val="15"/>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5"/>
  </w:num>
  <w:num w:numId="9">
    <w:abstractNumId w:val="1"/>
  </w:num>
  <w:num w:numId="10">
    <w:abstractNumId w:val="6"/>
  </w:num>
  <w:num w:numId="11">
    <w:abstractNumId w:val="2"/>
  </w:num>
  <w:num w:numId="12">
    <w:abstractNumId w:val="9"/>
  </w:num>
  <w:num w:numId="13">
    <w:abstractNumId w:val="3"/>
  </w:num>
  <w:num w:numId="14">
    <w:abstractNumId w:val="18"/>
  </w:num>
  <w:num w:numId="15">
    <w:abstractNumId w:val="14"/>
  </w:num>
  <w:num w:numId="16">
    <w:abstractNumId w:val="12"/>
  </w:num>
  <w:num w:numId="17">
    <w:abstractNumId w:val="22"/>
  </w:num>
  <w:num w:numId="18">
    <w:abstractNumId w:val="4"/>
  </w:num>
  <w:num w:numId="19">
    <w:abstractNumId w:val="11"/>
  </w:num>
  <w:num w:numId="20">
    <w:abstractNumId w:val="13"/>
  </w:num>
  <w:num w:numId="21">
    <w:abstractNumId w:val="19"/>
  </w:num>
  <w:num w:numId="22">
    <w:abstractNumId w:val="7"/>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25E0"/>
    <w:rsid w:val="000034EE"/>
    <w:rsid w:val="000070A8"/>
    <w:rsid w:val="0001231C"/>
    <w:rsid w:val="000135A1"/>
    <w:rsid w:val="00013F7C"/>
    <w:rsid w:val="00015BF3"/>
    <w:rsid w:val="00015E80"/>
    <w:rsid w:val="00015F78"/>
    <w:rsid w:val="000169A0"/>
    <w:rsid w:val="00016D26"/>
    <w:rsid w:val="00016D2E"/>
    <w:rsid w:val="00017245"/>
    <w:rsid w:val="00017253"/>
    <w:rsid w:val="00017C1D"/>
    <w:rsid w:val="000205F1"/>
    <w:rsid w:val="000210DF"/>
    <w:rsid w:val="0002271C"/>
    <w:rsid w:val="000229A9"/>
    <w:rsid w:val="00023CD9"/>
    <w:rsid w:val="00024653"/>
    <w:rsid w:val="000268E2"/>
    <w:rsid w:val="0002739B"/>
    <w:rsid w:val="000300C6"/>
    <w:rsid w:val="00030271"/>
    <w:rsid w:val="00032989"/>
    <w:rsid w:val="00032A51"/>
    <w:rsid w:val="00033523"/>
    <w:rsid w:val="00033C14"/>
    <w:rsid w:val="00033D8C"/>
    <w:rsid w:val="00034398"/>
    <w:rsid w:val="00034663"/>
    <w:rsid w:val="00040044"/>
    <w:rsid w:val="000414BE"/>
    <w:rsid w:val="000432DF"/>
    <w:rsid w:val="00044D8C"/>
    <w:rsid w:val="00050C64"/>
    <w:rsid w:val="0005181E"/>
    <w:rsid w:val="00053136"/>
    <w:rsid w:val="000540E1"/>
    <w:rsid w:val="00054817"/>
    <w:rsid w:val="000641A8"/>
    <w:rsid w:val="0006467C"/>
    <w:rsid w:val="0006474E"/>
    <w:rsid w:val="00065205"/>
    <w:rsid w:val="00066517"/>
    <w:rsid w:val="00071132"/>
    <w:rsid w:val="00071351"/>
    <w:rsid w:val="000716B2"/>
    <w:rsid w:val="0007405A"/>
    <w:rsid w:val="00074BEE"/>
    <w:rsid w:val="00075D07"/>
    <w:rsid w:val="00076B31"/>
    <w:rsid w:val="000770DB"/>
    <w:rsid w:val="0008228E"/>
    <w:rsid w:val="000822A6"/>
    <w:rsid w:val="00082CE0"/>
    <w:rsid w:val="00084B97"/>
    <w:rsid w:val="00086D8D"/>
    <w:rsid w:val="000877B5"/>
    <w:rsid w:val="00087FD0"/>
    <w:rsid w:val="000902BC"/>
    <w:rsid w:val="00091AC6"/>
    <w:rsid w:val="00092617"/>
    <w:rsid w:val="00092B6A"/>
    <w:rsid w:val="000942EB"/>
    <w:rsid w:val="000943FC"/>
    <w:rsid w:val="00095B25"/>
    <w:rsid w:val="00096C01"/>
    <w:rsid w:val="0009763D"/>
    <w:rsid w:val="000A4DD7"/>
    <w:rsid w:val="000A5915"/>
    <w:rsid w:val="000B076C"/>
    <w:rsid w:val="000B0E61"/>
    <w:rsid w:val="000B103F"/>
    <w:rsid w:val="000B14BA"/>
    <w:rsid w:val="000B2D9A"/>
    <w:rsid w:val="000B5C13"/>
    <w:rsid w:val="000C00A2"/>
    <w:rsid w:val="000C1515"/>
    <w:rsid w:val="000C3232"/>
    <w:rsid w:val="000C394F"/>
    <w:rsid w:val="000C3F9B"/>
    <w:rsid w:val="000C4E3E"/>
    <w:rsid w:val="000C5512"/>
    <w:rsid w:val="000C5D99"/>
    <w:rsid w:val="000D1837"/>
    <w:rsid w:val="000D186A"/>
    <w:rsid w:val="000D25BC"/>
    <w:rsid w:val="000D7953"/>
    <w:rsid w:val="000D7A0F"/>
    <w:rsid w:val="000E0DED"/>
    <w:rsid w:val="000E3909"/>
    <w:rsid w:val="000E6563"/>
    <w:rsid w:val="000E739D"/>
    <w:rsid w:val="000F091C"/>
    <w:rsid w:val="000F14E8"/>
    <w:rsid w:val="000F2AA2"/>
    <w:rsid w:val="000F2EE1"/>
    <w:rsid w:val="000F4695"/>
    <w:rsid w:val="000F7FC3"/>
    <w:rsid w:val="00100D69"/>
    <w:rsid w:val="00101018"/>
    <w:rsid w:val="00103915"/>
    <w:rsid w:val="001041A9"/>
    <w:rsid w:val="001072DB"/>
    <w:rsid w:val="001078AA"/>
    <w:rsid w:val="00110CE1"/>
    <w:rsid w:val="001112FD"/>
    <w:rsid w:val="0011178C"/>
    <w:rsid w:val="00111CDF"/>
    <w:rsid w:val="001124EB"/>
    <w:rsid w:val="00113157"/>
    <w:rsid w:val="00114327"/>
    <w:rsid w:val="00114900"/>
    <w:rsid w:val="0011520A"/>
    <w:rsid w:val="001155B8"/>
    <w:rsid w:val="00116C84"/>
    <w:rsid w:val="0011766B"/>
    <w:rsid w:val="00120D67"/>
    <w:rsid w:val="001214BC"/>
    <w:rsid w:val="00122B23"/>
    <w:rsid w:val="00122B9A"/>
    <w:rsid w:val="00123BE2"/>
    <w:rsid w:val="00124A82"/>
    <w:rsid w:val="00130457"/>
    <w:rsid w:val="001336B2"/>
    <w:rsid w:val="00133F8F"/>
    <w:rsid w:val="00134D65"/>
    <w:rsid w:val="0013770F"/>
    <w:rsid w:val="001377EC"/>
    <w:rsid w:val="00137E66"/>
    <w:rsid w:val="00137FFA"/>
    <w:rsid w:val="0014071F"/>
    <w:rsid w:val="00141B41"/>
    <w:rsid w:val="00141CCA"/>
    <w:rsid w:val="00141E25"/>
    <w:rsid w:val="0014214B"/>
    <w:rsid w:val="00142560"/>
    <w:rsid w:val="001429C2"/>
    <w:rsid w:val="00143D03"/>
    <w:rsid w:val="00144D68"/>
    <w:rsid w:val="00145E51"/>
    <w:rsid w:val="00150CB3"/>
    <w:rsid w:val="00151129"/>
    <w:rsid w:val="00151936"/>
    <w:rsid w:val="00152FDA"/>
    <w:rsid w:val="00154785"/>
    <w:rsid w:val="00155B3D"/>
    <w:rsid w:val="00155C13"/>
    <w:rsid w:val="00156216"/>
    <w:rsid w:val="00160CB0"/>
    <w:rsid w:val="00161A37"/>
    <w:rsid w:val="001643A4"/>
    <w:rsid w:val="00165347"/>
    <w:rsid w:val="00165995"/>
    <w:rsid w:val="00171685"/>
    <w:rsid w:val="0017335A"/>
    <w:rsid w:val="00173B85"/>
    <w:rsid w:val="00180188"/>
    <w:rsid w:val="001824DD"/>
    <w:rsid w:val="001827CB"/>
    <w:rsid w:val="00182A86"/>
    <w:rsid w:val="00182EEE"/>
    <w:rsid w:val="0018335C"/>
    <w:rsid w:val="0018635C"/>
    <w:rsid w:val="00190961"/>
    <w:rsid w:val="00191C4D"/>
    <w:rsid w:val="00192CDC"/>
    <w:rsid w:val="00192CE0"/>
    <w:rsid w:val="001961C8"/>
    <w:rsid w:val="00197BB3"/>
    <w:rsid w:val="001A0A19"/>
    <w:rsid w:val="001A0E7A"/>
    <w:rsid w:val="001A1753"/>
    <w:rsid w:val="001A217F"/>
    <w:rsid w:val="001A40A1"/>
    <w:rsid w:val="001A78DE"/>
    <w:rsid w:val="001A7FD7"/>
    <w:rsid w:val="001B0444"/>
    <w:rsid w:val="001B0BE3"/>
    <w:rsid w:val="001B2F08"/>
    <w:rsid w:val="001B39FA"/>
    <w:rsid w:val="001B5217"/>
    <w:rsid w:val="001B5D90"/>
    <w:rsid w:val="001C01AF"/>
    <w:rsid w:val="001C24BF"/>
    <w:rsid w:val="001C47C8"/>
    <w:rsid w:val="001C6F95"/>
    <w:rsid w:val="001C763E"/>
    <w:rsid w:val="001D0C03"/>
    <w:rsid w:val="001D1560"/>
    <w:rsid w:val="001D17C2"/>
    <w:rsid w:val="001D2F93"/>
    <w:rsid w:val="001D2FC9"/>
    <w:rsid w:val="001D30D8"/>
    <w:rsid w:val="001D4EA4"/>
    <w:rsid w:val="001D567B"/>
    <w:rsid w:val="001D612F"/>
    <w:rsid w:val="001E01F9"/>
    <w:rsid w:val="001E074F"/>
    <w:rsid w:val="001E1959"/>
    <w:rsid w:val="001E1EEE"/>
    <w:rsid w:val="001E2866"/>
    <w:rsid w:val="001E2A7A"/>
    <w:rsid w:val="001E4B0D"/>
    <w:rsid w:val="001E7D79"/>
    <w:rsid w:val="001F4D43"/>
    <w:rsid w:val="001F4F5C"/>
    <w:rsid w:val="001F5388"/>
    <w:rsid w:val="001F5745"/>
    <w:rsid w:val="001F6290"/>
    <w:rsid w:val="001F6378"/>
    <w:rsid w:val="001F7341"/>
    <w:rsid w:val="0020001F"/>
    <w:rsid w:val="0020059F"/>
    <w:rsid w:val="00200651"/>
    <w:rsid w:val="002025CC"/>
    <w:rsid w:val="0020324E"/>
    <w:rsid w:val="00203E16"/>
    <w:rsid w:val="00204675"/>
    <w:rsid w:val="00205185"/>
    <w:rsid w:val="00205753"/>
    <w:rsid w:val="00205CAE"/>
    <w:rsid w:val="0020632A"/>
    <w:rsid w:val="002075B6"/>
    <w:rsid w:val="002076CC"/>
    <w:rsid w:val="00210A2D"/>
    <w:rsid w:val="00210DF2"/>
    <w:rsid w:val="002110EB"/>
    <w:rsid w:val="00211338"/>
    <w:rsid w:val="00213541"/>
    <w:rsid w:val="0021518A"/>
    <w:rsid w:val="00215618"/>
    <w:rsid w:val="00215B97"/>
    <w:rsid w:val="00216AEE"/>
    <w:rsid w:val="00216E64"/>
    <w:rsid w:val="002177D9"/>
    <w:rsid w:val="00217988"/>
    <w:rsid w:val="00217C7F"/>
    <w:rsid w:val="00220120"/>
    <w:rsid w:val="00220E20"/>
    <w:rsid w:val="0022167B"/>
    <w:rsid w:val="002232F5"/>
    <w:rsid w:val="002249BC"/>
    <w:rsid w:val="002270C0"/>
    <w:rsid w:val="002309D1"/>
    <w:rsid w:val="00230F89"/>
    <w:rsid w:val="00233909"/>
    <w:rsid w:val="002339D3"/>
    <w:rsid w:val="00234113"/>
    <w:rsid w:val="00234B84"/>
    <w:rsid w:val="00234C1A"/>
    <w:rsid w:val="002364D4"/>
    <w:rsid w:val="0023691B"/>
    <w:rsid w:val="002379B1"/>
    <w:rsid w:val="002409B6"/>
    <w:rsid w:val="00243EE8"/>
    <w:rsid w:val="002456DB"/>
    <w:rsid w:val="00246944"/>
    <w:rsid w:val="00247C35"/>
    <w:rsid w:val="0025069C"/>
    <w:rsid w:val="0025151A"/>
    <w:rsid w:val="002534F1"/>
    <w:rsid w:val="002538B5"/>
    <w:rsid w:val="00254711"/>
    <w:rsid w:val="00255215"/>
    <w:rsid w:val="00255D2C"/>
    <w:rsid w:val="00256CE7"/>
    <w:rsid w:val="002576FD"/>
    <w:rsid w:val="002627A8"/>
    <w:rsid w:val="0026362F"/>
    <w:rsid w:val="00263755"/>
    <w:rsid w:val="0026403D"/>
    <w:rsid w:val="002647F7"/>
    <w:rsid w:val="00264E94"/>
    <w:rsid w:val="002654C1"/>
    <w:rsid w:val="0026616C"/>
    <w:rsid w:val="00267A47"/>
    <w:rsid w:val="00267DDA"/>
    <w:rsid w:val="002708A2"/>
    <w:rsid w:val="00271043"/>
    <w:rsid w:val="002725EE"/>
    <w:rsid w:val="002737FD"/>
    <w:rsid w:val="00273E83"/>
    <w:rsid w:val="00274DDF"/>
    <w:rsid w:val="00275E86"/>
    <w:rsid w:val="002801C7"/>
    <w:rsid w:val="00285503"/>
    <w:rsid w:val="00285AC8"/>
    <w:rsid w:val="00285AC9"/>
    <w:rsid w:val="00286089"/>
    <w:rsid w:val="00287343"/>
    <w:rsid w:val="00287741"/>
    <w:rsid w:val="00290E9F"/>
    <w:rsid w:val="002914E1"/>
    <w:rsid w:val="00291C4F"/>
    <w:rsid w:val="00291FE3"/>
    <w:rsid w:val="002938BD"/>
    <w:rsid w:val="00293BBD"/>
    <w:rsid w:val="002941C6"/>
    <w:rsid w:val="00296B40"/>
    <w:rsid w:val="002A2E12"/>
    <w:rsid w:val="002A3C35"/>
    <w:rsid w:val="002A4F9E"/>
    <w:rsid w:val="002A5498"/>
    <w:rsid w:val="002A5F87"/>
    <w:rsid w:val="002A695B"/>
    <w:rsid w:val="002B3433"/>
    <w:rsid w:val="002B41FB"/>
    <w:rsid w:val="002B4390"/>
    <w:rsid w:val="002B55C7"/>
    <w:rsid w:val="002C216A"/>
    <w:rsid w:val="002C28E1"/>
    <w:rsid w:val="002C2B56"/>
    <w:rsid w:val="002C2D1E"/>
    <w:rsid w:val="002C32E1"/>
    <w:rsid w:val="002C40FB"/>
    <w:rsid w:val="002C4C0C"/>
    <w:rsid w:val="002C57C8"/>
    <w:rsid w:val="002C6821"/>
    <w:rsid w:val="002D155C"/>
    <w:rsid w:val="002D2CD0"/>
    <w:rsid w:val="002D3589"/>
    <w:rsid w:val="002D41CB"/>
    <w:rsid w:val="002D481A"/>
    <w:rsid w:val="002D65E2"/>
    <w:rsid w:val="002D7275"/>
    <w:rsid w:val="002E06A1"/>
    <w:rsid w:val="002E7979"/>
    <w:rsid w:val="002F334B"/>
    <w:rsid w:val="002F4470"/>
    <w:rsid w:val="002F7BD7"/>
    <w:rsid w:val="003033BA"/>
    <w:rsid w:val="00304580"/>
    <w:rsid w:val="00304B38"/>
    <w:rsid w:val="0030589C"/>
    <w:rsid w:val="00306C30"/>
    <w:rsid w:val="00307067"/>
    <w:rsid w:val="003073C0"/>
    <w:rsid w:val="00307855"/>
    <w:rsid w:val="003078D7"/>
    <w:rsid w:val="003108EF"/>
    <w:rsid w:val="0031206F"/>
    <w:rsid w:val="00312204"/>
    <w:rsid w:val="00312D89"/>
    <w:rsid w:val="00314C7D"/>
    <w:rsid w:val="00316214"/>
    <w:rsid w:val="003162C8"/>
    <w:rsid w:val="00316B16"/>
    <w:rsid w:val="00321018"/>
    <w:rsid w:val="00322937"/>
    <w:rsid w:val="0032350A"/>
    <w:rsid w:val="003238A9"/>
    <w:rsid w:val="00327549"/>
    <w:rsid w:val="00327CEB"/>
    <w:rsid w:val="00330722"/>
    <w:rsid w:val="00334638"/>
    <w:rsid w:val="00336AAF"/>
    <w:rsid w:val="003404C6"/>
    <w:rsid w:val="0034096E"/>
    <w:rsid w:val="0034177C"/>
    <w:rsid w:val="00341D52"/>
    <w:rsid w:val="003429F6"/>
    <w:rsid w:val="00344B03"/>
    <w:rsid w:val="00345705"/>
    <w:rsid w:val="0034680A"/>
    <w:rsid w:val="00347024"/>
    <w:rsid w:val="00350AA9"/>
    <w:rsid w:val="00350DA7"/>
    <w:rsid w:val="00353653"/>
    <w:rsid w:val="00353DD5"/>
    <w:rsid w:val="00353EE8"/>
    <w:rsid w:val="00355084"/>
    <w:rsid w:val="00355E8C"/>
    <w:rsid w:val="00357167"/>
    <w:rsid w:val="00361495"/>
    <w:rsid w:val="00361B7E"/>
    <w:rsid w:val="00362CA1"/>
    <w:rsid w:val="00364EF6"/>
    <w:rsid w:val="003652E7"/>
    <w:rsid w:val="00366283"/>
    <w:rsid w:val="00366693"/>
    <w:rsid w:val="00367828"/>
    <w:rsid w:val="00371F43"/>
    <w:rsid w:val="00372E26"/>
    <w:rsid w:val="003754D2"/>
    <w:rsid w:val="003757C2"/>
    <w:rsid w:val="00376930"/>
    <w:rsid w:val="00381C32"/>
    <w:rsid w:val="00384C43"/>
    <w:rsid w:val="00385CF3"/>
    <w:rsid w:val="00386456"/>
    <w:rsid w:val="003901B3"/>
    <w:rsid w:val="003903B0"/>
    <w:rsid w:val="00390C02"/>
    <w:rsid w:val="003912A3"/>
    <w:rsid w:val="0039143D"/>
    <w:rsid w:val="003949EE"/>
    <w:rsid w:val="003964D5"/>
    <w:rsid w:val="003A0878"/>
    <w:rsid w:val="003A0EBE"/>
    <w:rsid w:val="003A5056"/>
    <w:rsid w:val="003A581E"/>
    <w:rsid w:val="003A5E90"/>
    <w:rsid w:val="003A6751"/>
    <w:rsid w:val="003A7F89"/>
    <w:rsid w:val="003B027A"/>
    <w:rsid w:val="003B2341"/>
    <w:rsid w:val="003B267F"/>
    <w:rsid w:val="003B43DB"/>
    <w:rsid w:val="003B49DA"/>
    <w:rsid w:val="003B73DE"/>
    <w:rsid w:val="003C01B1"/>
    <w:rsid w:val="003C6CBA"/>
    <w:rsid w:val="003C75FC"/>
    <w:rsid w:val="003D1BE9"/>
    <w:rsid w:val="003D33FF"/>
    <w:rsid w:val="003D3D29"/>
    <w:rsid w:val="003D3D9D"/>
    <w:rsid w:val="003D43B0"/>
    <w:rsid w:val="003D45AC"/>
    <w:rsid w:val="003D527E"/>
    <w:rsid w:val="003D7E29"/>
    <w:rsid w:val="003E0D9E"/>
    <w:rsid w:val="003E1992"/>
    <w:rsid w:val="003E4A30"/>
    <w:rsid w:val="003E6423"/>
    <w:rsid w:val="003E6884"/>
    <w:rsid w:val="003E7AA5"/>
    <w:rsid w:val="003F00C3"/>
    <w:rsid w:val="003F0161"/>
    <w:rsid w:val="003F18DE"/>
    <w:rsid w:val="003F1D3C"/>
    <w:rsid w:val="0040246E"/>
    <w:rsid w:val="004030F2"/>
    <w:rsid w:val="00405913"/>
    <w:rsid w:val="00406251"/>
    <w:rsid w:val="00406A1A"/>
    <w:rsid w:val="00407705"/>
    <w:rsid w:val="0040799E"/>
    <w:rsid w:val="004129BB"/>
    <w:rsid w:val="00413C8D"/>
    <w:rsid w:val="00413E61"/>
    <w:rsid w:val="00414152"/>
    <w:rsid w:val="00415DDE"/>
    <w:rsid w:val="00416308"/>
    <w:rsid w:val="00416996"/>
    <w:rsid w:val="00417025"/>
    <w:rsid w:val="00421624"/>
    <w:rsid w:val="00421DF6"/>
    <w:rsid w:val="004228D3"/>
    <w:rsid w:val="00423F66"/>
    <w:rsid w:val="00423F9F"/>
    <w:rsid w:val="00425FD7"/>
    <w:rsid w:val="00427F2F"/>
    <w:rsid w:val="00430D86"/>
    <w:rsid w:val="00432AD1"/>
    <w:rsid w:val="00432B52"/>
    <w:rsid w:val="00433494"/>
    <w:rsid w:val="00434140"/>
    <w:rsid w:val="00435826"/>
    <w:rsid w:val="0043612C"/>
    <w:rsid w:val="004376B9"/>
    <w:rsid w:val="00437BA7"/>
    <w:rsid w:val="00440848"/>
    <w:rsid w:val="00441DC6"/>
    <w:rsid w:val="00441EE4"/>
    <w:rsid w:val="004422D6"/>
    <w:rsid w:val="0044490E"/>
    <w:rsid w:val="00446E21"/>
    <w:rsid w:val="00447165"/>
    <w:rsid w:val="00447729"/>
    <w:rsid w:val="00452F9A"/>
    <w:rsid w:val="00457110"/>
    <w:rsid w:val="00460D1C"/>
    <w:rsid w:val="00464311"/>
    <w:rsid w:val="00466026"/>
    <w:rsid w:val="0046603E"/>
    <w:rsid w:val="00466082"/>
    <w:rsid w:val="0046653B"/>
    <w:rsid w:val="0046694E"/>
    <w:rsid w:val="00472B78"/>
    <w:rsid w:val="0047380F"/>
    <w:rsid w:val="0047426F"/>
    <w:rsid w:val="0047453E"/>
    <w:rsid w:val="004746AD"/>
    <w:rsid w:val="00475F18"/>
    <w:rsid w:val="00477514"/>
    <w:rsid w:val="004779F8"/>
    <w:rsid w:val="00480824"/>
    <w:rsid w:val="00480D03"/>
    <w:rsid w:val="00480ECA"/>
    <w:rsid w:val="004861E4"/>
    <w:rsid w:val="0048674D"/>
    <w:rsid w:val="004870BB"/>
    <w:rsid w:val="004872D8"/>
    <w:rsid w:val="0048754A"/>
    <w:rsid w:val="00487C10"/>
    <w:rsid w:val="00490A62"/>
    <w:rsid w:val="0049241A"/>
    <w:rsid w:val="004956F3"/>
    <w:rsid w:val="004974CD"/>
    <w:rsid w:val="004A0085"/>
    <w:rsid w:val="004A0106"/>
    <w:rsid w:val="004A0F49"/>
    <w:rsid w:val="004A34D2"/>
    <w:rsid w:val="004A4F76"/>
    <w:rsid w:val="004A6841"/>
    <w:rsid w:val="004A7B59"/>
    <w:rsid w:val="004B0B42"/>
    <w:rsid w:val="004B353C"/>
    <w:rsid w:val="004B6500"/>
    <w:rsid w:val="004B6E7D"/>
    <w:rsid w:val="004B7D5F"/>
    <w:rsid w:val="004C246A"/>
    <w:rsid w:val="004C279E"/>
    <w:rsid w:val="004C31AF"/>
    <w:rsid w:val="004C3ADF"/>
    <w:rsid w:val="004C3BA4"/>
    <w:rsid w:val="004C59F7"/>
    <w:rsid w:val="004C60C5"/>
    <w:rsid w:val="004C755C"/>
    <w:rsid w:val="004C7603"/>
    <w:rsid w:val="004D087D"/>
    <w:rsid w:val="004D22DE"/>
    <w:rsid w:val="004D4A87"/>
    <w:rsid w:val="004D52FA"/>
    <w:rsid w:val="004D53FA"/>
    <w:rsid w:val="004D5756"/>
    <w:rsid w:val="004D63F7"/>
    <w:rsid w:val="004D65AC"/>
    <w:rsid w:val="004D702B"/>
    <w:rsid w:val="004D7944"/>
    <w:rsid w:val="004D7D21"/>
    <w:rsid w:val="004D7FB4"/>
    <w:rsid w:val="004E07A4"/>
    <w:rsid w:val="004E4C6D"/>
    <w:rsid w:val="004E5463"/>
    <w:rsid w:val="004F1425"/>
    <w:rsid w:val="004F16DB"/>
    <w:rsid w:val="004F30F8"/>
    <w:rsid w:val="004F3492"/>
    <w:rsid w:val="004F3517"/>
    <w:rsid w:val="004F3CDF"/>
    <w:rsid w:val="004F3E67"/>
    <w:rsid w:val="004F510B"/>
    <w:rsid w:val="004F5B24"/>
    <w:rsid w:val="004F6048"/>
    <w:rsid w:val="00501473"/>
    <w:rsid w:val="005051F8"/>
    <w:rsid w:val="0051074C"/>
    <w:rsid w:val="00510CF8"/>
    <w:rsid w:val="005112E4"/>
    <w:rsid w:val="00511922"/>
    <w:rsid w:val="00513AF2"/>
    <w:rsid w:val="00514439"/>
    <w:rsid w:val="00514D99"/>
    <w:rsid w:val="00514E3C"/>
    <w:rsid w:val="0051759B"/>
    <w:rsid w:val="0052030A"/>
    <w:rsid w:val="005216C1"/>
    <w:rsid w:val="00523703"/>
    <w:rsid w:val="00525997"/>
    <w:rsid w:val="00525FE7"/>
    <w:rsid w:val="005265E4"/>
    <w:rsid w:val="00526943"/>
    <w:rsid w:val="00527E3C"/>
    <w:rsid w:val="0053038B"/>
    <w:rsid w:val="0053170C"/>
    <w:rsid w:val="00531D5C"/>
    <w:rsid w:val="00532B96"/>
    <w:rsid w:val="00535106"/>
    <w:rsid w:val="005355D8"/>
    <w:rsid w:val="00535A34"/>
    <w:rsid w:val="0054155D"/>
    <w:rsid w:val="00542B62"/>
    <w:rsid w:val="00542BA7"/>
    <w:rsid w:val="0054413A"/>
    <w:rsid w:val="0054713D"/>
    <w:rsid w:val="005472F5"/>
    <w:rsid w:val="00550567"/>
    <w:rsid w:val="00550D93"/>
    <w:rsid w:val="005514ED"/>
    <w:rsid w:val="00554A77"/>
    <w:rsid w:val="005564CA"/>
    <w:rsid w:val="005601A8"/>
    <w:rsid w:val="00561506"/>
    <w:rsid w:val="0056182B"/>
    <w:rsid w:val="005622EB"/>
    <w:rsid w:val="00562332"/>
    <w:rsid w:val="00567F3B"/>
    <w:rsid w:val="005721B3"/>
    <w:rsid w:val="005756AA"/>
    <w:rsid w:val="00575A1C"/>
    <w:rsid w:val="0057646F"/>
    <w:rsid w:val="00577148"/>
    <w:rsid w:val="00582AE3"/>
    <w:rsid w:val="0058679D"/>
    <w:rsid w:val="00586BDB"/>
    <w:rsid w:val="005879CA"/>
    <w:rsid w:val="00590380"/>
    <w:rsid w:val="005930B1"/>
    <w:rsid w:val="00596896"/>
    <w:rsid w:val="00597412"/>
    <w:rsid w:val="005A0414"/>
    <w:rsid w:val="005A1645"/>
    <w:rsid w:val="005A2130"/>
    <w:rsid w:val="005A4FC5"/>
    <w:rsid w:val="005A6AB9"/>
    <w:rsid w:val="005A7DBD"/>
    <w:rsid w:val="005B1144"/>
    <w:rsid w:val="005B4267"/>
    <w:rsid w:val="005B5BE2"/>
    <w:rsid w:val="005B753A"/>
    <w:rsid w:val="005C00FA"/>
    <w:rsid w:val="005C343C"/>
    <w:rsid w:val="005C5C9A"/>
    <w:rsid w:val="005C6A48"/>
    <w:rsid w:val="005C6C85"/>
    <w:rsid w:val="005C7184"/>
    <w:rsid w:val="005D1BC0"/>
    <w:rsid w:val="005D3155"/>
    <w:rsid w:val="005D35B6"/>
    <w:rsid w:val="005D36B1"/>
    <w:rsid w:val="005D4AEF"/>
    <w:rsid w:val="005D4E8A"/>
    <w:rsid w:val="005D50CE"/>
    <w:rsid w:val="005D51FA"/>
    <w:rsid w:val="005D5B90"/>
    <w:rsid w:val="005D791B"/>
    <w:rsid w:val="005E01CE"/>
    <w:rsid w:val="005E09A6"/>
    <w:rsid w:val="005E139E"/>
    <w:rsid w:val="005E1974"/>
    <w:rsid w:val="005E3B5B"/>
    <w:rsid w:val="005E4646"/>
    <w:rsid w:val="005E4765"/>
    <w:rsid w:val="005E5697"/>
    <w:rsid w:val="005F055F"/>
    <w:rsid w:val="005F1B0F"/>
    <w:rsid w:val="005F317C"/>
    <w:rsid w:val="005F37CD"/>
    <w:rsid w:val="005F3CD0"/>
    <w:rsid w:val="005F51FB"/>
    <w:rsid w:val="005F53B6"/>
    <w:rsid w:val="005F599B"/>
    <w:rsid w:val="005F650A"/>
    <w:rsid w:val="005F68F7"/>
    <w:rsid w:val="005F788C"/>
    <w:rsid w:val="0060070B"/>
    <w:rsid w:val="00602708"/>
    <w:rsid w:val="00603E4D"/>
    <w:rsid w:val="00603FBE"/>
    <w:rsid w:val="00604893"/>
    <w:rsid w:val="00604B04"/>
    <w:rsid w:val="006058F6"/>
    <w:rsid w:val="00611ED9"/>
    <w:rsid w:val="00612C51"/>
    <w:rsid w:val="00613FDA"/>
    <w:rsid w:val="006146F1"/>
    <w:rsid w:val="00614817"/>
    <w:rsid w:val="00616E1F"/>
    <w:rsid w:val="00620FE8"/>
    <w:rsid w:val="00621021"/>
    <w:rsid w:val="00621A1E"/>
    <w:rsid w:val="00623D2C"/>
    <w:rsid w:val="00624498"/>
    <w:rsid w:val="0062724E"/>
    <w:rsid w:val="00630D7C"/>
    <w:rsid w:val="006318E7"/>
    <w:rsid w:val="0063224F"/>
    <w:rsid w:val="0063269D"/>
    <w:rsid w:val="00633DBF"/>
    <w:rsid w:val="006341BB"/>
    <w:rsid w:val="00635DED"/>
    <w:rsid w:val="0063667E"/>
    <w:rsid w:val="00643B51"/>
    <w:rsid w:val="006441CE"/>
    <w:rsid w:val="006447B9"/>
    <w:rsid w:val="00644D7F"/>
    <w:rsid w:val="0064514E"/>
    <w:rsid w:val="00650FE8"/>
    <w:rsid w:val="00652BAA"/>
    <w:rsid w:val="00653CA3"/>
    <w:rsid w:val="00654069"/>
    <w:rsid w:val="00655371"/>
    <w:rsid w:val="006559E3"/>
    <w:rsid w:val="00657259"/>
    <w:rsid w:val="00657446"/>
    <w:rsid w:val="00660D51"/>
    <w:rsid w:val="00662C7E"/>
    <w:rsid w:val="0066325D"/>
    <w:rsid w:val="00667768"/>
    <w:rsid w:val="006678A3"/>
    <w:rsid w:val="00667E0E"/>
    <w:rsid w:val="00670466"/>
    <w:rsid w:val="0067148D"/>
    <w:rsid w:val="0067157B"/>
    <w:rsid w:val="00672272"/>
    <w:rsid w:val="006728A0"/>
    <w:rsid w:val="006734E6"/>
    <w:rsid w:val="006748E0"/>
    <w:rsid w:val="00674F99"/>
    <w:rsid w:val="006753EB"/>
    <w:rsid w:val="006807C6"/>
    <w:rsid w:val="00680B58"/>
    <w:rsid w:val="00681EED"/>
    <w:rsid w:val="00682E7B"/>
    <w:rsid w:val="006852F3"/>
    <w:rsid w:val="006906D4"/>
    <w:rsid w:val="0069141C"/>
    <w:rsid w:val="006919EA"/>
    <w:rsid w:val="00692992"/>
    <w:rsid w:val="00692F57"/>
    <w:rsid w:val="006954E4"/>
    <w:rsid w:val="00695B70"/>
    <w:rsid w:val="00697665"/>
    <w:rsid w:val="00697742"/>
    <w:rsid w:val="00697C55"/>
    <w:rsid w:val="00697DD0"/>
    <w:rsid w:val="006A0EB7"/>
    <w:rsid w:val="006A6ACB"/>
    <w:rsid w:val="006A7BB4"/>
    <w:rsid w:val="006A7CB5"/>
    <w:rsid w:val="006A7FD0"/>
    <w:rsid w:val="006B064B"/>
    <w:rsid w:val="006B08EC"/>
    <w:rsid w:val="006B0C4E"/>
    <w:rsid w:val="006B2398"/>
    <w:rsid w:val="006B24DE"/>
    <w:rsid w:val="006B2D45"/>
    <w:rsid w:val="006B318A"/>
    <w:rsid w:val="006B39D4"/>
    <w:rsid w:val="006B5051"/>
    <w:rsid w:val="006B5FA9"/>
    <w:rsid w:val="006C06E6"/>
    <w:rsid w:val="006C116D"/>
    <w:rsid w:val="006C132E"/>
    <w:rsid w:val="006C1463"/>
    <w:rsid w:val="006C18C1"/>
    <w:rsid w:val="006C1A72"/>
    <w:rsid w:val="006C2A51"/>
    <w:rsid w:val="006C2B00"/>
    <w:rsid w:val="006C3B52"/>
    <w:rsid w:val="006C6EE9"/>
    <w:rsid w:val="006C771B"/>
    <w:rsid w:val="006C7CD4"/>
    <w:rsid w:val="006C7F3D"/>
    <w:rsid w:val="006D0BAE"/>
    <w:rsid w:val="006D2519"/>
    <w:rsid w:val="006D5552"/>
    <w:rsid w:val="006D5B2B"/>
    <w:rsid w:val="006D7687"/>
    <w:rsid w:val="006D7CF6"/>
    <w:rsid w:val="006E0572"/>
    <w:rsid w:val="006E131E"/>
    <w:rsid w:val="006E170C"/>
    <w:rsid w:val="006E19D3"/>
    <w:rsid w:val="006E1E98"/>
    <w:rsid w:val="006E37FA"/>
    <w:rsid w:val="006E66D9"/>
    <w:rsid w:val="006F0E74"/>
    <w:rsid w:val="006F3617"/>
    <w:rsid w:val="006F4EB3"/>
    <w:rsid w:val="006F56C4"/>
    <w:rsid w:val="006F6168"/>
    <w:rsid w:val="006F7679"/>
    <w:rsid w:val="00700B57"/>
    <w:rsid w:val="007014F8"/>
    <w:rsid w:val="00705403"/>
    <w:rsid w:val="00705631"/>
    <w:rsid w:val="00706C8B"/>
    <w:rsid w:val="00707531"/>
    <w:rsid w:val="00710134"/>
    <w:rsid w:val="00711205"/>
    <w:rsid w:val="007136AC"/>
    <w:rsid w:val="00715437"/>
    <w:rsid w:val="00715EAA"/>
    <w:rsid w:val="00716CC3"/>
    <w:rsid w:val="0071727F"/>
    <w:rsid w:val="00720050"/>
    <w:rsid w:val="007213F0"/>
    <w:rsid w:val="00722293"/>
    <w:rsid w:val="00723B38"/>
    <w:rsid w:val="00724D11"/>
    <w:rsid w:val="00726F60"/>
    <w:rsid w:val="00733BCA"/>
    <w:rsid w:val="0073441F"/>
    <w:rsid w:val="0073589B"/>
    <w:rsid w:val="00735AEF"/>
    <w:rsid w:val="007412B8"/>
    <w:rsid w:val="00741A9E"/>
    <w:rsid w:val="00742281"/>
    <w:rsid w:val="00742DD2"/>
    <w:rsid w:val="00746E08"/>
    <w:rsid w:val="00747C96"/>
    <w:rsid w:val="007503E9"/>
    <w:rsid w:val="0075094E"/>
    <w:rsid w:val="007522E8"/>
    <w:rsid w:val="00755CC4"/>
    <w:rsid w:val="0075647A"/>
    <w:rsid w:val="007572F9"/>
    <w:rsid w:val="00762948"/>
    <w:rsid w:val="00762F48"/>
    <w:rsid w:val="007634AD"/>
    <w:rsid w:val="00764011"/>
    <w:rsid w:val="0076432E"/>
    <w:rsid w:val="007668D9"/>
    <w:rsid w:val="00766A70"/>
    <w:rsid w:val="0077057C"/>
    <w:rsid w:val="007707A7"/>
    <w:rsid w:val="00770B28"/>
    <w:rsid w:val="00771DF3"/>
    <w:rsid w:val="00773CB2"/>
    <w:rsid w:val="00775563"/>
    <w:rsid w:val="00776689"/>
    <w:rsid w:val="0078122E"/>
    <w:rsid w:val="00783A83"/>
    <w:rsid w:val="00792E66"/>
    <w:rsid w:val="00792F13"/>
    <w:rsid w:val="007930A5"/>
    <w:rsid w:val="00793E57"/>
    <w:rsid w:val="00794007"/>
    <w:rsid w:val="00795647"/>
    <w:rsid w:val="007973B1"/>
    <w:rsid w:val="007A174B"/>
    <w:rsid w:val="007A3611"/>
    <w:rsid w:val="007A5737"/>
    <w:rsid w:val="007A6125"/>
    <w:rsid w:val="007A76FC"/>
    <w:rsid w:val="007B0854"/>
    <w:rsid w:val="007B1ACE"/>
    <w:rsid w:val="007B27D7"/>
    <w:rsid w:val="007B4F45"/>
    <w:rsid w:val="007B4F4C"/>
    <w:rsid w:val="007B660A"/>
    <w:rsid w:val="007C0AB3"/>
    <w:rsid w:val="007C15C8"/>
    <w:rsid w:val="007C209F"/>
    <w:rsid w:val="007C22B6"/>
    <w:rsid w:val="007C2357"/>
    <w:rsid w:val="007C2D7E"/>
    <w:rsid w:val="007C33A6"/>
    <w:rsid w:val="007C4A1C"/>
    <w:rsid w:val="007C4BE5"/>
    <w:rsid w:val="007C58BD"/>
    <w:rsid w:val="007C5C1C"/>
    <w:rsid w:val="007D00BD"/>
    <w:rsid w:val="007D01F0"/>
    <w:rsid w:val="007D0B72"/>
    <w:rsid w:val="007D3671"/>
    <w:rsid w:val="007D4919"/>
    <w:rsid w:val="007D4DBE"/>
    <w:rsid w:val="007D5C3E"/>
    <w:rsid w:val="007D6C71"/>
    <w:rsid w:val="007D7901"/>
    <w:rsid w:val="007D7DD8"/>
    <w:rsid w:val="007E02AE"/>
    <w:rsid w:val="007E0C58"/>
    <w:rsid w:val="007E1312"/>
    <w:rsid w:val="007E25A3"/>
    <w:rsid w:val="007E3ACA"/>
    <w:rsid w:val="007E5C16"/>
    <w:rsid w:val="007E676C"/>
    <w:rsid w:val="007E7A93"/>
    <w:rsid w:val="007F15AE"/>
    <w:rsid w:val="007F1C69"/>
    <w:rsid w:val="007F51B0"/>
    <w:rsid w:val="007F54FB"/>
    <w:rsid w:val="007F5623"/>
    <w:rsid w:val="007F573F"/>
    <w:rsid w:val="007F6A64"/>
    <w:rsid w:val="007F6B46"/>
    <w:rsid w:val="007F6D80"/>
    <w:rsid w:val="007F72CB"/>
    <w:rsid w:val="00800C47"/>
    <w:rsid w:val="0080224B"/>
    <w:rsid w:val="0080370F"/>
    <w:rsid w:val="0080514C"/>
    <w:rsid w:val="00806AD5"/>
    <w:rsid w:val="008132FA"/>
    <w:rsid w:val="00813988"/>
    <w:rsid w:val="00814E0D"/>
    <w:rsid w:val="0081553B"/>
    <w:rsid w:val="00815BCC"/>
    <w:rsid w:val="008160B2"/>
    <w:rsid w:val="00817744"/>
    <w:rsid w:val="00817C29"/>
    <w:rsid w:val="0082065D"/>
    <w:rsid w:val="00820A37"/>
    <w:rsid w:val="008217B7"/>
    <w:rsid w:val="00824BF9"/>
    <w:rsid w:val="00830018"/>
    <w:rsid w:val="00830303"/>
    <w:rsid w:val="0083119B"/>
    <w:rsid w:val="00833039"/>
    <w:rsid w:val="00835917"/>
    <w:rsid w:val="00836EAB"/>
    <w:rsid w:val="0083782B"/>
    <w:rsid w:val="00840960"/>
    <w:rsid w:val="008420C6"/>
    <w:rsid w:val="008445AD"/>
    <w:rsid w:val="00844864"/>
    <w:rsid w:val="00845AF5"/>
    <w:rsid w:val="00846235"/>
    <w:rsid w:val="00846B3D"/>
    <w:rsid w:val="0085092D"/>
    <w:rsid w:val="00850F79"/>
    <w:rsid w:val="00851723"/>
    <w:rsid w:val="00851D62"/>
    <w:rsid w:val="00853074"/>
    <w:rsid w:val="00853AE0"/>
    <w:rsid w:val="00853AF8"/>
    <w:rsid w:val="00854D44"/>
    <w:rsid w:val="00854DB7"/>
    <w:rsid w:val="008565CB"/>
    <w:rsid w:val="00857EEA"/>
    <w:rsid w:val="00861F54"/>
    <w:rsid w:val="0086218A"/>
    <w:rsid w:val="008632AF"/>
    <w:rsid w:val="00864821"/>
    <w:rsid w:val="008654BA"/>
    <w:rsid w:val="00870AF9"/>
    <w:rsid w:val="00871990"/>
    <w:rsid w:val="00872A2E"/>
    <w:rsid w:val="008749A9"/>
    <w:rsid w:val="00876146"/>
    <w:rsid w:val="0087668B"/>
    <w:rsid w:val="00876868"/>
    <w:rsid w:val="008770F7"/>
    <w:rsid w:val="00880378"/>
    <w:rsid w:val="00880D11"/>
    <w:rsid w:val="00881812"/>
    <w:rsid w:val="00881A23"/>
    <w:rsid w:val="00882C43"/>
    <w:rsid w:val="00882F5E"/>
    <w:rsid w:val="0088409B"/>
    <w:rsid w:val="0088434E"/>
    <w:rsid w:val="0088605D"/>
    <w:rsid w:val="00886E97"/>
    <w:rsid w:val="00887C57"/>
    <w:rsid w:val="00890D42"/>
    <w:rsid w:val="00891FB0"/>
    <w:rsid w:val="008927F9"/>
    <w:rsid w:val="00894211"/>
    <w:rsid w:val="0089774F"/>
    <w:rsid w:val="008A18EE"/>
    <w:rsid w:val="008A1C35"/>
    <w:rsid w:val="008A1C99"/>
    <w:rsid w:val="008A1E91"/>
    <w:rsid w:val="008A2550"/>
    <w:rsid w:val="008A2823"/>
    <w:rsid w:val="008A3153"/>
    <w:rsid w:val="008A383B"/>
    <w:rsid w:val="008A4934"/>
    <w:rsid w:val="008A519B"/>
    <w:rsid w:val="008B1829"/>
    <w:rsid w:val="008B2C6A"/>
    <w:rsid w:val="008B3AED"/>
    <w:rsid w:val="008B6265"/>
    <w:rsid w:val="008B6B7E"/>
    <w:rsid w:val="008C30C7"/>
    <w:rsid w:val="008C34B5"/>
    <w:rsid w:val="008C3736"/>
    <w:rsid w:val="008C4741"/>
    <w:rsid w:val="008C4858"/>
    <w:rsid w:val="008C6F87"/>
    <w:rsid w:val="008C7C2E"/>
    <w:rsid w:val="008D1EFE"/>
    <w:rsid w:val="008D271F"/>
    <w:rsid w:val="008D46D3"/>
    <w:rsid w:val="008D56BF"/>
    <w:rsid w:val="008D572E"/>
    <w:rsid w:val="008D79F4"/>
    <w:rsid w:val="008D7EE7"/>
    <w:rsid w:val="008E1C15"/>
    <w:rsid w:val="008E3C08"/>
    <w:rsid w:val="008E4E6A"/>
    <w:rsid w:val="008E5687"/>
    <w:rsid w:val="008E7DBB"/>
    <w:rsid w:val="008F0B5E"/>
    <w:rsid w:val="008F2D5F"/>
    <w:rsid w:val="008F39C7"/>
    <w:rsid w:val="008F538E"/>
    <w:rsid w:val="008F5551"/>
    <w:rsid w:val="008F6CB0"/>
    <w:rsid w:val="008F7712"/>
    <w:rsid w:val="00900304"/>
    <w:rsid w:val="00900817"/>
    <w:rsid w:val="009008CF"/>
    <w:rsid w:val="00900F40"/>
    <w:rsid w:val="009037EE"/>
    <w:rsid w:val="00904534"/>
    <w:rsid w:val="00904785"/>
    <w:rsid w:val="009047C5"/>
    <w:rsid w:val="009065BE"/>
    <w:rsid w:val="00906A56"/>
    <w:rsid w:val="00912B6E"/>
    <w:rsid w:val="009139FF"/>
    <w:rsid w:val="00913DEE"/>
    <w:rsid w:val="0091486D"/>
    <w:rsid w:val="00914DA0"/>
    <w:rsid w:val="00914F6A"/>
    <w:rsid w:val="00915799"/>
    <w:rsid w:val="00915933"/>
    <w:rsid w:val="00915B66"/>
    <w:rsid w:val="00916D58"/>
    <w:rsid w:val="009173EE"/>
    <w:rsid w:val="0091758D"/>
    <w:rsid w:val="00917D8E"/>
    <w:rsid w:val="00920A32"/>
    <w:rsid w:val="00921674"/>
    <w:rsid w:val="009224E5"/>
    <w:rsid w:val="00922597"/>
    <w:rsid w:val="00922786"/>
    <w:rsid w:val="009234B9"/>
    <w:rsid w:val="00923802"/>
    <w:rsid w:val="009246D0"/>
    <w:rsid w:val="00924C63"/>
    <w:rsid w:val="00927D00"/>
    <w:rsid w:val="009350C1"/>
    <w:rsid w:val="009368B9"/>
    <w:rsid w:val="00937020"/>
    <w:rsid w:val="00940DB9"/>
    <w:rsid w:val="0094567D"/>
    <w:rsid w:val="009458F0"/>
    <w:rsid w:val="009471A0"/>
    <w:rsid w:val="00947622"/>
    <w:rsid w:val="00947A71"/>
    <w:rsid w:val="00951621"/>
    <w:rsid w:val="00952E98"/>
    <w:rsid w:val="0095385A"/>
    <w:rsid w:val="00955202"/>
    <w:rsid w:val="00955B44"/>
    <w:rsid w:val="00956821"/>
    <w:rsid w:val="00964425"/>
    <w:rsid w:val="009658C0"/>
    <w:rsid w:val="00967268"/>
    <w:rsid w:val="00967CD8"/>
    <w:rsid w:val="00970437"/>
    <w:rsid w:val="00971F9D"/>
    <w:rsid w:val="00971FAB"/>
    <w:rsid w:val="009726BB"/>
    <w:rsid w:val="0097606C"/>
    <w:rsid w:val="00976295"/>
    <w:rsid w:val="00981216"/>
    <w:rsid w:val="00982027"/>
    <w:rsid w:val="009820DB"/>
    <w:rsid w:val="0098238F"/>
    <w:rsid w:val="0098489D"/>
    <w:rsid w:val="00984AB9"/>
    <w:rsid w:val="009906BE"/>
    <w:rsid w:val="0099095D"/>
    <w:rsid w:val="009916A7"/>
    <w:rsid w:val="00992127"/>
    <w:rsid w:val="009922C8"/>
    <w:rsid w:val="0099237F"/>
    <w:rsid w:val="0099262B"/>
    <w:rsid w:val="00994DF5"/>
    <w:rsid w:val="00994E2D"/>
    <w:rsid w:val="009976EE"/>
    <w:rsid w:val="009A2B57"/>
    <w:rsid w:val="009A3569"/>
    <w:rsid w:val="009A4826"/>
    <w:rsid w:val="009A60FC"/>
    <w:rsid w:val="009A758C"/>
    <w:rsid w:val="009B4776"/>
    <w:rsid w:val="009B512E"/>
    <w:rsid w:val="009B5190"/>
    <w:rsid w:val="009B61A4"/>
    <w:rsid w:val="009C0D78"/>
    <w:rsid w:val="009C1600"/>
    <w:rsid w:val="009C215D"/>
    <w:rsid w:val="009C31BE"/>
    <w:rsid w:val="009C37DC"/>
    <w:rsid w:val="009C487F"/>
    <w:rsid w:val="009C57EF"/>
    <w:rsid w:val="009C6959"/>
    <w:rsid w:val="009C713B"/>
    <w:rsid w:val="009D3CF6"/>
    <w:rsid w:val="009D4945"/>
    <w:rsid w:val="009D4B2F"/>
    <w:rsid w:val="009D5C7D"/>
    <w:rsid w:val="009D6E69"/>
    <w:rsid w:val="009E30D4"/>
    <w:rsid w:val="009E54F2"/>
    <w:rsid w:val="009E5853"/>
    <w:rsid w:val="009E64D5"/>
    <w:rsid w:val="009F261D"/>
    <w:rsid w:val="009F3602"/>
    <w:rsid w:val="009F5096"/>
    <w:rsid w:val="009F59C2"/>
    <w:rsid w:val="009F78A0"/>
    <w:rsid w:val="00A0103E"/>
    <w:rsid w:val="00A010FC"/>
    <w:rsid w:val="00A02213"/>
    <w:rsid w:val="00A03425"/>
    <w:rsid w:val="00A04977"/>
    <w:rsid w:val="00A04B5C"/>
    <w:rsid w:val="00A05140"/>
    <w:rsid w:val="00A0528D"/>
    <w:rsid w:val="00A066BD"/>
    <w:rsid w:val="00A10053"/>
    <w:rsid w:val="00A11895"/>
    <w:rsid w:val="00A13886"/>
    <w:rsid w:val="00A14415"/>
    <w:rsid w:val="00A146B7"/>
    <w:rsid w:val="00A16FAB"/>
    <w:rsid w:val="00A1798B"/>
    <w:rsid w:val="00A2084E"/>
    <w:rsid w:val="00A228C5"/>
    <w:rsid w:val="00A23693"/>
    <w:rsid w:val="00A23CE5"/>
    <w:rsid w:val="00A2433B"/>
    <w:rsid w:val="00A2439B"/>
    <w:rsid w:val="00A24560"/>
    <w:rsid w:val="00A24834"/>
    <w:rsid w:val="00A27708"/>
    <w:rsid w:val="00A32B79"/>
    <w:rsid w:val="00A3420B"/>
    <w:rsid w:val="00A34538"/>
    <w:rsid w:val="00A350AF"/>
    <w:rsid w:val="00A35AD8"/>
    <w:rsid w:val="00A37C18"/>
    <w:rsid w:val="00A37FB6"/>
    <w:rsid w:val="00A40A28"/>
    <w:rsid w:val="00A42365"/>
    <w:rsid w:val="00A426EC"/>
    <w:rsid w:val="00A452E7"/>
    <w:rsid w:val="00A462AB"/>
    <w:rsid w:val="00A500EF"/>
    <w:rsid w:val="00A51659"/>
    <w:rsid w:val="00A5350E"/>
    <w:rsid w:val="00A5539A"/>
    <w:rsid w:val="00A568F6"/>
    <w:rsid w:val="00A57160"/>
    <w:rsid w:val="00A61297"/>
    <w:rsid w:val="00A612F6"/>
    <w:rsid w:val="00A62322"/>
    <w:rsid w:val="00A65AD5"/>
    <w:rsid w:val="00A7090A"/>
    <w:rsid w:val="00A734C1"/>
    <w:rsid w:val="00A74544"/>
    <w:rsid w:val="00A74CA8"/>
    <w:rsid w:val="00A757E2"/>
    <w:rsid w:val="00A771A5"/>
    <w:rsid w:val="00A82473"/>
    <w:rsid w:val="00A83087"/>
    <w:rsid w:val="00A83E55"/>
    <w:rsid w:val="00A83F78"/>
    <w:rsid w:val="00A8570E"/>
    <w:rsid w:val="00A87ECD"/>
    <w:rsid w:val="00A91BEA"/>
    <w:rsid w:val="00A944C2"/>
    <w:rsid w:val="00A9502E"/>
    <w:rsid w:val="00A95095"/>
    <w:rsid w:val="00A95142"/>
    <w:rsid w:val="00A957B9"/>
    <w:rsid w:val="00A9641E"/>
    <w:rsid w:val="00A97234"/>
    <w:rsid w:val="00AA08E7"/>
    <w:rsid w:val="00AA0B78"/>
    <w:rsid w:val="00AA0BE1"/>
    <w:rsid w:val="00AA2094"/>
    <w:rsid w:val="00AA442B"/>
    <w:rsid w:val="00AA669D"/>
    <w:rsid w:val="00AA7403"/>
    <w:rsid w:val="00AA7503"/>
    <w:rsid w:val="00AB0808"/>
    <w:rsid w:val="00AB3212"/>
    <w:rsid w:val="00AB35A6"/>
    <w:rsid w:val="00AB5852"/>
    <w:rsid w:val="00AB5969"/>
    <w:rsid w:val="00AB5C7F"/>
    <w:rsid w:val="00AB628F"/>
    <w:rsid w:val="00AB6591"/>
    <w:rsid w:val="00AC146A"/>
    <w:rsid w:val="00AC27E8"/>
    <w:rsid w:val="00AC30A0"/>
    <w:rsid w:val="00AC4829"/>
    <w:rsid w:val="00AC514C"/>
    <w:rsid w:val="00AC5690"/>
    <w:rsid w:val="00AC5F3A"/>
    <w:rsid w:val="00AD1A73"/>
    <w:rsid w:val="00AD45E3"/>
    <w:rsid w:val="00AE08F9"/>
    <w:rsid w:val="00AE1539"/>
    <w:rsid w:val="00AE2D2E"/>
    <w:rsid w:val="00AE32F2"/>
    <w:rsid w:val="00AE4B35"/>
    <w:rsid w:val="00AE4C20"/>
    <w:rsid w:val="00AE5ABF"/>
    <w:rsid w:val="00AE61E1"/>
    <w:rsid w:val="00AE6434"/>
    <w:rsid w:val="00AE69A5"/>
    <w:rsid w:val="00AE6C09"/>
    <w:rsid w:val="00AE7779"/>
    <w:rsid w:val="00AF0BEC"/>
    <w:rsid w:val="00AF373E"/>
    <w:rsid w:val="00AF561D"/>
    <w:rsid w:val="00B000D8"/>
    <w:rsid w:val="00B012D7"/>
    <w:rsid w:val="00B02774"/>
    <w:rsid w:val="00B04012"/>
    <w:rsid w:val="00B04E6F"/>
    <w:rsid w:val="00B050B8"/>
    <w:rsid w:val="00B05411"/>
    <w:rsid w:val="00B0753B"/>
    <w:rsid w:val="00B12F06"/>
    <w:rsid w:val="00B13EC0"/>
    <w:rsid w:val="00B16829"/>
    <w:rsid w:val="00B179C1"/>
    <w:rsid w:val="00B20525"/>
    <w:rsid w:val="00B21442"/>
    <w:rsid w:val="00B22E22"/>
    <w:rsid w:val="00B2513E"/>
    <w:rsid w:val="00B2548B"/>
    <w:rsid w:val="00B25E66"/>
    <w:rsid w:val="00B27AD4"/>
    <w:rsid w:val="00B30086"/>
    <w:rsid w:val="00B31F22"/>
    <w:rsid w:val="00B32BCD"/>
    <w:rsid w:val="00B35625"/>
    <w:rsid w:val="00B359ED"/>
    <w:rsid w:val="00B36260"/>
    <w:rsid w:val="00B37C00"/>
    <w:rsid w:val="00B426AA"/>
    <w:rsid w:val="00B44270"/>
    <w:rsid w:val="00B44AD6"/>
    <w:rsid w:val="00B44E8E"/>
    <w:rsid w:val="00B46C42"/>
    <w:rsid w:val="00B51003"/>
    <w:rsid w:val="00B512FD"/>
    <w:rsid w:val="00B525CB"/>
    <w:rsid w:val="00B5487A"/>
    <w:rsid w:val="00B5546E"/>
    <w:rsid w:val="00B5566E"/>
    <w:rsid w:val="00B55851"/>
    <w:rsid w:val="00B5758A"/>
    <w:rsid w:val="00B57B27"/>
    <w:rsid w:val="00B60461"/>
    <w:rsid w:val="00B61B4F"/>
    <w:rsid w:val="00B62A61"/>
    <w:rsid w:val="00B62F95"/>
    <w:rsid w:val="00B633F9"/>
    <w:rsid w:val="00B63872"/>
    <w:rsid w:val="00B63CB2"/>
    <w:rsid w:val="00B641D9"/>
    <w:rsid w:val="00B64EDB"/>
    <w:rsid w:val="00B654E7"/>
    <w:rsid w:val="00B66578"/>
    <w:rsid w:val="00B71C79"/>
    <w:rsid w:val="00B7315F"/>
    <w:rsid w:val="00B750D9"/>
    <w:rsid w:val="00B76967"/>
    <w:rsid w:val="00B77F95"/>
    <w:rsid w:val="00B81F6E"/>
    <w:rsid w:val="00B84416"/>
    <w:rsid w:val="00B84BA7"/>
    <w:rsid w:val="00B85186"/>
    <w:rsid w:val="00B91AF0"/>
    <w:rsid w:val="00B91B8E"/>
    <w:rsid w:val="00B9384C"/>
    <w:rsid w:val="00B93C9A"/>
    <w:rsid w:val="00B94548"/>
    <w:rsid w:val="00B955AB"/>
    <w:rsid w:val="00B95AC8"/>
    <w:rsid w:val="00B9618B"/>
    <w:rsid w:val="00B97E63"/>
    <w:rsid w:val="00BA19D8"/>
    <w:rsid w:val="00BA3286"/>
    <w:rsid w:val="00BA3871"/>
    <w:rsid w:val="00BA4D28"/>
    <w:rsid w:val="00BA4E77"/>
    <w:rsid w:val="00BB3B04"/>
    <w:rsid w:val="00BB3EE8"/>
    <w:rsid w:val="00BB584D"/>
    <w:rsid w:val="00BB7084"/>
    <w:rsid w:val="00BB7E79"/>
    <w:rsid w:val="00BC2704"/>
    <w:rsid w:val="00BC7280"/>
    <w:rsid w:val="00BD120E"/>
    <w:rsid w:val="00BD2036"/>
    <w:rsid w:val="00BD2700"/>
    <w:rsid w:val="00BD78FE"/>
    <w:rsid w:val="00BE0AD3"/>
    <w:rsid w:val="00BE15DA"/>
    <w:rsid w:val="00BE16E8"/>
    <w:rsid w:val="00BE1CEA"/>
    <w:rsid w:val="00BE642B"/>
    <w:rsid w:val="00BE67A9"/>
    <w:rsid w:val="00BE72D6"/>
    <w:rsid w:val="00BF31BA"/>
    <w:rsid w:val="00BF5E9C"/>
    <w:rsid w:val="00BF6D9D"/>
    <w:rsid w:val="00BF7724"/>
    <w:rsid w:val="00C00B9C"/>
    <w:rsid w:val="00C014AB"/>
    <w:rsid w:val="00C0241E"/>
    <w:rsid w:val="00C02CA7"/>
    <w:rsid w:val="00C0362B"/>
    <w:rsid w:val="00C03773"/>
    <w:rsid w:val="00C0469E"/>
    <w:rsid w:val="00C055D5"/>
    <w:rsid w:val="00C06A57"/>
    <w:rsid w:val="00C06B30"/>
    <w:rsid w:val="00C07B9B"/>
    <w:rsid w:val="00C126E0"/>
    <w:rsid w:val="00C1486D"/>
    <w:rsid w:val="00C170AF"/>
    <w:rsid w:val="00C17E35"/>
    <w:rsid w:val="00C20738"/>
    <w:rsid w:val="00C20AB9"/>
    <w:rsid w:val="00C220CE"/>
    <w:rsid w:val="00C22BB6"/>
    <w:rsid w:val="00C24150"/>
    <w:rsid w:val="00C245B6"/>
    <w:rsid w:val="00C24D7E"/>
    <w:rsid w:val="00C269AB"/>
    <w:rsid w:val="00C27711"/>
    <w:rsid w:val="00C3033B"/>
    <w:rsid w:val="00C309CE"/>
    <w:rsid w:val="00C32119"/>
    <w:rsid w:val="00C34208"/>
    <w:rsid w:val="00C366C4"/>
    <w:rsid w:val="00C373C2"/>
    <w:rsid w:val="00C374F0"/>
    <w:rsid w:val="00C404E4"/>
    <w:rsid w:val="00C42508"/>
    <w:rsid w:val="00C42C10"/>
    <w:rsid w:val="00C42D9F"/>
    <w:rsid w:val="00C4437C"/>
    <w:rsid w:val="00C50170"/>
    <w:rsid w:val="00C50A4B"/>
    <w:rsid w:val="00C5372F"/>
    <w:rsid w:val="00C54BAF"/>
    <w:rsid w:val="00C6465E"/>
    <w:rsid w:val="00C64A86"/>
    <w:rsid w:val="00C64E43"/>
    <w:rsid w:val="00C6552A"/>
    <w:rsid w:val="00C65533"/>
    <w:rsid w:val="00C70B9D"/>
    <w:rsid w:val="00C75629"/>
    <w:rsid w:val="00C758C6"/>
    <w:rsid w:val="00C76212"/>
    <w:rsid w:val="00C76AD9"/>
    <w:rsid w:val="00C77849"/>
    <w:rsid w:val="00C77F03"/>
    <w:rsid w:val="00C818AF"/>
    <w:rsid w:val="00C81ADC"/>
    <w:rsid w:val="00C81F3D"/>
    <w:rsid w:val="00C822C2"/>
    <w:rsid w:val="00C841DD"/>
    <w:rsid w:val="00C8458D"/>
    <w:rsid w:val="00C8725E"/>
    <w:rsid w:val="00C9106A"/>
    <w:rsid w:val="00C91242"/>
    <w:rsid w:val="00C9585F"/>
    <w:rsid w:val="00C96C1B"/>
    <w:rsid w:val="00C97AAA"/>
    <w:rsid w:val="00CA059D"/>
    <w:rsid w:val="00CA2C72"/>
    <w:rsid w:val="00CA6FB7"/>
    <w:rsid w:val="00CA7385"/>
    <w:rsid w:val="00CB0765"/>
    <w:rsid w:val="00CB2B36"/>
    <w:rsid w:val="00CB2C0F"/>
    <w:rsid w:val="00CB42FC"/>
    <w:rsid w:val="00CB5943"/>
    <w:rsid w:val="00CB619A"/>
    <w:rsid w:val="00CB63B3"/>
    <w:rsid w:val="00CC00CD"/>
    <w:rsid w:val="00CC0339"/>
    <w:rsid w:val="00CC0B3D"/>
    <w:rsid w:val="00CC0E85"/>
    <w:rsid w:val="00CC4DF1"/>
    <w:rsid w:val="00CC748E"/>
    <w:rsid w:val="00CD2B8C"/>
    <w:rsid w:val="00CD4A86"/>
    <w:rsid w:val="00CD5576"/>
    <w:rsid w:val="00CD7E27"/>
    <w:rsid w:val="00CE12E2"/>
    <w:rsid w:val="00CE15B5"/>
    <w:rsid w:val="00CE2805"/>
    <w:rsid w:val="00CE4E6E"/>
    <w:rsid w:val="00CE7A1A"/>
    <w:rsid w:val="00CF02E0"/>
    <w:rsid w:val="00CF0701"/>
    <w:rsid w:val="00CF600D"/>
    <w:rsid w:val="00CF7275"/>
    <w:rsid w:val="00CF7A13"/>
    <w:rsid w:val="00D01760"/>
    <w:rsid w:val="00D01EBF"/>
    <w:rsid w:val="00D06596"/>
    <w:rsid w:val="00D077EB"/>
    <w:rsid w:val="00D078B8"/>
    <w:rsid w:val="00D10800"/>
    <w:rsid w:val="00D12085"/>
    <w:rsid w:val="00D13D5F"/>
    <w:rsid w:val="00D15B95"/>
    <w:rsid w:val="00D16E39"/>
    <w:rsid w:val="00D170B9"/>
    <w:rsid w:val="00D17379"/>
    <w:rsid w:val="00D1798A"/>
    <w:rsid w:val="00D21C43"/>
    <w:rsid w:val="00D220D3"/>
    <w:rsid w:val="00D2214A"/>
    <w:rsid w:val="00D223B6"/>
    <w:rsid w:val="00D22BEB"/>
    <w:rsid w:val="00D23AD8"/>
    <w:rsid w:val="00D2423E"/>
    <w:rsid w:val="00D2686C"/>
    <w:rsid w:val="00D26B57"/>
    <w:rsid w:val="00D32A50"/>
    <w:rsid w:val="00D350DE"/>
    <w:rsid w:val="00D35FC1"/>
    <w:rsid w:val="00D41655"/>
    <w:rsid w:val="00D41EE1"/>
    <w:rsid w:val="00D42298"/>
    <w:rsid w:val="00D4320D"/>
    <w:rsid w:val="00D44E97"/>
    <w:rsid w:val="00D460D9"/>
    <w:rsid w:val="00D47709"/>
    <w:rsid w:val="00D506C0"/>
    <w:rsid w:val="00D53894"/>
    <w:rsid w:val="00D53C6C"/>
    <w:rsid w:val="00D54876"/>
    <w:rsid w:val="00D54C45"/>
    <w:rsid w:val="00D60327"/>
    <w:rsid w:val="00D641C3"/>
    <w:rsid w:val="00D64981"/>
    <w:rsid w:val="00D650B5"/>
    <w:rsid w:val="00D66C4F"/>
    <w:rsid w:val="00D679D8"/>
    <w:rsid w:val="00D7075B"/>
    <w:rsid w:val="00D710B9"/>
    <w:rsid w:val="00D71D22"/>
    <w:rsid w:val="00D72126"/>
    <w:rsid w:val="00D72E9D"/>
    <w:rsid w:val="00D73FA7"/>
    <w:rsid w:val="00D74765"/>
    <w:rsid w:val="00D7568C"/>
    <w:rsid w:val="00D7727A"/>
    <w:rsid w:val="00D82CE5"/>
    <w:rsid w:val="00D84FE0"/>
    <w:rsid w:val="00D85C8F"/>
    <w:rsid w:val="00D87181"/>
    <w:rsid w:val="00D8736E"/>
    <w:rsid w:val="00D90EFA"/>
    <w:rsid w:val="00D914DB"/>
    <w:rsid w:val="00D92770"/>
    <w:rsid w:val="00D93287"/>
    <w:rsid w:val="00D94D04"/>
    <w:rsid w:val="00D970D3"/>
    <w:rsid w:val="00D978B4"/>
    <w:rsid w:val="00D97DDD"/>
    <w:rsid w:val="00DA41EF"/>
    <w:rsid w:val="00DA583D"/>
    <w:rsid w:val="00DA5AB1"/>
    <w:rsid w:val="00DA7B6E"/>
    <w:rsid w:val="00DA7CCA"/>
    <w:rsid w:val="00DB0DFA"/>
    <w:rsid w:val="00DB1542"/>
    <w:rsid w:val="00DB28B8"/>
    <w:rsid w:val="00DB3D31"/>
    <w:rsid w:val="00DB6234"/>
    <w:rsid w:val="00DB68F9"/>
    <w:rsid w:val="00DC02B2"/>
    <w:rsid w:val="00DC1562"/>
    <w:rsid w:val="00DC2AFD"/>
    <w:rsid w:val="00DC3544"/>
    <w:rsid w:val="00DC3A87"/>
    <w:rsid w:val="00DC4E41"/>
    <w:rsid w:val="00DC62E5"/>
    <w:rsid w:val="00DC743F"/>
    <w:rsid w:val="00DD0BB0"/>
    <w:rsid w:val="00DD32A0"/>
    <w:rsid w:val="00DD3E02"/>
    <w:rsid w:val="00DD3E55"/>
    <w:rsid w:val="00DD451F"/>
    <w:rsid w:val="00DD46ED"/>
    <w:rsid w:val="00DD47A2"/>
    <w:rsid w:val="00DD652D"/>
    <w:rsid w:val="00DD6845"/>
    <w:rsid w:val="00DD6847"/>
    <w:rsid w:val="00DD735D"/>
    <w:rsid w:val="00DD7FA8"/>
    <w:rsid w:val="00DE247F"/>
    <w:rsid w:val="00DE308A"/>
    <w:rsid w:val="00DE3119"/>
    <w:rsid w:val="00DE3139"/>
    <w:rsid w:val="00DE5BCA"/>
    <w:rsid w:val="00DE6872"/>
    <w:rsid w:val="00DF20FB"/>
    <w:rsid w:val="00DF2128"/>
    <w:rsid w:val="00DF236B"/>
    <w:rsid w:val="00DF2804"/>
    <w:rsid w:val="00DF28C7"/>
    <w:rsid w:val="00DF3553"/>
    <w:rsid w:val="00DF3F8D"/>
    <w:rsid w:val="00DF64F5"/>
    <w:rsid w:val="00DF6AA5"/>
    <w:rsid w:val="00DF7086"/>
    <w:rsid w:val="00DF7F9E"/>
    <w:rsid w:val="00E00221"/>
    <w:rsid w:val="00E0048D"/>
    <w:rsid w:val="00E018F9"/>
    <w:rsid w:val="00E04A52"/>
    <w:rsid w:val="00E057C5"/>
    <w:rsid w:val="00E0677C"/>
    <w:rsid w:val="00E06A8D"/>
    <w:rsid w:val="00E10879"/>
    <w:rsid w:val="00E13AB8"/>
    <w:rsid w:val="00E13D3F"/>
    <w:rsid w:val="00E1640E"/>
    <w:rsid w:val="00E16924"/>
    <w:rsid w:val="00E234D7"/>
    <w:rsid w:val="00E25CB3"/>
    <w:rsid w:val="00E27E15"/>
    <w:rsid w:val="00E3074B"/>
    <w:rsid w:val="00E31A47"/>
    <w:rsid w:val="00E32A49"/>
    <w:rsid w:val="00E33B62"/>
    <w:rsid w:val="00E34106"/>
    <w:rsid w:val="00E34DEB"/>
    <w:rsid w:val="00E354CF"/>
    <w:rsid w:val="00E356D7"/>
    <w:rsid w:val="00E36139"/>
    <w:rsid w:val="00E40D14"/>
    <w:rsid w:val="00E4143A"/>
    <w:rsid w:val="00E41823"/>
    <w:rsid w:val="00E41943"/>
    <w:rsid w:val="00E42461"/>
    <w:rsid w:val="00E42761"/>
    <w:rsid w:val="00E43624"/>
    <w:rsid w:val="00E44610"/>
    <w:rsid w:val="00E46137"/>
    <w:rsid w:val="00E50774"/>
    <w:rsid w:val="00E510C7"/>
    <w:rsid w:val="00E5199E"/>
    <w:rsid w:val="00E51CF8"/>
    <w:rsid w:val="00E53B77"/>
    <w:rsid w:val="00E54365"/>
    <w:rsid w:val="00E5462E"/>
    <w:rsid w:val="00E56EC0"/>
    <w:rsid w:val="00E57652"/>
    <w:rsid w:val="00E62C10"/>
    <w:rsid w:val="00E631C7"/>
    <w:rsid w:val="00E65BDD"/>
    <w:rsid w:val="00E66455"/>
    <w:rsid w:val="00E70C4B"/>
    <w:rsid w:val="00E73728"/>
    <w:rsid w:val="00E73C2F"/>
    <w:rsid w:val="00E73F9E"/>
    <w:rsid w:val="00E742E7"/>
    <w:rsid w:val="00E76013"/>
    <w:rsid w:val="00E76D64"/>
    <w:rsid w:val="00E76DD0"/>
    <w:rsid w:val="00E81CD9"/>
    <w:rsid w:val="00E81FD0"/>
    <w:rsid w:val="00E87FB5"/>
    <w:rsid w:val="00E91B88"/>
    <w:rsid w:val="00E9622C"/>
    <w:rsid w:val="00E96F1A"/>
    <w:rsid w:val="00EA0C86"/>
    <w:rsid w:val="00EA2E7A"/>
    <w:rsid w:val="00EA3761"/>
    <w:rsid w:val="00EA3B8E"/>
    <w:rsid w:val="00EA4951"/>
    <w:rsid w:val="00EB03A0"/>
    <w:rsid w:val="00EB0D38"/>
    <w:rsid w:val="00EB23D0"/>
    <w:rsid w:val="00EB2CBD"/>
    <w:rsid w:val="00EB5263"/>
    <w:rsid w:val="00EB5408"/>
    <w:rsid w:val="00EB55EE"/>
    <w:rsid w:val="00EB5A79"/>
    <w:rsid w:val="00EB72FC"/>
    <w:rsid w:val="00EC5592"/>
    <w:rsid w:val="00EC5B1B"/>
    <w:rsid w:val="00EC77E0"/>
    <w:rsid w:val="00ED0181"/>
    <w:rsid w:val="00ED05A8"/>
    <w:rsid w:val="00ED0D83"/>
    <w:rsid w:val="00ED18C9"/>
    <w:rsid w:val="00ED1921"/>
    <w:rsid w:val="00ED1A5E"/>
    <w:rsid w:val="00ED21E1"/>
    <w:rsid w:val="00ED2C7A"/>
    <w:rsid w:val="00ED5E7E"/>
    <w:rsid w:val="00ED6D48"/>
    <w:rsid w:val="00EE084F"/>
    <w:rsid w:val="00EE2C9C"/>
    <w:rsid w:val="00EE336A"/>
    <w:rsid w:val="00EE4DB1"/>
    <w:rsid w:val="00EE59B5"/>
    <w:rsid w:val="00EE6A82"/>
    <w:rsid w:val="00EE75CC"/>
    <w:rsid w:val="00EE7C1A"/>
    <w:rsid w:val="00EF0420"/>
    <w:rsid w:val="00EF169E"/>
    <w:rsid w:val="00EF1F7B"/>
    <w:rsid w:val="00EF28A9"/>
    <w:rsid w:val="00EF2D58"/>
    <w:rsid w:val="00EF3258"/>
    <w:rsid w:val="00EF3F42"/>
    <w:rsid w:val="00EF4E3B"/>
    <w:rsid w:val="00EF5547"/>
    <w:rsid w:val="00EF5E27"/>
    <w:rsid w:val="00EF64D8"/>
    <w:rsid w:val="00EF6FEA"/>
    <w:rsid w:val="00F0076F"/>
    <w:rsid w:val="00F01990"/>
    <w:rsid w:val="00F04156"/>
    <w:rsid w:val="00F04D40"/>
    <w:rsid w:val="00F05E5B"/>
    <w:rsid w:val="00F0608C"/>
    <w:rsid w:val="00F06296"/>
    <w:rsid w:val="00F074DD"/>
    <w:rsid w:val="00F0774D"/>
    <w:rsid w:val="00F077AE"/>
    <w:rsid w:val="00F10954"/>
    <w:rsid w:val="00F11955"/>
    <w:rsid w:val="00F11D29"/>
    <w:rsid w:val="00F128BC"/>
    <w:rsid w:val="00F16AE2"/>
    <w:rsid w:val="00F172E0"/>
    <w:rsid w:val="00F2035B"/>
    <w:rsid w:val="00F2107D"/>
    <w:rsid w:val="00F21B2C"/>
    <w:rsid w:val="00F21BA2"/>
    <w:rsid w:val="00F21D09"/>
    <w:rsid w:val="00F24230"/>
    <w:rsid w:val="00F26F3C"/>
    <w:rsid w:val="00F26F4E"/>
    <w:rsid w:val="00F301AD"/>
    <w:rsid w:val="00F3110C"/>
    <w:rsid w:val="00F33364"/>
    <w:rsid w:val="00F34431"/>
    <w:rsid w:val="00F34C8E"/>
    <w:rsid w:val="00F34CBA"/>
    <w:rsid w:val="00F3533F"/>
    <w:rsid w:val="00F3791E"/>
    <w:rsid w:val="00F42CA4"/>
    <w:rsid w:val="00F43A17"/>
    <w:rsid w:val="00F43A68"/>
    <w:rsid w:val="00F476A9"/>
    <w:rsid w:val="00F5101F"/>
    <w:rsid w:val="00F51E02"/>
    <w:rsid w:val="00F520D5"/>
    <w:rsid w:val="00F536CD"/>
    <w:rsid w:val="00F53A47"/>
    <w:rsid w:val="00F55F3A"/>
    <w:rsid w:val="00F574CC"/>
    <w:rsid w:val="00F6029C"/>
    <w:rsid w:val="00F6064F"/>
    <w:rsid w:val="00F61B1D"/>
    <w:rsid w:val="00F61C41"/>
    <w:rsid w:val="00F61F32"/>
    <w:rsid w:val="00F64812"/>
    <w:rsid w:val="00F65EC5"/>
    <w:rsid w:val="00F6751F"/>
    <w:rsid w:val="00F73D70"/>
    <w:rsid w:val="00F764CE"/>
    <w:rsid w:val="00F77855"/>
    <w:rsid w:val="00F80D0F"/>
    <w:rsid w:val="00F80E8A"/>
    <w:rsid w:val="00F84899"/>
    <w:rsid w:val="00F859F0"/>
    <w:rsid w:val="00F90DB0"/>
    <w:rsid w:val="00F91287"/>
    <w:rsid w:val="00F91CA1"/>
    <w:rsid w:val="00F92D53"/>
    <w:rsid w:val="00F93250"/>
    <w:rsid w:val="00F94805"/>
    <w:rsid w:val="00F94B44"/>
    <w:rsid w:val="00F95598"/>
    <w:rsid w:val="00F95FAB"/>
    <w:rsid w:val="00FA0BE5"/>
    <w:rsid w:val="00FA1420"/>
    <w:rsid w:val="00FA15DA"/>
    <w:rsid w:val="00FA1947"/>
    <w:rsid w:val="00FA28BF"/>
    <w:rsid w:val="00FA3221"/>
    <w:rsid w:val="00FA63A7"/>
    <w:rsid w:val="00FA6B54"/>
    <w:rsid w:val="00FB48C5"/>
    <w:rsid w:val="00FB5E3B"/>
    <w:rsid w:val="00FC08AD"/>
    <w:rsid w:val="00FC16AE"/>
    <w:rsid w:val="00FC4AF7"/>
    <w:rsid w:val="00FC5EB6"/>
    <w:rsid w:val="00FD2088"/>
    <w:rsid w:val="00FD2829"/>
    <w:rsid w:val="00FD2EA3"/>
    <w:rsid w:val="00FD3F65"/>
    <w:rsid w:val="00FD461D"/>
    <w:rsid w:val="00FD46B4"/>
    <w:rsid w:val="00FD4AA4"/>
    <w:rsid w:val="00FD5F1B"/>
    <w:rsid w:val="00FD7084"/>
    <w:rsid w:val="00FD7D17"/>
    <w:rsid w:val="00FE07B7"/>
    <w:rsid w:val="00FE094E"/>
    <w:rsid w:val="00FE0B32"/>
    <w:rsid w:val="00FE141E"/>
    <w:rsid w:val="00FE1C75"/>
    <w:rsid w:val="00FE1E34"/>
    <w:rsid w:val="00FE38FF"/>
    <w:rsid w:val="00FE42ED"/>
    <w:rsid w:val="00FE4C26"/>
    <w:rsid w:val="00FE4EF2"/>
    <w:rsid w:val="00FE63C7"/>
    <w:rsid w:val="00FE759E"/>
    <w:rsid w:val="00FE7664"/>
    <w:rsid w:val="00FF1C68"/>
    <w:rsid w:val="00FF4164"/>
    <w:rsid w:val="00FF485B"/>
    <w:rsid w:val="00FF4CB9"/>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2"/>
    <w:pPr>
      <w:spacing w:before="0" w:after="0" w:line="240" w:lineRule="auto"/>
      <w:jc w:val="left"/>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504353">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93744512">
      <w:bodyDiv w:val="1"/>
      <w:marLeft w:val="0"/>
      <w:marRight w:val="0"/>
      <w:marTop w:val="0"/>
      <w:marBottom w:val="0"/>
      <w:divBdr>
        <w:top w:val="none" w:sz="0" w:space="0" w:color="auto"/>
        <w:left w:val="none" w:sz="0" w:space="0" w:color="auto"/>
        <w:bottom w:val="none" w:sz="0" w:space="0" w:color="auto"/>
        <w:right w:val="none" w:sz="0" w:space="0" w:color="auto"/>
      </w:divBdr>
    </w:div>
    <w:div w:id="94375242">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5646244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46564690">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469787518">
      <w:bodyDiv w:val="1"/>
      <w:marLeft w:val="0"/>
      <w:marRight w:val="0"/>
      <w:marTop w:val="0"/>
      <w:marBottom w:val="0"/>
      <w:divBdr>
        <w:top w:val="none" w:sz="0" w:space="0" w:color="auto"/>
        <w:left w:val="none" w:sz="0" w:space="0" w:color="auto"/>
        <w:bottom w:val="none" w:sz="0" w:space="0" w:color="auto"/>
        <w:right w:val="none" w:sz="0" w:space="0" w:color="auto"/>
      </w:divBdr>
    </w:div>
    <w:div w:id="496309153">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649254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826">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61217209">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01673658">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3967672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36738959">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066427">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70565204">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82">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1543459">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24600835">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54940571">
      <w:bodyDiv w:val="1"/>
      <w:marLeft w:val="0"/>
      <w:marRight w:val="0"/>
      <w:marTop w:val="0"/>
      <w:marBottom w:val="0"/>
      <w:divBdr>
        <w:top w:val="none" w:sz="0" w:space="0" w:color="auto"/>
        <w:left w:val="none" w:sz="0" w:space="0" w:color="auto"/>
        <w:bottom w:val="none" w:sz="0" w:space="0" w:color="auto"/>
        <w:right w:val="none" w:sz="0" w:space="0" w:color="auto"/>
      </w:divBdr>
    </w:div>
    <w:div w:id="2016108594">
      <w:bodyDiv w:val="1"/>
      <w:marLeft w:val="0"/>
      <w:marRight w:val="0"/>
      <w:marTop w:val="0"/>
      <w:marBottom w:val="0"/>
      <w:divBdr>
        <w:top w:val="none" w:sz="0" w:space="0" w:color="auto"/>
        <w:left w:val="none" w:sz="0" w:space="0" w:color="auto"/>
        <w:bottom w:val="none" w:sz="0" w:space="0" w:color="auto"/>
        <w:right w:val="none" w:sz="0" w:space="0" w:color="auto"/>
      </w:divBdr>
    </w:div>
    <w:div w:id="2041316034">
      <w:bodyDiv w:val="1"/>
      <w:marLeft w:val="0"/>
      <w:marRight w:val="0"/>
      <w:marTop w:val="0"/>
      <w:marBottom w:val="0"/>
      <w:divBdr>
        <w:top w:val="none" w:sz="0" w:space="0" w:color="auto"/>
        <w:left w:val="none" w:sz="0" w:space="0" w:color="auto"/>
        <w:bottom w:val="none" w:sz="0" w:space="0" w:color="auto"/>
        <w:right w:val="none" w:sz="0" w:space="0" w:color="auto"/>
      </w:divBdr>
    </w:div>
    <w:div w:id="208201915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4894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48943" TargetMode="External"/><Relationship Id="rId5" Type="http://schemas.openxmlformats.org/officeDocument/2006/relationships/numbering" Target="numbering.xml"/><Relationship Id="rId15" Type="http://schemas.openxmlformats.org/officeDocument/2006/relationships/hyperlink" Target="https://funcionpublica.gov.co/eva/gestornormativo/norma.php?i=1317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489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funcionpublica.gov.co/eva/gestornormativo/norma.php?i=13172" TargetMode="External"/><Relationship Id="rId1" Type="http://schemas.openxmlformats.org/officeDocument/2006/relationships/hyperlink" Target="https://www.funcionpublica.gov.co/eva/gestornormativo/norma.php?i=182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2B0DF-6DE6-420F-AE2E-E307AA83F7B2}">
  <ds:schemaRefs>
    <ds:schemaRef ds:uri="http://schemas.openxmlformats.org/officeDocument/2006/bibliography"/>
  </ds:schemaRefs>
</ds:datastoreItem>
</file>

<file path=customXml/itemProps2.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30FE69E3-6527-4752-A140-4B3AFE185ECB}"/>
</file>

<file path=docProps/app.xml><?xml version="1.0" encoding="utf-8"?>
<Properties xmlns="http://schemas.openxmlformats.org/officeDocument/2006/extended-properties" xmlns:vt="http://schemas.openxmlformats.org/officeDocument/2006/docPropsVTypes">
  <Template>Respuesta a consultas</Template>
  <TotalTime>7</TotalTime>
  <Pages>17</Pages>
  <Words>6111</Words>
  <Characters>33614</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Diana Fabiola Herrera Hernandez</cp:lastModifiedBy>
  <cp:revision>7</cp:revision>
  <cp:lastPrinted>2020-01-30T15:05:00Z</cp:lastPrinted>
  <dcterms:created xsi:type="dcterms:W3CDTF">2022-03-23T03:41:00Z</dcterms:created>
  <dcterms:modified xsi:type="dcterms:W3CDTF">2022-03-23T03:48:00Z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