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4FD7" w14:textId="77777777" w:rsidR="009C3282" w:rsidRPr="0077525B" w:rsidRDefault="009C3282" w:rsidP="009C3282">
      <w:pPr>
        <w:jc w:val="right"/>
        <w:rPr>
          <w:rFonts w:ascii="Arial" w:eastAsia="Calibri" w:hAnsi="Arial" w:cs="Arial"/>
          <w:b/>
          <w:sz w:val="20"/>
          <w:szCs w:val="20"/>
          <w:lang w:val="es-ES_tradnl"/>
        </w:rPr>
      </w:pPr>
      <w:bookmarkStart w:id="0" w:name="_Hlk28946138"/>
      <w:bookmarkStart w:id="1" w:name="_Hlk29548183"/>
      <w:r w:rsidRPr="0077525B">
        <w:rPr>
          <w:rFonts w:ascii="Arial" w:hAnsi="Arial" w:cs="Arial"/>
          <w:bCs/>
          <w:sz w:val="16"/>
          <w:szCs w:val="16"/>
          <w:lang w:val="es-ES_tradnl" w:eastAsia="es-ES"/>
        </w:rPr>
        <w:t>CCE-DES-FM-17</w:t>
      </w:r>
    </w:p>
    <w:bookmarkEnd w:id="0"/>
    <w:bookmarkEnd w:id="1"/>
    <w:p w14:paraId="149CDF3F" w14:textId="77777777" w:rsidR="009C3282" w:rsidRPr="0077525B" w:rsidRDefault="009C3282" w:rsidP="009C3282">
      <w:pPr>
        <w:jc w:val="both"/>
        <w:rPr>
          <w:rFonts w:ascii="Arial" w:eastAsia="Calibri" w:hAnsi="Arial" w:cs="Arial"/>
          <w:b/>
          <w:bCs/>
          <w:sz w:val="22"/>
          <w:lang w:val="es-ES_tradnl"/>
        </w:rPr>
      </w:pPr>
    </w:p>
    <w:p w14:paraId="612D3C57" w14:textId="77777777" w:rsidR="009C3282" w:rsidRPr="0077525B" w:rsidRDefault="009C3282" w:rsidP="009C3282">
      <w:pPr>
        <w:jc w:val="both"/>
        <w:rPr>
          <w:rFonts w:ascii="Arial" w:eastAsia="Calibri" w:hAnsi="Arial" w:cs="Arial"/>
          <w:b/>
          <w:sz w:val="22"/>
        </w:rPr>
      </w:pPr>
      <w:r w:rsidRPr="0077525B">
        <w:rPr>
          <w:rFonts w:ascii="Arial" w:eastAsia="Calibri" w:hAnsi="Arial" w:cs="Arial"/>
          <w:b/>
          <w:sz w:val="22"/>
        </w:rPr>
        <w:t xml:space="preserve">ASOCIACIONES PÚBLICO PRIVADAS – Formas de colaboración </w:t>
      </w:r>
    </w:p>
    <w:p w14:paraId="1F70C840" w14:textId="77777777" w:rsidR="009C3282" w:rsidRPr="0077525B" w:rsidRDefault="009C3282" w:rsidP="009C3282">
      <w:pPr>
        <w:tabs>
          <w:tab w:val="left" w:pos="1816"/>
        </w:tabs>
        <w:jc w:val="both"/>
        <w:rPr>
          <w:rFonts w:ascii="Arial" w:eastAsia="Calibri" w:hAnsi="Arial" w:cs="Arial"/>
          <w:b/>
          <w:sz w:val="22"/>
        </w:rPr>
      </w:pPr>
      <w:r w:rsidRPr="0077525B">
        <w:rPr>
          <w:rFonts w:ascii="Arial" w:eastAsia="Calibri" w:hAnsi="Arial" w:cs="Arial"/>
          <w:b/>
          <w:sz w:val="22"/>
        </w:rPr>
        <w:t xml:space="preserve"> </w:t>
      </w:r>
      <w:r w:rsidRPr="0077525B">
        <w:rPr>
          <w:rFonts w:ascii="Arial" w:eastAsia="Calibri" w:hAnsi="Arial" w:cs="Arial"/>
          <w:b/>
          <w:sz w:val="22"/>
        </w:rPr>
        <w:tab/>
      </w:r>
      <w:r w:rsidRPr="0077525B">
        <w:rPr>
          <w:rFonts w:ascii="Arial" w:eastAsia="Calibri" w:hAnsi="Arial" w:cs="Arial"/>
          <w:sz w:val="20"/>
          <w:szCs w:val="20"/>
        </w:rPr>
        <w:t xml:space="preserve"> </w:t>
      </w:r>
    </w:p>
    <w:p w14:paraId="44BEEF47" w14:textId="77777777" w:rsidR="009C3282" w:rsidRPr="0077525B" w:rsidRDefault="009C3282" w:rsidP="009C3282">
      <w:pPr>
        <w:jc w:val="both"/>
        <w:rPr>
          <w:rFonts w:ascii="Arial" w:eastAsia="Calibri" w:hAnsi="Arial" w:cs="Arial"/>
          <w:sz w:val="20"/>
          <w:szCs w:val="20"/>
        </w:rPr>
      </w:pPr>
      <w:r w:rsidRPr="0077525B">
        <w:rPr>
          <w:rFonts w:ascii="Arial" w:eastAsia="Calibri" w:hAnsi="Arial" w:cs="Arial"/>
          <w:sz w:val="20"/>
          <w:szCs w:val="20"/>
        </w:rPr>
        <w:t>Las asociaciones público privadas – APP– son formas de colaboración entre el sector público y el privado para la ejecución de proyectos estatales, a través de las cuales se retienen y transfieren riesgos entre las partes. Se trata de modalidades de negocio en las cuales la disponibilidad y el nivel de la infraestructura o servicio resultan determinantes. Así lo consideró la Corte Constitucional, expresando lo siguiente:</w:t>
      </w:r>
    </w:p>
    <w:p w14:paraId="6BEE6130" w14:textId="77777777" w:rsidR="009C3282" w:rsidRPr="0077525B" w:rsidRDefault="009C3282" w:rsidP="009C3282">
      <w:pPr>
        <w:jc w:val="both"/>
        <w:rPr>
          <w:rFonts w:ascii="Arial" w:eastAsia="Calibri" w:hAnsi="Arial" w:cs="Arial"/>
          <w:sz w:val="20"/>
          <w:szCs w:val="20"/>
        </w:rPr>
      </w:pPr>
    </w:p>
    <w:p w14:paraId="33136BF2" w14:textId="77777777" w:rsidR="009C3282" w:rsidRPr="0077525B" w:rsidRDefault="009C3282" w:rsidP="009C3282">
      <w:pPr>
        <w:jc w:val="both"/>
        <w:rPr>
          <w:rFonts w:ascii="Arial" w:hAnsi="Arial" w:cs="Arial"/>
          <w:noProof/>
          <w:sz w:val="22"/>
        </w:rPr>
      </w:pPr>
      <w:r w:rsidRPr="0077525B">
        <w:rPr>
          <w:rFonts w:ascii="Arial" w:eastAsia="Calibri" w:hAnsi="Arial" w:cs="Arial"/>
          <w:sz w:val="20"/>
          <w:szCs w:val="20"/>
        </w:rPr>
        <w:t>Las APP se caracterizan por: (i) tener una larga duración; (ii) definir sus objetos alrededor de proyectos, lo que conlleva la previsión de actividades como el diseño, construcción y mantenimiento de la infraestructura pública sobre la que verse el contrato y/o los servicios asociados; (iii) contar con financiación privada o público-privada; (iv) establecer como forma de remuneración el otorgamiento del derecho a la explotación de la infraestructura o servicio, aunque en algunos casos es posible pactar el desembolso de recursos públicos; (v) condicionar la remuneración a niveles de calidad; (vi) trasladar parte importante de los riesgos al contratista –por ejemplo, los asociados al diseño, niveles de demanda, deterioro y mantenimiento de la infraestructura- según su capacidad y experiencia; y (vii) distribuir las tareas entre las partes de acuerdo con su experiencia y ventaja competitiva.</w:t>
      </w:r>
    </w:p>
    <w:p w14:paraId="0B20DFFC" w14:textId="77777777" w:rsidR="009C3282" w:rsidRPr="0077525B" w:rsidRDefault="009C3282" w:rsidP="009C3282">
      <w:pPr>
        <w:jc w:val="both"/>
        <w:rPr>
          <w:rFonts w:ascii="Arial" w:eastAsia="Calibri" w:hAnsi="Arial" w:cs="Arial"/>
          <w:b/>
          <w:sz w:val="22"/>
        </w:rPr>
      </w:pPr>
    </w:p>
    <w:p w14:paraId="073D7B73" w14:textId="77777777" w:rsidR="009C3282" w:rsidRPr="0077525B" w:rsidRDefault="009C3282" w:rsidP="009C3282">
      <w:pPr>
        <w:jc w:val="both"/>
        <w:rPr>
          <w:rFonts w:ascii="Arial" w:eastAsia="Calibri" w:hAnsi="Arial" w:cs="Arial"/>
          <w:b/>
          <w:sz w:val="22"/>
        </w:rPr>
      </w:pPr>
      <w:r w:rsidRPr="0077525B">
        <w:rPr>
          <w:rFonts w:ascii="Arial" w:eastAsia="Calibri" w:hAnsi="Arial" w:cs="Arial"/>
          <w:b/>
          <w:sz w:val="22"/>
        </w:rPr>
        <w:t>ASOCIACIONES PÚBLICO PRIVADAS – Concepto – Ley 1508 de 2012</w:t>
      </w:r>
    </w:p>
    <w:p w14:paraId="5CB5A765" w14:textId="77777777" w:rsidR="009C3282" w:rsidRPr="0077525B" w:rsidRDefault="009C3282" w:rsidP="009C3282">
      <w:pPr>
        <w:jc w:val="both"/>
        <w:rPr>
          <w:rFonts w:ascii="Arial" w:hAnsi="Arial" w:cs="Arial"/>
          <w:noProof/>
          <w:sz w:val="22"/>
          <w:lang w:val="es-ES_tradnl"/>
        </w:rPr>
      </w:pPr>
    </w:p>
    <w:p w14:paraId="3FE3A582" w14:textId="77777777" w:rsidR="009C3282" w:rsidRPr="0077525B" w:rsidRDefault="009C3282" w:rsidP="009C3282">
      <w:pPr>
        <w:tabs>
          <w:tab w:val="left" w:pos="709"/>
        </w:tabs>
        <w:jc w:val="both"/>
        <w:rPr>
          <w:rFonts w:ascii="Arial" w:eastAsia="Calibri" w:hAnsi="Arial" w:cs="Arial"/>
          <w:sz w:val="20"/>
          <w:szCs w:val="20"/>
          <w:lang w:val="es-ES_tradnl"/>
        </w:rPr>
      </w:pPr>
      <w:r w:rsidRPr="0077525B">
        <w:rPr>
          <w:rFonts w:ascii="Arial" w:eastAsia="Calibri" w:hAnsi="Arial" w:cs="Arial"/>
          <w:sz w:val="20"/>
          <w:szCs w:val="20"/>
        </w:rPr>
        <w:t>La Ley 1508 de 2012, «Por la cual se establece el régimen jurídico de las Asociaciones Público Privadas, se dictan normas orgánicas de presupuesto y se dictan otras disposiciones», en el artículo 1, definió las asociaciones público privadas –APP– de la siguiente manera:</w:t>
      </w:r>
    </w:p>
    <w:p w14:paraId="1B514193" w14:textId="77777777" w:rsidR="009C3282" w:rsidRPr="0077525B" w:rsidRDefault="009C3282" w:rsidP="009C3282">
      <w:pPr>
        <w:tabs>
          <w:tab w:val="left" w:pos="709"/>
        </w:tabs>
        <w:jc w:val="both"/>
        <w:rPr>
          <w:rFonts w:ascii="Arial" w:eastAsia="Calibri" w:hAnsi="Arial" w:cs="Arial"/>
          <w:sz w:val="20"/>
          <w:szCs w:val="20"/>
        </w:rPr>
      </w:pPr>
    </w:p>
    <w:p w14:paraId="174D539C" w14:textId="77777777" w:rsidR="009C3282" w:rsidRPr="0077525B" w:rsidRDefault="009C3282" w:rsidP="009C3282">
      <w:pPr>
        <w:tabs>
          <w:tab w:val="left" w:pos="709"/>
        </w:tabs>
        <w:jc w:val="both"/>
        <w:rPr>
          <w:rFonts w:ascii="Arial" w:eastAsia="Calibri" w:hAnsi="Arial" w:cs="Arial"/>
          <w:sz w:val="20"/>
          <w:szCs w:val="20"/>
        </w:rPr>
      </w:pPr>
      <w:r w:rsidRPr="0077525B">
        <w:rPr>
          <w:rFonts w:ascii="Arial" w:eastAsia="Calibri" w:hAnsi="Arial" w:cs="Arial"/>
          <w:sz w:val="20"/>
          <w:szCs w:val="20"/>
        </w:rPr>
        <w:t>Las Asociaciones Público Privadas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p>
    <w:p w14:paraId="79A8A6C9" w14:textId="77777777" w:rsidR="009C3282" w:rsidRPr="0077525B" w:rsidRDefault="009C3282" w:rsidP="009C3282">
      <w:pPr>
        <w:jc w:val="both"/>
        <w:rPr>
          <w:rFonts w:ascii="Arial" w:hAnsi="Arial" w:cs="Arial"/>
          <w:noProof/>
          <w:sz w:val="22"/>
          <w:lang w:val="es-ES"/>
        </w:rPr>
      </w:pPr>
    </w:p>
    <w:p w14:paraId="689657B3" w14:textId="77777777" w:rsidR="00D1685E" w:rsidRPr="0077525B" w:rsidRDefault="00D1685E" w:rsidP="00D1685E">
      <w:pPr>
        <w:jc w:val="both"/>
        <w:rPr>
          <w:rFonts w:ascii="Arial" w:eastAsia="Calibri" w:hAnsi="Arial" w:cs="Arial"/>
          <w:b/>
          <w:color w:val="000000"/>
          <w:sz w:val="22"/>
        </w:rPr>
      </w:pPr>
      <w:r w:rsidRPr="0077525B">
        <w:rPr>
          <w:rFonts w:ascii="Arial" w:eastAsia="Calibri" w:hAnsi="Arial" w:cs="Arial"/>
          <w:b/>
          <w:color w:val="000000"/>
          <w:sz w:val="22"/>
        </w:rPr>
        <w:t>TIPOS DE APP – De iniciativa pública – De iniciativa privada</w:t>
      </w:r>
    </w:p>
    <w:p w14:paraId="6AAF6875" w14:textId="77777777" w:rsidR="00D1685E" w:rsidRPr="0077525B" w:rsidRDefault="00D1685E" w:rsidP="00D1685E">
      <w:pPr>
        <w:jc w:val="both"/>
        <w:rPr>
          <w:rFonts w:ascii="Arial" w:hAnsi="Arial" w:cs="Arial"/>
          <w:noProof/>
          <w:color w:val="000000" w:themeColor="text1"/>
          <w:sz w:val="22"/>
          <w:lang w:val="es-ES_tradnl"/>
        </w:rPr>
      </w:pPr>
    </w:p>
    <w:p w14:paraId="207B3493" w14:textId="48C371A8" w:rsidR="00475A37" w:rsidRPr="0077525B" w:rsidRDefault="00D1685E" w:rsidP="00475A2C">
      <w:pPr>
        <w:tabs>
          <w:tab w:val="left" w:pos="709"/>
        </w:tabs>
        <w:jc w:val="both"/>
        <w:rPr>
          <w:rFonts w:ascii="Arial" w:eastAsia="Calibri" w:hAnsi="Arial" w:cs="Arial"/>
          <w:color w:val="000000"/>
          <w:sz w:val="20"/>
          <w:szCs w:val="20"/>
        </w:rPr>
      </w:pPr>
      <w:r w:rsidRPr="0077525B">
        <w:rPr>
          <w:rFonts w:ascii="Arial" w:eastAsia="Calibri" w:hAnsi="Arial" w:cs="Arial"/>
          <w:color w:val="000000"/>
          <w:sz w:val="20"/>
          <w:szCs w:val="20"/>
        </w:rPr>
        <w:t>La Ley 1508 de 2012 regula dos tipos de proyecto de asociación público privada: i) los de iniciativa pública y ii) los de iniciativa privada. En relación con los primeros, es la entidad estatal la que estructura el proyecto y realiza la invitación a participar en el proceso de selección. En los segundos, son los particulares quienes elaboran la propuesta, previa estructuración del proyecto, por su cuenta y riesgo. Los proyectos de asociación pública privada de iniciativa pública o privada, a su vez, se clasifican en dos modalidades: a) los que requieren el desembolso de recursos públicos y b) los que no necesitan dicho desembolso.</w:t>
      </w:r>
    </w:p>
    <w:p w14:paraId="72D86307" w14:textId="77777777" w:rsidR="00475A37" w:rsidRPr="0077525B" w:rsidRDefault="00475A37" w:rsidP="009C3282">
      <w:pPr>
        <w:rPr>
          <w:rFonts w:ascii="Arial" w:eastAsia="Calibri" w:hAnsi="Arial" w:cs="Arial"/>
          <w:sz w:val="22"/>
          <w:szCs w:val="20"/>
        </w:rPr>
      </w:pPr>
    </w:p>
    <w:p w14:paraId="1735543C" w14:textId="6F0E6C6F" w:rsidR="00B76AA0" w:rsidRPr="0077525B" w:rsidRDefault="00D1685E" w:rsidP="009C3282">
      <w:pPr>
        <w:rPr>
          <w:rFonts w:ascii="Arial" w:eastAsia="Calibri" w:hAnsi="Arial" w:cs="Arial"/>
          <w:b/>
          <w:sz w:val="22"/>
          <w:szCs w:val="20"/>
        </w:rPr>
      </w:pPr>
      <w:r w:rsidRPr="0077525B">
        <w:rPr>
          <w:rFonts w:ascii="Arial" w:eastAsia="Calibri" w:hAnsi="Arial" w:cs="Arial"/>
          <w:b/>
          <w:sz w:val="22"/>
        </w:rPr>
        <w:t>PROCEDIMIENTO DE SELECCIÓN – Iniciativa pública – Iniciativa privada</w:t>
      </w:r>
    </w:p>
    <w:p w14:paraId="53960A55" w14:textId="1C28F06B" w:rsidR="003B1EB2" w:rsidRPr="0077525B" w:rsidRDefault="003B1EB2" w:rsidP="009C3282">
      <w:pPr>
        <w:rPr>
          <w:rFonts w:ascii="Arial" w:eastAsia="Calibri" w:hAnsi="Arial" w:cs="Arial"/>
          <w:b/>
          <w:sz w:val="22"/>
          <w:szCs w:val="20"/>
        </w:rPr>
      </w:pPr>
    </w:p>
    <w:p w14:paraId="3D8AF4A5" w14:textId="77777777" w:rsidR="00E732AB" w:rsidRPr="0077525B" w:rsidRDefault="00E732AB" w:rsidP="00E732AB">
      <w:pPr>
        <w:spacing w:after="120"/>
        <w:jc w:val="both"/>
        <w:rPr>
          <w:rFonts w:ascii="Arial" w:eastAsia="Calibri" w:hAnsi="Arial" w:cs="Arial"/>
          <w:sz w:val="20"/>
          <w:szCs w:val="20"/>
        </w:rPr>
      </w:pPr>
      <w:r w:rsidRPr="0077525B">
        <w:rPr>
          <w:rFonts w:ascii="Arial" w:eastAsia="Calibri" w:hAnsi="Arial" w:cs="Arial"/>
          <w:sz w:val="20"/>
          <w:szCs w:val="20"/>
        </w:rPr>
        <w:t xml:space="preserve">Lo referente a </w:t>
      </w:r>
      <w:r w:rsidRPr="0077525B">
        <w:rPr>
          <w:rFonts w:ascii="Arial" w:eastAsia="Calibri" w:hAnsi="Arial" w:cs="Arial"/>
          <w:i/>
          <w:iCs/>
          <w:sz w:val="20"/>
          <w:szCs w:val="20"/>
        </w:rPr>
        <w:t>proyectos de asociación público privada de iniciativa pública</w:t>
      </w:r>
      <w:r w:rsidRPr="0077525B">
        <w:rPr>
          <w:rFonts w:ascii="Arial" w:eastAsia="Calibri" w:hAnsi="Arial" w:cs="Arial"/>
          <w:sz w:val="20"/>
          <w:szCs w:val="20"/>
        </w:rPr>
        <w:t xml:space="preserve"> es regulado en el Titulo II de la Ley 1508 de 2012, en donde se establecen disposiciones que ratifican la articulación normativa entre dicha Ley y lo dispuesto en el EGCAP en cuanto a procedimientos de selección, tal como se desprende del artículo 9. Por su parte, el artículo 10 estipula la posibilidad de acudir a sistemas de precalificación, el 11 prevé los requisitos necesarios para que una entidad abra un proceso de selección para la ejecución de proyectos de asociación público-privada , el 12 determina </w:t>
      </w:r>
      <w:r w:rsidRPr="0077525B">
        <w:rPr>
          <w:rFonts w:ascii="Arial" w:eastAsia="Calibri" w:hAnsi="Arial" w:cs="Arial"/>
          <w:sz w:val="20"/>
          <w:szCs w:val="20"/>
        </w:rPr>
        <w:lastRenderedPageBreak/>
        <w:t xml:space="preserve">los requisitos habilitantes, factores técnicos y económicos de escogencia aplicables  y el 13 regula las condiciones requeridas para efectuar adiciones o prórrogas. </w:t>
      </w:r>
    </w:p>
    <w:p w14:paraId="67635227" w14:textId="30FE2B66" w:rsidR="00E732AB" w:rsidRPr="0077525B" w:rsidRDefault="00E732AB" w:rsidP="00E732AB">
      <w:pPr>
        <w:jc w:val="both"/>
        <w:rPr>
          <w:rFonts w:ascii="Arial" w:eastAsia="Calibri" w:hAnsi="Arial" w:cs="Arial"/>
          <w:sz w:val="20"/>
          <w:szCs w:val="20"/>
        </w:rPr>
      </w:pPr>
      <w:r w:rsidRPr="0077525B">
        <w:rPr>
          <w:rFonts w:ascii="Arial" w:eastAsia="Calibri" w:hAnsi="Arial" w:cs="Arial"/>
          <w:sz w:val="20"/>
          <w:szCs w:val="20"/>
        </w:rPr>
        <w:t>Esto a la vez es reglamentado en el Titulo 2 del Libro 2 del Decreto 1082 de 2015, en cuya Sección 4 se ubica el artículo 2.2.2.1.4.1, el cual dispone como procedimiento de selección para proyectos de asociación público-privada de iniciativa pública el de licitación pública, remitiendo de manera expresa al artículo 30 de la Ley 80 de 1993, y ratificando la aplicación prevalente de la Ley 1508 de 2012 en lo específicamente regulado por esta.</w:t>
      </w:r>
    </w:p>
    <w:p w14:paraId="69DF7B52" w14:textId="77777777" w:rsidR="00E732AB" w:rsidRPr="0077525B" w:rsidRDefault="00E732AB" w:rsidP="002A2166">
      <w:pPr>
        <w:tabs>
          <w:tab w:val="left" w:pos="709"/>
        </w:tabs>
        <w:jc w:val="both"/>
        <w:rPr>
          <w:rFonts w:ascii="Arial" w:eastAsia="Calibri" w:hAnsi="Arial" w:cs="Arial"/>
          <w:color w:val="000000"/>
          <w:sz w:val="20"/>
          <w:szCs w:val="20"/>
        </w:rPr>
      </w:pPr>
    </w:p>
    <w:p w14:paraId="496BBA3E" w14:textId="71B78F68" w:rsidR="00C22C0F" w:rsidRPr="0077525B" w:rsidRDefault="008B22FC" w:rsidP="00C22C0F">
      <w:pPr>
        <w:tabs>
          <w:tab w:val="left" w:pos="709"/>
        </w:tabs>
        <w:jc w:val="both"/>
        <w:rPr>
          <w:rFonts w:ascii="Arial" w:eastAsia="Calibri" w:hAnsi="Arial" w:cs="Arial"/>
          <w:color w:val="000000"/>
          <w:sz w:val="20"/>
          <w:szCs w:val="20"/>
          <w:lang w:val="es-ES"/>
        </w:rPr>
      </w:pPr>
      <w:r w:rsidRPr="0077525B">
        <w:rPr>
          <w:rFonts w:ascii="Arial" w:eastAsia="Calibri" w:hAnsi="Arial" w:cs="Arial"/>
          <w:color w:val="000000"/>
          <w:sz w:val="20"/>
          <w:szCs w:val="20"/>
        </w:rPr>
        <w:t>[…]</w:t>
      </w:r>
      <w:r w:rsidR="00D841D6" w:rsidRPr="0077525B">
        <w:rPr>
          <w:rFonts w:ascii="Arial" w:eastAsia="Calibri" w:hAnsi="Arial" w:cs="Arial"/>
          <w:color w:val="000000"/>
          <w:sz w:val="20"/>
          <w:szCs w:val="20"/>
        </w:rPr>
        <w:t xml:space="preserve"> </w:t>
      </w:r>
      <w:r w:rsidR="00C22C0F" w:rsidRPr="0077525B">
        <w:rPr>
          <w:rFonts w:ascii="Arial" w:eastAsia="Calibri" w:hAnsi="Arial" w:cs="Arial"/>
          <w:color w:val="000000"/>
          <w:sz w:val="20"/>
          <w:szCs w:val="20"/>
          <w:lang w:val="es-ES_tradnl"/>
        </w:rPr>
        <w:t xml:space="preserve">, </w:t>
      </w:r>
      <w:r w:rsidR="00C22C0F" w:rsidRPr="0077525B">
        <w:rPr>
          <w:rFonts w:ascii="Arial" w:eastAsia="Calibri" w:hAnsi="Arial" w:cs="Arial"/>
          <w:color w:val="000000"/>
          <w:sz w:val="20"/>
          <w:szCs w:val="20"/>
          <w:lang w:val="es-ES"/>
        </w:rPr>
        <w:t xml:space="preserve">en los </w:t>
      </w:r>
      <w:r w:rsidR="00C22C0F" w:rsidRPr="0077525B">
        <w:rPr>
          <w:rFonts w:ascii="Arial" w:eastAsia="Calibri" w:hAnsi="Arial" w:cs="Arial"/>
          <w:i/>
          <w:iCs/>
          <w:color w:val="000000"/>
          <w:sz w:val="20"/>
          <w:szCs w:val="20"/>
          <w:lang w:val="es-ES"/>
        </w:rPr>
        <w:t>proyectos de iniciativa privada</w:t>
      </w:r>
      <w:r w:rsidR="00C22C0F" w:rsidRPr="0077525B">
        <w:rPr>
          <w:rFonts w:ascii="Arial" w:eastAsia="Calibri" w:hAnsi="Arial" w:cs="Arial"/>
          <w:color w:val="000000"/>
          <w:sz w:val="20"/>
          <w:szCs w:val="20"/>
          <w:lang w:val="es-ES"/>
        </w:rPr>
        <w:t xml:space="preserve">, si el proyecto es aceptado, la entidad llega a un acuerdo con el originador sobre la viabilidad del proyecto y el valor de los estudios efectuados por el particular en la estructuración del proyecto. Posteriormente, cuando se trata de una </w:t>
      </w:r>
      <w:r w:rsidR="00C22C0F" w:rsidRPr="0077525B">
        <w:rPr>
          <w:rFonts w:ascii="Arial" w:eastAsia="Calibri" w:hAnsi="Arial" w:cs="Arial"/>
          <w:i/>
          <w:iCs/>
          <w:color w:val="000000"/>
          <w:sz w:val="20"/>
          <w:szCs w:val="20"/>
          <w:lang w:val="es-ES"/>
        </w:rPr>
        <w:t xml:space="preserve">iniciativa privada </w:t>
      </w:r>
      <w:r w:rsidR="00C22C0F" w:rsidRPr="0077525B">
        <w:rPr>
          <w:rFonts w:ascii="Arial" w:eastAsia="Calibri" w:hAnsi="Arial" w:cs="Arial"/>
          <w:color w:val="000000"/>
          <w:sz w:val="20"/>
          <w:szCs w:val="20"/>
          <w:lang w:val="es-ES"/>
        </w:rPr>
        <w:t xml:space="preserve">que </w:t>
      </w:r>
      <w:r w:rsidR="00C22C0F" w:rsidRPr="0077525B">
        <w:rPr>
          <w:rFonts w:ascii="Arial" w:eastAsia="Calibri" w:hAnsi="Arial" w:cs="Arial"/>
          <w:i/>
          <w:iCs/>
          <w:color w:val="000000"/>
          <w:sz w:val="20"/>
          <w:szCs w:val="20"/>
          <w:lang w:val="es-ES"/>
        </w:rPr>
        <w:t>no</w:t>
      </w:r>
      <w:r w:rsidR="00C22C0F" w:rsidRPr="0077525B">
        <w:rPr>
          <w:rFonts w:ascii="Arial" w:eastAsia="Calibri" w:hAnsi="Arial" w:cs="Arial"/>
          <w:color w:val="000000"/>
          <w:sz w:val="20"/>
          <w:szCs w:val="20"/>
          <w:lang w:val="es-ES"/>
        </w:rPr>
        <w:t xml:space="preserve"> requiere desembolso de recursos públicos, se debe aplicar lo dispuesto en el artículo 19 de la Ley 1508 de 2012. Este precepto establece que después del acuerdo entre la entidad estatal y el originador del proyecto, aquella debe publicarlo en el SECOP, junto con la minuta del contrato, los estudios y los demás anexos, por un término no inferior a un (1) mes, ni superior a seis (6) meses, para ver si resultan manifestaciones de interés.</w:t>
      </w:r>
    </w:p>
    <w:p w14:paraId="2A0583BE" w14:textId="77777777" w:rsidR="00C22C0F" w:rsidRPr="0077525B" w:rsidRDefault="00C22C0F" w:rsidP="00C22C0F">
      <w:pPr>
        <w:tabs>
          <w:tab w:val="left" w:pos="709"/>
        </w:tabs>
        <w:jc w:val="both"/>
        <w:rPr>
          <w:rFonts w:ascii="Arial" w:eastAsia="Calibri" w:hAnsi="Arial" w:cs="Arial"/>
          <w:color w:val="000000"/>
          <w:sz w:val="20"/>
          <w:szCs w:val="20"/>
          <w:lang w:val="es-ES"/>
        </w:rPr>
      </w:pPr>
    </w:p>
    <w:p w14:paraId="699BEAB2" w14:textId="3A6A4438" w:rsidR="00D1685E" w:rsidRPr="0077525B" w:rsidRDefault="00C22C0F" w:rsidP="002A2166">
      <w:pPr>
        <w:tabs>
          <w:tab w:val="left" w:pos="709"/>
        </w:tabs>
        <w:jc w:val="both"/>
        <w:rPr>
          <w:rFonts w:ascii="Arial" w:eastAsia="Calibri" w:hAnsi="Arial" w:cs="Arial"/>
          <w:color w:val="000000"/>
          <w:sz w:val="20"/>
          <w:szCs w:val="20"/>
          <w:lang w:val="es-ES"/>
        </w:rPr>
      </w:pPr>
      <w:r w:rsidRPr="0077525B">
        <w:rPr>
          <w:rFonts w:ascii="Arial" w:eastAsia="Calibri" w:hAnsi="Arial" w:cs="Arial"/>
          <w:color w:val="000000"/>
          <w:sz w:val="20"/>
          <w:szCs w:val="20"/>
          <w:lang w:val="es-ES"/>
        </w:rPr>
        <w:t xml:space="preserve">Si, al término de la publicación, no resultan interesados, la entidad debe celebrar el contrato de manera directa con el originador privado, es decir, con aquel que estructuró el </w:t>
      </w:r>
      <w:r w:rsidRPr="0077525B">
        <w:rPr>
          <w:rFonts w:ascii="Arial" w:eastAsia="Calibri" w:hAnsi="Arial" w:cs="Arial"/>
          <w:i/>
          <w:iCs/>
          <w:color w:val="000000"/>
          <w:sz w:val="20"/>
          <w:szCs w:val="20"/>
          <w:lang w:val="es-ES"/>
        </w:rPr>
        <w:t>proyecto de asociación público privada</w:t>
      </w:r>
      <w:r w:rsidRPr="0077525B">
        <w:rPr>
          <w:rFonts w:ascii="Arial" w:eastAsia="Calibri" w:hAnsi="Arial" w:cs="Arial"/>
          <w:color w:val="000000"/>
          <w:sz w:val="20"/>
          <w:szCs w:val="20"/>
          <w:lang w:val="es-ES"/>
        </w:rPr>
        <w:t xml:space="preserve"> que </w:t>
      </w:r>
      <w:r w:rsidRPr="0077525B">
        <w:rPr>
          <w:rFonts w:ascii="Arial" w:eastAsia="Calibri" w:hAnsi="Arial" w:cs="Arial"/>
          <w:i/>
          <w:iCs/>
          <w:color w:val="000000"/>
          <w:sz w:val="20"/>
          <w:szCs w:val="20"/>
          <w:lang w:val="es-ES"/>
        </w:rPr>
        <w:t>no</w:t>
      </w:r>
      <w:r w:rsidRPr="0077525B">
        <w:rPr>
          <w:rFonts w:ascii="Arial" w:eastAsia="Calibri" w:hAnsi="Arial" w:cs="Arial"/>
          <w:color w:val="000000"/>
          <w:sz w:val="20"/>
          <w:szCs w:val="20"/>
          <w:lang w:val="es-ES"/>
        </w:rPr>
        <w:t xml:space="preserve"> requiere desembolso de recursos públicos, y que en su momento le presentó a la entidad su propuesta tanto en la fase de prefactibilidad como de factibilidad, y que luego llegó a un acuerdo con ella sobre la viabilidad del proyecto. Por el contrario, si hay interesados que respondan a la publicación en el SECOP, se deberá adelantar el procedimiento consagrado en el artículo 20 de la misma Ley. En efecto, la norma señalada establece que los terceros interesados en el proyecto deben garantizar la iniciativa con un mecanismo de cobertura del riesgo y podrán participar en el procedimiento de selección que abrirá la entidad estatal, a través de la modalidad de selección abreviada de menor cuantía con precalificación.</w:t>
      </w:r>
    </w:p>
    <w:p w14:paraId="12859065" w14:textId="16A0C93A" w:rsidR="00D1685E" w:rsidRPr="0077525B" w:rsidRDefault="00D1685E" w:rsidP="00E25691">
      <w:pPr>
        <w:rPr>
          <w:rFonts w:ascii="Arial" w:eastAsia="Calibri" w:hAnsi="Arial" w:cs="Arial"/>
          <w:b/>
          <w:sz w:val="22"/>
          <w:szCs w:val="20"/>
        </w:rPr>
      </w:pPr>
    </w:p>
    <w:p w14:paraId="3154784F" w14:textId="309CEBD5" w:rsidR="00F96E66" w:rsidRPr="0077525B" w:rsidRDefault="00286ADD" w:rsidP="00E25691">
      <w:pPr>
        <w:jc w:val="both"/>
        <w:rPr>
          <w:rFonts w:ascii="Arial" w:eastAsia="Calibri" w:hAnsi="Arial" w:cs="Arial"/>
          <w:bCs/>
          <w:sz w:val="20"/>
          <w:szCs w:val="20"/>
        </w:rPr>
      </w:pPr>
      <w:r w:rsidRPr="0077525B">
        <w:rPr>
          <w:rFonts w:ascii="Arial" w:eastAsia="Calibri" w:hAnsi="Arial" w:cs="Arial"/>
          <w:bCs/>
          <w:sz w:val="20"/>
          <w:szCs w:val="20"/>
          <w:lang w:val="es-ES"/>
        </w:rPr>
        <w:t>[…]</w:t>
      </w:r>
      <w:r w:rsidR="00F96E66" w:rsidRPr="0077525B">
        <w:rPr>
          <w:rFonts w:ascii="Arial" w:eastAsia="Calibri" w:hAnsi="Arial" w:cs="Arial"/>
          <w:bCs/>
          <w:sz w:val="20"/>
          <w:szCs w:val="20"/>
          <w:lang w:val="es-ES"/>
        </w:rPr>
        <w:t xml:space="preserve"> cuando se trata de proyectos de </w:t>
      </w:r>
      <w:r w:rsidR="00F96E66" w:rsidRPr="0077525B">
        <w:rPr>
          <w:rFonts w:ascii="Arial" w:eastAsia="Calibri" w:hAnsi="Arial" w:cs="Arial"/>
          <w:bCs/>
          <w:i/>
          <w:iCs/>
          <w:sz w:val="20"/>
          <w:szCs w:val="20"/>
          <w:lang w:val="es-ES"/>
        </w:rPr>
        <w:t>iniciativas privadas que requieren desembolsos públicos</w:t>
      </w:r>
      <w:r w:rsidR="00F96E66" w:rsidRPr="0077525B">
        <w:rPr>
          <w:rFonts w:ascii="Arial" w:eastAsia="Calibri" w:hAnsi="Arial" w:cs="Arial"/>
          <w:bCs/>
          <w:sz w:val="20"/>
          <w:szCs w:val="20"/>
          <w:lang w:val="es-ES"/>
        </w:rPr>
        <w:t>, el artículo 17 de la Ley 1508 de 2012 establece que luego del acuerdo entre la entidad estatal competente y el originador de la iniciativa, se abrirá una licitación pública para seleccionar el contratista que adelante el proyecto que el originador ha propuesto.</w:t>
      </w:r>
    </w:p>
    <w:p w14:paraId="2D7FB072" w14:textId="77777777" w:rsidR="00F96E66" w:rsidRPr="0077525B" w:rsidRDefault="00F96E66" w:rsidP="009C3282">
      <w:pPr>
        <w:rPr>
          <w:rFonts w:ascii="Arial" w:eastAsia="Calibri" w:hAnsi="Arial" w:cs="Arial"/>
          <w:b/>
          <w:sz w:val="22"/>
          <w:szCs w:val="20"/>
        </w:rPr>
      </w:pPr>
    </w:p>
    <w:p w14:paraId="2B16BD52" w14:textId="36E4436C" w:rsidR="00D1685E" w:rsidRPr="0077525B" w:rsidRDefault="00D1685E" w:rsidP="009C3282">
      <w:pPr>
        <w:rPr>
          <w:rFonts w:ascii="Arial" w:eastAsia="Calibri" w:hAnsi="Arial" w:cs="Arial"/>
          <w:b/>
          <w:color w:val="000000" w:themeColor="text1"/>
          <w:sz w:val="22"/>
          <w:lang w:val="es-ES_tradnl"/>
        </w:rPr>
      </w:pPr>
      <w:r w:rsidRPr="0077525B">
        <w:rPr>
          <w:rFonts w:ascii="Arial" w:eastAsia="Calibri" w:hAnsi="Arial" w:cs="Arial"/>
          <w:b/>
          <w:color w:val="000000" w:themeColor="text1"/>
          <w:sz w:val="22"/>
          <w:lang w:val="es-ES_tradnl"/>
        </w:rPr>
        <w:t>LEY DE GARANTÍAS ELECTORALES ‒ Tipos de restricciones ‒ Ámbito temporal</w:t>
      </w:r>
    </w:p>
    <w:p w14:paraId="6DFB48B1" w14:textId="5C20B2EC" w:rsidR="002A2166" w:rsidRPr="0077525B" w:rsidRDefault="002A2166" w:rsidP="009C3282">
      <w:pPr>
        <w:rPr>
          <w:rFonts w:ascii="Arial" w:eastAsia="Calibri" w:hAnsi="Arial" w:cs="Arial"/>
          <w:b/>
          <w:color w:val="000000" w:themeColor="text1"/>
          <w:sz w:val="22"/>
          <w:lang w:val="es-ES_tradnl"/>
        </w:rPr>
      </w:pPr>
    </w:p>
    <w:p w14:paraId="6D7CF50D" w14:textId="00E3A3C5" w:rsidR="002A2166" w:rsidRPr="0077525B" w:rsidRDefault="00826597" w:rsidP="00943F79">
      <w:pPr>
        <w:tabs>
          <w:tab w:val="left" w:pos="426"/>
        </w:tabs>
        <w:jc w:val="both"/>
        <w:rPr>
          <w:rFonts w:ascii="Arial" w:eastAsia="Calibri" w:hAnsi="Arial" w:cs="Arial"/>
          <w:noProof/>
          <w:color w:val="000000" w:themeColor="text1"/>
          <w:sz w:val="20"/>
          <w:szCs w:val="20"/>
          <w:lang w:val="es-ES_tradnl"/>
        </w:rPr>
      </w:pPr>
      <w:r w:rsidRPr="0077525B">
        <w:rPr>
          <w:rFonts w:ascii="Arial" w:eastAsia="Calibri" w:hAnsi="Arial" w:cs="Arial"/>
          <w:noProof/>
          <w:color w:val="000000" w:themeColor="text1"/>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DD50C4E" w14:textId="77777777" w:rsidR="002A2166" w:rsidRPr="0077525B" w:rsidRDefault="002A2166" w:rsidP="009C3282">
      <w:pPr>
        <w:rPr>
          <w:rFonts w:ascii="Arial" w:eastAsia="Calibri" w:hAnsi="Arial" w:cs="Arial"/>
          <w:b/>
          <w:color w:val="000000" w:themeColor="text1"/>
          <w:sz w:val="22"/>
          <w:lang w:val="es-ES_tradnl"/>
        </w:rPr>
      </w:pPr>
    </w:p>
    <w:p w14:paraId="0B11877E" w14:textId="5C7DD7CB" w:rsidR="00D1685E" w:rsidRPr="0077525B" w:rsidRDefault="00D1685E" w:rsidP="009C3282">
      <w:pPr>
        <w:rPr>
          <w:rFonts w:ascii="Arial" w:eastAsia="Calibri" w:hAnsi="Arial" w:cs="Arial"/>
          <w:b/>
          <w:color w:val="000000" w:themeColor="text1"/>
          <w:sz w:val="22"/>
          <w:lang w:val="es-ES_tradnl"/>
        </w:rPr>
      </w:pPr>
      <w:r w:rsidRPr="0077525B">
        <w:rPr>
          <w:rFonts w:ascii="Arial" w:eastAsia="Calibri" w:hAnsi="Arial" w:cs="Arial"/>
          <w:b/>
          <w:color w:val="000000" w:themeColor="text1"/>
          <w:sz w:val="22"/>
          <w:lang w:val="es-ES_tradnl"/>
        </w:rPr>
        <w:lastRenderedPageBreak/>
        <w:t>LEY DE GARANTÍAS ELECTORALES ─ Prohibición ‒ Contratación directa ‒ Alcance – Excepciones</w:t>
      </w:r>
    </w:p>
    <w:p w14:paraId="62CC5E43" w14:textId="5549102C" w:rsidR="00D1685E" w:rsidRPr="0077525B" w:rsidRDefault="00D1685E" w:rsidP="009C3282">
      <w:pPr>
        <w:rPr>
          <w:rFonts w:ascii="Arial" w:eastAsia="Calibri" w:hAnsi="Arial" w:cs="Arial"/>
          <w:b/>
          <w:color w:val="000000" w:themeColor="text1"/>
          <w:sz w:val="22"/>
          <w:lang w:val="es-ES_tradnl"/>
        </w:rPr>
      </w:pPr>
    </w:p>
    <w:p w14:paraId="52B813B2" w14:textId="77777777" w:rsidR="00143638" w:rsidRPr="0077525B" w:rsidRDefault="00143638" w:rsidP="00943F79">
      <w:pPr>
        <w:tabs>
          <w:tab w:val="left" w:pos="426"/>
        </w:tabs>
        <w:jc w:val="both"/>
        <w:rPr>
          <w:rFonts w:ascii="Arial" w:hAnsi="Arial" w:cs="Arial"/>
          <w:color w:val="000000" w:themeColor="text1"/>
          <w:sz w:val="20"/>
          <w:szCs w:val="20"/>
          <w:lang w:val="es-ES_tradnl" w:eastAsia="es-ES"/>
        </w:rPr>
      </w:pPr>
      <w:r w:rsidRPr="0077525B">
        <w:rPr>
          <w:rFonts w:ascii="Arial" w:eastAsia="Calibri" w:hAnsi="Arial" w:cs="Arial"/>
          <w:noProof/>
          <w:color w:val="000000" w:themeColor="text1"/>
          <w:sz w:val="20"/>
          <w:szCs w:val="20"/>
          <w:lang w:val="es-ES_tradnl"/>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7AD86B41" w14:textId="721AF8AB" w:rsidR="00143638" w:rsidRPr="0077525B" w:rsidRDefault="00143638" w:rsidP="00943F79">
      <w:pPr>
        <w:shd w:val="clear" w:color="auto" w:fill="FFFFFF"/>
        <w:jc w:val="both"/>
        <w:rPr>
          <w:rFonts w:ascii="Arial" w:hAnsi="Arial" w:cs="Arial"/>
          <w:color w:val="000000" w:themeColor="text1"/>
          <w:sz w:val="20"/>
          <w:szCs w:val="20"/>
          <w:lang w:val="es-ES_tradnl" w:eastAsia="es-CO"/>
        </w:rPr>
      </w:pPr>
    </w:p>
    <w:p w14:paraId="0FC2AB37" w14:textId="01948464" w:rsidR="00CB6799" w:rsidRPr="0077525B" w:rsidRDefault="00CB6799" w:rsidP="00943F79">
      <w:pPr>
        <w:shd w:val="clear" w:color="auto" w:fill="FFFFFF"/>
        <w:jc w:val="both"/>
        <w:rPr>
          <w:rFonts w:ascii="Arial" w:hAnsi="Arial" w:cs="Arial"/>
          <w:color w:val="000000" w:themeColor="text1"/>
          <w:sz w:val="20"/>
          <w:szCs w:val="20"/>
          <w:lang w:val="es-ES_tradnl" w:eastAsia="es-CO"/>
        </w:rPr>
      </w:pPr>
      <w:r w:rsidRPr="0077525B">
        <w:rPr>
          <w:rFonts w:ascii="Arial" w:hAnsi="Arial" w:cs="Arial"/>
          <w:bCs/>
          <w:color w:val="000000" w:themeColor="text1"/>
          <w:sz w:val="20"/>
          <w:szCs w:val="20"/>
          <w:lang w:val="es-MX" w:eastAsia="es-CO"/>
        </w:rPr>
        <w:t>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000704D3" w:rsidRPr="0077525B">
        <w:rPr>
          <w:rFonts w:ascii="Arial" w:hAnsi="Arial" w:cs="Arial"/>
          <w:bCs/>
          <w:color w:val="000000" w:themeColor="text1"/>
          <w:sz w:val="20"/>
          <w:szCs w:val="20"/>
          <w:lang w:val="es-MX" w:eastAsia="es-CO"/>
        </w:rPr>
        <w:t xml:space="preserve">. </w:t>
      </w:r>
    </w:p>
    <w:p w14:paraId="24516ECC" w14:textId="63144DA4" w:rsidR="00D1685E" w:rsidRPr="0077525B" w:rsidRDefault="00D1685E" w:rsidP="009C3282">
      <w:pPr>
        <w:rPr>
          <w:rFonts w:ascii="Arial" w:eastAsia="Calibri" w:hAnsi="Arial" w:cs="Arial"/>
          <w:b/>
          <w:color w:val="000000" w:themeColor="text1"/>
          <w:sz w:val="22"/>
          <w:lang w:val="es-ES_tradnl"/>
        </w:rPr>
      </w:pPr>
    </w:p>
    <w:p w14:paraId="1CF37C00" w14:textId="31124353" w:rsidR="00D1685E" w:rsidRPr="0077525B" w:rsidRDefault="00D1685E" w:rsidP="009C3282">
      <w:pPr>
        <w:rPr>
          <w:rFonts w:ascii="Arial" w:eastAsia="Calibri" w:hAnsi="Arial" w:cs="Arial"/>
          <w:b/>
          <w:color w:val="000000" w:themeColor="text1"/>
          <w:sz w:val="22"/>
          <w:lang w:val="es-ES_tradnl"/>
        </w:rPr>
      </w:pPr>
      <w:r w:rsidRPr="0077525B">
        <w:rPr>
          <w:rFonts w:ascii="Arial" w:eastAsia="Calibri" w:hAnsi="Arial" w:cs="Arial"/>
          <w:b/>
          <w:color w:val="000000" w:themeColor="text1"/>
          <w:sz w:val="22"/>
          <w:lang w:val="es-ES_tradnl"/>
        </w:rPr>
        <w:t>LEY DE GARANTÍAS ELECTORALES ‒ Prohibición del artículo 33 ‒ Destinatarios</w:t>
      </w:r>
    </w:p>
    <w:p w14:paraId="20A5230A" w14:textId="7A3DFB7D" w:rsidR="00D1685E" w:rsidRPr="0077525B" w:rsidRDefault="00D1685E" w:rsidP="009C3282">
      <w:pPr>
        <w:rPr>
          <w:rFonts w:ascii="Arial" w:eastAsia="Calibri" w:hAnsi="Arial" w:cs="Arial"/>
          <w:bCs/>
          <w:color w:val="000000" w:themeColor="text1"/>
          <w:sz w:val="22"/>
          <w:lang w:val="es-ES_tradnl"/>
        </w:rPr>
      </w:pPr>
    </w:p>
    <w:p w14:paraId="1548CFC8" w14:textId="77777777" w:rsidR="00623AB1" w:rsidRPr="0077525B" w:rsidRDefault="00623AB1" w:rsidP="00943F79">
      <w:pPr>
        <w:tabs>
          <w:tab w:val="left" w:pos="426"/>
        </w:tabs>
        <w:jc w:val="both"/>
        <w:rPr>
          <w:rFonts w:ascii="Arial" w:eastAsia="Calibri" w:hAnsi="Arial" w:cs="Arial"/>
          <w:noProof/>
          <w:color w:val="000000" w:themeColor="text1"/>
          <w:sz w:val="20"/>
          <w:szCs w:val="20"/>
          <w:lang w:val="es-ES_tradnl"/>
        </w:rPr>
      </w:pPr>
      <w:r w:rsidRPr="0077525B">
        <w:rPr>
          <w:rFonts w:ascii="Arial" w:eastAsia="Calibri" w:hAnsi="Arial" w:cs="Arial"/>
          <w:noProof/>
          <w:color w:val="000000" w:themeColor="text1"/>
          <w:sz w:val="20"/>
          <w:szCs w:val="20"/>
          <w:lang w:val="es-ES_tradnl"/>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6E5E7D7" w14:textId="2CFBFFA5" w:rsidR="00D1685E" w:rsidRPr="0077525B" w:rsidRDefault="00D1685E" w:rsidP="009C3282">
      <w:pPr>
        <w:rPr>
          <w:rFonts w:ascii="Arial" w:eastAsia="Calibri" w:hAnsi="Arial" w:cs="Arial"/>
          <w:bCs/>
          <w:color w:val="000000" w:themeColor="text1"/>
          <w:sz w:val="22"/>
          <w:lang w:val="es-ES_tradnl"/>
        </w:rPr>
      </w:pPr>
    </w:p>
    <w:p w14:paraId="5A8B1CEE" w14:textId="25E1B4F3" w:rsidR="00D1685E" w:rsidRPr="0077525B" w:rsidRDefault="00D1685E" w:rsidP="009C3282">
      <w:pPr>
        <w:rPr>
          <w:rFonts w:ascii="Arial" w:eastAsia="Calibri" w:hAnsi="Arial" w:cs="Arial"/>
          <w:bCs/>
          <w:color w:val="000000" w:themeColor="text1"/>
          <w:sz w:val="22"/>
          <w:lang w:val="es-ES_tradnl"/>
        </w:rPr>
      </w:pPr>
    </w:p>
    <w:p w14:paraId="5EE783A0" w14:textId="72B1778D" w:rsidR="00D1685E" w:rsidRPr="0077525B" w:rsidRDefault="00D1685E" w:rsidP="009C3282">
      <w:pPr>
        <w:rPr>
          <w:rFonts w:ascii="Arial" w:eastAsia="Calibri" w:hAnsi="Arial" w:cs="Arial"/>
          <w:bCs/>
          <w:color w:val="000000" w:themeColor="text1"/>
          <w:sz w:val="22"/>
          <w:lang w:val="es-ES_tradnl"/>
        </w:rPr>
      </w:pPr>
    </w:p>
    <w:p w14:paraId="1D4441AE" w14:textId="5E986196" w:rsidR="00D1685E" w:rsidRPr="0077525B" w:rsidRDefault="00D1685E" w:rsidP="009C3282">
      <w:pPr>
        <w:rPr>
          <w:rFonts w:ascii="Arial" w:eastAsia="Calibri" w:hAnsi="Arial" w:cs="Arial"/>
          <w:bCs/>
          <w:color w:val="000000" w:themeColor="text1"/>
          <w:sz w:val="22"/>
          <w:lang w:val="es-ES_tradnl"/>
        </w:rPr>
      </w:pPr>
    </w:p>
    <w:p w14:paraId="16E4AC3C" w14:textId="5DB02D1F" w:rsidR="00D1685E" w:rsidRPr="0077525B" w:rsidRDefault="00D1685E" w:rsidP="009C3282">
      <w:pPr>
        <w:rPr>
          <w:rFonts w:ascii="Arial" w:eastAsia="Calibri" w:hAnsi="Arial" w:cs="Arial"/>
          <w:bCs/>
          <w:color w:val="000000" w:themeColor="text1"/>
          <w:sz w:val="22"/>
          <w:lang w:val="es-ES_tradnl"/>
        </w:rPr>
      </w:pPr>
    </w:p>
    <w:p w14:paraId="4ABFE85C" w14:textId="3F41F30E" w:rsidR="00D1685E" w:rsidRPr="0077525B" w:rsidRDefault="00D1685E" w:rsidP="009C3282">
      <w:pPr>
        <w:rPr>
          <w:rFonts w:ascii="Arial" w:eastAsia="Calibri" w:hAnsi="Arial" w:cs="Arial"/>
          <w:bCs/>
          <w:color w:val="000000" w:themeColor="text1"/>
          <w:sz w:val="22"/>
          <w:lang w:val="es-ES_tradnl"/>
        </w:rPr>
      </w:pPr>
    </w:p>
    <w:p w14:paraId="60162D8F" w14:textId="4DDEC01C" w:rsidR="00D1685E" w:rsidRPr="0077525B" w:rsidRDefault="00D1685E" w:rsidP="009C3282">
      <w:pPr>
        <w:rPr>
          <w:rFonts w:ascii="Arial" w:eastAsia="Calibri" w:hAnsi="Arial" w:cs="Arial"/>
          <w:bCs/>
          <w:color w:val="000000" w:themeColor="text1"/>
          <w:sz w:val="22"/>
          <w:lang w:val="es-ES_tradnl"/>
        </w:rPr>
      </w:pPr>
    </w:p>
    <w:p w14:paraId="757CC0FE" w14:textId="4E04D3C6" w:rsidR="00D1685E" w:rsidRPr="0077525B" w:rsidRDefault="00D1685E" w:rsidP="009C3282">
      <w:pPr>
        <w:rPr>
          <w:rFonts w:ascii="Arial" w:eastAsia="Calibri" w:hAnsi="Arial" w:cs="Arial"/>
          <w:bCs/>
          <w:color w:val="000000" w:themeColor="text1"/>
          <w:sz w:val="22"/>
          <w:lang w:val="es-ES_tradnl"/>
        </w:rPr>
      </w:pPr>
    </w:p>
    <w:p w14:paraId="2A3D2461" w14:textId="06A961BA" w:rsidR="00D1685E" w:rsidRPr="0077525B" w:rsidRDefault="00D1685E" w:rsidP="009C3282">
      <w:pPr>
        <w:rPr>
          <w:rFonts w:ascii="Arial" w:eastAsia="Calibri" w:hAnsi="Arial" w:cs="Arial"/>
          <w:bCs/>
          <w:color w:val="000000" w:themeColor="text1"/>
          <w:sz w:val="22"/>
          <w:lang w:val="es-ES_tradnl"/>
        </w:rPr>
      </w:pPr>
    </w:p>
    <w:p w14:paraId="2B16D0CC" w14:textId="2554ECBD" w:rsidR="00D1685E" w:rsidRPr="0077525B" w:rsidRDefault="00D1685E" w:rsidP="009C3282">
      <w:pPr>
        <w:rPr>
          <w:rFonts w:ascii="Arial" w:eastAsia="Calibri" w:hAnsi="Arial" w:cs="Arial"/>
          <w:bCs/>
          <w:color w:val="000000" w:themeColor="text1"/>
          <w:sz w:val="22"/>
          <w:lang w:val="es-ES_tradnl"/>
        </w:rPr>
      </w:pPr>
    </w:p>
    <w:p w14:paraId="460AE534" w14:textId="2B07CDDD" w:rsidR="00D1685E" w:rsidRPr="0077525B" w:rsidRDefault="00D1685E" w:rsidP="009C3282">
      <w:pPr>
        <w:rPr>
          <w:rFonts w:ascii="Arial" w:eastAsia="Calibri" w:hAnsi="Arial" w:cs="Arial"/>
          <w:bCs/>
          <w:color w:val="000000" w:themeColor="text1"/>
          <w:sz w:val="22"/>
          <w:lang w:val="es-ES_tradnl"/>
        </w:rPr>
      </w:pPr>
    </w:p>
    <w:p w14:paraId="6571662F" w14:textId="4A69FD2E" w:rsidR="00D1685E" w:rsidRPr="0077525B" w:rsidRDefault="00D1685E" w:rsidP="009C3282">
      <w:pPr>
        <w:rPr>
          <w:rFonts w:ascii="Arial" w:eastAsia="Calibri" w:hAnsi="Arial" w:cs="Arial"/>
          <w:bCs/>
          <w:color w:val="000000" w:themeColor="text1"/>
          <w:sz w:val="22"/>
          <w:lang w:val="es-ES_tradnl"/>
        </w:rPr>
      </w:pPr>
    </w:p>
    <w:p w14:paraId="5F229AF6" w14:textId="4D9FB39F" w:rsidR="00D1685E" w:rsidRPr="0077525B" w:rsidRDefault="00D1685E" w:rsidP="009C3282">
      <w:pPr>
        <w:rPr>
          <w:rFonts w:ascii="Arial" w:eastAsia="Calibri" w:hAnsi="Arial" w:cs="Arial"/>
          <w:bCs/>
          <w:color w:val="000000" w:themeColor="text1"/>
          <w:sz w:val="22"/>
          <w:lang w:val="es-ES_tradnl"/>
        </w:rPr>
      </w:pPr>
    </w:p>
    <w:p w14:paraId="02BAB5F4" w14:textId="4FE3074A" w:rsidR="00D1685E" w:rsidRPr="0077525B" w:rsidRDefault="00D1685E" w:rsidP="009C3282">
      <w:pPr>
        <w:rPr>
          <w:rFonts w:ascii="Arial" w:eastAsia="Calibri" w:hAnsi="Arial" w:cs="Arial"/>
          <w:bCs/>
          <w:color w:val="000000" w:themeColor="text1"/>
          <w:sz w:val="22"/>
          <w:lang w:val="es-ES_tradnl"/>
        </w:rPr>
      </w:pPr>
    </w:p>
    <w:p w14:paraId="539B7DD2" w14:textId="0F36CD44" w:rsidR="00D1685E" w:rsidRPr="0077525B" w:rsidRDefault="00D1685E" w:rsidP="009C3282">
      <w:pPr>
        <w:rPr>
          <w:rFonts w:ascii="Arial" w:eastAsia="Calibri" w:hAnsi="Arial" w:cs="Arial"/>
          <w:bCs/>
          <w:color w:val="000000" w:themeColor="text1"/>
          <w:sz w:val="22"/>
          <w:lang w:val="es-ES_tradnl"/>
        </w:rPr>
      </w:pPr>
    </w:p>
    <w:p w14:paraId="446D535D" w14:textId="3123F053" w:rsidR="00D1685E" w:rsidRPr="0077525B" w:rsidRDefault="00D1685E" w:rsidP="009C3282">
      <w:pPr>
        <w:rPr>
          <w:rFonts w:ascii="Arial" w:eastAsia="Calibri" w:hAnsi="Arial" w:cs="Arial"/>
          <w:bCs/>
          <w:color w:val="000000" w:themeColor="text1"/>
          <w:sz w:val="22"/>
          <w:lang w:val="es-ES_tradnl"/>
        </w:rPr>
      </w:pPr>
    </w:p>
    <w:p w14:paraId="4AC77C50" w14:textId="61F8F2EF" w:rsidR="00D1685E" w:rsidRPr="0077525B" w:rsidRDefault="00D1685E" w:rsidP="009C3282">
      <w:pPr>
        <w:rPr>
          <w:rFonts w:ascii="Arial" w:eastAsia="Calibri" w:hAnsi="Arial" w:cs="Arial"/>
          <w:bCs/>
          <w:color w:val="000000" w:themeColor="text1"/>
          <w:sz w:val="22"/>
          <w:lang w:val="es-ES_tradnl"/>
        </w:rPr>
      </w:pPr>
    </w:p>
    <w:p w14:paraId="268CADEA" w14:textId="7DF8C3D8" w:rsidR="00D1685E" w:rsidRPr="0077525B" w:rsidRDefault="00D1685E" w:rsidP="009C3282">
      <w:pPr>
        <w:rPr>
          <w:rFonts w:ascii="Arial" w:eastAsia="Calibri" w:hAnsi="Arial" w:cs="Arial"/>
          <w:bCs/>
          <w:color w:val="000000" w:themeColor="text1"/>
          <w:sz w:val="22"/>
          <w:lang w:val="es-ES_tradnl"/>
        </w:rPr>
      </w:pPr>
    </w:p>
    <w:p w14:paraId="4B7E2D81" w14:textId="42A48767" w:rsidR="00D1685E" w:rsidRPr="0077525B" w:rsidRDefault="00D1685E" w:rsidP="009C3282">
      <w:pPr>
        <w:rPr>
          <w:rFonts w:ascii="Arial" w:eastAsia="Calibri" w:hAnsi="Arial" w:cs="Arial"/>
          <w:bCs/>
          <w:color w:val="000000" w:themeColor="text1"/>
          <w:sz w:val="22"/>
          <w:lang w:val="es-ES_tradnl"/>
        </w:rPr>
      </w:pPr>
    </w:p>
    <w:p w14:paraId="7A3C8179" w14:textId="70C0F717" w:rsidR="00827922" w:rsidRPr="0077525B" w:rsidRDefault="00827922" w:rsidP="009C3282">
      <w:pPr>
        <w:rPr>
          <w:rFonts w:ascii="Arial" w:eastAsia="Calibri" w:hAnsi="Arial" w:cs="Arial"/>
          <w:b/>
          <w:bCs/>
          <w:sz w:val="22"/>
          <w:szCs w:val="20"/>
        </w:rPr>
      </w:pPr>
    </w:p>
    <w:p w14:paraId="35D41E46" w14:textId="259A3315" w:rsidR="008478DC" w:rsidRPr="0077525B" w:rsidRDefault="008478DC" w:rsidP="009C3282">
      <w:pPr>
        <w:rPr>
          <w:rFonts w:ascii="Arial" w:eastAsia="Calibri" w:hAnsi="Arial" w:cs="Arial"/>
          <w:b/>
          <w:bCs/>
          <w:sz w:val="22"/>
          <w:szCs w:val="20"/>
        </w:rPr>
      </w:pPr>
    </w:p>
    <w:p w14:paraId="27A66354" w14:textId="353D57EC" w:rsidR="008478DC" w:rsidRPr="0077525B" w:rsidRDefault="008478DC" w:rsidP="009C3282">
      <w:pPr>
        <w:rPr>
          <w:rFonts w:ascii="Arial" w:eastAsia="Calibri" w:hAnsi="Arial" w:cs="Arial"/>
          <w:b/>
          <w:bCs/>
          <w:sz w:val="22"/>
          <w:szCs w:val="20"/>
        </w:rPr>
      </w:pPr>
    </w:p>
    <w:p w14:paraId="0D62BA60" w14:textId="77777777" w:rsidR="008478DC" w:rsidRPr="0077525B" w:rsidRDefault="008478DC" w:rsidP="009C3282">
      <w:pPr>
        <w:rPr>
          <w:rFonts w:ascii="Arial" w:eastAsia="Calibri" w:hAnsi="Arial" w:cs="Arial"/>
          <w:b/>
          <w:bCs/>
          <w:sz w:val="22"/>
          <w:szCs w:val="20"/>
        </w:rPr>
      </w:pPr>
    </w:p>
    <w:p w14:paraId="718888EA" w14:textId="77777777" w:rsidR="00B76AA0" w:rsidRPr="0077525B" w:rsidRDefault="00B76AA0" w:rsidP="009C3282">
      <w:pPr>
        <w:rPr>
          <w:rFonts w:ascii="Arial" w:eastAsia="Calibri" w:hAnsi="Arial" w:cs="Arial"/>
          <w:b/>
          <w:bCs/>
          <w:sz w:val="22"/>
          <w:szCs w:val="20"/>
        </w:rPr>
      </w:pPr>
    </w:p>
    <w:p w14:paraId="0F269C2E" w14:textId="58945B12" w:rsidR="00E36D92" w:rsidRPr="0077525B" w:rsidRDefault="00E36D92" w:rsidP="009C3282">
      <w:pPr>
        <w:jc w:val="both"/>
        <w:rPr>
          <w:rFonts w:ascii="Arial" w:eastAsia="Calibri" w:hAnsi="Arial" w:cs="Arial"/>
          <w:sz w:val="22"/>
          <w:lang w:val="pt-BR"/>
        </w:rPr>
      </w:pPr>
    </w:p>
    <w:p w14:paraId="4E76B826" w14:textId="238B87FB" w:rsidR="001E4043" w:rsidRPr="0077525B" w:rsidRDefault="00793B68" w:rsidP="009C3282">
      <w:pPr>
        <w:jc w:val="both"/>
        <w:rPr>
          <w:rFonts w:ascii="Arial" w:eastAsia="Calibri" w:hAnsi="Arial" w:cs="Arial"/>
          <w:sz w:val="22"/>
          <w:lang w:val="pt-BR"/>
        </w:rPr>
      </w:pPr>
      <w:r>
        <w:rPr>
          <w:rFonts w:ascii="Arial" w:eastAsia="Calibri" w:hAnsi="Arial" w:cs="Arial"/>
          <w:sz w:val="22"/>
          <w:lang w:val="pt-BR"/>
        </w:rPr>
        <w:t>Bogotá, D.C. 22 Marzo de 2022</w:t>
      </w:r>
    </w:p>
    <w:p w14:paraId="26807D1E" w14:textId="2459136E" w:rsidR="00E36D92" w:rsidRPr="0077525B" w:rsidRDefault="00795302" w:rsidP="00795302">
      <w:pPr>
        <w:jc w:val="right"/>
        <w:rPr>
          <w:rFonts w:ascii="Arial" w:eastAsia="Calibri" w:hAnsi="Arial" w:cs="Arial"/>
          <w:sz w:val="22"/>
          <w:lang w:val="pt-BR"/>
        </w:rPr>
      </w:pPr>
      <w:r w:rsidRPr="00795302">
        <w:rPr>
          <w:rFonts w:ascii="Arial" w:eastAsia="Calibri" w:hAnsi="Arial" w:cs="Arial"/>
          <w:sz w:val="22"/>
          <w:lang w:val="pt-BR"/>
        </w:rPr>
        <w:drawing>
          <wp:inline distT="0" distB="0" distL="0" distR="0" wp14:anchorId="084B23DB" wp14:editId="797C46F1">
            <wp:extent cx="2581276" cy="693027"/>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608293" cy="700281"/>
                    </a:xfrm>
                    <a:prstGeom prst="rect">
                      <a:avLst/>
                    </a:prstGeom>
                  </pic:spPr>
                </pic:pic>
              </a:graphicData>
            </a:graphic>
          </wp:inline>
        </w:drawing>
      </w:r>
    </w:p>
    <w:p w14:paraId="667249A7" w14:textId="5742533F" w:rsidR="009C3282" w:rsidRPr="0077525B" w:rsidRDefault="009C3282" w:rsidP="009C3282">
      <w:pPr>
        <w:jc w:val="both"/>
        <w:rPr>
          <w:rFonts w:ascii="Arial" w:eastAsia="Calibri" w:hAnsi="Arial" w:cs="Arial"/>
          <w:sz w:val="22"/>
          <w:lang w:val="es-ES_tradnl"/>
        </w:rPr>
      </w:pPr>
      <w:r w:rsidRPr="0077525B">
        <w:rPr>
          <w:rFonts w:ascii="Arial" w:eastAsia="Calibri" w:hAnsi="Arial" w:cs="Arial"/>
          <w:sz w:val="22"/>
          <w:lang w:val="es-ES_tradnl"/>
        </w:rPr>
        <w:t>Señor</w:t>
      </w:r>
    </w:p>
    <w:p w14:paraId="07F83FE5" w14:textId="66D09F0A" w:rsidR="00B76AA0" w:rsidRPr="0077525B" w:rsidRDefault="00B76AA0" w:rsidP="009C3282">
      <w:pPr>
        <w:jc w:val="both"/>
        <w:rPr>
          <w:rFonts w:ascii="Arial" w:eastAsia="Calibri" w:hAnsi="Arial" w:cs="Arial"/>
          <w:b/>
          <w:sz w:val="22"/>
        </w:rPr>
      </w:pPr>
      <w:r w:rsidRPr="0077525B">
        <w:rPr>
          <w:rFonts w:ascii="Arial" w:eastAsia="Calibri" w:hAnsi="Arial" w:cs="Arial"/>
          <w:b/>
          <w:sz w:val="22"/>
        </w:rPr>
        <w:t xml:space="preserve">Edward Jaramillo Arenas </w:t>
      </w:r>
    </w:p>
    <w:p w14:paraId="6C723D37" w14:textId="2A272935" w:rsidR="00B76AA0" w:rsidRPr="0077525B" w:rsidRDefault="00B76AA0" w:rsidP="009C3282">
      <w:pPr>
        <w:jc w:val="both"/>
        <w:rPr>
          <w:rFonts w:ascii="Arial" w:eastAsia="Calibri" w:hAnsi="Arial" w:cs="Arial"/>
          <w:b/>
          <w:sz w:val="22"/>
        </w:rPr>
      </w:pPr>
      <w:r w:rsidRPr="0077525B">
        <w:rPr>
          <w:rFonts w:ascii="Arial" w:eastAsia="Calibri" w:hAnsi="Arial" w:cs="Arial"/>
          <w:b/>
          <w:sz w:val="22"/>
        </w:rPr>
        <w:t>INFITULUA E.I.C.E.</w:t>
      </w:r>
    </w:p>
    <w:p w14:paraId="62D92350" w14:textId="7049FA93" w:rsidR="009C3282" w:rsidRPr="0077525B" w:rsidRDefault="00B76AA0" w:rsidP="009C3282">
      <w:pPr>
        <w:jc w:val="both"/>
        <w:rPr>
          <w:rFonts w:ascii="Arial" w:eastAsia="Calibri" w:hAnsi="Arial" w:cs="Arial"/>
          <w:sz w:val="22"/>
          <w:lang w:val="es-ES_tradnl"/>
        </w:rPr>
      </w:pPr>
      <w:r w:rsidRPr="0077525B">
        <w:rPr>
          <w:rFonts w:ascii="Arial" w:eastAsia="Calibri" w:hAnsi="Arial" w:cs="Arial"/>
          <w:sz w:val="22"/>
          <w:lang w:val="es-ES_tradnl"/>
        </w:rPr>
        <w:t>Tuluá, Valle del Cauca</w:t>
      </w:r>
    </w:p>
    <w:p w14:paraId="3F2C9A6A" w14:textId="77777777" w:rsidR="009C3282" w:rsidRPr="0077525B" w:rsidRDefault="009C3282" w:rsidP="009C3282">
      <w:pPr>
        <w:jc w:val="both"/>
        <w:rPr>
          <w:rFonts w:ascii="Arial" w:eastAsia="Calibri" w:hAnsi="Arial" w:cs="Arial"/>
          <w:sz w:val="22"/>
          <w:lang w:val="es-ES_tradnl"/>
        </w:rPr>
      </w:pPr>
    </w:p>
    <w:p w14:paraId="26DB95FD" w14:textId="3F60189B" w:rsidR="009C3282" w:rsidRPr="0077525B" w:rsidRDefault="009C3282" w:rsidP="009C3282">
      <w:pPr>
        <w:jc w:val="center"/>
        <w:rPr>
          <w:rFonts w:ascii="Arial" w:eastAsia="Calibri" w:hAnsi="Arial" w:cs="Arial"/>
          <w:b/>
          <w:bCs/>
          <w:sz w:val="22"/>
          <w:lang w:val="es-ES_tradnl"/>
        </w:rPr>
      </w:pPr>
      <w:r w:rsidRPr="0077525B">
        <w:rPr>
          <w:rFonts w:ascii="Arial" w:eastAsia="Calibri" w:hAnsi="Arial" w:cs="Arial"/>
          <w:b/>
          <w:bCs/>
          <w:sz w:val="22"/>
          <w:lang w:val="es-ES_tradnl"/>
        </w:rPr>
        <w:t xml:space="preserve">Concepto C ‒ </w:t>
      </w:r>
      <w:r w:rsidR="00B76AA0" w:rsidRPr="0077525B">
        <w:rPr>
          <w:rFonts w:ascii="Arial" w:eastAsia="Calibri" w:hAnsi="Arial" w:cs="Arial"/>
          <w:b/>
          <w:bCs/>
          <w:sz w:val="22"/>
          <w:lang w:val="es-ES_tradnl"/>
        </w:rPr>
        <w:t>129</w:t>
      </w:r>
      <w:r w:rsidRPr="0077525B">
        <w:rPr>
          <w:rFonts w:ascii="Arial" w:eastAsia="Calibri" w:hAnsi="Arial" w:cs="Arial"/>
          <w:b/>
          <w:bCs/>
          <w:sz w:val="22"/>
          <w:lang w:val="es-ES_tradnl"/>
        </w:rPr>
        <w:t xml:space="preserve"> de 202</w:t>
      </w:r>
      <w:r w:rsidR="00B76AA0" w:rsidRPr="0077525B">
        <w:rPr>
          <w:rFonts w:ascii="Arial" w:eastAsia="Calibri" w:hAnsi="Arial" w:cs="Arial"/>
          <w:b/>
          <w:bCs/>
          <w:sz w:val="22"/>
          <w:lang w:val="es-ES_tradnl"/>
        </w:rPr>
        <w:t>2</w:t>
      </w:r>
    </w:p>
    <w:p w14:paraId="66889D3C" w14:textId="77777777" w:rsidR="009C3282" w:rsidRPr="0077525B" w:rsidRDefault="009C3282" w:rsidP="009C3282">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96317" w:rsidRPr="0077525B" w14:paraId="73B3D2F0" w14:textId="77777777" w:rsidTr="00F0698C">
        <w:tc>
          <w:tcPr>
            <w:tcW w:w="2689" w:type="dxa"/>
          </w:tcPr>
          <w:p w14:paraId="2204ED9A" w14:textId="77777777" w:rsidR="009C3282" w:rsidRPr="0077525B" w:rsidRDefault="009C3282" w:rsidP="00F0698C">
            <w:pPr>
              <w:jc w:val="both"/>
              <w:rPr>
                <w:rFonts w:ascii="Arial" w:eastAsia="Calibri" w:hAnsi="Arial" w:cs="Arial"/>
                <w:sz w:val="22"/>
                <w:lang w:val="es-ES_tradnl"/>
              </w:rPr>
            </w:pPr>
            <w:r w:rsidRPr="0077525B">
              <w:rPr>
                <w:rFonts w:ascii="Arial" w:eastAsia="Calibri" w:hAnsi="Arial" w:cs="Arial"/>
                <w:b/>
                <w:sz w:val="22"/>
                <w:lang w:val="es-ES_tradnl"/>
              </w:rPr>
              <w:t>Temas:</w:t>
            </w:r>
            <w:r w:rsidRPr="0077525B">
              <w:rPr>
                <w:rFonts w:ascii="Arial" w:eastAsia="Calibri" w:hAnsi="Arial" w:cs="Arial"/>
                <w:sz w:val="22"/>
                <w:lang w:val="es-ES_tradnl"/>
              </w:rPr>
              <w:t xml:space="preserve">                                      </w:t>
            </w:r>
          </w:p>
        </w:tc>
        <w:tc>
          <w:tcPr>
            <w:tcW w:w="6237" w:type="dxa"/>
          </w:tcPr>
          <w:p w14:paraId="321BE884" w14:textId="264CF461" w:rsidR="009C3282" w:rsidRPr="0077525B" w:rsidRDefault="00396317" w:rsidP="00396317">
            <w:pPr>
              <w:jc w:val="both"/>
              <w:rPr>
                <w:rFonts w:ascii="Arial" w:eastAsia="Calibri" w:hAnsi="Arial" w:cs="Arial"/>
                <w:b/>
                <w:bCs/>
                <w:sz w:val="22"/>
              </w:rPr>
            </w:pPr>
            <w:r w:rsidRPr="0077525B">
              <w:rPr>
                <w:rFonts w:ascii="Arial" w:eastAsia="Calibri" w:hAnsi="Arial" w:cs="Arial"/>
                <w:bCs/>
                <w:sz w:val="22"/>
              </w:rPr>
              <w:t>ASOCIACIONES PÚBLICO PRIVADAS – Formas de colaboración / ASOCIACIONES PÚBLICO PRIVADAS – Concepto – Ley 1508 de 2012 /</w:t>
            </w:r>
            <w:r w:rsidR="00D1685E" w:rsidRPr="0077525B">
              <w:rPr>
                <w:rFonts w:ascii="Arial" w:eastAsia="Calibri" w:hAnsi="Arial" w:cs="Arial"/>
                <w:bCs/>
                <w:sz w:val="22"/>
              </w:rPr>
              <w:t xml:space="preserve"> </w:t>
            </w:r>
            <w:r w:rsidR="00D1685E" w:rsidRPr="0077525B">
              <w:rPr>
                <w:rFonts w:ascii="Arial" w:eastAsia="Calibri" w:hAnsi="Arial" w:cs="Arial"/>
                <w:sz w:val="22"/>
              </w:rPr>
              <w:t>TIPOS DE APP – De iniciativa pública – De iniciativa privada</w:t>
            </w:r>
            <w:r w:rsidRPr="0077525B">
              <w:rPr>
                <w:rFonts w:ascii="Arial" w:eastAsia="Calibri" w:hAnsi="Arial" w:cs="Arial"/>
                <w:bCs/>
                <w:sz w:val="22"/>
              </w:rPr>
              <w:t xml:space="preserve"> / PROCEDIMIENTO DE SELECCIÓN – Iniciativa pública – </w:t>
            </w:r>
            <w:r w:rsidR="002E6D27" w:rsidRPr="0077525B">
              <w:rPr>
                <w:rFonts w:ascii="Arial" w:eastAsia="Calibri" w:hAnsi="Arial" w:cs="Arial"/>
                <w:bCs/>
                <w:sz w:val="22"/>
              </w:rPr>
              <w:t>Iniciativa privada</w:t>
            </w:r>
            <w:r w:rsidRPr="0077525B">
              <w:rPr>
                <w:rFonts w:ascii="Arial" w:eastAsia="Calibri" w:hAnsi="Arial" w:cs="Arial"/>
                <w:bCs/>
                <w:sz w:val="22"/>
              </w:rPr>
              <w:t xml:space="preserve"> / </w:t>
            </w:r>
            <w:r w:rsidR="00D50F9A" w:rsidRPr="0077525B">
              <w:rPr>
                <w:rFonts w:ascii="Arial" w:eastAsia="Calibri" w:hAnsi="Arial" w:cs="Arial"/>
                <w:bCs/>
                <w:color w:val="000000" w:themeColor="text1"/>
                <w:sz w:val="22"/>
                <w:lang w:val="es-ES_tradnl"/>
              </w:rPr>
              <w:t>LEY DE GARANTÍAS ELECTORALES ‒ Tipos de restricciones ‒ Ámbito temporal / LEY DE GARANTÍAS ELECTORALES ─ Prohibición ‒ Contratación directa ‒ Alcance – Excepciones / LEY DE GARANTÍAS ELECTORALES ‒ Prohibición del artículo 33 ‒ Destinatarios</w:t>
            </w:r>
          </w:p>
        </w:tc>
      </w:tr>
      <w:tr w:rsidR="009C3282" w:rsidRPr="0077525B" w14:paraId="28CCACC7" w14:textId="77777777" w:rsidTr="00F0698C">
        <w:tc>
          <w:tcPr>
            <w:tcW w:w="2689" w:type="dxa"/>
          </w:tcPr>
          <w:p w14:paraId="54B029DD" w14:textId="2AA85469" w:rsidR="009C3282" w:rsidRPr="0077525B" w:rsidRDefault="009C3282" w:rsidP="00F0698C">
            <w:pPr>
              <w:spacing w:before="120"/>
              <w:jc w:val="both"/>
              <w:rPr>
                <w:rFonts w:ascii="Arial" w:eastAsia="Calibri" w:hAnsi="Arial" w:cs="Arial"/>
                <w:b/>
                <w:sz w:val="22"/>
                <w:lang w:val="es-ES_tradnl"/>
              </w:rPr>
            </w:pPr>
            <w:r w:rsidRPr="0077525B">
              <w:rPr>
                <w:rFonts w:ascii="Arial" w:eastAsia="Calibri" w:hAnsi="Arial" w:cs="Arial"/>
                <w:b/>
                <w:sz w:val="22"/>
                <w:lang w:val="es-ES_tradnl"/>
              </w:rPr>
              <w:t>Radicación:</w:t>
            </w:r>
            <w:r w:rsidRPr="0077525B">
              <w:rPr>
                <w:rFonts w:ascii="Arial" w:eastAsia="Calibri" w:hAnsi="Arial" w:cs="Arial"/>
                <w:sz w:val="22"/>
                <w:lang w:val="es-ES_tradnl"/>
              </w:rPr>
              <w:t xml:space="preserve">                             </w:t>
            </w:r>
          </w:p>
        </w:tc>
        <w:tc>
          <w:tcPr>
            <w:tcW w:w="6237" w:type="dxa"/>
          </w:tcPr>
          <w:p w14:paraId="6FBFB697" w14:textId="16BAF861" w:rsidR="009C3282" w:rsidRPr="0077525B" w:rsidRDefault="009C3282" w:rsidP="00F0698C">
            <w:pPr>
              <w:spacing w:before="120"/>
              <w:jc w:val="both"/>
              <w:rPr>
                <w:rFonts w:ascii="Arial" w:eastAsia="Calibri" w:hAnsi="Arial" w:cs="Arial"/>
                <w:sz w:val="22"/>
                <w:lang w:val="es-ES_tradnl"/>
              </w:rPr>
            </w:pPr>
            <w:r w:rsidRPr="0077525B">
              <w:rPr>
                <w:rFonts w:ascii="Arial" w:eastAsia="Calibri" w:hAnsi="Arial" w:cs="Arial"/>
                <w:sz w:val="22"/>
                <w:lang w:val="es-ES_tradnl"/>
              </w:rPr>
              <w:t xml:space="preserve">Respuesta a consulta </w:t>
            </w:r>
            <w:r w:rsidR="00B76AA0" w:rsidRPr="0077525B">
              <w:rPr>
                <w:rFonts w:ascii="Arial" w:eastAsia="Calibri" w:hAnsi="Arial" w:cs="Arial"/>
                <w:sz w:val="22"/>
                <w:lang w:val="es-ES_tradnl"/>
              </w:rPr>
              <w:t xml:space="preserve">No. </w:t>
            </w:r>
            <w:r w:rsidR="00B76AA0" w:rsidRPr="0077525B">
              <w:rPr>
                <w:rFonts w:ascii="Arial" w:eastAsia="Calibri" w:hAnsi="Arial" w:cs="Arial"/>
                <w:sz w:val="22"/>
              </w:rPr>
              <w:t> P20220211001367</w:t>
            </w:r>
            <w:r w:rsidRPr="0077525B">
              <w:rPr>
                <w:rFonts w:ascii="Arial" w:eastAsia="Calibri" w:hAnsi="Arial" w:cs="Arial"/>
                <w:sz w:val="22"/>
                <w:lang w:val="es-ES_tradnl"/>
              </w:rPr>
              <w:t xml:space="preserve">   </w:t>
            </w:r>
          </w:p>
        </w:tc>
      </w:tr>
    </w:tbl>
    <w:p w14:paraId="4F0D13C0" w14:textId="77777777" w:rsidR="009C3282" w:rsidRPr="0077525B" w:rsidRDefault="009C3282" w:rsidP="009C3282">
      <w:pPr>
        <w:jc w:val="both"/>
        <w:rPr>
          <w:rFonts w:ascii="Arial" w:eastAsia="Calibri" w:hAnsi="Arial" w:cs="Arial"/>
          <w:sz w:val="22"/>
          <w:lang w:val="es-ES_tradnl"/>
        </w:rPr>
      </w:pPr>
    </w:p>
    <w:p w14:paraId="43BB9533" w14:textId="7EA1DA7E" w:rsidR="009C3282" w:rsidRPr="0077525B" w:rsidRDefault="009C3282" w:rsidP="009C3282">
      <w:pPr>
        <w:jc w:val="both"/>
        <w:rPr>
          <w:rFonts w:ascii="Arial" w:eastAsia="Calibri" w:hAnsi="Arial" w:cs="Arial"/>
          <w:sz w:val="22"/>
          <w:lang w:val="es-ES_tradnl"/>
        </w:rPr>
      </w:pPr>
      <w:r w:rsidRPr="0077525B">
        <w:rPr>
          <w:rFonts w:ascii="Arial" w:eastAsia="Calibri" w:hAnsi="Arial" w:cs="Arial"/>
          <w:sz w:val="22"/>
          <w:lang w:val="es-ES_tradnl"/>
        </w:rPr>
        <w:t xml:space="preserve">Estimado señor </w:t>
      </w:r>
      <w:r w:rsidR="00B76AA0" w:rsidRPr="0077525B">
        <w:rPr>
          <w:rFonts w:ascii="Arial" w:eastAsia="Calibri" w:hAnsi="Arial" w:cs="Arial"/>
          <w:sz w:val="22"/>
          <w:lang w:val="es-ES_tradnl"/>
        </w:rPr>
        <w:t>Jaramillo Arenas</w:t>
      </w:r>
      <w:r w:rsidRPr="0077525B">
        <w:rPr>
          <w:rFonts w:ascii="Arial" w:eastAsia="Calibri" w:hAnsi="Arial" w:cs="Arial"/>
          <w:sz w:val="22"/>
          <w:lang w:val="es-ES_tradnl"/>
        </w:rPr>
        <w:t>:</w:t>
      </w:r>
    </w:p>
    <w:p w14:paraId="0E57A750" w14:textId="77777777" w:rsidR="009C3282" w:rsidRPr="0077525B" w:rsidRDefault="009C3282" w:rsidP="009C3282">
      <w:pPr>
        <w:jc w:val="both"/>
        <w:rPr>
          <w:rFonts w:ascii="Arial" w:eastAsia="Calibri" w:hAnsi="Arial" w:cs="Arial"/>
          <w:sz w:val="22"/>
          <w:lang w:val="es-ES_tradnl"/>
        </w:rPr>
      </w:pPr>
    </w:p>
    <w:p w14:paraId="53BA5D1C" w14:textId="2E1A2DF5" w:rsidR="009C3282" w:rsidRPr="0077525B" w:rsidRDefault="009C3282" w:rsidP="004B57FE">
      <w:pPr>
        <w:spacing w:line="276" w:lineRule="auto"/>
        <w:jc w:val="both"/>
        <w:rPr>
          <w:rFonts w:ascii="Arial" w:eastAsia="Calibri" w:hAnsi="Arial" w:cs="Arial"/>
          <w:sz w:val="22"/>
          <w:lang w:val="es-ES_tradnl"/>
        </w:rPr>
      </w:pPr>
      <w:r w:rsidRPr="0077525B">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B76AA0" w:rsidRPr="0077525B">
        <w:rPr>
          <w:rFonts w:ascii="Arial" w:eastAsia="Calibri" w:hAnsi="Arial" w:cs="Arial"/>
          <w:sz w:val="22"/>
          <w:lang w:val="es-ES_tradnl"/>
        </w:rPr>
        <w:t>10</w:t>
      </w:r>
      <w:r w:rsidRPr="0077525B">
        <w:rPr>
          <w:rFonts w:ascii="Arial" w:eastAsia="Calibri" w:hAnsi="Arial" w:cs="Arial"/>
          <w:sz w:val="22"/>
          <w:lang w:val="es-ES_tradnl"/>
        </w:rPr>
        <w:t xml:space="preserve"> de </w:t>
      </w:r>
      <w:r w:rsidR="00B76AA0" w:rsidRPr="0077525B">
        <w:rPr>
          <w:rFonts w:ascii="Arial" w:eastAsia="Calibri" w:hAnsi="Arial" w:cs="Arial"/>
          <w:sz w:val="22"/>
          <w:lang w:val="es-ES_tradnl"/>
        </w:rPr>
        <w:t>febrero</w:t>
      </w:r>
      <w:r w:rsidRPr="0077525B">
        <w:rPr>
          <w:rFonts w:ascii="Arial" w:eastAsia="Calibri" w:hAnsi="Arial" w:cs="Arial"/>
          <w:sz w:val="22"/>
          <w:lang w:val="es-ES_tradnl"/>
        </w:rPr>
        <w:t xml:space="preserve"> del 202</w:t>
      </w:r>
      <w:r w:rsidR="00B76AA0" w:rsidRPr="0077525B">
        <w:rPr>
          <w:rFonts w:ascii="Arial" w:eastAsia="Calibri" w:hAnsi="Arial" w:cs="Arial"/>
          <w:sz w:val="22"/>
          <w:lang w:val="es-ES_tradnl"/>
        </w:rPr>
        <w:t>2</w:t>
      </w:r>
      <w:r w:rsidR="00735D1D" w:rsidRPr="0077525B">
        <w:rPr>
          <w:rFonts w:ascii="Arial" w:eastAsia="Calibri" w:hAnsi="Arial" w:cs="Arial"/>
          <w:sz w:val="22"/>
          <w:lang w:val="es-ES_tradnl"/>
        </w:rPr>
        <w:t xml:space="preserve">, remitida por el Departamento Administrativo de la Función Pública mediante oficio con radicado No. </w:t>
      </w:r>
      <w:r w:rsidR="009D5441" w:rsidRPr="0077525B">
        <w:rPr>
          <w:rFonts w:ascii="Arial" w:eastAsia="Calibri" w:hAnsi="Arial" w:cs="Arial"/>
          <w:sz w:val="22"/>
        </w:rPr>
        <w:t>20222040071721 de</w:t>
      </w:r>
      <w:r w:rsidR="004817A1" w:rsidRPr="0077525B">
        <w:rPr>
          <w:rFonts w:ascii="Arial" w:eastAsia="Calibri" w:hAnsi="Arial" w:cs="Arial"/>
          <w:sz w:val="22"/>
        </w:rPr>
        <w:t xml:space="preserve"> la misma fecha</w:t>
      </w:r>
      <w:r w:rsidRPr="0077525B">
        <w:rPr>
          <w:rFonts w:ascii="Arial" w:eastAsia="Calibri" w:hAnsi="Arial" w:cs="Arial"/>
          <w:sz w:val="22"/>
          <w:lang w:val="es-ES_tradnl"/>
        </w:rPr>
        <w:t>.</w:t>
      </w:r>
    </w:p>
    <w:p w14:paraId="2F92EC17" w14:textId="77777777" w:rsidR="009C3282" w:rsidRPr="0077525B" w:rsidRDefault="009C3282" w:rsidP="009C3282">
      <w:pPr>
        <w:spacing w:line="276" w:lineRule="auto"/>
        <w:jc w:val="both"/>
        <w:rPr>
          <w:rFonts w:ascii="Arial" w:eastAsia="Calibri" w:hAnsi="Arial" w:cs="Arial"/>
          <w:b/>
          <w:sz w:val="22"/>
          <w:lang w:val="es-ES_tradnl"/>
        </w:rPr>
      </w:pPr>
    </w:p>
    <w:p w14:paraId="3277FDEE" w14:textId="77777777" w:rsidR="009C3282" w:rsidRPr="0077525B" w:rsidRDefault="009C3282" w:rsidP="009C3282">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sz w:val="22"/>
          <w:lang w:val="es-ES_tradnl"/>
        </w:rPr>
      </w:pPr>
      <w:r w:rsidRPr="0077525B">
        <w:rPr>
          <w:rFonts w:ascii="Arial" w:eastAsia="Calibri" w:hAnsi="Arial" w:cs="Arial"/>
          <w:b/>
          <w:sz w:val="22"/>
          <w:lang w:val="es-ES_tradnl"/>
        </w:rPr>
        <w:t xml:space="preserve">Problema planteado </w:t>
      </w:r>
    </w:p>
    <w:p w14:paraId="4055698E" w14:textId="77777777" w:rsidR="009C3282" w:rsidRPr="0077525B" w:rsidRDefault="009C3282" w:rsidP="009C3282">
      <w:pPr>
        <w:tabs>
          <w:tab w:val="left" w:pos="426"/>
        </w:tabs>
        <w:jc w:val="both"/>
        <w:rPr>
          <w:rFonts w:ascii="Arial" w:eastAsia="Calibri" w:hAnsi="Arial" w:cs="Arial"/>
          <w:b/>
          <w:sz w:val="22"/>
          <w:lang w:val="es-ES_tradnl"/>
        </w:rPr>
      </w:pPr>
    </w:p>
    <w:p w14:paraId="27BF3B1D" w14:textId="247BDCA0" w:rsidR="009C3282" w:rsidRPr="0077525B" w:rsidRDefault="009C3282" w:rsidP="009C3282">
      <w:pPr>
        <w:spacing w:line="276" w:lineRule="auto"/>
        <w:jc w:val="both"/>
        <w:rPr>
          <w:rFonts w:ascii="Arial" w:hAnsi="Arial" w:cs="Arial"/>
          <w:sz w:val="22"/>
          <w:lang w:val="es-ES_tradnl"/>
        </w:rPr>
      </w:pPr>
      <w:r w:rsidRPr="0077525B">
        <w:rPr>
          <w:rFonts w:ascii="Arial" w:hAnsi="Arial" w:cs="Arial"/>
          <w:sz w:val="22"/>
          <w:lang w:val="es-ES_tradnl"/>
        </w:rPr>
        <w:t xml:space="preserve">Usted formula </w:t>
      </w:r>
      <w:r w:rsidR="00A94687" w:rsidRPr="0077525B">
        <w:rPr>
          <w:rFonts w:ascii="Arial" w:hAnsi="Arial" w:cs="Arial"/>
          <w:sz w:val="22"/>
          <w:lang w:val="es-ES_tradnl"/>
        </w:rPr>
        <w:t>el siguiente interrogante</w:t>
      </w:r>
      <w:r w:rsidRPr="0077525B">
        <w:rPr>
          <w:rFonts w:ascii="Arial" w:hAnsi="Arial" w:cs="Arial"/>
          <w:sz w:val="22"/>
          <w:lang w:val="es-ES_tradnl"/>
        </w:rPr>
        <w:t xml:space="preserve">: </w:t>
      </w:r>
    </w:p>
    <w:p w14:paraId="6E4B88CC" w14:textId="77777777" w:rsidR="009C3282" w:rsidRPr="0077525B" w:rsidRDefault="009C3282" w:rsidP="009C3282">
      <w:pPr>
        <w:spacing w:line="276" w:lineRule="auto"/>
        <w:jc w:val="both"/>
        <w:rPr>
          <w:rFonts w:ascii="Arial" w:hAnsi="Arial" w:cs="Arial"/>
          <w:sz w:val="22"/>
          <w:lang w:val="es-ES_tradnl"/>
        </w:rPr>
      </w:pPr>
    </w:p>
    <w:p w14:paraId="5C195FB5" w14:textId="5E94C72C" w:rsidR="009C3282" w:rsidRPr="0077525B" w:rsidRDefault="009C3282" w:rsidP="00DE3E17">
      <w:pPr>
        <w:spacing w:line="276" w:lineRule="auto"/>
        <w:ind w:left="709" w:right="709"/>
        <w:jc w:val="both"/>
        <w:rPr>
          <w:rFonts w:ascii="Arial" w:hAnsi="Arial" w:cs="Arial"/>
          <w:sz w:val="21"/>
          <w:szCs w:val="21"/>
          <w:lang w:val="es-ES_tradnl"/>
        </w:rPr>
      </w:pPr>
      <w:r w:rsidRPr="0077525B">
        <w:rPr>
          <w:rFonts w:ascii="Arial" w:hAnsi="Arial" w:cs="Arial"/>
          <w:sz w:val="21"/>
          <w:szCs w:val="21"/>
          <w:lang w:val="es-ES_tradnl"/>
        </w:rPr>
        <w:t>«</w:t>
      </w:r>
      <w:r w:rsidR="0055748D" w:rsidRPr="0077525B">
        <w:rPr>
          <w:rFonts w:ascii="Arial" w:hAnsi="Arial" w:cs="Arial"/>
          <w:sz w:val="21"/>
          <w:szCs w:val="21"/>
        </w:rPr>
        <w:t xml:space="preserve">Por medio del presente escrito, les solicito amablemente, se sirvan informarnos, si la ley 1508 de 2012, puede aplicarse e implementarse, en tanto si una empresa industrial y comercial del estado, puede constituir asociaciones público-privadas con personas jurídicas de carácter privado para adelantar proyectos inmobiliarios y de infraestructura, todo ello en el marco y vigencia de la ley de </w:t>
      </w:r>
      <w:r w:rsidR="0055748D" w:rsidRPr="0077525B">
        <w:rPr>
          <w:rFonts w:ascii="Arial" w:hAnsi="Arial" w:cs="Arial"/>
          <w:sz w:val="21"/>
          <w:szCs w:val="21"/>
        </w:rPr>
        <w:lastRenderedPageBreak/>
        <w:t>garantías (ley 996 de 2005), así como también en su modificación en la ley de presupuesto general del 2022 (ley 1259 del 2021)».</w:t>
      </w:r>
    </w:p>
    <w:p w14:paraId="547990D3" w14:textId="77777777" w:rsidR="009C3282" w:rsidRPr="0077525B" w:rsidRDefault="009C3282" w:rsidP="009C3282">
      <w:pPr>
        <w:spacing w:line="276" w:lineRule="auto"/>
        <w:jc w:val="both"/>
        <w:rPr>
          <w:rFonts w:ascii="Arial" w:hAnsi="Arial" w:cs="Arial"/>
          <w:sz w:val="22"/>
          <w:lang w:val="es-ES_tradnl"/>
        </w:rPr>
      </w:pPr>
    </w:p>
    <w:p w14:paraId="56B5C1F9" w14:textId="77777777" w:rsidR="009C3282" w:rsidRPr="0077525B" w:rsidRDefault="009C3282" w:rsidP="009C3282">
      <w:pPr>
        <w:pStyle w:val="Prrafodelista"/>
        <w:numPr>
          <w:ilvl w:val="0"/>
          <w:numId w:val="1"/>
        </w:numPr>
        <w:tabs>
          <w:tab w:val="left" w:pos="0"/>
          <w:tab w:val="left" w:pos="284"/>
        </w:tabs>
        <w:ind w:left="0" w:firstLine="0"/>
        <w:jc w:val="both"/>
        <w:rPr>
          <w:rFonts w:ascii="Arial" w:eastAsia="Calibri" w:hAnsi="Arial" w:cs="Arial"/>
          <w:b/>
          <w:sz w:val="22"/>
          <w:lang w:val="es-ES_tradnl"/>
        </w:rPr>
      </w:pPr>
      <w:r w:rsidRPr="0077525B">
        <w:rPr>
          <w:rFonts w:ascii="Arial" w:eastAsia="Calibri" w:hAnsi="Arial" w:cs="Arial"/>
          <w:b/>
          <w:sz w:val="22"/>
          <w:lang w:val="es-ES_tradnl"/>
        </w:rPr>
        <w:t>Consideraciones</w:t>
      </w:r>
    </w:p>
    <w:p w14:paraId="15DF46B3" w14:textId="7EC0660D" w:rsidR="009C3282" w:rsidRPr="0077525B" w:rsidRDefault="009C3282" w:rsidP="009C3282">
      <w:pPr>
        <w:spacing w:line="276" w:lineRule="auto"/>
        <w:jc w:val="both"/>
        <w:rPr>
          <w:rFonts w:ascii="Arial" w:eastAsia="Calibri" w:hAnsi="Arial" w:cs="Arial"/>
          <w:sz w:val="20"/>
          <w:szCs w:val="20"/>
          <w:lang w:val="es-ES_tradnl"/>
        </w:rPr>
      </w:pPr>
    </w:p>
    <w:p w14:paraId="2BC00ADD" w14:textId="7FBBBDEA" w:rsidR="001B012F" w:rsidRPr="0077525B" w:rsidRDefault="001B012F" w:rsidP="001B012F">
      <w:pPr>
        <w:tabs>
          <w:tab w:val="left" w:pos="426"/>
        </w:tabs>
        <w:spacing w:line="276" w:lineRule="auto"/>
        <w:jc w:val="both"/>
        <w:rPr>
          <w:rFonts w:ascii="Arial" w:eastAsia="Calibri" w:hAnsi="Arial" w:cs="Arial"/>
          <w:bCs/>
          <w:sz w:val="22"/>
          <w:szCs w:val="22"/>
          <w:lang w:eastAsia="en-US"/>
        </w:rPr>
      </w:pPr>
      <w:r w:rsidRPr="0077525B">
        <w:rPr>
          <w:rFonts w:ascii="Arial" w:eastAsia="Calibri" w:hAnsi="Arial" w:cs="Arial"/>
          <w:bCs/>
          <w:sz w:val="22"/>
          <w:szCs w:val="22"/>
          <w:lang w:eastAsia="en-U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77525B">
        <w:rPr>
          <w:rFonts w:ascii="Arial" w:eastAsia="Calibri" w:hAnsi="Arial" w:cs="Arial"/>
          <w:bCs/>
          <w:sz w:val="22"/>
          <w:szCs w:val="22"/>
          <w:vertAlign w:val="superscript"/>
          <w:lang w:eastAsia="en-US"/>
        </w:rPr>
        <w:footnoteReference w:id="1"/>
      </w:r>
      <w:r w:rsidRPr="0077525B">
        <w:rPr>
          <w:rFonts w:ascii="Arial" w:eastAsia="Calibri" w:hAnsi="Arial" w:cs="Arial"/>
          <w:bCs/>
          <w:sz w:val="22"/>
          <w:szCs w:val="22"/>
          <w:lang w:eastAsia="en-US"/>
        </w:rPr>
        <w:t xml:space="preserve">. En tal sentido, su </w:t>
      </w:r>
      <w:r w:rsidR="007D57AA" w:rsidRPr="0077525B">
        <w:rPr>
          <w:rFonts w:ascii="Arial" w:eastAsia="Calibri" w:hAnsi="Arial" w:cs="Arial"/>
          <w:bCs/>
          <w:sz w:val="22"/>
          <w:szCs w:val="22"/>
          <w:lang w:eastAsia="en-US"/>
        </w:rPr>
        <w:t>consulta</w:t>
      </w:r>
      <w:r w:rsidRPr="0077525B">
        <w:rPr>
          <w:rFonts w:ascii="Arial" w:eastAsia="Calibri" w:hAnsi="Arial" w:cs="Arial"/>
          <w:bCs/>
          <w:sz w:val="22"/>
          <w:szCs w:val="22"/>
          <w:lang w:eastAsia="en-US"/>
        </w:rPr>
        <w:t xml:space="preserve"> será resuelta partiendo de una interpretación en abstracto de las normas en materia de contratación estatal, sin referencia a un caso concreto.</w:t>
      </w:r>
    </w:p>
    <w:p w14:paraId="4C0CAF5E" w14:textId="77777777" w:rsidR="001B012F" w:rsidRPr="0077525B" w:rsidRDefault="001B012F" w:rsidP="001B012F">
      <w:pPr>
        <w:tabs>
          <w:tab w:val="left" w:pos="426"/>
        </w:tabs>
        <w:spacing w:line="276" w:lineRule="auto"/>
        <w:jc w:val="both"/>
        <w:rPr>
          <w:rFonts w:ascii="Arial" w:eastAsia="Calibri" w:hAnsi="Arial" w:cs="Arial"/>
          <w:bCs/>
          <w:sz w:val="22"/>
          <w:szCs w:val="22"/>
          <w:lang w:eastAsia="en-US"/>
        </w:rPr>
      </w:pPr>
    </w:p>
    <w:p w14:paraId="3AB3E726" w14:textId="7485DBA5" w:rsidR="0010382C" w:rsidRPr="0077525B" w:rsidRDefault="009C3282" w:rsidP="00CC4F51">
      <w:pPr>
        <w:tabs>
          <w:tab w:val="left" w:pos="426"/>
        </w:tabs>
        <w:spacing w:after="120" w:line="276" w:lineRule="auto"/>
        <w:jc w:val="both"/>
        <w:rPr>
          <w:rFonts w:ascii="Arial" w:eastAsia="Calibri" w:hAnsi="Arial" w:cs="Arial"/>
          <w:sz w:val="22"/>
          <w:lang w:val="es-ES_tradnl" w:eastAsia="en-GB"/>
        </w:rPr>
      </w:pPr>
      <w:r w:rsidRPr="0077525B">
        <w:rPr>
          <w:rFonts w:ascii="Arial" w:eastAsia="Calibri" w:hAnsi="Arial" w:cs="Arial"/>
          <w:sz w:val="22"/>
          <w:lang w:val="es-ES_tradnl" w:eastAsia="en-GB"/>
        </w:rPr>
        <w:t xml:space="preserve">Para abordar </w:t>
      </w:r>
      <w:r w:rsidR="00304C48" w:rsidRPr="0077525B">
        <w:rPr>
          <w:rFonts w:ascii="Arial" w:eastAsia="Calibri" w:hAnsi="Arial" w:cs="Arial"/>
          <w:sz w:val="22"/>
          <w:lang w:val="es-ES_tradnl" w:eastAsia="en-GB"/>
        </w:rPr>
        <w:t>el</w:t>
      </w:r>
      <w:r w:rsidRPr="0077525B">
        <w:rPr>
          <w:rFonts w:ascii="Arial" w:eastAsia="Calibri" w:hAnsi="Arial" w:cs="Arial"/>
          <w:sz w:val="22"/>
          <w:lang w:val="es-ES_tradnl" w:eastAsia="en-GB"/>
        </w:rPr>
        <w:t xml:space="preserve"> interrogante planteado, se analizarán los siguientes temas: i) concepto y características de las asociaciones público</w:t>
      </w:r>
      <w:r w:rsidR="0010382C" w:rsidRPr="0077525B">
        <w:rPr>
          <w:rFonts w:ascii="Arial" w:eastAsia="Calibri" w:hAnsi="Arial" w:cs="Arial"/>
          <w:sz w:val="22"/>
          <w:lang w:val="es-ES_tradnl" w:eastAsia="en-GB"/>
        </w:rPr>
        <w:t>-</w:t>
      </w:r>
      <w:r w:rsidRPr="0077525B">
        <w:rPr>
          <w:rFonts w:ascii="Arial" w:eastAsia="Calibri" w:hAnsi="Arial" w:cs="Arial"/>
          <w:sz w:val="22"/>
          <w:lang w:val="es-ES_tradnl" w:eastAsia="en-GB"/>
        </w:rPr>
        <w:t>privadas –APP–</w:t>
      </w:r>
      <w:r w:rsidR="004832C6" w:rsidRPr="0077525B">
        <w:rPr>
          <w:rFonts w:ascii="Arial" w:eastAsia="Calibri" w:hAnsi="Arial" w:cs="Arial"/>
          <w:sz w:val="22"/>
          <w:lang w:val="es-ES_tradnl" w:eastAsia="en-GB"/>
        </w:rPr>
        <w:t>,</w:t>
      </w:r>
      <w:r w:rsidRPr="0077525B">
        <w:rPr>
          <w:rFonts w:ascii="Arial" w:eastAsia="Calibri" w:hAnsi="Arial" w:cs="Arial"/>
          <w:sz w:val="22"/>
          <w:lang w:val="es-ES_tradnl" w:eastAsia="en-GB"/>
        </w:rPr>
        <w:t xml:space="preserve"> ii) </w:t>
      </w:r>
      <w:r w:rsidR="00FC778C" w:rsidRPr="0077525B">
        <w:rPr>
          <w:rFonts w:ascii="Arial" w:eastAsia="Calibri" w:hAnsi="Arial" w:cs="Arial"/>
          <w:sz w:val="22"/>
          <w:lang w:val="es-ES_tradnl" w:eastAsia="en-GB"/>
        </w:rPr>
        <w:t xml:space="preserve">el procedimiento contractual previsto en la Ley 1508 de 2012 para los proyectos de APP de iniciativa pública </w:t>
      </w:r>
      <w:r w:rsidR="004832C6" w:rsidRPr="0077525B">
        <w:rPr>
          <w:rFonts w:ascii="Arial" w:eastAsia="Calibri" w:hAnsi="Arial" w:cs="Arial"/>
          <w:sz w:val="22"/>
          <w:lang w:val="es-ES_tradnl" w:eastAsia="en-GB"/>
        </w:rPr>
        <w:t xml:space="preserve">y de iniciativa privada, iii) </w:t>
      </w:r>
      <w:r w:rsidR="00B97F29" w:rsidRPr="0077525B">
        <w:rPr>
          <w:rFonts w:ascii="Arial" w:eastAsia="Calibri" w:hAnsi="Arial" w:cs="Arial"/>
          <w:sz w:val="22"/>
          <w:lang w:val="es-ES_tradnl" w:eastAsia="en-GB"/>
        </w:rPr>
        <w:t xml:space="preserve">definición y finalidad de la Ley de Garantías Electorales, iv) restricciones en elecciones presidenciales y v) destinatarios de la prohibición del artículo 33 de la Ley 996 de 2005. </w:t>
      </w:r>
    </w:p>
    <w:p w14:paraId="1626C8A7" w14:textId="15E4B4CC" w:rsidR="00DB6C15" w:rsidRPr="0077525B" w:rsidRDefault="003512EC" w:rsidP="0017390D">
      <w:pPr>
        <w:tabs>
          <w:tab w:val="left" w:pos="426"/>
        </w:tabs>
        <w:spacing w:after="120" w:line="276" w:lineRule="auto"/>
        <w:ind w:firstLine="425"/>
        <w:jc w:val="both"/>
        <w:rPr>
          <w:rFonts w:ascii="Arial" w:eastAsia="Calibri" w:hAnsi="Arial" w:cs="Arial"/>
          <w:sz w:val="22"/>
          <w:szCs w:val="22"/>
          <w:lang w:val="es-ES_tradnl" w:eastAsia="en-GB"/>
        </w:rPr>
      </w:pPr>
      <w:r w:rsidRPr="0077525B">
        <w:rPr>
          <w:rFonts w:ascii="Arial" w:eastAsia="Calibri" w:hAnsi="Arial" w:cs="Arial"/>
          <w:sz w:val="22"/>
          <w:szCs w:val="22"/>
          <w:lang w:val="es-ES_tradnl" w:eastAsia="en-GB"/>
        </w:rPr>
        <w:t>E</w:t>
      </w:r>
      <w:r w:rsidR="002D1B78" w:rsidRPr="0077525B">
        <w:rPr>
          <w:rFonts w:ascii="Arial" w:eastAsia="Calibri" w:hAnsi="Arial" w:cs="Arial"/>
          <w:sz w:val="22"/>
          <w:szCs w:val="22"/>
          <w:lang w:val="es-ES_tradnl" w:eastAsia="en-GB"/>
        </w:rPr>
        <w:t xml:space="preserve">n este concepto </w:t>
      </w:r>
      <w:r w:rsidR="00DB6C15" w:rsidRPr="0077525B">
        <w:rPr>
          <w:rFonts w:ascii="Arial" w:eastAsia="Calibri" w:hAnsi="Arial" w:cs="Arial"/>
          <w:sz w:val="22"/>
          <w:szCs w:val="22"/>
          <w:lang w:val="es-ES_tradnl" w:eastAsia="en-GB"/>
        </w:rPr>
        <w:t xml:space="preserve">no </w:t>
      </w:r>
      <w:r w:rsidR="00DE40C2" w:rsidRPr="0077525B">
        <w:rPr>
          <w:rFonts w:ascii="Arial" w:eastAsia="Calibri" w:hAnsi="Arial" w:cs="Arial"/>
          <w:sz w:val="22"/>
          <w:szCs w:val="22"/>
        </w:rPr>
        <w:t>se estudiará</w:t>
      </w:r>
      <w:r w:rsidR="00BC6EA1" w:rsidRPr="0077525B">
        <w:rPr>
          <w:rFonts w:ascii="Arial" w:eastAsia="Calibri" w:hAnsi="Arial" w:cs="Arial"/>
          <w:sz w:val="22"/>
          <w:szCs w:val="22"/>
        </w:rPr>
        <w:t>n</w:t>
      </w:r>
      <w:r w:rsidR="00DE40C2" w:rsidRPr="0077525B">
        <w:rPr>
          <w:rFonts w:ascii="Arial" w:eastAsia="Calibri" w:hAnsi="Arial" w:cs="Arial"/>
          <w:sz w:val="22"/>
          <w:szCs w:val="22"/>
        </w:rPr>
        <w:t xml:space="preserve"> de forma detallada </w:t>
      </w:r>
      <w:r w:rsidR="00BC6EA1" w:rsidRPr="0077525B">
        <w:rPr>
          <w:rFonts w:ascii="Arial" w:eastAsia="Calibri" w:hAnsi="Arial" w:cs="Arial"/>
          <w:sz w:val="22"/>
          <w:szCs w:val="22"/>
        </w:rPr>
        <w:t>las restricciones en los comicios para cargos de elección popular</w:t>
      </w:r>
      <w:r w:rsidR="0017390D" w:rsidRPr="0077525B">
        <w:rPr>
          <w:rFonts w:ascii="Arial" w:eastAsia="Calibri" w:hAnsi="Arial" w:cs="Arial"/>
          <w:sz w:val="22"/>
          <w:szCs w:val="22"/>
        </w:rPr>
        <w:t>, y tampoco se</w:t>
      </w:r>
      <w:r w:rsidR="00DB6C15" w:rsidRPr="0077525B">
        <w:rPr>
          <w:rFonts w:ascii="Arial" w:eastAsia="Calibri" w:hAnsi="Arial" w:cs="Arial"/>
          <w:sz w:val="22"/>
          <w:szCs w:val="22"/>
          <w:lang w:val="es-ES_tradnl" w:eastAsia="en-GB"/>
        </w:rPr>
        <w:t xml:space="preserve"> abordará</w:t>
      </w:r>
      <w:r w:rsidR="002D1B78" w:rsidRPr="0077525B">
        <w:rPr>
          <w:rFonts w:ascii="Arial" w:eastAsia="Calibri" w:hAnsi="Arial" w:cs="Arial"/>
          <w:sz w:val="22"/>
          <w:szCs w:val="22"/>
          <w:lang w:val="es-ES_tradnl" w:eastAsia="en-GB"/>
        </w:rPr>
        <w:t xml:space="preserve"> la modificación </w:t>
      </w:r>
      <w:r w:rsidR="00454270" w:rsidRPr="0077525B">
        <w:rPr>
          <w:rFonts w:ascii="Arial" w:eastAsia="Calibri" w:hAnsi="Arial" w:cs="Arial"/>
          <w:sz w:val="22"/>
          <w:szCs w:val="22"/>
        </w:rPr>
        <w:t xml:space="preserve">transitoria del </w:t>
      </w:r>
      <w:r w:rsidR="00454270" w:rsidRPr="0077525B">
        <w:rPr>
          <w:rFonts w:ascii="Arial" w:hAnsi="Arial" w:cs="Arial"/>
          <w:sz w:val="22"/>
          <w:szCs w:val="22"/>
          <w:lang w:eastAsia="es-CO"/>
        </w:rPr>
        <w:t>inciso primero del parágrafo del artículo 38 de la Ley 996 de 2005</w:t>
      </w:r>
      <w:r w:rsidR="004B2F94" w:rsidRPr="0077525B">
        <w:rPr>
          <w:rFonts w:ascii="Arial" w:hAnsi="Arial" w:cs="Arial"/>
          <w:sz w:val="22"/>
          <w:szCs w:val="22"/>
          <w:lang w:eastAsia="es-CO"/>
        </w:rPr>
        <w:t xml:space="preserve"> realizada</w:t>
      </w:r>
      <w:r w:rsidR="00454270" w:rsidRPr="0077525B">
        <w:rPr>
          <w:rFonts w:ascii="Arial" w:eastAsia="Calibri" w:hAnsi="Arial" w:cs="Arial"/>
          <w:sz w:val="22"/>
          <w:szCs w:val="22"/>
        </w:rPr>
        <w:t xml:space="preserve"> </w:t>
      </w:r>
      <w:r w:rsidR="002C5A87" w:rsidRPr="0077525B">
        <w:rPr>
          <w:rFonts w:ascii="Arial" w:eastAsia="Calibri" w:hAnsi="Arial" w:cs="Arial"/>
          <w:sz w:val="22"/>
          <w:szCs w:val="22"/>
        </w:rPr>
        <w:t>por la ley anual del presupuesto de la vigencia fiscal 2022</w:t>
      </w:r>
      <w:r w:rsidR="00A1654F" w:rsidRPr="0077525B">
        <w:rPr>
          <w:rFonts w:ascii="Arial" w:eastAsia="Calibri" w:hAnsi="Arial" w:cs="Arial"/>
          <w:sz w:val="22"/>
          <w:szCs w:val="22"/>
        </w:rPr>
        <w:t xml:space="preserve">, pues </w:t>
      </w:r>
      <w:r w:rsidR="004119BF" w:rsidRPr="0077525B">
        <w:rPr>
          <w:rFonts w:ascii="Arial" w:eastAsia="Calibri" w:hAnsi="Arial" w:cs="Arial"/>
          <w:sz w:val="22"/>
          <w:szCs w:val="22"/>
        </w:rPr>
        <w:t>esta</w:t>
      </w:r>
      <w:r w:rsidR="00A1654F" w:rsidRPr="0077525B">
        <w:rPr>
          <w:rFonts w:ascii="Arial" w:eastAsia="Calibri" w:hAnsi="Arial" w:cs="Arial"/>
          <w:sz w:val="22"/>
          <w:szCs w:val="22"/>
        </w:rPr>
        <w:t xml:space="preserve"> modificación </w:t>
      </w:r>
      <w:r w:rsidR="00354EB0" w:rsidRPr="0077525B">
        <w:rPr>
          <w:rFonts w:ascii="Arial" w:eastAsia="Calibri" w:hAnsi="Arial" w:cs="Arial"/>
          <w:sz w:val="22"/>
          <w:szCs w:val="22"/>
        </w:rPr>
        <w:t>no resulta pertinente para resolver el interrogante planteado en la consulta.</w:t>
      </w:r>
      <w:r w:rsidR="005B2327" w:rsidRPr="0077525B">
        <w:rPr>
          <w:rFonts w:ascii="Arial" w:eastAsia="Calibri" w:hAnsi="Arial" w:cs="Arial"/>
          <w:sz w:val="22"/>
          <w:szCs w:val="22"/>
        </w:rPr>
        <w:t xml:space="preserve"> </w:t>
      </w:r>
    </w:p>
    <w:p w14:paraId="377D84BF" w14:textId="048F7935" w:rsidR="003067BC" w:rsidRPr="0077525B" w:rsidRDefault="00473934" w:rsidP="007136C8">
      <w:pPr>
        <w:spacing w:after="160" w:line="276" w:lineRule="auto"/>
        <w:ind w:firstLine="709"/>
        <w:jc w:val="both"/>
        <w:rPr>
          <w:rFonts w:ascii="Arial" w:eastAsia="Calibri" w:hAnsi="Arial" w:cs="Arial"/>
          <w:bCs/>
          <w:color w:val="000000" w:themeColor="text1"/>
          <w:sz w:val="22"/>
          <w:szCs w:val="22"/>
        </w:rPr>
      </w:pPr>
      <w:r w:rsidRPr="0077525B">
        <w:rPr>
          <w:rFonts w:ascii="Arial" w:eastAsia="Calibri" w:hAnsi="Arial" w:cs="Arial"/>
          <w:bCs/>
          <w:color w:val="000000" w:themeColor="text1"/>
          <w:sz w:val="22"/>
          <w:szCs w:val="22"/>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w:t>
      </w:r>
      <w:r w:rsidRPr="0077525B">
        <w:rPr>
          <w:rFonts w:ascii="Arial" w:eastAsia="Calibri" w:hAnsi="Arial" w:cs="Arial"/>
          <w:bCs/>
          <w:color w:val="000000" w:themeColor="text1"/>
          <w:sz w:val="22"/>
          <w:szCs w:val="22"/>
          <w:lang w:bidi="es-ES"/>
        </w:rPr>
        <w:t xml:space="preserve">2201913000007428 del 7 de octubre de 2019, </w:t>
      </w:r>
      <w:r w:rsidRPr="0077525B">
        <w:rPr>
          <w:rFonts w:ascii="Arial" w:eastAsia="Calibri" w:hAnsi="Arial" w:cs="Arial"/>
          <w:bCs/>
          <w:color w:val="000000" w:themeColor="text1"/>
          <w:sz w:val="22"/>
          <w:szCs w:val="22"/>
        </w:rPr>
        <w:t xml:space="preserve">2201913000007565 del 10 de octubre de 2019, 2201913000008259 del 6 de </w:t>
      </w:r>
      <w:r w:rsidRPr="0077525B">
        <w:rPr>
          <w:rFonts w:ascii="Arial" w:eastAsia="Calibri" w:hAnsi="Arial" w:cs="Arial"/>
          <w:bCs/>
          <w:color w:val="000000" w:themeColor="text1"/>
          <w:sz w:val="22"/>
          <w:szCs w:val="22"/>
        </w:rPr>
        <w:lastRenderedPageBreak/>
        <w:t xml:space="preserve">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C-553 del 25 de octubre de 2021, C-557 del 7 de octubre de 2021, C-563 del 8 de octubre de 2021, C-606 del 3 de noviembre de 2021, C-614 del 2 de noviembre de 2021, C-633 del 11 de noviembre de 2021, C-634 del 11 de noviembre de 2021, C-636 del 16 de noviembre de 2021, C-674 del 6 de diciembre de 2021, C-675 del 6 de enero de 2022, C-677 del 4 de diciembre de 2021, C-693 del 9 de diciembre de 2021, C-695 del 22 de diciembre de 2021, C-697 del 3 de enero de 2022, C-699 del 6 de enero de 2022, C-700 del 6 de enero de 2021, C-723 del 28 de diciembre de 2021, C-715 del 21 de enero de 2022, C-718 del 24 de enero de 2022, C-726 del 24 de enero de 2022, C-015 del 12 de enero de 2022, C-002 del 15 de febrero de 2022, C-005 del 16 de febrero de 2022 y C-023 del 22 de febrero de 2022. </w:t>
      </w:r>
    </w:p>
    <w:p w14:paraId="1547546C" w14:textId="2FDCBFBD" w:rsidR="009C3282" w:rsidRPr="0077525B" w:rsidRDefault="00FC778C" w:rsidP="00FC778C">
      <w:pPr>
        <w:tabs>
          <w:tab w:val="left" w:pos="426"/>
        </w:tabs>
        <w:spacing w:line="276" w:lineRule="auto"/>
        <w:jc w:val="both"/>
        <w:rPr>
          <w:rFonts w:ascii="Arial" w:eastAsia="Calibri" w:hAnsi="Arial" w:cs="Arial"/>
          <w:sz w:val="22"/>
          <w:lang w:val="es-ES"/>
        </w:rPr>
      </w:pPr>
      <w:r w:rsidRPr="0077525B">
        <w:rPr>
          <w:rFonts w:ascii="Arial" w:eastAsia="Calibri" w:hAnsi="Arial" w:cs="Arial"/>
          <w:sz w:val="22"/>
          <w:lang w:val="es-ES_tradnl" w:eastAsia="en-GB"/>
        </w:rPr>
        <w:tab/>
      </w:r>
      <w:r w:rsidRPr="0077525B">
        <w:rPr>
          <w:rFonts w:ascii="Arial" w:eastAsia="Calibri" w:hAnsi="Arial" w:cs="Arial"/>
          <w:sz w:val="22"/>
          <w:lang w:val="es-ES_tradnl" w:eastAsia="en-GB"/>
        </w:rPr>
        <w:tab/>
      </w:r>
      <w:r w:rsidR="007136C8" w:rsidRPr="0077525B">
        <w:rPr>
          <w:rFonts w:ascii="Arial" w:eastAsia="Calibri" w:hAnsi="Arial" w:cs="Arial"/>
          <w:sz w:val="22"/>
          <w:lang w:val="es-ES_tradnl" w:eastAsia="en-GB"/>
        </w:rPr>
        <w:t xml:space="preserve">Por otro lado, </w:t>
      </w:r>
      <w:r w:rsidR="007136C8" w:rsidRPr="0077525B">
        <w:rPr>
          <w:rFonts w:ascii="Arial" w:eastAsia="Calibri" w:hAnsi="Arial" w:cs="Arial"/>
          <w:sz w:val="22"/>
          <w:lang w:val="es-ES"/>
        </w:rPr>
        <w:t>l</w:t>
      </w:r>
      <w:r w:rsidR="009C3282" w:rsidRPr="0077525B">
        <w:rPr>
          <w:rFonts w:ascii="Arial" w:eastAsia="Calibri" w:hAnsi="Arial" w:cs="Arial"/>
          <w:sz w:val="22"/>
          <w:lang w:val="es-ES"/>
        </w:rPr>
        <w:t>a Agencia Nacional de Contratación Pública – Colombia Compra Eficiente analizó el régimen de las asociaciones público privadas –APP– en los conceptos 4201912000006632 del 17 de diciembre de 2019</w:t>
      </w:r>
      <w:r w:rsidR="008F66B1" w:rsidRPr="0077525B">
        <w:rPr>
          <w:rFonts w:ascii="Arial" w:eastAsia="Calibri" w:hAnsi="Arial" w:cs="Arial"/>
          <w:sz w:val="22"/>
          <w:lang w:val="es-ES"/>
        </w:rPr>
        <w:t xml:space="preserve">, </w:t>
      </w:r>
      <w:r w:rsidR="009C3282" w:rsidRPr="0077525B">
        <w:rPr>
          <w:rFonts w:ascii="Arial" w:eastAsia="Calibri" w:hAnsi="Arial" w:cs="Arial"/>
          <w:sz w:val="22"/>
          <w:lang w:val="es-ES"/>
        </w:rPr>
        <w:t>C-507 del 13 de agosto de 2020</w:t>
      </w:r>
      <w:r w:rsidR="008F66B1" w:rsidRPr="0077525B">
        <w:rPr>
          <w:rFonts w:ascii="Arial" w:eastAsia="Calibri" w:hAnsi="Arial" w:cs="Arial"/>
          <w:sz w:val="22"/>
          <w:lang w:val="es-ES"/>
        </w:rPr>
        <w:t>,</w:t>
      </w:r>
      <w:r w:rsidR="009C3282" w:rsidRPr="0077525B">
        <w:rPr>
          <w:rFonts w:ascii="Arial" w:eastAsia="Calibri" w:hAnsi="Arial" w:cs="Arial"/>
          <w:sz w:val="22"/>
          <w:lang w:val="es-ES"/>
        </w:rPr>
        <w:t xml:space="preserve"> C-663 del 30 de noviembre de 2020,</w:t>
      </w:r>
      <w:r w:rsidR="008F66B1" w:rsidRPr="0077525B">
        <w:rPr>
          <w:rFonts w:ascii="Arial" w:eastAsia="Calibri" w:hAnsi="Arial" w:cs="Arial"/>
          <w:sz w:val="22"/>
          <w:lang w:val="es-ES"/>
        </w:rPr>
        <w:t xml:space="preserve"> C-706 del </w:t>
      </w:r>
      <w:r w:rsidR="005C7988" w:rsidRPr="0077525B">
        <w:rPr>
          <w:rFonts w:ascii="Arial" w:eastAsia="Calibri" w:hAnsi="Arial" w:cs="Arial"/>
          <w:sz w:val="22"/>
          <w:lang w:val="es-ES"/>
        </w:rPr>
        <w:t>2 de diciembre de 2020</w:t>
      </w:r>
      <w:r w:rsidR="00B826AD" w:rsidRPr="0077525B">
        <w:rPr>
          <w:rFonts w:ascii="Arial" w:eastAsia="Calibri" w:hAnsi="Arial" w:cs="Arial"/>
          <w:sz w:val="22"/>
          <w:lang w:val="es-ES"/>
        </w:rPr>
        <w:t>, C-386 del 3 de agosto de 2021</w:t>
      </w:r>
      <w:r w:rsidR="005C7988" w:rsidRPr="0077525B">
        <w:rPr>
          <w:rFonts w:ascii="Arial" w:eastAsia="Calibri" w:hAnsi="Arial" w:cs="Arial"/>
          <w:sz w:val="22"/>
          <w:lang w:val="es-ES"/>
        </w:rPr>
        <w:t xml:space="preserve"> y </w:t>
      </w:r>
      <w:r w:rsidR="00D16C3D" w:rsidRPr="0077525B">
        <w:rPr>
          <w:rFonts w:ascii="Arial" w:eastAsia="Calibri" w:hAnsi="Arial" w:cs="Arial"/>
          <w:sz w:val="22"/>
          <w:lang w:val="es-ES"/>
        </w:rPr>
        <w:t xml:space="preserve">C-457 del 3 de septiembre de </w:t>
      </w:r>
      <w:r w:rsidR="0057360A" w:rsidRPr="0077525B">
        <w:rPr>
          <w:rFonts w:ascii="Arial" w:eastAsia="Calibri" w:hAnsi="Arial" w:cs="Arial"/>
          <w:sz w:val="22"/>
          <w:lang w:val="es-ES"/>
        </w:rPr>
        <w:t>2021 que</w:t>
      </w:r>
      <w:r w:rsidR="009C3282" w:rsidRPr="0077525B">
        <w:rPr>
          <w:rFonts w:ascii="Arial" w:eastAsia="Calibri" w:hAnsi="Arial" w:cs="Arial"/>
          <w:sz w:val="22"/>
          <w:lang w:val="es-ES"/>
        </w:rPr>
        <w:t>, en lo pertinente, se reiteran en esta ocasión y se complementan con algunas consideraciones relativas a la consulta bajo examen.</w:t>
      </w:r>
    </w:p>
    <w:p w14:paraId="6C7E7E76" w14:textId="77777777" w:rsidR="009C3282" w:rsidRPr="0077525B" w:rsidRDefault="009C3282" w:rsidP="009C3282">
      <w:pPr>
        <w:spacing w:line="276" w:lineRule="auto"/>
        <w:jc w:val="both"/>
        <w:rPr>
          <w:rFonts w:ascii="Arial" w:hAnsi="Arial" w:cs="Arial"/>
          <w:b/>
          <w:bCs/>
          <w:sz w:val="22"/>
          <w:lang w:val="es-ES_tradnl"/>
        </w:rPr>
      </w:pPr>
    </w:p>
    <w:p w14:paraId="4BC65CCB" w14:textId="03974250" w:rsidR="009C3282" w:rsidRPr="0077525B" w:rsidRDefault="009C3282" w:rsidP="009C3282">
      <w:pPr>
        <w:spacing w:line="276" w:lineRule="auto"/>
        <w:jc w:val="both"/>
        <w:rPr>
          <w:rFonts w:ascii="Arial" w:hAnsi="Arial" w:cs="Arial"/>
          <w:b/>
          <w:bCs/>
          <w:sz w:val="22"/>
          <w:lang w:val="es-ES_tradnl"/>
        </w:rPr>
      </w:pPr>
      <w:r w:rsidRPr="0077525B">
        <w:rPr>
          <w:rFonts w:ascii="Arial" w:hAnsi="Arial" w:cs="Arial"/>
          <w:b/>
          <w:bCs/>
          <w:sz w:val="22"/>
          <w:lang w:val="es-ES_tradnl"/>
        </w:rPr>
        <w:t xml:space="preserve">2.1. </w:t>
      </w:r>
      <w:bookmarkStart w:id="2" w:name="_Hlk97562699"/>
      <w:r w:rsidRPr="0077525B">
        <w:rPr>
          <w:rFonts w:ascii="Arial" w:hAnsi="Arial" w:cs="Arial"/>
          <w:b/>
          <w:bCs/>
          <w:sz w:val="22"/>
          <w:lang w:val="es-ES_tradnl"/>
        </w:rPr>
        <w:t>Concepto y características de las asociaciones públic</w:t>
      </w:r>
      <w:r w:rsidR="00175BED" w:rsidRPr="0077525B">
        <w:rPr>
          <w:rFonts w:ascii="Arial" w:hAnsi="Arial" w:cs="Arial"/>
          <w:b/>
          <w:bCs/>
          <w:sz w:val="22"/>
          <w:lang w:val="es-ES_tradnl"/>
        </w:rPr>
        <w:t>o</w:t>
      </w:r>
      <w:r w:rsidRPr="0077525B">
        <w:rPr>
          <w:rFonts w:ascii="Arial" w:hAnsi="Arial" w:cs="Arial"/>
          <w:b/>
          <w:bCs/>
          <w:sz w:val="22"/>
          <w:lang w:val="es-ES_tradnl"/>
        </w:rPr>
        <w:t xml:space="preserve"> privadas –APP–</w:t>
      </w:r>
      <w:bookmarkEnd w:id="2"/>
    </w:p>
    <w:p w14:paraId="13E2AF31" w14:textId="77777777" w:rsidR="009C3282" w:rsidRPr="0077525B" w:rsidRDefault="009C3282" w:rsidP="009C3282">
      <w:pPr>
        <w:tabs>
          <w:tab w:val="left" w:pos="0"/>
        </w:tabs>
        <w:spacing w:line="276" w:lineRule="auto"/>
        <w:jc w:val="both"/>
        <w:rPr>
          <w:rFonts w:ascii="Arial" w:eastAsia="Calibri" w:hAnsi="Arial" w:cs="Arial"/>
          <w:b/>
          <w:sz w:val="22"/>
          <w:lang w:val="es-ES_tradnl"/>
        </w:rPr>
      </w:pPr>
    </w:p>
    <w:p w14:paraId="7A679D4D" w14:textId="17A80CBF" w:rsidR="009C3282" w:rsidRPr="0077525B" w:rsidRDefault="009C3282" w:rsidP="009C3282">
      <w:pPr>
        <w:tabs>
          <w:tab w:val="left" w:pos="0"/>
        </w:tabs>
        <w:spacing w:line="276" w:lineRule="auto"/>
        <w:jc w:val="both"/>
        <w:rPr>
          <w:rFonts w:ascii="Arial" w:eastAsia="Calibri" w:hAnsi="Arial" w:cs="Arial"/>
          <w:bCs/>
          <w:sz w:val="22"/>
          <w:lang w:val="es-ES_tradnl"/>
        </w:rPr>
      </w:pPr>
      <w:r w:rsidRPr="0077525B">
        <w:rPr>
          <w:rFonts w:ascii="Arial" w:eastAsia="Calibri" w:hAnsi="Arial" w:cs="Arial"/>
          <w:bCs/>
          <w:sz w:val="22"/>
          <w:lang w:val="es-ES_tradnl"/>
        </w:rPr>
        <w:t>Las asociaciones público</w:t>
      </w:r>
      <w:r w:rsidR="00F90F0B" w:rsidRPr="0077525B">
        <w:rPr>
          <w:rFonts w:ascii="Arial" w:eastAsia="Calibri" w:hAnsi="Arial" w:cs="Arial"/>
          <w:bCs/>
          <w:sz w:val="22"/>
          <w:lang w:val="es-ES_tradnl"/>
        </w:rPr>
        <w:t>-</w:t>
      </w:r>
      <w:r w:rsidRPr="0077525B">
        <w:rPr>
          <w:rFonts w:ascii="Arial" w:eastAsia="Calibri" w:hAnsi="Arial" w:cs="Arial"/>
          <w:bCs/>
          <w:sz w:val="22"/>
          <w:lang w:val="es-ES_tradnl"/>
        </w:rPr>
        <w:t>privadas – APP– son formas de colaboración entre el sector público y el privado para la ejecución de proyectos estatales, a través de las cuales se retienen y transfieren riesgos entre las partes. Se trata de modalidades de negocio en las cuales la disponibilidad y el nivel de la infraestructura o servicio resultan determinantes. Así lo consideró la Corte Constitucional, expresando lo siguiente:</w:t>
      </w:r>
    </w:p>
    <w:p w14:paraId="740A7D25" w14:textId="77777777" w:rsidR="009C3282" w:rsidRPr="0077525B" w:rsidRDefault="009C3282" w:rsidP="009C3282">
      <w:pPr>
        <w:tabs>
          <w:tab w:val="left" w:pos="0"/>
        </w:tabs>
        <w:spacing w:line="276" w:lineRule="auto"/>
        <w:jc w:val="both"/>
        <w:rPr>
          <w:rFonts w:ascii="Arial" w:eastAsia="Calibri" w:hAnsi="Arial" w:cs="Arial"/>
          <w:bCs/>
          <w:sz w:val="22"/>
          <w:lang w:val="es-ES_tradnl"/>
        </w:rPr>
      </w:pPr>
    </w:p>
    <w:p w14:paraId="516FDD1E" w14:textId="77777777" w:rsidR="009C3282" w:rsidRPr="0077525B" w:rsidRDefault="009C3282" w:rsidP="009C3282">
      <w:pPr>
        <w:ind w:left="709" w:right="709"/>
        <w:jc w:val="both"/>
        <w:rPr>
          <w:rFonts w:ascii="Arial" w:eastAsia="Calibri" w:hAnsi="Arial" w:cs="Arial"/>
          <w:bCs/>
          <w:sz w:val="21"/>
          <w:szCs w:val="21"/>
        </w:rPr>
      </w:pPr>
      <w:r w:rsidRPr="0077525B">
        <w:rPr>
          <w:rFonts w:ascii="Arial" w:eastAsia="Calibri" w:hAnsi="Arial" w:cs="Arial"/>
          <w:bCs/>
          <w:sz w:val="21"/>
          <w:szCs w:val="21"/>
        </w:rPr>
        <w:t xml:space="preserve">Las APP se caracterizan por: (i) tener una larga duración; (ii) definir sus objetos alrededor de proyectos, lo que conlleva la previsión de actividades como el diseño, construcción y mantenimiento de la infraestructura pública sobre la que verse el contrato y/o los servicios asociados; (iii) contar con financiación privada o público-privada; (iv) establecer como forma de remuneración el otorgamiento del derecho a la explotación de la infraestructura o servicio, aunque en algunos casos es posible pactar el desembolso de recursos públicos; (v) condicionar la </w:t>
      </w:r>
      <w:r w:rsidRPr="0077525B">
        <w:rPr>
          <w:rFonts w:ascii="Arial" w:eastAsia="Calibri" w:hAnsi="Arial" w:cs="Arial"/>
          <w:bCs/>
          <w:sz w:val="21"/>
          <w:szCs w:val="21"/>
        </w:rPr>
        <w:lastRenderedPageBreak/>
        <w:t>remuneración a niveles de calidad; (vi) trasladar parte importante de los riesgos al contratista –por ejemplo, los asociados al diseño, niveles de demanda, deterioro y mantenimiento de la infraestructura- según su capacidad y experiencia; y (vii) distribuir las tareas entre las partes de acuerdo con su experiencia y ventaja competitiva</w:t>
      </w:r>
      <w:r w:rsidRPr="0077525B">
        <w:rPr>
          <w:rStyle w:val="Refdenotaalpie"/>
          <w:rFonts w:ascii="Arial" w:eastAsia="Calibri" w:hAnsi="Arial" w:cs="Arial"/>
          <w:bCs/>
          <w:sz w:val="21"/>
          <w:szCs w:val="21"/>
        </w:rPr>
        <w:footnoteReference w:id="2"/>
      </w:r>
      <w:r w:rsidRPr="0077525B">
        <w:rPr>
          <w:rFonts w:ascii="Arial" w:eastAsia="Calibri" w:hAnsi="Arial" w:cs="Arial"/>
          <w:bCs/>
          <w:sz w:val="21"/>
          <w:szCs w:val="21"/>
        </w:rPr>
        <w:t>.</w:t>
      </w:r>
    </w:p>
    <w:p w14:paraId="4B82984C" w14:textId="77777777" w:rsidR="009C3282" w:rsidRPr="0077525B" w:rsidRDefault="009C3282" w:rsidP="009C3282">
      <w:pPr>
        <w:tabs>
          <w:tab w:val="left" w:pos="0"/>
        </w:tabs>
        <w:spacing w:line="276" w:lineRule="auto"/>
        <w:jc w:val="both"/>
        <w:rPr>
          <w:rFonts w:ascii="Arial" w:eastAsia="Calibri" w:hAnsi="Arial" w:cs="Arial"/>
          <w:bCs/>
          <w:sz w:val="22"/>
        </w:rPr>
      </w:pPr>
    </w:p>
    <w:p w14:paraId="6C1971A0" w14:textId="3640A265" w:rsidR="009C3282" w:rsidRPr="0077525B" w:rsidRDefault="009C3282" w:rsidP="009C3282">
      <w:pPr>
        <w:tabs>
          <w:tab w:val="left" w:pos="0"/>
        </w:tabs>
        <w:spacing w:line="276" w:lineRule="auto"/>
        <w:ind w:firstLine="709"/>
        <w:jc w:val="both"/>
        <w:rPr>
          <w:rFonts w:ascii="Arial" w:eastAsia="Calibri" w:hAnsi="Arial" w:cs="Arial"/>
          <w:bCs/>
          <w:sz w:val="22"/>
          <w:lang w:val="es-ES_tradnl"/>
        </w:rPr>
      </w:pPr>
      <w:r w:rsidRPr="0077525B">
        <w:rPr>
          <w:rFonts w:ascii="Arial" w:eastAsia="Calibri" w:hAnsi="Arial" w:cs="Arial"/>
          <w:bCs/>
          <w:sz w:val="22"/>
          <w:lang w:val="es-ES_tradnl"/>
        </w:rPr>
        <w:t>La Ley 1508 de 2012, «Por la cual se establece el régimen jurídico de las Asociaciones Público Privadas, se dictan normas orgánicas de presupuesto y se dictan otras disposiciones», en el artículo 1, definió las asociaciones público</w:t>
      </w:r>
      <w:r w:rsidR="00F90F0B" w:rsidRPr="0077525B">
        <w:rPr>
          <w:rFonts w:ascii="Arial" w:eastAsia="Calibri" w:hAnsi="Arial" w:cs="Arial"/>
          <w:bCs/>
          <w:sz w:val="22"/>
          <w:lang w:val="es-ES_tradnl"/>
        </w:rPr>
        <w:t>-</w:t>
      </w:r>
      <w:r w:rsidRPr="0077525B">
        <w:rPr>
          <w:rFonts w:ascii="Arial" w:eastAsia="Calibri" w:hAnsi="Arial" w:cs="Arial"/>
          <w:bCs/>
          <w:sz w:val="22"/>
          <w:lang w:val="es-ES_tradnl"/>
        </w:rPr>
        <w:t>privadas –APP– de la siguiente manera:</w:t>
      </w:r>
    </w:p>
    <w:p w14:paraId="2728F50C" w14:textId="77777777" w:rsidR="009C3282" w:rsidRPr="0077525B" w:rsidRDefault="009C3282" w:rsidP="009C3282">
      <w:pPr>
        <w:tabs>
          <w:tab w:val="left" w:pos="0"/>
        </w:tabs>
        <w:ind w:left="709" w:right="709"/>
        <w:jc w:val="both"/>
        <w:rPr>
          <w:rFonts w:ascii="Arial" w:eastAsia="Calibri" w:hAnsi="Arial" w:cs="Arial"/>
          <w:bCs/>
          <w:sz w:val="22"/>
          <w:lang w:val="es-ES_tradnl"/>
        </w:rPr>
      </w:pPr>
    </w:p>
    <w:p w14:paraId="694D92D1" w14:textId="77777777" w:rsidR="009C3282" w:rsidRPr="0077525B" w:rsidRDefault="009C3282" w:rsidP="009C3282">
      <w:pPr>
        <w:tabs>
          <w:tab w:val="left" w:pos="0"/>
        </w:tabs>
        <w:ind w:left="709" w:right="709"/>
        <w:jc w:val="both"/>
        <w:rPr>
          <w:rFonts w:ascii="Arial" w:eastAsia="Calibri" w:hAnsi="Arial" w:cs="Arial"/>
          <w:bCs/>
          <w:sz w:val="21"/>
          <w:szCs w:val="21"/>
          <w:lang w:val="es-ES_tradnl"/>
        </w:rPr>
      </w:pPr>
      <w:r w:rsidRPr="0077525B">
        <w:rPr>
          <w:rFonts w:ascii="Arial" w:eastAsia="Calibri" w:hAnsi="Arial" w:cs="Arial"/>
          <w:bCs/>
          <w:sz w:val="21"/>
          <w:szCs w:val="21"/>
          <w:lang w:val="es-ES_tradnl"/>
        </w:rPr>
        <w:t>Las Asociaciones Público Privadas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p>
    <w:p w14:paraId="60064460" w14:textId="77777777" w:rsidR="009C3282" w:rsidRPr="0077525B" w:rsidRDefault="009C3282" w:rsidP="009C3282">
      <w:pPr>
        <w:tabs>
          <w:tab w:val="left" w:pos="0"/>
        </w:tabs>
        <w:spacing w:line="276" w:lineRule="auto"/>
        <w:ind w:firstLine="709"/>
        <w:jc w:val="both"/>
        <w:rPr>
          <w:rFonts w:ascii="Arial" w:eastAsia="Calibri" w:hAnsi="Arial" w:cs="Arial"/>
          <w:bCs/>
          <w:sz w:val="22"/>
          <w:lang w:val="es-ES_tradnl"/>
        </w:rPr>
      </w:pPr>
    </w:p>
    <w:p w14:paraId="6B79F8A7" w14:textId="05B2569A" w:rsidR="009C3282" w:rsidRPr="0077525B" w:rsidRDefault="009C3282" w:rsidP="00541927">
      <w:pPr>
        <w:tabs>
          <w:tab w:val="left" w:pos="0"/>
        </w:tabs>
        <w:spacing w:after="120" w:line="276" w:lineRule="auto"/>
        <w:ind w:firstLine="709"/>
        <w:jc w:val="both"/>
        <w:rPr>
          <w:rFonts w:ascii="Arial" w:eastAsia="Calibri" w:hAnsi="Arial" w:cs="Arial"/>
          <w:bCs/>
          <w:sz w:val="22"/>
          <w:lang w:val="es-ES_tradnl"/>
        </w:rPr>
      </w:pPr>
      <w:r w:rsidRPr="0077525B">
        <w:rPr>
          <w:rFonts w:ascii="Arial" w:eastAsia="Calibri" w:hAnsi="Arial" w:cs="Arial"/>
          <w:bCs/>
          <w:sz w:val="22"/>
          <w:lang w:val="es-ES_tradnl"/>
        </w:rPr>
        <w:t>Con fundamento en dicha noción, puede decirse que la colaboración público-privada</w:t>
      </w:r>
      <w:r w:rsidRPr="0077525B">
        <w:rPr>
          <w:rStyle w:val="Refdenotaalpie"/>
          <w:rFonts w:ascii="Arial" w:eastAsia="Calibri" w:hAnsi="Arial" w:cs="Arial"/>
          <w:bCs/>
          <w:sz w:val="22"/>
          <w:lang w:val="es-ES_tradnl"/>
        </w:rPr>
        <w:footnoteReference w:id="3"/>
      </w:r>
      <w:r w:rsidRPr="0077525B">
        <w:rPr>
          <w:rFonts w:ascii="Arial" w:eastAsia="Calibri" w:hAnsi="Arial" w:cs="Arial"/>
          <w:bCs/>
          <w:sz w:val="22"/>
          <w:lang w:val="es-ES_tradnl"/>
        </w:rPr>
        <w:t xml:space="preserve"> es un mecanismo a través del cual el sector privado participa en la gestión pública, representada en la ejecución de actividades de infraestructura o de otros servicios, vinculando capital, conocimientos y experiencia, así como un mayor riesgo que </w:t>
      </w:r>
      <w:r w:rsidR="00F90F0B" w:rsidRPr="0077525B">
        <w:rPr>
          <w:rFonts w:ascii="Arial" w:eastAsia="Calibri" w:hAnsi="Arial" w:cs="Arial"/>
          <w:bCs/>
          <w:sz w:val="22"/>
          <w:lang w:val="es-ES_tradnl"/>
        </w:rPr>
        <w:t>el ordinariamente</w:t>
      </w:r>
      <w:r w:rsidRPr="0077525B">
        <w:rPr>
          <w:rFonts w:ascii="Arial" w:eastAsia="Calibri" w:hAnsi="Arial" w:cs="Arial"/>
          <w:bCs/>
          <w:sz w:val="22"/>
          <w:lang w:val="es-ES_tradnl"/>
        </w:rPr>
        <w:t xml:space="preserve"> asumido en otras tipologías contractuales.</w:t>
      </w:r>
    </w:p>
    <w:p w14:paraId="41452072" w14:textId="77777777" w:rsidR="009C3282" w:rsidRPr="0077525B" w:rsidRDefault="009C3282" w:rsidP="009C3282">
      <w:pPr>
        <w:tabs>
          <w:tab w:val="left" w:pos="0"/>
        </w:tabs>
        <w:spacing w:before="120" w:line="276" w:lineRule="auto"/>
        <w:ind w:firstLine="709"/>
        <w:jc w:val="both"/>
        <w:rPr>
          <w:rFonts w:ascii="Arial" w:eastAsia="Calibri" w:hAnsi="Arial" w:cs="Arial"/>
          <w:bCs/>
          <w:sz w:val="22"/>
          <w:lang w:val="es-ES_tradnl"/>
        </w:rPr>
      </w:pPr>
      <w:r w:rsidRPr="0077525B">
        <w:rPr>
          <w:rFonts w:ascii="Arial" w:eastAsia="Calibri" w:hAnsi="Arial" w:cs="Arial"/>
          <w:bCs/>
          <w:sz w:val="22"/>
          <w:lang w:val="es-ES_tradnl"/>
        </w:rPr>
        <w:t>Por lo anterior, la doctrina nacional ha expresado que «las APP no constituyen un instrumento absolutamente novedoso en el derecho colombiano, pues los contratos con los que se pretende instrumentarlas –ya sea el caso de una concesión u otro tipo contractual– son figuras que ya existían en nuestra legislación»</w:t>
      </w:r>
      <w:r w:rsidRPr="0077525B">
        <w:rPr>
          <w:rStyle w:val="Refdenotaalpie"/>
          <w:rFonts w:ascii="Arial" w:eastAsia="Calibri" w:hAnsi="Arial" w:cs="Arial"/>
          <w:bCs/>
          <w:sz w:val="22"/>
          <w:lang w:val="es-ES_tradnl"/>
        </w:rPr>
        <w:footnoteReference w:id="4"/>
      </w:r>
      <w:r w:rsidRPr="0077525B">
        <w:rPr>
          <w:rFonts w:ascii="Arial" w:eastAsia="Calibri" w:hAnsi="Arial" w:cs="Arial"/>
          <w:bCs/>
          <w:sz w:val="22"/>
          <w:lang w:val="es-ES_tradnl"/>
        </w:rPr>
        <w:t xml:space="preserve">. Es por ello que, refiriéndose a la Ley 1508 de 2012, la Sala de Consulta y Servicio Civil del Consejo de Estado ha afirmado: </w:t>
      </w:r>
    </w:p>
    <w:p w14:paraId="13FA7FF9" w14:textId="77777777" w:rsidR="009C3282" w:rsidRPr="0077525B" w:rsidRDefault="009C3282" w:rsidP="009C3282">
      <w:pPr>
        <w:ind w:left="709" w:right="709"/>
        <w:jc w:val="both"/>
        <w:rPr>
          <w:rFonts w:ascii="Arial" w:eastAsia="Calibri" w:hAnsi="Arial" w:cs="Arial"/>
          <w:bCs/>
          <w:sz w:val="21"/>
          <w:szCs w:val="21"/>
          <w:lang w:val="es-ES_tradnl"/>
        </w:rPr>
      </w:pPr>
    </w:p>
    <w:p w14:paraId="0C0C1CAC" w14:textId="77777777" w:rsidR="009C3282" w:rsidRPr="0077525B" w:rsidRDefault="009C3282" w:rsidP="009C3282">
      <w:pPr>
        <w:ind w:left="709" w:right="709"/>
        <w:jc w:val="both"/>
        <w:rPr>
          <w:rFonts w:ascii="Arial" w:eastAsia="Calibri" w:hAnsi="Arial" w:cs="Arial"/>
          <w:bCs/>
          <w:sz w:val="21"/>
          <w:szCs w:val="21"/>
          <w:lang w:val="es-ES_tradnl"/>
        </w:rPr>
      </w:pPr>
      <w:r w:rsidRPr="0077525B">
        <w:rPr>
          <w:rFonts w:ascii="Arial" w:eastAsia="Calibri" w:hAnsi="Arial" w:cs="Arial"/>
          <w:bCs/>
          <w:sz w:val="21"/>
          <w:szCs w:val="21"/>
          <w:lang w:val="es-ES_tradnl"/>
        </w:rPr>
        <w:lastRenderedPageBreak/>
        <w:t>Según los antecedentes legislativos, la citada normatividad tiene por objeto promover nuevos esquemas de participación privada y optimizar los mecanismos existentes para la provisión de servicios de infraestructura productiva y social en diferentes sectores, tales como (i) infraestructura, mantenimiento de equipos y desarrollo de capacidades estratégicas en el sector de defensa; (ii) distritos de riego y adecuación de tierras; (iii) infraestructura social en educación, salud y atención integral a la primera infancia; (iv) infraestructura física de entidades públicas; (v) rehabilitación y mantenimiento vial y (vi) desarrollo de infraestructura logística, entre otros</w:t>
      </w:r>
      <w:r w:rsidRPr="0077525B">
        <w:rPr>
          <w:rStyle w:val="Refdenotaalpie"/>
          <w:rFonts w:ascii="Arial" w:eastAsia="Calibri" w:hAnsi="Arial" w:cs="Arial"/>
          <w:bCs/>
          <w:sz w:val="21"/>
          <w:szCs w:val="21"/>
          <w:lang w:val="es-ES_tradnl"/>
        </w:rPr>
        <w:footnoteReference w:id="5"/>
      </w:r>
      <w:r w:rsidRPr="0077525B">
        <w:rPr>
          <w:rFonts w:ascii="Arial" w:eastAsia="Calibri" w:hAnsi="Arial" w:cs="Arial"/>
          <w:bCs/>
          <w:sz w:val="21"/>
          <w:szCs w:val="21"/>
          <w:lang w:val="es-ES_tradnl"/>
        </w:rPr>
        <w:t>.</w:t>
      </w:r>
    </w:p>
    <w:p w14:paraId="47B4A237" w14:textId="77777777" w:rsidR="009C3282" w:rsidRPr="0077525B" w:rsidRDefault="009C3282" w:rsidP="009C3282">
      <w:pPr>
        <w:tabs>
          <w:tab w:val="left" w:pos="0"/>
        </w:tabs>
        <w:spacing w:line="276" w:lineRule="auto"/>
        <w:ind w:firstLine="709"/>
        <w:jc w:val="both"/>
        <w:rPr>
          <w:rFonts w:ascii="Arial" w:eastAsia="Calibri" w:hAnsi="Arial" w:cs="Arial"/>
          <w:bCs/>
          <w:sz w:val="22"/>
          <w:lang w:val="es-ES_tradnl"/>
        </w:rPr>
      </w:pPr>
    </w:p>
    <w:p w14:paraId="7D383330" w14:textId="50F20907" w:rsidR="008C7522" w:rsidRPr="0077525B" w:rsidRDefault="00A63DCD" w:rsidP="00A63DCD">
      <w:pPr>
        <w:tabs>
          <w:tab w:val="left" w:pos="0"/>
        </w:tabs>
        <w:spacing w:after="120" w:line="276" w:lineRule="auto"/>
        <w:jc w:val="both"/>
        <w:rPr>
          <w:rFonts w:ascii="Arial" w:eastAsia="Calibri" w:hAnsi="Arial" w:cs="Arial"/>
          <w:bCs/>
          <w:sz w:val="22"/>
          <w:lang w:val="es-ES_tradnl"/>
        </w:rPr>
      </w:pPr>
      <w:r w:rsidRPr="0077525B">
        <w:rPr>
          <w:rFonts w:ascii="Arial" w:eastAsia="Calibri" w:hAnsi="Arial" w:cs="Arial"/>
          <w:bCs/>
          <w:sz w:val="22"/>
          <w:lang w:val="es-ES_tradnl"/>
        </w:rPr>
        <w:tab/>
        <w:t>E</w:t>
      </w:r>
      <w:r w:rsidR="008C7522" w:rsidRPr="0077525B">
        <w:rPr>
          <w:rFonts w:ascii="Arial" w:eastAsia="Calibri" w:hAnsi="Arial" w:cs="Arial"/>
          <w:bCs/>
          <w:sz w:val="22"/>
          <w:lang w:val="es-ES_tradnl"/>
        </w:rPr>
        <w:t xml:space="preserve">n la petición se indaga </w:t>
      </w:r>
      <w:r w:rsidR="00A122B6" w:rsidRPr="0077525B">
        <w:rPr>
          <w:rFonts w:ascii="Arial" w:eastAsia="Calibri" w:hAnsi="Arial" w:cs="Arial"/>
          <w:bCs/>
          <w:sz w:val="22"/>
          <w:lang w:val="es-ES_tradnl"/>
        </w:rPr>
        <w:t>sobre</w:t>
      </w:r>
      <w:r w:rsidR="008C7522" w:rsidRPr="0077525B">
        <w:rPr>
          <w:rFonts w:ascii="Arial" w:eastAsia="Calibri" w:hAnsi="Arial" w:cs="Arial"/>
          <w:bCs/>
          <w:sz w:val="22"/>
          <w:lang w:val="es-ES_tradnl"/>
        </w:rPr>
        <w:t xml:space="preserve"> la posibilidad </w:t>
      </w:r>
      <w:r w:rsidR="00212BC9" w:rsidRPr="0077525B">
        <w:rPr>
          <w:rFonts w:ascii="Arial" w:eastAsia="Calibri" w:hAnsi="Arial" w:cs="Arial"/>
          <w:bCs/>
          <w:sz w:val="22"/>
          <w:lang w:val="es-ES_tradnl"/>
        </w:rPr>
        <w:t xml:space="preserve">que tiene una </w:t>
      </w:r>
      <w:r w:rsidR="008C7522" w:rsidRPr="0077525B">
        <w:rPr>
          <w:rFonts w:ascii="Arial" w:eastAsia="Calibri" w:hAnsi="Arial" w:cs="Arial"/>
          <w:bCs/>
          <w:sz w:val="22"/>
          <w:lang w:val="es-ES_tradnl"/>
        </w:rPr>
        <w:t>empresa industrial y comercial del Estado</w:t>
      </w:r>
      <w:r w:rsidR="00212BC9" w:rsidRPr="0077525B">
        <w:rPr>
          <w:rFonts w:ascii="Arial" w:eastAsia="Calibri" w:hAnsi="Arial" w:cs="Arial"/>
          <w:bCs/>
          <w:sz w:val="22"/>
          <w:lang w:val="es-ES_tradnl"/>
        </w:rPr>
        <w:t xml:space="preserve"> para suscribir contratos de asociación público-privada con personas jurídicas de carácter privado</w:t>
      </w:r>
      <w:r w:rsidR="008C7522" w:rsidRPr="0077525B">
        <w:rPr>
          <w:rFonts w:ascii="Arial" w:eastAsia="Calibri" w:hAnsi="Arial" w:cs="Arial"/>
          <w:bCs/>
          <w:sz w:val="22"/>
          <w:lang w:val="es-ES_tradnl"/>
        </w:rPr>
        <w:t>. Al respecto hay que decir que el inciso primero del artículo 8 de la Ley 1508 de 2012, establece que «para la celebración y ejecución de contratos o convenios interadministrativos regidos por la Ley 80 de 1993, 1150 de 2007 y 489 de 1998, que tengan por objeto el desarrollo de esquemas de asociación público privada, las entidades estatales deberán cumplir con los procedimientos de estructuración, aprobación y gestión contractual previstos en la presente ley»</w:t>
      </w:r>
      <w:r w:rsidR="00F90F0B" w:rsidRPr="0077525B">
        <w:rPr>
          <w:rFonts w:ascii="Arial" w:eastAsia="Calibri" w:hAnsi="Arial" w:cs="Arial"/>
          <w:bCs/>
          <w:sz w:val="22"/>
          <w:lang w:val="es-ES_tradnl"/>
        </w:rPr>
        <w:t>.</w:t>
      </w:r>
      <w:r w:rsidR="008C7522" w:rsidRPr="0077525B">
        <w:rPr>
          <w:rFonts w:ascii="Arial" w:eastAsia="Calibri" w:hAnsi="Arial" w:cs="Arial"/>
          <w:bCs/>
          <w:sz w:val="22"/>
          <w:lang w:val="es-ES_tradnl"/>
        </w:rPr>
        <w:t xml:space="preserve"> </w:t>
      </w:r>
      <w:r w:rsidR="00F90F0B" w:rsidRPr="0077525B">
        <w:rPr>
          <w:rFonts w:ascii="Arial" w:eastAsia="Calibri" w:hAnsi="Arial" w:cs="Arial"/>
          <w:bCs/>
          <w:sz w:val="22"/>
          <w:lang w:val="es-ES_tradnl"/>
        </w:rPr>
        <w:t>A su vez,</w:t>
      </w:r>
      <w:r w:rsidR="008C7522" w:rsidRPr="0077525B">
        <w:rPr>
          <w:rFonts w:ascii="Arial" w:eastAsia="Calibri" w:hAnsi="Arial" w:cs="Arial"/>
          <w:bCs/>
          <w:sz w:val="22"/>
          <w:lang w:val="es-ES_tradnl"/>
        </w:rPr>
        <w:t xml:space="preserve"> el parágrafo </w:t>
      </w:r>
      <w:r w:rsidRPr="0077525B">
        <w:rPr>
          <w:rFonts w:ascii="Arial" w:eastAsia="Calibri" w:hAnsi="Arial" w:cs="Arial"/>
          <w:bCs/>
          <w:sz w:val="22"/>
          <w:lang w:val="es-ES_tradnl"/>
        </w:rPr>
        <w:t>de dicho artículo avala la posibilidad de que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y las empresas de servicios públicos domiciliarios oficiales o mixtas, actúen como contratantes en asociaci</w:t>
      </w:r>
      <w:r w:rsidR="00245755" w:rsidRPr="0077525B">
        <w:rPr>
          <w:rFonts w:ascii="Arial" w:eastAsia="Calibri" w:hAnsi="Arial" w:cs="Arial"/>
          <w:bCs/>
          <w:sz w:val="22"/>
          <w:lang w:val="es-ES_tradnl"/>
        </w:rPr>
        <w:t>ones</w:t>
      </w:r>
      <w:r w:rsidRPr="0077525B">
        <w:rPr>
          <w:rFonts w:ascii="Arial" w:eastAsia="Calibri" w:hAnsi="Arial" w:cs="Arial"/>
          <w:bCs/>
          <w:sz w:val="22"/>
          <w:lang w:val="es-ES_tradnl"/>
        </w:rPr>
        <w:t xml:space="preserve"> público</w:t>
      </w:r>
      <w:r w:rsidR="00245755" w:rsidRPr="0077525B">
        <w:rPr>
          <w:rFonts w:ascii="Arial" w:eastAsia="Calibri" w:hAnsi="Arial" w:cs="Arial"/>
          <w:bCs/>
          <w:sz w:val="22"/>
          <w:lang w:val="es-ES_tradnl"/>
        </w:rPr>
        <w:t>-</w:t>
      </w:r>
      <w:r w:rsidRPr="0077525B">
        <w:rPr>
          <w:rFonts w:ascii="Arial" w:eastAsia="Calibri" w:hAnsi="Arial" w:cs="Arial"/>
          <w:bCs/>
          <w:sz w:val="22"/>
          <w:lang w:val="es-ES_tradnl"/>
        </w:rPr>
        <w:t>privada</w:t>
      </w:r>
      <w:r w:rsidR="00245755" w:rsidRPr="0077525B">
        <w:rPr>
          <w:rFonts w:ascii="Arial" w:eastAsia="Calibri" w:hAnsi="Arial" w:cs="Arial"/>
          <w:bCs/>
          <w:sz w:val="22"/>
          <w:lang w:val="es-ES_tradnl"/>
        </w:rPr>
        <w:t>s</w:t>
      </w:r>
      <w:r w:rsidRPr="0077525B">
        <w:rPr>
          <w:rFonts w:ascii="Arial" w:eastAsia="Calibri" w:hAnsi="Arial" w:cs="Arial"/>
          <w:bCs/>
          <w:sz w:val="22"/>
          <w:lang w:val="es-ES_tradnl"/>
        </w:rPr>
        <w:t>, caso en el cual, independientemente del régimen de contratación que les sea aplicable, deberán aplicar también lo dispuesto en la Ley 1508 de 2012</w:t>
      </w:r>
      <w:r w:rsidR="00245755" w:rsidRPr="0077525B">
        <w:rPr>
          <w:rStyle w:val="Refdenotaalpie"/>
          <w:rFonts w:ascii="Arial" w:eastAsia="Calibri" w:hAnsi="Arial" w:cs="Arial"/>
          <w:bCs/>
          <w:sz w:val="22"/>
          <w:lang w:val="es-ES_tradnl"/>
        </w:rPr>
        <w:footnoteReference w:id="6"/>
      </w:r>
      <w:r w:rsidRPr="0077525B">
        <w:rPr>
          <w:rFonts w:ascii="Arial" w:eastAsia="Calibri" w:hAnsi="Arial" w:cs="Arial"/>
          <w:bCs/>
          <w:sz w:val="22"/>
          <w:lang w:val="es-ES_tradnl"/>
        </w:rPr>
        <w:t xml:space="preserve">. </w:t>
      </w:r>
    </w:p>
    <w:p w14:paraId="4DE6ED8C" w14:textId="6AB2D81A" w:rsidR="008C7522" w:rsidRPr="0077525B" w:rsidRDefault="0006670C" w:rsidP="00245755">
      <w:pPr>
        <w:tabs>
          <w:tab w:val="left" w:pos="0"/>
        </w:tabs>
        <w:spacing w:after="120" w:line="276" w:lineRule="auto"/>
        <w:ind w:firstLine="709"/>
        <w:jc w:val="both"/>
        <w:rPr>
          <w:rFonts w:ascii="Arial" w:eastAsia="Calibri" w:hAnsi="Arial" w:cs="Arial"/>
          <w:bCs/>
          <w:sz w:val="22"/>
          <w:lang w:val="es-ES_tradnl"/>
        </w:rPr>
      </w:pPr>
      <w:r w:rsidRPr="0077525B">
        <w:rPr>
          <w:rFonts w:ascii="Arial" w:eastAsia="Calibri" w:hAnsi="Arial" w:cs="Arial"/>
          <w:bCs/>
          <w:sz w:val="22"/>
          <w:lang w:val="es-ES_tradnl"/>
        </w:rPr>
        <w:lastRenderedPageBreak/>
        <w:t>De igual forma</w:t>
      </w:r>
      <w:r w:rsidR="00245755" w:rsidRPr="0077525B">
        <w:rPr>
          <w:rFonts w:ascii="Arial" w:eastAsia="Calibri" w:hAnsi="Arial" w:cs="Arial"/>
          <w:bCs/>
          <w:sz w:val="22"/>
          <w:lang w:val="es-ES_tradnl"/>
        </w:rPr>
        <w:t>, e</w:t>
      </w:r>
      <w:r w:rsidR="00A63DCD" w:rsidRPr="0077525B">
        <w:rPr>
          <w:rFonts w:ascii="Arial" w:eastAsia="Calibri" w:hAnsi="Arial" w:cs="Arial"/>
          <w:bCs/>
          <w:sz w:val="22"/>
          <w:lang w:val="es-ES_tradnl"/>
        </w:rPr>
        <w:t xml:space="preserve">l último inciso del parágrafo del artículo 8, dispone que las entidades </w:t>
      </w:r>
      <w:r w:rsidR="00245755" w:rsidRPr="0077525B">
        <w:rPr>
          <w:rFonts w:ascii="Arial" w:eastAsia="Calibri" w:hAnsi="Arial" w:cs="Arial"/>
          <w:bCs/>
          <w:sz w:val="22"/>
          <w:lang w:val="es-ES_tradnl"/>
        </w:rPr>
        <w:t xml:space="preserve">antes </w:t>
      </w:r>
      <w:r w:rsidR="00A63DCD" w:rsidRPr="0077525B">
        <w:rPr>
          <w:rFonts w:ascii="Arial" w:eastAsia="Calibri" w:hAnsi="Arial" w:cs="Arial"/>
          <w:bCs/>
          <w:sz w:val="22"/>
          <w:lang w:val="es-ES_tradnl"/>
        </w:rPr>
        <w:t>mencionadas también podrán «</w:t>
      </w:r>
      <w:r w:rsidR="00A63DCD" w:rsidRPr="0077525B">
        <w:rPr>
          <w:rFonts w:ascii="Arial" w:hAnsi="Arial" w:cs="Arial"/>
          <w:sz w:val="22"/>
          <w:szCs w:val="22"/>
        </w:rPr>
        <w:t>presentar oferta para participar en los procesos de selección de esquemas de asociación público- privada regidos por esta ley, siempre que cumplan con los requisitos establecidos para el efecto en el respectivo proceso de selección». De esto se sigue que tales entidades tienen la posibilidad de</w:t>
      </w:r>
      <w:r w:rsidR="00F90F0B" w:rsidRPr="0077525B">
        <w:rPr>
          <w:rFonts w:ascii="Arial" w:hAnsi="Arial" w:cs="Arial"/>
          <w:sz w:val="22"/>
          <w:szCs w:val="22"/>
        </w:rPr>
        <w:t xml:space="preserve"> ser parte </w:t>
      </w:r>
      <w:r w:rsidR="00245755" w:rsidRPr="0077525B">
        <w:rPr>
          <w:rFonts w:ascii="Arial" w:hAnsi="Arial" w:cs="Arial"/>
          <w:sz w:val="22"/>
          <w:szCs w:val="22"/>
        </w:rPr>
        <w:t>en esquemas de asociación público privad</w:t>
      </w:r>
      <w:r w:rsidR="00DA25E3" w:rsidRPr="0077525B">
        <w:rPr>
          <w:rFonts w:ascii="Arial" w:hAnsi="Arial" w:cs="Arial"/>
          <w:sz w:val="22"/>
          <w:szCs w:val="22"/>
        </w:rPr>
        <w:t>a</w:t>
      </w:r>
      <w:r w:rsidR="00245755" w:rsidRPr="0077525B">
        <w:rPr>
          <w:rFonts w:ascii="Arial" w:hAnsi="Arial" w:cs="Arial"/>
          <w:sz w:val="22"/>
          <w:szCs w:val="22"/>
        </w:rPr>
        <w:t xml:space="preserve"> en calidad de contratistas o ejecutores del proyecto, </w:t>
      </w:r>
      <w:r w:rsidR="00F90F0B" w:rsidRPr="0077525B">
        <w:rPr>
          <w:rFonts w:ascii="Arial" w:hAnsi="Arial" w:cs="Arial"/>
          <w:sz w:val="22"/>
          <w:szCs w:val="22"/>
        </w:rPr>
        <w:t>para lo</w:t>
      </w:r>
      <w:r w:rsidR="00245755" w:rsidRPr="0077525B">
        <w:rPr>
          <w:rFonts w:ascii="Arial" w:hAnsi="Arial" w:cs="Arial"/>
          <w:sz w:val="22"/>
          <w:szCs w:val="22"/>
        </w:rPr>
        <w:t xml:space="preserve"> cual deberán sujetarse a</w:t>
      </w:r>
      <w:r w:rsidR="00F90F0B" w:rsidRPr="0077525B">
        <w:rPr>
          <w:rFonts w:ascii="Arial" w:hAnsi="Arial" w:cs="Arial"/>
          <w:sz w:val="22"/>
          <w:szCs w:val="22"/>
        </w:rPr>
        <w:t xml:space="preserve"> las reglas de</w:t>
      </w:r>
      <w:r w:rsidR="00245755" w:rsidRPr="0077525B">
        <w:rPr>
          <w:rFonts w:ascii="Arial" w:hAnsi="Arial" w:cs="Arial"/>
          <w:sz w:val="22"/>
          <w:szCs w:val="22"/>
        </w:rPr>
        <w:t xml:space="preserve"> los procedimientos de selección regulados por la Ley 1508 de 2012.</w:t>
      </w:r>
    </w:p>
    <w:p w14:paraId="77BFE681" w14:textId="4B57DA66" w:rsidR="009C3282" w:rsidRPr="0077525B" w:rsidRDefault="009C3282" w:rsidP="00245755">
      <w:pPr>
        <w:tabs>
          <w:tab w:val="left" w:pos="0"/>
        </w:tabs>
        <w:spacing w:line="276" w:lineRule="auto"/>
        <w:ind w:firstLine="709"/>
        <w:jc w:val="both"/>
        <w:rPr>
          <w:rFonts w:ascii="Arial" w:eastAsia="Calibri" w:hAnsi="Arial" w:cs="Arial"/>
          <w:bCs/>
          <w:sz w:val="22"/>
          <w:lang w:val="es-ES_tradnl"/>
        </w:rPr>
      </w:pPr>
      <w:r w:rsidRPr="0077525B">
        <w:rPr>
          <w:rFonts w:ascii="Arial" w:eastAsia="Calibri" w:hAnsi="Arial" w:cs="Arial"/>
          <w:bCs/>
          <w:sz w:val="22"/>
          <w:lang w:val="es-ES_tradnl"/>
        </w:rPr>
        <w:t xml:space="preserve">A continuación, se </w:t>
      </w:r>
      <w:r w:rsidR="00245755" w:rsidRPr="0077525B">
        <w:rPr>
          <w:rFonts w:ascii="Arial" w:eastAsia="Calibri" w:hAnsi="Arial" w:cs="Arial"/>
          <w:bCs/>
          <w:sz w:val="22"/>
          <w:lang w:val="es-ES_tradnl"/>
        </w:rPr>
        <w:t>estudiarán</w:t>
      </w:r>
      <w:r w:rsidRPr="0077525B">
        <w:rPr>
          <w:rFonts w:ascii="Arial" w:eastAsia="Calibri" w:hAnsi="Arial" w:cs="Arial"/>
          <w:bCs/>
          <w:sz w:val="22"/>
          <w:lang w:val="es-ES_tradnl"/>
        </w:rPr>
        <w:t xml:space="preserve"> l</w:t>
      </w:r>
      <w:r w:rsidR="00245755" w:rsidRPr="0077525B">
        <w:rPr>
          <w:rFonts w:ascii="Arial" w:eastAsia="Calibri" w:hAnsi="Arial" w:cs="Arial"/>
          <w:bCs/>
          <w:sz w:val="22"/>
          <w:lang w:val="es-ES_tradnl"/>
        </w:rPr>
        <w:t>os</w:t>
      </w:r>
      <w:r w:rsidRPr="0077525B">
        <w:rPr>
          <w:rFonts w:ascii="Arial" w:eastAsia="Calibri" w:hAnsi="Arial" w:cs="Arial"/>
          <w:bCs/>
          <w:sz w:val="22"/>
          <w:lang w:val="es-ES_tradnl"/>
        </w:rPr>
        <w:t xml:space="preserve"> procedimiento</w:t>
      </w:r>
      <w:r w:rsidR="00245755" w:rsidRPr="0077525B">
        <w:rPr>
          <w:rFonts w:ascii="Arial" w:eastAsia="Calibri" w:hAnsi="Arial" w:cs="Arial"/>
          <w:bCs/>
          <w:sz w:val="22"/>
          <w:lang w:val="es-ES_tradnl"/>
        </w:rPr>
        <w:t>s</w:t>
      </w:r>
      <w:r w:rsidRPr="0077525B">
        <w:rPr>
          <w:rFonts w:ascii="Arial" w:eastAsia="Calibri" w:hAnsi="Arial" w:cs="Arial"/>
          <w:bCs/>
          <w:sz w:val="22"/>
          <w:lang w:val="es-ES_tradnl"/>
        </w:rPr>
        <w:t xml:space="preserve"> contractual</w:t>
      </w:r>
      <w:r w:rsidR="00245755" w:rsidRPr="0077525B">
        <w:rPr>
          <w:rFonts w:ascii="Arial" w:eastAsia="Calibri" w:hAnsi="Arial" w:cs="Arial"/>
          <w:bCs/>
          <w:sz w:val="22"/>
          <w:lang w:val="es-ES_tradnl"/>
        </w:rPr>
        <w:t>es</w:t>
      </w:r>
      <w:r w:rsidRPr="0077525B">
        <w:rPr>
          <w:rFonts w:ascii="Arial" w:eastAsia="Calibri" w:hAnsi="Arial" w:cs="Arial"/>
          <w:bCs/>
          <w:sz w:val="22"/>
          <w:lang w:val="es-ES_tradnl"/>
        </w:rPr>
        <w:t xml:space="preserve"> establecido</w:t>
      </w:r>
      <w:r w:rsidR="00245755" w:rsidRPr="0077525B">
        <w:rPr>
          <w:rFonts w:ascii="Arial" w:eastAsia="Calibri" w:hAnsi="Arial" w:cs="Arial"/>
          <w:bCs/>
          <w:sz w:val="22"/>
          <w:lang w:val="es-ES_tradnl"/>
        </w:rPr>
        <w:t>s</w:t>
      </w:r>
      <w:r w:rsidRPr="0077525B">
        <w:rPr>
          <w:rFonts w:ascii="Arial" w:eastAsia="Calibri" w:hAnsi="Arial" w:cs="Arial"/>
          <w:bCs/>
          <w:sz w:val="22"/>
          <w:lang w:val="es-ES_tradnl"/>
        </w:rPr>
        <w:t xml:space="preserve"> en la mencionada Ley para celebrar asociaciones público-privadas de iniciativa</w:t>
      </w:r>
      <w:r w:rsidR="00245755" w:rsidRPr="0077525B">
        <w:rPr>
          <w:rFonts w:ascii="Arial" w:eastAsia="Calibri" w:hAnsi="Arial" w:cs="Arial"/>
          <w:bCs/>
          <w:sz w:val="22"/>
          <w:lang w:val="es-ES_tradnl"/>
        </w:rPr>
        <w:t xml:space="preserve"> pública</w:t>
      </w:r>
      <w:r w:rsidR="00A47D7D" w:rsidRPr="0077525B">
        <w:rPr>
          <w:rFonts w:ascii="Arial" w:eastAsia="Calibri" w:hAnsi="Arial" w:cs="Arial"/>
          <w:bCs/>
          <w:sz w:val="22"/>
          <w:lang w:val="es-ES_tradnl"/>
        </w:rPr>
        <w:t xml:space="preserve"> y privada</w:t>
      </w:r>
      <w:r w:rsidRPr="0077525B">
        <w:rPr>
          <w:rFonts w:ascii="Arial" w:eastAsia="Calibri" w:hAnsi="Arial" w:cs="Arial"/>
          <w:bCs/>
          <w:sz w:val="22"/>
          <w:lang w:val="es-ES_tradnl"/>
        </w:rPr>
        <w:t>. A partir de tales consideraciones, se resolverán los interrogantes planteados en la consulta.</w:t>
      </w:r>
    </w:p>
    <w:p w14:paraId="4541C742" w14:textId="77777777" w:rsidR="00FC778C" w:rsidRPr="0077525B" w:rsidRDefault="00FC778C" w:rsidP="009C3282">
      <w:pPr>
        <w:tabs>
          <w:tab w:val="left" w:pos="426"/>
        </w:tabs>
        <w:spacing w:line="276" w:lineRule="auto"/>
        <w:jc w:val="both"/>
        <w:rPr>
          <w:rFonts w:ascii="Arial" w:eastAsia="Calibri" w:hAnsi="Arial" w:cs="Arial"/>
          <w:b/>
          <w:bCs/>
          <w:sz w:val="22"/>
          <w:lang w:val="es-ES_tradnl"/>
        </w:rPr>
      </w:pPr>
    </w:p>
    <w:p w14:paraId="0B36FF58" w14:textId="24DA70C9" w:rsidR="009C3282" w:rsidRPr="0077525B" w:rsidRDefault="004665AB" w:rsidP="009C3282">
      <w:pPr>
        <w:tabs>
          <w:tab w:val="left" w:pos="426"/>
        </w:tabs>
        <w:spacing w:line="276" w:lineRule="auto"/>
        <w:jc w:val="both"/>
        <w:rPr>
          <w:rFonts w:ascii="Arial" w:eastAsia="Calibri" w:hAnsi="Arial" w:cs="Arial"/>
          <w:b/>
          <w:bCs/>
          <w:sz w:val="22"/>
          <w:lang w:val="es-ES"/>
        </w:rPr>
      </w:pPr>
      <w:r w:rsidRPr="0077525B">
        <w:rPr>
          <w:rFonts w:ascii="Arial" w:eastAsia="Calibri" w:hAnsi="Arial" w:cs="Arial"/>
          <w:b/>
          <w:bCs/>
          <w:i/>
          <w:iCs/>
          <w:sz w:val="22"/>
          <w:lang w:val="es-ES_tradnl"/>
        </w:rPr>
        <w:tab/>
      </w:r>
      <w:r w:rsidR="009C3282" w:rsidRPr="00CC4F51">
        <w:rPr>
          <w:rFonts w:ascii="Arial" w:eastAsia="Calibri" w:hAnsi="Arial" w:cs="Arial"/>
          <w:b/>
          <w:bCs/>
          <w:i/>
          <w:iCs/>
          <w:sz w:val="22"/>
          <w:lang w:val="es-ES_tradnl"/>
        </w:rPr>
        <w:t>2.</w:t>
      </w:r>
      <w:r w:rsidRPr="00CC4F51">
        <w:rPr>
          <w:rFonts w:ascii="Arial" w:eastAsia="Calibri" w:hAnsi="Arial" w:cs="Arial"/>
          <w:b/>
          <w:bCs/>
          <w:i/>
          <w:iCs/>
          <w:sz w:val="22"/>
          <w:lang w:val="es-ES_tradnl"/>
        </w:rPr>
        <w:t>1.1.</w:t>
      </w:r>
      <w:r w:rsidR="009C3282" w:rsidRPr="0077525B">
        <w:rPr>
          <w:rFonts w:ascii="Arial" w:eastAsia="Calibri" w:hAnsi="Arial" w:cs="Arial"/>
          <w:b/>
          <w:bCs/>
          <w:sz w:val="22"/>
          <w:lang w:val="es-ES_tradnl"/>
        </w:rPr>
        <w:t xml:space="preserve"> </w:t>
      </w:r>
      <w:bookmarkStart w:id="3" w:name="_Hlk97562747"/>
      <w:r w:rsidR="009C3282" w:rsidRPr="0077525B">
        <w:rPr>
          <w:rFonts w:ascii="Arial" w:eastAsia="Calibri" w:hAnsi="Arial" w:cs="Arial"/>
          <w:b/>
          <w:bCs/>
          <w:sz w:val="22"/>
          <w:lang w:val="es-ES_tradnl"/>
        </w:rPr>
        <w:t xml:space="preserve">Procedimiento contractual en los proyectos de APP de iniciativa </w:t>
      </w:r>
      <w:r w:rsidR="00E45571" w:rsidRPr="0077525B">
        <w:rPr>
          <w:rFonts w:ascii="Arial" w:eastAsia="Calibri" w:hAnsi="Arial" w:cs="Arial"/>
          <w:b/>
          <w:bCs/>
          <w:sz w:val="22"/>
          <w:lang w:val="es-ES_tradnl"/>
        </w:rPr>
        <w:t>pública</w:t>
      </w:r>
      <w:r w:rsidR="009C3282" w:rsidRPr="0077525B">
        <w:rPr>
          <w:rFonts w:ascii="Arial" w:eastAsia="Calibri" w:hAnsi="Arial" w:cs="Arial"/>
          <w:b/>
          <w:bCs/>
          <w:sz w:val="22"/>
          <w:lang w:val="es-ES_tradnl"/>
        </w:rPr>
        <w:t xml:space="preserve"> </w:t>
      </w:r>
      <w:r w:rsidR="00A47D7D" w:rsidRPr="0077525B">
        <w:rPr>
          <w:rFonts w:ascii="Arial" w:eastAsia="Calibri" w:hAnsi="Arial" w:cs="Arial"/>
          <w:b/>
          <w:bCs/>
          <w:sz w:val="22"/>
          <w:lang w:val="es-ES_tradnl"/>
        </w:rPr>
        <w:t>y privada</w:t>
      </w:r>
    </w:p>
    <w:bookmarkEnd w:id="3"/>
    <w:p w14:paraId="57EE95F4" w14:textId="77777777" w:rsidR="009C3282" w:rsidRPr="0077525B" w:rsidRDefault="009C3282" w:rsidP="009C3282">
      <w:pPr>
        <w:tabs>
          <w:tab w:val="left" w:pos="426"/>
        </w:tabs>
        <w:spacing w:line="276" w:lineRule="auto"/>
        <w:jc w:val="both"/>
        <w:rPr>
          <w:rFonts w:ascii="Arial" w:eastAsia="Calibri" w:hAnsi="Arial" w:cs="Arial"/>
          <w:sz w:val="22"/>
          <w:lang w:val="es-ES"/>
        </w:rPr>
      </w:pPr>
    </w:p>
    <w:p w14:paraId="76FB9A50" w14:textId="005F659F" w:rsidR="009C3282" w:rsidRPr="0077525B" w:rsidRDefault="009C3282" w:rsidP="009C3282">
      <w:pPr>
        <w:tabs>
          <w:tab w:val="left" w:pos="426"/>
        </w:tabs>
        <w:spacing w:after="120" w:line="276" w:lineRule="auto"/>
        <w:jc w:val="both"/>
        <w:rPr>
          <w:rFonts w:ascii="Arial" w:eastAsia="Calibri" w:hAnsi="Arial" w:cs="Arial"/>
          <w:sz w:val="22"/>
          <w:lang w:val="es-ES"/>
        </w:rPr>
      </w:pPr>
      <w:r w:rsidRPr="0077525B">
        <w:rPr>
          <w:rFonts w:ascii="Arial" w:eastAsia="Calibri" w:hAnsi="Arial" w:cs="Arial"/>
          <w:sz w:val="22"/>
          <w:lang w:val="es-ES"/>
        </w:rPr>
        <w:t>La Ley 1508 de 2012 regula dos tipos de proyecto de asociación público privada: i) los de iniciativa pública y ii) los de iniciativa privada. En relación con los primeros, es la entidad estatal la que estructura el proyecto y realiza la invitación a participar en el proceso de selección. En los segundos, son los particulares quienes elaboran la propuesta, previa estructuración del proyecto, por su cuenta y riesgo. Los proyectos de asociación pública privada de iniciativa</w:t>
      </w:r>
      <w:r w:rsidR="00205579" w:rsidRPr="0077525B">
        <w:rPr>
          <w:rFonts w:ascii="Arial" w:eastAsia="Calibri" w:hAnsi="Arial" w:cs="Arial"/>
          <w:sz w:val="22"/>
          <w:lang w:val="es-ES"/>
        </w:rPr>
        <w:t xml:space="preserve"> </w:t>
      </w:r>
      <w:r w:rsidR="00205579" w:rsidRPr="0077525B">
        <w:rPr>
          <w:rFonts w:ascii="Arial" w:eastAsia="Calibri" w:hAnsi="Arial" w:cs="Arial"/>
          <w:i/>
          <w:iCs/>
          <w:sz w:val="22"/>
          <w:lang w:val="es-ES"/>
        </w:rPr>
        <w:t>pública</w:t>
      </w:r>
      <w:r w:rsidR="00205579" w:rsidRPr="0077525B">
        <w:rPr>
          <w:rFonts w:ascii="Arial" w:eastAsia="Calibri" w:hAnsi="Arial" w:cs="Arial"/>
          <w:sz w:val="22"/>
          <w:lang w:val="es-ES"/>
        </w:rPr>
        <w:t xml:space="preserve"> y</w:t>
      </w:r>
      <w:r w:rsidRPr="0077525B">
        <w:rPr>
          <w:rFonts w:ascii="Arial" w:eastAsia="Calibri" w:hAnsi="Arial" w:cs="Arial"/>
          <w:sz w:val="22"/>
          <w:lang w:val="es-ES"/>
        </w:rPr>
        <w:t xml:space="preserve"> </w:t>
      </w:r>
      <w:r w:rsidRPr="0077525B">
        <w:rPr>
          <w:rFonts w:ascii="Arial" w:eastAsia="Calibri" w:hAnsi="Arial" w:cs="Arial"/>
          <w:i/>
          <w:iCs/>
          <w:sz w:val="22"/>
          <w:lang w:val="es-ES"/>
        </w:rPr>
        <w:t>privada</w:t>
      </w:r>
      <w:r w:rsidRPr="0077525B">
        <w:rPr>
          <w:rFonts w:ascii="Arial" w:eastAsia="Calibri" w:hAnsi="Arial" w:cs="Arial"/>
          <w:sz w:val="22"/>
          <w:lang w:val="es-ES"/>
        </w:rPr>
        <w:t>, a su vez, se clasifican en dos modalidades: a) los que requieren el desembolso de recursos públicos y b) los que no necesitan dicho desembolso.</w:t>
      </w:r>
    </w:p>
    <w:p w14:paraId="777E052C" w14:textId="116584F5" w:rsidR="00F90F0B" w:rsidRPr="0077525B" w:rsidRDefault="009C3282" w:rsidP="009C3282">
      <w:pPr>
        <w:pStyle w:val="NormalWeb"/>
        <w:spacing w:before="0" w:beforeAutospacing="0" w:after="120" w:afterAutospacing="0" w:line="276" w:lineRule="auto"/>
        <w:jc w:val="both"/>
        <w:rPr>
          <w:rFonts w:ascii="Arial" w:hAnsi="Arial" w:cs="Arial"/>
          <w:sz w:val="22"/>
          <w:szCs w:val="22"/>
        </w:rPr>
      </w:pPr>
      <w:r w:rsidRPr="0077525B">
        <w:rPr>
          <w:rFonts w:ascii="Arial" w:eastAsia="Calibri" w:hAnsi="Arial" w:cs="Arial"/>
          <w:sz w:val="22"/>
          <w:lang w:val="es-ES"/>
        </w:rPr>
        <w:tab/>
        <w:t>Sobre los procedimientos de escogencia, reglas para la celebración y ejecución aplicables a las asociaciones públic</w:t>
      </w:r>
      <w:r w:rsidR="00245755" w:rsidRPr="0077525B">
        <w:rPr>
          <w:rFonts w:ascii="Arial" w:eastAsia="Calibri" w:hAnsi="Arial" w:cs="Arial"/>
          <w:sz w:val="22"/>
          <w:lang w:val="es-ES"/>
        </w:rPr>
        <w:t>o-</w:t>
      </w:r>
      <w:r w:rsidRPr="0077525B">
        <w:rPr>
          <w:rFonts w:ascii="Arial" w:eastAsia="Calibri" w:hAnsi="Arial" w:cs="Arial"/>
          <w:sz w:val="22"/>
          <w:lang w:val="es-ES"/>
        </w:rPr>
        <w:t xml:space="preserve">privadas es importante destacar que el artículo 3 de la Ley 1508 de 2012, al regular el ámbito de aplicación de dicha Ley, determina que los contratos que involucren este tipo de esquemas asociativos se regirán por lo dispuesto en las </w:t>
      </w:r>
      <w:r w:rsidRPr="0077525B">
        <w:rPr>
          <w:rFonts w:ascii="Arial" w:hAnsi="Arial" w:cs="Arial"/>
          <w:sz w:val="22"/>
          <w:szCs w:val="22"/>
        </w:rPr>
        <w:t>Leyes 80 de 1993 y 1150 de 2007, «salvo en las materias particularmente reguladas en la presente ley»</w:t>
      </w:r>
      <w:r w:rsidRPr="0077525B">
        <w:rPr>
          <w:rStyle w:val="Refdenotaalpie"/>
          <w:rFonts w:ascii="Arial" w:hAnsi="Arial" w:cs="Arial"/>
          <w:sz w:val="22"/>
          <w:szCs w:val="22"/>
        </w:rPr>
        <w:footnoteReference w:id="7"/>
      </w:r>
      <w:r w:rsidRPr="0077525B">
        <w:rPr>
          <w:rFonts w:ascii="Arial" w:hAnsi="Arial" w:cs="Arial"/>
          <w:sz w:val="22"/>
          <w:szCs w:val="22"/>
        </w:rPr>
        <w:t xml:space="preserve">. Conforme a esto, en el articulado de la Ley 1508 de 2012 y en el </w:t>
      </w:r>
      <w:r w:rsidRPr="0077525B">
        <w:rPr>
          <w:rFonts w:ascii="Arial" w:hAnsi="Arial" w:cs="Arial"/>
          <w:sz w:val="22"/>
          <w:szCs w:val="22"/>
        </w:rPr>
        <w:lastRenderedPageBreak/>
        <w:t xml:space="preserve">reglamento, </w:t>
      </w:r>
      <w:r w:rsidR="00810363" w:rsidRPr="0077525B">
        <w:rPr>
          <w:rFonts w:ascii="Arial" w:hAnsi="Arial" w:cs="Arial"/>
          <w:sz w:val="22"/>
          <w:szCs w:val="22"/>
        </w:rPr>
        <w:t>hay</w:t>
      </w:r>
      <w:r w:rsidRPr="0077525B">
        <w:rPr>
          <w:rFonts w:ascii="Arial" w:hAnsi="Arial" w:cs="Arial"/>
          <w:sz w:val="22"/>
          <w:szCs w:val="22"/>
        </w:rPr>
        <w:t xml:space="preserve"> una serie de reglas especiales para el desarrollo de procesos de selección diferentes para cada un</w:t>
      </w:r>
      <w:r w:rsidR="00C06384" w:rsidRPr="0077525B">
        <w:rPr>
          <w:rFonts w:ascii="Arial" w:hAnsi="Arial" w:cs="Arial"/>
          <w:sz w:val="22"/>
          <w:szCs w:val="22"/>
        </w:rPr>
        <w:t>a</w:t>
      </w:r>
      <w:r w:rsidRPr="0077525B">
        <w:rPr>
          <w:rFonts w:ascii="Arial" w:hAnsi="Arial" w:cs="Arial"/>
          <w:sz w:val="22"/>
          <w:szCs w:val="22"/>
        </w:rPr>
        <w:t xml:space="preserve"> de las modalidades de asociación público</w:t>
      </w:r>
      <w:r w:rsidR="00F0698C" w:rsidRPr="0077525B">
        <w:rPr>
          <w:rFonts w:ascii="Arial" w:hAnsi="Arial" w:cs="Arial"/>
          <w:sz w:val="22"/>
          <w:szCs w:val="22"/>
        </w:rPr>
        <w:t>-</w:t>
      </w:r>
      <w:r w:rsidRPr="0077525B">
        <w:rPr>
          <w:rFonts w:ascii="Arial" w:hAnsi="Arial" w:cs="Arial"/>
          <w:sz w:val="22"/>
          <w:szCs w:val="22"/>
        </w:rPr>
        <w:t>privada antes precisadas, las cuales son de aplicación prevalente y se complementan con disposiciones del Estatuto General de Contratación de la Administración Pública</w:t>
      </w:r>
      <w:r w:rsidR="00810363" w:rsidRPr="0077525B">
        <w:rPr>
          <w:rFonts w:ascii="Arial" w:hAnsi="Arial" w:cs="Arial"/>
          <w:sz w:val="22"/>
          <w:szCs w:val="22"/>
        </w:rPr>
        <w:t xml:space="preserve"> </w:t>
      </w:r>
      <w:r w:rsidR="006B0BB2" w:rsidRPr="0077525B">
        <w:rPr>
          <w:rFonts w:ascii="Arial" w:hAnsi="Arial" w:cs="Arial"/>
          <w:sz w:val="22"/>
          <w:szCs w:val="22"/>
        </w:rPr>
        <w:t>–</w:t>
      </w:r>
      <w:r w:rsidRPr="0077525B">
        <w:rPr>
          <w:rFonts w:ascii="Arial" w:hAnsi="Arial" w:cs="Arial"/>
          <w:sz w:val="22"/>
          <w:szCs w:val="22"/>
        </w:rPr>
        <w:t>EGCAP</w:t>
      </w:r>
      <w:r w:rsidRPr="0077525B">
        <w:rPr>
          <w:rFonts w:ascii="Arial" w:hAnsi="Arial" w:cs="Arial"/>
          <w:sz w:val="22"/>
          <w:szCs w:val="22"/>
        </w:rPr>
        <w:softHyphen/>
      </w:r>
      <w:r w:rsidRPr="0077525B">
        <w:rPr>
          <w:rFonts w:ascii="Arial" w:hAnsi="Arial" w:cs="Arial"/>
          <w:sz w:val="22"/>
          <w:szCs w:val="22"/>
        </w:rPr>
        <w:softHyphen/>
      </w:r>
      <w:r w:rsidR="003358ED" w:rsidRPr="0077525B">
        <w:rPr>
          <w:rFonts w:ascii="Arial" w:hAnsi="Arial" w:cs="Arial"/>
          <w:sz w:val="22"/>
          <w:szCs w:val="22"/>
        </w:rPr>
        <w:t>–</w:t>
      </w:r>
      <w:r w:rsidRPr="0077525B">
        <w:rPr>
          <w:rFonts w:ascii="Arial" w:hAnsi="Arial" w:cs="Arial"/>
          <w:sz w:val="22"/>
          <w:szCs w:val="22"/>
        </w:rPr>
        <w:t>.</w:t>
      </w:r>
      <w:r w:rsidR="00F90F0B" w:rsidRPr="0077525B">
        <w:rPr>
          <w:rFonts w:ascii="Arial" w:hAnsi="Arial" w:cs="Arial"/>
          <w:sz w:val="22"/>
          <w:szCs w:val="22"/>
        </w:rPr>
        <w:t xml:space="preserve"> </w:t>
      </w:r>
    </w:p>
    <w:p w14:paraId="3989C5CD" w14:textId="085B23C7" w:rsidR="009C3282" w:rsidRPr="0077525B" w:rsidRDefault="002F74A4" w:rsidP="002F4CB6">
      <w:pPr>
        <w:pStyle w:val="NormalWeb"/>
        <w:spacing w:before="0" w:beforeAutospacing="0" w:after="120" w:afterAutospacing="0" w:line="276" w:lineRule="auto"/>
        <w:ind w:firstLine="708"/>
        <w:jc w:val="both"/>
        <w:rPr>
          <w:rFonts w:ascii="Arial" w:hAnsi="Arial" w:cs="Arial"/>
          <w:sz w:val="22"/>
          <w:szCs w:val="22"/>
        </w:rPr>
      </w:pPr>
      <w:r w:rsidRPr="0077525B">
        <w:rPr>
          <w:rFonts w:ascii="Arial" w:hAnsi="Arial" w:cs="Arial"/>
          <w:sz w:val="22"/>
          <w:szCs w:val="22"/>
        </w:rPr>
        <w:t>Por una parte, l</w:t>
      </w:r>
      <w:r w:rsidR="002F4CB6" w:rsidRPr="0077525B">
        <w:rPr>
          <w:rFonts w:ascii="Arial" w:hAnsi="Arial" w:cs="Arial"/>
          <w:sz w:val="22"/>
          <w:szCs w:val="22"/>
        </w:rPr>
        <w:t xml:space="preserve">o referente </w:t>
      </w:r>
      <w:r w:rsidR="00F90F0B" w:rsidRPr="0077525B">
        <w:rPr>
          <w:rFonts w:ascii="Arial" w:hAnsi="Arial" w:cs="Arial"/>
          <w:sz w:val="22"/>
          <w:szCs w:val="22"/>
        </w:rPr>
        <w:t xml:space="preserve">a proyectos de asociación público privada de </w:t>
      </w:r>
      <w:r w:rsidR="00F90F0B" w:rsidRPr="0077525B">
        <w:rPr>
          <w:rFonts w:ascii="Arial" w:hAnsi="Arial" w:cs="Arial"/>
          <w:i/>
          <w:iCs/>
          <w:sz w:val="22"/>
          <w:szCs w:val="22"/>
        </w:rPr>
        <w:t>iniciativa pública</w:t>
      </w:r>
      <w:r w:rsidR="00F90F0B" w:rsidRPr="0077525B">
        <w:rPr>
          <w:rFonts w:ascii="Arial" w:hAnsi="Arial" w:cs="Arial"/>
          <w:sz w:val="22"/>
          <w:szCs w:val="22"/>
        </w:rPr>
        <w:t xml:space="preserve"> </w:t>
      </w:r>
      <w:r w:rsidR="002F4CB6" w:rsidRPr="0077525B">
        <w:rPr>
          <w:rFonts w:ascii="Arial" w:hAnsi="Arial" w:cs="Arial"/>
          <w:sz w:val="22"/>
          <w:szCs w:val="22"/>
        </w:rPr>
        <w:t>es</w:t>
      </w:r>
      <w:r w:rsidR="003358ED" w:rsidRPr="0077525B">
        <w:rPr>
          <w:rFonts w:ascii="Arial" w:hAnsi="Arial" w:cs="Arial"/>
          <w:sz w:val="22"/>
          <w:szCs w:val="22"/>
        </w:rPr>
        <w:t>tá</w:t>
      </w:r>
      <w:r w:rsidR="002F4CB6" w:rsidRPr="0077525B">
        <w:rPr>
          <w:rFonts w:ascii="Arial" w:hAnsi="Arial" w:cs="Arial"/>
          <w:sz w:val="22"/>
          <w:szCs w:val="22"/>
        </w:rPr>
        <w:t xml:space="preserve"> regulado</w:t>
      </w:r>
      <w:r w:rsidR="009C3282" w:rsidRPr="0077525B">
        <w:rPr>
          <w:rFonts w:ascii="Arial" w:hAnsi="Arial" w:cs="Arial"/>
          <w:sz w:val="22"/>
          <w:szCs w:val="22"/>
        </w:rPr>
        <w:t xml:space="preserve"> </w:t>
      </w:r>
      <w:r w:rsidR="002F4CB6" w:rsidRPr="0077525B">
        <w:rPr>
          <w:rFonts w:ascii="Arial" w:hAnsi="Arial" w:cs="Arial"/>
          <w:sz w:val="22"/>
          <w:szCs w:val="22"/>
        </w:rPr>
        <w:t xml:space="preserve">en el </w:t>
      </w:r>
      <w:r w:rsidR="009C3282" w:rsidRPr="0077525B">
        <w:rPr>
          <w:rFonts w:ascii="Arial" w:hAnsi="Arial" w:cs="Arial"/>
          <w:sz w:val="22"/>
          <w:szCs w:val="22"/>
        </w:rPr>
        <w:t xml:space="preserve">Titulo II de la Ley 1508 de 2012, </w:t>
      </w:r>
      <w:r w:rsidR="002F4CB6" w:rsidRPr="0077525B">
        <w:rPr>
          <w:rFonts w:ascii="Arial" w:hAnsi="Arial" w:cs="Arial"/>
          <w:sz w:val="22"/>
          <w:szCs w:val="22"/>
        </w:rPr>
        <w:t xml:space="preserve">en donde </w:t>
      </w:r>
      <w:r w:rsidR="009C3282" w:rsidRPr="0077525B">
        <w:rPr>
          <w:rFonts w:ascii="Arial" w:hAnsi="Arial" w:cs="Arial"/>
          <w:sz w:val="22"/>
          <w:szCs w:val="22"/>
        </w:rPr>
        <w:t>se establecen disposiciones que ratifican la articulación</w:t>
      </w:r>
      <w:r w:rsidR="00245755" w:rsidRPr="0077525B">
        <w:rPr>
          <w:rFonts w:ascii="Arial" w:hAnsi="Arial" w:cs="Arial"/>
          <w:sz w:val="22"/>
          <w:szCs w:val="22"/>
        </w:rPr>
        <w:t xml:space="preserve"> normativa</w:t>
      </w:r>
      <w:r w:rsidR="009C3282" w:rsidRPr="0077525B">
        <w:rPr>
          <w:rFonts w:ascii="Arial" w:hAnsi="Arial" w:cs="Arial"/>
          <w:sz w:val="22"/>
          <w:szCs w:val="22"/>
        </w:rPr>
        <w:t xml:space="preserve"> entre </w:t>
      </w:r>
      <w:r w:rsidR="00F90F0B" w:rsidRPr="0077525B">
        <w:rPr>
          <w:rFonts w:ascii="Arial" w:hAnsi="Arial" w:cs="Arial"/>
          <w:sz w:val="22"/>
          <w:szCs w:val="22"/>
        </w:rPr>
        <w:t>dicha Ley</w:t>
      </w:r>
      <w:r w:rsidR="009C3282" w:rsidRPr="0077525B">
        <w:rPr>
          <w:rFonts w:ascii="Arial" w:hAnsi="Arial" w:cs="Arial"/>
          <w:sz w:val="22"/>
          <w:szCs w:val="22"/>
        </w:rPr>
        <w:t xml:space="preserve"> y lo dispuesto en el EGCAP</w:t>
      </w:r>
      <w:r w:rsidR="003358ED" w:rsidRPr="0077525B">
        <w:rPr>
          <w:rFonts w:ascii="Arial" w:hAnsi="Arial" w:cs="Arial"/>
          <w:sz w:val="22"/>
          <w:szCs w:val="22"/>
        </w:rPr>
        <w:t>,</w:t>
      </w:r>
      <w:r w:rsidR="009C3282" w:rsidRPr="0077525B">
        <w:rPr>
          <w:rFonts w:ascii="Arial" w:hAnsi="Arial" w:cs="Arial"/>
          <w:sz w:val="22"/>
          <w:szCs w:val="22"/>
        </w:rPr>
        <w:t xml:space="preserve"> en cuanto a procedimientos de selección, tal como se desprende del artículo 9</w:t>
      </w:r>
      <w:r w:rsidR="009C3282" w:rsidRPr="0077525B">
        <w:rPr>
          <w:rStyle w:val="Refdenotaalpie"/>
          <w:rFonts w:ascii="Arial" w:hAnsi="Arial" w:cs="Arial"/>
          <w:sz w:val="22"/>
          <w:szCs w:val="22"/>
        </w:rPr>
        <w:footnoteReference w:id="8"/>
      </w:r>
      <w:r w:rsidR="009C3282" w:rsidRPr="0077525B">
        <w:rPr>
          <w:rFonts w:ascii="Arial" w:hAnsi="Arial" w:cs="Arial"/>
          <w:sz w:val="22"/>
          <w:szCs w:val="22"/>
        </w:rPr>
        <w:t>. Por su parte, el artículo 10 estipula la posibilidad de acudir a sistemas de precalificación</w:t>
      </w:r>
      <w:r w:rsidR="002F4CB6" w:rsidRPr="0077525B">
        <w:rPr>
          <w:rStyle w:val="Refdenotaalpie"/>
          <w:rFonts w:ascii="Arial" w:hAnsi="Arial" w:cs="Arial"/>
          <w:sz w:val="22"/>
          <w:szCs w:val="22"/>
        </w:rPr>
        <w:footnoteReference w:id="9"/>
      </w:r>
      <w:r w:rsidR="009C3282" w:rsidRPr="0077525B">
        <w:rPr>
          <w:rFonts w:ascii="Arial" w:hAnsi="Arial" w:cs="Arial"/>
          <w:sz w:val="22"/>
          <w:szCs w:val="22"/>
        </w:rPr>
        <w:t xml:space="preserve">, el 11 </w:t>
      </w:r>
      <w:r w:rsidR="003358ED" w:rsidRPr="0077525B">
        <w:rPr>
          <w:rFonts w:ascii="Arial" w:hAnsi="Arial" w:cs="Arial"/>
          <w:sz w:val="22"/>
          <w:szCs w:val="22"/>
        </w:rPr>
        <w:t>prevé</w:t>
      </w:r>
      <w:r w:rsidR="009C3282" w:rsidRPr="0077525B">
        <w:rPr>
          <w:rFonts w:ascii="Arial" w:hAnsi="Arial" w:cs="Arial"/>
          <w:sz w:val="22"/>
          <w:szCs w:val="22"/>
        </w:rPr>
        <w:t xml:space="preserve"> los requisitos necesarios para que una entidad abra un proceso de selección </w:t>
      </w:r>
      <w:r w:rsidR="009C3282" w:rsidRPr="0077525B">
        <w:rPr>
          <w:rFonts w:ascii="Arial" w:hAnsi="Arial" w:cs="Arial"/>
          <w:sz w:val="22"/>
          <w:szCs w:val="22"/>
        </w:rPr>
        <w:lastRenderedPageBreak/>
        <w:t>para la ejecución de proyectos de asociación público</w:t>
      </w:r>
      <w:r w:rsidR="00F0698C" w:rsidRPr="0077525B">
        <w:rPr>
          <w:rFonts w:ascii="Arial" w:hAnsi="Arial" w:cs="Arial"/>
          <w:sz w:val="22"/>
          <w:szCs w:val="22"/>
        </w:rPr>
        <w:t>-</w:t>
      </w:r>
      <w:r w:rsidR="009C3282" w:rsidRPr="0077525B">
        <w:rPr>
          <w:rFonts w:ascii="Arial" w:hAnsi="Arial" w:cs="Arial"/>
          <w:sz w:val="22"/>
          <w:szCs w:val="22"/>
        </w:rPr>
        <w:t>privada</w:t>
      </w:r>
      <w:r w:rsidR="002F4CB6" w:rsidRPr="0077525B">
        <w:rPr>
          <w:rStyle w:val="Refdenotaalpie"/>
          <w:rFonts w:ascii="Arial" w:hAnsi="Arial" w:cs="Arial"/>
          <w:sz w:val="22"/>
          <w:szCs w:val="22"/>
        </w:rPr>
        <w:footnoteReference w:id="10"/>
      </w:r>
      <w:r w:rsidR="009C3282" w:rsidRPr="0077525B">
        <w:rPr>
          <w:rFonts w:ascii="Arial" w:hAnsi="Arial" w:cs="Arial"/>
          <w:sz w:val="22"/>
          <w:szCs w:val="22"/>
        </w:rPr>
        <w:t>, el 12 determina los requisitos</w:t>
      </w:r>
      <w:r w:rsidR="00144FA2" w:rsidRPr="0077525B">
        <w:rPr>
          <w:rFonts w:ascii="Arial" w:hAnsi="Arial" w:cs="Arial"/>
          <w:sz w:val="22"/>
          <w:szCs w:val="22"/>
        </w:rPr>
        <w:t xml:space="preserve"> </w:t>
      </w:r>
      <w:r w:rsidR="009C3282" w:rsidRPr="0077525B">
        <w:rPr>
          <w:rFonts w:ascii="Arial" w:hAnsi="Arial" w:cs="Arial"/>
          <w:sz w:val="22"/>
          <w:szCs w:val="22"/>
        </w:rPr>
        <w:t>habilitantes, factores técnicos y económicos de escogencia aplicables</w:t>
      </w:r>
      <w:r w:rsidR="002F4CB6" w:rsidRPr="0077525B">
        <w:rPr>
          <w:rStyle w:val="Refdenotaalpie"/>
          <w:rFonts w:ascii="Arial" w:hAnsi="Arial" w:cs="Arial"/>
          <w:sz w:val="22"/>
          <w:szCs w:val="22"/>
        </w:rPr>
        <w:footnoteReference w:id="11"/>
      </w:r>
      <w:r w:rsidR="009C3282" w:rsidRPr="0077525B">
        <w:rPr>
          <w:rFonts w:ascii="Arial" w:hAnsi="Arial" w:cs="Arial"/>
          <w:sz w:val="22"/>
          <w:szCs w:val="22"/>
        </w:rPr>
        <w:t xml:space="preserve"> y el 13 regula las condiciones requeridas para efectuar adiciones o pr</w:t>
      </w:r>
      <w:r w:rsidR="003358ED" w:rsidRPr="0077525B">
        <w:rPr>
          <w:rFonts w:ascii="Arial" w:hAnsi="Arial" w:cs="Arial"/>
          <w:sz w:val="22"/>
          <w:szCs w:val="22"/>
        </w:rPr>
        <w:t>ó</w:t>
      </w:r>
      <w:r w:rsidR="009C3282" w:rsidRPr="0077525B">
        <w:rPr>
          <w:rFonts w:ascii="Arial" w:hAnsi="Arial" w:cs="Arial"/>
          <w:sz w:val="22"/>
          <w:szCs w:val="22"/>
        </w:rPr>
        <w:t>rrogas</w:t>
      </w:r>
      <w:r w:rsidR="00F27839" w:rsidRPr="0077525B">
        <w:rPr>
          <w:rStyle w:val="Refdenotaalpie"/>
          <w:rFonts w:ascii="Arial" w:hAnsi="Arial" w:cs="Arial"/>
          <w:sz w:val="22"/>
          <w:szCs w:val="22"/>
        </w:rPr>
        <w:footnoteReference w:id="12"/>
      </w:r>
      <w:r w:rsidR="009C3282" w:rsidRPr="0077525B">
        <w:rPr>
          <w:rFonts w:ascii="Arial" w:hAnsi="Arial" w:cs="Arial"/>
          <w:sz w:val="22"/>
          <w:szCs w:val="22"/>
        </w:rPr>
        <w:t xml:space="preserve">. </w:t>
      </w:r>
    </w:p>
    <w:p w14:paraId="35285C8F" w14:textId="7466E073" w:rsidR="0016560B" w:rsidRPr="0077525B" w:rsidRDefault="009C3282" w:rsidP="00F90F0B">
      <w:pPr>
        <w:pStyle w:val="NormalWeb"/>
        <w:spacing w:before="0" w:beforeAutospacing="0" w:after="120" w:afterAutospacing="0" w:line="276" w:lineRule="auto"/>
        <w:jc w:val="both"/>
        <w:rPr>
          <w:rFonts w:ascii="Arial" w:hAnsi="Arial" w:cs="Arial"/>
          <w:sz w:val="22"/>
          <w:szCs w:val="22"/>
        </w:rPr>
      </w:pPr>
      <w:r w:rsidRPr="0077525B">
        <w:rPr>
          <w:rFonts w:ascii="Arial" w:hAnsi="Arial" w:cs="Arial"/>
          <w:sz w:val="22"/>
          <w:szCs w:val="22"/>
        </w:rPr>
        <w:lastRenderedPageBreak/>
        <w:tab/>
        <w:t>Esto a la vez es reglamentado en el Titulo 2 del Libro 2 del Decreto 1082 de 2015, en cuya Sección 4 se ubica el artículo 2.2.2.1.4.1, el cual dispone como proce</w:t>
      </w:r>
      <w:r w:rsidR="00245755" w:rsidRPr="0077525B">
        <w:rPr>
          <w:rFonts w:ascii="Arial" w:hAnsi="Arial" w:cs="Arial"/>
          <w:sz w:val="22"/>
          <w:szCs w:val="22"/>
        </w:rPr>
        <w:t>dimiento</w:t>
      </w:r>
      <w:r w:rsidRPr="0077525B">
        <w:rPr>
          <w:rFonts w:ascii="Arial" w:hAnsi="Arial" w:cs="Arial"/>
          <w:sz w:val="22"/>
          <w:szCs w:val="22"/>
        </w:rPr>
        <w:t xml:space="preserve"> de selección para proyectos de asociación público</w:t>
      </w:r>
      <w:r w:rsidR="00F0698C" w:rsidRPr="0077525B">
        <w:rPr>
          <w:rFonts w:ascii="Arial" w:hAnsi="Arial" w:cs="Arial"/>
          <w:sz w:val="22"/>
          <w:szCs w:val="22"/>
        </w:rPr>
        <w:t>-</w:t>
      </w:r>
      <w:r w:rsidRPr="0077525B">
        <w:rPr>
          <w:rFonts w:ascii="Arial" w:hAnsi="Arial" w:cs="Arial"/>
          <w:sz w:val="22"/>
          <w:szCs w:val="22"/>
        </w:rPr>
        <w:t>privada de iniciativa pública el de licitación pública, remitiendo de manera expresa al artículo 30 de la Ley 80 de 1993, y ratificando la aplicación prevalente de la Ley 1508 de 2012 en lo específicamente regulado por esta</w:t>
      </w:r>
      <w:r w:rsidRPr="0077525B">
        <w:rPr>
          <w:rStyle w:val="Refdenotaalpie"/>
          <w:rFonts w:ascii="Arial" w:hAnsi="Arial" w:cs="Arial"/>
          <w:sz w:val="22"/>
          <w:szCs w:val="22"/>
        </w:rPr>
        <w:footnoteReference w:id="13"/>
      </w:r>
      <w:r w:rsidRPr="0077525B">
        <w:rPr>
          <w:rFonts w:ascii="Arial" w:hAnsi="Arial" w:cs="Arial"/>
          <w:sz w:val="22"/>
          <w:szCs w:val="22"/>
        </w:rPr>
        <w:t xml:space="preserve">. </w:t>
      </w:r>
    </w:p>
    <w:p w14:paraId="18C0A4BE" w14:textId="727D5640" w:rsidR="00BB1A91" w:rsidRPr="0077525B" w:rsidRDefault="006B0BB2" w:rsidP="00264639">
      <w:pPr>
        <w:tabs>
          <w:tab w:val="left" w:pos="426"/>
        </w:tabs>
        <w:spacing w:before="120" w:line="276" w:lineRule="auto"/>
        <w:ind w:firstLine="709"/>
        <w:jc w:val="both"/>
        <w:rPr>
          <w:rFonts w:ascii="Arial" w:eastAsia="Calibri" w:hAnsi="Arial" w:cs="Arial"/>
          <w:sz w:val="22"/>
          <w:lang w:val="es-ES"/>
        </w:rPr>
      </w:pPr>
      <w:r w:rsidRPr="0077525B">
        <w:rPr>
          <w:rFonts w:ascii="Arial" w:eastAsia="Calibri" w:hAnsi="Arial" w:cs="Arial"/>
          <w:sz w:val="22"/>
          <w:lang w:val="es-ES"/>
        </w:rPr>
        <w:t>De</w:t>
      </w:r>
      <w:r w:rsidR="00F56163" w:rsidRPr="0077525B">
        <w:rPr>
          <w:rFonts w:ascii="Arial" w:eastAsia="Calibri" w:hAnsi="Arial" w:cs="Arial"/>
          <w:sz w:val="22"/>
          <w:lang w:val="es-ES"/>
        </w:rPr>
        <w:t xml:space="preserve"> </w:t>
      </w:r>
      <w:r w:rsidRPr="0077525B">
        <w:rPr>
          <w:rFonts w:ascii="Arial" w:eastAsia="Calibri" w:hAnsi="Arial" w:cs="Arial"/>
          <w:sz w:val="22"/>
          <w:lang w:val="es-ES"/>
        </w:rPr>
        <w:t>l</w:t>
      </w:r>
      <w:r w:rsidR="00F56163" w:rsidRPr="0077525B">
        <w:rPr>
          <w:rFonts w:ascii="Arial" w:eastAsia="Calibri" w:hAnsi="Arial" w:cs="Arial"/>
          <w:sz w:val="22"/>
          <w:lang w:val="es-ES"/>
        </w:rPr>
        <w:t>o</w:t>
      </w:r>
      <w:r w:rsidRPr="0077525B">
        <w:rPr>
          <w:rFonts w:ascii="Arial" w:eastAsia="Calibri" w:hAnsi="Arial" w:cs="Arial"/>
          <w:sz w:val="22"/>
          <w:lang w:val="es-ES"/>
        </w:rPr>
        <w:t xml:space="preserve"> anterior se desprende que, conforme al régimen de aplicación prevalente de las disposiciones de la Ley 1508 de 2012 y supletiva o complementaria de las Leyes 80 de 1993 y 1150 de 2007, establecido en el inciso tercero del artículo 3 de la precitada Ley, </w:t>
      </w:r>
      <w:r w:rsidR="00F90F0B" w:rsidRPr="0077525B">
        <w:rPr>
          <w:rFonts w:ascii="Arial" w:eastAsia="Calibri" w:hAnsi="Arial" w:cs="Arial"/>
          <w:sz w:val="22"/>
          <w:lang w:val="es-ES"/>
        </w:rPr>
        <w:t>las asociaciones público</w:t>
      </w:r>
      <w:r w:rsidR="003C2465" w:rsidRPr="0077525B">
        <w:rPr>
          <w:rFonts w:ascii="Arial" w:eastAsia="Calibri" w:hAnsi="Arial" w:cs="Arial"/>
          <w:sz w:val="22"/>
          <w:lang w:val="es-ES"/>
        </w:rPr>
        <w:t>-</w:t>
      </w:r>
      <w:r w:rsidR="00F90F0B" w:rsidRPr="0077525B">
        <w:rPr>
          <w:rFonts w:ascii="Arial" w:eastAsia="Calibri" w:hAnsi="Arial" w:cs="Arial"/>
          <w:sz w:val="22"/>
          <w:lang w:val="es-ES"/>
        </w:rPr>
        <w:t xml:space="preserve">privadas de iniciativa pública </w:t>
      </w:r>
      <w:r w:rsidR="003C2465" w:rsidRPr="0077525B">
        <w:rPr>
          <w:rFonts w:ascii="Arial" w:eastAsia="Calibri" w:hAnsi="Arial" w:cs="Arial"/>
          <w:sz w:val="22"/>
          <w:lang w:val="es-ES"/>
        </w:rPr>
        <w:t xml:space="preserve">están regidas por </w:t>
      </w:r>
      <w:r w:rsidRPr="0077525B">
        <w:rPr>
          <w:rFonts w:ascii="Arial" w:eastAsia="Calibri" w:hAnsi="Arial" w:cs="Arial"/>
          <w:sz w:val="22"/>
          <w:lang w:val="es-ES"/>
        </w:rPr>
        <w:t>unas reglas y procedimientos de selección de obligatoria observancia</w:t>
      </w:r>
      <w:r w:rsidR="00285490" w:rsidRPr="0077525B">
        <w:rPr>
          <w:rFonts w:ascii="Arial" w:eastAsia="Calibri" w:hAnsi="Arial" w:cs="Arial"/>
          <w:sz w:val="22"/>
          <w:lang w:val="es-ES"/>
        </w:rPr>
        <w:t xml:space="preserve">. Dentro de dichas reglas </w:t>
      </w:r>
      <w:r w:rsidR="003C2465" w:rsidRPr="0077525B">
        <w:rPr>
          <w:rFonts w:ascii="Arial" w:eastAsia="Calibri" w:hAnsi="Arial" w:cs="Arial"/>
          <w:sz w:val="22"/>
          <w:lang w:val="es-ES"/>
        </w:rPr>
        <w:t>se establece el proceso de licitación p</w:t>
      </w:r>
      <w:r w:rsidR="00A936DC" w:rsidRPr="0077525B">
        <w:rPr>
          <w:rFonts w:ascii="Arial" w:eastAsia="Calibri" w:hAnsi="Arial" w:cs="Arial"/>
          <w:sz w:val="22"/>
          <w:lang w:val="es-ES"/>
        </w:rPr>
        <w:t>ú</w:t>
      </w:r>
      <w:r w:rsidR="003C2465" w:rsidRPr="0077525B">
        <w:rPr>
          <w:rFonts w:ascii="Arial" w:eastAsia="Calibri" w:hAnsi="Arial" w:cs="Arial"/>
          <w:sz w:val="22"/>
          <w:lang w:val="es-ES"/>
        </w:rPr>
        <w:t>blica como obligatorio para la celebración de este tipo de esquemas asociativos</w:t>
      </w:r>
      <w:r w:rsidR="00A936DC" w:rsidRPr="0077525B">
        <w:rPr>
          <w:rFonts w:ascii="Arial" w:eastAsia="Calibri" w:hAnsi="Arial" w:cs="Arial"/>
          <w:sz w:val="22"/>
          <w:lang w:val="es-ES"/>
        </w:rPr>
        <w:t>.</w:t>
      </w:r>
      <w:r w:rsidR="003C2465" w:rsidRPr="0077525B">
        <w:rPr>
          <w:rFonts w:ascii="Arial" w:eastAsia="Calibri" w:hAnsi="Arial" w:cs="Arial"/>
          <w:sz w:val="22"/>
          <w:lang w:val="es-ES"/>
        </w:rPr>
        <w:t xml:space="preserve"> </w:t>
      </w:r>
    </w:p>
    <w:p w14:paraId="69170995" w14:textId="0C95290F" w:rsidR="00BB1A91" w:rsidRPr="0077525B" w:rsidRDefault="007D7719" w:rsidP="00BB1A91">
      <w:pPr>
        <w:tabs>
          <w:tab w:val="left" w:pos="426"/>
        </w:tabs>
        <w:spacing w:before="120" w:line="276" w:lineRule="auto"/>
        <w:ind w:firstLine="709"/>
        <w:jc w:val="both"/>
        <w:rPr>
          <w:rFonts w:ascii="Arial" w:eastAsia="Calibri" w:hAnsi="Arial" w:cs="Arial"/>
          <w:sz w:val="22"/>
          <w:lang w:val="es-ES"/>
        </w:rPr>
      </w:pPr>
      <w:r w:rsidRPr="0077525B">
        <w:rPr>
          <w:rFonts w:ascii="Arial" w:eastAsia="Calibri" w:hAnsi="Arial" w:cs="Arial"/>
          <w:sz w:val="22"/>
          <w:lang w:val="es-ES"/>
        </w:rPr>
        <w:t xml:space="preserve">Por otra parte, </w:t>
      </w:r>
      <w:r w:rsidR="00BB1A91" w:rsidRPr="0077525B">
        <w:rPr>
          <w:rFonts w:ascii="Arial" w:eastAsia="Calibri" w:hAnsi="Arial" w:cs="Arial"/>
          <w:sz w:val="22"/>
          <w:lang w:val="es-ES"/>
        </w:rPr>
        <w:t xml:space="preserve">en el marco de </w:t>
      </w:r>
      <w:r w:rsidR="00BB1A91" w:rsidRPr="0077525B">
        <w:rPr>
          <w:rFonts w:ascii="Arial" w:eastAsia="Calibri" w:hAnsi="Arial" w:cs="Arial"/>
          <w:i/>
          <w:iCs/>
          <w:sz w:val="22"/>
          <w:lang w:val="es-ES"/>
        </w:rPr>
        <w:t>iniciativas privadas</w:t>
      </w:r>
      <w:r w:rsidR="00BB1A91" w:rsidRPr="0077525B">
        <w:rPr>
          <w:rFonts w:ascii="Arial" w:eastAsia="Calibri" w:hAnsi="Arial" w:cs="Arial"/>
          <w:sz w:val="22"/>
          <w:lang w:val="es-ES"/>
        </w:rPr>
        <w:t xml:space="preserve"> que </w:t>
      </w:r>
      <w:r w:rsidR="00BB1A91" w:rsidRPr="0077525B">
        <w:rPr>
          <w:rFonts w:ascii="Arial" w:eastAsia="Calibri" w:hAnsi="Arial" w:cs="Arial"/>
          <w:i/>
          <w:iCs/>
          <w:sz w:val="22"/>
          <w:lang w:val="es-ES"/>
        </w:rPr>
        <w:t>no</w:t>
      </w:r>
      <w:r w:rsidR="00BB1A91" w:rsidRPr="0077525B">
        <w:rPr>
          <w:rFonts w:ascii="Arial" w:eastAsia="Calibri" w:hAnsi="Arial" w:cs="Arial"/>
          <w:sz w:val="22"/>
          <w:lang w:val="es-ES"/>
        </w:rPr>
        <w:t xml:space="preserve"> requieren desembolso de recursos públicos, es importante explicar que luego de estructurar el proyecto, cumpliendo con las exigencias del artículo 14 de la Ley 1508 de 2012</w:t>
      </w:r>
      <w:r w:rsidR="00BB1A91" w:rsidRPr="0077525B">
        <w:rPr>
          <w:rStyle w:val="Refdenotaalpie"/>
          <w:rFonts w:ascii="Arial" w:eastAsia="Calibri" w:hAnsi="Arial" w:cs="Arial"/>
          <w:sz w:val="22"/>
          <w:lang w:val="es-ES"/>
        </w:rPr>
        <w:footnoteReference w:id="14"/>
      </w:r>
      <w:r w:rsidR="00BB1A91" w:rsidRPr="0077525B">
        <w:rPr>
          <w:rFonts w:ascii="Arial" w:eastAsia="Calibri" w:hAnsi="Arial" w:cs="Arial"/>
          <w:sz w:val="22"/>
          <w:lang w:val="es-ES"/>
        </w:rPr>
        <w:t xml:space="preserve">, el particular le debe presentar </w:t>
      </w:r>
      <w:r w:rsidR="00BB1A91" w:rsidRPr="0077525B">
        <w:rPr>
          <w:rFonts w:ascii="Arial" w:eastAsia="Calibri" w:hAnsi="Arial" w:cs="Arial"/>
          <w:sz w:val="22"/>
          <w:lang w:val="es-ES"/>
        </w:rPr>
        <w:lastRenderedPageBreak/>
        <w:t xml:space="preserve">a la entidad estatal una propuesta después de la fase de </w:t>
      </w:r>
      <w:r w:rsidR="00BB1A91" w:rsidRPr="0077525B">
        <w:rPr>
          <w:rFonts w:ascii="Arial" w:eastAsia="Calibri" w:hAnsi="Arial" w:cs="Arial"/>
          <w:i/>
          <w:iCs/>
          <w:sz w:val="22"/>
          <w:lang w:val="es-ES"/>
        </w:rPr>
        <w:t>prefactibilidad</w:t>
      </w:r>
      <w:r w:rsidR="00BB1A91" w:rsidRPr="0077525B">
        <w:rPr>
          <w:rFonts w:ascii="Arial" w:eastAsia="Calibri" w:hAnsi="Arial" w:cs="Arial"/>
          <w:sz w:val="22"/>
          <w:lang w:val="es-ES"/>
        </w:rPr>
        <w:t xml:space="preserve">. Si esta es aceptada por la entidad, el originador privado continúa con la fase de </w:t>
      </w:r>
      <w:r w:rsidR="00BB1A91" w:rsidRPr="0077525B">
        <w:rPr>
          <w:rFonts w:ascii="Arial" w:eastAsia="Calibri" w:hAnsi="Arial" w:cs="Arial"/>
          <w:i/>
          <w:iCs/>
          <w:sz w:val="22"/>
          <w:lang w:val="es-ES"/>
        </w:rPr>
        <w:t>factibilidad</w:t>
      </w:r>
      <w:r w:rsidR="00BB1A91" w:rsidRPr="0077525B">
        <w:rPr>
          <w:rFonts w:ascii="Arial" w:eastAsia="Calibri" w:hAnsi="Arial" w:cs="Arial"/>
          <w:sz w:val="22"/>
          <w:lang w:val="es-ES"/>
        </w:rPr>
        <w:t>, al cabo de la cual le allega la propuesta a la entidad pública, que esta puede aceptar o rechazar</w:t>
      </w:r>
      <w:r w:rsidR="00BB1A91" w:rsidRPr="0077525B">
        <w:rPr>
          <w:rStyle w:val="Refdenotaalpie"/>
          <w:rFonts w:ascii="Arial" w:eastAsia="Calibri" w:hAnsi="Arial" w:cs="Arial"/>
          <w:sz w:val="22"/>
          <w:lang w:val="es-ES"/>
        </w:rPr>
        <w:footnoteReference w:id="15"/>
      </w:r>
      <w:r w:rsidR="00BB1A91" w:rsidRPr="0077525B">
        <w:rPr>
          <w:rFonts w:ascii="Arial" w:eastAsia="Calibri" w:hAnsi="Arial" w:cs="Arial"/>
          <w:sz w:val="22"/>
          <w:lang w:val="es-ES"/>
        </w:rPr>
        <w:t>. Así se deduce del artículo 16 de dicha Ley, según el cual, luego de la presentación de la iniciativa en fase de factibilidad, la entidad cuenta en principio con seis (6) meses, prorrogables hasta la mitad de dicho término, para estudiar la viabilidad de la iniciativa. Después de esto puede decidir aceptarla o rechazarla. En el primer caso, la entidad estatal y el originador pueden llegar a un acuerdo sobre el precio y las condiciones del proyecto. En el segundo, es decir, si se rechaza la iniciativa, el originador conserva la propiedad de los estudios, pero estos pueden ser adquiridos por la entidad estatal. Sin embargo, la presentación de la iniciativa no genera un derecho para el particular, ni una obligación para la entidad estatal</w:t>
      </w:r>
      <w:r w:rsidR="00BB1A91" w:rsidRPr="0077525B">
        <w:rPr>
          <w:rStyle w:val="Refdenotaalpie"/>
          <w:rFonts w:ascii="Arial" w:eastAsia="Calibri" w:hAnsi="Arial" w:cs="Arial"/>
          <w:sz w:val="22"/>
          <w:lang w:val="es-ES"/>
        </w:rPr>
        <w:footnoteReference w:id="16"/>
      </w:r>
      <w:r w:rsidR="00BB1A91" w:rsidRPr="0077525B">
        <w:rPr>
          <w:rFonts w:ascii="Arial" w:eastAsia="Calibri" w:hAnsi="Arial" w:cs="Arial"/>
          <w:sz w:val="22"/>
          <w:lang w:val="es-ES"/>
        </w:rPr>
        <w:t>.</w:t>
      </w:r>
    </w:p>
    <w:p w14:paraId="33D789D2" w14:textId="41C5097E" w:rsidR="00BB1A91" w:rsidRPr="0077525B" w:rsidRDefault="00BB1A91" w:rsidP="00BB1A91">
      <w:pPr>
        <w:tabs>
          <w:tab w:val="left" w:pos="426"/>
        </w:tabs>
        <w:spacing w:before="120" w:line="276" w:lineRule="auto"/>
        <w:ind w:firstLine="709"/>
        <w:jc w:val="both"/>
        <w:rPr>
          <w:rFonts w:ascii="Arial" w:eastAsia="Calibri" w:hAnsi="Arial" w:cs="Arial"/>
          <w:sz w:val="22"/>
          <w:lang w:val="es-ES"/>
        </w:rPr>
      </w:pPr>
      <w:r w:rsidRPr="0077525B">
        <w:rPr>
          <w:rFonts w:ascii="Arial" w:eastAsia="Calibri" w:hAnsi="Arial" w:cs="Arial"/>
          <w:sz w:val="22"/>
          <w:lang w:val="es-ES"/>
        </w:rPr>
        <w:lastRenderedPageBreak/>
        <w:t xml:space="preserve">Como se advierte, si el proyecto de iniciativa privada es aceptado, la entidad llega a un acuerdo con el originador sobre la viabilidad del proyecto y el valor de los estudios efectuados por el particular en la estructuración del proyecto. Posteriormente, </w:t>
      </w:r>
      <w:r w:rsidR="000E4E65" w:rsidRPr="0077525B">
        <w:rPr>
          <w:rFonts w:ascii="Arial" w:eastAsia="Calibri" w:hAnsi="Arial" w:cs="Arial"/>
          <w:sz w:val="22"/>
          <w:lang w:val="es-ES"/>
        </w:rPr>
        <w:t>cuando</w:t>
      </w:r>
      <w:r w:rsidRPr="0077525B">
        <w:rPr>
          <w:rFonts w:ascii="Arial" w:eastAsia="Calibri" w:hAnsi="Arial" w:cs="Arial"/>
          <w:sz w:val="22"/>
          <w:lang w:val="es-ES"/>
        </w:rPr>
        <w:t xml:space="preserve"> se trata de una </w:t>
      </w:r>
      <w:r w:rsidRPr="0077525B">
        <w:rPr>
          <w:rFonts w:ascii="Arial" w:eastAsia="Calibri" w:hAnsi="Arial" w:cs="Arial"/>
          <w:i/>
          <w:iCs/>
          <w:sz w:val="22"/>
          <w:lang w:val="es-ES"/>
        </w:rPr>
        <w:t>iniciativa privada</w:t>
      </w:r>
      <w:r w:rsidRPr="0077525B">
        <w:rPr>
          <w:rFonts w:ascii="Arial" w:eastAsia="Calibri" w:hAnsi="Arial" w:cs="Arial"/>
          <w:sz w:val="22"/>
          <w:lang w:val="es-ES"/>
        </w:rPr>
        <w:t xml:space="preserve"> que </w:t>
      </w:r>
      <w:r w:rsidRPr="0077525B">
        <w:rPr>
          <w:rFonts w:ascii="Arial" w:eastAsia="Calibri" w:hAnsi="Arial" w:cs="Arial"/>
          <w:i/>
          <w:iCs/>
          <w:sz w:val="22"/>
          <w:lang w:val="es-ES"/>
        </w:rPr>
        <w:t>no</w:t>
      </w:r>
      <w:r w:rsidRPr="0077525B">
        <w:rPr>
          <w:rFonts w:ascii="Arial" w:eastAsia="Calibri" w:hAnsi="Arial" w:cs="Arial"/>
          <w:sz w:val="22"/>
          <w:lang w:val="es-ES"/>
        </w:rPr>
        <w:t xml:space="preserve"> requiere desembolso de recursos públicos, se debe aplicar lo dispuesto en el artículo 19 de la Ley 1508 de 2012</w:t>
      </w:r>
      <w:r w:rsidRPr="0077525B">
        <w:rPr>
          <w:rStyle w:val="Refdenotaalpie"/>
          <w:rFonts w:ascii="Arial" w:eastAsia="Calibri" w:hAnsi="Arial" w:cs="Arial"/>
          <w:sz w:val="22"/>
          <w:lang w:val="es-ES"/>
        </w:rPr>
        <w:footnoteReference w:id="17"/>
      </w:r>
      <w:r w:rsidRPr="0077525B">
        <w:rPr>
          <w:rFonts w:ascii="Arial" w:eastAsia="Calibri" w:hAnsi="Arial" w:cs="Arial"/>
          <w:sz w:val="22"/>
          <w:lang w:val="es-ES"/>
        </w:rPr>
        <w:t>. Este precepto establece que después del acuerdo entre la entidad estatal y el originador del proyecto, aquella debe publicarlo en el SECOP, junto con la minuta del contrato, los estudios y los demás anexos, por un término no inferior a un (1) mes, ni superior a seis (6) meses, para ver si resultan manifestaciones de interés.</w:t>
      </w:r>
    </w:p>
    <w:p w14:paraId="6ECF1E52" w14:textId="7EA9B463" w:rsidR="00BB1A91" w:rsidRPr="0077525B" w:rsidRDefault="00BB1A91" w:rsidP="00BB1A91">
      <w:pPr>
        <w:tabs>
          <w:tab w:val="left" w:pos="426"/>
        </w:tabs>
        <w:spacing w:before="120" w:line="276" w:lineRule="auto"/>
        <w:ind w:firstLine="709"/>
        <w:jc w:val="both"/>
        <w:rPr>
          <w:rFonts w:ascii="Arial" w:eastAsia="Calibri" w:hAnsi="Arial" w:cs="Arial"/>
          <w:sz w:val="22"/>
          <w:lang w:val="es-ES"/>
        </w:rPr>
      </w:pPr>
      <w:r w:rsidRPr="0077525B">
        <w:rPr>
          <w:rFonts w:ascii="Arial" w:eastAsia="Calibri" w:hAnsi="Arial" w:cs="Arial"/>
          <w:sz w:val="22"/>
          <w:lang w:val="es-ES"/>
        </w:rPr>
        <w:t>Si, al término de la publicación, no resultan interesados, la entidad debe celebrar el contrato</w:t>
      </w:r>
      <w:r w:rsidR="005D6D17" w:rsidRPr="0077525B">
        <w:rPr>
          <w:rFonts w:ascii="Arial" w:eastAsia="Calibri" w:hAnsi="Arial" w:cs="Arial"/>
          <w:sz w:val="22"/>
          <w:lang w:val="es-ES"/>
        </w:rPr>
        <w:t xml:space="preserve"> de manera directa</w:t>
      </w:r>
      <w:r w:rsidRPr="0077525B">
        <w:rPr>
          <w:rFonts w:ascii="Arial" w:eastAsia="Calibri" w:hAnsi="Arial" w:cs="Arial"/>
          <w:sz w:val="22"/>
          <w:lang w:val="es-ES"/>
        </w:rPr>
        <w:t xml:space="preserve"> con el originador privado, es decir, con aquel que estructuró el proyecto de asociación público privada que </w:t>
      </w:r>
      <w:r w:rsidRPr="0077525B">
        <w:rPr>
          <w:rFonts w:ascii="Arial" w:eastAsia="Calibri" w:hAnsi="Arial" w:cs="Arial"/>
          <w:i/>
          <w:iCs/>
          <w:sz w:val="22"/>
          <w:lang w:val="es-ES"/>
        </w:rPr>
        <w:t xml:space="preserve">no </w:t>
      </w:r>
      <w:r w:rsidRPr="0077525B">
        <w:rPr>
          <w:rFonts w:ascii="Arial" w:eastAsia="Calibri" w:hAnsi="Arial" w:cs="Arial"/>
          <w:sz w:val="22"/>
          <w:lang w:val="es-ES"/>
        </w:rPr>
        <w:t>requiere desembolso de recursos públicos, y que en su momento le presentó a la entidad su propuesta tanto en la fase de prefactibilidad como de factibilidad, y que luego llegó a un acuerdo con ella sobre la viabilidad del proyecto. Por el contrario, si hay interesados que respondan a la publicación en el SECOP, se deberá adelantar el procedimiento consagrado en el artículo 20 de la misma Ley</w:t>
      </w:r>
      <w:r w:rsidRPr="0077525B">
        <w:rPr>
          <w:rStyle w:val="Refdenotaalpie"/>
          <w:rFonts w:ascii="Arial" w:eastAsia="Calibri" w:hAnsi="Arial" w:cs="Arial"/>
          <w:sz w:val="22"/>
          <w:lang w:val="es-ES"/>
        </w:rPr>
        <w:footnoteReference w:id="18"/>
      </w:r>
      <w:r w:rsidRPr="0077525B">
        <w:rPr>
          <w:rFonts w:ascii="Arial" w:eastAsia="Calibri" w:hAnsi="Arial" w:cs="Arial"/>
          <w:sz w:val="22"/>
          <w:lang w:val="es-ES"/>
        </w:rPr>
        <w:t xml:space="preserve">. En efecto, la </w:t>
      </w:r>
      <w:r w:rsidRPr="0077525B">
        <w:rPr>
          <w:rFonts w:ascii="Arial" w:eastAsia="Calibri" w:hAnsi="Arial" w:cs="Arial"/>
          <w:sz w:val="22"/>
          <w:lang w:val="es-ES"/>
        </w:rPr>
        <w:lastRenderedPageBreak/>
        <w:t xml:space="preserve">norma señalada establece que los terceros interesados en el proyecto deben garantizar la iniciativa con un mecanismo de cobertura del riesgo y podrán participar en el procedimiento de selección que abrirá la entidad estatal, a través de la modalidad de selección abreviada de menor cuantía con precalificación. Además, el originador del proyecto podrá mejorar la oferta del mejor calificado, en un plazo máximo de diez (10) días, contado desde la publicación del informe de evaluación de las propuestas. </w:t>
      </w:r>
    </w:p>
    <w:p w14:paraId="1ACB123F" w14:textId="77777777" w:rsidR="00BB1A91" w:rsidRPr="0077525B" w:rsidRDefault="00BB1A91" w:rsidP="008B0F95">
      <w:pPr>
        <w:tabs>
          <w:tab w:val="left" w:pos="426"/>
        </w:tabs>
        <w:spacing w:before="120" w:after="160" w:line="276" w:lineRule="auto"/>
        <w:ind w:firstLine="709"/>
        <w:jc w:val="both"/>
        <w:rPr>
          <w:rFonts w:ascii="Arial" w:eastAsia="Calibri" w:hAnsi="Arial" w:cs="Arial"/>
          <w:sz w:val="22"/>
          <w:lang w:val="es-ES"/>
        </w:rPr>
      </w:pPr>
      <w:r w:rsidRPr="0077525B">
        <w:rPr>
          <w:rFonts w:ascii="Arial" w:eastAsia="Calibri" w:hAnsi="Arial" w:cs="Arial"/>
          <w:sz w:val="22"/>
          <w:lang w:val="es-ES"/>
        </w:rPr>
        <w:t xml:space="preserve">En suma, el procedimiento de selección que se debe realizar cuando hay terceros que manifiestan su interés en ejecutar el proyecto de </w:t>
      </w:r>
      <w:r w:rsidRPr="0077525B">
        <w:rPr>
          <w:rFonts w:ascii="Arial" w:eastAsia="Calibri" w:hAnsi="Arial" w:cs="Arial"/>
          <w:i/>
          <w:iCs/>
          <w:sz w:val="22"/>
          <w:lang w:val="es-ES"/>
        </w:rPr>
        <w:t>iniciativa privada</w:t>
      </w:r>
      <w:r w:rsidRPr="0077525B">
        <w:rPr>
          <w:rFonts w:ascii="Arial" w:eastAsia="Calibri" w:hAnsi="Arial" w:cs="Arial"/>
          <w:sz w:val="22"/>
          <w:lang w:val="es-ES"/>
        </w:rPr>
        <w:t xml:space="preserve"> </w:t>
      </w:r>
      <w:r w:rsidRPr="0077525B">
        <w:rPr>
          <w:rFonts w:ascii="Arial" w:eastAsia="Calibri" w:hAnsi="Arial" w:cs="Arial"/>
          <w:i/>
          <w:iCs/>
          <w:sz w:val="22"/>
          <w:lang w:val="es-ES"/>
        </w:rPr>
        <w:t>sin</w:t>
      </w:r>
      <w:r w:rsidRPr="0077525B">
        <w:rPr>
          <w:rFonts w:ascii="Arial" w:eastAsia="Calibri" w:hAnsi="Arial" w:cs="Arial"/>
          <w:sz w:val="22"/>
          <w:lang w:val="es-ES"/>
        </w:rPr>
        <w:t xml:space="preserve"> </w:t>
      </w:r>
      <w:r w:rsidRPr="0077525B">
        <w:rPr>
          <w:rFonts w:ascii="Arial" w:eastAsia="Calibri" w:hAnsi="Arial" w:cs="Arial"/>
          <w:i/>
          <w:iCs/>
          <w:sz w:val="22"/>
          <w:lang w:val="es-ES"/>
        </w:rPr>
        <w:t>desembolso de recursos públicos</w:t>
      </w:r>
      <w:r w:rsidRPr="0077525B">
        <w:rPr>
          <w:rFonts w:ascii="Arial" w:eastAsia="Calibri" w:hAnsi="Arial" w:cs="Arial"/>
          <w:sz w:val="22"/>
          <w:lang w:val="es-ES"/>
        </w:rPr>
        <w:t xml:space="preserve"> es el de selección abreviada de menor cuantía con precalificación, regulado en el artículo 2 de la Ley 1150 de 2007 y sus normas reglamentarias, así como en el artículo 20 de la Ley 1508 de 2012 y con las particularidades del artículo 2.2.2.1.5.12. del Decreto 1082 de 2015. </w:t>
      </w:r>
    </w:p>
    <w:p w14:paraId="2EC14A4B" w14:textId="32E9098F" w:rsidR="00596CD1" w:rsidRPr="0077525B" w:rsidRDefault="00C263E8" w:rsidP="008B0F95">
      <w:pPr>
        <w:tabs>
          <w:tab w:val="left" w:pos="426"/>
        </w:tabs>
        <w:spacing w:after="160" w:line="276" w:lineRule="auto"/>
        <w:ind w:firstLine="709"/>
        <w:jc w:val="both"/>
        <w:rPr>
          <w:rFonts w:ascii="Arial" w:eastAsia="Calibri" w:hAnsi="Arial" w:cs="Arial"/>
          <w:sz w:val="22"/>
        </w:rPr>
      </w:pPr>
      <w:bookmarkStart w:id="7" w:name="_Hlk97727665"/>
      <w:r w:rsidRPr="0077525B">
        <w:rPr>
          <w:rFonts w:ascii="Arial" w:eastAsia="Calibri" w:hAnsi="Arial" w:cs="Arial"/>
          <w:sz w:val="22"/>
          <w:lang w:val="es-ES"/>
        </w:rPr>
        <w:t>De otro lado,</w:t>
      </w:r>
      <w:r w:rsidR="00E05E77" w:rsidRPr="0077525B">
        <w:rPr>
          <w:rFonts w:ascii="Arial" w:eastAsia="Calibri" w:hAnsi="Arial" w:cs="Arial"/>
          <w:sz w:val="22"/>
          <w:lang w:val="es-ES"/>
        </w:rPr>
        <w:t xml:space="preserve"> </w:t>
      </w:r>
      <w:r w:rsidR="002500CB" w:rsidRPr="0077525B">
        <w:rPr>
          <w:rFonts w:ascii="Arial" w:eastAsia="Calibri" w:hAnsi="Arial" w:cs="Arial"/>
          <w:sz w:val="22"/>
          <w:lang w:val="es-ES"/>
        </w:rPr>
        <w:t>cuando se trata de</w:t>
      </w:r>
      <w:r w:rsidR="00E05E77" w:rsidRPr="0077525B">
        <w:rPr>
          <w:rFonts w:ascii="Arial" w:eastAsia="Calibri" w:hAnsi="Arial" w:cs="Arial"/>
          <w:sz w:val="22"/>
          <w:lang w:val="es-ES"/>
        </w:rPr>
        <w:t xml:space="preserve"> </w:t>
      </w:r>
      <w:r w:rsidR="00F836F2" w:rsidRPr="0077525B">
        <w:rPr>
          <w:rFonts w:ascii="Arial" w:eastAsia="Calibri" w:hAnsi="Arial" w:cs="Arial"/>
          <w:sz w:val="22"/>
          <w:lang w:val="es-ES"/>
        </w:rPr>
        <w:t>proyectos de</w:t>
      </w:r>
      <w:r w:rsidRPr="0077525B">
        <w:rPr>
          <w:rFonts w:ascii="Arial" w:eastAsia="Calibri" w:hAnsi="Arial" w:cs="Arial"/>
          <w:sz w:val="22"/>
          <w:lang w:val="es-ES"/>
        </w:rPr>
        <w:t xml:space="preserve"> </w:t>
      </w:r>
      <w:r w:rsidR="00DE69BF" w:rsidRPr="0077525B">
        <w:rPr>
          <w:rFonts w:ascii="Arial" w:eastAsia="Calibri" w:hAnsi="Arial" w:cs="Arial"/>
          <w:i/>
          <w:iCs/>
          <w:sz w:val="22"/>
          <w:lang w:val="es-ES"/>
        </w:rPr>
        <w:t>iniciativas</w:t>
      </w:r>
      <w:r w:rsidR="007139FE" w:rsidRPr="0077525B">
        <w:rPr>
          <w:rFonts w:ascii="Arial" w:eastAsia="Calibri" w:hAnsi="Arial" w:cs="Arial"/>
          <w:i/>
          <w:iCs/>
          <w:sz w:val="22"/>
          <w:lang w:val="es-ES"/>
        </w:rPr>
        <w:t xml:space="preserve"> privadas que requieren desembolsos públicos</w:t>
      </w:r>
      <w:r w:rsidR="007139FE" w:rsidRPr="0077525B">
        <w:rPr>
          <w:rFonts w:ascii="Arial" w:eastAsia="Calibri" w:hAnsi="Arial" w:cs="Arial"/>
          <w:sz w:val="22"/>
          <w:lang w:val="es-ES"/>
        </w:rPr>
        <w:t xml:space="preserve">, </w:t>
      </w:r>
      <w:r w:rsidR="00E05E77" w:rsidRPr="0077525B">
        <w:rPr>
          <w:rFonts w:ascii="Arial" w:eastAsia="Calibri" w:hAnsi="Arial" w:cs="Arial"/>
          <w:sz w:val="22"/>
          <w:lang w:val="es-ES"/>
        </w:rPr>
        <w:t>el artículo 17 de la Ley 1508 de 2012</w:t>
      </w:r>
      <w:r w:rsidR="00C9069F" w:rsidRPr="0077525B">
        <w:rPr>
          <w:rStyle w:val="Refdenotaalpie"/>
          <w:rFonts w:ascii="Arial" w:eastAsia="Calibri" w:hAnsi="Arial" w:cs="Arial"/>
          <w:sz w:val="22"/>
          <w:lang w:val="es-ES"/>
        </w:rPr>
        <w:footnoteReference w:id="19"/>
      </w:r>
      <w:r w:rsidR="00E05E77" w:rsidRPr="0077525B">
        <w:rPr>
          <w:rFonts w:ascii="Arial" w:eastAsia="Calibri" w:hAnsi="Arial" w:cs="Arial"/>
          <w:sz w:val="22"/>
          <w:lang w:val="es-ES"/>
        </w:rPr>
        <w:t xml:space="preserve"> </w:t>
      </w:r>
      <w:r w:rsidR="00F836F2" w:rsidRPr="0077525B">
        <w:rPr>
          <w:rFonts w:ascii="Arial" w:eastAsia="Calibri" w:hAnsi="Arial" w:cs="Arial"/>
          <w:sz w:val="22"/>
          <w:lang w:val="es-ES"/>
        </w:rPr>
        <w:t>establece</w:t>
      </w:r>
      <w:r w:rsidR="007139FE" w:rsidRPr="0077525B">
        <w:rPr>
          <w:rFonts w:ascii="Arial" w:eastAsia="Calibri" w:hAnsi="Arial" w:cs="Arial"/>
          <w:sz w:val="22"/>
          <w:lang w:val="es-ES"/>
        </w:rPr>
        <w:t xml:space="preserve"> que </w:t>
      </w:r>
      <w:r w:rsidR="00DE69BF" w:rsidRPr="0077525B">
        <w:rPr>
          <w:rFonts w:ascii="Arial" w:eastAsia="Calibri" w:hAnsi="Arial" w:cs="Arial"/>
          <w:sz w:val="22"/>
          <w:lang w:val="es-ES"/>
        </w:rPr>
        <w:t xml:space="preserve">luego del </w:t>
      </w:r>
      <w:r w:rsidR="00DE69BF" w:rsidRPr="0077525B">
        <w:rPr>
          <w:rFonts w:ascii="Arial" w:eastAsia="Calibri" w:hAnsi="Arial" w:cs="Arial"/>
          <w:sz w:val="22"/>
          <w:lang w:val="es-ES"/>
        </w:rPr>
        <w:lastRenderedPageBreak/>
        <w:t>acuerdo entre la entidad estatal competente y el originador de la iniciativa</w:t>
      </w:r>
      <w:r w:rsidR="00C96F1F" w:rsidRPr="0077525B">
        <w:rPr>
          <w:rFonts w:ascii="Arial" w:eastAsia="Calibri" w:hAnsi="Arial" w:cs="Arial"/>
          <w:sz w:val="22"/>
          <w:lang w:val="es-ES"/>
        </w:rPr>
        <w:t>, se abrirá una licitación pública para seleccionar el contratista que adelante el proyecto que el originador ha propuesto</w:t>
      </w:r>
      <w:r w:rsidR="000A56F0" w:rsidRPr="0077525B">
        <w:rPr>
          <w:rFonts w:ascii="Arial" w:eastAsia="Calibri" w:hAnsi="Arial" w:cs="Arial"/>
          <w:sz w:val="22"/>
          <w:lang w:val="es-ES"/>
        </w:rPr>
        <w:t>.</w:t>
      </w:r>
      <w:bookmarkEnd w:id="7"/>
      <w:r w:rsidR="000A56F0" w:rsidRPr="0077525B">
        <w:rPr>
          <w:rFonts w:ascii="Arial" w:eastAsia="Calibri" w:hAnsi="Arial" w:cs="Arial"/>
          <w:sz w:val="22"/>
          <w:lang w:val="es-ES"/>
        </w:rPr>
        <w:t xml:space="preserve"> En la norma se indica que</w:t>
      </w:r>
      <w:r w:rsidR="00AD6AAC" w:rsidRPr="0077525B">
        <w:rPr>
          <w:rFonts w:ascii="Arial" w:eastAsia="Calibri" w:hAnsi="Arial" w:cs="Arial"/>
          <w:sz w:val="22"/>
          <w:lang w:val="es-ES"/>
        </w:rPr>
        <w:t>, en el mencionado proceso de selección, quien presentó la iniciativa tendrá una bonificación en su calificación entre el 3% y el 10% sobre su calificación inicial</w:t>
      </w:r>
      <w:r w:rsidR="00BF35CD" w:rsidRPr="0077525B">
        <w:rPr>
          <w:rFonts w:ascii="Arial" w:eastAsia="Calibri" w:hAnsi="Arial" w:cs="Arial"/>
          <w:sz w:val="22"/>
          <w:lang w:val="es-ES"/>
        </w:rPr>
        <w:t>, para compensar su actividad previa, en los términos que señale el reglamento</w:t>
      </w:r>
      <w:r w:rsidR="005E4494" w:rsidRPr="0077525B">
        <w:rPr>
          <w:rStyle w:val="Refdenotaalpie"/>
          <w:rFonts w:ascii="Arial" w:eastAsia="Calibri" w:hAnsi="Arial" w:cs="Arial"/>
          <w:sz w:val="22"/>
          <w:lang w:val="es-ES"/>
        </w:rPr>
        <w:footnoteReference w:id="20"/>
      </w:r>
      <w:r w:rsidR="005E4494" w:rsidRPr="0077525B">
        <w:rPr>
          <w:rFonts w:ascii="Arial" w:eastAsia="Calibri" w:hAnsi="Arial" w:cs="Arial"/>
          <w:sz w:val="22"/>
          <w:lang w:val="es-ES"/>
        </w:rPr>
        <w:t xml:space="preserve">. </w:t>
      </w:r>
      <w:r w:rsidR="005763C1" w:rsidRPr="0077525B">
        <w:rPr>
          <w:rFonts w:ascii="Arial" w:eastAsia="Calibri" w:hAnsi="Arial" w:cs="Arial"/>
          <w:sz w:val="22"/>
          <w:lang w:val="es-ES"/>
        </w:rPr>
        <w:t xml:space="preserve">Así mismo, </w:t>
      </w:r>
      <w:r w:rsidR="005D5CF4" w:rsidRPr="0077525B">
        <w:rPr>
          <w:rFonts w:ascii="Arial" w:eastAsia="Calibri" w:hAnsi="Arial" w:cs="Arial"/>
          <w:sz w:val="22"/>
          <w:lang w:val="es-ES"/>
        </w:rPr>
        <w:t xml:space="preserve">se </w:t>
      </w:r>
      <w:r w:rsidR="00ED0704" w:rsidRPr="0077525B">
        <w:rPr>
          <w:rFonts w:ascii="Arial" w:eastAsia="Calibri" w:hAnsi="Arial" w:cs="Arial"/>
          <w:sz w:val="22"/>
          <w:lang w:val="es-ES"/>
        </w:rPr>
        <w:t xml:space="preserve">determina </w:t>
      </w:r>
      <w:r w:rsidR="005D5CF4" w:rsidRPr="0077525B">
        <w:rPr>
          <w:rFonts w:ascii="Arial" w:eastAsia="Calibri" w:hAnsi="Arial" w:cs="Arial"/>
          <w:sz w:val="22"/>
          <w:lang w:val="es-ES"/>
        </w:rPr>
        <w:t>que los recursos del Presupuesto General de la Nación, de las entidades territoriales o de otros fondos públicos, no pueden ser superiores al 30% del presupuesto estimado de inversión del proyecto</w:t>
      </w:r>
      <w:r w:rsidR="009B2868" w:rsidRPr="0077525B">
        <w:rPr>
          <w:rFonts w:ascii="Arial" w:eastAsia="Calibri" w:hAnsi="Arial" w:cs="Arial"/>
          <w:sz w:val="22"/>
          <w:lang w:val="es-ES"/>
        </w:rPr>
        <w:t xml:space="preserve"> y</w:t>
      </w:r>
      <w:r w:rsidR="00E65D47" w:rsidRPr="0077525B">
        <w:rPr>
          <w:rFonts w:ascii="Arial" w:eastAsia="Calibri" w:hAnsi="Arial" w:cs="Arial"/>
          <w:sz w:val="22"/>
          <w:lang w:val="es-ES"/>
        </w:rPr>
        <w:t xml:space="preserve"> si se trata de proyectos de infraestructura vial dicho porcentaje no podrá superar el 20% del presupuesto estimado de inversión. </w:t>
      </w:r>
    </w:p>
    <w:p w14:paraId="6176E64E" w14:textId="6B2593A7" w:rsidR="00A22F60" w:rsidRPr="0077525B" w:rsidRDefault="00A22F60" w:rsidP="00596CD1">
      <w:pPr>
        <w:tabs>
          <w:tab w:val="left" w:pos="426"/>
        </w:tabs>
        <w:spacing w:after="160" w:line="276" w:lineRule="auto"/>
        <w:jc w:val="both"/>
        <w:rPr>
          <w:rFonts w:ascii="Arial" w:eastAsia="Calibri" w:hAnsi="Arial" w:cs="Arial"/>
          <w:b/>
          <w:bCs/>
          <w:sz w:val="22"/>
          <w:szCs w:val="22"/>
          <w:lang w:eastAsia="en-US"/>
        </w:rPr>
      </w:pPr>
      <w:r w:rsidRPr="0077525B">
        <w:rPr>
          <w:rFonts w:ascii="Arial" w:eastAsia="Calibri" w:hAnsi="Arial" w:cs="Arial"/>
          <w:b/>
          <w:bCs/>
          <w:sz w:val="22"/>
          <w:szCs w:val="22"/>
          <w:lang w:eastAsia="en-US"/>
        </w:rPr>
        <w:t>2.</w:t>
      </w:r>
      <w:r w:rsidR="007F5D64" w:rsidRPr="0077525B">
        <w:rPr>
          <w:rFonts w:ascii="Arial" w:eastAsia="Calibri" w:hAnsi="Arial" w:cs="Arial"/>
          <w:b/>
          <w:bCs/>
          <w:sz w:val="22"/>
          <w:szCs w:val="22"/>
          <w:lang w:eastAsia="en-US"/>
        </w:rPr>
        <w:t>2</w:t>
      </w:r>
      <w:r w:rsidRPr="0077525B">
        <w:rPr>
          <w:rFonts w:ascii="Arial" w:eastAsia="Calibri" w:hAnsi="Arial" w:cs="Arial"/>
          <w:b/>
          <w:bCs/>
          <w:sz w:val="22"/>
          <w:szCs w:val="22"/>
          <w:lang w:eastAsia="en-US"/>
        </w:rPr>
        <w:t>. Definición y finalidad de la Ley de Garantías Electorales: alcance de las restricciones</w:t>
      </w:r>
    </w:p>
    <w:p w14:paraId="296E303B" w14:textId="77777777" w:rsidR="00A22F60" w:rsidRPr="0077525B" w:rsidRDefault="00A22F60" w:rsidP="00A22F60">
      <w:pPr>
        <w:tabs>
          <w:tab w:val="left" w:pos="426"/>
        </w:tabs>
        <w:spacing w:after="120" w:line="276" w:lineRule="auto"/>
        <w:jc w:val="both"/>
        <w:rPr>
          <w:rFonts w:ascii="Arial" w:hAnsi="Arial" w:cs="Arial"/>
          <w:bCs/>
          <w:sz w:val="22"/>
          <w:szCs w:val="22"/>
          <w:lang w:eastAsia="es-CO"/>
        </w:rPr>
      </w:pPr>
      <w:r w:rsidRPr="0077525B">
        <w:rPr>
          <w:rFonts w:ascii="Arial" w:eastAsia="Calibri" w:hAnsi="Arial" w:cs="Arial"/>
          <w:bCs/>
          <w:sz w:val="22"/>
          <w:szCs w:val="22"/>
          <w:lang w:eastAsia="en-US"/>
        </w:rPr>
        <w:t>El ordenamiento jurídico colombiano contempla previsiones claras para evitar la obtención de beneficios personales en asuntos propios de la administración pública</w:t>
      </w:r>
      <w:r w:rsidRPr="0077525B">
        <w:rPr>
          <w:rFonts w:ascii="Arial" w:eastAsia="Calibri" w:hAnsi="Arial" w:cs="Arial"/>
          <w:bCs/>
          <w:i/>
          <w:iCs/>
          <w:sz w:val="22"/>
          <w:szCs w:val="22"/>
          <w:lang w:eastAsia="en-US"/>
        </w:rPr>
        <w:t xml:space="preserve">. </w:t>
      </w:r>
      <w:r w:rsidRPr="0077525B">
        <w:rPr>
          <w:rFonts w:ascii="Arial" w:eastAsia="Calibri" w:hAnsi="Arial" w:cs="Arial"/>
          <w:bCs/>
          <w:sz w:val="22"/>
          <w:szCs w:val="22"/>
          <w:lang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77525B">
        <w:rPr>
          <w:rFonts w:ascii="Arial" w:eastAsia="Calibri" w:hAnsi="Arial" w:cs="Arial"/>
          <w:bCs/>
          <w:sz w:val="22"/>
          <w:szCs w:val="22"/>
          <w:vertAlign w:val="superscript"/>
          <w:lang w:eastAsia="en-US"/>
        </w:rPr>
        <w:footnoteReference w:id="21"/>
      </w:r>
      <w:r w:rsidRPr="0077525B">
        <w:rPr>
          <w:rFonts w:ascii="Arial" w:eastAsia="Calibri" w:hAnsi="Arial" w:cs="Arial"/>
          <w:bCs/>
          <w:sz w:val="22"/>
          <w:szCs w:val="22"/>
          <w:lang w:eastAsia="en-US"/>
        </w:rPr>
        <w:t xml:space="preserve">. </w:t>
      </w:r>
    </w:p>
    <w:p w14:paraId="033CFE83" w14:textId="77777777" w:rsidR="00A22F60" w:rsidRPr="0077525B" w:rsidRDefault="00A22F60" w:rsidP="00A22F60">
      <w:pPr>
        <w:tabs>
          <w:tab w:val="left" w:pos="426"/>
        </w:tabs>
        <w:spacing w:line="276" w:lineRule="auto"/>
        <w:ind w:firstLine="709"/>
        <w:jc w:val="both"/>
        <w:rPr>
          <w:rFonts w:ascii="Arial" w:hAnsi="Arial" w:cs="Arial"/>
          <w:bCs/>
          <w:sz w:val="22"/>
          <w:szCs w:val="22"/>
          <w:lang w:val="es-MX" w:eastAsia="es-CO"/>
        </w:rPr>
      </w:pPr>
      <w:r w:rsidRPr="0077525B">
        <w:rPr>
          <w:rFonts w:ascii="Arial" w:hAnsi="Arial" w:cs="Arial"/>
          <w:bCs/>
          <w:sz w:val="22"/>
          <w:szCs w:val="22"/>
          <w:lang w:eastAsia="es-CO"/>
        </w:rPr>
        <w:t>En el mismo sentido</w:t>
      </w:r>
      <w:r w:rsidRPr="0077525B">
        <w:rPr>
          <w:rFonts w:ascii="Arial" w:hAnsi="Arial" w:cs="Arial"/>
          <w:bCs/>
          <w:sz w:val="22"/>
          <w:szCs w:val="22"/>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77525B">
        <w:rPr>
          <w:rFonts w:ascii="Arial" w:hAnsi="Arial" w:cs="Arial"/>
          <w:bCs/>
          <w:sz w:val="22"/>
          <w:szCs w:val="22"/>
          <w:vertAlign w:val="superscript"/>
          <w:lang w:val="es-MX" w:eastAsia="es-CO"/>
        </w:rPr>
        <w:footnoteReference w:id="22"/>
      </w:r>
      <w:r w:rsidRPr="0077525B">
        <w:rPr>
          <w:rFonts w:ascii="Arial" w:hAnsi="Arial" w:cs="Arial"/>
          <w:bCs/>
          <w:sz w:val="22"/>
          <w:szCs w:val="22"/>
          <w:lang w:val="es-MX" w:eastAsia="es-CO"/>
        </w:rPr>
        <w:t xml:space="preserve">. En esta medida, introduce limitaciones para realizar nombramientos, postulaciones, contrataciones o cualquier otro tipo de actividad que </w:t>
      </w:r>
      <w:r w:rsidRPr="0077525B">
        <w:rPr>
          <w:rFonts w:ascii="Arial" w:hAnsi="Arial" w:cs="Arial"/>
          <w:bCs/>
          <w:sz w:val="22"/>
          <w:szCs w:val="22"/>
          <w:lang w:val="es-MX" w:eastAsia="es-CO"/>
        </w:rPr>
        <w:lastRenderedPageBreak/>
        <w:t>implique destinación de recursos públicos bajo el devenir propio de las entidades estatales.</w:t>
      </w:r>
      <w:r w:rsidRPr="0077525B">
        <w:rPr>
          <w:rFonts w:ascii="Arial" w:eastAsia="Calibri" w:hAnsi="Arial" w:cs="Arial"/>
          <w:noProof/>
          <w:sz w:val="22"/>
          <w:szCs w:val="22"/>
          <w:lang w:val="es-ES_tradnl" w:eastAsia="en-US"/>
        </w:rPr>
        <w:t xml:space="preserve"> </w:t>
      </w:r>
      <w:r w:rsidRPr="0077525B">
        <w:rPr>
          <w:rFonts w:ascii="Arial" w:hAnsi="Arial" w:cs="Arial"/>
          <w:bCs/>
          <w:sz w:val="22"/>
          <w:szCs w:val="22"/>
          <w:lang w:val="es-MX" w:eastAsia="es-CO"/>
        </w:rPr>
        <w:t>En armonía con lo anterior, la Corte Constitucional ha abordado la definición de la Ley de Garantías Electorales. De esta manera, explica que tiene como propósito:</w:t>
      </w:r>
    </w:p>
    <w:p w14:paraId="55FC881C" w14:textId="77777777" w:rsidR="00A22F60" w:rsidRPr="0077525B" w:rsidRDefault="00A22F60" w:rsidP="00A22F60">
      <w:pPr>
        <w:spacing w:line="276" w:lineRule="auto"/>
        <w:ind w:right="709"/>
        <w:jc w:val="both"/>
        <w:rPr>
          <w:rFonts w:ascii="Arial" w:hAnsi="Arial" w:cs="Arial"/>
          <w:sz w:val="21"/>
          <w:szCs w:val="21"/>
          <w:lang w:val="es-ES" w:eastAsia="es-CO"/>
        </w:rPr>
      </w:pPr>
    </w:p>
    <w:p w14:paraId="53FE6D92" w14:textId="77777777" w:rsidR="00A22F60" w:rsidRPr="0077525B" w:rsidRDefault="00A22F60" w:rsidP="00A22F60">
      <w:pPr>
        <w:ind w:left="709" w:right="709"/>
        <w:jc w:val="both"/>
        <w:rPr>
          <w:rFonts w:ascii="Arial" w:hAnsi="Arial" w:cs="Arial"/>
          <w:bCs/>
          <w:sz w:val="21"/>
          <w:szCs w:val="21"/>
          <w:lang w:val="es-MX" w:eastAsia="es-CO"/>
        </w:rPr>
      </w:pPr>
      <w:r w:rsidRPr="0077525B">
        <w:rPr>
          <w:rFonts w:ascii="Arial" w:hAnsi="Arial" w:cs="Arial"/>
          <w:sz w:val="21"/>
          <w:szCs w:val="21"/>
          <w:lang w:val="es-ES" w:eastAsia="es-CO"/>
        </w:rPr>
        <w:t xml:space="preserve">[…] </w:t>
      </w:r>
      <w:r w:rsidRPr="0077525B">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62BE4AE3" w14:textId="77777777" w:rsidR="00A22F60" w:rsidRPr="0077525B" w:rsidRDefault="00A22F60" w:rsidP="00A22F60">
      <w:pPr>
        <w:spacing w:after="120"/>
        <w:ind w:left="709" w:right="709"/>
        <w:jc w:val="both"/>
        <w:rPr>
          <w:rFonts w:ascii="Arial" w:hAnsi="Arial" w:cs="Arial"/>
          <w:bCs/>
          <w:sz w:val="21"/>
          <w:szCs w:val="21"/>
          <w:lang w:val="es-MX" w:eastAsia="es-CO"/>
        </w:rPr>
      </w:pPr>
      <w:r w:rsidRPr="0077525B">
        <w:rPr>
          <w:rFonts w:ascii="Arial" w:hAnsi="Arial" w:cs="Arial"/>
          <w:bCs/>
          <w:sz w:val="21"/>
          <w:szCs w:val="21"/>
          <w:lang w:val="es-MX" w:eastAsia="es-CO"/>
        </w:rPr>
        <w:t xml:space="preserve">[…] </w:t>
      </w:r>
    </w:p>
    <w:p w14:paraId="394BBFEE" w14:textId="33587761" w:rsidR="00A22F60" w:rsidRPr="0077525B" w:rsidRDefault="00A22F60" w:rsidP="00A22F60">
      <w:pPr>
        <w:ind w:left="709" w:right="709"/>
        <w:jc w:val="both"/>
        <w:rPr>
          <w:rFonts w:ascii="Arial" w:hAnsi="Arial" w:cs="Arial"/>
          <w:bCs/>
          <w:sz w:val="21"/>
          <w:szCs w:val="21"/>
          <w:lang w:val="es-MX" w:eastAsia="es-CO"/>
        </w:rPr>
      </w:pPr>
      <w:r w:rsidRPr="0077525B">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77525B">
        <w:rPr>
          <w:rFonts w:ascii="Arial" w:eastAsia="Calibri" w:hAnsi="Arial" w:cs="Arial"/>
          <w:sz w:val="20"/>
          <w:szCs w:val="20"/>
          <w:vertAlign w:val="superscript"/>
          <w:lang w:val="es-MX" w:eastAsia="en-US"/>
        </w:rPr>
        <w:footnoteReference w:id="23"/>
      </w:r>
    </w:p>
    <w:p w14:paraId="2A0EE2A8" w14:textId="77777777" w:rsidR="00A22F60" w:rsidRPr="0077525B" w:rsidRDefault="00A22F60" w:rsidP="00A22F60">
      <w:pPr>
        <w:spacing w:line="276" w:lineRule="auto"/>
        <w:ind w:left="709" w:right="709"/>
        <w:jc w:val="both"/>
        <w:rPr>
          <w:rFonts w:ascii="Arial" w:hAnsi="Arial" w:cs="Arial"/>
          <w:bCs/>
          <w:sz w:val="21"/>
          <w:szCs w:val="21"/>
          <w:lang w:val="es-MX" w:eastAsia="es-CO"/>
        </w:rPr>
      </w:pPr>
    </w:p>
    <w:p w14:paraId="181A0EAA" w14:textId="77777777" w:rsidR="00A22F60" w:rsidRPr="0077525B" w:rsidRDefault="00A22F60" w:rsidP="00A22F60">
      <w:pPr>
        <w:spacing w:line="276" w:lineRule="auto"/>
        <w:ind w:firstLine="709"/>
        <w:jc w:val="both"/>
        <w:rPr>
          <w:rFonts w:ascii="Arial" w:hAnsi="Arial" w:cs="Arial"/>
          <w:bCs/>
          <w:sz w:val="22"/>
          <w:szCs w:val="22"/>
          <w:lang w:val="es-MX" w:eastAsia="es-CO"/>
        </w:rPr>
      </w:pPr>
      <w:bookmarkStart w:id="9" w:name="_Hlk78818186"/>
      <w:r w:rsidRPr="0077525B">
        <w:rPr>
          <w:rFonts w:ascii="Arial" w:hAnsi="Arial" w:cs="Arial"/>
          <w:bCs/>
          <w:sz w:val="22"/>
          <w:szCs w:val="22"/>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9"/>
      <w:r w:rsidRPr="0077525B">
        <w:rPr>
          <w:rFonts w:ascii="Arial" w:hAnsi="Arial" w:cs="Arial"/>
          <w:bCs/>
          <w:sz w:val="22"/>
          <w:szCs w:val="22"/>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AB15C1C" w14:textId="77777777" w:rsidR="00A22F60" w:rsidRPr="0077525B" w:rsidRDefault="00A22F60" w:rsidP="00A22F60">
      <w:pPr>
        <w:spacing w:line="276" w:lineRule="auto"/>
        <w:ind w:firstLine="709"/>
        <w:jc w:val="both"/>
        <w:rPr>
          <w:rFonts w:ascii="Arial" w:hAnsi="Arial" w:cs="Arial"/>
          <w:bCs/>
          <w:sz w:val="22"/>
          <w:szCs w:val="22"/>
          <w:lang w:val="es-MX" w:eastAsia="es-CO"/>
        </w:rPr>
      </w:pPr>
    </w:p>
    <w:p w14:paraId="41277B88" w14:textId="77777777" w:rsidR="00A22F60" w:rsidRPr="0077525B" w:rsidRDefault="00A22F60" w:rsidP="00A22F60">
      <w:pPr>
        <w:spacing w:after="120"/>
        <w:ind w:left="709" w:right="709"/>
        <w:jc w:val="both"/>
        <w:rPr>
          <w:rFonts w:ascii="Arial" w:hAnsi="Arial" w:cs="Arial"/>
          <w:bCs/>
          <w:sz w:val="21"/>
          <w:szCs w:val="21"/>
          <w:lang w:val="es-MX" w:eastAsia="es-CO"/>
        </w:rPr>
      </w:pPr>
      <w:r w:rsidRPr="0077525B">
        <w:rPr>
          <w:rFonts w:ascii="Arial"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22BAF6AF" w14:textId="77777777" w:rsidR="00A22F60" w:rsidRPr="0077525B" w:rsidRDefault="00A22F60" w:rsidP="00A22F60">
      <w:pPr>
        <w:ind w:left="709" w:right="709"/>
        <w:jc w:val="both"/>
        <w:rPr>
          <w:rFonts w:ascii="Arial" w:hAnsi="Arial" w:cs="Arial"/>
          <w:bCs/>
          <w:sz w:val="21"/>
          <w:szCs w:val="21"/>
          <w:lang w:val="es-MX" w:eastAsia="es-CO"/>
        </w:rPr>
      </w:pPr>
      <w:r w:rsidRPr="0077525B">
        <w:rPr>
          <w:rFonts w:ascii="Arial" w:hAnsi="Arial" w:cs="Arial"/>
          <w:bCs/>
          <w:sz w:val="21"/>
          <w:szCs w:val="21"/>
          <w:lang w:val="es-MX" w:eastAsia="es-CO"/>
        </w:rPr>
        <w:lastRenderedPageBreak/>
        <w:t>La jurisprudencia de la Corte Constitucional</w:t>
      </w:r>
      <w:r w:rsidRPr="0077525B">
        <w:rPr>
          <w:rFonts w:ascii="Arial" w:hAnsi="Arial" w:cs="Arial"/>
          <w:bCs/>
          <w:sz w:val="21"/>
          <w:szCs w:val="21"/>
          <w:vertAlign w:val="superscript"/>
          <w:lang w:val="es-MX" w:eastAsia="es-CO"/>
        </w:rPr>
        <w:footnoteReference w:id="24"/>
      </w:r>
      <w:r w:rsidRPr="0077525B">
        <w:rPr>
          <w:rFonts w:ascii="Arial" w:hAnsi="Arial" w:cs="Arial"/>
          <w:bCs/>
          <w:sz w:val="21"/>
          <w:szCs w:val="21"/>
          <w:lang w:val="es-MX" w:eastAsia="es-CO"/>
        </w:rPr>
        <w:t> y del Consejo de Estado</w:t>
      </w:r>
      <w:r w:rsidRPr="0077525B">
        <w:rPr>
          <w:rFonts w:ascii="Arial" w:hAnsi="Arial" w:cs="Arial"/>
          <w:bCs/>
          <w:sz w:val="21"/>
          <w:szCs w:val="21"/>
          <w:vertAlign w:val="superscript"/>
          <w:lang w:val="es-MX" w:eastAsia="es-CO"/>
        </w:rPr>
        <w:footnoteReference w:id="25"/>
      </w:r>
      <w:r w:rsidRPr="0077525B">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77525B">
        <w:rPr>
          <w:rFonts w:ascii="Arial" w:hAnsi="Arial" w:cs="Arial"/>
          <w:bCs/>
          <w:sz w:val="22"/>
          <w:szCs w:val="22"/>
          <w:vertAlign w:val="superscript"/>
          <w:lang w:val="es-MX" w:eastAsia="es-CO"/>
        </w:rPr>
        <w:footnoteReference w:id="26"/>
      </w:r>
      <w:r w:rsidRPr="0077525B">
        <w:rPr>
          <w:rFonts w:ascii="Arial" w:hAnsi="Arial" w:cs="Arial"/>
          <w:bCs/>
          <w:sz w:val="21"/>
          <w:szCs w:val="21"/>
          <w:lang w:val="es-MX" w:eastAsia="es-CO"/>
        </w:rPr>
        <w:t>.</w:t>
      </w:r>
    </w:p>
    <w:p w14:paraId="79966F16" w14:textId="77777777" w:rsidR="00A22F60" w:rsidRPr="0077525B" w:rsidRDefault="00A22F60" w:rsidP="00A22F60">
      <w:pPr>
        <w:spacing w:line="276" w:lineRule="auto"/>
        <w:ind w:right="709"/>
        <w:jc w:val="both"/>
        <w:rPr>
          <w:rFonts w:ascii="Arial" w:hAnsi="Arial" w:cs="Arial"/>
          <w:bCs/>
          <w:sz w:val="21"/>
          <w:szCs w:val="21"/>
          <w:lang w:val="es-MX" w:eastAsia="es-CO"/>
        </w:rPr>
      </w:pPr>
    </w:p>
    <w:p w14:paraId="1B30A531" w14:textId="32AA3E91" w:rsidR="00A22F60" w:rsidRPr="0077525B" w:rsidRDefault="00A22F60" w:rsidP="00A22F60">
      <w:pPr>
        <w:spacing w:after="120" w:line="276" w:lineRule="auto"/>
        <w:jc w:val="both"/>
        <w:rPr>
          <w:rFonts w:ascii="Arial" w:eastAsia="Arial" w:hAnsi="Arial" w:cs="Arial"/>
          <w:sz w:val="22"/>
          <w:szCs w:val="22"/>
          <w:lang w:val="es-ES" w:eastAsia="es-ES" w:bidi="es-ES"/>
        </w:rPr>
      </w:pPr>
      <w:r w:rsidRPr="0077525B">
        <w:rPr>
          <w:rFonts w:ascii="Arial" w:hAnsi="Arial" w:cs="Arial"/>
          <w:bCs/>
          <w:sz w:val="22"/>
          <w:szCs w:val="22"/>
          <w:lang w:val="es-MX" w:eastAsia="es-CO"/>
        </w:rPr>
        <w:tab/>
        <w:t>De</w:t>
      </w:r>
      <w:r w:rsidRPr="0077525B">
        <w:rPr>
          <w:rFonts w:ascii="Arial" w:eastAsia="Arial" w:hAnsi="Arial" w:cs="Arial"/>
          <w:sz w:val="22"/>
          <w:szCs w:val="22"/>
          <w:lang w:val="es-ES" w:eastAsia="es-ES" w:bidi="es-ES"/>
        </w:rPr>
        <w:t xml:space="preserve"> conformidad con lo anterior, </w:t>
      </w:r>
      <w:bookmarkStart w:id="10" w:name="_Hlk77236098"/>
      <w:r w:rsidRPr="0077525B">
        <w:rPr>
          <w:rFonts w:ascii="Arial" w:eastAsia="Arial" w:hAnsi="Arial" w:cs="Arial"/>
          <w:sz w:val="22"/>
          <w:szCs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w:t>
      </w:r>
      <w:r w:rsidR="000B7337" w:rsidRPr="0077525B">
        <w:rPr>
          <w:rFonts w:ascii="Arial" w:eastAsia="Arial" w:hAnsi="Arial" w:cs="Arial"/>
          <w:sz w:val="22"/>
          <w:szCs w:val="22"/>
          <w:lang w:val="es-ES" w:eastAsia="es-ES" w:bidi="es-ES"/>
        </w:rPr>
        <w:t>n</w:t>
      </w:r>
      <w:r w:rsidRPr="0077525B">
        <w:rPr>
          <w:rFonts w:ascii="Arial" w:eastAsia="Arial" w:hAnsi="Arial" w:cs="Arial"/>
          <w:sz w:val="22"/>
          <w:szCs w:val="22"/>
          <w:lang w:val="es-ES" w:eastAsia="es-ES" w:bidi="es-ES"/>
        </w:rPr>
        <w:t xml:space="preserv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0"/>
    </w:p>
    <w:p w14:paraId="343E0891" w14:textId="77777777" w:rsidR="00A22F60" w:rsidRPr="0077525B" w:rsidRDefault="00A22F60" w:rsidP="00A22F60">
      <w:pPr>
        <w:spacing w:after="120" w:line="276" w:lineRule="auto"/>
        <w:ind w:firstLine="708"/>
        <w:jc w:val="both"/>
        <w:rPr>
          <w:rFonts w:ascii="Arial" w:eastAsia="Calibri" w:hAnsi="Arial" w:cs="Arial"/>
          <w:sz w:val="22"/>
          <w:szCs w:val="22"/>
          <w:lang w:eastAsia="en-US"/>
        </w:rPr>
      </w:pPr>
      <w:r w:rsidRPr="0077525B">
        <w:rPr>
          <w:rFonts w:ascii="Arial" w:eastAsia="Calibri" w:hAnsi="Arial" w:cs="Arial"/>
          <w:sz w:val="22"/>
          <w:szCs w:val="22"/>
          <w:lang w:eastAsia="en-US"/>
        </w:rPr>
        <w:t xml:space="preserve">Por un lado, el artículo 33 de la Ley 996 de 2005 prohíbe </w:t>
      </w:r>
      <w:r w:rsidRPr="0077525B">
        <w:rPr>
          <w:rFonts w:ascii="Arial" w:eastAsia="Calibri" w:hAnsi="Arial" w:cs="Arial"/>
          <w:bCs/>
          <w:sz w:val="22"/>
          <w:szCs w:val="22"/>
          <w:lang w:eastAsia="en-US"/>
        </w:rPr>
        <w:t xml:space="preserve">«[…] </w:t>
      </w:r>
      <w:r w:rsidRPr="0077525B">
        <w:rPr>
          <w:rFonts w:ascii="Arial" w:eastAsia="Calibri" w:hAnsi="Arial" w:cs="Arial"/>
          <w:sz w:val="22"/>
          <w:szCs w:val="22"/>
          <w:lang w:eastAsia="en-US"/>
        </w:rPr>
        <w:t>la contratación directa por parte de todos los entes del Estado</w:t>
      </w:r>
      <w:r w:rsidRPr="0077525B">
        <w:rPr>
          <w:rFonts w:ascii="Arial" w:eastAsia="Calibri" w:hAnsi="Arial" w:cs="Arial"/>
          <w:bCs/>
          <w:sz w:val="22"/>
          <w:szCs w:val="22"/>
          <w:lang w:eastAsia="en-US"/>
        </w:rPr>
        <w:t>»</w:t>
      </w:r>
      <w:r w:rsidRPr="0077525B">
        <w:rPr>
          <w:rFonts w:ascii="Arial" w:eastAsia="Calibri" w:hAnsi="Arial" w:cs="Arial"/>
          <w:sz w:val="22"/>
          <w:szCs w:val="22"/>
          <w:lang w:eastAsia="en-US"/>
        </w:rPr>
        <w:t xml:space="preserve"> durante los cuatro (4) meses anteriores a las elecciones presidenciales, salvo </w:t>
      </w:r>
      <w:r w:rsidRPr="0077525B">
        <w:rPr>
          <w:rFonts w:ascii="Arial" w:eastAsia="Calibri" w:hAnsi="Arial" w:cs="Arial"/>
          <w:bCs/>
          <w:sz w:val="22"/>
          <w:szCs w:val="22"/>
          <w:lang w:eastAsia="en-US"/>
        </w:rPr>
        <w:t xml:space="preserve">«[…] </w:t>
      </w:r>
      <w:r w:rsidRPr="0077525B">
        <w:rPr>
          <w:rFonts w:ascii="Arial" w:eastAsia="Calibri" w:hAnsi="Arial" w:cs="Arial"/>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77525B">
        <w:rPr>
          <w:rFonts w:ascii="Arial" w:eastAsia="Calibri" w:hAnsi="Arial" w:cs="Arial"/>
          <w:bCs/>
          <w:sz w:val="22"/>
          <w:szCs w:val="22"/>
          <w:lang w:eastAsia="en-US"/>
        </w:rPr>
        <w:t>»</w:t>
      </w:r>
      <w:r w:rsidRPr="0077525B">
        <w:rPr>
          <w:rFonts w:ascii="Arial" w:eastAsia="Calibri" w:hAnsi="Arial" w:cs="Arial"/>
          <w:bCs/>
          <w:sz w:val="22"/>
          <w:szCs w:val="22"/>
          <w:vertAlign w:val="superscript"/>
          <w:lang w:eastAsia="en-US"/>
        </w:rPr>
        <w:footnoteReference w:id="27"/>
      </w:r>
      <w:r w:rsidRPr="0077525B">
        <w:rPr>
          <w:rFonts w:ascii="Arial" w:eastAsia="Calibri" w:hAnsi="Arial" w:cs="Arial"/>
          <w:sz w:val="22"/>
          <w:szCs w:val="22"/>
          <w:lang w:eastAsia="en-US"/>
        </w:rPr>
        <w:t>.</w:t>
      </w:r>
    </w:p>
    <w:p w14:paraId="4ADB6C41" w14:textId="77777777" w:rsidR="00A22F60" w:rsidRPr="0077525B" w:rsidRDefault="00A22F60" w:rsidP="00A22F60">
      <w:pPr>
        <w:widowControl w:val="0"/>
        <w:autoSpaceDE w:val="0"/>
        <w:autoSpaceDN w:val="0"/>
        <w:spacing w:line="276" w:lineRule="auto"/>
        <w:ind w:right="113" w:firstLine="708"/>
        <w:jc w:val="both"/>
        <w:rPr>
          <w:rFonts w:ascii="Arial" w:eastAsia="Arial" w:hAnsi="Arial" w:cs="Arial"/>
          <w:sz w:val="22"/>
          <w:szCs w:val="22"/>
          <w:lang w:val="es-ES" w:eastAsia="es-ES" w:bidi="es-ES"/>
        </w:rPr>
      </w:pPr>
      <w:r w:rsidRPr="0077525B">
        <w:rPr>
          <w:rFonts w:ascii="Arial" w:eastAsia="Calibri" w:hAnsi="Arial" w:cs="Arial"/>
          <w:sz w:val="22"/>
          <w:szCs w:val="22"/>
          <w:lang w:eastAsia="en-US"/>
        </w:rPr>
        <w:lastRenderedPageBreak/>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77525B">
        <w:rPr>
          <w:rFonts w:ascii="Arial" w:eastAsia="Calibri" w:hAnsi="Arial" w:cs="Arial"/>
          <w:bCs/>
          <w:sz w:val="22"/>
          <w:szCs w:val="22"/>
          <w:lang w:eastAsia="en-US"/>
        </w:rPr>
        <w:t xml:space="preserve">«[…] </w:t>
      </w:r>
      <w:r w:rsidRPr="0077525B">
        <w:rPr>
          <w:rFonts w:ascii="Arial" w:eastAsia="Calibri" w:hAnsi="Arial" w:cs="Arial"/>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77525B">
        <w:rPr>
          <w:rFonts w:ascii="Arial" w:eastAsia="Calibri" w:hAnsi="Arial" w:cs="Arial"/>
          <w:bCs/>
          <w:sz w:val="19"/>
          <w:szCs w:val="19"/>
          <w:lang w:eastAsia="en-US"/>
        </w:rPr>
        <w:t>»</w:t>
      </w:r>
      <w:r w:rsidRPr="0077525B">
        <w:rPr>
          <w:rFonts w:ascii="Arial" w:eastAsia="Calibri" w:hAnsi="Arial" w:cs="Arial"/>
          <w:bCs/>
          <w:sz w:val="19"/>
          <w:szCs w:val="19"/>
          <w:vertAlign w:val="superscript"/>
          <w:lang w:eastAsia="en-US"/>
        </w:rPr>
        <w:footnoteReference w:id="28"/>
      </w:r>
      <w:r w:rsidRPr="0077525B">
        <w:rPr>
          <w:rFonts w:ascii="Arial" w:eastAsia="Calibri" w:hAnsi="Arial" w:cs="Arial"/>
          <w:sz w:val="22"/>
          <w:szCs w:val="22"/>
          <w:lang w:val="es-MX" w:eastAsia="en-US"/>
        </w:rPr>
        <w:t>.</w:t>
      </w:r>
      <w:r w:rsidRPr="0077525B">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5ED4E1B0" w14:textId="77777777" w:rsidR="00A22F60" w:rsidRPr="0077525B" w:rsidRDefault="00A22F60" w:rsidP="00A22F60">
      <w:pPr>
        <w:widowControl w:val="0"/>
        <w:autoSpaceDE w:val="0"/>
        <w:autoSpaceDN w:val="0"/>
        <w:spacing w:line="276" w:lineRule="auto"/>
        <w:ind w:left="805" w:right="812"/>
        <w:jc w:val="both"/>
        <w:rPr>
          <w:rFonts w:ascii="Arial" w:eastAsia="Arial" w:hAnsi="Arial" w:cs="Arial"/>
          <w:sz w:val="22"/>
          <w:szCs w:val="22"/>
          <w:lang w:val="es-ES" w:eastAsia="es-ES" w:bidi="es-ES"/>
        </w:rPr>
      </w:pPr>
    </w:p>
    <w:p w14:paraId="27E3023E" w14:textId="77777777" w:rsidR="00A22F60" w:rsidRPr="0077525B" w:rsidRDefault="00A22F60" w:rsidP="00A22F60">
      <w:pPr>
        <w:widowControl w:val="0"/>
        <w:autoSpaceDE w:val="0"/>
        <w:autoSpaceDN w:val="0"/>
        <w:ind w:left="709" w:right="709"/>
        <w:jc w:val="both"/>
        <w:rPr>
          <w:rFonts w:ascii="Arial" w:eastAsia="Arial" w:hAnsi="Arial" w:cs="Arial"/>
          <w:sz w:val="21"/>
          <w:szCs w:val="21"/>
          <w:lang w:val="es-ES" w:eastAsia="es-ES" w:bidi="es-ES"/>
        </w:rPr>
      </w:pPr>
      <w:r w:rsidRPr="0077525B">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3" w:name="_Hlk76109421"/>
      <w:r w:rsidRPr="0077525B">
        <w:rPr>
          <w:rFonts w:ascii="Arial" w:eastAsia="Arial" w:hAnsi="Arial" w:cs="Arial"/>
          <w:sz w:val="21"/>
          <w:szCs w:val="21"/>
          <w:lang w:val="es-ES" w:eastAsia="es-ES" w:bidi="es-ES"/>
        </w:rPr>
        <w:t>se integran parcialmente</w:t>
      </w:r>
      <w:bookmarkEnd w:id="13"/>
      <w:r w:rsidRPr="0077525B">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77525B">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77525B">
        <w:rPr>
          <w:rFonts w:ascii="Arial" w:eastAsia="Arial" w:hAnsi="Arial" w:cs="Arial"/>
          <w:sz w:val="21"/>
          <w:szCs w:val="21"/>
          <w:lang w:val="es-ES" w:eastAsia="es-ES" w:bidi="es-ES"/>
        </w:rPr>
        <w:t>.</w:t>
      </w:r>
      <w:r w:rsidRPr="0077525B">
        <w:rPr>
          <w:rFonts w:ascii="Arial" w:eastAsia="Arial" w:hAnsi="Arial" w:cs="Arial"/>
          <w:sz w:val="21"/>
          <w:szCs w:val="21"/>
          <w:vertAlign w:val="superscript"/>
          <w:lang w:val="es-ES" w:eastAsia="es-ES" w:bidi="es-ES"/>
        </w:rPr>
        <w:footnoteReference w:id="29"/>
      </w:r>
    </w:p>
    <w:p w14:paraId="4AD9CE2D" w14:textId="77777777" w:rsidR="00A22F60" w:rsidRPr="0077525B" w:rsidRDefault="00A22F60" w:rsidP="00A22F60">
      <w:pPr>
        <w:widowControl w:val="0"/>
        <w:autoSpaceDE w:val="0"/>
        <w:autoSpaceDN w:val="0"/>
        <w:spacing w:before="8" w:line="276" w:lineRule="auto"/>
        <w:rPr>
          <w:rFonts w:ascii="Arial" w:eastAsia="Arial" w:hAnsi="Arial" w:cs="Arial"/>
          <w:sz w:val="22"/>
          <w:szCs w:val="22"/>
          <w:lang w:val="es-ES" w:eastAsia="es-ES" w:bidi="es-ES"/>
        </w:rPr>
      </w:pPr>
    </w:p>
    <w:p w14:paraId="20C78365" w14:textId="77777777" w:rsidR="00A22F60" w:rsidRPr="0077525B" w:rsidRDefault="00A22F60" w:rsidP="00A22F60">
      <w:pPr>
        <w:spacing w:after="120" w:line="276" w:lineRule="auto"/>
        <w:ind w:firstLine="709"/>
        <w:jc w:val="both"/>
        <w:rPr>
          <w:rFonts w:ascii="Arial" w:eastAsia="Arial" w:hAnsi="Arial" w:cs="Arial"/>
          <w:sz w:val="22"/>
          <w:szCs w:val="22"/>
          <w:lang w:val="es-ES" w:eastAsia="es-ES" w:bidi="es-ES"/>
        </w:rPr>
      </w:pPr>
      <w:r w:rsidRPr="0077525B">
        <w:rPr>
          <w:rFonts w:ascii="Arial" w:eastAsia="Arial" w:hAnsi="Arial" w:cs="Arial"/>
          <w:sz w:val="22"/>
          <w:szCs w:val="22"/>
          <w:lang w:val="es-ES" w:eastAsia="es-ES" w:bidi="es-ES"/>
        </w:rPr>
        <w:lastRenderedPageBreak/>
        <w:t xml:space="preserve">De conformidad con lo anterior, </w:t>
      </w:r>
      <w:bookmarkStart w:id="14" w:name="_Hlk77236420"/>
      <w:bookmarkStart w:id="15" w:name="_Hlk78818435"/>
      <w:bookmarkStart w:id="16" w:name="_Hlk75780333"/>
      <w:r w:rsidRPr="0077525B">
        <w:rPr>
          <w:rFonts w:ascii="Arial" w:eastAsia="Arial" w:hAnsi="Arial" w:cs="Arial"/>
          <w:sz w:val="22"/>
          <w:szCs w:val="22"/>
          <w:lang w:val="es-ES" w:eastAsia="es-ES" w:bidi="es-ES"/>
        </w:rPr>
        <w:t xml:space="preserve">la Ley 996 de 2005 establece dos (2) tipos de restricciones en materia de contratación, las cuales coinciden parcialmente. </w:t>
      </w:r>
      <w:r w:rsidRPr="0077525B">
        <w:rPr>
          <w:rFonts w:ascii="Arial" w:eastAsia="Arial" w:hAnsi="Arial" w:cs="Arial"/>
          <w:i/>
          <w:iCs/>
          <w:sz w:val="22"/>
          <w:szCs w:val="22"/>
          <w:lang w:val="es-ES" w:eastAsia="es-ES" w:bidi="es-ES"/>
        </w:rPr>
        <w:t>En primer lugar</w:t>
      </w:r>
      <w:r w:rsidRPr="0077525B">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77525B">
        <w:rPr>
          <w:rFonts w:ascii="Arial" w:eastAsia="Arial" w:hAnsi="Arial" w:cs="Arial"/>
          <w:i/>
          <w:iCs/>
          <w:sz w:val="22"/>
          <w:szCs w:val="22"/>
          <w:lang w:val="es-ES" w:eastAsia="es-ES" w:bidi="es-ES"/>
        </w:rPr>
        <w:t>En segundo lugar</w:t>
      </w:r>
      <w:r w:rsidRPr="0077525B">
        <w:rPr>
          <w:rFonts w:ascii="Arial" w:eastAsia="Arial" w:hAnsi="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4"/>
    </w:p>
    <w:bookmarkEnd w:id="15"/>
    <w:p w14:paraId="21087483" w14:textId="77777777" w:rsidR="00A22F60" w:rsidRPr="0077525B" w:rsidRDefault="00A22F60" w:rsidP="00A22F60">
      <w:pPr>
        <w:spacing w:after="120" w:line="276" w:lineRule="auto"/>
        <w:ind w:firstLine="709"/>
        <w:jc w:val="both"/>
        <w:rPr>
          <w:rFonts w:ascii="Arial" w:eastAsia="Arial" w:hAnsi="Arial" w:cs="Arial"/>
          <w:sz w:val="22"/>
          <w:szCs w:val="22"/>
          <w:lang w:val="es-ES" w:eastAsia="es-ES" w:bidi="es-ES"/>
        </w:rPr>
      </w:pPr>
      <w:r w:rsidRPr="0077525B">
        <w:rPr>
          <w:rFonts w:ascii="Arial" w:eastAsia="Arial" w:hAnsi="Arial" w:cs="Arial"/>
          <w:sz w:val="22"/>
          <w:szCs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16"/>
    <w:p w14:paraId="5C6A8F9E" w14:textId="77777777" w:rsidR="00A22F60" w:rsidRPr="0077525B" w:rsidRDefault="00A22F60" w:rsidP="00A22F60">
      <w:pPr>
        <w:spacing w:line="276" w:lineRule="auto"/>
        <w:ind w:firstLine="708"/>
        <w:jc w:val="both"/>
        <w:rPr>
          <w:rFonts w:ascii="Arial" w:eastAsia="Arial" w:hAnsi="Arial" w:cs="Arial"/>
          <w:sz w:val="22"/>
          <w:szCs w:val="22"/>
          <w:lang w:val="es-ES" w:eastAsia="es-ES" w:bidi="es-ES"/>
        </w:rPr>
      </w:pPr>
      <w:r w:rsidRPr="0077525B">
        <w:rPr>
          <w:rFonts w:ascii="Arial" w:eastAsia="Arial" w:hAnsi="Arial" w:cs="Arial"/>
          <w:sz w:val="22"/>
          <w:szCs w:val="22"/>
          <w:lang w:val="es-ES" w:eastAsia="es-ES" w:bidi="es-ES"/>
        </w:rPr>
        <w:t>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7F148BEB" w14:textId="77777777" w:rsidR="00A22F60" w:rsidRPr="0077525B" w:rsidRDefault="00A22F60" w:rsidP="00A22F60">
      <w:pPr>
        <w:spacing w:line="276" w:lineRule="auto"/>
        <w:jc w:val="both"/>
        <w:rPr>
          <w:rFonts w:ascii="Arial" w:eastAsia="Arial" w:hAnsi="Arial" w:cs="Arial"/>
          <w:sz w:val="22"/>
          <w:szCs w:val="22"/>
          <w:lang w:val="es-ES" w:eastAsia="es-ES" w:bidi="es-ES"/>
        </w:rPr>
      </w:pPr>
    </w:p>
    <w:p w14:paraId="5248A94F" w14:textId="1B9E5632" w:rsidR="00A22F60" w:rsidRPr="0077525B" w:rsidRDefault="00A22F60" w:rsidP="00A22F60">
      <w:pPr>
        <w:spacing w:line="276" w:lineRule="auto"/>
        <w:jc w:val="both"/>
        <w:rPr>
          <w:rFonts w:ascii="Arial" w:hAnsi="Arial" w:cs="Arial"/>
          <w:b/>
          <w:sz w:val="22"/>
          <w:szCs w:val="22"/>
          <w:lang w:val="es-ES" w:eastAsia="es-CO"/>
        </w:rPr>
      </w:pPr>
      <w:r w:rsidRPr="0077525B">
        <w:rPr>
          <w:rFonts w:ascii="Arial" w:hAnsi="Arial" w:cs="Arial"/>
          <w:b/>
          <w:sz w:val="22"/>
          <w:szCs w:val="22"/>
          <w:lang w:val="es-ES" w:eastAsia="es-CO"/>
        </w:rPr>
        <w:t>2.</w:t>
      </w:r>
      <w:r w:rsidR="007F5D64" w:rsidRPr="0077525B">
        <w:rPr>
          <w:rFonts w:ascii="Arial" w:hAnsi="Arial" w:cs="Arial"/>
          <w:b/>
          <w:sz w:val="22"/>
          <w:szCs w:val="22"/>
          <w:lang w:val="es-ES" w:eastAsia="es-CO"/>
        </w:rPr>
        <w:t>3</w:t>
      </w:r>
      <w:r w:rsidRPr="0077525B">
        <w:rPr>
          <w:rFonts w:ascii="Arial" w:hAnsi="Arial" w:cs="Arial"/>
          <w:b/>
          <w:sz w:val="22"/>
          <w:szCs w:val="22"/>
          <w:lang w:val="es-ES" w:eastAsia="es-CO"/>
        </w:rPr>
        <w:t xml:space="preserve">. </w:t>
      </w:r>
      <w:r w:rsidRPr="0077525B">
        <w:rPr>
          <w:rFonts w:ascii="Arial" w:hAnsi="Arial" w:cs="Arial"/>
          <w:b/>
          <w:bCs/>
          <w:sz w:val="22"/>
          <w:szCs w:val="22"/>
          <w:lang w:val="es-MX" w:eastAsia="es-CO"/>
        </w:rPr>
        <w:t xml:space="preserve">Restricciones en elecciones presidenciales </w:t>
      </w:r>
    </w:p>
    <w:p w14:paraId="48942E1D" w14:textId="77777777" w:rsidR="00A22F60" w:rsidRPr="0077525B" w:rsidRDefault="00A22F60" w:rsidP="00A22F60">
      <w:pPr>
        <w:spacing w:line="276" w:lineRule="auto"/>
        <w:jc w:val="both"/>
        <w:rPr>
          <w:rFonts w:ascii="Arial" w:hAnsi="Arial" w:cs="Arial"/>
          <w:bCs/>
          <w:sz w:val="22"/>
          <w:szCs w:val="22"/>
          <w:lang w:val="es-MX" w:eastAsia="x-none"/>
        </w:rPr>
      </w:pPr>
    </w:p>
    <w:p w14:paraId="77B9F662" w14:textId="77777777" w:rsidR="00A22F60" w:rsidRPr="0077525B" w:rsidRDefault="00A22F60" w:rsidP="00A22F60">
      <w:pPr>
        <w:spacing w:line="276" w:lineRule="auto"/>
        <w:jc w:val="both"/>
        <w:rPr>
          <w:rFonts w:ascii="Arial" w:hAnsi="Arial" w:cs="Arial"/>
          <w:bCs/>
          <w:sz w:val="22"/>
          <w:szCs w:val="22"/>
          <w:lang w:val="es-MX" w:eastAsia="es-CO"/>
        </w:rPr>
      </w:pPr>
      <w:r w:rsidRPr="0077525B">
        <w:rPr>
          <w:rFonts w:ascii="Arial" w:hAnsi="Arial" w:cs="Arial"/>
          <w:bCs/>
          <w:sz w:val="22"/>
          <w:szCs w:val="22"/>
          <w:lang w:val="es-MX" w:eastAsia="x-none"/>
        </w:rPr>
        <w:t xml:space="preserve">El ámbito material de la prohibición contenida </w:t>
      </w:r>
      <w:bookmarkStart w:id="17" w:name="_Hlk75628761"/>
      <w:r w:rsidRPr="0077525B">
        <w:rPr>
          <w:rFonts w:ascii="Arial" w:hAnsi="Arial" w:cs="Arial"/>
          <w:bCs/>
          <w:sz w:val="22"/>
          <w:szCs w:val="22"/>
          <w:lang w:val="es-MX" w:eastAsia="x-none"/>
        </w:rPr>
        <w:t xml:space="preserve">en el artículo 33 de la ley 996 de 2005 </w:t>
      </w:r>
      <w:bookmarkEnd w:id="17"/>
      <w:r w:rsidRPr="0077525B">
        <w:rPr>
          <w:rFonts w:ascii="Arial" w:hAnsi="Arial" w:cs="Arial"/>
          <w:bCs/>
          <w:sz w:val="22"/>
          <w:szCs w:val="22"/>
          <w:lang w:val="es-MX" w:eastAsia="x-none"/>
        </w:rPr>
        <w:t xml:space="preserve">está delimitado por la expresión </w:t>
      </w:r>
      <w:r w:rsidRPr="0077525B">
        <w:rPr>
          <w:rFonts w:ascii="Arial" w:eastAsia="Calibri" w:hAnsi="Arial" w:cs="Arial"/>
          <w:bCs/>
          <w:sz w:val="20"/>
          <w:szCs w:val="20"/>
          <w:lang w:val="es-MX" w:eastAsia="en-US"/>
        </w:rPr>
        <w:t>«</w:t>
      </w:r>
      <w:r w:rsidRPr="0077525B">
        <w:rPr>
          <w:rFonts w:ascii="Arial" w:hAnsi="Arial" w:cs="Arial"/>
          <w:bCs/>
          <w:sz w:val="22"/>
          <w:szCs w:val="22"/>
          <w:lang w:val="es-MX" w:eastAsia="x-none"/>
        </w:rPr>
        <w:t>queda prohibida la contratación directa</w:t>
      </w:r>
      <w:r w:rsidRPr="0077525B">
        <w:rPr>
          <w:rFonts w:ascii="Arial" w:eastAsia="Calibri" w:hAnsi="Arial" w:cs="Arial"/>
          <w:sz w:val="20"/>
          <w:szCs w:val="20"/>
          <w:lang w:val="es-MX" w:eastAsia="en-US"/>
        </w:rPr>
        <w:t>»</w:t>
      </w:r>
      <w:r w:rsidRPr="0077525B">
        <w:rPr>
          <w:rFonts w:ascii="Arial" w:hAnsi="Arial" w:cs="Arial"/>
          <w:bCs/>
          <w:sz w:val="22"/>
          <w:szCs w:val="22"/>
          <w:lang w:val="es-MX" w:eastAsia="x-none"/>
        </w:rPr>
        <w:t xml:space="preserve">. </w:t>
      </w:r>
      <w:r w:rsidRPr="0077525B">
        <w:rPr>
          <w:rFonts w:ascii="Arial" w:hAnsi="Arial" w:cs="Arial"/>
          <w:sz w:val="22"/>
          <w:szCs w:val="22"/>
          <w:lang w:val="es-MX" w:eastAsia="es-CO"/>
        </w:rPr>
        <w:t xml:space="preserve"> A propósito de </w:t>
      </w:r>
      <w:r w:rsidRPr="0077525B">
        <w:rPr>
          <w:rFonts w:ascii="Arial" w:hAnsi="Arial" w:cs="Arial"/>
          <w:sz w:val="22"/>
          <w:szCs w:val="22"/>
          <w:lang w:eastAsia="es-CO"/>
        </w:rPr>
        <w:t>esta restricción de la Ley de Garantías Electorales, la Sala de Consulta y Servicio Civil del Consejo de Estado ha considerado que:</w:t>
      </w:r>
    </w:p>
    <w:p w14:paraId="342E045D" w14:textId="77777777" w:rsidR="00A22F60" w:rsidRPr="0077525B" w:rsidRDefault="00A22F60" w:rsidP="00A22F60">
      <w:pPr>
        <w:spacing w:line="276" w:lineRule="auto"/>
        <w:ind w:left="708" w:right="709"/>
        <w:jc w:val="both"/>
        <w:rPr>
          <w:rFonts w:ascii="Arial" w:eastAsia="Calibri" w:hAnsi="Arial" w:cs="Arial"/>
          <w:sz w:val="21"/>
          <w:szCs w:val="21"/>
          <w:lang w:val="es-MX" w:eastAsia="en-US"/>
        </w:rPr>
      </w:pPr>
    </w:p>
    <w:p w14:paraId="646A39E0" w14:textId="77777777" w:rsidR="00A22F60" w:rsidRPr="0077525B" w:rsidRDefault="00A22F60" w:rsidP="00A22F60">
      <w:pPr>
        <w:spacing w:after="120"/>
        <w:ind w:left="709" w:right="709"/>
        <w:jc w:val="both"/>
        <w:rPr>
          <w:rFonts w:ascii="Arial" w:eastAsia="Calibri" w:hAnsi="Arial" w:cs="Arial"/>
          <w:sz w:val="21"/>
          <w:szCs w:val="21"/>
          <w:lang w:val="es-MX" w:eastAsia="en-US"/>
        </w:rPr>
      </w:pPr>
      <w:r w:rsidRPr="0077525B">
        <w:rPr>
          <w:rFonts w:ascii="Arial" w:eastAsia="Calibri" w:hAnsi="Arial" w:cs="Arial"/>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77525B">
        <w:rPr>
          <w:rFonts w:ascii="Arial" w:hAnsi="Arial" w:cs="Arial"/>
          <w:sz w:val="22"/>
          <w:szCs w:val="22"/>
          <w:vertAlign w:val="superscript"/>
          <w:lang w:eastAsia="es-CO"/>
        </w:rPr>
        <w:footnoteReference w:id="30"/>
      </w:r>
      <w:r w:rsidRPr="0077525B">
        <w:rPr>
          <w:rFonts w:ascii="Arial" w:eastAsia="Calibri" w:hAnsi="Arial" w:cs="Arial"/>
          <w:sz w:val="21"/>
          <w:szCs w:val="21"/>
          <w:lang w:val="es-MX" w:eastAsia="en-US"/>
        </w:rPr>
        <w:t>.</w:t>
      </w:r>
    </w:p>
    <w:p w14:paraId="5A3B3B43" w14:textId="77777777" w:rsidR="00A22F60" w:rsidRPr="0077525B" w:rsidRDefault="00A22F60" w:rsidP="00A22F60">
      <w:pPr>
        <w:ind w:left="708" w:right="709"/>
        <w:jc w:val="both"/>
        <w:rPr>
          <w:rFonts w:ascii="Arial" w:eastAsia="Calibri" w:hAnsi="Arial" w:cs="Arial"/>
          <w:sz w:val="21"/>
          <w:szCs w:val="21"/>
          <w:lang w:val="es-MX" w:eastAsia="en-US"/>
        </w:rPr>
      </w:pPr>
      <w:r w:rsidRPr="0077525B">
        <w:rPr>
          <w:rFonts w:ascii="Arial" w:eastAsia="Calibri" w:hAnsi="Arial" w:cs="Arial"/>
          <w:sz w:val="21"/>
          <w:szCs w:val="21"/>
          <w:lang w:val="es-MX" w:eastAsia="en-US"/>
        </w:rPr>
        <w:t xml:space="preserve">Esta Sala ha entendido que para los efectos de la ley de garantías, y dada su finalidad, el enunciado ´contratación directa´ es sinónimo </w:t>
      </w:r>
      <w:bookmarkStart w:id="20" w:name="_Hlk75741738"/>
      <w:r w:rsidRPr="0077525B">
        <w:rPr>
          <w:rFonts w:ascii="Arial" w:eastAsia="Calibri" w:hAnsi="Arial" w:cs="Arial"/>
          <w:sz w:val="21"/>
          <w:szCs w:val="21"/>
          <w:lang w:val="es-MX" w:eastAsia="en-US"/>
        </w:rPr>
        <w:t xml:space="preserve">de cualquier sistema que no implique convocatoria pública y posibilidad de pluralidad de oferentes, </w:t>
      </w:r>
      <w:bookmarkEnd w:id="20"/>
      <w:r w:rsidRPr="0077525B">
        <w:rPr>
          <w:rFonts w:ascii="Arial" w:eastAsia="Calibri" w:hAnsi="Arial" w:cs="Arial"/>
          <w:sz w:val="21"/>
          <w:szCs w:val="21"/>
          <w:lang w:val="es-MX" w:eastAsia="en-US"/>
        </w:rPr>
        <w:t>y que, además, no necesariamente hace referencia al procedimiento especial regulado por la ley de contratación estatal, sino a cualquier otro que prescinda de un proceso de licitación pública o concurso</w:t>
      </w:r>
      <w:r w:rsidRPr="0077525B">
        <w:rPr>
          <w:rFonts w:ascii="Arial" w:hAnsi="Arial" w:cs="Arial"/>
          <w:sz w:val="21"/>
          <w:szCs w:val="21"/>
          <w:vertAlign w:val="superscript"/>
          <w:lang w:val="es-MX" w:eastAsia="en-US"/>
        </w:rPr>
        <w:footnoteReference w:id="31"/>
      </w:r>
      <w:r w:rsidRPr="0077525B">
        <w:rPr>
          <w:rFonts w:ascii="Arial" w:hAnsi="Arial" w:cs="Arial"/>
          <w:sz w:val="21"/>
          <w:szCs w:val="21"/>
          <w:vertAlign w:val="superscript"/>
          <w:lang w:val="es-MX" w:eastAsia="en-US"/>
        </w:rPr>
        <w:t>.</w:t>
      </w:r>
      <w:r w:rsidRPr="0077525B">
        <w:rPr>
          <w:rFonts w:ascii="Arial" w:eastAsia="Calibri" w:hAnsi="Arial" w:cs="Arial"/>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77525B">
        <w:rPr>
          <w:rFonts w:ascii="Arial" w:hAnsi="Arial" w:cs="Arial"/>
          <w:sz w:val="22"/>
          <w:szCs w:val="22"/>
          <w:vertAlign w:val="superscript"/>
          <w:lang w:eastAsia="es-CO"/>
        </w:rPr>
        <w:footnoteReference w:id="32"/>
      </w:r>
      <w:r w:rsidRPr="0077525B">
        <w:rPr>
          <w:rFonts w:ascii="Arial" w:eastAsia="Calibri" w:hAnsi="Arial" w:cs="Arial"/>
          <w:sz w:val="21"/>
          <w:szCs w:val="21"/>
          <w:lang w:val="es-MX" w:eastAsia="en-US"/>
        </w:rPr>
        <w:t xml:space="preserve"> .</w:t>
      </w:r>
    </w:p>
    <w:p w14:paraId="2D5D60F8" w14:textId="77777777" w:rsidR="00A22F60" w:rsidRPr="0077525B" w:rsidRDefault="00A22F60" w:rsidP="00A22F60">
      <w:pPr>
        <w:shd w:val="clear" w:color="auto" w:fill="FFFFFF"/>
        <w:spacing w:line="276" w:lineRule="auto"/>
        <w:ind w:firstLine="709"/>
        <w:jc w:val="both"/>
        <w:rPr>
          <w:rFonts w:ascii="Arial" w:hAnsi="Arial" w:cs="Arial"/>
          <w:sz w:val="22"/>
          <w:szCs w:val="22"/>
          <w:lang w:eastAsia="x-none"/>
        </w:rPr>
      </w:pPr>
    </w:p>
    <w:p w14:paraId="725DC596" w14:textId="77777777" w:rsidR="00A22F60" w:rsidRPr="0077525B" w:rsidRDefault="00A22F60" w:rsidP="00A22F60">
      <w:pPr>
        <w:spacing w:after="120" w:line="276" w:lineRule="auto"/>
        <w:ind w:firstLine="708"/>
        <w:jc w:val="both"/>
        <w:rPr>
          <w:rFonts w:ascii="Arial" w:hAnsi="Arial" w:cs="Arial"/>
          <w:bCs/>
          <w:sz w:val="22"/>
          <w:szCs w:val="22"/>
          <w:lang w:eastAsia="x-none"/>
        </w:rPr>
      </w:pPr>
      <w:r w:rsidRPr="0077525B">
        <w:rPr>
          <w:rFonts w:ascii="Arial" w:hAnsi="Arial" w:cs="Arial"/>
          <w:sz w:val="22"/>
          <w:szCs w:val="22"/>
          <w:lang w:eastAsia="x-none"/>
        </w:rPr>
        <w:t xml:space="preserve">De conformidad con el citado concepto, </w:t>
      </w:r>
      <w:bookmarkStart w:id="22" w:name="_Hlk78818702"/>
      <w:r w:rsidRPr="0077525B">
        <w:rPr>
          <w:rFonts w:ascii="Arial" w:hAnsi="Arial" w:cs="Arial"/>
          <w:sz w:val="22"/>
          <w:szCs w:val="22"/>
          <w:lang w:eastAsia="x-none"/>
        </w:rPr>
        <w:t xml:space="preserve">la prohibición del artículo 33 de la Ley de Garantías Electorales se refiere a </w:t>
      </w:r>
      <w:bookmarkStart w:id="23" w:name="_Hlk74294635"/>
      <w:r w:rsidRPr="0077525B">
        <w:rPr>
          <w:rFonts w:ascii="Arial" w:hAnsi="Arial" w:cs="Arial"/>
          <w:sz w:val="19"/>
          <w:szCs w:val="19"/>
          <w:lang w:eastAsia="en-GB"/>
        </w:rPr>
        <w:t>«</w:t>
      </w:r>
      <w:bookmarkEnd w:id="23"/>
      <w:r w:rsidRPr="0077525B">
        <w:rPr>
          <w:rFonts w:ascii="Arial" w:hAnsi="Arial" w:cs="Arial"/>
          <w:sz w:val="22"/>
          <w:szCs w:val="22"/>
          <w:lang w:eastAsia="x-none"/>
        </w:rPr>
        <w:t>cualquier sistema que no implique convocatoria pública y posibilidad de pluralidad de oferentes</w:t>
      </w:r>
      <w:bookmarkStart w:id="24" w:name="_Hlk74404754"/>
      <w:r w:rsidRPr="0077525B">
        <w:rPr>
          <w:rFonts w:ascii="Arial" w:hAnsi="Arial" w:cs="Arial"/>
          <w:sz w:val="22"/>
          <w:szCs w:val="22"/>
          <w:lang w:eastAsia="en-GB"/>
        </w:rPr>
        <w:t>»</w:t>
      </w:r>
      <w:bookmarkEnd w:id="24"/>
      <w:r w:rsidRPr="0077525B">
        <w:rPr>
          <w:rFonts w:ascii="Arial" w:hAnsi="Arial" w:cs="Arial"/>
          <w:sz w:val="22"/>
          <w:szCs w:val="22"/>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2"/>
      <w:r w:rsidRPr="0077525B">
        <w:rPr>
          <w:rFonts w:ascii="Arial" w:hAnsi="Arial" w:cs="Arial"/>
          <w:sz w:val="22"/>
          <w:szCs w:val="22"/>
          <w:lang w:eastAsia="x-none"/>
        </w:rPr>
        <w:t>Esta posición es congruente con la expedición de la Ley 1150 de 2007 que, entre otras reformas, introdujo la selección abreviada, rediseñó el concurso de méritos</w:t>
      </w:r>
      <w:r w:rsidRPr="0077525B">
        <w:rPr>
          <w:rFonts w:ascii="Arial" w:hAnsi="Arial" w:cs="Arial"/>
          <w:sz w:val="22"/>
          <w:szCs w:val="22"/>
          <w:vertAlign w:val="superscript"/>
          <w:lang w:val="en-GB" w:eastAsia="x-none"/>
        </w:rPr>
        <w:footnoteReference w:id="33"/>
      </w:r>
      <w:r w:rsidRPr="0077525B">
        <w:rPr>
          <w:rFonts w:ascii="Arial" w:hAnsi="Arial" w:cs="Arial"/>
          <w:sz w:val="22"/>
          <w:szCs w:val="22"/>
          <w:lang w:eastAsia="x-none"/>
        </w:rPr>
        <w:t xml:space="preserve"> y sistematizó las causales de contratación directa</w:t>
      </w:r>
      <w:r w:rsidRPr="0077525B">
        <w:rPr>
          <w:rFonts w:ascii="Arial" w:hAnsi="Arial" w:cs="Arial"/>
          <w:sz w:val="22"/>
          <w:szCs w:val="22"/>
          <w:vertAlign w:val="superscript"/>
          <w:lang w:val="en-GB" w:eastAsia="x-none"/>
        </w:rPr>
        <w:footnoteReference w:id="34"/>
      </w:r>
      <w:r w:rsidRPr="0077525B">
        <w:rPr>
          <w:rFonts w:ascii="Arial" w:hAnsi="Arial" w:cs="Arial"/>
          <w:sz w:val="22"/>
          <w:szCs w:val="22"/>
          <w:lang w:eastAsia="x-none"/>
        </w:rPr>
        <w:t xml:space="preserve">. </w:t>
      </w:r>
    </w:p>
    <w:p w14:paraId="1271EDE0" w14:textId="77777777" w:rsidR="00A22F60" w:rsidRPr="0077525B" w:rsidRDefault="00A22F60" w:rsidP="00A22F60">
      <w:pPr>
        <w:spacing w:after="120" w:line="276" w:lineRule="auto"/>
        <w:ind w:firstLine="708"/>
        <w:jc w:val="both"/>
        <w:rPr>
          <w:rFonts w:ascii="Arial" w:hAnsi="Arial" w:cs="Arial"/>
          <w:sz w:val="22"/>
          <w:szCs w:val="22"/>
          <w:lang w:val="es-MX" w:eastAsia="x-none"/>
        </w:rPr>
      </w:pPr>
      <w:r w:rsidRPr="0077525B">
        <w:rPr>
          <w:rFonts w:ascii="Arial" w:hAnsi="Arial" w:cs="Arial"/>
          <w:sz w:val="22"/>
          <w:szCs w:val="22"/>
          <w:lang w:eastAsia="x-none"/>
        </w:rPr>
        <w:t xml:space="preserve">De esta forma, con fundamento en la evolución de la normativa sobre la contratación pública, se ha depurado la noción de </w:t>
      </w:r>
      <w:r w:rsidRPr="0077525B">
        <w:rPr>
          <w:rFonts w:ascii="Arial" w:hAnsi="Arial" w:cs="Arial"/>
          <w:sz w:val="19"/>
          <w:szCs w:val="19"/>
          <w:lang w:eastAsia="en-GB"/>
        </w:rPr>
        <w:t>«</w:t>
      </w:r>
      <w:r w:rsidRPr="0077525B">
        <w:rPr>
          <w:rFonts w:ascii="Arial" w:hAnsi="Arial" w:cs="Arial"/>
          <w:sz w:val="22"/>
          <w:szCs w:val="22"/>
          <w:lang w:eastAsia="x-none"/>
        </w:rPr>
        <w:t>contratación directa</w:t>
      </w:r>
      <w:r w:rsidRPr="0077525B">
        <w:rPr>
          <w:rFonts w:ascii="Arial" w:hAnsi="Arial" w:cs="Arial"/>
          <w:sz w:val="22"/>
          <w:szCs w:val="22"/>
          <w:lang w:eastAsia="en-GB"/>
        </w:rPr>
        <w:t>»</w:t>
      </w:r>
      <w:r w:rsidRPr="0077525B">
        <w:rPr>
          <w:rFonts w:ascii="Arial" w:hAnsi="Arial" w:cs="Arial"/>
          <w:sz w:val="22"/>
          <w:szCs w:val="22"/>
          <w:lang w:eastAsia="x-none"/>
        </w:rPr>
        <w:t xml:space="preserve">,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w:t>
      </w:r>
      <w:r w:rsidRPr="0077525B">
        <w:rPr>
          <w:rFonts w:ascii="Arial" w:hAnsi="Arial" w:cs="Arial"/>
          <w:sz w:val="22"/>
          <w:szCs w:val="22"/>
          <w:lang w:eastAsia="x-none"/>
        </w:rPr>
        <w:lastRenderedPageBreak/>
        <w:t>licitación pública. Lo anterior sería tanto como desconocer que el legislador, no solo en el Estatuto General de la Contratación de la Administración Pública, sino también en leyes especiales e, incluso, en el derecho privado</w:t>
      </w:r>
      <w:r w:rsidRPr="0077525B">
        <w:rPr>
          <w:rFonts w:ascii="Arial" w:hAnsi="Arial" w:cs="Arial"/>
          <w:sz w:val="22"/>
          <w:szCs w:val="22"/>
          <w:vertAlign w:val="superscript"/>
          <w:lang w:val="en-GB" w:eastAsia="x-none"/>
        </w:rPr>
        <w:footnoteReference w:id="35"/>
      </w:r>
      <w:r w:rsidRPr="0077525B">
        <w:rPr>
          <w:rFonts w:ascii="Arial" w:hAnsi="Arial" w:cs="Arial"/>
          <w:sz w:val="22"/>
          <w:szCs w:val="22"/>
          <w:lang w:eastAsia="x-none"/>
        </w:rPr>
        <w:t>, han establecido sistemas de contratación que implican convocatoria pública y participación de varios oferentes</w:t>
      </w:r>
      <w:r w:rsidRPr="0077525B">
        <w:rPr>
          <w:rFonts w:ascii="Arial" w:hAnsi="Arial" w:cs="Arial"/>
          <w:sz w:val="22"/>
          <w:szCs w:val="22"/>
          <w:lang w:eastAsia="en-GB"/>
        </w:rPr>
        <w:t>»</w:t>
      </w:r>
      <w:r w:rsidRPr="0077525B">
        <w:rPr>
          <w:rFonts w:ascii="Arial" w:hAnsi="Arial" w:cs="Arial"/>
          <w:sz w:val="22"/>
          <w:szCs w:val="22"/>
          <w:lang w:eastAsia="x-none"/>
        </w:rPr>
        <w:t xml:space="preserve">. </w:t>
      </w:r>
    </w:p>
    <w:p w14:paraId="37BF70E2" w14:textId="77777777" w:rsidR="00A22F60" w:rsidRPr="0077525B" w:rsidRDefault="00A22F60" w:rsidP="00A22F60">
      <w:pPr>
        <w:spacing w:after="120" w:line="276" w:lineRule="auto"/>
        <w:ind w:firstLine="708"/>
        <w:jc w:val="both"/>
        <w:rPr>
          <w:rFonts w:ascii="Arial" w:hAnsi="Arial" w:cs="Arial"/>
          <w:bCs/>
          <w:sz w:val="22"/>
          <w:szCs w:val="22"/>
          <w:lang w:val="es-MX" w:eastAsia="es-CO"/>
        </w:rPr>
      </w:pPr>
      <w:r w:rsidRPr="0077525B">
        <w:rPr>
          <w:rFonts w:ascii="Arial" w:hAnsi="Arial" w:cs="Arial"/>
          <w:bCs/>
          <w:sz w:val="22"/>
          <w:szCs w:val="22"/>
          <w:lang w:val="es-MX" w:eastAsia="x-none"/>
        </w:rPr>
        <w:t>E</w:t>
      </w:r>
      <w:r w:rsidRPr="0077525B">
        <w:rPr>
          <w:rFonts w:ascii="Arial" w:hAnsi="Arial" w:cs="Arial"/>
          <w:sz w:val="22"/>
          <w:szCs w:val="22"/>
          <w:lang w:eastAsia="x-none"/>
        </w:rPr>
        <w:t xml:space="preserve">n efecto, vale la pena mencionar que, </w:t>
      </w:r>
      <w:bookmarkStart w:id="26" w:name="_Hlk75636073"/>
      <w:r w:rsidRPr="0077525B">
        <w:rPr>
          <w:rFonts w:ascii="Arial" w:hAnsi="Arial" w:cs="Arial"/>
          <w:sz w:val="22"/>
          <w:szCs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6"/>
      <w:r w:rsidRPr="0077525B">
        <w:rPr>
          <w:rFonts w:ascii="Arial" w:hAnsi="Arial" w:cs="Arial"/>
          <w:sz w:val="22"/>
          <w:szCs w:val="22"/>
          <w:vertAlign w:val="superscript"/>
          <w:lang w:eastAsia="x-none"/>
        </w:rPr>
        <w:footnoteReference w:id="36"/>
      </w:r>
      <w:r w:rsidRPr="0077525B">
        <w:rPr>
          <w:rFonts w:ascii="Arial" w:hAnsi="Arial" w:cs="Arial"/>
          <w:sz w:val="22"/>
          <w:szCs w:val="22"/>
          <w:lang w:eastAsia="x-none"/>
        </w:rPr>
        <w:t xml:space="preserve">. </w:t>
      </w:r>
    </w:p>
    <w:p w14:paraId="465A6505" w14:textId="77777777" w:rsidR="00A22F60" w:rsidRPr="0077525B" w:rsidRDefault="00A22F60" w:rsidP="00A22F60">
      <w:pPr>
        <w:spacing w:after="120" w:line="276" w:lineRule="auto"/>
        <w:ind w:firstLine="708"/>
        <w:jc w:val="both"/>
        <w:rPr>
          <w:rFonts w:ascii="Arial" w:hAnsi="Arial" w:cs="Arial"/>
          <w:bCs/>
          <w:sz w:val="22"/>
          <w:szCs w:val="22"/>
          <w:lang w:val="es-MX" w:eastAsia="es-CO"/>
        </w:rPr>
      </w:pPr>
      <w:r w:rsidRPr="0077525B">
        <w:rPr>
          <w:rFonts w:ascii="Arial" w:hAnsi="Arial" w:cs="Arial"/>
          <w:bCs/>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14E23F45" w14:textId="77777777" w:rsidR="00A22F60" w:rsidRPr="0077525B" w:rsidRDefault="00A22F60" w:rsidP="00A22F60">
      <w:pPr>
        <w:spacing w:after="120" w:line="276" w:lineRule="auto"/>
        <w:ind w:firstLine="708"/>
        <w:jc w:val="both"/>
        <w:rPr>
          <w:rFonts w:ascii="Arial" w:hAnsi="Arial" w:cs="Arial"/>
          <w:bCs/>
          <w:sz w:val="22"/>
          <w:szCs w:val="22"/>
          <w:lang w:val="es-MX" w:eastAsia="x-none"/>
        </w:rPr>
      </w:pPr>
      <w:bookmarkStart w:id="27" w:name="_Hlk78818796"/>
      <w:r w:rsidRPr="0077525B">
        <w:rPr>
          <w:rFonts w:ascii="Arial" w:hAnsi="Arial" w:cs="Arial"/>
          <w:bCs/>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77525B">
        <w:rPr>
          <w:rFonts w:ascii="Arial" w:hAnsi="Arial" w:cs="Arial"/>
          <w:sz w:val="22"/>
          <w:szCs w:val="22"/>
          <w:vertAlign w:val="superscript"/>
          <w:lang w:eastAsia="x-none"/>
        </w:rPr>
        <w:footnoteReference w:id="37"/>
      </w:r>
      <w:r w:rsidRPr="0077525B">
        <w:rPr>
          <w:rFonts w:ascii="Arial" w:hAnsi="Arial" w:cs="Arial"/>
          <w:bCs/>
          <w:sz w:val="22"/>
          <w:szCs w:val="22"/>
          <w:lang w:val="es-MX" w:eastAsia="x-none"/>
        </w:rPr>
        <w:t>.</w:t>
      </w:r>
      <w:r w:rsidRPr="0077525B">
        <w:rPr>
          <w:rFonts w:ascii="Arial" w:hAnsi="Arial" w:cs="Arial"/>
          <w:sz w:val="22"/>
          <w:szCs w:val="22"/>
          <w:vertAlign w:val="superscript"/>
          <w:lang w:eastAsia="x-none"/>
        </w:rPr>
        <w:t xml:space="preserve"> </w:t>
      </w:r>
    </w:p>
    <w:bookmarkEnd w:id="27"/>
    <w:p w14:paraId="46A1F45C" w14:textId="77777777" w:rsidR="00A22F60" w:rsidRPr="0077525B" w:rsidRDefault="00A22F60" w:rsidP="00A22F60">
      <w:pPr>
        <w:spacing w:after="120" w:line="276" w:lineRule="auto"/>
        <w:ind w:firstLine="708"/>
        <w:jc w:val="both"/>
        <w:rPr>
          <w:rFonts w:ascii="Arial" w:hAnsi="Arial" w:cs="Arial"/>
          <w:sz w:val="22"/>
          <w:szCs w:val="22"/>
          <w:lang w:eastAsia="x-none"/>
        </w:rPr>
      </w:pPr>
      <w:r w:rsidRPr="0077525B">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77525B">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4E285366" w14:textId="77777777" w:rsidR="00A22F60" w:rsidRPr="0077525B" w:rsidRDefault="00A22F60" w:rsidP="00A22F60">
      <w:pPr>
        <w:spacing w:after="120" w:line="276" w:lineRule="auto"/>
        <w:ind w:firstLine="708"/>
        <w:jc w:val="both"/>
        <w:rPr>
          <w:rFonts w:ascii="Arial" w:hAnsi="Arial" w:cs="Arial"/>
          <w:bCs/>
          <w:sz w:val="22"/>
          <w:szCs w:val="22"/>
          <w:lang w:val="es-MX" w:eastAsia="es-CO"/>
        </w:rPr>
      </w:pPr>
      <w:bookmarkStart w:id="28" w:name="_Hlk77237094"/>
      <w:r w:rsidRPr="0077525B">
        <w:rPr>
          <w:rFonts w:ascii="Arial" w:hAnsi="Arial" w:cs="Arial"/>
          <w:bCs/>
          <w:sz w:val="22"/>
          <w:szCs w:val="22"/>
          <w:lang w:val="es-MX" w:eastAsia="es-CO"/>
        </w:rPr>
        <w:lastRenderedPageBreak/>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28"/>
    </w:p>
    <w:p w14:paraId="7C14520F" w14:textId="77777777" w:rsidR="00A22F60" w:rsidRPr="0077525B" w:rsidRDefault="00A22F60" w:rsidP="00A22F60">
      <w:pPr>
        <w:spacing w:after="120" w:line="276" w:lineRule="auto"/>
        <w:ind w:firstLine="708"/>
        <w:jc w:val="both"/>
        <w:rPr>
          <w:rFonts w:ascii="Arial" w:hAnsi="Arial" w:cs="Arial"/>
          <w:bCs/>
          <w:sz w:val="22"/>
          <w:szCs w:val="22"/>
          <w:lang w:val="es-MX" w:eastAsia="x-none"/>
        </w:rPr>
      </w:pPr>
      <w:r w:rsidRPr="0077525B">
        <w:rPr>
          <w:rFonts w:ascii="Arial" w:hAnsi="Arial" w:cs="Arial"/>
          <w:bCs/>
          <w:sz w:val="22"/>
          <w:szCs w:val="22"/>
          <w:lang w:val="es-MX" w:eastAsia="es-CO"/>
        </w:rPr>
        <w:t xml:space="preserve">Para estos efectos, lo importante es que el contrato se haya perfeccionado antes del inicio de la prohibición. Al respecto, el numeral 5.6 de la Circular Externa Única de Colombia Compra Eficiente explica que «La realización del registro presupuestal y la aprobación de la garantía se pueden realizar con posterioridad a la entrada en vigor de la Ley de Garantías por ser requisitos de ejecución del contrato, pero no requeridos para su perfeccionamiento». Por ello, también es posible que el contrato se ejecute durante la vigencia de la prohibición, siempre que el negocio jurídico se haya suscrito antes de que comience la restricción. </w:t>
      </w:r>
    </w:p>
    <w:p w14:paraId="329CF9C5" w14:textId="77777777" w:rsidR="00A22F60" w:rsidRPr="0077525B" w:rsidRDefault="00A22F60" w:rsidP="00A22F60">
      <w:pPr>
        <w:spacing w:after="120" w:line="276" w:lineRule="auto"/>
        <w:ind w:firstLine="708"/>
        <w:jc w:val="both"/>
        <w:rPr>
          <w:rFonts w:ascii="Arial" w:hAnsi="Arial" w:cs="Arial"/>
          <w:bCs/>
          <w:sz w:val="22"/>
          <w:szCs w:val="22"/>
          <w:lang w:val="es-MX" w:eastAsia="es-CO"/>
        </w:rPr>
      </w:pPr>
      <w:r w:rsidRPr="0077525B">
        <w:rPr>
          <w:rFonts w:ascii="Arial" w:hAnsi="Arial" w:cs="Arial"/>
          <w:bCs/>
          <w:sz w:val="22"/>
          <w:szCs w:val="22"/>
          <w:lang w:val="es-MX"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77525B">
        <w:rPr>
          <w:rFonts w:ascii="Arial" w:hAnsi="Arial" w:cs="Arial"/>
          <w:bCs/>
          <w:sz w:val="22"/>
          <w:szCs w:val="22"/>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4B26B8D5" w14:textId="77777777" w:rsidR="00A22F60" w:rsidRPr="0077525B" w:rsidRDefault="00A22F60" w:rsidP="00A22F60">
      <w:pPr>
        <w:spacing w:line="276" w:lineRule="auto"/>
        <w:ind w:firstLine="708"/>
        <w:jc w:val="both"/>
        <w:rPr>
          <w:rFonts w:ascii="Arial" w:hAnsi="Arial" w:cs="Arial"/>
          <w:bCs/>
          <w:sz w:val="22"/>
          <w:szCs w:val="22"/>
          <w:lang w:val="es-MX" w:eastAsia="x-none"/>
        </w:rPr>
      </w:pPr>
      <w:r w:rsidRPr="0077525B">
        <w:rPr>
          <w:rFonts w:ascii="Arial" w:hAnsi="Arial" w:cs="Arial"/>
          <w:bCs/>
          <w:sz w:val="22"/>
          <w:szCs w:val="22"/>
          <w:lang w:val="es-MX" w:eastAsia="x-none"/>
        </w:rPr>
        <w:t>En esta labor es importante tener en cuenta, como lo anotó la Corte Constitucional, en Sentencia C-1153 de noviembre 11 de 2005</w:t>
      </w:r>
      <w:r w:rsidRPr="0077525B">
        <w:rPr>
          <w:rFonts w:ascii="Arial" w:eastAsia="Calibri" w:hAnsi="Arial" w:cs="Arial"/>
          <w:szCs w:val="22"/>
          <w:vertAlign w:val="superscript"/>
          <w:lang w:val="es-MX" w:eastAsia="en-US"/>
        </w:rPr>
        <w:t>,</w:t>
      </w:r>
      <w:r w:rsidRPr="0077525B">
        <w:rPr>
          <w:rFonts w:ascii="Arial" w:hAnsi="Arial" w:cs="Arial"/>
          <w:bCs/>
          <w:sz w:val="22"/>
          <w:szCs w:val="22"/>
          <w:lang w:val="es-MX" w:eastAsia="x-none"/>
        </w:rPr>
        <w:t xml:space="preserve"> </w:t>
      </w:r>
      <w:bookmarkStart w:id="29" w:name="_Hlk74309042"/>
      <w:r w:rsidRPr="0077525B">
        <w:rPr>
          <w:rFonts w:ascii="Arial" w:hAnsi="Arial" w:cs="Arial"/>
          <w:bCs/>
          <w:sz w:val="22"/>
          <w:szCs w:val="22"/>
          <w:lang w:val="es-MX" w:eastAsia="x-none"/>
        </w:rPr>
        <w:t>que «</w:t>
      </w:r>
      <w:bookmarkEnd w:id="29"/>
      <w:r w:rsidRPr="0077525B">
        <w:rPr>
          <w:rFonts w:ascii="Arial" w:hAnsi="Arial" w:cs="Arial"/>
          <w:bCs/>
          <w:sz w:val="22"/>
          <w:szCs w:val="22"/>
          <w:lang w:val="es-MX" w:eastAsia="x-none"/>
        </w:rPr>
        <w:t xml:space="preserve">si bien la limitación garantiza la igualdad de condiciones, también es necesario que tal limitación que pretende la igualdad </w:t>
      </w:r>
      <w:bookmarkStart w:id="30" w:name="_Hlk75768308"/>
      <w:r w:rsidRPr="0077525B">
        <w:rPr>
          <w:rFonts w:ascii="Arial" w:hAnsi="Arial" w:cs="Arial"/>
          <w:bCs/>
          <w:sz w:val="22"/>
          <w:szCs w:val="22"/>
          <w:lang w:val="es-MX" w:eastAsia="x-none"/>
        </w:rPr>
        <w:t>no termine yendo en detrimento de intereses públicos, cuya garantía está en cabeza del ejecutivo, como son los inmersos en las excepciones para la prohibición de contratación</w:t>
      </w:r>
      <w:bookmarkStart w:id="31" w:name="_Hlk74309060"/>
      <w:r w:rsidRPr="0077525B">
        <w:rPr>
          <w:rFonts w:ascii="Arial" w:hAnsi="Arial" w:cs="Arial"/>
          <w:bCs/>
          <w:sz w:val="22"/>
          <w:szCs w:val="22"/>
          <w:lang w:val="es-MX" w:eastAsia="x-none"/>
        </w:rPr>
        <w:t>»</w:t>
      </w:r>
      <w:bookmarkEnd w:id="31"/>
      <w:r w:rsidRPr="0077525B">
        <w:rPr>
          <w:rFonts w:ascii="Arial" w:eastAsia="Calibri" w:hAnsi="Arial" w:cs="Arial"/>
          <w:sz w:val="22"/>
          <w:szCs w:val="22"/>
          <w:vertAlign w:val="superscript"/>
          <w:lang w:val="es-MX" w:eastAsia="en-US"/>
        </w:rPr>
        <w:footnoteReference w:id="38"/>
      </w:r>
      <w:r w:rsidRPr="0077525B">
        <w:rPr>
          <w:rFonts w:ascii="Arial" w:hAnsi="Arial" w:cs="Arial"/>
          <w:bCs/>
          <w:sz w:val="22"/>
          <w:szCs w:val="22"/>
          <w:lang w:val="es-MX" w:eastAsia="x-none"/>
        </w:rPr>
        <w:t xml:space="preserve">. De ahí que la Corte haya hecho particular énfasis en que las excepciones a la restricción protegen diversos tipos de urgencias de defensa, salud, educación, infraestructura vial y de servicios públicos y ecológicas, que tienden a no limitar desproporcionadamente la acción </w:t>
      </w:r>
      <w:r w:rsidRPr="0077525B">
        <w:rPr>
          <w:rFonts w:ascii="Arial" w:hAnsi="Arial" w:cs="Arial"/>
          <w:bCs/>
          <w:sz w:val="22"/>
          <w:szCs w:val="22"/>
          <w:lang w:val="es-MX" w:eastAsia="x-none"/>
        </w:rPr>
        <w:lastRenderedPageBreak/>
        <w:t>del Estado en el cumplimiento de sus fines, en procura de la igualdad entre los candidatos como garantía electoral.</w:t>
      </w:r>
      <w:bookmarkStart w:id="32" w:name="_Hlk75783800"/>
      <w:bookmarkEnd w:id="30"/>
    </w:p>
    <w:p w14:paraId="278D9B0C" w14:textId="77777777" w:rsidR="00A22F60" w:rsidRPr="0077525B" w:rsidRDefault="00A22F60" w:rsidP="00A22F60">
      <w:pPr>
        <w:spacing w:line="276" w:lineRule="auto"/>
        <w:ind w:firstLine="708"/>
        <w:jc w:val="both"/>
        <w:rPr>
          <w:rFonts w:ascii="Arial" w:hAnsi="Arial" w:cs="Arial"/>
          <w:bCs/>
          <w:sz w:val="22"/>
          <w:szCs w:val="22"/>
          <w:lang w:val="es-MX" w:eastAsia="x-none"/>
        </w:rPr>
      </w:pPr>
    </w:p>
    <w:p w14:paraId="7E81E2C3" w14:textId="245D7EA1" w:rsidR="00A22F60" w:rsidRPr="0077525B" w:rsidRDefault="00A22F60" w:rsidP="00A22F60">
      <w:pPr>
        <w:spacing w:line="276" w:lineRule="auto"/>
        <w:jc w:val="both"/>
        <w:rPr>
          <w:rFonts w:ascii="Arial" w:hAnsi="Arial" w:cs="Arial"/>
          <w:b/>
          <w:sz w:val="22"/>
          <w:szCs w:val="22"/>
          <w:lang w:val="es-MX" w:eastAsia="x-none"/>
        </w:rPr>
      </w:pPr>
      <w:r w:rsidRPr="0077525B">
        <w:rPr>
          <w:rFonts w:ascii="Arial" w:hAnsi="Arial" w:cs="Arial"/>
          <w:b/>
          <w:sz w:val="22"/>
          <w:szCs w:val="22"/>
          <w:lang w:val="es-MX" w:eastAsia="x-none"/>
        </w:rPr>
        <w:t>2.</w:t>
      </w:r>
      <w:r w:rsidR="00AD0CE2" w:rsidRPr="0077525B">
        <w:rPr>
          <w:rFonts w:ascii="Arial" w:hAnsi="Arial" w:cs="Arial"/>
          <w:b/>
          <w:sz w:val="22"/>
          <w:szCs w:val="22"/>
          <w:lang w:val="es-MX" w:eastAsia="x-none"/>
        </w:rPr>
        <w:t>4</w:t>
      </w:r>
      <w:r w:rsidRPr="0077525B">
        <w:rPr>
          <w:rFonts w:ascii="Arial" w:hAnsi="Arial" w:cs="Arial"/>
          <w:b/>
          <w:sz w:val="22"/>
          <w:szCs w:val="22"/>
          <w:lang w:val="es-MX" w:eastAsia="x-none"/>
        </w:rPr>
        <w:t>.  Destinatarios de la restricción del artículo 33 de la Ley 996 de 2005</w:t>
      </w:r>
    </w:p>
    <w:p w14:paraId="57E55703" w14:textId="77777777" w:rsidR="00A22F60" w:rsidRPr="0077525B" w:rsidRDefault="00A22F60" w:rsidP="00A22F60">
      <w:pPr>
        <w:spacing w:line="276" w:lineRule="auto"/>
        <w:jc w:val="both"/>
        <w:rPr>
          <w:rFonts w:ascii="Arial" w:hAnsi="Arial" w:cs="Arial"/>
          <w:bCs/>
          <w:sz w:val="22"/>
          <w:szCs w:val="22"/>
          <w:lang w:val="es-MX" w:eastAsia="x-none"/>
        </w:rPr>
      </w:pPr>
    </w:p>
    <w:p w14:paraId="1447F7D1" w14:textId="77777777" w:rsidR="00A22F60" w:rsidRPr="0077525B" w:rsidRDefault="00A22F60" w:rsidP="00A22F60">
      <w:pPr>
        <w:spacing w:line="276" w:lineRule="auto"/>
        <w:jc w:val="both"/>
        <w:rPr>
          <w:rFonts w:ascii="Arial" w:hAnsi="Arial" w:cs="Arial"/>
          <w:bCs/>
          <w:sz w:val="22"/>
          <w:szCs w:val="22"/>
          <w:lang w:val="es-MX" w:eastAsia="x-none"/>
        </w:rPr>
      </w:pPr>
      <w:bookmarkStart w:id="33" w:name="_Hlk93241699"/>
      <w:r w:rsidRPr="0077525B">
        <w:rPr>
          <w:rFonts w:ascii="Arial" w:hAnsi="Arial" w:cs="Arial"/>
          <w:bCs/>
          <w:sz w:val="22"/>
          <w:szCs w:val="22"/>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77525B">
        <w:rPr>
          <w:rFonts w:ascii="Arial" w:eastAsia="Calibri" w:hAnsi="Arial" w:cs="Arial"/>
          <w:szCs w:val="22"/>
          <w:lang w:val="es-MX" w:eastAsia="en-US"/>
        </w:rPr>
        <w:t xml:space="preserve"> </w:t>
      </w:r>
      <w:r w:rsidRPr="0077525B">
        <w:rPr>
          <w:rFonts w:ascii="Arial" w:hAnsi="Arial" w:cs="Arial"/>
          <w:bCs/>
          <w:sz w:val="22"/>
          <w:szCs w:val="22"/>
          <w:lang w:val="es-MX" w:eastAsia="x-none"/>
        </w:rPr>
        <w:t xml:space="preserve">En efecto, tal como lo ha sostenido el Consejo de Estado, el vocablo </w:t>
      </w:r>
      <w:bookmarkStart w:id="34" w:name="_Hlk75632581"/>
      <w:r w:rsidRPr="0077525B">
        <w:rPr>
          <w:rFonts w:ascii="Arial" w:hAnsi="Arial" w:cs="Arial"/>
          <w:bCs/>
          <w:sz w:val="22"/>
          <w:szCs w:val="22"/>
          <w:lang w:val="es-MX" w:eastAsia="x-none"/>
        </w:rPr>
        <w:t>«</w:t>
      </w:r>
      <w:bookmarkEnd w:id="34"/>
      <w:r w:rsidRPr="0077525B">
        <w:rPr>
          <w:rFonts w:ascii="Arial" w:hAnsi="Arial" w:cs="Arial"/>
          <w:bCs/>
          <w:sz w:val="22"/>
          <w:szCs w:val="22"/>
          <w:lang w:val="es-MX" w:eastAsia="x-none"/>
        </w:rPr>
        <w:t>todos» utilizado por el legislador comprende</w:t>
      </w:r>
      <w:r w:rsidRPr="0077525B">
        <w:rPr>
          <w:rFonts w:ascii="Arial" w:eastAsia="Calibri" w:hAnsi="Arial" w:cs="Arial"/>
          <w:szCs w:val="22"/>
          <w:lang w:val="es-MX" w:eastAsia="en-US"/>
        </w:rPr>
        <w:t xml:space="preserve"> </w:t>
      </w:r>
      <w:r w:rsidRPr="0077525B">
        <w:rPr>
          <w:rFonts w:ascii="Arial" w:hAnsi="Arial" w:cs="Arial"/>
          <w:bCs/>
          <w:sz w:val="22"/>
          <w:szCs w:val="22"/>
          <w:lang w:val="es-MX" w:eastAsia="x-none"/>
        </w:rPr>
        <w:t>a la totalidad de los entes del Estado, sin distinción del régimen jurídico, forma de organización o naturaleza, su pertenencia a una u otra rama del poder público o su autonomía</w:t>
      </w:r>
      <w:bookmarkEnd w:id="32"/>
      <w:r w:rsidRPr="0077525B">
        <w:rPr>
          <w:rFonts w:ascii="Arial" w:hAnsi="Arial" w:cs="Arial"/>
          <w:bCs/>
          <w:sz w:val="22"/>
          <w:szCs w:val="22"/>
          <w:lang w:val="es-MX" w:eastAsia="x-none"/>
        </w:rPr>
        <w:t>, e incluso si las entidades estatales tienen régimen especial de contratación y están exceptuadas del ámbito de aplicación del Estatuto General de Contratación de la Administración Pública.</w:t>
      </w:r>
      <w:bookmarkEnd w:id="33"/>
      <w:r w:rsidRPr="0077525B">
        <w:rPr>
          <w:rFonts w:ascii="Arial" w:hAnsi="Arial" w:cs="Arial"/>
          <w:bCs/>
          <w:sz w:val="22"/>
          <w:szCs w:val="22"/>
          <w:lang w:val="es-MX" w:eastAsia="x-none"/>
        </w:rPr>
        <w:t xml:space="preserve"> El Consejo de Estado, en Concepto con radicado 1727 de fecha 20 de febrero de 2006, consideró que: </w:t>
      </w:r>
    </w:p>
    <w:p w14:paraId="27FACBB8" w14:textId="77777777" w:rsidR="00A22F60" w:rsidRPr="0077525B" w:rsidRDefault="00A22F60" w:rsidP="00A22F60">
      <w:pPr>
        <w:spacing w:line="276" w:lineRule="auto"/>
        <w:ind w:firstLine="708"/>
        <w:jc w:val="both"/>
        <w:rPr>
          <w:rFonts w:ascii="Arial" w:hAnsi="Arial" w:cs="Arial"/>
          <w:bCs/>
          <w:sz w:val="22"/>
          <w:szCs w:val="22"/>
          <w:lang w:val="es-MX" w:eastAsia="x-none"/>
        </w:rPr>
      </w:pPr>
    </w:p>
    <w:p w14:paraId="5B660D8F" w14:textId="77777777" w:rsidR="00A22F60" w:rsidRPr="0077525B" w:rsidRDefault="00A22F60" w:rsidP="00A22F60">
      <w:pPr>
        <w:ind w:left="708" w:right="709"/>
        <w:jc w:val="both"/>
        <w:rPr>
          <w:rFonts w:ascii="Arial" w:hAnsi="Arial" w:cs="Arial"/>
          <w:bCs/>
          <w:sz w:val="21"/>
          <w:szCs w:val="21"/>
          <w:lang w:val="es-MX" w:eastAsia="es-CO"/>
        </w:rPr>
      </w:pPr>
      <w:r w:rsidRPr="0077525B">
        <w:rPr>
          <w:rFonts w:ascii="Arial" w:hAnsi="Arial" w:cs="Arial"/>
          <w:bCs/>
          <w:sz w:val="21"/>
          <w:szCs w:val="21"/>
          <w:lang w:val="es-MX" w:eastAsia="x-none"/>
        </w:rPr>
        <w:t xml:space="preserve">El artículo 33 de la ley 996 de 2005, </w:t>
      </w:r>
      <w:bookmarkStart w:id="35" w:name="_Hlk75787147"/>
      <w:r w:rsidRPr="0077525B">
        <w:rPr>
          <w:rFonts w:ascii="Arial" w:hAnsi="Arial" w:cs="Arial"/>
          <w:bCs/>
          <w:sz w:val="21"/>
          <w:szCs w:val="21"/>
          <w:lang w:val="es-MX" w:eastAsia="x-none"/>
        </w:rPr>
        <w:t xml:space="preserve">efectivamente se aplica </w:t>
      </w:r>
      <w:bookmarkStart w:id="36" w:name="_Hlk76074089"/>
      <w:r w:rsidRPr="0077525B">
        <w:rPr>
          <w:rFonts w:ascii="Arial" w:hAnsi="Arial" w:cs="Arial"/>
          <w:bCs/>
          <w:sz w:val="21"/>
          <w:szCs w:val="21"/>
          <w:lang w:val="es-MX" w:eastAsia="x-none"/>
        </w:rPr>
        <w:t>incluso a las entidades estatales con régimen especial de contratación y que están exceptuadas del ámbito de aplicación del Estatuto General de Contratación de la Administración Pública</w:t>
      </w:r>
      <w:bookmarkEnd w:id="36"/>
      <w:r w:rsidRPr="0077525B">
        <w:rPr>
          <w:rFonts w:ascii="Arial" w:hAnsi="Arial" w:cs="Arial"/>
          <w:bCs/>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77525B">
        <w:rPr>
          <w:rFonts w:ascii="Arial" w:hAnsi="Arial" w:cs="Arial"/>
          <w:bCs/>
          <w:sz w:val="21"/>
          <w:szCs w:val="21"/>
          <w:vertAlign w:val="superscript"/>
          <w:lang w:val="es-MX" w:eastAsia="x-none"/>
        </w:rPr>
        <w:footnoteReference w:id="39"/>
      </w:r>
      <w:r w:rsidRPr="0077525B">
        <w:rPr>
          <w:rFonts w:ascii="Arial" w:hAnsi="Arial" w:cs="Arial"/>
          <w:bCs/>
          <w:sz w:val="21"/>
          <w:szCs w:val="21"/>
          <w:lang w:val="es-MX" w:eastAsia="x-none"/>
        </w:rPr>
        <w:t>.</w:t>
      </w:r>
      <w:r w:rsidRPr="0077525B">
        <w:rPr>
          <w:rFonts w:ascii="Arial" w:hAnsi="Arial" w:cs="Arial"/>
          <w:bCs/>
          <w:sz w:val="21"/>
          <w:szCs w:val="21"/>
          <w:lang w:val="es-MX" w:eastAsia="es-CO"/>
        </w:rPr>
        <w:t xml:space="preserve"> </w:t>
      </w:r>
    </w:p>
    <w:p w14:paraId="75231E3B" w14:textId="77777777" w:rsidR="00A22F60" w:rsidRPr="0077525B" w:rsidRDefault="00A22F60" w:rsidP="00A22F60">
      <w:pPr>
        <w:spacing w:line="276" w:lineRule="auto"/>
        <w:ind w:firstLine="708"/>
        <w:jc w:val="both"/>
        <w:rPr>
          <w:rFonts w:ascii="Arial" w:hAnsi="Arial" w:cs="Arial"/>
          <w:bCs/>
          <w:sz w:val="22"/>
          <w:szCs w:val="22"/>
          <w:lang w:val="es-MX" w:eastAsia="es-CO"/>
        </w:rPr>
      </w:pPr>
    </w:p>
    <w:p w14:paraId="5F4BC43A" w14:textId="77777777" w:rsidR="00A22F60" w:rsidRPr="0077525B" w:rsidRDefault="00A22F60" w:rsidP="00A22F60">
      <w:pPr>
        <w:spacing w:line="276" w:lineRule="auto"/>
        <w:ind w:firstLine="708"/>
        <w:jc w:val="both"/>
        <w:rPr>
          <w:rFonts w:ascii="Arial" w:eastAsia="Calibri" w:hAnsi="Arial" w:cs="Arial"/>
          <w:sz w:val="22"/>
          <w:szCs w:val="22"/>
          <w:lang w:val="es-MX" w:eastAsia="en-US"/>
        </w:rPr>
      </w:pPr>
      <w:bookmarkStart w:id="37" w:name="_Hlk93241777"/>
      <w:r w:rsidRPr="0077525B">
        <w:rPr>
          <w:rFonts w:ascii="Arial" w:hAnsi="Arial" w:cs="Arial"/>
          <w:bCs/>
          <w:sz w:val="22"/>
          <w:szCs w:val="22"/>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38" w:name="_Hlk75635823"/>
      <w:r w:rsidRPr="0077525B">
        <w:rPr>
          <w:rFonts w:ascii="Arial" w:hAnsi="Arial" w:cs="Arial"/>
          <w:bCs/>
          <w:sz w:val="22"/>
          <w:szCs w:val="22"/>
          <w:lang w:val="es-MX" w:eastAsia="x-none"/>
        </w:rPr>
        <w:t>»</w:t>
      </w:r>
      <w:bookmarkStart w:id="39" w:name="_Hlk75758868"/>
      <w:bookmarkStart w:id="40" w:name="_Hlk75741220"/>
      <w:bookmarkEnd w:id="37"/>
      <w:bookmarkEnd w:id="38"/>
      <w:r w:rsidRPr="0077525B">
        <w:rPr>
          <w:rFonts w:ascii="Arial" w:eastAsia="Calibri" w:hAnsi="Arial" w:cs="Arial"/>
          <w:szCs w:val="22"/>
          <w:vertAlign w:val="superscript"/>
          <w:lang w:val="es-MX" w:eastAsia="en-US"/>
        </w:rPr>
        <w:footnoteReference w:id="40"/>
      </w:r>
      <w:bookmarkEnd w:id="39"/>
      <w:bookmarkEnd w:id="40"/>
      <w:r w:rsidRPr="0077525B">
        <w:rPr>
          <w:rFonts w:ascii="Arial" w:hAnsi="Arial" w:cs="Arial"/>
          <w:bCs/>
          <w:sz w:val="22"/>
          <w:szCs w:val="22"/>
          <w:lang w:val="es-MX" w:eastAsia="x-none"/>
        </w:rPr>
        <w:t>.</w:t>
      </w:r>
      <w:r w:rsidRPr="0077525B">
        <w:rPr>
          <w:rFonts w:ascii="Arial" w:eastAsia="Calibri" w:hAnsi="Arial" w:cs="Arial"/>
          <w:sz w:val="22"/>
          <w:szCs w:val="22"/>
          <w:lang w:val="es-MX" w:eastAsia="en-US"/>
        </w:rPr>
        <w:t xml:space="preserve"> </w:t>
      </w:r>
      <w:r w:rsidRPr="0077525B">
        <w:rPr>
          <w:rFonts w:ascii="Arial" w:eastAsia="Calibri" w:hAnsi="Arial" w:cs="Arial"/>
          <w:sz w:val="22"/>
          <w:szCs w:val="22"/>
          <w:lang w:val="es-MX" w:eastAsia="en-US"/>
        </w:rPr>
        <w:lastRenderedPageBreak/>
        <w:t>Sin embargo, debe precisarse el siguiente aspecto que distinguió la Sala de Consulta y Servicio Civil:</w:t>
      </w:r>
    </w:p>
    <w:p w14:paraId="78B3DC94" w14:textId="77777777" w:rsidR="00A22F60" w:rsidRPr="0077525B" w:rsidRDefault="00A22F60" w:rsidP="00A22F60">
      <w:pPr>
        <w:spacing w:line="276" w:lineRule="auto"/>
        <w:jc w:val="both"/>
        <w:rPr>
          <w:rFonts w:ascii="Arial" w:eastAsia="Calibri" w:hAnsi="Arial" w:cs="Arial"/>
          <w:sz w:val="22"/>
          <w:szCs w:val="22"/>
          <w:lang w:val="es-MX" w:eastAsia="en-US"/>
        </w:rPr>
      </w:pPr>
    </w:p>
    <w:p w14:paraId="27220F1B" w14:textId="77777777" w:rsidR="00A22F60" w:rsidRPr="0077525B" w:rsidRDefault="00A22F60" w:rsidP="00A22F60">
      <w:pPr>
        <w:ind w:left="708" w:right="709"/>
        <w:jc w:val="both"/>
        <w:rPr>
          <w:rFonts w:ascii="Arial" w:eastAsia="Calibri" w:hAnsi="Arial" w:cs="Arial"/>
          <w:sz w:val="21"/>
          <w:szCs w:val="21"/>
          <w:lang w:val="es-MX" w:eastAsia="en-US"/>
        </w:rPr>
      </w:pPr>
      <w:bookmarkStart w:id="42" w:name="_Hlk75811446"/>
      <w:r w:rsidRPr="0077525B">
        <w:rPr>
          <w:rFonts w:ascii="Arial" w:eastAsia="Calibri" w:hAnsi="Arial" w:cs="Arial"/>
          <w:sz w:val="21"/>
          <w:szCs w:val="21"/>
          <w:lang w:val="es-MX"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2"/>
      <w:r w:rsidRPr="0077525B">
        <w:rPr>
          <w:rFonts w:ascii="Arial" w:eastAsia="Calibri" w:hAnsi="Arial" w:cs="Arial"/>
          <w:szCs w:val="22"/>
          <w:vertAlign w:val="superscript"/>
          <w:lang w:val="es-MX" w:eastAsia="en-US"/>
        </w:rPr>
        <w:footnoteReference w:id="41"/>
      </w:r>
      <w:r w:rsidRPr="0077525B">
        <w:rPr>
          <w:rFonts w:ascii="Arial" w:hAnsi="Arial" w:cs="Arial"/>
          <w:bCs/>
          <w:sz w:val="22"/>
          <w:szCs w:val="22"/>
          <w:lang w:val="es-MX" w:eastAsia="x-none"/>
        </w:rPr>
        <w:t>.</w:t>
      </w:r>
    </w:p>
    <w:p w14:paraId="60AA43AB" w14:textId="77777777" w:rsidR="00A22F60" w:rsidRPr="0077525B" w:rsidRDefault="00A22F60" w:rsidP="00A22F60">
      <w:pPr>
        <w:spacing w:line="276" w:lineRule="auto"/>
        <w:jc w:val="both"/>
        <w:rPr>
          <w:rFonts w:ascii="Arial" w:eastAsia="Calibri" w:hAnsi="Arial" w:cs="Arial"/>
          <w:sz w:val="22"/>
          <w:szCs w:val="22"/>
          <w:lang w:val="es-MX" w:eastAsia="en-US"/>
        </w:rPr>
      </w:pPr>
    </w:p>
    <w:p w14:paraId="7EF2CE2F" w14:textId="77777777" w:rsidR="00A22F60" w:rsidRPr="0077525B" w:rsidRDefault="00A22F60" w:rsidP="00A22F60">
      <w:pPr>
        <w:spacing w:after="120" w:line="276" w:lineRule="auto"/>
        <w:ind w:firstLine="709"/>
        <w:jc w:val="both"/>
        <w:rPr>
          <w:rFonts w:ascii="Arial" w:hAnsi="Arial" w:cs="Arial"/>
          <w:bCs/>
          <w:sz w:val="22"/>
          <w:szCs w:val="22"/>
          <w:lang w:val="es-MX" w:eastAsia="x-none"/>
        </w:rPr>
      </w:pPr>
      <w:r w:rsidRPr="0077525B">
        <w:rPr>
          <w:rFonts w:ascii="Arial" w:eastAsia="Calibri" w:hAnsi="Arial" w:cs="Arial"/>
          <w:sz w:val="22"/>
          <w:szCs w:val="22"/>
          <w:lang w:val="es-MX" w:eastAsia="en-US"/>
        </w:rPr>
        <w:t>Aplicando este razonamiento,</w:t>
      </w:r>
      <w:bookmarkStart w:id="43" w:name="_Hlk75811096"/>
      <w:r w:rsidRPr="0077525B">
        <w:rPr>
          <w:rFonts w:ascii="Arial" w:eastAsia="Calibri" w:hAnsi="Arial" w:cs="Arial"/>
          <w:sz w:val="22"/>
          <w:szCs w:val="22"/>
          <w:lang w:val="es-MX" w:eastAsia="en-US"/>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3"/>
      <w:r w:rsidRPr="0077525B">
        <w:rPr>
          <w:rFonts w:ascii="Arial" w:eastAsia="Calibri" w:hAnsi="Arial" w:cs="Arial"/>
          <w:sz w:val="22"/>
          <w:szCs w:val="22"/>
          <w:lang w:val="es-MX" w:eastAsia="en-US"/>
        </w:rPr>
        <w:t>»</w:t>
      </w:r>
      <w:r w:rsidRPr="0077525B">
        <w:rPr>
          <w:rFonts w:ascii="Arial" w:eastAsia="Calibri" w:hAnsi="Arial" w:cs="Arial"/>
          <w:szCs w:val="22"/>
          <w:vertAlign w:val="superscript"/>
          <w:lang w:val="es-MX" w:eastAsia="en-US"/>
        </w:rPr>
        <w:t xml:space="preserve"> </w:t>
      </w:r>
      <w:r w:rsidRPr="0077525B">
        <w:rPr>
          <w:rFonts w:ascii="Arial" w:eastAsia="Calibri" w:hAnsi="Arial" w:cs="Arial"/>
          <w:sz w:val="22"/>
          <w:szCs w:val="22"/>
          <w:vertAlign w:val="superscript"/>
          <w:lang w:val="es-MX" w:eastAsia="en-US"/>
        </w:rPr>
        <w:footnoteReference w:id="42"/>
      </w:r>
      <w:r w:rsidRPr="0077525B">
        <w:rPr>
          <w:rFonts w:ascii="Arial" w:eastAsia="Calibri" w:hAnsi="Arial" w:cs="Arial"/>
          <w:sz w:val="22"/>
          <w:szCs w:val="22"/>
          <w:lang w:val="es-MX" w:eastAsia="en-US"/>
        </w:rPr>
        <w:t>.</w:t>
      </w:r>
    </w:p>
    <w:p w14:paraId="776CA7D4" w14:textId="27FDAD20" w:rsidR="008E423C" w:rsidRPr="0077525B" w:rsidRDefault="00A22F60" w:rsidP="008E423C">
      <w:pPr>
        <w:spacing w:line="276" w:lineRule="auto"/>
        <w:ind w:firstLine="708"/>
        <w:jc w:val="both"/>
        <w:rPr>
          <w:rFonts w:ascii="Arial" w:hAnsi="Arial" w:cs="Arial"/>
          <w:bCs/>
          <w:sz w:val="22"/>
          <w:szCs w:val="22"/>
          <w:lang w:val="es-MX" w:eastAsia="x-none"/>
        </w:rPr>
      </w:pPr>
      <w:bookmarkStart w:id="44" w:name="_Hlk77237229"/>
      <w:bookmarkEnd w:id="35"/>
      <w:r w:rsidRPr="0077525B">
        <w:rPr>
          <w:rFonts w:ascii="Arial" w:eastAsia="Calibri" w:hAnsi="Arial" w:cs="Arial"/>
          <w:sz w:val="22"/>
          <w:szCs w:val="22"/>
          <w:lang w:val="es-MX" w:eastAsia="en-US"/>
        </w:rPr>
        <w:t>Por lo tanto, la restricción prevista en la Ley 996 de 200</w:t>
      </w:r>
      <w:bookmarkStart w:id="45" w:name="_Hlk75741539"/>
      <w:r w:rsidRPr="0077525B">
        <w:rPr>
          <w:rFonts w:ascii="Arial" w:eastAsia="Calibri" w:hAnsi="Arial" w:cs="Arial"/>
          <w:sz w:val="22"/>
          <w:szCs w:val="22"/>
          <w:lang w:val="es-MX" w:eastAsia="en-US"/>
        </w:rPr>
        <w:t xml:space="preserve">5, </w:t>
      </w:r>
      <w:r w:rsidRPr="0077525B">
        <w:rPr>
          <w:rFonts w:ascii="Arial" w:hAnsi="Arial" w:cs="Arial"/>
          <w:bCs/>
          <w:sz w:val="22"/>
          <w:szCs w:val="22"/>
          <w:lang w:val="es-MX"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bookmarkEnd w:id="44"/>
      <w:bookmarkEnd w:id="45"/>
    </w:p>
    <w:p w14:paraId="131CEFD4" w14:textId="1352259D" w:rsidR="008E423C" w:rsidRPr="0077525B" w:rsidRDefault="008E423C" w:rsidP="008E423C">
      <w:pPr>
        <w:spacing w:line="276" w:lineRule="auto"/>
        <w:jc w:val="both"/>
        <w:rPr>
          <w:rFonts w:ascii="Arial" w:hAnsi="Arial" w:cs="Arial"/>
          <w:b/>
          <w:sz w:val="22"/>
          <w:szCs w:val="22"/>
          <w:lang w:val="es-MX" w:eastAsia="x-none"/>
        </w:rPr>
      </w:pPr>
    </w:p>
    <w:p w14:paraId="5179AB6F" w14:textId="4D9E7183" w:rsidR="008E423C" w:rsidRPr="0077525B" w:rsidRDefault="008E423C" w:rsidP="008E423C">
      <w:pPr>
        <w:spacing w:line="276" w:lineRule="auto"/>
        <w:jc w:val="both"/>
        <w:rPr>
          <w:rFonts w:ascii="Arial" w:eastAsia="Calibri" w:hAnsi="Arial" w:cs="Arial"/>
          <w:b/>
          <w:bCs/>
          <w:sz w:val="22"/>
          <w:szCs w:val="22"/>
          <w:lang w:eastAsia="en-US"/>
        </w:rPr>
      </w:pPr>
      <w:r w:rsidRPr="0077525B">
        <w:rPr>
          <w:rFonts w:ascii="Arial" w:hAnsi="Arial" w:cs="Arial"/>
          <w:b/>
          <w:sz w:val="22"/>
          <w:szCs w:val="22"/>
          <w:lang w:val="es-MX" w:eastAsia="x-none"/>
        </w:rPr>
        <w:lastRenderedPageBreak/>
        <w:t>2.5.</w:t>
      </w:r>
      <w:r w:rsidRPr="0077525B">
        <w:rPr>
          <w:rFonts w:ascii="Arial" w:hAnsi="Arial" w:cs="Arial"/>
          <w:bCs/>
          <w:sz w:val="22"/>
          <w:szCs w:val="22"/>
          <w:lang w:val="es-MX" w:eastAsia="x-none"/>
        </w:rPr>
        <w:t xml:space="preserve"> </w:t>
      </w:r>
      <w:r w:rsidRPr="0077525B">
        <w:rPr>
          <w:rFonts w:ascii="Arial" w:eastAsia="Calibri" w:hAnsi="Arial" w:cs="Arial"/>
          <w:b/>
          <w:bCs/>
          <w:sz w:val="22"/>
          <w:szCs w:val="22"/>
          <w:lang w:eastAsia="en-US"/>
        </w:rPr>
        <w:t xml:space="preserve">Modificación </w:t>
      </w:r>
      <w:bookmarkStart w:id="46" w:name="_Hlk98487503"/>
      <w:r w:rsidRPr="0077525B">
        <w:rPr>
          <w:rFonts w:ascii="Arial" w:eastAsia="Calibri" w:hAnsi="Arial" w:cs="Arial"/>
          <w:b/>
          <w:bCs/>
          <w:sz w:val="22"/>
          <w:szCs w:val="22"/>
          <w:lang w:eastAsia="en-US"/>
        </w:rPr>
        <w:t>del artículo 124 de la Ley 2159 de 2021</w:t>
      </w:r>
      <w:bookmarkEnd w:id="46"/>
      <w:r w:rsidRPr="0077525B">
        <w:rPr>
          <w:rFonts w:ascii="Arial" w:eastAsia="Calibri" w:hAnsi="Arial" w:cs="Arial"/>
          <w:b/>
          <w:bCs/>
          <w:sz w:val="22"/>
          <w:szCs w:val="22"/>
          <w:lang w:eastAsia="en-US"/>
        </w:rPr>
        <w:t xml:space="preserve"> a la Ley de Garantías Electorales: alcance e interpretación</w:t>
      </w:r>
    </w:p>
    <w:p w14:paraId="52759278" w14:textId="77777777" w:rsidR="008E423C" w:rsidRPr="0077525B" w:rsidRDefault="008E423C" w:rsidP="008E423C">
      <w:pPr>
        <w:spacing w:line="276" w:lineRule="auto"/>
        <w:jc w:val="both"/>
        <w:rPr>
          <w:rFonts w:ascii="Arial" w:hAnsi="Arial" w:cs="Arial"/>
          <w:bCs/>
          <w:sz w:val="22"/>
          <w:szCs w:val="22"/>
          <w:lang w:val="es-MX" w:eastAsia="x-none"/>
        </w:rPr>
      </w:pPr>
    </w:p>
    <w:p w14:paraId="1784ACEA" w14:textId="77777777" w:rsidR="008E423C" w:rsidRPr="0077525B" w:rsidRDefault="008E423C" w:rsidP="008E423C">
      <w:pPr>
        <w:tabs>
          <w:tab w:val="left" w:pos="426"/>
        </w:tabs>
        <w:spacing w:after="160" w:line="276" w:lineRule="auto"/>
        <w:jc w:val="both"/>
        <w:rPr>
          <w:rFonts w:ascii="Arial" w:eastAsia="Calibri" w:hAnsi="Arial" w:cs="Arial"/>
          <w:sz w:val="22"/>
          <w:szCs w:val="22"/>
          <w:lang w:eastAsia="en-US"/>
        </w:rPr>
      </w:pPr>
      <w:r w:rsidRPr="0077525B">
        <w:rPr>
          <w:rFonts w:ascii="Arial" w:eastAsia="Calibri" w:hAnsi="Arial" w:cs="Arial"/>
          <w:sz w:val="22"/>
          <w:szCs w:val="22"/>
          <w:lang w:eastAsia="en-US"/>
        </w:rPr>
        <w:t>El 12 de noviembre de 2021 el Congreso de la República promulgó la Ley 2159 de 2021 «Por la cual se decreta el presupuesto de rentas y ley de apropiaciones para la vigencia fiscal del 1º de enero al 31 de diciembre de 2022». El artículo 124 de dicho cuerpo normativo modificó parcialmente el parágrafo del artículo 38 de la Ley 996 de 2005, en los siguientes términos:</w:t>
      </w:r>
    </w:p>
    <w:p w14:paraId="57EA511E" w14:textId="77777777" w:rsidR="008E423C" w:rsidRPr="0077525B" w:rsidRDefault="008E423C" w:rsidP="008E423C">
      <w:pPr>
        <w:spacing w:after="160"/>
        <w:ind w:left="709" w:right="709"/>
        <w:jc w:val="both"/>
        <w:rPr>
          <w:rFonts w:ascii="Arial" w:eastAsia="Calibri" w:hAnsi="Arial" w:cs="Arial"/>
          <w:sz w:val="21"/>
          <w:szCs w:val="21"/>
          <w:lang w:eastAsia="en-US"/>
        </w:rPr>
      </w:pPr>
      <w:r w:rsidRPr="0077525B">
        <w:rPr>
          <w:rFonts w:ascii="Arial" w:eastAsia="Calibri" w:hAnsi="Arial" w:cs="Arial"/>
          <w:sz w:val="21"/>
          <w:szCs w:val="21"/>
          <w:lang w:eastAsia="en-US"/>
        </w:rPr>
        <w:t xml:space="preserve">Artículo 124. Con el propósito de promover la reactivación económica y la generación de empleo en las regiones, a partir de la publicación de la presente ley y durante la vigencia fiscal 2022, </w:t>
      </w:r>
      <w:r w:rsidRPr="0077525B">
        <w:rPr>
          <w:rFonts w:ascii="Arial" w:eastAsia="Calibri" w:hAnsi="Arial" w:cs="Arial"/>
          <w:i/>
          <w:sz w:val="21"/>
          <w:szCs w:val="21"/>
          <w:lang w:eastAsia="en-US"/>
        </w:rPr>
        <w:t>la Nación podrá celebrar convenios interadministrativos con las entidades territoriales para ejecutar programas y proyectos correspondientes al Presupuesto General de la Nación.</w:t>
      </w:r>
    </w:p>
    <w:p w14:paraId="5336CA02" w14:textId="77777777" w:rsidR="008E423C" w:rsidRPr="0077525B" w:rsidRDefault="008E423C" w:rsidP="008E423C">
      <w:pPr>
        <w:spacing w:after="160"/>
        <w:ind w:left="709" w:right="709"/>
        <w:jc w:val="both"/>
        <w:rPr>
          <w:rFonts w:ascii="Arial" w:eastAsia="Calibri" w:hAnsi="Arial" w:cs="Arial"/>
          <w:sz w:val="21"/>
          <w:szCs w:val="21"/>
          <w:lang w:eastAsia="en-US"/>
        </w:rPr>
      </w:pPr>
      <w:r w:rsidRPr="0077525B">
        <w:rPr>
          <w:rFonts w:ascii="Arial" w:eastAsia="Calibri" w:hAnsi="Arial" w:cs="Arial"/>
          <w:sz w:val="21"/>
          <w:szCs w:val="21"/>
          <w:lang w:eastAsia="en-US"/>
        </w:rPr>
        <w:t>La presente disposición modifica únicamente en la parte pertinente el inciso primero del parágrafo del artículo 38 de la Ley 996 de 2005.</w:t>
      </w:r>
    </w:p>
    <w:p w14:paraId="77F08DF5" w14:textId="77777777" w:rsidR="008E423C" w:rsidRPr="0077525B" w:rsidRDefault="008E423C" w:rsidP="008E423C">
      <w:pPr>
        <w:spacing w:after="160"/>
        <w:ind w:left="709" w:right="709"/>
        <w:jc w:val="both"/>
        <w:rPr>
          <w:rFonts w:ascii="Arial" w:eastAsia="Calibri" w:hAnsi="Arial" w:cs="Arial"/>
          <w:sz w:val="21"/>
          <w:szCs w:val="21"/>
          <w:lang w:eastAsia="en-US"/>
        </w:rPr>
      </w:pPr>
      <w:r w:rsidRPr="0077525B">
        <w:rPr>
          <w:rFonts w:ascii="Arial" w:eastAsia="Calibri" w:hAnsi="Arial" w:cs="Arial"/>
          <w:sz w:val="21"/>
          <w:szCs w:val="21"/>
          <w:lang w:eastAsia="en-US"/>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r w:rsidRPr="0077525B">
        <w:rPr>
          <w:rFonts w:ascii="Arial" w:eastAsia="Calibri" w:hAnsi="Arial" w:cs="Arial"/>
          <w:sz w:val="22"/>
          <w:szCs w:val="22"/>
          <w:lang w:eastAsia="en-US"/>
        </w:rPr>
        <w:t>»</w:t>
      </w:r>
      <w:r w:rsidRPr="0077525B">
        <w:rPr>
          <w:rFonts w:ascii="Arial" w:eastAsia="Calibri" w:hAnsi="Arial" w:cs="Arial"/>
          <w:sz w:val="21"/>
          <w:szCs w:val="21"/>
          <w:lang w:eastAsia="en-US"/>
        </w:rPr>
        <w:t xml:space="preserve"> (énfasis fuera de texto). </w:t>
      </w:r>
    </w:p>
    <w:p w14:paraId="6282EB09" w14:textId="77777777" w:rsidR="008E423C" w:rsidRPr="0077525B" w:rsidRDefault="008E423C" w:rsidP="008E423C">
      <w:pPr>
        <w:spacing w:after="160" w:line="276" w:lineRule="auto"/>
        <w:ind w:firstLine="709"/>
        <w:jc w:val="both"/>
        <w:rPr>
          <w:rFonts w:ascii="Arial" w:eastAsia="Calibri" w:hAnsi="Arial" w:cs="Arial"/>
          <w:sz w:val="22"/>
          <w:szCs w:val="22"/>
          <w:lang w:eastAsia="en-US"/>
        </w:rPr>
      </w:pPr>
      <w:r w:rsidRPr="0077525B">
        <w:rPr>
          <w:rFonts w:ascii="Arial" w:eastAsia="Calibri" w:hAnsi="Arial" w:cs="Arial"/>
          <w:sz w:val="22"/>
          <w:szCs w:val="22"/>
          <w:lang w:eastAsia="en-US"/>
        </w:rPr>
        <w:t>Teniendo en cuenta el contenido del artículo 124 de la Ley 2159 de 2021, se derivan las siguientes reglas para las entidades estatales:</w:t>
      </w:r>
    </w:p>
    <w:p w14:paraId="537F9C00" w14:textId="67A1AFD8" w:rsidR="008E423C" w:rsidRPr="0077525B" w:rsidRDefault="0003132B" w:rsidP="008E423C">
      <w:pPr>
        <w:spacing w:after="120" w:line="276" w:lineRule="auto"/>
        <w:ind w:firstLine="709"/>
        <w:jc w:val="both"/>
        <w:rPr>
          <w:rFonts w:ascii="Arial" w:eastAsia="Calibri" w:hAnsi="Arial" w:cs="Arial"/>
          <w:sz w:val="22"/>
          <w:szCs w:val="22"/>
          <w:lang w:eastAsia="en-US"/>
        </w:rPr>
      </w:pPr>
      <w:r w:rsidRPr="0077525B">
        <w:rPr>
          <w:rFonts w:ascii="Arial" w:eastAsia="Calibri" w:hAnsi="Arial" w:cs="Arial"/>
          <w:bCs/>
          <w:i/>
          <w:iCs/>
          <w:sz w:val="22"/>
          <w:szCs w:val="22"/>
          <w:lang w:eastAsia="en-US"/>
        </w:rPr>
        <w:t>i)</w:t>
      </w:r>
      <w:r w:rsidR="008E423C" w:rsidRPr="0077525B">
        <w:rPr>
          <w:rFonts w:ascii="Arial" w:eastAsia="Calibri" w:hAnsi="Arial" w:cs="Arial"/>
          <w:sz w:val="22"/>
          <w:szCs w:val="22"/>
          <w:lang w:eastAsia="en-US"/>
        </w:rPr>
        <w:t xml:space="preserve"> </w:t>
      </w:r>
      <w:r w:rsidRPr="0077525B">
        <w:rPr>
          <w:rFonts w:ascii="Arial" w:eastAsia="Calibri" w:hAnsi="Arial" w:cs="Arial"/>
          <w:sz w:val="22"/>
          <w:szCs w:val="22"/>
          <w:lang w:eastAsia="en-US"/>
        </w:rPr>
        <w:t>e</w:t>
      </w:r>
      <w:r w:rsidR="008E423C" w:rsidRPr="0077525B">
        <w:rPr>
          <w:rFonts w:ascii="Arial" w:eastAsia="Calibri" w:hAnsi="Arial" w:cs="Arial"/>
          <w:sz w:val="22"/>
          <w:szCs w:val="22"/>
          <w:lang w:eastAsia="en-US"/>
        </w:rPr>
        <w:t>l alcance del artículo 124 de la Ley 2159 de 2021 tiene como cometido modificar de manera parcial y transitoria el primer inciso del artículo 38 de la Ley 996 de 2005. En efecto, como se observa del inciso segundo del artículo citado, esta disposición «modifica únicamente en la parte pertinente el inciso primero del parágrafo del artículo 38 de la Ley 996 de 2005»</w:t>
      </w:r>
      <w:r w:rsidRPr="0077525B">
        <w:rPr>
          <w:rFonts w:ascii="Arial" w:eastAsia="Calibri" w:hAnsi="Arial" w:cs="Arial"/>
          <w:sz w:val="22"/>
          <w:szCs w:val="22"/>
          <w:lang w:eastAsia="en-US"/>
        </w:rPr>
        <w:t>;</w:t>
      </w:r>
      <w:r w:rsidR="008E423C" w:rsidRPr="0077525B">
        <w:rPr>
          <w:rFonts w:ascii="Arial" w:eastAsia="Calibri" w:hAnsi="Arial" w:cs="Arial"/>
          <w:sz w:val="22"/>
          <w:szCs w:val="22"/>
          <w:lang w:eastAsia="en-US"/>
        </w:rPr>
        <w:t xml:space="preserve"> </w:t>
      </w:r>
    </w:p>
    <w:p w14:paraId="61907CC5" w14:textId="1D09101A" w:rsidR="008E423C" w:rsidRPr="0077525B" w:rsidRDefault="0003132B" w:rsidP="008E423C">
      <w:pPr>
        <w:spacing w:after="120" w:line="276" w:lineRule="auto"/>
        <w:ind w:firstLine="709"/>
        <w:jc w:val="both"/>
        <w:rPr>
          <w:rFonts w:ascii="Arial" w:eastAsia="Calibri" w:hAnsi="Arial" w:cs="Arial"/>
          <w:sz w:val="22"/>
          <w:szCs w:val="22"/>
          <w:lang w:eastAsia="en-US"/>
        </w:rPr>
      </w:pPr>
      <w:r w:rsidRPr="0077525B">
        <w:rPr>
          <w:rFonts w:ascii="Arial" w:eastAsia="Calibri" w:hAnsi="Arial" w:cs="Arial"/>
          <w:bCs/>
          <w:i/>
          <w:iCs/>
          <w:sz w:val="22"/>
          <w:szCs w:val="22"/>
          <w:lang w:eastAsia="en-US"/>
        </w:rPr>
        <w:t>ii)</w:t>
      </w:r>
      <w:r w:rsidR="008E423C" w:rsidRPr="0077525B">
        <w:rPr>
          <w:rFonts w:ascii="Arial" w:eastAsia="Calibri" w:hAnsi="Arial" w:cs="Arial"/>
          <w:sz w:val="22"/>
          <w:szCs w:val="22"/>
          <w:lang w:eastAsia="en-US"/>
        </w:rPr>
        <w:t xml:space="preserve"> </w:t>
      </w:r>
      <w:r w:rsidRPr="0077525B">
        <w:rPr>
          <w:rFonts w:ascii="Arial" w:eastAsia="Calibri" w:hAnsi="Arial" w:cs="Arial"/>
          <w:sz w:val="22"/>
          <w:szCs w:val="22"/>
          <w:lang w:eastAsia="en-US"/>
        </w:rPr>
        <w:t>d</w:t>
      </w:r>
      <w:r w:rsidR="008E423C" w:rsidRPr="0077525B">
        <w:rPr>
          <w:rFonts w:ascii="Arial" w:eastAsia="Calibri" w:hAnsi="Arial" w:cs="Arial"/>
          <w:sz w:val="22"/>
          <w:szCs w:val="22"/>
          <w:lang w:eastAsia="en-US"/>
        </w:rPr>
        <w:t>urante los cuatro (4) meses previos a la elección presidencial del año 2022 solamente podrán celebrarse convenios o contratos interadministrativos cuando el proceso de selección aplicable sea una convocatoria pública y se presente la circunstancia a la que se refiere el artículo 124 de la Ley 2159 de 2021, es decir, para la ejecución de proyectos y programas correspondientes al Presupuesto General de la Nación. Por lo demás, esta norma no modifica el artículo 33 de la Ley de Garantías Electorales, en consideración a lo cual las restricciones a la contratación directa previstas en este artículo permanecen incólumes, esto es, lo que no implique un proceso plural y competitivo de oferentes</w:t>
      </w:r>
      <w:r w:rsidRPr="0077525B">
        <w:rPr>
          <w:rFonts w:ascii="Arial" w:eastAsia="Calibri" w:hAnsi="Arial" w:cs="Arial"/>
          <w:sz w:val="22"/>
          <w:szCs w:val="22"/>
          <w:lang w:eastAsia="en-US"/>
        </w:rPr>
        <w:t>;</w:t>
      </w:r>
      <w:r w:rsidR="008E423C" w:rsidRPr="0077525B">
        <w:rPr>
          <w:rFonts w:ascii="Arial" w:eastAsia="Calibri" w:hAnsi="Arial" w:cs="Arial"/>
          <w:sz w:val="22"/>
          <w:szCs w:val="22"/>
          <w:lang w:eastAsia="en-US"/>
        </w:rPr>
        <w:t xml:space="preserve"> </w:t>
      </w:r>
    </w:p>
    <w:p w14:paraId="7F0F8A6C" w14:textId="56FF3183" w:rsidR="008E423C" w:rsidRPr="0077525B" w:rsidRDefault="0003132B" w:rsidP="008E423C">
      <w:pPr>
        <w:spacing w:after="120" w:line="276" w:lineRule="auto"/>
        <w:ind w:firstLine="709"/>
        <w:jc w:val="both"/>
        <w:rPr>
          <w:rFonts w:ascii="Arial" w:eastAsia="Calibri" w:hAnsi="Arial" w:cs="Arial"/>
          <w:sz w:val="22"/>
          <w:szCs w:val="22"/>
          <w:lang w:eastAsia="en-US"/>
        </w:rPr>
      </w:pPr>
      <w:r w:rsidRPr="0077525B">
        <w:rPr>
          <w:rFonts w:ascii="Arial" w:eastAsia="Calibri" w:hAnsi="Arial" w:cs="Arial"/>
          <w:bCs/>
          <w:i/>
          <w:iCs/>
          <w:sz w:val="22"/>
          <w:szCs w:val="22"/>
          <w:lang w:eastAsia="en-US"/>
        </w:rPr>
        <w:t>iii)</w:t>
      </w:r>
      <w:r w:rsidR="008E423C" w:rsidRPr="0077525B">
        <w:rPr>
          <w:rFonts w:ascii="Arial" w:eastAsia="Calibri" w:hAnsi="Arial" w:cs="Arial"/>
          <w:sz w:val="22"/>
          <w:szCs w:val="22"/>
          <w:lang w:eastAsia="en-US"/>
        </w:rPr>
        <w:t xml:space="preserve"> </w:t>
      </w:r>
      <w:r w:rsidRPr="0077525B">
        <w:rPr>
          <w:rFonts w:ascii="Arial" w:eastAsia="Calibri" w:hAnsi="Arial" w:cs="Arial"/>
          <w:sz w:val="22"/>
          <w:szCs w:val="22"/>
          <w:lang w:eastAsia="en-US"/>
        </w:rPr>
        <w:t>l</w:t>
      </w:r>
      <w:r w:rsidR="008E423C" w:rsidRPr="0077525B">
        <w:rPr>
          <w:rFonts w:ascii="Arial" w:eastAsia="Calibri" w:hAnsi="Arial" w:cs="Arial"/>
          <w:sz w:val="22"/>
          <w:szCs w:val="22"/>
          <w:lang w:eastAsia="en-US"/>
        </w:rPr>
        <w:t xml:space="preserve">a aplicación del artículo 124 de la Ley 2159 de 2021 se restringe a un criterio orgánico, pues se requiere que uno de los extremos contractuales sea la Nación y el otro una entidad territorial, para que la celebración del convenio o contrato administrativo sea procedente. En estos términos, no es posible la celebración de convenios o contratos </w:t>
      </w:r>
      <w:r w:rsidR="008E423C" w:rsidRPr="0077525B">
        <w:rPr>
          <w:rFonts w:ascii="Arial" w:eastAsia="Calibri" w:hAnsi="Arial" w:cs="Arial"/>
          <w:sz w:val="22"/>
          <w:szCs w:val="22"/>
          <w:lang w:eastAsia="en-US"/>
        </w:rPr>
        <w:lastRenderedPageBreak/>
        <w:t xml:space="preserve">interadministrativos entre </w:t>
      </w:r>
      <w:r w:rsidR="00230416" w:rsidRPr="0077525B">
        <w:rPr>
          <w:rFonts w:ascii="Arial" w:eastAsia="Calibri" w:hAnsi="Arial" w:cs="Arial"/>
          <w:sz w:val="22"/>
          <w:szCs w:val="22"/>
          <w:lang w:eastAsia="en-US"/>
        </w:rPr>
        <w:t>una empresa industrial y comercial del Estado y una persona jurídica de carácter privado</w:t>
      </w:r>
      <w:r w:rsidR="008E423C" w:rsidRPr="0077525B">
        <w:rPr>
          <w:rFonts w:ascii="Arial" w:eastAsia="Calibri" w:hAnsi="Arial" w:cs="Arial"/>
          <w:sz w:val="22"/>
          <w:szCs w:val="22"/>
          <w:lang w:eastAsia="en-US"/>
        </w:rPr>
        <w:t>, pues la posibilidad que otorga el artículo 124 de la Ley 2159 de 2021 se somete a la condición que una de las partes sea la Nación, con el fin de ejecutar proyectos o programas que correspondan al Presupuesto General de la Nación</w:t>
      </w:r>
      <w:r w:rsidRPr="0077525B">
        <w:rPr>
          <w:rFonts w:ascii="Arial" w:eastAsia="Calibri" w:hAnsi="Arial" w:cs="Arial"/>
          <w:sz w:val="22"/>
          <w:szCs w:val="22"/>
          <w:lang w:eastAsia="en-US"/>
        </w:rPr>
        <w:t>;</w:t>
      </w:r>
      <w:r w:rsidR="008E423C" w:rsidRPr="0077525B">
        <w:rPr>
          <w:rFonts w:ascii="Arial" w:eastAsia="Calibri" w:hAnsi="Arial" w:cs="Arial"/>
          <w:sz w:val="22"/>
          <w:szCs w:val="22"/>
          <w:lang w:eastAsia="en-US"/>
        </w:rPr>
        <w:t xml:space="preserve">  </w:t>
      </w:r>
    </w:p>
    <w:p w14:paraId="123E50EA" w14:textId="67B16420" w:rsidR="008E423C" w:rsidRPr="0077525B" w:rsidRDefault="0003132B" w:rsidP="008E423C">
      <w:pPr>
        <w:spacing w:after="120" w:line="276" w:lineRule="auto"/>
        <w:ind w:firstLine="709"/>
        <w:jc w:val="both"/>
        <w:rPr>
          <w:rFonts w:ascii="Arial" w:eastAsia="Calibri" w:hAnsi="Arial" w:cs="Arial"/>
          <w:sz w:val="22"/>
          <w:szCs w:val="22"/>
          <w:lang w:eastAsia="en-US"/>
        </w:rPr>
      </w:pPr>
      <w:r w:rsidRPr="0077525B">
        <w:rPr>
          <w:rFonts w:ascii="Arial" w:eastAsia="Calibri" w:hAnsi="Arial" w:cs="Arial"/>
          <w:bCs/>
          <w:i/>
          <w:iCs/>
          <w:sz w:val="22"/>
          <w:szCs w:val="22"/>
          <w:lang w:eastAsia="en-US"/>
        </w:rPr>
        <w:t>iv)</w:t>
      </w:r>
      <w:r w:rsidR="008E423C" w:rsidRPr="0077525B">
        <w:rPr>
          <w:rFonts w:ascii="Arial" w:eastAsia="Calibri" w:hAnsi="Arial" w:cs="Arial"/>
          <w:sz w:val="22"/>
          <w:szCs w:val="22"/>
          <w:lang w:eastAsia="en-US"/>
        </w:rPr>
        <w:t xml:space="preserve"> </w:t>
      </w:r>
      <w:r w:rsidRPr="0077525B">
        <w:rPr>
          <w:rFonts w:ascii="Arial" w:eastAsia="Calibri" w:hAnsi="Arial" w:cs="Arial"/>
          <w:sz w:val="22"/>
          <w:szCs w:val="22"/>
          <w:lang w:eastAsia="en-US"/>
        </w:rPr>
        <w:t>e</w:t>
      </w:r>
      <w:r w:rsidR="008E423C" w:rsidRPr="0077525B">
        <w:rPr>
          <w:rFonts w:ascii="Arial" w:eastAsia="Calibri" w:hAnsi="Arial" w:cs="Arial"/>
          <w:sz w:val="22"/>
          <w:szCs w:val="22"/>
          <w:lang w:eastAsia="en-US"/>
        </w:rPr>
        <w:t>l objeto contractual de los convenios o contratos interadministrativos debe limitarse a la ejecución de programas y proyectos correspondientes al Presupuesto General de la Nación. Es decir, se establece un criterio material, del cual se deriva que, durante los cuatro meses previos a las elecciones, queda prohibido celebrar convenios interadministrativos o contratos interadministrativos que no se relacionen con programas y proyectos que ejecuten recursos del Presupuesto General de la Nación</w:t>
      </w:r>
      <w:r w:rsidRPr="0077525B">
        <w:rPr>
          <w:rFonts w:ascii="Arial" w:eastAsia="Calibri" w:hAnsi="Arial" w:cs="Arial"/>
          <w:sz w:val="22"/>
          <w:szCs w:val="22"/>
          <w:lang w:eastAsia="en-US"/>
        </w:rPr>
        <w:t>;</w:t>
      </w:r>
      <w:r w:rsidR="008E423C" w:rsidRPr="0077525B">
        <w:rPr>
          <w:rFonts w:ascii="Arial" w:eastAsia="Calibri" w:hAnsi="Arial" w:cs="Arial"/>
          <w:sz w:val="22"/>
          <w:szCs w:val="22"/>
          <w:lang w:eastAsia="en-US"/>
        </w:rPr>
        <w:t xml:space="preserve"> </w:t>
      </w:r>
    </w:p>
    <w:p w14:paraId="7BB2E843" w14:textId="30807254" w:rsidR="008E423C" w:rsidRPr="0077525B" w:rsidRDefault="0003132B" w:rsidP="008E423C">
      <w:pPr>
        <w:spacing w:after="120" w:line="276" w:lineRule="auto"/>
        <w:ind w:firstLine="709"/>
        <w:jc w:val="both"/>
        <w:rPr>
          <w:rFonts w:ascii="Arial" w:eastAsia="Calibri" w:hAnsi="Arial" w:cs="Arial"/>
          <w:sz w:val="22"/>
          <w:szCs w:val="22"/>
          <w:lang w:eastAsia="en-US"/>
        </w:rPr>
      </w:pPr>
      <w:r w:rsidRPr="0077525B">
        <w:rPr>
          <w:rFonts w:ascii="Arial" w:eastAsia="Calibri" w:hAnsi="Arial" w:cs="Arial"/>
          <w:bCs/>
          <w:i/>
          <w:iCs/>
          <w:sz w:val="22"/>
          <w:szCs w:val="22"/>
          <w:lang w:eastAsia="en-US"/>
        </w:rPr>
        <w:t>v)</w:t>
      </w:r>
      <w:r w:rsidR="008E423C" w:rsidRPr="0077525B">
        <w:rPr>
          <w:rFonts w:ascii="Arial" w:eastAsia="Calibri" w:hAnsi="Arial" w:cs="Arial"/>
          <w:sz w:val="22"/>
          <w:szCs w:val="22"/>
          <w:lang w:eastAsia="en-US"/>
        </w:rPr>
        <w:t xml:space="preserve"> </w:t>
      </w:r>
      <w:r w:rsidRPr="0077525B">
        <w:rPr>
          <w:rFonts w:ascii="Arial" w:eastAsia="Calibri" w:hAnsi="Arial" w:cs="Arial"/>
          <w:sz w:val="22"/>
          <w:szCs w:val="22"/>
          <w:lang w:eastAsia="en-US"/>
        </w:rPr>
        <w:t>e</w:t>
      </w:r>
      <w:r w:rsidR="008E423C" w:rsidRPr="0077525B">
        <w:rPr>
          <w:rFonts w:ascii="Arial" w:eastAsia="Calibri" w:hAnsi="Arial" w:cs="Arial"/>
          <w:sz w:val="22"/>
          <w:szCs w:val="22"/>
          <w:lang w:eastAsia="en-US"/>
        </w:rPr>
        <w:t>n lo relacionado con la aplicación transitoria, el primer inciso del artículo en comento establece que la modificación de Ley de Garantías rige «[…] a partir de la publicación de la presente ley y durante la vigencia fiscal 2022». Esto implica que una vez se acabe la vigencia fiscal 2022, el artículo 124 de la Ley 2159 de 2021 dejará de producir efectos jurídicos</w:t>
      </w:r>
      <w:r w:rsidRPr="0077525B">
        <w:rPr>
          <w:rFonts w:ascii="Arial" w:eastAsia="Calibri" w:hAnsi="Arial" w:cs="Arial"/>
          <w:sz w:val="22"/>
          <w:szCs w:val="22"/>
          <w:lang w:eastAsia="en-US"/>
        </w:rPr>
        <w:t>; y</w:t>
      </w:r>
    </w:p>
    <w:p w14:paraId="19854894" w14:textId="562EFBC9" w:rsidR="008E423C" w:rsidRPr="0077525B" w:rsidRDefault="0003132B" w:rsidP="008E423C">
      <w:pPr>
        <w:spacing w:after="120" w:line="276" w:lineRule="auto"/>
        <w:ind w:firstLine="709"/>
        <w:jc w:val="both"/>
        <w:rPr>
          <w:rFonts w:ascii="Arial" w:eastAsia="Calibri" w:hAnsi="Arial" w:cs="Arial"/>
          <w:sz w:val="22"/>
          <w:szCs w:val="22"/>
          <w:lang w:eastAsia="en-US"/>
        </w:rPr>
      </w:pPr>
      <w:r w:rsidRPr="0077525B">
        <w:rPr>
          <w:rFonts w:ascii="Arial" w:eastAsia="Calibri" w:hAnsi="Arial" w:cs="Arial"/>
          <w:bCs/>
          <w:i/>
          <w:iCs/>
          <w:sz w:val="22"/>
          <w:szCs w:val="22"/>
          <w:lang w:eastAsia="en-US"/>
        </w:rPr>
        <w:t>vi)</w:t>
      </w:r>
      <w:r w:rsidR="008E423C" w:rsidRPr="0077525B">
        <w:rPr>
          <w:rFonts w:ascii="Arial" w:eastAsia="Calibri" w:hAnsi="Arial" w:cs="Arial"/>
          <w:b/>
          <w:sz w:val="22"/>
          <w:szCs w:val="22"/>
          <w:lang w:eastAsia="en-US"/>
        </w:rPr>
        <w:t xml:space="preserve"> </w:t>
      </w:r>
      <w:r w:rsidRPr="0077525B">
        <w:rPr>
          <w:rFonts w:ascii="Arial" w:eastAsia="Calibri" w:hAnsi="Arial" w:cs="Arial"/>
          <w:sz w:val="22"/>
          <w:szCs w:val="22"/>
          <w:lang w:eastAsia="en-US"/>
        </w:rPr>
        <w:t>s</w:t>
      </w:r>
      <w:r w:rsidR="008E423C" w:rsidRPr="0077525B">
        <w:rPr>
          <w:rFonts w:ascii="Arial" w:eastAsia="Calibri" w:hAnsi="Arial" w:cs="Arial"/>
          <w:sz w:val="22"/>
          <w:szCs w:val="22"/>
          <w:lang w:eastAsia="en-US"/>
        </w:rPr>
        <w:t xml:space="preserve">e establece que los convenios o contratos interadministrativos </w:t>
      </w:r>
      <w:r w:rsidR="008E423C" w:rsidRPr="0077525B">
        <w:rPr>
          <w:rFonts w:ascii="Arial" w:eastAsia="Calibri" w:hAnsi="Arial" w:cs="Arial"/>
          <w:sz w:val="21"/>
          <w:szCs w:val="21"/>
          <w:lang w:eastAsia="en-US"/>
        </w:rPr>
        <w:t>que se suscriban bajo el amparo de la presente disposición serán objeto de control especial por parte de la Contraloría General de la República. En tal sentido, el Contralor General de la República determinará, en el marco de sus competencias constitucionales y legales, la forma en que se ejercerá este control especial.</w:t>
      </w:r>
    </w:p>
    <w:p w14:paraId="293E2185" w14:textId="77777777" w:rsidR="008E423C" w:rsidRPr="0077525B" w:rsidRDefault="008E423C" w:rsidP="008E423C">
      <w:pPr>
        <w:spacing w:line="276" w:lineRule="auto"/>
        <w:ind w:firstLine="709"/>
        <w:jc w:val="both"/>
        <w:rPr>
          <w:rFonts w:ascii="Arial" w:eastAsia="Calibri" w:hAnsi="Arial" w:cs="Arial"/>
          <w:sz w:val="22"/>
          <w:szCs w:val="22"/>
          <w:lang w:eastAsia="en-US"/>
        </w:rPr>
      </w:pPr>
      <w:r w:rsidRPr="0077525B">
        <w:rPr>
          <w:rFonts w:ascii="Arial" w:eastAsia="Calibri" w:hAnsi="Arial" w:cs="Arial"/>
          <w:sz w:val="22"/>
          <w:szCs w:val="22"/>
          <w:lang w:eastAsia="en-US"/>
        </w:rPr>
        <w:t>De acuerdo con las anteriores consideraciones, la promulgación y expedición de la Ley 2159 de 2021 no deroga la Ley 996 de 2005, sino que modifica d</w:t>
      </w:r>
      <w:r w:rsidRPr="0077525B">
        <w:rPr>
          <w:rFonts w:ascii="Arial" w:eastAsia="Calibri" w:hAnsi="Arial" w:cs="Arial"/>
          <w:i/>
          <w:iCs/>
          <w:sz w:val="22"/>
          <w:szCs w:val="22"/>
          <w:lang w:eastAsia="en-US"/>
        </w:rPr>
        <w:t>e manera transitoria y parcial</w:t>
      </w:r>
      <w:r w:rsidRPr="0077525B">
        <w:rPr>
          <w:rFonts w:ascii="Arial" w:eastAsia="Calibri" w:hAnsi="Arial" w:cs="Arial"/>
          <w:sz w:val="22"/>
          <w:szCs w:val="22"/>
          <w:lang w:eastAsia="en-US"/>
        </w:rPr>
        <w:t xml:space="preserve"> el inciso primero del parágrafo del artículo 38. Por tanto, esta modificación solo afecta en forma tangencial la aplicación del numeral 15.1. de la Circular Externa Única de Colombia Compra Eficiente, relacionado con la restricción para celebrar convenios y/o contratos interadministrativos durante el año fiscal 2022.</w:t>
      </w:r>
    </w:p>
    <w:p w14:paraId="0CD8BC34" w14:textId="71B8BD53" w:rsidR="006B0BB2" w:rsidRPr="0077525B" w:rsidRDefault="006B0BB2" w:rsidP="009C3282">
      <w:pPr>
        <w:tabs>
          <w:tab w:val="left" w:pos="0"/>
        </w:tabs>
        <w:jc w:val="both"/>
        <w:rPr>
          <w:rFonts w:ascii="Arial" w:eastAsia="Calibri" w:hAnsi="Arial" w:cs="Arial"/>
          <w:b/>
          <w:sz w:val="22"/>
          <w:lang w:val="es-ES_tradnl"/>
        </w:rPr>
      </w:pPr>
    </w:p>
    <w:p w14:paraId="332367AD" w14:textId="77777777" w:rsidR="009C3282" w:rsidRPr="0077525B" w:rsidRDefault="009C3282" w:rsidP="009C3282">
      <w:pPr>
        <w:tabs>
          <w:tab w:val="left" w:pos="0"/>
        </w:tabs>
        <w:jc w:val="both"/>
        <w:rPr>
          <w:rFonts w:ascii="Arial" w:eastAsia="Calibri" w:hAnsi="Arial" w:cs="Arial"/>
          <w:b/>
          <w:sz w:val="22"/>
          <w:lang w:val="es-ES_tradnl"/>
        </w:rPr>
      </w:pPr>
      <w:r w:rsidRPr="0077525B">
        <w:rPr>
          <w:rFonts w:ascii="Arial" w:eastAsia="Calibri" w:hAnsi="Arial" w:cs="Arial"/>
          <w:b/>
          <w:sz w:val="22"/>
          <w:lang w:val="es-ES_tradnl"/>
        </w:rPr>
        <w:t>3. Respuestas</w:t>
      </w:r>
    </w:p>
    <w:p w14:paraId="704D20E6" w14:textId="77777777" w:rsidR="009C3282" w:rsidRPr="0077525B" w:rsidRDefault="009C3282" w:rsidP="009C3282">
      <w:pPr>
        <w:tabs>
          <w:tab w:val="left" w:pos="0"/>
        </w:tabs>
        <w:jc w:val="both"/>
        <w:rPr>
          <w:rFonts w:ascii="Arial" w:eastAsia="Calibri" w:hAnsi="Arial" w:cs="Arial"/>
          <w:sz w:val="22"/>
          <w:lang w:val="es-ES_tradnl"/>
        </w:rPr>
      </w:pPr>
    </w:p>
    <w:p w14:paraId="4B34C602" w14:textId="67FDD9DA" w:rsidR="0066564F" w:rsidRPr="0077525B" w:rsidRDefault="00F0698C" w:rsidP="002A1DD5">
      <w:pPr>
        <w:ind w:left="709" w:right="709"/>
        <w:jc w:val="both"/>
        <w:rPr>
          <w:rFonts w:ascii="Arial" w:hAnsi="Arial" w:cs="Arial"/>
          <w:sz w:val="21"/>
          <w:szCs w:val="21"/>
          <w:lang w:val="es-ES_tradnl"/>
        </w:rPr>
      </w:pPr>
      <w:r w:rsidRPr="0077525B">
        <w:rPr>
          <w:rFonts w:ascii="Arial" w:hAnsi="Arial" w:cs="Arial"/>
          <w:sz w:val="21"/>
          <w:szCs w:val="21"/>
          <w:lang w:val="es-ES_tradnl"/>
        </w:rPr>
        <w:t>«</w:t>
      </w:r>
      <w:r w:rsidR="0055748D" w:rsidRPr="0077525B">
        <w:rPr>
          <w:rFonts w:ascii="Arial" w:hAnsi="Arial" w:cs="Arial"/>
          <w:sz w:val="21"/>
          <w:szCs w:val="21"/>
        </w:rPr>
        <w:t>Por medio del presente escrito, les solicito amablemente, se sirvan informarnos, si la ley 1508 de 2012, puede aplicarse e implementarse, en tanto si una empresa industrial y comercial del estado, puede constituir asociaciones público-privadas con personas jurídicas de carácter privado para adelantar proyectos inmobiliarios y de infraestructura, todo ello en el marco y vigencia de la ley de garantías (ley 996 de 2005), así como también en su modificación en la ley de presupuesto general del 2022 (ley 1259 del 2021)».</w:t>
      </w:r>
    </w:p>
    <w:p w14:paraId="398CB0F3" w14:textId="77777777" w:rsidR="008653FC" w:rsidRPr="0077525B" w:rsidRDefault="008653FC" w:rsidP="00CC4F51">
      <w:pPr>
        <w:jc w:val="both"/>
        <w:rPr>
          <w:rFonts w:ascii="Arial" w:hAnsi="Arial" w:cs="Arial"/>
          <w:sz w:val="21"/>
          <w:szCs w:val="21"/>
          <w:lang w:val="es-ES_tradnl"/>
        </w:rPr>
      </w:pPr>
    </w:p>
    <w:p w14:paraId="36E2C8DF" w14:textId="169C23D8" w:rsidR="00B11894" w:rsidRPr="0077525B" w:rsidRDefault="005E25E6" w:rsidP="00CC4F51">
      <w:pPr>
        <w:spacing w:after="120" w:line="276" w:lineRule="auto"/>
        <w:jc w:val="both"/>
        <w:rPr>
          <w:rFonts w:ascii="Arial" w:hAnsi="Arial" w:cs="Arial"/>
          <w:sz w:val="22"/>
          <w:lang w:val="es-ES_tradnl"/>
        </w:rPr>
      </w:pPr>
      <w:r w:rsidRPr="0077525B">
        <w:rPr>
          <w:rFonts w:ascii="Arial" w:eastAsia="Calibri" w:hAnsi="Arial" w:cs="Arial"/>
          <w:bCs/>
          <w:sz w:val="22"/>
          <w:lang w:val="es-ES_tradnl"/>
        </w:rPr>
        <w:t>Conforme a lo expuesto, el artículo 9 de la Ley 1508 de 2012</w:t>
      </w:r>
      <w:r w:rsidR="004A2A82" w:rsidRPr="0077525B">
        <w:rPr>
          <w:rFonts w:ascii="Arial" w:eastAsia="Calibri" w:hAnsi="Arial" w:cs="Arial"/>
          <w:bCs/>
          <w:sz w:val="22"/>
          <w:lang w:val="es-ES_tradnl"/>
        </w:rPr>
        <w:t xml:space="preserve"> establece la posibilidad de que </w:t>
      </w:r>
      <w:r w:rsidRPr="0077525B">
        <w:rPr>
          <w:rFonts w:ascii="Arial" w:eastAsia="Calibri" w:hAnsi="Arial" w:cs="Arial"/>
          <w:bCs/>
          <w:sz w:val="22"/>
          <w:lang w:val="es-ES_tradnl"/>
        </w:rPr>
        <w:t>las empresas industriales y comerciales del Estado,</w:t>
      </w:r>
      <w:r w:rsidR="004A2A82" w:rsidRPr="0077525B">
        <w:rPr>
          <w:rFonts w:ascii="Arial" w:eastAsia="Calibri" w:hAnsi="Arial" w:cs="Arial"/>
          <w:bCs/>
          <w:sz w:val="22"/>
          <w:lang w:val="es-ES_tradnl"/>
        </w:rPr>
        <w:t xml:space="preserve"> al igual que</w:t>
      </w:r>
      <w:r w:rsidRPr="0077525B">
        <w:rPr>
          <w:rFonts w:ascii="Arial" w:eastAsia="Calibri" w:hAnsi="Arial" w:cs="Arial"/>
          <w:bCs/>
          <w:sz w:val="22"/>
          <w:lang w:val="es-ES_tradnl"/>
        </w:rPr>
        <w:t xml:space="preserve"> las sociedades de economía Mixta en las que el Estado tenga participación superior al cincuenta por ciento</w:t>
      </w:r>
      <w:r w:rsidR="004A2A82" w:rsidRPr="0077525B">
        <w:rPr>
          <w:rFonts w:ascii="Arial" w:eastAsia="Calibri" w:hAnsi="Arial" w:cs="Arial"/>
          <w:bCs/>
          <w:sz w:val="22"/>
          <w:lang w:val="es-ES_tradnl"/>
        </w:rPr>
        <w:t xml:space="preserve"> </w:t>
      </w:r>
      <w:r w:rsidR="004A2A82" w:rsidRPr="0077525B">
        <w:rPr>
          <w:rFonts w:ascii="Arial" w:eastAsia="Calibri" w:hAnsi="Arial" w:cs="Arial"/>
          <w:bCs/>
          <w:sz w:val="22"/>
          <w:lang w:val="es-ES_tradnl"/>
        </w:rPr>
        <w:lastRenderedPageBreak/>
        <w:t xml:space="preserve">(50%), </w:t>
      </w:r>
      <w:r w:rsidR="002645F4" w:rsidRPr="0077525B">
        <w:rPr>
          <w:rFonts w:ascii="Arial" w:eastAsia="Calibri" w:hAnsi="Arial" w:cs="Arial"/>
          <w:bCs/>
          <w:sz w:val="22"/>
          <w:lang w:val="es-ES_tradnl"/>
        </w:rPr>
        <w:t>participen en calidad de contratantes en esquemas de asociación público privada</w:t>
      </w:r>
      <w:r w:rsidR="00F21083" w:rsidRPr="0077525B">
        <w:rPr>
          <w:rFonts w:ascii="Arial" w:eastAsia="Calibri" w:hAnsi="Arial" w:cs="Arial"/>
          <w:bCs/>
          <w:sz w:val="22"/>
          <w:lang w:val="es-ES_tradnl"/>
        </w:rPr>
        <w:t>, según indica el parágrafo de esta norma</w:t>
      </w:r>
      <w:r w:rsidR="003D1008" w:rsidRPr="0077525B">
        <w:rPr>
          <w:rFonts w:ascii="Arial" w:eastAsia="Calibri" w:hAnsi="Arial" w:cs="Arial"/>
          <w:bCs/>
          <w:sz w:val="22"/>
          <w:lang w:val="es-ES_tradnl"/>
        </w:rPr>
        <w:t>.</w:t>
      </w:r>
      <w:r w:rsidR="00F21083" w:rsidRPr="0077525B">
        <w:rPr>
          <w:rFonts w:ascii="Arial" w:eastAsia="Calibri" w:hAnsi="Arial" w:cs="Arial"/>
          <w:bCs/>
          <w:sz w:val="22"/>
          <w:lang w:val="es-ES_tradnl"/>
        </w:rPr>
        <w:t xml:space="preserve"> En el caso en que las mencionadas entidades decidan optar por esquemas de Asociación Público Privada bajo el régimen previsto en la Ley 1508, deberán dar cumplimiento a lo previsto en la misma y sujetarse a las disposiciones particulares que les sean aplicables en materia contractual y presupuestal.</w:t>
      </w:r>
      <w:r w:rsidR="00CB5307" w:rsidRPr="0077525B">
        <w:rPr>
          <w:rFonts w:ascii="Arial" w:eastAsia="Calibri" w:hAnsi="Arial" w:cs="Arial"/>
          <w:bCs/>
          <w:sz w:val="22"/>
          <w:lang w:val="es-ES_tradnl"/>
        </w:rPr>
        <w:t xml:space="preserve"> En estos casos, </w:t>
      </w:r>
      <w:r w:rsidR="0042754E" w:rsidRPr="0077525B">
        <w:rPr>
          <w:rFonts w:ascii="Arial" w:hAnsi="Arial" w:cs="Arial"/>
          <w:sz w:val="22"/>
          <w:lang w:val="es-ES_tradnl"/>
        </w:rPr>
        <w:t>conforme al manda</w:t>
      </w:r>
      <w:r w:rsidR="00FF1E1F" w:rsidRPr="0077525B">
        <w:rPr>
          <w:rFonts w:ascii="Arial" w:hAnsi="Arial" w:cs="Arial"/>
          <w:sz w:val="22"/>
          <w:lang w:val="es-ES_tradnl"/>
        </w:rPr>
        <w:t>t</w:t>
      </w:r>
      <w:r w:rsidR="0042754E" w:rsidRPr="0077525B">
        <w:rPr>
          <w:rFonts w:ascii="Arial" w:hAnsi="Arial" w:cs="Arial"/>
          <w:sz w:val="22"/>
          <w:lang w:val="es-ES_tradnl"/>
        </w:rPr>
        <w:t>o</w:t>
      </w:r>
      <w:r w:rsidR="00B11894" w:rsidRPr="0077525B">
        <w:rPr>
          <w:rFonts w:ascii="Arial" w:hAnsi="Arial" w:cs="Arial"/>
          <w:sz w:val="22"/>
          <w:lang w:val="es-ES_tradnl"/>
        </w:rPr>
        <w:t xml:space="preserve"> </w:t>
      </w:r>
      <w:r w:rsidR="0042754E" w:rsidRPr="0077525B">
        <w:rPr>
          <w:rFonts w:ascii="Arial" w:hAnsi="Arial" w:cs="Arial"/>
          <w:sz w:val="22"/>
          <w:lang w:val="es-ES_tradnl"/>
        </w:rPr>
        <w:t>d</w:t>
      </w:r>
      <w:r w:rsidR="00B11894" w:rsidRPr="0077525B">
        <w:rPr>
          <w:rFonts w:ascii="Arial" w:hAnsi="Arial" w:cs="Arial"/>
          <w:sz w:val="22"/>
          <w:lang w:val="es-ES_tradnl"/>
        </w:rPr>
        <w:t xml:space="preserve">el artículo 3 de la Ley 1508 de 2012, la celebración de contratos de asociación </w:t>
      </w:r>
      <w:r w:rsidR="008C40C0" w:rsidRPr="0077525B">
        <w:rPr>
          <w:rFonts w:ascii="Arial" w:hAnsi="Arial" w:cs="Arial"/>
          <w:sz w:val="22"/>
          <w:lang w:val="es-ES_tradnl"/>
        </w:rPr>
        <w:t>público-privada</w:t>
      </w:r>
      <w:r w:rsidR="00B11894" w:rsidRPr="0077525B">
        <w:rPr>
          <w:rFonts w:ascii="Arial" w:hAnsi="Arial" w:cs="Arial"/>
          <w:sz w:val="22"/>
          <w:lang w:val="es-ES_tradnl"/>
        </w:rPr>
        <w:t xml:space="preserve"> est</w:t>
      </w:r>
      <w:r w:rsidR="00CB5307" w:rsidRPr="0077525B">
        <w:rPr>
          <w:rFonts w:ascii="Arial" w:hAnsi="Arial" w:cs="Arial"/>
          <w:sz w:val="22"/>
          <w:lang w:val="es-ES_tradnl"/>
        </w:rPr>
        <w:t>ará</w:t>
      </w:r>
      <w:r w:rsidR="00B11894" w:rsidRPr="0077525B">
        <w:rPr>
          <w:rFonts w:ascii="Arial" w:hAnsi="Arial" w:cs="Arial"/>
          <w:sz w:val="22"/>
          <w:lang w:val="es-ES_tradnl"/>
        </w:rPr>
        <w:t xml:space="preserve"> regida por las Leyes 80 de 1993 y 1150 de 2007, salvo en lo específicamente regulado por aquella. </w:t>
      </w:r>
    </w:p>
    <w:p w14:paraId="3540D5A0" w14:textId="7F17CC76" w:rsidR="00B11894" w:rsidRPr="0077525B" w:rsidRDefault="00B11894" w:rsidP="00B11894">
      <w:pPr>
        <w:spacing w:after="120" w:line="276" w:lineRule="auto"/>
        <w:jc w:val="both"/>
        <w:rPr>
          <w:rFonts w:ascii="Arial" w:hAnsi="Arial" w:cs="Arial"/>
          <w:sz w:val="22"/>
          <w:lang w:val="es-ES_tradnl"/>
        </w:rPr>
      </w:pPr>
      <w:r w:rsidRPr="0077525B">
        <w:rPr>
          <w:rFonts w:ascii="Arial" w:hAnsi="Arial" w:cs="Arial"/>
          <w:sz w:val="22"/>
          <w:lang w:val="es-ES_tradnl"/>
        </w:rPr>
        <w:tab/>
      </w:r>
      <w:r w:rsidR="004D3604" w:rsidRPr="0077525B">
        <w:rPr>
          <w:rFonts w:ascii="Arial" w:hAnsi="Arial" w:cs="Arial"/>
          <w:sz w:val="22"/>
          <w:lang w:val="es-ES_tradnl"/>
        </w:rPr>
        <w:t>En concordancia con lo anterior</w:t>
      </w:r>
      <w:r w:rsidRPr="0077525B">
        <w:rPr>
          <w:rFonts w:ascii="Arial" w:hAnsi="Arial" w:cs="Arial"/>
          <w:sz w:val="22"/>
          <w:lang w:val="es-ES_tradnl"/>
        </w:rPr>
        <w:t xml:space="preserve">, </w:t>
      </w:r>
      <w:r w:rsidR="00C0355F" w:rsidRPr="0077525B">
        <w:rPr>
          <w:rFonts w:ascii="Arial" w:hAnsi="Arial" w:cs="Arial"/>
          <w:sz w:val="22"/>
          <w:lang w:val="es-ES_tradnl"/>
        </w:rPr>
        <w:t>por una parte,</w:t>
      </w:r>
      <w:r w:rsidRPr="0077525B">
        <w:rPr>
          <w:rFonts w:ascii="Arial" w:hAnsi="Arial" w:cs="Arial"/>
          <w:sz w:val="22"/>
          <w:lang w:val="es-ES_tradnl"/>
        </w:rPr>
        <w:t xml:space="preserve"> el artículo 9 de la Ley 1508 de 2012, reglamentado por el artículo 2.2.2.1.4.1</w:t>
      </w:r>
      <w:r w:rsidR="00845FB5" w:rsidRPr="0077525B">
        <w:rPr>
          <w:rFonts w:ascii="Arial" w:hAnsi="Arial" w:cs="Arial"/>
          <w:sz w:val="22"/>
          <w:lang w:val="es-ES_tradnl"/>
        </w:rPr>
        <w:t xml:space="preserve"> </w:t>
      </w:r>
      <w:r w:rsidRPr="0077525B">
        <w:rPr>
          <w:rFonts w:ascii="Arial" w:hAnsi="Arial" w:cs="Arial"/>
          <w:sz w:val="22"/>
          <w:lang w:val="es-ES_tradnl"/>
        </w:rPr>
        <w:t xml:space="preserve">del Decreto 1082 de 2015, establece como procedimiento de selección para </w:t>
      </w:r>
      <w:r w:rsidRPr="0077525B">
        <w:rPr>
          <w:rFonts w:ascii="Arial" w:hAnsi="Arial" w:cs="Arial"/>
          <w:i/>
          <w:iCs/>
          <w:sz w:val="22"/>
          <w:lang w:val="es-ES_tradnl"/>
        </w:rPr>
        <w:t>proyectos de asociación público-privada de iniciativa pública</w:t>
      </w:r>
      <w:r w:rsidRPr="0077525B">
        <w:rPr>
          <w:rFonts w:ascii="Arial" w:hAnsi="Arial" w:cs="Arial"/>
          <w:sz w:val="22"/>
          <w:lang w:val="es-ES_tradnl"/>
        </w:rPr>
        <w:t xml:space="preserve"> el de licitación pública regulado por el artículo 30 de la Ley 80 de 1993</w:t>
      </w:r>
      <w:r w:rsidR="00042B65" w:rsidRPr="0077525B">
        <w:rPr>
          <w:rFonts w:ascii="Arial" w:hAnsi="Arial" w:cs="Arial"/>
          <w:sz w:val="22"/>
          <w:lang w:val="es-ES_tradnl"/>
        </w:rPr>
        <w:t>.</w:t>
      </w:r>
    </w:p>
    <w:p w14:paraId="2E5579AF" w14:textId="77777777" w:rsidR="003B43EE" w:rsidRDefault="00A543D2" w:rsidP="003B43EE">
      <w:pPr>
        <w:tabs>
          <w:tab w:val="left" w:pos="426"/>
        </w:tabs>
        <w:spacing w:before="120" w:after="160" w:line="276" w:lineRule="auto"/>
        <w:ind w:firstLine="709"/>
        <w:jc w:val="both"/>
        <w:rPr>
          <w:rFonts w:ascii="Arial" w:eastAsia="Calibri" w:hAnsi="Arial" w:cs="Arial"/>
          <w:sz w:val="22"/>
          <w:lang w:val="es-ES"/>
        </w:rPr>
      </w:pPr>
      <w:r w:rsidRPr="0077525B">
        <w:rPr>
          <w:rFonts w:ascii="Arial" w:hAnsi="Arial" w:cs="Arial"/>
          <w:sz w:val="22"/>
          <w:lang w:val="es-ES_tradnl"/>
        </w:rPr>
        <w:t>De otro lado</w:t>
      </w:r>
      <w:bookmarkStart w:id="47" w:name="_Hlk97728748"/>
      <w:r w:rsidRPr="0077525B">
        <w:rPr>
          <w:rFonts w:ascii="Arial" w:hAnsi="Arial" w:cs="Arial"/>
          <w:sz w:val="22"/>
          <w:lang w:val="es-ES_tradnl"/>
        </w:rPr>
        <w:t xml:space="preserve">, </w:t>
      </w:r>
      <w:r w:rsidR="00AB1F30" w:rsidRPr="0077525B">
        <w:rPr>
          <w:rFonts w:ascii="Arial" w:eastAsia="Calibri" w:hAnsi="Arial" w:cs="Arial"/>
          <w:sz w:val="22"/>
          <w:lang w:val="es-ES"/>
        </w:rPr>
        <w:t>en los</w:t>
      </w:r>
      <w:r w:rsidR="00613B27" w:rsidRPr="0077525B">
        <w:rPr>
          <w:rFonts w:ascii="Arial" w:eastAsia="Calibri" w:hAnsi="Arial" w:cs="Arial"/>
          <w:sz w:val="22"/>
          <w:lang w:val="es-ES"/>
        </w:rPr>
        <w:t xml:space="preserve"> </w:t>
      </w:r>
      <w:r w:rsidR="00613B27" w:rsidRPr="0077525B">
        <w:rPr>
          <w:rFonts w:ascii="Arial" w:eastAsia="Calibri" w:hAnsi="Arial" w:cs="Arial"/>
          <w:i/>
          <w:iCs/>
          <w:sz w:val="22"/>
          <w:lang w:val="es-ES"/>
        </w:rPr>
        <w:t>proyecto</w:t>
      </w:r>
      <w:r w:rsidR="00AB1F30" w:rsidRPr="0077525B">
        <w:rPr>
          <w:rFonts w:ascii="Arial" w:eastAsia="Calibri" w:hAnsi="Arial" w:cs="Arial"/>
          <w:i/>
          <w:iCs/>
          <w:sz w:val="22"/>
          <w:lang w:val="es-ES"/>
        </w:rPr>
        <w:t>s</w:t>
      </w:r>
      <w:r w:rsidR="00613B27" w:rsidRPr="0077525B">
        <w:rPr>
          <w:rFonts w:ascii="Arial" w:eastAsia="Calibri" w:hAnsi="Arial" w:cs="Arial"/>
          <w:i/>
          <w:iCs/>
          <w:sz w:val="22"/>
          <w:lang w:val="es-ES"/>
        </w:rPr>
        <w:t xml:space="preserve"> de iniciativa privada</w:t>
      </w:r>
      <w:r w:rsidR="00613B27" w:rsidRPr="0077525B">
        <w:rPr>
          <w:rFonts w:ascii="Arial" w:eastAsia="Calibri" w:hAnsi="Arial" w:cs="Arial"/>
          <w:sz w:val="22"/>
          <w:lang w:val="es-ES"/>
        </w:rPr>
        <w:t>,</w:t>
      </w:r>
      <w:r w:rsidR="00AB1F30" w:rsidRPr="0077525B">
        <w:rPr>
          <w:rFonts w:ascii="Arial" w:eastAsia="Calibri" w:hAnsi="Arial" w:cs="Arial"/>
          <w:sz w:val="22"/>
          <w:lang w:val="es-ES"/>
        </w:rPr>
        <w:t xml:space="preserve"> si el proyecto es aceptado,</w:t>
      </w:r>
      <w:r w:rsidR="00613B27" w:rsidRPr="0077525B">
        <w:rPr>
          <w:rFonts w:ascii="Arial" w:eastAsia="Calibri" w:hAnsi="Arial" w:cs="Arial"/>
          <w:sz w:val="22"/>
          <w:lang w:val="es-ES"/>
        </w:rPr>
        <w:t xml:space="preserve"> la entidad llega a un acuerdo con el originador sobre la viabilidad del proyecto y el valor de los estudios efectuados por el particular en la estructuración del proyecto. Posteriormente, c</w:t>
      </w:r>
      <w:r w:rsidR="002C1392" w:rsidRPr="0077525B">
        <w:rPr>
          <w:rFonts w:ascii="Arial" w:eastAsia="Calibri" w:hAnsi="Arial" w:cs="Arial"/>
          <w:sz w:val="22"/>
          <w:lang w:val="es-ES"/>
        </w:rPr>
        <w:t>u</w:t>
      </w:r>
      <w:r w:rsidR="00CB5AE0" w:rsidRPr="0077525B">
        <w:rPr>
          <w:rFonts w:ascii="Arial" w:eastAsia="Calibri" w:hAnsi="Arial" w:cs="Arial"/>
          <w:sz w:val="22"/>
          <w:lang w:val="es-ES"/>
        </w:rPr>
        <w:t>ando</w:t>
      </w:r>
      <w:r w:rsidR="00613B27" w:rsidRPr="0077525B">
        <w:rPr>
          <w:rFonts w:ascii="Arial" w:eastAsia="Calibri" w:hAnsi="Arial" w:cs="Arial"/>
          <w:sz w:val="22"/>
          <w:lang w:val="es-ES"/>
        </w:rPr>
        <w:t xml:space="preserve"> se trata de una </w:t>
      </w:r>
      <w:r w:rsidR="00613B27" w:rsidRPr="0077525B">
        <w:rPr>
          <w:rFonts w:ascii="Arial" w:eastAsia="Calibri" w:hAnsi="Arial" w:cs="Arial"/>
          <w:i/>
          <w:iCs/>
          <w:sz w:val="22"/>
          <w:lang w:val="es-ES"/>
        </w:rPr>
        <w:t xml:space="preserve">iniciativa privada </w:t>
      </w:r>
      <w:r w:rsidR="00613B27" w:rsidRPr="0077525B">
        <w:rPr>
          <w:rFonts w:ascii="Arial" w:eastAsia="Calibri" w:hAnsi="Arial" w:cs="Arial"/>
          <w:sz w:val="22"/>
          <w:lang w:val="es-ES"/>
        </w:rPr>
        <w:t xml:space="preserve">que </w:t>
      </w:r>
      <w:r w:rsidR="00613B27" w:rsidRPr="0077525B">
        <w:rPr>
          <w:rFonts w:ascii="Arial" w:eastAsia="Calibri" w:hAnsi="Arial" w:cs="Arial"/>
          <w:i/>
          <w:iCs/>
          <w:sz w:val="22"/>
          <w:lang w:val="es-ES"/>
        </w:rPr>
        <w:t>no</w:t>
      </w:r>
      <w:r w:rsidR="00613B27" w:rsidRPr="0077525B">
        <w:rPr>
          <w:rFonts w:ascii="Arial" w:eastAsia="Calibri" w:hAnsi="Arial" w:cs="Arial"/>
          <w:sz w:val="22"/>
          <w:lang w:val="es-ES"/>
        </w:rPr>
        <w:t xml:space="preserve"> requiere desembolso de recursos públicos, se debe aplicar lo dispuesto en el artículo 19 de la Ley 1508 de 2012. Este precepto establece que después del acuerdo entre la entidad estatal y el originador del proyecto, aquella debe publicarlo en el SECOP, junto con la minuta del contrato, los estudios y los demás anexos, por un término no inferior a un (1) mes, ni superior a seis (6) meses, para ver si resultan manifestaciones de interés.</w:t>
      </w:r>
      <w:r w:rsidR="003B43EE">
        <w:rPr>
          <w:rFonts w:ascii="Arial" w:eastAsia="Calibri" w:hAnsi="Arial" w:cs="Arial"/>
          <w:sz w:val="22"/>
          <w:lang w:val="es-ES"/>
        </w:rPr>
        <w:t xml:space="preserve"> </w:t>
      </w:r>
    </w:p>
    <w:p w14:paraId="67DA5AAF" w14:textId="7334094B" w:rsidR="00A543D2" w:rsidRPr="0077525B" w:rsidRDefault="00613B27" w:rsidP="003B43EE">
      <w:pPr>
        <w:tabs>
          <w:tab w:val="left" w:pos="426"/>
        </w:tabs>
        <w:spacing w:before="120" w:after="160" w:line="276" w:lineRule="auto"/>
        <w:ind w:firstLine="709"/>
        <w:jc w:val="both"/>
        <w:rPr>
          <w:rFonts w:ascii="Arial" w:eastAsia="Calibri" w:hAnsi="Arial" w:cs="Arial"/>
          <w:sz w:val="22"/>
          <w:lang w:val="es-ES"/>
        </w:rPr>
      </w:pPr>
      <w:r w:rsidRPr="0077525B">
        <w:rPr>
          <w:rFonts w:ascii="Arial" w:eastAsia="Calibri" w:hAnsi="Arial" w:cs="Arial"/>
          <w:sz w:val="22"/>
          <w:lang w:val="es-ES"/>
        </w:rPr>
        <w:t xml:space="preserve">Si, al término de la publicación, no resultan interesados, la entidad debe celebrar el contrato de manera directa con el originador privado, es decir, con aquel que estructuró el </w:t>
      </w:r>
      <w:r w:rsidRPr="0077525B">
        <w:rPr>
          <w:rFonts w:ascii="Arial" w:eastAsia="Calibri" w:hAnsi="Arial" w:cs="Arial"/>
          <w:i/>
          <w:iCs/>
          <w:sz w:val="22"/>
          <w:lang w:val="es-ES"/>
        </w:rPr>
        <w:t>proyecto de asociación público privada</w:t>
      </w:r>
      <w:r w:rsidRPr="0077525B">
        <w:rPr>
          <w:rFonts w:ascii="Arial" w:eastAsia="Calibri" w:hAnsi="Arial" w:cs="Arial"/>
          <w:sz w:val="22"/>
          <w:lang w:val="es-ES"/>
        </w:rPr>
        <w:t xml:space="preserve"> que </w:t>
      </w:r>
      <w:r w:rsidRPr="0077525B">
        <w:rPr>
          <w:rFonts w:ascii="Arial" w:eastAsia="Calibri" w:hAnsi="Arial" w:cs="Arial"/>
          <w:i/>
          <w:iCs/>
          <w:sz w:val="22"/>
          <w:lang w:val="es-ES"/>
        </w:rPr>
        <w:t>no</w:t>
      </w:r>
      <w:r w:rsidRPr="0077525B">
        <w:rPr>
          <w:rFonts w:ascii="Arial" w:eastAsia="Calibri" w:hAnsi="Arial" w:cs="Arial"/>
          <w:sz w:val="22"/>
          <w:lang w:val="es-ES"/>
        </w:rPr>
        <w:t xml:space="preserve"> requiere desembolso de recursos públicos, y que en su momento le presentó a la entidad su propuesta tanto en la fase de prefactibilidad como de factibilidad, y que luego llegó a un acuerdo con ella sobre la viabilidad del proyecto. Por el contrario, si hay interesados que respondan a la publicación en el SECOP, se deberá adelantar el procedimiento consagrado en el artículo 20 de la misma Ley. En efecto, la norma señalada establece que los terceros interesados en el proyecto deben garantizar la iniciativa con un mecanismo de cobertura del riesgo y podrán participar en el procedimiento de selección que abrirá la entidad estatal, a través de la modalidad de selección abreviada de menor cuantía con precalificación.</w:t>
      </w:r>
    </w:p>
    <w:bookmarkEnd w:id="47"/>
    <w:p w14:paraId="1A76D8D9" w14:textId="02A95E12" w:rsidR="00456BC4" w:rsidRPr="0077525B" w:rsidRDefault="00DE7048" w:rsidP="00613B27">
      <w:pPr>
        <w:spacing w:after="120" w:line="276" w:lineRule="auto"/>
        <w:ind w:firstLine="709"/>
        <w:jc w:val="both"/>
        <w:rPr>
          <w:rFonts w:ascii="Arial" w:eastAsia="Calibri" w:hAnsi="Arial" w:cs="Arial"/>
          <w:sz w:val="22"/>
          <w:lang w:val="es-ES"/>
        </w:rPr>
      </w:pPr>
      <w:r w:rsidRPr="0077525B">
        <w:rPr>
          <w:rFonts w:ascii="Arial" w:eastAsia="Calibri" w:hAnsi="Arial" w:cs="Arial"/>
          <w:sz w:val="22"/>
          <w:lang w:val="es-ES"/>
        </w:rPr>
        <w:t>Finalmente</w:t>
      </w:r>
      <w:r w:rsidR="00456BC4" w:rsidRPr="0077525B">
        <w:rPr>
          <w:rFonts w:ascii="Arial" w:eastAsia="Calibri" w:hAnsi="Arial" w:cs="Arial"/>
          <w:sz w:val="22"/>
          <w:lang w:val="es-ES"/>
        </w:rPr>
        <w:t xml:space="preserve">, el artículo 17 de la Ley 1508 de 2012 </w:t>
      </w:r>
      <w:r w:rsidRPr="0077525B">
        <w:rPr>
          <w:rFonts w:ascii="Arial" w:eastAsia="Calibri" w:hAnsi="Arial" w:cs="Arial"/>
          <w:sz w:val="22"/>
          <w:lang w:val="es-ES"/>
        </w:rPr>
        <w:t xml:space="preserve">que </w:t>
      </w:r>
      <w:r w:rsidR="00456BC4" w:rsidRPr="0077525B">
        <w:rPr>
          <w:rFonts w:ascii="Arial" w:eastAsia="Calibri" w:hAnsi="Arial" w:cs="Arial"/>
          <w:sz w:val="22"/>
          <w:lang w:val="es-ES"/>
        </w:rPr>
        <w:t xml:space="preserve">regula lo concerniente a las </w:t>
      </w:r>
      <w:r w:rsidR="00456BC4" w:rsidRPr="0077525B">
        <w:rPr>
          <w:rFonts w:ascii="Arial" w:eastAsia="Calibri" w:hAnsi="Arial" w:cs="Arial"/>
          <w:i/>
          <w:iCs/>
          <w:sz w:val="22"/>
          <w:lang w:val="es-ES"/>
        </w:rPr>
        <w:t>iniciativas privadas que requieren desembolsos públicos</w:t>
      </w:r>
      <w:r w:rsidR="00456BC4" w:rsidRPr="0077525B">
        <w:rPr>
          <w:rFonts w:ascii="Arial" w:eastAsia="Calibri" w:hAnsi="Arial" w:cs="Arial"/>
          <w:sz w:val="22"/>
          <w:lang w:val="es-ES"/>
        </w:rPr>
        <w:t>, estable</w:t>
      </w:r>
      <w:r w:rsidRPr="0077525B">
        <w:rPr>
          <w:rFonts w:ascii="Arial" w:eastAsia="Calibri" w:hAnsi="Arial" w:cs="Arial"/>
          <w:sz w:val="22"/>
          <w:lang w:val="es-ES"/>
        </w:rPr>
        <w:t>ce</w:t>
      </w:r>
      <w:r w:rsidR="00456BC4" w:rsidRPr="0077525B">
        <w:rPr>
          <w:rFonts w:ascii="Arial" w:eastAsia="Calibri" w:hAnsi="Arial" w:cs="Arial"/>
          <w:sz w:val="22"/>
          <w:lang w:val="es-ES"/>
        </w:rPr>
        <w:t xml:space="preserve"> que luego del acuerdo entre la entidad estatal competente y el originador de la iniciativa, se abrirá una licitación pública para seleccionar el contratista que adelante el proyecto que el originador ha propuesto</w:t>
      </w:r>
      <w:r w:rsidR="003E7BA0" w:rsidRPr="0077525B">
        <w:rPr>
          <w:rFonts w:ascii="Arial" w:eastAsia="Calibri" w:hAnsi="Arial" w:cs="Arial"/>
          <w:sz w:val="22"/>
          <w:lang w:val="es-ES"/>
        </w:rPr>
        <w:t xml:space="preserve">. </w:t>
      </w:r>
    </w:p>
    <w:p w14:paraId="603FBF9F" w14:textId="680A96DA" w:rsidR="003803A1" w:rsidRPr="0077525B" w:rsidRDefault="00E7034E" w:rsidP="003803A1">
      <w:pPr>
        <w:spacing w:after="120" w:line="276" w:lineRule="auto"/>
        <w:ind w:firstLine="708"/>
        <w:jc w:val="both"/>
        <w:rPr>
          <w:rFonts w:ascii="Arial" w:hAnsi="Arial" w:cs="Arial"/>
          <w:bCs/>
          <w:sz w:val="22"/>
          <w:szCs w:val="22"/>
          <w:lang w:val="es-MX" w:eastAsia="x-none"/>
        </w:rPr>
      </w:pPr>
      <w:r w:rsidRPr="0077525B">
        <w:rPr>
          <w:rFonts w:ascii="Arial" w:eastAsia="Calibri" w:hAnsi="Arial" w:cs="Arial"/>
          <w:sz w:val="22"/>
          <w:lang w:val="es-ES"/>
        </w:rPr>
        <w:lastRenderedPageBreak/>
        <w:t>Para</w:t>
      </w:r>
      <w:r w:rsidR="003803A1" w:rsidRPr="0077525B">
        <w:rPr>
          <w:rFonts w:ascii="Arial" w:hAnsi="Arial" w:cs="Arial"/>
          <w:bCs/>
          <w:sz w:val="22"/>
          <w:szCs w:val="22"/>
          <w:lang w:val="es-MX" w:eastAsia="x-none"/>
        </w:rPr>
        <w:t xml:space="preserve"> los efectos de la Ley de Garantías Electorales y, en particular, para la prohibición o restricción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003803A1" w:rsidRPr="0077525B">
        <w:rPr>
          <w:rFonts w:ascii="Arial" w:hAnsi="Arial" w:cs="Arial"/>
          <w:sz w:val="22"/>
          <w:szCs w:val="22"/>
          <w:vertAlign w:val="superscript"/>
          <w:lang w:eastAsia="x-none"/>
        </w:rPr>
        <w:t xml:space="preserve"> </w:t>
      </w:r>
      <w:r w:rsidR="003803A1" w:rsidRPr="0077525B">
        <w:rPr>
          <w:rFonts w:ascii="Arial" w:hAnsi="Arial" w:cs="Arial"/>
          <w:bCs/>
          <w:sz w:val="22"/>
          <w:szCs w:val="22"/>
          <w:lang w:val="es-MX" w:eastAsia="x-none"/>
        </w:rPr>
        <w:t>De lo anterior se desprende que la restricción aplica, con la salvedad de las excepciones establecidas en la misma ley, para celebrar cualquier contrato de forma directa, esto es, sin que exista un proceso abierto y competitivo</w:t>
      </w:r>
      <w:r w:rsidR="003803A1" w:rsidRPr="0077525B">
        <w:rPr>
          <w:rFonts w:ascii="Arial" w:hAnsi="Arial" w:cs="Arial"/>
          <w:sz w:val="22"/>
          <w:szCs w:val="22"/>
          <w:lang w:eastAsia="x-none"/>
        </w:rPr>
        <w:t xml:space="preserve">. </w:t>
      </w:r>
    </w:p>
    <w:p w14:paraId="3A615331" w14:textId="61A6AE80" w:rsidR="00087078" w:rsidRPr="0077525B" w:rsidRDefault="00C06AC0" w:rsidP="00CC4F51">
      <w:pPr>
        <w:spacing w:after="120" w:line="276" w:lineRule="auto"/>
        <w:ind w:firstLine="709"/>
        <w:jc w:val="both"/>
        <w:rPr>
          <w:rFonts w:ascii="Arial" w:eastAsia="Calibri" w:hAnsi="Arial" w:cs="Arial"/>
          <w:sz w:val="22"/>
          <w:lang w:val="es-ES"/>
        </w:rPr>
      </w:pPr>
      <w:r w:rsidRPr="0077525B">
        <w:rPr>
          <w:rFonts w:ascii="Arial" w:eastAsia="Calibri" w:hAnsi="Arial" w:cs="Arial"/>
          <w:sz w:val="22"/>
          <w:lang w:val="es-ES"/>
        </w:rPr>
        <w:t>Conforme a dicho</w:t>
      </w:r>
      <w:r w:rsidR="009F7E96" w:rsidRPr="0077525B">
        <w:rPr>
          <w:rFonts w:ascii="Arial" w:eastAsia="Calibri" w:hAnsi="Arial" w:cs="Arial"/>
          <w:sz w:val="22"/>
          <w:lang w:val="es-ES"/>
        </w:rPr>
        <w:t xml:space="preserve"> alcance de la restricción de que trata el artículo 33 de la Ley 996 de 2005</w:t>
      </w:r>
      <w:r w:rsidR="0047419B" w:rsidRPr="0077525B">
        <w:rPr>
          <w:rFonts w:ascii="Arial" w:eastAsia="Calibri" w:hAnsi="Arial" w:cs="Arial"/>
          <w:sz w:val="22"/>
          <w:lang w:val="es-ES"/>
        </w:rPr>
        <w:t xml:space="preserve">, se </w:t>
      </w:r>
      <w:r w:rsidR="00EF1F41" w:rsidRPr="0077525B">
        <w:rPr>
          <w:rFonts w:ascii="Arial" w:eastAsia="Calibri" w:hAnsi="Arial" w:cs="Arial"/>
          <w:sz w:val="22"/>
          <w:lang w:val="es-ES"/>
        </w:rPr>
        <w:t xml:space="preserve">observa </w:t>
      </w:r>
      <w:r w:rsidR="00EE3D0D" w:rsidRPr="0077525B">
        <w:rPr>
          <w:rFonts w:ascii="Arial" w:eastAsia="Calibri" w:hAnsi="Arial" w:cs="Arial"/>
          <w:sz w:val="22"/>
          <w:lang w:val="es-ES"/>
        </w:rPr>
        <w:t>que</w:t>
      </w:r>
      <w:r w:rsidR="0047419B" w:rsidRPr="0077525B">
        <w:rPr>
          <w:rFonts w:ascii="Arial" w:eastAsia="Calibri" w:hAnsi="Arial" w:cs="Arial"/>
          <w:sz w:val="22"/>
          <w:lang w:val="es-ES"/>
        </w:rPr>
        <w:t xml:space="preserve"> </w:t>
      </w:r>
      <w:r w:rsidR="0058697D" w:rsidRPr="0077525B">
        <w:rPr>
          <w:rFonts w:ascii="Arial" w:eastAsia="Calibri" w:hAnsi="Arial" w:cs="Arial"/>
          <w:sz w:val="22"/>
          <w:lang w:val="es-ES"/>
        </w:rPr>
        <w:t xml:space="preserve">dicha </w:t>
      </w:r>
      <w:r w:rsidR="00F07BE2" w:rsidRPr="0077525B">
        <w:rPr>
          <w:rFonts w:ascii="Arial" w:eastAsia="Calibri" w:hAnsi="Arial" w:cs="Arial"/>
          <w:sz w:val="22"/>
          <w:lang w:val="es-ES"/>
        </w:rPr>
        <w:t>prohibición</w:t>
      </w:r>
      <w:r w:rsidR="0058697D" w:rsidRPr="0077525B">
        <w:rPr>
          <w:rFonts w:ascii="Arial" w:eastAsia="Calibri" w:hAnsi="Arial" w:cs="Arial"/>
          <w:sz w:val="22"/>
          <w:lang w:val="es-ES"/>
        </w:rPr>
        <w:t xml:space="preserve"> no es aplicable a los proyectos de asociación público</w:t>
      </w:r>
      <w:r w:rsidRPr="0077525B">
        <w:rPr>
          <w:rFonts w:ascii="Arial" w:eastAsia="Calibri" w:hAnsi="Arial" w:cs="Arial"/>
          <w:sz w:val="22"/>
          <w:lang w:val="es-ES"/>
        </w:rPr>
        <w:t xml:space="preserve"> </w:t>
      </w:r>
      <w:r w:rsidR="0058697D" w:rsidRPr="0077525B">
        <w:rPr>
          <w:rFonts w:ascii="Arial" w:eastAsia="Calibri" w:hAnsi="Arial" w:cs="Arial"/>
          <w:sz w:val="22"/>
          <w:lang w:val="es-ES"/>
        </w:rPr>
        <w:t xml:space="preserve">privada. </w:t>
      </w:r>
      <w:r w:rsidR="007A30F6" w:rsidRPr="0077525B">
        <w:rPr>
          <w:rFonts w:ascii="Arial" w:eastAsia="Calibri" w:hAnsi="Arial" w:cs="Arial"/>
          <w:sz w:val="22"/>
          <w:lang w:val="es-ES"/>
        </w:rPr>
        <w:t>Lo anterior</w:t>
      </w:r>
      <w:r w:rsidR="0058697D" w:rsidRPr="0077525B">
        <w:rPr>
          <w:rFonts w:ascii="Arial" w:eastAsia="Calibri" w:hAnsi="Arial" w:cs="Arial"/>
          <w:sz w:val="22"/>
          <w:lang w:val="es-ES"/>
        </w:rPr>
        <w:t>, en tanto que</w:t>
      </w:r>
      <w:r w:rsidR="005840D2" w:rsidRPr="0077525B">
        <w:rPr>
          <w:rFonts w:ascii="Arial" w:eastAsia="Calibri" w:hAnsi="Arial" w:cs="Arial"/>
          <w:sz w:val="22"/>
          <w:lang w:val="es-ES"/>
        </w:rPr>
        <w:t xml:space="preserve">, </w:t>
      </w:r>
      <w:r w:rsidR="00854FB8" w:rsidRPr="0077525B">
        <w:rPr>
          <w:rFonts w:ascii="Arial" w:hAnsi="Arial" w:cs="Arial"/>
          <w:sz w:val="22"/>
          <w:szCs w:val="22"/>
        </w:rPr>
        <w:t>para cada una de las modalidades de asociación público-privada antes precisada</w:t>
      </w:r>
      <w:r w:rsidR="00764D5F" w:rsidRPr="0077525B">
        <w:rPr>
          <w:rFonts w:ascii="Arial" w:hAnsi="Arial" w:cs="Arial"/>
          <w:sz w:val="22"/>
          <w:szCs w:val="22"/>
        </w:rPr>
        <w:t xml:space="preserve">s, se establecieron </w:t>
      </w:r>
      <w:r w:rsidR="00D9719C" w:rsidRPr="0077525B">
        <w:rPr>
          <w:rFonts w:ascii="Arial" w:eastAsia="Calibri" w:hAnsi="Arial" w:cs="Arial"/>
          <w:sz w:val="22"/>
          <w:lang w:val="es-ES"/>
        </w:rPr>
        <w:t xml:space="preserve">procedimientos </w:t>
      </w:r>
      <w:r w:rsidR="00764D5F" w:rsidRPr="0077525B">
        <w:rPr>
          <w:rFonts w:ascii="Arial" w:eastAsia="Calibri" w:hAnsi="Arial" w:cs="Arial"/>
          <w:sz w:val="22"/>
          <w:lang w:val="es-ES"/>
        </w:rPr>
        <w:t>de selección que involucran convo</w:t>
      </w:r>
      <w:r w:rsidR="00220E0E" w:rsidRPr="0077525B">
        <w:rPr>
          <w:rFonts w:ascii="Arial" w:eastAsia="Calibri" w:hAnsi="Arial" w:cs="Arial"/>
          <w:sz w:val="22"/>
          <w:lang w:val="es-ES"/>
        </w:rPr>
        <w:t>catoria pública</w:t>
      </w:r>
      <w:r w:rsidR="00BE6F3F" w:rsidRPr="0077525B">
        <w:rPr>
          <w:rFonts w:ascii="Arial" w:eastAsia="Calibri" w:hAnsi="Arial" w:cs="Arial"/>
          <w:sz w:val="22"/>
          <w:lang w:val="es-ES"/>
        </w:rPr>
        <w:t xml:space="preserve"> y </w:t>
      </w:r>
      <w:r w:rsidR="00916468" w:rsidRPr="0077525B">
        <w:rPr>
          <w:rFonts w:ascii="Arial" w:eastAsia="Calibri" w:hAnsi="Arial" w:cs="Arial"/>
          <w:sz w:val="22"/>
          <w:lang w:val="es-ES"/>
        </w:rPr>
        <w:t>participación</w:t>
      </w:r>
      <w:r w:rsidR="00BE6F3F" w:rsidRPr="0077525B">
        <w:rPr>
          <w:rFonts w:ascii="Arial" w:eastAsia="Calibri" w:hAnsi="Arial" w:cs="Arial"/>
          <w:sz w:val="22"/>
          <w:lang w:val="es-ES"/>
        </w:rPr>
        <w:t xml:space="preserve"> de pluralidad de oferentes</w:t>
      </w:r>
      <w:r w:rsidR="00220E0E" w:rsidRPr="0077525B">
        <w:rPr>
          <w:rFonts w:ascii="Arial" w:eastAsia="Calibri" w:hAnsi="Arial" w:cs="Arial"/>
          <w:sz w:val="22"/>
          <w:lang w:val="es-ES"/>
        </w:rPr>
        <w:t>.</w:t>
      </w:r>
      <w:r w:rsidR="00BE6F3F" w:rsidRPr="0077525B">
        <w:rPr>
          <w:rFonts w:ascii="Arial" w:eastAsia="Calibri" w:hAnsi="Arial" w:cs="Arial"/>
          <w:sz w:val="22"/>
          <w:lang w:val="es-ES"/>
        </w:rPr>
        <w:t xml:space="preserve"> </w:t>
      </w:r>
      <w:r w:rsidR="00220E0E" w:rsidRPr="0077525B">
        <w:rPr>
          <w:rFonts w:ascii="Arial" w:eastAsia="Calibri" w:hAnsi="Arial" w:cs="Arial"/>
          <w:sz w:val="22"/>
          <w:lang w:val="es-ES"/>
        </w:rPr>
        <w:t xml:space="preserve"> </w:t>
      </w:r>
      <w:r w:rsidR="00EA639E" w:rsidRPr="0077525B">
        <w:rPr>
          <w:rFonts w:ascii="Arial" w:eastAsia="Calibri" w:hAnsi="Arial" w:cs="Arial"/>
          <w:sz w:val="22"/>
          <w:lang w:val="es-ES"/>
        </w:rPr>
        <w:t xml:space="preserve">Esto, incluso </w:t>
      </w:r>
      <w:r w:rsidR="009C1A06" w:rsidRPr="0077525B">
        <w:rPr>
          <w:rFonts w:ascii="Arial" w:eastAsia="Calibri" w:hAnsi="Arial" w:cs="Arial"/>
          <w:sz w:val="22"/>
          <w:lang w:val="es-ES"/>
        </w:rPr>
        <w:t>cuando se trata de proyectos de</w:t>
      </w:r>
      <w:r w:rsidR="009C1A06" w:rsidRPr="0077525B">
        <w:rPr>
          <w:rFonts w:ascii="Arial" w:eastAsia="Calibri" w:hAnsi="Arial" w:cs="Arial"/>
          <w:i/>
          <w:iCs/>
          <w:sz w:val="22"/>
          <w:lang w:val="es-ES"/>
        </w:rPr>
        <w:t xml:space="preserve"> iniciativa privada </w:t>
      </w:r>
      <w:r w:rsidR="009C1A06" w:rsidRPr="0077525B">
        <w:rPr>
          <w:rFonts w:ascii="Arial" w:eastAsia="Calibri" w:hAnsi="Arial" w:cs="Arial"/>
          <w:sz w:val="22"/>
          <w:lang w:val="es-ES"/>
        </w:rPr>
        <w:t>que</w:t>
      </w:r>
      <w:r w:rsidR="009C1A06" w:rsidRPr="0077525B">
        <w:rPr>
          <w:rFonts w:ascii="Arial" w:eastAsia="Calibri" w:hAnsi="Arial" w:cs="Arial"/>
          <w:i/>
          <w:iCs/>
          <w:sz w:val="22"/>
          <w:lang w:val="es-ES"/>
        </w:rPr>
        <w:t xml:space="preserve"> no </w:t>
      </w:r>
      <w:r w:rsidR="009C1A06" w:rsidRPr="0077525B">
        <w:rPr>
          <w:rFonts w:ascii="Arial" w:eastAsia="Calibri" w:hAnsi="Arial" w:cs="Arial"/>
          <w:sz w:val="22"/>
          <w:lang w:val="es-ES"/>
        </w:rPr>
        <w:t xml:space="preserve">requieren desembolsos </w:t>
      </w:r>
      <w:r w:rsidR="00093AE6" w:rsidRPr="0077525B">
        <w:rPr>
          <w:rFonts w:ascii="Arial" w:eastAsia="Calibri" w:hAnsi="Arial" w:cs="Arial"/>
          <w:sz w:val="22"/>
          <w:lang w:val="es-ES"/>
        </w:rPr>
        <w:t>públicos pues</w:t>
      </w:r>
      <w:r w:rsidR="004D74E1" w:rsidRPr="0077525B">
        <w:rPr>
          <w:rFonts w:ascii="Arial" w:eastAsia="Calibri" w:hAnsi="Arial" w:cs="Arial"/>
          <w:sz w:val="22"/>
          <w:lang w:val="es-ES"/>
        </w:rPr>
        <w:t xml:space="preserve"> la contratación directa</w:t>
      </w:r>
      <w:r w:rsidR="00843D0A" w:rsidRPr="0077525B">
        <w:rPr>
          <w:rFonts w:ascii="Arial" w:eastAsia="Calibri" w:hAnsi="Arial" w:cs="Arial"/>
          <w:sz w:val="22"/>
          <w:lang w:val="es-ES"/>
        </w:rPr>
        <w:t xml:space="preserve"> con el originador del proyecto</w:t>
      </w:r>
      <w:r w:rsidR="004D74E1" w:rsidRPr="0077525B">
        <w:rPr>
          <w:rFonts w:ascii="Arial" w:eastAsia="Calibri" w:hAnsi="Arial" w:cs="Arial"/>
          <w:sz w:val="22"/>
          <w:lang w:val="es-ES"/>
        </w:rPr>
        <w:t xml:space="preserve">, </w:t>
      </w:r>
      <w:r w:rsidR="007022AF" w:rsidRPr="0077525B">
        <w:rPr>
          <w:rFonts w:ascii="Arial" w:eastAsia="Calibri" w:hAnsi="Arial" w:cs="Arial"/>
          <w:sz w:val="22"/>
          <w:lang w:val="es-ES"/>
        </w:rPr>
        <w:t xml:space="preserve">procede únicamente cuando </w:t>
      </w:r>
      <w:r w:rsidR="00062EB3" w:rsidRPr="0077525B">
        <w:rPr>
          <w:rFonts w:ascii="Arial" w:eastAsia="Calibri" w:hAnsi="Arial" w:cs="Arial"/>
          <w:sz w:val="22"/>
          <w:lang w:val="es-ES"/>
        </w:rPr>
        <w:t xml:space="preserve">luego de publicado el proyecto en el SECOP-en los términos del artículo 19 de la Ley 1508 de 2012-, no existieren otros interesados en la ejecución del proyecto. </w:t>
      </w:r>
      <w:r w:rsidR="000E099A" w:rsidRPr="0077525B">
        <w:rPr>
          <w:rFonts w:ascii="Arial" w:eastAsia="Calibri" w:hAnsi="Arial" w:cs="Arial"/>
          <w:sz w:val="22"/>
          <w:lang w:val="es-ES"/>
        </w:rPr>
        <w:t xml:space="preserve">Por lo cual, es claro que </w:t>
      </w:r>
      <w:r w:rsidR="003656BD" w:rsidRPr="0077525B">
        <w:rPr>
          <w:rFonts w:ascii="Arial" w:eastAsia="Calibri" w:hAnsi="Arial" w:cs="Arial"/>
          <w:sz w:val="22"/>
          <w:lang w:val="es-ES"/>
        </w:rPr>
        <w:t xml:space="preserve">de manera previa </w:t>
      </w:r>
      <w:r w:rsidR="00916468" w:rsidRPr="0077525B">
        <w:rPr>
          <w:rFonts w:ascii="Arial" w:eastAsia="Calibri" w:hAnsi="Arial" w:cs="Arial"/>
          <w:sz w:val="22"/>
          <w:lang w:val="es-ES"/>
        </w:rPr>
        <w:t xml:space="preserve">tuvo que haberse surtido una convocatoria pública </w:t>
      </w:r>
      <w:r w:rsidR="009B2D84" w:rsidRPr="0077525B">
        <w:rPr>
          <w:rFonts w:ascii="Arial" w:eastAsia="Calibri" w:hAnsi="Arial" w:cs="Arial"/>
          <w:sz w:val="22"/>
          <w:lang w:val="es-ES"/>
        </w:rPr>
        <w:t>que implicara la participación de varios oferentes.</w:t>
      </w:r>
    </w:p>
    <w:p w14:paraId="519D5944" w14:textId="0A5065B5" w:rsidR="00CA2143" w:rsidRPr="0077525B" w:rsidRDefault="00086F4A" w:rsidP="00845FB5">
      <w:pPr>
        <w:spacing w:line="276" w:lineRule="auto"/>
        <w:ind w:firstLine="703"/>
        <w:jc w:val="both"/>
        <w:textAlignment w:val="baseline"/>
        <w:rPr>
          <w:rFonts w:ascii="Arial" w:eastAsia="Calibri" w:hAnsi="Arial" w:cs="Arial"/>
          <w:sz w:val="22"/>
          <w:szCs w:val="22"/>
          <w:lang w:val="es-MX" w:eastAsia="en-US"/>
        </w:rPr>
      </w:pPr>
      <w:r w:rsidRPr="0077525B">
        <w:rPr>
          <w:rFonts w:ascii="Arial" w:eastAsia="Calibri" w:hAnsi="Arial" w:cs="Arial"/>
          <w:sz w:val="22"/>
          <w:lang w:val="es-ES"/>
        </w:rPr>
        <w:t xml:space="preserve">Por último, se reitera que </w:t>
      </w:r>
      <w:r w:rsidRPr="0077525B">
        <w:rPr>
          <w:rFonts w:ascii="Arial" w:eastAsia="Calibri" w:hAnsi="Arial" w:cs="Arial"/>
          <w:bCs/>
          <w:color w:val="000000" w:themeColor="text1"/>
          <w:sz w:val="22"/>
          <w:lang w:val="es-ES_tradnl"/>
        </w:rPr>
        <w:t xml:space="preserve">el parágrafo del artículo 38 de la Ley 996 de 2005 prohíbe a los gobernadores, alcaldes, secretarios, gerentes y directores de Entidades Estatales del orden Municipal, Departamental o Distrital celebrar convenios o contratos interadministrativos para ejecutar recursos públicos durante los cuatro (4) meses anteriores a cualquier elección de cargos de elección popular. </w:t>
      </w:r>
      <w:r w:rsidRPr="0077525B">
        <w:rPr>
          <w:rFonts w:ascii="Arial" w:hAnsi="Arial" w:cs="Arial"/>
          <w:bCs/>
          <w:sz w:val="22"/>
          <w:lang w:eastAsia="es-CO"/>
        </w:rPr>
        <w:t>Sin embargo</w:t>
      </w:r>
      <w:r w:rsidR="00543422" w:rsidRPr="0077525B">
        <w:rPr>
          <w:rFonts w:ascii="Arial" w:hAnsi="Arial" w:cs="Arial"/>
          <w:bCs/>
          <w:sz w:val="22"/>
          <w:lang w:eastAsia="es-CO"/>
        </w:rPr>
        <w:t>, con ocasión</w:t>
      </w:r>
      <w:r w:rsidRPr="0077525B">
        <w:rPr>
          <w:rFonts w:ascii="Arial" w:hAnsi="Arial" w:cs="Arial"/>
          <w:bCs/>
          <w:sz w:val="22"/>
          <w:lang w:eastAsia="es-CO"/>
        </w:rPr>
        <w:t xml:space="preserve"> de la modificación transitoria realizada por el artículo 124 de la Ley 2159 de 2021 al primer inciso del parágrafo del artículo 38 de la Ley de Garantías Electorales, </w:t>
      </w:r>
      <w:r w:rsidR="00543422" w:rsidRPr="0077525B">
        <w:rPr>
          <w:rFonts w:ascii="Arial" w:hAnsi="Arial" w:cs="Arial"/>
          <w:bCs/>
          <w:sz w:val="22"/>
          <w:lang w:eastAsia="es-CO"/>
        </w:rPr>
        <w:t>la posibilidad de suscribir</w:t>
      </w:r>
      <w:r w:rsidRPr="0077525B">
        <w:rPr>
          <w:rFonts w:ascii="Arial" w:hAnsi="Arial" w:cs="Arial"/>
          <w:bCs/>
          <w:sz w:val="22"/>
          <w:lang w:eastAsia="es-CO"/>
        </w:rPr>
        <w:t xml:space="preserve"> convenios o contratos interadministrativos </w:t>
      </w:r>
      <w:r w:rsidR="00543422" w:rsidRPr="0077525B">
        <w:rPr>
          <w:rFonts w:ascii="Arial" w:hAnsi="Arial" w:cs="Arial"/>
          <w:bCs/>
          <w:sz w:val="22"/>
          <w:lang w:val="es-MX" w:eastAsia="es-CO"/>
        </w:rPr>
        <w:t>está sujeta a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ii) que sean celebrados entre la Nación, por una parte, y las entidades territoriales, por otra, y iii) que los convenios sean celebrados con el fin de ejecutar programas o proyectos que correspondan al Presupuesto General de la Nación.</w:t>
      </w:r>
      <w:r w:rsidR="00342445" w:rsidRPr="0077525B">
        <w:rPr>
          <w:rFonts w:ascii="Arial" w:hAnsi="Arial" w:cs="Arial"/>
          <w:bCs/>
          <w:sz w:val="22"/>
          <w:lang w:val="es-MX" w:eastAsia="es-CO"/>
        </w:rPr>
        <w:t xml:space="preserve"> </w:t>
      </w:r>
      <w:r w:rsidR="00AF2F47" w:rsidRPr="0077525B">
        <w:rPr>
          <w:rFonts w:ascii="Arial" w:hAnsi="Arial" w:cs="Arial"/>
          <w:bCs/>
          <w:sz w:val="22"/>
          <w:lang w:eastAsia="es-CO"/>
        </w:rPr>
        <w:t xml:space="preserve">De </w:t>
      </w:r>
      <w:r w:rsidR="002C4053" w:rsidRPr="0077525B">
        <w:rPr>
          <w:rFonts w:ascii="Arial" w:hAnsi="Arial" w:cs="Arial"/>
          <w:bCs/>
          <w:sz w:val="22"/>
          <w:lang w:eastAsia="es-CO"/>
        </w:rPr>
        <w:t>lo anterior</w:t>
      </w:r>
      <w:r w:rsidR="00AF2F47" w:rsidRPr="0077525B">
        <w:rPr>
          <w:rFonts w:ascii="Arial" w:hAnsi="Arial" w:cs="Arial"/>
          <w:bCs/>
          <w:sz w:val="22"/>
          <w:lang w:eastAsia="es-CO"/>
        </w:rPr>
        <w:t>,</w:t>
      </w:r>
      <w:r w:rsidR="002C4053" w:rsidRPr="0077525B">
        <w:rPr>
          <w:rFonts w:ascii="Arial" w:hAnsi="Arial" w:cs="Arial"/>
          <w:bCs/>
          <w:sz w:val="22"/>
          <w:lang w:eastAsia="es-CO"/>
        </w:rPr>
        <w:t xml:space="preserve"> es claro que</w:t>
      </w:r>
      <w:r w:rsidR="00AF2F47" w:rsidRPr="0077525B">
        <w:rPr>
          <w:rFonts w:ascii="Arial" w:hAnsi="Arial" w:cs="Arial"/>
          <w:bCs/>
          <w:sz w:val="22"/>
          <w:lang w:eastAsia="es-CO"/>
        </w:rPr>
        <w:t xml:space="preserve"> </w:t>
      </w:r>
      <w:r w:rsidR="00AF2F47" w:rsidRPr="0077525B">
        <w:rPr>
          <w:rFonts w:ascii="Arial" w:eastAsia="Calibri" w:hAnsi="Arial" w:cs="Arial"/>
          <w:sz w:val="22"/>
          <w:lang w:val="es-ES"/>
        </w:rPr>
        <w:t xml:space="preserve">la modificación </w:t>
      </w:r>
      <w:r w:rsidR="00AF2F47" w:rsidRPr="0077525B">
        <w:rPr>
          <w:rFonts w:ascii="Arial" w:eastAsia="Calibri" w:hAnsi="Arial" w:cs="Arial"/>
          <w:sz w:val="22"/>
        </w:rPr>
        <w:t xml:space="preserve">del artículo 124 de la Ley 2159 de 2021 al </w:t>
      </w:r>
      <w:r w:rsidR="00AF2F47" w:rsidRPr="0077525B">
        <w:rPr>
          <w:rFonts w:ascii="Arial" w:eastAsia="Calibri" w:hAnsi="Arial" w:cs="Arial"/>
          <w:sz w:val="22"/>
          <w:szCs w:val="22"/>
          <w:lang w:eastAsia="en-US"/>
        </w:rPr>
        <w:t>parágrafo del artículo 38 de la Ley 996 de 2005 no result</w:t>
      </w:r>
      <w:r w:rsidR="002C4053" w:rsidRPr="0077525B">
        <w:rPr>
          <w:rFonts w:ascii="Arial" w:eastAsia="Calibri" w:hAnsi="Arial" w:cs="Arial"/>
          <w:sz w:val="22"/>
          <w:szCs w:val="22"/>
          <w:lang w:eastAsia="en-US"/>
        </w:rPr>
        <w:t>a</w:t>
      </w:r>
      <w:r w:rsidR="00AF2F47" w:rsidRPr="0077525B">
        <w:rPr>
          <w:rFonts w:ascii="Arial" w:eastAsia="Calibri" w:hAnsi="Arial" w:cs="Arial"/>
          <w:sz w:val="22"/>
          <w:szCs w:val="22"/>
          <w:lang w:eastAsia="en-US"/>
        </w:rPr>
        <w:t xml:space="preserve"> aplicable para el caso objeto de consulta. </w:t>
      </w:r>
    </w:p>
    <w:p w14:paraId="5E16EE23" w14:textId="77777777" w:rsidR="00230416" w:rsidRPr="0077525B" w:rsidRDefault="00230416" w:rsidP="009C3282">
      <w:pPr>
        <w:spacing w:line="276" w:lineRule="auto"/>
        <w:jc w:val="both"/>
        <w:rPr>
          <w:rFonts w:ascii="Arial" w:hAnsi="Arial" w:cs="Arial"/>
          <w:sz w:val="22"/>
          <w:lang w:val="es-ES"/>
        </w:rPr>
      </w:pPr>
    </w:p>
    <w:p w14:paraId="70481CDA" w14:textId="38F6FC44" w:rsidR="00970A78" w:rsidRPr="0077525B" w:rsidRDefault="009C3282" w:rsidP="00A255C9">
      <w:pPr>
        <w:spacing w:line="276" w:lineRule="auto"/>
        <w:rPr>
          <w:rFonts w:ascii="Arial" w:hAnsi="Arial" w:cs="Arial"/>
          <w:sz w:val="22"/>
          <w:lang w:val="es-ES_tradnl"/>
        </w:rPr>
      </w:pPr>
      <w:r w:rsidRPr="0077525B">
        <w:rPr>
          <w:rFonts w:ascii="Arial" w:hAnsi="Arial" w:cs="Arial"/>
          <w:sz w:val="22"/>
          <w:lang w:val="es-ES_tradnl"/>
        </w:rPr>
        <w:t>Este concepto tiene el alcance previsto en el artículo 28 del Código de Procedimiento</w:t>
      </w:r>
      <w:r w:rsidR="00586BBA" w:rsidRPr="0077525B">
        <w:rPr>
          <w:rFonts w:ascii="Arial" w:hAnsi="Arial" w:cs="Arial"/>
          <w:sz w:val="22"/>
          <w:lang w:val="es-ES_tradnl"/>
        </w:rPr>
        <w:t xml:space="preserve"> </w:t>
      </w:r>
      <w:r w:rsidRPr="0077525B">
        <w:rPr>
          <w:rFonts w:ascii="Arial" w:hAnsi="Arial" w:cs="Arial"/>
          <w:sz w:val="22"/>
          <w:lang w:val="es-ES_tradnl"/>
        </w:rPr>
        <w:t>Administrativo y de lo Contencioso Administrativo.</w:t>
      </w:r>
    </w:p>
    <w:p w14:paraId="74593E89" w14:textId="1EC0F7CC" w:rsidR="00970A78" w:rsidRPr="0077525B" w:rsidRDefault="00970A78" w:rsidP="00970A78">
      <w:pPr>
        <w:spacing w:line="276" w:lineRule="auto"/>
        <w:rPr>
          <w:rFonts w:ascii="Arial" w:hAnsi="Arial" w:cs="Arial"/>
          <w:sz w:val="22"/>
          <w:lang w:val="es-ES_tradnl"/>
        </w:rPr>
      </w:pPr>
    </w:p>
    <w:p w14:paraId="6BEF017B" w14:textId="2A91AB1E" w:rsidR="00970A78" w:rsidRPr="0077525B" w:rsidRDefault="00970A78" w:rsidP="00970A78">
      <w:pPr>
        <w:spacing w:line="276" w:lineRule="auto"/>
        <w:rPr>
          <w:rFonts w:ascii="Arial" w:hAnsi="Arial" w:cs="Arial"/>
          <w:sz w:val="22"/>
          <w:lang w:val="es-ES_tradnl" w:eastAsia="es-CO"/>
        </w:rPr>
      </w:pPr>
      <w:r w:rsidRPr="0077525B">
        <w:rPr>
          <w:rFonts w:ascii="Arial" w:hAnsi="Arial" w:cs="Arial"/>
          <w:sz w:val="22"/>
          <w:lang w:val="es-ES_tradnl"/>
        </w:rPr>
        <w:lastRenderedPageBreak/>
        <w:t>Atentamente</w:t>
      </w:r>
    </w:p>
    <w:p w14:paraId="1987CD82" w14:textId="37330A68" w:rsidR="00970A78" w:rsidRPr="0077525B" w:rsidRDefault="00970A78" w:rsidP="00970A78">
      <w:pPr>
        <w:spacing w:line="276" w:lineRule="auto"/>
        <w:jc w:val="center"/>
      </w:pPr>
    </w:p>
    <w:p w14:paraId="02514044" w14:textId="1809635E" w:rsidR="00970A78" w:rsidRPr="0077525B" w:rsidRDefault="00CC4F51" w:rsidP="00970A78">
      <w:pPr>
        <w:jc w:val="center"/>
        <w:rPr>
          <w:rFonts w:ascii="Arial" w:hAnsi="Arial" w:cs="Arial"/>
          <w:noProof/>
          <w:sz w:val="18"/>
          <w:szCs w:val="20"/>
          <w:lang w:val="es-ES_tradnl" w:eastAsia="es-CO"/>
        </w:rPr>
      </w:pPr>
      <w:r>
        <w:rPr>
          <w:rFonts w:ascii="Arial" w:hAnsi="Arial" w:cs="Arial"/>
          <w:b/>
          <w:bCs/>
          <w:noProof/>
          <w:sz w:val="22"/>
          <w:lang w:eastAsia="es-CO"/>
        </w:rPr>
        <w:drawing>
          <wp:inline distT="0" distB="0" distL="0" distR="0" wp14:anchorId="3B35CAD1" wp14:editId="19B27A36">
            <wp:extent cx="2517775" cy="1115695"/>
            <wp:effectExtent l="0" t="0" r="0" b="825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1115695"/>
                    </a:xfrm>
                    <a:prstGeom prst="rect">
                      <a:avLst/>
                    </a:prstGeom>
                    <a:noFill/>
                  </pic:spPr>
                </pic:pic>
              </a:graphicData>
            </a:graphic>
          </wp:inline>
        </w:drawing>
      </w:r>
    </w:p>
    <w:p w14:paraId="021B2FB9" w14:textId="77777777" w:rsidR="00970A78" w:rsidRPr="0077525B" w:rsidRDefault="00970A78" w:rsidP="00970A78">
      <w:pPr>
        <w:jc w:val="center"/>
        <w:rPr>
          <w:rFonts w:ascii="Arial" w:hAnsi="Arial" w:cs="Arial"/>
          <w:noProof/>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5F1698" w:rsidRPr="0077525B" w14:paraId="7F15B1AE" w14:textId="77777777" w:rsidTr="005F1698">
        <w:trPr>
          <w:trHeight w:val="315"/>
        </w:trPr>
        <w:tc>
          <w:tcPr>
            <w:tcW w:w="1044" w:type="dxa"/>
            <w:vAlign w:val="center"/>
          </w:tcPr>
          <w:p w14:paraId="7CBF4786" w14:textId="71ACF59B" w:rsidR="005F1698" w:rsidRPr="0077525B" w:rsidRDefault="005F1698" w:rsidP="00117736">
            <w:pPr>
              <w:rPr>
                <w:rFonts w:ascii="Arial" w:hAnsi="Arial" w:cs="Arial"/>
                <w:noProof/>
                <w:sz w:val="16"/>
                <w:szCs w:val="16"/>
                <w:lang w:val="es-ES_tradnl" w:eastAsia="es-ES"/>
              </w:rPr>
            </w:pPr>
            <w:r w:rsidRPr="0077525B">
              <w:rPr>
                <w:rFonts w:ascii="Arial" w:hAnsi="Arial" w:cs="Arial"/>
                <w:noProof/>
                <w:sz w:val="16"/>
                <w:szCs w:val="16"/>
                <w:lang w:val="es-ES_tradnl" w:eastAsia="es-ES"/>
              </w:rPr>
              <w:t>Elabor</w:t>
            </w:r>
            <w:r w:rsidR="0065571E" w:rsidRPr="0077525B">
              <w:rPr>
                <w:rFonts w:ascii="Arial" w:hAnsi="Arial" w:cs="Arial"/>
                <w:noProof/>
                <w:sz w:val="16"/>
                <w:szCs w:val="16"/>
                <w:lang w:val="es-ES_tradnl" w:eastAsia="es-ES"/>
              </w:rPr>
              <w:t>ó</w:t>
            </w:r>
            <w:r w:rsidRPr="0077525B">
              <w:rPr>
                <w:rFonts w:ascii="Arial" w:hAnsi="Arial" w:cs="Arial"/>
                <w:noProof/>
                <w:sz w:val="16"/>
                <w:szCs w:val="16"/>
                <w:lang w:val="es-ES_tradnl" w:eastAsia="es-ES"/>
              </w:rPr>
              <w:t>:</w:t>
            </w:r>
          </w:p>
        </w:tc>
        <w:tc>
          <w:tcPr>
            <w:tcW w:w="4413" w:type="dxa"/>
            <w:tcBorders>
              <w:top w:val="nil"/>
              <w:left w:val="nil"/>
              <w:bottom w:val="dotted" w:sz="4" w:space="0" w:color="7F7F7F" w:themeColor="text1" w:themeTint="80"/>
              <w:right w:val="nil"/>
            </w:tcBorders>
            <w:vAlign w:val="center"/>
          </w:tcPr>
          <w:p w14:paraId="5A615387" w14:textId="3A8C837C" w:rsidR="005F1698" w:rsidRPr="0077525B" w:rsidRDefault="0065571E" w:rsidP="00117736">
            <w:pPr>
              <w:rPr>
                <w:rFonts w:ascii="Arial" w:hAnsi="Arial" w:cs="Arial"/>
                <w:noProof/>
                <w:sz w:val="16"/>
                <w:szCs w:val="16"/>
                <w:lang w:val="es-ES_tradnl" w:eastAsia="es-ES"/>
              </w:rPr>
            </w:pPr>
            <w:r w:rsidRPr="0077525B">
              <w:rPr>
                <w:rFonts w:ascii="Arial" w:hAnsi="Arial" w:cs="Arial"/>
                <w:noProof/>
                <w:sz w:val="16"/>
                <w:szCs w:val="16"/>
                <w:lang w:val="es-ES_tradnl" w:eastAsia="es-ES"/>
              </w:rPr>
              <w:t>Laura Alejandra Materón García</w:t>
            </w:r>
          </w:p>
          <w:p w14:paraId="5127CDF9" w14:textId="01DC66A2" w:rsidR="005F1698" w:rsidRPr="0077525B" w:rsidRDefault="0065571E" w:rsidP="00117736">
            <w:pPr>
              <w:rPr>
                <w:rFonts w:ascii="Arial" w:hAnsi="Arial" w:cs="Arial"/>
                <w:noProof/>
                <w:sz w:val="16"/>
                <w:szCs w:val="16"/>
                <w:lang w:val="es-ES_tradnl" w:eastAsia="es-ES"/>
              </w:rPr>
            </w:pPr>
            <w:r w:rsidRPr="0077525B">
              <w:rPr>
                <w:rFonts w:ascii="Arial" w:hAnsi="Arial" w:cs="Arial"/>
                <w:noProof/>
                <w:sz w:val="16"/>
                <w:szCs w:val="16"/>
                <w:lang w:val="es-ES_tradnl" w:eastAsia="es-ES"/>
              </w:rPr>
              <w:t>Analista T2-01</w:t>
            </w:r>
            <w:r w:rsidR="005F1698" w:rsidRPr="0077525B">
              <w:rPr>
                <w:rFonts w:ascii="Arial" w:hAnsi="Arial" w:cs="Arial"/>
                <w:noProof/>
                <w:sz w:val="16"/>
                <w:szCs w:val="16"/>
                <w:lang w:val="es-ES_tradnl" w:eastAsia="es-ES"/>
              </w:rPr>
              <w:t xml:space="preserve"> de la Subdirección de Gestión Contractual</w:t>
            </w:r>
          </w:p>
        </w:tc>
      </w:tr>
      <w:tr w:rsidR="0097219D" w:rsidRPr="0077525B" w14:paraId="6A218928" w14:textId="77777777" w:rsidTr="005F1698">
        <w:trPr>
          <w:trHeight w:val="330"/>
        </w:trPr>
        <w:tc>
          <w:tcPr>
            <w:tcW w:w="1044" w:type="dxa"/>
            <w:vAlign w:val="center"/>
            <w:hideMark/>
          </w:tcPr>
          <w:p w14:paraId="0978B091" w14:textId="77777777" w:rsidR="00970A78" w:rsidRPr="0077525B" w:rsidRDefault="00970A78" w:rsidP="00117736">
            <w:pPr>
              <w:rPr>
                <w:rFonts w:ascii="Arial" w:hAnsi="Arial" w:cs="Arial"/>
                <w:noProof/>
                <w:sz w:val="16"/>
                <w:szCs w:val="16"/>
                <w:lang w:val="es-ES_tradnl" w:eastAsia="es-ES"/>
              </w:rPr>
            </w:pPr>
            <w:r w:rsidRPr="0077525B">
              <w:rPr>
                <w:rFonts w:ascii="Arial" w:hAnsi="Arial" w:cs="Arial"/>
                <w:noProof/>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B7FF261" w14:textId="77777777" w:rsidR="0065571E" w:rsidRPr="0077525B" w:rsidRDefault="0065571E" w:rsidP="0065571E">
            <w:pPr>
              <w:rPr>
                <w:rFonts w:ascii="Arial" w:hAnsi="Arial" w:cs="Arial"/>
                <w:noProof/>
                <w:sz w:val="16"/>
                <w:szCs w:val="16"/>
                <w:lang w:val="es-ES_tradnl" w:eastAsia="es-ES"/>
              </w:rPr>
            </w:pPr>
            <w:r w:rsidRPr="0077525B">
              <w:rPr>
                <w:rFonts w:ascii="Arial" w:hAnsi="Arial" w:cs="Arial"/>
                <w:noProof/>
                <w:sz w:val="16"/>
                <w:szCs w:val="16"/>
                <w:lang w:val="es-ES_tradnl" w:eastAsia="es-ES"/>
              </w:rPr>
              <w:t>Alejandro Sarmiento Cantillo</w:t>
            </w:r>
          </w:p>
          <w:p w14:paraId="6FA00D0C" w14:textId="2E6902B9" w:rsidR="00970A78" w:rsidRPr="0077525B" w:rsidRDefault="0065571E" w:rsidP="0065571E">
            <w:pPr>
              <w:rPr>
                <w:rFonts w:ascii="Arial" w:hAnsi="Arial" w:cs="Arial"/>
                <w:noProof/>
                <w:sz w:val="16"/>
                <w:szCs w:val="16"/>
                <w:lang w:val="es-ES_tradnl" w:eastAsia="es-ES"/>
              </w:rPr>
            </w:pPr>
            <w:r w:rsidRPr="0077525B">
              <w:rPr>
                <w:rFonts w:ascii="Arial" w:hAnsi="Arial" w:cs="Arial"/>
                <w:noProof/>
                <w:sz w:val="16"/>
                <w:szCs w:val="16"/>
                <w:lang w:val="es-ES_tradnl" w:eastAsia="es-ES"/>
              </w:rPr>
              <w:t>Gestor T1-15 de la Subdirección de Gestión Contractual</w:t>
            </w:r>
          </w:p>
        </w:tc>
      </w:tr>
      <w:tr w:rsidR="0097219D" w:rsidRPr="0097219D" w14:paraId="7DE3FB2C" w14:textId="77777777" w:rsidTr="005F1698">
        <w:trPr>
          <w:trHeight w:val="300"/>
        </w:trPr>
        <w:tc>
          <w:tcPr>
            <w:tcW w:w="1044" w:type="dxa"/>
            <w:vAlign w:val="center"/>
            <w:hideMark/>
          </w:tcPr>
          <w:p w14:paraId="2397B0DB" w14:textId="77777777" w:rsidR="00970A78" w:rsidRPr="0077525B" w:rsidRDefault="00970A78" w:rsidP="00117736">
            <w:pPr>
              <w:rPr>
                <w:rFonts w:ascii="Arial" w:hAnsi="Arial" w:cs="Arial"/>
                <w:noProof/>
                <w:sz w:val="16"/>
                <w:szCs w:val="16"/>
                <w:lang w:val="es-ES_tradnl" w:eastAsia="es-ES"/>
              </w:rPr>
            </w:pPr>
            <w:r w:rsidRPr="0077525B">
              <w:rPr>
                <w:rFonts w:ascii="Arial" w:hAnsi="Arial" w:cs="Arial"/>
                <w:noProof/>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D687590" w14:textId="77777777" w:rsidR="00970A78" w:rsidRPr="0077525B" w:rsidRDefault="00970A78" w:rsidP="00117736">
            <w:pPr>
              <w:rPr>
                <w:rFonts w:ascii="Arial" w:hAnsi="Arial" w:cs="Arial"/>
                <w:noProof/>
                <w:sz w:val="16"/>
                <w:szCs w:val="16"/>
                <w:lang w:val="es-ES_tradnl" w:eastAsia="es-ES"/>
              </w:rPr>
            </w:pPr>
            <w:r w:rsidRPr="0077525B">
              <w:rPr>
                <w:rFonts w:ascii="Arial" w:hAnsi="Arial" w:cs="Arial"/>
                <w:noProof/>
                <w:sz w:val="16"/>
                <w:szCs w:val="16"/>
                <w:lang w:val="es-ES_tradnl" w:eastAsia="es-ES"/>
              </w:rPr>
              <w:t>Jorge Augusto Tirado Navarro</w:t>
            </w:r>
          </w:p>
          <w:p w14:paraId="7B72CB08" w14:textId="77777777" w:rsidR="00970A78" w:rsidRPr="0097219D" w:rsidRDefault="00970A78" w:rsidP="00117736">
            <w:pPr>
              <w:rPr>
                <w:rFonts w:ascii="Arial" w:hAnsi="Arial" w:cs="Arial"/>
                <w:noProof/>
                <w:sz w:val="16"/>
                <w:szCs w:val="16"/>
                <w:lang w:val="es-ES_tradnl" w:eastAsia="es-ES"/>
              </w:rPr>
            </w:pPr>
            <w:r w:rsidRPr="0077525B">
              <w:rPr>
                <w:rFonts w:ascii="Arial" w:hAnsi="Arial" w:cs="Arial"/>
                <w:noProof/>
                <w:sz w:val="16"/>
                <w:szCs w:val="16"/>
                <w:lang w:val="es-ES_tradnl" w:eastAsia="es-ES"/>
              </w:rPr>
              <w:t>Subdirector de Gestión Contractual</w:t>
            </w:r>
          </w:p>
        </w:tc>
      </w:tr>
    </w:tbl>
    <w:p w14:paraId="2E27BE32" w14:textId="77777777" w:rsidR="00970A78" w:rsidRPr="0097219D" w:rsidRDefault="00970A78" w:rsidP="00970A78">
      <w:pPr>
        <w:rPr>
          <w:rFonts w:ascii="Arial" w:hAnsi="Arial" w:cs="Arial"/>
          <w:noProof/>
          <w:lang w:val="es-ES_tradnl"/>
        </w:rPr>
      </w:pPr>
    </w:p>
    <w:p w14:paraId="45B85DB4" w14:textId="77777777" w:rsidR="00970A78" w:rsidRPr="0097219D" w:rsidRDefault="00970A78" w:rsidP="00970A78">
      <w:pPr>
        <w:rPr>
          <w:noProof/>
          <w:lang w:val="es-ES_tradnl"/>
        </w:rPr>
      </w:pPr>
    </w:p>
    <w:p w14:paraId="6880CD54" w14:textId="4CEF9E8D" w:rsidR="009C3282" w:rsidRPr="0097219D" w:rsidRDefault="009C3282" w:rsidP="00970A78">
      <w:pPr>
        <w:spacing w:line="276" w:lineRule="auto"/>
        <w:jc w:val="both"/>
        <w:rPr>
          <w:rFonts w:ascii="Arial" w:hAnsi="Arial" w:cs="Arial"/>
          <w:lang w:val="es-ES_tradnl"/>
        </w:rPr>
      </w:pPr>
    </w:p>
    <w:p w14:paraId="6AA3A7AD" w14:textId="71F205B6" w:rsidR="00204109" w:rsidRPr="0097219D" w:rsidRDefault="00204109"/>
    <w:sectPr w:rsidR="00204109" w:rsidRPr="0097219D" w:rsidSect="00F069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AE2A" w14:textId="77777777" w:rsidR="002437DE" w:rsidRDefault="002437DE" w:rsidP="009C3282">
      <w:r>
        <w:separator/>
      </w:r>
    </w:p>
  </w:endnote>
  <w:endnote w:type="continuationSeparator" w:id="0">
    <w:p w14:paraId="7C2E9B9D" w14:textId="77777777" w:rsidR="002437DE" w:rsidRDefault="002437DE" w:rsidP="009C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Condensed">
    <w:altName w:val="Sylfaen"/>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5859" w14:textId="77777777" w:rsidR="00F0698C" w:rsidRDefault="00F0698C" w:rsidP="00F0698C">
    <w:pPr>
      <w:pStyle w:val="Sinespaciado"/>
      <w:jc w:val="right"/>
      <w:rPr>
        <w:rFonts w:ascii="Arial" w:hAnsi="Arial" w:cs="Arial"/>
        <w:sz w:val="18"/>
        <w:szCs w:val="18"/>
      </w:rPr>
    </w:pPr>
  </w:p>
  <w:p w14:paraId="73854DA2" w14:textId="77777777" w:rsidR="00F0698C" w:rsidRPr="008217B7" w:rsidRDefault="00F0698C" w:rsidP="00F069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5C003111" w14:textId="77777777" w:rsidR="00F0698C" w:rsidRDefault="00F0698C" w:rsidP="00F0698C">
    <w:pPr>
      <w:pStyle w:val="Piedepgina"/>
      <w:jc w:val="center"/>
      <w:rPr>
        <w:lang w:val="es-ES"/>
      </w:rPr>
    </w:pPr>
    <w:r>
      <w:rPr>
        <w:noProof/>
        <w:lang w:val="es-ES_tradnl" w:eastAsia="es-ES_tradnl"/>
      </w:rPr>
      <w:drawing>
        <wp:inline distT="0" distB="0" distL="0" distR="0" wp14:anchorId="6B5ACDA0" wp14:editId="158F681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0E6744B4" w14:textId="77777777" w:rsidR="00F0698C" w:rsidRDefault="00F0698C" w:rsidP="00F0698C">
    <w:pPr>
      <w:pStyle w:val="Piedepgina"/>
      <w:jc w:val="center"/>
      <w:rPr>
        <w:lang w:val="es-ES"/>
      </w:rPr>
    </w:pPr>
  </w:p>
  <w:p w14:paraId="2AC3539B" w14:textId="77777777" w:rsidR="00F0698C" w:rsidRPr="007B0854" w:rsidRDefault="00F0698C" w:rsidP="00F0698C">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473B" w14:textId="77777777" w:rsidR="002437DE" w:rsidRDefault="002437DE" w:rsidP="009C3282">
      <w:r>
        <w:separator/>
      </w:r>
    </w:p>
  </w:footnote>
  <w:footnote w:type="continuationSeparator" w:id="0">
    <w:p w14:paraId="66494957" w14:textId="77777777" w:rsidR="002437DE" w:rsidRDefault="002437DE" w:rsidP="009C3282">
      <w:r>
        <w:continuationSeparator/>
      </w:r>
    </w:p>
  </w:footnote>
  <w:footnote w:id="1">
    <w:p w14:paraId="01188A6E" w14:textId="77777777" w:rsidR="001B012F" w:rsidRPr="00834286" w:rsidRDefault="001B012F" w:rsidP="007731BF">
      <w:pPr>
        <w:pStyle w:val="Textonotapie"/>
        <w:ind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footnote>
  <w:footnote w:id="2">
    <w:p w14:paraId="4DAC0353" w14:textId="77777777" w:rsidR="00F0698C" w:rsidRPr="00834286" w:rsidRDefault="00F0698C" w:rsidP="00077759">
      <w:pPr>
        <w:pStyle w:val="Textonotapie"/>
        <w:ind w:firstLine="709"/>
        <w:jc w:val="both"/>
        <w:rPr>
          <w:rFonts w:ascii="Arial" w:hAnsi="Arial" w:cs="Arial"/>
          <w:sz w:val="19"/>
          <w:szCs w:val="19"/>
          <w:lang w:val="pt-BR"/>
        </w:rPr>
      </w:pPr>
      <w:r w:rsidRPr="00834286">
        <w:rPr>
          <w:rStyle w:val="Refdenotaalpie"/>
          <w:rFonts w:ascii="Arial" w:hAnsi="Arial" w:cs="Arial"/>
          <w:sz w:val="19"/>
          <w:szCs w:val="19"/>
        </w:rPr>
        <w:footnoteRef/>
      </w:r>
      <w:r w:rsidRPr="00834286">
        <w:rPr>
          <w:rFonts w:ascii="Arial" w:hAnsi="Arial" w:cs="Arial"/>
          <w:sz w:val="19"/>
          <w:szCs w:val="19"/>
          <w:lang w:val="pt-BR"/>
        </w:rPr>
        <w:t xml:space="preserve"> Sentencia C-595 de 2014. M.P. Jorge Ignacio Pretelt Chaljub. </w:t>
      </w:r>
    </w:p>
    <w:p w14:paraId="5B08785E" w14:textId="77777777" w:rsidR="00F0698C" w:rsidRPr="00834286" w:rsidRDefault="00F0698C" w:rsidP="00077759">
      <w:pPr>
        <w:pStyle w:val="Textonotapie"/>
        <w:ind w:firstLine="709"/>
        <w:jc w:val="both"/>
        <w:rPr>
          <w:rFonts w:ascii="Arial" w:hAnsi="Arial" w:cs="Arial"/>
          <w:sz w:val="19"/>
          <w:szCs w:val="19"/>
          <w:lang w:val="pt-BR"/>
        </w:rPr>
      </w:pPr>
    </w:p>
  </w:footnote>
  <w:footnote w:id="3">
    <w:p w14:paraId="38574831" w14:textId="5F88EEFC" w:rsidR="00F0698C" w:rsidRDefault="00F0698C" w:rsidP="00077759">
      <w:pPr>
        <w:pStyle w:val="Textonotapie"/>
        <w:ind w:firstLine="709"/>
        <w:jc w:val="both"/>
        <w:rPr>
          <w:rFonts w:ascii="Arial" w:hAnsi="Arial" w:cs="Arial"/>
          <w:sz w:val="19"/>
          <w:szCs w:val="19"/>
          <w:lang w:val="es-ES_tradnl"/>
        </w:rPr>
      </w:pPr>
      <w:r w:rsidRPr="00834286">
        <w:rPr>
          <w:rStyle w:val="Refdenotaalpie"/>
          <w:rFonts w:ascii="Arial" w:hAnsi="Arial" w:cs="Arial"/>
          <w:sz w:val="19"/>
          <w:szCs w:val="19"/>
          <w:lang w:val="es-ES_tradnl"/>
        </w:rPr>
        <w:footnoteRef/>
      </w:r>
      <w:r w:rsidRPr="00834286">
        <w:rPr>
          <w:rFonts w:ascii="Arial" w:hAnsi="Arial" w:cs="Arial"/>
          <w:sz w:val="19"/>
          <w:szCs w:val="19"/>
          <w:lang w:val="es-ES_tradnl"/>
        </w:rPr>
        <w:t xml:space="preserve"> La doctrina ha señalado que «[…] durante la década de los ochenta y de los noventa, las más variadas instituciones anglosajonas empiezan a proponer toda una serie de definiciones de la citada colaboración público privada (o en términos anglosajones </w:t>
      </w:r>
      <w:r w:rsidRPr="00834286">
        <w:rPr>
          <w:rFonts w:ascii="Arial" w:hAnsi="Arial" w:cs="Arial"/>
          <w:i/>
          <w:iCs/>
          <w:sz w:val="19"/>
          <w:szCs w:val="19"/>
          <w:lang w:val="es-ES_tradnl"/>
        </w:rPr>
        <w:t>public private partnerships –</w:t>
      </w:r>
      <w:r w:rsidRPr="00834286">
        <w:rPr>
          <w:rFonts w:ascii="Arial" w:hAnsi="Arial" w:cs="Arial"/>
          <w:sz w:val="19"/>
          <w:szCs w:val="19"/>
          <w:lang w:val="es-ES_tradnl"/>
        </w:rPr>
        <w:t>PPP–, en adelante), para hacer referencia a una amplia gama de operaciones, técnicas y metodologías aglutinadas bajo un enfoque o idea común: incentivar el interés particular en la ejecución de cometidos públicos asumiendo los riesgos inherentes a dicha ejecución, de modo que cada sector aporta sus recursos y conocimientos con el fin de acometer la construcción de una infraestructura o la gestión de un servicio público de la manera más eficiente posible» (HERNANDO RYDINGS, María. La colaboración público privada. Fórmulas contractuales. Madrid: Civitas. pp. 37-38).</w:t>
      </w:r>
    </w:p>
    <w:p w14:paraId="2345249F" w14:textId="77777777" w:rsidR="003C5EDA" w:rsidRPr="00834286" w:rsidRDefault="003C5EDA" w:rsidP="00077759">
      <w:pPr>
        <w:pStyle w:val="Textonotapie"/>
        <w:ind w:firstLine="709"/>
        <w:jc w:val="both"/>
        <w:rPr>
          <w:rFonts w:ascii="Arial" w:hAnsi="Arial" w:cs="Arial"/>
          <w:sz w:val="19"/>
          <w:szCs w:val="19"/>
          <w:lang w:val="es-ES_tradnl"/>
        </w:rPr>
      </w:pPr>
    </w:p>
  </w:footnote>
  <w:footnote w:id="4">
    <w:p w14:paraId="53FB0B10" w14:textId="3484FAA2" w:rsidR="00F0698C" w:rsidRDefault="00F0698C" w:rsidP="00077759">
      <w:pPr>
        <w:pStyle w:val="Textonotapie"/>
        <w:ind w:firstLine="709"/>
        <w:jc w:val="both"/>
        <w:rPr>
          <w:rFonts w:ascii="Arial" w:hAnsi="Arial" w:cs="Arial"/>
          <w:sz w:val="19"/>
          <w:szCs w:val="19"/>
          <w:lang w:val="es-ES"/>
        </w:rPr>
      </w:pPr>
      <w:r w:rsidRPr="00834286">
        <w:rPr>
          <w:rStyle w:val="Refdenotaalpie"/>
          <w:rFonts w:ascii="Arial" w:hAnsi="Arial" w:cs="Arial"/>
          <w:sz w:val="19"/>
          <w:szCs w:val="19"/>
        </w:rPr>
        <w:footnoteRef/>
      </w:r>
      <w:r w:rsidRPr="00834286">
        <w:rPr>
          <w:rFonts w:ascii="Arial" w:hAnsi="Arial" w:cs="Arial"/>
          <w:sz w:val="19"/>
          <w:szCs w:val="19"/>
        </w:rPr>
        <w:t xml:space="preserve"> </w:t>
      </w:r>
      <w:r w:rsidRPr="00834286">
        <w:rPr>
          <w:rFonts w:ascii="Arial" w:hAnsi="Arial" w:cs="Arial"/>
          <w:sz w:val="19"/>
          <w:szCs w:val="19"/>
          <w:lang w:val="es-ES"/>
        </w:rPr>
        <w:t xml:space="preserve">BENAVIDES, José Luis. Presentación. En: BENAVIDES, José Luis (compilador). Estudio sobre el régimen jurídico de las asociaciones público-privadas. Bogotá: Universidad Externado de Colombia, 2014, p. 13. </w:t>
      </w:r>
    </w:p>
    <w:p w14:paraId="6C8FF1B7" w14:textId="77777777" w:rsidR="006C641E" w:rsidRPr="00834286" w:rsidRDefault="006C641E" w:rsidP="00077759">
      <w:pPr>
        <w:pStyle w:val="Textonotapie"/>
        <w:ind w:firstLine="709"/>
        <w:jc w:val="both"/>
        <w:rPr>
          <w:rFonts w:ascii="Arial" w:hAnsi="Arial" w:cs="Arial"/>
          <w:sz w:val="19"/>
          <w:szCs w:val="19"/>
          <w:lang w:val="es-ES"/>
        </w:rPr>
      </w:pPr>
    </w:p>
  </w:footnote>
  <w:footnote w:id="5">
    <w:p w14:paraId="60E43CDA" w14:textId="77777777" w:rsidR="00F0698C" w:rsidRPr="00834286" w:rsidRDefault="00F0698C" w:rsidP="00077759">
      <w:pPr>
        <w:pStyle w:val="Textonotapie"/>
        <w:ind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Consejo de Estado. Sala de Consulta y Servicio Civil. Concepto del 8 de mayo de 2018. Número único: 11001-03-06-000-2018-00095-00. Radicación interna: 2382</w:t>
      </w:r>
    </w:p>
  </w:footnote>
  <w:footnote w:id="6">
    <w:p w14:paraId="7E5280D2" w14:textId="77777777" w:rsidR="002F4CB6" w:rsidRPr="00834286" w:rsidRDefault="002F4CB6" w:rsidP="00077759">
      <w:pPr>
        <w:pStyle w:val="NormalWeb"/>
        <w:spacing w:before="0" w:beforeAutospacing="0" w:after="0" w:afterAutospacing="0"/>
        <w:jc w:val="both"/>
        <w:rPr>
          <w:rFonts w:ascii="Arial" w:hAnsi="Arial" w:cs="Arial"/>
          <w:sz w:val="19"/>
          <w:szCs w:val="19"/>
        </w:rPr>
      </w:pPr>
    </w:p>
    <w:p w14:paraId="6C69226D" w14:textId="0EFF970D" w:rsidR="00F0698C" w:rsidRPr="00834286" w:rsidRDefault="00F0698C" w:rsidP="00077759">
      <w:pPr>
        <w:pStyle w:val="NormalWeb"/>
        <w:spacing w:before="0" w:beforeAutospacing="0" w:after="0" w:afterAutospacing="0"/>
        <w:ind w:firstLine="708"/>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Ley 1508 de 2012 «Artículo 8o. Participación de entidades de naturaleza pública o mixta. Para la celebración y ejecución de contratos o convenios interadministrativos regidos por la Ley 80 de 1993, 1150 de 2007 y 489 de 1998, que tengan por objeto el desarrollo de esquemas de asociación público privada, las entidades estatales deberán cumplir con los procedimientos de estructuración, aprobación y gestión contractual previstos en la presente ley, sin desconocer el régimen de inhabilidades e incompatibilidades previstas en la ley.</w:t>
      </w:r>
    </w:p>
    <w:p w14:paraId="68C10C88" w14:textId="6A51E4D5" w:rsidR="00F0698C" w:rsidRPr="00834286" w:rsidRDefault="00F0698C" w:rsidP="00077759">
      <w:pPr>
        <w:pStyle w:val="NormalWeb"/>
        <w:spacing w:before="0" w:beforeAutospacing="0" w:after="0" w:afterAutospacing="0"/>
        <w:ind w:firstLine="708"/>
        <w:jc w:val="both"/>
        <w:rPr>
          <w:rFonts w:ascii="Arial" w:hAnsi="Arial" w:cs="Arial"/>
          <w:sz w:val="19"/>
          <w:szCs w:val="19"/>
        </w:rPr>
      </w:pPr>
      <w:r w:rsidRPr="00834286">
        <w:rPr>
          <w:rStyle w:val="baj"/>
          <w:rFonts w:ascii="Arial" w:hAnsi="Arial" w:cs="Arial"/>
          <w:sz w:val="19"/>
          <w:szCs w:val="19"/>
        </w:rPr>
        <w:t>»Parágrafo.</w:t>
      </w:r>
      <w:r w:rsidRPr="00834286">
        <w:rPr>
          <w:rFonts w:ascii="Arial" w:hAnsi="Arial" w:cs="Arial"/>
          <w:sz w:val="19"/>
          <w:szCs w:val="19"/>
        </w:rPr>
        <w:t xml:space="preserve"> Podrán ser contratantes de esquemas de Asociación Público- Privada bajo el régimen previsto en la presente ley,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y las empresas de servicios públicos domiciliarios oficiales o mixtas.</w:t>
      </w:r>
    </w:p>
    <w:p w14:paraId="22C88A7A" w14:textId="7D581431" w:rsidR="00F0698C" w:rsidRPr="00834286" w:rsidRDefault="00F0698C" w:rsidP="00077759">
      <w:pPr>
        <w:pStyle w:val="NormalWeb"/>
        <w:spacing w:before="0" w:beforeAutospacing="0" w:after="0" w:afterAutospacing="0"/>
        <w:ind w:firstLine="708"/>
        <w:jc w:val="both"/>
        <w:rPr>
          <w:rFonts w:ascii="Arial" w:hAnsi="Arial" w:cs="Arial"/>
          <w:sz w:val="19"/>
          <w:szCs w:val="19"/>
        </w:rPr>
      </w:pPr>
      <w:r w:rsidRPr="00834286">
        <w:rPr>
          <w:rFonts w:ascii="Arial" w:hAnsi="Arial" w:cs="Arial"/>
          <w:sz w:val="19"/>
          <w:szCs w:val="19"/>
        </w:rPr>
        <w:t>»En el caso en que las entidades a que se refiere el inciso anterior decidan optar por esquemas de Asociación Público Privada bajo el régimen previsto en la presente ley, dichas empresas o sociedades deberán dar cumplimiento a lo previsto en la misma y sujetarse a las disposiciones particulares que les sean aplicables en materia contractual y presupuestal.</w:t>
      </w:r>
    </w:p>
    <w:p w14:paraId="653827EC" w14:textId="4CD0B261" w:rsidR="00F0698C" w:rsidRPr="00834286" w:rsidRDefault="00F0698C" w:rsidP="00077759">
      <w:pPr>
        <w:pStyle w:val="NormalWeb"/>
        <w:spacing w:before="0" w:beforeAutospacing="0" w:after="0" w:afterAutospacing="0"/>
        <w:ind w:firstLine="708"/>
        <w:jc w:val="both"/>
        <w:rPr>
          <w:rFonts w:ascii="Arial" w:hAnsi="Arial" w:cs="Arial"/>
          <w:sz w:val="19"/>
          <w:szCs w:val="19"/>
        </w:rPr>
      </w:pPr>
      <w:r w:rsidRPr="00834286">
        <w:rPr>
          <w:rFonts w:ascii="Arial" w:hAnsi="Arial" w:cs="Arial"/>
          <w:sz w:val="19"/>
          <w:szCs w:val="19"/>
        </w:rPr>
        <w:t>»Cuando las entidades a que se refiere el primer inciso del presente parágrafo decidan no acogerse a los esquemas de Asociación Público Privada bajo el régimen previsto en la presente ley, podrán contratar esquemas de participación privada en infraestructura conforme a su régimen de contratación, incluyendo la utilización, cuando a ello haya lugar, de la concesión de que trata el numeral 4 del artículo 32 de la Ley 80 de 1993.</w:t>
      </w:r>
    </w:p>
    <w:p w14:paraId="2CD79161" w14:textId="47135C82" w:rsidR="00F0698C" w:rsidRPr="00834286" w:rsidRDefault="00F0698C" w:rsidP="00077759">
      <w:pPr>
        <w:pStyle w:val="NormalWeb"/>
        <w:spacing w:before="0" w:beforeAutospacing="0" w:after="0" w:afterAutospacing="0"/>
        <w:ind w:firstLine="708"/>
        <w:jc w:val="both"/>
        <w:rPr>
          <w:rFonts w:ascii="Arial" w:hAnsi="Arial" w:cs="Arial"/>
          <w:sz w:val="19"/>
          <w:szCs w:val="19"/>
        </w:rPr>
      </w:pPr>
      <w:r w:rsidRPr="00834286">
        <w:rPr>
          <w:rFonts w:ascii="Arial" w:hAnsi="Arial" w:cs="Arial"/>
          <w:sz w:val="19"/>
          <w:szCs w:val="19"/>
        </w:rPr>
        <w:t>»Lo anterior, sin perjuicio de que las entidades a las que se refiere el primer inciso de este parágrafo puedan presentar oferta para participar en los procesos de selección de esquemas de asociación público- privada regidos por esta ley, siempre que cumplan con los requisitos establecidos para el efecto en el respectivo proceso de selección».</w:t>
      </w:r>
    </w:p>
    <w:p w14:paraId="450A9485" w14:textId="64F0F2B4" w:rsidR="00F0698C" w:rsidRPr="00834286" w:rsidRDefault="00F0698C" w:rsidP="00077759">
      <w:pPr>
        <w:pStyle w:val="Textonotapie"/>
        <w:jc w:val="both"/>
        <w:rPr>
          <w:rFonts w:ascii="Arial" w:hAnsi="Arial" w:cs="Arial"/>
          <w:sz w:val="19"/>
          <w:szCs w:val="19"/>
          <w:lang w:val="es-CO"/>
        </w:rPr>
      </w:pPr>
    </w:p>
  </w:footnote>
  <w:footnote w:id="7">
    <w:p w14:paraId="2EFF6172" w14:textId="77777777" w:rsidR="00F0698C" w:rsidRPr="00834286" w:rsidRDefault="00F0698C" w:rsidP="00077759">
      <w:pPr>
        <w:pStyle w:val="NormalWeb"/>
        <w:spacing w:before="0" w:beforeAutospacing="0" w:after="0" w:afterAutospacing="0"/>
        <w:ind w:firstLine="708"/>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Ley 1508 de 2012 «Artículo 3o. Ámbito de aplicación. La presente ley es aplicable a todos aquellos contratos en los cuales las entidades estatales encarguen a un inversionista privado el diseño y construcción de una infraestructura y sus servicios asociados, o su construcción, reparación, mejoramiento o equipamiento, actividades todas estas que deberán involucrar la operación y mantenimiento de dicha infraestructura.</w:t>
      </w:r>
    </w:p>
    <w:p w14:paraId="164A1B9F" w14:textId="77777777" w:rsidR="00F0698C" w:rsidRPr="00834286" w:rsidRDefault="00F0698C" w:rsidP="00077759">
      <w:pPr>
        <w:pStyle w:val="NormalWeb"/>
        <w:spacing w:before="0" w:beforeAutospacing="0" w:after="0" w:afterAutospacing="0"/>
        <w:ind w:firstLine="708"/>
        <w:jc w:val="both"/>
        <w:rPr>
          <w:rFonts w:ascii="Arial" w:hAnsi="Arial" w:cs="Arial"/>
          <w:sz w:val="19"/>
          <w:szCs w:val="19"/>
        </w:rPr>
      </w:pPr>
      <w:r w:rsidRPr="00834286">
        <w:rPr>
          <w:rFonts w:ascii="Arial" w:hAnsi="Arial" w:cs="Arial"/>
          <w:sz w:val="19"/>
          <w:szCs w:val="19"/>
        </w:rPr>
        <w:t>»También podrán versar sobre infraestructura para la prestación de servicios públicos.</w:t>
      </w:r>
    </w:p>
    <w:p w14:paraId="341267FF" w14:textId="77777777" w:rsidR="00F0698C" w:rsidRPr="00834286" w:rsidRDefault="00F0698C" w:rsidP="00077759">
      <w:pPr>
        <w:pStyle w:val="NormalWeb"/>
        <w:spacing w:before="0" w:beforeAutospacing="0" w:after="0" w:afterAutospacing="0"/>
        <w:ind w:firstLine="708"/>
        <w:jc w:val="both"/>
        <w:rPr>
          <w:rFonts w:ascii="Arial" w:hAnsi="Arial" w:cs="Arial"/>
          <w:sz w:val="19"/>
          <w:szCs w:val="19"/>
        </w:rPr>
      </w:pPr>
      <w:r w:rsidRPr="00834286">
        <w:rPr>
          <w:rFonts w:ascii="Arial" w:hAnsi="Arial" w:cs="Arial"/>
          <w:sz w:val="19"/>
          <w:szCs w:val="19"/>
        </w:rPr>
        <w:t>»En estos contratos se retribuirá la actividad con el derecho a la explotación económica de esa infraestructura o servicio, en las condiciones que se pacte, por el tiempo que se acuerde, con aportes del Estado cuando la naturaleza del proyecto lo requiera.</w:t>
      </w:r>
    </w:p>
    <w:p w14:paraId="412C752F" w14:textId="77777777" w:rsidR="00F0698C" w:rsidRPr="00834286" w:rsidRDefault="00F0698C" w:rsidP="00077759">
      <w:pPr>
        <w:pStyle w:val="NormalWeb"/>
        <w:spacing w:before="0" w:beforeAutospacing="0" w:after="0" w:afterAutospacing="0"/>
        <w:ind w:firstLine="708"/>
        <w:jc w:val="both"/>
        <w:rPr>
          <w:rFonts w:ascii="Arial" w:hAnsi="Arial" w:cs="Arial"/>
          <w:sz w:val="19"/>
          <w:szCs w:val="19"/>
        </w:rPr>
      </w:pPr>
      <w:r w:rsidRPr="00834286">
        <w:rPr>
          <w:rFonts w:ascii="Arial" w:hAnsi="Arial" w:cs="Arial"/>
          <w:sz w:val="19"/>
          <w:szCs w:val="19"/>
        </w:rPr>
        <w:t>»Los procesos de selección y las reglas para la celebración y ejecución de los contratos que incluyan esquemas de Asociación Público Privada se regirán por lo dispuesto en la Ley 80 de 1993 y la Ley 1150 de 2007, salvo en las materias particularmente reguladas en la presente ley.</w:t>
      </w:r>
    </w:p>
    <w:p w14:paraId="619853DB" w14:textId="77777777" w:rsidR="00F0698C" w:rsidRPr="00834286" w:rsidRDefault="00F0698C" w:rsidP="00077759">
      <w:pPr>
        <w:pStyle w:val="NormalWeb"/>
        <w:spacing w:before="0" w:beforeAutospacing="0" w:after="0" w:afterAutospacing="0"/>
        <w:ind w:firstLine="708"/>
        <w:jc w:val="both"/>
        <w:rPr>
          <w:rFonts w:ascii="Arial" w:hAnsi="Arial" w:cs="Arial"/>
          <w:sz w:val="19"/>
          <w:szCs w:val="19"/>
        </w:rPr>
      </w:pPr>
      <w:r w:rsidRPr="00834286">
        <w:rPr>
          <w:rFonts w:ascii="Arial" w:hAnsi="Arial" w:cs="Arial"/>
          <w:sz w:val="19"/>
          <w:szCs w:val="19"/>
        </w:rPr>
        <w:t>»</w:t>
      </w:r>
      <w:r w:rsidRPr="00834286">
        <w:rPr>
          <w:rStyle w:val="baj"/>
          <w:rFonts w:ascii="Arial" w:hAnsi="Arial" w:cs="Arial"/>
          <w:sz w:val="19"/>
          <w:szCs w:val="19"/>
        </w:rPr>
        <w:t>PARÁGRAFO 1o.</w:t>
      </w:r>
      <w:r w:rsidRPr="00834286">
        <w:rPr>
          <w:rFonts w:ascii="Arial" w:hAnsi="Arial" w:cs="Arial"/>
          <w:sz w:val="19"/>
          <w:szCs w:val="19"/>
        </w:rPr>
        <w:t> Sólo se podrán realizar proyectos bajo esquemas de Asociación Público Privada cuyo monto de inversión sea superior a seis mil (6.000) smmlv.</w:t>
      </w:r>
    </w:p>
    <w:p w14:paraId="4506A3F3" w14:textId="77777777" w:rsidR="00F0698C" w:rsidRPr="00834286" w:rsidRDefault="00F0698C" w:rsidP="00077759">
      <w:pPr>
        <w:pStyle w:val="NormalWeb"/>
        <w:spacing w:before="0" w:beforeAutospacing="0" w:after="0" w:afterAutospacing="0"/>
        <w:ind w:firstLine="708"/>
        <w:jc w:val="both"/>
        <w:rPr>
          <w:rFonts w:ascii="Arial" w:hAnsi="Arial" w:cs="Arial"/>
          <w:sz w:val="19"/>
          <w:szCs w:val="19"/>
        </w:rPr>
      </w:pPr>
      <w:r w:rsidRPr="00834286">
        <w:rPr>
          <w:rStyle w:val="baj"/>
          <w:rFonts w:ascii="Arial" w:hAnsi="Arial" w:cs="Arial"/>
          <w:sz w:val="19"/>
          <w:szCs w:val="19"/>
        </w:rPr>
        <w:t>»Parágrafo 2o.</w:t>
      </w:r>
      <w:r w:rsidRPr="00834286">
        <w:rPr>
          <w:rFonts w:ascii="Arial" w:hAnsi="Arial" w:cs="Arial"/>
          <w:sz w:val="19"/>
          <w:szCs w:val="19"/>
        </w:rPr>
        <w:t> Aquellos sectores y entidades para las cuales existan normas especiales que regulen la vinculación de capital privado para el desarrollo de proyectos, continuarán rigiéndose por dichas normas o darán cumplimiento a lo previsto en la presente ley, una vez se encuentren reglamentadas las particularidades aplicadas en dichos sectores.</w:t>
      </w:r>
    </w:p>
    <w:p w14:paraId="2ACC884E" w14:textId="77777777" w:rsidR="00F0698C" w:rsidRPr="00834286" w:rsidRDefault="00F0698C" w:rsidP="00077759">
      <w:pPr>
        <w:pStyle w:val="NormalWeb"/>
        <w:spacing w:before="0" w:beforeAutospacing="0" w:after="0" w:afterAutospacing="0"/>
        <w:ind w:firstLine="708"/>
        <w:jc w:val="both"/>
        <w:rPr>
          <w:rFonts w:ascii="Arial" w:hAnsi="Arial" w:cs="Arial"/>
          <w:sz w:val="19"/>
          <w:szCs w:val="19"/>
        </w:rPr>
      </w:pPr>
      <w:r w:rsidRPr="00834286">
        <w:rPr>
          <w:rFonts w:ascii="Arial" w:hAnsi="Arial" w:cs="Arial"/>
          <w:sz w:val="19"/>
          <w:szCs w:val="19"/>
        </w:rPr>
        <w:t>»</w:t>
      </w:r>
      <w:r w:rsidRPr="00834286">
        <w:rPr>
          <w:rStyle w:val="baj"/>
          <w:rFonts w:ascii="Arial" w:hAnsi="Arial" w:cs="Arial"/>
          <w:sz w:val="19"/>
          <w:szCs w:val="19"/>
        </w:rPr>
        <w:t>Parágrafo 3o.</w:t>
      </w:r>
      <w:r w:rsidRPr="00834286">
        <w:rPr>
          <w:rFonts w:ascii="Arial" w:hAnsi="Arial" w:cs="Arial"/>
          <w:sz w:val="19"/>
          <w:szCs w:val="19"/>
        </w:rPr>
        <w:t> El Gobierno Nacional podrá reglamentar las condiciones para el cumplimiento de la disponibilidad, los niveles de servicio, estándares de calidad, garantía de continuidad del servicio y más elementos que se consideren necesarios para el desarrollo de los esquemas de Asociación Pública Privada a que se refiere la presente ley, pudiendo aplicar criterios diferenciales por sectores».</w:t>
      </w:r>
    </w:p>
    <w:p w14:paraId="0395E8D0" w14:textId="77777777" w:rsidR="00F0698C" w:rsidRPr="00834286" w:rsidRDefault="00F0698C" w:rsidP="00077759">
      <w:pPr>
        <w:pStyle w:val="Textonotapie"/>
        <w:jc w:val="both"/>
        <w:rPr>
          <w:rFonts w:ascii="Arial" w:hAnsi="Arial" w:cs="Arial"/>
          <w:sz w:val="19"/>
          <w:szCs w:val="19"/>
          <w:lang w:val="es-CO"/>
        </w:rPr>
      </w:pPr>
    </w:p>
  </w:footnote>
  <w:footnote w:id="8">
    <w:p w14:paraId="128C36E0" w14:textId="4943EE0D" w:rsidR="00F0698C" w:rsidRDefault="00F0698C" w:rsidP="00077759">
      <w:pPr>
        <w:pStyle w:val="Textonotapie"/>
        <w:ind w:firstLine="708"/>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Ley 1508 de 2012 «Artículo 9o. Procedimiento de selección en proyectos de asociación público privada de iniciativa pública. El procedimiento de selección en los proyectos de asociación público privada de iniciativa pública será el establecido en la presente ley y en lo no contemplado en ella se regirá por lo dispuesto en el Estatuto General de Contratación Pública».</w:t>
      </w:r>
    </w:p>
    <w:p w14:paraId="4E1039DF" w14:textId="77777777" w:rsidR="003C5EDA" w:rsidRPr="00834286" w:rsidRDefault="003C5EDA" w:rsidP="00077759">
      <w:pPr>
        <w:pStyle w:val="Textonotapie"/>
        <w:ind w:firstLine="708"/>
        <w:jc w:val="both"/>
        <w:rPr>
          <w:rFonts w:ascii="Arial" w:hAnsi="Arial" w:cs="Arial"/>
          <w:sz w:val="19"/>
          <w:szCs w:val="19"/>
          <w:lang w:val="es-CO"/>
        </w:rPr>
      </w:pPr>
    </w:p>
  </w:footnote>
  <w:footnote w:id="9">
    <w:p w14:paraId="423F617D" w14:textId="2049CC01" w:rsidR="002F4CB6" w:rsidRPr="00834286" w:rsidRDefault="002F4CB6" w:rsidP="00077759">
      <w:pPr>
        <w:pStyle w:val="NormalWeb"/>
        <w:spacing w:before="0" w:beforeAutospacing="0" w:after="0" w:afterAutospacing="0"/>
        <w:ind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Ley 1508 de 2012 «</w:t>
      </w:r>
      <w:bookmarkStart w:id="4" w:name="10"/>
      <w:r w:rsidRPr="00834286">
        <w:rPr>
          <w:rFonts w:ascii="Arial" w:hAnsi="Arial" w:cs="Arial"/>
          <w:sz w:val="19"/>
          <w:szCs w:val="19"/>
        </w:rPr>
        <w:t>Artículo 10. Sistema abierto o de precalificación.</w:t>
      </w:r>
      <w:bookmarkEnd w:id="4"/>
      <w:r w:rsidRPr="00834286">
        <w:rPr>
          <w:rFonts w:ascii="Arial" w:hAnsi="Arial" w:cs="Arial"/>
          <w:sz w:val="19"/>
          <w:szCs w:val="19"/>
        </w:rPr>
        <w:t xml:space="preserve"> Para la selección de contratistas de proyectos de asociación público privada de iniciativa pública, podrá utilizarse el sistema de precalificación, en las condiciones que establezca el reglamento.</w:t>
      </w:r>
    </w:p>
    <w:p w14:paraId="547DA25E" w14:textId="73BDFCC7" w:rsidR="002F4CB6" w:rsidRPr="00834286" w:rsidRDefault="002F4CB6" w:rsidP="00077759">
      <w:pPr>
        <w:pStyle w:val="NormalWeb"/>
        <w:spacing w:before="0" w:beforeAutospacing="0" w:after="0" w:afterAutospacing="0"/>
        <w:ind w:firstLine="708"/>
        <w:jc w:val="both"/>
        <w:rPr>
          <w:rFonts w:ascii="Arial" w:hAnsi="Arial" w:cs="Arial"/>
          <w:sz w:val="19"/>
          <w:szCs w:val="19"/>
        </w:rPr>
      </w:pPr>
      <w:r w:rsidRPr="00834286">
        <w:rPr>
          <w:rFonts w:ascii="Arial" w:hAnsi="Arial" w:cs="Arial"/>
          <w:sz w:val="19"/>
          <w:szCs w:val="19"/>
        </w:rPr>
        <w:t>»Para el sistema de precalificación, se conformará una lista de precalificados mediante convocatoria pública, estableciendo un grupo limitado de oferentes para participar en el proceso de selección.</w:t>
      </w:r>
    </w:p>
    <w:p w14:paraId="2E636CEE" w14:textId="617F3047" w:rsidR="002F4CB6" w:rsidRDefault="002F4CB6" w:rsidP="00077759">
      <w:pPr>
        <w:pStyle w:val="NormalWeb"/>
        <w:spacing w:before="0" w:beforeAutospacing="0" w:after="0" w:afterAutospacing="0"/>
        <w:ind w:firstLine="708"/>
        <w:jc w:val="both"/>
        <w:rPr>
          <w:rFonts w:ascii="Arial" w:hAnsi="Arial" w:cs="Arial"/>
          <w:sz w:val="19"/>
          <w:szCs w:val="19"/>
        </w:rPr>
      </w:pPr>
      <w:r w:rsidRPr="00834286">
        <w:rPr>
          <w:rFonts w:ascii="Arial" w:hAnsi="Arial" w:cs="Arial"/>
          <w:sz w:val="19"/>
          <w:szCs w:val="19"/>
        </w:rPr>
        <w:t>»El reglamento podrá establecer mecanismos para que en caso de requerirse estudios adicionales, estos puedan realizarse o contratarse por los precalificados. El reglamento también podrá establecer mecanismos por medio de los cuales se pueden excluir a precalificados cuando estos no participen en la realización de estudios adicionales».</w:t>
      </w:r>
    </w:p>
    <w:p w14:paraId="676BFAE4" w14:textId="77777777" w:rsidR="006C641E" w:rsidRPr="00834286" w:rsidRDefault="006C641E" w:rsidP="00077759">
      <w:pPr>
        <w:pStyle w:val="NormalWeb"/>
        <w:spacing w:before="0" w:beforeAutospacing="0" w:after="0" w:afterAutospacing="0"/>
        <w:ind w:firstLine="708"/>
        <w:jc w:val="both"/>
        <w:rPr>
          <w:rFonts w:ascii="Arial" w:hAnsi="Arial" w:cs="Arial"/>
          <w:sz w:val="19"/>
          <w:szCs w:val="19"/>
        </w:rPr>
      </w:pPr>
    </w:p>
  </w:footnote>
  <w:footnote w:id="10">
    <w:p w14:paraId="287CCA5B" w14:textId="77043467" w:rsidR="002F4CB6" w:rsidRPr="00834286" w:rsidRDefault="002F4CB6" w:rsidP="00077759">
      <w:pPr>
        <w:pStyle w:val="Textonotapie"/>
        <w:ind w:firstLine="708"/>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Ley 1508 de 2012 «Artículo 11. Requisitos para abrir procesos de selección de contratistas para la ejecución de proyectos de asociación público privada, de iniciativa pública. En los proyectos de asociación público privada de iniciativa pública, la entidad que invita a participar en el proceso de selección, deberá contar antes de la iniciación del proceso de selección con:</w:t>
      </w:r>
    </w:p>
    <w:p w14:paraId="0313B213" w14:textId="775B58B6" w:rsidR="002F4CB6" w:rsidRPr="00834286" w:rsidRDefault="002F4CB6" w:rsidP="00077759">
      <w:pPr>
        <w:pStyle w:val="Textonotapie"/>
        <w:ind w:firstLine="708"/>
        <w:jc w:val="both"/>
        <w:rPr>
          <w:rFonts w:ascii="Arial" w:hAnsi="Arial" w:cs="Arial"/>
          <w:sz w:val="19"/>
          <w:szCs w:val="19"/>
        </w:rPr>
      </w:pPr>
      <w:r w:rsidRPr="00834286">
        <w:rPr>
          <w:rFonts w:ascii="Arial" w:hAnsi="Arial" w:cs="Arial"/>
          <w:sz w:val="19"/>
          <w:szCs w:val="19"/>
        </w:rPr>
        <w:t>»11.1 Los estudios vigentes de carácter técnico, socioeconómico, ambiental, predial, financiero y jurídico acordes con el proyecto, la descripción completa del proyecto incluyendo diseño, construcción, operación, mantenimiento, organización o explotación del mismo, el modelo financiero detallado y formulado que fundamente el valor del proyecto, descripción detallada de las fases y duración del proyecto y justificación del plazo del contrato. El modelo financiero estatal tendrá reserva legal.</w:t>
      </w:r>
    </w:p>
    <w:p w14:paraId="036F61A3" w14:textId="066743B8" w:rsidR="002F4CB6" w:rsidRPr="00834286" w:rsidRDefault="002F4CB6" w:rsidP="00077759">
      <w:pPr>
        <w:pStyle w:val="Textonotapie"/>
        <w:ind w:firstLine="708"/>
        <w:jc w:val="both"/>
        <w:rPr>
          <w:rFonts w:ascii="Arial" w:hAnsi="Arial" w:cs="Arial"/>
          <w:sz w:val="19"/>
          <w:szCs w:val="19"/>
        </w:rPr>
      </w:pPr>
      <w:r w:rsidRPr="00834286">
        <w:rPr>
          <w:rFonts w:ascii="Arial" w:hAnsi="Arial" w:cs="Arial"/>
          <w:sz w:val="19"/>
          <w:szCs w:val="19"/>
        </w:rPr>
        <w:t>»11.2 Evaluación costo beneficio del proyecto analizando su impacto social, económico y ambiental sobre la población directamente afectada, evaluando los beneficios socioeconómicos esperados.</w:t>
      </w:r>
    </w:p>
    <w:p w14:paraId="47E6F04A" w14:textId="70E27460" w:rsidR="002F4CB6" w:rsidRPr="00834286" w:rsidRDefault="002F4CB6" w:rsidP="00077759">
      <w:pPr>
        <w:pStyle w:val="Textonotapie"/>
        <w:ind w:firstLine="708"/>
        <w:jc w:val="both"/>
        <w:rPr>
          <w:rFonts w:ascii="Arial" w:hAnsi="Arial" w:cs="Arial"/>
          <w:sz w:val="19"/>
          <w:szCs w:val="19"/>
        </w:rPr>
      </w:pPr>
      <w:r w:rsidRPr="00834286">
        <w:rPr>
          <w:rFonts w:ascii="Arial" w:hAnsi="Arial" w:cs="Arial"/>
          <w:sz w:val="19"/>
          <w:szCs w:val="19"/>
        </w:rPr>
        <w:t>»11.3 Justificación de utilizar el mecanismo de asociación público privada como una modalidad para la ejecución del proyecto, de conformidad con los parámetros definidos por el Departamento Nacional de Planeación. Los análisis señalados en este numeral deberán contar con concepto previo favorable del Departamento Nacional de Planeación o de la entidad de planeación de la respectiva entidad territorial. Para el anterior concepto, se deberá contar con la aprobación del Ministerio de Hacienda y Crédito Público respecto de las valoraciones de las obligaciones contingentes que realicen las Entidades Estatales, en desarrollo de los Esquemas de Asociación Público Privada, en los términos definidos en la Ley 448 de 1998.</w:t>
      </w:r>
    </w:p>
    <w:p w14:paraId="04BDC238" w14:textId="041691C2" w:rsidR="002F4CB6" w:rsidRPr="00834286" w:rsidRDefault="002F4CB6" w:rsidP="00077759">
      <w:pPr>
        <w:pStyle w:val="Textonotapie"/>
        <w:ind w:firstLine="708"/>
        <w:jc w:val="both"/>
        <w:rPr>
          <w:rFonts w:ascii="Arial" w:hAnsi="Arial" w:cs="Arial"/>
          <w:sz w:val="19"/>
          <w:szCs w:val="19"/>
        </w:rPr>
      </w:pPr>
      <w:r w:rsidRPr="00834286">
        <w:rPr>
          <w:rFonts w:ascii="Arial" w:hAnsi="Arial" w:cs="Arial"/>
          <w:sz w:val="19"/>
          <w:szCs w:val="19"/>
        </w:rPr>
        <w:t>»11.4 Análisis de amenaza y vulnerabilidad con el fin de garantizar la no generación o reproducción de condiciones de riesgo de desastre.</w:t>
      </w:r>
    </w:p>
    <w:p w14:paraId="79520EC2" w14:textId="01B47C70" w:rsidR="002F4CB6" w:rsidRPr="00834286" w:rsidRDefault="002F4CB6" w:rsidP="00077759">
      <w:pPr>
        <w:pStyle w:val="Textonotapie"/>
        <w:ind w:firstLine="708"/>
        <w:jc w:val="both"/>
        <w:rPr>
          <w:rFonts w:ascii="Arial" w:hAnsi="Arial" w:cs="Arial"/>
          <w:sz w:val="19"/>
          <w:szCs w:val="19"/>
          <w:lang w:val="es-CO"/>
        </w:rPr>
      </w:pPr>
      <w:r w:rsidRPr="00834286">
        <w:rPr>
          <w:rFonts w:ascii="Arial" w:hAnsi="Arial" w:cs="Arial"/>
          <w:sz w:val="19"/>
          <w:szCs w:val="19"/>
        </w:rPr>
        <w:t>»11.5 La adecuada tipificación, estimación y asignación de los riesgos, posibles contingencias, la respectiva matriz de riesgos asociados al proyecto».</w:t>
      </w:r>
    </w:p>
  </w:footnote>
  <w:footnote w:id="11">
    <w:p w14:paraId="74D7FDF5" w14:textId="77777777" w:rsidR="002F4CB6" w:rsidRPr="00834286" w:rsidRDefault="002F4CB6" w:rsidP="00077759">
      <w:pPr>
        <w:pStyle w:val="Textonotapie"/>
        <w:jc w:val="both"/>
        <w:rPr>
          <w:rFonts w:ascii="Arial" w:hAnsi="Arial" w:cs="Arial"/>
          <w:sz w:val="19"/>
          <w:szCs w:val="19"/>
        </w:rPr>
      </w:pPr>
    </w:p>
    <w:p w14:paraId="555A5F03" w14:textId="5841A977" w:rsidR="002F4CB6" w:rsidRPr="00834286" w:rsidRDefault="002F4CB6" w:rsidP="00077759">
      <w:pPr>
        <w:pStyle w:val="NormalWeb"/>
        <w:spacing w:before="0" w:beforeAutospacing="0" w:after="0" w:afterAutospacing="0"/>
        <w:ind w:firstLine="708"/>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Ley 1508 de 2012 «</w:t>
      </w:r>
      <w:bookmarkStart w:id="5" w:name="12"/>
      <w:r w:rsidRPr="00834286">
        <w:rPr>
          <w:rFonts w:ascii="Arial" w:hAnsi="Arial" w:cs="Arial"/>
          <w:sz w:val="19"/>
          <w:szCs w:val="19"/>
        </w:rPr>
        <w:t>Artículo 12. Factores de selección objetiva.</w:t>
      </w:r>
      <w:bookmarkEnd w:id="5"/>
      <w:r w:rsidRPr="00834286">
        <w:rPr>
          <w:rFonts w:ascii="Arial" w:hAnsi="Arial" w:cs="Arial"/>
          <w:sz w:val="19"/>
          <w:szCs w:val="19"/>
        </w:rPr>
        <w:t> En los procesos de selección que se estructuren para la ejecución de proyectos de asociación público privada de iniciativa pública o que requieran desembolsos de recursos públicos, la selección objetiva se materializará mediante la selección del ofrecimiento más favorable a la entidad y a los fines que ella busca.</w:t>
      </w:r>
    </w:p>
    <w:p w14:paraId="05BDCB21" w14:textId="6316BEF4" w:rsidR="002F4CB6" w:rsidRPr="00834286" w:rsidRDefault="002F4CB6" w:rsidP="00077759">
      <w:pPr>
        <w:pStyle w:val="NormalWeb"/>
        <w:spacing w:before="0" w:beforeAutospacing="0" w:after="0" w:afterAutospacing="0"/>
        <w:ind w:firstLine="708"/>
        <w:jc w:val="both"/>
        <w:rPr>
          <w:rFonts w:ascii="Arial" w:hAnsi="Arial" w:cs="Arial"/>
          <w:sz w:val="19"/>
          <w:szCs w:val="19"/>
        </w:rPr>
      </w:pPr>
      <w:r w:rsidRPr="00834286">
        <w:rPr>
          <w:rFonts w:ascii="Arial" w:hAnsi="Arial" w:cs="Arial"/>
          <w:sz w:val="19"/>
          <w:szCs w:val="19"/>
        </w:rPr>
        <w:t>»Los factores de escogencia y calificación que establezcan las entidades en los pliegos de condiciones o sus equivalentes en estas contrataciones, tendrán en cuenta los siguientes criterios:</w:t>
      </w:r>
    </w:p>
    <w:p w14:paraId="22F1F189" w14:textId="65221DC3" w:rsidR="002F4CB6" w:rsidRPr="00834286" w:rsidRDefault="00F27839" w:rsidP="00077759">
      <w:pPr>
        <w:pStyle w:val="NormalWeb"/>
        <w:spacing w:before="0" w:beforeAutospacing="0" w:after="0" w:afterAutospacing="0"/>
        <w:ind w:firstLine="708"/>
        <w:jc w:val="both"/>
        <w:rPr>
          <w:rFonts w:ascii="Arial" w:hAnsi="Arial" w:cs="Arial"/>
          <w:sz w:val="19"/>
          <w:szCs w:val="19"/>
        </w:rPr>
      </w:pPr>
      <w:r w:rsidRPr="00834286">
        <w:rPr>
          <w:rFonts w:ascii="Arial" w:hAnsi="Arial" w:cs="Arial"/>
          <w:sz w:val="19"/>
          <w:szCs w:val="19"/>
        </w:rPr>
        <w:t>»</w:t>
      </w:r>
      <w:r w:rsidR="002F4CB6" w:rsidRPr="00834286">
        <w:rPr>
          <w:rFonts w:ascii="Arial" w:hAnsi="Arial" w:cs="Arial"/>
          <w:sz w:val="19"/>
          <w:szCs w:val="19"/>
        </w:rPr>
        <w:t>12.1 La capacidad jurídica, la capacidad financiera o de financiación y la experiencia en inversión o en estructuración de proyectos, serán objeto de verificación documental de cumplimiento por parte de las entidades estatales como requisitos habilitantes para la participación en el proceso de selección y no otorgarán puntaje. En estos casos no se exigirá Registro Único de Proponentes y la presentación de esta documentación será subsanable, en los términos establecidos en el Estatuto General de Contratación.</w:t>
      </w:r>
    </w:p>
    <w:p w14:paraId="6FC36294" w14:textId="4DF6F748" w:rsidR="002F4CB6" w:rsidRDefault="002F4CB6" w:rsidP="00077759">
      <w:pPr>
        <w:pStyle w:val="NormalWeb"/>
        <w:spacing w:before="0" w:beforeAutospacing="0" w:after="0" w:afterAutospacing="0"/>
        <w:ind w:firstLine="708"/>
        <w:jc w:val="both"/>
        <w:rPr>
          <w:rFonts w:ascii="Arial" w:hAnsi="Arial" w:cs="Arial"/>
          <w:sz w:val="19"/>
          <w:szCs w:val="19"/>
        </w:rPr>
      </w:pPr>
      <w:r w:rsidRPr="00834286">
        <w:rPr>
          <w:rFonts w:ascii="Arial" w:hAnsi="Arial" w:cs="Arial"/>
          <w:sz w:val="19"/>
          <w:szCs w:val="19"/>
        </w:rPr>
        <w:t>»12.2 La oferta más favorable será aquella que, teniendo en cuenta los factores técnicos y económicos de escogencia y la ponderación precisa y detallada de los mismos, contenida en los pliegos de condiciones o sus equivalentes, represente la mejor oferta o la mejor relación costo-beneficio para la entidad, sin que la favorabilidad la constituyan factores diferentes a los contenidos en dichos documentos. Dentro de tales criterios las entidades podrán considerar los niveles de servicio y estándares de calidad, el valor presente del ingreso esperado, los menores aportes estatales o mayor aporte al Estado según sea el caso, contraprestaciones ofrecidas por el oferente salvo en caso de contraprestaciones reguladas o tarifas a ser cobradas a los usuarios, entre otros, de acuerdo con la naturaleza del contrato».</w:t>
      </w:r>
    </w:p>
    <w:p w14:paraId="16795F26" w14:textId="77777777" w:rsidR="003C5EDA" w:rsidRPr="00834286" w:rsidRDefault="003C5EDA" w:rsidP="00077759">
      <w:pPr>
        <w:pStyle w:val="NormalWeb"/>
        <w:spacing w:before="0" w:beforeAutospacing="0" w:after="0" w:afterAutospacing="0"/>
        <w:ind w:firstLine="708"/>
        <w:jc w:val="both"/>
        <w:rPr>
          <w:rFonts w:ascii="Arial" w:hAnsi="Arial" w:cs="Arial"/>
          <w:sz w:val="19"/>
          <w:szCs w:val="19"/>
        </w:rPr>
      </w:pPr>
    </w:p>
  </w:footnote>
  <w:footnote w:id="12">
    <w:p w14:paraId="6F9235CC" w14:textId="1551CD5D" w:rsidR="00F27839" w:rsidRPr="00834286" w:rsidRDefault="00F27839" w:rsidP="00077759">
      <w:pPr>
        <w:pStyle w:val="NormalWeb"/>
        <w:spacing w:before="0" w:beforeAutospacing="0" w:after="0" w:afterAutospacing="0"/>
        <w:ind w:firstLine="708"/>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Ley 1508 de 2012 «</w:t>
      </w:r>
      <w:bookmarkStart w:id="6" w:name="13"/>
      <w:r w:rsidRPr="00834286">
        <w:rPr>
          <w:rFonts w:ascii="Arial" w:hAnsi="Arial" w:cs="Arial"/>
          <w:sz w:val="19"/>
          <w:szCs w:val="19"/>
        </w:rPr>
        <w:t>Artículo 13. Adiciones y prórrogas de los contratos para proyectos de asociación público privada de iniciativa pública.</w:t>
      </w:r>
      <w:bookmarkEnd w:id="6"/>
      <w:r w:rsidRPr="00834286">
        <w:rPr>
          <w:rFonts w:ascii="Arial" w:hAnsi="Arial" w:cs="Arial"/>
          <w:sz w:val="19"/>
          <w:szCs w:val="19"/>
        </w:rPr>
        <w:t> En los contratos para la ejecución de proyectos de asociación público privada de iniciativa pública, las adiciones de recursos del Presupuesto General de la Nación, de las entidades territoriales o de otros fondos públicos al proyecto no podrán superar el 20% del valor del contrato originalmente pactado. En dichos contratos, las prórrogas en tiempo deberán ser valoradas por la entidad estatal competente. Las solicitudes de adiciones de recursos y el valor de las prórrogas en tiempo sumadas, no podrán superar el 20% del valor del contrato originalmente pactado.</w:t>
      </w:r>
    </w:p>
    <w:p w14:paraId="5726D183" w14:textId="04840613" w:rsidR="00F27839" w:rsidRPr="00834286" w:rsidRDefault="00F27839" w:rsidP="00077759">
      <w:pPr>
        <w:pStyle w:val="NormalWeb"/>
        <w:spacing w:before="0" w:beforeAutospacing="0" w:after="0" w:afterAutospacing="0"/>
        <w:ind w:firstLine="708"/>
        <w:jc w:val="both"/>
        <w:rPr>
          <w:rFonts w:ascii="Arial" w:hAnsi="Arial" w:cs="Arial"/>
          <w:sz w:val="19"/>
          <w:szCs w:val="19"/>
        </w:rPr>
      </w:pPr>
      <w:r w:rsidRPr="00834286">
        <w:rPr>
          <w:rFonts w:ascii="Arial" w:hAnsi="Arial" w:cs="Arial"/>
          <w:sz w:val="19"/>
          <w:szCs w:val="19"/>
        </w:rPr>
        <w:t>»El valor del contrato para estos efectos deberá estar expresamente determinado en el mismo, y basarse en el presupuesto estimado de inversión o en los criterios que se establezca en los casos de proyectos de prestación de servicios públicos.</w:t>
      </w:r>
    </w:p>
    <w:p w14:paraId="7321EA4F" w14:textId="17969E04" w:rsidR="00F27839" w:rsidRDefault="00F27839" w:rsidP="00077759">
      <w:pPr>
        <w:pStyle w:val="NormalWeb"/>
        <w:spacing w:before="0" w:beforeAutospacing="0" w:after="0" w:afterAutospacing="0"/>
        <w:ind w:firstLine="708"/>
        <w:jc w:val="both"/>
        <w:rPr>
          <w:rFonts w:ascii="Arial" w:hAnsi="Arial" w:cs="Arial"/>
          <w:sz w:val="19"/>
          <w:szCs w:val="19"/>
        </w:rPr>
      </w:pPr>
      <w:r w:rsidRPr="00834286">
        <w:rPr>
          <w:rFonts w:ascii="Arial" w:hAnsi="Arial" w:cs="Arial"/>
          <w:sz w:val="19"/>
          <w:szCs w:val="19"/>
        </w:rPr>
        <w:t>»Todas aquellas inversiones que no impliquen desembolsos de recursos públicos, ni modificaciones en plazo podrán ser realizadas por el ejecutor del proyecto por su cuenta y riesgo, sin que ello comprometa o genere obligación alguna de la entidad estatal competente de reconocer, compensar o retribuir dicha inversión. En todo caso, dichas inversiones deben ser previamente autorizadas por la entidad competente cuando impliquen una modificación de las condiciones del contrato inicialmente pactado y cumplir con los requisitos exigidos por la Ley 448 de 1998 que les resulten aplicables».</w:t>
      </w:r>
    </w:p>
    <w:p w14:paraId="0838C97C" w14:textId="77777777" w:rsidR="003C5EDA" w:rsidRPr="00834286" w:rsidRDefault="003C5EDA" w:rsidP="00077759">
      <w:pPr>
        <w:pStyle w:val="NormalWeb"/>
        <w:spacing w:before="0" w:beforeAutospacing="0" w:after="0" w:afterAutospacing="0"/>
        <w:ind w:firstLine="708"/>
        <w:jc w:val="both"/>
        <w:rPr>
          <w:rFonts w:ascii="Arial" w:hAnsi="Arial" w:cs="Arial"/>
          <w:sz w:val="19"/>
          <w:szCs w:val="19"/>
        </w:rPr>
      </w:pPr>
    </w:p>
  </w:footnote>
  <w:footnote w:id="13">
    <w:p w14:paraId="72F6D612" w14:textId="05965F36" w:rsidR="00F0698C" w:rsidRDefault="00F0698C" w:rsidP="00077759">
      <w:pPr>
        <w:pStyle w:val="Textonotapie"/>
        <w:ind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Decreto 1082 de 2015 «Artículo 2.2.2.1.4.1. Procedimiento de selección en proyectos de Asociación Público Privada de iniciativa pública. El procedimiento de selección para los proyectos de Asociación Público Privada de iniciativa pública será el de licitación pública, señalado en el artículo 30 de la Ley 80 de 1993 y en sus normas reglamentarias, salvo lo previsto en la Ley 1508 de 2012 y en el presente título, o las normas que lo sustituyan, modiﬁquen o adicionen».</w:t>
      </w:r>
    </w:p>
    <w:p w14:paraId="74CF40D4" w14:textId="77777777" w:rsidR="003C5EDA" w:rsidRPr="00834286" w:rsidRDefault="003C5EDA" w:rsidP="00077759">
      <w:pPr>
        <w:pStyle w:val="Textonotapie"/>
        <w:ind w:firstLine="709"/>
        <w:jc w:val="both"/>
        <w:rPr>
          <w:rFonts w:ascii="Arial" w:hAnsi="Arial" w:cs="Arial"/>
          <w:sz w:val="19"/>
          <w:szCs w:val="19"/>
          <w:lang w:val="es-CO"/>
        </w:rPr>
      </w:pPr>
    </w:p>
  </w:footnote>
  <w:footnote w:id="14">
    <w:p w14:paraId="4F320EFE" w14:textId="77777777" w:rsidR="00BB1A91" w:rsidRPr="00834286" w:rsidRDefault="00BB1A91" w:rsidP="00077759">
      <w:pPr>
        <w:pStyle w:val="Textonotapie"/>
        <w:ind w:firstLine="709"/>
        <w:jc w:val="both"/>
        <w:rPr>
          <w:rFonts w:ascii="Arial" w:hAnsi="Arial" w:cs="Arial"/>
          <w:sz w:val="19"/>
          <w:szCs w:val="19"/>
          <w:lang w:val="es-ES"/>
        </w:rPr>
      </w:pPr>
      <w:r w:rsidRPr="00834286">
        <w:rPr>
          <w:rStyle w:val="Refdenotaalpie"/>
          <w:rFonts w:ascii="Arial" w:hAnsi="Arial" w:cs="Arial"/>
          <w:sz w:val="19"/>
          <w:szCs w:val="19"/>
        </w:rPr>
        <w:footnoteRef/>
      </w:r>
      <w:r w:rsidRPr="00834286">
        <w:rPr>
          <w:rFonts w:ascii="Arial" w:hAnsi="Arial" w:cs="Arial"/>
          <w:sz w:val="19"/>
          <w:szCs w:val="19"/>
        </w:rPr>
        <w:t xml:space="preserve"> </w:t>
      </w:r>
      <w:r w:rsidRPr="00834286">
        <w:rPr>
          <w:rFonts w:ascii="Arial" w:hAnsi="Arial" w:cs="Arial"/>
          <w:sz w:val="19"/>
          <w:szCs w:val="19"/>
          <w:lang w:val="es-ES"/>
        </w:rPr>
        <w:t>Este artículo regula la estructuración de proyectos por particulares, de la siguiente manera: «Los particulares podrán estructurar proyectos de infraestructura pública o para la prestación de sus servicios asociados, por su propia cuenta y riesgo, asumiendo la totalidad de los costos de la estructuración, y presentarlos de forma confidencial y bajo reserva a consideración de las entidades estatales competentes.</w:t>
      </w:r>
    </w:p>
    <w:p w14:paraId="4E7611B8" w14:textId="77777777" w:rsidR="00BB1A91" w:rsidRPr="00834286" w:rsidRDefault="00BB1A91" w:rsidP="00077759">
      <w:pPr>
        <w:pStyle w:val="Textonotapie"/>
        <w:ind w:firstLine="709"/>
        <w:jc w:val="both"/>
        <w:rPr>
          <w:rFonts w:ascii="Arial" w:hAnsi="Arial" w:cs="Arial"/>
          <w:sz w:val="19"/>
          <w:szCs w:val="19"/>
          <w:lang w:val="es-ES"/>
        </w:rPr>
      </w:pPr>
      <w:r w:rsidRPr="00834286">
        <w:rPr>
          <w:rFonts w:ascii="Arial" w:hAnsi="Arial" w:cs="Arial"/>
          <w:sz w:val="19"/>
          <w:szCs w:val="19"/>
          <w:lang w:val="es-ES"/>
        </w:rPr>
        <w:t>»El proceso de estructuración del proyecto por agentes privados estará dividido en dos (2) etapas, una de prefactibilidad y otra de factibilidad.</w:t>
      </w:r>
    </w:p>
    <w:p w14:paraId="2292ABD1" w14:textId="77777777" w:rsidR="00BB1A91" w:rsidRPr="00834286" w:rsidRDefault="00BB1A91" w:rsidP="00077759">
      <w:pPr>
        <w:pStyle w:val="Textonotapie"/>
        <w:ind w:firstLine="709"/>
        <w:jc w:val="both"/>
        <w:rPr>
          <w:rFonts w:ascii="Arial" w:hAnsi="Arial" w:cs="Arial"/>
          <w:sz w:val="19"/>
          <w:szCs w:val="19"/>
          <w:lang w:val="es-ES"/>
        </w:rPr>
      </w:pPr>
      <w:r w:rsidRPr="00834286">
        <w:rPr>
          <w:rFonts w:ascii="Arial" w:hAnsi="Arial" w:cs="Arial"/>
          <w:sz w:val="19"/>
          <w:szCs w:val="19"/>
          <w:lang w:val="es-ES"/>
        </w:rPr>
        <w:t>»En la etapa de prefactibilidad el originador de la propuesta deberá señalar claramente la descripción completa del proyecto incluyendo el diseño mínimo en etapa de prefactibilidad, construcción, operación, mantenimiento, organización y explotación del mismo, alcance del proyecto, estudios de demanda en etapa de prefactibilidad, especificaciones del proyecto, su costo estimado y la fuente de financiación.</w:t>
      </w:r>
    </w:p>
    <w:p w14:paraId="6FD640F2" w14:textId="77777777" w:rsidR="00BB1A91" w:rsidRPr="00834286" w:rsidRDefault="00BB1A91" w:rsidP="00077759">
      <w:pPr>
        <w:pStyle w:val="Textonotapie"/>
        <w:ind w:firstLine="709"/>
        <w:jc w:val="both"/>
        <w:rPr>
          <w:rFonts w:ascii="Arial" w:hAnsi="Arial" w:cs="Arial"/>
          <w:sz w:val="19"/>
          <w:szCs w:val="19"/>
          <w:lang w:val="es-ES"/>
        </w:rPr>
      </w:pPr>
      <w:r w:rsidRPr="00834286">
        <w:rPr>
          <w:rFonts w:ascii="Arial" w:hAnsi="Arial" w:cs="Arial"/>
          <w:sz w:val="19"/>
          <w:szCs w:val="19"/>
          <w:lang w:val="es-ES"/>
        </w:rPr>
        <w:t>»Para la etapa de factibilidad, la iniciativa para la realización del proyecto deberá comprender: el modelo financiero detallado y formulado que fundamente el valor del proyecto, descripción detallada de las fases y duración del proyecto, justificación del plazo del contrato, análisis de riesgos asociados al proyecto, estudios de impacto ambiental, económico y social, y estudios de factibilidad técnica, económica, ambiental, predial, financiera y jurídica del proyecto.</w:t>
      </w:r>
    </w:p>
    <w:p w14:paraId="098683D2" w14:textId="77777777" w:rsidR="00BB1A91" w:rsidRPr="00834286" w:rsidRDefault="00BB1A91" w:rsidP="00077759">
      <w:pPr>
        <w:pStyle w:val="Textonotapie"/>
        <w:ind w:firstLine="709"/>
        <w:jc w:val="both"/>
        <w:rPr>
          <w:rFonts w:ascii="Arial" w:hAnsi="Arial" w:cs="Arial"/>
          <w:sz w:val="19"/>
          <w:szCs w:val="19"/>
          <w:lang w:val="es-ES"/>
        </w:rPr>
      </w:pPr>
      <w:r w:rsidRPr="00834286">
        <w:rPr>
          <w:rFonts w:ascii="Arial" w:hAnsi="Arial" w:cs="Arial"/>
          <w:sz w:val="19"/>
          <w:szCs w:val="19"/>
          <w:lang w:val="es-ES"/>
        </w:rPr>
        <w:t>»En la etapa de factibilidad el originador del proyecto deberá anexar los documentos que acrediten su capacidad jurídica, financiera o de potencial financiación, de experiencia en inversión o de estructuración de proyectos o para desarrollar el proyecto, el valor de la estructuración del proyecto y una minuta del contrato a celebrar que incluya entre otros, la propuesta de distribución de riesgos.</w:t>
      </w:r>
    </w:p>
    <w:p w14:paraId="087BC52B" w14:textId="77777777" w:rsidR="00BB1A91" w:rsidRPr="00834286" w:rsidRDefault="00BB1A91" w:rsidP="00077759">
      <w:pPr>
        <w:pStyle w:val="Textonotapie"/>
        <w:ind w:firstLine="709"/>
        <w:jc w:val="both"/>
        <w:rPr>
          <w:rFonts w:ascii="Arial" w:hAnsi="Arial" w:cs="Arial"/>
          <w:sz w:val="19"/>
          <w:szCs w:val="19"/>
          <w:lang w:val="es-ES"/>
        </w:rPr>
      </w:pPr>
      <w:r w:rsidRPr="00834286">
        <w:rPr>
          <w:rFonts w:ascii="Arial" w:hAnsi="Arial" w:cs="Arial"/>
          <w:sz w:val="19"/>
          <w:szCs w:val="19"/>
          <w:lang w:val="es-ES"/>
        </w:rPr>
        <w:t>»En esta etapa se deberá certificar que la información que entrega es veraz y es toda de la que dispone sobre el proyecto. Esta certificación deberá presentarse mediante una declaración juramentada.</w:t>
      </w:r>
    </w:p>
    <w:p w14:paraId="0F47A6BD" w14:textId="77777777" w:rsidR="00BB1A91" w:rsidRPr="00834286" w:rsidRDefault="00BB1A91" w:rsidP="00077759">
      <w:pPr>
        <w:pStyle w:val="Textonotapie"/>
        <w:ind w:firstLine="709"/>
        <w:jc w:val="both"/>
        <w:rPr>
          <w:rFonts w:ascii="Arial" w:hAnsi="Arial" w:cs="Arial"/>
          <w:sz w:val="19"/>
          <w:szCs w:val="19"/>
          <w:lang w:val="es-ES"/>
        </w:rPr>
      </w:pPr>
      <w:r w:rsidRPr="00834286">
        <w:rPr>
          <w:rFonts w:ascii="Arial" w:hAnsi="Arial" w:cs="Arial"/>
          <w:sz w:val="19"/>
          <w:szCs w:val="19"/>
          <w:lang w:val="es-ES"/>
        </w:rPr>
        <w:t>»No podrán presentarse iniciativas en los casos en que correspondan a un proyecto que, al momento de su presentación modifiquen contratos o concesiones existentes o para los cuales se haya adelantado su estructuración por parte de cualquier entidad estatal. Tampoco se aceptarán aquellas iniciativas que demanden garantías del Estado o desembolsos de recursos del Presupuesto General de la Nación, las entidades territoriales o de otros fondos públicos, superiores a los establecidos en la presente ley.</w:t>
      </w:r>
    </w:p>
    <w:p w14:paraId="51D72FEB" w14:textId="60685826" w:rsidR="00BB1A91" w:rsidRDefault="00BB1A91" w:rsidP="00077759">
      <w:pPr>
        <w:pStyle w:val="Textonotapie"/>
        <w:ind w:firstLine="709"/>
        <w:jc w:val="both"/>
        <w:rPr>
          <w:rFonts w:ascii="Arial" w:hAnsi="Arial" w:cs="Arial"/>
          <w:sz w:val="19"/>
          <w:szCs w:val="19"/>
          <w:lang w:val="es-ES"/>
        </w:rPr>
      </w:pPr>
      <w:r w:rsidRPr="00834286">
        <w:rPr>
          <w:rFonts w:ascii="Arial" w:hAnsi="Arial" w:cs="Arial"/>
          <w:sz w:val="19"/>
          <w:szCs w:val="19"/>
          <w:lang w:val="es-ES"/>
        </w:rPr>
        <w:t>»Cuando existan varios originadores para un mismo proyecto tendrá prioridad para su estudio el primero que radique una oferta ante la entidad estatal competente y que posteriormente sea declarada por esta como viable».</w:t>
      </w:r>
    </w:p>
    <w:p w14:paraId="1E0A98DA" w14:textId="77777777" w:rsidR="003C5EDA" w:rsidRPr="00834286" w:rsidRDefault="003C5EDA" w:rsidP="00077759">
      <w:pPr>
        <w:pStyle w:val="Textonotapie"/>
        <w:ind w:firstLine="709"/>
        <w:jc w:val="both"/>
        <w:rPr>
          <w:rFonts w:ascii="Arial" w:hAnsi="Arial" w:cs="Arial"/>
          <w:sz w:val="19"/>
          <w:szCs w:val="19"/>
          <w:lang w:val="es-ES"/>
        </w:rPr>
      </w:pPr>
    </w:p>
  </w:footnote>
  <w:footnote w:id="15">
    <w:p w14:paraId="47561885" w14:textId="77777777" w:rsidR="00BB1A91" w:rsidRPr="00834286" w:rsidRDefault="00BB1A91" w:rsidP="00077759">
      <w:pPr>
        <w:pStyle w:val="Textonotapie"/>
        <w:ind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Es una oferta, porque cumple con los requisitos del artículo 845 del Código de Comercio, dado que es un «proyecto de negocio jurídico que una persona formule a otra».</w:t>
      </w:r>
    </w:p>
    <w:p w14:paraId="4CF79177" w14:textId="77777777" w:rsidR="00BB1A91" w:rsidRPr="00834286" w:rsidRDefault="00BB1A91" w:rsidP="00077759">
      <w:pPr>
        <w:pStyle w:val="Textonotapie"/>
        <w:ind w:firstLine="709"/>
        <w:jc w:val="both"/>
        <w:rPr>
          <w:rFonts w:ascii="Arial" w:hAnsi="Arial" w:cs="Arial"/>
          <w:sz w:val="19"/>
          <w:szCs w:val="19"/>
        </w:rPr>
      </w:pPr>
    </w:p>
  </w:footnote>
  <w:footnote w:id="16">
    <w:p w14:paraId="50945254" w14:textId="77777777" w:rsidR="00BB1A91" w:rsidRPr="00834286" w:rsidRDefault="00BB1A91" w:rsidP="00077759">
      <w:pPr>
        <w:pStyle w:val="Textonotapie"/>
        <w:ind w:firstLine="709"/>
        <w:jc w:val="both"/>
        <w:rPr>
          <w:rFonts w:ascii="Arial" w:hAnsi="Arial" w:cs="Arial"/>
          <w:sz w:val="19"/>
          <w:szCs w:val="19"/>
          <w:lang w:val="es-ES"/>
        </w:rPr>
      </w:pPr>
      <w:r w:rsidRPr="00834286">
        <w:rPr>
          <w:rStyle w:val="Refdenotaalpie"/>
          <w:rFonts w:ascii="Arial" w:hAnsi="Arial" w:cs="Arial"/>
          <w:sz w:val="19"/>
          <w:szCs w:val="19"/>
        </w:rPr>
        <w:footnoteRef/>
      </w:r>
      <w:r w:rsidRPr="00834286">
        <w:rPr>
          <w:rFonts w:ascii="Arial" w:hAnsi="Arial" w:cs="Arial"/>
          <w:sz w:val="19"/>
          <w:szCs w:val="19"/>
        </w:rPr>
        <w:t xml:space="preserve"> </w:t>
      </w:r>
      <w:r w:rsidRPr="00834286">
        <w:rPr>
          <w:rFonts w:ascii="Arial" w:hAnsi="Arial" w:cs="Arial"/>
          <w:sz w:val="19"/>
          <w:szCs w:val="19"/>
          <w:lang w:val="es-ES"/>
        </w:rPr>
        <w:t>El artículo 16 expresa: «Presentada la iniciativa del proyecto en etapa de factibilidad, la entidad estatal competente dispondrá de un plazo máximo de seis (6) meses a partir de la fecha de su radicación, para la evaluación de la propuesta y las consultas a terceros y a autoridades competentes, este estudio lo podrá hacer directamente o a través de terceros. Se podrá prorrogar los términos del estudio hasta por un plazo igual a la mitad del plazo inicial, para profundizar en sus investigaciones o pedir al originador del proyecto que elabore estudios adicionales o complementarios, ajustes o precisiones al proyecto.</w:t>
      </w:r>
    </w:p>
    <w:p w14:paraId="65274105" w14:textId="77777777" w:rsidR="00BB1A91" w:rsidRPr="00834286" w:rsidRDefault="00BB1A91" w:rsidP="00077759">
      <w:pPr>
        <w:pStyle w:val="Textonotapie"/>
        <w:ind w:firstLine="709"/>
        <w:jc w:val="both"/>
        <w:rPr>
          <w:rFonts w:ascii="Arial" w:hAnsi="Arial" w:cs="Arial"/>
          <w:sz w:val="19"/>
          <w:szCs w:val="19"/>
          <w:lang w:val="es-ES"/>
        </w:rPr>
      </w:pPr>
      <w:r w:rsidRPr="00834286">
        <w:rPr>
          <w:rFonts w:ascii="Arial" w:hAnsi="Arial" w:cs="Arial"/>
          <w:sz w:val="19"/>
          <w:szCs w:val="19"/>
          <w:lang w:val="es-ES"/>
        </w:rPr>
        <w:t>»Si realizados los estudios pertinentes la entidad pública competente considera la iniciativa viable y acorde con los intereses y políticas públicas, así lo comunicará al originador informándole las condiciones para la aceptación de su iniciativa incluyendo el monto que acepta como valor de los estudios realizados, con fundamento en costos demostrados en tarifas de mercado para la estructuración del proyecto y las condiciones del contrato. De lo contrario rechazará la iniciativa mediante acto administrativo debidamente motivado. En todo caso la presentación de la iniciativa no genera ningún derecho para el particular, ni obligación para el Estado.</w:t>
      </w:r>
    </w:p>
    <w:p w14:paraId="2DF65B39" w14:textId="77777777" w:rsidR="00BB1A91" w:rsidRPr="00834286" w:rsidRDefault="00BB1A91" w:rsidP="00077759">
      <w:pPr>
        <w:pStyle w:val="Textonotapie"/>
        <w:ind w:firstLine="709"/>
        <w:jc w:val="both"/>
        <w:rPr>
          <w:rFonts w:ascii="Arial" w:hAnsi="Arial" w:cs="Arial"/>
          <w:sz w:val="19"/>
          <w:szCs w:val="19"/>
          <w:lang w:val="es-ES"/>
        </w:rPr>
      </w:pPr>
      <w:r w:rsidRPr="00834286">
        <w:rPr>
          <w:rFonts w:ascii="Arial" w:hAnsi="Arial" w:cs="Arial"/>
          <w:sz w:val="19"/>
          <w:szCs w:val="19"/>
          <w:lang w:val="es-ES"/>
        </w:rPr>
        <w:t>»Si la iniciativa es rechazada, la propiedad sobre los estudios será del originador, pero la entidad pública tendrá la opción de adquirir aquellos insumos o estudios que le interesen o sean útiles para los propósitos de la función pública.</w:t>
      </w:r>
    </w:p>
    <w:p w14:paraId="7811596C" w14:textId="79B1B415" w:rsidR="00BB1A91" w:rsidRDefault="00BB1A91" w:rsidP="00077759">
      <w:pPr>
        <w:pStyle w:val="Textonotapie"/>
        <w:ind w:firstLine="709"/>
        <w:jc w:val="both"/>
        <w:rPr>
          <w:rFonts w:ascii="Arial" w:hAnsi="Arial" w:cs="Arial"/>
          <w:sz w:val="19"/>
          <w:szCs w:val="19"/>
          <w:lang w:val="es-ES"/>
        </w:rPr>
      </w:pPr>
      <w:r w:rsidRPr="00834286">
        <w:rPr>
          <w:rFonts w:ascii="Arial" w:hAnsi="Arial" w:cs="Arial"/>
          <w:sz w:val="19"/>
          <w:szCs w:val="19"/>
          <w:lang w:val="es-ES"/>
        </w:rPr>
        <w:t>»Comunicada la viabilidad de la iniciativa, el originador del proyecto podrá aceptar las condiciones de la entidad estatal competente o proponer alternativas. En cualquier caso, en un plazo no superior a dos (2) meses contados desde la comunicación de la viabilidad, si no se llega a un acuerdo, se entenderá que el proyecto ha sido negado por la entidad pública».</w:t>
      </w:r>
    </w:p>
    <w:p w14:paraId="3156942C" w14:textId="77777777" w:rsidR="006C641E" w:rsidRPr="00834286" w:rsidRDefault="006C641E" w:rsidP="00077759">
      <w:pPr>
        <w:pStyle w:val="Textonotapie"/>
        <w:ind w:firstLine="709"/>
        <w:jc w:val="both"/>
        <w:rPr>
          <w:rFonts w:ascii="Arial" w:hAnsi="Arial" w:cs="Arial"/>
          <w:sz w:val="19"/>
          <w:szCs w:val="19"/>
          <w:lang w:val="es-ES"/>
        </w:rPr>
      </w:pPr>
    </w:p>
  </w:footnote>
  <w:footnote w:id="17">
    <w:p w14:paraId="4CA06FD5" w14:textId="77777777" w:rsidR="00BB1A91" w:rsidRPr="00834286" w:rsidRDefault="00BB1A91" w:rsidP="00077759">
      <w:pPr>
        <w:pStyle w:val="Textonotapie"/>
        <w:ind w:firstLine="709"/>
        <w:jc w:val="both"/>
        <w:rPr>
          <w:rFonts w:ascii="Arial" w:hAnsi="Arial" w:cs="Arial"/>
          <w:sz w:val="19"/>
          <w:szCs w:val="19"/>
          <w:lang w:val="es-ES"/>
        </w:rPr>
      </w:pPr>
      <w:r w:rsidRPr="00834286">
        <w:rPr>
          <w:rStyle w:val="Refdenotaalpie"/>
          <w:rFonts w:ascii="Arial" w:hAnsi="Arial" w:cs="Arial"/>
          <w:sz w:val="19"/>
          <w:szCs w:val="19"/>
        </w:rPr>
        <w:footnoteRef/>
      </w:r>
      <w:r w:rsidRPr="00834286">
        <w:rPr>
          <w:rFonts w:ascii="Arial" w:hAnsi="Arial" w:cs="Arial"/>
          <w:sz w:val="19"/>
          <w:szCs w:val="19"/>
        </w:rPr>
        <w:t xml:space="preserve"> </w:t>
      </w:r>
      <w:r w:rsidRPr="00834286">
        <w:rPr>
          <w:rFonts w:ascii="Arial" w:hAnsi="Arial" w:cs="Arial"/>
          <w:sz w:val="19"/>
          <w:szCs w:val="19"/>
          <w:lang w:val="es-ES"/>
        </w:rPr>
        <w:t>Que dispone: «Logrado el acuerdo entre la entidad estatal competente y el originador del proyecto, manteniendo el originador la condición de no requerir recursos del Presupuesto General de la Nación, de las entidades territoriales o de otros fondos públicos para la ejecución del proyecto, la entidad competente publicará el acuerdo, los estudios y la minuta del contrato y sus anexos por un término no inferior a un (1) mes ni superior a seis (6) meses, en los términos que establezca el reglamento, dependiendo de la complejidad del proyecto, en la página web del Sistema Electrónico para la Contratación Pública “SECOP”.</w:t>
      </w:r>
    </w:p>
    <w:p w14:paraId="41EF11ED" w14:textId="77777777" w:rsidR="00BB1A91" w:rsidRPr="00834286" w:rsidRDefault="00BB1A91" w:rsidP="00077759">
      <w:pPr>
        <w:pStyle w:val="Textonotapie"/>
        <w:ind w:firstLine="709"/>
        <w:jc w:val="both"/>
        <w:rPr>
          <w:rFonts w:ascii="Arial" w:hAnsi="Arial" w:cs="Arial"/>
          <w:sz w:val="19"/>
          <w:szCs w:val="19"/>
          <w:lang w:val="es-ES"/>
        </w:rPr>
      </w:pPr>
      <w:r w:rsidRPr="00834286">
        <w:rPr>
          <w:rFonts w:ascii="Arial" w:hAnsi="Arial" w:cs="Arial"/>
          <w:sz w:val="19"/>
          <w:szCs w:val="19"/>
          <w:lang w:val="es-ES"/>
        </w:rPr>
        <w:t>»En esta publicación la entidad estatal competente señalará las condiciones que deben cumplir eventuales interesados en participar en la ejecución del proyecto y anunciará su intención de adjudicar un contrato al proponente originador, en las condiciones acordadas, si no existieren otros interesados en la ejecución del proyecto.</w:t>
      </w:r>
    </w:p>
    <w:p w14:paraId="0B8F78E2" w14:textId="77777777" w:rsidR="00BB1A91" w:rsidRPr="00834286" w:rsidRDefault="00BB1A91" w:rsidP="00077759">
      <w:pPr>
        <w:pStyle w:val="Textonotapie"/>
        <w:ind w:firstLine="709"/>
        <w:jc w:val="both"/>
        <w:rPr>
          <w:rFonts w:ascii="Arial" w:hAnsi="Arial" w:cs="Arial"/>
          <w:sz w:val="19"/>
          <w:szCs w:val="19"/>
          <w:lang w:val="es-ES"/>
        </w:rPr>
      </w:pPr>
      <w:r w:rsidRPr="00834286">
        <w:rPr>
          <w:rFonts w:ascii="Arial" w:hAnsi="Arial" w:cs="Arial"/>
          <w:sz w:val="19"/>
          <w:szCs w:val="19"/>
          <w:lang w:val="es-ES"/>
        </w:rPr>
        <w:t>»Transcurrido el plazo de la publicación anteriormente referida, sin que ningún interesado distinto al originador del proyecto manifieste a la entidad estatal competente, su interés de ejecutarlo o cumpla las condiciones para participar en su ejecución, se podrá contratar con el originador, de manera directa en las condiciones pactadas».</w:t>
      </w:r>
    </w:p>
    <w:p w14:paraId="1A1D2A08" w14:textId="77777777" w:rsidR="00BB1A91" w:rsidRPr="00834286" w:rsidRDefault="00BB1A91" w:rsidP="00077759">
      <w:pPr>
        <w:pStyle w:val="Textonotapie"/>
        <w:ind w:firstLine="709"/>
        <w:jc w:val="both"/>
        <w:rPr>
          <w:rFonts w:ascii="Arial" w:hAnsi="Arial" w:cs="Arial"/>
          <w:sz w:val="19"/>
          <w:szCs w:val="19"/>
          <w:lang w:val="es-CO"/>
        </w:rPr>
      </w:pPr>
    </w:p>
  </w:footnote>
  <w:footnote w:id="18">
    <w:p w14:paraId="6BE223A9" w14:textId="77777777" w:rsidR="00BB1A91" w:rsidRPr="00834286" w:rsidRDefault="00BB1A91" w:rsidP="00077759">
      <w:pPr>
        <w:pStyle w:val="Textonotapie"/>
        <w:ind w:firstLine="709"/>
        <w:jc w:val="both"/>
        <w:rPr>
          <w:rFonts w:ascii="Arial" w:hAnsi="Arial" w:cs="Arial"/>
          <w:sz w:val="19"/>
          <w:szCs w:val="19"/>
          <w:lang w:val="es-ES"/>
        </w:rPr>
      </w:pPr>
      <w:r w:rsidRPr="00834286">
        <w:rPr>
          <w:rStyle w:val="Refdenotaalpie"/>
          <w:rFonts w:ascii="Arial" w:hAnsi="Arial" w:cs="Arial"/>
          <w:sz w:val="19"/>
          <w:szCs w:val="19"/>
        </w:rPr>
        <w:footnoteRef/>
      </w:r>
      <w:r w:rsidRPr="00834286">
        <w:rPr>
          <w:rFonts w:ascii="Arial" w:hAnsi="Arial" w:cs="Arial"/>
          <w:sz w:val="19"/>
          <w:szCs w:val="19"/>
        </w:rPr>
        <w:t xml:space="preserve"> Esta norma dispone: </w:t>
      </w:r>
      <w:r w:rsidRPr="00834286">
        <w:rPr>
          <w:rFonts w:ascii="Arial" w:hAnsi="Arial" w:cs="Arial"/>
          <w:sz w:val="19"/>
          <w:szCs w:val="19"/>
          <w:lang w:val="es-ES"/>
        </w:rPr>
        <w:t>«Si un tercero manifiesta su interés en ejecutar el proyecto, en las condiciones pactadas entre la entidad estatal competente y el originador del proyecto, manteniendo la condición de no requerir recursos del Presupuesto General de la Nación, de las entidades territoriales o de otros fondos públicos para la ejecución del proyecto, deberá manifestarlo y garantizar la presentación de la iniciativa mediante una póliza de seguros, un aval bancario u otros medios autorizados por la ley, acreditando su capacidad jurídica, financiera o de potencial financiación, la experiencia en inversión o en estructuración de proyectos, para desarrollar el proyecto acordado.</w:t>
      </w:r>
    </w:p>
    <w:p w14:paraId="5D7EF16B" w14:textId="77777777" w:rsidR="00BB1A91" w:rsidRPr="00834286" w:rsidRDefault="00BB1A91" w:rsidP="00077759">
      <w:pPr>
        <w:pStyle w:val="Textonotapie"/>
        <w:ind w:firstLine="709"/>
        <w:jc w:val="both"/>
        <w:rPr>
          <w:rFonts w:ascii="Arial" w:hAnsi="Arial" w:cs="Arial"/>
          <w:sz w:val="19"/>
          <w:szCs w:val="19"/>
          <w:lang w:val="es-ES"/>
        </w:rPr>
      </w:pPr>
      <w:r w:rsidRPr="00834286">
        <w:rPr>
          <w:rFonts w:ascii="Arial" w:hAnsi="Arial" w:cs="Arial"/>
          <w:sz w:val="19"/>
          <w:szCs w:val="19"/>
          <w:lang w:val="es-ES"/>
        </w:rPr>
        <w:t>»En ese caso, la entidad deberá abrir un proceso haciendo uso de la metodología establecida para los procesos de selección abreviada de menor cuantía con precalificación, para la selección del contratista entre el originador del proyecto y los oferentes que hayan anexado garantía para la presentación de sus ofertas y cumplan las condiciones para su ejecución.</w:t>
      </w:r>
    </w:p>
    <w:p w14:paraId="6A008CC8" w14:textId="77777777" w:rsidR="00BB1A91" w:rsidRPr="00834286" w:rsidRDefault="00BB1A91" w:rsidP="00077759">
      <w:pPr>
        <w:pStyle w:val="Textonotapie"/>
        <w:ind w:firstLine="709"/>
        <w:jc w:val="both"/>
        <w:rPr>
          <w:rFonts w:ascii="Arial" w:hAnsi="Arial" w:cs="Arial"/>
          <w:sz w:val="19"/>
          <w:szCs w:val="19"/>
          <w:lang w:val="es-ES"/>
        </w:rPr>
      </w:pPr>
      <w:r w:rsidRPr="00834286">
        <w:rPr>
          <w:rFonts w:ascii="Arial" w:hAnsi="Arial" w:cs="Arial"/>
          <w:sz w:val="19"/>
          <w:szCs w:val="19"/>
          <w:lang w:val="es-ES"/>
        </w:rPr>
        <w:t>»Si como resultado del proceso de selección el proponente originador del proyecto no presenta la mejor oferta, de acuerdo con los criterios de evaluación establecidos, este tendrá el derecho a presentar una oferta que mejore la del proponente mejor calificado, en un plazo máximo de (10) diez días hábiles contados desde la publicación del informe de evaluación de las propuestas. Si el originador mejora la oferta se le adjudicará el contrato, una vez se cumplan los requisitos establecidos en la presente ley.</w:t>
      </w:r>
    </w:p>
    <w:p w14:paraId="3225B89D" w14:textId="77777777" w:rsidR="00BB1A91" w:rsidRPr="00834286" w:rsidRDefault="00BB1A91" w:rsidP="00077759">
      <w:pPr>
        <w:pStyle w:val="Textonotapie"/>
        <w:ind w:firstLine="709"/>
        <w:jc w:val="both"/>
        <w:rPr>
          <w:rFonts w:ascii="Arial" w:hAnsi="Arial" w:cs="Arial"/>
          <w:sz w:val="19"/>
          <w:szCs w:val="19"/>
          <w:lang w:val="es-ES"/>
        </w:rPr>
      </w:pPr>
      <w:r w:rsidRPr="00834286">
        <w:rPr>
          <w:rFonts w:ascii="Arial" w:hAnsi="Arial" w:cs="Arial"/>
          <w:sz w:val="19"/>
          <w:szCs w:val="19"/>
          <w:lang w:val="es-ES"/>
        </w:rPr>
        <w:t>»Si el originador no resulta seleccionado para la ejecución del contrato, deberá recibir del adjudicatario el valor que la entidad estatal competente haya aceptado, como costo de los estudios realizados para la estructuración del proyecto».</w:t>
      </w:r>
    </w:p>
    <w:p w14:paraId="6C281E59" w14:textId="77777777" w:rsidR="00BB1A91" w:rsidRPr="00834286" w:rsidRDefault="00BB1A91" w:rsidP="00077759">
      <w:pPr>
        <w:pStyle w:val="Textonotapie"/>
        <w:ind w:firstLine="709"/>
        <w:jc w:val="both"/>
        <w:rPr>
          <w:rFonts w:ascii="Arial" w:hAnsi="Arial" w:cs="Arial"/>
          <w:sz w:val="19"/>
          <w:szCs w:val="19"/>
          <w:lang w:val="es-CO"/>
        </w:rPr>
      </w:pPr>
    </w:p>
  </w:footnote>
  <w:footnote w:id="19">
    <w:p w14:paraId="1D9B6105" w14:textId="25902F1E" w:rsidR="00293309" w:rsidRPr="00293309" w:rsidRDefault="00C9069F" w:rsidP="00293309">
      <w:pPr>
        <w:pStyle w:val="Textonotapie"/>
        <w:ind w:firstLine="709"/>
        <w:jc w:val="both"/>
        <w:rPr>
          <w:rFonts w:ascii="Arial" w:hAnsi="Arial" w:cs="Arial"/>
          <w:sz w:val="19"/>
          <w:szCs w:val="19"/>
          <w:lang w:val="es-CO"/>
        </w:rPr>
      </w:pPr>
      <w:r>
        <w:rPr>
          <w:rStyle w:val="Refdenotaalpie"/>
        </w:rPr>
        <w:footnoteRef/>
      </w:r>
      <w:r>
        <w:t xml:space="preserve"> </w:t>
      </w:r>
      <w:r w:rsidR="0056115F" w:rsidRPr="00834286">
        <w:rPr>
          <w:rFonts w:ascii="Arial" w:hAnsi="Arial" w:cs="Arial"/>
          <w:sz w:val="19"/>
          <w:szCs w:val="19"/>
        </w:rPr>
        <w:t>Ley 1508 de 2012 «Artículo 1</w:t>
      </w:r>
      <w:r w:rsidR="009C0B3A">
        <w:rPr>
          <w:rFonts w:ascii="Arial" w:hAnsi="Arial" w:cs="Arial"/>
          <w:sz w:val="19"/>
          <w:szCs w:val="19"/>
        </w:rPr>
        <w:t>7</w:t>
      </w:r>
      <w:r w:rsidR="0056115F" w:rsidRPr="00834286">
        <w:rPr>
          <w:rFonts w:ascii="Arial" w:hAnsi="Arial" w:cs="Arial"/>
          <w:sz w:val="19"/>
          <w:szCs w:val="19"/>
        </w:rPr>
        <w:t>.</w:t>
      </w:r>
      <w:r w:rsidR="009C0B3A">
        <w:rPr>
          <w:rFonts w:ascii="Arial" w:hAnsi="Arial" w:cs="Arial"/>
          <w:sz w:val="19"/>
          <w:szCs w:val="19"/>
        </w:rPr>
        <w:t xml:space="preserve"> Iniciativas privadas que requieren desembolsos de recursos públicos. </w:t>
      </w:r>
      <w:r w:rsidR="00293309" w:rsidRPr="00293309">
        <w:rPr>
          <w:rFonts w:ascii="Arial" w:hAnsi="Arial" w:cs="Arial"/>
          <w:sz w:val="19"/>
          <w:szCs w:val="19"/>
          <w:lang w:val="es-CO"/>
        </w:rPr>
        <w:t>Logrado el acuerdo entre la entidad estatal competente y el originador de la iniciativa, pero requiriendo la ejecución del proyecto desembolsos de recursos públicos, se abrirá una licitación pública para seleccionar el contratista que adelante el proyecto que el originador ha propuesto, proceso de selección en el cual quien presentó la iniciativa tendrá una bonificación en su calificación entre el 3 y el 10% sobre su calificación inicial, dependiendo del tamaño y complejidad del proyecto, para compensar su actividad previa, en los términos que señale el reglamento. </w:t>
      </w:r>
    </w:p>
    <w:p w14:paraId="45F618E5" w14:textId="3E29D76D" w:rsidR="00293309" w:rsidRPr="00293309" w:rsidRDefault="00293309" w:rsidP="00293309">
      <w:pPr>
        <w:pStyle w:val="Textonotapie"/>
        <w:ind w:firstLine="709"/>
        <w:jc w:val="both"/>
        <w:rPr>
          <w:rFonts w:ascii="Arial" w:hAnsi="Arial" w:cs="Arial"/>
          <w:sz w:val="19"/>
          <w:szCs w:val="19"/>
          <w:lang w:val="es-CO"/>
        </w:rPr>
      </w:pPr>
      <w:r w:rsidRPr="00834286">
        <w:rPr>
          <w:rFonts w:ascii="Arial" w:hAnsi="Arial" w:cs="Arial"/>
          <w:sz w:val="19"/>
          <w:szCs w:val="19"/>
          <w:lang w:val="es-ES"/>
        </w:rPr>
        <w:t>»</w:t>
      </w:r>
      <w:r w:rsidRPr="00293309">
        <w:rPr>
          <w:rFonts w:ascii="Arial" w:hAnsi="Arial" w:cs="Arial"/>
          <w:sz w:val="19"/>
          <w:szCs w:val="19"/>
          <w:lang w:val="es-CO"/>
        </w:rPr>
        <w:t>En esta clase de proyectos de asociación público-privada, los recursos del Presupuesto General de la Nación, de las entidades territoriales o de otros fondos públicos, no podrán ser superiores al 30% del presupuesto estimado de inversión del proyecto. Tratándose de proyectos de infraestructura vial de carreteras dicho porcentaje no podrá ser superior al 20% del presupuesto estimado de inversión del proyecto.</w:t>
      </w:r>
    </w:p>
    <w:p w14:paraId="03D960AF" w14:textId="7D3FB8A6" w:rsidR="00293309" w:rsidRPr="00293309" w:rsidRDefault="00293309" w:rsidP="00293309">
      <w:pPr>
        <w:pStyle w:val="Textonotapie"/>
        <w:ind w:firstLine="709"/>
        <w:jc w:val="both"/>
        <w:rPr>
          <w:rFonts w:ascii="Arial" w:hAnsi="Arial" w:cs="Arial"/>
          <w:sz w:val="19"/>
          <w:szCs w:val="19"/>
          <w:lang w:val="es-CO"/>
        </w:rPr>
      </w:pPr>
      <w:r w:rsidRPr="00834286">
        <w:rPr>
          <w:rFonts w:ascii="Arial" w:hAnsi="Arial" w:cs="Arial"/>
          <w:sz w:val="19"/>
          <w:szCs w:val="19"/>
          <w:lang w:val="es-ES"/>
        </w:rPr>
        <w:t>»</w:t>
      </w:r>
      <w:r w:rsidRPr="00293309">
        <w:rPr>
          <w:rFonts w:ascii="Arial" w:hAnsi="Arial" w:cs="Arial"/>
          <w:sz w:val="19"/>
          <w:szCs w:val="19"/>
          <w:lang w:val="es-CO"/>
        </w:rPr>
        <w:t>Si el originador no resulta seleccionado para la ejecución del contrato, deberá recibir del adjudicatario el valor que la entidad pública competente haya determinado, antes de la licitación, como costos de los estudios realizados para la estructuración del proyecto.</w:t>
      </w:r>
    </w:p>
    <w:p w14:paraId="312077CF" w14:textId="5CF160F8" w:rsidR="00C9069F" w:rsidRPr="00293309" w:rsidRDefault="00293309" w:rsidP="00293309">
      <w:pPr>
        <w:pStyle w:val="Textonotapie"/>
        <w:ind w:firstLine="709"/>
        <w:jc w:val="both"/>
        <w:rPr>
          <w:rFonts w:ascii="Arial" w:hAnsi="Arial" w:cs="Arial"/>
          <w:sz w:val="19"/>
          <w:szCs w:val="19"/>
          <w:lang w:val="es-CO"/>
        </w:rPr>
      </w:pPr>
      <w:r w:rsidRPr="00834286">
        <w:rPr>
          <w:rFonts w:ascii="Arial" w:hAnsi="Arial" w:cs="Arial"/>
          <w:sz w:val="19"/>
          <w:szCs w:val="19"/>
          <w:lang w:val="es-ES"/>
        </w:rPr>
        <w:t>»</w:t>
      </w:r>
      <w:r w:rsidRPr="00293309">
        <w:rPr>
          <w:rFonts w:ascii="Arial" w:hAnsi="Arial" w:cs="Arial"/>
          <w:sz w:val="19"/>
          <w:szCs w:val="19"/>
          <w:lang w:val="es-CO"/>
        </w:rPr>
        <w:t>En todos los casos la entidad estatal competente, deberá cumplir con los requisitos establecidos en el artículo 11, numerales 11.2 y siguientes de la presente</w:t>
      </w:r>
      <w:bookmarkStart w:id="8" w:name="LPHit62"/>
      <w:bookmarkEnd w:id="8"/>
      <w:r w:rsidRPr="00293309">
        <w:rPr>
          <w:rFonts w:ascii="Arial" w:hAnsi="Arial" w:cs="Arial"/>
          <w:sz w:val="19"/>
          <w:szCs w:val="19"/>
          <w:lang w:val="es-CO"/>
        </w:rPr>
        <w:t> ley</w:t>
      </w:r>
      <w:r w:rsidRPr="00834286">
        <w:rPr>
          <w:rFonts w:ascii="Arial" w:hAnsi="Arial" w:cs="Arial"/>
          <w:sz w:val="19"/>
          <w:szCs w:val="19"/>
          <w:lang w:val="es-ES"/>
        </w:rPr>
        <w:t>»</w:t>
      </w:r>
      <w:r w:rsidRPr="00293309">
        <w:rPr>
          <w:rFonts w:ascii="Arial" w:hAnsi="Arial" w:cs="Arial"/>
          <w:sz w:val="19"/>
          <w:szCs w:val="19"/>
          <w:lang w:val="es-CO"/>
        </w:rPr>
        <w:t>.</w:t>
      </w:r>
    </w:p>
    <w:p w14:paraId="2D2CD3C6" w14:textId="77777777" w:rsidR="0056115F" w:rsidRDefault="0056115F">
      <w:pPr>
        <w:pStyle w:val="Textonotapie"/>
      </w:pPr>
    </w:p>
  </w:footnote>
  <w:footnote w:id="20">
    <w:p w14:paraId="2162BA54" w14:textId="20D412C6" w:rsidR="005E4494" w:rsidRDefault="005E4494" w:rsidP="005E4494">
      <w:pPr>
        <w:pStyle w:val="Textonotapie"/>
        <w:ind w:firstLine="709"/>
        <w:rPr>
          <w:rFonts w:ascii="Arial" w:hAnsi="Arial" w:cs="Arial"/>
          <w:sz w:val="19"/>
          <w:szCs w:val="19"/>
          <w:lang w:val="es-CO"/>
        </w:rPr>
      </w:pPr>
      <w:r w:rsidRPr="00834286">
        <w:rPr>
          <w:rStyle w:val="Refdenotaalpie"/>
          <w:rFonts w:ascii="Arial" w:hAnsi="Arial" w:cs="Arial"/>
          <w:sz w:val="19"/>
          <w:szCs w:val="19"/>
        </w:rPr>
        <w:footnoteRef/>
      </w:r>
      <w:r w:rsidRPr="00834286">
        <w:rPr>
          <w:rFonts w:ascii="Arial" w:hAnsi="Arial" w:cs="Arial"/>
          <w:sz w:val="19"/>
          <w:szCs w:val="19"/>
        </w:rPr>
        <w:t xml:space="preserve"> La </w:t>
      </w:r>
      <w:r w:rsidRPr="00834286">
        <w:rPr>
          <w:rFonts w:ascii="Arial" w:hAnsi="Arial" w:cs="Arial"/>
          <w:sz w:val="19"/>
          <w:szCs w:val="19"/>
          <w:lang w:val="es-ES"/>
        </w:rPr>
        <w:t xml:space="preserve">bonificación de que trata el artículo 17 de la Ley 1508 de 2012 se encuentra reglamentada por el artículo </w:t>
      </w:r>
      <w:r w:rsidRPr="00834286">
        <w:rPr>
          <w:rFonts w:ascii="Arial" w:hAnsi="Arial" w:cs="Arial"/>
          <w:sz w:val="19"/>
          <w:szCs w:val="19"/>
          <w:lang w:val="es-CO"/>
        </w:rPr>
        <w:t xml:space="preserve">2.2.2.1.5.10. del Decreto 1082 de 2015. </w:t>
      </w:r>
    </w:p>
    <w:p w14:paraId="02E0F64C" w14:textId="77777777" w:rsidR="00C9069F" w:rsidRPr="00834286" w:rsidRDefault="00C9069F" w:rsidP="005E4494">
      <w:pPr>
        <w:pStyle w:val="Textonotapie"/>
        <w:ind w:firstLine="709"/>
        <w:rPr>
          <w:rFonts w:ascii="Arial" w:hAnsi="Arial" w:cs="Arial"/>
          <w:sz w:val="19"/>
          <w:szCs w:val="19"/>
          <w:lang w:val="es-CO"/>
        </w:rPr>
      </w:pPr>
    </w:p>
  </w:footnote>
  <w:footnote w:id="21">
    <w:p w14:paraId="0C1CEE25" w14:textId="77777777" w:rsidR="00A22F60" w:rsidRPr="00834286" w:rsidRDefault="00A22F60" w:rsidP="003C5EDA">
      <w:pPr>
        <w:pStyle w:val="Textonotapie"/>
        <w:ind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96B2AC6" w14:textId="08AFA462" w:rsidR="00A22F60" w:rsidRDefault="00A22F60" w:rsidP="003C5EDA">
      <w:pPr>
        <w:pStyle w:val="Textonotapie"/>
        <w:ind w:firstLine="709"/>
        <w:jc w:val="both"/>
        <w:rPr>
          <w:rFonts w:ascii="Arial" w:hAnsi="Arial" w:cs="Arial"/>
          <w:sz w:val="19"/>
          <w:szCs w:val="19"/>
        </w:rPr>
      </w:pPr>
      <w:r w:rsidRPr="00834286">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542028A" w14:textId="77777777" w:rsidR="003C5EDA" w:rsidRPr="00834286" w:rsidRDefault="003C5EDA" w:rsidP="003C5EDA">
      <w:pPr>
        <w:pStyle w:val="Textonotapie"/>
        <w:ind w:firstLine="709"/>
        <w:jc w:val="both"/>
        <w:rPr>
          <w:rFonts w:ascii="Arial" w:hAnsi="Arial" w:cs="Arial"/>
          <w:sz w:val="19"/>
          <w:szCs w:val="19"/>
        </w:rPr>
      </w:pPr>
    </w:p>
  </w:footnote>
  <w:footnote w:id="22">
    <w:p w14:paraId="3F54B569" w14:textId="05193A3B" w:rsidR="00A22F60" w:rsidRDefault="00A22F60" w:rsidP="003C5EDA">
      <w:pPr>
        <w:pStyle w:val="Textonotapie"/>
        <w:ind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Gaceta del Congreso de la República No. 71 del 2005.</w:t>
      </w:r>
    </w:p>
    <w:p w14:paraId="33DB8CA7" w14:textId="77777777" w:rsidR="003C5EDA" w:rsidRPr="00834286" w:rsidRDefault="003C5EDA" w:rsidP="003C5EDA">
      <w:pPr>
        <w:pStyle w:val="Textonotapie"/>
        <w:ind w:firstLine="709"/>
        <w:jc w:val="both"/>
        <w:rPr>
          <w:rFonts w:ascii="Arial" w:hAnsi="Arial" w:cs="Arial"/>
          <w:sz w:val="19"/>
          <w:szCs w:val="19"/>
        </w:rPr>
      </w:pPr>
    </w:p>
  </w:footnote>
  <w:footnote w:id="23">
    <w:p w14:paraId="2FC061ED" w14:textId="77777777" w:rsidR="00A22F60" w:rsidRPr="00834286" w:rsidRDefault="00A22F60" w:rsidP="003C5EDA">
      <w:pPr>
        <w:pStyle w:val="Textonotapie"/>
        <w:ind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Corte Constitucional, Sentencia C- 1153 de 2005, M.P. Marco Gerardo Monroy Cabra.</w:t>
      </w:r>
    </w:p>
  </w:footnote>
  <w:footnote w:id="24">
    <w:p w14:paraId="02798057" w14:textId="16049936" w:rsidR="00A22F60" w:rsidRDefault="00A22F60" w:rsidP="00077759">
      <w:pPr>
        <w:pStyle w:val="Textonotapie"/>
        <w:ind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49766F4E" w14:textId="77777777" w:rsidR="003C5EDA" w:rsidRPr="00834286" w:rsidRDefault="003C5EDA" w:rsidP="00077759">
      <w:pPr>
        <w:pStyle w:val="Textonotapie"/>
        <w:ind w:firstLine="709"/>
        <w:jc w:val="both"/>
        <w:rPr>
          <w:rFonts w:ascii="Arial" w:hAnsi="Arial" w:cs="Arial"/>
          <w:sz w:val="19"/>
          <w:szCs w:val="19"/>
        </w:rPr>
      </w:pPr>
    </w:p>
  </w:footnote>
  <w:footnote w:id="25">
    <w:p w14:paraId="0A3D48C6" w14:textId="5F98D023" w:rsidR="00A22F60" w:rsidRDefault="00A22F60" w:rsidP="003C5EDA">
      <w:pPr>
        <w:pStyle w:val="Textonotapie"/>
        <w:ind w:firstLine="709"/>
        <w:jc w:val="both"/>
        <w:rPr>
          <w:rFonts w:ascii="Arial" w:hAnsi="Arial" w:cs="Arial"/>
          <w:sz w:val="19"/>
          <w:szCs w:val="19"/>
          <w:lang w:val="es-CO"/>
        </w:rPr>
      </w:pPr>
      <w:r w:rsidRPr="00834286">
        <w:rPr>
          <w:rStyle w:val="Refdenotaalpie"/>
          <w:rFonts w:ascii="Arial" w:hAnsi="Arial" w:cs="Arial"/>
          <w:sz w:val="19"/>
          <w:szCs w:val="19"/>
        </w:rPr>
        <w:footnoteRef/>
      </w:r>
      <w:r w:rsidRPr="00834286">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0475AF87" w14:textId="77777777" w:rsidR="003C5EDA" w:rsidRPr="00834286" w:rsidRDefault="003C5EDA" w:rsidP="00077759">
      <w:pPr>
        <w:pStyle w:val="Textonotapie"/>
        <w:jc w:val="both"/>
        <w:rPr>
          <w:rFonts w:ascii="Arial" w:hAnsi="Arial" w:cs="Arial"/>
          <w:sz w:val="19"/>
          <w:szCs w:val="19"/>
          <w:lang w:val="es-CO"/>
        </w:rPr>
      </w:pPr>
    </w:p>
  </w:footnote>
  <w:footnote w:id="26">
    <w:p w14:paraId="6C1D8C20" w14:textId="51848480" w:rsidR="00A22F60" w:rsidRDefault="00A22F60" w:rsidP="00077759">
      <w:pPr>
        <w:pStyle w:val="Textonotapie"/>
        <w:ind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Consejo de Estado, Sala de Consulta y Servicio Civil de fecha 24 de julio de 2013, radicado 2166, Consejero Ponente: Álvaro Namén Vargas.  </w:t>
      </w:r>
    </w:p>
    <w:p w14:paraId="63DBF658" w14:textId="77777777" w:rsidR="00166DCE" w:rsidRPr="00834286" w:rsidRDefault="00166DCE" w:rsidP="00077759">
      <w:pPr>
        <w:pStyle w:val="Textonotapie"/>
        <w:ind w:firstLine="709"/>
        <w:jc w:val="both"/>
        <w:rPr>
          <w:rFonts w:ascii="Arial" w:hAnsi="Arial" w:cs="Arial"/>
          <w:sz w:val="19"/>
          <w:szCs w:val="19"/>
        </w:rPr>
      </w:pPr>
    </w:p>
  </w:footnote>
  <w:footnote w:id="27">
    <w:p w14:paraId="4495A14D" w14:textId="77777777" w:rsidR="00A22F60" w:rsidRPr="00834286" w:rsidRDefault="00A22F60" w:rsidP="00077759">
      <w:pPr>
        <w:ind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w:t>
      </w:r>
      <w:bookmarkStart w:id="11" w:name="33"/>
      <w:r w:rsidRPr="00834286">
        <w:rPr>
          <w:rFonts w:ascii="Arial" w:eastAsia="Calibri" w:hAnsi="Arial" w:cs="Arial"/>
          <w:bCs/>
          <w:color w:val="000000"/>
          <w:sz w:val="19"/>
          <w:szCs w:val="19"/>
        </w:rPr>
        <w:t>«</w:t>
      </w:r>
      <w:r w:rsidRPr="00834286">
        <w:rPr>
          <w:rFonts w:ascii="Arial" w:hAnsi="Arial" w:cs="Arial"/>
          <w:sz w:val="19"/>
          <w:szCs w:val="19"/>
        </w:rPr>
        <w:t>Artículo 33. Restricciones a la contratación pública.</w:t>
      </w:r>
      <w:bookmarkEnd w:id="11"/>
      <w:r w:rsidRPr="00834286">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3B59D114" w14:textId="1AB6AB63" w:rsidR="00A22F60" w:rsidRDefault="00A22F60" w:rsidP="00077759">
      <w:pPr>
        <w:ind w:firstLine="709"/>
        <w:jc w:val="both"/>
        <w:rPr>
          <w:rFonts w:ascii="Arial" w:hAnsi="Arial" w:cs="Arial"/>
          <w:sz w:val="19"/>
          <w:szCs w:val="19"/>
        </w:rPr>
      </w:pPr>
      <w:r w:rsidRPr="00834286">
        <w:rPr>
          <w:rFonts w:ascii="Arial" w:eastAsia="Calibri" w:hAnsi="Arial" w:cs="Arial"/>
          <w:bCs/>
          <w:color w:val="000000"/>
          <w:sz w:val="19"/>
          <w:szCs w:val="19"/>
        </w:rPr>
        <w:t>»</w:t>
      </w:r>
      <w:r w:rsidRPr="00834286">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34286">
        <w:rPr>
          <w:rFonts w:ascii="Arial" w:eastAsia="Calibri" w:hAnsi="Arial" w:cs="Arial"/>
          <w:bCs/>
          <w:color w:val="000000"/>
          <w:sz w:val="19"/>
          <w:szCs w:val="19"/>
        </w:rPr>
        <w:t>»</w:t>
      </w:r>
      <w:r w:rsidRPr="00834286">
        <w:rPr>
          <w:rFonts w:ascii="Arial" w:hAnsi="Arial" w:cs="Arial"/>
          <w:sz w:val="19"/>
          <w:szCs w:val="19"/>
        </w:rPr>
        <w:t>.</w:t>
      </w:r>
    </w:p>
    <w:p w14:paraId="6CD9C6EF" w14:textId="77777777" w:rsidR="006C641E" w:rsidRPr="00834286" w:rsidRDefault="006C641E" w:rsidP="00077759">
      <w:pPr>
        <w:ind w:firstLine="709"/>
        <w:jc w:val="both"/>
        <w:rPr>
          <w:rFonts w:ascii="Arial" w:hAnsi="Arial" w:cs="Arial"/>
          <w:sz w:val="19"/>
          <w:szCs w:val="19"/>
        </w:rPr>
      </w:pPr>
    </w:p>
  </w:footnote>
  <w:footnote w:id="28">
    <w:p w14:paraId="7FB6B864" w14:textId="77777777" w:rsidR="00A22F60" w:rsidRPr="00834286" w:rsidRDefault="00A22F60" w:rsidP="00077759">
      <w:pPr>
        <w:pStyle w:val="NormalWeb"/>
        <w:spacing w:before="0" w:beforeAutospacing="0" w:after="0" w:afterAutospacing="0"/>
        <w:ind w:firstLine="709"/>
        <w:jc w:val="both"/>
        <w:rPr>
          <w:rFonts w:ascii="Arial" w:hAnsi="Arial" w:cs="Arial"/>
          <w:sz w:val="19"/>
          <w:szCs w:val="19"/>
          <w:lang w:val="es-MX"/>
        </w:rPr>
      </w:pPr>
      <w:r w:rsidRPr="00834286">
        <w:rPr>
          <w:rStyle w:val="Refdenotaalpie"/>
          <w:rFonts w:ascii="Arial" w:hAnsi="Arial" w:cs="Arial"/>
          <w:sz w:val="19"/>
          <w:szCs w:val="19"/>
        </w:rPr>
        <w:footnoteRef/>
      </w:r>
      <w:r w:rsidRPr="00834286">
        <w:rPr>
          <w:rFonts w:ascii="Arial" w:hAnsi="Arial" w:cs="Arial"/>
          <w:sz w:val="19"/>
          <w:szCs w:val="19"/>
        </w:rPr>
        <w:t xml:space="preserve"> </w:t>
      </w:r>
      <w:bookmarkStart w:id="12" w:name="38"/>
      <w:r w:rsidRPr="00834286">
        <w:rPr>
          <w:rFonts w:ascii="Arial" w:eastAsia="Calibri" w:hAnsi="Arial" w:cs="Arial"/>
          <w:bCs/>
          <w:color w:val="000000"/>
          <w:sz w:val="19"/>
          <w:szCs w:val="19"/>
        </w:rPr>
        <w:t>«</w:t>
      </w:r>
      <w:r w:rsidRPr="00834286">
        <w:rPr>
          <w:rFonts w:ascii="Arial" w:hAnsi="Arial" w:cs="Arial"/>
          <w:sz w:val="19"/>
          <w:szCs w:val="19"/>
          <w:lang w:val="es-MX"/>
        </w:rPr>
        <w:t>Artículo 38. Prohibiciones para los servidores públicos. A los empleados del Estado les está prohibido:</w:t>
      </w:r>
      <w:bookmarkEnd w:id="12"/>
    </w:p>
    <w:p w14:paraId="1FCCC326" w14:textId="77777777" w:rsidR="00A22F60" w:rsidRPr="00834286" w:rsidRDefault="00A22F60" w:rsidP="00077759">
      <w:pPr>
        <w:pStyle w:val="NormalWeb"/>
        <w:spacing w:before="0" w:beforeAutospacing="0" w:after="0" w:afterAutospacing="0"/>
        <w:ind w:firstLine="709"/>
        <w:jc w:val="both"/>
        <w:rPr>
          <w:rFonts w:ascii="Arial" w:hAnsi="Arial" w:cs="Arial"/>
          <w:sz w:val="19"/>
          <w:szCs w:val="19"/>
          <w:lang w:val="es-MX"/>
        </w:rPr>
      </w:pPr>
      <w:r w:rsidRPr="00834286">
        <w:rPr>
          <w:rFonts w:ascii="Arial" w:eastAsia="Calibri" w:hAnsi="Arial" w:cs="Arial"/>
          <w:bCs/>
          <w:color w:val="000000"/>
          <w:sz w:val="19"/>
          <w:szCs w:val="19"/>
        </w:rPr>
        <w:t>»</w:t>
      </w:r>
      <w:r w:rsidRPr="00834286">
        <w:rPr>
          <w:rFonts w:ascii="Arial" w:hAnsi="Arial" w:cs="Arial"/>
          <w:sz w:val="19"/>
          <w:szCs w:val="19"/>
          <w:lang w:val="es-MX"/>
        </w:rPr>
        <w:t xml:space="preserve"> […]</w:t>
      </w:r>
    </w:p>
    <w:p w14:paraId="0D675529" w14:textId="57818D08" w:rsidR="00A22F60" w:rsidRDefault="00A22F60" w:rsidP="00077759">
      <w:pPr>
        <w:pStyle w:val="NormalWeb"/>
        <w:spacing w:before="0" w:beforeAutospacing="0" w:after="0" w:afterAutospacing="0"/>
        <w:ind w:firstLine="709"/>
        <w:jc w:val="both"/>
        <w:rPr>
          <w:rFonts w:ascii="Arial" w:hAnsi="Arial" w:cs="Arial"/>
          <w:sz w:val="19"/>
          <w:szCs w:val="19"/>
          <w:lang w:val="es-MX"/>
        </w:rPr>
      </w:pPr>
      <w:r w:rsidRPr="00834286">
        <w:rPr>
          <w:rFonts w:ascii="Arial" w:eastAsia="Calibri" w:hAnsi="Arial" w:cs="Arial"/>
          <w:bCs/>
          <w:color w:val="000000"/>
          <w:sz w:val="19"/>
          <w:szCs w:val="19"/>
        </w:rPr>
        <w:t>»</w:t>
      </w:r>
      <w:r w:rsidRPr="00834286">
        <w:rPr>
          <w:rStyle w:val="baj"/>
          <w:rFonts w:ascii="Arial" w:hAnsi="Arial" w:cs="Arial"/>
          <w:sz w:val="19"/>
          <w:szCs w:val="19"/>
          <w:lang w:val="es-MX"/>
        </w:rPr>
        <w:t xml:space="preserve"> Parágrafo.</w:t>
      </w:r>
      <w:r w:rsidRPr="00834286">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34286">
        <w:rPr>
          <w:rFonts w:ascii="Arial" w:eastAsia="Calibri" w:hAnsi="Arial" w:cs="Arial"/>
          <w:bCs/>
          <w:color w:val="000000"/>
          <w:sz w:val="19"/>
          <w:szCs w:val="19"/>
        </w:rPr>
        <w:t>»</w:t>
      </w:r>
      <w:r w:rsidRPr="00834286">
        <w:rPr>
          <w:rFonts w:ascii="Arial" w:hAnsi="Arial" w:cs="Arial"/>
          <w:sz w:val="19"/>
          <w:szCs w:val="19"/>
          <w:lang w:val="es-MX"/>
        </w:rPr>
        <w:t>.</w:t>
      </w:r>
    </w:p>
    <w:p w14:paraId="200C508A" w14:textId="77777777" w:rsidR="00787590" w:rsidRPr="00834286" w:rsidRDefault="00787590" w:rsidP="00077759">
      <w:pPr>
        <w:pStyle w:val="NormalWeb"/>
        <w:spacing w:before="0" w:beforeAutospacing="0" w:after="0" w:afterAutospacing="0"/>
        <w:ind w:firstLine="709"/>
        <w:jc w:val="both"/>
        <w:rPr>
          <w:rFonts w:ascii="Arial" w:hAnsi="Arial" w:cs="Arial"/>
          <w:sz w:val="19"/>
          <w:szCs w:val="19"/>
          <w:lang w:val="es-MX"/>
        </w:rPr>
      </w:pPr>
    </w:p>
  </w:footnote>
  <w:footnote w:id="29">
    <w:p w14:paraId="503ABCE4" w14:textId="77777777" w:rsidR="00A22F60" w:rsidRPr="00834286" w:rsidRDefault="00A22F60" w:rsidP="00077759">
      <w:pPr>
        <w:ind w:left="100" w:right="244" w:firstLine="709"/>
        <w:jc w:val="both"/>
        <w:rPr>
          <w:rFonts w:ascii="Arial" w:hAnsi="Arial" w:cs="Arial"/>
          <w:sz w:val="19"/>
          <w:szCs w:val="19"/>
          <w:lang w:val="es-ES"/>
        </w:rPr>
      </w:pPr>
      <w:r w:rsidRPr="00834286">
        <w:rPr>
          <w:rStyle w:val="Refdenotaalpie"/>
          <w:rFonts w:ascii="Arial" w:hAnsi="Arial" w:cs="Arial"/>
          <w:sz w:val="19"/>
          <w:szCs w:val="19"/>
        </w:rPr>
        <w:footnoteRef/>
      </w:r>
      <w:r w:rsidRPr="00834286">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30">
    <w:p w14:paraId="786D5D1A" w14:textId="6DC41296" w:rsidR="00A22F60" w:rsidRDefault="00A22F60" w:rsidP="00077759">
      <w:pPr>
        <w:pStyle w:val="Textonotapie"/>
        <w:ind w:right="51"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w:t>
      </w:r>
      <w:bookmarkStart w:id="18" w:name="_Hlk74272731"/>
      <w:r w:rsidRPr="00834286">
        <w:rPr>
          <w:rFonts w:ascii="Arial" w:hAnsi="Arial" w:cs="Arial"/>
          <w:sz w:val="19"/>
          <w:szCs w:val="19"/>
        </w:rPr>
        <w:t>«</w:t>
      </w:r>
      <w:bookmarkEnd w:id="18"/>
      <w:r w:rsidRPr="00834286">
        <w:rPr>
          <w:rFonts w:ascii="Arial" w:hAnsi="Arial" w:cs="Arial"/>
          <w:sz w:val="19"/>
          <w:szCs w:val="19"/>
          <w:lang w:val="es-ES"/>
        </w:rPr>
        <w:t xml:space="preserve">[25] </w:t>
      </w:r>
      <w:r w:rsidRPr="00834286">
        <w:rPr>
          <w:rFonts w:ascii="Arial" w:hAnsi="Arial" w:cs="Arial"/>
          <w:sz w:val="19"/>
          <w:szCs w:val="19"/>
        </w:rPr>
        <w:t>Cfr. Consejo de Estado. Sección Tercera. Sentencia de 3 de diciembre de 2007. Radicados: 24.715, 25.206, 25.409, 24.524, 27.834, 25.410, 26.105, 28.244, 31.447 -acumulados-</w:t>
      </w:r>
      <w:bookmarkStart w:id="19" w:name="_Hlk74271358"/>
      <w:r w:rsidRPr="00834286">
        <w:rPr>
          <w:rFonts w:ascii="Arial" w:hAnsi="Arial" w:cs="Arial"/>
          <w:sz w:val="19"/>
          <w:szCs w:val="19"/>
        </w:rPr>
        <w:t>»</w:t>
      </w:r>
      <w:bookmarkEnd w:id="19"/>
      <w:r w:rsidRPr="00834286">
        <w:rPr>
          <w:rFonts w:ascii="Arial" w:hAnsi="Arial" w:cs="Arial"/>
          <w:sz w:val="19"/>
          <w:szCs w:val="19"/>
        </w:rPr>
        <w:t>.</w:t>
      </w:r>
    </w:p>
    <w:p w14:paraId="1609EE38" w14:textId="77777777" w:rsidR="003C5EDA" w:rsidRPr="00834286" w:rsidRDefault="003C5EDA" w:rsidP="00077759">
      <w:pPr>
        <w:pStyle w:val="Textonotapie"/>
        <w:ind w:right="51" w:firstLine="709"/>
        <w:jc w:val="both"/>
        <w:rPr>
          <w:rFonts w:ascii="Arial" w:hAnsi="Arial" w:cs="Arial"/>
          <w:sz w:val="19"/>
          <w:szCs w:val="19"/>
        </w:rPr>
      </w:pPr>
    </w:p>
  </w:footnote>
  <w:footnote w:id="31">
    <w:p w14:paraId="1699AC54" w14:textId="24ADC787" w:rsidR="00A22F60" w:rsidRDefault="00A22F60" w:rsidP="00077759">
      <w:pPr>
        <w:pStyle w:val="Textonotapie"/>
        <w:ind w:right="51"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w:t>
      </w:r>
      <w:bookmarkStart w:id="21" w:name="_Hlk74294506"/>
      <w:r w:rsidRPr="00834286">
        <w:rPr>
          <w:rFonts w:ascii="Arial" w:hAnsi="Arial" w:cs="Arial"/>
          <w:sz w:val="19"/>
          <w:szCs w:val="19"/>
        </w:rPr>
        <w:t>«</w:t>
      </w:r>
      <w:r w:rsidRPr="00834286">
        <w:rPr>
          <w:rFonts w:ascii="Arial" w:hAnsi="Arial" w:cs="Arial"/>
          <w:sz w:val="19"/>
          <w:szCs w:val="19"/>
          <w:lang w:val="es-ES"/>
        </w:rPr>
        <w:t xml:space="preserve">[26] </w:t>
      </w:r>
      <w:bookmarkEnd w:id="21"/>
      <w:r w:rsidRPr="00834286">
        <w:rPr>
          <w:rFonts w:ascii="Arial" w:hAnsi="Arial" w:cs="Arial"/>
          <w:sz w:val="19"/>
          <w:szCs w:val="19"/>
        </w:rPr>
        <w:t>Al respecto ver el concepto 1712 de 2 de febrero de 2006. Consejo de Estado Sala de Consulta y Servicio Civil».</w:t>
      </w:r>
    </w:p>
    <w:p w14:paraId="39CC4D73" w14:textId="77777777" w:rsidR="003C5EDA" w:rsidRPr="00834286" w:rsidRDefault="003C5EDA" w:rsidP="00077759">
      <w:pPr>
        <w:pStyle w:val="Textonotapie"/>
        <w:ind w:right="51" w:firstLine="709"/>
        <w:jc w:val="both"/>
        <w:rPr>
          <w:rFonts w:ascii="Arial" w:hAnsi="Arial" w:cs="Arial"/>
          <w:sz w:val="19"/>
          <w:szCs w:val="19"/>
        </w:rPr>
      </w:pPr>
    </w:p>
  </w:footnote>
  <w:footnote w:id="32">
    <w:p w14:paraId="2074CBFD" w14:textId="215163E8" w:rsidR="00A22F60" w:rsidRDefault="00A22F60" w:rsidP="00077759">
      <w:pPr>
        <w:pStyle w:val="Textonotapie"/>
        <w:ind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4A72798C" w14:textId="77777777" w:rsidR="003C5EDA" w:rsidRPr="00834286" w:rsidRDefault="003C5EDA" w:rsidP="00077759">
      <w:pPr>
        <w:pStyle w:val="Textonotapie"/>
        <w:ind w:firstLine="709"/>
        <w:jc w:val="both"/>
        <w:rPr>
          <w:rFonts w:ascii="Arial" w:hAnsi="Arial" w:cs="Arial"/>
          <w:sz w:val="19"/>
          <w:szCs w:val="19"/>
        </w:rPr>
      </w:pPr>
    </w:p>
  </w:footnote>
  <w:footnote w:id="33">
    <w:p w14:paraId="3BC2689A" w14:textId="08384F68" w:rsidR="00A22F60" w:rsidRDefault="00A22F60" w:rsidP="00077759">
      <w:pPr>
        <w:pStyle w:val="Textonotapie"/>
        <w:ind w:firstLine="709"/>
        <w:jc w:val="both"/>
        <w:rPr>
          <w:rFonts w:ascii="Arial" w:hAnsi="Arial" w:cs="Arial"/>
          <w:sz w:val="19"/>
          <w:szCs w:val="19"/>
          <w:lang w:val="es-ES"/>
        </w:rPr>
      </w:pPr>
      <w:r w:rsidRPr="00834286">
        <w:rPr>
          <w:rStyle w:val="Refdenotaalpie"/>
          <w:rFonts w:ascii="Arial" w:hAnsi="Arial" w:cs="Arial"/>
          <w:sz w:val="19"/>
          <w:szCs w:val="19"/>
        </w:rPr>
        <w:footnoteRef/>
      </w:r>
      <w:r w:rsidRPr="00834286">
        <w:rPr>
          <w:rFonts w:ascii="Arial" w:hAnsi="Arial" w:cs="Arial"/>
          <w:sz w:val="19"/>
          <w:szCs w:val="19"/>
        </w:rPr>
        <w:t xml:space="preserve"> </w:t>
      </w:r>
      <w:r w:rsidRPr="00834286">
        <w:rPr>
          <w:rFonts w:ascii="Arial" w:hAnsi="Arial" w:cs="Arial"/>
          <w:sz w:val="19"/>
          <w:szCs w:val="19"/>
          <w:lang w:val="es-ES"/>
        </w:rPr>
        <w:t xml:space="preserve">Artículo 2. </w:t>
      </w:r>
    </w:p>
    <w:p w14:paraId="734B0D7D" w14:textId="77777777" w:rsidR="003C5EDA" w:rsidRPr="00834286" w:rsidRDefault="003C5EDA" w:rsidP="00077759">
      <w:pPr>
        <w:pStyle w:val="Textonotapie"/>
        <w:ind w:firstLine="709"/>
        <w:jc w:val="both"/>
        <w:rPr>
          <w:rFonts w:ascii="Arial" w:hAnsi="Arial" w:cs="Arial"/>
          <w:sz w:val="19"/>
          <w:szCs w:val="19"/>
          <w:lang w:val="es-ES"/>
        </w:rPr>
      </w:pPr>
    </w:p>
  </w:footnote>
  <w:footnote w:id="34">
    <w:p w14:paraId="2C339E8F" w14:textId="77777777" w:rsidR="00A22F60" w:rsidRPr="00834286" w:rsidRDefault="00A22F60" w:rsidP="00077759">
      <w:pPr>
        <w:pStyle w:val="Textonotapie"/>
        <w:ind w:firstLine="709"/>
        <w:jc w:val="both"/>
        <w:rPr>
          <w:rFonts w:ascii="Arial" w:hAnsi="Arial" w:cs="Arial"/>
          <w:sz w:val="19"/>
          <w:szCs w:val="19"/>
          <w:lang w:val="es-ES"/>
        </w:rPr>
      </w:pPr>
      <w:r w:rsidRPr="00834286">
        <w:rPr>
          <w:rStyle w:val="Refdenotaalpie"/>
          <w:rFonts w:ascii="Arial" w:hAnsi="Arial" w:cs="Arial"/>
          <w:sz w:val="19"/>
          <w:szCs w:val="19"/>
        </w:rPr>
        <w:footnoteRef/>
      </w:r>
      <w:r w:rsidRPr="00834286">
        <w:rPr>
          <w:rFonts w:ascii="Arial" w:hAnsi="Arial" w:cs="Arial"/>
          <w:sz w:val="19"/>
          <w:szCs w:val="19"/>
        </w:rPr>
        <w:t xml:space="preserve"> </w:t>
      </w:r>
      <w:r w:rsidRPr="00834286">
        <w:rPr>
          <w:rFonts w:ascii="Arial" w:hAnsi="Arial" w:cs="Arial"/>
          <w:i/>
          <w:sz w:val="19"/>
          <w:szCs w:val="19"/>
          <w:lang w:val="es-ES"/>
        </w:rPr>
        <w:t>Ídem</w:t>
      </w:r>
      <w:r w:rsidRPr="00834286">
        <w:rPr>
          <w:rFonts w:ascii="Arial" w:hAnsi="Arial" w:cs="Arial"/>
          <w:sz w:val="19"/>
          <w:szCs w:val="19"/>
          <w:lang w:val="es-ES"/>
        </w:rPr>
        <w:t>.</w:t>
      </w:r>
    </w:p>
  </w:footnote>
  <w:footnote w:id="35">
    <w:p w14:paraId="535699C8" w14:textId="214B46C4" w:rsidR="00A22F60" w:rsidRDefault="00A22F60" w:rsidP="00077759">
      <w:pPr>
        <w:pStyle w:val="Textonotapie"/>
        <w:ind w:firstLine="709"/>
        <w:jc w:val="both"/>
        <w:rPr>
          <w:rFonts w:ascii="Arial" w:hAnsi="Arial" w:cs="Arial"/>
          <w:sz w:val="19"/>
          <w:szCs w:val="19"/>
          <w:lang w:val="es-ES"/>
        </w:rPr>
      </w:pPr>
      <w:r w:rsidRPr="00834286">
        <w:rPr>
          <w:rStyle w:val="Refdenotaalpie"/>
          <w:rFonts w:ascii="Arial" w:hAnsi="Arial" w:cs="Arial"/>
          <w:sz w:val="19"/>
          <w:szCs w:val="19"/>
        </w:rPr>
        <w:footnoteRef/>
      </w:r>
      <w:r w:rsidRPr="00834286">
        <w:rPr>
          <w:rStyle w:val="Refdenotaalpie"/>
          <w:rFonts w:ascii="Arial" w:hAnsi="Arial" w:cs="Arial"/>
          <w:sz w:val="19"/>
          <w:szCs w:val="19"/>
        </w:rPr>
        <w:t xml:space="preserve"> </w:t>
      </w:r>
      <w:bookmarkStart w:id="25" w:name="_Hlk74297130"/>
      <w:r w:rsidRPr="00834286">
        <w:rPr>
          <w:rFonts w:ascii="Arial" w:hAnsi="Arial" w:cs="Arial"/>
          <w:sz w:val="19"/>
          <w:szCs w:val="19"/>
          <w:lang w:val="es-ES"/>
        </w:rPr>
        <w:t>«</w:t>
      </w:r>
      <w:bookmarkEnd w:id="25"/>
      <w:r w:rsidRPr="00834286">
        <w:rPr>
          <w:rFonts w:ascii="Arial" w:hAnsi="Arial" w:cs="Arial"/>
          <w:sz w:val="19"/>
          <w:szCs w:val="19"/>
          <w:lang w:val="es-ES"/>
        </w:rPr>
        <w:t xml:space="preserve">[…] A este respecto, cabe recordar que el artículo 860 del Código de Comercio regula la licitación en el derecho privado». </w:t>
      </w:r>
    </w:p>
    <w:p w14:paraId="5FE680D4" w14:textId="77777777" w:rsidR="003C5EDA" w:rsidRPr="00834286" w:rsidRDefault="003C5EDA" w:rsidP="00077759">
      <w:pPr>
        <w:pStyle w:val="Textonotapie"/>
        <w:ind w:firstLine="709"/>
        <w:jc w:val="both"/>
        <w:rPr>
          <w:rFonts w:ascii="Arial" w:hAnsi="Arial" w:cs="Arial"/>
          <w:sz w:val="19"/>
          <w:szCs w:val="19"/>
          <w:lang w:val="es-ES"/>
        </w:rPr>
      </w:pPr>
    </w:p>
  </w:footnote>
  <w:footnote w:id="36">
    <w:p w14:paraId="3C567296" w14:textId="28E924A0" w:rsidR="00A22F60" w:rsidRDefault="00A22F60" w:rsidP="00077759">
      <w:pPr>
        <w:shd w:val="clear" w:color="auto" w:fill="FFFFFF"/>
        <w:ind w:firstLine="709"/>
        <w:jc w:val="both"/>
        <w:rPr>
          <w:rFonts w:ascii="Arial" w:hAnsi="Arial" w:cs="Arial"/>
          <w:sz w:val="19"/>
          <w:szCs w:val="19"/>
          <w:lang w:val="es-ES"/>
        </w:rPr>
      </w:pPr>
      <w:r w:rsidRPr="00834286">
        <w:rPr>
          <w:rStyle w:val="Refdenotaalpie"/>
          <w:rFonts w:ascii="Arial" w:hAnsi="Arial" w:cs="Arial"/>
          <w:sz w:val="19"/>
          <w:szCs w:val="19"/>
        </w:rPr>
        <w:footnoteRef/>
      </w:r>
      <w:r w:rsidRPr="00834286">
        <w:rPr>
          <w:rStyle w:val="Refdenotaalpie"/>
          <w:rFonts w:ascii="Arial" w:hAnsi="Arial" w:cs="Arial"/>
          <w:sz w:val="19"/>
          <w:szCs w:val="19"/>
        </w:rPr>
        <w:t xml:space="preserve"> </w:t>
      </w:r>
      <w:r w:rsidRPr="00834286">
        <w:rPr>
          <w:rFonts w:ascii="Arial" w:hAnsi="Arial" w:cs="Arial"/>
          <w:sz w:val="19"/>
          <w:szCs w:val="19"/>
          <w:lang w:val="es-ES"/>
        </w:rPr>
        <w:t>Consejo de Estado. Sala de Consulta y Servicio Civil, Concepto de 8 de mayo de 2018. Radicación Número: 11001-03-06-000-2018-00095-00(2382). Consejero Ponente: Álvaro Namén Vargas.</w:t>
      </w:r>
    </w:p>
    <w:p w14:paraId="132EDF47" w14:textId="77777777" w:rsidR="003C5EDA" w:rsidRPr="00834286" w:rsidRDefault="003C5EDA" w:rsidP="00077759">
      <w:pPr>
        <w:shd w:val="clear" w:color="auto" w:fill="FFFFFF"/>
        <w:ind w:firstLine="709"/>
        <w:jc w:val="both"/>
        <w:rPr>
          <w:rFonts w:ascii="Arial" w:hAnsi="Arial" w:cs="Arial"/>
          <w:sz w:val="19"/>
          <w:szCs w:val="19"/>
          <w:lang w:val="es-ES"/>
        </w:rPr>
      </w:pPr>
    </w:p>
  </w:footnote>
  <w:footnote w:id="37">
    <w:p w14:paraId="5B76B1AB" w14:textId="77777777" w:rsidR="00A22F60" w:rsidRPr="00834286" w:rsidRDefault="00A22F60" w:rsidP="00077759">
      <w:pPr>
        <w:pStyle w:val="Textonotapie"/>
        <w:ind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Consejo de Estado. Sala de Consulta y Servicio Civil. Concepto del 08 de mayo de 2018. Exp. 2.382. C.P. Álvaro Namén Vargas.</w:t>
      </w:r>
    </w:p>
  </w:footnote>
  <w:footnote w:id="38">
    <w:p w14:paraId="738ACA67" w14:textId="77777777" w:rsidR="00A22F60" w:rsidRPr="00834286" w:rsidRDefault="00A22F60" w:rsidP="00077759">
      <w:pPr>
        <w:pStyle w:val="Textonotapie"/>
        <w:ind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39">
    <w:p w14:paraId="2E83D717" w14:textId="6996E1CD" w:rsidR="00A22F60" w:rsidRDefault="00A22F60" w:rsidP="00077759">
      <w:pPr>
        <w:ind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5C61717A" w14:textId="77777777" w:rsidR="003C5EDA" w:rsidRPr="00834286" w:rsidRDefault="003C5EDA" w:rsidP="00077759">
      <w:pPr>
        <w:ind w:firstLine="709"/>
        <w:jc w:val="both"/>
        <w:rPr>
          <w:rFonts w:ascii="Arial" w:hAnsi="Arial" w:cs="Arial"/>
          <w:sz w:val="19"/>
          <w:szCs w:val="19"/>
        </w:rPr>
      </w:pPr>
    </w:p>
  </w:footnote>
  <w:footnote w:id="40">
    <w:p w14:paraId="12DF68FF" w14:textId="301B0C85" w:rsidR="00A22F60" w:rsidRDefault="00A22F60" w:rsidP="00077759">
      <w:pPr>
        <w:pStyle w:val="Textonotapie"/>
        <w:ind w:right="51" w:firstLine="709"/>
        <w:jc w:val="both"/>
        <w:rPr>
          <w:rFonts w:ascii="Arial" w:eastAsia="Times New Roman" w:hAnsi="Arial" w:cs="Arial"/>
          <w:bCs/>
          <w:sz w:val="19"/>
          <w:szCs w:val="19"/>
          <w:lang w:eastAsia="x-none"/>
        </w:rPr>
      </w:pPr>
      <w:r w:rsidRPr="00834286">
        <w:rPr>
          <w:rStyle w:val="Refdenotaalpie"/>
          <w:rFonts w:ascii="Arial" w:hAnsi="Arial" w:cs="Arial"/>
          <w:sz w:val="19"/>
          <w:szCs w:val="19"/>
        </w:rPr>
        <w:footnoteRef/>
      </w:r>
      <w:r w:rsidRPr="00834286">
        <w:rPr>
          <w:rFonts w:ascii="Arial" w:hAnsi="Arial" w:cs="Arial"/>
          <w:sz w:val="19"/>
          <w:szCs w:val="19"/>
        </w:rPr>
        <w:t xml:space="preserve"> </w:t>
      </w:r>
      <w:bookmarkStart w:id="41" w:name="_Hlk75633115"/>
      <w:r w:rsidRPr="00834286">
        <w:rPr>
          <w:rFonts w:ascii="Arial" w:hAnsi="Arial" w:cs="Arial"/>
          <w:sz w:val="19"/>
          <w:szCs w:val="19"/>
        </w:rPr>
        <w:t xml:space="preserve">Consejo de Estado. Sala de Consulta y Servicio Civil. Concepto </w:t>
      </w:r>
      <w:bookmarkEnd w:id="41"/>
      <w:r w:rsidRPr="00834286">
        <w:rPr>
          <w:rFonts w:ascii="Arial" w:hAnsi="Arial" w:cs="Arial"/>
          <w:sz w:val="19"/>
          <w:szCs w:val="19"/>
        </w:rPr>
        <w:t>de 6 de abril de 2006. Radicación Número: 11001-03-06-000-2006-00038-00(1738). Consejero Ponente: Enrique José Arboleda Perdomo:</w:t>
      </w:r>
      <w:r w:rsidRPr="00834286">
        <w:rPr>
          <w:rFonts w:ascii="Arial" w:eastAsia="Times New Roman" w:hAnsi="Arial" w:cs="Arial"/>
          <w:bCs/>
          <w:sz w:val="19"/>
          <w:szCs w:val="19"/>
          <w:lang w:eastAsia="x-none"/>
        </w:rPr>
        <w:t xml:space="preserve"> «</w:t>
      </w:r>
      <w:r w:rsidRPr="00834286">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834286">
        <w:rPr>
          <w:rFonts w:ascii="Arial" w:eastAsia="Times New Roman" w:hAnsi="Arial" w:cs="Arial"/>
          <w:bCs/>
          <w:sz w:val="19"/>
          <w:szCs w:val="19"/>
          <w:lang w:eastAsia="x-none"/>
        </w:rPr>
        <w:t>».</w:t>
      </w:r>
    </w:p>
    <w:p w14:paraId="18BC1480" w14:textId="77777777" w:rsidR="00834286" w:rsidRPr="00834286" w:rsidRDefault="00834286" w:rsidP="00077759">
      <w:pPr>
        <w:pStyle w:val="Textonotapie"/>
        <w:ind w:right="51" w:firstLine="709"/>
        <w:jc w:val="both"/>
        <w:rPr>
          <w:rFonts w:ascii="Arial" w:hAnsi="Arial" w:cs="Arial"/>
          <w:sz w:val="19"/>
          <w:szCs w:val="19"/>
        </w:rPr>
      </w:pPr>
    </w:p>
  </w:footnote>
  <w:footnote w:id="41">
    <w:p w14:paraId="1FCBB7BC" w14:textId="026B1F3C" w:rsidR="00A22F60" w:rsidRDefault="00A22F60" w:rsidP="00077759">
      <w:pPr>
        <w:pStyle w:val="Textonotapie"/>
        <w:ind w:right="51"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629A0521" w14:textId="77777777" w:rsidR="00834286" w:rsidRPr="00834286" w:rsidRDefault="00834286" w:rsidP="00077759">
      <w:pPr>
        <w:pStyle w:val="Textonotapie"/>
        <w:ind w:right="51" w:firstLine="709"/>
        <w:jc w:val="both"/>
        <w:rPr>
          <w:rFonts w:ascii="Arial" w:hAnsi="Arial" w:cs="Arial"/>
          <w:sz w:val="19"/>
          <w:szCs w:val="19"/>
        </w:rPr>
      </w:pPr>
    </w:p>
  </w:footnote>
  <w:footnote w:id="42">
    <w:p w14:paraId="65546A81" w14:textId="77777777" w:rsidR="00A22F60" w:rsidRPr="00834286" w:rsidRDefault="00A22F60" w:rsidP="00077759">
      <w:pPr>
        <w:pStyle w:val="Textonotapie"/>
        <w:ind w:right="51" w:firstLine="709"/>
        <w:jc w:val="both"/>
        <w:rPr>
          <w:rFonts w:ascii="Arial" w:hAnsi="Arial" w:cs="Arial"/>
          <w:sz w:val="19"/>
          <w:szCs w:val="19"/>
        </w:rPr>
      </w:pPr>
      <w:r w:rsidRPr="00834286">
        <w:rPr>
          <w:rStyle w:val="Refdenotaalpie"/>
          <w:rFonts w:ascii="Arial" w:hAnsi="Arial" w:cs="Arial"/>
          <w:sz w:val="19"/>
          <w:szCs w:val="19"/>
        </w:rPr>
        <w:footnoteRef/>
      </w:r>
      <w:r w:rsidRPr="00834286">
        <w:rPr>
          <w:rFonts w:ascii="Arial" w:hAnsi="Arial" w:cs="Arial"/>
          <w:sz w:val="19"/>
          <w:szCs w:val="19"/>
        </w:rPr>
        <w:t xml:space="preserve"> Consejo de Estado. Sala de Consulta y Servicio Civil,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8ECA" w14:textId="77777777" w:rsidR="00F0698C" w:rsidRDefault="00F0698C">
    <w:pPr>
      <w:pStyle w:val="Encabezado"/>
    </w:pPr>
    <w:r>
      <w:rPr>
        <w:noProof/>
        <w:lang w:val="es-ES_tradnl" w:eastAsia="es-ES_tradnl"/>
      </w:rPr>
      <w:drawing>
        <wp:anchor distT="0" distB="0" distL="114300" distR="114300" simplePos="0" relativeHeight="251659264" behindDoc="1" locked="0" layoutInCell="1" allowOverlap="1" wp14:anchorId="04B24A89" wp14:editId="46E21C0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82"/>
    <w:rsid w:val="0000765B"/>
    <w:rsid w:val="00014325"/>
    <w:rsid w:val="00030B62"/>
    <w:rsid w:val="0003132B"/>
    <w:rsid w:val="000400BF"/>
    <w:rsid w:val="00042186"/>
    <w:rsid w:val="00042211"/>
    <w:rsid w:val="00042B65"/>
    <w:rsid w:val="00045E8A"/>
    <w:rsid w:val="00047B7A"/>
    <w:rsid w:val="0005696F"/>
    <w:rsid w:val="000578C7"/>
    <w:rsid w:val="0006246E"/>
    <w:rsid w:val="00062EB3"/>
    <w:rsid w:val="0006670C"/>
    <w:rsid w:val="000704D3"/>
    <w:rsid w:val="00074E00"/>
    <w:rsid w:val="00077759"/>
    <w:rsid w:val="000834BB"/>
    <w:rsid w:val="00086F4A"/>
    <w:rsid w:val="00087078"/>
    <w:rsid w:val="00093AE6"/>
    <w:rsid w:val="00095071"/>
    <w:rsid w:val="000A56F0"/>
    <w:rsid w:val="000B1608"/>
    <w:rsid w:val="000B6391"/>
    <w:rsid w:val="000B7337"/>
    <w:rsid w:val="000C42EC"/>
    <w:rsid w:val="000D695F"/>
    <w:rsid w:val="000E099A"/>
    <w:rsid w:val="000E4E65"/>
    <w:rsid w:val="000E7B37"/>
    <w:rsid w:val="000F059B"/>
    <w:rsid w:val="000F3C1A"/>
    <w:rsid w:val="0010382C"/>
    <w:rsid w:val="00124A8A"/>
    <w:rsid w:val="00132921"/>
    <w:rsid w:val="001333FB"/>
    <w:rsid w:val="00143638"/>
    <w:rsid w:val="00144FA2"/>
    <w:rsid w:val="00145BD9"/>
    <w:rsid w:val="00162F65"/>
    <w:rsid w:val="0016560B"/>
    <w:rsid w:val="00166DCE"/>
    <w:rsid w:val="0017390D"/>
    <w:rsid w:val="00175BED"/>
    <w:rsid w:val="00177DF9"/>
    <w:rsid w:val="00182B7E"/>
    <w:rsid w:val="001974AD"/>
    <w:rsid w:val="001A3E62"/>
    <w:rsid w:val="001B012F"/>
    <w:rsid w:val="001C739E"/>
    <w:rsid w:val="001D43CC"/>
    <w:rsid w:val="001D6DDC"/>
    <w:rsid w:val="001E4043"/>
    <w:rsid w:val="001E59D3"/>
    <w:rsid w:val="001E61AE"/>
    <w:rsid w:val="001F1F0D"/>
    <w:rsid w:val="001F2382"/>
    <w:rsid w:val="00204109"/>
    <w:rsid w:val="00205579"/>
    <w:rsid w:val="00205D2F"/>
    <w:rsid w:val="00212BC9"/>
    <w:rsid w:val="00214812"/>
    <w:rsid w:val="00215E5B"/>
    <w:rsid w:val="00220E0E"/>
    <w:rsid w:val="00230394"/>
    <w:rsid w:val="00230416"/>
    <w:rsid w:val="002364C9"/>
    <w:rsid w:val="002437DE"/>
    <w:rsid w:val="00245755"/>
    <w:rsid w:val="002500CB"/>
    <w:rsid w:val="002645F4"/>
    <w:rsid w:val="00264639"/>
    <w:rsid w:val="002758A1"/>
    <w:rsid w:val="00276B18"/>
    <w:rsid w:val="00285490"/>
    <w:rsid w:val="00286ADD"/>
    <w:rsid w:val="00293309"/>
    <w:rsid w:val="002A1DD5"/>
    <w:rsid w:val="002A2166"/>
    <w:rsid w:val="002A36A1"/>
    <w:rsid w:val="002A67B4"/>
    <w:rsid w:val="002B07AD"/>
    <w:rsid w:val="002C1392"/>
    <w:rsid w:val="002C365D"/>
    <w:rsid w:val="002C3CCB"/>
    <w:rsid w:val="002C4053"/>
    <w:rsid w:val="002C5716"/>
    <w:rsid w:val="002C5A87"/>
    <w:rsid w:val="002C694F"/>
    <w:rsid w:val="002D1B78"/>
    <w:rsid w:val="002D51C8"/>
    <w:rsid w:val="002E6D27"/>
    <w:rsid w:val="002F4CB6"/>
    <w:rsid w:val="002F74A4"/>
    <w:rsid w:val="00304C48"/>
    <w:rsid w:val="003067BC"/>
    <w:rsid w:val="003358ED"/>
    <w:rsid w:val="00342445"/>
    <w:rsid w:val="003512EC"/>
    <w:rsid w:val="003515A6"/>
    <w:rsid w:val="00354EB0"/>
    <w:rsid w:val="003600C1"/>
    <w:rsid w:val="00363986"/>
    <w:rsid w:val="003656BD"/>
    <w:rsid w:val="00380261"/>
    <w:rsid w:val="003803A1"/>
    <w:rsid w:val="00380A78"/>
    <w:rsid w:val="00393523"/>
    <w:rsid w:val="00396317"/>
    <w:rsid w:val="003B16FC"/>
    <w:rsid w:val="003B1EB2"/>
    <w:rsid w:val="003B43EE"/>
    <w:rsid w:val="003C1693"/>
    <w:rsid w:val="003C2465"/>
    <w:rsid w:val="003C57C5"/>
    <w:rsid w:val="003C5921"/>
    <w:rsid w:val="003C5EDA"/>
    <w:rsid w:val="003D1008"/>
    <w:rsid w:val="003D585B"/>
    <w:rsid w:val="003E1551"/>
    <w:rsid w:val="003E7BA0"/>
    <w:rsid w:val="003F093D"/>
    <w:rsid w:val="003F3EB9"/>
    <w:rsid w:val="003F483E"/>
    <w:rsid w:val="00401D29"/>
    <w:rsid w:val="004119BF"/>
    <w:rsid w:val="00417404"/>
    <w:rsid w:val="00417441"/>
    <w:rsid w:val="00423E0F"/>
    <w:rsid w:val="0042754E"/>
    <w:rsid w:val="00434375"/>
    <w:rsid w:val="00434C5E"/>
    <w:rsid w:val="00443857"/>
    <w:rsid w:val="00450DBD"/>
    <w:rsid w:val="00452B8D"/>
    <w:rsid w:val="00454270"/>
    <w:rsid w:val="00454EB0"/>
    <w:rsid w:val="00456BC4"/>
    <w:rsid w:val="004665AB"/>
    <w:rsid w:val="00473934"/>
    <w:rsid w:val="0047419B"/>
    <w:rsid w:val="00475A2C"/>
    <w:rsid w:val="00475A37"/>
    <w:rsid w:val="004817A1"/>
    <w:rsid w:val="004832C6"/>
    <w:rsid w:val="004902EA"/>
    <w:rsid w:val="00491014"/>
    <w:rsid w:val="00491749"/>
    <w:rsid w:val="00491D23"/>
    <w:rsid w:val="00494C9E"/>
    <w:rsid w:val="004A2A82"/>
    <w:rsid w:val="004B2F94"/>
    <w:rsid w:val="004B57FE"/>
    <w:rsid w:val="004C0519"/>
    <w:rsid w:val="004D3604"/>
    <w:rsid w:val="004D74E1"/>
    <w:rsid w:val="004E7256"/>
    <w:rsid w:val="004F5075"/>
    <w:rsid w:val="004F55EC"/>
    <w:rsid w:val="005100A9"/>
    <w:rsid w:val="005179A9"/>
    <w:rsid w:val="0052365C"/>
    <w:rsid w:val="00523676"/>
    <w:rsid w:val="00525327"/>
    <w:rsid w:val="0052635A"/>
    <w:rsid w:val="00541927"/>
    <w:rsid w:val="00543422"/>
    <w:rsid w:val="0055748D"/>
    <w:rsid w:val="00557BDC"/>
    <w:rsid w:val="0056115F"/>
    <w:rsid w:val="00562508"/>
    <w:rsid w:val="00570E7D"/>
    <w:rsid w:val="0057360A"/>
    <w:rsid w:val="005754C1"/>
    <w:rsid w:val="00575C11"/>
    <w:rsid w:val="005763C1"/>
    <w:rsid w:val="00582E1D"/>
    <w:rsid w:val="005840D2"/>
    <w:rsid w:val="00585D24"/>
    <w:rsid w:val="0058697D"/>
    <w:rsid w:val="00586BBA"/>
    <w:rsid w:val="00591152"/>
    <w:rsid w:val="00596CD1"/>
    <w:rsid w:val="005A3DC1"/>
    <w:rsid w:val="005A74F8"/>
    <w:rsid w:val="005B2327"/>
    <w:rsid w:val="005B6853"/>
    <w:rsid w:val="005C0F74"/>
    <w:rsid w:val="005C3656"/>
    <w:rsid w:val="005C7988"/>
    <w:rsid w:val="005D5CF4"/>
    <w:rsid w:val="005D6D17"/>
    <w:rsid w:val="005E25E6"/>
    <w:rsid w:val="005E4494"/>
    <w:rsid w:val="005F1698"/>
    <w:rsid w:val="00600CB8"/>
    <w:rsid w:val="00613B27"/>
    <w:rsid w:val="0062095B"/>
    <w:rsid w:val="00623AB1"/>
    <w:rsid w:val="006311C9"/>
    <w:rsid w:val="006320D2"/>
    <w:rsid w:val="00645294"/>
    <w:rsid w:val="0065571E"/>
    <w:rsid w:val="0066564F"/>
    <w:rsid w:val="00666BD9"/>
    <w:rsid w:val="0067134F"/>
    <w:rsid w:val="00672598"/>
    <w:rsid w:val="00680F71"/>
    <w:rsid w:val="00691100"/>
    <w:rsid w:val="006B0BB2"/>
    <w:rsid w:val="006B27E0"/>
    <w:rsid w:val="006B33B7"/>
    <w:rsid w:val="006C641E"/>
    <w:rsid w:val="006D2E18"/>
    <w:rsid w:val="006D512A"/>
    <w:rsid w:val="006D6190"/>
    <w:rsid w:val="006E2FB1"/>
    <w:rsid w:val="006E7094"/>
    <w:rsid w:val="006F4416"/>
    <w:rsid w:val="007022AF"/>
    <w:rsid w:val="00705C25"/>
    <w:rsid w:val="007136C8"/>
    <w:rsid w:val="007139FE"/>
    <w:rsid w:val="00721987"/>
    <w:rsid w:val="007339B8"/>
    <w:rsid w:val="00733E6B"/>
    <w:rsid w:val="007341A6"/>
    <w:rsid w:val="00735D1D"/>
    <w:rsid w:val="00736B9B"/>
    <w:rsid w:val="007449A6"/>
    <w:rsid w:val="00764D5F"/>
    <w:rsid w:val="007731BF"/>
    <w:rsid w:val="0077525B"/>
    <w:rsid w:val="00780BD5"/>
    <w:rsid w:val="00787590"/>
    <w:rsid w:val="00793B68"/>
    <w:rsid w:val="00795302"/>
    <w:rsid w:val="007A30F6"/>
    <w:rsid w:val="007A6021"/>
    <w:rsid w:val="007A79C6"/>
    <w:rsid w:val="007D2C70"/>
    <w:rsid w:val="007D57AA"/>
    <w:rsid w:val="007D5D21"/>
    <w:rsid w:val="007D7719"/>
    <w:rsid w:val="007E6D63"/>
    <w:rsid w:val="007F4466"/>
    <w:rsid w:val="007F5D64"/>
    <w:rsid w:val="00801CD9"/>
    <w:rsid w:val="00810363"/>
    <w:rsid w:val="008239D6"/>
    <w:rsid w:val="00826597"/>
    <w:rsid w:val="00827922"/>
    <w:rsid w:val="00832680"/>
    <w:rsid w:val="00834286"/>
    <w:rsid w:val="00835DA4"/>
    <w:rsid w:val="0084074B"/>
    <w:rsid w:val="00841369"/>
    <w:rsid w:val="00842675"/>
    <w:rsid w:val="00843D0A"/>
    <w:rsid w:val="00845FB5"/>
    <w:rsid w:val="008478DC"/>
    <w:rsid w:val="0085079C"/>
    <w:rsid w:val="0085127D"/>
    <w:rsid w:val="00852A65"/>
    <w:rsid w:val="00854FB8"/>
    <w:rsid w:val="008564E1"/>
    <w:rsid w:val="00861A45"/>
    <w:rsid w:val="008653FC"/>
    <w:rsid w:val="008716DF"/>
    <w:rsid w:val="008749A5"/>
    <w:rsid w:val="00882CC5"/>
    <w:rsid w:val="008901D9"/>
    <w:rsid w:val="008A16A4"/>
    <w:rsid w:val="008A2D4A"/>
    <w:rsid w:val="008B0F95"/>
    <w:rsid w:val="008B22FC"/>
    <w:rsid w:val="008C40C0"/>
    <w:rsid w:val="008C7522"/>
    <w:rsid w:val="008D243D"/>
    <w:rsid w:val="008E423C"/>
    <w:rsid w:val="008F419B"/>
    <w:rsid w:val="008F66B1"/>
    <w:rsid w:val="008F7E40"/>
    <w:rsid w:val="0090191E"/>
    <w:rsid w:val="009035E7"/>
    <w:rsid w:val="00903C6A"/>
    <w:rsid w:val="00904D6F"/>
    <w:rsid w:val="00906AB6"/>
    <w:rsid w:val="00916468"/>
    <w:rsid w:val="00924383"/>
    <w:rsid w:val="00926AF5"/>
    <w:rsid w:val="00941D03"/>
    <w:rsid w:val="00943F79"/>
    <w:rsid w:val="009444DF"/>
    <w:rsid w:val="0094684E"/>
    <w:rsid w:val="009502F2"/>
    <w:rsid w:val="00950C46"/>
    <w:rsid w:val="009518F7"/>
    <w:rsid w:val="009657D8"/>
    <w:rsid w:val="00967F55"/>
    <w:rsid w:val="00970A78"/>
    <w:rsid w:val="0097219D"/>
    <w:rsid w:val="0098227F"/>
    <w:rsid w:val="00983B18"/>
    <w:rsid w:val="009B2868"/>
    <w:rsid w:val="009B2D84"/>
    <w:rsid w:val="009B52BA"/>
    <w:rsid w:val="009C0B3A"/>
    <w:rsid w:val="009C1A06"/>
    <w:rsid w:val="009C3282"/>
    <w:rsid w:val="009D4CCD"/>
    <w:rsid w:val="009D5441"/>
    <w:rsid w:val="009F4500"/>
    <w:rsid w:val="009F7E96"/>
    <w:rsid w:val="00A064DF"/>
    <w:rsid w:val="00A10788"/>
    <w:rsid w:val="00A122B6"/>
    <w:rsid w:val="00A13503"/>
    <w:rsid w:val="00A1654F"/>
    <w:rsid w:val="00A1746F"/>
    <w:rsid w:val="00A22F60"/>
    <w:rsid w:val="00A255C9"/>
    <w:rsid w:val="00A32C4B"/>
    <w:rsid w:val="00A4323D"/>
    <w:rsid w:val="00A47D7D"/>
    <w:rsid w:val="00A534F0"/>
    <w:rsid w:val="00A543D2"/>
    <w:rsid w:val="00A628BF"/>
    <w:rsid w:val="00A63DCD"/>
    <w:rsid w:val="00A6593F"/>
    <w:rsid w:val="00A7547F"/>
    <w:rsid w:val="00A80B7E"/>
    <w:rsid w:val="00A936DC"/>
    <w:rsid w:val="00A94687"/>
    <w:rsid w:val="00AA2E9E"/>
    <w:rsid w:val="00AB1F30"/>
    <w:rsid w:val="00AB3B92"/>
    <w:rsid w:val="00AB7F84"/>
    <w:rsid w:val="00AD0CE2"/>
    <w:rsid w:val="00AD2454"/>
    <w:rsid w:val="00AD6AAC"/>
    <w:rsid w:val="00AF2F47"/>
    <w:rsid w:val="00B00CAB"/>
    <w:rsid w:val="00B11894"/>
    <w:rsid w:val="00B21997"/>
    <w:rsid w:val="00B25C0D"/>
    <w:rsid w:val="00B37293"/>
    <w:rsid w:val="00B44142"/>
    <w:rsid w:val="00B4454C"/>
    <w:rsid w:val="00B76AA0"/>
    <w:rsid w:val="00B773DF"/>
    <w:rsid w:val="00B8048D"/>
    <w:rsid w:val="00B826AD"/>
    <w:rsid w:val="00B9652B"/>
    <w:rsid w:val="00B967C4"/>
    <w:rsid w:val="00B97F29"/>
    <w:rsid w:val="00BA5D02"/>
    <w:rsid w:val="00BB17DC"/>
    <w:rsid w:val="00BB1A91"/>
    <w:rsid w:val="00BC6EA1"/>
    <w:rsid w:val="00BD2C6A"/>
    <w:rsid w:val="00BD31F6"/>
    <w:rsid w:val="00BD48A9"/>
    <w:rsid w:val="00BE0B50"/>
    <w:rsid w:val="00BE2979"/>
    <w:rsid w:val="00BE6F3F"/>
    <w:rsid w:val="00BF35CD"/>
    <w:rsid w:val="00BF469E"/>
    <w:rsid w:val="00BF7179"/>
    <w:rsid w:val="00C01336"/>
    <w:rsid w:val="00C02F20"/>
    <w:rsid w:val="00C0355F"/>
    <w:rsid w:val="00C04A9C"/>
    <w:rsid w:val="00C06384"/>
    <w:rsid w:val="00C06AC0"/>
    <w:rsid w:val="00C13B12"/>
    <w:rsid w:val="00C22C0F"/>
    <w:rsid w:val="00C233B0"/>
    <w:rsid w:val="00C263E8"/>
    <w:rsid w:val="00C40FFA"/>
    <w:rsid w:val="00C445DB"/>
    <w:rsid w:val="00C547A6"/>
    <w:rsid w:val="00C54D0F"/>
    <w:rsid w:val="00C63985"/>
    <w:rsid w:val="00C6477F"/>
    <w:rsid w:val="00C70354"/>
    <w:rsid w:val="00C735EA"/>
    <w:rsid w:val="00C7637F"/>
    <w:rsid w:val="00C832D6"/>
    <w:rsid w:val="00C9069F"/>
    <w:rsid w:val="00C91DE3"/>
    <w:rsid w:val="00C96F1F"/>
    <w:rsid w:val="00CA2143"/>
    <w:rsid w:val="00CA7ACF"/>
    <w:rsid w:val="00CB01D7"/>
    <w:rsid w:val="00CB3ACC"/>
    <w:rsid w:val="00CB5307"/>
    <w:rsid w:val="00CB5AE0"/>
    <w:rsid w:val="00CB6799"/>
    <w:rsid w:val="00CB6DA0"/>
    <w:rsid w:val="00CC46E6"/>
    <w:rsid w:val="00CC4F51"/>
    <w:rsid w:val="00D06267"/>
    <w:rsid w:val="00D067F7"/>
    <w:rsid w:val="00D11463"/>
    <w:rsid w:val="00D1685E"/>
    <w:rsid w:val="00D16C3D"/>
    <w:rsid w:val="00D263F4"/>
    <w:rsid w:val="00D410E7"/>
    <w:rsid w:val="00D470AB"/>
    <w:rsid w:val="00D50F9A"/>
    <w:rsid w:val="00D53EE6"/>
    <w:rsid w:val="00D67277"/>
    <w:rsid w:val="00D678E2"/>
    <w:rsid w:val="00D76714"/>
    <w:rsid w:val="00D841D6"/>
    <w:rsid w:val="00D94319"/>
    <w:rsid w:val="00D9719C"/>
    <w:rsid w:val="00DA25E3"/>
    <w:rsid w:val="00DA2F6D"/>
    <w:rsid w:val="00DB6C15"/>
    <w:rsid w:val="00DB6CC6"/>
    <w:rsid w:val="00DB73A6"/>
    <w:rsid w:val="00DC24F7"/>
    <w:rsid w:val="00DD29D0"/>
    <w:rsid w:val="00DE103B"/>
    <w:rsid w:val="00DE3E17"/>
    <w:rsid w:val="00DE40C2"/>
    <w:rsid w:val="00DE432A"/>
    <w:rsid w:val="00DE69BF"/>
    <w:rsid w:val="00DE7048"/>
    <w:rsid w:val="00DF6614"/>
    <w:rsid w:val="00E05E77"/>
    <w:rsid w:val="00E078E8"/>
    <w:rsid w:val="00E25691"/>
    <w:rsid w:val="00E36266"/>
    <w:rsid w:val="00E36D92"/>
    <w:rsid w:val="00E44A0F"/>
    <w:rsid w:val="00E45571"/>
    <w:rsid w:val="00E56459"/>
    <w:rsid w:val="00E65D47"/>
    <w:rsid w:val="00E661E8"/>
    <w:rsid w:val="00E700E6"/>
    <w:rsid w:val="00E7034E"/>
    <w:rsid w:val="00E70DCF"/>
    <w:rsid w:val="00E70EE5"/>
    <w:rsid w:val="00E71313"/>
    <w:rsid w:val="00E732AB"/>
    <w:rsid w:val="00EA07BF"/>
    <w:rsid w:val="00EA5B63"/>
    <w:rsid w:val="00EA639E"/>
    <w:rsid w:val="00EB0BC9"/>
    <w:rsid w:val="00EB6B0A"/>
    <w:rsid w:val="00ED0704"/>
    <w:rsid w:val="00ED33A7"/>
    <w:rsid w:val="00EE3D0D"/>
    <w:rsid w:val="00EE601B"/>
    <w:rsid w:val="00EF0A9E"/>
    <w:rsid w:val="00EF1F41"/>
    <w:rsid w:val="00F0006E"/>
    <w:rsid w:val="00F0291C"/>
    <w:rsid w:val="00F0698C"/>
    <w:rsid w:val="00F07BE2"/>
    <w:rsid w:val="00F179DD"/>
    <w:rsid w:val="00F21083"/>
    <w:rsid w:val="00F217B0"/>
    <w:rsid w:val="00F2625D"/>
    <w:rsid w:val="00F27839"/>
    <w:rsid w:val="00F5090F"/>
    <w:rsid w:val="00F50B1A"/>
    <w:rsid w:val="00F5520F"/>
    <w:rsid w:val="00F56163"/>
    <w:rsid w:val="00F679A7"/>
    <w:rsid w:val="00F70788"/>
    <w:rsid w:val="00F71ADB"/>
    <w:rsid w:val="00F776EB"/>
    <w:rsid w:val="00F836F2"/>
    <w:rsid w:val="00F874E6"/>
    <w:rsid w:val="00F9057F"/>
    <w:rsid w:val="00F90F0B"/>
    <w:rsid w:val="00F91BAF"/>
    <w:rsid w:val="00F96E66"/>
    <w:rsid w:val="00FA4BC9"/>
    <w:rsid w:val="00FC4B48"/>
    <w:rsid w:val="00FC778C"/>
    <w:rsid w:val="00FE0D82"/>
    <w:rsid w:val="00FF1E1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9F1C"/>
  <w15:chartTrackingRefBased/>
  <w15:docId w15:val="{01CBB0D3-D1DF-4F8D-81D7-0C969FD1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82"/>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C3282"/>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C3282"/>
    <w:rPr>
      <w:sz w:val="24"/>
      <w:lang w:val="es-MX"/>
    </w:rPr>
  </w:style>
  <w:style w:type="paragraph" w:styleId="Encabezado">
    <w:name w:val="header"/>
    <w:basedOn w:val="Normal"/>
    <w:link w:val="EncabezadoCar"/>
    <w:uiPriority w:val="99"/>
    <w:unhideWhenUsed/>
    <w:rsid w:val="009C3282"/>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C3282"/>
    <w:rPr>
      <w:sz w:val="24"/>
      <w:lang w:val="es-MX"/>
    </w:rPr>
  </w:style>
  <w:style w:type="table" w:styleId="Tablaconcuadrcula">
    <w:name w:val="Table Grid"/>
    <w:basedOn w:val="Tablanormal"/>
    <w:uiPriority w:val="39"/>
    <w:rsid w:val="009C3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C3282"/>
    <w:pPr>
      <w:ind w:left="720"/>
      <w:contextualSpacing/>
    </w:pPr>
    <w:rPr>
      <w:rFonts w:asciiTheme="minorHAnsi" w:eastAsiaTheme="minorHAnsi" w:hAnsiTheme="minorHAnsi" w:cstheme="minorBidi"/>
      <w:szCs w:val="22"/>
      <w:lang w:val="es-MX" w:eastAsia="en-US"/>
    </w:rPr>
  </w:style>
  <w:style w:type="paragraph" w:styleId="NormalWeb">
    <w:name w:val="Normal (Web)"/>
    <w:basedOn w:val="Normal"/>
    <w:link w:val="NormalWebCar"/>
    <w:uiPriority w:val="99"/>
    <w:unhideWhenUsed/>
    <w:rsid w:val="009C3282"/>
    <w:pPr>
      <w:spacing w:before="100" w:beforeAutospacing="1" w:after="100" w:afterAutospacing="1"/>
    </w:pPr>
    <w:rPr>
      <w:lang w:eastAsia="es-CO"/>
    </w:rPr>
  </w:style>
  <w:style w:type="paragraph" w:styleId="Sinespaciado">
    <w:name w:val="No Spacing"/>
    <w:aliases w:val="No Indent"/>
    <w:uiPriority w:val="3"/>
    <w:qFormat/>
    <w:rsid w:val="009C3282"/>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C328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9C3282"/>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C3282"/>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C3282"/>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C3282"/>
    <w:rPr>
      <w:vertAlign w:val="superscript"/>
    </w:rPr>
  </w:style>
  <w:style w:type="paragraph" w:customStyle="1" w:styleId="Appelnotedebasde">
    <w:name w:val="Appel note de bas de..."/>
    <w:basedOn w:val="Normal"/>
    <w:link w:val="Refdenotaalpie"/>
    <w:uiPriority w:val="99"/>
    <w:rsid w:val="009C3282"/>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9C3282"/>
    <w:rPr>
      <w:rFonts w:ascii="Times New Roman" w:eastAsia="Times New Roman" w:hAnsi="Times New Roman" w:cs="Times New Roman"/>
      <w:sz w:val="24"/>
      <w:szCs w:val="24"/>
      <w:lang w:eastAsia="es-CO"/>
    </w:rPr>
  </w:style>
  <w:style w:type="character" w:customStyle="1" w:styleId="baj">
    <w:name w:val="b_aj"/>
    <w:basedOn w:val="Fuentedeprrafopredeter"/>
    <w:rsid w:val="009C3282"/>
  </w:style>
  <w:style w:type="paragraph" w:styleId="Textodeglobo">
    <w:name w:val="Balloon Text"/>
    <w:basedOn w:val="Normal"/>
    <w:link w:val="TextodegloboCar"/>
    <w:uiPriority w:val="99"/>
    <w:semiHidden/>
    <w:unhideWhenUsed/>
    <w:rsid w:val="009C32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3282"/>
    <w:rPr>
      <w:rFonts w:ascii="Segoe UI" w:eastAsia="Times New Roman" w:hAnsi="Segoe UI" w:cs="Segoe UI"/>
      <w:sz w:val="18"/>
      <w:szCs w:val="18"/>
      <w:lang w:eastAsia="es-ES_tradnl"/>
    </w:rPr>
  </w:style>
  <w:style w:type="paragraph" w:styleId="Textoindependiente">
    <w:name w:val="Body Text"/>
    <w:basedOn w:val="Normal"/>
    <w:link w:val="TextoindependienteCar"/>
    <w:uiPriority w:val="1"/>
    <w:qFormat/>
    <w:rsid w:val="00A064DF"/>
    <w:pPr>
      <w:widowControl w:val="0"/>
      <w:autoSpaceDE w:val="0"/>
      <w:autoSpaceDN w:val="0"/>
    </w:pPr>
    <w:rPr>
      <w:rFonts w:ascii="DejaVu Sans Condensed" w:eastAsia="DejaVu Sans Condensed" w:hAnsi="DejaVu Sans Condensed" w:cs="DejaVu Sans Condensed"/>
      <w:sz w:val="16"/>
      <w:szCs w:val="16"/>
      <w:lang w:val="es-ES" w:eastAsia="en-US"/>
    </w:rPr>
  </w:style>
  <w:style w:type="character" w:customStyle="1" w:styleId="TextoindependienteCar">
    <w:name w:val="Texto independiente Car"/>
    <w:basedOn w:val="Fuentedeprrafopredeter"/>
    <w:link w:val="Textoindependiente"/>
    <w:uiPriority w:val="1"/>
    <w:rsid w:val="00A064DF"/>
    <w:rPr>
      <w:rFonts w:ascii="DejaVu Sans Condensed" w:eastAsia="DejaVu Sans Condensed" w:hAnsi="DejaVu Sans Condensed" w:cs="DejaVu Sans Condensed"/>
      <w:sz w:val="16"/>
      <w:szCs w:val="16"/>
      <w:lang w:val="es-ES"/>
    </w:rPr>
  </w:style>
  <w:style w:type="paragraph" w:customStyle="1" w:styleId="TableParagraph">
    <w:name w:val="Table Paragraph"/>
    <w:basedOn w:val="Normal"/>
    <w:uiPriority w:val="1"/>
    <w:qFormat/>
    <w:rsid w:val="00A064DF"/>
    <w:pPr>
      <w:widowControl w:val="0"/>
      <w:autoSpaceDE w:val="0"/>
      <w:autoSpaceDN w:val="0"/>
      <w:spacing w:before="137"/>
      <w:ind w:left="108"/>
    </w:pPr>
    <w:rPr>
      <w:rFonts w:ascii="DejaVu Sans Condensed" w:eastAsia="DejaVu Sans Condensed" w:hAnsi="DejaVu Sans Condensed" w:cs="DejaVu Sans Condensed"/>
      <w:sz w:val="22"/>
      <w:szCs w:val="22"/>
      <w:lang w:val="es-ES" w:eastAsia="en-US"/>
    </w:rPr>
  </w:style>
  <w:style w:type="character" w:styleId="Refdecomentario">
    <w:name w:val="annotation reference"/>
    <w:basedOn w:val="Fuentedeprrafopredeter"/>
    <w:uiPriority w:val="99"/>
    <w:semiHidden/>
    <w:unhideWhenUsed/>
    <w:rsid w:val="00BE0B50"/>
    <w:rPr>
      <w:sz w:val="16"/>
      <w:szCs w:val="16"/>
    </w:rPr>
  </w:style>
  <w:style w:type="paragraph" w:styleId="Textocomentario">
    <w:name w:val="annotation text"/>
    <w:basedOn w:val="Normal"/>
    <w:link w:val="TextocomentarioCar"/>
    <w:uiPriority w:val="99"/>
    <w:unhideWhenUsed/>
    <w:rsid w:val="00BE0B50"/>
    <w:rPr>
      <w:sz w:val="20"/>
      <w:szCs w:val="20"/>
    </w:rPr>
  </w:style>
  <w:style w:type="character" w:customStyle="1" w:styleId="TextocomentarioCar">
    <w:name w:val="Texto comentario Car"/>
    <w:basedOn w:val="Fuentedeprrafopredeter"/>
    <w:link w:val="Textocomentario"/>
    <w:uiPriority w:val="99"/>
    <w:rsid w:val="00BE0B50"/>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BE0B50"/>
    <w:rPr>
      <w:b/>
      <w:bCs/>
    </w:rPr>
  </w:style>
  <w:style w:type="character" w:customStyle="1" w:styleId="AsuntodelcomentarioCar">
    <w:name w:val="Asunto del comentario Car"/>
    <w:basedOn w:val="TextocomentarioCar"/>
    <w:link w:val="Asuntodelcomentario"/>
    <w:uiPriority w:val="99"/>
    <w:semiHidden/>
    <w:rsid w:val="00BE0B50"/>
    <w:rPr>
      <w:rFonts w:ascii="Times New Roman" w:eastAsia="Times New Roman" w:hAnsi="Times New Roman" w:cs="Times New Roman"/>
      <w:b/>
      <w:bCs/>
      <w:sz w:val="20"/>
      <w:szCs w:val="20"/>
      <w:lang w:eastAsia="es-ES_tradnl"/>
    </w:rPr>
  </w:style>
  <w:style w:type="paragraph" w:styleId="Revisin">
    <w:name w:val="Revision"/>
    <w:hidden/>
    <w:uiPriority w:val="99"/>
    <w:semiHidden/>
    <w:rsid w:val="001E4043"/>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60707">
      <w:bodyDiv w:val="1"/>
      <w:marLeft w:val="0"/>
      <w:marRight w:val="0"/>
      <w:marTop w:val="0"/>
      <w:marBottom w:val="0"/>
      <w:divBdr>
        <w:top w:val="none" w:sz="0" w:space="0" w:color="auto"/>
        <w:left w:val="none" w:sz="0" w:space="0" w:color="auto"/>
        <w:bottom w:val="none" w:sz="0" w:space="0" w:color="auto"/>
        <w:right w:val="none" w:sz="0" w:space="0" w:color="auto"/>
      </w:divBdr>
    </w:div>
    <w:div w:id="1224833394">
      <w:bodyDiv w:val="1"/>
      <w:marLeft w:val="0"/>
      <w:marRight w:val="0"/>
      <w:marTop w:val="0"/>
      <w:marBottom w:val="0"/>
      <w:divBdr>
        <w:top w:val="none" w:sz="0" w:space="0" w:color="auto"/>
        <w:left w:val="none" w:sz="0" w:space="0" w:color="auto"/>
        <w:bottom w:val="none" w:sz="0" w:space="0" w:color="auto"/>
        <w:right w:val="none" w:sz="0" w:space="0" w:color="auto"/>
      </w:divBdr>
    </w:div>
    <w:div w:id="19048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E03CD7A-9E68-4ACD-84CB-1902A6E7E069}">
  <ds:schemaRefs>
    <ds:schemaRef ds:uri="http://schemas.microsoft.com/sharepoint/v3/contenttype/forms"/>
  </ds:schemaRefs>
</ds:datastoreItem>
</file>

<file path=customXml/itemProps2.xml><?xml version="1.0" encoding="utf-8"?>
<ds:datastoreItem xmlns:ds="http://schemas.openxmlformats.org/officeDocument/2006/customXml" ds:itemID="{DBC76551-530B-4132-ADA6-122E49AD0C61}"/>
</file>

<file path=customXml/itemProps3.xml><?xml version="1.0" encoding="utf-8"?>
<ds:datastoreItem xmlns:ds="http://schemas.openxmlformats.org/officeDocument/2006/customXml" ds:itemID="{333E2325-DBBC-8E47-8D30-F9FF5AD84F35}">
  <ds:schemaRefs>
    <ds:schemaRef ds:uri="http://schemas.openxmlformats.org/officeDocument/2006/bibliography"/>
  </ds:schemaRefs>
</ds:datastoreItem>
</file>

<file path=customXml/itemProps4.xml><?xml version="1.0" encoding="utf-8"?>
<ds:datastoreItem xmlns:ds="http://schemas.openxmlformats.org/officeDocument/2006/customXml" ds:itemID="{8E347B4F-B18D-4E1A-A8D2-ECA3B4E78D1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9949</Words>
  <Characters>54722</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Alejandra Materon Garcia</dc:creator>
  <cp:keywords/>
  <dc:description/>
  <cp:lastModifiedBy>Laura Alejandra Materon Garcia</cp:lastModifiedBy>
  <cp:revision>4</cp:revision>
  <dcterms:created xsi:type="dcterms:W3CDTF">2022-03-23T14:30:00Z</dcterms:created>
  <dcterms:modified xsi:type="dcterms:W3CDTF">2022-03-23T14:36:00Z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