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8FF2" w14:textId="77777777" w:rsidR="004F488F" w:rsidRPr="005747DA" w:rsidRDefault="004F488F" w:rsidP="004F488F">
      <w:pPr>
        <w:spacing w:after="0" w:line="240" w:lineRule="auto"/>
        <w:contextualSpacing/>
        <w:jc w:val="both"/>
        <w:rPr>
          <w:rFonts w:ascii="Arial" w:eastAsia="Calibri" w:hAnsi="Arial" w:cs="Arial"/>
          <w:b/>
          <w:lang w:val="es-MX" w:eastAsia="es-MX"/>
        </w:rPr>
      </w:pPr>
      <w:bookmarkStart w:id="0" w:name="_Hlk29890381"/>
      <w:bookmarkEnd w:id="0"/>
      <w:r w:rsidRPr="005747DA">
        <w:rPr>
          <w:rFonts w:ascii="Arial" w:eastAsia="Calibri" w:hAnsi="Arial" w:cs="Arial"/>
          <w:b/>
          <w:lang w:val="es-MX" w:eastAsia="es-MX"/>
        </w:rPr>
        <w:t xml:space="preserve">LEY DE GARANTÍAS ELECTORALES – Naturaleza Jurídica </w:t>
      </w:r>
    </w:p>
    <w:p w14:paraId="0AD93938" w14:textId="77777777" w:rsidR="004F488F" w:rsidRPr="00F010A2" w:rsidRDefault="004F488F" w:rsidP="004F488F">
      <w:pPr>
        <w:spacing w:after="0" w:line="240" w:lineRule="auto"/>
        <w:contextualSpacing/>
        <w:jc w:val="both"/>
        <w:rPr>
          <w:rFonts w:ascii="Arial" w:eastAsia="Calibri" w:hAnsi="Arial" w:cs="Arial"/>
          <w:b/>
          <w:sz w:val="20"/>
          <w:szCs w:val="20"/>
          <w:lang w:val="es-MX" w:eastAsia="es-MX"/>
        </w:rPr>
      </w:pPr>
    </w:p>
    <w:p w14:paraId="4A74C806" w14:textId="77777777" w:rsidR="004F488F" w:rsidRPr="0066703A" w:rsidRDefault="004F488F" w:rsidP="004F488F">
      <w:pPr>
        <w:spacing w:after="0" w:line="240" w:lineRule="auto"/>
        <w:contextualSpacing/>
        <w:jc w:val="both"/>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 </w:t>
      </w:r>
      <w:r w:rsidRPr="002432F9">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7D2A6E3C" w14:textId="77777777" w:rsidR="004F488F" w:rsidRPr="00F010A2" w:rsidRDefault="004F488F" w:rsidP="004F488F">
      <w:pPr>
        <w:spacing w:after="0" w:line="240" w:lineRule="auto"/>
        <w:contextualSpacing/>
        <w:jc w:val="both"/>
        <w:rPr>
          <w:rFonts w:ascii="Arial" w:eastAsia="Calibri" w:hAnsi="Arial" w:cs="Arial"/>
          <w:b/>
          <w:sz w:val="20"/>
          <w:szCs w:val="20"/>
          <w:lang w:val="es-MX" w:eastAsia="es-MX"/>
        </w:rPr>
      </w:pPr>
    </w:p>
    <w:p w14:paraId="5FD3EEC1" w14:textId="77777777" w:rsidR="004F488F" w:rsidRPr="00F010A2" w:rsidRDefault="004F488F" w:rsidP="004F488F">
      <w:pPr>
        <w:spacing w:after="0" w:line="240" w:lineRule="auto"/>
        <w:contextualSpacing/>
        <w:jc w:val="both"/>
        <w:rPr>
          <w:rFonts w:ascii="Arial" w:eastAsia="Calibri" w:hAnsi="Arial" w:cs="Arial"/>
          <w:b/>
          <w:sz w:val="20"/>
          <w:szCs w:val="20"/>
          <w:lang w:val="es-MX" w:eastAsia="es-MX"/>
        </w:rPr>
      </w:pPr>
      <w:r w:rsidRPr="004A75D8">
        <w:rPr>
          <w:rFonts w:ascii="Arial" w:eastAsia="Calibri" w:hAnsi="Arial" w:cs="Arial"/>
          <w:b/>
          <w:lang w:val="es-MX" w:eastAsia="es-MX"/>
        </w:rPr>
        <w:t>LEY DE GARANTÍAS ELECTORALES – Prohibiciones</w:t>
      </w:r>
      <w:r w:rsidRPr="00F010A2">
        <w:rPr>
          <w:rFonts w:ascii="Arial" w:eastAsia="Calibri" w:hAnsi="Arial" w:cs="Arial"/>
          <w:b/>
          <w:sz w:val="20"/>
          <w:szCs w:val="20"/>
          <w:lang w:val="es-MX" w:eastAsia="es-MX"/>
        </w:rPr>
        <w:t xml:space="preserve"> </w:t>
      </w:r>
    </w:p>
    <w:p w14:paraId="607B3ECC" w14:textId="77777777" w:rsidR="004F488F" w:rsidRPr="00F010A2" w:rsidRDefault="004F488F" w:rsidP="004F488F">
      <w:pPr>
        <w:spacing w:after="0" w:line="240" w:lineRule="auto"/>
        <w:contextualSpacing/>
        <w:jc w:val="both"/>
        <w:rPr>
          <w:rFonts w:ascii="Arial" w:eastAsia="Calibri" w:hAnsi="Arial" w:cs="Arial"/>
          <w:b/>
          <w:sz w:val="20"/>
          <w:szCs w:val="20"/>
          <w:lang w:val="es-MX" w:eastAsia="es-MX"/>
        </w:rPr>
      </w:pPr>
    </w:p>
    <w:p w14:paraId="73250C65" w14:textId="77777777" w:rsidR="004F488F" w:rsidRDefault="004F488F" w:rsidP="004F488F">
      <w:pPr>
        <w:spacing w:after="0" w:line="240" w:lineRule="auto"/>
        <w:contextualSpacing/>
        <w:jc w:val="both"/>
        <w:rPr>
          <w:rFonts w:ascii="Arial" w:eastAsia="Times New Roman" w:hAnsi="Arial" w:cs="Arial"/>
          <w:bCs/>
          <w:sz w:val="20"/>
          <w:szCs w:val="20"/>
          <w:lang w:val="es-MX" w:eastAsia="es-CO"/>
        </w:rPr>
      </w:pPr>
      <w:r w:rsidRPr="002432F9">
        <w:rPr>
          <w:rFonts w:ascii="Arial" w:eastAsia="Times New Roman"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6F597B4B" w14:textId="77777777" w:rsidR="004F488F" w:rsidRPr="002432F9" w:rsidRDefault="004F488F" w:rsidP="004F488F">
      <w:pPr>
        <w:spacing w:after="0" w:line="240" w:lineRule="auto"/>
        <w:contextualSpacing/>
        <w:jc w:val="both"/>
        <w:rPr>
          <w:rFonts w:ascii="Arial" w:eastAsia="Times New Roman" w:hAnsi="Arial" w:cs="Arial"/>
          <w:bCs/>
          <w:sz w:val="20"/>
          <w:szCs w:val="20"/>
          <w:lang w:val="es-MX" w:eastAsia="es-CO"/>
        </w:rPr>
      </w:pPr>
    </w:p>
    <w:p w14:paraId="56DBEF25" w14:textId="77777777" w:rsidR="004F488F" w:rsidRPr="002432F9" w:rsidRDefault="004F488F" w:rsidP="004F488F">
      <w:pPr>
        <w:spacing w:after="0" w:line="240" w:lineRule="auto"/>
        <w:contextualSpacing/>
        <w:jc w:val="both"/>
        <w:rPr>
          <w:rFonts w:ascii="Arial" w:eastAsia="Times New Roman" w:hAnsi="Arial" w:cs="Arial"/>
          <w:bCs/>
          <w:sz w:val="20"/>
          <w:szCs w:val="20"/>
          <w:lang w:val="es-MX" w:eastAsia="es-CO"/>
        </w:rPr>
      </w:pPr>
      <w:r w:rsidRPr="002432F9">
        <w:rPr>
          <w:rFonts w:ascii="Arial" w:eastAsia="Times New Roman"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E7244DE" w14:textId="77777777" w:rsidR="004F488F" w:rsidRDefault="004F488F" w:rsidP="004F488F">
      <w:pPr>
        <w:spacing w:after="0" w:line="240" w:lineRule="auto"/>
        <w:contextualSpacing/>
        <w:jc w:val="both"/>
        <w:rPr>
          <w:rFonts w:ascii="Arial" w:eastAsia="Times New Roman" w:hAnsi="Arial" w:cs="Arial"/>
          <w:bCs/>
          <w:sz w:val="20"/>
          <w:szCs w:val="20"/>
          <w:lang w:val="es-MX" w:eastAsia="es-CO"/>
        </w:rPr>
      </w:pPr>
    </w:p>
    <w:p w14:paraId="10C8DE1B" w14:textId="77777777" w:rsidR="004F488F" w:rsidRDefault="004F488F" w:rsidP="004F488F">
      <w:pPr>
        <w:spacing w:after="0" w:line="240" w:lineRule="auto"/>
        <w:contextualSpacing/>
        <w:jc w:val="both"/>
        <w:rPr>
          <w:rFonts w:ascii="Arial" w:eastAsia="Times New Roman" w:hAnsi="Arial" w:cs="Arial"/>
          <w:bCs/>
          <w:sz w:val="20"/>
          <w:szCs w:val="20"/>
          <w:lang w:val="es-MX" w:eastAsia="es-CO"/>
        </w:rPr>
      </w:pPr>
      <w:r w:rsidRPr="002432F9">
        <w:rPr>
          <w:rFonts w:ascii="Arial" w:eastAsia="Times New Roman" w:hAnsi="Arial" w:cs="Arial"/>
          <w:bCs/>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4FD630A" w14:textId="77777777" w:rsidR="004F488F" w:rsidRPr="002432F9" w:rsidRDefault="004F488F" w:rsidP="004F488F">
      <w:pPr>
        <w:spacing w:after="0" w:line="240" w:lineRule="auto"/>
        <w:contextualSpacing/>
        <w:jc w:val="both"/>
        <w:rPr>
          <w:rFonts w:ascii="Arial" w:eastAsia="Times New Roman" w:hAnsi="Arial" w:cs="Arial"/>
          <w:bCs/>
          <w:sz w:val="20"/>
          <w:szCs w:val="20"/>
          <w:lang w:val="es-MX" w:eastAsia="es-CO"/>
        </w:rPr>
      </w:pPr>
    </w:p>
    <w:p w14:paraId="07CD3713" w14:textId="77777777" w:rsidR="004F488F" w:rsidRPr="00020476" w:rsidRDefault="004F488F" w:rsidP="004F488F">
      <w:pPr>
        <w:tabs>
          <w:tab w:val="left" w:pos="426"/>
        </w:tabs>
        <w:spacing w:after="0" w:line="240" w:lineRule="auto"/>
        <w:contextualSpacing/>
        <w:jc w:val="both"/>
        <w:rPr>
          <w:rFonts w:ascii="Arial" w:eastAsia="Calibri" w:hAnsi="Arial" w:cs="Arial"/>
          <w:b/>
          <w:bCs/>
          <w:lang w:val="es-MX"/>
        </w:rPr>
      </w:pPr>
      <w:r w:rsidRPr="00020476">
        <w:rPr>
          <w:rFonts w:ascii="Arial" w:eastAsia="Calibri" w:hAnsi="Arial" w:cs="Arial"/>
          <w:b/>
          <w:bCs/>
          <w:lang w:val="es-MX"/>
        </w:rPr>
        <w:t xml:space="preserve">LEY DE GARANTÍAS ELECTORALES ─ Prohibición artículo 33 ‒ Contratación directa ‒ Alcance </w:t>
      </w:r>
    </w:p>
    <w:p w14:paraId="66C68F78" w14:textId="77777777" w:rsidR="004F488F" w:rsidRPr="00020476" w:rsidRDefault="004F488F" w:rsidP="004F488F">
      <w:pPr>
        <w:tabs>
          <w:tab w:val="left" w:pos="426"/>
        </w:tabs>
        <w:spacing w:after="0" w:line="240" w:lineRule="auto"/>
        <w:contextualSpacing/>
        <w:jc w:val="both"/>
        <w:rPr>
          <w:rFonts w:ascii="Arial" w:eastAsia="Calibri" w:hAnsi="Arial" w:cs="Arial"/>
          <w:noProof/>
          <w:sz w:val="20"/>
          <w:szCs w:val="20"/>
          <w:lang w:val="es-MX"/>
        </w:rPr>
      </w:pPr>
    </w:p>
    <w:p w14:paraId="6A7AD7F1" w14:textId="77777777" w:rsidR="004F488F" w:rsidRPr="00137E43" w:rsidRDefault="004F488F" w:rsidP="004F488F">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 xml:space="preserv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w:t>
      </w:r>
      <w:r w:rsidRPr="00137E43">
        <w:rPr>
          <w:rFonts w:ascii="Arial" w:eastAsia="Times New Roman" w:hAnsi="Arial" w:cs="Arial"/>
          <w:bCs/>
          <w:sz w:val="20"/>
          <w:szCs w:val="20"/>
          <w:lang w:val="es-MX" w:eastAsia="es-CO"/>
        </w:rPr>
        <w:lastRenderedPageBreak/>
        <w:t>incluya la convocatoria pública en alguna de sus etapas, ni permita la participación de una pluralidad de oferentes</w:t>
      </w:r>
      <w:r>
        <w:rPr>
          <w:rFonts w:ascii="Arial" w:eastAsia="Times New Roman" w:hAnsi="Arial" w:cs="Arial"/>
          <w:bCs/>
          <w:sz w:val="20"/>
          <w:szCs w:val="20"/>
          <w:lang w:val="es-MX" w:eastAsia="es-CO"/>
        </w:rPr>
        <w:t>.</w:t>
      </w:r>
      <w:r w:rsidRPr="00137E43">
        <w:rPr>
          <w:rFonts w:ascii="Arial" w:eastAsia="Times New Roman" w:hAnsi="Arial" w:cs="Arial"/>
          <w:bCs/>
          <w:sz w:val="20"/>
          <w:szCs w:val="20"/>
          <w:lang w:val="es-MX" w:eastAsia="es-CO"/>
        </w:rPr>
        <w:t xml:space="preserve"> </w:t>
      </w:r>
    </w:p>
    <w:p w14:paraId="05BB213B" w14:textId="77777777" w:rsidR="004F488F" w:rsidRDefault="004F488F" w:rsidP="004F488F">
      <w:pPr>
        <w:spacing w:after="0" w:line="240" w:lineRule="auto"/>
        <w:contextualSpacing/>
        <w:jc w:val="both"/>
        <w:rPr>
          <w:rFonts w:ascii="Arial" w:eastAsia="Times New Roman" w:hAnsi="Arial" w:cs="Arial"/>
          <w:bCs/>
          <w:sz w:val="20"/>
          <w:szCs w:val="20"/>
          <w:lang w:val="es-MX" w:eastAsia="es-CO"/>
        </w:rPr>
      </w:pPr>
    </w:p>
    <w:p w14:paraId="76F67E64" w14:textId="77777777" w:rsidR="004F488F" w:rsidRPr="00137E43" w:rsidRDefault="004F488F" w:rsidP="004F488F">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695BB7BD" w14:textId="77777777" w:rsidR="004F488F" w:rsidRPr="00020476" w:rsidRDefault="004F488F" w:rsidP="004F488F">
      <w:pPr>
        <w:spacing w:after="0" w:line="240" w:lineRule="auto"/>
        <w:contextualSpacing/>
        <w:jc w:val="both"/>
        <w:rPr>
          <w:rFonts w:ascii="Arial" w:eastAsia="Times New Roman" w:hAnsi="Arial" w:cs="Arial"/>
          <w:b/>
          <w:bCs/>
          <w:sz w:val="20"/>
          <w:szCs w:val="20"/>
          <w:lang w:val="es-MX" w:eastAsia="es-ES"/>
        </w:rPr>
      </w:pPr>
    </w:p>
    <w:p w14:paraId="7EA4BFC6" w14:textId="77777777" w:rsidR="004F488F" w:rsidRPr="00020476" w:rsidRDefault="004F488F" w:rsidP="004F488F">
      <w:pPr>
        <w:shd w:val="clear" w:color="auto" w:fill="FFFFFF"/>
        <w:spacing w:after="0" w:line="240" w:lineRule="auto"/>
        <w:contextualSpacing/>
        <w:jc w:val="both"/>
        <w:rPr>
          <w:rFonts w:ascii="Arial" w:eastAsia="Times New Roman" w:hAnsi="Arial" w:cs="Arial"/>
          <w:b/>
          <w:bCs/>
          <w:lang w:eastAsia="es-CO"/>
        </w:rPr>
      </w:pPr>
      <w:bookmarkStart w:id="1" w:name="_Hlk98480479"/>
      <w:r w:rsidRPr="00020476">
        <w:rPr>
          <w:rFonts w:ascii="Arial" w:eastAsia="Times New Roman"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eastAsia="Times New Roman" w:hAnsi="Arial" w:cs="Arial"/>
          <w:b/>
          <w:bCs/>
          <w:lang w:eastAsia="es-CO"/>
        </w:rPr>
        <w:t>Excepciones</w:t>
      </w:r>
    </w:p>
    <w:p w14:paraId="115E0146" w14:textId="77777777" w:rsidR="004F488F" w:rsidRPr="00020476" w:rsidRDefault="004F488F" w:rsidP="004F488F">
      <w:pPr>
        <w:shd w:val="clear" w:color="auto" w:fill="FFFFFF"/>
        <w:spacing w:after="0" w:line="240" w:lineRule="auto"/>
        <w:contextualSpacing/>
        <w:jc w:val="both"/>
        <w:rPr>
          <w:rFonts w:ascii="Arial" w:eastAsia="Times New Roman" w:hAnsi="Arial" w:cs="Arial"/>
          <w:b/>
          <w:lang w:eastAsia="es-CO"/>
        </w:rPr>
      </w:pPr>
    </w:p>
    <w:bookmarkEnd w:id="1"/>
    <w:p w14:paraId="5E639519" w14:textId="77777777" w:rsidR="004F488F" w:rsidRPr="002432F9" w:rsidRDefault="004F488F" w:rsidP="004F488F">
      <w:pPr>
        <w:spacing w:after="0" w:line="240" w:lineRule="auto"/>
        <w:contextualSpacing/>
        <w:jc w:val="both"/>
        <w:rPr>
          <w:rFonts w:ascii="Arial" w:eastAsia="Times New Roman" w:hAnsi="Arial" w:cs="Arial"/>
          <w:bCs/>
          <w:sz w:val="20"/>
          <w:szCs w:val="20"/>
          <w:lang w:val="es-MX" w:eastAsia="es-CO"/>
        </w:rPr>
      </w:pPr>
      <w:r w:rsidRPr="002432F9">
        <w:rPr>
          <w:rFonts w:ascii="Arial" w:eastAsia="Times New Roman" w:hAnsi="Arial" w:cs="Arial"/>
          <w:bCs/>
          <w:sz w:val="20"/>
          <w:szCs w:val="20"/>
          <w:lang w:val="es-MX" w:eastAsia="es-CO"/>
        </w:rPr>
        <w:t xml:space="preserve">[…] ,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2432F9">
        <w:rPr>
          <w:rFonts w:ascii="Arial" w:eastAsia="Times New Roman" w:hAnsi="Arial" w:cs="Arial"/>
          <w:bCs/>
          <w:sz w:val="20"/>
          <w:szCs w:val="20"/>
          <w:lang w:val="es-MX" w:eastAsia="es-CO"/>
        </w:rPr>
        <w:t>ii</w:t>
      </w:r>
      <w:proofErr w:type="spellEnd"/>
      <w:r w:rsidRPr="002432F9">
        <w:rPr>
          <w:rFonts w:ascii="Arial" w:eastAsia="Times New Roman" w:hAnsi="Arial" w:cs="Arial"/>
          <w:bCs/>
          <w:sz w:val="20"/>
          <w:szCs w:val="20"/>
          <w:lang w:val="es-MX" w:eastAsia="es-CO"/>
        </w:rPr>
        <w:t xml:space="preserve">) los contratos de crédito público; </w:t>
      </w:r>
      <w:proofErr w:type="spellStart"/>
      <w:r w:rsidRPr="002432F9">
        <w:rPr>
          <w:rFonts w:ascii="Arial" w:eastAsia="Times New Roman" w:hAnsi="Arial" w:cs="Arial"/>
          <w:bCs/>
          <w:sz w:val="20"/>
          <w:szCs w:val="20"/>
          <w:lang w:val="es-MX" w:eastAsia="es-CO"/>
        </w:rPr>
        <w:t>iii</w:t>
      </w:r>
      <w:proofErr w:type="spellEnd"/>
      <w:r w:rsidRPr="002432F9">
        <w:rPr>
          <w:rFonts w:ascii="Arial" w:eastAsia="Times New Roman" w:hAnsi="Arial" w:cs="Arial"/>
          <w:bCs/>
          <w:sz w:val="20"/>
          <w:szCs w:val="20"/>
          <w:lang w:val="es-MX" w:eastAsia="es-CO"/>
        </w:rPr>
        <w:t xml:space="preserve">) los requeridos para cubrir las emergencias educativas, sanitarias y desastres; </w:t>
      </w:r>
      <w:proofErr w:type="spellStart"/>
      <w:r w:rsidRPr="002432F9">
        <w:rPr>
          <w:rFonts w:ascii="Arial" w:eastAsia="Times New Roman" w:hAnsi="Arial" w:cs="Arial"/>
          <w:bCs/>
          <w:sz w:val="20"/>
          <w:szCs w:val="20"/>
          <w:lang w:val="es-MX" w:eastAsia="es-CO"/>
        </w:rPr>
        <w:t>iv</w:t>
      </w:r>
      <w:proofErr w:type="spellEnd"/>
      <w:r w:rsidRPr="002432F9">
        <w:rPr>
          <w:rFonts w:ascii="Arial" w:eastAsia="Times New Roman" w:hAnsi="Arial" w:cs="Arial"/>
          <w:bCs/>
          <w:sz w:val="20"/>
          <w:szCs w:val="20"/>
          <w:lang w:val="es-MX" w:eastAsia="es-CO"/>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El mismo inciso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D5BC28A" w14:textId="77777777" w:rsidR="004F488F" w:rsidRDefault="004F488F" w:rsidP="004F488F">
      <w:pPr>
        <w:tabs>
          <w:tab w:val="left" w:pos="426"/>
        </w:tabs>
        <w:spacing w:after="0" w:line="240" w:lineRule="auto"/>
        <w:contextualSpacing/>
        <w:jc w:val="both"/>
        <w:rPr>
          <w:rFonts w:ascii="Arial" w:eastAsia="Times New Roman" w:hAnsi="Arial" w:cs="Arial"/>
          <w:sz w:val="20"/>
          <w:szCs w:val="20"/>
          <w:lang w:eastAsia="x-none"/>
        </w:rPr>
      </w:pPr>
    </w:p>
    <w:p w14:paraId="3442F589" w14:textId="77777777" w:rsidR="004F488F" w:rsidRPr="00020476" w:rsidRDefault="004F488F" w:rsidP="004F488F">
      <w:pPr>
        <w:spacing w:after="0" w:line="240" w:lineRule="auto"/>
        <w:contextualSpacing/>
        <w:jc w:val="both"/>
        <w:rPr>
          <w:rFonts w:ascii="Arial" w:eastAsia="Times New Roman" w:hAnsi="Arial" w:cs="Arial"/>
          <w:b/>
          <w:lang w:val="es-ES" w:eastAsia="es-CO"/>
        </w:rPr>
      </w:pPr>
      <w:r w:rsidRPr="00020476">
        <w:rPr>
          <w:rFonts w:ascii="Arial" w:eastAsia="Times New Roman" w:hAnsi="Arial" w:cs="Arial"/>
          <w:b/>
          <w:bCs/>
          <w:lang w:eastAsia="es-CO"/>
        </w:rPr>
        <w:t xml:space="preserve">LEY DE GARANTÍAS ELECTORALES ‒ </w:t>
      </w:r>
      <w:r w:rsidRPr="00020476">
        <w:rPr>
          <w:rFonts w:ascii="Arial" w:eastAsia="Times New Roman" w:hAnsi="Arial" w:cs="Arial"/>
          <w:b/>
          <w:lang w:val="es-ES" w:eastAsia="es-CO"/>
        </w:rPr>
        <w:t xml:space="preserve">Prohibición del artículo 33 </w:t>
      </w:r>
      <w:r w:rsidRPr="00020476">
        <w:rPr>
          <w:rFonts w:ascii="Arial" w:eastAsia="Times New Roman" w:hAnsi="Arial" w:cs="Arial"/>
          <w:b/>
          <w:bCs/>
          <w:lang w:eastAsia="es-CO"/>
        </w:rPr>
        <w:t>‒ Destinatarios</w:t>
      </w:r>
    </w:p>
    <w:p w14:paraId="07D2549A" w14:textId="77777777" w:rsidR="004F488F" w:rsidRPr="00020476" w:rsidRDefault="004F488F" w:rsidP="004F488F">
      <w:pPr>
        <w:tabs>
          <w:tab w:val="left" w:pos="426"/>
        </w:tabs>
        <w:spacing w:after="0" w:line="240" w:lineRule="auto"/>
        <w:contextualSpacing/>
        <w:jc w:val="both"/>
        <w:rPr>
          <w:rFonts w:ascii="Arial" w:eastAsia="Calibri" w:hAnsi="Arial" w:cs="Arial"/>
          <w:noProof/>
          <w:lang w:val="es-ES"/>
        </w:rPr>
      </w:pPr>
    </w:p>
    <w:p w14:paraId="2B044487" w14:textId="77777777" w:rsidR="004F488F" w:rsidRPr="002432F9" w:rsidRDefault="004F488F" w:rsidP="004F488F">
      <w:pPr>
        <w:spacing w:after="0" w:line="240" w:lineRule="auto"/>
        <w:contextualSpacing/>
        <w:jc w:val="both"/>
        <w:rPr>
          <w:rFonts w:ascii="Arial" w:eastAsia="Times New Roman" w:hAnsi="Arial" w:cs="Arial"/>
          <w:bCs/>
          <w:sz w:val="20"/>
          <w:szCs w:val="20"/>
          <w:lang w:val="es-MX" w:eastAsia="es-CO"/>
        </w:rPr>
      </w:pPr>
      <w:r w:rsidRPr="002432F9">
        <w:rPr>
          <w:rFonts w:ascii="Arial" w:eastAsia="Times New Roman" w:hAnsi="Arial" w:cs="Arial"/>
          <w:bCs/>
          <w:sz w:val="20"/>
          <w:szCs w:val="20"/>
          <w:lang w:val="es-MX" w:eastAsia="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DC5CBCD" w14:textId="77777777" w:rsidR="004F488F" w:rsidRDefault="004F488F" w:rsidP="004F488F">
      <w:pPr>
        <w:tabs>
          <w:tab w:val="left" w:pos="0"/>
        </w:tabs>
        <w:spacing w:after="0" w:line="240" w:lineRule="auto"/>
        <w:contextualSpacing/>
        <w:jc w:val="both"/>
        <w:rPr>
          <w:rFonts w:ascii="Arial" w:eastAsia="Calibri" w:hAnsi="Arial" w:cs="Arial"/>
          <w:b/>
          <w:sz w:val="20"/>
          <w:szCs w:val="20"/>
          <w:lang w:val="es-ES" w:eastAsia="es-MX"/>
        </w:rPr>
      </w:pPr>
    </w:p>
    <w:p w14:paraId="082872BC" w14:textId="77777777" w:rsidR="004F488F" w:rsidRDefault="004F488F" w:rsidP="004F488F">
      <w:pPr>
        <w:spacing w:after="0" w:line="240" w:lineRule="auto"/>
        <w:contextualSpacing/>
        <w:jc w:val="both"/>
        <w:rPr>
          <w:rFonts w:ascii="Arial" w:eastAsia="Calibri" w:hAnsi="Arial" w:cs="Arial"/>
          <w:b/>
          <w:bCs/>
          <w:lang w:val="es-MX"/>
        </w:rPr>
      </w:pPr>
      <w:r w:rsidRPr="00020476">
        <w:rPr>
          <w:rFonts w:ascii="Arial" w:eastAsia="Times New Roman" w:hAnsi="Arial" w:cs="Arial"/>
          <w:b/>
          <w:bCs/>
          <w:lang w:eastAsia="es-CO"/>
        </w:rPr>
        <w:t xml:space="preserve">LEY DE GARANTÍAS ELECTORALES ‒ </w:t>
      </w:r>
      <w:r w:rsidRPr="00020476">
        <w:rPr>
          <w:rFonts w:ascii="Arial" w:eastAsia="Times New Roman" w:hAnsi="Arial" w:cs="Arial"/>
          <w:b/>
          <w:lang w:val="es-ES" w:eastAsia="es-CO"/>
        </w:rPr>
        <w:t xml:space="preserve">Prohibición del </w:t>
      </w:r>
      <w:r>
        <w:rPr>
          <w:rFonts w:ascii="Arial" w:eastAsia="Times New Roman" w:hAnsi="Arial" w:cs="Arial"/>
          <w:b/>
          <w:lang w:val="es-ES" w:eastAsia="es-CO"/>
        </w:rPr>
        <w:t xml:space="preserve">parágrafo del </w:t>
      </w:r>
      <w:r w:rsidRPr="00020476">
        <w:rPr>
          <w:rFonts w:ascii="Arial" w:eastAsia="Times New Roman" w:hAnsi="Arial" w:cs="Arial"/>
          <w:b/>
          <w:lang w:val="es-ES" w:eastAsia="es-CO"/>
        </w:rPr>
        <w:t>artículo 3</w:t>
      </w:r>
      <w:r>
        <w:rPr>
          <w:rFonts w:ascii="Arial" w:eastAsia="Times New Roman" w:hAnsi="Arial" w:cs="Arial"/>
          <w:b/>
          <w:lang w:val="es-ES" w:eastAsia="es-CO"/>
        </w:rPr>
        <w:t>8</w:t>
      </w:r>
      <w:r w:rsidRPr="00020476">
        <w:rPr>
          <w:rFonts w:ascii="Arial" w:eastAsia="Times New Roman" w:hAnsi="Arial" w:cs="Arial"/>
          <w:b/>
          <w:lang w:val="es-ES" w:eastAsia="es-CO"/>
        </w:rPr>
        <w:t xml:space="preserve"> </w:t>
      </w:r>
      <w:r w:rsidRPr="00020476">
        <w:rPr>
          <w:rFonts w:ascii="Arial" w:eastAsia="Times New Roman" w:hAnsi="Arial" w:cs="Arial"/>
          <w:b/>
          <w:bCs/>
          <w:lang w:eastAsia="es-CO"/>
        </w:rPr>
        <w:t xml:space="preserve">‒ </w:t>
      </w:r>
      <w:r w:rsidRPr="00020476">
        <w:rPr>
          <w:rFonts w:ascii="Arial" w:eastAsia="Calibri" w:hAnsi="Arial" w:cs="Arial"/>
          <w:b/>
          <w:bCs/>
          <w:lang w:val="es-MX"/>
        </w:rPr>
        <w:t>Alcance</w:t>
      </w:r>
    </w:p>
    <w:p w14:paraId="12C6420F" w14:textId="77777777" w:rsidR="004F488F" w:rsidRPr="00020476" w:rsidRDefault="004F488F" w:rsidP="004F488F">
      <w:pPr>
        <w:spacing w:after="0" w:line="240" w:lineRule="auto"/>
        <w:contextualSpacing/>
        <w:jc w:val="both"/>
        <w:rPr>
          <w:rFonts w:ascii="Arial" w:eastAsia="Times New Roman" w:hAnsi="Arial" w:cs="Arial"/>
          <w:b/>
          <w:lang w:val="es-ES" w:eastAsia="es-CO"/>
        </w:rPr>
      </w:pPr>
    </w:p>
    <w:p w14:paraId="5AE0EFEC" w14:textId="77777777" w:rsidR="004F488F"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r w:rsidRPr="000A4787">
        <w:rPr>
          <w:rFonts w:ascii="Arial" w:eastAsia="Times New Roman" w:hAnsi="Arial" w:cs="Arial"/>
          <w:bCs/>
          <w:sz w:val="20"/>
          <w:szCs w:val="20"/>
          <w:lang w:val="es-MX" w:eastAsia="x-none"/>
        </w:rPr>
        <w:t xml:space="preserve">El parágrafo del artículo 38 de la Ley 996 de 2005 dispone que «[l]os Gobernadores, </w:t>
      </w:r>
      <w:proofErr w:type="gramStart"/>
      <w:r w:rsidRPr="000A4787">
        <w:rPr>
          <w:rFonts w:ascii="Arial" w:eastAsia="Times New Roman" w:hAnsi="Arial" w:cs="Arial"/>
          <w:bCs/>
          <w:sz w:val="20"/>
          <w:szCs w:val="20"/>
          <w:lang w:val="es-MX" w:eastAsia="x-none"/>
        </w:rPr>
        <w:t>Alcaldes</w:t>
      </w:r>
      <w:proofErr w:type="gramEnd"/>
      <w:r w:rsidRPr="000A4787">
        <w:rPr>
          <w:rFonts w:ascii="Arial" w:eastAsia="Times New Roman" w:hAnsi="Arial" w:cs="Arial"/>
          <w:bCs/>
          <w:sz w:val="20"/>
          <w:szCs w:val="20"/>
          <w:lang w:val="es-MX" w:eastAsia="x-none"/>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Fonts w:ascii="Arial" w:eastAsia="Times New Roman" w:hAnsi="Arial" w:cs="Arial"/>
          <w:bCs/>
          <w:sz w:val="20"/>
          <w:szCs w:val="20"/>
          <w:lang w:val="es-MX" w:eastAsia="x-none"/>
        </w:rPr>
        <w:t xml:space="preserve">. </w:t>
      </w:r>
    </w:p>
    <w:p w14:paraId="02610C9A" w14:textId="77777777" w:rsidR="004F488F"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p>
    <w:p w14:paraId="602D1795" w14:textId="77777777" w:rsidR="004F488F" w:rsidRPr="00137E43"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t>[…]</w:t>
      </w:r>
      <w:r w:rsidRPr="00F75248">
        <w:rPr>
          <w:rFonts w:ascii="Arial" w:eastAsia="Times New Roman" w:hAnsi="Arial" w:cs="Arial"/>
          <w:bCs/>
          <w:sz w:val="20"/>
          <w:szCs w:val="20"/>
          <w:lang w:val="es-MX" w:eastAsia="x-none"/>
        </w:rPr>
        <w:t xml:space="preserve"> </w:t>
      </w:r>
      <w:r w:rsidRPr="00137E43">
        <w:rPr>
          <w:rFonts w:ascii="Arial" w:eastAsia="Times New Roman" w:hAnsi="Arial" w:cs="Arial"/>
          <w:bCs/>
          <w:sz w:val="20"/>
          <w:szCs w:val="20"/>
          <w:lang w:val="es-MX" w:eastAsia="x-none"/>
        </w:rPr>
        <w:t>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usualmente utiliza estos conceptos de forma indistinta.</w:t>
      </w:r>
    </w:p>
    <w:p w14:paraId="3CEE8C58" w14:textId="77777777" w:rsidR="004F488F" w:rsidRDefault="004F488F" w:rsidP="004F488F">
      <w:pPr>
        <w:spacing w:after="0" w:line="240" w:lineRule="auto"/>
        <w:contextualSpacing/>
      </w:pPr>
    </w:p>
    <w:p w14:paraId="268AD4F3" w14:textId="77777777" w:rsidR="004F488F" w:rsidRPr="00B654C3" w:rsidRDefault="004F488F" w:rsidP="004F488F">
      <w:pPr>
        <w:spacing w:after="0" w:line="240" w:lineRule="auto"/>
        <w:contextualSpacing/>
        <w:jc w:val="both"/>
        <w:rPr>
          <w:rFonts w:ascii="Arial" w:eastAsia="Times New Roman" w:hAnsi="Arial" w:cs="Arial"/>
          <w:b/>
          <w:lang w:val="es-ES" w:eastAsia="es-CO"/>
        </w:rPr>
      </w:pPr>
      <w:r w:rsidRPr="00B654C3">
        <w:rPr>
          <w:rFonts w:ascii="Arial" w:eastAsia="Times New Roman" w:hAnsi="Arial" w:cs="Arial"/>
          <w:b/>
          <w:bCs/>
          <w:lang w:eastAsia="es-CO"/>
        </w:rPr>
        <w:t xml:space="preserve">LEY DE GARANTÍAS ELECTORALES ‒ </w:t>
      </w:r>
      <w:r w:rsidRPr="00B654C3">
        <w:rPr>
          <w:rFonts w:ascii="Arial" w:eastAsia="Times New Roman" w:hAnsi="Arial" w:cs="Arial"/>
          <w:b/>
          <w:lang w:val="es-ES" w:eastAsia="es-CO"/>
        </w:rPr>
        <w:t>Memorandos de Entendimiento</w:t>
      </w:r>
    </w:p>
    <w:p w14:paraId="371844F8" w14:textId="77777777" w:rsidR="004F488F" w:rsidRPr="00985579" w:rsidRDefault="004F488F" w:rsidP="004F488F">
      <w:pPr>
        <w:spacing w:after="0" w:line="240" w:lineRule="auto"/>
        <w:contextualSpacing/>
        <w:jc w:val="both"/>
        <w:rPr>
          <w:rFonts w:ascii="Arial" w:eastAsia="Calibri" w:hAnsi="Arial" w:cs="Arial"/>
          <w:b/>
          <w:bCs/>
          <w:color w:val="FF0000"/>
          <w:lang w:val="es-MX"/>
        </w:rPr>
      </w:pPr>
    </w:p>
    <w:p w14:paraId="391ABE01" w14:textId="77777777" w:rsidR="004F488F" w:rsidRPr="002432F9"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r w:rsidRPr="002432F9">
        <w:rPr>
          <w:rFonts w:ascii="Arial" w:eastAsia="Times New Roman" w:hAnsi="Arial" w:cs="Arial"/>
          <w:bCs/>
          <w:sz w:val="20"/>
          <w:szCs w:val="20"/>
          <w:lang w:val="es-MX" w:eastAsia="x-none"/>
        </w:rPr>
        <w:t xml:space="preserve">Los memorandos de entendimientos son instrumentos simplificados en los cuales se incluyen intenciones, compromisos, aspiraciones, propósitos o se desarrollan instrumentos preexistentes. En los mismos no se contemplan obligaciones de comportamiento reales, ni términos imperativos u obligacionales, sino más bien clausulas programáticas que suelen contener simples exhortaciones o declaraciones de intención. </w:t>
      </w:r>
    </w:p>
    <w:p w14:paraId="51F7F305" w14:textId="77777777" w:rsidR="004F488F"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p>
    <w:p w14:paraId="3032EBAC" w14:textId="77777777" w:rsidR="004F488F" w:rsidRPr="00B654C3"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r w:rsidRPr="002432F9">
        <w:rPr>
          <w:rFonts w:ascii="Arial" w:eastAsia="Times New Roman" w:hAnsi="Arial" w:cs="Arial"/>
          <w:bCs/>
          <w:sz w:val="20"/>
          <w:szCs w:val="20"/>
          <w:lang w:val="es-MX" w:eastAsia="x-none"/>
        </w:rPr>
        <w:t xml:space="preserve">En este orden de ideas, este tipo de acuerdos no tienen el alcance de contrato estatal, en la medida en que no generan obligaciones para quienes lo suscriben, en consecuencia, no están sujetos a la normativa del Sistema de Compra Pública. </w:t>
      </w:r>
    </w:p>
    <w:p w14:paraId="2C87EBB2" w14:textId="77777777" w:rsidR="004F488F" w:rsidRPr="00F237B1" w:rsidRDefault="004F488F" w:rsidP="004F488F">
      <w:pPr>
        <w:tabs>
          <w:tab w:val="left" w:pos="426"/>
        </w:tabs>
        <w:spacing w:after="0" w:line="240" w:lineRule="auto"/>
        <w:contextualSpacing/>
        <w:jc w:val="both"/>
        <w:rPr>
          <w:rFonts w:ascii="Arial" w:eastAsia="Times New Roman" w:hAnsi="Arial" w:cs="Arial"/>
          <w:bCs/>
          <w:sz w:val="20"/>
          <w:szCs w:val="20"/>
          <w:lang w:val="es-MX" w:eastAsia="x-none"/>
        </w:rPr>
      </w:pPr>
      <w:r>
        <w:rPr>
          <w:rFonts w:ascii="Arial" w:eastAsia="Times New Roman" w:hAnsi="Arial" w:cs="Arial"/>
          <w:bCs/>
          <w:sz w:val="20"/>
          <w:szCs w:val="20"/>
          <w:lang w:val="es-MX" w:eastAsia="x-none"/>
        </w:rPr>
        <w:t>[…]</w:t>
      </w:r>
      <w:r w:rsidRPr="00B654C3">
        <w:rPr>
          <w:rFonts w:ascii="Arial" w:eastAsia="Times New Roman" w:hAnsi="Arial" w:cs="Arial"/>
          <w:bCs/>
          <w:sz w:val="20"/>
          <w:szCs w:val="20"/>
          <w:lang w:val="es-MX" w:eastAsia="x-none"/>
        </w:rPr>
        <w:t xml:space="preserve"> </w:t>
      </w:r>
      <w:r w:rsidRPr="00F237B1">
        <w:rPr>
          <w:rFonts w:ascii="Arial" w:eastAsia="Times New Roman" w:hAnsi="Arial" w:cs="Arial"/>
          <w:bCs/>
          <w:sz w:val="20"/>
          <w:szCs w:val="20"/>
          <w:lang w:val="es-MX" w:eastAsia="x-none"/>
        </w:rPr>
        <w:t>conforme lo ha señalado esta Agencia, en la respuesta a la consulta número 4201813000001079, los memorandos de entendimiento al no tener el alcance de contrato estatal, debido a que no generan obligaciones para las partes y, por lo tanto, al no estar contemplados en la normativa del Sistema de Compra Pública, no se les aplica las restricciones contempladas por la Ley de Garantías Electorales.</w:t>
      </w:r>
    </w:p>
    <w:p w14:paraId="6FC173C0" w14:textId="699CFB2B" w:rsidR="004F488F" w:rsidRDefault="004F488F">
      <w:pPr>
        <w:rPr>
          <w:rFonts w:ascii="Arial" w:eastAsia="Calibri" w:hAnsi="Arial" w:cs="Arial"/>
          <w:b/>
          <w:lang w:val="es-MX" w:eastAsia="es-MX"/>
        </w:rPr>
      </w:pPr>
      <w:r>
        <w:rPr>
          <w:rFonts w:ascii="Arial" w:eastAsia="Calibri" w:hAnsi="Arial" w:cs="Arial"/>
          <w:b/>
          <w:lang w:val="es-MX" w:eastAsia="es-MX"/>
        </w:rPr>
        <w:br w:type="page"/>
      </w:r>
    </w:p>
    <w:p w14:paraId="465C9BBA" w14:textId="77777777" w:rsidR="004F488F" w:rsidRDefault="004F488F" w:rsidP="00420C9F">
      <w:pPr>
        <w:spacing w:after="0" w:line="276" w:lineRule="auto"/>
        <w:jc w:val="right"/>
        <w:rPr>
          <w:rFonts w:ascii="Arial" w:eastAsia="Calibri" w:hAnsi="Arial" w:cs="Arial"/>
          <w:b/>
          <w:lang w:val="es-MX" w:eastAsia="es-MX"/>
        </w:rPr>
      </w:pPr>
    </w:p>
    <w:p w14:paraId="50C8F538" w14:textId="15C98A0B" w:rsidR="00420C9F" w:rsidRPr="00921225" w:rsidRDefault="00420C9F" w:rsidP="00420C9F">
      <w:pPr>
        <w:spacing w:after="0" w:line="276" w:lineRule="auto"/>
        <w:jc w:val="right"/>
        <w:rPr>
          <w:rFonts w:ascii="Arial" w:eastAsia="Calibri" w:hAnsi="Arial" w:cs="Arial"/>
          <w:b/>
          <w:bCs/>
        </w:rPr>
      </w:pPr>
      <w:r w:rsidRPr="00921225">
        <w:rPr>
          <w:rFonts w:ascii="Arial" w:eastAsia="Times New Roman" w:hAnsi="Arial" w:cs="Arial"/>
          <w:b/>
          <w:bCs/>
          <w:lang w:eastAsia="es-ES"/>
        </w:rPr>
        <w:t>CCE-DES-FM-17</w:t>
      </w:r>
    </w:p>
    <w:p w14:paraId="48744DDE" w14:textId="78268236" w:rsidR="00420C9F" w:rsidRPr="00921225" w:rsidRDefault="00FC3212" w:rsidP="00420C9F">
      <w:pPr>
        <w:tabs>
          <w:tab w:val="left" w:pos="3374"/>
        </w:tabs>
        <w:spacing w:after="0" w:line="240" w:lineRule="auto"/>
        <w:jc w:val="right"/>
        <w:rPr>
          <w:rFonts w:ascii="Arial" w:eastAsia="Calibri" w:hAnsi="Arial" w:cs="Arial"/>
          <w:lang w:val="es-MX"/>
        </w:rPr>
      </w:pPr>
      <w:r>
        <w:rPr>
          <w:noProof/>
        </w:rPr>
        <w:drawing>
          <wp:inline distT="0" distB="0" distL="0" distR="0" wp14:anchorId="785E5AF5" wp14:editId="56D46742">
            <wp:extent cx="2647950" cy="7048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8"/>
                    <a:srcRect l="714" t="5128" r="-1"/>
                    <a:stretch/>
                  </pic:blipFill>
                  <pic:spPr bwMode="auto">
                    <a:xfrm>
                      <a:off x="0" y="0"/>
                      <a:ext cx="2647950" cy="704850"/>
                    </a:xfrm>
                    <a:prstGeom prst="rect">
                      <a:avLst/>
                    </a:prstGeom>
                    <a:ln>
                      <a:noFill/>
                    </a:ln>
                    <a:extLst>
                      <a:ext uri="{53640926-AAD7-44D8-BBD7-CCE9431645EC}">
                        <a14:shadowObscured xmlns:a14="http://schemas.microsoft.com/office/drawing/2010/main"/>
                      </a:ext>
                    </a:extLst>
                  </pic:spPr>
                </pic:pic>
              </a:graphicData>
            </a:graphic>
          </wp:inline>
        </w:drawing>
      </w:r>
    </w:p>
    <w:p w14:paraId="35D1821C" w14:textId="0B8DE478" w:rsidR="00420C9F" w:rsidRPr="00E91049" w:rsidRDefault="00420C9F" w:rsidP="00420C9F">
      <w:pPr>
        <w:spacing w:after="0" w:line="240" w:lineRule="auto"/>
        <w:jc w:val="right"/>
        <w:rPr>
          <w:rFonts w:ascii="Arial" w:eastAsia="Calibri" w:hAnsi="Arial" w:cs="Arial"/>
          <w:noProof/>
        </w:rPr>
      </w:pPr>
      <w:bookmarkStart w:id="2" w:name="_Hlk98867631"/>
    </w:p>
    <w:p w14:paraId="19F2A3CF" w14:textId="33A8D7C4" w:rsidR="00420C9F" w:rsidRPr="00921225" w:rsidRDefault="00420C9F" w:rsidP="00420C9F">
      <w:pPr>
        <w:spacing w:after="0" w:line="240" w:lineRule="auto"/>
        <w:jc w:val="both"/>
        <w:rPr>
          <w:rFonts w:ascii="Arial" w:eastAsia="Calibri" w:hAnsi="Arial" w:cs="Arial"/>
        </w:rPr>
      </w:pPr>
      <w:bookmarkStart w:id="3" w:name="_Hlk96417464"/>
      <w:r w:rsidRPr="00921225">
        <w:rPr>
          <w:rFonts w:ascii="Arial" w:eastAsia="Calibri" w:hAnsi="Arial" w:cs="Arial"/>
        </w:rPr>
        <w:t>Señor</w:t>
      </w:r>
      <w:r w:rsidR="00985579">
        <w:rPr>
          <w:rFonts w:ascii="Arial" w:eastAsia="Calibri" w:hAnsi="Arial" w:cs="Arial"/>
        </w:rPr>
        <w:t>a</w:t>
      </w:r>
    </w:p>
    <w:p w14:paraId="15A3E7D7" w14:textId="6F6A4E7F" w:rsidR="00985579" w:rsidRPr="00985579" w:rsidRDefault="00140E81" w:rsidP="00420C9F">
      <w:pPr>
        <w:spacing w:after="0" w:line="240" w:lineRule="auto"/>
        <w:jc w:val="both"/>
        <w:rPr>
          <w:rFonts w:ascii="Arial" w:eastAsia="Calibri" w:hAnsi="Arial" w:cs="Arial"/>
          <w:b/>
          <w:bCs/>
        </w:rPr>
      </w:pPr>
      <w:r w:rsidRPr="00985579">
        <w:rPr>
          <w:rFonts w:ascii="Arial" w:eastAsia="Calibri" w:hAnsi="Arial" w:cs="Arial"/>
          <w:b/>
          <w:bCs/>
        </w:rPr>
        <w:t>Mar</w:t>
      </w:r>
      <w:r>
        <w:rPr>
          <w:rFonts w:ascii="Arial" w:eastAsia="Calibri" w:hAnsi="Arial" w:cs="Arial"/>
          <w:b/>
          <w:bCs/>
        </w:rPr>
        <w:t>í</w:t>
      </w:r>
      <w:r w:rsidRPr="00985579">
        <w:rPr>
          <w:rFonts w:ascii="Arial" w:eastAsia="Calibri" w:hAnsi="Arial" w:cs="Arial"/>
          <w:b/>
          <w:bCs/>
        </w:rPr>
        <w:t>a Betulia Altuzarra Reyes</w:t>
      </w:r>
    </w:p>
    <w:p w14:paraId="76B6A58D" w14:textId="5C52453D" w:rsidR="00420C9F" w:rsidRPr="00921225" w:rsidRDefault="00985579" w:rsidP="00420C9F">
      <w:pPr>
        <w:spacing w:after="0" w:line="240" w:lineRule="auto"/>
        <w:jc w:val="both"/>
        <w:rPr>
          <w:rFonts w:ascii="Arial" w:eastAsia="Calibri" w:hAnsi="Arial" w:cs="Arial"/>
        </w:rPr>
      </w:pPr>
      <w:r>
        <w:rPr>
          <w:rFonts w:ascii="Arial" w:eastAsia="Calibri" w:hAnsi="Arial" w:cs="Arial"/>
        </w:rPr>
        <w:t>Tunja</w:t>
      </w:r>
      <w:r w:rsidR="00140E81">
        <w:rPr>
          <w:rFonts w:ascii="Arial" w:eastAsia="Calibri" w:hAnsi="Arial" w:cs="Arial"/>
        </w:rPr>
        <w:t xml:space="preserve">, </w:t>
      </w:r>
      <w:r>
        <w:rPr>
          <w:rFonts w:ascii="Arial" w:eastAsia="Calibri" w:hAnsi="Arial" w:cs="Arial"/>
        </w:rPr>
        <w:t>Boyacá.</w:t>
      </w:r>
    </w:p>
    <w:p w14:paraId="57FA06A9" w14:textId="77777777" w:rsidR="00420C9F" w:rsidRPr="00921225" w:rsidRDefault="00420C9F" w:rsidP="00420C9F">
      <w:pPr>
        <w:spacing w:after="0" w:line="240" w:lineRule="auto"/>
        <w:jc w:val="both"/>
        <w:rPr>
          <w:rFonts w:ascii="Arial" w:eastAsia="Calibri" w:hAnsi="Arial" w:cs="Arial"/>
        </w:rPr>
      </w:pPr>
    </w:p>
    <w:p w14:paraId="2DDE65BA" w14:textId="77777777" w:rsidR="00420C9F" w:rsidRPr="00921225" w:rsidRDefault="00420C9F" w:rsidP="00420C9F">
      <w:pPr>
        <w:spacing w:after="0" w:line="240" w:lineRule="auto"/>
        <w:jc w:val="both"/>
        <w:rPr>
          <w:rFonts w:ascii="Arial" w:eastAsia="Calibri" w:hAnsi="Arial" w:cs="Arial"/>
        </w:rPr>
      </w:pPr>
    </w:p>
    <w:p w14:paraId="47F14C5D" w14:textId="07D15FF5" w:rsidR="00420C9F" w:rsidRPr="00921225" w:rsidRDefault="00420C9F" w:rsidP="00420C9F">
      <w:pPr>
        <w:spacing w:after="0" w:line="240" w:lineRule="auto"/>
        <w:jc w:val="both"/>
        <w:rPr>
          <w:rFonts w:ascii="Arial" w:eastAsia="Calibri" w:hAnsi="Arial" w:cs="Arial"/>
        </w:rPr>
      </w:pPr>
      <w:r w:rsidRPr="00921225">
        <w:rPr>
          <w:rFonts w:ascii="Arial" w:eastAsia="Calibri" w:hAnsi="Arial" w:cs="Arial"/>
        </w:rPr>
        <w:t xml:space="preserve">                                            </w:t>
      </w:r>
      <w:r w:rsidRPr="00921225">
        <w:rPr>
          <w:rFonts w:ascii="Arial" w:eastAsia="Calibri" w:hAnsi="Arial" w:cs="Arial"/>
          <w:b/>
        </w:rPr>
        <w:t xml:space="preserve">Concepto C – </w:t>
      </w:r>
      <w:r w:rsidR="007D6DE8">
        <w:rPr>
          <w:rFonts w:ascii="Arial" w:eastAsia="Calibri" w:hAnsi="Arial" w:cs="Arial"/>
          <w:b/>
        </w:rPr>
        <w:t>1</w:t>
      </w:r>
      <w:r w:rsidR="00985579">
        <w:rPr>
          <w:rFonts w:ascii="Arial" w:eastAsia="Calibri" w:hAnsi="Arial" w:cs="Arial"/>
          <w:b/>
        </w:rPr>
        <w:t>27</w:t>
      </w:r>
      <w:r w:rsidRPr="00921225">
        <w:rPr>
          <w:rFonts w:ascii="Arial" w:eastAsia="Calibri" w:hAnsi="Arial" w:cs="Arial"/>
          <w:b/>
        </w:rPr>
        <w:t xml:space="preserve"> de 2022</w:t>
      </w:r>
      <w:r w:rsidRPr="00921225">
        <w:rPr>
          <w:rFonts w:ascii="Arial" w:eastAsia="Calibri" w:hAnsi="Arial" w:cs="Arial"/>
        </w:rPr>
        <w:t xml:space="preserve"> </w:t>
      </w:r>
    </w:p>
    <w:p w14:paraId="0F0B63AE" w14:textId="77777777" w:rsidR="00420C9F" w:rsidRPr="004437F0" w:rsidRDefault="00420C9F" w:rsidP="00420C9F">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20C9F" w:rsidRPr="004437F0" w14:paraId="01E7BEA4" w14:textId="77777777" w:rsidTr="004311E6">
        <w:trPr>
          <w:trHeight w:val="485"/>
        </w:trPr>
        <w:tc>
          <w:tcPr>
            <w:tcW w:w="2689" w:type="dxa"/>
            <w:hideMark/>
          </w:tcPr>
          <w:p w14:paraId="42FBC029" w14:textId="77777777" w:rsidR="00420C9F" w:rsidRPr="004437F0" w:rsidRDefault="00420C9F" w:rsidP="004311E6">
            <w:pPr>
              <w:contextualSpacing/>
              <w:rPr>
                <w:rFonts w:ascii="Arial" w:eastAsia="Calibri" w:hAnsi="Arial" w:cs="Arial"/>
                <w:noProof/>
                <w:highlight w:val="yellow"/>
                <w:lang w:val="es-ES_tradnl"/>
              </w:rPr>
            </w:pPr>
            <w:r w:rsidRPr="004437F0">
              <w:rPr>
                <w:rFonts w:ascii="Arial" w:eastAsia="Calibri" w:hAnsi="Arial" w:cs="Arial"/>
                <w:b/>
                <w:noProof/>
                <w:lang w:val="es-ES_tradnl"/>
              </w:rPr>
              <w:t>Temas:</w:t>
            </w:r>
            <w:r w:rsidRPr="004437F0">
              <w:rPr>
                <w:rFonts w:ascii="Arial" w:eastAsia="Calibri" w:hAnsi="Arial" w:cs="Arial"/>
                <w:noProof/>
                <w:lang w:val="es-ES_tradnl"/>
              </w:rPr>
              <w:t xml:space="preserve">        </w:t>
            </w:r>
          </w:p>
        </w:tc>
        <w:tc>
          <w:tcPr>
            <w:tcW w:w="6237" w:type="dxa"/>
            <w:hideMark/>
          </w:tcPr>
          <w:p w14:paraId="75EB1273" w14:textId="2E7806B5" w:rsidR="00420C9F" w:rsidRPr="009079ED" w:rsidRDefault="006F35D4" w:rsidP="00B654C3">
            <w:pPr>
              <w:contextualSpacing/>
              <w:jc w:val="both"/>
              <w:rPr>
                <w:rFonts w:ascii="Arial" w:eastAsia="Times New Roman" w:hAnsi="Arial" w:cs="Arial"/>
                <w:bCs/>
                <w:lang w:val="es-ES" w:eastAsia="es-CO"/>
              </w:rPr>
            </w:pPr>
            <w:r w:rsidRPr="009079ED">
              <w:rPr>
                <w:rFonts w:ascii="Arial" w:eastAsia="Calibri" w:hAnsi="Arial" w:cs="Arial"/>
                <w:bCs/>
                <w:lang w:val="es-MX" w:eastAsia="es-MX"/>
              </w:rPr>
              <w:t>LEY DE GARANTÍAS ELECTORALES – Naturaleza Jurídica / LEY DE GARANTÍAS ELECTORALES – Prohibiciones</w:t>
            </w:r>
            <w:r w:rsidRPr="009079ED">
              <w:rPr>
                <w:rFonts w:ascii="Arial" w:eastAsia="Calibri" w:hAnsi="Arial" w:cs="Arial"/>
                <w:bCs/>
                <w:sz w:val="20"/>
                <w:szCs w:val="20"/>
                <w:lang w:val="es-MX" w:eastAsia="es-MX"/>
              </w:rPr>
              <w:t xml:space="preserve"> / </w:t>
            </w:r>
            <w:r w:rsidRPr="009079ED">
              <w:rPr>
                <w:rFonts w:ascii="Arial" w:eastAsia="Calibri" w:hAnsi="Arial" w:cs="Arial"/>
                <w:bCs/>
                <w:lang w:val="es-MX"/>
              </w:rPr>
              <w:t xml:space="preserve">LEY DE GARANTÍAS ELECTORALES ─ Prohibición artículo 33 ‒ Contratación directa ‒ Alcance / </w:t>
            </w:r>
            <w:r w:rsidRPr="009079ED">
              <w:rPr>
                <w:rFonts w:ascii="Arial" w:eastAsia="Times New Roman" w:hAnsi="Arial" w:cs="Arial"/>
                <w:bCs/>
                <w:lang w:eastAsia="es-CO"/>
              </w:rPr>
              <w:t xml:space="preserve">LEY DE GARANTÍAS ELECTORALES </w:t>
            </w:r>
            <w:r w:rsidRPr="009079ED">
              <w:rPr>
                <w:rFonts w:ascii="Arial" w:eastAsia="Calibri" w:hAnsi="Arial" w:cs="Arial"/>
                <w:bCs/>
                <w:lang w:val="es-MX"/>
              </w:rPr>
              <w:t xml:space="preserve">─ Prohibición artículo 33 ‒ </w:t>
            </w:r>
            <w:r w:rsidRPr="009079ED">
              <w:rPr>
                <w:rFonts w:ascii="Arial" w:eastAsia="Times New Roman" w:hAnsi="Arial" w:cs="Arial"/>
                <w:bCs/>
                <w:lang w:eastAsia="es-CO"/>
              </w:rPr>
              <w:t xml:space="preserve">Excepciones / LEY DE GARANTÍAS ELECTORALES ‒ </w:t>
            </w:r>
            <w:r w:rsidRPr="009079ED">
              <w:rPr>
                <w:rFonts w:ascii="Arial" w:eastAsia="Times New Roman" w:hAnsi="Arial" w:cs="Arial"/>
                <w:bCs/>
                <w:lang w:val="es-ES" w:eastAsia="es-CO"/>
              </w:rPr>
              <w:t xml:space="preserve">Prohibición del artículo 33 </w:t>
            </w:r>
            <w:r w:rsidRPr="009079ED">
              <w:rPr>
                <w:rFonts w:ascii="Arial" w:eastAsia="Times New Roman" w:hAnsi="Arial" w:cs="Arial"/>
                <w:bCs/>
                <w:lang w:eastAsia="es-CO"/>
              </w:rPr>
              <w:t>‒ Destinatarios</w:t>
            </w:r>
            <w:r w:rsidR="004F488F">
              <w:rPr>
                <w:rFonts w:ascii="Arial" w:eastAsia="Times New Roman" w:hAnsi="Arial" w:cs="Arial"/>
                <w:bCs/>
                <w:lang w:eastAsia="es-CO"/>
              </w:rPr>
              <w:t xml:space="preserve"> </w:t>
            </w:r>
            <w:r w:rsidRPr="009079ED">
              <w:rPr>
                <w:rFonts w:ascii="Arial" w:eastAsia="Times New Roman" w:hAnsi="Arial" w:cs="Arial"/>
                <w:bCs/>
                <w:lang w:eastAsia="es-CO"/>
              </w:rPr>
              <w:t xml:space="preserve">/ LEY DE GARANTÍAS ELECTORALES ‒ </w:t>
            </w:r>
            <w:r w:rsidRPr="009079ED">
              <w:rPr>
                <w:rFonts w:ascii="Arial" w:eastAsia="Times New Roman" w:hAnsi="Arial" w:cs="Arial"/>
                <w:bCs/>
                <w:lang w:val="es-ES" w:eastAsia="es-CO"/>
              </w:rPr>
              <w:t xml:space="preserve">Prohibición del parágrafo del artículo 38 </w:t>
            </w:r>
            <w:r w:rsidRPr="009079ED">
              <w:rPr>
                <w:rFonts w:ascii="Arial" w:eastAsia="Times New Roman" w:hAnsi="Arial" w:cs="Arial"/>
                <w:bCs/>
                <w:lang w:eastAsia="es-CO"/>
              </w:rPr>
              <w:t xml:space="preserve">‒ </w:t>
            </w:r>
            <w:r w:rsidRPr="009079ED">
              <w:rPr>
                <w:rFonts w:ascii="Arial" w:eastAsia="Calibri" w:hAnsi="Arial" w:cs="Arial"/>
                <w:bCs/>
                <w:lang w:val="es-MX"/>
              </w:rPr>
              <w:t xml:space="preserve">Alcance / </w:t>
            </w:r>
            <w:r w:rsidRPr="009079ED">
              <w:rPr>
                <w:rFonts w:ascii="Arial" w:eastAsia="Times New Roman" w:hAnsi="Arial" w:cs="Arial"/>
                <w:bCs/>
                <w:lang w:eastAsia="es-CO"/>
              </w:rPr>
              <w:t xml:space="preserve">LEY DE GARANTÍAS ELECTORALES ‒ </w:t>
            </w:r>
            <w:r w:rsidR="00B654C3" w:rsidRPr="009079ED">
              <w:rPr>
                <w:rFonts w:ascii="Arial" w:eastAsia="Times New Roman" w:hAnsi="Arial" w:cs="Arial"/>
                <w:bCs/>
                <w:lang w:val="es-ES" w:eastAsia="es-CO"/>
              </w:rPr>
              <w:t>Memorandos de Entendimiento</w:t>
            </w:r>
          </w:p>
          <w:p w14:paraId="36DDFC55" w14:textId="77777777" w:rsidR="00B654C3" w:rsidRPr="004437F0" w:rsidRDefault="00B654C3" w:rsidP="00B654C3">
            <w:pPr>
              <w:contextualSpacing/>
              <w:jc w:val="both"/>
              <w:rPr>
                <w:rFonts w:ascii="Arial" w:eastAsia="Calibri" w:hAnsi="Arial" w:cs="Arial"/>
                <w:b/>
                <w:bCs/>
                <w:lang w:val="es-MX"/>
              </w:rPr>
            </w:pPr>
          </w:p>
          <w:p w14:paraId="562FC6BA" w14:textId="77777777" w:rsidR="00420C9F" w:rsidRPr="004437F0" w:rsidRDefault="00420C9F" w:rsidP="004311E6">
            <w:pPr>
              <w:spacing w:after="120"/>
              <w:ind w:right="703"/>
              <w:jc w:val="both"/>
              <w:rPr>
                <w:rFonts w:ascii="Arial" w:eastAsia="Calibri" w:hAnsi="Arial" w:cs="Arial"/>
                <w:bCs/>
                <w:highlight w:val="yellow"/>
                <w:lang w:val="es-MX"/>
              </w:rPr>
            </w:pPr>
          </w:p>
        </w:tc>
      </w:tr>
      <w:tr w:rsidR="00420C9F" w:rsidRPr="003A0F48" w14:paraId="4071BE83" w14:textId="77777777" w:rsidTr="004311E6">
        <w:tc>
          <w:tcPr>
            <w:tcW w:w="2689" w:type="dxa"/>
          </w:tcPr>
          <w:p w14:paraId="328950BA" w14:textId="1D812E12" w:rsidR="00420C9F" w:rsidRPr="00921225" w:rsidRDefault="006F35D4" w:rsidP="004311E6">
            <w:pPr>
              <w:contextualSpacing/>
              <w:rPr>
                <w:rFonts w:ascii="Arial" w:eastAsia="Calibri" w:hAnsi="Arial" w:cs="Arial"/>
                <w:b/>
                <w:noProof/>
                <w:lang w:val="es-ES_tradnl"/>
              </w:rPr>
            </w:pPr>
            <w:r>
              <w:rPr>
                <w:rFonts w:ascii="Arial" w:eastAsia="Calibri" w:hAnsi="Arial" w:cs="Arial"/>
                <w:b/>
                <w:noProof/>
                <w:lang w:val="es-ES_tradnl"/>
              </w:rPr>
              <w:t xml:space="preserve"> </w:t>
            </w:r>
            <w:r w:rsidR="00420C9F" w:rsidRPr="00921225">
              <w:rPr>
                <w:rFonts w:ascii="Arial" w:eastAsia="Calibri" w:hAnsi="Arial" w:cs="Arial"/>
                <w:b/>
                <w:noProof/>
                <w:lang w:val="es-ES_tradnl"/>
              </w:rPr>
              <w:t>Radicación:</w:t>
            </w:r>
            <w:r w:rsidR="00420C9F" w:rsidRPr="00921225">
              <w:rPr>
                <w:rFonts w:ascii="Arial" w:eastAsia="Calibri" w:hAnsi="Arial" w:cs="Arial"/>
                <w:noProof/>
                <w:lang w:val="es-ES_tradnl"/>
              </w:rPr>
              <w:t xml:space="preserve">                              </w:t>
            </w:r>
          </w:p>
        </w:tc>
        <w:tc>
          <w:tcPr>
            <w:tcW w:w="6237" w:type="dxa"/>
          </w:tcPr>
          <w:p w14:paraId="58EABD6C" w14:textId="5D173A4A" w:rsidR="00420C9F" w:rsidRPr="00921225" w:rsidRDefault="00420C9F" w:rsidP="004311E6">
            <w:pPr>
              <w:contextualSpacing/>
              <w:jc w:val="both"/>
              <w:rPr>
                <w:rFonts w:ascii="Arial" w:eastAsia="Calibri" w:hAnsi="Arial" w:cs="Arial"/>
                <w:noProof/>
                <w:lang w:val="es-ES_tradnl"/>
              </w:rPr>
            </w:pPr>
            <w:r w:rsidRPr="00921225">
              <w:rPr>
                <w:rFonts w:ascii="Arial" w:eastAsia="Calibri" w:hAnsi="Arial" w:cs="Arial"/>
                <w:noProof/>
                <w:lang w:val="es-ES_tradnl"/>
              </w:rPr>
              <w:t>Respuesta a consulta</w:t>
            </w:r>
            <w:r w:rsidR="00985579">
              <w:rPr>
                <w:rFonts w:ascii="Arial" w:eastAsia="Calibri" w:hAnsi="Arial" w:cs="Arial"/>
                <w:noProof/>
                <w:lang w:val="es-ES_tradnl"/>
              </w:rPr>
              <w:t xml:space="preserve"> </w:t>
            </w:r>
            <w:r w:rsidR="00985579" w:rsidRPr="00985579">
              <w:rPr>
                <w:rFonts w:ascii="Arial" w:eastAsia="Calibri" w:hAnsi="Arial" w:cs="Arial"/>
                <w:noProof/>
                <w:lang w:val="es-ES_tradnl"/>
              </w:rPr>
              <w:t>P20220210001357</w:t>
            </w:r>
            <w:r w:rsidR="00654E02">
              <w:rPr>
                <w:rFonts w:ascii="Segoe UI" w:hAnsi="Segoe UI" w:cs="Segoe UI"/>
                <w:b/>
                <w:bCs/>
                <w:color w:val="323130"/>
                <w:sz w:val="32"/>
                <w:szCs w:val="32"/>
                <w:shd w:val="clear" w:color="auto" w:fill="FFFFFF"/>
              </w:rPr>
              <w:t xml:space="preserve"> </w:t>
            </w:r>
          </w:p>
        </w:tc>
      </w:tr>
    </w:tbl>
    <w:p w14:paraId="1C670EA5" w14:textId="69CF191E" w:rsidR="00420C9F" w:rsidRDefault="00420C9F" w:rsidP="00420C9F">
      <w:pPr>
        <w:spacing w:after="0" w:line="240" w:lineRule="auto"/>
        <w:jc w:val="both"/>
        <w:rPr>
          <w:rFonts w:ascii="Arial" w:eastAsia="Calibri" w:hAnsi="Arial" w:cs="Arial"/>
        </w:rPr>
      </w:pPr>
    </w:p>
    <w:p w14:paraId="490378FA" w14:textId="77777777" w:rsidR="004F488F" w:rsidRPr="00921225" w:rsidRDefault="004F488F" w:rsidP="00420C9F">
      <w:pPr>
        <w:spacing w:after="0" w:line="240" w:lineRule="auto"/>
        <w:jc w:val="both"/>
        <w:rPr>
          <w:rFonts w:ascii="Arial" w:eastAsia="Calibri" w:hAnsi="Arial" w:cs="Arial"/>
        </w:rPr>
      </w:pPr>
    </w:p>
    <w:p w14:paraId="38A98FA2" w14:textId="2F7B59AB" w:rsidR="00420C9F" w:rsidRPr="00921225" w:rsidRDefault="00420C9F" w:rsidP="00420C9F">
      <w:pPr>
        <w:spacing w:after="0" w:line="276" w:lineRule="auto"/>
        <w:jc w:val="both"/>
        <w:rPr>
          <w:rFonts w:ascii="Arial" w:eastAsia="Calibri" w:hAnsi="Arial" w:cs="Arial"/>
        </w:rPr>
      </w:pPr>
      <w:r w:rsidRPr="00921225">
        <w:rPr>
          <w:rFonts w:ascii="Arial" w:eastAsia="Calibri" w:hAnsi="Arial" w:cs="Arial"/>
        </w:rPr>
        <w:t>Estimad</w:t>
      </w:r>
      <w:r w:rsidR="00985579">
        <w:rPr>
          <w:rFonts w:ascii="Arial" w:eastAsia="Calibri" w:hAnsi="Arial" w:cs="Arial"/>
        </w:rPr>
        <w:t>a</w:t>
      </w:r>
      <w:r w:rsidRPr="003A0F48">
        <w:rPr>
          <w:rFonts w:ascii="Arial" w:eastAsia="Calibri" w:hAnsi="Arial" w:cs="Arial"/>
        </w:rPr>
        <w:t xml:space="preserve"> </w:t>
      </w:r>
      <w:r w:rsidRPr="00921225">
        <w:rPr>
          <w:rFonts w:ascii="Arial" w:eastAsia="Calibri" w:hAnsi="Arial" w:cs="Arial"/>
        </w:rPr>
        <w:t>señor</w:t>
      </w:r>
      <w:r w:rsidR="00985579">
        <w:rPr>
          <w:rFonts w:ascii="Arial" w:eastAsia="Calibri" w:hAnsi="Arial" w:cs="Arial"/>
        </w:rPr>
        <w:t xml:space="preserve">a </w:t>
      </w:r>
      <w:r w:rsidR="00985579" w:rsidRPr="00985579">
        <w:rPr>
          <w:rFonts w:ascii="Arial" w:eastAsia="Calibri" w:hAnsi="Arial" w:cs="Arial"/>
        </w:rPr>
        <w:t>Altuzarra</w:t>
      </w:r>
      <w:r w:rsidRPr="00921225">
        <w:rPr>
          <w:rFonts w:ascii="Arial" w:eastAsia="Calibri" w:hAnsi="Arial" w:cs="Arial"/>
        </w:rPr>
        <w:t>:</w:t>
      </w:r>
    </w:p>
    <w:p w14:paraId="5BF7FC76" w14:textId="77777777" w:rsidR="00420C9F" w:rsidRPr="00921225" w:rsidRDefault="00420C9F" w:rsidP="00420C9F">
      <w:pPr>
        <w:spacing w:after="0" w:line="276" w:lineRule="auto"/>
        <w:ind w:firstLine="709"/>
        <w:jc w:val="both"/>
        <w:rPr>
          <w:rFonts w:ascii="Arial" w:eastAsia="Calibri" w:hAnsi="Arial" w:cs="Arial"/>
        </w:rPr>
      </w:pPr>
    </w:p>
    <w:p w14:paraId="539D2710" w14:textId="32CF871E" w:rsidR="00420C9F" w:rsidRPr="00921225" w:rsidRDefault="00420C9F" w:rsidP="00420C9F">
      <w:pPr>
        <w:spacing w:after="0" w:line="276" w:lineRule="auto"/>
        <w:ind w:right="51"/>
        <w:contextualSpacing/>
        <w:jc w:val="both"/>
        <w:rPr>
          <w:rFonts w:ascii="Arial" w:eastAsia="Calibri" w:hAnsi="Arial" w:cs="Arial"/>
        </w:rPr>
      </w:pPr>
      <w:r w:rsidRPr="00921225">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985579">
        <w:rPr>
          <w:rFonts w:ascii="Arial" w:eastAsia="Calibri" w:hAnsi="Arial" w:cs="Arial"/>
        </w:rPr>
        <w:t>10</w:t>
      </w:r>
      <w:r w:rsidRPr="003A0F48">
        <w:rPr>
          <w:rFonts w:ascii="Arial" w:eastAsia="Calibri" w:hAnsi="Arial" w:cs="Arial"/>
        </w:rPr>
        <w:t xml:space="preserve"> de febrero</w:t>
      </w:r>
      <w:r w:rsidRPr="00921225">
        <w:rPr>
          <w:rFonts w:ascii="Arial" w:eastAsia="Calibri" w:hAnsi="Arial" w:cs="Arial"/>
        </w:rPr>
        <w:t xml:space="preserve"> de 2022. </w:t>
      </w:r>
    </w:p>
    <w:p w14:paraId="4EF075BE" w14:textId="77777777" w:rsidR="00420C9F" w:rsidRPr="00921225" w:rsidRDefault="00420C9F" w:rsidP="00420C9F">
      <w:pPr>
        <w:spacing w:after="0" w:line="276" w:lineRule="auto"/>
        <w:contextualSpacing/>
        <w:jc w:val="both"/>
        <w:rPr>
          <w:rFonts w:ascii="Arial" w:eastAsia="Calibri" w:hAnsi="Arial" w:cs="Arial"/>
        </w:rPr>
      </w:pPr>
    </w:p>
    <w:p w14:paraId="79E1C732" w14:textId="77777777" w:rsidR="00420C9F" w:rsidRPr="00921225" w:rsidRDefault="00420C9F" w:rsidP="00420C9F">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 xml:space="preserve">1. Problema planteado </w:t>
      </w:r>
    </w:p>
    <w:p w14:paraId="65A3CCD0" w14:textId="77777777" w:rsidR="00420C9F" w:rsidRPr="00921225" w:rsidRDefault="00420C9F" w:rsidP="00420C9F">
      <w:pPr>
        <w:tabs>
          <w:tab w:val="left" w:pos="284"/>
        </w:tabs>
        <w:spacing w:after="0" w:line="276" w:lineRule="auto"/>
        <w:ind w:firstLine="709"/>
        <w:contextualSpacing/>
        <w:jc w:val="both"/>
        <w:rPr>
          <w:rFonts w:ascii="Arial" w:eastAsia="Calibri" w:hAnsi="Arial" w:cs="Arial"/>
          <w:b/>
        </w:rPr>
      </w:pPr>
    </w:p>
    <w:p w14:paraId="2F9A3C31" w14:textId="02551760" w:rsidR="00D12980" w:rsidRPr="009079ED" w:rsidRDefault="00654E02" w:rsidP="009079ED">
      <w:pPr>
        <w:spacing w:after="0" w:line="276" w:lineRule="auto"/>
        <w:contextualSpacing/>
        <w:jc w:val="both"/>
        <w:rPr>
          <w:rFonts w:ascii="Arial" w:eastAsia="Times New Roman" w:hAnsi="Arial" w:cs="Arial"/>
          <w:lang w:val="es-ES" w:eastAsia="es-CO"/>
        </w:rPr>
      </w:pPr>
      <w:bookmarkStart w:id="4" w:name="_Hlk58917991"/>
      <w:bookmarkStart w:id="5" w:name="_Hlk56103000"/>
      <w:r w:rsidRPr="00140E81">
        <w:rPr>
          <w:rFonts w:ascii="Arial" w:eastAsia="Times New Roman" w:hAnsi="Arial" w:cs="Arial"/>
          <w:lang w:eastAsia="es-ES_tradnl"/>
        </w:rPr>
        <w:t xml:space="preserve">Respecto de la Ley de Garantías Electorales, usted plantea la siguiente pregunta: </w:t>
      </w:r>
      <w:r w:rsidR="00D12980" w:rsidRPr="009079ED">
        <w:rPr>
          <w:rFonts w:ascii="Arial" w:eastAsia="Times New Roman" w:hAnsi="Arial" w:cs="Arial"/>
          <w:lang w:val="es-ES" w:eastAsia="es-CO"/>
        </w:rPr>
        <w:t>«</w:t>
      </w:r>
      <w:r w:rsidR="00985579" w:rsidRPr="009079ED">
        <w:rPr>
          <w:rFonts w:ascii="Arial" w:eastAsia="Times New Roman" w:hAnsi="Arial" w:cs="Arial"/>
          <w:lang w:val="es-ES" w:eastAsia="es-CO"/>
        </w:rPr>
        <w:t>Agradezco conocer si en ley de garantías pueden firmarse acuerdos de entendimiento o actas de entendimiento</w:t>
      </w:r>
      <w:r w:rsidR="001D68A0" w:rsidRPr="009079ED">
        <w:rPr>
          <w:rFonts w:ascii="Arial" w:eastAsia="Times New Roman" w:hAnsi="Arial" w:cs="Arial"/>
          <w:lang w:val="es-ES" w:eastAsia="es-CO"/>
        </w:rPr>
        <w:t>»</w:t>
      </w:r>
      <w:r w:rsidR="0029624A">
        <w:rPr>
          <w:rFonts w:ascii="Arial" w:eastAsia="Times New Roman" w:hAnsi="Arial" w:cs="Arial"/>
          <w:lang w:val="es-ES" w:eastAsia="es-CO"/>
        </w:rPr>
        <w:t>.</w:t>
      </w:r>
      <w:r w:rsidR="00331472" w:rsidRPr="009079ED">
        <w:rPr>
          <w:rFonts w:ascii="Arial" w:eastAsia="Times New Roman" w:hAnsi="Arial" w:cs="Arial"/>
          <w:lang w:val="es-ES" w:eastAsia="es-CO"/>
        </w:rPr>
        <w:t xml:space="preserve">  </w:t>
      </w:r>
      <w:r w:rsidR="00A61928" w:rsidRPr="009079ED">
        <w:rPr>
          <w:rFonts w:ascii="Arial" w:eastAsia="Times New Roman" w:hAnsi="Arial" w:cs="Arial"/>
          <w:lang w:val="es-ES" w:eastAsia="es-CO"/>
        </w:rPr>
        <w:t xml:space="preserve">  </w:t>
      </w:r>
      <w:r w:rsidR="00D12980" w:rsidRPr="009079ED">
        <w:rPr>
          <w:rFonts w:ascii="Arial" w:eastAsia="Times New Roman" w:hAnsi="Arial" w:cs="Arial"/>
          <w:lang w:val="es-ES" w:eastAsia="es-CO"/>
        </w:rPr>
        <w:t xml:space="preserve"> </w:t>
      </w:r>
    </w:p>
    <w:p w14:paraId="72E3F484" w14:textId="77777777" w:rsidR="00420C9F" w:rsidRPr="00921225" w:rsidRDefault="00420C9F" w:rsidP="00420C9F">
      <w:pPr>
        <w:tabs>
          <w:tab w:val="left" w:pos="426"/>
        </w:tabs>
        <w:spacing w:after="0" w:line="276" w:lineRule="auto"/>
        <w:contextualSpacing/>
        <w:jc w:val="both"/>
        <w:rPr>
          <w:rFonts w:ascii="Arial" w:eastAsia="Calibri" w:hAnsi="Arial" w:cs="Arial"/>
        </w:rPr>
      </w:pPr>
    </w:p>
    <w:bookmarkEnd w:id="4"/>
    <w:bookmarkEnd w:id="5"/>
    <w:p w14:paraId="2E286DA8" w14:textId="77777777" w:rsidR="00420C9F" w:rsidRDefault="00420C9F" w:rsidP="00420C9F">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2. Consideraciones</w:t>
      </w:r>
    </w:p>
    <w:p w14:paraId="600389B1" w14:textId="77777777" w:rsidR="00420C9F" w:rsidRPr="00921225" w:rsidRDefault="00420C9F" w:rsidP="00420C9F">
      <w:pPr>
        <w:tabs>
          <w:tab w:val="left" w:pos="284"/>
        </w:tabs>
        <w:spacing w:after="0" w:line="276" w:lineRule="auto"/>
        <w:contextualSpacing/>
        <w:jc w:val="both"/>
        <w:rPr>
          <w:rFonts w:ascii="Arial" w:eastAsia="Calibri" w:hAnsi="Arial" w:cs="Arial"/>
          <w:b/>
        </w:rPr>
      </w:pPr>
    </w:p>
    <w:p w14:paraId="02C625F8" w14:textId="77777777" w:rsidR="00420C9F" w:rsidRPr="00C512B3" w:rsidRDefault="00420C9F" w:rsidP="00420C9F">
      <w:pPr>
        <w:spacing w:after="120" w:line="276" w:lineRule="auto"/>
        <w:jc w:val="both"/>
        <w:rPr>
          <w:rFonts w:ascii="Arial" w:eastAsia="Calibri" w:hAnsi="Arial" w:cs="Arial"/>
          <w:lang w:val="es-ES_tradnl"/>
        </w:rPr>
      </w:pPr>
      <w:r w:rsidRPr="00C512B3">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512B3">
        <w:rPr>
          <w:rStyle w:val="Refdenotaalpie"/>
          <w:rFonts w:ascii="Arial" w:eastAsia="Calibri" w:hAnsi="Arial" w:cs="Arial"/>
          <w:lang w:val="es-ES_tradnl"/>
        </w:rPr>
        <w:footnoteReference w:id="1"/>
      </w:r>
      <w:r w:rsidRPr="00C512B3">
        <w:rPr>
          <w:rFonts w:ascii="Arial" w:eastAsia="Calibri" w:hAnsi="Arial" w:cs="Arial"/>
          <w:lang w:val="es-ES_tradnl"/>
        </w:rPr>
        <w:t>.</w:t>
      </w:r>
    </w:p>
    <w:p w14:paraId="06AB4655" w14:textId="77777777" w:rsidR="00420C9F" w:rsidRPr="00C512B3" w:rsidRDefault="00420C9F" w:rsidP="00420C9F">
      <w:pPr>
        <w:spacing w:after="120" w:line="276" w:lineRule="auto"/>
        <w:ind w:firstLine="709"/>
        <w:jc w:val="both"/>
        <w:rPr>
          <w:rFonts w:ascii="Arial" w:eastAsia="Calibri" w:hAnsi="Arial" w:cs="Arial"/>
          <w:lang w:val="es-ES_tradnl"/>
        </w:rPr>
      </w:pPr>
      <w:r w:rsidRPr="00C512B3">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3B5D6F0" w14:textId="77777777" w:rsidR="00420C9F" w:rsidRPr="006F35D4" w:rsidRDefault="00420C9F" w:rsidP="00420C9F">
      <w:pPr>
        <w:spacing w:after="120" w:line="276" w:lineRule="auto"/>
        <w:ind w:firstLine="709"/>
        <w:jc w:val="both"/>
        <w:rPr>
          <w:rFonts w:ascii="Arial" w:eastAsia="Calibri" w:hAnsi="Arial" w:cs="Arial"/>
          <w:lang w:val="es-ES_tradnl"/>
        </w:rPr>
      </w:pPr>
      <w:r w:rsidRPr="00C512B3">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w:t>
      </w:r>
      <w:r w:rsidRPr="006F35D4">
        <w:rPr>
          <w:rFonts w:ascii="Arial" w:eastAsia="Calibri" w:hAnsi="Arial" w:cs="Arial"/>
          <w:lang w:val="es-ES_tradnl"/>
        </w:rPr>
        <w:t>judiciales, fiscales y disciplinarias.</w:t>
      </w:r>
    </w:p>
    <w:p w14:paraId="22039E88" w14:textId="7E33E498" w:rsidR="00420C9F" w:rsidRPr="00C512B3" w:rsidRDefault="00420C9F" w:rsidP="00420C9F">
      <w:pPr>
        <w:spacing w:after="120" w:line="276" w:lineRule="auto"/>
        <w:ind w:firstLine="709"/>
        <w:jc w:val="both"/>
        <w:rPr>
          <w:rFonts w:ascii="Arial" w:eastAsia="Calibri" w:hAnsi="Arial" w:cs="Arial"/>
          <w:lang w:val="es-ES_tradnl"/>
        </w:rPr>
      </w:pPr>
      <w:r w:rsidRPr="00B654C3">
        <w:rPr>
          <w:rFonts w:ascii="Arial" w:eastAsia="Calibri" w:hAnsi="Arial" w:cs="Arial"/>
          <w:lang w:val="es-ES_tradnl"/>
        </w:rPr>
        <w:t xml:space="preserve">En atención a lo anterior, </w:t>
      </w:r>
      <w:r w:rsidRPr="00B654C3">
        <w:rPr>
          <w:rFonts w:ascii="Arial" w:eastAsia="Calibri" w:hAnsi="Arial" w:cs="Arial"/>
          <w:lang w:val="es-ES"/>
        </w:rPr>
        <w:t>la Subdirección</w:t>
      </w:r>
      <w:r w:rsidRPr="00B654C3">
        <w:rPr>
          <w:rFonts w:ascii="Arial" w:eastAsia="Calibri" w:hAnsi="Arial" w:cs="Arial"/>
          <w:lang w:val="es-ES_tradnl"/>
        </w:rPr>
        <w:t xml:space="preserve"> responderá su consulta dentro de los límites de su competencia, previo análisis de los siguientes temas: i) definición y finalidad de la Ley de Garantías Electorales; ii) las restricciones en elecciones presidenciales, donde se desarrollará la prohibición del artículo 33 de la Ley 996 de 2005; iii) </w:t>
      </w:r>
      <w:r w:rsidR="006F35D4" w:rsidRPr="00B654C3">
        <w:rPr>
          <w:rFonts w:ascii="Arial" w:eastAsia="Calibri" w:hAnsi="Arial" w:cs="Arial"/>
          <w:lang w:val="es-ES_tradnl"/>
        </w:rPr>
        <w:t xml:space="preserve">excepciones a la prohibición del artículo 33 de la Ley 996 de 2005; iv) </w:t>
      </w:r>
      <w:r w:rsidRPr="00B654C3">
        <w:rPr>
          <w:rFonts w:ascii="Arial" w:eastAsia="Calibri" w:hAnsi="Arial" w:cs="Arial"/>
          <w:lang w:val="es-ES_tradnl"/>
        </w:rPr>
        <w:t xml:space="preserve">las restricciones para la celebración de contratos y convenios interadministrativos en los comicios de cargos de elección popular, donde se analizará la prohibición del parágrafo del artículo 38 de la Ley 996 de 2005; y iv) la aplicación de la Ley de Garantías </w:t>
      </w:r>
      <w:r w:rsidR="006F35D4" w:rsidRPr="00B654C3">
        <w:rPr>
          <w:rFonts w:ascii="Arial" w:eastAsia="Calibri" w:hAnsi="Arial" w:cs="Arial"/>
          <w:lang w:val="es-ES_tradnl"/>
        </w:rPr>
        <w:t xml:space="preserve">Electorales a los </w:t>
      </w:r>
      <w:r w:rsidR="00B654C3" w:rsidRPr="00B654C3">
        <w:rPr>
          <w:rFonts w:ascii="Arial" w:eastAsia="Calibri" w:hAnsi="Arial" w:cs="Arial"/>
          <w:lang w:val="es-ES_tradnl"/>
        </w:rPr>
        <w:t>memorando de entendimiento.</w:t>
      </w:r>
      <w:r w:rsidR="00B654C3">
        <w:rPr>
          <w:rFonts w:ascii="Arial" w:eastAsia="Calibri" w:hAnsi="Arial" w:cs="Arial"/>
          <w:lang w:val="es-ES_tradnl"/>
        </w:rPr>
        <w:t xml:space="preserve"> </w:t>
      </w:r>
      <w:r w:rsidR="006F35D4">
        <w:rPr>
          <w:rFonts w:ascii="Arial" w:eastAsia="Calibri" w:hAnsi="Arial" w:cs="Arial"/>
          <w:lang w:val="es-ES_tradnl"/>
        </w:rPr>
        <w:t xml:space="preserve"> </w:t>
      </w:r>
    </w:p>
    <w:p w14:paraId="7FE57A94" w14:textId="156E801D" w:rsidR="00420C9F" w:rsidRDefault="00420C9F" w:rsidP="00420C9F">
      <w:pPr>
        <w:spacing w:after="0" w:line="276" w:lineRule="auto"/>
        <w:ind w:firstLine="709"/>
        <w:contextualSpacing/>
        <w:jc w:val="both"/>
        <w:rPr>
          <w:rFonts w:ascii="Arial" w:eastAsia="Calibri" w:hAnsi="Arial" w:cs="Arial"/>
        </w:rPr>
      </w:pPr>
      <w:r w:rsidRPr="00C512B3">
        <w:rPr>
          <w:rFonts w:ascii="Arial" w:eastAsia="Calibri" w:hAnsi="Arial" w:cs="Arial"/>
          <w:lang w:val="es-ES_tradnl"/>
        </w:rPr>
        <w:t xml:space="preserve"> La Agencia Nacional de Contratación Pública – Colombia Compra Eficiente</w:t>
      </w:r>
      <w:r w:rsidRPr="00C512B3">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C- 097 del 18 de febrero de 2022</w:t>
      </w:r>
      <w:r w:rsidR="0029624A">
        <w:rPr>
          <w:rFonts w:ascii="Arial" w:eastAsia="Calibri" w:hAnsi="Arial" w:cs="Arial"/>
        </w:rPr>
        <w:t>,</w:t>
      </w:r>
      <w:r w:rsidRPr="00C512B3">
        <w:rPr>
          <w:rFonts w:ascii="Arial" w:eastAsia="Calibri" w:hAnsi="Arial" w:cs="Arial"/>
        </w:rPr>
        <w:t xml:space="preserve"> C-116 del 18 de febrero de 2022, entre otros. Teniendo en cuenta los conceptos anteriores y analizando la pregunta en cuestión se realizan las siguientes consideraciones.</w:t>
      </w:r>
    </w:p>
    <w:p w14:paraId="219C824B" w14:textId="77777777" w:rsidR="00420C9F" w:rsidRPr="00C512B3" w:rsidRDefault="00420C9F" w:rsidP="00420C9F">
      <w:pPr>
        <w:spacing w:after="0" w:line="276" w:lineRule="auto"/>
        <w:ind w:firstLine="709"/>
        <w:contextualSpacing/>
        <w:jc w:val="both"/>
        <w:rPr>
          <w:rFonts w:ascii="Arial" w:eastAsia="Calibri" w:hAnsi="Arial" w:cs="Arial"/>
        </w:rPr>
      </w:pPr>
    </w:p>
    <w:p w14:paraId="0C3F3AE9" w14:textId="77777777" w:rsidR="00420C9F" w:rsidRPr="00E46F3D" w:rsidRDefault="00420C9F" w:rsidP="00420C9F">
      <w:pPr>
        <w:tabs>
          <w:tab w:val="left" w:pos="426"/>
        </w:tabs>
        <w:spacing w:after="0" w:line="276" w:lineRule="auto"/>
        <w:contextualSpacing/>
        <w:jc w:val="both"/>
        <w:rPr>
          <w:rFonts w:ascii="Arial" w:eastAsia="Calibri" w:hAnsi="Arial" w:cs="Arial"/>
          <w:b/>
          <w:bCs/>
        </w:rPr>
      </w:pPr>
      <w:r w:rsidRPr="00E46F3D">
        <w:rPr>
          <w:rFonts w:ascii="Arial" w:eastAsia="Calibri" w:hAnsi="Arial" w:cs="Arial"/>
          <w:b/>
          <w:bCs/>
        </w:rPr>
        <w:t>2.1. Definición y finalidad de la Ley de Garantías Electorales</w:t>
      </w:r>
    </w:p>
    <w:p w14:paraId="70C3B0F1" w14:textId="77777777" w:rsidR="00420C9F" w:rsidRPr="00982FBE" w:rsidRDefault="00420C9F" w:rsidP="00420C9F">
      <w:pPr>
        <w:tabs>
          <w:tab w:val="left" w:pos="426"/>
        </w:tabs>
        <w:spacing w:after="0" w:line="276" w:lineRule="auto"/>
        <w:contextualSpacing/>
        <w:jc w:val="both"/>
        <w:rPr>
          <w:rFonts w:ascii="Arial" w:eastAsia="Calibri" w:hAnsi="Arial" w:cs="Arial"/>
          <w:bCs/>
        </w:rPr>
      </w:pPr>
    </w:p>
    <w:p w14:paraId="1E680583" w14:textId="77777777" w:rsidR="00420C9F" w:rsidRPr="00921225" w:rsidRDefault="00420C9F" w:rsidP="00420C9F">
      <w:pPr>
        <w:tabs>
          <w:tab w:val="left" w:pos="426"/>
        </w:tabs>
        <w:spacing w:after="120" w:line="276" w:lineRule="auto"/>
        <w:jc w:val="both"/>
        <w:rPr>
          <w:rFonts w:ascii="Arial" w:eastAsia="Times New Roman" w:hAnsi="Arial" w:cs="Arial"/>
          <w:bCs/>
          <w:lang w:eastAsia="es-CO"/>
        </w:rPr>
      </w:pPr>
      <w:r w:rsidRPr="00921225">
        <w:rPr>
          <w:rFonts w:ascii="Arial" w:eastAsia="Calibri" w:hAnsi="Arial" w:cs="Arial"/>
          <w:bCs/>
        </w:rPr>
        <w:t>El ordenamiento jurídico colombiano contempla previsiones claras para evitar la obtención de beneficios personales en asuntos propios de la administración pública</w:t>
      </w:r>
      <w:r w:rsidRPr="00921225">
        <w:rPr>
          <w:rFonts w:ascii="Arial" w:eastAsia="Calibri" w:hAnsi="Arial" w:cs="Arial"/>
          <w:bCs/>
          <w:i/>
          <w:iCs/>
        </w:rPr>
        <w:t xml:space="preserve">. </w:t>
      </w:r>
      <w:r w:rsidRPr="00921225">
        <w:rPr>
          <w:rFonts w:ascii="Arial" w:eastAsia="Calibri" w:hAnsi="Arial" w:cs="Arial"/>
          <w:bCs/>
        </w:rPr>
        <w:t>Por ejemplo, el artículo 127 de la Constitución Política establece una prohibición contractual a los servidores públicos y</w:t>
      </w:r>
      <w:r>
        <w:rPr>
          <w:rFonts w:ascii="Arial" w:eastAsia="Calibri" w:hAnsi="Arial" w:cs="Arial"/>
          <w:bCs/>
        </w:rPr>
        <w:t>,</w:t>
      </w:r>
      <w:r w:rsidRPr="00921225">
        <w:rPr>
          <w:rFonts w:ascii="Arial" w:eastAsia="Calibri" w:hAnsi="Arial" w:cs="Arial"/>
          <w:bCs/>
        </w:rPr>
        <w:t xml:space="preserve"> en cuanto a aspectos políticos</w:t>
      </w:r>
      <w:r>
        <w:rPr>
          <w:rFonts w:ascii="Arial" w:eastAsia="Calibri" w:hAnsi="Arial" w:cs="Arial"/>
          <w:bCs/>
        </w:rPr>
        <w:t>,</w:t>
      </w:r>
      <w:r w:rsidRPr="00921225">
        <w:rPr>
          <w:rFonts w:ascii="Arial" w:eastAsia="Calibri" w:hAnsi="Arial" w:cs="Arial"/>
          <w:bCs/>
        </w:rPr>
        <w:t xml:space="preserve"> establece restricciones a ciertos empleados del Estado, incluso en época no electoral</w:t>
      </w:r>
      <w:r w:rsidRPr="00921225">
        <w:rPr>
          <w:rFonts w:ascii="Arial" w:eastAsia="Calibri" w:hAnsi="Arial" w:cs="Arial"/>
          <w:bCs/>
          <w:vertAlign w:val="superscript"/>
        </w:rPr>
        <w:footnoteReference w:id="2"/>
      </w:r>
      <w:r w:rsidRPr="00921225">
        <w:rPr>
          <w:rFonts w:ascii="Arial" w:eastAsia="Calibri" w:hAnsi="Arial" w:cs="Arial"/>
          <w:bCs/>
        </w:rPr>
        <w:t xml:space="preserve">. </w:t>
      </w:r>
    </w:p>
    <w:p w14:paraId="17A84517" w14:textId="77777777" w:rsidR="00420C9F" w:rsidRPr="00921225" w:rsidRDefault="00420C9F" w:rsidP="00420C9F">
      <w:pPr>
        <w:tabs>
          <w:tab w:val="left" w:pos="426"/>
        </w:tabs>
        <w:spacing w:after="0" w:line="276" w:lineRule="auto"/>
        <w:ind w:firstLine="709"/>
        <w:contextualSpacing/>
        <w:jc w:val="both"/>
        <w:rPr>
          <w:rFonts w:ascii="Arial" w:eastAsia="Times New Roman" w:hAnsi="Arial" w:cs="Arial"/>
          <w:bCs/>
          <w:lang w:val="es-MX" w:eastAsia="es-CO"/>
        </w:rPr>
      </w:pPr>
      <w:r w:rsidRPr="00921225">
        <w:rPr>
          <w:rFonts w:ascii="Arial" w:eastAsia="Times New Roman" w:hAnsi="Arial" w:cs="Arial"/>
          <w:bCs/>
          <w:lang w:eastAsia="es-CO"/>
        </w:rPr>
        <w:t>En el mismo sentido</w:t>
      </w:r>
      <w:r w:rsidRPr="00921225">
        <w:rPr>
          <w:rFonts w:ascii="Arial" w:eastAsia="Times New Roman" w:hAnsi="Arial" w:cs="Arial"/>
          <w:bCs/>
          <w:lang w:val="es-MX" w:eastAsia="es-CO"/>
        </w:rPr>
        <w:t xml:space="preserve">, </w:t>
      </w:r>
      <w:bookmarkStart w:id="6" w:name="_Hlk98866830"/>
      <w:r w:rsidRPr="00921225">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21225">
        <w:rPr>
          <w:rFonts w:ascii="Arial" w:eastAsia="Times New Roman" w:hAnsi="Arial" w:cs="Arial"/>
          <w:bCs/>
          <w:vertAlign w:val="superscript"/>
          <w:lang w:val="es-MX" w:eastAsia="es-CO"/>
        </w:rPr>
        <w:footnoteReference w:id="3"/>
      </w:r>
      <w:r w:rsidRPr="00921225">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921225">
        <w:rPr>
          <w:rFonts w:ascii="Arial" w:eastAsia="Calibri" w:hAnsi="Arial" w:cs="Arial"/>
          <w:noProof/>
          <w:lang w:val="es-ES_tradnl"/>
        </w:rPr>
        <w:t xml:space="preserve"> </w:t>
      </w:r>
      <w:bookmarkEnd w:id="6"/>
      <w:r w:rsidRPr="0092122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D6F364F" w14:textId="77777777" w:rsidR="00420C9F" w:rsidRPr="00921225" w:rsidRDefault="00420C9F" w:rsidP="00420C9F">
      <w:pPr>
        <w:spacing w:after="0" w:line="276" w:lineRule="auto"/>
        <w:ind w:right="709"/>
        <w:contextualSpacing/>
        <w:jc w:val="both"/>
        <w:rPr>
          <w:rFonts w:ascii="Arial" w:eastAsia="Times New Roman" w:hAnsi="Arial" w:cs="Arial"/>
          <w:sz w:val="21"/>
          <w:szCs w:val="21"/>
          <w:lang w:val="es-ES" w:eastAsia="es-CO"/>
        </w:rPr>
      </w:pPr>
    </w:p>
    <w:p w14:paraId="1E833BF5"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sz w:val="21"/>
          <w:szCs w:val="21"/>
          <w:lang w:val="es-ES" w:eastAsia="es-CO"/>
        </w:rPr>
        <w:t xml:space="preserve">[…] </w:t>
      </w:r>
      <w:r w:rsidRPr="00921225">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B9FF5E1"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 xml:space="preserve">[…] </w:t>
      </w:r>
    </w:p>
    <w:p w14:paraId="32A88458"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21225">
        <w:rPr>
          <w:rFonts w:ascii="Arial" w:eastAsia="Calibri" w:hAnsi="Arial" w:cs="Arial"/>
          <w:sz w:val="20"/>
          <w:szCs w:val="20"/>
          <w:vertAlign w:val="superscript"/>
          <w:lang w:val="es-MX"/>
        </w:rPr>
        <w:footnoteReference w:id="4"/>
      </w:r>
      <w:r>
        <w:rPr>
          <w:rFonts w:ascii="Arial" w:eastAsia="Times New Roman" w:hAnsi="Arial" w:cs="Arial"/>
          <w:bCs/>
          <w:sz w:val="21"/>
          <w:szCs w:val="21"/>
          <w:lang w:val="es-MX" w:eastAsia="es-CO"/>
        </w:rPr>
        <w:t xml:space="preserve"> </w:t>
      </w:r>
      <w:r>
        <w:rPr>
          <w:rStyle w:val="Refdenotaalpie"/>
          <w:rFonts w:ascii="Arial" w:eastAsia="Times New Roman" w:hAnsi="Arial" w:cs="Arial"/>
          <w:bCs/>
          <w:sz w:val="21"/>
          <w:szCs w:val="21"/>
          <w:lang w:val="es-MX" w:eastAsia="es-CO"/>
        </w:rPr>
        <w:footnoteReference w:id="5"/>
      </w:r>
    </w:p>
    <w:p w14:paraId="05E9E203" w14:textId="77777777" w:rsidR="00420C9F" w:rsidRPr="00921225" w:rsidRDefault="00420C9F" w:rsidP="00420C9F">
      <w:pPr>
        <w:spacing w:after="0" w:line="276" w:lineRule="auto"/>
        <w:ind w:left="709" w:right="709"/>
        <w:contextualSpacing/>
        <w:jc w:val="both"/>
        <w:rPr>
          <w:rFonts w:ascii="Arial" w:eastAsia="Times New Roman" w:hAnsi="Arial" w:cs="Arial"/>
          <w:bCs/>
          <w:sz w:val="21"/>
          <w:szCs w:val="21"/>
          <w:lang w:val="es-MX" w:eastAsia="es-CO"/>
        </w:rPr>
      </w:pPr>
    </w:p>
    <w:p w14:paraId="78904FD9" w14:textId="77777777" w:rsidR="00420C9F" w:rsidRPr="00921225" w:rsidRDefault="00420C9F" w:rsidP="00420C9F">
      <w:pPr>
        <w:spacing w:after="0" w:line="276" w:lineRule="auto"/>
        <w:ind w:firstLine="709"/>
        <w:contextualSpacing/>
        <w:jc w:val="both"/>
        <w:rPr>
          <w:rFonts w:ascii="Arial" w:eastAsia="Times New Roman" w:hAnsi="Arial" w:cs="Arial"/>
          <w:bCs/>
          <w:lang w:val="es-MX" w:eastAsia="es-CO"/>
        </w:rPr>
      </w:pPr>
      <w:bookmarkStart w:id="7" w:name="_Hlk78818186"/>
      <w:r w:rsidRPr="00921225">
        <w:rPr>
          <w:rFonts w:ascii="Arial" w:eastAsia="Times New Roman" w:hAnsi="Arial" w:cs="Arial"/>
          <w:bCs/>
          <w:lang w:val="es-MX" w:eastAsia="es-CO"/>
        </w:rPr>
        <w:t>En este contexto, la Ley de Garantías Electorales establece el marco jurídico para el desarrollo de las elecciones, procurando condiciones de igualdad y transparencia para los aspirantes y</w:t>
      </w:r>
      <w:r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paralelamente</w:t>
      </w:r>
      <w:r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w:t>
      </w:r>
      <w:r w:rsidRPr="00CA3EBB">
        <w:rPr>
          <w:rFonts w:ascii="Arial" w:eastAsia="Times New Roman" w:hAnsi="Arial" w:cs="Arial"/>
          <w:bCs/>
          <w:lang w:val="es-MX" w:eastAsia="es-CO"/>
        </w:rPr>
        <w:t>incluyendo</w:t>
      </w:r>
      <w:r w:rsidRPr="00921225">
        <w:rPr>
          <w:rFonts w:ascii="Arial" w:eastAsia="Times New Roman" w:hAnsi="Arial" w:cs="Arial"/>
          <w:bCs/>
          <w:lang w:val="es-MX" w:eastAsia="es-CO"/>
        </w:rPr>
        <w:t xml:space="preserve"> restricciones en el actuar de los servidores públicos, evitando interferencias en la contienda electoral, así como la posible desviación de recursos públicos en aspiraciones electorales. </w:t>
      </w:r>
      <w:bookmarkEnd w:id="7"/>
      <w:r w:rsidRPr="0092122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35431F7" w14:textId="77777777" w:rsidR="00420C9F" w:rsidRPr="00921225" w:rsidRDefault="00420C9F" w:rsidP="00420C9F">
      <w:pPr>
        <w:spacing w:after="0" w:line="276" w:lineRule="auto"/>
        <w:ind w:firstLine="709"/>
        <w:contextualSpacing/>
        <w:jc w:val="both"/>
        <w:rPr>
          <w:rFonts w:ascii="Arial" w:eastAsia="Times New Roman" w:hAnsi="Arial" w:cs="Arial"/>
          <w:bCs/>
          <w:lang w:val="es-MX" w:eastAsia="es-CO"/>
        </w:rPr>
      </w:pPr>
    </w:p>
    <w:p w14:paraId="600DAD91" w14:textId="77777777" w:rsidR="00420C9F" w:rsidRPr="00921225" w:rsidRDefault="00420C9F" w:rsidP="00420C9F">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21225">
        <w:rPr>
          <w:rFonts w:ascii="Arial" w:eastAsia="Times New Roman" w:hAnsi="Arial" w:cs="Arial"/>
          <w:bCs/>
          <w:sz w:val="21"/>
          <w:szCs w:val="21"/>
          <w:lang w:val="es-MX" w:eastAsia="es-CO"/>
        </w:rPr>
        <w:t>legis</w:t>
      </w:r>
      <w:proofErr w:type="spellEnd"/>
      <w:r w:rsidRPr="00921225">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7C86F8B" w14:textId="77777777" w:rsidR="00420C9F" w:rsidRPr="00921225" w:rsidRDefault="00420C9F" w:rsidP="00420C9F">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La jurisprudencia de la Corte Constitucional</w:t>
      </w:r>
      <w:r w:rsidRPr="00921225">
        <w:rPr>
          <w:rFonts w:ascii="Arial" w:eastAsia="Times New Roman" w:hAnsi="Arial" w:cs="Arial"/>
          <w:bCs/>
          <w:sz w:val="21"/>
          <w:szCs w:val="21"/>
          <w:vertAlign w:val="superscript"/>
          <w:lang w:val="es-MX" w:eastAsia="es-CO"/>
        </w:rPr>
        <w:footnoteReference w:id="6"/>
      </w:r>
      <w:r w:rsidRPr="00921225">
        <w:rPr>
          <w:rFonts w:ascii="Arial" w:eastAsia="Times New Roman" w:hAnsi="Arial" w:cs="Arial"/>
          <w:bCs/>
          <w:sz w:val="21"/>
          <w:szCs w:val="21"/>
          <w:lang w:val="es-MX" w:eastAsia="es-CO"/>
        </w:rPr>
        <w:t> y del Consejo de Estado</w:t>
      </w:r>
      <w:r w:rsidRPr="00921225">
        <w:rPr>
          <w:rFonts w:ascii="Arial" w:eastAsia="Times New Roman" w:hAnsi="Arial" w:cs="Arial"/>
          <w:bCs/>
          <w:sz w:val="21"/>
          <w:szCs w:val="21"/>
          <w:vertAlign w:val="superscript"/>
          <w:lang w:val="es-MX" w:eastAsia="es-CO"/>
        </w:rPr>
        <w:footnoteReference w:id="7"/>
      </w:r>
      <w:r w:rsidRPr="00921225">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21225">
        <w:rPr>
          <w:rFonts w:ascii="Arial" w:eastAsia="Times New Roman" w:hAnsi="Arial" w:cs="Arial"/>
          <w:bCs/>
          <w:vertAlign w:val="superscript"/>
          <w:lang w:val="es-MX" w:eastAsia="es-CO"/>
        </w:rPr>
        <w:footnoteReference w:id="8"/>
      </w:r>
      <w:r w:rsidRPr="00921225">
        <w:rPr>
          <w:rFonts w:ascii="Arial" w:eastAsia="Times New Roman" w:hAnsi="Arial" w:cs="Arial"/>
          <w:bCs/>
          <w:sz w:val="21"/>
          <w:szCs w:val="21"/>
          <w:lang w:val="es-MX" w:eastAsia="es-CO"/>
        </w:rPr>
        <w:t>.</w:t>
      </w:r>
    </w:p>
    <w:p w14:paraId="2F6BCF22" w14:textId="77777777" w:rsidR="00420C9F" w:rsidRPr="00921225" w:rsidRDefault="00420C9F" w:rsidP="00420C9F">
      <w:pPr>
        <w:spacing w:after="0" w:line="276" w:lineRule="auto"/>
        <w:ind w:right="709"/>
        <w:contextualSpacing/>
        <w:jc w:val="both"/>
        <w:rPr>
          <w:rFonts w:ascii="Arial" w:eastAsia="Times New Roman" w:hAnsi="Arial" w:cs="Arial"/>
          <w:bCs/>
          <w:sz w:val="21"/>
          <w:szCs w:val="21"/>
          <w:lang w:val="es-MX" w:eastAsia="es-CO"/>
        </w:rPr>
      </w:pPr>
    </w:p>
    <w:p w14:paraId="55F62890" w14:textId="77777777" w:rsidR="00420C9F" w:rsidRPr="00921225" w:rsidRDefault="00420C9F" w:rsidP="00420C9F">
      <w:pPr>
        <w:spacing w:after="120" w:line="276" w:lineRule="auto"/>
        <w:jc w:val="both"/>
        <w:rPr>
          <w:rFonts w:ascii="Arial" w:eastAsia="Arial" w:hAnsi="Arial" w:cs="Arial"/>
          <w:lang w:val="es-ES" w:eastAsia="es-ES" w:bidi="es-ES"/>
        </w:rPr>
      </w:pPr>
      <w:r w:rsidRPr="00921225">
        <w:rPr>
          <w:rFonts w:ascii="Arial" w:eastAsia="Times New Roman" w:hAnsi="Arial" w:cs="Arial"/>
          <w:bCs/>
          <w:lang w:val="es-MX" w:eastAsia="es-CO"/>
        </w:rPr>
        <w:tab/>
      </w:r>
      <w:bookmarkStart w:id="8" w:name="_Hlk98866932"/>
      <w:r w:rsidRPr="00921225">
        <w:rPr>
          <w:rFonts w:ascii="Arial" w:eastAsia="Times New Roman" w:hAnsi="Arial" w:cs="Arial"/>
          <w:bCs/>
          <w:lang w:val="es-MX" w:eastAsia="es-CO"/>
        </w:rPr>
        <w:t>De</w:t>
      </w:r>
      <w:r w:rsidRPr="00921225">
        <w:rPr>
          <w:rFonts w:ascii="Arial" w:eastAsia="Arial" w:hAnsi="Arial" w:cs="Arial"/>
          <w:lang w:val="es-ES" w:eastAsia="es-ES" w:bidi="es-ES"/>
        </w:rPr>
        <w:t xml:space="preserve"> conformidad con lo anterior, </w:t>
      </w:r>
      <w:bookmarkStart w:id="9" w:name="_Hlk77236098"/>
      <w:r w:rsidRPr="00921225">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9"/>
    </w:p>
    <w:p w14:paraId="5F7EF4A7" w14:textId="77777777" w:rsidR="00420C9F" w:rsidRPr="00921225" w:rsidRDefault="00420C9F" w:rsidP="00420C9F">
      <w:pPr>
        <w:spacing w:after="120" w:line="276" w:lineRule="auto"/>
        <w:ind w:firstLine="708"/>
        <w:jc w:val="both"/>
        <w:rPr>
          <w:rFonts w:ascii="Arial" w:eastAsia="Calibri" w:hAnsi="Arial" w:cs="Arial"/>
        </w:rPr>
      </w:pPr>
      <w:r w:rsidRPr="00921225">
        <w:rPr>
          <w:rFonts w:ascii="Arial" w:eastAsia="Calibri" w:hAnsi="Arial" w:cs="Arial"/>
        </w:rPr>
        <w:t xml:space="preserve">Por un lado, el artículo 33 de la Ley 996 de 2005 prohíbe </w:t>
      </w:r>
      <w:r w:rsidRPr="00921225">
        <w:rPr>
          <w:rFonts w:ascii="Arial" w:eastAsia="Calibri" w:hAnsi="Arial" w:cs="Arial"/>
          <w:bCs/>
        </w:rPr>
        <w:t xml:space="preserve">«[…] </w:t>
      </w:r>
      <w:r w:rsidRPr="00921225">
        <w:rPr>
          <w:rFonts w:ascii="Arial" w:eastAsia="Calibri" w:hAnsi="Arial" w:cs="Arial"/>
        </w:rPr>
        <w:t>la contratación directa por parte de todos los entes del Estado</w:t>
      </w:r>
      <w:r w:rsidRPr="00921225">
        <w:rPr>
          <w:rFonts w:ascii="Arial" w:eastAsia="Calibri" w:hAnsi="Arial" w:cs="Arial"/>
          <w:bCs/>
        </w:rPr>
        <w:t>»</w:t>
      </w:r>
      <w:r w:rsidRPr="00921225">
        <w:rPr>
          <w:rFonts w:ascii="Arial" w:eastAsia="Calibri" w:hAnsi="Arial" w:cs="Arial"/>
        </w:rPr>
        <w:t xml:space="preserve"> durante los cuatro (4) meses anteriores a las elecciones presidenciales, salvo </w:t>
      </w:r>
      <w:r w:rsidRPr="00921225">
        <w:rPr>
          <w:rFonts w:ascii="Arial" w:eastAsia="Calibri" w:hAnsi="Arial" w:cs="Arial"/>
          <w:bCs/>
        </w:rPr>
        <w:t xml:space="preserve">«[…] </w:t>
      </w:r>
      <w:r w:rsidRPr="0092122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21225">
        <w:rPr>
          <w:rFonts w:ascii="Arial" w:eastAsia="Calibri" w:hAnsi="Arial" w:cs="Arial"/>
          <w:bCs/>
        </w:rPr>
        <w:t>»</w:t>
      </w:r>
      <w:r w:rsidRPr="00921225">
        <w:rPr>
          <w:rFonts w:ascii="Arial" w:eastAsia="Calibri" w:hAnsi="Arial" w:cs="Arial"/>
          <w:bCs/>
          <w:vertAlign w:val="superscript"/>
        </w:rPr>
        <w:footnoteReference w:id="9"/>
      </w:r>
      <w:r w:rsidRPr="00921225">
        <w:rPr>
          <w:rFonts w:ascii="Arial" w:eastAsia="Calibri" w:hAnsi="Arial" w:cs="Arial"/>
        </w:rPr>
        <w:t>.</w:t>
      </w:r>
    </w:p>
    <w:p w14:paraId="247C8A6E" w14:textId="1D67A079" w:rsidR="00420C9F" w:rsidRPr="00921225" w:rsidRDefault="00420C9F" w:rsidP="00420C9F">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92122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21225">
        <w:rPr>
          <w:rFonts w:ascii="Arial" w:eastAsia="Calibri" w:hAnsi="Arial" w:cs="Arial"/>
          <w:bCs/>
        </w:rPr>
        <w:t xml:space="preserve">«[…] </w:t>
      </w:r>
      <w:r w:rsidRPr="00921225">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21225">
        <w:rPr>
          <w:rFonts w:ascii="Arial" w:eastAsia="Calibri" w:hAnsi="Arial" w:cs="Arial"/>
          <w:bCs/>
          <w:sz w:val="19"/>
          <w:szCs w:val="19"/>
        </w:rPr>
        <w:t>»</w:t>
      </w:r>
      <w:r w:rsidRPr="00921225">
        <w:rPr>
          <w:rFonts w:ascii="Arial" w:eastAsia="Calibri" w:hAnsi="Arial" w:cs="Arial"/>
          <w:bCs/>
          <w:sz w:val="19"/>
          <w:szCs w:val="19"/>
          <w:vertAlign w:val="superscript"/>
        </w:rPr>
        <w:footnoteReference w:id="10"/>
      </w:r>
      <w:r w:rsidRPr="00921225">
        <w:rPr>
          <w:rFonts w:ascii="Arial" w:eastAsia="Calibri" w:hAnsi="Arial" w:cs="Arial"/>
          <w:lang w:val="es-MX"/>
        </w:rPr>
        <w:t>.</w:t>
      </w:r>
      <w:r w:rsidRPr="00921225">
        <w:rPr>
          <w:rFonts w:ascii="Arial" w:eastAsia="Arial" w:hAnsi="Arial" w:cs="Arial"/>
          <w:lang w:val="es-ES" w:eastAsia="es-ES" w:bidi="es-ES"/>
        </w:rPr>
        <w:t xml:space="preserve"> </w:t>
      </w:r>
      <w:bookmarkEnd w:id="8"/>
      <w:r w:rsidRPr="00921225">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58D756AE" w14:textId="77777777" w:rsidR="00420C9F" w:rsidRPr="00921225" w:rsidRDefault="00420C9F" w:rsidP="00420C9F">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58253E4E" w14:textId="77777777" w:rsidR="00420C9F" w:rsidRPr="00921225" w:rsidRDefault="00420C9F" w:rsidP="00420C9F">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9212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2" w:name="_Hlk76109421"/>
      <w:r w:rsidRPr="00921225">
        <w:rPr>
          <w:rFonts w:ascii="Arial" w:eastAsia="Arial" w:hAnsi="Arial" w:cs="Arial"/>
          <w:sz w:val="21"/>
          <w:szCs w:val="21"/>
          <w:lang w:val="es-ES" w:eastAsia="es-ES" w:bidi="es-ES"/>
        </w:rPr>
        <w:t>se integran parcialmente</w:t>
      </w:r>
      <w:bookmarkEnd w:id="12"/>
      <w:r w:rsidRPr="009212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21225">
        <w:rPr>
          <w:rFonts w:ascii="Arial" w:eastAsia="Arial" w:hAnsi="Arial" w:cs="Arial"/>
          <w:bCs/>
          <w:sz w:val="21"/>
          <w:szCs w:val="21"/>
          <w:lang w:val="es-ES" w:eastAsia="es-ES" w:bidi="es-ES"/>
        </w:rPr>
        <w:t xml:space="preserve">En cambio, para elecciones en general, excluyendo las correspondientes a </w:t>
      </w:r>
      <w:proofErr w:type="gramStart"/>
      <w:r w:rsidRPr="00921225">
        <w:rPr>
          <w:rFonts w:ascii="Arial" w:eastAsia="Arial" w:hAnsi="Arial" w:cs="Arial"/>
          <w:bCs/>
          <w:sz w:val="21"/>
          <w:szCs w:val="21"/>
          <w:lang w:val="es-ES" w:eastAsia="es-ES" w:bidi="es-ES"/>
        </w:rPr>
        <w:t>Presidente</w:t>
      </w:r>
      <w:proofErr w:type="gramEnd"/>
      <w:r w:rsidRPr="00921225">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21225">
        <w:rPr>
          <w:rFonts w:ascii="Arial" w:eastAsia="Arial" w:hAnsi="Arial" w:cs="Arial"/>
          <w:sz w:val="21"/>
          <w:szCs w:val="21"/>
          <w:lang w:val="es-ES" w:eastAsia="es-ES" w:bidi="es-ES"/>
        </w:rPr>
        <w:t>.</w:t>
      </w:r>
      <w:r w:rsidRPr="00921225">
        <w:rPr>
          <w:rFonts w:ascii="Arial" w:eastAsia="Arial" w:hAnsi="Arial" w:cs="Arial"/>
          <w:sz w:val="21"/>
          <w:szCs w:val="21"/>
          <w:vertAlign w:val="superscript"/>
          <w:lang w:val="es-ES" w:eastAsia="es-ES" w:bidi="es-ES"/>
        </w:rPr>
        <w:footnoteReference w:id="11"/>
      </w:r>
    </w:p>
    <w:p w14:paraId="27D42229" w14:textId="77777777" w:rsidR="00420C9F" w:rsidRPr="00921225" w:rsidRDefault="00420C9F" w:rsidP="00420C9F">
      <w:pPr>
        <w:widowControl w:val="0"/>
        <w:autoSpaceDE w:val="0"/>
        <w:autoSpaceDN w:val="0"/>
        <w:spacing w:after="0" w:line="276" w:lineRule="auto"/>
        <w:contextualSpacing/>
        <w:rPr>
          <w:rFonts w:ascii="Arial" w:eastAsia="Arial" w:hAnsi="Arial" w:cs="Arial"/>
          <w:lang w:val="es-ES" w:eastAsia="es-ES" w:bidi="es-ES"/>
        </w:rPr>
      </w:pPr>
    </w:p>
    <w:p w14:paraId="102F40FC" w14:textId="77777777" w:rsidR="00420C9F" w:rsidRPr="00921225" w:rsidRDefault="00420C9F" w:rsidP="00420C9F">
      <w:pPr>
        <w:spacing w:after="120" w:line="276" w:lineRule="auto"/>
        <w:ind w:firstLine="709"/>
        <w:jc w:val="both"/>
        <w:rPr>
          <w:rFonts w:ascii="Arial" w:eastAsia="Arial" w:hAnsi="Arial" w:cs="Arial"/>
          <w:lang w:val="es-ES" w:eastAsia="es-ES" w:bidi="es-ES"/>
        </w:rPr>
      </w:pPr>
      <w:r>
        <w:rPr>
          <w:rFonts w:ascii="Arial" w:eastAsia="Arial" w:hAnsi="Arial" w:cs="Arial"/>
          <w:lang w:val="es-ES" w:eastAsia="es-ES" w:bidi="es-ES"/>
        </w:rPr>
        <w:t>De lo anterior se deprende que</w:t>
      </w:r>
      <w:r w:rsidRPr="00921225">
        <w:rPr>
          <w:rFonts w:ascii="Arial" w:eastAsia="Arial" w:hAnsi="Arial" w:cs="Arial"/>
          <w:lang w:val="es-ES" w:eastAsia="es-ES" w:bidi="es-ES"/>
        </w:rPr>
        <w:t xml:space="preserve"> </w:t>
      </w:r>
      <w:bookmarkStart w:id="13" w:name="_Hlk77236420"/>
      <w:bookmarkStart w:id="14" w:name="_Hlk78818435"/>
      <w:bookmarkStart w:id="15" w:name="_Hlk75780333"/>
      <w:r w:rsidRPr="00921225">
        <w:rPr>
          <w:rFonts w:ascii="Arial" w:eastAsia="Arial" w:hAnsi="Arial" w:cs="Arial"/>
          <w:lang w:val="es-ES" w:eastAsia="es-ES" w:bidi="es-ES"/>
        </w:rPr>
        <w:t xml:space="preserve">la Ley 996 de 2005 establece dos (2) tipos de restricciones en materia de contratación, las cuales coinciden parcialmente. </w:t>
      </w:r>
      <w:r w:rsidRPr="00921225">
        <w:rPr>
          <w:rFonts w:ascii="Arial" w:eastAsia="Arial" w:hAnsi="Arial" w:cs="Arial"/>
          <w:i/>
          <w:iCs/>
          <w:lang w:val="es-ES" w:eastAsia="es-ES" w:bidi="es-ES"/>
        </w:rPr>
        <w:t>En primer lugar</w:t>
      </w:r>
      <w:r w:rsidRPr="0092122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21225">
        <w:rPr>
          <w:rFonts w:ascii="Arial" w:eastAsia="Arial" w:hAnsi="Arial" w:cs="Arial"/>
          <w:i/>
          <w:iCs/>
          <w:lang w:val="es-ES" w:eastAsia="es-ES" w:bidi="es-ES"/>
        </w:rPr>
        <w:t>En segundo lugar</w:t>
      </w:r>
      <w:r w:rsidRPr="00921225">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14:paraId="7FDCBEF6" w14:textId="77777777" w:rsidR="00420C9F" w:rsidRPr="00921225" w:rsidRDefault="00420C9F" w:rsidP="00420C9F">
      <w:pPr>
        <w:spacing w:after="120" w:line="276" w:lineRule="auto"/>
        <w:ind w:firstLine="709"/>
        <w:jc w:val="both"/>
        <w:rPr>
          <w:rFonts w:ascii="Arial" w:eastAsia="Arial" w:hAnsi="Arial" w:cs="Arial"/>
          <w:lang w:val="es-ES" w:eastAsia="es-ES" w:bidi="es-ES"/>
        </w:rPr>
      </w:pPr>
      <w:r w:rsidRPr="00921225">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5"/>
    <w:p w14:paraId="5296E524" w14:textId="77777777" w:rsidR="00420C9F" w:rsidRPr="00921225" w:rsidRDefault="00420C9F" w:rsidP="00420C9F">
      <w:pPr>
        <w:spacing w:after="0" w:line="276" w:lineRule="auto"/>
        <w:ind w:firstLine="708"/>
        <w:contextualSpacing/>
        <w:jc w:val="both"/>
        <w:rPr>
          <w:rFonts w:ascii="Arial" w:eastAsia="Arial" w:hAnsi="Arial" w:cs="Arial"/>
          <w:lang w:val="es-ES" w:eastAsia="es-ES" w:bidi="es-ES"/>
        </w:rPr>
      </w:pPr>
      <w:r w:rsidRPr="0092122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1E18700" w14:textId="203ED151" w:rsidR="00420C9F" w:rsidRDefault="00420C9F" w:rsidP="00420C9F">
      <w:pPr>
        <w:spacing w:after="0" w:line="276" w:lineRule="auto"/>
        <w:contextualSpacing/>
        <w:jc w:val="both"/>
        <w:rPr>
          <w:rFonts w:ascii="Arial" w:eastAsia="Times New Roman" w:hAnsi="Arial" w:cs="Arial"/>
          <w:bCs/>
          <w:lang w:val="es-ES" w:eastAsia="es-CO"/>
        </w:rPr>
      </w:pPr>
    </w:p>
    <w:p w14:paraId="24F0D12A" w14:textId="77777777" w:rsidR="0029624A" w:rsidRPr="00921225" w:rsidRDefault="0029624A" w:rsidP="00420C9F">
      <w:pPr>
        <w:spacing w:after="0" w:line="276" w:lineRule="auto"/>
        <w:contextualSpacing/>
        <w:jc w:val="both"/>
        <w:rPr>
          <w:rFonts w:ascii="Arial" w:eastAsia="Times New Roman" w:hAnsi="Arial" w:cs="Arial"/>
          <w:bCs/>
          <w:lang w:val="es-ES" w:eastAsia="es-CO"/>
        </w:rPr>
      </w:pPr>
    </w:p>
    <w:p w14:paraId="4404B436" w14:textId="77777777" w:rsidR="00420C9F" w:rsidRPr="00C512B3" w:rsidRDefault="00420C9F" w:rsidP="00420C9F">
      <w:pPr>
        <w:spacing w:after="0" w:line="276" w:lineRule="auto"/>
        <w:jc w:val="both"/>
        <w:rPr>
          <w:rFonts w:ascii="Arial" w:eastAsia="Times New Roman" w:hAnsi="Arial" w:cs="Arial"/>
          <w:b/>
          <w:lang w:val="es-ES" w:eastAsia="es-CO"/>
        </w:rPr>
      </w:pPr>
      <w:r w:rsidRPr="00921225">
        <w:rPr>
          <w:rFonts w:ascii="Arial" w:eastAsia="Times New Roman" w:hAnsi="Arial" w:cs="Arial"/>
          <w:b/>
          <w:lang w:val="es-ES" w:eastAsia="es-CO"/>
        </w:rPr>
        <w:t xml:space="preserve">2.2. </w:t>
      </w:r>
      <w:r w:rsidRPr="00C512B3">
        <w:rPr>
          <w:rFonts w:ascii="Arial" w:hAnsi="Arial" w:cs="Arial"/>
          <w:b/>
          <w:bCs/>
          <w:lang w:val="es-MX" w:eastAsia="es-CO"/>
        </w:rPr>
        <w:t xml:space="preserve">Restricciones en elecciones presidenciales: </w:t>
      </w:r>
      <w:r>
        <w:rPr>
          <w:rFonts w:ascii="Arial" w:hAnsi="Arial" w:cs="Arial"/>
          <w:b/>
          <w:bCs/>
          <w:lang w:val="es-ES_tradnl" w:eastAsia="es-CO"/>
        </w:rPr>
        <w:t>p</w:t>
      </w:r>
      <w:r w:rsidRPr="00C512B3">
        <w:rPr>
          <w:rFonts w:ascii="Arial" w:hAnsi="Arial" w:cs="Arial"/>
          <w:b/>
          <w:bCs/>
          <w:lang w:val="es-ES_tradnl" w:eastAsia="es-CO"/>
        </w:rPr>
        <w:t>rohibición del artículo 33 de la Ley 996 de 2005</w:t>
      </w:r>
    </w:p>
    <w:p w14:paraId="038251B7" w14:textId="77777777" w:rsidR="00420C9F" w:rsidRPr="00921225" w:rsidRDefault="00420C9F" w:rsidP="00420C9F">
      <w:pPr>
        <w:spacing w:after="0" w:line="276" w:lineRule="auto"/>
        <w:contextualSpacing/>
        <w:jc w:val="both"/>
        <w:rPr>
          <w:rFonts w:ascii="Arial" w:eastAsia="Times New Roman" w:hAnsi="Arial" w:cs="Arial"/>
          <w:bCs/>
          <w:lang w:val="es-MX" w:eastAsia="x-none"/>
        </w:rPr>
      </w:pPr>
    </w:p>
    <w:p w14:paraId="398598A5" w14:textId="77777777" w:rsidR="00420C9F" w:rsidRPr="00921225" w:rsidRDefault="00420C9F" w:rsidP="00420C9F">
      <w:pPr>
        <w:spacing w:after="0" w:line="276" w:lineRule="auto"/>
        <w:contextualSpacing/>
        <w:jc w:val="both"/>
        <w:rPr>
          <w:rFonts w:ascii="Arial" w:eastAsia="Times New Roman" w:hAnsi="Arial" w:cs="Arial"/>
          <w:bCs/>
          <w:lang w:val="es-MX" w:eastAsia="es-CO"/>
        </w:rPr>
      </w:pPr>
      <w:r w:rsidRPr="00921225">
        <w:rPr>
          <w:rFonts w:ascii="Arial" w:eastAsia="Times New Roman" w:hAnsi="Arial" w:cs="Arial"/>
          <w:bCs/>
          <w:lang w:val="es-MX" w:eastAsia="x-none"/>
        </w:rPr>
        <w:t xml:space="preserve">El ámbito material de la prohibición contenida </w:t>
      </w:r>
      <w:bookmarkStart w:id="16" w:name="_Hlk75628761"/>
      <w:r w:rsidRPr="00921225">
        <w:rPr>
          <w:rFonts w:ascii="Arial" w:eastAsia="Times New Roman" w:hAnsi="Arial" w:cs="Arial"/>
          <w:bCs/>
          <w:lang w:val="es-MX" w:eastAsia="x-none"/>
        </w:rPr>
        <w:t xml:space="preserve">en el artículo 33 de la </w:t>
      </w:r>
      <w:r w:rsidRPr="00EA54E8">
        <w:rPr>
          <w:rFonts w:ascii="Arial" w:eastAsia="Times New Roman" w:hAnsi="Arial" w:cs="Arial"/>
          <w:bCs/>
          <w:lang w:val="es-MX" w:eastAsia="x-none"/>
        </w:rPr>
        <w:t xml:space="preserve">Ley </w:t>
      </w:r>
      <w:r w:rsidRPr="00921225">
        <w:rPr>
          <w:rFonts w:ascii="Arial" w:eastAsia="Times New Roman" w:hAnsi="Arial" w:cs="Arial"/>
          <w:bCs/>
          <w:lang w:val="es-MX" w:eastAsia="x-none"/>
        </w:rPr>
        <w:t xml:space="preserve">996 de 2005 </w:t>
      </w:r>
      <w:bookmarkEnd w:id="16"/>
      <w:r w:rsidRPr="00921225">
        <w:rPr>
          <w:rFonts w:ascii="Arial" w:eastAsia="Times New Roman" w:hAnsi="Arial" w:cs="Arial"/>
          <w:bCs/>
          <w:lang w:val="es-MX" w:eastAsia="x-none"/>
        </w:rPr>
        <w:t xml:space="preserve">está delimitado por la expresión </w:t>
      </w:r>
      <w:r w:rsidRPr="00921225">
        <w:rPr>
          <w:rFonts w:ascii="Arial" w:eastAsia="Calibri" w:hAnsi="Arial" w:cs="Arial"/>
          <w:bCs/>
          <w:sz w:val="20"/>
          <w:szCs w:val="20"/>
          <w:lang w:val="es-MX"/>
        </w:rPr>
        <w:t>«</w:t>
      </w:r>
      <w:r w:rsidRPr="00921225">
        <w:rPr>
          <w:rFonts w:ascii="Arial" w:eastAsia="Times New Roman" w:hAnsi="Arial" w:cs="Arial"/>
          <w:bCs/>
          <w:lang w:val="es-MX" w:eastAsia="x-none"/>
        </w:rPr>
        <w:t>queda prohibida la contratación directa</w:t>
      </w:r>
      <w:r w:rsidRPr="00921225">
        <w:rPr>
          <w:rFonts w:ascii="Arial" w:eastAsia="Calibri" w:hAnsi="Arial" w:cs="Arial"/>
          <w:sz w:val="20"/>
          <w:szCs w:val="20"/>
          <w:lang w:val="es-MX"/>
        </w:rPr>
        <w:t>»</w:t>
      </w:r>
      <w:r w:rsidRPr="00921225">
        <w:rPr>
          <w:rFonts w:ascii="Arial" w:eastAsia="Times New Roman" w:hAnsi="Arial" w:cs="Arial"/>
          <w:bCs/>
          <w:lang w:val="es-MX" w:eastAsia="x-none"/>
        </w:rPr>
        <w:t>.</w:t>
      </w:r>
      <w:r w:rsidRPr="00921225">
        <w:rPr>
          <w:rFonts w:ascii="Arial" w:eastAsia="Times New Roman" w:hAnsi="Arial" w:cs="Arial"/>
          <w:lang w:val="es-MX" w:eastAsia="es-CO"/>
        </w:rPr>
        <w:t xml:space="preserve"> A propósito de </w:t>
      </w:r>
      <w:r w:rsidRPr="00921225">
        <w:rPr>
          <w:rFonts w:ascii="Arial" w:eastAsia="Times New Roman" w:hAnsi="Arial" w:cs="Arial"/>
          <w:lang w:eastAsia="es-CO"/>
        </w:rPr>
        <w:t>esta restricción de la Ley de Garantías Electorales, la Sala de Consulta y Servicio Civil del Consejo de Estado ha considerado que:</w:t>
      </w:r>
    </w:p>
    <w:p w14:paraId="553DD080" w14:textId="77777777" w:rsidR="00420C9F" w:rsidRPr="00921225" w:rsidRDefault="00420C9F" w:rsidP="00420C9F">
      <w:pPr>
        <w:spacing w:after="0" w:line="276" w:lineRule="auto"/>
        <w:ind w:left="708" w:right="709"/>
        <w:contextualSpacing/>
        <w:jc w:val="both"/>
        <w:rPr>
          <w:rFonts w:ascii="Arial" w:eastAsia="Calibri" w:hAnsi="Arial" w:cs="Arial"/>
          <w:sz w:val="21"/>
          <w:szCs w:val="21"/>
          <w:lang w:val="es-MX"/>
        </w:rPr>
      </w:pPr>
    </w:p>
    <w:p w14:paraId="3F74A12E" w14:textId="77777777" w:rsidR="00420C9F" w:rsidRPr="00EA54E8" w:rsidRDefault="00420C9F" w:rsidP="00420C9F">
      <w:pPr>
        <w:spacing w:after="0" w:line="240" w:lineRule="auto"/>
        <w:ind w:left="709"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21225">
        <w:rPr>
          <w:rFonts w:ascii="Arial" w:eastAsia="Times New Roman" w:hAnsi="Arial" w:cs="Arial"/>
          <w:vertAlign w:val="superscript"/>
          <w:lang w:eastAsia="es-CO"/>
        </w:rPr>
        <w:footnoteReference w:id="12"/>
      </w:r>
      <w:r w:rsidRPr="00921225">
        <w:rPr>
          <w:rFonts w:ascii="Arial" w:eastAsia="Calibri" w:hAnsi="Arial" w:cs="Arial"/>
          <w:sz w:val="21"/>
          <w:szCs w:val="21"/>
          <w:lang w:val="es-MX"/>
        </w:rPr>
        <w:t>.</w:t>
      </w:r>
    </w:p>
    <w:p w14:paraId="78584404" w14:textId="77777777" w:rsidR="00420C9F" w:rsidRPr="00921225" w:rsidRDefault="00420C9F" w:rsidP="00420C9F">
      <w:pPr>
        <w:spacing w:after="0" w:line="240" w:lineRule="auto"/>
        <w:ind w:left="709" w:right="709"/>
        <w:contextualSpacing/>
        <w:jc w:val="both"/>
        <w:rPr>
          <w:rFonts w:ascii="Arial" w:eastAsia="Calibri" w:hAnsi="Arial" w:cs="Arial"/>
          <w:sz w:val="21"/>
          <w:szCs w:val="21"/>
          <w:lang w:val="es-MX"/>
        </w:rPr>
      </w:pPr>
    </w:p>
    <w:p w14:paraId="6D363347" w14:textId="77777777" w:rsidR="00420C9F" w:rsidRPr="00921225" w:rsidRDefault="00420C9F" w:rsidP="00420C9F">
      <w:pPr>
        <w:spacing w:after="0" w:line="240" w:lineRule="auto"/>
        <w:ind w:left="708"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t xml:space="preserve">Esta Sala ha entendido </w:t>
      </w:r>
      <w:proofErr w:type="gramStart"/>
      <w:r w:rsidRPr="00921225">
        <w:rPr>
          <w:rFonts w:ascii="Arial" w:eastAsia="Calibri" w:hAnsi="Arial" w:cs="Arial"/>
          <w:sz w:val="21"/>
          <w:szCs w:val="21"/>
          <w:lang w:val="es-MX"/>
        </w:rPr>
        <w:t>que</w:t>
      </w:r>
      <w:proofErr w:type="gramEnd"/>
      <w:r w:rsidRPr="00921225">
        <w:rPr>
          <w:rFonts w:ascii="Arial" w:eastAsia="Calibri" w:hAnsi="Arial" w:cs="Arial"/>
          <w:sz w:val="21"/>
          <w:szCs w:val="21"/>
          <w:lang w:val="es-MX"/>
        </w:rPr>
        <w:t xml:space="preserve"> para los efectos de la ley de garantías, y dada su finalidad, el enunciado ´contratación directa´ es sinónimo </w:t>
      </w:r>
      <w:bookmarkStart w:id="19" w:name="_Hlk75741738"/>
      <w:r w:rsidRPr="00921225">
        <w:rPr>
          <w:rFonts w:ascii="Arial" w:eastAsia="Calibri" w:hAnsi="Arial" w:cs="Arial"/>
          <w:sz w:val="21"/>
          <w:szCs w:val="21"/>
          <w:lang w:val="es-MX"/>
        </w:rPr>
        <w:t xml:space="preserve">de cualquier sistema que no implique convocatoria pública y posibilidad de pluralidad de oferentes, </w:t>
      </w:r>
      <w:bookmarkEnd w:id="19"/>
      <w:r w:rsidRPr="00921225">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921225">
        <w:rPr>
          <w:rFonts w:ascii="Arial" w:eastAsia="Times New Roman" w:hAnsi="Arial" w:cs="Arial"/>
          <w:sz w:val="21"/>
          <w:szCs w:val="21"/>
          <w:vertAlign w:val="superscript"/>
          <w:lang w:val="es-MX"/>
        </w:rPr>
        <w:footnoteReference w:id="13"/>
      </w:r>
      <w:r w:rsidRPr="00921225">
        <w:rPr>
          <w:rFonts w:ascii="Arial" w:eastAsia="Times New Roman" w:hAnsi="Arial" w:cs="Arial"/>
          <w:sz w:val="21"/>
          <w:szCs w:val="21"/>
          <w:vertAlign w:val="superscript"/>
          <w:lang w:val="es-MX"/>
        </w:rPr>
        <w:t>.</w:t>
      </w:r>
      <w:r w:rsidRPr="00921225">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21225">
        <w:rPr>
          <w:rFonts w:ascii="Arial" w:eastAsia="Times New Roman" w:hAnsi="Arial" w:cs="Arial"/>
          <w:vertAlign w:val="superscript"/>
          <w:lang w:eastAsia="es-CO"/>
        </w:rPr>
        <w:footnoteReference w:id="14"/>
      </w:r>
      <w:r w:rsidRPr="00921225">
        <w:rPr>
          <w:rFonts w:ascii="Arial" w:eastAsia="Calibri" w:hAnsi="Arial" w:cs="Arial"/>
          <w:sz w:val="21"/>
          <w:szCs w:val="21"/>
          <w:lang w:val="es-MX"/>
        </w:rPr>
        <w:t xml:space="preserve"> .</w:t>
      </w:r>
    </w:p>
    <w:p w14:paraId="535A254D" w14:textId="77777777" w:rsidR="00420C9F" w:rsidRPr="00921225" w:rsidRDefault="00420C9F" w:rsidP="00420C9F">
      <w:pPr>
        <w:shd w:val="clear" w:color="auto" w:fill="FFFFFF"/>
        <w:spacing w:after="0" w:line="276" w:lineRule="auto"/>
        <w:ind w:firstLine="709"/>
        <w:jc w:val="both"/>
        <w:rPr>
          <w:rFonts w:ascii="Arial" w:eastAsia="Times New Roman" w:hAnsi="Arial" w:cs="Arial"/>
          <w:color w:val="FF0000"/>
          <w:lang w:eastAsia="x-none"/>
        </w:rPr>
      </w:pPr>
    </w:p>
    <w:p w14:paraId="4455D436" w14:textId="77777777" w:rsidR="00420C9F" w:rsidRPr="00921225" w:rsidRDefault="00420C9F" w:rsidP="00420C9F">
      <w:pPr>
        <w:spacing w:after="120" w:line="276" w:lineRule="auto"/>
        <w:ind w:firstLine="709"/>
        <w:jc w:val="both"/>
        <w:rPr>
          <w:rFonts w:ascii="Arial" w:eastAsia="Times New Roman" w:hAnsi="Arial" w:cs="Arial"/>
          <w:bCs/>
          <w:lang w:eastAsia="x-none"/>
        </w:rPr>
      </w:pPr>
      <w:bookmarkStart w:id="21" w:name="_Hlk94521748"/>
      <w:r w:rsidRPr="00921225">
        <w:rPr>
          <w:rFonts w:ascii="Arial" w:eastAsia="Times New Roman" w:hAnsi="Arial" w:cs="Arial"/>
          <w:lang w:eastAsia="x-none"/>
        </w:rPr>
        <w:t xml:space="preserve">De conformidad con el citado concepto, </w:t>
      </w:r>
      <w:bookmarkStart w:id="22" w:name="_Hlk78818702"/>
      <w:r w:rsidRPr="00921225">
        <w:rPr>
          <w:rFonts w:ascii="Arial" w:eastAsia="Times New Roman" w:hAnsi="Arial" w:cs="Arial"/>
          <w:lang w:eastAsia="x-none"/>
        </w:rPr>
        <w:t xml:space="preserve">la prohibición del artículo 33 de la Ley de Garantías Electorales se refiere a </w:t>
      </w:r>
      <w:bookmarkStart w:id="23" w:name="_Hlk74294635"/>
      <w:r w:rsidRPr="00921225">
        <w:rPr>
          <w:rFonts w:ascii="Arial" w:eastAsia="Times New Roman" w:hAnsi="Arial" w:cs="Arial"/>
          <w:sz w:val="19"/>
          <w:szCs w:val="19"/>
          <w:lang w:eastAsia="en-GB"/>
        </w:rPr>
        <w:t>«</w:t>
      </w:r>
      <w:bookmarkEnd w:id="23"/>
      <w:r w:rsidRPr="00921225">
        <w:rPr>
          <w:rFonts w:ascii="Arial" w:eastAsia="Times New Roman" w:hAnsi="Arial" w:cs="Arial"/>
          <w:lang w:eastAsia="x-none"/>
        </w:rPr>
        <w:t>cualquier sistema que no implique convocatoria pública y posibilidad de pluralidad de oferentes</w:t>
      </w:r>
      <w:bookmarkStart w:id="24" w:name="_Hlk74404754"/>
      <w:r w:rsidRPr="00921225">
        <w:rPr>
          <w:rFonts w:ascii="Arial" w:eastAsia="Times New Roman" w:hAnsi="Arial" w:cs="Arial"/>
          <w:lang w:eastAsia="en-GB"/>
        </w:rPr>
        <w:t>»</w:t>
      </w:r>
      <w:bookmarkEnd w:id="24"/>
      <w:r w:rsidRPr="00921225">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1"/>
      <w:bookmarkEnd w:id="22"/>
      <w:r w:rsidRPr="00921225">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921225">
        <w:rPr>
          <w:rFonts w:ascii="Arial" w:eastAsia="Times New Roman" w:hAnsi="Arial" w:cs="Arial"/>
          <w:vertAlign w:val="superscript"/>
          <w:lang w:val="en-GB" w:eastAsia="x-none"/>
        </w:rPr>
        <w:footnoteReference w:id="15"/>
      </w:r>
      <w:r w:rsidRPr="00921225">
        <w:rPr>
          <w:rFonts w:ascii="Arial" w:eastAsia="Times New Roman" w:hAnsi="Arial" w:cs="Arial"/>
          <w:lang w:eastAsia="x-none"/>
        </w:rPr>
        <w:t xml:space="preserve"> y sistematizó las causales de contratación directa</w:t>
      </w:r>
      <w:r w:rsidRPr="00921225">
        <w:rPr>
          <w:rFonts w:ascii="Arial" w:eastAsia="Times New Roman" w:hAnsi="Arial" w:cs="Arial"/>
          <w:vertAlign w:val="superscript"/>
          <w:lang w:val="en-GB" w:eastAsia="x-none"/>
        </w:rPr>
        <w:footnoteReference w:id="16"/>
      </w:r>
      <w:r w:rsidRPr="00921225">
        <w:rPr>
          <w:rFonts w:ascii="Arial" w:eastAsia="Times New Roman" w:hAnsi="Arial" w:cs="Arial"/>
          <w:lang w:eastAsia="x-none"/>
        </w:rPr>
        <w:t xml:space="preserve">. </w:t>
      </w:r>
    </w:p>
    <w:p w14:paraId="2BBB0245" w14:textId="77777777" w:rsidR="00420C9F" w:rsidRPr="00921225" w:rsidRDefault="00420C9F" w:rsidP="00420C9F">
      <w:pPr>
        <w:spacing w:after="120" w:line="276" w:lineRule="auto"/>
        <w:ind w:firstLine="709"/>
        <w:jc w:val="both"/>
        <w:rPr>
          <w:rFonts w:ascii="Arial" w:eastAsia="Times New Roman" w:hAnsi="Arial" w:cs="Arial"/>
          <w:lang w:val="es-MX" w:eastAsia="x-none"/>
        </w:rPr>
      </w:pPr>
      <w:r w:rsidRPr="00921225">
        <w:rPr>
          <w:rFonts w:ascii="Arial" w:eastAsia="Times New Roman" w:hAnsi="Arial" w:cs="Arial"/>
          <w:lang w:eastAsia="x-none"/>
        </w:rPr>
        <w:t xml:space="preserve">De esta forma, se ha depurado la noción de </w:t>
      </w:r>
      <w:r w:rsidRPr="00921225">
        <w:rPr>
          <w:rFonts w:ascii="Arial" w:eastAsia="Times New Roman" w:hAnsi="Arial" w:cs="Arial"/>
          <w:sz w:val="19"/>
          <w:szCs w:val="19"/>
          <w:lang w:eastAsia="en-GB"/>
        </w:rPr>
        <w:t>«</w:t>
      </w:r>
      <w:r w:rsidRPr="00921225">
        <w:rPr>
          <w:rFonts w:ascii="Arial" w:eastAsia="Times New Roman" w:hAnsi="Arial" w:cs="Arial"/>
          <w:lang w:eastAsia="x-none"/>
        </w:rPr>
        <w:t>contratación directa</w:t>
      </w:r>
      <w:r w:rsidRPr="00921225">
        <w:rPr>
          <w:rFonts w:ascii="Arial" w:eastAsia="Times New Roman" w:hAnsi="Arial" w:cs="Arial"/>
          <w:lang w:eastAsia="en-GB"/>
        </w:rPr>
        <w:t>»</w:t>
      </w:r>
      <w:r w:rsidRPr="00921225">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21225">
        <w:rPr>
          <w:rFonts w:ascii="Arial" w:eastAsia="Times New Roman" w:hAnsi="Arial" w:cs="Arial"/>
          <w:vertAlign w:val="superscript"/>
          <w:lang w:val="en-GB" w:eastAsia="x-none"/>
        </w:rPr>
        <w:footnoteReference w:id="17"/>
      </w:r>
      <w:r w:rsidRPr="00921225">
        <w:rPr>
          <w:rFonts w:ascii="Arial" w:eastAsia="Times New Roman" w:hAnsi="Arial" w:cs="Arial"/>
          <w:lang w:eastAsia="x-none"/>
        </w:rPr>
        <w:t>, han establecido sistemas de contratación que implican convocatoria pública y participación de varios oferentes</w:t>
      </w:r>
      <w:r w:rsidRPr="00921225">
        <w:rPr>
          <w:rFonts w:ascii="Arial" w:eastAsia="Times New Roman" w:hAnsi="Arial" w:cs="Arial"/>
          <w:lang w:eastAsia="en-GB"/>
        </w:rPr>
        <w:t>»</w:t>
      </w:r>
      <w:r w:rsidRPr="00921225">
        <w:rPr>
          <w:rFonts w:ascii="Arial" w:eastAsia="Times New Roman" w:hAnsi="Arial" w:cs="Arial"/>
          <w:lang w:eastAsia="x-none"/>
        </w:rPr>
        <w:t xml:space="preserve">. </w:t>
      </w:r>
    </w:p>
    <w:p w14:paraId="4052E510" w14:textId="77777777" w:rsidR="00420C9F" w:rsidRPr="00921225" w:rsidRDefault="00420C9F" w:rsidP="00420C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x-none"/>
        </w:rPr>
        <w:t>E</w:t>
      </w:r>
      <w:r w:rsidRPr="00921225">
        <w:rPr>
          <w:rFonts w:ascii="Arial" w:eastAsia="Times New Roman" w:hAnsi="Arial" w:cs="Arial"/>
          <w:lang w:eastAsia="x-none"/>
        </w:rPr>
        <w:t xml:space="preserve">n efecto, vale la pena mencionar que, </w:t>
      </w:r>
      <w:bookmarkStart w:id="26" w:name="_Hlk75636073"/>
      <w:r w:rsidRPr="00921225">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6"/>
      <w:r w:rsidRPr="00921225">
        <w:rPr>
          <w:rFonts w:ascii="Arial" w:eastAsia="Times New Roman" w:hAnsi="Arial" w:cs="Arial"/>
          <w:vertAlign w:val="superscript"/>
          <w:lang w:eastAsia="x-none"/>
        </w:rPr>
        <w:footnoteReference w:id="18"/>
      </w:r>
      <w:r w:rsidRPr="00921225">
        <w:rPr>
          <w:rFonts w:ascii="Arial" w:eastAsia="Times New Roman" w:hAnsi="Arial" w:cs="Arial"/>
          <w:lang w:eastAsia="x-none"/>
        </w:rPr>
        <w:t xml:space="preserve">. </w:t>
      </w:r>
    </w:p>
    <w:p w14:paraId="472A620A" w14:textId="77777777" w:rsidR="00420C9F" w:rsidRPr="00921225" w:rsidRDefault="00420C9F" w:rsidP="00420C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000018F" w14:textId="77777777" w:rsidR="00420C9F" w:rsidRPr="00921225" w:rsidRDefault="00420C9F" w:rsidP="00420C9F">
      <w:pPr>
        <w:spacing w:after="120" w:line="276" w:lineRule="auto"/>
        <w:ind w:firstLine="709"/>
        <w:jc w:val="both"/>
        <w:rPr>
          <w:rFonts w:ascii="Arial" w:eastAsia="Times New Roman" w:hAnsi="Arial" w:cs="Arial"/>
          <w:bCs/>
          <w:lang w:val="es-MX" w:eastAsia="x-none"/>
        </w:rPr>
      </w:pPr>
      <w:bookmarkStart w:id="27" w:name="_Hlk78818796"/>
      <w:r w:rsidRPr="00921225">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21225">
        <w:rPr>
          <w:rFonts w:ascii="Arial" w:eastAsia="Times New Roman" w:hAnsi="Arial" w:cs="Arial"/>
          <w:vertAlign w:val="superscript"/>
          <w:lang w:eastAsia="x-none"/>
        </w:rPr>
        <w:footnoteReference w:id="19"/>
      </w:r>
      <w:r w:rsidRPr="00921225">
        <w:rPr>
          <w:rFonts w:ascii="Arial" w:eastAsia="Times New Roman" w:hAnsi="Arial" w:cs="Arial"/>
          <w:bCs/>
          <w:lang w:val="es-MX" w:eastAsia="x-none"/>
        </w:rPr>
        <w:t>.</w:t>
      </w:r>
      <w:r w:rsidRPr="00921225">
        <w:rPr>
          <w:rFonts w:ascii="Arial" w:eastAsia="Times New Roman" w:hAnsi="Arial" w:cs="Arial"/>
          <w:vertAlign w:val="superscript"/>
          <w:lang w:eastAsia="x-none"/>
        </w:rPr>
        <w:t xml:space="preserve"> </w:t>
      </w:r>
    </w:p>
    <w:bookmarkEnd w:id="27"/>
    <w:p w14:paraId="5B48A250" w14:textId="77777777" w:rsidR="00420C9F" w:rsidRPr="00921225" w:rsidRDefault="00420C9F" w:rsidP="00420C9F">
      <w:pPr>
        <w:spacing w:after="120" w:line="276" w:lineRule="auto"/>
        <w:ind w:firstLine="709"/>
        <w:jc w:val="both"/>
        <w:rPr>
          <w:rFonts w:ascii="Arial" w:eastAsia="Times New Roman" w:hAnsi="Arial" w:cs="Arial"/>
          <w:lang w:eastAsia="x-none"/>
        </w:rPr>
      </w:pPr>
      <w:r w:rsidRPr="00921225">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21225">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C87CF53" w14:textId="72F60637" w:rsidR="00420C9F" w:rsidRDefault="00420C9F" w:rsidP="005E55C3">
      <w:pPr>
        <w:spacing w:after="120" w:line="276" w:lineRule="auto"/>
        <w:ind w:firstLine="709"/>
        <w:jc w:val="both"/>
        <w:rPr>
          <w:rFonts w:ascii="Arial" w:eastAsia="Times New Roman" w:hAnsi="Arial" w:cs="Arial"/>
          <w:bCs/>
          <w:lang w:val="es-MX" w:eastAsia="es-CO"/>
        </w:rPr>
      </w:pPr>
      <w:bookmarkStart w:id="28" w:name="_Hlk77237094"/>
      <w:r w:rsidRPr="00921225">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8"/>
    </w:p>
    <w:p w14:paraId="51296B15" w14:textId="68F56C2C" w:rsidR="00420C9F" w:rsidRPr="00EB4EC1" w:rsidRDefault="00420C9F" w:rsidP="005E55C3">
      <w:pPr>
        <w:spacing w:after="120" w:line="276" w:lineRule="auto"/>
        <w:ind w:firstLine="709"/>
        <w:jc w:val="both"/>
        <w:rPr>
          <w:rFonts w:ascii="Arial" w:eastAsia="Times New Roman" w:hAnsi="Arial" w:cs="Arial"/>
          <w:b/>
          <w:lang w:val="es-ES" w:eastAsia="es-CO"/>
        </w:rPr>
      </w:pPr>
      <w:r w:rsidRPr="00921225">
        <w:rPr>
          <w:rFonts w:ascii="Arial" w:eastAsia="Times New Roman" w:hAnsi="Arial" w:cs="Arial"/>
          <w:bCs/>
          <w:lang w:val="es-MX" w:eastAsia="es-CO"/>
        </w:rPr>
        <w:t xml:space="preserve">De otro lado, </w:t>
      </w:r>
      <w:bookmarkStart w:id="29" w:name="_Hlk98867036"/>
      <w:r w:rsidRPr="00921225">
        <w:rPr>
          <w:rFonts w:ascii="Arial" w:eastAsia="Times New Roman" w:hAnsi="Arial" w:cs="Arial"/>
          <w:bCs/>
          <w:lang w:val="es-MX" w:eastAsia="es-CO"/>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Pr>
          <w:rFonts w:ascii="Arial" w:eastAsia="Times New Roman" w:hAnsi="Arial" w:cs="Arial"/>
          <w:bCs/>
          <w:lang w:val="es-MX" w:eastAsia="es-CO"/>
        </w:rPr>
        <w:t>:</w:t>
      </w:r>
      <w:r w:rsidRPr="00921225">
        <w:rPr>
          <w:rFonts w:ascii="Arial" w:eastAsia="Times New Roman" w:hAnsi="Arial" w:cs="Arial"/>
          <w:bCs/>
          <w:lang w:val="es-MX" w:eastAsia="es-CO"/>
        </w:rPr>
        <w:t xml:space="preserve"> i) </w:t>
      </w:r>
      <w:r w:rsidRPr="005E55C3">
        <w:rPr>
          <w:rFonts w:ascii="Arial" w:eastAsia="Times New Roman" w:hAnsi="Arial" w:cs="Arial"/>
          <w:bCs/>
          <w:lang w:val="es-MX" w:eastAsia="es-CO"/>
        </w:rPr>
        <w:t>la defensa y seguridad del Estado</w:t>
      </w:r>
      <w:r w:rsidRPr="00921225">
        <w:rPr>
          <w:rFonts w:ascii="Arial" w:eastAsia="Times New Roman" w:hAnsi="Arial" w:cs="Arial"/>
          <w:bCs/>
          <w:lang w:val="es-MX" w:eastAsia="es-CO"/>
        </w:rPr>
        <w:t>;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w:t>
      </w:r>
      <w:r w:rsidRPr="00921225">
        <w:rPr>
          <w:rFonts w:ascii="Arial" w:eastAsia="Times New Roman" w:hAnsi="Arial" w:cs="Arial"/>
          <w:bCs/>
          <w:lang w:val="es-MX" w:eastAsia="x-none"/>
        </w:rPr>
        <w:t>, acciones terroristas, desastres naturales o casos de fuerza mayor; y, v) los que deban realizar las entidades sanitarias y hospitalarias.</w:t>
      </w:r>
      <w:r w:rsidRPr="00921225">
        <w:rPr>
          <w:rFonts w:ascii="Arial" w:eastAsia="Times New Roman" w:hAnsi="Arial" w:cs="Arial"/>
          <w:bCs/>
          <w:lang w:val="es-MX" w:eastAsia="es-CO"/>
        </w:rPr>
        <w:t xml:space="preserve"> </w:t>
      </w:r>
      <w:r>
        <w:rPr>
          <w:rFonts w:ascii="Arial" w:eastAsia="Times New Roman" w:hAnsi="Arial" w:cs="Arial"/>
          <w:bCs/>
          <w:lang w:val="es-MX" w:eastAsia="es-CO"/>
        </w:rPr>
        <w:t>El mismo inciso señala que e</w:t>
      </w:r>
      <w:r w:rsidRPr="00921225">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29"/>
    <w:p w14:paraId="3CFDECDB" w14:textId="40E96561" w:rsidR="00420C9F" w:rsidRPr="00E91A24" w:rsidRDefault="00420C9F" w:rsidP="00EB4EC1">
      <w:pPr>
        <w:spacing w:after="120" w:line="276" w:lineRule="auto"/>
        <w:ind w:firstLine="709"/>
        <w:jc w:val="both"/>
        <w:rPr>
          <w:rFonts w:ascii="Arial" w:eastAsia="Times New Roman" w:hAnsi="Arial" w:cs="Arial"/>
          <w:bCs/>
          <w:lang w:val="es-MX" w:eastAsia="x-none"/>
        </w:rPr>
      </w:pPr>
      <w:r w:rsidRPr="00921225">
        <w:rPr>
          <w:rFonts w:ascii="Arial" w:eastAsia="Times New Roman" w:hAnsi="Arial" w:cs="Arial"/>
          <w:bCs/>
          <w:lang w:val="es-MX" w:eastAsia="x-none"/>
        </w:rPr>
        <w:t>En esta labor es importante tener en cuenta, como lo anotó la Corte Constitucional, en Sentencia C-1153 de noviembre 11 de 2005</w:t>
      </w:r>
      <w:r w:rsidRPr="00921225">
        <w:rPr>
          <w:rFonts w:ascii="Calibri" w:eastAsia="Calibri" w:hAnsi="Calibri" w:cs="Times New Roman"/>
          <w:sz w:val="24"/>
          <w:vertAlign w:val="superscript"/>
          <w:lang w:val="es-MX"/>
        </w:rPr>
        <w:t>,</w:t>
      </w:r>
      <w:r w:rsidRPr="00921225">
        <w:rPr>
          <w:rFonts w:ascii="Arial" w:eastAsia="Times New Roman" w:hAnsi="Arial" w:cs="Arial"/>
          <w:bCs/>
          <w:lang w:val="es-MX" w:eastAsia="x-none"/>
        </w:rPr>
        <w:t xml:space="preserve"> </w:t>
      </w:r>
      <w:bookmarkStart w:id="30" w:name="_Hlk74309042"/>
      <w:r w:rsidRPr="00921225">
        <w:rPr>
          <w:rFonts w:ascii="Arial" w:eastAsia="Times New Roman" w:hAnsi="Arial" w:cs="Arial"/>
          <w:bCs/>
          <w:lang w:val="es-MX" w:eastAsia="x-none"/>
        </w:rPr>
        <w:t>que «</w:t>
      </w:r>
      <w:bookmarkEnd w:id="30"/>
      <w:r w:rsidRPr="00921225">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1" w:name="_Hlk75768308"/>
      <w:r w:rsidRPr="00921225">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32" w:name="_Hlk74309060"/>
      <w:r w:rsidRPr="00921225">
        <w:rPr>
          <w:rFonts w:ascii="Arial" w:eastAsia="Times New Roman" w:hAnsi="Arial" w:cs="Arial"/>
          <w:bCs/>
          <w:lang w:val="es-MX" w:eastAsia="x-none"/>
        </w:rPr>
        <w:t>»</w:t>
      </w:r>
      <w:bookmarkEnd w:id="32"/>
      <w:r w:rsidRPr="00921225">
        <w:rPr>
          <w:rFonts w:ascii="Arial" w:eastAsia="Calibri" w:hAnsi="Arial" w:cs="Arial"/>
          <w:vertAlign w:val="superscript"/>
          <w:lang w:val="es-MX"/>
        </w:rPr>
        <w:footnoteReference w:id="20"/>
      </w:r>
      <w:r w:rsidRPr="00921225">
        <w:rPr>
          <w:rFonts w:ascii="Arial" w:eastAsia="Times New Roman" w:hAnsi="Arial" w:cs="Arial"/>
          <w:bCs/>
          <w:lang w:val="es-MX" w:eastAsia="x-none"/>
        </w:rPr>
        <w:t xml:space="preserve">.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w:t>
      </w:r>
      <w:r w:rsidRPr="00E91A24">
        <w:rPr>
          <w:rFonts w:ascii="Arial" w:eastAsia="Times New Roman" w:hAnsi="Arial" w:cs="Arial"/>
          <w:bCs/>
          <w:lang w:val="es-MX" w:eastAsia="x-none"/>
        </w:rPr>
        <w:t>garantía electoral.</w:t>
      </w:r>
      <w:bookmarkStart w:id="33" w:name="_Hlk75783800"/>
      <w:bookmarkEnd w:id="31"/>
    </w:p>
    <w:p w14:paraId="78467BE9" w14:textId="34401E1E" w:rsidR="00E91A24" w:rsidRPr="00E91A24" w:rsidRDefault="00E91A24" w:rsidP="00EB4EC1">
      <w:pPr>
        <w:tabs>
          <w:tab w:val="left" w:pos="426"/>
        </w:tabs>
        <w:spacing w:after="120" w:line="276" w:lineRule="auto"/>
        <w:ind w:firstLine="709"/>
        <w:jc w:val="both"/>
        <w:rPr>
          <w:rFonts w:ascii="Arial" w:hAnsi="Arial" w:cs="Arial"/>
          <w:bCs/>
          <w:lang w:val="es-ES_tradnl"/>
        </w:rPr>
      </w:pPr>
      <w:r w:rsidRPr="00E91A24">
        <w:rPr>
          <w:rFonts w:ascii="Arial" w:eastAsia="Times New Roman" w:hAnsi="Arial" w:cs="Arial"/>
          <w:bCs/>
          <w:lang w:val="es-MX" w:eastAsia="x-none"/>
        </w:rPr>
        <w:t xml:space="preserve">Así mismo, la </w:t>
      </w:r>
      <w:r w:rsidRPr="00E91A24">
        <w:rPr>
          <w:rFonts w:ascii="Arial" w:hAnsi="Arial" w:cs="Arial"/>
          <w:bCs/>
          <w:lang w:val="es-ES_tradnl"/>
        </w:rPr>
        <w:t xml:space="preserve">Sala de Consulta y Servicio Civil del Consejo de Estado, en concepto del 4 de febrero de 2010, se pronunció frente a las razones por las que el legislador consagró excepciones al artículo 33 de la Ley de Garantías Electorales: </w:t>
      </w:r>
    </w:p>
    <w:p w14:paraId="430C7F19" w14:textId="77777777" w:rsidR="00E91A24" w:rsidRPr="00E91A24" w:rsidRDefault="00E91A24" w:rsidP="00E91A24">
      <w:pPr>
        <w:tabs>
          <w:tab w:val="left" w:pos="426"/>
        </w:tabs>
        <w:spacing w:after="0"/>
        <w:ind w:firstLine="709"/>
        <w:contextualSpacing/>
        <w:jc w:val="both"/>
        <w:rPr>
          <w:rFonts w:ascii="Arial" w:hAnsi="Arial" w:cs="Arial"/>
          <w:bCs/>
          <w:lang w:val="es-ES_tradnl"/>
        </w:rPr>
      </w:pPr>
    </w:p>
    <w:p w14:paraId="5174B9D3" w14:textId="77777777" w:rsidR="00E91A24" w:rsidRPr="00E91A24" w:rsidRDefault="00E91A24" w:rsidP="00EE6A00">
      <w:pPr>
        <w:shd w:val="clear" w:color="auto" w:fill="FFFFFF"/>
        <w:spacing w:after="120"/>
        <w:ind w:left="709" w:right="709"/>
        <w:jc w:val="both"/>
        <w:rPr>
          <w:rFonts w:ascii="Arial" w:hAnsi="Arial" w:cs="Arial"/>
          <w:sz w:val="21"/>
          <w:szCs w:val="21"/>
          <w:lang w:val="es-ES_tradnl" w:eastAsia="es-CO"/>
        </w:rPr>
      </w:pPr>
      <w:r w:rsidRPr="00E91A24">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E91A24">
        <w:rPr>
          <w:rStyle w:val="Refdenotaalpie"/>
          <w:rFonts w:ascii="Arial" w:hAnsi="Arial" w:cs="Arial"/>
          <w:sz w:val="21"/>
          <w:szCs w:val="21"/>
          <w:lang w:val="es-ES_tradnl" w:eastAsia="es-CO"/>
        </w:rPr>
        <w:footnoteReference w:id="21"/>
      </w:r>
      <w:r w:rsidRPr="00E91A24">
        <w:rPr>
          <w:rFonts w:ascii="Arial" w:hAnsi="Arial" w:cs="Arial"/>
          <w:sz w:val="21"/>
          <w:szCs w:val="21"/>
          <w:lang w:val="es-ES_tradnl" w:eastAsia="es-CO"/>
        </w:rPr>
        <w:t xml:space="preserve">. </w:t>
      </w:r>
    </w:p>
    <w:p w14:paraId="32DEB46E" w14:textId="694234AB" w:rsidR="00E91A24" w:rsidRPr="00662A5D" w:rsidRDefault="00EE6A00" w:rsidP="00662A5D">
      <w:pPr>
        <w:spacing w:after="120" w:line="276" w:lineRule="auto"/>
        <w:ind w:firstLine="709"/>
        <w:jc w:val="both"/>
        <w:rPr>
          <w:rFonts w:ascii="Arial" w:hAnsi="Arial" w:cs="Arial"/>
          <w:lang w:val="es-ES_tradnl"/>
        </w:rPr>
      </w:pPr>
      <w:r w:rsidRPr="00EE6A00">
        <w:rPr>
          <w:rFonts w:ascii="Arial" w:hAnsi="Arial" w:cs="Arial"/>
          <w:bCs/>
          <w:lang w:val="es-ES_tradnl"/>
        </w:rPr>
        <w:t>Por tanto, las excepciones a la prohibición contenida en el inciso segundo de artículo 33 de la ley de garantías electorales tienen por finalidad garantizar la prestación ininterrumpida de algunos servicios públicos</w:t>
      </w:r>
      <w:r w:rsidR="00662A5D">
        <w:rPr>
          <w:rFonts w:ascii="Arial" w:hAnsi="Arial" w:cs="Arial"/>
          <w:bCs/>
          <w:lang w:val="es-ES_tradnl"/>
        </w:rPr>
        <w:t xml:space="preserve"> </w:t>
      </w:r>
      <w:r w:rsidR="00662A5D" w:rsidRPr="00EE6A00">
        <w:rPr>
          <w:rFonts w:ascii="Arial" w:hAnsi="Arial" w:cs="Arial"/>
          <w:bCs/>
          <w:lang w:val="es-ES_tradnl"/>
        </w:rPr>
        <w:t>que,</w:t>
      </w:r>
      <w:r w:rsidRPr="00EE6A00">
        <w:rPr>
          <w:rFonts w:ascii="Arial" w:hAnsi="Arial" w:cs="Arial"/>
          <w:bCs/>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EE6A00">
        <w:rPr>
          <w:rFonts w:ascii="Arial" w:hAnsi="Arial" w:cs="Arial"/>
          <w:lang w:val="es-ES_tradnl"/>
        </w:rPr>
        <w:t xml:space="preserve">, mencionó las excepciones a la prohibición del artículo 33 de la Ley de Garantías Electorales, resaltando el carácter taxativo de la regla </w:t>
      </w:r>
      <w:r w:rsidRPr="00662A5D">
        <w:rPr>
          <w:rFonts w:ascii="Arial" w:hAnsi="Arial" w:cs="Arial"/>
          <w:lang w:val="es-ES_tradnl"/>
        </w:rPr>
        <w:t>de excepción referida, y señalando la independencia de los supuestos establecidos allí.</w:t>
      </w:r>
    </w:p>
    <w:p w14:paraId="2BEB6D3F" w14:textId="25CE2BF8" w:rsidR="00662A5D" w:rsidRDefault="00662A5D" w:rsidP="005E55C3">
      <w:pPr>
        <w:spacing w:after="0" w:line="276" w:lineRule="auto"/>
        <w:ind w:firstLine="709"/>
        <w:contextualSpacing/>
        <w:jc w:val="both"/>
        <w:rPr>
          <w:rFonts w:ascii="Arial" w:hAnsi="Arial" w:cs="Arial"/>
          <w:bCs/>
          <w:lang w:val="es-ES_tradnl"/>
        </w:rPr>
      </w:pPr>
      <w:bookmarkStart w:id="34" w:name="_Hlk98499113"/>
      <w:r w:rsidRPr="00662A5D">
        <w:rPr>
          <w:rFonts w:ascii="Arial" w:hAnsi="Arial" w:cs="Arial"/>
          <w:bCs/>
          <w:lang w:val="es-ES_tradnl"/>
        </w:rPr>
        <w:t>Lo anterior implica que las excepciones al artículo 33 en comento deben interpretarse y aplicarse manera restrictiva. En otras palabras, que no sería factible hacer interpretaciones extensivas</w:t>
      </w:r>
      <w:r w:rsidRPr="00662A5D">
        <w:rPr>
          <w:rFonts w:ascii="Arial" w:hAnsi="Arial" w:cs="Arial"/>
          <w:bCs/>
          <w:i/>
          <w:iCs/>
          <w:lang w:val="es-ES_tradnl"/>
        </w:rPr>
        <w:t xml:space="preserve"> </w:t>
      </w:r>
      <w:r w:rsidRPr="00662A5D">
        <w:rPr>
          <w:rFonts w:ascii="Arial" w:hAnsi="Arial" w:cs="Arial"/>
          <w:bCs/>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bookmarkEnd w:id="34"/>
    </w:p>
    <w:p w14:paraId="71799AC3" w14:textId="77777777" w:rsidR="005E55C3" w:rsidRPr="00662A5D" w:rsidRDefault="005E55C3" w:rsidP="005E55C3">
      <w:pPr>
        <w:spacing w:after="0" w:line="276" w:lineRule="auto"/>
        <w:ind w:firstLine="709"/>
        <w:contextualSpacing/>
        <w:jc w:val="both"/>
        <w:rPr>
          <w:rFonts w:ascii="Arial" w:eastAsia="Times New Roman" w:hAnsi="Arial" w:cs="Arial"/>
          <w:bCs/>
          <w:lang w:val="es-MX" w:eastAsia="x-none"/>
        </w:rPr>
      </w:pPr>
    </w:p>
    <w:p w14:paraId="2EBE3C1A" w14:textId="0E5B337F" w:rsidR="00420C9F" w:rsidRPr="008B0E2A" w:rsidRDefault="00420C9F" w:rsidP="005E55C3">
      <w:pPr>
        <w:spacing w:after="0" w:line="276" w:lineRule="auto"/>
        <w:contextualSpacing/>
        <w:jc w:val="both"/>
        <w:rPr>
          <w:rFonts w:ascii="Arial" w:eastAsia="Times New Roman" w:hAnsi="Arial" w:cs="Arial"/>
          <w:b/>
          <w:lang w:val="es-MX" w:eastAsia="x-none"/>
        </w:rPr>
      </w:pPr>
      <w:bookmarkStart w:id="35" w:name="_Hlk98499532"/>
      <w:r w:rsidRPr="008B0E2A">
        <w:rPr>
          <w:rFonts w:ascii="Arial" w:eastAsia="Times New Roman" w:hAnsi="Arial" w:cs="Arial"/>
          <w:b/>
          <w:lang w:val="es-MX" w:eastAsia="x-none"/>
        </w:rPr>
        <w:t>2.</w:t>
      </w:r>
      <w:r w:rsidR="005E55C3">
        <w:rPr>
          <w:rFonts w:ascii="Arial" w:eastAsia="Times New Roman" w:hAnsi="Arial" w:cs="Arial"/>
          <w:b/>
          <w:lang w:val="es-MX" w:eastAsia="x-none"/>
        </w:rPr>
        <w:t>3</w:t>
      </w:r>
      <w:r w:rsidRPr="008B0E2A">
        <w:rPr>
          <w:rFonts w:ascii="Arial" w:eastAsia="Times New Roman" w:hAnsi="Arial" w:cs="Arial"/>
          <w:b/>
          <w:lang w:val="es-MX" w:eastAsia="x-none"/>
        </w:rPr>
        <w:t>. Destinatarios de la restricción del artículo 33 de la Ley 996 de 2005</w:t>
      </w:r>
    </w:p>
    <w:bookmarkEnd w:id="35"/>
    <w:p w14:paraId="53147AF3" w14:textId="77777777" w:rsidR="00420C9F" w:rsidRPr="00D0384B" w:rsidRDefault="00420C9F" w:rsidP="00B44B46">
      <w:pPr>
        <w:spacing w:after="0" w:line="276" w:lineRule="auto"/>
        <w:contextualSpacing/>
        <w:jc w:val="both"/>
        <w:rPr>
          <w:rFonts w:ascii="Arial" w:eastAsia="Times New Roman" w:hAnsi="Arial" w:cs="Arial"/>
          <w:bCs/>
          <w:lang w:val="es-MX" w:eastAsia="x-none"/>
        </w:rPr>
      </w:pPr>
    </w:p>
    <w:p w14:paraId="53BD9D62" w14:textId="77777777" w:rsidR="00420C9F" w:rsidRPr="00D0384B" w:rsidRDefault="00420C9F" w:rsidP="005B307B">
      <w:pPr>
        <w:spacing w:after="0" w:line="276" w:lineRule="auto"/>
        <w:contextualSpacing/>
        <w:jc w:val="both"/>
        <w:rPr>
          <w:rFonts w:ascii="Arial" w:eastAsia="Times New Roman" w:hAnsi="Arial" w:cs="Arial"/>
          <w:bCs/>
          <w:lang w:val="es-MX" w:eastAsia="x-none"/>
        </w:rPr>
      </w:pPr>
      <w:bookmarkStart w:id="36" w:name="_Hlk98867071"/>
      <w:r w:rsidRPr="00D0384B">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 xml:space="preserve">En efecto, tal como lo ha sostenido el Consejo de Estado, el vocablo </w:t>
      </w:r>
      <w:bookmarkStart w:id="37" w:name="_Hlk75632581"/>
      <w:r w:rsidRPr="00D0384B">
        <w:rPr>
          <w:rFonts w:ascii="Arial" w:eastAsia="Times New Roman" w:hAnsi="Arial" w:cs="Arial"/>
          <w:bCs/>
          <w:lang w:val="es-MX" w:eastAsia="x-none"/>
        </w:rPr>
        <w:t>«</w:t>
      </w:r>
      <w:bookmarkEnd w:id="37"/>
      <w:r w:rsidRPr="00D0384B">
        <w:rPr>
          <w:rFonts w:ascii="Arial" w:eastAsia="Times New Roman" w:hAnsi="Arial" w:cs="Arial"/>
          <w:bCs/>
          <w:lang w:val="es-MX" w:eastAsia="x-none"/>
        </w:rPr>
        <w:t>todos» utilizado por el legislador comprende</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33"/>
      <w:r w:rsidRPr="00D0384B">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36"/>
      <w:r w:rsidRPr="00D0384B">
        <w:rPr>
          <w:rFonts w:ascii="Arial" w:eastAsia="Times New Roman" w:hAnsi="Arial" w:cs="Arial"/>
          <w:bCs/>
          <w:lang w:val="es-MX" w:eastAsia="x-none"/>
        </w:rPr>
        <w:t xml:space="preserve">El Consejo de Estado, en Concepto con radicado 1727 de fecha 20 de febrero de 2006, consideró que: </w:t>
      </w:r>
    </w:p>
    <w:p w14:paraId="2C4BA207" w14:textId="77777777" w:rsidR="00420C9F" w:rsidRPr="00D0384B" w:rsidRDefault="00420C9F" w:rsidP="00420C9F">
      <w:pPr>
        <w:spacing w:after="0" w:line="276" w:lineRule="auto"/>
        <w:ind w:firstLine="708"/>
        <w:jc w:val="both"/>
        <w:rPr>
          <w:rFonts w:ascii="Arial" w:eastAsia="Times New Roman" w:hAnsi="Arial" w:cs="Arial"/>
          <w:bCs/>
          <w:lang w:val="es-MX" w:eastAsia="x-none"/>
        </w:rPr>
      </w:pPr>
    </w:p>
    <w:p w14:paraId="6C93AFD2" w14:textId="77777777" w:rsidR="00420C9F" w:rsidRPr="00D0384B" w:rsidRDefault="00420C9F" w:rsidP="00420C9F">
      <w:pPr>
        <w:spacing w:after="0" w:line="240" w:lineRule="auto"/>
        <w:ind w:left="708" w:right="709"/>
        <w:jc w:val="both"/>
        <w:rPr>
          <w:rFonts w:ascii="Arial" w:eastAsia="Times New Roman" w:hAnsi="Arial" w:cs="Arial"/>
          <w:bCs/>
          <w:sz w:val="21"/>
          <w:szCs w:val="21"/>
          <w:lang w:val="es-MX" w:eastAsia="es-CO"/>
        </w:rPr>
      </w:pPr>
      <w:r w:rsidRPr="00D0384B">
        <w:rPr>
          <w:rFonts w:ascii="Arial" w:eastAsia="Times New Roman" w:hAnsi="Arial" w:cs="Arial"/>
          <w:bCs/>
          <w:sz w:val="21"/>
          <w:szCs w:val="21"/>
          <w:lang w:val="es-MX" w:eastAsia="x-none"/>
        </w:rPr>
        <w:t xml:space="preserve">El artículo 33 de la ley 996 de 2005, </w:t>
      </w:r>
      <w:bookmarkStart w:id="38" w:name="_Hlk75787147"/>
      <w:r w:rsidRPr="00D0384B">
        <w:rPr>
          <w:rFonts w:ascii="Arial" w:eastAsia="Times New Roman" w:hAnsi="Arial" w:cs="Arial"/>
          <w:bCs/>
          <w:sz w:val="21"/>
          <w:szCs w:val="21"/>
          <w:lang w:val="es-MX" w:eastAsia="x-none"/>
        </w:rPr>
        <w:t xml:space="preserve">efectivamente se aplica </w:t>
      </w:r>
      <w:bookmarkStart w:id="39" w:name="_Hlk76074089"/>
      <w:r w:rsidRPr="00D0384B">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39"/>
      <w:r w:rsidRPr="00D0384B">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D0384B">
        <w:rPr>
          <w:rFonts w:ascii="Arial" w:eastAsia="Times New Roman" w:hAnsi="Arial" w:cs="Arial"/>
          <w:bCs/>
          <w:sz w:val="21"/>
          <w:szCs w:val="21"/>
          <w:vertAlign w:val="superscript"/>
          <w:lang w:val="es-MX" w:eastAsia="x-none"/>
        </w:rPr>
        <w:footnoteReference w:id="22"/>
      </w:r>
      <w:r w:rsidRPr="00D0384B">
        <w:rPr>
          <w:rFonts w:ascii="Arial" w:eastAsia="Times New Roman" w:hAnsi="Arial" w:cs="Arial"/>
          <w:bCs/>
          <w:sz w:val="21"/>
          <w:szCs w:val="21"/>
          <w:lang w:val="es-MX" w:eastAsia="x-none"/>
        </w:rPr>
        <w:t>.</w:t>
      </w:r>
      <w:r w:rsidRPr="00D0384B">
        <w:rPr>
          <w:rFonts w:ascii="Arial" w:eastAsia="Times New Roman" w:hAnsi="Arial" w:cs="Arial"/>
          <w:bCs/>
          <w:sz w:val="21"/>
          <w:szCs w:val="21"/>
          <w:lang w:val="es-MX" w:eastAsia="es-CO"/>
        </w:rPr>
        <w:t xml:space="preserve"> </w:t>
      </w:r>
    </w:p>
    <w:p w14:paraId="78CCFDDA" w14:textId="77777777" w:rsidR="00420C9F" w:rsidRPr="007942F7" w:rsidRDefault="00420C9F" w:rsidP="00420C9F">
      <w:pPr>
        <w:spacing w:after="0" w:line="276" w:lineRule="auto"/>
        <w:ind w:firstLine="708"/>
        <w:jc w:val="both"/>
        <w:rPr>
          <w:rFonts w:ascii="Arial" w:eastAsia="Times New Roman" w:hAnsi="Arial" w:cs="Arial"/>
          <w:bCs/>
          <w:lang w:val="es-MX" w:eastAsia="es-CO"/>
        </w:rPr>
      </w:pPr>
    </w:p>
    <w:p w14:paraId="6B338A0E" w14:textId="77777777" w:rsidR="00420C9F" w:rsidRPr="007942F7" w:rsidRDefault="00420C9F" w:rsidP="00420C9F">
      <w:pPr>
        <w:spacing w:after="0" w:line="276" w:lineRule="auto"/>
        <w:ind w:firstLine="708"/>
        <w:jc w:val="both"/>
        <w:rPr>
          <w:rFonts w:ascii="Arial" w:eastAsia="Calibri" w:hAnsi="Arial" w:cs="Arial"/>
          <w:lang w:val="es-MX"/>
        </w:rPr>
      </w:pPr>
      <w:r w:rsidRPr="007942F7">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0" w:name="_Hlk75635823"/>
      <w:r w:rsidRPr="007942F7">
        <w:rPr>
          <w:rFonts w:ascii="Arial" w:eastAsia="Times New Roman" w:hAnsi="Arial" w:cs="Arial"/>
          <w:bCs/>
          <w:lang w:val="es-MX" w:eastAsia="x-none"/>
        </w:rPr>
        <w:t>»</w:t>
      </w:r>
      <w:bookmarkStart w:id="41" w:name="_Hlk75758868"/>
      <w:bookmarkStart w:id="42" w:name="_Hlk75741220"/>
      <w:bookmarkEnd w:id="40"/>
      <w:r w:rsidRPr="007942F7">
        <w:rPr>
          <w:rFonts w:ascii="Arial" w:eastAsia="Calibri" w:hAnsi="Arial" w:cs="Arial"/>
          <w:sz w:val="24"/>
          <w:vertAlign w:val="superscript"/>
          <w:lang w:val="es-MX"/>
        </w:rPr>
        <w:footnoteReference w:id="23"/>
      </w:r>
      <w:bookmarkEnd w:id="41"/>
      <w:bookmarkEnd w:id="42"/>
      <w:r w:rsidRPr="007942F7">
        <w:rPr>
          <w:rFonts w:ascii="Arial" w:eastAsia="Times New Roman" w:hAnsi="Arial" w:cs="Arial"/>
          <w:bCs/>
          <w:lang w:val="es-MX" w:eastAsia="x-none"/>
        </w:rPr>
        <w:t>.</w:t>
      </w:r>
      <w:r w:rsidRPr="007942F7">
        <w:rPr>
          <w:rFonts w:ascii="Arial" w:eastAsia="Calibri" w:hAnsi="Arial" w:cs="Arial"/>
          <w:lang w:val="es-MX"/>
        </w:rPr>
        <w:t xml:space="preserve"> Sin embargo, debe precisarse el siguiente aspecto que distinguió la Sala de Consulta y Servicio Civil:</w:t>
      </w:r>
    </w:p>
    <w:p w14:paraId="334430A6" w14:textId="77777777" w:rsidR="00420C9F" w:rsidRPr="007942F7" w:rsidRDefault="00420C9F" w:rsidP="00420C9F">
      <w:pPr>
        <w:spacing w:after="0" w:line="276" w:lineRule="auto"/>
        <w:jc w:val="both"/>
        <w:rPr>
          <w:rFonts w:ascii="Arial" w:eastAsia="Calibri" w:hAnsi="Arial" w:cs="Arial"/>
          <w:lang w:val="es-MX"/>
        </w:rPr>
      </w:pPr>
    </w:p>
    <w:p w14:paraId="5A0B29FE" w14:textId="77777777" w:rsidR="00420C9F" w:rsidRPr="007942F7" w:rsidRDefault="00420C9F" w:rsidP="00420C9F">
      <w:pPr>
        <w:spacing w:after="0" w:line="240" w:lineRule="auto"/>
        <w:ind w:left="708" w:right="709"/>
        <w:jc w:val="both"/>
        <w:rPr>
          <w:rFonts w:ascii="Arial" w:eastAsia="Calibri" w:hAnsi="Arial" w:cs="Arial"/>
          <w:sz w:val="21"/>
          <w:szCs w:val="21"/>
          <w:lang w:val="es-MX"/>
        </w:rPr>
      </w:pPr>
      <w:bookmarkStart w:id="44" w:name="_Hlk75811446"/>
      <w:r w:rsidRPr="007942F7">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4"/>
      <w:r w:rsidRPr="007942F7">
        <w:rPr>
          <w:rFonts w:ascii="Arial" w:eastAsia="Calibri" w:hAnsi="Arial" w:cs="Arial"/>
          <w:sz w:val="24"/>
          <w:vertAlign w:val="superscript"/>
          <w:lang w:val="es-MX"/>
        </w:rPr>
        <w:footnoteReference w:id="24"/>
      </w:r>
      <w:r w:rsidRPr="007942F7">
        <w:rPr>
          <w:rFonts w:ascii="Arial" w:eastAsia="Times New Roman" w:hAnsi="Arial" w:cs="Arial"/>
          <w:bCs/>
          <w:lang w:val="es-MX" w:eastAsia="x-none"/>
        </w:rPr>
        <w:t>.</w:t>
      </w:r>
    </w:p>
    <w:p w14:paraId="7956DF5E" w14:textId="77777777" w:rsidR="00420C9F" w:rsidRPr="007942F7" w:rsidRDefault="00420C9F" w:rsidP="00420C9F">
      <w:pPr>
        <w:spacing w:after="0" w:line="276" w:lineRule="auto"/>
        <w:jc w:val="both"/>
        <w:rPr>
          <w:rFonts w:ascii="Arial" w:eastAsia="Calibri" w:hAnsi="Arial" w:cs="Arial"/>
          <w:lang w:val="es-MX"/>
        </w:rPr>
      </w:pPr>
    </w:p>
    <w:p w14:paraId="433855FE" w14:textId="67C45801" w:rsidR="00420C9F" w:rsidRPr="008172BC" w:rsidRDefault="00420C9F" w:rsidP="00420C9F">
      <w:pPr>
        <w:spacing w:after="0" w:line="276" w:lineRule="auto"/>
        <w:ind w:firstLine="708"/>
        <w:jc w:val="both"/>
        <w:rPr>
          <w:rFonts w:ascii="Arial" w:eastAsia="Times New Roman" w:hAnsi="Arial" w:cs="Arial"/>
          <w:bCs/>
          <w:lang w:val="es-MX" w:eastAsia="x-none"/>
        </w:rPr>
      </w:pPr>
      <w:bookmarkStart w:id="45" w:name="_Hlk77237229"/>
      <w:bookmarkEnd w:id="38"/>
      <w:r w:rsidRPr="008172BC">
        <w:rPr>
          <w:rFonts w:ascii="Arial" w:eastAsia="Calibri" w:hAnsi="Arial" w:cs="Arial"/>
          <w:lang w:val="es-MX"/>
        </w:rPr>
        <w:t>Por lo tanto, la restricción prevista en la Ley 996 de 200</w:t>
      </w:r>
      <w:bookmarkStart w:id="46" w:name="_Hlk75741539"/>
      <w:r w:rsidRPr="008172BC">
        <w:rPr>
          <w:rFonts w:ascii="Arial" w:eastAsia="Calibri" w:hAnsi="Arial" w:cs="Arial"/>
          <w:lang w:val="es-MX"/>
        </w:rPr>
        <w:t xml:space="preserve">5, </w:t>
      </w:r>
      <w:r w:rsidRPr="008172BC">
        <w:rPr>
          <w:rFonts w:ascii="Arial" w:eastAsia="Times New Roman" w:hAnsi="Arial" w:cs="Arial"/>
          <w:bCs/>
          <w:lang w:val="es-MX" w:eastAsia="x-none"/>
        </w:rPr>
        <w:t xml:space="preserve">teniendo en cuenta la finalidad de la </w:t>
      </w:r>
      <w:r w:rsidR="005E55C3" w:rsidRPr="008172BC">
        <w:rPr>
          <w:rFonts w:ascii="Arial" w:eastAsia="Times New Roman" w:hAnsi="Arial" w:cs="Arial"/>
          <w:bCs/>
          <w:lang w:val="es-MX" w:eastAsia="x-none"/>
        </w:rPr>
        <w:t xml:space="preserve">Ley </w:t>
      </w:r>
      <w:r w:rsidRPr="008172BC">
        <w:rPr>
          <w:rFonts w:ascii="Arial" w:eastAsia="Times New Roman" w:hAnsi="Arial" w:cs="Arial"/>
          <w:bCs/>
          <w:lang w:val="es-MX" w:eastAsia="x-none"/>
        </w:rPr>
        <w:t xml:space="preserve">de </w:t>
      </w:r>
      <w:r w:rsidR="005E55C3" w:rsidRPr="008172BC">
        <w:rPr>
          <w:rFonts w:ascii="Arial" w:eastAsia="Times New Roman" w:hAnsi="Arial" w:cs="Arial"/>
          <w:bCs/>
          <w:lang w:val="es-MX" w:eastAsia="x-none"/>
        </w:rPr>
        <w:t>Garantías Electorales</w:t>
      </w:r>
      <w:r w:rsidRPr="008172BC">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45"/>
    <w:bookmarkEnd w:id="46"/>
    <w:p w14:paraId="6347CB09" w14:textId="77777777" w:rsidR="00420C9F" w:rsidRPr="00921225" w:rsidRDefault="00420C9F" w:rsidP="00420C9F">
      <w:pPr>
        <w:spacing w:after="0" w:line="276" w:lineRule="auto"/>
        <w:jc w:val="both"/>
        <w:rPr>
          <w:rFonts w:ascii="Arial" w:eastAsia="Calibri" w:hAnsi="Arial" w:cs="Arial"/>
          <w:color w:val="FF0000"/>
          <w:lang w:val="es-MX"/>
        </w:rPr>
      </w:pPr>
    </w:p>
    <w:p w14:paraId="54450956" w14:textId="777DC00E" w:rsidR="00420C9F" w:rsidRPr="009D79A0" w:rsidRDefault="00E46D56" w:rsidP="00420C9F">
      <w:pPr>
        <w:spacing w:after="0" w:line="276" w:lineRule="auto"/>
        <w:jc w:val="both"/>
        <w:rPr>
          <w:rFonts w:ascii="Arial" w:eastAsia="Calibri" w:hAnsi="Arial" w:cs="Arial"/>
          <w:b/>
          <w:bCs/>
          <w:lang w:val="es-MX"/>
        </w:rPr>
      </w:pPr>
      <w:bookmarkStart w:id="47" w:name="_Hlk77153296"/>
      <w:bookmarkStart w:id="48" w:name="_Hlk75784645"/>
      <w:r>
        <w:rPr>
          <w:rFonts w:ascii="Arial" w:eastAsia="Calibri" w:hAnsi="Arial" w:cs="Arial"/>
          <w:b/>
          <w:bCs/>
          <w:lang w:val="es-MX"/>
        </w:rPr>
        <w:t>2.</w:t>
      </w:r>
      <w:r w:rsidR="005E55C3">
        <w:rPr>
          <w:rFonts w:ascii="Arial" w:eastAsia="Calibri" w:hAnsi="Arial" w:cs="Arial"/>
          <w:b/>
          <w:bCs/>
          <w:lang w:val="es-MX"/>
        </w:rPr>
        <w:t>4</w:t>
      </w:r>
      <w:r>
        <w:rPr>
          <w:rFonts w:ascii="Arial" w:eastAsia="Calibri" w:hAnsi="Arial" w:cs="Arial"/>
          <w:b/>
          <w:bCs/>
          <w:lang w:val="es-MX"/>
        </w:rPr>
        <w:t xml:space="preserve">. </w:t>
      </w:r>
      <w:r w:rsidR="00420C9F" w:rsidRPr="009D79A0">
        <w:rPr>
          <w:rFonts w:ascii="Arial" w:eastAsia="Times New Roman" w:hAnsi="Arial" w:cs="Arial"/>
          <w:b/>
          <w:bCs/>
          <w:lang w:val="es-MX" w:eastAsia="es-CO"/>
        </w:rPr>
        <w:t xml:space="preserve">Restricciones </w:t>
      </w:r>
      <w:bookmarkStart w:id="49" w:name="_Hlk75643279"/>
      <w:r w:rsidR="00420C9F" w:rsidRPr="009D79A0">
        <w:rPr>
          <w:rFonts w:ascii="Arial" w:eastAsia="Times New Roman" w:hAnsi="Arial" w:cs="Arial"/>
          <w:b/>
          <w:bCs/>
          <w:lang w:val="es-MX" w:eastAsia="es-CO"/>
        </w:rPr>
        <w:t xml:space="preserve">para la celebración de contratos y convenios interadministrativos en los comicios para cargos de elección popular </w:t>
      </w:r>
    </w:p>
    <w:p w14:paraId="778405C0" w14:textId="77777777" w:rsidR="00420C9F" w:rsidRPr="009D79A0" w:rsidRDefault="00420C9F" w:rsidP="00420C9F">
      <w:pPr>
        <w:tabs>
          <w:tab w:val="left" w:pos="426"/>
        </w:tabs>
        <w:spacing w:after="0" w:line="276" w:lineRule="auto"/>
        <w:jc w:val="both"/>
        <w:rPr>
          <w:rFonts w:ascii="Arial" w:eastAsia="Calibri" w:hAnsi="Arial" w:cs="Arial"/>
          <w:bCs/>
        </w:rPr>
      </w:pPr>
      <w:bookmarkStart w:id="50" w:name="_Hlk88210558"/>
      <w:bookmarkEnd w:id="47"/>
      <w:bookmarkEnd w:id="49"/>
    </w:p>
    <w:p w14:paraId="1EDD8AF7" w14:textId="77777777" w:rsidR="00420C9F" w:rsidRPr="009D79A0" w:rsidRDefault="00420C9F" w:rsidP="00420C9F">
      <w:pPr>
        <w:tabs>
          <w:tab w:val="left" w:pos="426"/>
        </w:tabs>
        <w:spacing w:after="120" w:line="276" w:lineRule="auto"/>
        <w:jc w:val="both"/>
        <w:rPr>
          <w:rFonts w:ascii="Arial" w:eastAsia="Calibri" w:hAnsi="Arial" w:cs="Arial"/>
          <w:bCs/>
        </w:rPr>
      </w:pPr>
      <w:bookmarkStart w:id="51" w:name="_Hlk98494380"/>
      <w:r w:rsidRPr="009D79A0">
        <w:rPr>
          <w:rFonts w:ascii="Arial" w:eastAsia="Calibri" w:hAnsi="Arial" w:cs="Arial"/>
          <w:bCs/>
        </w:rPr>
        <w:t xml:space="preserve">El parágrafo del artículo 38 de la Ley 996 de 2005 dispone que </w:t>
      </w:r>
      <w:bookmarkStart w:id="52" w:name="_Hlk98494358"/>
      <w:r w:rsidRPr="009D79A0">
        <w:rPr>
          <w:rFonts w:ascii="Arial" w:eastAsia="Calibri" w:hAnsi="Arial" w:cs="Arial"/>
          <w:bCs/>
        </w:rPr>
        <w:t xml:space="preserve">«[l]os Gobernadores, </w:t>
      </w:r>
      <w:proofErr w:type="gramStart"/>
      <w:r w:rsidRPr="009D79A0">
        <w:rPr>
          <w:rFonts w:ascii="Arial" w:eastAsia="Calibri" w:hAnsi="Arial" w:cs="Arial"/>
          <w:bCs/>
        </w:rPr>
        <w:t>Alcaldes</w:t>
      </w:r>
      <w:proofErr w:type="gramEnd"/>
      <w:r w:rsidRPr="009D79A0">
        <w:rPr>
          <w:rFonts w:ascii="Arial" w:eastAsia="Calibri" w:hAnsi="Arial" w:cs="Arial"/>
          <w:bCs/>
        </w:rPr>
        <w:t xml:space="preserve"> Municipales y/o Distritales, Secretarios, Gerentes y directores de Entidades Descentralizadas del orden Municipal, Departamental o Distrital</w:t>
      </w:r>
      <w:bookmarkEnd w:id="52"/>
      <w:r w:rsidRPr="009D79A0">
        <w:rPr>
          <w:rFonts w:ascii="Arial" w:eastAsia="Calibri" w:hAnsi="Arial" w:cs="Arial"/>
          <w:bCs/>
        </w:rPr>
        <w:t>, dentro de los cuatro (4) meses anteriores a las elecciones, no podrán celebrar convenios interadministrativos para la ejecución de recursos públicos».</w:t>
      </w:r>
      <w:r w:rsidRPr="009D79A0">
        <w:rPr>
          <w:rFonts w:ascii="Arial" w:eastAsia="Times New Roman" w:hAnsi="Arial" w:cs="Arial"/>
          <w:bCs/>
          <w:iCs/>
          <w:lang w:val="es-MX" w:eastAsia="x-none"/>
        </w:rPr>
        <w:t xml:space="preserve"> </w:t>
      </w:r>
      <w:bookmarkEnd w:id="50"/>
      <w:bookmarkEnd w:id="51"/>
      <w:r w:rsidRPr="009D79A0">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9D79A0">
        <w:rPr>
          <w:rFonts w:ascii="Arial" w:eastAsia="Times New Roman" w:hAnsi="Arial" w:cs="Arial"/>
          <w:bCs/>
          <w:iCs/>
          <w:vertAlign w:val="superscript"/>
          <w:lang w:val="es-MX" w:eastAsia="x-none"/>
        </w:rPr>
        <w:footnoteReference w:id="25"/>
      </w:r>
      <w:r w:rsidRPr="009D79A0">
        <w:rPr>
          <w:rFonts w:ascii="Arial" w:eastAsia="Times New Roman" w:hAnsi="Arial" w:cs="Arial"/>
          <w:bCs/>
          <w:iCs/>
          <w:lang w:val="es-MX" w:eastAsia="x-none"/>
        </w:rPr>
        <w:t>.</w:t>
      </w:r>
      <w:r w:rsidRPr="009D79A0">
        <w:rPr>
          <w:rFonts w:ascii="Arial" w:eastAsia="Calibri" w:hAnsi="Arial" w:cs="Arial"/>
          <w:sz w:val="24"/>
          <w:lang w:val="es-MX"/>
        </w:rPr>
        <w:t xml:space="preserve"> </w:t>
      </w:r>
    </w:p>
    <w:p w14:paraId="3428F515" w14:textId="77777777" w:rsidR="00420C9F" w:rsidRPr="00B834D3" w:rsidRDefault="00420C9F" w:rsidP="00420C9F">
      <w:pPr>
        <w:widowControl w:val="0"/>
        <w:autoSpaceDE w:val="0"/>
        <w:autoSpaceDN w:val="0"/>
        <w:spacing w:after="120" w:line="276" w:lineRule="auto"/>
        <w:ind w:firstLine="707"/>
        <w:jc w:val="both"/>
        <w:rPr>
          <w:rFonts w:ascii="Arial" w:eastAsia="Arial" w:hAnsi="Arial" w:cs="Arial"/>
          <w:lang w:val="es-ES" w:eastAsia="es-ES" w:bidi="es-ES"/>
        </w:rPr>
      </w:pPr>
      <w:r w:rsidRPr="00B834D3">
        <w:rPr>
          <w:rFonts w:ascii="Arial" w:eastAsia="Calibri" w:hAnsi="Arial" w:cs="Arial"/>
          <w:bCs/>
          <w:lang w:eastAsia="es-ES" w:bidi="es-ES"/>
        </w:rPr>
        <w:t xml:space="preserve">Ahora bien, </w:t>
      </w:r>
      <w:bookmarkStart w:id="53" w:name="_Hlk78820161"/>
      <w:r w:rsidRPr="00B834D3">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B834D3">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B834D3">
        <w:rPr>
          <w:rFonts w:ascii="Arial" w:eastAsia="Arial" w:hAnsi="Arial" w:cs="Arial"/>
          <w:vertAlign w:val="superscript"/>
          <w:lang w:val="es-ES" w:eastAsia="es-ES" w:bidi="es-ES"/>
        </w:rPr>
        <w:footnoteReference w:id="26"/>
      </w:r>
      <w:r w:rsidRPr="00B834D3">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B834D3">
        <w:rPr>
          <w:rFonts w:ascii="Arial" w:eastAsia="Arial" w:hAnsi="Arial" w:cs="Arial"/>
          <w:spacing w:val="-6"/>
          <w:lang w:val="es-ES" w:eastAsia="es-ES" w:bidi="es-ES"/>
        </w:rPr>
        <w:t xml:space="preserve"> </w:t>
      </w:r>
      <w:r w:rsidRPr="00B834D3">
        <w:rPr>
          <w:rFonts w:ascii="Arial" w:eastAsia="Arial" w:hAnsi="Arial" w:cs="Arial"/>
          <w:lang w:val="es-ES" w:eastAsia="es-ES" w:bidi="es-ES"/>
        </w:rPr>
        <w:t>estatales.</w:t>
      </w:r>
    </w:p>
    <w:p w14:paraId="224EE7D2" w14:textId="77777777" w:rsidR="00420C9F" w:rsidRPr="00D62FE9" w:rsidRDefault="00420C9F" w:rsidP="00420C9F">
      <w:pPr>
        <w:widowControl w:val="0"/>
        <w:autoSpaceDE w:val="0"/>
        <w:autoSpaceDN w:val="0"/>
        <w:spacing w:before="117" w:after="120" w:line="276" w:lineRule="auto"/>
        <w:ind w:firstLine="707"/>
        <w:jc w:val="both"/>
        <w:rPr>
          <w:rFonts w:ascii="Arial" w:eastAsia="Arial" w:hAnsi="Arial" w:cs="Arial"/>
          <w:lang w:val="es-ES" w:eastAsia="es-ES" w:bidi="es-ES"/>
        </w:rPr>
      </w:pPr>
      <w:bookmarkStart w:id="54" w:name="_Hlk78820654"/>
      <w:bookmarkEnd w:id="53"/>
      <w:r w:rsidRPr="00D62FE9">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4"/>
    <w:p w14:paraId="482017D0" w14:textId="77777777" w:rsidR="00420C9F" w:rsidRPr="00547C85" w:rsidRDefault="00420C9F" w:rsidP="00420C9F">
      <w:pPr>
        <w:widowControl w:val="0"/>
        <w:autoSpaceDE w:val="0"/>
        <w:autoSpaceDN w:val="0"/>
        <w:spacing w:before="121" w:after="120" w:line="276" w:lineRule="auto"/>
        <w:ind w:firstLine="707"/>
        <w:jc w:val="both"/>
        <w:rPr>
          <w:rFonts w:ascii="Arial" w:eastAsia="Arial" w:hAnsi="Arial" w:cs="Arial"/>
          <w:lang w:val="es-ES" w:eastAsia="es-ES" w:bidi="es-ES"/>
        </w:rPr>
      </w:pPr>
      <w:r w:rsidRPr="00547C8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47C85">
        <w:rPr>
          <w:rFonts w:ascii="Arial" w:eastAsia="Arial" w:hAnsi="Arial" w:cs="Arial"/>
          <w:vertAlign w:val="superscript"/>
          <w:lang w:val="es-ES" w:eastAsia="es-ES" w:bidi="es-ES"/>
        </w:rPr>
        <w:footnoteReference w:id="27"/>
      </w:r>
      <w:r w:rsidRPr="00547C85">
        <w:rPr>
          <w:rFonts w:ascii="Arial" w:eastAsia="Arial" w:hAnsi="Arial" w:cs="Arial"/>
          <w:lang w:val="es-ES" w:eastAsia="es-ES" w:bidi="es-ES"/>
        </w:rPr>
        <w:t>. Nótese que, en este caso, lo que cambia es la modalidad de selección y no la naturaleza de contrato</w:t>
      </w:r>
      <w:r w:rsidRPr="00547C85">
        <w:rPr>
          <w:rFonts w:ascii="Arial" w:eastAsia="Arial" w:hAnsi="Arial" w:cs="Arial"/>
          <w:spacing w:val="-18"/>
          <w:lang w:val="es-ES" w:eastAsia="es-ES" w:bidi="es-ES"/>
        </w:rPr>
        <w:t xml:space="preserve"> </w:t>
      </w:r>
      <w:r w:rsidRPr="00547C85">
        <w:rPr>
          <w:rFonts w:ascii="Arial" w:eastAsia="Arial" w:hAnsi="Arial" w:cs="Arial"/>
          <w:lang w:val="es-ES" w:eastAsia="es-ES" w:bidi="es-ES"/>
        </w:rPr>
        <w:t>interadministrativo.</w:t>
      </w:r>
    </w:p>
    <w:p w14:paraId="123E6D11" w14:textId="77777777" w:rsidR="00420C9F" w:rsidRPr="00547C85" w:rsidRDefault="00420C9F" w:rsidP="00420C9F">
      <w:pPr>
        <w:widowControl w:val="0"/>
        <w:autoSpaceDE w:val="0"/>
        <w:autoSpaceDN w:val="0"/>
        <w:spacing w:before="114" w:after="0" w:line="276" w:lineRule="auto"/>
        <w:ind w:firstLine="707"/>
        <w:contextualSpacing/>
        <w:jc w:val="both"/>
        <w:rPr>
          <w:rFonts w:ascii="Arial" w:eastAsia="Arial" w:hAnsi="Arial" w:cs="Arial"/>
          <w:lang w:val="es-ES" w:eastAsia="es-ES" w:bidi="es-ES"/>
        </w:rPr>
      </w:pPr>
      <w:r w:rsidRPr="00547C85">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47C85">
        <w:rPr>
          <w:rFonts w:ascii="Arial" w:eastAsia="Arial" w:hAnsi="Arial" w:cs="Arial"/>
          <w:spacing w:val="-13"/>
          <w:lang w:val="es-ES" w:eastAsia="es-ES" w:bidi="es-ES"/>
        </w:rPr>
        <w:t xml:space="preserve"> </w:t>
      </w:r>
      <w:r w:rsidRPr="00547C85">
        <w:rPr>
          <w:rFonts w:ascii="Arial" w:eastAsia="Arial" w:hAnsi="Arial" w:cs="Arial"/>
          <w:lang w:val="es-ES" w:eastAsia="es-ES" w:bidi="es-ES"/>
        </w:rPr>
        <w:t>que:</w:t>
      </w:r>
    </w:p>
    <w:p w14:paraId="7FEAEB3B" w14:textId="77777777" w:rsidR="00420C9F" w:rsidRPr="00547C85" w:rsidRDefault="00420C9F" w:rsidP="00420C9F">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724F3044" w14:textId="77777777" w:rsidR="00420C9F" w:rsidRPr="00547C85" w:rsidRDefault="00420C9F" w:rsidP="00420C9F">
      <w:pPr>
        <w:spacing w:after="0" w:line="240" w:lineRule="auto"/>
        <w:ind w:left="709" w:right="709"/>
        <w:contextualSpacing/>
        <w:jc w:val="both"/>
        <w:rPr>
          <w:rFonts w:ascii="Arial" w:eastAsia="Calibri" w:hAnsi="Arial" w:cs="Arial"/>
          <w:sz w:val="21"/>
          <w:lang w:val="es-MX"/>
        </w:rPr>
      </w:pPr>
      <w:r w:rsidRPr="00547C85">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47C85">
        <w:rPr>
          <w:rFonts w:ascii="Arial" w:eastAsia="Calibri" w:hAnsi="Arial" w:cs="Arial"/>
          <w:sz w:val="21"/>
          <w:lang w:val="es-MX"/>
        </w:rPr>
        <w:t>vii</w:t>
      </w:r>
      <w:proofErr w:type="spellEnd"/>
      <w:r w:rsidRPr="00547C85">
        <w:rPr>
          <w:rFonts w:ascii="Arial" w:eastAsia="Calibri" w:hAnsi="Arial" w:cs="Arial"/>
          <w:sz w:val="21"/>
          <w:lang w:val="es-MX"/>
        </w:rPr>
        <w:t>) persiguen  una finalidad común a través de la realización de intereses compartidos entre las entidades vinculadas; (</w:t>
      </w:r>
      <w:proofErr w:type="spellStart"/>
      <w:r w:rsidRPr="00547C85">
        <w:rPr>
          <w:rFonts w:ascii="Arial" w:eastAsia="Calibri" w:hAnsi="Arial" w:cs="Arial"/>
          <w:sz w:val="21"/>
          <w:lang w:val="es-MX"/>
        </w:rPr>
        <w:t>viii</w:t>
      </w:r>
      <w:proofErr w:type="spellEnd"/>
      <w:r w:rsidRPr="00547C85">
        <w:rPr>
          <w:rFonts w:ascii="Arial" w:eastAsia="Calibri" w:hAnsi="Arial" w:cs="Arial"/>
          <w:sz w:val="21"/>
          <w:lang w:val="es-MX"/>
        </w:rPr>
        <w:t>) la acción mediante la cual se deben ventilar las diferencias que sobre el particular surjan es la de controversias contractuales</w:t>
      </w:r>
      <w:r w:rsidRPr="00547C85">
        <w:rPr>
          <w:rFonts w:ascii="Arial" w:eastAsia="Calibri" w:hAnsi="Arial" w:cs="Arial"/>
          <w:sz w:val="21"/>
          <w:vertAlign w:val="superscript"/>
          <w:lang w:val="es-MX"/>
        </w:rPr>
        <w:footnoteReference w:id="28"/>
      </w:r>
      <w:r w:rsidRPr="00547C85">
        <w:rPr>
          <w:rFonts w:ascii="Arial" w:eastAsia="Calibri" w:hAnsi="Arial" w:cs="Arial"/>
          <w:sz w:val="21"/>
          <w:lang w:val="es-MX"/>
        </w:rPr>
        <w:t>.</w:t>
      </w:r>
    </w:p>
    <w:p w14:paraId="62FB8807" w14:textId="77777777" w:rsidR="00420C9F" w:rsidRPr="0096003C" w:rsidRDefault="00420C9F" w:rsidP="00420C9F">
      <w:pPr>
        <w:spacing w:after="0" w:line="276" w:lineRule="auto"/>
        <w:ind w:left="709" w:right="709"/>
        <w:contextualSpacing/>
        <w:jc w:val="both"/>
        <w:rPr>
          <w:rFonts w:ascii="Arial" w:eastAsia="Calibri" w:hAnsi="Arial" w:cs="Arial"/>
          <w:lang w:val="es-MX"/>
        </w:rPr>
      </w:pPr>
    </w:p>
    <w:p w14:paraId="669E60F6" w14:textId="77777777" w:rsidR="00420C9F" w:rsidRPr="0096003C" w:rsidRDefault="00420C9F" w:rsidP="00420C9F">
      <w:pPr>
        <w:widowControl w:val="0"/>
        <w:autoSpaceDE w:val="0"/>
        <w:autoSpaceDN w:val="0"/>
        <w:spacing w:after="120" w:line="276" w:lineRule="auto"/>
        <w:ind w:firstLine="707"/>
        <w:jc w:val="both"/>
        <w:rPr>
          <w:rFonts w:ascii="Arial" w:eastAsia="Arial" w:hAnsi="Arial" w:cs="Arial"/>
          <w:lang w:val="es-ES" w:eastAsia="es-ES" w:bidi="es-ES"/>
        </w:rPr>
      </w:pPr>
      <w:r w:rsidRPr="0096003C">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4FAB733" w14:textId="77777777" w:rsidR="00420C9F" w:rsidRPr="0096003C" w:rsidRDefault="00420C9F" w:rsidP="00420C9F">
      <w:pPr>
        <w:widowControl w:val="0"/>
        <w:autoSpaceDE w:val="0"/>
        <w:autoSpaceDN w:val="0"/>
        <w:spacing w:before="119" w:after="120" w:line="276" w:lineRule="auto"/>
        <w:ind w:firstLine="707"/>
        <w:jc w:val="both"/>
        <w:rPr>
          <w:rFonts w:ascii="Arial" w:eastAsia="Arial" w:hAnsi="Arial" w:cs="Arial"/>
          <w:lang w:val="es-ES" w:eastAsia="es-ES" w:bidi="es-ES"/>
        </w:rPr>
      </w:pPr>
      <w:r w:rsidRPr="0096003C">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96003C">
        <w:rPr>
          <w:rFonts w:ascii="Arial" w:eastAsia="Arial" w:hAnsi="Arial" w:cs="Arial"/>
          <w:spacing w:val="-3"/>
          <w:lang w:val="es-ES" w:eastAsia="es-ES" w:bidi="es-ES"/>
        </w:rPr>
        <w:t xml:space="preserve"> </w:t>
      </w:r>
      <w:r w:rsidRPr="0096003C">
        <w:rPr>
          <w:rFonts w:ascii="Arial" w:eastAsia="Arial" w:hAnsi="Arial" w:cs="Arial"/>
          <w:lang w:val="es-ES" w:eastAsia="es-ES" w:bidi="es-ES"/>
        </w:rPr>
        <w:t>estatales.</w:t>
      </w:r>
    </w:p>
    <w:p w14:paraId="015306B5" w14:textId="77777777" w:rsidR="00420C9F" w:rsidRPr="0096003C" w:rsidRDefault="00420C9F" w:rsidP="00420C9F">
      <w:pPr>
        <w:widowControl w:val="0"/>
        <w:autoSpaceDE w:val="0"/>
        <w:autoSpaceDN w:val="0"/>
        <w:spacing w:before="120" w:after="120" w:line="276" w:lineRule="auto"/>
        <w:ind w:firstLine="709"/>
        <w:jc w:val="both"/>
        <w:rPr>
          <w:rFonts w:ascii="Arial" w:eastAsia="Arial" w:hAnsi="Arial" w:cs="Arial"/>
          <w:lang w:val="es-ES" w:eastAsia="es-ES" w:bidi="es-ES"/>
        </w:rPr>
      </w:pPr>
      <w:r w:rsidRPr="0096003C">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96003C">
        <w:rPr>
          <w:rFonts w:ascii="Arial" w:eastAsia="Arial" w:hAnsi="Arial" w:cs="Arial"/>
          <w:spacing w:val="-4"/>
          <w:lang w:val="es-ES" w:eastAsia="es-ES" w:bidi="es-ES"/>
        </w:rPr>
        <w:t xml:space="preserve"> </w:t>
      </w:r>
      <w:r w:rsidRPr="0096003C">
        <w:rPr>
          <w:rFonts w:ascii="Arial" w:eastAsia="Arial" w:hAnsi="Arial" w:cs="Arial"/>
          <w:lang w:val="es-ES" w:eastAsia="es-ES" w:bidi="es-ES"/>
        </w:rPr>
        <w:t>estatales.</w:t>
      </w:r>
    </w:p>
    <w:p w14:paraId="693505CC" w14:textId="77777777" w:rsidR="00420C9F" w:rsidRPr="00C16E79" w:rsidRDefault="00420C9F" w:rsidP="00420C9F">
      <w:pPr>
        <w:widowControl w:val="0"/>
        <w:autoSpaceDE w:val="0"/>
        <w:autoSpaceDN w:val="0"/>
        <w:spacing w:before="122" w:after="120" w:line="276" w:lineRule="auto"/>
        <w:ind w:firstLine="708"/>
        <w:jc w:val="both"/>
        <w:rPr>
          <w:rFonts w:ascii="Arial" w:eastAsia="Arial" w:hAnsi="Arial" w:cs="Arial"/>
          <w:lang w:val="es-ES" w:eastAsia="es-ES" w:bidi="es-ES"/>
        </w:rPr>
      </w:pPr>
      <w:r w:rsidRPr="00C16E79">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22C5E38" w14:textId="77777777" w:rsidR="00420C9F" w:rsidRPr="00C16E79" w:rsidRDefault="00420C9F" w:rsidP="00420C9F">
      <w:pPr>
        <w:widowControl w:val="0"/>
        <w:autoSpaceDE w:val="0"/>
        <w:autoSpaceDN w:val="0"/>
        <w:spacing w:after="120" w:line="276" w:lineRule="auto"/>
        <w:ind w:firstLine="708"/>
        <w:jc w:val="both"/>
        <w:rPr>
          <w:rFonts w:ascii="Arial" w:eastAsia="Calibri" w:hAnsi="Arial" w:cs="Arial"/>
          <w:bCs/>
          <w:lang w:eastAsia="es-ES" w:bidi="es-ES"/>
        </w:rPr>
      </w:pPr>
      <w:r w:rsidRPr="00C16E79">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16E79">
        <w:rPr>
          <w:rFonts w:ascii="Arial" w:eastAsia="Arial" w:hAnsi="Arial" w:cs="Arial"/>
          <w:spacing w:val="-4"/>
          <w:lang w:val="es-ES" w:eastAsia="es-ES" w:bidi="es-ES"/>
        </w:rPr>
        <w:t xml:space="preserve"> </w:t>
      </w:r>
      <w:r w:rsidRPr="00C16E79">
        <w:rPr>
          <w:rFonts w:ascii="Arial" w:eastAsia="Arial" w:hAnsi="Arial" w:cs="Arial"/>
          <w:lang w:val="es-ES" w:eastAsia="es-ES" w:bidi="es-ES"/>
        </w:rPr>
        <w:t>[…]»</w:t>
      </w:r>
      <w:r w:rsidRPr="00C16E79">
        <w:rPr>
          <w:rFonts w:ascii="Arial" w:eastAsia="Arial" w:hAnsi="Arial" w:cs="Arial"/>
          <w:vertAlign w:val="superscript"/>
          <w:lang w:val="es-ES" w:eastAsia="es-ES" w:bidi="es-ES"/>
        </w:rPr>
        <w:footnoteReference w:id="29"/>
      </w:r>
      <w:r w:rsidRPr="00C16E79">
        <w:rPr>
          <w:rFonts w:ascii="Arial" w:eastAsia="Arial" w:hAnsi="Arial" w:cs="Arial"/>
          <w:lang w:val="es-ES" w:eastAsia="es-ES" w:bidi="es-ES"/>
        </w:rPr>
        <w:t>.</w:t>
      </w:r>
      <w:bookmarkStart w:id="55" w:name="_Hlk77171241"/>
    </w:p>
    <w:p w14:paraId="6B2759FD" w14:textId="77777777" w:rsidR="00420C9F" w:rsidRPr="00C16E79" w:rsidRDefault="00420C9F" w:rsidP="00420C9F">
      <w:pPr>
        <w:widowControl w:val="0"/>
        <w:autoSpaceDE w:val="0"/>
        <w:autoSpaceDN w:val="0"/>
        <w:spacing w:after="0" w:line="276" w:lineRule="auto"/>
        <w:ind w:firstLine="709"/>
        <w:contextualSpacing/>
        <w:jc w:val="both"/>
        <w:rPr>
          <w:rFonts w:ascii="Arial" w:eastAsia="Arial" w:hAnsi="Arial" w:cs="Arial"/>
          <w:lang w:val="es-ES" w:eastAsia="es-ES" w:bidi="es-ES"/>
        </w:rPr>
      </w:pPr>
      <w:r w:rsidRPr="00C16E79">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FB44255" w14:textId="77777777" w:rsidR="00420C9F" w:rsidRPr="00921225" w:rsidRDefault="00420C9F" w:rsidP="00420C9F">
      <w:pPr>
        <w:widowControl w:val="0"/>
        <w:autoSpaceDE w:val="0"/>
        <w:autoSpaceDN w:val="0"/>
        <w:spacing w:after="0" w:line="276" w:lineRule="auto"/>
        <w:ind w:firstLine="709"/>
        <w:contextualSpacing/>
        <w:jc w:val="both"/>
        <w:rPr>
          <w:rFonts w:ascii="Arial" w:eastAsia="Arial" w:hAnsi="Arial" w:cs="Arial"/>
          <w:color w:val="FF0000"/>
          <w:lang w:val="es-ES" w:eastAsia="es-ES" w:bidi="es-ES"/>
        </w:rPr>
      </w:pPr>
    </w:p>
    <w:p w14:paraId="2161A7CC" w14:textId="77777777" w:rsidR="00420C9F" w:rsidRDefault="00420C9F" w:rsidP="00420C9F">
      <w:pPr>
        <w:spacing w:after="0" w:line="240" w:lineRule="auto"/>
        <w:ind w:left="709" w:right="709"/>
        <w:contextualSpacing/>
        <w:jc w:val="both"/>
        <w:rPr>
          <w:rFonts w:ascii="Arial" w:eastAsia="Calibri" w:hAnsi="Arial" w:cs="Arial"/>
          <w:sz w:val="21"/>
          <w:szCs w:val="21"/>
          <w:lang w:val="es-ES_tradnl"/>
        </w:rPr>
      </w:pPr>
      <w:r w:rsidRPr="00C16E79">
        <w:rPr>
          <w:rFonts w:ascii="Arial" w:eastAsia="Calibri" w:hAnsi="Arial" w:cs="Arial"/>
          <w:sz w:val="21"/>
          <w:szCs w:val="21"/>
          <w:lang w:val="es-ES_tradnl"/>
        </w:rPr>
        <w:t>La Sala de Consulta y Servicio Civil</w:t>
      </w:r>
      <w:r w:rsidRPr="00C16E79">
        <w:rPr>
          <w:rFonts w:ascii="Arial" w:eastAsia="Calibri" w:hAnsi="Arial" w:cs="Arial"/>
          <w:sz w:val="21"/>
          <w:szCs w:val="21"/>
          <w:vertAlign w:val="superscript"/>
          <w:lang w:val="es-ES_tradnl"/>
        </w:rPr>
        <w:footnoteReference w:id="30"/>
      </w:r>
      <w:r w:rsidRPr="00C16E79">
        <w:rPr>
          <w:rFonts w:ascii="Arial" w:eastAsia="Calibri" w:hAnsi="Arial" w:cs="Arial"/>
          <w:sz w:val="21"/>
          <w:szCs w:val="21"/>
          <w:lang w:val="es-ES_tradnl"/>
        </w:rPr>
        <w:t xml:space="preserve"> de esta Corporación se ha referido a los </w:t>
      </w:r>
      <w:r w:rsidRPr="00C16E79">
        <w:rPr>
          <w:rFonts w:ascii="Arial" w:eastAsia="Calibri" w:hAnsi="Arial" w:cs="Arial"/>
          <w:i/>
          <w:sz w:val="21"/>
          <w:szCs w:val="21"/>
          <w:lang w:val="es-ES_tradnl"/>
        </w:rPr>
        <w:t>“convenios interadministrativos”</w:t>
      </w:r>
      <w:r w:rsidRPr="00C16E79">
        <w:rPr>
          <w:rFonts w:ascii="Arial" w:eastAsia="Calibri" w:hAnsi="Arial" w:cs="Arial"/>
          <w:sz w:val="21"/>
          <w:szCs w:val="21"/>
          <w:lang w:val="es-ES_tradnl"/>
        </w:rPr>
        <w:t xml:space="preserve"> a los cuales alude el artículo 95 de la Ley 489 de 1998, calificándolos de </w:t>
      </w:r>
      <w:r w:rsidRPr="00C16E79">
        <w:rPr>
          <w:rFonts w:ascii="Arial" w:eastAsia="Calibri" w:hAnsi="Arial" w:cs="Arial"/>
          <w:i/>
          <w:sz w:val="21"/>
          <w:szCs w:val="21"/>
          <w:lang w:val="es-ES_tradnl"/>
        </w:rPr>
        <w:t xml:space="preserve">“puros” </w:t>
      </w:r>
      <w:r w:rsidRPr="00C16E79">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C16E79">
        <w:rPr>
          <w:rFonts w:ascii="Arial" w:eastAsia="Calibri" w:hAnsi="Arial" w:cs="Arial"/>
          <w:i/>
          <w:sz w:val="21"/>
          <w:szCs w:val="21"/>
          <w:lang w:val="es-ES_tradnl"/>
        </w:rPr>
        <w:t>“intercambio patrimonial”</w:t>
      </w:r>
      <w:r w:rsidRPr="00C16E79">
        <w:rPr>
          <w:rFonts w:ascii="Arial" w:eastAsia="Calibri" w:hAnsi="Arial" w:cs="Arial"/>
          <w:sz w:val="21"/>
          <w:szCs w:val="21"/>
          <w:lang w:val="es-ES_tradnl"/>
        </w:rPr>
        <w:t>. Sin perjuicio de lo anterior, en otra oportunidad, la misma Sala</w:t>
      </w:r>
      <w:r w:rsidRPr="00C16E79">
        <w:rPr>
          <w:rFonts w:ascii="Arial" w:eastAsia="Calibri" w:hAnsi="Arial" w:cs="Arial"/>
          <w:sz w:val="21"/>
          <w:szCs w:val="21"/>
          <w:vertAlign w:val="superscript"/>
          <w:lang w:val="es-ES_tradnl"/>
        </w:rPr>
        <w:footnoteReference w:id="31"/>
      </w:r>
      <w:r w:rsidRPr="00C16E79">
        <w:rPr>
          <w:rFonts w:ascii="Arial" w:eastAsia="Calibri" w:hAnsi="Arial" w:cs="Arial"/>
          <w:sz w:val="21"/>
          <w:szCs w:val="21"/>
          <w:lang w:val="es-ES_tradnl"/>
        </w:rPr>
        <w:t xml:space="preserve"> había indicado que, si bien en dichos convenios no se daba un </w:t>
      </w:r>
      <w:r w:rsidRPr="00C16E79">
        <w:rPr>
          <w:rFonts w:ascii="Arial" w:eastAsia="Calibri" w:hAnsi="Arial" w:cs="Arial"/>
          <w:i/>
          <w:sz w:val="21"/>
          <w:szCs w:val="21"/>
          <w:lang w:val="es-ES_tradnl"/>
        </w:rPr>
        <w:t>“verdadero intercambio de bienes o servicios (contrato conmutativo)”</w:t>
      </w:r>
      <w:r w:rsidRPr="00C16E79">
        <w:rPr>
          <w:rFonts w:ascii="Arial" w:eastAsia="Calibri" w:hAnsi="Arial" w:cs="Arial"/>
          <w:sz w:val="21"/>
          <w:szCs w:val="21"/>
          <w:lang w:val="es-ES_tradnl"/>
        </w:rPr>
        <w:t>, ello no impedía que se conviniera una remuneración a cargo de alguna(s) entidad(es).</w:t>
      </w:r>
    </w:p>
    <w:p w14:paraId="3A6F0CAF" w14:textId="77777777" w:rsidR="00420C9F" w:rsidRPr="00C16E79" w:rsidRDefault="00420C9F" w:rsidP="00420C9F">
      <w:pPr>
        <w:spacing w:after="0" w:line="240" w:lineRule="auto"/>
        <w:ind w:left="709" w:right="709"/>
        <w:contextualSpacing/>
        <w:jc w:val="both"/>
        <w:rPr>
          <w:rFonts w:ascii="Arial" w:eastAsia="Calibri" w:hAnsi="Arial" w:cs="Arial"/>
          <w:sz w:val="21"/>
          <w:szCs w:val="21"/>
          <w:lang w:val="es-ES_tradnl"/>
        </w:rPr>
      </w:pPr>
    </w:p>
    <w:p w14:paraId="51466BAB" w14:textId="77777777" w:rsidR="00420C9F" w:rsidRPr="00C16E79" w:rsidRDefault="00420C9F" w:rsidP="0018034D">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C16E79">
        <w:rPr>
          <w:rFonts w:ascii="Arial" w:eastAsia="Arial" w:hAnsi="Arial" w:cs="Arial"/>
          <w:sz w:val="21"/>
          <w:szCs w:val="21"/>
          <w:lang w:val="es-ES_tradnl" w:eastAsia="es-ES" w:bidi="es-ES"/>
        </w:rPr>
        <w:t xml:space="preserve">Lo expuesto evidencia que, en general, las interpretaciones en torno a los </w:t>
      </w:r>
      <w:r w:rsidRPr="00C16E79">
        <w:rPr>
          <w:rFonts w:ascii="Arial" w:eastAsia="Arial" w:hAnsi="Arial" w:cs="Arial"/>
          <w:i/>
          <w:sz w:val="21"/>
          <w:szCs w:val="21"/>
          <w:lang w:val="es-ES_tradnl" w:eastAsia="es-ES" w:bidi="es-ES"/>
        </w:rPr>
        <w:t>“convenios interadministrativos”</w:t>
      </w:r>
      <w:r w:rsidRPr="00C16E79">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16E79">
        <w:rPr>
          <w:rFonts w:ascii="Arial" w:eastAsia="Arial" w:hAnsi="Arial" w:cs="Arial"/>
          <w:sz w:val="21"/>
          <w:szCs w:val="21"/>
          <w:vertAlign w:val="superscript"/>
          <w:lang w:val="es-ES_tradnl" w:eastAsia="es-ES" w:bidi="es-ES"/>
        </w:rPr>
        <w:footnoteReference w:id="32"/>
      </w:r>
      <w:r>
        <w:rPr>
          <w:rFonts w:ascii="Arial" w:eastAsia="Arial" w:hAnsi="Arial" w:cs="Arial"/>
          <w:sz w:val="21"/>
          <w:szCs w:val="21"/>
          <w:lang w:val="es-ES_tradnl" w:eastAsia="es-ES" w:bidi="es-ES"/>
        </w:rPr>
        <w:t xml:space="preserve"> </w:t>
      </w:r>
      <w:r w:rsidRPr="00C16E79">
        <w:rPr>
          <w:rFonts w:ascii="Arial" w:eastAsia="Arial" w:hAnsi="Arial" w:cs="Arial"/>
          <w:sz w:val="21"/>
          <w:szCs w:val="21"/>
          <w:vertAlign w:val="superscript"/>
          <w:lang w:val="es-ES_tradnl" w:eastAsia="es-ES" w:bidi="es-ES"/>
        </w:rPr>
        <w:footnoteReference w:id="33"/>
      </w:r>
      <w:r w:rsidRPr="00C16E79">
        <w:rPr>
          <w:rFonts w:ascii="Arial" w:eastAsia="Arial" w:hAnsi="Arial" w:cs="Arial"/>
          <w:sz w:val="21"/>
          <w:szCs w:val="21"/>
          <w:lang w:val="es-ES_tradnl" w:eastAsia="es-ES" w:bidi="es-ES"/>
        </w:rPr>
        <w:t>.</w:t>
      </w:r>
    </w:p>
    <w:p w14:paraId="159D4DA6" w14:textId="77777777" w:rsidR="00420C9F" w:rsidRPr="00921225" w:rsidRDefault="00420C9F" w:rsidP="0018034D">
      <w:pPr>
        <w:widowControl w:val="0"/>
        <w:autoSpaceDE w:val="0"/>
        <w:autoSpaceDN w:val="0"/>
        <w:spacing w:after="0" w:line="276" w:lineRule="auto"/>
        <w:contextualSpacing/>
        <w:jc w:val="both"/>
        <w:rPr>
          <w:rFonts w:ascii="Arial" w:eastAsia="Arial" w:hAnsi="Arial" w:cs="Arial"/>
          <w:color w:val="FF0000"/>
          <w:lang w:val="es-ES" w:eastAsia="es-ES" w:bidi="es-ES"/>
        </w:rPr>
      </w:pPr>
    </w:p>
    <w:p w14:paraId="4EB89A91" w14:textId="77777777" w:rsidR="00420C9F" w:rsidRPr="00026A28" w:rsidRDefault="00420C9F" w:rsidP="00B44B46">
      <w:pPr>
        <w:widowControl w:val="0"/>
        <w:autoSpaceDE w:val="0"/>
        <w:autoSpaceDN w:val="0"/>
        <w:spacing w:after="120" w:line="276" w:lineRule="auto"/>
        <w:jc w:val="both"/>
        <w:rPr>
          <w:rFonts w:ascii="Arial" w:eastAsia="Arial" w:hAnsi="Arial" w:cs="Arial"/>
          <w:lang w:val="es-ES" w:eastAsia="es-ES" w:bidi="es-ES"/>
        </w:rPr>
      </w:pPr>
      <w:r w:rsidRPr="00921225">
        <w:rPr>
          <w:rFonts w:ascii="Arial" w:eastAsia="Arial" w:hAnsi="Arial" w:cs="Arial"/>
          <w:color w:val="FF0000"/>
          <w:lang w:val="es-ES" w:eastAsia="es-ES" w:bidi="es-ES"/>
        </w:rPr>
        <w:tab/>
      </w:r>
      <w:r w:rsidRPr="00026A28">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026A28">
        <w:rPr>
          <w:rFonts w:ascii="Arial" w:eastAsia="Arial" w:hAnsi="Arial" w:cs="Arial"/>
          <w:vertAlign w:val="superscript"/>
          <w:lang w:val="es-ES" w:eastAsia="es-ES" w:bidi="es-ES"/>
        </w:rPr>
        <w:footnoteReference w:id="34"/>
      </w:r>
      <w:r w:rsidRPr="00026A28">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026A28">
        <w:rPr>
          <w:rFonts w:ascii="Arial" w:eastAsia="Arial" w:hAnsi="Arial" w:cs="Arial"/>
          <w:vertAlign w:val="superscript"/>
          <w:lang w:val="es-ES" w:eastAsia="es-ES" w:bidi="es-ES"/>
        </w:rPr>
        <w:footnoteReference w:id="35"/>
      </w:r>
      <w:r w:rsidRPr="00026A28">
        <w:rPr>
          <w:rFonts w:ascii="Arial" w:eastAsia="Arial" w:hAnsi="Arial" w:cs="Arial"/>
          <w:lang w:val="es-ES" w:eastAsia="es-ES" w:bidi="es-ES"/>
        </w:rPr>
        <w:t>.</w:t>
      </w:r>
    </w:p>
    <w:p w14:paraId="1B0E8E89" w14:textId="77777777" w:rsidR="00420C9F" w:rsidRPr="00026A28" w:rsidRDefault="00420C9F" w:rsidP="00420C9F">
      <w:pPr>
        <w:widowControl w:val="0"/>
        <w:autoSpaceDE w:val="0"/>
        <w:autoSpaceDN w:val="0"/>
        <w:spacing w:after="0" w:line="276" w:lineRule="auto"/>
        <w:contextualSpacing/>
        <w:jc w:val="both"/>
        <w:rPr>
          <w:rFonts w:ascii="Arial" w:eastAsia="Arial" w:hAnsi="Arial" w:cs="Arial"/>
          <w:lang w:val="es-ES" w:eastAsia="es-ES" w:bidi="es-ES"/>
        </w:rPr>
      </w:pPr>
      <w:r w:rsidRPr="00026A28">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187ED9CA" w14:textId="77777777" w:rsidR="00420C9F" w:rsidRPr="00026A28" w:rsidRDefault="00420C9F" w:rsidP="00420C9F">
      <w:pPr>
        <w:widowControl w:val="0"/>
        <w:autoSpaceDE w:val="0"/>
        <w:autoSpaceDN w:val="0"/>
        <w:spacing w:after="0" w:line="276" w:lineRule="auto"/>
        <w:contextualSpacing/>
        <w:jc w:val="both"/>
        <w:rPr>
          <w:rFonts w:ascii="Arial" w:eastAsia="Arial" w:hAnsi="Arial" w:cs="Arial"/>
          <w:lang w:val="es-ES" w:eastAsia="es-ES" w:bidi="es-ES"/>
        </w:rPr>
      </w:pPr>
    </w:p>
    <w:p w14:paraId="5575E0D0" w14:textId="77777777" w:rsidR="00420C9F" w:rsidRPr="00F153B0" w:rsidRDefault="00420C9F" w:rsidP="00420C9F">
      <w:pPr>
        <w:spacing w:after="0" w:line="240" w:lineRule="auto"/>
        <w:ind w:left="709" w:right="709"/>
        <w:contextualSpacing/>
        <w:jc w:val="both"/>
        <w:rPr>
          <w:rFonts w:ascii="Arial" w:eastAsia="Calibri" w:hAnsi="Arial" w:cs="Arial"/>
          <w:sz w:val="21"/>
          <w:szCs w:val="21"/>
          <w:lang w:val="es-MX"/>
        </w:rPr>
      </w:pPr>
      <w:r w:rsidRPr="00F153B0">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153B0">
        <w:rPr>
          <w:rFonts w:ascii="Arial" w:eastAsia="Calibri" w:hAnsi="Arial" w:cs="Arial"/>
          <w:sz w:val="21"/>
          <w:szCs w:val="21"/>
          <w:lang w:val="es-MX"/>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63E81E0" w14:textId="77777777" w:rsidR="00420C9F" w:rsidRPr="00F153B0" w:rsidRDefault="00420C9F" w:rsidP="00420C9F">
      <w:pPr>
        <w:spacing w:after="0" w:line="240" w:lineRule="auto"/>
        <w:ind w:left="709" w:right="709"/>
        <w:contextualSpacing/>
        <w:jc w:val="both"/>
        <w:rPr>
          <w:rFonts w:ascii="Arial" w:eastAsia="Calibri" w:hAnsi="Arial" w:cs="Arial"/>
          <w:sz w:val="21"/>
          <w:szCs w:val="21"/>
          <w:lang w:val="es-MX"/>
        </w:rPr>
      </w:pPr>
    </w:p>
    <w:p w14:paraId="470940F2" w14:textId="77777777" w:rsidR="00420C9F" w:rsidRPr="00F153B0" w:rsidRDefault="00420C9F" w:rsidP="00420C9F">
      <w:pPr>
        <w:spacing w:after="120" w:line="240" w:lineRule="auto"/>
        <w:ind w:left="709" w:right="709"/>
        <w:jc w:val="both"/>
        <w:rPr>
          <w:rFonts w:ascii="Arial" w:eastAsia="Calibri" w:hAnsi="Arial" w:cs="Arial"/>
          <w:sz w:val="21"/>
          <w:szCs w:val="21"/>
          <w:lang w:val="es-MX"/>
        </w:rPr>
      </w:pPr>
      <w:r w:rsidRPr="00F153B0">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90D6432" w14:textId="77777777" w:rsidR="00420C9F" w:rsidRPr="00F153B0" w:rsidRDefault="00420C9F" w:rsidP="00420C9F">
      <w:pPr>
        <w:spacing w:after="0" w:line="240" w:lineRule="auto"/>
        <w:ind w:left="709" w:right="709"/>
        <w:contextualSpacing/>
        <w:jc w:val="both"/>
        <w:rPr>
          <w:rFonts w:ascii="Calibri" w:eastAsia="Calibri" w:hAnsi="Calibri" w:cs="Times New Roman"/>
          <w:sz w:val="24"/>
          <w:lang w:val="es-MX"/>
        </w:rPr>
      </w:pPr>
      <w:r w:rsidRPr="00F153B0">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1C9BBAA" w14:textId="77777777" w:rsidR="00420C9F" w:rsidRPr="00921225" w:rsidRDefault="00420C9F" w:rsidP="00420C9F">
      <w:pPr>
        <w:widowControl w:val="0"/>
        <w:autoSpaceDE w:val="0"/>
        <w:autoSpaceDN w:val="0"/>
        <w:spacing w:after="0" w:line="276" w:lineRule="auto"/>
        <w:contextualSpacing/>
        <w:jc w:val="both"/>
        <w:rPr>
          <w:rFonts w:ascii="Arial" w:eastAsia="Arial" w:hAnsi="Arial" w:cs="Arial"/>
          <w:color w:val="FF0000"/>
          <w:lang w:val="es-ES" w:eastAsia="es-ES" w:bidi="es-ES"/>
        </w:rPr>
      </w:pPr>
    </w:p>
    <w:p w14:paraId="53313901" w14:textId="77777777" w:rsidR="00420C9F" w:rsidRPr="009250CE" w:rsidRDefault="00420C9F" w:rsidP="00420C9F">
      <w:pPr>
        <w:widowControl w:val="0"/>
        <w:autoSpaceDE w:val="0"/>
        <w:autoSpaceDN w:val="0"/>
        <w:spacing w:after="120" w:line="276" w:lineRule="auto"/>
        <w:jc w:val="both"/>
        <w:rPr>
          <w:rFonts w:ascii="Arial" w:eastAsia="Calibri" w:hAnsi="Arial" w:cs="Arial"/>
          <w:bCs/>
          <w:lang w:eastAsia="es-ES" w:bidi="es-ES"/>
        </w:rPr>
      </w:pPr>
      <w:r w:rsidRPr="00921225">
        <w:rPr>
          <w:rFonts w:ascii="Arial" w:eastAsia="Arial" w:hAnsi="Arial" w:cs="Arial"/>
          <w:color w:val="FF0000"/>
          <w:sz w:val="25"/>
          <w:lang w:val="es-ES" w:eastAsia="es-ES" w:bidi="es-ES"/>
        </w:rPr>
        <w:tab/>
      </w:r>
      <w:r w:rsidRPr="009250CE">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5"/>
    </w:p>
    <w:p w14:paraId="2264C9CF" w14:textId="77777777" w:rsidR="00420C9F" w:rsidRPr="009250CE" w:rsidRDefault="00420C9F" w:rsidP="00420C9F">
      <w:pPr>
        <w:tabs>
          <w:tab w:val="left" w:pos="426"/>
        </w:tabs>
        <w:spacing w:after="120" w:line="276" w:lineRule="auto"/>
        <w:ind w:firstLine="709"/>
        <w:jc w:val="both"/>
        <w:rPr>
          <w:rFonts w:ascii="Arial" w:eastAsia="Times New Roman" w:hAnsi="Arial" w:cs="Arial"/>
          <w:bCs/>
          <w:lang w:val="es-MX" w:eastAsia="es-CO"/>
        </w:rPr>
      </w:pPr>
      <w:r w:rsidRPr="009250CE">
        <w:rPr>
          <w:rFonts w:ascii="Arial" w:eastAsia="Times New Roman" w:hAnsi="Arial" w:cs="Arial"/>
          <w:bCs/>
          <w:lang w:eastAsia="es-CO"/>
        </w:rPr>
        <w:t xml:space="preserve">Se observa entonces que </w:t>
      </w:r>
      <w:r w:rsidRPr="009250CE">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250CE">
        <w:rPr>
          <w:rFonts w:ascii="Arial" w:eastAsia="Times New Roman" w:hAnsi="Arial" w:cs="Arial"/>
          <w:bCs/>
          <w:i/>
          <w:iCs/>
          <w:lang w:val="es-MX" w:eastAsia="es-CO"/>
        </w:rPr>
        <w:t>ibidem</w:t>
      </w:r>
      <w:r w:rsidRPr="009250CE">
        <w:rPr>
          <w:rFonts w:ascii="Arial" w:eastAsia="Times New Roman" w:hAnsi="Arial" w:cs="Arial"/>
          <w:bCs/>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9250CE">
        <w:rPr>
          <w:rFonts w:ascii="Arial" w:eastAsia="Calibri" w:hAnsi="Arial" w:cs="Arial"/>
          <w:bCs/>
          <w:vertAlign w:val="superscript"/>
          <w:lang w:val="es-MX" w:eastAsia="es-CO"/>
        </w:rPr>
        <w:footnoteReference w:id="36"/>
      </w:r>
      <w:r w:rsidRPr="009250CE">
        <w:rPr>
          <w:rFonts w:ascii="Arial" w:eastAsia="Times New Roman" w:hAnsi="Arial" w:cs="Arial"/>
          <w:bCs/>
          <w:lang w:val="es-MX" w:eastAsia="es-CO"/>
        </w:rPr>
        <w:t xml:space="preserve">. </w:t>
      </w:r>
    </w:p>
    <w:p w14:paraId="007B01C1" w14:textId="3C799949" w:rsidR="00B64E72" w:rsidRDefault="00420C9F" w:rsidP="00AF16B1">
      <w:pPr>
        <w:widowControl w:val="0"/>
        <w:autoSpaceDE w:val="0"/>
        <w:autoSpaceDN w:val="0"/>
        <w:spacing w:after="0" w:line="276" w:lineRule="auto"/>
        <w:ind w:firstLine="709"/>
        <w:contextualSpacing/>
        <w:jc w:val="both"/>
        <w:rPr>
          <w:rFonts w:ascii="Arial" w:eastAsia="Calibri" w:hAnsi="Arial" w:cs="Arial"/>
          <w:lang w:eastAsia="es-ES" w:bidi="es-ES"/>
        </w:rPr>
      </w:pPr>
      <w:r w:rsidRPr="0075519E">
        <w:rPr>
          <w:rFonts w:ascii="Arial" w:eastAsia="Times New Roman" w:hAnsi="Arial" w:cs="Arial"/>
          <w:bCs/>
          <w:lang w:val="es-ES" w:eastAsia="es-CO" w:bidi="es-ES"/>
        </w:rPr>
        <w:t>En todo caso</w:t>
      </w:r>
      <w:bookmarkStart w:id="56" w:name="_Hlk77154098"/>
      <w:r w:rsidRPr="0075519E">
        <w:rPr>
          <w:rFonts w:ascii="Arial" w:eastAsia="Arial" w:hAnsi="Arial" w:cs="Arial"/>
          <w:lang w:val="es-ES" w:eastAsia="es-ES" w:bidi="es-ES"/>
        </w:rPr>
        <w:t xml:space="preserve">, es importante resaltar que la Sala de Consulta y Servicio Civil del Consejo de Estado se ha pronunciado en el sentido de que </w:t>
      </w:r>
      <w:bookmarkStart w:id="57" w:name="_Hlk78820889"/>
      <w:r w:rsidRPr="0075519E">
        <w:rPr>
          <w:rFonts w:ascii="Arial" w:eastAsia="Arial" w:hAnsi="Arial" w:cs="Arial"/>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7"/>
      <w:r w:rsidRPr="0075519E">
        <w:rPr>
          <w:rFonts w:ascii="Arial" w:eastAsia="Arial" w:hAnsi="Arial" w:cs="Arial"/>
          <w:vertAlign w:val="superscript"/>
          <w:lang w:val="es-ES" w:eastAsia="es-ES" w:bidi="es-ES"/>
        </w:rPr>
        <w:footnoteReference w:id="37"/>
      </w:r>
      <w:r w:rsidRPr="0075519E">
        <w:rPr>
          <w:rFonts w:ascii="Arial" w:eastAsia="Calibri" w:hAnsi="Arial" w:cs="Arial"/>
          <w:lang w:eastAsia="es-ES" w:bidi="es-ES"/>
        </w:rPr>
        <w:t>.</w:t>
      </w:r>
      <w:bookmarkEnd w:id="48"/>
      <w:bookmarkEnd w:id="56"/>
    </w:p>
    <w:p w14:paraId="1FFA5DCA" w14:textId="77777777" w:rsidR="00AF16B1" w:rsidRDefault="00AF16B1" w:rsidP="00AF16B1">
      <w:pPr>
        <w:widowControl w:val="0"/>
        <w:autoSpaceDE w:val="0"/>
        <w:autoSpaceDN w:val="0"/>
        <w:spacing w:after="0" w:line="276" w:lineRule="auto"/>
        <w:ind w:firstLine="709"/>
        <w:contextualSpacing/>
        <w:jc w:val="both"/>
        <w:rPr>
          <w:rFonts w:ascii="Arial" w:eastAsia="Calibri" w:hAnsi="Arial" w:cs="Arial"/>
          <w:lang w:eastAsia="es-ES" w:bidi="es-ES"/>
        </w:rPr>
      </w:pPr>
    </w:p>
    <w:p w14:paraId="1FE148EE" w14:textId="4B35A1E4" w:rsidR="00AF16B1" w:rsidRPr="009D79A0" w:rsidRDefault="00AF16B1" w:rsidP="00AF16B1">
      <w:pPr>
        <w:spacing w:after="0" w:line="276" w:lineRule="auto"/>
        <w:contextualSpacing/>
        <w:jc w:val="both"/>
        <w:rPr>
          <w:rFonts w:ascii="Arial" w:eastAsia="Calibri" w:hAnsi="Arial" w:cs="Arial"/>
          <w:b/>
          <w:bCs/>
          <w:lang w:val="es-MX"/>
        </w:rPr>
      </w:pPr>
      <w:bookmarkStart w:id="58" w:name="_Hlk98499682"/>
      <w:r>
        <w:rPr>
          <w:rFonts w:ascii="Arial" w:eastAsia="Calibri" w:hAnsi="Arial" w:cs="Arial"/>
          <w:b/>
          <w:bCs/>
          <w:lang w:val="es-MX"/>
        </w:rPr>
        <w:t xml:space="preserve">2.5. </w:t>
      </w:r>
      <w:r>
        <w:rPr>
          <w:rFonts w:ascii="Arial" w:eastAsia="Times New Roman" w:hAnsi="Arial" w:cs="Arial"/>
          <w:b/>
          <w:bCs/>
          <w:lang w:val="es-MX" w:eastAsia="es-CO"/>
        </w:rPr>
        <w:t>Aplicación de la Ley de Garantías a los Memo</w:t>
      </w:r>
      <w:r w:rsidR="00A03DE1">
        <w:rPr>
          <w:rFonts w:ascii="Arial" w:eastAsia="Times New Roman" w:hAnsi="Arial" w:cs="Arial"/>
          <w:b/>
          <w:bCs/>
          <w:lang w:val="es-MX" w:eastAsia="es-CO"/>
        </w:rPr>
        <w:t>randos de Entendimiento</w:t>
      </w:r>
      <w:r w:rsidRPr="009D79A0">
        <w:rPr>
          <w:rFonts w:ascii="Arial" w:eastAsia="Times New Roman" w:hAnsi="Arial" w:cs="Arial"/>
          <w:b/>
          <w:bCs/>
          <w:lang w:val="es-MX" w:eastAsia="es-CO"/>
        </w:rPr>
        <w:t xml:space="preserve"> </w:t>
      </w:r>
    </w:p>
    <w:p w14:paraId="390707B1" w14:textId="455C5AA5" w:rsidR="00476ECF" w:rsidRDefault="00476ECF" w:rsidP="0011054E">
      <w:pPr>
        <w:widowControl w:val="0"/>
        <w:autoSpaceDE w:val="0"/>
        <w:autoSpaceDN w:val="0"/>
        <w:spacing w:after="0" w:line="276" w:lineRule="auto"/>
        <w:ind w:firstLine="709"/>
        <w:contextualSpacing/>
        <w:jc w:val="both"/>
        <w:rPr>
          <w:rFonts w:ascii="Arial" w:eastAsia="Calibri" w:hAnsi="Arial" w:cs="Arial"/>
          <w:bCs/>
        </w:rPr>
      </w:pPr>
    </w:p>
    <w:p w14:paraId="51BAEFB8" w14:textId="53964D4D" w:rsidR="00476ECF" w:rsidRPr="00B654C3" w:rsidRDefault="00A03DE1" w:rsidP="00A03DE1">
      <w:pPr>
        <w:widowControl w:val="0"/>
        <w:autoSpaceDE w:val="0"/>
        <w:autoSpaceDN w:val="0"/>
        <w:spacing w:after="120" w:line="276" w:lineRule="auto"/>
        <w:jc w:val="both"/>
        <w:rPr>
          <w:rFonts w:ascii="Arial" w:eastAsia="Arial" w:hAnsi="Arial" w:cs="Arial"/>
          <w:lang w:val="es-ES" w:eastAsia="es-ES" w:bidi="es-ES"/>
        </w:rPr>
      </w:pPr>
      <w:bookmarkStart w:id="59" w:name="_Hlk98867155"/>
      <w:r w:rsidRPr="00B654C3">
        <w:rPr>
          <w:rFonts w:ascii="Arial" w:eastAsia="Arial" w:hAnsi="Arial" w:cs="Arial"/>
          <w:lang w:val="es-ES" w:eastAsia="es-ES" w:bidi="es-ES"/>
        </w:rPr>
        <w:t>Los memorandos de entendimientos son</w:t>
      </w:r>
      <w:r w:rsidR="00476ECF" w:rsidRPr="00B654C3">
        <w:rPr>
          <w:rFonts w:ascii="Arial" w:eastAsia="Arial" w:hAnsi="Arial" w:cs="Arial"/>
          <w:lang w:val="es-ES" w:eastAsia="es-ES" w:bidi="es-ES"/>
        </w:rPr>
        <w:t xml:space="preserve"> instrumento</w:t>
      </w:r>
      <w:r w:rsidRPr="00B654C3">
        <w:rPr>
          <w:rFonts w:ascii="Arial" w:eastAsia="Arial" w:hAnsi="Arial" w:cs="Arial"/>
          <w:lang w:val="es-ES" w:eastAsia="es-ES" w:bidi="es-ES"/>
        </w:rPr>
        <w:t>s</w:t>
      </w:r>
      <w:r w:rsidR="00476ECF" w:rsidRPr="00B654C3">
        <w:rPr>
          <w:rFonts w:ascii="Arial" w:eastAsia="Arial" w:hAnsi="Arial" w:cs="Arial"/>
          <w:lang w:val="es-ES" w:eastAsia="es-ES" w:bidi="es-ES"/>
        </w:rPr>
        <w:t xml:space="preserve"> simplificado</w:t>
      </w:r>
      <w:r w:rsidRPr="00B654C3">
        <w:rPr>
          <w:rFonts w:ascii="Arial" w:eastAsia="Arial" w:hAnsi="Arial" w:cs="Arial"/>
          <w:lang w:val="es-ES" w:eastAsia="es-ES" w:bidi="es-ES"/>
        </w:rPr>
        <w:t>s</w:t>
      </w:r>
      <w:r w:rsidR="00476ECF" w:rsidRPr="00B654C3">
        <w:rPr>
          <w:rFonts w:ascii="Arial" w:eastAsia="Arial" w:hAnsi="Arial" w:cs="Arial"/>
          <w:lang w:val="es-ES" w:eastAsia="es-ES" w:bidi="es-ES"/>
        </w:rPr>
        <w:t xml:space="preserve"> en l</w:t>
      </w:r>
      <w:r w:rsidRPr="00B654C3">
        <w:rPr>
          <w:rFonts w:ascii="Arial" w:eastAsia="Arial" w:hAnsi="Arial" w:cs="Arial"/>
          <w:lang w:val="es-ES" w:eastAsia="es-ES" w:bidi="es-ES"/>
        </w:rPr>
        <w:t>os</w:t>
      </w:r>
      <w:r w:rsidR="00476ECF" w:rsidRPr="00B654C3">
        <w:rPr>
          <w:rFonts w:ascii="Arial" w:eastAsia="Arial" w:hAnsi="Arial" w:cs="Arial"/>
          <w:lang w:val="es-ES" w:eastAsia="es-ES" w:bidi="es-ES"/>
        </w:rPr>
        <w:t xml:space="preserve"> cual</w:t>
      </w:r>
      <w:r w:rsidRPr="00B654C3">
        <w:rPr>
          <w:rFonts w:ascii="Arial" w:eastAsia="Arial" w:hAnsi="Arial" w:cs="Arial"/>
          <w:lang w:val="es-ES" w:eastAsia="es-ES" w:bidi="es-ES"/>
        </w:rPr>
        <w:t>es</w:t>
      </w:r>
      <w:r w:rsidR="00476ECF" w:rsidRPr="00B654C3">
        <w:rPr>
          <w:rFonts w:ascii="Arial" w:eastAsia="Arial" w:hAnsi="Arial" w:cs="Arial"/>
          <w:lang w:val="es-ES" w:eastAsia="es-ES" w:bidi="es-ES"/>
        </w:rPr>
        <w:t xml:space="preserve"> se incluyen intenciones, compromisos, aspiraciones, propósitos o </w:t>
      </w:r>
      <w:r w:rsidRPr="00B654C3">
        <w:rPr>
          <w:rFonts w:ascii="Arial" w:eastAsia="Arial" w:hAnsi="Arial" w:cs="Arial"/>
          <w:lang w:val="es-ES" w:eastAsia="es-ES" w:bidi="es-ES"/>
        </w:rPr>
        <w:t>se</w:t>
      </w:r>
      <w:r w:rsidR="00476ECF" w:rsidRPr="00B654C3">
        <w:rPr>
          <w:rFonts w:ascii="Arial" w:eastAsia="Arial" w:hAnsi="Arial" w:cs="Arial"/>
          <w:lang w:val="es-ES" w:eastAsia="es-ES" w:bidi="es-ES"/>
        </w:rPr>
        <w:t xml:space="preserve"> desarrollan instrumentos preexistentes. En los mismos no se contemplan obligaciones de comportamiento reales, ni términos imperativos u obligacionales, sino más bien clausulas programáticas que suelen contener simples exhortaciones o declaraciones de intención</w:t>
      </w:r>
      <w:bookmarkEnd w:id="59"/>
      <w:r w:rsidR="00476ECF" w:rsidRPr="00B654C3">
        <w:rPr>
          <w:rFonts w:ascii="Arial" w:eastAsia="Arial" w:hAnsi="Arial" w:cs="Arial"/>
          <w:vertAlign w:val="superscript"/>
          <w:lang w:val="es-ES" w:eastAsia="es-ES" w:bidi="es-ES"/>
        </w:rPr>
        <w:footnoteReference w:id="38"/>
      </w:r>
      <w:r w:rsidRPr="00B654C3">
        <w:rPr>
          <w:rFonts w:ascii="Arial" w:eastAsia="Arial" w:hAnsi="Arial" w:cs="Arial"/>
          <w:lang w:val="es-ES" w:eastAsia="es-ES" w:bidi="es-ES"/>
        </w:rPr>
        <w:t xml:space="preserve">. </w:t>
      </w:r>
      <w:r w:rsidR="00476ECF" w:rsidRPr="00B654C3">
        <w:rPr>
          <w:rFonts w:ascii="Arial" w:eastAsia="Arial" w:hAnsi="Arial" w:cs="Arial"/>
          <w:lang w:val="es-ES" w:eastAsia="es-ES" w:bidi="es-ES"/>
        </w:rPr>
        <w:t xml:space="preserve">Las normas que regulan los memorandos de entendimiento o cartas de intención corresponden a aquellas que de manera general le asignan las funciones a las Entidades Estatales. </w:t>
      </w:r>
      <w:bookmarkStart w:id="60" w:name="_Hlk98867197"/>
      <w:r w:rsidR="00476ECF" w:rsidRPr="00B654C3">
        <w:rPr>
          <w:rFonts w:ascii="Arial" w:eastAsia="Arial" w:hAnsi="Arial" w:cs="Arial"/>
          <w:lang w:val="es-ES" w:eastAsia="es-ES" w:bidi="es-ES"/>
        </w:rPr>
        <w:t>En este orden de ideas, este tipo de acuerdos no tienen el alcance de contrato estatal</w:t>
      </w:r>
      <w:r w:rsidRPr="00B654C3">
        <w:rPr>
          <w:rFonts w:ascii="Arial" w:eastAsia="Arial" w:hAnsi="Arial" w:cs="Arial"/>
          <w:lang w:val="es-ES" w:eastAsia="es-ES" w:bidi="es-ES"/>
        </w:rPr>
        <w:t xml:space="preserve">, </w:t>
      </w:r>
      <w:r w:rsidR="00476ECF" w:rsidRPr="00B654C3">
        <w:rPr>
          <w:rFonts w:ascii="Arial" w:eastAsia="Arial" w:hAnsi="Arial" w:cs="Arial"/>
          <w:lang w:val="es-ES" w:eastAsia="es-ES" w:bidi="es-ES"/>
        </w:rPr>
        <w:t>en la medida en que no generan obligaciones para quienes lo suscriben, en consecuencia, no están sujetos a la normativa del Sistema de Compra Pública</w:t>
      </w:r>
      <w:bookmarkEnd w:id="60"/>
      <w:r w:rsidRPr="00B654C3">
        <w:rPr>
          <w:rStyle w:val="Refdenotaalpie"/>
          <w:rFonts w:ascii="Arial" w:eastAsia="Arial" w:hAnsi="Arial" w:cs="Arial"/>
          <w:lang w:val="es-ES" w:eastAsia="es-ES" w:bidi="es-ES"/>
        </w:rPr>
        <w:footnoteReference w:id="39"/>
      </w:r>
      <w:r w:rsidR="00476ECF" w:rsidRPr="00B654C3">
        <w:rPr>
          <w:rFonts w:ascii="Arial" w:eastAsia="Arial" w:hAnsi="Arial" w:cs="Arial"/>
          <w:lang w:val="es-ES" w:eastAsia="es-ES" w:bidi="es-ES"/>
        </w:rPr>
        <w:t xml:space="preserve">. </w:t>
      </w:r>
    </w:p>
    <w:p w14:paraId="1B204A25" w14:textId="4474DE59" w:rsidR="00A03DE1" w:rsidRPr="00B654C3" w:rsidRDefault="00476ECF" w:rsidP="00A03DE1">
      <w:pPr>
        <w:widowControl w:val="0"/>
        <w:autoSpaceDE w:val="0"/>
        <w:autoSpaceDN w:val="0"/>
        <w:spacing w:after="120" w:line="276" w:lineRule="auto"/>
        <w:ind w:firstLine="709"/>
        <w:jc w:val="both"/>
        <w:rPr>
          <w:rFonts w:ascii="Arial" w:eastAsia="Arial" w:hAnsi="Arial" w:cs="Arial"/>
          <w:lang w:val="es-ES" w:eastAsia="es-ES" w:bidi="es-ES"/>
        </w:rPr>
      </w:pPr>
      <w:r w:rsidRPr="00B654C3">
        <w:rPr>
          <w:rFonts w:ascii="Arial" w:eastAsia="Arial" w:hAnsi="Arial" w:cs="Arial"/>
          <w:lang w:val="es-ES" w:eastAsia="es-ES" w:bidi="es-ES"/>
        </w:rPr>
        <w:t xml:space="preserve">Al ser un documento a través del cual se materializan lineamientos o acuerdos puntales con al ánimo de culminar en un futuro y eventual un acuerdo final, su celebración, condiciones y reglas dependen de las necesidades particulares de cada uno de sus firmantes. </w:t>
      </w:r>
    </w:p>
    <w:p w14:paraId="5282D87E" w14:textId="5F2BDF00" w:rsidR="00A03DE1" w:rsidRPr="00B654C3" w:rsidRDefault="00A03DE1" w:rsidP="00A03DE1">
      <w:pPr>
        <w:widowControl w:val="0"/>
        <w:autoSpaceDE w:val="0"/>
        <w:autoSpaceDN w:val="0"/>
        <w:spacing w:after="120" w:line="276" w:lineRule="auto"/>
        <w:ind w:firstLine="709"/>
        <w:jc w:val="both"/>
        <w:rPr>
          <w:rFonts w:ascii="Arial" w:eastAsia="Arial" w:hAnsi="Arial" w:cs="Arial"/>
          <w:lang w:val="es-ES" w:eastAsia="es-ES" w:bidi="es-ES"/>
        </w:rPr>
      </w:pPr>
      <w:r w:rsidRPr="00B654C3">
        <w:rPr>
          <w:rFonts w:ascii="Arial" w:eastAsia="Arial" w:hAnsi="Arial" w:cs="Arial"/>
          <w:lang w:val="es-ES" w:eastAsia="es-ES" w:bidi="es-ES"/>
        </w:rPr>
        <w:t xml:space="preserve">Ahora bien, </w:t>
      </w:r>
      <w:bookmarkStart w:id="61" w:name="_Hlk98867245"/>
      <w:r w:rsidR="001B0BCD" w:rsidRPr="00B654C3">
        <w:rPr>
          <w:rFonts w:ascii="Arial" w:eastAsia="Arial" w:hAnsi="Arial" w:cs="Arial"/>
          <w:lang w:val="es-ES" w:eastAsia="es-ES" w:bidi="es-ES"/>
        </w:rPr>
        <w:t>conforme lo ha señalado esta Agencia</w:t>
      </w:r>
      <w:r w:rsidR="00C73FAD">
        <w:rPr>
          <w:rFonts w:ascii="Arial" w:eastAsia="Arial" w:hAnsi="Arial" w:cs="Arial"/>
          <w:lang w:val="es-ES" w:eastAsia="es-ES" w:bidi="es-ES"/>
        </w:rPr>
        <w:t>,</w:t>
      </w:r>
      <w:r w:rsidR="001B0BCD" w:rsidRPr="00B654C3">
        <w:rPr>
          <w:rFonts w:ascii="Arial" w:eastAsia="Arial" w:hAnsi="Arial" w:cs="Arial"/>
          <w:lang w:val="es-ES" w:eastAsia="es-ES" w:bidi="es-ES"/>
        </w:rPr>
        <w:t xml:space="preserve"> en la respuesta a la </w:t>
      </w:r>
      <w:r w:rsidR="001B0BCD" w:rsidRPr="00B654C3">
        <w:rPr>
          <w:rFonts w:ascii="Arial" w:hAnsi="Arial" w:cs="Arial"/>
        </w:rPr>
        <w:t>consulta número 4201813000001079,</w:t>
      </w:r>
      <w:r w:rsidR="001B0BCD" w:rsidRPr="00B654C3">
        <w:rPr>
          <w:rFonts w:ascii="Arial" w:eastAsia="Arial" w:hAnsi="Arial" w:cs="Arial"/>
          <w:lang w:val="es-ES" w:eastAsia="es-ES" w:bidi="es-ES"/>
        </w:rPr>
        <w:t xml:space="preserve"> </w:t>
      </w:r>
      <w:r w:rsidRPr="00B654C3">
        <w:rPr>
          <w:rFonts w:ascii="Arial" w:eastAsia="Arial" w:hAnsi="Arial" w:cs="Arial"/>
          <w:lang w:val="es-ES" w:eastAsia="es-ES" w:bidi="es-ES"/>
        </w:rPr>
        <w:t xml:space="preserve">los memorandos de entendimiento </w:t>
      </w:r>
      <w:r w:rsidR="001B0BCD" w:rsidRPr="00B654C3">
        <w:rPr>
          <w:rFonts w:ascii="Arial" w:eastAsia="Arial" w:hAnsi="Arial" w:cs="Arial"/>
          <w:lang w:val="es-ES" w:eastAsia="es-ES" w:bidi="es-ES"/>
        </w:rPr>
        <w:t xml:space="preserve">al no tener </w:t>
      </w:r>
      <w:r w:rsidRPr="00B654C3">
        <w:rPr>
          <w:rFonts w:ascii="Arial" w:eastAsia="Arial" w:hAnsi="Arial" w:cs="Arial"/>
          <w:lang w:val="es-ES" w:eastAsia="es-ES" w:bidi="es-ES"/>
        </w:rPr>
        <w:t>el alcance de contrato estatal</w:t>
      </w:r>
      <w:r w:rsidR="001B0BCD" w:rsidRPr="00B654C3">
        <w:rPr>
          <w:rFonts w:ascii="Arial" w:eastAsia="Arial" w:hAnsi="Arial" w:cs="Arial"/>
          <w:lang w:val="es-ES" w:eastAsia="es-ES" w:bidi="es-ES"/>
        </w:rPr>
        <w:t xml:space="preserve">, debido a que no generan </w:t>
      </w:r>
      <w:r w:rsidRPr="00B654C3">
        <w:rPr>
          <w:rFonts w:ascii="Arial" w:eastAsia="Arial" w:hAnsi="Arial" w:cs="Arial"/>
          <w:lang w:val="es-ES" w:eastAsia="es-ES" w:bidi="es-ES"/>
        </w:rPr>
        <w:t>obligaciones para las partes y, por lo tanto, al no estar contemplados en la normativa del Sistema de Compra Pública, no se les aplica las restricciones contempladas por la Ley de Garantías</w:t>
      </w:r>
      <w:r w:rsidR="001B0BCD" w:rsidRPr="00B654C3">
        <w:rPr>
          <w:rFonts w:ascii="Arial" w:eastAsia="Arial" w:hAnsi="Arial" w:cs="Arial"/>
          <w:lang w:val="es-ES" w:eastAsia="es-ES" w:bidi="es-ES"/>
        </w:rPr>
        <w:t xml:space="preserve"> Electorales</w:t>
      </w:r>
      <w:r w:rsidRPr="00B654C3">
        <w:rPr>
          <w:rFonts w:ascii="Arial" w:eastAsia="Arial" w:hAnsi="Arial" w:cs="Arial"/>
          <w:lang w:val="es-ES" w:eastAsia="es-ES" w:bidi="es-ES"/>
        </w:rPr>
        <w:t>.</w:t>
      </w:r>
    </w:p>
    <w:bookmarkEnd w:id="61"/>
    <w:p w14:paraId="47DDB87C" w14:textId="2F90C74D" w:rsidR="00476ECF" w:rsidRPr="00B654C3" w:rsidRDefault="001B0BCD" w:rsidP="00C73FAD">
      <w:pPr>
        <w:widowControl w:val="0"/>
        <w:autoSpaceDE w:val="0"/>
        <w:autoSpaceDN w:val="0"/>
        <w:spacing w:after="0" w:line="276" w:lineRule="auto"/>
        <w:ind w:firstLine="709"/>
        <w:contextualSpacing/>
        <w:jc w:val="both"/>
        <w:rPr>
          <w:rFonts w:ascii="Arial" w:eastAsia="Arial" w:hAnsi="Arial" w:cs="Arial"/>
          <w:lang w:val="es-ES" w:eastAsia="es-ES" w:bidi="es-ES"/>
        </w:rPr>
      </w:pPr>
      <w:r w:rsidRPr="00B654C3">
        <w:rPr>
          <w:rFonts w:ascii="Arial" w:eastAsia="Arial" w:hAnsi="Arial" w:cs="Arial"/>
          <w:lang w:val="es-ES" w:eastAsia="es-ES" w:bidi="es-ES"/>
        </w:rPr>
        <w:t xml:space="preserve">No </w:t>
      </w:r>
      <w:r w:rsidR="00A46D5C" w:rsidRPr="00B654C3">
        <w:rPr>
          <w:rFonts w:ascii="Arial" w:eastAsia="Arial" w:hAnsi="Arial" w:cs="Arial"/>
          <w:lang w:val="es-ES" w:eastAsia="es-ES" w:bidi="es-ES"/>
        </w:rPr>
        <w:t>obstante,</w:t>
      </w:r>
      <w:r w:rsidRPr="00B654C3">
        <w:rPr>
          <w:rFonts w:ascii="Arial" w:eastAsia="Arial" w:hAnsi="Arial" w:cs="Arial"/>
          <w:lang w:val="es-ES" w:eastAsia="es-ES" w:bidi="es-ES"/>
        </w:rPr>
        <w:t xml:space="preserve"> </w:t>
      </w:r>
      <w:r w:rsidR="00476ECF" w:rsidRPr="00B654C3">
        <w:rPr>
          <w:rFonts w:ascii="Arial" w:eastAsia="Arial" w:hAnsi="Arial" w:cs="Arial"/>
          <w:lang w:val="es-ES" w:eastAsia="es-ES" w:bidi="es-ES"/>
        </w:rPr>
        <w:t xml:space="preserve">se debe tener presente que lo que determina la naturaleza jurídica de un documento suscrito por dos partes es el contenido </w:t>
      </w:r>
      <w:proofErr w:type="gramStart"/>
      <w:r w:rsidR="00476ECF" w:rsidRPr="00B654C3">
        <w:rPr>
          <w:rFonts w:ascii="Arial" w:eastAsia="Arial" w:hAnsi="Arial" w:cs="Arial"/>
          <w:lang w:val="es-ES" w:eastAsia="es-ES" w:bidi="es-ES"/>
        </w:rPr>
        <w:t>del mismo</w:t>
      </w:r>
      <w:proofErr w:type="gramEnd"/>
      <w:r w:rsidR="00476ECF" w:rsidRPr="00B654C3">
        <w:rPr>
          <w:rFonts w:ascii="Arial" w:eastAsia="Arial" w:hAnsi="Arial" w:cs="Arial"/>
          <w:lang w:val="es-ES" w:eastAsia="es-ES" w:bidi="es-ES"/>
        </w:rPr>
        <w:t xml:space="preserve"> y no la denominación que se le dé</w:t>
      </w:r>
      <w:r w:rsidRPr="00B654C3">
        <w:rPr>
          <w:rFonts w:ascii="Arial" w:eastAsia="Arial" w:hAnsi="Arial" w:cs="Arial"/>
          <w:lang w:val="es-ES" w:eastAsia="es-ES" w:bidi="es-ES"/>
        </w:rPr>
        <w:t xml:space="preserve">. Así las cosas, </w:t>
      </w:r>
      <w:r w:rsidR="00476ECF" w:rsidRPr="00B654C3">
        <w:rPr>
          <w:rFonts w:ascii="Arial" w:eastAsia="Arial" w:hAnsi="Arial" w:cs="Arial"/>
          <w:lang w:val="es-ES" w:eastAsia="es-ES" w:bidi="es-ES"/>
        </w:rPr>
        <w:t xml:space="preserve">si un acuerdo de voluntades denominado memorando de entendimiento, implica el cumplimiento de obligaciones reales para las partes que van más allá de la intención de llevar a cabo un propósito común o implica que la </w:t>
      </w:r>
      <w:r w:rsidR="00C73FAD" w:rsidRPr="00B654C3">
        <w:rPr>
          <w:rFonts w:ascii="Arial" w:eastAsia="Arial" w:hAnsi="Arial" w:cs="Arial"/>
          <w:lang w:val="es-ES" w:eastAsia="es-ES" w:bidi="es-ES"/>
        </w:rPr>
        <w:t xml:space="preserve">entidad estatal </w:t>
      </w:r>
      <w:r w:rsidR="00476ECF" w:rsidRPr="00B654C3">
        <w:rPr>
          <w:rFonts w:ascii="Arial" w:eastAsia="Arial" w:hAnsi="Arial" w:cs="Arial"/>
          <w:lang w:val="es-ES" w:eastAsia="es-ES" w:bidi="es-ES"/>
        </w:rPr>
        <w:t>recibe bienes, obras o servicios, ese documento tendrá carácter de contrato</w:t>
      </w:r>
      <w:r w:rsidR="00C73FAD">
        <w:rPr>
          <w:rFonts w:ascii="Arial" w:eastAsia="Arial" w:hAnsi="Arial" w:cs="Arial"/>
          <w:lang w:val="es-ES" w:eastAsia="es-ES" w:bidi="es-ES"/>
        </w:rPr>
        <w:t>,</w:t>
      </w:r>
      <w:r w:rsidR="00476ECF" w:rsidRPr="00B654C3">
        <w:rPr>
          <w:rFonts w:ascii="Arial" w:eastAsia="Arial" w:hAnsi="Arial" w:cs="Arial"/>
          <w:lang w:val="es-ES" w:eastAsia="es-ES" w:bidi="es-ES"/>
        </w:rPr>
        <w:t xml:space="preserve"> entendido como un acto mediante el cual una parte se obliga con otra a dar, hacer o no hacer algo y</w:t>
      </w:r>
      <w:r w:rsidRPr="00B654C3">
        <w:rPr>
          <w:rFonts w:ascii="Arial" w:eastAsia="Arial" w:hAnsi="Arial" w:cs="Arial"/>
          <w:lang w:val="es-ES" w:eastAsia="es-ES" w:bidi="es-ES"/>
        </w:rPr>
        <w:t>,</w:t>
      </w:r>
      <w:r w:rsidR="00476ECF" w:rsidRPr="00B654C3">
        <w:rPr>
          <w:rFonts w:ascii="Arial" w:eastAsia="Arial" w:hAnsi="Arial" w:cs="Arial"/>
          <w:lang w:val="es-ES" w:eastAsia="es-ES" w:bidi="es-ES"/>
        </w:rPr>
        <w:t xml:space="preserve"> en ese sentido, se deberán aplicar las norma del Sistema de Compra Pública que regulan los contratos estatales</w:t>
      </w:r>
      <w:r w:rsidRPr="00B654C3">
        <w:rPr>
          <w:rFonts w:ascii="Arial" w:eastAsia="Arial" w:hAnsi="Arial" w:cs="Arial"/>
          <w:lang w:val="es-ES" w:eastAsia="es-ES" w:bidi="es-ES"/>
        </w:rPr>
        <w:t xml:space="preserve">, en consecuencia, le serían aplicables las restricciones contempladas en el artículo 33 y el parágrafo del artículo 38 de la Ley 996 de 2005, en los términos señalados a lo largo del presente concepto. </w:t>
      </w:r>
    </w:p>
    <w:bookmarkEnd w:id="58"/>
    <w:p w14:paraId="5DAC6547" w14:textId="77777777" w:rsidR="0011054E" w:rsidRDefault="0011054E" w:rsidP="00C73FAD">
      <w:pPr>
        <w:widowControl w:val="0"/>
        <w:autoSpaceDE w:val="0"/>
        <w:autoSpaceDN w:val="0"/>
        <w:spacing w:after="0" w:line="276" w:lineRule="auto"/>
        <w:ind w:firstLine="709"/>
        <w:contextualSpacing/>
        <w:jc w:val="both"/>
        <w:rPr>
          <w:rFonts w:ascii="Arial" w:eastAsia="Times New Roman" w:hAnsi="Arial" w:cs="Arial"/>
          <w:bCs/>
          <w:lang w:val="es-MX" w:eastAsia="x-none"/>
        </w:rPr>
      </w:pPr>
    </w:p>
    <w:p w14:paraId="0300E070" w14:textId="77777777" w:rsidR="00420C9F" w:rsidRPr="00127322" w:rsidRDefault="00420C9F" w:rsidP="00C73FAD">
      <w:pPr>
        <w:spacing w:after="0" w:line="276" w:lineRule="auto"/>
        <w:contextualSpacing/>
        <w:jc w:val="both"/>
        <w:rPr>
          <w:rFonts w:ascii="Arial" w:eastAsia="Calibri" w:hAnsi="Arial" w:cs="Arial"/>
          <w:b/>
        </w:rPr>
      </w:pPr>
      <w:r w:rsidRPr="00127322">
        <w:rPr>
          <w:rFonts w:ascii="Arial" w:eastAsia="Calibri" w:hAnsi="Arial" w:cs="Arial"/>
          <w:b/>
        </w:rPr>
        <w:t>3. Respuesta</w:t>
      </w:r>
    </w:p>
    <w:p w14:paraId="269D3D8E" w14:textId="3C113A41" w:rsidR="001B0BCD" w:rsidRDefault="001B0BCD" w:rsidP="0011054E">
      <w:pPr>
        <w:tabs>
          <w:tab w:val="left" w:pos="709"/>
        </w:tabs>
        <w:spacing w:after="0" w:line="240" w:lineRule="auto"/>
        <w:ind w:left="709" w:right="709"/>
        <w:contextualSpacing/>
        <w:jc w:val="both"/>
        <w:rPr>
          <w:rFonts w:ascii="Arial" w:eastAsia="Calibri" w:hAnsi="Arial" w:cs="Arial"/>
          <w:sz w:val="21"/>
          <w:szCs w:val="21"/>
          <w:lang w:val="es-ES" w:eastAsia="es-MX"/>
        </w:rPr>
      </w:pPr>
    </w:p>
    <w:p w14:paraId="74DECFC2" w14:textId="77777777" w:rsidR="001B0BCD" w:rsidRPr="00985579" w:rsidRDefault="001B0BCD" w:rsidP="001B0BCD">
      <w:pPr>
        <w:spacing w:after="0" w:line="240" w:lineRule="auto"/>
        <w:ind w:left="709" w:right="709"/>
        <w:contextualSpacing/>
        <w:jc w:val="both"/>
        <w:rPr>
          <w:rFonts w:ascii="Arial" w:eastAsia="Times New Roman" w:hAnsi="Arial" w:cs="Arial"/>
          <w:sz w:val="21"/>
          <w:szCs w:val="21"/>
          <w:lang w:val="es-ES" w:eastAsia="es-CO"/>
        </w:rPr>
      </w:pPr>
      <w:r w:rsidRPr="00985579">
        <w:rPr>
          <w:rFonts w:ascii="Arial" w:eastAsia="Times New Roman" w:hAnsi="Arial" w:cs="Arial"/>
          <w:sz w:val="21"/>
          <w:szCs w:val="21"/>
          <w:lang w:val="es-ES" w:eastAsia="es-CO"/>
        </w:rPr>
        <w:t xml:space="preserve">«Agradezco conocer si en ley de garantías pueden firmarse acuerdos de entendimiento o actas de entendimiento.»     </w:t>
      </w:r>
    </w:p>
    <w:p w14:paraId="1F773E16" w14:textId="77777777" w:rsidR="0011054E" w:rsidRPr="0011054E" w:rsidRDefault="0011054E" w:rsidP="001B0BCD">
      <w:pPr>
        <w:tabs>
          <w:tab w:val="left" w:pos="709"/>
        </w:tabs>
        <w:spacing w:after="0" w:line="240" w:lineRule="auto"/>
        <w:ind w:right="709"/>
        <w:contextualSpacing/>
        <w:jc w:val="both"/>
        <w:rPr>
          <w:rFonts w:ascii="Arial" w:eastAsia="Calibri" w:hAnsi="Arial" w:cs="Arial"/>
          <w:sz w:val="21"/>
          <w:szCs w:val="21"/>
          <w:lang w:val="es-ES" w:eastAsia="es-MX"/>
        </w:rPr>
      </w:pPr>
    </w:p>
    <w:p w14:paraId="0DDFF5F0" w14:textId="6C1A4684" w:rsidR="00ED1066" w:rsidRDefault="00420C9F" w:rsidP="00ED1066">
      <w:pPr>
        <w:widowControl w:val="0"/>
        <w:autoSpaceDE w:val="0"/>
        <w:autoSpaceDN w:val="0"/>
        <w:spacing w:after="120" w:line="276" w:lineRule="auto"/>
        <w:jc w:val="both"/>
        <w:rPr>
          <w:rFonts w:ascii="Arial" w:eastAsia="Arial" w:hAnsi="Arial" w:cs="Arial"/>
          <w:lang w:val="es-ES" w:eastAsia="es-ES" w:bidi="es-ES"/>
        </w:rPr>
      </w:pPr>
      <w:bookmarkStart w:id="62" w:name="_Hlk57650395"/>
      <w:r w:rsidRPr="00A6452F">
        <w:rPr>
          <w:rFonts w:ascii="Arial" w:eastAsia="Times New Roman" w:hAnsi="Arial" w:cs="Arial"/>
          <w:bCs/>
          <w:lang w:val="es-ES" w:eastAsia="es-CO" w:bidi="es-ES"/>
        </w:rPr>
        <w:t xml:space="preserve">De acuerdo con la explicación precedente, </w:t>
      </w:r>
      <w:r w:rsidR="00ED1066" w:rsidRPr="00ED1066">
        <w:rPr>
          <w:rFonts w:ascii="Arial" w:eastAsia="Arial" w:hAnsi="Arial" w:cs="Arial"/>
          <w:lang w:val="es-ES" w:eastAsia="es-ES" w:bidi="es-ES"/>
        </w:rPr>
        <w:t>los memorandos de entendimiento no t</w:t>
      </w:r>
      <w:r w:rsidR="00ED1066">
        <w:rPr>
          <w:rFonts w:ascii="Arial" w:eastAsia="Arial" w:hAnsi="Arial" w:cs="Arial"/>
          <w:lang w:val="es-ES" w:eastAsia="es-ES" w:bidi="es-ES"/>
        </w:rPr>
        <w:t xml:space="preserve">ienen el alcance de un contrato estatal, en la medida que no generan obligaciones para las partes, </w:t>
      </w:r>
      <w:r w:rsidR="00ED1066" w:rsidRPr="00ED1066">
        <w:rPr>
          <w:rFonts w:ascii="Arial" w:eastAsia="Arial" w:hAnsi="Arial" w:cs="Arial"/>
          <w:lang w:val="es-ES" w:eastAsia="es-ES" w:bidi="es-ES"/>
        </w:rPr>
        <w:t xml:space="preserve">por lo tanto, </w:t>
      </w:r>
      <w:r w:rsidR="00C73FAD">
        <w:rPr>
          <w:rFonts w:ascii="Arial" w:eastAsia="Arial" w:hAnsi="Arial" w:cs="Arial"/>
          <w:lang w:val="es-ES" w:eastAsia="es-ES" w:bidi="es-ES"/>
        </w:rPr>
        <w:t>no están cobijados por</w:t>
      </w:r>
      <w:r w:rsidR="00ED1066" w:rsidRPr="00ED1066">
        <w:rPr>
          <w:rFonts w:ascii="Arial" w:eastAsia="Arial" w:hAnsi="Arial" w:cs="Arial"/>
          <w:lang w:val="es-ES" w:eastAsia="es-ES" w:bidi="es-ES"/>
        </w:rPr>
        <w:t xml:space="preserve"> la normativa del Sistema de Compra Pública</w:t>
      </w:r>
      <w:r w:rsidR="00ED1066">
        <w:rPr>
          <w:rFonts w:ascii="Arial" w:eastAsia="Arial" w:hAnsi="Arial" w:cs="Arial"/>
          <w:lang w:val="es-ES" w:eastAsia="es-ES" w:bidi="es-ES"/>
        </w:rPr>
        <w:t xml:space="preserve">. En consecuencia, </w:t>
      </w:r>
      <w:r w:rsidR="00C73FAD">
        <w:rPr>
          <w:rFonts w:ascii="Arial" w:eastAsia="Arial" w:hAnsi="Arial" w:cs="Arial"/>
          <w:lang w:val="es-ES" w:eastAsia="es-ES" w:bidi="es-ES"/>
        </w:rPr>
        <w:t>dada la naturaleza de</w:t>
      </w:r>
      <w:r w:rsidR="00ED1066">
        <w:rPr>
          <w:rFonts w:ascii="Arial" w:eastAsia="Arial" w:hAnsi="Arial" w:cs="Arial"/>
          <w:lang w:val="es-ES" w:eastAsia="es-ES" w:bidi="es-ES"/>
        </w:rPr>
        <w:t xml:space="preserve"> este tipo de instrumentos</w:t>
      </w:r>
      <w:r w:rsidR="00C73FAD">
        <w:rPr>
          <w:rFonts w:ascii="Arial" w:eastAsia="Arial" w:hAnsi="Arial" w:cs="Arial"/>
          <w:lang w:val="es-ES" w:eastAsia="es-ES" w:bidi="es-ES"/>
        </w:rPr>
        <w:t>,</w:t>
      </w:r>
      <w:r w:rsidR="00ED1066">
        <w:rPr>
          <w:rFonts w:ascii="Arial" w:eastAsia="Arial" w:hAnsi="Arial" w:cs="Arial"/>
          <w:lang w:val="es-ES" w:eastAsia="es-ES" w:bidi="es-ES"/>
        </w:rPr>
        <w:t xml:space="preserve"> que contienen </w:t>
      </w:r>
      <w:r w:rsidR="00ED1066" w:rsidRPr="00A03DE1">
        <w:rPr>
          <w:rFonts w:ascii="Arial" w:eastAsia="Arial" w:hAnsi="Arial" w:cs="Arial"/>
          <w:lang w:val="es-ES" w:eastAsia="es-ES" w:bidi="es-ES"/>
        </w:rPr>
        <w:t xml:space="preserve">intenciones, compromisos, aspiraciones, propósitos o </w:t>
      </w:r>
      <w:r w:rsidR="00ED1066">
        <w:rPr>
          <w:rFonts w:ascii="Arial" w:eastAsia="Arial" w:hAnsi="Arial" w:cs="Arial"/>
          <w:lang w:val="es-ES" w:eastAsia="es-ES" w:bidi="es-ES"/>
        </w:rPr>
        <w:t>que</w:t>
      </w:r>
      <w:r w:rsidR="00ED1066" w:rsidRPr="00A03DE1">
        <w:rPr>
          <w:rFonts w:ascii="Arial" w:eastAsia="Arial" w:hAnsi="Arial" w:cs="Arial"/>
          <w:lang w:val="es-ES" w:eastAsia="es-ES" w:bidi="es-ES"/>
        </w:rPr>
        <w:t xml:space="preserve"> desarrollan instrumentos preexistentes</w:t>
      </w:r>
      <w:r w:rsidR="00ED1066">
        <w:rPr>
          <w:rFonts w:ascii="Arial" w:eastAsia="Arial" w:hAnsi="Arial" w:cs="Arial"/>
          <w:lang w:val="es-ES" w:eastAsia="es-ES" w:bidi="es-ES"/>
        </w:rPr>
        <w:t xml:space="preserve">, </w:t>
      </w:r>
      <w:r w:rsidR="00ED1066" w:rsidRPr="00ED1066">
        <w:rPr>
          <w:rFonts w:ascii="Arial" w:eastAsia="Arial" w:hAnsi="Arial" w:cs="Arial"/>
          <w:lang w:val="es-ES" w:eastAsia="es-ES" w:bidi="es-ES"/>
        </w:rPr>
        <w:t>no se les</w:t>
      </w:r>
      <w:r w:rsidR="00ED1066">
        <w:rPr>
          <w:rFonts w:ascii="Arial" w:eastAsia="Arial" w:hAnsi="Arial" w:cs="Arial"/>
          <w:lang w:val="es-ES" w:eastAsia="es-ES" w:bidi="es-ES"/>
        </w:rPr>
        <w:t xml:space="preserve"> son</w:t>
      </w:r>
      <w:r w:rsidR="00ED1066" w:rsidRPr="00ED1066">
        <w:rPr>
          <w:rFonts w:ascii="Arial" w:eastAsia="Arial" w:hAnsi="Arial" w:cs="Arial"/>
          <w:lang w:val="es-ES" w:eastAsia="es-ES" w:bidi="es-ES"/>
        </w:rPr>
        <w:t xml:space="preserve"> aplica</w:t>
      </w:r>
      <w:r w:rsidR="00ED1066">
        <w:rPr>
          <w:rFonts w:ascii="Arial" w:eastAsia="Arial" w:hAnsi="Arial" w:cs="Arial"/>
          <w:lang w:val="es-ES" w:eastAsia="es-ES" w:bidi="es-ES"/>
        </w:rPr>
        <w:t>bles</w:t>
      </w:r>
      <w:r w:rsidR="00ED1066" w:rsidRPr="00ED1066">
        <w:rPr>
          <w:rFonts w:ascii="Arial" w:eastAsia="Arial" w:hAnsi="Arial" w:cs="Arial"/>
          <w:lang w:val="es-ES" w:eastAsia="es-ES" w:bidi="es-ES"/>
        </w:rPr>
        <w:t xml:space="preserve"> las restricciones</w:t>
      </w:r>
      <w:r w:rsidR="00ED1066" w:rsidRPr="00A03DE1">
        <w:rPr>
          <w:rFonts w:ascii="Arial" w:eastAsia="Arial" w:hAnsi="Arial" w:cs="Arial"/>
          <w:lang w:val="es-ES" w:eastAsia="es-ES" w:bidi="es-ES"/>
        </w:rPr>
        <w:t xml:space="preserve"> </w:t>
      </w:r>
      <w:r w:rsidR="00ED1066">
        <w:rPr>
          <w:rFonts w:ascii="Arial" w:eastAsia="Arial" w:hAnsi="Arial" w:cs="Arial"/>
          <w:lang w:val="es-ES" w:eastAsia="es-ES" w:bidi="es-ES"/>
        </w:rPr>
        <w:t xml:space="preserve">que en materia de contratación </w:t>
      </w:r>
      <w:r w:rsidR="00ED1066" w:rsidRPr="00A03DE1">
        <w:rPr>
          <w:rFonts w:ascii="Arial" w:eastAsia="Arial" w:hAnsi="Arial" w:cs="Arial"/>
          <w:lang w:val="es-ES" w:eastAsia="es-ES" w:bidi="es-ES"/>
        </w:rPr>
        <w:t>contempla</w:t>
      </w:r>
      <w:r w:rsidR="00ED1066">
        <w:rPr>
          <w:rFonts w:ascii="Arial" w:eastAsia="Arial" w:hAnsi="Arial" w:cs="Arial"/>
          <w:lang w:val="es-ES" w:eastAsia="es-ES" w:bidi="es-ES"/>
        </w:rPr>
        <w:t>n el artículo 33 y el parágrafo del artículo 38 de la</w:t>
      </w:r>
      <w:r w:rsidR="00ED1066" w:rsidRPr="00A03DE1">
        <w:rPr>
          <w:rFonts w:ascii="Arial" w:eastAsia="Arial" w:hAnsi="Arial" w:cs="Arial"/>
          <w:lang w:val="es-ES" w:eastAsia="es-ES" w:bidi="es-ES"/>
        </w:rPr>
        <w:t xml:space="preserve"> Ley de Garantías</w:t>
      </w:r>
      <w:r w:rsidR="00ED1066">
        <w:rPr>
          <w:rFonts w:ascii="Arial" w:eastAsia="Arial" w:hAnsi="Arial" w:cs="Arial"/>
          <w:lang w:val="es-ES" w:eastAsia="es-ES" w:bidi="es-ES"/>
        </w:rPr>
        <w:t xml:space="preserve"> Electorales</w:t>
      </w:r>
      <w:r w:rsidR="00ED1066" w:rsidRPr="00A03DE1">
        <w:rPr>
          <w:rFonts w:ascii="Arial" w:eastAsia="Arial" w:hAnsi="Arial" w:cs="Arial"/>
          <w:lang w:val="es-ES" w:eastAsia="es-ES" w:bidi="es-ES"/>
        </w:rPr>
        <w:t>.</w:t>
      </w:r>
    </w:p>
    <w:p w14:paraId="3934CD36" w14:textId="603AA824" w:rsidR="00C73FAD" w:rsidRDefault="00ED1066" w:rsidP="00C73FAD">
      <w:pPr>
        <w:widowControl w:val="0"/>
        <w:autoSpaceDE w:val="0"/>
        <w:autoSpaceDN w:val="0"/>
        <w:spacing w:after="0" w:line="276" w:lineRule="auto"/>
        <w:ind w:firstLine="709"/>
        <w:contextualSpacing/>
        <w:jc w:val="both"/>
        <w:rPr>
          <w:rFonts w:ascii="Arial" w:eastAsia="Arial" w:hAnsi="Arial" w:cs="Arial"/>
          <w:lang w:val="es-ES" w:eastAsia="es-ES" w:bidi="es-ES"/>
        </w:rPr>
      </w:pPr>
      <w:r>
        <w:rPr>
          <w:rFonts w:ascii="Arial" w:eastAsia="Arial" w:hAnsi="Arial" w:cs="Arial"/>
          <w:lang w:val="es-ES" w:eastAsia="es-ES" w:bidi="es-ES"/>
        </w:rPr>
        <w:t xml:space="preserve">Sin embargo, en cada caso debe analizarse si se está frente a un contrato estatal o frente a un memorando de entendimiento, pues </w:t>
      </w:r>
      <w:r w:rsidRPr="00A03DE1">
        <w:rPr>
          <w:rFonts w:ascii="Arial" w:eastAsia="Arial" w:hAnsi="Arial" w:cs="Arial"/>
          <w:lang w:val="es-ES" w:eastAsia="es-ES" w:bidi="es-ES"/>
        </w:rPr>
        <w:t xml:space="preserve">lo que determina la naturaleza jurídica de un documento suscrito por dos partes es el contenido del mismo y no </w:t>
      </w:r>
      <w:r w:rsidR="00C73FAD">
        <w:rPr>
          <w:rFonts w:ascii="Arial" w:eastAsia="Arial" w:hAnsi="Arial" w:cs="Arial"/>
          <w:lang w:val="es-ES" w:eastAsia="es-ES" w:bidi="es-ES"/>
        </w:rPr>
        <w:t>su</w:t>
      </w:r>
      <w:r w:rsidRPr="00A03DE1">
        <w:rPr>
          <w:rFonts w:ascii="Arial" w:eastAsia="Arial" w:hAnsi="Arial" w:cs="Arial"/>
          <w:lang w:val="es-ES" w:eastAsia="es-ES" w:bidi="es-ES"/>
        </w:rPr>
        <w:t xml:space="preserve"> denominación</w:t>
      </w:r>
      <w:r>
        <w:rPr>
          <w:rFonts w:ascii="Arial" w:eastAsia="Arial" w:hAnsi="Arial" w:cs="Arial"/>
          <w:lang w:val="es-ES" w:eastAsia="es-ES" w:bidi="es-ES"/>
        </w:rPr>
        <w:t xml:space="preserve">. Así las cosas, debe reiterarse que, </w:t>
      </w:r>
      <w:r w:rsidRPr="00A03DE1">
        <w:rPr>
          <w:rFonts w:ascii="Arial" w:eastAsia="Arial" w:hAnsi="Arial" w:cs="Arial"/>
          <w:lang w:val="es-ES" w:eastAsia="es-ES" w:bidi="es-ES"/>
        </w:rPr>
        <w:t xml:space="preserve">si un acuerdo de voluntades denominado memorando de entendimiento, implica el cumplimiento de obligaciones reales para las partes que van más allá de la intención de llevar a cabo un propósito común o implica que la </w:t>
      </w:r>
      <w:r w:rsidR="00C73FAD" w:rsidRPr="00A03DE1">
        <w:rPr>
          <w:rFonts w:ascii="Arial" w:eastAsia="Arial" w:hAnsi="Arial" w:cs="Arial"/>
          <w:lang w:val="es-ES" w:eastAsia="es-ES" w:bidi="es-ES"/>
        </w:rPr>
        <w:t xml:space="preserve">entidad estatal </w:t>
      </w:r>
      <w:r w:rsidRPr="00A03DE1">
        <w:rPr>
          <w:rFonts w:ascii="Arial" w:eastAsia="Arial" w:hAnsi="Arial" w:cs="Arial"/>
          <w:lang w:val="es-ES" w:eastAsia="es-ES" w:bidi="es-ES"/>
        </w:rPr>
        <w:t>recibe bienes, obras o servicios, ese documento tendrá carácter de contrato entendido como un acto mediante el cual una parte se obliga con otra a dar, hacer o no hacer algo y</w:t>
      </w:r>
      <w:r>
        <w:rPr>
          <w:rFonts w:ascii="Arial" w:eastAsia="Arial" w:hAnsi="Arial" w:cs="Arial"/>
          <w:lang w:val="es-ES" w:eastAsia="es-ES" w:bidi="es-ES"/>
        </w:rPr>
        <w:t>,</w:t>
      </w:r>
      <w:r w:rsidRPr="00A03DE1">
        <w:rPr>
          <w:rFonts w:ascii="Arial" w:eastAsia="Arial" w:hAnsi="Arial" w:cs="Arial"/>
          <w:lang w:val="es-ES" w:eastAsia="es-ES" w:bidi="es-ES"/>
        </w:rPr>
        <w:t xml:space="preserve"> </w:t>
      </w:r>
      <w:r>
        <w:rPr>
          <w:rFonts w:ascii="Arial" w:eastAsia="Arial" w:hAnsi="Arial" w:cs="Arial"/>
          <w:lang w:val="es-ES" w:eastAsia="es-ES" w:bidi="es-ES"/>
        </w:rPr>
        <w:t>por lo tanto</w:t>
      </w:r>
      <w:r w:rsidRPr="00A03DE1">
        <w:rPr>
          <w:rFonts w:ascii="Arial" w:eastAsia="Arial" w:hAnsi="Arial" w:cs="Arial"/>
          <w:lang w:val="es-ES" w:eastAsia="es-ES" w:bidi="es-ES"/>
        </w:rPr>
        <w:t xml:space="preserve">, se deberán aplicar </w:t>
      </w:r>
      <w:r>
        <w:rPr>
          <w:rFonts w:ascii="Arial" w:eastAsia="Arial" w:hAnsi="Arial" w:cs="Arial"/>
          <w:lang w:val="es-ES" w:eastAsia="es-ES" w:bidi="es-ES"/>
        </w:rPr>
        <w:t xml:space="preserve">las prohibiciones que se derivan de la </w:t>
      </w:r>
      <w:r w:rsidR="00420C9F" w:rsidRPr="00C73FAD">
        <w:rPr>
          <w:rFonts w:ascii="Arial" w:eastAsia="Arial" w:hAnsi="Arial" w:cs="Arial"/>
          <w:lang w:val="es-ES" w:eastAsia="es-ES" w:bidi="es-ES"/>
        </w:rPr>
        <w:t>Ley de Garantías Electorales</w:t>
      </w:r>
      <w:r w:rsidRPr="00C73FAD">
        <w:rPr>
          <w:rFonts w:ascii="Arial" w:eastAsia="Arial" w:hAnsi="Arial" w:cs="Arial"/>
          <w:lang w:val="es-ES" w:eastAsia="es-ES" w:bidi="es-ES"/>
        </w:rPr>
        <w:t>. Así las cosas, le compete a cada entidad que adelante los procesos de contratación determinar la naturaleza</w:t>
      </w:r>
      <w:r w:rsidR="00C73FAD">
        <w:rPr>
          <w:rFonts w:ascii="Arial" w:eastAsia="Arial" w:hAnsi="Arial" w:cs="Arial"/>
          <w:lang w:val="es-ES" w:eastAsia="es-ES" w:bidi="es-ES"/>
        </w:rPr>
        <w:t xml:space="preserve"> jurídica </w:t>
      </w:r>
      <w:r w:rsidRPr="00C73FAD">
        <w:rPr>
          <w:rFonts w:ascii="Arial" w:eastAsia="Arial" w:hAnsi="Arial" w:cs="Arial"/>
          <w:lang w:val="es-ES" w:eastAsia="es-ES" w:bidi="es-ES"/>
        </w:rPr>
        <w:t>del acto y</w:t>
      </w:r>
      <w:r w:rsidR="00C73FAD">
        <w:rPr>
          <w:rFonts w:ascii="Arial" w:eastAsia="Arial" w:hAnsi="Arial" w:cs="Arial"/>
          <w:lang w:val="es-ES" w:eastAsia="es-ES" w:bidi="es-ES"/>
        </w:rPr>
        <w:t>,</w:t>
      </w:r>
      <w:r w:rsidRPr="00C73FAD">
        <w:rPr>
          <w:rFonts w:ascii="Arial" w:eastAsia="Arial" w:hAnsi="Arial" w:cs="Arial"/>
          <w:lang w:val="es-ES" w:eastAsia="es-ES" w:bidi="es-ES"/>
        </w:rPr>
        <w:t xml:space="preserve"> por la tanto, la viabilidad jurídica de llevar a cabo un determinado negocio jurídico. </w:t>
      </w:r>
    </w:p>
    <w:p w14:paraId="0DBFFCB3" w14:textId="77777777" w:rsidR="00C73FAD" w:rsidRDefault="00C73FAD" w:rsidP="00C73FAD">
      <w:pPr>
        <w:widowControl w:val="0"/>
        <w:autoSpaceDE w:val="0"/>
        <w:autoSpaceDN w:val="0"/>
        <w:spacing w:after="0" w:line="276" w:lineRule="auto"/>
        <w:contextualSpacing/>
        <w:jc w:val="both"/>
        <w:rPr>
          <w:rFonts w:ascii="Arial" w:eastAsia="Arial" w:hAnsi="Arial" w:cs="Arial"/>
          <w:lang w:val="es-ES" w:eastAsia="es-ES" w:bidi="es-ES"/>
        </w:rPr>
      </w:pPr>
    </w:p>
    <w:p w14:paraId="601D449D" w14:textId="136E6907" w:rsidR="00420C9F" w:rsidRPr="00B3690A" w:rsidRDefault="00420C9F" w:rsidP="00C73FAD">
      <w:pPr>
        <w:widowControl w:val="0"/>
        <w:autoSpaceDE w:val="0"/>
        <w:autoSpaceDN w:val="0"/>
        <w:spacing w:after="0" w:line="276" w:lineRule="auto"/>
        <w:contextualSpacing/>
        <w:jc w:val="both"/>
        <w:rPr>
          <w:rFonts w:ascii="Times New Roman" w:eastAsia="Times New Roman" w:hAnsi="Times New Roman" w:cs="Times New Roman"/>
          <w:lang w:eastAsia="es-ES_tradnl"/>
        </w:rPr>
      </w:pPr>
      <w:r w:rsidRPr="00B3690A">
        <w:rPr>
          <w:rFonts w:ascii="Arial" w:eastAsia="Calibri" w:hAnsi="Arial" w:cs="Arial"/>
        </w:rPr>
        <w:t>Este concepto tiene el alcance previsto en el artículo 28 del Código de Procedimiento Administrativo y de lo Contencioso Administrativo.</w:t>
      </w:r>
      <w:r w:rsidRPr="00B3690A">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2E9FEEE1" wp14:editId="489C006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10A1D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DDE22F6" w14:textId="77777777" w:rsidR="00420C9F" w:rsidRPr="00B3690A" w:rsidRDefault="00420C9F" w:rsidP="00420C9F">
      <w:pPr>
        <w:spacing w:after="120" w:line="276" w:lineRule="auto"/>
        <w:jc w:val="both"/>
        <w:rPr>
          <w:rFonts w:ascii="Times New Roman" w:eastAsia="Times New Roman" w:hAnsi="Times New Roman" w:cs="Times New Roman"/>
          <w:lang w:eastAsia="es-ES_tradnl"/>
        </w:rPr>
      </w:pPr>
    </w:p>
    <w:p w14:paraId="2DF00EBC" w14:textId="77777777" w:rsidR="00420C9F" w:rsidRPr="00B3690A" w:rsidRDefault="00420C9F" w:rsidP="00420C9F">
      <w:pPr>
        <w:spacing w:after="200" w:line="276" w:lineRule="auto"/>
        <w:jc w:val="both"/>
        <w:rPr>
          <w:rFonts w:ascii="Arial" w:eastAsia="Times New Roman" w:hAnsi="Arial" w:cs="Arial"/>
          <w:lang w:eastAsia="es-CO"/>
        </w:rPr>
      </w:pPr>
      <w:r w:rsidRPr="00B3690A">
        <w:rPr>
          <w:rFonts w:ascii="Arial" w:eastAsia="Times New Roman" w:hAnsi="Arial" w:cs="Arial"/>
          <w:lang w:eastAsia="es-CO"/>
        </w:rPr>
        <w:t>Atentamente,</w:t>
      </w:r>
    </w:p>
    <w:bookmarkEnd w:id="3"/>
    <w:bookmarkEnd w:id="62"/>
    <w:p w14:paraId="4C7D8A18" w14:textId="288CF44C" w:rsidR="00420C9F" w:rsidRPr="00127322" w:rsidRDefault="003721C8" w:rsidP="00B654C3">
      <w:pPr>
        <w:spacing w:after="200" w:line="276" w:lineRule="auto"/>
        <w:jc w:val="center"/>
        <w:rPr>
          <w:rFonts w:ascii="Arial" w:eastAsia="Calibri" w:hAnsi="Arial" w:cs="Arial"/>
          <w:b/>
          <w:bCs/>
          <w:sz w:val="20"/>
          <w:szCs w:val="20"/>
          <w:lang w:val="es-MX"/>
        </w:rPr>
      </w:pPr>
      <w:r>
        <w:rPr>
          <w:noProof/>
        </w:rPr>
        <w:drawing>
          <wp:inline distT="0" distB="0" distL="0" distR="0" wp14:anchorId="4284DD8D" wp14:editId="7E34512C">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420C9F" w:rsidRPr="00921F2D" w14:paraId="051C0154" w14:textId="77777777" w:rsidTr="004311E6">
        <w:trPr>
          <w:trHeight w:val="315"/>
        </w:trPr>
        <w:tc>
          <w:tcPr>
            <w:tcW w:w="812" w:type="dxa"/>
            <w:vAlign w:val="center"/>
            <w:hideMark/>
          </w:tcPr>
          <w:p w14:paraId="0727A2F3"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16A2EACB" w14:textId="77777777" w:rsidR="00420C9F" w:rsidRPr="00721553" w:rsidRDefault="00420C9F" w:rsidP="004311E6">
            <w:pPr>
              <w:rPr>
                <w:rFonts w:ascii="Arial" w:eastAsia="Times New Roman" w:hAnsi="Arial" w:cs="Arial"/>
                <w:sz w:val="16"/>
                <w:szCs w:val="16"/>
                <w:lang w:eastAsia="es-ES"/>
              </w:rPr>
            </w:pPr>
            <w:r w:rsidRPr="00921F2D">
              <w:rPr>
                <w:rFonts w:ascii="Arial" w:eastAsia="Times New Roman" w:hAnsi="Arial" w:cs="Arial"/>
                <w:sz w:val="16"/>
                <w:szCs w:val="16"/>
                <w:lang w:eastAsia="es-ES"/>
              </w:rPr>
              <w:t>Diana Lucia Saavedra Castañeda</w:t>
            </w:r>
          </w:p>
          <w:p w14:paraId="03162F2A" w14:textId="77777777" w:rsidR="00420C9F" w:rsidRPr="00721553" w:rsidRDefault="00420C9F" w:rsidP="004311E6">
            <w:pPr>
              <w:rPr>
                <w:rFonts w:ascii="Arial" w:eastAsia="Times New Roman" w:hAnsi="Arial" w:cs="Arial"/>
                <w:sz w:val="16"/>
                <w:szCs w:val="16"/>
                <w:lang w:eastAsia="es-ES"/>
              </w:rPr>
            </w:pPr>
            <w:r w:rsidRPr="00921F2D">
              <w:rPr>
                <w:rFonts w:ascii="Arial" w:eastAsia="Times New Roman" w:hAnsi="Arial" w:cs="Arial"/>
                <w:sz w:val="16"/>
                <w:szCs w:val="16"/>
                <w:lang w:eastAsia="es-ES"/>
              </w:rPr>
              <w:t>Contratista</w:t>
            </w:r>
            <w:r w:rsidRPr="00721553">
              <w:rPr>
                <w:rFonts w:ascii="Arial" w:eastAsia="Times New Roman" w:hAnsi="Arial" w:cs="Arial"/>
                <w:sz w:val="16"/>
                <w:szCs w:val="16"/>
                <w:lang w:eastAsia="es-ES"/>
              </w:rPr>
              <w:t xml:space="preserve"> de la Subdirección de Gestión Contractual</w:t>
            </w:r>
          </w:p>
        </w:tc>
      </w:tr>
      <w:tr w:rsidR="00420C9F" w:rsidRPr="00921F2D" w14:paraId="51F1BA8D" w14:textId="77777777" w:rsidTr="004311E6">
        <w:trPr>
          <w:trHeight w:val="330"/>
        </w:trPr>
        <w:tc>
          <w:tcPr>
            <w:tcW w:w="812" w:type="dxa"/>
            <w:vAlign w:val="center"/>
            <w:hideMark/>
          </w:tcPr>
          <w:p w14:paraId="1E6BA74C"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2FDC66C" w14:textId="77777777" w:rsidR="00420C9F" w:rsidRPr="001C65B0" w:rsidRDefault="00420C9F" w:rsidP="004311E6">
            <w:pPr>
              <w:rPr>
                <w:rFonts w:eastAsia="Times New Roman"/>
                <w:sz w:val="16"/>
                <w:szCs w:val="16"/>
                <w:lang w:eastAsia="es-ES"/>
              </w:rPr>
            </w:pPr>
            <w:r w:rsidRPr="001C65B0">
              <w:rPr>
                <w:rFonts w:ascii="Arial" w:eastAsia="Times New Roman" w:hAnsi="Arial" w:cs="Arial"/>
                <w:sz w:val="16"/>
                <w:szCs w:val="16"/>
                <w:lang w:eastAsia="es-ES"/>
              </w:rPr>
              <w:t>Alejandro Sarmiento Cantillo</w:t>
            </w:r>
            <w:r w:rsidRPr="001C65B0">
              <w:rPr>
                <w:rFonts w:eastAsia="Times New Roman"/>
                <w:sz w:val="16"/>
                <w:szCs w:val="16"/>
                <w:lang w:eastAsia="es-ES"/>
              </w:rPr>
              <w:t> </w:t>
            </w:r>
          </w:p>
          <w:p w14:paraId="7CB1F42F"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Gestor T1-15 de la Subdirección de Gestión Contractual</w:t>
            </w:r>
          </w:p>
        </w:tc>
      </w:tr>
      <w:tr w:rsidR="00420C9F" w:rsidRPr="00921F2D" w14:paraId="1FBEBDCD" w14:textId="77777777" w:rsidTr="004311E6">
        <w:trPr>
          <w:trHeight w:val="300"/>
        </w:trPr>
        <w:tc>
          <w:tcPr>
            <w:tcW w:w="812" w:type="dxa"/>
            <w:vAlign w:val="center"/>
            <w:hideMark/>
          </w:tcPr>
          <w:p w14:paraId="418EA50A"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85E471A"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Jorge Augusto Tirado Navarro</w:t>
            </w:r>
          </w:p>
          <w:p w14:paraId="73DA7B72" w14:textId="77777777" w:rsidR="00420C9F" w:rsidRPr="00721553" w:rsidRDefault="00420C9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Subdirector de Gestión Contractual ANCP – CCE</w:t>
            </w:r>
          </w:p>
        </w:tc>
      </w:tr>
    </w:tbl>
    <w:p w14:paraId="73841ED6" w14:textId="77777777" w:rsidR="00420C9F" w:rsidRPr="00127322" w:rsidRDefault="00420C9F" w:rsidP="00420C9F"/>
    <w:bookmarkEnd w:id="2"/>
    <w:p w14:paraId="3525CD7E" w14:textId="77777777" w:rsidR="00CC241C" w:rsidRDefault="00CC241C"/>
    <w:sectPr w:rsidR="00CC241C" w:rsidSect="003D603B">
      <w:headerReference w:type="default" r:id="rId10"/>
      <w:footerReference w:type="default" r:id="rId11"/>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F47E" w14:textId="77777777" w:rsidR="00755BF9" w:rsidRDefault="00755BF9" w:rsidP="00420C9F">
      <w:pPr>
        <w:spacing w:after="0" w:line="240" w:lineRule="auto"/>
      </w:pPr>
      <w:r>
        <w:separator/>
      </w:r>
    </w:p>
  </w:endnote>
  <w:endnote w:type="continuationSeparator" w:id="0">
    <w:p w14:paraId="7D546683" w14:textId="77777777" w:rsidR="00755BF9" w:rsidRDefault="00755BF9" w:rsidP="0042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BA0D" w14:textId="77777777" w:rsidR="00412132" w:rsidRDefault="00FC3212" w:rsidP="00B6444C">
    <w:pPr>
      <w:pStyle w:val="Sinespaciado"/>
      <w:rPr>
        <w:rFonts w:ascii="Arial" w:hAnsi="Arial" w:cs="Arial"/>
        <w:sz w:val="18"/>
        <w:szCs w:val="18"/>
      </w:rPr>
    </w:pPr>
  </w:p>
  <w:p w14:paraId="72D560F5" w14:textId="77777777" w:rsidR="00412132" w:rsidRDefault="00FC3212" w:rsidP="00B6444C">
    <w:pPr>
      <w:pStyle w:val="Sinespaciado"/>
      <w:rPr>
        <w:rFonts w:ascii="Arial" w:hAnsi="Arial" w:cs="Arial"/>
        <w:sz w:val="18"/>
        <w:szCs w:val="18"/>
      </w:rPr>
    </w:pPr>
  </w:p>
  <w:p w14:paraId="7EF587D8" w14:textId="77777777" w:rsidR="00412132" w:rsidRPr="00921225" w:rsidRDefault="006914AE"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2C695897" w14:textId="77777777" w:rsidR="00412132" w:rsidRDefault="006914AE" w:rsidP="007B0854">
    <w:pPr>
      <w:pStyle w:val="Piedepgina"/>
      <w:jc w:val="center"/>
      <w:rPr>
        <w:lang w:val="es-ES"/>
      </w:rPr>
    </w:pPr>
    <w:r>
      <w:rPr>
        <w:noProof/>
        <w:lang w:val="es-CO" w:eastAsia="es-CO"/>
      </w:rPr>
      <w:drawing>
        <wp:inline distT="0" distB="0" distL="0" distR="0" wp14:anchorId="484139BC" wp14:editId="0950AA5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0785AB7" w14:textId="77777777" w:rsidR="00412132" w:rsidRDefault="00FC3212" w:rsidP="007B0854">
    <w:pPr>
      <w:pStyle w:val="Piedepgina"/>
      <w:jc w:val="center"/>
      <w:rPr>
        <w:lang w:val="es-ES"/>
      </w:rPr>
    </w:pPr>
  </w:p>
  <w:p w14:paraId="043D11B9" w14:textId="77777777" w:rsidR="00412132" w:rsidRPr="007B0854" w:rsidRDefault="00FC321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3C83" w14:textId="77777777" w:rsidR="00755BF9" w:rsidRDefault="00755BF9" w:rsidP="00420C9F">
      <w:pPr>
        <w:spacing w:after="0" w:line="240" w:lineRule="auto"/>
      </w:pPr>
      <w:r>
        <w:separator/>
      </w:r>
    </w:p>
  </w:footnote>
  <w:footnote w:type="continuationSeparator" w:id="0">
    <w:p w14:paraId="6DAD70A1" w14:textId="77777777" w:rsidR="00755BF9" w:rsidRDefault="00755BF9" w:rsidP="00420C9F">
      <w:pPr>
        <w:spacing w:after="0" w:line="240" w:lineRule="auto"/>
      </w:pPr>
      <w:r>
        <w:continuationSeparator/>
      </w:r>
    </w:p>
  </w:footnote>
  <w:footnote w:id="1">
    <w:p w14:paraId="1982EE07"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«Artículo 3°. Funciones. La Agencia Nacional de Contratación Pública –Colombia Compra Eficiente– ejercerá las siguientes funciones: </w:t>
      </w:r>
    </w:p>
    <w:p w14:paraId="4EF2471A" w14:textId="77777777"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w:t>
      </w:r>
    </w:p>
    <w:p w14:paraId="3F9E9201" w14:textId="77777777"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4153F6DF" w14:textId="77777777"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Fonts w:ascii="Arial" w:eastAsia="Times New Roman" w:hAnsi="Arial" w:cs="Arial"/>
          <w:sz w:val="19"/>
          <w:szCs w:val="19"/>
          <w:lang w:val="es-CO" w:eastAsia="es-ES_tradnl"/>
        </w:rPr>
        <w:t>«</w:t>
      </w:r>
      <w:r w:rsidRPr="00AD0743">
        <w:rPr>
          <w:rFonts w:ascii="Arial" w:hAnsi="Arial" w:cs="Arial"/>
          <w:sz w:val="19"/>
          <w:szCs w:val="19"/>
          <w:lang w:val="es-ES"/>
        </w:rPr>
        <w:t xml:space="preserve">Artículo 11. Subdirección de Gestión Contractual. Son funciones de la Subdirección de Gestión Contractual las siguientes: </w:t>
      </w:r>
    </w:p>
    <w:p w14:paraId="4D329FEE" w14:textId="77777777"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w:t>
      </w:r>
    </w:p>
    <w:p w14:paraId="2A2E3BEA"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Fonts w:ascii="Arial" w:eastAsia="Times New Roman" w:hAnsi="Arial" w:cs="Arial"/>
          <w:sz w:val="19"/>
          <w:szCs w:val="19"/>
          <w:lang w:val="es-CO" w:eastAsia="es-ES_tradnl"/>
        </w:rPr>
        <w:t>»</w:t>
      </w:r>
      <w:r w:rsidRPr="00AD0743">
        <w:rPr>
          <w:rFonts w:ascii="Arial" w:hAnsi="Arial" w:cs="Arial"/>
          <w:sz w:val="19"/>
          <w:szCs w:val="19"/>
          <w:lang w:val="es-ES"/>
        </w:rPr>
        <w:t>8. Absolver consultas sobre la aplicación de normas de carácter general».</w:t>
      </w:r>
    </w:p>
  </w:footnote>
  <w:footnote w:id="2">
    <w:p w14:paraId="4ABD3A4D"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87281F3" w14:textId="77BD4C96" w:rsidR="00420C9F" w:rsidRDefault="00420C9F" w:rsidP="00420C9F">
      <w:pPr>
        <w:pStyle w:val="Textonotapie"/>
        <w:spacing w:after="0" w:line="240" w:lineRule="auto"/>
        <w:ind w:firstLine="709"/>
        <w:contextualSpacing/>
        <w:rPr>
          <w:rFonts w:ascii="Arial" w:hAnsi="Arial" w:cs="Arial"/>
          <w:sz w:val="19"/>
          <w:szCs w:val="19"/>
        </w:rPr>
      </w:pPr>
      <w:proofErr w:type="gramStart"/>
      <w:r w:rsidRPr="00AD0743">
        <w:rPr>
          <w:rFonts w:ascii="Arial" w:hAnsi="Arial" w:cs="Arial"/>
          <w:sz w:val="19"/>
          <w:szCs w:val="19"/>
        </w:rPr>
        <w:t>»A</w:t>
      </w:r>
      <w:proofErr w:type="gramEnd"/>
      <w:r w:rsidRPr="00AD0743">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43019D8" w14:textId="77777777" w:rsidR="0029624A" w:rsidRPr="00AD0743" w:rsidRDefault="0029624A" w:rsidP="00420C9F">
      <w:pPr>
        <w:pStyle w:val="Textonotapie"/>
        <w:spacing w:after="0" w:line="240" w:lineRule="auto"/>
        <w:ind w:firstLine="709"/>
        <w:contextualSpacing/>
        <w:rPr>
          <w:rFonts w:ascii="Arial" w:hAnsi="Arial" w:cs="Arial"/>
          <w:sz w:val="19"/>
          <w:szCs w:val="19"/>
        </w:rPr>
      </w:pPr>
    </w:p>
  </w:footnote>
  <w:footnote w:id="3">
    <w:p w14:paraId="3BF02949"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Gaceta del Congreso de la República No. 71 del 2005.</w:t>
      </w:r>
    </w:p>
  </w:footnote>
  <w:footnote w:id="4">
    <w:p w14:paraId="7D37A1AA" w14:textId="77777777" w:rsidR="0029624A" w:rsidRDefault="0029624A" w:rsidP="00420C9F">
      <w:pPr>
        <w:pStyle w:val="Textonotapie"/>
        <w:spacing w:after="0" w:line="240" w:lineRule="auto"/>
        <w:ind w:firstLine="709"/>
        <w:contextualSpacing/>
        <w:rPr>
          <w:rFonts w:ascii="Arial" w:hAnsi="Arial" w:cs="Arial"/>
          <w:sz w:val="19"/>
          <w:szCs w:val="19"/>
        </w:rPr>
      </w:pPr>
    </w:p>
    <w:p w14:paraId="076C9F7A" w14:textId="4CE16049"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Corte Constitucional, Sentencia C- 1153 de 2005, M.P. Marco Gerardo Monroy Cabra.</w:t>
      </w:r>
    </w:p>
  </w:footnote>
  <w:footnote w:id="5">
    <w:p w14:paraId="10997EB2" w14:textId="77777777" w:rsidR="0029624A" w:rsidRDefault="0029624A" w:rsidP="00420C9F">
      <w:pPr>
        <w:pStyle w:val="Textonotapie"/>
        <w:spacing w:after="0" w:line="240" w:lineRule="auto"/>
        <w:ind w:firstLine="708"/>
        <w:contextualSpacing/>
        <w:rPr>
          <w:rFonts w:ascii="Arial" w:hAnsi="Arial" w:cs="Arial"/>
          <w:sz w:val="19"/>
          <w:szCs w:val="19"/>
        </w:rPr>
      </w:pPr>
    </w:p>
    <w:p w14:paraId="6D2EC982" w14:textId="54FBE61A" w:rsidR="00420C9F"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 (</w:t>
      </w:r>
      <w:r w:rsidRPr="005E55C3">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Pr="005E55C3">
        <w:rPr>
          <w:rFonts w:ascii="Arial" w:hAnsi="Arial" w:cs="Arial"/>
          <w:sz w:val="19"/>
          <w:szCs w:val="19"/>
        </w:rPr>
        <w:t>)</w:t>
      </w:r>
      <w:r w:rsidRPr="005E55C3">
        <w:rPr>
          <w:rStyle w:val="Refdenotaalpie"/>
          <w:rFonts w:ascii="Arial" w:hAnsi="Arial" w:cs="Arial"/>
          <w:sz w:val="19"/>
          <w:szCs w:val="19"/>
          <w:vertAlign w:val="baseline"/>
        </w:rPr>
        <w:t>.</w:t>
      </w:r>
    </w:p>
    <w:p w14:paraId="5EB75DD8" w14:textId="77777777" w:rsidR="0029624A" w:rsidRPr="00AD0743" w:rsidRDefault="0029624A" w:rsidP="00420C9F">
      <w:pPr>
        <w:pStyle w:val="Textonotapie"/>
        <w:spacing w:after="0" w:line="240" w:lineRule="auto"/>
        <w:ind w:firstLine="708"/>
        <w:contextualSpacing/>
        <w:rPr>
          <w:rFonts w:ascii="Arial" w:hAnsi="Arial" w:cs="Arial"/>
          <w:sz w:val="19"/>
          <w:szCs w:val="19"/>
          <w:lang w:val="es-CO"/>
        </w:rPr>
      </w:pPr>
    </w:p>
  </w:footnote>
  <w:footnote w:id="6">
    <w:p w14:paraId="36F5774A"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32AAAC9F" w14:textId="77777777" w:rsidR="0029624A" w:rsidRDefault="0029624A" w:rsidP="00420C9F">
      <w:pPr>
        <w:pStyle w:val="Textonotapie"/>
        <w:spacing w:after="0" w:line="240" w:lineRule="auto"/>
        <w:ind w:firstLine="709"/>
        <w:contextualSpacing/>
        <w:rPr>
          <w:rFonts w:ascii="Arial" w:hAnsi="Arial" w:cs="Arial"/>
          <w:sz w:val="19"/>
          <w:szCs w:val="19"/>
          <w:lang w:val="es-CO"/>
        </w:rPr>
      </w:pPr>
    </w:p>
    <w:p w14:paraId="01EE1D7D" w14:textId="0F2C544C" w:rsidR="00420C9F" w:rsidRPr="00AD0743" w:rsidRDefault="00420C9F" w:rsidP="00420C9F">
      <w:pPr>
        <w:pStyle w:val="Textonotapie"/>
        <w:spacing w:after="0" w:line="240" w:lineRule="auto"/>
        <w:ind w:firstLine="709"/>
        <w:contextualSpacing/>
        <w:rPr>
          <w:rFonts w:ascii="Arial" w:hAnsi="Arial" w:cs="Arial"/>
          <w:sz w:val="19"/>
          <w:szCs w:val="19"/>
          <w:lang w:val="es-CO"/>
        </w:rPr>
      </w:pPr>
      <w:r w:rsidRPr="00AD0743">
        <w:rPr>
          <w:rStyle w:val="Refdenotaalpie"/>
          <w:rFonts w:ascii="Arial" w:hAnsi="Arial" w:cs="Arial"/>
          <w:sz w:val="19"/>
          <w:szCs w:val="19"/>
        </w:rPr>
        <w:footnoteRef/>
      </w:r>
      <w:r w:rsidRPr="00AD0743">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26EE0274" w14:textId="1AD8D9CD" w:rsidR="00420C9F"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de fecha 24 de julio de 2013, radicado 2166, </w:t>
      </w:r>
      <w:proofErr w:type="gramStart"/>
      <w:r w:rsidRPr="00AD0743">
        <w:rPr>
          <w:rFonts w:ascii="Arial" w:hAnsi="Arial" w:cs="Arial"/>
          <w:sz w:val="19"/>
          <w:szCs w:val="19"/>
        </w:rPr>
        <w:t>Consejero</w:t>
      </w:r>
      <w:proofErr w:type="gramEnd"/>
      <w:r w:rsidRPr="00AD0743">
        <w:rPr>
          <w:rFonts w:ascii="Arial" w:hAnsi="Arial" w:cs="Arial"/>
          <w:sz w:val="19"/>
          <w:szCs w:val="19"/>
        </w:rPr>
        <w:t xml:space="preserve"> Ponente: Álvaro </w:t>
      </w:r>
      <w:proofErr w:type="spellStart"/>
      <w:r w:rsidRPr="00AD0743">
        <w:rPr>
          <w:rFonts w:ascii="Arial" w:hAnsi="Arial" w:cs="Arial"/>
          <w:sz w:val="19"/>
          <w:szCs w:val="19"/>
        </w:rPr>
        <w:t>Namén</w:t>
      </w:r>
      <w:proofErr w:type="spellEnd"/>
      <w:r w:rsidRPr="00AD0743">
        <w:rPr>
          <w:rFonts w:ascii="Arial" w:hAnsi="Arial" w:cs="Arial"/>
          <w:sz w:val="19"/>
          <w:szCs w:val="19"/>
        </w:rPr>
        <w:t xml:space="preserve"> Vargas.  </w:t>
      </w:r>
    </w:p>
    <w:p w14:paraId="0C285063" w14:textId="77777777" w:rsidR="0029624A" w:rsidRPr="00AD0743" w:rsidRDefault="0029624A" w:rsidP="00420C9F">
      <w:pPr>
        <w:pStyle w:val="Textonotapie"/>
        <w:spacing w:after="0" w:line="240" w:lineRule="auto"/>
        <w:ind w:firstLine="709"/>
        <w:contextualSpacing/>
        <w:rPr>
          <w:rFonts w:ascii="Arial" w:hAnsi="Arial" w:cs="Arial"/>
          <w:sz w:val="19"/>
          <w:szCs w:val="19"/>
        </w:rPr>
      </w:pPr>
    </w:p>
  </w:footnote>
  <w:footnote w:id="9">
    <w:p w14:paraId="13E0DEE8" w14:textId="77777777" w:rsidR="00420C9F" w:rsidRPr="00AD0743" w:rsidRDefault="00420C9F" w:rsidP="00420C9F">
      <w:pPr>
        <w:spacing w:after="0" w:line="240" w:lineRule="auto"/>
        <w:ind w:firstLine="709"/>
        <w:contextualSpacing/>
        <w:jc w:val="both"/>
        <w:rPr>
          <w:rFonts w:ascii="Arial" w:eastAsia="Times New Roman"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10" w:name="33"/>
      <w:r w:rsidRPr="00AD0743">
        <w:rPr>
          <w:rFonts w:ascii="Arial" w:eastAsia="Calibri" w:hAnsi="Arial" w:cs="Arial"/>
          <w:bCs/>
          <w:color w:val="000000"/>
          <w:sz w:val="19"/>
          <w:szCs w:val="19"/>
        </w:rPr>
        <w:t>«</w:t>
      </w:r>
      <w:r w:rsidRPr="00AD0743">
        <w:rPr>
          <w:rFonts w:ascii="Arial" w:eastAsia="Times New Roman" w:hAnsi="Arial" w:cs="Arial"/>
          <w:sz w:val="19"/>
          <w:szCs w:val="19"/>
        </w:rPr>
        <w:t>Artículo 33. Restricciones a la contratación pública.</w:t>
      </w:r>
      <w:bookmarkEnd w:id="10"/>
      <w:r w:rsidRPr="00AD0743">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4D42EB1" w14:textId="77777777" w:rsidR="00420C9F" w:rsidRPr="00AD0743" w:rsidRDefault="00420C9F" w:rsidP="00420C9F">
      <w:pPr>
        <w:spacing w:after="0" w:line="240" w:lineRule="auto"/>
        <w:ind w:firstLine="709"/>
        <w:contextualSpacing/>
        <w:jc w:val="both"/>
        <w:rPr>
          <w:rFonts w:ascii="Arial" w:eastAsia="Times New Roman" w:hAnsi="Arial" w:cs="Arial"/>
          <w:sz w:val="19"/>
          <w:szCs w:val="19"/>
        </w:rPr>
      </w:pPr>
      <w:r w:rsidRPr="00AD0743">
        <w:rPr>
          <w:rFonts w:ascii="Arial" w:eastAsia="Calibri" w:hAnsi="Arial" w:cs="Arial"/>
          <w:bCs/>
          <w:color w:val="000000"/>
          <w:sz w:val="19"/>
          <w:szCs w:val="19"/>
        </w:rPr>
        <w:t>»</w:t>
      </w:r>
      <w:r w:rsidRPr="00AD0743">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D0743">
        <w:rPr>
          <w:rFonts w:ascii="Arial" w:eastAsia="Calibri" w:hAnsi="Arial" w:cs="Arial"/>
          <w:bCs/>
          <w:color w:val="000000"/>
          <w:sz w:val="19"/>
          <w:szCs w:val="19"/>
        </w:rPr>
        <w:t>»</w:t>
      </w:r>
      <w:r w:rsidRPr="00AD0743">
        <w:rPr>
          <w:rFonts w:ascii="Arial" w:eastAsia="Times New Roman" w:hAnsi="Arial" w:cs="Arial"/>
          <w:sz w:val="19"/>
          <w:szCs w:val="19"/>
        </w:rPr>
        <w:t>.</w:t>
      </w:r>
    </w:p>
  </w:footnote>
  <w:footnote w:id="10">
    <w:p w14:paraId="4B100FEC" w14:textId="77777777" w:rsidR="00420C9F" w:rsidRPr="00AD0743" w:rsidRDefault="00420C9F" w:rsidP="00420C9F">
      <w:pPr>
        <w:pStyle w:val="NormalWeb"/>
        <w:spacing w:before="0" w:beforeAutospacing="0" w:after="0" w:afterAutospacing="0" w:line="240" w:lineRule="auto"/>
        <w:ind w:firstLine="709"/>
        <w:contextualSpacing/>
        <w:rPr>
          <w:rFonts w:ascii="Arial" w:hAnsi="Arial" w:cs="Arial"/>
          <w:sz w:val="19"/>
          <w:szCs w:val="19"/>
          <w:lang w:val="es-MX"/>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11" w:name="38"/>
      <w:r w:rsidRPr="00AD0743">
        <w:rPr>
          <w:rFonts w:ascii="Arial" w:eastAsia="Calibri" w:hAnsi="Arial" w:cs="Arial"/>
          <w:bCs/>
          <w:color w:val="000000"/>
          <w:sz w:val="19"/>
          <w:szCs w:val="19"/>
        </w:rPr>
        <w:t>«</w:t>
      </w:r>
      <w:r w:rsidRPr="00AD0743">
        <w:rPr>
          <w:rFonts w:ascii="Arial" w:hAnsi="Arial" w:cs="Arial"/>
          <w:sz w:val="19"/>
          <w:szCs w:val="19"/>
          <w:lang w:val="es-MX"/>
        </w:rPr>
        <w:t>Artículo 38. Prohibiciones para los servidores públicos. A los empleados del Estado les está prohibido:</w:t>
      </w:r>
      <w:bookmarkEnd w:id="11"/>
    </w:p>
    <w:p w14:paraId="423F9F7C" w14:textId="77777777" w:rsidR="00420C9F" w:rsidRPr="00AD0743" w:rsidRDefault="00420C9F" w:rsidP="00420C9F">
      <w:pPr>
        <w:pStyle w:val="NormalWeb"/>
        <w:spacing w:before="0" w:beforeAutospacing="0" w:after="0" w:afterAutospacing="0" w:line="240" w:lineRule="auto"/>
        <w:ind w:firstLine="709"/>
        <w:contextualSpacing/>
        <w:rPr>
          <w:rFonts w:ascii="Arial" w:hAnsi="Arial" w:cs="Arial"/>
          <w:sz w:val="19"/>
          <w:szCs w:val="19"/>
          <w:lang w:val="es-MX"/>
        </w:rPr>
      </w:pPr>
      <w:r w:rsidRPr="00AD0743">
        <w:rPr>
          <w:rFonts w:ascii="Arial" w:eastAsia="Calibri" w:hAnsi="Arial" w:cs="Arial"/>
          <w:bCs/>
          <w:color w:val="000000"/>
          <w:sz w:val="19"/>
          <w:szCs w:val="19"/>
        </w:rPr>
        <w:t>»</w:t>
      </w:r>
      <w:r w:rsidRPr="00AD0743">
        <w:rPr>
          <w:rFonts w:ascii="Arial" w:hAnsi="Arial" w:cs="Arial"/>
          <w:sz w:val="19"/>
          <w:szCs w:val="19"/>
          <w:lang w:val="es-MX"/>
        </w:rPr>
        <w:t xml:space="preserve"> […]</w:t>
      </w:r>
    </w:p>
    <w:p w14:paraId="1DD62E38" w14:textId="28190BE2" w:rsidR="00420C9F" w:rsidRDefault="00420C9F" w:rsidP="00420C9F">
      <w:pPr>
        <w:pStyle w:val="NormalWeb"/>
        <w:spacing w:before="0" w:beforeAutospacing="0" w:after="0" w:afterAutospacing="0" w:line="240" w:lineRule="auto"/>
        <w:ind w:firstLine="709"/>
        <w:contextualSpacing/>
        <w:rPr>
          <w:rFonts w:ascii="Arial" w:hAnsi="Arial" w:cs="Arial"/>
          <w:sz w:val="19"/>
          <w:szCs w:val="19"/>
          <w:lang w:val="es-MX"/>
        </w:rPr>
      </w:pPr>
      <w:r w:rsidRPr="00AD0743">
        <w:rPr>
          <w:rFonts w:ascii="Arial" w:eastAsia="Calibri" w:hAnsi="Arial" w:cs="Arial"/>
          <w:bCs/>
          <w:color w:val="000000"/>
          <w:sz w:val="19"/>
          <w:szCs w:val="19"/>
        </w:rPr>
        <w:t>»</w:t>
      </w:r>
      <w:r w:rsidRPr="00AD0743">
        <w:rPr>
          <w:rStyle w:val="baj"/>
          <w:rFonts w:ascii="Arial" w:hAnsi="Arial" w:cs="Arial"/>
          <w:sz w:val="19"/>
          <w:szCs w:val="19"/>
          <w:lang w:val="es-MX"/>
        </w:rPr>
        <w:t xml:space="preserve"> Parágrafo.</w:t>
      </w:r>
      <w:r w:rsidRPr="00AD0743">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0743">
        <w:rPr>
          <w:rFonts w:ascii="Arial" w:eastAsia="Calibri" w:hAnsi="Arial" w:cs="Arial"/>
          <w:bCs/>
          <w:color w:val="000000"/>
          <w:sz w:val="19"/>
          <w:szCs w:val="19"/>
        </w:rPr>
        <w:t>»</w:t>
      </w:r>
      <w:r w:rsidRPr="00AD0743">
        <w:rPr>
          <w:rFonts w:ascii="Arial" w:hAnsi="Arial" w:cs="Arial"/>
          <w:sz w:val="19"/>
          <w:szCs w:val="19"/>
          <w:lang w:val="es-MX"/>
        </w:rPr>
        <w:t>.</w:t>
      </w:r>
    </w:p>
    <w:p w14:paraId="63E9ACC0" w14:textId="77777777" w:rsidR="0029624A" w:rsidRPr="00AD0743" w:rsidRDefault="0029624A" w:rsidP="00420C9F">
      <w:pPr>
        <w:pStyle w:val="NormalWeb"/>
        <w:spacing w:before="0" w:beforeAutospacing="0" w:after="0" w:afterAutospacing="0" w:line="240" w:lineRule="auto"/>
        <w:ind w:firstLine="709"/>
        <w:contextualSpacing/>
        <w:rPr>
          <w:rFonts w:ascii="Arial" w:hAnsi="Arial" w:cs="Arial"/>
          <w:sz w:val="19"/>
          <w:szCs w:val="19"/>
          <w:lang w:val="es-MX"/>
        </w:rPr>
      </w:pPr>
    </w:p>
  </w:footnote>
  <w:footnote w:id="11">
    <w:p w14:paraId="3CB7C979" w14:textId="77777777" w:rsidR="00420C9F" w:rsidRPr="00AD0743" w:rsidRDefault="00420C9F" w:rsidP="00420C9F">
      <w:pPr>
        <w:spacing w:after="0" w:line="240" w:lineRule="auto"/>
        <w:ind w:left="100" w:right="244" w:firstLine="709"/>
        <w:contextualSpacing/>
        <w:jc w:val="both"/>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71B90A76" w14:textId="77777777" w:rsidR="00420C9F" w:rsidRPr="00AD0743" w:rsidRDefault="00420C9F" w:rsidP="00420C9F">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17" w:name="_Hlk74272731"/>
      <w:r w:rsidRPr="00AD0743">
        <w:rPr>
          <w:rFonts w:ascii="Arial" w:hAnsi="Arial" w:cs="Arial"/>
          <w:sz w:val="19"/>
          <w:szCs w:val="19"/>
        </w:rPr>
        <w:t>«</w:t>
      </w:r>
      <w:bookmarkEnd w:id="17"/>
      <w:r w:rsidRPr="00AD0743">
        <w:rPr>
          <w:rFonts w:ascii="Arial" w:hAnsi="Arial" w:cs="Arial"/>
          <w:sz w:val="19"/>
          <w:szCs w:val="19"/>
          <w:lang w:val="es-ES"/>
        </w:rPr>
        <w:t xml:space="preserve">[25] </w:t>
      </w:r>
      <w:r w:rsidRPr="00AD0743">
        <w:rPr>
          <w:rFonts w:ascii="Arial" w:hAnsi="Arial" w:cs="Arial"/>
          <w:sz w:val="19"/>
          <w:szCs w:val="19"/>
        </w:rPr>
        <w:t>Cfr. Consejo de Estado. Sección Tercera. Sentencia de 3 de diciembre de 2007. Radicados: 24.715, 25.206, 25.409, 24.524, 27.834, 25.410, 26.105, 28.244, 31.447 -acumulados-</w:t>
      </w:r>
      <w:bookmarkStart w:id="18" w:name="_Hlk74271358"/>
      <w:r w:rsidRPr="00AD0743">
        <w:rPr>
          <w:rFonts w:ascii="Arial" w:hAnsi="Arial" w:cs="Arial"/>
          <w:sz w:val="19"/>
          <w:szCs w:val="19"/>
        </w:rPr>
        <w:t>»</w:t>
      </w:r>
      <w:bookmarkEnd w:id="18"/>
      <w:r w:rsidRPr="00AD0743">
        <w:rPr>
          <w:rFonts w:ascii="Arial" w:hAnsi="Arial" w:cs="Arial"/>
          <w:sz w:val="19"/>
          <w:szCs w:val="19"/>
        </w:rPr>
        <w:t>.</w:t>
      </w:r>
    </w:p>
  </w:footnote>
  <w:footnote w:id="13">
    <w:p w14:paraId="62D33319" w14:textId="22732365" w:rsidR="00420C9F" w:rsidRDefault="00420C9F" w:rsidP="00420C9F">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20" w:name="_Hlk74294506"/>
      <w:r w:rsidRPr="00AD0743">
        <w:rPr>
          <w:rFonts w:ascii="Arial" w:hAnsi="Arial" w:cs="Arial"/>
          <w:sz w:val="19"/>
          <w:szCs w:val="19"/>
        </w:rPr>
        <w:t>«</w:t>
      </w:r>
      <w:r w:rsidRPr="00AD0743">
        <w:rPr>
          <w:rFonts w:ascii="Arial" w:hAnsi="Arial" w:cs="Arial"/>
          <w:sz w:val="19"/>
          <w:szCs w:val="19"/>
          <w:lang w:val="es-ES"/>
        </w:rPr>
        <w:t xml:space="preserve">[26] </w:t>
      </w:r>
      <w:bookmarkEnd w:id="20"/>
      <w:r w:rsidRPr="00AD0743">
        <w:rPr>
          <w:rFonts w:ascii="Arial" w:hAnsi="Arial" w:cs="Arial"/>
          <w:sz w:val="19"/>
          <w:szCs w:val="19"/>
        </w:rPr>
        <w:t>Al respecto ver el concepto 1712 de 2 de febrero de 2006. Consejo de Estado Sala de Consulta y Servicio Civil».</w:t>
      </w:r>
    </w:p>
    <w:p w14:paraId="3621A2D3" w14:textId="77777777" w:rsidR="0029624A" w:rsidRPr="00AD0743" w:rsidRDefault="0029624A" w:rsidP="00420C9F">
      <w:pPr>
        <w:pStyle w:val="Textonotapie"/>
        <w:spacing w:after="0" w:line="240" w:lineRule="auto"/>
        <w:ind w:right="51" w:firstLine="709"/>
        <w:contextualSpacing/>
        <w:rPr>
          <w:rFonts w:ascii="Arial" w:hAnsi="Arial" w:cs="Arial"/>
          <w:sz w:val="19"/>
          <w:szCs w:val="19"/>
        </w:rPr>
      </w:pPr>
    </w:p>
  </w:footnote>
  <w:footnote w:id="14">
    <w:p w14:paraId="5B5C2504"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AD0743">
        <w:rPr>
          <w:rFonts w:ascii="Arial" w:hAnsi="Arial" w:cs="Arial"/>
          <w:sz w:val="19"/>
          <w:szCs w:val="19"/>
        </w:rPr>
        <w:t>Namén</w:t>
      </w:r>
      <w:proofErr w:type="spellEnd"/>
      <w:r w:rsidRPr="00AD0743">
        <w:rPr>
          <w:rFonts w:ascii="Arial" w:hAnsi="Arial" w:cs="Arial"/>
          <w:sz w:val="19"/>
          <w:szCs w:val="19"/>
        </w:rPr>
        <w:t xml:space="preserve"> Vargas.</w:t>
      </w:r>
    </w:p>
  </w:footnote>
  <w:footnote w:id="15">
    <w:p w14:paraId="7904E99C" w14:textId="079FE5CB" w:rsidR="00420C9F" w:rsidRDefault="00420C9F" w:rsidP="00420C9F">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hAnsi="Arial" w:cs="Arial"/>
          <w:sz w:val="19"/>
          <w:szCs w:val="19"/>
          <w:lang w:val="es-ES"/>
        </w:rPr>
        <w:t xml:space="preserve">Artículo 2. </w:t>
      </w:r>
    </w:p>
    <w:p w14:paraId="1C3F62A8" w14:textId="77777777" w:rsidR="0029624A" w:rsidRPr="00AD0743" w:rsidRDefault="0029624A" w:rsidP="00420C9F">
      <w:pPr>
        <w:pStyle w:val="Textonotapie"/>
        <w:spacing w:after="0" w:line="240" w:lineRule="auto"/>
        <w:ind w:firstLine="709"/>
        <w:contextualSpacing/>
        <w:rPr>
          <w:rFonts w:ascii="Arial" w:hAnsi="Arial" w:cs="Arial"/>
          <w:sz w:val="19"/>
          <w:szCs w:val="19"/>
          <w:lang w:val="es-ES"/>
        </w:rPr>
      </w:pPr>
    </w:p>
  </w:footnote>
  <w:footnote w:id="16">
    <w:p w14:paraId="11320FC5" w14:textId="77777777" w:rsidR="0029624A" w:rsidRDefault="0029624A" w:rsidP="00420C9F">
      <w:pPr>
        <w:pStyle w:val="Textonotapie"/>
        <w:spacing w:after="0" w:line="240" w:lineRule="auto"/>
        <w:ind w:firstLine="709"/>
        <w:contextualSpacing/>
        <w:rPr>
          <w:rFonts w:ascii="Arial" w:hAnsi="Arial" w:cs="Arial"/>
          <w:sz w:val="19"/>
          <w:szCs w:val="19"/>
        </w:rPr>
      </w:pPr>
    </w:p>
    <w:p w14:paraId="4C82F9BC" w14:textId="633F5F26"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hAnsi="Arial" w:cs="Arial"/>
          <w:i/>
          <w:sz w:val="19"/>
          <w:szCs w:val="19"/>
          <w:lang w:val="es-ES"/>
        </w:rPr>
        <w:t>Ídem</w:t>
      </w:r>
      <w:r w:rsidRPr="00AD0743">
        <w:rPr>
          <w:rFonts w:ascii="Arial" w:hAnsi="Arial" w:cs="Arial"/>
          <w:sz w:val="19"/>
          <w:szCs w:val="19"/>
          <w:lang w:val="es-ES"/>
        </w:rPr>
        <w:t>.</w:t>
      </w:r>
    </w:p>
  </w:footnote>
  <w:footnote w:id="17">
    <w:p w14:paraId="2911C856" w14:textId="77777777" w:rsidR="0029624A" w:rsidRDefault="0029624A" w:rsidP="00420C9F">
      <w:pPr>
        <w:pStyle w:val="Textonotapie"/>
        <w:spacing w:after="0" w:line="240" w:lineRule="auto"/>
        <w:ind w:firstLine="709"/>
        <w:contextualSpacing/>
        <w:rPr>
          <w:rFonts w:ascii="Arial" w:hAnsi="Arial" w:cs="Arial"/>
          <w:sz w:val="19"/>
          <w:szCs w:val="19"/>
        </w:rPr>
      </w:pPr>
    </w:p>
    <w:p w14:paraId="57B38912" w14:textId="71A02E01" w:rsidR="00420C9F" w:rsidRPr="00AD0743" w:rsidRDefault="00420C9F" w:rsidP="00420C9F">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Style w:val="Refdenotaalpie"/>
          <w:rFonts w:ascii="Arial" w:hAnsi="Arial" w:cs="Arial"/>
          <w:sz w:val="19"/>
          <w:szCs w:val="19"/>
        </w:rPr>
        <w:t xml:space="preserve"> </w:t>
      </w:r>
      <w:bookmarkStart w:id="25" w:name="_Hlk74297130"/>
      <w:r w:rsidRPr="00AD0743">
        <w:rPr>
          <w:rFonts w:ascii="Arial" w:hAnsi="Arial" w:cs="Arial"/>
          <w:sz w:val="19"/>
          <w:szCs w:val="19"/>
          <w:lang w:val="es-ES"/>
        </w:rPr>
        <w:t>«</w:t>
      </w:r>
      <w:bookmarkEnd w:id="25"/>
      <w:r w:rsidRPr="00AD0743">
        <w:rPr>
          <w:rFonts w:ascii="Arial" w:hAnsi="Arial" w:cs="Arial"/>
          <w:sz w:val="19"/>
          <w:szCs w:val="19"/>
          <w:lang w:val="es-ES"/>
        </w:rPr>
        <w:t xml:space="preserve">[…] A este respecto, cabe recordar que el artículo 860 del Código de Comercio regula la licitación en el derecho privado». </w:t>
      </w:r>
    </w:p>
  </w:footnote>
  <w:footnote w:id="18">
    <w:p w14:paraId="10F41494" w14:textId="77777777" w:rsidR="0029624A" w:rsidRDefault="0029624A" w:rsidP="00420C9F">
      <w:pPr>
        <w:shd w:val="clear" w:color="auto" w:fill="FFFFFF"/>
        <w:spacing w:after="0" w:line="240" w:lineRule="auto"/>
        <w:ind w:firstLine="709"/>
        <w:contextualSpacing/>
        <w:jc w:val="both"/>
        <w:rPr>
          <w:rFonts w:ascii="Arial" w:hAnsi="Arial" w:cs="Arial"/>
          <w:sz w:val="19"/>
          <w:szCs w:val="19"/>
        </w:rPr>
      </w:pPr>
    </w:p>
    <w:p w14:paraId="1D9E6756" w14:textId="6DBD445A" w:rsidR="00420C9F" w:rsidRPr="00AD0743" w:rsidRDefault="00420C9F" w:rsidP="00420C9F">
      <w:pPr>
        <w:shd w:val="clear" w:color="auto" w:fill="FFFFFF"/>
        <w:spacing w:after="0" w:line="240" w:lineRule="auto"/>
        <w:ind w:firstLine="709"/>
        <w:contextualSpacing/>
        <w:jc w:val="both"/>
        <w:rPr>
          <w:rFonts w:ascii="Arial" w:hAnsi="Arial" w:cs="Arial"/>
          <w:sz w:val="19"/>
          <w:szCs w:val="19"/>
          <w:lang w:val="es-ES"/>
        </w:rPr>
      </w:pPr>
      <w:r w:rsidRPr="00AD0743">
        <w:rPr>
          <w:rStyle w:val="Refdenotaalpie"/>
          <w:rFonts w:ascii="Arial" w:hAnsi="Arial" w:cs="Arial"/>
          <w:sz w:val="19"/>
          <w:szCs w:val="19"/>
        </w:rPr>
        <w:footnoteRef/>
      </w:r>
      <w:r w:rsidRPr="00AD0743">
        <w:rPr>
          <w:rStyle w:val="Refdenotaalpie"/>
          <w:rFonts w:ascii="Arial" w:hAnsi="Arial" w:cs="Arial"/>
          <w:sz w:val="19"/>
          <w:szCs w:val="19"/>
        </w:rPr>
        <w:t xml:space="preserve"> </w:t>
      </w:r>
      <w:r w:rsidRPr="00AD0743">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AD0743">
        <w:rPr>
          <w:rFonts w:ascii="Arial" w:hAnsi="Arial" w:cs="Arial"/>
          <w:sz w:val="19"/>
          <w:szCs w:val="19"/>
          <w:lang w:val="es-ES"/>
        </w:rPr>
        <w:t>Namén</w:t>
      </w:r>
      <w:proofErr w:type="spellEnd"/>
      <w:r w:rsidRPr="00AD0743">
        <w:rPr>
          <w:rFonts w:ascii="Arial" w:hAnsi="Arial" w:cs="Arial"/>
          <w:sz w:val="19"/>
          <w:szCs w:val="19"/>
          <w:lang w:val="es-ES"/>
        </w:rPr>
        <w:t xml:space="preserve"> Vargas.</w:t>
      </w:r>
    </w:p>
  </w:footnote>
  <w:footnote w:id="19">
    <w:p w14:paraId="60EF0204"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08 de mayo de 2018. </w:t>
      </w:r>
      <w:proofErr w:type="spellStart"/>
      <w:r w:rsidRPr="00AD0743">
        <w:rPr>
          <w:rFonts w:ascii="Arial" w:hAnsi="Arial" w:cs="Arial"/>
          <w:sz w:val="19"/>
          <w:szCs w:val="19"/>
        </w:rPr>
        <w:t>Exp</w:t>
      </w:r>
      <w:proofErr w:type="spellEnd"/>
      <w:r w:rsidRPr="00AD0743">
        <w:rPr>
          <w:rFonts w:ascii="Arial" w:hAnsi="Arial" w:cs="Arial"/>
          <w:sz w:val="19"/>
          <w:szCs w:val="19"/>
        </w:rPr>
        <w:t xml:space="preserve">. 2.382. C.P. Álvaro </w:t>
      </w:r>
      <w:proofErr w:type="spellStart"/>
      <w:r w:rsidRPr="00AD0743">
        <w:rPr>
          <w:rFonts w:ascii="Arial" w:hAnsi="Arial" w:cs="Arial"/>
          <w:sz w:val="19"/>
          <w:szCs w:val="19"/>
        </w:rPr>
        <w:t>Namén</w:t>
      </w:r>
      <w:proofErr w:type="spellEnd"/>
      <w:r w:rsidRPr="00AD0743">
        <w:rPr>
          <w:rFonts w:ascii="Arial" w:hAnsi="Arial" w:cs="Arial"/>
          <w:sz w:val="19"/>
          <w:szCs w:val="19"/>
        </w:rPr>
        <w:t xml:space="preserve"> Vargas.</w:t>
      </w:r>
    </w:p>
  </w:footnote>
  <w:footnote w:id="20">
    <w:p w14:paraId="4C2D40FF" w14:textId="2412B836" w:rsidR="00420C9F"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7D31A9FC" w14:textId="77777777" w:rsidR="0029624A" w:rsidRPr="00AD0743" w:rsidRDefault="0029624A" w:rsidP="00420C9F">
      <w:pPr>
        <w:pStyle w:val="Textonotapie"/>
        <w:spacing w:after="0" w:line="240" w:lineRule="auto"/>
        <w:ind w:firstLine="709"/>
        <w:contextualSpacing/>
        <w:rPr>
          <w:rFonts w:ascii="Arial" w:hAnsi="Arial" w:cs="Arial"/>
          <w:sz w:val="19"/>
          <w:szCs w:val="19"/>
        </w:rPr>
      </w:pPr>
    </w:p>
  </w:footnote>
  <w:footnote w:id="21">
    <w:p w14:paraId="37708188" w14:textId="563FBA02" w:rsidR="00E91A24" w:rsidRPr="006A662B" w:rsidRDefault="00E91A24" w:rsidP="00DE57BD">
      <w:pPr>
        <w:pStyle w:val="Textonotapie"/>
        <w:spacing w:after="0"/>
        <w:ind w:firstLine="709"/>
        <w:contextualSpacing/>
        <w:rPr>
          <w:rFonts w:ascii="Arial" w:hAnsi="Arial" w:cs="Arial"/>
          <w:sz w:val="19"/>
          <w:szCs w:val="19"/>
        </w:rPr>
      </w:pPr>
      <w:r w:rsidRPr="006A662B">
        <w:rPr>
          <w:rStyle w:val="Refdenotaalpie"/>
          <w:rFonts w:ascii="Arial" w:hAnsi="Arial" w:cs="Arial"/>
          <w:sz w:val="19"/>
          <w:szCs w:val="19"/>
        </w:rPr>
        <w:footnoteRef/>
      </w:r>
      <w:r w:rsidRPr="006A662B">
        <w:rPr>
          <w:rFonts w:ascii="Arial" w:hAnsi="Arial" w:cs="Arial"/>
          <w:sz w:val="19"/>
          <w:szCs w:val="19"/>
        </w:rPr>
        <w:t xml:space="preserve"> Consejo de Estado. Sala de Consulta y Servicio Civil. Concepto del 18 de febrero 2010. Rad. 11001-03-06-000-2010-00006-00 (1985). C.P. Enrique José Arboleda Perdomo.</w:t>
      </w:r>
    </w:p>
  </w:footnote>
  <w:footnote w:id="22">
    <w:p w14:paraId="7F2365E7" w14:textId="77777777" w:rsidR="00420C9F" w:rsidRPr="00AD0743" w:rsidRDefault="00420C9F" w:rsidP="00420C9F">
      <w:pPr>
        <w:spacing w:after="0" w:line="240" w:lineRule="auto"/>
        <w:ind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0C094502" w14:textId="4C39C469" w:rsidR="00420C9F" w:rsidRDefault="00420C9F" w:rsidP="00420C9F">
      <w:pPr>
        <w:pStyle w:val="Textonotapie"/>
        <w:spacing w:after="0" w:line="240" w:lineRule="auto"/>
        <w:ind w:right="51" w:firstLine="709"/>
        <w:contextualSpacing/>
        <w:rPr>
          <w:rFonts w:ascii="Arial" w:eastAsia="Times New Roman" w:hAnsi="Arial" w:cs="Arial"/>
          <w:bCs/>
          <w:sz w:val="19"/>
          <w:szCs w:val="19"/>
          <w:lang w:eastAsia="x-none"/>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43" w:name="_Hlk75633115"/>
      <w:r w:rsidRPr="00AD0743">
        <w:rPr>
          <w:rFonts w:ascii="Arial" w:hAnsi="Arial" w:cs="Arial"/>
          <w:sz w:val="19"/>
          <w:szCs w:val="19"/>
        </w:rPr>
        <w:t xml:space="preserve">Consejo de Estado. Sala de Consulta y Servicio Civil. Concepto </w:t>
      </w:r>
      <w:bookmarkEnd w:id="43"/>
      <w:r w:rsidRPr="00AD0743">
        <w:rPr>
          <w:rFonts w:ascii="Arial" w:hAnsi="Arial" w:cs="Arial"/>
          <w:sz w:val="19"/>
          <w:szCs w:val="19"/>
        </w:rPr>
        <w:t>de 6 de abril de 2006. Radicación Número: 11001-03-06-000-2006-00038-00(1738). Consejero Ponente: Enrique José Arboleda Perdomo:</w:t>
      </w:r>
      <w:r w:rsidRPr="00AD0743">
        <w:rPr>
          <w:rFonts w:ascii="Arial" w:eastAsia="Times New Roman" w:hAnsi="Arial" w:cs="Arial"/>
          <w:bCs/>
          <w:sz w:val="19"/>
          <w:szCs w:val="19"/>
          <w:lang w:eastAsia="x-none"/>
        </w:rPr>
        <w:t xml:space="preserve"> «</w:t>
      </w:r>
      <w:r w:rsidRPr="00AD0743">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D0743">
        <w:rPr>
          <w:rFonts w:ascii="Arial" w:eastAsia="Times New Roman" w:hAnsi="Arial" w:cs="Arial"/>
          <w:bCs/>
          <w:sz w:val="19"/>
          <w:szCs w:val="19"/>
          <w:lang w:eastAsia="x-none"/>
        </w:rPr>
        <w:t>».</w:t>
      </w:r>
    </w:p>
    <w:p w14:paraId="5F30BB72" w14:textId="77777777" w:rsidR="0029624A" w:rsidRPr="00AD0743" w:rsidRDefault="0029624A" w:rsidP="00420C9F">
      <w:pPr>
        <w:pStyle w:val="Textonotapie"/>
        <w:spacing w:after="0" w:line="240" w:lineRule="auto"/>
        <w:ind w:right="51" w:firstLine="709"/>
        <w:contextualSpacing/>
        <w:rPr>
          <w:rFonts w:ascii="Arial" w:hAnsi="Arial" w:cs="Arial"/>
          <w:sz w:val="19"/>
          <w:szCs w:val="19"/>
        </w:rPr>
      </w:pPr>
    </w:p>
  </w:footnote>
  <w:footnote w:id="24">
    <w:p w14:paraId="5AA91B64" w14:textId="77777777" w:rsidR="00420C9F" w:rsidRPr="00AD0743" w:rsidRDefault="00420C9F" w:rsidP="00420C9F">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5">
    <w:p w14:paraId="457AB3D5" w14:textId="463BE1AF" w:rsidR="00420C9F"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024DC04F" w14:textId="77777777" w:rsidR="0029624A" w:rsidRPr="00AD0743" w:rsidRDefault="0029624A" w:rsidP="00420C9F">
      <w:pPr>
        <w:pStyle w:val="Textonotapie"/>
        <w:spacing w:after="0" w:line="240" w:lineRule="auto"/>
        <w:ind w:firstLine="709"/>
        <w:contextualSpacing/>
        <w:rPr>
          <w:rFonts w:ascii="Arial" w:hAnsi="Arial" w:cs="Arial"/>
          <w:sz w:val="19"/>
          <w:szCs w:val="19"/>
        </w:rPr>
      </w:pPr>
    </w:p>
  </w:footnote>
  <w:footnote w:id="26">
    <w:p w14:paraId="0F51CD32" w14:textId="77777777" w:rsidR="00420C9F" w:rsidRPr="00AD0743" w:rsidRDefault="00420C9F" w:rsidP="00420C9F">
      <w:pPr>
        <w:spacing w:after="0" w:line="240" w:lineRule="auto"/>
        <w:ind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AD0743">
        <w:rPr>
          <w:rFonts w:ascii="Arial" w:hAnsi="Arial" w:cs="Arial"/>
          <w:sz w:val="19"/>
          <w:szCs w:val="19"/>
        </w:rPr>
        <w:t>y</w:t>
      </w:r>
      <w:proofErr w:type="gramEnd"/>
      <w:r w:rsidRPr="00AD0743">
        <w:rPr>
          <w:rFonts w:ascii="Arial" w:hAnsi="Arial" w:cs="Arial"/>
          <w:sz w:val="19"/>
          <w:szCs w:val="19"/>
        </w:rPr>
        <w:t xml:space="preserve"> en consecuencia, le es aplicable lo establecido en el artículo 2.2.1.2.1.4.1 del presente decreto.</w:t>
      </w:r>
    </w:p>
    <w:p w14:paraId="5039B055" w14:textId="77777777" w:rsidR="00420C9F" w:rsidRPr="00AD0743" w:rsidRDefault="00420C9F" w:rsidP="00420C9F">
      <w:pPr>
        <w:spacing w:after="0" w:line="240" w:lineRule="auto"/>
        <w:ind w:firstLine="709"/>
        <w:contextualSpacing/>
        <w:jc w:val="both"/>
        <w:rPr>
          <w:rFonts w:ascii="Arial" w:hAnsi="Arial" w:cs="Arial"/>
          <w:sz w:val="19"/>
          <w:szCs w:val="19"/>
        </w:rPr>
      </w:pPr>
      <w:proofErr w:type="gramStart"/>
      <w:r w:rsidRPr="00AD0743">
        <w:rPr>
          <w:rFonts w:ascii="Arial" w:hAnsi="Arial" w:cs="Arial"/>
          <w:sz w:val="19"/>
          <w:szCs w:val="19"/>
        </w:rPr>
        <w:t>»Cuando</w:t>
      </w:r>
      <w:proofErr w:type="gramEnd"/>
      <w:r w:rsidRPr="00AD0743">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D0743">
        <w:rPr>
          <w:rFonts w:ascii="Arial" w:hAnsi="Arial" w:cs="Arial"/>
          <w:spacing w:val="-1"/>
          <w:sz w:val="19"/>
          <w:szCs w:val="19"/>
        </w:rPr>
        <w:t xml:space="preserve"> </w:t>
      </w:r>
      <w:r w:rsidRPr="00AD0743">
        <w:rPr>
          <w:rFonts w:ascii="Arial" w:hAnsi="Arial" w:cs="Arial"/>
          <w:sz w:val="19"/>
          <w:szCs w:val="19"/>
        </w:rPr>
        <w:t>Estatales».</w:t>
      </w:r>
    </w:p>
  </w:footnote>
  <w:footnote w:id="27">
    <w:p w14:paraId="502E9D6C" w14:textId="77777777" w:rsidR="00420C9F" w:rsidRPr="00AD0743" w:rsidRDefault="00420C9F" w:rsidP="00420C9F">
      <w:pPr>
        <w:spacing w:after="0" w:line="240" w:lineRule="auto"/>
        <w:ind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D0743">
        <w:rPr>
          <w:rFonts w:ascii="Arial" w:hAnsi="Arial" w:cs="Arial"/>
          <w:spacing w:val="-6"/>
          <w:sz w:val="19"/>
          <w:szCs w:val="19"/>
        </w:rPr>
        <w:t xml:space="preserve"> </w:t>
      </w:r>
      <w:r w:rsidRPr="00AD0743">
        <w:rPr>
          <w:rFonts w:ascii="Arial" w:hAnsi="Arial" w:cs="Arial"/>
          <w:sz w:val="19"/>
          <w:szCs w:val="19"/>
        </w:rPr>
        <w:t>artículo».</w:t>
      </w:r>
    </w:p>
  </w:footnote>
  <w:footnote w:id="28">
    <w:p w14:paraId="275A0B55" w14:textId="77777777" w:rsidR="00420C9F" w:rsidRPr="00AD0743" w:rsidRDefault="00420C9F" w:rsidP="00420C9F">
      <w:pPr>
        <w:spacing w:after="0" w:line="240" w:lineRule="auto"/>
        <w:ind w:right="454"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position w:val="7"/>
          <w:sz w:val="19"/>
          <w:szCs w:val="19"/>
        </w:rPr>
        <w:t xml:space="preserve"> </w:t>
      </w:r>
      <w:r w:rsidRPr="00AD0743">
        <w:rPr>
          <w:rFonts w:ascii="Arial" w:hAnsi="Arial" w:cs="Arial"/>
          <w:sz w:val="19"/>
          <w:szCs w:val="19"/>
        </w:rPr>
        <w:t>Consejo de Estado. Sección Tercera. Sentencia del 23 de junio de 2010. Radicación No. 66001-23-31-000-1998-00261-01(17.860). Consejero Ponente: Mauricio Fajardo Gómez.</w:t>
      </w:r>
    </w:p>
  </w:footnote>
  <w:footnote w:id="29">
    <w:p w14:paraId="44718037" w14:textId="77777777" w:rsidR="00420C9F" w:rsidRPr="00AD0743" w:rsidRDefault="00420C9F" w:rsidP="00420C9F">
      <w:pPr>
        <w:spacing w:after="0" w:line="240" w:lineRule="auto"/>
        <w:ind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Sección Tercera. Subsección C. Sentencia del 11 de diciembre de 2019. </w:t>
      </w:r>
      <w:proofErr w:type="spellStart"/>
      <w:r w:rsidRPr="00AD0743">
        <w:rPr>
          <w:rFonts w:ascii="Arial" w:hAnsi="Arial" w:cs="Arial"/>
          <w:sz w:val="19"/>
          <w:szCs w:val="19"/>
        </w:rPr>
        <w:t>Exp</w:t>
      </w:r>
      <w:proofErr w:type="spellEnd"/>
      <w:r w:rsidRPr="00AD0743">
        <w:rPr>
          <w:rFonts w:ascii="Arial" w:hAnsi="Arial" w:cs="Arial"/>
          <w:sz w:val="19"/>
          <w:szCs w:val="19"/>
        </w:rPr>
        <w:t>. 46.986. C.P. Jaime Enrique Rodríguez Navas.</w:t>
      </w:r>
    </w:p>
  </w:footnote>
  <w:footnote w:id="30">
    <w:p w14:paraId="51508AA2"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[Referencia propia de la cita] «CE. SCSC. Concepto de 1 de noviembre de 2016 [Rad. 11001-03-06-000-2016-00125-00(2305)]. MP. Germán Alberto Bula Escobar».</w:t>
      </w:r>
    </w:p>
  </w:footnote>
  <w:footnote w:id="31">
    <w:p w14:paraId="19E33BBA"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AD0743">
        <w:rPr>
          <w:rFonts w:ascii="Arial" w:hAnsi="Arial" w:cs="Arial"/>
          <w:i/>
          <w:sz w:val="19"/>
          <w:szCs w:val="19"/>
        </w:rPr>
        <w:t>“obligacional”</w:t>
      </w:r>
      <w:r w:rsidRPr="00AD0743">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2">
    <w:p w14:paraId="3D76FE00"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[Referencia propia de la cita] «La normativa vigente del EGCAP </w:t>
      </w:r>
      <w:r w:rsidRPr="00AD0743">
        <w:rPr>
          <w:rFonts w:ascii="Arial" w:hAnsi="Arial" w:cs="Arial"/>
          <w:i/>
          <w:sz w:val="19"/>
          <w:szCs w:val="19"/>
        </w:rPr>
        <w:t>[literal c) del numeral 4. del artículo 2 de la Ley 1150/07]</w:t>
      </w:r>
      <w:r w:rsidRPr="00AD0743">
        <w:rPr>
          <w:rFonts w:ascii="Arial" w:hAnsi="Arial" w:cs="Arial"/>
          <w:sz w:val="19"/>
          <w:szCs w:val="19"/>
        </w:rPr>
        <w:t xml:space="preserve"> se refiere a </w:t>
      </w:r>
      <w:r w:rsidRPr="00AD0743">
        <w:rPr>
          <w:rFonts w:ascii="Arial" w:hAnsi="Arial" w:cs="Arial"/>
          <w:i/>
          <w:sz w:val="19"/>
          <w:szCs w:val="19"/>
        </w:rPr>
        <w:t>“contratos interadministrativos”</w:t>
      </w:r>
      <w:r w:rsidRPr="00AD0743">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18FB1F04"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AD0743">
        <w:rPr>
          <w:rFonts w:ascii="Arial" w:hAnsi="Arial" w:cs="Arial"/>
          <w:sz w:val="19"/>
          <w:szCs w:val="19"/>
        </w:rPr>
        <w:t>Exp</w:t>
      </w:r>
      <w:proofErr w:type="spellEnd"/>
      <w:r w:rsidRPr="00AD0743">
        <w:rPr>
          <w:rFonts w:ascii="Arial" w:hAnsi="Arial" w:cs="Arial"/>
          <w:sz w:val="19"/>
          <w:szCs w:val="19"/>
        </w:rPr>
        <w:t xml:space="preserve">. 2.257. M.P. Álvaro </w:t>
      </w:r>
      <w:proofErr w:type="spellStart"/>
      <w:r w:rsidRPr="00AD0743">
        <w:rPr>
          <w:rFonts w:ascii="Arial" w:hAnsi="Arial" w:cs="Arial"/>
          <w:sz w:val="19"/>
          <w:szCs w:val="19"/>
        </w:rPr>
        <w:t>Namén</w:t>
      </w:r>
      <w:proofErr w:type="spellEnd"/>
      <w:r w:rsidRPr="00AD0743">
        <w:rPr>
          <w:rFonts w:ascii="Arial" w:hAnsi="Arial" w:cs="Arial"/>
          <w:sz w:val="19"/>
          <w:szCs w:val="19"/>
        </w:rPr>
        <w:t xml:space="preserve"> Vargas).</w:t>
      </w:r>
    </w:p>
  </w:footnote>
  <w:footnote w:id="34">
    <w:p w14:paraId="74E1AE32" w14:textId="77777777" w:rsidR="00420C9F" w:rsidRPr="00AD0743"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Es lo que sucede, por ejemplo, con el Decreto 092 de 2017, que en su desarrollo hace referencia tanto a los «contratos» como a los «convenios». </w:t>
      </w:r>
    </w:p>
  </w:footnote>
  <w:footnote w:id="35">
    <w:p w14:paraId="10E4BAE3" w14:textId="77777777" w:rsidR="00420C9F" w:rsidRPr="00AD0743" w:rsidRDefault="00420C9F" w:rsidP="00420C9F">
      <w:pPr>
        <w:pStyle w:val="Textonotapie"/>
        <w:spacing w:after="0" w:line="240" w:lineRule="auto"/>
        <w:ind w:firstLine="708"/>
        <w:contextualSpacing/>
        <w:rPr>
          <w:rFonts w:ascii="Arial" w:hAnsi="Arial" w:cs="Arial"/>
          <w:sz w:val="19"/>
          <w:szCs w:val="19"/>
          <w:lang w:val="es-CO"/>
        </w:rPr>
      </w:pPr>
      <w:r w:rsidRPr="00AD0743">
        <w:rPr>
          <w:rStyle w:val="Refdenotaalpie"/>
          <w:rFonts w:ascii="Arial" w:hAnsi="Arial" w:cs="Arial"/>
          <w:sz w:val="19"/>
          <w:szCs w:val="19"/>
        </w:rPr>
        <w:footnoteRef/>
      </w:r>
      <w:r w:rsidRPr="00AD0743">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31E260B8" w14:textId="53B596EA" w:rsidR="00420C9F" w:rsidRDefault="00420C9F" w:rsidP="00420C9F">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786B5EF4" w14:textId="77777777" w:rsidR="0029624A" w:rsidRPr="00AD0743" w:rsidRDefault="0029624A" w:rsidP="00420C9F">
      <w:pPr>
        <w:pStyle w:val="Textonotapie"/>
        <w:spacing w:after="0" w:line="240" w:lineRule="auto"/>
        <w:ind w:firstLine="708"/>
        <w:contextualSpacing/>
        <w:rPr>
          <w:rFonts w:ascii="Arial" w:hAnsi="Arial" w:cs="Arial"/>
          <w:sz w:val="19"/>
          <w:szCs w:val="19"/>
        </w:rPr>
      </w:pPr>
    </w:p>
  </w:footnote>
  <w:footnote w:id="37">
    <w:p w14:paraId="54A54CE8" w14:textId="77777777" w:rsidR="00420C9F" w:rsidRPr="00AD0743" w:rsidRDefault="00420C9F" w:rsidP="00420C9F">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8">
    <w:p w14:paraId="418072A7" w14:textId="77777777" w:rsidR="0029624A" w:rsidRDefault="0029624A" w:rsidP="00476ECF">
      <w:pPr>
        <w:pStyle w:val="Textonotapie"/>
        <w:spacing w:after="0" w:line="240" w:lineRule="auto"/>
        <w:ind w:firstLine="709"/>
        <w:contextualSpacing/>
        <w:rPr>
          <w:rFonts w:ascii="Arial" w:hAnsi="Arial" w:cs="Arial"/>
          <w:sz w:val="19"/>
          <w:szCs w:val="19"/>
        </w:rPr>
      </w:pPr>
    </w:p>
    <w:p w14:paraId="1302B35A" w14:textId="4B3EC10A" w:rsidR="00476ECF" w:rsidRPr="00476ECF" w:rsidRDefault="00476ECF" w:rsidP="00476ECF">
      <w:pPr>
        <w:pStyle w:val="Textonotapie"/>
        <w:spacing w:after="0" w:line="240" w:lineRule="auto"/>
        <w:ind w:firstLine="709"/>
        <w:contextualSpacing/>
      </w:pPr>
      <w:r w:rsidRPr="00476ECF">
        <w:rPr>
          <w:rStyle w:val="Refdenotaalpie"/>
          <w:rFonts w:ascii="Arial" w:hAnsi="Arial" w:cs="Arial"/>
          <w:sz w:val="19"/>
          <w:szCs w:val="19"/>
        </w:rPr>
        <w:footnoteRef/>
      </w:r>
      <w:r w:rsidRPr="00476ECF">
        <w:rPr>
          <w:rStyle w:val="Refdenotaalpie"/>
          <w:rFonts w:ascii="Arial" w:hAnsi="Arial" w:cs="Arial"/>
          <w:sz w:val="19"/>
          <w:szCs w:val="19"/>
        </w:rPr>
        <w:t xml:space="preserve"> </w:t>
      </w:r>
      <w:r w:rsidRPr="00476ECF">
        <w:rPr>
          <w:rFonts w:ascii="Arial" w:hAnsi="Arial" w:cs="Arial"/>
        </w:rPr>
        <w:t>Agencia por la Acción Social y la Cooperación Internacional</w:t>
      </w:r>
      <w:r>
        <w:rPr>
          <w:rFonts w:ascii="Arial" w:hAnsi="Arial" w:cs="Arial"/>
        </w:rPr>
        <w:t xml:space="preserve">. </w:t>
      </w:r>
      <w:r w:rsidRPr="00476ECF">
        <w:rPr>
          <w:rFonts w:ascii="Arial" w:hAnsi="Arial" w:cs="Arial"/>
        </w:rPr>
        <w:t>Régimen Jurídico de la Cooperación Internacional</w:t>
      </w:r>
      <w:r>
        <w:rPr>
          <w:rFonts w:ascii="Arial" w:hAnsi="Arial" w:cs="Arial"/>
        </w:rPr>
        <w:t xml:space="preserve">. </w:t>
      </w:r>
      <w:r w:rsidRPr="00476ECF">
        <w:rPr>
          <w:rFonts w:ascii="Arial" w:hAnsi="Arial" w:cs="Arial"/>
        </w:rPr>
        <w:t>Segunda Edición</w:t>
      </w:r>
      <w:r>
        <w:rPr>
          <w:rFonts w:ascii="Arial" w:hAnsi="Arial" w:cs="Arial"/>
        </w:rPr>
        <w:t>. P</w:t>
      </w:r>
      <w:r w:rsidRPr="00476ECF">
        <w:rPr>
          <w:rFonts w:ascii="Arial" w:hAnsi="Arial" w:cs="Arial"/>
        </w:rPr>
        <w:t>ágina. 38.</w:t>
      </w:r>
    </w:p>
  </w:footnote>
  <w:footnote w:id="39">
    <w:p w14:paraId="333E8466" w14:textId="77777777" w:rsidR="0029624A" w:rsidRDefault="0029624A" w:rsidP="00A03DE1">
      <w:pPr>
        <w:pStyle w:val="Textonotapie"/>
        <w:spacing w:after="0" w:line="240" w:lineRule="auto"/>
        <w:ind w:firstLine="709"/>
        <w:contextualSpacing/>
        <w:rPr>
          <w:rFonts w:ascii="Arial" w:hAnsi="Arial" w:cs="Arial"/>
          <w:sz w:val="19"/>
          <w:szCs w:val="19"/>
        </w:rPr>
      </w:pPr>
    </w:p>
    <w:p w14:paraId="5404C54D" w14:textId="31CA26C8" w:rsidR="00A03DE1" w:rsidRPr="00A03DE1" w:rsidRDefault="00A03DE1" w:rsidP="00A03DE1">
      <w:pPr>
        <w:pStyle w:val="Textonotapie"/>
        <w:spacing w:after="0" w:line="240" w:lineRule="auto"/>
        <w:ind w:firstLine="709"/>
        <w:contextualSpacing/>
        <w:rPr>
          <w:rFonts w:ascii="Arial" w:hAnsi="Arial" w:cs="Arial"/>
          <w:sz w:val="19"/>
          <w:szCs w:val="19"/>
        </w:rPr>
      </w:pPr>
      <w:r w:rsidRPr="00A03DE1">
        <w:rPr>
          <w:rStyle w:val="Refdenotaalpie"/>
          <w:rFonts w:ascii="Arial" w:hAnsi="Arial" w:cs="Arial"/>
          <w:sz w:val="19"/>
          <w:szCs w:val="19"/>
        </w:rPr>
        <w:footnoteRef/>
      </w:r>
      <w:r w:rsidRPr="00A03DE1">
        <w:rPr>
          <w:rStyle w:val="Refdenotaalpie"/>
          <w:rFonts w:ascii="Arial" w:hAnsi="Arial" w:cs="Arial"/>
          <w:sz w:val="19"/>
          <w:szCs w:val="19"/>
        </w:rPr>
        <w:t xml:space="preserve"> </w:t>
      </w:r>
      <w:r w:rsidRPr="00A03DE1">
        <w:rPr>
          <w:rFonts w:ascii="Arial" w:hAnsi="Arial" w:cs="Arial"/>
          <w:sz w:val="19"/>
          <w:szCs w:val="19"/>
        </w:rPr>
        <w:t xml:space="preserve">Agencia Nacional de Contratación Pública Colombia Compra Eficiente. Respuesta a la consulta número 4201814000009906.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EE24" w14:textId="77777777" w:rsidR="00412132" w:rsidRDefault="006914AE">
    <w:pPr>
      <w:pStyle w:val="Encabezado"/>
    </w:pPr>
    <w:r>
      <w:rPr>
        <w:noProof/>
        <w:lang w:val="es-CO" w:eastAsia="es-CO"/>
      </w:rPr>
      <w:drawing>
        <wp:anchor distT="0" distB="0" distL="114300" distR="114300" simplePos="0" relativeHeight="251659264" behindDoc="1" locked="0" layoutInCell="1" allowOverlap="1" wp14:anchorId="13744832" wp14:editId="6F0259F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A90A7" w14:textId="77777777" w:rsidR="00FE0395" w:rsidRDefault="00FC3212" w:rsidP="00FE0395">
    <w:pPr>
      <w:pStyle w:val="Encabezado"/>
      <w:spacing w:after="0"/>
    </w:pPr>
  </w:p>
  <w:p w14:paraId="5ECC2BA3" w14:textId="77777777" w:rsidR="00412132" w:rsidRDefault="00FC32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E3C"/>
    <w:multiLevelType w:val="hybridMultilevel"/>
    <w:tmpl w:val="5520033E"/>
    <w:lvl w:ilvl="0" w:tplc="A2483742">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9F"/>
    <w:rsid w:val="00001022"/>
    <w:rsid w:val="00040179"/>
    <w:rsid w:val="000F06A4"/>
    <w:rsid w:val="00101CE4"/>
    <w:rsid w:val="0011054E"/>
    <w:rsid w:val="00140E81"/>
    <w:rsid w:val="0018034D"/>
    <w:rsid w:val="00195276"/>
    <w:rsid w:val="001B0BCD"/>
    <w:rsid w:val="001B344D"/>
    <w:rsid w:val="001D68A0"/>
    <w:rsid w:val="001F14BA"/>
    <w:rsid w:val="00201EAC"/>
    <w:rsid w:val="0029624A"/>
    <w:rsid w:val="002C271C"/>
    <w:rsid w:val="002C5D80"/>
    <w:rsid w:val="00331472"/>
    <w:rsid w:val="003721C8"/>
    <w:rsid w:val="003F4675"/>
    <w:rsid w:val="00420C9F"/>
    <w:rsid w:val="004232E8"/>
    <w:rsid w:val="004719D7"/>
    <w:rsid w:val="00476ECF"/>
    <w:rsid w:val="004863E6"/>
    <w:rsid w:val="004E1661"/>
    <w:rsid w:val="004F488F"/>
    <w:rsid w:val="00547542"/>
    <w:rsid w:val="005B307B"/>
    <w:rsid w:val="005E55C3"/>
    <w:rsid w:val="00654E02"/>
    <w:rsid w:val="00662A5D"/>
    <w:rsid w:val="006914AE"/>
    <w:rsid w:val="006F35D4"/>
    <w:rsid w:val="00755BF9"/>
    <w:rsid w:val="007644A0"/>
    <w:rsid w:val="007D6DE8"/>
    <w:rsid w:val="009079ED"/>
    <w:rsid w:val="00964396"/>
    <w:rsid w:val="00985579"/>
    <w:rsid w:val="00A03DE1"/>
    <w:rsid w:val="00A46D5C"/>
    <w:rsid w:val="00A61928"/>
    <w:rsid w:val="00A6452F"/>
    <w:rsid w:val="00AE6249"/>
    <w:rsid w:val="00AF16B1"/>
    <w:rsid w:val="00B07E0B"/>
    <w:rsid w:val="00B21E86"/>
    <w:rsid w:val="00B44B46"/>
    <w:rsid w:val="00B64E72"/>
    <w:rsid w:val="00B654C3"/>
    <w:rsid w:val="00C73FAD"/>
    <w:rsid w:val="00CC241C"/>
    <w:rsid w:val="00CC6A4D"/>
    <w:rsid w:val="00D12980"/>
    <w:rsid w:val="00D707D6"/>
    <w:rsid w:val="00DA66D4"/>
    <w:rsid w:val="00DE57BD"/>
    <w:rsid w:val="00E20AA3"/>
    <w:rsid w:val="00E46D56"/>
    <w:rsid w:val="00E729A1"/>
    <w:rsid w:val="00E91A24"/>
    <w:rsid w:val="00EB4EC1"/>
    <w:rsid w:val="00ED1066"/>
    <w:rsid w:val="00EE6A00"/>
    <w:rsid w:val="00F70719"/>
    <w:rsid w:val="00FC32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B4E4"/>
  <w15:chartTrackingRefBased/>
  <w15:docId w15:val="{8F9CE014-DCE3-430D-B460-0E832664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9F"/>
    <w:rPr>
      <w:lang w:val="es-CO"/>
    </w:rPr>
  </w:style>
  <w:style w:type="paragraph" w:styleId="Ttulo2">
    <w:name w:val="heading 2"/>
    <w:basedOn w:val="Normal"/>
    <w:link w:val="Ttulo2Car"/>
    <w:uiPriority w:val="9"/>
    <w:qFormat/>
    <w:rsid w:val="00E46D5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0C9F"/>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420C9F"/>
    <w:rPr>
      <w:sz w:val="24"/>
      <w:lang w:val="es-MX"/>
    </w:rPr>
  </w:style>
  <w:style w:type="paragraph" w:styleId="Encabezado">
    <w:name w:val="header"/>
    <w:basedOn w:val="Normal"/>
    <w:link w:val="EncabezadoCar"/>
    <w:uiPriority w:val="99"/>
    <w:unhideWhenUsed/>
    <w:rsid w:val="00420C9F"/>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420C9F"/>
    <w:rPr>
      <w:sz w:val="24"/>
      <w:lang w:val="es-MX"/>
    </w:rPr>
  </w:style>
  <w:style w:type="table" w:styleId="Tablaconcuadrcula">
    <w:name w:val="Table Grid"/>
    <w:basedOn w:val="Tablanormal"/>
    <w:uiPriority w:val="39"/>
    <w:rsid w:val="00420C9F"/>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20C9F"/>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420C9F"/>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20C9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20C9F"/>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420C9F"/>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20C9F"/>
    <w:rPr>
      <w:vertAlign w:val="superscript"/>
    </w:rPr>
  </w:style>
  <w:style w:type="paragraph" w:customStyle="1" w:styleId="Appelnotedebasde">
    <w:name w:val="Appel note de bas de..."/>
    <w:basedOn w:val="Normal"/>
    <w:link w:val="Refdenotaalpie"/>
    <w:uiPriority w:val="99"/>
    <w:rsid w:val="00420C9F"/>
    <w:pPr>
      <w:spacing w:line="240" w:lineRule="exact"/>
      <w:jc w:val="both"/>
    </w:pPr>
    <w:rPr>
      <w:vertAlign w:val="superscript"/>
      <w:lang w:val="es-ES"/>
    </w:rPr>
  </w:style>
  <w:style w:type="character" w:customStyle="1" w:styleId="NormalWebCar">
    <w:name w:val="Normal (Web) Car"/>
    <w:link w:val="NormalWeb"/>
    <w:uiPriority w:val="99"/>
    <w:locked/>
    <w:rsid w:val="00420C9F"/>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uiPriority w:val="39"/>
    <w:rsid w:val="00420C9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20C9F"/>
  </w:style>
  <w:style w:type="character" w:customStyle="1" w:styleId="Ttulo2Car">
    <w:name w:val="Título 2 Car"/>
    <w:basedOn w:val="Fuentedeprrafopredeter"/>
    <w:link w:val="Ttulo2"/>
    <w:uiPriority w:val="9"/>
    <w:rsid w:val="00E46D56"/>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E46D56"/>
    <w:rPr>
      <w:b/>
      <w:bCs/>
    </w:rPr>
  </w:style>
  <w:style w:type="paragraph" w:styleId="Prrafodelista">
    <w:name w:val="List Paragraph"/>
    <w:basedOn w:val="Normal"/>
    <w:uiPriority w:val="34"/>
    <w:qFormat/>
    <w:rsid w:val="00D12980"/>
    <w:pPr>
      <w:ind w:left="720"/>
      <w:contextualSpacing/>
    </w:pPr>
  </w:style>
  <w:style w:type="character" w:styleId="nfasis">
    <w:name w:val="Emphasis"/>
    <w:basedOn w:val="Fuentedeprrafopredeter"/>
    <w:uiPriority w:val="20"/>
    <w:qFormat/>
    <w:rsid w:val="00964396"/>
    <w:rPr>
      <w:i/>
      <w:iCs/>
    </w:rPr>
  </w:style>
  <w:style w:type="character" w:styleId="Hipervnculo">
    <w:name w:val="Hyperlink"/>
    <w:basedOn w:val="Fuentedeprrafopredeter"/>
    <w:uiPriority w:val="99"/>
    <w:semiHidden/>
    <w:unhideWhenUsed/>
    <w:rsid w:val="00476ECF"/>
    <w:rPr>
      <w:color w:val="0000FF"/>
      <w:u w:val="single"/>
    </w:rPr>
  </w:style>
  <w:style w:type="paragraph" w:styleId="Textodeglobo">
    <w:name w:val="Balloon Text"/>
    <w:basedOn w:val="Normal"/>
    <w:link w:val="TextodegloboCar"/>
    <w:uiPriority w:val="99"/>
    <w:semiHidden/>
    <w:unhideWhenUsed/>
    <w:rsid w:val="005E55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55C3"/>
    <w:rPr>
      <w:rFonts w:ascii="Segoe UI" w:hAnsi="Segoe UI" w:cs="Segoe UI"/>
      <w:sz w:val="18"/>
      <w:szCs w:val="18"/>
      <w:lang w:val="es-CO"/>
    </w:rPr>
  </w:style>
  <w:style w:type="character" w:styleId="Refdecomentario">
    <w:name w:val="annotation reference"/>
    <w:basedOn w:val="Fuentedeprrafopredeter"/>
    <w:uiPriority w:val="99"/>
    <w:semiHidden/>
    <w:unhideWhenUsed/>
    <w:rsid w:val="00ED1066"/>
    <w:rPr>
      <w:sz w:val="16"/>
      <w:szCs w:val="16"/>
    </w:rPr>
  </w:style>
  <w:style w:type="paragraph" w:styleId="Textocomentario">
    <w:name w:val="annotation text"/>
    <w:basedOn w:val="Normal"/>
    <w:link w:val="TextocomentarioCar"/>
    <w:uiPriority w:val="99"/>
    <w:unhideWhenUsed/>
    <w:rsid w:val="00ED1066"/>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ED1066"/>
    <w:rPr>
      <w:sz w:val="20"/>
      <w:szCs w:val="20"/>
      <w:lang w:val="es-MX"/>
    </w:rPr>
  </w:style>
  <w:style w:type="paragraph" w:styleId="Revisin">
    <w:name w:val="Revision"/>
    <w:hidden/>
    <w:uiPriority w:val="99"/>
    <w:semiHidden/>
    <w:rsid w:val="00E729A1"/>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A46D5C"/>
    <w:pPr>
      <w:spacing w:after="160" w:line="240" w:lineRule="auto"/>
      <w:jc w:val="left"/>
    </w:pPr>
    <w:rPr>
      <w:b/>
      <w:bCs/>
      <w:lang w:val="es-CO"/>
    </w:rPr>
  </w:style>
  <w:style w:type="character" w:customStyle="1" w:styleId="AsuntodelcomentarioCar">
    <w:name w:val="Asunto del comentario Car"/>
    <w:basedOn w:val="TextocomentarioCar"/>
    <w:link w:val="Asuntodelcomentario"/>
    <w:uiPriority w:val="99"/>
    <w:semiHidden/>
    <w:rsid w:val="00A46D5C"/>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1984">
      <w:bodyDiv w:val="1"/>
      <w:marLeft w:val="0"/>
      <w:marRight w:val="0"/>
      <w:marTop w:val="0"/>
      <w:marBottom w:val="0"/>
      <w:divBdr>
        <w:top w:val="none" w:sz="0" w:space="0" w:color="auto"/>
        <w:left w:val="none" w:sz="0" w:space="0" w:color="auto"/>
        <w:bottom w:val="none" w:sz="0" w:space="0" w:color="auto"/>
        <w:right w:val="none" w:sz="0" w:space="0" w:color="auto"/>
      </w:divBdr>
    </w:div>
    <w:div w:id="15245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5B89222-5AD1-4F9C-86CA-A20EE3557A9E}">
  <ds:schemaRefs>
    <ds:schemaRef ds:uri="http://schemas.openxmlformats.org/officeDocument/2006/bibliography"/>
  </ds:schemaRefs>
</ds:datastoreItem>
</file>

<file path=customXml/itemProps2.xml><?xml version="1.0" encoding="utf-8"?>
<ds:datastoreItem xmlns:ds="http://schemas.openxmlformats.org/officeDocument/2006/customXml" ds:itemID="{33EB3A77-D42A-450E-847F-00F593686BC6}"/>
</file>

<file path=customXml/itemProps3.xml><?xml version="1.0" encoding="utf-8"?>
<ds:datastoreItem xmlns:ds="http://schemas.openxmlformats.org/officeDocument/2006/customXml" ds:itemID="{484D2CFB-3230-4045-877D-12B971BD4C41}"/>
</file>

<file path=customXml/itemProps4.xml><?xml version="1.0" encoding="utf-8"?>
<ds:datastoreItem xmlns:ds="http://schemas.openxmlformats.org/officeDocument/2006/customXml" ds:itemID="{A4346DB7-379E-4DFA-996C-ECF197129DE0}"/>
</file>

<file path=docProps/app.xml><?xml version="1.0" encoding="utf-8"?>
<Properties xmlns="http://schemas.openxmlformats.org/officeDocument/2006/extended-properties" xmlns:vt="http://schemas.openxmlformats.org/officeDocument/2006/docPropsVTypes">
  <Template>Normal</Template>
  <TotalTime>0</TotalTime>
  <Pages>27</Pages>
  <Words>8841</Words>
  <Characters>48628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3</cp:revision>
  <dcterms:created xsi:type="dcterms:W3CDTF">2022-03-23T00:10:00Z</dcterms:created>
  <dcterms:modified xsi:type="dcterms:W3CDTF">2022-03-23T14:44:00Z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