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D27E" w14:textId="24B2DEC5" w:rsidR="00EC7FDD" w:rsidRPr="004E4581" w:rsidRDefault="00EC7FDD" w:rsidP="00964D6E">
      <w:pPr>
        <w:rPr>
          <w:rFonts w:ascii="Arial" w:hAnsi="Arial" w:cs="Arial"/>
          <w:bCs/>
          <w:color w:val="000000" w:themeColor="text1"/>
          <w:sz w:val="20"/>
          <w:szCs w:val="20"/>
          <w:lang w:val="es-ES_tradnl" w:eastAsia="es-ES"/>
        </w:rPr>
      </w:pPr>
      <w:bookmarkStart w:id="0" w:name="_Hlk28946138"/>
      <w:bookmarkStart w:id="1" w:name="_Hlk29548183"/>
    </w:p>
    <w:p w14:paraId="346AE9F5" w14:textId="64AE21B0" w:rsidR="0030575F" w:rsidRPr="00976FA3" w:rsidRDefault="00B55C69" w:rsidP="0030575F">
      <w:pPr>
        <w:jc w:val="right"/>
        <w:rPr>
          <w:rFonts w:ascii="Arial" w:hAnsi="Arial" w:cs="Arial"/>
          <w:bCs/>
          <w:color w:val="000000" w:themeColor="text1"/>
          <w:sz w:val="20"/>
          <w:szCs w:val="20"/>
          <w:lang w:val="es-ES_tradnl" w:eastAsia="es-ES"/>
        </w:rPr>
      </w:pPr>
      <w:r w:rsidRPr="00976FA3">
        <w:rPr>
          <w:rFonts w:ascii="Arial" w:hAnsi="Arial" w:cs="Arial"/>
          <w:bCs/>
          <w:color w:val="000000" w:themeColor="text1"/>
          <w:sz w:val="20"/>
          <w:szCs w:val="20"/>
          <w:lang w:val="es-ES_tradnl" w:eastAsia="es-ES"/>
        </w:rPr>
        <w:t>CCE-DES-FM-17</w:t>
      </w:r>
      <w:bookmarkEnd w:id="0"/>
      <w:bookmarkEnd w:id="1"/>
    </w:p>
    <w:p w14:paraId="1671E688" w14:textId="77777777" w:rsidR="003A231A" w:rsidRPr="00976FA3" w:rsidRDefault="003A231A" w:rsidP="00964D6E">
      <w:pPr>
        <w:tabs>
          <w:tab w:val="left" w:pos="426"/>
        </w:tabs>
        <w:jc w:val="both"/>
        <w:rPr>
          <w:rFonts w:ascii="Arial" w:eastAsia="Calibri" w:hAnsi="Arial" w:cs="Arial"/>
          <w:bCs/>
          <w:color w:val="000000" w:themeColor="text1"/>
          <w:sz w:val="20"/>
          <w:szCs w:val="20"/>
          <w:lang w:val="es-MX" w:eastAsia="en-US"/>
        </w:rPr>
      </w:pPr>
    </w:p>
    <w:p w14:paraId="2AA5AE7F" w14:textId="77777777" w:rsidR="003A231A" w:rsidRPr="00976FA3" w:rsidRDefault="003A231A" w:rsidP="00964D6E">
      <w:pPr>
        <w:tabs>
          <w:tab w:val="left" w:pos="426"/>
        </w:tabs>
        <w:jc w:val="both"/>
        <w:rPr>
          <w:rFonts w:ascii="Arial" w:eastAsia="Calibri" w:hAnsi="Arial" w:cs="Arial"/>
          <w:b/>
          <w:bCs/>
          <w:color w:val="000000" w:themeColor="text1"/>
          <w:sz w:val="22"/>
          <w:szCs w:val="22"/>
          <w:lang w:val="es-MX" w:eastAsia="en-US"/>
        </w:rPr>
      </w:pPr>
      <w:bookmarkStart w:id="2" w:name="_Hlk77152637"/>
      <w:bookmarkStart w:id="3" w:name="_Hlk77157066"/>
      <w:r w:rsidRPr="00976FA3">
        <w:rPr>
          <w:rFonts w:ascii="Arial" w:eastAsia="Calibri" w:hAnsi="Arial" w:cs="Arial"/>
          <w:b/>
          <w:bCs/>
          <w:color w:val="000000" w:themeColor="text1"/>
          <w:sz w:val="22"/>
          <w:szCs w:val="22"/>
          <w:lang w:val="es-MX" w:eastAsia="en-US"/>
        </w:rPr>
        <w:t>LEY DE GARANTÍAS ELECTORALES ‒</w:t>
      </w:r>
      <w:bookmarkEnd w:id="2"/>
      <w:r w:rsidRPr="00976FA3">
        <w:rPr>
          <w:rFonts w:ascii="Arial" w:eastAsia="Calibri" w:hAnsi="Arial" w:cs="Arial"/>
          <w:b/>
          <w:bCs/>
          <w:color w:val="000000" w:themeColor="text1"/>
          <w:sz w:val="22"/>
          <w:szCs w:val="22"/>
          <w:lang w:val="es-MX" w:eastAsia="en-US"/>
        </w:rPr>
        <w:t xml:space="preserve"> Restricciones </w:t>
      </w:r>
      <w:bookmarkStart w:id="4" w:name="_Hlk77157034"/>
      <w:r w:rsidRPr="00976FA3">
        <w:rPr>
          <w:rFonts w:ascii="Arial" w:eastAsia="Calibri" w:hAnsi="Arial" w:cs="Arial"/>
          <w:b/>
          <w:bCs/>
          <w:color w:val="000000" w:themeColor="text1"/>
          <w:sz w:val="22"/>
          <w:szCs w:val="22"/>
          <w:lang w:val="es-MX" w:eastAsia="en-US"/>
        </w:rPr>
        <w:t xml:space="preserve">‒ </w:t>
      </w:r>
      <w:bookmarkEnd w:id="4"/>
      <w:r w:rsidRPr="00976FA3">
        <w:rPr>
          <w:rFonts w:ascii="Arial" w:eastAsia="Calibri" w:hAnsi="Arial" w:cs="Arial"/>
          <w:b/>
          <w:bCs/>
          <w:color w:val="000000" w:themeColor="text1"/>
          <w:sz w:val="22"/>
          <w:szCs w:val="22"/>
          <w:lang w:val="es-MX" w:eastAsia="en-US"/>
        </w:rPr>
        <w:t>Contratación</w:t>
      </w:r>
      <w:bookmarkStart w:id="5" w:name="_Hlk77153098"/>
      <w:r w:rsidRPr="00976FA3">
        <w:rPr>
          <w:rFonts w:ascii="Arial" w:eastAsia="Calibri" w:hAnsi="Arial" w:cs="Arial"/>
          <w:b/>
          <w:bCs/>
          <w:color w:val="000000" w:themeColor="text1"/>
          <w:sz w:val="22"/>
          <w:szCs w:val="22"/>
          <w:lang w:val="es-MX" w:eastAsia="en-US"/>
        </w:rPr>
        <w:t xml:space="preserve"> ‒ Tipos de elección</w:t>
      </w:r>
      <w:bookmarkEnd w:id="5"/>
      <w:r w:rsidRPr="00976FA3">
        <w:rPr>
          <w:rFonts w:ascii="Arial" w:eastAsia="Calibri" w:hAnsi="Arial" w:cs="Arial"/>
          <w:b/>
          <w:bCs/>
          <w:color w:val="000000" w:themeColor="text1"/>
          <w:sz w:val="22"/>
          <w:szCs w:val="22"/>
          <w:lang w:val="es-MX" w:eastAsia="en-US"/>
        </w:rPr>
        <w:t xml:space="preserve"> </w:t>
      </w:r>
    </w:p>
    <w:p w14:paraId="312415BB" w14:textId="77777777" w:rsidR="003A231A" w:rsidRPr="00976FA3" w:rsidRDefault="003A231A" w:rsidP="00964D6E">
      <w:pPr>
        <w:tabs>
          <w:tab w:val="left" w:pos="426"/>
        </w:tabs>
        <w:jc w:val="both"/>
        <w:rPr>
          <w:rFonts w:ascii="Arial" w:eastAsia="Calibri" w:hAnsi="Arial" w:cs="Arial"/>
          <w:b/>
          <w:bCs/>
          <w:color w:val="000000" w:themeColor="text1"/>
          <w:sz w:val="20"/>
          <w:szCs w:val="20"/>
          <w:lang w:val="es-MX" w:eastAsia="en-US"/>
        </w:rPr>
      </w:pPr>
    </w:p>
    <w:p w14:paraId="5062675F" w14:textId="463CEDBC" w:rsidR="003A231A" w:rsidRPr="00976FA3" w:rsidRDefault="003A231A" w:rsidP="00964D6E">
      <w:pPr>
        <w:jc w:val="both"/>
        <w:rPr>
          <w:rFonts w:ascii="Arial" w:eastAsia="Arial" w:hAnsi="Arial" w:cs="Arial"/>
          <w:color w:val="000000" w:themeColor="text1"/>
          <w:sz w:val="20"/>
          <w:szCs w:val="20"/>
          <w:lang w:val="es-ES" w:eastAsia="es-ES" w:bidi="es-ES"/>
        </w:rPr>
      </w:pPr>
      <w:r w:rsidRPr="00976FA3">
        <w:rPr>
          <w:rFonts w:ascii="Arial" w:hAnsi="Arial" w:cs="Arial"/>
          <w:bCs/>
          <w:color w:val="000000" w:themeColor="text1"/>
          <w:sz w:val="20"/>
          <w:szCs w:val="20"/>
          <w:lang w:val="es-MX" w:eastAsia="es-CO"/>
        </w:rPr>
        <w:t xml:space="preserve">La </w:t>
      </w:r>
      <w:r w:rsidRPr="00976FA3">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976FA3">
        <w:rPr>
          <w:rFonts w:ascii="Arial" w:eastAsia="Calibri" w:hAnsi="Arial" w:cs="Arial"/>
          <w:color w:val="000000" w:themeColor="text1"/>
          <w:sz w:val="20"/>
          <w:szCs w:val="20"/>
          <w:lang w:eastAsia="en-US"/>
        </w:rPr>
        <w:t xml:space="preserve">Por una parte, el artículo 33 de la Ley 996 de 2005 establece una prohibición que impide </w:t>
      </w:r>
      <w:r w:rsidRPr="00976FA3">
        <w:rPr>
          <w:rFonts w:ascii="Arial" w:eastAsia="Calibri" w:hAnsi="Arial" w:cs="Arial"/>
          <w:bCs/>
          <w:color w:val="000000" w:themeColor="text1"/>
          <w:sz w:val="20"/>
          <w:szCs w:val="20"/>
          <w:lang w:eastAsia="en-US"/>
        </w:rPr>
        <w:t xml:space="preserve">«[…] </w:t>
      </w:r>
      <w:r w:rsidRPr="00976FA3">
        <w:rPr>
          <w:rFonts w:ascii="Arial" w:eastAsia="Calibri" w:hAnsi="Arial" w:cs="Arial"/>
          <w:color w:val="000000" w:themeColor="text1"/>
          <w:sz w:val="20"/>
          <w:szCs w:val="20"/>
          <w:lang w:eastAsia="en-US"/>
        </w:rPr>
        <w:t>la contratación directa por parte de todos los entes del Estado</w:t>
      </w:r>
      <w:r w:rsidRPr="00976FA3">
        <w:rPr>
          <w:rFonts w:ascii="Arial" w:eastAsia="Calibri" w:hAnsi="Arial" w:cs="Arial"/>
          <w:bCs/>
          <w:color w:val="000000" w:themeColor="text1"/>
          <w:sz w:val="20"/>
          <w:szCs w:val="20"/>
          <w:lang w:eastAsia="en-US"/>
        </w:rPr>
        <w:t>»</w:t>
      </w:r>
      <w:r w:rsidRPr="00976FA3">
        <w:rPr>
          <w:rFonts w:ascii="Arial" w:eastAsia="Calibri" w:hAnsi="Arial" w:cs="Arial"/>
          <w:color w:val="000000" w:themeColor="text1"/>
          <w:sz w:val="20"/>
          <w:szCs w:val="20"/>
          <w:lang w:eastAsia="en-US"/>
        </w:rPr>
        <w:t xml:space="preserve"> durante los cuatro (4) meses anteriores a las elecciones presidenciales, salvo </w:t>
      </w:r>
      <w:r w:rsidRPr="00976FA3">
        <w:rPr>
          <w:rFonts w:ascii="Arial" w:eastAsia="Calibri" w:hAnsi="Arial" w:cs="Arial"/>
          <w:bCs/>
          <w:color w:val="000000" w:themeColor="text1"/>
          <w:sz w:val="20"/>
          <w:szCs w:val="20"/>
          <w:lang w:eastAsia="en-US"/>
        </w:rPr>
        <w:t xml:space="preserve">«[…] </w:t>
      </w:r>
      <w:r w:rsidRPr="00976FA3">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76FA3">
        <w:rPr>
          <w:rFonts w:ascii="Arial" w:eastAsia="Calibri" w:hAnsi="Arial" w:cs="Arial"/>
          <w:bCs/>
          <w:color w:val="000000" w:themeColor="text1"/>
          <w:sz w:val="20"/>
          <w:szCs w:val="20"/>
          <w:lang w:eastAsia="en-US"/>
        </w:rPr>
        <w:t>»</w:t>
      </w:r>
      <w:r w:rsidRPr="00976FA3">
        <w:rPr>
          <w:rFonts w:ascii="Arial" w:eastAsia="Calibri" w:hAnsi="Arial" w:cs="Arial"/>
          <w:color w:val="000000" w:themeColor="text1"/>
          <w:sz w:val="20"/>
          <w:szCs w:val="20"/>
          <w:lang w:eastAsia="en-US"/>
        </w:rPr>
        <w:t>.</w:t>
      </w:r>
      <w:r w:rsidR="00B523D3" w:rsidRPr="00976FA3">
        <w:rPr>
          <w:rFonts w:ascii="Arial" w:eastAsia="Calibri" w:hAnsi="Arial" w:cs="Arial"/>
          <w:color w:val="000000" w:themeColor="text1"/>
          <w:sz w:val="20"/>
          <w:szCs w:val="20"/>
          <w:lang w:eastAsia="en-US"/>
        </w:rPr>
        <w:t xml:space="preserve"> </w:t>
      </w:r>
      <w:r w:rsidRPr="00976FA3">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976FA3">
        <w:rPr>
          <w:rFonts w:ascii="Arial" w:eastAsia="Calibri" w:hAnsi="Arial" w:cs="Arial"/>
          <w:bCs/>
          <w:color w:val="000000" w:themeColor="text1"/>
          <w:sz w:val="20"/>
          <w:szCs w:val="20"/>
          <w:lang w:eastAsia="en-US"/>
        </w:rPr>
        <w:t xml:space="preserve">«[…] </w:t>
      </w:r>
      <w:r w:rsidRPr="00976FA3">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76FA3">
        <w:rPr>
          <w:rFonts w:ascii="Arial" w:eastAsia="Calibri" w:hAnsi="Arial" w:cs="Arial"/>
          <w:bCs/>
          <w:color w:val="000000" w:themeColor="text1"/>
          <w:sz w:val="20"/>
          <w:szCs w:val="20"/>
          <w:lang w:eastAsia="en-US"/>
        </w:rPr>
        <w:t>»</w:t>
      </w:r>
      <w:r w:rsidRPr="00976FA3">
        <w:rPr>
          <w:rFonts w:ascii="Arial" w:eastAsia="Calibri" w:hAnsi="Arial" w:cs="Arial"/>
          <w:color w:val="000000" w:themeColor="text1"/>
          <w:sz w:val="20"/>
          <w:szCs w:val="20"/>
          <w:lang w:val="es-MX" w:eastAsia="en-US"/>
        </w:rPr>
        <w:t>.</w:t>
      </w:r>
      <w:r w:rsidRPr="00976FA3">
        <w:rPr>
          <w:rFonts w:ascii="Arial" w:eastAsia="Calibri" w:hAnsi="Arial" w:cs="Arial"/>
          <w:noProof/>
          <w:color w:val="000000" w:themeColor="text1"/>
          <w:sz w:val="20"/>
          <w:szCs w:val="20"/>
          <w:lang w:val="es-ES_tradnl" w:eastAsia="en-US"/>
        </w:rPr>
        <w:t>.</w:t>
      </w:r>
    </w:p>
    <w:bookmarkEnd w:id="3"/>
    <w:p w14:paraId="6A248971" w14:textId="77777777" w:rsidR="003A231A" w:rsidRPr="00CB7763" w:rsidRDefault="003A231A" w:rsidP="00964D6E">
      <w:pPr>
        <w:tabs>
          <w:tab w:val="left" w:pos="426"/>
        </w:tabs>
        <w:jc w:val="both"/>
        <w:rPr>
          <w:rFonts w:ascii="Arial" w:eastAsia="Calibri" w:hAnsi="Arial" w:cs="Arial"/>
          <w:noProof/>
          <w:color w:val="000000" w:themeColor="text1"/>
          <w:sz w:val="20"/>
          <w:szCs w:val="20"/>
          <w:highlight w:val="yellow"/>
          <w:lang w:val="es-ES_tradnl" w:eastAsia="en-US"/>
        </w:rPr>
      </w:pPr>
    </w:p>
    <w:p w14:paraId="0FAD2D55" w14:textId="741E9684" w:rsidR="003A231A" w:rsidRDefault="003A231A" w:rsidP="0094713D">
      <w:pPr>
        <w:widowControl w:val="0"/>
        <w:autoSpaceDE w:val="0"/>
        <w:autoSpaceDN w:val="0"/>
        <w:rPr>
          <w:rFonts w:ascii="Arial" w:hAnsi="Arial" w:cs="Arial"/>
          <w:color w:val="000000" w:themeColor="text1"/>
          <w:sz w:val="22"/>
        </w:rPr>
      </w:pPr>
    </w:p>
    <w:p w14:paraId="54814209" w14:textId="4ABFA28C" w:rsidR="00C46D70" w:rsidRPr="00976FA3" w:rsidRDefault="00976FA3" w:rsidP="0094713D">
      <w:pPr>
        <w:widowControl w:val="0"/>
        <w:autoSpaceDE w:val="0"/>
        <w:autoSpaceDN w:val="0"/>
        <w:rPr>
          <w:rFonts w:ascii="Arial" w:hAnsi="Arial" w:cs="Arial"/>
          <w:b/>
          <w:color w:val="000000" w:themeColor="text1"/>
          <w:sz w:val="22"/>
        </w:rPr>
      </w:pPr>
      <w:r w:rsidRPr="00976FA3">
        <w:rPr>
          <w:rFonts w:ascii="Arial" w:eastAsia="Calibri" w:hAnsi="Arial" w:cs="Arial"/>
          <w:b/>
          <w:sz w:val="22"/>
          <w:szCs w:val="22"/>
          <w:lang w:val="es-MX" w:eastAsia="en-US"/>
        </w:rPr>
        <w:t xml:space="preserve">LEY DE GARANTÍAS ELECTORALES ‒ </w:t>
      </w:r>
      <w:r>
        <w:rPr>
          <w:rFonts w:ascii="Arial" w:eastAsia="Calibri" w:hAnsi="Arial" w:cs="Arial"/>
          <w:b/>
          <w:sz w:val="22"/>
          <w:szCs w:val="22"/>
          <w:lang w:val="es-MX" w:eastAsia="en-US"/>
        </w:rPr>
        <w:t>Aplicación</w:t>
      </w:r>
      <w:r w:rsidR="000729C2">
        <w:rPr>
          <w:rFonts w:ascii="Arial" w:eastAsia="Calibri" w:hAnsi="Arial" w:cs="Arial"/>
          <w:b/>
          <w:sz w:val="22"/>
          <w:szCs w:val="22"/>
          <w:lang w:val="es-MX" w:eastAsia="en-US"/>
        </w:rPr>
        <w:t xml:space="preserve"> de la</w:t>
      </w:r>
      <w:r>
        <w:rPr>
          <w:rFonts w:ascii="Arial" w:eastAsia="Calibri" w:hAnsi="Arial" w:cs="Arial"/>
          <w:b/>
          <w:sz w:val="22"/>
          <w:szCs w:val="22"/>
          <w:lang w:val="es-MX" w:eastAsia="en-US"/>
        </w:rPr>
        <w:t xml:space="preserve"> </w:t>
      </w:r>
      <w:r w:rsidR="000D0D24">
        <w:rPr>
          <w:rFonts w:ascii="Arial" w:eastAsia="Calibri" w:hAnsi="Arial" w:cs="Arial"/>
          <w:b/>
          <w:sz w:val="22"/>
          <w:szCs w:val="22"/>
          <w:lang w:val="es-MX" w:eastAsia="en-US"/>
        </w:rPr>
        <w:t xml:space="preserve">Ley 996 de 2005 </w:t>
      </w:r>
      <w:r>
        <w:rPr>
          <w:rFonts w:ascii="Arial" w:eastAsia="Calibri" w:hAnsi="Arial" w:cs="Arial"/>
          <w:b/>
          <w:sz w:val="22"/>
          <w:szCs w:val="22"/>
          <w:lang w:val="es-MX" w:eastAsia="en-US"/>
        </w:rPr>
        <w:t xml:space="preserve">– </w:t>
      </w:r>
      <w:r w:rsidRPr="00976FA3">
        <w:rPr>
          <w:rFonts w:ascii="Arial" w:eastAsia="Calibri" w:hAnsi="Arial" w:cs="Arial"/>
          <w:b/>
          <w:sz w:val="22"/>
          <w:szCs w:val="22"/>
          <w:lang w:val="es-MX" w:eastAsia="en-US"/>
        </w:rPr>
        <w:t>Universidades públicas</w:t>
      </w:r>
    </w:p>
    <w:p w14:paraId="360B7A3F" w14:textId="6F7CF475" w:rsidR="00C46D70" w:rsidRDefault="00C46D70" w:rsidP="0094713D">
      <w:pPr>
        <w:widowControl w:val="0"/>
        <w:autoSpaceDE w:val="0"/>
        <w:autoSpaceDN w:val="0"/>
        <w:rPr>
          <w:rFonts w:ascii="Arial" w:hAnsi="Arial" w:cs="Arial"/>
          <w:color w:val="000000" w:themeColor="text1"/>
          <w:sz w:val="22"/>
        </w:rPr>
      </w:pPr>
    </w:p>
    <w:p w14:paraId="050B3267" w14:textId="77777777" w:rsidR="000B440A" w:rsidRPr="000B440A" w:rsidRDefault="000B440A" w:rsidP="000B440A">
      <w:pPr>
        <w:widowControl w:val="0"/>
        <w:autoSpaceDE w:val="0"/>
        <w:autoSpaceDN w:val="0"/>
        <w:jc w:val="both"/>
        <w:rPr>
          <w:rFonts w:ascii="Arial" w:eastAsia="Calibri" w:hAnsi="Arial" w:cs="Arial"/>
          <w:bCs/>
          <w:color w:val="000000" w:themeColor="text1"/>
          <w:sz w:val="20"/>
          <w:szCs w:val="20"/>
          <w:lang w:eastAsia="en-US"/>
        </w:rPr>
      </w:pPr>
      <w:r w:rsidRPr="000B440A">
        <w:rPr>
          <w:rFonts w:ascii="Arial" w:eastAsia="Calibri" w:hAnsi="Arial" w:cs="Arial"/>
          <w:bCs/>
          <w:color w:val="000000" w:themeColor="text1"/>
          <w:sz w:val="20"/>
          <w:szCs w:val="20"/>
          <w:lang w:eastAsia="en-US"/>
        </w:rPr>
        <w:t>Conforme a lo expuesto, en virtud de lo dispuesto en el artículo 33 de la Ley 996 de 2005 Electorales, durante los periodos preelectorales de cuatro (4) meses anteriores a cada elección presidencial está restringida la suscripción de contratos en modalidad de contratación directa, esto sin perjuicio de que, durante la vigencia de la restricción, se celebren contratos como producto de la celebración de procedimientos competitivos.</w:t>
      </w:r>
      <w:r w:rsidRPr="000B440A">
        <w:rPr>
          <w:rFonts w:ascii="Arial" w:eastAsia="Calibri" w:hAnsi="Arial" w:cs="Arial"/>
          <w:color w:val="000000" w:themeColor="text1"/>
          <w:sz w:val="20"/>
          <w:szCs w:val="20"/>
          <w:lang w:val="es-ES" w:eastAsia="en-US"/>
        </w:rPr>
        <w:t xml:space="preserve"> </w:t>
      </w:r>
      <w:r w:rsidRPr="000B440A">
        <w:rPr>
          <w:rFonts w:ascii="Arial" w:eastAsia="Calibri" w:hAnsi="Arial" w:cs="Arial"/>
          <w:color w:val="000000" w:themeColor="text1"/>
          <w:sz w:val="20"/>
          <w:szCs w:val="20"/>
          <w:lang w:eastAsia="en-US"/>
        </w:rPr>
        <w:t xml:space="preserve">Esta prohibición aplica a todos los entes del Estado, sin importar su régimen jurídico, forma de organización o naturaleza, pertenencia a una u otra rama del poder público o su autonomía, </w:t>
      </w:r>
      <w:r w:rsidRPr="000B440A">
        <w:rPr>
          <w:rFonts w:ascii="Arial" w:eastAsia="Calibri" w:hAnsi="Arial" w:cs="Arial"/>
          <w:bCs/>
          <w:color w:val="000000" w:themeColor="text1"/>
          <w:sz w:val="20"/>
          <w:szCs w:val="20"/>
          <w:lang w:eastAsia="en-US"/>
        </w:rPr>
        <w:t>por lo que dentro de ella se encuentran las universidades públicas, a quienes les queda prohibida cualquier forma de contratación directa durante los cuatro (4) meses anteriores a la elección presidencial y hasta la realización de la elección en la segunda vuelta, si fuere el caso.</w:t>
      </w:r>
    </w:p>
    <w:p w14:paraId="6D71687E" w14:textId="77777777" w:rsidR="000B440A" w:rsidRDefault="000B440A" w:rsidP="000B440A">
      <w:pPr>
        <w:widowControl w:val="0"/>
        <w:autoSpaceDE w:val="0"/>
        <w:autoSpaceDN w:val="0"/>
        <w:jc w:val="both"/>
        <w:rPr>
          <w:rFonts w:ascii="Arial" w:eastAsia="Calibri" w:hAnsi="Arial" w:cs="Arial"/>
          <w:bCs/>
          <w:color w:val="000000" w:themeColor="text1"/>
          <w:sz w:val="20"/>
          <w:szCs w:val="20"/>
          <w:lang w:val="es-MX" w:eastAsia="en-US"/>
        </w:rPr>
      </w:pPr>
    </w:p>
    <w:p w14:paraId="199946E7" w14:textId="2948EB23" w:rsidR="000B440A" w:rsidRPr="000B440A" w:rsidRDefault="000B440A" w:rsidP="000B440A">
      <w:pPr>
        <w:widowControl w:val="0"/>
        <w:autoSpaceDE w:val="0"/>
        <w:autoSpaceDN w:val="0"/>
        <w:jc w:val="both"/>
        <w:rPr>
          <w:rFonts w:ascii="Arial" w:eastAsia="Calibri" w:hAnsi="Arial" w:cs="Arial"/>
          <w:bCs/>
          <w:color w:val="000000" w:themeColor="text1"/>
          <w:sz w:val="20"/>
          <w:szCs w:val="20"/>
          <w:lang w:val="es-MX" w:eastAsia="en-US"/>
        </w:rPr>
      </w:pPr>
      <w:r w:rsidRPr="000B440A">
        <w:rPr>
          <w:rFonts w:ascii="Arial" w:eastAsia="Calibri" w:hAnsi="Arial" w:cs="Arial"/>
          <w:bCs/>
          <w:color w:val="000000" w:themeColor="text1"/>
          <w:sz w:val="20"/>
          <w:szCs w:val="20"/>
          <w:lang w:val="es-MX" w:eastAsia="en-US"/>
        </w:rPr>
        <w:t xml:space="preserve">De otra parte, se advierte que </w:t>
      </w:r>
      <w:r w:rsidRPr="000B440A">
        <w:rPr>
          <w:rFonts w:ascii="Arial" w:eastAsia="Calibri" w:hAnsi="Arial" w:cs="Arial"/>
          <w:bCs/>
          <w:color w:val="000000" w:themeColor="text1"/>
          <w:sz w:val="20"/>
          <w:szCs w:val="20"/>
          <w:lang w:eastAsia="en-US"/>
        </w:rPr>
        <w:t>el parágrafo del artículo 38 de la Ley 996 de 2005, que restringe la celebración de contratos y convenios interadministrativos por parte de l</w:t>
      </w:r>
      <w:r w:rsidRPr="000B440A">
        <w:rPr>
          <w:rFonts w:ascii="Arial" w:eastAsia="Calibri" w:hAnsi="Arial" w:cs="Arial"/>
          <w:color w:val="000000" w:themeColor="text1"/>
          <w:sz w:val="20"/>
          <w:szCs w:val="20"/>
          <w:lang w:eastAsia="en-US"/>
        </w:rPr>
        <w:t>os gobernadores, alcaldes municipales y/o distritales, secretarios, gerentes y directores de entidades descentralizadas del orden municipal, departamental o distrital</w:t>
      </w:r>
      <w:r w:rsidRPr="000B440A">
        <w:rPr>
          <w:rFonts w:ascii="Arial" w:eastAsia="Calibri" w:hAnsi="Arial" w:cs="Arial"/>
          <w:bCs/>
          <w:color w:val="000000" w:themeColor="text1"/>
          <w:sz w:val="20"/>
          <w:szCs w:val="20"/>
          <w:lang w:eastAsia="en-US"/>
        </w:rPr>
        <w:t xml:space="preserve">, no es aplicable a las universidades estatales, debido a que, en virtud de su atributo constitucional de autonomía y el desarrollo legislativo y jurisprudencial no son ni pueden asimilarse a las entidades de la rama ejecutiva, ni se trataría de entidades descentralizadas. En tal sentido, están por fuera del listado taxativo de entidades frente a las que aplica el parágrafo del artículo 38, ibidem. </w:t>
      </w:r>
    </w:p>
    <w:p w14:paraId="27BB327A" w14:textId="0C6CDD57" w:rsidR="00C46D70" w:rsidRDefault="00C46D70" w:rsidP="0094713D">
      <w:pPr>
        <w:widowControl w:val="0"/>
        <w:autoSpaceDE w:val="0"/>
        <w:autoSpaceDN w:val="0"/>
        <w:rPr>
          <w:rFonts w:ascii="Arial" w:hAnsi="Arial" w:cs="Arial"/>
          <w:color w:val="000000" w:themeColor="text1"/>
          <w:sz w:val="22"/>
        </w:rPr>
      </w:pPr>
    </w:p>
    <w:p w14:paraId="477407CE" w14:textId="70BF4785" w:rsidR="00C46D70" w:rsidRDefault="00C46D70" w:rsidP="0094713D">
      <w:pPr>
        <w:widowControl w:val="0"/>
        <w:autoSpaceDE w:val="0"/>
        <w:autoSpaceDN w:val="0"/>
        <w:rPr>
          <w:rFonts w:ascii="Arial" w:hAnsi="Arial" w:cs="Arial"/>
          <w:color w:val="000000" w:themeColor="text1"/>
          <w:sz w:val="22"/>
        </w:rPr>
      </w:pPr>
    </w:p>
    <w:p w14:paraId="0FE1387B" w14:textId="77777777" w:rsidR="007C2461" w:rsidRPr="007C2461" w:rsidRDefault="007C2461" w:rsidP="007C2461">
      <w:pPr>
        <w:widowControl w:val="0"/>
        <w:autoSpaceDE w:val="0"/>
        <w:autoSpaceDN w:val="0"/>
        <w:spacing w:before="10"/>
        <w:rPr>
          <w:rFonts w:eastAsia="Arial MT" w:hAnsi="Arial MT" w:cs="Arial MT"/>
          <w:sz w:val="21"/>
          <w:szCs w:val="22"/>
          <w:lang w:val="es-ES" w:eastAsia="en-US"/>
        </w:rPr>
      </w:pPr>
    </w:p>
    <w:p w14:paraId="4E408FBD" w14:textId="77777777" w:rsidR="007C2461" w:rsidRPr="007C2461" w:rsidRDefault="007C2461" w:rsidP="007C2461">
      <w:pPr>
        <w:widowControl w:val="0"/>
        <w:autoSpaceDE w:val="0"/>
        <w:autoSpaceDN w:val="0"/>
        <w:spacing w:before="94"/>
        <w:ind w:right="533"/>
        <w:jc w:val="right"/>
        <w:rPr>
          <w:rFonts w:ascii="Arial" w:eastAsia="Arial MT" w:hAnsi="Arial MT" w:cs="Arial MT"/>
          <w:b/>
          <w:sz w:val="18"/>
          <w:szCs w:val="22"/>
          <w:lang w:val="es-ES" w:eastAsia="en-US"/>
        </w:rPr>
      </w:pPr>
      <w:r w:rsidRPr="007C2461">
        <w:rPr>
          <w:rFonts w:ascii="Arial" w:eastAsia="Arial MT" w:hAnsi="Arial MT" w:cs="Arial MT"/>
          <w:b/>
          <w:color w:val="585858"/>
          <w:sz w:val="18"/>
          <w:szCs w:val="22"/>
          <w:lang w:val="es-ES" w:eastAsia="en-US"/>
        </w:rPr>
        <w:t>CCE-DES-FM-17</w:t>
      </w:r>
    </w:p>
    <w:p w14:paraId="1DD72353" w14:textId="77777777" w:rsidR="007C2461" w:rsidRPr="007C2461" w:rsidRDefault="007C2461" w:rsidP="007C2461">
      <w:pPr>
        <w:widowControl w:val="0"/>
        <w:autoSpaceDE w:val="0"/>
        <w:autoSpaceDN w:val="0"/>
        <w:rPr>
          <w:rFonts w:ascii="Arial" w:eastAsia="Arial MT" w:hAnsi="Arial MT" w:cs="Arial MT"/>
          <w:b/>
          <w:sz w:val="20"/>
          <w:szCs w:val="22"/>
          <w:lang w:val="es-ES" w:eastAsia="en-US"/>
        </w:rPr>
      </w:pPr>
    </w:p>
    <w:p w14:paraId="3425755A" w14:textId="2EDD644F" w:rsidR="00300726" w:rsidRPr="005641DC" w:rsidRDefault="00BE354D" w:rsidP="00BE354D">
      <w:pPr>
        <w:widowControl w:val="0"/>
        <w:autoSpaceDE w:val="0"/>
        <w:autoSpaceDN w:val="0"/>
        <w:jc w:val="right"/>
        <w:rPr>
          <w:rFonts w:ascii="Arial MT" w:eastAsia="Arial MT" w:hAnsi="Arial MT" w:cs="Arial MT"/>
          <w:szCs w:val="22"/>
          <w:lang w:val="es-ES" w:eastAsia="en-US"/>
        </w:rPr>
      </w:pPr>
      <w:r w:rsidRPr="00BE354D">
        <w:rPr>
          <w:rFonts w:ascii="Arial MT" w:eastAsia="Arial MT" w:hAnsi="Arial MT" w:cs="Arial MT"/>
          <w:szCs w:val="22"/>
          <w:lang w:val="es-ES" w:eastAsia="en-US"/>
        </w:rPr>
        <w:drawing>
          <wp:inline distT="0" distB="0" distL="0" distR="0" wp14:anchorId="7E5DE4B1" wp14:editId="6F0B1F61">
            <wp:extent cx="2267645" cy="619125"/>
            <wp:effectExtent l="0" t="0" r="0"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1"/>
                    <a:stretch>
                      <a:fillRect/>
                    </a:stretch>
                  </pic:blipFill>
                  <pic:spPr>
                    <a:xfrm>
                      <a:off x="0" y="0"/>
                      <a:ext cx="2271107" cy="620070"/>
                    </a:xfrm>
                    <a:prstGeom prst="rect">
                      <a:avLst/>
                    </a:prstGeom>
                  </pic:spPr>
                </pic:pic>
              </a:graphicData>
            </a:graphic>
          </wp:inline>
        </w:drawing>
      </w:r>
    </w:p>
    <w:p w14:paraId="176395FC" w14:textId="1FAB0ACC" w:rsidR="002F3E4E" w:rsidRPr="005641DC" w:rsidRDefault="002F3E4E" w:rsidP="00B95C30">
      <w:pPr>
        <w:jc w:val="both"/>
        <w:rPr>
          <w:rFonts w:ascii="Arial" w:hAnsi="Arial" w:cs="Arial"/>
          <w:bCs/>
          <w:color w:val="000000" w:themeColor="text1"/>
          <w:sz w:val="22"/>
          <w:lang w:val="es-ES_tradnl"/>
        </w:rPr>
      </w:pPr>
    </w:p>
    <w:p w14:paraId="5F5AE9EF" w14:textId="2895D1B9" w:rsidR="00B95C30" w:rsidRPr="005641DC" w:rsidRDefault="00BE4FBF" w:rsidP="00B95C30">
      <w:pPr>
        <w:jc w:val="both"/>
        <w:rPr>
          <w:rFonts w:ascii="Arial" w:eastAsia="Calibri" w:hAnsi="Arial" w:cs="Arial"/>
          <w:color w:val="000000" w:themeColor="text1"/>
          <w:sz w:val="22"/>
        </w:rPr>
      </w:pPr>
      <w:bookmarkStart w:id="6" w:name="_Hlk80951783"/>
      <w:r w:rsidRPr="005641DC">
        <w:rPr>
          <w:rFonts w:ascii="Arial" w:eastAsia="Calibri" w:hAnsi="Arial" w:cs="Arial"/>
          <w:color w:val="000000" w:themeColor="text1"/>
          <w:sz w:val="22"/>
        </w:rPr>
        <w:t>Señor</w:t>
      </w:r>
      <w:r w:rsidR="00CB7763">
        <w:rPr>
          <w:rFonts w:ascii="Arial" w:eastAsia="Calibri" w:hAnsi="Arial" w:cs="Arial"/>
          <w:color w:val="000000" w:themeColor="text1"/>
          <w:sz w:val="22"/>
        </w:rPr>
        <w:t>a</w:t>
      </w:r>
    </w:p>
    <w:p w14:paraId="6AEDFB38" w14:textId="77777777" w:rsidR="00CB7763" w:rsidRDefault="00CB7763" w:rsidP="00B95C30">
      <w:pPr>
        <w:jc w:val="both"/>
        <w:rPr>
          <w:rFonts w:ascii="Arial" w:eastAsia="Calibri" w:hAnsi="Arial" w:cs="Arial"/>
          <w:b/>
          <w:color w:val="000000" w:themeColor="text1"/>
          <w:sz w:val="22"/>
        </w:rPr>
      </w:pPr>
      <w:r>
        <w:rPr>
          <w:rFonts w:ascii="Arial" w:eastAsia="Calibri" w:hAnsi="Arial" w:cs="Arial"/>
          <w:b/>
          <w:color w:val="000000" w:themeColor="text1"/>
          <w:sz w:val="22"/>
        </w:rPr>
        <w:t>Ángela Torres Quiroga</w:t>
      </w:r>
    </w:p>
    <w:p w14:paraId="277593B3" w14:textId="7DE8B00E" w:rsidR="00F52546" w:rsidRDefault="00F52546" w:rsidP="00B95C30">
      <w:pPr>
        <w:jc w:val="both"/>
        <w:rPr>
          <w:rFonts w:ascii="Arial" w:eastAsia="Calibri" w:hAnsi="Arial" w:cs="Arial"/>
          <w:color w:val="000000" w:themeColor="text1"/>
          <w:sz w:val="22"/>
        </w:rPr>
      </w:pPr>
      <w:r>
        <w:rPr>
          <w:rFonts w:ascii="Arial" w:eastAsia="Calibri" w:hAnsi="Arial" w:cs="Arial"/>
          <w:color w:val="000000" w:themeColor="text1"/>
          <w:sz w:val="22"/>
        </w:rPr>
        <w:t>Gobernación del Meta</w:t>
      </w:r>
    </w:p>
    <w:p w14:paraId="513743A5" w14:textId="1FE4CC12" w:rsidR="00634FC4" w:rsidRPr="005641DC" w:rsidRDefault="00CB7763" w:rsidP="00B95C30">
      <w:pPr>
        <w:jc w:val="both"/>
        <w:rPr>
          <w:rFonts w:ascii="Arial" w:eastAsia="Calibri" w:hAnsi="Arial" w:cs="Arial"/>
          <w:color w:val="000000" w:themeColor="text1"/>
          <w:sz w:val="22"/>
        </w:rPr>
      </w:pPr>
      <w:r>
        <w:rPr>
          <w:rFonts w:ascii="Arial" w:eastAsia="Calibri" w:hAnsi="Arial" w:cs="Arial"/>
          <w:color w:val="000000" w:themeColor="text1"/>
          <w:sz w:val="22"/>
        </w:rPr>
        <w:t>Villavicencio, Meta</w:t>
      </w:r>
    </w:p>
    <w:p w14:paraId="6DA0F9AE" w14:textId="77777777" w:rsidR="00BD5899" w:rsidRPr="005641DC" w:rsidRDefault="00BD5899" w:rsidP="00B95C30">
      <w:pPr>
        <w:jc w:val="both"/>
        <w:rPr>
          <w:rFonts w:ascii="Arial" w:eastAsia="Calibri" w:hAnsi="Arial" w:cs="Arial"/>
          <w:color w:val="000000" w:themeColor="text1"/>
          <w:sz w:val="22"/>
        </w:rPr>
      </w:pPr>
    </w:p>
    <w:p w14:paraId="12E66182" w14:textId="23477620" w:rsidR="00B95C30" w:rsidRPr="005641DC" w:rsidRDefault="00A25F2F" w:rsidP="004004C2">
      <w:pPr>
        <w:rPr>
          <w:rFonts w:ascii="Arial" w:eastAsia="Calibri" w:hAnsi="Arial" w:cs="Arial"/>
          <w:b/>
          <w:bCs/>
          <w:color w:val="000000" w:themeColor="text1"/>
          <w:sz w:val="22"/>
          <w:lang w:val="es-ES_tradnl"/>
        </w:rPr>
      </w:pPr>
      <w:r w:rsidRPr="005641DC">
        <w:rPr>
          <w:rFonts w:ascii="Arial" w:eastAsia="Calibri" w:hAnsi="Arial" w:cs="Arial"/>
          <w:b/>
          <w:bCs/>
          <w:color w:val="000000" w:themeColor="text1"/>
          <w:sz w:val="22"/>
        </w:rPr>
        <w:t xml:space="preserve">                                            </w:t>
      </w:r>
      <w:r w:rsidR="00B95C30" w:rsidRPr="005641DC">
        <w:rPr>
          <w:rFonts w:ascii="Arial" w:eastAsia="Calibri" w:hAnsi="Arial" w:cs="Arial"/>
          <w:b/>
          <w:bCs/>
          <w:color w:val="000000" w:themeColor="text1"/>
          <w:sz w:val="22"/>
          <w:lang w:val="es-ES_tradnl"/>
        </w:rPr>
        <w:t>Concepto C ‒</w:t>
      </w:r>
      <w:r w:rsidR="00856F87" w:rsidRPr="005641DC">
        <w:rPr>
          <w:rFonts w:ascii="Arial" w:eastAsia="Calibri" w:hAnsi="Arial" w:cs="Arial"/>
          <w:b/>
          <w:bCs/>
          <w:color w:val="000000" w:themeColor="text1"/>
          <w:sz w:val="22"/>
          <w:lang w:val="es-ES_tradnl"/>
        </w:rPr>
        <w:t xml:space="preserve"> </w:t>
      </w:r>
      <w:r w:rsidR="00CB7763">
        <w:rPr>
          <w:rFonts w:ascii="Arial" w:eastAsia="Calibri" w:hAnsi="Arial" w:cs="Arial"/>
          <w:b/>
          <w:bCs/>
          <w:color w:val="000000" w:themeColor="text1"/>
          <w:sz w:val="22"/>
          <w:lang w:val="es-ES_tradnl"/>
        </w:rPr>
        <w:t>096</w:t>
      </w:r>
      <w:r w:rsidR="00E746A6" w:rsidRPr="005641DC">
        <w:rPr>
          <w:rFonts w:ascii="Arial" w:eastAsia="Calibri" w:hAnsi="Arial" w:cs="Arial"/>
          <w:b/>
          <w:bCs/>
          <w:color w:val="000000" w:themeColor="text1"/>
          <w:sz w:val="22"/>
          <w:lang w:val="es-ES_tradnl"/>
        </w:rPr>
        <w:t xml:space="preserve"> de 202</w:t>
      </w:r>
      <w:r w:rsidR="00CB7763">
        <w:rPr>
          <w:rFonts w:ascii="Arial" w:eastAsia="Calibri" w:hAnsi="Arial" w:cs="Arial"/>
          <w:b/>
          <w:bCs/>
          <w:color w:val="000000" w:themeColor="text1"/>
          <w:sz w:val="22"/>
          <w:lang w:val="es-ES_tradnl"/>
        </w:rPr>
        <w:t>2</w:t>
      </w:r>
    </w:p>
    <w:p w14:paraId="20200123" w14:textId="6A5F4708" w:rsidR="0096347F" w:rsidRPr="005641DC" w:rsidRDefault="0096347F"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D7592" w:rsidRPr="005641DC" w14:paraId="56A33869" w14:textId="77777777" w:rsidTr="0009465C">
        <w:tc>
          <w:tcPr>
            <w:tcW w:w="2689" w:type="dxa"/>
          </w:tcPr>
          <w:p w14:paraId="51A224AA" w14:textId="77777777" w:rsidR="00CD7592" w:rsidRPr="005641DC" w:rsidRDefault="00CD7592" w:rsidP="0009465C">
            <w:pPr>
              <w:jc w:val="both"/>
              <w:rPr>
                <w:rFonts w:ascii="Arial" w:eastAsia="Calibri" w:hAnsi="Arial" w:cs="Arial"/>
                <w:b/>
                <w:color w:val="000000" w:themeColor="text1"/>
                <w:sz w:val="22"/>
                <w:lang w:val="es-ES_tradnl"/>
              </w:rPr>
            </w:pPr>
            <w:r w:rsidRPr="005641DC">
              <w:rPr>
                <w:rFonts w:ascii="Arial" w:eastAsia="Calibri" w:hAnsi="Arial" w:cs="Arial"/>
                <w:b/>
                <w:color w:val="000000" w:themeColor="text1"/>
                <w:sz w:val="22"/>
                <w:lang w:val="es-ES_tradnl"/>
              </w:rPr>
              <w:t xml:space="preserve">Temas:                                      </w:t>
            </w:r>
          </w:p>
        </w:tc>
        <w:tc>
          <w:tcPr>
            <w:tcW w:w="6237" w:type="dxa"/>
          </w:tcPr>
          <w:p w14:paraId="51BCE4D2" w14:textId="4C53DB28" w:rsidR="00CD7592" w:rsidRPr="008E31C0" w:rsidRDefault="00CD7592" w:rsidP="007C3960">
            <w:pPr>
              <w:jc w:val="both"/>
              <w:rPr>
                <w:rFonts w:ascii="Arial" w:eastAsia="Calibri" w:hAnsi="Arial" w:cs="Arial"/>
                <w:bCs/>
                <w:sz w:val="22"/>
                <w:szCs w:val="22"/>
                <w:lang w:val="es-MX" w:eastAsia="en-US"/>
              </w:rPr>
            </w:pPr>
            <w:r w:rsidRPr="008E31C0">
              <w:rPr>
                <w:rFonts w:ascii="Arial" w:eastAsia="Calibri" w:hAnsi="Arial" w:cs="Arial"/>
                <w:bCs/>
                <w:color w:val="000000" w:themeColor="text1"/>
                <w:sz w:val="22"/>
                <w:szCs w:val="22"/>
                <w:lang w:val="es-MX" w:eastAsia="en-US"/>
              </w:rPr>
              <w:t xml:space="preserve">LEY DE GARANTÍAS ELECTORALES ‒ Restricciones ‒ Contratación ‒ Tipos de elección </w:t>
            </w:r>
            <w:r w:rsidR="00C46D70" w:rsidRPr="008E31C0">
              <w:rPr>
                <w:rFonts w:ascii="Arial" w:eastAsia="Calibri" w:hAnsi="Arial" w:cs="Arial"/>
                <w:bCs/>
                <w:sz w:val="22"/>
                <w:szCs w:val="22"/>
                <w:lang w:val="es-MX" w:eastAsia="en-US"/>
              </w:rPr>
              <w:t>/ LEY DE GARANTÍAS ELECTORALES ‒</w:t>
            </w:r>
            <w:r w:rsidR="008E31C0" w:rsidRPr="008E31C0">
              <w:rPr>
                <w:rFonts w:ascii="Arial" w:eastAsia="Calibri" w:hAnsi="Arial" w:cs="Arial"/>
                <w:bCs/>
                <w:sz w:val="22"/>
                <w:szCs w:val="22"/>
                <w:lang w:val="es-MX" w:eastAsia="en-US"/>
              </w:rPr>
              <w:t xml:space="preserve"> Aplicación de la Ley 996 de 2005</w:t>
            </w:r>
            <w:r w:rsidR="008E31C0">
              <w:rPr>
                <w:rFonts w:ascii="Arial" w:eastAsia="Calibri" w:hAnsi="Arial" w:cs="Arial"/>
                <w:bCs/>
                <w:sz w:val="22"/>
                <w:szCs w:val="22"/>
                <w:lang w:val="es-MX" w:eastAsia="en-US"/>
              </w:rPr>
              <w:t xml:space="preserve"> -</w:t>
            </w:r>
            <w:r w:rsidR="008E31C0" w:rsidRPr="008E31C0">
              <w:rPr>
                <w:rFonts w:ascii="Arial" w:eastAsia="Calibri" w:hAnsi="Arial" w:cs="Arial"/>
                <w:bCs/>
                <w:sz w:val="22"/>
                <w:szCs w:val="22"/>
                <w:lang w:val="es-MX" w:eastAsia="en-US"/>
              </w:rPr>
              <w:t xml:space="preserve"> </w:t>
            </w:r>
            <w:r w:rsidR="00C46D70" w:rsidRPr="008E31C0">
              <w:rPr>
                <w:rFonts w:ascii="Arial" w:eastAsia="Calibri" w:hAnsi="Arial" w:cs="Arial"/>
                <w:bCs/>
                <w:sz w:val="22"/>
                <w:szCs w:val="22"/>
                <w:lang w:val="es-MX" w:eastAsia="en-US"/>
              </w:rPr>
              <w:t xml:space="preserve"> </w:t>
            </w:r>
            <w:r w:rsidR="00756B4B" w:rsidRPr="008E31C0">
              <w:rPr>
                <w:rFonts w:ascii="Arial" w:eastAsia="Calibri" w:hAnsi="Arial" w:cs="Arial"/>
                <w:bCs/>
                <w:sz w:val="22"/>
                <w:szCs w:val="22"/>
                <w:lang w:val="es-MX" w:eastAsia="en-US"/>
              </w:rPr>
              <w:t>Universidades</w:t>
            </w:r>
            <w:r w:rsidR="008E31C0">
              <w:rPr>
                <w:rFonts w:ascii="Arial" w:eastAsia="Calibri" w:hAnsi="Arial" w:cs="Arial"/>
                <w:bCs/>
                <w:sz w:val="22"/>
                <w:szCs w:val="22"/>
                <w:lang w:val="es-MX" w:eastAsia="en-US"/>
              </w:rPr>
              <w:t xml:space="preserve"> </w:t>
            </w:r>
            <w:r w:rsidR="00756B4B" w:rsidRPr="008E31C0">
              <w:rPr>
                <w:rFonts w:ascii="Arial" w:eastAsia="Calibri" w:hAnsi="Arial" w:cs="Arial"/>
                <w:bCs/>
                <w:sz w:val="22"/>
                <w:szCs w:val="22"/>
                <w:lang w:val="es-MX" w:eastAsia="en-US"/>
              </w:rPr>
              <w:t>públicas</w:t>
            </w:r>
            <w:r w:rsidR="00C46D70" w:rsidRPr="008E31C0">
              <w:rPr>
                <w:rFonts w:ascii="Arial" w:eastAsia="Calibri" w:hAnsi="Arial" w:cs="Arial"/>
                <w:bCs/>
                <w:sz w:val="22"/>
                <w:szCs w:val="22"/>
                <w:lang w:val="es-MX" w:eastAsia="en-US"/>
              </w:rPr>
              <w:t xml:space="preserve"> </w:t>
            </w:r>
          </w:p>
        </w:tc>
      </w:tr>
      <w:tr w:rsidR="00B95C30" w:rsidRPr="005641DC" w14:paraId="27CD52AB" w14:textId="77777777" w:rsidTr="0096347F">
        <w:trPr>
          <w:trHeight w:val="391"/>
        </w:trPr>
        <w:tc>
          <w:tcPr>
            <w:tcW w:w="2689" w:type="dxa"/>
          </w:tcPr>
          <w:p w14:paraId="37E195A1" w14:textId="3D8DD034" w:rsidR="00B95C30" w:rsidRPr="005641DC" w:rsidRDefault="00B95C30" w:rsidP="000B440A">
            <w:pPr>
              <w:jc w:val="both"/>
              <w:rPr>
                <w:rFonts w:ascii="Arial" w:eastAsia="Calibri" w:hAnsi="Arial" w:cs="Arial"/>
                <w:color w:val="000000" w:themeColor="text1"/>
                <w:sz w:val="22"/>
                <w:szCs w:val="22"/>
                <w:lang w:val="es-ES_tradnl"/>
              </w:rPr>
            </w:pPr>
            <w:r w:rsidRPr="005641DC">
              <w:rPr>
                <w:rFonts w:ascii="Arial" w:eastAsia="Calibri" w:hAnsi="Arial" w:cs="Arial"/>
                <w:b/>
                <w:color w:val="000000" w:themeColor="text1"/>
                <w:sz w:val="22"/>
                <w:szCs w:val="22"/>
                <w:lang w:val="es-ES_tradnl"/>
              </w:rPr>
              <w:t>Radicación</w:t>
            </w:r>
            <w:r w:rsidRPr="005641DC">
              <w:rPr>
                <w:rFonts w:ascii="Arial" w:eastAsia="Calibri" w:hAnsi="Arial" w:cs="Arial"/>
                <w:color w:val="000000" w:themeColor="text1"/>
                <w:sz w:val="22"/>
                <w:szCs w:val="22"/>
                <w:lang w:val="es-ES_tradnl"/>
              </w:rPr>
              <w:t xml:space="preserve">:                              </w:t>
            </w:r>
          </w:p>
        </w:tc>
        <w:tc>
          <w:tcPr>
            <w:tcW w:w="6237" w:type="dxa"/>
          </w:tcPr>
          <w:p w14:paraId="09088B1B" w14:textId="4E74EEDE" w:rsidR="00B95C30" w:rsidRPr="005641DC" w:rsidRDefault="00B95C30" w:rsidP="000B440A">
            <w:pPr>
              <w:jc w:val="both"/>
              <w:rPr>
                <w:rFonts w:ascii="Arial" w:eastAsia="Calibri" w:hAnsi="Arial" w:cs="Arial"/>
                <w:color w:val="000000" w:themeColor="text1"/>
                <w:sz w:val="22"/>
                <w:szCs w:val="22"/>
                <w:lang w:val="es-ES_tradnl"/>
              </w:rPr>
            </w:pPr>
            <w:r w:rsidRPr="005641DC">
              <w:rPr>
                <w:rFonts w:ascii="Arial" w:eastAsia="Calibri" w:hAnsi="Arial" w:cs="Arial"/>
                <w:color w:val="000000" w:themeColor="text1"/>
                <w:sz w:val="22"/>
                <w:szCs w:val="22"/>
                <w:lang w:val="es-ES_tradnl"/>
              </w:rPr>
              <w:t xml:space="preserve">Respuesta a consulta </w:t>
            </w:r>
            <w:r w:rsidR="00CB7763">
              <w:rPr>
                <w:rFonts w:ascii="Arial" w:eastAsia="Calibri" w:hAnsi="Arial" w:cs="Arial"/>
                <w:color w:val="000000" w:themeColor="text1"/>
                <w:sz w:val="22"/>
                <w:szCs w:val="22"/>
                <w:lang w:val="es-ES_tradnl"/>
              </w:rPr>
              <w:t>Nro.</w:t>
            </w:r>
            <w:r w:rsidR="00A161D5" w:rsidRPr="005641DC">
              <w:rPr>
                <w:rFonts w:ascii="Arial" w:eastAsia="Calibri" w:hAnsi="Arial" w:cs="Arial"/>
                <w:color w:val="000000" w:themeColor="text1"/>
                <w:sz w:val="22"/>
                <w:szCs w:val="22"/>
                <w:lang w:val="es-ES_tradnl"/>
              </w:rPr>
              <w:t xml:space="preserve"> </w:t>
            </w:r>
            <w:r w:rsidR="00CB7763" w:rsidRPr="00CB7763">
              <w:rPr>
                <w:rFonts w:ascii="Arial" w:hAnsi="Arial" w:cs="Arial"/>
                <w:color w:val="323130"/>
                <w:sz w:val="22"/>
                <w:szCs w:val="22"/>
                <w:shd w:val="clear" w:color="auto" w:fill="FFFFFF"/>
              </w:rPr>
              <w:t>P20220208001186</w:t>
            </w:r>
          </w:p>
        </w:tc>
      </w:tr>
    </w:tbl>
    <w:p w14:paraId="453071DE" w14:textId="0DEFEF1F" w:rsidR="0096347F" w:rsidRDefault="0096347F" w:rsidP="003C3339">
      <w:pPr>
        <w:jc w:val="both"/>
        <w:rPr>
          <w:rFonts w:ascii="Arial" w:eastAsia="Calibri" w:hAnsi="Arial" w:cs="Arial"/>
          <w:color w:val="000000" w:themeColor="text1"/>
          <w:sz w:val="22"/>
        </w:rPr>
      </w:pPr>
    </w:p>
    <w:p w14:paraId="48B533FB" w14:textId="77777777" w:rsidR="007671BE" w:rsidRPr="00C46D70" w:rsidRDefault="007671BE" w:rsidP="003C3339">
      <w:pPr>
        <w:jc w:val="both"/>
        <w:rPr>
          <w:rFonts w:ascii="Arial" w:eastAsia="Calibri" w:hAnsi="Arial" w:cs="Arial"/>
          <w:color w:val="000000" w:themeColor="text1"/>
          <w:sz w:val="22"/>
        </w:rPr>
      </w:pPr>
    </w:p>
    <w:p w14:paraId="1CF4AEA0" w14:textId="59E5C4AA" w:rsidR="003C3339" w:rsidRPr="005641DC" w:rsidRDefault="003C3339" w:rsidP="003C3339">
      <w:pPr>
        <w:jc w:val="both"/>
        <w:rPr>
          <w:rFonts w:ascii="Arial" w:eastAsia="Calibri" w:hAnsi="Arial" w:cs="Arial"/>
          <w:color w:val="000000" w:themeColor="text1"/>
          <w:sz w:val="22"/>
          <w:lang w:val="es-ES_tradnl"/>
        </w:rPr>
      </w:pPr>
      <w:r w:rsidRPr="005641DC">
        <w:rPr>
          <w:rFonts w:ascii="Arial" w:eastAsia="Calibri" w:hAnsi="Arial" w:cs="Arial"/>
          <w:color w:val="000000" w:themeColor="text1"/>
          <w:sz w:val="22"/>
          <w:lang w:val="es-ES_tradnl"/>
        </w:rPr>
        <w:t>Estimad</w:t>
      </w:r>
      <w:r w:rsidR="000A68A8">
        <w:rPr>
          <w:rFonts w:ascii="Arial" w:eastAsia="Calibri" w:hAnsi="Arial" w:cs="Arial"/>
          <w:color w:val="000000" w:themeColor="text1"/>
          <w:sz w:val="22"/>
          <w:lang w:val="es-ES_tradnl"/>
        </w:rPr>
        <w:t>a</w:t>
      </w:r>
      <w:r w:rsidR="00BD5899" w:rsidRPr="005641DC">
        <w:rPr>
          <w:rFonts w:ascii="Arial" w:eastAsia="Calibri" w:hAnsi="Arial" w:cs="Arial"/>
          <w:color w:val="000000" w:themeColor="text1"/>
          <w:sz w:val="22"/>
          <w:lang w:val="es-ES_tradnl"/>
        </w:rPr>
        <w:t xml:space="preserve"> </w:t>
      </w:r>
      <w:r w:rsidR="000A68A8">
        <w:rPr>
          <w:rFonts w:ascii="Arial" w:eastAsia="Calibri" w:hAnsi="Arial" w:cs="Arial"/>
          <w:color w:val="000000" w:themeColor="text1"/>
          <w:sz w:val="22"/>
          <w:lang w:val="es-ES_tradnl"/>
        </w:rPr>
        <w:t>s</w:t>
      </w:r>
      <w:r w:rsidR="00BD5899" w:rsidRPr="005641DC">
        <w:rPr>
          <w:rFonts w:ascii="Arial" w:eastAsia="Calibri" w:hAnsi="Arial" w:cs="Arial"/>
          <w:color w:val="000000" w:themeColor="text1"/>
          <w:sz w:val="22"/>
          <w:lang w:val="es-ES_tradnl"/>
        </w:rPr>
        <w:t>eñor</w:t>
      </w:r>
      <w:r w:rsidR="000A68A8">
        <w:rPr>
          <w:rFonts w:ascii="Arial" w:eastAsia="Calibri" w:hAnsi="Arial" w:cs="Arial"/>
          <w:color w:val="000000" w:themeColor="text1"/>
          <w:sz w:val="22"/>
          <w:lang w:val="es-ES_tradnl"/>
        </w:rPr>
        <w:t>a</w:t>
      </w:r>
      <w:r w:rsidR="00BD5899" w:rsidRPr="005641DC">
        <w:rPr>
          <w:rFonts w:ascii="Arial" w:eastAsia="Calibri" w:hAnsi="Arial" w:cs="Arial"/>
          <w:color w:val="000000" w:themeColor="text1"/>
          <w:sz w:val="22"/>
          <w:lang w:val="es-ES_tradnl"/>
        </w:rPr>
        <w:t xml:space="preserve"> </w:t>
      </w:r>
      <w:r w:rsidR="000A68A8">
        <w:rPr>
          <w:rFonts w:ascii="Arial" w:eastAsia="Calibri" w:hAnsi="Arial" w:cs="Arial"/>
          <w:color w:val="000000" w:themeColor="text1"/>
          <w:sz w:val="22"/>
          <w:lang w:val="es-ES_tradnl"/>
        </w:rPr>
        <w:t>Torres Quiroga</w:t>
      </w:r>
      <w:r w:rsidR="00BD5899" w:rsidRPr="005641DC">
        <w:rPr>
          <w:rFonts w:ascii="Arial" w:eastAsia="Calibri" w:hAnsi="Arial" w:cs="Arial"/>
          <w:color w:val="000000" w:themeColor="text1"/>
          <w:sz w:val="22"/>
          <w:lang w:val="es-ES_tradnl"/>
        </w:rPr>
        <w:t>:</w:t>
      </w:r>
    </w:p>
    <w:p w14:paraId="1EAE5543" w14:textId="77777777" w:rsidR="00DD5B04" w:rsidRPr="005641DC" w:rsidRDefault="00DD5B04" w:rsidP="00DF76A2">
      <w:pPr>
        <w:jc w:val="both"/>
        <w:rPr>
          <w:rFonts w:ascii="Arial" w:eastAsia="Calibri" w:hAnsi="Arial" w:cs="Arial"/>
          <w:color w:val="000000" w:themeColor="text1"/>
          <w:sz w:val="22"/>
          <w:lang w:val="es-ES_tradnl"/>
        </w:rPr>
      </w:pPr>
    </w:p>
    <w:p w14:paraId="2109B2D3" w14:textId="45EBD5A1" w:rsidR="00DD5B04" w:rsidRPr="005641DC" w:rsidRDefault="00DD5B04" w:rsidP="00DF76A2">
      <w:pPr>
        <w:spacing w:line="276" w:lineRule="auto"/>
        <w:jc w:val="both"/>
        <w:rPr>
          <w:rFonts w:ascii="Arial" w:eastAsia="Calibri" w:hAnsi="Arial" w:cs="Arial"/>
          <w:color w:val="000000" w:themeColor="text1"/>
          <w:sz w:val="22"/>
          <w:lang w:val="es-ES_tradnl"/>
        </w:rPr>
      </w:pPr>
      <w:r w:rsidRPr="005641DC">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5641DC">
        <w:rPr>
          <w:rFonts w:ascii="Arial" w:eastAsia="Calibri" w:hAnsi="Arial" w:cs="Arial"/>
          <w:color w:val="000000" w:themeColor="text1"/>
          <w:sz w:val="22"/>
          <w:lang w:val="es-ES_tradnl"/>
        </w:rPr>
        <w:t>–</w:t>
      </w:r>
      <w:r w:rsidRPr="005641DC">
        <w:rPr>
          <w:rFonts w:ascii="Arial" w:eastAsia="Calibri" w:hAnsi="Arial" w:cs="Arial"/>
          <w:color w:val="000000" w:themeColor="text1"/>
          <w:sz w:val="22"/>
          <w:lang w:val="es-ES_tradnl"/>
        </w:rPr>
        <w:t xml:space="preserve"> Colombia Compra Eficiente</w:t>
      </w:r>
      <w:r w:rsidR="008C3C57" w:rsidRPr="005641DC">
        <w:rPr>
          <w:rFonts w:ascii="Arial" w:eastAsia="Calibri" w:hAnsi="Arial" w:cs="Arial"/>
          <w:color w:val="000000" w:themeColor="text1"/>
          <w:sz w:val="22"/>
          <w:lang w:val="es-ES_tradnl"/>
        </w:rPr>
        <w:t xml:space="preserve"> </w:t>
      </w:r>
      <w:r w:rsidR="00436B3F" w:rsidRPr="005641DC">
        <w:rPr>
          <w:rFonts w:ascii="Arial" w:eastAsia="Calibri" w:hAnsi="Arial" w:cs="Arial"/>
          <w:color w:val="000000" w:themeColor="text1"/>
          <w:sz w:val="22"/>
          <w:lang w:val="es-ES_tradnl"/>
        </w:rPr>
        <w:t>responde a su consulta del</w:t>
      </w:r>
      <w:r w:rsidR="00634FC4" w:rsidRPr="005641DC">
        <w:rPr>
          <w:rFonts w:ascii="Arial" w:eastAsia="Calibri" w:hAnsi="Arial" w:cs="Arial"/>
          <w:color w:val="000000" w:themeColor="text1"/>
          <w:sz w:val="22"/>
          <w:lang w:val="es-ES_tradnl"/>
        </w:rPr>
        <w:t xml:space="preserve"> </w:t>
      </w:r>
      <w:r w:rsidR="000A68A8">
        <w:rPr>
          <w:rFonts w:ascii="Arial" w:eastAsia="Calibri" w:hAnsi="Arial" w:cs="Arial"/>
          <w:color w:val="000000" w:themeColor="text1"/>
          <w:sz w:val="22"/>
          <w:lang w:val="es-ES_tradnl"/>
        </w:rPr>
        <w:t>7</w:t>
      </w:r>
      <w:r w:rsidR="00634FC4" w:rsidRPr="005641DC">
        <w:rPr>
          <w:rFonts w:ascii="Arial" w:eastAsia="Calibri" w:hAnsi="Arial" w:cs="Arial"/>
          <w:color w:val="000000" w:themeColor="text1"/>
          <w:sz w:val="22"/>
          <w:lang w:val="es-ES_tradnl"/>
        </w:rPr>
        <w:t xml:space="preserve"> de </w:t>
      </w:r>
      <w:r w:rsidR="000A68A8">
        <w:rPr>
          <w:rFonts w:ascii="Arial" w:eastAsia="Calibri" w:hAnsi="Arial" w:cs="Arial"/>
          <w:color w:val="000000" w:themeColor="text1"/>
          <w:sz w:val="22"/>
          <w:lang w:val="es-ES_tradnl"/>
        </w:rPr>
        <w:t>febrero</w:t>
      </w:r>
      <w:r w:rsidR="00634FC4" w:rsidRPr="005641DC">
        <w:rPr>
          <w:rFonts w:ascii="Arial" w:eastAsia="Calibri" w:hAnsi="Arial" w:cs="Arial"/>
          <w:color w:val="000000" w:themeColor="text1"/>
          <w:sz w:val="22"/>
          <w:lang w:val="es-ES_tradnl"/>
        </w:rPr>
        <w:t xml:space="preserve"> de 202</w:t>
      </w:r>
      <w:r w:rsidR="000A68A8">
        <w:rPr>
          <w:rFonts w:ascii="Arial" w:eastAsia="Calibri" w:hAnsi="Arial" w:cs="Arial"/>
          <w:color w:val="000000" w:themeColor="text1"/>
          <w:sz w:val="22"/>
          <w:lang w:val="es-ES_tradnl"/>
        </w:rPr>
        <w:t>2</w:t>
      </w:r>
      <w:r w:rsidR="00436B3F" w:rsidRPr="005641DC">
        <w:rPr>
          <w:rFonts w:ascii="Arial" w:eastAsia="Calibri" w:hAnsi="Arial" w:cs="Arial"/>
          <w:color w:val="000000" w:themeColor="text1"/>
          <w:sz w:val="22"/>
          <w:lang w:val="es-ES_tradnl"/>
        </w:rPr>
        <w:t xml:space="preserve">. </w:t>
      </w:r>
    </w:p>
    <w:p w14:paraId="4DD02E29" w14:textId="670A45B8" w:rsidR="0096347F" w:rsidRPr="005641DC" w:rsidRDefault="0096347F" w:rsidP="00DF76A2">
      <w:pPr>
        <w:spacing w:line="276" w:lineRule="auto"/>
        <w:jc w:val="both"/>
        <w:rPr>
          <w:rFonts w:ascii="Arial" w:eastAsia="Calibri" w:hAnsi="Arial" w:cs="Arial"/>
          <w:b/>
          <w:color w:val="000000" w:themeColor="text1"/>
          <w:sz w:val="22"/>
          <w:lang w:val="es-ES_tradnl"/>
        </w:rPr>
      </w:pPr>
    </w:p>
    <w:p w14:paraId="7701FCC7" w14:textId="77777777" w:rsidR="00DD5B04" w:rsidRPr="005641DC"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641DC">
        <w:rPr>
          <w:rFonts w:ascii="Arial" w:eastAsia="Calibri" w:hAnsi="Arial" w:cs="Arial"/>
          <w:b/>
          <w:color w:val="000000" w:themeColor="text1"/>
          <w:sz w:val="22"/>
          <w:lang w:val="es-ES_tradnl"/>
        </w:rPr>
        <w:t xml:space="preserve">Problema planteado </w:t>
      </w:r>
    </w:p>
    <w:p w14:paraId="224B43D3" w14:textId="77777777" w:rsidR="00DD5B04" w:rsidRPr="005641DC"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BD1A156" w14:textId="6BB59594" w:rsidR="00436B3F" w:rsidRPr="000B440A" w:rsidRDefault="00E746A6" w:rsidP="000B440A">
      <w:pPr>
        <w:autoSpaceDE w:val="0"/>
        <w:autoSpaceDN w:val="0"/>
        <w:adjustRightInd w:val="0"/>
        <w:spacing w:line="276" w:lineRule="auto"/>
        <w:ind w:right="49"/>
        <w:jc w:val="both"/>
        <w:rPr>
          <w:rFonts w:ascii="Arial" w:hAnsi="Arial" w:cs="Arial"/>
          <w:sz w:val="22"/>
          <w:szCs w:val="22"/>
        </w:rPr>
      </w:pPr>
      <w:r w:rsidRPr="003E3ACA">
        <w:rPr>
          <w:rFonts w:ascii="Arial" w:hAnsi="Arial" w:cs="Arial"/>
          <w:color w:val="000000" w:themeColor="text1"/>
          <w:sz w:val="22"/>
          <w:szCs w:val="22"/>
          <w:lang w:val="es-ES_tradnl"/>
        </w:rPr>
        <w:t>En su consulta plantea lo siguiente</w:t>
      </w:r>
      <w:r w:rsidR="006251D3" w:rsidRPr="003E3ACA">
        <w:rPr>
          <w:rFonts w:ascii="Arial" w:hAnsi="Arial" w:cs="Arial"/>
          <w:color w:val="000000" w:themeColor="text1"/>
          <w:sz w:val="22"/>
          <w:szCs w:val="22"/>
          <w:lang w:val="es-ES_tradnl"/>
        </w:rPr>
        <w:t xml:space="preserve">: </w:t>
      </w:r>
      <w:r w:rsidR="009E649E" w:rsidRPr="000B440A">
        <w:rPr>
          <w:rFonts w:ascii="Arial" w:hAnsi="Arial" w:cs="Arial"/>
          <w:color w:val="000000" w:themeColor="text1"/>
          <w:sz w:val="22"/>
          <w:szCs w:val="22"/>
          <w:lang w:val="es-ES_tradnl"/>
        </w:rPr>
        <w:t>«</w:t>
      </w:r>
      <w:r w:rsidR="005D0E39" w:rsidRPr="000B440A">
        <w:rPr>
          <w:rFonts w:ascii="Arial" w:hAnsi="Arial" w:cs="Arial"/>
          <w:sz w:val="22"/>
          <w:szCs w:val="22"/>
        </w:rPr>
        <w:t>De manera atenta solicito información respecto a sí (sic) en ley de garantías se puede o no suscribir convenios con universidades y otras entidades, sin erogación presupuestal valor (</w:t>
      </w:r>
      <w:r w:rsidR="0090798F" w:rsidRPr="000B440A">
        <w:rPr>
          <w:rFonts w:ascii="Arial" w:hAnsi="Arial" w:cs="Arial"/>
          <w:sz w:val="22"/>
          <w:szCs w:val="22"/>
        </w:rPr>
        <w:t>$0)</w:t>
      </w:r>
      <w:r w:rsidR="009E649E" w:rsidRPr="003E3ACA">
        <w:rPr>
          <w:rFonts w:ascii="Arial" w:eastAsia="Calibri" w:hAnsi="Arial" w:cs="Arial"/>
          <w:sz w:val="22"/>
          <w:szCs w:val="22"/>
          <w:lang w:eastAsia="en-US"/>
        </w:rPr>
        <w:t>»</w:t>
      </w:r>
      <w:r w:rsidR="009E649E" w:rsidRPr="000B440A">
        <w:rPr>
          <w:rFonts w:ascii="Arial" w:hAnsi="Arial" w:cs="Arial"/>
          <w:sz w:val="22"/>
          <w:szCs w:val="22"/>
        </w:rPr>
        <w:t>.</w:t>
      </w:r>
    </w:p>
    <w:p w14:paraId="037E7D68" w14:textId="78124F54" w:rsidR="007446F6" w:rsidRPr="005641DC" w:rsidRDefault="007446F6" w:rsidP="006B3EB4">
      <w:pPr>
        <w:spacing w:line="276" w:lineRule="auto"/>
        <w:jc w:val="both"/>
        <w:rPr>
          <w:rFonts w:ascii="Arial" w:hAnsi="Arial" w:cs="Arial"/>
          <w:color w:val="000000" w:themeColor="text1"/>
          <w:sz w:val="22"/>
          <w:szCs w:val="22"/>
          <w:lang w:val="es-ES_tradnl"/>
        </w:rPr>
      </w:pPr>
    </w:p>
    <w:p w14:paraId="124D2DCA" w14:textId="77777777" w:rsidR="00DD5B04" w:rsidRPr="005641DC"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641DC">
        <w:rPr>
          <w:rFonts w:ascii="Arial" w:eastAsia="Calibri" w:hAnsi="Arial" w:cs="Arial"/>
          <w:b/>
          <w:color w:val="000000" w:themeColor="text1"/>
          <w:sz w:val="22"/>
          <w:lang w:val="es-ES_tradnl"/>
        </w:rPr>
        <w:t>Consideraciones</w:t>
      </w:r>
    </w:p>
    <w:p w14:paraId="7D050D2E" w14:textId="353BF585" w:rsidR="00435703" w:rsidRDefault="00435703" w:rsidP="00DF76A2">
      <w:pPr>
        <w:spacing w:line="276" w:lineRule="auto"/>
        <w:jc w:val="both"/>
        <w:rPr>
          <w:rFonts w:ascii="Arial" w:eastAsia="Calibri" w:hAnsi="Arial" w:cs="Arial"/>
          <w:color w:val="000000" w:themeColor="text1"/>
          <w:sz w:val="22"/>
          <w:szCs w:val="22"/>
          <w:lang w:val="es-ES_tradnl"/>
        </w:rPr>
      </w:pPr>
    </w:p>
    <w:p w14:paraId="19AE8258" w14:textId="55BF240E" w:rsidR="0085475B" w:rsidRPr="0085475B" w:rsidRDefault="0085475B" w:rsidP="0069495B">
      <w:pPr>
        <w:spacing w:after="160" w:line="276" w:lineRule="auto"/>
        <w:jc w:val="both"/>
        <w:rPr>
          <w:rFonts w:ascii="Arial" w:eastAsia="Calibri" w:hAnsi="Arial" w:cs="Arial"/>
          <w:bCs/>
          <w:color w:val="000000" w:themeColor="text1"/>
          <w:sz w:val="22"/>
          <w:szCs w:val="22"/>
        </w:rPr>
      </w:pPr>
      <w:r w:rsidRPr="0085475B">
        <w:rPr>
          <w:rFonts w:ascii="Arial" w:eastAsia="Calibri" w:hAnsi="Arial" w:cs="Arial"/>
          <w:bCs/>
          <w:color w:val="000000" w:themeColor="text1"/>
          <w:sz w:val="22"/>
          <w:szCs w:val="22"/>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w:t>
      </w:r>
      <w:r w:rsidRPr="0085475B">
        <w:rPr>
          <w:rFonts w:ascii="Arial" w:eastAsia="Calibri" w:hAnsi="Arial" w:cs="Arial"/>
          <w:bCs/>
          <w:color w:val="000000" w:themeColor="text1"/>
          <w:sz w:val="22"/>
          <w:szCs w:val="22"/>
        </w:rPr>
        <w:lastRenderedPageBreak/>
        <w:t>de la contratación estatal y compras públicas relacionadas en los artículos citados</w:t>
      </w:r>
      <w:r w:rsidRPr="0085475B">
        <w:rPr>
          <w:rFonts w:ascii="Arial" w:eastAsia="Calibri" w:hAnsi="Arial" w:cs="Arial"/>
          <w:bCs/>
          <w:color w:val="000000" w:themeColor="text1"/>
          <w:sz w:val="22"/>
          <w:szCs w:val="22"/>
          <w:vertAlign w:val="superscript"/>
        </w:rPr>
        <w:footnoteReference w:id="2"/>
      </w:r>
      <w:r w:rsidRPr="0085475B">
        <w:rPr>
          <w:rFonts w:ascii="Arial" w:eastAsia="Calibri" w:hAnsi="Arial" w:cs="Arial"/>
          <w:bCs/>
          <w:color w:val="000000" w:themeColor="text1"/>
          <w:sz w:val="22"/>
          <w:szCs w:val="22"/>
        </w:rPr>
        <w:t>. En tal sentido, sus preguntas serán resueltas partiendo de una interpretación en abstracto de las normas en materia de contratación estatal, sin referencia a un caso concreto.</w:t>
      </w:r>
    </w:p>
    <w:p w14:paraId="5BB476BC" w14:textId="79C78298" w:rsidR="0085475B" w:rsidRPr="00EE0DEB" w:rsidRDefault="00323C67" w:rsidP="00EE0DEB">
      <w:pPr>
        <w:spacing w:after="160" w:line="276" w:lineRule="auto"/>
        <w:ind w:firstLine="709"/>
        <w:jc w:val="both"/>
        <w:rPr>
          <w:rFonts w:ascii="Arial" w:eastAsia="Calibri" w:hAnsi="Arial" w:cs="Arial"/>
          <w:bCs/>
          <w:color w:val="000000" w:themeColor="text1"/>
          <w:sz w:val="22"/>
          <w:szCs w:val="22"/>
          <w:lang w:val="es-MX"/>
        </w:rPr>
      </w:pPr>
      <w:r>
        <w:rPr>
          <w:rFonts w:ascii="Arial" w:eastAsia="Calibri" w:hAnsi="Arial" w:cs="Arial"/>
          <w:bCs/>
          <w:color w:val="000000" w:themeColor="text1"/>
          <w:sz w:val="22"/>
          <w:szCs w:val="22"/>
          <w:lang w:val="es-MX"/>
        </w:rPr>
        <w:t>P</w:t>
      </w:r>
      <w:r w:rsidR="0085475B" w:rsidRPr="0085475B">
        <w:rPr>
          <w:rFonts w:ascii="Arial" w:eastAsia="Calibri" w:hAnsi="Arial" w:cs="Arial"/>
          <w:bCs/>
          <w:color w:val="000000" w:themeColor="text1"/>
          <w:sz w:val="22"/>
          <w:szCs w:val="22"/>
          <w:lang w:val="es-MX"/>
        </w:rPr>
        <w:t>artiendo de la vigencia del artículo 124 de la Ley 2159 de 2021</w:t>
      </w:r>
      <w:r w:rsidR="003222DE">
        <w:rPr>
          <w:rStyle w:val="Refdenotaalpie"/>
          <w:rFonts w:ascii="Arial" w:eastAsia="Calibri" w:hAnsi="Arial" w:cs="Arial"/>
          <w:bCs/>
          <w:color w:val="000000" w:themeColor="text1"/>
          <w:sz w:val="22"/>
          <w:szCs w:val="22"/>
          <w:lang w:val="es-MX"/>
        </w:rPr>
        <w:footnoteReference w:id="3"/>
      </w:r>
      <w:r w:rsidR="0085475B" w:rsidRPr="0085475B">
        <w:rPr>
          <w:rFonts w:ascii="Arial" w:eastAsia="Calibri" w:hAnsi="Arial" w:cs="Arial"/>
          <w:bCs/>
          <w:color w:val="000000" w:themeColor="text1"/>
          <w:sz w:val="22"/>
          <w:szCs w:val="22"/>
          <w:lang w:val="es-MX"/>
        </w:rPr>
        <w:t>, esta Subdirección –dentro de los límites de sus atribuciones–</w:t>
      </w:r>
      <w:r w:rsidR="0085475B" w:rsidRPr="0085475B">
        <w:rPr>
          <w:rFonts w:ascii="Arial" w:eastAsia="Calibri" w:hAnsi="Arial" w:cs="Arial"/>
          <w:bCs/>
          <w:color w:val="000000" w:themeColor="text1"/>
          <w:sz w:val="22"/>
          <w:szCs w:val="22"/>
          <w:vertAlign w:val="superscript"/>
          <w:lang w:val="es-MX"/>
        </w:rPr>
        <w:footnoteReference w:id="4"/>
      </w:r>
      <w:r w:rsidR="0085475B" w:rsidRPr="0085475B">
        <w:rPr>
          <w:rFonts w:ascii="Arial" w:eastAsia="Calibri" w:hAnsi="Arial" w:cs="Arial"/>
          <w:bCs/>
          <w:color w:val="000000" w:themeColor="text1"/>
          <w:sz w:val="22"/>
          <w:szCs w:val="22"/>
          <w:lang w:val="es-MX"/>
        </w:rPr>
        <w:t xml:space="preserve"> resolverá </w:t>
      </w:r>
      <w:r w:rsidR="00C07A90">
        <w:rPr>
          <w:rFonts w:ascii="Arial" w:eastAsia="Calibri" w:hAnsi="Arial" w:cs="Arial"/>
          <w:bCs/>
          <w:color w:val="000000" w:themeColor="text1"/>
          <w:sz w:val="22"/>
          <w:szCs w:val="22"/>
          <w:lang w:val="es-MX"/>
        </w:rPr>
        <w:t>la inquietud</w:t>
      </w:r>
      <w:r w:rsidR="0085475B" w:rsidRPr="0085475B">
        <w:rPr>
          <w:rFonts w:ascii="Arial" w:eastAsia="Calibri" w:hAnsi="Arial" w:cs="Arial"/>
          <w:bCs/>
          <w:color w:val="000000" w:themeColor="text1"/>
          <w:sz w:val="22"/>
          <w:szCs w:val="22"/>
          <w:lang w:val="es-MX"/>
        </w:rPr>
        <w:t xml:space="preserve"> plantead</w:t>
      </w:r>
      <w:r w:rsidR="00C07A90">
        <w:rPr>
          <w:rFonts w:ascii="Arial" w:eastAsia="Calibri" w:hAnsi="Arial" w:cs="Arial"/>
          <w:bCs/>
          <w:color w:val="000000" w:themeColor="text1"/>
          <w:sz w:val="22"/>
          <w:szCs w:val="22"/>
          <w:lang w:val="es-MX"/>
        </w:rPr>
        <w:t>a</w:t>
      </w:r>
      <w:r w:rsidR="0085475B" w:rsidRPr="0085475B">
        <w:rPr>
          <w:rFonts w:ascii="Arial" w:eastAsia="Calibri" w:hAnsi="Arial" w:cs="Arial"/>
          <w:bCs/>
          <w:color w:val="000000" w:themeColor="text1"/>
          <w:sz w:val="22"/>
          <w:szCs w:val="22"/>
          <w:lang w:val="es-MX"/>
        </w:rPr>
        <w:t>, conforme a las normas generales en materia de contratación estatal, previo análisis de</w:t>
      </w:r>
      <w:r w:rsidR="0085475B" w:rsidRPr="0085475B">
        <w:rPr>
          <w:rFonts w:ascii="Arial" w:eastAsia="Calibri" w:hAnsi="Arial" w:cs="Arial"/>
          <w:color w:val="000000" w:themeColor="text1"/>
          <w:sz w:val="22"/>
          <w:szCs w:val="22"/>
          <w:lang w:val="es-ES"/>
        </w:rPr>
        <w:t xml:space="preserve"> los siguientes temas:</w:t>
      </w:r>
      <w:r w:rsidR="0085475B" w:rsidRPr="0085475B">
        <w:rPr>
          <w:rFonts w:ascii="Arial" w:eastAsia="Calibri" w:hAnsi="Arial" w:cs="Arial"/>
          <w:bCs/>
          <w:color w:val="000000" w:themeColor="text1"/>
          <w:sz w:val="22"/>
          <w:szCs w:val="22"/>
        </w:rPr>
        <w:t xml:space="preserve"> </w:t>
      </w:r>
      <w:r w:rsidR="0085475B" w:rsidRPr="002930FE">
        <w:rPr>
          <w:rFonts w:ascii="Arial" w:eastAsia="Calibri" w:hAnsi="Arial" w:cs="Arial"/>
          <w:bCs/>
          <w:color w:val="000000" w:themeColor="text1"/>
          <w:sz w:val="22"/>
          <w:szCs w:val="22"/>
        </w:rPr>
        <w:t>i)</w:t>
      </w:r>
      <w:r w:rsidR="00E54A6F" w:rsidRPr="002930FE">
        <w:rPr>
          <w:rFonts w:ascii="Arial" w:eastAsia="Calibri" w:hAnsi="Arial" w:cs="Arial"/>
          <w:b/>
          <w:bCs/>
          <w:color w:val="000000" w:themeColor="text1"/>
          <w:sz w:val="22"/>
        </w:rPr>
        <w:t xml:space="preserve"> </w:t>
      </w:r>
      <w:r w:rsidR="00E54A6F" w:rsidRPr="002930FE">
        <w:rPr>
          <w:rFonts w:ascii="Arial" w:eastAsia="Calibri" w:hAnsi="Arial" w:cs="Arial"/>
          <w:color w:val="000000" w:themeColor="text1"/>
          <w:sz w:val="22"/>
          <w:szCs w:val="22"/>
        </w:rPr>
        <w:t>finalidad y restricciones de la Ley de Garantías Electorales</w:t>
      </w:r>
      <w:r w:rsidR="0085475B" w:rsidRPr="002930FE">
        <w:rPr>
          <w:rFonts w:ascii="Arial" w:eastAsia="Calibri" w:hAnsi="Arial" w:cs="Arial"/>
          <w:bCs/>
          <w:color w:val="000000" w:themeColor="text1"/>
          <w:sz w:val="22"/>
          <w:szCs w:val="22"/>
          <w:lang w:val="es-MX"/>
        </w:rPr>
        <w:t>, ii)</w:t>
      </w:r>
      <w:r w:rsidR="000A7C3A" w:rsidRPr="002930FE">
        <w:rPr>
          <w:rFonts w:ascii="Arial" w:hAnsi="Arial" w:cs="Arial"/>
          <w:color w:val="000000" w:themeColor="text1"/>
          <w:sz w:val="22"/>
          <w:szCs w:val="22"/>
          <w:lang w:val="es-MX" w:eastAsia="es-CO"/>
        </w:rPr>
        <w:t xml:space="preserve"> </w:t>
      </w:r>
      <w:r w:rsidR="000A7C3A" w:rsidRPr="002930FE">
        <w:rPr>
          <w:rFonts w:ascii="Arial" w:eastAsia="Calibri" w:hAnsi="Arial" w:cs="Arial"/>
          <w:color w:val="000000" w:themeColor="text1"/>
          <w:sz w:val="22"/>
          <w:szCs w:val="22"/>
          <w:lang w:val="es-MX"/>
        </w:rPr>
        <w:t>restricciones para la celebración de contratos y convenios interadministrativos en los comicios de cargos de elección popular</w:t>
      </w:r>
      <w:r w:rsidR="0085475B" w:rsidRPr="002930FE">
        <w:rPr>
          <w:rFonts w:ascii="Arial" w:eastAsia="Calibri" w:hAnsi="Arial" w:cs="Arial"/>
          <w:bCs/>
          <w:color w:val="000000" w:themeColor="text1"/>
          <w:sz w:val="22"/>
          <w:szCs w:val="22"/>
          <w:lang w:val="es-MX"/>
        </w:rPr>
        <w:t>, i</w:t>
      </w:r>
      <w:r w:rsidR="00AE6C55" w:rsidRPr="002930FE">
        <w:rPr>
          <w:rFonts w:ascii="Arial" w:eastAsia="Calibri" w:hAnsi="Arial" w:cs="Arial"/>
          <w:bCs/>
          <w:color w:val="000000" w:themeColor="text1"/>
          <w:sz w:val="22"/>
          <w:szCs w:val="22"/>
          <w:lang w:val="es-MX"/>
        </w:rPr>
        <w:t>ii</w:t>
      </w:r>
      <w:r w:rsidR="0085475B" w:rsidRPr="002930FE">
        <w:rPr>
          <w:rFonts w:ascii="Arial" w:eastAsia="Calibri" w:hAnsi="Arial" w:cs="Arial"/>
          <w:bCs/>
          <w:color w:val="000000" w:themeColor="text1"/>
          <w:sz w:val="22"/>
          <w:szCs w:val="22"/>
          <w:lang w:val="es-MX"/>
        </w:rPr>
        <w:t xml:space="preserve">) </w:t>
      </w:r>
      <w:r w:rsidR="000A7C3A" w:rsidRPr="002930FE">
        <w:rPr>
          <w:rFonts w:ascii="Arial" w:eastAsia="Calibri" w:hAnsi="Arial" w:cs="Arial"/>
          <w:bCs/>
          <w:color w:val="000000" w:themeColor="text1"/>
          <w:sz w:val="22"/>
          <w:szCs w:val="22"/>
        </w:rPr>
        <w:t>restricciones para la suscripción de contratos de forma directa por parte de todos los entes del Estado –artículo 33 de la Ley 996 de 2005–</w:t>
      </w:r>
      <w:r w:rsidR="00AE6C55" w:rsidRPr="002930FE">
        <w:rPr>
          <w:rFonts w:ascii="Arial" w:eastAsia="Calibri" w:hAnsi="Arial" w:cs="Arial"/>
          <w:bCs/>
          <w:color w:val="000000" w:themeColor="text1"/>
          <w:sz w:val="22"/>
          <w:szCs w:val="22"/>
        </w:rPr>
        <w:t xml:space="preserve">y iv) </w:t>
      </w:r>
      <w:r w:rsidR="002930FE" w:rsidRPr="002930FE">
        <w:rPr>
          <w:rFonts w:ascii="Arial" w:eastAsia="Calibri" w:hAnsi="Arial" w:cs="Arial"/>
          <w:sz w:val="22"/>
          <w:szCs w:val="22"/>
          <w:lang w:val="es-MX" w:eastAsia="en-US"/>
        </w:rPr>
        <w:t>universidades públicas, naturaleza y régimen de contratación. Aplicación de la Ley de garantías</w:t>
      </w:r>
      <w:r w:rsidR="000A7C3A" w:rsidRPr="002930FE">
        <w:rPr>
          <w:rFonts w:ascii="Arial" w:eastAsia="Calibri" w:hAnsi="Arial" w:cs="Arial"/>
          <w:color w:val="000000" w:themeColor="text1"/>
          <w:sz w:val="22"/>
          <w:szCs w:val="22"/>
        </w:rPr>
        <w:t>.</w:t>
      </w:r>
      <w:r w:rsidR="000A7C3A">
        <w:rPr>
          <w:rFonts w:ascii="Arial" w:eastAsia="Calibri" w:hAnsi="Arial" w:cs="Arial"/>
          <w:b/>
          <w:color w:val="000000" w:themeColor="text1"/>
          <w:sz w:val="22"/>
          <w:szCs w:val="22"/>
        </w:rPr>
        <w:t xml:space="preserve"> </w:t>
      </w:r>
    </w:p>
    <w:p w14:paraId="3D37B457" w14:textId="10823370" w:rsidR="00BE52D8" w:rsidRPr="00BE52D8" w:rsidRDefault="00EF31DA" w:rsidP="00106177">
      <w:pPr>
        <w:spacing w:after="160" w:line="276" w:lineRule="auto"/>
        <w:ind w:firstLine="709"/>
        <w:jc w:val="both"/>
        <w:rPr>
          <w:rFonts w:ascii="Arial" w:eastAsia="Calibri" w:hAnsi="Arial" w:cs="Arial"/>
          <w:bCs/>
          <w:color w:val="000000" w:themeColor="text1"/>
          <w:sz w:val="22"/>
          <w:szCs w:val="22"/>
        </w:rPr>
      </w:pPr>
      <w:r w:rsidRPr="00EF31DA">
        <w:rPr>
          <w:rFonts w:ascii="Arial" w:eastAsia="Calibri" w:hAnsi="Arial" w:cs="Arial"/>
          <w:bCs/>
          <w:color w:val="000000" w:themeColor="text1"/>
          <w:sz w:val="22"/>
          <w:szCs w:val="22"/>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w:t>
      </w:r>
      <w:r w:rsidRPr="00EF31DA">
        <w:rPr>
          <w:rFonts w:ascii="Arial" w:eastAsia="Calibri" w:hAnsi="Arial" w:cs="Arial"/>
          <w:bCs/>
          <w:color w:val="000000" w:themeColor="text1"/>
          <w:sz w:val="22"/>
          <w:szCs w:val="22"/>
        </w:rPr>
        <w:lastRenderedPageBreak/>
        <w:t xml:space="preserve">2201913000007430 del 7 de octubre de 2019, </w:t>
      </w:r>
      <w:r w:rsidR="00267B06" w:rsidRPr="00267B06">
        <w:rPr>
          <w:rFonts w:ascii="Arial" w:eastAsia="Calibri" w:hAnsi="Arial" w:cs="Arial"/>
          <w:bCs/>
          <w:color w:val="000000" w:themeColor="text1"/>
          <w:sz w:val="22"/>
          <w:szCs w:val="22"/>
          <w:lang w:bidi="es-ES"/>
        </w:rPr>
        <w:t>2201913000007428</w:t>
      </w:r>
      <w:r w:rsidR="00267B06">
        <w:rPr>
          <w:rFonts w:ascii="Arial" w:eastAsia="Calibri" w:hAnsi="Arial" w:cs="Arial"/>
          <w:bCs/>
          <w:color w:val="000000" w:themeColor="text1"/>
          <w:sz w:val="22"/>
          <w:szCs w:val="22"/>
          <w:lang w:bidi="es-ES"/>
        </w:rPr>
        <w:t xml:space="preserve"> del 7 de octubre de 2019, </w:t>
      </w:r>
      <w:r w:rsidRPr="00EF31DA">
        <w:rPr>
          <w:rFonts w:ascii="Arial" w:eastAsia="Calibri" w:hAnsi="Arial" w:cs="Arial"/>
          <w:bCs/>
          <w:color w:val="000000" w:themeColor="text1"/>
          <w:sz w:val="22"/>
          <w:szCs w:val="22"/>
        </w:rPr>
        <w:t>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C-553 del 25 de octubre de 2021, C-557 del 7 de octubre de 2021, C-563 del 8 de octubre de 2021, C-606 del 3 de noviembre de 2021, C-614 del 2 de noviembre de 2021, C-633 del 11 de noviembre de 2021, C-634 del 11 de noviembre de 2021, C-636 del 16 de noviembre de 2021, C-674 del 6 de diciembre de 2021,</w:t>
      </w:r>
      <w:r w:rsidR="00C52296">
        <w:rPr>
          <w:rFonts w:ascii="Arial" w:eastAsia="Calibri" w:hAnsi="Arial" w:cs="Arial"/>
          <w:bCs/>
          <w:color w:val="000000" w:themeColor="text1"/>
          <w:sz w:val="22"/>
          <w:szCs w:val="22"/>
        </w:rPr>
        <w:t xml:space="preserve"> C-675 del </w:t>
      </w:r>
      <w:r w:rsidR="006E44BC">
        <w:rPr>
          <w:rFonts w:ascii="Arial" w:eastAsia="Calibri" w:hAnsi="Arial" w:cs="Arial"/>
          <w:bCs/>
          <w:color w:val="000000" w:themeColor="text1"/>
          <w:sz w:val="22"/>
          <w:szCs w:val="22"/>
        </w:rPr>
        <w:t>6 de enero de 2022,</w:t>
      </w:r>
      <w:r w:rsidRPr="00EF31DA">
        <w:rPr>
          <w:rFonts w:ascii="Arial" w:eastAsia="Calibri" w:hAnsi="Arial" w:cs="Arial"/>
          <w:bCs/>
          <w:color w:val="000000" w:themeColor="text1"/>
          <w:sz w:val="22"/>
          <w:szCs w:val="22"/>
        </w:rPr>
        <w:t xml:space="preserve"> C-677 del 4 de diciembre de 2021, C-693 del 9 de diciembre de 2021, C-695 del 22 de diciembre de 2021, C-697 del 3 de enero de 2022, C-699 del 6 de enero de 2022, C-700 del 6 de enero de 2021, C-723 del 28 de diciembre de 2021, C-715 del 21 de enero de 2022, C-718 del 24 de enero de 2022, C-726 del 24 de enero de 2022, C-015 del 12 de enero de 2022, C-002 del 15 de febrero de 2022, C-005 del 16 de febrero de 2022 y C-023 del 22 de febrero de 2022. La tesis desarrollada en estos conceptos se reitera y complementa a continuación:</w:t>
      </w:r>
    </w:p>
    <w:p w14:paraId="27365E26" w14:textId="70A468C9" w:rsidR="00F433CB" w:rsidRPr="005641DC" w:rsidRDefault="00F433CB" w:rsidP="006B3EB4">
      <w:pPr>
        <w:spacing w:line="276" w:lineRule="auto"/>
        <w:jc w:val="both"/>
        <w:rPr>
          <w:rFonts w:ascii="Arial" w:hAnsi="Arial" w:cs="Arial"/>
          <w:b/>
          <w:bCs/>
          <w:color w:val="000000" w:themeColor="text1"/>
          <w:sz w:val="22"/>
          <w:szCs w:val="22"/>
          <w:lang w:val="es-ES_tradnl"/>
        </w:rPr>
      </w:pPr>
      <w:r w:rsidRPr="005641DC">
        <w:rPr>
          <w:rFonts w:ascii="Arial" w:eastAsia="Calibri" w:hAnsi="Arial" w:cs="Arial"/>
          <w:b/>
          <w:bCs/>
          <w:color w:val="000000" w:themeColor="text1"/>
          <w:sz w:val="22"/>
        </w:rPr>
        <w:t xml:space="preserve">2.1. </w:t>
      </w:r>
      <w:r w:rsidR="0071300A" w:rsidRPr="005641DC">
        <w:rPr>
          <w:rFonts w:ascii="Arial" w:eastAsia="Calibri" w:hAnsi="Arial" w:cs="Arial"/>
          <w:b/>
          <w:bCs/>
          <w:color w:val="000000" w:themeColor="text1"/>
          <w:sz w:val="22"/>
        </w:rPr>
        <w:t>Ley de Garantías Electorales</w:t>
      </w:r>
      <w:r w:rsidR="0071300A">
        <w:rPr>
          <w:rFonts w:ascii="Arial" w:eastAsia="Calibri" w:hAnsi="Arial" w:cs="Arial"/>
          <w:b/>
          <w:bCs/>
          <w:color w:val="000000" w:themeColor="text1"/>
          <w:sz w:val="22"/>
        </w:rPr>
        <w:t xml:space="preserve">. </w:t>
      </w:r>
      <w:r w:rsidRPr="005641DC">
        <w:rPr>
          <w:rFonts w:ascii="Arial" w:eastAsia="Calibri" w:hAnsi="Arial" w:cs="Arial"/>
          <w:b/>
          <w:bCs/>
          <w:color w:val="000000" w:themeColor="text1"/>
          <w:sz w:val="22"/>
        </w:rPr>
        <w:t xml:space="preserve">Finalidad </w:t>
      </w:r>
      <w:r w:rsidR="009B231D" w:rsidRPr="005641DC">
        <w:rPr>
          <w:rFonts w:ascii="Arial" w:eastAsia="Calibri" w:hAnsi="Arial" w:cs="Arial"/>
          <w:b/>
          <w:bCs/>
          <w:color w:val="000000" w:themeColor="text1"/>
          <w:sz w:val="22"/>
        </w:rPr>
        <w:t>y restricciones</w:t>
      </w:r>
      <w:r w:rsidR="0071300A">
        <w:rPr>
          <w:rFonts w:ascii="Arial" w:eastAsia="Calibri" w:hAnsi="Arial" w:cs="Arial"/>
          <w:b/>
          <w:bCs/>
          <w:color w:val="000000" w:themeColor="text1"/>
          <w:sz w:val="22"/>
        </w:rPr>
        <w:t xml:space="preserve"> en materia de contratación pública</w:t>
      </w:r>
      <w:r w:rsidR="003F7890">
        <w:rPr>
          <w:rFonts w:ascii="Arial" w:eastAsia="Calibri" w:hAnsi="Arial" w:cs="Arial"/>
          <w:b/>
          <w:bCs/>
          <w:color w:val="000000" w:themeColor="text1"/>
          <w:sz w:val="22"/>
        </w:rPr>
        <w:t>.</w:t>
      </w:r>
    </w:p>
    <w:p w14:paraId="69BD1413" w14:textId="15B81743" w:rsidR="00F433CB" w:rsidRPr="005641DC" w:rsidRDefault="00F433CB" w:rsidP="00271230">
      <w:pPr>
        <w:spacing w:line="276" w:lineRule="auto"/>
        <w:jc w:val="both"/>
        <w:rPr>
          <w:rFonts w:ascii="Arial" w:eastAsia="Calibri" w:hAnsi="Arial" w:cs="Arial"/>
          <w:color w:val="000000" w:themeColor="text1"/>
          <w:sz w:val="22"/>
          <w:szCs w:val="22"/>
          <w:lang w:val="es-ES_tradnl"/>
        </w:rPr>
      </w:pPr>
    </w:p>
    <w:p w14:paraId="13FA39EC" w14:textId="1E35AB98" w:rsidR="000077D0" w:rsidRPr="005641DC" w:rsidRDefault="000077D0" w:rsidP="006B3EB4">
      <w:pPr>
        <w:tabs>
          <w:tab w:val="left" w:pos="426"/>
        </w:tabs>
        <w:spacing w:after="120" w:line="276" w:lineRule="auto"/>
        <w:jc w:val="both"/>
        <w:rPr>
          <w:rFonts w:ascii="Arial" w:eastAsia="Calibri" w:hAnsi="Arial" w:cs="Arial"/>
          <w:bCs/>
          <w:color w:val="000000" w:themeColor="text1"/>
          <w:sz w:val="22"/>
        </w:rPr>
      </w:pPr>
      <w:r w:rsidRPr="005641DC">
        <w:rPr>
          <w:rFonts w:ascii="Arial" w:eastAsia="Calibri" w:hAnsi="Arial" w:cs="Arial"/>
          <w:bCs/>
          <w:color w:val="000000" w:themeColor="text1"/>
          <w:sz w:val="22"/>
        </w:rPr>
        <w:t>El ordenamiento jurídico colombiano contempla previsiones para evitar la obtención de beneficios personales en asuntos propios de la administración pública</w:t>
      </w:r>
      <w:r w:rsidR="00095607" w:rsidRPr="005641DC">
        <w:rPr>
          <w:rFonts w:ascii="Arial" w:eastAsia="Calibri" w:hAnsi="Arial" w:cs="Arial"/>
          <w:bCs/>
          <w:color w:val="000000" w:themeColor="text1"/>
          <w:sz w:val="22"/>
        </w:rPr>
        <w:t>. Por ejemplo,</w:t>
      </w:r>
      <w:r w:rsidRPr="005641DC">
        <w:rPr>
          <w:rFonts w:ascii="Arial" w:eastAsia="Calibri" w:hAnsi="Arial" w:cs="Arial"/>
          <w:bCs/>
          <w:color w:val="000000" w:themeColor="text1"/>
          <w:sz w:val="22"/>
        </w:rPr>
        <w:t xml:space="preserve"> el artículo 127 de la Constitución Política establece una prohibición contractual a los servidores públicos y en cuanto a aspectos políticos establece restricciones a ciertos empleados del Estado, incluso en época no electoral</w:t>
      </w:r>
      <w:r w:rsidRPr="005641DC">
        <w:rPr>
          <w:rStyle w:val="Refdenotaalpie"/>
          <w:rFonts w:ascii="Arial" w:eastAsia="Calibri" w:hAnsi="Arial" w:cs="Arial"/>
          <w:bCs/>
          <w:color w:val="000000" w:themeColor="text1"/>
          <w:sz w:val="22"/>
        </w:rPr>
        <w:footnoteReference w:id="5"/>
      </w:r>
      <w:r w:rsidRPr="005641DC">
        <w:rPr>
          <w:rFonts w:ascii="Arial" w:eastAsia="Calibri" w:hAnsi="Arial" w:cs="Arial"/>
          <w:bCs/>
          <w:color w:val="000000" w:themeColor="text1"/>
          <w:sz w:val="22"/>
        </w:rPr>
        <w:t xml:space="preserve">. </w:t>
      </w:r>
    </w:p>
    <w:p w14:paraId="10F8D327" w14:textId="469E632F" w:rsidR="000077D0" w:rsidRDefault="00E746A6" w:rsidP="003C6216">
      <w:pPr>
        <w:tabs>
          <w:tab w:val="left" w:pos="426"/>
        </w:tabs>
        <w:spacing w:line="276" w:lineRule="auto"/>
        <w:jc w:val="both"/>
        <w:rPr>
          <w:rFonts w:ascii="Arial" w:hAnsi="Arial" w:cs="Arial"/>
          <w:bCs/>
          <w:color w:val="000000" w:themeColor="text1"/>
          <w:sz w:val="22"/>
          <w:szCs w:val="22"/>
          <w:lang w:eastAsia="es-CO"/>
        </w:rPr>
      </w:pPr>
      <w:r w:rsidRPr="005641DC">
        <w:rPr>
          <w:rFonts w:ascii="Arial" w:hAnsi="Arial" w:cs="Arial"/>
          <w:bCs/>
          <w:color w:val="000000" w:themeColor="text1"/>
          <w:sz w:val="22"/>
          <w:lang w:eastAsia="es-CO"/>
        </w:rPr>
        <w:lastRenderedPageBreak/>
        <w:tab/>
      </w:r>
      <w:r w:rsidRPr="005641DC">
        <w:rPr>
          <w:rFonts w:ascii="Arial" w:hAnsi="Arial" w:cs="Arial"/>
          <w:bCs/>
          <w:color w:val="000000" w:themeColor="text1"/>
          <w:sz w:val="22"/>
          <w:lang w:eastAsia="es-CO"/>
        </w:rPr>
        <w:tab/>
      </w:r>
      <w:r w:rsidR="000077D0" w:rsidRPr="005641DC">
        <w:rPr>
          <w:rFonts w:ascii="Arial" w:hAnsi="Arial" w:cs="Arial"/>
          <w:bCs/>
          <w:color w:val="000000" w:themeColor="text1"/>
          <w:sz w:val="22"/>
          <w:szCs w:val="22"/>
          <w:lang w:eastAsia="es-CO"/>
        </w:rPr>
        <w:t xml:space="preserve">En el mismo sentido, </w:t>
      </w:r>
      <w:bookmarkStart w:id="7" w:name="_Hlk88117457"/>
      <w:r w:rsidR="000077D0" w:rsidRPr="005641DC">
        <w:rPr>
          <w:rFonts w:ascii="Arial" w:hAnsi="Arial" w:cs="Arial"/>
          <w:bCs/>
          <w:color w:val="000000" w:themeColor="text1"/>
          <w:sz w:val="22"/>
          <w:szCs w:val="22"/>
          <w:lang w:eastAsia="es-CO"/>
        </w:rPr>
        <w:t>la Ley 996 de 2005</w:t>
      </w:r>
      <w:r w:rsidR="0030575F" w:rsidRPr="005641DC">
        <w:rPr>
          <w:rStyle w:val="Textoennegrita"/>
          <w:rFonts w:ascii="Arial" w:hAnsi="Arial" w:cs="Arial"/>
          <w:color w:val="000000" w:themeColor="text1"/>
          <w:sz w:val="22"/>
          <w:szCs w:val="22"/>
          <w:shd w:val="clear" w:color="auto" w:fill="FFFFFF"/>
        </w:rPr>
        <w:t xml:space="preserve"> </w:t>
      </w:r>
      <w:r w:rsidR="000077D0" w:rsidRPr="005641DC">
        <w:rPr>
          <w:rFonts w:ascii="Arial" w:hAnsi="Arial" w:cs="Arial"/>
          <w:bCs/>
          <w:color w:val="000000" w:themeColor="text1"/>
          <w:sz w:val="22"/>
          <w:szCs w:val="22"/>
          <w:lang w:eastAsia="es-CO"/>
        </w:rPr>
        <w:t xml:space="preserve">se suma al andamiaje de orden constitucional y legal que se </w:t>
      </w:r>
      <w:r w:rsidR="004D74E4">
        <w:rPr>
          <w:rFonts w:ascii="Arial" w:hAnsi="Arial" w:cs="Arial"/>
          <w:bCs/>
          <w:color w:val="000000" w:themeColor="text1"/>
          <w:sz w:val="22"/>
          <w:szCs w:val="22"/>
          <w:lang w:eastAsia="es-CO"/>
        </w:rPr>
        <w:t xml:space="preserve">ha </w:t>
      </w:r>
      <w:r w:rsidRPr="005641DC">
        <w:rPr>
          <w:rFonts w:ascii="Arial" w:hAnsi="Arial" w:cs="Arial"/>
          <w:bCs/>
          <w:color w:val="000000" w:themeColor="text1"/>
          <w:sz w:val="22"/>
          <w:szCs w:val="22"/>
          <w:lang w:eastAsia="es-CO"/>
        </w:rPr>
        <w:t>ocupa</w:t>
      </w:r>
      <w:r w:rsidR="004D74E4">
        <w:rPr>
          <w:rFonts w:ascii="Arial" w:hAnsi="Arial" w:cs="Arial"/>
          <w:bCs/>
          <w:color w:val="000000" w:themeColor="text1"/>
          <w:sz w:val="22"/>
          <w:szCs w:val="22"/>
          <w:lang w:eastAsia="es-CO"/>
        </w:rPr>
        <w:t>do</w:t>
      </w:r>
      <w:r w:rsidRPr="005641DC">
        <w:rPr>
          <w:rFonts w:ascii="Arial" w:hAnsi="Arial" w:cs="Arial"/>
          <w:bCs/>
          <w:color w:val="000000" w:themeColor="text1"/>
          <w:sz w:val="22"/>
          <w:szCs w:val="22"/>
          <w:lang w:eastAsia="es-CO"/>
        </w:rPr>
        <w:t xml:space="preserve"> </w:t>
      </w:r>
      <w:r w:rsidR="000077D0" w:rsidRPr="005641DC">
        <w:rPr>
          <w:rFonts w:ascii="Arial" w:hAnsi="Arial" w:cs="Arial"/>
          <w:bCs/>
          <w:color w:val="000000" w:themeColor="text1"/>
          <w:sz w:val="22"/>
          <w:szCs w:val="22"/>
          <w:lang w:eastAsia="es-CO"/>
        </w:rPr>
        <w:t>de evitar la injerencia de intereses particulares en el ejercicio de la función pública</w:t>
      </w:r>
      <w:r w:rsidR="002A3132" w:rsidRPr="005641DC">
        <w:rPr>
          <w:rFonts w:ascii="Arial" w:hAnsi="Arial" w:cs="Arial"/>
          <w:bCs/>
          <w:color w:val="000000" w:themeColor="text1"/>
          <w:sz w:val="22"/>
          <w:szCs w:val="22"/>
          <w:lang w:eastAsia="es-CO"/>
        </w:rPr>
        <w:t>.</w:t>
      </w:r>
      <w:r w:rsidR="000077D0" w:rsidRPr="005641DC">
        <w:rPr>
          <w:rFonts w:ascii="Arial" w:hAnsi="Arial" w:cs="Arial"/>
          <w:bCs/>
          <w:color w:val="000000" w:themeColor="text1"/>
          <w:sz w:val="22"/>
          <w:szCs w:val="22"/>
          <w:lang w:eastAsia="es-CO"/>
        </w:rPr>
        <w:t xml:space="preserve"> </w:t>
      </w:r>
      <w:r w:rsidR="00020F70">
        <w:rPr>
          <w:rFonts w:ascii="Arial" w:hAnsi="Arial" w:cs="Arial"/>
          <w:bCs/>
          <w:color w:val="000000" w:themeColor="text1"/>
          <w:sz w:val="22"/>
          <w:szCs w:val="22"/>
          <w:lang w:eastAsia="es-CO"/>
        </w:rPr>
        <w:t xml:space="preserve">Esta </w:t>
      </w:r>
      <w:r w:rsidR="00F005BC">
        <w:rPr>
          <w:rFonts w:ascii="Arial" w:hAnsi="Arial" w:cs="Arial"/>
          <w:bCs/>
          <w:color w:val="000000" w:themeColor="text1"/>
          <w:sz w:val="22"/>
          <w:szCs w:val="22"/>
          <w:lang w:eastAsia="es-CO"/>
        </w:rPr>
        <w:t>ley</w:t>
      </w:r>
      <w:r w:rsidR="000077D0" w:rsidRPr="005641DC">
        <w:rPr>
          <w:rFonts w:ascii="Arial" w:hAnsi="Arial" w:cs="Arial"/>
          <w:bCs/>
          <w:color w:val="000000" w:themeColor="text1"/>
          <w:sz w:val="22"/>
          <w:szCs w:val="22"/>
          <w:lang w:eastAsia="es-CO"/>
        </w:rPr>
        <w:t xml:space="preserve"> tiene como propósito evitar cualquier tipo de arbitrariedad, de ventaja injustificada, de uso irregular de los recursos del Estado en las campañas o falta de garantías en la elección </w:t>
      </w:r>
      <w:r w:rsidR="00B02668" w:rsidRPr="005641DC">
        <w:rPr>
          <w:rFonts w:ascii="Arial" w:hAnsi="Arial" w:cs="Arial"/>
          <w:bCs/>
          <w:color w:val="000000" w:themeColor="text1"/>
          <w:sz w:val="22"/>
          <w:szCs w:val="22"/>
          <w:lang w:eastAsia="es-CO"/>
        </w:rPr>
        <w:t>presidencial, introduciendo</w:t>
      </w:r>
      <w:r w:rsidR="000077D0" w:rsidRPr="005641DC">
        <w:rPr>
          <w:rFonts w:ascii="Arial" w:hAnsi="Arial" w:cs="Arial"/>
          <w:bCs/>
          <w:color w:val="000000" w:themeColor="text1"/>
          <w:sz w:val="22"/>
          <w:szCs w:val="22"/>
          <w:lang w:eastAsia="es-CO"/>
        </w:rPr>
        <w:t xml:space="preserve"> limitaciones para realizar nombramientos, postulaciones, contrataciones o cualquier otro tipo de actividad que implique destinación de recursos públicos.</w:t>
      </w:r>
      <w:r w:rsidR="000077D0" w:rsidRPr="005641DC">
        <w:rPr>
          <w:rFonts w:ascii="Arial" w:eastAsia="Calibri" w:hAnsi="Arial" w:cs="Arial"/>
          <w:noProof/>
          <w:color w:val="000000" w:themeColor="text1"/>
          <w:sz w:val="22"/>
          <w:szCs w:val="22"/>
          <w:lang w:val="es-ES_tradnl"/>
        </w:rPr>
        <w:t xml:space="preserve"> </w:t>
      </w:r>
      <w:bookmarkEnd w:id="7"/>
      <w:r w:rsidR="000077D0" w:rsidRPr="005641DC">
        <w:rPr>
          <w:rFonts w:ascii="Arial" w:hAnsi="Arial" w:cs="Arial"/>
          <w:bCs/>
          <w:color w:val="000000" w:themeColor="text1"/>
          <w:sz w:val="22"/>
          <w:szCs w:val="22"/>
          <w:lang w:eastAsia="es-CO"/>
        </w:rPr>
        <w:t xml:space="preserve">En armonía con lo anterior, la Corte Constitucional </w:t>
      </w:r>
      <w:r w:rsidR="00BF6151">
        <w:rPr>
          <w:rFonts w:ascii="Arial" w:hAnsi="Arial" w:cs="Arial"/>
          <w:bCs/>
          <w:color w:val="000000" w:themeColor="text1"/>
          <w:sz w:val="22"/>
          <w:szCs w:val="22"/>
          <w:lang w:eastAsia="es-CO"/>
        </w:rPr>
        <w:t>ha abordado la definición de la Ley de Garantías Electorales de la siguiente manera</w:t>
      </w:r>
      <w:r w:rsidR="000077D0" w:rsidRPr="005641DC">
        <w:rPr>
          <w:rFonts w:ascii="Arial" w:hAnsi="Arial" w:cs="Arial"/>
          <w:bCs/>
          <w:color w:val="000000" w:themeColor="text1"/>
          <w:sz w:val="22"/>
          <w:szCs w:val="22"/>
          <w:lang w:eastAsia="es-CO"/>
        </w:rPr>
        <w:t>:</w:t>
      </w:r>
    </w:p>
    <w:p w14:paraId="454FCAFB" w14:textId="77777777" w:rsidR="003C6216" w:rsidRPr="006E177D" w:rsidRDefault="003C6216" w:rsidP="000B440A">
      <w:pPr>
        <w:tabs>
          <w:tab w:val="left" w:pos="426"/>
        </w:tabs>
        <w:spacing w:line="276" w:lineRule="auto"/>
        <w:jc w:val="both"/>
        <w:rPr>
          <w:rFonts w:ascii="Arial" w:hAnsi="Arial" w:cs="Arial"/>
          <w:bCs/>
          <w:color w:val="000000" w:themeColor="text1"/>
          <w:sz w:val="22"/>
          <w:szCs w:val="22"/>
          <w:lang w:eastAsia="es-CO"/>
        </w:rPr>
      </w:pPr>
    </w:p>
    <w:p w14:paraId="48F3F838" w14:textId="485C9A4C" w:rsidR="000077D0" w:rsidRDefault="000077D0" w:rsidP="003C6216">
      <w:pPr>
        <w:ind w:left="708" w:right="709"/>
        <w:jc w:val="both"/>
        <w:rPr>
          <w:rFonts w:ascii="Arial" w:hAnsi="Arial" w:cs="Arial"/>
          <w:bCs/>
          <w:color w:val="000000" w:themeColor="text1"/>
          <w:sz w:val="21"/>
          <w:szCs w:val="21"/>
          <w:lang w:eastAsia="es-CO"/>
        </w:rPr>
      </w:pPr>
      <w:r w:rsidRPr="005641DC">
        <w:rPr>
          <w:rFonts w:ascii="Arial" w:hAnsi="Arial" w:cs="Arial"/>
          <w:bCs/>
          <w:color w:val="000000" w:themeColor="text1"/>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00C921E1">
        <w:rPr>
          <w:rStyle w:val="Refdenotaalpie"/>
          <w:rFonts w:ascii="Arial" w:hAnsi="Arial" w:cs="Arial"/>
          <w:bCs/>
          <w:color w:val="000000" w:themeColor="text1"/>
          <w:sz w:val="21"/>
          <w:szCs w:val="21"/>
          <w:lang w:eastAsia="es-CO"/>
        </w:rPr>
        <w:footnoteReference w:id="6"/>
      </w:r>
      <w:r w:rsidRPr="005641DC">
        <w:rPr>
          <w:rFonts w:ascii="Arial" w:hAnsi="Arial" w:cs="Arial"/>
          <w:bCs/>
          <w:color w:val="000000" w:themeColor="text1"/>
          <w:sz w:val="21"/>
          <w:szCs w:val="21"/>
          <w:lang w:eastAsia="es-CO"/>
        </w:rPr>
        <w:t>.</w:t>
      </w:r>
    </w:p>
    <w:p w14:paraId="239827E2" w14:textId="77777777" w:rsidR="003C6216" w:rsidRPr="005641DC" w:rsidRDefault="003C6216" w:rsidP="000B440A">
      <w:pPr>
        <w:ind w:left="708" w:right="709"/>
        <w:jc w:val="both"/>
        <w:rPr>
          <w:rFonts w:ascii="Arial" w:hAnsi="Arial" w:cs="Arial"/>
          <w:bCs/>
          <w:color w:val="000000" w:themeColor="text1"/>
          <w:sz w:val="21"/>
          <w:szCs w:val="21"/>
          <w:lang w:eastAsia="es-CO"/>
        </w:rPr>
      </w:pPr>
    </w:p>
    <w:p w14:paraId="080C6A96" w14:textId="1BCFB794" w:rsidR="000077D0" w:rsidRPr="005641DC" w:rsidRDefault="00865392" w:rsidP="006B3EB4">
      <w:pPr>
        <w:spacing w:line="276" w:lineRule="auto"/>
        <w:ind w:firstLine="709"/>
        <w:jc w:val="both"/>
        <w:rPr>
          <w:rFonts w:ascii="Arial" w:hAnsi="Arial" w:cs="Arial"/>
          <w:bCs/>
          <w:color w:val="000000" w:themeColor="text1"/>
          <w:sz w:val="22"/>
          <w:lang w:eastAsia="es-CO"/>
        </w:rPr>
      </w:pPr>
      <w:bookmarkStart w:id="8" w:name="_Hlk80948265"/>
      <w:r>
        <w:rPr>
          <w:rFonts w:ascii="Arial" w:hAnsi="Arial" w:cs="Arial"/>
          <w:bCs/>
          <w:color w:val="000000" w:themeColor="text1"/>
          <w:sz w:val="22"/>
          <w:lang w:eastAsia="es-CO"/>
        </w:rPr>
        <w:t>En este contexto</w:t>
      </w:r>
      <w:r w:rsidR="000077D0" w:rsidRPr="005641DC">
        <w:rPr>
          <w:rFonts w:ascii="Arial" w:hAnsi="Arial" w:cs="Arial"/>
          <w:bCs/>
          <w:color w:val="000000" w:themeColor="text1"/>
          <w:sz w:val="22"/>
          <w:lang w:eastAsia="es-CO"/>
        </w:rPr>
        <w:t>, la Ley de Garantías Electorales establece el marco jurídico para el desarrollo de las elecciones, procurando condiciones de igualdad y transparencia para los aspirantes</w:t>
      </w:r>
      <w:r w:rsidR="004B1013">
        <w:rPr>
          <w:rFonts w:ascii="Arial" w:hAnsi="Arial" w:cs="Arial"/>
          <w:bCs/>
          <w:color w:val="000000" w:themeColor="text1"/>
          <w:sz w:val="22"/>
          <w:lang w:eastAsia="es-CO"/>
        </w:rPr>
        <w:t xml:space="preserve">. </w:t>
      </w:r>
      <w:r w:rsidR="00E630EC">
        <w:rPr>
          <w:rFonts w:ascii="Arial" w:hAnsi="Arial" w:cs="Arial"/>
          <w:bCs/>
          <w:color w:val="000000" w:themeColor="text1"/>
          <w:sz w:val="22"/>
          <w:lang w:eastAsia="es-CO"/>
        </w:rPr>
        <w:t>Paralelamente,</w:t>
      </w:r>
      <w:r w:rsidR="000077D0" w:rsidRPr="005641DC">
        <w:rPr>
          <w:rFonts w:ascii="Arial" w:hAnsi="Arial" w:cs="Arial"/>
          <w:bCs/>
          <w:color w:val="000000" w:themeColor="text1"/>
          <w:sz w:val="22"/>
          <w:lang w:eastAsia="es-CO"/>
        </w:rPr>
        <w:t xml:space="preserve"> </w:t>
      </w:r>
      <w:r w:rsidR="004B1013">
        <w:rPr>
          <w:rFonts w:ascii="Arial" w:hAnsi="Arial" w:cs="Arial"/>
          <w:bCs/>
          <w:color w:val="000000" w:themeColor="text1"/>
          <w:sz w:val="22"/>
          <w:lang w:eastAsia="es-CO"/>
        </w:rPr>
        <w:t>se</w:t>
      </w:r>
      <w:r w:rsidR="000077D0" w:rsidRPr="005641DC">
        <w:rPr>
          <w:rFonts w:ascii="Arial" w:hAnsi="Arial" w:cs="Arial"/>
          <w:bCs/>
          <w:color w:val="000000" w:themeColor="text1"/>
          <w:sz w:val="22"/>
          <w:lang w:eastAsia="es-CO"/>
        </w:rPr>
        <w:t xml:space="preserve"> incluye</w:t>
      </w:r>
      <w:r w:rsidR="004B1013">
        <w:rPr>
          <w:rFonts w:ascii="Arial" w:hAnsi="Arial" w:cs="Arial"/>
          <w:bCs/>
          <w:color w:val="000000" w:themeColor="text1"/>
          <w:sz w:val="22"/>
          <w:lang w:eastAsia="es-CO"/>
        </w:rPr>
        <w:t>n</w:t>
      </w:r>
      <w:r w:rsidR="000077D0" w:rsidRPr="005641DC">
        <w:rPr>
          <w:rFonts w:ascii="Arial" w:hAnsi="Arial" w:cs="Arial"/>
          <w:bCs/>
          <w:color w:val="000000" w:themeColor="text1"/>
          <w:sz w:val="22"/>
          <w:lang w:eastAsia="es-CO"/>
        </w:rPr>
        <w:t xml:space="preserve"> restricciones en el actuar de los servidores públicos, evitando interferencias en la contienda electoral, así como la posible desviación de recursos públicos en aspiraciones electorales.</w:t>
      </w:r>
      <w:r w:rsidR="00DE771D" w:rsidRPr="005641DC">
        <w:rPr>
          <w:rFonts w:ascii="Arial" w:hAnsi="Arial" w:cs="Arial"/>
          <w:bCs/>
          <w:color w:val="000000" w:themeColor="text1"/>
          <w:sz w:val="22"/>
          <w:lang w:eastAsia="es-CO"/>
        </w:rPr>
        <w:t xml:space="preserve"> </w:t>
      </w:r>
      <w:r w:rsidR="00B41863">
        <w:rPr>
          <w:rFonts w:ascii="Arial" w:hAnsi="Arial" w:cs="Arial"/>
          <w:bCs/>
          <w:color w:val="000000" w:themeColor="text1"/>
          <w:sz w:val="22"/>
          <w:lang w:eastAsia="es-CO"/>
        </w:rPr>
        <w:t>Por ello</w:t>
      </w:r>
      <w:r w:rsidR="000077D0" w:rsidRPr="005641DC">
        <w:rPr>
          <w:rFonts w:ascii="Arial" w:hAnsi="Arial" w:cs="Arial"/>
          <w:bCs/>
          <w:color w:val="000000" w:themeColor="text1"/>
          <w:sz w:val="22"/>
          <w:lang w:eastAsia="es-CO"/>
        </w:rPr>
        <w:t>, varias de las disposiciones de la Ley 996 de 2005, al contener normas prohibitivas, no admiten una interpretación amplia, sino que deben interpretarse restrictivamente.</w:t>
      </w:r>
      <w:bookmarkEnd w:id="8"/>
      <w:r w:rsidR="000077D0" w:rsidRPr="005641DC">
        <w:rPr>
          <w:rFonts w:ascii="Arial" w:hAnsi="Arial" w:cs="Arial"/>
          <w:bCs/>
          <w:color w:val="000000" w:themeColor="text1"/>
          <w:sz w:val="22"/>
          <w:lang w:eastAsia="es-CO"/>
        </w:rPr>
        <w:t xml:space="preserve"> En efecto, la Sala de Consulta y Servicio Civil del Consejo de Estado</w:t>
      </w:r>
      <w:r w:rsidR="00885CDB" w:rsidRPr="005641DC">
        <w:rPr>
          <w:rFonts w:ascii="Arial" w:hAnsi="Arial" w:cs="Arial"/>
          <w:bCs/>
          <w:color w:val="000000" w:themeColor="text1"/>
          <w:sz w:val="22"/>
          <w:lang w:eastAsia="es-CO"/>
        </w:rPr>
        <w:t>,</w:t>
      </w:r>
      <w:r w:rsidR="000077D0" w:rsidRPr="005641DC">
        <w:rPr>
          <w:rFonts w:ascii="Arial" w:hAnsi="Arial" w:cs="Arial"/>
          <w:bCs/>
          <w:color w:val="000000" w:themeColor="text1"/>
          <w:sz w:val="22"/>
          <w:lang w:eastAsia="es-CO"/>
        </w:rPr>
        <w:t xml:space="preserve"> </w:t>
      </w:r>
      <w:r w:rsidR="00410813">
        <w:rPr>
          <w:rFonts w:ascii="Arial" w:hAnsi="Arial" w:cs="Arial"/>
          <w:bCs/>
          <w:color w:val="000000" w:themeColor="text1"/>
          <w:sz w:val="22"/>
          <w:lang w:eastAsia="es-CO"/>
        </w:rPr>
        <w:t>precisó lo siguiente</w:t>
      </w:r>
      <w:r w:rsidR="000077D0" w:rsidRPr="005641DC">
        <w:rPr>
          <w:rFonts w:ascii="Arial" w:hAnsi="Arial" w:cs="Arial"/>
          <w:bCs/>
          <w:color w:val="000000" w:themeColor="text1"/>
          <w:sz w:val="22"/>
          <w:lang w:eastAsia="es-CO"/>
        </w:rPr>
        <w:t>:</w:t>
      </w:r>
    </w:p>
    <w:p w14:paraId="5F619F1C" w14:textId="77777777" w:rsidR="000077D0" w:rsidRPr="005641DC" w:rsidRDefault="000077D0" w:rsidP="006B3EB4">
      <w:pPr>
        <w:ind w:firstLine="709"/>
        <w:jc w:val="both"/>
        <w:rPr>
          <w:rFonts w:ascii="Arial" w:hAnsi="Arial" w:cs="Arial"/>
          <w:bCs/>
          <w:color w:val="000000" w:themeColor="text1"/>
          <w:sz w:val="22"/>
          <w:lang w:eastAsia="es-CO"/>
        </w:rPr>
      </w:pPr>
    </w:p>
    <w:p w14:paraId="3F21CBDD" w14:textId="77777777" w:rsidR="000077D0" w:rsidRPr="005641DC" w:rsidRDefault="000077D0" w:rsidP="006B3EB4">
      <w:pPr>
        <w:ind w:left="709" w:right="709"/>
        <w:jc w:val="both"/>
        <w:rPr>
          <w:rFonts w:ascii="Arial" w:hAnsi="Arial" w:cs="Arial"/>
          <w:bCs/>
          <w:color w:val="000000" w:themeColor="text1"/>
          <w:sz w:val="21"/>
          <w:szCs w:val="21"/>
          <w:lang w:eastAsia="es-CO"/>
        </w:rPr>
      </w:pPr>
      <w:r w:rsidRPr="005641DC">
        <w:rPr>
          <w:rFonts w:ascii="Arial" w:hAnsi="Arial" w:cs="Arial"/>
          <w:bCs/>
          <w:color w:val="000000" w:themeColor="text1"/>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E96BD32" w14:textId="77777777" w:rsidR="000077D0" w:rsidRPr="005641DC" w:rsidRDefault="000077D0" w:rsidP="006B3EB4">
      <w:pPr>
        <w:ind w:left="709" w:right="709" w:firstLine="709"/>
        <w:jc w:val="both"/>
        <w:rPr>
          <w:rFonts w:ascii="Arial" w:hAnsi="Arial" w:cs="Arial"/>
          <w:bCs/>
          <w:color w:val="000000" w:themeColor="text1"/>
          <w:sz w:val="21"/>
          <w:szCs w:val="21"/>
          <w:lang w:eastAsia="es-CO"/>
        </w:rPr>
      </w:pPr>
    </w:p>
    <w:p w14:paraId="34847625" w14:textId="1C1177AC" w:rsidR="000077D0" w:rsidRDefault="000077D0" w:rsidP="00436B8C">
      <w:pPr>
        <w:ind w:left="709" w:right="709"/>
        <w:jc w:val="both"/>
        <w:rPr>
          <w:rFonts w:ascii="Arial" w:hAnsi="Arial" w:cs="Arial"/>
          <w:bCs/>
          <w:color w:val="000000" w:themeColor="text1"/>
          <w:sz w:val="21"/>
          <w:szCs w:val="21"/>
          <w:lang w:eastAsia="es-CO"/>
        </w:rPr>
      </w:pPr>
      <w:r w:rsidRPr="005641DC">
        <w:rPr>
          <w:rFonts w:ascii="Arial" w:hAnsi="Arial" w:cs="Arial"/>
          <w:bCs/>
          <w:color w:val="000000" w:themeColor="text1"/>
          <w:sz w:val="21"/>
          <w:szCs w:val="21"/>
          <w:lang w:eastAsia="es-CO"/>
        </w:rPr>
        <w:lastRenderedPageBreak/>
        <w:t>La jurisprudencia de la Corte Constitucional</w:t>
      </w:r>
      <w:r w:rsidRPr="005641DC">
        <w:rPr>
          <w:rStyle w:val="Refdenotaalpie"/>
          <w:rFonts w:ascii="Arial" w:hAnsi="Arial" w:cs="Arial"/>
          <w:bCs/>
          <w:color w:val="000000" w:themeColor="text1"/>
          <w:sz w:val="21"/>
          <w:szCs w:val="21"/>
          <w:lang w:eastAsia="es-CO"/>
        </w:rPr>
        <w:footnoteReference w:id="7"/>
      </w:r>
      <w:r w:rsidRPr="005641DC">
        <w:rPr>
          <w:rFonts w:ascii="Arial" w:hAnsi="Arial" w:cs="Arial"/>
          <w:bCs/>
          <w:color w:val="000000" w:themeColor="text1"/>
          <w:sz w:val="21"/>
          <w:szCs w:val="21"/>
          <w:lang w:eastAsia="es-CO"/>
        </w:rPr>
        <w:t> y del Consejo de Estado</w:t>
      </w:r>
      <w:r w:rsidRPr="005641DC">
        <w:rPr>
          <w:rStyle w:val="Refdenotaalpie"/>
          <w:rFonts w:ascii="Arial" w:hAnsi="Arial" w:cs="Arial"/>
          <w:bCs/>
          <w:color w:val="000000" w:themeColor="text1"/>
          <w:sz w:val="21"/>
          <w:szCs w:val="21"/>
          <w:lang w:eastAsia="es-CO"/>
        </w:rPr>
        <w:footnoteReference w:id="8"/>
      </w:r>
      <w:r w:rsidRPr="005641DC">
        <w:rPr>
          <w:rFonts w:ascii="Arial" w:hAnsi="Arial" w:cs="Arial"/>
          <w:bCs/>
          <w:color w:val="000000" w:themeColor="text1"/>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641DC">
        <w:rPr>
          <w:rStyle w:val="Refdenotaalpie"/>
          <w:rFonts w:ascii="Arial" w:hAnsi="Arial" w:cs="Arial"/>
          <w:bCs/>
          <w:color w:val="000000" w:themeColor="text1"/>
          <w:sz w:val="22"/>
          <w:lang w:eastAsia="es-CO"/>
        </w:rPr>
        <w:footnoteReference w:id="9"/>
      </w:r>
      <w:r w:rsidRPr="005641DC">
        <w:rPr>
          <w:rFonts w:ascii="Arial" w:hAnsi="Arial" w:cs="Arial"/>
          <w:bCs/>
          <w:color w:val="000000" w:themeColor="text1"/>
          <w:sz w:val="21"/>
          <w:szCs w:val="21"/>
          <w:lang w:eastAsia="es-CO"/>
        </w:rPr>
        <w:t>.</w:t>
      </w:r>
    </w:p>
    <w:p w14:paraId="6528B1E3" w14:textId="77777777" w:rsidR="00436B8C" w:rsidRPr="00DF1193" w:rsidRDefault="00436B8C" w:rsidP="000B440A">
      <w:pPr>
        <w:ind w:left="709" w:right="709"/>
        <w:jc w:val="both"/>
        <w:rPr>
          <w:rFonts w:ascii="Arial" w:hAnsi="Arial" w:cs="Arial"/>
          <w:bCs/>
          <w:color w:val="000000" w:themeColor="text1"/>
          <w:sz w:val="21"/>
          <w:szCs w:val="21"/>
          <w:lang w:eastAsia="es-CO"/>
        </w:rPr>
      </w:pPr>
    </w:p>
    <w:p w14:paraId="5F666210" w14:textId="79E3A4EC" w:rsidR="00DF475D" w:rsidRDefault="000077D0" w:rsidP="00367CD3">
      <w:pPr>
        <w:widowControl w:val="0"/>
        <w:autoSpaceDE w:val="0"/>
        <w:autoSpaceDN w:val="0"/>
        <w:spacing w:after="160" w:line="276" w:lineRule="auto"/>
        <w:ind w:right="113" w:firstLine="709"/>
        <w:jc w:val="both"/>
        <w:rPr>
          <w:rFonts w:ascii="Arial" w:eastAsia="Arial" w:hAnsi="Arial" w:cs="Arial"/>
          <w:color w:val="000000" w:themeColor="text1"/>
          <w:sz w:val="22"/>
          <w:lang w:val="es-ES" w:eastAsia="es-ES" w:bidi="es-ES"/>
        </w:rPr>
      </w:pPr>
      <w:r w:rsidRPr="005641DC">
        <w:rPr>
          <w:rFonts w:ascii="Arial" w:eastAsia="Arial" w:hAnsi="Arial" w:cs="Arial"/>
          <w:color w:val="000000" w:themeColor="text1"/>
          <w:sz w:val="22"/>
          <w:lang w:val="es-ES" w:eastAsia="es-ES" w:bidi="es-ES"/>
        </w:rPr>
        <w:t xml:space="preserve">De conformidad con lo anterior, es claro que la Ley de Garantías Electorales, para el cumplimiento de los objetivos que dieron lugar a su expedición, </w:t>
      </w:r>
      <w:r w:rsidR="009C5FFD">
        <w:rPr>
          <w:rFonts w:ascii="Arial" w:eastAsia="Arial" w:hAnsi="Arial" w:cs="Arial"/>
          <w:color w:val="000000" w:themeColor="text1"/>
          <w:sz w:val="22"/>
          <w:lang w:val="es-ES" w:eastAsia="es-ES" w:bidi="es-ES"/>
        </w:rPr>
        <w:t>fijó una serie de</w:t>
      </w:r>
      <w:r w:rsidR="00E10213">
        <w:rPr>
          <w:rFonts w:ascii="Arial" w:eastAsia="Arial" w:hAnsi="Arial" w:cs="Arial"/>
          <w:color w:val="000000" w:themeColor="text1"/>
          <w:sz w:val="22"/>
          <w:lang w:val="es-ES" w:eastAsia="es-ES" w:bidi="es-ES"/>
        </w:rPr>
        <w:t xml:space="preserve"> regulaciones y</w:t>
      </w:r>
      <w:r w:rsidRPr="005641DC">
        <w:rPr>
          <w:rFonts w:ascii="Arial" w:eastAsia="Arial" w:hAnsi="Arial" w:cs="Arial"/>
          <w:color w:val="000000" w:themeColor="text1"/>
          <w:sz w:val="22"/>
          <w:lang w:val="es-ES" w:eastAsia="es-ES" w:bidi="es-ES"/>
        </w:rPr>
        <w:t xml:space="preserve">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r w:rsidR="00CD791C">
        <w:rPr>
          <w:rFonts w:ascii="Arial" w:eastAsia="Arial" w:hAnsi="Arial" w:cs="Arial"/>
          <w:color w:val="000000" w:themeColor="text1"/>
          <w:sz w:val="22"/>
          <w:lang w:val="es-ES" w:eastAsia="es-ES" w:bidi="es-ES"/>
        </w:rPr>
        <w:t xml:space="preserve"> </w:t>
      </w:r>
      <w:r w:rsidR="00CD791C" w:rsidRPr="00CD791C">
        <w:rPr>
          <w:rFonts w:ascii="Arial" w:eastAsia="Arial" w:hAnsi="Arial" w:cs="Arial"/>
          <w:color w:val="000000" w:themeColor="text1"/>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w:t>
      </w:r>
      <w:r w:rsidR="001B0FFE">
        <w:rPr>
          <w:rFonts w:ascii="Arial" w:eastAsia="Arial" w:hAnsi="Arial" w:cs="Arial"/>
          <w:color w:val="000000" w:themeColor="text1"/>
          <w:sz w:val="22"/>
          <w:lang w:val="es-ES" w:eastAsia="es-ES" w:bidi="es-ES"/>
        </w:rPr>
        <w:t>n</w:t>
      </w:r>
      <w:r w:rsidR="00CD791C" w:rsidRPr="00CD791C">
        <w:rPr>
          <w:rFonts w:ascii="Arial" w:eastAsia="Arial" w:hAnsi="Arial" w:cs="Arial"/>
          <w:color w:val="000000" w:themeColor="text1"/>
          <w:sz w:val="22"/>
          <w:lang w:val="es-ES" w:eastAsia="es-ES" w:bidi="es-ES"/>
        </w:rPr>
        <w:t xml:space="preserve"> las condiciones de igualdad entre los candidatos. </w:t>
      </w:r>
    </w:p>
    <w:p w14:paraId="0839A69F" w14:textId="7A8763D3" w:rsidR="00261615" w:rsidRPr="007377E5" w:rsidRDefault="00361CA3" w:rsidP="00DF475D">
      <w:pPr>
        <w:spacing w:line="276" w:lineRule="auto"/>
        <w:ind w:firstLine="709"/>
        <w:jc w:val="both"/>
        <w:rPr>
          <w:rFonts w:ascii="Arial" w:hAnsi="Arial" w:cs="Arial"/>
          <w:bCs/>
          <w:color w:val="000000"/>
          <w:sz w:val="22"/>
          <w:lang w:eastAsia="es-CO"/>
        </w:rPr>
      </w:pPr>
      <w:r>
        <w:rPr>
          <w:rFonts w:ascii="Arial" w:hAnsi="Arial" w:cs="Arial"/>
          <w:bCs/>
          <w:color w:val="000000"/>
          <w:sz w:val="22"/>
          <w:lang w:eastAsia="es-CO"/>
        </w:rPr>
        <w:t>Es así como l</w:t>
      </w:r>
      <w:r w:rsidR="00261615" w:rsidRPr="007377E5">
        <w:rPr>
          <w:rFonts w:ascii="Arial" w:hAnsi="Arial" w:cs="Arial"/>
          <w:bCs/>
          <w:color w:val="000000"/>
          <w:sz w:val="22"/>
          <w:lang w:eastAsia="es-CO"/>
        </w:rPr>
        <w:t>a Ley 996 de 2005 hace referencia a las elecciones presidenciales concretamente y, en forma general, a las que se realizan para acceder a cargos de elección popular. Esta diferenciación ha sido también objeto de análisis por el Consejo de Estado, que ha precisado:</w:t>
      </w:r>
    </w:p>
    <w:p w14:paraId="450D961D" w14:textId="6E54DC0E" w:rsidR="00261615" w:rsidRPr="007377E5" w:rsidRDefault="00261615" w:rsidP="00261615">
      <w:pPr>
        <w:ind w:firstLine="708"/>
        <w:jc w:val="both"/>
        <w:rPr>
          <w:rFonts w:ascii="Arial" w:hAnsi="Arial" w:cs="Arial"/>
          <w:bCs/>
          <w:color w:val="000000"/>
          <w:sz w:val="21"/>
          <w:szCs w:val="21"/>
          <w:lang w:eastAsia="es-CO"/>
        </w:rPr>
      </w:pPr>
    </w:p>
    <w:p w14:paraId="3544A91B" w14:textId="2A8C1DE0" w:rsidR="00261615" w:rsidRDefault="00261615" w:rsidP="00261615">
      <w:pPr>
        <w:ind w:left="709" w:right="709"/>
        <w:jc w:val="both"/>
        <w:rPr>
          <w:rFonts w:ascii="Arial" w:hAnsi="Arial" w:cs="Arial"/>
          <w:bCs/>
          <w:color w:val="000000"/>
          <w:sz w:val="21"/>
          <w:szCs w:val="21"/>
          <w:lang w:eastAsia="es-CO"/>
        </w:rPr>
      </w:pPr>
      <w:r w:rsidRPr="007377E5">
        <w:rPr>
          <w:rFonts w:ascii="Arial" w:hAnsi="Arial" w:cs="Arial"/>
          <w:bCs/>
          <w:color w:val="000000"/>
          <w:sz w:val="21"/>
          <w:szCs w:val="21"/>
          <w:lang w:eastAsia="es-CO"/>
        </w:rPr>
        <w:t xml:space="preserve">La ley 996 de 2005 es el instrumento jurídico garantizador de las condiciones de igualdad y equidad entre los candidatos y en razón de ello, procede su aplicación en todos los procesos electorales para cargos de elección popular, advirtiendo que contiene regulaciones y prohibiciones sobre dos tipos de campañas </w:t>
      </w:r>
      <w:r w:rsidRPr="007377E5">
        <w:rPr>
          <w:rFonts w:ascii="Arial" w:hAnsi="Arial" w:cs="Arial"/>
          <w:bCs/>
          <w:color w:val="000000"/>
          <w:sz w:val="21"/>
          <w:szCs w:val="21"/>
          <w:lang w:eastAsia="es-CO"/>
        </w:rPr>
        <w:lastRenderedPageBreak/>
        <w:t>electorales: la presidencial y las que se adelanten para la provisión de los demás cargos de elección popular nacionales y territoriales […]</w:t>
      </w:r>
      <w:r w:rsidRPr="007377E5">
        <w:rPr>
          <w:rStyle w:val="Refdenotaalpie"/>
          <w:rFonts w:ascii="Arial" w:hAnsi="Arial" w:cs="Arial"/>
          <w:bCs/>
          <w:color w:val="000000"/>
          <w:sz w:val="21"/>
          <w:szCs w:val="21"/>
          <w:lang w:eastAsia="es-CO"/>
        </w:rPr>
        <w:footnoteReference w:id="10"/>
      </w:r>
    </w:p>
    <w:p w14:paraId="5C62D5CB" w14:textId="77777777" w:rsidR="009C5FC0" w:rsidRPr="007377E5" w:rsidRDefault="009C5FC0" w:rsidP="00261615">
      <w:pPr>
        <w:ind w:left="709" w:right="709"/>
        <w:jc w:val="both"/>
        <w:rPr>
          <w:rFonts w:ascii="Arial" w:hAnsi="Arial" w:cs="Arial"/>
          <w:bCs/>
          <w:color w:val="000000"/>
          <w:sz w:val="21"/>
          <w:szCs w:val="21"/>
          <w:lang w:eastAsia="es-CO"/>
        </w:rPr>
      </w:pPr>
    </w:p>
    <w:p w14:paraId="26185118" w14:textId="593A2A4A" w:rsidR="00261615" w:rsidRPr="007377E5" w:rsidRDefault="00261615" w:rsidP="000B440A">
      <w:pPr>
        <w:spacing w:line="276" w:lineRule="auto"/>
        <w:ind w:firstLine="708"/>
        <w:jc w:val="both"/>
        <w:rPr>
          <w:rFonts w:ascii="Arial" w:hAnsi="Arial" w:cs="Arial"/>
          <w:bCs/>
          <w:color w:val="000000"/>
          <w:sz w:val="22"/>
          <w:lang w:eastAsia="es-CO"/>
        </w:rPr>
      </w:pPr>
      <w:r w:rsidRPr="007377E5">
        <w:rPr>
          <w:rFonts w:ascii="Arial" w:hAnsi="Arial" w:cs="Arial"/>
          <w:bCs/>
          <w:color w:val="000000"/>
          <w:sz w:val="22"/>
          <w:lang w:eastAsia="es-CO"/>
        </w:rPr>
        <w:t xml:space="preserve">En cuanto a la restricción especial para las elecciones presidenciales, queda prohibida la contratación directa por parte de todos los entes del Estado, salvo las excepciones legales existentes, tal como lo señala el artículo 33 de la Ley 996 de 2005. A dicha prohibición se suman las previstas para los comicios a cargos de elección popular –incluidas las presidenciales– consagradas en el parágrafo del artículo 38 </w:t>
      </w:r>
      <w:r w:rsidR="00006412" w:rsidRPr="00006412">
        <w:rPr>
          <w:rFonts w:ascii="Arial" w:hAnsi="Arial" w:cs="Arial"/>
          <w:bCs/>
          <w:i/>
          <w:iCs/>
          <w:color w:val="000000"/>
          <w:sz w:val="22"/>
          <w:lang w:eastAsia="es-CO"/>
        </w:rPr>
        <w:t>ibidem</w:t>
      </w:r>
      <w:r w:rsidRPr="007377E5">
        <w:rPr>
          <w:rFonts w:ascii="Arial" w:hAnsi="Arial" w:cs="Arial"/>
          <w:bCs/>
          <w:color w:val="000000"/>
          <w:sz w:val="22"/>
          <w:lang w:eastAsia="es-CO"/>
        </w:rPr>
        <w:t>. Este precepto establece la prohibición para gobernadores, alcaldes, secretarios, gerentes y directores de entidades de orden municipal, departamental o distrital, para celebrar convenios o contratos interadministrativos para la ejecución de recursos públicos.</w:t>
      </w:r>
    </w:p>
    <w:p w14:paraId="3BAFE19B" w14:textId="64001F97" w:rsidR="006B594C" w:rsidRDefault="00261615" w:rsidP="00452B31">
      <w:pPr>
        <w:spacing w:before="120" w:line="276" w:lineRule="auto"/>
        <w:ind w:firstLine="708"/>
        <w:jc w:val="both"/>
        <w:rPr>
          <w:rFonts w:ascii="Arial" w:hAnsi="Arial" w:cs="Arial"/>
          <w:bCs/>
          <w:color w:val="000000"/>
          <w:sz w:val="22"/>
          <w:lang w:eastAsia="es-CO"/>
        </w:rPr>
      </w:pPr>
      <w:r w:rsidRPr="007377E5">
        <w:rPr>
          <w:rFonts w:ascii="Arial" w:hAnsi="Arial" w:cs="Arial"/>
          <w:bCs/>
          <w:color w:val="000000"/>
          <w:sz w:val="22"/>
          <w:lang w:eastAsia="es-CO"/>
        </w:rPr>
        <w:t xml:space="preserve">En ambos casos, la Ley se aplicará durante los cuatro (4) meses anteriores a las elecciones. </w:t>
      </w:r>
      <w:r w:rsidR="00782A24">
        <w:rPr>
          <w:rFonts w:ascii="Arial" w:hAnsi="Arial" w:cs="Arial"/>
          <w:bCs/>
          <w:color w:val="000000"/>
          <w:sz w:val="22"/>
          <w:lang w:eastAsia="es-CO"/>
        </w:rPr>
        <w:t>Por su parte, r</w:t>
      </w:r>
      <w:r w:rsidRPr="007377E5">
        <w:rPr>
          <w:rFonts w:ascii="Arial" w:hAnsi="Arial" w:cs="Arial"/>
          <w:bCs/>
          <w:color w:val="000000"/>
          <w:sz w:val="22"/>
          <w:lang w:eastAsia="es-CO"/>
        </w:rPr>
        <w:t>especto de los comicios presidenciales, se aplicará hasta la realización de la elección en la segunda vuelta, coincidiendo con la delimitación temporal señalada para la campaña política.</w:t>
      </w:r>
      <w:r w:rsidR="00BA661C">
        <w:rPr>
          <w:rFonts w:ascii="Arial" w:hAnsi="Arial" w:cs="Arial"/>
          <w:bCs/>
          <w:color w:val="000000"/>
          <w:sz w:val="22"/>
          <w:lang w:eastAsia="es-CO"/>
        </w:rPr>
        <w:t xml:space="preserve"> </w:t>
      </w:r>
      <w:r w:rsidRPr="007377E5">
        <w:rPr>
          <w:rFonts w:ascii="Arial" w:hAnsi="Arial" w:cs="Arial"/>
          <w:bCs/>
          <w:color w:val="000000"/>
          <w:sz w:val="22"/>
          <w:lang w:eastAsia="es-CO"/>
        </w:rPr>
        <w:t xml:space="preserve">Por lo anterior, en primer lugar, se analizarán las restricciones </w:t>
      </w:r>
      <w:r w:rsidR="00166921" w:rsidRPr="007377E5">
        <w:rPr>
          <w:rFonts w:ascii="Arial" w:hAnsi="Arial" w:cs="Arial"/>
          <w:bCs/>
          <w:color w:val="000000"/>
          <w:sz w:val="22"/>
          <w:lang w:eastAsia="es-CO"/>
        </w:rPr>
        <w:t xml:space="preserve">referentes a los comicios </w:t>
      </w:r>
      <w:r w:rsidR="00242A0F">
        <w:rPr>
          <w:rFonts w:ascii="Arial" w:hAnsi="Arial" w:cs="Arial"/>
          <w:bCs/>
          <w:color w:val="000000"/>
          <w:sz w:val="22"/>
          <w:lang w:eastAsia="es-CO"/>
        </w:rPr>
        <w:t>de</w:t>
      </w:r>
      <w:r w:rsidR="00166921" w:rsidRPr="007377E5">
        <w:rPr>
          <w:rFonts w:ascii="Arial" w:hAnsi="Arial" w:cs="Arial"/>
          <w:bCs/>
          <w:color w:val="000000"/>
          <w:sz w:val="22"/>
          <w:lang w:eastAsia="es-CO"/>
        </w:rPr>
        <w:t xml:space="preserve"> cargos de elección popular</w:t>
      </w:r>
      <w:r w:rsidR="00166921">
        <w:rPr>
          <w:rFonts w:ascii="Arial" w:hAnsi="Arial" w:cs="Arial"/>
          <w:bCs/>
          <w:color w:val="000000"/>
          <w:sz w:val="22"/>
          <w:lang w:eastAsia="es-CO"/>
        </w:rPr>
        <w:t xml:space="preserve">; </w:t>
      </w:r>
      <w:r w:rsidR="00166921" w:rsidRPr="007377E5">
        <w:rPr>
          <w:rFonts w:ascii="Arial" w:hAnsi="Arial" w:cs="Arial"/>
          <w:bCs/>
          <w:color w:val="000000"/>
          <w:sz w:val="22"/>
          <w:lang w:eastAsia="es-CO"/>
        </w:rPr>
        <w:t xml:space="preserve">y, posteriormente, las </w:t>
      </w:r>
      <w:r w:rsidRPr="007377E5">
        <w:rPr>
          <w:rFonts w:ascii="Arial" w:hAnsi="Arial" w:cs="Arial"/>
          <w:bCs/>
          <w:color w:val="000000"/>
          <w:sz w:val="22"/>
          <w:lang w:eastAsia="es-CO"/>
        </w:rPr>
        <w:t>aplicables frente a las elecciones presidenciales</w:t>
      </w:r>
      <w:r w:rsidR="00166921">
        <w:rPr>
          <w:rFonts w:ascii="Arial" w:hAnsi="Arial" w:cs="Arial"/>
          <w:bCs/>
          <w:color w:val="000000"/>
          <w:sz w:val="22"/>
          <w:lang w:eastAsia="es-CO"/>
        </w:rPr>
        <w:t>.</w:t>
      </w:r>
    </w:p>
    <w:p w14:paraId="7B701D9F" w14:textId="77777777" w:rsidR="0071300A" w:rsidRDefault="0071300A" w:rsidP="000B440A">
      <w:pPr>
        <w:spacing w:line="276" w:lineRule="auto"/>
        <w:ind w:firstLine="708"/>
        <w:jc w:val="both"/>
        <w:rPr>
          <w:rFonts w:ascii="Arial" w:eastAsiaTheme="minorHAnsi" w:hAnsi="Arial" w:cs="Arial"/>
          <w:b/>
          <w:bCs/>
          <w:i/>
          <w:iCs/>
          <w:color w:val="000000" w:themeColor="text1"/>
          <w:sz w:val="22"/>
          <w:szCs w:val="22"/>
          <w:lang w:val="es-MX" w:eastAsia="en-US"/>
        </w:rPr>
      </w:pPr>
      <w:bookmarkStart w:id="9" w:name="_Hlk77153296"/>
    </w:p>
    <w:p w14:paraId="3C0EA746" w14:textId="1BA74789" w:rsidR="00B540D4" w:rsidRPr="005641DC" w:rsidRDefault="00B540D4" w:rsidP="000B440A">
      <w:pPr>
        <w:spacing w:after="200" w:line="276" w:lineRule="auto"/>
        <w:ind w:firstLine="708"/>
        <w:jc w:val="both"/>
        <w:rPr>
          <w:rFonts w:ascii="Arial" w:hAnsi="Arial" w:cs="Arial"/>
          <w:b/>
          <w:bCs/>
          <w:color w:val="000000" w:themeColor="text1"/>
          <w:sz w:val="22"/>
          <w:szCs w:val="22"/>
          <w:lang w:val="es-MX" w:eastAsia="es-CO"/>
        </w:rPr>
      </w:pPr>
      <w:r w:rsidRPr="000B440A">
        <w:rPr>
          <w:rFonts w:ascii="Arial" w:eastAsiaTheme="minorHAnsi" w:hAnsi="Arial" w:cs="Arial"/>
          <w:b/>
          <w:bCs/>
          <w:i/>
          <w:iCs/>
          <w:color w:val="000000" w:themeColor="text1"/>
          <w:sz w:val="22"/>
          <w:szCs w:val="22"/>
          <w:lang w:val="es-MX" w:eastAsia="en-US"/>
        </w:rPr>
        <w:t>2.</w:t>
      </w:r>
      <w:r w:rsidR="001B1964" w:rsidRPr="000B440A">
        <w:rPr>
          <w:rFonts w:ascii="Arial" w:eastAsiaTheme="minorHAnsi" w:hAnsi="Arial" w:cs="Arial"/>
          <w:b/>
          <w:bCs/>
          <w:i/>
          <w:iCs/>
          <w:color w:val="000000" w:themeColor="text1"/>
          <w:sz w:val="22"/>
          <w:szCs w:val="22"/>
          <w:lang w:val="es-MX" w:eastAsia="en-US"/>
        </w:rPr>
        <w:t>1</w:t>
      </w:r>
      <w:r w:rsidRPr="000B440A">
        <w:rPr>
          <w:rFonts w:ascii="Arial" w:eastAsiaTheme="minorHAnsi" w:hAnsi="Arial" w:cs="Arial"/>
          <w:b/>
          <w:bCs/>
          <w:i/>
          <w:iCs/>
          <w:color w:val="000000" w:themeColor="text1"/>
          <w:sz w:val="22"/>
          <w:szCs w:val="22"/>
          <w:lang w:val="es-MX" w:eastAsia="en-US"/>
        </w:rPr>
        <w:t>.</w:t>
      </w:r>
      <w:r w:rsidR="001B1964" w:rsidRPr="000B440A">
        <w:rPr>
          <w:rFonts w:ascii="Arial" w:eastAsiaTheme="minorHAnsi" w:hAnsi="Arial" w:cs="Arial"/>
          <w:b/>
          <w:bCs/>
          <w:i/>
          <w:iCs/>
          <w:color w:val="000000" w:themeColor="text1"/>
          <w:sz w:val="22"/>
          <w:szCs w:val="22"/>
          <w:lang w:val="es-MX" w:eastAsia="en-US"/>
        </w:rPr>
        <w:t>1</w:t>
      </w:r>
      <w:r w:rsidRPr="005641DC">
        <w:rPr>
          <w:rFonts w:ascii="Arial" w:eastAsiaTheme="minorHAnsi" w:hAnsi="Arial" w:cs="Arial"/>
          <w:b/>
          <w:bCs/>
          <w:color w:val="000000" w:themeColor="text1"/>
          <w:sz w:val="22"/>
          <w:szCs w:val="22"/>
          <w:lang w:val="es-MX" w:eastAsia="en-US"/>
        </w:rPr>
        <w:t xml:space="preserve"> </w:t>
      </w:r>
      <w:r w:rsidRPr="005641DC">
        <w:rPr>
          <w:rFonts w:ascii="Arial" w:hAnsi="Arial" w:cs="Arial"/>
          <w:b/>
          <w:bCs/>
          <w:color w:val="000000" w:themeColor="text1"/>
          <w:sz w:val="22"/>
          <w:szCs w:val="22"/>
          <w:lang w:val="es-MX" w:eastAsia="es-CO"/>
        </w:rPr>
        <w:t xml:space="preserve">Restricciones </w:t>
      </w:r>
      <w:bookmarkStart w:id="10" w:name="_Hlk75643279"/>
      <w:r w:rsidRPr="005641DC">
        <w:rPr>
          <w:rFonts w:ascii="Arial" w:hAnsi="Arial" w:cs="Arial"/>
          <w:b/>
          <w:bCs/>
          <w:color w:val="000000" w:themeColor="text1"/>
          <w:sz w:val="22"/>
          <w:szCs w:val="22"/>
          <w:lang w:val="es-MX" w:eastAsia="es-CO"/>
        </w:rPr>
        <w:t xml:space="preserve">para la celebración de contratos y convenios interadministrativos en los comicios de cargos de elección popular </w:t>
      </w:r>
    </w:p>
    <w:bookmarkEnd w:id="9"/>
    <w:bookmarkEnd w:id="10"/>
    <w:p w14:paraId="38CF2EA9" w14:textId="77777777" w:rsidR="00101763" w:rsidRPr="00101763" w:rsidRDefault="00101763" w:rsidP="00101763">
      <w:pPr>
        <w:tabs>
          <w:tab w:val="left" w:pos="426"/>
        </w:tabs>
        <w:spacing w:after="120" w:line="276" w:lineRule="auto"/>
        <w:jc w:val="both"/>
        <w:rPr>
          <w:rFonts w:ascii="Arial" w:eastAsia="Calibri" w:hAnsi="Arial" w:cs="Arial"/>
          <w:bCs/>
          <w:sz w:val="22"/>
          <w:szCs w:val="22"/>
          <w:lang w:eastAsia="en-US"/>
        </w:rPr>
      </w:pPr>
      <w:r w:rsidRPr="00101763">
        <w:rPr>
          <w:rFonts w:ascii="Arial" w:eastAsia="Calibri" w:hAnsi="Arial" w:cs="Arial"/>
          <w:bCs/>
          <w:sz w:val="22"/>
          <w:szCs w:val="22"/>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101763">
        <w:rPr>
          <w:rFonts w:ascii="Arial" w:hAnsi="Arial" w:cs="Arial"/>
          <w:bCs/>
          <w:iCs/>
          <w:sz w:val="22"/>
          <w:szCs w:val="22"/>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101763">
        <w:rPr>
          <w:rFonts w:ascii="Arial" w:hAnsi="Arial" w:cs="Arial"/>
          <w:bCs/>
          <w:iCs/>
          <w:sz w:val="22"/>
          <w:szCs w:val="22"/>
          <w:vertAlign w:val="superscript"/>
          <w:lang w:val="es-MX" w:eastAsia="x-none"/>
        </w:rPr>
        <w:footnoteReference w:id="11"/>
      </w:r>
      <w:r w:rsidRPr="00101763">
        <w:rPr>
          <w:rFonts w:ascii="Arial" w:hAnsi="Arial" w:cs="Arial"/>
          <w:bCs/>
          <w:iCs/>
          <w:sz w:val="22"/>
          <w:szCs w:val="22"/>
          <w:lang w:val="es-MX" w:eastAsia="x-none"/>
        </w:rPr>
        <w:t>.</w:t>
      </w:r>
      <w:r w:rsidRPr="00101763">
        <w:rPr>
          <w:rFonts w:ascii="Arial" w:eastAsiaTheme="minorHAnsi" w:hAnsi="Arial" w:cs="Arial"/>
          <w:szCs w:val="22"/>
          <w:lang w:val="es-MX" w:eastAsia="en-US"/>
        </w:rPr>
        <w:t xml:space="preserve"> </w:t>
      </w:r>
    </w:p>
    <w:p w14:paraId="7F3DCBC7" w14:textId="77777777" w:rsidR="00101763" w:rsidRPr="00101763" w:rsidRDefault="00101763" w:rsidP="00101763">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101763">
        <w:rPr>
          <w:rFonts w:ascii="Arial" w:eastAsia="Calibri" w:hAnsi="Arial" w:cs="Arial"/>
          <w:bCs/>
          <w:sz w:val="22"/>
          <w:szCs w:val="22"/>
          <w:lang w:eastAsia="es-ES" w:bidi="es-ES"/>
        </w:rPr>
        <w:t xml:space="preserve">Ahora bien, </w:t>
      </w:r>
      <w:bookmarkStart w:id="11" w:name="_Hlk78820161"/>
      <w:r w:rsidRPr="00101763">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101763">
        <w:rPr>
          <w:rFonts w:ascii="Arial" w:eastAsia="Arial" w:hAnsi="Arial" w:cs="Arial"/>
          <w:sz w:val="22"/>
          <w:szCs w:val="22"/>
          <w:lang w:val="es-ES" w:eastAsia="es-ES" w:bidi="es-ES"/>
        </w:rPr>
        <w:t xml:space="preserve">Aunque la ley no la definió ni desarrolló, el Decreto 1082 de 2015 califica a los convenios o contratos interadministrativos como aquella contratación entre </w:t>
      </w:r>
      <w:r w:rsidRPr="00101763">
        <w:rPr>
          <w:rFonts w:ascii="Arial" w:eastAsia="Arial" w:hAnsi="Arial" w:cs="Arial"/>
          <w:sz w:val="22"/>
          <w:szCs w:val="22"/>
          <w:lang w:val="es-ES" w:eastAsia="es-ES" w:bidi="es-ES"/>
        </w:rPr>
        <w:lastRenderedPageBreak/>
        <w:t>entidades estatales</w:t>
      </w:r>
      <w:r w:rsidRPr="00101763">
        <w:rPr>
          <w:rFonts w:ascii="Arial" w:eastAsia="Arial" w:hAnsi="Arial" w:cs="Arial"/>
          <w:sz w:val="22"/>
          <w:szCs w:val="22"/>
          <w:vertAlign w:val="superscript"/>
          <w:lang w:val="es-ES" w:eastAsia="es-ES" w:bidi="es-ES"/>
        </w:rPr>
        <w:footnoteReference w:id="12"/>
      </w:r>
      <w:r w:rsidRPr="00101763">
        <w:rPr>
          <w:rFonts w:ascii="Arial" w:eastAsia="Arial" w:hAnsi="Arial" w:cs="Arial"/>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101763">
        <w:rPr>
          <w:rFonts w:ascii="Arial" w:eastAsia="Arial" w:hAnsi="Arial" w:cs="Arial"/>
          <w:spacing w:val="-6"/>
          <w:sz w:val="22"/>
          <w:szCs w:val="22"/>
          <w:lang w:val="es-ES" w:eastAsia="es-ES" w:bidi="es-ES"/>
        </w:rPr>
        <w:t xml:space="preserve"> </w:t>
      </w:r>
      <w:r w:rsidRPr="00101763">
        <w:rPr>
          <w:rFonts w:ascii="Arial" w:eastAsia="Arial" w:hAnsi="Arial" w:cs="Arial"/>
          <w:sz w:val="22"/>
          <w:szCs w:val="22"/>
          <w:lang w:val="es-ES" w:eastAsia="es-ES" w:bidi="es-ES"/>
        </w:rPr>
        <w:t>estatales.</w:t>
      </w:r>
    </w:p>
    <w:p w14:paraId="00BF8EF4" w14:textId="77777777" w:rsidR="00101763" w:rsidRPr="00101763" w:rsidRDefault="00101763" w:rsidP="00101763">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12" w:name="_Hlk78820654"/>
      <w:bookmarkEnd w:id="11"/>
      <w:r w:rsidRPr="00101763">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2"/>
    <w:p w14:paraId="4FDBCB48" w14:textId="77777777" w:rsidR="00101763" w:rsidRPr="00101763" w:rsidRDefault="00101763" w:rsidP="00101763">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r w:rsidRPr="00101763">
        <w:rPr>
          <w:rFonts w:ascii="Arial" w:eastAsia="Arial" w:hAnsi="Arial" w:cs="Arial"/>
          <w:sz w:val="22"/>
          <w:szCs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101763">
        <w:rPr>
          <w:rFonts w:ascii="Arial" w:eastAsia="Arial" w:hAnsi="Arial" w:cs="Arial"/>
          <w:sz w:val="22"/>
          <w:szCs w:val="22"/>
          <w:vertAlign w:val="superscript"/>
          <w:lang w:val="es-ES" w:eastAsia="es-ES" w:bidi="es-ES"/>
        </w:rPr>
        <w:footnoteReference w:id="13"/>
      </w:r>
      <w:r w:rsidRPr="00101763">
        <w:rPr>
          <w:rFonts w:ascii="Arial" w:eastAsia="Arial" w:hAnsi="Arial" w:cs="Arial"/>
          <w:sz w:val="22"/>
          <w:szCs w:val="22"/>
          <w:lang w:val="es-ES" w:eastAsia="es-ES" w:bidi="es-ES"/>
        </w:rPr>
        <w:t>. Nótese que, en este caso, lo que cambia es la modalidad de selección y no la naturaleza de contrato</w:t>
      </w:r>
      <w:r w:rsidRPr="00101763">
        <w:rPr>
          <w:rFonts w:ascii="Arial" w:eastAsia="Arial" w:hAnsi="Arial" w:cs="Arial"/>
          <w:spacing w:val="-18"/>
          <w:sz w:val="22"/>
          <w:szCs w:val="22"/>
          <w:lang w:val="es-ES" w:eastAsia="es-ES" w:bidi="es-ES"/>
        </w:rPr>
        <w:t xml:space="preserve"> </w:t>
      </w:r>
      <w:r w:rsidRPr="00101763">
        <w:rPr>
          <w:rFonts w:ascii="Arial" w:eastAsia="Arial" w:hAnsi="Arial" w:cs="Arial"/>
          <w:sz w:val="22"/>
          <w:szCs w:val="22"/>
          <w:lang w:val="es-ES" w:eastAsia="es-ES" w:bidi="es-ES"/>
        </w:rPr>
        <w:t>interadministrativo.</w:t>
      </w:r>
    </w:p>
    <w:p w14:paraId="6167198A" w14:textId="5E8C87E2" w:rsidR="00101763" w:rsidRPr="00101763" w:rsidRDefault="00101763" w:rsidP="00A96B89">
      <w:pPr>
        <w:widowControl w:val="0"/>
        <w:autoSpaceDE w:val="0"/>
        <w:autoSpaceDN w:val="0"/>
        <w:spacing w:before="114" w:after="160" w:line="276" w:lineRule="auto"/>
        <w:ind w:firstLine="707"/>
        <w:jc w:val="both"/>
        <w:rPr>
          <w:rFonts w:ascii="Arial" w:eastAsia="Arial" w:hAnsi="Arial" w:cs="Arial"/>
          <w:sz w:val="22"/>
          <w:szCs w:val="22"/>
          <w:lang w:val="es-ES" w:eastAsia="es-ES" w:bidi="es-ES"/>
        </w:rPr>
      </w:pPr>
      <w:r w:rsidRPr="00101763">
        <w:rPr>
          <w:rFonts w:ascii="Arial" w:eastAsia="Arial" w:hAnsi="Arial" w:cs="Arial"/>
          <w:sz w:val="22"/>
          <w:szCs w:val="22"/>
          <w:lang w:val="es-ES" w:eastAsia="es-ES" w:bidi="es-ES"/>
        </w:rPr>
        <w:t xml:space="preserve">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w:t>
      </w:r>
      <w:r w:rsidRPr="00101763">
        <w:rPr>
          <w:rFonts w:ascii="Arial" w:eastAsia="Arial" w:hAnsi="Arial" w:cs="Arial"/>
          <w:sz w:val="22"/>
          <w:szCs w:val="22"/>
          <w:lang w:val="es-ES" w:eastAsia="es-ES" w:bidi="es-ES"/>
        </w:rPr>
        <w:lastRenderedPageBreak/>
        <w:t>interadministrativo y sus características,</w:t>
      </w:r>
      <w:r w:rsidRPr="00101763">
        <w:rPr>
          <w:rFonts w:ascii="Arial" w:eastAsia="Arial" w:hAnsi="Arial" w:cs="Arial"/>
          <w:spacing w:val="-13"/>
          <w:sz w:val="22"/>
          <w:szCs w:val="22"/>
          <w:lang w:val="es-ES" w:eastAsia="es-ES" w:bidi="es-ES"/>
        </w:rPr>
        <w:t xml:space="preserve"> </w:t>
      </w:r>
      <w:r w:rsidRPr="00101763">
        <w:rPr>
          <w:rFonts w:ascii="Arial" w:eastAsia="Arial" w:hAnsi="Arial" w:cs="Arial"/>
          <w:sz w:val="22"/>
          <w:szCs w:val="22"/>
          <w:lang w:val="es-ES" w:eastAsia="es-ES" w:bidi="es-ES"/>
        </w:rPr>
        <w:t>que:</w:t>
      </w:r>
    </w:p>
    <w:p w14:paraId="32022967" w14:textId="0FFD1BB2" w:rsidR="00101763" w:rsidRPr="00101763" w:rsidRDefault="00101763" w:rsidP="00A96B89">
      <w:pPr>
        <w:spacing w:after="160"/>
        <w:ind w:left="709" w:right="709"/>
        <w:jc w:val="both"/>
        <w:rPr>
          <w:rFonts w:ascii="Arial" w:eastAsiaTheme="minorHAnsi" w:hAnsi="Arial" w:cs="Arial"/>
          <w:sz w:val="21"/>
          <w:szCs w:val="22"/>
          <w:lang w:val="es-MX" w:eastAsia="en-US"/>
        </w:rPr>
      </w:pPr>
      <w:r w:rsidRPr="00101763">
        <w:rPr>
          <w:rFonts w:ascii="Arial" w:eastAsiaTheme="minorHAnsi" w:hAnsi="Arial" w:cs="Arial"/>
          <w:sz w:val="21"/>
          <w:szCs w:val="22"/>
          <w:lang w:val="es-MX"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101763">
        <w:rPr>
          <w:rFonts w:ascii="Arial" w:eastAsiaTheme="minorHAnsi" w:hAnsi="Arial" w:cs="Arial"/>
          <w:sz w:val="21"/>
          <w:szCs w:val="22"/>
          <w:vertAlign w:val="superscript"/>
          <w:lang w:val="es-MX" w:eastAsia="en-US"/>
        </w:rPr>
        <w:footnoteReference w:id="14"/>
      </w:r>
      <w:r w:rsidRPr="00101763">
        <w:rPr>
          <w:rFonts w:ascii="Arial" w:eastAsiaTheme="minorHAnsi" w:hAnsi="Arial" w:cs="Arial"/>
          <w:sz w:val="21"/>
          <w:szCs w:val="22"/>
          <w:lang w:val="es-MX" w:eastAsia="en-US"/>
        </w:rPr>
        <w:t>.</w:t>
      </w:r>
    </w:p>
    <w:p w14:paraId="17FB1A54" w14:textId="77777777" w:rsidR="00101763" w:rsidRPr="00101763" w:rsidRDefault="00101763" w:rsidP="00A96B89">
      <w:pPr>
        <w:widowControl w:val="0"/>
        <w:autoSpaceDE w:val="0"/>
        <w:autoSpaceDN w:val="0"/>
        <w:spacing w:after="160" w:line="276" w:lineRule="auto"/>
        <w:ind w:firstLine="707"/>
        <w:jc w:val="both"/>
        <w:rPr>
          <w:rFonts w:ascii="Arial" w:eastAsia="Arial" w:hAnsi="Arial" w:cs="Arial"/>
          <w:sz w:val="22"/>
          <w:szCs w:val="22"/>
          <w:lang w:val="es-ES" w:eastAsia="es-ES" w:bidi="es-ES"/>
        </w:rPr>
      </w:pPr>
      <w:r w:rsidRPr="00101763">
        <w:rPr>
          <w:rFonts w:ascii="Arial" w:eastAsia="Arial" w:hAnsi="Arial" w:cs="Arial"/>
          <w:sz w:val="22"/>
          <w:szCs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72DCE0D" w14:textId="77777777" w:rsidR="00101763" w:rsidRPr="00101763" w:rsidRDefault="00101763" w:rsidP="00101763">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101763">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101763">
        <w:rPr>
          <w:rFonts w:ascii="Arial" w:eastAsia="Arial" w:hAnsi="Arial" w:cs="Arial"/>
          <w:spacing w:val="-3"/>
          <w:sz w:val="22"/>
          <w:szCs w:val="22"/>
          <w:lang w:val="es-ES" w:eastAsia="es-ES" w:bidi="es-ES"/>
        </w:rPr>
        <w:t xml:space="preserve"> </w:t>
      </w:r>
      <w:r w:rsidRPr="00101763">
        <w:rPr>
          <w:rFonts w:ascii="Arial" w:eastAsia="Arial" w:hAnsi="Arial" w:cs="Arial"/>
          <w:sz w:val="22"/>
          <w:szCs w:val="22"/>
          <w:lang w:val="es-ES" w:eastAsia="es-ES" w:bidi="es-ES"/>
        </w:rPr>
        <w:t>estatales.</w:t>
      </w:r>
    </w:p>
    <w:p w14:paraId="534691C7" w14:textId="77777777" w:rsidR="00101763" w:rsidRPr="00101763" w:rsidRDefault="00101763" w:rsidP="00101763">
      <w:pPr>
        <w:widowControl w:val="0"/>
        <w:autoSpaceDE w:val="0"/>
        <w:autoSpaceDN w:val="0"/>
        <w:spacing w:before="120" w:after="120" w:line="276" w:lineRule="auto"/>
        <w:ind w:firstLine="709"/>
        <w:jc w:val="both"/>
        <w:rPr>
          <w:rFonts w:ascii="Arial" w:eastAsia="Arial" w:hAnsi="Arial" w:cs="Arial"/>
          <w:sz w:val="22"/>
          <w:szCs w:val="22"/>
          <w:lang w:val="es-ES" w:eastAsia="es-ES" w:bidi="es-ES"/>
        </w:rPr>
      </w:pPr>
      <w:r w:rsidRPr="00101763">
        <w:rPr>
          <w:rFonts w:ascii="Arial" w:eastAsia="Arial" w:hAnsi="Arial" w:cs="Arial"/>
          <w:sz w:val="22"/>
          <w:szCs w:val="22"/>
          <w:lang w:val="es-ES" w:eastAsia="es-ES" w:bidi="es-ES"/>
        </w:rPr>
        <w:t xml:space="preserve">Además, es necesario tener en cuenta que para que un contrato o convenio interadministrativo exista, debe cumplir con los siguientes elementos: acuerdo sobre el </w:t>
      </w:r>
      <w:r w:rsidRPr="00101763">
        <w:rPr>
          <w:rFonts w:ascii="Arial" w:eastAsia="Arial" w:hAnsi="Arial" w:cs="Arial"/>
          <w:sz w:val="22"/>
          <w:szCs w:val="22"/>
          <w:lang w:val="es-ES" w:eastAsia="es-ES" w:bidi="es-ES"/>
        </w:rPr>
        <w:lastRenderedPageBreak/>
        <w:t>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101763">
        <w:rPr>
          <w:rFonts w:ascii="Arial" w:eastAsia="Arial" w:hAnsi="Arial" w:cs="Arial"/>
          <w:spacing w:val="-4"/>
          <w:sz w:val="22"/>
          <w:szCs w:val="22"/>
          <w:lang w:val="es-ES" w:eastAsia="es-ES" w:bidi="es-ES"/>
        </w:rPr>
        <w:t xml:space="preserve"> </w:t>
      </w:r>
      <w:r w:rsidRPr="00101763">
        <w:rPr>
          <w:rFonts w:ascii="Arial" w:eastAsia="Arial" w:hAnsi="Arial" w:cs="Arial"/>
          <w:sz w:val="22"/>
          <w:szCs w:val="22"/>
          <w:lang w:val="es-ES" w:eastAsia="es-ES" w:bidi="es-ES"/>
        </w:rPr>
        <w:t>estatales.</w:t>
      </w:r>
    </w:p>
    <w:p w14:paraId="55535CF4" w14:textId="77777777" w:rsidR="00101763" w:rsidRPr="00101763" w:rsidRDefault="00101763" w:rsidP="00101763">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101763">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A21D86D" w14:textId="77777777" w:rsidR="00101763" w:rsidRPr="00101763" w:rsidRDefault="00101763" w:rsidP="00101763">
      <w:pPr>
        <w:widowControl w:val="0"/>
        <w:autoSpaceDE w:val="0"/>
        <w:autoSpaceDN w:val="0"/>
        <w:spacing w:line="276" w:lineRule="auto"/>
        <w:ind w:firstLine="708"/>
        <w:jc w:val="both"/>
        <w:rPr>
          <w:rFonts w:ascii="Arial" w:eastAsia="Calibri" w:hAnsi="Arial" w:cs="Arial"/>
          <w:bCs/>
          <w:sz w:val="22"/>
          <w:szCs w:val="22"/>
          <w:lang w:eastAsia="es-ES" w:bidi="es-ES"/>
        </w:rPr>
      </w:pPr>
      <w:r w:rsidRPr="00101763">
        <w:rPr>
          <w:rFonts w:ascii="Arial" w:eastAsia="Arial" w:hAnsi="Arial" w:cs="Arial"/>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101763">
        <w:rPr>
          <w:rFonts w:ascii="Arial" w:eastAsia="Arial" w:hAnsi="Arial" w:cs="Arial"/>
          <w:spacing w:val="-4"/>
          <w:sz w:val="22"/>
          <w:szCs w:val="22"/>
          <w:lang w:val="es-ES" w:eastAsia="es-ES" w:bidi="es-ES"/>
        </w:rPr>
        <w:t xml:space="preserve"> </w:t>
      </w:r>
      <w:r w:rsidRPr="00101763">
        <w:rPr>
          <w:rFonts w:ascii="Arial" w:eastAsia="Arial" w:hAnsi="Arial" w:cs="Arial"/>
          <w:sz w:val="22"/>
          <w:szCs w:val="22"/>
          <w:lang w:val="es-ES" w:eastAsia="es-ES" w:bidi="es-ES"/>
        </w:rPr>
        <w:t>[…]»</w:t>
      </w:r>
      <w:r w:rsidRPr="00101763">
        <w:rPr>
          <w:rFonts w:ascii="Arial" w:eastAsia="Arial" w:hAnsi="Arial" w:cs="Arial"/>
          <w:sz w:val="22"/>
          <w:szCs w:val="22"/>
          <w:vertAlign w:val="superscript"/>
          <w:lang w:val="es-ES" w:eastAsia="es-ES" w:bidi="es-ES"/>
        </w:rPr>
        <w:footnoteReference w:id="15"/>
      </w:r>
      <w:r w:rsidRPr="00101763">
        <w:rPr>
          <w:rFonts w:ascii="Arial" w:eastAsia="Arial" w:hAnsi="Arial" w:cs="Arial"/>
          <w:sz w:val="22"/>
          <w:szCs w:val="22"/>
          <w:lang w:val="es-ES" w:eastAsia="es-ES" w:bidi="es-ES"/>
        </w:rPr>
        <w:t>.</w:t>
      </w:r>
      <w:bookmarkStart w:id="13" w:name="_Hlk77171241"/>
    </w:p>
    <w:p w14:paraId="7F78BAFD" w14:textId="77777777" w:rsidR="00101763" w:rsidRPr="00101763" w:rsidRDefault="00101763" w:rsidP="00101763">
      <w:pPr>
        <w:widowControl w:val="0"/>
        <w:autoSpaceDE w:val="0"/>
        <w:autoSpaceDN w:val="0"/>
        <w:spacing w:before="122" w:line="276" w:lineRule="auto"/>
        <w:ind w:firstLine="709"/>
        <w:jc w:val="both"/>
        <w:rPr>
          <w:rFonts w:ascii="Arial" w:eastAsia="Arial" w:hAnsi="Arial" w:cs="Arial"/>
          <w:sz w:val="22"/>
          <w:szCs w:val="22"/>
          <w:lang w:val="es-ES" w:eastAsia="es-ES" w:bidi="es-ES"/>
        </w:rPr>
      </w:pPr>
      <w:r w:rsidRPr="00101763">
        <w:rPr>
          <w:rFonts w:ascii="Arial" w:eastAsia="Arial" w:hAnsi="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5AA839B" w14:textId="77777777" w:rsidR="00101763" w:rsidRPr="00101763" w:rsidRDefault="00101763" w:rsidP="00101763">
      <w:pPr>
        <w:widowControl w:val="0"/>
        <w:autoSpaceDE w:val="0"/>
        <w:autoSpaceDN w:val="0"/>
        <w:spacing w:line="276" w:lineRule="auto"/>
        <w:ind w:firstLine="709"/>
        <w:jc w:val="both"/>
        <w:rPr>
          <w:rFonts w:ascii="Arial" w:eastAsia="Arial" w:hAnsi="Arial" w:cs="Arial"/>
          <w:sz w:val="22"/>
          <w:szCs w:val="22"/>
          <w:lang w:val="es-ES" w:eastAsia="es-ES" w:bidi="es-ES"/>
        </w:rPr>
      </w:pPr>
    </w:p>
    <w:p w14:paraId="0987A95A" w14:textId="77777777" w:rsidR="00101763" w:rsidRPr="00101763" w:rsidRDefault="00101763" w:rsidP="00101763">
      <w:pPr>
        <w:spacing w:after="120"/>
        <w:ind w:left="709" w:right="709"/>
        <w:jc w:val="both"/>
        <w:rPr>
          <w:rFonts w:ascii="Arial" w:eastAsiaTheme="minorHAnsi" w:hAnsi="Arial" w:cs="Arial"/>
          <w:sz w:val="21"/>
          <w:szCs w:val="21"/>
          <w:lang w:val="es-ES_tradnl" w:eastAsia="en-US"/>
        </w:rPr>
      </w:pPr>
      <w:r w:rsidRPr="00101763">
        <w:rPr>
          <w:rFonts w:ascii="Arial" w:eastAsiaTheme="minorHAnsi" w:hAnsi="Arial" w:cs="Arial"/>
          <w:sz w:val="21"/>
          <w:szCs w:val="21"/>
          <w:lang w:val="es-ES_tradnl" w:eastAsia="en-US"/>
        </w:rPr>
        <w:lastRenderedPageBreak/>
        <w:t>La Sala de Consulta y Servicio Civil</w:t>
      </w:r>
      <w:r w:rsidRPr="00101763">
        <w:rPr>
          <w:rFonts w:ascii="Arial" w:eastAsiaTheme="minorHAnsi" w:hAnsi="Arial" w:cs="Arial"/>
          <w:sz w:val="21"/>
          <w:szCs w:val="21"/>
          <w:vertAlign w:val="superscript"/>
          <w:lang w:val="es-ES_tradnl" w:eastAsia="en-US"/>
        </w:rPr>
        <w:footnoteReference w:id="16"/>
      </w:r>
      <w:r w:rsidRPr="00101763">
        <w:rPr>
          <w:rFonts w:ascii="Arial" w:eastAsiaTheme="minorHAnsi" w:hAnsi="Arial" w:cs="Arial"/>
          <w:sz w:val="21"/>
          <w:szCs w:val="21"/>
          <w:lang w:val="es-ES_tradnl" w:eastAsia="en-US"/>
        </w:rPr>
        <w:t xml:space="preserve"> de esta Corporación se ha referido a los </w:t>
      </w:r>
      <w:r w:rsidRPr="00101763">
        <w:rPr>
          <w:rFonts w:ascii="Arial" w:eastAsiaTheme="minorHAnsi" w:hAnsi="Arial" w:cs="Arial"/>
          <w:i/>
          <w:sz w:val="21"/>
          <w:szCs w:val="21"/>
          <w:lang w:val="es-ES_tradnl" w:eastAsia="en-US"/>
        </w:rPr>
        <w:t>“convenios interadministrativos”</w:t>
      </w:r>
      <w:r w:rsidRPr="00101763">
        <w:rPr>
          <w:rFonts w:ascii="Arial" w:eastAsiaTheme="minorHAnsi" w:hAnsi="Arial" w:cs="Arial"/>
          <w:sz w:val="21"/>
          <w:szCs w:val="21"/>
          <w:lang w:val="es-ES_tradnl" w:eastAsia="en-US"/>
        </w:rPr>
        <w:t xml:space="preserve"> a los cuales alude el artículo 95 de la Ley 489 de 1998, calificándolos de </w:t>
      </w:r>
      <w:r w:rsidRPr="00101763">
        <w:rPr>
          <w:rFonts w:ascii="Arial" w:eastAsiaTheme="minorHAnsi" w:hAnsi="Arial" w:cs="Arial"/>
          <w:i/>
          <w:sz w:val="21"/>
          <w:szCs w:val="21"/>
          <w:lang w:val="es-ES_tradnl" w:eastAsia="en-US"/>
        </w:rPr>
        <w:t xml:space="preserve">“puros” </w:t>
      </w:r>
      <w:r w:rsidRPr="00101763">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101763">
        <w:rPr>
          <w:rFonts w:ascii="Arial" w:eastAsiaTheme="minorHAnsi" w:hAnsi="Arial" w:cs="Arial"/>
          <w:i/>
          <w:sz w:val="21"/>
          <w:szCs w:val="21"/>
          <w:lang w:val="es-ES_tradnl" w:eastAsia="en-US"/>
        </w:rPr>
        <w:t>“intercambio patrimonial”</w:t>
      </w:r>
      <w:r w:rsidRPr="00101763">
        <w:rPr>
          <w:rFonts w:ascii="Arial" w:eastAsiaTheme="minorHAnsi" w:hAnsi="Arial" w:cs="Arial"/>
          <w:sz w:val="21"/>
          <w:szCs w:val="21"/>
          <w:lang w:val="es-ES_tradnl" w:eastAsia="en-US"/>
        </w:rPr>
        <w:t>. Sin perjuicio de lo anterior, en otra oportunidad, la misma Sala</w:t>
      </w:r>
      <w:r w:rsidRPr="00101763">
        <w:rPr>
          <w:rFonts w:ascii="Arial" w:eastAsiaTheme="minorHAnsi" w:hAnsi="Arial" w:cs="Arial"/>
          <w:sz w:val="21"/>
          <w:szCs w:val="21"/>
          <w:vertAlign w:val="superscript"/>
          <w:lang w:val="es-ES_tradnl" w:eastAsia="en-US"/>
        </w:rPr>
        <w:footnoteReference w:id="17"/>
      </w:r>
      <w:r w:rsidRPr="00101763">
        <w:rPr>
          <w:rFonts w:ascii="Arial" w:eastAsiaTheme="minorHAnsi" w:hAnsi="Arial" w:cs="Arial"/>
          <w:sz w:val="21"/>
          <w:szCs w:val="21"/>
          <w:lang w:val="es-ES_tradnl" w:eastAsia="en-US"/>
        </w:rPr>
        <w:t xml:space="preserve"> había indicado que, si bien en dichos convenios no se daba un </w:t>
      </w:r>
      <w:r w:rsidRPr="00101763">
        <w:rPr>
          <w:rFonts w:ascii="Arial" w:eastAsiaTheme="minorHAnsi" w:hAnsi="Arial" w:cs="Arial"/>
          <w:i/>
          <w:sz w:val="21"/>
          <w:szCs w:val="21"/>
          <w:lang w:val="es-ES_tradnl" w:eastAsia="en-US"/>
        </w:rPr>
        <w:t>“verdadero intercambio de bienes o servicios (contrato conmutativo)”</w:t>
      </w:r>
      <w:r w:rsidRPr="00101763">
        <w:rPr>
          <w:rFonts w:ascii="Arial" w:eastAsiaTheme="minorHAnsi" w:hAnsi="Arial" w:cs="Arial"/>
          <w:sz w:val="21"/>
          <w:szCs w:val="21"/>
          <w:lang w:val="es-ES_tradnl" w:eastAsia="en-US"/>
        </w:rPr>
        <w:t>, ello no impedía que se conviniera una remuneración a cargo de alguna(s) entidad(es).</w:t>
      </w:r>
    </w:p>
    <w:p w14:paraId="3478A595" w14:textId="77777777" w:rsidR="00101763" w:rsidRPr="00101763" w:rsidRDefault="00101763" w:rsidP="00101763">
      <w:pPr>
        <w:widowControl w:val="0"/>
        <w:autoSpaceDE w:val="0"/>
        <w:autoSpaceDN w:val="0"/>
        <w:ind w:left="709" w:right="709"/>
        <w:jc w:val="both"/>
        <w:rPr>
          <w:rFonts w:ascii="Arial" w:eastAsia="Arial" w:hAnsi="Arial" w:cs="Arial"/>
          <w:sz w:val="21"/>
          <w:szCs w:val="21"/>
          <w:lang w:val="es-ES" w:eastAsia="es-ES" w:bidi="es-ES"/>
        </w:rPr>
      </w:pPr>
      <w:r w:rsidRPr="00101763">
        <w:rPr>
          <w:rFonts w:ascii="Arial" w:eastAsia="Arial" w:hAnsi="Arial" w:cs="Arial"/>
          <w:sz w:val="21"/>
          <w:szCs w:val="21"/>
          <w:lang w:val="es-ES_tradnl" w:eastAsia="es-ES" w:bidi="es-ES"/>
        </w:rPr>
        <w:t xml:space="preserve">Lo expuesto evidencia que, en general, las interpretaciones en torno a los </w:t>
      </w:r>
      <w:r w:rsidRPr="00101763">
        <w:rPr>
          <w:rFonts w:ascii="Arial" w:eastAsia="Arial" w:hAnsi="Arial" w:cs="Arial"/>
          <w:i/>
          <w:sz w:val="21"/>
          <w:szCs w:val="21"/>
          <w:lang w:val="es-ES_tradnl" w:eastAsia="es-ES" w:bidi="es-ES"/>
        </w:rPr>
        <w:t>“convenios interadministrativos”</w:t>
      </w:r>
      <w:r w:rsidRPr="00101763">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101763">
        <w:rPr>
          <w:rFonts w:ascii="Arial" w:eastAsia="Arial" w:hAnsi="Arial" w:cs="Arial"/>
          <w:sz w:val="21"/>
          <w:szCs w:val="21"/>
          <w:vertAlign w:val="superscript"/>
          <w:lang w:val="es-ES_tradnl" w:eastAsia="es-ES" w:bidi="es-ES"/>
        </w:rPr>
        <w:footnoteReference w:id="18"/>
      </w:r>
      <w:r w:rsidRPr="00101763">
        <w:rPr>
          <w:rFonts w:ascii="Arial" w:eastAsia="Arial" w:hAnsi="Arial" w:cs="Arial"/>
          <w:sz w:val="21"/>
          <w:szCs w:val="21"/>
          <w:vertAlign w:val="superscript"/>
          <w:lang w:val="es-ES_tradnl" w:eastAsia="es-ES" w:bidi="es-ES"/>
        </w:rPr>
        <w:footnoteReference w:id="19"/>
      </w:r>
      <w:r w:rsidRPr="00101763">
        <w:rPr>
          <w:rFonts w:ascii="Arial" w:eastAsia="Arial" w:hAnsi="Arial" w:cs="Arial"/>
          <w:sz w:val="21"/>
          <w:szCs w:val="21"/>
          <w:lang w:val="es-ES_tradnl" w:eastAsia="es-ES" w:bidi="es-ES"/>
        </w:rPr>
        <w:t>.</w:t>
      </w:r>
    </w:p>
    <w:p w14:paraId="13750E56" w14:textId="77777777" w:rsidR="00101763" w:rsidRPr="00101763" w:rsidRDefault="00101763" w:rsidP="00101763">
      <w:pPr>
        <w:widowControl w:val="0"/>
        <w:autoSpaceDE w:val="0"/>
        <w:autoSpaceDN w:val="0"/>
        <w:spacing w:line="276" w:lineRule="auto"/>
        <w:jc w:val="both"/>
        <w:rPr>
          <w:rFonts w:ascii="Arial" w:eastAsia="Arial" w:hAnsi="Arial" w:cs="Arial"/>
          <w:sz w:val="22"/>
          <w:szCs w:val="22"/>
          <w:lang w:val="es-ES" w:eastAsia="es-ES" w:bidi="es-ES"/>
        </w:rPr>
      </w:pPr>
    </w:p>
    <w:p w14:paraId="0CB3BE7B" w14:textId="77777777" w:rsidR="00101763" w:rsidRPr="00101763" w:rsidRDefault="00101763" w:rsidP="00101763">
      <w:pPr>
        <w:widowControl w:val="0"/>
        <w:autoSpaceDE w:val="0"/>
        <w:autoSpaceDN w:val="0"/>
        <w:spacing w:after="120" w:line="276" w:lineRule="auto"/>
        <w:jc w:val="both"/>
        <w:rPr>
          <w:rFonts w:ascii="Arial" w:eastAsia="Arial" w:hAnsi="Arial" w:cs="Arial"/>
          <w:sz w:val="22"/>
          <w:szCs w:val="22"/>
          <w:lang w:val="es-ES" w:eastAsia="es-ES" w:bidi="es-ES"/>
        </w:rPr>
      </w:pPr>
      <w:r w:rsidRPr="00101763">
        <w:rPr>
          <w:rFonts w:ascii="Arial" w:eastAsia="Arial" w:hAnsi="Arial" w:cs="Arial"/>
          <w:sz w:val="22"/>
          <w:szCs w:val="22"/>
          <w:lang w:val="es-ES" w:eastAsia="es-ES" w:bidi="es-ES"/>
        </w:rPr>
        <w:tab/>
        <w:t>Sin perjuicio de lo indicado, vale la pena reiterar que el legislador y el ordenamiento jurídico, en general, en distintas ocasiones utiliza de forma indistinta los conceptos de contrato o convenio para referirse a la misma institución jurídica</w:t>
      </w:r>
      <w:r w:rsidRPr="00101763">
        <w:rPr>
          <w:rFonts w:ascii="Arial" w:eastAsia="Arial" w:hAnsi="Arial" w:cs="Arial"/>
          <w:sz w:val="22"/>
          <w:szCs w:val="22"/>
          <w:vertAlign w:val="superscript"/>
          <w:lang w:val="es-ES" w:eastAsia="es-ES" w:bidi="es-ES"/>
        </w:rPr>
        <w:footnoteReference w:id="20"/>
      </w:r>
      <w:r w:rsidRPr="00101763">
        <w:rPr>
          <w:rFonts w:ascii="Arial" w:eastAsia="Arial" w:hAnsi="Arial" w:cs="Arial"/>
          <w:sz w:val="22"/>
          <w:szCs w:val="22"/>
          <w:lang w:val="es-ES" w:eastAsia="es-ES" w:bidi="es-ES"/>
        </w:rPr>
        <w:t xml:space="preserve">. Incluso vale la pena tener en cuenta como la Corte Constitucional fundamenta la posibilidad de celebrar convenios interadministrativos de forma directa, con fundamento en la causal establecida en la Ley </w:t>
      </w:r>
      <w:r w:rsidRPr="00101763">
        <w:rPr>
          <w:rFonts w:ascii="Arial" w:eastAsia="Arial" w:hAnsi="Arial" w:cs="Arial"/>
          <w:sz w:val="22"/>
          <w:szCs w:val="22"/>
          <w:lang w:val="es-ES" w:eastAsia="es-ES" w:bidi="es-ES"/>
        </w:rPr>
        <w:lastRenderedPageBreak/>
        <w:t>1150 de 2007 respecto a los contratos interadministrativos</w:t>
      </w:r>
      <w:r w:rsidRPr="00101763">
        <w:rPr>
          <w:rFonts w:ascii="Arial" w:eastAsia="Arial" w:hAnsi="Arial" w:cs="Arial"/>
          <w:sz w:val="22"/>
          <w:szCs w:val="22"/>
          <w:vertAlign w:val="superscript"/>
          <w:lang w:val="es-ES" w:eastAsia="es-ES" w:bidi="es-ES"/>
        </w:rPr>
        <w:footnoteReference w:id="21"/>
      </w:r>
      <w:r w:rsidRPr="00101763">
        <w:rPr>
          <w:rFonts w:ascii="Arial" w:eastAsia="Arial" w:hAnsi="Arial" w:cs="Arial"/>
          <w:sz w:val="22"/>
          <w:szCs w:val="22"/>
          <w:lang w:val="es-ES" w:eastAsia="es-ES" w:bidi="es-ES"/>
        </w:rPr>
        <w:t>.</w:t>
      </w:r>
    </w:p>
    <w:p w14:paraId="44AE4466" w14:textId="52C3DEB2" w:rsidR="0011419E" w:rsidRDefault="00101763" w:rsidP="0011419E">
      <w:pPr>
        <w:widowControl w:val="0"/>
        <w:autoSpaceDE w:val="0"/>
        <w:autoSpaceDN w:val="0"/>
        <w:spacing w:after="160" w:line="276" w:lineRule="auto"/>
        <w:jc w:val="both"/>
        <w:rPr>
          <w:rFonts w:ascii="Arial" w:eastAsia="Arial" w:hAnsi="Arial" w:cs="Arial"/>
          <w:sz w:val="22"/>
          <w:szCs w:val="22"/>
          <w:lang w:val="es-ES" w:eastAsia="es-ES" w:bidi="es-ES"/>
        </w:rPr>
      </w:pPr>
      <w:r w:rsidRPr="00101763">
        <w:rPr>
          <w:rFonts w:ascii="Arial" w:eastAsia="Arial" w:hAnsi="Arial" w:cs="Arial"/>
          <w:sz w:val="22"/>
          <w:szCs w:val="22"/>
          <w:lang w:val="es-ES" w:eastAsia="es-ES" w:bidi="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w:t>
      </w:r>
    </w:p>
    <w:p w14:paraId="55349D99" w14:textId="05D25451" w:rsidR="00101763" w:rsidRPr="00101763" w:rsidRDefault="00101763" w:rsidP="0011419E">
      <w:pPr>
        <w:widowControl w:val="0"/>
        <w:autoSpaceDE w:val="0"/>
        <w:autoSpaceDN w:val="0"/>
        <w:spacing w:after="160" w:line="276" w:lineRule="auto"/>
        <w:jc w:val="both"/>
        <w:rPr>
          <w:rFonts w:ascii="Arial" w:eastAsia="Calibri" w:hAnsi="Arial" w:cs="Arial"/>
          <w:bCs/>
          <w:sz w:val="22"/>
          <w:szCs w:val="22"/>
          <w:lang w:eastAsia="es-ES" w:bidi="es-ES"/>
        </w:rPr>
      </w:pPr>
      <w:r w:rsidRPr="00101763">
        <w:rPr>
          <w:rFonts w:ascii="Arial" w:eastAsia="Arial" w:hAnsi="Arial" w:cs="Arial"/>
          <w:sz w:val="25"/>
          <w:szCs w:val="22"/>
          <w:lang w:val="es-ES" w:eastAsia="es-ES" w:bidi="es-ES"/>
        </w:rPr>
        <w:tab/>
      </w:r>
      <w:r w:rsidRPr="00101763">
        <w:rPr>
          <w:rFonts w:ascii="Arial" w:eastAsia="Arial" w:hAnsi="Arial" w:cs="Arial"/>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3"/>
    </w:p>
    <w:p w14:paraId="17501077" w14:textId="0EB4B811" w:rsidR="00101763" w:rsidRPr="00735654" w:rsidRDefault="00101763" w:rsidP="00D1678E">
      <w:pPr>
        <w:tabs>
          <w:tab w:val="left" w:pos="426"/>
        </w:tabs>
        <w:spacing w:after="160" w:line="276" w:lineRule="auto"/>
        <w:ind w:firstLine="709"/>
        <w:jc w:val="both"/>
        <w:rPr>
          <w:rFonts w:ascii="Arial" w:hAnsi="Arial" w:cs="Arial"/>
          <w:bCs/>
          <w:sz w:val="22"/>
          <w:szCs w:val="22"/>
          <w:lang w:val="es-MX" w:eastAsia="es-CO"/>
        </w:rPr>
      </w:pPr>
      <w:r w:rsidRPr="00101763">
        <w:rPr>
          <w:rFonts w:ascii="Arial" w:hAnsi="Arial" w:cs="Arial"/>
          <w:bCs/>
          <w:sz w:val="22"/>
          <w:szCs w:val="22"/>
          <w:lang w:eastAsia="es-CO"/>
        </w:rPr>
        <w:t xml:space="preserve">Se observa entonces que </w:t>
      </w:r>
      <w:r w:rsidRPr="00101763">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101763">
        <w:rPr>
          <w:rFonts w:ascii="Arial" w:hAnsi="Arial" w:cs="Arial"/>
          <w:bCs/>
          <w:i/>
          <w:iCs/>
          <w:sz w:val="22"/>
          <w:szCs w:val="22"/>
          <w:lang w:val="es-MX" w:eastAsia="es-CO"/>
        </w:rPr>
        <w:t>ibidem</w:t>
      </w:r>
      <w:r w:rsidRPr="00101763">
        <w:rPr>
          <w:rFonts w:ascii="Arial" w:hAnsi="Arial" w:cs="Arial"/>
          <w:bCs/>
          <w:sz w:val="22"/>
          <w:szCs w:val="22"/>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101763">
        <w:rPr>
          <w:rFonts w:ascii="Arial" w:eastAsiaTheme="minorHAnsi" w:hAnsi="Arial" w:cs="Arial"/>
          <w:bCs/>
          <w:sz w:val="22"/>
          <w:szCs w:val="22"/>
          <w:vertAlign w:val="superscript"/>
          <w:lang w:val="es-MX" w:eastAsia="es-CO"/>
        </w:rPr>
        <w:footnoteReference w:id="22"/>
      </w:r>
      <w:r w:rsidRPr="00101763">
        <w:rPr>
          <w:rFonts w:ascii="Arial" w:hAnsi="Arial" w:cs="Arial"/>
          <w:bCs/>
          <w:sz w:val="22"/>
          <w:szCs w:val="22"/>
          <w:lang w:val="es-MX" w:eastAsia="es-CO"/>
        </w:rPr>
        <w:t xml:space="preserve">. </w:t>
      </w:r>
    </w:p>
    <w:p w14:paraId="3A3CAC2A" w14:textId="3C4C8073" w:rsidR="00007E1C" w:rsidRPr="00C23A12" w:rsidRDefault="00994AA8" w:rsidP="00C23A12">
      <w:pPr>
        <w:tabs>
          <w:tab w:val="left" w:pos="426"/>
        </w:tabs>
        <w:spacing w:after="160" w:line="276" w:lineRule="auto"/>
        <w:jc w:val="both"/>
        <w:rPr>
          <w:rFonts w:ascii="Arial" w:eastAsia="Calibri" w:hAnsi="Arial" w:cs="Arial"/>
          <w:sz w:val="22"/>
          <w:szCs w:val="22"/>
          <w:lang w:eastAsia="en-US"/>
        </w:rPr>
      </w:pPr>
      <w:r>
        <w:rPr>
          <w:rFonts w:ascii="Arial" w:eastAsia="Calibri" w:hAnsi="Arial" w:cs="Arial"/>
          <w:sz w:val="22"/>
          <w:szCs w:val="22"/>
          <w:lang w:eastAsia="en-US"/>
        </w:rPr>
        <w:tab/>
        <w:t>De otra parte, es impo</w:t>
      </w:r>
      <w:r w:rsidR="00AF1C0C">
        <w:rPr>
          <w:rFonts w:ascii="Arial" w:eastAsia="Calibri" w:hAnsi="Arial" w:cs="Arial"/>
          <w:sz w:val="22"/>
          <w:szCs w:val="22"/>
          <w:lang w:eastAsia="en-US"/>
        </w:rPr>
        <w:t>rtante poner de presente que, e</w:t>
      </w:r>
      <w:r w:rsidR="00007E1C" w:rsidRPr="005641DC">
        <w:rPr>
          <w:rFonts w:ascii="Arial" w:eastAsia="Calibri" w:hAnsi="Arial" w:cs="Arial"/>
          <w:sz w:val="22"/>
          <w:szCs w:val="22"/>
          <w:lang w:eastAsia="en-US"/>
        </w:rPr>
        <w:t xml:space="preserve">l 12 de noviembre de 2021 el Congreso de la República promulgó la Ley 2159 de 2021 «Por la cual se decreta el </w:t>
      </w:r>
      <w:r w:rsidR="00007E1C" w:rsidRPr="005641DC">
        <w:rPr>
          <w:rFonts w:ascii="Arial" w:eastAsia="Calibri" w:hAnsi="Arial" w:cs="Arial"/>
          <w:sz w:val="22"/>
          <w:szCs w:val="22"/>
          <w:lang w:eastAsia="en-US"/>
        </w:rPr>
        <w:lastRenderedPageBreak/>
        <w:t>presupuesto de rentas y ley de apropiaciones para la vigencia fiscal del 1º de enero al 31 de diciembre de 2022». El artículo 124 de dicho cuerpo normativo modificó parcialmente el parágrafo del artículo 38 de la Ley 996 de 2005, en los siguientes términos:</w:t>
      </w:r>
    </w:p>
    <w:p w14:paraId="44A5A5D1" w14:textId="77777777" w:rsidR="00007E1C" w:rsidRPr="005641DC" w:rsidRDefault="00007E1C" w:rsidP="00C23A12">
      <w:pPr>
        <w:spacing w:after="160"/>
        <w:ind w:left="709" w:right="709"/>
        <w:jc w:val="both"/>
        <w:rPr>
          <w:rFonts w:ascii="Arial" w:eastAsia="Calibri" w:hAnsi="Arial" w:cs="Arial"/>
          <w:sz w:val="21"/>
          <w:szCs w:val="21"/>
          <w:lang w:eastAsia="en-US"/>
        </w:rPr>
      </w:pPr>
      <w:r w:rsidRPr="005641DC">
        <w:rPr>
          <w:rFonts w:ascii="Arial" w:eastAsia="Calibri" w:hAnsi="Arial" w:cs="Arial"/>
          <w:sz w:val="21"/>
          <w:szCs w:val="21"/>
          <w:lang w:eastAsia="en-US"/>
        </w:rPr>
        <w:t xml:space="preserve">Artículo 124. Con el propósito de promover la reactivación económica y la generación de empleo en las regiones, a partir de la publicación de la presente ley y durante la vigencia fiscal 2022, </w:t>
      </w:r>
      <w:r w:rsidRPr="005641DC">
        <w:rPr>
          <w:rFonts w:ascii="Arial" w:eastAsia="Calibri" w:hAnsi="Arial" w:cs="Arial"/>
          <w:i/>
          <w:sz w:val="21"/>
          <w:szCs w:val="21"/>
          <w:lang w:eastAsia="en-US"/>
        </w:rPr>
        <w:t>la Nación podrá celebrar convenios interadministrativos con las entidades territoriales para ejecutar programas y proyectos correspondientes al Presupuesto General de la Nación.</w:t>
      </w:r>
    </w:p>
    <w:p w14:paraId="21D7259C" w14:textId="77777777" w:rsidR="00007E1C" w:rsidRPr="005641DC" w:rsidRDefault="00007E1C" w:rsidP="00C23A12">
      <w:pPr>
        <w:spacing w:after="160"/>
        <w:ind w:left="709" w:right="709"/>
        <w:jc w:val="both"/>
        <w:rPr>
          <w:rFonts w:ascii="Arial" w:eastAsia="Calibri" w:hAnsi="Arial" w:cs="Arial"/>
          <w:sz w:val="21"/>
          <w:szCs w:val="21"/>
          <w:lang w:eastAsia="en-US"/>
        </w:rPr>
      </w:pPr>
      <w:r w:rsidRPr="005641DC">
        <w:rPr>
          <w:rFonts w:ascii="Arial" w:eastAsia="Calibri" w:hAnsi="Arial" w:cs="Arial"/>
          <w:sz w:val="21"/>
          <w:szCs w:val="21"/>
          <w:lang w:eastAsia="en-US"/>
        </w:rPr>
        <w:t>La presente disposición modifica únicamente en la parte pertinente el inciso primero del parágrafo del artículo 38 de la Ley 996 de 2005.</w:t>
      </w:r>
    </w:p>
    <w:p w14:paraId="56A7A5DD" w14:textId="5ABB460C" w:rsidR="00007E1C" w:rsidRPr="00C23A12" w:rsidRDefault="00007E1C" w:rsidP="00C23A12">
      <w:pPr>
        <w:spacing w:after="160"/>
        <w:ind w:left="709" w:right="709"/>
        <w:jc w:val="both"/>
        <w:rPr>
          <w:rFonts w:ascii="Arial" w:eastAsia="Calibri" w:hAnsi="Arial" w:cs="Arial"/>
          <w:sz w:val="21"/>
          <w:szCs w:val="21"/>
          <w:lang w:eastAsia="en-US"/>
        </w:rPr>
      </w:pPr>
      <w:r w:rsidRPr="005641DC">
        <w:rPr>
          <w:rFonts w:ascii="Arial" w:eastAsia="Calibri" w:hAnsi="Arial" w:cs="Arial"/>
          <w:sz w:val="21"/>
          <w:szCs w:val="21"/>
          <w:lang w:eastAsia="en-U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r w:rsidRPr="005641DC">
        <w:rPr>
          <w:rFonts w:ascii="Arial" w:eastAsia="Calibri" w:hAnsi="Arial" w:cs="Arial"/>
          <w:sz w:val="22"/>
          <w:szCs w:val="22"/>
          <w:lang w:eastAsia="en-US"/>
        </w:rPr>
        <w:t>»</w:t>
      </w:r>
      <w:r w:rsidRPr="005641DC">
        <w:rPr>
          <w:rFonts w:ascii="Arial" w:eastAsia="Calibri" w:hAnsi="Arial" w:cs="Arial"/>
          <w:sz w:val="21"/>
          <w:szCs w:val="21"/>
          <w:lang w:eastAsia="en-US"/>
        </w:rPr>
        <w:t xml:space="preserve"> (énfasis fuera de texto). </w:t>
      </w:r>
    </w:p>
    <w:p w14:paraId="7892E35A" w14:textId="5DE87F36" w:rsidR="00007E1C" w:rsidRPr="005641DC" w:rsidRDefault="00007E1C" w:rsidP="00C23A12">
      <w:pPr>
        <w:spacing w:after="160" w:line="276" w:lineRule="auto"/>
        <w:ind w:firstLine="709"/>
        <w:jc w:val="both"/>
        <w:rPr>
          <w:rFonts w:ascii="Arial" w:eastAsia="Calibri" w:hAnsi="Arial" w:cs="Arial"/>
          <w:sz w:val="22"/>
          <w:szCs w:val="22"/>
          <w:lang w:eastAsia="en-US"/>
        </w:rPr>
      </w:pPr>
      <w:r w:rsidRPr="005641DC">
        <w:rPr>
          <w:rFonts w:ascii="Arial" w:eastAsia="Calibri" w:hAnsi="Arial" w:cs="Arial"/>
          <w:sz w:val="22"/>
          <w:szCs w:val="22"/>
          <w:lang w:eastAsia="en-US"/>
        </w:rPr>
        <w:t>Teniendo en cuenta el contenido del artículo 124 de la Ley 2159 de 2021,</w:t>
      </w:r>
      <w:r w:rsidR="008B6B9D">
        <w:rPr>
          <w:rFonts w:ascii="Arial" w:eastAsia="Calibri" w:hAnsi="Arial" w:cs="Arial"/>
          <w:sz w:val="22"/>
          <w:szCs w:val="22"/>
          <w:lang w:eastAsia="en-US"/>
        </w:rPr>
        <w:t xml:space="preserve"> </w:t>
      </w:r>
      <w:r w:rsidRPr="005641DC">
        <w:rPr>
          <w:rFonts w:ascii="Arial" w:eastAsia="Calibri" w:hAnsi="Arial" w:cs="Arial"/>
          <w:sz w:val="22"/>
          <w:szCs w:val="22"/>
          <w:lang w:eastAsia="en-US"/>
        </w:rPr>
        <w:t>se derivan las siguientes reglas para las entidades estatales:</w:t>
      </w:r>
    </w:p>
    <w:p w14:paraId="3628EC42" w14:textId="328BFE9F" w:rsidR="00007E1C" w:rsidRPr="005641DC" w:rsidRDefault="00AF1C0C" w:rsidP="00007E1C">
      <w:pPr>
        <w:spacing w:after="120" w:line="276" w:lineRule="auto"/>
        <w:ind w:firstLine="709"/>
        <w:jc w:val="both"/>
        <w:rPr>
          <w:rFonts w:ascii="Arial" w:eastAsia="Calibri" w:hAnsi="Arial" w:cs="Arial"/>
          <w:sz w:val="22"/>
          <w:szCs w:val="22"/>
          <w:lang w:eastAsia="en-US"/>
        </w:rPr>
      </w:pPr>
      <w:r w:rsidRPr="000B440A">
        <w:rPr>
          <w:rFonts w:ascii="Arial" w:eastAsia="Calibri" w:hAnsi="Arial" w:cs="Arial"/>
          <w:bCs/>
          <w:i/>
          <w:iCs/>
          <w:sz w:val="22"/>
          <w:szCs w:val="22"/>
          <w:lang w:eastAsia="en-US"/>
        </w:rPr>
        <w:t>i)</w:t>
      </w:r>
      <w:r w:rsidR="00007E1C" w:rsidRPr="005641DC">
        <w:rPr>
          <w:rFonts w:ascii="Arial" w:eastAsia="Calibri" w:hAnsi="Arial" w:cs="Arial"/>
          <w:sz w:val="22"/>
          <w:szCs w:val="22"/>
          <w:lang w:eastAsia="en-US"/>
        </w:rPr>
        <w:t xml:space="preserve"> El alcance del artículo 124 de la Ley 2159 de 2021 tiene como cometido modificar de manera parcial y transitoria el primer inciso del artículo 38 de la Ley 996 de 2005. En efecto, como se observa del inciso segundo del artículo citado, esta disposición «modifica únicamente en la parte pertinente el inciso primero del parágrafo del artículo 38 de la Ley 996 de 2005»</w:t>
      </w:r>
      <w:r>
        <w:rPr>
          <w:rFonts w:ascii="Arial" w:eastAsia="Calibri" w:hAnsi="Arial" w:cs="Arial"/>
          <w:sz w:val="22"/>
          <w:szCs w:val="22"/>
          <w:lang w:eastAsia="en-US"/>
        </w:rPr>
        <w:t>;</w:t>
      </w:r>
      <w:r w:rsidR="00007E1C" w:rsidRPr="005641DC">
        <w:rPr>
          <w:rFonts w:ascii="Arial" w:eastAsia="Calibri" w:hAnsi="Arial" w:cs="Arial"/>
          <w:sz w:val="22"/>
          <w:szCs w:val="22"/>
          <w:lang w:eastAsia="en-US"/>
        </w:rPr>
        <w:t xml:space="preserve"> </w:t>
      </w:r>
    </w:p>
    <w:p w14:paraId="5AFC5D7E" w14:textId="744D7B5C" w:rsidR="00007E1C" w:rsidRPr="005641DC" w:rsidRDefault="00AF1C0C" w:rsidP="00007E1C">
      <w:pPr>
        <w:spacing w:after="120" w:line="276" w:lineRule="auto"/>
        <w:ind w:firstLine="709"/>
        <w:jc w:val="both"/>
        <w:rPr>
          <w:rFonts w:ascii="Arial" w:eastAsia="Calibri" w:hAnsi="Arial" w:cs="Arial"/>
          <w:sz w:val="22"/>
          <w:szCs w:val="22"/>
          <w:lang w:eastAsia="en-US"/>
        </w:rPr>
      </w:pPr>
      <w:r w:rsidRPr="000B440A">
        <w:rPr>
          <w:rFonts w:ascii="Arial" w:eastAsia="Calibri" w:hAnsi="Arial" w:cs="Arial"/>
          <w:bCs/>
          <w:i/>
          <w:iCs/>
          <w:sz w:val="22"/>
          <w:szCs w:val="22"/>
          <w:lang w:eastAsia="en-US"/>
        </w:rPr>
        <w:t>ii)</w:t>
      </w:r>
      <w:r w:rsidR="00007E1C" w:rsidRPr="005641DC">
        <w:rPr>
          <w:rFonts w:ascii="Arial" w:eastAsia="Calibri" w:hAnsi="Arial" w:cs="Arial"/>
          <w:sz w:val="22"/>
          <w:szCs w:val="22"/>
          <w:lang w:eastAsia="en-US"/>
        </w:rPr>
        <w:t xml:space="preserve"> Durante los cuatro (4) meses previos a la elección presidencial del año 2022 solamente podrán celebrarse convenios o contratos interadministrativos cuando el proceso de selección aplicable sea una convocatoria pública y se presente la circunstancia a la que se refiere el artículo 124 de la Ley 2159 de 2021, es decir, para la ejecución de proyectos y programas correspondientes al Presupuesto General de la Nación. Por lo demás, esta norma no modifica el artículo 33 de la Ley de Garantías Electorales, en consideración a lo cual las restricciones a la contratación directa previstas en este artículo permanecen incólumes, esto es, lo que no implique un proceso plural y competitivo de oferentes</w:t>
      </w:r>
      <w:r w:rsidR="00C75AD2">
        <w:rPr>
          <w:rFonts w:ascii="Arial" w:eastAsia="Calibri" w:hAnsi="Arial" w:cs="Arial"/>
          <w:sz w:val="22"/>
          <w:szCs w:val="22"/>
          <w:lang w:eastAsia="en-US"/>
        </w:rPr>
        <w:t>;</w:t>
      </w:r>
      <w:r w:rsidR="00007E1C" w:rsidRPr="005641DC">
        <w:rPr>
          <w:rFonts w:ascii="Arial" w:eastAsia="Calibri" w:hAnsi="Arial" w:cs="Arial"/>
          <w:sz w:val="22"/>
          <w:szCs w:val="22"/>
          <w:lang w:eastAsia="en-US"/>
        </w:rPr>
        <w:t xml:space="preserve"> </w:t>
      </w:r>
    </w:p>
    <w:p w14:paraId="1E9B897C" w14:textId="32F39692" w:rsidR="00007E1C" w:rsidRPr="005641DC" w:rsidRDefault="00C75AD2" w:rsidP="00007E1C">
      <w:pPr>
        <w:spacing w:after="120" w:line="276" w:lineRule="auto"/>
        <w:ind w:firstLine="709"/>
        <w:jc w:val="both"/>
        <w:rPr>
          <w:rFonts w:ascii="Arial" w:eastAsia="Calibri" w:hAnsi="Arial" w:cs="Arial"/>
          <w:sz w:val="22"/>
          <w:szCs w:val="22"/>
          <w:lang w:eastAsia="en-US"/>
        </w:rPr>
      </w:pPr>
      <w:r w:rsidRPr="000B440A">
        <w:rPr>
          <w:rFonts w:ascii="Arial" w:eastAsia="Calibri" w:hAnsi="Arial" w:cs="Arial"/>
          <w:bCs/>
          <w:i/>
          <w:iCs/>
          <w:sz w:val="22"/>
          <w:szCs w:val="22"/>
          <w:lang w:eastAsia="en-US"/>
        </w:rPr>
        <w:t>iii)</w:t>
      </w:r>
      <w:r w:rsidR="00007E1C" w:rsidRPr="005641DC">
        <w:rPr>
          <w:rFonts w:ascii="Arial" w:eastAsia="Calibri" w:hAnsi="Arial" w:cs="Arial"/>
          <w:sz w:val="22"/>
          <w:szCs w:val="22"/>
          <w:lang w:eastAsia="en-US"/>
        </w:rPr>
        <w:t xml:space="preserve"> La aplicación del artículo 124 de la Ley 2159 de 2021 se restringe a un criterio orgánico, pues se requiere que uno de los extremos contractuales sea la Nación y el otro una entidad territorial, para que la celebración del convenio o contrato administrativo sea procedente. En estos términos, no es posible la celebración de convenios o contratos interadministrativos entre entidades descentralizadas del orden territorial, pues la posibilidad que otorga el artículo 124 de la Ley 2159 de 2021 se somete a la condición que una de las partes sea la Nación, con el fin de ejecutar proyectos o programas que correspondan al Presupuesto General de la Nación. Por ejemplo, durante los cuatro (4) meses anteriores a las elecciones, dos municipios o un municipio y un departamento o </w:t>
      </w:r>
      <w:r w:rsidR="00007E1C" w:rsidRPr="005641DC">
        <w:rPr>
          <w:rFonts w:ascii="Arial" w:eastAsia="Calibri" w:hAnsi="Arial" w:cs="Arial"/>
          <w:sz w:val="22"/>
          <w:szCs w:val="22"/>
          <w:lang w:eastAsia="en-US"/>
        </w:rPr>
        <w:lastRenderedPageBreak/>
        <w:t>entidad descentralizada territorial, quedan cubiertos por la prohibición original del parágrafo del artículo 38 de la Ley de Garantías Electorales</w:t>
      </w:r>
      <w:r>
        <w:rPr>
          <w:rFonts w:ascii="Arial" w:eastAsia="Calibri" w:hAnsi="Arial" w:cs="Arial"/>
          <w:sz w:val="22"/>
          <w:szCs w:val="22"/>
          <w:lang w:eastAsia="en-US"/>
        </w:rPr>
        <w:t>;</w:t>
      </w:r>
      <w:r w:rsidR="00007E1C" w:rsidRPr="005641DC">
        <w:rPr>
          <w:rFonts w:ascii="Arial" w:eastAsia="Calibri" w:hAnsi="Arial" w:cs="Arial"/>
          <w:sz w:val="22"/>
          <w:szCs w:val="22"/>
          <w:lang w:eastAsia="en-US"/>
        </w:rPr>
        <w:t xml:space="preserve">  </w:t>
      </w:r>
    </w:p>
    <w:p w14:paraId="4FF6244D" w14:textId="5B423121" w:rsidR="00007E1C" w:rsidRPr="000B440A" w:rsidRDefault="00C75AD2" w:rsidP="00007E1C">
      <w:pPr>
        <w:spacing w:after="120" w:line="276" w:lineRule="auto"/>
        <w:ind w:firstLine="709"/>
        <w:jc w:val="both"/>
        <w:rPr>
          <w:rFonts w:ascii="Arial" w:eastAsia="Calibri" w:hAnsi="Arial" w:cs="Arial"/>
          <w:i/>
          <w:iCs/>
          <w:sz w:val="22"/>
          <w:szCs w:val="22"/>
          <w:lang w:eastAsia="en-US"/>
        </w:rPr>
      </w:pPr>
      <w:r>
        <w:rPr>
          <w:rFonts w:ascii="Arial" w:eastAsia="Calibri" w:hAnsi="Arial" w:cs="Arial"/>
          <w:bCs/>
          <w:sz w:val="22"/>
          <w:szCs w:val="22"/>
          <w:lang w:eastAsia="en-US"/>
        </w:rPr>
        <w:t>iv)</w:t>
      </w:r>
      <w:r>
        <w:rPr>
          <w:rFonts w:ascii="Arial" w:eastAsia="Calibri" w:hAnsi="Arial" w:cs="Arial"/>
          <w:sz w:val="22"/>
          <w:szCs w:val="22"/>
          <w:lang w:eastAsia="en-US"/>
        </w:rPr>
        <w:t xml:space="preserve"> </w:t>
      </w:r>
      <w:r w:rsidR="00007E1C" w:rsidRPr="005641DC">
        <w:rPr>
          <w:rFonts w:ascii="Arial" w:eastAsia="Calibri" w:hAnsi="Arial" w:cs="Arial"/>
          <w:sz w:val="22"/>
          <w:szCs w:val="22"/>
          <w:lang w:eastAsia="en-US"/>
        </w:rPr>
        <w:t xml:space="preserve">El objeto contractual de los convenios o contratos interadministrativos debe limitarse a la ejecución de programas y proyectos correspondientes al Presupuesto General de la Nación. Es decir, se establece un criterio material, del cual se deriva que, durante los cuatro meses previos a las elecciones, queda prohibido celebrar convenios interadministrativos o contratos interadministrativos que no se relacionen con programas y proyectos que ejecuten recursos del Presupuesto General de la Nación. </w:t>
      </w:r>
    </w:p>
    <w:p w14:paraId="30DB780A" w14:textId="2C85852D" w:rsidR="00007E1C" w:rsidRPr="005641DC" w:rsidRDefault="00270F2B" w:rsidP="000B440A">
      <w:pPr>
        <w:spacing w:after="120" w:line="276" w:lineRule="auto"/>
        <w:ind w:firstLine="708"/>
        <w:jc w:val="both"/>
        <w:rPr>
          <w:rFonts w:ascii="Arial" w:eastAsia="Calibri" w:hAnsi="Arial" w:cs="Arial"/>
          <w:sz w:val="22"/>
          <w:szCs w:val="22"/>
          <w:lang w:eastAsia="en-US"/>
        </w:rPr>
      </w:pPr>
      <w:r w:rsidRPr="000B440A">
        <w:rPr>
          <w:rFonts w:ascii="Arial" w:eastAsia="Calibri" w:hAnsi="Arial" w:cs="Arial"/>
          <w:bCs/>
          <w:i/>
          <w:iCs/>
          <w:sz w:val="22"/>
          <w:szCs w:val="22"/>
          <w:lang w:eastAsia="en-US"/>
        </w:rPr>
        <w:t>v</w:t>
      </w:r>
      <w:r>
        <w:rPr>
          <w:rFonts w:ascii="Arial" w:eastAsia="Calibri" w:hAnsi="Arial" w:cs="Arial"/>
          <w:bCs/>
          <w:i/>
          <w:iCs/>
          <w:sz w:val="22"/>
          <w:szCs w:val="22"/>
          <w:lang w:eastAsia="en-US"/>
        </w:rPr>
        <w:t>)</w:t>
      </w:r>
      <w:r w:rsidR="00007E1C" w:rsidRPr="005641DC">
        <w:rPr>
          <w:rFonts w:ascii="Arial" w:eastAsia="Calibri" w:hAnsi="Arial" w:cs="Arial"/>
          <w:bCs/>
          <w:sz w:val="22"/>
          <w:szCs w:val="22"/>
          <w:lang w:eastAsia="en-US"/>
        </w:rPr>
        <w:t>.</w:t>
      </w:r>
      <w:r w:rsidR="00007E1C" w:rsidRPr="005641DC">
        <w:rPr>
          <w:rFonts w:ascii="Arial" w:eastAsia="Calibri" w:hAnsi="Arial" w:cs="Arial"/>
          <w:sz w:val="22"/>
          <w:szCs w:val="22"/>
          <w:lang w:eastAsia="en-US"/>
        </w:rPr>
        <w:t xml:space="preserve"> En lo relacionado con la aplicación transitoria, el primer inciso del artículo en comento establece que la modificación de Ley de Garantías rige «[…] a partir de la publicación de la presente ley y durante la vigencia fiscal 2022». Esto implica que una vez se acabe la vigencia fiscal 2022, el artículo 124 de la Ley 2159 de 2021 dejará de producir efectos jurídicos</w:t>
      </w:r>
      <w:r w:rsidR="00AE6B4B">
        <w:rPr>
          <w:rFonts w:ascii="Arial" w:eastAsia="Calibri" w:hAnsi="Arial" w:cs="Arial"/>
          <w:sz w:val="22"/>
          <w:szCs w:val="22"/>
          <w:lang w:eastAsia="en-US"/>
        </w:rPr>
        <w:t>; y</w:t>
      </w:r>
    </w:p>
    <w:p w14:paraId="6E98D7D8" w14:textId="19F168D5" w:rsidR="00007E1C" w:rsidRPr="005641DC" w:rsidRDefault="00AE6B4B" w:rsidP="00007E1C">
      <w:pPr>
        <w:spacing w:after="120" w:line="276" w:lineRule="auto"/>
        <w:ind w:firstLine="709"/>
        <w:jc w:val="both"/>
        <w:rPr>
          <w:rFonts w:ascii="Arial" w:eastAsia="Calibri" w:hAnsi="Arial" w:cs="Arial"/>
          <w:sz w:val="22"/>
          <w:szCs w:val="22"/>
          <w:lang w:eastAsia="en-US"/>
        </w:rPr>
      </w:pPr>
      <w:r w:rsidRPr="000B440A">
        <w:rPr>
          <w:rFonts w:ascii="Arial" w:eastAsia="Calibri" w:hAnsi="Arial" w:cs="Arial"/>
          <w:bCs/>
          <w:i/>
          <w:iCs/>
          <w:sz w:val="22"/>
          <w:szCs w:val="22"/>
          <w:lang w:eastAsia="en-US"/>
        </w:rPr>
        <w:t>vi</w:t>
      </w:r>
      <w:r>
        <w:rPr>
          <w:rFonts w:ascii="Arial" w:eastAsia="Calibri" w:hAnsi="Arial" w:cs="Arial"/>
          <w:bCs/>
          <w:sz w:val="22"/>
          <w:szCs w:val="22"/>
          <w:lang w:eastAsia="en-US"/>
        </w:rPr>
        <w:t>)</w:t>
      </w:r>
      <w:r w:rsidR="00007E1C" w:rsidRPr="005641DC">
        <w:rPr>
          <w:rFonts w:ascii="Arial" w:eastAsia="Calibri" w:hAnsi="Arial" w:cs="Arial"/>
          <w:b/>
          <w:sz w:val="22"/>
          <w:szCs w:val="22"/>
          <w:lang w:eastAsia="en-US"/>
        </w:rPr>
        <w:t xml:space="preserve"> </w:t>
      </w:r>
      <w:r w:rsidR="00007E1C" w:rsidRPr="005641DC">
        <w:rPr>
          <w:rFonts w:ascii="Arial" w:eastAsia="Calibri" w:hAnsi="Arial" w:cs="Arial"/>
          <w:sz w:val="22"/>
          <w:szCs w:val="22"/>
          <w:lang w:eastAsia="en-US"/>
        </w:rPr>
        <w:t xml:space="preserve">Se establece que los convenios o contratos interadministrativos </w:t>
      </w:r>
      <w:r w:rsidR="00007E1C" w:rsidRPr="005641DC">
        <w:rPr>
          <w:rFonts w:ascii="Arial" w:eastAsia="Calibri" w:hAnsi="Arial" w:cs="Arial"/>
          <w:sz w:val="21"/>
          <w:szCs w:val="21"/>
          <w:lang w:eastAsia="en-US"/>
        </w:rPr>
        <w:t>que se suscriban bajo el amparo de la presente disposición serán objeto de control especial por parte de la Contraloría General de la República. En tal sentido, el Contralor General de la República determinará, en el marco de sus competencias constitucionales y legales, la forma en que se ejercerá este control especial.</w:t>
      </w:r>
    </w:p>
    <w:p w14:paraId="1E10E97E" w14:textId="0AD294FD" w:rsidR="006D04CD" w:rsidRDefault="00007E1C" w:rsidP="002F5E54">
      <w:pPr>
        <w:spacing w:line="276" w:lineRule="auto"/>
        <w:ind w:firstLine="709"/>
        <w:jc w:val="both"/>
        <w:rPr>
          <w:rFonts w:ascii="Arial" w:eastAsia="Calibri" w:hAnsi="Arial" w:cs="Arial"/>
          <w:sz w:val="22"/>
          <w:szCs w:val="22"/>
          <w:lang w:eastAsia="en-US"/>
        </w:rPr>
      </w:pPr>
      <w:r w:rsidRPr="005641DC">
        <w:rPr>
          <w:rFonts w:ascii="Arial" w:eastAsia="Calibri" w:hAnsi="Arial" w:cs="Arial"/>
          <w:sz w:val="22"/>
          <w:szCs w:val="22"/>
          <w:lang w:eastAsia="en-US"/>
        </w:rPr>
        <w:t>De acuerdo con las anteriores consideraciones, la promulgación y expedición de la Ley 2159 de 2021 no deroga la Ley 996 de 2005, sino que modifica d</w:t>
      </w:r>
      <w:r w:rsidRPr="005641DC">
        <w:rPr>
          <w:rFonts w:ascii="Arial" w:eastAsia="Calibri" w:hAnsi="Arial" w:cs="Arial"/>
          <w:i/>
          <w:iCs/>
          <w:sz w:val="22"/>
          <w:szCs w:val="22"/>
          <w:lang w:eastAsia="en-US"/>
        </w:rPr>
        <w:t>e manera transitoria y parcial</w:t>
      </w:r>
      <w:r w:rsidRPr="005641DC">
        <w:rPr>
          <w:rFonts w:ascii="Arial" w:eastAsia="Calibri" w:hAnsi="Arial" w:cs="Arial"/>
          <w:sz w:val="22"/>
          <w:szCs w:val="22"/>
          <w:lang w:eastAsia="en-US"/>
        </w:rPr>
        <w:t xml:space="preserve"> el inciso primero del parágrafo del artículo 38. Por tanto, esta modificación solo afecta en forma tangencial la aplicación del numeral 15.1. de la Circular Externa Única de Colombia Compra Eficiente, relacionado con la restricción para celebrar convenios y/o contratos interadministrativos durante el año fiscal 2022.</w:t>
      </w:r>
    </w:p>
    <w:p w14:paraId="6A5978A9" w14:textId="77777777" w:rsidR="00007E1C" w:rsidRPr="005641DC" w:rsidRDefault="00007E1C" w:rsidP="00007E1C">
      <w:pPr>
        <w:spacing w:line="276" w:lineRule="auto"/>
        <w:jc w:val="both"/>
        <w:rPr>
          <w:rFonts w:ascii="Arial" w:eastAsia="Calibri" w:hAnsi="Arial" w:cs="Arial"/>
          <w:sz w:val="22"/>
          <w:szCs w:val="22"/>
          <w:lang w:eastAsia="en-US"/>
        </w:rPr>
      </w:pPr>
    </w:p>
    <w:p w14:paraId="00E67626" w14:textId="528A1540" w:rsidR="00646880" w:rsidRPr="005641DC" w:rsidRDefault="00B523D3" w:rsidP="006D04CD">
      <w:pPr>
        <w:spacing w:line="276" w:lineRule="auto"/>
        <w:jc w:val="both"/>
        <w:rPr>
          <w:rFonts w:ascii="Arial" w:hAnsi="Arial" w:cs="Arial"/>
          <w:b/>
          <w:color w:val="000000" w:themeColor="text1"/>
          <w:sz w:val="22"/>
        </w:rPr>
      </w:pPr>
      <w:r w:rsidRPr="005641DC">
        <w:rPr>
          <w:rFonts w:ascii="Arial" w:hAnsi="Arial" w:cs="Arial"/>
          <w:b/>
          <w:color w:val="000000" w:themeColor="text1"/>
          <w:sz w:val="22"/>
        </w:rPr>
        <w:t>2.</w:t>
      </w:r>
      <w:r w:rsidR="00A220B1">
        <w:rPr>
          <w:rFonts w:ascii="Arial" w:hAnsi="Arial" w:cs="Arial"/>
          <w:b/>
          <w:color w:val="000000" w:themeColor="text1"/>
          <w:sz w:val="22"/>
        </w:rPr>
        <w:t>1</w:t>
      </w:r>
      <w:r w:rsidR="00646880" w:rsidRPr="005641DC">
        <w:rPr>
          <w:rFonts w:ascii="Arial" w:hAnsi="Arial" w:cs="Arial"/>
          <w:b/>
          <w:color w:val="000000" w:themeColor="text1"/>
          <w:sz w:val="22"/>
        </w:rPr>
        <w:t>.</w:t>
      </w:r>
      <w:r w:rsidR="00A220B1">
        <w:rPr>
          <w:rFonts w:ascii="Arial" w:hAnsi="Arial" w:cs="Arial"/>
          <w:b/>
          <w:color w:val="000000" w:themeColor="text1"/>
          <w:sz w:val="22"/>
        </w:rPr>
        <w:t>2</w:t>
      </w:r>
      <w:r w:rsidR="00646880" w:rsidRPr="005641DC">
        <w:rPr>
          <w:rFonts w:ascii="Arial" w:hAnsi="Arial" w:cs="Arial"/>
          <w:b/>
          <w:color w:val="000000" w:themeColor="text1"/>
          <w:sz w:val="22"/>
        </w:rPr>
        <w:t xml:space="preserve"> Restricciones para la suscripción de contratos</w:t>
      </w:r>
      <w:r w:rsidR="00F00D3C" w:rsidRPr="005641DC">
        <w:rPr>
          <w:rFonts w:ascii="Arial" w:hAnsi="Arial" w:cs="Arial"/>
          <w:b/>
          <w:color w:val="000000" w:themeColor="text1"/>
          <w:sz w:val="22"/>
        </w:rPr>
        <w:t xml:space="preserve"> de forma directa por parte de </w:t>
      </w:r>
      <w:r w:rsidR="00646880" w:rsidRPr="005641DC">
        <w:rPr>
          <w:rFonts w:ascii="Arial" w:hAnsi="Arial" w:cs="Arial"/>
          <w:b/>
          <w:color w:val="000000" w:themeColor="text1"/>
          <w:sz w:val="22"/>
        </w:rPr>
        <w:t>todos los entes del Estado –artículo 33 de la Ley 996 de 2005–</w:t>
      </w:r>
    </w:p>
    <w:p w14:paraId="244F3B31" w14:textId="77777777" w:rsidR="00646880" w:rsidRPr="005641DC" w:rsidRDefault="00646880" w:rsidP="00646880">
      <w:pPr>
        <w:spacing w:line="276" w:lineRule="auto"/>
        <w:jc w:val="both"/>
        <w:rPr>
          <w:rFonts w:ascii="Arial" w:hAnsi="Arial" w:cs="Arial"/>
          <w:b/>
          <w:color w:val="000000" w:themeColor="text1"/>
          <w:sz w:val="22"/>
        </w:rPr>
      </w:pPr>
    </w:p>
    <w:p w14:paraId="0E9E80CD" w14:textId="48CBCC1E" w:rsidR="00646880" w:rsidRPr="005641DC" w:rsidRDefault="00646880" w:rsidP="00646880">
      <w:pPr>
        <w:spacing w:line="276" w:lineRule="auto"/>
        <w:jc w:val="both"/>
        <w:rPr>
          <w:rFonts w:ascii="Arial" w:hAnsi="Arial" w:cs="Arial"/>
          <w:bCs/>
          <w:sz w:val="22"/>
          <w:szCs w:val="22"/>
          <w:lang w:val="es-MX" w:eastAsia="es-CO"/>
        </w:rPr>
      </w:pPr>
      <w:r w:rsidRPr="005641DC">
        <w:rPr>
          <w:rFonts w:ascii="Arial" w:hAnsi="Arial" w:cs="Arial"/>
          <w:bCs/>
          <w:sz w:val="22"/>
          <w:szCs w:val="22"/>
          <w:lang w:val="es-MX" w:eastAsia="x-none"/>
        </w:rPr>
        <w:t xml:space="preserve">El ámbito material de la prohibición contenida </w:t>
      </w:r>
      <w:bookmarkStart w:id="14" w:name="_Hlk75628761"/>
      <w:r w:rsidRPr="005641DC">
        <w:rPr>
          <w:rFonts w:ascii="Arial" w:hAnsi="Arial" w:cs="Arial"/>
          <w:bCs/>
          <w:sz w:val="22"/>
          <w:szCs w:val="22"/>
          <w:lang w:val="es-MX" w:eastAsia="x-none"/>
        </w:rPr>
        <w:t xml:space="preserve">en el artículo 33 de la ley 996 de 2005 </w:t>
      </w:r>
      <w:bookmarkEnd w:id="14"/>
      <w:r w:rsidRPr="005641DC">
        <w:rPr>
          <w:rFonts w:ascii="Arial" w:hAnsi="Arial" w:cs="Arial"/>
          <w:bCs/>
          <w:sz w:val="22"/>
          <w:szCs w:val="22"/>
          <w:lang w:val="es-MX" w:eastAsia="x-none"/>
        </w:rPr>
        <w:t xml:space="preserve">está delimitado por la expresión </w:t>
      </w:r>
      <w:r w:rsidRPr="005641DC">
        <w:rPr>
          <w:rFonts w:ascii="Arial" w:eastAsia="Calibri" w:hAnsi="Arial" w:cs="Arial"/>
          <w:bCs/>
          <w:sz w:val="20"/>
          <w:szCs w:val="20"/>
          <w:lang w:val="es-MX" w:eastAsia="en-US"/>
        </w:rPr>
        <w:t>«</w:t>
      </w:r>
      <w:r w:rsidRPr="005641DC">
        <w:rPr>
          <w:rFonts w:ascii="Arial" w:hAnsi="Arial" w:cs="Arial"/>
          <w:bCs/>
          <w:sz w:val="22"/>
          <w:szCs w:val="22"/>
          <w:lang w:val="es-MX" w:eastAsia="x-none"/>
        </w:rPr>
        <w:t>queda prohibida la contratación directa</w:t>
      </w:r>
      <w:r w:rsidRPr="005641DC">
        <w:rPr>
          <w:rFonts w:ascii="Arial" w:eastAsia="Calibri" w:hAnsi="Arial" w:cs="Arial"/>
          <w:sz w:val="20"/>
          <w:szCs w:val="20"/>
          <w:lang w:val="es-MX" w:eastAsia="en-US"/>
        </w:rPr>
        <w:t>»</w:t>
      </w:r>
      <w:r w:rsidRPr="005641DC">
        <w:rPr>
          <w:rFonts w:ascii="Arial" w:hAnsi="Arial" w:cs="Arial"/>
          <w:bCs/>
          <w:sz w:val="22"/>
          <w:szCs w:val="22"/>
          <w:lang w:val="es-MX" w:eastAsia="x-none"/>
        </w:rPr>
        <w:t xml:space="preserve">. </w:t>
      </w:r>
      <w:r w:rsidRPr="005641DC">
        <w:rPr>
          <w:rFonts w:ascii="Arial" w:hAnsi="Arial" w:cs="Arial"/>
          <w:sz w:val="22"/>
          <w:szCs w:val="22"/>
          <w:lang w:val="es-MX" w:eastAsia="es-CO"/>
        </w:rPr>
        <w:t xml:space="preserve"> A propósito de </w:t>
      </w:r>
      <w:r w:rsidRPr="005641DC">
        <w:rPr>
          <w:rFonts w:ascii="Arial" w:hAnsi="Arial" w:cs="Arial"/>
          <w:sz w:val="22"/>
          <w:szCs w:val="22"/>
          <w:lang w:eastAsia="es-CO"/>
        </w:rPr>
        <w:t>esta restricción de la Ley de Garantías Electorales, la Sala de Consulta y Servicio Civil del Consejo de Estado ha considerado</w:t>
      </w:r>
      <w:r w:rsidR="00F140EB">
        <w:rPr>
          <w:rFonts w:ascii="Arial" w:hAnsi="Arial" w:cs="Arial"/>
          <w:sz w:val="22"/>
          <w:szCs w:val="22"/>
          <w:lang w:eastAsia="es-CO"/>
        </w:rPr>
        <w:t xml:space="preserve"> que</w:t>
      </w:r>
      <w:r w:rsidRPr="005641DC">
        <w:rPr>
          <w:rFonts w:ascii="Arial" w:hAnsi="Arial" w:cs="Arial"/>
          <w:sz w:val="22"/>
          <w:szCs w:val="22"/>
          <w:lang w:eastAsia="es-CO"/>
        </w:rPr>
        <w:t>:</w:t>
      </w:r>
    </w:p>
    <w:p w14:paraId="71BFE7B6" w14:textId="77777777" w:rsidR="00646880" w:rsidRPr="005641DC" w:rsidRDefault="00646880" w:rsidP="00646880">
      <w:pPr>
        <w:ind w:left="708" w:right="709"/>
        <w:jc w:val="both"/>
        <w:rPr>
          <w:rFonts w:ascii="Arial" w:eastAsia="Calibri" w:hAnsi="Arial" w:cs="Arial"/>
          <w:sz w:val="21"/>
          <w:szCs w:val="21"/>
          <w:lang w:val="es-MX" w:eastAsia="en-US"/>
        </w:rPr>
      </w:pPr>
    </w:p>
    <w:p w14:paraId="6A293241" w14:textId="77777777" w:rsidR="00646880" w:rsidRPr="005641DC" w:rsidRDefault="00646880" w:rsidP="00646880">
      <w:pPr>
        <w:spacing w:after="120"/>
        <w:ind w:left="709" w:right="709"/>
        <w:jc w:val="both"/>
        <w:rPr>
          <w:rFonts w:ascii="Arial" w:eastAsia="Calibri" w:hAnsi="Arial" w:cs="Arial"/>
          <w:sz w:val="21"/>
          <w:szCs w:val="21"/>
          <w:lang w:val="es-MX" w:eastAsia="en-US"/>
        </w:rPr>
      </w:pPr>
      <w:r w:rsidRPr="005641DC">
        <w:rPr>
          <w:rFonts w:ascii="Arial" w:eastAsia="Calibri" w:hAnsi="Arial" w:cs="Arial"/>
          <w:sz w:val="21"/>
          <w:szCs w:val="21"/>
          <w:lang w:val="es-MX" w:eastAsia="en-US"/>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w:t>
      </w:r>
      <w:r w:rsidRPr="005641DC">
        <w:rPr>
          <w:rFonts w:ascii="Arial" w:eastAsia="Calibri" w:hAnsi="Arial" w:cs="Arial"/>
          <w:sz w:val="21"/>
          <w:szCs w:val="21"/>
          <w:lang w:val="es-MX" w:eastAsia="en-US"/>
        </w:rPr>
        <w:lastRenderedPageBreak/>
        <w:t>taxativamente señale la ley (numeral 4, artículo 2, ley 1150 de 2007), y cumpliendo siempre los principios que rigen la contratación pública</w:t>
      </w:r>
      <w:r w:rsidRPr="005641DC">
        <w:rPr>
          <w:rFonts w:ascii="Arial" w:hAnsi="Arial" w:cs="Arial"/>
          <w:sz w:val="22"/>
          <w:szCs w:val="22"/>
          <w:vertAlign w:val="superscript"/>
          <w:lang w:eastAsia="es-CO"/>
        </w:rPr>
        <w:footnoteReference w:id="23"/>
      </w:r>
      <w:r w:rsidRPr="005641DC">
        <w:rPr>
          <w:rFonts w:ascii="Arial" w:eastAsia="Calibri" w:hAnsi="Arial" w:cs="Arial"/>
          <w:sz w:val="21"/>
          <w:szCs w:val="21"/>
          <w:lang w:val="es-MX" w:eastAsia="en-US"/>
        </w:rPr>
        <w:t>.</w:t>
      </w:r>
    </w:p>
    <w:p w14:paraId="4979D6E2" w14:textId="77777777" w:rsidR="00646880" w:rsidRPr="005641DC" w:rsidRDefault="00646880" w:rsidP="00646880">
      <w:pPr>
        <w:ind w:left="708" w:right="709"/>
        <w:jc w:val="both"/>
        <w:rPr>
          <w:rFonts w:ascii="Arial" w:eastAsia="Calibri" w:hAnsi="Arial" w:cs="Arial"/>
          <w:sz w:val="21"/>
          <w:szCs w:val="21"/>
          <w:lang w:val="es-MX" w:eastAsia="en-US"/>
        </w:rPr>
      </w:pPr>
      <w:r w:rsidRPr="005641DC">
        <w:rPr>
          <w:rFonts w:ascii="Arial" w:eastAsia="Calibri" w:hAnsi="Arial" w:cs="Arial"/>
          <w:sz w:val="21"/>
          <w:szCs w:val="21"/>
          <w:lang w:val="es-MX" w:eastAsia="en-US"/>
        </w:rPr>
        <w:t xml:space="preserve">Esta Sala ha entendido que para los efectos de la ley de garantías, y dada su finalidad, el enunciado ´contratación directa´ es sinónimo </w:t>
      </w:r>
      <w:bookmarkStart w:id="17" w:name="_Hlk75741738"/>
      <w:r w:rsidRPr="005641DC">
        <w:rPr>
          <w:rFonts w:ascii="Arial" w:eastAsia="Calibri" w:hAnsi="Arial" w:cs="Arial"/>
          <w:sz w:val="21"/>
          <w:szCs w:val="21"/>
          <w:lang w:val="es-MX" w:eastAsia="en-US"/>
        </w:rPr>
        <w:t xml:space="preserve">de cualquier sistema que no implique convocatoria pública y posibilidad de pluralidad de oferentes, </w:t>
      </w:r>
      <w:bookmarkEnd w:id="17"/>
      <w:r w:rsidRPr="005641DC">
        <w:rPr>
          <w:rFonts w:ascii="Arial" w:eastAsia="Calibri" w:hAnsi="Arial" w:cs="Arial"/>
          <w:sz w:val="21"/>
          <w:szCs w:val="21"/>
          <w:lang w:val="es-MX" w:eastAsia="en-US"/>
        </w:rPr>
        <w:t>y que, además, no necesariamente hace referencia al procedimiento especial regulado por la ley de contratación estatal, sino a cualquier otro que prescinda de un proceso de licitación pública o concurso</w:t>
      </w:r>
      <w:r w:rsidRPr="005641DC">
        <w:rPr>
          <w:rFonts w:ascii="Arial" w:hAnsi="Arial" w:cs="Arial"/>
          <w:sz w:val="21"/>
          <w:szCs w:val="21"/>
          <w:vertAlign w:val="superscript"/>
          <w:lang w:val="es-MX" w:eastAsia="en-US"/>
        </w:rPr>
        <w:footnoteReference w:id="24"/>
      </w:r>
      <w:r w:rsidRPr="005641DC">
        <w:rPr>
          <w:rFonts w:ascii="Arial" w:hAnsi="Arial" w:cs="Arial"/>
          <w:sz w:val="21"/>
          <w:szCs w:val="21"/>
          <w:vertAlign w:val="superscript"/>
          <w:lang w:val="es-MX" w:eastAsia="en-US"/>
        </w:rPr>
        <w:t>.</w:t>
      </w:r>
      <w:r w:rsidRPr="005641DC">
        <w:rPr>
          <w:rFonts w:ascii="Arial" w:eastAsia="Calibr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641DC">
        <w:rPr>
          <w:rFonts w:ascii="Arial" w:hAnsi="Arial" w:cs="Arial"/>
          <w:sz w:val="22"/>
          <w:szCs w:val="22"/>
          <w:vertAlign w:val="superscript"/>
          <w:lang w:eastAsia="es-CO"/>
        </w:rPr>
        <w:footnoteReference w:id="25"/>
      </w:r>
      <w:r w:rsidRPr="005641DC">
        <w:rPr>
          <w:rFonts w:ascii="Arial" w:eastAsia="Calibri" w:hAnsi="Arial" w:cs="Arial"/>
          <w:sz w:val="21"/>
          <w:szCs w:val="21"/>
          <w:lang w:val="es-MX" w:eastAsia="en-US"/>
        </w:rPr>
        <w:t xml:space="preserve"> .</w:t>
      </w:r>
    </w:p>
    <w:p w14:paraId="62356BD3" w14:textId="77777777" w:rsidR="00646880" w:rsidRPr="005641DC" w:rsidRDefault="00646880" w:rsidP="00646880">
      <w:pPr>
        <w:shd w:val="clear" w:color="auto" w:fill="FFFFFF"/>
        <w:ind w:firstLine="709"/>
        <w:jc w:val="both"/>
        <w:rPr>
          <w:rFonts w:ascii="Arial" w:hAnsi="Arial" w:cs="Arial"/>
          <w:sz w:val="22"/>
          <w:szCs w:val="22"/>
          <w:lang w:eastAsia="x-none"/>
        </w:rPr>
      </w:pPr>
    </w:p>
    <w:p w14:paraId="367661AF" w14:textId="34954C26" w:rsidR="00646880" w:rsidRPr="005641DC" w:rsidRDefault="00646880" w:rsidP="00646880">
      <w:pPr>
        <w:spacing w:after="120" w:line="276" w:lineRule="auto"/>
        <w:ind w:firstLine="708"/>
        <w:jc w:val="both"/>
        <w:rPr>
          <w:rFonts w:ascii="Arial" w:hAnsi="Arial" w:cs="Arial"/>
          <w:bCs/>
          <w:sz w:val="22"/>
          <w:szCs w:val="22"/>
          <w:lang w:eastAsia="x-none"/>
        </w:rPr>
      </w:pPr>
      <w:r w:rsidRPr="005641DC">
        <w:rPr>
          <w:rFonts w:ascii="Arial" w:hAnsi="Arial" w:cs="Arial"/>
          <w:sz w:val="22"/>
          <w:szCs w:val="22"/>
          <w:lang w:eastAsia="x-none"/>
        </w:rPr>
        <w:t xml:space="preserve">De conformidad con el citado concepto, </w:t>
      </w:r>
      <w:bookmarkStart w:id="19" w:name="_Hlk78818702"/>
      <w:r w:rsidRPr="005641DC">
        <w:rPr>
          <w:rFonts w:ascii="Arial" w:hAnsi="Arial" w:cs="Arial"/>
          <w:sz w:val="22"/>
          <w:szCs w:val="22"/>
          <w:lang w:eastAsia="x-none"/>
        </w:rPr>
        <w:t xml:space="preserve">la prohibición del artículo 33 de la Ley de Garantías Electorales se refiere a </w:t>
      </w:r>
      <w:bookmarkStart w:id="20" w:name="_Hlk74294635"/>
      <w:r w:rsidRPr="005641DC">
        <w:rPr>
          <w:rFonts w:ascii="Arial" w:hAnsi="Arial" w:cs="Arial"/>
          <w:sz w:val="19"/>
          <w:szCs w:val="19"/>
          <w:lang w:eastAsia="en-GB"/>
        </w:rPr>
        <w:t>«</w:t>
      </w:r>
      <w:bookmarkEnd w:id="20"/>
      <w:r w:rsidRPr="005641DC">
        <w:rPr>
          <w:rFonts w:ascii="Arial" w:hAnsi="Arial" w:cs="Arial"/>
          <w:sz w:val="22"/>
          <w:szCs w:val="22"/>
          <w:lang w:eastAsia="x-none"/>
        </w:rPr>
        <w:t>cualquier sistema que no implique convocatoria pública y posibilidad de pluralidad de oferentes</w:t>
      </w:r>
      <w:bookmarkStart w:id="21" w:name="_Hlk74404754"/>
      <w:r w:rsidRPr="005641DC">
        <w:rPr>
          <w:rFonts w:ascii="Arial" w:hAnsi="Arial" w:cs="Arial"/>
          <w:sz w:val="22"/>
          <w:szCs w:val="22"/>
          <w:lang w:eastAsia="en-GB"/>
        </w:rPr>
        <w:t>»</w:t>
      </w:r>
      <w:bookmarkEnd w:id="21"/>
      <w:r w:rsidRPr="005641DC">
        <w:rPr>
          <w:rFonts w:ascii="Arial" w:hAnsi="Arial" w:cs="Arial"/>
          <w:sz w:val="22"/>
          <w:szCs w:val="22"/>
          <w:lang w:eastAsia="x-none"/>
        </w:rPr>
        <w:t>, por lo que excluye</w:t>
      </w:r>
      <w:r w:rsidR="00FC77A2">
        <w:rPr>
          <w:rFonts w:ascii="Arial" w:hAnsi="Arial" w:cs="Arial"/>
          <w:sz w:val="22"/>
          <w:szCs w:val="22"/>
          <w:lang w:eastAsia="x-none"/>
        </w:rPr>
        <w:t>n</w:t>
      </w:r>
      <w:r w:rsidRPr="005641DC">
        <w:rPr>
          <w:rFonts w:ascii="Arial" w:hAnsi="Arial" w:cs="Arial"/>
          <w:sz w:val="22"/>
          <w:szCs w:val="22"/>
          <w:lang w:eastAsia="x-none"/>
        </w:rPr>
        <w:t xml:space="preserve"> las demás modalidades de contratación previstas en la Ley 1150 de 2007, es decir, la licitación pública, la selección abreviada, el concurso de méritos, la mínima cuantía u otros previstos en normas especiales. </w:t>
      </w:r>
      <w:bookmarkEnd w:id="19"/>
      <w:r w:rsidRPr="005641DC">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5641DC">
        <w:rPr>
          <w:rFonts w:ascii="Arial" w:hAnsi="Arial" w:cs="Arial"/>
          <w:sz w:val="22"/>
          <w:szCs w:val="22"/>
          <w:vertAlign w:val="superscript"/>
          <w:lang w:val="en-GB" w:eastAsia="x-none"/>
        </w:rPr>
        <w:footnoteReference w:id="26"/>
      </w:r>
      <w:r w:rsidRPr="005641DC">
        <w:rPr>
          <w:rFonts w:ascii="Arial" w:hAnsi="Arial" w:cs="Arial"/>
          <w:sz w:val="22"/>
          <w:szCs w:val="22"/>
          <w:lang w:eastAsia="x-none"/>
        </w:rPr>
        <w:t xml:space="preserve"> y sistematizó las causales de contratación directa</w:t>
      </w:r>
      <w:r w:rsidRPr="005641DC">
        <w:rPr>
          <w:rFonts w:ascii="Arial" w:hAnsi="Arial" w:cs="Arial"/>
          <w:sz w:val="22"/>
          <w:szCs w:val="22"/>
          <w:vertAlign w:val="superscript"/>
          <w:lang w:val="en-GB" w:eastAsia="x-none"/>
        </w:rPr>
        <w:footnoteReference w:id="27"/>
      </w:r>
      <w:r w:rsidR="007A1542">
        <w:rPr>
          <w:rFonts w:ascii="Arial" w:hAnsi="Arial" w:cs="Arial"/>
          <w:sz w:val="22"/>
          <w:szCs w:val="22"/>
          <w:lang w:eastAsia="x-none"/>
        </w:rPr>
        <w:t xml:space="preserve">. </w:t>
      </w:r>
    </w:p>
    <w:p w14:paraId="768E3CDB" w14:textId="77777777" w:rsidR="00646880" w:rsidRPr="005641DC" w:rsidRDefault="00646880" w:rsidP="00646880">
      <w:pPr>
        <w:spacing w:after="120" w:line="276" w:lineRule="auto"/>
        <w:ind w:firstLine="708"/>
        <w:jc w:val="both"/>
        <w:rPr>
          <w:rFonts w:ascii="Arial" w:hAnsi="Arial" w:cs="Arial"/>
          <w:sz w:val="22"/>
          <w:szCs w:val="22"/>
          <w:lang w:val="es-MX" w:eastAsia="x-none"/>
        </w:rPr>
      </w:pPr>
      <w:r w:rsidRPr="005641DC">
        <w:rPr>
          <w:rFonts w:ascii="Arial" w:hAnsi="Arial" w:cs="Arial"/>
          <w:sz w:val="22"/>
          <w:szCs w:val="22"/>
          <w:lang w:eastAsia="x-none"/>
        </w:rPr>
        <w:t xml:space="preserve">De esta forma, con fundamento en la evolución de la normativa sobre la contratación pública, se ha depurado la noción de </w:t>
      </w:r>
      <w:r w:rsidRPr="005641DC">
        <w:rPr>
          <w:rFonts w:ascii="Arial" w:hAnsi="Arial" w:cs="Arial"/>
          <w:sz w:val="19"/>
          <w:szCs w:val="19"/>
          <w:lang w:eastAsia="en-GB"/>
        </w:rPr>
        <w:t>«</w:t>
      </w:r>
      <w:r w:rsidRPr="005641DC">
        <w:rPr>
          <w:rFonts w:ascii="Arial" w:hAnsi="Arial" w:cs="Arial"/>
          <w:sz w:val="22"/>
          <w:szCs w:val="22"/>
          <w:lang w:eastAsia="x-none"/>
        </w:rPr>
        <w:t>contratación directa</w:t>
      </w:r>
      <w:r w:rsidRPr="005641DC">
        <w:rPr>
          <w:rFonts w:ascii="Arial" w:hAnsi="Arial" w:cs="Arial"/>
          <w:sz w:val="22"/>
          <w:szCs w:val="22"/>
          <w:lang w:eastAsia="en-GB"/>
        </w:rPr>
        <w:t>»</w:t>
      </w:r>
      <w:r w:rsidRPr="005641DC">
        <w:rPr>
          <w:rFonts w:ascii="Arial" w:hAnsi="Arial" w:cs="Arial"/>
          <w:sz w:val="22"/>
          <w:szCs w:val="22"/>
          <w:lang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w:t>
      </w:r>
      <w:r w:rsidRPr="005641DC">
        <w:rPr>
          <w:rFonts w:ascii="Arial" w:hAnsi="Arial" w:cs="Arial"/>
          <w:sz w:val="22"/>
          <w:szCs w:val="22"/>
          <w:lang w:eastAsia="x-none"/>
        </w:rPr>
        <w:lastRenderedPageBreak/>
        <w:t>especiales e, incluso, en el derecho privado</w:t>
      </w:r>
      <w:r w:rsidRPr="005641DC">
        <w:rPr>
          <w:rFonts w:ascii="Arial" w:hAnsi="Arial" w:cs="Arial"/>
          <w:sz w:val="22"/>
          <w:szCs w:val="22"/>
          <w:vertAlign w:val="superscript"/>
          <w:lang w:val="en-GB" w:eastAsia="x-none"/>
        </w:rPr>
        <w:footnoteReference w:id="28"/>
      </w:r>
      <w:r w:rsidRPr="005641DC">
        <w:rPr>
          <w:rFonts w:ascii="Arial" w:hAnsi="Arial" w:cs="Arial"/>
          <w:sz w:val="22"/>
          <w:szCs w:val="22"/>
          <w:lang w:eastAsia="x-none"/>
        </w:rPr>
        <w:t>, han establecido sistemas de contratación que implican convocatoria pública y participación de varios oferentes</w:t>
      </w:r>
      <w:r w:rsidRPr="005641DC">
        <w:rPr>
          <w:rFonts w:ascii="Arial" w:hAnsi="Arial" w:cs="Arial"/>
          <w:sz w:val="22"/>
          <w:szCs w:val="22"/>
          <w:lang w:eastAsia="en-GB"/>
        </w:rPr>
        <w:t>»</w:t>
      </w:r>
      <w:r w:rsidRPr="005641DC">
        <w:rPr>
          <w:rFonts w:ascii="Arial" w:hAnsi="Arial" w:cs="Arial"/>
          <w:sz w:val="22"/>
          <w:szCs w:val="22"/>
          <w:lang w:eastAsia="x-none"/>
        </w:rPr>
        <w:t xml:space="preserve">. </w:t>
      </w:r>
    </w:p>
    <w:p w14:paraId="49C185EF" w14:textId="77777777" w:rsidR="00646880" w:rsidRPr="005641DC" w:rsidRDefault="00646880" w:rsidP="00646880">
      <w:pPr>
        <w:spacing w:after="120" w:line="276" w:lineRule="auto"/>
        <w:ind w:firstLine="708"/>
        <w:jc w:val="both"/>
        <w:rPr>
          <w:rFonts w:ascii="Arial" w:hAnsi="Arial" w:cs="Arial"/>
          <w:bCs/>
          <w:sz w:val="22"/>
          <w:szCs w:val="22"/>
          <w:lang w:val="es-MX" w:eastAsia="es-CO"/>
        </w:rPr>
      </w:pPr>
      <w:r w:rsidRPr="005641DC">
        <w:rPr>
          <w:rFonts w:ascii="Arial" w:hAnsi="Arial" w:cs="Arial"/>
          <w:bCs/>
          <w:sz w:val="22"/>
          <w:szCs w:val="22"/>
          <w:lang w:val="es-MX" w:eastAsia="x-none"/>
        </w:rPr>
        <w:t>E</w:t>
      </w:r>
      <w:r w:rsidRPr="005641DC">
        <w:rPr>
          <w:rFonts w:ascii="Arial" w:hAnsi="Arial" w:cs="Arial"/>
          <w:sz w:val="22"/>
          <w:szCs w:val="22"/>
          <w:lang w:eastAsia="x-none"/>
        </w:rPr>
        <w:t xml:space="preserve">n </w:t>
      </w:r>
      <w:bookmarkStart w:id="23" w:name="_Hlk75636073"/>
      <w:r w:rsidRPr="005641DC">
        <w:rPr>
          <w:rFonts w:ascii="Arial" w:hAnsi="Arial" w:cs="Arial"/>
          <w:sz w:val="22"/>
          <w:szCs w:val="22"/>
          <w:lang w:eastAsia="x-none"/>
        </w:rPr>
        <w:t>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3"/>
      <w:r w:rsidRPr="005641DC">
        <w:rPr>
          <w:rFonts w:ascii="Arial" w:hAnsi="Arial" w:cs="Arial"/>
          <w:sz w:val="22"/>
          <w:szCs w:val="22"/>
          <w:vertAlign w:val="superscript"/>
          <w:lang w:eastAsia="x-none"/>
        </w:rPr>
        <w:footnoteReference w:id="29"/>
      </w:r>
      <w:r w:rsidRPr="005641DC">
        <w:rPr>
          <w:rFonts w:ascii="Arial" w:hAnsi="Arial" w:cs="Arial"/>
          <w:sz w:val="22"/>
          <w:szCs w:val="22"/>
          <w:lang w:eastAsia="x-none"/>
        </w:rPr>
        <w:t xml:space="preserve">. </w:t>
      </w:r>
    </w:p>
    <w:p w14:paraId="203BFCB7" w14:textId="34DB824E" w:rsidR="00646880" w:rsidRPr="005641DC" w:rsidRDefault="00646880" w:rsidP="00646880">
      <w:pPr>
        <w:spacing w:after="120" w:line="276" w:lineRule="auto"/>
        <w:ind w:firstLine="708"/>
        <w:jc w:val="both"/>
        <w:rPr>
          <w:rFonts w:ascii="Arial" w:hAnsi="Arial" w:cs="Arial"/>
          <w:bCs/>
          <w:sz w:val="22"/>
          <w:szCs w:val="22"/>
          <w:lang w:val="es-MX" w:eastAsia="es-CO"/>
        </w:rPr>
      </w:pPr>
      <w:r w:rsidRPr="005641DC">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385AB89F" w14:textId="6422B410" w:rsidR="00646880" w:rsidRPr="005641DC" w:rsidRDefault="00646880" w:rsidP="00646880">
      <w:pPr>
        <w:spacing w:after="120" w:line="276" w:lineRule="auto"/>
        <w:ind w:firstLine="708"/>
        <w:jc w:val="both"/>
        <w:rPr>
          <w:rFonts w:ascii="Arial" w:hAnsi="Arial" w:cs="Arial"/>
          <w:bCs/>
          <w:sz w:val="22"/>
          <w:szCs w:val="22"/>
          <w:lang w:val="es-MX" w:eastAsia="x-none"/>
        </w:rPr>
      </w:pPr>
      <w:bookmarkStart w:id="24" w:name="_Hlk78818796"/>
      <w:r w:rsidRPr="005641DC">
        <w:rPr>
          <w:rFonts w:ascii="Arial" w:hAnsi="Arial" w:cs="Arial"/>
          <w:bCs/>
          <w:sz w:val="22"/>
          <w:szCs w:val="22"/>
          <w:lang w:val="es-MX" w:eastAsia="x-none"/>
        </w:rPr>
        <w:t xml:space="preserve"> Así las cosas, 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5641DC">
        <w:rPr>
          <w:rFonts w:ascii="Arial" w:hAnsi="Arial" w:cs="Arial"/>
          <w:sz w:val="22"/>
          <w:szCs w:val="22"/>
          <w:vertAlign w:val="superscript"/>
          <w:lang w:eastAsia="x-none"/>
        </w:rPr>
        <w:footnoteReference w:id="30"/>
      </w:r>
      <w:r w:rsidRPr="005641DC">
        <w:rPr>
          <w:rFonts w:ascii="Arial" w:hAnsi="Arial" w:cs="Arial"/>
          <w:bCs/>
          <w:sz w:val="22"/>
          <w:szCs w:val="22"/>
          <w:lang w:val="es-MX" w:eastAsia="x-none"/>
        </w:rPr>
        <w:t>.</w:t>
      </w:r>
      <w:r w:rsidRPr="005641DC">
        <w:rPr>
          <w:rFonts w:ascii="Arial" w:hAnsi="Arial" w:cs="Arial"/>
          <w:sz w:val="22"/>
          <w:szCs w:val="22"/>
          <w:vertAlign w:val="superscript"/>
          <w:lang w:eastAsia="x-none"/>
        </w:rPr>
        <w:t xml:space="preserve"> </w:t>
      </w:r>
    </w:p>
    <w:bookmarkEnd w:id="24"/>
    <w:p w14:paraId="0B6971D3" w14:textId="1CC13398" w:rsidR="00646880" w:rsidRPr="005641DC" w:rsidRDefault="00646880" w:rsidP="00646880">
      <w:pPr>
        <w:spacing w:after="120" w:line="276" w:lineRule="auto"/>
        <w:ind w:firstLine="708"/>
        <w:jc w:val="both"/>
        <w:rPr>
          <w:rFonts w:ascii="Arial" w:hAnsi="Arial" w:cs="Arial"/>
          <w:sz w:val="22"/>
          <w:szCs w:val="22"/>
          <w:lang w:eastAsia="x-none"/>
        </w:rPr>
      </w:pPr>
      <w:r w:rsidRPr="005641DC">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5641DC">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w:t>
      </w:r>
      <w:r w:rsidR="00682AB5" w:rsidRPr="005641DC">
        <w:rPr>
          <w:rFonts w:ascii="Arial" w:hAnsi="Arial" w:cs="Arial"/>
          <w:sz w:val="22"/>
          <w:szCs w:val="22"/>
          <w:lang w:eastAsia="x-none"/>
        </w:rPr>
        <w:t>a</w:t>
      </w:r>
      <w:r w:rsidRPr="005641DC">
        <w:rPr>
          <w:rFonts w:ascii="Arial" w:hAnsi="Arial" w:cs="Arial"/>
          <w:sz w:val="22"/>
          <w:szCs w:val="22"/>
          <w:lang w:eastAsia="x-none"/>
        </w:rPr>
        <w:t xml:space="preserve">s </w:t>
      </w:r>
      <w:r w:rsidR="00682AB5" w:rsidRPr="005641DC">
        <w:rPr>
          <w:rFonts w:ascii="Arial" w:hAnsi="Arial" w:cs="Arial"/>
          <w:sz w:val="22"/>
          <w:szCs w:val="22"/>
          <w:lang w:eastAsia="x-none"/>
        </w:rPr>
        <w:t>modalidades</w:t>
      </w:r>
      <w:r w:rsidRPr="005641DC">
        <w:rPr>
          <w:rFonts w:ascii="Arial" w:hAnsi="Arial" w:cs="Arial"/>
          <w:sz w:val="22"/>
          <w:szCs w:val="22"/>
          <w:lang w:eastAsia="x-none"/>
        </w:rPr>
        <w:t>.</w:t>
      </w:r>
    </w:p>
    <w:p w14:paraId="2A99F1A8" w14:textId="77777777" w:rsidR="00646880" w:rsidRPr="005641DC" w:rsidRDefault="00646880" w:rsidP="00646880">
      <w:pPr>
        <w:spacing w:after="120" w:line="276" w:lineRule="auto"/>
        <w:ind w:firstLine="708"/>
        <w:jc w:val="both"/>
        <w:rPr>
          <w:rFonts w:ascii="Arial" w:hAnsi="Arial" w:cs="Arial"/>
          <w:bCs/>
          <w:sz w:val="22"/>
          <w:szCs w:val="22"/>
          <w:lang w:val="es-MX" w:eastAsia="es-CO"/>
        </w:rPr>
      </w:pPr>
      <w:r w:rsidRPr="005641DC">
        <w:rPr>
          <w:rFonts w:ascii="Arial" w:hAnsi="Arial" w:cs="Arial"/>
          <w:bCs/>
          <w:sz w:val="22"/>
          <w:szCs w:val="22"/>
          <w:lang w:val="es-MX" w:eastAsia="x-none"/>
        </w:rPr>
        <w:lastRenderedPageBreak/>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641DC">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9F2E0C9" w14:textId="57CEB462" w:rsidR="001A4328" w:rsidRDefault="00646880" w:rsidP="008B6B9D">
      <w:pPr>
        <w:spacing w:line="276" w:lineRule="auto"/>
        <w:ind w:firstLine="709"/>
        <w:jc w:val="both"/>
        <w:rPr>
          <w:rFonts w:ascii="Arial" w:hAnsi="Arial" w:cs="Arial"/>
          <w:bCs/>
          <w:sz w:val="22"/>
          <w:szCs w:val="22"/>
          <w:lang w:val="es-MX" w:eastAsia="x-none"/>
        </w:rPr>
      </w:pPr>
      <w:r w:rsidRPr="005641DC">
        <w:rPr>
          <w:rFonts w:ascii="Arial" w:hAnsi="Arial" w:cs="Arial"/>
          <w:bCs/>
          <w:sz w:val="22"/>
          <w:szCs w:val="22"/>
          <w:lang w:val="es-MX" w:eastAsia="x-none"/>
        </w:rPr>
        <w:t>En esta labor es importante tener en cuenta, como lo anotó la Corte Constitucional, en Sentencia C-1153 de noviembre 11 de 2005</w:t>
      </w:r>
      <w:r w:rsidR="00682AB5" w:rsidRPr="005641DC">
        <w:rPr>
          <w:rFonts w:ascii="Arial" w:hAnsi="Arial" w:cs="Arial"/>
          <w:bCs/>
          <w:sz w:val="22"/>
          <w:szCs w:val="22"/>
          <w:lang w:val="es-MX" w:eastAsia="x-none"/>
        </w:rPr>
        <w:t>,</w:t>
      </w:r>
      <w:r w:rsidRPr="005641DC">
        <w:rPr>
          <w:rFonts w:ascii="Arial" w:hAnsi="Arial" w:cs="Arial"/>
          <w:bCs/>
          <w:sz w:val="22"/>
          <w:szCs w:val="22"/>
          <w:lang w:val="es-MX" w:eastAsia="x-none"/>
        </w:rPr>
        <w:t xml:space="preserve"> </w:t>
      </w:r>
      <w:bookmarkStart w:id="25" w:name="_Hlk74309042"/>
      <w:r w:rsidRPr="005641DC">
        <w:rPr>
          <w:rFonts w:ascii="Arial" w:hAnsi="Arial" w:cs="Arial"/>
          <w:bCs/>
          <w:sz w:val="22"/>
          <w:szCs w:val="22"/>
          <w:lang w:val="es-MX" w:eastAsia="x-none"/>
        </w:rPr>
        <w:t>que «</w:t>
      </w:r>
      <w:bookmarkEnd w:id="25"/>
      <w:r w:rsidRPr="005641DC">
        <w:rPr>
          <w:rFonts w:ascii="Arial" w:hAnsi="Arial" w:cs="Arial"/>
          <w:bCs/>
          <w:sz w:val="22"/>
          <w:szCs w:val="22"/>
          <w:lang w:val="es-MX" w:eastAsia="x-none"/>
        </w:rPr>
        <w:t xml:space="preserve">si bien la limitación garantiza la igualdad de condiciones, también es necesario que tal limitación que pretende la igualdad </w:t>
      </w:r>
      <w:bookmarkStart w:id="26" w:name="_Hlk75768308"/>
      <w:r w:rsidRPr="005641DC">
        <w:rPr>
          <w:rFonts w:ascii="Arial" w:hAnsi="Arial" w:cs="Arial"/>
          <w:bCs/>
          <w:sz w:val="22"/>
          <w:szCs w:val="22"/>
          <w:lang w:val="es-MX" w:eastAsia="x-none"/>
        </w:rPr>
        <w:t>no termine yendo en detrimento de intereses públicos, cuya garantía está en cabeza del ejecutivo, como son los inmersos en las excepciones para la prohibición de contratación</w:t>
      </w:r>
      <w:bookmarkStart w:id="27" w:name="_Hlk74309060"/>
      <w:r w:rsidRPr="005641DC">
        <w:rPr>
          <w:rFonts w:ascii="Arial" w:hAnsi="Arial" w:cs="Arial"/>
          <w:bCs/>
          <w:sz w:val="22"/>
          <w:szCs w:val="22"/>
          <w:lang w:val="es-MX" w:eastAsia="x-none"/>
        </w:rPr>
        <w:t>»</w:t>
      </w:r>
      <w:bookmarkEnd w:id="27"/>
      <w:r w:rsidRPr="005641DC">
        <w:rPr>
          <w:rFonts w:ascii="Arial" w:eastAsia="Calibri" w:hAnsi="Arial" w:cs="Arial"/>
          <w:sz w:val="22"/>
          <w:szCs w:val="22"/>
          <w:vertAlign w:val="superscript"/>
          <w:lang w:val="es-MX" w:eastAsia="en-US"/>
        </w:rPr>
        <w:footnoteReference w:id="31"/>
      </w:r>
      <w:r w:rsidRPr="005641DC">
        <w:rPr>
          <w:rFonts w:ascii="Arial" w:hAnsi="Arial" w:cs="Arial"/>
          <w:bCs/>
          <w:sz w:val="22"/>
          <w:szCs w:val="22"/>
          <w:lang w:val="es-MX" w:eastAsia="x-none"/>
        </w:rPr>
        <w:t>. De ahí que la Corte hizo énfasis en que las excepciones a la restricción, establecidos en el inciso segundo del artículo 33,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End w:id="26"/>
    </w:p>
    <w:p w14:paraId="2FEAE7F9" w14:textId="77777777" w:rsidR="008B6B9D" w:rsidRDefault="008B6B9D" w:rsidP="000B440A">
      <w:pPr>
        <w:spacing w:line="276" w:lineRule="auto"/>
        <w:ind w:firstLine="709"/>
        <w:jc w:val="both"/>
        <w:rPr>
          <w:rFonts w:ascii="Arial" w:hAnsi="Arial" w:cs="Arial"/>
          <w:bCs/>
          <w:sz w:val="22"/>
          <w:szCs w:val="22"/>
          <w:lang w:val="es-MX" w:eastAsia="x-none"/>
        </w:rPr>
      </w:pPr>
    </w:p>
    <w:p w14:paraId="1911CF03" w14:textId="4AA1AEFE" w:rsidR="001A4328" w:rsidRPr="002C575D" w:rsidRDefault="001A4328" w:rsidP="001A4328">
      <w:pPr>
        <w:spacing w:line="276" w:lineRule="auto"/>
        <w:jc w:val="both"/>
        <w:rPr>
          <w:rFonts w:ascii="Arial" w:eastAsia="Calibri" w:hAnsi="Arial" w:cs="Arial"/>
          <w:b/>
          <w:bCs/>
          <w:sz w:val="22"/>
          <w:szCs w:val="22"/>
          <w:lang w:val="es-MX" w:eastAsia="en-US"/>
        </w:rPr>
      </w:pPr>
      <w:r w:rsidRPr="002C575D">
        <w:rPr>
          <w:rFonts w:ascii="Arial" w:eastAsia="Calibri" w:hAnsi="Arial" w:cs="Arial"/>
          <w:b/>
          <w:bCs/>
          <w:sz w:val="22"/>
          <w:szCs w:val="22"/>
          <w:lang w:val="es-MX" w:eastAsia="en-US"/>
        </w:rPr>
        <w:t>2.</w:t>
      </w:r>
      <w:r w:rsidR="00BD181C">
        <w:rPr>
          <w:rFonts w:ascii="Arial" w:eastAsia="Calibri" w:hAnsi="Arial" w:cs="Arial"/>
          <w:b/>
          <w:bCs/>
          <w:sz w:val="22"/>
          <w:szCs w:val="22"/>
          <w:lang w:val="es-MX" w:eastAsia="en-US"/>
        </w:rPr>
        <w:t>2</w:t>
      </w:r>
      <w:r w:rsidRPr="002C575D">
        <w:rPr>
          <w:rFonts w:ascii="Arial" w:eastAsia="Calibri" w:hAnsi="Arial" w:cs="Arial"/>
          <w:b/>
          <w:bCs/>
          <w:sz w:val="22"/>
          <w:szCs w:val="22"/>
          <w:lang w:val="es-MX" w:eastAsia="en-US"/>
        </w:rPr>
        <w:t>.  Universidades públicas, naturaleza y régimen de contratación. Aplicación de la Ley de garantías</w:t>
      </w:r>
    </w:p>
    <w:p w14:paraId="5B3F5585" w14:textId="77777777" w:rsidR="001A4328" w:rsidRPr="002C575D" w:rsidRDefault="001A4328" w:rsidP="000B440A">
      <w:pPr>
        <w:jc w:val="both"/>
        <w:rPr>
          <w:rFonts w:ascii="Arial" w:eastAsia="Calibri" w:hAnsi="Arial" w:cs="Arial"/>
          <w:b/>
          <w:bCs/>
          <w:sz w:val="22"/>
          <w:szCs w:val="22"/>
          <w:lang w:val="es-MX" w:eastAsia="en-US"/>
        </w:rPr>
      </w:pPr>
    </w:p>
    <w:p w14:paraId="27C0A855" w14:textId="0BC1BBD0" w:rsidR="001A4328" w:rsidRPr="002C575D" w:rsidRDefault="0008329B" w:rsidP="001C7683">
      <w:pPr>
        <w:spacing w:after="160" w:line="276" w:lineRule="auto"/>
        <w:jc w:val="both"/>
        <w:rPr>
          <w:rFonts w:ascii="Arial" w:eastAsia="Calibri" w:hAnsi="Arial" w:cs="Arial"/>
          <w:sz w:val="22"/>
          <w:szCs w:val="22"/>
          <w:lang w:val="es-MX" w:eastAsia="en-US"/>
        </w:rPr>
      </w:pPr>
      <w:bookmarkStart w:id="28" w:name="_Hlk92353042"/>
      <w:r>
        <w:rPr>
          <w:rFonts w:ascii="Arial" w:eastAsia="Calibri" w:hAnsi="Arial" w:cs="Arial"/>
          <w:sz w:val="22"/>
          <w:szCs w:val="22"/>
          <w:lang w:val="es-MX" w:eastAsia="en-US"/>
        </w:rPr>
        <w:t xml:space="preserve">Teniendo en cuenta que </w:t>
      </w:r>
      <w:r w:rsidR="00446C85">
        <w:rPr>
          <w:rFonts w:ascii="Arial" w:eastAsia="Calibri" w:hAnsi="Arial" w:cs="Arial"/>
          <w:sz w:val="22"/>
          <w:szCs w:val="22"/>
          <w:lang w:val="es-MX" w:eastAsia="en-US"/>
        </w:rPr>
        <w:t>en la consulta se hace referencia a la posibilidad de celebrar convenios con universidades públicas, es importante analizar su régimen de contratación y naturaleza. Al respecto, l</w:t>
      </w:r>
      <w:r w:rsidR="001A4328" w:rsidRPr="002C575D">
        <w:rPr>
          <w:rFonts w:ascii="Arial" w:eastAsia="Calibri" w:hAnsi="Arial" w:cs="Arial"/>
          <w:sz w:val="22"/>
          <w:szCs w:val="22"/>
          <w:lang w:val="es-MX" w:eastAsia="en-US"/>
        </w:rPr>
        <w:t>a Constitución Política de Colombia consagra en el artículo 69, por una parte, una garantía de autonomía para que las universidades establezcan sus directivas y sus estatutos de acuerdo con la ley; y por otra, la posibilidad de que cuenten con un régimen especial que corresponde dictar al Congreso</w:t>
      </w:r>
      <w:r w:rsidR="001A4328" w:rsidRPr="002C575D">
        <w:rPr>
          <w:rFonts w:ascii="Arial" w:eastAsia="Calibri" w:hAnsi="Arial" w:cs="Arial"/>
          <w:sz w:val="22"/>
          <w:szCs w:val="22"/>
          <w:vertAlign w:val="superscript"/>
          <w:lang w:val="es-MX" w:eastAsia="en-US"/>
        </w:rPr>
        <w:footnoteReference w:id="32"/>
      </w:r>
      <w:r w:rsidR="001A4328" w:rsidRPr="002C575D">
        <w:rPr>
          <w:rFonts w:ascii="Arial" w:eastAsia="Calibri" w:hAnsi="Arial" w:cs="Arial"/>
          <w:sz w:val="22"/>
          <w:szCs w:val="22"/>
          <w:vertAlign w:val="subscript"/>
          <w:lang w:val="es-MX" w:eastAsia="en-US"/>
        </w:rPr>
        <w:t>.</w:t>
      </w:r>
    </w:p>
    <w:p w14:paraId="250696A1" w14:textId="77777777" w:rsidR="001A4328" w:rsidRPr="002C575D" w:rsidRDefault="001A4328" w:rsidP="001C7683">
      <w:pPr>
        <w:spacing w:after="160" w:line="276" w:lineRule="auto"/>
        <w:ind w:firstLine="709"/>
        <w:jc w:val="both"/>
        <w:rPr>
          <w:rFonts w:ascii="Arial" w:eastAsia="Calibri" w:hAnsi="Arial" w:cs="Arial"/>
          <w:sz w:val="22"/>
          <w:szCs w:val="22"/>
          <w:lang w:val="es-MX" w:eastAsia="en-US"/>
        </w:rPr>
      </w:pPr>
      <w:r w:rsidRPr="002C575D">
        <w:rPr>
          <w:rFonts w:ascii="Arial" w:eastAsia="Calibri" w:hAnsi="Arial" w:cs="Arial"/>
          <w:sz w:val="22"/>
          <w:szCs w:val="22"/>
          <w:lang w:val="es-MX" w:eastAsia="en-US"/>
        </w:rPr>
        <w:lastRenderedPageBreak/>
        <w:t>En desarrollo de lo anterior, se expidió la Ley 30 de 1992, mediante la cual se regularon aspectos como la naturaleza jurídica de las universidades estatales y oficiales, la forma de organizarse y el régimen de contratación aplicable. Así mismo, en el artículo 57 se consignó que e</w:t>
      </w:r>
      <w:r w:rsidRPr="002C575D">
        <w:rPr>
          <w:rFonts w:ascii="Arial" w:eastAsia="Calibri" w:hAnsi="Arial" w:cs="Arial"/>
          <w:sz w:val="22"/>
          <w:szCs w:val="22"/>
          <w:lang w:eastAsia="en-US"/>
        </w:rPr>
        <w:t>l carácter especial del régimen de las universidades estatales u oficiales comprende, entre otros aspectos, el régimen de contratación</w:t>
      </w:r>
      <w:r w:rsidRPr="002C575D">
        <w:rPr>
          <w:rFonts w:ascii="Arial" w:eastAsia="Calibri" w:hAnsi="Arial" w:cs="Arial"/>
          <w:sz w:val="22"/>
          <w:szCs w:val="22"/>
          <w:vertAlign w:val="superscript"/>
          <w:lang w:val="es-MX" w:eastAsia="en-US"/>
        </w:rPr>
        <w:footnoteReference w:id="33"/>
      </w:r>
      <w:r w:rsidRPr="002C575D">
        <w:rPr>
          <w:rFonts w:ascii="Arial" w:eastAsia="Calibri" w:hAnsi="Arial" w:cs="Arial"/>
          <w:sz w:val="22"/>
          <w:szCs w:val="22"/>
          <w:lang w:eastAsia="en-US"/>
        </w:rPr>
        <w:t xml:space="preserve">. En el mismo sentido, estableció en el artículo 93 que los contratos que </w:t>
      </w:r>
      <w:r w:rsidRPr="002C575D">
        <w:rPr>
          <w:rFonts w:ascii="Arial" w:eastAsia="Calibri" w:hAnsi="Arial" w:cs="Arial"/>
          <w:sz w:val="22"/>
          <w:szCs w:val="22"/>
          <w:lang w:val="es-MX" w:eastAsia="en-US"/>
        </w:rPr>
        <w:t>celebren las universidades estatales u oficiales se regirán por las normas del derecho privado</w:t>
      </w:r>
      <w:r w:rsidRPr="002C575D">
        <w:rPr>
          <w:rFonts w:ascii="Arial" w:eastAsia="Calibri" w:hAnsi="Arial" w:cs="Arial"/>
          <w:sz w:val="22"/>
          <w:szCs w:val="22"/>
          <w:vertAlign w:val="superscript"/>
          <w:lang w:val="es-MX" w:eastAsia="en-US"/>
        </w:rPr>
        <w:footnoteReference w:id="34"/>
      </w:r>
      <w:r w:rsidRPr="002C575D">
        <w:rPr>
          <w:rFonts w:ascii="Arial" w:eastAsia="Calibri" w:hAnsi="Arial" w:cs="Arial"/>
          <w:sz w:val="22"/>
          <w:szCs w:val="22"/>
          <w:lang w:val="es-MX" w:eastAsia="en-US"/>
        </w:rPr>
        <w:t xml:space="preserve">. </w:t>
      </w:r>
    </w:p>
    <w:p w14:paraId="08CD587D" w14:textId="77777777" w:rsidR="001A4328" w:rsidRPr="002C575D" w:rsidRDefault="001A4328" w:rsidP="001A4328">
      <w:pPr>
        <w:spacing w:after="160" w:line="276" w:lineRule="auto"/>
        <w:ind w:firstLine="709"/>
        <w:jc w:val="both"/>
        <w:rPr>
          <w:rFonts w:ascii="Arial" w:eastAsia="Calibri" w:hAnsi="Arial" w:cs="Arial"/>
          <w:sz w:val="22"/>
          <w:szCs w:val="22"/>
          <w:lang w:val="es-ES" w:eastAsia="en-US"/>
        </w:rPr>
      </w:pPr>
      <w:r w:rsidRPr="002C575D">
        <w:rPr>
          <w:rFonts w:ascii="Arial" w:eastAsia="Calibri" w:hAnsi="Arial" w:cs="Arial"/>
          <w:sz w:val="22"/>
          <w:szCs w:val="22"/>
          <w:lang w:val="es-ES" w:eastAsia="en-US"/>
        </w:rPr>
        <w:t>De otro lado, la Ley 489 de 1998, al desarrollar la estructura y organización de la Administración Pública, establece que los entes universitarios hacen parte integral de esta</w:t>
      </w:r>
      <w:r w:rsidRPr="002C575D">
        <w:rPr>
          <w:rFonts w:ascii="Arial" w:eastAsia="Calibri" w:hAnsi="Arial" w:cs="Arial"/>
          <w:sz w:val="22"/>
          <w:szCs w:val="22"/>
          <w:vertAlign w:val="superscript"/>
          <w:lang w:val="es-ES" w:eastAsia="en-US"/>
        </w:rPr>
        <w:footnoteReference w:id="35"/>
      </w:r>
      <w:r w:rsidRPr="002C575D">
        <w:rPr>
          <w:rFonts w:ascii="Arial" w:eastAsia="Calibri" w:hAnsi="Arial" w:cs="Arial"/>
          <w:sz w:val="22"/>
          <w:szCs w:val="22"/>
          <w:lang w:val="es-ES" w:eastAsia="en-US"/>
        </w:rPr>
        <w:t>, catalogándolos como entidades públicas de carácter autónomo a las que aplica un régimen especial</w:t>
      </w:r>
      <w:r w:rsidRPr="002C575D">
        <w:rPr>
          <w:rFonts w:ascii="Arial" w:eastAsia="Calibri" w:hAnsi="Arial" w:cs="Arial"/>
          <w:sz w:val="22"/>
          <w:szCs w:val="22"/>
          <w:vertAlign w:val="superscript"/>
          <w:lang w:val="es-ES" w:eastAsia="en-US"/>
        </w:rPr>
        <w:footnoteReference w:id="36"/>
      </w:r>
      <w:r w:rsidRPr="002C575D">
        <w:rPr>
          <w:rFonts w:ascii="Arial" w:eastAsia="Calibri" w:hAnsi="Arial" w:cs="Arial"/>
          <w:sz w:val="22"/>
          <w:szCs w:val="22"/>
          <w:lang w:val="es-ES" w:eastAsia="en-US"/>
        </w:rPr>
        <w:t>.  Al respecto, en la sentencia C-1019 de 2012, la Corte Constitucional señaló:</w:t>
      </w:r>
    </w:p>
    <w:p w14:paraId="48C85727" w14:textId="77777777" w:rsidR="001A4328" w:rsidRPr="002C575D" w:rsidRDefault="001A4328" w:rsidP="002732D4">
      <w:pPr>
        <w:spacing w:after="160"/>
        <w:ind w:left="709" w:right="709"/>
        <w:jc w:val="both"/>
        <w:rPr>
          <w:rFonts w:ascii="Arial" w:eastAsia="Calibri" w:hAnsi="Arial" w:cs="Arial"/>
          <w:sz w:val="21"/>
          <w:szCs w:val="21"/>
          <w:lang w:val="es-ES" w:eastAsia="en-US"/>
        </w:rPr>
      </w:pPr>
      <w:r w:rsidRPr="002C575D">
        <w:rPr>
          <w:rFonts w:ascii="Arial" w:eastAsia="Calibri" w:hAnsi="Arial" w:cs="Arial"/>
          <w:sz w:val="21"/>
          <w:szCs w:val="21"/>
          <w:lang w:val="es-ES" w:eastAsia="en-US"/>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 exige el cumplimiento de la obligación de colaboración armónica consagrado en el artículo 113 de la C.P. para el cumplimiento de las funciones del Estado.</w:t>
      </w:r>
    </w:p>
    <w:p w14:paraId="48C43F4B" w14:textId="77777777" w:rsidR="001A4328" w:rsidRPr="002C575D" w:rsidRDefault="001A4328" w:rsidP="002732D4">
      <w:pPr>
        <w:spacing w:after="160"/>
        <w:ind w:left="709" w:right="709"/>
        <w:jc w:val="both"/>
        <w:rPr>
          <w:rFonts w:ascii="Arial" w:eastAsia="Calibri" w:hAnsi="Arial" w:cs="Arial"/>
          <w:sz w:val="21"/>
          <w:szCs w:val="21"/>
          <w:lang w:val="es-ES" w:eastAsia="en-US"/>
        </w:rPr>
      </w:pPr>
      <w:r w:rsidRPr="002C575D">
        <w:rPr>
          <w:rFonts w:ascii="Arial" w:eastAsia="Calibri" w:hAnsi="Arial" w:cs="Arial"/>
          <w:sz w:val="21"/>
          <w:szCs w:val="21"/>
          <w:lang w:val="es-ES" w:eastAsia="en-US"/>
        </w:rPr>
        <w:t xml:space="preserve">Aunque se establezca la participación de representantes del Estado en sus órganos de gobierno, la normatividad y la jurisprudencia han reconocido que lo </w:t>
      </w:r>
      <w:r w:rsidRPr="002C575D">
        <w:rPr>
          <w:rFonts w:ascii="Arial" w:eastAsia="Calibri" w:hAnsi="Arial" w:cs="Arial"/>
          <w:sz w:val="21"/>
          <w:szCs w:val="21"/>
          <w:lang w:val="es-ES" w:eastAsia="en-US"/>
        </w:rPr>
        <w:lastRenderedPageBreak/>
        <w:t>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2C575D">
        <w:rPr>
          <w:rFonts w:ascii="Arial" w:eastAsia="Calibri" w:hAnsi="Arial" w:cs="Arial"/>
          <w:sz w:val="21"/>
          <w:szCs w:val="21"/>
          <w:vertAlign w:val="superscript"/>
          <w:lang w:val="es-ES" w:eastAsia="en-US"/>
        </w:rPr>
        <w:footnoteReference w:id="37"/>
      </w:r>
      <w:r w:rsidRPr="002C575D">
        <w:rPr>
          <w:rFonts w:ascii="Arial" w:eastAsia="Calibri" w:hAnsi="Arial" w:cs="Arial"/>
          <w:sz w:val="21"/>
          <w:szCs w:val="21"/>
          <w:lang w:val="es-ES" w:eastAsia="en-US"/>
        </w:rPr>
        <w:t>. De esta manera se pretende preservar a las universidades públicas y oficiales, de las injerencias e interferencias arbitrarias e indebidas del poder político</w:t>
      </w:r>
      <w:r w:rsidRPr="002C575D">
        <w:rPr>
          <w:rFonts w:ascii="Arial" w:eastAsia="Calibri" w:hAnsi="Arial" w:cs="Arial"/>
          <w:sz w:val="21"/>
          <w:szCs w:val="21"/>
          <w:vertAlign w:val="superscript"/>
          <w:lang w:val="es-ES" w:eastAsia="en-US"/>
        </w:rPr>
        <w:footnoteReference w:id="38"/>
      </w:r>
      <w:r w:rsidRPr="002C575D">
        <w:rPr>
          <w:rFonts w:ascii="Arial" w:eastAsia="Calibri" w:hAnsi="Arial" w:cs="Arial"/>
          <w:sz w:val="21"/>
          <w:szCs w:val="21"/>
          <w:lang w:val="es-ES" w:eastAsia="en-US"/>
        </w:rPr>
        <w:t>.</w:t>
      </w:r>
    </w:p>
    <w:p w14:paraId="2BBD0F11" w14:textId="77777777" w:rsidR="001A4328" w:rsidRPr="002C575D" w:rsidRDefault="001A4328" w:rsidP="001A4328">
      <w:pPr>
        <w:spacing w:after="160" w:line="276" w:lineRule="auto"/>
        <w:ind w:firstLine="709"/>
        <w:jc w:val="both"/>
        <w:rPr>
          <w:rFonts w:ascii="Arial" w:eastAsia="Calibri" w:hAnsi="Arial" w:cs="Arial"/>
          <w:sz w:val="22"/>
          <w:szCs w:val="22"/>
          <w:lang w:val="es-ES" w:eastAsia="en-US"/>
        </w:rPr>
      </w:pPr>
      <w:r w:rsidRPr="002C575D">
        <w:rPr>
          <w:rFonts w:ascii="Arial" w:eastAsia="Calibri" w:hAnsi="Arial" w:cs="Arial"/>
          <w:sz w:val="22"/>
          <w:szCs w:val="22"/>
          <w:lang w:val="es-ES" w:eastAsia="en-US"/>
        </w:rPr>
        <w:t>En armonía con lo anterior, se ha considerado que los entes universitarios no son entidades que hagan parte de la rama ejecutiva, ni pueden, por tanto, considerarse entidades descentralizadas, sino que gozan de un régimen especial. Lo anterior fue señalado por el Consejo de Estado de la siguiente manera</w:t>
      </w:r>
      <w:r w:rsidRPr="002C575D">
        <w:rPr>
          <w:rFonts w:ascii="Arial" w:eastAsia="Calibri" w:hAnsi="Arial" w:cs="Arial"/>
          <w:sz w:val="22"/>
          <w:szCs w:val="22"/>
          <w:vertAlign w:val="superscript"/>
          <w:lang w:val="es-ES" w:eastAsia="en-US"/>
        </w:rPr>
        <w:footnoteReference w:id="39"/>
      </w:r>
      <w:r w:rsidRPr="002C575D">
        <w:rPr>
          <w:rFonts w:ascii="Arial" w:eastAsia="Calibri" w:hAnsi="Arial" w:cs="Arial"/>
          <w:sz w:val="22"/>
          <w:szCs w:val="22"/>
          <w:lang w:val="es-ES" w:eastAsia="en-US"/>
        </w:rPr>
        <w:t>:</w:t>
      </w:r>
    </w:p>
    <w:p w14:paraId="7E51EB68" w14:textId="5768F14A" w:rsidR="004D4FA6" w:rsidRPr="002C575D" w:rsidRDefault="001A4328" w:rsidP="0087764D">
      <w:pPr>
        <w:spacing w:after="160"/>
        <w:ind w:left="709" w:right="709"/>
        <w:jc w:val="both"/>
        <w:rPr>
          <w:rFonts w:ascii="Arial" w:eastAsia="Calibri" w:hAnsi="Arial" w:cs="Arial"/>
          <w:sz w:val="21"/>
          <w:szCs w:val="21"/>
          <w:lang w:val="es-ES" w:eastAsia="en-US"/>
        </w:rPr>
      </w:pPr>
      <w:r w:rsidRPr="002C575D">
        <w:rPr>
          <w:rFonts w:ascii="Arial" w:eastAsia="Calibri" w:hAnsi="Arial" w:cs="Arial"/>
          <w:sz w:val="21"/>
          <w:szCs w:val="21"/>
          <w:lang w:val="es-ES" w:eastAsia="en-US"/>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2F3E67FC" w14:textId="6D4919AA" w:rsidR="004D4FA6" w:rsidRPr="002C575D" w:rsidRDefault="0012698E" w:rsidP="0087764D">
      <w:pPr>
        <w:spacing w:after="160"/>
        <w:ind w:right="709"/>
        <w:jc w:val="both"/>
        <w:rPr>
          <w:rFonts w:ascii="Arial" w:eastAsia="Calibri" w:hAnsi="Arial" w:cs="Arial"/>
          <w:sz w:val="21"/>
          <w:szCs w:val="21"/>
          <w:lang w:val="es-ES" w:eastAsia="en-US"/>
        </w:rPr>
      </w:pPr>
      <w:r>
        <w:rPr>
          <w:rFonts w:ascii="Arial" w:eastAsia="Calibri" w:hAnsi="Arial" w:cs="Arial"/>
          <w:sz w:val="21"/>
          <w:szCs w:val="21"/>
          <w:lang w:val="es-ES" w:eastAsia="en-US"/>
        </w:rPr>
        <w:t xml:space="preserve">            </w:t>
      </w:r>
      <w:r w:rsidR="001A4328" w:rsidRPr="002C575D">
        <w:rPr>
          <w:rFonts w:ascii="Arial" w:eastAsia="Calibri" w:hAnsi="Arial" w:cs="Arial"/>
          <w:sz w:val="21"/>
          <w:szCs w:val="21"/>
          <w:lang w:val="es-ES" w:eastAsia="en-US"/>
        </w:rPr>
        <w:t>[…</w:t>
      </w:r>
      <w:r w:rsidR="0087764D">
        <w:rPr>
          <w:rFonts w:ascii="Arial" w:eastAsia="Calibri" w:hAnsi="Arial" w:cs="Arial"/>
          <w:sz w:val="21"/>
          <w:szCs w:val="21"/>
          <w:lang w:val="es-ES" w:eastAsia="en-US"/>
        </w:rPr>
        <w:t>]</w:t>
      </w:r>
    </w:p>
    <w:p w14:paraId="60CE1FE7" w14:textId="3E1B8977" w:rsidR="00334B07" w:rsidRPr="002C575D" w:rsidRDefault="001A4328" w:rsidP="003A2F12">
      <w:pPr>
        <w:spacing w:after="160"/>
        <w:ind w:left="709" w:right="709"/>
        <w:jc w:val="both"/>
        <w:rPr>
          <w:rFonts w:ascii="Arial" w:eastAsia="Calibri" w:hAnsi="Arial" w:cs="Arial"/>
          <w:sz w:val="21"/>
          <w:szCs w:val="21"/>
          <w:lang w:val="es-ES" w:eastAsia="en-US"/>
        </w:rPr>
      </w:pPr>
      <w:r w:rsidRPr="002C575D">
        <w:rPr>
          <w:rFonts w:ascii="Arial" w:eastAsia="Calibri" w:hAnsi="Arial" w:cs="Arial"/>
          <w:sz w:val="21"/>
          <w:szCs w:val="21"/>
          <w:lang w:val="es-ES" w:eastAsia="en-US"/>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r w:rsidR="00334B07">
        <w:rPr>
          <w:rFonts w:ascii="Arial" w:eastAsia="Calibri" w:hAnsi="Arial" w:cs="Arial"/>
          <w:sz w:val="21"/>
          <w:szCs w:val="21"/>
          <w:lang w:val="es-ES" w:eastAsia="en-US"/>
        </w:rPr>
        <w:t xml:space="preserve"> </w:t>
      </w:r>
      <w:r w:rsidRPr="002C575D">
        <w:rPr>
          <w:rFonts w:ascii="Arial" w:eastAsia="Calibri" w:hAnsi="Arial" w:cs="Arial"/>
          <w:sz w:val="21"/>
          <w:szCs w:val="21"/>
          <w:lang w:val="es-ES" w:eastAsia="en-US"/>
        </w:rPr>
        <w:t>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r w:rsidRPr="002C575D">
        <w:rPr>
          <w:rFonts w:ascii="Arial" w:eastAsia="Calibri" w:hAnsi="Arial" w:cs="Arial"/>
          <w:sz w:val="21"/>
          <w:szCs w:val="21"/>
          <w:vertAlign w:val="superscript"/>
          <w:lang w:val="es-ES" w:eastAsia="en-US"/>
        </w:rPr>
        <w:footnoteReference w:id="40"/>
      </w:r>
      <w:r w:rsidRPr="002C575D">
        <w:rPr>
          <w:rFonts w:ascii="Arial" w:eastAsia="Calibri" w:hAnsi="Arial" w:cs="Arial"/>
          <w:sz w:val="21"/>
          <w:szCs w:val="21"/>
          <w:lang w:val="es-ES" w:eastAsia="en-US"/>
        </w:rPr>
        <w:t>.</w:t>
      </w:r>
    </w:p>
    <w:p w14:paraId="63C4D12C" w14:textId="77777777" w:rsidR="001A4328" w:rsidRPr="002C575D" w:rsidRDefault="001A4328" w:rsidP="001A4328">
      <w:pPr>
        <w:spacing w:after="160" w:line="276" w:lineRule="auto"/>
        <w:ind w:firstLine="709"/>
        <w:jc w:val="both"/>
        <w:rPr>
          <w:rFonts w:ascii="Arial" w:eastAsia="Calibri" w:hAnsi="Arial" w:cs="Arial"/>
          <w:sz w:val="22"/>
          <w:szCs w:val="22"/>
          <w:lang w:val="es-ES" w:eastAsia="en-US"/>
        </w:rPr>
      </w:pPr>
      <w:r w:rsidRPr="002C575D">
        <w:rPr>
          <w:rFonts w:ascii="Arial" w:eastAsia="Calibri" w:hAnsi="Arial" w:cs="Arial"/>
          <w:sz w:val="22"/>
          <w:szCs w:val="22"/>
          <w:lang w:val="es-ES" w:eastAsia="en-US"/>
        </w:rPr>
        <w:t xml:space="preserve">De este modo, la diferenciación entre universidades públicas y entidades descentralizadas radica, entre otras cosas, en la autonomía de la que aquellas gozan. Esto, en la medida en que a las universidades públicas no les aplica un elemento característico </w:t>
      </w:r>
      <w:r w:rsidRPr="002C575D">
        <w:rPr>
          <w:rFonts w:ascii="Arial" w:eastAsia="Calibri" w:hAnsi="Arial" w:cs="Arial"/>
          <w:sz w:val="22"/>
          <w:szCs w:val="22"/>
          <w:lang w:val="es-ES" w:eastAsia="en-US"/>
        </w:rPr>
        <w:lastRenderedPageBreak/>
        <w:t>de la descentralización denominado control de tutela, sobre el cual, en sentencia C–727 del 21 de junio de 2000, la Corte Constitucional señaló:</w:t>
      </w:r>
    </w:p>
    <w:p w14:paraId="10997FCC" w14:textId="77777777" w:rsidR="001A4328" w:rsidRPr="002C575D" w:rsidRDefault="001A4328" w:rsidP="00DB5F55">
      <w:pPr>
        <w:spacing w:after="160"/>
        <w:ind w:left="709" w:right="709"/>
        <w:jc w:val="both"/>
        <w:rPr>
          <w:rFonts w:ascii="Arial" w:eastAsia="Calibri" w:hAnsi="Arial" w:cs="Arial"/>
          <w:sz w:val="21"/>
          <w:szCs w:val="21"/>
          <w:lang w:val="es-ES" w:eastAsia="en-US"/>
        </w:rPr>
      </w:pPr>
      <w:r w:rsidRPr="002C575D">
        <w:rPr>
          <w:rFonts w:ascii="Arial" w:eastAsia="Calibri" w:hAnsi="Arial" w:cs="Arial"/>
          <w:sz w:val="21"/>
          <w:szCs w:val="21"/>
          <w:lang w:val="es-ES" w:eastAsia="en-US"/>
        </w:rPr>
        <w:t>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 1968.</w:t>
      </w:r>
    </w:p>
    <w:p w14:paraId="6D5CC26B" w14:textId="1C29A79C" w:rsidR="001A4328" w:rsidRPr="00704204" w:rsidRDefault="001A4328" w:rsidP="00704204">
      <w:pPr>
        <w:spacing w:after="160" w:line="276" w:lineRule="auto"/>
        <w:ind w:firstLine="709"/>
        <w:jc w:val="both"/>
        <w:rPr>
          <w:rFonts w:ascii="Arial" w:eastAsia="Calibri" w:hAnsi="Arial" w:cs="Arial"/>
          <w:sz w:val="22"/>
          <w:szCs w:val="22"/>
          <w:lang w:val="es-ES" w:eastAsia="en-US"/>
        </w:rPr>
      </w:pPr>
      <w:r w:rsidRPr="002C575D">
        <w:rPr>
          <w:rFonts w:ascii="Arial" w:eastAsia="Calibri" w:hAnsi="Arial" w:cs="Arial"/>
          <w:sz w:val="22"/>
          <w:szCs w:val="22"/>
          <w:lang w:val="es-ES" w:eastAsia="en-US"/>
        </w:rPr>
        <w:t>En suma, 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 Lo anterior resulta relevante para efectos de la aplicación de la Ley de Garantías, especialmente, en lo relacionado con la prohibición del parágrafo del artículo 38, ya que los entes universitarios autónomos, de conformidad con lo desarrollado hasta este lugar no se enmarcan dentro de las autoridades incluidas en dicha prohibición, en tanto está dirigida a los «gobernadores, alcaldes municipales y/o distritales, secretarios, gerentes y directores de entidades descentralizadas del orden municipal, departamental o distrital»</w:t>
      </w:r>
      <w:r w:rsidRPr="002C575D">
        <w:rPr>
          <w:rFonts w:ascii="Arial" w:eastAsia="Calibri" w:hAnsi="Arial" w:cs="Arial"/>
          <w:sz w:val="22"/>
          <w:szCs w:val="22"/>
          <w:vertAlign w:val="superscript"/>
          <w:lang w:val="es-ES" w:eastAsia="en-US"/>
        </w:rPr>
        <w:footnoteReference w:id="41"/>
      </w:r>
      <w:r w:rsidRPr="002C575D">
        <w:rPr>
          <w:rFonts w:ascii="Arial" w:eastAsia="Calibri" w:hAnsi="Arial" w:cs="Arial"/>
          <w:sz w:val="22"/>
          <w:szCs w:val="22"/>
          <w:lang w:val="es-ES" w:eastAsia="en-US"/>
        </w:rPr>
        <w:t xml:space="preserve">. Sin embargo, al tratarse de «entes del Estado» que es la noción establecida en el artículo 33 de la Ley 996 de 2005 sí quedan incluidas en esta prohibición, toda vez que esta aplica a todos los entes del Estado, sin importar su régimen jurídico, forma de organización o naturaleza, pertenencia a una u otra rama del poder público o su autonomía, </w:t>
      </w:r>
      <w:r w:rsidRPr="002C575D">
        <w:rPr>
          <w:rFonts w:ascii="Arial" w:eastAsia="Calibri" w:hAnsi="Arial" w:cs="Arial"/>
          <w:bCs/>
          <w:sz w:val="22"/>
          <w:szCs w:val="22"/>
          <w:lang w:val="es-ES" w:eastAsia="en-US"/>
        </w:rPr>
        <w:t>por lo que dentro de ella se encuentran las universidades públicas, a quienes les queda prohibida la contratación directa durante los cuatro (4) meses anteriores a la elección presidencial y hasta la realización de la elección en la segunda vuelta, si fuere el caso.</w:t>
      </w:r>
      <w:bookmarkEnd w:id="28"/>
    </w:p>
    <w:p w14:paraId="4DF4CA33" w14:textId="5495384C" w:rsidR="003A231A" w:rsidRDefault="003A231A" w:rsidP="00B244DB">
      <w:pPr>
        <w:spacing w:line="276" w:lineRule="auto"/>
        <w:jc w:val="both"/>
        <w:rPr>
          <w:rFonts w:ascii="Arial" w:hAnsi="Arial" w:cs="Arial"/>
          <w:b/>
          <w:bCs/>
          <w:sz w:val="22"/>
          <w:szCs w:val="22"/>
          <w:lang w:eastAsia="es-CO"/>
        </w:rPr>
      </w:pPr>
      <w:r w:rsidRPr="005641DC">
        <w:rPr>
          <w:rFonts w:ascii="Arial" w:hAnsi="Arial" w:cs="Arial"/>
          <w:b/>
          <w:bCs/>
          <w:sz w:val="22"/>
          <w:szCs w:val="22"/>
          <w:lang w:eastAsia="es-CO"/>
        </w:rPr>
        <w:t>3. Respuestas</w:t>
      </w:r>
    </w:p>
    <w:p w14:paraId="7B9D8F73" w14:textId="77777777" w:rsidR="00B11785" w:rsidRPr="00B11785" w:rsidRDefault="00B11785" w:rsidP="00B244DB">
      <w:pPr>
        <w:spacing w:line="276" w:lineRule="auto"/>
        <w:jc w:val="both"/>
        <w:rPr>
          <w:rFonts w:ascii="Arial" w:hAnsi="Arial" w:cs="Arial"/>
          <w:b/>
          <w:bCs/>
          <w:sz w:val="22"/>
          <w:szCs w:val="22"/>
          <w:lang w:eastAsia="es-CO"/>
        </w:rPr>
      </w:pPr>
    </w:p>
    <w:p w14:paraId="6671F118" w14:textId="4872BFF9" w:rsidR="003A231A" w:rsidRPr="005641DC" w:rsidRDefault="00B523D3" w:rsidP="00B11785">
      <w:pPr>
        <w:autoSpaceDE w:val="0"/>
        <w:autoSpaceDN w:val="0"/>
        <w:adjustRightInd w:val="0"/>
        <w:ind w:left="709" w:right="709"/>
        <w:jc w:val="both"/>
        <w:rPr>
          <w:rFonts w:ascii="Arial" w:hAnsi="Arial" w:cs="Arial"/>
          <w:sz w:val="21"/>
          <w:szCs w:val="21"/>
        </w:rPr>
      </w:pPr>
      <w:r w:rsidRPr="005641DC">
        <w:rPr>
          <w:rFonts w:ascii="Arial" w:hAnsi="Arial" w:cs="Arial"/>
          <w:color w:val="000000" w:themeColor="text1"/>
          <w:sz w:val="21"/>
          <w:szCs w:val="21"/>
          <w:lang w:val="es-ES_tradnl"/>
        </w:rPr>
        <w:t>«</w:t>
      </w:r>
      <w:r w:rsidR="002572D4">
        <w:rPr>
          <w:rFonts w:ascii="Arial" w:hAnsi="Arial" w:cs="Arial"/>
          <w:sz w:val="21"/>
          <w:szCs w:val="21"/>
        </w:rPr>
        <w:t>De manera atenta solicito información respecto a sí (sic) en ley de garantías se puede o no suscribir convenios con universidades y otras entidades, sin erogación presupuestal valor ($0)</w:t>
      </w:r>
      <w:r w:rsidR="002572D4" w:rsidRPr="005641DC">
        <w:rPr>
          <w:rFonts w:ascii="Arial" w:eastAsia="Calibri" w:hAnsi="Arial" w:cs="Arial"/>
          <w:sz w:val="22"/>
          <w:szCs w:val="22"/>
          <w:lang w:eastAsia="en-US"/>
        </w:rPr>
        <w:t>»</w:t>
      </w:r>
      <w:r w:rsidR="002572D4" w:rsidRPr="005641DC">
        <w:rPr>
          <w:rFonts w:ascii="Arial" w:hAnsi="Arial" w:cs="Arial"/>
          <w:sz w:val="21"/>
          <w:szCs w:val="21"/>
        </w:rPr>
        <w:t>.</w:t>
      </w:r>
    </w:p>
    <w:p w14:paraId="6074C5CD" w14:textId="4D118AE1" w:rsidR="00EC4E36" w:rsidRDefault="00EC4E36" w:rsidP="000B440A">
      <w:pPr>
        <w:spacing w:line="276" w:lineRule="auto"/>
        <w:jc w:val="both"/>
        <w:rPr>
          <w:rFonts w:ascii="Arial" w:hAnsi="Arial" w:cs="Arial"/>
          <w:bCs/>
          <w:sz w:val="22"/>
          <w:szCs w:val="22"/>
          <w:lang w:eastAsia="es-CO"/>
        </w:rPr>
      </w:pPr>
    </w:p>
    <w:p w14:paraId="6D7FBBA5" w14:textId="10E4DBCB" w:rsidR="00353F97" w:rsidRPr="007377E5" w:rsidRDefault="00186972" w:rsidP="000B440A">
      <w:pPr>
        <w:spacing w:after="120" w:line="276" w:lineRule="auto"/>
        <w:jc w:val="both"/>
        <w:rPr>
          <w:rFonts w:ascii="Arial" w:hAnsi="Arial" w:cs="Arial"/>
          <w:bCs/>
          <w:color w:val="000000" w:themeColor="text1"/>
          <w:sz w:val="22"/>
        </w:rPr>
      </w:pPr>
      <w:bookmarkStart w:id="29" w:name="_Hlk98918498"/>
      <w:r w:rsidRPr="00D363D8">
        <w:rPr>
          <w:rFonts w:ascii="Arial" w:hAnsi="Arial" w:cs="Arial"/>
          <w:bCs/>
          <w:sz w:val="22"/>
          <w:szCs w:val="22"/>
          <w:lang w:eastAsia="es-CO"/>
        </w:rPr>
        <w:t xml:space="preserve">Conforme a lo expuesto, </w:t>
      </w:r>
      <w:r w:rsidR="001622AF" w:rsidRPr="00D363D8">
        <w:rPr>
          <w:rFonts w:ascii="Arial" w:hAnsi="Arial" w:cs="Arial"/>
          <w:bCs/>
          <w:sz w:val="22"/>
          <w:szCs w:val="22"/>
          <w:lang w:eastAsia="es-CO"/>
        </w:rPr>
        <w:t xml:space="preserve">en virtud de lo dispuesto en el artículo 33 de la Ley </w:t>
      </w:r>
      <w:r w:rsidR="00BA3D8B">
        <w:rPr>
          <w:rFonts w:ascii="Arial" w:hAnsi="Arial" w:cs="Arial"/>
          <w:bCs/>
          <w:sz w:val="22"/>
          <w:szCs w:val="22"/>
          <w:lang w:eastAsia="es-CO"/>
        </w:rPr>
        <w:t>996 de 2005</w:t>
      </w:r>
      <w:r w:rsidR="001622AF" w:rsidRPr="00D363D8">
        <w:rPr>
          <w:rFonts w:ascii="Arial" w:hAnsi="Arial" w:cs="Arial"/>
          <w:bCs/>
          <w:sz w:val="22"/>
          <w:szCs w:val="22"/>
          <w:lang w:eastAsia="es-CO"/>
        </w:rPr>
        <w:t xml:space="preserve"> Electorales, durante los periodos preelectorales de cuatro (4) meses anteriores a cada elección presidencial está restringida</w:t>
      </w:r>
      <w:r w:rsidR="00B21EA6" w:rsidRPr="00D363D8">
        <w:rPr>
          <w:rFonts w:ascii="Arial" w:hAnsi="Arial" w:cs="Arial"/>
          <w:bCs/>
          <w:sz w:val="22"/>
          <w:szCs w:val="22"/>
          <w:lang w:eastAsia="es-CO"/>
        </w:rPr>
        <w:t xml:space="preserve"> la </w:t>
      </w:r>
      <w:r w:rsidR="001622AF" w:rsidRPr="00D363D8">
        <w:rPr>
          <w:rFonts w:ascii="Arial" w:hAnsi="Arial" w:cs="Arial"/>
          <w:bCs/>
          <w:sz w:val="22"/>
          <w:szCs w:val="22"/>
          <w:lang w:eastAsia="es-CO"/>
        </w:rPr>
        <w:t xml:space="preserve">suscripción de contratos </w:t>
      </w:r>
      <w:r w:rsidR="00B67B21" w:rsidRPr="00D363D8">
        <w:rPr>
          <w:rFonts w:ascii="Arial" w:hAnsi="Arial" w:cs="Arial"/>
          <w:bCs/>
          <w:sz w:val="22"/>
          <w:szCs w:val="22"/>
          <w:lang w:eastAsia="es-CO"/>
        </w:rPr>
        <w:t>en</w:t>
      </w:r>
      <w:r w:rsidR="00382CF1" w:rsidRPr="00D363D8">
        <w:rPr>
          <w:rFonts w:ascii="Arial" w:hAnsi="Arial" w:cs="Arial"/>
          <w:bCs/>
          <w:sz w:val="22"/>
          <w:szCs w:val="22"/>
          <w:lang w:eastAsia="es-CO"/>
        </w:rPr>
        <w:t xml:space="preserve"> modalidad de contratación directa</w:t>
      </w:r>
      <w:r w:rsidR="001C3B3A">
        <w:rPr>
          <w:rFonts w:ascii="Arial" w:hAnsi="Arial" w:cs="Arial"/>
          <w:bCs/>
          <w:sz w:val="22"/>
          <w:szCs w:val="22"/>
          <w:lang w:eastAsia="es-CO"/>
        </w:rPr>
        <w:t>,</w:t>
      </w:r>
      <w:r w:rsidR="001F751D" w:rsidRPr="00D363D8">
        <w:rPr>
          <w:rFonts w:ascii="Arial" w:hAnsi="Arial" w:cs="Arial"/>
          <w:bCs/>
          <w:sz w:val="22"/>
          <w:szCs w:val="22"/>
          <w:lang w:eastAsia="es-CO"/>
        </w:rPr>
        <w:t xml:space="preserve"> </w:t>
      </w:r>
      <w:r w:rsidR="001C3B3A">
        <w:rPr>
          <w:rFonts w:ascii="Arial" w:hAnsi="Arial" w:cs="Arial"/>
          <w:bCs/>
          <w:sz w:val="22"/>
          <w:szCs w:val="22"/>
          <w:lang w:eastAsia="es-CO"/>
        </w:rPr>
        <w:t>esto</w:t>
      </w:r>
      <w:r w:rsidR="002D0EC4" w:rsidRPr="00D363D8">
        <w:rPr>
          <w:rFonts w:ascii="Arial" w:hAnsi="Arial" w:cs="Arial"/>
          <w:bCs/>
          <w:sz w:val="22"/>
          <w:szCs w:val="22"/>
          <w:lang w:eastAsia="es-CO"/>
        </w:rPr>
        <w:t xml:space="preserve"> sin perjuicio de que, durante la vigencia de la restricción, se celebren contratos como producto de la celebración de procedimientos competitivos.</w:t>
      </w:r>
      <w:r w:rsidR="00353F97" w:rsidRPr="007377E5">
        <w:rPr>
          <w:rFonts w:ascii="Arial" w:hAnsi="Arial" w:cs="Arial"/>
          <w:sz w:val="22"/>
          <w:lang w:val="es-ES"/>
        </w:rPr>
        <w:t xml:space="preserve"> </w:t>
      </w:r>
      <w:r w:rsidR="00BA3D8B">
        <w:rPr>
          <w:rFonts w:ascii="Arial" w:hAnsi="Arial" w:cs="Arial"/>
          <w:sz w:val="22"/>
        </w:rPr>
        <w:t>Esta</w:t>
      </w:r>
      <w:r w:rsidR="00353F97" w:rsidRPr="007377E5">
        <w:rPr>
          <w:rFonts w:ascii="Arial" w:hAnsi="Arial" w:cs="Arial"/>
          <w:sz w:val="22"/>
        </w:rPr>
        <w:t xml:space="preserve"> prohibición aplica a todos </w:t>
      </w:r>
      <w:r w:rsidR="00353F97" w:rsidRPr="007377E5">
        <w:rPr>
          <w:rFonts w:ascii="Arial" w:hAnsi="Arial" w:cs="Arial"/>
          <w:color w:val="000000" w:themeColor="text1"/>
          <w:sz w:val="22"/>
        </w:rPr>
        <w:t xml:space="preserve">los entes del Estado, sin importar su régimen jurídico, forma de organización o naturaleza, pertenencia a una u otra rama del poder público o su autonomía, </w:t>
      </w:r>
      <w:r w:rsidR="00353F97" w:rsidRPr="007377E5">
        <w:rPr>
          <w:rFonts w:ascii="Arial" w:hAnsi="Arial" w:cs="Arial"/>
          <w:bCs/>
          <w:color w:val="000000" w:themeColor="text1"/>
          <w:sz w:val="22"/>
        </w:rPr>
        <w:t>por lo que dentro de ella se encuentran las universidades públicas, a quienes les queda prohibida cualquier forma de contratación directa durante los cuatro (4) meses anteriores a la elección presidencial y hasta la realización de la elección en la segunda vuelta, si fuere el caso.</w:t>
      </w:r>
    </w:p>
    <w:p w14:paraId="3ABF5B80" w14:textId="661B641A" w:rsidR="00D363D8" w:rsidRPr="000B440A" w:rsidRDefault="00D363D8" w:rsidP="000B440A">
      <w:pPr>
        <w:pStyle w:val="Textoindependiente"/>
        <w:spacing w:before="120" w:after="0"/>
        <w:jc w:val="both"/>
        <w:rPr>
          <w:rFonts w:ascii="Arial" w:eastAsia="Times New Roman" w:hAnsi="Arial" w:cs="Arial"/>
          <w:bCs/>
          <w:color w:val="000000" w:themeColor="text1"/>
          <w:lang w:val="es-MX" w:eastAsia="es-ES_tradnl"/>
        </w:rPr>
      </w:pPr>
      <w:r w:rsidRPr="00D363D8">
        <w:rPr>
          <w:rFonts w:ascii="Arial" w:hAnsi="Arial" w:cs="Arial"/>
          <w:bCs/>
          <w:lang w:val="es-MX"/>
        </w:rPr>
        <w:tab/>
        <w:t xml:space="preserve">De otra parte, se advierte que </w:t>
      </w:r>
      <w:r w:rsidRPr="000B440A">
        <w:rPr>
          <w:rFonts w:ascii="Arial" w:eastAsia="Times New Roman" w:hAnsi="Arial" w:cs="Arial"/>
          <w:bCs/>
          <w:color w:val="000000" w:themeColor="text1"/>
          <w:lang w:eastAsia="es-ES_tradnl"/>
        </w:rPr>
        <w:t>el parágrafo del artículo 38 de la Ley 996 de 2005, que restringe la celebración de contratos y convenios interadministrativos por parte de l</w:t>
      </w:r>
      <w:r w:rsidRPr="000B440A">
        <w:rPr>
          <w:rFonts w:ascii="Arial" w:hAnsi="Arial" w:cs="Arial"/>
        </w:rPr>
        <w:t>os gobernadores, alcaldes municipales y/o distritales, secretarios, gerentes y directores de entidades descentralizadas del orden municipal, departamental o distrital</w:t>
      </w:r>
      <w:r w:rsidRPr="000B440A">
        <w:rPr>
          <w:rFonts w:ascii="Arial" w:eastAsia="Times New Roman" w:hAnsi="Arial" w:cs="Arial"/>
          <w:bCs/>
          <w:color w:val="000000" w:themeColor="text1"/>
          <w:lang w:eastAsia="es-ES_tradnl"/>
        </w:rPr>
        <w:t xml:space="preserve">, no es aplicable a las universidades estatales, debido a que, en virtud de su atributo constitucional de autonomía y el desarrollo legislativo y jurisprudencial no son ni pueden asimilarse a las entidades de la rama ejecutiva, ni se trataría de entidades descentralizadas. En tal sentido, están por fuera del listado taxativo de entidades frente a las que aplica el parágrafo del artículo 38, ibidem. </w:t>
      </w:r>
    </w:p>
    <w:bookmarkEnd w:id="29"/>
    <w:p w14:paraId="1E1C6C4D" w14:textId="1E739774" w:rsidR="00722ACA" w:rsidRPr="005641DC" w:rsidRDefault="00D363D8" w:rsidP="000B440A">
      <w:pPr>
        <w:tabs>
          <w:tab w:val="left" w:pos="426"/>
        </w:tabs>
        <w:spacing w:line="276" w:lineRule="auto"/>
        <w:jc w:val="both"/>
        <w:rPr>
          <w:rFonts w:ascii="Arial" w:eastAsia="Calibri" w:hAnsi="Arial" w:cs="Arial"/>
          <w:sz w:val="22"/>
        </w:rPr>
      </w:pPr>
      <w:r w:rsidRPr="00D363D8">
        <w:rPr>
          <w:rFonts w:ascii="Arial" w:hAnsi="Arial" w:cs="Arial"/>
          <w:sz w:val="22"/>
          <w:szCs w:val="22"/>
          <w:lang w:val="es-ES"/>
        </w:rPr>
        <w:tab/>
      </w:r>
    </w:p>
    <w:p w14:paraId="7B2C921D" w14:textId="1B83F553" w:rsidR="00DD5B04" w:rsidRPr="005641DC" w:rsidRDefault="00DD5B04" w:rsidP="0054211B">
      <w:pPr>
        <w:spacing w:before="120" w:after="120" w:line="276" w:lineRule="auto"/>
        <w:jc w:val="both"/>
        <w:rPr>
          <w:rFonts w:ascii="Arial" w:hAnsi="Arial" w:cs="Arial"/>
          <w:color w:val="000000" w:themeColor="text1"/>
          <w:sz w:val="22"/>
          <w:lang w:val="es-ES_tradnl"/>
        </w:rPr>
      </w:pPr>
      <w:r w:rsidRPr="005641DC">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641DC"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5641DC"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641DC">
        <w:rPr>
          <w:rFonts w:ascii="Arial" w:hAnsi="Arial" w:cs="Arial"/>
          <w:color w:val="000000" w:themeColor="text1"/>
          <w:sz w:val="22"/>
          <w:szCs w:val="22"/>
          <w:lang w:val="es-ES_tradnl"/>
        </w:rPr>
        <w:t>Atentamente,</w:t>
      </w:r>
    </w:p>
    <w:bookmarkEnd w:id="6"/>
    <w:p w14:paraId="25655C30" w14:textId="5B6C3C0E" w:rsidR="00F00D3C" w:rsidRPr="000B440A" w:rsidRDefault="000B440A" w:rsidP="000B440A">
      <w:pPr>
        <w:jc w:val="center"/>
        <w:rPr>
          <w:rFonts w:ascii="Arial" w:hAnsi="Arial" w:cs="Arial"/>
          <w:sz w:val="22"/>
          <w:szCs w:val="22"/>
          <w:lang w:eastAsia="es-CO"/>
        </w:rPr>
      </w:pPr>
      <w:r>
        <w:rPr>
          <w:rFonts w:ascii="Arial" w:hAnsi="Arial" w:cs="Arial"/>
          <w:b/>
          <w:bCs/>
          <w:noProof/>
          <w:sz w:val="22"/>
          <w:lang w:eastAsia="es-CO"/>
        </w:rPr>
        <w:drawing>
          <wp:inline distT="0" distB="0" distL="0" distR="0" wp14:anchorId="1B3BDD0E" wp14:editId="629C29CA">
            <wp:extent cx="2517775" cy="1115695"/>
            <wp:effectExtent l="0" t="0" r="0" b="825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5695"/>
                    </a:xfrm>
                    <a:prstGeom prst="rect">
                      <a:avLst/>
                    </a:prstGeom>
                    <a:noFill/>
                  </pic:spPr>
                </pic:pic>
              </a:graphicData>
            </a:graphic>
          </wp:inline>
        </w:drawing>
      </w:r>
    </w:p>
    <w:p w14:paraId="3C8E684B" w14:textId="77777777" w:rsidR="00F00D3C" w:rsidRPr="005641DC" w:rsidRDefault="00F00D3C" w:rsidP="00F00D3C">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00D3C" w:rsidRPr="005641DC" w14:paraId="6958FEDD" w14:textId="77777777" w:rsidTr="002E1DEF">
        <w:trPr>
          <w:trHeight w:val="315"/>
        </w:trPr>
        <w:tc>
          <w:tcPr>
            <w:tcW w:w="488" w:type="dxa"/>
            <w:vAlign w:val="center"/>
            <w:hideMark/>
          </w:tcPr>
          <w:p w14:paraId="3E43CA55" w14:textId="77777777" w:rsidR="00F00D3C" w:rsidRPr="005641DC" w:rsidRDefault="00F00D3C" w:rsidP="002E1DEF">
            <w:pPr>
              <w:rPr>
                <w:rFonts w:ascii="Arial" w:hAnsi="Arial" w:cs="Arial"/>
                <w:sz w:val="16"/>
                <w:szCs w:val="16"/>
                <w:lang w:eastAsia="es-ES"/>
              </w:rPr>
            </w:pPr>
            <w:r w:rsidRPr="005641DC">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9B5E47D" w14:textId="3E5F708C" w:rsidR="00F00D3C" w:rsidRPr="005641DC" w:rsidRDefault="005B4DC0" w:rsidP="002E1DEF">
            <w:pPr>
              <w:rPr>
                <w:rFonts w:ascii="Arial" w:hAnsi="Arial" w:cs="Arial"/>
                <w:sz w:val="16"/>
                <w:szCs w:val="16"/>
                <w:lang w:eastAsia="es-ES"/>
              </w:rPr>
            </w:pPr>
            <w:r>
              <w:rPr>
                <w:rFonts w:ascii="Arial" w:hAnsi="Arial" w:cs="Arial"/>
                <w:sz w:val="16"/>
                <w:szCs w:val="16"/>
                <w:lang w:eastAsia="es-ES"/>
              </w:rPr>
              <w:t>Laura Alejandra Materón García</w:t>
            </w:r>
          </w:p>
          <w:p w14:paraId="620B5F6F" w14:textId="4773DABA" w:rsidR="00F00D3C" w:rsidRPr="005641DC" w:rsidRDefault="005B4DC0" w:rsidP="002E1DEF">
            <w:pPr>
              <w:rPr>
                <w:rFonts w:ascii="Arial" w:hAnsi="Arial" w:cs="Arial"/>
                <w:sz w:val="16"/>
                <w:szCs w:val="16"/>
                <w:lang w:eastAsia="es-ES"/>
              </w:rPr>
            </w:pPr>
            <w:r>
              <w:rPr>
                <w:rFonts w:ascii="Arial" w:hAnsi="Arial" w:cs="Arial"/>
                <w:sz w:val="16"/>
                <w:szCs w:val="16"/>
                <w:lang w:eastAsia="es-ES"/>
              </w:rPr>
              <w:t>Analista T2</w:t>
            </w:r>
            <w:r w:rsidR="00542C3D">
              <w:rPr>
                <w:rFonts w:ascii="Arial" w:hAnsi="Arial" w:cs="Arial"/>
                <w:sz w:val="16"/>
                <w:szCs w:val="16"/>
                <w:lang w:eastAsia="es-ES"/>
              </w:rPr>
              <w:t xml:space="preserve"> - 01</w:t>
            </w:r>
            <w:r w:rsidR="00F00D3C" w:rsidRPr="005641DC">
              <w:rPr>
                <w:rFonts w:ascii="Arial" w:hAnsi="Arial" w:cs="Arial"/>
                <w:sz w:val="16"/>
                <w:szCs w:val="16"/>
                <w:lang w:eastAsia="es-ES"/>
              </w:rPr>
              <w:t xml:space="preserve"> de la Subdirección de Gestión Contractual</w:t>
            </w:r>
          </w:p>
        </w:tc>
      </w:tr>
      <w:tr w:rsidR="00F00D3C" w:rsidRPr="005641DC" w14:paraId="40632883" w14:textId="77777777" w:rsidTr="002E1DEF">
        <w:trPr>
          <w:trHeight w:val="330"/>
        </w:trPr>
        <w:tc>
          <w:tcPr>
            <w:tcW w:w="488" w:type="dxa"/>
            <w:vAlign w:val="center"/>
            <w:hideMark/>
          </w:tcPr>
          <w:p w14:paraId="16364073" w14:textId="77777777" w:rsidR="00F00D3C" w:rsidRPr="005641DC" w:rsidRDefault="00F00D3C" w:rsidP="002E1DEF">
            <w:pPr>
              <w:rPr>
                <w:rFonts w:ascii="Arial" w:hAnsi="Arial" w:cs="Arial"/>
                <w:sz w:val="16"/>
                <w:szCs w:val="16"/>
                <w:lang w:eastAsia="es-ES"/>
              </w:rPr>
            </w:pPr>
            <w:r w:rsidRPr="005641DC">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533F4A" w14:textId="2974AFB5" w:rsidR="00F00D3C" w:rsidRPr="005641DC" w:rsidRDefault="00542C3D" w:rsidP="002E1DEF">
            <w:pPr>
              <w:rPr>
                <w:rFonts w:ascii="Arial" w:hAnsi="Arial" w:cs="Arial"/>
                <w:sz w:val="16"/>
                <w:szCs w:val="16"/>
                <w:lang w:eastAsia="es-ES"/>
              </w:rPr>
            </w:pPr>
            <w:r>
              <w:rPr>
                <w:rFonts w:ascii="Arial" w:hAnsi="Arial" w:cs="Arial"/>
                <w:sz w:val="16"/>
                <w:szCs w:val="16"/>
                <w:lang w:eastAsia="es-ES"/>
              </w:rPr>
              <w:t>Alejandro Sarmiento Cantillo</w:t>
            </w:r>
          </w:p>
          <w:p w14:paraId="26AFC69C" w14:textId="77777777" w:rsidR="00F00D3C" w:rsidRPr="005641DC" w:rsidRDefault="00F00D3C" w:rsidP="002E1DEF">
            <w:pPr>
              <w:rPr>
                <w:rFonts w:ascii="Arial" w:hAnsi="Arial" w:cs="Arial"/>
                <w:sz w:val="14"/>
                <w:szCs w:val="14"/>
                <w:lang w:val="es-MX" w:eastAsia="es-ES"/>
              </w:rPr>
            </w:pPr>
            <w:r w:rsidRPr="005641DC">
              <w:rPr>
                <w:rFonts w:ascii="Arial" w:hAnsi="Arial" w:cs="Arial"/>
                <w:sz w:val="16"/>
                <w:szCs w:val="16"/>
                <w:lang w:eastAsia="es-ES"/>
              </w:rPr>
              <w:t xml:space="preserve">Gestor T1-15 de la Subdirección de Gestión Contractual </w:t>
            </w:r>
          </w:p>
        </w:tc>
      </w:tr>
      <w:tr w:rsidR="00F00D3C" w:rsidRPr="00CE44D5" w14:paraId="307516A6" w14:textId="77777777" w:rsidTr="002E1DEF">
        <w:trPr>
          <w:trHeight w:val="300"/>
        </w:trPr>
        <w:tc>
          <w:tcPr>
            <w:tcW w:w="488" w:type="dxa"/>
            <w:vAlign w:val="center"/>
            <w:hideMark/>
          </w:tcPr>
          <w:p w14:paraId="3715FB43" w14:textId="77777777" w:rsidR="00F00D3C" w:rsidRPr="005641DC" w:rsidRDefault="00F00D3C" w:rsidP="002E1DEF">
            <w:pPr>
              <w:rPr>
                <w:rFonts w:ascii="Arial" w:hAnsi="Arial" w:cs="Arial"/>
                <w:sz w:val="16"/>
                <w:szCs w:val="16"/>
                <w:lang w:eastAsia="es-ES"/>
              </w:rPr>
            </w:pPr>
            <w:r w:rsidRPr="005641DC">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5512BA" w14:textId="77777777" w:rsidR="00F00D3C" w:rsidRPr="005641DC" w:rsidRDefault="00F00D3C" w:rsidP="002E1DEF">
            <w:pPr>
              <w:rPr>
                <w:rFonts w:ascii="Arial" w:hAnsi="Arial" w:cs="Arial"/>
                <w:sz w:val="16"/>
                <w:szCs w:val="16"/>
                <w:lang w:eastAsia="es-ES"/>
              </w:rPr>
            </w:pPr>
            <w:r w:rsidRPr="005641DC">
              <w:rPr>
                <w:rFonts w:ascii="Arial" w:hAnsi="Arial" w:cs="Arial"/>
                <w:sz w:val="16"/>
                <w:szCs w:val="16"/>
                <w:lang w:eastAsia="es-ES"/>
              </w:rPr>
              <w:t>Jorge Augusto Tirado Navarro</w:t>
            </w:r>
          </w:p>
          <w:p w14:paraId="17BC5E29" w14:textId="77777777" w:rsidR="00F00D3C" w:rsidRPr="00CE44D5" w:rsidRDefault="00F00D3C" w:rsidP="002E1DEF">
            <w:pPr>
              <w:rPr>
                <w:rFonts w:ascii="Arial" w:hAnsi="Arial" w:cs="Arial"/>
                <w:sz w:val="16"/>
                <w:szCs w:val="16"/>
                <w:lang w:eastAsia="es-ES"/>
              </w:rPr>
            </w:pPr>
            <w:r w:rsidRPr="005641DC">
              <w:rPr>
                <w:rFonts w:ascii="Arial" w:hAnsi="Arial" w:cs="Arial"/>
                <w:sz w:val="16"/>
                <w:szCs w:val="16"/>
                <w:lang w:eastAsia="es-ES"/>
              </w:rPr>
              <w:t>Subdirector de Gestión Contractual ANCP – CCE</w:t>
            </w:r>
          </w:p>
        </w:tc>
      </w:tr>
    </w:tbl>
    <w:p w14:paraId="5E9C37DB" w14:textId="62BAE87A" w:rsidR="00746E08" w:rsidRPr="00F00D3C" w:rsidRDefault="00746E08" w:rsidP="00A424EB">
      <w:pPr>
        <w:tabs>
          <w:tab w:val="left" w:pos="3795"/>
        </w:tabs>
        <w:rPr>
          <w:rFonts w:ascii="Arial" w:hAnsi="Arial" w:cs="Arial"/>
          <w:color w:val="000000" w:themeColor="text1"/>
        </w:rPr>
      </w:pPr>
    </w:p>
    <w:sectPr w:rsidR="00746E08" w:rsidRPr="00F00D3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5ED2" w14:textId="77777777" w:rsidR="009D5A7A" w:rsidRDefault="009D5A7A">
      <w:r>
        <w:separator/>
      </w:r>
    </w:p>
  </w:endnote>
  <w:endnote w:type="continuationSeparator" w:id="0">
    <w:p w14:paraId="106EB3E8" w14:textId="77777777" w:rsidR="009D5A7A" w:rsidRDefault="009D5A7A">
      <w:r>
        <w:continuationSeparator/>
      </w:r>
    </w:p>
  </w:endnote>
  <w:endnote w:type="continuationNotice" w:id="1">
    <w:p w14:paraId="359F4497" w14:textId="77777777" w:rsidR="009D5A7A" w:rsidRDefault="009D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247F6C0D"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37F50">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37F50">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2F4B" w14:textId="77777777" w:rsidR="009D5A7A" w:rsidRDefault="009D5A7A">
      <w:r>
        <w:separator/>
      </w:r>
    </w:p>
  </w:footnote>
  <w:footnote w:type="continuationSeparator" w:id="0">
    <w:p w14:paraId="08A1969D" w14:textId="77777777" w:rsidR="009D5A7A" w:rsidRDefault="009D5A7A">
      <w:r>
        <w:continuationSeparator/>
      </w:r>
    </w:p>
  </w:footnote>
  <w:footnote w:type="continuationNotice" w:id="1">
    <w:p w14:paraId="57342C39" w14:textId="77777777" w:rsidR="009D5A7A" w:rsidRDefault="009D5A7A"/>
  </w:footnote>
  <w:footnote w:id="2">
    <w:p w14:paraId="7E5BB98D" w14:textId="77777777" w:rsidR="0085475B" w:rsidRPr="00A1132D" w:rsidRDefault="0085475B" w:rsidP="00B21A0D">
      <w:pPr>
        <w:pStyle w:val="Textonotapie"/>
        <w:ind w:firstLine="709"/>
        <w:jc w:val="both"/>
        <w:rPr>
          <w:rFonts w:ascii="Arial" w:hAnsi="Arial" w:cs="Arial"/>
          <w:sz w:val="19"/>
          <w:szCs w:val="19"/>
        </w:rPr>
      </w:pPr>
      <w:r w:rsidRPr="00A1132D">
        <w:rPr>
          <w:rStyle w:val="Refdenotaalpie"/>
          <w:rFonts w:ascii="Arial" w:hAnsi="Arial" w:cs="Arial"/>
          <w:sz w:val="19"/>
          <w:szCs w:val="19"/>
        </w:rPr>
        <w:footnoteRef/>
      </w:r>
      <w:r w:rsidRPr="00A1132D">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3">
    <w:p w14:paraId="54ECBB92" w14:textId="77777777" w:rsidR="003222DE" w:rsidRDefault="003222DE" w:rsidP="000B440A">
      <w:pPr>
        <w:pStyle w:val="Textonotapie"/>
        <w:ind w:firstLine="708"/>
        <w:jc w:val="both"/>
      </w:pPr>
    </w:p>
    <w:p w14:paraId="7EF4CA01" w14:textId="10C58BAA" w:rsidR="008B17AD" w:rsidRPr="000B440A" w:rsidRDefault="003222DE" w:rsidP="000B440A">
      <w:pPr>
        <w:spacing w:after="120"/>
        <w:ind w:firstLine="709"/>
        <w:jc w:val="both"/>
        <w:rPr>
          <w:rFonts w:ascii="Arial" w:eastAsia="Calibri" w:hAnsi="Arial" w:cs="Arial"/>
          <w:bCs/>
          <w:color w:val="000000" w:themeColor="text1"/>
          <w:sz w:val="19"/>
          <w:szCs w:val="19"/>
          <w:lang w:val="es-MX"/>
        </w:rPr>
      </w:pPr>
      <w:r w:rsidRPr="000B440A">
        <w:rPr>
          <w:rStyle w:val="Refdenotaalpie"/>
          <w:rFonts w:ascii="Arial" w:hAnsi="Arial" w:cs="Arial"/>
          <w:sz w:val="19"/>
          <w:szCs w:val="19"/>
        </w:rPr>
        <w:footnoteRef/>
      </w:r>
      <w:r w:rsidR="008B17AD" w:rsidRPr="000B440A">
        <w:rPr>
          <w:rFonts w:ascii="Arial" w:eastAsia="Calibri" w:hAnsi="Arial" w:cs="Arial"/>
          <w:color w:val="000000" w:themeColor="text1"/>
          <w:sz w:val="19"/>
          <w:szCs w:val="19"/>
        </w:rPr>
        <w:t xml:space="preserve"> Se advierte que, respecto al artículo 124 de la Ley 2159 de 2021, a través del </w:t>
      </w:r>
      <w:r w:rsidR="008B17AD" w:rsidRPr="000B440A">
        <w:rPr>
          <w:rFonts w:ascii="Arial" w:eastAsia="Calibri" w:hAnsi="Arial" w:cs="Arial"/>
          <w:bCs/>
          <w:color w:val="000000" w:themeColor="text1"/>
          <w:sz w:val="19"/>
          <w:szCs w:val="19"/>
          <w:lang w:val="es-MX"/>
        </w:rPr>
        <w:t xml:space="preserve">fallo de tutela proferido el 09 de noviembre de 2021, dentro del proceso nro. 2021-000354 por parte del Juzgado Tercero Administrativo de Bogotá, se ordenó «[…] al presidente de la república y a los representantes legales de las entidades del orden nacional y del sector descentralizado territorialmente, abstenerse de dar aplicación a la modificación realizada al parágrafo 38 de la Ley 996 de 2005». </w:t>
      </w:r>
    </w:p>
    <w:p w14:paraId="0FF68712" w14:textId="77777777" w:rsidR="008B17AD" w:rsidRPr="000B440A" w:rsidRDefault="008B17AD" w:rsidP="000B440A">
      <w:pPr>
        <w:ind w:firstLine="709"/>
        <w:jc w:val="both"/>
        <w:rPr>
          <w:rFonts w:ascii="Arial" w:eastAsia="Calibri" w:hAnsi="Arial" w:cs="Arial"/>
          <w:bCs/>
          <w:color w:val="000000" w:themeColor="text1"/>
          <w:sz w:val="19"/>
          <w:szCs w:val="19"/>
          <w:lang w:val="es-MX"/>
        </w:rPr>
      </w:pPr>
      <w:r w:rsidRPr="000B440A">
        <w:rPr>
          <w:rFonts w:ascii="Arial" w:eastAsia="Calibri" w:hAnsi="Arial" w:cs="Arial"/>
          <w:bCs/>
          <w:color w:val="000000" w:themeColor="text1"/>
          <w:sz w:val="19"/>
          <w:szCs w:val="19"/>
          <w:lang w:val="es-MX"/>
        </w:rPr>
        <w:t xml:space="preserve">Sin embargo, también es necesario tener en cuenta que </w:t>
      </w:r>
      <w:r w:rsidRPr="000B440A">
        <w:rPr>
          <w:rFonts w:ascii="Arial" w:eastAsia="Calibri" w:hAnsi="Arial" w:cs="Arial"/>
          <w:color w:val="000000" w:themeColor="text1"/>
          <w:sz w:val="19"/>
          <w:szCs w:val="19"/>
          <w:lang w:val="es-MX"/>
        </w:rPr>
        <w:t>a través de decisión del 29 de noviembre de 2021, la Subsección A de la Sección Primera del Tribunal Administrativo de Cundinamarca resolvió declarar «[…] la nulidad de todo lo actuado a partir del auto admisorio del veintisiete (27) de octubre de dos mil veintiuno (2021), dictado por el Juzgado Tercero (3o) Administrativo de Bogotá, en la forma solicitada por el señor Secretario Jurídico de la Presidencia de la República, por las consideraciones expuestas en la parte motiva de esta providencia».</w:t>
      </w:r>
      <w:r w:rsidRPr="000B440A">
        <w:rPr>
          <w:rFonts w:ascii="Arial" w:eastAsia="Calibri" w:hAnsi="Arial" w:cs="Arial"/>
          <w:bCs/>
          <w:color w:val="000000" w:themeColor="text1"/>
          <w:sz w:val="19"/>
          <w:szCs w:val="19"/>
          <w:lang w:val="es-MX"/>
        </w:rPr>
        <w:t xml:space="preserve"> </w:t>
      </w:r>
    </w:p>
    <w:p w14:paraId="1CD9ADD6" w14:textId="7FA87701" w:rsidR="003222DE" w:rsidRDefault="003222DE" w:rsidP="000B440A">
      <w:pPr>
        <w:pStyle w:val="Textonotapie"/>
        <w:ind w:firstLine="708"/>
        <w:jc w:val="both"/>
      </w:pPr>
      <w:r>
        <w:t xml:space="preserve"> </w:t>
      </w:r>
    </w:p>
  </w:footnote>
  <w:footnote w:id="4">
    <w:p w14:paraId="1FEA5754" w14:textId="77777777" w:rsidR="0085475B" w:rsidRPr="00A1132D" w:rsidRDefault="0085475B" w:rsidP="00B21A0D">
      <w:pPr>
        <w:pStyle w:val="Textonotapie"/>
        <w:ind w:firstLine="709"/>
        <w:jc w:val="both"/>
        <w:rPr>
          <w:rFonts w:ascii="Arial" w:hAnsi="Arial" w:cs="Arial"/>
          <w:sz w:val="19"/>
          <w:szCs w:val="19"/>
          <w:lang w:val="es-ES"/>
        </w:rPr>
      </w:pPr>
      <w:r w:rsidRPr="00FE775A">
        <w:rPr>
          <w:rStyle w:val="Refdenotaalpie"/>
          <w:rFonts w:ascii="Arial" w:hAnsi="Arial" w:cs="Arial"/>
        </w:rPr>
        <w:footnoteRef/>
      </w:r>
      <w:r w:rsidRPr="00FE775A">
        <w:rPr>
          <w:rFonts w:ascii="Arial" w:hAnsi="Arial" w:cs="Arial"/>
        </w:rPr>
        <w:t xml:space="preserve"> </w:t>
      </w:r>
      <w:r w:rsidRPr="00A1132D">
        <w:rPr>
          <w:rFonts w:ascii="Arial" w:hAnsi="Arial" w:cs="Arial"/>
          <w:sz w:val="19"/>
          <w:szCs w:val="19"/>
          <w:lang w:val="es-ES"/>
        </w:rPr>
        <w:t xml:space="preserve">Decreto Ley 4170 de 2011. </w:t>
      </w:r>
      <w:r w:rsidRPr="00A1132D">
        <w:rPr>
          <w:rFonts w:ascii="Arial" w:hAnsi="Arial" w:cs="Arial"/>
          <w:sz w:val="19"/>
          <w:szCs w:val="19"/>
        </w:rPr>
        <w:t>«</w:t>
      </w:r>
      <w:r w:rsidRPr="00A1132D">
        <w:rPr>
          <w:rFonts w:ascii="Arial" w:hAnsi="Arial" w:cs="Arial"/>
          <w:sz w:val="19"/>
          <w:szCs w:val="19"/>
          <w:lang w:val="es-ES"/>
        </w:rPr>
        <w:t xml:space="preserve">Artículo 11. Subdirección de Gestión Contractual. Son funciones de la Subdirección de Gestión Contractual las siguientes: </w:t>
      </w:r>
    </w:p>
    <w:p w14:paraId="7C24E3CA" w14:textId="77777777" w:rsidR="0085475B" w:rsidRPr="00A1132D" w:rsidRDefault="0085475B" w:rsidP="00B21A0D">
      <w:pPr>
        <w:pStyle w:val="Textonotapie"/>
        <w:ind w:firstLine="709"/>
        <w:jc w:val="both"/>
        <w:rPr>
          <w:rFonts w:ascii="Arial" w:hAnsi="Arial" w:cs="Arial"/>
          <w:sz w:val="19"/>
          <w:szCs w:val="19"/>
          <w:lang w:val="es-ES"/>
        </w:rPr>
      </w:pPr>
      <w:r w:rsidRPr="00A1132D">
        <w:rPr>
          <w:rFonts w:ascii="Arial" w:hAnsi="Arial" w:cs="Arial"/>
          <w:sz w:val="19"/>
          <w:szCs w:val="19"/>
          <w:lang w:val="es-ES"/>
        </w:rPr>
        <w:t xml:space="preserve">»[...] </w:t>
      </w:r>
    </w:p>
    <w:p w14:paraId="2E43B804" w14:textId="08E6FBBB" w:rsidR="0085475B" w:rsidRPr="00FE775A" w:rsidRDefault="0085475B" w:rsidP="000B440A">
      <w:pPr>
        <w:pStyle w:val="Textonotapie"/>
        <w:ind w:firstLine="708"/>
        <w:jc w:val="both"/>
        <w:rPr>
          <w:rFonts w:ascii="Arial" w:hAnsi="Arial" w:cs="Arial"/>
        </w:rPr>
      </w:pPr>
      <w:r w:rsidRPr="00A1132D">
        <w:rPr>
          <w:rFonts w:ascii="Arial" w:eastAsia="Times New Roman" w:hAnsi="Arial" w:cs="Arial"/>
          <w:sz w:val="19"/>
          <w:szCs w:val="19"/>
          <w:lang w:val="es-CO" w:eastAsia="es-ES_tradnl"/>
        </w:rPr>
        <w:t>»</w:t>
      </w:r>
      <w:r w:rsidRPr="00A1132D">
        <w:rPr>
          <w:rFonts w:ascii="Arial" w:hAnsi="Arial" w:cs="Arial"/>
          <w:sz w:val="19"/>
          <w:szCs w:val="19"/>
          <w:lang w:val="es-ES"/>
        </w:rPr>
        <w:t>8. Absolver consultas sobre la aplicación de normas de carácter general».</w:t>
      </w:r>
    </w:p>
  </w:footnote>
  <w:footnote w:id="5">
    <w:p w14:paraId="655D4C09" w14:textId="77777777" w:rsidR="00E807B5" w:rsidRPr="00403548" w:rsidRDefault="00E807B5" w:rsidP="00B21A0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73AEC7B" w14:textId="164819FC" w:rsidR="00E807B5" w:rsidRPr="00403548" w:rsidRDefault="00E807B5" w:rsidP="00B21A0D">
      <w:pPr>
        <w:pStyle w:val="Textonotapie"/>
        <w:ind w:firstLine="709"/>
        <w:jc w:val="both"/>
        <w:rPr>
          <w:rFonts w:ascii="Arial" w:hAnsi="Arial" w:cs="Arial"/>
          <w:sz w:val="19"/>
          <w:szCs w:val="19"/>
        </w:rPr>
      </w:pPr>
      <w:r w:rsidRPr="00403548">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6">
    <w:p w14:paraId="7FA7F280" w14:textId="29AFC731" w:rsidR="00C921E1" w:rsidRDefault="00C921E1" w:rsidP="000B440A">
      <w:pPr>
        <w:pStyle w:val="Textonotapie"/>
        <w:ind w:firstLine="709"/>
        <w:jc w:val="both"/>
        <w:rPr>
          <w:rFonts w:ascii="Arial" w:hAnsi="Arial" w:cs="Arial"/>
          <w:sz w:val="19"/>
          <w:szCs w:val="19"/>
        </w:rPr>
      </w:pPr>
      <w:r>
        <w:rPr>
          <w:rStyle w:val="Refdenotaalpie"/>
        </w:rPr>
        <w:footnoteRef/>
      </w:r>
      <w:r>
        <w:t xml:space="preserve"> </w:t>
      </w:r>
      <w:r w:rsidR="00465D32" w:rsidRPr="0053557D">
        <w:rPr>
          <w:rFonts w:ascii="Arial" w:hAnsi="Arial" w:cs="Arial"/>
          <w:sz w:val="19"/>
          <w:szCs w:val="19"/>
        </w:rPr>
        <w:t>Corte Constitucional, Sentencia C- 1153 de 2005, M.P. Marco Gerardo Monroy Cabra.</w:t>
      </w:r>
    </w:p>
    <w:p w14:paraId="57796F9A" w14:textId="77777777" w:rsidR="003C6216" w:rsidRDefault="003C6216" w:rsidP="000B440A">
      <w:pPr>
        <w:pStyle w:val="Textonotapie"/>
        <w:ind w:firstLine="709"/>
        <w:jc w:val="both"/>
      </w:pPr>
    </w:p>
  </w:footnote>
  <w:footnote w:id="7">
    <w:p w14:paraId="1B9EFB00" w14:textId="1628E757" w:rsidR="00E807B5" w:rsidRDefault="00E807B5" w:rsidP="00B21A0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A3F9F64" w14:textId="77777777" w:rsidR="003C6216" w:rsidRPr="00403548" w:rsidRDefault="003C6216" w:rsidP="00B21A0D">
      <w:pPr>
        <w:pStyle w:val="Textonotapie"/>
        <w:ind w:firstLine="709"/>
        <w:jc w:val="both"/>
        <w:rPr>
          <w:rFonts w:ascii="Arial" w:hAnsi="Arial" w:cs="Arial"/>
          <w:sz w:val="19"/>
          <w:szCs w:val="19"/>
        </w:rPr>
      </w:pPr>
    </w:p>
  </w:footnote>
  <w:footnote w:id="8">
    <w:p w14:paraId="28757135" w14:textId="6C71111F" w:rsidR="00E807B5" w:rsidRDefault="00E807B5" w:rsidP="00B21A0D">
      <w:pPr>
        <w:pStyle w:val="Textonotapie"/>
        <w:ind w:firstLine="709"/>
        <w:jc w:val="both"/>
        <w:rPr>
          <w:rFonts w:ascii="Arial" w:hAnsi="Arial" w:cs="Arial"/>
          <w:sz w:val="19"/>
          <w:szCs w:val="19"/>
          <w:lang w:val="es-CO"/>
        </w:rPr>
      </w:pPr>
      <w:r w:rsidRPr="00403548">
        <w:rPr>
          <w:rStyle w:val="Refdenotaalpie"/>
          <w:rFonts w:ascii="Arial" w:hAnsi="Arial" w:cs="Arial"/>
          <w:sz w:val="19"/>
          <w:szCs w:val="19"/>
        </w:rPr>
        <w:footnoteRef/>
      </w:r>
      <w:r w:rsidRPr="00403548">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48AABA90" w14:textId="77777777" w:rsidR="003F7890" w:rsidRPr="00403548" w:rsidRDefault="003F7890" w:rsidP="00B21A0D">
      <w:pPr>
        <w:pStyle w:val="Textonotapie"/>
        <w:ind w:firstLine="709"/>
        <w:jc w:val="both"/>
        <w:rPr>
          <w:rFonts w:ascii="Arial" w:hAnsi="Arial" w:cs="Arial"/>
          <w:sz w:val="19"/>
          <w:szCs w:val="19"/>
          <w:lang w:val="es-CO"/>
        </w:rPr>
      </w:pPr>
    </w:p>
  </w:footnote>
  <w:footnote w:id="9">
    <w:p w14:paraId="4A2A3E87" w14:textId="3FEA314E" w:rsidR="00E807B5" w:rsidRPr="00403548" w:rsidRDefault="00E807B5" w:rsidP="00B21A0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Consejo de Estado, Sala de Consulta y Servicio Civil</w:t>
      </w:r>
      <w:r w:rsidR="0056090D">
        <w:rPr>
          <w:rFonts w:ascii="Arial" w:hAnsi="Arial" w:cs="Arial"/>
          <w:sz w:val="19"/>
          <w:szCs w:val="19"/>
        </w:rPr>
        <w:t>, Concepto d</w:t>
      </w:r>
      <w:r w:rsidRPr="00403548">
        <w:rPr>
          <w:rFonts w:ascii="Arial" w:hAnsi="Arial" w:cs="Arial"/>
          <w:sz w:val="19"/>
          <w:szCs w:val="19"/>
        </w:rPr>
        <w:t>e 24 de julio de 2013</w:t>
      </w:r>
      <w:r w:rsidR="0056090D">
        <w:rPr>
          <w:rFonts w:ascii="Arial" w:hAnsi="Arial" w:cs="Arial"/>
          <w:sz w:val="19"/>
          <w:szCs w:val="19"/>
        </w:rPr>
        <w:t xml:space="preserve">. Exp. </w:t>
      </w:r>
      <w:r w:rsidRPr="00403548">
        <w:rPr>
          <w:rFonts w:ascii="Arial" w:hAnsi="Arial" w:cs="Arial"/>
          <w:sz w:val="19"/>
          <w:szCs w:val="19"/>
        </w:rPr>
        <w:t>2166</w:t>
      </w:r>
      <w:r w:rsidR="0056090D">
        <w:rPr>
          <w:rFonts w:ascii="Arial" w:hAnsi="Arial" w:cs="Arial"/>
          <w:sz w:val="19"/>
          <w:szCs w:val="19"/>
        </w:rPr>
        <w:t>.</w:t>
      </w:r>
      <w:r w:rsidRPr="00403548">
        <w:rPr>
          <w:rFonts w:ascii="Arial" w:hAnsi="Arial" w:cs="Arial"/>
          <w:sz w:val="19"/>
          <w:szCs w:val="19"/>
        </w:rPr>
        <w:t xml:space="preserve"> C</w:t>
      </w:r>
      <w:r w:rsidR="0056090D">
        <w:rPr>
          <w:rFonts w:ascii="Arial" w:hAnsi="Arial" w:cs="Arial"/>
          <w:sz w:val="19"/>
          <w:szCs w:val="19"/>
        </w:rPr>
        <w:t>.P.</w:t>
      </w:r>
      <w:r w:rsidRPr="00403548">
        <w:rPr>
          <w:rFonts w:ascii="Arial" w:hAnsi="Arial" w:cs="Arial"/>
          <w:sz w:val="19"/>
          <w:szCs w:val="19"/>
        </w:rPr>
        <w:t xml:space="preserve"> Álvaro Namén Vargas.  </w:t>
      </w:r>
    </w:p>
  </w:footnote>
  <w:footnote w:id="10">
    <w:p w14:paraId="796D5247" w14:textId="77777777" w:rsidR="00261615" w:rsidRPr="0028710C" w:rsidRDefault="00261615" w:rsidP="00B21A0D">
      <w:pPr>
        <w:pStyle w:val="Textonotapie"/>
        <w:ind w:firstLine="709"/>
        <w:jc w:val="both"/>
        <w:rPr>
          <w:rFonts w:ascii="Arial" w:hAnsi="Arial" w:cs="Arial"/>
          <w:sz w:val="19"/>
          <w:szCs w:val="19"/>
        </w:rPr>
      </w:pPr>
    </w:p>
    <w:p w14:paraId="2DD972B7" w14:textId="1C6F7965" w:rsidR="00261615" w:rsidRPr="005573B5" w:rsidRDefault="00261615" w:rsidP="00B21A0D">
      <w:pPr>
        <w:pStyle w:val="Textonotapie"/>
        <w:ind w:firstLine="709"/>
        <w:jc w:val="both"/>
        <w:rPr>
          <w:rFonts w:ascii="Arial" w:hAnsi="Arial" w:cs="Arial"/>
          <w:sz w:val="19"/>
          <w:szCs w:val="19"/>
        </w:rPr>
      </w:pPr>
      <w:r w:rsidRPr="0028710C">
        <w:rPr>
          <w:rStyle w:val="Refdenotaalpie"/>
          <w:rFonts w:ascii="Arial" w:hAnsi="Arial" w:cs="Arial"/>
          <w:sz w:val="19"/>
          <w:szCs w:val="19"/>
        </w:rPr>
        <w:footnoteRef/>
      </w:r>
      <w:r w:rsidRPr="0028710C">
        <w:rPr>
          <w:rFonts w:ascii="Arial" w:hAnsi="Arial" w:cs="Arial"/>
          <w:sz w:val="19"/>
          <w:szCs w:val="19"/>
        </w:rPr>
        <w:t xml:space="preserve"> Consejo de Estado. Sala de Consulta y Servicio Civil. Concepto del 18 de febrero de 2010. </w:t>
      </w:r>
      <w:r w:rsidR="0056090D">
        <w:rPr>
          <w:rFonts w:ascii="Arial" w:hAnsi="Arial" w:cs="Arial"/>
          <w:sz w:val="19"/>
          <w:szCs w:val="19"/>
        </w:rPr>
        <w:t xml:space="preserve">Exp. </w:t>
      </w:r>
      <w:r w:rsidRPr="0028710C">
        <w:rPr>
          <w:rFonts w:ascii="Arial" w:hAnsi="Arial" w:cs="Arial"/>
          <w:sz w:val="19"/>
          <w:szCs w:val="19"/>
        </w:rPr>
        <w:t>1985</w:t>
      </w:r>
      <w:r w:rsidR="0056090D">
        <w:rPr>
          <w:rFonts w:ascii="Arial" w:hAnsi="Arial" w:cs="Arial"/>
          <w:sz w:val="19"/>
          <w:szCs w:val="19"/>
        </w:rPr>
        <w:t>. C.P.</w:t>
      </w:r>
      <w:r w:rsidR="003C1143">
        <w:rPr>
          <w:rFonts w:ascii="Arial" w:hAnsi="Arial" w:cs="Arial"/>
          <w:sz w:val="19"/>
          <w:szCs w:val="19"/>
        </w:rPr>
        <w:t xml:space="preserve"> </w:t>
      </w:r>
      <w:r w:rsidR="003C1143" w:rsidRPr="003C1143">
        <w:rPr>
          <w:rFonts w:ascii="Arial" w:hAnsi="Arial" w:cs="Arial"/>
          <w:sz w:val="19"/>
          <w:szCs w:val="19"/>
        </w:rPr>
        <w:t>Enrique José Arboleda Perdomo</w:t>
      </w:r>
      <w:r w:rsidR="003C1143">
        <w:rPr>
          <w:rFonts w:ascii="Arial" w:hAnsi="Arial" w:cs="Arial"/>
          <w:sz w:val="19"/>
          <w:szCs w:val="19"/>
        </w:rPr>
        <w:t xml:space="preserve">. </w:t>
      </w:r>
    </w:p>
  </w:footnote>
  <w:footnote w:id="11">
    <w:p w14:paraId="2A4E54D8" w14:textId="7B1CC022" w:rsidR="00101763" w:rsidRDefault="00101763" w:rsidP="00B21A0D">
      <w:pPr>
        <w:pStyle w:val="Textonotapie"/>
        <w:ind w:firstLine="709"/>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1903D629" w14:textId="77777777" w:rsidR="00B21A0D" w:rsidRPr="0053557D" w:rsidRDefault="00B21A0D" w:rsidP="000B440A">
      <w:pPr>
        <w:pStyle w:val="Textonotapie"/>
        <w:ind w:firstLine="709"/>
        <w:jc w:val="both"/>
        <w:rPr>
          <w:rFonts w:ascii="Arial" w:hAnsi="Arial" w:cs="Arial"/>
          <w:sz w:val="19"/>
          <w:szCs w:val="19"/>
        </w:rPr>
      </w:pPr>
    </w:p>
  </w:footnote>
  <w:footnote w:id="12">
    <w:p w14:paraId="1A19AFF2" w14:textId="77777777" w:rsidR="00101763" w:rsidRPr="0053557D" w:rsidRDefault="00101763" w:rsidP="000B440A">
      <w:pPr>
        <w:ind w:firstLine="709"/>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67FA9B5" w14:textId="77777777" w:rsidR="00101763" w:rsidRPr="0053557D" w:rsidRDefault="00101763" w:rsidP="000B440A">
      <w:pPr>
        <w:ind w:firstLine="709"/>
        <w:jc w:val="both"/>
        <w:rPr>
          <w:rFonts w:ascii="Arial" w:hAnsi="Arial" w:cs="Arial"/>
          <w:sz w:val="19"/>
          <w:szCs w:val="19"/>
        </w:rPr>
      </w:pPr>
      <w:r w:rsidRPr="0053557D">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3557D">
        <w:rPr>
          <w:rFonts w:ascii="Arial" w:hAnsi="Arial" w:cs="Arial"/>
          <w:spacing w:val="-1"/>
          <w:sz w:val="19"/>
          <w:szCs w:val="19"/>
        </w:rPr>
        <w:t xml:space="preserve"> </w:t>
      </w:r>
      <w:r w:rsidRPr="0053557D">
        <w:rPr>
          <w:rFonts w:ascii="Arial" w:hAnsi="Arial" w:cs="Arial"/>
          <w:sz w:val="19"/>
          <w:szCs w:val="19"/>
        </w:rPr>
        <w:t>Estatales».</w:t>
      </w:r>
    </w:p>
  </w:footnote>
  <w:footnote w:id="13">
    <w:p w14:paraId="4A9E79F1" w14:textId="77777777" w:rsidR="00101763" w:rsidRPr="0053557D" w:rsidRDefault="00101763" w:rsidP="000B440A">
      <w:pPr>
        <w:ind w:firstLine="709"/>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3557D">
        <w:rPr>
          <w:rFonts w:ascii="Arial" w:hAnsi="Arial" w:cs="Arial"/>
          <w:spacing w:val="-6"/>
          <w:sz w:val="19"/>
          <w:szCs w:val="19"/>
        </w:rPr>
        <w:t xml:space="preserve"> </w:t>
      </w:r>
      <w:r w:rsidRPr="0053557D">
        <w:rPr>
          <w:rFonts w:ascii="Arial" w:hAnsi="Arial" w:cs="Arial"/>
          <w:sz w:val="19"/>
          <w:szCs w:val="19"/>
        </w:rPr>
        <w:t>artículo».</w:t>
      </w:r>
    </w:p>
  </w:footnote>
  <w:footnote w:id="14">
    <w:p w14:paraId="3CB8EFB0" w14:textId="77777777" w:rsidR="00101763" w:rsidRPr="0053557D" w:rsidRDefault="00101763" w:rsidP="000B440A">
      <w:pPr>
        <w:ind w:right="454" w:firstLine="709"/>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position w:val="7"/>
          <w:sz w:val="19"/>
          <w:szCs w:val="19"/>
        </w:rPr>
        <w:t xml:space="preserve"> </w:t>
      </w:r>
      <w:r w:rsidRPr="0053557D">
        <w:rPr>
          <w:rFonts w:ascii="Arial" w:hAnsi="Arial" w:cs="Arial"/>
          <w:sz w:val="19"/>
          <w:szCs w:val="19"/>
        </w:rPr>
        <w:t>Consejo de Estado. Sección Tercera. Sentencia del 23 de junio de 2010. Radicación No. 66001-23-31-000-1998-00261-01(17.860). Consejero Ponente: Mauricio Fajardo Gómez.</w:t>
      </w:r>
    </w:p>
  </w:footnote>
  <w:footnote w:id="15">
    <w:p w14:paraId="1DD00450" w14:textId="5C482A2F" w:rsidR="00101763" w:rsidRDefault="00101763" w:rsidP="00B21A0D">
      <w:pPr>
        <w:ind w:firstLine="709"/>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Consejo de Estado. Sección Tercera. Subsección C. Sentencia del 11 de diciembre de 2019. Exp. 46.986. C.P. Jaime Enrique Rodríguez Navas.</w:t>
      </w:r>
    </w:p>
    <w:p w14:paraId="57872CE8" w14:textId="77777777" w:rsidR="004B7719" w:rsidRPr="0053557D" w:rsidRDefault="004B7719" w:rsidP="000B440A">
      <w:pPr>
        <w:ind w:firstLine="709"/>
        <w:jc w:val="both"/>
        <w:rPr>
          <w:rFonts w:ascii="Arial" w:hAnsi="Arial" w:cs="Arial"/>
          <w:sz w:val="19"/>
          <w:szCs w:val="19"/>
        </w:rPr>
      </w:pPr>
    </w:p>
  </w:footnote>
  <w:footnote w:id="16">
    <w:p w14:paraId="50422E94" w14:textId="3669C18F" w:rsidR="00101763" w:rsidRDefault="00101763" w:rsidP="00B21A0D">
      <w:pPr>
        <w:pStyle w:val="Textonotapie"/>
        <w:ind w:firstLine="708"/>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[Referencia propia de la cita] «CE. SCSC. Concepto de 1 de noviembre de 2016 [Rad. 11001-03-06-000-2016-00125-00(2305)]. MP. Germán Alberto Bula Escobar».</w:t>
      </w:r>
    </w:p>
    <w:p w14:paraId="12334F10" w14:textId="77777777" w:rsidR="004B7719" w:rsidRPr="0053557D" w:rsidRDefault="004B7719" w:rsidP="000B440A">
      <w:pPr>
        <w:pStyle w:val="Textonotapie"/>
        <w:ind w:firstLine="708"/>
        <w:jc w:val="both"/>
        <w:rPr>
          <w:rFonts w:ascii="Arial" w:hAnsi="Arial" w:cs="Arial"/>
          <w:sz w:val="19"/>
          <w:szCs w:val="19"/>
        </w:rPr>
      </w:pPr>
    </w:p>
  </w:footnote>
  <w:footnote w:id="17">
    <w:p w14:paraId="1601C27A" w14:textId="77777777" w:rsidR="00101763" w:rsidRPr="0053557D" w:rsidRDefault="00101763" w:rsidP="000B440A">
      <w:pPr>
        <w:pStyle w:val="Textonotapie"/>
        <w:ind w:firstLine="708"/>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53557D">
        <w:rPr>
          <w:rFonts w:ascii="Arial" w:hAnsi="Arial" w:cs="Arial"/>
          <w:i/>
          <w:sz w:val="19"/>
          <w:szCs w:val="19"/>
        </w:rPr>
        <w:t>“obligacional”</w:t>
      </w:r>
      <w:r w:rsidRPr="0053557D">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18">
    <w:p w14:paraId="5C8E8C93" w14:textId="77777777" w:rsidR="00101763" w:rsidRPr="0053557D" w:rsidRDefault="00101763" w:rsidP="000B440A">
      <w:pPr>
        <w:pStyle w:val="Textonotapie"/>
        <w:ind w:firstLine="708"/>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[Referencia propia de la cita] «La normativa vigente del EGCAP </w:t>
      </w:r>
      <w:r w:rsidRPr="0053557D">
        <w:rPr>
          <w:rFonts w:ascii="Arial" w:hAnsi="Arial" w:cs="Arial"/>
          <w:i/>
          <w:sz w:val="19"/>
          <w:szCs w:val="19"/>
        </w:rPr>
        <w:t>[literal c) del numeral 4. del artículo 2 de la Ley 1150/07]</w:t>
      </w:r>
      <w:r w:rsidRPr="0053557D">
        <w:rPr>
          <w:rFonts w:ascii="Arial" w:hAnsi="Arial" w:cs="Arial"/>
          <w:sz w:val="19"/>
          <w:szCs w:val="19"/>
        </w:rPr>
        <w:t xml:space="preserve"> se refiere a </w:t>
      </w:r>
      <w:r w:rsidRPr="0053557D">
        <w:rPr>
          <w:rFonts w:ascii="Arial" w:hAnsi="Arial" w:cs="Arial"/>
          <w:i/>
          <w:sz w:val="19"/>
          <w:szCs w:val="19"/>
        </w:rPr>
        <w:t>“contratos interadministrativos”</w:t>
      </w:r>
      <w:r w:rsidRPr="0053557D">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9">
    <w:p w14:paraId="63B3BD77" w14:textId="77777777" w:rsidR="00101763" w:rsidRPr="0053557D" w:rsidRDefault="00101763" w:rsidP="000B440A">
      <w:pPr>
        <w:pStyle w:val="Textonotapie"/>
        <w:ind w:firstLine="708"/>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20">
    <w:p w14:paraId="017864D0" w14:textId="77777777" w:rsidR="00101763" w:rsidRPr="0053557D" w:rsidRDefault="00101763" w:rsidP="00B21A0D">
      <w:pPr>
        <w:pStyle w:val="Textonotapie"/>
        <w:ind w:firstLine="708"/>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Es lo que sucede, por ejemplo, con el Decreto 092 de 2017, que en su desarrollo hace referencia tanto a los «contratos» como a los «convenios». </w:t>
      </w:r>
    </w:p>
  </w:footnote>
  <w:footnote w:id="21">
    <w:p w14:paraId="02C0263B" w14:textId="77777777" w:rsidR="00101763" w:rsidRPr="0053557D" w:rsidRDefault="00101763" w:rsidP="00B21A0D">
      <w:pPr>
        <w:pStyle w:val="Textonotapie"/>
        <w:ind w:firstLine="708"/>
        <w:jc w:val="both"/>
        <w:rPr>
          <w:rFonts w:ascii="Arial" w:hAnsi="Arial" w:cs="Arial"/>
          <w:sz w:val="19"/>
          <w:szCs w:val="19"/>
          <w:lang w:val="es-CO"/>
        </w:rPr>
      </w:pPr>
      <w:r w:rsidRPr="0053557D">
        <w:rPr>
          <w:rStyle w:val="Refdenotaalpie"/>
          <w:rFonts w:ascii="Arial" w:hAnsi="Arial" w:cs="Arial"/>
          <w:sz w:val="19"/>
          <w:szCs w:val="19"/>
        </w:rPr>
        <w:footnoteRef/>
      </w:r>
      <w:r w:rsidRPr="0053557D">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2">
    <w:p w14:paraId="20874E6C" w14:textId="6B9A0A52" w:rsidR="00101763" w:rsidRDefault="00101763" w:rsidP="00B21A0D">
      <w:pPr>
        <w:pStyle w:val="Textonotapie"/>
        <w:ind w:firstLine="708"/>
        <w:jc w:val="both"/>
        <w:rPr>
          <w:rFonts w:ascii="Arial" w:hAnsi="Arial" w:cs="Arial"/>
          <w:sz w:val="19"/>
          <w:szCs w:val="19"/>
        </w:rPr>
      </w:pPr>
      <w:r w:rsidRPr="0053557D">
        <w:rPr>
          <w:rStyle w:val="Refdenotaalpie"/>
          <w:rFonts w:ascii="Arial" w:hAnsi="Arial" w:cs="Arial"/>
          <w:sz w:val="19"/>
          <w:szCs w:val="19"/>
        </w:rPr>
        <w:footnoteRef/>
      </w:r>
      <w:r w:rsidRPr="0053557D">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p w14:paraId="0F8ADCB6" w14:textId="77777777" w:rsidR="00716985" w:rsidRPr="0053557D" w:rsidRDefault="00716985" w:rsidP="00B21A0D">
      <w:pPr>
        <w:pStyle w:val="Textonotapie"/>
        <w:ind w:firstLine="708"/>
        <w:jc w:val="both"/>
        <w:rPr>
          <w:rFonts w:ascii="Arial" w:hAnsi="Arial" w:cs="Arial"/>
          <w:sz w:val="19"/>
          <w:szCs w:val="19"/>
        </w:rPr>
      </w:pPr>
    </w:p>
  </w:footnote>
  <w:footnote w:id="23">
    <w:p w14:paraId="2B60BD5A" w14:textId="3CF5FBE6" w:rsidR="00646880" w:rsidRDefault="00646880" w:rsidP="00B21A0D">
      <w:pPr>
        <w:pStyle w:val="Textonotapie"/>
        <w:ind w:right="51"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w:t>
      </w:r>
      <w:bookmarkStart w:id="15" w:name="_Hlk74272731"/>
      <w:r w:rsidRPr="00403548">
        <w:rPr>
          <w:rFonts w:ascii="Arial" w:hAnsi="Arial" w:cs="Arial"/>
          <w:sz w:val="19"/>
          <w:szCs w:val="19"/>
        </w:rPr>
        <w:t>«</w:t>
      </w:r>
      <w:bookmarkEnd w:id="15"/>
      <w:r w:rsidRPr="00403548">
        <w:rPr>
          <w:rFonts w:ascii="Arial" w:hAnsi="Arial" w:cs="Arial"/>
          <w:sz w:val="19"/>
          <w:szCs w:val="19"/>
          <w:lang w:val="es-ES"/>
        </w:rPr>
        <w:t xml:space="preserve">[25] </w:t>
      </w:r>
      <w:r w:rsidRPr="00403548">
        <w:rPr>
          <w:rFonts w:ascii="Arial" w:hAnsi="Arial" w:cs="Arial"/>
          <w:sz w:val="19"/>
          <w:szCs w:val="19"/>
        </w:rPr>
        <w:t>Cfr. Consejo de Estado. Sección Tercera. Sentencia de 3 de diciembre de 2007. Radicados: 24.715, 25.206, 25.409, 24.524, 27.834, 25.410, 26.105, 28.244, 31.447 -acumulados-</w:t>
      </w:r>
      <w:bookmarkStart w:id="16" w:name="_Hlk74271358"/>
      <w:r w:rsidRPr="00403548">
        <w:rPr>
          <w:rFonts w:ascii="Arial" w:hAnsi="Arial" w:cs="Arial"/>
          <w:sz w:val="19"/>
          <w:szCs w:val="19"/>
        </w:rPr>
        <w:t>»</w:t>
      </w:r>
      <w:bookmarkEnd w:id="16"/>
      <w:r w:rsidRPr="00403548">
        <w:rPr>
          <w:rFonts w:ascii="Arial" w:hAnsi="Arial" w:cs="Arial"/>
          <w:sz w:val="19"/>
          <w:szCs w:val="19"/>
        </w:rPr>
        <w:t>.</w:t>
      </w:r>
    </w:p>
    <w:p w14:paraId="43CD7920" w14:textId="77777777" w:rsidR="001211E9" w:rsidRPr="00403548" w:rsidRDefault="001211E9" w:rsidP="00B21A0D">
      <w:pPr>
        <w:pStyle w:val="Textonotapie"/>
        <w:ind w:right="51" w:firstLine="709"/>
        <w:jc w:val="both"/>
        <w:rPr>
          <w:rFonts w:ascii="Arial" w:eastAsia="Calibri" w:hAnsi="Arial" w:cs="Arial"/>
          <w:sz w:val="19"/>
          <w:szCs w:val="19"/>
        </w:rPr>
      </w:pPr>
    </w:p>
  </w:footnote>
  <w:footnote w:id="24">
    <w:p w14:paraId="394CEB61" w14:textId="77777777" w:rsidR="00646880" w:rsidRPr="00403548" w:rsidRDefault="00646880" w:rsidP="00B21A0D">
      <w:pPr>
        <w:pStyle w:val="Textonotapie"/>
        <w:ind w:right="51"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w:t>
      </w:r>
      <w:bookmarkStart w:id="18" w:name="_Hlk74294506"/>
      <w:r w:rsidRPr="00403548">
        <w:rPr>
          <w:rFonts w:ascii="Arial" w:hAnsi="Arial" w:cs="Arial"/>
          <w:sz w:val="19"/>
          <w:szCs w:val="19"/>
        </w:rPr>
        <w:t>«</w:t>
      </w:r>
      <w:r w:rsidRPr="00403548">
        <w:rPr>
          <w:rFonts w:ascii="Arial" w:hAnsi="Arial" w:cs="Arial"/>
          <w:sz w:val="19"/>
          <w:szCs w:val="19"/>
          <w:lang w:val="es-ES"/>
        </w:rPr>
        <w:t xml:space="preserve">[26] </w:t>
      </w:r>
      <w:bookmarkEnd w:id="18"/>
      <w:r w:rsidRPr="00403548">
        <w:rPr>
          <w:rFonts w:ascii="Arial" w:hAnsi="Arial" w:cs="Arial"/>
          <w:sz w:val="19"/>
          <w:szCs w:val="19"/>
        </w:rPr>
        <w:t>Al respecto ver el concepto 1712 de 2 de febrero de 2006. Consejo de Estado Sala de Consulta y Servicio Civil».</w:t>
      </w:r>
    </w:p>
  </w:footnote>
  <w:footnote w:id="25">
    <w:p w14:paraId="56EECABB" w14:textId="59AB1B54" w:rsidR="00646880" w:rsidRDefault="00646880" w:rsidP="00B21A0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1444589C" w14:textId="77777777" w:rsidR="001211E9" w:rsidRPr="00403548" w:rsidRDefault="001211E9" w:rsidP="00B21A0D">
      <w:pPr>
        <w:pStyle w:val="Textonotapie"/>
        <w:ind w:firstLine="709"/>
        <w:jc w:val="both"/>
        <w:rPr>
          <w:rFonts w:ascii="Arial" w:hAnsi="Arial" w:cs="Arial"/>
          <w:sz w:val="19"/>
          <w:szCs w:val="19"/>
        </w:rPr>
      </w:pPr>
    </w:p>
  </w:footnote>
  <w:footnote w:id="26">
    <w:p w14:paraId="21E44C0A" w14:textId="77777777" w:rsidR="00646880" w:rsidRPr="00403548" w:rsidRDefault="00646880" w:rsidP="00B21A0D">
      <w:pPr>
        <w:pStyle w:val="Textonotapie"/>
        <w:ind w:firstLine="709"/>
        <w:jc w:val="both"/>
        <w:rPr>
          <w:rFonts w:ascii="Arial" w:hAnsi="Arial" w:cs="Arial"/>
          <w:sz w:val="19"/>
          <w:szCs w:val="19"/>
          <w:lang w:val="es-ES"/>
        </w:rPr>
      </w:pPr>
      <w:r w:rsidRPr="00403548">
        <w:rPr>
          <w:rStyle w:val="Refdenotaalpie"/>
          <w:rFonts w:ascii="Arial" w:hAnsi="Arial" w:cs="Arial"/>
          <w:sz w:val="19"/>
          <w:szCs w:val="19"/>
        </w:rPr>
        <w:footnoteRef/>
      </w:r>
      <w:r w:rsidRPr="00403548">
        <w:rPr>
          <w:rFonts w:ascii="Arial" w:hAnsi="Arial" w:cs="Arial"/>
          <w:sz w:val="19"/>
          <w:szCs w:val="19"/>
        </w:rPr>
        <w:t xml:space="preserve"> </w:t>
      </w:r>
      <w:r w:rsidRPr="00403548">
        <w:rPr>
          <w:rFonts w:ascii="Arial" w:hAnsi="Arial" w:cs="Arial"/>
          <w:sz w:val="19"/>
          <w:szCs w:val="19"/>
          <w:lang w:val="es-ES"/>
        </w:rPr>
        <w:t xml:space="preserve">Artículo 2. </w:t>
      </w:r>
    </w:p>
  </w:footnote>
  <w:footnote w:id="27">
    <w:p w14:paraId="2D04F453" w14:textId="77777777" w:rsidR="001211E9" w:rsidRDefault="001211E9" w:rsidP="00B21A0D">
      <w:pPr>
        <w:pStyle w:val="Textonotapie"/>
        <w:ind w:firstLine="709"/>
        <w:jc w:val="both"/>
        <w:rPr>
          <w:rFonts w:ascii="Arial" w:hAnsi="Arial" w:cs="Arial"/>
          <w:sz w:val="19"/>
          <w:szCs w:val="19"/>
        </w:rPr>
      </w:pPr>
    </w:p>
    <w:p w14:paraId="4E45E8E2" w14:textId="3C33DF29" w:rsidR="00646880" w:rsidRPr="00403548" w:rsidRDefault="00646880" w:rsidP="00B21A0D">
      <w:pPr>
        <w:pStyle w:val="Textonotapie"/>
        <w:ind w:firstLine="709"/>
        <w:jc w:val="both"/>
        <w:rPr>
          <w:rFonts w:ascii="Arial" w:hAnsi="Arial" w:cs="Arial"/>
          <w:sz w:val="19"/>
          <w:szCs w:val="19"/>
          <w:lang w:val="es-ES"/>
        </w:rPr>
      </w:pPr>
      <w:r w:rsidRPr="00403548">
        <w:rPr>
          <w:rStyle w:val="Refdenotaalpie"/>
          <w:rFonts w:ascii="Arial" w:hAnsi="Arial" w:cs="Arial"/>
          <w:sz w:val="19"/>
          <w:szCs w:val="19"/>
        </w:rPr>
        <w:footnoteRef/>
      </w:r>
      <w:r w:rsidRPr="00403548">
        <w:rPr>
          <w:rFonts w:ascii="Arial" w:hAnsi="Arial" w:cs="Arial"/>
          <w:sz w:val="19"/>
          <w:szCs w:val="19"/>
        </w:rPr>
        <w:t xml:space="preserve"> </w:t>
      </w:r>
      <w:r w:rsidR="00BD44A2" w:rsidRPr="00403548">
        <w:rPr>
          <w:rFonts w:ascii="Arial" w:hAnsi="Arial" w:cs="Arial"/>
          <w:i/>
          <w:sz w:val="19"/>
          <w:szCs w:val="19"/>
          <w:lang w:val="es-ES"/>
        </w:rPr>
        <w:t>I</w:t>
      </w:r>
      <w:r w:rsidR="00BD44A2">
        <w:rPr>
          <w:rFonts w:ascii="Arial" w:hAnsi="Arial" w:cs="Arial"/>
          <w:i/>
          <w:sz w:val="19"/>
          <w:szCs w:val="19"/>
          <w:lang w:val="es-ES"/>
        </w:rPr>
        <w:t>bidem</w:t>
      </w:r>
      <w:r w:rsidRPr="00403548">
        <w:rPr>
          <w:rFonts w:ascii="Arial" w:hAnsi="Arial" w:cs="Arial"/>
          <w:sz w:val="19"/>
          <w:szCs w:val="19"/>
          <w:lang w:val="es-ES"/>
        </w:rPr>
        <w:t>.</w:t>
      </w:r>
    </w:p>
  </w:footnote>
  <w:footnote w:id="28">
    <w:p w14:paraId="1D4FACCE" w14:textId="77777777" w:rsidR="001211E9" w:rsidRDefault="001211E9" w:rsidP="00B21A0D">
      <w:pPr>
        <w:pStyle w:val="Textonotapie"/>
        <w:ind w:firstLine="709"/>
        <w:jc w:val="both"/>
        <w:rPr>
          <w:rFonts w:ascii="Arial" w:hAnsi="Arial" w:cs="Arial"/>
          <w:sz w:val="19"/>
          <w:szCs w:val="19"/>
        </w:rPr>
      </w:pPr>
    </w:p>
    <w:p w14:paraId="6B040A5A" w14:textId="0A2A8C29" w:rsidR="00646880" w:rsidRPr="00403548" w:rsidRDefault="00646880" w:rsidP="00B21A0D">
      <w:pPr>
        <w:pStyle w:val="Textonotapie"/>
        <w:ind w:firstLine="709"/>
        <w:jc w:val="both"/>
        <w:rPr>
          <w:rFonts w:ascii="Arial" w:hAnsi="Arial" w:cs="Arial"/>
          <w:sz w:val="19"/>
          <w:szCs w:val="19"/>
          <w:lang w:val="es-ES"/>
        </w:rPr>
      </w:pPr>
      <w:r w:rsidRPr="00403548">
        <w:rPr>
          <w:rStyle w:val="Refdenotaalpie"/>
          <w:rFonts w:ascii="Arial" w:hAnsi="Arial" w:cs="Arial"/>
          <w:sz w:val="19"/>
          <w:szCs w:val="19"/>
        </w:rPr>
        <w:footnoteRef/>
      </w:r>
      <w:r w:rsidRPr="00403548">
        <w:rPr>
          <w:rStyle w:val="Refdenotaalpie"/>
          <w:rFonts w:ascii="Arial" w:hAnsi="Arial" w:cs="Arial"/>
          <w:sz w:val="19"/>
          <w:szCs w:val="19"/>
        </w:rPr>
        <w:t xml:space="preserve"> </w:t>
      </w:r>
      <w:bookmarkStart w:id="22" w:name="_Hlk74297130"/>
      <w:r w:rsidRPr="00403548">
        <w:rPr>
          <w:rFonts w:ascii="Arial" w:hAnsi="Arial" w:cs="Arial"/>
          <w:sz w:val="19"/>
          <w:szCs w:val="19"/>
          <w:lang w:val="es-ES"/>
        </w:rPr>
        <w:t>«</w:t>
      </w:r>
      <w:bookmarkEnd w:id="22"/>
      <w:r w:rsidRPr="00403548">
        <w:rPr>
          <w:rFonts w:ascii="Arial" w:hAnsi="Arial" w:cs="Arial"/>
          <w:sz w:val="19"/>
          <w:szCs w:val="19"/>
          <w:lang w:val="es-ES"/>
        </w:rPr>
        <w:t xml:space="preserve">[…] A este respecto, cabe recordar que el artículo 860 del Código de Comercio regula la licitación en el derecho privado». </w:t>
      </w:r>
    </w:p>
  </w:footnote>
  <w:footnote w:id="29">
    <w:p w14:paraId="606C390B" w14:textId="77777777" w:rsidR="001211E9" w:rsidRDefault="001211E9" w:rsidP="00B21A0D">
      <w:pPr>
        <w:shd w:val="clear" w:color="auto" w:fill="FFFFFF"/>
        <w:ind w:firstLine="709"/>
        <w:jc w:val="both"/>
        <w:rPr>
          <w:rFonts w:ascii="Arial" w:hAnsi="Arial" w:cs="Arial"/>
          <w:sz w:val="19"/>
          <w:szCs w:val="19"/>
        </w:rPr>
      </w:pPr>
    </w:p>
    <w:p w14:paraId="150E2040" w14:textId="2B61C26A" w:rsidR="00646880" w:rsidRDefault="00646880" w:rsidP="00B21A0D">
      <w:pPr>
        <w:shd w:val="clear" w:color="auto" w:fill="FFFFFF"/>
        <w:ind w:firstLine="709"/>
        <w:jc w:val="both"/>
        <w:rPr>
          <w:rFonts w:ascii="Arial" w:hAnsi="Arial" w:cs="Arial"/>
          <w:sz w:val="19"/>
          <w:szCs w:val="19"/>
          <w:lang w:val="es-ES"/>
        </w:rPr>
      </w:pPr>
      <w:r w:rsidRPr="00403548">
        <w:rPr>
          <w:rStyle w:val="Refdenotaalpie"/>
          <w:rFonts w:ascii="Arial" w:hAnsi="Arial" w:cs="Arial"/>
          <w:sz w:val="19"/>
          <w:szCs w:val="19"/>
        </w:rPr>
        <w:footnoteRef/>
      </w:r>
      <w:r w:rsidRPr="00403548">
        <w:rPr>
          <w:rStyle w:val="Refdenotaalpie"/>
          <w:rFonts w:ascii="Arial" w:hAnsi="Arial" w:cs="Arial"/>
          <w:sz w:val="19"/>
          <w:szCs w:val="19"/>
        </w:rPr>
        <w:t xml:space="preserve"> </w:t>
      </w:r>
      <w:r w:rsidRPr="00403548">
        <w:rPr>
          <w:rFonts w:ascii="Arial" w:hAnsi="Arial" w:cs="Arial"/>
          <w:sz w:val="19"/>
          <w:szCs w:val="19"/>
          <w:lang w:val="es-ES"/>
        </w:rPr>
        <w:t>Consejo de Estado. Sala de Consulta y Servicio Civil, Concepto de 8 de mayo de 2018. Radicación Número: 11001-03-06-000-2018-00095-00(2382). Consejero Ponente: Álvaro Namén Vargas.</w:t>
      </w:r>
    </w:p>
    <w:p w14:paraId="56C739B3" w14:textId="77777777" w:rsidR="00B43DF3" w:rsidRPr="00403548" w:rsidRDefault="00B43DF3" w:rsidP="00B21A0D">
      <w:pPr>
        <w:shd w:val="clear" w:color="auto" w:fill="FFFFFF"/>
        <w:ind w:firstLine="709"/>
        <w:jc w:val="both"/>
        <w:rPr>
          <w:rFonts w:ascii="Arial" w:hAnsi="Arial" w:cs="Arial"/>
          <w:sz w:val="19"/>
          <w:szCs w:val="19"/>
          <w:lang w:val="es-ES"/>
        </w:rPr>
      </w:pPr>
    </w:p>
  </w:footnote>
  <w:footnote w:id="30">
    <w:p w14:paraId="59F7ECF9" w14:textId="77777777" w:rsidR="00646880" w:rsidRPr="00403548" w:rsidRDefault="00646880" w:rsidP="00B21A0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Consejo de Estado. Sala de Consulta y Servicio Civil. Concepto del 08 de mayo de 2018. Exp. 2.382. C.P. Álvaro Namén Vargas.</w:t>
      </w:r>
    </w:p>
  </w:footnote>
  <w:footnote w:id="31">
    <w:p w14:paraId="30CD93A2" w14:textId="77777777" w:rsidR="00646880" w:rsidRPr="00403548" w:rsidRDefault="00646880" w:rsidP="00B21A0D">
      <w:pPr>
        <w:pStyle w:val="Textonotapie"/>
        <w:ind w:firstLine="709"/>
        <w:jc w:val="both"/>
        <w:rPr>
          <w:rFonts w:ascii="Arial" w:hAnsi="Arial" w:cs="Arial"/>
          <w:sz w:val="19"/>
          <w:szCs w:val="19"/>
        </w:rPr>
      </w:pPr>
      <w:r w:rsidRPr="00403548">
        <w:rPr>
          <w:rStyle w:val="Refdenotaalpie"/>
          <w:rFonts w:ascii="Arial" w:hAnsi="Arial" w:cs="Arial"/>
          <w:sz w:val="19"/>
          <w:szCs w:val="19"/>
        </w:rPr>
        <w:footnoteRef/>
      </w:r>
      <w:r w:rsidRPr="00403548">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32">
    <w:p w14:paraId="3253C704" w14:textId="414DE87F" w:rsidR="001A4328" w:rsidRPr="0028710C" w:rsidRDefault="001A4328" w:rsidP="00B21A0D">
      <w:pPr>
        <w:ind w:right="114"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69. Se garantiza la autonomía universitaria. Las universidades podrán darse sus directivas y regirse por sus</w:t>
      </w:r>
      <w:r w:rsidRPr="0028710C">
        <w:rPr>
          <w:rFonts w:ascii="Arial" w:hAnsi="Arial" w:cs="Arial"/>
          <w:spacing w:val="-2"/>
          <w:sz w:val="19"/>
          <w:szCs w:val="19"/>
        </w:rPr>
        <w:t xml:space="preserve"> </w:t>
      </w:r>
      <w:r w:rsidRPr="0028710C">
        <w:rPr>
          <w:rFonts w:ascii="Arial" w:hAnsi="Arial" w:cs="Arial"/>
          <w:sz w:val="19"/>
          <w:szCs w:val="19"/>
        </w:rPr>
        <w:t>propios</w:t>
      </w:r>
      <w:r w:rsidRPr="0028710C">
        <w:rPr>
          <w:rFonts w:ascii="Arial" w:hAnsi="Arial" w:cs="Arial"/>
          <w:spacing w:val="-2"/>
          <w:sz w:val="19"/>
          <w:szCs w:val="19"/>
        </w:rPr>
        <w:t xml:space="preserve"> </w:t>
      </w:r>
      <w:r w:rsidRPr="0028710C">
        <w:rPr>
          <w:rFonts w:ascii="Arial" w:hAnsi="Arial" w:cs="Arial"/>
          <w:sz w:val="19"/>
          <w:szCs w:val="19"/>
        </w:rPr>
        <w:t>estatutos,</w:t>
      </w:r>
      <w:r w:rsidRPr="0028710C">
        <w:rPr>
          <w:rFonts w:ascii="Arial" w:hAnsi="Arial" w:cs="Arial"/>
          <w:spacing w:val="-4"/>
          <w:sz w:val="19"/>
          <w:szCs w:val="19"/>
        </w:rPr>
        <w:t xml:space="preserve"> </w:t>
      </w:r>
      <w:r w:rsidRPr="0028710C">
        <w:rPr>
          <w:rFonts w:ascii="Arial" w:hAnsi="Arial" w:cs="Arial"/>
          <w:sz w:val="19"/>
          <w:szCs w:val="19"/>
        </w:rPr>
        <w:t>de</w:t>
      </w:r>
      <w:r w:rsidRPr="0028710C">
        <w:rPr>
          <w:rFonts w:ascii="Arial" w:hAnsi="Arial" w:cs="Arial"/>
          <w:spacing w:val="-4"/>
          <w:sz w:val="19"/>
          <w:szCs w:val="19"/>
        </w:rPr>
        <w:t xml:space="preserve"> </w:t>
      </w:r>
      <w:r w:rsidRPr="0028710C">
        <w:rPr>
          <w:rFonts w:ascii="Arial" w:hAnsi="Arial" w:cs="Arial"/>
          <w:sz w:val="19"/>
          <w:szCs w:val="19"/>
        </w:rPr>
        <w:t>acuerdo</w:t>
      </w:r>
      <w:r w:rsidRPr="0028710C">
        <w:rPr>
          <w:rFonts w:ascii="Arial" w:hAnsi="Arial" w:cs="Arial"/>
          <w:spacing w:val="-4"/>
          <w:sz w:val="19"/>
          <w:szCs w:val="19"/>
        </w:rPr>
        <w:t xml:space="preserve"> </w:t>
      </w:r>
      <w:r w:rsidRPr="0028710C">
        <w:rPr>
          <w:rFonts w:ascii="Arial" w:hAnsi="Arial" w:cs="Arial"/>
          <w:sz w:val="19"/>
          <w:szCs w:val="19"/>
        </w:rPr>
        <w:t>con</w:t>
      </w:r>
      <w:r w:rsidRPr="0028710C">
        <w:rPr>
          <w:rFonts w:ascii="Arial" w:hAnsi="Arial" w:cs="Arial"/>
          <w:spacing w:val="-1"/>
          <w:sz w:val="19"/>
          <w:szCs w:val="19"/>
        </w:rPr>
        <w:t xml:space="preserve"> </w:t>
      </w:r>
      <w:r w:rsidRPr="0028710C">
        <w:rPr>
          <w:rFonts w:ascii="Arial" w:hAnsi="Arial" w:cs="Arial"/>
          <w:sz w:val="19"/>
          <w:szCs w:val="19"/>
        </w:rPr>
        <w:t>la</w:t>
      </w:r>
      <w:r w:rsidRPr="0028710C">
        <w:rPr>
          <w:rFonts w:ascii="Arial" w:hAnsi="Arial" w:cs="Arial"/>
          <w:spacing w:val="-1"/>
          <w:sz w:val="19"/>
          <w:szCs w:val="19"/>
        </w:rPr>
        <w:t xml:space="preserve"> </w:t>
      </w:r>
      <w:r w:rsidRPr="0028710C">
        <w:rPr>
          <w:rFonts w:ascii="Arial" w:hAnsi="Arial" w:cs="Arial"/>
          <w:sz w:val="19"/>
          <w:szCs w:val="19"/>
        </w:rPr>
        <w:t>ley.</w:t>
      </w:r>
      <w:r w:rsidRPr="0028710C">
        <w:rPr>
          <w:rFonts w:ascii="Arial" w:hAnsi="Arial" w:cs="Arial"/>
          <w:spacing w:val="-2"/>
          <w:sz w:val="19"/>
          <w:szCs w:val="19"/>
        </w:rPr>
        <w:t xml:space="preserve"> </w:t>
      </w:r>
      <w:r w:rsidRPr="0028710C">
        <w:rPr>
          <w:rFonts w:ascii="Arial" w:hAnsi="Arial" w:cs="Arial"/>
          <w:sz w:val="19"/>
          <w:szCs w:val="19"/>
        </w:rPr>
        <w:t>La</w:t>
      </w:r>
      <w:r w:rsidRPr="0028710C">
        <w:rPr>
          <w:rFonts w:ascii="Arial" w:hAnsi="Arial" w:cs="Arial"/>
          <w:spacing w:val="-1"/>
          <w:sz w:val="19"/>
          <w:szCs w:val="19"/>
        </w:rPr>
        <w:t xml:space="preserve"> </w:t>
      </w:r>
      <w:r w:rsidRPr="0028710C">
        <w:rPr>
          <w:rFonts w:ascii="Arial" w:hAnsi="Arial" w:cs="Arial"/>
          <w:sz w:val="19"/>
          <w:szCs w:val="19"/>
        </w:rPr>
        <w:t>ley</w:t>
      </w:r>
      <w:r w:rsidRPr="0028710C">
        <w:rPr>
          <w:rFonts w:ascii="Arial" w:hAnsi="Arial" w:cs="Arial"/>
          <w:spacing w:val="-5"/>
          <w:sz w:val="19"/>
          <w:szCs w:val="19"/>
        </w:rPr>
        <w:t xml:space="preserve"> </w:t>
      </w:r>
      <w:r w:rsidRPr="0028710C">
        <w:rPr>
          <w:rFonts w:ascii="Arial" w:hAnsi="Arial" w:cs="Arial"/>
          <w:sz w:val="19"/>
          <w:szCs w:val="19"/>
        </w:rPr>
        <w:t>establecerá</w:t>
      </w:r>
      <w:r w:rsidRPr="0028710C">
        <w:rPr>
          <w:rFonts w:ascii="Arial" w:hAnsi="Arial" w:cs="Arial"/>
          <w:spacing w:val="-1"/>
          <w:sz w:val="19"/>
          <w:szCs w:val="19"/>
        </w:rPr>
        <w:t xml:space="preserve"> </w:t>
      </w:r>
      <w:r w:rsidRPr="0028710C">
        <w:rPr>
          <w:rFonts w:ascii="Arial" w:hAnsi="Arial" w:cs="Arial"/>
          <w:sz w:val="19"/>
          <w:szCs w:val="19"/>
        </w:rPr>
        <w:t>un</w:t>
      </w:r>
      <w:r w:rsidRPr="0028710C">
        <w:rPr>
          <w:rFonts w:ascii="Arial" w:hAnsi="Arial" w:cs="Arial"/>
          <w:spacing w:val="-1"/>
          <w:sz w:val="19"/>
          <w:szCs w:val="19"/>
        </w:rPr>
        <w:t xml:space="preserve"> </w:t>
      </w:r>
      <w:r w:rsidRPr="0028710C">
        <w:rPr>
          <w:rFonts w:ascii="Arial" w:hAnsi="Arial" w:cs="Arial"/>
          <w:sz w:val="19"/>
          <w:szCs w:val="19"/>
        </w:rPr>
        <w:t>régimen</w:t>
      </w:r>
      <w:r w:rsidRPr="0028710C">
        <w:rPr>
          <w:rFonts w:ascii="Arial" w:hAnsi="Arial" w:cs="Arial"/>
          <w:spacing w:val="-4"/>
          <w:sz w:val="19"/>
          <w:szCs w:val="19"/>
        </w:rPr>
        <w:t xml:space="preserve"> </w:t>
      </w:r>
      <w:r w:rsidRPr="0028710C">
        <w:rPr>
          <w:rFonts w:ascii="Arial" w:hAnsi="Arial" w:cs="Arial"/>
          <w:sz w:val="19"/>
          <w:szCs w:val="19"/>
        </w:rPr>
        <w:t>especial</w:t>
      </w:r>
      <w:r w:rsidRPr="0028710C">
        <w:rPr>
          <w:rFonts w:ascii="Arial" w:hAnsi="Arial" w:cs="Arial"/>
          <w:spacing w:val="-5"/>
          <w:sz w:val="19"/>
          <w:szCs w:val="19"/>
        </w:rPr>
        <w:t xml:space="preserve"> </w:t>
      </w:r>
      <w:r w:rsidRPr="0028710C">
        <w:rPr>
          <w:rFonts w:ascii="Arial" w:hAnsi="Arial" w:cs="Arial"/>
          <w:sz w:val="19"/>
          <w:szCs w:val="19"/>
        </w:rPr>
        <w:t>para</w:t>
      </w:r>
      <w:r w:rsidRPr="0028710C">
        <w:rPr>
          <w:rFonts w:ascii="Arial" w:hAnsi="Arial" w:cs="Arial"/>
          <w:spacing w:val="-1"/>
          <w:sz w:val="19"/>
          <w:szCs w:val="19"/>
        </w:rPr>
        <w:t xml:space="preserve"> </w:t>
      </w:r>
      <w:r w:rsidRPr="0028710C">
        <w:rPr>
          <w:rFonts w:ascii="Arial" w:hAnsi="Arial" w:cs="Arial"/>
          <w:sz w:val="19"/>
          <w:szCs w:val="19"/>
        </w:rPr>
        <w:t>las</w:t>
      </w:r>
      <w:r w:rsidRPr="0028710C">
        <w:rPr>
          <w:rFonts w:ascii="Arial" w:hAnsi="Arial" w:cs="Arial"/>
          <w:spacing w:val="-5"/>
          <w:sz w:val="19"/>
          <w:szCs w:val="19"/>
        </w:rPr>
        <w:t xml:space="preserve"> </w:t>
      </w:r>
      <w:r w:rsidRPr="0028710C">
        <w:rPr>
          <w:rFonts w:ascii="Arial" w:hAnsi="Arial" w:cs="Arial"/>
          <w:sz w:val="19"/>
          <w:szCs w:val="19"/>
        </w:rPr>
        <w:t>universidades</w:t>
      </w:r>
      <w:r w:rsidRPr="0028710C">
        <w:rPr>
          <w:rFonts w:ascii="Arial" w:hAnsi="Arial" w:cs="Arial"/>
          <w:spacing w:val="-2"/>
          <w:sz w:val="19"/>
          <w:szCs w:val="19"/>
        </w:rPr>
        <w:t xml:space="preserve"> </w:t>
      </w:r>
      <w:r w:rsidRPr="0028710C">
        <w:rPr>
          <w:rFonts w:ascii="Arial" w:hAnsi="Arial" w:cs="Arial"/>
          <w:sz w:val="19"/>
          <w:szCs w:val="19"/>
        </w:rPr>
        <w:t>del</w:t>
      </w:r>
      <w:r w:rsidRPr="0028710C">
        <w:rPr>
          <w:rFonts w:ascii="Arial" w:hAnsi="Arial" w:cs="Arial"/>
          <w:spacing w:val="-3"/>
          <w:sz w:val="19"/>
          <w:szCs w:val="19"/>
        </w:rPr>
        <w:t xml:space="preserve"> </w:t>
      </w:r>
      <w:r w:rsidRPr="0028710C">
        <w:rPr>
          <w:rFonts w:ascii="Arial" w:hAnsi="Arial" w:cs="Arial"/>
          <w:sz w:val="19"/>
          <w:szCs w:val="19"/>
        </w:rPr>
        <w:t>Estado».</w:t>
      </w:r>
    </w:p>
  </w:footnote>
  <w:footnote w:id="33">
    <w:p w14:paraId="5306A830" w14:textId="77777777" w:rsidR="001A4328" w:rsidRPr="0028710C" w:rsidRDefault="001A4328" w:rsidP="00B21A0D">
      <w:pPr>
        <w:pStyle w:val="Textonotapie"/>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57. Las universidades estatales u oficiales deben organizarse como entes universitarios autónomos, con régimen especial y vinculados al Ministerio de Educación Nacional en lo que se refiere a las políticas y la planeación del sector educativo.</w:t>
      </w:r>
    </w:p>
    <w:p w14:paraId="416F2692" w14:textId="77777777" w:rsidR="001A4328" w:rsidRPr="0028710C" w:rsidRDefault="001A4328" w:rsidP="00B21A0D">
      <w:pPr>
        <w:pStyle w:val="Textonotapie"/>
        <w:ind w:firstLine="708"/>
        <w:jc w:val="both"/>
        <w:rPr>
          <w:rFonts w:ascii="Arial" w:hAnsi="Arial" w:cs="Arial"/>
          <w:sz w:val="19"/>
          <w:szCs w:val="19"/>
        </w:rPr>
      </w:pPr>
      <w:r w:rsidRPr="0028710C">
        <w:rPr>
          <w:rFonts w:ascii="Arial" w:hAnsi="Arial" w:cs="Arial"/>
          <w:sz w:val="19"/>
          <w:szCs w:val="19"/>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68140D66" w14:textId="5DA57DA6" w:rsidR="001A4328" w:rsidRPr="000333E6" w:rsidRDefault="001A4328" w:rsidP="00B21A0D">
      <w:pPr>
        <w:pStyle w:val="Textonotapie"/>
        <w:jc w:val="both"/>
        <w:rPr>
          <w:rFonts w:ascii="Arial" w:hAnsi="Arial" w:cs="Arial"/>
          <w:sz w:val="19"/>
          <w:szCs w:val="19"/>
          <w:lang w:val="es-CO"/>
        </w:rPr>
      </w:pPr>
      <w:r w:rsidRPr="0028710C">
        <w:rPr>
          <w:rFonts w:ascii="Arial" w:hAnsi="Arial" w:cs="Arial"/>
          <w:sz w:val="19"/>
          <w:szCs w:val="19"/>
        </w:rPr>
        <w:tab/>
      </w:r>
      <w:r w:rsidRPr="0028710C">
        <w:rPr>
          <w:rFonts w:ascii="Arial" w:hAnsi="Arial" w:cs="Arial"/>
          <w:sz w:val="19"/>
          <w:szCs w:val="19"/>
          <w:lang w:val="es-CO"/>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footnote>
  <w:footnote w:id="34">
    <w:p w14:paraId="5D936647" w14:textId="6D743391" w:rsidR="001A4328" w:rsidRPr="0028710C" w:rsidRDefault="001A4328" w:rsidP="00B21A0D">
      <w:pPr>
        <w:ind w:right="110"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28710C">
        <w:rPr>
          <w:rFonts w:ascii="Arial" w:hAnsi="Arial" w:cs="Arial"/>
          <w:spacing w:val="-16"/>
          <w:sz w:val="19"/>
          <w:szCs w:val="19"/>
        </w:rPr>
        <w:t xml:space="preserve"> </w:t>
      </w:r>
      <w:r w:rsidRPr="0028710C">
        <w:rPr>
          <w:rFonts w:ascii="Arial" w:hAnsi="Arial" w:cs="Arial"/>
          <w:sz w:val="19"/>
          <w:szCs w:val="19"/>
        </w:rPr>
        <w:t>contratos».</w:t>
      </w:r>
    </w:p>
  </w:footnote>
  <w:footnote w:id="35">
    <w:p w14:paraId="58CB0367" w14:textId="1F02128F" w:rsidR="001A4328" w:rsidRPr="0028710C" w:rsidRDefault="001A4328" w:rsidP="00B21A0D">
      <w:pPr>
        <w:ind w:right="106"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p>
  </w:footnote>
  <w:footnote w:id="36">
    <w:p w14:paraId="00D4A75B" w14:textId="02F43374" w:rsidR="001A4328" w:rsidRPr="0028710C" w:rsidRDefault="001A4328" w:rsidP="00B21A0D">
      <w:pPr>
        <w:ind w:right="106"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Pr="0028710C">
        <w:rPr>
          <w:rFonts w:ascii="Arial" w:hAnsi="Arial" w:cs="Arial"/>
          <w:sz w:val="19"/>
          <w:szCs w:val="19"/>
        </w:rPr>
        <w:t>«Artículo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footnote>
  <w:footnote w:id="37">
    <w:p w14:paraId="1906D57C" w14:textId="6489525B" w:rsidR="001A4328" w:rsidRPr="0028710C" w:rsidRDefault="001A4328" w:rsidP="00B21A0D">
      <w:pPr>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Corte Constitucional</w:t>
      </w:r>
      <w:r w:rsidRPr="0028710C">
        <w:rPr>
          <w:rFonts w:ascii="Arial" w:hAnsi="Arial" w:cs="Arial"/>
          <w:sz w:val="19"/>
          <w:szCs w:val="19"/>
        </w:rPr>
        <w:t>. Sentencia C-121 de 2003. M.P. Clara Inés Vargas Hernández.</w:t>
      </w:r>
    </w:p>
  </w:footnote>
  <w:footnote w:id="38">
    <w:p w14:paraId="3733C6B2" w14:textId="5499F63E" w:rsidR="001A4328" w:rsidRDefault="001A4328" w:rsidP="00B21A0D">
      <w:pPr>
        <w:ind w:left="-1" w:right="110" w:firstLine="709"/>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Corte</w:t>
      </w:r>
      <w:r w:rsidRPr="0028710C">
        <w:rPr>
          <w:rFonts w:ascii="Arial" w:hAnsi="Arial" w:cs="Arial"/>
          <w:spacing w:val="10"/>
          <w:sz w:val="19"/>
          <w:szCs w:val="19"/>
        </w:rPr>
        <w:t xml:space="preserve"> </w:t>
      </w:r>
      <w:r w:rsidRPr="0028710C">
        <w:rPr>
          <w:rFonts w:ascii="Arial" w:hAnsi="Arial" w:cs="Arial"/>
          <w:sz w:val="19"/>
          <w:szCs w:val="19"/>
        </w:rPr>
        <w:t>Constitucional.</w:t>
      </w:r>
      <w:r w:rsidRPr="0028710C">
        <w:rPr>
          <w:rFonts w:ascii="Arial" w:hAnsi="Arial" w:cs="Arial"/>
          <w:spacing w:val="11"/>
          <w:sz w:val="19"/>
          <w:szCs w:val="19"/>
        </w:rPr>
        <w:t xml:space="preserve"> </w:t>
      </w:r>
      <w:r w:rsidRPr="0028710C">
        <w:rPr>
          <w:rFonts w:ascii="Arial" w:hAnsi="Arial" w:cs="Arial"/>
          <w:sz w:val="19"/>
          <w:szCs w:val="19"/>
        </w:rPr>
        <w:t>Sentencia</w:t>
      </w:r>
      <w:r w:rsidRPr="0028710C">
        <w:rPr>
          <w:rFonts w:ascii="Arial" w:hAnsi="Arial" w:cs="Arial"/>
          <w:spacing w:val="10"/>
          <w:sz w:val="19"/>
          <w:szCs w:val="19"/>
        </w:rPr>
        <w:t xml:space="preserve"> </w:t>
      </w:r>
      <w:r w:rsidRPr="0028710C">
        <w:rPr>
          <w:rFonts w:ascii="Arial" w:hAnsi="Arial" w:cs="Arial"/>
          <w:sz w:val="19"/>
          <w:szCs w:val="19"/>
        </w:rPr>
        <w:t>C-1019</w:t>
      </w:r>
      <w:r w:rsidRPr="0028710C">
        <w:rPr>
          <w:rFonts w:ascii="Arial" w:hAnsi="Arial" w:cs="Arial"/>
          <w:spacing w:val="10"/>
          <w:sz w:val="19"/>
          <w:szCs w:val="19"/>
        </w:rPr>
        <w:t xml:space="preserve"> </w:t>
      </w:r>
      <w:r w:rsidRPr="0028710C">
        <w:rPr>
          <w:rFonts w:ascii="Arial" w:hAnsi="Arial" w:cs="Arial"/>
          <w:sz w:val="19"/>
          <w:szCs w:val="19"/>
        </w:rPr>
        <w:t>del</w:t>
      </w:r>
      <w:r w:rsidRPr="0028710C">
        <w:rPr>
          <w:rFonts w:ascii="Arial" w:hAnsi="Arial" w:cs="Arial"/>
          <w:spacing w:val="9"/>
          <w:sz w:val="19"/>
          <w:szCs w:val="19"/>
        </w:rPr>
        <w:t xml:space="preserve"> </w:t>
      </w:r>
      <w:r w:rsidRPr="0028710C">
        <w:rPr>
          <w:rFonts w:ascii="Arial" w:hAnsi="Arial" w:cs="Arial"/>
          <w:sz w:val="19"/>
          <w:szCs w:val="19"/>
        </w:rPr>
        <w:t>28</w:t>
      </w:r>
      <w:r w:rsidRPr="0028710C">
        <w:rPr>
          <w:rFonts w:ascii="Arial" w:hAnsi="Arial" w:cs="Arial"/>
          <w:spacing w:val="10"/>
          <w:sz w:val="19"/>
          <w:szCs w:val="19"/>
        </w:rPr>
        <w:t xml:space="preserve"> </w:t>
      </w:r>
      <w:r w:rsidRPr="0028710C">
        <w:rPr>
          <w:rFonts w:ascii="Arial" w:hAnsi="Arial" w:cs="Arial"/>
          <w:sz w:val="19"/>
          <w:szCs w:val="19"/>
        </w:rPr>
        <w:t>de</w:t>
      </w:r>
      <w:r w:rsidRPr="0028710C">
        <w:rPr>
          <w:rFonts w:ascii="Arial" w:hAnsi="Arial" w:cs="Arial"/>
          <w:spacing w:val="10"/>
          <w:sz w:val="19"/>
          <w:szCs w:val="19"/>
        </w:rPr>
        <w:t xml:space="preserve"> </w:t>
      </w:r>
      <w:r w:rsidRPr="0028710C">
        <w:rPr>
          <w:rFonts w:ascii="Arial" w:hAnsi="Arial" w:cs="Arial"/>
          <w:sz w:val="19"/>
          <w:szCs w:val="19"/>
        </w:rPr>
        <w:t>noviembre</w:t>
      </w:r>
      <w:r w:rsidRPr="0028710C">
        <w:rPr>
          <w:rFonts w:ascii="Arial" w:hAnsi="Arial" w:cs="Arial"/>
          <w:spacing w:val="10"/>
          <w:sz w:val="19"/>
          <w:szCs w:val="19"/>
        </w:rPr>
        <w:t xml:space="preserve"> </w:t>
      </w:r>
      <w:r w:rsidRPr="0028710C">
        <w:rPr>
          <w:rFonts w:ascii="Arial" w:hAnsi="Arial" w:cs="Arial"/>
          <w:sz w:val="19"/>
          <w:szCs w:val="19"/>
        </w:rPr>
        <w:t>de</w:t>
      </w:r>
      <w:r w:rsidRPr="0028710C">
        <w:rPr>
          <w:rFonts w:ascii="Arial" w:hAnsi="Arial" w:cs="Arial"/>
          <w:spacing w:val="10"/>
          <w:sz w:val="19"/>
          <w:szCs w:val="19"/>
        </w:rPr>
        <w:t xml:space="preserve"> </w:t>
      </w:r>
      <w:r w:rsidRPr="0028710C">
        <w:rPr>
          <w:rFonts w:ascii="Arial" w:hAnsi="Arial" w:cs="Arial"/>
          <w:sz w:val="19"/>
          <w:szCs w:val="19"/>
        </w:rPr>
        <w:t>2012.</w:t>
      </w:r>
      <w:r w:rsidRPr="0028710C">
        <w:rPr>
          <w:rFonts w:ascii="Arial" w:hAnsi="Arial" w:cs="Arial"/>
          <w:spacing w:val="10"/>
          <w:sz w:val="19"/>
          <w:szCs w:val="19"/>
        </w:rPr>
        <w:t xml:space="preserve"> </w:t>
      </w:r>
      <w:r w:rsidRPr="0028710C">
        <w:rPr>
          <w:rFonts w:ascii="Arial" w:hAnsi="Arial" w:cs="Arial"/>
          <w:sz w:val="19"/>
          <w:szCs w:val="19"/>
        </w:rPr>
        <w:t>M.P.</w:t>
      </w:r>
      <w:r w:rsidRPr="0028710C">
        <w:rPr>
          <w:rFonts w:ascii="Arial" w:hAnsi="Arial" w:cs="Arial"/>
          <w:spacing w:val="10"/>
          <w:sz w:val="19"/>
          <w:szCs w:val="19"/>
        </w:rPr>
        <w:t xml:space="preserve"> </w:t>
      </w:r>
      <w:r w:rsidRPr="0028710C">
        <w:rPr>
          <w:rFonts w:ascii="Arial" w:hAnsi="Arial" w:cs="Arial"/>
          <w:sz w:val="19"/>
          <w:szCs w:val="19"/>
        </w:rPr>
        <w:t>Mauricio</w:t>
      </w:r>
      <w:r w:rsidRPr="0028710C">
        <w:rPr>
          <w:rFonts w:ascii="Arial" w:hAnsi="Arial" w:cs="Arial"/>
          <w:spacing w:val="8"/>
          <w:sz w:val="19"/>
          <w:szCs w:val="19"/>
        </w:rPr>
        <w:t xml:space="preserve"> </w:t>
      </w:r>
      <w:r w:rsidRPr="0028710C">
        <w:rPr>
          <w:rFonts w:ascii="Arial" w:hAnsi="Arial" w:cs="Arial"/>
          <w:sz w:val="19"/>
          <w:szCs w:val="19"/>
        </w:rPr>
        <w:t>González.</w:t>
      </w:r>
    </w:p>
    <w:p w14:paraId="31889E29" w14:textId="77777777" w:rsidR="007671BE" w:rsidRPr="0028710C" w:rsidRDefault="007671BE" w:rsidP="00B21A0D">
      <w:pPr>
        <w:ind w:left="-1" w:right="110" w:firstLine="709"/>
        <w:jc w:val="both"/>
        <w:rPr>
          <w:rFonts w:ascii="Arial" w:hAnsi="Arial" w:cs="Arial"/>
          <w:sz w:val="19"/>
          <w:szCs w:val="19"/>
        </w:rPr>
      </w:pPr>
    </w:p>
  </w:footnote>
  <w:footnote w:id="39">
    <w:p w14:paraId="585A7926" w14:textId="7754A040" w:rsidR="001A4328" w:rsidRPr="0028710C" w:rsidRDefault="001A4328" w:rsidP="007671BE">
      <w:pPr>
        <w:pStyle w:val="Textonotapie"/>
        <w:ind w:firstLine="708"/>
        <w:jc w:val="both"/>
        <w:rPr>
          <w:rFonts w:ascii="Arial" w:hAnsi="Arial" w:cs="Arial"/>
          <w:sz w:val="19"/>
          <w:szCs w:val="19"/>
          <w:lang w:val="es-ES_tradnl"/>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9411D9">
        <w:rPr>
          <w:rFonts w:ascii="Arial" w:hAnsi="Arial" w:cs="Arial"/>
          <w:sz w:val="19"/>
          <w:szCs w:val="19"/>
        </w:rPr>
        <w:t>Consejo de Estado</w:t>
      </w:r>
      <w:r w:rsidRPr="0028710C">
        <w:rPr>
          <w:rFonts w:ascii="Arial" w:hAnsi="Arial" w:cs="Arial"/>
          <w:sz w:val="19"/>
          <w:szCs w:val="19"/>
        </w:rPr>
        <w:t>. Sección Cuarta. Sentencia del 16 de diciembre de 2008. Exp. 16.297. C.P. Martha Teresa Briceño de Valencia</w:t>
      </w:r>
    </w:p>
  </w:footnote>
  <w:footnote w:id="40">
    <w:p w14:paraId="21E68285" w14:textId="77777777" w:rsidR="001A4328" w:rsidRPr="0028710C" w:rsidRDefault="001A4328" w:rsidP="00B21A0D">
      <w:pPr>
        <w:pStyle w:val="Textonotapie"/>
        <w:jc w:val="both"/>
        <w:rPr>
          <w:rFonts w:ascii="Arial" w:hAnsi="Arial" w:cs="Arial"/>
          <w:sz w:val="19"/>
          <w:szCs w:val="19"/>
        </w:rPr>
      </w:pPr>
    </w:p>
  </w:footnote>
  <w:footnote w:id="41">
    <w:p w14:paraId="2329E862" w14:textId="77777777" w:rsidR="001A4328" w:rsidRPr="001954E8" w:rsidRDefault="001A4328" w:rsidP="00B21A0D">
      <w:pPr>
        <w:pStyle w:val="Textonotapie"/>
        <w:ind w:firstLine="708"/>
        <w:jc w:val="both"/>
        <w:rPr>
          <w:rFonts w:ascii="Arial" w:hAnsi="Arial" w:cs="Arial"/>
          <w:sz w:val="19"/>
          <w:szCs w:val="19"/>
        </w:rPr>
      </w:pPr>
      <w:r w:rsidRPr="001954E8">
        <w:rPr>
          <w:rStyle w:val="Refdenotaalpie"/>
          <w:rFonts w:ascii="Arial" w:hAnsi="Arial" w:cs="Arial"/>
          <w:sz w:val="19"/>
          <w:szCs w:val="19"/>
        </w:rPr>
        <w:footnoteRef/>
      </w:r>
      <w:r w:rsidRPr="001954E8">
        <w:rPr>
          <w:rFonts w:ascii="Arial" w:hAnsi="Arial" w:cs="Arial"/>
          <w:sz w:val="19"/>
          <w:szCs w:val="19"/>
        </w:rPr>
        <w:t xml:space="preserve"> Lo anterior también fue señalado por esta Subdirección en el concepto con radicado de entrada 4201912000004354 y radicado de salida 2201913000006639 del 9 de septiembre de 2019: «El parágrafo del artículo 38 de la ley de garantías electorales, que restringe la celebración de contratos y convenios interadministrativos por entidades estatales del orden territorial y descentralizado, no es aplicable a las universidades públicas del orden nacional y territorial, debido a que, en virtud de su atributo constitucional de autonomía, no son ni pueden asimilarse a las entidades públicas que expresamente prevé la norma».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4"/>
  </w:num>
  <w:num w:numId="4">
    <w:abstractNumId w:val="18"/>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
  </w:num>
  <w:num w:numId="20">
    <w:abstractNumId w:val="25"/>
  </w:num>
  <w:num w:numId="21">
    <w:abstractNumId w:val="17"/>
  </w:num>
  <w:num w:numId="22">
    <w:abstractNumId w:val="6"/>
  </w:num>
  <w:num w:numId="23">
    <w:abstractNumId w:val="5"/>
  </w:num>
  <w:num w:numId="24">
    <w:abstractNumId w:val="23"/>
  </w:num>
  <w:num w:numId="25">
    <w:abstractNumId w:val="19"/>
  </w:num>
  <w:num w:numId="26">
    <w:abstractNumId w:val="3"/>
  </w:num>
  <w:num w:numId="27">
    <w:abstractNumId w:val="1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6412"/>
    <w:rsid w:val="00007750"/>
    <w:rsid w:val="000077D0"/>
    <w:rsid w:val="000077FD"/>
    <w:rsid w:val="00007E1C"/>
    <w:rsid w:val="00007E37"/>
    <w:rsid w:val="00010281"/>
    <w:rsid w:val="00010A1F"/>
    <w:rsid w:val="00010C40"/>
    <w:rsid w:val="00011215"/>
    <w:rsid w:val="000112B4"/>
    <w:rsid w:val="0001181C"/>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34C"/>
    <w:rsid w:val="00017B65"/>
    <w:rsid w:val="00020158"/>
    <w:rsid w:val="000207E0"/>
    <w:rsid w:val="000207FF"/>
    <w:rsid w:val="000209E2"/>
    <w:rsid w:val="00020F70"/>
    <w:rsid w:val="00020F8F"/>
    <w:rsid w:val="00021A95"/>
    <w:rsid w:val="0002256F"/>
    <w:rsid w:val="00023DAE"/>
    <w:rsid w:val="00024855"/>
    <w:rsid w:val="00024896"/>
    <w:rsid w:val="000254DD"/>
    <w:rsid w:val="00025D0A"/>
    <w:rsid w:val="000263F0"/>
    <w:rsid w:val="00026407"/>
    <w:rsid w:val="00026608"/>
    <w:rsid w:val="00027319"/>
    <w:rsid w:val="00027787"/>
    <w:rsid w:val="000278D2"/>
    <w:rsid w:val="00027928"/>
    <w:rsid w:val="0002797C"/>
    <w:rsid w:val="00031364"/>
    <w:rsid w:val="000315E1"/>
    <w:rsid w:val="00031BC1"/>
    <w:rsid w:val="0003236E"/>
    <w:rsid w:val="00032BB3"/>
    <w:rsid w:val="00032F33"/>
    <w:rsid w:val="0003339A"/>
    <w:rsid w:val="000333E6"/>
    <w:rsid w:val="000341F2"/>
    <w:rsid w:val="00034EBA"/>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57ACB"/>
    <w:rsid w:val="000606AC"/>
    <w:rsid w:val="00061010"/>
    <w:rsid w:val="00061470"/>
    <w:rsid w:val="00061D06"/>
    <w:rsid w:val="00062131"/>
    <w:rsid w:val="00062408"/>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1A53"/>
    <w:rsid w:val="0007254F"/>
    <w:rsid w:val="00072878"/>
    <w:rsid w:val="000729C2"/>
    <w:rsid w:val="0007357C"/>
    <w:rsid w:val="00073C30"/>
    <w:rsid w:val="00074305"/>
    <w:rsid w:val="000744D0"/>
    <w:rsid w:val="00074B2A"/>
    <w:rsid w:val="00074EEE"/>
    <w:rsid w:val="000753D5"/>
    <w:rsid w:val="00075761"/>
    <w:rsid w:val="00075992"/>
    <w:rsid w:val="00075B3E"/>
    <w:rsid w:val="00076158"/>
    <w:rsid w:val="00076456"/>
    <w:rsid w:val="0007666D"/>
    <w:rsid w:val="00076A56"/>
    <w:rsid w:val="00076B92"/>
    <w:rsid w:val="000774CD"/>
    <w:rsid w:val="0007779B"/>
    <w:rsid w:val="000777E7"/>
    <w:rsid w:val="0007790A"/>
    <w:rsid w:val="0008017B"/>
    <w:rsid w:val="00080ACD"/>
    <w:rsid w:val="000811ED"/>
    <w:rsid w:val="0008139C"/>
    <w:rsid w:val="00081D62"/>
    <w:rsid w:val="00082B74"/>
    <w:rsid w:val="00083099"/>
    <w:rsid w:val="0008329B"/>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31FB"/>
    <w:rsid w:val="000A362F"/>
    <w:rsid w:val="000A3B49"/>
    <w:rsid w:val="000A4137"/>
    <w:rsid w:val="000A464B"/>
    <w:rsid w:val="000A46FE"/>
    <w:rsid w:val="000A4704"/>
    <w:rsid w:val="000A47E6"/>
    <w:rsid w:val="000A4810"/>
    <w:rsid w:val="000A52C0"/>
    <w:rsid w:val="000A5836"/>
    <w:rsid w:val="000A5AAF"/>
    <w:rsid w:val="000A5F97"/>
    <w:rsid w:val="000A600A"/>
    <w:rsid w:val="000A648E"/>
    <w:rsid w:val="000A68A8"/>
    <w:rsid w:val="000A73BB"/>
    <w:rsid w:val="000A73E8"/>
    <w:rsid w:val="000A7C27"/>
    <w:rsid w:val="000A7C3A"/>
    <w:rsid w:val="000A7EF4"/>
    <w:rsid w:val="000B081A"/>
    <w:rsid w:val="000B0A15"/>
    <w:rsid w:val="000B103F"/>
    <w:rsid w:val="000B1437"/>
    <w:rsid w:val="000B1470"/>
    <w:rsid w:val="000B17EC"/>
    <w:rsid w:val="000B244D"/>
    <w:rsid w:val="000B2B86"/>
    <w:rsid w:val="000B3051"/>
    <w:rsid w:val="000B3224"/>
    <w:rsid w:val="000B419B"/>
    <w:rsid w:val="000B440A"/>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CE3"/>
    <w:rsid w:val="000C4F49"/>
    <w:rsid w:val="000C5861"/>
    <w:rsid w:val="000C5BDE"/>
    <w:rsid w:val="000C6076"/>
    <w:rsid w:val="000C639D"/>
    <w:rsid w:val="000C6C31"/>
    <w:rsid w:val="000C6DBC"/>
    <w:rsid w:val="000C6F79"/>
    <w:rsid w:val="000C7476"/>
    <w:rsid w:val="000C7480"/>
    <w:rsid w:val="000C7711"/>
    <w:rsid w:val="000C7AA2"/>
    <w:rsid w:val="000C7CC5"/>
    <w:rsid w:val="000D022A"/>
    <w:rsid w:val="000D0462"/>
    <w:rsid w:val="000D053D"/>
    <w:rsid w:val="000D0D24"/>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3EE"/>
    <w:rsid w:val="000E653C"/>
    <w:rsid w:val="000E6BE1"/>
    <w:rsid w:val="000E7E0B"/>
    <w:rsid w:val="000F0136"/>
    <w:rsid w:val="000F0367"/>
    <w:rsid w:val="000F078A"/>
    <w:rsid w:val="000F122D"/>
    <w:rsid w:val="000F1450"/>
    <w:rsid w:val="000F14E8"/>
    <w:rsid w:val="000F1BBD"/>
    <w:rsid w:val="000F290F"/>
    <w:rsid w:val="000F2FA5"/>
    <w:rsid w:val="000F4403"/>
    <w:rsid w:val="000F480B"/>
    <w:rsid w:val="000F4E17"/>
    <w:rsid w:val="000F5615"/>
    <w:rsid w:val="000F6578"/>
    <w:rsid w:val="000F722C"/>
    <w:rsid w:val="000F7466"/>
    <w:rsid w:val="000F7E8F"/>
    <w:rsid w:val="000F7FBB"/>
    <w:rsid w:val="001000FB"/>
    <w:rsid w:val="00100A9E"/>
    <w:rsid w:val="00100F6A"/>
    <w:rsid w:val="00101155"/>
    <w:rsid w:val="00101763"/>
    <w:rsid w:val="00102463"/>
    <w:rsid w:val="00102605"/>
    <w:rsid w:val="00102686"/>
    <w:rsid w:val="00102745"/>
    <w:rsid w:val="00103795"/>
    <w:rsid w:val="00103915"/>
    <w:rsid w:val="00103EA0"/>
    <w:rsid w:val="00103F40"/>
    <w:rsid w:val="0010496C"/>
    <w:rsid w:val="00104B7E"/>
    <w:rsid w:val="00104F1C"/>
    <w:rsid w:val="001051E5"/>
    <w:rsid w:val="00105A74"/>
    <w:rsid w:val="00105ACB"/>
    <w:rsid w:val="00105AEF"/>
    <w:rsid w:val="00106177"/>
    <w:rsid w:val="00106259"/>
    <w:rsid w:val="001068EB"/>
    <w:rsid w:val="001078CE"/>
    <w:rsid w:val="00107EB3"/>
    <w:rsid w:val="00110A86"/>
    <w:rsid w:val="00110F61"/>
    <w:rsid w:val="001111BD"/>
    <w:rsid w:val="0011165A"/>
    <w:rsid w:val="00111B2B"/>
    <w:rsid w:val="00111E4E"/>
    <w:rsid w:val="00111E6A"/>
    <w:rsid w:val="001124C3"/>
    <w:rsid w:val="00112774"/>
    <w:rsid w:val="00112B2E"/>
    <w:rsid w:val="00113003"/>
    <w:rsid w:val="00113062"/>
    <w:rsid w:val="00113705"/>
    <w:rsid w:val="00113975"/>
    <w:rsid w:val="00113CFC"/>
    <w:rsid w:val="00113FEA"/>
    <w:rsid w:val="0011419E"/>
    <w:rsid w:val="00114A22"/>
    <w:rsid w:val="00114E9D"/>
    <w:rsid w:val="0011507B"/>
    <w:rsid w:val="00115819"/>
    <w:rsid w:val="00116328"/>
    <w:rsid w:val="001163CF"/>
    <w:rsid w:val="00116A1C"/>
    <w:rsid w:val="001174C9"/>
    <w:rsid w:val="00117E69"/>
    <w:rsid w:val="00121103"/>
    <w:rsid w:val="001211E9"/>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698E"/>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461D"/>
    <w:rsid w:val="0014502F"/>
    <w:rsid w:val="00145282"/>
    <w:rsid w:val="001453B0"/>
    <w:rsid w:val="001454D9"/>
    <w:rsid w:val="0014553F"/>
    <w:rsid w:val="001459D2"/>
    <w:rsid w:val="00145D8E"/>
    <w:rsid w:val="00146083"/>
    <w:rsid w:val="001462F7"/>
    <w:rsid w:val="00146312"/>
    <w:rsid w:val="00146418"/>
    <w:rsid w:val="001469E9"/>
    <w:rsid w:val="001471AB"/>
    <w:rsid w:val="00147356"/>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2AF"/>
    <w:rsid w:val="00162552"/>
    <w:rsid w:val="00163786"/>
    <w:rsid w:val="00163C03"/>
    <w:rsid w:val="00163D7A"/>
    <w:rsid w:val="00164281"/>
    <w:rsid w:val="00164964"/>
    <w:rsid w:val="00165703"/>
    <w:rsid w:val="00166204"/>
    <w:rsid w:val="0016631B"/>
    <w:rsid w:val="0016685F"/>
    <w:rsid w:val="00166921"/>
    <w:rsid w:val="0016712F"/>
    <w:rsid w:val="00167503"/>
    <w:rsid w:val="001676A9"/>
    <w:rsid w:val="00167A15"/>
    <w:rsid w:val="00167A50"/>
    <w:rsid w:val="00167D1A"/>
    <w:rsid w:val="00167DF5"/>
    <w:rsid w:val="00170001"/>
    <w:rsid w:val="00170472"/>
    <w:rsid w:val="00171574"/>
    <w:rsid w:val="00171D96"/>
    <w:rsid w:val="00172020"/>
    <w:rsid w:val="001720C1"/>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7E9"/>
    <w:rsid w:val="0018229F"/>
    <w:rsid w:val="001829CD"/>
    <w:rsid w:val="00182C75"/>
    <w:rsid w:val="00182F01"/>
    <w:rsid w:val="001833C2"/>
    <w:rsid w:val="001841E2"/>
    <w:rsid w:val="00184219"/>
    <w:rsid w:val="00184F27"/>
    <w:rsid w:val="0018519B"/>
    <w:rsid w:val="00185966"/>
    <w:rsid w:val="00185A2D"/>
    <w:rsid w:val="00185AFE"/>
    <w:rsid w:val="00185E78"/>
    <w:rsid w:val="00185F7F"/>
    <w:rsid w:val="00186972"/>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CF5"/>
    <w:rsid w:val="00194E8C"/>
    <w:rsid w:val="001962EC"/>
    <w:rsid w:val="001963DD"/>
    <w:rsid w:val="001965DB"/>
    <w:rsid w:val="0019673D"/>
    <w:rsid w:val="00196D01"/>
    <w:rsid w:val="00196DC9"/>
    <w:rsid w:val="00196E95"/>
    <w:rsid w:val="00197B26"/>
    <w:rsid w:val="001A0236"/>
    <w:rsid w:val="001A0915"/>
    <w:rsid w:val="001A0929"/>
    <w:rsid w:val="001A0AF8"/>
    <w:rsid w:val="001A147D"/>
    <w:rsid w:val="001A1490"/>
    <w:rsid w:val="001A18D5"/>
    <w:rsid w:val="001A1A38"/>
    <w:rsid w:val="001A1BE0"/>
    <w:rsid w:val="001A1D4A"/>
    <w:rsid w:val="001A25D3"/>
    <w:rsid w:val="001A3011"/>
    <w:rsid w:val="001A3284"/>
    <w:rsid w:val="001A4328"/>
    <w:rsid w:val="001A4A9B"/>
    <w:rsid w:val="001A4DAF"/>
    <w:rsid w:val="001A54CD"/>
    <w:rsid w:val="001A66DF"/>
    <w:rsid w:val="001A67D0"/>
    <w:rsid w:val="001A6863"/>
    <w:rsid w:val="001A7591"/>
    <w:rsid w:val="001A75B1"/>
    <w:rsid w:val="001A797E"/>
    <w:rsid w:val="001A7B06"/>
    <w:rsid w:val="001A7C04"/>
    <w:rsid w:val="001B0366"/>
    <w:rsid w:val="001B0444"/>
    <w:rsid w:val="001B096B"/>
    <w:rsid w:val="001B0970"/>
    <w:rsid w:val="001B0F9F"/>
    <w:rsid w:val="001B0FFE"/>
    <w:rsid w:val="001B123C"/>
    <w:rsid w:val="001B143C"/>
    <w:rsid w:val="001B1964"/>
    <w:rsid w:val="001B19D8"/>
    <w:rsid w:val="001B1A0D"/>
    <w:rsid w:val="001B1BF1"/>
    <w:rsid w:val="001B2456"/>
    <w:rsid w:val="001B449C"/>
    <w:rsid w:val="001B4AA2"/>
    <w:rsid w:val="001B4ADE"/>
    <w:rsid w:val="001B4EAF"/>
    <w:rsid w:val="001B5530"/>
    <w:rsid w:val="001B5EF8"/>
    <w:rsid w:val="001B5F4C"/>
    <w:rsid w:val="001B71E8"/>
    <w:rsid w:val="001C07C6"/>
    <w:rsid w:val="001C15C9"/>
    <w:rsid w:val="001C19CD"/>
    <w:rsid w:val="001C22D5"/>
    <w:rsid w:val="001C2515"/>
    <w:rsid w:val="001C26FB"/>
    <w:rsid w:val="001C2D24"/>
    <w:rsid w:val="001C33C1"/>
    <w:rsid w:val="001C3801"/>
    <w:rsid w:val="001C3B3A"/>
    <w:rsid w:val="001C3E30"/>
    <w:rsid w:val="001C3E5C"/>
    <w:rsid w:val="001C5072"/>
    <w:rsid w:val="001C5B2A"/>
    <w:rsid w:val="001C600B"/>
    <w:rsid w:val="001C6476"/>
    <w:rsid w:val="001C6898"/>
    <w:rsid w:val="001C6DD8"/>
    <w:rsid w:val="001C7683"/>
    <w:rsid w:val="001C7C7B"/>
    <w:rsid w:val="001D068D"/>
    <w:rsid w:val="001D12D1"/>
    <w:rsid w:val="001D15DF"/>
    <w:rsid w:val="001D2EEE"/>
    <w:rsid w:val="001D30F3"/>
    <w:rsid w:val="001D31A0"/>
    <w:rsid w:val="001D338E"/>
    <w:rsid w:val="001D4238"/>
    <w:rsid w:val="001D56E9"/>
    <w:rsid w:val="001D6006"/>
    <w:rsid w:val="001D65AC"/>
    <w:rsid w:val="001D7035"/>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E7C57"/>
    <w:rsid w:val="001F08BB"/>
    <w:rsid w:val="001F0A71"/>
    <w:rsid w:val="001F0D15"/>
    <w:rsid w:val="001F0FA0"/>
    <w:rsid w:val="001F1349"/>
    <w:rsid w:val="001F15DE"/>
    <w:rsid w:val="001F1863"/>
    <w:rsid w:val="001F2356"/>
    <w:rsid w:val="001F2A68"/>
    <w:rsid w:val="001F4773"/>
    <w:rsid w:val="001F5008"/>
    <w:rsid w:val="001F56AA"/>
    <w:rsid w:val="001F58AA"/>
    <w:rsid w:val="001F5A4E"/>
    <w:rsid w:val="001F5EF6"/>
    <w:rsid w:val="001F657F"/>
    <w:rsid w:val="001F6FB6"/>
    <w:rsid w:val="001F72BB"/>
    <w:rsid w:val="001F751D"/>
    <w:rsid w:val="001F7978"/>
    <w:rsid w:val="001F7A0E"/>
    <w:rsid w:val="001F7A4B"/>
    <w:rsid w:val="0020022E"/>
    <w:rsid w:val="0020054E"/>
    <w:rsid w:val="00200759"/>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A9"/>
    <w:rsid w:val="002053EF"/>
    <w:rsid w:val="002058D4"/>
    <w:rsid w:val="0020632A"/>
    <w:rsid w:val="0020697F"/>
    <w:rsid w:val="00207262"/>
    <w:rsid w:val="0020726E"/>
    <w:rsid w:val="0021000A"/>
    <w:rsid w:val="002103DD"/>
    <w:rsid w:val="00210656"/>
    <w:rsid w:val="002110EB"/>
    <w:rsid w:val="00211338"/>
    <w:rsid w:val="00211388"/>
    <w:rsid w:val="0021148C"/>
    <w:rsid w:val="00211694"/>
    <w:rsid w:val="0021201A"/>
    <w:rsid w:val="00213061"/>
    <w:rsid w:val="002138FE"/>
    <w:rsid w:val="00213A1F"/>
    <w:rsid w:val="00213C63"/>
    <w:rsid w:val="00214502"/>
    <w:rsid w:val="00214741"/>
    <w:rsid w:val="002148AF"/>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4FA2"/>
    <w:rsid w:val="0022595D"/>
    <w:rsid w:val="00226055"/>
    <w:rsid w:val="0022609C"/>
    <w:rsid w:val="0022613F"/>
    <w:rsid w:val="00226236"/>
    <w:rsid w:val="00226982"/>
    <w:rsid w:val="002270C9"/>
    <w:rsid w:val="00227A8B"/>
    <w:rsid w:val="00230D37"/>
    <w:rsid w:val="00230F0B"/>
    <w:rsid w:val="00231466"/>
    <w:rsid w:val="0023146B"/>
    <w:rsid w:val="002315A0"/>
    <w:rsid w:val="00231748"/>
    <w:rsid w:val="00231A24"/>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A0F"/>
    <w:rsid w:val="00242D5F"/>
    <w:rsid w:val="00242D62"/>
    <w:rsid w:val="002430D0"/>
    <w:rsid w:val="002431D7"/>
    <w:rsid w:val="00243735"/>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83"/>
    <w:rsid w:val="002540D8"/>
    <w:rsid w:val="00254AE9"/>
    <w:rsid w:val="0025540B"/>
    <w:rsid w:val="002554DE"/>
    <w:rsid w:val="00255575"/>
    <w:rsid w:val="00255E11"/>
    <w:rsid w:val="00255EA6"/>
    <w:rsid w:val="00256835"/>
    <w:rsid w:val="002569F0"/>
    <w:rsid w:val="00256A16"/>
    <w:rsid w:val="00256C01"/>
    <w:rsid w:val="00256D3E"/>
    <w:rsid w:val="00256E1A"/>
    <w:rsid w:val="00256ECF"/>
    <w:rsid w:val="002572D4"/>
    <w:rsid w:val="00257730"/>
    <w:rsid w:val="00257999"/>
    <w:rsid w:val="002604AA"/>
    <w:rsid w:val="0026129B"/>
    <w:rsid w:val="00261560"/>
    <w:rsid w:val="00261615"/>
    <w:rsid w:val="00261715"/>
    <w:rsid w:val="00261CF9"/>
    <w:rsid w:val="00261EC0"/>
    <w:rsid w:val="0026231B"/>
    <w:rsid w:val="00263101"/>
    <w:rsid w:val="002631D1"/>
    <w:rsid w:val="00263201"/>
    <w:rsid w:val="00263A37"/>
    <w:rsid w:val="00264266"/>
    <w:rsid w:val="00264496"/>
    <w:rsid w:val="0026471F"/>
    <w:rsid w:val="0026480D"/>
    <w:rsid w:val="002653A6"/>
    <w:rsid w:val="00265EB4"/>
    <w:rsid w:val="002661F1"/>
    <w:rsid w:val="00266DB6"/>
    <w:rsid w:val="002679AB"/>
    <w:rsid w:val="00267B06"/>
    <w:rsid w:val="00270F2B"/>
    <w:rsid w:val="002711A4"/>
    <w:rsid w:val="00271230"/>
    <w:rsid w:val="00271F13"/>
    <w:rsid w:val="002725C3"/>
    <w:rsid w:val="00272945"/>
    <w:rsid w:val="00272FA1"/>
    <w:rsid w:val="002732D4"/>
    <w:rsid w:val="0027482E"/>
    <w:rsid w:val="00274DB5"/>
    <w:rsid w:val="00275BB1"/>
    <w:rsid w:val="00276A51"/>
    <w:rsid w:val="0027770B"/>
    <w:rsid w:val="00277933"/>
    <w:rsid w:val="00277F8D"/>
    <w:rsid w:val="00277FA7"/>
    <w:rsid w:val="00280046"/>
    <w:rsid w:val="0028008D"/>
    <w:rsid w:val="00280B4F"/>
    <w:rsid w:val="00280F3D"/>
    <w:rsid w:val="0028106A"/>
    <w:rsid w:val="002815C0"/>
    <w:rsid w:val="0028174D"/>
    <w:rsid w:val="00281EB4"/>
    <w:rsid w:val="00282D16"/>
    <w:rsid w:val="00282E03"/>
    <w:rsid w:val="0028308E"/>
    <w:rsid w:val="002834E9"/>
    <w:rsid w:val="00283A52"/>
    <w:rsid w:val="00283C5E"/>
    <w:rsid w:val="00283E26"/>
    <w:rsid w:val="0028428F"/>
    <w:rsid w:val="00284A63"/>
    <w:rsid w:val="00284CFC"/>
    <w:rsid w:val="00285832"/>
    <w:rsid w:val="00285969"/>
    <w:rsid w:val="002861BB"/>
    <w:rsid w:val="0028663B"/>
    <w:rsid w:val="00286CEC"/>
    <w:rsid w:val="002870F9"/>
    <w:rsid w:val="002871A9"/>
    <w:rsid w:val="00287505"/>
    <w:rsid w:val="002879EB"/>
    <w:rsid w:val="00287B8D"/>
    <w:rsid w:val="00287BDB"/>
    <w:rsid w:val="0029031D"/>
    <w:rsid w:val="00290781"/>
    <w:rsid w:val="00291454"/>
    <w:rsid w:val="00291470"/>
    <w:rsid w:val="00291784"/>
    <w:rsid w:val="00291CF4"/>
    <w:rsid w:val="002920DF"/>
    <w:rsid w:val="002929BB"/>
    <w:rsid w:val="002930FE"/>
    <w:rsid w:val="00293EC0"/>
    <w:rsid w:val="00294238"/>
    <w:rsid w:val="00294368"/>
    <w:rsid w:val="00294B78"/>
    <w:rsid w:val="00295416"/>
    <w:rsid w:val="002954F9"/>
    <w:rsid w:val="002956FB"/>
    <w:rsid w:val="00295949"/>
    <w:rsid w:val="00295D7C"/>
    <w:rsid w:val="0029624A"/>
    <w:rsid w:val="0029655E"/>
    <w:rsid w:val="00296922"/>
    <w:rsid w:val="00296A0B"/>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0BE3"/>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75D"/>
    <w:rsid w:val="002C5C2F"/>
    <w:rsid w:val="002C5D0F"/>
    <w:rsid w:val="002C60B9"/>
    <w:rsid w:val="002C6F01"/>
    <w:rsid w:val="002C6F77"/>
    <w:rsid w:val="002C704D"/>
    <w:rsid w:val="002C7102"/>
    <w:rsid w:val="002D0845"/>
    <w:rsid w:val="002D0933"/>
    <w:rsid w:val="002D0EC4"/>
    <w:rsid w:val="002D18C5"/>
    <w:rsid w:val="002D19BB"/>
    <w:rsid w:val="002D1A9B"/>
    <w:rsid w:val="002D1ABF"/>
    <w:rsid w:val="002D20F8"/>
    <w:rsid w:val="002D22BD"/>
    <w:rsid w:val="002D22C5"/>
    <w:rsid w:val="002D233E"/>
    <w:rsid w:val="002D283F"/>
    <w:rsid w:val="002D28FA"/>
    <w:rsid w:val="002D302A"/>
    <w:rsid w:val="002D315D"/>
    <w:rsid w:val="002D36C6"/>
    <w:rsid w:val="002D37C1"/>
    <w:rsid w:val="002D444B"/>
    <w:rsid w:val="002D46B4"/>
    <w:rsid w:val="002D4A45"/>
    <w:rsid w:val="002D4B42"/>
    <w:rsid w:val="002D4B43"/>
    <w:rsid w:val="002D4BC1"/>
    <w:rsid w:val="002D5A1B"/>
    <w:rsid w:val="002D64CE"/>
    <w:rsid w:val="002D65BC"/>
    <w:rsid w:val="002D6BBD"/>
    <w:rsid w:val="002D7578"/>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B73"/>
    <w:rsid w:val="002F2F50"/>
    <w:rsid w:val="002F2FBC"/>
    <w:rsid w:val="002F33EC"/>
    <w:rsid w:val="002F34E3"/>
    <w:rsid w:val="002F3601"/>
    <w:rsid w:val="002F3C19"/>
    <w:rsid w:val="002F3E4E"/>
    <w:rsid w:val="002F40E2"/>
    <w:rsid w:val="002F45F6"/>
    <w:rsid w:val="002F5A6F"/>
    <w:rsid w:val="002F5E54"/>
    <w:rsid w:val="002F692F"/>
    <w:rsid w:val="002F7575"/>
    <w:rsid w:val="002F7961"/>
    <w:rsid w:val="002F7B66"/>
    <w:rsid w:val="002F7C8C"/>
    <w:rsid w:val="003004CC"/>
    <w:rsid w:val="00300726"/>
    <w:rsid w:val="00300CB4"/>
    <w:rsid w:val="00300E24"/>
    <w:rsid w:val="00302C20"/>
    <w:rsid w:val="003033BA"/>
    <w:rsid w:val="00303C19"/>
    <w:rsid w:val="003043A3"/>
    <w:rsid w:val="00304BD4"/>
    <w:rsid w:val="0030500A"/>
    <w:rsid w:val="003052EB"/>
    <w:rsid w:val="0030575F"/>
    <w:rsid w:val="0030580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E0C"/>
    <w:rsid w:val="00321F37"/>
    <w:rsid w:val="00321FA3"/>
    <w:rsid w:val="003222DE"/>
    <w:rsid w:val="00322342"/>
    <w:rsid w:val="003227D3"/>
    <w:rsid w:val="00322937"/>
    <w:rsid w:val="00323881"/>
    <w:rsid w:val="00323C67"/>
    <w:rsid w:val="00324885"/>
    <w:rsid w:val="003251A8"/>
    <w:rsid w:val="003254B1"/>
    <w:rsid w:val="00325AD9"/>
    <w:rsid w:val="00325AE7"/>
    <w:rsid w:val="00325D98"/>
    <w:rsid w:val="0032682A"/>
    <w:rsid w:val="00327A5C"/>
    <w:rsid w:val="003305FD"/>
    <w:rsid w:val="0033092C"/>
    <w:rsid w:val="0033122A"/>
    <w:rsid w:val="003315AC"/>
    <w:rsid w:val="00331932"/>
    <w:rsid w:val="00331F74"/>
    <w:rsid w:val="00332096"/>
    <w:rsid w:val="00332382"/>
    <w:rsid w:val="00332453"/>
    <w:rsid w:val="0033251B"/>
    <w:rsid w:val="00333712"/>
    <w:rsid w:val="00333A88"/>
    <w:rsid w:val="00334B07"/>
    <w:rsid w:val="00334C39"/>
    <w:rsid w:val="00335B15"/>
    <w:rsid w:val="00335B21"/>
    <w:rsid w:val="00335D3F"/>
    <w:rsid w:val="00336104"/>
    <w:rsid w:val="00336729"/>
    <w:rsid w:val="003368D6"/>
    <w:rsid w:val="00336CD9"/>
    <w:rsid w:val="0033726D"/>
    <w:rsid w:val="00337CA8"/>
    <w:rsid w:val="00337F50"/>
    <w:rsid w:val="00340D3F"/>
    <w:rsid w:val="0034174B"/>
    <w:rsid w:val="0034177C"/>
    <w:rsid w:val="00341E4D"/>
    <w:rsid w:val="003420E9"/>
    <w:rsid w:val="00342345"/>
    <w:rsid w:val="0034284C"/>
    <w:rsid w:val="00342C27"/>
    <w:rsid w:val="003430C8"/>
    <w:rsid w:val="003432C8"/>
    <w:rsid w:val="003434B3"/>
    <w:rsid w:val="00343536"/>
    <w:rsid w:val="0034399A"/>
    <w:rsid w:val="00343EFB"/>
    <w:rsid w:val="00344760"/>
    <w:rsid w:val="003454E8"/>
    <w:rsid w:val="00345574"/>
    <w:rsid w:val="0034680A"/>
    <w:rsid w:val="00346C62"/>
    <w:rsid w:val="00346D2F"/>
    <w:rsid w:val="00347202"/>
    <w:rsid w:val="0034778E"/>
    <w:rsid w:val="00347A5A"/>
    <w:rsid w:val="003501E2"/>
    <w:rsid w:val="00351716"/>
    <w:rsid w:val="00351822"/>
    <w:rsid w:val="00351E10"/>
    <w:rsid w:val="0035213C"/>
    <w:rsid w:val="00353081"/>
    <w:rsid w:val="003533F4"/>
    <w:rsid w:val="003535FF"/>
    <w:rsid w:val="003536F6"/>
    <w:rsid w:val="00353D73"/>
    <w:rsid w:val="00353DD5"/>
    <w:rsid w:val="00353F97"/>
    <w:rsid w:val="0035463F"/>
    <w:rsid w:val="00355131"/>
    <w:rsid w:val="00355F74"/>
    <w:rsid w:val="003560DB"/>
    <w:rsid w:val="003563A9"/>
    <w:rsid w:val="003564DB"/>
    <w:rsid w:val="00356F87"/>
    <w:rsid w:val="00357198"/>
    <w:rsid w:val="00357E83"/>
    <w:rsid w:val="00360A25"/>
    <w:rsid w:val="00360CF3"/>
    <w:rsid w:val="0036137C"/>
    <w:rsid w:val="00361A59"/>
    <w:rsid w:val="00361CA3"/>
    <w:rsid w:val="00361ED9"/>
    <w:rsid w:val="003621EB"/>
    <w:rsid w:val="003622B1"/>
    <w:rsid w:val="00363348"/>
    <w:rsid w:val="00363857"/>
    <w:rsid w:val="00363D59"/>
    <w:rsid w:val="003640F7"/>
    <w:rsid w:val="00364B78"/>
    <w:rsid w:val="00364E04"/>
    <w:rsid w:val="003650AA"/>
    <w:rsid w:val="00365D3A"/>
    <w:rsid w:val="003664FF"/>
    <w:rsid w:val="00366BD2"/>
    <w:rsid w:val="003670B8"/>
    <w:rsid w:val="00367CD3"/>
    <w:rsid w:val="003704A3"/>
    <w:rsid w:val="0037058F"/>
    <w:rsid w:val="003706F2"/>
    <w:rsid w:val="003707CB"/>
    <w:rsid w:val="0037124F"/>
    <w:rsid w:val="003733B3"/>
    <w:rsid w:val="00373827"/>
    <w:rsid w:val="0037401C"/>
    <w:rsid w:val="0037507B"/>
    <w:rsid w:val="00375517"/>
    <w:rsid w:val="00375C7C"/>
    <w:rsid w:val="00375DA0"/>
    <w:rsid w:val="00376220"/>
    <w:rsid w:val="00377027"/>
    <w:rsid w:val="00377135"/>
    <w:rsid w:val="00380272"/>
    <w:rsid w:val="003805DB"/>
    <w:rsid w:val="0038152A"/>
    <w:rsid w:val="00382BAD"/>
    <w:rsid w:val="00382CF1"/>
    <w:rsid w:val="003835FD"/>
    <w:rsid w:val="00384DF1"/>
    <w:rsid w:val="00384FF3"/>
    <w:rsid w:val="00386456"/>
    <w:rsid w:val="003865A9"/>
    <w:rsid w:val="0039091C"/>
    <w:rsid w:val="0039092B"/>
    <w:rsid w:val="00390F32"/>
    <w:rsid w:val="0039135E"/>
    <w:rsid w:val="00391EFC"/>
    <w:rsid w:val="00392150"/>
    <w:rsid w:val="0039285D"/>
    <w:rsid w:val="0039319C"/>
    <w:rsid w:val="0039346A"/>
    <w:rsid w:val="00393577"/>
    <w:rsid w:val="00393CAE"/>
    <w:rsid w:val="003945F4"/>
    <w:rsid w:val="00394EB5"/>
    <w:rsid w:val="003953B4"/>
    <w:rsid w:val="0039615F"/>
    <w:rsid w:val="003966A0"/>
    <w:rsid w:val="00396837"/>
    <w:rsid w:val="00396A29"/>
    <w:rsid w:val="0039739B"/>
    <w:rsid w:val="00397FF0"/>
    <w:rsid w:val="003A0455"/>
    <w:rsid w:val="003A0878"/>
    <w:rsid w:val="003A0B08"/>
    <w:rsid w:val="003A11E5"/>
    <w:rsid w:val="003A1561"/>
    <w:rsid w:val="003A1CB2"/>
    <w:rsid w:val="003A1D25"/>
    <w:rsid w:val="003A22A2"/>
    <w:rsid w:val="003A22FC"/>
    <w:rsid w:val="003A231A"/>
    <w:rsid w:val="003A2447"/>
    <w:rsid w:val="003A2AA1"/>
    <w:rsid w:val="003A2F12"/>
    <w:rsid w:val="003A31A5"/>
    <w:rsid w:val="003A329A"/>
    <w:rsid w:val="003A3603"/>
    <w:rsid w:val="003A3851"/>
    <w:rsid w:val="003A39DD"/>
    <w:rsid w:val="003A3C6E"/>
    <w:rsid w:val="003A40DB"/>
    <w:rsid w:val="003A4199"/>
    <w:rsid w:val="003A493F"/>
    <w:rsid w:val="003A4A8E"/>
    <w:rsid w:val="003A5528"/>
    <w:rsid w:val="003A563C"/>
    <w:rsid w:val="003A581E"/>
    <w:rsid w:val="003A6160"/>
    <w:rsid w:val="003A65A5"/>
    <w:rsid w:val="003A72F5"/>
    <w:rsid w:val="003A78E5"/>
    <w:rsid w:val="003B0341"/>
    <w:rsid w:val="003B1961"/>
    <w:rsid w:val="003B1E57"/>
    <w:rsid w:val="003B2EF3"/>
    <w:rsid w:val="003B534F"/>
    <w:rsid w:val="003B5391"/>
    <w:rsid w:val="003B5545"/>
    <w:rsid w:val="003B58CE"/>
    <w:rsid w:val="003B5EF7"/>
    <w:rsid w:val="003B65D7"/>
    <w:rsid w:val="003B65E0"/>
    <w:rsid w:val="003B6BD4"/>
    <w:rsid w:val="003B6F4D"/>
    <w:rsid w:val="003B6FE7"/>
    <w:rsid w:val="003B70CE"/>
    <w:rsid w:val="003C0C0F"/>
    <w:rsid w:val="003C0D1F"/>
    <w:rsid w:val="003C1143"/>
    <w:rsid w:val="003C116A"/>
    <w:rsid w:val="003C1AF4"/>
    <w:rsid w:val="003C1CB8"/>
    <w:rsid w:val="003C22DA"/>
    <w:rsid w:val="003C2550"/>
    <w:rsid w:val="003C287F"/>
    <w:rsid w:val="003C3146"/>
    <w:rsid w:val="003C3251"/>
    <w:rsid w:val="003C3339"/>
    <w:rsid w:val="003C375A"/>
    <w:rsid w:val="003C4317"/>
    <w:rsid w:val="003C442D"/>
    <w:rsid w:val="003C4C1F"/>
    <w:rsid w:val="003C4D9F"/>
    <w:rsid w:val="003C5247"/>
    <w:rsid w:val="003C5E8A"/>
    <w:rsid w:val="003C6216"/>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CA"/>
    <w:rsid w:val="003E3AF9"/>
    <w:rsid w:val="003E3B80"/>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3F7890"/>
    <w:rsid w:val="003F7C5C"/>
    <w:rsid w:val="00400002"/>
    <w:rsid w:val="00400054"/>
    <w:rsid w:val="00400134"/>
    <w:rsid w:val="004002C6"/>
    <w:rsid w:val="004004C2"/>
    <w:rsid w:val="00400707"/>
    <w:rsid w:val="004016A3"/>
    <w:rsid w:val="00401B31"/>
    <w:rsid w:val="0040202B"/>
    <w:rsid w:val="00402DE1"/>
    <w:rsid w:val="00402EEB"/>
    <w:rsid w:val="00403548"/>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63"/>
    <w:rsid w:val="00407A7A"/>
    <w:rsid w:val="00407ABC"/>
    <w:rsid w:val="00407F1E"/>
    <w:rsid w:val="00410813"/>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5C7"/>
    <w:rsid w:val="004177A6"/>
    <w:rsid w:val="00417B45"/>
    <w:rsid w:val="00417C23"/>
    <w:rsid w:val="00417EFD"/>
    <w:rsid w:val="00417F62"/>
    <w:rsid w:val="00420068"/>
    <w:rsid w:val="004200EE"/>
    <w:rsid w:val="00420478"/>
    <w:rsid w:val="00420786"/>
    <w:rsid w:val="004209D2"/>
    <w:rsid w:val="00420D6E"/>
    <w:rsid w:val="0042158C"/>
    <w:rsid w:val="00421617"/>
    <w:rsid w:val="00421BD2"/>
    <w:rsid w:val="00421E00"/>
    <w:rsid w:val="00421FCB"/>
    <w:rsid w:val="0042244C"/>
    <w:rsid w:val="00422DCA"/>
    <w:rsid w:val="00423A7B"/>
    <w:rsid w:val="00423CF8"/>
    <w:rsid w:val="00423D04"/>
    <w:rsid w:val="00423F9F"/>
    <w:rsid w:val="00425C43"/>
    <w:rsid w:val="0042639C"/>
    <w:rsid w:val="0042678B"/>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B8C"/>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1D0"/>
    <w:rsid w:val="004463DB"/>
    <w:rsid w:val="0044642F"/>
    <w:rsid w:val="00446C85"/>
    <w:rsid w:val="00447348"/>
    <w:rsid w:val="0044772C"/>
    <w:rsid w:val="00447C11"/>
    <w:rsid w:val="00450846"/>
    <w:rsid w:val="00451847"/>
    <w:rsid w:val="0045194E"/>
    <w:rsid w:val="00451A52"/>
    <w:rsid w:val="004521DA"/>
    <w:rsid w:val="00452361"/>
    <w:rsid w:val="0045271D"/>
    <w:rsid w:val="00452755"/>
    <w:rsid w:val="00452803"/>
    <w:rsid w:val="004529C6"/>
    <w:rsid w:val="00452B31"/>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5D32"/>
    <w:rsid w:val="00466616"/>
    <w:rsid w:val="00466A0C"/>
    <w:rsid w:val="00466A53"/>
    <w:rsid w:val="00470A6A"/>
    <w:rsid w:val="00470D73"/>
    <w:rsid w:val="00470D92"/>
    <w:rsid w:val="00470E92"/>
    <w:rsid w:val="0047179C"/>
    <w:rsid w:val="00471DF7"/>
    <w:rsid w:val="00472111"/>
    <w:rsid w:val="004721A4"/>
    <w:rsid w:val="00472294"/>
    <w:rsid w:val="0047338A"/>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399F"/>
    <w:rsid w:val="00484F0F"/>
    <w:rsid w:val="00484F40"/>
    <w:rsid w:val="0048540C"/>
    <w:rsid w:val="00485996"/>
    <w:rsid w:val="004861B4"/>
    <w:rsid w:val="00486226"/>
    <w:rsid w:val="00486BD0"/>
    <w:rsid w:val="00486D00"/>
    <w:rsid w:val="00486FF7"/>
    <w:rsid w:val="00487263"/>
    <w:rsid w:val="00487288"/>
    <w:rsid w:val="0048734F"/>
    <w:rsid w:val="0048742E"/>
    <w:rsid w:val="0049029D"/>
    <w:rsid w:val="0049030C"/>
    <w:rsid w:val="004903C0"/>
    <w:rsid w:val="00490AFB"/>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DF7"/>
    <w:rsid w:val="004A0F5B"/>
    <w:rsid w:val="004A16C1"/>
    <w:rsid w:val="004A1CE2"/>
    <w:rsid w:val="004A31BD"/>
    <w:rsid w:val="004A34D2"/>
    <w:rsid w:val="004A4062"/>
    <w:rsid w:val="004A4301"/>
    <w:rsid w:val="004A4587"/>
    <w:rsid w:val="004A45E5"/>
    <w:rsid w:val="004A4D93"/>
    <w:rsid w:val="004A58EE"/>
    <w:rsid w:val="004A59B7"/>
    <w:rsid w:val="004A6051"/>
    <w:rsid w:val="004A623B"/>
    <w:rsid w:val="004A64B9"/>
    <w:rsid w:val="004A6A04"/>
    <w:rsid w:val="004A6A52"/>
    <w:rsid w:val="004B07B2"/>
    <w:rsid w:val="004B0A44"/>
    <w:rsid w:val="004B0F0B"/>
    <w:rsid w:val="004B1013"/>
    <w:rsid w:val="004B2197"/>
    <w:rsid w:val="004B298A"/>
    <w:rsid w:val="004B4DE8"/>
    <w:rsid w:val="004B50CB"/>
    <w:rsid w:val="004B512B"/>
    <w:rsid w:val="004B578D"/>
    <w:rsid w:val="004B5BE7"/>
    <w:rsid w:val="004B5E2D"/>
    <w:rsid w:val="004B6C07"/>
    <w:rsid w:val="004B74D3"/>
    <w:rsid w:val="004B755E"/>
    <w:rsid w:val="004B7719"/>
    <w:rsid w:val="004B788E"/>
    <w:rsid w:val="004B7E5D"/>
    <w:rsid w:val="004C22F7"/>
    <w:rsid w:val="004C2A3E"/>
    <w:rsid w:val="004C2B27"/>
    <w:rsid w:val="004C3929"/>
    <w:rsid w:val="004C3FFB"/>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614"/>
    <w:rsid w:val="004D4A64"/>
    <w:rsid w:val="004D4BA1"/>
    <w:rsid w:val="004D4FA6"/>
    <w:rsid w:val="004D584D"/>
    <w:rsid w:val="004D5A7E"/>
    <w:rsid w:val="004D6120"/>
    <w:rsid w:val="004D6826"/>
    <w:rsid w:val="004D688D"/>
    <w:rsid w:val="004D74E4"/>
    <w:rsid w:val="004E00AA"/>
    <w:rsid w:val="004E023F"/>
    <w:rsid w:val="004E0546"/>
    <w:rsid w:val="004E0742"/>
    <w:rsid w:val="004E0C64"/>
    <w:rsid w:val="004E0F6B"/>
    <w:rsid w:val="004E133F"/>
    <w:rsid w:val="004E1545"/>
    <w:rsid w:val="004E1F1C"/>
    <w:rsid w:val="004E25C7"/>
    <w:rsid w:val="004E2A35"/>
    <w:rsid w:val="004E3BC7"/>
    <w:rsid w:val="004E40CE"/>
    <w:rsid w:val="004E456B"/>
    <w:rsid w:val="004E4581"/>
    <w:rsid w:val="004E4980"/>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654"/>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0C47"/>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4AA"/>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3101"/>
    <w:rsid w:val="00533CA9"/>
    <w:rsid w:val="005346AD"/>
    <w:rsid w:val="00534A10"/>
    <w:rsid w:val="00534EFB"/>
    <w:rsid w:val="00534F60"/>
    <w:rsid w:val="005357F1"/>
    <w:rsid w:val="00535858"/>
    <w:rsid w:val="00535D15"/>
    <w:rsid w:val="00536053"/>
    <w:rsid w:val="005369E6"/>
    <w:rsid w:val="005371AC"/>
    <w:rsid w:val="00537672"/>
    <w:rsid w:val="0053772F"/>
    <w:rsid w:val="00537A70"/>
    <w:rsid w:val="00537B64"/>
    <w:rsid w:val="00537B77"/>
    <w:rsid w:val="00540210"/>
    <w:rsid w:val="00540C4C"/>
    <w:rsid w:val="00541469"/>
    <w:rsid w:val="00541571"/>
    <w:rsid w:val="00541B1F"/>
    <w:rsid w:val="0054211B"/>
    <w:rsid w:val="0054275A"/>
    <w:rsid w:val="005428B8"/>
    <w:rsid w:val="005428BE"/>
    <w:rsid w:val="00542BD7"/>
    <w:rsid w:val="00542C3D"/>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3B5"/>
    <w:rsid w:val="00557984"/>
    <w:rsid w:val="00557A3F"/>
    <w:rsid w:val="0056090D"/>
    <w:rsid w:val="00560C87"/>
    <w:rsid w:val="00560F51"/>
    <w:rsid w:val="00561249"/>
    <w:rsid w:val="0056182B"/>
    <w:rsid w:val="00561A88"/>
    <w:rsid w:val="00561AF3"/>
    <w:rsid w:val="00561E0B"/>
    <w:rsid w:val="00562141"/>
    <w:rsid w:val="00562A19"/>
    <w:rsid w:val="00562D86"/>
    <w:rsid w:val="005641DC"/>
    <w:rsid w:val="00564704"/>
    <w:rsid w:val="00564712"/>
    <w:rsid w:val="005657A8"/>
    <w:rsid w:val="00565952"/>
    <w:rsid w:val="00566866"/>
    <w:rsid w:val="00566E9D"/>
    <w:rsid w:val="005670A5"/>
    <w:rsid w:val="00567285"/>
    <w:rsid w:val="00567368"/>
    <w:rsid w:val="00567541"/>
    <w:rsid w:val="00567723"/>
    <w:rsid w:val="0056772D"/>
    <w:rsid w:val="005678F5"/>
    <w:rsid w:val="00567AB8"/>
    <w:rsid w:val="0057056A"/>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11"/>
    <w:rsid w:val="005813DE"/>
    <w:rsid w:val="00581796"/>
    <w:rsid w:val="00581B45"/>
    <w:rsid w:val="00582480"/>
    <w:rsid w:val="00582805"/>
    <w:rsid w:val="0058290E"/>
    <w:rsid w:val="00582CAB"/>
    <w:rsid w:val="00582EB8"/>
    <w:rsid w:val="00582FA6"/>
    <w:rsid w:val="005836D5"/>
    <w:rsid w:val="0058375E"/>
    <w:rsid w:val="00584233"/>
    <w:rsid w:val="005842D0"/>
    <w:rsid w:val="005843E8"/>
    <w:rsid w:val="005845FB"/>
    <w:rsid w:val="005855AE"/>
    <w:rsid w:val="00585829"/>
    <w:rsid w:val="00585CA8"/>
    <w:rsid w:val="00586412"/>
    <w:rsid w:val="005864B9"/>
    <w:rsid w:val="005866C4"/>
    <w:rsid w:val="005868CF"/>
    <w:rsid w:val="00590F1A"/>
    <w:rsid w:val="0059114D"/>
    <w:rsid w:val="00591C03"/>
    <w:rsid w:val="00591E2A"/>
    <w:rsid w:val="00592003"/>
    <w:rsid w:val="00592181"/>
    <w:rsid w:val="005923C4"/>
    <w:rsid w:val="00593362"/>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6035"/>
    <w:rsid w:val="005A6744"/>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4DC0"/>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52D"/>
    <w:rsid w:val="005C67B5"/>
    <w:rsid w:val="005C7E45"/>
    <w:rsid w:val="005C7EFA"/>
    <w:rsid w:val="005C7F3E"/>
    <w:rsid w:val="005D065E"/>
    <w:rsid w:val="005D06D3"/>
    <w:rsid w:val="005D0C3B"/>
    <w:rsid w:val="005D0E39"/>
    <w:rsid w:val="005D1051"/>
    <w:rsid w:val="005D1606"/>
    <w:rsid w:val="005D2044"/>
    <w:rsid w:val="005D209E"/>
    <w:rsid w:val="005D2917"/>
    <w:rsid w:val="005D2EB2"/>
    <w:rsid w:val="005D2F48"/>
    <w:rsid w:val="005D3795"/>
    <w:rsid w:val="005D37E4"/>
    <w:rsid w:val="005D3B32"/>
    <w:rsid w:val="005D464B"/>
    <w:rsid w:val="005D466F"/>
    <w:rsid w:val="005D49F0"/>
    <w:rsid w:val="005D51F7"/>
    <w:rsid w:val="005D51FA"/>
    <w:rsid w:val="005D53E8"/>
    <w:rsid w:val="005D5A9D"/>
    <w:rsid w:val="005D5D15"/>
    <w:rsid w:val="005D5D66"/>
    <w:rsid w:val="005D6651"/>
    <w:rsid w:val="005D6892"/>
    <w:rsid w:val="005D691D"/>
    <w:rsid w:val="005D6A72"/>
    <w:rsid w:val="005D6F38"/>
    <w:rsid w:val="005D7544"/>
    <w:rsid w:val="005D789F"/>
    <w:rsid w:val="005D791B"/>
    <w:rsid w:val="005D7CF2"/>
    <w:rsid w:val="005D7F92"/>
    <w:rsid w:val="005E062C"/>
    <w:rsid w:val="005E0D7B"/>
    <w:rsid w:val="005E1595"/>
    <w:rsid w:val="005E1796"/>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2A3"/>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079A"/>
    <w:rsid w:val="0060083D"/>
    <w:rsid w:val="0060139A"/>
    <w:rsid w:val="006013C9"/>
    <w:rsid w:val="00601B66"/>
    <w:rsid w:val="00601FC4"/>
    <w:rsid w:val="00602B45"/>
    <w:rsid w:val="00603499"/>
    <w:rsid w:val="006035F5"/>
    <w:rsid w:val="00603CC2"/>
    <w:rsid w:val="006042CD"/>
    <w:rsid w:val="006042F8"/>
    <w:rsid w:val="006047D1"/>
    <w:rsid w:val="006048A4"/>
    <w:rsid w:val="00604A55"/>
    <w:rsid w:val="00604D4E"/>
    <w:rsid w:val="00604E3E"/>
    <w:rsid w:val="00605AC3"/>
    <w:rsid w:val="00606759"/>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059"/>
    <w:rsid w:val="00616C2B"/>
    <w:rsid w:val="00616D7F"/>
    <w:rsid w:val="006178D1"/>
    <w:rsid w:val="00617A5B"/>
    <w:rsid w:val="00620210"/>
    <w:rsid w:val="00620719"/>
    <w:rsid w:val="006212C9"/>
    <w:rsid w:val="00621A72"/>
    <w:rsid w:val="00621D0C"/>
    <w:rsid w:val="00622181"/>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0"/>
    <w:rsid w:val="006307FD"/>
    <w:rsid w:val="00630845"/>
    <w:rsid w:val="00630A47"/>
    <w:rsid w:val="00631059"/>
    <w:rsid w:val="006310C3"/>
    <w:rsid w:val="00631245"/>
    <w:rsid w:val="006312E1"/>
    <w:rsid w:val="0063161E"/>
    <w:rsid w:val="00631BB5"/>
    <w:rsid w:val="00631DD0"/>
    <w:rsid w:val="00632599"/>
    <w:rsid w:val="00633DBF"/>
    <w:rsid w:val="00634122"/>
    <w:rsid w:val="0063444B"/>
    <w:rsid w:val="00634FC4"/>
    <w:rsid w:val="00635E32"/>
    <w:rsid w:val="006360FC"/>
    <w:rsid w:val="006361C9"/>
    <w:rsid w:val="006365DE"/>
    <w:rsid w:val="00636BE4"/>
    <w:rsid w:val="00636F88"/>
    <w:rsid w:val="0063732C"/>
    <w:rsid w:val="006375BB"/>
    <w:rsid w:val="00637802"/>
    <w:rsid w:val="00637836"/>
    <w:rsid w:val="00637C26"/>
    <w:rsid w:val="00637F44"/>
    <w:rsid w:val="00641078"/>
    <w:rsid w:val="00641242"/>
    <w:rsid w:val="00642664"/>
    <w:rsid w:val="00642A32"/>
    <w:rsid w:val="00642D7A"/>
    <w:rsid w:val="006433D5"/>
    <w:rsid w:val="00643412"/>
    <w:rsid w:val="00645CEB"/>
    <w:rsid w:val="00646880"/>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666"/>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4C3"/>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AA2"/>
    <w:rsid w:val="00672E80"/>
    <w:rsid w:val="0067333F"/>
    <w:rsid w:val="006739E4"/>
    <w:rsid w:val="00673DD7"/>
    <w:rsid w:val="00673ECF"/>
    <w:rsid w:val="0067426B"/>
    <w:rsid w:val="00674A1B"/>
    <w:rsid w:val="00674F1C"/>
    <w:rsid w:val="006752A3"/>
    <w:rsid w:val="006754F8"/>
    <w:rsid w:val="00675697"/>
    <w:rsid w:val="00676127"/>
    <w:rsid w:val="00676AED"/>
    <w:rsid w:val="006771DA"/>
    <w:rsid w:val="00677212"/>
    <w:rsid w:val="00677B26"/>
    <w:rsid w:val="00677F26"/>
    <w:rsid w:val="006800EE"/>
    <w:rsid w:val="006802A7"/>
    <w:rsid w:val="00680A86"/>
    <w:rsid w:val="006811C9"/>
    <w:rsid w:val="006812CE"/>
    <w:rsid w:val="00682640"/>
    <w:rsid w:val="006826C1"/>
    <w:rsid w:val="00682AB5"/>
    <w:rsid w:val="00682C89"/>
    <w:rsid w:val="006832B8"/>
    <w:rsid w:val="006837B2"/>
    <w:rsid w:val="00683800"/>
    <w:rsid w:val="00683DF0"/>
    <w:rsid w:val="00684462"/>
    <w:rsid w:val="00684C0D"/>
    <w:rsid w:val="00684C8A"/>
    <w:rsid w:val="00684CB3"/>
    <w:rsid w:val="00684CF5"/>
    <w:rsid w:val="006854CF"/>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389"/>
    <w:rsid w:val="00692745"/>
    <w:rsid w:val="00692F74"/>
    <w:rsid w:val="00692FCD"/>
    <w:rsid w:val="00692FFA"/>
    <w:rsid w:val="00693772"/>
    <w:rsid w:val="00693984"/>
    <w:rsid w:val="00693B77"/>
    <w:rsid w:val="00694085"/>
    <w:rsid w:val="00694160"/>
    <w:rsid w:val="00694810"/>
    <w:rsid w:val="0069495B"/>
    <w:rsid w:val="006959A5"/>
    <w:rsid w:val="00695C0C"/>
    <w:rsid w:val="00696736"/>
    <w:rsid w:val="00696A05"/>
    <w:rsid w:val="00697665"/>
    <w:rsid w:val="006978E1"/>
    <w:rsid w:val="00697C7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67D"/>
    <w:rsid w:val="006A575B"/>
    <w:rsid w:val="006A59DE"/>
    <w:rsid w:val="006A5DEE"/>
    <w:rsid w:val="006A64C6"/>
    <w:rsid w:val="006A6655"/>
    <w:rsid w:val="006A6BF9"/>
    <w:rsid w:val="006A793C"/>
    <w:rsid w:val="006A7CB5"/>
    <w:rsid w:val="006A7FD0"/>
    <w:rsid w:val="006B025C"/>
    <w:rsid w:val="006B08ED"/>
    <w:rsid w:val="006B2534"/>
    <w:rsid w:val="006B2552"/>
    <w:rsid w:val="006B28DE"/>
    <w:rsid w:val="006B2CB2"/>
    <w:rsid w:val="006B347D"/>
    <w:rsid w:val="006B3E19"/>
    <w:rsid w:val="006B3EB4"/>
    <w:rsid w:val="006B4488"/>
    <w:rsid w:val="006B50C4"/>
    <w:rsid w:val="006B53AE"/>
    <w:rsid w:val="006B58B4"/>
    <w:rsid w:val="006B594C"/>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3BC"/>
    <w:rsid w:val="006C741F"/>
    <w:rsid w:val="006D04CD"/>
    <w:rsid w:val="006D04DA"/>
    <w:rsid w:val="006D10F6"/>
    <w:rsid w:val="006D133D"/>
    <w:rsid w:val="006D1544"/>
    <w:rsid w:val="006D1688"/>
    <w:rsid w:val="006D1A8F"/>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46C"/>
    <w:rsid w:val="006D658F"/>
    <w:rsid w:val="006D6A12"/>
    <w:rsid w:val="006D712D"/>
    <w:rsid w:val="006D7687"/>
    <w:rsid w:val="006D7D1F"/>
    <w:rsid w:val="006D7D8A"/>
    <w:rsid w:val="006E046C"/>
    <w:rsid w:val="006E0572"/>
    <w:rsid w:val="006E05D8"/>
    <w:rsid w:val="006E0628"/>
    <w:rsid w:val="006E08EE"/>
    <w:rsid w:val="006E155A"/>
    <w:rsid w:val="006E177D"/>
    <w:rsid w:val="006E2C34"/>
    <w:rsid w:val="006E359B"/>
    <w:rsid w:val="006E39D1"/>
    <w:rsid w:val="006E3B05"/>
    <w:rsid w:val="006E437F"/>
    <w:rsid w:val="006E44BC"/>
    <w:rsid w:val="006E4D5B"/>
    <w:rsid w:val="006E509F"/>
    <w:rsid w:val="006E54A0"/>
    <w:rsid w:val="006E602F"/>
    <w:rsid w:val="006E6720"/>
    <w:rsid w:val="006E7275"/>
    <w:rsid w:val="006E77B8"/>
    <w:rsid w:val="006E77DF"/>
    <w:rsid w:val="006E7AAF"/>
    <w:rsid w:val="006F02CD"/>
    <w:rsid w:val="006F0F74"/>
    <w:rsid w:val="006F13BA"/>
    <w:rsid w:val="006F15CC"/>
    <w:rsid w:val="006F15F6"/>
    <w:rsid w:val="006F275F"/>
    <w:rsid w:val="006F2AE6"/>
    <w:rsid w:val="006F2AEA"/>
    <w:rsid w:val="006F36EA"/>
    <w:rsid w:val="006F3D9B"/>
    <w:rsid w:val="006F4147"/>
    <w:rsid w:val="006F4315"/>
    <w:rsid w:val="006F4CB0"/>
    <w:rsid w:val="006F4F78"/>
    <w:rsid w:val="006F51CC"/>
    <w:rsid w:val="006F547E"/>
    <w:rsid w:val="006F5CCF"/>
    <w:rsid w:val="006F6469"/>
    <w:rsid w:val="006F6F04"/>
    <w:rsid w:val="006F71F5"/>
    <w:rsid w:val="007000A6"/>
    <w:rsid w:val="00700610"/>
    <w:rsid w:val="00700D8C"/>
    <w:rsid w:val="0070138A"/>
    <w:rsid w:val="0070157E"/>
    <w:rsid w:val="00702C35"/>
    <w:rsid w:val="007030D4"/>
    <w:rsid w:val="00703279"/>
    <w:rsid w:val="00703B61"/>
    <w:rsid w:val="00703E11"/>
    <w:rsid w:val="00703F76"/>
    <w:rsid w:val="00704102"/>
    <w:rsid w:val="00704204"/>
    <w:rsid w:val="0070437C"/>
    <w:rsid w:val="007045D8"/>
    <w:rsid w:val="0070461C"/>
    <w:rsid w:val="007048C6"/>
    <w:rsid w:val="00704B3D"/>
    <w:rsid w:val="00705631"/>
    <w:rsid w:val="00705818"/>
    <w:rsid w:val="00705F62"/>
    <w:rsid w:val="00706942"/>
    <w:rsid w:val="00706FBE"/>
    <w:rsid w:val="0070773F"/>
    <w:rsid w:val="00707ED3"/>
    <w:rsid w:val="007101B7"/>
    <w:rsid w:val="00710668"/>
    <w:rsid w:val="00711019"/>
    <w:rsid w:val="007110F4"/>
    <w:rsid w:val="0071111D"/>
    <w:rsid w:val="007112B1"/>
    <w:rsid w:val="0071130F"/>
    <w:rsid w:val="00712714"/>
    <w:rsid w:val="007129AB"/>
    <w:rsid w:val="00712B63"/>
    <w:rsid w:val="00712BC4"/>
    <w:rsid w:val="0071300A"/>
    <w:rsid w:val="00713526"/>
    <w:rsid w:val="00713FC5"/>
    <w:rsid w:val="00714DCA"/>
    <w:rsid w:val="00715BBF"/>
    <w:rsid w:val="00715C29"/>
    <w:rsid w:val="00715CBD"/>
    <w:rsid w:val="00715EAA"/>
    <w:rsid w:val="007160C8"/>
    <w:rsid w:val="00716119"/>
    <w:rsid w:val="00716630"/>
    <w:rsid w:val="00716985"/>
    <w:rsid w:val="00716CAD"/>
    <w:rsid w:val="00716F18"/>
    <w:rsid w:val="007172C5"/>
    <w:rsid w:val="00717363"/>
    <w:rsid w:val="00717786"/>
    <w:rsid w:val="00717ACB"/>
    <w:rsid w:val="00720382"/>
    <w:rsid w:val="00720CDE"/>
    <w:rsid w:val="0072138B"/>
    <w:rsid w:val="00721BFF"/>
    <w:rsid w:val="00722ACA"/>
    <w:rsid w:val="00722C51"/>
    <w:rsid w:val="00723040"/>
    <w:rsid w:val="00723251"/>
    <w:rsid w:val="00723475"/>
    <w:rsid w:val="007236C4"/>
    <w:rsid w:val="00724635"/>
    <w:rsid w:val="00724F21"/>
    <w:rsid w:val="00725134"/>
    <w:rsid w:val="0072554B"/>
    <w:rsid w:val="00725AFD"/>
    <w:rsid w:val="0072604F"/>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654"/>
    <w:rsid w:val="00735B78"/>
    <w:rsid w:val="00735DA7"/>
    <w:rsid w:val="00736700"/>
    <w:rsid w:val="007368B4"/>
    <w:rsid w:val="00737229"/>
    <w:rsid w:val="007378E0"/>
    <w:rsid w:val="00740529"/>
    <w:rsid w:val="00740876"/>
    <w:rsid w:val="00740F18"/>
    <w:rsid w:val="00741358"/>
    <w:rsid w:val="00741626"/>
    <w:rsid w:val="00742332"/>
    <w:rsid w:val="0074240B"/>
    <w:rsid w:val="00742595"/>
    <w:rsid w:val="00742886"/>
    <w:rsid w:val="00742C7F"/>
    <w:rsid w:val="00742DD2"/>
    <w:rsid w:val="00742DFD"/>
    <w:rsid w:val="007437C6"/>
    <w:rsid w:val="007441A2"/>
    <w:rsid w:val="007446F6"/>
    <w:rsid w:val="00744E80"/>
    <w:rsid w:val="00745035"/>
    <w:rsid w:val="0074531C"/>
    <w:rsid w:val="007454A5"/>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B4B"/>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5E93"/>
    <w:rsid w:val="00766277"/>
    <w:rsid w:val="00766D49"/>
    <w:rsid w:val="00766ECC"/>
    <w:rsid w:val="007671BE"/>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A24"/>
    <w:rsid w:val="00782D2C"/>
    <w:rsid w:val="00782FC2"/>
    <w:rsid w:val="0078347A"/>
    <w:rsid w:val="007843D7"/>
    <w:rsid w:val="00784938"/>
    <w:rsid w:val="00784FC4"/>
    <w:rsid w:val="00785BBB"/>
    <w:rsid w:val="00785DD4"/>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97C28"/>
    <w:rsid w:val="007A045E"/>
    <w:rsid w:val="007A0EAB"/>
    <w:rsid w:val="007A1542"/>
    <w:rsid w:val="007A233D"/>
    <w:rsid w:val="007A2341"/>
    <w:rsid w:val="007A2754"/>
    <w:rsid w:val="007A38A1"/>
    <w:rsid w:val="007A3BBE"/>
    <w:rsid w:val="007A4766"/>
    <w:rsid w:val="007A5947"/>
    <w:rsid w:val="007A66CF"/>
    <w:rsid w:val="007A717B"/>
    <w:rsid w:val="007A7714"/>
    <w:rsid w:val="007B0313"/>
    <w:rsid w:val="007B0487"/>
    <w:rsid w:val="007B0854"/>
    <w:rsid w:val="007B0E48"/>
    <w:rsid w:val="007B1D1B"/>
    <w:rsid w:val="007B21AA"/>
    <w:rsid w:val="007B2504"/>
    <w:rsid w:val="007B2D29"/>
    <w:rsid w:val="007B303E"/>
    <w:rsid w:val="007B32C0"/>
    <w:rsid w:val="007B32F7"/>
    <w:rsid w:val="007B3659"/>
    <w:rsid w:val="007B38B5"/>
    <w:rsid w:val="007B3BF3"/>
    <w:rsid w:val="007B431B"/>
    <w:rsid w:val="007B43C6"/>
    <w:rsid w:val="007B4558"/>
    <w:rsid w:val="007B4632"/>
    <w:rsid w:val="007B46A2"/>
    <w:rsid w:val="007B4828"/>
    <w:rsid w:val="007B4B2D"/>
    <w:rsid w:val="007B4C38"/>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2461"/>
    <w:rsid w:val="007C312A"/>
    <w:rsid w:val="007C3570"/>
    <w:rsid w:val="007C396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5F2"/>
    <w:rsid w:val="007D3693"/>
    <w:rsid w:val="007D3C6D"/>
    <w:rsid w:val="007D4050"/>
    <w:rsid w:val="007D481A"/>
    <w:rsid w:val="007D4ED0"/>
    <w:rsid w:val="007D5648"/>
    <w:rsid w:val="007D58C5"/>
    <w:rsid w:val="007D5DE8"/>
    <w:rsid w:val="007D6E42"/>
    <w:rsid w:val="007D7A62"/>
    <w:rsid w:val="007D7B1C"/>
    <w:rsid w:val="007D7CFC"/>
    <w:rsid w:val="007E06BE"/>
    <w:rsid w:val="007E0812"/>
    <w:rsid w:val="007E18DF"/>
    <w:rsid w:val="007E25B0"/>
    <w:rsid w:val="007E2C36"/>
    <w:rsid w:val="007E350D"/>
    <w:rsid w:val="007E39C8"/>
    <w:rsid w:val="007E3ACA"/>
    <w:rsid w:val="007E4446"/>
    <w:rsid w:val="007E4E65"/>
    <w:rsid w:val="007E564D"/>
    <w:rsid w:val="007E5C4A"/>
    <w:rsid w:val="007E64D4"/>
    <w:rsid w:val="007E66E9"/>
    <w:rsid w:val="007E69F2"/>
    <w:rsid w:val="007E7432"/>
    <w:rsid w:val="007E74BF"/>
    <w:rsid w:val="007E7580"/>
    <w:rsid w:val="007E77D2"/>
    <w:rsid w:val="007E7D2E"/>
    <w:rsid w:val="007F0721"/>
    <w:rsid w:val="007F0F94"/>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A41"/>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7DA"/>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57"/>
    <w:rsid w:val="008124D8"/>
    <w:rsid w:val="00812651"/>
    <w:rsid w:val="00813A41"/>
    <w:rsid w:val="00813A7B"/>
    <w:rsid w:val="00813F04"/>
    <w:rsid w:val="008146E7"/>
    <w:rsid w:val="0081513E"/>
    <w:rsid w:val="00815DA5"/>
    <w:rsid w:val="00816221"/>
    <w:rsid w:val="0081766B"/>
    <w:rsid w:val="008205AC"/>
    <w:rsid w:val="00820705"/>
    <w:rsid w:val="00820CBF"/>
    <w:rsid w:val="00820D42"/>
    <w:rsid w:val="00820FA8"/>
    <w:rsid w:val="008212FD"/>
    <w:rsid w:val="00821489"/>
    <w:rsid w:val="008217B7"/>
    <w:rsid w:val="0082239B"/>
    <w:rsid w:val="0082292E"/>
    <w:rsid w:val="00822D06"/>
    <w:rsid w:val="00822EC4"/>
    <w:rsid w:val="0082348D"/>
    <w:rsid w:val="00823549"/>
    <w:rsid w:val="008236BE"/>
    <w:rsid w:val="008238FA"/>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5F0"/>
    <w:rsid w:val="00836E74"/>
    <w:rsid w:val="00836EAB"/>
    <w:rsid w:val="00837673"/>
    <w:rsid w:val="00837937"/>
    <w:rsid w:val="00837D82"/>
    <w:rsid w:val="008404AB"/>
    <w:rsid w:val="00840893"/>
    <w:rsid w:val="00840E88"/>
    <w:rsid w:val="008410B1"/>
    <w:rsid w:val="00841379"/>
    <w:rsid w:val="008423EC"/>
    <w:rsid w:val="00842640"/>
    <w:rsid w:val="008429A6"/>
    <w:rsid w:val="00842A1B"/>
    <w:rsid w:val="00843615"/>
    <w:rsid w:val="00843698"/>
    <w:rsid w:val="00843A4B"/>
    <w:rsid w:val="00843B57"/>
    <w:rsid w:val="00843B60"/>
    <w:rsid w:val="00843D33"/>
    <w:rsid w:val="008444F0"/>
    <w:rsid w:val="0084466F"/>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200C"/>
    <w:rsid w:val="0085304C"/>
    <w:rsid w:val="008536BB"/>
    <w:rsid w:val="00853A3C"/>
    <w:rsid w:val="0085475B"/>
    <w:rsid w:val="008548CA"/>
    <w:rsid w:val="00855426"/>
    <w:rsid w:val="00856898"/>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392"/>
    <w:rsid w:val="00865EAF"/>
    <w:rsid w:val="0086633B"/>
    <w:rsid w:val="00866495"/>
    <w:rsid w:val="00866881"/>
    <w:rsid w:val="00866931"/>
    <w:rsid w:val="00867512"/>
    <w:rsid w:val="008675FA"/>
    <w:rsid w:val="008678A3"/>
    <w:rsid w:val="00867C13"/>
    <w:rsid w:val="00867C1D"/>
    <w:rsid w:val="0087033C"/>
    <w:rsid w:val="0087078B"/>
    <w:rsid w:val="00871390"/>
    <w:rsid w:val="008715ED"/>
    <w:rsid w:val="008717D8"/>
    <w:rsid w:val="00871E3C"/>
    <w:rsid w:val="00872F97"/>
    <w:rsid w:val="008734A1"/>
    <w:rsid w:val="0087367D"/>
    <w:rsid w:val="00873F20"/>
    <w:rsid w:val="00874607"/>
    <w:rsid w:val="008747E9"/>
    <w:rsid w:val="00874915"/>
    <w:rsid w:val="00874B89"/>
    <w:rsid w:val="00875403"/>
    <w:rsid w:val="00875434"/>
    <w:rsid w:val="00875C1F"/>
    <w:rsid w:val="00876083"/>
    <w:rsid w:val="00876215"/>
    <w:rsid w:val="0087646C"/>
    <w:rsid w:val="00876815"/>
    <w:rsid w:val="00876B1C"/>
    <w:rsid w:val="0087764D"/>
    <w:rsid w:val="00877932"/>
    <w:rsid w:val="00877E1A"/>
    <w:rsid w:val="008808C7"/>
    <w:rsid w:val="0088106B"/>
    <w:rsid w:val="0088107D"/>
    <w:rsid w:val="0088187A"/>
    <w:rsid w:val="00881E64"/>
    <w:rsid w:val="00882E39"/>
    <w:rsid w:val="00883CE1"/>
    <w:rsid w:val="008850EB"/>
    <w:rsid w:val="00885228"/>
    <w:rsid w:val="008857E3"/>
    <w:rsid w:val="00885CDB"/>
    <w:rsid w:val="0088662A"/>
    <w:rsid w:val="00886DF2"/>
    <w:rsid w:val="00886FB9"/>
    <w:rsid w:val="00887057"/>
    <w:rsid w:val="00887080"/>
    <w:rsid w:val="00887C79"/>
    <w:rsid w:val="008906BE"/>
    <w:rsid w:val="0089107B"/>
    <w:rsid w:val="008913CC"/>
    <w:rsid w:val="008914AE"/>
    <w:rsid w:val="008919CF"/>
    <w:rsid w:val="00891F84"/>
    <w:rsid w:val="00891FC3"/>
    <w:rsid w:val="00892541"/>
    <w:rsid w:val="008928EC"/>
    <w:rsid w:val="00892E5D"/>
    <w:rsid w:val="008935CF"/>
    <w:rsid w:val="00893CD7"/>
    <w:rsid w:val="0089436B"/>
    <w:rsid w:val="00894436"/>
    <w:rsid w:val="00894ABB"/>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9F9"/>
    <w:rsid w:val="008A2A23"/>
    <w:rsid w:val="008A2AF5"/>
    <w:rsid w:val="008A2B5A"/>
    <w:rsid w:val="008A3F9D"/>
    <w:rsid w:val="008A4730"/>
    <w:rsid w:val="008A5474"/>
    <w:rsid w:val="008A5C9A"/>
    <w:rsid w:val="008A6005"/>
    <w:rsid w:val="008A614F"/>
    <w:rsid w:val="008A6A55"/>
    <w:rsid w:val="008A6AA1"/>
    <w:rsid w:val="008A6DF0"/>
    <w:rsid w:val="008A6F6E"/>
    <w:rsid w:val="008A7888"/>
    <w:rsid w:val="008A796E"/>
    <w:rsid w:val="008B0862"/>
    <w:rsid w:val="008B088C"/>
    <w:rsid w:val="008B17AD"/>
    <w:rsid w:val="008B1BF5"/>
    <w:rsid w:val="008B1CED"/>
    <w:rsid w:val="008B263F"/>
    <w:rsid w:val="008B3045"/>
    <w:rsid w:val="008B47A6"/>
    <w:rsid w:val="008B5C7C"/>
    <w:rsid w:val="008B63FE"/>
    <w:rsid w:val="008B672C"/>
    <w:rsid w:val="008B6B9D"/>
    <w:rsid w:val="008B7781"/>
    <w:rsid w:val="008C065F"/>
    <w:rsid w:val="008C0743"/>
    <w:rsid w:val="008C0B4C"/>
    <w:rsid w:val="008C11F0"/>
    <w:rsid w:val="008C165C"/>
    <w:rsid w:val="008C1DBA"/>
    <w:rsid w:val="008C24E7"/>
    <w:rsid w:val="008C2500"/>
    <w:rsid w:val="008C2CAC"/>
    <w:rsid w:val="008C2F98"/>
    <w:rsid w:val="008C3C57"/>
    <w:rsid w:val="008C3E2A"/>
    <w:rsid w:val="008C45BD"/>
    <w:rsid w:val="008C4B19"/>
    <w:rsid w:val="008C4F47"/>
    <w:rsid w:val="008C5194"/>
    <w:rsid w:val="008C62D4"/>
    <w:rsid w:val="008C6B0C"/>
    <w:rsid w:val="008C6B89"/>
    <w:rsid w:val="008C6B97"/>
    <w:rsid w:val="008C7EF7"/>
    <w:rsid w:val="008D124B"/>
    <w:rsid w:val="008D18AA"/>
    <w:rsid w:val="008D1A2A"/>
    <w:rsid w:val="008D1ADE"/>
    <w:rsid w:val="008D2986"/>
    <w:rsid w:val="008D35D9"/>
    <w:rsid w:val="008D3B36"/>
    <w:rsid w:val="008D3B85"/>
    <w:rsid w:val="008D462D"/>
    <w:rsid w:val="008D50D0"/>
    <w:rsid w:val="008D5DB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54"/>
    <w:rsid w:val="008E30C4"/>
    <w:rsid w:val="008E31C0"/>
    <w:rsid w:val="008E38B4"/>
    <w:rsid w:val="008E3BA4"/>
    <w:rsid w:val="008E3CC4"/>
    <w:rsid w:val="008E44AB"/>
    <w:rsid w:val="008E4CAE"/>
    <w:rsid w:val="008E5179"/>
    <w:rsid w:val="008E57FE"/>
    <w:rsid w:val="008E6598"/>
    <w:rsid w:val="008E714B"/>
    <w:rsid w:val="008E7214"/>
    <w:rsid w:val="008E7497"/>
    <w:rsid w:val="008E7884"/>
    <w:rsid w:val="008E795C"/>
    <w:rsid w:val="008E7D6E"/>
    <w:rsid w:val="008E7E04"/>
    <w:rsid w:val="008E7EAA"/>
    <w:rsid w:val="008F1056"/>
    <w:rsid w:val="008F1E70"/>
    <w:rsid w:val="008F220A"/>
    <w:rsid w:val="008F2E8D"/>
    <w:rsid w:val="008F361D"/>
    <w:rsid w:val="008F387B"/>
    <w:rsid w:val="008F3D27"/>
    <w:rsid w:val="008F3DD9"/>
    <w:rsid w:val="008F4163"/>
    <w:rsid w:val="008F4814"/>
    <w:rsid w:val="008F4B18"/>
    <w:rsid w:val="008F4DA6"/>
    <w:rsid w:val="008F538E"/>
    <w:rsid w:val="008F58BE"/>
    <w:rsid w:val="008F5A20"/>
    <w:rsid w:val="008F5ABA"/>
    <w:rsid w:val="008F6E96"/>
    <w:rsid w:val="008F71AB"/>
    <w:rsid w:val="008F7905"/>
    <w:rsid w:val="008F7989"/>
    <w:rsid w:val="00900A23"/>
    <w:rsid w:val="00901F1D"/>
    <w:rsid w:val="009028E8"/>
    <w:rsid w:val="00902E5C"/>
    <w:rsid w:val="0090363E"/>
    <w:rsid w:val="0090366C"/>
    <w:rsid w:val="00903E0D"/>
    <w:rsid w:val="00904665"/>
    <w:rsid w:val="009046E5"/>
    <w:rsid w:val="009047C5"/>
    <w:rsid w:val="00905CE5"/>
    <w:rsid w:val="0090798F"/>
    <w:rsid w:val="00910683"/>
    <w:rsid w:val="00910E00"/>
    <w:rsid w:val="00910E04"/>
    <w:rsid w:val="00911142"/>
    <w:rsid w:val="00911679"/>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DAB"/>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1D9"/>
    <w:rsid w:val="009419E9"/>
    <w:rsid w:val="00941A2D"/>
    <w:rsid w:val="00941FA9"/>
    <w:rsid w:val="00942DD0"/>
    <w:rsid w:val="009439B6"/>
    <w:rsid w:val="00943FCD"/>
    <w:rsid w:val="009444B4"/>
    <w:rsid w:val="00944644"/>
    <w:rsid w:val="0094656D"/>
    <w:rsid w:val="00946A24"/>
    <w:rsid w:val="009470D4"/>
    <w:rsid w:val="0094713D"/>
    <w:rsid w:val="00947337"/>
    <w:rsid w:val="00947E6E"/>
    <w:rsid w:val="0095041D"/>
    <w:rsid w:val="00950EF2"/>
    <w:rsid w:val="00951297"/>
    <w:rsid w:val="009512FA"/>
    <w:rsid w:val="009516A9"/>
    <w:rsid w:val="00951E57"/>
    <w:rsid w:val="00952099"/>
    <w:rsid w:val="00952350"/>
    <w:rsid w:val="00952505"/>
    <w:rsid w:val="00953018"/>
    <w:rsid w:val="009533E2"/>
    <w:rsid w:val="00953554"/>
    <w:rsid w:val="0095385A"/>
    <w:rsid w:val="0095473B"/>
    <w:rsid w:val="00954F3A"/>
    <w:rsid w:val="00955539"/>
    <w:rsid w:val="00956FC0"/>
    <w:rsid w:val="009570C8"/>
    <w:rsid w:val="0095780A"/>
    <w:rsid w:val="009578C3"/>
    <w:rsid w:val="009579E4"/>
    <w:rsid w:val="00957AA4"/>
    <w:rsid w:val="00957ACB"/>
    <w:rsid w:val="00957F27"/>
    <w:rsid w:val="00957F86"/>
    <w:rsid w:val="009604ED"/>
    <w:rsid w:val="00960BDB"/>
    <w:rsid w:val="0096105C"/>
    <w:rsid w:val="0096147D"/>
    <w:rsid w:val="00961D53"/>
    <w:rsid w:val="00961E5F"/>
    <w:rsid w:val="009625C6"/>
    <w:rsid w:val="009629B5"/>
    <w:rsid w:val="00962A50"/>
    <w:rsid w:val="00962FA0"/>
    <w:rsid w:val="0096347F"/>
    <w:rsid w:val="00963550"/>
    <w:rsid w:val="00964138"/>
    <w:rsid w:val="0096470C"/>
    <w:rsid w:val="0096485C"/>
    <w:rsid w:val="009648D6"/>
    <w:rsid w:val="009649AE"/>
    <w:rsid w:val="00964B3F"/>
    <w:rsid w:val="00964C98"/>
    <w:rsid w:val="00964D6E"/>
    <w:rsid w:val="00967B81"/>
    <w:rsid w:val="00967BEF"/>
    <w:rsid w:val="00971441"/>
    <w:rsid w:val="009715D4"/>
    <w:rsid w:val="0097179A"/>
    <w:rsid w:val="009731F4"/>
    <w:rsid w:val="009732A4"/>
    <w:rsid w:val="009738B2"/>
    <w:rsid w:val="00973C05"/>
    <w:rsid w:val="00973CFF"/>
    <w:rsid w:val="0097494E"/>
    <w:rsid w:val="00974999"/>
    <w:rsid w:val="00974B58"/>
    <w:rsid w:val="00974B94"/>
    <w:rsid w:val="00974CBD"/>
    <w:rsid w:val="00975390"/>
    <w:rsid w:val="00975445"/>
    <w:rsid w:val="009761ED"/>
    <w:rsid w:val="00976FA3"/>
    <w:rsid w:val="0098022F"/>
    <w:rsid w:val="009810DE"/>
    <w:rsid w:val="00981B91"/>
    <w:rsid w:val="009822D7"/>
    <w:rsid w:val="009827E6"/>
    <w:rsid w:val="00982F84"/>
    <w:rsid w:val="009831C3"/>
    <w:rsid w:val="0098427D"/>
    <w:rsid w:val="0098450A"/>
    <w:rsid w:val="00984567"/>
    <w:rsid w:val="00985102"/>
    <w:rsid w:val="009854BC"/>
    <w:rsid w:val="00985A66"/>
    <w:rsid w:val="00985C45"/>
    <w:rsid w:val="00985D05"/>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3B9A"/>
    <w:rsid w:val="00994AA8"/>
    <w:rsid w:val="00994F3F"/>
    <w:rsid w:val="00995119"/>
    <w:rsid w:val="0099531F"/>
    <w:rsid w:val="009953AD"/>
    <w:rsid w:val="00995485"/>
    <w:rsid w:val="00995722"/>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0639"/>
    <w:rsid w:val="009B231D"/>
    <w:rsid w:val="009B2374"/>
    <w:rsid w:val="009B2E29"/>
    <w:rsid w:val="009B3163"/>
    <w:rsid w:val="009B35AE"/>
    <w:rsid w:val="009B3E84"/>
    <w:rsid w:val="009B422F"/>
    <w:rsid w:val="009B46BC"/>
    <w:rsid w:val="009B4D1A"/>
    <w:rsid w:val="009B519D"/>
    <w:rsid w:val="009B558B"/>
    <w:rsid w:val="009B5981"/>
    <w:rsid w:val="009B6D21"/>
    <w:rsid w:val="009B78ED"/>
    <w:rsid w:val="009B7A5C"/>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5FC0"/>
    <w:rsid w:val="009C5FFD"/>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5A7A"/>
    <w:rsid w:val="009D604F"/>
    <w:rsid w:val="009D61BB"/>
    <w:rsid w:val="009D620C"/>
    <w:rsid w:val="009D6410"/>
    <w:rsid w:val="009D68BB"/>
    <w:rsid w:val="009D6909"/>
    <w:rsid w:val="009D7049"/>
    <w:rsid w:val="009D70C2"/>
    <w:rsid w:val="009D7244"/>
    <w:rsid w:val="009D7ADB"/>
    <w:rsid w:val="009D7B33"/>
    <w:rsid w:val="009E020C"/>
    <w:rsid w:val="009E06C3"/>
    <w:rsid w:val="009E0703"/>
    <w:rsid w:val="009E1035"/>
    <w:rsid w:val="009E11D0"/>
    <w:rsid w:val="009E16C2"/>
    <w:rsid w:val="009E16DA"/>
    <w:rsid w:val="009E1CD4"/>
    <w:rsid w:val="009E2391"/>
    <w:rsid w:val="009E476A"/>
    <w:rsid w:val="009E4E05"/>
    <w:rsid w:val="009E56FF"/>
    <w:rsid w:val="009E59A3"/>
    <w:rsid w:val="009E5CB1"/>
    <w:rsid w:val="009E5E56"/>
    <w:rsid w:val="009E61EA"/>
    <w:rsid w:val="009E649E"/>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5EAB"/>
    <w:rsid w:val="00A066C3"/>
    <w:rsid w:val="00A06754"/>
    <w:rsid w:val="00A069E0"/>
    <w:rsid w:val="00A06E4A"/>
    <w:rsid w:val="00A070E9"/>
    <w:rsid w:val="00A07327"/>
    <w:rsid w:val="00A078FB"/>
    <w:rsid w:val="00A07D97"/>
    <w:rsid w:val="00A07F1E"/>
    <w:rsid w:val="00A101E1"/>
    <w:rsid w:val="00A1036D"/>
    <w:rsid w:val="00A1069F"/>
    <w:rsid w:val="00A10ACA"/>
    <w:rsid w:val="00A10D08"/>
    <w:rsid w:val="00A10DC5"/>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C7A"/>
    <w:rsid w:val="00A15FE9"/>
    <w:rsid w:val="00A1615C"/>
    <w:rsid w:val="00A161D5"/>
    <w:rsid w:val="00A16809"/>
    <w:rsid w:val="00A17055"/>
    <w:rsid w:val="00A17584"/>
    <w:rsid w:val="00A17769"/>
    <w:rsid w:val="00A177ED"/>
    <w:rsid w:val="00A17EA2"/>
    <w:rsid w:val="00A20264"/>
    <w:rsid w:val="00A20946"/>
    <w:rsid w:val="00A20997"/>
    <w:rsid w:val="00A210D4"/>
    <w:rsid w:val="00A213DD"/>
    <w:rsid w:val="00A21454"/>
    <w:rsid w:val="00A216CE"/>
    <w:rsid w:val="00A22025"/>
    <w:rsid w:val="00A220B1"/>
    <w:rsid w:val="00A22498"/>
    <w:rsid w:val="00A22571"/>
    <w:rsid w:val="00A2298D"/>
    <w:rsid w:val="00A24560"/>
    <w:rsid w:val="00A25B0F"/>
    <w:rsid w:val="00A25BBB"/>
    <w:rsid w:val="00A25F2F"/>
    <w:rsid w:val="00A273EC"/>
    <w:rsid w:val="00A27FB6"/>
    <w:rsid w:val="00A30121"/>
    <w:rsid w:val="00A30368"/>
    <w:rsid w:val="00A3043A"/>
    <w:rsid w:val="00A30E02"/>
    <w:rsid w:val="00A30F6A"/>
    <w:rsid w:val="00A3190A"/>
    <w:rsid w:val="00A31C3E"/>
    <w:rsid w:val="00A31CE1"/>
    <w:rsid w:val="00A32254"/>
    <w:rsid w:val="00A32A8C"/>
    <w:rsid w:val="00A32F59"/>
    <w:rsid w:val="00A34538"/>
    <w:rsid w:val="00A34677"/>
    <w:rsid w:val="00A3540F"/>
    <w:rsid w:val="00A35630"/>
    <w:rsid w:val="00A35914"/>
    <w:rsid w:val="00A36189"/>
    <w:rsid w:val="00A37054"/>
    <w:rsid w:val="00A37E73"/>
    <w:rsid w:val="00A37FB6"/>
    <w:rsid w:val="00A409E2"/>
    <w:rsid w:val="00A4104A"/>
    <w:rsid w:val="00A41081"/>
    <w:rsid w:val="00A411CA"/>
    <w:rsid w:val="00A4124D"/>
    <w:rsid w:val="00A4125E"/>
    <w:rsid w:val="00A41AE8"/>
    <w:rsid w:val="00A41C35"/>
    <w:rsid w:val="00A42080"/>
    <w:rsid w:val="00A42096"/>
    <w:rsid w:val="00A42302"/>
    <w:rsid w:val="00A424EB"/>
    <w:rsid w:val="00A426F3"/>
    <w:rsid w:val="00A42FDF"/>
    <w:rsid w:val="00A430A9"/>
    <w:rsid w:val="00A431FE"/>
    <w:rsid w:val="00A439E5"/>
    <w:rsid w:val="00A4414E"/>
    <w:rsid w:val="00A4497A"/>
    <w:rsid w:val="00A44A16"/>
    <w:rsid w:val="00A44AB5"/>
    <w:rsid w:val="00A44BE8"/>
    <w:rsid w:val="00A44C96"/>
    <w:rsid w:val="00A44CDD"/>
    <w:rsid w:val="00A44E33"/>
    <w:rsid w:val="00A44F54"/>
    <w:rsid w:val="00A454AC"/>
    <w:rsid w:val="00A45F9B"/>
    <w:rsid w:val="00A46574"/>
    <w:rsid w:val="00A47849"/>
    <w:rsid w:val="00A500B1"/>
    <w:rsid w:val="00A5153A"/>
    <w:rsid w:val="00A52A53"/>
    <w:rsid w:val="00A52EE5"/>
    <w:rsid w:val="00A53037"/>
    <w:rsid w:val="00A532B9"/>
    <w:rsid w:val="00A5351D"/>
    <w:rsid w:val="00A53E79"/>
    <w:rsid w:val="00A54031"/>
    <w:rsid w:val="00A5426D"/>
    <w:rsid w:val="00A54FC2"/>
    <w:rsid w:val="00A55122"/>
    <w:rsid w:val="00A55CEA"/>
    <w:rsid w:val="00A56CE5"/>
    <w:rsid w:val="00A56DE7"/>
    <w:rsid w:val="00A56E1D"/>
    <w:rsid w:val="00A57EB2"/>
    <w:rsid w:val="00A6009E"/>
    <w:rsid w:val="00A60265"/>
    <w:rsid w:val="00A60540"/>
    <w:rsid w:val="00A60B1F"/>
    <w:rsid w:val="00A6109E"/>
    <w:rsid w:val="00A6181B"/>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A22"/>
    <w:rsid w:val="00A73D39"/>
    <w:rsid w:val="00A73D64"/>
    <w:rsid w:val="00A74216"/>
    <w:rsid w:val="00A74360"/>
    <w:rsid w:val="00A744B4"/>
    <w:rsid w:val="00A751E3"/>
    <w:rsid w:val="00A753B9"/>
    <w:rsid w:val="00A7549A"/>
    <w:rsid w:val="00A75504"/>
    <w:rsid w:val="00A75C54"/>
    <w:rsid w:val="00A75ED1"/>
    <w:rsid w:val="00A75FD7"/>
    <w:rsid w:val="00A769E6"/>
    <w:rsid w:val="00A77168"/>
    <w:rsid w:val="00A7723B"/>
    <w:rsid w:val="00A773C3"/>
    <w:rsid w:val="00A7793C"/>
    <w:rsid w:val="00A779BF"/>
    <w:rsid w:val="00A77B7F"/>
    <w:rsid w:val="00A77D21"/>
    <w:rsid w:val="00A80085"/>
    <w:rsid w:val="00A8043B"/>
    <w:rsid w:val="00A80849"/>
    <w:rsid w:val="00A80DA0"/>
    <w:rsid w:val="00A81095"/>
    <w:rsid w:val="00A81323"/>
    <w:rsid w:val="00A8162D"/>
    <w:rsid w:val="00A820CB"/>
    <w:rsid w:val="00A821C2"/>
    <w:rsid w:val="00A82342"/>
    <w:rsid w:val="00A8236F"/>
    <w:rsid w:val="00A82C87"/>
    <w:rsid w:val="00A83BEF"/>
    <w:rsid w:val="00A83EC7"/>
    <w:rsid w:val="00A840C9"/>
    <w:rsid w:val="00A84443"/>
    <w:rsid w:val="00A8483D"/>
    <w:rsid w:val="00A8487F"/>
    <w:rsid w:val="00A849A3"/>
    <w:rsid w:val="00A84A0E"/>
    <w:rsid w:val="00A8575D"/>
    <w:rsid w:val="00A86E0B"/>
    <w:rsid w:val="00A8763B"/>
    <w:rsid w:val="00A87FAC"/>
    <w:rsid w:val="00A90792"/>
    <w:rsid w:val="00A90F12"/>
    <w:rsid w:val="00A9197E"/>
    <w:rsid w:val="00A91DAA"/>
    <w:rsid w:val="00A91EA1"/>
    <w:rsid w:val="00A91EFC"/>
    <w:rsid w:val="00A9289B"/>
    <w:rsid w:val="00A93101"/>
    <w:rsid w:val="00A93239"/>
    <w:rsid w:val="00A9413E"/>
    <w:rsid w:val="00A941C0"/>
    <w:rsid w:val="00A94293"/>
    <w:rsid w:val="00A9496E"/>
    <w:rsid w:val="00A949F0"/>
    <w:rsid w:val="00A94BDE"/>
    <w:rsid w:val="00A94FCA"/>
    <w:rsid w:val="00A950EC"/>
    <w:rsid w:val="00A95E4C"/>
    <w:rsid w:val="00A9609B"/>
    <w:rsid w:val="00A9643B"/>
    <w:rsid w:val="00A966AF"/>
    <w:rsid w:val="00A96B89"/>
    <w:rsid w:val="00A96C60"/>
    <w:rsid w:val="00A970A1"/>
    <w:rsid w:val="00A97304"/>
    <w:rsid w:val="00A9740B"/>
    <w:rsid w:val="00A9766C"/>
    <w:rsid w:val="00A977F8"/>
    <w:rsid w:val="00A979DB"/>
    <w:rsid w:val="00A97A20"/>
    <w:rsid w:val="00A97C93"/>
    <w:rsid w:val="00AA02A5"/>
    <w:rsid w:val="00AA02C6"/>
    <w:rsid w:val="00AA03E8"/>
    <w:rsid w:val="00AA08E7"/>
    <w:rsid w:val="00AA0A06"/>
    <w:rsid w:val="00AA1351"/>
    <w:rsid w:val="00AA184C"/>
    <w:rsid w:val="00AA1AF4"/>
    <w:rsid w:val="00AA1C84"/>
    <w:rsid w:val="00AA3036"/>
    <w:rsid w:val="00AA3248"/>
    <w:rsid w:val="00AA3D7B"/>
    <w:rsid w:val="00AA42A0"/>
    <w:rsid w:val="00AA442B"/>
    <w:rsid w:val="00AA46A4"/>
    <w:rsid w:val="00AA5779"/>
    <w:rsid w:val="00AA58A1"/>
    <w:rsid w:val="00AA61C7"/>
    <w:rsid w:val="00AA669D"/>
    <w:rsid w:val="00AA66ED"/>
    <w:rsid w:val="00AA6B59"/>
    <w:rsid w:val="00AA6BE1"/>
    <w:rsid w:val="00AA6D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DF8"/>
    <w:rsid w:val="00AB633B"/>
    <w:rsid w:val="00AB724B"/>
    <w:rsid w:val="00AB726C"/>
    <w:rsid w:val="00AB72B4"/>
    <w:rsid w:val="00AB7411"/>
    <w:rsid w:val="00AB7A7A"/>
    <w:rsid w:val="00AC02AA"/>
    <w:rsid w:val="00AC0537"/>
    <w:rsid w:val="00AC0A84"/>
    <w:rsid w:val="00AC1508"/>
    <w:rsid w:val="00AC1600"/>
    <w:rsid w:val="00AC2A0B"/>
    <w:rsid w:val="00AC2BEE"/>
    <w:rsid w:val="00AC2E53"/>
    <w:rsid w:val="00AC34C2"/>
    <w:rsid w:val="00AC46B0"/>
    <w:rsid w:val="00AC484F"/>
    <w:rsid w:val="00AC4B20"/>
    <w:rsid w:val="00AC5159"/>
    <w:rsid w:val="00AC56F2"/>
    <w:rsid w:val="00AC5897"/>
    <w:rsid w:val="00AC5F8B"/>
    <w:rsid w:val="00AC71C3"/>
    <w:rsid w:val="00AC7DEA"/>
    <w:rsid w:val="00AD09F7"/>
    <w:rsid w:val="00AD0D42"/>
    <w:rsid w:val="00AD186F"/>
    <w:rsid w:val="00AD1EC5"/>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B4B"/>
    <w:rsid w:val="00AE6C55"/>
    <w:rsid w:val="00AE6DC5"/>
    <w:rsid w:val="00AE71B5"/>
    <w:rsid w:val="00AE7686"/>
    <w:rsid w:val="00AE7899"/>
    <w:rsid w:val="00AE799A"/>
    <w:rsid w:val="00AE7A7C"/>
    <w:rsid w:val="00AF0D2A"/>
    <w:rsid w:val="00AF0E81"/>
    <w:rsid w:val="00AF117A"/>
    <w:rsid w:val="00AF162C"/>
    <w:rsid w:val="00AF16CA"/>
    <w:rsid w:val="00AF186E"/>
    <w:rsid w:val="00AF19DF"/>
    <w:rsid w:val="00AF1C0C"/>
    <w:rsid w:val="00AF1D41"/>
    <w:rsid w:val="00AF26CF"/>
    <w:rsid w:val="00AF2EE8"/>
    <w:rsid w:val="00AF3124"/>
    <w:rsid w:val="00AF344D"/>
    <w:rsid w:val="00AF38EB"/>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08F9"/>
    <w:rsid w:val="00B0090B"/>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8C5"/>
    <w:rsid w:val="00B10E5B"/>
    <w:rsid w:val="00B10FD1"/>
    <w:rsid w:val="00B112D5"/>
    <w:rsid w:val="00B1130C"/>
    <w:rsid w:val="00B11785"/>
    <w:rsid w:val="00B1219D"/>
    <w:rsid w:val="00B12735"/>
    <w:rsid w:val="00B12F44"/>
    <w:rsid w:val="00B12F8C"/>
    <w:rsid w:val="00B13C48"/>
    <w:rsid w:val="00B13E35"/>
    <w:rsid w:val="00B13EC0"/>
    <w:rsid w:val="00B14102"/>
    <w:rsid w:val="00B141BD"/>
    <w:rsid w:val="00B14D32"/>
    <w:rsid w:val="00B14E14"/>
    <w:rsid w:val="00B1507C"/>
    <w:rsid w:val="00B1557C"/>
    <w:rsid w:val="00B155DC"/>
    <w:rsid w:val="00B15766"/>
    <w:rsid w:val="00B15E4A"/>
    <w:rsid w:val="00B160E5"/>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1A0D"/>
    <w:rsid w:val="00B21EA6"/>
    <w:rsid w:val="00B22876"/>
    <w:rsid w:val="00B22E22"/>
    <w:rsid w:val="00B22F5F"/>
    <w:rsid w:val="00B232BD"/>
    <w:rsid w:val="00B23353"/>
    <w:rsid w:val="00B23813"/>
    <w:rsid w:val="00B23FD9"/>
    <w:rsid w:val="00B244DB"/>
    <w:rsid w:val="00B24591"/>
    <w:rsid w:val="00B245D5"/>
    <w:rsid w:val="00B245EF"/>
    <w:rsid w:val="00B24C36"/>
    <w:rsid w:val="00B24F94"/>
    <w:rsid w:val="00B25126"/>
    <w:rsid w:val="00B25A52"/>
    <w:rsid w:val="00B25AED"/>
    <w:rsid w:val="00B25FC3"/>
    <w:rsid w:val="00B2754F"/>
    <w:rsid w:val="00B27875"/>
    <w:rsid w:val="00B3008D"/>
    <w:rsid w:val="00B30884"/>
    <w:rsid w:val="00B308A5"/>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863"/>
    <w:rsid w:val="00B41960"/>
    <w:rsid w:val="00B41BCA"/>
    <w:rsid w:val="00B41D0F"/>
    <w:rsid w:val="00B41D39"/>
    <w:rsid w:val="00B41D66"/>
    <w:rsid w:val="00B41F96"/>
    <w:rsid w:val="00B422C0"/>
    <w:rsid w:val="00B426CA"/>
    <w:rsid w:val="00B426E1"/>
    <w:rsid w:val="00B42F4E"/>
    <w:rsid w:val="00B43820"/>
    <w:rsid w:val="00B4387A"/>
    <w:rsid w:val="00B43DF3"/>
    <w:rsid w:val="00B44746"/>
    <w:rsid w:val="00B44854"/>
    <w:rsid w:val="00B44BA5"/>
    <w:rsid w:val="00B454F1"/>
    <w:rsid w:val="00B4554E"/>
    <w:rsid w:val="00B458D0"/>
    <w:rsid w:val="00B4598E"/>
    <w:rsid w:val="00B46062"/>
    <w:rsid w:val="00B46696"/>
    <w:rsid w:val="00B46D11"/>
    <w:rsid w:val="00B4792C"/>
    <w:rsid w:val="00B50CAE"/>
    <w:rsid w:val="00B50E55"/>
    <w:rsid w:val="00B512AD"/>
    <w:rsid w:val="00B5196C"/>
    <w:rsid w:val="00B523D3"/>
    <w:rsid w:val="00B525CB"/>
    <w:rsid w:val="00B52697"/>
    <w:rsid w:val="00B540D4"/>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B21"/>
    <w:rsid w:val="00B67FBF"/>
    <w:rsid w:val="00B70832"/>
    <w:rsid w:val="00B71376"/>
    <w:rsid w:val="00B716D7"/>
    <w:rsid w:val="00B717E5"/>
    <w:rsid w:val="00B72110"/>
    <w:rsid w:val="00B72B91"/>
    <w:rsid w:val="00B73019"/>
    <w:rsid w:val="00B7315F"/>
    <w:rsid w:val="00B7323A"/>
    <w:rsid w:val="00B7336D"/>
    <w:rsid w:val="00B7353B"/>
    <w:rsid w:val="00B737FB"/>
    <w:rsid w:val="00B73A77"/>
    <w:rsid w:val="00B73E5D"/>
    <w:rsid w:val="00B73EF3"/>
    <w:rsid w:val="00B7423D"/>
    <w:rsid w:val="00B74D05"/>
    <w:rsid w:val="00B74EF8"/>
    <w:rsid w:val="00B75893"/>
    <w:rsid w:val="00B764C9"/>
    <w:rsid w:val="00B771F4"/>
    <w:rsid w:val="00B7762A"/>
    <w:rsid w:val="00B777FA"/>
    <w:rsid w:val="00B77850"/>
    <w:rsid w:val="00B7796B"/>
    <w:rsid w:val="00B80414"/>
    <w:rsid w:val="00B80476"/>
    <w:rsid w:val="00B80C72"/>
    <w:rsid w:val="00B81964"/>
    <w:rsid w:val="00B81E6F"/>
    <w:rsid w:val="00B82123"/>
    <w:rsid w:val="00B821D4"/>
    <w:rsid w:val="00B8225B"/>
    <w:rsid w:val="00B82566"/>
    <w:rsid w:val="00B82BB5"/>
    <w:rsid w:val="00B83182"/>
    <w:rsid w:val="00B839F0"/>
    <w:rsid w:val="00B84FC6"/>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D9C"/>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3C3A"/>
    <w:rsid w:val="00BA3D8B"/>
    <w:rsid w:val="00BA405F"/>
    <w:rsid w:val="00BA4771"/>
    <w:rsid w:val="00BA482B"/>
    <w:rsid w:val="00BA4BDA"/>
    <w:rsid w:val="00BA5027"/>
    <w:rsid w:val="00BA5A65"/>
    <w:rsid w:val="00BA5A74"/>
    <w:rsid w:val="00BA6554"/>
    <w:rsid w:val="00BA661C"/>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30D"/>
    <w:rsid w:val="00BD181C"/>
    <w:rsid w:val="00BD182E"/>
    <w:rsid w:val="00BD1BAB"/>
    <w:rsid w:val="00BD2063"/>
    <w:rsid w:val="00BD2950"/>
    <w:rsid w:val="00BD337A"/>
    <w:rsid w:val="00BD33D9"/>
    <w:rsid w:val="00BD38C5"/>
    <w:rsid w:val="00BD3AF1"/>
    <w:rsid w:val="00BD3DEA"/>
    <w:rsid w:val="00BD3E97"/>
    <w:rsid w:val="00BD3E9F"/>
    <w:rsid w:val="00BD40E4"/>
    <w:rsid w:val="00BD44A2"/>
    <w:rsid w:val="00BD52FE"/>
    <w:rsid w:val="00BD5899"/>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2B0E"/>
    <w:rsid w:val="00BE3442"/>
    <w:rsid w:val="00BE354D"/>
    <w:rsid w:val="00BE37CD"/>
    <w:rsid w:val="00BE47B2"/>
    <w:rsid w:val="00BE48C7"/>
    <w:rsid w:val="00BE4F66"/>
    <w:rsid w:val="00BE4FBF"/>
    <w:rsid w:val="00BE50D0"/>
    <w:rsid w:val="00BE5238"/>
    <w:rsid w:val="00BE52D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151"/>
    <w:rsid w:val="00BF6FC6"/>
    <w:rsid w:val="00BF7C52"/>
    <w:rsid w:val="00BF7F99"/>
    <w:rsid w:val="00C00713"/>
    <w:rsid w:val="00C009A0"/>
    <w:rsid w:val="00C01557"/>
    <w:rsid w:val="00C01F74"/>
    <w:rsid w:val="00C0210B"/>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6D55"/>
    <w:rsid w:val="00C0794D"/>
    <w:rsid w:val="00C07A90"/>
    <w:rsid w:val="00C10059"/>
    <w:rsid w:val="00C10E78"/>
    <w:rsid w:val="00C10EF1"/>
    <w:rsid w:val="00C1159D"/>
    <w:rsid w:val="00C11B78"/>
    <w:rsid w:val="00C1233E"/>
    <w:rsid w:val="00C128B2"/>
    <w:rsid w:val="00C12FB3"/>
    <w:rsid w:val="00C138BC"/>
    <w:rsid w:val="00C13D85"/>
    <w:rsid w:val="00C13E8F"/>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1A93"/>
    <w:rsid w:val="00C220B6"/>
    <w:rsid w:val="00C22D7C"/>
    <w:rsid w:val="00C22DDE"/>
    <w:rsid w:val="00C2338B"/>
    <w:rsid w:val="00C233CE"/>
    <w:rsid w:val="00C237DD"/>
    <w:rsid w:val="00C238F4"/>
    <w:rsid w:val="00C23926"/>
    <w:rsid w:val="00C2393A"/>
    <w:rsid w:val="00C23A12"/>
    <w:rsid w:val="00C23A99"/>
    <w:rsid w:val="00C245EE"/>
    <w:rsid w:val="00C24850"/>
    <w:rsid w:val="00C24AE1"/>
    <w:rsid w:val="00C24B8D"/>
    <w:rsid w:val="00C24BD7"/>
    <w:rsid w:val="00C24BF1"/>
    <w:rsid w:val="00C24D71"/>
    <w:rsid w:val="00C25699"/>
    <w:rsid w:val="00C25813"/>
    <w:rsid w:val="00C27143"/>
    <w:rsid w:val="00C27490"/>
    <w:rsid w:val="00C27D37"/>
    <w:rsid w:val="00C309E8"/>
    <w:rsid w:val="00C32017"/>
    <w:rsid w:val="00C32571"/>
    <w:rsid w:val="00C325CD"/>
    <w:rsid w:val="00C32BFA"/>
    <w:rsid w:val="00C3322E"/>
    <w:rsid w:val="00C337F5"/>
    <w:rsid w:val="00C3383E"/>
    <w:rsid w:val="00C33B90"/>
    <w:rsid w:val="00C33C81"/>
    <w:rsid w:val="00C34161"/>
    <w:rsid w:val="00C34667"/>
    <w:rsid w:val="00C34B32"/>
    <w:rsid w:val="00C34B5F"/>
    <w:rsid w:val="00C34C1D"/>
    <w:rsid w:val="00C358D4"/>
    <w:rsid w:val="00C365C6"/>
    <w:rsid w:val="00C366F4"/>
    <w:rsid w:val="00C36785"/>
    <w:rsid w:val="00C36E0A"/>
    <w:rsid w:val="00C3711C"/>
    <w:rsid w:val="00C37256"/>
    <w:rsid w:val="00C378CD"/>
    <w:rsid w:val="00C37A7B"/>
    <w:rsid w:val="00C37ACC"/>
    <w:rsid w:val="00C37DC1"/>
    <w:rsid w:val="00C37FFE"/>
    <w:rsid w:val="00C40B50"/>
    <w:rsid w:val="00C419E3"/>
    <w:rsid w:val="00C419F4"/>
    <w:rsid w:val="00C41E6A"/>
    <w:rsid w:val="00C42247"/>
    <w:rsid w:val="00C428E7"/>
    <w:rsid w:val="00C4302F"/>
    <w:rsid w:val="00C432FB"/>
    <w:rsid w:val="00C438A2"/>
    <w:rsid w:val="00C439BE"/>
    <w:rsid w:val="00C44E33"/>
    <w:rsid w:val="00C4539B"/>
    <w:rsid w:val="00C45466"/>
    <w:rsid w:val="00C455C1"/>
    <w:rsid w:val="00C4581D"/>
    <w:rsid w:val="00C4635B"/>
    <w:rsid w:val="00C46D70"/>
    <w:rsid w:val="00C47472"/>
    <w:rsid w:val="00C500F0"/>
    <w:rsid w:val="00C503DC"/>
    <w:rsid w:val="00C504A7"/>
    <w:rsid w:val="00C506C9"/>
    <w:rsid w:val="00C50A16"/>
    <w:rsid w:val="00C51C97"/>
    <w:rsid w:val="00C51C9A"/>
    <w:rsid w:val="00C52296"/>
    <w:rsid w:val="00C52953"/>
    <w:rsid w:val="00C52C68"/>
    <w:rsid w:val="00C52D98"/>
    <w:rsid w:val="00C52DA1"/>
    <w:rsid w:val="00C53277"/>
    <w:rsid w:val="00C53D24"/>
    <w:rsid w:val="00C54640"/>
    <w:rsid w:val="00C546D1"/>
    <w:rsid w:val="00C547A6"/>
    <w:rsid w:val="00C54A3A"/>
    <w:rsid w:val="00C55340"/>
    <w:rsid w:val="00C555C5"/>
    <w:rsid w:val="00C55C32"/>
    <w:rsid w:val="00C5639E"/>
    <w:rsid w:val="00C56A67"/>
    <w:rsid w:val="00C56CC2"/>
    <w:rsid w:val="00C56D8D"/>
    <w:rsid w:val="00C57498"/>
    <w:rsid w:val="00C57523"/>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7FE"/>
    <w:rsid w:val="00C71B4C"/>
    <w:rsid w:val="00C71E2A"/>
    <w:rsid w:val="00C733BA"/>
    <w:rsid w:val="00C74306"/>
    <w:rsid w:val="00C75AD2"/>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324"/>
    <w:rsid w:val="00C86C87"/>
    <w:rsid w:val="00C9005E"/>
    <w:rsid w:val="00C90111"/>
    <w:rsid w:val="00C9038E"/>
    <w:rsid w:val="00C9077B"/>
    <w:rsid w:val="00C90CA9"/>
    <w:rsid w:val="00C90E99"/>
    <w:rsid w:val="00C90F88"/>
    <w:rsid w:val="00C915F2"/>
    <w:rsid w:val="00C917B1"/>
    <w:rsid w:val="00C9193C"/>
    <w:rsid w:val="00C91B77"/>
    <w:rsid w:val="00C920E2"/>
    <w:rsid w:val="00C921E1"/>
    <w:rsid w:val="00C92F0B"/>
    <w:rsid w:val="00C9370F"/>
    <w:rsid w:val="00C93765"/>
    <w:rsid w:val="00C93877"/>
    <w:rsid w:val="00C93D8C"/>
    <w:rsid w:val="00C93E07"/>
    <w:rsid w:val="00C946CC"/>
    <w:rsid w:val="00C94BD6"/>
    <w:rsid w:val="00C959BD"/>
    <w:rsid w:val="00C95DFE"/>
    <w:rsid w:val="00C95F44"/>
    <w:rsid w:val="00C968E3"/>
    <w:rsid w:val="00C96D1B"/>
    <w:rsid w:val="00C97106"/>
    <w:rsid w:val="00C978D4"/>
    <w:rsid w:val="00CA0031"/>
    <w:rsid w:val="00CA0413"/>
    <w:rsid w:val="00CA043A"/>
    <w:rsid w:val="00CA084B"/>
    <w:rsid w:val="00CA0E51"/>
    <w:rsid w:val="00CA1691"/>
    <w:rsid w:val="00CA22BA"/>
    <w:rsid w:val="00CA2596"/>
    <w:rsid w:val="00CA41E7"/>
    <w:rsid w:val="00CA4A99"/>
    <w:rsid w:val="00CA4AD7"/>
    <w:rsid w:val="00CA4D7D"/>
    <w:rsid w:val="00CA5520"/>
    <w:rsid w:val="00CA5812"/>
    <w:rsid w:val="00CA5BD4"/>
    <w:rsid w:val="00CA5C14"/>
    <w:rsid w:val="00CA5CF3"/>
    <w:rsid w:val="00CA5E56"/>
    <w:rsid w:val="00CA6740"/>
    <w:rsid w:val="00CA76FC"/>
    <w:rsid w:val="00CA7E7B"/>
    <w:rsid w:val="00CB0236"/>
    <w:rsid w:val="00CB1881"/>
    <w:rsid w:val="00CB1969"/>
    <w:rsid w:val="00CB19E3"/>
    <w:rsid w:val="00CB2C3A"/>
    <w:rsid w:val="00CB2D38"/>
    <w:rsid w:val="00CB31B4"/>
    <w:rsid w:val="00CB371A"/>
    <w:rsid w:val="00CB3725"/>
    <w:rsid w:val="00CB4137"/>
    <w:rsid w:val="00CB50D0"/>
    <w:rsid w:val="00CB52D0"/>
    <w:rsid w:val="00CB5578"/>
    <w:rsid w:val="00CB5671"/>
    <w:rsid w:val="00CB591C"/>
    <w:rsid w:val="00CB5943"/>
    <w:rsid w:val="00CB61B3"/>
    <w:rsid w:val="00CB6F83"/>
    <w:rsid w:val="00CB72AE"/>
    <w:rsid w:val="00CB7763"/>
    <w:rsid w:val="00CC00CD"/>
    <w:rsid w:val="00CC0579"/>
    <w:rsid w:val="00CC09B4"/>
    <w:rsid w:val="00CC0AF3"/>
    <w:rsid w:val="00CC0BC6"/>
    <w:rsid w:val="00CC0E68"/>
    <w:rsid w:val="00CC1409"/>
    <w:rsid w:val="00CC14F3"/>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1B3"/>
    <w:rsid w:val="00CD73C6"/>
    <w:rsid w:val="00CD7592"/>
    <w:rsid w:val="00CD791C"/>
    <w:rsid w:val="00CD7EFA"/>
    <w:rsid w:val="00CE020E"/>
    <w:rsid w:val="00CE0566"/>
    <w:rsid w:val="00CE13FA"/>
    <w:rsid w:val="00CE1A13"/>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D59"/>
    <w:rsid w:val="00CF5E78"/>
    <w:rsid w:val="00CF6AD3"/>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6D2"/>
    <w:rsid w:val="00D068CD"/>
    <w:rsid w:val="00D07BF6"/>
    <w:rsid w:val="00D07FE6"/>
    <w:rsid w:val="00D1060D"/>
    <w:rsid w:val="00D10D14"/>
    <w:rsid w:val="00D10E7C"/>
    <w:rsid w:val="00D11182"/>
    <w:rsid w:val="00D1137B"/>
    <w:rsid w:val="00D11807"/>
    <w:rsid w:val="00D11DB3"/>
    <w:rsid w:val="00D126C8"/>
    <w:rsid w:val="00D12D82"/>
    <w:rsid w:val="00D12F77"/>
    <w:rsid w:val="00D1306E"/>
    <w:rsid w:val="00D130B7"/>
    <w:rsid w:val="00D134CD"/>
    <w:rsid w:val="00D14B5F"/>
    <w:rsid w:val="00D14E13"/>
    <w:rsid w:val="00D14F23"/>
    <w:rsid w:val="00D160F6"/>
    <w:rsid w:val="00D16740"/>
    <w:rsid w:val="00D1678E"/>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35BA"/>
    <w:rsid w:val="00D2477B"/>
    <w:rsid w:val="00D2522A"/>
    <w:rsid w:val="00D2531C"/>
    <w:rsid w:val="00D25428"/>
    <w:rsid w:val="00D2553E"/>
    <w:rsid w:val="00D2742F"/>
    <w:rsid w:val="00D2754F"/>
    <w:rsid w:val="00D277C5"/>
    <w:rsid w:val="00D279D9"/>
    <w:rsid w:val="00D27DBE"/>
    <w:rsid w:val="00D30E15"/>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3D8"/>
    <w:rsid w:val="00D36FBF"/>
    <w:rsid w:val="00D373A8"/>
    <w:rsid w:val="00D379A5"/>
    <w:rsid w:val="00D37BB3"/>
    <w:rsid w:val="00D401BE"/>
    <w:rsid w:val="00D4043A"/>
    <w:rsid w:val="00D40DB0"/>
    <w:rsid w:val="00D41093"/>
    <w:rsid w:val="00D41858"/>
    <w:rsid w:val="00D422DB"/>
    <w:rsid w:val="00D42AC2"/>
    <w:rsid w:val="00D42DB5"/>
    <w:rsid w:val="00D43523"/>
    <w:rsid w:val="00D43689"/>
    <w:rsid w:val="00D4498E"/>
    <w:rsid w:val="00D44C66"/>
    <w:rsid w:val="00D4515F"/>
    <w:rsid w:val="00D451E8"/>
    <w:rsid w:val="00D45230"/>
    <w:rsid w:val="00D46026"/>
    <w:rsid w:val="00D466C9"/>
    <w:rsid w:val="00D47275"/>
    <w:rsid w:val="00D517F6"/>
    <w:rsid w:val="00D51AB7"/>
    <w:rsid w:val="00D51BFF"/>
    <w:rsid w:val="00D51E15"/>
    <w:rsid w:val="00D5211B"/>
    <w:rsid w:val="00D52B7E"/>
    <w:rsid w:val="00D52E2F"/>
    <w:rsid w:val="00D52F59"/>
    <w:rsid w:val="00D53445"/>
    <w:rsid w:val="00D53D54"/>
    <w:rsid w:val="00D53E3E"/>
    <w:rsid w:val="00D53F36"/>
    <w:rsid w:val="00D54620"/>
    <w:rsid w:val="00D55904"/>
    <w:rsid w:val="00D5614E"/>
    <w:rsid w:val="00D5616F"/>
    <w:rsid w:val="00D5636D"/>
    <w:rsid w:val="00D56C96"/>
    <w:rsid w:val="00D57940"/>
    <w:rsid w:val="00D600B9"/>
    <w:rsid w:val="00D60327"/>
    <w:rsid w:val="00D61384"/>
    <w:rsid w:val="00D61526"/>
    <w:rsid w:val="00D61ADA"/>
    <w:rsid w:val="00D61B44"/>
    <w:rsid w:val="00D61C39"/>
    <w:rsid w:val="00D61F81"/>
    <w:rsid w:val="00D620A6"/>
    <w:rsid w:val="00D62BE6"/>
    <w:rsid w:val="00D6356B"/>
    <w:rsid w:val="00D63766"/>
    <w:rsid w:val="00D63912"/>
    <w:rsid w:val="00D63923"/>
    <w:rsid w:val="00D6451B"/>
    <w:rsid w:val="00D64776"/>
    <w:rsid w:val="00D64B57"/>
    <w:rsid w:val="00D651A1"/>
    <w:rsid w:val="00D652C0"/>
    <w:rsid w:val="00D65DEA"/>
    <w:rsid w:val="00D6650F"/>
    <w:rsid w:val="00D66579"/>
    <w:rsid w:val="00D66B68"/>
    <w:rsid w:val="00D676D3"/>
    <w:rsid w:val="00D67B06"/>
    <w:rsid w:val="00D67BC7"/>
    <w:rsid w:val="00D701F1"/>
    <w:rsid w:val="00D705D3"/>
    <w:rsid w:val="00D70E00"/>
    <w:rsid w:val="00D70F7C"/>
    <w:rsid w:val="00D714E4"/>
    <w:rsid w:val="00D715AC"/>
    <w:rsid w:val="00D71851"/>
    <w:rsid w:val="00D718CF"/>
    <w:rsid w:val="00D720DD"/>
    <w:rsid w:val="00D72167"/>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77AF5"/>
    <w:rsid w:val="00D802E8"/>
    <w:rsid w:val="00D8039E"/>
    <w:rsid w:val="00D8044C"/>
    <w:rsid w:val="00D805D6"/>
    <w:rsid w:val="00D8075E"/>
    <w:rsid w:val="00D80860"/>
    <w:rsid w:val="00D80D4C"/>
    <w:rsid w:val="00D8184D"/>
    <w:rsid w:val="00D81A7B"/>
    <w:rsid w:val="00D81EBD"/>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A37"/>
    <w:rsid w:val="00D96DEE"/>
    <w:rsid w:val="00D96EE0"/>
    <w:rsid w:val="00D973DF"/>
    <w:rsid w:val="00D9771D"/>
    <w:rsid w:val="00D97BD1"/>
    <w:rsid w:val="00DA00C3"/>
    <w:rsid w:val="00DA01E9"/>
    <w:rsid w:val="00DA06B8"/>
    <w:rsid w:val="00DA0E8A"/>
    <w:rsid w:val="00DA1447"/>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165"/>
    <w:rsid w:val="00DB4292"/>
    <w:rsid w:val="00DB5023"/>
    <w:rsid w:val="00DB5F55"/>
    <w:rsid w:val="00DB6895"/>
    <w:rsid w:val="00DB6E46"/>
    <w:rsid w:val="00DB7117"/>
    <w:rsid w:val="00DB7760"/>
    <w:rsid w:val="00DB7DD4"/>
    <w:rsid w:val="00DC00B4"/>
    <w:rsid w:val="00DC0585"/>
    <w:rsid w:val="00DC0954"/>
    <w:rsid w:val="00DC0DF8"/>
    <w:rsid w:val="00DC15BA"/>
    <w:rsid w:val="00DC18CD"/>
    <w:rsid w:val="00DC1A68"/>
    <w:rsid w:val="00DC30B8"/>
    <w:rsid w:val="00DC44FE"/>
    <w:rsid w:val="00DC478F"/>
    <w:rsid w:val="00DC62E5"/>
    <w:rsid w:val="00DC6D70"/>
    <w:rsid w:val="00DC6F33"/>
    <w:rsid w:val="00DC7349"/>
    <w:rsid w:val="00DD02A6"/>
    <w:rsid w:val="00DD0EA9"/>
    <w:rsid w:val="00DD14D8"/>
    <w:rsid w:val="00DD1599"/>
    <w:rsid w:val="00DD16F1"/>
    <w:rsid w:val="00DD1B03"/>
    <w:rsid w:val="00DD1E43"/>
    <w:rsid w:val="00DD2A62"/>
    <w:rsid w:val="00DD2CEF"/>
    <w:rsid w:val="00DD2F2F"/>
    <w:rsid w:val="00DD2F7A"/>
    <w:rsid w:val="00DD31EF"/>
    <w:rsid w:val="00DD3885"/>
    <w:rsid w:val="00DD3C2E"/>
    <w:rsid w:val="00DD40F8"/>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1DF8"/>
    <w:rsid w:val="00DE20C6"/>
    <w:rsid w:val="00DE2B6B"/>
    <w:rsid w:val="00DE3119"/>
    <w:rsid w:val="00DE3E0B"/>
    <w:rsid w:val="00DE3FF0"/>
    <w:rsid w:val="00DE4105"/>
    <w:rsid w:val="00DE4E52"/>
    <w:rsid w:val="00DE5189"/>
    <w:rsid w:val="00DE7108"/>
    <w:rsid w:val="00DE771D"/>
    <w:rsid w:val="00DE78D1"/>
    <w:rsid w:val="00DE78FF"/>
    <w:rsid w:val="00DF00C7"/>
    <w:rsid w:val="00DF0263"/>
    <w:rsid w:val="00DF098F"/>
    <w:rsid w:val="00DF0EB4"/>
    <w:rsid w:val="00DF1193"/>
    <w:rsid w:val="00DF146A"/>
    <w:rsid w:val="00DF158B"/>
    <w:rsid w:val="00DF193C"/>
    <w:rsid w:val="00DF1E36"/>
    <w:rsid w:val="00DF236B"/>
    <w:rsid w:val="00DF2A91"/>
    <w:rsid w:val="00DF2B62"/>
    <w:rsid w:val="00DF3889"/>
    <w:rsid w:val="00DF3CC9"/>
    <w:rsid w:val="00DF4451"/>
    <w:rsid w:val="00DF475D"/>
    <w:rsid w:val="00DF49FF"/>
    <w:rsid w:val="00DF4FFB"/>
    <w:rsid w:val="00DF5236"/>
    <w:rsid w:val="00DF58AD"/>
    <w:rsid w:val="00DF651F"/>
    <w:rsid w:val="00DF6F43"/>
    <w:rsid w:val="00DF71EA"/>
    <w:rsid w:val="00DF752F"/>
    <w:rsid w:val="00DF76A2"/>
    <w:rsid w:val="00E00794"/>
    <w:rsid w:val="00E00A6C"/>
    <w:rsid w:val="00E00B7A"/>
    <w:rsid w:val="00E01707"/>
    <w:rsid w:val="00E02186"/>
    <w:rsid w:val="00E025C2"/>
    <w:rsid w:val="00E026BB"/>
    <w:rsid w:val="00E027C5"/>
    <w:rsid w:val="00E03124"/>
    <w:rsid w:val="00E031C3"/>
    <w:rsid w:val="00E03951"/>
    <w:rsid w:val="00E03DB8"/>
    <w:rsid w:val="00E03F17"/>
    <w:rsid w:val="00E03FF8"/>
    <w:rsid w:val="00E0420C"/>
    <w:rsid w:val="00E047D5"/>
    <w:rsid w:val="00E04DD3"/>
    <w:rsid w:val="00E04E32"/>
    <w:rsid w:val="00E04EDD"/>
    <w:rsid w:val="00E05AA3"/>
    <w:rsid w:val="00E05E70"/>
    <w:rsid w:val="00E064BC"/>
    <w:rsid w:val="00E06C56"/>
    <w:rsid w:val="00E07225"/>
    <w:rsid w:val="00E076B4"/>
    <w:rsid w:val="00E07B55"/>
    <w:rsid w:val="00E10213"/>
    <w:rsid w:val="00E10579"/>
    <w:rsid w:val="00E109DD"/>
    <w:rsid w:val="00E11229"/>
    <w:rsid w:val="00E114CA"/>
    <w:rsid w:val="00E127D1"/>
    <w:rsid w:val="00E132BC"/>
    <w:rsid w:val="00E13867"/>
    <w:rsid w:val="00E1397F"/>
    <w:rsid w:val="00E13AB8"/>
    <w:rsid w:val="00E1482E"/>
    <w:rsid w:val="00E162D7"/>
    <w:rsid w:val="00E16382"/>
    <w:rsid w:val="00E1699C"/>
    <w:rsid w:val="00E16E75"/>
    <w:rsid w:val="00E17122"/>
    <w:rsid w:val="00E1746D"/>
    <w:rsid w:val="00E174E8"/>
    <w:rsid w:val="00E17BEB"/>
    <w:rsid w:val="00E17CD1"/>
    <w:rsid w:val="00E2012A"/>
    <w:rsid w:val="00E205A2"/>
    <w:rsid w:val="00E205DC"/>
    <w:rsid w:val="00E20BA4"/>
    <w:rsid w:val="00E210D0"/>
    <w:rsid w:val="00E23137"/>
    <w:rsid w:val="00E23670"/>
    <w:rsid w:val="00E23980"/>
    <w:rsid w:val="00E241E9"/>
    <w:rsid w:val="00E2478C"/>
    <w:rsid w:val="00E257C3"/>
    <w:rsid w:val="00E25A2C"/>
    <w:rsid w:val="00E25CB3"/>
    <w:rsid w:val="00E25DA4"/>
    <w:rsid w:val="00E25EB2"/>
    <w:rsid w:val="00E26237"/>
    <w:rsid w:val="00E26CB8"/>
    <w:rsid w:val="00E26D16"/>
    <w:rsid w:val="00E26FCF"/>
    <w:rsid w:val="00E27165"/>
    <w:rsid w:val="00E275D9"/>
    <w:rsid w:val="00E30444"/>
    <w:rsid w:val="00E3044A"/>
    <w:rsid w:val="00E3098B"/>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B15"/>
    <w:rsid w:val="00E436BF"/>
    <w:rsid w:val="00E43D00"/>
    <w:rsid w:val="00E443B4"/>
    <w:rsid w:val="00E445E4"/>
    <w:rsid w:val="00E457CB"/>
    <w:rsid w:val="00E45D47"/>
    <w:rsid w:val="00E45DE4"/>
    <w:rsid w:val="00E45E63"/>
    <w:rsid w:val="00E45F65"/>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A6F"/>
    <w:rsid w:val="00E54F27"/>
    <w:rsid w:val="00E552DD"/>
    <w:rsid w:val="00E55FF1"/>
    <w:rsid w:val="00E56090"/>
    <w:rsid w:val="00E565B9"/>
    <w:rsid w:val="00E565BB"/>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0EC"/>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567"/>
    <w:rsid w:val="00E7153A"/>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058"/>
    <w:rsid w:val="00E8143D"/>
    <w:rsid w:val="00E820F4"/>
    <w:rsid w:val="00E823F9"/>
    <w:rsid w:val="00E82C1F"/>
    <w:rsid w:val="00E83671"/>
    <w:rsid w:val="00E839C4"/>
    <w:rsid w:val="00E840EE"/>
    <w:rsid w:val="00E84314"/>
    <w:rsid w:val="00E84999"/>
    <w:rsid w:val="00E849CA"/>
    <w:rsid w:val="00E84A71"/>
    <w:rsid w:val="00E8556F"/>
    <w:rsid w:val="00E86556"/>
    <w:rsid w:val="00E86D35"/>
    <w:rsid w:val="00E86DC2"/>
    <w:rsid w:val="00E86E32"/>
    <w:rsid w:val="00E86F2E"/>
    <w:rsid w:val="00E8732E"/>
    <w:rsid w:val="00E9011F"/>
    <w:rsid w:val="00E906EB"/>
    <w:rsid w:val="00E90A1E"/>
    <w:rsid w:val="00E90AEC"/>
    <w:rsid w:val="00E9170E"/>
    <w:rsid w:val="00E919FB"/>
    <w:rsid w:val="00E91E47"/>
    <w:rsid w:val="00E9241E"/>
    <w:rsid w:val="00E92460"/>
    <w:rsid w:val="00E924FE"/>
    <w:rsid w:val="00E92E62"/>
    <w:rsid w:val="00E93804"/>
    <w:rsid w:val="00E9429D"/>
    <w:rsid w:val="00E95434"/>
    <w:rsid w:val="00E96467"/>
    <w:rsid w:val="00E966DA"/>
    <w:rsid w:val="00E96805"/>
    <w:rsid w:val="00E96948"/>
    <w:rsid w:val="00E9737B"/>
    <w:rsid w:val="00E976AA"/>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346F"/>
    <w:rsid w:val="00EB455A"/>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104"/>
    <w:rsid w:val="00EC26F1"/>
    <w:rsid w:val="00EC30E7"/>
    <w:rsid w:val="00EC3C94"/>
    <w:rsid w:val="00EC44DF"/>
    <w:rsid w:val="00EC4E36"/>
    <w:rsid w:val="00EC4F78"/>
    <w:rsid w:val="00EC4FB9"/>
    <w:rsid w:val="00EC5393"/>
    <w:rsid w:val="00EC5741"/>
    <w:rsid w:val="00EC5DA3"/>
    <w:rsid w:val="00EC6014"/>
    <w:rsid w:val="00EC6B3E"/>
    <w:rsid w:val="00EC6F2D"/>
    <w:rsid w:val="00EC73DE"/>
    <w:rsid w:val="00EC7637"/>
    <w:rsid w:val="00EC7CF2"/>
    <w:rsid w:val="00EC7FDD"/>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6E4A"/>
    <w:rsid w:val="00ED72E9"/>
    <w:rsid w:val="00ED732E"/>
    <w:rsid w:val="00ED77F0"/>
    <w:rsid w:val="00ED7FBC"/>
    <w:rsid w:val="00EE0253"/>
    <w:rsid w:val="00EE0297"/>
    <w:rsid w:val="00EE050A"/>
    <w:rsid w:val="00EE0DEB"/>
    <w:rsid w:val="00EE1258"/>
    <w:rsid w:val="00EE12EA"/>
    <w:rsid w:val="00EE13DA"/>
    <w:rsid w:val="00EE1668"/>
    <w:rsid w:val="00EE168D"/>
    <w:rsid w:val="00EE1729"/>
    <w:rsid w:val="00EE1EDB"/>
    <w:rsid w:val="00EE24E2"/>
    <w:rsid w:val="00EE2BF0"/>
    <w:rsid w:val="00EE3295"/>
    <w:rsid w:val="00EE366D"/>
    <w:rsid w:val="00EE3F7C"/>
    <w:rsid w:val="00EE4D7F"/>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1DA"/>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5BC"/>
    <w:rsid w:val="00F00674"/>
    <w:rsid w:val="00F00D3C"/>
    <w:rsid w:val="00F00E0D"/>
    <w:rsid w:val="00F014F5"/>
    <w:rsid w:val="00F01657"/>
    <w:rsid w:val="00F01D40"/>
    <w:rsid w:val="00F01E67"/>
    <w:rsid w:val="00F02744"/>
    <w:rsid w:val="00F027DD"/>
    <w:rsid w:val="00F02BFD"/>
    <w:rsid w:val="00F02D25"/>
    <w:rsid w:val="00F03C3D"/>
    <w:rsid w:val="00F0435D"/>
    <w:rsid w:val="00F043DD"/>
    <w:rsid w:val="00F04580"/>
    <w:rsid w:val="00F04ECA"/>
    <w:rsid w:val="00F04F8B"/>
    <w:rsid w:val="00F0502B"/>
    <w:rsid w:val="00F05529"/>
    <w:rsid w:val="00F06E19"/>
    <w:rsid w:val="00F06F84"/>
    <w:rsid w:val="00F076E7"/>
    <w:rsid w:val="00F07AA1"/>
    <w:rsid w:val="00F1026D"/>
    <w:rsid w:val="00F105AE"/>
    <w:rsid w:val="00F10618"/>
    <w:rsid w:val="00F1108B"/>
    <w:rsid w:val="00F114FA"/>
    <w:rsid w:val="00F11768"/>
    <w:rsid w:val="00F11951"/>
    <w:rsid w:val="00F12262"/>
    <w:rsid w:val="00F12564"/>
    <w:rsid w:val="00F12AF8"/>
    <w:rsid w:val="00F12C52"/>
    <w:rsid w:val="00F13828"/>
    <w:rsid w:val="00F13E62"/>
    <w:rsid w:val="00F13F51"/>
    <w:rsid w:val="00F140EB"/>
    <w:rsid w:val="00F144F0"/>
    <w:rsid w:val="00F1464A"/>
    <w:rsid w:val="00F148B7"/>
    <w:rsid w:val="00F14960"/>
    <w:rsid w:val="00F14E28"/>
    <w:rsid w:val="00F14EA9"/>
    <w:rsid w:val="00F15505"/>
    <w:rsid w:val="00F15BFF"/>
    <w:rsid w:val="00F16E4F"/>
    <w:rsid w:val="00F17244"/>
    <w:rsid w:val="00F207B6"/>
    <w:rsid w:val="00F20ECE"/>
    <w:rsid w:val="00F2121A"/>
    <w:rsid w:val="00F213A0"/>
    <w:rsid w:val="00F21D54"/>
    <w:rsid w:val="00F21EF4"/>
    <w:rsid w:val="00F23113"/>
    <w:rsid w:val="00F23255"/>
    <w:rsid w:val="00F23393"/>
    <w:rsid w:val="00F23759"/>
    <w:rsid w:val="00F24644"/>
    <w:rsid w:val="00F249CB"/>
    <w:rsid w:val="00F25947"/>
    <w:rsid w:val="00F25BCC"/>
    <w:rsid w:val="00F25DE0"/>
    <w:rsid w:val="00F25F9F"/>
    <w:rsid w:val="00F262D6"/>
    <w:rsid w:val="00F26F33"/>
    <w:rsid w:val="00F2748A"/>
    <w:rsid w:val="00F300A8"/>
    <w:rsid w:val="00F302C6"/>
    <w:rsid w:val="00F30400"/>
    <w:rsid w:val="00F30597"/>
    <w:rsid w:val="00F3079E"/>
    <w:rsid w:val="00F31442"/>
    <w:rsid w:val="00F325CA"/>
    <w:rsid w:val="00F3399B"/>
    <w:rsid w:val="00F33F4B"/>
    <w:rsid w:val="00F346ED"/>
    <w:rsid w:val="00F34945"/>
    <w:rsid w:val="00F34E1E"/>
    <w:rsid w:val="00F35165"/>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3A51"/>
    <w:rsid w:val="00F441BB"/>
    <w:rsid w:val="00F45921"/>
    <w:rsid w:val="00F45B91"/>
    <w:rsid w:val="00F46639"/>
    <w:rsid w:val="00F46716"/>
    <w:rsid w:val="00F476FD"/>
    <w:rsid w:val="00F50183"/>
    <w:rsid w:val="00F50D92"/>
    <w:rsid w:val="00F51765"/>
    <w:rsid w:val="00F51898"/>
    <w:rsid w:val="00F51A51"/>
    <w:rsid w:val="00F51BC6"/>
    <w:rsid w:val="00F51CB4"/>
    <w:rsid w:val="00F520CB"/>
    <w:rsid w:val="00F52324"/>
    <w:rsid w:val="00F52546"/>
    <w:rsid w:val="00F52950"/>
    <w:rsid w:val="00F52C9D"/>
    <w:rsid w:val="00F533F1"/>
    <w:rsid w:val="00F53B8B"/>
    <w:rsid w:val="00F55679"/>
    <w:rsid w:val="00F561DA"/>
    <w:rsid w:val="00F561E3"/>
    <w:rsid w:val="00F565E6"/>
    <w:rsid w:val="00F56AFA"/>
    <w:rsid w:val="00F575E2"/>
    <w:rsid w:val="00F579FF"/>
    <w:rsid w:val="00F600E0"/>
    <w:rsid w:val="00F6034E"/>
    <w:rsid w:val="00F605EC"/>
    <w:rsid w:val="00F60890"/>
    <w:rsid w:val="00F60F60"/>
    <w:rsid w:val="00F612CE"/>
    <w:rsid w:val="00F6133C"/>
    <w:rsid w:val="00F61405"/>
    <w:rsid w:val="00F62227"/>
    <w:rsid w:val="00F624A7"/>
    <w:rsid w:val="00F62AB6"/>
    <w:rsid w:val="00F647AF"/>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C2F"/>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4AC"/>
    <w:rsid w:val="00F90C4D"/>
    <w:rsid w:val="00F9167D"/>
    <w:rsid w:val="00F91CB2"/>
    <w:rsid w:val="00F927E8"/>
    <w:rsid w:val="00F9289C"/>
    <w:rsid w:val="00F93DBC"/>
    <w:rsid w:val="00F93E41"/>
    <w:rsid w:val="00F94644"/>
    <w:rsid w:val="00F952E4"/>
    <w:rsid w:val="00F9537B"/>
    <w:rsid w:val="00F96079"/>
    <w:rsid w:val="00F96343"/>
    <w:rsid w:val="00F963FC"/>
    <w:rsid w:val="00F97CF1"/>
    <w:rsid w:val="00FA015F"/>
    <w:rsid w:val="00FA0EBD"/>
    <w:rsid w:val="00FA0FAC"/>
    <w:rsid w:val="00FA10F7"/>
    <w:rsid w:val="00FA14B9"/>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4F96"/>
    <w:rsid w:val="00FB583C"/>
    <w:rsid w:val="00FB630E"/>
    <w:rsid w:val="00FB66DD"/>
    <w:rsid w:val="00FB6738"/>
    <w:rsid w:val="00FB691B"/>
    <w:rsid w:val="00FB6AA4"/>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421"/>
    <w:rsid w:val="00FC76A9"/>
    <w:rsid w:val="00FC77A2"/>
    <w:rsid w:val="00FC79AB"/>
    <w:rsid w:val="00FC7BE7"/>
    <w:rsid w:val="00FC7DAC"/>
    <w:rsid w:val="00FD005D"/>
    <w:rsid w:val="00FD013F"/>
    <w:rsid w:val="00FD023C"/>
    <w:rsid w:val="00FD04AE"/>
    <w:rsid w:val="00FD0DFA"/>
    <w:rsid w:val="00FD1854"/>
    <w:rsid w:val="00FD1890"/>
    <w:rsid w:val="00FD1994"/>
    <w:rsid w:val="00FD2184"/>
    <w:rsid w:val="00FD3508"/>
    <w:rsid w:val="00FD393C"/>
    <w:rsid w:val="00FD3AFF"/>
    <w:rsid w:val="00FD43BB"/>
    <w:rsid w:val="00FD47F6"/>
    <w:rsid w:val="00FD4AF3"/>
    <w:rsid w:val="00FD4B22"/>
    <w:rsid w:val="00FD72B1"/>
    <w:rsid w:val="00FD798D"/>
    <w:rsid w:val="00FE141E"/>
    <w:rsid w:val="00FE144E"/>
    <w:rsid w:val="00FE160C"/>
    <w:rsid w:val="00FE1768"/>
    <w:rsid w:val="00FE1DD5"/>
    <w:rsid w:val="00FE1E72"/>
    <w:rsid w:val="00FE24F4"/>
    <w:rsid w:val="00FE2560"/>
    <w:rsid w:val="00FE2F15"/>
    <w:rsid w:val="00FE35D0"/>
    <w:rsid w:val="00FE3FB7"/>
    <w:rsid w:val="00FE42ED"/>
    <w:rsid w:val="00FE4E06"/>
    <w:rsid w:val="00FE4FFE"/>
    <w:rsid w:val="00FE55A7"/>
    <w:rsid w:val="00FE5C5A"/>
    <w:rsid w:val="00FE6432"/>
    <w:rsid w:val="00FE72A0"/>
    <w:rsid w:val="00FF0050"/>
    <w:rsid w:val="00FF045F"/>
    <w:rsid w:val="00FF13CE"/>
    <w:rsid w:val="00FF13D4"/>
    <w:rsid w:val="00FF2053"/>
    <w:rsid w:val="00FF21B2"/>
    <w:rsid w:val="00FF3B37"/>
    <w:rsid w:val="00FF3CC7"/>
    <w:rsid w:val="00FF3D6F"/>
    <w:rsid w:val="00FF4BD8"/>
    <w:rsid w:val="00FF4D11"/>
    <w:rsid w:val="00FF5214"/>
    <w:rsid w:val="00FF596E"/>
    <w:rsid w:val="00FF5B59"/>
    <w:rsid w:val="00FF5BFD"/>
    <w:rsid w:val="00FF6095"/>
    <w:rsid w:val="00FF62FE"/>
    <w:rsid w:val="00FF6553"/>
    <w:rsid w:val="00FF6574"/>
    <w:rsid w:val="00FF718A"/>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8675FA"/>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4A0DF7"/>
  </w:style>
  <w:style w:type="table" w:customStyle="1" w:styleId="Tablaconcuadrcula2">
    <w:name w:val="Tabla con cuadrícula2"/>
    <w:basedOn w:val="Tablanormal"/>
    <w:next w:val="Tablaconcuadrcula"/>
    <w:uiPriority w:val="59"/>
    <w:rsid w:val="00F0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9993930">
      <w:bodyDiv w:val="1"/>
      <w:marLeft w:val="0"/>
      <w:marRight w:val="0"/>
      <w:marTop w:val="0"/>
      <w:marBottom w:val="0"/>
      <w:divBdr>
        <w:top w:val="none" w:sz="0" w:space="0" w:color="auto"/>
        <w:left w:val="none" w:sz="0" w:space="0" w:color="auto"/>
        <w:bottom w:val="none" w:sz="0" w:space="0" w:color="auto"/>
        <w:right w:val="none" w:sz="0" w:space="0" w:color="auto"/>
      </w:divBdr>
      <w:divsChild>
        <w:div w:id="1991014474">
          <w:marLeft w:val="0"/>
          <w:marRight w:val="0"/>
          <w:marTop w:val="0"/>
          <w:marBottom w:val="0"/>
          <w:divBdr>
            <w:top w:val="none" w:sz="0" w:space="0" w:color="auto"/>
            <w:left w:val="none" w:sz="0" w:space="0" w:color="auto"/>
            <w:bottom w:val="none" w:sz="0" w:space="0" w:color="auto"/>
            <w:right w:val="none" w:sz="0" w:space="0" w:color="auto"/>
          </w:divBdr>
        </w:div>
        <w:div w:id="1703050358">
          <w:marLeft w:val="0"/>
          <w:marRight w:val="0"/>
          <w:marTop w:val="0"/>
          <w:marBottom w:val="0"/>
          <w:divBdr>
            <w:top w:val="none" w:sz="0" w:space="0" w:color="auto"/>
            <w:left w:val="none" w:sz="0" w:space="0" w:color="auto"/>
            <w:bottom w:val="none" w:sz="0" w:space="0" w:color="auto"/>
            <w:right w:val="none" w:sz="0" w:space="0" w:color="auto"/>
          </w:divBdr>
        </w:div>
        <w:div w:id="2033070628">
          <w:marLeft w:val="0"/>
          <w:marRight w:val="0"/>
          <w:marTop w:val="0"/>
          <w:marBottom w:val="0"/>
          <w:divBdr>
            <w:top w:val="none" w:sz="0" w:space="0" w:color="auto"/>
            <w:left w:val="none" w:sz="0" w:space="0" w:color="auto"/>
            <w:bottom w:val="none" w:sz="0" w:space="0" w:color="auto"/>
            <w:right w:val="none" w:sz="0" w:space="0" w:color="auto"/>
          </w:divBdr>
        </w:div>
        <w:div w:id="653530169">
          <w:marLeft w:val="0"/>
          <w:marRight w:val="0"/>
          <w:marTop w:val="0"/>
          <w:marBottom w:val="0"/>
          <w:divBdr>
            <w:top w:val="none" w:sz="0" w:space="0" w:color="auto"/>
            <w:left w:val="none" w:sz="0" w:space="0" w:color="auto"/>
            <w:bottom w:val="none" w:sz="0" w:space="0" w:color="auto"/>
            <w:right w:val="none" w:sz="0" w:space="0" w:color="auto"/>
          </w:divBdr>
        </w:div>
        <w:div w:id="1551259524">
          <w:marLeft w:val="0"/>
          <w:marRight w:val="0"/>
          <w:marTop w:val="0"/>
          <w:marBottom w:val="0"/>
          <w:divBdr>
            <w:top w:val="none" w:sz="0" w:space="0" w:color="auto"/>
            <w:left w:val="none" w:sz="0" w:space="0" w:color="auto"/>
            <w:bottom w:val="none" w:sz="0" w:space="0" w:color="auto"/>
            <w:right w:val="none" w:sz="0" w:space="0" w:color="auto"/>
          </w:divBdr>
        </w:div>
        <w:div w:id="56171032">
          <w:marLeft w:val="0"/>
          <w:marRight w:val="0"/>
          <w:marTop w:val="0"/>
          <w:marBottom w:val="0"/>
          <w:divBdr>
            <w:top w:val="none" w:sz="0" w:space="0" w:color="auto"/>
            <w:left w:val="none" w:sz="0" w:space="0" w:color="auto"/>
            <w:bottom w:val="none" w:sz="0" w:space="0" w:color="auto"/>
            <w:right w:val="none" w:sz="0" w:space="0" w:color="auto"/>
          </w:divBdr>
        </w:div>
        <w:div w:id="733044575">
          <w:marLeft w:val="0"/>
          <w:marRight w:val="0"/>
          <w:marTop w:val="0"/>
          <w:marBottom w:val="0"/>
          <w:divBdr>
            <w:top w:val="none" w:sz="0" w:space="0" w:color="auto"/>
            <w:left w:val="none" w:sz="0" w:space="0" w:color="auto"/>
            <w:bottom w:val="none" w:sz="0" w:space="0" w:color="auto"/>
            <w:right w:val="none" w:sz="0" w:space="0" w:color="auto"/>
          </w:divBdr>
        </w:div>
        <w:div w:id="1428161841">
          <w:marLeft w:val="0"/>
          <w:marRight w:val="0"/>
          <w:marTop w:val="0"/>
          <w:marBottom w:val="0"/>
          <w:divBdr>
            <w:top w:val="none" w:sz="0" w:space="0" w:color="auto"/>
            <w:left w:val="none" w:sz="0" w:space="0" w:color="auto"/>
            <w:bottom w:val="none" w:sz="0" w:space="0" w:color="auto"/>
            <w:right w:val="none" w:sz="0" w:space="0" w:color="auto"/>
          </w:divBdr>
        </w:div>
        <w:div w:id="771978225">
          <w:marLeft w:val="0"/>
          <w:marRight w:val="0"/>
          <w:marTop w:val="0"/>
          <w:marBottom w:val="0"/>
          <w:divBdr>
            <w:top w:val="none" w:sz="0" w:space="0" w:color="auto"/>
            <w:left w:val="none" w:sz="0" w:space="0" w:color="auto"/>
            <w:bottom w:val="none" w:sz="0" w:space="0" w:color="auto"/>
            <w:right w:val="none" w:sz="0" w:space="0" w:color="auto"/>
          </w:divBdr>
        </w:div>
        <w:div w:id="155536421">
          <w:marLeft w:val="0"/>
          <w:marRight w:val="0"/>
          <w:marTop w:val="0"/>
          <w:marBottom w:val="0"/>
          <w:divBdr>
            <w:top w:val="none" w:sz="0" w:space="0" w:color="auto"/>
            <w:left w:val="none" w:sz="0" w:space="0" w:color="auto"/>
            <w:bottom w:val="none" w:sz="0" w:space="0" w:color="auto"/>
            <w:right w:val="none" w:sz="0" w:space="0" w:color="auto"/>
          </w:divBdr>
        </w:div>
        <w:div w:id="1327051773">
          <w:marLeft w:val="0"/>
          <w:marRight w:val="0"/>
          <w:marTop w:val="0"/>
          <w:marBottom w:val="0"/>
          <w:divBdr>
            <w:top w:val="none" w:sz="0" w:space="0" w:color="auto"/>
            <w:left w:val="none" w:sz="0" w:space="0" w:color="auto"/>
            <w:bottom w:val="none" w:sz="0" w:space="0" w:color="auto"/>
            <w:right w:val="none" w:sz="0" w:space="0" w:color="auto"/>
          </w:divBdr>
        </w:div>
        <w:div w:id="9453240">
          <w:marLeft w:val="0"/>
          <w:marRight w:val="0"/>
          <w:marTop w:val="0"/>
          <w:marBottom w:val="0"/>
          <w:divBdr>
            <w:top w:val="none" w:sz="0" w:space="0" w:color="auto"/>
            <w:left w:val="none" w:sz="0" w:space="0" w:color="auto"/>
            <w:bottom w:val="none" w:sz="0" w:space="0" w:color="auto"/>
            <w:right w:val="none" w:sz="0" w:space="0" w:color="auto"/>
          </w:divBdr>
        </w:div>
        <w:div w:id="710613303">
          <w:marLeft w:val="0"/>
          <w:marRight w:val="0"/>
          <w:marTop w:val="0"/>
          <w:marBottom w:val="0"/>
          <w:divBdr>
            <w:top w:val="none" w:sz="0" w:space="0" w:color="auto"/>
            <w:left w:val="none" w:sz="0" w:space="0" w:color="auto"/>
            <w:bottom w:val="none" w:sz="0" w:space="0" w:color="auto"/>
            <w:right w:val="none" w:sz="0" w:space="0" w:color="auto"/>
          </w:divBdr>
        </w:div>
        <w:div w:id="1545873506">
          <w:marLeft w:val="0"/>
          <w:marRight w:val="0"/>
          <w:marTop w:val="0"/>
          <w:marBottom w:val="0"/>
          <w:divBdr>
            <w:top w:val="none" w:sz="0" w:space="0" w:color="auto"/>
            <w:left w:val="none" w:sz="0" w:space="0" w:color="auto"/>
            <w:bottom w:val="none" w:sz="0" w:space="0" w:color="auto"/>
            <w:right w:val="none" w:sz="0" w:space="0" w:color="auto"/>
          </w:divBdr>
        </w:div>
        <w:div w:id="1522091375">
          <w:marLeft w:val="0"/>
          <w:marRight w:val="0"/>
          <w:marTop w:val="0"/>
          <w:marBottom w:val="0"/>
          <w:divBdr>
            <w:top w:val="none" w:sz="0" w:space="0" w:color="auto"/>
            <w:left w:val="none" w:sz="0" w:space="0" w:color="auto"/>
            <w:bottom w:val="none" w:sz="0" w:space="0" w:color="auto"/>
            <w:right w:val="none" w:sz="0" w:space="0" w:color="auto"/>
          </w:divBdr>
        </w:div>
        <w:div w:id="1227493313">
          <w:marLeft w:val="0"/>
          <w:marRight w:val="0"/>
          <w:marTop w:val="0"/>
          <w:marBottom w:val="0"/>
          <w:divBdr>
            <w:top w:val="none" w:sz="0" w:space="0" w:color="auto"/>
            <w:left w:val="none" w:sz="0" w:space="0" w:color="auto"/>
            <w:bottom w:val="none" w:sz="0" w:space="0" w:color="auto"/>
            <w:right w:val="none" w:sz="0" w:space="0" w:color="auto"/>
          </w:divBdr>
        </w:div>
        <w:div w:id="1535339392">
          <w:marLeft w:val="0"/>
          <w:marRight w:val="0"/>
          <w:marTop w:val="0"/>
          <w:marBottom w:val="0"/>
          <w:divBdr>
            <w:top w:val="none" w:sz="0" w:space="0" w:color="auto"/>
            <w:left w:val="none" w:sz="0" w:space="0" w:color="auto"/>
            <w:bottom w:val="none" w:sz="0" w:space="0" w:color="auto"/>
            <w:right w:val="none" w:sz="0" w:space="0" w:color="auto"/>
          </w:divBdr>
        </w:div>
        <w:div w:id="1043746200">
          <w:marLeft w:val="0"/>
          <w:marRight w:val="0"/>
          <w:marTop w:val="0"/>
          <w:marBottom w:val="0"/>
          <w:divBdr>
            <w:top w:val="none" w:sz="0" w:space="0" w:color="auto"/>
            <w:left w:val="none" w:sz="0" w:space="0" w:color="auto"/>
            <w:bottom w:val="none" w:sz="0" w:space="0" w:color="auto"/>
            <w:right w:val="none" w:sz="0" w:space="0" w:color="auto"/>
          </w:divBdr>
        </w:div>
        <w:div w:id="1709842254">
          <w:marLeft w:val="0"/>
          <w:marRight w:val="0"/>
          <w:marTop w:val="0"/>
          <w:marBottom w:val="0"/>
          <w:divBdr>
            <w:top w:val="none" w:sz="0" w:space="0" w:color="auto"/>
            <w:left w:val="none" w:sz="0" w:space="0" w:color="auto"/>
            <w:bottom w:val="none" w:sz="0" w:space="0" w:color="auto"/>
            <w:right w:val="none" w:sz="0" w:space="0" w:color="auto"/>
          </w:divBdr>
        </w:div>
        <w:div w:id="29112469">
          <w:marLeft w:val="0"/>
          <w:marRight w:val="0"/>
          <w:marTop w:val="0"/>
          <w:marBottom w:val="0"/>
          <w:divBdr>
            <w:top w:val="none" w:sz="0" w:space="0" w:color="auto"/>
            <w:left w:val="none" w:sz="0" w:space="0" w:color="auto"/>
            <w:bottom w:val="none" w:sz="0" w:space="0" w:color="auto"/>
            <w:right w:val="none" w:sz="0" w:space="0" w:color="auto"/>
          </w:divBdr>
        </w:div>
        <w:div w:id="1404110700">
          <w:marLeft w:val="0"/>
          <w:marRight w:val="0"/>
          <w:marTop w:val="0"/>
          <w:marBottom w:val="0"/>
          <w:divBdr>
            <w:top w:val="none" w:sz="0" w:space="0" w:color="auto"/>
            <w:left w:val="none" w:sz="0" w:space="0" w:color="auto"/>
            <w:bottom w:val="none" w:sz="0" w:space="0" w:color="auto"/>
            <w:right w:val="none" w:sz="0" w:space="0" w:color="auto"/>
          </w:divBdr>
        </w:div>
      </w:divsChild>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8831">
      <w:bodyDiv w:val="1"/>
      <w:marLeft w:val="0"/>
      <w:marRight w:val="0"/>
      <w:marTop w:val="0"/>
      <w:marBottom w:val="0"/>
      <w:divBdr>
        <w:top w:val="none" w:sz="0" w:space="0" w:color="auto"/>
        <w:left w:val="none" w:sz="0" w:space="0" w:color="auto"/>
        <w:bottom w:val="none" w:sz="0" w:space="0" w:color="auto"/>
        <w:right w:val="none" w:sz="0" w:space="0" w:color="auto"/>
      </w:divBdr>
      <w:divsChild>
        <w:div w:id="768351494">
          <w:marLeft w:val="0"/>
          <w:marRight w:val="0"/>
          <w:marTop w:val="0"/>
          <w:marBottom w:val="0"/>
          <w:divBdr>
            <w:top w:val="none" w:sz="0" w:space="0" w:color="auto"/>
            <w:left w:val="none" w:sz="0" w:space="0" w:color="auto"/>
            <w:bottom w:val="none" w:sz="0" w:space="0" w:color="auto"/>
            <w:right w:val="none" w:sz="0" w:space="0" w:color="auto"/>
          </w:divBdr>
        </w:div>
        <w:div w:id="40322702">
          <w:marLeft w:val="0"/>
          <w:marRight w:val="0"/>
          <w:marTop w:val="0"/>
          <w:marBottom w:val="0"/>
          <w:divBdr>
            <w:top w:val="none" w:sz="0" w:space="0" w:color="auto"/>
            <w:left w:val="none" w:sz="0" w:space="0" w:color="auto"/>
            <w:bottom w:val="none" w:sz="0" w:space="0" w:color="auto"/>
            <w:right w:val="none" w:sz="0" w:space="0" w:color="auto"/>
          </w:divBdr>
        </w:div>
        <w:div w:id="1297222678">
          <w:marLeft w:val="0"/>
          <w:marRight w:val="0"/>
          <w:marTop w:val="0"/>
          <w:marBottom w:val="0"/>
          <w:divBdr>
            <w:top w:val="none" w:sz="0" w:space="0" w:color="auto"/>
            <w:left w:val="none" w:sz="0" w:space="0" w:color="auto"/>
            <w:bottom w:val="none" w:sz="0" w:space="0" w:color="auto"/>
            <w:right w:val="none" w:sz="0" w:space="0" w:color="auto"/>
          </w:divBdr>
        </w:div>
        <w:div w:id="637102695">
          <w:marLeft w:val="0"/>
          <w:marRight w:val="0"/>
          <w:marTop w:val="0"/>
          <w:marBottom w:val="0"/>
          <w:divBdr>
            <w:top w:val="none" w:sz="0" w:space="0" w:color="auto"/>
            <w:left w:val="none" w:sz="0" w:space="0" w:color="auto"/>
            <w:bottom w:val="none" w:sz="0" w:space="0" w:color="auto"/>
            <w:right w:val="none" w:sz="0" w:space="0" w:color="auto"/>
          </w:divBdr>
        </w:div>
        <w:div w:id="189803570">
          <w:marLeft w:val="0"/>
          <w:marRight w:val="0"/>
          <w:marTop w:val="0"/>
          <w:marBottom w:val="0"/>
          <w:divBdr>
            <w:top w:val="none" w:sz="0" w:space="0" w:color="auto"/>
            <w:left w:val="none" w:sz="0" w:space="0" w:color="auto"/>
            <w:bottom w:val="none" w:sz="0" w:space="0" w:color="auto"/>
            <w:right w:val="none" w:sz="0" w:space="0" w:color="auto"/>
          </w:divBdr>
        </w:div>
        <w:div w:id="2139103741">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C3B4DCC-372E-4C5B-A044-CC89BB0F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2E674-775B-4163-BE17-089FCA92FBB2}">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documentManagement/types"/>
    <ds:schemaRef ds:uri="http://www.w3.org/XML/1998/namespace"/>
    <ds:schemaRef ds:uri="9d85dbaf-23eb-4e57-a637-93dcacc8b1a1"/>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a6cb9e4b-f1d1-4245-83ec-6cad768d53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21</Pages>
  <Words>7671</Words>
  <Characters>42191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Laura Alejandra Materon Garcia</cp:lastModifiedBy>
  <cp:revision>3</cp:revision>
  <cp:lastPrinted>2021-08-27T20:19:00Z</cp:lastPrinted>
  <dcterms:created xsi:type="dcterms:W3CDTF">2022-03-23T14:04:00Z</dcterms:created>
  <dcterms:modified xsi:type="dcterms:W3CDTF">2022-03-23T14:33:00Z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