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Pr="00A51520" w:rsidRDefault="000C0444" w:rsidP="008B6649">
      <w:pPr>
        <w:jc w:val="both"/>
        <w:rPr>
          <w:rFonts w:ascii="Arial" w:eastAsia="Calibri" w:hAnsi="Arial" w:cs="Arial"/>
          <w:bCs/>
          <w:sz w:val="20"/>
          <w:szCs w:val="20"/>
        </w:rPr>
      </w:pPr>
    </w:p>
    <w:p w14:paraId="5104EED4" w14:textId="77777777" w:rsidR="00E803A6" w:rsidRPr="00D64641" w:rsidRDefault="00E803A6" w:rsidP="00E803A6">
      <w:pPr>
        <w:spacing w:line="276" w:lineRule="auto"/>
        <w:jc w:val="both"/>
        <w:rPr>
          <w:rFonts w:ascii="Arial" w:hAnsi="Arial" w:cs="Arial"/>
          <w:noProof/>
          <w:color w:val="000000" w:themeColor="text1"/>
          <w:sz w:val="22"/>
          <w:lang w:val="es-ES_tradnl"/>
        </w:rPr>
      </w:pPr>
    </w:p>
    <w:p w14:paraId="454B159B" w14:textId="77777777" w:rsidR="00E803A6" w:rsidRPr="00D64641" w:rsidRDefault="00E803A6" w:rsidP="00E803A6">
      <w:pPr>
        <w:jc w:val="both"/>
        <w:rPr>
          <w:rFonts w:ascii="Arial" w:eastAsia="Calibri" w:hAnsi="Arial" w:cs="Arial"/>
          <w:b/>
          <w:sz w:val="22"/>
          <w:lang w:val="es-ES_tradnl"/>
        </w:rPr>
      </w:pPr>
      <w:r w:rsidRPr="00D64641">
        <w:rPr>
          <w:rFonts w:ascii="Arial" w:eastAsia="Calibri" w:hAnsi="Arial" w:cs="Arial"/>
          <w:b/>
          <w:sz w:val="22"/>
          <w:lang w:val="es-ES_tradnl"/>
        </w:rPr>
        <w:t>CLÁUSULAS EXCEPCIONALES – Multas – Cláusula penal – Imposición unilateral</w:t>
      </w:r>
    </w:p>
    <w:p w14:paraId="6C88A5EF" w14:textId="77777777" w:rsidR="00E803A6" w:rsidRPr="00D64641" w:rsidRDefault="00E803A6" w:rsidP="00E803A6">
      <w:pPr>
        <w:rPr>
          <w:rFonts w:ascii="Arial" w:hAnsi="Arial" w:cs="Arial"/>
          <w:sz w:val="20"/>
          <w:szCs w:val="20"/>
          <w:lang w:val="es-ES_tradnl"/>
        </w:rPr>
      </w:pPr>
    </w:p>
    <w:p w14:paraId="5152BEBB" w14:textId="77777777" w:rsidR="00E803A6" w:rsidRPr="00D64641" w:rsidRDefault="00E803A6" w:rsidP="00E803A6">
      <w:pPr>
        <w:jc w:val="both"/>
        <w:rPr>
          <w:rFonts w:ascii="Arial" w:eastAsia="Calibri" w:hAnsi="Arial" w:cs="Arial"/>
          <w:b/>
          <w:sz w:val="22"/>
          <w:lang w:val="es-ES_tradnl"/>
        </w:rPr>
      </w:pPr>
      <w:r w:rsidRPr="00D64641">
        <w:rPr>
          <w:rFonts w:ascii="Arial" w:hAnsi="Arial" w:cs="Arial"/>
          <w:iCs/>
          <w:color w:val="000000" w:themeColor="text1"/>
          <w:sz w:val="20"/>
          <w:szCs w:val="20"/>
          <w:lang w:val="es-ES_tradnl"/>
        </w:rPr>
        <w:t>El último grupo de potestades excepcionales –imposición unilateral de la multa o la cláusula penal–por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6E6BDDFA" w14:textId="77777777" w:rsidR="00E803A6" w:rsidRPr="00D64641" w:rsidRDefault="00E803A6" w:rsidP="00E803A6">
      <w:pPr>
        <w:jc w:val="both"/>
        <w:rPr>
          <w:rFonts w:ascii="Arial" w:hAnsi="Arial" w:cs="Arial"/>
          <w:iCs/>
          <w:color w:val="000000" w:themeColor="text1"/>
          <w:sz w:val="20"/>
          <w:szCs w:val="20"/>
          <w:lang w:val="es-ES_tradnl"/>
        </w:rPr>
      </w:pPr>
    </w:p>
    <w:p w14:paraId="3B2FBC0D" w14:textId="77777777" w:rsidR="00E803A6" w:rsidRPr="00D64641" w:rsidRDefault="00E803A6" w:rsidP="00E803A6">
      <w:pPr>
        <w:jc w:val="both"/>
        <w:rPr>
          <w:rFonts w:ascii="Arial" w:eastAsia="Calibri" w:hAnsi="Arial" w:cs="Arial"/>
          <w:b/>
          <w:sz w:val="22"/>
          <w:lang w:val="es-ES_tradnl"/>
        </w:rPr>
      </w:pPr>
      <w:r w:rsidRPr="00D64641">
        <w:rPr>
          <w:rFonts w:ascii="Arial" w:eastAsia="Calibri" w:hAnsi="Arial" w:cs="Arial"/>
          <w:b/>
          <w:sz w:val="22"/>
          <w:lang w:val="es-ES_tradnl"/>
        </w:rPr>
        <w:t>PROCEDIMIENTO SANCIONATORIO CONTRACTUAL – Citación a audiencia – Contenido – Ley 1474 de 2011 – Artículo 86</w:t>
      </w:r>
    </w:p>
    <w:p w14:paraId="314E1EDB" w14:textId="77777777" w:rsidR="00E803A6" w:rsidRPr="00D64641" w:rsidRDefault="00E803A6" w:rsidP="00E803A6">
      <w:pPr>
        <w:jc w:val="both"/>
        <w:rPr>
          <w:rFonts w:ascii="Arial" w:eastAsia="Calibri" w:hAnsi="Arial" w:cs="Arial"/>
          <w:b/>
          <w:color w:val="000000" w:themeColor="text1"/>
          <w:sz w:val="20"/>
          <w:szCs w:val="20"/>
          <w:lang w:val="es-ES_tradnl"/>
        </w:rPr>
      </w:pPr>
    </w:p>
    <w:p w14:paraId="1D029320" w14:textId="77777777" w:rsidR="00E803A6" w:rsidRPr="00D64641" w:rsidRDefault="00E803A6" w:rsidP="00E803A6">
      <w:pPr>
        <w:jc w:val="both"/>
        <w:rPr>
          <w:rFonts w:ascii="Arial" w:eastAsia="Calibri" w:hAnsi="Arial" w:cs="Arial"/>
          <w:color w:val="000000" w:themeColor="text1"/>
          <w:sz w:val="20"/>
          <w:szCs w:val="20"/>
          <w:lang w:val="es-ES_tradnl"/>
        </w:rPr>
      </w:pPr>
      <w:r w:rsidRPr="00D64641">
        <w:rPr>
          <w:rFonts w:ascii="Arial" w:eastAsia="Calibri" w:hAnsi="Arial" w:cs="Arial"/>
          <w:color w:val="000000" w:themeColor="text1"/>
          <w:sz w:val="20"/>
          <w:szCs w:val="20"/>
          <w:lang w:val="es-ES_tradnl"/>
        </w:rPr>
        <w:t xml:space="preserve">Como se observa, la citación a la audiencia debe cumplir mínimamente los siguientes aspectos: i) señalar los </w:t>
      </w:r>
      <w:r w:rsidRPr="00D64641">
        <w:rPr>
          <w:rFonts w:ascii="Arial" w:eastAsia="Calibri" w:hAnsi="Arial" w:cs="Arial"/>
          <w:i/>
          <w:iCs/>
          <w:color w:val="000000" w:themeColor="text1"/>
          <w:sz w:val="20"/>
          <w:szCs w:val="20"/>
          <w:lang w:val="es-ES_tradnl"/>
        </w:rPr>
        <w:t>hechos</w:t>
      </w:r>
      <w:r w:rsidRPr="00D64641">
        <w:rPr>
          <w:rFonts w:ascii="Arial" w:eastAsia="Calibri" w:hAnsi="Arial" w:cs="Arial"/>
          <w:color w:val="000000" w:themeColor="text1"/>
          <w:sz w:val="20"/>
          <w:szCs w:val="20"/>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p>
    <w:p w14:paraId="06D2E4C1" w14:textId="77777777" w:rsidR="00E803A6" w:rsidRPr="00D64641" w:rsidRDefault="00E803A6" w:rsidP="00E803A6">
      <w:pPr>
        <w:jc w:val="both"/>
        <w:rPr>
          <w:rFonts w:ascii="Arial" w:hAnsi="Arial" w:cs="Arial"/>
          <w:sz w:val="21"/>
          <w:szCs w:val="21"/>
          <w:lang w:val="es-ES_tradnl"/>
        </w:rPr>
      </w:pPr>
    </w:p>
    <w:p w14:paraId="639E8771" w14:textId="77777777" w:rsidR="00E803A6" w:rsidRPr="00D64641" w:rsidRDefault="00E803A6" w:rsidP="00E803A6">
      <w:pPr>
        <w:jc w:val="both"/>
        <w:rPr>
          <w:rFonts w:ascii="Arial" w:eastAsia="Calibri" w:hAnsi="Arial" w:cs="Arial"/>
          <w:b/>
          <w:sz w:val="22"/>
          <w:lang w:val="es-ES_tradnl"/>
        </w:rPr>
      </w:pPr>
      <w:r w:rsidRPr="00D64641">
        <w:rPr>
          <w:rFonts w:ascii="Arial" w:eastAsia="Calibri" w:hAnsi="Arial" w:cs="Arial"/>
          <w:b/>
          <w:sz w:val="22"/>
          <w:lang w:val="es-ES_tradnl"/>
        </w:rPr>
        <w:t>REDUCCIÓN DE PUNTAJE – Multa – Cláusula Penal – Ley 2195 de 2022 – Artículo 58</w:t>
      </w:r>
    </w:p>
    <w:p w14:paraId="53BEF741" w14:textId="77777777" w:rsidR="00E803A6" w:rsidRPr="00D64641" w:rsidRDefault="00E803A6" w:rsidP="00E803A6">
      <w:pPr>
        <w:jc w:val="both"/>
        <w:rPr>
          <w:rFonts w:ascii="Arial" w:hAnsi="Arial" w:cs="Arial"/>
          <w:sz w:val="21"/>
          <w:szCs w:val="21"/>
          <w:lang w:val="es-ES_tradnl"/>
        </w:rPr>
      </w:pPr>
    </w:p>
    <w:p w14:paraId="60206675" w14:textId="77777777" w:rsidR="00E803A6" w:rsidRPr="00D64641" w:rsidRDefault="00E803A6" w:rsidP="00E803A6">
      <w:pPr>
        <w:jc w:val="both"/>
        <w:rPr>
          <w:rFonts w:ascii="Arial" w:eastAsia="Calibri" w:hAnsi="Arial" w:cs="Arial"/>
          <w:color w:val="000000" w:themeColor="text1"/>
          <w:sz w:val="20"/>
          <w:szCs w:val="20"/>
          <w:lang w:val="es-ES_tradnl"/>
        </w:rPr>
      </w:pPr>
      <w:r w:rsidRPr="00D64641">
        <w:rPr>
          <w:rFonts w:ascii="Arial" w:eastAsia="Calibri" w:hAnsi="Arial" w:cs="Arial"/>
          <w:color w:val="000000" w:themeColor="text1"/>
          <w:sz w:val="20"/>
          <w:szCs w:val="20"/>
          <w:lang w:val="es-ES_tradnl"/>
        </w:rPr>
        <w:t xml:space="preserve">Los sujetos pasivos –es decir, los afectados por lo dispuesto en el artículo– son los proponentes –incluidos los consorcios y uniones temporales, por la situación de alguno de sus integrantes– a quienes «[…] 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declarar el incumplimiento contractual, para decretar multas o hacer efectivas cláusulas penales pecuniarias, tal como se explicó en apartados anteriores de este concepto. Así pues, la reducción del puntaje exigido por el artículo 58 de la Ley 2195 de 2022 no se aplica en aquellos eventos en los cuales una entidad realiza un requerimiento a un contratista, sin imponer una multa o cláusula penal pecuniaria, como podría suceder en algunos supuestos de </w:t>
      </w:r>
      <w:r w:rsidRPr="00D64641">
        <w:rPr>
          <w:rFonts w:ascii="Arial" w:eastAsia="Calibri" w:hAnsi="Arial" w:cs="Arial"/>
          <w:color w:val="000000" w:themeColor="text1"/>
          <w:sz w:val="20"/>
          <w:szCs w:val="20"/>
          <w:lang w:val="es-ES_tradnl"/>
        </w:rPr>
        <w:lastRenderedPageBreak/>
        <w:t>declaratoria de siniestros, pues la efectividad de las garantías no siempre está condicionada por el incumplimiento.</w:t>
      </w:r>
    </w:p>
    <w:p w14:paraId="56077B48" w14:textId="77777777" w:rsidR="00E803A6" w:rsidRPr="00D64641" w:rsidRDefault="00E803A6" w:rsidP="00E803A6">
      <w:pPr>
        <w:jc w:val="both"/>
        <w:rPr>
          <w:rFonts w:ascii="Arial" w:eastAsia="Calibri" w:hAnsi="Arial" w:cs="Arial"/>
          <w:b/>
          <w:sz w:val="22"/>
          <w:lang w:val="es-ES_tradnl"/>
        </w:rPr>
      </w:pPr>
    </w:p>
    <w:p w14:paraId="78115EC2" w14:textId="77777777" w:rsidR="00E803A6" w:rsidRPr="00D64641" w:rsidRDefault="00E803A6" w:rsidP="00E803A6">
      <w:pPr>
        <w:jc w:val="both"/>
        <w:rPr>
          <w:rFonts w:ascii="Arial" w:eastAsia="Calibri" w:hAnsi="Arial" w:cs="Arial"/>
          <w:b/>
          <w:sz w:val="22"/>
          <w:lang w:val="es-ES_tradnl"/>
        </w:rPr>
      </w:pPr>
      <w:r w:rsidRPr="00D64641">
        <w:rPr>
          <w:rFonts w:ascii="Arial" w:eastAsia="Calibri" w:hAnsi="Arial" w:cs="Arial"/>
          <w:b/>
          <w:sz w:val="22"/>
          <w:lang w:val="es-ES_tradnl"/>
        </w:rPr>
        <w:t>IRRETROACTIVIDAD – Ley – Seguridad jurídica – Debido proceso</w:t>
      </w:r>
    </w:p>
    <w:p w14:paraId="4D6D1E01" w14:textId="77777777" w:rsidR="00E803A6" w:rsidRPr="00D64641" w:rsidRDefault="00E803A6" w:rsidP="00E803A6">
      <w:pPr>
        <w:jc w:val="both"/>
        <w:rPr>
          <w:rFonts w:ascii="Arial" w:hAnsi="Arial" w:cs="Arial"/>
          <w:iCs/>
          <w:color w:val="000000" w:themeColor="text1"/>
          <w:sz w:val="20"/>
          <w:szCs w:val="20"/>
          <w:lang w:val="es-ES_tradnl"/>
        </w:rPr>
      </w:pPr>
    </w:p>
    <w:p w14:paraId="6E24EAFF" w14:textId="77777777" w:rsidR="00E803A6" w:rsidRPr="00D64641" w:rsidRDefault="00E803A6" w:rsidP="00E803A6">
      <w:pPr>
        <w:jc w:val="both"/>
        <w:rPr>
          <w:rFonts w:ascii="Arial" w:eastAsia="Calibri" w:hAnsi="Arial" w:cs="Arial"/>
          <w:color w:val="000000" w:themeColor="text1"/>
          <w:sz w:val="20"/>
          <w:szCs w:val="20"/>
          <w:lang w:val="es-ES_tradnl"/>
        </w:rPr>
      </w:pPr>
      <w:r w:rsidRPr="00D64641">
        <w:rPr>
          <w:rFonts w:ascii="Arial" w:eastAsia="Calibri" w:hAnsi="Arial" w:cs="Arial"/>
          <w:color w:val="000000" w:themeColor="text1"/>
          <w:sz w:val="20"/>
          <w:szCs w:val="20"/>
          <w:lang w:val="es-ES_tradnl"/>
        </w:rPr>
        <w:t>Como lo indicó la Agencia Nacional de Contratación Pública – Colombia Compra Eficiente en los conceptos C-536 del 24 de agosto de 2020, C-320 del 1 de julio de 2021 y C-437 del 24 de agosto de 2021, 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p>
    <w:p w14:paraId="1958224A" w14:textId="77777777" w:rsidR="00E803A6" w:rsidRPr="00D64641" w:rsidRDefault="00E803A6" w:rsidP="00E803A6">
      <w:pPr>
        <w:jc w:val="both"/>
        <w:rPr>
          <w:rFonts w:ascii="Arial" w:eastAsia="Calibri" w:hAnsi="Arial" w:cs="Arial"/>
          <w:color w:val="000000" w:themeColor="text1"/>
          <w:sz w:val="20"/>
          <w:szCs w:val="20"/>
          <w:lang w:val="es-ES_tradnl"/>
        </w:rPr>
      </w:pPr>
    </w:p>
    <w:p w14:paraId="652828DA" w14:textId="77777777" w:rsidR="00E803A6" w:rsidRPr="00D64641" w:rsidRDefault="00E803A6" w:rsidP="00E803A6">
      <w:pPr>
        <w:jc w:val="both"/>
        <w:rPr>
          <w:rFonts w:ascii="Arial" w:eastAsia="Calibri" w:hAnsi="Arial" w:cs="Arial"/>
          <w:color w:val="000000" w:themeColor="text1"/>
          <w:sz w:val="20"/>
          <w:szCs w:val="20"/>
          <w:lang w:val="es-ES_tradnl"/>
        </w:rPr>
      </w:pPr>
      <w:r w:rsidRPr="00D64641">
        <w:rPr>
          <w:rFonts w:ascii="Arial" w:eastAsia="Calibri" w:hAnsi="Arial" w:cs="Arial"/>
          <w:color w:val="000000" w:themeColor="text1"/>
          <w:sz w:val="20"/>
          <w:szCs w:val="20"/>
          <w:lang w:val="es-ES_tradnl"/>
        </w:rPr>
        <w:t>Tal es la 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antes de la realización de la conducta activa u omisiva sobre la cual se imputa el reproche. Esto es lo que se conoce en el derecho como la irretroactividad de las leyes.</w:t>
      </w:r>
    </w:p>
    <w:p w14:paraId="50B42755" w14:textId="77777777" w:rsidR="00E803A6" w:rsidRPr="00D64641" w:rsidRDefault="00E803A6" w:rsidP="00E803A6">
      <w:pPr>
        <w:jc w:val="both"/>
        <w:rPr>
          <w:rFonts w:ascii="Arial" w:eastAsia="Calibri" w:hAnsi="Arial" w:cs="Arial"/>
          <w:color w:val="000000" w:themeColor="text1"/>
          <w:sz w:val="20"/>
          <w:szCs w:val="20"/>
          <w:lang w:val="es-ES_tradnl"/>
        </w:rPr>
      </w:pPr>
    </w:p>
    <w:bookmarkEnd w:id="2"/>
    <w:p w14:paraId="0B201458" w14:textId="77777777" w:rsidR="00E803A6" w:rsidRDefault="00E803A6" w:rsidP="00C118DB">
      <w:pPr>
        <w:spacing w:line="276" w:lineRule="auto"/>
        <w:jc w:val="both"/>
        <w:rPr>
          <w:rFonts w:ascii="Arial" w:eastAsia="Calibri" w:hAnsi="Arial" w:cs="Arial"/>
          <w:b/>
          <w:sz w:val="22"/>
          <w:lang w:val="es-ES_tradnl"/>
        </w:rPr>
      </w:pPr>
    </w:p>
    <w:p w14:paraId="20C6A220" w14:textId="77777777" w:rsidR="00E803A6" w:rsidRDefault="00E803A6" w:rsidP="00C118DB">
      <w:pPr>
        <w:spacing w:line="276" w:lineRule="auto"/>
        <w:jc w:val="both"/>
        <w:rPr>
          <w:rFonts w:ascii="Arial" w:eastAsia="Calibri" w:hAnsi="Arial" w:cs="Arial"/>
          <w:b/>
          <w:sz w:val="22"/>
          <w:lang w:val="es-ES_tradnl"/>
        </w:rPr>
      </w:pPr>
    </w:p>
    <w:p w14:paraId="4A9B37AF" w14:textId="77777777" w:rsidR="00E803A6" w:rsidRDefault="00E803A6" w:rsidP="00C118DB">
      <w:pPr>
        <w:spacing w:line="276" w:lineRule="auto"/>
        <w:jc w:val="both"/>
        <w:rPr>
          <w:rFonts w:ascii="Arial" w:eastAsia="Calibri" w:hAnsi="Arial" w:cs="Arial"/>
          <w:b/>
          <w:sz w:val="22"/>
          <w:lang w:val="es-ES_tradnl"/>
        </w:rPr>
      </w:pPr>
    </w:p>
    <w:p w14:paraId="79B0C924" w14:textId="77777777" w:rsidR="00E803A6" w:rsidRDefault="00E803A6" w:rsidP="00C118DB">
      <w:pPr>
        <w:spacing w:line="276" w:lineRule="auto"/>
        <w:jc w:val="both"/>
        <w:rPr>
          <w:rFonts w:ascii="Arial" w:eastAsia="Calibri" w:hAnsi="Arial" w:cs="Arial"/>
          <w:b/>
          <w:sz w:val="22"/>
          <w:lang w:val="es-ES_tradnl"/>
        </w:rPr>
      </w:pPr>
    </w:p>
    <w:p w14:paraId="33B4D55E" w14:textId="77777777" w:rsidR="00E803A6" w:rsidRDefault="00E803A6" w:rsidP="00C118DB">
      <w:pPr>
        <w:spacing w:line="276" w:lineRule="auto"/>
        <w:jc w:val="both"/>
        <w:rPr>
          <w:rFonts w:ascii="Arial" w:eastAsia="Calibri" w:hAnsi="Arial" w:cs="Arial"/>
          <w:b/>
          <w:sz w:val="22"/>
          <w:lang w:val="es-ES_tradnl"/>
        </w:rPr>
      </w:pPr>
    </w:p>
    <w:p w14:paraId="7927A647" w14:textId="77777777" w:rsidR="00E803A6" w:rsidRDefault="00E803A6" w:rsidP="00C118DB">
      <w:pPr>
        <w:spacing w:line="276" w:lineRule="auto"/>
        <w:jc w:val="both"/>
        <w:rPr>
          <w:rFonts w:ascii="Arial" w:eastAsia="Calibri" w:hAnsi="Arial" w:cs="Arial"/>
          <w:b/>
          <w:sz w:val="22"/>
          <w:lang w:val="es-ES_tradnl"/>
        </w:rPr>
      </w:pPr>
    </w:p>
    <w:p w14:paraId="32465102" w14:textId="77777777" w:rsidR="00E803A6" w:rsidRDefault="00E803A6" w:rsidP="00C118DB">
      <w:pPr>
        <w:spacing w:line="276" w:lineRule="auto"/>
        <w:jc w:val="both"/>
        <w:rPr>
          <w:rFonts w:ascii="Arial" w:eastAsia="Calibri" w:hAnsi="Arial" w:cs="Arial"/>
          <w:b/>
          <w:sz w:val="22"/>
          <w:lang w:val="es-ES_tradnl"/>
        </w:rPr>
      </w:pPr>
    </w:p>
    <w:p w14:paraId="302651AD" w14:textId="77777777" w:rsidR="00E803A6" w:rsidRDefault="00E803A6" w:rsidP="00C118DB">
      <w:pPr>
        <w:spacing w:line="276" w:lineRule="auto"/>
        <w:jc w:val="both"/>
        <w:rPr>
          <w:rFonts w:ascii="Arial" w:eastAsia="Calibri" w:hAnsi="Arial" w:cs="Arial"/>
          <w:b/>
          <w:sz w:val="22"/>
          <w:lang w:val="es-ES_tradnl"/>
        </w:rPr>
      </w:pPr>
    </w:p>
    <w:p w14:paraId="3E2533E6" w14:textId="77777777" w:rsidR="00E803A6" w:rsidRDefault="00E803A6" w:rsidP="00C118DB">
      <w:pPr>
        <w:spacing w:line="276" w:lineRule="auto"/>
        <w:jc w:val="both"/>
        <w:rPr>
          <w:rFonts w:ascii="Arial" w:eastAsia="Calibri" w:hAnsi="Arial" w:cs="Arial"/>
          <w:b/>
          <w:sz w:val="22"/>
          <w:lang w:val="es-ES_tradnl"/>
        </w:rPr>
      </w:pPr>
    </w:p>
    <w:p w14:paraId="4E31A341" w14:textId="77777777" w:rsidR="00E803A6" w:rsidRDefault="00E803A6" w:rsidP="00C118DB">
      <w:pPr>
        <w:spacing w:line="276" w:lineRule="auto"/>
        <w:jc w:val="both"/>
        <w:rPr>
          <w:rFonts w:ascii="Arial" w:eastAsia="Calibri" w:hAnsi="Arial" w:cs="Arial"/>
          <w:b/>
          <w:sz w:val="22"/>
          <w:lang w:val="es-ES_tradnl"/>
        </w:rPr>
      </w:pPr>
    </w:p>
    <w:p w14:paraId="740FE9AE" w14:textId="77777777" w:rsidR="00E803A6" w:rsidRDefault="00E803A6" w:rsidP="00C118DB">
      <w:pPr>
        <w:spacing w:line="276" w:lineRule="auto"/>
        <w:jc w:val="both"/>
        <w:rPr>
          <w:rFonts w:ascii="Arial" w:eastAsia="Calibri" w:hAnsi="Arial" w:cs="Arial"/>
          <w:b/>
          <w:sz w:val="22"/>
          <w:lang w:val="es-ES_tradnl"/>
        </w:rPr>
      </w:pPr>
    </w:p>
    <w:p w14:paraId="7AF43437" w14:textId="77777777" w:rsidR="00E803A6" w:rsidRDefault="00E803A6" w:rsidP="00C118DB">
      <w:pPr>
        <w:spacing w:line="276" w:lineRule="auto"/>
        <w:jc w:val="both"/>
        <w:rPr>
          <w:rFonts w:ascii="Arial" w:eastAsia="Calibri" w:hAnsi="Arial" w:cs="Arial"/>
          <w:b/>
          <w:sz w:val="22"/>
          <w:lang w:val="es-ES_tradnl"/>
        </w:rPr>
      </w:pPr>
    </w:p>
    <w:p w14:paraId="38935D3C" w14:textId="77777777" w:rsidR="00E803A6" w:rsidRDefault="00E803A6" w:rsidP="00C118DB">
      <w:pPr>
        <w:spacing w:line="276" w:lineRule="auto"/>
        <w:jc w:val="both"/>
        <w:rPr>
          <w:rFonts w:ascii="Arial" w:eastAsia="Calibri" w:hAnsi="Arial" w:cs="Arial"/>
          <w:b/>
          <w:sz w:val="22"/>
          <w:lang w:val="es-ES_tradnl"/>
        </w:rPr>
      </w:pPr>
    </w:p>
    <w:p w14:paraId="4825185D" w14:textId="77777777" w:rsidR="00E803A6" w:rsidRDefault="00E803A6" w:rsidP="00C118DB">
      <w:pPr>
        <w:spacing w:line="276" w:lineRule="auto"/>
        <w:jc w:val="both"/>
        <w:rPr>
          <w:rFonts w:ascii="Arial" w:eastAsia="Calibri" w:hAnsi="Arial" w:cs="Arial"/>
          <w:b/>
          <w:sz w:val="22"/>
          <w:lang w:val="es-ES_tradnl"/>
        </w:rPr>
      </w:pPr>
    </w:p>
    <w:p w14:paraId="5E6AFED6" w14:textId="77777777" w:rsidR="00E803A6" w:rsidRDefault="00E803A6" w:rsidP="00C118DB">
      <w:pPr>
        <w:spacing w:line="276" w:lineRule="auto"/>
        <w:jc w:val="both"/>
        <w:rPr>
          <w:rFonts w:ascii="Arial" w:eastAsia="Calibri" w:hAnsi="Arial" w:cs="Arial"/>
          <w:b/>
          <w:sz w:val="22"/>
          <w:lang w:val="es-ES_tradnl"/>
        </w:rPr>
      </w:pPr>
    </w:p>
    <w:p w14:paraId="4AFCE356" w14:textId="77777777" w:rsidR="00E803A6" w:rsidRDefault="00E803A6" w:rsidP="00C118DB">
      <w:pPr>
        <w:spacing w:line="276" w:lineRule="auto"/>
        <w:jc w:val="both"/>
        <w:rPr>
          <w:rFonts w:ascii="Arial" w:eastAsia="Calibri" w:hAnsi="Arial" w:cs="Arial"/>
          <w:b/>
          <w:sz w:val="22"/>
          <w:lang w:val="es-ES_tradnl"/>
        </w:rPr>
      </w:pPr>
    </w:p>
    <w:p w14:paraId="39DB95ED" w14:textId="77777777" w:rsidR="00E803A6" w:rsidRDefault="00E803A6" w:rsidP="00C118DB">
      <w:pPr>
        <w:spacing w:line="276" w:lineRule="auto"/>
        <w:jc w:val="both"/>
        <w:rPr>
          <w:rFonts w:ascii="Arial" w:eastAsia="Calibri" w:hAnsi="Arial" w:cs="Arial"/>
          <w:b/>
          <w:sz w:val="22"/>
          <w:lang w:val="es-ES_tradnl"/>
        </w:rPr>
      </w:pPr>
    </w:p>
    <w:p w14:paraId="5EA6329C" w14:textId="77777777" w:rsidR="00E803A6" w:rsidRDefault="00E803A6" w:rsidP="00C118DB">
      <w:pPr>
        <w:spacing w:line="276" w:lineRule="auto"/>
        <w:jc w:val="both"/>
        <w:rPr>
          <w:rFonts w:ascii="Arial" w:eastAsia="Calibri" w:hAnsi="Arial" w:cs="Arial"/>
          <w:b/>
          <w:sz w:val="22"/>
          <w:lang w:val="es-ES_tradnl"/>
        </w:rPr>
      </w:pPr>
    </w:p>
    <w:p w14:paraId="29E52069" w14:textId="77777777" w:rsidR="00E803A6" w:rsidRDefault="00E803A6" w:rsidP="00C118DB">
      <w:pPr>
        <w:spacing w:line="276" w:lineRule="auto"/>
        <w:jc w:val="both"/>
        <w:rPr>
          <w:rFonts w:ascii="Arial" w:eastAsia="Calibri" w:hAnsi="Arial" w:cs="Arial"/>
          <w:b/>
          <w:sz w:val="22"/>
          <w:lang w:val="es-ES_tradnl"/>
        </w:rPr>
      </w:pPr>
    </w:p>
    <w:p w14:paraId="1C2B24E8" w14:textId="77777777" w:rsidR="00E803A6" w:rsidRDefault="00E803A6" w:rsidP="00C118DB">
      <w:pPr>
        <w:spacing w:line="276" w:lineRule="auto"/>
        <w:jc w:val="both"/>
        <w:rPr>
          <w:rFonts w:ascii="Arial" w:eastAsia="Calibri" w:hAnsi="Arial" w:cs="Arial"/>
          <w:b/>
          <w:sz w:val="22"/>
          <w:lang w:val="es-ES_tradnl"/>
        </w:rPr>
      </w:pPr>
    </w:p>
    <w:p w14:paraId="2B6BA614" w14:textId="77777777" w:rsidR="00E803A6" w:rsidRDefault="00E803A6" w:rsidP="00C118DB">
      <w:pPr>
        <w:spacing w:line="276" w:lineRule="auto"/>
        <w:jc w:val="both"/>
        <w:rPr>
          <w:rFonts w:ascii="Arial" w:eastAsia="Calibri" w:hAnsi="Arial" w:cs="Arial"/>
          <w:b/>
          <w:sz w:val="22"/>
          <w:lang w:val="es-ES_tradnl"/>
        </w:rPr>
      </w:pPr>
    </w:p>
    <w:p w14:paraId="463F4CAF" w14:textId="30859333" w:rsidR="004D3BCD" w:rsidRDefault="004D3BCD" w:rsidP="004D3BCD">
      <w:pPr>
        <w:spacing w:line="276" w:lineRule="auto"/>
        <w:jc w:val="right"/>
        <w:rPr>
          <w:rFonts w:ascii="Arial" w:hAnsi="Arial" w:cs="Arial"/>
          <w:noProof/>
          <w:color w:val="000000" w:themeColor="text1"/>
          <w:sz w:val="22"/>
        </w:rPr>
      </w:pPr>
      <w:r w:rsidRPr="004D3BCD">
        <w:rPr>
          <w:rFonts w:ascii="Arial" w:hAnsi="Arial" w:cs="Arial"/>
          <w:noProof/>
          <w:color w:val="000000" w:themeColor="text1"/>
          <w:sz w:val="22"/>
        </w:rPr>
        <w:drawing>
          <wp:inline distT="0" distB="0" distL="0" distR="0" wp14:anchorId="4EB94E8A" wp14:editId="5010B587">
            <wp:extent cx="237172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723900"/>
                    </a:xfrm>
                    <a:prstGeom prst="rect">
                      <a:avLst/>
                    </a:prstGeom>
                    <a:noFill/>
                    <a:ln>
                      <a:noFill/>
                    </a:ln>
                  </pic:spPr>
                </pic:pic>
              </a:graphicData>
            </a:graphic>
          </wp:inline>
        </w:drawing>
      </w:r>
    </w:p>
    <w:p w14:paraId="5C4B430A" w14:textId="77777777" w:rsidR="004D3BCD" w:rsidRDefault="004D3BCD" w:rsidP="004D3BCD">
      <w:pPr>
        <w:spacing w:line="276" w:lineRule="auto"/>
        <w:jc w:val="both"/>
        <w:rPr>
          <w:rFonts w:ascii="Arial" w:hAnsi="Arial" w:cs="Arial"/>
          <w:noProof/>
          <w:color w:val="000000" w:themeColor="text1"/>
          <w:sz w:val="22"/>
        </w:rPr>
      </w:pPr>
    </w:p>
    <w:p w14:paraId="6A8A869B" w14:textId="6D87BF19" w:rsidR="00B95C30" w:rsidRPr="004D3BCD" w:rsidRDefault="00B95C30" w:rsidP="004D3BCD">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4D3BCD">
        <w:rPr>
          <w:rFonts w:ascii="Arial" w:hAnsi="Arial" w:cs="Arial"/>
          <w:b/>
          <w:color w:val="000000" w:themeColor="text1"/>
          <w:sz w:val="22"/>
        </w:rPr>
        <w:t>22/03/2022</w:t>
      </w: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1506BA31" w:rsidR="00B95C30" w:rsidRPr="00A51520" w:rsidRDefault="00B95C30" w:rsidP="00B95C30">
      <w:pPr>
        <w:jc w:val="both"/>
        <w:rPr>
          <w:rFonts w:ascii="Arial" w:eastAsia="Calibri" w:hAnsi="Arial" w:cs="Arial"/>
          <w:color w:val="000000" w:themeColor="text1"/>
          <w:sz w:val="22"/>
        </w:rPr>
      </w:pPr>
      <w:r w:rsidRPr="00A51520">
        <w:rPr>
          <w:rFonts w:ascii="Arial" w:eastAsia="Calibri" w:hAnsi="Arial" w:cs="Arial"/>
          <w:color w:val="000000" w:themeColor="text1"/>
          <w:sz w:val="22"/>
        </w:rPr>
        <w:t>Señor</w:t>
      </w:r>
    </w:p>
    <w:p w14:paraId="798A20AC" w14:textId="392CF146" w:rsidR="005F5F37" w:rsidRPr="00A51520" w:rsidRDefault="00AE0D1C" w:rsidP="00BF4EC5">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Andrew Hernández Ramos </w:t>
      </w:r>
    </w:p>
    <w:p w14:paraId="411CBCE1" w14:textId="3C5A69C0" w:rsidR="00BF4EC5" w:rsidRPr="00A51520" w:rsidRDefault="00E803A6"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Bogotá D.C.</w:t>
      </w:r>
      <w:r w:rsidR="00BF4EC5" w:rsidRPr="00A51520">
        <w:rPr>
          <w:rFonts w:ascii="Arial" w:eastAsia="Calibri" w:hAnsi="Arial" w:cs="Arial"/>
          <w:bCs/>
          <w:color w:val="000000" w:themeColor="text1"/>
          <w:sz w:val="22"/>
        </w:rPr>
        <w:t xml:space="preserve"> </w:t>
      </w:r>
    </w:p>
    <w:p w14:paraId="4A1C8FFE" w14:textId="77777777" w:rsidR="008120C4" w:rsidRPr="00A51520" w:rsidRDefault="008120C4" w:rsidP="003C0791">
      <w:pPr>
        <w:rPr>
          <w:rFonts w:ascii="Arial" w:eastAsia="Calibri" w:hAnsi="Arial" w:cs="Arial"/>
          <w:b/>
          <w:bCs/>
          <w:color w:val="000000" w:themeColor="text1"/>
          <w:sz w:val="22"/>
        </w:rPr>
      </w:pPr>
    </w:p>
    <w:p w14:paraId="1BD594F9" w14:textId="0A46C66C"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BF4EC5" w:rsidRPr="00A51520">
        <w:rPr>
          <w:rFonts w:ascii="Arial" w:eastAsia="Calibri" w:hAnsi="Arial" w:cs="Arial"/>
          <w:b/>
          <w:bCs/>
          <w:color w:val="000000" w:themeColor="text1"/>
          <w:sz w:val="22"/>
          <w:lang w:val="pt-BR"/>
        </w:rPr>
        <w:t>0</w:t>
      </w:r>
      <w:r w:rsidR="008C3FFC">
        <w:rPr>
          <w:rFonts w:ascii="Arial" w:eastAsia="Calibri" w:hAnsi="Arial" w:cs="Arial"/>
          <w:b/>
          <w:bCs/>
          <w:color w:val="000000" w:themeColor="text1"/>
          <w:sz w:val="22"/>
          <w:lang w:val="pt-BR"/>
        </w:rPr>
        <w:t>88</w:t>
      </w:r>
      <w:r w:rsidR="00275FBF" w:rsidRPr="00A51520">
        <w:rPr>
          <w:rFonts w:ascii="Arial" w:eastAsia="Calibri" w:hAnsi="Arial" w:cs="Arial"/>
          <w:b/>
          <w:bCs/>
          <w:color w:val="000000" w:themeColor="text1"/>
          <w:sz w:val="22"/>
          <w:lang w:val="pt-BR"/>
        </w:rPr>
        <w:t xml:space="preserve"> 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D1535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6A555E36" w:rsidR="00B95C30" w:rsidRPr="008B6649" w:rsidRDefault="00FE6517" w:rsidP="00567C02">
            <w:pPr>
              <w:jc w:val="both"/>
              <w:rPr>
                <w:rFonts w:ascii="Arial" w:eastAsia="Calibri" w:hAnsi="Arial" w:cs="Arial"/>
                <w:b/>
                <w:sz w:val="22"/>
                <w:lang w:val="es-ES_tradnl"/>
              </w:rPr>
            </w:pPr>
            <w:r w:rsidRPr="00D64641">
              <w:rPr>
                <w:rFonts w:ascii="Arial" w:eastAsia="Calibri" w:hAnsi="Arial" w:cs="Arial"/>
                <w:sz w:val="22"/>
                <w:lang w:val="es-ES_tradnl"/>
              </w:rPr>
              <w:t>CLÁUSULAS EXCEPCIONALES – Multas – Cláusula penal – Imposición unilateral / PROCEDIMIENTO SANCIONATORIO CONTRACTUAL – Citación a audiencia – Contenido – Ley 1474 de 2011 – Artículo 86 / REDUCCIÓN DE PUNTAJE – Multa – Cláusula Penal – Ley 2195 de 2022 – Artículo 58 / IRRETROACTIVIDAD – Ley – Seguridad jurídica – Debido proceso</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4CAEB553"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F21D6D" w:rsidRPr="00A51520">
              <w:rPr>
                <w:rFonts w:ascii="Arial" w:eastAsia="Calibri" w:hAnsi="Arial" w:cs="Arial"/>
                <w:color w:val="000000" w:themeColor="text1"/>
                <w:sz w:val="22"/>
                <w:lang w:val="es-ES_tradnl"/>
              </w:rPr>
              <w:t xml:space="preserve"> </w:t>
            </w:r>
            <w:r w:rsidR="008C3FFC" w:rsidRPr="008C3FFC">
              <w:rPr>
                <w:rFonts w:ascii="Arial" w:eastAsia="Calibri" w:hAnsi="Arial" w:cs="Arial"/>
                <w:color w:val="000000" w:themeColor="text1"/>
                <w:sz w:val="22"/>
              </w:rPr>
              <w:t>P20220207001110</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0886829E"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BF4EC5" w:rsidRPr="00A51520">
        <w:rPr>
          <w:rFonts w:ascii="Arial" w:eastAsia="Calibri" w:hAnsi="Arial" w:cs="Arial"/>
          <w:color w:val="000000" w:themeColor="text1"/>
          <w:sz w:val="22"/>
          <w:lang w:val="es-ES_tradnl"/>
        </w:rPr>
        <w:t xml:space="preserve"> </w:t>
      </w:r>
      <w:r w:rsidR="008C3FFC">
        <w:rPr>
          <w:rFonts w:ascii="Arial" w:eastAsia="Calibri" w:hAnsi="Arial" w:cs="Arial"/>
          <w:color w:val="000000" w:themeColor="text1"/>
          <w:sz w:val="22"/>
          <w:lang w:val="es-ES_tradnl"/>
        </w:rPr>
        <w:t xml:space="preserve">Hernández: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5FD372B3"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del </w:t>
      </w:r>
      <w:r w:rsidR="008C3FFC">
        <w:rPr>
          <w:rFonts w:ascii="Arial" w:eastAsia="Calibri" w:hAnsi="Arial" w:cs="Arial"/>
          <w:color w:val="000000" w:themeColor="text1"/>
          <w:sz w:val="22"/>
          <w:lang w:val="es-ES_tradnl"/>
        </w:rPr>
        <w:t xml:space="preserve">7 </w:t>
      </w:r>
      <w:r w:rsidR="00F21D6D" w:rsidRPr="00A51520">
        <w:rPr>
          <w:rFonts w:ascii="Arial" w:eastAsia="Calibri" w:hAnsi="Arial" w:cs="Arial"/>
          <w:color w:val="000000" w:themeColor="text1"/>
          <w:sz w:val="22"/>
          <w:lang w:val="es-ES_tradnl"/>
        </w:rPr>
        <w:t xml:space="preserve">de </w:t>
      </w:r>
      <w:r w:rsidR="008C3FFC">
        <w:rPr>
          <w:rFonts w:ascii="Arial" w:eastAsia="Calibri" w:hAnsi="Arial" w:cs="Arial"/>
          <w:color w:val="000000" w:themeColor="text1"/>
          <w:sz w:val="22"/>
          <w:lang w:val="es-ES_tradnl"/>
        </w:rPr>
        <w:t>febrero</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0D3D79BE" w:rsidR="00BF4EC5" w:rsidRPr="00A51520" w:rsidRDefault="00827203" w:rsidP="00BF4EC5">
      <w:pPr>
        <w:spacing w:line="276" w:lineRule="auto"/>
        <w:jc w:val="both"/>
        <w:rPr>
          <w:rFonts w:ascii="Arial" w:hAnsi="Arial" w:cs="Arial"/>
          <w:color w:val="000000" w:themeColor="text1"/>
          <w:sz w:val="22"/>
          <w:szCs w:val="22"/>
          <w:lang w:val="es-ES"/>
        </w:rPr>
      </w:pPr>
      <w:r w:rsidRPr="00A51520">
        <w:rPr>
          <w:rFonts w:ascii="Arial" w:hAnsi="Arial" w:cs="Arial"/>
          <w:color w:val="000000" w:themeColor="text1"/>
          <w:sz w:val="22"/>
          <w:szCs w:val="22"/>
          <w:lang w:val="es-ES_tradnl"/>
        </w:rPr>
        <w:t xml:space="preserve">Usted formula </w:t>
      </w:r>
      <w:r w:rsidR="00026092" w:rsidRPr="00A51520">
        <w:rPr>
          <w:rFonts w:ascii="Arial" w:hAnsi="Arial" w:cs="Arial"/>
          <w:color w:val="000000" w:themeColor="text1"/>
          <w:sz w:val="22"/>
          <w:szCs w:val="22"/>
          <w:lang w:val="es-ES_tradnl"/>
        </w:rPr>
        <w:t>la siguiente</w:t>
      </w:r>
      <w:r w:rsidR="00AC4D8F" w:rsidRPr="00A51520">
        <w:rPr>
          <w:rFonts w:ascii="Arial" w:hAnsi="Arial" w:cs="Arial"/>
          <w:color w:val="000000" w:themeColor="text1"/>
          <w:sz w:val="22"/>
          <w:szCs w:val="22"/>
          <w:lang w:val="es-ES_tradnl"/>
        </w:rPr>
        <w:t xml:space="preserve"> consulta</w:t>
      </w:r>
      <w:r w:rsidR="00853973" w:rsidRPr="00A51520">
        <w:rPr>
          <w:rFonts w:ascii="Arial" w:hAnsi="Arial" w:cs="Arial"/>
          <w:sz w:val="22"/>
          <w:lang w:val="es-ES_tradnl"/>
        </w:rPr>
        <w:t xml:space="preserve"> relacionada con el artículo 58 de la Ley 2195 de 2022</w:t>
      </w:r>
      <w:r w:rsidR="007577DA" w:rsidRPr="00A51520">
        <w:rPr>
          <w:rFonts w:ascii="Arial" w:hAnsi="Arial" w:cs="Arial"/>
          <w:color w:val="000000" w:themeColor="text1"/>
          <w:sz w:val="22"/>
          <w:szCs w:val="22"/>
          <w:lang w:val="es-ES_tradnl"/>
        </w:rPr>
        <w:t>:</w:t>
      </w:r>
      <w:r w:rsidR="007676A9" w:rsidRPr="00A51520">
        <w:t xml:space="preserve"> </w:t>
      </w:r>
    </w:p>
    <w:p w14:paraId="0B7FAA28" w14:textId="77777777" w:rsidR="00BF4EC5" w:rsidRPr="00A51520" w:rsidRDefault="00BF4EC5" w:rsidP="00BF4EC5">
      <w:pPr>
        <w:spacing w:line="276" w:lineRule="auto"/>
        <w:jc w:val="both"/>
        <w:rPr>
          <w:rFonts w:ascii="Arial" w:hAnsi="Arial" w:cs="Arial"/>
          <w:color w:val="000000" w:themeColor="text1"/>
          <w:sz w:val="22"/>
          <w:szCs w:val="22"/>
        </w:rPr>
      </w:pPr>
    </w:p>
    <w:p w14:paraId="43530B02" w14:textId="7F933A2F" w:rsidR="008C3FFC" w:rsidRPr="008C3FFC" w:rsidRDefault="00BF4EC5" w:rsidP="004942DE">
      <w:pPr>
        <w:ind w:left="709" w:right="618"/>
        <w:jc w:val="both"/>
        <w:rPr>
          <w:rFonts w:ascii="Arial" w:eastAsia="Calibri" w:hAnsi="Arial" w:cs="Arial"/>
          <w:sz w:val="21"/>
          <w:szCs w:val="21"/>
        </w:rPr>
      </w:pPr>
      <w:r w:rsidRPr="00A51520">
        <w:rPr>
          <w:rFonts w:ascii="Arial" w:eastAsia="Calibri" w:hAnsi="Arial" w:cs="Arial"/>
          <w:sz w:val="21"/>
          <w:szCs w:val="21"/>
          <w:lang w:val="es-ES"/>
        </w:rPr>
        <w:t>«</w:t>
      </w:r>
      <w:r w:rsidR="008C3FFC" w:rsidRPr="008C3FFC">
        <w:rPr>
          <w:rFonts w:ascii="Arial" w:eastAsia="Calibri" w:hAnsi="Arial" w:cs="Arial"/>
          <w:sz w:val="21"/>
          <w:szCs w:val="21"/>
        </w:rPr>
        <w:t>Teniendo en cuenta la promulgación de la reciente ley 2195 de 2022 en donde se indica que:</w:t>
      </w:r>
    </w:p>
    <w:p w14:paraId="63DA2B8F" w14:textId="77777777" w:rsidR="008C3FFC" w:rsidRPr="008C3FFC" w:rsidRDefault="008C3FFC" w:rsidP="008C3FFC">
      <w:pPr>
        <w:ind w:left="709" w:right="618"/>
        <w:jc w:val="both"/>
        <w:rPr>
          <w:rFonts w:ascii="Arial" w:eastAsia="Calibri" w:hAnsi="Arial" w:cs="Arial"/>
          <w:sz w:val="21"/>
          <w:szCs w:val="21"/>
        </w:rPr>
      </w:pPr>
    </w:p>
    <w:p w14:paraId="43C5F300" w14:textId="77777777" w:rsidR="008C3FFC" w:rsidRPr="008C3FFC" w:rsidRDefault="008C3FFC" w:rsidP="008C3FFC">
      <w:pPr>
        <w:ind w:left="709" w:right="618"/>
        <w:jc w:val="both"/>
        <w:rPr>
          <w:rFonts w:ascii="Arial" w:eastAsia="Calibri" w:hAnsi="Arial" w:cs="Arial"/>
          <w:sz w:val="21"/>
          <w:szCs w:val="21"/>
        </w:rPr>
      </w:pPr>
      <w:r w:rsidRPr="008C3FFC">
        <w:rPr>
          <w:rFonts w:ascii="Arial" w:eastAsia="Calibri" w:hAnsi="Arial" w:cs="Arial"/>
          <w:sz w:val="21"/>
          <w:szCs w:val="21"/>
        </w:rPr>
        <w:t xml:space="preserve">"Las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w:t>
      </w:r>
      <w:r w:rsidRPr="008C3FFC">
        <w:rPr>
          <w:rFonts w:ascii="Arial" w:eastAsia="Calibri" w:hAnsi="Arial" w:cs="Arial"/>
          <w:sz w:val="21"/>
          <w:szCs w:val="21"/>
        </w:rPr>
        <w:lastRenderedPageBreak/>
        <w:t>impuesto una o más multas o cláusulas penales durante el último año, contado a partir de la fecha prevista para la presentación de las ofertas, sin importar la cuantía y sin perjuicio de las demás consecuencias derivadas del incumplimiento"</w:t>
      </w:r>
    </w:p>
    <w:p w14:paraId="1C082FFA" w14:textId="77777777" w:rsidR="008C3FFC" w:rsidRPr="008C3FFC" w:rsidRDefault="008C3FFC" w:rsidP="008C3FFC">
      <w:pPr>
        <w:ind w:left="709" w:right="618"/>
        <w:jc w:val="both"/>
        <w:rPr>
          <w:rFonts w:ascii="Arial" w:eastAsia="Calibri" w:hAnsi="Arial" w:cs="Arial"/>
          <w:sz w:val="21"/>
          <w:szCs w:val="21"/>
        </w:rPr>
      </w:pPr>
    </w:p>
    <w:p w14:paraId="4A7E3C68" w14:textId="746101A3" w:rsidR="00BF4EC5" w:rsidRPr="008C3FFC" w:rsidRDefault="008C3FFC" w:rsidP="008C3FFC">
      <w:pPr>
        <w:ind w:left="709" w:right="618"/>
        <w:jc w:val="both"/>
        <w:rPr>
          <w:rFonts w:ascii="Arial" w:eastAsia="Calibri" w:hAnsi="Arial" w:cs="Arial"/>
          <w:sz w:val="21"/>
          <w:szCs w:val="21"/>
        </w:rPr>
      </w:pPr>
      <w:r w:rsidRPr="008C3FFC">
        <w:rPr>
          <w:rFonts w:ascii="Arial" w:eastAsia="Calibri" w:hAnsi="Arial" w:cs="Arial"/>
          <w:sz w:val="21"/>
          <w:szCs w:val="21"/>
        </w:rPr>
        <w:t>Dada la naturaleza y particularidades de esta norma, se entiende que solo son susceptibles de afectar el puntaje (de manera negativa) las sanciones impuestas a partir de la entrada en vigencia de la presente ¿Es esto correcto? ¿Se entiende, entonces, que las sanciones anteriores a la entrada en vigencia de esta norma no afectan el puntaje?</w:t>
      </w:r>
      <w:r w:rsidR="00BF4EC5" w:rsidRPr="00A51520">
        <w:rPr>
          <w:rFonts w:ascii="Arial" w:eastAsia="Calibri" w:hAnsi="Arial" w:cs="Arial"/>
          <w:sz w:val="21"/>
          <w:szCs w:val="21"/>
          <w:lang w:val="es-ES"/>
        </w:rPr>
        <w:t>»</w:t>
      </w: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3A716C29" w14:textId="69D8E620" w:rsidR="00C3543E" w:rsidRPr="00A61736" w:rsidRDefault="00C3543E" w:rsidP="00C3543E">
      <w:pPr>
        <w:tabs>
          <w:tab w:val="left" w:pos="0"/>
        </w:tabs>
        <w:spacing w:line="276" w:lineRule="auto"/>
        <w:jc w:val="both"/>
        <w:rPr>
          <w:rFonts w:ascii="Arial" w:eastAsia="Calibri" w:hAnsi="Arial" w:cs="Arial"/>
          <w:bCs/>
          <w:color w:val="000000" w:themeColor="text1"/>
          <w:sz w:val="22"/>
        </w:rPr>
      </w:pPr>
      <w:r w:rsidRPr="00A51520">
        <w:rPr>
          <w:rFonts w:ascii="Arial" w:eastAsia="Calibri" w:hAnsi="Arial" w:cs="Arial"/>
          <w:color w:val="000000" w:themeColor="text1"/>
          <w:sz w:val="22"/>
          <w:szCs w:val="22"/>
        </w:rPr>
        <w:t xml:space="preserve">Para responder sus interrogantes, </w:t>
      </w:r>
      <w:r w:rsidRPr="00A51520">
        <w:rPr>
          <w:rFonts w:ascii="Arial" w:eastAsia="Calibri" w:hAnsi="Arial" w:cs="Arial"/>
          <w:color w:val="000000" w:themeColor="text1"/>
          <w:sz w:val="22"/>
          <w:lang w:val="es-ES"/>
        </w:rPr>
        <w:t>se analizarán los siguientes temas</w:t>
      </w:r>
      <w:r w:rsidRPr="00A51520">
        <w:rPr>
          <w:rFonts w:ascii="Arial" w:eastAsia="Calibri" w:hAnsi="Arial" w:cs="Arial"/>
          <w:bCs/>
          <w:color w:val="000000" w:themeColor="text1"/>
          <w:sz w:val="22"/>
        </w:rPr>
        <w:t xml:space="preserve">: </w:t>
      </w:r>
      <w:r w:rsidRPr="00243D88">
        <w:rPr>
          <w:rFonts w:ascii="Arial" w:hAnsi="Arial" w:cs="Arial"/>
          <w:sz w:val="22"/>
          <w:lang w:val="es-ES_tradnl"/>
        </w:rPr>
        <w:t>i) régimen sancionatorio en el Estatuto General de Contratación de la Administración Pública, ii) procedimiento administrativo sancionatorio contractual previsto en el artículo 86 de la Ley 1474 de 2011,</w:t>
      </w:r>
      <w:r w:rsidRPr="00243D88">
        <w:rPr>
          <w:rFonts w:ascii="Arial" w:eastAsia="Calibri" w:hAnsi="Arial" w:cs="Arial"/>
          <w:bCs/>
          <w:color w:val="000000" w:themeColor="text1"/>
          <w:sz w:val="22"/>
        </w:rPr>
        <w:t xml:space="preserve"> ii</w:t>
      </w:r>
      <w:r>
        <w:rPr>
          <w:rFonts w:ascii="Arial" w:eastAsia="Calibri" w:hAnsi="Arial" w:cs="Arial"/>
          <w:bCs/>
          <w:color w:val="000000" w:themeColor="text1"/>
          <w:sz w:val="22"/>
        </w:rPr>
        <w:t>i</w:t>
      </w:r>
      <w:r w:rsidRPr="00243D88">
        <w:rPr>
          <w:rFonts w:ascii="Arial" w:eastAsia="Calibri" w:hAnsi="Arial" w:cs="Arial"/>
          <w:bCs/>
          <w:color w:val="000000" w:themeColor="text1"/>
          <w:sz w:val="22"/>
        </w:rPr>
        <w:t xml:space="preserve">) </w:t>
      </w:r>
      <w:r w:rsidRPr="00243D88">
        <w:rPr>
          <w:rFonts w:ascii="Arial" w:hAnsi="Arial" w:cs="Arial"/>
          <w:bCs/>
          <w:iCs/>
          <w:color w:val="000000" w:themeColor="text1"/>
          <w:sz w:val="22"/>
          <w:lang w:val="es-ES_tradnl"/>
        </w:rPr>
        <w:t>alcance del artículo 58 de la Ley 2195 de 2022: reducción de puntaje por incumplimiento de contratos estatales</w:t>
      </w:r>
      <w:r w:rsidRPr="00243D88" w:rsidDel="00707903">
        <w:rPr>
          <w:rFonts w:ascii="Arial" w:eastAsia="Calibri" w:hAnsi="Arial" w:cs="Arial"/>
          <w:bCs/>
          <w:color w:val="000000"/>
          <w:sz w:val="22"/>
          <w:lang w:val="es-ES_tradnl" w:eastAsia="en-GB"/>
        </w:rPr>
        <w:t xml:space="preserve"> </w:t>
      </w:r>
      <w:r w:rsidRPr="00243D88">
        <w:rPr>
          <w:rFonts w:ascii="Arial" w:eastAsia="Calibri" w:hAnsi="Arial" w:cs="Arial"/>
          <w:bCs/>
          <w:color w:val="000000"/>
          <w:sz w:val="22"/>
          <w:lang w:val="es-ES_tradnl" w:eastAsia="en-GB"/>
        </w:rPr>
        <w:t xml:space="preserve">y </w:t>
      </w:r>
      <w:r>
        <w:rPr>
          <w:rFonts w:ascii="Arial" w:eastAsia="Calibri" w:hAnsi="Arial" w:cs="Arial"/>
          <w:bCs/>
          <w:color w:val="000000"/>
          <w:sz w:val="22"/>
          <w:lang w:val="es-ES_tradnl" w:eastAsia="en-GB"/>
        </w:rPr>
        <w:t>iv</w:t>
      </w:r>
      <w:r w:rsidRPr="00243D88">
        <w:rPr>
          <w:rFonts w:ascii="Arial" w:eastAsia="Calibri" w:hAnsi="Arial" w:cs="Arial"/>
          <w:bCs/>
          <w:color w:val="000000"/>
          <w:sz w:val="22"/>
          <w:lang w:val="es-ES_tradnl" w:eastAsia="en-GB"/>
        </w:rPr>
        <w:t xml:space="preserve">) </w:t>
      </w:r>
      <w:r w:rsidR="00E803A6" w:rsidRPr="00D64641">
        <w:rPr>
          <w:rFonts w:ascii="Arial" w:hAnsi="Arial" w:cs="Arial"/>
          <w:sz w:val="22"/>
          <w:lang w:val="es-ES_tradnl"/>
        </w:rPr>
        <w:t>vigencia de las normas jurídicas</w:t>
      </w:r>
      <w:r w:rsidR="00E803A6">
        <w:rPr>
          <w:rFonts w:ascii="Arial" w:hAnsi="Arial" w:cs="Arial"/>
          <w:sz w:val="22"/>
          <w:lang w:val="es-ES_tradnl"/>
        </w:rPr>
        <w:t>.</w:t>
      </w:r>
    </w:p>
    <w:p w14:paraId="2C4F3304" w14:textId="6FB990F0" w:rsidR="00C3543E" w:rsidRPr="00D64641" w:rsidRDefault="00C3543E" w:rsidP="00C3543E">
      <w:pPr>
        <w:spacing w:before="120" w:line="276" w:lineRule="auto"/>
        <w:ind w:firstLine="709"/>
        <w:jc w:val="both"/>
        <w:rPr>
          <w:rFonts w:ascii="Arial" w:hAnsi="Arial" w:cs="Arial"/>
          <w:sz w:val="22"/>
          <w:lang w:val="es-ES_tradnl"/>
        </w:rPr>
      </w:pPr>
      <w:r w:rsidRPr="00D64641">
        <w:rPr>
          <w:rFonts w:ascii="Arial" w:hAnsi="Arial" w:cs="Arial"/>
          <w:sz w:val="22"/>
          <w:lang w:val="es-ES_tradnl"/>
        </w:rPr>
        <w:t xml:space="preserve">La Agencia Nacional de Contratación Pública – Colombia Compra Eficiente, en los conceptos C-147 del 17 de marzo de 2020, C-219 del 29 de abril de 2020, </w:t>
      </w:r>
      <w:r w:rsidRPr="00D64641">
        <w:rPr>
          <w:rFonts w:ascii="Arial" w:hAnsi="Arial" w:cs="Arial"/>
          <w:iCs/>
          <w:color w:val="000000" w:themeColor="text1"/>
          <w:sz w:val="22"/>
          <w:lang w:val="es-ES_tradnl"/>
        </w:rPr>
        <w:t>C-434 del 29 de julio de 2020, C-569 del 31 de agosto de 2020, C-641 del 4 de noviembre de 2020, C-060 del 8 de marzo de 2021 y C-528 del 5 de abril de 2021,</w:t>
      </w:r>
      <w:r w:rsidRPr="00D64641">
        <w:rPr>
          <w:rFonts w:ascii="Arial" w:hAnsi="Arial" w:cs="Arial"/>
          <w:sz w:val="22"/>
          <w:lang w:val="es-ES_tradnl"/>
        </w:rPr>
        <w:t xml:space="preserve"> estudió la potestad sancionatoria de las entidades estatales y el procedimiento administrativo que deben efectuar para declarar el incumplimiento y aplicar las sanciones correspondientes, destacando la necesidad de garantizar el debido proceso. </w:t>
      </w:r>
      <w:r>
        <w:rPr>
          <w:rFonts w:ascii="Arial" w:hAnsi="Arial" w:cs="Arial"/>
          <w:sz w:val="22"/>
          <w:lang w:val="es-ES_tradnl"/>
        </w:rPr>
        <w:t>De otro lado, en los conceptos C-035</w:t>
      </w:r>
      <w:r w:rsidR="00975DA3">
        <w:rPr>
          <w:rFonts w:ascii="Arial" w:hAnsi="Arial" w:cs="Arial"/>
          <w:sz w:val="22"/>
          <w:lang w:val="es-ES_tradnl"/>
        </w:rPr>
        <w:t xml:space="preserve"> y</w:t>
      </w:r>
      <w:r>
        <w:rPr>
          <w:rFonts w:ascii="Arial" w:hAnsi="Arial" w:cs="Arial"/>
          <w:sz w:val="22"/>
          <w:lang w:val="es-ES_tradnl"/>
        </w:rPr>
        <w:t xml:space="preserve"> C-040</w:t>
      </w:r>
      <w:r w:rsidR="00975DA3">
        <w:rPr>
          <w:rFonts w:ascii="Arial" w:hAnsi="Arial" w:cs="Arial"/>
          <w:sz w:val="22"/>
          <w:lang w:val="es-ES_tradnl"/>
        </w:rPr>
        <w:t>, ambos</w:t>
      </w:r>
      <w:r>
        <w:rPr>
          <w:rFonts w:ascii="Arial" w:hAnsi="Arial" w:cs="Arial"/>
          <w:sz w:val="22"/>
          <w:lang w:val="es-ES_tradnl"/>
        </w:rPr>
        <w:t xml:space="preserve"> del 2 de marzo de 2022 y </w:t>
      </w:r>
      <w:r w:rsidR="00975DA3">
        <w:rPr>
          <w:rFonts w:ascii="Arial" w:hAnsi="Arial" w:cs="Arial"/>
          <w:sz w:val="22"/>
          <w:lang w:val="es-ES_tradnl"/>
        </w:rPr>
        <w:t xml:space="preserve">en el </w:t>
      </w:r>
      <w:r>
        <w:rPr>
          <w:rFonts w:ascii="Arial" w:hAnsi="Arial" w:cs="Arial"/>
          <w:sz w:val="22"/>
          <w:lang w:val="es-ES_tradnl"/>
        </w:rPr>
        <w:t xml:space="preserve">C-061 del 8 de marzo de 2022 se pronunció frente al artículo 58 de la Ley 2195 de 2022. </w:t>
      </w:r>
      <w:r w:rsidRPr="00D64641">
        <w:rPr>
          <w:rFonts w:ascii="Arial" w:hAnsi="Arial" w:cs="Arial"/>
          <w:sz w:val="22"/>
          <w:lang w:val="es-ES_tradnl"/>
        </w:rPr>
        <w:t>Las ideas expuestas en dichas oportunidades se reiteran a continuación</w:t>
      </w:r>
      <w:r w:rsidR="00E803A6">
        <w:rPr>
          <w:rFonts w:ascii="Arial" w:hAnsi="Arial" w:cs="Arial"/>
          <w:sz w:val="22"/>
          <w:lang w:val="es-ES_tradnl"/>
        </w:rPr>
        <w:t>.</w:t>
      </w:r>
    </w:p>
    <w:p w14:paraId="64CD573B" w14:textId="77777777" w:rsidR="00C3543E" w:rsidRDefault="00C3543E" w:rsidP="00C3543E">
      <w:pPr>
        <w:spacing w:line="276" w:lineRule="auto"/>
        <w:jc w:val="both"/>
        <w:rPr>
          <w:rFonts w:ascii="Arial" w:hAnsi="Arial" w:cs="Arial"/>
          <w:noProof/>
          <w:sz w:val="22"/>
          <w:lang w:val="es-ES_tradnl"/>
        </w:rPr>
      </w:pPr>
    </w:p>
    <w:p w14:paraId="34984CE0" w14:textId="77777777" w:rsidR="00C3543E" w:rsidRPr="00D64641" w:rsidRDefault="00C3543E" w:rsidP="00C3543E">
      <w:pPr>
        <w:spacing w:line="276" w:lineRule="auto"/>
        <w:jc w:val="both"/>
        <w:rPr>
          <w:rFonts w:ascii="Arial" w:eastAsia="Calibri" w:hAnsi="Arial" w:cs="Arial"/>
          <w:b/>
          <w:bCs/>
          <w:color w:val="000000" w:themeColor="text1"/>
          <w:sz w:val="22"/>
          <w:lang w:val="es-ES_tradnl"/>
        </w:rPr>
      </w:pPr>
      <w:r w:rsidRPr="00D64641">
        <w:rPr>
          <w:rFonts w:ascii="Arial" w:eastAsia="Calibri" w:hAnsi="Arial" w:cs="Arial"/>
          <w:b/>
          <w:bCs/>
          <w:color w:val="000000" w:themeColor="text1"/>
          <w:sz w:val="22"/>
          <w:lang w:val="es-ES_tradnl"/>
        </w:rPr>
        <w:t>2.1. Régimen sancionatorio en el Estatuto General de Contratación de la Administración Pública</w:t>
      </w:r>
    </w:p>
    <w:p w14:paraId="51C9EA11" w14:textId="77777777" w:rsidR="00C3543E" w:rsidRPr="00D64641" w:rsidRDefault="00C3543E" w:rsidP="00C3543E">
      <w:pPr>
        <w:spacing w:line="276" w:lineRule="auto"/>
        <w:jc w:val="both"/>
        <w:rPr>
          <w:rFonts w:ascii="Arial" w:eastAsia="Calibri" w:hAnsi="Arial" w:cs="Arial"/>
          <w:b/>
          <w:bCs/>
          <w:color w:val="000000" w:themeColor="text1"/>
          <w:sz w:val="22"/>
          <w:lang w:val="es-ES_tradnl"/>
        </w:rPr>
      </w:pPr>
    </w:p>
    <w:p w14:paraId="4A256CF6" w14:textId="77777777" w:rsidR="00C3543E" w:rsidRPr="00D64641" w:rsidRDefault="00C3543E" w:rsidP="00C3543E">
      <w:pPr>
        <w:spacing w:line="276" w:lineRule="auto"/>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D64641">
        <w:rPr>
          <w:rFonts w:ascii="Arial" w:hAnsi="Arial" w:cs="Arial"/>
          <w:i/>
          <w:color w:val="000000" w:themeColor="text1"/>
          <w:sz w:val="22"/>
          <w:lang w:val="es-ES_tradnl"/>
        </w:rPr>
        <w:t>ibidem</w:t>
      </w:r>
      <w:r w:rsidRPr="00D64641">
        <w:rPr>
          <w:rFonts w:ascii="Arial" w:hAnsi="Arial" w:cs="Arial"/>
          <w:iCs/>
          <w:color w:val="000000" w:themeColor="text1"/>
          <w:sz w:val="22"/>
          <w:lang w:val="es-ES_tradnl"/>
        </w:rPr>
        <w:t>. ii) Algunas disposiciones también establecen otras potestades exorbitantes, como la liquidación unilateral y la declaratoria unilateral del siniestro –</w:t>
      </w:r>
      <w:r w:rsidRPr="00D64641">
        <w:rPr>
          <w:rFonts w:ascii="Arial" w:hAnsi="Arial" w:cs="Arial"/>
          <w:iCs/>
          <w:color w:val="000000" w:themeColor="text1"/>
          <w:sz w:val="22"/>
          <w:lang w:val="es-ES_tradnl"/>
        </w:rPr>
        <w:lastRenderedPageBreak/>
        <w:t xml:space="preserve">artículos 7 y 11 de la Ley 1150 de 2007–. Dentro de las potestades unilaterales también se encuentran iii) las cláusulas excepcionales de </w:t>
      </w:r>
      <w:r w:rsidRPr="00D64641">
        <w:rPr>
          <w:rFonts w:ascii="Arial" w:hAnsi="Arial" w:cs="Arial"/>
          <w:i/>
          <w:color w:val="000000" w:themeColor="text1"/>
          <w:sz w:val="22"/>
          <w:lang w:val="es-ES_tradnl"/>
        </w:rPr>
        <w:t>imposición unilateral</w:t>
      </w:r>
      <w:r w:rsidRPr="00D64641">
        <w:rPr>
          <w:rFonts w:ascii="Arial" w:hAnsi="Arial" w:cs="Arial"/>
          <w:iCs/>
          <w:color w:val="000000" w:themeColor="text1"/>
          <w:sz w:val="22"/>
          <w:lang w:val="es-ES_tradnl"/>
        </w:rPr>
        <w:t xml:space="preserve"> de las cláusulas penales y de multas –artículo 17 de la Ley 1150 de 2007–, aclarando que su exorbitancia se refiere a su imposición unilateral, no a su pacto, que es posible en virtud de las normas civiles y comerciales.</w:t>
      </w:r>
    </w:p>
    <w:p w14:paraId="18D1EA98" w14:textId="77777777" w:rsidR="00C3543E" w:rsidRPr="00D64641" w:rsidRDefault="00C3543E" w:rsidP="00C3543E">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Las primeras, esto es, las cláusulas excepcionales del artículo 14 de la Ley 80 de 1993, son estipulaciones virtuales en los contratos de concesión, obra, prestación de servicios públicos, aquellos que tengan por objeto el ejercicio de una actividad que constituya monopolio estatal </w:t>
      </w:r>
      <w:r w:rsidRPr="00D64641">
        <w:rPr>
          <w:rFonts w:ascii="Arial" w:eastAsia="Calibri" w:hAnsi="Arial" w:cs="Arial"/>
          <w:color w:val="000000"/>
          <w:sz w:val="22"/>
        </w:rPr>
        <w:t>y los relacionados con el programa de alimentación escolar – según lo dispuso la modificación realizada por el artículo 52 de la Ley 2195 de 2022–</w:t>
      </w:r>
      <w:r w:rsidRPr="00D64641">
        <w:rPr>
          <w:rFonts w:ascii="Arial" w:hAnsi="Arial" w:cs="Arial"/>
          <w:iCs/>
          <w:color w:val="000000" w:themeColor="text1"/>
          <w:sz w:val="22"/>
          <w:lang w:val="es-ES_tradnl"/>
        </w:rPr>
        <w:t>. En tales contratos, sin importar si se incorporaron o no dentro de estos, las exorbitancias se entienden incluidas por el ministerio de la ley, como lo dispone el artículo 14 de la Ley 80 de 1993.</w:t>
      </w:r>
    </w:p>
    <w:p w14:paraId="482178CC" w14:textId="77777777" w:rsidR="00C3543E" w:rsidRPr="00D64641" w:rsidRDefault="00C3543E" w:rsidP="00C3543E">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En relación con dichas cláusulas, al analizarse el régimen sancionatorio contractual, toda vez que hace parte del objeto de la consulta, se procede a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precisó:</w:t>
      </w:r>
    </w:p>
    <w:p w14:paraId="47241110" w14:textId="77777777" w:rsidR="00C3543E" w:rsidRPr="00D64641" w:rsidRDefault="00C3543E" w:rsidP="00C3543E">
      <w:pPr>
        <w:spacing w:line="276" w:lineRule="auto"/>
        <w:jc w:val="both"/>
        <w:rPr>
          <w:rFonts w:ascii="Arial" w:hAnsi="Arial" w:cs="Arial"/>
          <w:iCs/>
          <w:color w:val="000000" w:themeColor="text1"/>
          <w:sz w:val="22"/>
          <w:lang w:val="es-ES_tradnl"/>
        </w:rPr>
      </w:pPr>
    </w:p>
    <w:p w14:paraId="4DAF5C51" w14:textId="77777777" w:rsidR="00C3543E" w:rsidRPr="00D64641" w:rsidRDefault="00C3543E" w:rsidP="00C3543E">
      <w:pPr>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r w:rsidRPr="00D64641">
        <w:rPr>
          <w:rStyle w:val="Refdenotaalpie"/>
          <w:rFonts w:ascii="Arial" w:hAnsi="Arial" w:cs="Arial"/>
        </w:rPr>
        <w:footnoteReference w:id="2"/>
      </w:r>
      <w:r w:rsidRPr="00D64641">
        <w:rPr>
          <w:rFonts w:ascii="Arial" w:hAnsi="Arial" w:cs="Arial"/>
          <w:iCs/>
          <w:color w:val="000000" w:themeColor="text1"/>
          <w:sz w:val="21"/>
          <w:szCs w:val="21"/>
          <w:lang w:val="es-ES_tradnl"/>
        </w:rPr>
        <w:t xml:space="preserve">. </w:t>
      </w:r>
    </w:p>
    <w:p w14:paraId="5B757088" w14:textId="77777777" w:rsidR="00C3543E" w:rsidRPr="00D64641" w:rsidRDefault="00C3543E" w:rsidP="00C3543E">
      <w:pPr>
        <w:spacing w:line="276" w:lineRule="auto"/>
        <w:jc w:val="both"/>
        <w:rPr>
          <w:rFonts w:ascii="Arial" w:hAnsi="Arial" w:cs="Arial"/>
          <w:iCs/>
          <w:color w:val="000000" w:themeColor="text1"/>
          <w:sz w:val="22"/>
          <w:lang w:val="es-ES_tradnl"/>
        </w:rPr>
      </w:pPr>
    </w:p>
    <w:p w14:paraId="436AFAD5" w14:textId="77777777" w:rsidR="00C3543E" w:rsidRPr="00D64641" w:rsidRDefault="00C3543E" w:rsidP="00C3543E">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Las consecuencias jurídicas que se generan con la caducidad son: i) la terminación del contrato, ii) la iniciación del trámite de liquidación bilateral –y unilateral, si fracasa la bilateral–, iii) la inhabilidad sobreviniente por cinco años, iv) la efectividad de la garantía </w:t>
      </w:r>
      <w:r w:rsidRPr="00D64641">
        <w:rPr>
          <w:rFonts w:ascii="Arial" w:hAnsi="Arial" w:cs="Arial"/>
          <w:iCs/>
          <w:color w:val="000000" w:themeColor="text1"/>
          <w:sz w:val="22"/>
          <w:lang w:val="es-ES_tradnl"/>
        </w:rPr>
        <w:lastRenderedPageBreak/>
        <w:t>única de cumplimiento y v) el reporte en el SECOP, a la Procuraduría General de la Nación y a la Cámara de Comercio donde el contratista esté inscrito con el propósito de incluir la anotación en el Registro Único de Proponentes.</w:t>
      </w:r>
    </w:p>
    <w:p w14:paraId="7A2586A8" w14:textId="77777777" w:rsidR="00C3543E" w:rsidRPr="00D64641" w:rsidRDefault="00C3543E" w:rsidP="00C3543E">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Los presupuestos para declarar la caducidad están establecidos en los artículos 14 y 18 de la Ley 80 de 1993. En primer lugar, el artículo 18 establece los siguientes requisitos para su procedencia: i) debe acreditarse el </w:t>
      </w:r>
      <w:r w:rsidRPr="00D64641">
        <w:rPr>
          <w:rFonts w:ascii="Arial" w:hAnsi="Arial" w:cs="Arial"/>
          <w:i/>
          <w:color w:val="000000" w:themeColor="text1"/>
          <w:sz w:val="22"/>
          <w:lang w:val="es-ES_tradnl"/>
        </w:rPr>
        <w:t>incumplimiento</w:t>
      </w:r>
      <w:r w:rsidRPr="00D64641">
        <w:rPr>
          <w:rFonts w:ascii="Arial" w:hAnsi="Arial" w:cs="Arial"/>
          <w:iCs/>
          <w:color w:val="000000" w:themeColor="text1"/>
          <w:sz w:val="22"/>
          <w:lang w:val="es-ES_tradnl"/>
        </w:rPr>
        <w:t xml:space="preserve"> de alguna o algunas de las obligaciones del contratista, con todos los elementos que configuran el «incumplimiento», ii) dicho incumplimiento debe afectar de manera </w:t>
      </w:r>
      <w:r w:rsidRPr="00D64641">
        <w:rPr>
          <w:rFonts w:ascii="Arial" w:hAnsi="Arial" w:cs="Arial"/>
          <w:i/>
          <w:color w:val="000000" w:themeColor="text1"/>
          <w:sz w:val="22"/>
          <w:lang w:val="es-ES_tradnl"/>
        </w:rPr>
        <w:t xml:space="preserve">grave </w:t>
      </w:r>
      <w:r w:rsidRPr="00D64641">
        <w:rPr>
          <w:rFonts w:ascii="Arial" w:hAnsi="Arial" w:cs="Arial"/>
          <w:iCs/>
          <w:color w:val="000000" w:themeColor="text1"/>
          <w:sz w:val="22"/>
          <w:lang w:val="es-ES_tradnl"/>
        </w:rPr>
        <w:t xml:space="preserve">y </w:t>
      </w:r>
      <w:r w:rsidRPr="00D64641">
        <w:rPr>
          <w:rFonts w:ascii="Arial" w:hAnsi="Arial" w:cs="Arial"/>
          <w:i/>
          <w:color w:val="000000" w:themeColor="text1"/>
          <w:sz w:val="22"/>
          <w:lang w:val="es-ES_tradnl"/>
        </w:rPr>
        <w:t xml:space="preserve">directa </w:t>
      </w:r>
      <w:r w:rsidRPr="00D64641">
        <w:rPr>
          <w:rFonts w:ascii="Arial" w:hAnsi="Arial" w:cs="Arial"/>
          <w:iCs/>
          <w:color w:val="000000" w:themeColor="text1"/>
          <w:sz w:val="22"/>
          <w:lang w:val="es-ES_tradnl"/>
        </w:rPr>
        <w:t>la ejecución del contrato, y iii) además, debe evidenciar la posibilidad de conducir a la paralización de la ejecución del contrato. En segundo lugar, deben acreditarse requisitos genéricos establecidos en el artículo 14 de la Ley 80 para el uso de potestades exorbitantes, de manera que solo se puede utilizar esta atribución en los contratos en que es posible su pacto o en los que se entiende pactada por mandato directo de la ley, como se explicó anteriormente.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0CABCD9A" w14:textId="77777777" w:rsidR="00C3543E" w:rsidRPr="00D64641" w:rsidRDefault="00C3543E" w:rsidP="00C3543E">
      <w:pPr>
        <w:spacing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Así, dentro de los requisitos de orden legal que deben cumplirse para decretar la caducidad no hay uno que exija a las entidades estatales imponer multas previas al contratista, como condición </w:t>
      </w:r>
      <w:r w:rsidRPr="00D64641">
        <w:rPr>
          <w:rFonts w:ascii="Arial" w:hAnsi="Arial" w:cs="Arial"/>
          <w:i/>
          <w:color w:val="000000" w:themeColor="text1"/>
          <w:sz w:val="22"/>
          <w:lang w:val="es-ES_tradnl"/>
        </w:rPr>
        <w:t>sine qua non</w:t>
      </w:r>
      <w:r w:rsidRPr="00D64641">
        <w:rPr>
          <w:rFonts w:ascii="Arial" w:hAnsi="Arial" w:cs="Arial"/>
          <w:iCs/>
          <w:color w:val="000000" w:themeColor="text1"/>
          <w:sz w:val="22"/>
          <w:lang w:val="es-ES_tradnl"/>
        </w:rPr>
        <w:t xml:space="preserve"> para la declaratoria de aquella. Es cierto que 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de la caducidad la imposición previa de una multa, pues además de que el incumplimiento grave del contrato –que es presupuesto de la caducidad– puede presentarse </w:t>
      </w:r>
      <w:r w:rsidRPr="00D64641">
        <w:rPr>
          <w:rFonts w:ascii="Arial" w:hAnsi="Arial" w:cs="Arial"/>
          <w:i/>
          <w:color w:val="000000" w:themeColor="text1"/>
          <w:sz w:val="22"/>
          <w:lang w:val="es-ES_tradnl"/>
        </w:rPr>
        <w:t>ipso facto</w:t>
      </w:r>
      <w:r w:rsidRPr="00D64641">
        <w:rPr>
          <w:rFonts w:ascii="Arial" w:hAnsi="Arial" w:cs="Arial"/>
          <w:iCs/>
          <w:color w:val="000000" w:themeColor="text1"/>
          <w:sz w:val="22"/>
          <w:lang w:val="es-ES_tradnl"/>
        </w:rPr>
        <w:t>, es decir, sin que se evidencien antecedentes de incumplimientos parciales, el Estatuto General de Contratación de la Administración Pública permite decretar directamente esta cláusula excepcional, respetando el debido proceso.</w:t>
      </w:r>
    </w:p>
    <w:p w14:paraId="35FB3615" w14:textId="77777777" w:rsidR="00C3543E" w:rsidRPr="00D64641" w:rsidRDefault="00C3543E" w:rsidP="00C3543E">
      <w:pPr>
        <w:spacing w:before="120" w:line="276" w:lineRule="auto"/>
        <w:ind w:firstLine="709"/>
        <w:jc w:val="both"/>
        <w:rPr>
          <w:rFonts w:ascii="Arial" w:hAnsi="Arial" w:cs="Arial"/>
          <w:iCs/>
          <w:color w:val="000000" w:themeColor="text1"/>
          <w:sz w:val="22"/>
          <w:szCs w:val="22"/>
          <w:lang w:val="es-ES_tradnl"/>
        </w:rPr>
      </w:pPr>
      <w:r w:rsidRPr="00D64641">
        <w:rPr>
          <w:rFonts w:ascii="Arial" w:hAnsi="Arial" w:cs="Arial"/>
          <w:iCs/>
          <w:color w:val="000000" w:themeColor="text1"/>
          <w:sz w:val="22"/>
          <w:szCs w:val="22"/>
          <w:lang w:val="es-ES_tradnl"/>
        </w:rPr>
        <w:t xml:space="preserve">Aunque la caducidad y la terminación unilateral comparten la característica de ser cláusulas excepcionales que conducen al cese de la relación contractual, entre ambas hay diferencias importantes. De acuerdo con el artículo 18 de la Ley 80 de 1993, la caducidad es una </w:t>
      </w:r>
      <w:r w:rsidRPr="00D64641">
        <w:rPr>
          <w:rFonts w:ascii="Arial" w:hAnsi="Arial" w:cs="Arial"/>
          <w:i/>
          <w:color w:val="000000" w:themeColor="text1"/>
          <w:sz w:val="22"/>
          <w:szCs w:val="22"/>
          <w:lang w:val="es-ES_tradnl"/>
        </w:rPr>
        <w:t>sanción</w:t>
      </w:r>
      <w:r w:rsidRPr="00D64641">
        <w:rPr>
          <w:rFonts w:ascii="Arial" w:hAnsi="Arial" w:cs="Arial"/>
          <w:iCs/>
          <w:color w:val="000000" w:themeColor="text1"/>
          <w:sz w:val="22"/>
          <w:szCs w:val="22"/>
          <w:lang w:val="es-ES_tradnl"/>
        </w:rPr>
        <w:t xml:space="preserve"> que solo procede «</w:t>
      </w:r>
      <w:r w:rsidRPr="00D64641">
        <w:rPr>
          <w:rFonts w:ascii="Arial" w:hAnsi="Arial" w:cs="Arial"/>
          <w:sz w:val="22"/>
          <w:szCs w:val="22"/>
          <w:lang w:val="es-ES_tradnl"/>
        </w:rPr>
        <w:t xml:space="preserve">[…] </w:t>
      </w:r>
      <w:r w:rsidRPr="00D64641">
        <w:rPr>
          <w:rFonts w:ascii="Arial" w:hAnsi="Arial" w:cs="Arial"/>
          <w:iCs/>
          <w:color w:val="000000" w:themeColor="text1"/>
          <w:sz w:val="22"/>
          <w:szCs w:val="22"/>
          <w:lang w:val="es-ES_tradnl"/>
        </w:rPr>
        <w:t xml:space="preserve">si se presenta alguno de los hechos constitutivos de incumplimiento de las obligaciones a cargo del contratista, que afecte de manera grave y directa la ejecución del contrato y evidencie que puede conducir a su paralización» y que genera una inhabilidad para contratar con una vigencia de cinco (5) años, de acuerdo con el artículo 8, numeral 1, literal c) de la Ley 80 de 1993. En cambio, la terminación unilateral anticipada del contrato puede decretarse ante la ocurrencia de alguno de los supuestos fácticos del artículo 17 de la misma Ley. Estos supuestos son: i) razones de servicio público </w:t>
      </w:r>
      <w:r w:rsidRPr="00D64641">
        <w:rPr>
          <w:rFonts w:ascii="Arial" w:hAnsi="Arial" w:cs="Arial"/>
          <w:iCs/>
          <w:color w:val="000000" w:themeColor="text1"/>
          <w:sz w:val="22"/>
          <w:szCs w:val="22"/>
          <w:lang w:val="es-ES_tradnl"/>
        </w:rPr>
        <w:lastRenderedPageBreak/>
        <w:t xml:space="preserve">o de orden público, ii) muerte o incapacidad física permanente del contratista –persona natural– o disolución de la persona jurídica, iii) interdicción judicial o declaratoria de quiebra del contratista y iv) cesación de pagos, concurso de acreedores o embargos judiciales del contratista, que afecten gravemente la ejecución del contrato. </w:t>
      </w:r>
    </w:p>
    <w:p w14:paraId="015692C2" w14:textId="77777777" w:rsidR="00C3543E" w:rsidRPr="00D64641" w:rsidRDefault="00C3543E" w:rsidP="00C3543E">
      <w:pPr>
        <w:spacing w:before="120" w:line="276" w:lineRule="auto"/>
        <w:ind w:firstLine="709"/>
        <w:jc w:val="both"/>
        <w:rPr>
          <w:rFonts w:ascii="Arial" w:hAnsi="Arial" w:cs="Arial"/>
          <w:iCs/>
          <w:color w:val="000000" w:themeColor="text1"/>
          <w:sz w:val="22"/>
          <w:szCs w:val="22"/>
          <w:lang w:val="es-ES_tradnl"/>
        </w:rPr>
      </w:pPr>
      <w:r w:rsidRPr="00D64641">
        <w:rPr>
          <w:rFonts w:ascii="Arial" w:hAnsi="Arial" w:cs="Arial"/>
          <w:iCs/>
          <w:color w:val="000000" w:themeColor="text1"/>
          <w:sz w:val="22"/>
          <w:szCs w:val="22"/>
          <w:lang w:val="es-ES_tradnl"/>
        </w:rPr>
        <w:t>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Estatuto General, es decir, i) cuando el contrato se haya celebrado con personas afectadas por inhabilidades o incompatibilidades, ii) cuando el contrato se haya perfeccionado contraviniendo una prohibición legal o con desviación de poder y iii) cuando se declare la nulidad de los actos administrativos en los que se fundamente la celebración del contrato.</w:t>
      </w:r>
    </w:p>
    <w:p w14:paraId="7148C8C2" w14:textId="77777777" w:rsidR="00C3543E" w:rsidRPr="00D64641" w:rsidRDefault="00C3543E" w:rsidP="00C3543E">
      <w:pPr>
        <w:spacing w:before="120" w:line="276" w:lineRule="auto"/>
        <w:ind w:firstLine="709"/>
        <w:jc w:val="both"/>
        <w:rPr>
          <w:rFonts w:ascii="Arial" w:hAnsi="Arial" w:cs="Arial"/>
          <w:iCs/>
          <w:color w:val="000000" w:themeColor="text1"/>
          <w:sz w:val="22"/>
          <w:szCs w:val="22"/>
          <w:lang w:val="es-ES_tradnl"/>
        </w:rPr>
      </w:pPr>
      <w:r w:rsidRPr="00D64641">
        <w:rPr>
          <w:rFonts w:ascii="Arial" w:hAnsi="Arial" w:cs="Arial"/>
          <w:iCs/>
          <w:color w:val="000000" w:themeColor="text1"/>
          <w:sz w:val="22"/>
          <w:szCs w:val="22"/>
          <w:lang w:val="es-ES_tradnl"/>
        </w:rPr>
        <w:t xml:space="preserve">Puede concluirse entonces que, en el marco del Estatuto General de Contratación de la Administración Pública, mientras la caducidad es una sanción contractual, la terminación unilateral no reviste carácter sancionatorio por inobservancia de los compromisos del contratista. En otras palabras, no es una consecuencia del incumplimiento de las obligaciones durante la ejecución del contrato estatal, sino que se trata de una cláusula excepcional que le permite a las entidades estatales salvaguardar los fines a los que atiende la celebración y ejecución del contrato. En consecuencia, así como en relación con la caducidad se explicó que no es un requisito legal la imposición previa de las multas, con mayor razón tampoco lo es para declarar la terminación unilateral, porque ni es una sanción ni es la consecuencia del incumplimiento de obligaciones durante la ejecución del contrato. </w:t>
      </w:r>
    </w:p>
    <w:p w14:paraId="104AA1BB" w14:textId="77777777" w:rsidR="00C3543E" w:rsidRPr="00D64641" w:rsidRDefault="00C3543E" w:rsidP="00C3543E">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szCs w:val="22"/>
          <w:lang w:val="es-ES_tradnl"/>
        </w:rPr>
        <w:t>Por tanto, de lo anterior se desprende que tampoco es necesario surtir el procedimiento administrativo sancionatorio contemplado en el artículo 86 de la Ley 1474 de 2011 para declarar la terminación unilateral, porque esto no se encuentra dentro de los supuestos que determinan el ámbito de aplicación de dicho procedimiento, de acuerdo con el primer inciso de dicho artículo. Por ende, al no ser una sanción por la inejecución o ejecución inadecuada del contrato, ni el resultado de un incumplimiento, y toda vez que también debe garantizarse el debido proceso, para declarar la terminación unilateral las entidades estatales deben adelantar el procedimiento administrativo común o general regulado en los artículos 34 al 45 de la Ley 1437 de 2011. Esto en virtud de la remisión efectuada por el primer inciso del artículo 77 de la Ley 80 de 1993 a «</w:t>
      </w:r>
      <w:r w:rsidRPr="00D64641">
        <w:rPr>
          <w:rFonts w:ascii="Arial" w:hAnsi="Arial" w:cs="Arial"/>
          <w:sz w:val="22"/>
          <w:szCs w:val="22"/>
          <w:lang w:val="es-ES_tradnl"/>
        </w:rPr>
        <w:t xml:space="preserve">[…] </w:t>
      </w:r>
      <w:r w:rsidRPr="00D64641">
        <w:rPr>
          <w:rFonts w:ascii="Arial" w:hAnsi="Arial" w:cs="Arial"/>
          <w:iCs/>
          <w:color w:val="000000" w:themeColor="text1"/>
          <w:sz w:val="22"/>
          <w:szCs w:val="22"/>
          <w:lang w:val="es-ES_tradnl"/>
        </w:rPr>
        <w:t>las normas que rigen los procedimientos y actuaciones en la función administrativa» y del principio de subsidiariedad consagrado en los artículos 2 y 34 de la Ley 1437 de 2011, que establece que el procedimiento administrativo común o general se aplica cuando no existan normas especiales que regulen el trámite en sede administrativa.</w:t>
      </w:r>
      <w:r w:rsidRPr="00D64641">
        <w:rPr>
          <w:rFonts w:ascii="Arial" w:hAnsi="Arial" w:cs="Arial"/>
          <w:iCs/>
          <w:color w:val="000000" w:themeColor="text1"/>
          <w:sz w:val="22"/>
          <w:lang w:val="es-ES_tradnl"/>
        </w:rPr>
        <w:t xml:space="preserve"> </w:t>
      </w:r>
    </w:p>
    <w:p w14:paraId="1A2B4D7D" w14:textId="77777777" w:rsidR="00C3543E" w:rsidRPr="00D64641" w:rsidRDefault="00C3543E" w:rsidP="00C3543E">
      <w:pPr>
        <w:spacing w:before="120"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lastRenderedPageBreak/>
        <w:t>El último grupo de potestades excepcionales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D64641">
        <w:rPr>
          <w:rStyle w:val="Refdenotaalpie"/>
          <w:rFonts w:ascii="Arial" w:hAnsi="Arial" w:cs="Arial"/>
        </w:rPr>
        <w:footnoteReference w:id="3"/>
      </w:r>
      <w:r w:rsidRPr="00D64641">
        <w:rPr>
          <w:rFonts w:ascii="Arial" w:hAnsi="Arial" w:cs="Arial"/>
          <w:iCs/>
          <w:color w:val="000000" w:themeColor="text1"/>
          <w:sz w:val="22"/>
          <w:lang w:val="es-ES_tradnl"/>
        </w:rPr>
        <w:t>.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0A4883FD" w14:textId="77777777" w:rsidR="00C3543E" w:rsidRPr="00D64641" w:rsidRDefault="00C3543E" w:rsidP="00C3543E">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14:paraId="1AFC30A4" w14:textId="77777777" w:rsidR="00C3543E" w:rsidRPr="00D64641" w:rsidRDefault="00C3543E" w:rsidP="00C3543E">
      <w:pPr>
        <w:pStyle w:val="Prrafodelista"/>
        <w:spacing w:line="276" w:lineRule="auto"/>
        <w:ind w:right="-425"/>
        <w:jc w:val="both"/>
        <w:rPr>
          <w:rFonts w:ascii="Arial" w:hAnsi="Arial" w:cs="Arial"/>
          <w:iCs/>
          <w:color w:val="000000" w:themeColor="text1"/>
          <w:sz w:val="22"/>
          <w:lang w:val="es-ES_tradnl"/>
        </w:rPr>
      </w:pPr>
    </w:p>
    <w:p w14:paraId="57E2D21A" w14:textId="77777777" w:rsidR="00C3543E" w:rsidRPr="00D64641" w:rsidRDefault="00C3543E" w:rsidP="00C3543E">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Pr="00D64641">
        <w:rPr>
          <w:rStyle w:val="Refdenotaalpie"/>
          <w:rFonts w:ascii="Arial" w:hAnsi="Arial" w:cs="Arial"/>
        </w:rPr>
        <w:footnoteReference w:id="4"/>
      </w:r>
      <w:r w:rsidRPr="00D64641">
        <w:rPr>
          <w:rFonts w:ascii="Arial" w:hAnsi="Arial" w:cs="Arial"/>
          <w:iCs/>
          <w:color w:val="000000" w:themeColor="text1"/>
          <w:sz w:val="21"/>
          <w:szCs w:val="21"/>
          <w:lang w:val="es-ES_tradnl"/>
        </w:rPr>
        <w:t xml:space="preserve">. </w:t>
      </w:r>
    </w:p>
    <w:p w14:paraId="33A31712" w14:textId="77777777" w:rsidR="00C3543E" w:rsidRPr="00D64641" w:rsidRDefault="00C3543E" w:rsidP="00C3543E">
      <w:pPr>
        <w:ind w:left="709" w:right="758"/>
        <w:jc w:val="both"/>
        <w:rPr>
          <w:rFonts w:ascii="Arial" w:hAnsi="Arial" w:cs="Arial"/>
          <w:iCs/>
          <w:color w:val="000000" w:themeColor="text1"/>
          <w:sz w:val="21"/>
          <w:szCs w:val="21"/>
          <w:lang w:val="es-ES_tradnl"/>
        </w:rPr>
      </w:pPr>
    </w:p>
    <w:p w14:paraId="12B8EF66" w14:textId="77777777" w:rsidR="00C3543E" w:rsidRPr="00D64641" w:rsidRDefault="00C3543E" w:rsidP="00C3543E">
      <w:pPr>
        <w:spacing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De igual forma, en otra oportunidad, el Consejo de Estado indicó que «el núcleo mínimo de este derecho exige que una norma –legal o contractual– contemple la falta y la sanción. Si ni siquiera lo hace el contrato, la Administración no puede imponer sanciones, </w:t>
      </w:r>
      <w:r w:rsidRPr="00D64641">
        <w:rPr>
          <w:rFonts w:ascii="Arial" w:hAnsi="Arial" w:cs="Arial"/>
          <w:iCs/>
          <w:color w:val="000000" w:themeColor="text1"/>
          <w:sz w:val="22"/>
          <w:lang w:val="es-ES_tradnl"/>
        </w:rPr>
        <w:lastRenderedPageBreak/>
        <w:t>so pena de violar el debido proceso»</w:t>
      </w:r>
      <w:r w:rsidRPr="00D64641">
        <w:rPr>
          <w:rStyle w:val="Refdenotaalpie"/>
          <w:rFonts w:ascii="Arial" w:hAnsi="Arial" w:cs="Arial"/>
        </w:rPr>
        <w:footnoteReference w:id="5"/>
      </w:r>
      <w:r w:rsidRPr="00D64641">
        <w:rPr>
          <w:rFonts w:ascii="Arial" w:hAnsi="Arial" w:cs="Arial"/>
          <w:iCs/>
          <w:color w:val="000000" w:themeColor="text1"/>
          <w:sz w:val="22"/>
          <w:lang w:val="es-ES_tradnl"/>
        </w:rPr>
        <w:t>. De otro lado, la Corte Constitucional</w:t>
      </w:r>
      <w:r w:rsidRPr="00D64641">
        <w:rPr>
          <w:rStyle w:val="Refdenotaalpie"/>
          <w:rFonts w:ascii="Arial" w:hAnsi="Arial" w:cs="Arial"/>
        </w:rPr>
        <w:footnoteReference w:id="6"/>
      </w:r>
      <w:r w:rsidRPr="00D64641">
        <w:rPr>
          <w:rFonts w:ascii="Arial" w:hAnsi="Arial" w:cs="Arial"/>
          <w:iCs/>
          <w:color w:val="000000" w:themeColor="text1"/>
          <w:sz w:val="22"/>
          <w:lang w:val="es-ES_tradnl"/>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5BC4D812" w14:textId="77777777" w:rsidR="00C3543E" w:rsidRPr="00D64641" w:rsidRDefault="00C3543E" w:rsidP="00C3543E">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D64641">
        <w:rPr>
          <w:rStyle w:val="Refdenotaalpie"/>
          <w:rFonts w:ascii="Arial" w:hAnsi="Arial" w:cs="Arial"/>
        </w:rPr>
        <w:footnoteReference w:id="7"/>
      </w:r>
      <w:r w:rsidRPr="00D64641">
        <w:rPr>
          <w:rFonts w:ascii="Arial" w:hAnsi="Arial" w:cs="Arial"/>
          <w:iCs/>
          <w:color w:val="000000" w:themeColor="text1"/>
          <w:sz w:val="22"/>
          <w:lang w:val="es-ES_tradnl"/>
        </w:rPr>
        <w:t>, en relación con las diferencias entre las multas y la cláusula penal, esto es: «[a]unque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D64641">
        <w:rPr>
          <w:rStyle w:val="Refdenotaalpie"/>
          <w:rFonts w:ascii="Arial" w:hAnsi="Arial" w:cs="Arial"/>
        </w:rPr>
        <w:footnoteReference w:id="8"/>
      </w:r>
      <w:r w:rsidRPr="00D64641">
        <w:rPr>
          <w:rFonts w:ascii="Arial" w:hAnsi="Arial" w:cs="Arial"/>
          <w:iCs/>
          <w:color w:val="000000" w:themeColor="text1"/>
          <w:sz w:val="22"/>
          <w:lang w:val="es-ES_tradnl"/>
        </w:rPr>
        <w:t>.</w:t>
      </w:r>
    </w:p>
    <w:p w14:paraId="29A21756" w14:textId="77777777" w:rsidR="00C3543E" w:rsidRPr="00D64641" w:rsidRDefault="00C3543E" w:rsidP="00C3543E">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Estudiadas las cláusulas excepcionales de caducidad y terminación unilateral, así como la potestad de </w:t>
      </w:r>
      <w:r w:rsidRPr="00D64641">
        <w:rPr>
          <w:rFonts w:ascii="Arial" w:hAnsi="Arial" w:cs="Arial"/>
          <w:i/>
          <w:color w:val="000000" w:themeColor="text1"/>
          <w:sz w:val="22"/>
          <w:lang w:val="es-ES_tradnl"/>
        </w:rPr>
        <w:t xml:space="preserve">imposición unilateral </w:t>
      </w:r>
      <w:r w:rsidRPr="00D64641">
        <w:rPr>
          <w:rFonts w:ascii="Arial" w:hAnsi="Arial" w:cs="Arial"/>
          <w:iCs/>
          <w:color w:val="000000" w:themeColor="text1"/>
          <w:sz w:val="22"/>
          <w:lang w:val="es-ES_tradnl"/>
        </w:rPr>
        <w:t>de multas y la cláusula penal, corresponde analizar algunos aspectos del procedimiento administrativo sancionatorio contractual establecido en el artículo 86 de la Ley 1474 de 2011, con la finalidad de resolver la consulta.</w:t>
      </w:r>
    </w:p>
    <w:p w14:paraId="4A660E31" w14:textId="77777777" w:rsidR="00C3543E" w:rsidRPr="00D64641" w:rsidRDefault="00C3543E" w:rsidP="00C3543E">
      <w:pPr>
        <w:spacing w:line="276" w:lineRule="auto"/>
        <w:ind w:firstLine="709"/>
        <w:jc w:val="both"/>
        <w:rPr>
          <w:rFonts w:ascii="Arial" w:hAnsi="Arial" w:cs="Arial"/>
          <w:iCs/>
          <w:color w:val="000000" w:themeColor="text1"/>
          <w:sz w:val="22"/>
          <w:lang w:val="es-ES_tradnl"/>
        </w:rPr>
      </w:pPr>
    </w:p>
    <w:p w14:paraId="483B405F" w14:textId="77777777" w:rsidR="00C3543E" w:rsidRPr="00D64641" w:rsidRDefault="00C3543E" w:rsidP="00C3543E">
      <w:pPr>
        <w:spacing w:line="276" w:lineRule="auto"/>
        <w:jc w:val="both"/>
        <w:rPr>
          <w:rFonts w:ascii="Arial" w:hAnsi="Arial" w:cs="Arial"/>
          <w:b/>
          <w:bCs/>
          <w:iCs/>
          <w:color w:val="000000" w:themeColor="text1"/>
          <w:sz w:val="22"/>
          <w:lang w:val="es-ES_tradnl"/>
        </w:rPr>
      </w:pPr>
      <w:r w:rsidRPr="00D64641">
        <w:rPr>
          <w:rFonts w:ascii="Arial" w:hAnsi="Arial" w:cs="Arial"/>
          <w:b/>
          <w:bCs/>
          <w:iCs/>
          <w:color w:val="000000" w:themeColor="text1"/>
          <w:sz w:val="22"/>
          <w:lang w:val="es-ES_tradnl"/>
        </w:rPr>
        <w:t>2.2. Procedimiento administrativo sancionatorio contractual: artículo 86 de la Ley 1474 de 2011</w:t>
      </w:r>
    </w:p>
    <w:p w14:paraId="24215CCC" w14:textId="77777777" w:rsidR="00C3543E" w:rsidRPr="00D64641" w:rsidRDefault="00C3543E" w:rsidP="00C3543E">
      <w:pPr>
        <w:spacing w:line="276" w:lineRule="auto"/>
        <w:ind w:firstLine="709"/>
        <w:jc w:val="both"/>
        <w:rPr>
          <w:rFonts w:ascii="Arial" w:hAnsi="Arial" w:cs="Arial"/>
          <w:b/>
          <w:bCs/>
          <w:iCs/>
          <w:color w:val="000000" w:themeColor="text1"/>
          <w:sz w:val="22"/>
          <w:lang w:val="es-ES_tradnl"/>
        </w:rPr>
      </w:pPr>
    </w:p>
    <w:p w14:paraId="2EF1C13F" w14:textId="77777777" w:rsidR="00C3543E" w:rsidRPr="00D64641" w:rsidRDefault="00C3543E" w:rsidP="00C3543E">
      <w:pPr>
        <w:spacing w:after="120" w:line="276" w:lineRule="auto"/>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w:t>
      </w:r>
      <w:r w:rsidRPr="00D64641">
        <w:rPr>
          <w:rFonts w:ascii="Arial" w:hAnsi="Arial" w:cs="Arial"/>
          <w:iCs/>
          <w:color w:val="000000" w:themeColor="text1"/>
          <w:sz w:val="22"/>
          <w:lang w:val="es-ES_tradnl"/>
        </w:rPr>
        <w:lastRenderedPageBreak/>
        <w:t xml:space="preserve">Administración Pública podrán declarar el incumplimiento […]. Para tal efecto observarán el siguiente procedimiento». </w:t>
      </w:r>
    </w:p>
    <w:p w14:paraId="0B8F5E23" w14:textId="77777777" w:rsidR="00C3543E" w:rsidRPr="00D64641" w:rsidRDefault="00C3543E" w:rsidP="00C3543E">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D64641">
        <w:rPr>
          <w:rStyle w:val="Refdenotaalpie"/>
          <w:rFonts w:ascii="Arial" w:hAnsi="Arial" w:cs="Arial"/>
        </w:rPr>
        <w:footnoteReference w:id="9"/>
      </w:r>
      <w:r w:rsidRPr="00D64641">
        <w:rPr>
          <w:rFonts w:ascii="Arial" w:hAnsi="Arial" w:cs="Arial"/>
          <w:iCs/>
          <w:color w:val="000000" w:themeColor="text1"/>
          <w:sz w:val="22"/>
          <w:lang w:val="es-ES_tradnl"/>
        </w:rPr>
        <w:t xml:space="preserve">. A la misma conclusión se llega si se tiene en consideración la necesidad de respetar el debido proceso en «todas las actuaciones administrativas» como lo ordena el artículo 29 superior. </w:t>
      </w:r>
    </w:p>
    <w:p w14:paraId="161B2CCC" w14:textId="77777777" w:rsidR="00C3543E" w:rsidRPr="00D64641" w:rsidRDefault="00C3543E" w:rsidP="00C3543E">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De conformidad con lo anterior, el artículo 86 de la Ley 1474 de 2011 establece las etapas del procedimiento que se deben seguir, las cuales se sintetizan, de forma esquemática, así:  i) c</w:t>
      </w:r>
      <w:r w:rsidRPr="00D64641">
        <w:rPr>
          <w:rFonts w:ascii="Arial" w:hAnsi="Arial" w:cs="Arial"/>
          <w:i/>
          <w:iCs/>
          <w:color w:val="000000" w:themeColor="text1"/>
          <w:sz w:val="22"/>
          <w:lang w:val="es-ES_tradnl"/>
        </w:rPr>
        <w:t>itación a audiencia</w:t>
      </w:r>
      <w:r w:rsidRPr="00D64641">
        <w:rPr>
          <w:rFonts w:ascii="Arial" w:hAnsi="Arial" w:cs="Arial"/>
          <w:iCs/>
          <w:color w:val="000000" w:themeColor="text1"/>
          <w:sz w:val="22"/>
          <w:lang w:val="es-ES_tradnl"/>
        </w:rPr>
        <w:t xml:space="preserve">. Es necesario remitir una citación a audiencia al contratista y al garante –cuando proceda–, cuyo contenido de señalará más adelante. ii) </w:t>
      </w:r>
      <w:r w:rsidRPr="00D64641">
        <w:rPr>
          <w:rFonts w:ascii="Arial" w:hAnsi="Arial" w:cs="Arial"/>
          <w:i/>
          <w:iCs/>
          <w:color w:val="000000" w:themeColor="text1"/>
          <w:sz w:val="22"/>
          <w:lang w:val="es-ES_tradnl"/>
        </w:rPr>
        <w:t>Audiencia</w:t>
      </w:r>
      <w:r w:rsidRPr="00D64641">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D64641">
        <w:rPr>
          <w:rFonts w:ascii="Arial" w:hAnsi="Arial" w:cs="Arial"/>
          <w:i/>
          <w:iCs/>
          <w:color w:val="000000" w:themeColor="text1"/>
          <w:sz w:val="22"/>
          <w:lang w:val="es-ES_tradnl"/>
        </w:rPr>
        <w:t>Decisión</w:t>
      </w:r>
      <w:r w:rsidRPr="00D64641">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2B925DE9" w14:textId="77777777" w:rsidR="00C3543E" w:rsidRPr="00D64641" w:rsidRDefault="00C3543E" w:rsidP="00C3543E">
      <w:pPr>
        <w:spacing w:line="276" w:lineRule="auto"/>
        <w:ind w:firstLine="709"/>
        <w:jc w:val="both"/>
        <w:rPr>
          <w:rFonts w:ascii="Arial" w:eastAsia="Calibri" w:hAnsi="Arial" w:cs="Arial"/>
          <w:color w:val="000000" w:themeColor="text1"/>
          <w:sz w:val="22"/>
          <w:lang w:val="es-ES_tradnl"/>
        </w:rPr>
      </w:pPr>
      <w:r w:rsidRPr="00D64641">
        <w:rPr>
          <w:rFonts w:ascii="Arial" w:hAnsi="Arial" w:cs="Arial"/>
          <w:iCs/>
          <w:color w:val="000000" w:themeColor="text1"/>
          <w:sz w:val="22"/>
          <w:lang w:val="es-ES_tradnl"/>
        </w:rPr>
        <w:t>Como precisión previa, vale la pena aclarar que e</w:t>
      </w:r>
      <w:r w:rsidRPr="00D64641">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Pr="00D64641">
        <w:rPr>
          <w:rStyle w:val="Refdenotaalpie"/>
          <w:rFonts w:ascii="Arial" w:eastAsia="Calibri" w:hAnsi="Arial" w:cs="Arial"/>
        </w:rPr>
        <w:footnoteReference w:id="10"/>
      </w:r>
      <w:r w:rsidRPr="00D64641">
        <w:rPr>
          <w:rFonts w:ascii="Arial" w:eastAsia="Calibri" w:hAnsi="Arial" w:cs="Arial"/>
          <w:color w:val="000000" w:themeColor="text1"/>
          <w:sz w:val="22"/>
          <w:lang w:val="es-ES_tradnl"/>
        </w:rPr>
        <w:t xml:space="preserve">. De ahí que las entidades de </w:t>
      </w:r>
      <w:r w:rsidRPr="00D64641">
        <w:rPr>
          <w:rFonts w:ascii="Arial" w:eastAsia="Calibri" w:hAnsi="Arial" w:cs="Arial"/>
          <w:i/>
          <w:iCs/>
          <w:color w:val="000000" w:themeColor="text1"/>
          <w:sz w:val="22"/>
          <w:lang w:val="es-ES_tradnl"/>
        </w:rPr>
        <w:t>régimen especial</w:t>
      </w:r>
      <w:r w:rsidRPr="00D64641">
        <w:rPr>
          <w:rStyle w:val="Refdenotaalpie"/>
          <w:rFonts w:ascii="Arial" w:eastAsia="Calibri" w:hAnsi="Arial" w:cs="Arial"/>
        </w:rPr>
        <w:footnoteReference w:id="11"/>
      </w:r>
      <w:r w:rsidRPr="00D64641">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w:t>
      </w:r>
      <w:r w:rsidRPr="00D64641">
        <w:rPr>
          <w:rFonts w:ascii="Arial" w:eastAsia="Calibri" w:hAnsi="Arial" w:cs="Arial"/>
          <w:color w:val="000000" w:themeColor="text1"/>
          <w:sz w:val="22"/>
          <w:lang w:val="es-ES_tradnl"/>
        </w:rPr>
        <w:lastRenderedPageBreak/>
        <w:t>2011, al no ser entidades sometidas al Estatuto General de Contratación de la Administración Pública, sino, por el contrario, entidades exceptuadas de este</w:t>
      </w:r>
      <w:r w:rsidRPr="00D64641">
        <w:rPr>
          <w:rStyle w:val="Refdenotaalpie"/>
          <w:rFonts w:ascii="Arial" w:eastAsia="Calibri" w:hAnsi="Arial" w:cs="Arial"/>
        </w:rPr>
        <w:footnoteReference w:id="12"/>
      </w:r>
      <w:r w:rsidRPr="00D64641">
        <w:rPr>
          <w:rFonts w:ascii="Arial" w:eastAsia="Calibri" w:hAnsi="Arial" w:cs="Arial"/>
          <w:color w:val="000000" w:themeColor="text1"/>
          <w:sz w:val="22"/>
          <w:lang w:val="es-ES_tradnl"/>
        </w:rPr>
        <w:t>. La norma indicada desarrolla el procedimiento de la siguiente manera:</w:t>
      </w:r>
    </w:p>
    <w:p w14:paraId="29297848" w14:textId="77777777" w:rsidR="00C3543E" w:rsidRPr="00D64641" w:rsidRDefault="00C3543E" w:rsidP="00C3543E">
      <w:pPr>
        <w:spacing w:line="276" w:lineRule="auto"/>
        <w:ind w:right="142" w:firstLine="709"/>
        <w:jc w:val="both"/>
        <w:rPr>
          <w:rFonts w:ascii="Arial" w:eastAsia="Calibri" w:hAnsi="Arial" w:cs="Arial"/>
          <w:color w:val="000000" w:themeColor="text1"/>
          <w:sz w:val="22"/>
          <w:lang w:val="es-ES_tradnl"/>
        </w:rPr>
      </w:pPr>
    </w:p>
    <w:p w14:paraId="36F82452" w14:textId="77777777" w:rsidR="00C3543E" w:rsidRPr="00D64641" w:rsidRDefault="00C3543E" w:rsidP="00C3543E">
      <w:pPr>
        <w:pStyle w:val="Prrafodelista"/>
        <w:ind w:left="709" w:right="709"/>
        <w:jc w:val="both"/>
        <w:rPr>
          <w:rFonts w:ascii="Arial" w:hAnsi="Arial" w:cs="Arial"/>
          <w:iCs/>
          <w:color w:val="000000" w:themeColor="text1"/>
          <w:sz w:val="21"/>
          <w:szCs w:val="21"/>
          <w:lang w:val="es-ES_tradnl"/>
        </w:rPr>
      </w:pPr>
      <w:bookmarkStart w:id="3" w:name="86"/>
      <w:r w:rsidRPr="00D64641">
        <w:rPr>
          <w:rFonts w:ascii="Arial" w:hAnsi="Arial" w:cs="Arial"/>
          <w:iCs/>
          <w:color w:val="000000" w:themeColor="text1"/>
          <w:sz w:val="21"/>
          <w:szCs w:val="21"/>
          <w:lang w:val="es-ES_tradnl"/>
        </w:rPr>
        <w:t>Artículo 86. Imposición de multas, sanciones y declaratorias de incumplimiento.</w:t>
      </w:r>
      <w:bookmarkEnd w:id="3"/>
      <w:r w:rsidRPr="00D64641">
        <w:rPr>
          <w:rFonts w:ascii="Arial" w:hAnsi="Arial" w:cs="Arial"/>
          <w:iCs/>
          <w:color w:val="000000" w:themeColor="text1"/>
          <w:sz w:val="21"/>
          <w:szCs w:val="21"/>
          <w:lang w:val="es-ES_tradnl"/>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6896202C" w14:textId="77777777" w:rsidR="00C3543E" w:rsidRPr="00D64641" w:rsidRDefault="00C3543E" w:rsidP="00C3543E">
      <w:pPr>
        <w:pStyle w:val="Prrafodelista"/>
        <w:ind w:left="709" w:right="709"/>
        <w:jc w:val="both"/>
        <w:rPr>
          <w:rFonts w:ascii="Arial" w:hAnsi="Arial" w:cs="Arial"/>
          <w:iCs/>
          <w:color w:val="000000" w:themeColor="text1"/>
          <w:sz w:val="21"/>
          <w:szCs w:val="21"/>
          <w:lang w:val="es-ES_tradnl"/>
        </w:rPr>
      </w:pPr>
    </w:p>
    <w:p w14:paraId="625D35A3" w14:textId="77777777" w:rsidR="00C3543E" w:rsidRPr="00D64641" w:rsidRDefault="00C3543E" w:rsidP="00C3543E">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2CDF9F82" w14:textId="77777777" w:rsidR="00C3543E" w:rsidRPr="00D64641" w:rsidRDefault="00C3543E" w:rsidP="00C3543E">
      <w:pPr>
        <w:pStyle w:val="Prrafodelista"/>
        <w:ind w:left="709" w:right="709"/>
        <w:jc w:val="both"/>
        <w:rPr>
          <w:rFonts w:ascii="Arial" w:hAnsi="Arial" w:cs="Arial"/>
          <w:lang w:val="es-ES_tradnl"/>
        </w:rPr>
      </w:pPr>
    </w:p>
    <w:p w14:paraId="19F70A48" w14:textId="77777777" w:rsidR="00C3543E" w:rsidRPr="00D64641" w:rsidRDefault="00C3543E" w:rsidP="00C3543E">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35522DA5" w14:textId="77777777" w:rsidR="00C3543E" w:rsidRPr="00D64641" w:rsidRDefault="00C3543E" w:rsidP="00C3543E">
      <w:pPr>
        <w:pStyle w:val="Prrafodelista"/>
        <w:ind w:left="709" w:right="709"/>
        <w:jc w:val="both"/>
        <w:rPr>
          <w:rFonts w:ascii="Arial" w:hAnsi="Arial" w:cs="Arial"/>
          <w:iCs/>
          <w:color w:val="000000" w:themeColor="text1"/>
          <w:sz w:val="21"/>
          <w:szCs w:val="21"/>
          <w:lang w:val="es-ES_tradnl"/>
        </w:rPr>
      </w:pPr>
    </w:p>
    <w:p w14:paraId="2CADE357" w14:textId="77777777" w:rsidR="00C3543E" w:rsidRPr="00D64641" w:rsidRDefault="00C3543E" w:rsidP="00C3543E">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25F756A0" w14:textId="77777777" w:rsidR="00C3543E" w:rsidRPr="00D64641" w:rsidRDefault="00C3543E" w:rsidP="00C3543E">
      <w:pPr>
        <w:pStyle w:val="Prrafodelista"/>
        <w:ind w:left="709" w:right="709"/>
        <w:jc w:val="both"/>
        <w:rPr>
          <w:rFonts w:ascii="Arial" w:hAnsi="Arial" w:cs="Arial"/>
          <w:iCs/>
          <w:color w:val="000000" w:themeColor="text1"/>
          <w:sz w:val="21"/>
          <w:szCs w:val="21"/>
          <w:lang w:val="es-ES_tradnl"/>
        </w:rPr>
      </w:pPr>
    </w:p>
    <w:p w14:paraId="1CC2FFAF" w14:textId="77777777" w:rsidR="00C3543E" w:rsidRPr="00D64641" w:rsidRDefault="00C3543E" w:rsidP="00C3543E">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 xml:space="preserve">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w:t>
      </w:r>
      <w:r w:rsidRPr="00D64641">
        <w:rPr>
          <w:rFonts w:ascii="Arial" w:hAnsi="Arial" w:cs="Arial"/>
          <w:iCs/>
          <w:color w:val="000000" w:themeColor="text1"/>
          <w:sz w:val="21"/>
          <w:szCs w:val="21"/>
          <w:lang w:val="es-ES_tradnl"/>
        </w:rPr>
        <w:lastRenderedPageBreak/>
        <w:t>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7FD7A1F4" w14:textId="77777777" w:rsidR="00C3543E" w:rsidRPr="00D64641" w:rsidRDefault="00C3543E" w:rsidP="00C3543E">
      <w:pPr>
        <w:spacing w:line="276" w:lineRule="auto"/>
        <w:ind w:right="142"/>
        <w:jc w:val="both"/>
        <w:rPr>
          <w:rFonts w:ascii="Arial" w:eastAsia="Calibri" w:hAnsi="Arial" w:cs="Arial"/>
          <w:color w:val="000000" w:themeColor="text1"/>
          <w:sz w:val="22"/>
          <w:lang w:val="es-ES_tradnl"/>
        </w:rPr>
      </w:pPr>
    </w:p>
    <w:p w14:paraId="0E6D157D" w14:textId="77777777" w:rsidR="00C3543E" w:rsidRPr="00D64641" w:rsidRDefault="00C3543E" w:rsidP="00C3543E">
      <w:pPr>
        <w:spacing w:after="120" w:line="276" w:lineRule="auto"/>
        <w:ind w:firstLine="709"/>
        <w:jc w:val="both"/>
        <w:rPr>
          <w:rFonts w:ascii="Arial" w:eastAsia="Calibri" w:hAnsi="Arial" w:cs="Arial"/>
          <w:color w:val="000000" w:themeColor="text1"/>
          <w:sz w:val="22"/>
          <w:lang w:val="es-ES_tradnl"/>
        </w:rPr>
      </w:pPr>
      <w:bookmarkStart w:id="4" w:name="_Hlk97706120"/>
      <w:r w:rsidRPr="00D64641">
        <w:rPr>
          <w:rFonts w:ascii="Arial" w:eastAsia="Calibri" w:hAnsi="Arial" w:cs="Arial"/>
          <w:color w:val="000000" w:themeColor="text1"/>
          <w:sz w:val="22"/>
          <w:lang w:val="es-ES_tradnl"/>
        </w:rPr>
        <w:t xml:space="preserve">Como se observa, la citación a la audiencia debe cumplir mínimamente los siguientes aspectos: i) señalar los </w:t>
      </w:r>
      <w:r w:rsidRPr="00D64641">
        <w:rPr>
          <w:rFonts w:ascii="Arial" w:eastAsia="Calibri" w:hAnsi="Arial" w:cs="Arial"/>
          <w:i/>
          <w:iCs/>
          <w:color w:val="000000" w:themeColor="text1"/>
          <w:sz w:val="22"/>
          <w:lang w:val="es-ES_tradnl"/>
        </w:rPr>
        <w:t>hechos</w:t>
      </w:r>
      <w:r w:rsidRPr="00D64641">
        <w:rPr>
          <w:rFonts w:ascii="Arial" w:eastAsia="Calibri" w:hAnsi="Arial" w:cs="Arial"/>
          <w:color w:val="000000" w:themeColor="text1"/>
          <w:sz w:val="22"/>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bookmarkEnd w:id="4"/>
      <w:r w:rsidRPr="00D64641">
        <w:rPr>
          <w:rStyle w:val="Refdenotaalpie"/>
          <w:rFonts w:ascii="Arial" w:eastAsia="Calibri" w:hAnsi="Arial" w:cs="Arial"/>
        </w:rPr>
        <w:footnoteReference w:id="13"/>
      </w:r>
      <w:r w:rsidRPr="00D64641">
        <w:rPr>
          <w:rFonts w:ascii="Arial" w:eastAsia="Calibri" w:hAnsi="Arial" w:cs="Arial"/>
          <w:color w:val="000000" w:themeColor="text1"/>
          <w:sz w:val="22"/>
          <w:lang w:val="es-ES_tradnl"/>
        </w:rPr>
        <w:t>.</w:t>
      </w:r>
    </w:p>
    <w:p w14:paraId="09DE1C07" w14:textId="77777777" w:rsidR="00C3543E" w:rsidRPr="009A5ADC" w:rsidRDefault="00C3543E" w:rsidP="00C3543E">
      <w:pPr>
        <w:spacing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 xml:space="preserve">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w:t>
      </w:r>
      <w:r w:rsidRPr="00D64641">
        <w:rPr>
          <w:rFonts w:ascii="Arial" w:eastAsia="Calibri" w:hAnsi="Arial" w:cs="Arial"/>
          <w:color w:val="000000" w:themeColor="text1"/>
          <w:sz w:val="22"/>
          <w:lang w:val="es-ES_tradnl"/>
        </w:rPr>
        <w:lastRenderedPageBreak/>
        <w:t>probatorio. Sin embargo, como lo expresa la doctrina, el término debe ser razonable y suficiente</w:t>
      </w:r>
      <w:r w:rsidRPr="00D64641">
        <w:rPr>
          <w:rStyle w:val="Refdenotaalpie"/>
          <w:rFonts w:ascii="Arial" w:eastAsia="Calibri" w:hAnsi="Arial" w:cs="Arial"/>
        </w:rPr>
        <w:footnoteReference w:id="14"/>
      </w:r>
      <w:r w:rsidRPr="00D64641">
        <w:rPr>
          <w:rFonts w:ascii="Arial" w:eastAsia="Calibri" w:hAnsi="Arial" w:cs="Arial"/>
          <w:color w:val="000000" w:themeColor="text1"/>
          <w:sz w:val="22"/>
          <w:lang w:val="es-ES_tradnl"/>
        </w:rPr>
        <w:t>.</w:t>
      </w:r>
    </w:p>
    <w:p w14:paraId="28E5F430" w14:textId="77777777" w:rsidR="00C3543E" w:rsidRDefault="00C3543E" w:rsidP="00C3543E">
      <w:pPr>
        <w:spacing w:line="276" w:lineRule="auto"/>
        <w:jc w:val="both"/>
        <w:rPr>
          <w:rFonts w:ascii="Arial" w:eastAsia="Arial" w:hAnsi="Arial" w:cs="Arial"/>
          <w:b/>
          <w:bCs/>
          <w:sz w:val="22"/>
          <w:highlight w:val="yellow"/>
          <w:lang w:val="es-ES_tradnl"/>
        </w:rPr>
      </w:pPr>
    </w:p>
    <w:p w14:paraId="18D59F65" w14:textId="77777777" w:rsidR="00C3543E" w:rsidRPr="00A61736" w:rsidRDefault="00C3543E" w:rsidP="00C3543E">
      <w:pPr>
        <w:spacing w:line="276" w:lineRule="auto"/>
        <w:jc w:val="both"/>
        <w:rPr>
          <w:rFonts w:ascii="Arial" w:eastAsia="Calibri" w:hAnsi="Arial" w:cs="Arial"/>
          <w:b/>
          <w:bCs/>
          <w:color w:val="000000"/>
          <w:sz w:val="22"/>
          <w:lang w:val="es-MX" w:eastAsia="en-GB"/>
        </w:rPr>
      </w:pPr>
      <w:r w:rsidRPr="00243D88">
        <w:rPr>
          <w:rFonts w:ascii="Arial" w:eastAsia="Arial" w:hAnsi="Arial" w:cs="Arial"/>
          <w:b/>
          <w:bCs/>
          <w:sz w:val="22"/>
          <w:lang w:val="es-ES_tradnl"/>
        </w:rPr>
        <w:t xml:space="preserve">2.3. </w:t>
      </w:r>
      <w:r w:rsidRPr="00243D88">
        <w:rPr>
          <w:rFonts w:ascii="Arial" w:hAnsi="Arial" w:cs="Arial"/>
          <w:b/>
          <w:bCs/>
          <w:iCs/>
          <w:color w:val="000000" w:themeColor="text1"/>
          <w:sz w:val="22"/>
          <w:lang w:val="es-ES_tradnl"/>
        </w:rPr>
        <w:t>Alcance del artículo 58 de la Ley 2195 de 2022: reducción de puntaje por incumplimiento</w:t>
      </w:r>
      <w:r w:rsidRPr="008F59B4">
        <w:rPr>
          <w:rFonts w:ascii="Arial" w:hAnsi="Arial" w:cs="Arial"/>
          <w:b/>
          <w:bCs/>
          <w:iCs/>
          <w:color w:val="000000" w:themeColor="text1"/>
          <w:sz w:val="22"/>
          <w:lang w:val="es-ES_tradnl"/>
        </w:rPr>
        <w:t xml:space="preserve"> de contratos estatales</w:t>
      </w:r>
      <w:r w:rsidRPr="008F59B4" w:rsidDel="00707903">
        <w:rPr>
          <w:rFonts w:ascii="Arial" w:eastAsia="Calibri" w:hAnsi="Arial" w:cs="Arial"/>
          <w:b/>
          <w:bCs/>
          <w:color w:val="000000"/>
          <w:sz w:val="22"/>
          <w:lang w:val="es-ES_tradnl" w:eastAsia="en-GB"/>
        </w:rPr>
        <w:t xml:space="preserve"> </w:t>
      </w:r>
    </w:p>
    <w:p w14:paraId="5650A3E1" w14:textId="77777777" w:rsidR="00C3543E" w:rsidRPr="008F59B4" w:rsidRDefault="00C3543E" w:rsidP="00C3543E">
      <w:pPr>
        <w:spacing w:line="276" w:lineRule="auto"/>
        <w:jc w:val="both"/>
        <w:rPr>
          <w:rFonts w:ascii="Arial" w:eastAsia="Calibri" w:hAnsi="Arial" w:cs="Arial"/>
          <w:b/>
          <w:bCs/>
          <w:color w:val="000000"/>
          <w:sz w:val="22"/>
          <w:szCs w:val="22"/>
          <w:lang w:eastAsia="en-GB"/>
        </w:rPr>
      </w:pPr>
    </w:p>
    <w:p w14:paraId="6EABE5CC" w14:textId="77777777" w:rsidR="00C3543E" w:rsidRPr="008F59B4" w:rsidRDefault="00C3543E" w:rsidP="00C3543E">
      <w:pPr>
        <w:tabs>
          <w:tab w:val="left" w:pos="0"/>
        </w:tabs>
        <w:spacing w:after="120" w:line="276" w:lineRule="auto"/>
        <w:jc w:val="both"/>
        <w:rPr>
          <w:rFonts w:ascii="Arial" w:eastAsia="Calibri" w:hAnsi="Arial" w:cs="Arial"/>
          <w:color w:val="000000" w:themeColor="text1"/>
          <w:sz w:val="22"/>
          <w:szCs w:val="22"/>
          <w:lang w:val="es-ES_tradnl"/>
        </w:rPr>
      </w:pPr>
      <w:r w:rsidRPr="008F59B4">
        <w:rPr>
          <w:rFonts w:ascii="Arial" w:eastAsia="Calibri" w:hAnsi="Arial" w:cs="Arial"/>
          <w:bCs/>
          <w:sz w:val="22"/>
          <w:lang w:val="es-ES_tradnl"/>
        </w:rPr>
        <w:t xml:space="preserve">Con la reciente expedición de la Ley 2195 de 2022 del 18 de enero de 2022, se adoptan medidas en materia de transparencia, prevención y lucha contra la corrupción y se dictan otras disposiciones. </w:t>
      </w:r>
      <w:r w:rsidRPr="008F59B4">
        <w:rPr>
          <w:rFonts w:ascii="Arial" w:eastAsia="Calibri" w:hAnsi="Arial" w:cs="Arial"/>
          <w:color w:val="000000" w:themeColor="text1"/>
          <w:sz w:val="22"/>
          <w:szCs w:val="22"/>
          <w:lang w:val="es-ES_tradnl"/>
        </w:rPr>
        <w:t>De acuerdo con el artículo 69 de dicho cuerpo normativo, «La presente Ley rige a partir del momento de su promulgación […]», lo que significa que es obligatoria para sus destinatarios desde esa fecha.</w:t>
      </w:r>
    </w:p>
    <w:p w14:paraId="539BB500" w14:textId="77777777" w:rsidR="00C3543E" w:rsidRPr="008F59B4" w:rsidRDefault="00C3543E" w:rsidP="00C3543E">
      <w:pPr>
        <w:spacing w:before="120" w:line="276" w:lineRule="auto"/>
        <w:ind w:firstLine="709"/>
        <w:jc w:val="both"/>
        <w:rPr>
          <w:rFonts w:ascii="Arial" w:eastAsia="Calibri" w:hAnsi="Arial" w:cs="Arial"/>
          <w:color w:val="000000" w:themeColor="text1"/>
          <w:sz w:val="22"/>
          <w:szCs w:val="22"/>
        </w:rPr>
      </w:pPr>
      <w:r w:rsidRPr="008F59B4">
        <w:rPr>
          <w:rFonts w:ascii="Arial" w:eastAsia="Calibri" w:hAnsi="Arial" w:cs="Arial"/>
          <w:bCs/>
          <w:sz w:val="22"/>
          <w:lang w:val="es-ES_tradnl"/>
        </w:rPr>
        <w:t>De conformidad con su artículo 1, esta norma tiene por objeto adoptar diferentes medidas tendientes a prevenir los actos de corrupción, reforzar la articulación de las entidades del Estado y a recuperar los daños ocasionados por la corrupción, promoviendo la cultura de la legalidad e integridad. En desarrollo de lo anterior, s</w:t>
      </w:r>
      <w:r w:rsidRPr="008F59B4">
        <w:rPr>
          <w:rFonts w:ascii="Arial" w:eastAsia="Calibri" w:hAnsi="Arial" w:cs="Arial"/>
          <w:bCs/>
          <w:sz w:val="22"/>
        </w:rPr>
        <w:t xml:space="preserve">e incorpora, entre otras, disposiciones en la contratación pública para fomentar la transparencia. </w:t>
      </w:r>
      <w:r w:rsidRPr="008F59B4">
        <w:rPr>
          <w:rFonts w:ascii="Arial" w:eastAsia="Calibri" w:hAnsi="Arial" w:cs="Arial"/>
          <w:color w:val="000000" w:themeColor="text1"/>
          <w:sz w:val="22"/>
          <w:szCs w:val="22"/>
          <w:lang w:val="es-ES_tradnl"/>
        </w:rPr>
        <w:t>Concretamente, aquellas se encuentran en el</w:t>
      </w:r>
      <w:r w:rsidRPr="008F59B4">
        <w:rPr>
          <w:rFonts w:ascii="Arial" w:eastAsia="Calibri" w:hAnsi="Arial" w:cs="Arial"/>
          <w:color w:val="000000" w:themeColor="text1"/>
          <w:sz w:val="22"/>
          <w:szCs w:val="22"/>
        </w:rPr>
        <w:t xml:space="preserve"> </w:t>
      </w:r>
      <w:r w:rsidRPr="008F59B4">
        <w:rPr>
          <w:rFonts w:ascii="Arial" w:eastAsia="Calibri" w:hAnsi="Arial" w:cs="Arial"/>
          <w:color w:val="000000" w:themeColor="text1"/>
          <w:sz w:val="22"/>
          <w:szCs w:val="22"/>
          <w:lang w:val="es-ES_tradnl"/>
        </w:rPr>
        <w:t>«</w:t>
      </w:r>
      <w:r w:rsidRPr="008F59B4">
        <w:rPr>
          <w:rFonts w:ascii="Arial" w:eastAsia="Calibri" w:hAnsi="Arial" w:cs="Arial"/>
          <w:color w:val="000000" w:themeColor="text1"/>
          <w:sz w:val="22"/>
          <w:szCs w:val="22"/>
        </w:rPr>
        <w:t>Capitulo VIII Disposiciones en materia contractual para la moralización y la transparencia</w:t>
      </w:r>
      <w:r w:rsidRPr="008F59B4">
        <w:rPr>
          <w:rFonts w:ascii="Arial" w:eastAsia="Calibri" w:hAnsi="Arial" w:cs="Arial"/>
          <w:color w:val="000000" w:themeColor="text1"/>
          <w:sz w:val="22"/>
          <w:szCs w:val="22"/>
          <w:lang w:val="es-ES_tradnl"/>
        </w:rPr>
        <w:t xml:space="preserve">» –artículos 50 al 58–, en el cual se consagran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8F59B4">
        <w:rPr>
          <w:rFonts w:ascii="Arial" w:eastAsia="Calibri" w:hAnsi="Arial" w:cs="Arial"/>
          <w:i/>
          <w:iCs/>
          <w:color w:val="000000" w:themeColor="text1"/>
          <w:sz w:val="22"/>
          <w:szCs w:val="22"/>
          <w:lang w:val="es-ES_tradnl"/>
        </w:rPr>
        <w:t>no</w:t>
      </w:r>
      <w:r w:rsidRPr="008F59B4">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r w:rsidRPr="008F59B4">
        <w:rPr>
          <w:rFonts w:ascii="Arial" w:eastAsia="Calibri" w:hAnsi="Arial" w:cs="Arial"/>
          <w:color w:val="000000" w:themeColor="text1"/>
          <w:sz w:val="22"/>
          <w:szCs w:val="22"/>
        </w:rPr>
        <w:t>.</w:t>
      </w:r>
    </w:p>
    <w:p w14:paraId="177B9E70" w14:textId="77777777" w:rsidR="00C3543E" w:rsidRPr="008F59B4" w:rsidRDefault="00C3543E" w:rsidP="00C3543E">
      <w:pPr>
        <w:spacing w:before="120" w:line="276" w:lineRule="auto"/>
        <w:ind w:firstLine="709"/>
        <w:jc w:val="both"/>
        <w:rPr>
          <w:rFonts w:ascii="Arial" w:eastAsia="Calibri" w:hAnsi="Arial" w:cs="Arial"/>
          <w:bCs/>
          <w:sz w:val="22"/>
          <w:lang w:val="es-ES_tradnl"/>
        </w:rPr>
      </w:pPr>
      <w:r w:rsidRPr="008F59B4">
        <w:rPr>
          <w:rFonts w:ascii="Arial" w:eastAsia="Calibri" w:hAnsi="Arial" w:cs="Arial"/>
          <w:bCs/>
          <w:sz w:val="22"/>
          <w:lang w:val="es-ES_tradnl"/>
        </w:rPr>
        <w:lastRenderedPageBreak/>
        <w:t xml:space="preserve">Entre las medidas adoptadas por la referida ley destaca el artículo 58, norma sobre la que versa la presente consulta. Conforme con el trámite legislativo </w:t>
      </w:r>
      <w:r w:rsidRPr="008F59B4">
        <w:rPr>
          <w:rFonts w:ascii="Arial" w:eastAsiaTheme="minorHAnsi" w:hAnsi="Arial" w:cs="Arial"/>
          <w:sz w:val="22"/>
          <w:szCs w:val="22"/>
          <w:lang w:val="es-MX" w:eastAsia="en-US"/>
        </w:rPr>
        <w:t>en el Congreso de la República</w:t>
      </w:r>
      <w:r w:rsidRPr="008F59B4">
        <w:rPr>
          <w:rFonts w:ascii="Arial" w:eastAsia="Calibri" w:hAnsi="Arial" w:cs="Arial"/>
          <w:bCs/>
          <w:sz w:val="22"/>
          <w:lang w:val="es-ES_tradnl"/>
        </w:rPr>
        <w:t xml:space="preserve"> de la Ley 2195 del 2022 este artículo «busca que la competencia por el mercado de los contratos públicos tenga como variable los antecedentes contractuales de los proponentes, generándose incentivos para la calidad en los servicios y bienes provistos»</w:t>
      </w:r>
      <w:r w:rsidRPr="008F59B4">
        <w:rPr>
          <w:rStyle w:val="Refdenotaalpie"/>
          <w:rFonts w:ascii="Arial" w:eastAsia="Calibri" w:hAnsi="Arial" w:cs="Arial"/>
          <w:bCs/>
          <w:sz w:val="22"/>
          <w:lang w:val="es-ES_tradnl"/>
        </w:rPr>
        <w:footnoteReference w:id="15"/>
      </w:r>
      <w:r w:rsidRPr="008F59B4">
        <w:rPr>
          <w:rFonts w:ascii="Arial" w:eastAsia="Calibri" w:hAnsi="Arial" w:cs="Arial"/>
          <w:bCs/>
          <w:sz w:val="22"/>
          <w:lang w:val="es-ES_tradnl"/>
        </w:rPr>
        <w:t xml:space="preserve">. Por ello, esta disposición se refiere a la </w:t>
      </w:r>
      <w:r w:rsidRPr="008F59B4">
        <w:rPr>
          <w:rFonts w:ascii="Arial" w:eastAsia="Calibri" w:hAnsi="Arial" w:cs="Arial"/>
          <w:color w:val="000000" w:themeColor="text1"/>
          <w:sz w:val="22"/>
          <w:szCs w:val="22"/>
        </w:rPr>
        <w:t>reducción de puntaje durante la evaluación de las ofertas al proponente que se le haya impuesto una o más multas o cláusulas penales, prescribiendo lo siguiente:</w:t>
      </w:r>
    </w:p>
    <w:p w14:paraId="7C79F591" w14:textId="77777777" w:rsidR="00C3543E" w:rsidRPr="008F59B4" w:rsidRDefault="00C3543E" w:rsidP="00C3543E">
      <w:pPr>
        <w:tabs>
          <w:tab w:val="left" w:pos="0"/>
        </w:tabs>
        <w:spacing w:line="276" w:lineRule="auto"/>
        <w:jc w:val="both"/>
        <w:rPr>
          <w:rFonts w:ascii="Arial" w:eastAsia="Calibri" w:hAnsi="Arial" w:cs="Arial"/>
          <w:bCs/>
          <w:sz w:val="22"/>
          <w:lang w:val="es-ES_tradnl"/>
        </w:rPr>
      </w:pPr>
    </w:p>
    <w:p w14:paraId="6DCEB56F" w14:textId="77777777" w:rsidR="00C3543E" w:rsidRPr="008F59B4" w:rsidRDefault="00C3543E" w:rsidP="00C3543E">
      <w:pPr>
        <w:tabs>
          <w:tab w:val="left" w:pos="0"/>
        </w:tabs>
        <w:ind w:left="709" w:right="709"/>
        <w:jc w:val="both"/>
        <w:rPr>
          <w:rFonts w:ascii="Arial" w:hAnsi="Arial" w:cs="Arial"/>
          <w:bCs/>
          <w:sz w:val="21"/>
          <w:szCs w:val="21"/>
          <w:lang w:val="es-ES_tradnl"/>
        </w:rPr>
      </w:pPr>
      <w:r w:rsidRPr="008F59B4">
        <w:rPr>
          <w:rFonts w:ascii="Arial" w:hAnsi="Arial" w:cs="Arial"/>
          <w:sz w:val="21"/>
          <w:szCs w:val="21"/>
        </w:rPr>
        <w:t xml:space="preserve">Artículo 58. </w:t>
      </w:r>
      <w:r w:rsidRPr="008F59B4">
        <w:rPr>
          <w:rFonts w:ascii="Arial" w:eastAsia="Calibri" w:hAnsi="Arial" w:cs="Arial"/>
          <w:color w:val="000000" w:themeColor="text1"/>
          <w:sz w:val="22"/>
          <w:szCs w:val="22"/>
        </w:rPr>
        <w:t>Reducción de puntaje por incumplimientos de contratos.</w:t>
      </w:r>
      <w:r w:rsidRPr="008F59B4">
        <w:rPr>
          <w:rFonts w:ascii="Arial" w:hAnsi="Arial" w:cs="Arial"/>
          <w:bCs/>
          <w:sz w:val="21"/>
          <w:szCs w:val="21"/>
          <w:lang w:val="es-ES_tradnl"/>
        </w:rPr>
        <w:t xml:space="preserve"> Las entidades estatales sometidas al Estatuto General de Contratación de la Administración Pública que adelanten cualquier Proceso de Contratación, exceptuando</w:t>
      </w:r>
      <w:r w:rsidRPr="008F59B4">
        <w:rPr>
          <w:rFonts w:ascii="Arial" w:hAnsi="Arial" w:cs="Arial"/>
          <w:bCs/>
          <w:sz w:val="21"/>
          <w:szCs w:val="21"/>
        </w:rPr>
        <w:t xml:space="preserve"> los supuestos establecidos en el literal a) del numeral 2 del artículo 2 de la Ley 1150 de 2007, en los de mínima cuantía y en aquellos donde únicamente se pondere el menor precio ofrecido</w:t>
      </w:r>
      <w:r w:rsidRPr="008F59B4">
        <w:rPr>
          <w:rFonts w:ascii="Arial" w:hAnsi="Arial" w:cs="Arial"/>
          <w:bCs/>
          <w:sz w:val="21"/>
          <w:szCs w:val="21"/>
          <w:lang w:val="es-ES_tradnl"/>
        </w:rPr>
        <w:t>,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14:paraId="2E13439C" w14:textId="77777777" w:rsidR="00C3543E" w:rsidRPr="008F59B4" w:rsidRDefault="00C3543E" w:rsidP="00C3543E">
      <w:pPr>
        <w:tabs>
          <w:tab w:val="left" w:pos="0"/>
        </w:tabs>
        <w:ind w:left="709" w:right="709"/>
        <w:jc w:val="both"/>
        <w:rPr>
          <w:rFonts w:ascii="Arial" w:hAnsi="Arial" w:cs="Arial"/>
          <w:bCs/>
          <w:sz w:val="21"/>
          <w:szCs w:val="21"/>
          <w:lang w:val="es-ES_tradnl"/>
        </w:rPr>
      </w:pPr>
    </w:p>
    <w:p w14:paraId="34157AE2" w14:textId="77777777" w:rsidR="00C3543E" w:rsidRPr="008F59B4" w:rsidRDefault="00C3543E" w:rsidP="00C3543E">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Esta reducción también afecta a los consorcios y uniones temporales si alguno de sus integrantes se encuentra en la situación anterior. </w:t>
      </w:r>
    </w:p>
    <w:p w14:paraId="37180752" w14:textId="77777777" w:rsidR="00C3543E" w:rsidRPr="008F59B4" w:rsidRDefault="00C3543E" w:rsidP="00C3543E">
      <w:pPr>
        <w:tabs>
          <w:tab w:val="left" w:pos="0"/>
        </w:tabs>
        <w:ind w:left="709" w:right="709"/>
        <w:jc w:val="both"/>
        <w:rPr>
          <w:rFonts w:ascii="Arial" w:eastAsia="Calibri" w:hAnsi="Arial" w:cs="Arial"/>
          <w:bCs/>
          <w:sz w:val="21"/>
          <w:szCs w:val="21"/>
        </w:rPr>
      </w:pPr>
    </w:p>
    <w:p w14:paraId="2FDD98C0" w14:textId="77777777" w:rsidR="00C3543E" w:rsidRPr="008F59B4" w:rsidRDefault="00C3543E" w:rsidP="00C3543E">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Parágrafo primero. La reducción del puntaje no se aplicará en caso de que los actos administrativos que hayan impuesto las multas sean objeto de medios de control jurisdiccional a través de las acciones previstas en la Ley 1437 de 2011 o las normas que la modifiquen, adicionen o sustituyan. </w:t>
      </w:r>
    </w:p>
    <w:p w14:paraId="6339CDEC" w14:textId="77777777" w:rsidR="00C3543E" w:rsidRPr="008F59B4" w:rsidRDefault="00C3543E" w:rsidP="00C3543E">
      <w:pPr>
        <w:tabs>
          <w:tab w:val="left" w:pos="0"/>
        </w:tabs>
        <w:ind w:left="709" w:right="709"/>
        <w:jc w:val="both"/>
        <w:rPr>
          <w:rFonts w:ascii="Arial" w:eastAsia="Calibri" w:hAnsi="Arial" w:cs="Arial"/>
          <w:bCs/>
          <w:sz w:val="21"/>
          <w:szCs w:val="21"/>
        </w:rPr>
      </w:pPr>
    </w:p>
    <w:p w14:paraId="3B9DBE36" w14:textId="77777777" w:rsidR="00C3543E" w:rsidRPr="008F59B4" w:rsidRDefault="00C3543E" w:rsidP="00C3543E">
      <w:pPr>
        <w:tabs>
          <w:tab w:val="left" w:pos="0"/>
        </w:tabs>
        <w:ind w:left="709" w:right="709"/>
        <w:jc w:val="both"/>
        <w:rPr>
          <w:rFonts w:ascii="Arial" w:eastAsia="Calibri" w:hAnsi="Arial" w:cs="Arial"/>
          <w:bCs/>
          <w:sz w:val="21"/>
          <w:szCs w:val="21"/>
          <w:lang w:val="es-ES_tradnl"/>
        </w:rPr>
      </w:pPr>
      <w:r w:rsidRPr="008F59B4">
        <w:rPr>
          <w:rFonts w:ascii="Arial" w:eastAsia="Calibri" w:hAnsi="Arial" w:cs="Arial"/>
          <w:bCs/>
          <w:sz w:val="21"/>
          <w:szCs w:val="21"/>
        </w:rPr>
        <w:t>Parágrafo segundo. La reducción de puntaje por incumplimiento de contratos se aplicará sin perjuicio de lo contenido en el artículo 6 de la Ley 2020 de 2020.</w:t>
      </w:r>
    </w:p>
    <w:p w14:paraId="2D96F18A" w14:textId="77777777" w:rsidR="00C3543E" w:rsidRPr="008F59B4" w:rsidRDefault="00C3543E" w:rsidP="00C3543E">
      <w:pPr>
        <w:tabs>
          <w:tab w:val="left" w:pos="0"/>
        </w:tabs>
        <w:spacing w:line="276" w:lineRule="auto"/>
        <w:jc w:val="both"/>
        <w:rPr>
          <w:rFonts w:ascii="Arial" w:eastAsia="Calibri" w:hAnsi="Arial" w:cs="Arial"/>
          <w:b/>
          <w:sz w:val="22"/>
          <w:lang w:val="es-ES_tradnl"/>
        </w:rPr>
      </w:pPr>
    </w:p>
    <w:p w14:paraId="12BCFF65" w14:textId="77777777" w:rsidR="00C3543E" w:rsidRPr="008F59B4" w:rsidRDefault="00C3543E" w:rsidP="00C3543E">
      <w:pPr>
        <w:spacing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 xml:space="preserve">Como puede advertirse, esta disposición contiene </w:t>
      </w:r>
      <w:r>
        <w:rPr>
          <w:rFonts w:ascii="Arial" w:eastAsia="Calibri" w:hAnsi="Arial" w:cs="Arial"/>
          <w:color w:val="000000" w:themeColor="text1"/>
          <w:sz w:val="22"/>
          <w:lang w:val="es-ES_tradnl"/>
        </w:rPr>
        <w:t>las reglas</w:t>
      </w:r>
      <w:r w:rsidRPr="008F59B4">
        <w:rPr>
          <w:rFonts w:ascii="Arial" w:eastAsia="Calibri" w:hAnsi="Arial" w:cs="Arial"/>
          <w:color w:val="000000" w:themeColor="text1"/>
          <w:sz w:val="22"/>
          <w:lang w:val="es-ES_tradnl"/>
        </w:rPr>
        <w:t xml:space="preserve"> que, a continuación, se explican:</w:t>
      </w:r>
    </w:p>
    <w:p w14:paraId="779E8B5F" w14:textId="77777777" w:rsidR="00C3543E" w:rsidRPr="008F59B4" w:rsidRDefault="00C3543E" w:rsidP="00C3543E">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1855B8DF" w14:textId="77777777" w:rsidR="00C3543E" w:rsidRPr="008F59B4" w:rsidRDefault="00C3543E" w:rsidP="00C3543E">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lastRenderedPageBreak/>
        <w:t>ii)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–en comento–, a saber: los «establecidos en el literal a) del numeral 2 del artículo 2 de la Ley 1150 de 2007</w:t>
      </w:r>
      <w:r w:rsidRPr="008F59B4">
        <w:rPr>
          <w:rStyle w:val="Refdenotaalpie"/>
          <w:rFonts w:ascii="Arial" w:eastAsia="Calibri" w:hAnsi="Arial" w:cs="Arial"/>
          <w:color w:val="000000" w:themeColor="text1"/>
          <w:sz w:val="22"/>
          <w:lang w:val="es-ES_tradnl"/>
        </w:rPr>
        <w:footnoteReference w:id="16"/>
      </w:r>
      <w:r w:rsidRPr="008F59B4">
        <w:rPr>
          <w:rFonts w:ascii="Arial" w:eastAsia="Calibri" w:hAnsi="Arial" w:cs="Arial"/>
          <w:color w:val="000000" w:themeColor="text1"/>
          <w:sz w:val="22"/>
          <w:lang w:val="es-ES_tradnl"/>
        </w:rPr>
        <w:t>, en los de mínima cuantía y en aquellos donde únicamente se pondere el menor precio ofrecido».</w:t>
      </w:r>
    </w:p>
    <w:p w14:paraId="2BA1F225" w14:textId="77777777" w:rsidR="00C3543E" w:rsidRPr="008F59B4" w:rsidRDefault="00C3543E" w:rsidP="00C3543E">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 xml:space="preserve">iii)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8F59B4">
        <w:rPr>
          <w:rFonts w:ascii="Arial" w:eastAsia="Calibri" w:hAnsi="Arial" w:cs="Arial"/>
          <w:i/>
          <w:iCs/>
          <w:color w:val="000000" w:themeColor="text1"/>
          <w:sz w:val="22"/>
          <w:lang w:val="es-ES_tradnl"/>
        </w:rPr>
        <w:t>hasta</w:t>
      </w:r>
      <w:r w:rsidRPr="008F59B4">
        <w:rPr>
          <w:rFonts w:ascii="Arial" w:eastAsia="Calibri" w:hAnsi="Arial" w:cs="Arial"/>
          <w:color w:val="000000" w:themeColor="text1"/>
          <w:sz w:val="22"/>
          <w:lang w:val="es-ES_tradnl"/>
        </w:rPr>
        <w:t xml:space="preserve">, ni dice que debe ser, </w:t>
      </w:r>
      <w:r w:rsidRPr="008F59B4">
        <w:rPr>
          <w:rFonts w:ascii="Arial" w:eastAsia="Calibri" w:hAnsi="Arial" w:cs="Arial"/>
          <w:i/>
          <w:iCs/>
          <w:color w:val="000000" w:themeColor="text1"/>
          <w:sz w:val="22"/>
          <w:lang w:val="es-ES_tradnl"/>
        </w:rPr>
        <w:t>como mínimo</w:t>
      </w:r>
      <w:r w:rsidRPr="008F59B4">
        <w:rPr>
          <w:rFonts w:ascii="Arial" w:eastAsia="Calibri" w:hAnsi="Arial" w:cs="Arial"/>
          <w:color w:val="000000" w:themeColor="text1"/>
          <w:sz w:val="22"/>
          <w:lang w:val="es-ES_tradnl"/>
        </w:rPr>
        <w:t xml:space="preserve">, una reducción del dos por ciento (2%) de los puntos, sino que establece que ha de ser, exactamente, por este porcentaje. </w:t>
      </w:r>
    </w:p>
    <w:p w14:paraId="7ED33294" w14:textId="77777777" w:rsidR="00C3543E" w:rsidRPr="001C037A" w:rsidRDefault="00C3543E" w:rsidP="00C3543E">
      <w:pPr>
        <w:spacing w:before="120" w:line="276" w:lineRule="auto"/>
        <w:ind w:firstLine="709"/>
        <w:jc w:val="both"/>
        <w:rPr>
          <w:rFonts w:ascii="Arial" w:eastAsia="Calibri" w:hAnsi="Arial" w:cs="Arial"/>
          <w:color w:val="000000" w:themeColor="text1"/>
          <w:sz w:val="22"/>
          <w:szCs w:val="22"/>
          <w:lang w:val="es-ES_tradnl"/>
        </w:rPr>
      </w:pPr>
      <w:r w:rsidRPr="008F59B4">
        <w:rPr>
          <w:rFonts w:ascii="Arial" w:eastAsia="Calibri" w:hAnsi="Arial" w:cs="Arial"/>
          <w:color w:val="000000" w:themeColor="text1"/>
          <w:sz w:val="22"/>
          <w:szCs w:val="22"/>
          <w:lang w:val="es-ES_tradnl"/>
        </w:rPr>
        <w:t>iv) Los sujetos pasivos –es decir, los afectados por lo dispuesto en el artículo– son los proponentes –incluidos los consorcios y uniones temporales, por la situación de alguno de sus integrantes– a quienes «</w:t>
      </w:r>
      <w:r w:rsidRPr="008F59B4">
        <w:rPr>
          <w:rFonts w:ascii="Arial" w:hAnsi="Arial" w:cs="Arial"/>
          <w:sz w:val="22"/>
          <w:szCs w:val="22"/>
        </w:rPr>
        <w:t xml:space="preserve">[…] </w:t>
      </w:r>
      <w:r w:rsidRPr="008F59B4">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w:t>
      </w:r>
      <w:r>
        <w:rPr>
          <w:rFonts w:ascii="Arial" w:eastAsia="Calibri" w:hAnsi="Arial" w:cs="Arial"/>
          <w:color w:val="000000" w:themeColor="text1"/>
          <w:sz w:val="22"/>
          <w:szCs w:val="22"/>
          <w:lang w:val="es-ES_tradnl"/>
        </w:rPr>
        <w:t>imponer</w:t>
      </w:r>
      <w:r w:rsidRPr="008F59B4">
        <w:rPr>
          <w:rFonts w:ascii="Arial" w:eastAsia="Calibri" w:hAnsi="Arial" w:cs="Arial"/>
          <w:color w:val="000000" w:themeColor="text1"/>
          <w:sz w:val="22"/>
          <w:szCs w:val="22"/>
          <w:lang w:val="es-ES_tradnl"/>
        </w:rPr>
        <w:t xml:space="preserve"> multas o hacer efectivas cláusulas penales pecuniarias.</w:t>
      </w:r>
      <w:r w:rsidRPr="001C037A">
        <w:rPr>
          <w:rFonts w:ascii="Arial" w:eastAsia="Calibri" w:hAnsi="Arial" w:cs="Arial"/>
          <w:color w:val="000000" w:themeColor="text1"/>
          <w:sz w:val="22"/>
          <w:szCs w:val="22"/>
          <w:lang w:val="es-ES_tradnl"/>
        </w:rPr>
        <w:t xml:space="preserve">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0748605D" w14:textId="77777777" w:rsidR="00C3543E" w:rsidRPr="001C037A" w:rsidRDefault="00C3543E" w:rsidP="00C3543E">
      <w:pPr>
        <w:spacing w:before="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v) En cuanto al período durante el cual debe examinarse la imposición de las multas o cláusulas penales, el artículo 58 dice que es «</w:t>
      </w:r>
      <w:r w:rsidRPr="001C037A">
        <w:rPr>
          <w:rFonts w:ascii="Arial" w:hAnsi="Arial" w:cs="Arial"/>
          <w:sz w:val="22"/>
          <w:szCs w:val="22"/>
        </w:rPr>
        <w:t xml:space="preserve">[…] </w:t>
      </w:r>
      <w:r w:rsidRPr="001C037A">
        <w:rPr>
          <w:rFonts w:ascii="Arial" w:eastAsia="Calibri" w:hAnsi="Arial" w:cs="Arial"/>
          <w:color w:val="000000" w:themeColor="text1"/>
          <w:sz w:val="22"/>
          <w:szCs w:val="22"/>
          <w:lang w:val="es-ES_tradnl"/>
        </w:rPr>
        <w:t>durante el último año, contado a partir de la fecha prevista para la presentación de las ofertas». O sea que la entidad estatal contratante –que está adelantando el procedimiento de selección–, debe verificar si en el último año anterior al cierre del proceso –fecha prevista para la presentación de las ofertas</w:t>
      </w:r>
      <w:r>
        <w:rPr>
          <w:rFonts w:ascii="Arial" w:eastAsia="Calibri" w:hAnsi="Arial" w:cs="Arial"/>
          <w:color w:val="000000" w:themeColor="text1"/>
          <w:sz w:val="22"/>
          <w:szCs w:val="22"/>
          <w:lang w:val="es-ES_tradnl"/>
        </w:rPr>
        <w:t>-</w:t>
      </w:r>
      <w:r w:rsidRPr="001C037A">
        <w:rPr>
          <w:rFonts w:ascii="Arial" w:eastAsia="Calibri" w:hAnsi="Arial" w:cs="Arial"/>
          <w:color w:val="000000" w:themeColor="text1"/>
          <w:sz w:val="22"/>
          <w:szCs w:val="22"/>
          <w:lang w:val="es-ES_tradnl"/>
        </w:rPr>
        <w:t xml:space="preserve"> el proponente fue sancionado con multa o cláusula penal pecuniaria. Esto se debe verificar en el Registro Único de Proponentes –RUP–, de conformidad con lo establecido en el </w:t>
      </w:r>
      <w:r w:rsidRPr="001C037A">
        <w:rPr>
          <w:rFonts w:ascii="Arial" w:eastAsia="Calibri" w:hAnsi="Arial" w:cs="Arial"/>
          <w:color w:val="000000" w:themeColor="text1"/>
          <w:sz w:val="22"/>
          <w:szCs w:val="22"/>
          <w:lang w:val="es-ES_tradnl"/>
        </w:rPr>
        <w:lastRenderedPageBreak/>
        <w:t xml:space="preserve">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7EA5885A" w14:textId="77777777" w:rsidR="00C3543E" w:rsidRPr="001C037A" w:rsidRDefault="00C3543E" w:rsidP="00C3543E">
      <w:pPr>
        <w:spacing w:before="120" w:after="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 xml:space="preserve">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bookmarkStart w:id="5" w:name="_Hlk97277493"/>
      <w:r w:rsidRPr="001C037A">
        <w:rPr>
          <w:rFonts w:ascii="Arial" w:eastAsia="Calibri" w:hAnsi="Arial" w:cs="Arial"/>
          <w:color w:val="000000" w:themeColor="text1"/>
          <w:sz w:val="22"/>
          <w:szCs w:val="22"/>
          <w:lang w:val="es-ES_tradnl"/>
        </w:rPr>
        <w:t>«</w:t>
      </w:r>
      <w:bookmarkEnd w:id="5"/>
      <w:r w:rsidRPr="001C037A">
        <w:rPr>
          <w:rFonts w:ascii="Arial" w:hAnsi="Arial" w:cs="Arial"/>
          <w:sz w:val="22"/>
          <w:szCs w:val="22"/>
          <w:lang w:val="es-ES_tradnl"/>
        </w:rPr>
        <w:t xml:space="preserve">[…] </w:t>
      </w:r>
      <w:r w:rsidRPr="001C037A">
        <w:rPr>
          <w:rFonts w:ascii="Arial" w:eastAsia="Calibri" w:hAnsi="Arial" w:cs="Arial"/>
          <w:color w:val="000000" w:themeColor="text1"/>
          <w:sz w:val="22"/>
          <w:szCs w:val="22"/>
          <w:lang w:val="es-ES_tradnl"/>
        </w:rPr>
        <w:t>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 por lo que el legislador optó por realizar una distinción en su tratamiento.</w:t>
      </w:r>
    </w:p>
    <w:p w14:paraId="2F6CEA38" w14:textId="77777777" w:rsidR="00C3543E" w:rsidRPr="0045355B" w:rsidRDefault="00C3543E" w:rsidP="00C3543E">
      <w:pPr>
        <w:tabs>
          <w:tab w:val="left" w:pos="0"/>
        </w:tabs>
        <w:spacing w:after="120" w:line="276" w:lineRule="auto"/>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ab/>
        <w:t xml:space="preserve">vii) La reducción del </w:t>
      </w:r>
      <w:r w:rsidRPr="0045355B">
        <w:rPr>
          <w:rFonts w:ascii="Arial" w:eastAsia="Calibri" w:hAnsi="Arial" w:cs="Arial"/>
          <w:color w:val="000000" w:themeColor="text1"/>
          <w:sz w:val="22"/>
          <w:szCs w:val="22"/>
          <w:lang w:val="es-ES_tradnl"/>
        </w:rPr>
        <w:t>puntaje que exige efectuar el artículo 58 de la Ley 2195 de 2022, como lo expresa su parágrafo 2, debe aplicarse «sin perjuicio de lo contenido en el artículo 6 de la Ley 2020 de 2020»</w:t>
      </w:r>
      <w:r w:rsidRPr="0045355B">
        <w:rPr>
          <w:rStyle w:val="Refdenotaalpie"/>
          <w:rFonts w:ascii="Arial" w:eastAsia="Calibri" w:hAnsi="Arial" w:cs="Arial"/>
          <w:color w:val="000000" w:themeColor="text1"/>
          <w:sz w:val="22"/>
          <w:szCs w:val="22"/>
          <w:lang w:val="es-ES_tradnl"/>
        </w:rPr>
        <w:footnoteReference w:id="17"/>
      </w:r>
      <w:r w:rsidRPr="0045355B">
        <w:rPr>
          <w:rFonts w:ascii="Arial" w:eastAsia="Calibri" w:hAnsi="Arial" w:cs="Arial"/>
          <w:color w:val="000000" w:themeColor="text1"/>
          <w:sz w:val="22"/>
          <w:szCs w:val="22"/>
          <w:lang w:val="es-ES_tradnl"/>
        </w:rPr>
        <w:t>. Esto significa que no riñe la disminución del puntaje con la verificación de las anotaciones contenidas en el Registro Nacional de Obras Civiles Inconclusas.</w:t>
      </w:r>
    </w:p>
    <w:p w14:paraId="579FAE38" w14:textId="3CFA326A" w:rsidR="008712E8" w:rsidRPr="00D64641" w:rsidRDefault="008712E8" w:rsidP="008712E8">
      <w:pPr>
        <w:spacing w:before="120" w:line="276" w:lineRule="auto"/>
        <w:ind w:firstLine="709"/>
        <w:jc w:val="both"/>
        <w:rPr>
          <w:rFonts w:ascii="Arial" w:eastAsia="Calibri" w:hAnsi="Arial" w:cs="Arial"/>
          <w:color w:val="000000" w:themeColor="text1"/>
          <w:sz w:val="22"/>
          <w:szCs w:val="22"/>
        </w:rPr>
      </w:pPr>
      <w:bookmarkStart w:id="6" w:name="_Hlk97194314"/>
      <w:r w:rsidRPr="00D64641">
        <w:rPr>
          <w:rFonts w:ascii="Arial" w:eastAsia="Calibri" w:hAnsi="Arial" w:cs="Arial"/>
          <w:color w:val="000000" w:themeColor="text1"/>
          <w:sz w:val="22"/>
          <w:szCs w:val="22"/>
          <w:lang w:val="es-ES_tradnl"/>
        </w:rPr>
        <w:t>Ahora bien, en la consulta se pregunta</w:t>
      </w:r>
      <w:r>
        <w:rPr>
          <w:rFonts w:ascii="Arial" w:eastAsia="Calibri" w:hAnsi="Arial" w:cs="Arial"/>
          <w:color w:val="000000" w:themeColor="text1"/>
          <w:sz w:val="22"/>
          <w:szCs w:val="22"/>
          <w:lang w:val="es-ES_tradnl"/>
        </w:rPr>
        <w:t xml:space="preserve"> </w:t>
      </w:r>
      <w:r w:rsidRPr="00D64641">
        <w:rPr>
          <w:rFonts w:ascii="Arial" w:eastAsia="Calibri" w:hAnsi="Arial" w:cs="Arial"/>
          <w:color w:val="000000" w:themeColor="text1"/>
          <w:sz w:val="22"/>
          <w:szCs w:val="22"/>
          <w:lang w:val="es-ES_tradnl"/>
        </w:rPr>
        <w:t xml:space="preserve">si </w:t>
      </w:r>
      <w:r w:rsidR="00021F62">
        <w:rPr>
          <w:rFonts w:ascii="Arial" w:eastAsia="Calibri" w:hAnsi="Arial" w:cs="Arial"/>
          <w:color w:val="000000" w:themeColor="text1"/>
          <w:sz w:val="22"/>
          <w:szCs w:val="22"/>
          <w:lang w:val="es-ES_tradnl"/>
        </w:rPr>
        <w:t xml:space="preserve">la reducción del puntaje establecida en el </w:t>
      </w:r>
      <w:r w:rsidRPr="00D64641">
        <w:rPr>
          <w:rFonts w:ascii="Arial" w:eastAsia="Calibri" w:hAnsi="Arial" w:cs="Arial"/>
          <w:color w:val="000000" w:themeColor="text1"/>
          <w:sz w:val="22"/>
          <w:szCs w:val="22"/>
          <w:lang w:val="es-ES_tradnl"/>
        </w:rPr>
        <w:t xml:space="preserve">artículo 58 de la Ley 2195 </w:t>
      </w:r>
      <w:r w:rsidR="00DD2772">
        <w:rPr>
          <w:rFonts w:ascii="Arial" w:eastAsia="Calibri" w:hAnsi="Arial" w:cs="Arial"/>
          <w:color w:val="000000" w:themeColor="text1"/>
          <w:sz w:val="22"/>
          <w:szCs w:val="22"/>
          <w:lang w:val="es-ES_tradnl"/>
        </w:rPr>
        <w:t>de 2022 s</w:t>
      </w:r>
      <w:r w:rsidRPr="00D64641">
        <w:rPr>
          <w:rFonts w:ascii="Arial" w:eastAsia="Calibri" w:hAnsi="Arial" w:cs="Arial"/>
          <w:color w:val="000000" w:themeColor="text1"/>
          <w:sz w:val="22"/>
          <w:szCs w:val="22"/>
          <w:lang w:val="es-ES_tradnl"/>
        </w:rPr>
        <w:t xml:space="preserve">e aplica para las multas </w:t>
      </w:r>
      <w:r w:rsidR="00DD2772">
        <w:rPr>
          <w:rFonts w:ascii="Arial" w:eastAsia="Calibri" w:hAnsi="Arial" w:cs="Arial"/>
          <w:color w:val="000000" w:themeColor="text1"/>
          <w:sz w:val="22"/>
          <w:szCs w:val="22"/>
          <w:lang w:val="es-ES_tradnl"/>
        </w:rPr>
        <w:t xml:space="preserve">y cláusulas penales </w:t>
      </w:r>
      <w:r w:rsidRPr="00D64641">
        <w:rPr>
          <w:rFonts w:ascii="Arial" w:eastAsia="Calibri" w:hAnsi="Arial" w:cs="Arial"/>
          <w:color w:val="000000" w:themeColor="text1"/>
          <w:sz w:val="22"/>
          <w:szCs w:val="22"/>
          <w:lang w:val="es-ES_tradnl"/>
        </w:rPr>
        <w:t xml:space="preserve">impuestas antes de la entrada en vigencia de </w:t>
      </w:r>
      <w:r w:rsidR="00DD2772">
        <w:rPr>
          <w:rFonts w:ascii="Arial" w:eastAsia="Calibri" w:hAnsi="Arial" w:cs="Arial"/>
          <w:color w:val="000000" w:themeColor="text1"/>
          <w:sz w:val="22"/>
          <w:szCs w:val="22"/>
          <w:lang w:val="es-ES_tradnl"/>
        </w:rPr>
        <w:t>dicha</w:t>
      </w:r>
      <w:r w:rsidRPr="00D64641">
        <w:rPr>
          <w:rFonts w:ascii="Arial" w:eastAsia="Calibri" w:hAnsi="Arial" w:cs="Arial"/>
          <w:color w:val="000000" w:themeColor="text1"/>
          <w:sz w:val="22"/>
          <w:szCs w:val="22"/>
          <w:lang w:val="es-ES_tradnl"/>
        </w:rPr>
        <w:t xml:space="preserve"> </w:t>
      </w:r>
      <w:r w:rsidR="00DD2772">
        <w:rPr>
          <w:rFonts w:ascii="Arial" w:eastAsia="Calibri" w:hAnsi="Arial" w:cs="Arial"/>
          <w:color w:val="000000" w:themeColor="text1"/>
          <w:sz w:val="22"/>
          <w:szCs w:val="22"/>
          <w:lang w:val="es-ES_tradnl"/>
        </w:rPr>
        <w:t>l</w:t>
      </w:r>
      <w:r w:rsidRPr="00D64641">
        <w:rPr>
          <w:rFonts w:ascii="Arial" w:eastAsia="Calibri" w:hAnsi="Arial" w:cs="Arial"/>
          <w:color w:val="000000" w:themeColor="text1"/>
          <w:sz w:val="22"/>
          <w:szCs w:val="22"/>
          <w:lang w:val="es-ES_tradnl"/>
        </w:rPr>
        <w:t xml:space="preserve">ey. Para resolver estas inquietudes la Agencia </w:t>
      </w:r>
      <w:r w:rsidRPr="00D64641">
        <w:rPr>
          <w:rFonts w:ascii="Arial" w:eastAsia="Calibri" w:hAnsi="Arial" w:cs="Arial"/>
          <w:color w:val="000000" w:themeColor="text1"/>
          <w:sz w:val="22"/>
          <w:szCs w:val="22"/>
          <w:lang w:val="es-ES_tradnl"/>
        </w:rPr>
        <w:lastRenderedPageBreak/>
        <w:t>estima pertinentes algunos comentarios sobre la vigencia de las normas jurídicas en el tiempo.</w:t>
      </w:r>
    </w:p>
    <w:bookmarkEnd w:id="6"/>
    <w:p w14:paraId="06C3AC09" w14:textId="77777777" w:rsidR="00512986" w:rsidRPr="001C037A" w:rsidRDefault="00512986" w:rsidP="00227710">
      <w:pPr>
        <w:tabs>
          <w:tab w:val="left" w:pos="0"/>
        </w:tabs>
        <w:spacing w:line="276" w:lineRule="auto"/>
        <w:jc w:val="both"/>
        <w:rPr>
          <w:rFonts w:ascii="Arial" w:eastAsia="Calibri" w:hAnsi="Arial" w:cs="Arial"/>
          <w:bCs/>
          <w:sz w:val="22"/>
        </w:rPr>
      </w:pPr>
    </w:p>
    <w:p w14:paraId="51462703" w14:textId="0ACE1374" w:rsidR="00707903" w:rsidRDefault="00707903" w:rsidP="00227710">
      <w:pPr>
        <w:tabs>
          <w:tab w:val="left" w:pos="0"/>
        </w:tabs>
        <w:spacing w:line="276" w:lineRule="auto"/>
        <w:jc w:val="both"/>
        <w:rPr>
          <w:rFonts w:ascii="Arial" w:hAnsi="Arial" w:cs="Arial"/>
          <w:b/>
          <w:bCs/>
          <w:iCs/>
          <w:color w:val="000000" w:themeColor="text1"/>
          <w:sz w:val="22"/>
          <w:lang w:val="es-ES_tradnl"/>
        </w:rPr>
      </w:pPr>
      <w:r w:rsidRPr="001C037A">
        <w:rPr>
          <w:rFonts w:ascii="Arial" w:hAnsi="Arial" w:cs="Arial"/>
          <w:b/>
          <w:bCs/>
          <w:iCs/>
          <w:color w:val="000000" w:themeColor="text1"/>
          <w:sz w:val="22"/>
          <w:lang w:val="es-ES_tradnl"/>
        </w:rPr>
        <w:t>2.</w:t>
      </w:r>
      <w:r w:rsidR="00C3543E">
        <w:rPr>
          <w:rFonts w:ascii="Arial" w:hAnsi="Arial" w:cs="Arial"/>
          <w:b/>
          <w:bCs/>
          <w:iCs/>
          <w:color w:val="000000" w:themeColor="text1"/>
          <w:sz w:val="22"/>
          <w:lang w:val="es-ES_tradnl"/>
        </w:rPr>
        <w:t>4</w:t>
      </w:r>
      <w:r w:rsidRPr="001C037A">
        <w:rPr>
          <w:rFonts w:ascii="Arial" w:hAnsi="Arial" w:cs="Arial"/>
          <w:b/>
          <w:bCs/>
          <w:iCs/>
          <w:color w:val="000000" w:themeColor="text1"/>
          <w:sz w:val="22"/>
          <w:lang w:val="es-ES_tradnl"/>
        </w:rPr>
        <w:t>. Vigencia de las normas jurídicas. El caso del artículo 58 de la Ley 2195 de 2022</w:t>
      </w:r>
      <w:r w:rsidR="008752DA" w:rsidRPr="001C037A">
        <w:rPr>
          <w:rFonts w:ascii="Arial" w:hAnsi="Arial" w:cs="Arial"/>
          <w:b/>
          <w:bCs/>
          <w:iCs/>
          <w:color w:val="000000" w:themeColor="text1"/>
          <w:sz w:val="22"/>
          <w:lang w:val="es-ES_tradnl"/>
        </w:rPr>
        <w:t xml:space="preserve">. </w:t>
      </w:r>
    </w:p>
    <w:p w14:paraId="5C528F0E" w14:textId="77777777" w:rsidR="00227710" w:rsidRPr="00227710" w:rsidRDefault="00227710" w:rsidP="00227710">
      <w:pPr>
        <w:tabs>
          <w:tab w:val="left" w:pos="0"/>
        </w:tabs>
        <w:spacing w:line="276" w:lineRule="auto"/>
        <w:jc w:val="both"/>
        <w:rPr>
          <w:rFonts w:ascii="Arial" w:hAnsi="Arial" w:cs="Arial"/>
          <w:b/>
          <w:bCs/>
          <w:iCs/>
          <w:color w:val="000000" w:themeColor="text1"/>
          <w:sz w:val="22"/>
          <w:lang w:val="es-ES_tradnl"/>
        </w:rPr>
      </w:pPr>
    </w:p>
    <w:p w14:paraId="734ABD2F" w14:textId="77777777" w:rsidR="00CD6054" w:rsidRPr="001C037A" w:rsidRDefault="00CD6054" w:rsidP="00227710">
      <w:pPr>
        <w:spacing w:line="276" w:lineRule="auto"/>
        <w:jc w:val="both"/>
        <w:rPr>
          <w:rFonts w:ascii="Arial" w:eastAsia="Calibri" w:hAnsi="Arial" w:cs="Arial"/>
          <w:color w:val="000000" w:themeColor="text1"/>
          <w:sz w:val="22"/>
          <w:szCs w:val="22"/>
          <w:lang w:val="es-ES_tradnl"/>
        </w:rPr>
      </w:pPr>
      <w:bookmarkStart w:id="7" w:name="_Hlk97102875"/>
      <w:r w:rsidRPr="001C037A">
        <w:rPr>
          <w:rFonts w:ascii="Arial" w:eastAsia="Calibri" w:hAnsi="Arial" w:cs="Arial"/>
          <w:color w:val="000000" w:themeColor="text1"/>
          <w:sz w:val="22"/>
          <w:szCs w:val="22"/>
          <w:lang w:val="es-ES_tradnl"/>
        </w:rPr>
        <w:t>Como lo indicó la Agencia Nacional de Contratación Pública – Colombia Compra Eficiente en los conceptos C-536 del 24 de agosto de 2020, C-320 del 1 de julio de 2021 y C-437 del 24 de agosto de 2021, 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Pr="001C037A">
        <w:rPr>
          <w:rStyle w:val="Refdenotaalpie"/>
          <w:rFonts w:ascii="Arial" w:eastAsia="Calibri" w:hAnsi="Arial" w:cs="Arial"/>
          <w:sz w:val="22"/>
          <w:szCs w:val="22"/>
        </w:rPr>
        <w:footnoteReference w:id="18"/>
      </w:r>
      <w:r w:rsidRPr="001C037A">
        <w:rPr>
          <w:rFonts w:ascii="Arial" w:eastAsia="Calibri" w:hAnsi="Arial" w:cs="Arial"/>
          <w:color w:val="000000" w:themeColor="text1"/>
          <w:sz w:val="22"/>
          <w:szCs w:val="22"/>
          <w:lang w:val="es-ES_tradnl"/>
        </w:rPr>
        <w:t>.</w:t>
      </w:r>
    </w:p>
    <w:p w14:paraId="1548B494" w14:textId="77777777" w:rsidR="00CD6054" w:rsidRPr="00CB1324" w:rsidRDefault="00CD6054" w:rsidP="00CD6054">
      <w:pPr>
        <w:spacing w:before="120" w:line="276" w:lineRule="auto"/>
        <w:ind w:firstLine="709"/>
        <w:jc w:val="both"/>
        <w:rPr>
          <w:rFonts w:ascii="Arial" w:eastAsia="Calibri" w:hAnsi="Arial" w:cs="Arial"/>
          <w:color w:val="000000" w:themeColor="text1"/>
          <w:sz w:val="22"/>
          <w:lang w:val="es-ES_tradnl"/>
        </w:rPr>
      </w:pPr>
      <w:r w:rsidRPr="001C037A">
        <w:rPr>
          <w:rFonts w:ascii="Arial" w:eastAsia="Calibri" w:hAnsi="Arial" w:cs="Arial"/>
          <w:color w:val="000000" w:themeColor="text1"/>
          <w:sz w:val="22"/>
          <w:lang w:val="es-ES_tradnl"/>
        </w:rPr>
        <w:t xml:space="preserve">Tal es la </w:t>
      </w:r>
      <w:r w:rsidRPr="00CB1324">
        <w:rPr>
          <w:rFonts w:ascii="Arial" w:eastAsia="Calibri" w:hAnsi="Arial" w:cs="Arial"/>
          <w:color w:val="000000" w:themeColor="text1"/>
          <w:sz w:val="22"/>
          <w:lang w:val="es-ES_tradnl"/>
        </w:rPr>
        <w:t xml:space="preserve">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w:t>
      </w:r>
      <w:r w:rsidRPr="00CB1324">
        <w:rPr>
          <w:rFonts w:ascii="Arial" w:eastAsia="Calibri" w:hAnsi="Arial" w:cs="Arial"/>
          <w:i/>
          <w:iCs/>
          <w:color w:val="000000" w:themeColor="text1"/>
          <w:sz w:val="22"/>
          <w:lang w:val="es-ES_tradnl"/>
        </w:rPr>
        <w:t>antes</w:t>
      </w:r>
      <w:r w:rsidRPr="00CB1324">
        <w:rPr>
          <w:rFonts w:ascii="Arial" w:eastAsia="Calibri" w:hAnsi="Arial" w:cs="Arial"/>
          <w:color w:val="000000" w:themeColor="text1"/>
          <w:sz w:val="22"/>
          <w:lang w:val="es-ES_tradnl"/>
        </w:rPr>
        <w:t xml:space="preserve"> de la realización de la conducta activa u omisiva sobre la cual se imputa el reproche. Esto es lo que se conoce en el derecho como la </w:t>
      </w:r>
      <w:r w:rsidRPr="00CB1324">
        <w:rPr>
          <w:rFonts w:ascii="Arial" w:eastAsia="Calibri" w:hAnsi="Arial" w:cs="Arial"/>
          <w:i/>
          <w:iCs/>
          <w:color w:val="000000" w:themeColor="text1"/>
          <w:sz w:val="22"/>
          <w:lang w:val="es-ES_tradnl"/>
        </w:rPr>
        <w:t>irretroactividad</w:t>
      </w:r>
      <w:r w:rsidRPr="00CB1324">
        <w:rPr>
          <w:rFonts w:ascii="Arial" w:eastAsia="Calibri" w:hAnsi="Arial" w:cs="Arial"/>
          <w:color w:val="000000" w:themeColor="text1"/>
          <w:sz w:val="22"/>
          <w:lang w:val="es-ES_tradnl"/>
        </w:rPr>
        <w:t xml:space="preserve"> de las leyes.</w:t>
      </w:r>
    </w:p>
    <w:p w14:paraId="21445906" w14:textId="77777777" w:rsidR="00CD6054" w:rsidRPr="00CB1324" w:rsidRDefault="00CD6054" w:rsidP="00CD6054">
      <w:pPr>
        <w:spacing w:before="120" w:line="276" w:lineRule="auto"/>
        <w:ind w:firstLine="709"/>
        <w:jc w:val="both"/>
        <w:rPr>
          <w:rFonts w:ascii="Arial" w:eastAsia="Calibri" w:hAnsi="Arial" w:cs="Arial"/>
          <w:color w:val="000000" w:themeColor="text1"/>
          <w:sz w:val="22"/>
          <w:lang w:val="es-ES_tradnl"/>
        </w:rPr>
      </w:pPr>
      <w:r w:rsidRPr="00CB1324">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se hace referencia a los artículos 17 al 49 de la Ley 153 de 1887. Pero, por su aplicación al caso concreto, que se analiza en este concepto, se resaltan los siguientes artículos de dicha Ley:</w:t>
      </w:r>
    </w:p>
    <w:p w14:paraId="56180B0D" w14:textId="77777777" w:rsidR="00CD6054" w:rsidRPr="00CB1324" w:rsidRDefault="00CD6054" w:rsidP="00CD6054">
      <w:pPr>
        <w:spacing w:line="276" w:lineRule="auto"/>
        <w:ind w:firstLine="709"/>
        <w:jc w:val="both"/>
        <w:rPr>
          <w:rFonts w:ascii="Arial" w:eastAsia="Calibri" w:hAnsi="Arial" w:cs="Arial"/>
          <w:color w:val="000000" w:themeColor="text1"/>
          <w:sz w:val="22"/>
          <w:lang w:val="es-ES_tradnl"/>
        </w:rPr>
      </w:pPr>
    </w:p>
    <w:p w14:paraId="736CE3B0"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t>Artículo 38. En todo contrato se entenderán incorporadas las leyes vigentes al tiempo de su celebración. </w:t>
      </w:r>
    </w:p>
    <w:p w14:paraId="3367BB58"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t>  </w:t>
      </w:r>
    </w:p>
    <w:p w14:paraId="2D8AE1BB"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t>Exceptúanse de esta disposición: </w:t>
      </w:r>
    </w:p>
    <w:p w14:paraId="440296B4"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t>  </w:t>
      </w:r>
    </w:p>
    <w:p w14:paraId="325C5414"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lastRenderedPageBreak/>
        <w:t>1. Las leyes concernientes al modo de reclamar en juicio los derechos que resultaren del contrato, y </w:t>
      </w:r>
    </w:p>
    <w:p w14:paraId="1B125132"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t>  </w:t>
      </w:r>
    </w:p>
    <w:p w14:paraId="28C19B0C"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t>2. Las que señalan penas para el caso de infracción de lo estipulado; la cual infracción será castigada con arreglo á la ley bajo la cual se hubiere cometido. </w:t>
      </w:r>
    </w:p>
    <w:p w14:paraId="2665D176" w14:textId="77777777" w:rsidR="00CD6054" w:rsidRPr="00CB1324" w:rsidRDefault="00CD6054" w:rsidP="00CD6054">
      <w:pPr>
        <w:jc w:val="both"/>
        <w:rPr>
          <w:rFonts w:ascii="Arial" w:hAnsi="Arial" w:cs="Arial"/>
          <w:color w:val="000000" w:themeColor="text1"/>
          <w:lang w:val="es-ES_tradnl"/>
        </w:rPr>
      </w:pPr>
    </w:p>
    <w:p w14:paraId="2B2154E4"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t xml:space="preserve">Artículo 40. [Modificado por el artículo 624 de la Ley 1564 de 2012] Las leyes concernientes a la sustanciación y ritualidad de los juicios prevalecen sobre las anteriores desde el momento en que deben empezar a regir. </w:t>
      </w:r>
    </w:p>
    <w:p w14:paraId="38C26B12" w14:textId="77777777" w:rsidR="00CD6054" w:rsidRPr="00CB1324" w:rsidRDefault="00CD6054" w:rsidP="00CD6054">
      <w:pPr>
        <w:ind w:right="709"/>
        <w:jc w:val="both"/>
        <w:rPr>
          <w:rFonts w:ascii="Arial" w:hAnsi="Arial" w:cs="Arial"/>
          <w:color w:val="000000" w:themeColor="text1"/>
          <w:sz w:val="21"/>
          <w:szCs w:val="21"/>
          <w:lang w:val="es-ES_tradnl"/>
        </w:rPr>
      </w:pPr>
    </w:p>
    <w:p w14:paraId="15926CE1"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2D67B753" w14:textId="77777777" w:rsidR="00CD6054" w:rsidRPr="00CB1324" w:rsidRDefault="00CD6054" w:rsidP="00CD6054">
      <w:pPr>
        <w:ind w:right="709"/>
        <w:jc w:val="both"/>
        <w:rPr>
          <w:rFonts w:ascii="Arial" w:hAnsi="Arial" w:cs="Arial"/>
          <w:color w:val="000000" w:themeColor="text1"/>
          <w:sz w:val="21"/>
          <w:szCs w:val="21"/>
          <w:lang w:val="es-ES_tradnl"/>
        </w:rPr>
      </w:pPr>
    </w:p>
    <w:p w14:paraId="7EF0BED8" w14:textId="77777777" w:rsidR="00CD6054" w:rsidRPr="00CB1324" w:rsidRDefault="00CD6054" w:rsidP="00CD6054">
      <w:pPr>
        <w:ind w:left="709" w:right="709"/>
        <w:jc w:val="both"/>
        <w:rPr>
          <w:rFonts w:ascii="Arial" w:hAnsi="Arial" w:cs="Arial"/>
          <w:color w:val="000000" w:themeColor="text1"/>
          <w:sz w:val="21"/>
          <w:szCs w:val="21"/>
          <w:lang w:val="es-ES_tradnl"/>
        </w:rPr>
      </w:pPr>
      <w:r w:rsidRPr="00CB1324">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74D6608C" w14:textId="77777777" w:rsidR="00CD6054" w:rsidRPr="00CB1324" w:rsidRDefault="00CD6054" w:rsidP="00CD6054">
      <w:pPr>
        <w:ind w:left="709" w:right="709"/>
        <w:jc w:val="both"/>
        <w:rPr>
          <w:rFonts w:ascii="Arial" w:hAnsi="Arial" w:cs="Arial"/>
          <w:color w:val="000000" w:themeColor="text1"/>
          <w:sz w:val="21"/>
          <w:szCs w:val="21"/>
          <w:lang w:val="es-ES_tradnl"/>
        </w:rPr>
      </w:pPr>
    </w:p>
    <w:p w14:paraId="5F42D344" w14:textId="77777777" w:rsidR="00CD6054" w:rsidRPr="00CB1324" w:rsidRDefault="00CD6054" w:rsidP="00CD6054">
      <w:pPr>
        <w:spacing w:line="276" w:lineRule="auto"/>
        <w:ind w:firstLine="709"/>
        <w:jc w:val="both"/>
        <w:rPr>
          <w:rFonts w:ascii="Arial" w:hAnsi="Arial" w:cs="Arial"/>
          <w:color w:val="000000" w:themeColor="text1"/>
          <w:sz w:val="22"/>
          <w:szCs w:val="22"/>
          <w:lang w:val="es-ES_tradnl"/>
        </w:rPr>
      </w:pPr>
      <w:r w:rsidRPr="00CB1324">
        <w:rPr>
          <w:rFonts w:ascii="Arial" w:eastAsia="Calibri" w:hAnsi="Arial" w:cs="Arial"/>
          <w:color w:val="000000" w:themeColor="text1"/>
          <w:sz w:val="22"/>
          <w:szCs w:val="22"/>
          <w:lang w:val="es-ES_tradnl"/>
        </w:rPr>
        <w:t>De dichos enunciados se pueden extraer las siguientes subreglas: i) en principio, las leyes promulgadas rigen hacia el futuro, es decir, no regulan situaciones del pasado; son, pues, irretroactivas. En consecuencia, nadie puede ser «juzgado» ni sancionado, sino conforme a leyes preexistentes al acto que se imputa. ii) Por lo tanto, las leyes que regulan los contratos son las vigentes al momento de su celebración; es decir que si 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de favorabilidad, lo que significa que debe aplicarse la ley más beneficiosa a la persona. Esta subregla, a su vez, tiene dos hipótesis: 1) si la ley posterior es más favorable que la que estaba vigente cuando, supuestamente, se cometió la falta o delito, se debe aplicar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00CB1324">
        <w:rPr>
          <w:rStyle w:val="Refdenotaalpie"/>
          <w:rFonts w:ascii="Arial" w:eastAsia="Calibri" w:hAnsi="Arial" w:cs="Arial"/>
          <w:sz w:val="22"/>
          <w:szCs w:val="22"/>
        </w:rPr>
        <w:footnoteReference w:id="19"/>
      </w:r>
      <w:r w:rsidRPr="00CB1324">
        <w:rPr>
          <w:rFonts w:ascii="Arial" w:eastAsia="Calibri" w:hAnsi="Arial" w:cs="Arial"/>
          <w:color w:val="000000" w:themeColor="text1"/>
          <w:sz w:val="22"/>
          <w:szCs w:val="22"/>
          <w:lang w:val="es-ES_tradnl"/>
        </w:rPr>
        <w:t xml:space="preserve">. Así lo ha entendido la Corte Constitucional, al indicar que en las actuaciones </w:t>
      </w:r>
      <w:r w:rsidRPr="00CB1324">
        <w:rPr>
          <w:rFonts w:ascii="Arial" w:eastAsia="Calibri" w:hAnsi="Arial" w:cs="Arial"/>
          <w:color w:val="000000" w:themeColor="text1"/>
          <w:sz w:val="22"/>
          <w:szCs w:val="22"/>
          <w:lang w:val="es-ES_tradnl"/>
        </w:rPr>
        <w:lastRenderedPageBreak/>
        <w:t>administrativas se debe aplicar el principio de favorabilidad. Esta fue la tesis que defendió en la Sentencia C-619 de 2001, que estudió la demanda de inconstitucionalidad en contra del primer inciso del artículo 67 de la Ley 610 de 2000</w:t>
      </w:r>
      <w:r w:rsidRPr="00CB1324">
        <w:rPr>
          <w:rStyle w:val="Refdenotaalpie"/>
          <w:rFonts w:ascii="Arial" w:eastAsia="Calibri" w:hAnsi="Arial" w:cs="Arial"/>
          <w:sz w:val="22"/>
          <w:szCs w:val="22"/>
        </w:rPr>
        <w:footnoteReference w:id="20"/>
      </w:r>
      <w:r w:rsidRPr="00CB1324">
        <w:rPr>
          <w:rFonts w:ascii="Arial" w:eastAsia="Calibri" w:hAnsi="Arial" w:cs="Arial"/>
          <w:color w:val="000000" w:themeColor="text1"/>
          <w:sz w:val="22"/>
          <w:szCs w:val="22"/>
          <w:lang w:val="es-ES_tradnl"/>
        </w:rPr>
        <w:t xml:space="preserve">. De otro lado, en relación con las normas procesales, el artículo 40 de la Ley 153 de 1887 es claro en el sentido de indicar que </w:t>
      </w:r>
      <w:r w:rsidRPr="00CB1324">
        <w:rPr>
          <w:rFonts w:ascii="Arial" w:eastAsia="Calibri" w:hAnsi="Arial" w:cs="Arial"/>
          <w:i/>
          <w:iCs/>
          <w:color w:val="000000" w:themeColor="text1"/>
          <w:sz w:val="22"/>
          <w:szCs w:val="22"/>
          <w:lang w:val="es-ES_tradnl"/>
        </w:rPr>
        <w:t>las diligencias o etapas que se hubieren iniciado</w:t>
      </w:r>
      <w:r w:rsidRPr="00CB1324">
        <w:rPr>
          <w:rFonts w:ascii="Arial" w:eastAsia="Calibri" w:hAnsi="Arial" w:cs="Arial"/>
          <w:color w:val="000000" w:themeColor="text1"/>
          <w:sz w:val="22"/>
          <w:szCs w:val="22"/>
          <w:lang w:val="es-ES_tradnl"/>
        </w:rPr>
        <w:t xml:space="preserve"> continúan rigiéndose por las normas vigentes en el momento de comenzar el trámite, lo cual también se aplica a los procedimientos administrativos, y dentro de estos, a los de selección. A este fenómeno se le denomina aplicación ultractiva de la norma</w:t>
      </w:r>
      <w:r w:rsidRPr="00CB1324">
        <w:rPr>
          <w:rStyle w:val="Refdenotaalpie"/>
          <w:rFonts w:ascii="Arial" w:hAnsi="Arial" w:cs="Arial"/>
          <w:sz w:val="22"/>
          <w:szCs w:val="22"/>
        </w:rPr>
        <w:footnoteReference w:id="21"/>
      </w:r>
      <w:r w:rsidRPr="00CB1324">
        <w:rPr>
          <w:rFonts w:ascii="Arial" w:hAnsi="Arial" w:cs="Arial"/>
          <w:color w:val="000000" w:themeColor="text1"/>
          <w:sz w:val="22"/>
          <w:szCs w:val="22"/>
          <w:lang w:val="es-ES_tradnl"/>
        </w:rPr>
        <w:t>.</w:t>
      </w:r>
    </w:p>
    <w:p w14:paraId="21AFD403" w14:textId="77777777" w:rsidR="00CD6054" w:rsidRPr="00CB1324" w:rsidRDefault="00CD6054" w:rsidP="00CD6054">
      <w:pPr>
        <w:spacing w:before="120" w:line="276" w:lineRule="auto"/>
        <w:ind w:firstLine="709"/>
        <w:jc w:val="both"/>
        <w:rPr>
          <w:rFonts w:ascii="Arial" w:hAnsi="Arial" w:cs="Arial"/>
          <w:color w:val="000000" w:themeColor="text1"/>
          <w:sz w:val="22"/>
          <w:szCs w:val="22"/>
          <w:lang w:val="es-ES_tradnl"/>
        </w:rPr>
      </w:pPr>
      <w:r w:rsidRPr="00CB1324">
        <w:rPr>
          <w:rFonts w:ascii="Arial" w:hAnsi="Arial" w:cs="Arial"/>
          <w:color w:val="000000" w:themeColor="text1"/>
          <w:sz w:val="22"/>
          <w:szCs w:val="22"/>
          <w:lang w:val="es-ES_tradnl"/>
        </w:rPr>
        <w:t xml:space="preserve">A la luz de los comentarios anteriores, se observa que </w:t>
      </w:r>
      <w:bookmarkStart w:id="8" w:name="_Hlk97123698"/>
      <w:r w:rsidRPr="00CB1324">
        <w:rPr>
          <w:rFonts w:ascii="Arial" w:hAnsi="Arial" w:cs="Arial"/>
          <w:color w:val="000000" w:themeColor="text1"/>
          <w:sz w:val="22"/>
          <w:szCs w:val="22"/>
          <w:lang w:val="es-ES_tradnl"/>
        </w:rPr>
        <w:t xml:space="preserve">el artículo 58 de la Ley 2195 de 2022 no establece un condicionamiento temporal para su entrada en vigencia, y que el artículo 69 del mismo cuerpo normativo dice que «La presente ley rige a partir de su promulgación y deroga las disposiciones que le sean contrarias». Por tanto, no queda duda de que el artículo 58 de la Ley 2195 de 2022 se encuentra vigente. Sin embargo, es necesario precisar el alcance de esta afirmación. Al sostener que dicha norma está vigente </w:t>
      </w:r>
      <w:r w:rsidRPr="00CB1324">
        <w:rPr>
          <w:rFonts w:ascii="Arial" w:hAnsi="Arial" w:cs="Arial"/>
          <w:color w:val="000000" w:themeColor="text1"/>
          <w:sz w:val="22"/>
          <w:szCs w:val="22"/>
          <w:lang w:val="es-ES_tradnl"/>
        </w:rPr>
        <w:lastRenderedPageBreak/>
        <w:t xml:space="preserve">la Agencia quiere significar que las multas y cláusulas penales impuestas por parte de las entidades sometidas al Estatuto General de Contratación de la Administración Pública, a partir del 18 de enero de 2022 –fecha en la cual se promulgó la mencionada Ley– </w:t>
      </w:r>
      <w:r w:rsidRPr="00CB1324">
        <w:rPr>
          <w:rFonts w:ascii="Arial" w:hAnsi="Arial" w:cs="Arial"/>
          <w:i/>
          <w:iCs/>
          <w:color w:val="000000" w:themeColor="text1"/>
          <w:sz w:val="22"/>
          <w:szCs w:val="22"/>
          <w:lang w:val="es-ES_tradnl"/>
        </w:rPr>
        <w:t>causarán</w:t>
      </w:r>
      <w:r w:rsidRPr="00CB1324">
        <w:rPr>
          <w:rFonts w:ascii="Arial" w:hAnsi="Arial" w:cs="Arial"/>
          <w:color w:val="000000" w:themeColor="text1"/>
          <w:sz w:val="22"/>
          <w:szCs w:val="22"/>
          <w:lang w:val="es-ES_tradnl"/>
        </w:rPr>
        <w:t xml:space="preserve"> el efecto jurídico al que se refiere el artículo 58, es decir, darán lugar, dentro del año posterior a su declaratoria, a la reducción del puntaje en el correspondiente procedimiento de selección, con las excepciones indicadas en la norma bajo análisis.</w:t>
      </w:r>
    </w:p>
    <w:bookmarkEnd w:id="8"/>
    <w:p w14:paraId="716537AD" w14:textId="1B16154E" w:rsidR="00CD6054" w:rsidRPr="00E92E8B" w:rsidRDefault="00CD6054" w:rsidP="00CD6054">
      <w:pPr>
        <w:spacing w:before="120" w:line="276" w:lineRule="auto"/>
        <w:ind w:firstLine="709"/>
        <w:jc w:val="both"/>
        <w:rPr>
          <w:rFonts w:ascii="Arial" w:hAnsi="Arial" w:cs="Arial"/>
          <w:color w:val="000000" w:themeColor="text1"/>
          <w:sz w:val="22"/>
          <w:szCs w:val="22"/>
          <w:lang w:val="es-ES_tradnl"/>
        </w:rPr>
      </w:pPr>
      <w:r w:rsidRPr="00CB1324">
        <w:rPr>
          <w:rFonts w:ascii="Arial" w:hAnsi="Arial" w:cs="Arial"/>
          <w:color w:val="000000" w:themeColor="text1"/>
          <w:sz w:val="22"/>
          <w:szCs w:val="22"/>
          <w:lang w:val="es-ES_tradnl"/>
        </w:rPr>
        <w:t xml:space="preserve">De esta manera, razones asociadas al principio de seguridad jurídica y al derecho fundamental al debido proceso impiden aplicar retroactivamente el artículo 58, en el sentido de afirmar que si a un proponente se le impuso una o más multas o cláusulas penales antes del 18 de enero de 2022 –es decir, antes de que comenzara a regir la Ley 2195 de 2022– se verá afectado por la reducción del puntaje consagrada en el artículo 58. Sostener esto sería contradecir el principio de tipicidad, que es un postulado del debido proceso, porque si este efecto no se preveía como consecuencia para la multa o la cláusula penal en el momento en que le fue impuesta a alguien, no puede aplicarse hacia el pasado. Caso distinto es aquel en el que a un contratista se le aplica una multa, verbigracia, el 25 de </w:t>
      </w:r>
      <w:r w:rsidR="00831654" w:rsidRPr="00CB1324">
        <w:rPr>
          <w:rFonts w:ascii="Arial" w:hAnsi="Arial" w:cs="Arial"/>
          <w:color w:val="000000" w:themeColor="text1"/>
          <w:sz w:val="22"/>
          <w:szCs w:val="22"/>
          <w:lang w:val="es-ES_tradnl"/>
        </w:rPr>
        <w:t xml:space="preserve">febrero </w:t>
      </w:r>
      <w:r w:rsidRPr="00CB1324">
        <w:rPr>
          <w:rFonts w:ascii="Arial" w:hAnsi="Arial" w:cs="Arial"/>
          <w:color w:val="000000" w:themeColor="text1"/>
          <w:sz w:val="22"/>
          <w:szCs w:val="22"/>
          <w:lang w:val="es-ES_tradnl"/>
        </w:rPr>
        <w:t xml:space="preserve">de 2022 y se presenta a una licitación pública el 18 de </w:t>
      </w:r>
      <w:r w:rsidR="00831654" w:rsidRPr="00CB1324">
        <w:rPr>
          <w:rFonts w:ascii="Arial" w:hAnsi="Arial" w:cs="Arial"/>
          <w:color w:val="000000" w:themeColor="text1"/>
          <w:sz w:val="22"/>
          <w:szCs w:val="22"/>
          <w:lang w:val="es-ES_tradnl"/>
        </w:rPr>
        <w:t xml:space="preserve">marzo </w:t>
      </w:r>
      <w:r w:rsidRPr="00CB1324">
        <w:rPr>
          <w:rFonts w:ascii="Arial" w:hAnsi="Arial" w:cs="Arial"/>
          <w:color w:val="000000" w:themeColor="text1"/>
          <w:sz w:val="22"/>
          <w:szCs w:val="22"/>
          <w:lang w:val="es-ES_tradnl"/>
        </w:rPr>
        <w:t>siguiente. En este supuesto la entidad estatal deberá reducirle el 2% del puntaje, porque para la fecha de imposición de la multa estaba vigente la norma que consagraba dicho efecto gravoso. Ahora bien, la interpretación doctrinaria que efectúa la Agencia se realiza en el contexto de novedad del artículo 58 de la Ley 2195 de 2022 y, en consecuencia, no se opone a la</w:t>
      </w:r>
      <w:r w:rsidRPr="00E92E8B">
        <w:rPr>
          <w:rFonts w:ascii="Arial" w:hAnsi="Arial" w:cs="Arial"/>
          <w:color w:val="000000" w:themeColor="text1"/>
          <w:sz w:val="22"/>
          <w:szCs w:val="22"/>
          <w:lang w:val="es-ES_tradnl"/>
        </w:rPr>
        <w:t xml:space="preserve"> posibilidad de que el gobierno nacional, en ejercicio de la potestad reglamentaria conferida por el artículo 189, numeral 11, de la Constitución, le otorgue a aquella un alcance diferente.</w:t>
      </w:r>
    </w:p>
    <w:bookmarkEnd w:id="7"/>
    <w:p w14:paraId="5DBF6E9A" w14:textId="5372686D" w:rsidR="008F4B91" w:rsidRPr="00A51520" w:rsidRDefault="008F4B91" w:rsidP="0076105F">
      <w:pPr>
        <w:spacing w:line="276" w:lineRule="auto"/>
        <w:ind w:firstLine="709"/>
        <w:jc w:val="both"/>
        <w:rPr>
          <w:rFonts w:ascii="Arial" w:hAnsi="Arial" w:cs="Arial"/>
          <w:sz w:val="22"/>
          <w:lang w:eastAsia="es-MX"/>
        </w:rPr>
      </w:pPr>
    </w:p>
    <w:p w14:paraId="37CA9805" w14:textId="7D32B119" w:rsidR="00DD5B04" w:rsidRPr="00A51520" w:rsidRDefault="004177A6" w:rsidP="00510DE9">
      <w:pPr>
        <w:tabs>
          <w:tab w:val="left" w:pos="0"/>
        </w:tabs>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3</w:t>
      </w:r>
      <w:r w:rsidR="00B011A9" w:rsidRPr="00A51520">
        <w:rPr>
          <w:rFonts w:ascii="Arial" w:eastAsia="Calibri" w:hAnsi="Arial" w:cs="Arial"/>
          <w:b/>
          <w:color w:val="000000" w:themeColor="text1"/>
          <w:sz w:val="22"/>
          <w:lang w:val="es-ES_tradnl"/>
        </w:rPr>
        <w:t xml:space="preserve">. </w:t>
      </w:r>
      <w:r w:rsidR="00DD5B04" w:rsidRPr="00A51520">
        <w:rPr>
          <w:rFonts w:ascii="Arial" w:eastAsia="Calibri" w:hAnsi="Arial" w:cs="Arial"/>
          <w:b/>
          <w:color w:val="000000" w:themeColor="text1"/>
          <w:sz w:val="22"/>
          <w:lang w:val="es-ES_tradnl"/>
        </w:rPr>
        <w:t>Respuesta</w:t>
      </w:r>
    </w:p>
    <w:p w14:paraId="49375CFA" w14:textId="77777777" w:rsidR="00D633AC" w:rsidRPr="00A51520" w:rsidRDefault="00D633AC" w:rsidP="00B90E5C">
      <w:pPr>
        <w:spacing w:line="276" w:lineRule="auto"/>
        <w:jc w:val="both"/>
        <w:rPr>
          <w:rFonts w:ascii="Arial" w:hAnsi="Arial" w:cs="Arial"/>
          <w:color w:val="000000" w:themeColor="text1"/>
          <w:sz w:val="22"/>
          <w:lang w:val="es-ES_tradnl"/>
        </w:rPr>
      </w:pPr>
    </w:p>
    <w:p w14:paraId="0EA3D990" w14:textId="3411F650" w:rsidR="00B90E5C" w:rsidRPr="008C3FFC" w:rsidRDefault="004166CB" w:rsidP="00B90E5C">
      <w:pPr>
        <w:ind w:left="709" w:right="618"/>
        <w:jc w:val="both"/>
        <w:rPr>
          <w:rFonts w:ascii="Arial" w:eastAsia="Calibri" w:hAnsi="Arial" w:cs="Arial"/>
          <w:sz w:val="21"/>
          <w:szCs w:val="21"/>
        </w:rPr>
      </w:pPr>
      <w:r w:rsidRPr="00E92E8B">
        <w:rPr>
          <w:rFonts w:ascii="Arial" w:eastAsia="Calibri" w:hAnsi="Arial" w:cs="Arial"/>
          <w:sz w:val="21"/>
          <w:szCs w:val="21"/>
          <w:lang w:val="es-ES"/>
        </w:rPr>
        <w:t>«</w:t>
      </w:r>
      <w:r w:rsidR="00B90E5C" w:rsidRPr="008C3FFC">
        <w:rPr>
          <w:rFonts w:ascii="Arial" w:eastAsia="Calibri" w:hAnsi="Arial" w:cs="Arial"/>
          <w:sz w:val="21"/>
          <w:szCs w:val="21"/>
        </w:rPr>
        <w:t>Teniendo en cuenta la promulgación de la reciente ley 2195 de 2022 en donde se indica que:</w:t>
      </w:r>
    </w:p>
    <w:p w14:paraId="3EDE324B" w14:textId="77777777" w:rsidR="00B90E5C" w:rsidRPr="008C3FFC" w:rsidRDefault="00B90E5C" w:rsidP="00B90E5C">
      <w:pPr>
        <w:ind w:left="709" w:right="618"/>
        <w:jc w:val="both"/>
        <w:rPr>
          <w:rFonts w:ascii="Arial" w:eastAsia="Calibri" w:hAnsi="Arial" w:cs="Arial"/>
          <w:sz w:val="21"/>
          <w:szCs w:val="21"/>
        </w:rPr>
      </w:pPr>
    </w:p>
    <w:p w14:paraId="6D3C3DF0" w14:textId="77777777" w:rsidR="00B90E5C" w:rsidRPr="008C3FFC" w:rsidRDefault="00B90E5C" w:rsidP="00B90E5C">
      <w:pPr>
        <w:ind w:left="709" w:right="618"/>
        <w:jc w:val="both"/>
        <w:rPr>
          <w:rFonts w:ascii="Arial" w:eastAsia="Calibri" w:hAnsi="Arial" w:cs="Arial"/>
          <w:sz w:val="21"/>
          <w:szCs w:val="21"/>
        </w:rPr>
      </w:pPr>
      <w:r w:rsidRPr="008C3FFC">
        <w:rPr>
          <w:rFonts w:ascii="Arial" w:eastAsia="Calibri" w:hAnsi="Arial" w:cs="Arial"/>
          <w:sz w:val="21"/>
          <w:szCs w:val="21"/>
        </w:rPr>
        <w:t>"Las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14:paraId="3B210019" w14:textId="77777777" w:rsidR="00B90E5C" w:rsidRPr="008C3FFC" w:rsidRDefault="00B90E5C" w:rsidP="00B90E5C">
      <w:pPr>
        <w:ind w:left="709" w:right="618"/>
        <w:jc w:val="both"/>
        <w:rPr>
          <w:rFonts w:ascii="Arial" w:eastAsia="Calibri" w:hAnsi="Arial" w:cs="Arial"/>
          <w:sz w:val="21"/>
          <w:szCs w:val="21"/>
        </w:rPr>
      </w:pPr>
    </w:p>
    <w:p w14:paraId="4909A99D" w14:textId="7C5E2643" w:rsidR="004166CB" w:rsidRDefault="00B90E5C" w:rsidP="00B90E5C">
      <w:pPr>
        <w:ind w:left="709" w:right="618"/>
        <w:jc w:val="both"/>
        <w:rPr>
          <w:rFonts w:ascii="Arial" w:eastAsia="Calibri" w:hAnsi="Arial" w:cs="Arial"/>
          <w:sz w:val="21"/>
          <w:szCs w:val="21"/>
        </w:rPr>
      </w:pPr>
      <w:r w:rsidRPr="008C3FFC">
        <w:rPr>
          <w:rFonts w:ascii="Arial" w:eastAsia="Calibri" w:hAnsi="Arial" w:cs="Arial"/>
          <w:sz w:val="21"/>
          <w:szCs w:val="21"/>
        </w:rPr>
        <w:t xml:space="preserve">Dada la naturaleza y particularidades de esta norma, se entiende que solo son susceptibles de afectar el puntaje (de manera negativa) las sanciones impuestas a partir de la entrada en vigencia de la presente ¿Es esto correcto? ¿Se entiende, </w:t>
      </w:r>
      <w:r w:rsidRPr="008C3FFC">
        <w:rPr>
          <w:rFonts w:ascii="Arial" w:eastAsia="Calibri" w:hAnsi="Arial" w:cs="Arial"/>
          <w:sz w:val="21"/>
          <w:szCs w:val="21"/>
        </w:rPr>
        <w:lastRenderedPageBreak/>
        <w:t>entonces, que las sanciones anteriores a la entrada en vigencia de esta norma no afectan el puntaje?</w:t>
      </w:r>
      <w:r w:rsidRPr="00A51520">
        <w:rPr>
          <w:rFonts w:ascii="Arial" w:eastAsia="Calibri" w:hAnsi="Arial" w:cs="Arial"/>
          <w:sz w:val="21"/>
          <w:szCs w:val="21"/>
          <w:lang w:val="es-ES"/>
        </w:rPr>
        <w:t>»</w:t>
      </w:r>
    </w:p>
    <w:p w14:paraId="42EEC4E9" w14:textId="77777777" w:rsidR="00B90E5C" w:rsidRPr="00B90E5C" w:rsidRDefault="00B90E5C" w:rsidP="00B90E5C">
      <w:pPr>
        <w:ind w:left="709" w:right="618"/>
        <w:jc w:val="both"/>
        <w:rPr>
          <w:rFonts w:ascii="Arial" w:eastAsia="Calibri" w:hAnsi="Arial" w:cs="Arial"/>
          <w:sz w:val="21"/>
          <w:szCs w:val="21"/>
        </w:rPr>
      </w:pPr>
    </w:p>
    <w:p w14:paraId="3ADA8607" w14:textId="77777777" w:rsidR="009449F9" w:rsidRPr="00FC710F" w:rsidRDefault="009449F9" w:rsidP="00B90E5C">
      <w:pPr>
        <w:spacing w:line="276" w:lineRule="auto"/>
        <w:jc w:val="both"/>
        <w:rPr>
          <w:rFonts w:ascii="Arial" w:hAnsi="Arial" w:cs="Arial"/>
          <w:color w:val="000000" w:themeColor="text1"/>
          <w:sz w:val="22"/>
          <w:szCs w:val="22"/>
          <w:lang w:val="es-ES_tradnl"/>
        </w:rPr>
      </w:pPr>
      <w:r w:rsidRPr="00FC710F">
        <w:rPr>
          <w:rFonts w:ascii="Arial" w:hAnsi="Arial" w:cs="Arial"/>
          <w:color w:val="000000" w:themeColor="text1"/>
          <w:sz w:val="22"/>
          <w:szCs w:val="22"/>
          <w:lang w:val="es-ES_tradnl"/>
        </w:rPr>
        <w:t xml:space="preserve">El artículo 58 de la Ley 2195 de 2022 no establece un condicionamiento temporal para su entrada en vigencia, y, adicionalmente, el artículo 69 del mismo cuerpo normativo señala que «La presente ley rige a partir de su promulgación y deroga las disposiciones que le sean contrarias». Por tanto, no queda duda de que el artículo 58 de la Ley 2195 de 2022 se encuentra vigente. Sin embargo, es necesario precisar el alcance de esta afirmación. Al sostener que dicha norma está vigente la Agencia quiere significar que las multas y cláusulas penales impuestas por parte de las entidades sometidas al Estatuto General de Contratación de la Administración Pública, a partir del 18 de enero de 2022 –fecha en la cual se promulgó la mencionada Ley– </w:t>
      </w:r>
      <w:r w:rsidRPr="00FC710F">
        <w:rPr>
          <w:rFonts w:ascii="Arial" w:hAnsi="Arial" w:cs="Arial"/>
          <w:i/>
          <w:iCs/>
          <w:color w:val="000000" w:themeColor="text1"/>
          <w:sz w:val="22"/>
          <w:szCs w:val="22"/>
          <w:lang w:val="es-ES_tradnl"/>
        </w:rPr>
        <w:t>causarán</w:t>
      </w:r>
      <w:r w:rsidRPr="00FC710F">
        <w:rPr>
          <w:rFonts w:ascii="Arial" w:hAnsi="Arial" w:cs="Arial"/>
          <w:color w:val="000000" w:themeColor="text1"/>
          <w:sz w:val="22"/>
          <w:szCs w:val="22"/>
          <w:lang w:val="es-ES_tradnl"/>
        </w:rPr>
        <w:t xml:space="preserve"> el efecto jurídico al que se refiere el artículo 58, es decir, darán lugar, dentro del año posterior a su declaratoria, a la reducción del puntaje en el correspondiente procedimiento de selección, con las excepciones indicadas en la norma bajo análisis.</w:t>
      </w:r>
    </w:p>
    <w:p w14:paraId="6C547EF3" w14:textId="4E7A7245" w:rsidR="009449F9" w:rsidRPr="00D64641" w:rsidRDefault="009449F9" w:rsidP="009449F9">
      <w:pPr>
        <w:spacing w:before="120" w:line="276" w:lineRule="auto"/>
        <w:ind w:firstLine="709"/>
        <w:jc w:val="both"/>
        <w:rPr>
          <w:rFonts w:ascii="Arial" w:hAnsi="Arial" w:cs="Arial"/>
          <w:color w:val="000000" w:themeColor="text1"/>
          <w:sz w:val="22"/>
          <w:szCs w:val="22"/>
          <w:lang w:val="es-ES_tradnl"/>
        </w:rPr>
      </w:pPr>
      <w:r w:rsidRPr="00FC710F">
        <w:rPr>
          <w:rFonts w:ascii="Arial" w:hAnsi="Arial" w:cs="Arial"/>
          <w:color w:val="000000" w:themeColor="text1"/>
          <w:sz w:val="22"/>
          <w:szCs w:val="22"/>
          <w:lang w:val="es-ES_tradnl"/>
        </w:rPr>
        <w:t xml:space="preserve">De esta manera, razones asociadas al principio de seguridad jurídica y al derecho fundamental al debido proceso impiden aplicar retroactivamente el artículo 58, en el sentido de afirmar que si a un proponente se le impuso una o más multas o cláusulas penales antes del 18 de enero de 2022 –es decir, antes de que comenzara a regir la Ley 2195 de 2022– se verá afectado por la reducción del puntaje consagrada en el artículo 58. Sostener esto sería contradecir el principio de tipicidad, que es un postulado del debido proceso, porque si este efecto no se preveía como consecuencia para la multa o la cláusula penal en el momento en que le fue impuesta a alguien, no puede aplicarse hacia el pasado. Caso distinto es aquel en el que a un contratista se le aplica una multa, verbigracia, el 25 de </w:t>
      </w:r>
      <w:r w:rsidR="005B6AE8" w:rsidRPr="00FC710F">
        <w:rPr>
          <w:rFonts w:ascii="Arial" w:hAnsi="Arial" w:cs="Arial"/>
          <w:color w:val="000000" w:themeColor="text1"/>
          <w:sz w:val="22"/>
          <w:szCs w:val="22"/>
          <w:lang w:val="es-ES_tradnl"/>
        </w:rPr>
        <w:t xml:space="preserve">febrero </w:t>
      </w:r>
      <w:r w:rsidRPr="00FC710F">
        <w:rPr>
          <w:rFonts w:ascii="Arial" w:hAnsi="Arial" w:cs="Arial"/>
          <w:color w:val="000000" w:themeColor="text1"/>
          <w:sz w:val="22"/>
          <w:szCs w:val="22"/>
          <w:lang w:val="es-ES_tradnl"/>
        </w:rPr>
        <w:t xml:space="preserve">de 2022 y se presenta a una licitación pública el 18 de </w:t>
      </w:r>
      <w:r w:rsidR="005B6AE8" w:rsidRPr="00FC710F">
        <w:rPr>
          <w:rFonts w:ascii="Arial" w:hAnsi="Arial" w:cs="Arial"/>
          <w:color w:val="000000" w:themeColor="text1"/>
          <w:sz w:val="22"/>
          <w:szCs w:val="22"/>
          <w:lang w:val="es-ES_tradnl"/>
        </w:rPr>
        <w:t xml:space="preserve">marzo </w:t>
      </w:r>
      <w:r w:rsidRPr="00FC710F">
        <w:rPr>
          <w:rFonts w:ascii="Arial" w:hAnsi="Arial" w:cs="Arial"/>
          <w:color w:val="000000" w:themeColor="text1"/>
          <w:sz w:val="22"/>
          <w:szCs w:val="22"/>
          <w:lang w:val="es-ES_tradnl"/>
        </w:rPr>
        <w:t>siguiente. En este supuesto la entidad estatal deberá reducirle el 2% del puntaje, porque para la fecha de imposición de la multa estaba vigente la norma que consagraba dicho efecto gravoso. Ahora bien, la interpretación doctrinaria que efectúa la Agencia se realiza en el contexto de novedad del artículo 58 de la Ley 2195 de 2022 y, en consecuencia, no se opone a la posibilidad de que el gobierno nacional, en ejercicio de la potestad reglamentaria conferida por el artículo 189, numeral 11, de la Constitución, le otorgue a aquella un alcance diferente.</w:t>
      </w:r>
    </w:p>
    <w:p w14:paraId="4089FED9" w14:textId="77777777" w:rsidR="002C6A1D" w:rsidRDefault="002C6A1D" w:rsidP="007D0D03">
      <w:pPr>
        <w:widowControl w:val="0"/>
        <w:autoSpaceDE w:val="0"/>
        <w:autoSpaceDN w:val="0"/>
        <w:spacing w:line="276" w:lineRule="auto"/>
        <w:jc w:val="both"/>
        <w:rPr>
          <w:rFonts w:ascii="Arial" w:hAnsi="Arial" w:cs="Arial"/>
          <w:color w:val="000000" w:themeColor="text1"/>
          <w:sz w:val="22"/>
          <w:szCs w:val="22"/>
          <w:lang w:val="es-ES_tradnl"/>
        </w:rPr>
      </w:pPr>
    </w:p>
    <w:p w14:paraId="056816F7" w14:textId="21AE8DFE" w:rsidR="00D40F8B" w:rsidRPr="00A51520"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44A60028" w:rsidR="00D40F8B" w:rsidRPr="00A51520" w:rsidRDefault="009373AB"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lastRenderedPageBreak/>
        <w:drawing>
          <wp:inline distT="0" distB="0" distL="0" distR="0" wp14:anchorId="2F60C843" wp14:editId="2EEF81FD">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A51520" w:rsidRDefault="00B17563" w:rsidP="00F412DF">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Sebastián Ramírez Grisales</w:t>
            </w:r>
          </w:p>
          <w:p w14:paraId="130B3228" w14:textId="56DC9CC4" w:rsidR="00DD5B04" w:rsidRPr="00A51520" w:rsidRDefault="00847744" w:rsidP="00F412DF">
            <w:pPr>
              <w:jc w:val="both"/>
              <w:rPr>
                <w:rFonts w:ascii="Arial" w:hAnsi="Arial" w:cs="Arial"/>
                <w:color w:val="000000" w:themeColor="text1"/>
                <w:sz w:val="16"/>
                <w:szCs w:val="16"/>
                <w:lang w:val="es-ES_tradnl" w:eastAsia="es-ES"/>
              </w:rPr>
            </w:pPr>
            <w:r w:rsidRPr="00A51520">
              <w:rPr>
                <w:rFonts w:ascii="Arial" w:hAnsi="Arial" w:cs="Arial"/>
                <w:color w:val="000000"/>
                <w:sz w:val="16"/>
                <w:szCs w:val="16"/>
                <w:shd w:val="clear" w:color="auto" w:fill="FFFFFF"/>
              </w:rPr>
              <w:t>Contratista</w:t>
            </w:r>
            <w:r w:rsidR="00F412DF" w:rsidRPr="00A51520">
              <w:rPr>
                <w:rFonts w:ascii="Arial" w:hAnsi="Arial" w:cs="Arial"/>
                <w:color w:val="000000"/>
                <w:sz w:val="16"/>
                <w:szCs w:val="16"/>
                <w:shd w:val="clear" w:color="auto" w:fill="FFFFFF"/>
              </w:rPr>
              <w:t xml:space="preserve"> 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51520" w:rsidRDefault="00C05A61"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 xml:space="preserve">Jorge </w:t>
            </w:r>
            <w:r w:rsidR="00647A36" w:rsidRPr="00A51520">
              <w:rPr>
                <w:rFonts w:ascii="Arial" w:hAnsi="Arial" w:cs="Arial"/>
                <w:color w:val="000000" w:themeColor="text1"/>
                <w:sz w:val="16"/>
                <w:szCs w:val="16"/>
                <w:lang w:val="es-ES_tradnl" w:eastAsia="es-ES"/>
              </w:rPr>
              <w:t xml:space="preserve">Augusto </w:t>
            </w:r>
            <w:r w:rsidRPr="00A51520">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Subdirector de Gestión Contractual</w:t>
            </w:r>
            <w:r w:rsidR="00973AA2" w:rsidRPr="00A51520">
              <w:rPr>
                <w:rFonts w:ascii="Arial" w:hAnsi="Arial" w:cs="Arial"/>
                <w:color w:val="000000" w:themeColor="text1"/>
                <w:sz w:val="16"/>
                <w:szCs w:val="16"/>
                <w:lang w:val="es-ES_tradnl" w:eastAsia="es-ES"/>
              </w:rPr>
              <w:t xml:space="preserve"> </w:t>
            </w:r>
            <w:r w:rsidR="00973AA2" w:rsidRPr="00A51520">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3F7284BE" w14:textId="3AD023D9" w:rsidR="008351F8" w:rsidRPr="009D3964" w:rsidRDefault="008351F8" w:rsidP="00215B8E">
      <w:pPr>
        <w:jc w:val="both"/>
        <w:rPr>
          <w:rFonts w:ascii="Arial" w:hAnsi="Arial" w:cs="Arial"/>
          <w:lang w:val="es-ES_tradnl"/>
        </w:rPr>
      </w:pPr>
    </w:p>
    <w:p w14:paraId="4D3D318F" w14:textId="77777777" w:rsidR="00FC710F" w:rsidRPr="009D3964" w:rsidRDefault="00FC710F">
      <w:pPr>
        <w:jc w:val="both"/>
        <w:rPr>
          <w:rFonts w:ascii="Arial" w:hAnsi="Arial" w:cs="Arial"/>
          <w:lang w:val="es-ES_tradnl"/>
        </w:rPr>
      </w:pPr>
    </w:p>
    <w:sectPr w:rsidR="00FC710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C0F2" w14:textId="77777777" w:rsidR="00846D9B" w:rsidRDefault="00846D9B">
      <w:r>
        <w:separator/>
      </w:r>
    </w:p>
  </w:endnote>
  <w:endnote w:type="continuationSeparator" w:id="0">
    <w:p w14:paraId="16664612" w14:textId="77777777" w:rsidR="00846D9B" w:rsidRDefault="00846D9B">
      <w:r>
        <w:continuationSeparator/>
      </w:r>
    </w:p>
  </w:endnote>
  <w:endnote w:type="continuationNotice" w:id="1">
    <w:p w14:paraId="09AD9BAC" w14:textId="77777777" w:rsidR="00846D9B" w:rsidRDefault="00846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767B" w14:textId="77777777" w:rsidR="00846D9B" w:rsidRDefault="00846D9B">
      <w:r>
        <w:separator/>
      </w:r>
    </w:p>
  </w:footnote>
  <w:footnote w:type="continuationSeparator" w:id="0">
    <w:p w14:paraId="0D0B2C98" w14:textId="77777777" w:rsidR="00846D9B" w:rsidRDefault="00846D9B">
      <w:r>
        <w:continuationSeparator/>
      </w:r>
    </w:p>
  </w:footnote>
  <w:footnote w:type="continuationNotice" w:id="1">
    <w:p w14:paraId="0F877863" w14:textId="77777777" w:rsidR="00846D9B" w:rsidRDefault="00846D9B"/>
  </w:footnote>
  <w:footnote w:id="2">
    <w:p w14:paraId="52793170" w14:textId="77777777" w:rsidR="00C3543E" w:rsidRPr="00985BE7" w:rsidRDefault="00C3543E" w:rsidP="00C3543E">
      <w:pPr>
        <w:pStyle w:val="Textonotapie"/>
        <w:ind w:firstLine="709"/>
        <w:jc w:val="both"/>
        <w:rPr>
          <w:rFonts w:ascii="Arial" w:hAnsi="Arial" w:cs="Arial"/>
          <w:iCs/>
          <w:color w:val="000000" w:themeColor="text1"/>
          <w:sz w:val="19"/>
          <w:szCs w:val="19"/>
        </w:rPr>
      </w:pPr>
      <w:r w:rsidRPr="00E52A42">
        <w:rPr>
          <w:rStyle w:val="Refdenotaalpie"/>
          <w:rFonts w:ascii="Arial" w:hAnsi="Arial" w:cs="Arial"/>
          <w:sz w:val="19"/>
          <w:szCs w:val="19"/>
        </w:rPr>
        <w:footnoteRef/>
      </w:r>
      <w:r w:rsidRPr="00E52A42">
        <w:rPr>
          <w:rFonts w:ascii="Arial" w:hAnsi="Arial" w:cs="Arial"/>
          <w:iCs/>
          <w:color w:val="000000" w:themeColor="text1"/>
          <w:sz w:val="19"/>
          <w:szCs w:val="19"/>
        </w:rPr>
        <w:t xml:space="preserve"> CONSEJO DE ESTADO. Sección Tercera. Sentencia del 12 de julio de 2012. Danilo Rojas Betancourth. Exp. 15.024. C.P. </w:t>
      </w:r>
    </w:p>
  </w:footnote>
  <w:footnote w:id="3">
    <w:p w14:paraId="0E6A7646" w14:textId="77777777" w:rsidR="00C3543E" w:rsidRPr="00E52A42" w:rsidRDefault="00C3543E" w:rsidP="00C3543E">
      <w:pPr>
        <w:pStyle w:val="Textonotapie"/>
        <w:ind w:firstLine="709"/>
        <w:jc w:val="both"/>
        <w:rPr>
          <w:rFonts w:ascii="Arial" w:hAnsi="Arial" w:cs="Arial"/>
          <w:iCs/>
          <w:color w:val="000000" w:themeColor="text1"/>
          <w:sz w:val="19"/>
          <w:szCs w:val="19"/>
        </w:rPr>
      </w:pPr>
      <w:r w:rsidRPr="00E52A42">
        <w:rPr>
          <w:rStyle w:val="Refdenotaalpie"/>
          <w:rFonts w:ascii="Arial" w:hAnsi="Arial" w:cs="Arial"/>
          <w:sz w:val="19"/>
          <w:szCs w:val="19"/>
        </w:rPr>
        <w:footnoteRef/>
      </w:r>
      <w:r w:rsidRPr="00E52A42">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p w14:paraId="25482277" w14:textId="77777777" w:rsidR="00C3543E" w:rsidRPr="00E52A42" w:rsidRDefault="00C3543E" w:rsidP="00C3543E">
      <w:pPr>
        <w:pStyle w:val="Textonotapie"/>
        <w:ind w:firstLine="709"/>
        <w:jc w:val="both"/>
        <w:rPr>
          <w:rFonts w:ascii="Arial" w:hAnsi="Arial" w:cs="Arial"/>
          <w:color w:val="000000" w:themeColor="text1"/>
          <w:sz w:val="19"/>
          <w:szCs w:val="19"/>
        </w:rPr>
      </w:pPr>
    </w:p>
  </w:footnote>
  <w:footnote w:id="4">
    <w:p w14:paraId="5B5EEA33" w14:textId="77777777" w:rsidR="00C3543E" w:rsidRPr="00E52A42" w:rsidRDefault="00C3543E" w:rsidP="00C3543E">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CONSEJO DE ESTADO. Sección Tercera. Sentencia del 15 de noviembre de 2011. Consejera Ponente: Olga Mélida Valle de De La Hoz. Expediente: 20.916.</w:t>
      </w:r>
    </w:p>
    <w:p w14:paraId="634B7E7E" w14:textId="77777777" w:rsidR="00C3543E" w:rsidRPr="00E52A42" w:rsidRDefault="00C3543E" w:rsidP="00C3543E">
      <w:pPr>
        <w:pStyle w:val="Textonotapie"/>
        <w:ind w:firstLine="709"/>
        <w:jc w:val="both"/>
        <w:rPr>
          <w:rFonts w:ascii="Arial" w:hAnsi="Arial" w:cs="Arial"/>
          <w:sz w:val="19"/>
          <w:szCs w:val="19"/>
          <w:lang w:val="es-ES"/>
        </w:rPr>
      </w:pPr>
    </w:p>
  </w:footnote>
  <w:footnote w:id="5">
    <w:p w14:paraId="62408B0D" w14:textId="77777777" w:rsidR="00C3543E" w:rsidRPr="00E52A42" w:rsidRDefault="00C3543E" w:rsidP="00C3543E">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iCs/>
          <w:color w:val="000000" w:themeColor="text1"/>
          <w:sz w:val="19"/>
          <w:szCs w:val="19"/>
          <w:lang w:val="es-ES_tradnl"/>
        </w:rPr>
        <w:t xml:space="preserve">CONSEJO DE ESTADO. Sección Tercera. Sentencia del 23 de junio de 2010. Consejero Ponente: Enrique Gil Botero. Expediente: 16.367. Véase también: </w:t>
      </w:r>
      <w:r w:rsidRPr="00E52A42">
        <w:rPr>
          <w:rFonts w:ascii="Arial" w:hAnsi="Arial" w:cs="Arial"/>
          <w:color w:val="000000" w:themeColor="text1"/>
          <w:sz w:val="19"/>
          <w:szCs w:val="19"/>
        </w:rPr>
        <w:t>CONSEJO DE ESTADO. Sección Tercera. Sentencia del 13 de noviembre de 2008. Consejero Ponente: Enrique Gil Botero.Expediente: 17.009.</w:t>
      </w:r>
    </w:p>
    <w:p w14:paraId="61236569" w14:textId="77777777" w:rsidR="00C3543E" w:rsidRPr="00E52A42" w:rsidRDefault="00C3543E" w:rsidP="00C3543E">
      <w:pPr>
        <w:pStyle w:val="Textonotapie"/>
        <w:ind w:firstLine="709"/>
        <w:jc w:val="both"/>
        <w:rPr>
          <w:rFonts w:ascii="Arial" w:hAnsi="Arial" w:cs="Arial"/>
          <w:iCs/>
          <w:color w:val="000000" w:themeColor="text1"/>
          <w:sz w:val="19"/>
          <w:szCs w:val="19"/>
          <w:lang w:val="es-ES_tradnl"/>
        </w:rPr>
      </w:pPr>
    </w:p>
  </w:footnote>
  <w:footnote w:id="6">
    <w:p w14:paraId="25F6585E" w14:textId="77777777" w:rsidR="00C3543E" w:rsidRPr="00E52A42" w:rsidRDefault="00C3543E" w:rsidP="00C3543E">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color w:val="000000" w:themeColor="text1"/>
          <w:sz w:val="19"/>
          <w:szCs w:val="19"/>
        </w:rPr>
        <w:t xml:space="preserve"> CORTE CONSTITUCIONAL. Sentencia C-827 de 2001. M.P. Álvaro Tafur Galvis.</w:t>
      </w:r>
    </w:p>
    <w:p w14:paraId="76A8E536" w14:textId="77777777" w:rsidR="00C3543E" w:rsidRPr="00E52A42" w:rsidRDefault="00C3543E" w:rsidP="00C3543E">
      <w:pPr>
        <w:pStyle w:val="Textonotapie"/>
        <w:ind w:firstLine="709"/>
        <w:jc w:val="both"/>
        <w:rPr>
          <w:rFonts w:ascii="Arial" w:hAnsi="Arial" w:cs="Arial"/>
          <w:color w:val="000000" w:themeColor="text1"/>
          <w:sz w:val="19"/>
          <w:szCs w:val="19"/>
        </w:rPr>
      </w:pPr>
    </w:p>
  </w:footnote>
  <w:footnote w:id="7">
    <w:p w14:paraId="486E4B5E" w14:textId="77777777" w:rsidR="00C3543E" w:rsidRPr="00E52A42" w:rsidRDefault="00C3543E" w:rsidP="00C3543E">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color w:val="000000" w:themeColor="text1"/>
          <w:sz w:val="19"/>
          <w:szCs w:val="19"/>
          <w:vertAlign w:val="superscript"/>
        </w:rPr>
        <w:t xml:space="preserve"> </w:t>
      </w:r>
      <w:r w:rsidRPr="00E52A42">
        <w:rPr>
          <w:rFonts w:ascii="Arial" w:hAnsi="Arial" w:cs="Arial"/>
          <w:color w:val="000000" w:themeColor="text1"/>
          <w:sz w:val="19"/>
          <w:szCs w:val="19"/>
        </w:rPr>
        <w:t>CONSEJO DE ESTADO. Sección Tercera. Sentencia del 13 de noviembre de 2008. Exp. 17.009. C.P. Enrique Gil Botero.</w:t>
      </w:r>
    </w:p>
    <w:p w14:paraId="4A4E2DA3" w14:textId="77777777" w:rsidR="00C3543E" w:rsidRPr="00E52A42" w:rsidRDefault="00C3543E" w:rsidP="00C3543E">
      <w:pPr>
        <w:pStyle w:val="Textonotapie"/>
        <w:ind w:firstLine="709"/>
        <w:jc w:val="both"/>
        <w:rPr>
          <w:rFonts w:ascii="Arial" w:hAnsi="Arial" w:cs="Arial"/>
          <w:color w:val="000000" w:themeColor="text1"/>
          <w:sz w:val="19"/>
          <w:szCs w:val="19"/>
        </w:rPr>
      </w:pPr>
    </w:p>
  </w:footnote>
  <w:footnote w:id="8">
    <w:p w14:paraId="3439B3E9" w14:textId="77777777" w:rsidR="00C3543E" w:rsidRPr="00E52A42" w:rsidRDefault="00C3543E" w:rsidP="00C3543E">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Ibídem.</w:t>
      </w:r>
    </w:p>
  </w:footnote>
  <w:footnote w:id="9">
    <w:p w14:paraId="24B7C87D" w14:textId="77777777" w:rsidR="00C3543E" w:rsidRPr="00E52A42" w:rsidRDefault="00C3543E" w:rsidP="00C3543E">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Corte Constitucional. Sentencia C-317 de 2012. M.P. María Victoria Calle Correa. </w:t>
      </w:r>
    </w:p>
    <w:p w14:paraId="39932AE4" w14:textId="77777777" w:rsidR="00C3543E" w:rsidRPr="00E52A42" w:rsidRDefault="00C3543E" w:rsidP="00C3543E">
      <w:pPr>
        <w:pStyle w:val="Textonotapie"/>
        <w:ind w:firstLine="709"/>
        <w:jc w:val="both"/>
        <w:rPr>
          <w:rFonts w:ascii="Arial" w:hAnsi="Arial" w:cs="Arial"/>
          <w:sz w:val="19"/>
          <w:szCs w:val="19"/>
        </w:rPr>
      </w:pPr>
    </w:p>
  </w:footnote>
  <w:footnote w:id="10">
    <w:p w14:paraId="5DE1519B" w14:textId="77777777" w:rsidR="00C3543E" w:rsidRPr="00E52A42" w:rsidRDefault="00C3543E" w:rsidP="00C3543E">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28048CEA" w14:textId="77777777" w:rsidR="00C3543E" w:rsidRPr="00E52A42" w:rsidRDefault="00C3543E" w:rsidP="00C3543E">
      <w:pPr>
        <w:pStyle w:val="Textonotapie"/>
        <w:ind w:firstLine="709"/>
        <w:jc w:val="both"/>
        <w:rPr>
          <w:rFonts w:ascii="Arial" w:hAnsi="Arial" w:cs="Arial"/>
          <w:color w:val="000000" w:themeColor="text1"/>
          <w:sz w:val="19"/>
          <w:szCs w:val="19"/>
        </w:rPr>
      </w:pPr>
    </w:p>
  </w:footnote>
  <w:footnote w:id="11">
    <w:p w14:paraId="519EAC2C" w14:textId="77777777" w:rsidR="00C3543E" w:rsidRPr="00E52A42" w:rsidRDefault="00C3543E" w:rsidP="00C3543E">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color w:val="000000" w:themeColor="text1"/>
          <w:sz w:val="19"/>
          <w:szCs w:val="19"/>
        </w:rPr>
        <w:t xml:space="preserve">Se entiende por entidades de </w:t>
      </w:r>
      <w:r w:rsidRPr="00E52A42">
        <w:rPr>
          <w:rFonts w:ascii="Arial" w:hAnsi="Arial" w:cs="Arial"/>
          <w:i/>
          <w:iCs/>
          <w:color w:val="000000" w:themeColor="text1"/>
          <w:sz w:val="19"/>
          <w:szCs w:val="19"/>
        </w:rPr>
        <w:t xml:space="preserve">régimen especial </w:t>
      </w:r>
      <w:r w:rsidRPr="00E52A42">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p w14:paraId="4F3FF28B" w14:textId="77777777" w:rsidR="00C3543E" w:rsidRPr="00E52A42" w:rsidRDefault="00C3543E" w:rsidP="00C3543E">
      <w:pPr>
        <w:pStyle w:val="Textonotapie"/>
        <w:ind w:firstLine="709"/>
        <w:jc w:val="both"/>
        <w:rPr>
          <w:rFonts w:ascii="Arial" w:hAnsi="Arial" w:cs="Arial"/>
          <w:sz w:val="19"/>
          <w:szCs w:val="19"/>
          <w:lang w:val="es-CO"/>
        </w:rPr>
      </w:pPr>
    </w:p>
  </w:footnote>
  <w:footnote w:id="12">
    <w:p w14:paraId="6348A12D" w14:textId="77777777" w:rsidR="00C3543E" w:rsidRPr="00E52A42" w:rsidRDefault="00C3543E" w:rsidP="00C3543E">
      <w:pPr>
        <w:pStyle w:val="Textonotapie"/>
        <w:ind w:firstLine="709"/>
        <w:jc w:val="both"/>
        <w:rPr>
          <w:rFonts w:ascii="Arial" w:hAnsi="Arial" w:cs="Arial"/>
          <w:sz w:val="19"/>
          <w:szCs w:val="19"/>
          <w:lang w:val="es-CO"/>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color w:val="000000" w:themeColor="text1"/>
          <w:sz w:val="19"/>
          <w:szCs w:val="19"/>
        </w:rPr>
        <w:t>Esto se ha señalado en distintos conceptos de esta Subdirección, como el C-219 del 29 de abril de 2020, el C-280 del 6 de julio de 2020 y el C–434 del 29 de julio de 2020.</w:t>
      </w:r>
    </w:p>
  </w:footnote>
  <w:footnote w:id="13">
    <w:p w14:paraId="745C1DA7" w14:textId="77777777" w:rsidR="00C3543E" w:rsidRPr="00E52A42" w:rsidRDefault="00C3543E" w:rsidP="00C3543E">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0CEA7580" w14:textId="77777777" w:rsidR="00C3543E" w:rsidRPr="00E52A42" w:rsidRDefault="00C3543E" w:rsidP="00C3543E">
      <w:pPr>
        <w:pStyle w:val="Textonotapie"/>
        <w:ind w:firstLine="709"/>
        <w:jc w:val="both"/>
        <w:rPr>
          <w:rFonts w:ascii="Arial" w:hAnsi="Arial" w:cs="Arial"/>
          <w:sz w:val="19"/>
          <w:szCs w:val="19"/>
        </w:rPr>
      </w:pPr>
      <w:r w:rsidRPr="00E52A42">
        <w:rPr>
          <w:rFonts w:ascii="Arial" w:hAnsi="Arial" w:cs="Arial"/>
          <w:sz w:val="19"/>
          <w:szCs w:val="19"/>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19AA5D49" w14:textId="77777777" w:rsidR="00C3543E" w:rsidRPr="00E52A42" w:rsidRDefault="00C3543E" w:rsidP="00C3543E">
      <w:pPr>
        <w:pStyle w:val="Textonotapie"/>
        <w:ind w:firstLine="709"/>
        <w:jc w:val="both"/>
        <w:rPr>
          <w:rFonts w:ascii="Arial" w:hAnsi="Arial" w:cs="Arial"/>
          <w:sz w:val="19"/>
          <w:szCs w:val="19"/>
        </w:rPr>
      </w:pPr>
      <w:r w:rsidRPr="00E52A42">
        <w:rPr>
          <w:rFonts w:ascii="Arial" w:hAnsi="Arial" w:cs="Arial"/>
          <w:sz w:val="19"/>
          <w:szCs w:val="19"/>
        </w:rPr>
        <w:t>»La entidad estatal debe elegir y garantizar los medios electrónicos y de comunicación que utilizará, así como los mecanismos para el registro de la Información generada.</w:t>
      </w:r>
    </w:p>
    <w:p w14:paraId="37C96C52" w14:textId="77777777" w:rsidR="00C3543E" w:rsidRPr="00E52A42" w:rsidRDefault="00C3543E" w:rsidP="00C3543E">
      <w:pPr>
        <w:pStyle w:val="Textonotapie"/>
        <w:ind w:firstLine="709"/>
        <w:jc w:val="both"/>
        <w:rPr>
          <w:rFonts w:ascii="Arial" w:hAnsi="Arial" w:cs="Arial"/>
          <w:sz w:val="19"/>
          <w:szCs w:val="19"/>
        </w:rPr>
      </w:pPr>
      <w:r w:rsidRPr="00E52A42">
        <w:rPr>
          <w:rFonts w:ascii="Arial" w:hAnsi="Arial" w:cs="Arial"/>
          <w:sz w:val="19"/>
          <w:szCs w:val="19"/>
        </w:rPr>
        <w:t>»Sin perjuicio de lo anterior, el ordenador del gasto o funcionario competente podrá decretar la suspensión de términos, inclusive los iniciados con anterioridad a la vigencia de este Decreto».</w:t>
      </w:r>
    </w:p>
    <w:p w14:paraId="454D6579" w14:textId="77777777" w:rsidR="00C3543E" w:rsidRPr="00E52A42" w:rsidRDefault="00C3543E" w:rsidP="00C3543E">
      <w:pPr>
        <w:pStyle w:val="Textonotapie"/>
        <w:ind w:firstLine="709"/>
        <w:jc w:val="both"/>
        <w:rPr>
          <w:rFonts w:ascii="Arial" w:hAnsi="Arial" w:cs="Arial"/>
          <w:sz w:val="19"/>
          <w:szCs w:val="19"/>
          <w:lang w:val="es-CO"/>
        </w:rPr>
      </w:pPr>
      <w:r w:rsidRPr="00E52A42">
        <w:rPr>
          <w:rFonts w:ascii="Arial" w:hAnsi="Arial" w:cs="Arial"/>
          <w:sz w:val="19"/>
          <w:szCs w:val="19"/>
        </w:rPr>
        <w:t xml:space="preserve"> </w:t>
      </w:r>
    </w:p>
  </w:footnote>
  <w:footnote w:id="14">
    <w:p w14:paraId="453AAB13" w14:textId="77777777" w:rsidR="00C3543E" w:rsidRPr="00E52A42" w:rsidRDefault="00C3543E" w:rsidP="00C3543E">
      <w:pPr>
        <w:pStyle w:val="Textonotapie"/>
        <w:ind w:firstLine="709"/>
        <w:jc w:val="both"/>
        <w:rPr>
          <w:rFonts w:ascii="Arial" w:hAnsi="Arial" w:cs="Arial"/>
          <w:sz w:val="19"/>
          <w:szCs w:val="19"/>
          <w:lang w:val="es-CO"/>
        </w:rPr>
      </w:pPr>
      <w:r w:rsidRPr="00E52A42">
        <w:rPr>
          <w:rStyle w:val="Refdenotaalpie"/>
          <w:rFonts w:ascii="Arial" w:hAnsi="Arial" w:cs="Arial"/>
          <w:sz w:val="19"/>
          <w:szCs w:val="19"/>
        </w:rPr>
        <w:footnoteRef/>
      </w:r>
      <w:r w:rsidRPr="00E52A42">
        <w:rPr>
          <w:rFonts w:ascii="Arial" w:hAnsi="Arial" w:cs="Arial"/>
          <w:sz w:val="19"/>
          <w:szCs w:val="19"/>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15">
    <w:p w14:paraId="76C1C2C1" w14:textId="77777777" w:rsidR="00C3543E" w:rsidRPr="009D3964" w:rsidRDefault="00C3543E" w:rsidP="00C3543E">
      <w:pPr>
        <w:pStyle w:val="Textonotapie"/>
        <w:ind w:firstLine="709"/>
        <w:jc w:val="both"/>
        <w:rPr>
          <w:rFonts w:ascii="Arial" w:hAnsi="Arial" w:cs="Arial"/>
          <w:sz w:val="19"/>
          <w:szCs w:val="19"/>
          <w:lang w:val="es-CO"/>
        </w:rPr>
      </w:pPr>
      <w:r w:rsidRPr="009D3964">
        <w:rPr>
          <w:rStyle w:val="Refdenotaalpie"/>
          <w:rFonts w:ascii="Arial" w:hAnsi="Arial" w:cs="Arial"/>
          <w:sz w:val="19"/>
          <w:szCs w:val="19"/>
        </w:rPr>
        <w:footnoteRef/>
      </w:r>
      <w:r w:rsidRPr="009D3964">
        <w:rPr>
          <w:rFonts w:ascii="Arial" w:hAnsi="Arial" w:cs="Arial"/>
          <w:sz w:val="19"/>
          <w:szCs w:val="19"/>
        </w:rPr>
        <w:t xml:space="preserve"> </w:t>
      </w:r>
      <w:r w:rsidRPr="005B1504">
        <w:rPr>
          <w:rFonts w:ascii="Arial" w:hAnsi="Arial" w:cs="Arial"/>
          <w:sz w:val="19"/>
          <w:szCs w:val="19"/>
          <w:lang w:val="es-CO"/>
        </w:rPr>
        <w:t xml:space="preserve">Informe de Ponencia para primer debate del proyecto de Ley Número 369 de 2021 Cámara – 341 de 2020 Senado. </w:t>
      </w:r>
      <w:r w:rsidRPr="005B1504">
        <w:rPr>
          <w:rFonts w:ascii="Arial" w:hAnsi="Arial" w:cs="Arial"/>
          <w:sz w:val="19"/>
          <w:szCs w:val="19"/>
        </w:rPr>
        <w:t xml:space="preserve">Gaceta del Congreso de la República No. </w:t>
      </w:r>
      <w:r w:rsidRPr="005B1504">
        <w:rPr>
          <w:rFonts w:ascii="Arial" w:hAnsi="Arial" w:cs="Arial"/>
          <w:sz w:val="19"/>
          <w:szCs w:val="19"/>
          <w:lang w:val="es-CO"/>
        </w:rPr>
        <w:t xml:space="preserve">1677 del 23 de noviembre de 2021. Disponible en: </w:t>
      </w:r>
      <w:hyperlink r:id="rId1" w:history="1">
        <w:r w:rsidRPr="005B1504">
          <w:rPr>
            <w:rStyle w:val="Hipervnculo"/>
            <w:rFonts w:ascii="Arial" w:hAnsi="Arial" w:cs="Arial"/>
            <w:color w:val="000000" w:themeColor="text1"/>
            <w:sz w:val="19"/>
            <w:szCs w:val="19"/>
            <w:u w:val="none"/>
            <w:lang w:val="es-CO"/>
          </w:rPr>
          <w:t>http://www.secretariasenado.gov.co/legibus/legibus/gacetas/2021/GC_1677_2021.pdf</w:t>
        </w:r>
      </w:hyperlink>
      <w:r w:rsidRPr="005B1504">
        <w:rPr>
          <w:rFonts w:ascii="Arial" w:hAnsi="Arial" w:cs="Arial"/>
          <w:color w:val="000000" w:themeColor="text1"/>
          <w:sz w:val="19"/>
          <w:szCs w:val="19"/>
          <w:lang w:val="es-CO"/>
        </w:rPr>
        <w:t xml:space="preserve"> </w:t>
      </w:r>
    </w:p>
  </w:footnote>
  <w:footnote w:id="16">
    <w:p w14:paraId="02595191" w14:textId="77777777" w:rsidR="00C3543E" w:rsidRPr="005B1504" w:rsidRDefault="00C3543E" w:rsidP="00C3543E">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379AC712" w14:textId="77777777" w:rsidR="00C3543E" w:rsidRPr="005B1504" w:rsidRDefault="00C3543E" w:rsidP="00C3543E">
      <w:pPr>
        <w:pStyle w:val="Textonotapie"/>
        <w:ind w:firstLine="709"/>
        <w:jc w:val="both"/>
        <w:rPr>
          <w:rFonts w:ascii="Arial" w:hAnsi="Arial" w:cs="Arial"/>
          <w:sz w:val="19"/>
          <w:szCs w:val="19"/>
          <w:lang w:val="es-CO"/>
        </w:rPr>
      </w:pPr>
    </w:p>
  </w:footnote>
  <w:footnote w:id="17">
    <w:p w14:paraId="47D3DB80" w14:textId="77777777" w:rsidR="00C3543E" w:rsidRPr="005B1504" w:rsidRDefault="00C3543E" w:rsidP="00C3543E">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2598A5CD" w14:textId="77777777" w:rsidR="00C3543E" w:rsidRPr="005B1504" w:rsidRDefault="00C3543E" w:rsidP="00C3543E">
      <w:pPr>
        <w:pStyle w:val="Textonotapie"/>
        <w:ind w:firstLine="709"/>
        <w:jc w:val="both"/>
        <w:rPr>
          <w:rFonts w:ascii="Arial" w:hAnsi="Arial" w:cs="Arial"/>
          <w:sz w:val="19"/>
          <w:szCs w:val="19"/>
        </w:rPr>
      </w:pPr>
      <w:r w:rsidRPr="005B1504">
        <w:rPr>
          <w:rFonts w:ascii="Arial" w:hAnsi="Arial" w:cs="Arial"/>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6C1D7D51" w14:textId="77777777" w:rsidR="00C3543E" w:rsidRPr="005B1504" w:rsidRDefault="00C3543E" w:rsidP="00C3543E">
      <w:pPr>
        <w:pStyle w:val="Textonotapie"/>
        <w:ind w:firstLine="709"/>
        <w:jc w:val="both"/>
        <w:rPr>
          <w:rFonts w:ascii="Arial" w:hAnsi="Arial" w:cs="Arial"/>
          <w:sz w:val="19"/>
          <w:szCs w:val="19"/>
        </w:rPr>
      </w:pPr>
      <w:r w:rsidRPr="005B1504">
        <w:rPr>
          <w:rFonts w:ascii="Arial" w:hAnsi="Arial" w:cs="Arial"/>
          <w:sz w:val="19"/>
          <w:szCs w:val="19"/>
        </w:rPr>
        <w:t>»Cualquier controversia o solicitud que surja en relación con los reportes eje información que suministre la entidad contratante, serán resueltos por esta, atendiendo los principios y disposiciones establecidos en la normatividad vigente».</w:t>
      </w:r>
    </w:p>
    <w:p w14:paraId="425D7015" w14:textId="77777777" w:rsidR="00C3543E" w:rsidRPr="005B1504" w:rsidRDefault="00C3543E" w:rsidP="00C3543E">
      <w:pPr>
        <w:pStyle w:val="Textonotapie"/>
        <w:ind w:firstLine="709"/>
        <w:jc w:val="both"/>
        <w:rPr>
          <w:rFonts w:ascii="Arial" w:hAnsi="Arial" w:cs="Arial"/>
          <w:sz w:val="19"/>
          <w:szCs w:val="19"/>
          <w:lang w:val="es-CO"/>
        </w:rPr>
      </w:pPr>
    </w:p>
  </w:footnote>
  <w:footnote w:id="18">
    <w:p w14:paraId="080168AB" w14:textId="77777777" w:rsidR="00CD6054" w:rsidRPr="00DA38BD" w:rsidRDefault="00CD6054" w:rsidP="00CD6054">
      <w:pPr>
        <w:pStyle w:val="Textonotapie"/>
        <w:ind w:firstLine="709"/>
        <w:jc w:val="both"/>
        <w:rPr>
          <w:rFonts w:ascii="Arial" w:hAnsi="Arial" w:cs="Arial"/>
          <w:color w:val="000000" w:themeColor="text1"/>
          <w:sz w:val="19"/>
          <w:szCs w:val="19"/>
          <w:lang w:val="es-ES"/>
        </w:rPr>
      </w:pPr>
      <w:r w:rsidRPr="00DA38BD">
        <w:rPr>
          <w:rStyle w:val="Refdenotaalpie"/>
          <w:rFonts w:ascii="Arial" w:hAnsi="Arial" w:cs="Arial"/>
          <w:sz w:val="19"/>
          <w:szCs w:val="19"/>
        </w:rPr>
        <w:footnoteRef/>
      </w:r>
      <w:r w:rsidRPr="00DA38BD">
        <w:rPr>
          <w:rFonts w:ascii="Arial" w:hAnsi="Arial" w:cs="Arial"/>
          <w:color w:val="000000" w:themeColor="text1"/>
          <w:sz w:val="19"/>
          <w:szCs w:val="19"/>
        </w:rPr>
        <w:t xml:space="preserve"> </w:t>
      </w:r>
      <w:r w:rsidRPr="00DA38BD">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(oponibilidad) de las leyes, las cuales solo tienen vigencia si se han promulgado y publicado en el Diario Oficial (Sentencia C-932 de 2006. Magistrado Ponente: Humberto Antonio Sierra Porto).</w:t>
      </w:r>
    </w:p>
  </w:footnote>
  <w:footnote w:id="19">
    <w:p w14:paraId="39190BCA" w14:textId="77777777" w:rsidR="00CD6054" w:rsidRPr="00DA38BD" w:rsidRDefault="00CD6054" w:rsidP="00CD6054">
      <w:pPr>
        <w:pStyle w:val="Textonotapie"/>
        <w:ind w:firstLine="709"/>
        <w:jc w:val="both"/>
        <w:rPr>
          <w:rFonts w:ascii="Arial" w:hAnsi="Arial" w:cs="Arial"/>
          <w:color w:val="000000" w:themeColor="text1"/>
          <w:sz w:val="19"/>
          <w:szCs w:val="19"/>
          <w:lang w:val="es-ES"/>
        </w:rPr>
      </w:pPr>
      <w:r w:rsidRPr="00DA38BD">
        <w:rPr>
          <w:rStyle w:val="Refdenotaalpie"/>
          <w:rFonts w:ascii="Arial" w:hAnsi="Arial" w:cs="Arial"/>
          <w:sz w:val="19"/>
          <w:szCs w:val="19"/>
        </w:rPr>
        <w:footnoteRef/>
      </w:r>
      <w:r w:rsidRPr="00DA38BD">
        <w:rPr>
          <w:rFonts w:ascii="Arial" w:hAnsi="Arial" w:cs="Arial"/>
          <w:color w:val="000000" w:themeColor="text1"/>
          <w:sz w:val="19"/>
          <w:szCs w:val="19"/>
        </w:rPr>
        <w:t xml:space="preserve"> </w:t>
      </w:r>
      <w:r w:rsidRPr="00DA38BD">
        <w:rPr>
          <w:rFonts w:ascii="Arial" w:hAnsi="Arial" w:cs="Arial"/>
          <w:color w:val="000000" w:themeColor="text1"/>
          <w:sz w:val="19"/>
          <w:szCs w:val="19"/>
          <w:lang w:val="es-ES"/>
        </w:rPr>
        <w:t xml:space="preserve">Tales subreglas son coherentes con la forma como la doctrina del Derecho administrativo comparado ha entendido de tiempo atrás la vigencia de las leyes. Al respecto, basta leer las palabras de Marienhoff, cuando se pregunta «¿Y cuál es la vigencia de la ley con relación al tiempo?», respondiendo a renglón seguido: «El principio general consiste en que las leyes rigen </w:t>
      </w:r>
      <w:r w:rsidRPr="00DA38BD">
        <w:rPr>
          <w:rFonts w:ascii="Arial" w:hAnsi="Arial" w:cs="Arial"/>
          <w:i/>
          <w:iCs/>
          <w:color w:val="000000" w:themeColor="text1"/>
          <w:sz w:val="19"/>
          <w:szCs w:val="19"/>
          <w:lang w:val="es-ES"/>
        </w:rPr>
        <w:t>“ex nunc”</w:t>
      </w:r>
      <w:r w:rsidRPr="00DA38BD">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DA38BD">
        <w:rPr>
          <w:rFonts w:ascii="Arial" w:hAnsi="Arial" w:cs="Arial"/>
          <w:i/>
          <w:iCs/>
          <w:color w:val="000000" w:themeColor="text1"/>
          <w:sz w:val="19"/>
          <w:szCs w:val="19"/>
          <w:lang w:val="es-ES"/>
        </w:rPr>
        <w:t>“excepcional”</w:t>
      </w:r>
      <w:r w:rsidRPr="00DA38BD">
        <w:rPr>
          <w:rFonts w:ascii="Arial" w:hAnsi="Arial" w:cs="Arial"/>
          <w:color w:val="000000" w:themeColor="text1"/>
          <w:sz w:val="19"/>
          <w:szCs w:val="19"/>
          <w:lang w:val="es-ES"/>
        </w:rPr>
        <w:t xml:space="preserve">, la ley puede regir para el pasado, es decir, puede tener efecto retroactivo, </w:t>
      </w:r>
      <w:r w:rsidRPr="00DA38BD">
        <w:rPr>
          <w:rFonts w:ascii="Arial" w:hAnsi="Arial" w:cs="Arial"/>
          <w:i/>
          <w:iCs/>
          <w:color w:val="000000" w:themeColor="text1"/>
          <w:sz w:val="19"/>
          <w:szCs w:val="19"/>
          <w:lang w:val="es-ES"/>
        </w:rPr>
        <w:t>“ex tunc”</w:t>
      </w:r>
      <w:r w:rsidRPr="00DA38BD">
        <w:rPr>
          <w:rFonts w:ascii="Arial" w:hAnsi="Arial" w:cs="Arial"/>
          <w:color w:val="000000" w:themeColor="text1"/>
          <w:sz w:val="19"/>
          <w:szCs w:val="19"/>
          <w:lang w:val="es-ES"/>
        </w:rPr>
        <w:t xml:space="preserve">; pero la intención del legislador de dar efecto retroactivo a una ley debe resultar de una declaración </w:t>
      </w:r>
      <w:r w:rsidRPr="00DA38BD">
        <w:rPr>
          <w:rFonts w:ascii="Arial" w:hAnsi="Arial" w:cs="Arial"/>
          <w:i/>
          <w:iCs/>
          <w:color w:val="000000" w:themeColor="text1"/>
          <w:sz w:val="19"/>
          <w:szCs w:val="19"/>
          <w:lang w:val="es-ES"/>
        </w:rPr>
        <w:t>expresa</w:t>
      </w:r>
      <w:r w:rsidRPr="00DA38BD">
        <w:rPr>
          <w:rFonts w:ascii="Arial" w:hAnsi="Arial" w:cs="Arial"/>
          <w:color w:val="000000" w:themeColor="text1"/>
          <w:sz w:val="19"/>
          <w:szCs w:val="19"/>
          <w:lang w:val="es-ES"/>
        </w:rPr>
        <w:t xml:space="preserve"> o bien de otra forma </w:t>
      </w:r>
      <w:r w:rsidRPr="00DA38BD">
        <w:rPr>
          <w:rFonts w:ascii="Arial" w:hAnsi="Arial" w:cs="Arial"/>
          <w:i/>
          <w:iCs/>
          <w:color w:val="000000" w:themeColor="text1"/>
          <w:sz w:val="19"/>
          <w:szCs w:val="19"/>
          <w:lang w:val="es-ES"/>
        </w:rPr>
        <w:t>inequívoca</w:t>
      </w:r>
      <w:r w:rsidRPr="00DA38BD">
        <w:rPr>
          <w:rFonts w:ascii="Arial" w:hAnsi="Arial" w:cs="Arial"/>
          <w:color w:val="000000" w:themeColor="text1"/>
          <w:sz w:val="19"/>
          <w:szCs w:val="19"/>
          <w:lang w:val="es-ES"/>
        </w:rPr>
        <w:t>: la regla es la irretroactividad, principio que también rige para el derecho administrativo» (MARIENHOFF, Miguel S. Tratado de Derecho administrativo. Tomo I, Teoría General. 5ª ed. Buenos Aires: Abeledo-Perrot, 2000. pp. 228-229).</w:t>
      </w:r>
    </w:p>
  </w:footnote>
  <w:footnote w:id="20">
    <w:p w14:paraId="10E6098B" w14:textId="77777777" w:rsidR="00CD6054" w:rsidRPr="00DA38BD" w:rsidRDefault="00CD6054" w:rsidP="00CD6054">
      <w:pPr>
        <w:ind w:firstLine="709"/>
        <w:jc w:val="both"/>
        <w:rPr>
          <w:rFonts w:ascii="Arial" w:hAnsi="Arial" w:cs="Arial"/>
          <w:color w:val="000000" w:themeColor="text1"/>
          <w:sz w:val="19"/>
          <w:szCs w:val="19"/>
        </w:rPr>
      </w:pPr>
    </w:p>
    <w:p w14:paraId="6408E612" w14:textId="77777777" w:rsidR="00CD6054" w:rsidRPr="00DA38BD" w:rsidRDefault="00CD6054" w:rsidP="00CD6054">
      <w:pPr>
        <w:ind w:firstLine="709"/>
        <w:jc w:val="both"/>
        <w:rPr>
          <w:rFonts w:ascii="Arial" w:hAnsi="Arial" w:cs="Arial"/>
          <w:color w:val="000000" w:themeColor="text1"/>
          <w:sz w:val="19"/>
          <w:szCs w:val="19"/>
          <w:lang w:val="es-ES"/>
        </w:rPr>
      </w:pPr>
      <w:r w:rsidRPr="00DA38BD">
        <w:rPr>
          <w:rStyle w:val="Refdenotaalpie"/>
          <w:rFonts w:ascii="Arial" w:hAnsi="Arial" w:cs="Arial"/>
          <w:sz w:val="19"/>
          <w:szCs w:val="19"/>
        </w:rPr>
        <w:footnoteRef/>
      </w:r>
      <w:r w:rsidRPr="00DA38BD">
        <w:rPr>
          <w:rFonts w:ascii="Arial" w:hAnsi="Arial" w:cs="Arial"/>
          <w:color w:val="000000" w:themeColor="text1"/>
          <w:sz w:val="19"/>
          <w:szCs w:val="19"/>
        </w:rPr>
        <w:t xml:space="preserve"> </w:t>
      </w:r>
      <w:r w:rsidRPr="00DA38BD">
        <w:rPr>
          <w:rFonts w:ascii="Arial" w:hAnsi="Arial" w:cs="Arial"/>
          <w:color w:val="000000" w:themeColor="text1"/>
          <w:sz w:val="19"/>
          <w:szCs w:val="19"/>
          <w:lang w:val="es-ES"/>
        </w:rPr>
        <w:t>El apartado normativo establece: «En los procesos de responsabilidad fiscal, que al entrar en vigencia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446F32CE" w14:textId="77777777" w:rsidR="00CD6054" w:rsidRPr="00DA38BD" w:rsidRDefault="00CD6054" w:rsidP="00CD6054">
      <w:pPr>
        <w:pStyle w:val="Textonotapie"/>
        <w:ind w:firstLine="709"/>
        <w:jc w:val="both"/>
        <w:rPr>
          <w:rFonts w:ascii="Arial" w:hAnsi="Arial" w:cs="Arial"/>
          <w:color w:val="000000" w:themeColor="text1"/>
          <w:sz w:val="19"/>
          <w:szCs w:val="19"/>
          <w:lang w:val="es-CO"/>
        </w:rPr>
      </w:pPr>
    </w:p>
  </w:footnote>
  <w:footnote w:id="21">
    <w:p w14:paraId="78FCE2BF" w14:textId="77777777" w:rsidR="00CD6054" w:rsidRPr="00DA38BD" w:rsidRDefault="00CD6054" w:rsidP="00CD6054">
      <w:pPr>
        <w:pStyle w:val="Textonotapie"/>
        <w:ind w:firstLine="709"/>
        <w:jc w:val="both"/>
        <w:rPr>
          <w:rFonts w:ascii="Arial" w:hAnsi="Arial" w:cs="Arial"/>
          <w:sz w:val="19"/>
          <w:szCs w:val="19"/>
          <w:lang w:val="es-ES"/>
        </w:rPr>
      </w:pPr>
      <w:r w:rsidRPr="00DA38BD">
        <w:rPr>
          <w:rStyle w:val="Refdenotaalpie"/>
          <w:rFonts w:ascii="Arial" w:hAnsi="Arial" w:cs="Arial"/>
          <w:sz w:val="19"/>
          <w:szCs w:val="19"/>
        </w:rPr>
        <w:footnoteRef/>
      </w:r>
      <w:r w:rsidRPr="00DA38BD">
        <w:rPr>
          <w:rFonts w:ascii="Arial" w:hAnsi="Arial" w:cs="Arial"/>
          <w:sz w:val="19"/>
          <w:szCs w:val="19"/>
        </w:rPr>
        <w:t xml:space="preserve"> </w:t>
      </w:r>
      <w:r w:rsidRPr="00DA38BD">
        <w:rPr>
          <w:rFonts w:ascii="Arial" w:hAnsi="Arial" w:cs="Arial"/>
          <w:sz w:val="19"/>
          <w:szCs w:val="19"/>
          <w:lang w:val="es-ES"/>
        </w:rPr>
        <w:t xml:space="preserve">La Corte Constitucional explica el fenómeno de la ultractividad de la ley en los siguientes términos: «La ultractividad de la ley es un problema de aplicación de la ley en el tiempo y esta íntimamente ligada al principio de que todo hecho, acto o negocio jurídico se rige por la ley vigente al momento de su ocurrencia, realización o celebración.  Dentro de la Teoría General del Derecho, es clara la aplicación del principio "Tempus regit actus", que se traduce en que la norma vigente al momento de sucederse los hechos por ella prevista, es la que se aplica a esos hechos, aunque la norma haya sido derogada después. Esto es lo que explica la Teoría del Derecho, la denominada ultractividad de las normas, que son normas derogadas, que se siguen aplicando a los hechos ocurridos durante su vigencia. Este fenómeno se presenta en relación con todas las normas jurídicas, cualquiera que sea su naturaleza: civil, comercial, penal, etc. </w:t>
      </w:r>
    </w:p>
    <w:p w14:paraId="1893B865" w14:textId="77777777" w:rsidR="00CD6054" w:rsidRPr="00DA38BD" w:rsidRDefault="00CD6054" w:rsidP="00CD6054">
      <w:pPr>
        <w:pStyle w:val="Textonotapie"/>
        <w:ind w:firstLine="709"/>
        <w:jc w:val="both"/>
        <w:rPr>
          <w:rFonts w:ascii="Arial" w:hAnsi="Arial" w:cs="Arial"/>
          <w:sz w:val="19"/>
          <w:szCs w:val="19"/>
          <w:lang w:val="es-CO"/>
        </w:rPr>
      </w:pPr>
      <w:r w:rsidRPr="00DA38BD">
        <w:rPr>
          <w:rFonts w:ascii="Arial" w:hAnsi="Arial" w:cs="Arial"/>
          <w:sz w:val="19"/>
          <w:szCs w:val="19"/>
          <w:lang w:val="es-ES"/>
        </w:rPr>
        <w:t xml:space="preserve">»Y claro, el legislador bien podrá ordenar también que ciertas disposiciones legales formalmente derogadas, continúen produciendo efectos en torno a determinadas hipótesis, dada la favorabilidad que ellas puedan reportar a sus destinatarios. Poniéndose de relieve una coexistencia material de reglas sobre un mismo punto, de suerte que mientras la nueva ley se enerva bajo la figura de la inaplicación, por su parte la antigua ley prolonga su existencia al tenor de la ultractividad, que es, ni más ni menos, que la metaexistencia jurídica de una norma derogada, por expresa voluntad del legislador.  La cláusula general de competencia del Congreso de la República así lo avala, en tanto lo irradia de facultades para crear, mantener, modificar o derogar la legislación que estime oportuna y conveniente; siempre y cuando lo haga en consonancia con los parámetros constitucionales vistos, dentro de los cuales militan el debido proceso y el derecho a la igualdad» (Sentencia C-763 de 2002, M.P. Jaime Araujo Rentería).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2CF"/>
    <w:rsid w:val="000E2977"/>
    <w:rsid w:val="000E2B36"/>
    <w:rsid w:val="000E30AC"/>
    <w:rsid w:val="000E3B46"/>
    <w:rsid w:val="000E3E11"/>
    <w:rsid w:val="000E4596"/>
    <w:rsid w:val="000E5768"/>
    <w:rsid w:val="000E5843"/>
    <w:rsid w:val="000E6139"/>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0430"/>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36A"/>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CD6"/>
    <w:rsid w:val="00384DF1"/>
    <w:rsid w:val="00384FF3"/>
    <w:rsid w:val="00386456"/>
    <w:rsid w:val="003865A9"/>
    <w:rsid w:val="00387642"/>
    <w:rsid w:val="003903B6"/>
    <w:rsid w:val="00390F32"/>
    <w:rsid w:val="0039135E"/>
    <w:rsid w:val="0039200F"/>
    <w:rsid w:val="0039319C"/>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CD"/>
    <w:rsid w:val="004D3BD1"/>
    <w:rsid w:val="004D4BA1"/>
    <w:rsid w:val="004D5451"/>
    <w:rsid w:val="004D584D"/>
    <w:rsid w:val="004D58DE"/>
    <w:rsid w:val="004D61E1"/>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BE"/>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F90"/>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CC0"/>
    <w:rsid w:val="00831026"/>
    <w:rsid w:val="0083119B"/>
    <w:rsid w:val="00831654"/>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6D9B"/>
    <w:rsid w:val="00847535"/>
    <w:rsid w:val="00847744"/>
    <w:rsid w:val="00847B6D"/>
    <w:rsid w:val="00847FFA"/>
    <w:rsid w:val="0085092D"/>
    <w:rsid w:val="00850D82"/>
    <w:rsid w:val="00850F79"/>
    <w:rsid w:val="0085100B"/>
    <w:rsid w:val="0085304C"/>
    <w:rsid w:val="00853973"/>
    <w:rsid w:val="00853B5D"/>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B89"/>
    <w:rsid w:val="008D18AA"/>
    <w:rsid w:val="008D1A16"/>
    <w:rsid w:val="008D1A2A"/>
    <w:rsid w:val="008D29B1"/>
    <w:rsid w:val="008D2EB5"/>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3AB"/>
    <w:rsid w:val="00937401"/>
    <w:rsid w:val="00937561"/>
    <w:rsid w:val="009376FB"/>
    <w:rsid w:val="00937D6B"/>
    <w:rsid w:val="00940477"/>
    <w:rsid w:val="00940876"/>
    <w:rsid w:val="00940A53"/>
    <w:rsid w:val="00940F3C"/>
    <w:rsid w:val="00940FC1"/>
    <w:rsid w:val="009410E0"/>
    <w:rsid w:val="009444B4"/>
    <w:rsid w:val="00944644"/>
    <w:rsid w:val="009449F9"/>
    <w:rsid w:val="009451CE"/>
    <w:rsid w:val="009460F9"/>
    <w:rsid w:val="00946A24"/>
    <w:rsid w:val="009470D4"/>
    <w:rsid w:val="00947337"/>
    <w:rsid w:val="009512FA"/>
    <w:rsid w:val="00951E57"/>
    <w:rsid w:val="00953018"/>
    <w:rsid w:val="009533E2"/>
    <w:rsid w:val="00953554"/>
    <w:rsid w:val="0095385A"/>
    <w:rsid w:val="00953928"/>
    <w:rsid w:val="009540F0"/>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8D0"/>
    <w:rsid w:val="00B46120"/>
    <w:rsid w:val="00B4792C"/>
    <w:rsid w:val="00B50CAE"/>
    <w:rsid w:val="00B512AD"/>
    <w:rsid w:val="00B5196C"/>
    <w:rsid w:val="00B525CB"/>
    <w:rsid w:val="00B52697"/>
    <w:rsid w:val="00B53E7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2CC"/>
    <w:rsid w:val="00C25813"/>
    <w:rsid w:val="00C27143"/>
    <w:rsid w:val="00C27490"/>
    <w:rsid w:val="00C27A55"/>
    <w:rsid w:val="00C27D37"/>
    <w:rsid w:val="00C27FB2"/>
    <w:rsid w:val="00C302E5"/>
    <w:rsid w:val="00C309E8"/>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B41"/>
    <w:rsid w:val="00E7347B"/>
    <w:rsid w:val="00E73D03"/>
    <w:rsid w:val="00E7471C"/>
    <w:rsid w:val="00E7498A"/>
    <w:rsid w:val="00E7514E"/>
    <w:rsid w:val="00E75B34"/>
    <w:rsid w:val="00E77AF5"/>
    <w:rsid w:val="00E8029A"/>
    <w:rsid w:val="00E803A6"/>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5A86"/>
    <w:rsid w:val="00F76C11"/>
    <w:rsid w:val="00F77021"/>
    <w:rsid w:val="00F775CB"/>
    <w:rsid w:val="00F77E61"/>
    <w:rsid w:val="00F814B2"/>
    <w:rsid w:val="00F815AC"/>
    <w:rsid w:val="00F83200"/>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legibus/legibus/gacetas/2021/GC_1677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6E40C68-43B9-4AB8-B1E8-9710EB2F86BF}"/>
</file>

<file path=docProps/app.xml><?xml version="1.0" encoding="utf-8"?>
<Properties xmlns="http://schemas.openxmlformats.org/officeDocument/2006/extended-properties" xmlns:vt="http://schemas.openxmlformats.org/officeDocument/2006/docPropsVTypes">
  <Template>Respuesta a consultas</Template>
  <TotalTime>1</TotalTime>
  <Pages>22</Pages>
  <Words>8258</Words>
  <Characters>45419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2022-03-23T22:30:00Z</dcterms:created>
  <dcterms:modified xsi:type="dcterms:W3CDTF">2022-03-23T22:31:00Z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