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AC71" w14:textId="5282EFA7" w:rsidR="002415B8" w:rsidRPr="003011D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011D1">
        <w:rPr>
          <w:rFonts w:ascii="Arial" w:hAnsi="Arial" w:cs="Arial"/>
          <w:bCs/>
          <w:color w:val="000000" w:themeColor="text1"/>
          <w:sz w:val="16"/>
          <w:szCs w:val="16"/>
          <w:lang w:val="es-ES_tradnl" w:eastAsia="es-ES"/>
        </w:rPr>
        <w:t>CCE-DES-FM-17</w:t>
      </w:r>
      <w:bookmarkEnd w:id="0"/>
      <w:bookmarkEnd w:id="1"/>
    </w:p>
    <w:p w14:paraId="153DCCCC" w14:textId="77777777" w:rsidR="00DB5767" w:rsidRPr="003011D1" w:rsidRDefault="00DB5767" w:rsidP="00C978D4">
      <w:pPr>
        <w:jc w:val="both"/>
        <w:rPr>
          <w:rFonts w:ascii="Arial" w:hAnsi="Arial" w:cs="Arial"/>
          <w:noProof/>
          <w:color w:val="000000" w:themeColor="text1"/>
          <w:sz w:val="22"/>
          <w:lang w:val="es-ES_tradnl"/>
        </w:rPr>
      </w:pPr>
    </w:p>
    <w:p w14:paraId="4C30E58F" w14:textId="6BE8585F" w:rsidR="00BF79E3" w:rsidRPr="003011D1" w:rsidRDefault="00BF79E3" w:rsidP="00BF79E3">
      <w:pPr>
        <w:jc w:val="both"/>
        <w:rPr>
          <w:rFonts w:ascii="Arial" w:eastAsia="Calibri" w:hAnsi="Arial" w:cs="Arial"/>
          <w:b/>
          <w:color w:val="000000" w:themeColor="text1"/>
          <w:sz w:val="22"/>
          <w:lang w:val="es-ES_tradnl"/>
        </w:rPr>
      </w:pPr>
      <w:r w:rsidRPr="003011D1">
        <w:rPr>
          <w:rFonts w:ascii="Arial" w:eastAsia="Calibri" w:hAnsi="Arial" w:cs="Arial"/>
          <w:b/>
          <w:color w:val="000000" w:themeColor="text1"/>
          <w:sz w:val="22"/>
          <w:lang w:val="es-ES_tradnl"/>
        </w:rPr>
        <w:t>CLÁUSULAS EXCEPCIONALES – Multas – Cláusula penal – Imposición unilateral</w:t>
      </w:r>
    </w:p>
    <w:p w14:paraId="0AE37977" w14:textId="77777777" w:rsidR="00BF79E3" w:rsidRPr="003011D1" w:rsidRDefault="00BF79E3" w:rsidP="00BF79E3">
      <w:pPr>
        <w:rPr>
          <w:rFonts w:ascii="Arial" w:hAnsi="Arial" w:cs="Arial"/>
          <w:color w:val="000000" w:themeColor="text1"/>
          <w:sz w:val="20"/>
          <w:szCs w:val="20"/>
          <w:lang w:val="es-ES_tradnl"/>
        </w:rPr>
      </w:pPr>
    </w:p>
    <w:p w14:paraId="53B78DE4" w14:textId="77777777" w:rsidR="00BF79E3" w:rsidRPr="003011D1" w:rsidRDefault="00BF79E3" w:rsidP="00BF79E3">
      <w:pPr>
        <w:jc w:val="both"/>
        <w:rPr>
          <w:rFonts w:ascii="Arial" w:eastAsia="Calibri" w:hAnsi="Arial" w:cs="Arial"/>
          <w:b/>
          <w:color w:val="000000" w:themeColor="text1"/>
          <w:sz w:val="22"/>
          <w:lang w:val="es-ES_tradnl"/>
        </w:rPr>
      </w:pPr>
      <w:r w:rsidRPr="003011D1">
        <w:rPr>
          <w:rFonts w:ascii="Arial" w:hAnsi="Arial" w:cs="Arial"/>
          <w:iCs/>
          <w:color w:val="000000" w:themeColor="text1"/>
          <w:sz w:val="20"/>
          <w:szCs w:val="20"/>
          <w:lang w:val="es-ES_tradnl"/>
        </w:rPr>
        <w:t>El último grupo de potestades excepcionales –imposición unilateral de la multa o la cláusula penal–por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3CB3E7E" w14:textId="77777777" w:rsidR="00BF79E3" w:rsidRPr="003011D1" w:rsidRDefault="00BF79E3" w:rsidP="00BF79E3">
      <w:pPr>
        <w:jc w:val="both"/>
        <w:rPr>
          <w:rFonts w:ascii="Arial" w:hAnsi="Arial" w:cs="Arial"/>
          <w:iCs/>
          <w:color w:val="000000" w:themeColor="text1"/>
          <w:sz w:val="20"/>
          <w:szCs w:val="20"/>
          <w:lang w:val="es-ES_tradnl"/>
        </w:rPr>
      </w:pPr>
    </w:p>
    <w:p w14:paraId="6729395E" w14:textId="77777777" w:rsidR="00BF79E3" w:rsidRPr="003011D1" w:rsidRDefault="00BF79E3" w:rsidP="00BF79E3">
      <w:pPr>
        <w:jc w:val="both"/>
        <w:rPr>
          <w:rFonts w:ascii="Arial" w:eastAsia="Calibri" w:hAnsi="Arial" w:cs="Arial"/>
          <w:b/>
          <w:color w:val="000000" w:themeColor="text1"/>
          <w:sz w:val="22"/>
          <w:lang w:val="es-ES_tradnl"/>
        </w:rPr>
      </w:pPr>
      <w:r w:rsidRPr="003011D1">
        <w:rPr>
          <w:rFonts w:ascii="Arial" w:eastAsia="Calibri" w:hAnsi="Arial" w:cs="Arial"/>
          <w:b/>
          <w:color w:val="000000" w:themeColor="text1"/>
          <w:sz w:val="22"/>
          <w:lang w:val="es-ES_tradnl"/>
        </w:rPr>
        <w:t>PROCEDIMIENTO SANCIONATORIO CONTRACTUAL – Citación a audiencia – Contenido – Ley 1474 de 2011 – Artículo 86</w:t>
      </w:r>
    </w:p>
    <w:p w14:paraId="338AC3EF" w14:textId="77777777" w:rsidR="00BF79E3" w:rsidRPr="003011D1" w:rsidRDefault="00BF79E3" w:rsidP="00BF79E3">
      <w:pPr>
        <w:jc w:val="both"/>
        <w:rPr>
          <w:rFonts w:ascii="Arial" w:eastAsia="Calibri" w:hAnsi="Arial" w:cs="Arial"/>
          <w:b/>
          <w:color w:val="000000" w:themeColor="text1"/>
          <w:sz w:val="20"/>
          <w:szCs w:val="20"/>
          <w:lang w:val="es-ES_tradnl"/>
        </w:rPr>
      </w:pPr>
    </w:p>
    <w:p w14:paraId="6D8B7A2B" w14:textId="77777777" w:rsidR="00BF79E3" w:rsidRPr="003011D1" w:rsidRDefault="00BF79E3" w:rsidP="00BF79E3">
      <w:pPr>
        <w:jc w:val="both"/>
        <w:rPr>
          <w:rFonts w:ascii="Arial" w:eastAsia="Calibri" w:hAnsi="Arial" w:cs="Arial"/>
          <w:color w:val="000000" w:themeColor="text1"/>
          <w:sz w:val="20"/>
          <w:szCs w:val="20"/>
          <w:lang w:val="es-ES_tradnl"/>
        </w:rPr>
      </w:pPr>
      <w:r w:rsidRPr="003011D1">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3011D1">
        <w:rPr>
          <w:rFonts w:ascii="Arial" w:eastAsia="Calibri" w:hAnsi="Arial" w:cs="Arial"/>
          <w:i/>
          <w:iCs/>
          <w:color w:val="000000" w:themeColor="text1"/>
          <w:sz w:val="20"/>
          <w:szCs w:val="20"/>
          <w:lang w:val="es-ES_tradnl"/>
        </w:rPr>
        <w:t>hechos</w:t>
      </w:r>
      <w:r w:rsidRPr="003011D1">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14:paraId="1ADAB55D" w14:textId="77777777" w:rsidR="00BF79E3" w:rsidRPr="003011D1" w:rsidRDefault="00BF79E3" w:rsidP="00BF79E3">
      <w:pPr>
        <w:jc w:val="both"/>
        <w:rPr>
          <w:rFonts w:ascii="Arial" w:hAnsi="Arial" w:cs="Arial"/>
          <w:color w:val="000000" w:themeColor="text1"/>
          <w:sz w:val="21"/>
          <w:szCs w:val="21"/>
          <w:lang w:val="es-ES_tradnl"/>
        </w:rPr>
      </w:pPr>
    </w:p>
    <w:p w14:paraId="536C806F" w14:textId="77777777" w:rsidR="00BF79E3" w:rsidRPr="003011D1" w:rsidRDefault="00BF79E3" w:rsidP="00BF79E3">
      <w:pPr>
        <w:jc w:val="both"/>
        <w:rPr>
          <w:rFonts w:ascii="Arial" w:eastAsia="Calibri" w:hAnsi="Arial" w:cs="Arial"/>
          <w:b/>
          <w:color w:val="000000" w:themeColor="text1"/>
          <w:sz w:val="22"/>
          <w:lang w:val="es-ES_tradnl"/>
        </w:rPr>
      </w:pPr>
      <w:r w:rsidRPr="003011D1">
        <w:rPr>
          <w:rFonts w:ascii="Arial" w:eastAsia="Calibri" w:hAnsi="Arial" w:cs="Arial"/>
          <w:b/>
          <w:color w:val="000000" w:themeColor="text1"/>
          <w:sz w:val="22"/>
          <w:lang w:val="es-ES_tradnl"/>
        </w:rPr>
        <w:t>REDUCCIÓN DE PUNTAJE – Multa – Cláusula Penal – Ley 2195 de 2022 – Artículo 58</w:t>
      </w:r>
    </w:p>
    <w:p w14:paraId="0487FF64" w14:textId="77777777" w:rsidR="00BF79E3" w:rsidRPr="003011D1" w:rsidRDefault="00BF79E3" w:rsidP="00BF79E3">
      <w:pPr>
        <w:jc w:val="both"/>
        <w:rPr>
          <w:rFonts w:ascii="Arial" w:hAnsi="Arial" w:cs="Arial"/>
          <w:color w:val="000000" w:themeColor="text1"/>
          <w:sz w:val="21"/>
          <w:szCs w:val="21"/>
          <w:lang w:val="es-ES_tradnl"/>
        </w:rPr>
      </w:pPr>
    </w:p>
    <w:p w14:paraId="705D435E" w14:textId="77777777" w:rsidR="00BF79E3" w:rsidRPr="003011D1" w:rsidRDefault="00BF79E3" w:rsidP="00BF79E3">
      <w:pPr>
        <w:jc w:val="both"/>
        <w:rPr>
          <w:rFonts w:ascii="Arial" w:eastAsia="Calibri" w:hAnsi="Arial" w:cs="Arial"/>
          <w:color w:val="000000" w:themeColor="text1"/>
          <w:sz w:val="20"/>
          <w:szCs w:val="20"/>
          <w:lang w:val="es-ES_tradnl"/>
        </w:rPr>
      </w:pPr>
      <w:r w:rsidRPr="003011D1">
        <w:rPr>
          <w:rFonts w:ascii="Arial" w:eastAsia="Calibri" w:hAnsi="Arial" w:cs="Arial"/>
          <w:color w:val="000000" w:themeColor="text1"/>
          <w:sz w:val="20"/>
          <w:szCs w:val="20"/>
          <w:lang w:val="es-ES_tradnl"/>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tal como se explicó en apartados anteriores de este concepto. Así pues, la reducción del puntaje exigido por el artículo 58 de la Ley 2195 de 2022 no se aplica en aquellos eventos en los cuales una entidad realiza un requerimiento a un contratista, sin imponer una multa o cláusula penal pecuniaria, como podría suceder en algunos supuestos de </w:t>
      </w:r>
      <w:r w:rsidRPr="003011D1">
        <w:rPr>
          <w:rFonts w:ascii="Arial" w:eastAsia="Calibri" w:hAnsi="Arial" w:cs="Arial"/>
          <w:color w:val="000000" w:themeColor="text1"/>
          <w:sz w:val="20"/>
          <w:szCs w:val="20"/>
          <w:lang w:val="es-ES_tradnl"/>
        </w:rPr>
        <w:lastRenderedPageBreak/>
        <w:t>declaratoria de siniestros, pues la efectividad de las garantías no siempre está condicionada por el incumplimiento.</w:t>
      </w:r>
    </w:p>
    <w:p w14:paraId="44EE5526" w14:textId="77777777" w:rsidR="00BF79E3" w:rsidRPr="003011D1" w:rsidRDefault="00BF79E3" w:rsidP="00BF79E3">
      <w:pPr>
        <w:jc w:val="both"/>
        <w:rPr>
          <w:rFonts w:ascii="Arial" w:eastAsia="Calibri" w:hAnsi="Arial" w:cs="Arial"/>
          <w:b/>
          <w:color w:val="000000" w:themeColor="text1"/>
          <w:sz w:val="22"/>
          <w:lang w:val="es-ES_tradnl"/>
        </w:rPr>
      </w:pPr>
    </w:p>
    <w:p w14:paraId="06457125" w14:textId="77777777" w:rsidR="00BF79E3" w:rsidRPr="003011D1" w:rsidRDefault="00BF79E3" w:rsidP="00BF79E3">
      <w:pPr>
        <w:jc w:val="both"/>
        <w:rPr>
          <w:rFonts w:ascii="Arial" w:eastAsia="Calibri" w:hAnsi="Arial" w:cs="Arial"/>
          <w:b/>
          <w:color w:val="000000" w:themeColor="text1"/>
          <w:sz w:val="22"/>
          <w:lang w:val="es-ES_tradnl"/>
        </w:rPr>
      </w:pPr>
      <w:r w:rsidRPr="003011D1">
        <w:rPr>
          <w:rFonts w:ascii="Arial" w:eastAsia="Calibri" w:hAnsi="Arial" w:cs="Arial"/>
          <w:b/>
          <w:color w:val="000000" w:themeColor="text1"/>
          <w:sz w:val="22"/>
          <w:lang w:val="es-ES_tradnl"/>
        </w:rPr>
        <w:t>IRRETROACTIVIDAD – Ley – Seguridad jurídica – Debido proceso</w:t>
      </w:r>
    </w:p>
    <w:p w14:paraId="31123FDB" w14:textId="77777777" w:rsidR="00BF79E3" w:rsidRPr="003011D1" w:rsidRDefault="00BF79E3" w:rsidP="00BF79E3">
      <w:pPr>
        <w:jc w:val="both"/>
        <w:rPr>
          <w:rFonts w:ascii="Arial" w:hAnsi="Arial" w:cs="Arial"/>
          <w:iCs/>
          <w:color w:val="000000" w:themeColor="text1"/>
          <w:sz w:val="20"/>
          <w:szCs w:val="20"/>
          <w:lang w:val="es-ES_tradnl"/>
        </w:rPr>
      </w:pPr>
    </w:p>
    <w:p w14:paraId="24287CDE" w14:textId="77777777" w:rsidR="00BF79E3" w:rsidRPr="003011D1" w:rsidRDefault="00BF79E3" w:rsidP="00BF79E3">
      <w:pPr>
        <w:jc w:val="both"/>
        <w:rPr>
          <w:rFonts w:ascii="Arial" w:eastAsia="Calibri" w:hAnsi="Arial" w:cs="Arial"/>
          <w:color w:val="000000" w:themeColor="text1"/>
          <w:sz w:val="20"/>
          <w:szCs w:val="20"/>
          <w:lang w:val="es-ES_tradnl"/>
        </w:rPr>
      </w:pPr>
      <w:r w:rsidRPr="003011D1">
        <w:rPr>
          <w:rFonts w:ascii="Arial" w:eastAsia="Calibri" w:hAnsi="Arial" w:cs="Arial"/>
          <w:color w:val="000000" w:themeColor="text1"/>
          <w:sz w:val="20"/>
          <w:szCs w:val="20"/>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p>
    <w:p w14:paraId="404B0EFD" w14:textId="77777777" w:rsidR="00BF79E3" w:rsidRPr="003011D1" w:rsidRDefault="00BF79E3" w:rsidP="00BF79E3">
      <w:pPr>
        <w:jc w:val="both"/>
        <w:rPr>
          <w:rFonts w:ascii="Arial" w:eastAsia="Calibri" w:hAnsi="Arial" w:cs="Arial"/>
          <w:color w:val="000000" w:themeColor="text1"/>
          <w:sz w:val="20"/>
          <w:szCs w:val="20"/>
          <w:lang w:val="es-ES_tradnl"/>
        </w:rPr>
      </w:pPr>
    </w:p>
    <w:p w14:paraId="1A8ADE8C" w14:textId="77777777" w:rsidR="00BF79E3" w:rsidRPr="003011D1" w:rsidRDefault="00BF79E3" w:rsidP="00BF79E3">
      <w:pPr>
        <w:jc w:val="both"/>
        <w:rPr>
          <w:rFonts w:ascii="Arial" w:eastAsia="Calibri" w:hAnsi="Arial" w:cs="Arial"/>
          <w:color w:val="000000" w:themeColor="text1"/>
          <w:sz w:val="20"/>
          <w:szCs w:val="20"/>
          <w:lang w:val="es-ES_tradnl"/>
        </w:rPr>
      </w:pPr>
      <w:r w:rsidRPr="003011D1">
        <w:rPr>
          <w:rFonts w:ascii="Arial" w:eastAsia="Calibri" w:hAnsi="Arial" w:cs="Arial"/>
          <w:color w:val="000000" w:themeColor="text1"/>
          <w:sz w:val="20"/>
          <w:szCs w:val="20"/>
          <w:lang w:val="es-ES_tradnl"/>
        </w:rPr>
        <w:t>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antes de la realización de la conducta activa u omisiva sobre la cual se imputa el reproche. Esto es lo que se conoce en el derecho como la irretroactividad de las leyes.</w:t>
      </w:r>
    </w:p>
    <w:p w14:paraId="5C886425" w14:textId="77777777" w:rsidR="00BF79E3" w:rsidRPr="003011D1" w:rsidRDefault="00BF79E3" w:rsidP="00BF79E3">
      <w:pPr>
        <w:jc w:val="both"/>
        <w:rPr>
          <w:rFonts w:ascii="Arial" w:eastAsia="Calibri" w:hAnsi="Arial" w:cs="Arial"/>
          <w:color w:val="000000" w:themeColor="text1"/>
          <w:sz w:val="20"/>
          <w:szCs w:val="20"/>
          <w:lang w:val="es-ES_tradnl"/>
        </w:rPr>
      </w:pPr>
    </w:p>
    <w:p w14:paraId="27D4FB00" w14:textId="21D8C36B" w:rsidR="002412BC" w:rsidRPr="003011D1" w:rsidRDefault="002412BC" w:rsidP="00E858D2">
      <w:pPr>
        <w:jc w:val="both"/>
        <w:rPr>
          <w:rFonts w:ascii="Arial" w:hAnsi="Arial" w:cs="Arial"/>
          <w:noProof/>
          <w:color w:val="000000" w:themeColor="text1"/>
          <w:sz w:val="22"/>
          <w:lang w:val="es-ES_tradnl"/>
        </w:rPr>
      </w:pPr>
    </w:p>
    <w:p w14:paraId="1C73F5DD" w14:textId="77777777" w:rsidR="002412BC" w:rsidRPr="003011D1" w:rsidRDefault="002412BC" w:rsidP="00E858D2">
      <w:pPr>
        <w:jc w:val="both"/>
        <w:rPr>
          <w:rFonts w:ascii="Arial" w:hAnsi="Arial" w:cs="Arial"/>
          <w:noProof/>
          <w:color w:val="000000" w:themeColor="text1"/>
          <w:sz w:val="22"/>
          <w:lang w:val="es-ES_tradnl"/>
        </w:rPr>
      </w:pPr>
    </w:p>
    <w:p w14:paraId="0584F73B"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6EA71D26"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195BCAA6"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71D648CC"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3A05CE97"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45EDE146"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502A838E" w14:textId="77777777" w:rsidR="002412BC" w:rsidRPr="003011D1" w:rsidRDefault="002412BC" w:rsidP="00B95C30">
      <w:pPr>
        <w:spacing w:line="276" w:lineRule="auto"/>
        <w:jc w:val="both"/>
        <w:rPr>
          <w:rFonts w:ascii="Arial" w:hAnsi="Arial" w:cs="Arial"/>
          <w:noProof/>
          <w:color w:val="000000" w:themeColor="text1"/>
          <w:sz w:val="22"/>
          <w:lang w:val="es-ES_tradnl"/>
        </w:rPr>
      </w:pPr>
    </w:p>
    <w:p w14:paraId="1A94C759" w14:textId="2EFEAB4D" w:rsidR="002412BC" w:rsidRPr="003011D1" w:rsidRDefault="002412BC" w:rsidP="00B95C30">
      <w:pPr>
        <w:spacing w:line="276" w:lineRule="auto"/>
        <w:jc w:val="both"/>
        <w:rPr>
          <w:rFonts w:ascii="Arial" w:hAnsi="Arial" w:cs="Arial"/>
          <w:noProof/>
          <w:color w:val="000000" w:themeColor="text1"/>
          <w:sz w:val="22"/>
          <w:lang w:val="es-ES" w:eastAsia="en-US"/>
        </w:rPr>
      </w:pPr>
    </w:p>
    <w:p w14:paraId="7AFE84FB" w14:textId="0727837C" w:rsidR="00BF79E3" w:rsidRPr="003011D1" w:rsidRDefault="00BF79E3" w:rsidP="00B95C30">
      <w:pPr>
        <w:spacing w:line="276" w:lineRule="auto"/>
        <w:jc w:val="both"/>
        <w:rPr>
          <w:rFonts w:ascii="Arial" w:hAnsi="Arial" w:cs="Arial"/>
          <w:noProof/>
          <w:color w:val="000000" w:themeColor="text1"/>
          <w:sz w:val="22"/>
          <w:lang w:val="es-ES" w:eastAsia="en-US"/>
        </w:rPr>
      </w:pPr>
    </w:p>
    <w:p w14:paraId="11EBD38A" w14:textId="1F3F04D8" w:rsidR="00BF79E3" w:rsidRPr="003011D1" w:rsidRDefault="00BF79E3" w:rsidP="00B95C30">
      <w:pPr>
        <w:spacing w:line="276" w:lineRule="auto"/>
        <w:jc w:val="both"/>
        <w:rPr>
          <w:rFonts w:ascii="Arial" w:hAnsi="Arial" w:cs="Arial"/>
          <w:noProof/>
          <w:color w:val="000000" w:themeColor="text1"/>
          <w:sz w:val="22"/>
          <w:lang w:val="es-ES" w:eastAsia="en-US"/>
        </w:rPr>
      </w:pPr>
    </w:p>
    <w:p w14:paraId="4FA99B73" w14:textId="6A37F84D" w:rsidR="00BF79E3" w:rsidRPr="003011D1" w:rsidRDefault="00BF79E3" w:rsidP="00B95C30">
      <w:pPr>
        <w:spacing w:line="276" w:lineRule="auto"/>
        <w:jc w:val="both"/>
        <w:rPr>
          <w:rFonts w:ascii="Arial" w:hAnsi="Arial" w:cs="Arial"/>
          <w:noProof/>
          <w:color w:val="000000" w:themeColor="text1"/>
          <w:sz w:val="22"/>
          <w:lang w:val="es-ES" w:eastAsia="en-US"/>
        </w:rPr>
      </w:pPr>
    </w:p>
    <w:p w14:paraId="003D84BB" w14:textId="75213FEA" w:rsidR="00BF79E3" w:rsidRPr="003011D1" w:rsidRDefault="00BF79E3" w:rsidP="00B95C30">
      <w:pPr>
        <w:spacing w:line="276" w:lineRule="auto"/>
        <w:jc w:val="both"/>
        <w:rPr>
          <w:rFonts w:ascii="Arial" w:hAnsi="Arial" w:cs="Arial"/>
          <w:noProof/>
          <w:color w:val="000000" w:themeColor="text1"/>
          <w:sz w:val="22"/>
          <w:lang w:val="es-ES" w:eastAsia="en-US"/>
        </w:rPr>
      </w:pPr>
    </w:p>
    <w:p w14:paraId="179DE0CE" w14:textId="6D0011D8" w:rsidR="00BF79E3" w:rsidRPr="003011D1" w:rsidRDefault="00BF79E3" w:rsidP="00B95C30">
      <w:pPr>
        <w:spacing w:line="276" w:lineRule="auto"/>
        <w:jc w:val="both"/>
        <w:rPr>
          <w:rFonts w:ascii="Arial" w:hAnsi="Arial" w:cs="Arial"/>
          <w:noProof/>
          <w:color w:val="000000" w:themeColor="text1"/>
          <w:sz w:val="22"/>
          <w:lang w:val="es-ES" w:eastAsia="en-US"/>
        </w:rPr>
      </w:pPr>
    </w:p>
    <w:p w14:paraId="36B98202" w14:textId="4EDEFD53" w:rsidR="00BF79E3" w:rsidRPr="003011D1" w:rsidRDefault="00BF79E3" w:rsidP="00B95C30">
      <w:pPr>
        <w:spacing w:line="276" w:lineRule="auto"/>
        <w:jc w:val="both"/>
        <w:rPr>
          <w:rFonts w:ascii="Arial" w:hAnsi="Arial" w:cs="Arial"/>
          <w:noProof/>
          <w:color w:val="000000" w:themeColor="text1"/>
          <w:sz w:val="22"/>
          <w:lang w:val="es-ES" w:eastAsia="en-US"/>
        </w:rPr>
      </w:pPr>
    </w:p>
    <w:p w14:paraId="5BA94AE4" w14:textId="79279D00" w:rsidR="00BF79E3" w:rsidRPr="003011D1" w:rsidRDefault="00BF79E3" w:rsidP="00B95C30">
      <w:pPr>
        <w:spacing w:line="276" w:lineRule="auto"/>
        <w:jc w:val="both"/>
        <w:rPr>
          <w:rFonts w:ascii="Arial" w:hAnsi="Arial" w:cs="Arial"/>
          <w:noProof/>
          <w:color w:val="000000" w:themeColor="text1"/>
          <w:sz w:val="22"/>
          <w:lang w:val="es-ES" w:eastAsia="en-US"/>
        </w:rPr>
      </w:pPr>
    </w:p>
    <w:p w14:paraId="7FBEF8DD" w14:textId="0FA9B255" w:rsidR="00BF79E3" w:rsidRPr="003011D1" w:rsidRDefault="00BF79E3" w:rsidP="00B95C30">
      <w:pPr>
        <w:spacing w:line="276" w:lineRule="auto"/>
        <w:jc w:val="both"/>
        <w:rPr>
          <w:rFonts w:ascii="Arial" w:hAnsi="Arial" w:cs="Arial"/>
          <w:noProof/>
          <w:color w:val="000000" w:themeColor="text1"/>
          <w:sz w:val="22"/>
          <w:lang w:val="es-ES" w:eastAsia="en-US"/>
        </w:rPr>
      </w:pPr>
    </w:p>
    <w:p w14:paraId="7C2B2D4F" w14:textId="6623F4E6" w:rsidR="00BF79E3" w:rsidRPr="003011D1" w:rsidRDefault="00BF79E3" w:rsidP="00B95C30">
      <w:pPr>
        <w:spacing w:line="276" w:lineRule="auto"/>
        <w:jc w:val="both"/>
        <w:rPr>
          <w:rFonts w:ascii="Arial" w:hAnsi="Arial" w:cs="Arial"/>
          <w:noProof/>
          <w:color w:val="000000" w:themeColor="text1"/>
          <w:sz w:val="22"/>
          <w:lang w:val="es-ES" w:eastAsia="en-US"/>
        </w:rPr>
      </w:pPr>
    </w:p>
    <w:p w14:paraId="0C76F71F" w14:textId="1706320E" w:rsidR="00BF79E3" w:rsidRPr="003011D1" w:rsidRDefault="00BF79E3" w:rsidP="00B95C30">
      <w:pPr>
        <w:spacing w:line="276" w:lineRule="auto"/>
        <w:jc w:val="both"/>
        <w:rPr>
          <w:rFonts w:ascii="Arial" w:hAnsi="Arial" w:cs="Arial"/>
          <w:noProof/>
          <w:color w:val="000000" w:themeColor="text1"/>
          <w:sz w:val="22"/>
          <w:lang w:val="es-ES" w:eastAsia="en-US"/>
        </w:rPr>
      </w:pPr>
    </w:p>
    <w:p w14:paraId="63BB0BEA" w14:textId="7ED26135" w:rsidR="00BF79E3" w:rsidRPr="003011D1" w:rsidRDefault="0054520E" w:rsidP="00B95C30">
      <w:pPr>
        <w:spacing w:line="276" w:lineRule="auto"/>
        <w:jc w:val="both"/>
        <w:rPr>
          <w:rFonts w:ascii="Arial" w:hAnsi="Arial" w:cs="Arial"/>
          <w:noProof/>
          <w:color w:val="000000" w:themeColor="text1"/>
          <w:sz w:val="22"/>
          <w:lang w:val="es-ES" w:eastAsia="en-US"/>
        </w:rPr>
      </w:pPr>
      <w:r>
        <w:rPr>
          <w:rFonts w:ascii="Arial" w:eastAsia="Arial MT" w:hAnsi="Arial MT" w:cs="Arial MT"/>
          <w:b/>
          <w:noProof/>
          <w:color w:val="000000" w:themeColor="text1"/>
          <w:sz w:val="18"/>
          <w:szCs w:val="22"/>
          <w:lang w:val="en-US" w:eastAsia="en-US"/>
        </w:rPr>
        <w:lastRenderedPageBreak/>
        <w:drawing>
          <wp:anchor distT="0" distB="0" distL="114300" distR="114300" simplePos="0" relativeHeight="251658240" behindDoc="0" locked="0" layoutInCell="1" allowOverlap="1" wp14:anchorId="4CEE99BB" wp14:editId="662080C4">
            <wp:simplePos x="0" y="0"/>
            <wp:positionH relativeFrom="column">
              <wp:posOffset>2977515</wp:posOffset>
            </wp:positionH>
            <wp:positionV relativeFrom="paragraph">
              <wp:posOffset>142240</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10174795" w14:textId="1EDA0D68" w:rsidR="00154489" w:rsidRDefault="00154489" w:rsidP="00094D03">
      <w:pPr>
        <w:widowControl w:val="0"/>
        <w:autoSpaceDE w:val="0"/>
        <w:autoSpaceDN w:val="0"/>
        <w:ind w:left="3832"/>
        <w:rPr>
          <w:rFonts w:ascii="Arial" w:eastAsia="Arial MT" w:hAnsi="Arial MT" w:cs="Arial MT"/>
          <w:b/>
          <w:color w:val="000000" w:themeColor="text1"/>
          <w:sz w:val="18"/>
          <w:szCs w:val="22"/>
          <w:lang w:val="es-ES" w:eastAsia="en-US"/>
        </w:rPr>
      </w:pPr>
    </w:p>
    <w:p w14:paraId="01ECEFA8" w14:textId="40FE821D" w:rsidR="003D34C7" w:rsidRDefault="003D34C7" w:rsidP="00094D03">
      <w:pPr>
        <w:widowControl w:val="0"/>
        <w:autoSpaceDE w:val="0"/>
        <w:autoSpaceDN w:val="0"/>
        <w:ind w:left="3832"/>
        <w:rPr>
          <w:rFonts w:ascii="Arial" w:eastAsia="Arial MT" w:hAnsi="Arial MT" w:cs="Arial MT"/>
          <w:b/>
          <w:color w:val="000000" w:themeColor="text1"/>
          <w:sz w:val="18"/>
          <w:szCs w:val="22"/>
          <w:lang w:val="es-ES" w:eastAsia="en-US"/>
        </w:rPr>
      </w:pPr>
    </w:p>
    <w:p w14:paraId="2F34D04F" w14:textId="4577BD61" w:rsidR="003D34C7" w:rsidRDefault="003D34C7" w:rsidP="00094D03">
      <w:pPr>
        <w:widowControl w:val="0"/>
        <w:autoSpaceDE w:val="0"/>
        <w:autoSpaceDN w:val="0"/>
        <w:ind w:left="3832"/>
        <w:rPr>
          <w:rFonts w:ascii="Arial" w:eastAsia="Arial MT" w:hAnsi="Arial MT" w:cs="Arial MT"/>
          <w:b/>
          <w:color w:val="000000" w:themeColor="text1"/>
          <w:sz w:val="18"/>
          <w:szCs w:val="22"/>
          <w:lang w:val="es-ES" w:eastAsia="en-US"/>
        </w:rPr>
      </w:pPr>
    </w:p>
    <w:p w14:paraId="1DA91BBD" w14:textId="77777777" w:rsidR="003D34C7" w:rsidRPr="003011D1" w:rsidRDefault="003D34C7" w:rsidP="00094D03">
      <w:pPr>
        <w:widowControl w:val="0"/>
        <w:autoSpaceDE w:val="0"/>
        <w:autoSpaceDN w:val="0"/>
        <w:ind w:left="3832"/>
        <w:rPr>
          <w:rFonts w:ascii="Arial" w:eastAsia="Arial MT" w:hAnsi="Arial MT" w:cs="Arial MT"/>
          <w:b/>
          <w:color w:val="000000" w:themeColor="text1"/>
          <w:sz w:val="18"/>
          <w:szCs w:val="22"/>
          <w:lang w:val="es-ES" w:eastAsia="en-US"/>
        </w:rPr>
      </w:pPr>
    </w:p>
    <w:p w14:paraId="226E91D7" w14:textId="77777777" w:rsidR="0054520E" w:rsidRDefault="0054520E" w:rsidP="00154489">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46FD2641" w14:textId="77777777" w:rsidR="0054520E" w:rsidRPr="0054520E" w:rsidRDefault="0054520E" w:rsidP="0054520E">
      <w:pPr>
        <w:widowControl w:val="0"/>
        <w:autoSpaceDE w:val="0"/>
        <w:autoSpaceDN w:val="0"/>
        <w:spacing w:before="2"/>
        <w:rPr>
          <w:rFonts w:eastAsia="Arial MT" w:hAnsi="Arial MT" w:cs="Arial MT"/>
          <w:sz w:val="19"/>
          <w:szCs w:val="22"/>
          <w:lang w:val="es-ES" w:eastAsia="en-US"/>
        </w:rPr>
      </w:pPr>
    </w:p>
    <w:p w14:paraId="78B16839" w14:textId="77777777" w:rsidR="0054520E" w:rsidRPr="0054520E" w:rsidRDefault="0054520E" w:rsidP="0054520E">
      <w:pPr>
        <w:widowControl w:val="0"/>
        <w:autoSpaceDE w:val="0"/>
        <w:autoSpaceDN w:val="0"/>
        <w:spacing w:before="94"/>
        <w:ind w:right="533"/>
        <w:jc w:val="right"/>
        <w:rPr>
          <w:rFonts w:ascii="Arial" w:eastAsia="Arial MT" w:hAnsi="Arial MT" w:cs="Arial MT"/>
          <w:b/>
          <w:sz w:val="18"/>
          <w:szCs w:val="22"/>
          <w:lang w:val="es-ES" w:eastAsia="en-US"/>
        </w:rPr>
      </w:pPr>
      <w:r w:rsidRPr="0054520E">
        <w:rPr>
          <w:rFonts w:ascii="Arial" w:eastAsia="Arial MT" w:hAnsi="Arial MT" w:cs="Arial MT"/>
          <w:b/>
          <w:color w:val="585858"/>
          <w:sz w:val="18"/>
          <w:szCs w:val="22"/>
          <w:lang w:val="es-ES" w:eastAsia="en-US"/>
        </w:rPr>
        <w:t>CCE-DES-FM-17</w:t>
      </w:r>
    </w:p>
    <w:p w14:paraId="48F84007" w14:textId="77777777" w:rsidR="0054520E" w:rsidRPr="0054520E" w:rsidRDefault="0054520E" w:rsidP="0054520E">
      <w:pPr>
        <w:widowControl w:val="0"/>
        <w:autoSpaceDE w:val="0"/>
        <w:autoSpaceDN w:val="0"/>
        <w:rPr>
          <w:rFonts w:ascii="Arial" w:eastAsia="Arial MT" w:hAnsi="Arial MT" w:cs="Arial MT"/>
          <w:b/>
          <w:sz w:val="20"/>
          <w:szCs w:val="22"/>
          <w:lang w:val="es-ES" w:eastAsia="en-US"/>
        </w:rPr>
      </w:pPr>
    </w:p>
    <w:p w14:paraId="76BD26FA" w14:textId="77777777" w:rsidR="0054520E" w:rsidRPr="0054520E" w:rsidRDefault="0054520E" w:rsidP="0054520E">
      <w:pPr>
        <w:widowControl w:val="0"/>
        <w:autoSpaceDE w:val="0"/>
        <w:autoSpaceDN w:val="0"/>
        <w:ind w:left="100"/>
        <w:rPr>
          <w:rFonts w:ascii="Arial MT" w:eastAsia="Arial MT" w:hAnsi="Arial MT" w:cs="Arial MT"/>
          <w:sz w:val="22"/>
          <w:szCs w:val="22"/>
          <w:lang w:val="es-ES" w:eastAsia="en-US"/>
        </w:rPr>
      </w:pPr>
      <w:r w:rsidRPr="0054520E">
        <w:rPr>
          <w:rFonts w:ascii="Arial MT" w:eastAsia="Arial MT" w:hAnsi="Arial MT" w:cs="Arial MT"/>
          <w:color w:val="4E4D4D"/>
          <w:sz w:val="22"/>
          <w:szCs w:val="22"/>
          <w:lang w:val="es-ES" w:eastAsia="en-US"/>
        </w:rPr>
        <w:t>Bogotá,</w:t>
      </w:r>
      <w:r w:rsidRPr="0054520E">
        <w:rPr>
          <w:rFonts w:ascii="Arial MT" w:eastAsia="Arial MT" w:hAnsi="Arial MT" w:cs="Arial MT"/>
          <w:color w:val="4E4D4D"/>
          <w:spacing w:val="-1"/>
          <w:sz w:val="22"/>
          <w:szCs w:val="22"/>
          <w:lang w:val="es-ES" w:eastAsia="en-US"/>
        </w:rPr>
        <w:t xml:space="preserve"> </w:t>
      </w:r>
      <w:r w:rsidRPr="0054520E">
        <w:rPr>
          <w:rFonts w:ascii="Arial MT" w:eastAsia="Arial MT" w:hAnsi="Arial MT" w:cs="Arial MT"/>
          <w:color w:val="4E4D4D"/>
          <w:sz w:val="22"/>
          <w:szCs w:val="22"/>
          <w:lang w:val="es-ES" w:eastAsia="en-US"/>
        </w:rPr>
        <w:t>24</w:t>
      </w:r>
      <w:r w:rsidRPr="0054520E">
        <w:rPr>
          <w:rFonts w:ascii="Arial MT" w:eastAsia="Arial MT" w:hAnsi="Arial MT" w:cs="Arial MT"/>
          <w:color w:val="4E4D4D"/>
          <w:spacing w:val="-4"/>
          <w:sz w:val="22"/>
          <w:szCs w:val="22"/>
          <w:lang w:val="es-ES" w:eastAsia="en-US"/>
        </w:rPr>
        <w:t xml:space="preserve"> </w:t>
      </w:r>
      <w:proofErr w:type="gramStart"/>
      <w:r w:rsidRPr="0054520E">
        <w:rPr>
          <w:rFonts w:ascii="Arial MT" w:eastAsia="Arial MT" w:hAnsi="Arial MT" w:cs="Arial MT"/>
          <w:color w:val="4E4D4D"/>
          <w:sz w:val="22"/>
          <w:szCs w:val="22"/>
          <w:lang w:val="es-ES" w:eastAsia="en-US"/>
        </w:rPr>
        <w:t>Marzo</w:t>
      </w:r>
      <w:proofErr w:type="gramEnd"/>
      <w:r w:rsidRPr="0054520E">
        <w:rPr>
          <w:rFonts w:ascii="Arial MT" w:eastAsia="Arial MT" w:hAnsi="Arial MT" w:cs="Arial MT"/>
          <w:color w:val="4E4D4D"/>
          <w:spacing w:val="-2"/>
          <w:sz w:val="22"/>
          <w:szCs w:val="22"/>
          <w:lang w:val="es-ES" w:eastAsia="en-US"/>
        </w:rPr>
        <w:t xml:space="preserve"> </w:t>
      </w:r>
      <w:r w:rsidRPr="0054520E">
        <w:rPr>
          <w:rFonts w:ascii="Arial MT" w:eastAsia="Arial MT" w:hAnsi="Arial MT" w:cs="Arial MT"/>
          <w:color w:val="4E4D4D"/>
          <w:sz w:val="22"/>
          <w:szCs w:val="22"/>
          <w:lang w:val="es-ES" w:eastAsia="en-US"/>
        </w:rPr>
        <w:t>2022</w:t>
      </w:r>
    </w:p>
    <w:p w14:paraId="22EEA5FC" w14:textId="2909BEDE" w:rsidR="00FF44CF" w:rsidRPr="0054520E" w:rsidRDefault="00FF44CF" w:rsidP="00B95C30">
      <w:pPr>
        <w:spacing w:line="276" w:lineRule="auto"/>
        <w:jc w:val="both"/>
        <w:rPr>
          <w:rFonts w:ascii="Arial" w:hAnsi="Arial" w:cs="Arial"/>
          <w:noProof/>
          <w:color w:val="000000" w:themeColor="text1"/>
          <w:sz w:val="22"/>
          <w:lang w:val="es-ES"/>
        </w:rPr>
      </w:pPr>
      <w:bookmarkStart w:id="2" w:name="_GoBack"/>
      <w:bookmarkEnd w:id="2"/>
    </w:p>
    <w:p w14:paraId="36EEEF5F" w14:textId="48AD4332" w:rsidR="004571B5" w:rsidRPr="003011D1" w:rsidRDefault="004571B5" w:rsidP="004571B5">
      <w:pPr>
        <w:widowControl w:val="0"/>
        <w:autoSpaceDE w:val="0"/>
        <w:autoSpaceDN w:val="0"/>
        <w:spacing w:before="144"/>
        <w:rPr>
          <w:rFonts w:ascii="Arial" w:eastAsia="Arial MT" w:hAnsi="Arial" w:cs="Arial"/>
          <w:color w:val="000000" w:themeColor="text1"/>
          <w:sz w:val="22"/>
          <w:szCs w:val="22"/>
          <w:lang w:val="es-ES" w:eastAsia="en-US"/>
        </w:rPr>
      </w:pPr>
      <w:bookmarkStart w:id="3" w:name="_Hlk94281581"/>
      <w:r w:rsidRPr="003011D1">
        <w:rPr>
          <w:rFonts w:ascii="Arial" w:eastAsia="Arial MT" w:hAnsi="Arial" w:cs="Arial"/>
          <w:color w:val="000000" w:themeColor="text1"/>
          <w:sz w:val="22"/>
          <w:szCs w:val="22"/>
          <w:lang w:val="es-ES" w:eastAsia="en-US"/>
        </w:rPr>
        <w:t>Señor</w:t>
      </w:r>
      <w:r w:rsidR="00BF79E3" w:rsidRPr="003011D1">
        <w:rPr>
          <w:rFonts w:ascii="Arial" w:eastAsia="Arial MT" w:hAnsi="Arial" w:cs="Arial"/>
          <w:color w:val="000000" w:themeColor="text1"/>
          <w:sz w:val="22"/>
          <w:szCs w:val="22"/>
          <w:lang w:val="es-ES" w:eastAsia="en-US"/>
        </w:rPr>
        <w:t>a</w:t>
      </w:r>
    </w:p>
    <w:p w14:paraId="7D3D946A" w14:textId="07C6C3B3" w:rsidR="00FB45B3" w:rsidRPr="003011D1" w:rsidRDefault="00FB45B3" w:rsidP="004571B5">
      <w:pPr>
        <w:widowControl w:val="0"/>
        <w:autoSpaceDE w:val="0"/>
        <w:autoSpaceDN w:val="0"/>
        <w:outlineLvl w:val="0"/>
        <w:rPr>
          <w:rFonts w:ascii="Arial" w:eastAsia="Arial" w:hAnsi="Arial" w:cs="Arial"/>
          <w:b/>
          <w:bCs/>
          <w:color w:val="000000" w:themeColor="text1"/>
          <w:sz w:val="22"/>
          <w:szCs w:val="22"/>
          <w:lang w:val="es-ES" w:eastAsia="en-US"/>
        </w:rPr>
      </w:pPr>
      <w:proofErr w:type="spellStart"/>
      <w:r w:rsidRPr="003011D1">
        <w:rPr>
          <w:rFonts w:ascii="Arial" w:eastAsia="Arial" w:hAnsi="Arial" w:cs="Arial"/>
          <w:b/>
          <w:bCs/>
          <w:color w:val="000000" w:themeColor="text1"/>
          <w:sz w:val="22"/>
          <w:szCs w:val="22"/>
          <w:lang w:val="es-ES" w:eastAsia="en-US"/>
        </w:rPr>
        <w:t>Yeimy</w:t>
      </w:r>
      <w:proofErr w:type="spellEnd"/>
      <w:r w:rsidRPr="003011D1">
        <w:rPr>
          <w:rFonts w:ascii="Arial" w:eastAsia="Arial" w:hAnsi="Arial" w:cs="Arial"/>
          <w:b/>
          <w:bCs/>
          <w:color w:val="000000" w:themeColor="text1"/>
          <w:sz w:val="22"/>
          <w:szCs w:val="22"/>
          <w:lang w:val="es-ES" w:eastAsia="en-US"/>
        </w:rPr>
        <w:t xml:space="preserve"> Angélica Linares Amaya</w:t>
      </w:r>
    </w:p>
    <w:p w14:paraId="53C0422A" w14:textId="38D5CD9B" w:rsidR="004571B5" w:rsidRPr="003011D1" w:rsidRDefault="00A84CD0" w:rsidP="004571B5">
      <w:pPr>
        <w:widowControl w:val="0"/>
        <w:autoSpaceDE w:val="0"/>
        <w:autoSpaceDN w:val="0"/>
        <w:outlineLvl w:val="0"/>
        <w:rPr>
          <w:rFonts w:ascii="Arial" w:eastAsia="Arial" w:hAnsi="Arial" w:cs="Arial"/>
          <w:bCs/>
          <w:color w:val="000000" w:themeColor="text1"/>
          <w:sz w:val="22"/>
          <w:szCs w:val="22"/>
          <w:lang w:val="es-ES" w:eastAsia="en-US"/>
        </w:rPr>
      </w:pPr>
      <w:r w:rsidRPr="003011D1">
        <w:rPr>
          <w:rFonts w:ascii="Arial" w:eastAsia="Arial" w:hAnsi="Arial" w:cs="Arial"/>
          <w:bCs/>
          <w:color w:val="000000" w:themeColor="text1"/>
          <w:sz w:val="22"/>
          <w:szCs w:val="22"/>
          <w:lang w:val="es-ES" w:eastAsia="en-US"/>
        </w:rPr>
        <w:t>Armenia, Quindío</w:t>
      </w:r>
    </w:p>
    <w:p w14:paraId="11B73A00" w14:textId="77777777" w:rsidR="004571B5" w:rsidRPr="003011D1" w:rsidRDefault="004571B5" w:rsidP="004571B5">
      <w:pPr>
        <w:widowControl w:val="0"/>
        <w:autoSpaceDE w:val="0"/>
        <w:autoSpaceDN w:val="0"/>
        <w:rPr>
          <w:rFonts w:ascii="Arial" w:eastAsia="Arial MT" w:hAnsi="Arial" w:cs="Arial"/>
          <w:color w:val="000000" w:themeColor="text1"/>
          <w:sz w:val="22"/>
          <w:szCs w:val="22"/>
          <w:lang w:val="es-ES" w:eastAsia="en-US"/>
        </w:rPr>
      </w:pPr>
    </w:p>
    <w:p w14:paraId="3D38C554" w14:textId="77777777" w:rsidR="004571B5" w:rsidRPr="003011D1" w:rsidRDefault="004571B5" w:rsidP="004571B5">
      <w:pPr>
        <w:widowControl w:val="0"/>
        <w:autoSpaceDE w:val="0"/>
        <w:autoSpaceDN w:val="0"/>
        <w:rPr>
          <w:rFonts w:ascii="Arial" w:eastAsia="Arial MT" w:hAnsi="Arial" w:cs="Arial"/>
          <w:color w:val="000000" w:themeColor="text1"/>
          <w:sz w:val="22"/>
          <w:szCs w:val="22"/>
          <w:lang w:val="es-ES" w:eastAsia="en-US"/>
        </w:rPr>
      </w:pPr>
    </w:p>
    <w:p w14:paraId="45F6EB40" w14:textId="35C747CE" w:rsidR="004571B5" w:rsidRPr="003011D1" w:rsidRDefault="00A84CD0" w:rsidP="007206FC">
      <w:pPr>
        <w:widowControl w:val="0"/>
        <w:autoSpaceDE w:val="0"/>
        <w:autoSpaceDN w:val="0"/>
        <w:jc w:val="both"/>
        <w:outlineLvl w:val="0"/>
        <w:rPr>
          <w:rFonts w:ascii="Arial" w:eastAsia="Arial" w:hAnsi="Arial" w:cs="Arial"/>
          <w:b/>
          <w:bCs/>
          <w:color w:val="000000" w:themeColor="text1"/>
          <w:sz w:val="22"/>
          <w:szCs w:val="22"/>
          <w:lang w:val="es-ES" w:eastAsia="en-US"/>
        </w:rPr>
      </w:pPr>
      <w:r w:rsidRPr="003011D1">
        <w:rPr>
          <w:rFonts w:ascii="Arial" w:eastAsia="Arial" w:hAnsi="Arial" w:cs="Arial"/>
          <w:b/>
          <w:bCs/>
          <w:color w:val="000000" w:themeColor="text1"/>
          <w:sz w:val="22"/>
          <w:szCs w:val="22"/>
          <w:lang w:val="es-ES" w:eastAsia="en-US"/>
        </w:rPr>
        <w:t xml:space="preserve">                                            </w:t>
      </w:r>
      <w:r w:rsidR="004571B5" w:rsidRPr="003011D1">
        <w:rPr>
          <w:rFonts w:ascii="Arial" w:eastAsia="Arial" w:hAnsi="Arial" w:cs="Arial"/>
          <w:b/>
          <w:bCs/>
          <w:color w:val="000000" w:themeColor="text1"/>
          <w:sz w:val="22"/>
          <w:szCs w:val="22"/>
          <w:lang w:val="es-ES" w:eastAsia="en-US"/>
        </w:rPr>
        <w:t>Concepto</w:t>
      </w:r>
      <w:r w:rsidR="004571B5" w:rsidRPr="003011D1">
        <w:rPr>
          <w:rFonts w:ascii="Arial" w:eastAsia="Arial" w:hAnsi="Arial" w:cs="Arial"/>
          <w:b/>
          <w:bCs/>
          <w:color w:val="000000" w:themeColor="text1"/>
          <w:spacing w:val="-7"/>
          <w:sz w:val="22"/>
          <w:szCs w:val="22"/>
          <w:lang w:val="es-ES" w:eastAsia="en-US"/>
        </w:rPr>
        <w:t xml:space="preserve"> </w:t>
      </w:r>
      <w:r w:rsidR="004571B5" w:rsidRPr="003011D1">
        <w:rPr>
          <w:rFonts w:ascii="Arial" w:eastAsia="Arial" w:hAnsi="Arial" w:cs="Arial"/>
          <w:b/>
          <w:bCs/>
          <w:color w:val="000000" w:themeColor="text1"/>
          <w:sz w:val="22"/>
          <w:szCs w:val="22"/>
          <w:lang w:val="es-ES" w:eastAsia="en-US"/>
        </w:rPr>
        <w:t>C</w:t>
      </w:r>
      <w:r w:rsidR="004571B5" w:rsidRPr="003011D1">
        <w:rPr>
          <w:rFonts w:ascii="Arial" w:eastAsia="Arial" w:hAnsi="Arial" w:cs="Arial"/>
          <w:b/>
          <w:bCs/>
          <w:color w:val="000000" w:themeColor="text1"/>
          <w:spacing w:val="-4"/>
          <w:sz w:val="22"/>
          <w:szCs w:val="22"/>
          <w:lang w:val="es-ES" w:eastAsia="en-US"/>
        </w:rPr>
        <w:t xml:space="preserve"> </w:t>
      </w:r>
      <w:r w:rsidR="004571B5" w:rsidRPr="003011D1">
        <w:rPr>
          <w:rFonts w:ascii="Arial" w:eastAsia="Arial" w:hAnsi="Arial" w:cs="Arial"/>
          <w:b/>
          <w:bCs/>
          <w:color w:val="000000" w:themeColor="text1"/>
          <w:sz w:val="22"/>
          <w:szCs w:val="22"/>
          <w:lang w:val="es-ES" w:eastAsia="en-US"/>
        </w:rPr>
        <w:t>–</w:t>
      </w:r>
      <w:r w:rsidR="004571B5" w:rsidRPr="003011D1">
        <w:rPr>
          <w:rFonts w:ascii="Arial" w:eastAsia="Arial" w:hAnsi="Arial" w:cs="Arial"/>
          <w:b/>
          <w:bCs/>
          <w:color w:val="000000" w:themeColor="text1"/>
          <w:spacing w:val="-5"/>
          <w:sz w:val="22"/>
          <w:szCs w:val="22"/>
          <w:lang w:val="es-ES" w:eastAsia="en-US"/>
        </w:rPr>
        <w:t xml:space="preserve"> </w:t>
      </w:r>
      <w:r w:rsidR="00E86263" w:rsidRPr="003011D1">
        <w:rPr>
          <w:rFonts w:ascii="Arial" w:eastAsia="Arial" w:hAnsi="Arial" w:cs="Arial"/>
          <w:b/>
          <w:bCs/>
          <w:color w:val="000000" w:themeColor="text1"/>
          <w:sz w:val="22"/>
          <w:szCs w:val="22"/>
          <w:lang w:val="es-ES" w:eastAsia="en-US"/>
        </w:rPr>
        <w:t>125 de 2022</w:t>
      </w:r>
    </w:p>
    <w:p w14:paraId="1BD594F9" w14:textId="3891F33B" w:rsidR="00B95C30" w:rsidRPr="003011D1" w:rsidRDefault="00B95C30"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11D1" w:rsidRPr="003011D1" w14:paraId="19DFC051" w14:textId="77777777" w:rsidTr="008F4163">
        <w:tc>
          <w:tcPr>
            <w:tcW w:w="2689" w:type="dxa"/>
          </w:tcPr>
          <w:p w14:paraId="6BC0D1AC" w14:textId="77777777" w:rsidR="00BF79E3" w:rsidRPr="003011D1" w:rsidRDefault="00BF79E3" w:rsidP="00BF79E3">
            <w:pPr>
              <w:jc w:val="both"/>
              <w:rPr>
                <w:rFonts w:ascii="Arial" w:eastAsia="Calibri" w:hAnsi="Arial" w:cs="Arial"/>
                <w:color w:val="000000" w:themeColor="text1"/>
                <w:sz w:val="22"/>
                <w:szCs w:val="22"/>
                <w:lang w:val="es-ES_tradnl"/>
              </w:rPr>
            </w:pPr>
            <w:r w:rsidRPr="003011D1">
              <w:rPr>
                <w:rFonts w:ascii="Arial" w:eastAsia="Calibri" w:hAnsi="Arial" w:cs="Arial"/>
                <w:b/>
                <w:color w:val="000000" w:themeColor="text1"/>
                <w:sz w:val="22"/>
                <w:szCs w:val="22"/>
                <w:lang w:val="es-ES_tradnl"/>
              </w:rPr>
              <w:t>Temas:</w:t>
            </w:r>
            <w:r w:rsidRPr="003011D1">
              <w:rPr>
                <w:rFonts w:ascii="Arial" w:eastAsia="Calibri" w:hAnsi="Arial" w:cs="Arial"/>
                <w:color w:val="000000" w:themeColor="text1"/>
                <w:sz w:val="22"/>
                <w:szCs w:val="22"/>
                <w:lang w:val="es-ES_tradnl"/>
              </w:rPr>
              <w:t xml:space="preserve">                                      </w:t>
            </w:r>
          </w:p>
        </w:tc>
        <w:tc>
          <w:tcPr>
            <w:tcW w:w="6237" w:type="dxa"/>
          </w:tcPr>
          <w:p w14:paraId="19164757" w14:textId="77777777" w:rsidR="00BF79E3" w:rsidRPr="003011D1" w:rsidRDefault="00BF79E3" w:rsidP="00BF79E3">
            <w:pPr>
              <w:spacing w:after="120"/>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CLÁUSULAS EXCEPCIONALES – Multas – Cláusula penal – Imposición unilateral / PROCEDIMIENTO SANCIONATORIO CONTRACTUAL – Citación a audiencia – Contenido – Ley 1474 de 2011 – Artículo 86 / REDUCCIÓN DE PUNTAJE – Multa – Cláusula Penal – Ley 2195 de 2022 – Artículo 58 / IRRETROACTIVIDAD – Ley – Seguridad jurídica – Debido proceso</w:t>
            </w:r>
          </w:p>
          <w:p w14:paraId="5F389CAF" w14:textId="6AA199B7" w:rsidR="00BF79E3" w:rsidRPr="003011D1" w:rsidRDefault="00BF79E3" w:rsidP="00BF79E3">
            <w:pPr>
              <w:spacing w:after="120"/>
              <w:jc w:val="both"/>
              <w:rPr>
                <w:rFonts w:ascii="Arial" w:eastAsia="Calibri" w:hAnsi="Arial" w:cs="Arial"/>
                <w:color w:val="000000" w:themeColor="text1"/>
                <w:sz w:val="22"/>
                <w:szCs w:val="22"/>
                <w:highlight w:val="yellow"/>
                <w:lang w:val="es-ES_tradnl"/>
              </w:rPr>
            </w:pPr>
          </w:p>
        </w:tc>
      </w:tr>
    </w:tbl>
    <w:p w14:paraId="473EFFB3" w14:textId="244C57BB" w:rsidR="004571B5" w:rsidRPr="003011D1" w:rsidRDefault="004571B5" w:rsidP="004571B5">
      <w:pPr>
        <w:jc w:val="both"/>
        <w:rPr>
          <w:rFonts w:ascii="Arial" w:hAnsi="Arial" w:cs="Arial"/>
          <w:color w:val="000000" w:themeColor="text1"/>
          <w:sz w:val="22"/>
          <w:szCs w:val="22"/>
          <w:lang w:val="es-ES" w:eastAsia="en-US"/>
        </w:rPr>
      </w:pPr>
      <w:r w:rsidRPr="003011D1">
        <w:rPr>
          <w:rFonts w:ascii="Arial" w:eastAsia="Arial MT" w:hAnsi="Arial" w:cs="Arial"/>
          <w:b/>
          <w:color w:val="000000" w:themeColor="text1"/>
          <w:sz w:val="22"/>
          <w:szCs w:val="22"/>
          <w:lang w:val="es-ES" w:eastAsia="en-US"/>
        </w:rPr>
        <w:t xml:space="preserve">Radicación: </w:t>
      </w:r>
      <w:r w:rsidRPr="003011D1">
        <w:rPr>
          <w:rFonts w:ascii="Arial" w:eastAsia="Arial MT" w:hAnsi="Arial" w:cs="Arial"/>
          <w:b/>
          <w:color w:val="000000" w:themeColor="text1"/>
          <w:sz w:val="22"/>
          <w:szCs w:val="22"/>
          <w:lang w:val="es-ES" w:eastAsia="en-US"/>
        </w:rPr>
        <w:tab/>
      </w:r>
      <w:r w:rsidRPr="003011D1">
        <w:rPr>
          <w:rFonts w:ascii="Arial" w:eastAsia="Arial MT" w:hAnsi="Arial" w:cs="Arial"/>
          <w:b/>
          <w:color w:val="000000" w:themeColor="text1"/>
          <w:sz w:val="22"/>
          <w:szCs w:val="22"/>
          <w:lang w:val="es-ES" w:eastAsia="en-US"/>
        </w:rPr>
        <w:tab/>
        <w:t xml:space="preserve"> </w:t>
      </w:r>
      <w:r w:rsidR="00A84CD0" w:rsidRPr="003011D1">
        <w:rPr>
          <w:rFonts w:ascii="Arial" w:eastAsia="Arial MT" w:hAnsi="Arial" w:cs="Arial"/>
          <w:b/>
          <w:color w:val="000000" w:themeColor="text1"/>
          <w:sz w:val="22"/>
          <w:szCs w:val="22"/>
          <w:lang w:val="es-ES" w:eastAsia="en-US"/>
        </w:rPr>
        <w:t xml:space="preserve">        </w:t>
      </w:r>
      <w:r w:rsidRPr="003011D1">
        <w:rPr>
          <w:rFonts w:ascii="Arial" w:eastAsia="Arial MT" w:hAnsi="Arial" w:cs="Arial"/>
          <w:color w:val="000000" w:themeColor="text1"/>
          <w:sz w:val="22"/>
          <w:szCs w:val="22"/>
          <w:lang w:val="es-ES" w:eastAsia="en-US"/>
        </w:rPr>
        <w:t>Respuesta</w:t>
      </w:r>
      <w:r w:rsidRPr="003011D1">
        <w:rPr>
          <w:rFonts w:ascii="Arial" w:eastAsia="Arial MT" w:hAnsi="Arial" w:cs="Arial"/>
          <w:color w:val="000000" w:themeColor="text1"/>
          <w:spacing w:val="-6"/>
          <w:sz w:val="22"/>
          <w:szCs w:val="22"/>
          <w:lang w:val="es-ES" w:eastAsia="en-US"/>
        </w:rPr>
        <w:t xml:space="preserve"> </w:t>
      </w:r>
      <w:r w:rsidRPr="003011D1">
        <w:rPr>
          <w:rFonts w:ascii="Arial" w:eastAsia="Arial MT" w:hAnsi="Arial" w:cs="Arial"/>
          <w:color w:val="000000" w:themeColor="text1"/>
          <w:sz w:val="22"/>
          <w:szCs w:val="22"/>
          <w:lang w:val="es-ES" w:eastAsia="en-US"/>
        </w:rPr>
        <w:t>a</w:t>
      </w:r>
      <w:r w:rsidRPr="003011D1">
        <w:rPr>
          <w:rFonts w:ascii="Arial" w:eastAsia="Arial MT" w:hAnsi="Arial" w:cs="Arial"/>
          <w:color w:val="000000" w:themeColor="text1"/>
          <w:spacing w:val="-6"/>
          <w:sz w:val="22"/>
          <w:szCs w:val="22"/>
          <w:lang w:val="es-ES" w:eastAsia="en-US"/>
        </w:rPr>
        <w:t xml:space="preserve"> </w:t>
      </w:r>
      <w:r w:rsidRPr="003011D1">
        <w:rPr>
          <w:rFonts w:ascii="Arial" w:eastAsia="Arial MT" w:hAnsi="Arial" w:cs="Arial"/>
          <w:color w:val="000000" w:themeColor="text1"/>
          <w:sz w:val="22"/>
          <w:szCs w:val="22"/>
          <w:lang w:val="es-ES" w:eastAsia="en-US"/>
        </w:rPr>
        <w:t>la</w:t>
      </w:r>
      <w:r w:rsidRPr="003011D1">
        <w:rPr>
          <w:rFonts w:ascii="Arial" w:eastAsia="Arial MT" w:hAnsi="Arial" w:cs="Arial"/>
          <w:color w:val="000000" w:themeColor="text1"/>
          <w:spacing w:val="-5"/>
          <w:sz w:val="22"/>
          <w:szCs w:val="22"/>
          <w:lang w:val="es-ES" w:eastAsia="en-US"/>
        </w:rPr>
        <w:t xml:space="preserve"> </w:t>
      </w:r>
      <w:r w:rsidRPr="003011D1">
        <w:rPr>
          <w:rFonts w:ascii="Arial" w:eastAsia="Arial MT" w:hAnsi="Arial" w:cs="Arial"/>
          <w:color w:val="000000" w:themeColor="text1"/>
          <w:sz w:val="22"/>
          <w:szCs w:val="22"/>
          <w:lang w:val="es-ES" w:eastAsia="en-US"/>
        </w:rPr>
        <w:t xml:space="preserve">consulta </w:t>
      </w:r>
      <w:r w:rsidR="00FB45B3" w:rsidRPr="003011D1">
        <w:rPr>
          <w:rFonts w:ascii="Arial" w:hAnsi="Arial" w:cs="Arial"/>
          <w:bCs/>
          <w:color w:val="000000" w:themeColor="text1"/>
          <w:sz w:val="22"/>
          <w:szCs w:val="22"/>
          <w:shd w:val="clear" w:color="auto" w:fill="FFFFFF"/>
        </w:rPr>
        <w:t>P20220210001343</w:t>
      </w:r>
    </w:p>
    <w:p w14:paraId="4EBE5920" w14:textId="42175D6E" w:rsidR="004571B5" w:rsidRPr="003011D1" w:rsidRDefault="004571B5" w:rsidP="004571B5">
      <w:pPr>
        <w:ind w:right="709"/>
        <w:jc w:val="both"/>
        <w:rPr>
          <w:rFonts w:ascii="Arial MT" w:eastAsia="Arial MT" w:hAnsi="Arial MT" w:cs="Arial MT"/>
          <w:color w:val="000000" w:themeColor="text1"/>
          <w:sz w:val="22"/>
          <w:szCs w:val="22"/>
          <w:lang w:val="es-ES" w:eastAsia="en-US"/>
        </w:rPr>
      </w:pPr>
    </w:p>
    <w:p w14:paraId="15681A9B" w14:textId="77777777" w:rsidR="004571B5" w:rsidRPr="003011D1" w:rsidRDefault="004571B5" w:rsidP="004571B5">
      <w:pPr>
        <w:ind w:right="709"/>
        <w:jc w:val="both"/>
        <w:rPr>
          <w:rFonts w:ascii="Arial" w:hAnsi="Arial" w:cs="Arial"/>
          <w:color w:val="000000" w:themeColor="text1"/>
          <w:sz w:val="21"/>
          <w:szCs w:val="21"/>
          <w:lang w:val="es-ES"/>
        </w:rPr>
      </w:pPr>
    </w:p>
    <w:p w14:paraId="6C41EFE9" w14:textId="7DC25508" w:rsidR="004571B5" w:rsidRPr="003011D1" w:rsidRDefault="00FB45B3" w:rsidP="004571B5">
      <w:pPr>
        <w:rPr>
          <w:rFonts w:ascii="Arial" w:eastAsia="Calibri" w:hAnsi="Arial" w:cs="Arial"/>
          <w:color w:val="000000" w:themeColor="text1"/>
          <w:sz w:val="22"/>
          <w:szCs w:val="22"/>
          <w:lang w:eastAsia="en-US"/>
        </w:rPr>
      </w:pPr>
      <w:r w:rsidRPr="003011D1">
        <w:rPr>
          <w:rFonts w:ascii="Arial" w:eastAsia="Calibri" w:hAnsi="Arial" w:cs="Arial"/>
          <w:color w:val="000000" w:themeColor="text1"/>
          <w:sz w:val="22"/>
          <w:szCs w:val="22"/>
          <w:lang w:eastAsia="en-US"/>
        </w:rPr>
        <w:t>Estimada Señora Linares:</w:t>
      </w:r>
    </w:p>
    <w:p w14:paraId="389DB442" w14:textId="77777777" w:rsidR="004571B5" w:rsidRPr="003011D1" w:rsidRDefault="004571B5" w:rsidP="004571B5">
      <w:pPr>
        <w:rPr>
          <w:rFonts w:ascii="Arial" w:eastAsia="Calibri" w:hAnsi="Arial" w:cs="Arial"/>
          <w:color w:val="000000" w:themeColor="text1"/>
          <w:sz w:val="22"/>
          <w:szCs w:val="22"/>
          <w:lang w:eastAsia="en-US"/>
        </w:rPr>
      </w:pPr>
    </w:p>
    <w:p w14:paraId="15191023" w14:textId="7D300F8F" w:rsidR="004571B5" w:rsidRPr="003011D1" w:rsidRDefault="004571B5" w:rsidP="004571B5">
      <w:pPr>
        <w:spacing w:line="276" w:lineRule="auto"/>
        <w:ind w:right="49"/>
        <w:jc w:val="both"/>
        <w:rPr>
          <w:rFonts w:ascii="Arial" w:eastAsia="Calibri" w:hAnsi="Arial" w:cs="Arial"/>
          <w:color w:val="000000" w:themeColor="text1"/>
          <w:sz w:val="22"/>
          <w:szCs w:val="22"/>
          <w:lang w:eastAsia="en-US"/>
        </w:rPr>
      </w:pPr>
      <w:r w:rsidRPr="003011D1">
        <w:rPr>
          <w:rFonts w:ascii="Arial" w:eastAsia="Calibri" w:hAnsi="Arial" w:cs="Arial"/>
          <w:color w:val="000000" w:themeColor="text1"/>
          <w:sz w:val="22"/>
          <w:szCs w:val="22"/>
          <w:lang w:val="es-ES_tradnl" w:eastAsia="en-US"/>
        </w:rPr>
        <w:t xml:space="preserve">En ejercicio de la competencia otorgada por el numeral 8 del artículo 11 y el numeral 5 del artículo 3 del Decreto Ley 4170 de 2011, la Agencia Nacional de Contratación Pública – Colombia Compra Eficiente responde a su consulta del </w:t>
      </w:r>
      <w:r w:rsidR="00E86263" w:rsidRPr="003011D1">
        <w:rPr>
          <w:rFonts w:ascii="Arial" w:eastAsia="Calibri" w:hAnsi="Arial" w:cs="Arial"/>
          <w:color w:val="000000" w:themeColor="text1"/>
          <w:sz w:val="22"/>
          <w:szCs w:val="22"/>
          <w:lang w:val="es-ES_tradnl" w:eastAsia="en-US"/>
        </w:rPr>
        <w:t xml:space="preserve">10 de febrero de 2022. </w:t>
      </w:r>
    </w:p>
    <w:p w14:paraId="7D8CBF1D" w14:textId="77777777" w:rsidR="004571B5" w:rsidRPr="003011D1" w:rsidRDefault="004571B5" w:rsidP="004571B5">
      <w:pPr>
        <w:spacing w:line="276" w:lineRule="auto"/>
        <w:jc w:val="both"/>
        <w:rPr>
          <w:rFonts w:ascii="Arial" w:eastAsia="Calibri" w:hAnsi="Arial" w:cs="Arial"/>
          <w:color w:val="000000" w:themeColor="text1"/>
          <w:sz w:val="22"/>
          <w:szCs w:val="22"/>
          <w:lang w:eastAsia="en-US"/>
        </w:rPr>
      </w:pPr>
    </w:p>
    <w:p w14:paraId="1B8CC8C7" w14:textId="77777777" w:rsidR="004571B5" w:rsidRPr="003011D1" w:rsidRDefault="004571B5" w:rsidP="004571B5">
      <w:pPr>
        <w:numPr>
          <w:ilvl w:val="0"/>
          <w:numId w:val="6"/>
        </w:numPr>
        <w:tabs>
          <w:tab w:val="left" w:pos="284"/>
        </w:tabs>
        <w:spacing w:line="276" w:lineRule="auto"/>
        <w:ind w:left="0" w:firstLine="0"/>
        <w:contextualSpacing/>
        <w:jc w:val="both"/>
        <w:rPr>
          <w:rFonts w:ascii="Arial" w:eastAsia="Calibri" w:hAnsi="Arial" w:cs="Arial"/>
          <w:b/>
          <w:color w:val="000000" w:themeColor="text1"/>
          <w:sz w:val="22"/>
          <w:szCs w:val="22"/>
          <w:lang w:eastAsia="en-US"/>
        </w:rPr>
      </w:pPr>
      <w:r w:rsidRPr="003011D1">
        <w:rPr>
          <w:rFonts w:ascii="Arial" w:eastAsia="Calibri" w:hAnsi="Arial" w:cs="Arial"/>
          <w:b/>
          <w:color w:val="000000" w:themeColor="text1"/>
          <w:sz w:val="22"/>
          <w:szCs w:val="22"/>
          <w:lang w:eastAsia="en-US"/>
        </w:rPr>
        <w:t xml:space="preserve">Problema planteado </w:t>
      </w:r>
    </w:p>
    <w:p w14:paraId="02FF3CE9" w14:textId="77777777" w:rsidR="004571B5" w:rsidRPr="003011D1" w:rsidRDefault="004571B5" w:rsidP="004571B5">
      <w:pPr>
        <w:tabs>
          <w:tab w:val="left" w:pos="426"/>
        </w:tabs>
        <w:spacing w:line="276" w:lineRule="auto"/>
        <w:jc w:val="both"/>
        <w:rPr>
          <w:rFonts w:ascii="Arial" w:eastAsia="Calibri" w:hAnsi="Arial" w:cs="Arial"/>
          <w:b/>
          <w:color w:val="000000" w:themeColor="text1"/>
          <w:sz w:val="22"/>
          <w:szCs w:val="22"/>
          <w:lang w:eastAsia="en-US"/>
        </w:rPr>
      </w:pPr>
    </w:p>
    <w:p w14:paraId="3313F662" w14:textId="0441B56B" w:rsidR="00EC02AA" w:rsidRPr="003011D1" w:rsidRDefault="00B147DA" w:rsidP="004571B5">
      <w:pPr>
        <w:spacing w:line="276" w:lineRule="auto"/>
        <w:jc w:val="both"/>
        <w:rPr>
          <w:rFonts w:ascii="Arial" w:eastAsia="Calibri" w:hAnsi="Arial" w:cs="Arial"/>
          <w:color w:val="000000" w:themeColor="text1"/>
          <w:sz w:val="22"/>
          <w:szCs w:val="22"/>
          <w:lang w:eastAsia="en-US"/>
        </w:rPr>
      </w:pPr>
      <w:r w:rsidRPr="003011D1">
        <w:rPr>
          <w:rFonts w:ascii="Arial" w:eastAsia="Calibri" w:hAnsi="Arial" w:cs="Arial"/>
          <w:color w:val="000000" w:themeColor="text1"/>
          <w:sz w:val="22"/>
          <w:szCs w:val="22"/>
          <w:lang w:eastAsia="en-US"/>
        </w:rPr>
        <w:t xml:space="preserve">Con respecto a la vigencia del artículo 58 de la Ley 2195 de 2022, </w:t>
      </w:r>
      <w:r w:rsidR="00094D03" w:rsidRPr="003011D1">
        <w:rPr>
          <w:rFonts w:ascii="Arial" w:eastAsia="Calibri" w:hAnsi="Arial" w:cs="Arial"/>
          <w:color w:val="000000" w:themeColor="text1"/>
          <w:sz w:val="22"/>
          <w:szCs w:val="22"/>
          <w:lang w:eastAsia="en-US"/>
        </w:rPr>
        <w:t>usted</w:t>
      </w:r>
      <w:r w:rsidRPr="003011D1">
        <w:rPr>
          <w:rFonts w:ascii="Arial" w:eastAsia="Calibri" w:hAnsi="Arial" w:cs="Arial"/>
          <w:color w:val="000000" w:themeColor="text1"/>
          <w:sz w:val="22"/>
          <w:szCs w:val="22"/>
          <w:lang w:eastAsia="en-US"/>
        </w:rPr>
        <w:t xml:space="preserve"> realiza la siguiente consulta</w:t>
      </w:r>
      <w:r w:rsidR="004571B5" w:rsidRPr="003011D1">
        <w:rPr>
          <w:rFonts w:ascii="Arial" w:eastAsia="Calibri" w:hAnsi="Arial" w:cs="Arial"/>
          <w:color w:val="000000" w:themeColor="text1"/>
          <w:sz w:val="22"/>
          <w:szCs w:val="22"/>
          <w:lang w:eastAsia="en-US"/>
        </w:rPr>
        <w:t xml:space="preserve">: </w:t>
      </w:r>
    </w:p>
    <w:p w14:paraId="24BCC7C4" w14:textId="77777777" w:rsidR="00EC02AA" w:rsidRPr="003011D1" w:rsidRDefault="00EC02AA" w:rsidP="004571B5">
      <w:pPr>
        <w:spacing w:line="276" w:lineRule="auto"/>
        <w:jc w:val="both"/>
        <w:rPr>
          <w:rFonts w:ascii="Arial" w:eastAsia="Calibri" w:hAnsi="Arial" w:cs="Arial"/>
          <w:color w:val="000000" w:themeColor="text1"/>
          <w:sz w:val="22"/>
          <w:szCs w:val="22"/>
          <w:lang w:eastAsia="en-US"/>
        </w:rPr>
      </w:pPr>
    </w:p>
    <w:p w14:paraId="23540328" w14:textId="07169FB7" w:rsidR="004571B5" w:rsidRPr="003011D1" w:rsidRDefault="004571B5" w:rsidP="00094D03">
      <w:pPr>
        <w:autoSpaceDE w:val="0"/>
        <w:autoSpaceDN w:val="0"/>
        <w:adjustRightInd w:val="0"/>
        <w:ind w:left="709" w:right="709"/>
        <w:jc w:val="both"/>
        <w:rPr>
          <w:rFonts w:ascii="Arial" w:eastAsiaTheme="minorHAnsi" w:hAnsi="Arial" w:cs="Arial"/>
          <w:color w:val="000000" w:themeColor="text1"/>
          <w:sz w:val="21"/>
          <w:szCs w:val="21"/>
          <w:lang w:val="es-ES" w:eastAsia="en-US"/>
        </w:rPr>
      </w:pPr>
      <w:r w:rsidRPr="003D34C7">
        <w:rPr>
          <w:rFonts w:ascii="Arial" w:eastAsia="Calibri" w:hAnsi="Arial" w:cs="Arial"/>
          <w:color w:val="000000" w:themeColor="text1"/>
          <w:sz w:val="21"/>
          <w:szCs w:val="21"/>
          <w:lang w:eastAsia="en-US"/>
        </w:rPr>
        <w:t>«</w:t>
      </w:r>
      <w:r w:rsidR="00B147DA" w:rsidRPr="003D34C7">
        <w:rPr>
          <w:rFonts w:ascii="Arial" w:eastAsiaTheme="minorHAnsi" w:hAnsi="Arial" w:cs="Arial"/>
          <w:color w:val="000000" w:themeColor="text1"/>
          <w:sz w:val="21"/>
          <w:szCs w:val="21"/>
          <w:lang w:val="es-ES" w:eastAsia="en-US"/>
        </w:rPr>
        <w:t xml:space="preserve">La reducción del 2% de que trata el artículo 58 de la Ley 2195 no aplica en relación con las multas y cláusulas penales que hubieran quedado en firme antes de la expedición de la Ley 2195, con base en la teoría de la irretroactividad de la </w:t>
      </w:r>
      <w:r w:rsidR="00B147DA" w:rsidRPr="003D34C7">
        <w:rPr>
          <w:rFonts w:ascii="Arial" w:eastAsiaTheme="minorHAnsi" w:hAnsi="Arial" w:cs="Arial"/>
          <w:color w:val="000000" w:themeColor="text1"/>
          <w:sz w:val="21"/>
          <w:szCs w:val="21"/>
          <w:lang w:val="es-ES" w:eastAsia="en-US"/>
        </w:rPr>
        <w:lastRenderedPageBreak/>
        <w:t>Ley, sustentada en la jurisprudencia que se expone a continuación. Favor confirmar este entendimiento</w:t>
      </w:r>
      <w:r w:rsidRPr="003011D1">
        <w:rPr>
          <w:rFonts w:ascii="Arial" w:eastAsiaTheme="minorHAnsi" w:hAnsi="Arial" w:cs="Arial"/>
          <w:color w:val="000000" w:themeColor="text1"/>
          <w:sz w:val="21"/>
          <w:szCs w:val="21"/>
          <w:lang w:val="es-ES" w:eastAsia="en-US"/>
        </w:rPr>
        <w:t>».</w:t>
      </w:r>
    </w:p>
    <w:p w14:paraId="78920C07" w14:textId="77777777" w:rsidR="004571B5" w:rsidRPr="003011D1" w:rsidRDefault="004571B5" w:rsidP="004571B5">
      <w:pPr>
        <w:spacing w:line="276" w:lineRule="auto"/>
        <w:jc w:val="both"/>
        <w:rPr>
          <w:rFonts w:ascii="Arial" w:hAnsi="Arial" w:cs="Arial"/>
          <w:color w:val="000000" w:themeColor="text1"/>
          <w:sz w:val="21"/>
          <w:szCs w:val="21"/>
          <w:lang w:val="es-ES_tradnl"/>
        </w:rPr>
      </w:pPr>
    </w:p>
    <w:p w14:paraId="0DD555B1" w14:textId="77777777" w:rsidR="004B3B91" w:rsidRPr="003011D1" w:rsidRDefault="004B3B91" w:rsidP="004B3B9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011D1">
        <w:rPr>
          <w:rFonts w:ascii="Arial" w:eastAsia="Calibri" w:hAnsi="Arial" w:cs="Arial"/>
          <w:b/>
          <w:color w:val="000000" w:themeColor="text1"/>
          <w:sz w:val="22"/>
          <w:lang w:val="es-ES_tradnl"/>
        </w:rPr>
        <w:t>Consideraciones</w:t>
      </w:r>
    </w:p>
    <w:p w14:paraId="4C451CF3" w14:textId="77777777" w:rsidR="004B3B91" w:rsidRPr="003011D1" w:rsidRDefault="004B3B91" w:rsidP="004B3B91">
      <w:pPr>
        <w:spacing w:line="276" w:lineRule="auto"/>
        <w:jc w:val="both"/>
        <w:rPr>
          <w:rFonts w:ascii="Arial" w:eastAsia="Calibri" w:hAnsi="Arial" w:cs="Arial"/>
          <w:color w:val="000000" w:themeColor="text1"/>
          <w:sz w:val="22"/>
          <w:szCs w:val="22"/>
          <w:lang w:val="es-ES_tradnl"/>
        </w:rPr>
      </w:pPr>
    </w:p>
    <w:p w14:paraId="12747238" w14:textId="77777777" w:rsidR="004B3B91" w:rsidRPr="003011D1" w:rsidRDefault="004B3B91" w:rsidP="004B3B91">
      <w:pPr>
        <w:spacing w:line="276" w:lineRule="auto"/>
        <w:jc w:val="both"/>
        <w:rPr>
          <w:rFonts w:ascii="Arial" w:hAnsi="Arial" w:cs="Arial"/>
          <w:color w:val="000000" w:themeColor="text1"/>
          <w:sz w:val="22"/>
          <w:lang w:val="es-ES_tradnl"/>
        </w:rPr>
      </w:pPr>
      <w:r w:rsidRPr="003011D1">
        <w:rPr>
          <w:rFonts w:ascii="Arial" w:hAnsi="Arial" w:cs="Arial"/>
          <w:color w:val="000000" w:themeColor="text1"/>
          <w:sz w:val="22"/>
          <w:lang w:val="es-ES_tradnl"/>
        </w:rPr>
        <w:t>Para resolver su consulta, se analizarán los siguientes temas: i) régimen sancionatorio en el Estatuto General de Contratación de la Administración Pública, ii) procedimiento administrativo sancionatorio contractual previsto en el artículo 86 de la Ley 1474 de 2011 y iii) alcance de la reducción de puntaje por incumplimiento de contratos estatales, establecida en el artículo 58 de la Ley 2195 de 2022 y iv) vigencia de las normas jurídicas.</w:t>
      </w:r>
    </w:p>
    <w:p w14:paraId="184E7CF4" w14:textId="6A7D8833" w:rsidR="004B3B91" w:rsidRPr="003011D1" w:rsidRDefault="004B3B91" w:rsidP="00B05BEA">
      <w:pPr>
        <w:spacing w:before="120" w:line="276" w:lineRule="auto"/>
        <w:ind w:firstLine="709"/>
        <w:jc w:val="both"/>
        <w:rPr>
          <w:rFonts w:ascii="Arial" w:hAnsi="Arial" w:cs="Arial"/>
          <w:color w:val="000000" w:themeColor="text1"/>
          <w:sz w:val="22"/>
          <w:lang w:val="es-ES_tradnl"/>
        </w:rPr>
      </w:pPr>
      <w:r w:rsidRPr="003011D1">
        <w:rPr>
          <w:rFonts w:ascii="Arial" w:hAnsi="Arial" w:cs="Arial"/>
          <w:color w:val="000000" w:themeColor="text1"/>
          <w:sz w:val="22"/>
          <w:lang w:val="es-ES_tradnl"/>
        </w:rPr>
        <w:t xml:space="preserve">La Agencia Nacional de Contratación Pública – Colombia Compra Eficiente, en los conceptos C-147 del 17 de marzo de 2020, C-219 del 29 de abril de 2020, </w:t>
      </w:r>
      <w:r w:rsidRPr="003011D1">
        <w:rPr>
          <w:rFonts w:ascii="Arial" w:hAnsi="Arial" w:cs="Arial"/>
          <w:iCs/>
          <w:color w:val="000000" w:themeColor="text1"/>
          <w:sz w:val="22"/>
          <w:lang w:val="es-ES_tradnl"/>
        </w:rPr>
        <w:t>C-434 del 29 de julio de 2020, C-569 del 31 de agosto de 2020, C-641 del 4 de noviembre de 2020, C-060 del 8 de marzo de 2021</w:t>
      </w:r>
      <w:r w:rsidR="00094D03" w:rsidRPr="003011D1">
        <w:rPr>
          <w:rFonts w:ascii="Arial" w:hAnsi="Arial" w:cs="Arial"/>
          <w:iCs/>
          <w:color w:val="000000" w:themeColor="text1"/>
          <w:sz w:val="22"/>
          <w:lang w:val="es-ES_tradnl"/>
        </w:rPr>
        <w:t>,</w:t>
      </w:r>
      <w:r w:rsidRPr="003011D1">
        <w:rPr>
          <w:rFonts w:ascii="Arial" w:hAnsi="Arial" w:cs="Arial"/>
          <w:iCs/>
          <w:color w:val="000000" w:themeColor="text1"/>
          <w:sz w:val="22"/>
          <w:lang w:val="es-ES_tradnl"/>
        </w:rPr>
        <w:t xml:space="preserve"> C-528 del 5 de abril de 2021,</w:t>
      </w:r>
      <w:r w:rsidR="00C7183F" w:rsidRPr="003011D1">
        <w:rPr>
          <w:rFonts w:ascii="Arial" w:hAnsi="Arial" w:cs="Arial"/>
          <w:iCs/>
          <w:color w:val="000000" w:themeColor="text1"/>
          <w:sz w:val="22"/>
          <w:lang w:val="es-ES_tradnl"/>
        </w:rPr>
        <w:t xml:space="preserve"> C-420 del 25 de agosto de 2022,</w:t>
      </w:r>
      <w:r w:rsidRPr="003011D1">
        <w:rPr>
          <w:rFonts w:ascii="Arial" w:hAnsi="Arial" w:cs="Arial"/>
          <w:color w:val="000000" w:themeColor="text1"/>
          <w:sz w:val="22"/>
          <w:lang w:val="es-ES_tradnl"/>
        </w:rPr>
        <w:t xml:space="preserve"> </w:t>
      </w:r>
      <w:r w:rsidR="00FB45B3" w:rsidRPr="003011D1">
        <w:rPr>
          <w:rFonts w:ascii="Arial" w:hAnsi="Arial" w:cs="Arial"/>
          <w:color w:val="000000" w:themeColor="text1"/>
          <w:sz w:val="22"/>
          <w:lang w:val="es-ES_tradnl"/>
        </w:rPr>
        <w:t xml:space="preserve">C- 720 del 25 de enero de 2022, entre otros, </w:t>
      </w:r>
      <w:r w:rsidRPr="003011D1">
        <w:rPr>
          <w:rFonts w:ascii="Arial" w:hAnsi="Arial" w:cs="Arial"/>
          <w:color w:val="000000" w:themeColor="text1"/>
          <w:sz w:val="22"/>
          <w:lang w:val="es-ES_tradnl"/>
        </w:rPr>
        <w:t>estudió la potestad sancionatoria de las entidades estatales y el procedimiento administrativo que deben efectuar para declarar el incumplimiento y aplicar las sanciones correspondientes, destacando la necesidad de garantizar el debido proceso.</w:t>
      </w:r>
      <w:r w:rsidR="00253CBB" w:rsidRPr="003011D1">
        <w:rPr>
          <w:rFonts w:ascii="Arial" w:hAnsi="Arial" w:cs="Arial"/>
          <w:color w:val="000000" w:themeColor="text1"/>
          <w:sz w:val="22"/>
          <w:lang w:val="es-ES_tradnl"/>
        </w:rPr>
        <w:t xml:space="preserve"> Así mismo, se expidieron los siguientes conceptos </w:t>
      </w:r>
      <w:r w:rsidR="00B05BEA" w:rsidRPr="003011D1">
        <w:rPr>
          <w:rFonts w:ascii="Arial" w:hAnsi="Arial" w:cs="Arial"/>
          <w:color w:val="000000" w:themeColor="text1"/>
          <w:sz w:val="22"/>
          <w:lang w:val="es-ES_tradnl"/>
        </w:rPr>
        <w:t xml:space="preserve">C- 035 del 2 de marzo de 2022, </w:t>
      </w:r>
      <w:r w:rsidR="00253CBB" w:rsidRPr="003011D1">
        <w:rPr>
          <w:rFonts w:ascii="Arial" w:hAnsi="Arial" w:cs="Arial"/>
          <w:color w:val="000000" w:themeColor="text1"/>
          <w:sz w:val="22"/>
          <w:lang w:val="es-ES_tradnl"/>
        </w:rPr>
        <w:t>C</w:t>
      </w:r>
      <w:r w:rsidR="00B05BEA" w:rsidRPr="003011D1">
        <w:rPr>
          <w:rFonts w:ascii="Arial" w:hAnsi="Arial" w:cs="Arial"/>
          <w:color w:val="000000" w:themeColor="text1"/>
          <w:sz w:val="22"/>
          <w:lang w:val="es-ES_tradnl"/>
        </w:rPr>
        <w:t>-0</w:t>
      </w:r>
      <w:r w:rsidR="00253CBB" w:rsidRPr="003011D1">
        <w:rPr>
          <w:rFonts w:ascii="Arial" w:hAnsi="Arial" w:cs="Arial"/>
          <w:color w:val="000000" w:themeColor="text1"/>
          <w:sz w:val="22"/>
          <w:lang w:val="es-ES_tradnl"/>
        </w:rPr>
        <w:t xml:space="preserve">40 del 2 de marzo de 2022, </w:t>
      </w:r>
      <w:r w:rsidR="00B05BEA" w:rsidRPr="003011D1">
        <w:rPr>
          <w:rFonts w:ascii="Arial" w:hAnsi="Arial" w:cs="Arial"/>
          <w:color w:val="000000" w:themeColor="text1"/>
          <w:sz w:val="22"/>
          <w:lang w:val="es-ES_tradnl"/>
        </w:rPr>
        <w:t>C-061 del 8 de marzo de 2022 con respecto al alcance de</w:t>
      </w:r>
      <w:r w:rsidR="00B147DA" w:rsidRPr="003011D1">
        <w:rPr>
          <w:rFonts w:ascii="Arial" w:hAnsi="Arial" w:cs="Arial"/>
          <w:color w:val="000000" w:themeColor="text1"/>
          <w:sz w:val="22"/>
          <w:lang w:val="es-ES_tradnl"/>
        </w:rPr>
        <w:t xml:space="preserve"> la</w:t>
      </w:r>
      <w:r w:rsidR="00B05BEA" w:rsidRPr="003011D1">
        <w:rPr>
          <w:rFonts w:ascii="Arial" w:hAnsi="Arial" w:cs="Arial"/>
          <w:color w:val="000000" w:themeColor="text1"/>
          <w:sz w:val="22"/>
          <w:lang w:val="es-ES_tradnl"/>
        </w:rPr>
        <w:t xml:space="preserve"> interpretación y aplicación </w:t>
      </w:r>
      <w:r w:rsidRPr="003011D1">
        <w:rPr>
          <w:rFonts w:ascii="Arial" w:hAnsi="Arial" w:cs="Arial"/>
          <w:color w:val="000000" w:themeColor="text1"/>
          <w:sz w:val="22"/>
          <w:lang w:val="es-ES_tradnl"/>
        </w:rPr>
        <w:t>del artí</w:t>
      </w:r>
      <w:r w:rsidR="00B05BEA" w:rsidRPr="003011D1">
        <w:rPr>
          <w:rFonts w:ascii="Arial" w:hAnsi="Arial" w:cs="Arial"/>
          <w:color w:val="000000" w:themeColor="text1"/>
          <w:sz w:val="22"/>
          <w:lang w:val="es-ES_tradnl"/>
        </w:rPr>
        <w:t>culo 58 de la Ley 2195 de 2022</w:t>
      </w:r>
      <w:r w:rsidR="00094D03" w:rsidRPr="003011D1">
        <w:rPr>
          <w:rFonts w:ascii="Arial" w:hAnsi="Arial" w:cs="Arial"/>
          <w:color w:val="000000" w:themeColor="text1"/>
          <w:sz w:val="22"/>
          <w:lang w:val="es-ES_tradnl"/>
        </w:rPr>
        <w:t>, cuya tesis se reitera a continuación.</w:t>
      </w:r>
      <w:r w:rsidR="00B05BEA" w:rsidRPr="003011D1">
        <w:rPr>
          <w:rFonts w:ascii="Arial" w:hAnsi="Arial" w:cs="Arial"/>
          <w:color w:val="000000" w:themeColor="text1"/>
          <w:sz w:val="22"/>
          <w:lang w:val="es-ES_tradnl"/>
        </w:rPr>
        <w:t xml:space="preserve"> </w:t>
      </w:r>
    </w:p>
    <w:p w14:paraId="161C4F5F" w14:textId="77777777" w:rsidR="004B3B91" w:rsidRPr="003011D1" w:rsidRDefault="004B3B91" w:rsidP="004B3B91">
      <w:pPr>
        <w:spacing w:line="276" w:lineRule="auto"/>
        <w:jc w:val="both"/>
        <w:rPr>
          <w:rFonts w:ascii="Arial" w:eastAsia="Calibri" w:hAnsi="Arial" w:cs="Arial"/>
          <w:b/>
          <w:color w:val="000000" w:themeColor="text1"/>
          <w:sz w:val="22"/>
          <w:lang w:val="es-ES_tradnl"/>
        </w:rPr>
      </w:pPr>
    </w:p>
    <w:p w14:paraId="571DA1DD" w14:textId="77777777" w:rsidR="004B3B91" w:rsidRPr="003011D1" w:rsidRDefault="004B3B91" w:rsidP="004B3B91">
      <w:pPr>
        <w:spacing w:line="276" w:lineRule="auto"/>
        <w:jc w:val="both"/>
        <w:rPr>
          <w:rFonts w:ascii="Arial" w:eastAsia="Calibri" w:hAnsi="Arial" w:cs="Arial"/>
          <w:b/>
          <w:bCs/>
          <w:color w:val="000000" w:themeColor="text1"/>
          <w:sz w:val="22"/>
          <w:lang w:val="es-ES_tradnl"/>
        </w:rPr>
      </w:pPr>
      <w:r w:rsidRPr="003011D1">
        <w:rPr>
          <w:rFonts w:ascii="Arial" w:eastAsia="Calibri" w:hAnsi="Arial" w:cs="Arial"/>
          <w:b/>
          <w:bCs/>
          <w:color w:val="000000" w:themeColor="text1"/>
          <w:sz w:val="22"/>
          <w:lang w:val="es-ES_tradnl"/>
        </w:rPr>
        <w:t>2.1. Régimen sancionatorio en el Estatuto General de Contratación de la Administración Pública</w:t>
      </w:r>
    </w:p>
    <w:p w14:paraId="26D77786" w14:textId="77777777" w:rsidR="004B3B91" w:rsidRPr="003011D1" w:rsidRDefault="004B3B91" w:rsidP="004B3B91">
      <w:pPr>
        <w:spacing w:line="276" w:lineRule="auto"/>
        <w:jc w:val="both"/>
        <w:rPr>
          <w:rFonts w:ascii="Arial" w:eastAsia="Calibri" w:hAnsi="Arial" w:cs="Arial"/>
          <w:b/>
          <w:bCs/>
          <w:color w:val="000000" w:themeColor="text1"/>
          <w:sz w:val="22"/>
          <w:lang w:val="es-ES_tradnl"/>
        </w:rPr>
      </w:pPr>
    </w:p>
    <w:p w14:paraId="33111A29" w14:textId="77777777" w:rsidR="004B3B91" w:rsidRPr="003011D1" w:rsidRDefault="004B3B91" w:rsidP="004B3B91">
      <w:pPr>
        <w:spacing w:line="276" w:lineRule="auto"/>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proofErr w:type="spellStart"/>
      <w:r w:rsidRPr="003011D1">
        <w:rPr>
          <w:rFonts w:ascii="Arial" w:hAnsi="Arial" w:cs="Arial"/>
          <w:i/>
          <w:color w:val="000000" w:themeColor="text1"/>
          <w:sz w:val="22"/>
          <w:lang w:val="es-ES_tradnl"/>
        </w:rPr>
        <w:t>ibidem</w:t>
      </w:r>
      <w:proofErr w:type="spellEnd"/>
      <w:r w:rsidRPr="003011D1">
        <w:rPr>
          <w:rFonts w:ascii="Arial" w:hAnsi="Arial" w:cs="Arial"/>
          <w:iCs/>
          <w:color w:val="000000" w:themeColor="text1"/>
          <w:sz w:val="22"/>
          <w:lang w:val="es-ES_tradnl"/>
        </w:rPr>
        <w:t xml:space="preserve">. ii) Algunas disposiciones también establecen otras potestades exorbitantes, como la liquidación unilateral y la declaratoria unilateral del siniestro –artículos 7 y 11 de la Ley 1150 de 2007–. Dentro de las potestades unilaterales también se encuentran iii) las cláusulas excepcionales de </w:t>
      </w:r>
      <w:r w:rsidRPr="003011D1">
        <w:rPr>
          <w:rFonts w:ascii="Arial" w:hAnsi="Arial" w:cs="Arial"/>
          <w:i/>
          <w:color w:val="000000" w:themeColor="text1"/>
          <w:sz w:val="22"/>
          <w:lang w:val="es-ES_tradnl"/>
        </w:rPr>
        <w:t>imposición unilateral</w:t>
      </w:r>
      <w:r w:rsidRPr="003011D1">
        <w:rPr>
          <w:rFonts w:ascii="Arial" w:hAnsi="Arial" w:cs="Arial"/>
          <w:iCs/>
          <w:color w:val="000000" w:themeColor="text1"/>
          <w:sz w:val="22"/>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32255F80" w14:textId="77777777" w:rsidR="004B3B91" w:rsidRPr="003011D1" w:rsidRDefault="004B3B91" w:rsidP="004B3B91">
      <w:pPr>
        <w:spacing w:before="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lastRenderedPageBreak/>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3011D1">
        <w:rPr>
          <w:rFonts w:ascii="Arial" w:eastAsia="Calibri" w:hAnsi="Arial" w:cs="Arial"/>
          <w:color w:val="000000" w:themeColor="text1"/>
          <w:sz w:val="22"/>
        </w:rPr>
        <w:t>y los relacionados con el programa de alimentación escolar – según lo dispuso la modificación realizada por el artículo 52 de la Ley 2195 de 2022–</w:t>
      </w:r>
      <w:r w:rsidRPr="003011D1">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5ECD8BB6" w14:textId="77777777" w:rsidR="004B3B91" w:rsidRPr="003011D1" w:rsidRDefault="004B3B91" w:rsidP="004B3B91">
      <w:pPr>
        <w:spacing w:before="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0E75B9A2" w14:textId="77777777" w:rsidR="004B3B91" w:rsidRPr="003011D1" w:rsidRDefault="004B3B91" w:rsidP="004B3B91">
      <w:pPr>
        <w:spacing w:line="276" w:lineRule="auto"/>
        <w:jc w:val="both"/>
        <w:rPr>
          <w:rFonts w:ascii="Arial" w:hAnsi="Arial" w:cs="Arial"/>
          <w:iCs/>
          <w:color w:val="000000" w:themeColor="text1"/>
          <w:sz w:val="22"/>
          <w:lang w:val="es-ES_tradnl"/>
        </w:rPr>
      </w:pPr>
    </w:p>
    <w:p w14:paraId="555F40A2" w14:textId="77777777" w:rsidR="004B3B91" w:rsidRPr="003011D1" w:rsidRDefault="004B3B91" w:rsidP="004B3B91">
      <w:pPr>
        <w:ind w:left="709" w:right="709"/>
        <w:jc w:val="both"/>
        <w:rPr>
          <w:rFonts w:ascii="Arial" w:hAnsi="Arial" w:cs="Arial"/>
          <w:iCs/>
          <w:color w:val="000000" w:themeColor="text1"/>
          <w:sz w:val="21"/>
          <w:szCs w:val="21"/>
          <w:lang w:val="es-ES_tradnl"/>
        </w:rPr>
      </w:pPr>
      <w:r w:rsidRPr="003011D1">
        <w:rPr>
          <w:rFonts w:ascii="Arial" w:hAnsi="Arial" w:cs="Arial"/>
          <w:iCs/>
          <w:color w:val="000000" w:themeColor="text1"/>
          <w:sz w:val="21"/>
          <w:szCs w:val="21"/>
          <w:lang w:val="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3011D1">
        <w:rPr>
          <w:rStyle w:val="Refdenotaalpie"/>
          <w:rFonts w:ascii="Arial" w:hAnsi="Arial" w:cs="Arial"/>
          <w:color w:val="000000" w:themeColor="text1"/>
        </w:rPr>
        <w:footnoteReference w:id="2"/>
      </w:r>
      <w:r w:rsidRPr="003011D1">
        <w:rPr>
          <w:rFonts w:ascii="Arial" w:hAnsi="Arial" w:cs="Arial"/>
          <w:iCs/>
          <w:color w:val="000000" w:themeColor="text1"/>
          <w:sz w:val="21"/>
          <w:szCs w:val="21"/>
          <w:lang w:val="es-ES_tradnl"/>
        </w:rPr>
        <w:t xml:space="preserve">. </w:t>
      </w:r>
    </w:p>
    <w:p w14:paraId="423F7D50" w14:textId="77777777" w:rsidR="004B3B91" w:rsidRPr="003011D1" w:rsidRDefault="004B3B91" w:rsidP="004B3B91">
      <w:pPr>
        <w:spacing w:line="276" w:lineRule="auto"/>
        <w:jc w:val="both"/>
        <w:rPr>
          <w:rFonts w:ascii="Arial" w:hAnsi="Arial" w:cs="Arial"/>
          <w:iCs/>
          <w:color w:val="000000" w:themeColor="text1"/>
          <w:sz w:val="22"/>
          <w:lang w:val="es-ES_tradnl"/>
        </w:rPr>
      </w:pPr>
    </w:p>
    <w:p w14:paraId="18B74693" w14:textId="77777777" w:rsidR="004B3B91" w:rsidRPr="003011D1" w:rsidRDefault="004B3B91" w:rsidP="004B3B91">
      <w:pPr>
        <w:spacing w:after="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Las consecuencias jurídicas que se generan con la caducidad son: i) la terminación del contrato, ii) la iniciación del trámite de liquidación bilateral –y unilateral, si fracasa la bilateral–, iii) la inhabilidad sobreviniente por cinco años, iv)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4A1B2714" w14:textId="77777777" w:rsidR="004B3B91" w:rsidRPr="003011D1" w:rsidRDefault="004B3B91" w:rsidP="004B3B91">
      <w:pPr>
        <w:spacing w:after="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Los presupuestos para declarar la caducidad están establecidos en los artículos 14 y 18 de la Ley 80 de 1993. En primer lugar, el artículo 18 establece los siguientes requisitos </w:t>
      </w:r>
      <w:r w:rsidRPr="003011D1">
        <w:rPr>
          <w:rFonts w:ascii="Arial" w:hAnsi="Arial" w:cs="Arial"/>
          <w:iCs/>
          <w:color w:val="000000" w:themeColor="text1"/>
          <w:sz w:val="22"/>
          <w:lang w:val="es-ES_tradnl"/>
        </w:rPr>
        <w:lastRenderedPageBreak/>
        <w:t xml:space="preserve">para su procedencia: i) debe acreditarse el </w:t>
      </w:r>
      <w:r w:rsidRPr="003011D1">
        <w:rPr>
          <w:rFonts w:ascii="Arial" w:hAnsi="Arial" w:cs="Arial"/>
          <w:i/>
          <w:color w:val="000000" w:themeColor="text1"/>
          <w:sz w:val="22"/>
          <w:lang w:val="es-ES_tradnl"/>
        </w:rPr>
        <w:t>incumplimiento</w:t>
      </w:r>
      <w:r w:rsidRPr="003011D1">
        <w:rPr>
          <w:rFonts w:ascii="Arial" w:hAnsi="Arial" w:cs="Arial"/>
          <w:iCs/>
          <w:color w:val="000000" w:themeColor="text1"/>
          <w:sz w:val="22"/>
          <w:lang w:val="es-ES_tradnl"/>
        </w:rPr>
        <w:t xml:space="preserve"> de alguna o algunas de las obligaciones del contratista, con todos los elementos que configuran el «incumplimiento», ii) dicho incumplimiento debe afectar de manera </w:t>
      </w:r>
      <w:r w:rsidRPr="003011D1">
        <w:rPr>
          <w:rFonts w:ascii="Arial" w:hAnsi="Arial" w:cs="Arial"/>
          <w:i/>
          <w:color w:val="000000" w:themeColor="text1"/>
          <w:sz w:val="22"/>
          <w:lang w:val="es-ES_tradnl"/>
        </w:rPr>
        <w:t xml:space="preserve">grave </w:t>
      </w:r>
      <w:r w:rsidRPr="003011D1">
        <w:rPr>
          <w:rFonts w:ascii="Arial" w:hAnsi="Arial" w:cs="Arial"/>
          <w:iCs/>
          <w:color w:val="000000" w:themeColor="text1"/>
          <w:sz w:val="22"/>
          <w:lang w:val="es-ES_tradnl"/>
        </w:rPr>
        <w:t xml:space="preserve">y </w:t>
      </w:r>
      <w:r w:rsidRPr="003011D1">
        <w:rPr>
          <w:rFonts w:ascii="Arial" w:hAnsi="Arial" w:cs="Arial"/>
          <w:i/>
          <w:color w:val="000000" w:themeColor="text1"/>
          <w:sz w:val="22"/>
          <w:lang w:val="es-ES_tradnl"/>
        </w:rPr>
        <w:t xml:space="preserve">directa </w:t>
      </w:r>
      <w:r w:rsidRPr="003011D1">
        <w:rPr>
          <w:rFonts w:ascii="Arial" w:hAnsi="Arial" w:cs="Arial"/>
          <w:iCs/>
          <w:color w:val="000000" w:themeColor="text1"/>
          <w:sz w:val="22"/>
          <w:lang w:val="es-ES_tradnl"/>
        </w:rPr>
        <w:t>la ejecución del contrato, y iii)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0EB71484" w14:textId="77777777" w:rsidR="004B3B91" w:rsidRPr="003011D1" w:rsidRDefault="004B3B91" w:rsidP="004B3B91">
      <w:pPr>
        <w:spacing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Así, dentro de los requisitos de orden legal que deben cumplirse para decretar la caducidad no hay uno que exija a las entidades estatales imponer multas previas al contratista, como condición </w:t>
      </w:r>
      <w:r w:rsidRPr="003011D1">
        <w:rPr>
          <w:rFonts w:ascii="Arial" w:hAnsi="Arial" w:cs="Arial"/>
          <w:i/>
          <w:color w:val="000000" w:themeColor="text1"/>
          <w:sz w:val="22"/>
          <w:lang w:val="es-ES_tradnl"/>
        </w:rPr>
        <w:t>sine qua non</w:t>
      </w:r>
      <w:r w:rsidRPr="003011D1">
        <w:rPr>
          <w:rFonts w:ascii="Arial" w:hAnsi="Arial" w:cs="Arial"/>
          <w:iCs/>
          <w:color w:val="000000" w:themeColor="text1"/>
          <w:sz w:val="22"/>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3011D1">
        <w:rPr>
          <w:rFonts w:ascii="Arial" w:hAnsi="Arial" w:cs="Arial"/>
          <w:i/>
          <w:color w:val="000000" w:themeColor="text1"/>
          <w:sz w:val="22"/>
          <w:lang w:val="es-ES_tradnl"/>
        </w:rPr>
        <w:t>ipso facto</w:t>
      </w:r>
      <w:r w:rsidRPr="003011D1">
        <w:rPr>
          <w:rFonts w:ascii="Arial" w:hAnsi="Arial" w:cs="Arial"/>
          <w:iCs/>
          <w:color w:val="000000" w:themeColor="text1"/>
          <w:sz w:val="22"/>
          <w:lang w:val="es-ES_tradnl"/>
        </w:rPr>
        <w:t>, es decir, sin que se evidencien antecedentes de incumplimientos parciales, el Estatuto General de Contratación de la Administración Pública permite decretar directamente esta cláusula excepcional, respetando el debido proceso.</w:t>
      </w:r>
    </w:p>
    <w:p w14:paraId="209AD529" w14:textId="77777777" w:rsidR="004B3B91" w:rsidRPr="003011D1" w:rsidRDefault="004B3B91" w:rsidP="004B3B91">
      <w:pPr>
        <w:spacing w:before="120" w:line="276" w:lineRule="auto"/>
        <w:ind w:firstLine="709"/>
        <w:jc w:val="both"/>
        <w:rPr>
          <w:rFonts w:ascii="Arial" w:hAnsi="Arial" w:cs="Arial"/>
          <w:iCs/>
          <w:color w:val="000000" w:themeColor="text1"/>
          <w:sz w:val="22"/>
          <w:szCs w:val="22"/>
          <w:lang w:val="es-ES_tradnl"/>
        </w:rPr>
      </w:pPr>
      <w:r w:rsidRPr="003011D1">
        <w:rPr>
          <w:rFonts w:ascii="Arial" w:hAnsi="Arial" w:cs="Arial"/>
          <w:iCs/>
          <w:color w:val="000000" w:themeColor="text1"/>
          <w:sz w:val="22"/>
          <w:szCs w:val="22"/>
          <w:lang w:val="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3011D1">
        <w:rPr>
          <w:rFonts w:ascii="Arial" w:hAnsi="Arial" w:cs="Arial"/>
          <w:i/>
          <w:color w:val="000000" w:themeColor="text1"/>
          <w:sz w:val="22"/>
          <w:szCs w:val="22"/>
          <w:lang w:val="es-ES_tradnl"/>
        </w:rPr>
        <w:t>sanción</w:t>
      </w:r>
      <w:r w:rsidRPr="003011D1">
        <w:rPr>
          <w:rFonts w:ascii="Arial" w:hAnsi="Arial" w:cs="Arial"/>
          <w:iCs/>
          <w:color w:val="000000" w:themeColor="text1"/>
          <w:sz w:val="22"/>
          <w:szCs w:val="22"/>
          <w:lang w:val="es-ES_tradnl"/>
        </w:rPr>
        <w:t xml:space="preserve"> que solo procede «</w:t>
      </w:r>
      <w:r w:rsidRPr="003011D1">
        <w:rPr>
          <w:rFonts w:ascii="Arial" w:hAnsi="Arial" w:cs="Arial"/>
          <w:color w:val="000000" w:themeColor="text1"/>
          <w:sz w:val="22"/>
          <w:szCs w:val="22"/>
          <w:lang w:val="es-ES_tradnl"/>
        </w:rPr>
        <w:t xml:space="preserve">[…] </w:t>
      </w:r>
      <w:r w:rsidRPr="003011D1">
        <w:rPr>
          <w:rFonts w:ascii="Arial" w:hAnsi="Arial" w:cs="Arial"/>
          <w:iCs/>
          <w:color w:val="000000" w:themeColor="text1"/>
          <w:sz w:val="22"/>
          <w:szCs w:val="22"/>
          <w:lang w:val="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6EF04B20" w14:textId="77777777" w:rsidR="004B3B91" w:rsidRPr="003011D1" w:rsidRDefault="004B3B91" w:rsidP="004B3B91">
      <w:pPr>
        <w:spacing w:before="120" w:line="276" w:lineRule="auto"/>
        <w:ind w:firstLine="709"/>
        <w:jc w:val="both"/>
        <w:rPr>
          <w:rFonts w:ascii="Arial" w:hAnsi="Arial" w:cs="Arial"/>
          <w:iCs/>
          <w:color w:val="000000" w:themeColor="text1"/>
          <w:sz w:val="22"/>
          <w:szCs w:val="22"/>
          <w:lang w:val="es-ES_tradnl"/>
        </w:rPr>
      </w:pPr>
      <w:r w:rsidRPr="003011D1">
        <w:rPr>
          <w:rFonts w:ascii="Arial" w:hAnsi="Arial" w:cs="Arial"/>
          <w:iCs/>
          <w:color w:val="000000" w:themeColor="text1"/>
          <w:sz w:val="22"/>
          <w:szCs w:val="22"/>
          <w:lang w:val="es-ES_tradnl"/>
        </w:rPr>
        <w:lastRenderedPageBreak/>
        <w:t>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contraviniendo una prohibición legal o con desviación de poder y iii) cuando se declare la nulidad de los actos administrativos en los que se fundamente la celebración del contrato.</w:t>
      </w:r>
    </w:p>
    <w:p w14:paraId="137F0489" w14:textId="77777777" w:rsidR="004B3B91" w:rsidRPr="003011D1" w:rsidRDefault="004B3B91" w:rsidP="004B3B91">
      <w:pPr>
        <w:spacing w:before="120" w:line="276" w:lineRule="auto"/>
        <w:ind w:firstLine="709"/>
        <w:jc w:val="both"/>
        <w:rPr>
          <w:rFonts w:ascii="Arial" w:hAnsi="Arial" w:cs="Arial"/>
          <w:iCs/>
          <w:color w:val="000000" w:themeColor="text1"/>
          <w:sz w:val="22"/>
          <w:szCs w:val="22"/>
          <w:lang w:val="es-ES_tradnl"/>
        </w:rPr>
      </w:pPr>
      <w:r w:rsidRPr="003011D1">
        <w:rPr>
          <w:rFonts w:ascii="Arial" w:hAnsi="Arial" w:cs="Arial"/>
          <w:iCs/>
          <w:color w:val="000000" w:themeColor="text1"/>
          <w:sz w:val="22"/>
          <w:szCs w:val="22"/>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w:t>
      </w:r>
      <w:proofErr w:type="gramStart"/>
      <w:r w:rsidRPr="003011D1">
        <w:rPr>
          <w:rFonts w:ascii="Arial" w:hAnsi="Arial" w:cs="Arial"/>
          <w:iCs/>
          <w:color w:val="000000" w:themeColor="text1"/>
          <w:sz w:val="22"/>
          <w:szCs w:val="22"/>
          <w:lang w:val="es-ES_tradnl"/>
        </w:rPr>
        <w:t>le</w:t>
      </w:r>
      <w:proofErr w:type="gramEnd"/>
      <w:r w:rsidRPr="003011D1">
        <w:rPr>
          <w:rFonts w:ascii="Arial" w:hAnsi="Arial" w:cs="Arial"/>
          <w:iCs/>
          <w:color w:val="000000" w:themeColor="text1"/>
          <w:sz w:val="22"/>
          <w:szCs w:val="22"/>
          <w:lang w:val="es-ES_tradnl"/>
        </w:rPr>
        <w:t xml:space="preserv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0ADDC3A1" w14:textId="77777777" w:rsidR="004B3B91" w:rsidRPr="003011D1" w:rsidRDefault="004B3B91" w:rsidP="004B3B91">
      <w:pPr>
        <w:spacing w:before="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szCs w:val="22"/>
          <w:lang w:val="es-ES_tradnl"/>
        </w:rPr>
        <w:t>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3011D1">
        <w:rPr>
          <w:rFonts w:ascii="Arial" w:hAnsi="Arial" w:cs="Arial"/>
          <w:color w:val="000000" w:themeColor="text1"/>
          <w:sz w:val="22"/>
          <w:szCs w:val="22"/>
          <w:lang w:val="es-ES_tradnl"/>
        </w:rPr>
        <w:t xml:space="preserve">[…] </w:t>
      </w:r>
      <w:r w:rsidRPr="003011D1">
        <w:rPr>
          <w:rFonts w:ascii="Arial" w:hAnsi="Arial" w:cs="Arial"/>
          <w:iCs/>
          <w:color w:val="000000" w:themeColor="text1"/>
          <w:sz w:val="22"/>
          <w:szCs w:val="22"/>
          <w:lang w:val="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3011D1">
        <w:rPr>
          <w:rFonts w:ascii="Arial" w:hAnsi="Arial" w:cs="Arial"/>
          <w:iCs/>
          <w:color w:val="000000" w:themeColor="text1"/>
          <w:sz w:val="22"/>
          <w:lang w:val="es-ES_tradnl"/>
        </w:rPr>
        <w:t xml:space="preserve"> </w:t>
      </w:r>
    </w:p>
    <w:p w14:paraId="78A6B261" w14:textId="77777777" w:rsidR="004B3B91" w:rsidRPr="003011D1" w:rsidRDefault="004B3B91" w:rsidP="004B3B91">
      <w:pPr>
        <w:spacing w:before="120" w:after="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w:t>
      </w:r>
      <w:r w:rsidRPr="003011D1">
        <w:rPr>
          <w:rFonts w:ascii="Arial" w:hAnsi="Arial" w:cs="Arial"/>
          <w:iCs/>
          <w:color w:val="000000" w:themeColor="text1"/>
          <w:sz w:val="22"/>
          <w:lang w:val="es-ES_tradnl"/>
        </w:rPr>
        <w:lastRenderedPageBreak/>
        <w:t>uno u otro caso se hayan pactado en el contrato</w:t>
      </w:r>
      <w:r w:rsidRPr="003011D1">
        <w:rPr>
          <w:rStyle w:val="Refdenotaalpie"/>
          <w:rFonts w:ascii="Arial" w:hAnsi="Arial" w:cs="Arial"/>
          <w:color w:val="000000" w:themeColor="text1"/>
        </w:rPr>
        <w:footnoteReference w:id="3"/>
      </w:r>
      <w:r w:rsidRPr="003011D1">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2E162A9A" w14:textId="77777777" w:rsidR="004B3B91" w:rsidRPr="003011D1" w:rsidRDefault="004B3B91" w:rsidP="004B3B91">
      <w:pPr>
        <w:spacing w:before="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236D170F" w14:textId="77777777" w:rsidR="004B3B91" w:rsidRPr="003011D1" w:rsidRDefault="004B3B91" w:rsidP="004B3B91">
      <w:pPr>
        <w:pStyle w:val="Prrafodelista"/>
        <w:spacing w:line="276" w:lineRule="auto"/>
        <w:ind w:right="-425"/>
        <w:jc w:val="both"/>
        <w:rPr>
          <w:rFonts w:ascii="Arial" w:hAnsi="Arial" w:cs="Arial"/>
          <w:iCs/>
          <w:color w:val="000000" w:themeColor="text1"/>
          <w:sz w:val="22"/>
          <w:lang w:val="es-ES_tradnl"/>
        </w:rPr>
      </w:pPr>
    </w:p>
    <w:p w14:paraId="2B1A6E5F"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r w:rsidRPr="003011D1">
        <w:rPr>
          <w:rFonts w:ascii="Arial" w:hAnsi="Arial" w:cs="Arial"/>
          <w:iCs/>
          <w:color w:val="000000" w:themeColor="text1"/>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w:t>
      </w:r>
      <w:proofErr w:type="spellStart"/>
      <w:r w:rsidRPr="003011D1">
        <w:rPr>
          <w:rFonts w:ascii="Arial" w:hAnsi="Arial" w:cs="Arial"/>
          <w:iCs/>
          <w:color w:val="000000" w:themeColor="text1"/>
          <w:sz w:val="21"/>
          <w:szCs w:val="21"/>
          <w:lang w:val="es-ES_tradnl"/>
        </w:rPr>
        <w:t>lex</w:t>
      </w:r>
      <w:proofErr w:type="spellEnd"/>
      <w:r w:rsidRPr="003011D1">
        <w:rPr>
          <w:rFonts w:ascii="Arial" w:hAnsi="Arial" w:cs="Arial"/>
          <w:iCs/>
          <w:color w:val="000000" w:themeColor="text1"/>
          <w:sz w:val="21"/>
          <w:szCs w:val="21"/>
          <w:lang w:val="es-ES_tradnl"/>
        </w:rPr>
        <w:t xml:space="preserve"> previa–, para evitar la arbitrariedad y el abuso de poder</w:t>
      </w:r>
      <w:r w:rsidRPr="003011D1">
        <w:rPr>
          <w:rStyle w:val="Refdenotaalpie"/>
          <w:rFonts w:ascii="Arial" w:hAnsi="Arial" w:cs="Arial"/>
          <w:color w:val="000000" w:themeColor="text1"/>
        </w:rPr>
        <w:footnoteReference w:id="4"/>
      </w:r>
      <w:r w:rsidRPr="003011D1">
        <w:rPr>
          <w:rFonts w:ascii="Arial" w:hAnsi="Arial" w:cs="Arial"/>
          <w:iCs/>
          <w:color w:val="000000" w:themeColor="text1"/>
          <w:sz w:val="21"/>
          <w:szCs w:val="21"/>
          <w:lang w:val="es-ES_tradnl"/>
        </w:rPr>
        <w:t xml:space="preserve">. </w:t>
      </w:r>
    </w:p>
    <w:p w14:paraId="3008F6C6" w14:textId="77777777" w:rsidR="004B3B91" w:rsidRPr="003011D1" w:rsidRDefault="004B3B91" w:rsidP="004B3B91">
      <w:pPr>
        <w:ind w:left="709" w:right="758"/>
        <w:jc w:val="both"/>
        <w:rPr>
          <w:rFonts w:ascii="Arial" w:hAnsi="Arial" w:cs="Arial"/>
          <w:iCs/>
          <w:color w:val="000000" w:themeColor="text1"/>
          <w:sz w:val="21"/>
          <w:szCs w:val="21"/>
          <w:lang w:val="es-ES_tradnl"/>
        </w:rPr>
      </w:pPr>
    </w:p>
    <w:p w14:paraId="62EFCF9C" w14:textId="77777777" w:rsidR="004B3B91" w:rsidRPr="003011D1" w:rsidRDefault="004B3B91" w:rsidP="004B3B91">
      <w:pPr>
        <w:spacing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3011D1">
        <w:rPr>
          <w:rStyle w:val="Refdenotaalpie"/>
          <w:rFonts w:ascii="Arial" w:hAnsi="Arial" w:cs="Arial"/>
          <w:color w:val="000000" w:themeColor="text1"/>
        </w:rPr>
        <w:footnoteReference w:id="5"/>
      </w:r>
      <w:r w:rsidRPr="003011D1">
        <w:rPr>
          <w:rFonts w:ascii="Arial" w:hAnsi="Arial" w:cs="Arial"/>
          <w:iCs/>
          <w:color w:val="000000" w:themeColor="text1"/>
          <w:sz w:val="22"/>
          <w:lang w:val="es-ES_tradnl"/>
        </w:rPr>
        <w:t>. De otro lado, la Corte Constitucional</w:t>
      </w:r>
      <w:r w:rsidRPr="003011D1">
        <w:rPr>
          <w:rStyle w:val="Refdenotaalpie"/>
          <w:rFonts w:ascii="Arial" w:hAnsi="Arial" w:cs="Arial"/>
          <w:color w:val="000000" w:themeColor="text1"/>
        </w:rPr>
        <w:footnoteReference w:id="6"/>
      </w:r>
      <w:r w:rsidRPr="003011D1">
        <w:rPr>
          <w:rFonts w:ascii="Arial" w:hAnsi="Arial" w:cs="Arial"/>
          <w:iCs/>
          <w:color w:val="000000" w:themeColor="text1"/>
          <w:sz w:val="22"/>
          <w:lang w:val="es-ES_tradnl"/>
        </w:rPr>
        <w:t xml:space="preserve"> precisó que la tipicidad hacía referencia a «la exigencia de descripción específica y precisa por la norma </w:t>
      </w:r>
      <w:r w:rsidRPr="003011D1">
        <w:rPr>
          <w:rFonts w:ascii="Arial" w:hAnsi="Arial" w:cs="Arial"/>
          <w:iCs/>
          <w:color w:val="000000" w:themeColor="text1"/>
          <w:sz w:val="22"/>
          <w:lang w:val="es-ES_tradnl"/>
        </w:rPr>
        <w:lastRenderedPageBreak/>
        <w:t xml:space="preserve">creadora de las infracciones y de las sanciones, de las conductas que pueden ser sancionadas y del contenido material de las sanciones que puede imponerse por la comisión de cada conducta, así como la correlación entre unas y otras». </w:t>
      </w:r>
    </w:p>
    <w:p w14:paraId="24FC9107" w14:textId="77777777" w:rsidR="004B3B91" w:rsidRPr="003011D1" w:rsidRDefault="004B3B91" w:rsidP="004B3B91">
      <w:pPr>
        <w:spacing w:before="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3011D1">
        <w:rPr>
          <w:rStyle w:val="Refdenotaalpie"/>
          <w:rFonts w:ascii="Arial" w:hAnsi="Arial" w:cs="Arial"/>
          <w:color w:val="000000" w:themeColor="text1"/>
        </w:rPr>
        <w:footnoteReference w:id="7"/>
      </w:r>
      <w:r w:rsidRPr="003011D1">
        <w:rPr>
          <w:rFonts w:ascii="Arial" w:hAnsi="Arial" w:cs="Arial"/>
          <w:iCs/>
          <w:color w:val="000000" w:themeColor="text1"/>
          <w:sz w:val="22"/>
          <w:lang w:val="es-ES_tradnl"/>
        </w:rPr>
        <w:t>, en relación con las diferencias entre las multas y la cláusula penal, esto es: «[a]</w:t>
      </w:r>
      <w:proofErr w:type="spellStart"/>
      <w:r w:rsidRPr="003011D1">
        <w:rPr>
          <w:rFonts w:ascii="Arial" w:hAnsi="Arial" w:cs="Arial"/>
          <w:iCs/>
          <w:color w:val="000000" w:themeColor="text1"/>
          <w:sz w:val="22"/>
          <w:lang w:val="es-ES_tradnl"/>
        </w:rPr>
        <w:t>unque</w:t>
      </w:r>
      <w:proofErr w:type="spellEnd"/>
      <w:r w:rsidRPr="003011D1">
        <w:rPr>
          <w:rFonts w:ascii="Arial" w:hAnsi="Arial" w:cs="Arial"/>
          <w:iCs/>
          <w:color w:val="000000" w:themeColor="text1"/>
          <w:sz w:val="22"/>
          <w:lang w:val="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3011D1">
        <w:rPr>
          <w:rStyle w:val="Refdenotaalpie"/>
          <w:rFonts w:ascii="Arial" w:hAnsi="Arial" w:cs="Arial"/>
          <w:color w:val="000000" w:themeColor="text1"/>
        </w:rPr>
        <w:footnoteReference w:id="8"/>
      </w:r>
      <w:r w:rsidRPr="003011D1">
        <w:rPr>
          <w:rFonts w:ascii="Arial" w:hAnsi="Arial" w:cs="Arial"/>
          <w:iCs/>
          <w:color w:val="000000" w:themeColor="text1"/>
          <w:sz w:val="22"/>
          <w:lang w:val="es-ES_tradnl"/>
        </w:rPr>
        <w:t>.</w:t>
      </w:r>
    </w:p>
    <w:p w14:paraId="08548EF7" w14:textId="77777777" w:rsidR="004B3B91" w:rsidRPr="003011D1" w:rsidRDefault="004B3B91" w:rsidP="004B3B91">
      <w:pPr>
        <w:spacing w:before="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Estudiadas las cláusulas excepcionales de caducidad y terminación unilateral, así como la potestad de </w:t>
      </w:r>
      <w:r w:rsidRPr="003011D1">
        <w:rPr>
          <w:rFonts w:ascii="Arial" w:hAnsi="Arial" w:cs="Arial"/>
          <w:i/>
          <w:color w:val="000000" w:themeColor="text1"/>
          <w:sz w:val="22"/>
          <w:lang w:val="es-ES_tradnl"/>
        </w:rPr>
        <w:t xml:space="preserve">imposición unilateral </w:t>
      </w:r>
      <w:r w:rsidRPr="003011D1">
        <w:rPr>
          <w:rFonts w:ascii="Arial" w:hAnsi="Arial" w:cs="Arial"/>
          <w:iCs/>
          <w:color w:val="000000" w:themeColor="text1"/>
          <w:sz w:val="22"/>
          <w:lang w:val="es-ES_tradnl"/>
        </w:rPr>
        <w:t>de multas y la cláusula penal, corresponde analizar algunos aspectos del procedimiento administrativo sancionatorio contractual establecido en el artículo 86 de la Ley 1474 de 2011, con la finalidad de resolver la consulta.</w:t>
      </w:r>
    </w:p>
    <w:p w14:paraId="2EFD4FE8" w14:textId="77777777" w:rsidR="004B3B91" w:rsidRPr="003011D1" w:rsidRDefault="004B3B91" w:rsidP="004B3B91">
      <w:pPr>
        <w:spacing w:line="276" w:lineRule="auto"/>
        <w:ind w:firstLine="709"/>
        <w:jc w:val="both"/>
        <w:rPr>
          <w:rFonts w:ascii="Arial" w:hAnsi="Arial" w:cs="Arial"/>
          <w:iCs/>
          <w:color w:val="000000" w:themeColor="text1"/>
          <w:sz w:val="22"/>
          <w:lang w:val="es-ES_tradnl"/>
        </w:rPr>
      </w:pPr>
    </w:p>
    <w:p w14:paraId="46EF3745" w14:textId="77777777" w:rsidR="004B3B91" w:rsidRPr="003011D1" w:rsidRDefault="004B3B91" w:rsidP="004B3B91">
      <w:pPr>
        <w:spacing w:line="276" w:lineRule="auto"/>
        <w:jc w:val="both"/>
        <w:rPr>
          <w:rFonts w:ascii="Arial" w:hAnsi="Arial" w:cs="Arial"/>
          <w:b/>
          <w:bCs/>
          <w:iCs/>
          <w:color w:val="000000" w:themeColor="text1"/>
          <w:sz w:val="22"/>
          <w:lang w:val="es-ES_tradnl"/>
        </w:rPr>
      </w:pPr>
      <w:r w:rsidRPr="003011D1">
        <w:rPr>
          <w:rFonts w:ascii="Arial" w:hAnsi="Arial" w:cs="Arial"/>
          <w:b/>
          <w:bCs/>
          <w:iCs/>
          <w:color w:val="000000" w:themeColor="text1"/>
          <w:sz w:val="22"/>
          <w:lang w:val="es-ES_tradnl"/>
        </w:rPr>
        <w:t>2.2. Procedimiento administrativo sancionatorio contractual: artículo 86 de la Ley 1474 de 2011</w:t>
      </w:r>
    </w:p>
    <w:p w14:paraId="6228308D" w14:textId="77777777" w:rsidR="004B3B91" w:rsidRPr="003011D1" w:rsidRDefault="004B3B91" w:rsidP="004B3B91">
      <w:pPr>
        <w:spacing w:line="276" w:lineRule="auto"/>
        <w:ind w:firstLine="709"/>
        <w:jc w:val="both"/>
        <w:rPr>
          <w:rFonts w:ascii="Arial" w:hAnsi="Arial" w:cs="Arial"/>
          <w:b/>
          <w:bCs/>
          <w:iCs/>
          <w:color w:val="000000" w:themeColor="text1"/>
          <w:sz w:val="22"/>
          <w:lang w:val="es-ES_tradnl"/>
        </w:rPr>
      </w:pPr>
    </w:p>
    <w:p w14:paraId="3ADB6CEF" w14:textId="77777777" w:rsidR="004B3B91" w:rsidRPr="003011D1" w:rsidRDefault="004B3B91" w:rsidP="004B3B91">
      <w:pPr>
        <w:spacing w:after="120" w:line="276" w:lineRule="auto"/>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0EEEF341" w14:textId="77777777" w:rsidR="004B3B91" w:rsidRPr="003011D1" w:rsidRDefault="004B3B91" w:rsidP="004B3B91">
      <w:pPr>
        <w:spacing w:after="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 xml:space="preserve">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w:t>
      </w:r>
      <w:r w:rsidRPr="003011D1">
        <w:rPr>
          <w:rFonts w:ascii="Arial" w:hAnsi="Arial" w:cs="Arial"/>
          <w:iCs/>
          <w:color w:val="000000" w:themeColor="text1"/>
          <w:sz w:val="22"/>
          <w:lang w:val="es-ES_tradnl"/>
        </w:rPr>
        <w:lastRenderedPageBreak/>
        <w:t>no distingue, no le corresponde distinguir al intérprete»</w:t>
      </w:r>
      <w:r w:rsidRPr="003011D1">
        <w:rPr>
          <w:rStyle w:val="Refdenotaalpie"/>
          <w:rFonts w:ascii="Arial" w:hAnsi="Arial" w:cs="Arial"/>
          <w:color w:val="000000" w:themeColor="text1"/>
        </w:rPr>
        <w:footnoteReference w:id="9"/>
      </w:r>
      <w:r w:rsidRPr="003011D1">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7FF6C3B3" w14:textId="77777777" w:rsidR="004B3B91" w:rsidRPr="003011D1" w:rsidRDefault="004B3B91" w:rsidP="004B3B91">
      <w:pPr>
        <w:spacing w:after="120" w:line="276" w:lineRule="auto"/>
        <w:ind w:firstLine="709"/>
        <w:jc w:val="both"/>
        <w:rPr>
          <w:rFonts w:ascii="Arial" w:hAnsi="Arial" w:cs="Arial"/>
          <w:iCs/>
          <w:color w:val="000000" w:themeColor="text1"/>
          <w:sz w:val="22"/>
          <w:lang w:val="es-ES_tradnl"/>
        </w:rPr>
      </w:pPr>
      <w:r w:rsidRPr="003011D1">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3011D1">
        <w:rPr>
          <w:rFonts w:ascii="Arial" w:hAnsi="Arial" w:cs="Arial"/>
          <w:i/>
          <w:iCs/>
          <w:color w:val="000000" w:themeColor="text1"/>
          <w:sz w:val="22"/>
          <w:lang w:val="es-ES_tradnl"/>
        </w:rPr>
        <w:t>itación a audiencia</w:t>
      </w:r>
      <w:r w:rsidRPr="003011D1">
        <w:rPr>
          <w:rFonts w:ascii="Arial" w:hAnsi="Arial" w:cs="Arial"/>
          <w:iCs/>
          <w:color w:val="000000" w:themeColor="text1"/>
          <w:sz w:val="22"/>
          <w:lang w:val="es-ES_tradnl"/>
        </w:rPr>
        <w:t xml:space="preserve">. Es necesario remitir una citación a audiencia al contratista y al garante –cuando proceda–, cuyo contenido de señalará más adelante. ii) </w:t>
      </w:r>
      <w:r w:rsidRPr="003011D1">
        <w:rPr>
          <w:rFonts w:ascii="Arial" w:hAnsi="Arial" w:cs="Arial"/>
          <w:i/>
          <w:iCs/>
          <w:color w:val="000000" w:themeColor="text1"/>
          <w:sz w:val="22"/>
          <w:lang w:val="es-ES_tradnl"/>
        </w:rPr>
        <w:t>Audiencia</w:t>
      </w:r>
      <w:r w:rsidRPr="003011D1">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3011D1">
        <w:rPr>
          <w:rFonts w:ascii="Arial" w:hAnsi="Arial" w:cs="Arial"/>
          <w:i/>
          <w:iCs/>
          <w:color w:val="000000" w:themeColor="text1"/>
          <w:sz w:val="22"/>
          <w:lang w:val="es-ES_tradnl"/>
        </w:rPr>
        <w:t>Decisión</w:t>
      </w:r>
      <w:r w:rsidRPr="003011D1">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38BEA7FC" w14:textId="77777777" w:rsidR="004B3B91" w:rsidRPr="003011D1" w:rsidRDefault="004B3B91" w:rsidP="004B3B91">
      <w:pPr>
        <w:spacing w:line="276" w:lineRule="auto"/>
        <w:ind w:firstLine="709"/>
        <w:jc w:val="both"/>
        <w:rPr>
          <w:rFonts w:ascii="Arial" w:eastAsia="Calibri" w:hAnsi="Arial" w:cs="Arial"/>
          <w:color w:val="000000" w:themeColor="text1"/>
          <w:sz w:val="22"/>
          <w:lang w:val="es-ES_tradnl"/>
        </w:rPr>
      </w:pPr>
      <w:r w:rsidRPr="003011D1">
        <w:rPr>
          <w:rFonts w:ascii="Arial" w:hAnsi="Arial" w:cs="Arial"/>
          <w:iCs/>
          <w:color w:val="000000" w:themeColor="text1"/>
          <w:sz w:val="22"/>
          <w:lang w:val="es-ES_tradnl"/>
        </w:rPr>
        <w:t>Como precisión previa, vale la pena aclarar que e</w:t>
      </w:r>
      <w:r w:rsidRPr="003011D1">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3011D1">
        <w:rPr>
          <w:rStyle w:val="Refdenotaalpie"/>
          <w:rFonts w:ascii="Arial" w:eastAsia="Calibri" w:hAnsi="Arial" w:cs="Arial"/>
          <w:color w:val="000000" w:themeColor="text1"/>
        </w:rPr>
        <w:footnoteReference w:id="10"/>
      </w:r>
      <w:r w:rsidRPr="003011D1">
        <w:rPr>
          <w:rFonts w:ascii="Arial" w:eastAsia="Calibri" w:hAnsi="Arial" w:cs="Arial"/>
          <w:color w:val="000000" w:themeColor="text1"/>
          <w:sz w:val="22"/>
          <w:lang w:val="es-ES_tradnl"/>
        </w:rPr>
        <w:t xml:space="preserve">. De ahí que las entidades de </w:t>
      </w:r>
      <w:r w:rsidRPr="003011D1">
        <w:rPr>
          <w:rFonts w:ascii="Arial" w:eastAsia="Calibri" w:hAnsi="Arial" w:cs="Arial"/>
          <w:i/>
          <w:iCs/>
          <w:color w:val="000000" w:themeColor="text1"/>
          <w:sz w:val="22"/>
          <w:lang w:val="es-ES_tradnl"/>
        </w:rPr>
        <w:t>régimen especial</w:t>
      </w:r>
      <w:r w:rsidRPr="003011D1">
        <w:rPr>
          <w:rStyle w:val="Refdenotaalpie"/>
          <w:rFonts w:ascii="Arial" w:eastAsia="Calibri" w:hAnsi="Arial" w:cs="Arial"/>
          <w:color w:val="000000" w:themeColor="text1"/>
        </w:rPr>
        <w:footnoteReference w:id="11"/>
      </w:r>
      <w:r w:rsidRPr="003011D1">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3011D1">
        <w:rPr>
          <w:rStyle w:val="Refdenotaalpie"/>
          <w:rFonts w:ascii="Arial" w:eastAsia="Calibri" w:hAnsi="Arial" w:cs="Arial"/>
          <w:color w:val="000000" w:themeColor="text1"/>
        </w:rPr>
        <w:footnoteReference w:id="12"/>
      </w:r>
      <w:r w:rsidRPr="003011D1">
        <w:rPr>
          <w:rFonts w:ascii="Arial" w:eastAsia="Calibri" w:hAnsi="Arial" w:cs="Arial"/>
          <w:color w:val="000000" w:themeColor="text1"/>
          <w:sz w:val="22"/>
          <w:lang w:val="es-ES_tradnl"/>
        </w:rPr>
        <w:t>. La norma indicada desarrolla el procedimiento de la siguiente manera:</w:t>
      </w:r>
    </w:p>
    <w:p w14:paraId="053F2F10" w14:textId="77777777" w:rsidR="004B3B91" w:rsidRPr="003011D1" w:rsidRDefault="004B3B91" w:rsidP="004B3B91">
      <w:pPr>
        <w:spacing w:line="276" w:lineRule="auto"/>
        <w:ind w:right="142" w:firstLine="709"/>
        <w:jc w:val="both"/>
        <w:rPr>
          <w:rFonts w:ascii="Arial" w:eastAsia="Calibri" w:hAnsi="Arial" w:cs="Arial"/>
          <w:color w:val="000000" w:themeColor="text1"/>
          <w:sz w:val="22"/>
          <w:lang w:val="es-ES_tradnl"/>
        </w:rPr>
      </w:pPr>
    </w:p>
    <w:p w14:paraId="63FD3B59"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bookmarkStart w:id="4" w:name="86"/>
      <w:r w:rsidRPr="003011D1">
        <w:rPr>
          <w:rFonts w:ascii="Arial" w:hAnsi="Arial" w:cs="Arial"/>
          <w:iCs/>
          <w:color w:val="000000" w:themeColor="text1"/>
          <w:sz w:val="21"/>
          <w:szCs w:val="21"/>
          <w:lang w:val="es-ES_tradnl"/>
        </w:rPr>
        <w:t>Artículo 86. Imposición de multas, sanciones y declaratorias de incumplimiento.</w:t>
      </w:r>
      <w:bookmarkEnd w:id="4"/>
      <w:r w:rsidRPr="003011D1">
        <w:rPr>
          <w:rFonts w:ascii="Arial" w:hAnsi="Arial" w:cs="Arial"/>
          <w:iCs/>
          <w:color w:val="000000" w:themeColor="text1"/>
          <w:sz w:val="21"/>
          <w:szCs w:val="21"/>
          <w:lang w:val="es-ES_tradnl"/>
        </w:rPr>
        <w:t xml:space="preserve"> Las entidades sometidas al Estatuto General de Contratación de la Administración Pública podrán declarar el incumplimiento, cuantificando los </w:t>
      </w:r>
      <w:r w:rsidRPr="003011D1">
        <w:rPr>
          <w:rFonts w:ascii="Arial" w:hAnsi="Arial" w:cs="Arial"/>
          <w:iCs/>
          <w:color w:val="000000" w:themeColor="text1"/>
          <w:sz w:val="21"/>
          <w:szCs w:val="21"/>
          <w:lang w:val="es-ES_tradnl"/>
        </w:rPr>
        <w:lastRenderedPageBreak/>
        <w:t>perjuicios del mismo, imponer las multas y sanciones pactadas en el contrato, y hacer efectiva la cláusula penal. Para tal efecto observarán el siguiente procedimiento:</w:t>
      </w:r>
    </w:p>
    <w:p w14:paraId="04DAAA90"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p>
    <w:p w14:paraId="53CE18FF"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r w:rsidRPr="003011D1">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24A1E1CE" w14:textId="77777777" w:rsidR="004B3B91" w:rsidRPr="003011D1" w:rsidRDefault="004B3B91" w:rsidP="004B3B91">
      <w:pPr>
        <w:pStyle w:val="Prrafodelista"/>
        <w:ind w:left="709" w:right="709"/>
        <w:jc w:val="both"/>
        <w:rPr>
          <w:rFonts w:ascii="Arial" w:hAnsi="Arial" w:cs="Arial"/>
          <w:color w:val="000000" w:themeColor="text1"/>
          <w:lang w:val="es-ES_tradnl"/>
        </w:rPr>
      </w:pPr>
    </w:p>
    <w:p w14:paraId="71605647"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r w:rsidRPr="003011D1">
        <w:rPr>
          <w:rFonts w:ascii="Arial" w:hAnsi="Arial" w:cs="Arial"/>
          <w:iCs/>
          <w:color w:val="000000" w:themeColor="text1"/>
          <w:sz w:val="21"/>
          <w:szCs w:val="21"/>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7DAD5B6"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p>
    <w:p w14:paraId="41455A98"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r w:rsidRPr="003011D1">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1CB14AE5"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p>
    <w:p w14:paraId="5892E637" w14:textId="77777777" w:rsidR="004B3B91" w:rsidRPr="003011D1" w:rsidRDefault="004B3B91" w:rsidP="004B3B91">
      <w:pPr>
        <w:pStyle w:val="Prrafodelista"/>
        <w:ind w:left="709" w:right="709"/>
        <w:jc w:val="both"/>
        <w:rPr>
          <w:rFonts w:ascii="Arial" w:hAnsi="Arial" w:cs="Arial"/>
          <w:iCs/>
          <w:color w:val="000000" w:themeColor="text1"/>
          <w:sz w:val="21"/>
          <w:szCs w:val="21"/>
          <w:lang w:val="es-ES_tradnl"/>
        </w:rPr>
      </w:pPr>
      <w:r w:rsidRPr="003011D1">
        <w:rPr>
          <w:rFonts w:ascii="Arial" w:hAnsi="Arial" w:cs="Arial"/>
          <w:iCs/>
          <w:color w:val="000000" w:themeColor="text1"/>
          <w:sz w:val="21"/>
          <w:szCs w:val="21"/>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1696C092" w14:textId="77777777" w:rsidR="004B3B91" w:rsidRPr="003011D1" w:rsidRDefault="004B3B91" w:rsidP="004B3B91">
      <w:pPr>
        <w:spacing w:line="276" w:lineRule="auto"/>
        <w:ind w:right="142"/>
        <w:jc w:val="both"/>
        <w:rPr>
          <w:rFonts w:ascii="Arial" w:eastAsia="Calibri" w:hAnsi="Arial" w:cs="Arial"/>
          <w:color w:val="000000" w:themeColor="text1"/>
          <w:sz w:val="22"/>
          <w:lang w:val="es-ES_tradnl"/>
        </w:rPr>
      </w:pPr>
    </w:p>
    <w:p w14:paraId="30666CCB" w14:textId="77777777" w:rsidR="004B3B91" w:rsidRPr="003011D1" w:rsidRDefault="004B3B91" w:rsidP="004B3B91">
      <w:pPr>
        <w:spacing w:after="120"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3011D1">
        <w:rPr>
          <w:rFonts w:ascii="Arial" w:eastAsia="Calibri" w:hAnsi="Arial" w:cs="Arial"/>
          <w:i/>
          <w:iCs/>
          <w:color w:val="000000" w:themeColor="text1"/>
          <w:sz w:val="22"/>
          <w:lang w:val="es-ES_tradnl"/>
        </w:rPr>
        <w:t>hechos</w:t>
      </w:r>
      <w:r w:rsidRPr="003011D1">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ii) adjuntar los </w:t>
      </w:r>
      <w:r w:rsidRPr="003011D1">
        <w:rPr>
          <w:rFonts w:ascii="Arial" w:eastAsia="Calibri" w:hAnsi="Arial" w:cs="Arial"/>
          <w:color w:val="000000" w:themeColor="text1"/>
          <w:sz w:val="22"/>
          <w:lang w:val="es-ES_tradnl"/>
        </w:rPr>
        <w:lastRenderedPageBreak/>
        <w:t>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r w:rsidRPr="003011D1">
        <w:rPr>
          <w:rStyle w:val="Refdenotaalpie"/>
          <w:rFonts w:ascii="Arial" w:eastAsia="Calibri" w:hAnsi="Arial" w:cs="Arial"/>
          <w:color w:val="000000" w:themeColor="text1"/>
        </w:rPr>
        <w:footnoteReference w:id="13"/>
      </w:r>
      <w:r w:rsidRPr="003011D1">
        <w:rPr>
          <w:rFonts w:ascii="Arial" w:eastAsia="Calibri" w:hAnsi="Arial" w:cs="Arial"/>
          <w:color w:val="000000" w:themeColor="text1"/>
          <w:sz w:val="22"/>
          <w:lang w:val="es-ES_tradnl"/>
        </w:rPr>
        <w:t>.</w:t>
      </w:r>
    </w:p>
    <w:p w14:paraId="646873B9" w14:textId="77777777" w:rsidR="004B3B91" w:rsidRPr="003011D1" w:rsidRDefault="004B3B91" w:rsidP="004B3B91">
      <w:pPr>
        <w:spacing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3011D1">
        <w:rPr>
          <w:rStyle w:val="Refdenotaalpie"/>
          <w:rFonts w:ascii="Arial" w:eastAsia="Calibri" w:hAnsi="Arial" w:cs="Arial"/>
          <w:color w:val="000000" w:themeColor="text1"/>
        </w:rPr>
        <w:footnoteReference w:id="14"/>
      </w:r>
      <w:r w:rsidRPr="003011D1">
        <w:rPr>
          <w:rFonts w:ascii="Arial" w:eastAsia="Calibri" w:hAnsi="Arial" w:cs="Arial"/>
          <w:color w:val="000000" w:themeColor="text1"/>
          <w:sz w:val="22"/>
          <w:lang w:val="es-ES_tradnl"/>
        </w:rPr>
        <w:t>.</w:t>
      </w:r>
    </w:p>
    <w:p w14:paraId="162C6118" w14:textId="77777777" w:rsidR="004B3B91" w:rsidRPr="003011D1" w:rsidRDefault="004B3B91" w:rsidP="004B3B91">
      <w:pPr>
        <w:spacing w:line="276" w:lineRule="auto"/>
        <w:jc w:val="both"/>
        <w:rPr>
          <w:rFonts w:ascii="Arial" w:eastAsia="Calibri" w:hAnsi="Arial" w:cs="Arial"/>
          <w:color w:val="000000" w:themeColor="text1"/>
          <w:sz w:val="22"/>
          <w:lang w:val="es-ES_tradnl"/>
        </w:rPr>
      </w:pPr>
    </w:p>
    <w:p w14:paraId="3F9583E0" w14:textId="77777777" w:rsidR="004B3B91" w:rsidRPr="003011D1" w:rsidRDefault="004B3B91" w:rsidP="004B3B91">
      <w:pPr>
        <w:spacing w:line="276" w:lineRule="auto"/>
        <w:jc w:val="both"/>
        <w:rPr>
          <w:rFonts w:ascii="Arial" w:hAnsi="Arial" w:cs="Arial"/>
          <w:b/>
          <w:bCs/>
          <w:iCs/>
          <w:color w:val="000000" w:themeColor="text1"/>
          <w:sz w:val="22"/>
          <w:lang w:val="es-ES_tradnl"/>
        </w:rPr>
      </w:pPr>
      <w:r w:rsidRPr="003011D1">
        <w:rPr>
          <w:rFonts w:ascii="Arial" w:hAnsi="Arial" w:cs="Arial"/>
          <w:b/>
          <w:bCs/>
          <w:iCs/>
          <w:color w:val="000000" w:themeColor="text1"/>
          <w:sz w:val="22"/>
          <w:lang w:val="es-ES_tradnl"/>
        </w:rPr>
        <w:t>2.3. Alcance del artículo 58 de la Ley 2195 de 2022: reducción de puntaje por incumplimiento de contratos estatales</w:t>
      </w:r>
    </w:p>
    <w:p w14:paraId="65F0FE04" w14:textId="77777777" w:rsidR="004B3B91" w:rsidRPr="003011D1" w:rsidRDefault="004B3B91" w:rsidP="004B3B91">
      <w:pPr>
        <w:spacing w:line="276" w:lineRule="auto"/>
        <w:jc w:val="both"/>
        <w:rPr>
          <w:rFonts w:ascii="Arial" w:eastAsia="Calibri" w:hAnsi="Arial" w:cs="Arial"/>
          <w:color w:val="000000" w:themeColor="text1"/>
          <w:sz w:val="22"/>
          <w:lang w:val="es-ES_tradnl"/>
        </w:rPr>
      </w:pPr>
    </w:p>
    <w:p w14:paraId="74B759D9" w14:textId="2A2C636A" w:rsidR="004A24E3" w:rsidRPr="003011D1" w:rsidRDefault="004B3B91" w:rsidP="003D34C7">
      <w:pPr>
        <w:shd w:val="clear" w:color="auto" w:fill="FFFFFF"/>
        <w:spacing w:line="276" w:lineRule="auto"/>
        <w:jc w:val="both"/>
        <w:rPr>
          <w:rFonts w:ascii="Arial" w:hAnsi="Arial" w:cs="Arial"/>
          <w:color w:val="000000" w:themeColor="text1"/>
          <w:sz w:val="22"/>
          <w:szCs w:val="22"/>
          <w:lang w:val="es-ES_tradnl" w:eastAsia="es-ES"/>
        </w:rPr>
      </w:pPr>
      <w:r w:rsidRPr="003011D1">
        <w:rPr>
          <w:rFonts w:ascii="Arial" w:eastAsia="Calibri" w:hAnsi="Arial" w:cs="Arial"/>
          <w:color w:val="000000" w:themeColor="text1"/>
          <w:sz w:val="22"/>
          <w:szCs w:val="22"/>
          <w:lang w:val="es-ES_tradnl"/>
        </w:rPr>
        <w:lastRenderedPageBreak/>
        <w:t>La Ley 2195 de 2022, como lo establece su artículo 1, «</w:t>
      </w:r>
      <w:r w:rsidRPr="003011D1">
        <w:rPr>
          <w:rFonts w:ascii="Arial" w:hAnsi="Arial" w:cs="Arial"/>
          <w:color w:val="000000" w:themeColor="text1"/>
          <w:sz w:val="22"/>
          <w:szCs w:val="22"/>
          <w:lang w:val="es-ES_tradnl"/>
        </w:rPr>
        <w:t xml:space="preserve">[…] </w:t>
      </w:r>
      <w:r w:rsidRPr="003011D1">
        <w:rPr>
          <w:rFonts w:ascii="Arial" w:eastAsia="Calibri" w:hAnsi="Arial" w:cs="Arial"/>
          <w:color w:val="000000" w:themeColor="text1"/>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(sic)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3011D1">
        <w:rPr>
          <w:rFonts w:ascii="Arial" w:eastAsia="Calibri" w:hAnsi="Arial" w:cs="Arial"/>
          <w:i/>
          <w:iCs/>
          <w:color w:val="000000" w:themeColor="text1"/>
          <w:sz w:val="22"/>
          <w:szCs w:val="22"/>
          <w:lang w:val="es-ES_tradnl"/>
        </w:rPr>
        <w:t>no</w:t>
      </w:r>
      <w:r w:rsidRPr="003011D1">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r w:rsidR="004A24E3" w:rsidRPr="003011D1">
        <w:rPr>
          <w:rFonts w:ascii="Arial" w:hAnsi="Arial" w:cs="Arial"/>
          <w:color w:val="000000" w:themeColor="text1"/>
          <w:sz w:val="22"/>
          <w:szCs w:val="22"/>
          <w:lang w:val="es-ES_tradnl" w:eastAsia="es-ES"/>
        </w:rPr>
        <w:t xml:space="preserve"> Para entender la finalidad del Capítulo VIII, se exponen los antecedentes normativos, contenida en la exposición de motivos: </w:t>
      </w:r>
    </w:p>
    <w:p w14:paraId="03EEB599" w14:textId="77777777" w:rsidR="004A24E3" w:rsidRPr="003011D1" w:rsidRDefault="004A24E3" w:rsidP="003D34C7">
      <w:pPr>
        <w:shd w:val="clear" w:color="auto" w:fill="FFFFFF"/>
        <w:spacing w:line="276" w:lineRule="auto"/>
        <w:jc w:val="both"/>
        <w:rPr>
          <w:rFonts w:ascii="Arial" w:hAnsi="Arial" w:cs="Arial"/>
          <w:color w:val="000000" w:themeColor="text1"/>
          <w:sz w:val="22"/>
          <w:szCs w:val="22"/>
          <w:lang w:val="es-ES_tradnl" w:eastAsia="es-ES"/>
        </w:rPr>
      </w:pPr>
    </w:p>
    <w:p w14:paraId="247AF788" w14:textId="4DBA87B7" w:rsidR="004A24E3" w:rsidRPr="003011D1" w:rsidRDefault="004A24E3" w:rsidP="003D34C7">
      <w:pPr>
        <w:shd w:val="clear" w:color="auto" w:fill="FFFFFF"/>
        <w:spacing w:line="276" w:lineRule="auto"/>
        <w:ind w:left="709" w:right="709"/>
        <w:jc w:val="both"/>
        <w:rPr>
          <w:rFonts w:ascii="Arial" w:hAnsi="Arial" w:cs="Arial"/>
          <w:color w:val="000000" w:themeColor="text1"/>
          <w:sz w:val="21"/>
          <w:szCs w:val="21"/>
          <w:lang w:val="es-ES_tradnl" w:eastAsia="es-ES"/>
        </w:rPr>
      </w:pPr>
      <w:r w:rsidRPr="003011D1">
        <w:rPr>
          <w:rFonts w:ascii="Arial" w:hAnsi="Arial" w:cs="Arial"/>
          <w:color w:val="000000" w:themeColor="text1"/>
          <w:sz w:val="21"/>
          <w:szCs w:val="21"/>
          <w:lang w:val="es-ES_tradnl" w:eastAsia="es-ES"/>
        </w:rPr>
        <w:t>La experiencia demuestra que no bastan sanciones económicas, disciplinarias, fiscales o penales, sino que es necesario exaltar una verdadera política pública de prevención en el ejercicio de la actividad contractual y de la gestión pública. Por eso, este proyecto propone el fortalecimiento de algunas disposiciones jurídicas que promuevan la gestión contractual del Estado y faciliten los mecanismos de prevención de la corrupción en esa materia</w:t>
      </w:r>
      <w:r w:rsidRPr="003011D1">
        <w:rPr>
          <w:rFonts w:ascii="Arial" w:hAnsi="Arial" w:cs="Arial"/>
          <w:color w:val="000000" w:themeColor="text1"/>
          <w:sz w:val="21"/>
          <w:szCs w:val="21"/>
          <w:vertAlign w:val="superscript"/>
          <w:lang w:val="es-ES_tradnl" w:eastAsia="es-ES"/>
        </w:rPr>
        <w:footnoteReference w:id="15"/>
      </w:r>
      <w:r w:rsidRPr="003011D1">
        <w:rPr>
          <w:rFonts w:ascii="Arial" w:hAnsi="Arial" w:cs="Arial"/>
          <w:color w:val="000000" w:themeColor="text1"/>
          <w:sz w:val="21"/>
          <w:szCs w:val="21"/>
          <w:lang w:val="es-ES_tradnl" w:eastAsia="es-ES"/>
        </w:rPr>
        <w:t xml:space="preserve">. </w:t>
      </w:r>
    </w:p>
    <w:p w14:paraId="07F5530D" w14:textId="77777777" w:rsidR="004A24E3" w:rsidRPr="003011D1" w:rsidRDefault="004A24E3">
      <w:pPr>
        <w:shd w:val="clear" w:color="auto" w:fill="FFFFFF"/>
        <w:spacing w:after="120" w:line="276" w:lineRule="auto"/>
        <w:ind w:left="709" w:right="709"/>
        <w:jc w:val="both"/>
        <w:rPr>
          <w:rFonts w:ascii="Arial" w:hAnsi="Arial" w:cs="Arial"/>
          <w:color w:val="000000" w:themeColor="text1"/>
          <w:sz w:val="21"/>
          <w:szCs w:val="21"/>
          <w:lang w:val="es-ES_tradnl" w:eastAsia="es-ES"/>
        </w:rPr>
      </w:pPr>
    </w:p>
    <w:p w14:paraId="6953BB2E" w14:textId="5BAEEFCE" w:rsidR="004B3B91" w:rsidRPr="003011D1" w:rsidRDefault="004A24E3" w:rsidP="003D34C7">
      <w:pPr>
        <w:spacing w:line="276" w:lineRule="auto"/>
        <w:ind w:firstLine="709"/>
        <w:jc w:val="both"/>
        <w:rPr>
          <w:rFonts w:ascii="Arial" w:eastAsia="Calibri" w:hAnsi="Arial" w:cs="Arial"/>
          <w:color w:val="000000" w:themeColor="text1"/>
          <w:sz w:val="22"/>
          <w:szCs w:val="22"/>
          <w:lang w:val="es-ES_tradnl"/>
        </w:rPr>
      </w:pPr>
      <w:r w:rsidRPr="003011D1">
        <w:rPr>
          <w:rFonts w:ascii="Arial" w:hAnsi="Arial" w:cs="Arial"/>
          <w:color w:val="000000" w:themeColor="text1"/>
          <w:sz w:val="22"/>
          <w:szCs w:val="22"/>
          <w:lang w:val="es-ES_tradnl" w:eastAsia="es-ES"/>
        </w:rPr>
        <w:t xml:space="preserve">En este contexto, el Capítulo VIII busca establecer herramientas para la lucha contra la corrupción y la salvaguarda de la transparencia en la gestión contractual. En tal sentido, </w:t>
      </w:r>
      <w:r w:rsidRPr="003011D1">
        <w:rPr>
          <w:rFonts w:ascii="Arial" w:eastAsia="Calibri" w:hAnsi="Arial" w:cs="Arial"/>
          <w:color w:val="000000" w:themeColor="text1"/>
          <w:sz w:val="22"/>
          <w:szCs w:val="22"/>
          <w:lang w:val="es-ES_tradnl"/>
        </w:rPr>
        <w:t>l</w:t>
      </w:r>
      <w:r w:rsidR="004B3B91" w:rsidRPr="003011D1">
        <w:rPr>
          <w:rFonts w:ascii="Arial" w:eastAsia="Calibri" w:hAnsi="Arial" w:cs="Arial"/>
          <w:color w:val="000000" w:themeColor="text1"/>
          <w:sz w:val="22"/>
          <w:szCs w:val="22"/>
          <w:lang w:val="es-ES_tradnl"/>
        </w:rPr>
        <w:t>a consulta que se estudia en esta oportunidad tiene que ver, precisamente, con el último aspecto señalado, es decir, con la reducción del puntaje ordenada por el artículo 58 de la Ley 2195 de 2022. Esta norma dispone:</w:t>
      </w:r>
    </w:p>
    <w:p w14:paraId="4C40B352" w14:textId="77777777" w:rsidR="004B3B91" w:rsidRPr="003011D1" w:rsidRDefault="004B3B91" w:rsidP="004B3B91">
      <w:pPr>
        <w:ind w:left="709" w:right="709"/>
        <w:jc w:val="both"/>
        <w:rPr>
          <w:rFonts w:ascii="Arial" w:eastAsia="Calibri" w:hAnsi="Arial" w:cs="Arial"/>
          <w:color w:val="000000" w:themeColor="text1"/>
          <w:sz w:val="19"/>
          <w:szCs w:val="19"/>
          <w:lang w:val="es-ES_tradnl"/>
        </w:rPr>
      </w:pPr>
    </w:p>
    <w:p w14:paraId="692C21EF"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r w:rsidRPr="003011D1">
        <w:rPr>
          <w:rFonts w:ascii="Arial" w:eastAsia="Calibri" w:hAnsi="Arial" w:cs="Arial"/>
          <w:color w:val="000000" w:themeColor="text1"/>
          <w:sz w:val="21"/>
          <w:szCs w:val="21"/>
          <w:lang w:val="es-ES_tradnl"/>
        </w:rPr>
        <w:t xml:space="preserve">Las entidades estatales sometidas al Estatuto General de Contratación de la Administración Pública que adelanten cualquier Proceso de Contratación, exceptuando los supuestos establecidos en el literal a) del numeral 2 del artículo </w:t>
      </w:r>
      <w:r w:rsidRPr="003011D1">
        <w:rPr>
          <w:rFonts w:ascii="Arial" w:eastAsia="Calibri" w:hAnsi="Arial" w:cs="Arial"/>
          <w:color w:val="000000" w:themeColor="text1"/>
          <w:sz w:val="21"/>
          <w:szCs w:val="21"/>
          <w:lang w:val="es-ES_tradnl"/>
        </w:rPr>
        <w:lastRenderedPageBreak/>
        <w:t xml:space="preserve">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5D1EC329"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p>
    <w:p w14:paraId="0031E6F9"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r w:rsidRPr="003011D1">
        <w:rPr>
          <w:rFonts w:ascii="Arial" w:eastAsia="Calibri" w:hAnsi="Arial" w:cs="Arial"/>
          <w:color w:val="000000" w:themeColor="text1"/>
          <w:sz w:val="21"/>
          <w:szCs w:val="21"/>
          <w:lang w:val="es-ES_tradnl"/>
        </w:rPr>
        <w:t xml:space="preserve">Esta reducción también afecta a los consorcios y uniones temporales si alguno de sus integrantes se encuentra en la situación anterior. </w:t>
      </w:r>
    </w:p>
    <w:p w14:paraId="1576813A"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p>
    <w:p w14:paraId="7E484C55"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r w:rsidRPr="003011D1">
        <w:rPr>
          <w:rFonts w:ascii="Arial" w:eastAsia="Calibri" w:hAnsi="Arial" w:cs="Arial"/>
          <w:color w:val="000000" w:themeColor="text1"/>
          <w:sz w:val="21"/>
          <w:szCs w:val="21"/>
          <w:lang w:val="es-ES_tradnl"/>
        </w:rPr>
        <w:t xml:space="preserve">Parágrafo primero.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36A56547"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p>
    <w:p w14:paraId="022B1F5A" w14:textId="77777777" w:rsidR="004B3B91" w:rsidRPr="003011D1" w:rsidRDefault="004B3B91" w:rsidP="004B3B91">
      <w:pPr>
        <w:ind w:left="709" w:right="709"/>
        <w:jc w:val="both"/>
        <w:rPr>
          <w:rFonts w:ascii="Arial" w:eastAsia="Calibri" w:hAnsi="Arial" w:cs="Arial"/>
          <w:color w:val="000000" w:themeColor="text1"/>
          <w:sz w:val="21"/>
          <w:szCs w:val="21"/>
          <w:lang w:val="es-ES_tradnl"/>
        </w:rPr>
      </w:pPr>
      <w:r w:rsidRPr="003011D1">
        <w:rPr>
          <w:rFonts w:ascii="Arial" w:eastAsia="Calibri" w:hAnsi="Arial" w:cs="Arial"/>
          <w:color w:val="000000" w:themeColor="text1"/>
          <w:sz w:val="21"/>
          <w:szCs w:val="21"/>
          <w:lang w:val="es-ES_tradnl"/>
        </w:rPr>
        <w:t xml:space="preserve">Parágrafo segundo. La reducción de puntaje por incumplimiento de contratos se aplicará sin perjuicio de lo contenido en el artículo 6 de la Ley 2020 de 2020. </w:t>
      </w:r>
    </w:p>
    <w:p w14:paraId="4B5E68E8" w14:textId="77777777" w:rsidR="004B3B91" w:rsidRPr="003011D1" w:rsidRDefault="004B3B91" w:rsidP="004B3B91">
      <w:pPr>
        <w:ind w:left="709" w:right="709"/>
        <w:jc w:val="both"/>
        <w:rPr>
          <w:rFonts w:ascii="Arial" w:eastAsia="Calibri" w:hAnsi="Arial" w:cs="Arial"/>
          <w:color w:val="000000" w:themeColor="text1"/>
          <w:sz w:val="22"/>
          <w:szCs w:val="22"/>
          <w:lang w:val="es-ES_tradnl"/>
        </w:rPr>
      </w:pPr>
    </w:p>
    <w:p w14:paraId="7FEB625F" w14:textId="77777777" w:rsidR="004B3B91" w:rsidRPr="003011D1" w:rsidRDefault="004B3B91" w:rsidP="004B3B91">
      <w:pPr>
        <w:spacing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Como puede advertirse, esta disposición contiene las reglas que, a continuación, se explican:</w:t>
      </w:r>
    </w:p>
    <w:p w14:paraId="0429E268" w14:textId="77777777" w:rsidR="004B3B91" w:rsidRPr="003011D1" w:rsidRDefault="004B3B91" w:rsidP="004B3B91">
      <w:pPr>
        <w:spacing w:before="120"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55DF680D" w14:textId="61329ABC" w:rsidR="004B3B91" w:rsidRPr="003011D1" w:rsidRDefault="004B3B91" w:rsidP="004B3B91">
      <w:pPr>
        <w:spacing w:before="120"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ii) Sin embargo, el deber de reducción del puntaje, para las entidades sometidas al Estatuto General de Contratación de la Administración Pública, previsto en el artículo que se viene comentando, tiene algunas excepciones. Los supuestos en los que no</w:t>
      </w:r>
      <w:r w:rsidR="00F978FE" w:rsidRPr="003011D1">
        <w:rPr>
          <w:rFonts w:ascii="Arial" w:eastAsia="Calibri" w:hAnsi="Arial" w:cs="Arial"/>
          <w:color w:val="000000" w:themeColor="text1"/>
          <w:sz w:val="22"/>
          <w:lang w:val="es-ES_tradnl"/>
        </w:rPr>
        <w:t xml:space="preserve"> aplica</w:t>
      </w:r>
      <w:r w:rsidRPr="003011D1">
        <w:rPr>
          <w:rFonts w:ascii="Arial" w:eastAsia="Calibri" w:hAnsi="Arial" w:cs="Arial"/>
          <w:color w:val="000000" w:themeColor="text1"/>
          <w:sz w:val="22"/>
          <w:lang w:val="es-ES_tradnl"/>
        </w:rPr>
        <w:t xml:space="preserve"> dicha disminución son los consagrados en el primer inciso del artículo 58 –en comento–, a saber: los «establecidos en el literal a) del numeral 2 del artículo 2 de la Ley 1150 de 2007</w:t>
      </w:r>
      <w:r w:rsidRPr="003011D1">
        <w:rPr>
          <w:rStyle w:val="Refdenotaalpie"/>
          <w:rFonts w:ascii="Arial" w:eastAsia="Calibri" w:hAnsi="Arial" w:cs="Arial"/>
          <w:color w:val="000000" w:themeColor="text1"/>
        </w:rPr>
        <w:footnoteReference w:id="16"/>
      </w:r>
      <w:r w:rsidRPr="003011D1">
        <w:rPr>
          <w:rFonts w:ascii="Arial" w:eastAsia="Calibri" w:hAnsi="Arial" w:cs="Arial"/>
          <w:color w:val="000000" w:themeColor="text1"/>
          <w:sz w:val="22"/>
          <w:lang w:val="es-ES_tradnl"/>
        </w:rPr>
        <w:t>, en los de mínima cuantía y en aquellos donde únicamente se pondere el menor precio ofrecido».</w:t>
      </w:r>
    </w:p>
    <w:p w14:paraId="76A7A45E" w14:textId="77777777" w:rsidR="004B3B91" w:rsidRPr="003011D1" w:rsidRDefault="004B3B91" w:rsidP="004B3B91">
      <w:pPr>
        <w:spacing w:before="120"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 xml:space="preserve">iii)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3011D1">
        <w:rPr>
          <w:rFonts w:ascii="Arial" w:eastAsia="Calibri" w:hAnsi="Arial" w:cs="Arial"/>
          <w:i/>
          <w:iCs/>
          <w:color w:val="000000" w:themeColor="text1"/>
          <w:sz w:val="22"/>
          <w:lang w:val="es-ES_tradnl"/>
        </w:rPr>
        <w:t>hasta</w:t>
      </w:r>
      <w:r w:rsidRPr="003011D1">
        <w:rPr>
          <w:rFonts w:ascii="Arial" w:eastAsia="Calibri" w:hAnsi="Arial" w:cs="Arial"/>
          <w:color w:val="000000" w:themeColor="text1"/>
          <w:sz w:val="22"/>
          <w:lang w:val="es-ES_tradnl"/>
        </w:rPr>
        <w:t xml:space="preserve">, ni dice que debe ser, </w:t>
      </w:r>
      <w:r w:rsidRPr="003011D1">
        <w:rPr>
          <w:rFonts w:ascii="Arial" w:eastAsia="Calibri" w:hAnsi="Arial" w:cs="Arial"/>
          <w:i/>
          <w:iCs/>
          <w:color w:val="000000" w:themeColor="text1"/>
          <w:sz w:val="22"/>
          <w:lang w:val="es-ES_tradnl"/>
        </w:rPr>
        <w:t>como mínimo</w:t>
      </w:r>
      <w:r w:rsidRPr="003011D1">
        <w:rPr>
          <w:rFonts w:ascii="Arial" w:eastAsia="Calibri" w:hAnsi="Arial" w:cs="Arial"/>
          <w:color w:val="000000" w:themeColor="text1"/>
          <w:sz w:val="22"/>
          <w:lang w:val="es-ES_tradnl"/>
        </w:rPr>
        <w:t xml:space="preserve">, una reducción </w:t>
      </w:r>
      <w:r w:rsidRPr="003011D1">
        <w:rPr>
          <w:rFonts w:ascii="Arial" w:eastAsia="Calibri" w:hAnsi="Arial" w:cs="Arial"/>
          <w:color w:val="000000" w:themeColor="text1"/>
          <w:sz w:val="22"/>
          <w:lang w:val="es-ES_tradnl"/>
        </w:rPr>
        <w:lastRenderedPageBreak/>
        <w:t xml:space="preserve">del dos por ciento (2%) de los puntos, sino que establece que ha de ser, exactamente, por este porcentaje. </w:t>
      </w:r>
    </w:p>
    <w:p w14:paraId="1859AEB3" w14:textId="6D670386" w:rsidR="004B3B91" w:rsidRPr="003011D1" w:rsidRDefault="004B3B91" w:rsidP="004B3B91">
      <w:pPr>
        <w:spacing w:before="120" w:line="276" w:lineRule="auto"/>
        <w:ind w:firstLine="709"/>
        <w:jc w:val="both"/>
        <w:rPr>
          <w:rFonts w:ascii="Arial" w:eastAsia="Calibri" w:hAnsi="Arial" w:cs="Arial"/>
          <w:color w:val="000000" w:themeColor="text1"/>
          <w:sz w:val="22"/>
          <w:szCs w:val="22"/>
          <w:lang w:val="es-ES_tradnl"/>
        </w:rPr>
      </w:pPr>
      <w:r w:rsidRPr="003011D1">
        <w:rPr>
          <w:rFonts w:ascii="Arial" w:eastAsia="Calibri" w:hAnsi="Arial" w:cs="Arial"/>
          <w:color w:val="000000" w:themeColor="text1"/>
          <w:sz w:val="22"/>
          <w:szCs w:val="22"/>
          <w:lang w:val="es-ES_tradnl"/>
        </w:rPr>
        <w:t>iv) Los sujetos pasivos –es decir, los afectados por lo dispuesto en el artículo– son los proponentes –incluidos los consorcios y uniones temporales, por la situación de alguno de sus integrantes– a quienes «</w:t>
      </w:r>
      <w:r w:rsidRPr="003011D1">
        <w:rPr>
          <w:rFonts w:ascii="Arial" w:hAnsi="Arial" w:cs="Arial"/>
          <w:color w:val="000000" w:themeColor="text1"/>
          <w:sz w:val="22"/>
          <w:szCs w:val="22"/>
        </w:rPr>
        <w:t xml:space="preserve">[…] </w:t>
      </w:r>
      <w:r w:rsidRPr="003011D1">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tal como se explicó en apartados anteriores de este concepto.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438FC8F1" w14:textId="77777777" w:rsidR="004B3B91" w:rsidRPr="003011D1" w:rsidRDefault="004B3B91" w:rsidP="004B3B91">
      <w:pPr>
        <w:spacing w:before="120" w:line="276" w:lineRule="auto"/>
        <w:ind w:firstLine="709"/>
        <w:jc w:val="both"/>
        <w:rPr>
          <w:rFonts w:ascii="Arial" w:eastAsia="Calibri" w:hAnsi="Arial" w:cs="Arial"/>
          <w:color w:val="000000" w:themeColor="text1"/>
          <w:sz w:val="22"/>
          <w:szCs w:val="22"/>
          <w:lang w:val="es-ES_tradnl"/>
        </w:rPr>
      </w:pPr>
      <w:r w:rsidRPr="003011D1">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3011D1">
        <w:rPr>
          <w:rFonts w:ascii="Arial" w:hAnsi="Arial" w:cs="Arial"/>
          <w:color w:val="000000" w:themeColor="text1"/>
          <w:sz w:val="22"/>
          <w:szCs w:val="22"/>
        </w:rPr>
        <w:t xml:space="preserve">[…] </w:t>
      </w:r>
      <w:r w:rsidRPr="003011D1">
        <w:rPr>
          <w:rFonts w:ascii="Arial" w:eastAsia="Calibri" w:hAnsi="Arial" w:cs="Arial"/>
          <w:color w:val="000000" w:themeColor="text1"/>
          <w:sz w:val="22"/>
          <w:szCs w:val="22"/>
          <w:lang w:val="es-ES_tradnl"/>
        </w:rPr>
        <w:t xml:space="preserve">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7E1C9D10" w14:textId="77777777" w:rsidR="004B3B91" w:rsidRPr="003011D1" w:rsidRDefault="004B3B91" w:rsidP="004B3B91">
      <w:pPr>
        <w:spacing w:before="120" w:line="276" w:lineRule="auto"/>
        <w:ind w:firstLine="709"/>
        <w:jc w:val="both"/>
        <w:rPr>
          <w:rFonts w:ascii="Arial" w:eastAsia="Calibri" w:hAnsi="Arial" w:cs="Arial"/>
          <w:color w:val="000000" w:themeColor="text1"/>
          <w:sz w:val="22"/>
          <w:szCs w:val="22"/>
          <w:lang w:val="es-ES_tradnl"/>
        </w:rPr>
      </w:pPr>
      <w:bookmarkStart w:id="5" w:name="_Hlk97036317"/>
      <w:r w:rsidRPr="003011D1">
        <w:rPr>
          <w:rFonts w:ascii="Arial" w:eastAsia="Calibri" w:hAnsi="Arial" w:cs="Arial"/>
          <w:color w:val="000000" w:themeColor="text1"/>
          <w:sz w:val="22"/>
          <w:szCs w:val="22"/>
          <w:lang w:val="es-ES_tradnl"/>
        </w:rPr>
        <w:t>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r w:rsidRPr="003011D1">
        <w:rPr>
          <w:rFonts w:ascii="Arial" w:hAnsi="Arial" w:cs="Arial"/>
          <w:color w:val="000000" w:themeColor="text1"/>
          <w:sz w:val="22"/>
          <w:szCs w:val="22"/>
          <w:lang w:val="es-ES_tradnl"/>
        </w:rPr>
        <w:t xml:space="preserve">[…] </w:t>
      </w:r>
      <w:r w:rsidRPr="003011D1">
        <w:rPr>
          <w:rFonts w:ascii="Arial" w:eastAsia="Calibri" w:hAnsi="Arial" w:cs="Arial"/>
          <w:color w:val="000000" w:themeColor="text1"/>
          <w:sz w:val="22"/>
          <w:szCs w:val="22"/>
          <w:lang w:val="es-ES_tradnl"/>
        </w:rPr>
        <w:t xml:space="preserve">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w:t>
      </w:r>
      <w:r w:rsidRPr="003011D1">
        <w:rPr>
          <w:rFonts w:ascii="Arial" w:eastAsia="Calibri" w:hAnsi="Arial" w:cs="Arial"/>
          <w:color w:val="000000" w:themeColor="text1"/>
          <w:sz w:val="22"/>
          <w:szCs w:val="22"/>
          <w:lang w:val="es-ES_tradnl"/>
        </w:rPr>
        <w:lastRenderedPageBreak/>
        <w:t>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w:t>
      </w:r>
      <w:bookmarkEnd w:id="5"/>
      <w:r w:rsidRPr="003011D1">
        <w:rPr>
          <w:rFonts w:ascii="Arial" w:eastAsia="Calibri" w:hAnsi="Arial" w:cs="Arial"/>
          <w:color w:val="000000" w:themeColor="text1"/>
          <w:sz w:val="22"/>
          <w:szCs w:val="22"/>
          <w:lang w:val="es-ES_tradnl"/>
        </w:rPr>
        <w:t>, por lo que el legislador optó por realizar una distinción en su tratamiento.</w:t>
      </w:r>
    </w:p>
    <w:p w14:paraId="2AC27503" w14:textId="77777777" w:rsidR="004B3B91" w:rsidRPr="003011D1" w:rsidRDefault="004B3B91" w:rsidP="004B3B91">
      <w:pPr>
        <w:spacing w:before="120" w:line="276" w:lineRule="auto"/>
        <w:ind w:firstLine="709"/>
        <w:jc w:val="both"/>
        <w:rPr>
          <w:rFonts w:ascii="Arial" w:eastAsia="Calibri" w:hAnsi="Arial" w:cs="Arial"/>
          <w:color w:val="000000" w:themeColor="text1"/>
          <w:sz w:val="22"/>
          <w:szCs w:val="22"/>
          <w:lang w:val="es-ES_tradnl"/>
        </w:rPr>
      </w:pPr>
      <w:r w:rsidRPr="003011D1">
        <w:rPr>
          <w:rFonts w:ascii="Arial" w:eastAsia="Calibri" w:hAnsi="Arial" w:cs="Arial"/>
          <w:color w:val="000000" w:themeColor="text1"/>
          <w:sz w:val="22"/>
          <w:szCs w:val="22"/>
          <w:lang w:val="es-ES_tradnl"/>
        </w:rPr>
        <w:t>vii) La reducción del puntaje que exige efectuar el artículo 58 de la Ley 2195 de 2022, como lo expresa su parágrafo 2, debe aplicarse «sin perjuicio de lo contenido en el artículo 6 de la Ley 2020 de 2020»</w:t>
      </w:r>
      <w:r w:rsidRPr="003011D1">
        <w:rPr>
          <w:rStyle w:val="Refdenotaalpie"/>
          <w:rFonts w:ascii="Arial" w:eastAsia="Calibri" w:hAnsi="Arial" w:cs="Arial"/>
          <w:color w:val="000000" w:themeColor="text1"/>
        </w:rPr>
        <w:footnoteReference w:id="17"/>
      </w:r>
      <w:r w:rsidRPr="003011D1">
        <w:rPr>
          <w:rFonts w:ascii="Arial" w:eastAsia="Calibri" w:hAnsi="Arial" w:cs="Arial"/>
          <w:color w:val="000000" w:themeColor="text1"/>
          <w:sz w:val="22"/>
          <w:szCs w:val="22"/>
          <w:lang w:val="es-ES_tradnl"/>
        </w:rPr>
        <w:t>. Esto significa que no riñe la disminución del puntaje con la verificación de las anotaciones contenidas en el Registro Nacional de Obras Civiles Inconclusas.</w:t>
      </w:r>
    </w:p>
    <w:p w14:paraId="010FB3DC" w14:textId="744079E0" w:rsidR="004B3B91" w:rsidRPr="003011D1" w:rsidRDefault="004B3B91" w:rsidP="004B3B91">
      <w:pPr>
        <w:spacing w:before="120" w:line="276" w:lineRule="auto"/>
        <w:ind w:firstLine="709"/>
        <w:jc w:val="both"/>
        <w:rPr>
          <w:rFonts w:ascii="Arial" w:eastAsia="Calibri" w:hAnsi="Arial" w:cs="Arial"/>
          <w:color w:val="000000" w:themeColor="text1"/>
          <w:sz w:val="22"/>
          <w:szCs w:val="22"/>
        </w:rPr>
      </w:pPr>
      <w:r w:rsidRPr="003011D1">
        <w:rPr>
          <w:rFonts w:ascii="Arial" w:eastAsia="Calibri" w:hAnsi="Arial" w:cs="Arial"/>
          <w:color w:val="000000" w:themeColor="text1"/>
          <w:sz w:val="22"/>
          <w:szCs w:val="22"/>
          <w:lang w:val="es-ES_tradnl"/>
        </w:rPr>
        <w:t>Ahora bien, en la consulta se pregunta</w:t>
      </w:r>
      <w:r w:rsidR="00D16953" w:rsidRPr="003011D1">
        <w:rPr>
          <w:rFonts w:ascii="Arial" w:eastAsia="Calibri" w:hAnsi="Arial" w:cs="Arial"/>
          <w:color w:val="000000" w:themeColor="text1"/>
          <w:sz w:val="22"/>
          <w:szCs w:val="22"/>
          <w:lang w:val="es-ES_tradnl"/>
        </w:rPr>
        <w:t xml:space="preserve"> si la reducción del puntaje establecida en el artículo 58 aplica en relación con las multas y cláusulas penales que hubieren quedado en firme antes de la expedición de la Ley 2195 de 2022. </w:t>
      </w:r>
      <w:r w:rsidRPr="003011D1">
        <w:rPr>
          <w:rFonts w:ascii="Arial" w:eastAsia="Calibri" w:hAnsi="Arial" w:cs="Arial"/>
          <w:color w:val="000000" w:themeColor="text1"/>
          <w:sz w:val="22"/>
          <w:szCs w:val="22"/>
          <w:lang w:val="es-ES_tradnl"/>
        </w:rPr>
        <w:t>Para resolver esta inquietud la Agencia estima pertinentes algunos comentarios sobre la vigencia de las normas jurídicas en el tiempo.</w:t>
      </w:r>
    </w:p>
    <w:p w14:paraId="5273A223" w14:textId="77777777" w:rsidR="004B3B91" w:rsidRPr="003011D1" w:rsidRDefault="004B3B91" w:rsidP="004B3B91">
      <w:pPr>
        <w:spacing w:line="276" w:lineRule="auto"/>
        <w:ind w:firstLine="709"/>
        <w:jc w:val="both"/>
        <w:rPr>
          <w:rFonts w:ascii="Arial" w:eastAsia="Calibri" w:hAnsi="Arial" w:cs="Arial"/>
          <w:color w:val="000000" w:themeColor="text1"/>
          <w:sz w:val="22"/>
          <w:lang w:val="es-ES_tradnl"/>
        </w:rPr>
      </w:pPr>
    </w:p>
    <w:p w14:paraId="392000CB" w14:textId="68908766" w:rsidR="004B3B91" w:rsidRPr="003011D1" w:rsidRDefault="004B3B91" w:rsidP="004B3B91">
      <w:pPr>
        <w:spacing w:line="276" w:lineRule="auto"/>
        <w:jc w:val="both"/>
        <w:rPr>
          <w:rFonts w:ascii="Arial" w:hAnsi="Arial" w:cs="Arial"/>
          <w:b/>
          <w:bCs/>
          <w:iCs/>
          <w:color w:val="000000" w:themeColor="text1"/>
          <w:sz w:val="22"/>
          <w:lang w:val="es-ES_tradnl"/>
        </w:rPr>
      </w:pPr>
      <w:r w:rsidRPr="003011D1">
        <w:rPr>
          <w:rFonts w:ascii="Arial" w:hAnsi="Arial" w:cs="Arial"/>
          <w:b/>
          <w:bCs/>
          <w:iCs/>
          <w:color w:val="000000" w:themeColor="text1"/>
          <w:sz w:val="22"/>
          <w:lang w:val="es-ES_tradnl"/>
        </w:rPr>
        <w:t xml:space="preserve">2.4. </w:t>
      </w:r>
      <w:r w:rsidR="00D16953" w:rsidRPr="003011D1">
        <w:rPr>
          <w:rFonts w:ascii="Arial" w:hAnsi="Arial" w:cs="Arial"/>
          <w:b/>
          <w:bCs/>
          <w:iCs/>
          <w:color w:val="000000" w:themeColor="text1"/>
          <w:sz w:val="22"/>
          <w:lang w:val="es-ES_tradnl"/>
        </w:rPr>
        <w:t>Vigencia de las normas jurídicas. El caso del artículo 58 de la Ley 2195 de 2022</w:t>
      </w:r>
    </w:p>
    <w:p w14:paraId="1BCB3627" w14:textId="77777777" w:rsidR="004B3B91" w:rsidRPr="003011D1" w:rsidRDefault="004B3B91" w:rsidP="004B3B91">
      <w:pPr>
        <w:spacing w:line="276" w:lineRule="auto"/>
        <w:jc w:val="both"/>
        <w:rPr>
          <w:rFonts w:ascii="Arial" w:eastAsia="Calibri" w:hAnsi="Arial" w:cs="Arial"/>
          <w:color w:val="000000" w:themeColor="text1"/>
          <w:sz w:val="22"/>
          <w:lang w:val="es-ES_tradnl"/>
        </w:rPr>
      </w:pPr>
    </w:p>
    <w:p w14:paraId="5DE937CE" w14:textId="4D74A897" w:rsidR="004B3B91" w:rsidRPr="003011D1" w:rsidRDefault="004B3B91" w:rsidP="004B3B91">
      <w:pPr>
        <w:spacing w:line="276" w:lineRule="auto"/>
        <w:jc w:val="both"/>
        <w:rPr>
          <w:rFonts w:ascii="Arial" w:eastAsia="Calibri" w:hAnsi="Arial" w:cs="Arial"/>
          <w:color w:val="000000" w:themeColor="text1"/>
          <w:sz w:val="22"/>
          <w:szCs w:val="22"/>
          <w:lang w:val="es-ES_tradnl"/>
        </w:rPr>
      </w:pPr>
      <w:bookmarkStart w:id="6" w:name="_Hlk97107784"/>
      <w:r w:rsidRPr="003011D1">
        <w:rPr>
          <w:rFonts w:ascii="Arial" w:eastAsia="Calibri" w:hAnsi="Arial" w:cs="Arial"/>
          <w:color w:val="000000" w:themeColor="text1"/>
          <w:sz w:val="22"/>
          <w:szCs w:val="22"/>
          <w:lang w:val="es-ES_tradnl"/>
        </w:rPr>
        <w:t xml:space="preserve">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w:t>
      </w:r>
      <w:r w:rsidRPr="003011D1">
        <w:rPr>
          <w:rFonts w:ascii="Arial" w:eastAsia="Calibri" w:hAnsi="Arial" w:cs="Arial"/>
          <w:color w:val="000000" w:themeColor="text1"/>
          <w:sz w:val="22"/>
          <w:szCs w:val="22"/>
          <w:lang w:val="es-ES_tradnl"/>
        </w:rPr>
        <w:lastRenderedPageBreak/>
        <w:t>cuales no han sido previamente informadas representaría un grave riesgo para sus derechos, y principalmente para su seguridad jurídica</w:t>
      </w:r>
      <w:r w:rsidRPr="003011D1">
        <w:rPr>
          <w:rStyle w:val="Refdenotaalpie"/>
          <w:rFonts w:ascii="Arial" w:eastAsia="Calibri" w:hAnsi="Arial" w:cs="Arial"/>
          <w:color w:val="000000" w:themeColor="text1"/>
        </w:rPr>
        <w:footnoteReference w:id="18"/>
      </w:r>
      <w:r w:rsidRPr="003011D1">
        <w:rPr>
          <w:rFonts w:ascii="Arial" w:eastAsia="Calibri" w:hAnsi="Arial" w:cs="Arial"/>
          <w:color w:val="000000" w:themeColor="text1"/>
          <w:sz w:val="22"/>
          <w:szCs w:val="22"/>
          <w:lang w:val="es-ES_tradnl"/>
        </w:rPr>
        <w:t>.</w:t>
      </w:r>
    </w:p>
    <w:p w14:paraId="570EB82B" w14:textId="0BA74C2B" w:rsidR="004B3B91" w:rsidRPr="003011D1" w:rsidRDefault="004B3B91" w:rsidP="004B3B91">
      <w:pPr>
        <w:spacing w:before="120"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Tal es la garantía que se desprende del artículo 29 de la Constitución Política –aplicable también a las actuaciones administrativas, como d</w:t>
      </w:r>
      <w:r w:rsidR="00C50639" w:rsidRPr="003011D1">
        <w:rPr>
          <w:rFonts w:ascii="Arial" w:eastAsia="Calibri" w:hAnsi="Arial" w:cs="Arial"/>
          <w:color w:val="000000" w:themeColor="text1"/>
          <w:sz w:val="22"/>
          <w:lang w:val="es-ES_tradnl"/>
        </w:rPr>
        <w:t>ispone</w:t>
      </w:r>
      <w:r w:rsidRPr="003011D1">
        <w:rPr>
          <w:rFonts w:ascii="Arial" w:eastAsia="Calibri" w:hAnsi="Arial" w:cs="Arial"/>
          <w:color w:val="000000" w:themeColor="text1"/>
          <w:sz w:val="22"/>
          <w:lang w:val="es-ES_tradnl"/>
        </w:rPr>
        <w:t xml:space="preserv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3011D1">
        <w:rPr>
          <w:rFonts w:ascii="Arial" w:eastAsia="Calibri" w:hAnsi="Arial" w:cs="Arial"/>
          <w:i/>
          <w:iCs/>
          <w:color w:val="000000" w:themeColor="text1"/>
          <w:sz w:val="22"/>
          <w:lang w:val="es-ES_tradnl"/>
        </w:rPr>
        <w:t>antes</w:t>
      </w:r>
      <w:r w:rsidRPr="003011D1">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3011D1">
        <w:rPr>
          <w:rFonts w:ascii="Arial" w:eastAsia="Calibri" w:hAnsi="Arial" w:cs="Arial"/>
          <w:i/>
          <w:iCs/>
          <w:color w:val="000000" w:themeColor="text1"/>
          <w:sz w:val="22"/>
          <w:lang w:val="es-ES_tradnl"/>
        </w:rPr>
        <w:t>irretroactividad</w:t>
      </w:r>
      <w:r w:rsidRPr="003011D1">
        <w:rPr>
          <w:rFonts w:ascii="Arial" w:eastAsia="Calibri" w:hAnsi="Arial" w:cs="Arial"/>
          <w:color w:val="000000" w:themeColor="text1"/>
          <w:sz w:val="22"/>
          <w:lang w:val="es-ES_tradnl"/>
        </w:rPr>
        <w:t xml:space="preserve"> de las leyes.</w:t>
      </w:r>
    </w:p>
    <w:p w14:paraId="6ABC3DC2" w14:textId="0F74768F" w:rsidR="004B3B91" w:rsidRPr="003011D1" w:rsidRDefault="004B3B91" w:rsidP="004B3B91">
      <w:pPr>
        <w:spacing w:before="120" w:line="276" w:lineRule="auto"/>
        <w:ind w:firstLine="709"/>
        <w:jc w:val="both"/>
        <w:rPr>
          <w:rFonts w:ascii="Arial" w:eastAsia="Calibri" w:hAnsi="Arial" w:cs="Arial"/>
          <w:color w:val="000000" w:themeColor="text1"/>
          <w:sz w:val="22"/>
          <w:lang w:val="es-ES_tradnl"/>
        </w:rPr>
      </w:pPr>
      <w:r w:rsidRPr="003011D1">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se hace referencia a los artículos 17 al 49 de la Ley 153 de 1887. Pero, por su aplicación al caso concreto, que se analiza en este concepto, se resaltan los siguientes artículos de dicha Ley:</w:t>
      </w:r>
    </w:p>
    <w:p w14:paraId="529A2A25" w14:textId="77777777" w:rsidR="004B3B91" w:rsidRPr="003011D1" w:rsidRDefault="004B3B91" w:rsidP="004B3B91">
      <w:pPr>
        <w:spacing w:line="276" w:lineRule="auto"/>
        <w:ind w:firstLine="709"/>
        <w:jc w:val="both"/>
        <w:rPr>
          <w:rFonts w:ascii="Arial" w:eastAsia="Calibri" w:hAnsi="Arial" w:cs="Arial"/>
          <w:color w:val="000000" w:themeColor="text1"/>
          <w:sz w:val="22"/>
          <w:lang w:val="es-ES_tradnl"/>
        </w:rPr>
      </w:pPr>
    </w:p>
    <w:p w14:paraId="7F4FB224" w14:textId="26F3C281" w:rsidR="004B3B91" w:rsidRPr="003011D1" w:rsidRDefault="004B3B91" w:rsidP="004B3B91">
      <w:pPr>
        <w:ind w:left="709" w:right="709"/>
        <w:jc w:val="both"/>
        <w:rPr>
          <w:rFonts w:ascii="Arial" w:hAnsi="Arial" w:cs="Arial"/>
          <w:color w:val="000000" w:themeColor="text1"/>
          <w:sz w:val="21"/>
          <w:szCs w:val="21"/>
          <w:lang w:val="es-ES_tradnl"/>
        </w:rPr>
      </w:pPr>
      <w:r w:rsidRPr="003011D1">
        <w:rPr>
          <w:rFonts w:ascii="Arial" w:hAnsi="Arial" w:cs="Arial"/>
          <w:color w:val="000000" w:themeColor="text1"/>
          <w:sz w:val="21"/>
          <w:szCs w:val="21"/>
          <w:lang w:val="es-ES_tradnl"/>
        </w:rPr>
        <w:t>Artículo 38.</w:t>
      </w:r>
      <w:r w:rsidR="00C24C78" w:rsidRPr="003011D1">
        <w:rPr>
          <w:rFonts w:ascii="Arial" w:hAnsi="Arial" w:cs="Arial"/>
          <w:color w:val="000000" w:themeColor="text1"/>
          <w:sz w:val="21"/>
          <w:szCs w:val="21"/>
          <w:lang w:val="es-ES_tradnl"/>
        </w:rPr>
        <w:t xml:space="preserve"> </w:t>
      </w:r>
      <w:r w:rsidRPr="003011D1">
        <w:rPr>
          <w:rFonts w:ascii="Arial" w:hAnsi="Arial" w:cs="Arial"/>
          <w:color w:val="000000" w:themeColor="text1"/>
          <w:sz w:val="21"/>
          <w:szCs w:val="21"/>
          <w:lang w:val="es-ES_tradnl"/>
        </w:rPr>
        <w:t>En todo contrato se entenderán incorporadas las leyes vigentes al tiempo de su celebración.</w:t>
      </w:r>
    </w:p>
    <w:p w14:paraId="2F721414" w14:textId="70799AFD" w:rsidR="004B3B91" w:rsidRPr="003011D1" w:rsidRDefault="004B3B91" w:rsidP="004B3B91">
      <w:pPr>
        <w:ind w:left="709" w:right="709"/>
        <w:jc w:val="both"/>
        <w:rPr>
          <w:rFonts w:ascii="Arial" w:hAnsi="Arial" w:cs="Arial"/>
          <w:color w:val="000000" w:themeColor="text1"/>
          <w:sz w:val="21"/>
          <w:szCs w:val="21"/>
          <w:lang w:val="es-ES_tradnl"/>
        </w:rPr>
      </w:pPr>
    </w:p>
    <w:p w14:paraId="467906A0" w14:textId="77777777" w:rsidR="004B3B91" w:rsidRPr="003011D1" w:rsidRDefault="004B3B91" w:rsidP="004B3B91">
      <w:pPr>
        <w:ind w:left="709" w:right="709"/>
        <w:jc w:val="both"/>
        <w:rPr>
          <w:rFonts w:ascii="Arial" w:hAnsi="Arial" w:cs="Arial"/>
          <w:color w:val="000000" w:themeColor="text1"/>
          <w:sz w:val="21"/>
          <w:szCs w:val="21"/>
          <w:lang w:val="es-ES_tradnl"/>
        </w:rPr>
      </w:pPr>
      <w:proofErr w:type="spellStart"/>
      <w:r w:rsidRPr="003011D1">
        <w:rPr>
          <w:rFonts w:ascii="Arial" w:hAnsi="Arial" w:cs="Arial"/>
          <w:color w:val="000000" w:themeColor="text1"/>
          <w:sz w:val="21"/>
          <w:szCs w:val="21"/>
          <w:lang w:val="es-ES_tradnl"/>
        </w:rPr>
        <w:t>Exceptúanse</w:t>
      </w:r>
      <w:proofErr w:type="spellEnd"/>
      <w:r w:rsidRPr="003011D1">
        <w:rPr>
          <w:rFonts w:ascii="Arial" w:hAnsi="Arial" w:cs="Arial"/>
          <w:color w:val="000000" w:themeColor="text1"/>
          <w:sz w:val="21"/>
          <w:szCs w:val="21"/>
          <w:lang w:val="es-ES_tradnl"/>
        </w:rPr>
        <w:t xml:space="preserve"> de esta disposición: </w:t>
      </w:r>
    </w:p>
    <w:p w14:paraId="2C000D48" w14:textId="043BCABC" w:rsidR="004B3B91" w:rsidRPr="003011D1" w:rsidRDefault="004B3B91" w:rsidP="004B3B91">
      <w:pPr>
        <w:ind w:left="709" w:right="709"/>
        <w:jc w:val="both"/>
        <w:rPr>
          <w:rFonts w:ascii="Arial" w:hAnsi="Arial" w:cs="Arial"/>
          <w:color w:val="000000" w:themeColor="text1"/>
          <w:sz w:val="21"/>
          <w:szCs w:val="21"/>
          <w:lang w:val="es-ES_tradnl"/>
        </w:rPr>
      </w:pPr>
    </w:p>
    <w:p w14:paraId="190A3EE0" w14:textId="77777777" w:rsidR="004B3B91" w:rsidRPr="003011D1" w:rsidRDefault="004B3B91" w:rsidP="004B3B91">
      <w:pPr>
        <w:ind w:left="709" w:right="709"/>
        <w:jc w:val="both"/>
        <w:rPr>
          <w:rFonts w:ascii="Arial" w:hAnsi="Arial" w:cs="Arial"/>
          <w:color w:val="000000" w:themeColor="text1"/>
          <w:sz w:val="21"/>
          <w:szCs w:val="21"/>
          <w:lang w:val="es-ES_tradnl"/>
        </w:rPr>
      </w:pPr>
      <w:r w:rsidRPr="003011D1">
        <w:rPr>
          <w:rFonts w:ascii="Arial" w:hAnsi="Arial" w:cs="Arial"/>
          <w:color w:val="000000" w:themeColor="text1"/>
          <w:sz w:val="21"/>
          <w:szCs w:val="21"/>
          <w:lang w:val="es-ES_tradnl"/>
        </w:rPr>
        <w:t>1. Las leyes concernientes al modo de reclamar en juicio los derechos que resultaren del contrato, y </w:t>
      </w:r>
    </w:p>
    <w:p w14:paraId="391AE84C" w14:textId="04DD344A" w:rsidR="004B3B91" w:rsidRPr="003011D1" w:rsidRDefault="004B3B91" w:rsidP="004B3B91">
      <w:pPr>
        <w:ind w:left="709" w:right="709"/>
        <w:jc w:val="both"/>
        <w:rPr>
          <w:rFonts w:ascii="Arial" w:hAnsi="Arial" w:cs="Arial"/>
          <w:color w:val="000000" w:themeColor="text1"/>
          <w:sz w:val="21"/>
          <w:szCs w:val="21"/>
          <w:lang w:val="es-ES_tradnl"/>
        </w:rPr>
      </w:pPr>
    </w:p>
    <w:p w14:paraId="584E8C0A" w14:textId="352BB1E2" w:rsidR="004B3B91" w:rsidRPr="003011D1" w:rsidRDefault="004B3B91" w:rsidP="004B3B91">
      <w:pPr>
        <w:ind w:left="709" w:right="709"/>
        <w:jc w:val="both"/>
        <w:rPr>
          <w:rFonts w:ascii="Arial" w:hAnsi="Arial" w:cs="Arial"/>
          <w:color w:val="000000" w:themeColor="text1"/>
          <w:sz w:val="21"/>
          <w:szCs w:val="21"/>
          <w:lang w:val="es-ES_tradnl"/>
        </w:rPr>
      </w:pPr>
      <w:r w:rsidRPr="003011D1">
        <w:rPr>
          <w:rFonts w:ascii="Arial" w:hAnsi="Arial" w:cs="Arial"/>
          <w:color w:val="000000" w:themeColor="text1"/>
          <w:sz w:val="21"/>
          <w:szCs w:val="21"/>
          <w:lang w:val="es-ES_tradnl"/>
        </w:rPr>
        <w:t xml:space="preserve">2. Las que señalan penas para el caso de infracción de lo estipulado; la cual infracción será castigada con arreglo </w:t>
      </w:r>
      <w:proofErr w:type="spellStart"/>
      <w:r w:rsidRPr="003011D1">
        <w:rPr>
          <w:rFonts w:ascii="Arial" w:hAnsi="Arial" w:cs="Arial"/>
          <w:color w:val="000000" w:themeColor="text1"/>
          <w:sz w:val="21"/>
          <w:szCs w:val="21"/>
          <w:lang w:val="es-ES_tradnl"/>
        </w:rPr>
        <w:t>á</w:t>
      </w:r>
      <w:proofErr w:type="spellEnd"/>
      <w:r w:rsidRPr="003011D1">
        <w:rPr>
          <w:rFonts w:ascii="Arial" w:hAnsi="Arial" w:cs="Arial"/>
          <w:color w:val="000000" w:themeColor="text1"/>
          <w:sz w:val="21"/>
          <w:szCs w:val="21"/>
          <w:lang w:val="es-ES_tradnl"/>
        </w:rPr>
        <w:t xml:space="preserve"> la ley bajo la cual se hubiere cometido.</w:t>
      </w:r>
    </w:p>
    <w:p w14:paraId="585F5311" w14:textId="77777777" w:rsidR="004B3B91" w:rsidRPr="003011D1" w:rsidRDefault="004B3B91" w:rsidP="004B3B91">
      <w:pPr>
        <w:jc w:val="both"/>
        <w:rPr>
          <w:rFonts w:ascii="Arial" w:hAnsi="Arial" w:cs="Arial"/>
          <w:color w:val="000000" w:themeColor="text1"/>
          <w:lang w:val="es-ES_tradnl"/>
        </w:rPr>
      </w:pPr>
    </w:p>
    <w:p w14:paraId="5C02A18B" w14:textId="77777777" w:rsidR="004B3B91" w:rsidRPr="003011D1" w:rsidRDefault="004B3B91" w:rsidP="004B3B91">
      <w:pPr>
        <w:ind w:left="709" w:right="709"/>
        <w:jc w:val="both"/>
        <w:rPr>
          <w:rFonts w:ascii="Arial" w:hAnsi="Arial" w:cs="Arial"/>
          <w:color w:val="000000" w:themeColor="text1"/>
          <w:sz w:val="21"/>
          <w:szCs w:val="21"/>
          <w:lang w:val="es-ES_tradnl"/>
        </w:rPr>
      </w:pPr>
      <w:r w:rsidRPr="003011D1">
        <w:rPr>
          <w:rFonts w:ascii="Arial" w:hAnsi="Arial" w:cs="Arial"/>
          <w:color w:val="000000" w:themeColor="text1"/>
          <w:sz w:val="21"/>
          <w:szCs w:val="21"/>
          <w:lang w:val="es-ES_tradnl"/>
        </w:rPr>
        <w:t xml:space="preserve">Artículo 40. [Modificado por el artículo 624 de la Ley 1564 de 2012] Las leyes concernientes a la sustanciación y ritualidad de los juicios prevalecen sobre las anteriores desde el momento en que deben empezar a regir. </w:t>
      </w:r>
    </w:p>
    <w:p w14:paraId="6BFC40B0" w14:textId="77777777" w:rsidR="004B3B91" w:rsidRPr="003011D1" w:rsidRDefault="004B3B91" w:rsidP="004B3B91">
      <w:pPr>
        <w:ind w:right="709"/>
        <w:jc w:val="both"/>
        <w:rPr>
          <w:rFonts w:ascii="Arial" w:hAnsi="Arial" w:cs="Arial"/>
          <w:color w:val="000000" w:themeColor="text1"/>
          <w:sz w:val="21"/>
          <w:szCs w:val="21"/>
          <w:lang w:val="es-ES_tradnl"/>
        </w:rPr>
      </w:pPr>
    </w:p>
    <w:p w14:paraId="474A8F0E" w14:textId="77777777" w:rsidR="004B3B91" w:rsidRPr="003011D1" w:rsidRDefault="004B3B91" w:rsidP="004B3B91">
      <w:pPr>
        <w:ind w:left="709" w:right="709"/>
        <w:jc w:val="both"/>
        <w:rPr>
          <w:rFonts w:ascii="Arial" w:hAnsi="Arial" w:cs="Arial"/>
          <w:color w:val="000000" w:themeColor="text1"/>
          <w:sz w:val="21"/>
          <w:szCs w:val="21"/>
          <w:lang w:val="es-ES_tradnl"/>
        </w:rPr>
      </w:pPr>
      <w:r w:rsidRPr="003011D1">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125EF450" w14:textId="77777777" w:rsidR="004B3B91" w:rsidRPr="003011D1" w:rsidRDefault="004B3B91" w:rsidP="004B3B91">
      <w:pPr>
        <w:ind w:right="709"/>
        <w:jc w:val="both"/>
        <w:rPr>
          <w:rFonts w:ascii="Arial" w:hAnsi="Arial" w:cs="Arial"/>
          <w:color w:val="000000" w:themeColor="text1"/>
          <w:sz w:val="21"/>
          <w:szCs w:val="21"/>
          <w:lang w:val="es-ES_tradnl"/>
        </w:rPr>
      </w:pPr>
    </w:p>
    <w:p w14:paraId="5FCF6DF0" w14:textId="77777777" w:rsidR="004B3B91" w:rsidRPr="003011D1" w:rsidRDefault="004B3B91" w:rsidP="004B3B91">
      <w:pPr>
        <w:ind w:left="709" w:right="709"/>
        <w:jc w:val="both"/>
        <w:rPr>
          <w:rFonts w:ascii="Arial" w:hAnsi="Arial" w:cs="Arial"/>
          <w:color w:val="000000" w:themeColor="text1"/>
          <w:sz w:val="21"/>
          <w:szCs w:val="21"/>
          <w:lang w:val="es-ES_tradnl"/>
        </w:rPr>
      </w:pPr>
      <w:r w:rsidRPr="003011D1">
        <w:rPr>
          <w:rFonts w:ascii="Arial" w:hAnsi="Arial" w:cs="Arial"/>
          <w:color w:val="000000" w:themeColor="text1"/>
          <w:sz w:val="21"/>
          <w:szCs w:val="21"/>
          <w:lang w:val="es-ES_tradnl"/>
        </w:rPr>
        <w:lastRenderedPageBreak/>
        <w:t>La competencia para tramitar el proceso se regirá por la legislación vigente en el momento de formulación de la demanda con que se promueva, salvo que la ley elimine dicha autoridad.</w:t>
      </w:r>
    </w:p>
    <w:p w14:paraId="33B977F7" w14:textId="77777777" w:rsidR="004B3B91" w:rsidRPr="003011D1" w:rsidRDefault="004B3B91" w:rsidP="004B3B91">
      <w:pPr>
        <w:ind w:left="709" w:right="709"/>
        <w:jc w:val="both"/>
        <w:rPr>
          <w:rFonts w:ascii="Arial" w:hAnsi="Arial" w:cs="Arial"/>
          <w:color w:val="000000" w:themeColor="text1"/>
          <w:sz w:val="21"/>
          <w:szCs w:val="21"/>
          <w:lang w:val="es-ES_tradnl"/>
        </w:rPr>
      </w:pPr>
    </w:p>
    <w:p w14:paraId="6D3C0828" w14:textId="21163CEE" w:rsidR="004B3B91" w:rsidRPr="003011D1" w:rsidRDefault="004B3B91" w:rsidP="004B3B91">
      <w:pPr>
        <w:spacing w:line="276" w:lineRule="auto"/>
        <w:ind w:firstLine="709"/>
        <w:jc w:val="both"/>
        <w:rPr>
          <w:rFonts w:ascii="Arial" w:hAnsi="Arial" w:cs="Arial"/>
          <w:color w:val="000000" w:themeColor="text1"/>
          <w:sz w:val="22"/>
          <w:szCs w:val="22"/>
          <w:lang w:val="es-ES_tradnl"/>
        </w:rPr>
      </w:pPr>
      <w:r w:rsidRPr="003011D1">
        <w:rPr>
          <w:rFonts w:ascii="Arial" w:eastAsia="Calibri" w:hAnsi="Arial" w:cs="Arial"/>
          <w:color w:val="000000" w:themeColor="text1"/>
          <w:sz w:val="22"/>
          <w:szCs w:val="22"/>
          <w:lang w:val="es-ES_tradnl"/>
        </w:rPr>
        <w:t>De dichos enunciados pueden extraer</w:t>
      </w:r>
      <w:r w:rsidR="00C24C78" w:rsidRPr="003011D1">
        <w:rPr>
          <w:rFonts w:ascii="Arial" w:eastAsia="Calibri" w:hAnsi="Arial" w:cs="Arial"/>
          <w:color w:val="000000" w:themeColor="text1"/>
          <w:sz w:val="22"/>
          <w:szCs w:val="22"/>
          <w:lang w:val="es-ES_tradnl"/>
        </w:rPr>
        <w:t>se</w:t>
      </w:r>
      <w:r w:rsidRPr="003011D1">
        <w:rPr>
          <w:rFonts w:ascii="Arial" w:eastAsia="Calibri" w:hAnsi="Arial" w:cs="Arial"/>
          <w:color w:val="000000" w:themeColor="text1"/>
          <w:sz w:val="22"/>
          <w:szCs w:val="22"/>
          <w:lang w:val="es-ES_tradnl"/>
        </w:rPr>
        <w:t xml:space="preserve"> las siguientes </w:t>
      </w:r>
      <w:proofErr w:type="spellStart"/>
      <w:r w:rsidRPr="003011D1">
        <w:rPr>
          <w:rFonts w:ascii="Arial" w:eastAsia="Calibri" w:hAnsi="Arial" w:cs="Arial"/>
          <w:color w:val="000000" w:themeColor="text1"/>
          <w:sz w:val="22"/>
          <w:szCs w:val="22"/>
          <w:lang w:val="es-ES_tradnl"/>
        </w:rPr>
        <w:t>subreglas</w:t>
      </w:r>
      <w:proofErr w:type="spellEnd"/>
      <w:r w:rsidRPr="003011D1">
        <w:rPr>
          <w:rFonts w:ascii="Arial" w:eastAsia="Calibri" w:hAnsi="Arial" w:cs="Arial"/>
          <w:color w:val="000000" w:themeColor="text1"/>
          <w:sz w:val="22"/>
          <w:szCs w:val="22"/>
          <w:lang w:val="es-ES_tradnl"/>
        </w:rPr>
        <w:t xml:space="preserve">: i) en principio, las leyes promulgadas rigen hacia el futuro, es decir, no regulan situaciones del pasado; son, pues, </w:t>
      </w:r>
      <w:proofErr w:type="spellStart"/>
      <w:r w:rsidRPr="003011D1">
        <w:rPr>
          <w:rFonts w:ascii="Arial" w:eastAsia="Calibri" w:hAnsi="Arial" w:cs="Arial"/>
          <w:color w:val="000000" w:themeColor="text1"/>
          <w:sz w:val="22"/>
          <w:szCs w:val="22"/>
          <w:lang w:val="es-ES_tradnl"/>
        </w:rPr>
        <w:t>irretroactivas</w:t>
      </w:r>
      <w:proofErr w:type="spellEnd"/>
      <w:r w:rsidRPr="003011D1">
        <w:rPr>
          <w:rFonts w:ascii="Arial" w:eastAsia="Calibri" w:hAnsi="Arial" w:cs="Arial"/>
          <w:color w:val="000000" w:themeColor="text1"/>
          <w:sz w:val="22"/>
          <w:szCs w:val="22"/>
          <w:lang w:val="es-ES_tradnl"/>
        </w:rPr>
        <w:t>. En consecuencia, nadie puede ser «juzgado» ni sancionado, sino conforme a leyes preexistentes al acto que se imputa. ii) Por lo tanto, las leyes que regulan los contratos son las vigentes al momento de su celebración; es decir</w:t>
      </w:r>
      <w:r w:rsidR="00EC02AA" w:rsidRPr="003011D1">
        <w:rPr>
          <w:rFonts w:ascii="Arial" w:eastAsia="Calibri" w:hAnsi="Arial" w:cs="Arial"/>
          <w:color w:val="000000" w:themeColor="text1"/>
          <w:sz w:val="22"/>
          <w:szCs w:val="22"/>
          <w:lang w:val="es-ES_tradnl"/>
        </w:rPr>
        <w:t>,</w:t>
      </w:r>
      <w:r w:rsidRPr="003011D1">
        <w:rPr>
          <w:rFonts w:ascii="Arial" w:eastAsia="Calibri" w:hAnsi="Arial" w:cs="Arial"/>
          <w:color w:val="000000" w:themeColor="text1"/>
          <w:sz w:val="22"/>
          <w:szCs w:val="22"/>
          <w:lang w:val="es-ES_tradnl"/>
        </w:rPr>
        <w:t xml:space="preserve"> </w:t>
      </w:r>
      <w:proofErr w:type="gramStart"/>
      <w:r w:rsidRPr="003011D1">
        <w:rPr>
          <w:rFonts w:ascii="Arial" w:eastAsia="Calibri" w:hAnsi="Arial" w:cs="Arial"/>
          <w:color w:val="000000" w:themeColor="text1"/>
          <w:sz w:val="22"/>
          <w:szCs w:val="22"/>
          <w:lang w:val="es-ES_tradnl"/>
        </w:rPr>
        <w:t>que</w:t>
      </w:r>
      <w:proofErr w:type="gramEnd"/>
      <w:r w:rsidRPr="003011D1">
        <w:rPr>
          <w:rFonts w:ascii="Arial" w:eastAsia="Calibri" w:hAnsi="Arial" w:cs="Arial"/>
          <w:color w:val="000000" w:themeColor="text1"/>
          <w:sz w:val="22"/>
          <w:szCs w:val="22"/>
          <w:lang w:val="es-ES_tradnl"/>
        </w:rPr>
        <w:t xml:space="preserv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w:t>
      </w:r>
      <w:proofErr w:type="spellStart"/>
      <w:r w:rsidRPr="003011D1">
        <w:rPr>
          <w:rFonts w:ascii="Arial" w:eastAsia="Calibri" w:hAnsi="Arial" w:cs="Arial"/>
          <w:color w:val="000000" w:themeColor="text1"/>
          <w:sz w:val="22"/>
          <w:szCs w:val="22"/>
          <w:lang w:val="es-ES_tradnl"/>
        </w:rPr>
        <w:t>subregla</w:t>
      </w:r>
      <w:proofErr w:type="spellEnd"/>
      <w:r w:rsidRPr="003011D1">
        <w:rPr>
          <w:rFonts w:ascii="Arial" w:eastAsia="Calibri" w:hAnsi="Arial" w:cs="Arial"/>
          <w:color w:val="000000" w:themeColor="text1"/>
          <w:sz w:val="22"/>
          <w:szCs w:val="22"/>
          <w:lang w:val="es-ES_tradnl"/>
        </w:rPr>
        <w:t>, a su vez, tiene dos hipótesis: 1) si la ley posterior es más favorable que la que estaba vigente cuando, supuestamente, se cometió la falta o delito, debe aplicar</w:t>
      </w:r>
      <w:r w:rsidR="00935919" w:rsidRPr="003011D1">
        <w:rPr>
          <w:rFonts w:ascii="Arial" w:eastAsia="Calibri" w:hAnsi="Arial" w:cs="Arial"/>
          <w:color w:val="000000" w:themeColor="text1"/>
          <w:sz w:val="22"/>
          <w:szCs w:val="22"/>
          <w:lang w:val="es-ES_tradnl"/>
        </w:rPr>
        <w:t>se</w:t>
      </w:r>
      <w:r w:rsidRPr="003011D1">
        <w:rPr>
          <w:rFonts w:ascii="Arial" w:eastAsia="Calibri" w:hAnsi="Arial" w:cs="Arial"/>
          <w:color w:val="000000" w:themeColor="text1"/>
          <w:sz w:val="22"/>
          <w:szCs w:val="22"/>
          <w:lang w:val="es-ES_tradnl"/>
        </w:rPr>
        <w:t xml:space="preserve">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3011D1">
        <w:rPr>
          <w:rStyle w:val="Refdenotaalpie"/>
          <w:rFonts w:ascii="Arial" w:eastAsia="Calibri" w:hAnsi="Arial" w:cs="Arial"/>
          <w:color w:val="000000" w:themeColor="text1"/>
        </w:rPr>
        <w:footnoteReference w:id="19"/>
      </w:r>
      <w:r w:rsidRPr="003011D1">
        <w:rPr>
          <w:rFonts w:ascii="Arial" w:eastAsia="Calibri" w:hAnsi="Arial" w:cs="Arial"/>
          <w:color w:val="000000" w:themeColor="text1"/>
          <w:sz w:val="22"/>
          <w:szCs w:val="22"/>
          <w:lang w:val="es-ES_tradnl"/>
        </w:rPr>
        <w:t>. Así lo ha entendido la Corte Constitucional, al indicar que en las actuaciones administrativas se debe aplicar el principio de favorabilidad. Esta fue la tesis que defendió en la Sentencia C-619 de 2001, que estudió la demanda de inconstitucionalidad en contra del primer inciso del artículo 67 de la Ley 610 de 2000</w:t>
      </w:r>
      <w:r w:rsidRPr="003011D1">
        <w:rPr>
          <w:rStyle w:val="Refdenotaalpie"/>
          <w:rFonts w:ascii="Arial" w:eastAsia="Calibri" w:hAnsi="Arial" w:cs="Arial"/>
          <w:color w:val="000000" w:themeColor="text1"/>
        </w:rPr>
        <w:footnoteReference w:id="20"/>
      </w:r>
      <w:r w:rsidRPr="003011D1">
        <w:rPr>
          <w:rFonts w:ascii="Arial" w:eastAsia="Calibri" w:hAnsi="Arial" w:cs="Arial"/>
          <w:color w:val="000000" w:themeColor="text1"/>
          <w:sz w:val="22"/>
          <w:szCs w:val="22"/>
          <w:lang w:val="es-ES_tradnl"/>
        </w:rPr>
        <w:t>. De otro lado, en relación con las normas procesales, el artículo 40 de la Ley 153 de 1887 es claro en el sentido de</w:t>
      </w:r>
      <w:r w:rsidR="00CE22DF" w:rsidRPr="003011D1">
        <w:rPr>
          <w:rFonts w:ascii="Arial" w:eastAsia="Calibri" w:hAnsi="Arial" w:cs="Arial"/>
          <w:color w:val="000000" w:themeColor="text1"/>
          <w:sz w:val="22"/>
          <w:szCs w:val="22"/>
          <w:lang w:val="es-ES_tradnl"/>
        </w:rPr>
        <w:t xml:space="preserve"> prescribir</w:t>
      </w:r>
      <w:r w:rsidRPr="003011D1">
        <w:rPr>
          <w:rFonts w:ascii="Arial" w:eastAsia="Calibri" w:hAnsi="Arial" w:cs="Arial"/>
          <w:color w:val="000000" w:themeColor="text1"/>
          <w:sz w:val="22"/>
          <w:szCs w:val="22"/>
          <w:lang w:val="es-ES_tradnl"/>
        </w:rPr>
        <w:t xml:space="preserve"> que </w:t>
      </w:r>
      <w:r w:rsidRPr="003011D1">
        <w:rPr>
          <w:rFonts w:ascii="Arial" w:eastAsia="Calibri" w:hAnsi="Arial" w:cs="Arial"/>
          <w:i/>
          <w:iCs/>
          <w:color w:val="000000" w:themeColor="text1"/>
          <w:sz w:val="22"/>
          <w:szCs w:val="22"/>
          <w:lang w:val="es-ES_tradnl"/>
        </w:rPr>
        <w:t>las diligencias o etapas que se hubieren iniciado</w:t>
      </w:r>
      <w:r w:rsidRPr="003011D1">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w:t>
      </w:r>
      <w:r w:rsidRPr="003011D1">
        <w:rPr>
          <w:rFonts w:ascii="Arial" w:eastAsia="Calibri" w:hAnsi="Arial" w:cs="Arial"/>
          <w:color w:val="000000" w:themeColor="text1"/>
          <w:sz w:val="22"/>
          <w:szCs w:val="22"/>
          <w:lang w:val="es-ES_tradnl"/>
        </w:rPr>
        <w:lastRenderedPageBreak/>
        <w:t xml:space="preserve">de estos, a los de selección. A este fenómeno se le denomina aplicación </w:t>
      </w:r>
      <w:proofErr w:type="spellStart"/>
      <w:r w:rsidRPr="003011D1">
        <w:rPr>
          <w:rFonts w:ascii="Arial" w:eastAsia="Calibri" w:hAnsi="Arial" w:cs="Arial"/>
          <w:color w:val="000000" w:themeColor="text1"/>
          <w:sz w:val="22"/>
          <w:szCs w:val="22"/>
          <w:lang w:val="es-ES_tradnl"/>
        </w:rPr>
        <w:t>ultra</w:t>
      </w:r>
      <w:r w:rsidR="00BF79E3" w:rsidRPr="003011D1">
        <w:rPr>
          <w:rFonts w:ascii="Arial" w:eastAsia="Calibri" w:hAnsi="Arial" w:cs="Arial"/>
          <w:color w:val="000000" w:themeColor="text1"/>
          <w:sz w:val="22"/>
          <w:szCs w:val="22"/>
          <w:lang w:val="es-ES_tradnl"/>
        </w:rPr>
        <w:t>a</w:t>
      </w:r>
      <w:r w:rsidRPr="003011D1">
        <w:rPr>
          <w:rFonts w:ascii="Arial" w:eastAsia="Calibri" w:hAnsi="Arial" w:cs="Arial"/>
          <w:color w:val="000000" w:themeColor="text1"/>
          <w:sz w:val="22"/>
          <w:szCs w:val="22"/>
          <w:lang w:val="es-ES_tradnl"/>
        </w:rPr>
        <w:t>ctiva</w:t>
      </w:r>
      <w:proofErr w:type="spellEnd"/>
      <w:r w:rsidRPr="003011D1">
        <w:rPr>
          <w:rFonts w:ascii="Arial" w:eastAsia="Calibri" w:hAnsi="Arial" w:cs="Arial"/>
          <w:color w:val="000000" w:themeColor="text1"/>
          <w:sz w:val="22"/>
          <w:szCs w:val="22"/>
          <w:lang w:val="es-ES_tradnl"/>
        </w:rPr>
        <w:t xml:space="preserve"> de la norma</w:t>
      </w:r>
      <w:r w:rsidRPr="003011D1">
        <w:rPr>
          <w:rStyle w:val="Refdenotaalpie"/>
          <w:rFonts w:ascii="Arial" w:hAnsi="Arial" w:cs="Arial"/>
          <w:color w:val="000000" w:themeColor="text1"/>
        </w:rPr>
        <w:footnoteReference w:id="21"/>
      </w:r>
      <w:r w:rsidRPr="003011D1">
        <w:rPr>
          <w:rFonts w:ascii="Arial" w:hAnsi="Arial" w:cs="Arial"/>
          <w:color w:val="000000" w:themeColor="text1"/>
          <w:sz w:val="22"/>
          <w:szCs w:val="22"/>
          <w:lang w:val="es-ES_tradnl"/>
        </w:rPr>
        <w:t>.</w:t>
      </w:r>
      <w:r w:rsidR="00CE22DF" w:rsidRPr="003011D1">
        <w:rPr>
          <w:rFonts w:ascii="Arial" w:hAnsi="Arial" w:cs="Arial"/>
          <w:color w:val="000000" w:themeColor="text1"/>
          <w:sz w:val="22"/>
          <w:szCs w:val="22"/>
          <w:lang w:val="es-ES_tradnl"/>
        </w:rPr>
        <w:t xml:space="preserve"> </w:t>
      </w:r>
      <w:r w:rsidR="00616F2D" w:rsidRPr="003011D1">
        <w:rPr>
          <w:rFonts w:ascii="Arial" w:hAnsi="Arial" w:cs="Arial"/>
          <w:color w:val="000000" w:themeColor="text1"/>
          <w:sz w:val="22"/>
          <w:szCs w:val="22"/>
          <w:lang w:val="es-ES_tradnl"/>
        </w:rPr>
        <w:t xml:space="preserve">En estos términos, </w:t>
      </w:r>
      <w:r w:rsidR="00E16E39" w:rsidRPr="003011D1">
        <w:rPr>
          <w:rFonts w:ascii="Arial" w:hAnsi="Arial" w:cs="Arial"/>
          <w:color w:val="000000" w:themeColor="text1"/>
          <w:sz w:val="22"/>
          <w:szCs w:val="22"/>
          <w:lang w:val="es-ES_tradnl"/>
        </w:rPr>
        <w:t xml:space="preserve">la irretroactividad es la regla general </w:t>
      </w:r>
      <w:r w:rsidR="00A83C54" w:rsidRPr="003011D1">
        <w:rPr>
          <w:rFonts w:ascii="Arial" w:hAnsi="Arial" w:cs="Arial"/>
          <w:color w:val="000000" w:themeColor="text1"/>
          <w:sz w:val="22"/>
          <w:szCs w:val="22"/>
          <w:lang w:val="es-ES_tradnl"/>
        </w:rPr>
        <w:t xml:space="preserve">en la aplicación </w:t>
      </w:r>
      <w:r w:rsidR="00E16E39" w:rsidRPr="003011D1">
        <w:rPr>
          <w:rFonts w:ascii="Arial" w:hAnsi="Arial" w:cs="Arial"/>
          <w:color w:val="000000" w:themeColor="text1"/>
          <w:sz w:val="22"/>
          <w:szCs w:val="22"/>
          <w:lang w:val="es-ES_tradnl"/>
        </w:rPr>
        <w:t>de las normas, salvo casos especiales, por lo que la doctrina expresa:</w:t>
      </w:r>
    </w:p>
    <w:p w14:paraId="310B9258" w14:textId="77777777" w:rsidR="001609E5" w:rsidRPr="003011D1" w:rsidRDefault="001609E5" w:rsidP="004B3B91">
      <w:pPr>
        <w:spacing w:line="276" w:lineRule="auto"/>
        <w:ind w:firstLine="709"/>
        <w:jc w:val="both"/>
        <w:rPr>
          <w:rFonts w:ascii="Arial" w:hAnsi="Arial" w:cs="Arial"/>
          <w:color w:val="000000" w:themeColor="text1"/>
          <w:sz w:val="22"/>
          <w:szCs w:val="22"/>
          <w:lang w:val="es-ES_tradnl"/>
        </w:rPr>
      </w:pPr>
    </w:p>
    <w:p w14:paraId="1A3EDE76" w14:textId="72DD525E" w:rsidR="00E16E39" w:rsidRPr="003D34C7" w:rsidRDefault="00E16E39" w:rsidP="003D34C7">
      <w:pPr>
        <w:ind w:left="709" w:right="709"/>
        <w:jc w:val="both"/>
        <w:rPr>
          <w:rFonts w:ascii="Arial" w:hAnsi="Arial" w:cs="Arial"/>
          <w:color w:val="000000" w:themeColor="text1"/>
          <w:sz w:val="21"/>
          <w:szCs w:val="21"/>
          <w:lang w:val="es-ES_tradnl"/>
        </w:rPr>
      </w:pPr>
      <w:r w:rsidRPr="003D34C7">
        <w:rPr>
          <w:rFonts w:ascii="Arial" w:hAnsi="Arial" w:cs="Arial"/>
          <w:color w:val="000000" w:themeColor="text1"/>
          <w:sz w:val="21"/>
          <w:szCs w:val="21"/>
          <w:lang w:val="es-ES_tradnl"/>
        </w:rPr>
        <w:t xml:space="preserve">Como es bien sabido, de la regla general sobre la operatividad en el tiempo de las normas se derivan dos excepciones: la retroactividad y la </w:t>
      </w:r>
      <w:proofErr w:type="spellStart"/>
      <w:r w:rsidRPr="003D34C7">
        <w:rPr>
          <w:rFonts w:ascii="Arial" w:hAnsi="Arial" w:cs="Arial"/>
          <w:color w:val="000000" w:themeColor="text1"/>
          <w:sz w:val="21"/>
          <w:szCs w:val="21"/>
          <w:lang w:val="es-ES_tradnl"/>
        </w:rPr>
        <w:t>ultraactividad</w:t>
      </w:r>
      <w:proofErr w:type="spellEnd"/>
      <w:r w:rsidRPr="003D34C7">
        <w:rPr>
          <w:rFonts w:ascii="Arial" w:hAnsi="Arial" w:cs="Arial"/>
          <w:color w:val="000000" w:themeColor="text1"/>
          <w:sz w:val="21"/>
          <w:szCs w:val="21"/>
          <w:lang w:val="es-ES_tradnl"/>
        </w:rPr>
        <w:t>. A la primera se le conoce más bien por el principio general de derecho que establece que las normas jurídicas no deben aplicarse retroactivamente en perjuicio de persona alguna. Este principio constitucional constituye una limitación al legislador, más no un impedimento para la aplicación retroactiva de las normas. La segunda excepción ha sido menos controvertida, a pesar de que implica la aplicación de normas derogadas, ya que tiene por función la preservación de derechos específicamente determinados</w:t>
      </w:r>
      <w:r w:rsidR="007575F9" w:rsidRPr="003011D1">
        <w:rPr>
          <w:rStyle w:val="Refdenotaalpie"/>
          <w:rFonts w:ascii="Arial" w:hAnsi="Arial" w:cs="Arial"/>
          <w:color w:val="000000" w:themeColor="text1"/>
          <w:sz w:val="21"/>
          <w:szCs w:val="21"/>
          <w:lang w:val="es-ES_tradnl"/>
        </w:rPr>
        <w:footnoteReference w:id="22"/>
      </w:r>
      <w:r w:rsidRPr="003D34C7">
        <w:rPr>
          <w:rFonts w:ascii="Arial" w:hAnsi="Arial" w:cs="Arial"/>
          <w:color w:val="000000" w:themeColor="text1"/>
          <w:sz w:val="21"/>
          <w:szCs w:val="21"/>
          <w:lang w:val="es-ES_tradnl"/>
        </w:rPr>
        <w:t xml:space="preserve">. </w:t>
      </w:r>
    </w:p>
    <w:p w14:paraId="6183669E" w14:textId="3B5A90E2" w:rsidR="00E16E39" w:rsidRPr="003011D1" w:rsidRDefault="00E16E39" w:rsidP="003D34C7">
      <w:pPr>
        <w:spacing w:line="276" w:lineRule="auto"/>
        <w:jc w:val="both"/>
        <w:rPr>
          <w:rFonts w:ascii="Arial" w:hAnsi="Arial" w:cs="Arial"/>
          <w:color w:val="000000" w:themeColor="text1"/>
          <w:sz w:val="22"/>
          <w:szCs w:val="22"/>
          <w:lang w:val="es-ES_tradnl"/>
        </w:rPr>
      </w:pPr>
    </w:p>
    <w:p w14:paraId="3311E709" w14:textId="6D2C3639" w:rsidR="004B3B91" w:rsidRPr="003011D1" w:rsidRDefault="004B3B91" w:rsidP="004B3B91">
      <w:pPr>
        <w:spacing w:before="120" w:line="276" w:lineRule="auto"/>
        <w:ind w:firstLine="709"/>
        <w:jc w:val="both"/>
        <w:rPr>
          <w:rFonts w:ascii="Arial" w:hAnsi="Arial" w:cs="Arial"/>
          <w:color w:val="000000" w:themeColor="text1"/>
          <w:sz w:val="22"/>
          <w:szCs w:val="22"/>
          <w:lang w:val="es-ES_tradnl"/>
        </w:rPr>
      </w:pPr>
      <w:r w:rsidRPr="003011D1">
        <w:rPr>
          <w:rFonts w:ascii="Arial" w:hAnsi="Arial" w:cs="Arial"/>
          <w:color w:val="000000" w:themeColor="text1"/>
          <w:sz w:val="22"/>
          <w:szCs w:val="22"/>
          <w:lang w:val="es-ES_tradnl"/>
        </w:rPr>
        <w:t>A la luz de los comentarios anteriores, se observa que el artículo 58 de la Ley 2195 de 2022 no establece un condicionamiento temporal para su entrada en vigencia, y que el artículo 69 del mismo cuerpo normativo di</w:t>
      </w:r>
      <w:r w:rsidR="00023992" w:rsidRPr="003011D1">
        <w:rPr>
          <w:rFonts w:ascii="Arial" w:hAnsi="Arial" w:cs="Arial"/>
          <w:color w:val="000000" w:themeColor="text1"/>
          <w:sz w:val="22"/>
          <w:szCs w:val="22"/>
          <w:lang w:val="es-ES_tradnl"/>
        </w:rPr>
        <w:t>spone</w:t>
      </w:r>
      <w:r w:rsidRPr="003011D1">
        <w:rPr>
          <w:rFonts w:ascii="Arial" w:hAnsi="Arial" w:cs="Arial"/>
          <w:color w:val="000000" w:themeColor="text1"/>
          <w:sz w:val="22"/>
          <w:szCs w:val="22"/>
          <w:lang w:val="es-ES_tradnl"/>
        </w:rPr>
        <w:t xml:space="preserv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3011D1">
        <w:rPr>
          <w:rFonts w:ascii="Arial" w:hAnsi="Arial" w:cs="Arial"/>
          <w:i/>
          <w:iCs/>
          <w:color w:val="000000" w:themeColor="text1"/>
          <w:sz w:val="22"/>
          <w:szCs w:val="22"/>
          <w:lang w:val="es-ES_tradnl"/>
        </w:rPr>
        <w:t>causarán</w:t>
      </w:r>
      <w:r w:rsidRPr="003011D1">
        <w:rPr>
          <w:rFonts w:ascii="Arial" w:hAnsi="Arial" w:cs="Arial"/>
          <w:color w:val="000000" w:themeColor="text1"/>
          <w:sz w:val="22"/>
          <w:szCs w:val="22"/>
          <w:lang w:val="es-ES_tradnl"/>
        </w:rPr>
        <w:t xml:space="preserve"> el efecto jurídico al que se refiere el artículo 58, es decir, darán lugar, dentro del año </w:t>
      </w:r>
      <w:r w:rsidRPr="003011D1">
        <w:rPr>
          <w:rFonts w:ascii="Arial" w:hAnsi="Arial" w:cs="Arial"/>
          <w:color w:val="000000" w:themeColor="text1"/>
          <w:sz w:val="22"/>
          <w:szCs w:val="22"/>
          <w:lang w:val="es-ES_tradnl"/>
        </w:rPr>
        <w:lastRenderedPageBreak/>
        <w:t>posterior a su declaratoria, a la reducción del puntaje en el correspondiente procedimiento de selección, con las excepciones indicadas en la norma bajo análisis.</w:t>
      </w:r>
    </w:p>
    <w:p w14:paraId="50D90B87" w14:textId="37468541" w:rsidR="004B3B91" w:rsidRPr="003011D1" w:rsidRDefault="004B3B91" w:rsidP="004B3B91">
      <w:pPr>
        <w:spacing w:before="120" w:line="276" w:lineRule="auto"/>
        <w:ind w:firstLine="709"/>
        <w:jc w:val="both"/>
        <w:rPr>
          <w:rFonts w:ascii="Arial" w:hAnsi="Arial" w:cs="Arial"/>
          <w:color w:val="000000" w:themeColor="text1"/>
          <w:sz w:val="22"/>
          <w:szCs w:val="22"/>
          <w:lang w:val="es-ES_tradnl"/>
        </w:rPr>
      </w:pPr>
      <w:r w:rsidRPr="003011D1">
        <w:rPr>
          <w:rFonts w:ascii="Arial" w:hAnsi="Arial" w:cs="Arial"/>
          <w:color w:val="000000" w:themeColor="text1"/>
          <w:sz w:val="22"/>
          <w:szCs w:val="22"/>
          <w:lang w:val="es-ES_tradnl"/>
        </w:rPr>
        <w:t xml:space="preserve">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w:t>
      </w:r>
      <w:r w:rsidR="00A2633B" w:rsidRPr="003011D1">
        <w:rPr>
          <w:rFonts w:ascii="Arial" w:hAnsi="Arial" w:cs="Arial"/>
          <w:color w:val="000000" w:themeColor="text1"/>
          <w:sz w:val="22"/>
          <w:szCs w:val="22"/>
          <w:lang w:val="es-ES_tradnl"/>
        </w:rPr>
        <w:t xml:space="preserve">rigiera </w:t>
      </w:r>
      <w:r w:rsidRPr="003011D1">
        <w:rPr>
          <w:rFonts w:ascii="Arial" w:hAnsi="Arial" w:cs="Arial"/>
          <w:color w:val="000000" w:themeColor="text1"/>
          <w:sz w:val="22"/>
          <w:szCs w:val="22"/>
          <w:lang w:val="es-ES_tradnl"/>
        </w:rPr>
        <w:t>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w:t>
      </w:r>
      <w:r w:rsidR="00616F2D" w:rsidRPr="003011D1">
        <w:rPr>
          <w:rFonts w:ascii="Arial" w:hAnsi="Arial" w:cs="Arial"/>
          <w:color w:val="000000" w:themeColor="text1"/>
          <w:sz w:val="22"/>
          <w:szCs w:val="22"/>
          <w:lang w:val="es-ES_tradnl"/>
        </w:rPr>
        <w:t>, toda vez que vulneraría el debido proceso administrativo</w:t>
      </w:r>
      <w:r w:rsidRPr="003011D1">
        <w:rPr>
          <w:rFonts w:ascii="Arial" w:hAnsi="Arial" w:cs="Arial"/>
          <w:color w:val="000000" w:themeColor="text1"/>
          <w:sz w:val="22"/>
          <w:szCs w:val="22"/>
          <w:lang w:val="es-ES_tradnl"/>
        </w:rPr>
        <w:t xml:space="preserve">. Caso distinto es aquel en el que a un contratista se le aplica una multa, verbigracia, el 25 de </w:t>
      </w:r>
      <w:r w:rsidR="00F75680" w:rsidRPr="003011D1">
        <w:rPr>
          <w:rFonts w:ascii="Arial" w:hAnsi="Arial" w:cs="Arial"/>
          <w:color w:val="000000" w:themeColor="text1"/>
          <w:sz w:val="22"/>
          <w:szCs w:val="22"/>
          <w:lang w:val="es-ES_tradnl"/>
        </w:rPr>
        <w:t xml:space="preserve">febrero </w:t>
      </w:r>
      <w:r w:rsidRPr="003011D1">
        <w:rPr>
          <w:rFonts w:ascii="Arial" w:hAnsi="Arial" w:cs="Arial"/>
          <w:color w:val="000000" w:themeColor="text1"/>
          <w:sz w:val="22"/>
          <w:szCs w:val="22"/>
          <w:lang w:val="es-ES_tradnl"/>
        </w:rPr>
        <w:t xml:space="preserve">de 2022 y se presenta a una licitación pública el 18 de </w:t>
      </w:r>
      <w:r w:rsidR="00F75680" w:rsidRPr="003011D1">
        <w:rPr>
          <w:rFonts w:ascii="Arial" w:hAnsi="Arial" w:cs="Arial"/>
          <w:color w:val="000000" w:themeColor="text1"/>
          <w:sz w:val="22"/>
          <w:szCs w:val="22"/>
          <w:lang w:val="es-ES_tradnl"/>
        </w:rPr>
        <w:t xml:space="preserve">marzo </w:t>
      </w:r>
      <w:r w:rsidRPr="003011D1">
        <w:rPr>
          <w:rFonts w:ascii="Arial" w:hAnsi="Arial" w:cs="Arial"/>
          <w:color w:val="000000" w:themeColor="text1"/>
          <w:sz w:val="22"/>
          <w:szCs w:val="22"/>
          <w:lang w:val="es-ES_tradnl"/>
        </w:rPr>
        <w:t>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bookmarkEnd w:id="6"/>
    <w:p w14:paraId="278D5ED4" w14:textId="77777777" w:rsidR="00D05F2B" w:rsidRPr="003011D1" w:rsidRDefault="00D05F2B" w:rsidP="003D34C7">
      <w:pPr>
        <w:tabs>
          <w:tab w:val="left" w:pos="0"/>
        </w:tabs>
        <w:spacing w:after="120" w:line="276" w:lineRule="auto"/>
        <w:jc w:val="both"/>
        <w:rPr>
          <w:rFonts w:ascii="Arial" w:eastAsia="Calibri" w:hAnsi="Arial" w:cs="Arial"/>
          <w:b/>
          <w:color w:val="000000" w:themeColor="text1"/>
          <w:sz w:val="22"/>
          <w:lang w:val="es-ES_tradnl"/>
        </w:rPr>
      </w:pPr>
    </w:p>
    <w:p w14:paraId="37CA9805" w14:textId="7B3C1B57" w:rsidR="00DD5B04" w:rsidRPr="003011D1" w:rsidRDefault="004177A6" w:rsidP="00F75680">
      <w:pPr>
        <w:tabs>
          <w:tab w:val="left" w:pos="0"/>
        </w:tabs>
        <w:jc w:val="both"/>
        <w:rPr>
          <w:rFonts w:ascii="Arial" w:eastAsia="Calibri" w:hAnsi="Arial" w:cs="Arial"/>
          <w:b/>
          <w:color w:val="000000" w:themeColor="text1"/>
          <w:sz w:val="22"/>
          <w:lang w:val="es-ES_tradnl"/>
        </w:rPr>
      </w:pPr>
      <w:r w:rsidRPr="003011D1">
        <w:rPr>
          <w:rFonts w:ascii="Arial" w:eastAsia="Calibri" w:hAnsi="Arial" w:cs="Arial"/>
          <w:b/>
          <w:color w:val="000000" w:themeColor="text1"/>
          <w:sz w:val="22"/>
          <w:lang w:val="es-ES_tradnl"/>
        </w:rPr>
        <w:t>3</w:t>
      </w:r>
      <w:r w:rsidR="00B011A9" w:rsidRPr="003011D1">
        <w:rPr>
          <w:rFonts w:ascii="Arial" w:eastAsia="Calibri" w:hAnsi="Arial" w:cs="Arial"/>
          <w:b/>
          <w:color w:val="000000" w:themeColor="text1"/>
          <w:sz w:val="22"/>
          <w:lang w:val="es-ES_tradnl"/>
        </w:rPr>
        <w:t xml:space="preserve">. </w:t>
      </w:r>
      <w:r w:rsidR="00DD5B04" w:rsidRPr="003011D1">
        <w:rPr>
          <w:rFonts w:ascii="Arial" w:eastAsia="Calibri" w:hAnsi="Arial" w:cs="Arial"/>
          <w:b/>
          <w:color w:val="000000" w:themeColor="text1"/>
          <w:sz w:val="22"/>
          <w:lang w:val="es-ES_tradnl"/>
        </w:rPr>
        <w:t>Respuesta</w:t>
      </w:r>
    </w:p>
    <w:p w14:paraId="0B74D5B8" w14:textId="7F0A7F13" w:rsidR="00C4581D" w:rsidRPr="003011D1" w:rsidRDefault="00C4581D" w:rsidP="00510DE9">
      <w:pPr>
        <w:tabs>
          <w:tab w:val="left" w:pos="0"/>
        </w:tabs>
        <w:jc w:val="both"/>
        <w:rPr>
          <w:rFonts w:ascii="Arial" w:eastAsia="Calibri" w:hAnsi="Arial" w:cs="Arial"/>
          <w:color w:val="000000" w:themeColor="text1"/>
          <w:sz w:val="21"/>
          <w:szCs w:val="21"/>
          <w:lang w:val="es-ES_tradnl"/>
        </w:rPr>
      </w:pPr>
    </w:p>
    <w:p w14:paraId="51CCE0C3" w14:textId="77777777" w:rsidR="00B147DA" w:rsidRPr="003011D1" w:rsidRDefault="00B147DA" w:rsidP="00B147DA">
      <w:pPr>
        <w:autoSpaceDE w:val="0"/>
        <w:autoSpaceDN w:val="0"/>
        <w:adjustRightInd w:val="0"/>
        <w:ind w:left="709" w:right="709"/>
        <w:jc w:val="both"/>
        <w:rPr>
          <w:rFonts w:ascii="Arial" w:eastAsiaTheme="minorHAnsi" w:hAnsi="Arial" w:cs="Arial"/>
          <w:color w:val="000000" w:themeColor="text1"/>
          <w:sz w:val="21"/>
          <w:szCs w:val="21"/>
          <w:lang w:val="es-ES" w:eastAsia="en-US"/>
        </w:rPr>
      </w:pPr>
      <w:r w:rsidRPr="003011D1">
        <w:rPr>
          <w:rFonts w:ascii="Arial" w:eastAsia="Calibri" w:hAnsi="Arial" w:cs="Arial"/>
          <w:color w:val="000000" w:themeColor="text1"/>
          <w:sz w:val="21"/>
          <w:szCs w:val="21"/>
          <w:lang w:eastAsia="en-US"/>
        </w:rPr>
        <w:t>«</w:t>
      </w:r>
      <w:r w:rsidRPr="003011D1">
        <w:rPr>
          <w:rFonts w:ascii="Arial" w:eastAsiaTheme="minorHAnsi" w:hAnsi="Arial" w:cs="Arial"/>
          <w:color w:val="000000" w:themeColor="text1"/>
          <w:sz w:val="21"/>
          <w:szCs w:val="21"/>
          <w:lang w:val="es-ES" w:eastAsia="en-US"/>
        </w:rPr>
        <w:t>La reducción del 2% de que trata el artículo 58 de la Ley 2195 no aplica en relación con las multas y cláusulas penales que hubieran quedado en firme antes de la expedición de la Ley 2195, con base en la teoría de la irretroactividad de la Ley, sustentada en la jurisprudencia que se expone a continuación. Favor confirmar este entendimiento».</w:t>
      </w:r>
    </w:p>
    <w:p w14:paraId="62DDBC1C" w14:textId="77777777" w:rsidR="00CC3C22" w:rsidRPr="003011D1" w:rsidRDefault="00CC3C22" w:rsidP="00770566">
      <w:pPr>
        <w:ind w:left="709" w:right="709"/>
        <w:jc w:val="both"/>
        <w:rPr>
          <w:rFonts w:ascii="Arial" w:hAnsi="Arial" w:cs="Arial"/>
          <w:color w:val="000000" w:themeColor="text1"/>
          <w:sz w:val="21"/>
          <w:szCs w:val="21"/>
          <w:lang w:val="es-ES_tradnl"/>
        </w:rPr>
      </w:pPr>
    </w:p>
    <w:p w14:paraId="74F2BD5D" w14:textId="28ED6830" w:rsidR="007575F9" w:rsidRPr="003D34C7" w:rsidRDefault="00F75680" w:rsidP="00F75680">
      <w:pPr>
        <w:spacing w:before="120" w:line="276" w:lineRule="auto"/>
        <w:jc w:val="both"/>
        <w:rPr>
          <w:rFonts w:ascii="Arial" w:hAnsi="Arial" w:cs="Arial"/>
          <w:color w:val="000000" w:themeColor="text1"/>
          <w:sz w:val="22"/>
          <w:szCs w:val="22"/>
          <w:lang w:val="es-ES_tradnl"/>
        </w:rPr>
      </w:pPr>
      <w:r w:rsidRPr="003D34C7">
        <w:rPr>
          <w:rFonts w:ascii="Arial" w:hAnsi="Arial" w:cs="Arial"/>
          <w:color w:val="000000" w:themeColor="text1"/>
          <w:sz w:val="22"/>
          <w:szCs w:val="22"/>
          <w:shd w:val="clear" w:color="auto" w:fill="FFFFFF"/>
          <w:lang w:val="es-ES_tradnl"/>
        </w:rPr>
        <w:t>Como se explicó en las consideraciones,</w:t>
      </w:r>
      <w:r w:rsidR="008A271D" w:rsidRPr="003D34C7">
        <w:rPr>
          <w:rFonts w:ascii="Arial" w:eastAsia="Calibri" w:hAnsi="Arial" w:cs="Arial"/>
          <w:bCs/>
          <w:color w:val="000000" w:themeColor="text1"/>
          <w:sz w:val="22"/>
          <w:lang w:val="es-ES_tradnl"/>
        </w:rPr>
        <w:t xml:space="preserve"> </w:t>
      </w:r>
      <w:r w:rsidR="007575F9" w:rsidRPr="003D34C7">
        <w:rPr>
          <w:rFonts w:ascii="Arial" w:hAnsi="Arial" w:cs="Arial"/>
          <w:color w:val="000000" w:themeColor="text1"/>
          <w:sz w:val="22"/>
          <w:szCs w:val="22"/>
          <w:lang w:val="es-ES_tradnl"/>
        </w:rPr>
        <w:t xml:space="preserve">el artículo 58 de la Ley 2195 de 2022 no establece un condicionamiento temporal para su entrada en vigencia, y el artículo 69 del mismo cuerpo normativo dispone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007575F9" w:rsidRPr="003D34C7">
        <w:rPr>
          <w:rFonts w:ascii="Arial" w:hAnsi="Arial" w:cs="Arial"/>
          <w:i/>
          <w:iCs/>
          <w:color w:val="000000" w:themeColor="text1"/>
          <w:sz w:val="22"/>
          <w:szCs w:val="22"/>
          <w:lang w:val="es-ES_tradnl"/>
        </w:rPr>
        <w:t>causarán</w:t>
      </w:r>
      <w:r w:rsidR="007575F9" w:rsidRPr="003D34C7">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p w14:paraId="1F57A162" w14:textId="6719CB8A" w:rsidR="007575F9" w:rsidRPr="003011D1" w:rsidRDefault="007575F9" w:rsidP="007575F9">
      <w:pPr>
        <w:spacing w:before="120" w:line="276" w:lineRule="auto"/>
        <w:ind w:firstLine="709"/>
        <w:jc w:val="both"/>
        <w:rPr>
          <w:rFonts w:ascii="Arial" w:hAnsi="Arial" w:cs="Arial"/>
          <w:color w:val="000000" w:themeColor="text1"/>
          <w:sz w:val="22"/>
          <w:szCs w:val="22"/>
          <w:lang w:val="es-ES_tradnl"/>
        </w:rPr>
      </w:pPr>
      <w:r w:rsidRPr="003D34C7">
        <w:rPr>
          <w:rFonts w:ascii="Arial" w:hAnsi="Arial" w:cs="Arial"/>
          <w:color w:val="000000" w:themeColor="text1"/>
          <w:sz w:val="22"/>
          <w:szCs w:val="22"/>
          <w:lang w:val="es-ES_tradnl"/>
        </w:rPr>
        <w:lastRenderedPageBreak/>
        <w:t xml:space="preserve">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rigiera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toda vez que vulneraría el debido proceso administrativo. Caso distinto es aquel en el que a un contratista se le aplica una multa, verbigracia, el 25 de </w:t>
      </w:r>
      <w:r w:rsidR="00F75680" w:rsidRPr="003D34C7">
        <w:rPr>
          <w:rFonts w:ascii="Arial" w:hAnsi="Arial" w:cs="Arial"/>
          <w:color w:val="000000" w:themeColor="text1"/>
          <w:sz w:val="22"/>
          <w:szCs w:val="22"/>
          <w:lang w:val="es-ES_tradnl"/>
        </w:rPr>
        <w:t xml:space="preserve">febrero </w:t>
      </w:r>
      <w:r w:rsidRPr="003D34C7">
        <w:rPr>
          <w:rFonts w:ascii="Arial" w:hAnsi="Arial" w:cs="Arial"/>
          <w:color w:val="000000" w:themeColor="text1"/>
          <w:sz w:val="22"/>
          <w:szCs w:val="22"/>
          <w:lang w:val="es-ES_tradnl"/>
        </w:rPr>
        <w:t xml:space="preserve">de 2022 y se presenta a una licitación pública el 18 de </w:t>
      </w:r>
      <w:r w:rsidR="00F75680" w:rsidRPr="003D34C7">
        <w:rPr>
          <w:rFonts w:ascii="Arial" w:hAnsi="Arial" w:cs="Arial"/>
          <w:color w:val="000000" w:themeColor="text1"/>
          <w:sz w:val="22"/>
          <w:szCs w:val="22"/>
          <w:lang w:val="es-ES_tradnl"/>
        </w:rPr>
        <w:t xml:space="preserve">marzo </w:t>
      </w:r>
      <w:r w:rsidRPr="003D34C7">
        <w:rPr>
          <w:rFonts w:ascii="Arial" w:hAnsi="Arial" w:cs="Arial"/>
          <w:color w:val="000000" w:themeColor="text1"/>
          <w:sz w:val="22"/>
          <w:szCs w:val="22"/>
          <w:lang w:val="es-ES_tradnl"/>
        </w:rPr>
        <w:t>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p w14:paraId="54A64AF5" w14:textId="77777777" w:rsidR="003E7456" w:rsidRPr="003011D1" w:rsidRDefault="003E7456" w:rsidP="006634B2">
      <w:pPr>
        <w:spacing w:after="120" w:line="276" w:lineRule="auto"/>
        <w:jc w:val="both"/>
        <w:rPr>
          <w:rFonts w:ascii="Arial" w:hAnsi="Arial" w:cs="Arial"/>
          <w:color w:val="000000" w:themeColor="text1"/>
          <w:sz w:val="22"/>
          <w:lang w:val="es-ES_tradnl"/>
        </w:rPr>
      </w:pPr>
    </w:p>
    <w:p w14:paraId="7B2C921D" w14:textId="37DC1C97" w:rsidR="00DD5B04" w:rsidRPr="003011D1" w:rsidRDefault="00DD5B04" w:rsidP="00DF76A2">
      <w:pPr>
        <w:spacing w:line="276" w:lineRule="auto"/>
        <w:jc w:val="both"/>
        <w:rPr>
          <w:rFonts w:ascii="Arial" w:hAnsi="Arial" w:cs="Arial"/>
          <w:color w:val="000000" w:themeColor="text1"/>
          <w:sz w:val="22"/>
          <w:lang w:val="es-ES_tradnl"/>
        </w:rPr>
      </w:pPr>
      <w:r w:rsidRPr="003011D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011D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011D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011D1">
        <w:rPr>
          <w:rFonts w:ascii="Arial" w:hAnsi="Arial" w:cs="Arial"/>
          <w:color w:val="000000" w:themeColor="text1"/>
          <w:sz w:val="22"/>
          <w:szCs w:val="22"/>
          <w:lang w:val="es-ES_tradnl"/>
        </w:rPr>
        <w:t>Atentamente,</w:t>
      </w:r>
    </w:p>
    <w:p w14:paraId="1059D3FE" w14:textId="1CCDDA26" w:rsidR="00FD6145" w:rsidRPr="003011D1" w:rsidRDefault="00FD6145" w:rsidP="00FD6145">
      <w:pPr>
        <w:rPr>
          <w:rFonts w:ascii="Arial" w:hAnsi="Arial" w:cs="Arial"/>
          <w:noProof/>
          <w:color w:val="000000" w:themeColor="text1"/>
          <w:sz w:val="22"/>
          <w:lang w:val="en-US" w:eastAsia="en-US"/>
        </w:rPr>
      </w:pPr>
    </w:p>
    <w:p w14:paraId="364AED59" w14:textId="77777777" w:rsidR="00223CD7" w:rsidRPr="003011D1" w:rsidRDefault="00223CD7" w:rsidP="00223CD7">
      <w:pPr>
        <w:jc w:val="center"/>
        <w:rPr>
          <w:rFonts w:ascii="Arial" w:hAnsi="Arial" w:cs="Arial"/>
          <w:color w:val="000000" w:themeColor="text1"/>
          <w:sz w:val="18"/>
          <w:szCs w:val="20"/>
          <w:lang w:val="es-ES_tradnl" w:eastAsia="es-CO"/>
        </w:rPr>
      </w:pPr>
      <w:r w:rsidRPr="003011D1">
        <w:rPr>
          <w:rFonts w:ascii="Arial" w:hAnsi="Arial" w:cs="Arial"/>
          <w:noProof/>
          <w:color w:val="000000" w:themeColor="text1"/>
          <w:sz w:val="22"/>
          <w:lang w:val="en-US" w:eastAsia="en-US"/>
        </w:rPr>
        <w:drawing>
          <wp:inline distT="0" distB="0" distL="0" distR="0" wp14:anchorId="5D0E977E" wp14:editId="13D6A0E1">
            <wp:extent cx="2924623" cy="13430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343009"/>
                    </a:xfrm>
                    <a:prstGeom prst="rect">
                      <a:avLst/>
                    </a:prstGeom>
                  </pic:spPr>
                </pic:pic>
              </a:graphicData>
            </a:graphic>
          </wp:inline>
        </w:drawing>
      </w:r>
    </w:p>
    <w:p w14:paraId="738050A9" w14:textId="77777777" w:rsidR="00223CD7" w:rsidRPr="003011D1" w:rsidRDefault="00223CD7" w:rsidP="00223CD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011D1" w:rsidRPr="003011D1" w14:paraId="5861B44D" w14:textId="77777777" w:rsidTr="00440B2C">
        <w:trPr>
          <w:trHeight w:val="315"/>
        </w:trPr>
        <w:tc>
          <w:tcPr>
            <w:tcW w:w="812" w:type="dxa"/>
            <w:vAlign w:val="center"/>
            <w:hideMark/>
          </w:tcPr>
          <w:p w14:paraId="1CA361BA"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E8D9A3"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José Luis Sánchez Cardona</w:t>
            </w:r>
          </w:p>
          <w:p w14:paraId="79F21D79"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Contratista de la Subdirección de Gestión Contractual</w:t>
            </w:r>
          </w:p>
        </w:tc>
      </w:tr>
      <w:tr w:rsidR="003011D1" w:rsidRPr="003011D1" w14:paraId="11817D65" w14:textId="77777777" w:rsidTr="00440B2C">
        <w:trPr>
          <w:trHeight w:val="330"/>
        </w:trPr>
        <w:tc>
          <w:tcPr>
            <w:tcW w:w="812" w:type="dxa"/>
            <w:vAlign w:val="center"/>
            <w:hideMark/>
          </w:tcPr>
          <w:p w14:paraId="374EC5DD"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E6FDD6" w14:textId="77777777" w:rsidR="00E86263" w:rsidRPr="003011D1" w:rsidRDefault="00E86263"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Sebastián Ramírez Grisales</w:t>
            </w:r>
          </w:p>
          <w:p w14:paraId="5D3D3E07" w14:textId="0C4AE3BF" w:rsidR="00223CD7" w:rsidRPr="003011D1" w:rsidRDefault="00E86263"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Contratista</w:t>
            </w:r>
            <w:r w:rsidR="00223CD7" w:rsidRPr="003011D1">
              <w:rPr>
                <w:rFonts w:ascii="Arial" w:hAnsi="Arial" w:cs="Arial"/>
                <w:color w:val="000000" w:themeColor="text1"/>
                <w:sz w:val="16"/>
                <w:szCs w:val="16"/>
                <w:lang w:val="es-ES_tradnl" w:eastAsia="es-ES"/>
              </w:rPr>
              <w:t xml:space="preserve"> de la Subdirección de Gestión Contractual</w:t>
            </w:r>
          </w:p>
        </w:tc>
      </w:tr>
      <w:tr w:rsidR="00223CD7" w:rsidRPr="003011D1" w14:paraId="4B783178" w14:textId="77777777" w:rsidTr="00440B2C">
        <w:trPr>
          <w:trHeight w:val="300"/>
        </w:trPr>
        <w:tc>
          <w:tcPr>
            <w:tcW w:w="812" w:type="dxa"/>
            <w:vAlign w:val="center"/>
            <w:hideMark/>
          </w:tcPr>
          <w:p w14:paraId="2FB43FEB"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04E500"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Jorge Augusto Tirado Navarro</w:t>
            </w:r>
          </w:p>
          <w:p w14:paraId="23D2078B" w14:textId="77777777" w:rsidR="00223CD7" w:rsidRPr="003011D1" w:rsidRDefault="00223CD7" w:rsidP="00223CD7">
            <w:pPr>
              <w:rPr>
                <w:rFonts w:ascii="Arial" w:hAnsi="Arial" w:cs="Arial"/>
                <w:color w:val="000000" w:themeColor="text1"/>
                <w:sz w:val="16"/>
                <w:szCs w:val="16"/>
                <w:lang w:val="es-ES_tradnl" w:eastAsia="es-ES"/>
              </w:rPr>
            </w:pPr>
            <w:r w:rsidRPr="003011D1">
              <w:rPr>
                <w:rFonts w:ascii="Arial" w:hAnsi="Arial" w:cs="Arial"/>
                <w:color w:val="000000" w:themeColor="text1"/>
                <w:sz w:val="16"/>
                <w:szCs w:val="16"/>
                <w:lang w:val="es-ES_tradnl" w:eastAsia="es-ES"/>
              </w:rPr>
              <w:t>Subdirector de Gestión Contractual</w:t>
            </w:r>
          </w:p>
        </w:tc>
      </w:tr>
    </w:tbl>
    <w:p w14:paraId="20369F26" w14:textId="77777777" w:rsidR="00223CD7" w:rsidRPr="003011D1" w:rsidRDefault="00223CD7" w:rsidP="00FD6145">
      <w:pPr>
        <w:rPr>
          <w:rFonts w:ascii="Arial" w:hAnsi="Arial" w:cs="Arial"/>
          <w:color w:val="000000" w:themeColor="text1"/>
          <w:sz w:val="22"/>
          <w:lang w:val="es-MX" w:eastAsia="es-CO"/>
        </w:rPr>
      </w:pPr>
    </w:p>
    <w:bookmarkEnd w:id="3"/>
    <w:p w14:paraId="065991ED" w14:textId="6F338CF1" w:rsidR="003E7456" w:rsidRPr="003011D1" w:rsidRDefault="003E7456" w:rsidP="00FC3E8F">
      <w:pPr>
        <w:tabs>
          <w:tab w:val="left" w:pos="1672"/>
        </w:tabs>
        <w:rPr>
          <w:rFonts w:ascii="Arial" w:hAnsi="Arial" w:cs="Arial"/>
          <w:color w:val="000000" w:themeColor="text1"/>
          <w:lang w:val="es-ES_tradnl"/>
        </w:rPr>
      </w:pPr>
    </w:p>
    <w:sectPr w:rsidR="003E7456" w:rsidRPr="003011D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52BEF" w14:textId="77777777" w:rsidR="006A5037" w:rsidRDefault="006A5037">
      <w:r>
        <w:separator/>
      </w:r>
    </w:p>
  </w:endnote>
  <w:endnote w:type="continuationSeparator" w:id="0">
    <w:p w14:paraId="6FEA0E81" w14:textId="77777777" w:rsidR="006A5037" w:rsidRDefault="006A5037">
      <w:r>
        <w:continuationSeparator/>
      </w:r>
    </w:p>
  </w:endnote>
  <w:endnote w:type="continuationNotice" w:id="1">
    <w:p w14:paraId="5CF21AAB" w14:textId="77777777" w:rsidR="006A5037" w:rsidRDefault="006A5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F4163" w:rsidRDefault="008F4163" w:rsidP="00322937">
    <w:pPr>
      <w:pStyle w:val="Sinespaciado"/>
      <w:jc w:val="right"/>
      <w:rPr>
        <w:rFonts w:ascii="Arial" w:hAnsi="Arial" w:cs="Arial"/>
        <w:sz w:val="18"/>
        <w:szCs w:val="18"/>
      </w:rPr>
    </w:pPr>
  </w:p>
  <w:p w14:paraId="7A3785F3" w14:textId="569A3FB2"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20E">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20E">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lang w:val="en-US"/>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82AF" w14:textId="77777777" w:rsidR="006A5037" w:rsidRDefault="006A5037">
      <w:r>
        <w:separator/>
      </w:r>
    </w:p>
  </w:footnote>
  <w:footnote w:type="continuationSeparator" w:id="0">
    <w:p w14:paraId="6EDB6CCE" w14:textId="77777777" w:rsidR="006A5037" w:rsidRDefault="006A5037">
      <w:r>
        <w:continuationSeparator/>
      </w:r>
    </w:p>
  </w:footnote>
  <w:footnote w:type="continuationNotice" w:id="1">
    <w:p w14:paraId="19306AFD" w14:textId="77777777" w:rsidR="006A5037" w:rsidRDefault="006A5037"/>
  </w:footnote>
  <w:footnote w:id="2">
    <w:p w14:paraId="365A6640" w14:textId="77777777" w:rsidR="004B3B91" w:rsidRPr="004E4F11" w:rsidRDefault="004B3B91" w:rsidP="004B3B91">
      <w:pPr>
        <w:pStyle w:val="Textonotapie"/>
        <w:ind w:firstLine="709"/>
        <w:jc w:val="both"/>
        <w:rPr>
          <w:rFonts w:ascii="Arial" w:hAnsi="Arial" w:cs="Arial"/>
          <w:iCs/>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iCs/>
          <w:color w:val="000000" w:themeColor="text1"/>
          <w:sz w:val="19"/>
          <w:szCs w:val="19"/>
        </w:rPr>
        <w:t xml:space="preserve"> CONSEJO DE ESTADO. Sección Tercera. Sentencia del 12 de julio de 2012. Danilo Rojas </w:t>
      </w:r>
      <w:proofErr w:type="spellStart"/>
      <w:r w:rsidRPr="004E4F11">
        <w:rPr>
          <w:rFonts w:ascii="Arial" w:hAnsi="Arial" w:cs="Arial"/>
          <w:iCs/>
          <w:color w:val="000000" w:themeColor="text1"/>
          <w:sz w:val="19"/>
          <w:szCs w:val="19"/>
        </w:rPr>
        <w:t>Betancourth</w:t>
      </w:r>
      <w:proofErr w:type="spellEnd"/>
      <w:r w:rsidRPr="004E4F11">
        <w:rPr>
          <w:rFonts w:ascii="Arial" w:hAnsi="Arial" w:cs="Arial"/>
          <w:iCs/>
          <w:color w:val="000000" w:themeColor="text1"/>
          <w:sz w:val="19"/>
          <w:szCs w:val="19"/>
        </w:rPr>
        <w:t xml:space="preserve">. </w:t>
      </w:r>
      <w:proofErr w:type="spellStart"/>
      <w:r w:rsidRPr="004E4F11">
        <w:rPr>
          <w:rFonts w:ascii="Arial" w:hAnsi="Arial" w:cs="Arial"/>
          <w:iCs/>
          <w:color w:val="000000" w:themeColor="text1"/>
          <w:sz w:val="19"/>
          <w:szCs w:val="19"/>
        </w:rPr>
        <w:t>Exp</w:t>
      </w:r>
      <w:proofErr w:type="spellEnd"/>
      <w:r w:rsidRPr="004E4F11">
        <w:rPr>
          <w:rFonts w:ascii="Arial" w:hAnsi="Arial" w:cs="Arial"/>
          <w:iCs/>
          <w:color w:val="000000" w:themeColor="text1"/>
          <w:sz w:val="19"/>
          <w:szCs w:val="19"/>
        </w:rPr>
        <w:t xml:space="preserve">. 15.024. C.P. </w:t>
      </w:r>
    </w:p>
    <w:p w14:paraId="45116FF4" w14:textId="77777777" w:rsidR="004B3B91" w:rsidRPr="004E4F11" w:rsidRDefault="004B3B91" w:rsidP="004B3B91">
      <w:pPr>
        <w:pStyle w:val="Textonotapie"/>
        <w:ind w:firstLine="709"/>
        <w:jc w:val="both"/>
        <w:rPr>
          <w:rFonts w:ascii="Arial" w:hAnsi="Arial" w:cs="Arial"/>
          <w:color w:val="000000" w:themeColor="text1"/>
          <w:sz w:val="19"/>
          <w:szCs w:val="19"/>
        </w:rPr>
      </w:pPr>
    </w:p>
  </w:footnote>
  <w:footnote w:id="3">
    <w:p w14:paraId="4900C127" w14:textId="77777777" w:rsidR="004B3B91" w:rsidRPr="004E4F11" w:rsidRDefault="004B3B91" w:rsidP="004B3B91">
      <w:pPr>
        <w:pStyle w:val="Textonotapie"/>
        <w:ind w:firstLine="709"/>
        <w:jc w:val="both"/>
        <w:rPr>
          <w:rFonts w:ascii="Arial" w:hAnsi="Arial" w:cs="Arial"/>
          <w:iCs/>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3CFEC305" w14:textId="77777777" w:rsidR="004B3B91" w:rsidRPr="004E4F11" w:rsidRDefault="004B3B91" w:rsidP="004B3B91">
      <w:pPr>
        <w:pStyle w:val="Textonotapie"/>
        <w:ind w:firstLine="709"/>
        <w:jc w:val="both"/>
        <w:rPr>
          <w:rFonts w:ascii="Arial" w:hAnsi="Arial" w:cs="Arial"/>
          <w:color w:val="000000" w:themeColor="text1"/>
          <w:sz w:val="19"/>
          <w:szCs w:val="19"/>
        </w:rPr>
      </w:pPr>
    </w:p>
  </w:footnote>
  <w:footnote w:id="4">
    <w:p w14:paraId="148C6618"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CONSEJO DE ESTADO. Sección Tercera. Sentencia del 15 de noviembre de 2011. Consejera Ponente: Olga </w:t>
      </w:r>
      <w:proofErr w:type="spellStart"/>
      <w:r w:rsidRPr="004E4F11">
        <w:rPr>
          <w:rFonts w:ascii="Arial" w:hAnsi="Arial" w:cs="Arial"/>
          <w:color w:val="000000" w:themeColor="text1"/>
          <w:sz w:val="19"/>
          <w:szCs w:val="19"/>
        </w:rPr>
        <w:t>Mélida</w:t>
      </w:r>
      <w:proofErr w:type="spellEnd"/>
      <w:r w:rsidRPr="004E4F11">
        <w:rPr>
          <w:rFonts w:ascii="Arial" w:hAnsi="Arial" w:cs="Arial"/>
          <w:color w:val="000000" w:themeColor="text1"/>
          <w:sz w:val="19"/>
          <w:szCs w:val="19"/>
        </w:rPr>
        <w:t xml:space="preserve"> Valle de </w:t>
      </w:r>
      <w:proofErr w:type="spellStart"/>
      <w:r w:rsidRPr="004E4F11">
        <w:rPr>
          <w:rFonts w:ascii="Arial" w:hAnsi="Arial" w:cs="Arial"/>
          <w:color w:val="000000" w:themeColor="text1"/>
          <w:sz w:val="19"/>
          <w:szCs w:val="19"/>
        </w:rPr>
        <w:t>De</w:t>
      </w:r>
      <w:proofErr w:type="spellEnd"/>
      <w:r w:rsidRPr="004E4F11">
        <w:rPr>
          <w:rFonts w:ascii="Arial" w:hAnsi="Arial" w:cs="Arial"/>
          <w:color w:val="000000" w:themeColor="text1"/>
          <w:sz w:val="19"/>
          <w:szCs w:val="19"/>
        </w:rPr>
        <w:t xml:space="preserve"> La Hoz. Expediente: 20.916.</w:t>
      </w:r>
    </w:p>
    <w:p w14:paraId="693560F0" w14:textId="77777777" w:rsidR="004B3B91" w:rsidRPr="004E4F11" w:rsidRDefault="004B3B91" w:rsidP="004B3B91">
      <w:pPr>
        <w:pStyle w:val="Textonotapie"/>
        <w:ind w:firstLine="709"/>
        <w:jc w:val="both"/>
        <w:rPr>
          <w:rFonts w:ascii="Arial" w:hAnsi="Arial" w:cs="Arial"/>
          <w:color w:val="000000" w:themeColor="text1"/>
          <w:sz w:val="19"/>
          <w:szCs w:val="19"/>
          <w:lang w:val="es-ES"/>
        </w:rPr>
      </w:pPr>
    </w:p>
  </w:footnote>
  <w:footnote w:id="5">
    <w:p w14:paraId="3FD4B632"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w:t>
      </w:r>
      <w:r w:rsidRPr="004E4F11">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4E4F11">
        <w:rPr>
          <w:rFonts w:ascii="Arial" w:hAnsi="Arial" w:cs="Arial"/>
          <w:color w:val="000000" w:themeColor="text1"/>
          <w:sz w:val="19"/>
          <w:szCs w:val="19"/>
        </w:rPr>
        <w:t xml:space="preserve">CONSEJO DE ESTADO. Sección Tercera. Sentencia del 13 de noviembre de 2008. Consejero Ponente: Enrique Gil </w:t>
      </w:r>
      <w:proofErr w:type="spellStart"/>
      <w:r w:rsidRPr="004E4F11">
        <w:rPr>
          <w:rFonts w:ascii="Arial" w:hAnsi="Arial" w:cs="Arial"/>
          <w:color w:val="000000" w:themeColor="text1"/>
          <w:sz w:val="19"/>
          <w:szCs w:val="19"/>
        </w:rPr>
        <w:t>Botero.Expediente</w:t>
      </w:r>
      <w:proofErr w:type="spellEnd"/>
      <w:r w:rsidRPr="004E4F11">
        <w:rPr>
          <w:rFonts w:ascii="Arial" w:hAnsi="Arial" w:cs="Arial"/>
          <w:color w:val="000000" w:themeColor="text1"/>
          <w:sz w:val="19"/>
          <w:szCs w:val="19"/>
        </w:rPr>
        <w:t>: 17.009.</w:t>
      </w:r>
    </w:p>
    <w:p w14:paraId="5E5E824A" w14:textId="77777777" w:rsidR="004B3B91" w:rsidRPr="004E4F11" w:rsidRDefault="004B3B91" w:rsidP="004B3B91">
      <w:pPr>
        <w:pStyle w:val="Textonotapie"/>
        <w:ind w:firstLine="709"/>
        <w:jc w:val="both"/>
        <w:rPr>
          <w:rFonts w:ascii="Arial" w:hAnsi="Arial" w:cs="Arial"/>
          <w:iCs/>
          <w:color w:val="000000" w:themeColor="text1"/>
          <w:sz w:val="19"/>
          <w:szCs w:val="19"/>
          <w:lang w:val="es-ES_tradnl"/>
        </w:rPr>
      </w:pPr>
    </w:p>
  </w:footnote>
  <w:footnote w:id="6">
    <w:p w14:paraId="6AB940D3"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CORTE CONSTITUCIONAL. Sentencia C-827 de 2001. M.P. Álvaro Tafur Galvis.</w:t>
      </w:r>
    </w:p>
    <w:p w14:paraId="5FF8C6BA" w14:textId="77777777" w:rsidR="004B3B91" w:rsidRPr="004E4F11" w:rsidRDefault="004B3B91" w:rsidP="004B3B91">
      <w:pPr>
        <w:pStyle w:val="Textonotapie"/>
        <w:ind w:firstLine="709"/>
        <w:jc w:val="both"/>
        <w:rPr>
          <w:rFonts w:ascii="Arial" w:hAnsi="Arial" w:cs="Arial"/>
          <w:color w:val="000000" w:themeColor="text1"/>
          <w:sz w:val="19"/>
          <w:szCs w:val="19"/>
        </w:rPr>
      </w:pPr>
    </w:p>
  </w:footnote>
  <w:footnote w:id="7">
    <w:p w14:paraId="65ECB2DF"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vertAlign w:val="superscript"/>
        </w:rPr>
        <w:t xml:space="preserve"> </w:t>
      </w:r>
      <w:r w:rsidRPr="004E4F11">
        <w:rPr>
          <w:rFonts w:ascii="Arial" w:hAnsi="Arial" w:cs="Arial"/>
          <w:color w:val="000000" w:themeColor="text1"/>
          <w:sz w:val="19"/>
          <w:szCs w:val="19"/>
        </w:rPr>
        <w:t xml:space="preserve">CONSEJO DE ESTADO. Sección Tercera. Sentencia del 13 de noviembre de 2008. </w:t>
      </w:r>
      <w:proofErr w:type="spellStart"/>
      <w:r w:rsidRPr="004E4F11">
        <w:rPr>
          <w:rFonts w:ascii="Arial" w:hAnsi="Arial" w:cs="Arial"/>
          <w:color w:val="000000" w:themeColor="text1"/>
          <w:sz w:val="19"/>
          <w:szCs w:val="19"/>
        </w:rPr>
        <w:t>Exp</w:t>
      </w:r>
      <w:proofErr w:type="spellEnd"/>
      <w:r w:rsidRPr="004E4F11">
        <w:rPr>
          <w:rFonts w:ascii="Arial" w:hAnsi="Arial" w:cs="Arial"/>
          <w:color w:val="000000" w:themeColor="text1"/>
          <w:sz w:val="19"/>
          <w:szCs w:val="19"/>
        </w:rPr>
        <w:t>. 17.009. C.P. Enrique Gil Botero.</w:t>
      </w:r>
    </w:p>
    <w:p w14:paraId="44970508" w14:textId="77777777" w:rsidR="004B3B91" w:rsidRPr="004E4F11" w:rsidRDefault="004B3B91" w:rsidP="004B3B91">
      <w:pPr>
        <w:pStyle w:val="Textonotapie"/>
        <w:ind w:firstLine="709"/>
        <w:jc w:val="both"/>
        <w:rPr>
          <w:rFonts w:ascii="Arial" w:hAnsi="Arial" w:cs="Arial"/>
          <w:color w:val="000000" w:themeColor="text1"/>
          <w:sz w:val="19"/>
          <w:szCs w:val="19"/>
        </w:rPr>
      </w:pPr>
    </w:p>
  </w:footnote>
  <w:footnote w:id="8">
    <w:p w14:paraId="70A8CC96"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Ibídem.</w:t>
      </w:r>
    </w:p>
  </w:footnote>
  <w:footnote w:id="9">
    <w:p w14:paraId="16BD77AD"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Corte Constitucional. Sentencia C-317 de 2012. M.P. María Victoria Calle Correa. </w:t>
      </w:r>
    </w:p>
    <w:p w14:paraId="7DA4F1F3" w14:textId="77777777" w:rsidR="004B3B91" w:rsidRPr="004E4F11" w:rsidRDefault="004B3B91" w:rsidP="004B3B91">
      <w:pPr>
        <w:pStyle w:val="Textonotapie"/>
        <w:ind w:firstLine="709"/>
        <w:jc w:val="both"/>
        <w:rPr>
          <w:rFonts w:ascii="Arial" w:hAnsi="Arial" w:cs="Arial"/>
          <w:color w:val="000000" w:themeColor="text1"/>
          <w:sz w:val="19"/>
          <w:szCs w:val="19"/>
        </w:rPr>
      </w:pPr>
    </w:p>
  </w:footnote>
  <w:footnote w:id="10">
    <w:p w14:paraId="3BE2E9C5"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0B2EF307" w14:textId="77777777" w:rsidR="004B3B91" w:rsidRPr="004E4F11" w:rsidRDefault="004B3B91" w:rsidP="004B3B91">
      <w:pPr>
        <w:pStyle w:val="Textonotapie"/>
        <w:ind w:firstLine="709"/>
        <w:jc w:val="both"/>
        <w:rPr>
          <w:rFonts w:ascii="Arial" w:hAnsi="Arial" w:cs="Arial"/>
          <w:color w:val="000000" w:themeColor="text1"/>
          <w:sz w:val="19"/>
          <w:szCs w:val="19"/>
        </w:rPr>
      </w:pPr>
    </w:p>
  </w:footnote>
  <w:footnote w:id="11">
    <w:p w14:paraId="232DF975"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Se entiende por entidades de </w:t>
      </w:r>
      <w:r w:rsidRPr="004E4F11">
        <w:rPr>
          <w:rFonts w:ascii="Arial" w:hAnsi="Arial" w:cs="Arial"/>
          <w:i/>
          <w:iCs/>
          <w:color w:val="000000" w:themeColor="text1"/>
          <w:sz w:val="19"/>
          <w:szCs w:val="19"/>
        </w:rPr>
        <w:t xml:space="preserve">régimen especial </w:t>
      </w:r>
      <w:r w:rsidRPr="004E4F11">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35C7D3E6" w14:textId="77777777" w:rsidR="004B3B91" w:rsidRPr="004E4F11" w:rsidRDefault="004B3B91" w:rsidP="004B3B91">
      <w:pPr>
        <w:pStyle w:val="Textonotapie"/>
        <w:ind w:firstLine="709"/>
        <w:jc w:val="both"/>
        <w:rPr>
          <w:rFonts w:ascii="Arial" w:hAnsi="Arial" w:cs="Arial"/>
          <w:color w:val="000000" w:themeColor="text1"/>
          <w:sz w:val="19"/>
          <w:szCs w:val="19"/>
          <w:lang w:val="es-CO"/>
        </w:rPr>
      </w:pPr>
    </w:p>
  </w:footnote>
  <w:footnote w:id="12">
    <w:p w14:paraId="4E18E297" w14:textId="77777777" w:rsidR="004B3B91" w:rsidRPr="004E4F11" w:rsidRDefault="004B3B91" w:rsidP="004B3B91">
      <w:pPr>
        <w:pStyle w:val="Textonotapie"/>
        <w:ind w:firstLine="709"/>
        <w:jc w:val="both"/>
        <w:rPr>
          <w:rFonts w:ascii="Arial" w:hAnsi="Arial" w:cs="Arial"/>
          <w:color w:val="000000" w:themeColor="text1"/>
          <w:sz w:val="19"/>
          <w:szCs w:val="19"/>
          <w:lang w:val="es-CO"/>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Esto se ha señalado en distintos conceptos de esta Subdirección, como el C-219 del 29 de abril de 2020, el C-280 del 6 de julio de 2020 y el C–434 del 29 de julio de 2020.</w:t>
      </w:r>
    </w:p>
  </w:footnote>
  <w:footnote w:id="13">
    <w:p w14:paraId="2BB99200"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0922C6FF" w14:textId="77777777" w:rsidR="004B3B91" w:rsidRPr="004E4F11" w:rsidRDefault="004B3B91" w:rsidP="004B3B91">
      <w:pPr>
        <w:pStyle w:val="Textonotapie"/>
        <w:ind w:firstLine="709"/>
        <w:jc w:val="both"/>
        <w:rPr>
          <w:rFonts w:ascii="Arial" w:hAnsi="Arial" w:cs="Arial"/>
          <w:color w:val="000000" w:themeColor="text1"/>
          <w:sz w:val="19"/>
          <w:szCs w:val="19"/>
        </w:rPr>
      </w:pPr>
      <w:proofErr w:type="gramStart"/>
      <w:r w:rsidRPr="004E4F11">
        <w:rPr>
          <w:rFonts w:ascii="Arial" w:hAnsi="Arial" w:cs="Arial"/>
          <w:color w:val="000000" w:themeColor="text1"/>
          <w:sz w:val="19"/>
          <w:szCs w:val="19"/>
        </w:rPr>
        <w:t>»Procedimientos</w:t>
      </w:r>
      <w:proofErr w:type="gramEnd"/>
      <w:r w:rsidRPr="004E4F11">
        <w:rPr>
          <w:rFonts w:ascii="Arial" w:hAnsi="Arial" w:cs="Arial"/>
          <w:color w:val="000000" w:themeColor="text1"/>
          <w:sz w:val="19"/>
          <w:szCs w:val="19"/>
        </w:rPr>
        <w:t xml:space="preserve">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1638D292" w14:textId="77777777" w:rsidR="004B3B91" w:rsidRPr="004E4F11" w:rsidRDefault="004B3B91" w:rsidP="004B3B91">
      <w:pPr>
        <w:pStyle w:val="Textonotapie"/>
        <w:ind w:firstLine="709"/>
        <w:jc w:val="both"/>
        <w:rPr>
          <w:rFonts w:ascii="Arial" w:hAnsi="Arial" w:cs="Arial"/>
          <w:color w:val="000000" w:themeColor="text1"/>
          <w:sz w:val="19"/>
          <w:szCs w:val="19"/>
        </w:rPr>
      </w:pPr>
      <w:proofErr w:type="gramStart"/>
      <w:r w:rsidRPr="004E4F11">
        <w:rPr>
          <w:rFonts w:ascii="Arial" w:hAnsi="Arial" w:cs="Arial"/>
          <w:color w:val="000000" w:themeColor="text1"/>
          <w:sz w:val="19"/>
          <w:szCs w:val="19"/>
        </w:rPr>
        <w:t>»La</w:t>
      </w:r>
      <w:proofErr w:type="gramEnd"/>
      <w:r w:rsidRPr="004E4F11">
        <w:rPr>
          <w:rFonts w:ascii="Arial" w:hAnsi="Arial" w:cs="Arial"/>
          <w:color w:val="000000" w:themeColor="text1"/>
          <w:sz w:val="19"/>
          <w:szCs w:val="19"/>
        </w:rPr>
        <w:t xml:space="preserve"> entidad estatal debe elegir y garantizar los medios electrónicos y de comunicación que utilizará, así como los mecanismos para el registro de la Información generada.</w:t>
      </w:r>
    </w:p>
    <w:p w14:paraId="1CF2EBC8" w14:textId="77777777" w:rsidR="004B3B91" w:rsidRPr="004E4F11" w:rsidRDefault="004B3B91" w:rsidP="004B3B91">
      <w:pPr>
        <w:pStyle w:val="Textonotapie"/>
        <w:ind w:firstLine="709"/>
        <w:jc w:val="both"/>
        <w:rPr>
          <w:rFonts w:ascii="Arial" w:hAnsi="Arial" w:cs="Arial"/>
          <w:color w:val="000000" w:themeColor="text1"/>
          <w:sz w:val="19"/>
          <w:szCs w:val="19"/>
        </w:rPr>
      </w:pPr>
      <w:proofErr w:type="gramStart"/>
      <w:r w:rsidRPr="004E4F11">
        <w:rPr>
          <w:rFonts w:ascii="Arial" w:hAnsi="Arial" w:cs="Arial"/>
          <w:color w:val="000000" w:themeColor="text1"/>
          <w:sz w:val="19"/>
          <w:szCs w:val="19"/>
        </w:rPr>
        <w:t>»Sin</w:t>
      </w:r>
      <w:proofErr w:type="gramEnd"/>
      <w:r w:rsidRPr="004E4F11">
        <w:rPr>
          <w:rFonts w:ascii="Arial" w:hAnsi="Arial" w:cs="Arial"/>
          <w:color w:val="000000" w:themeColor="text1"/>
          <w:sz w:val="19"/>
          <w:szCs w:val="19"/>
        </w:rPr>
        <w:t xml:space="preserve"> perjuicio de lo anterior, el ordenador del gasto o funcionario competente podrá decretar la suspensión de términos, inclusive los iniciados con anterioridad a la vigencia de este Decreto».</w:t>
      </w:r>
    </w:p>
    <w:p w14:paraId="2E4C08BC" w14:textId="77777777" w:rsidR="004B3B91" w:rsidRPr="004E4F11" w:rsidRDefault="004B3B91" w:rsidP="004B3B91">
      <w:pPr>
        <w:pStyle w:val="Textonotapie"/>
        <w:ind w:firstLine="709"/>
        <w:jc w:val="both"/>
        <w:rPr>
          <w:rFonts w:ascii="Arial" w:hAnsi="Arial" w:cs="Arial"/>
          <w:color w:val="000000" w:themeColor="text1"/>
          <w:sz w:val="19"/>
          <w:szCs w:val="19"/>
          <w:lang w:val="es-CO"/>
        </w:rPr>
      </w:pPr>
      <w:r w:rsidRPr="004E4F11">
        <w:rPr>
          <w:rFonts w:ascii="Arial" w:hAnsi="Arial" w:cs="Arial"/>
          <w:color w:val="000000" w:themeColor="text1"/>
          <w:sz w:val="19"/>
          <w:szCs w:val="19"/>
        </w:rPr>
        <w:t xml:space="preserve"> </w:t>
      </w:r>
    </w:p>
  </w:footnote>
  <w:footnote w:id="14">
    <w:p w14:paraId="35F7ED2A" w14:textId="77777777" w:rsidR="004B3B91" w:rsidRPr="004E4F11" w:rsidRDefault="004B3B91" w:rsidP="004B3B91">
      <w:pPr>
        <w:pStyle w:val="Textonotapie"/>
        <w:ind w:firstLine="709"/>
        <w:jc w:val="both"/>
        <w:rPr>
          <w:rFonts w:ascii="Arial" w:hAnsi="Arial" w:cs="Arial"/>
          <w:color w:val="000000" w:themeColor="text1"/>
          <w:sz w:val="19"/>
          <w:szCs w:val="19"/>
          <w:lang w:val="es-CO"/>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5">
    <w:p w14:paraId="1947D247" w14:textId="6B525FFA" w:rsidR="004A24E3" w:rsidRPr="004E4F11" w:rsidRDefault="004A24E3" w:rsidP="004A24E3">
      <w:pPr>
        <w:pStyle w:val="Default"/>
        <w:ind w:firstLine="708"/>
        <w:rPr>
          <w:color w:val="000000" w:themeColor="text1"/>
          <w:sz w:val="19"/>
          <w:szCs w:val="19"/>
          <w:lang w:val="es-ES"/>
        </w:rPr>
      </w:pPr>
      <w:r w:rsidRPr="004E4F11">
        <w:rPr>
          <w:rStyle w:val="Refdenotaalpie"/>
          <w:color w:val="000000" w:themeColor="text1"/>
          <w:sz w:val="19"/>
          <w:szCs w:val="19"/>
        </w:rPr>
        <w:footnoteRef/>
      </w:r>
      <w:r w:rsidRPr="004E4F11">
        <w:rPr>
          <w:color w:val="000000" w:themeColor="text1"/>
          <w:sz w:val="19"/>
          <w:szCs w:val="19"/>
          <w:lang w:val="es-ES"/>
        </w:rPr>
        <w:t xml:space="preserve"> SENADO DE LA REPÚBLICA. GACETA DE</w:t>
      </w:r>
      <w:r w:rsidR="00A2633B" w:rsidRPr="004E4F11">
        <w:rPr>
          <w:color w:val="000000" w:themeColor="text1"/>
          <w:sz w:val="19"/>
          <w:szCs w:val="19"/>
          <w:lang w:val="es-ES"/>
        </w:rPr>
        <w:t xml:space="preserve">L CONGRESO. AÑO XXIX - Nº 1249. </w:t>
      </w:r>
      <w:r w:rsidRPr="004E4F11">
        <w:rPr>
          <w:color w:val="000000" w:themeColor="text1"/>
          <w:sz w:val="19"/>
          <w:szCs w:val="19"/>
          <w:lang w:val="es-ES"/>
        </w:rPr>
        <w:t xml:space="preserve">Exposición de motivos del proyecto de Ley 341 de 2020. </w:t>
      </w:r>
    </w:p>
  </w:footnote>
  <w:footnote w:id="16">
    <w:p w14:paraId="01D7FCC8" w14:textId="63A24A6B" w:rsidR="004B3B91" w:rsidRPr="004E4F11" w:rsidRDefault="004B3B91">
      <w:pPr>
        <w:pStyle w:val="Textonotapie"/>
        <w:ind w:firstLine="709"/>
        <w:jc w:val="both"/>
        <w:rPr>
          <w:rFonts w:ascii="Arial" w:hAnsi="Arial" w:cs="Arial"/>
          <w:color w:val="000000" w:themeColor="text1"/>
          <w:sz w:val="19"/>
          <w:szCs w:val="19"/>
          <w:lang w:val="es-CO"/>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footnote>
  <w:footnote w:id="17">
    <w:p w14:paraId="560927A6" w14:textId="77777777" w:rsidR="004B3B91" w:rsidRPr="004E4F11" w:rsidRDefault="004B3B91" w:rsidP="004B3B91">
      <w:pPr>
        <w:pStyle w:val="Textonotapie"/>
        <w:ind w:firstLine="709"/>
        <w:jc w:val="both"/>
        <w:rPr>
          <w:rFonts w:ascii="Arial" w:hAnsi="Arial" w:cs="Arial"/>
          <w:color w:val="000000" w:themeColor="text1"/>
          <w:sz w:val="19"/>
          <w:szCs w:val="19"/>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3842F579" w14:textId="77777777" w:rsidR="004B3B91" w:rsidRPr="004E4F11" w:rsidRDefault="004B3B91" w:rsidP="004B3B91">
      <w:pPr>
        <w:pStyle w:val="Textonotapie"/>
        <w:ind w:firstLine="709"/>
        <w:jc w:val="both"/>
        <w:rPr>
          <w:rFonts w:ascii="Arial" w:hAnsi="Arial" w:cs="Arial"/>
          <w:color w:val="000000" w:themeColor="text1"/>
          <w:sz w:val="19"/>
          <w:szCs w:val="19"/>
        </w:rPr>
      </w:pPr>
      <w:proofErr w:type="gramStart"/>
      <w:r w:rsidRPr="004E4F11">
        <w:rPr>
          <w:rFonts w:ascii="Arial" w:hAnsi="Arial" w:cs="Arial"/>
          <w:color w:val="000000" w:themeColor="text1"/>
          <w:sz w:val="19"/>
          <w:szCs w:val="19"/>
        </w:rPr>
        <w:t>»Durante</w:t>
      </w:r>
      <w:proofErr w:type="gramEnd"/>
      <w:r w:rsidRPr="004E4F11">
        <w:rPr>
          <w:rFonts w:ascii="Arial" w:hAnsi="Arial" w:cs="Arial"/>
          <w:color w:val="000000" w:themeColor="text1"/>
          <w:sz w:val="19"/>
          <w:szCs w:val="19"/>
        </w:rPr>
        <w:t xml:space="preserv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7BD003E9" w14:textId="77777777" w:rsidR="004B3B91" w:rsidRPr="004E4F11" w:rsidRDefault="004B3B91" w:rsidP="004B3B91">
      <w:pPr>
        <w:pStyle w:val="Textonotapie"/>
        <w:ind w:firstLine="709"/>
        <w:jc w:val="both"/>
        <w:rPr>
          <w:rFonts w:ascii="Arial" w:hAnsi="Arial" w:cs="Arial"/>
          <w:color w:val="000000" w:themeColor="text1"/>
          <w:sz w:val="19"/>
          <w:szCs w:val="19"/>
          <w:lang w:val="es-CO"/>
        </w:rPr>
      </w:pPr>
      <w:proofErr w:type="gramStart"/>
      <w:r w:rsidRPr="004E4F11">
        <w:rPr>
          <w:rFonts w:ascii="Arial" w:hAnsi="Arial" w:cs="Arial"/>
          <w:color w:val="000000" w:themeColor="text1"/>
          <w:sz w:val="19"/>
          <w:szCs w:val="19"/>
        </w:rPr>
        <w:t>»Cualquier</w:t>
      </w:r>
      <w:proofErr w:type="gramEnd"/>
      <w:r w:rsidRPr="004E4F11">
        <w:rPr>
          <w:rFonts w:ascii="Arial" w:hAnsi="Arial" w:cs="Arial"/>
          <w:color w:val="000000" w:themeColor="text1"/>
          <w:sz w:val="19"/>
          <w:szCs w:val="19"/>
        </w:rPr>
        <w:t xml:space="preserve"> controversia o solicitud que surja en relación con los reportes eje información que suministre la entidad contratante, serán resueltos por esta, atendiendo los principios y disposiciones establecidos en la normatividad vigente».</w:t>
      </w:r>
    </w:p>
  </w:footnote>
  <w:footnote w:id="18">
    <w:p w14:paraId="7633037E" w14:textId="77777777" w:rsidR="004B3B91" w:rsidRPr="004E4F11" w:rsidRDefault="004B3B91" w:rsidP="004B3B91">
      <w:pPr>
        <w:pStyle w:val="Textonotapie"/>
        <w:ind w:firstLine="709"/>
        <w:jc w:val="both"/>
        <w:rPr>
          <w:rFonts w:ascii="Arial" w:hAnsi="Arial" w:cs="Arial"/>
          <w:color w:val="000000" w:themeColor="text1"/>
          <w:sz w:val="19"/>
          <w:szCs w:val="19"/>
          <w:lang w:val="es-ES"/>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w:t>
      </w:r>
      <w:r w:rsidRPr="004E4F11">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w:t>
      </w:r>
      <w:proofErr w:type="spellStart"/>
      <w:r w:rsidRPr="004E4F11">
        <w:rPr>
          <w:rFonts w:ascii="Arial" w:hAnsi="Arial" w:cs="Arial"/>
          <w:color w:val="000000" w:themeColor="text1"/>
          <w:sz w:val="19"/>
          <w:szCs w:val="19"/>
          <w:lang w:val="es-ES"/>
        </w:rPr>
        <w:t>oponibilidad</w:t>
      </w:r>
      <w:proofErr w:type="spellEnd"/>
      <w:r w:rsidRPr="004E4F11">
        <w:rPr>
          <w:rFonts w:ascii="Arial" w:hAnsi="Arial" w:cs="Arial"/>
          <w:color w:val="000000" w:themeColor="text1"/>
          <w:sz w:val="19"/>
          <w:szCs w:val="19"/>
          <w:lang w:val="es-ES"/>
        </w:rPr>
        <w:t>) de las leyes, las cuales solo tienen vigencia si se han promulgado y publicado en el Diario Oficial (Sentencia C-932 de 2006. Magistrado Ponente: Humberto Antonio Sierra Porto).</w:t>
      </w:r>
    </w:p>
  </w:footnote>
  <w:footnote w:id="19">
    <w:p w14:paraId="1E19F0BC" w14:textId="77777777" w:rsidR="004B3B91" w:rsidRPr="004E4F11" w:rsidRDefault="004B3B91" w:rsidP="004B3B91">
      <w:pPr>
        <w:pStyle w:val="Textonotapie"/>
        <w:ind w:firstLine="709"/>
        <w:jc w:val="both"/>
        <w:rPr>
          <w:rFonts w:ascii="Arial" w:hAnsi="Arial" w:cs="Arial"/>
          <w:color w:val="000000" w:themeColor="text1"/>
          <w:sz w:val="19"/>
          <w:szCs w:val="19"/>
          <w:lang w:val="es-ES"/>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w:t>
      </w:r>
      <w:r w:rsidRPr="004E4F11">
        <w:rPr>
          <w:rFonts w:ascii="Arial" w:hAnsi="Arial" w:cs="Arial"/>
          <w:color w:val="000000" w:themeColor="text1"/>
          <w:sz w:val="19"/>
          <w:szCs w:val="19"/>
          <w:lang w:val="es-ES"/>
        </w:rPr>
        <w:t xml:space="preserve">Tales </w:t>
      </w:r>
      <w:proofErr w:type="spellStart"/>
      <w:r w:rsidRPr="004E4F11">
        <w:rPr>
          <w:rFonts w:ascii="Arial" w:hAnsi="Arial" w:cs="Arial"/>
          <w:color w:val="000000" w:themeColor="text1"/>
          <w:sz w:val="19"/>
          <w:szCs w:val="19"/>
          <w:lang w:val="es-ES"/>
        </w:rPr>
        <w:t>subreglas</w:t>
      </w:r>
      <w:proofErr w:type="spellEnd"/>
      <w:r w:rsidRPr="004E4F11">
        <w:rPr>
          <w:rFonts w:ascii="Arial" w:hAnsi="Arial" w:cs="Arial"/>
          <w:color w:val="000000" w:themeColor="text1"/>
          <w:sz w:val="19"/>
          <w:szCs w:val="19"/>
          <w:lang w:val="es-ES"/>
        </w:rPr>
        <w:t xml:space="preserve"> son coherentes con la forma como la doctrina del Derecho administrativo comparado ha entendido de tiempo atrás la vigencia de las leyes. Al respecto, basta leer las palabras de </w:t>
      </w:r>
      <w:proofErr w:type="spellStart"/>
      <w:r w:rsidRPr="004E4F11">
        <w:rPr>
          <w:rFonts w:ascii="Arial" w:hAnsi="Arial" w:cs="Arial"/>
          <w:color w:val="000000" w:themeColor="text1"/>
          <w:sz w:val="19"/>
          <w:szCs w:val="19"/>
          <w:lang w:val="es-ES"/>
        </w:rPr>
        <w:t>Marienhoff</w:t>
      </w:r>
      <w:proofErr w:type="spellEnd"/>
      <w:r w:rsidRPr="004E4F11">
        <w:rPr>
          <w:rFonts w:ascii="Arial" w:hAnsi="Arial" w:cs="Arial"/>
          <w:color w:val="000000" w:themeColor="text1"/>
          <w:sz w:val="19"/>
          <w:szCs w:val="19"/>
          <w:lang w:val="es-ES"/>
        </w:rPr>
        <w:t xml:space="preserve">, cuando se pregunta «¿Y cuál es la vigencia de la ley con relación al tiempo?», respondiendo a renglón seguido: «El principio general consiste en que las leyes rigen </w:t>
      </w:r>
      <w:r w:rsidRPr="004E4F11">
        <w:rPr>
          <w:rFonts w:ascii="Arial" w:hAnsi="Arial" w:cs="Arial"/>
          <w:i/>
          <w:iCs/>
          <w:color w:val="000000" w:themeColor="text1"/>
          <w:sz w:val="19"/>
          <w:szCs w:val="19"/>
          <w:lang w:val="es-ES"/>
        </w:rPr>
        <w:t>“ex nunc”</w:t>
      </w:r>
      <w:r w:rsidRPr="004E4F11">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4E4F11">
        <w:rPr>
          <w:rFonts w:ascii="Arial" w:hAnsi="Arial" w:cs="Arial"/>
          <w:i/>
          <w:iCs/>
          <w:color w:val="000000" w:themeColor="text1"/>
          <w:sz w:val="19"/>
          <w:szCs w:val="19"/>
          <w:lang w:val="es-ES"/>
        </w:rPr>
        <w:t>“excepcional”</w:t>
      </w:r>
      <w:r w:rsidRPr="004E4F11">
        <w:rPr>
          <w:rFonts w:ascii="Arial" w:hAnsi="Arial" w:cs="Arial"/>
          <w:color w:val="000000" w:themeColor="text1"/>
          <w:sz w:val="19"/>
          <w:szCs w:val="19"/>
          <w:lang w:val="es-ES"/>
        </w:rPr>
        <w:t xml:space="preserve">, la ley puede regir para el pasado, es decir, puede tener efecto retroactivo, </w:t>
      </w:r>
      <w:r w:rsidRPr="004E4F11">
        <w:rPr>
          <w:rFonts w:ascii="Arial" w:hAnsi="Arial" w:cs="Arial"/>
          <w:i/>
          <w:iCs/>
          <w:color w:val="000000" w:themeColor="text1"/>
          <w:sz w:val="19"/>
          <w:szCs w:val="19"/>
          <w:lang w:val="es-ES"/>
        </w:rPr>
        <w:t xml:space="preserve">“ex </w:t>
      </w:r>
      <w:proofErr w:type="spellStart"/>
      <w:r w:rsidRPr="004E4F11">
        <w:rPr>
          <w:rFonts w:ascii="Arial" w:hAnsi="Arial" w:cs="Arial"/>
          <w:i/>
          <w:iCs/>
          <w:color w:val="000000" w:themeColor="text1"/>
          <w:sz w:val="19"/>
          <w:szCs w:val="19"/>
          <w:lang w:val="es-ES"/>
        </w:rPr>
        <w:t>tunc</w:t>
      </w:r>
      <w:proofErr w:type="spellEnd"/>
      <w:r w:rsidRPr="004E4F11">
        <w:rPr>
          <w:rFonts w:ascii="Arial" w:hAnsi="Arial" w:cs="Arial"/>
          <w:i/>
          <w:iCs/>
          <w:color w:val="000000" w:themeColor="text1"/>
          <w:sz w:val="19"/>
          <w:szCs w:val="19"/>
          <w:lang w:val="es-ES"/>
        </w:rPr>
        <w:t>”</w:t>
      </w:r>
      <w:r w:rsidRPr="004E4F11">
        <w:rPr>
          <w:rFonts w:ascii="Arial" w:hAnsi="Arial" w:cs="Arial"/>
          <w:color w:val="000000" w:themeColor="text1"/>
          <w:sz w:val="19"/>
          <w:szCs w:val="19"/>
          <w:lang w:val="es-ES"/>
        </w:rPr>
        <w:t xml:space="preserve">; pero la intención del legislador de dar efecto retroactivo a una ley debe resultar de una declaración </w:t>
      </w:r>
      <w:r w:rsidRPr="004E4F11">
        <w:rPr>
          <w:rFonts w:ascii="Arial" w:hAnsi="Arial" w:cs="Arial"/>
          <w:i/>
          <w:iCs/>
          <w:color w:val="000000" w:themeColor="text1"/>
          <w:sz w:val="19"/>
          <w:szCs w:val="19"/>
          <w:lang w:val="es-ES"/>
        </w:rPr>
        <w:t>expresa</w:t>
      </w:r>
      <w:r w:rsidRPr="004E4F11">
        <w:rPr>
          <w:rFonts w:ascii="Arial" w:hAnsi="Arial" w:cs="Arial"/>
          <w:color w:val="000000" w:themeColor="text1"/>
          <w:sz w:val="19"/>
          <w:szCs w:val="19"/>
          <w:lang w:val="es-ES"/>
        </w:rPr>
        <w:t xml:space="preserve"> o bien de otra forma </w:t>
      </w:r>
      <w:r w:rsidRPr="004E4F11">
        <w:rPr>
          <w:rFonts w:ascii="Arial" w:hAnsi="Arial" w:cs="Arial"/>
          <w:i/>
          <w:iCs/>
          <w:color w:val="000000" w:themeColor="text1"/>
          <w:sz w:val="19"/>
          <w:szCs w:val="19"/>
          <w:lang w:val="es-ES"/>
        </w:rPr>
        <w:t>inequívoca</w:t>
      </w:r>
      <w:r w:rsidRPr="004E4F11">
        <w:rPr>
          <w:rFonts w:ascii="Arial" w:hAnsi="Arial" w:cs="Arial"/>
          <w:color w:val="000000" w:themeColor="text1"/>
          <w:sz w:val="19"/>
          <w:szCs w:val="19"/>
          <w:lang w:val="es-ES"/>
        </w:rPr>
        <w:t xml:space="preserve">: la regla es la irretroactividad, principio que también rige para el derecho administrativo» (MARIENHOFF, Miguel S. Tratado de Derecho administrativo. Tomo I, Teoría General. 5ª ed. Buenos Aires: </w:t>
      </w:r>
      <w:proofErr w:type="spellStart"/>
      <w:r w:rsidRPr="004E4F11">
        <w:rPr>
          <w:rFonts w:ascii="Arial" w:hAnsi="Arial" w:cs="Arial"/>
          <w:color w:val="000000" w:themeColor="text1"/>
          <w:sz w:val="19"/>
          <w:szCs w:val="19"/>
          <w:lang w:val="es-ES"/>
        </w:rPr>
        <w:t>Abeledo-Perrot</w:t>
      </w:r>
      <w:proofErr w:type="spellEnd"/>
      <w:r w:rsidRPr="004E4F11">
        <w:rPr>
          <w:rFonts w:ascii="Arial" w:hAnsi="Arial" w:cs="Arial"/>
          <w:color w:val="000000" w:themeColor="text1"/>
          <w:sz w:val="19"/>
          <w:szCs w:val="19"/>
          <w:lang w:val="es-ES"/>
        </w:rPr>
        <w:t>, 2000. pp. 228-229).</w:t>
      </w:r>
    </w:p>
  </w:footnote>
  <w:footnote w:id="20">
    <w:p w14:paraId="64352ECB" w14:textId="77777777" w:rsidR="004B3B91" w:rsidRPr="004E4F11" w:rsidRDefault="004B3B91" w:rsidP="004B3B91">
      <w:pPr>
        <w:ind w:firstLine="709"/>
        <w:jc w:val="both"/>
        <w:rPr>
          <w:rFonts w:ascii="Arial" w:hAnsi="Arial" w:cs="Arial"/>
          <w:color w:val="000000" w:themeColor="text1"/>
          <w:sz w:val="19"/>
          <w:szCs w:val="19"/>
        </w:rPr>
      </w:pPr>
    </w:p>
    <w:p w14:paraId="6750FB0F" w14:textId="77777777" w:rsidR="004B3B91" w:rsidRPr="004E4F11" w:rsidRDefault="004B3B91" w:rsidP="004B3B91">
      <w:pPr>
        <w:ind w:firstLine="709"/>
        <w:jc w:val="both"/>
        <w:rPr>
          <w:rFonts w:ascii="Arial" w:hAnsi="Arial" w:cs="Arial"/>
          <w:color w:val="000000" w:themeColor="text1"/>
          <w:sz w:val="19"/>
          <w:szCs w:val="19"/>
          <w:lang w:val="es-ES"/>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w:t>
      </w:r>
      <w:r w:rsidRPr="004E4F11">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28BC5C12" w14:textId="77777777" w:rsidR="004B3B91" w:rsidRPr="004E4F11" w:rsidRDefault="004B3B91" w:rsidP="004B3B91">
      <w:pPr>
        <w:pStyle w:val="Textonotapie"/>
        <w:ind w:firstLine="709"/>
        <w:jc w:val="both"/>
        <w:rPr>
          <w:rFonts w:ascii="Arial" w:hAnsi="Arial" w:cs="Arial"/>
          <w:color w:val="000000" w:themeColor="text1"/>
          <w:sz w:val="19"/>
          <w:szCs w:val="19"/>
          <w:lang w:val="es-CO"/>
        </w:rPr>
      </w:pPr>
    </w:p>
  </w:footnote>
  <w:footnote w:id="21">
    <w:p w14:paraId="62B24541" w14:textId="640DCA2E" w:rsidR="00A83C54" w:rsidRPr="004E4F11" w:rsidRDefault="004B3B91" w:rsidP="00A83C54">
      <w:pPr>
        <w:pStyle w:val="Textonotapie"/>
        <w:ind w:firstLine="709"/>
        <w:jc w:val="both"/>
        <w:rPr>
          <w:rFonts w:ascii="Arial" w:hAnsi="Arial" w:cs="Arial"/>
          <w:color w:val="000000" w:themeColor="text1"/>
          <w:sz w:val="19"/>
          <w:szCs w:val="19"/>
          <w:lang w:val="es-ES"/>
        </w:rPr>
      </w:pPr>
      <w:r w:rsidRPr="004E4F11">
        <w:rPr>
          <w:rStyle w:val="Refdenotaalpie"/>
          <w:rFonts w:ascii="Arial" w:hAnsi="Arial" w:cs="Arial"/>
          <w:color w:val="000000" w:themeColor="text1"/>
          <w:sz w:val="19"/>
          <w:szCs w:val="19"/>
        </w:rPr>
        <w:footnoteRef/>
      </w:r>
      <w:r w:rsidRPr="004E4F11">
        <w:rPr>
          <w:rFonts w:ascii="Arial" w:hAnsi="Arial" w:cs="Arial"/>
          <w:color w:val="000000" w:themeColor="text1"/>
          <w:sz w:val="19"/>
          <w:szCs w:val="19"/>
        </w:rPr>
        <w:t xml:space="preserve"> </w:t>
      </w:r>
      <w:r w:rsidRPr="004E4F11">
        <w:rPr>
          <w:rFonts w:ascii="Arial" w:hAnsi="Arial" w:cs="Arial"/>
          <w:color w:val="000000" w:themeColor="text1"/>
          <w:sz w:val="19"/>
          <w:szCs w:val="19"/>
          <w:lang w:val="es-ES"/>
        </w:rPr>
        <w:t xml:space="preserve">La Corte Constitucional explica el fenómeno de la </w:t>
      </w:r>
      <w:proofErr w:type="spellStart"/>
      <w:r w:rsidR="00017FC9" w:rsidRPr="004E4F11">
        <w:rPr>
          <w:rFonts w:ascii="Arial" w:hAnsi="Arial" w:cs="Arial"/>
          <w:color w:val="000000" w:themeColor="text1"/>
          <w:sz w:val="19"/>
          <w:szCs w:val="19"/>
          <w:lang w:val="es-ES"/>
        </w:rPr>
        <w:t>ultraactividad</w:t>
      </w:r>
      <w:proofErr w:type="spellEnd"/>
      <w:r w:rsidRPr="004E4F11">
        <w:rPr>
          <w:rFonts w:ascii="Arial" w:hAnsi="Arial" w:cs="Arial"/>
          <w:color w:val="000000" w:themeColor="text1"/>
          <w:sz w:val="19"/>
          <w:szCs w:val="19"/>
          <w:lang w:val="es-ES"/>
        </w:rPr>
        <w:t xml:space="preserve"> de la ley en los siguientes términos: «</w:t>
      </w:r>
      <w:r w:rsidR="00A83C54" w:rsidRPr="004E4F11">
        <w:rPr>
          <w:rFonts w:ascii="Arial" w:hAnsi="Arial" w:cs="Arial"/>
          <w:color w:val="000000" w:themeColor="text1"/>
          <w:sz w:val="19"/>
          <w:szCs w:val="19"/>
          <w:lang w:val="es-ES"/>
        </w:rPr>
        <w:t xml:space="preserve">La </w:t>
      </w:r>
      <w:proofErr w:type="spellStart"/>
      <w:r w:rsidR="00A83C54" w:rsidRPr="004E4F11">
        <w:rPr>
          <w:rFonts w:ascii="Arial" w:hAnsi="Arial" w:cs="Arial"/>
          <w:color w:val="000000" w:themeColor="text1"/>
          <w:sz w:val="19"/>
          <w:szCs w:val="19"/>
          <w:lang w:val="es-ES"/>
        </w:rPr>
        <w:t>ultraactividad</w:t>
      </w:r>
      <w:proofErr w:type="spellEnd"/>
      <w:r w:rsidR="00A83C54" w:rsidRPr="004E4F11">
        <w:rPr>
          <w:rFonts w:ascii="Arial" w:hAnsi="Arial" w:cs="Arial"/>
          <w:color w:val="000000" w:themeColor="text1"/>
          <w:sz w:val="19"/>
          <w:szCs w:val="19"/>
          <w:lang w:val="es-ES"/>
        </w:rPr>
        <w:t xml:space="preserve"> de la ley es un problema de aplicación de la ley en el tiempo y </w:t>
      </w:r>
      <w:proofErr w:type="spellStart"/>
      <w:r w:rsidR="00A83C54" w:rsidRPr="004E4F11">
        <w:rPr>
          <w:rFonts w:ascii="Arial" w:hAnsi="Arial" w:cs="Arial"/>
          <w:color w:val="000000" w:themeColor="text1"/>
          <w:sz w:val="19"/>
          <w:szCs w:val="19"/>
          <w:lang w:val="es-ES"/>
        </w:rPr>
        <w:t>esta</w:t>
      </w:r>
      <w:proofErr w:type="spellEnd"/>
      <w:r w:rsidR="00A83C54" w:rsidRPr="004E4F11">
        <w:rPr>
          <w:rFonts w:ascii="Arial" w:hAnsi="Arial" w:cs="Arial"/>
          <w:color w:val="000000" w:themeColor="text1"/>
          <w:sz w:val="19"/>
          <w:szCs w:val="19"/>
          <w:lang w:val="es-ES"/>
        </w:rPr>
        <w:t xml:space="preserve">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00A83C54" w:rsidRPr="004E4F11">
        <w:rPr>
          <w:rFonts w:ascii="Arial" w:hAnsi="Arial" w:cs="Arial"/>
          <w:color w:val="000000" w:themeColor="text1"/>
          <w:sz w:val="19"/>
          <w:szCs w:val="19"/>
          <w:lang w:val="es-ES"/>
        </w:rPr>
        <w:t>regit</w:t>
      </w:r>
      <w:proofErr w:type="spellEnd"/>
      <w:r w:rsidR="00A83C54" w:rsidRPr="004E4F11">
        <w:rPr>
          <w:rFonts w:ascii="Arial" w:hAnsi="Arial" w:cs="Arial"/>
          <w:color w:val="000000" w:themeColor="text1"/>
          <w:sz w:val="19"/>
          <w:szCs w:val="19"/>
          <w:lang w:val="es-ES"/>
        </w:rPr>
        <w:t xml:space="preserve"> </w:t>
      </w:r>
      <w:proofErr w:type="spellStart"/>
      <w:r w:rsidR="00A83C54" w:rsidRPr="004E4F11">
        <w:rPr>
          <w:rFonts w:ascii="Arial" w:hAnsi="Arial" w:cs="Arial"/>
          <w:color w:val="000000" w:themeColor="text1"/>
          <w:sz w:val="19"/>
          <w:szCs w:val="19"/>
          <w:lang w:val="es-ES"/>
        </w:rPr>
        <w:t>actus</w:t>
      </w:r>
      <w:proofErr w:type="spellEnd"/>
      <w:r w:rsidR="00A83C54" w:rsidRPr="004E4F11">
        <w:rPr>
          <w:rFonts w:ascii="Arial" w:hAnsi="Arial" w:cs="Arial"/>
          <w:color w:val="000000" w:themeColor="text1"/>
          <w:sz w:val="19"/>
          <w:szCs w:val="19"/>
          <w:lang w:val="es-ES"/>
        </w:rPr>
        <w:t xml:space="preserve">", que se traduce en que la norma vigente al momento de sucederse los hechos por ella prevista, es la que se aplica a esos hechos, aunque la norma haya sido derogada después. Esto es lo que explica la Teoría del Derecho, la denominada </w:t>
      </w:r>
      <w:proofErr w:type="spellStart"/>
      <w:r w:rsidR="00A83C54" w:rsidRPr="004E4F11">
        <w:rPr>
          <w:rFonts w:ascii="Arial" w:hAnsi="Arial" w:cs="Arial"/>
          <w:color w:val="000000" w:themeColor="text1"/>
          <w:sz w:val="19"/>
          <w:szCs w:val="19"/>
          <w:lang w:val="es-ES"/>
        </w:rPr>
        <w:t>ultractividad</w:t>
      </w:r>
      <w:proofErr w:type="spellEnd"/>
      <w:r w:rsidR="00A83C54" w:rsidRPr="004E4F11">
        <w:rPr>
          <w:rFonts w:ascii="Arial" w:hAnsi="Arial" w:cs="Arial"/>
          <w:color w:val="000000" w:themeColor="text1"/>
          <w:sz w:val="19"/>
          <w:szCs w:val="19"/>
          <w:lang w:val="es-ES"/>
        </w:rPr>
        <w:t xml:space="preserve"> de las normas, que son normas derogadas, que se siguen aplicando a los hechos ocurridos durante su vigencia.  Este fenómeno se presenta en relación con todas las normas jurídicas, cualquiera que sea su naturaleza: civil, comercial, penal, etc.</w:t>
      </w:r>
    </w:p>
    <w:p w14:paraId="6515D2D8" w14:textId="41A5C3D2" w:rsidR="007575F9" w:rsidRPr="004E4F11" w:rsidRDefault="00A83C54" w:rsidP="004B3B91">
      <w:pPr>
        <w:pStyle w:val="Textonotapie"/>
        <w:ind w:firstLine="709"/>
        <w:jc w:val="both"/>
        <w:rPr>
          <w:rFonts w:ascii="Arial" w:hAnsi="Arial" w:cs="Arial"/>
          <w:color w:val="000000" w:themeColor="text1"/>
          <w:sz w:val="19"/>
          <w:szCs w:val="19"/>
          <w:lang w:val="es-CO"/>
        </w:rPr>
      </w:pPr>
      <w:proofErr w:type="gramStart"/>
      <w:r w:rsidRPr="004E4F11">
        <w:rPr>
          <w:rFonts w:ascii="Arial" w:hAnsi="Arial" w:cs="Arial"/>
          <w:color w:val="000000" w:themeColor="text1"/>
          <w:sz w:val="19"/>
          <w:szCs w:val="19"/>
          <w:lang w:val="es-ES"/>
        </w:rPr>
        <w:t>»Y</w:t>
      </w:r>
      <w:proofErr w:type="gramEnd"/>
      <w:r w:rsidRPr="004E4F11">
        <w:rPr>
          <w:rFonts w:ascii="Arial" w:hAnsi="Arial" w:cs="Arial"/>
          <w:color w:val="000000" w:themeColor="text1"/>
          <w:sz w:val="19"/>
          <w:szCs w:val="19"/>
          <w:lang w:val="es-ES"/>
        </w:rPr>
        <w:t xml:space="preserve">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w:t>
      </w:r>
      <w:proofErr w:type="spellStart"/>
      <w:r w:rsidRPr="004E4F11">
        <w:rPr>
          <w:rFonts w:ascii="Arial" w:hAnsi="Arial" w:cs="Arial"/>
          <w:color w:val="000000" w:themeColor="text1"/>
          <w:sz w:val="19"/>
          <w:szCs w:val="19"/>
          <w:lang w:val="es-ES"/>
        </w:rPr>
        <w:t>ultraactividad</w:t>
      </w:r>
      <w:proofErr w:type="spellEnd"/>
      <w:r w:rsidRPr="004E4F11">
        <w:rPr>
          <w:rFonts w:ascii="Arial" w:hAnsi="Arial" w:cs="Arial"/>
          <w:color w:val="000000" w:themeColor="text1"/>
          <w:sz w:val="19"/>
          <w:szCs w:val="19"/>
          <w:lang w:val="es-ES"/>
        </w:rPr>
        <w:t xml:space="preserve">, que es, ni más ni menos, que la </w:t>
      </w:r>
      <w:proofErr w:type="spellStart"/>
      <w:r w:rsidRPr="004E4F11">
        <w:rPr>
          <w:rFonts w:ascii="Arial" w:hAnsi="Arial" w:cs="Arial"/>
          <w:color w:val="000000" w:themeColor="text1"/>
          <w:sz w:val="19"/>
          <w:szCs w:val="19"/>
          <w:lang w:val="es-ES"/>
        </w:rPr>
        <w:t>metaexistencia</w:t>
      </w:r>
      <w:proofErr w:type="spellEnd"/>
      <w:r w:rsidRPr="004E4F11">
        <w:rPr>
          <w:rFonts w:ascii="Arial" w:hAnsi="Arial" w:cs="Arial"/>
          <w:color w:val="000000" w:themeColor="text1"/>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w:t>
      </w:r>
      <w:proofErr w:type="gramStart"/>
      <w:r w:rsidRPr="004E4F11">
        <w:rPr>
          <w:rFonts w:ascii="Arial" w:hAnsi="Arial" w:cs="Arial"/>
          <w:color w:val="000000" w:themeColor="text1"/>
          <w:sz w:val="19"/>
          <w:szCs w:val="19"/>
          <w:lang w:val="es-ES"/>
        </w:rPr>
        <w:t>conveniente;  siempre</w:t>
      </w:r>
      <w:proofErr w:type="gramEnd"/>
      <w:r w:rsidRPr="004E4F11">
        <w:rPr>
          <w:rFonts w:ascii="Arial" w:hAnsi="Arial" w:cs="Arial"/>
          <w:color w:val="000000" w:themeColor="text1"/>
          <w:sz w:val="19"/>
          <w:szCs w:val="19"/>
          <w:lang w:val="es-ES"/>
        </w:rPr>
        <w:t xml:space="preserve"> y cuando lo haga en consonancia con los parámetros constitucionales vistos, dentro de los cuales militan el debido proceso y el derecho a la igualdad</w:t>
      </w:r>
      <w:r w:rsidR="004B3B91" w:rsidRPr="004E4F11">
        <w:rPr>
          <w:rFonts w:ascii="Arial" w:hAnsi="Arial" w:cs="Arial"/>
          <w:color w:val="000000" w:themeColor="text1"/>
          <w:sz w:val="19"/>
          <w:szCs w:val="19"/>
          <w:lang w:val="es-ES"/>
        </w:rPr>
        <w:t>»</w:t>
      </w:r>
      <w:r w:rsidRPr="004E4F11">
        <w:rPr>
          <w:rFonts w:ascii="Arial" w:hAnsi="Arial" w:cs="Arial"/>
          <w:color w:val="000000" w:themeColor="text1"/>
          <w:sz w:val="19"/>
          <w:szCs w:val="19"/>
          <w:lang w:val="es-ES"/>
        </w:rPr>
        <w:t>.</w:t>
      </w:r>
      <w:r w:rsidR="004B3B91" w:rsidRPr="004E4F11">
        <w:rPr>
          <w:rFonts w:ascii="Arial" w:hAnsi="Arial" w:cs="Arial"/>
          <w:color w:val="000000" w:themeColor="text1"/>
          <w:sz w:val="19"/>
          <w:szCs w:val="19"/>
          <w:lang w:val="es-ES"/>
        </w:rPr>
        <w:t xml:space="preserve"> (Sentencia C-763 de 2002, M.P. Jaime Araujo Rentería).    </w:t>
      </w:r>
    </w:p>
  </w:footnote>
  <w:footnote w:id="22">
    <w:p w14:paraId="2FADDD6E" w14:textId="40B108F4" w:rsidR="007575F9" w:rsidRPr="004E4F11" w:rsidRDefault="007575F9" w:rsidP="003D34C7">
      <w:pPr>
        <w:pStyle w:val="Textonotapie"/>
        <w:ind w:firstLine="709"/>
        <w:jc w:val="both"/>
        <w:rPr>
          <w:color w:val="000000" w:themeColor="text1"/>
        </w:rPr>
      </w:pPr>
      <w:r w:rsidRPr="003D34C7">
        <w:rPr>
          <w:rStyle w:val="Refdenotaalpie"/>
          <w:rFonts w:ascii="Arial" w:hAnsi="Arial" w:cs="Arial"/>
          <w:color w:val="000000" w:themeColor="text1"/>
          <w:sz w:val="19"/>
          <w:szCs w:val="19"/>
        </w:rPr>
        <w:footnoteRef/>
      </w:r>
      <w:r w:rsidRPr="003D34C7">
        <w:rPr>
          <w:rFonts w:ascii="Arial" w:hAnsi="Arial" w:cs="Arial"/>
          <w:color w:val="000000" w:themeColor="text1"/>
          <w:sz w:val="19"/>
          <w:szCs w:val="19"/>
        </w:rPr>
        <w:t xml:space="preserve"> HUERTA OCHOA, Carla. Teoría del derecho. Cuestiones relevantes. México: Universidad Nacional Autónoma de México, 2008. pp. 110-111.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C9"/>
    <w:rsid w:val="00017FDA"/>
    <w:rsid w:val="00020158"/>
    <w:rsid w:val="000207E0"/>
    <w:rsid w:val="000209E2"/>
    <w:rsid w:val="00020F8F"/>
    <w:rsid w:val="00021A95"/>
    <w:rsid w:val="0002256F"/>
    <w:rsid w:val="00023992"/>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0DC"/>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600D"/>
    <w:rsid w:val="000463B5"/>
    <w:rsid w:val="00046717"/>
    <w:rsid w:val="00046A63"/>
    <w:rsid w:val="00046C09"/>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9AC"/>
    <w:rsid w:val="00081D62"/>
    <w:rsid w:val="00082090"/>
    <w:rsid w:val="000820BF"/>
    <w:rsid w:val="00082B74"/>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40D0"/>
    <w:rsid w:val="000942EB"/>
    <w:rsid w:val="00094D03"/>
    <w:rsid w:val="00094F22"/>
    <w:rsid w:val="00095B70"/>
    <w:rsid w:val="0009617E"/>
    <w:rsid w:val="0009628D"/>
    <w:rsid w:val="0009670F"/>
    <w:rsid w:val="00096DBA"/>
    <w:rsid w:val="000972FA"/>
    <w:rsid w:val="000973A9"/>
    <w:rsid w:val="000979CF"/>
    <w:rsid w:val="00097F3E"/>
    <w:rsid w:val="000A03C8"/>
    <w:rsid w:val="000A05F2"/>
    <w:rsid w:val="000A06C4"/>
    <w:rsid w:val="000A0861"/>
    <w:rsid w:val="000A0EC4"/>
    <w:rsid w:val="000A0ED1"/>
    <w:rsid w:val="000A12DB"/>
    <w:rsid w:val="000A167D"/>
    <w:rsid w:val="000A17C8"/>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69E"/>
    <w:rsid w:val="00117CF9"/>
    <w:rsid w:val="00117E6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89"/>
    <w:rsid w:val="0015448E"/>
    <w:rsid w:val="00154A6F"/>
    <w:rsid w:val="00155D08"/>
    <w:rsid w:val="00155F48"/>
    <w:rsid w:val="001561F3"/>
    <w:rsid w:val="0015623B"/>
    <w:rsid w:val="00156BE5"/>
    <w:rsid w:val="00157232"/>
    <w:rsid w:val="001573F4"/>
    <w:rsid w:val="00157D9A"/>
    <w:rsid w:val="00160401"/>
    <w:rsid w:val="001609E5"/>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3AC"/>
    <w:rsid w:val="001A54CD"/>
    <w:rsid w:val="001A5D74"/>
    <w:rsid w:val="001A66DF"/>
    <w:rsid w:val="001A67D0"/>
    <w:rsid w:val="001A6863"/>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3C1"/>
    <w:rsid w:val="001C3604"/>
    <w:rsid w:val="001C3E30"/>
    <w:rsid w:val="001C3E5C"/>
    <w:rsid w:val="001C476C"/>
    <w:rsid w:val="001C4975"/>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36"/>
    <w:rsid w:val="002270B4"/>
    <w:rsid w:val="002270C9"/>
    <w:rsid w:val="00227236"/>
    <w:rsid w:val="00227A8B"/>
    <w:rsid w:val="0023074D"/>
    <w:rsid w:val="0023143E"/>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B35"/>
    <w:rsid w:val="00253070"/>
    <w:rsid w:val="0025316D"/>
    <w:rsid w:val="00253A02"/>
    <w:rsid w:val="00253B81"/>
    <w:rsid w:val="00253CBB"/>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321"/>
    <w:rsid w:val="002E18E5"/>
    <w:rsid w:val="002E1953"/>
    <w:rsid w:val="002E1C30"/>
    <w:rsid w:val="002E1E37"/>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1D1"/>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FA3"/>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F5F"/>
    <w:rsid w:val="00363348"/>
    <w:rsid w:val="003633EE"/>
    <w:rsid w:val="00363857"/>
    <w:rsid w:val="00363D59"/>
    <w:rsid w:val="00364062"/>
    <w:rsid w:val="003640F7"/>
    <w:rsid w:val="003647C4"/>
    <w:rsid w:val="00364D82"/>
    <w:rsid w:val="00365026"/>
    <w:rsid w:val="0036594A"/>
    <w:rsid w:val="00365D3A"/>
    <w:rsid w:val="003664FF"/>
    <w:rsid w:val="00366BD2"/>
    <w:rsid w:val="003670B8"/>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EB5"/>
    <w:rsid w:val="003953B4"/>
    <w:rsid w:val="003956DD"/>
    <w:rsid w:val="00395E08"/>
    <w:rsid w:val="00396064"/>
    <w:rsid w:val="0039615F"/>
    <w:rsid w:val="003963B0"/>
    <w:rsid w:val="003966A0"/>
    <w:rsid w:val="00396A29"/>
    <w:rsid w:val="00397FF0"/>
    <w:rsid w:val="003A02BB"/>
    <w:rsid w:val="003A0878"/>
    <w:rsid w:val="003A1561"/>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87A"/>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4C7"/>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456"/>
    <w:rsid w:val="003E78DA"/>
    <w:rsid w:val="003E7A8B"/>
    <w:rsid w:val="003F060E"/>
    <w:rsid w:val="003F0B76"/>
    <w:rsid w:val="003F0CB0"/>
    <w:rsid w:val="003F0F7F"/>
    <w:rsid w:val="003F115C"/>
    <w:rsid w:val="003F153A"/>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54C"/>
    <w:rsid w:val="004A08D1"/>
    <w:rsid w:val="004A156E"/>
    <w:rsid w:val="004A16C1"/>
    <w:rsid w:val="004A1BA5"/>
    <w:rsid w:val="004A1CE2"/>
    <w:rsid w:val="004A24E3"/>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3B91"/>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29A3"/>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4F11"/>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2666"/>
    <w:rsid w:val="0050284E"/>
    <w:rsid w:val="0050306F"/>
    <w:rsid w:val="00503EA9"/>
    <w:rsid w:val="00503FC1"/>
    <w:rsid w:val="00504BF2"/>
    <w:rsid w:val="005052B0"/>
    <w:rsid w:val="00505DC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20E"/>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7A8"/>
    <w:rsid w:val="00565952"/>
    <w:rsid w:val="00566334"/>
    <w:rsid w:val="00566866"/>
    <w:rsid w:val="00566CDE"/>
    <w:rsid w:val="005670A5"/>
    <w:rsid w:val="005670E1"/>
    <w:rsid w:val="00567285"/>
    <w:rsid w:val="00567723"/>
    <w:rsid w:val="0056772D"/>
    <w:rsid w:val="005678F5"/>
    <w:rsid w:val="00567AB8"/>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3B2"/>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6F2D"/>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5C0"/>
    <w:rsid w:val="00690839"/>
    <w:rsid w:val="006908DB"/>
    <w:rsid w:val="00690DE9"/>
    <w:rsid w:val="00691563"/>
    <w:rsid w:val="00691DE9"/>
    <w:rsid w:val="00691EAA"/>
    <w:rsid w:val="00692245"/>
    <w:rsid w:val="00692745"/>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F43"/>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CA0"/>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BDD"/>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5F9"/>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41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AC6"/>
    <w:rsid w:val="00872F97"/>
    <w:rsid w:val="00873B0B"/>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CAE"/>
    <w:rsid w:val="008E5179"/>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919"/>
    <w:rsid w:val="00935E70"/>
    <w:rsid w:val="0093609A"/>
    <w:rsid w:val="009366CE"/>
    <w:rsid w:val="00937401"/>
    <w:rsid w:val="009376FB"/>
    <w:rsid w:val="00937D6B"/>
    <w:rsid w:val="00940477"/>
    <w:rsid w:val="00940876"/>
    <w:rsid w:val="00940A53"/>
    <w:rsid w:val="00940F3C"/>
    <w:rsid w:val="009410E0"/>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F47"/>
    <w:rsid w:val="009560DA"/>
    <w:rsid w:val="00956F96"/>
    <w:rsid w:val="0095780A"/>
    <w:rsid w:val="009578C3"/>
    <w:rsid w:val="009579E4"/>
    <w:rsid w:val="00957AA4"/>
    <w:rsid w:val="00957ACB"/>
    <w:rsid w:val="00957F27"/>
    <w:rsid w:val="0096079A"/>
    <w:rsid w:val="00960BDB"/>
    <w:rsid w:val="0096105C"/>
    <w:rsid w:val="0096147D"/>
    <w:rsid w:val="00961501"/>
    <w:rsid w:val="0096160D"/>
    <w:rsid w:val="00961D53"/>
    <w:rsid w:val="00961E5F"/>
    <w:rsid w:val="00961EF3"/>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2F0E"/>
    <w:rsid w:val="009F369D"/>
    <w:rsid w:val="009F36FE"/>
    <w:rsid w:val="009F399F"/>
    <w:rsid w:val="009F4990"/>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194"/>
    <w:rsid w:val="00A15621"/>
    <w:rsid w:val="00A15670"/>
    <w:rsid w:val="00A157A0"/>
    <w:rsid w:val="00A1585B"/>
    <w:rsid w:val="00A15C19"/>
    <w:rsid w:val="00A15FE9"/>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33B"/>
    <w:rsid w:val="00A266A1"/>
    <w:rsid w:val="00A26A4D"/>
    <w:rsid w:val="00A275AC"/>
    <w:rsid w:val="00A2778A"/>
    <w:rsid w:val="00A27FB6"/>
    <w:rsid w:val="00A30121"/>
    <w:rsid w:val="00A30368"/>
    <w:rsid w:val="00A3043A"/>
    <w:rsid w:val="00A30968"/>
    <w:rsid w:val="00A30E02"/>
    <w:rsid w:val="00A30E49"/>
    <w:rsid w:val="00A30F6A"/>
    <w:rsid w:val="00A31C3E"/>
    <w:rsid w:val="00A32472"/>
    <w:rsid w:val="00A333FF"/>
    <w:rsid w:val="00A34538"/>
    <w:rsid w:val="00A34677"/>
    <w:rsid w:val="00A3540F"/>
    <w:rsid w:val="00A355FA"/>
    <w:rsid w:val="00A35630"/>
    <w:rsid w:val="00A35914"/>
    <w:rsid w:val="00A36189"/>
    <w:rsid w:val="00A37348"/>
    <w:rsid w:val="00A375A2"/>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C54"/>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A86"/>
    <w:rsid w:val="00B011A9"/>
    <w:rsid w:val="00B01BAF"/>
    <w:rsid w:val="00B024ED"/>
    <w:rsid w:val="00B026B8"/>
    <w:rsid w:val="00B02EB3"/>
    <w:rsid w:val="00B02FCB"/>
    <w:rsid w:val="00B033F8"/>
    <w:rsid w:val="00B03C1E"/>
    <w:rsid w:val="00B04400"/>
    <w:rsid w:val="00B046C2"/>
    <w:rsid w:val="00B04835"/>
    <w:rsid w:val="00B04B71"/>
    <w:rsid w:val="00B05A55"/>
    <w:rsid w:val="00B05BEA"/>
    <w:rsid w:val="00B05C74"/>
    <w:rsid w:val="00B05DE1"/>
    <w:rsid w:val="00B06595"/>
    <w:rsid w:val="00B06862"/>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7DA"/>
    <w:rsid w:val="00B14D32"/>
    <w:rsid w:val="00B1507C"/>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955"/>
    <w:rsid w:val="00B54215"/>
    <w:rsid w:val="00B547AD"/>
    <w:rsid w:val="00B54D8F"/>
    <w:rsid w:val="00B55751"/>
    <w:rsid w:val="00B55857"/>
    <w:rsid w:val="00B5587C"/>
    <w:rsid w:val="00B55C69"/>
    <w:rsid w:val="00B5664E"/>
    <w:rsid w:val="00B56851"/>
    <w:rsid w:val="00B56D6E"/>
    <w:rsid w:val="00B572F7"/>
    <w:rsid w:val="00B574C3"/>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A7BBE"/>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9E3"/>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D40"/>
    <w:rsid w:val="00C04E66"/>
    <w:rsid w:val="00C052C6"/>
    <w:rsid w:val="00C05A61"/>
    <w:rsid w:val="00C05F04"/>
    <w:rsid w:val="00C05FBA"/>
    <w:rsid w:val="00C05FEE"/>
    <w:rsid w:val="00C060CE"/>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4C78"/>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39"/>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83F"/>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E51"/>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7019"/>
    <w:rsid w:val="00CA70DF"/>
    <w:rsid w:val="00CA76FC"/>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2DF"/>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953"/>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1B"/>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E39"/>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CB3"/>
    <w:rsid w:val="00E25DA4"/>
    <w:rsid w:val="00E25EF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263"/>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804"/>
    <w:rsid w:val="00E9429D"/>
    <w:rsid w:val="00E95434"/>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2EC2"/>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2AA"/>
    <w:rsid w:val="00EC04F7"/>
    <w:rsid w:val="00EC05E2"/>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459F"/>
    <w:rsid w:val="00EE5454"/>
    <w:rsid w:val="00EE556B"/>
    <w:rsid w:val="00EE59B5"/>
    <w:rsid w:val="00EE5FA9"/>
    <w:rsid w:val="00EE5FB7"/>
    <w:rsid w:val="00EE6783"/>
    <w:rsid w:val="00EE678B"/>
    <w:rsid w:val="00EE780C"/>
    <w:rsid w:val="00EE7B54"/>
    <w:rsid w:val="00EE7C47"/>
    <w:rsid w:val="00EE7C88"/>
    <w:rsid w:val="00EE7C8B"/>
    <w:rsid w:val="00EE7D33"/>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5680"/>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8FE"/>
    <w:rsid w:val="00F97CF1"/>
    <w:rsid w:val="00FA015F"/>
    <w:rsid w:val="00FA0FAC"/>
    <w:rsid w:val="00FA10F7"/>
    <w:rsid w:val="00FA140C"/>
    <w:rsid w:val="00FA1C14"/>
    <w:rsid w:val="00FA1DA2"/>
    <w:rsid w:val="00FA2282"/>
    <w:rsid w:val="00FA2357"/>
    <w:rsid w:val="00FA289A"/>
    <w:rsid w:val="00FA3414"/>
    <w:rsid w:val="00FA347A"/>
    <w:rsid w:val="00FA3B2F"/>
    <w:rsid w:val="00FA3CDE"/>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12E3"/>
    <w:rsid w:val="00FB1570"/>
    <w:rsid w:val="00FB193B"/>
    <w:rsid w:val="00FB1B51"/>
    <w:rsid w:val="00FB1FBC"/>
    <w:rsid w:val="00FB27B7"/>
    <w:rsid w:val="00FB282A"/>
    <w:rsid w:val="00FB30CB"/>
    <w:rsid w:val="00FB3295"/>
    <w:rsid w:val="00FB35E3"/>
    <w:rsid w:val="00FB45B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D77"/>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6145"/>
    <w:rsid w:val="00FD6DC5"/>
    <w:rsid w:val="00FD6E47"/>
    <w:rsid w:val="00FD72B1"/>
    <w:rsid w:val="00FD798D"/>
    <w:rsid w:val="00FE141E"/>
    <w:rsid w:val="00FE144E"/>
    <w:rsid w:val="00FE1768"/>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d85dbaf-23eb-4e57-a637-93dcacc8b1a1"/>
    <ds:schemaRef ds:uri="http://purl.org/dc/elements/1.1/"/>
    <ds:schemaRef ds:uri="a6cb9e4b-f1d1-4245-83ec-6cad768d538a"/>
    <ds:schemaRef ds:uri="http://purl.org/dc/dcmitype/"/>
  </ds:schemaRefs>
</ds:datastoreItem>
</file>

<file path=customXml/itemProps4.xml><?xml version="1.0" encoding="utf-8"?>
<ds:datastoreItem xmlns:ds="http://schemas.openxmlformats.org/officeDocument/2006/customXml" ds:itemID="{5AE681E0-7567-4B1F-80C7-C7B95889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19</TotalTime>
  <Pages>21</Pages>
  <Words>7907</Words>
  <Characters>45073</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José Luis</cp:lastModifiedBy>
  <cp:revision>3</cp:revision>
  <cp:lastPrinted>2021-01-20T13:01:00Z</cp:lastPrinted>
  <dcterms:created xsi:type="dcterms:W3CDTF">2022-03-24T21:28:00Z</dcterms:created>
  <dcterms:modified xsi:type="dcterms:W3CDTF">2022-03-24T23:57:00Z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