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156B" w14:textId="77777777" w:rsidR="005D2494" w:rsidRDefault="005D2494" w:rsidP="005D2494">
      <w:pPr>
        <w:rPr>
          <w:rFonts w:ascii="Arial" w:hAnsi="Arial" w:cs="Arial"/>
          <w:b/>
          <w:color w:val="000000" w:themeColor="text1"/>
          <w:lang w:eastAsia="es-ES"/>
        </w:rPr>
      </w:pPr>
    </w:p>
    <w:p w14:paraId="11169EFD" w14:textId="77777777" w:rsidR="005D2494" w:rsidRPr="00A03FAB" w:rsidRDefault="005D2494" w:rsidP="005D2494">
      <w:pPr>
        <w:jc w:val="both"/>
        <w:rPr>
          <w:rFonts w:ascii="Arial" w:eastAsia="Calibri" w:hAnsi="Arial" w:cs="Arial"/>
          <w:b/>
          <w:bCs/>
          <w:sz w:val="22"/>
          <w:szCs w:val="22"/>
        </w:rPr>
      </w:pPr>
      <w:r w:rsidRPr="00A03FAB">
        <w:rPr>
          <w:rFonts w:ascii="Arial" w:eastAsia="Calibri" w:hAnsi="Arial" w:cs="Arial"/>
          <w:b/>
          <w:bCs/>
          <w:sz w:val="22"/>
          <w:szCs w:val="22"/>
        </w:rPr>
        <w:t>CAPACIDAD RESIDUAL – Definición</w:t>
      </w:r>
      <w:r>
        <w:rPr>
          <w:rFonts w:ascii="Arial" w:eastAsia="Calibri" w:hAnsi="Arial" w:cs="Arial"/>
          <w:b/>
          <w:bCs/>
          <w:sz w:val="22"/>
          <w:szCs w:val="22"/>
        </w:rPr>
        <w:t xml:space="preserve"> – Cálculo</w:t>
      </w:r>
    </w:p>
    <w:p w14:paraId="2BDDFFB7" w14:textId="77777777" w:rsidR="005D2494" w:rsidRPr="00A03FAB" w:rsidRDefault="005D2494" w:rsidP="005D2494">
      <w:pPr>
        <w:jc w:val="both"/>
        <w:rPr>
          <w:rFonts w:ascii="Arial" w:eastAsia="Calibri" w:hAnsi="Arial" w:cs="Arial"/>
          <w:b/>
          <w:sz w:val="20"/>
          <w:szCs w:val="20"/>
        </w:rPr>
      </w:pPr>
    </w:p>
    <w:p w14:paraId="7EA7E4F8" w14:textId="77777777" w:rsidR="005D2494" w:rsidRPr="000C408D" w:rsidRDefault="005D2494" w:rsidP="005D2494">
      <w:pPr>
        <w:jc w:val="both"/>
        <w:rPr>
          <w:rFonts w:ascii="Arial" w:eastAsia="Calibri" w:hAnsi="Arial" w:cs="Arial"/>
          <w:b/>
          <w:sz w:val="20"/>
          <w:szCs w:val="20"/>
        </w:rPr>
      </w:pPr>
      <w:r w:rsidRPr="000C408D">
        <w:rPr>
          <w:rFonts w:ascii="Arial" w:hAnsi="Arial" w:cs="Arial"/>
          <w:sz w:val="20"/>
          <w:szCs w:val="20"/>
        </w:rPr>
        <w:t>La capacidad residual es una aptitud que se exige a los oferentes en los procesos de selección contractual, con el objetivo de establecer o determinar si éstos pueden o no cumplir de manera oportuna y a cabalidad con las obligaciones derivadas de un contrato de obra pública, sin que los demás compromisos contractuales que hubieran adquirido afecten su capacidad para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0A0807F7" w14:textId="77777777" w:rsidR="005D2494" w:rsidRDefault="005D2494" w:rsidP="005D2494">
      <w:pPr>
        <w:jc w:val="both"/>
        <w:rPr>
          <w:rFonts w:ascii="Arial" w:eastAsia="Calibri" w:hAnsi="Arial" w:cs="Arial"/>
          <w:bCs/>
          <w:sz w:val="20"/>
          <w:szCs w:val="20"/>
        </w:rPr>
      </w:pPr>
      <w:r>
        <w:rPr>
          <w:rFonts w:ascii="Arial" w:eastAsia="Calibri" w:hAnsi="Arial" w:cs="Arial"/>
          <w:bCs/>
          <w:sz w:val="20"/>
          <w:szCs w:val="20"/>
        </w:rPr>
        <w:t xml:space="preserve">[…] </w:t>
      </w:r>
    </w:p>
    <w:p w14:paraId="71264A98" w14:textId="77777777" w:rsidR="005D2494" w:rsidRPr="00100BEE" w:rsidRDefault="005D2494" w:rsidP="005D2494">
      <w:pPr>
        <w:jc w:val="both"/>
        <w:rPr>
          <w:rFonts w:ascii="Arial" w:eastAsia="Calibri" w:hAnsi="Arial" w:cs="Arial"/>
          <w:b/>
          <w:sz w:val="20"/>
          <w:szCs w:val="20"/>
        </w:rPr>
      </w:pPr>
      <w:r w:rsidRPr="000C408D">
        <w:rPr>
          <w:rFonts w:ascii="Arial" w:eastAsia="Calibri" w:hAnsi="Arial" w:cs="Arial"/>
          <w:bCs/>
          <w:sz w:val="20"/>
          <w:szCs w:val="20"/>
        </w:rPr>
        <w:t>A su turno, 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En este sentido, la «capacidad de contratación», según se lee en la misma disposición, «[…] se deberá calcular mediante la evaluación de los siguientes factores: Experiencia (E), Capacidad Financiera (CF), Capacidad Técnica (CT), y Capacidad de Organización (CO)».</w:t>
      </w:r>
    </w:p>
    <w:p w14:paraId="6508AE70" w14:textId="77777777" w:rsidR="005D2494" w:rsidRPr="00A03FAB" w:rsidRDefault="005D2494" w:rsidP="005D2494">
      <w:pPr>
        <w:jc w:val="both"/>
        <w:rPr>
          <w:rFonts w:ascii="Arial" w:eastAsia="Calibri" w:hAnsi="Arial" w:cs="Arial"/>
          <w:bCs/>
          <w:sz w:val="20"/>
          <w:szCs w:val="20"/>
        </w:rPr>
      </w:pPr>
    </w:p>
    <w:p w14:paraId="1918FD65" w14:textId="77777777" w:rsidR="005D2494" w:rsidRPr="00A03FAB" w:rsidRDefault="005D2494" w:rsidP="005D2494">
      <w:pPr>
        <w:jc w:val="both"/>
        <w:rPr>
          <w:rFonts w:ascii="Arial" w:eastAsia="Calibri" w:hAnsi="Arial" w:cs="Arial"/>
          <w:b/>
          <w:bCs/>
          <w:sz w:val="22"/>
          <w:szCs w:val="22"/>
        </w:rPr>
      </w:pPr>
      <w:r w:rsidRPr="00A03FAB">
        <w:rPr>
          <w:rFonts w:ascii="Arial" w:eastAsia="Calibri" w:hAnsi="Arial" w:cs="Arial"/>
          <w:b/>
          <w:bCs/>
          <w:sz w:val="22"/>
          <w:szCs w:val="22"/>
        </w:rPr>
        <w:t xml:space="preserve">CAPACIDAD RESIDUAL – </w:t>
      </w:r>
      <w:r>
        <w:rPr>
          <w:rFonts w:ascii="Arial" w:eastAsia="Calibri" w:hAnsi="Arial" w:cs="Arial"/>
          <w:b/>
          <w:bCs/>
          <w:sz w:val="22"/>
          <w:szCs w:val="22"/>
        </w:rPr>
        <w:t>Factores – Saldos de contratos en ejecución</w:t>
      </w:r>
    </w:p>
    <w:p w14:paraId="6EBDC515" w14:textId="77777777" w:rsidR="005D2494" w:rsidRPr="00A03FAB" w:rsidRDefault="005D2494" w:rsidP="005D2494">
      <w:pPr>
        <w:jc w:val="both"/>
        <w:rPr>
          <w:rFonts w:ascii="Arial" w:eastAsia="Calibri" w:hAnsi="Arial" w:cs="Arial"/>
          <w:b/>
          <w:sz w:val="20"/>
          <w:szCs w:val="20"/>
        </w:rPr>
      </w:pPr>
    </w:p>
    <w:p w14:paraId="013EBC15" w14:textId="77777777" w:rsidR="005D2494" w:rsidRDefault="005D2494" w:rsidP="005D2494">
      <w:pPr>
        <w:jc w:val="both"/>
        <w:rPr>
          <w:rFonts w:ascii="Arial" w:eastAsia="Calibri" w:hAnsi="Arial" w:cs="Arial"/>
          <w:bCs/>
          <w:sz w:val="20"/>
          <w:szCs w:val="20"/>
        </w:rPr>
      </w:pPr>
      <w:r>
        <w:rPr>
          <w:rFonts w:ascii="Arial" w:eastAsia="Calibri" w:hAnsi="Arial" w:cs="Arial"/>
          <w:bCs/>
          <w:sz w:val="20"/>
          <w:szCs w:val="20"/>
        </w:rPr>
        <w:t xml:space="preserve">[…] </w:t>
      </w:r>
      <w:r w:rsidRPr="000C408D">
        <w:rPr>
          <w:rFonts w:ascii="Arial" w:eastAsia="Calibri" w:hAnsi="Arial" w:cs="Arial"/>
          <w:bCs/>
          <w:sz w:val="20"/>
          <w:szCs w:val="20"/>
        </w:rPr>
        <w:t>los contratos en ejecución son aquellos que, a la fecha de presentación de la oferta, obligan al proponente con entidades estatales y con entidades privadas para ejecutar obras públicas, incluyendo la ejecución de obras civiles en los contratos de concesión y los contratos de obra suscritos con concesionarios, así como también los contratos suspendidos y aquellos que no tengan acta de inicio. Es decir, los saldos pendientes se derivan de las obligaciones que se encuentran en ejecución al momento de la presentación de la oferta. A este respecto, no se entenderán como contratos en ejecución los que se encuentren en liquidación.</w:t>
      </w:r>
    </w:p>
    <w:p w14:paraId="5EC21212" w14:textId="77777777" w:rsidR="005D2494" w:rsidRDefault="005D2494" w:rsidP="005D2494">
      <w:pPr>
        <w:jc w:val="both"/>
        <w:rPr>
          <w:rFonts w:ascii="Arial" w:eastAsia="Calibri" w:hAnsi="Arial" w:cs="Arial"/>
          <w:bCs/>
          <w:sz w:val="20"/>
          <w:szCs w:val="20"/>
        </w:rPr>
      </w:pPr>
      <w:r>
        <w:rPr>
          <w:rFonts w:ascii="Arial" w:eastAsia="Calibri" w:hAnsi="Arial" w:cs="Arial"/>
          <w:bCs/>
          <w:sz w:val="20"/>
          <w:szCs w:val="20"/>
        </w:rPr>
        <w:t>[…]</w:t>
      </w:r>
    </w:p>
    <w:p w14:paraId="563C2F54" w14:textId="77777777" w:rsidR="005D2494" w:rsidRPr="00A03FAB" w:rsidRDefault="005D2494" w:rsidP="005D2494">
      <w:pPr>
        <w:jc w:val="both"/>
        <w:rPr>
          <w:rFonts w:ascii="Arial" w:eastAsia="Calibri" w:hAnsi="Arial" w:cs="Arial"/>
          <w:bCs/>
          <w:sz w:val="20"/>
          <w:szCs w:val="20"/>
        </w:rPr>
      </w:pPr>
      <w:r w:rsidRPr="005E1DC0">
        <w:rPr>
          <w:rFonts w:ascii="Arial" w:eastAsia="Calibri" w:hAnsi="Arial" w:cs="Arial"/>
          <w:bCs/>
          <w:sz w:val="20"/>
          <w:szCs w:val="20"/>
        </w:rPr>
        <w:t xml:space="preserve">Para acreditar el factor SCE, como lo establece la «Guía para Determinar y Verificar la Capacidad Residual del Proponente en los Procesos de Contratación de Obra Pública», el proponente debe presentar la lista de contratos en ejecución, tanto a nivel nacional como internacional, señalando: i) el valor del contrato; </w:t>
      </w:r>
      <w:proofErr w:type="spellStart"/>
      <w:r w:rsidRPr="005E1DC0">
        <w:rPr>
          <w:rFonts w:ascii="Arial" w:eastAsia="Calibri" w:hAnsi="Arial" w:cs="Arial"/>
          <w:bCs/>
          <w:sz w:val="20"/>
          <w:szCs w:val="20"/>
        </w:rPr>
        <w:t>ii</w:t>
      </w:r>
      <w:proofErr w:type="spellEnd"/>
      <w:r w:rsidRPr="005E1DC0">
        <w:rPr>
          <w:rFonts w:ascii="Arial" w:eastAsia="Calibri" w:hAnsi="Arial" w:cs="Arial"/>
          <w:bCs/>
          <w:sz w:val="20"/>
          <w:szCs w:val="20"/>
        </w:rPr>
        <w:t xml:space="preserve">) el plazo del contrato en meses; </w:t>
      </w:r>
      <w:proofErr w:type="spellStart"/>
      <w:r w:rsidRPr="005E1DC0">
        <w:rPr>
          <w:rFonts w:ascii="Arial" w:eastAsia="Calibri" w:hAnsi="Arial" w:cs="Arial"/>
          <w:bCs/>
          <w:sz w:val="20"/>
          <w:szCs w:val="20"/>
        </w:rPr>
        <w:t>iii</w:t>
      </w:r>
      <w:proofErr w:type="spellEnd"/>
      <w:r w:rsidRPr="005E1DC0">
        <w:rPr>
          <w:rFonts w:ascii="Arial" w:eastAsia="Calibri" w:hAnsi="Arial" w:cs="Arial"/>
          <w:bCs/>
          <w:sz w:val="20"/>
          <w:szCs w:val="20"/>
        </w:rPr>
        <w:t xml:space="preserve">) la fecha de inicio de las obras objeto del contrato, día, mes, año; </w:t>
      </w:r>
      <w:proofErr w:type="spellStart"/>
      <w:r w:rsidRPr="005E1DC0">
        <w:rPr>
          <w:rFonts w:ascii="Arial" w:eastAsia="Calibri" w:hAnsi="Arial" w:cs="Arial"/>
          <w:bCs/>
          <w:sz w:val="20"/>
          <w:szCs w:val="20"/>
        </w:rPr>
        <w:t>iv</w:t>
      </w:r>
      <w:proofErr w:type="spellEnd"/>
      <w:r w:rsidRPr="005E1DC0">
        <w:rPr>
          <w:rFonts w:ascii="Arial" w:eastAsia="Calibri" w:hAnsi="Arial" w:cs="Arial"/>
          <w:bCs/>
          <w:sz w:val="20"/>
          <w:szCs w:val="20"/>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r>
        <w:rPr>
          <w:rFonts w:ascii="Arial" w:eastAsia="Calibri" w:hAnsi="Arial" w:cs="Arial"/>
          <w:bCs/>
          <w:sz w:val="20"/>
          <w:szCs w:val="20"/>
        </w:rPr>
        <w:t>.</w:t>
      </w:r>
    </w:p>
    <w:p w14:paraId="5DF0994F" w14:textId="77777777" w:rsidR="005D2494" w:rsidRPr="00A03FAB" w:rsidRDefault="005D2494" w:rsidP="005D2494">
      <w:pPr>
        <w:jc w:val="both"/>
        <w:rPr>
          <w:rFonts w:ascii="Arial" w:eastAsia="Calibri" w:hAnsi="Arial" w:cs="Arial"/>
          <w:bCs/>
          <w:sz w:val="20"/>
          <w:szCs w:val="20"/>
        </w:rPr>
      </w:pPr>
    </w:p>
    <w:p w14:paraId="723645D6" w14:textId="77777777" w:rsidR="005D2494" w:rsidRPr="00A03FAB" w:rsidRDefault="005D2494" w:rsidP="005D2494">
      <w:pPr>
        <w:jc w:val="both"/>
        <w:rPr>
          <w:rFonts w:ascii="Arial" w:eastAsia="Calibri" w:hAnsi="Arial" w:cs="Arial"/>
          <w:b/>
          <w:bCs/>
          <w:sz w:val="22"/>
          <w:szCs w:val="22"/>
        </w:rPr>
      </w:pPr>
      <w:r w:rsidRPr="00A03FAB">
        <w:rPr>
          <w:rFonts w:ascii="Arial" w:eastAsia="Calibri" w:hAnsi="Arial" w:cs="Arial"/>
          <w:b/>
          <w:bCs/>
          <w:sz w:val="22"/>
          <w:szCs w:val="22"/>
        </w:rPr>
        <w:t>C</w:t>
      </w:r>
      <w:r>
        <w:rPr>
          <w:rFonts w:ascii="Arial" w:eastAsia="Calibri" w:hAnsi="Arial" w:cs="Arial"/>
          <w:b/>
          <w:bCs/>
          <w:sz w:val="22"/>
          <w:szCs w:val="22"/>
        </w:rPr>
        <w:t>APACIDAD RESIDUAL</w:t>
      </w:r>
      <w:r w:rsidRPr="00A03FAB">
        <w:rPr>
          <w:rFonts w:ascii="Arial" w:eastAsia="Calibri" w:hAnsi="Arial" w:cs="Arial"/>
          <w:b/>
          <w:bCs/>
          <w:sz w:val="22"/>
          <w:szCs w:val="22"/>
        </w:rPr>
        <w:t xml:space="preserve"> – C</w:t>
      </w:r>
      <w:r>
        <w:rPr>
          <w:rFonts w:ascii="Arial" w:eastAsia="Calibri" w:hAnsi="Arial" w:cs="Arial"/>
          <w:b/>
          <w:bCs/>
          <w:sz w:val="22"/>
          <w:szCs w:val="22"/>
        </w:rPr>
        <w:t>ontratos en ejecución – Contratos suspendidos – Cálculo</w:t>
      </w:r>
      <w:r w:rsidRPr="00A03FAB">
        <w:rPr>
          <w:rFonts w:ascii="Arial" w:eastAsia="Calibri" w:hAnsi="Arial" w:cs="Arial"/>
          <w:b/>
          <w:bCs/>
          <w:sz w:val="22"/>
          <w:szCs w:val="22"/>
        </w:rPr>
        <w:t xml:space="preserve"> </w:t>
      </w:r>
    </w:p>
    <w:p w14:paraId="2722104A" w14:textId="77777777" w:rsidR="005D2494" w:rsidRPr="00A03FAB" w:rsidRDefault="005D2494" w:rsidP="005D2494">
      <w:pPr>
        <w:jc w:val="both"/>
        <w:rPr>
          <w:rFonts w:ascii="Arial" w:eastAsia="Calibri" w:hAnsi="Arial" w:cs="Arial"/>
          <w:b/>
          <w:sz w:val="20"/>
          <w:szCs w:val="20"/>
        </w:rPr>
      </w:pPr>
    </w:p>
    <w:p w14:paraId="60D7AFF0" w14:textId="77777777" w:rsidR="005D2494" w:rsidRDefault="005D2494" w:rsidP="005D2494">
      <w:pPr>
        <w:jc w:val="both"/>
        <w:rPr>
          <w:rFonts w:ascii="Arial" w:hAnsi="Arial" w:cs="Arial"/>
          <w:sz w:val="20"/>
          <w:szCs w:val="20"/>
        </w:rPr>
      </w:pPr>
      <w:r w:rsidRPr="005E1DC0">
        <w:rPr>
          <w:rFonts w:ascii="Arial" w:hAnsi="Arial" w:cs="Arial"/>
          <w:sz w:val="20"/>
          <w:szCs w:val="20"/>
        </w:rPr>
        <w:t>Ahora, cuando un contrato se encuentra suspendido, el cálculo del SCE de dicho contrato debe realizarse asumiendo que lo que falta por ejecutar empezará a ejecutarse en la fecha de la presentación de la oferta del Proceso de Contratación. En todo caso, una vez determinado lo que falta por ejecutarse en estos contratos, debe procederse conforme a lo referido en los párrafos anteriores.</w:t>
      </w:r>
    </w:p>
    <w:p w14:paraId="4D8567D9" w14:textId="77777777" w:rsidR="005D2494" w:rsidRDefault="005D2494" w:rsidP="005D2494">
      <w:pPr>
        <w:ind w:right="49"/>
        <w:jc w:val="both"/>
        <w:rPr>
          <w:rFonts w:ascii="Arial" w:eastAsia="Calibri" w:hAnsi="Arial" w:cs="Arial"/>
          <w:b/>
          <w:bCs/>
          <w:sz w:val="22"/>
          <w:szCs w:val="22"/>
        </w:rPr>
      </w:pPr>
    </w:p>
    <w:p w14:paraId="11EDCB9F" w14:textId="77777777" w:rsidR="005D2494" w:rsidRDefault="005D2494" w:rsidP="005D2494">
      <w:pPr>
        <w:ind w:right="49"/>
        <w:jc w:val="both"/>
        <w:rPr>
          <w:rFonts w:ascii="Arial" w:eastAsia="Calibri" w:hAnsi="Arial" w:cs="Arial"/>
          <w:b/>
          <w:bCs/>
          <w:sz w:val="22"/>
          <w:szCs w:val="22"/>
        </w:rPr>
      </w:pPr>
    </w:p>
    <w:p w14:paraId="6AA959CB" w14:textId="77777777" w:rsidR="005D2494" w:rsidRDefault="005D2494" w:rsidP="005D2494">
      <w:pPr>
        <w:ind w:right="49"/>
        <w:jc w:val="both"/>
        <w:rPr>
          <w:rFonts w:ascii="Arial" w:eastAsia="Calibri" w:hAnsi="Arial" w:cs="Arial"/>
          <w:b/>
          <w:bCs/>
          <w:sz w:val="22"/>
          <w:szCs w:val="22"/>
        </w:rPr>
      </w:pPr>
    </w:p>
    <w:p w14:paraId="7DE6A213" w14:textId="77777777" w:rsidR="005D2494" w:rsidRDefault="005D2494" w:rsidP="005D2494">
      <w:pPr>
        <w:ind w:right="49"/>
        <w:jc w:val="both"/>
        <w:rPr>
          <w:rFonts w:ascii="Arial" w:eastAsia="Calibri" w:hAnsi="Arial" w:cs="Arial"/>
          <w:b/>
          <w:bCs/>
          <w:sz w:val="22"/>
          <w:szCs w:val="22"/>
        </w:rPr>
      </w:pPr>
    </w:p>
    <w:p w14:paraId="13E4B13C" w14:textId="768CAA68" w:rsidR="005D2494" w:rsidRPr="006C15D5" w:rsidRDefault="004B3D29" w:rsidP="004B3D29">
      <w:pPr>
        <w:jc w:val="right"/>
        <w:rPr>
          <w:rFonts w:ascii="Arial" w:eastAsia="Calibri" w:hAnsi="Arial" w:cs="Arial"/>
          <w:color w:val="000000" w:themeColor="text1"/>
          <w:sz w:val="22"/>
        </w:rPr>
      </w:pPr>
      <w:r>
        <w:rPr>
          <w:rFonts w:ascii="Arial" w:eastAsia="Calibri" w:hAnsi="Arial" w:cs="Arial"/>
          <w:noProof/>
          <w:color w:val="000000" w:themeColor="text1"/>
          <w:sz w:val="22"/>
        </w:rPr>
        <w:lastRenderedPageBreak/>
        <w:drawing>
          <wp:inline distT="0" distB="0" distL="0" distR="0" wp14:anchorId="0D7248DA" wp14:editId="03A64693">
            <wp:extent cx="2640082" cy="714375"/>
            <wp:effectExtent l="0" t="0" r="825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693712" cy="728887"/>
                    </a:xfrm>
                    <a:prstGeom prst="rect">
                      <a:avLst/>
                    </a:prstGeom>
                  </pic:spPr>
                </pic:pic>
              </a:graphicData>
            </a:graphic>
          </wp:inline>
        </w:drawing>
      </w:r>
    </w:p>
    <w:p w14:paraId="477007DD" w14:textId="77777777" w:rsidR="005D2494" w:rsidRDefault="005D2494" w:rsidP="005D2494">
      <w:pPr>
        <w:rPr>
          <w:rFonts w:ascii="Arial" w:eastAsia="Calibri" w:hAnsi="Arial" w:cs="Arial"/>
          <w:color w:val="000000" w:themeColor="text1"/>
          <w:sz w:val="22"/>
          <w:szCs w:val="22"/>
        </w:rPr>
      </w:pPr>
    </w:p>
    <w:p w14:paraId="6A6787A3" w14:textId="77777777" w:rsidR="004B3D29" w:rsidRDefault="004B3D29" w:rsidP="005D2494">
      <w:pPr>
        <w:rPr>
          <w:rFonts w:ascii="Arial" w:eastAsia="Calibri" w:hAnsi="Arial" w:cs="Arial"/>
          <w:color w:val="000000" w:themeColor="text1"/>
          <w:sz w:val="22"/>
          <w:szCs w:val="22"/>
        </w:rPr>
      </w:pPr>
    </w:p>
    <w:p w14:paraId="36E3490C" w14:textId="77777777" w:rsidR="004B3D29" w:rsidRDefault="004B3D29" w:rsidP="005D2494">
      <w:pPr>
        <w:rPr>
          <w:rFonts w:ascii="Arial" w:eastAsia="Calibri" w:hAnsi="Arial" w:cs="Arial"/>
          <w:color w:val="000000" w:themeColor="text1"/>
          <w:sz w:val="22"/>
          <w:szCs w:val="22"/>
        </w:rPr>
      </w:pPr>
    </w:p>
    <w:p w14:paraId="2FEA848D" w14:textId="20CB6B62" w:rsidR="005D2494" w:rsidRPr="00711D62" w:rsidRDefault="005D2494" w:rsidP="005D2494">
      <w:pPr>
        <w:rPr>
          <w:rFonts w:ascii="Arial" w:eastAsia="Calibri" w:hAnsi="Arial" w:cs="Arial"/>
          <w:color w:val="000000" w:themeColor="text1"/>
          <w:sz w:val="22"/>
          <w:szCs w:val="22"/>
        </w:rPr>
      </w:pPr>
      <w:r w:rsidRPr="00711D62">
        <w:rPr>
          <w:rFonts w:ascii="Arial" w:eastAsia="Calibri" w:hAnsi="Arial" w:cs="Arial"/>
          <w:color w:val="000000" w:themeColor="text1"/>
          <w:sz w:val="22"/>
          <w:szCs w:val="22"/>
        </w:rPr>
        <w:t>Señor</w:t>
      </w:r>
    </w:p>
    <w:p w14:paraId="52EBD1D7" w14:textId="77777777" w:rsidR="005D2494" w:rsidRPr="00711D62" w:rsidRDefault="005D2494" w:rsidP="005D2494">
      <w:pPr>
        <w:rPr>
          <w:rFonts w:ascii="Arial" w:eastAsia="Calibri" w:hAnsi="Arial" w:cs="Arial"/>
          <w:b/>
          <w:color w:val="000000" w:themeColor="text1"/>
          <w:sz w:val="22"/>
          <w:szCs w:val="22"/>
        </w:rPr>
      </w:pPr>
      <w:r w:rsidRPr="00711D62">
        <w:rPr>
          <w:rFonts w:ascii="Arial" w:eastAsia="Calibri" w:hAnsi="Arial" w:cs="Arial"/>
          <w:b/>
          <w:color w:val="000000" w:themeColor="text1"/>
          <w:sz w:val="22"/>
          <w:szCs w:val="22"/>
        </w:rPr>
        <w:t>Gastón Linero</w:t>
      </w:r>
    </w:p>
    <w:p w14:paraId="3BDDFCEC" w14:textId="77777777" w:rsidR="005D2494" w:rsidRPr="00711D62" w:rsidRDefault="005D2494" w:rsidP="005D2494">
      <w:pPr>
        <w:rPr>
          <w:rFonts w:ascii="Arial" w:eastAsia="Calibri" w:hAnsi="Arial" w:cs="Arial"/>
          <w:color w:val="000000" w:themeColor="text1"/>
          <w:sz w:val="22"/>
          <w:szCs w:val="22"/>
        </w:rPr>
      </w:pPr>
      <w:r w:rsidRPr="00711D62">
        <w:rPr>
          <w:rFonts w:ascii="Arial" w:eastAsia="Calibri" w:hAnsi="Arial" w:cs="Arial"/>
          <w:bCs/>
          <w:color w:val="000000" w:themeColor="text1"/>
          <w:sz w:val="22"/>
          <w:szCs w:val="22"/>
        </w:rPr>
        <w:t>Barranquilla, Atlántico</w:t>
      </w:r>
    </w:p>
    <w:p w14:paraId="4E3CBF14" w14:textId="77777777" w:rsidR="005D2494" w:rsidRDefault="005D2494" w:rsidP="005D2494">
      <w:pPr>
        <w:rPr>
          <w:rFonts w:ascii="Arial" w:eastAsia="Calibri" w:hAnsi="Arial" w:cs="Arial"/>
          <w:color w:val="000000" w:themeColor="text1"/>
          <w:sz w:val="22"/>
          <w:szCs w:val="22"/>
        </w:rPr>
      </w:pPr>
    </w:p>
    <w:p w14:paraId="0B7B37D6" w14:textId="77777777" w:rsidR="005D2494" w:rsidRPr="00711D62" w:rsidRDefault="005D2494" w:rsidP="005D2494">
      <w:pPr>
        <w:ind w:left="2124" w:firstLine="708"/>
        <w:rPr>
          <w:rFonts w:ascii="Arial" w:eastAsia="Calibri" w:hAnsi="Arial" w:cs="Arial"/>
          <w:b/>
          <w:color w:val="000000" w:themeColor="text1"/>
          <w:sz w:val="22"/>
          <w:szCs w:val="22"/>
        </w:rPr>
      </w:pPr>
      <w:r w:rsidRPr="00711D62">
        <w:rPr>
          <w:rFonts w:ascii="Arial" w:eastAsia="Calibri" w:hAnsi="Arial" w:cs="Arial"/>
          <w:b/>
          <w:color w:val="000000" w:themeColor="text1"/>
          <w:sz w:val="22"/>
          <w:szCs w:val="22"/>
        </w:rPr>
        <w:t>Concepto C – 653 de 2021</w:t>
      </w:r>
    </w:p>
    <w:p w14:paraId="1119D0DB" w14:textId="77777777" w:rsidR="005D2494" w:rsidRPr="00711D62" w:rsidRDefault="005D2494" w:rsidP="005D2494">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5D2494" w:rsidRPr="00711D62" w14:paraId="152B8856" w14:textId="77777777" w:rsidTr="00FB1DD3">
        <w:tc>
          <w:tcPr>
            <w:tcW w:w="2552" w:type="dxa"/>
            <w:hideMark/>
          </w:tcPr>
          <w:p w14:paraId="266E194F" w14:textId="77777777" w:rsidR="005D2494" w:rsidRPr="00711D62" w:rsidRDefault="005D2494" w:rsidP="00FB1DD3">
            <w:pPr>
              <w:rPr>
                <w:rFonts w:ascii="Arial" w:eastAsia="Calibri" w:hAnsi="Arial" w:cs="Arial"/>
                <w:color w:val="000000" w:themeColor="text1"/>
                <w:sz w:val="22"/>
                <w:szCs w:val="22"/>
              </w:rPr>
            </w:pPr>
            <w:r w:rsidRPr="00711D62">
              <w:rPr>
                <w:rFonts w:ascii="Arial" w:eastAsia="Calibri" w:hAnsi="Arial" w:cs="Arial"/>
                <w:b/>
                <w:color w:val="000000" w:themeColor="text1"/>
                <w:sz w:val="22"/>
                <w:szCs w:val="22"/>
              </w:rPr>
              <w:t>Temas:</w:t>
            </w:r>
            <w:r w:rsidRPr="00711D62">
              <w:rPr>
                <w:rFonts w:ascii="Arial" w:eastAsia="Calibri" w:hAnsi="Arial" w:cs="Arial"/>
                <w:color w:val="000000" w:themeColor="text1"/>
                <w:sz w:val="22"/>
                <w:szCs w:val="22"/>
              </w:rPr>
              <w:t xml:space="preserve">           </w:t>
            </w:r>
          </w:p>
          <w:p w14:paraId="68CDA491" w14:textId="77777777" w:rsidR="005D2494" w:rsidRPr="00711D62" w:rsidRDefault="005D2494" w:rsidP="00FB1DD3">
            <w:pPr>
              <w:rPr>
                <w:rFonts w:ascii="Arial" w:eastAsia="Calibri" w:hAnsi="Arial" w:cs="Arial"/>
                <w:color w:val="000000" w:themeColor="text1"/>
                <w:sz w:val="22"/>
                <w:szCs w:val="22"/>
              </w:rPr>
            </w:pPr>
            <w:r w:rsidRPr="00711D62">
              <w:rPr>
                <w:rFonts w:ascii="Arial" w:eastAsia="Calibri" w:hAnsi="Arial" w:cs="Arial"/>
                <w:color w:val="000000" w:themeColor="text1"/>
                <w:sz w:val="22"/>
                <w:szCs w:val="22"/>
              </w:rPr>
              <w:t xml:space="preserve">                           </w:t>
            </w:r>
          </w:p>
        </w:tc>
        <w:tc>
          <w:tcPr>
            <w:tcW w:w="6374" w:type="dxa"/>
            <w:hideMark/>
          </w:tcPr>
          <w:p w14:paraId="342F49B6" w14:textId="77777777" w:rsidR="005D2494" w:rsidRPr="00711D62" w:rsidRDefault="005D2494" w:rsidP="00FB1DD3">
            <w:pPr>
              <w:jc w:val="both"/>
              <w:rPr>
                <w:rFonts w:ascii="Arial" w:eastAsia="Calibri" w:hAnsi="Arial" w:cs="Arial"/>
                <w:color w:val="000000" w:themeColor="text1"/>
                <w:sz w:val="22"/>
                <w:szCs w:val="22"/>
                <w:lang w:val="es-ES_tradnl"/>
              </w:rPr>
            </w:pPr>
            <w:r w:rsidRPr="00D65076">
              <w:rPr>
                <w:rFonts w:ascii="Arial" w:eastAsia="Calibri" w:hAnsi="Arial" w:cs="Arial"/>
                <w:sz w:val="22"/>
                <w:szCs w:val="22"/>
              </w:rPr>
              <w:t>CAPACIDAD RESIDUAL – Definición – Cálculo</w:t>
            </w:r>
            <w:r>
              <w:rPr>
                <w:rFonts w:ascii="Arial" w:eastAsia="Calibri" w:hAnsi="Arial" w:cs="Arial"/>
                <w:sz w:val="22"/>
                <w:szCs w:val="22"/>
              </w:rPr>
              <w:t xml:space="preserve"> / </w:t>
            </w:r>
            <w:r w:rsidRPr="00D65076">
              <w:rPr>
                <w:rFonts w:ascii="Arial" w:eastAsia="Calibri" w:hAnsi="Arial" w:cs="Arial"/>
                <w:sz w:val="22"/>
                <w:szCs w:val="22"/>
              </w:rPr>
              <w:t>CAPACIDAD RESIDUAL – Factores – Saldos de contratos en ejecución</w:t>
            </w:r>
            <w:r>
              <w:rPr>
                <w:rFonts w:ascii="Arial" w:eastAsia="Calibri" w:hAnsi="Arial" w:cs="Arial"/>
                <w:sz w:val="22"/>
                <w:szCs w:val="22"/>
              </w:rPr>
              <w:t xml:space="preserve"> / </w:t>
            </w:r>
            <w:r w:rsidRPr="00374DDD">
              <w:rPr>
                <w:rFonts w:ascii="Arial" w:eastAsia="Calibri" w:hAnsi="Arial" w:cs="Arial"/>
                <w:sz w:val="22"/>
                <w:szCs w:val="22"/>
              </w:rPr>
              <w:t>CAPACIDAD RESIDUAL – Contratos en ejecución – Contratos suspendidos – Cálculo</w:t>
            </w:r>
            <w:r>
              <w:rPr>
                <w:rFonts w:ascii="Arial" w:eastAsia="Calibri" w:hAnsi="Arial" w:cs="Arial"/>
                <w:sz w:val="22"/>
                <w:szCs w:val="22"/>
              </w:rPr>
              <w:t xml:space="preserve"> </w:t>
            </w:r>
          </w:p>
        </w:tc>
      </w:tr>
      <w:tr w:rsidR="005D2494" w:rsidRPr="00711D62" w14:paraId="5EF62EED" w14:textId="77777777" w:rsidTr="00FB1DD3">
        <w:tc>
          <w:tcPr>
            <w:tcW w:w="2552" w:type="dxa"/>
          </w:tcPr>
          <w:p w14:paraId="421A0E14" w14:textId="77777777" w:rsidR="005D2494" w:rsidRPr="00711D62" w:rsidRDefault="005D2494" w:rsidP="00FB1DD3">
            <w:pPr>
              <w:spacing w:before="120"/>
              <w:rPr>
                <w:rFonts w:ascii="Arial" w:eastAsia="Calibri" w:hAnsi="Arial" w:cs="Arial"/>
                <w:b/>
                <w:color w:val="000000" w:themeColor="text1"/>
                <w:sz w:val="22"/>
                <w:szCs w:val="22"/>
              </w:rPr>
            </w:pPr>
            <w:r w:rsidRPr="00711D62">
              <w:rPr>
                <w:rFonts w:ascii="Arial" w:eastAsia="Calibri" w:hAnsi="Arial" w:cs="Arial"/>
                <w:b/>
                <w:color w:val="000000" w:themeColor="text1"/>
                <w:sz w:val="22"/>
                <w:szCs w:val="22"/>
              </w:rPr>
              <w:t>Radicación:</w:t>
            </w:r>
            <w:r w:rsidRPr="00711D62">
              <w:rPr>
                <w:rFonts w:ascii="Arial" w:eastAsia="Calibri" w:hAnsi="Arial" w:cs="Arial"/>
                <w:color w:val="000000" w:themeColor="text1"/>
                <w:sz w:val="22"/>
                <w:szCs w:val="22"/>
              </w:rPr>
              <w:t xml:space="preserve">                              </w:t>
            </w:r>
          </w:p>
        </w:tc>
        <w:tc>
          <w:tcPr>
            <w:tcW w:w="6374" w:type="dxa"/>
          </w:tcPr>
          <w:p w14:paraId="7C9AF000" w14:textId="77777777" w:rsidR="005D2494" w:rsidRPr="00711D62" w:rsidRDefault="005D2494" w:rsidP="00FB1DD3">
            <w:pPr>
              <w:spacing w:before="120"/>
              <w:jc w:val="both"/>
              <w:rPr>
                <w:rFonts w:ascii="Arial" w:eastAsia="Calibri" w:hAnsi="Arial" w:cs="Arial"/>
                <w:bCs/>
                <w:color w:val="000000" w:themeColor="text1"/>
                <w:sz w:val="22"/>
                <w:szCs w:val="22"/>
              </w:rPr>
            </w:pPr>
            <w:r w:rsidRPr="00711D62">
              <w:rPr>
                <w:rFonts w:ascii="Arial" w:eastAsia="Calibri" w:hAnsi="Arial" w:cs="Arial"/>
                <w:bCs/>
                <w:color w:val="000000" w:themeColor="text1"/>
                <w:sz w:val="22"/>
                <w:szCs w:val="22"/>
              </w:rPr>
              <w:t>Respuesta a consulta # P20211011009368</w:t>
            </w:r>
          </w:p>
        </w:tc>
      </w:tr>
      <w:tr w:rsidR="005D2494" w:rsidRPr="003F6D32" w14:paraId="55FC4CF3" w14:textId="77777777" w:rsidTr="00FB1DD3">
        <w:trPr>
          <w:trHeight w:val="80"/>
        </w:trPr>
        <w:tc>
          <w:tcPr>
            <w:tcW w:w="2552" w:type="dxa"/>
          </w:tcPr>
          <w:p w14:paraId="25732EEA" w14:textId="77777777" w:rsidR="005D2494" w:rsidRPr="006C15D5" w:rsidRDefault="005D2494" w:rsidP="00FB1DD3">
            <w:pPr>
              <w:spacing w:before="120"/>
              <w:rPr>
                <w:rFonts w:ascii="Arial" w:eastAsia="Calibri" w:hAnsi="Arial" w:cs="Arial"/>
                <w:b/>
                <w:color w:val="000000" w:themeColor="text1"/>
              </w:rPr>
            </w:pPr>
          </w:p>
        </w:tc>
        <w:tc>
          <w:tcPr>
            <w:tcW w:w="6374" w:type="dxa"/>
          </w:tcPr>
          <w:p w14:paraId="4EDB814D" w14:textId="77777777" w:rsidR="005D2494" w:rsidRPr="006C15D5" w:rsidRDefault="005D2494" w:rsidP="00FB1DD3">
            <w:pPr>
              <w:spacing w:before="120"/>
              <w:jc w:val="both"/>
              <w:rPr>
                <w:rFonts w:ascii="Arial" w:eastAsia="Calibri" w:hAnsi="Arial" w:cs="Arial"/>
                <w:color w:val="000000" w:themeColor="text1"/>
              </w:rPr>
            </w:pPr>
          </w:p>
        </w:tc>
      </w:tr>
    </w:tbl>
    <w:p w14:paraId="4B20E848" w14:textId="77777777" w:rsidR="005D2494" w:rsidRDefault="005D2494" w:rsidP="005D2494">
      <w:pPr>
        <w:rPr>
          <w:rFonts w:ascii="Arial" w:eastAsia="Calibri" w:hAnsi="Arial" w:cs="Arial"/>
          <w:color w:val="000000" w:themeColor="text1"/>
          <w:sz w:val="22"/>
        </w:rPr>
      </w:pPr>
    </w:p>
    <w:p w14:paraId="487C0279" w14:textId="77777777" w:rsidR="005D2494" w:rsidRPr="006C15D5" w:rsidRDefault="005D2494" w:rsidP="005D2494">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 xml:space="preserve">o </w:t>
      </w:r>
      <w:r w:rsidRPr="006C15D5">
        <w:rPr>
          <w:rFonts w:ascii="Arial" w:eastAsia="Calibri" w:hAnsi="Arial" w:cs="Arial"/>
          <w:color w:val="000000" w:themeColor="text1"/>
          <w:sz w:val="22"/>
        </w:rPr>
        <w:t>señor:</w:t>
      </w:r>
    </w:p>
    <w:p w14:paraId="5877C082" w14:textId="77777777" w:rsidR="005D2494" w:rsidRPr="006C15D5" w:rsidRDefault="005D2494" w:rsidP="005D2494">
      <w:pPr>
        <w:rPr>
          <w:rFonts w:ascii="Arial" w:eastAsia="Calibri" w:hAnsi="Arial" w:cs="Arial"/>
          <w:color w:val="000000" w:themeColor="text1"/>
          <w:sz w:val="22"/>
        </w:rPr>
      </w:pPr>
    </w:p>
    <w:p w14:paraId="0521324B" w14:textId="77777777" w:rsidR="005D2494" w:rsidRPr="006C15D5" w:rsidRDefault="005D2494" w:rsidP="005D2494">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11 de octubre de 2021. </w:t>
      </w:r>
    </w:p>
    <w:p w14:paraId="65930C69" w14:textId="77777777" w:rsidR="005D2494" w:rsidRPr="006C15D5" w:rsidRDefault="005D2494" w:rsidP="005D2494">
      <w:pPr>
        <w:spacing w:line="276" w:lineRule="auto"/>
        <w:jc w:val="both"/>
        <w:rPr>
          <w:rFonts w:ascii="Arial" w:eastAsia="Calibri" w:hAnsi="Arial" w:cs="Arial"/>
          <w:color w:val="000000" w:themeColor="text1"/>
          <w:sz w:val="22"/>
        </w:rPr>
      </w:pPr>
    </w:p>
    <w:p w14:paraId="554FF594" w14:textId="77777777" w:rsidR="005D2494" w:rsidRDefault="005D2494" w:rsidP="005D2494">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778D1C02" w14:textId="77777777" w:rsidR="005D2494" w:rsidRPr="003025BB" w:rsidRDefault="005D2494" w:rsidP="005D2494">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7B78727B" w14:textId="77777777" w:rsidR="005D2494" w:rsidRDefault="005D2494" w:rsidP="005D2494">
      <w:pPr>
        <w:spacing w:line="276" w:lineRule="auto"/>
        <w:jc w:val="both"/>
        <w:rPr>
          <w:rFonts w:ascii="Arial" w:eastAsia="Calibri" w:hAnsi="Arial" w:cs="Arial"/>
          <w:color w:val="000000" w:themeColor="text1"/>
          <w:sz w:val="22"/>
          <w:szCs w:val="22"/>
        </w:rPr>
      </w:pPr>
      <w:r w:rsidRPr="004F4910">
        <w:rPr>
          <w:rFonts w:ascii="Arial" w:eastAsia="Calibri" w:hAnsi="Arial" w:cs="Arial"/>
          <w:color w:val="000000" w:themeColor="text1"/>
          <w:sz w:val="22"/>
          <w:szCs w:val="22"/>
        </w:rPr>
        <w:t>Usted</w:t>
      </w:r>
      <w:r>
        <w:rPr>
          <w:rFonts w:ascii="Arial" w:eastAsia="Calibri" w:hAnsi="Arial" w:cs="Arial"/>
          <w:color w:val="000000" w:themeColor="text1"/>
          <w:sz w:val="22"/>
          <w:szCs w:val="22"/>
        </w:rPr>
        <w:t xml:space="preserve"> realiza la siguiente consulta sobre el cálculo del saldo de los contratos en ejecución de contratos suspendidos, en el marco de la acreditación de la capacidad residual. Particularmente, su consulta se refiere a la aplicación de lo previsto en el literal E del numeral 3.10.2 del Pliego Tipo de licitación de obra pública de infraestructura de transporte. En ese contexto indaga lo siguiente:  </w:t>
      </w:r>
    </w:p>
    <w:p w14:paraId="56CCDF54" w14:textId="77777777" w:rsidR="005D2494" w:rsidRDefault="005D2494" w:rsidP="005D2494">
      <w:pPr>
        <w:ind w:left="709" w:right="709"/>
        <w:jc w:val="both"/>
        <w:rPr>
          <w:rFonts w:ascii="Arial" w:hAnsi="Arial" w:cs="Arial"/>
          <w:color w:val="000000"/>
          <w:sz w:val="21"/>
          <w:szCs w:val="21"/>
          <w:bdr w:val="none" w:sz="0" w:space="0" w:color="auto" w:frame="1"/>
        </w:rPr>
      </w:pPr>
    </w:p>
    <w:p w14:paraId="0CA08318" w14:textId="1CEE3864" w:rsidR="005D2494" w:rsidRDefault="005D2494" w:rsidP="005D2494">
      <w:pPr>
        <w:ind w:left="709" w:right="709"/>
        <w:jc w:val="both"/>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w:t>
      </w:r>
      <w:r w:rsidRPr="00771568">
        <w:rPr>
          <w:rFonts w:ascii="Arial" w:hAnsi="Arial" w:cs="Arial"/>
          <w:color w:val="000000"/>
          <w:sz w:val="21"/>
          <w:szCs w:val="21"/>
          <w:bdr w:val="none" w:sz="0" w:space="0" w:color="auto" w:frame="1"/>
        </w:rPr>
        <w:t xml:space="preserve">¿El valor de la ejecución diaria de los contratos suspendidos se calcula dividiendo el saldo por ejecutar del contrato entre el saldo del plazo por ejecutar del contrato? </w:t>
      </w:r>
      <w:proofErr w:type="gramStart"/>
      <w:r w:rsidRPr="00771568">
        <w:rPr>
          <w:rFonts w:ascii="Arial" w:hAnsi="Arial" w:cs="Arial"/>
          <w:color w:val="000000"/>
          <w:sz w:val="21"/>
          <w:szCs w:val="21"/>
          <w:bdr w:val="none" w:sz="0" w:space="0" w:color="auto" w:frame="1"/>
        </w:rPr>
        <w:t>O en su defecto que [sic] valor y que [sic] plazo se deben utilizar para calcular el saldo diario de ejecución?</w:t>
      </w:r>
      <w:proofErr w:type="gramEnd"/>
      <w:r w:rsidRPr="00771568">
        <w:rPr>
          <w:rFonts w:ascii="Arial" w:hAnsi="Arial" w:cs="Arial"/>
          <w:color w:val="000000"/>
          <w:sz w:val="21"/>
          <w:szCs w:val="21"/>
          <w:bdr w:val="none" w:sz="0" w:space="0" w:color="auto" w:frame="1"/>
        </w:rPr>
        <w:t>»</w:t>
      </w:r>
    </w:p>
    <w:p w14:paraId="79F616A3" w14:textId="70CF61E6" w:rsidR="003F783D" w:rsidRDefault="003F783D" w:rsidP="005D2494">
      <w:pPr>
        <w:ind w:left="709" w:right="709"/>
        <w:jc w:val="both"/>
        <w:rPr>
          <w:rFonts w:ascii="Arial" w:hAnsi="Arial" w:cs="Arial"/>
          <w:color w:val="000000"/>
          <w:sz w:val="21"/>
          <w:szCs w:val="21"/>
          <w:bdr w:val="none" w:sz="0" w:space="0" w:color="auto" w:frame="1"/>
        </w:rPr>
      </w:pPr>
    </w:p>
    <w:p w14:paraId="5EEBA9F7" w14:textId="11E45AD9" w:rsidR="003F783D" w:rsidRDefault="003F783D" w:rsidP="005D2494">
      <w:pPr>
        <w:ind w:left="709" w:right="709"/>
        <w:jc w:val="both"/>
        <w:rPr>
          <w:rFonts w:ascii="Arial" w:hAnsi="Arial" w:cs="Arial"/>
          <w:color w:val="000000"/>
          <w:sz w:val="21"/>
          <w:szCs w:val="21"/>
          <w:bdr w:val="none" w:sz="0" w:space="0" w:color="auto" w:frame="1"/>
        </w:rPr>
      </w:pPr>
    </w:p>
    <w:p w14:paraId="007E02D0" w14:textId="7D3EA014" w:rsidR="003F783D" w:rsidRDefault="003F783D" w:rsidP="005D2494">
      <w:pPr>
        <w:ind w:left="709" w:right="709"/>
        <w:jc w:val="both"/>
        <w:rPr>
          <w:rFonts w:ascii="Arial" w:hAnsi="Arial" w:cs="Arial"/>
          <w:color w:val="000000"/>
          <w:sz w:val="21"/>
          <w:szCs w:val="21"/>
          <w:bdr w:val="none" w:sz="0" w:space="0" w:color="auto" w:frame="1"/>
        </w:rPr>
      </w:pPr>
    </w:p>
    <w:p w14:paraId="66901A26" w14:textId="77777777" w:rsidR="003F783D" w:rsidRPr="004F4910" w:rsidRDefault="003F783D" w:rsidP="005D2494">
      <w:pPr>
        <w:ind w:left="709" w:right="709"/>
        <w:jc w:val="both"/>
        <w:rPr>
          <w:rFonts w:ascii="Arial" w:hAnsi="Arial" w:cs="Arial"/>
          <w:color w:val="000000"/>
          <w:sz w:val="21"/>
          <w:szCs w:val="21"/>
          <w:bdr w:val="none" w:sz="0" w:space="0" w:color="auto" w:frame="1"/>
        </w:rPr>
      </w:pPr>
    </w:p>
    <w:p w14:paraId="04D1E093" w14:textId="77777777" w:rsidR="005D2494" w:rsidRPr="007230A2" w:rsidRDefault="005D2494" w:rsidP="005D2494">
      <w:pPr>
        <w:pStyle w:val="NormalWeb"/>
        <w:shd w:val="clear" w:color="auto" w:fill="FFFFFF"/>
        <w:spacing w:before="0" w:beforeAutospacing="0" w:line="276" w:lineRule="auto"/>
        <w:contextualSpacing/>
        <w:jc w:val="both"/>
        <w:textAlignment w:val="baseline"/>
        <w:rPr>
          <w:rFonts w:ascii="Arial" w:hAnsi="Arial" w:cs="Arial"/>
          <w:color w:val="000000"/>
          <w:sz w:val="22"/>
          <w:szCs w:val="22"/>
          <w:bdr w:val="none" w:sz="0" w:space="0" w:color="auto" w:frame="1"/>
        </w:rPr>
      </w:pPr>
    </w:p>
    <w:p w14:paraId="02A12B5E" w14:textId="77777777" w:rsidR="005D2494" w:rsidRPr="007230A2" w:rsidRDefault="005D2494" w:rsidP="005D2494">
      <w:pPr>
        <w:pStyle w:val="NormalWeb"/>
        <w:numPr>
          <w:ilvl w:val="0"/>
          <w:numId w:val="1"/>
        </w:numPr>
        <w:shd w:val="clear" w:color="auto" w:fill="FFFFFF"/>
        <w:spacing w:before="0" w:beforeAutospacing="0" w:after="0" w:afterAutospacing="0" w:line="276" w:lineRule="auto"/>
        <w:contextualSpacing/>
        <w:jc w:val="both"/>
        <w:textAlignment w:val="baseline"/>
        <w:rPr>
          <w:rFonts w:ascii="Arial" w:hAnsi="Arial" w:cs="Arial"/>
          <w:b/>
          <w:bCs/>
          <w:color w:val="000000"/>
          <w:sz w:val="22"/>
          <w:szCs w:val="22"/>
          <w:bdr w:val="none" w:sz="0" w:space="0" w:color="auto" w:frame="1"/>
        </w:rPr>
      </w:pPr>
      <w:r w:rsidRPr="007230A2">
        <w:rPr>
          <w:rFonts w:ascii="Arial" w:eastAsia="Calibri" w:hAnsi="Arial" w:cs="Arial"/>
          <w:b/>
          <w:bCs/>
          <w:color w:val="000000" w:themeColor="text1"/>
          <w:sz w:val="22"/>
          <w:szCs w:val="22"/>
        </w:rPr>
        <w:lastRenderedPageBreak/>
        <w:t>Consideraciones</w:t>
      </w:r>
    </w:p>
    <w:p w14:paraId="7C095EF5" w14:textId="77777777" w:rsidR="005D2494" w:rsidRPr="004F4910" w:rsidRDefault="005D2494" w:rsidP="005D2494">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0E8CC47C" w14:textId="77777777" w:rsidR="005D2494" w:rsidRPr="007230A2" w:rsidRDefault="005D2494" w:rsidP="005D2494">
      <w:pPr>
        <w:spacing w:line="276" w:lineRule="auto"/>
        <w:jc w:val="both"/>
        <w:rPr>
          <w:rFonts w:ascii="Arial" w:hAnsi="Arial" w:cs="Arial"/>
          <w:sz w:val="22"/>
          <w:szCs w:val="22"/>
        </w:rPr>
      </w:pPr>
      <w:r w:rsidRPr="007230A2">
        <w:rPr>
          <w:rFonts w:ascii="Arial" w:eastAsia="Calibri" w:hAnsi="Arial" w:cs="Arial"/>
          <w:color w:val="000000" w:themeColor="text1"/>
          <w:sz w:val="22"/>
          <w:szCs w:val="22"/>
        </w:rPr>
        <w:t>Para responder a sus interrogantes</w:t>
      </w:r>
      <w:r>
        <w:rPr>
          <w:rFonts w:ascii="Arial" w:eastAsia="Calibri" w:hAnsi="Arial" w:cs="Arial"/>
          <w:color w:val="000000" w:themeColor="text1"/>
          <w:sz w:val="22"/>
          <w:szCs w:val="22"/>
        </w:rPr>
        <w:t>,</w:t>
      </w:r>
      <w:r w:rsidRPr="007230A2">
        <w:rPr>
          <w:rFonts w:ascii="Arial" w:eastAsia="Calibri" w:hAnsi="Arial" w:cs="Arial"/>
          <w:color w:val="000000" w:themeColor="text1"/>
          <w:sz w:val="22"/>
          <w:szCs w:val="22"/>
        </w:rPr>
        <w:t xml:space="preserve"> se estudiarán los siguientes temas: i) </w:t>
      </w:r>
      <w:r>
        <w:rPr>
          <w:rFonts w:ascii="Arial" w:eastAsia="Calibri" w:hAnsi="Arial" w:cs="Arial"/>
          <w:color w:val="000000" w:themeColor="text1"/>
          <w:sz w:val="22"/>
          <w:szCs w:val="22"/>
        </w:rPr>
        <w:t xml:space="preserve">la capacidad residual en la contratación de contratos de obra pública, y </w:t>
      </w:r>
      <w:proofErr w:type="spellStart"/>
      <w:r>
        <w:rPr>
          <w:rFonts w:ascii="Arial" w:eastAsia="Calibri" w:hAnsi="Arial" w:cs="Arial"/>
          <w:color w:val="000000" w:themeColor="text1"/>
          <w:sz w:val="22"/>
          <w:szCs w:val="22"/>
        </w:rPr>
        <w:t>ii</w:t>
      </w:r>
      <w:proofErr w:type="spellEnd"/>
      <w:r>
        <w:rPr>
          <w:rFonts w:ascii="Arial" w:eastAsia="Calibri" w:hAnsi="Arial" w:cs="Arial"/>
          <w:color w:val="000000" w:themeColor="text1"/>
          <w:sz w:val="22"/>
          <w:szCs w:val="22"/>
        </w:rPr>
        <w:t>) los saldos pendientes de los contratos estatales en ejecución.</w:t>
      </w:r>
    </w:p>
    <w:p w14:paraId="495A8D9B" w14:textId="77777777" w:rsidR="005D2494" w:rsidRPr="00A03FAB" w:rsidRDefault="005D2494" w:rsidP="005D2494">
      <w:pPr>
        <w:spacing w:before="120" w:line="276" w:lineRule="auto"/>
        <w:ind w:firstLine="708"/>
        <w:jc w:val="both"/>
        <w:rPr>
          <w:rFonts w:ascii="Arial" w:eastAsia="Calibri" w:hAnsi="Arial" w:cs="Arial"/>
          <w:sz w:val="22"/>
        </w:rPr>
      </w:pPr>
      <w:r w:rsidRPr="00A03FAB">
        <w:rPr>
          <w:rFonts w:ascii="Arial" w:eastAsia="Calibri" w:hAnsi="Arial" w:cs="Arial"/>
          <w:sz w:val="22"/>
        </w:rPr>
        <w:t xml:space="preserve">La Agencia Nacional de Contratación Pública − Colombia Compra Eficiente se ha pronunciado sobre la capacidad residual y la forma </w:t>
      </w:r>
      <w:r>
        <w:rPr>
          <w:rFonts w:ascii="Arial" w:eastAsia="Calibri" w:hAnsi="Arial" w:cs="Arial"/>
          <w:sz w:val="22"/>
        </w:rPr>
        <w:t>como esta se debe acreditar</w:t>
      </w:r>
      <w:r w:rsidRPr="00A03FAB">
        <w:rPr>
          <w:rFonts w:ascii="Arial" w:eastAsia="Calibri" w:hAnsi="Arial" w:cs="Arial"/>
          <w:sz w:val="22"/>
        </w:rPr>
        <w:t xml:space="preserve"> en los conceptos 2201913000006275</w:t>
      </w:r>
      <w:r>
        <w:rPr>
          <w:rFonts w:ascii="Arial" w:eastAsia="Calibri" w:hAnsi="Arial" w:cs="Arial"/>
          <w:sz w:val="22"/>
        </w:rPr>
        <w:t xml:space="preserve"> del </w:t>
      </w:r>
      <w:r w:rsidRPr="00A03FAB">
        <w:rPr>
          <w:rFonts w:ascii="Arial" w:eastAsia="Calibri" w:hAnsi="Arial" w:cs="Arial"/>
          <w:sz w:val="22"/>
        </w:rPr>
        <w:t>27 de agosto</w:t>
      </w:r>
      <w:r>
        <w:rPr>
          <w:rFonts w:ascii="Arial" w:eastAsia="Calibri" w:hAnsi="Arial" w:cs="Arial"/>
          <w:sz w:val="22"/>
        </w:rPr>
        <w:t xml:space="preserve"> de 2019, </w:t>
      </w:r>
      <w:r w:rsidRPr="00A03FAB">
        <w:rPr>
          <w:rFonts w:ascii="Arial" w:eastAsia="Calibri" w:hAnsi="Arial" w:cs="Arial"/>
          <w:sz w:val="22"/>
        </w:rPr>
        <w:t>2201913000009465</w:t>
      </w:r>
      <w:r>
        <w:rPr>
          <w:rFonts w:ascii="Arial" w:eastAsia="Calibri" w:hAnsi="Arial" w:cs="Arial"/>
          <w:sz w:val="22"/>
        </w:rPr>
        <w:t xml:space="preserve"> del 20 de diciembre de 2019, </w:t>
      </w:r>
      <w:r w:rsidRPr="00A03FAB">
        <w:rPr>
          <w:rFonts w:ascii="Arial" w:eastAsia="Calibri" w:hAnsi="Arial" w:cs="Arial"/>
          <w:sz w:val="22"/>
        </w:rPr>
        <w:t>2201913000009642</w:t>
      </w:r>
      <w:r>
        <w:rPr>
          <w:rFonts w:ascii="Arial" w:eastAsia="Calibri" w:hAnsi="Arial" w:cs="Arial"/>
          <w:sz w:val="22"/>
        </w:rPr>
        <w:t xml:space="preserve"> y </w:t>
      </w:r>
      <w:r w:rsidRPr="00A03FAB">
        <w:rPr>
          <w:rFonts w:ascii="Arial" w:eastAsia="Calibri" w:hAnsi="Arial" w:cs="Arial"/>
          <w:sz w:val="22"/>
        </w:rPr>
        <w:t>2201913000009640</w:t>
      </w:r>
      <w:r>
        <w:rPr>
          <w:rFonts w:ascii="Arial" w:eastAsia="Calibri" w:hAnsi="Arial" w:cs="Arial"/>
          <w:sz w:val="22"/>
        </w:rPr>
        <w:t xml:space="preserve"> del 26 de diciembre de 2019; </w:t>
      </w:r>
      <w:r w:rsidRPr="00A03FAB">
        <w:rPr>
          <w:rFonts w:ascii="Arial" w:eastAsia="Calibri" w:hAnsi="Arial" w:cs="Arial"/>
          <w:sz w:val="22"/>
        </w:rPr>
        <w:t>así como en los conceptos C–02</w:t>
      </w:r>
      <w:r>
        <w:rPr>
          <w:rFonts w:ascii="Arial" w:eastAsia="Calibri" w:hAnsi="Arial" w:cs="Arial"/>
          <w:sz w:val="22"/>
        </w:rPr>
        <w:t>2 del 20 de febrero de 2020,</w:t>
      </w:r>
      <w:r w:rsidRPr="00A03FAB">
        <w:rPr>
          <w:rFonts w:ascii="Arial" w:eastAsia="Calibri" w:hAnsi="Arial" w:cs="Arial"/>
          <w:sz w:val="22"/>
        </w:rPr>
        <w:t xml:space="preserve"> C–089</w:t>
      </w:r>
      <w:r>
        <w:rPr>
          <w:rFonts w:ascii="Arial" w:eastAsia="Calibri" w:hAnsi="Arial" w:cs="Arial"/>
          <w:sz w:val="22"/>
        </w:rPr>
        <w:t xml:space="preserve"> del 4 de marzo de 2020</w:t>
      </w:r>
      <w:r w:rsidRPr="00A03FAB">
        <w:rPr>
          <w:rFonts w:ascii="Arial" w:eastAsia="Calibri" w:hAnsi="Arial" w:cs="Arial"/>
          <w:sz w:val="22"/>
        </w:rPr>
        <w:t>, C–112</w:t>
      </w:r>
      <w:r>
        <w:rPr>
          <w:rFonts w:ascii="Arial" w:eastAsia="Calibri" w:hAnsi="Arial" w:cs="Arial"/>
          <w:sz w:val="22"/>
        </w:rPr>
        <w:t xml:space="preserve"> del 16 de marzo de 2020</w:t>
      </w:r>
      <w:r w:rsidRPr="00A03FAB">
        <w:rPr>
          <w:rFonts w:ascii="Arial" w:eastAsia="Calibri" w:hAnsi="Arial" w:cs="Arial"/>
          <w:sz w:val="22"/>
        </w:rPr>
        <w:t>, C–133</w:t>
      </w:r>
      <w:r>
        <w:rPr>
          <w:rFonts w:ascii="Arial" w:eastAsia="Calibri" w:hAnsi="Arial" w:cs="Arial"/>
          <w:sz w:val="22"/>
        </w:rPr>
        <w:t xml:space="preserve"> del 25 de marzo de 2020</w:t>
      </w:r>
      <w:r w:rsidRPr="00A03FAB">
        <w:rPr>
          <w:rFonts w:ascii="Arial" w:eastAsia="Calibri" w:hAnsi="Arial" w:cs="Arial"/>
          <w:sz w:val="22"/>
        </w:rPr>
        <w:t>, C–194</w:t>
      </w:r>
      <w:r>
        <w:rPr>
          <w:rFonts w:ascii="Arial" w:eastAsia="Calibri" w:hAnsi="Arial" w:cs="Arial"/>
          <w:sz w:val="22"/>
        </w:rPr>
        <w:t xml:space="preserve"> del 21 de abril de 2020, </w:t>
      </w:r>
      <w:r w:rsidRPr="00A03FAB">
        <w:rPr>
          <w:rFonts w:ascii="Arial" w:eastAsia="Calibri" w:hAnsi="Arial" w:cs="Arial"/>
          <w:sz w:val="22"/>
        </w:rPr>
        <w:t>C–326 de</w:t>
      </w:r>
      <w:r>
        <w:rPr>
          <w:rFonts w:ascii="Arial" w:eastAsia="Calibri" w:hAnsi="Arial" w:cs="Arial"/>
          <w:sz w:val="22"/>
        </w:rPr>
        <w:t>l 9 de junio de</w:t>
      </w:r>
      <w:r w:rsidRPr="00A03FAB">
        <w:rPr>
          <w:rFonts w:ascii="Arial" w:eastAsia="Calibri" w:hAnsi="Arial" w:cs="Arial"/>
          <w:sz w:val="22"/>
        </w:rPr>
        <w:t xml:space="preserve"> 2020</w:t>
      </w:r>
      <w:r>
        <w:rPr>
          <w:rFonts w:ascii="Arial" w:eastAsia="Calibri" w:hAnsi="Arial" w:cs="Arial"/>
          <w:sz w:val="22"/>
        </w:rPr>
        <w:t>,</w:t>
      </w:r>
      <w:r w:rsidRPr="00A03FAB">
        <w:rPr>
          <w:rFonts w:ascii="Arial" w:eastAsia="Calibri" w:hAnsi="Arial" w:cs="Arial"/>
          <w:sz w:val="22"/>
        </w:rPr>
        <w:t xml:space="preserve"> C</w:t>
      </w:r>
      <w:r>
        <w:rPr>
          <w:rFonts w:ascii="Arial" w:eastAsia="Calibri" w:hAnsi="Arial" w:cs="Arial"/>
          <w:sz w:val="22"/>
        </w:rPr>
        <w:t>–</w:t>
      </w:r>
      <w:r w:rsidRPr="00A03FAB">
        <w:rPr>
          <w:rFonts w:ascii="Arial" w:eastAsia="Calibri" w:hAnsi="Arial" w:cs="Arial"/>
          <w:sz w:val="22"/>
        </w:rPr>
        <w:t>446 del 6 de julio de 2020</w:t>
      </w:r>
      <w:r>
        <w:rPr>
          <w:rFonts w:ascii="Arial" w:eastAsia="Calibri" w:hAnsi="Arial" w:cs="Arial"/>
          <w:sz w:val="22"/>
        </w:rPr>
        <w:t>,</w:t>
      </w:r>
      <w:r w:rsidRPr="00541504">
        <w:t xml:space="preserve"> </w:t>
      </w:r>
      <w:r w:rsidRPr="00541504">
        <w:rPr>
          <w:rFonts w:ascii="Arial" w:eastAsia="Calibri" w:hAnsi="Arial" w:cs="Arial"/>
          <w:sz w:val="22"/>
        </w:rPr>
        <w:t>C-461 del 13 de julio de 2020, C</w:t>
      </w:r>
      <w:bookmarkStart w:id="0" w:name="_Hlk86155257"/>
      <w:r>
        <w:rPr>
          <w:rFonts w:ascii="Arial" w:eastAsia="Calibri" w:hAnsi="Arial" w:cs="Arial"/>
          <w:sz w:val="22"/>
        </w:rPr>
        <w:t>–</w:t>
      </w:r>
      <w:bookmarkEnd w:id="0"/>
      <w:r w:rsidRPr="00541504">
        <w:rPr>
          <w:rFonts w:ascii="Arial" w:eastAsia="Calibri" w:hAnsi="Arial" w:cs="Arial"/>
          <w:sz w:val="22"/>
        </w:rPr>
        <w:t>668 del 20 de noviembre de 2020, C</w:t>
      </w:r>
      <w:r>
        <w:rPr>
          <w:rFonts w:ascii="Arial" w:eastAsia="Calibri" w:hAnsi="Arial" w:cs="Arial"/>
          <w:sz w:val="22"/>
        </w:rPr>
        <w:t>–</w:t>
      </w:r>
      <w:r w:rsidRPr="00541504">
        <w:rPr>
          <w:rFonts w:ascii="Arial" w:eastAsia="Calibri" w:hAnsi="Arial" w:cs="Arial"/>
          <w:sz w:val="22"/>
        </w:rPr>
        <w:t>742 del 16 de diciembre de 2020</w:t>
      </w:r>
      <w:r>
        <w:rPr>
          <w:rFonts w:ascii="Arial" w:eastAsia="Calibri" w:hAnsi="Arial" w:cs="Arial"/>
          <w:sz w:val="22"/>
        </w:rPr>
        <w:t>, C–045 del 5 de marzo de 2021, C</w:t>
      </w:r>
      <w:r w:rsidRPr="00C4443C">
        <w:rPr>
          <w:rFonts w:ascii="Arial" w:eastAsia="Calibri" w:hAnsi="Arial" w:cs="Arial"/>
          <w:sz w:val="22"/>
        </w:rPr>
        <w:t>–</w:t>
      </w:r>
      <w:r>
        <w:rPr>
          <w:rFonts w:ascii="Arial" w:eastAsia="Calibri" w:hAnsi="Arial" w:cs="Arial"/>
          <w:sz w:val="22"/>
        </w:rPr>
        <w:t>003 del 26 de marzo de 2021, C–121 del 31 de marzo de 2021, C–143 del 9 de abril de 2021, C–202 del 7 de mayo de 2021, C–219 del 19 de mayo de 2021, C–368 del 28 de julio de 2021, C–392 del 5 de agosto de 2021, C–513 del 23 de septiembre de 2021 y C–590 del 12 de octubre de 2021.</w:t>
      </w:r>
      <w:r w:rsidRPr="00A03FAB">
        <w:rPr>
          <w:rFonts w:ascii="Arial" w:eastAsia="Calibri" w:hAnsi="Arial" w:cs="Arial"/>
          <w:sz w:val="22"/>
        </w:rPr>
        <w:t xml:space="preserve"> </w:t>
      </w:r>
      <w:r w:rsidRPr="00730634">
        <w:rPr>
          <w:rFonts w:ascii="Arial" w:eastAsia="Calibri" w:hAnsi="Arial" w:cs="Arial"/>
          <w:sz w:val="22"/>
        </w:rPr>
        <w:t>En lo pertinente, las ideas expuestas en estos conceptos se reiteran y complementan a continuación.</w:t>
      </w:r>
    </w:p>
    <w:p w14:paraId="31F754DE" w14:textId="77777777" w:rsidR="005D2494" w:rsidRPr="007230A2" w:rsidRDefault="005D2494" w:rsidP="005D2494">
      <w:pPr>
        <w:spacing w:line="276" w:lineRule="auto"/>
        <w:jc w:val="both"/>
        <w:rPr>
          <w:rFonts w:ascii="Arial" w:hAnsi="Arial" w:cs="Arial"/>
          <w:color w:val="000000"/>
          <w:sz w:val="22"/>
          <w:szCs w:val="22"/>
          <w:shd w:val="clear" w:color="auto" w:fill="FFFFFF"/>
        </w:rPr>
      </w:pPr>
    </w:p>
    <w:p w14:paraId="787F8F27" w14:textId="77777777" w:rsidR="005D2494" w:rsidRDefault="005D2494" w:rsidP="005D2494">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r w:rsidRPr="00FF634C">
        <w:rPr>
          <w:rFonts w:ascii="Arial" w:hAnsi="Arial" w:cs="Arial"/>
          <w:b/>
          <w:bCs/>
          <w:color w:val="000000"/>
          <w:sz w:val="22"/>
          <w:szCs w:val="22"/>
          <w:bdr w:val="none" w:sz="0" w:space="0" w:color="auto" w:frame="1"/>
        </w:rPr>
        <w:t>2.1.</w:t>
      </w:r>
      <w:r w:rsidRPr="00FF634C">
        <w:rPr>
          <w:rStyle w:val="apple-converted-space"/>
          <w:rFonts w:ascii="Arial" w:hAnsi="Arial" w:cs="Arial"/>
          <w:b/>
          <w:bCs/>
          <w:color w:val="000000"/>
          <w:sz w:val="22"/>
          <w:szCs w:val="22"/>
          <w:bdr w:val="none" w:sz="0" w:space="0" w:color="auto" w:frame="1"/>
        </w:rPr>
        <w:t> Capacidad residual en la contratación de contratos de obra pública</w:t>
      </w:r>
      <w:r>
        <w:rPr>
          <w:rStyle w:val="apple-converted-space"/>
          <w:rFonts w:ascii="Arial" w:hAnsi="Arial" w:cs="Arial"/>
          <w:b/>
          <w:bCs/>
          <w:color w:val="000000"/>
          <w:sz w:val="22"/>
          <w:szCs w:val="22"/>
          <w:bdr w:val="none" w:sz="0" w:space="0" w:color="auto" w:frame="1"/>
        </w:rPr>
        <w:t xml:space="preserve"> </w:t>
      </w:r>
      <w:r w:rsidRPr="007230A2">
        <w:rPr>
          <w:rStyle w:val="apple-converted-space"/>
          <w:rFonts w:ascii="Arial" w:hAnsi="Arial" w:cs="Arial"/>
          <w:b/>
          <w:bCs/>
          <w:color w:val="000000"/>
          <w:sz w:val="22"/>
          <w:szCs w:val="22"/>
          <w:bdr w:val="none" w:sz="0" w:space="0" w:color="auto" w:frame="1"/>
        </w:rPr>
        <w:t xml:space="preserve"> </w:t>
      </w:r>
    </w:p>
    <w:p w14:paraId="50A3C873" w14:textId="77777777" w:rsidR="005D2494" w:rsidRPr="004F4910" w:rsidRDefault="005D2494" w:rsidP="005D2494">
      <w:pPr>
        <w:pStyle w:val="Textoindependiente"/>
        <w:ind w:right="51"/>
        <w:jc w:val="both"/>
        <w:rPr>
          <w:sz w:val="22"/>
          <w:szCs w:val="22"/>
          <w:lang w:val="es-CO"/>
        </w:rPr>
      </w:pPr>
    </w:p>
    <w:p w14:paraId="364DB23A" w14:textId="77777777" w:rsidR="005D2494" w:rsidRPr="004F4910" w:rsidRDefault="005D2494" w:rsidP="005D2494">
      <w:pPr>
        <w:pStyle w:val="Textoindependiente"/>
        <w:spacing w:line="276" w:lineRule="auto"/>
        <w:jc w:val="both"/>
        <w:rPr>
          <w:sz w:val="22"/>
          <w:szCs w:val="22"/>
          <w:lang w:val="es-CO"/>
        </w:rPr>
      </w:pPr>
      <w:bookmarkStart w:id="1" w:name="_Hlk88461879"/>
      <w:r w:rsidRPr="004F4910">
        <w:rPr>
          <w:sz w:val="22"/>
          <w:szCs w:val="22"/>
          <w:lang w:val="es-CO"/>
        </w:rPr>
        <w:t xml:space="preserve">La capacidad residual es una aptitud que se exige a los oferentes </w:t>
      </w:r>
      <w:r>
        <w:rPr>
          <w:sz w:val="22"/>
          <w:szCs w:val="22"/>
          <w:lang w:val="es-CO"/>
        </w:rPr>
        <w:t xml:space="preserve">en los procesos de selección contractual, </w:t>
      </w:r>
      <w:r w:rsidRPr="004F4910">
        <w:rPr>
          <w:sz w:val="22"/>
          <w:szCs w:val="22"/>
          <w:lang w:val="es-CO"/>
        </w:rPr>
        <w:t xml:space="preserve">con el objetivo de establecer o determinar si </w:t>
      </w:r>
      <w:r>
        <w:rPr>
          <w:sz w:val="22"/>
          <w:szCs w:val="22"/>
          <w:lang w:val="es-CO"/>
        </w:rPr>
        <w:t>é</w:t>
      </w:r>
      <w:r w:rsidRPr="004F4910">
        <w:rPr>
          <w:sz w:val="22"/>
          <w:szCs w:val="22"/>
          <w:lang w:val="es-CO"/>
        </w:rPr>
        <w:t>stos pueden o no cumplir de manera oportuna y a cabalidad con las obligaciones derivadas de</w:t>
      </w:r>
      <w:r>
        <w:rPr>
          <w:sz w:val="22"/>
          <w:szCs w:val="22"/>
          <w:lang w:val="es-CO"/>
        </w:rPr>
        <w:t xml:space="preserve"> un</w:t>
      </w:r>
      <w:r w:rsidRPr="004F4910">
        <w:rPr>
          <w:sz w:val="22"/>
          <w:szCs w:val="22"/>
          <w:lang w:val="es-CO"/>
        </w:rPr>
        <w:t xml:space="preserve"> contrato de obra pública, sin que los demás compromisos contractuales que hubieran adquirido afecten </w:t>
      </w:r>
      <w:r>
        <w:rPr>
          <w:sz w:val="22"/>
          <w:szCs w:val="22"/>
          <w:lang w:val="es-CO"/>
        </w:rPr>
        <w:t>su capacidad para</w:t>
      </w:r>
      <w:r w:rsidRPr="004F4910">
        <w:rPr>
          <w:sz w:val="22"/>
          <w:szCs w:val="22"/>
          <w:lang w:val="es-CO"/>
        </w:rPr>
        <w:t xml:space="preserve"> cumplir con el objeto del contrato que está en proceso de selección</w:t>
      </w:r>
      <w:r w:rsidRPr="004F4910">
        <w:rPr>
          <w:rStyle w:val="Refdenotaalpie"/>
          <w:sz w:val="22"/>
          <w:szCs w:val="22"/>
          <w:lang w:val="es-CO"/>
        </w:rPr>
        <w:footnoteReference w:id="1"/>
      </w:r>
      <w:r w:rsidRPr="004F4910">
        <w:rPr>
          <w:sz w:val="22"/>
          <w:szCs w:val="22"/>
          <w:lang w:val="es-CO"/>
        </w:rPr>
        <w:t>. El Consejo de Estado ha definido la capacidad residual como «la diferencia que existe entre el potencial de contratación que se tiene y los compromisos que haya adquirido y que se encuentren en ejecución, para la fecha de presentación de la oferta»</w:t>
      </w:r>
      <w:r w:rsidRPr="004F4910">
        <w:rPr>
          <w:rStyle w:val="Refdenotaalpie"/>
          <w:sz w:val="22"/>
          <w:szCs w:val="22"/>
          <w:lang w:val="es-CO"/>
        </w:rPr>
        <w:footnoteReference w:id="2"/>
      </w:r>
      <w:r w:rsidRPr="004F4910">
        <w:rPr>
          <w:sz w:val="22"/>
          <w:szCs w:val="22"/>
          <w:lang w:val="es-CO"/>
        </w:rPr>
        <w:t>.</w:t>
      </w:r>
    </w:p>
    <w:bookmarkEnd w:id="1"/>
    <w:p w14:paraId="5DBB3BBA" w14:textId="77777777" w:rsidR="005D2494" w:rsidRPr="004F4910" w:rsidRDefault="005D2494" w:rsidP="005D2494">
      <w:pPr>
        <w:pStyle w:val="Textoindependiente"/>
        <w:spacing w:before="120" w:line="276" w:lineRule="auto"/>
        <w:ind w:firstLine="709"/>
        <w:jc w:val="both"/>
        <w:rPr>
          <w:sz w:val="22"/>
          <w:szCs w:val="22"/>
          <w:lang w:val="es-CO"/>
        </w:rPr>
      </w:pPr>
      <w:r w:rsidRPr="004F4910">
        <w:rPr>
          <w:sz w:val="22"/>
          <w:szCs w:val="22"/>
          <w:lang w:val="es-CO"/>
        </w:rPr>
        <w:lastRenderedPageBreak/>
        <w:t xml:space="preserve">Teniendo en cuenta lo </w:t>
      </w:r>
      <w:r>
        <w:rPr>
          <w:sz w:val="22"/>
          <w:szCs w:val="22"/>
          <w:lang w:val="es-CO"/>
        </w:rPr>
        <w:t>anterior</w:t>
      </w:r>
      <w:r w:rsidRPr="004F4910">
        <w:rPr>
          <w:sz w:val="22"/>
          <w:szCs w:val="22"/>
          <w:lang w:val="es-CO"/>
        </w:rPr>
        <w:t xml:space="preserve">, </w:t>
      </w:r>
      <w:r>
        <w:rPr>
          <w:sz w:val="22"/>
          <w:szCs w:val="22"/>
          <w:lang w:val="es-CO"/>
        </w:rPr>
        <w:t>esta</w:t>
      </w:r>
      <w:r w:rsidRPr="004F4910">
        <w:rPr>
          <w:sz w:val="22"/>
          <w:szCs w:val="22"/>
          <w:lang w:val="es-CO"/>
        </w:rPr>
        <w:t xml:space="preserve"> Agencia </w:t>
      </w:r>
      <w:r>
        <w:rPr>
          <w:sz w:val="22"/>
          <w:szCs w:val="22"/>
          <w:lang w:val="es-CO"/>
        </w:rPr>
        <w:t xml:space="preserve">ha considerado </w:t>
      </w:r>
      <w:r w:rsidRPr="004F4910">
        <w:rPr>
          <w:sz w:val="22"/>
          <w:szCs w:val="22"/>
          <w:lang w:val="es-CO"/>
        </w:rPr>
        <w:t>que la capacidad residual hace referencia a la suficiencia que se predica del proponente para asumir nuevas obligaciones que se derivan del contrato objeto del proceso de contratación, en relación con las obligaciones que ha adquirido simultáneamente</w:t>
      </w:r>
      <w:r>
        <w:rPr>
          <w:sz w:val="22"/>
          <w:szCs w:val="22"/>
          <w:lang w:val="es-CO"/>
        </w:rPr>
        <w:t xml:space="preserve"> en contratos ya perfeccionados y en ejecución</w:t>
      </w:r>
      <w:r w:rsidRPr="004F4910">
        <w:rPr>
          <w:sz w:val="22"/>
          <w:szCs w:val="22"/>
          <w:lang w:val="es-CO"/>
        </w:rPr>
        <w:t>.</w:t>
      </w:r>
      <w:r>
        <w:rPr>
          <w:sz w:val="22"/>
          <w:szCs w:val="22"/>
          <w:lang w:val="es-CO"/>
        </w:rPr>
        <w:t xml:space="preserve"> Al respecto, l</w:t>
      </w:r>
      <w:r w:rsidRPr="004F4910">
        <w:rPr>
          <w:sz w:val="22"/>
          <w:szCs w:val="22"/>
          <w:lang w:val="es-CO"/>
        </w:rPr>
        <w:t xml:space="preserve">a Ley 1150 de 2007 establece que la capacidad residual de los interesados en participar en procesos de selección para contratos de obra </w:t>
      </w:r>
      <w:r>
        <w:rPr>
          <w:sz w:val="22"/>
          <w:szCs w:val="22"/>
          <w:lang w:val="es-CO"/>
        </w:rPr>
        <w:t xml:space="preserve">pública </w:t>
      </w:r>
      <w:r w:rsidRPr="004F4910">
        <w:rPr>
          <w:sz w:val="22"/>
          <w:szCs w:val="22"/>
          <w:lang w:val="es-CO"/>
        </w:rPr>
        <w:t>deberá ser igual o superior a</w:t>
      </w:r>
      <w:r>
        <w:rPr>
          <w:sz w:val="22"/>
          <w:szCs w:val="22"/>
          <w:lang w:val="es-CO"/>
        </w:rPr>
        <w:t xml:space="preserve"> </w:t>
      </w:r>
      <w:r w:rsidRPr="004F4910">
        <w:rPr>
          <w:sz w:val="22"/>
          <w:szCs w:val="22"/>
          <w:lang w:val="es-CO"/>
        </w:rPr>
        <w:t>l</w:t>
      </w:r>
      <w:r>
        <w:rPr>
          <w:sz w:val="22"/>
          <w:szCs w:val="22"/>
          <w:lang w:val="es-CO"/>
        </w:rPr>
        <w:t>a</w:t>
      </w:r>
      <w:r w:rsidRPr="004F4910">
        <w:rPr>
          <w:sz w:val="22"/>
          <w:szCs w:val="22"/>
          <w:lang w:val="es-CO"/>
        </w:rPr>
        <w:t xml:space="preserve"> que la entidad ha establecido en los pliegos de condiciones, en los siguientes términos:</w:t>
      </w:r>
    </w:p>
    <w:p w14:paraId="72EF348C" w14:textId="77777777" w:rsidR="005D2494" w:rsidRPr="004F4910" w:rsidRDefault="005D2494" w:rsidP="005D2494">
      <w:pPr>
        <w:pStyle w:val="Textoindependiente"/>
        <w:ind w:right="49"/>
        <w:rPr>
          <w:sz w:val="22"/>
          <w:szCs w:val="22"/>
          <w:lang w:val="es-CO"/>
        </w:rPr>
      </w:pPr>
    </w:p>
    <w:p w14:paraId="5DBFC0DD" w14:textId="77777777" w:rsidR="005D2494" w:rsidRPr="00D8413E" w:rsidRDefault="005D2494" w:rsidP="005D2494">
      <w:pPr>
        <w:pStyle w:val="Textoindependiente"/>
        <w:ind w:left="709" w:right="709"/>
        <w:jc w:val="both"/>
        <w:rPr>
          <w:sz w:val="21"/>
          <w:szCs w:val="21"/>
          <w:lang w:val="es-CO"/>
        </w:rPr>
      </w:pPr>
      <w:r w:rsidRPr="00D8413E">
        <w:rPr>
          <w:sz w:val="21"/>
          <w:szCs w:val="21"/>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D8413E">
        <w:rPr>
          <w:spacing w:val="-3"/>
          <w:sz w:val="21"/>
          <w:szCs w:val="21"/>
          <w:lang w:val="es-CO"/>
        </w:rPr>
        <w:t xml:space="preserve"> </w:t>
      </w:r>
      <w:r w:rsidRPr="00D8413E">
        <w:rPr>
          <w:sz w:val="21"/>
          <w:szCs w:val="21"/>
          <w:lang w:val="es-CO"/>
        </w:rPr>
        <w:t>principal.</w:t>
      </w:r>
    </w:p>
    <w:p w14:paraId="2056CE9B" w14:textId="77777777" w:rsidR="005D2494" w:rsidRDefault="005D2494" w:rsidP="005D2494">
      <w:pPr>
        <w:pStyle w:val="Textoindependiente"/>
        <w:ind w:left="709" w:right="709"/>
        <w:rPr>
          <w:sz w:val="21"/>
          <w:szCs w:val="21"/>
          <w:lang w:val="es-CO"/>
        </w:rPr>
      </w:pPr>
    </w:p>
    <w:p w14:paraId="3D40CE80" w14:textId="77777777" w:rsidR="005D2494" w:rsidRDefault="005D2494" w:rsidP="005D2494">
      <w:pPr>
        <w:pStyle w:val="Textoindependiente"/>
        <w:ind w:left="709" w:right="709"/>
        <w:rPr>
          <w:sz w:val="21"/>
          <w:szCs w:val="21"/>
          <w:lang w:val="es-CO"/>
        </w:rPr>
      </w:pPr>
      <w:r>
        <w:rPr>
          <w:sz w:val="21"/>
          <w:szCs w:val="21"/>
          <w:lang w:val="es-CO"/>
        </w:rPr>
        <w:t>[</w:t>
      </w:r>
      <w:r w:rsidRPr="00D8413E">
        <w:rPr>
          <w:sz w:val="21"/>
          <w:szCs w:val="21"/>
          <w:lang w:val="es-CO"/>
        </w:rPr>
        <w:t>…</w:t>
      </w:r>
      <w:r>
        <w:rPr>
          <w:sz w:val="21"/>
          <w:szCs w:val="21"/>
          <w:lang w:val="es-CO"/>
        </w:rPr>
        <w:t>]</w:t>
      </w:r>
    </w:p>
    <w:p w14:paraId="7A3ED532" w14:textId="77777777" w:rsidR="005D2494" w:rsidRPr="00D8413E" w:rsidRDefault="005D2494" w:rsidP="005D2494">
      <w:pPr>
        <w:pStyle w:val="Textoindependiente"/>
        <w:ind w:left="709" w:right="709"/>
        <w:rPr>
          <w:sz w:val="21"/>
          <w:szCs w:val="21"/>
          <w:lang w:val="es-CO"/>
        </w:rPr>
      </w:pPr>
    </w:p>
    <w:p w14:paraId="5785D10E" w14:textId="77777777" w:rsidR="005D2494" w:rsidRPr="004F4910" w:rsidRDefault="005D2494" w:rsidP="005D2494">
      <w:pPr>
        <w:pStyle w:val="Textoindependiente"/>
        <w:ind w:left="709" w:right="709"/>
        <w:jc w:val="both"/>
        <w:rPr>
          <w:sz w:val="22"/>
          <w:szCs w:val="22"/>
          <w:lang w:val="es-CO"/>
        </w:rPr>
      </w:pPr>
      <w:r w:rsidRPr="00D8413E">
        <w:rPr>
          <w:sz w:val="21"/>
          <w:szCs w:val="21"/>
          <w:lang w:val="es-CO"/>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r w:rsidRPr="004F4910">
        <w:rPr>
          <w:sz w:val="22"/>
          <w:szCs w:val="22"/>
          <w:lang w:val="es-CO"/>
        </w:rPr>
        <w:t>.</w:t>
      </w:r>
    </w:p>
    <w:p w14:paraId="43B1E386" w14:textId="77777777" w:rsidR="005D2494" w:rsidRPr="004F4910" w:rsidRDefault="005D2494" w:rsidP="005D2494">
      <w:pPr>
        <w:pStyle w:val="Textoindependiente"/>
        <w:ind w:right="49"/>
        <w:rPr>
          <w:sz w:val="22"/>
          <w:szCs w:val="22"/>
          <w:lang w:val="es-CO"/>
        </w:rPr>
      </w:pPr>
    </w:p>
    <w:p w14:paraId="1A725291" w14:textId="77777777" w:rsidR="005D2494" w:rsidRPr="004F4910" w:rsidRDefault="005D2494" w:rsidP="005D2494">
      <w:pPr>
        <w:pStyle w:val="Textoindependiente"/>
        <w:spacing w:before="1" w:line="276" w:lineRule="auto"/>
        <w:ind w:firstLine="709"/>
        <w:jc w:val="both"/>
        <w:rPr>
          <w:sz w:val="22"/>
          <w:szCs w:val="22"/>
          <w:lang w:val="es-CO"/>
        </w:rPr>
      </w:pPr>
      <w:bookmarkStart w:id="2" w:name="_Hlk88461946"/>
      <w:r>
        <w:rPr>
          <w:sz w:val="22"/>
          <w:szCs w:val="22"/>
          <w:lang w:val="es-CO"/>
        </w:rPr>
        <w:t>A su turno, e</w:t>
      </w:r>
      <w:r w:rsidRPr="004F4910">
        <w:rPr>
          <w:sz w:val="22"/>
          <w:szCs w:val="22"/>
          <w:lang w:val="es-CO"/>
        </w:rPr>
        <w:t xml:space="preserve">l artículo 72 de la Ley 1682 de 2013, por la cual se adoptan medidas y disposiciones para los proyectos de infraestructura de transporte, establece que </w:t>
      </w:r>
      <w:r>
        <w:rPr>
          <w:sz w:val="22"/>
          <w:szCs w:val="22"/>
          <w:lang w:val="es-CO"/>
        </w:rPr>
        <w:t>«[</w:t>
      </w:r>
      <w:r w:rsidRPr="004F4910">
        <w:rPr>
          <w:sz w:val="22"/>
          <w:szCs w:val="22"/>
          <w:lang w:val="es-CO"/>
        </w:rPr>
        <w:t>l</w:t>
      </w:r>
      <w:r>
        <w:rPr>
          <w:sz w:val="22"/>
          <w:szCs w:val="22"/>
          <w:lang w:val="es-CO"/>
        </w:rPr>
        <w:t>]</w:t>
      </w:r>
      <w:r w:rsidRPr="004F4910">
        <w:rPr>
          <w:sz w:val="22"/>
          <w:szCs w:val="22"/>
          <w:lang w:val="es-CO"/>
        </w:rPr>
        <w:t>a</w:t>
      </w:r>
      <w:r>
        <w:rPr>
          <w:sz w:val="22"/>
          <w:szCs w:val="22"/>
          <w:lang w:val="es-CO"/>
        </w:rPr>
        <w:t xml:space="preserve"> </w:t>
      </w:r>
      <w:r w:rsidRPr="004F4910">
        <w:rPr>
          <w:sz w:val="22"/>
          <w:szCs w:val="22"/>
          <w:lang w:val="es-CO"/>
        </w:rPr>
        <w:t>capacidad residual de contratación cuando se realicen contratos de obra pública se obtendrá de sustraer de la capacidad de contratación, el saldo del valor de los contratos en ejecución».</w:t>
      </w:r>
      <w:r>
        <w:rPr>
          <w:sz w:val="22"/>
          <w:szCs w:val="22"/>
          <w:lang w:val="es-CO"/>
        </w:rPr>
        <w:t xml:space="preserve"> En este sentido,</w:t>
      </w:r>
      <w:r w:rsidRPr="004F4910">
        <w:rPr>
          <w:sz w:val="22"/>
          <w:szCs w:val="22"/>
          <w:lang w:val="es-CO"/>
        </w:rPr>
        <w:t xml:space="preserve"> </w:t>
      </w:r>
      <w:r>
        <w:rPr>
          <w:sz w:val="22"/>
          <w:szCs w:val="22"/>
          <w:lang w:val="es-CO"/>
        </w:rPr>
        <w:t>l</w:t>
      </w:r>
      <w:r w:rsidRPr="004F4910">
        <w:rPr>
          <w:sz w:val="22"/>
          <w:szCs w:val="22"/>
          <w:lang w:val="es-CO"/>
        </w:rPr>
        <w:t>a «capacidad de contratación», según se lee en la misma disposición, «[…] se deberá calcular mediante la evaluación de los siguientes factores: Experiencia (E), Capacidad Financiera (CF), Capacidad Técnica (CT), y Capacidad de Organización (CO)».</w:t>
      </w:r>
    </w:p>
    <w:bookmarkEnd w:id="2"/>
    <w:p w14:paraId="2ED631B6" w14:textId="77777777" w:rsidR="005D2494" w:rsidRPr="004F4910" w:rsidRDefault="005D2494" w:rsidP="005D2494">
      <w:pPr>
        <w:pStyle w:val="Textoindependiente"/>
        <w:spacing w:before="120" w:line="276" w:lineRule="auto"/>
        <w:ind w:firstLine="709"/>
        <w:jc w:val="both"/>
        <w:rPr>
          <w:sz w:val="22"/>
          <w:szCs w:val="22"/>
          <w:lang w:val="es-CO"/>
        </w:rPr>
      </w:pPr>
      <w:r>
        <w:rPr>
          <w:sz w:val="22"/>
          <w:szCs w:val="22"/>
          <w:lang w:val="es-CO"/>
        </w:rPr>
        <w:t>Por su parte, e</w:t>
      </w:r>
      <w:r w:rsidRPr="004F4910">
        <w:rPr>
          <w:sz w:val="22"/>
          <w:szCs w:val="22"/>
          <w:lang w:val="es-CO"/>
        </w:rPr>
        <w:t xml:space="preserve">l artículo 2.2.1.1.1.6.4 del Decreto 1082 de 2015 </w:t>
      </w:r>
      <w:r>
        <w:rPr>
          <w:sz w:val="22"/>
          <w:szCs w:val="22"/>
          <w:lang w:val="es-CO"/>
        </w:rPr>
        <w:t>dispuso</w:t>
      </w:r>
      <w:r w:rsidRPr="004F4910">
        <w:rPr>
          <w:sz w:val="22"/>
          <w:szCs w:val="22"/>
          <w:lang w:val="es-CO"/>
        </w:rPr>
        <w:t xml:space="preserve"> que las entidades estatales deben calcular la capacidad residual conforme a la metodología definida por Colombia Compre Eficiente y precisó que, para tales fines, resulta necesario tener en cuenta los factores de: i) experiencia; </w:t>
      </w:r>
      <w:proofErr w:type="spellStart"/>
      <w:r w:rsidRPr="004F4910">
        <w:rPr>
          <w:sz w:val="22"/>
          <w:szCs w:val="22"/>
          <w:lang w:val="es-CO"/>
        </w:rPr>
        <w:t>ii</w:t>
      </w:r>
      <w:proofErr w:type="spellEnd"/>
      <w:r w:rsidRPr="004F4910">
        <w:rPr>
          <w:sz w:val="22"/>
          <w:szCs w:val="22"/>
          <w:lang w:val="es-CO"/>
        </w:rPr>
        <w:t xml:space="preserve">) capacidad financiera; </w:t>
      </w:r>
      <w:proofErr w:type="spellStart"/>
      <w:r w:rsidRPr="004F4910">
        <w:rPr>
          <w:sz w:val="22"/>
          <w:szCs w:val="22"/>
          <w:lang w:val="es-CO"/>
        </w:rPr>
        <w:t>iii</w:t>
      </w:r>
      <w:proofErr w:type="spellEnd"/>
      <w:r w:rsidRPr="004F4910">
        <w:rPr>
          <w:sz w:val="22"/>
          <w:szCs w:val="22"/>
          <w:lang w:val="es-CO"/>
        </w:rPr>
        <w:t xml:space="preserve">) capacidad técnica; </w:t>
      </w:r>
      <w:proofErr w:type="spellStart"/>
      <w:r w:rsidRPr="004F4910">
        <w:rPr>
          <w:sz w:val="22"/>
          <w:szCs w:val="22"/>
          <w:lang w:val="es-CO"/>
        </w:rPr>
        <w:t>iv</w:t>
      </w:r>
      <w:proofErr w:type="spellEnd"/>
      <w:r w:rsidRPr="004F4910">
        <w:rPr>
          <w:sz w:val="22"/>
          <w:szCs w:val="22"/>
          <w:lang w:val="es-CO"/>
        </w:rPr>
        <w:t>) capacidad de organización</w:t>
      </w:r>
      <w:r>
        <w:rPr>
          <w:sz w:val="22"/>
          <w:szCs w:val="22"/>
          <w:lang w:val="es-CO"/>
        </w:rPr>
        <w:t>,</w:t>
      </w:r>
      <w:r w:rsidRPr="004F4910">
        <w:rPr>
          <w:sz w:val="22"/>
          <w:szCs w:val="22"/>
          <w:lang w:val="es-CO"/>
        </w:rPr>
        <w:t xml:space="preserve"> y v) los saldos de los contratos en ejecución, así:</w:t>
      </w:r>
    </w:p>
    <w:p w14:paraId="6A3DCCF6" w14:textId="77777777" w:rsidR="005D2494" w:rsidRPr="004F4910" w:rsidRDefault="005D2494" w:rsidP="005D2494">
      <w:pPr>
        <w:pStyle w:val="Textoindependiente"/>
        <w:spacing w:before="8"/>
        <w:ind w:right="49"/>
        <w:rPr>
          <w:sz w:val="22"/>
          <w:szCs w:val="22"/>
          <w:lang w:val="es-CO"/>
        </w:rPr>
      </w:pPr>
    </w:p>
    <w:p w14:paraId="5FECDBE5" w14:textId="77777777" w:rsidR="005D2494" w:rsidRDefault="005D2494" w:rsidP="005D2494">
      <w:pPr>
        <w:pStyle w:val="Textoindependiente"/>
        <w:ind w:left="709" w:right="709"/>
        <w:jc w:val="both"/>
        <w:rPr>
          <w:sz w:val="21"/>
          <w:szCs w:val="21"/>
          <w:lang w:val="es-CO"/>
        </w:rPr>
      </w:pPr>
      <w:r w:rsidRPr="00D8413E">
        <w:rPr>
          <w:sz w:val="21"/>
          <w:szCs w:val="21"/>
          <w:lang w:val="es-CO"/>
        </w:rPr>
        <w:t xml:space="preserve">Artículo 2.2.1.1.1.6.4. Capacidad Residual. El interesado en celebrar contratos de obra pública con Entidades Estatales debe acreditar su Capacidad Residual o K de Contratación con los siguientes documentos: </w:t>
      </w:r>
    </w:p>
    <w:p w14:paraId="1CBCDAED" w14:textId="77777777" w:rsidR="005D2494" w:rsidRPr="00D8413E" w:rsidRDefault="005D2494" w:rsidP="005D2494">
      <w:pPr>
        <w:pStyle w:val="Textoindependiente"/>
        <w:ind w:left="709" w:right="709"/>
        <w:jc w:val="both"/>
        <w:rPr>
          <w:sz w:val="21"/>
          <w:szCs w:val="21"/>
          <w:lang w:val="es-CO"/>
        </w:rPr>
      </w:pPr>
      <w:r>
        <w:rPr>
          <w:sz w:val="21"/>
          <w:szCs w:val="21"/>
          <w:lang w:val="es-CO"/>
        </w:rPr>
        <w:t>[</w:t>
      </w:r>
      <w:r w:rsidRPr="00D8413E">
        <w:rPr>
          <w:sz w:val="21"/>
          <w:szCs w:val="21"/>
          <w:lang w:val="es-CO"/>
        </w:rPr>
        <w:t>…</w:t>
      </w:r>
      <w:r>
        <w:rPr>
          <w:sz w:val="21"/>
          <w:szCs w:val="21"/>
          <w:lang w:val="es-CO"/>
        </w:rPr>
        <w:t>]</w:t>
      </w:r>
    </w:p>
    <w:p w14:paraId="14277DCF" w14:textId="77777777" w:rsidR="005D2494" w:rsidRPr="004F4910" w:rsidRDefault="005D2494" w:rsidP="005D2494">
      <w:pPr>
        <w:pStyle w:val="Textoindependiente"/>
        <w:ind w:left="709" w:right="709"/>
        <w:jc w:val="both"/>
        <w:rPr>
          <w:sz w:val="22"/>
          <w:szCs w:val="22"/>
          <w:lang w:val="es-CO"/>
        </w:rPr>
      </w:pPr>
      <w:r w:rsidRPr="00D8413E">
        <w:rPr>
          <w:sz w:val="21"/>
          <w:szCs w:val="21"/>
          <w:lang w:val="es-CO"/>
        </w:rPr>
        <w:t xml:space="preserve">La Entidad Estatal debe calcular la Capacidad Residual del proponente de </w:t>
      </w:r>
      <w:r w:rsidRPr="00D8413E">
        <w:rPr>
          <w:sz w:val="21"/>
          <w:szCs w:val="21"/>
          <w:lang w:val="es-CO"/>
        </w:rPr>
        <w:lastRenderedPageBreak/>
        <w:t>acuerdo con la metodología que defina Colombia Compra Eficiente, teniendo en cuenta los factores de: Experiencia (E), Capacidad Financiera (CF), Capacidad Técnica (CT), Capacidad de Organización (CO), y los saldos de los contratos en ejecución (SCE).</w:t>
      </w:r>
    </w:p>
    <w:p w14:paraId="4A121B28" w14:textId="77777777" w:rsidR="005D2494" w:rsidRPr="004F4910" w:rsidRDefault="005D2494" w:rsidP="005D2494">
      <w:pPr>
        <w:pStyle w:val="Textoindependiente"/>
        <w:ind w:right="49"/>
        <w:rPr>
          <w:sz w:val="22"/>
          <w:szCs w:val="22"/>
          <w:lang w:val="es-CO"/>
        </w:rPr>
      </w:pPr>
    </w:p>
    <w:p w14:paraId="33A8A6C6" w14:textId="77777777" w:rsidR="005D2494" w:rsidRPr="004F4910" w:rsidRDefault="005D2494" w:rsidP="005D2494">
      <w:pPr>
        <w:pStyle w:val="Textoindependiente"/>
        <w:spacing w:line="276" w:lineRule="auto"/>
        <w:ind w:firstLine="709"/>
        <w:jc w:val="both"/>
        <w:rPr>
          <w:sz w:val="22"/>
          <w:szCs w:val="22"/>
          <w:lang w:val="es-CO"/>
        </w:rPr>
      </w:pPr>
      <w:r w:rsidRPr="004F4910">
        <w:rPr>
          <w:sz w:val="22"/>
          <w:szCs w:val="22"/>
          <w:lang w:val="es-CO"/>
        </w:rPr>
        <w:t xml:space="preserve">De conformidad con lo anterior, </w:t>
      </w:r>
      <w:r>
        <w:rPr>
          <w:sz w:val="22"/>
          <w:szCs w:val="22"/>
          <w:lang w:val="es-CO"/>
        </w:rPr>
        <w:t xml:space="preserve">esta </w:t>
      </w:r>
      <w:r w:rsidRPr="004F4910">
        <w:rPr>
          <w:sz w:val="22"/>
          <w:szCs w:val="22"/>
          <w:lang w:val="es-CO"/>
        </w:rPr>
        <w:t xml:space="preserve">Agencia expidió la «Guía para Determinar y Verificar la Capacidad Residual del Proponente en los Procesos de Contratación de Obra Pública». </w:t>
      </w:r>
      <w:r>
        <w:rPr>
          <w:sz w:val="22"/>
          <w:szCs w:val="22"/>
          <w:lang w:val="es-CO"/>
        </w:rPr>
        <w:t>En e</w:t>
      </w:r>
      <w:r w:rsidRPr="004F4910">
        <w:rPr>
          <w:sz w:val="22"/>
          <w:szCs w:val="22"/>
          <w:lang w:val="es-CO"/>
        </w:rPr>
        <w:t>ste documento</w:t>
      </w:r>
      <w:r>
        <w:rPr>
          <w:sz w:val="22"/>
          <w:szCs w:val="22"/>
          <w:lang w:val="es-CO"/>
        </w:rPr>
        <w:t xml:space="preserve"> se</w:t>
      </w:r>
      <w:r w:rsidRPr="004F4910">
        <w:rPr>
          <w:sz w:val="22"/>
          <w:szCs w:val="22"/>
          <w:lang w:val="es-CO"/>
        </w:rPr>
        <w:t xml:space="preserve"> establece, entre otras cuestiones, que a la entidad contratante </w:t>
      </w:r>
      <w:r>
        <w:rPr>
          <w:sz w:val="22"/>
          <w:szCs w:val="22"/>
          <w:lang w:val="es-CO"/>
        </w:rPr>
        <w:t xml:space="preserve">le </w:t>
      </w:r>
      <w:r w:rsidRPr="004F4910">
        <w:rPr>
          <w:sz w:val="22"/>
          <w:szCs w:val="22"/>
          <w:lang w:val="es-CO"/>
        </w:rPr>
        <w:t xml:space="preserve">corresponde, primero, establecer la capacidad residual del proceso de contratación </w:t>
      </w:r>
      <w:r>
        <w:rPr>
          <w:sz w:val="22"/>
          <w:szCs w:val="22"/>
          <w:lang w:val="es-CO"/>
        </w:rPr>
        <w:t>–</w:t>
      </w:r>
      <w:r w:rsidRPr="004F4910">
        <w:rPr>
          <w:sz w:val="22"/>
          <w:szCs w:val="22"/>
          <w:lang w:val="es-CO"/>
        </w:rPr>
        <w:t>CRPC</w:t>
      </w:r>
      <w:r>
        <w:rPr>
          <w:sz w:val="22"/>
          <w:szCs w:val="22"/>
          <w:lang w:val="es-CO"/>
        </w:rPr>
        <w:t>–</w:t>
      </w:r>
      <w:r w:rsidRPr="004F4910">
        <w:rPr>
          <w:sz w:val="22"/>
          <w:szCs w:val="22"/>
          <w:lang w:val="es-CO"/>
        </w:rPr>
        <w:t xml:space="preserve"> y, segundo, determinar si los proponentes cumplen con la capacidad residual del proceso de contratación, claro está, teniendo en cuenta la siguiente información aportada por el proponente:</w:t>
      </w:r>
    </w:p>
    <w:p w14:paraId="6812BA37" w14:textId="77777777" w:rsidR="005D2494" w:rsidRPr="004F4910" w:rsidRDefault="005D2494" w:rsidP="005D2494">
      <w:pPr>
        <w:pStyle w:val="Textoindependiente"/>
        <w:ind w:left="709" w:right="760"/>
        <w:jc w:val="both"/>
        <w:rPr>
          <w:sz w:val="22"/>
          <w:szCs w:val="22"/>
          <w:lang w:val="es-CO"/>
        </w:rPr>
      </w:pPr>
    </w:p>
    <w:p w14:paraId="317ECA57" w14:textId="77777777" w:rsidR="005D2494" w:rsidRPr="00AC5C89" w:rsidRDefault="005D2494" w:rsidP="005D2494">
      <w:pPr>
        <w:pStyle w:val="Textoindependiente"/>
        <w:numPr>
          <w:ilvl w:val="0"/>
          <w:numId w:val="2"/>
        </w:numPr>
        <w:tabs>
          <w:tab w:val="left" w:pos="993"/>
        </w:tabs>
        <w:spacing w:after="120"/>
        <w:ind w:left="709" w:right="709" w:firstLine="0"/>
        <w:jc w:val="both"/>
        <w:rPr>
          <w:sz w:val="21"/>
          <w:szCs w:val="21"/>
          <w:lang w:val="es-CO"/>
        </w:rPr>
      </w:pPr>
      <w:r w:rsidRPr="00AC5C89">
        <w:rPr>
          <w:sz w:val="21"/>
          <w:szCs w:val="21"/>
          <w:lang w:val="es-CO"/>
        </w:rPr>
        <w:t>La lista de los Contratos en Ejecución, así como el valor y plazo de tales contratos.</w:t>
      </w:r>
    </w:p>
    <w:p w14:paraId="682536D5" w14:textId="77777777" w:rsidR="005D2494" w:rsidRPr="00AC5C89" w:rsidRDefault="005D2494" w:rsidP="005D2494">
      <w:pPr>
        <w:pStyle w:val="Textoindependiente"/>
        <w:numPr>
          <w:ilvl w:val="0"/>
          <w:numId w:val="2"/>
        </w:numPr>
        <w:tabs>
          <w:tab w:val="left" w:pos="993"/>
        </w:tabs>
        <w:spacing w:after="120"/>
        <w:ind w:left="709" w:right="709" w:firstLine="0"/>
        <w:jc w:val="both"/>
        <w:rPr>
          <w:sz w:val="21"/>
          <w:szCs w:val="21"/>
          <w:lang w:val="es-CO"/>
        </w:rPr>
      </w:pPr>
      <w:r w:rsidRPr="00AC5C89">
        <w:rPr>
          <w:sz w:val="21"/>
          <w:szCs w:val="21"/>
          <w:lang w:val="es-CO"/>
        </w:rPr>
        <w:t>La lista de los Contratos en Ejecución, suscritos por sociedades, consorcios o uniones temporales, en los cuales el proponente tenga participación, así como el valor y plazo de tales contratos.</w:t>
      </w:r>
    </w:p>
    <w:p w14:paraId="76B5714D" w14:textId="77777777" w:rsidR="005D2494" w:rsidRPr="00AC5C89" w:rsidRDefault="005D2494" w:rsidP="005D2494">
      <w:pPr>
        <w:pStyle w:val="Textoindependiente"/>
        <w:numPr>
          <w:ilvl w:val="0"/>
          <w:numId w:val="2"/>
        </w:numPr>
        <w:tabs>
          <w:tab w:val="left" w:pos="993"/>
        </w:tabs>
        <w:ind w:left="709" w:right="709" w:firstLine="0"/>
        <w:jc w:val="both"/>
        <w:rPr>
          <w:sz w:val="21"/>
          <w:szCs w:val="21"/>
          <w:lang w:val="es-CO"/>
        </w:rPr>
      </w:pPr>
      <w:r w:rsidRPr="00AC5C89">
        <w:rPr>
          <w:sz w:val="21"/>
          <w:szCs w:val="21"/>
          <w:lang w:val="es-CO"/>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29C894B4" w14:textId="77777777" w:rsidR="005D2494" w:rsidRPr="004F4910" w:rsidRDefault="005D2494" w:rsidP="005D2494">
      <w:pPr>
        <w:pStyle w:val="Textoindependiente"/>
        <w:spacing w:line="276" w:lineRule="auto"/>
        <w:ind w:right="51" w:firstLine="709"/>
        <w:jc w:val="both"/>
        <w:rPr>
          <w:sz w:val="22"/>
          <w:szCs w:val="22"/>
          <w:lang w:val="es-CO"/>
        </w:rPr>
      </w:pPr>
    </w:p>
    <w:p w14:paraId="0EFD8F71" w14:textId="77777777" w:rsidR="005D2494" w:rsidRPr="004F4910" w:rsidRDefault="005D2494" w:rsidP="005D2494">
      <w:pPr>
        <w:pStyle w:val="Textoindependiente"/>
        <w:spacing w:line="276" w:lineRule="auto"/>
        <w:ind w:firstLine="709"/>
        <w:jc w:val="both"/>
        <w:rPr>
          <w:sz w:val="22"/>
          <w:szCs w:val="22"/>
          <w:lang w:val="es-CO"/>
        </w:rPr>
      </w:pPr>
      <w:r w:rsidRPr="004F4910">
        <w:rPr>
          <w:sz w:val="22"/>
          <w:szCs w:val="22"/>
          <w:lang w:val="es-CO"/>
        </w:rPr>
        <w:t xml:space="preserve">Ahora bien, para lo primero, esto es, para establecer la capacidad residual del proceso de contratación </w:t>
      </w:r>
      <w:r>
        <w:rPr>
          <w:sz w:val="22"/>
          <w:szCs w:val="22"/>
          <w:lang w:val="es-CO"/>
        </w:rPr>
        <w:t>–</w:t>
      </w:r>
      <w:r w:rsidRPr="004F4910">
        <w:rPr>
          <w:sz w:val="22"/>
          <w:szCs w:val="22"/>
          <w:lang w:val="es-CO"/>
        </w:rPr>
        <w:t>CRPC</w:t>
      </w:r>
      <w:r>
        <w:rPr>
          <w:sz w:val="22"/>
          <w:szCs w:val="22"/>
          <w:lang w:val="es-CO"/>
        </w:rPr>
        <w:t>–</w:t>
      </w:r>
      <w:r w:rsidRPr="004F4910">
        <w:rPr>
          <w:sz w:val="22"/>
          <w:szCs w:val="22"/>
          <w:lang w:val="es-CO"/>
        </w:rPr>
        <w:t>,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3074918E" w14:textId="77777777" w:rsidR="005D2494" w:rsidRPr="004F4910" w:rsidRDefault="005D2494" w:rsidP="005D2494">
      <w:pPr>
        <w:pStyle w:val="Textoindependiente"/>
        <w:spacing w:before="120" w:line="276" w:lineRule="auto"/>
        <w:ind w:firstLine="709"/>
        <w:jc w:val="both"/>
        <w:rPr>
          <w:sz w:val="22"/>
          <w:szCs w:val="22"/>
          <w:lang w:val="es-CO"/>
        </w:rPr>
      </w:pPr>
      <w:r w:rsidRPr="004F4910">
        <w:rPr>
          <w:sz w:val="22"/>
          <w:szCs w:val="22"/>
          <w:lang w:val="es-CO"/>
        </w:rPr>
        <w:t xml:space="preserve">Para lo segundo, es decir, </w:t>
      </w:r>
      <w:r>
        <w:rPr>
          <w:sz w:val="22"/>
          <w:szCs w:val="22"/>
          <w:lang w:val="es-CO"/>
        </w:rPr>
        <w:t xml:space="preserve">para </w:t>
      </w:r>
      <w:r w:rsidRPr="004F4910">
        <w:rPr>
          <w:sz w:val="22"/>
          <w:szCs w:val="22"/>
          <w:lang w:val="es-CO"/>
        </w:rPr>
        <w:t xml:space="preserve">verificar que cada proponente cumple con la CRPC, la entidad pública debe verificar que la capacidad residual del proponente </w:t>
      </w:r>
      <w:r>
        <w:rPr>
          <w:sz w:val="22"/>
          <w:szCs w:val="22"/>
          <w:lang w:val="es-CO"/>
        </w:rPr>
        <w:t>–</w:t>
      </w:r>
      <w:r w:rsidRPr="004F4910">
        <w:rPr>
          <w:sz w:val="22"/>
          <w:szCs w:val="22"/>
          <w:lang w:val="es-CO"/>
        </w:rPr>
        <w:t>CRP</w:t>
      </w:r>
      <w:r>
        <w:rPr>
          <w:sz w:val="22"/>
          <w:szCs w:val="22"/>
          <w:lang w:val="es-CO"/>
        </w:rPr>
        <w:t>–</w:t>
      </w:r>
      <w:r w:rsidRPr="004F4910">
        <w:rPr>
          <w:sz w:val="22"/>
          <w:szCs w:val="22"/>
          <w:lang w:val="es-CO"/>
        </w:rPr>
        <w:t xml:space="preserve"> sea igual o superior a la capacidad referida en el párrafo precedente. De todas formas, previamente debe establecer la CRP, con fundamento en los siguientes factores: i) experiencia </w:t>
      </w:r>
      <w:r>
        <w:rPr>
          <w:sz w:val="22"/>
          <w:szCs w:val="22"/>
          <w:lang w:val="es-CO"/>
        </w:rPr>
        <w:t>–</w:t>
      </w:r>
      <w:r w:rsidRPr="004F4910">
        <w:rPr>
          <w:sz w:val="22"/>
          <w:szCs w:val="22"/>
          <w:lang w:val="es-CO"/>
        </w:rPr>
        <w:t>E</w:t>
      </w:r>
      <w:r>
        <w:rPr>
          <w:sz w:val="22"/>
          <w:szCs w:val="22"/>
          <w:lang w:val="es-CO"/>
        </w:rPr>
        <w:t>–</w:t>
      </w:r>
      <w:r w:rsidRPr="004F4910">
        <w:rPr>
          <w:sz w:val="22"/>
          <w:szCs w:val="22"/>
          <w:lang w:val="es-CO"/>
        </w:rPr>
        <w:t xml:space="preserve">; </w:t>
      </w:r>
      <w:proofErr w:type="spellStart"/>
      <w:r w:rsidRPr="004F4910">
        <w:rPr>
          <w:sz w:val="22"/>
          <w:szCs w:val="22"/>
          <w:lang w:val="es-CO"/>
        </w:rPr>
        <w:t>ii</w:t>
      </w:r>
      <w:proofErr w:type="spellEnd"/>
      <w:r w:rsidRPr="004F4910">
        <w:rPr>
          <w:sz w:val="22"/>
          <w:szCs w:val="22"/>
          <w:lang w:val="es-CO"/>
        </w:rPr>
        <w:t xml:space="preserve">) capacidad financiera </w:t>
      </w:r>
      <w:r>
        <w:rPr>
          <w:sz w:val="22"/>
          <w:szCs w:val="22"/>
          <w:lang w:val="es-CO"/>
        </w:rPr>
        <w:t>–</w:t>
      </w:r>
      <w:r w:rsidRPr="004F4910">
        <w:rPr>
          <w:sz w:val="22"/>
          <w:szCs w:val="22"/>
          <w:lang w:val="es-CO"/>
        </w:rPr>
        <w:t>CF</w:t>
      </w:r>
      <w:r>
        <w:rPr>
          <w:sz w:val="22"/>
          <w:szCs w:val="22"/>
          <w:lang w:val="es-CO"/>
        </w:rPr>
        <w:t>–</w:t>
      </w:r>
      <w:r w:rsidRPr="004F4910">
        <w:rPr>
          <w:sz w:val="22"/>
          <w:szCs w:val="22"/>
          <w:lang w:val="es-CO"/>
        </w:rPr>
        <w:t xml:space="preserve">; </w:t>
      </w:r>
      <w:proofErr w:type="spellStart"/>
      <w:r w:rsidRPr="004F4910">
        <w:rPr>
          <w:sz w:val="22"/>
          <w:szCs w:val="22"/>
          <w:lang w:val="es-CO"/>
        </w:rPr>
        <w:t>iii</w:t>
      </w:r>
      <w:proofErr w:type="spellEnd"/>
      <w:r w:rsidRPr="004F4910">
        <w:rPr>
          <w:sz w:val="22"/>
          <w:szCs w:val="22"/>
          <w:lang w:val="es-CO"/>
        </w:rPr>
        <w:t xml:space="preserve">) capacidad técnica </w:t>
      </w:r>
      <w:r>
        <w:rPr>
          <w:sz w:val="22"/>
          <w:szCs w:val="22"/>
          <w:lang w:val="es-CO"/>
        </w:rPr>
        <w:t>–</w:t>
      </w:r>
      <w:r w:rsidRPr="004F4910">
        <w:rPr>
          <w:sz w:val="22"/>
          <w:szCs w:val="22"/>
          <w:lang w:val="es-CO"/>
        </w:rPr>
        <w:t>CT</w:t>
      </w:r>
      <w:r>
        <w:rPr>
          <w:sz w:val="22"/>
          <w:szCs w:val="22"/>
          <w:lang w:val="es-CO"/>
        </w:rPr>
        <w:t>–</w:t>
      </w:r>
      <w:r w:rsidRPr="004F4910">
        <w:rPr>
          <w:sz w:val="22"/>
          <w:szCs w:val="22"/>
          <w:lang w:val="es-CO"/>
        </w:rPr>
        <w:t xml:space="preserve">, </w:t>
      </w:r>
      <w:proofErr w:type="spellStart"/>
      <w:r w:rsidRPr="004F4910">
        <w:rPr>
          <w:sz w:val="22"/>
          <w:szCs w:val="22"/>
          <w:lang w:val="es-CO"/>
        </w:rPr>
        <w:t>iv</w:t>
      </w:r>
      <w:proofErr w:type="spellEnd"/>
      <w:r w:rsidRPr="004F4910">
        <w:rPr>
          <w:sz w:val="22"/>
          <w:szCs w:val="22"/>
          <w:lang w:val="es-CO"/>
        </w:rPr>
        <w:t xml:space="preserve">) capacidad de organización </w:t>
      </w:r>
      <w:r>
        <w:rPr>
          <w:sz w:val="22"/>
          <w:szCs w:val="22"/>
          <w:lang w:val="es-CO"/>
        </w:rPr>
        <w:t>–</w:t>
      </w:r>
      <w:r w:rsidRPr="004F4910">
        <w:rPr>
          <w:sz w:val="22"/>
          <w:szCs w:val="22"/>
          <w:lang w:val="es-CO"/>
        </w:rPr>
        <w:t>CO</w:t>
      </w:r>
      <w:r>
        <w:rPr>
          <w:sz w:val="22"/>
          <w:szCs w:val="22"/>
          <w:lang w:val="es-CO"/>
        </w:rPr>
        <w:t>–,</w:t>
      </w:r>
      <w:r w:rsidRPr="004F4910">
        <w:rPr>
          <w:sz w:val="22"/>
          <w:szCs w:val="22"/>
          <w:lang w:val="es-CO"/>
        </w:rPr>
        <w:t xml:space="preserve"> y v) los saldos de los contratos en ejecución </w:t>
      </w:r>
      <w:r>
        <w:rPr>
          <w:sz w:val="22"/>
          <w:szCs w:val="22"/>
          <w:lang w:val="es-CO"/>
        </w:rPr>
        <w:t>–</w:t>
      </w:r>
      <w:r w:rsidRPr="004F4910">
        <w:rPr>
          <w:sz w:val="22"/>
          <w:szCs w:val="22"/>
          <w:lang w:val="es-CO"/>
        </w:rPr>
        <w:t>SCE</w:t>
      </w:r>
      <w:r>
        <w:rPr>
          <w:sz w:val="22"/>
          <w:szCs w:val="22"/>
          <w:lang w:val="es-CO"/>
        </w:rPr>
        <w:t>–</w:t>
      </w:r>
      <w:r w:rsidRPr="004F4910">
        <w:rPr>
          <w:sz w:val="22"/>
          <w:szCs w:val="22"/>
          <w:lang w:val="es-CO"/>
        </w:rPr>
        <w:t>, según la siguiente fórmula:</w:t>
      </w:r>
    </w:p>
    <w:p w14:paraId="0300D493" w14:textId="77777777" w:rsidR="005D2494" w:rsidRPr="004F4910" w:rsidRDefault="005D2494" w:rsidP="005D2494">
      <w:pPr>
        <w:pStyle w:val="Textoindependiente"/>
        <w:tabs>
          <w:tab w:val="left" w:pos="709"/>
          <w:tab w:val="left" w:pos="8080"/>
        </w:tabs>
        <w:spacing w:before="10"/>
        <w:ind w:right="49"/>
        <w:rPr>
          <w:sz w:val="22"/>
          <w:szCs w:val="22"/>
          <w:lang w:val="es-CO"/>
        </w:rPr>
      </w:pPr>
      <w:r w:rsidRPr="004F4910">
        <w:rPr>
          <w:noProof/>
          <w:sz w:val="22"/>
          <w:szCs w:val="22"/>
          <w:lang w:val="es-CO" w:eastAsia="es-ES_tradnl"/>
        </w:rPr>
        <w:lastRenderedPageBreak/>
        <w:drawing>
          <wp:anchor distT="0" distB="0" distL="0" distR="0" simplePos="0" relativeHeight="251659264" behindDoc="0" locked="0" layoutInCell="1" allowOverlap="1" wp14:anchorId="60E21B23" wp14:editId="5D37F8B6">
            <wp:simplePos x="0" y="0"/>
            <wp:positionH relativeFrom="page">
              <wp:posOffset>1545590</wp:posOffset>
            </wp:positionH>
            <wp:positionV relativeFrom="paragraph">
              <wp:posOffset>160655</wp:posOffset>
            </wp:positionV>
            <wp:extent cx="4638040" cy="674370"/>
            <wp:effectExtent l="0" t="0" r="0" b="0"/>
            <wp:wrapTopAndBottom/>
            <wp:docPr id="5"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Diagrama&#10;&#10;Descripción generada automáticamente"/>
                    <pic:cNvPicPr/>
                  </pic:nvPicPr>
                  <pic:blipFill>
                    <a:blip r:embed="rId8"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51E7B2AA" w14:textId="77777777" w:rsidR="005D2494" w:rsidRPr="004F4910" w:rsidRDefault="005D2494" w:rsidP="005D2494">
      <w:pPr>
        <w:pStyle w:val="Textoindependiente"/>
        <w:spacing w:before="120" w:line="276" w:lineRule="auto"/>
        <w:ind w:right="51" w:firstLine="709"/>
        <w:jc w:val="both"/>
        <w:rPr>
          <w:sz w:val="22"/>
          <w:szCs w:val="22"/>
          <w:lang w:val="es-CO"/>
        </w:rPr>
      </w:pPr>
    </w:p>
    <w:p w14:paraId="40BE047E" w14:textId="77777777" w:rsidR="005D2494" w:rsidRPr="004F4910" w:rsidRDefault="005D2494" w:rsidP="005D2494">
      <w:pPr>
        <w:pStyle w:val="Textoindependiente"/>
        <w:spacing w:before="120" w:line="276" w:lineRule="auto"/>
        <w:ind w:firstLine="709"/>
        <w:jc w:val="both"/>
        <w:rPr>
          <w:sz w:val="22"/>
          <w:szCs w:val="22"/>
          <w:lang w:val="es-CO"/>
        </w:rPr>
      </w:pPr>
      <w:r w:rsidRPr="004F4910">
        <w:rPr>
          <w:sz w:val="22"/>
          <w:szCs w:val="22"/>
          <w:lang w:val="es-CO"/>
        </w:rPr>
        <w:t>A cada uno de estos factores se les</w:t>
      </w:r>
      <w:r>
        <w:rPr>
          <w:sz w:val="22"/>
          <w:szCs w:val="22"/>
          <w:lang w:val="es-CO"/>
        </w:rPr>
        <w:t xml:space="preserve"> pueden</w:t>
      </w:r>
      <w:r w:rsidRPr="004F4910">
        <w:rPr>
          <w:sz w:val="22"/>
          <w:szCs w:val="22"/>
          <w:lang w:val="es-CO"/>
        </w:rPr>
        <w:t xml:space="preserve"> asignar</w:t>
      </w:r>
      <w:r>
        <w:rPr>
          <w:sz w:val="22"/>
          <w:szCs w:val="22"/>
          <w:lang w:val="es-CO"/>
        </w:rPr>
        <w:t>, respectivamente,</w:t>
      </w:r>
      <w:r w:rsidRPr="004F4910">
        <w:rPr>
          <w:sz w:val="22"/>
          <w:szCs w:val="22"/>
          <w:lang w:val="es-CO"/>
        </w:rPr>
        <w:t xml:space="preserve"> </w:t>
      </w:r>
      <w:r>
        <w:rPr>
          <w:sz w:val="22"/>
          <w:szCs w:val="22"/>
          <w:lang w:val="es-CO"/>
        </w:rPr>
        <w:t>los</w:t>
      </w:r>
      <w:r w:rsidRPr="004F4910">
        <w:rPr>
          <w:sz w:val="22"/>
          <w:szCs w:val="22"/>
          <w:lang w:val="es-CO"/>
        </w:rPr>
        <w:t xml:space="preserve"> siguiente</w:t>
      </w:r>
      <w:r>
        <w:rPr>
          <w:sz w:val="22"/>
          <w:szCs w:val="22"/>
          <w:lang w:val="es-CO"/>
        </w:rPr>
        <w:t>s</w:t>
      </w:r>
      <w:r w:rsidRPr="004F4910">
        <w:rPr>
          <w:sz w:val="22"/>
          <w:szCs w:val="22"/>
          <w:lang w:val="es-CO"/>
        </w:rPr>
        <w:t xml:space="preserve"> puntaje</w:t>
      </w:r>
      <w:r>
        <w:rPr>
          <w:sz w:val="22"/>
          <w:szCs w:val="22"/>
          <w:lang w:val="es-CO"/>
        </w:rPr>
        <w:t>s</w:t>
      </w:r>
      <w:r w:rsidRPr="004F4910">
        <w:rPr>
          <w:sz w:val="22"/>
          <w:szCs w:val="22"/>
          <w:lang w:val="es-CO"/>
        </w:rPr>
        <w:t xml:space="preserve"> máximo</w:t>
      </w:r>
      <w:r>
        <w:rPr>
          <w:sz w:val="22"/>
          <w:szCs w:val="22"/>
          <w:lang w:val="es-CO"/>
        </w:rPr>
        <w:t>s</w:t>
      </w:r>
      <w:r w:rsidRPr="004F4910">
        <w:rPr>
          <w:sz w:val="22"/>
          <w:szCs w:val="22"/>
          <w:lang w:val="es-CO"/>
        </w:rPr>
        <w:t xml:space="preserve">: i) «E» 120; </w:t>
      </w:r>
      <w:proofErr w:type="spellStart"/>
      <w:r w:rsidRPr="004F4910">
        <w:rPr>
          <w:sz w:val="22"/>
          <w:szCs w:val="22"/>
          <w:lang w:val="es-CO"/>
        </w:rPr>
        <w:t>ii</w:t>
      </w:r>
      <w:proofErr w:type="spellEnd"/>
      <w:r w:rsidRPr="004F4910">
        <w:rPr>
          <w:sz w:val="22"/>
          <w:szCs w:val="22"/>
          <w:lang w:val="es-CO"/>
        </w:rPr>
        <w:t xml:space="preserve">) «CF» 40; y </w:t>
      </w:r>
      <w:proofErr w:type="spellStart"/>
      <w:r w:rsidRPr="004F4910">
        <w:rPr>
          <w:sz w:val="22"/>
          <w:szCs w:val="22"/>
          <w:lang w:val="es-CO"/>
        </w:rPr>
        <w:t>iii</w:t>
      </w:r>
      <w:proofErr w:type="spellEnd"/>
      <w:r w:rsidRPr="004F4910">
        <w:rPr>
          <w:sz w:val="22"/>
          <w:szCs w:val="22"/>
          <w:lang w:val="es-CO"/>
        </w:rPr>
        <w:t>)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54BF335C" w14:textId="77777777" w:rsidR="005D2494" w:rsidRPr="004F4910" w:rsidRDefault="005D2494" w:rsidP="005D2494">
      <w:pPr>
        <w:pStyle w:val="Textoindependiente"/>
        <w:numPr>
          <w:ilvl w:val="0"/>
          <w:numId w:val="3"/>
        </w:numPr>
        <w:tabs>
          <w:tab w:val="left" w:pos="993"/>
        </w:tabs>
        <w:spacing w:before="120" w:line="276" w:lineRule="auto"/>
        <w:ind w:left="0" w:firstLine="709"/>
        <w:jc w:val="both"/>
        <w:rPr>
          <w:i/>
          <w:iCs/>
          <w:sz w:val="22"/>
          <w:szCs w:val="22"/>
          <w:lang w:val="es-CO"/>
        </w:rPr>
      </w:pPr>
      <w:r w:rsidRPr="004F4910">
        <w:rPr>
          <w:i/>
          <w:iCs/>
          <w:sz w:val="22"/>
          <w:szCs w:val="22"/>
          <w:lang w:val="es-CO"/>
        </w:rPr>
        <w:t>Capacidad financiera.</w:t>
      </w:r>
      <w:r w:rsidRPr="004F4910">
        <w:rPr>
          <w:sz w:val="22"/>
          <w:szCs w:val="22"/>
          <w:lang w:val="es-CO"/>
        </w:rPr>
        <w:t xml:space="preserve"> Se mide por el «índice de liquidez» y este, a su vez, corresponde al resultado de dividir el «activo corriente» sobre el «pasivo corriente». El resultado puede ser calificado entre 20 y </w:t>
      </w:r>
      <w:r>
        <w:rPr>
          <w:sz w:val="22"/>
          <w:szCs w:val="22"/>
          <w:lang w:val="es-CO"/>
        </w:rPr>
        <w:t>40</w:t>
      </w:r>
      <w:r w:rsidRPr="004F4910">
        <w:rPr>
          <w:sz w:val="22"/>
          <w:szCs w:val="22"/>
          <w:lang w:val="es-CO"/>
        </w:rPr>
        <w:t xml:space="preserve"> puntos, según se explica en la Guía.</w:t>
      </w:r>
    </w:p>
    <w:p w14:paraId="4622253E" w14:textId="77777777" w:rsidR="005D2494" w:rsidRPr="004F4910" w:rsidRDefault="005D2494" w:rsidP="005D2494">
      <w:pPr>
        <w:pStyle w:val="Textoindependiente"/>
        <w:numPr>
          <w:ilvl w:val="0"/>
          <w:numId w:val="3"/>
        </w:numPr>
        <w:tabs>
          <w:tab w:val="left" w:pos="993"/>
        </w:tabs>
        <w:spacing w:before="120" w:line="276" w:lineRule="auto"/>
        <w:ind w:left="0" w:firstLine="709"/>
        <w:jc w:val="both"/>
        <w:rPr>
          <w:i/>
          <w:iCs/>
          <w:sz w:val="22"/>
          <w:szCs w:val="22"/>
          <w:lang w:val="es-CO"/>
        </w:rPr>
      </w:pPr>
      <w:r w:rsidRPr="004F4910">
        <w:rPr>
          <w:i/>
          <w:iCs/>
          <w:sz w:val="22"/>
          <w:szCs w:val="22"/>
          <w:lang w:val="es-CO"/>
        </w:rPr>
        <w:t>Capacidad técnica</w:t>
      </w:r>
      <w:r w:rsidRPr="004F4910">
        <w:rPr>
          <w:sz w:val="22"/>
          <w:szCs w:val="22"/>
          <w:lang w:val="es-CO"/>
        </w:rPr>
        <w:t xml:space="preserve">. Se determina teniendo en cuenta el número de socios y profesionales de la arquitectura, ingeniería y geología vinculados mediante una relación laboral o contractual. </w:t>
      </w:r>
      <w:proofErr w:type="gramStart"/>
      <w:r w:rsidRPr="004F4910">
        <w:rPr>
          <w:sz w:val="22"/>
          <w:szCs w:val="22"/>
          <w:lang w:val="es-CO"/>
        </w:rPr>
        <w:t>El puntaje a asignar</w:t>
      </w:r>
      <w:proofErr w:type="gramEnd"/>
      <w:r w:rsidRPr="004F4910">
        <w:rPr>
          <w:sz w:val="22"/>
          <w:szCs w:val="22"/>
          <w:lang w:val="es-CO"/>
        </w:rPr>
        <w:t>, según la Guía, oscila entre 20 y 40 puntos. Para tales fines, se aclara</w:t>
      </w:r>
      <w:r>
        <w:rPr>
          <w:sz w:val="22"/>
          <w:szCs w:val="22"/>
          <w:lang w:val="es-CO"/>
        </w:rPr>
        <w:t xml:space="preserve"> que</w:t>
      </w:r>
      <w:r w:rsidRPr="004F4910">
        <w:rPr>
          <w:sz w:val="22"/>
          <w:szCs w:val="22"/>
          <w:lang w:val="es-CO"/>
        </w:rPr>
        <w:t xml:space="preserve"> el proponente debe diligenciar el Anexo 2 de la «Guía para Determinar y Verificar la Capacidad Residual del Proponente en los Procesos de Contratación de Obra Pública» </w:t>
      </w:r>
      <w:r>
        <w:rPr>
          <w:sz w:val="22"/>
          <w:szCs w:val="22"/>
          <w:lang w:val="es-CO"/>
        </w:rPr>
        <w:softHyphen/>
        <w:t>–</w:t>
      </w:r>
      <w:r w:rsidRPr="004F4910">
        <w:rPr>
          <w:sz w:val="22"/>
          <w:szCs w:val="22"/>
          <w:lang w:val="es-CO"/>
        </w:rPr>
        <w:t xml:space="preserve">este es diferente al Anexo 2 de los </w:t>
      </w:r>
      <w:r>
        <w:rPr>
          <w:sz w:val="22"/>
          <w:szCs w:val="22"/>
          <w:lang w:val="es-CO"/>
        </w:rPr>
        <w:t>d</w:t>
      </w:r>
      <w:r w:rsidRPr="004F4910">
        <w:rPr>
          <w:sz w:val="22"/>
          <w:szCs w:val="22"/>
          <w:lang w:val="es-CO"/>
        </w:rPr>
        <w:t xml:space="preserve">ocumentos </w:t>
      </w:r>
      <w:r>
        <w:rPr>
          <w:sz w:val="22"/>
          <w:szCs w:val="22"/>
          <w:lang w:val="es-CO"/>
        </w:rPr>
        <w:t>t</w:t>
      </w:r>
      <w:r w:rsidRPr="004F4910">
        <w:rPr>
          <w:sz w:val="22"/>
          <w:szCs w:val="22"/>
          <w:lang w:val="es-CO"/>
        </w:rPr>
        <w:t>ipo−.</w:t>
      </w:r>
    </w:p>
    <w:p w14:paraId="26FB86AE" w14:textId="77777777" w:rsidR="005D2494" w:rsidRDefault="005D2494" w:rsidP="005D2494">
      <w:pPr>
        <w:pStyle w:val="Textoindependiente"/>
        <w:numPr>
          <w:ilvl w:val="0"/>
          <w:numId w:val="3"/>
        </w:numPr>
        <w:tabs>
          <w:tab w:val="left" w:pos="993"/>
        </w:tabs>
        <w:spacing w:before="120" w:line="276" w:lineRule="auto"/>
        <w:ind w:left="0" w:firstLine="709"/>
        <w:jc w:val="both"/>
        <w:rPr>
          <w:i/>
          <w:iCs/>
          <w:sz w:val="22"/>
          <w:szCs w:val="22"/>
          <w:lang w:val="es-CO"/>
        </w:rPr>
      </w:pPr>
      <w:r w:rsidRPr="004F4910">
        <w:rPr>
          <w:i/>
          <w:iCs/>
          <w:sz w:val="22"/>
          <w:szCs w:val="22"/>
          <w:lang w:val="es-CO"/>
        </w:rPr>
        <w:t>Capacidad de organización</w:t>
      </w:r>
      <w:r w:rsidRPr="004F4910">
        <w:rPr>
          <w:sz w:val="22"/>
          <w:szCs w:val="22"/>
          <w:lang w:val="es-CO"/>
        </w:rPr>
        <w:t>. Corresponde a los ingresos operacionales, según el siguiente cuadro</w:t>
      </w:r>
      <w:r>
        <w:rPr>
          <w:sz w:val="22"/>
          <w:szCs w:val="22"/>
          <w:lang w:val="es-CO"/>
        </w:rPr>
        <w:t>:</w:t>
      </w:r>
    </w:p>
    <w:p w14:paraId="1A6A7BCF" w14:textId="77777777" w:rsidR="005D2494" w:rsidRPr="000F618A" w:rsidRDefault="005D2494" w:rsidP="005D2494">
      <w:pPr>
        <w:pStyle w:val="Textoindependiente"/>
        <w:tabs>
          <w:tab w:val="left" w:pos="993"/>
        </w:tabs>
        <w:spacing w:before="120" w:line="276" w:lineRule="auto"/>
        <w:jc w:val="both"/>
        <w:rPr>
          <w:i/>
          <w:iCs/>
          <w:sz w:val="22"/>
          <w:szCs w:val="22"/>
          <w:lang w:val="es-CO"/>
        </w:rPr>
      </w:pPr>
    </w:p>
    <w:tbl>
      <w:tblPr>
        <w:tblStyle w:val="Tablaconcuadrcula"/>
        <w:tblW w:w="7366" w:type="dxa"/>
        <w:tblInd w:w="709" w:type="dxa"/>
        <w:tblLook w:val="04A0" w:firstRow="1" w:lastRow="0" w:firstColumn="1" w:lastColumn="0" w:noHBand="0" w:noVBand="1"/>
      </w:tblPr>
      <w:tblGrid>
        <w:gridCol w:w="4053"/>
        <w:gridCol w:w="3313"/>
      </w:tblGrid>
      <w:tr w:rsidR="005D2494" w:rsidRPr="00CE1980" w14:paraId="2BCCC64E" w14:textId="77777777" w:rsidTr="00FB1DD3">
        <w:tc>
          <w:tcPr>
            <w:tcW w:w="4053" w:type="dxa"/>
            <w:shd w:val="clear" w:color="auto" w:fill="D9D9D9" w:themeFill="background1" w:themeFillShade="D9"/>
          </w:tcPr>
          <w:p w14:paraId="021C6954" w14:textId="77777777" w:rsidR="005D2494" w:rsidRPr="00CE1980" w:rsidRDefault="005D2494" w:rsidP="00FB1DD3">
            <w:pPr>
              <w:pStyle w:val="Textoindependiente"/>
              <w:tabs>
                <w:tab w:val="left" w:pos="993"/>
              </w:tabs>
              <w:spacing w:before="120"/>
              <w:ind w:right="51"/>
              <w:jc w:val="center"/>
              <w:rPr>
                <w:b/>
                <w:bCs/>
                <w:sz w:val="21"/>
                <w:szCs w:val="21"/>
                <w:lang w:val="es-CO"/>
              </w:rPr>
            </w:pPr>
            <w:r w:rsidRPr="00CE1980">
              <w:rPr>
                <w:b/>
                <w:bCs/>
                <w:sz w:val="21"/>
                <w:szCs w:val="21"/>
                <w:lang w:val="es-CO"/>
              </w:rPr>
              <w:t>Años de información financiera</w:t>
            </w:r>
          </w:p>
        </w:tc>
        <w:tc>
          <w:tcPr>
            <w:tcW w:w="3313" w:type="dxa"/>
            <w:shd w:val="clear" w:color="auto" w:fill="D9D9D9" w:themeFill="background1" w:themeFillShade="D9"/>
          </w:tcPr>
          <w:p w14:paraId="170166AD" w14:textId="77777777" w:rsidR="005D2494" w:rsidRPr="00CE1980" w:rsidRDefault="005D2494" w:rsidP="00FB1DD3">
            <w:pPr>
              <w:pStyle w:val="Textoindependiente"/>
              <w:tabs>
                <w:tab w:val="left" w:pos="993"/>
              </w:tabs>
              <w:spacing w:before="120"/>
              <w:ind w:right="51"/>
              <w:jc w:val="center"/>
              <w:rPr>
                <w:b/>
                <w:bCs/>
                <w:sz w:val="21"/>
                <w:szCs w:val="21"/>
                <w:lang w:val="es-CO"/>
              </w:rPr>
            </w:pPr>
            <w:r w:rsidRPr="00CE1980">
              <w:rPr>
                <w:b/>
                <w:bCs/>
                <w:sz w:val="21"/>
                <w:szCs w:val="21"/>
                <w:lang w:val="es-CO"/>
              </w:rPr>
              <w:t>Capacidad de organización</w:t>
            </w:r>
          </w:p>
        </w:tc>
      </w:tr>
      <w:tr w:rsidR="005D2494" w:rsidRPr="00CE1980" w14:paraId="099BB88B" w14:textId="77777777" w:rsidTr="00FB1DD3">
        <w:tc>
          <w:tcPr>
            <w:tcW w:w="4053" w:type="dxa"/>
          </w:tcPr>
          <w:p w14:paraId="69E06571" w14:textId="77777777" w:rsidR="005D2494" w:rsidRPr="00CE1980" w:rsidRDefault="005D2494" w:rsidP="00FB1DD3">
            <w:pPr>
              <w:pStyle w:val="Textoindependiente"/>
              <w:tabs>
                <w:tab w:val="left" w:pos="993"/>
              </w:tabs>
              <w:spacing w:before="120"/>
              <w:ind w:right="51"/>
              <w:jc w:val="both"/>
              <w:rPr>
                <w:sz w:val="21"/>
                <w:szCs w:val="21"/>
                <w:lang w:val="es-CO"/>
              </w:rPr>
            </w:pPr>
            <w:r w:rsidRPr="00CE1980">
              <w:rPr>
                <w:sz w:val="21"/>
                <w:szCs w:val="21"/>
                <w:lang w:val="es-CO"/>
              </w:rPr>
              <w:t>Cinco (5) años o más</w:t>
            </w:r>
          </w:p>
        </w:tc>
        <w:tc>
          <w:tcPr>
            <w:tcW w:w="3313" w:type="dxa"/>
          </w:tcPr>
          <w:p w14:paraId="60A08859" w14:textId="77777777" w:rsidR="005D2494" w:rsidRPr="00CE1980" w:rsidRDefault="005D2494" w:rsidP="00FB1DD3">
            <w:pPr>
              <w:pStyle w:val="Textoindependiente"/>
              <w:tabs>
                <w:tab w:val="left" w:pos="993"/>
              </w:tabs>
              <w:spacing w:before="120"/>
              <w:ind w:right="51"/>
              <w:jc w:val="both"/>
              <w:rPr>
                <w:sz w:val="21"/>
                <w:szCs w:val="21"/>
                <w:lang w:val="es-CO"/>
              </w:rPr>
            </w:pPr>
            <w:r w:rsidRPr="00CE1980">
              <w:rPr>
                <w:sz w:val="21"/>
                <w:szCs w:val="21"/>
                <w:lang w:val="es-CO"/>
              </w:rPr>
              <w:t>Mayor ingreso operacional de los últimos cinco años</w:t>
            </w:r>
          </w:p>
        </w:tc>
      </w:tr>
      <w:tr w:rsidR="005D2494" w:rsidRPr="00CE1980" w14:paraId="2224EC0F" w14:textId="77777777" w:rsidTr="00FB1DD3">
        <w:tc>
          <w:tcPr>
            <w:tcW w:w="4053" w:type="dxa"/>
          </w:tcPr>
          <w:p w14:paraId="360369CA" w14:textId="77777777" w:rsidR="005D2494" w:rsidRPr="00CE1980" w:rsidRDefault="005D2494" w:rsidP="00FB1DD3">
            <w:pPr>
              <w:pStyle w:val="Textoindependiente"/>
              <w:tabs>
                <w:tab w:val="left" w:pos="993"/>
              </w:tabs>
              <w:spacing w:before="120"/>
              <w:ind w:right="51"/>
              <w:jc w:val="both"/>
              <w:rPr>
                <w:sz w:val="21"/>
                <w:szCs w:val="21"/>
                <w:lang w:val="es-CO"/>
              </w:rPr>
            </w:pPr>
            <w:r w:rsidRPr="00CE1980">
              <w:rPr>
                <w:sz w:val="21"/>
                <w:szCs w:val="21"/>
                <w:lang w:val="es-CO"/>
              </w:rPr>
              <w:t>Entre uno (1) y cinco (5) años</w:t>
            </w:r>
          </w:p>
        </w:tc>
        <w:tc>
          <w:tcPr>
            <w:tcW w:w="3313" w:type="dxa"/>
          </w:tcPr>
          <w:p w14:paraId="3BFE3430" w14:textId="77777777" w:rsidR="005D2494" w:rsidRPr="00CE1980" w:rsidRDefault="005D2494" w:rsidP="00FB1DD3">
            <w:pPr>
              <w:pStyle w:val="Textoindependiente"/>
              <w:tabs>
                <w:tab w:val="left" w:pos="993"/>
              </w:tabs>
              <w:spacing w:before="120"/>
              <w:ind w:right="51"/>
              <w:jc w:val="both"/>
              <w:rPr>
                <w:sz w:val="21"/>
                <w:szCs w:val="21"/>
                <w:lang w:val="es-CO"/>
              </w:rPr>
            </w:pPr>
            <w:r w:rsidRPr="00CE1980">
              <w:rPr>
                <w:sz w:val="21"/>
                <w:szCs w:val="21"/>
                <w:lang w:val="es-CO"/>
              </w:rPr>
              <w:t>Mayor ingreso operacional de los años de vida del oferente</w:t>
            </w:r>
          </w:p>
        </w:tc>
      </w:tr>
      <w:tr w:rsidR="005D2494" w:rsidRPr="00CE1980" w14:paraId="5988E76B" w14:textId="77777777" w:rsidTr="00FB1DD3">
        <w:tc>
          <w:tcPr>
            <w:tcW w:w="4053" w:type="dxa"/>
          </w:tcPr>
          <w:p w14:paraId="7D80AE06" w14:textId="77777777" w:rsidR="005D2494" w:rsidRPr="00CE1980" w:rsidRDefault="005D2494" w:rsidP="00FB1DD3">
            <w:pPr>
              <w:pStyle w:val="Textoindependiente"/>
              <w:tabs>
                <w:tab w:val="left" w:pos="993"/>
              </w:tabs>
              <w:spacing w:before="120"/>
              <w:ind w:right="51"/>
              <w:jc w:val="both"/>
              <w:rPr>
                <w:sz w:val="21"/>
                <w:szCs w:val="21"/>
                <w:lang w:val="es-CO"/>
              </w:rPr>
            </w:pPr>
            <w:r w:rsidRPr="00CE1980">
              <w:rPr>
                <w:sz w:val="21"/>
                <w:szCs w:val="21"/>
                <w:lang w:val="es-CO"/>
              </w:rPr>
              <w:t>Menos de un (1) año</w:t>
            </w:r>
          </w:p>
        </w:tc>
        <w:tc>
          <w:tcPr>
            <w:tcW w:w="3313" w:type="dxa"/>
          </w:tcPr>
          <w:p w14:paraId="4CA10D52" w14:textId="77777777" w:rsidR="005D2494" w:rsidRPr="00CE1980" w:rsidRDefault="005D2494" w:rsidP="00FB1DD3">
            <w:pPr>
              <w:pStyle w:val="Textoindependiente"/>
              <w:tabs>
                <w:tab w:val="left" w:pos="993"/>
              </w:tabs>
              <w:spacing w:before="120"/>
              <w:ind w:right="51"/>
              <w:jc w:val="both"/>
              <w:rPr>
                <w:sz w:val="21"/>
                <w:szCs w:val="21"/>
                <w:lang w:val="es-CO"/>
              </w:rPr>
            </w:pPr>
            <w:r w:rsidRPr="00CE1980">
              <w:rPr>
                <w:sz w:val="21"/>
                <w:szCs w:val="21"/>
                <w:lang w:val="es-CO"/>
              </w:rPr>
              <w:t>USD 125.000</w:t>
            </w:r>
          </w:p>
        </w:tc>
      </w:tr>
    </w:tbl>
    <w:p w14:paraId="7422CB89" w14:textId="77777777" w:rsidR="005D2494" w:rsidRPr="004F4910" w:rsidRDefault="005D2494" w:rsidP="005D2494">
      <w:pPr>
        <w:pStyle w:val="Textoindependiente"/>
        <w:numPr>
          <w:ilvl w:val="0"/>
          <w:numId w:val="3"/>
        </w:numPr>
        <w:tabs>
          <w:tab w:val="left" w:pos="993"/>
        </w:tabs>
        <w:spacing w:before="120" w:line="276" w:lineRule="auto"/>
        <w:ind w:left="0" w:firstLine="709"/>
        <w:jc w:val="both"/>
        <w:rPr>
          <w:sz w:val="22"/>
          <w:szCs w:val="22"/>
          <w:lang w:val="es-CO"/>
        </w:rPr>
      </w:pPr>
      <w:r w:rsidRPr="004F4910">
        <w:rPr>
          <w:i/>
          <w:iCs/>
          <w:sz w:val="22"/>
          <w:szCs w:val="22"/>
          <w:lang w:val="es-CO"/>
        </w:rPr>
        <w:t>Saldos de los contratos en ejecución</w:t>
      </w:r>
      <w:r w:rsidRPr="004F4910">
        <w:rPr>
          <w:sz w:val="22"/>
          <w:szCs w:val="22"/>
          <w:lang w:val="es-CO"/>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75E73489" w14:textId="77777777" w:rsidR="005D2494" w:rsidRDefault="005D2494" w:rsidP="005D2494">
      <w:pPr>
        <w:pStyle w:val="Textoindependiente"/>
        <w:numPr>
          <w:ilvl w:val="0"/>
          <w:numId w:val="3"/>
        </w:numPr>
        <w:tabs>
          <w:tab w:val="left" w:pos="993"/>
        </w:tabs>
        <w:spacing w:before="120" w:after="120" w:line="276" w:lineRule="auto"/>
        <w:ind w:left="0" w:firstLine="709"/>
        <w:jc w:val="both"/>
        <w:rPr>
          <w:sz w:val="22"/>
          <w:szCs w:val="22"/>
          <w:lang w:val="es-CO"/>
        </w:rPr>
      </w:pPr>
      <w:r w:rsidRPr="004F4910">
        <w:rPr>
          <w:i/>
          <w:iCs/>
          <w:sz w:val="22"/>
          <w:szCs w:val="22"/>
          <w:lang w:val="es-CO"/>
        </w:rPr>
        <w:t>Experiencia</w:t>
      </w:r>
      <w:r w:rsidRPr="004F4910">
        <w:rPr>
          <w:sz w:val="22"/>
          <w:szCs w:val="22"/>
          <w:lang w:val="es-CO"/>
        </w:rPr>
        <w:t xml:space="preserve">. Para los efectos de la capacidad residual −no para la experiencia </w:t>
      </w:r>
      <w:r w:rsidRPr="004F4910">
        <w:rPr>
          <w:sz w:val="22"/>
          <w:szCs w:val="22"/>
          <w:lang w:val="es-CO"/>
        </w:rPr>
        <w:lastRenderedPageBreak/>
        <w:t>general que debe acreditar el contratista según la Matriz 1</w:t>
      </w:r>
      <w:r>
        <w:rPr>
          <w:sz w:val="22"/>
          <w:szCs w:val="22"/>
          <w:lang w:val="es-CO"/>
        </w:rPr>
        <w:t xml:space="preserve"> de los documentos tipo</w:t>
      </w:r>
      <w:r w:rsidRPr="004F4910">
        <w:rPr>
          <w:sz w:val="22"/>
          <w:szCs w:val="22"/>
          <w:lang w:val="es-CO"/>
        </w:rPr>
        <w:t>−, corresponde</w:t>
      </w:r>
      <w:r>
        <w:rPr>
          <w:sz w:val="22"/>
          <w:szCs w:val="22"/>
          <w:lang w:val="es-CO"/>
        </w:rPr>
        <w:t xml:space="preserve">, de un lado, </w:t>
      </w:r>
      <w:r w:rsidRPr="004F4910">
        <w:rPr>
          <w:sz w:val="22"/>
          <w:szCs w:val="22"/>
          <w:lang w:val="es-CO"/>
        </w:rPr>
        <w:t>a la relación entre «el valor total en pesos de los contratos relacionados con la actividad de la construcción inscritos por el proponente en el</w:t>
      </w:r>
      <w:r>
        <w:rPr>
          <w:sz w:val="22"/>
          <w:szCs w:val="22"/>
          <w:lang w:val="es-CO"/>
        </w:rPr>
        <w:t xml:space="preserve"> </w:t>
      </w:r>
      <w:r w:rsidRPr="004F4910">
        <w:rPr>
          <w:sz w:val="22"/>
          <w:szCs w:val="22"/>
          <w:lang w:val="es-CO"/>
        </w:rPr>
        <w:t>RUP</w:t>
      </w:r>
      <w:r>
        <w:rPr>
          <w:sz w:val="22"/>
          <w:szCs w:val="22"/>
          <w:lang w:val="es-CO"/>
        </w:rPr>
        <w:t xml:space="preserve"> </w:t>
      </w:r>
      <w:r w:rsidRPr="004F4910">
        <w:rPr>
          <w:sz w:val="22"/>
          <w:szCs w:val="22"/>
          <w:lang w:val="es-CO"/>
        </w:rPr>
        <w:t xml:space="preserve">en el segmento 72 […] del Clasificador de Bienes y Servicios», y del otro, al </w:t>
      </w:r>
      <w:r>
        <w:rPr>
          <w:sz w:val="22"/>
          <w:szCs w:val="22"/>
          <w:lang w:val="es-CO"/>
        </w:rPr>
        <w:t>«</w:t>
      </w:r>
      <w:r w:rsidRPr="004F4910">
        <w:rPr>
          <w:sz w:val="22"/>
          <w:szCs w:val="22"/>
          <w:lang w:val="es-CO"/>
        </w:rPr>
        <w:t>presupuesto oficial estimado del Proceso de Contratación</w:t>
      </w:r>
      <w:r>
        <w:rPr>
          <w:sz w:val="22"/>
          <w:szCs w:val="22"/>
          <w:lang w:val="es-CO"/>
        </w:rPr>
        <w:t>»</w:t>
      </w:r>
      <w:r w:rsidRPr="004F4910">
        <w:rPr>
          <w:sz w:val="22"/>
          <w:szCs w:val="22"/>
          <w:lang w:val="es-CO"/>
        </w:rPr>
        <w:t>. La relación indica el número de veces que el proponente ha ejecutado contratos equivalentes a la cuantía del proceso de contratación</w:t>
      </w:r>
      <w:r>
        <w:rPr>
          <w:sz w:val="22"/>
          <w:szCs w:val="22"/>
          <w:lang w:val="es-CO"/>
        </w:rPr>
        <w:t>, según se explica en esta fórmula:</w:t>
      </w:r>
    </w:p>
    <w:p w14:paraId="41D77005" w14:textId="77777777" w:rsidR="005D2494" w:rsidRPr="00344E28" w:rsidRDefault="005D2494" w:rsidP="005D2494">
      <w:pPr>
        <w:pStyle w:val="Textoindependiente"/>
        <w:tabs>
          <w:tab w:val="left" w:pos="993"/>
        </w:tabs>
        <w:spacing w:before="120" w:after="120" w:line="276" w:lineRule="auto"/>
        <w:ind w:left="709"/>
        <w:jc w:val="both"/>
        <w:rPr>
          <w:sz w:val="22"/>
          <w:szCs w:val="22"/>
          <w:lang w:val="es-CO"/>
        </w:rPr>
      </w:pPr>
    </w:p>
    <w:p w14:paraId="00F13A39" w14:textId="77777777" w:rsidR="005D2494" w:rsidRDefault="005D2494" w:rsidP="005D2494">
      <w:pPr>
        <w:pStyle w:val="Textoindependiente"/>
        <w:tabs>
          <w:tab w:val="left" w:pos="993"/>
        </w:tabs>
        <w:spacing w:before="120" w:line="276" w:lineRule="auto"/>
        <w:ind w:left="709"/>
        <w:jc w:val="both"/>
        <w:rPr>
          <w:sz w:val="22"/>
          <w:szCs w:val="22"/>
          <w:lang w:val="es-CO"/>
        </w:rPr>
      </w:pPr>
      <w:r>
        <w:rPr>
          <w:noProof/>
        </w:rPr>
        <w:drawing>
          <wp:inline distT="0" distB="0" distL="0" distR="0" wp14:anchorId="474D46A4" wp14:editId="7A9BEA53">
            <wp:extent cx="4696459" cy="615315"/>
            <wp:effectExtent l="0" t="0" r="8890" b="0"/>
            <wp:docPr id="1996789253"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r w:rsidRPr="004F4910">
        <w:rPr>
          <w:sz w:val="22"/>
          <w:szCs w:val="22"/>
          <w:lang w:val="es-CO"/>
        </w:rPr>
        <w:t xml:space="preserve"> </w:t>
      </w:r>
    </w:p>
    <w:p w14:paraId="41535E58" w14:textId="77777777" w:rsidR="005D2494" w:rsidRPr="004F4910" w:rsidRDefault="005D2494" w:rsidP="005D2494">
      <w:pPr>
        <w:pStyle w:val="Textoindependiente"/>
        <w:tabs>
          <w:tab w:val="left" w:pos="993"/>
        </w:tabs>
        <w:spacing w:before="120" w:line="276" w:lineRule="auto"/>
        <w:ind w:left="709"/>
        <w:jc w:val="both"/>
        <w:rPr>
          <w:sz w:val="22"/>
          <w:szCs w:val="22"/>
          <w:lang w:val="es-CO"/>
        </w:rPr>
      </w:pPr>
    </w:p>
    <w:p w14:paraId="3657344E" w14:textId="77777777" w:rsidR="005D2494" w:rsidRDefault="005D2494" w:rsidP="005D2494">
      <w:pPr>
        <w:pStyle w:val="Textoindependiente"/>
        <w:spacing w:after="120" w:line="276" w:lineRule="auto"/>
        <w:ind w:firstLine="709"/>
        <w:jc w:val="both"/>
        <w:rPr>
          <w:sz w:val="22"/>
          <w:szCs w:val="22"/>
          <w:lang w:val="es-CO"/>
        </w:rPr>
      </w:pPr>
      <w:r>
        <w:rPr>
          <w:sz w:val="22"/>
          <w:szCs w:val="22"/>
          <w:lang w:val="es-CO"/>
        </w:rPr>
        <w:t>En este contexto, r</w:t>
      </w:r>
      <w:r w:rsidRPr="004F4910">
        <w:rPr>
          <w:sz w:val="22"/>
          <w:szCs w:val="22"/>
          <w:lang w:val="es-CO"/>
        </w:rPr>
        <w:t xml:space="preserve">esulta </w:t>
      </w:r>
      <w:r>
        <w:rPr>
          <w:sz w:val="22"/>
          <w:szCs w:val="22"/>
          <w:lang w:val="es-CO"/>
        </w:rPr>
        <w:t>oportuno</w:t>
      </w:r>
      <w:r w:rsidRPr="004F4910">
        <w:rPr>
          <w:sz w:val="22"/>
          <w:szCs w:val="22"/>
          <w:lang w:val="es-CO"/>
        </w:rPr>
        <w:t xml:space="preserve"> precisar que</w:t>
      </w:r>
      <w:r>
        <w:rPr>
          <w:sz w:val="22"/>
          <w:szCs w:val="22"/>
          <w:lang w:val="es-CO"/>
        </w:rPr>
        <w:t>,</w:t>
      </w:r>
      <w:r w:rsidRPr="004F4910">
        <w:rPr>
          <w:sz w:val="22"/>
          <w:szCs w:val="22"/>
          <w:lang w:val="es-CO"/>
        </w:rPr>
        <w:t xml:space="preserve"> si bien es cierto</w:t>
      </w:r>
      <w:r>
        <w:rPr>
          <w:sz w:val="22"/>
          <w:szCs w:val="22"/>
          <w:lang w:val="es-CO"/>
        </w:rPr>
        <w:t xml:space="preserve"> que</w:t>
      </w:r>
      <w:r w:rsidRPr="004F4910">
        <w:rPr>
          <w:sz w:val="22"/>
          <w:szCs w:val="22"/>
          <w:lang w:val="es-CO"/>
        </w:rPr>
        <w:t xml:space="preserve"> la entidad estatal </w:t>
      </w:r>
      <w:r>
        <w:rPr>
          <w:sz w:val="22"/>
          <w:szCs w:val="22"/>
          <w:lang w:val="es-CO"/>
        </w:rPr>
        <w:t xml:space="preserve">es </w:t>
      </w:r>
      <w:r w:rsidRPr="004F4910">
        <w:rPr>
          <w:sz w:val="22"/>
          <w:szCs w:val="22"/>
          <w:lang w:val="es-CO"/>
        </w:rPr>
        <w:t>la que debe calcular la capacidad residual de los proponentes, también lo es que estos últimos, como se</w:t>
      </w:r>
      <w:r>
        <w:rPr>
          <w:sz w:val="22"/>
          <w:szCs w:val="22"/>
          <w:lang w:val="es-CO"/>
        </w:rPr>
        <w:t xml:space="preserve"> referenció</w:t>
      </w:r>
      <w:r w:rsidRPr="004F4910">
        <w:rPr>
          <w:sz w:val="22"/>
          <w:szCs w:val="22"/>
          <w:lang w:val="es-CO"/>
        </w:rPr>
        <w:t xml:space="preserve">, tienen </w:t>
      </w:r>
      <w:r>
        <w:rPr>
          <w:sz w:val="22"/>
          <w:szCs w:val="22"/>
          <w:lang w:val="es-CO"/>
        </w:rPr>
        <w:t xml:space="preserve">la </w:t>
      </w:r>
      <w:r w:rsidRPr="004F4910">
        <w:rPr>
          <w:sz w:val="22"/>
          <w:szCs w:val="22"/>
          <w:lang w:val="es-CO"/>
        </w:rPr>
        <w:t>carga</w:t>
      </w:r>
      <w:r>
        <w:rPr>
          <w:sz w:val="22"/>
          <w:szCs w:val="22"/>
          <w:lang w:val="es-CO"/>
        </w:rPr>
        <w:t xml:space="preserve"> de</w:t>
      </w:r>
      <w:r w:rsidRPr="004F4910">
        <w:rPr>
          <w:sz w:val="22"/>
          <w:szCs w:val="22"/>
          <w:lang w:val="es-CO"/>
        </w:rPr>
        <w:t xml:space="preserve"> aportar los documentos para acreditar su capacidad residual</w:t>
      </w:r>
      <w:r w:rsidRPr="004F4910">
        <w:rPr>
          <w:rStyle w:val="Refdenotaalpie"/>
          <w:sz w:val="22"/>
          <w:szCs w:val="22"/>
          <w:lang w:val="es-CO"/>
        </w:rPr>
        <w:footnoteReference w:id="3"/>
      </w:r>
      <w:r w:rsidRPr="004F4910">
        <w:rPr>
          <w:sz w:val="22"/>
          <w:szCs w:val="22"/>
          <w:lang w:val="es-CO"/>
        </w:rPr>
        <w:t xml:space="preserve">. </w:t>
      </w:r>
      <w:r>
        <w:rPr>
          <w:sz w:val="22"/>
          <w:szCs w:val="22"/>
          <w:lang w:val="es-CO"/>
        </w:rPr>
        <w:t>Lo anterior, claro está, teniendo en cuenta los criterios y las directrices de los párrafos precedentes.</w:t>
      </w:r>
    </w:p>
    <w:p w14:paraId="4A7E6D93" w14:textId="77777777" w:rsidR="005D2494" w:rsidRDefault="005D2494" w:rsidP="005D2494">
      <w:pPr>
        <w:pStyle w:val="Textoindependiente"/>
        <w:spacing w:line="276" w:lineRule="auto"/>
        <w:ind w:firstLine="709"/>
        <w:jc w:val="both"/>
        <w:rPr>
          <w:sz w:val="22"/>
          <w:szCs w:val="22"/>
          <w:lang w:val="es-CO"/>
        </w:rPr>
      </w:pPr>
      <w:r>
        <w:rPr>
          <w:sz w:val="22"/>
          <w:szCs w:val="22"/>
          <w:lang w:val="es-CO"/>
        </w:rPr>
        <w:t>Por consiguiente</w:t>
      </w:r>
      <w:r w:rsidRPr="00884B21">
        <w:rPr>
          <w:sz w:val="22"/>
          <w:szCs w:val="22"/>
          <w:lang w:val="es-CO"/>
        </w:rPr>
        <w:t xml:space="preserve">, una vez acreditado cada uno de los factores descritos y aplicada la fórmula señalada, se obtiene un resultado que determina la capacidad residual del proponente, con base en el cual se podrá establecer si </w:t>
      </w:r>
      <w:r>
        <w:rPr>
          <w:sz w:val="22"/>
          <w:szCs w:val="22"/>
          <w:lang w:val="es-CO"/>
        </w:rPr>
        <w:t xml:space="preserve">este </w:t>
      </w:r>
      <w:r w:rsidRPr="00884B21">
        <w:rPr>
          <w:sz w:val="22"/>
          <w:szCs w:val="22"/>
          <w:lang w:val="es-CO"/>
        </w:rPr>
        <w:t xml:space="preserve">cumple con la capacidad residual del proceso de contratación. </w:t>
      </w:r>
      <w:r>
        <w:rPr>
          <w:sz w:val="22"/>
          <w:szCs w:val="22"/>
          <w:lang w:val="es-CO"/>
        </w:rPr>
        <w:t>En tal caso, si</w:t>
      </w:r>
      <w:r w:rsidRPr="00884B21">
        <w:rPr>
          <w:sz w:val="22"/>
          <w:szCs w:val="22"/>
          <w:lang w:val="es-CO"/>
        </w:rPr>
        <w:t xml:space="preserve"> la capacidad residual del proponente es igual o mayor a la capacidad residual del proceso, el proponente será evaluado como «cumple» respecto de este requisito habilitante, de lo contrario la evaluación de este </w:t>
      </w:r>
      <w:r w:rsidRPr="00884B21">
        <w:rPr>
          <w:sz w:val="22"/>
          <w:szCs w:val="22"/>
          <w:lang w:val="es-CO"/>
        </w:rPr>
        <w:lastRenderedPageBreak/>
        <w:t>aspecto deberá ser «no cumple».</w:t>
      </w:r>
    </w:p>
    <w:p w14:paraId="6F3E870D" w14:textId="77777777" w:rsidR="005D2494" w:rsidRPr="004F4910" w:rsidRDefault="005D2494" w:rsidP="005D2494">
      <w:pPr>
        <w:pStyle w:val="Textoindependiente"/>
        <w:spacing w:line="276" w:lineRule="auto"/>
        <w:ind w:right="51" w:firstLine="709"/>
        <w:jc w:val="both"/>
        <w:rPr>
          <w:sz w:val="22"/>
          <w:szCs w:val="22"/>
          <w:lang w:val="es-CO"/>
        </w:rPr>
      </w:pPr>
    </w:p>
    <w:p w14:paraId="4CCFF815" w14:textId="77777777" w:rsidR="005D2494" w:rsidRDefault="005D2494" w:rsidP="005D2494">
      <w:pPr>
        <w:spacing w:line="276" w:lineRule="auto"/>
        <w:jc w:val="both"/>
        <w:rPr>
          <w:rFonts w:ascii="Arial" w:hAnsi="Arial" w:cs="Arial"/>
          <w:b/>
          <w:bCs/>
          <w:sz w:val="22"/>
          <w:szCs w:val="22"/>
        </w:rPr>
      </w:pPr>
      <w:r>
        <w:rPr>
          <w:rFonts w:ascii="Arial" w:hAnsi="Arial" w:cs="Arial"/>
          <w:b/>
          <w:bCs/>
          <w:sz w:val="22"/>
          <w:szCs w:val="22"/>
        </w:rPr>
        <w:t xml:space="preserve">2.2. Saldos pendientes provenientes de los contratos estatales en ejecución </w:t>
      </w:r>
    </w:p>
    <w:p w14:paraId="616D08EE" w14:textId="77777777" w:rsidR="005D2494" w:rsidRDefault="005D2494" w:rsidP="005D2494">
      <w:pPr>
        <w:spacing w:line="276" w:lineRule="auto"/>
        <w:jc w:val="both"/>
        <w:rPr>
          <w:rFonts w:ascii="Arial" w:hAnsi="Arial" w:cs="Arial"/>
          <w:b/>
          <w:bCs/>
          <w:sz w:val="22"/>
          <w:szCs w:val="22"/>
        </w:rPr>
      </w:pPr>
    </w:p>
    <w:p w14:paraId="2EFC815B" w14:textId="77777777" w:rsidR="005D2494" w:rsidRDefault="005D2494" w:rsidP="005D2494">
      <w:pPr>
        <w:spacing w:after="120" w:line="276" w:lineRule="auto"/>
        <w:jc w:val="both"/>
        <w:rPr>
          <w:rFonts w:ascii="Arial" w:hAnsi="Arial" w:cs="Arial"/>
          <w:sz w:val="22"/>
          <w:szCs w:val="22"/>
        </w:rPr>
      </w:pPr>
      <w:r>
        <w:rPr>
          <w:rFonts w:ascii="Arial" w:hAnsi="Arial" w:cs="Arial"/>
          <w:sz w:val="22"/>
          <w:szCs w:val="22"/>
        </w:rPr>
        <w:t xml:space="preserve">Esta Agencia </w:t>
      </w:r>
      <w:r w:rsidRPr="00FB4D30">
        <w:rPr>
          <w:rFonts w:ascii="Arial" w:hAnsi="Arial" w:cs="Arial"/>
          <w:sz w:val="22"/>
          <w:szCs w:val="22"/>
        </w:rPr>
        <w:t xml:space="preserve">ha manifestado </w:t>
      </w:r>
      <w:r>
        <w:rPr>
          <w:rFonts w:ascii="Arial" w:hAnsi="Arial" w:cs="Arial"/>
          <w:sz w:val="22"/>
          <w:szCs w:val="22"/>
        </w:rPr>
        <w:t xml:space="preserve">en anteriores oportunidades </w:t>
      </w:r>
      <w:r w:rsidRPr="00FB4D30">
        <w:rPr>
          <w:rFonts w:ascii="Arial" w:hAnsi="Arial" w:cs="Arial"/>
          <w:sz w:val="22"/>
          <w:szCs w:val="22"/>
        </w:rPr>
        <w:t xml:space="preserve">que </w:t>
      </w:r>
      <w:r>
        <w:rPr>
          <w:rFonts w:ascii="Arial" w:hAnsi="Arial" w:cs="Arial"/>
          <w:sz w:val="22"/>
          <w:szCs w:val="22"/>
        </w:rPr>
        <w:t>l</w:t>
      </w:r>
      <w:r w:rsidRPr="00FB4D30">
        <w:rPr>
          <w:rFonts w:ascii="Arial" w:hAnsi="Arial" w:cs="Arial"/>
          <w:sz w:val="22"/>
          <w:szCs w:val="22"/>
        </w:rPr>
        <w:t xml:space="preserve">os contratos en ejecución son </w:t>
      </w:r>
      <w:r>
        <w:rPr>
          <w:rFonts w:ascii="Arial" w:hAnsi="Arial" w:cs="Arial"/>
          <w:sz w:val="22"/>
          <w:szCs w:val="22"/>
        </w:rPr>
        <w:t>aquellos</w:t>
      </w:r>
      <w:r w:rsidRPr="00FB4D30">
        <w:rPr>
          <w:rFonts w:ascii="Arial" w:hAnsi="Arial" w:cs="Arial"/>
          <w:sz w:val="22"/>
          <w:szCs w:val="22"/>
        </w:rPr>
        <w:t xml:space="preserve"> qu</w:t>
      </w:r>
      <w:r>
        <w:rPr>
          <w:rFonts w:ascii="Arial" w:hAnsi="Arial" w:cs="Arial"/>
          <w:sz w:val="22"/>
          <w:szCs w:val="22"/>
        </w:rPr>
        <w:t xml:space="preserve">e, </w:t>
      </w:r>
      <w:r w:rsidRPr="00FB4D30">
        <w:rPr>
          <w:rFonts w:ascii="Arial" w:hAnsi="Arial" w:cs="Arial"/>
          <w:sz w:val="22"/>
          <w:szCs w:val="22"/>
        </w:rPr>
        <w:t>a la fecha de presentación de la oferta</w:t>
      </w:r>
      <w:r>
        <w:rPr>
          <w:rFonts w:ascii="Arial" w:hAnsi="Arial" w:cs="Arial"/>
          <w:sz w:val="22"/>
          <w:szCs w:val="22"/>
        </w:rPr>
        <w:t>,</w:t>
      </w:r>
      <w:r w:rsidRPr="00FB4D30">
        <w:rPr>
          <w:rFonts w:ascii="Arial" w:hAnsi="Arial" w:cs="Arial"/>
          <w:sz w:val="22"/>
          <w:szCs w:val="22"/>
        </w:rPr>
        <w:t xml:space="preserve"> obligan al proponente con </w:t>
      </w:r>
      <w:r>
        <w:rPr>
          <w:rFonts w:ascii="Arial" w:hAnsi="Arial" w:cs="Arial"/>
          <w:sz w:val="22"/>
          <w:szCs w:val="22"/>
        </w:rPr>
        <w:t>e</w:t>
      </w:r>
      <w:r w:rsidRPr="00FB4D30">
        <w:rPr>
          <w:rFonts w:ascii="Arial" w:hAnsi="Arial" w:cs="Arial"/>
          <w:sz w:val="22"/>
          <w:szCs w:val="22"/>
        </w:rPr>
        <w:t xml:space="preserve">ntidades </w:t>
      </w:r>
      <w:r>
        <w:rPr>
          <w:rFonts w:ascii="Arial" w:hAnsi="Arial" w:cs="Arial"/>
          <w:sz w:val="22"/>
          <w:szCs w:val="22"/>
        </w:rPr>
        <w:t>e</w:t>
      </w:r>
      <w:r w:rsidRPr="00FB4D30">
        <w:rPr>
          <w:rFonts w:ascii="Arial" w:hAnsi="Arial" w:cs="Arial"/>
          <w:sz w:val="22"/>
          <w:szCs w:val="22"/>
        </w:rPr>
        <w:t xml:space="preserve">statales y con entidades privadas para ejecutar obras </w:t>
      </w:r>
      <w:r>
        <w:rPr>
          <w:rFonts w:ascii="Arial" w:hAnsi="Arial" w:cs="Arial"/>
          <w:sz w:val="22"/>
          <w:szCs w:val="22"/>
        </w:rPr>
        <w:t>públicas</w:t>
      </w:r>
      <w:r w:rsidRPr="00FB4D30">
        <w:rPr>
          <w:rFonts w:ascii="Arial" w:hAnsi="Arial" w:cs="Arial"/>
          <w:sz w:val="22"/>
          <w:szCs w:val="22"/>
        </w:rPr>
        <w:t xml:space="preserve">, incluyendo la ejecución de obras civiles en los contratos de concesión y los contratos de obra suscritos con concesionarios, </w:t>
      </w:r>
      <w:r>
        <w:rPr>
          <w:rFonts w:ascii="Arial" w:hAnsi="Arial" w:cs="Arial"/>
          <w:sz w:val="22"/>
          <w:szCs w:val="22"/>
        </w:rPr>
        <w:t>así como también</w:t>
      </w:r>
      <w:r w:rsidRPr="00FB4D30">
        <w:rPr>
          <w:rFonts w:ascii="Arial" w:hAnsi="Arial" w:cs="Arial"/>
          <w:sz w:val="22"/>
          <w:szCs w:val="22"/>
        </w:rPr>
        <w:t xml:space="preserve"> los contratos suspendidos </w:t>
      </w:r>
      <w:r w:rsidRPr="00787648">
        <w:rPr>
          <w:rFonts w:ascii="Arial" w:hAnsi="Arial" w:cs="Arial"/>
          <w:sz w:val="22"/>
          <w:szCs w:val="22"/>
        </w:rPr>
        <w:t>y aquellos que no tengan acta de inicio</w:t>
      </w:r>
      <w:r w:rsidRPr="00FB4D30">
        <w:rPr>
          <w:rFonts w:ascii="Arial" w:hAnsi="Arial" w:cs="Arial"/>
          <w:sz w:val="22"/>
          <w:szCs w:val="22"/>
        </w:rPr>
        <w:t>.</w:t>
      </w:r>
      <w:r>
        <w:rPr>
          <w:rFonts w:ascii="Arial" w:hAnsi="Arial" w:cs="Arial"/>
          <w:sz w:val="22"/>
          <w:szCs w:val="22"/>
        </w:rPr>
        <w:t xml:space="preserve"> Es decir, los saldos pendientes se derivan de las obligaciones que se encuentran en ejecución al momento de la presentación de la oferta.</w:t>
      </w:r>
      <w:r w:rsidRPr="00FB4D30">
        <w:rPr>
          <w:rFonts w:ascii="Arial" w:hAnsi="Arial" w:cs="Arial"/>
          <w:sz w:val="22"/>
          <w:szCs w:val="22"/>
        </w:rPr>
        <w:t xml:space="preserve"> </w:t>
      </w:r>
      <w:r>
        <w:rPr>
          <w:rFonts w:ascii="Arial" w:hAnsi="Arial" w:cs="Arial"/>
          <w:sz w:val="22"/>
          <w:szCs w:val="22"/>
        </w:rPr>
        <w:t>A este respecto, n</w:t>
      </w:r>
      <w:r w:rsidRPr="00FB4D30">
        <w:rPr>
          <w:rFonts w:ascii="Arial" w:hAnsi="Arial" w:cs="Arial"/>
          <w:sz w:val="22"/>
          <w:szCs w:val="22"/>
        </w:rPr>
        <w:t>o se entenderán como contratos en ejecución los que se encuentren en liquidación</w:t>
      </w:r>
      <w:r>
        <w:rPr>
          <w:rFonts w:ascii="Arial" w:hAnsi="Arial" w:cs="Arial"/>
          <w:sz w:val="22"/>
          <w:szCs w:val="22"/>
        </w:rPr>
        <w:t xml:space="preserve">. </w:t>
      </w:r>
    </w:p>
    <w:p w14:paraId="27FB534E" w14:textId="77777777" w:rsidR="005D2494" w:rsidRPr="00FB4D30" w:rsidRDefault="005D2494" w:rsidP="005D2494">
      <w:pPr>
        <w:spacing w:line="276" w:lineRule="auto"/>
        <w:ind w:firstLine="709"/>
        <w:jc w:val="both"/>
        <w:rPr>
          <w:rFonts w:ascii="Arial" w:hAnsi="Arial" w:cs="Arial"/>
          <w:i/>
          <w:iCs/>
          <w:sz w:val="22"/>
          <w:szCs w:val="22"/>
        </w:rPr>
      </w:pPr>
      <w:r w:rsidRPr="00FB4D30">
        <w:rPr>
          <w:rFonts w:ascii="Arial" w:hAnsi="Arial" w:cs="Arial"/>
          <w:sz w:val="22"/>
          <w:szCs w:val="22"/>
        </w:rPr>
        <w:t>Teniendo en cuenta que los contratos en ejecución son aquellos que a la fecha de presentación de la oferta obligan al proponente</w:t>
      </w:r>
      <w:r>
        <w:rPr>
          <w:rFonts w:ascii="Arial" w:hAnsi="Arial" w:cs="Arial"/>
          <w:sz w:val="22"/>
          <w:szCs w:val="22"/>
        </w:rPr>
        <w:t xml:space="preserve">, </w:t>
      </w:r>
      <w:r w:rsidRPr="00FB4D30">
        <w:rPr>
          <w:rFonts w:ascii="Arial" w:hAnsi="Arial" w:cs="Arial"/>
          <w:sz w:val="22"/>
          <w:szCs w:val="22"/>
        </w:rPr>
        <w:t>se aclara que debe</w:t>
      </w:r>
      <w:r>
        <w:rPr>
          <w:rFonts w:ascii="Arial" w:hAnsi="Arial" w:cs="Arial"/>
          <w:sz w:val="22"/>
          <w:szCs w:val="22"/>
        </w:rPr>
        <w:t>n</w:t>
      </w:r>
      <w:r w:rsidRPr="00FB4D30">
        <w:rPr>
          <w:rFonts w:ascii="Arial" w:hAnsi="Arial" w:cs="Arial"/>
          <w:sz w:val="22"/>
          <w:szCs w:val="22"/>
        </w:rPr>
        <w:t xml:space="preserve"> tenerse en cuenta los contratos sin acta de inicio,</w:t>
      </w:r>
      <w:r>
        <w:rPr>
          <w:rFonts w:ascii="Arial" w:hAnsi="Arial" w:cs="Arial"/>
          <w:sz w:val="22"/>
          <w:szCs w:val="22"/>
        </w:rPr>
        <w:t xml:space="preserve"> pues</w:t>
      </w:r>
      <w:r w:rsidRPr="00FB4D30">
        <w:rPr>
          <w:rFonts w:ascii="Arial" w:hAnsi="Arial" w:cs="Arial"/>
          <w:sz w:val="22"/>
          <w:szCs w:val="22"/>
        </w:rPr>
        <w:t xml:space="preserve"> el criterio </w:t>
      </w:r>
      <w:r>
        <w:rPr>
          <w:rFonts w:ascii="Arial" w:hAnsi="Arial" w:cs="Arial"/>
          <w:sz w:val="22"/>
          <w:szCs w:val="22"/>
        </w:rPr>
        <w:t>determinante para establecer</w:t>
      </w:r>
      <w:r w:rsidRPr="00FB4D30">
        <w:rPr>
          <w:rFonts w:ascii="Arial" w:hAnsi="Arial" w:cs="Arial"/>
          <w:sz w:val="22"/>
          <w:szCs w:val="22"/>
        </w:rPr>
        <w:t xml:space="preserve"> si un contrato se encuentra en ejecución no </w:t>
      </w:r>
      <w:r>
        <w:rPr>
          <w:rFonts w:ascii="Arial" w:hAnsi="Arial" w:cs="Arial"/>
          <w:sz w:val="22"/>
          <w:szCs w:val="22"/>
        </w:rPr>
        <w:t xml:space="preserve">lo determina el acta de inicio, </w:t>
      </w:r>
      <w:r w:rsidRPr="00FB4D30">
        <w:rPr>
          <w:rFonts w:ascii="Arial" w:hAnsi="Arial" w:cs="Arial"/>
          <w:sz w:val="22"/>
          <w:szCs w:val="22"/>
        </w:rPr>
        <w:t>sino que el mismo obligue al proponent</w:t>
      </w:r>
      <w:r>
        <w:rPr>
          <w:rFonts w:ascii="Arial" w:hAnsi="Arial" w:cs="Arial"/>
          <w:sz w:val="22"/>
          <w:szCs w:val="22"/>
        </w:rPr>
        <w:t xml:space="preserve">e. </w:t>
      </w:r>
      <w:r w:rsidRPr="00FB4D30">
        <w:rPr>
          <w:rFonts w:ascii="Arial" w:hAnsi="Arial" w:cs="Arial"/>
          <w:sz w:val="20"/>
          <w:szCs w:val="20"/>
        </w:rPr>
        <w:t xml:space="preserve"> </w:t>
      </w:r>
      <w:r>
        <w:rPr>
          <w:rFonts w:ascii="Arial" w:hAnsi="Arial" w:cs="Arial"/>
          <w:sz w:val="22"/>
          <w:szCs w:val="22"/>
        </w:rPr>
        <w:t>En este sentido, l</w:t>
      </w:r>
      <w:r w:rsidRPr="00FB4D30">
        <w:rPr>
          <w:rFonts w:ascii="Arial" w:hAnsi="Arial" w:cs="Arial"/>
          <w:sz w:val="22"/>
          <w:szCs w:val="22"/>
        </w:rPr>
        <w:t>a «Guía para Determinar y Verificar la Capacidad Residual del Proponente en los Procesos de Contratación de Obra Pública</w:t>
      </w:r>
      <w:r w:rsidRPr="00FB4D30">
        <w:rPr>
          <w:rFonts w:ascii="Arial" w:hAnsi="Arial" w:cs="Arial"/>
          <w:i/>
          <w:iCs/>
          <w:sz w:val="22"/>
          <w:szCs w:val="22"/>
        </w:rPr>
        <w:t xml:space="preserve">» </w:t>
      </w:r>
      <w:r>
        <w:rPr>
          <w:rFonts w:ascii="Arial" w:hAnsi="Arial" w:cs="Arial"/>
          <w:sz w:val="22"/>
          <w:szCs w:val="22"/>
        </w:rPr>
        <w:t>define los</w:t>
      </w:r>
      <w:r w:rsidRPr="00FB4D30">
        <w:rPr>
          <w:rFonts w:ascii="Arial" w:hAnsi="Arial" w:cs="Arial"/>
          <w:sz w:val="22"/>
          <w:szCs w:val="22"/>
        </w:rPr>
        <w:t xml:space="preserve"> </w:t>
      </w:r>
      <w:r w:rsidRPr="00FB4D30">
        <w:rPr>
          <w:rFonts w:ascii="Arial" w:hAnsi="Arial" w:cs="Arial"/>
          <w:i/>
          <w:iCs/>
          <w:sz w:val="22"/>
          <w:szCs w:val="22"/>
        </w:rPr>
        <w:t xml:space="preserve">Contratos en </w:t>
      </w:r>
      <w:r>
        <w:rPr>
          <w:rFonts w:ascii="Arial" w:hAnsi="Arial" w:cs="Arial"/>
          <w:i/>
          <w:iCs/>
          <w:sz w:val="22"/>
          <w:szCs w:val="22"/>
        </w:rPr>
        <w:t>E</w:t>
      </w:r>
      <w:r w:rsidRPr="00FB4D30">
        <w:rPr>
          <w:rFonts w:ascii="Arial" w:hAnsi="Arial" w:cs="Arial"/>
          <w:i/>
          <w:iCs/>
          <w:sz w:val="22"/>
          <w:szCs w:val="22"/>
        </w:rPr>
        <w:t>jecución</w:t>
      </w:r>
      <w:r w:rsidRPr="00FB4D30">
        <w:rPr>
          <w:rFonts w:ascii="Arial" w:hAnsi="Arial" w:cs="Arial"/>
          <w:sz w:val="22"/>
          <w:szCs w:val="22"/>
        </w:rPr>
        <w:t xml:space="preserve"> </w:t>
      </w:r>
      <w:r>
        <w:rPr>
          <w:rFonts w:ascii="Arial" w:hAnsi="Arial" w:cs="Arial"/>
          <w:sz w:val="22"/>
          <w:szCs w:val="22"/>
        </w:rPr>
        <w:t xml:space="preserve">de la siguiente manera: </w:t>
      </w:r>
      <w:r w:rsidRPr="00FB4D30">
        <w:rPr>
          <w:rFonts w:ascii="Arial" w:hAnsi="Arial" w:cs="Arial"/>
          <w:i/>
          <w:iCs/>
          <w:sz w:val="22"/>
          <w:szCs w:val="22"/>
        </w:rPr>
        <w:t xml:space="preserve"> </w:t>
      </w:r>
    </w:p>
    <w:p w14:paraId="6FB7A99B" w14:textId="77777777" w:rsidR="005D2494" w:rsidRPr="00FB4D30" w:rsidRDefault="005D2494" w:rsidP="005D2494">
      <w:pPr>
        <w:ind w:left="709" w:right="709"/>
        <w:jc w:val="both"/>
        <w:rPr>
          <w:rFonts w:ascii="Arial" w:hAnsi="Arial" w:cs="Arial"/>
          <w:sz w:val="22"/>
          <w:szCs w:val="22"/>
        </w:rPr>
      </w:pPr>
    </w:p>
    <w:p w14:paraId="73F28A14" w14:textId="77777777" w:rsidR="005D2494" w:rsidRPr="00FB4D30" w:rsidRDefault="005D2494" w:rsidP="005D2494">
      <w:pPr>
        <w:ind w:left="709" w:right="709"/>
        <w:jc w:val="both"/>
        <w:rPr>
          <w:rFonts w:ascii="Arial" w:hAnsi="Arial" w:cs="Arial"/>
          <w:sz w:val="22"/>
          <w:szCs w:val="22"/>
        </w:rPr>
      </w:pPr>
      <w:r w:rsidRPr="00111872">
        <w:rPr>
          <w:rFonts w:ascii="Arial" w:hAnsi="Arial"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111872">
        <w:rPr>
          <w:rFonts w:ascii="Arial" w:hAnsi="Arial" w:cs="Arial"/>
          <w:sz w:val="21"/>
          <w:szCs w:val="21"/>
          <w:u w:val="single"/>
        </w:rPr>
        <w:t xml:space="preserve">incluyendo los contratos suspendidos y aquellos que no tengan acta de inicio. </w:t>
      </w:r>
      <w:r w:rsidRPr="00111872">
        <w:rPr>
          <w:rFonts w:ascii="Arial" w:hAnsi="Arial" w:cs="Arial"/>
          <w:sz w:val="21"/>
          <w:szCs w:val="21"/>
        </w:rPr>
        <w:t xml:space="preserve">No se entenderán como contratos en ejecución los que se encuentren en liquidación. </w:t>
      </w:r>
      <w:r>
        <w:rPr>
          <w:rFonts w:ascii="Arial" w:hAnsi="Arial" w:cs="Arial"/>
          <w:sz w:val="21"/>
          <w:szCs w:val="21"/>
        </w:rPr>
        <w:t>[</w:t>
      </w:r>
      <w:r w:rsidRPr="00111872">
        <w:rPr>
          <w:rFonts w:ascii="Arial" w:hAnsi="Arial" w:cs="Arial"/>
          <w:sz w:val="21"/>
          <w:szCs w:val="21"/>
        </w:rPr>
        <w:t>Subrayas fuera del texto</w:t>
      </w:r>
      <w:r>
        <w:rPr>
          <w:rFonts w:ascii="Arial" w:hAnsi="Arial" w:cs="Arial"/>
          <w:sz w:val="21"/>
          <w:szCs w:val="21"/>
        </w:rPr>
        <w:t xml:space="preserve"> original]</w:t>
      </w:r>
      <w:r w:rsidRPr="00FB4D30">
        <w:rPr>
          <w:rStyle w:val="Refdenotaalpie"/>
          <w:rFonts w:ascii="Arial" w:hAnsi="Arial" w:cs="Arial"/>
          <w:sz w:val="22"/>
          <w:szCs w:val="22"/>
        </w:rPr>
        <w:footnoteReference w:id="4"/>
      </w:r>
      <w:r>
        <w:rPr>
          <w:rFonts w:ascii="Arial" w:eastAsia="Calibri" w:hAnsi="Arial" w:cs="Arial"/>
          <w:color w:val="000000" w:themeColor="text1"/>
          <w:sz w:val="21"/>
          <w:szCs w:val="21"/>
          <w:lang w:val="es-ES"/>
        </w:rPr>
        <w:t>.</w:t>
      </w:r>
    </w:p>
    <w:p w14:paraId="3AA81B53" w14:textId="77777777" w:rsidR="005D2494" w:rsidRDefault="005D2494" w:rsidP="005D2494">
      <w:pPr>
        <w:spacing w:line="276" w:lineRule="auto"/>
        <w:jc w:val="both"/>
        <w:rPr>
          <w:rFonts w:ascii="Arial" w:hAnsi="Arial" w:cs="Arial"/>
          <w:b/>
          <w:bCs/>
          <w:sz w:val="22"/>
          <w:szCs w:val="22"/>
        </w:rPr>
      </w:pPr>
    </w:p>
    <w:p w14:paraId="5E2D14F2" w14:textId="77777777" w:rsidR="005D2494" w:rsidRDefault="005D2494" w:rsidP="005D2494">
      <w:pPr>
        <w:spacing w:after="120" w:line="276" w:lineRule="auto"/>
        <w:ind w:firstLine="709"/>
        <w:jc w:val="both"/>
        <w:rPr>
          <w:rFonts w:ascii="Arial" w:hAnsi="Arial" w:cs="Arial"/>
          <w:sz w:val="22"/>
          <w:szCs w:val="22"/>
        </w:rPr>
      </w:pPr>
      <w:r w:rsidRPr="004F4910">
        <w:rPr>
          <w:rFonts w:ascii="Arial" w:hAnsi="Arial" w:cs="Arial"/>
          <w:sz w:val="22"/>
          <w:szCs w:val="22"/>
        </w:rPr>
        <w:t xml:space="preserve">Como se </w:t>
      </w:r>
      <w:r>
        <w:rPr>
          <w:rFonts w:ascii="Arial" w:hAnsi="Arial" w:cs="Arial"/>
          <w:sz w:val="22"/>
          <w:szCs w:val="22"/>
        </w:rPr>
        <w:t>observa</w:t>
      </w:r>
      <w:r w:rsidRPr="004F4910">
        <w:rPr>
          <w:rFonts w:ascii="Arial" w:hAnsi="Arial" w:cs="Arial"/>
          <w:sz w:val="22"/>
          <w:szCs w:val="22"/>
        </w:rPr>
        <w:t xml:space="preserve">, los saldos pendientes por ejecutar de los contratos suspendidos </w:t>
      </w:r>
      <w:r>
        <w:rPr>
          <w:rFonts w:ascii="Arial" w:hAnsi="Arial" w:cs="Arial"/>
          <w:sz w:val="22"/>
          <w:szCs w:val="22"/>
        </w:rPr>
        <w:t xml:space="preserve">constituyen </w:t>
      </w:r>
      <w:r w:rsidRPr="004F4910">
        <w:rPr>
          <w:rFonts w:ascii="Arial" w:hAnsi="Arial" w:cs="Arial"/>
          <w:sz w:val="22"/>
          <w:szCs w:val="22"/>
        </w:rPr>
        <w:t xml:space="preserve">información que interesa para el cálculo del factor SCE </w:t>
      </w:r>
      <w:r>
        <w:rPr>
          <w:rFonts w:ascii="Arial" w:hAnsi="Arial" w:cs="Arial"/>
          <w:sz w:val="22"/>
          <w:szCs w:val="22"/>
        </w:rPr>
        <w:t>–</w:t>
      </w:r>
      <w:r w:rsidRPr="004F4910">
        <w:rPr>
          <w:rFonts w:ascii="Arial" w:hAnsi="Arial" w:cs="Arial"/>
          <w:sz w:val="22"/>
          <w:szCs w:val="22"/>
        </w:rPr>
        <w:t xml:space="preserve">Saldos </w:t>
      </w:r>
      <w:r>
        <w:rPr>
          <w:rFonts w:ascii="Arial" w:hAnsi="Arial" w:cs="Arial"/>
          <w:sz w:val="22"/>
          <w:szCs w:val="22"/>
        </w:rPr>
        <w:t>de los C</w:t>
      </w:r>
      <w:r w:rsidRPr="004F4910">
        <w:rPr>
          <w:rFonts w:ascii="Arial" w:hAnsi="Arial" w:cs="Arial"/>
          <w:sz w:val="22"/>
          <w:szCs w:val="22"/>
        </w:rPr>
        <w:t xml:space="preserve">ontratos en </w:t>
      </w:r>
      <w:r>
        <w:rPr>
          <w:rFonts w:ascii="Arial" w:hAnsi="Arial" w:cs="Arial"/>
          <w:sz w:val="22"/>
          <w:szCs w:val="22"/>
        </w:rPr>
        <w:t>E</w:t>
      </w:r>
      <w:r w:rsidRPr="004F4910">
        <w:rPr>
          <w:rFonts w:ascii="Arial" w:hAnsi="Arial" w:cs="Arial"/>
          <w:sz w:val="22"/>
          <w:szCs w:val="22"/>
        </w:rPr>
        <w:t>jecución</w:t>
      </w:r>
      <w:r>
        <w:rPr>
          <w:rFonts w:ascii="Arial" w:hAnsi="Arial" w:cs="Arial"/>
          <w:sz w:val="22"/>
          <w:szCs w:val="22"/>
        </w:rPr>
        <w:t>–</w:t>
      </w:r>
      <w:r w:rsidRPr="004F4910">
        <w:rPr>
          <w:rFonts w:ascii="Arial" w:hAnsi="Arial" w:cs="Arial"/>
          <w:sz w:val="22"/>
          <w:szCs w:val="22"/>
        </w:rPr>
        <w:t>. Al respecto debe mencionarse que</w:t>
      </w:r>
      <w:r>
        <w:rPr>
          <w:rFonts w:ascii="Arial" w:hAnsi="Arial" w:cs="Arial"/>
          <w:sz w:val="22"/>
          <w:szCs w:val="22"/>
        </w:rPr>
        <w:t>,</w:t>
      </w:r>
      <w:r w:rsidRPr="004F4910">
        <w:rPr>
          <w:rFonts w:ascii="Arial" w:hAnsi="Arial" w:cs="Arial"/>
          <w:sz w:val="22"/>
          <w:szCs w:val="22"/>
        </w:rPr>
        <w:t xml:space="preserve"> si bien la suspensión de los contratos estatales no es una institución regulada explícitamente en el Estatuto General de Contratación de la Administración Pública, los saldos de los contratos pendientes por ejecutar de los contratos afectados por una suspensión </w:t>
      </w:r>
      <w:r>
        <w:rPr>
          <w:rFonts w:ascii="Arial" w:hAnsi="Arial" w:cs="Arial"/>
          <w:sz w:val="22"/>
          <w:szCs w:val="22"/>
        </w:rPr>
        <w:t>constituyen, también,</w:t>
      </w:r>
      <w:r w:rsidRPr="004F4910">
        <w:rPr>
          <w:rFonts w:ascii="Arial" w:hAnsi="Arial" w:cs="Arial"/>
          <w:sz w:val="22"/>
          <w:szCs w:val="22"/>
        </w:rPr>
        <w:t xml:space="preserve"> información relevante para calcular la capacidad residual del proponente </w:t>
      </w:r>
      <w:r>
        <w:rPr>
          <w:rFonts w:ascii="Arial" w:hAnsi="Arial" w:cs="Arial"/>
          <w:sz w:val="22"/>
          <w:szCs w:val="22"/>
        </w:rPr>
        <w:t>–</w:t>
      </w:r>
      <w:r w:rsidRPr="004F4910">
        <w:rPr>
          <w:rFonts w:ascii="Arial" w:hAnsi="Arial" w:cs="Arial"/>
          <w:sz w:val="22"/>
          <w:szCs w:val="22"/>
        </w:rPr>
        <w:t>CRP</w:t>
      </w:r>
      <w:r>
        <w:rPr>
          <w:rFonts w:ascii="Arial" w:hAnsi="Arial" w:cs="Arial"/>
          <w:sz w:val="22"/>
          <w:szCs w:val="22"/>
        </w:rPr>
        <w:t>–</w:t>
      </w:r>
      <w:r w:rsidRPr="004F4910">
        <w:rPr>
          <w:rFonts w:ascii="Arial" w:hAnsi="Arial" w:cs="Arial"/>
          <w:sz w:val="22"/>
          <w:szCs w:val="22"/>
        </w:rPr>
        <w:t>.</w:t>
      </w:r>
    </w:p>
    <w:p w14:paraId="028960EF" w14:textId="77777777" w:rsidR="005D2494" w:rsidRPr="004F4910" w:rsidRDefault="005D2494" w:rsidP="005D2494">
      <w:pPr>
        <w:spacing w:before="120" w:line="276" w:lineRule="auto"/>
        <w:ind w:firstLine="709"/>
        <w:jc w:val="both"/>
        <w:rPr>
          <w:rFonts w:ascii="Arial" w:hAnsi="Arial" w:cs="Arial"/>
          <w:sz w:val="22"/>
          <w:szCs w:val="22"/>
        </w:rPr>
      </w:pPr>
      <w:r w:rsidRPr="00FB4D30">
        <w:rPr>
          <w:rFonts w:ascii="Arial" w:hAnsi="Arial" w:cs="Arial"/>
          <w:sz w:val="22"/>
          <w:szCs w:val="22"/>
        </w:rPr>
        <w:lastRenderedPageBreak/>
        <w:t>Para acreditar el factor SCE, como lo establece la</w:t>
      </w:r>
      <w:r>
        <w:rPr>
          <w:rFonts w:ascii="Arial" w:hAnsi="Arial" w:cs="Arial"/>
          <w:sz w:val="22"/>
          <w:szCs w:val="22"/>
        </w:rPr>
        <w:t xml:space="preserve"> </w:t>
      </w:r>
      <w:r w:rsidRPr="00FB4D30">
        <w:rPr>
          <w:rFonts w:ascii="Arial" w:hAnsi="Arial" w:cs="Arial"/>
          <w:sz w:val="22"/>
          <w:szCs w:val="22"/>
        </w:rPr>
        <w:t>«Guía para Determinar y Verificar la Capacidad Residual del Proponente en los Procesos de Contratación de Obra Públic</w:t>
      </w:r>
      <w:r w:rsidRPr="0030254A">
        <w:rPr>
          <w:rFonts w:ascii="Arial" w:hAnsi="Arial" w:cs="Arial"/>
          <w:sz w:val="22"/>
          <w:szCs w:val="22"/>
        </w:rPr>
        <w:t>a»,</w:t>
      </w:r>
      <w:r w:rsidRPr="00FB4D30">
        <w:rPr>
          <w:rFonts w:ascii="Arial" w:hAnsi="Arial" w:cs="Arial"/>
          <w:sz w:val="22"/>
          <w:szCs w:val="22"/>
        </w:rPr>
        <w:t xml:space="preserve"> el proponente debe presentar la lista de </w:t>
      </w:r>
      <w:r>
        <w:rPr>
          <w:rFonts w:ascii="Arial" w:hAnsi="Arial" w:cs="Arial"/>
          <w:sz w:val="22"/>
          <w:szCs w:val="22"/>
        </w:rPr>
        <w:t>c</w:t>
      </w:r>
      <w:r w:rsidRPr="00FB4D30">
        <w:rPr>
          <w:rFonts w:ascii="Arial" w:hAnsi="Arial" w:cs="Arial"/>
          <w:sz w:val="22"/>
          <w:szCs w:val="22"/>
        </w:rPr>
        <w:t>ontratos en ejecución, tanto a nivel nacional como internacional</w:t>
      </w:r>
      <w:r>
        <w:rPr>
          <w:rFonts w:ascii="Arial" w:hAnsi="Arial" w:cs="Arial"/>
          <w:sz w:val="22"/>
          <w:szCs w:val="22"/>
        </w:rPr>
        <w:t>,</w:t>
      </w:r>
      <w:r w:rsidRPr="00FB4D30">
        <w:rPr>
          <w:rFonts w:ascii="Arial" w:hAnsi="Arial" w:cs="Arial"/>
          <w:sz w:val="22"/>
          <w:szCs w:val="22"/>
        </w:rPr>
        <w:t xml:space="preserve"> señalando</w:t>
      </w:r>
      <w:r>
        <w:rPr>
          <w:rFonts w:ascii="Arial" w:hAnsi="Arial" w:cs="Arial"/>
          <w:sz w:val="22"/>
          <w:szCs w:val="22"/>
        </w:rPr>
        <w:t>:</w:t>
      </w:r>
      <w:r w:rsidRPr="00FB4D30">
        <w:rPr>
          <w:rFonts w:ascii="Arial" w:hAnsi="Arial" w:cs="Arial"/>
          <w:sz w:val="22"/>
          <w:szCs w:val="22"/>
        </w:rPr>
        <w:t xml:space="preserve"> i) el valor del contrato; </w:t>
      </w:r>
      <w:proofErr w:type="spellStart"/>
      <w:r w:rsidRPr="00FB4D30">
        <w:rPr>
          <w:rFonts w:ascii="Arial" w:hAnsi="Arial" w:cs="Arial"/>
          <w:sz w:val="22"/>
          <w:szCs w:val="22"/>
        </w:rPr>
        <w:t>ii</w:t>
      </w:r>
      <w:proofErr w:type="spellEnd"/>
      <w:r w:rsidRPr="00FB4D30">
        <w:rPr>
          <w:rFonts w:ascii="Arial" w:hAnsi="Arial" w:cs="Arial"/>
          <w:sz w:val="22"/>
          <w:szCs w:val="22"/>
        </w:rPr>
        <w:t xml:space="preserve">) el plazo del contrato en meses; </w:t>
      </w:r>
      <w:proofErr w:type="spellStart"/>
      <w:r w:rsidRPr="00FB4D30">
        <w:rPr>
          <w:rFonts w:ascii="Arial" w:hAnsi="Arial" w:cs="Arial"/>
          <w:sz w:val="22"/>
          <w:szCs w:val="22"/>
        </w:rPr>
        <w:t>iii</w:t>
      </w:r>
      <w:proofErr w:type="spellEnd"/>
      <w:r w:rsidRPr="00FB4D30">
        <w:rPr>
          <w:rFonts w:ascii="Arial" w:hAnsi="Arial" w:cs="Arial"/>
          <w:sz w:val="22"/>
          <w:szCs w:val="22"/>
        </w:rPr>
        <w:t xml:space="preserve">) la fecha de inicio de las obras objeto del contrato, día, mes, año; </w:t>
      </w:r>
      <w:proofErr w:type="spellStart"/>
      <w:r w:rsidRPr="00FB4D30">
        <w:rPr>
          <w:rFonts w:ascii="Arial" w:hAnsi="Arial" w:cs="Arial"/>
          <w:sz w:val="22"/>
          <w:szCs w:val="22"/>
        </w:rPr>
        <w:t>iv</w:t>
      </w:r>
      <w:proofErr w:type="spellEnd"/>
      <w:r w:rsidRPr="00FB4D30">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w:t>
      </w:r>
      <w:r>
        <w:rPr>
          <w:rFonts w:ascii="Arial" w:hAnsi="Arial" w:cs="Arial"/>
          <w:sz w:val="22"/>
          <w:szCs w:val="22"/>
        </w:rPr>
        <w:t>c</w:t>
      </w:r>
      <w:r w:rsidRPr="00FB4D30">
        <w:rPr>
          <w:rFonts w:ascii="Arial" w:hAnsi="Arial" w:cs="Arial"/>
          <w:sz w:val="22"/>
          <w:szCs w:val="22"/>
        </w:rPr>
        <w:t xml:space="preserve">ontratos en </w:t>
      </w:r>
      <w:r>
        <w:rPr>
          <w:rFonts w:ascii="Arial" w:hAnsi="Arial" w:cs="Arial"/>
          <w:sz w:val="22"/>
          <w:szCs w:val="22"/>
        </w:rPr>
        <w:t>e</w:t>
      </w:r>
      <w:r w:rsidRPr="00FB4D30">
        <w:rPr>
          <w:rFonts w:ascii="Arial" w:hAnsi="Arial" w:cs="Arial"/>
          <w:sz w:val="22"/>
          <w:szCs w:val="22"/>
        </w:rPr>
        <w:t>jecución, en el certificado debe constar expresamente esa circunstancia</w:t>
      </w:r>
      <w:r>
        <w:rPr>
          <w:rStyle w:val="Refdenotaalpie"/>
          <w:rFonts w:ascii="Arial" w:hAnsi="Arial" w:cs="Arial"/>
          <w:sz w:val="22"/>
          <w:szCs w:val="22"/>
        </w:rPr>
        <w:footnoteReference w:id="5"/>
      </w:r>
      <w:r w:rsidRPr="00FB4D30">
        <w:rPr>
          <w:rFonts w:ascii="Arial" w:hAnsi="Arial" w:cs="Arial"/>
          <w:sz w:val="22"/>
          <w:szCs w:val="22"/>
        </w:rPr>
        <w:t>.</w:t>
      </w:r>
    </w:p>
    <w:p w14:paraId="6B585C35" w14:textId="77777777" w:rsidR="005D2494" w:rsidRPr="004F4910" w:rsidRDefault="005D2494" w:rsidP="005D2494">
      <w:pPr>
        <w:spacing w:before="120" w:after="120" w:line="276" w:lineRule="auto"/>
        <w:ind w:firstLine="709"/>
        <w:jc w:val="both"/>
        <w:rPr>
          <w:rFonts w:ascii="Arial" w:hAnsi="Arial" w:cs="Arial"/>
          <w:sz w:val="22"/>
          <w:szCs w:val="22"/>
        </w:rPr>
      </w:pPr>
      <w:r w:rsidRPr="004F4910">
        <w:rPr>
          <w:rFonts w:ascii="Arial" w:hAnsi="Arial" w:cs="Arial"/>
          <w:sz w:val="22"/>
          <w:szCs w:val="22"/>
        </w:rPr>
        <w:t xml:space="preserve"> En efecto, su relevancia surge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 Conforme a esto, en virtud de la competencia otorgada a esta Agencia por el artículo 2.2.1.1.1.6.4 del Decreto 1082 de 2015 para determinar la metodología para el cálculo de la capacidad residual, en el marco de la expedición de la </w:t>
      </w:r>
      <w:r>
        <w:rPr>
          <w:rFonts w:ascii="Arial" w:hAnsi="Arial" w:cs="Arial"/>
          <w:sz w:val="22"/>
          <w:szCs w:val="22"/>
        </w:rPr>
        <w:t>G</w:t>
      </w:r>
      <w:r w:rsidRPr="004F4910">
        <w:rPr>
          <w:rFonts w:ascii="Arial" w:hAnsi="Arial" w:cs="Arial"/>
          <w:sz w:val="22"/>
          <w:szCs w:val="22"/>
        </w:rPr>
        <w:t>uía mencionada,</w:t>
      </w:r>
      <w:r>
        <w:rPr>
          <w:rFonts w:ascii="Arial" w:hAnsi="Arial" w:cs="Arial"/>
          <w:sz w:val="22"/>
          <w:szCs w:val="22"/>
        </w:rPr>
        <w:t xml:space="preserve"> se</w:t>
      </w:r>
      <w:r w:rsidRPr="004F4910">
        <w:rPr>
          <w:rFonts w:ascii="Arial" w:hAnsi="Arial" w:cs="Arial"/>
          <w:sz w:val="22"/>
          <w:szCs w:val="22"/>
        </w:rPr>
        <w:t xml:space="preserve"> incluyó el saldo pendiente por ejecutar de los contratos suspendidos dentro del factor SCE </w:t>
      </w:r>
      <w:r>
        <w:rPr>
          <w:rFonts w:ascii="Arial" w:hAnsi="Arial" w:cs="Arial"/>
          <w:sz w:val="22"/>
          <w:szCs w:val="22"/>
        </w:rPr>
        <w:t>–</w:t>
      </w:r>
      <w:r w:rsidRPr="004F4910">
        <w:rPr>
          <w:rFonts w:ascii="Arial" w:hAnsi="Arial" w:cs="Arial"/>
          <w:sz w:val="22"/>
          <w:szCs w:val="22"/>
        </w:rPr>
        <w:t xml:space="preserve">Saldos </w:t>
      </w:r>
      <w:r>
        <w:rPr>
          <w:rFonts w:ascii="Arial" w:hAnsi="Arial" w:cs="Arial"/>
          <w:sz w:val="22"/>
          <w:szCs w:val="22"/>
        </w:rPr>
        <w:t>de los Co</w:t>
      </w:r>
      <w:r w:rsidRPr="004F4910">
        <w:rPr>
          <w:rFonts w:ascii="Arial" w:hAnsi="Arial" w:cs="Arial"/>
          <w:sz w:val="22"/>
          <w:szCs w:val="22"/>
        </w:rPr>
        <w:t xml:space="preserve">ntratos en </w:t>
      </w:r>
      <w:r>
        <w:rPr>
          <w:rFonts w:ascii="Arial" w:hAnsi="Arial" w:cs="Arial"/>
          <w:sz w:val="22"/>
          <w:szCs w:val="22"/>
        </w:rPr>
        <w:t>E</w:t>
      </w:r>
      <w:r w:rsidRPr="004F4910">
        <w:rPr>
          <w:rFonts w:ascii="Arial" w:hAnsi="Arial" w:cs="Arial"/>
          <w:sz w:val="22"/>
          <w:szCs w:val="22"/>
        </w:rPr>
        <w:t>jecución</w:t>
      </w:r>
      <w:r>
        <w:rPr>
          <w:rFonts w:ascii="Arial" w:hAnsi="Arial" w:cs="Arial"/>
          <w:sz w:val="22"/>
          <w:szCs w:val="22"/>
        </w:rPr>
        <w:t>–,</w:t>
      </w:r>
      <w:r w:rsidRPr="004F4910">
        <w:rPr>
          <w:rFonts w:ascii="Arial" w:hAnsi="Arial" w:cs="Arial"/>
          <w:sz w:val="22"/>
          <w:szCs w:val="22"/>
        </w:rPr>
        <w:t xml:space="preserve"> en los términos antes precisados. </w:t>
      </w:r>
    </w:p>
    <w:p w14:paraId="37D63D9D" w14:textId="77777777" w:rsidR="005D2494" w:rsidRPr="004F4910" w:rsidRDefault="005D2494" w:rsidP="005D2494">
      <w:pPr>
        <w:spacing w:line="276" w:lineRule="auto"/>
        <w:ind w:firstLine="709"/>
        <w:jc w:val="both"/>
        <w:rPr>
          <w:rFonts w:ascii="Arial" w:hAnsi="Arial" w:cs="Arial"/>
          <w:sz w:val="22"/>
          <w:szCs w:val="22"/>
        </w:rPr>
      </w:pPr>
      <w:r w:rsidRPr="004F4910">
        <w:rPr>
          <w:rFonts w:ascii="Arial" w:hAnsi="Arial" w:cs="Arial"/>
          <w:sz w:val="22"/>
          <w:szCs w:val="22"/>
        </w:rPr>
        <w:t>Sobre la acreditación del factor</w:t>
      </w:r>
      <w:r>
        <w:rPr>
          <w:rFonts w:ascii="Arial" w:hAnsi="Arial" w:cs="Arial"/>
          <w:sz w:val="22"/>
          <w:szCs w:val="22"/>
        </w:rPr>
        <w:t xml:space="preserve"> SCE,</w:t>
      </w:r>
      <w:r w:rsidRPr="004F4910">
        <w:rPr>
          <w:rFonts w:ascii="Arial" w:hAnsi="Arial" w:cs="Arial"/>
          <w:sz w:val="22"/>
          <w:szCs w:val="22"/>
        </w:rPr>
        <w:t xml:space="preserve"> el literal E del numeral 3.1</w:t>
      </w:r>
      <w:r>
        <w:rPr>
          <w:rFonts w:ascii="Arial" w:hAnsi="Arial" w:cs="Arial"/>
          <w:sz w:val="22"/>
          <w:szCs w:val="22"/>
        </w:rPr>
        <w:t>0</w:t>
      </w:r>
      <w:r w:rsidRPr="004F4910">
        <w:rPr>
          <w:rFonts w:ascii="Arial" w:hAnsi="Arial" w:cs="Arial"/>
          <w:sz w:val="22"/>
          <w:szCs w:val="22"/>
        </w:rPr>
        <w:t>.2 del Documento Base de los documentos tipo de licitación de obra pública de infraestructura de transporte –versión 3</w:t>
      </w:r>
      <w:r>
        <w:rPr>
          <w:rFonts w:ascii="Arial" w:hAnsi="Arial" w:cs="Arial"/>
          <w:sz w:val="22"/>
          <w:szCs w:val="22"/>
        </w:rPr>
        <w:t>–</w:t>
      </w:r>
      <w:r w:rsidRPr="004F4910">
        <w:rPr>
          <w:rFonts w:ascii="Arial" w:hAnsi="Arial" w:cs="Arial"/>
          <w:sz w:val="22"/>
          <w:szCs w:val="22"/>
        </w:rPr>
        <w:t>, señala lo siguiente:</w:t>
      </w:r>
    </w:p>
    <w:p w14:paraId="31069138" w14:textId="77777777" w:rsidR="005D2494" w:rsidRPr="004F4910" w:rsidRDefault="005D2494" w:rsidP="005D2494">
      <w:pPr>
        <w:ind w:firstLine="709"/>
        <w:jc w:val="both"/>
        <w:rPr>
          <w:rFonts w:ascii="Arial" w:hAnsi="Arial" w:cs="Arial"/>
          <w:sz w:val="22"/>
          <w:szCs w:val="22"/>
        </w:rPr>
      </w:pPr>
    </w:p>
    <w:p w14:paraId="63FDDB5F" w14:textId="77777777" w:rsidR="005D2494" w:rsidRPr="00725D11" w:rsidRDefault="005D2494" w:rsidP="005D2494">
      <w:pPr>
        <w:ind w:left="709" w:right="709"/>
        <w:jc w:val="both"/>
        <w:rPr>
          <w:rFonts w:ascii="Arial" w:eastAsia="Arial," w:hAnsi="Arial" w:cs="Arial"/>
          <w:sz w:val="21"/>
          <w:szCs w:val="21"/>
        </w:rPr>
      </w:pPr>
      <w:r w:rsidRPr="00725D11">
        <w:rPr>
          <w:rFonts w:ascii="Arial" w:hAnsi="Arial" w:cs="Arial"/>
          <w:sz w:val="21"/>
          <w:szCs w:val="21"/>
        </w:rPr>
        <w:t>Para</w:t>
      </w:r>
      <w:r w:rsidRPr="00725D11">
        <w:rPr>
          <w:rFonts w:ascii="Arial" w:eastAsia="Arial," w:hAnsi="Arial" w:cs="Arial"/>
          <w:sz w:val="21"/>
          <w:szCs w:val="21"/>
        </w:rPr>
        <w:t xml:space="preserve"> </w:t>
      </w:r>
      <w:r w:rsidRPr="00725D11">
        <w:rPr>
          <w:rFonts w:ascii="Arial" w:hAnsi="Arial" w:cs="Arial"/>
          <w:sz w:val="21"/>
          <w:szCs w:val="21"/>
        </w:rPr>
        <w:t>acreditar</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factor</w:t>
      </w:r>
      <w:r w:rsidRPr="00725D11">
        <w:rPr>
          <w:rFonts w:ascii="Arial" w:eastAsia="Arial," w:hAnsi="Arial" w:cs="Arial"/>
          <w:sz w:val="21"/>
          <w:szCs w:val="21"/>
        </w:rPr>
        <w:t xml:space="preserve"> </w:t>
      </w:r>
      <w:r w:rsidRPr="00725D11">
        <w:rPr>
          <w:rFonts w:ascii="Arial" w:hAnsi="Arial" w:cs="Arial"/>
          <w:sz w:val="21"/>
          <w:szCs w:val="21"/>
        </w:rPr>
        <w:t>(SCE)</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Proponente</w:t>
      </w:r>
      <w:r w:rsidRPr="00725D11">
        <w:rPr>
          <w:rFonts w:ascii="Arial" w:eastAsia="Arial," w:hAnsi="Arial" w:cs="Arial"/>
          <w:sz w:val="21"/>
          <w:szCs w:val="21"/>
        </w:rPr>
        <w:t xml:space="preserve"> </w:t>
      </w:r>
      <w:r w:rsidRPr="00725D11">
        <w:rPr>
          <w:rFonts w:ascii="Arial" w:hAnsi="Arial" w:cs="Arial"/>
          <w:sz w:val="21"/>
          <w:szCs w:val="21"/>
        </w:rPr>
        <w:t>tendrá</w:t>
      </w:r>
      <w:r w:rsidRPr="00725D11">
        <w:rPr>
          <w:rFonts w:ascii="Arial" w:eastAsia="Arial," w:hAnsi="Arial" w:cs="Arial"/>
          <w:sz w:val="21"/>
          <w:szCs w:val="21"/>
        </w:rPr>
        <w:t xml:space="preserve"> </w:t>
      </w:r>
      <w:r w:rsidRPr="00725D11">
        <w:rPr>
          <w:rFonts w:ascii="Arial" w:hAnsi="Arial" w:cs="Arial"/>
          <w:sz w:val="21"/>
          <w:szCs w:val="21"/>
        </w:rPr>
        <w:t>en</w:t>
      </w:r>
      <w:r w:rsidRPr="00725D11">
        <w:rPr>
          <w:rFonts w:ascii="Arial" w:eastAsia="Arial," w:hAnsi="Arial" w:cs="Arial"/>
          <w:sz w:val="21"/>
          <w:szCs w:val="21"/>
        </w:rPr>
        <w:t xml:space="preserve"> </w:t>
      </w:r>
      <w:r w:rsidRPr="00725D11">
        <w:rPr>
          <w:rFonts w:ascii="Arial" w:hAnsi="Arial" w:cs="Arial"/>
          <w:sz w:val="21"/>
          <w:szCs w:val="21"/>
        </w:rPr>
        <w:t>cuenta</w:t>
      </w:r>
      <w:r w:rsidRPr="00725D11">
        <w:rPr>
          <w:rFonts w:ascii="Arial" w:eastAsia="Arial," w:hAnsi="Arial" w:cs="Arial"/>
          <w:sz w:val="21"/>
          <w:szCs w:val="21"/>
        </w:rPr>
        <w:t xml:space="preserve"> </w:t>
      </w:r>
      <w:r w:rsidRPr="00725D11">
        <w:rPr>
          <w:rFonts w:ascii="Arial" w:hAnsi="Arial" w:cs="Arial"/>
          <w:sz w:val="21"/>
          <w:szCs w:val="21"/>
        </w:rPr>
        <w:t>lo</w:t>
      </w:r>
      <w:r w:rsidRPr="00725D11">
        <w:rPr>
          <w:rFonts w:ascii="Arial" w:eastAsia="Arial," w:hAnsi="Arial" w:cs="Arial"/>
          <w:sz w:val="21"/>
          <w:szCs w:val="21"/>
        </w:rPr>
        <w:t xml:space="preserve"> </w:t>
      </w:r>
      <w:r w:rsidRPr="00725D11">
        <w:rPr>
          <w:rFonts w:ascii="Arial" w:hAnsi="Arial" w:cs="Arial"/>
          <w:sz w:val="21"/>
          <w:szCs w:val="21"/>
        </w:rPr>
        <w:t>siguiente:</w:t>
      </w:r>
      <w:r w:rsidRPr="00725D11">
        <w:rPr>
          <w:rFonts w:ascii="Arial" w:eastAsia="Arial," w:hAnsi="Arial" w:cs="Arial"/>
          <w:sz w:val="21"/>
          <w:szCs w:val="21"/>
        </w:rPr>
        <w:t xml:space="preserve"> </w:t>
      </w:r>
    </w:p>
    <w:p w14:paraId="1CD5B709" w14:textId="77777777" w:rsidR="005D2494" w:rsidRDefault="005D2494" w:rsidP="005D2494">
      <w:pPr>
        <w:ind w:right="709" w:firstLine="709"/>
        <w:jc w:val="both"/>
        <w:rPr>
          <w:rFonts w:ascii="Arial" w:eastAsia="Arial," w:hAnsi="Arial" w:cs="Arial"/>
          <w:sz w:val="21"/>
          <w:szCs w:val="21"/>
        </w:rPr>
      </w:pPr>
    </w:p>
    <w:p w14:paraId="4DDBA0D9" w14:textId="77777777" w:rsidR="005D2494" w:rsidRPr="00725D11" w:rsidRDefault="005D2494" w:rsidP="005D2494">
      <w:pPr>
        <w:ind w:right="709" w:firstLine="709"/>
        <w:jc w:val="both"/>
        <w:rPr>
          <w:rFonts w:ascii="Arial" w:eastAsia="Arial," w:hAnsi="Arial" w:cs="Arial"/>
          <w:sz w:val="21"/>
          <w:szCs w:val="21"/>
        </w:rPr>
      </w:pPr>
      <w:r w:rsidRPr="00725D11">
        <w:rPr>
          <w:rFonts w:ascii="Arial" w:eastAsia="Arial," w:hAnsi="Arial" w:cs="Arial"/>
          <w:sz w:val="21"/>
          <w:szCs w:val="21"/>
        </w:rPr>
        <w:t>[…]</w:t>
      </w:r>
    </w:p>
    <w:p w14:paraId="7DB670BB" w14:textId="77777777" w:rsidR="005D2494" w:rsidRDefault="005D2494" w:rsidP="005D2494">
      <w:pPr>
        <w:pStyle w:val="Prrafodelista"/>
        <w:ind w:left="709" w:right="709"/>
        <w:contextualSpacing w:val="0"/>
        <w:jc w:val="both"/>
        <w:rPr>
          <w:rFonts w:ascii="Arial" w:eastAsia="Arial" w:hAnsi="Arial" w:cs="Arial"/>
          <w:sz w:val="21"/>
          <w:szCs w:val="21"/>
          <w:u w:val="single"/>
        </w:rPr>
      </w:pPr>
    </w:p>
    <w:p w14:paraId="5B0FB636" w14:textId="77777777" w:rsidR="005D2494" w:rsidRPr="0022529B" w:rsidRDefault="005D2494" w:rsidP="005D2494">
      <w:pPr>
        <w:pStyle w:val="Prrafodelista"/>
        <w:spacing w:after="120"/>
        <w:ind w:left="709" w:right="709"/>
        <w:contextualSpacing w:val="0"/>
        <w:jc w:val="both"/>
        <w:rPr>
          <w:rFonts w:ascii="Arial" w:eastAsia="Arial" w:hAnsi="Arial" w:cs="Arial"/>
          <w:i/>
          <w:iCs/>
          <w:sz w:val="21"/>
          <w:szCs w:val="21"/>
        </w:rPr>
      </w:pPr>
      <w:r w:rsidRPr="0022529B">
        <w:rPr>
          <w:rFonts w:ascii="Arial" w:eastAsia="Arial" w:hAnsi="Arial" w:cs="Arial"/>
          <w:i/>
          <w:iCs/>
          <w:sz w:val="21"/>
          <w:szCs w:val="21"/>
          <w:u w:val="single"/>
        </w:rPr>
        <w:t>IV. Si</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un</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contrato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se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encuentra</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suspendido,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el</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cálculo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del</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(SCE)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dicho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contrato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debe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efectuarse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asumiendo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que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lo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que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falta</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por</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ejecutar</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iniciara</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en</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la</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fecha de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presentación</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la</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oferta</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del</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Proceso de Contratación.</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Si</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el</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contrato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está</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suspendido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el</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proponente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debe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informar</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el</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saldo</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pendiente</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por</w:t>
      </w:r>
      <w:r w:rsidRPr="0022529B">
        <w:rPr>
          <w:rFonts w:ascii="Arial" w:eastAsia="Arial," w:hAnsi="Arial" w:cs="Arial"/>
          <w:i/>
          <w:iCs/>
          <w:sz w:val="21"/>
          <w:szCs w:val="21"/>
          <w:u w:val="single"/>
        </w:rPr>
        <w:t xml:space="preserve"> </w:t>
      </w:r>
      <w:r w:rsidRPr="0022529B">
        <w:rPr>
          <w:rFonts w:ascii="Arial" w:eastAsia="Arial" w:hAnsi="Arial" w:cs="Arial"/>
          <w:i/>
          <w:iCs/>
          <w:sz w:val="21"/>
          <w:szCs w:val="21"/>
          <w:u w:val="single"/>
        </w:rPr>
        <w:t>ejecutar</w:t>
      </w:r>
      <w:r w:rsidRPr="0022529B">
        <w:rPr>
          <w:rFonts w:ascii="Arial" w:eastAsia="Arial" w:hAnsi="Arial" w:cs="Arial"/>
          <w:i/>
          <w:iCs/>
          <w:sz w:val="21"/>
          <w:szCs w:val="21"/>
        </w:rPr>
        <w:t xml:space="preserve">. </w:t>
      </w:r>
    </w:p>
    <w:p w14:paraId="04CE0E43" w14:textId="77777777" w:rsidR="005D2494" w:rsidRPr="00C66658" w:rsidRDefault="005D2494" w:rsidP="005D2494">
      <w:pPr>
        <w:pStyle w:val="Prrafodelista"/>
        <w:ind w:left="709" w:right="709"/>
        <w:contextualSpacing w:val="0"/>
        <w:jc w:val="both"/>
        <w:rPr>
          <w:rFonts w:ascii="Arial" w:eastAsia="Arial," w:hAnsi="Arial" w:cs="Arial"/>
          <w:sz w:val="21"/>
          <w:szCs w:val="21"/>
        </w:rPr>
      </w:pPr>
    </w:p>
    <w:p w14:paraId="7005CF3E" w14:textId="77777777" w:rsidR="005D2494" w:rsidRPr="0022529B" w:rsidRDefault="005D2494" w:rsidP="005D2494">
      <w:pPr>
        <w:pStyle w:val="Prrafodelista"/>
        <w:ind w:left="709" w:right="709"/>
        <w:jc w:val="both"/>
        <w:rPr>
          <w:rFonts w:ascii="Arial" w:hAnsi="Arial" w:cs="Arial"/>
          <w:sz w:val="22"/>
        </w:rPr>
      </w:pPr>
      <w:r w:rsidRPr="0022529B">
        <w:rPr>
          <w:rFonts w:ascii="Arial" w:hAnsi="Arial" w:cs="Arial"/>
          <w:i/>
          <w:iCs/>
          <w:sz w:val="21"/>
          <w:szCs w:val="21"/>
          <w:u w:val="single"/>
        </w:rPr>
        <w:lastRenderedPageBreak/>
        <w:t xml:space="preserve">V. El </w:t>
      </w:r>
      <w:r w:rsidRPr="00F362BF">
        <w:rPr>
          <w:rFonts w:ascii="Arial" w:hAnsi="Arial" w:cs="Arial"/>
          <w:i/>
          <w:iCs/>
          <w:sz w:val="21"/>
          <w:szCs w:val="21"/>
          <w:u w:val="single"/>
        </w:rPr>
        <w:t>cálculo</w:t>
      </w:r>
      <w:r w:rsidRPr="0022529B">
        <w:rPr>
          <w:rFonts w:ascii="Arial" w:hAnsi="Arial" w:cs="Arial"/>
          <w:i/>
          <w:iCs/>
          <w:sz w:val="21"/>
          <w:szCs w:val="21"/>
          <w:u w:val="single"/>
        </w:rPr>
        <w:t xml:space="preserve"> del factor (SCE) debe hacerse linealmente calculando una </w:t>
      </w:r>
      <w:r w:rsidRPr="00F362BF">
        <w:rPr>
          <w:rFonts w:ascii="Arial" w:hAnsi="Arial" w:cs="Arial"/>
          <w:i/>
          <w:iCs/>
          <w:sz w:val="21"/>
          <w:szCs w:val="21"/>
          <w:u w:val="single"/>
        </w:rPr>
        <w:t>ejecución</w:t>
      </w:r>
      <w:r w:rsidRPr="0022529B">
        <w:rPr>
          <w:rFonts w:ascii="Arial" w:hAnsi="Arial" w:cs="Arial"/>
          <w:i/>
          <w:iCs/>
          <w:sz w:val="21"/>
          <w:szCs w:val="21"/>
          <w:u w:val="single"/>
        </w:rPr>
        <w:t xml:space="preserve"> diaria equivalente al valor del contrato dividido por el plazo del contrato expresado en </w:t>
      </w:r>
      <w:r w:rsidRPr="00F362BF">
        <w:rPr>
          <w:rFonts w:ascii="Arial" w:hAnsi="Arial" w:cs="Arial"/>
          <w:i/>
          <w:iCs/>
          <w:sz w:val="21"/>
          <w:szCs w:val="21"/>
          <w:u w:val="single"/>
        </w:rPr>
        <w:t>días</w:t>
      </w:r>
      <w:r w:rsidRPr="0022529B">
        <w:rPr>
          <w:rFonts w:ascii="Arial" w:hAnsi="Arial" w:cs="Arial"/>
          <w:i/>
          <w:iCs/>
          <w:sz w:val="21"/>
          <w:szCs w:val="21"/>
        </w:rPr>
        <w:t xml:space="preserve">. </w:t>
      </w:r>
      <w:r w:rsidRPr="0022529B">
        <w:rPr>
          <w:rFonts w:ascii="Arial" w:hAnsi="Arial" w:cs="Arial"/>
          <w:i/>
          <w:iCs/>
          <w:sz w:val="21"/>
          <w:szCs w:val="21"/>
          <w:u w:val="single"/>
        </w:rPr>
        <w:t xml:space="preserve">Este resultado se multiplica por el </w:t>
      </w:r>
      <w:r w:rsidRPr="00F362BF">
        <w:rPr>
          <w:rFonts w:ascii="Arial" w:hAnsi="Arial" w:cs="Arial"/>
          <w:i/>
          <w:iCs/>
          <w:sz w:val="21"/>
          <w:szCs w:val="21"/>
          <w:u w:val="single"/>
        </w:rPr>
        <w:t>número</w:t>
      </w:r>
      <w:r w:rsidRPr="0022529B">
        <w:rPr>
          <w:rFonts w:ascii="Arial" w:hAnsi="Arial" w:cs="Arial"/>
          <w:i/>
          <w:iCs/>
          <w:sz w:val="21"/>
          <w:szCs w:val="21"/>
          <w:u w:val="single"/>
        </w:rPr>
        <w:t xml:space="preserve"> de </w:t>
      </w:r>
      <w:r w:rsidRPr="00F362BF">
        <w:rPr>
          <w:rFonts w:ascii="Arial" w:hAnsi="Arial" w:cs="Arial"/>
          <w:i/>
          <w:iCs/>
          <w:sz w:val="21"/>
          <w:szCs w:val="21"/>
          <w:u w:val="single"/>
        </w:rPr>
        <w:t>días</w:t>
      </w:r>
      <w:r w:rsidRPr="0022529B">
        <w:rPr>
          <w:rFonts w:ascii="Arial" w:hAnsi="Arial" w:cs="Arial"/>
          <w:i/>
          <w:iCs/>
          <w:sz w:val="21"/>
          <w:szCs w:val="21"/>
          <w:u w:val="single"/>
        </w:rPr>
        <w:t xml:space="preserve"> pendientes para cumplir el plazo del contrato</w:t>
      </w:r>
      <w:r w:rsidRPr="00725D11">
        <w:rPr>
          <w:rFonts w:ascii="Arial" w:hAnsi="Arial" w:cs="Arial"/>
          <w:sz w:val="21"/>
          <w:szCs w:val="21"/>
        </w:rPr>
        <w:t xml:space="preserve"> y si el contrato es ejecutado por una estructura plural por la participación del proponente en la respectiva estructura</w:t>
      </w:r>
      <w:r>
        <w:rPr>
          <w:rFonts w:ascii="Arial" w:hAnsi="Arial" w:cs="Arial"/>
          <w:sz w:val="21"/>
          <w:szCs w:val="21"/>
        </w:rPr>
        <w:t>.</w:t>
      </w:r>
      <w:r w:rsidRPr="0022529B">
        <w:rPr>
          <w:rFonts w:ascii="Arial" w:hAnsi="Arial" w:cs="Arial"/>
          <w:sz w:val="21"/>
          <w:szCs w:val="21"/>
        </w:rPr>
        <w:t xml:space="preserve"> [Énfasis fuera de texto] </w:t>
      </w:r>
    </w:p>
    <w:p w14:paraId="29EC727D" w14:textId="77777777" w:rsidR="005D2494" w:rsidRPr="004F4910" w:rsidRDefault="005D2494" w:rsidP="005D2494">
      <w:pPr>
        <w:ind w:right="709"/>
        <w:jc w:val="both"/>
        <w:rPr>
          <w:rFonts w:ascii="Arial" w:eastAsia="Arial," w:hAnsi="Arial" w:cs="Arial"/>
          <w:sz w:val="22"/>
        </w:rPr>
      </w:pPr>
    </w:p>
    <w:p w14:paraId="6EF0EDB7" w14:textId="77777777" w:rsidR="005D2494" w:rsidRDefault="005D2494" w:rsidP="005D2494">
      <w:pPr>
        <w:spacing w:after="120" w:line="276" w:lineRule="auto"/>
        <w:ind w:firstLine="709"/>
        <w:jc w:val="both"/>
        <w:rPr>
          <w:rFonts w:ascii="Arial" w:hAnsi="Arial" w:cs="Arial"/>
          <w:sz w:val="22"/>
          <w:szCs w:val="22"/>
        </w:rPr>
      </w:pPr>
      <w:r w:rsidRPr="00A03FAB">
        <w:rPr>
          <w:rFonts w:ascii="Arial" w:eastAsia="Arial," w:hAnsi="Arial" w:cs="Arial"/>
          <w:sz w:val="22"/>
          <w:szCs w:val="22"/>
        </w:rPr>
        <w:t xml:space="preserve">Como se aprecia, los apartados transcritos del Documento Base son </w:t>
      </w:r>
      <w:r>
        <w:rPr>
          <w:rFonts w:ascii="Arial" w:eastAsia="Arial," w:hAnsi="Arial" w:cs="Arial"/>
          <w:sz w:val="22"/>
          <w:szCs w:val="22"/>
        </w:rPr>
        <w:t>armónicos</w:t>
      </w:r>
      <w:r w:rsidRPr="00A03FAB">
        <w:rPr>
          <w:rFonts w:ascii="Arial" w:eastAsia="Arial," w:hAnsi="Arial" w:cs="Arial"/>
          <w:sz w:val="22"/>
          <w:szCs w:val="22"/>
        </w:rPr>
        <w:t xml:space="preserve"> con lo dispuesto en </w:t>
      </w:r>
      <w:bookmarkStart w:id="3" w:name="_Hlk86071374"/>
      <w:r w:rsidRPr="00A03FAB">
        <w:rPr>
          <w:rFonts w:ascii="Arial" w:eastAsia="Arial," w:hAnsi="Arial" w:cs="Arial"/>
          <w:sz w:val="22"/>
          <w:szCs w:val="22"/>
        </w:rPr>
        <w:t xml:space="preserve">la </w:t>
      </w:r>
      <w:r w:rsidRPr="00A03FAB">
        <w:rPr>
          <w:rFonts w:ascii="Arial" w:hAnsi="Arial" w:cs="Arial"/>
          <w:sz w:val="22"/>
          <w:szCs w:val="22"/>
        </w:rPr>
        <w:t>«Guía para Determinar y Verificar la Capacidad Residual del Proponente en los Procesos de Contratación de Obra Pública»</w:t>
      </w:r>
      <w:bookmarkEnd w:id="3"/>
      <w:r>
        <w:rPr>
          <w:rFonts w:ascii="Arial" w:hAnsi="Arial" w:cs="Arial"/>
          <w:sz w:val="22"/>
          <w:szCs w:val="22"/>
        </w:rPr>
        <w:t xml:space="preserve">, en el sentido de </w:t>
      </w:r>
      <w:r w:rsidRPr="00A03FAB">
        <w:rPr>
          <w:rFonts w:ascii="Arial" w:hAnsi="Arial" w:cs="Arial"/>
          <w:sz w:val="22"/>
          <w:szCs w:val="22"/>
        </w:rPr>
        <w:t xml:space="preserve">involucrar los contratos suspendidos en el factor SCE. </w:t>
      </w:r>
      <w:r w:rsidRPr="004F4910">
        <w:rPr>
          <w:rFonts w:ascii="Arial" w:hAnsi="Arial" w:cs="Arial"/>
          <w:sz w:val="22"/>
          <w:szCs w:val="22"/>
        </w:rPr>
        <w:t>Las consideraciones tendientes a tener la fecha de presentación de la oferta como fecha hipotética de reanudación de los contratos suspendidos y a informar como valor el saldo pendiente por ejecutar, son una reproducción de lo di</w:t>
      </w:r>
      <w:r>
        <w:rPr>
          <w:rFonts w:ascii="Arial" w:hAnsi="Arial" w:cs="Arial"/>
          <w:sz w:val="22"/>
          <w:szCs w:val="22"/>
        </w:rPr>
        <w:t>s</w:t>
      </w:r>
      <w:r w:rsidRPr="004F4910">
        <w:rPr>
          <w:rFonts w:ascii="Arial" w:hAnsi="Arial" w:cs="Arial"/>
          <w:sz w:val="22"/>
          <w:szCs w:val="22"/>
        </w:rPr>
        <w:t xml:space="preserve">puesto por esta Agencia en la mencionada </w:t>
      </w:r>
      <w:r>
        <w:rPr>
          <w:rFonts w:ascii="Arial" w:hAnsi="Arial" w:cs="Arial"/>
          <w:sz w:val="22"/>
          <w:szCs w:val="22"/>
        </w:rPr>
        <w:t>G</w:t>
      </w:r>
      <w:r w:rsidRPr="004F4910">
        <w:rPr>
          <w:rFonts w:ascii="Arial" w:hAnsi="Arial" w:cs="Arial"/>
          <w:sz w:val="22"/>
          <w:szCs w:val="22"/>
        </w:rPr>
        <w:t>uía</w:t>
      </w:r>
      <w:r w:rsidRPr="004F4910">
        <w:rPr>
          <w:rStyle w:val="Refdenotaalpie"/>
          <w:rFonts w:ascii="Arial" w:hAnsi="Arial" w:cs="Arial"/>
          <w:sz w:val="22"/>
          <w:szCs w:val="22"/>
        </w:rPr>
        <w:footnoteReference w:id="6"/>
      </w:r>
      <w:r w:rsidRPr="004F4910">
        <w:rPr>
          <w:rFonts w:ascii="Arial" w:hAnsi="Arial" w:cs="Arial"/>
          <w:sz w:val="22"/>
          <w:szCs w:val="22"/>
        </w:rPr>
        <w:t>.</w:t>
      </w:r>
      <w:r w:rsidRPr="00A03FAB">
        <w:rPr>
          <w:rFonts w:ascii="Arial" w:hAnsi="Arial" w:cs="Arial"/>
          <w:sz w:val="22"/>
          <w:szCs w:val="22"/>
        </w:rPr>
        <w:t xml:space="preserve"> </w:t>
      </w:r>
    </w:p>
    <w:p w14:paraId="2BDC6A30" w14:textId="77777777" w:rsidR="005D2494" w:rsidRDefault="005D2494" w:rsidP="005D2494">
      <w:pPr>
        <w:spacing w:after="120" w:line="276" w:lineRule="auto"/>
        <w:ind w:firstLine="709"/>
        <w:jc w:val="both"/>
        <w:rPr>
          <w:rFonts w:ascii="Arial" w:hAnsi="Arial" w:cs="Arial"/>
          <w:sz w:val="22"/>
          <w:szCs w:val="22"/>
        </w:rPr>
      </w:pPr>
      <w:r>
        <w:rPr>
          <w:rFonts w:ascii="Arial" w:hAnsi="Arial" w:cs="Arial"/>
          <w:sz w:val="22"/>
          <w:szCs w:val="22"/>
        </w:rPr>
        <w:t xml:space="preserve">Ahora, en relación con lo planteado en su consulta debe aclararse que, ni la guía ni el documento base, establece que el factor SCE de los contratos suspendidos deba calcularse con un valor diferente al del contrato. En ese sentido, así el contrato se encuentre suspendido, el valor que debe usarse para calcular su SCE es el valor por el que se celebró del mismo, independientemente de que antes de su suspensión se hubiera ejecutado una parte del objeto contractual o cantidades de obra imputables a dicho valor.  </w:t>
      </w:r>
    </w:p>
    <w:p w14:paraId="41E26BB5" w14:textId="77777777" w:rsidR="005D2494" w:rsidRDefault="005D2494" w:rsidP="005D2494">
      <w:pPr>
        <w:spacing w:after="120" w:line="276" w:lineRule="auto"/>
        <w:ind w:firstLine="709"/>
        <w:jc w:val="both"/>
        <w:rPr>
          <w:rFonts w:ascii="Arial" w:hAnsi="Arial" w:cs="Arial"/>
          <w:sz w:val="22"/>
          <w:szCs w:val="22"/>
        </w:rPr>
      </w:pPr>
      <w:r>
        <w:rPr>
          <w:rFonts w:ascii="Arial" w:hAnsi="Arial" w:cs="Arial"/>
          <w:sz w:val="22"/>
          <w:szCs w:val="22"/>
        </w:rPr>
        <w:t>En consecuencia, de acuerdo con la precitada Guía y de conformidad con el Documento Base de los documentos tipo de licitación de obra pública de infraestructura de transporte –versión 3–, e</w:t>
      </w:r>
      <w:r w:rsidRPr="008606C4">
        <w:rPr>
          <w:rFonts w:ascii="Arial" w:hAnsi="Arial" w:cs="Arial"/>
          <w:sz w:val="22"/>
          <w:szCs w:val="22"/>
        </w:rPr>
        <w:t>l c</w:t>
      </w:r>
      <w:r>
        <w:rPr>
          <w:rFonts w:ascii="Arial" w:hAnsi="Arial" w:cs="Arial"/>
          <w:sz w:val="22"/>
          <w:szCs w:val="22"/>
        </w:rPr>
        <w:t>á</w:t>
      </w:r>
      <w:r w:rsidRPr="008606C4">
        <w:rPr>
          <w:rFonts w:ascii="Arial" w:hAnsi="Arial" w:cs="Arial"/>
          <w:sz w:val="22"/>
          <w:szCs w:val="22"/>
        </w:rPr>
        <w:t>lculo del SCE debe hacerse linealmente, calculando una ejecución diaria equivalente al valor del contrato dividido por el plazo del contrato expresado en días. Este resultado se multiplica por el n</w:t>
      </w:r>
      <w:r>
        <w:rPr>
          <w:rFonts w:ascii="Arial" w:hAnsi="Arial" w:cs="Arial"/>
          <w:sz w:val="22"/>
          <w:szCs w:val="22"/>
        </w:rPr>
        <w:t>ú</w:t>
      </w:r>
      <w:r w:rsidRPr="008606C4">
        <w:rPr>
          <w:rFonts w:ascii="Arial" w:hAnsi="Arial" w:cs="Arial"/>
          <w:sz w:val="22"/>
          <w:szCs w:val="22"/>
        </w:rPr>
        <w:t>mero de días pendientes para cumplir el plazo del contrato, y si el contrato es ejecutado por una estructura plural, se multiplica por la participación del proponente en el respectivo contratista. Ahora bien, en caso de que el número de días por ejecutar en un contrato sea superior a 12 meses, es decir 360 días, el SCE solo tendr</w:t>
      </w:r>
      <w:r>
        <w:rPr>
          <w:rFonts w:ascii="Arial" w:hAnsi="Arial" w:cs="Arial"/>
          <w:sz w:val="22"/>
          <w:szCs w:val="22"/>
        </w:rPr>
        <w:t>á</w:t>
      </w:r>
      <w:r w:rsidRPr="008606C4">
        <w:rPr>
          <w:rFonts w:ascii="Arial" w:hAnsi="Arial" w:cs="Arial"/>
          <w:sz w:val="22"/>
          <w:szCs w:val="22"/>
        </w:rPr>
        <w:t xml:space="preserve"> en cuenta la proporción lineal de 12 meses.</w:t>
      </w:r>
    </w:p>
    <w:p w14:paraId="264AE868" w14:textId="77777777" w:rsidR="005D2494" w:rsidRDefault="005D2494" w:rsidP="005D2494">
      <w:pPr>
        <w:spacing w:line="276" w:lineRule="auto"/>
        <w:ind w:firstLine="709"/>
        <w:jc w:val="both"/>
        <w:rPr>
          <w:rFonts w:ascii="Arial" w:hAnsi="Arial" w:cs="Arial"/>
          <w:sz w:val="22"/>
          <w:szCs w:val="22"/>
        </w:rPr>
      </w:pPr>
      <w:r>
        <w:rPr>
          <w:rFonts w:ascii="Arial" w:hAnsi="Arial" w:cs="Arial"/>
          <w:sz w:val="22"/>
          <w:szCs w:val="22"/>
        </w:rPr>
        <w:t xml:space="preserve">La fórmula descrita con anterioridad puede ser ilustrada conforme a los siguientes datos, según la </w:t>
      </w:r>
      <w:r w:rsidRPr="005E7A72">
        <w:rPr>
          <w:rFonts w:ascii="Arial" w:hAnsi="Arial" w:cs="Arial"/>
          <w:sz w:val="22"/>
          <w:szCs w:val="22"/>
        </w:rPr>
        <w:t>«Guía para Determinar y Verificar la Capacidad Residual del Proponente en los Procesos de Contratación de Obra Pública»</w:t>
      </w:r>
      <w:r>
        <w:rPr>
          <w:rFonts w:ascii="Arial" w:hAnsi="Arial" w:cs="Arial"/>
          <w:sz w:val="22"/>
          <w:szCs w:val="22"/>
        </w:rPr>
        <w:t>:</w:t>
      </w:r>
    </w:p>
    <w:p w14:paraId="22C2959B" w14:textId="77777777" w:rsidR="005D2494" w:rsidRDefault="005D2494" w:rsidP="005D2494">
      <w:pPr>
        <w:spacing w:line="276" w:lineRule="auto"/>
        <w:ind w:firstLine="709"/>
        <w:jc w:val="both"/>
        <w:rPr>
          <w:rFonts w:ascii="Arial" w:hAnsi="Arial" w:cs="Arial"/>
          <w:sz w:val="22"/>
          <w:szCs w:val="22"/>
        </w:rPr>
      </w:pPr>
      <w:r>
        <w:rPr>
          <w:rFonts w:ascii="Arial" w:hAnsi="Arial" w:cs="Arial"/>
          <w:noProof/>
          <w:sz w:val="22"/>
          <w:szCs w:val="22"/>
        </w:rPr>
        <w:lastRenderedPageBreak/>
        <w:drawing>
          <wp:anchor distT="0" distB="0" distL="114300" distR="114300" simplePos="0" relativeHeight="251660288" behindDoc="0" locked="0" layoutInCell="1" allowOverlap="1" wp14:anchorId="4A796FCF" wp14:editId="2FC32334">
            <wp:simplePos x="0" y="0"/>
            <wp:positionH relativeFrom="margin">
              <wp:align>center</wp:align>
            </wp:positionH>
            <wp:positionV relativeFrom="paragraph">
              <wp:posOffset>189320</wp:posOffset>
            </wp:positionV>
            <wp:extent cx="5342255" cy="1837690"/>
            <wp:effectExtent l="0" t="0" r="0" b="0"/>
            <wp:wrapSquare wrapText="bothSides"/>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342255" cy="1837690"/>
                    </a:xfrm>
                    <a:prstGeom prst="rect">
                      <a:avLst/>
                    </a:prstGeom>
                  </pic:spPr>
                </pic:pic>
              </a:graphicData>
            </a:graphic>
            <wp14:sizeRelH relativeFrom="page">
              <wp14:pctWidth>0</wp14:pctWidth>
            </wp14:sizeRelH>
            <wp14:sizeRelV relativeFrom="page">
              <wp14:pctHeight>0</wp14:pctHeight>
            </wp14:sizeRelV>
          </wp:anchor>
        </w:drawing>
      </w:r>
    </w:p>
    <w:p w14:paraId="1DF21B26" w14:textId="77777777" w:rsidR="005D2494" w:rsidRDefault="005D2494" w:rsidP="005D2494">
      <w:pPr>
        <w:spacing w:line="276" w:lineRule="auto"/>
        <w:ind w:firstLine="709"/>
        <w:jc w:val="both"/>
        <w:rPr>
          <w:rFonts w:ascii="Arial" w:hAnsi="Arial" w:cs="Arial"/>
          <w:sz w:val="22"/>
          <w:szCs w:val="22"/>
        </w:rPr>
      </w:pPr>
    </w:p>
    <w:p w14:paraId="6C08515A" w14:textId="77777777" w:rsidR="005D2494" w:rsidRDefault="005D2494" w:rsidP="005D2494">
      <w:pPr>
        <w:spacing w:line="276" w:lineRule="auto"/>
        <w:ind w:firstLine="709"/>
        <w:jc w:val="both"/>
        <w:rPr>
          <w:rFonts w:ascii="Arial" w:hAnsi="Arial" w:cs="Arial"/>
          <w:sz w:val="22"/>
          <w:szCs w:val="22"/>
        </w:rPr>
      </w:pPr>
      <w:r>
        <w:rPr>
          <w:rFonts w:ascii="Arial" w:hAnsi="Arial" w:cs="Arial"/>
          <w:sz w:val="22"/>
          <w:szCs w:val="22"/>
        </w:rPr>
        <w:t>De acuerdo con esta información, el cálculo del factor SCE se debería realizar de manera indicada a continuación:</w:t>
      </w:r>
    </w:p>
    <w:p w14:paraId="1625CDA7" w14:textId="77777777" w:rsidR="005D2494" w:rsidRDefault="005D2494" w:rsidP="005D2494">
      <w:pPr>
        <w:spacing w:line="276" w:lineRule="auto"/>
        <w:ind w:firstLine="709"/>
        <w:jc w:val="both"/>
        <w:rPr>
          <w:rFonts w:ascii="Arial" w:hAnsi="Arial" w:cs="Arial"/>
          <w:sz w:val="22"/>
          <w:szCs w:val="22"/>
        </w:rPr>
      </w:pPr>
    </w:p>
    <w:p w14:paraId="434F3F22" w14:textId="77777777" w:rsidR="005D2494" w:rsidRDefault="005D2494" w:rsidP="005D2494">
      <w:pPr>
        <w:spacing w:line="276" w:lineRule="auto"/>
        <w:ind w:firstLine="709"/>
        <w:jc w:val="both"/>
        <w:rPr>
          <w:rFonts w:ascii="Arial" w:hAnsi="Arial" w:cs="Arial"/>
          <w:sz w:val="22"/>
          <w:szCs w:val="22"/>
        </w:rPr>
      </w:pPr>
      <w:r>
        <w:rPr>
          <w:rFonts w:ascii="Arial" w:hAnsi="Arial" w:cs="Arial"/>
          <w:noProof/>
          <w:sz w:val="22"/>
          <w:szCs w:val="22"/>
        </w:rPr>
        <w:drawing>
          <wp:inline distT="0" distB="0" distL="0" distR="0" wp14:anchorId="6C2A54E9" wp14:editId="2F085260">
            <wp:extent cx="4858428" cy="924054"/>
            <wp:effectExtent l="0" t="0" r="0" b="9525"/>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4858428" cy="924054"/>
                    </a:xfrm>
                    <a:prstGeom prst="rect">
                      <a:avLst/>
                    </a:prstGeom>
                  </pic:spPr>
                </pic:pic>
              </a:graphicData>
            </a:graphic>
          </wp:inline>
        </w:drawing>
      </w:r>
    </w:p>
    <w:p w14:paraId="5235CF6C" w14:textId="77777777" w:rsidR="005D2494" w:rsidRDefault="005D2494" w:rsidP="005D2494">
      <w:pPr>
        <w:spacing w:line="276" w:lineRule="auto"/>
        <w:ind w:firstLine="709"/>
        <w:jc w:val="both"/>
        <w:rPr>
          <w:rFonts w:ascii="Arial" w:hAnsi="Arial" w:cs="Arial"/>
          <w:sz w:val="22"/>
          <w:szCs w:val="22"/>
        </w:rPr>
      </w:pPr>
    </w:p>
    <w:p w14:paraId="7563346E" w14:textId="77777777" w:rsidR="005D2494" w:rsidRDefault="005D2494" w:rsidP="005D2494">
      <w:pPr>
        <w:spacing w:line="276" w:lineRule="auto"/>
        <w:ind w:firstLine="709"/>
        <w:jc w:val="both"/>
        <w:rPr>
          <w:rFonts w:ascii="Arial" w:hAnsi="Arial" w:cs="Arial"/>
          <w:sz w:val="22"/>
          <w:szCs w:val="22"/>
        </w:rPr>
      </w:pPr>
      <w:r>
        <w:rPr>
          <w:rFonts w:ascii="Arial" w:hAnsi="Arial" w:cs="Arial"/>
          <w:sz w:val="22"/>
          <w:szCs w:val="22"/>
        </w:rPr>
        <w:t>Ahora, cuando un</w:t>
      </w:r>
      <w:r w:rsidRPr="008606C4">
        <w:rPr>
          <w:rFonts w:ascii="Arial" w:hAnsi="Arial" w:cs="Arial"/>
          <w:sz w:val="22"/>
          <w:szCs w:val="22"/>
        </w:rPr>
        <w:t xml:space="preserve"> contrato se encuentra suspendido, el c</w:t>
      </w:r>
      <w:r>
        <w:rPr>
          <w:rFonts w:ascii="Arial" w:hAnsi="Arial" w:cs="Arial"/>
          <w:sz w:val="22"/>
          <w:szCs w:val="22"/>
        </w:rPr>
        <w:t>á</w:t>
      </w:r>
      <w:r w:rsidRPr="008606C4">
        <w:rPr>
          <w:rFonts w:ascii="Arial" w:hAnsi="Arial" w:cs="Arial"/>
          <w:sz w:val="22"/>
          <w:szCs w:val="22"/>
        </w:rPr>
        <w:t xml:space="preserve">lculo del SCE de dicho contrato debe realizarse asumiendo que lo que falta por ejecutar empezará a ejecutarse en la fecha de la presentación de la oferta del Proceso de Contratación. En todo caso, una vez determinado lo que falta por ejecutarse en estos contratos, debe procederse conforme a lo referido en </w:t>
      </w:r>
      <w:r>
        <w:rPr>
          <w:rFonts w:ascii="Arial" w:hAnsi="Arial" w:cs="Arial"/>
          <w:sz w:val="22"/>
          <w:szCs w:val="22"/>
        </w:rPr>
        <w:t xml:space="preserve">los párrafos anteriores. </w:t>
      </w:r>
    </w:p>
    <w:p w14:paraId="79DF43C3" w14:textId="77777777" w:rsidR="005D2494" w:rsidRPr="004F4910" w:rsidRDefault="005D2494" w:rsidP="005D2494">
      <w:pPr>
        <w:pStyle w:val="Textoindependiente"/>
        <w:spacing w:line="276" w:lineRule="auto"/>
        <w:ind w:firstLine="709"/>
        <w:jc w:val="both"/>
        <w:rPr>
          <w:rStyle w:val="apple-converted-space"/>
          <w:lang w:val="es-CO"/>
        </w:rPr>
      </w:pPr>
    </w:p>
    <w:p w14:paraId="05378DF3" w14:textId="77777777" w:rsidR="005D2494" w:rsidRDefault="005D2494" w:rsidP="005D2494">
      <w:pPr>
        <w:pStyle w:val="Prrafodelista"/>
        <w:numPr>
          <w:ilvl w:val="0"/>
          <w:numId w:val="1"/>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4F4910">
        <w:rPr>
          <w:rStyle w:val="apple-converted-space"/>
          <w:rFonts w:ascii="Arial" w:hAnsi="Arial" w:cs="Arial"/>
          <w:b/>
          <w:bCs/>
          <w:color w:val="000000"/>
          <w:sz w:val="22"/>
          <w:bdr w:val="none" w:sz="0" w:space="0" w:color="auto" w:frame="1"/>
        </w:rPr>
        <w:t xml:space="preserve">Respuesta </w:t>
      </w:r>
    </w:p>
    <w:p w14:paraId="3F4D4B5D" w14:textId="77777777" w:rsidR="005D2494" w:rsidRDefault="005D2494" w:rsidP="005D2494">
      <w:pPr>
        <w:tabs>
          <w:tab w:val="left" w:pos="426"/>
          <w:tab w:val="left" w:pos="851"/>
        </w:tabs>
        <w:spacing w:line="276" w:lineRule="auto"/>
        <w:ind w:left="709" w:right="709"/>
        <w:jc w:val="both"/>
        <w:rPr>
          <w:rStyle w:val="apple-converted-space"/>
          <w:rFonts w:ascii="Arial" w:hAnsi="Arial" w:cs="Arial"/>
          <w:b/>
          <w:bCs/>
          <w:color w:val="000000"/>
          <w:sz w:val="22"/>
          <w:bdr w:val="none" w:sz="0" w:space="0" w:color="auto" w:frame="1"/>
        </w:rPr>
      </w:pPr>
    </w:p>
    <w:p w14:paraId="13510F72" w14:textId="77777777" w:rsidR="005D2494" w:rsidRPr="00AF0CCF" w:rsidRDefault="005D2494" w:rsidP="005D2494">
      <w:pPr>
        <w:ind w:left="708" w:right="709"/>
        <w:jc w:val="both"/>
        <w:rPr>
          <w:rFonts w:ascii="Arial" w:hAnsi="Arial" w:cs="Arial"/>
          <w:color w:val="000000"/>
          <w:sz w:val="21"/>
          <w:szCs w:val="21"/>
          <w:bdr w:val="none" w:sz="0" w:space="0" w:color="auto" w:frame="1"/>
        </w:rPr>
      </w:pPr>
      <w:r w:rsidRPr="00342FCD">
        <w:rPr>
          <w:rFonts w:ascii="Arial" w:eastAsia="Calibri" w:hAnsi="Arial" w:cs="Arial"/>
          <w:color w:val="000000" w:themeColor="text1"/>
          <w:sz w:val="21"/>
          <w:szCs w:val="21"/>
        </w:rPr>
        <w:t xml:space="preserve">«¿El valor de la ejecución diaria de los contratos suspendidos se calcula dividiendo el saldo por ejecutar del contrato entre el saldo del plazo por ejecutar del contrato? </w:t>
      </w:r>
      <w:proofErr w:type="gramStart"/>
      <w:r w:rsidRPr="00342FCD">
        <w:rPr>
          <w:rFonts w:ascii="Arial" w:eastAsia="Calibri" w:hAnsi="Arial" w:cs="Arial"/>
          <w:color w:val="000000" w:themeColor="text1"/>
          <w:sz w:val="21"/>
          <w:szCs w:val="21"/>
        </w:rPr>
        <w:t>O en su defecto que [sic] valor y que [sic] plazo se deben utilizar para calcular el saldo diario de ejecución?</w:t>
      </w:r>
      <w:proofErr w:type="gramEnd"/>
      <w:r w:rsidRPr="00342FCD">
        <w:rPr>
          <w:rFonts w:ascii="Arial" w:eastAsia="Calibri" w:hAnsi="Arial" w:cs="Arial"/>
          <w:color w:val="000000" w:themeColor="text1"/>
          <w:sz w:val="21"/>
          <w:szCs w:val="21"/>
        </w:rPr>
        <w:t>»</w:t>
      </w:r>
    </w:p>
    <w:p w14:paraId="27CA4808" w14:textId="77777777" w:rsidR="005D2494" w:rsidRPr="004F4910" w:rsidRDefault="005D2494" w:rsidP="005D2494">
      <w:pPr>
        <w:ind w:right="709"/>
        <w:jc w:val="both"/>
        <w:rPr>
          <w:rFonts w:ascii="Arial" w:hAnsi="Arial" w:cs="Arial"/>
          <w:color w:val="000000"/>
          <w:sz w:val="21"/>
          <w:szCs w:val="21"/>
          <w:bdr w:val="none" w:sz="0" w:space="0" w:color="auto" w:frame="1"/>
        </w:rPr>
      </w:pPr>
    </w:p>
    <w:p w14:paraId="163A168D" w14:textId="77777777" w:rsidR="005D2494" w:rsidRDefault="005D2494" w:rsidP="005D2494">
      <w:pPr>
        <w:pStyle w:val="Textoindependiente"/>
        <w:spacing w:before="120" w:line="276" w:lineRule="auto"/>
        <w:jc w:val="both"/>
        <w:rPr>
          <w:sz w:val="22"/>
          <w:szCs w:val="22"/>
          <w:lang w:val="es-CO"/>
        </w:rPr>
      </w:pPr>
      <w:r>
        <w:rPr>
          <w:color w:val="000000"/>
          <w:sz w:val="22"/>
          <w:szCs w:val="22"/>
          <w:bdr w:val="none" w:sz="0" w:space="0" w:color="auto" w:frame="1"/>
        </w:rPr>
        <w:t>El</w:t>
      </w:r>
      <w:r w:rsidRPr="00FB4D30">
        <w:rPr>
          <w:sz w:val="22"/>
          <w:szCs w:val="22"/>
          <w:lang w:val="es-CO"/>
        </w:rPr>
        <w:t xml:space="preserve"> artículo 2.2.1.1.1.6.4 del Decreto 1082 de 2015 establece que las entidades estatales deben calcular la capacidad residual conforme a la metodología definida por Colombia Compr</w:t>
      </w:r>
      <w:r>
        <w:rPr>
          <w:sz w:val="22"/>
          <w:szCs w:val="22"/>
          <w:lang w:val="es-CO"/>
        </w:rPr>
        <w:t xml:space="preserve">a </w:t>
      </w:r>
      <w:r w:rsidRPr="00FB4D30">
        <w:rPr>
          <w:sz w:val="22"/>
          <w:szCs w:val="22"/>
          <w:lang w:val="es-CO"/>
        </w:rPr>
        <w:t>Eficiente</w:t>
      </w:r>
      <w:r>
        <w:rPr>
          <w:sz w:val="22"/>
          <w:szCs w:val="22"/>
          <w:lang w:val="es-CO"/>
        </w:rPr>
        <w:t xml:space="preserve">. </w:t>
      </w:r>
      <w:r w:rsidRPr="00FB4D30">
        <w:rPr>
          <w:sz w:val="22"/>
          <w:szCs w:val="22"/>
          <w:lang w:val="es-CO"/>
        </w:rPr>
        <w:t xml:space="preserve">De conformidad con lo anterior, </w:t>
      </w:r>
      <w:r>
        <w:rPr>
          <w:sz w:val="22"/>
          <w:szCs w:val="22"/>
          <w:lang w:val="es-CO"/>
        </w:rPr>
        <w:t xml:space="preserve">esta </w:t>
      </w:r>
      <w:r w:rsidRPr="00FB4D30">
        <w:rPr>
          <w:sz w:val="22"/>
          <w:szCs w:val="22"/>
          <w:lang w:val="es-CO"/>
        </w:rPr>
        <w:t>Agencia expidió la «Guía para Determinar y Verificar la Capacidad Residual del Proponente en los Procesos de Contratación de Obra Pública»</w:t>
      </w:r>
      <w:r>
        <w:rPr>
          <w:sz w:val="22"/>
          <w:szCs w:val="22"/>
          <w:lang w:val="es-CO"/>
        </w:rPr>
        <w:t>.</w:t>
      </w:r>
    </w:p>
    <w:p w14:paraId="4D7FE92D" w14:textId="77777777" w:rsidR="005D2494" w:rsidRDefault="005D2494" w:rsidP="005D2494">
      <w:pPr>
        <w:pStyle w:val="Textoindependiente"/>
        <w:spacing w:before="120" w:line="276" w:lineRule="auto"/>
        <w:ind w:firstLine="709"/>
        <w:jc w:val="both"/>
        <w:rPr>
          <w:sz w:val="22"/>
          <w:szCs w:val="22"/>
          <w:lang w:val="es-CO"/>
        </w:rPr>
      </w:pPr>
      <w:r>
        <w:rPr>
          <w:sz w:val="22"/>
          <w:szCs w:val="22"/>
          <w:lang w:val="es-CO"/>
        </w:rPr>
        <w:t xml:space="preserve">Por su parte, en el Documento Base de los documentos tipo de licitación de obra </w:t>
      </w:r>
      <w:r>
        <w:rPr>
          <w:sz w:val="22"/>
          <w:szCs w:val="22"/>
          <w:lang w:val="es-CO"/>
        </w:rPr>
        <w:lastRenderedPageBreak/>
        <w:t xml:space="preserve">pública de infraestructura de transporte –versión 3–, en el literal E de numeral 3.10.2 se establece, en concordancia con la referida Guía, que </w:t>
      </w:r>
      <w:r w:rsidRPr="00E6468C">
        <w:rPr>
          <w:sz w:val="22"/>
          <w:szCs w:val="22"/>
          <w:lang w:val="es-CO"/>
        </w:rPr>
        <w:t xml:space="preserve">el </w:t>
      </w:r>
      <w:proofErr w:type="spellStart"/>
      <w:r w:rsidRPr="00E6468C">
        <w:rPr>
          <w:sz w:val="22"/>
          <w:szCs w:val="22"/>
          <w:lang w:val="es-CO"/>
        </w:rPr>
        <w:t>cálculo</w:t>
      </w:r>
      <w:proofErr w:type="spellEnd"/>
      <w:r w:rsidRPr="00E6468C">
        <w:rPr>
          <w:sz w:val="22"/>
          <w:szCs w:val="22"/>
          <w:lang w:val="es-CO"/>
        </w:rPr>
        <w:t xml:space="preserve"> del SCE debe hacerse linealmente, calculando una </w:t>
      </w:r>
      <w:proofErr w:type="spellStart"/>
      <w:r w:rsidRPr="00E6468C">
        <w:rPr>
          <w:sz w:val="22"/>
          <w:szCs w:val="22"/>
          <w:lang w:val="es-CO"/>
        </w:rPr>
        <w:t>ejecución</w:t>
      </w:r>
      <w:proofErr w:type="spellEnd"/>
      <w:r w:rsidRPr="00E6468C">
        <w:rPr>
          <w:sz w:val="22"/>
          <w:szCs w:val="22"/>
          <w:lang w:val="es-CO"/>
        </w:rPr>
        <w:t xml:space="preserve"> diaria equivalente al valor del contrato dividido por el plazo del contrato expresado en </w:t>
      </w:r>
      <w:proofErr w:type="spellStart"/>
      <w:r w:rsidRPr="00E6468C">
        <w:rPr>
          <w:sz w:val="22"/>
          <w:szCs w:val="22"/>
          <w:lang w:val="es-CO"/>
        </w:rPr>
        <w:t>días</w:t>
      </w:r>
      <w:proofErr w:type="spellEnd"/>
      <w:r w:rsidRPr="00E6468C">
        <w:rPr>
          <w:sz w:val="22"/>
          <w:szCs w:val="22"/>
          <w:lang w:val="es-CO"/>
        </w:rPr>
        <w:t xml:space="preserve">. Este resultado se multiplica por el </w:t>
      </w:r>
      <w:proofErr w:type="spellStart"/>
      <w:r w:rsidRPr="00E6468C">
        <w:rPr>
          <w:sz w:val="22"/>
          <w:szCs w:val="22"/>
          <w:lang w:val="es-CO"/>
        </w:rPr>
        <w:t>número</w:t>
      </w:r>
      <w:proofErr w:type="spellEnd"/>
      <w:r w:rsidRPr="00E6468C">
        <w:rPr>
          <w:sz w:val="22"/>
          <w:szCs w:val="22"/>
          <w:lang w:val="es-CO"/>
        </w:rPr>
        <w:t xml:space="preserve"> de </w:t>
      </w:r>
      <w:proofErr w:type="spellStart"/>
      <w:r w:rsidRPr="00E6468C">
        <w:rPr>
          <w:sz w:val="22"/>
          <w:szCs w:val="22"/>
          <w:lang w:val="es-CO"/>
        </w:rPr>
        <w:t>días</w:t>
      </w:r>
      <w:proofErr w:type="spellEnd"/>
      <w:r w:rsidRPr="00E6468C">
        <w:rPr>
          <w:sz w:val="22"/>
          <w:szCs w:val="22"/>
          <w:lang w:val="es-CO"/>
        </w:rPr>
        <w:t xml:space="preserve"> pendientes para cumplir el plazo del contrato, y si el contrato es ejecutado por una estructura plural, se multiplica por la </w:t>
      </w:r>
      <w:proofErr w:type="spellStart"/>
      <w:r w:rsidRPr="00E6468C">
        <w:rPr>
          <w:sz w:val="22"/>
          <w:szCs w:val="22"/>
          <w:lang w:val="es-CO"/>
        </w:rPr>
        <w:t>participación</w:t>
      </w:r>
      <w:proofErr w:type="spellEnd"/>
      <w:r w:rsidRPr="00E6468C">
        <w:rPr>
          <w:sz w:val="22"/>
          <w:szCs w:val="22"/>
          <w:lang w:val="es-CO"/>
        </w:rPr>
        <w:t xml:space="preserve"> del proponente en el respectivo contratista. Ahora bien, en caso de que el </w:t>
      </w:r>
      <w:proofErr w:type="spellStart"/>
      <w:r w:rsidRPr="00E6468C">
        <w:rPr>
          <w:sz w:val="22"/>
          <w:szCs w:val="22"/>
          <w:lang w:val="es-CO"/>
        </w:rPr>
        <w:t>número</w:t>
      </w:r>
      <w:proofErr w:type="spellEnd"/>
      <w:r w:rsidRPr="00E6468C">
        <w:rPr>
          <w:sz w:val="22"/>
          <w:szCs w:val="22"/>
          <w:lang w:val="es-CO"/>
        </w:rPr>
        <w:t xml:space="preserve"> de </w:t>
      </w:r>
      <w:proofErr w:type="spellStart"/>
      <w:r w:rsidRPr="00E6468C">
        <w:rPr>
          <w:sz w:val="22"/>
          <w:szCs w:val="22"/>
          <w:lang w:val="es-CO"/>
        </w:rPr>
        <w:t>días</w:t>
      </w:r>
      <w:proofErr w:type="spellEnd"/>
      <w:r w:rsidRPr="00E6468C">
        <w:rPr>
          <w:sz w:val="22"/>
          <w:szCs w:val="22"/>
          <w:lang w:val="es-CO"/>
        </w:rPr>
        <w:t xml:space="preserve"> por ejecutar en un contrato sea superior a 12 meses, es decir 360 </w:t>
      </w:r>
      <w:proofErr w:type="spellStart"/>
      <w:r w:rsidRPr="00E6468C">
        <w:rPr>
          <w:sz w:val="22"/>
          <w:szCs w:val="22"/>
          <w:lang w:val="es-CO"/>
        </w:rPr>
        <w:t>días</w:t>
      </w:r>
      <w:proofErr w:type="spellEnd"/>
      <w:r w:rsidRPr="00E6468C">
        <w:rPr>
          <w:sz w:val="22"/>
          <w:szCs w:val="22"/>
          <w:lang w:val="es-CO"/>
        </w:rPr>
        <w:t xml:space="preserve">, el SCE solo </w:t>
      </w:r>
      <w:proofErr w:type="spellStart"/>
      <w:r w:rsidRPr="00E6468C">
        <w:rPr>
          <w:sz w:val="22"/>
          <w:szCs w:val="22"/>
          <w:lang w:val="es-CO"/>
        </w:rPr>
        <w:t>tendra</w:t>
      </w:r>
      <w:proofErr w:type="spellEnd"/>
      <w:r w:rsidRPr="00E6468C">
        <w:rPr>
          <w:sz w:val="22"/>
          <w:szCs w:val="22"/>
          <w:lang w:val="es-CO"/>
        </w:rPr>
        <w:t xml:space="preserve">́ en cuenta la </w:t>
      </w:r>
      <w:proofErr w:type="spellStart"/>
      <w:r w:rsidRPr="00E6468C">
        <w:rPr>
          <w:sz w:val="22"/>
          <w:szCs w:val="22"/>
          <w:lang w:val="es-CO"/>
        </w:rPr>
        <w:t>proporción</w:t>
      </w:r>
      <w:proofErr w:type="spellEnd"/>
      <w:r w:rsidRPr="00E6468C">
        <w:rPr>
          <w:sz w:val="22"/>
          <w:szCs w:val="22"/>
          <w:lang w:val="es-CO"/>
        </w:rPr>
        <w:t xml:space="preserve"> lineal de 12 meses.</w:t>
      </w:r>
    </w:p>
    <w:p w14:paraId="3F2147E7" w14:textId="77777777" w:rsidR="005D2494" w:rsidRDefault="005D2494" w:rsidP="005D2494">
      <w:pPr>
        <w:pStyle w:val="Textoindependiente"/>
        <w:spacing w:before="120" w:line="276" w:lineRule="auto"/>
        <w:ind w:firstLine="709"/>
        <w:jc w:val="both"/>
        <w:rPr>
          <w:sz w:val="22"/>
          <w:szCs w:val="22"/>
          <w:lang w:val="es-CO"/>
        </w:rPr>
      </w:pPr>
      <w:r>
        <w:rPr>
          <w:sz w:val="22"/>
          <w:szCs w:val="22"/>
          <w:lang w:val="es-CO"/>
        </w:rPr>
        <w:t xml:space="preserve">Adicionalmente, </w:t>
      </w:r>
      <w:r w:rsidRPr="007F2EBE">
        <w:rPr>
          <w:sz w:val="22"/>
          <w:szCs w:val="22"/>
          <w:lang w:val="es-CO"/>
        </w:rPr>
        <w:t xml:space="preserve">si un contrato se encuentra suspendido, el </w:t>
      </w:r>
      <w:proofErr w:type="spellStart"/>
      <w:r w:rsidRPr="007F2EBE">
        <w:rPr>
          <w:sz w:val="22"/>
          <w:szCs w:val="22"/>
          <w:lang w:val="es-CO"/>
        </w:rPr>
        <w:t>cálculo</w:t>
      </w:r>
      <w:proofErr w:type="spellEnd"/>
      <w:r w:rsidRPr="007F2EBE">
        <w:rPr>
          <w:sz w:val="22"/>
          <w:szCs w:val="22"/>
          <w:lang w:val="es-CO"/>
        </w:rPr>
        <w:t xml:space="preserve"> del SCE de dicho contrato debe realizarse asumiendo que lo que falta por ejecutar empezará a ejecutarse en la fecha de la </w:t>
      </w:r>
      <w:proofErr w:type="spellStart"/>
      <w:r w:rsidRPr="007F2EBE">
        <w:rPr>
          <w:sz w:val="22"/>
          <w:szCs w:val="22"/>
          <w:lang w:val="es-CO"/>
        </w:rPr>
        <w:t>presentación</w:t>
      </w:r>
      <w:proofErr w:type="spellEnd"/>
      <w:r w:rsidRPr="007F2EBE">
        <w:rPr>
          <w:sz w:val="22"/>
          <w:szCs w:val="22"/>
          <w:lang w:val="es-CO"/>
        </w:rPr>
        <w:t xml:space="preserve"> de la oferta del Proceso de </w:t>
      </w:r>
      <w:proofErr w:type="spellStart"/>
      <w:r w:rsidRPr="007F2EBE">
        <w:rPr>
          <w:sz w:val="22"/>
          <w:szCs w:val="22"/>
          <w:lang w:val="es-CO"/>
        </w:rPr>
        <w:t>Contratación</w:t>
      </w:r>
      <w:proofErr w:type="spellEnd"/>
      <w:r w:rsidRPr="007F2EBE">
        <w:rPr>
          <w:sz w:val="22"/>
          <w:szCs w:val="22"/>
          <w:lang w:val="es-CO"/>
        </w:rPr>
        <w:t xml:space="preserve">. En todo caso, una vez determinado lo que falta por ejecutarse en estos contratos, debe procederse conforme a lo referido </w:t>
      </w:r>
      <w:r>
        <w:rPr>
          <w:sz w:val="22"/>
          <w:szCs w:val="22"/>
          <w:lang w:val="es-CO"/>
        </w:rPr>
        <w:t xml:space="preserve">con anterioridad. </w:t>
      </w:r>
    </w:p>
    <w:p w14:paraId="7AD0399D" w14:textId="77777777" w:rsidR="005D2494" w:rsidRPr="004F4910" w:rsidRDefault="005D2494" w:rsidP="005D2494">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p>
    <w:p w14:paraId="213F2DEE" w14:textId="77777777" w:rsidR="005D2494" w:rsidRPr="007230A2" w:rsidRDefault="005D2494" w:rsidP="005D2494">
      <w:pPr>
        <w:spacing w:line="276" w:lineRule="auto"/>
        <w:jc w:val="both"/>
        <w:rPr>
          <w:rFonts w:ascii="Arial" w:eastAsia="Calibri" w:hAnsi="Arial" w:cs="Arial"/>
          <w:color w:val="000000" w:themeColor="text1"/>
          <w:sz w:val="22"/>
          <w:szCs w:val="22"/>
        </w:rPr>
      </w:pPr>
      <w:r w:rsidRPr="007230A2">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0FD1BA89" w14:textId="77777777" w:rsidR="005D2494" w:rsidRPr="006C15D5" w:rsidRDefault="005D2494" w:rsidP="005D2494">
      <w:pPr>
        <w:ind w:firstLine="709"/>
        <w:jc w:val="both"/>
        <w:rPr>
          <w:rFonts w:ascii="Arial" w:eastAsia="Calibri" w:hAnsi="Arial" w:cs="Arial"/>
          <w:color w:val="000000" w:themeColor="text1"/>
          <w:sz w:val="22"/>
        </w:rPr>
      </w:pPr>
    </w:p>
    <w:p w14:paraId="7BEDE0A6" w14:textId="77777777" w:rsidR="005D2494" w:rsidRDefault="005D2494" w:rsidP="005D2494">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6FD03A10" w14:textId="7C4854D3" w:rsidR="005D2494" w:rsidRPr="00F557E1" w:rsidRDefault="00C71F81" w:rsidP="005D2494">
      <w:pPr>
        <w:jc w:val="center"/>
        <w:rPr>
          <w:rFonts w:ascii="Arial" w:hAnsi="Arial" w:cs="Arial"/>
          <w:color w:val="000000" w:themeColor="text1"/>
          <w:sz w:val="22"/>
          <w:lang w:eastAsia="es-CO"/>
        </w:rPr>
      </w:pPr>
      <w:r>
        <w:rPr>
          <w:rFonts w:ascii="Arial" w:hAnsi="Arial" w:cs="Arial"/>
          <w:noProof/>
          <w:color w:val="000000" w:themeColor="text1"/>
          <w:sz w:val="22"/>
        </w:rPr>
        <w:drawing>
          <wp:inline distT="0" distB="0" distL="0" distR="0" wp14:anchorId="606C8434" wp14:editId="5AFB7870">
            <wp:extent cx="2514600" cy="1114425"/>
            <wp:effectExtent l="0" t="0" r="0" b="9525"/>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22505819" w14:textId="77777777" w:rsidR="005D2494" w:rsidRPr="006C15D5" w:rsidRDefault="005D2494" w:rsidP="005D2494">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2494" w:rsidRPr="003F6D32" w14:paraId="6275D2F9" w14:textId="77777777" w:rsidTr="00FB1DD3">
        <w:trPr>
          <w:trHeight w:val="315"/>
        </w:trPr>
        <w:tc>
          <w:tcPr>
            <w:tcW w:w="812" w:type="dxa"/>
            <w:vAlign w:val="center"/>
            <w:hideMark/>
          </w:tcPr>
          <w:p w14:paraId="7F507A4A" w14:textId="77777777" w:rsidR="005D2494" w:rsidRPr="006C15D5" w:rsidRDefault="005D2494" w:rsidP="00FB1DD3">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D706676" w14:textId="77777777" w:rsidR="005D2494" w:rsidRPr="006C15D5" w:rsidRDefault="005D2494" w:rsidP="00FB1DD3">
            <w:pPr>
              <w:rPr>
                <w:rFonts w:ascii="Arial" w:hAnsi="Arial" w:cs="Arial"/>
                <w:color w:val="000000" w:themeColor="text1"/>
                <w:sz w:val="16"/>
                <w:szCs w:val="16"/>
                <w:lang w:eastAsia="es-ES"/>
              </w:rPr>
            </w:pPr>
            <w:r>
              <w:rPr>
                <w:rFonts w:ascii="Arial" w:hAnsi="Arial" w:cs="Arial"/>
                <w:color w:val="000000" w:themeColor="text1"/>
                <w:sz w:val="16"/>
                <w:szCs w:val="16"/>
                <w:lang w:eastAsia="es-ES"/>
              </w:rPr>
              <w:t>Kevin Arlid Herrera Santa</w:t>
            </w:r>
          </w:p>
          <w:p w14:paraId="6C17A730" w14:textId="77777777" w:rsidR="005D2494" w:rsidRPr="006C15D5" w:rsidRDefault="005D2494" w:rsidP="00FB1DD3">
            <w:pPr>
              <w:rPr>
                <w:rFonts w:ascii="Arial" w:hAnsi="Arial" w:cs="Arial"/>
                <w:color w:val="000000" w:themeColor="text1"/>
                <w:sz w:val="16"/>
                <w:szCs w:val="16"/>
                <w:lang w:eastAsia="es-ES"/>
              </w:rPr>
            </w:pPr>
            <w:r>
              <w:rPr>
                <w:rFonts w:ascii="Arial" w:hAnsi="Arial" w:cs="Arial"/>
                <w:color w:val="000000" w:themeColor="text1"/>
                <w:sz w:val="16"/>
                <w:szCs w:val="16"/>
                <w:lang w:eastAsia="es-ES"/>
              </w:rPr>
              <w:t>Analista T2-04</w:t>
            </w:r>
            <w:r w:rsidRPr="006C15D5">
              <w:rPr>
                <w:rFonts w:ascii="Arial" w:hAnsi="Arial" w:cs="Arial"/>
                <w:color w:val="000000" w:themeColor="text1"/>
                <w:sz w:val="16"/>
                <w:szCs w:val="16"/>
                <w:lang w:eastAsia="es-ES"/>
              </w:rPr>
              <w:t xml:space="preserve"> de la Subdirección de Gestión Contractual</w:t>
            </w:r>
          </w:p>
        </w:tc>
      </w:tr>
      <w:tr w:rsidR="005D2494" w:rsidRPr="003F6D32" w14:paraId="645F8664" w14:textId="77777777" w:rsidTr="00FB1DD3">
        <w:trPr>
          <w:trHeight w:val="330"/>
        </w:trPr>
        <w:tc>
          <w:tcPr>
            <w:tcW w:w="812" w:type="dxa"/>
            <w:vAlign w:val="center"/>
            <w:hideMark/>
          </w:tcPr>
          <w:p w14:paraId="5D2B8215" w14:textId="77777777" w:rsidR="005D2494" w:rsidRPr="006C15D5" w:rsidRDefault="005D2494" w:rsidP="00FB1DD3">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2A417C" w14:textId="77777777" w:rsidR="005D2494" w:rsidRDefault="005D2494" w:rsidP="00FB1DD3">
            <w:pPr>
              <w:rPr>
                <w:rFonts w:ascii="Arial" w:hAnsi="Arial" w:cs="Arial"/>
                <w:color w:val="000000" w:themeColor="text1"/>
                <w:sz w:val="16"/>
                <w:szCs w:val="16"/>
                <w:lang w:eastAsia="es-ES"/>
              </w:rPr>
            </w:pPr>
            <w:r>
              <w:rPr>
                <w:rFonts w:ascii="Arial" w:hAnsi="Arial" w:cs="Arial"/>
                <w:color w:val="000000" w:themeColor="text1"/>
                <w:sz w:val="16"/>
                <w:szCs w:val="16"/>
                <w:lang w:eastAsia="es-ES"/>
              </w:rPr>
              <w:t>Alejandro Sarmiento Cantillo</w:t>
            </w:r>
          </w:p>
          <w:p w14:paraId="151F146E" w14:textId="77777777" w:rsidR="005D2494" w:rsidRPr="006C15D5" w:rsidRDefault="005D2494" w:rsidP="00FB1DD3">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w:t>
            </w:r>
            <w:r>
              <w:rPr>
                <w:rFonts w:ascii="Arial" w:hAnsi="Arial" w:cs="Arial"/>
                <w:color w:val="000000" w:themeColor="text1"/>
                <w:sz w:val="16"/>
                <w:szCs w:val="16"/>
                <w:lang w:eastAsia="es-ES"/>
              </w:rPr>
              <w:t>1</w:t>
            </w:r>
            <w:r w:rsidRPr="004D6EB0">
              <w:rPr>
                <w:rFonts w:ascii="Arial" w:hAnsi="Arial" w:cs="Arial"/>
                <w:color w:val="000000" w:themeColor="text1"/>
                <w:sz w:val="16"/>
                <w:szCs w:val="16"/>
                <w:lang w:eastAsia="es-ES"/>
              </w:rPr>
              <w:t xml:space="preserve"> de la Subdirección de Gestión Contractual</w:t>
            </w:r>
          </w:p>
        </w:tc>
      </w:tr>
      <w:tr w:rsidR="005D2494" w:rsidRPr="003F6D32" w14:paraId="2CA8757E" w14:textId="77777777" w:rsidTr="00FB1DD3">
        <w:trPr>
          <w:trHeight w:val="300"/>
        </w:trPr>
        <w:tc>
          <w:tcPr>
            <w:tcW w:w="812" w:type="dxa"/>
            <w:vAlign w:val="center"/>
            <w:hideMark/>
          </w:tcPr>
          <w:p w14:paraId="3FB3A0A4" w14:textId="77777777" w:rsidR="005D2494" w:rsidRPr="006C15D5" w:rsidRDefault="005D2494" w:rsidP="00FB1DD3">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268626" w14:textId="77777777" w:rsidR="005D2494" w:rsidRDefault="005D2494" w:rsidP="00FB1DD3">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05F54017" w14:textId="77777777" w:rsidR="005D2494" w:rsidRPr="006C15D5" w:rsidRDefault="005D2494" w:rsidP="00FB1DD3">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5B03305" w14:textId="77777777" w:rsidR="005D2494" w:rsidRDefault="005D2494" w:rsidP="005D2494"/>
    <w:p w14:paraId="63A23542" w14:textId="77777777" w:rsidR="005D2494" w:rsidRDefault="005D2494" w:rsidP="005D2494"/>
    <w:p w14:paraId="75A2D86C" w14:textId="77777777" w:rsidR="005D2494" w:rsidRDefault="005D2494"/>
    <w:sectPr w:rsidR="005D2494" w:rsidSect="007F212F">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CE7F" w14:textId="77777777" w:rsidR="00BF45F1" w:rsidRDefault="00BF45F1" w:rsidP="005D2494">
      <w:r>
        <w:separator/>
      </w:r>
    </w:p>
  </w:endnote>
  <w:endnote w:type="continuationSeparator" w:id="0">
    <w:p w14:paraId="568E96F2" w14:textId="77777777" w:rsidR="00BF45F1" w:rsidRDefault="00BF45F1" w:rsidP="005D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0DE" w14:textId="77777777" w:rsidR="007F212F" w:rsidRDefault="00BF45F1" w:rsidP="007F212F">
    <w:pPr>
      <w:pStyle w:val="Sinespaciado"/>
      <w:jc w:val="right"/>
      <w:rPr>
        <w:rFonts w:ascii="Arial" w:hAnsi="Arial" w:cs="Arial"/>
        <w:sz w:val="18"/>
        <w:szCs w:val="18"/>
      </w:rPr>
    </w:pPr>
  </w:p>
  <w:p w14:paraId="2EB96FD8" w14:textId="77777777" w:rsidR="007F212F" w:rsidRDefault="00BF45F1" w:rsidP="007F212F">
    <w:pPr>
      <w:pStyle w:val="Sinespaciado"/>
      <w:jc w:val="right"/>
      <w:rPr>
        <w:rFonts w:ascii="Arial" w:hAnsi="Arial" w:cs="Arial"/>
        <w:sz w:val="18"/>
        <w:szCs w:val="18"/>
      </w:rPr>
    </w:pPr>
  </w:p>
  <w:p w14:paraId="1B0477FB" w14:textId="77777777" w:rsidR="007F212F" w:rsidRPr="008217B7" w:rsidRDefault="005D2494"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7B88BD" w14:textId="77777777" w:rsidR="007F212F" w:rsidRDefault="005D2494" w:rsidP="007F212F">
    <w:pPr>
      <w:pStyle w:val="Piedepgina"/>
      <w:jc w:val="center"/>
      <w:rPr>
        <w:lang w:val="es-ES"/>
      </w:rPr>
    </w:pPr>
    <w:r>
      <w:rPr>
        <w:noProof/>
      </w:rPr>
      <w:drawing>
        <wp:inline distT="0" distB="0" distL="0" distR="0" wp14:anchorId="2100B5CE" wp14:editId="334B512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F39891C" w14:textId="77777777" w:rsidR="007F212F" w:rsidRPr="00E756AC" w:rsidRDefault="00BF45F1" w:rsidP="007F212F">
    <w:pPr>
      <w:pStyle w:val="Piedepgina"/>
      <w:jc w:val="center"/>
      <w:rPr>
        <w:sz w:val="18"/>
        <w:szCs w:val="18"/>
        <w:lang w:val="es-ES"/>
      </w:rPr>
    </w:pPr>
  </w:p>
  <w:p w14:paraId="1D4DD7D5" w14:textId="77777777" w:rsidR="007F212F" w:rsidRPr="00E756AC" w:rsidRDefault="00BF45F1"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D5C3" w14:textId="77777777" w:rsidR="00BF45F1" w:rsidRDefault="00BF45F1" w:rsidP="005D2494">
      <w:r>
        <w:separator/>
      </w:r>
    </w:p>
  </w:footnote>
  <w:footnote w:type="continuationSeparator" w:id="0">
    <w:p w14:paraId="28B1D88B" w14:textId="77777777" w:rsidR="00BF45F1" w:rsidRDefault="00BF45F1" w:rsidP="005D2494">
      <w:r>
        <w:continuationSeparator/>
      </w:r>
    </w:p>
  </w:footnote>
  <w:footnote w:id="1">
    <w:p w14:paraId="69CB4AD3" w14:textId="77777777" w:rsidR="005D2494" w:rsidRPr="00561495" w:rsidRDefault="005D2494" w:rsidP="005D2494">
      <w:pPr>
        <w:ind w:right="49" w:firstLine="720"/>
        <w:jc w:val="both"/>
        <w:rPr>
          <w:rFonts w:ascii="Arial" w:hAnsi="Arial" w:cs="Arial"/>
          <w:color w:val="000000" w:themeColor="text1"/>
          <w:sz w:val="19"/>
          <w:szCs w:val="19"/>
        </w:rPr>
      </w:pPr>
      <w:r w:rsidRPr="00561495">
        <w:rPr>
          <w:rStyle w:val="Refdenotaalpie"/>
          <w:rFonts w:ascii="Arial" w:hAnsi="Arial" w:cs="Arial"/>
          <w:color w:val="000000" w:themeColor="text1"/>
          <w:sz w:val="19"/>
          <w:szCs w:val="19"/>
        </w:rPr>
        <w:footnoteRef/>
      </w:r>
      <w:r w:rsidRPr="00561495">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61495">
        <w:rPr>
          <w:rFonts w:ascii="Arial" w:hAnsi="Arial" w:cs="Arial"/>
          <w:color w:val="000000" w:themeColor="text1"/>
          <w:spacing w:val="-14"/>
          <w:sz w:val="19"/>
          <w:szCs w:val="19"/>
        </w:rPr>
        <w:t xml:space="preserve"> </w:t>
      </w:r>
      <w:r w:rsidRPr="00561495">
        <w:rPr>
          <w:rFonts w:ascii="Arial" w:hAnsi="Arial" w:cs="Arial"/>
          <w:color w:val="000000" w:themeColor="text1"/>
          <w:sz w:val="19"/>
          <w:szCs w:val="19"/>
        </w:rPr>
        <w:t>utilizados.</w:t>
      </w:r>
    </w:p>
    <w:p w14:paraId="37027C96" w14:textId="77777777" w:rsidR="005D2494" w:rsidRPr="00561495" w:rsidRDefault="005D2494" w:rsidP="005D2494">
      <w:pPr>
        <w:ind w:right="49" w:firstLine="708"/>
        <w:jc w:val="both"/>
        <w:rPr>
          <w:rFonts w:ascii="Arial" w:hAnsi="Arial" w:cs="Arial"/>
          <w:color w:val="000000" w:themeColor="text1"/>
          <w:sz w:val="19"/>
          <w:szCs w:val="19"/>
        </w:rPr>
      </w:pPr>
      <w:r w:rsidRPr="00561495">
        <w:rPr>
          <w:rFonts w:ascii="Arial" w:hAnsi="Arial" w:cs="Arial"/>
          <w:color w:val="000000" w:themeColor="text1"/>
          <w:sz w:val="19"/>
          <w:szCs w:val="19"/>
        </w:rPr>
        <w:t>[…]</w:t>
      </w:r>
    </w:p>
    <w:p w14:paraId="75724A99" w14:textId="77777777" w:rsidR="005D2494" w:rsidRPr="00561495" w:rsidRDefault="005D2494" w:rsidP="005D2494">
      <w:pPr>
        <w:ind w:right="49" w:firstLine="708"/>
        <w:jc w:val="both"/>
        <w:rPr>
          <w:rFonts w:ascii="Arial" w:hAnsi="Arial" w:cs="Arial"/>
          <w:color w:val="000000" w:themeColor="text1"/>
          <w:sz w:val="19"/>
          <w:szCs w:val="19"/>
        </w:rPr>
      </w:pPr>
      <w:proofErr w:type="gramStart"/>
      <w:r w:rsidRPr="00561495">
        <w:rPr>
          <w:rFonts w:ascii="Arial" w:hAnsi="Arial" w:cs="Arial"/>
          <w:color w:val="000000" w:themeColor="text1"/>
          <w:sz w:val="19"/>
          <w:szCs w:val="19"/>
        </w:rPr>
        <w:t>»Capacidad</w:t>
      </w:r>
      <w:proofErr w:type="gramEnd"/>
      <w:r w:rsidRPr="00561495">
        <w:rPr>
          <w:rFonts w:ascii="Arial"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p>
    <w:p w14:paraId="3CA4D40E" w14:textId="77777777" w:rsidR="005D2494" w:rsidRPr="00561495" w:rsidRDefault="005D2494" w:rsidP="005D2494">
      <w:pPr>
        <w:ind w:right="49" w:firstLine="708"/>
        <w:jc w:val="both"/>
        <w:rPr>
          <w:rFonts w:ascii="Arial" w:hAnsi="Arial" w:cs="Arial"/>
          <w:color w:val="000000" w:themeColor="text1"/>
          <w:sz w:val="19"/>
          <w:szCs w:val="19"/>
        </w:rPr>
      </w:pPr>
    </w:p>
  </w:footnote>
  <w:footnote w:id="2">
    <w:p w14:paraId="1A67FC53" w14:textId="77777777" w:rsidR="005D2494" w:rsidRPr="00561495" w:rsidRDefault="005D2494" w:rsidP="005D2494">
      <w:pPr>
        <w:ind w:right="49" w:firstLine="720"/>
        <w:jc w:val="both"/>
        <w:rPr>
          <w:rFonts w:ascii="Arial" w:hAnsi="Arial" w:cs="Arial"/>
          <w:color w:val="000000" w:themeColor="text1"/>
          <w:sz w:val="19"/>
          <w:szCs w:val="19"/>
        </w:rPr>
      </w:pPr>
      <w:r w:rsidRPr="00561495">
        <w:rPr>
          <w:rStyle w:val="Refdenotaalpie"/>
          <w:rFonts w:ascii="Arial" w:hAnsi="Arial" w:cs="Arial"/>
          <w:color w:val="000000" w:themeColor="text1"/>
          <w:sz w:val="19"/>
          <w:szCs w:val="19"/>
        </w:rPr>
        <w:footnoteRef/>
      </w:r>
      <w:r w:rsidRPr="00561495">
        <w:rPr>
          <w:rFonts w:ascii="Arial" w:hAnsi="Arial" w:cs="Arial"/>
          <w:color w:val="000000" w:themeColor="text1"/>
          <w:sz w:val="19"/>
          <w:szCs w:val="19"/>
        </w:rPr>
        <w:t xml:space="preserve"> Consejo de Estado. Sección Tercera. Providencia del 26 de junio de 2003. </w:t>
      </w:r>
      <w:proofErr w:type="spellStart"/>
      <w:r w:rsidRPr="00561495">
        <w:rPr>
          <w:rFonts w:ascii="Arial" w:hAnsi="Arial" w:cs="Arial"/>
          <w:color w:val="000000" w:themeColor="text1"/>
          <w:sz w:val="19"/>
          <w:szCs w:val="19"/>
        </w:rPr>
        <w:t>Exp</w:t>
      </w:r>
      <w:proofErr w:type="spellEnd"/>
      <w:r w:rsidRPr="00561495">
        <w:rPr>
          <w:rFonts w:ascii="Arial" w:hAnsi="Arial" w:cs="Arial"/>
          <w:color w:val="000000" w:themeColor="text1"/>
          <w:sz w:val="19"/>
          <w:szCs w:val="19"/>
        </w:rPr>
        <w:t>. 13.354. C.P. María Elena Giraldo Gómez.</w:t>
      </w:r>
    </w:p>
    <w:p w14:paraId="2247AA76" w14:textId="77777777" w:rsidR="005D2494" w:rsidRPr="00561495" w:rsidRDefault="005D2494" w:rsidP="005D2494">
      <w:pPr>
        <w:pStyle w:val="Textonotapie"/>
        <w:ind w:right="49"/>
        <w:jc w:val="both"/>
        <w:rPr>
          <w:rFonts w:ascii="Arial" w:hAnsi="Arial" w:cs="Arial"/>
          <w:color w:val="000000" w:themeColor="text1"/>
          <w:sz w:val="19"/>
          <w:szCs w:val="19"/>
          <w:lang w:val="es-CO"/>
        </w:rPr>
      </w:pPr>
    </w:p>
  </w:footnote>
  <w:footnote w:id="3">
    <w:p w14:paraId="32632E16" w14:textId="77777777" w:rsidR="005D2494" w:rsidRPr="00561495" w:rsidRDefault="005D2494" w:rsidP="005D2494">
      <w:pPr>
        <w:ind w:right="49" w:firstLine="708"/>
        <w:jc w:val="both"/>
        <w:rPr>
          <w:rFonts w:ascii="Arial" w:hAnsi="Arial" w:cs="Arial"/>
          <w:color w:val="000000" w:themeColor="text1"/>
          <w:sz w:val="19"/>
          <w:szCs w:val="19"/>
        </w:rPr>
      </w:pPr>
      <w:r w:rsidRPr="00561495">
        <w:rPr>
          <w:rStyle w:val="Refdenotaalpie"/>
          <w:rFonts w:ascii="Arial" w:hAnsi="Arial" w:cs="Arial"/>
          <w:color w:val="000000" w:themeColor="text1"/>
          <w:sz w:val="19"/>
          <w:szCs w:val="19"/>
        </w:rPr>
        <w:footnoteRef/>
      </w:r>
      <w:r w:rsidRPr="00561495">
        <w:rPr>
          <w:rFonts w:ascii="Arial" w:hAnsi="Arial" w:cs="Arial"/>
          <w:color w:val="000000" w:themeColor="text1"/>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561495">
        <w:rPr>
          <w:rFonts w:ascii="Arial" w:hAnsi="Arial" w:cs="Arial"/>
          <w:color w:val="000000" w:themeColor="text1"/>
          <w:spacing w:val="-3"/>
          <w:sz w:val="19"/>
          <w:szCs w:val="19"/>
        </w:rPr>
        <w:t xml:space="preserve"> </w:t>
      </w:r>
      <w:r w:rsidRPr="00561495">
        <w:rPr>
          <w:rFonts w:ascii="Arial" w:hAnsi="Arial" w:cs="Arial"/>
          <w:color w:val="000000" w:themeColor="text1"/>
          <w:sz w:val="19"/>
          <w:szCs w:val="19"/>
        </w:rPr>
        <w:t>documentos:</w:t>
      </w:r>
    </w:p>
    <w:p w14:paraId="21EBC4D5" w14:textId="77777777" w:rsidR="005D2494" w:rsidRPr="00561495" w:rsidRDefault="005D2494" w:rsidP="005D2494">
      <w:pPr>
        <w:ind w:right="49" w:firstLine="708"/>
        <w:jc w:val="both"/>
        <w:rPr>
          <w:rFonts w:ascii="Arial" w:hAnsi="Arial" w:cs="Arial"/>
          <w:color w:val="000000" w:themeColor="text1"/>
          <w:sz w:val="19"/>
          <w:szCs w:val="19"/>
        </w:rPr>
      </w:pPr>
      <w:r w:rsidRPr="00561495">
        <w:rPr>
          <w:rFonts w:ascii="Arial"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561495">
        <w:rPr>
          <w:rFonts w:ascii="Arial" w:hAnsi="Arial" w:cs="Arial"/>
          <w:color w:val="000000" w:themeColor="text1"/>
          <w:spacing w:val="-4"/>
          <w:sz w:val="19"/>
          <w:szCs w:val="19"/>
        </w:rPr>
        <w:t xml:space="preserve"> </w:t>
      </w:r>
      <w:r w:rsidRPr="00561495">
        <w:rPr>
          <w:rFonts w:ascii="Arial" w:hAnsi="Arial" w:cs="Arial"/>
          <w:color w:val="000000" w:themeColor="text1"/>
          <w:sz w:val="19"/>
          <w:szCs w:val="19"/>
        </w:rPr>
        <w:t>concesionarios.</w:t>
      </w:r>
    </w:p>
    <w:p w14:paraId="6CEAD3C0" w14:textId="77777777" w:rsidR="005D2494" w:rsidRPr="00561495" w:rsidRDefault="005D2494" w:rsidP="005D2494">
      <w:pPr>
        <w:ind w:right="49" w:firstLine="708"/>
        <w:jc w:val="both"/>
        <w:rPr>
          <w:rFonts w:ascii="Arial" w:hAnsi="Arial" w:cs="Arial"/>
          <w:color w:val="000000" w:themeColor="text1"/>
          <w:sz w:val="19"/>
          <w:szCs w:val="19"/>
        </w:rPr>
      </w:pPr>
      <w:r w:rsidRPr="00561495">
        <w:rPr>
          <w:rFonts w:ascii="Arial"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7CA6BAF" w14:textId="77777777" w:rsidR="005D2494" w:rsidRPr="00561495" w:rsidRDefault="005D2494" w:rsidP="005D2494">
      <w:pPr>
        <w:ind w:right="49" w:firstLine="708"/>
        <w:jc w:val="both"/>
        <w:rPr>
          <w:rFonts w:ascii="Arial" w:hAnsi="Arial" w:cs="Arial"/>
          <w:color w:val="000000" w:themeColor="text1"/>
          <w:sz w:val="19"/>
          <w:szCs w:val="19"/>
        </w:rPr>
      </w:pPr>
      <w:r w:rsidRPr="00561495">
        <w:rPr>
          <w:rFonts w:ascii="Arial"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7B91C0A8" w14:textId="77777777" w:rsidR="005D2494" w:rsidRPr="00561495" w:rsidRDefault="005D2494" w:rsidP="005D2494">
      <w:pPr>
        <w:pStyle w:val="Textonotapie"/>
        <w:ind w:right="49"/>
        <w:jc w:val="both"/>
        <w:rPr>
          <w:rFonts w:ascii="Arial" w:hAnsi="Arial" w:cs="Arial"/>
          <w:color w:val="000000" w:themeColor="text1"/>
          <w:sz w:val="19"/>
          <w:szCs w:val="19"/>
        </w:rPr>
      </w:pPr>
    </w:p>
  </w:footnote>
  <w:footnote w:id="4">
    <w:p w14:paraId="2198F40E" w14:textId="77777777" w:rsidR="005D2494" w:rsidRPr="0022529B" w:rsidRDefault="005D2494" w:rsidP="005D2494">
      <w:pPr>
        <w:pStyle w:val="Textonotapie"/>
        <w:ind w:firstLine="708"/>
        <w:jc w:val="both"/>
        <w:rPr>
          <w:rFonts w:ascii="Arial" w:hAnsi="Arial" w:cs="Arial"/>
          <w:sz w:val="19"/>
          <w:szCs w:val="19"/>
          <w:lang w:val="es-CO"/>
        </w:rPr>
      </w:pPr>
      <w:r w:rsidRPr="00561495">
        <w:rPr>
          <w:rStyle w:val="Refdenotaalpie"/>
          <w:rFonts w:ascii="Arial" w:hAnsi="Arial" w:cs="Arial"/>
          <w:sz w:val="19"/>
          <w:szCs w:val="19"/>
        </w:rPr>
        <w:footnoteRef/>
      </w:r>
      <w:r w:rsidRPr="00561495">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w:t>
      </w:r>
      <w:proofErr w:type="spellStart"/>
      <w:r w:rsidRPr="00561495">
        <w:rPr>
          <w:rFonts w:ascii="Arial" w:hAnsi="Arial" w:cs="Arial"/>
          <w:sz w:val="19"/>
          <w:szCs w:val="19"/>
        </w:rPr>
        <w:t>Pág</w:t>
      </w:r>
      <w:proofErr w:type="spellEnd"/>
      <w:r w:rsidRPr="00561495">
        <w:rPr>
          <w:rFonts w:ascii="Arial" w:hAnsi="Arial" w:cs="Arial"/>
          <w:sz w:val="19"/>
          <w:szCs w:val="19"/>
        </w:rPr>
        <w:t xml:space="preserve"> 4. Disponible en: </w:t>
      </w:r>
      <w:hyperlink r:id="rId1" w:history="1">
        <w:r w:rsidRPr="00561495">
          <w:rPr>
            <w:rStyle w:val="Hipervnculo"/>
            <w:rFonts w:ascii="Arial" w:hAnsi="Arial" w:cs="Arial"/>
            <w:sz w:val="19"/>
            <w:szCs w:val="19"/>
          </w:rPr>
          <w:t>https://colombiacompra.gov.co/sites/cce_public/files/cce_documents/cce_guia_capacidad_residual.pdf</w:t>
        </w:r>
      </w:hyperlink>
      <w:r w:rsidRPr="0022529B">
        <w:rPr>
          <w:rFonts w:ascii="Arial" w:hAnsi="Arial" w:cs="Arial"/>
          <w:sz w:val="19"/>
          <w:szCs w:val="19"/>
        </w:rPr>
        <w:t xml:space="preserve"> </w:t>
      </w:r>
    </w:p>
  </w:footnote>
  <w:footnote w:id="5">
    <w:p w14:paraId="03D77CDB" w14:textId="77777777" w:rsidR="005D2494" w:rsidRPr="00561495" w:rsidRDefault="005D2494" w:rsidP="005D2494">
      <w:pPr>
        <w:pStyle w:val="Textonotapie"/>
        <w:ind w:firstLine="709"/>
        <w:jc w:val="both"/>
        <w:rPr>
          <w:rFonts w:ascii="Arial" w:hAnsi="Arial" w:cs="Arial"/>
          <w:sz w:val="19"/>
          <w:szCs w:val="19"/>
        </w:rPr>
      </w:pPr>
      <w:r w:rsidRPr="00561495">
        <w:rPr>
          <w:rStyle w:val="Refdenotaalpie"/>
          <w:rFonts w:ascii="Arial" w:hAnsi="Arial" w:cs="Arial"/>
          <w:sz w:val="19"/>
          <w:szCs w:val="19"/>
        </w:rPr>
        <w:footnoteRef/>
      </w:r>
      <w:r w:rsidRPr="00561495">
        <w:rPr>
          <w:rFonts w:ascii="Arial" w:hAnsi="Arial" w:cs="Arial"/>
          <w:sz w:val="19"/>
          <w:szCs w:val="19"/>
        </w:rPr>
        <w:t xml:space="preserve"> En el caso de los procesos de contratación adelantados a través de los documentos tipo de licitación de obra pública de infraestructura de transporte –versión 3–, el literal E del numeral 3.10.2 del Documento Base de estos pliegos tipo, dispone que la lista de los contratos en ejecución debe estar contenida en el «Formato 5 – Capacidad Residual», el cual debe suscribirse por el representante legal y su revisor fiscal si el proponente está obligado a tenerlo, o por el contador o su auditor independiente. A su vez, en dicho Formato se dispone que «[l]a entidad estatal deberá estructurar los formatos para la verificación de la capacidad residual </w:t>
      </w:r>
      <w:proofErr w:type="spellStart"/>
      <w:r w:rsidRPr="00561495">
        <w:rPr>
          <w:rFonts w:ascii="Arial" w:hAnsi="Arial" w:cs="Arial"/>
          <w:sz w:val="19"/>
          <w:szCs w:val="19"/>
        </w:rPr>
        <w:t>utlizando</w:t>
      </w:r>
      <w:proofErr w:type="spellEnd"/>
      <w:r w:rsidRPr="00561495">
        <w:rPr>
          <w:rFonts w:ascii="Arial" w:hAnsi="Arial" w:cs="Arial"/>
          <w:sz w:val="19"/>
          <w:szCs w:val="19"/>
        </w:rPr>
        <w:t xml:space="preserve"> los formatos y la metodología señalada en la "Guía para Determinar y Verificar la Capacidad Residual del Proponente en los Procesos de Contratación de Obra Pública" de la Agencia Nacional de Contratación Pública - Colombia Compra Eficiente».</w:t>
      </w:r>
    </w:p>
  </w:footnote>
  <w:footnote w:id="6">
    <w:p w14:paraId="7CDD80C6" w14:textId="77777777" w:rsidR="005D2494" w:rsidRPr="00561495" w:rsidRDefault="005D2494" w:rsidP="005D2494">
      <w:pPr>
        <w:pStyle w:val="Textonotapie"/>
        <w:ind w:firstLine="708"/>
        <w:jc w:val="both"/>
        <w:rPr>
          <w:rFonts w:ascii="Arial" w:hAnsi="Arial" w:cs="Arial"/>
          <w:sz w:val="19"/>
          <w:szCs w:val="19"/>
        </w:rPr>
      </w:pPr>
      <w:r w:rsidRPr="00561495">
        <w:rPr>
          <w:rStyle w:val="Refdenotaalpie"/>
          <w:rFonts w:ascii="Arial" w:hAnsi="Arial" w:cs="Arial"/>
          <w:sz w:val="19"/>
          <w:szCs w:val="19"/>
        </w:rPr>
        <w:footnoteRef/>
      </w:r>
      <w:r w:rsidRPr="00561495">
        <w:rPr>
          <w:rFonts w:ascii="Arial" w:hAnsi="Arial" w:cs="Arial"/>
          <w:sz w:val="19"/>
          <w:szCs w:val="19"/>
        </w:rPr>
        <w:t xml:space="preserve"> Al respecto, en el literal E del numeral 4</w:t>
      </w:r>
      <w:r w:rsidRPr="0022529B">
        <w:rPr>
          <w:rFonts w:ascii="Arial" w:hAnsi="Arial" w:cs="Arial"/>
          <w:sz w:val="19"/>
          <w:szCs w:val="19"/>
        </w:rPr>
        <w:t xml:space="preserve"> </w:t>
      </w:r>
      <w:r w:rsidRPr="00561495">
        <w:rPr>
          <w:rFonts w:ascii="Arial" w:hAnsi="Arial" w:cs="Arial"/>
          <w:sz w:val="19"/>
          <w:szCs w:val="19"/>
        </w:rPr>
        <w:t>de la «Guía para Determinar y Verificar la Capacidad Residual del Proponente en los Procesos de Contratación de Obra Pública»,  que responde a la pregunta de «¿Cómo presentar la lista de Contratos en Ejecución?», se establece: «Si un contrato se encuentra suspendido, el cálculo del Saldo del Contrato en Ejecución de dicho contrato debe calcularse asumiendo que lo que falta por ejecutar empezará a ejecutarse en la fecha de la presentación de la oferta del Proceso de Contratación».</w:t>
      </w:r>
    </w:p>
    <w:p w14:paraId="58A21401" w14:textId="77777777" w:rsidR="005D2494" w:rsidRPr="00561495" w:rsidRDefault="005D2494" w:rsidP="005D2494">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4FBD" w14:textId="77777777" w:rsidR="007F212F" w:rsidRDefault="005D2494">
    <w:pPr>
      <w:pStyle w:val="Encabezado"/>
    </w:pPr>
    <w:r>
      <w:rPr>
        <w:noProof/>
        <w:lang w:val="es-CO" w:eastAsia="es-CO"/>
      </w:rPr>
      <w:drawing>
        <wp:anchor distT="0" distB="0" distL="114300" distR="114300" simplePos="0" relativeHeight="251659264" behindDoc="1" locked="0" layoutInCell="1" allowOverlap="1" wp14:anchorId="7E818347" wp14:editId="49962B1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94"/>
    <w:rsid w:val="003F783D"/>
    <w:rsid w:val="004B3D29"/>
    <w:rsid w:val="005D2494"/>
    <w:rsid w:val="008E4F36"/>
    <w:rsid w:val="00AC68F2"/>
    <w:rsid w:val="00BF45F1"/>
    <w:rsid w:val="00C71F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AAED"/>
  <w15:chartTrackingRefBased/>
  <w15:docId w15:val="{3AC0A9D3-E0C5-4F88-AB4B-B6033D29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9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D2494"/>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5D2494"/>
    <w:rPr>
      <w:sz w:val="24"/>
      <w:lang w:val="es-MX"/>
    </w:rPr>
  </w:style>
  <w:style w:type="paragraph" w:styleId="Encabezado">
    <w:name w:val="header"/>
    <w:basedOn w:val="Normal"/>
    <w:link w:val="EncabezadoCar"/>
    <w:uiPriority w:val="99"/>
    <w:unhideWhenUsed/>
    <w:rsid w:val="005D2494"/>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5D2494"/>
    <w:rPr>
      <w:sz w:val="24"/>
      <w:lang w:val="es-MX"/>
    </w:rPr>
  </w:style>
  <w:style w:type="table" w:styleId="Tablaconcuadrcula">
    <w:name w:val="Table Grid"/>
    <w:basedOn w:val="Tablanormal"/>
    <w:uiPriority w:val="39"/>
    <w:qFormat/>
    <w:rsid w:val="005D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D2494"/>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5D249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D249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D249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5D2494"/>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D2494"/>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5D2494"/>
    <w:rPr>
      <w:vertAlign w:val="superscript"/>
    </w:rPr>
  </w:style>
  <w:style w:type="paragraph" w:styleId="Textoindependiente">
    <w:name w:val="Body Text"/>
    <w:basedOn w:val="Normal"/>
    <w:link w:val="TextoindependienteCar"/>
    <w:uiPriority w:val="1"/>
    <w:qFormat/>
    <w:rsid w:val="005D2494"/>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5D2494"/>
    <w:rPr>
      <w:rFonts w:ascii="Arial" w:eastAsia="Arial" w:hAnsi="Arial" w:cs="Arial"/>
      <w:sz w:val="20"/>
      <w:szCs w:val="20"/>
      <w:lang w:val="es-ES"/>
    </w:rPr>
  </w:style>
  <w:style w:type="paragraph" w:styleId="NormalWeb">
    <w:name w:val="Normal (Web)"/>
    <w:basedOn w:val="Normal"/>
    <w:link w:val="NormalWebCar"/>
    <w:uiPriority w:val="99"/>
    <w:unhideWhenUsed/>
    <w:rsid w:val="005D2494"/>
    <w:pPr>
      <w:spacing w:before="100" w:beforeAutospacing="1" w:after="100" w:afterAutospacing="1"/>
    </w:pPr>
  </w:style>
  <w:style w:type="paragraph" w:customStyle="1" w:styleId="Appelnotedebasde">
    <w:name w:val="Appel note de bas de..."/>
    <w:basedOn w:val="Normal"/>
    <w:link w:val="Refdenotaalpie"/>
    <w:uiPriority w:val="99"/>
    <w:rsid w:val="005D2494"/>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5D2494"/>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D2494"/>
  </w:style>
  <w:style w:type="character" w:customStyle="1" w:styleId="SinespaciadoCar">
    <w:name w:val="Sin espaciado Car"/>
    <w:aliases w:val="No Indent Car"/>
    <w:link w:val="Sinespaciado"/>
    <w:uiPriority w:val="3"/>
    <w:rsid w:val="005D2494"/>
    <w:rPr>
      <w:sz w:val="24"/>
      <w:lang w:val="es-MX"/>
    </w:rPr>
  </w:style>
  <w:style w:type="character" w:styleId="Hipervnculo">
    <w:name w:val="Hyperlink"/>
    <w:basedOn w:val="Fuentedeprrafopredeter"/>
    <w:uiPriority w:val="99"/>
    <w:unhideWhenUsed/>
    <w:rsid w:val="005D2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apacidad_residual.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6F2B72F-1C4B-473C-97B3-0052E8308793}"/>
</file>

<file path=customXml/itemProps2.xml><?xml version="1.0" encoding="utf-8"?>
<ds:datastoreItem xmlns:ds="http://schemas.openxmlformats.org/officeDocument/2006/customXml" ds:itemID="{38C95D83-B0DE-4CB7-BD29-36F4E7512F0F}"/>
</file>

<file path=customXml/itemProps3.xml><?xml version="1.0" encoding="utf-8"?>
<ds:datastoreItem xmlns:ds="http://schemas.openxmlformats.org/officeDocument/2006/customXml" ds:itemID="{F41C055B-4238-4B26-896B-5B354E4710B0}"/>
</file>

<file path=docProps/app.xml><?xml version="1.0" encoding="utf-8"?>
<Properties xmlns="http://schemas.openxmlformats.org/officeDocument/2006/extended-properties" xmlns:vt="http://schemas.openxmlformats.org/officeDocument/2006/docPropsVTypes">
  <Template>Normal</Template>
  <TotalTime>5</TotalTime>
  <Pages>12</Pages>
  <Words>3951</Words>
  <Characters>21731</Characters>
  <Application>Microsoft Office Word</Application>
  <DocSecurity>0</DocSecurity>
  <Lines>181</Lines>
  <Paragraphs>51</Paragraphs>
  <ScaleCrop>false</ScaleCrop>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6</cp:revision>
  <dcterms:created xsi:type="dcterms:W3CDTF">2021-11-23T20:58:00Z</dcterms:created>
  <dcterms:modified xsi:type="dcterms:W3CDTF">2021-11-23T21:04:00Z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