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3906" w14:textId="77777777" w:rsidR="00DE6178" w:rsidRPr="00EE7E31" w:rsidRDefault="00DE6178" w:rsidP="00DE6178">
      <w:pPr>
        <w:jc w:val="right"/>
        <w:rPr>
          <w:rFonts w:ascii="Arial" w:eastAsia="Calibri" w:hAnsi="Arial" w:cs="Arial"/>
          <w:b/>
          <w:color w:val="000000" w:themeColor="text1"/>
          <w:sz w:val="20"/>
          <w:szCs w:val="20"/>
          <w:lang w:val="es-ES_tradnl"/>
        </w:rPr>
      </w:pPr>
      <w:bookmarkStart w:id="0" w:name="_Hlk28946138"/>
      <w:bookmarkStart w:id="1" w:name="_Hlk29548183"/>
      <w:r w:rsidRPr="00EE7E31">
        <w:rPr>
          <w:rFonts w:ascii="Arial" w:hAnsi="Arial" w:cs="Arial"/>
          <w:bCs/>
          <w:color w:val="000000" w:themeColor="text1"/>
          <w:sz w:val="16"/>
          <w:szCs w:val="16"/>
          <w:lang w:val="es-ES_tradnl" w:eastAsia="es-ES"/>
        </w:rPr>
        <w:t>CCE-DES-FM-17</w:t>
      </w:r>
      <w:bookmarkEnd w:id="0"/>
      <w:bookmarkEnd w:id="1"/>
    </w:p>
    <w:p w14:paraId="214079D1" w14:textId="77777777" w:rsidR="00DE6178" w:rsidRPr="00EE7E31" w:rsidRDefault="00DE6178" w:rsidP="00DE6178">
      <w:pPr>
        <w:jc w:val="both"/>
        <w:rPr>
          <w:rFonts w:ascii="Arial" w:hAnsi="Arial" w:cs="Arial"/>
          <w:color w:val="000000" w:themeColor="text1"/>
          <w:sz w:val="22"/>
          <w:lang w:val="es-ES_tradnl"/>
        </w:rPr>
      </w:pPr>
    </w:p>
    <w:p w14:paraId="418E0A36" w14:textId="77777777" w:rsidR="00DE6178" w:rsidRPr="00EE7E31" w:rsidRDefault="00DE6178" w:rsidP="00DE6178">
      <w:pPr>
        <w:jc w:val="both"/>
        <w:rPr>
          <w:rFonts w:ascii="Arial" w:eastAsia="Calibri" w:hAnsi="Arial" w:cs="Arial"/>
          <w:b/>
          <w:sz w:val="22"/>
          <w:lang w:val="es-ES_tradnl"/>
        </w:rPr>
      </w:pPr>
    </w:p>
    <w:p w14:paraId="012A97CE" w14:textId="77777777" w:rsidR="00DE6178" w:rsidRPr="00EE7E31" w:rsidRDefault="00DE6178" w:rsidP="00DE6178">
      <w:pPr>
        <w:jc w:val="both"/>
        <w:rPr>
          <w:rFonts w:ascii="Arial" w:eastAsia="Calibri" w:hAnsi="Arial" w:cs="Arial"/>
          <w:b/>
          <w:sz w:val="22"/>
          <w:lang w:val="es-ES_tradnl"/>
        </w:rPr>
      </w:pPr>
      <w:r w:rsidRPr="00EE7E31">
        <w:rPr>
          <w:rFonts w:ascii="Arial" w:eastAsia="Calibri" w:hAnsi="Arial" w:cs="Arial"/>
          <w:b/>
          <w:sz w:val="22"/>
          <w:lang w:val="es-ES_tradnl"/>
        </w:rPr>
        <w:t xml:space="preserve">DOCUMENTOS TIPO </w:t>
      </w:r>
      <w:r w:rsidRPr="00EE7E31">
        <w:rPr>
          <w:rFonts w:ascii="Arial" w:eastAsia="Calibri" w:hAnsi="Arial" w:cs="Arial"/>
          <w:b/>
          <w:color w:val="000000" w:themeColor="text1"/>
          <w:sz w:val="22"/>
          <w:lang w:val="es-ES_tradnl"/>
        </w:rPr>
        <w:t>–</w:t>
      </w:r>
      <w:r w:rsidRPr="00EE7E31">
        <w:rPr>
          <w:rFonts w:ascii="Arial" w:eastAsia="Calibri" w:hAnsi="Arial" w:cs="Arial"/>
          <w:b/>
          <w:sz w:val="22"/>
          <w:lang w:val="es-ES_tradnl"/>
        </w:rPr>
        <w:t xml:space="preserve"> Fundamento normativo </w:t>
      </w:r>
      <w:r w:rsidRPr="00EE7E31">
        <w:rPr>
          <w:rFonts w:ascii="Arial" w:eastAsia="Calibri" w:hAnsi="Arial" w:cs="Arial"/>
          <w:b/>
          <w:color w:val="000000" w:themeColor="text1"/>
          <w:sz w:val="22"/>
          <w:lang w:val="es-ES_tradnl"/>
        </w:rPr>
        <w:t xml:space="preserve">– </w:t>
      </w:r>
      <w:r w:rsidRPr="00EE7E31">
        <w:rPr>
          <w:rFonts w:ascii="Arial" w:eastAsia="Calibri" w:hAnsi="Arial" w:cs="Arial"/>
          <w:b/>
          <w:sz w:val="22"/>
          <w:lang w:val="es-ES_tradnl"/>
        </w:rPr>
        <w:t>Ley 2022 de 2020 – Artículo 1</w:t>
      </w:r>
    </w:p>
    <w:p w14:paraId="5A0E79AC" w14:textId="77777777" w:rsidR="00DE6178" w:rsidRPr="00EE7E31" w:rsidRDefault="00DE6178" w:rsidP="00DE6178">
      <w:pPr>
        <w:jc w:val="both"/>
        <w:rPr>
          <w:rFonts w:ascii="Arial" w:eastAsia="Calibri" w:hAnsi="Arial" w:cs="Arial"/>
          <w:b/>
          <w:sz w:val="22"/>
          <w:lang w:val="es-ES_tradnl"/>
        </w:rPr>
      </w:pPr>
    </w:p>
    <w:p w14:paraId="785EB265" w14:textId="77777777" w:rsidR="00DE6178" w:rsidRPr="00EE7E31" w:rsidRDefault="00DE6178" w:rsidP="00DE6178">
      <w:pPr>
        <w:jc w:val="both"/>
        <w:rPr>
          <w:rFonts w:ascii="Arial" w:eastAsia="Calibri" w:hAnsi="Arial" w:cs="Arial"/>
          <w:sz w:val="20"/>
          <w:szCs w:val="20"/>
          <w:lang w:val="es-ES_tradnl"/>
        </w:rPr>
      </w:pPr>
      <w:r w:rsidRPr="00EE7E31">
        <w:rPr>
          <w:rFonts w:ascii="Arial" w:eastAsia="Calibri" w:hAnsi="Arial" w:cs="Arial"/>
          <w:sz w:val="20"/>
          <w:szCs w:val="20"/>
          <w:lang w:val="es-ES_tradnl"/>
        </w:rPr>
        <w:t>[…]</w:t>
      </w:r>
      <w:r>
        <w:rPr>
          <w:rFonts w:ascii="Arial" w:eastAsia="Calibri" w:hAnsi="Arial" w:cs="Arial"/>
          <w:sz w:val="20"/>
          <w:szCs w:val="20"/>
          <w:lang w:val="es-ES_tradnl"/>
        </w:rPr>
        <w:t xml:space="preserve"> </w:t>
      </w:r>
      <w:r w:rsidRPr="00EC3BE3">
        <w:rPr>
          <w:rFonts w:ascii="Arial" w:eastAsia="Calibri" w:hAnsi="Arial" w:cs="Arial"/>
          <w:sz w:val="20"/>
          <w:szCs w:val="20"/>
          <w:lang w:val="es-ES_tradnl"/>
        </w:rPr>
        <w:t xml:space="preserve">debe tenerse en cuenta que la Ley 2022 de 2020 fue sancionada por el Presidente de la República el 22 de julio del año pasado, y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r>
        <w:rPr>
          <w:rFonts w:ascii="Arial" w:eastAsia="Calibri" w:hAnsi="Arial" w:cs="Arial"/>
          <w:sz w:val="20"/>
          <w:szCs w:val="20"/>
          <w:lang w:val="es-ES_tradnl"/>
        </w:rPr>
        <w:t>[…]</w:t>
      </w:r>
    </w:p>
    <w:p w14:paraId="63EEBC1C" w14:textId="77777777" w:rsidR="00DE6178" w:rsidRPr="00EE7E31" w:rsidRDefault="00DE6178" w:rsidP="00DE6178">
      <w:pPr>
        <w:jc w:val="both"/>
        <w:rPr>
          <w:rFonts w:ascii="Arial" w:eastAsia="Calibri" w:hAnsi="Arial" w:cs="Arial"/>
          <w:sz w:val="20"/>
          <w:szCs w:val="20"/>
          <w:lang w:val="es-ES_tradnl"/>
        </w:rPr>
      </w:pPr>
    </w:p>
    <w:p w14:paraId="58B35BE8" w14:textId="77777777" w:rsidR="00DE6178" w:rsidRPr="00EE7E31" w:rsidRDefault="00DE6178" w:rsidP="00DE6178">
      <w:pPr>
        <w:jc w:val="both"/>
        <w:rPr>
          <w:rFonts w:ascii="Arial" w:eastAsia="Calibri" w:hAnsi="Arial" w:cs="Arial"/>
          <w:b/>
          <w:sz w:val="22"/>
          <w:lang w:val="es-ES_tradnl"/>
        </w:rPr>
      </w:pPr>
      <w:r w:rsidRPr="00EE7E31">
        <w:rPr>
          <w:rFonts w:ascii="Arial" w:eastAsia="Calibri" w:hAnsi="Arial" w:cs="Arial"/>
          <w:b/>
          <w:sz w:val="22"/>
          <w:lang w:val="es-ES_tradnl"/>
        </w:rPr>
        <w:t xml:space="preserve">INALTERABILIDAD </w:t>
      </w:r>
      <w:r w:rsidRPr="00EE7E31">
        <w:rPr>
          <w:rFonts w:ascii="Arial" w:eastAsia="Calibri" w:hAnsi="Arial" w:cs="Arial"/>
          <w:b/>
          <w:color w:val="000000" w:themeColor="text1"/>
          <w:sz w:val="22"/>
          <w:lang w:val="es-ES_tradnl"/>
        </w:rPr>
        <w:t>–</w:t>
      </w:r>
      <w:r w:rsidRPr="00EE7E31">
        <w:rPr>
          <w:rFonts w:ascii="Arial" w:eastAsia="Calibri" w:hAnsi="Arial" w:cs="Arial"/>
          <w:b/>
          <w:sz w:val="22"/>
          <w:lang w:val="es-ES_tradnl"/>
        </w:rPr>
        <w:t xml:space="preserve"> Documentos tipo </w:t>
      </w:r>
      <w:r w:rsidRPr="00EE7E31">
        <w:rPr>
          <w:rFonts w:ascii="Arial" w:eastAsia="Calibri" w:hAnsi="Arial" w:cs="Arial"/>
          <w:b/>
          <w:color w:val="000000" w:themeColor="text1"/>
          <w:sz w:val="22"/>
          <w:lang w:val="es-ES_tradnl"/>
        </w:rPr>
        <w:t xml:space="preserve">– </w:t>
      </w:r>
      <w:r w:rsidRPr="00EE7E31">
        <w:rPr>
          <w:rFonts w:ascii="Arial" w:eastAsia="Calibri" w:hAnsi="Arial" w:cs="Arial"/>
          <w:b/>
          <w:sz w:val="22"/>
          <w:lang w:val="es-ES_tradnl"/>
        </w:rPr>
        <w:t>Regla vigente – Alcance</w:t>
      </w:r>
    </w:p>
    <w:p w14:paraId="73D9B609" w14:textId="77777777" w:rsidR="00DE6178" w:rsidRPr="00EE7E31" w:rsidRDefault="00DE6178" w:rsidP="00DE6178">
      <w:pPr>
        <w:jc w:val="both"/>
        <w:rPr>
          <w:rFonts w:ascii="Arial" w:eastAsia="Calibri" w:hAnsi="Arial" w:cs="Arial"/>
          <w:b/>
          <w:sz w:val="22"/>
          <w:lang w:val="es-ES_tradnl"/>
        </w:rPr>
      </w:pPr>
    </w:p>
    <w:p w14:paraId="0229608C" w14:textId="77777777" w:rsidR="00DE6178" w:rsidRDefault="00DE6178" w:rsidP="00DE6178">
      <w:pPr>
        <w:jc w:val="both"/>
        <w:rPr>
          <w:rFonts w:ascii="Arial" w:eastAsia="Calibri" w:hAnsi="Arial" w:cs="Arial"/>
          <w:bCs/>
          <w:sz w:val="20"/>
          <w:szCs w:val="20"/>
          <w:lang w:val="es-ES_tradnl"/>
        </w:rPr>
      </w:pPr>
      <w:r w:rsidRPr="00F54310">
        <w:rPr>
          <w:rFonts w:ascii="Arial" w:eastAsia="Calibri" w:hAnsi="Arial" w:cs="Arial"/>
          <w:bCs/>
          <w:sz w:val="20"/>
          <w:szCs w:val="20"/>
          <w:lang w:val="es-ES_tradnl"/>
        </w:rPr>
        <w:t>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08699648" w14:textId="77777777" w:rsidR="00DE6178" w:rsidRDefault="00DE6178" w:rsidP="00DE6178">
      <w:pPr>
        <w:jc w:val="both"/>
        <w:rPr>
          <w:rFonts w:ascii="Arial" w:eastAsia="Calibri" w:hAnsi="Arial" w:cs="Arial"/>
          <w:bCs/>
          <w:sz w:val="20"/>
          <w:szCs w:val="20"/>
          <w:lang w:val="es-ES_tradnl"/>
        </w:rPr>
      </w:pPr>
    </w:p>
    <w:p w14:paraId="55B6FD35" w14:textId="77777777" w:rsidR="00DE6178" w:rsidRPr="00112428" w:rsidRDefault="00DE6178" w:rsidP="00DE6178">
      <w:pPr>
        <w:jc w:val="both"/>
        <w:rPr>
          <w:rFonts w:ascii="Arial" w:eastAsia="Calibri" w:hAnsi="Arial" w:cs="Arial"/>
          <w:b/>
          <w:sz w:val="22"/>
          <w:szCs w:val="22"/>
          <w:lang w:val="es-ES_tradnl"/>
        </w:rPr>
      </w:pPr>
      <w:r>
        <w:rPr>
          <w:rFonts w:ascii="Arial" w:eastAsia="Calibri" w:hAnsi="Arial" w:cs="Arial"/>
          <w:b/>
          <w:sz w:val="22"/>
          <w:szCs w:val="22"/>
          <w:lang w:val="es-ES_tradnl"/>
        </w:rPr>
        <w:t>DOCUMENTOS TIPO – Interventoría – Obra pública de infraestructura de transporte – «Matriz 1 – Experiencia»</w:t>
      </w:r>
    </w:p>
    <w:p w14:paraId="681CBBCD" w14:textId="77777777" w:rsidR="00DE6178" w:rsidRDefault="00DE6178" w:rsidP="00DE6178">
      <w:pPr>
        <w:jc w:val="both"/>
        <w:rPr>
          <w:rFonts w:ascii="Arial" w:eastAsia="Calibri" w:hAnsi="Arial" w:cs="Arial"/>
          <w:bCs/>
          <w:sz w:val="20"/>
          <w:szCs w:val="20"/>
          <w:lang w:val="es-ES_tradnl"/>
        </w:rPr>
      </w:pPr>
    </w:p>
    <w:p w14:paraId="315D850F" w14:textId="77777777" w:rsidR="00DE6178" w:rsidRDefault="00DE6178" w:rsidP="00DE6178">
      <w:pPr>
        <w:jc w:val="both"/>
        <w:rPr>
          <w:rFonts w:ascii="Arial" w:eastAsia="Calibri" w:hAnsi="Arial" w:cs="Arial"/>
          <w:bCs/>
          <w:sz w:val="20"/>
          <w:szCs w:val="20"/>
          <w:lang w:val="es-ES_tradnl"/>
        </w:rPr>
      </w:pPr>
      <w:r w:rsidRPr="00F54310">
        <w:rPr>
          <w:rFonts w:ascii="Arial" w:eastAsia="Calibri" w:hAnsi="Arial" w:cs="Arial"/>
          <w:bCs/>
          <w:sz w:val="20"/>
          <w:szCs w:val="20"/>
          <w:lang w:val="es-ES_tradnl"/>
        </w:rPr>
        <w:t>La Resolución 256 del 11 de diciembre de 2020, «Por la cual se adoptan los documentos tipo para los procesos de selección de concursos de méritos, para contratar la interventoría de obras públicas de infraestructura de transporte» se adoptó en vigencia de la Ley 2022 de 2020. En tal sentido, este documento tipo resulta obligatorio para todas las entidades sometidas al Estatuto General de Contratación de la Administración Pública, que adelanten procesos de concursos de méritos para contratar la interventoría de cualquiera de los proyectos señalados en la «Matriz 1 – Experiencia».</w:t>
      </w:r>
      <w:r>
        <w:rPr>
          <w:rFonts w:ascii="Arial" w:eastAsia="Calibri" w:hAnsi="Arial" w:cs="Arial"/>
          <w:bCs/>
          <w:sz w:val="20"/>
          <w:szCs w:val="20"/>
          <w:lang w:val="es-ES_tradnl"/>
        </w:rPr>
        <w:t xml:space="preserve"> […]</w:t>
      </w:r>
    </w:p>
    <w:p w14:paraId="6BC66544" w14:textId="77777777" w:rsidR="00DE6178" w:rsidRDefault="00DE6178" w:rsidP="00DE6178">
      <w:pPr>
        <w:jc w:val="both"/>
        <w:rPr>
          <w:rFonts w:ascii="Arial" w:eastAsia="Calibri" w:hAnsi="Arial" w:cs="Arial"/>
          <w:bCs/>
          <w:sz w:val="20"/>
          <w:szCs w:val="20"/>
          <w:lang w:val="es-ES_tradnl"/>
        </w:rPr>
      </w:pPr>
      <w:r w:rsidRPr="00F54310">
        <w:rPr>
          <w:rFonts w:ascii="Arial" w:eastAsia="Calibri" w:hAnsi="Arial" w:cs="Arial"/>
          <w:bCs/>
          <w:sz w:val="20"/>
          <w:szCs w:val="20"/>
          <w:lang w:val="es-ES_tradnl"/>
        </w:rPr>
        <w:t>De esta manera, siempre que se vaya a contratar la interventoría de alguno de los proyectos señalados en la «Matriz 1 – Experiencia» y la modalidad de selección aplicable sea el concurso de méritos, las entidades estatales deben aplicar este documento tipo, acatando su contenido, el cual es obligatorio. En consecuencia, la «Matriz 1 – Experiencia», entre otras finalidades, sirve como criterio para establecer el ámbito de aplicación de los documentos tipo, en los términos explicados con anterioridad.</w:t>
      </w:r>
    </w:p>
    <w:p w14:paraId="3527D338" w14:textId="77777777" w:rsidR="00DE6178" w:rsidRPr="00EE7E31" w:rsidRDefault="00DE6178" w:rsidP="00DE6178">
      <w:pPr>
        <w:jc w:val="both"/>
        <w:rPr>
          <w:rFonts w:ascii="Arial" w:eastAsia="Calibri" w:hAnsi="Arial" w:cs="Arial"/>
          <w:bCs/>
          <w:sz w:val="20"/>
          <w:szCs w:val="20"/>
          <w:lang w:val="es-ES_tradnl"/>
        </w:rPr>
      </w:pPr>
    </w:p>
    <w:p w14:paraId="53DEEC60" w14:textId="77777777" w:rsidR="00DE6178" w:rsidRPr="00EE7E31" w:rsidRDefault="00DE6178" w:rsidP="00DE6178">
      <w:pPr>
        <w:spacing w:line="276" w:lineRule="auto"/>
        <w:jc w:val="both"/>
        <w:rPr>
          <w:rFonts w:ascii="Arial" w:hAnsi="Arial" w:cs="Arial"/>
          <w:b/>
          <w:color w:val="000000" w:themeColor="text1"/>
          <w:sz w:val="22"/>
          <w:lang w:val="es-ES_tradnl"/>
        </w:rPr>
      </w:pPr>
    </w:p>
    <w:p w14:paraId="2A1F0155" w14:textId="77777777" w:rsidR="00DE6178" w:rsidRPr="00EE7E31" w:rsidRDefault="00DE6178" w:rsidP="00DE6178">
      <w:pPr>
        <w:spacing w:line="276" w:lineRule="auto"/>
        <w:jc w:val="both"/>
        <w:rPr>
          <w:rFonts w:ascii="Arial" w:hAnsi="Arial" w:cs="Arial"/>
          <w:b/>
          <w:color w:val="000000" w:themeColor="text1"/>
          <w:sz w:val="22"/>
          <w:lang w:val="es-ES_tradnl"/>
        </w:rPr>
      </w:pPr>
    </w:p>
    <w:p w14:paraId="0282E749" w14:textId="77777777" w:rsidR="00DE6178" w:rsidRPr="00EE7E31" w:rsidRDefault="00DE6178" w:rsidP="00DE6178">
      <w:pPr>
        <w:spacing w:line="276" w:lineRule="auto"/>
        <w:jc w:val="both"/>
        <w:rPr>
          <w:rFonts w:ascii="Arial" w:hAnsi="Arial" w:cs="Arial"/>
          <w:b/>
          <w:color w:val="000000" w:themeColor="text1"/>
          <w:sz w:val="22"/>
          <w:lang w:val="es-ES_tradnl"/>
        </w:rPr>
      </w:pPr>
    </w:p>
    <w:p w14:paraId="72EF80FB" w14:textId="77777777" w:rsidR="00DE6178" w:rsidRPr="00EE7E31" w:rsidRDefault="00DE6178" w:rsidP="00DE6178">
      <w:pPr>
        <w:spacing w:line="276" w:lineRule="auto"/>
        <w:jc w:val="both"/>
        <w:rPr>
          <w:rFonts w:ascii="Arial" w:hAnsi="Arial" w:cs="Arial"/>
          <w:b/>
          <w:color w:val="000000" w:themeColor="text1"/>
          <w:sz w:val="22"/>
          <w:lang w:val="es-ES_tradnl"/>
        </w:rPr>
      </w:pPr>
    </w:p>
    <w:p w14:paraId="6934167E" w14:textId="77777777" w:rsidR="00DE6178" w:rsidRPr="00EE7E31" w:rsidRDefault="00DE6178" w:rsidP="00DE6178">
      <w:pPr>
        <w:spacing w:line="276" w:lineRule="auto"/>
        <w:jc w:val="both"/>
        <w:rPr>
          <w:rFonts w:ascii="Arial" w:hAnsi="Arial" w:cs="Arial"/>
          <w:b/>
          <w:color w:val="000000" w:themeColor="text1"/>
          <w:sz w:val="22"/>
          <w:lang w:val="es-ES_tradnl"/>
        </w:rPr>
      </w:pPr>
    </w:p>
    <w:p w14:paraId="0E4FD38A" w14:textId="77777777" w:rsidR="00DE6178" w:rsidRPr="00EE7E31" w:rsidRDefault="00DE6178" w:rsidP="00DE6178">
      <w:pPr>
        <w:tabs>
          <w:tab w:val="left" w:pos="709"/>
        </w:tabs>
        <w:jc w:val="right"/>
        <w:rPr>
          <w:rFonts w:ascii="Arial" w:hAnsi="Arial" w:cs="Arial"/>
          <w:sz w:val="16"/>
          <w:szCs w:val="16"/>
          <w:lang w:val="es-ES_tradnl"/>
        </w:rPr>
      </w:pPr>
      <w:r w:rsidRPr="00EE7E31">
        <w:rPr>
          <w:rFonts w:ascii="Arial" w:hAnsi="Arial" w:cs="Arial"/>
          <w:b/>
          <w:bCs/>
          <w:sz w:val="16"/>
          <w:szCs w:val="16"/>
          <w:lang w:val="es-ES_tradnl"/>
        </w:rPr>
        <w:t>CCE-DES-FM-17</w:t>
      </w:r>
    </w:p>
    <w:p w14:paraId="277320F6" w14:textId="77777777" w:rsidR="00DE6178" w:rsidRPr="00EE7E31" w:rsidRDefault="00DE6178" w:rsidP="00DE6178">
      <w:pPr>
        <w:rPr>
          <w:rFonts w:ascii="Arial" w:hAnsi="Arial" w:cs="Arial"/>
          <w:sz w:val="22"/>
          <w:szCs w:val="22"/>
          <w:lang w:val="es-ES_tradnl"/>
        </w:rPr>
      </w:pPr>
    </w:p>
    <w:p w14:paraId="06C45051" w14:textId="77777777" w:rsidR="00DE6178" w:rsidRPr="00EE7E31" w:rsidRDefault="00DE6178" w:rsidP="00DE6178">
      <w:pPr>
        <w:jc w:val="right"/>
        <w:rPr>
          <w:rFonts w:ascii="Arial" w:hAnsi="Arial" w:cs="Arial"/>
          <w:bCs/>
          <w:color w:val="000000" w:themeColor="text1"/>
          <w:sz w:val="22"/>
          <w:lang w:val="es-ES_tradnl"/>
        </w:rPr>
      </w:pPr>
    </w:p>
    <w:p w14:paraId="3449E9D3" w14:textId="77777777" w:rsidR="00DE6178" w:rsidRPr="00EE7E31" w:rsidRDefault="00DE6178" w:rsidP="00DE6178">
      <w:pPr>
        <w:jc w:val="both"/>
        <w:rPr>
          <w:rFonts w:ascii="Arial" w:hAnsi="Arial" w:cs="Arial"/>
          <w:bCs/>
          <w:color w:val="000000" w:themeColor="text1"/>
          <w:sz w:val="22"/>
          <w:lang w:val="es-ES_tradnl"/>
        </w:rPr>
      </w:pPr>
    </w:p>
    <w:p w14:paraId="75B42628" w14:textId="6591988D" w:rsidR="003B38BD" w:rsidRDefault="003B38BD" w:rsidP="003B38BD">
      <w:pPr>
        <w:jc w:val="right"/>
        <w:rPr>
          <w:rFonts w:ascii="Arial" w:eastAsia="Calibri" w:hAnsi="Arial" w:cs="Arial"/>
          <w:color w:val="000000" w:themeColor="text1"/>
          <w:sz w:val="22"/>
          <w:lang w:val="es-ES_tradnl"/>
        </w:rPr>
      </w:pPr>
      <w:r>
        <w:rPr>
          <w:rFonts w:ascii="Arial" w:eastAsia="Calibri" w:hAnsi="Arial" w:cs="Arial"/>
          <w:noProof/>
          <w:color w:val="000000" w:themeColor="text1"/>
          <w:sz w:val="22"/>
          <w:lang w:val="es-ES_tradnl"/>
        </w:rPr>
        <w:drawing>
          <wp:inline distT="0" distB="0" distL="0" distR="0" wp14:anchorId="1D965349" wp14:editId="35DB2399">
            <wp:extent cx="2762250" cy="763681"/>
            <wp:effectExtent l="0" t="0" r="0" b="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2779860" cy="768550"/>
                    </a:xfrm>
                    <a:prstGeom prst="rect">
                      <a:avLst/>
                    </a:prstGeom>
                  </pic:spPr>
                </pic:pic>
              </a:graphicData>
            </a:graphic>
          </wp:inline>
        </w:drawing>
      </w:r>
    </w:p>
    <w:p w14:paraId="04CAB680" w14:textId="77777777" w:rsidR="003B38BD" w:rsidRDefault="003B38BD" w:rsidP="00DE6178">
      <w:pPr>
        <w:jc w:val="both"/>
        <w:rPr>
          <w:rFonts w:ascii="Arial" w:eastAsia="Calibri" w:hAnsi="Arial" w:cs="Arial"/>
          <w:color w:val="000000" w:themeColor="text1"/>
          <w:sz w:val="22"/>
          <w:lang w:val="es-ES_tradnl"/>
        </w:rPr>
      </w:pPr>
    </w:p>
    <w:p w14:paraId="129C188D" w14:textId="1B28BC40" w:rsidR="00DE6178" w:rsidRPr="00EE7E31" w:rsidRDefault="00DE6178" w:rsidP="00DE6178">
      <w:pPr>
        <w:jc w:val="both"/>
        <w:rPr>
          <w:rFonts w:ascii="Arial" w:eastAsia="Calibri" w:hAnsi="Arial" w:cs="Arial"/>
          <w:color w:val="000000" w:themeColor="text1"/>
          <w:sz w:val="22"/>
          <w:lang w:val="es-ES_tradnl"/>
        </w:rPr>
      </w:pPr>
      <w:r w:rsidRPr="00EE7E31">
        <w:rPr>
          <w:rFonts w:ascii="Arial" w:eastAsia="Calibri" w:hAnsi="Arial" w:cs="Arial"/>
          <w:color w:val="000000" w:themeColor="text1"/>
          <w:sz w:val="22"/>
          <w:lang w:val="es-ES_tradnl"/>
        </w:rPr>
        <w:t>Señora</w:t>
      </w:r>
    </w:p>
    <w:p w14:paraId="096684FC" w14:textId="77777777" w:rsidR="00DE6178" w:rsidRPr="00EE7E31" w:rsidRDefault="00DE6178" w:rsidP="00DE6178">
      <w:pPr>
        <w:jc w:val="both"/>
        <w:rPr>
          <w:rFonts w:ascii="Arial" w:eastAsia="Calibri" w:hAnsi="Arial" w:cs="Arial"/>
          <w:b/>
          <w:color w:val="000000" w:themeColor="text1"/>
          <w:sz w:val="22"/>
          <w:lang w:val="es-ES_tradnl"/>
        </w:rPr>
      </w:pPr>
      <w:r w:rsidRPr="00EE7E31">
        <w:rPr>
          <w:rFonts w:ascii="Arial" w:eastAsia="Calibri" w:hAnsi="Arial" w:cs="Arial"/>
          <w:b/>
          <w:color w:val="000000" w:themeColor="text1"/>
          <w:sz w:val="22"/>
          <w:lang w:val="es-ES_tradnl"/>
        </w:rPr>
        <w:t>Andrea Paola González Bernal</w:t>
      </w:r>
    </w:p>
    <w:p w14:paraId="3D086E05" w14:textId="77777777" w:rsidR="00DE6178" w:rsidRPr="00EE7E31" w:rsidRDefault="00DE6178" w:rsidP="00DE6178">
      <w:pPr>
        <w:jc w:val="both"/>
        <w:rPr>
          <w:rFonts w:ascii="Arial" w:eastAsia="Calibri" w:hAnsi="Arial" w:cs="Arial"/>
          <w:color w:val="000000" w:themeColor="text1"/>
          <w:sz w:val="22"/>
          <w:lang w:val="es-ES_tradnl"/>
        </w:rPr>
      </w:pPr>
      <w:r w:rsidRPr="00EE7E31">
        <w:rPr>
          <w:rFonts w:ascii="Arial" w:eastAsia="Calibri" w:hAnsi="Arial" w:cs="Arial"/>
          <w:color w:val="000000" w:themeColor="text1"/>
          <w:sz w:val="22"/>
          <w:lang w:val="es-ES_tradnl"/>
        </w:rPr>
        <w:t>Villavicencio, Meta</w:t>
      </w:r>
    </w:p>
    <w:p w14:paraId="077191AF" w14:textId="77777777" w:rsidR="00DE6178" w:rsidRPr="00EE7E31" w:rsidRDefault="00DE6178" w:rsidP="00DE6178">
      <w:pPr>
        <w:jc w:val="both"/>
        <w:rPr>
          <w:rFonts w:ascii="Arial" w:eastAsia="Calibri" w:hAnsi="Arial" w:cs="Arial"/>
          <w:color w:val="000000" w:themeColor="text1"/>
          <w:sz w:val="22"/>
          <w:lang w:val="es-ES_tradnl"/>
        </w:rPr>
      </w:pPr>
    </w:p>
    <w:p w14:paraId="2AEE8E37" w14:textId="77777777" w:rsidR="00DE6178" w:rsidRPr="00EE7E31" w:rsidRDefault="00DE6178" w:rsidP="00DE6178">
      <w:pPr>
        <w:rPr>
          <w:rFonts w:ascii="Arial" w:eastAsia="Calibri" w:hAnsi="Arial" w:cs="Arial"/>
          <w:b/>
          <w:bCs/>
          <w:color w:val="000000" w:themeColor="text1"/>
          <w:sz w:val="22"/>
          <w:lang w:val="es-ES_tradnl"/>
        </w:rPr>
      </w:pPr>
      <w:r w:rsidRPr="00EE7E31">
        <w:rPr>
          <w:rFonts w:ascii="Arial" w:eastAsia="Calibri" w:hAnsi="Arial" w:cs="Arial"/>
          <w:b/>
          <w:bCs/>
          <w:color w:val="000000" w:themeColor="text1"/>
          <w:sz w:val="22"/>
          <w:lang w:val="es-ES_tradnl"/>
        </w:rPr>
        <w:t xml:space="preserve">                                            Concepto C ‒ 655 de 2021</w:t>
      </w:r>
    </w:p>
    <w:p w14:paraId="1CD28AD5" w14:textId="77777777" w:rsidR="00DE6178" w:rsidRPr="00EE7E31" w:rsidRDefault="00DE6178" w:rsidP="00DE6178">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E6178" w:rsidRPr="00EE7E31" w14:paraId="15F66203" w14:textId="77777777" w:rsidTr="00FB1DD3">
        <w:tc>
          <w:tcPr>
            <w:tcW w:w="2689" w:type="dxa"/>
          </w:tcPr>
          <w:p w14:paraId="5424BF5B" w14:textId="77777777" w:rsidR="00DE6178" w:rsidRPr="00EE7E31" w:rsidRDefault="00DE6178" w:rsidP="00FB1DD3">
            <w:pPr>
              <w:jc w:val="both"/>
              <w:rPr>
                <w:rFonts w:ascii="Arial" w:eastAsia="Calibri" w:hAnsi="Arial" w:cs="Arial"/>
                <w:color w:val="000000" w:themeColor="text1"/>
                <w:lang w:val="es-ES_tradnl"/>
              </w:rPr>
            </w:pPr>
            <w:r w:rsidRPr="00EE7E31">
              <w:rPr>
                <w:rFonts w:ascii="Arial" w:eastAsia="Calibri" w:hAnsi="Arial" w:cs="Arial"/>
                <w:b/>
                <w:color w:val="000000" w:themeColor="text1"/>
                <w:lang w:val="es-ES_tradnl"/>
              </w:rPr>
              <w:t>Temas:</w:t>
            </w:r>
            <w:r w:rsidRPr="00EE7E31">
              <w:rPr>
                <w:rFonts w:ascii="Arial" w:eastAsia="Calibri" w:hAnsi="Arial" w:cs="Arial"/>
                <w:color w:val="000000" w:themeColor="text1"/>
                <w:lang w:val="es-ES_tradnl"/>
              </w:rPr>
              <w:t xml:space="preserve">                                      </w:t>
            </w:r>
          </w:p>
        </w:tc>
        <w:tc>
          <w:tcPr>
            <w:tcW w:w="6237" w:type="dxa"/>
          </w:tcPr>
          <w:p w14:paraId="20CDE5D2" w14:textId="77777777" w:rsidR="00DE6178" w:rsidRPr="00363169" w:rsidRDefault="00DE6178" w:rsidP="00FB1DD3">
            <w:pPr>
              <w:jc w:val="both"/>
              <w:rPr>
                <w:rFonts w:ascii="Arial" w:eastAsia="Calibri" w:hAnsi="Arial" w:cs="Arial"/>
                <w:bCs/>
                <w:highlight w:val="yellow"/>
                <w:lang w:val="es-ES_tradnl"/>
              </w:rPr>
            </w:pPr>
            <w:r w:rsidRPr="001D157E">
              <w:rPr>
                <w:rFonts w:ascii="Arial" w:eastAsia="Calibri" w:hAnsi="Arial" w:cs="Arial"/>
                <w:bCs/>
                <w:lang w:val="es-ES_tradnl"/>
              </w:rPr>
              <w:t>DOCUMENTOS TIPO – Fundamento normativo – Ley 2022 de 2020 – Artículo 1 / INALTERABILIDAD – Documentos tipo – Regla vigente – Alcance / DOCUMENTOS TIPO – Interventoría – Obra pública de infraestructura de transporte – «Matriz 1 – Experiencia»</w:t>
            </w:r>
          </w:p>
        </w:tc>
      </w:tr>
      <w:tr w:rsidR="00DE6178" w:rsidRPr="00EE7E31" w14:paraId="48E0199F" w14:textId="77777777" w:rsidTr="00FB1DD3">
        <w:tc>
          <w:tcPr>
            <w:tcW w:w="2689" w:type="dxa"/>
          </w:tcPr>
          <w:p w14:paraId="281AD3D3" w14:textId="77777777" w:rsidR="00DE6178" w:rsidRPr="00EE7E31" w:rsidRDefault="00DE6178" w:rsidP="00FB1DD3">
            <w:pPr>
              <w:spacing w:before="120"/>
              <w:jc w:val="both"/>
              <w:rPr>
                <w:rFonts w:ascii="Arial" w:eastAsia="Calibri" w:hAnsi="Arial" w:cs="Arial"/>
                <w:b/>
                <w:color w:val="000000" w:themeColor="text1"/>
                <w:lang w:val="es-ES_tradnl"/>
              </w:rPr>
            </w:pPr>
            <w:r w:rsidRPr="00EE7E31">
              <w:rPr>
                <w:rFonts w:ascii="Arial" w:eastAsia="Calibri" w:hAnsi="Arial" w:cs="Arial"/>
                <w:b/>
                <w:color w:val="000000" w:themeColor="text1"/>
                <w:lang w:val="es-ES_tradnl"/>
              </w:rPr>
              <w:t>Radicación:</w:t>
            </w:r>
            <w:r w:rsidRPr="00EE7E31">
              <w:rPr>
                <w:rFonts w:ascii="Arial" w:eastAsia="Calibri" w:hAnsi="Arial" w:cs="Arial"/>
                <w:color w:val="000000" w:themeColor="text1"/>
                <w:lang w:val="es-ES_tradnl"/>
              </w:rPr>
              <w:t xml:space="preserve">                              </w:t>
            </w:r>
          </w:p>
        </w:tc>
        <w:tc>
          <w:tcPr>
            <w:tcW w:w="6237" w:type="dxa"/>
          </w:tcPr>
          <w:p w14:paraId="283D0B1D" w14:textId="77777777" w:rsidR="00DE6178" w:rsidRPr="00EE7E31" w:rsidRDefault="00DE6178" w:rsidP="00FB1DD3">
            <w:pPr>
              <w:spacing w:before="120"/>
              <w:jc w:val="both"/>
              <w:rPr>
                <w:rFonts w:ascii="Arial" w:eastAsia="Calibri" w:hAnsi="Arial" w:cs="Arial"/>
                <w:color w:val="000000" w:themeColor="text1"/>
                <w:lang w:val="es-ES_tradnl"/>
              </w:rPr>
            </w:pPr>
            <w:r w:rsidRPr="00EE7E31">
              <w:rPr>
                <w:rFonts w:ascii="Arial" w:eastAsia="Calibri" w:hAnsi="Arial" w:cs="Arial"/>
                <w:color w:val="000000" w:themeColor="text1"/>
                <w:lang w:val="es-ES_tradnl"/>
              </w:rPr>
              <w:t>Respuesta a consulta #</w:t>
            </w:r>
            <w:r w:rsidRPr="00EE7E31">
              <w:rPr>
                <w:rFonts w:ascii="Arial" w:eastAsia="Calibri" w:hAnsi="Arial" w:cs="Arial"/>
                <w:b/>
                <w:color w:val="000000" w:themeColor="text1"/>
                <w:lang w:val="es-ES_tradnl"/>
              </w:rPr>
              <w:t xml:space="preserve"> </w:t>
            </w:r>
            <w:r w:rsidRPr="00EE7E31">
              <w:rPr>
                <w:rStyle w:val="apple-converted-space"/>
                <w:rFonts w:ascii="Arial" w:hAnsi="Arial" w:cs="Arial"/>
                <w:color w:val="000000" w:themeColor="text1"/>
                <w:lang w:val="es-ES_tradnl"/>
              </w:rPr>
              <w:t>P20211011009389</w:t>
            </w:r>
          </w:p>
        </w:tc>
      </w:tr>
    </w:tbl>
    <w:p w14:paraId="5843CA8B" w14:textId="77777777" w:rsidR="00DE6178" w:rsidRPr="00EE7E31" w:rsidRDefault="00DE6178" w:rsidP="00DE6178">
      <w:pPr>
        <w:jc w:val="both"/>
        <w:rPr>
          <w:rFonts w:ascii="Arial" w:eastAsia="Calibri" w:hAnsi="Arial" w:cs="Arial"/>
          <w:color w:val="000000" w:themeColor="text1"/>
          <w:sz w:val="22"/>
          <w:lang w:val="es-ES_tradnl"/>
        </w:rPr>
      </w:pPr>
    </w:p>
    <w:p w14:paraId="3BBE11E9" w14:textId="77777777" w:rsidR="00DE6178" w:rsidRDefault="00DE6178" w:rsidP="00DE6178">
      <w:pPr>
        <w:jc w:val="both"/>
        <w:rPr>
          <w:rFonts w:ascii="Arial" w:eastAsia="Calibri" w:hAnsi="Arial" w:cs="Arial"/>
          <w:color w:val="000000" w:themeColor="text1"/>
          <w:sz w:val="22"/>
          <w:lang w:val="es-ES_tradnl"/>
        </w:rPr>
      </w:pPr>
    </w:p>
    <w:p w14:paraId="05C1E234" w14:textId="77777777" w:rsidR="00DE6178" w:rsidRPr="00EE7E31" w:rsidRDefault="00DE6178" w:rsidP="00DE6178">
      <w:pPr>
        <w:jc w:val="both"/>
        <w:rPr>
          <w:rFonts w:ascii="Arial" w:eastAsia="Calibri" w:hAnsi="Arial" w:cs="Arial"/>
          <w:color w:val="000000" w:themeColor="text1"/>
          <w:sz w:val="22"/>
          <w:lang w:val="es-ES_tradnl"/>
        </w:rPr>
      </w:pPr>
      <w:r w:rsidRPr="00EE7E31">
        <w:rPr>
          <w:rFonts w:ascii="Arial" w:eastAsia="Calibri" w:hAnsi="Arial" w:cs="Arial"/>
          <w:color w:val="000000" w:themeColor="text1"/>
          <w:sz w:val="22"/>
          <w:lang w:val="es-ES_tradnl"/>
        </w:rPr>
        <w:t>Estimada señora González Bernal:</w:t>
      </w:r>
    </w:p>
    <w:p w14:paraId="7A0F8E19" w14:textId="77777777" w:rsidR="00DE6178" w:rsidRPr="00EE7E31" w:rsidRDefault="00DE6178" w:rsidP="00DE6178">
      <w:pPr>
        <w:jc w:val="both"/>
        <w:rPr>
          <w:rFonts w:ascii="Arial" w:eastAsia="Calibri" w:hAnsi="Arial" w:cs="Arial"/>
          <w:color w:val="000000" w:themeColor="text1"/>
          <w:sz w:val="22"/>
          <w:lang w:val="es-ES_tradnl"/>
        </w:rPr>
      </w:pPr>
    </w:p>
    <w:p w14:paraId="41CB518A" w14:textId="77777777" w:rsidR="00DE6178" w:rsidRPr="00EE7E31" w:rsidRDefault="00DE6178" w:rsidP="00DE6178">
      <w:pPr>
        <w:spacing w:line="276" w:lineRule="auto"/>
        <w:jc w:val="both"/>
        <w:rPr>
          <w:rFonts w:ascii="Arial" w:eastAsia="Calibri" w:hAnsi="Arial" w:cs="Arial"/>
          <w:color w:val="000000" w:themeColor="text1"/>
          <w:sz w:val="22"/>
          <w:lang w:val="es-ES_tradnl"/>
        </w:rPr>
      </w:pPr>
      <w:r w:rsidRPr="00EE7E31">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 responde su consulta del 11 de octubre del 2021.</w:t>
      </w:r>
    </w:p>
    <w:p w14:paraId="3003E9BC" w14:textId="77777777" w:rsidR="00DE6178" w:rsidRPr="00EE7E31" w:rsidRDefault="00DE6178" w:rsidP="00DE6178">
      <w:pPr>
        <w:spacing w:line="276" w:lineRule="auto"/>
        <w:jc w:val="both"/>
        <w:rPr>
          <w:rFonts w:ascii="Arial" w:eastAsia="Calibri" w:hAnsi="Arial" w:cs="Arial"/>
          <w:b/>
          <w:color w:val="000000" w:themeColor="text1"/>
          <w:sz w:val="22"/>
          <w:lang w:val="es-ES_tradnl"/>
        </w:rPr>
      </w:pPr>
    </w:p>
    <w:p w14:paraId="212A9988" w14:textId="77777777" w:rsidR="00DE6178" w:rsidRPr="00EE7E31" w:rsidRDefault="00DE6178" w:rsidP="00DE6178">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E7E31">
        <w:rPr>
          <w:rFonts w:ascii="Arial" w:eastAsia="Calibri" w:hAnsi="Arial" w:cs="Arial"/>
          <w:b/>
          <w:color w:val="000000" w:themeColor="text1"/>
          <w:sz w:val="22"/>
          <w:lang w:val="es-ES_tradnl"/>
        </w:rPr>
        <w:t xml:space="preserve">Problema planteado </w:t>
      </w:r>
    </w:p>
    <w:p w14:paraId="7A50ADC6" w14:textId="77777777" w:rsidR="00DE6178" w:rsidRPr="00EE7E31" w:rsidRDefault="00DE6178" w:rsidP="00DE6178">
      <w:pPr>
        <w:tabs>
          <w:tab w:val="left" w:pos="426"/>
        </w:tabs>
        <w:jc w:val="both"/>
        <w:rPr>
          <w:rFonts w:ascii="Arial" w:eastAsia="Calibri" w:hAnsi="Arial" w:cs="Arial"/>
          <w:b/>
          <w:color w:val="000000" w:themeColor="text1"/>
          <w:sz w:val="22"/>
          <w:lang w:val="es-ES_tradnl"/>
        </w:rPr>
      </w:pPr>
    </w:p>
    <w:p w14:paraId="04278E0D" w14:textId="77777777" w:rsidR="00DE6178" w:rsidRPr="00EE7E31" w:rsidRDefault="00DE6178" w:rsidP="00DE6178">
      <w:pPr>
        <w:spacing w:line="276" w:lineRule="auto"/>
        <w:jc w:val="both"/>
        <w:rPr>
          <w:rFonts w:ascii="Arial" w:hAnsi="Arial" w:cs="Arial"/>
          <w:color w:val="000000" w:themeColor="text1"/>
          <w:sz w:val="22"/>
          <w:lang w:val="es-ES_tradnl"/>
        </w:rPr>
      </w:pPr>
      <w:r w:rsidRPr="00EE7E31">
        <w:rPr>
          <w:rFonts w:ascii="Arial" w:hAnsi="Arial" w:cs="Arial"/>
          <w:color w:val="000000" w:themeColor="text1"/>
          <w:sz w:val="22"/>
          <w:lang w:val="es-ES_tradnl"/>
        </w:rPr>
        <w:t>En relación con la aplicación de documentos tipo a un proceso de interventoría de consultoría de infraestructura de transporte, usted realiza la siguiente pregunta:</w:t>
      </w:r>
    </w:p>
    <w:p w14:paraId="7C814BC8" w14:textId="77777777" w:rsidR="00DE6178" w:rsidRPr="00EE7E31" w:rsidRDefault="00DE6178" w:rsidP="00DE6178">
      <w:pPr>
        <w:spacing w:line="276" w:lineRule="auto"/>
        <w:jc w:val="both"/>
        <w:rPr>
          <w:rFonts w:ascii="Arial" w:hAnsi="Arial" w:cs="Arial"/>
          <w:color w:val="000000" w:themeColor="text1"/>
          <w:sz w:val="22"/>
          <w:lang w:val="es-ES_tradnl"/>
        </w:rPr>
      </w:pPr>
    </w:p>
    <w:p w14:paraId="0745274E" w14:textId="77777777" w:rsidR="00DE6178" w:rsidRPr="00EE7E31" w:rsidRDefault="00DE6178" w:rsidP="00DE6178">
      <w:pPr>
        <w:pStyle w:val="Default"/>
        <w:ind w:left="567" w:right="567"/>
        <w:jc w:val="both"/>
        <w:rPr>
          <w:color w:val="000000" w:themeColor="text1"/>
          <w:sz w:val="21"/>
          <w:szCs w:val="21"/>
          <w:lang w:val="es-ES_tradnl"/>
        </w:rPr>
      </w:pPr>
      <w:r w:rsidRPr="00EE7E31">
        <w:rPr>
          <w:color w:val="000000" w:themeColor="text1"/>
          <w:sz w:val="21"/>
          <w:szCs w:val="21"/>
          <w:lang w:val="es-ES_tradnl"/>
        </w:rPr>
        <w:t xml:space="preserve">«[…] según las matrices de experiencia el cual es la base para solicitar la experiencia de los posibles oferentes, no se evidencia matriz de experiencia para interventorías para las consultorías de estudios de ingeniería de infraestructura de transporte, por lo anterior se puede entender que aun [sic] NO es aplicable para este tipo de proceso. Dicho lo anterior y entendiendo que la matriz de experiencia contiene los rangos en los que se debe la entidad contratante solicitar la experiencia de los futuros oferentes les solicito me aclare como [sic] puede la entidad contratante adoptar el pliego tipo "EXPERIENCIA DE INTERVENTORIA A PROYECTOS DE CONSULTORÍA DE ESTUDIOS DE INGENIERÍA DE </w:t>
      </w:r>
      <w:r w:rsidRPr="00EE7E31">
        <w:rPr>
          <w:color w:val="000000" w:themeColor="text1"/>
          <w:sz w:val="21"/>
          <w:szCs w:val="21"/>
          <w:lang w:val="es-ES_tradnl"/>
        </w:rPr>
        <w:lastRenderedPageBreak/>
        <w:t xml:space="preserve">INFRAESTRUCTURA DE TRANSPORTE" si dentro de la matriz de experiencia, ningún </w:t>
      </w:r>
      <w:proofErr w:type="spellStart"/>
      <w:r w:rsidRPr="00EE7E31">
        <w:rPr>
          <w:color w:val="000000" w:themeColor="text1"/>
          <w:sz w:val="21"/>
          <w:szCs w:val="21"/>
          <w:lang w:val="es-ES_tradnl"/>
        </w:rPr>
        <w:t>titulo</w:t>
      </w:r>
      <w:proofErr w:type="spellEnd"/>
      <w:r w:rsidRPr="00EE7E31">
        <w:rPr>
          <w:color w:val="000000" w:themeColor="text1"/>
          <w:sz w:val="21"/>
          <w:szCs w:val="21"/>
          <w:lang w:val="es-ES_tradnl"/>
        </w:rPr>
        <w:t xml:space="preserve"> [sic] o capitulo [sic] que le permita a la entidad para un proceso determinado, esta consulta se realiza con el propósito de blindar los procedimientos administrativos contractuales de la entidad».</w:t>
      </w:r>
    </w:p>
    <w:p w14:paraId="6BCB2A83" w14:textId="77777777" w:rsidR="00DE6178" w:rsidRPr="00EE7E31" w:rsidRDefault="00DE6178" w:rsidP="003B38BD">
      <w:pPr>
        <w:pStyle w:val="Default"/>
        <w:ind w:right="567"/>
        <w:jc w:val="both"/>
        <w:rPr>
          <w:color w:val="000000" w:themeColor="text1"/>
          <w:sz w:val="21"/>
          <w:szCs w:val="21"/>
          <w:lang w:val="es-ES_tradnl"/>
        </w:rPr>
      </w:pPr>
    </w:p>
    <w:p w14:paraId="6C2AC9DE" w14:textId="77777777" w:rsidR="00DE6178" w:rsidRPr="00EE7E31" w:rsidRDefault="00DE6178" w:rsidP="003B38BD">
      <w:pPr>
        <w:pStyle w:val="Prrafodelista"/>
        <w:numPr>
          <w:ilvl w:val="0"/>
          <w:numId w:val="1"/>
        </w:numPr>
        <w:tabs>
          <w:tab w:val="left" w:pos="0"/>
          <w:tab w:val="left" w:pos="284"/>
        </w:tabs>
        <w:ind w:left="0" w:firstLine="0"/>
        <w:jc w:val="both"/>
        <w:rPr>
          <w:rFonts w:ascii="Arial" w:eastAsia="Calibri" w:hAnsi="Arial" w:cs="Arial"/>
          <w:b/>
          <w:color w:val="000000" w:themeColor="text1"/>
          <w:sz w:val="22"/>
          <w:lang w:val="es-ES_tradnl"/>
        </w:rPr>
      </w:pPr>
      <w:r w:rsidRPr="00EE7E31">
        <w:rPr>
          <w:rFonts w:ascii="Arial" w:eastAsia="Calibri" w:hAnsi="Arial" w:cs="Arial"/>
          <w:b/>
          <w:color w:val="000000" w:themeColor="text1"/>
          <w:sz w:val="22"/>
          <w:lang w:val="es-ES_tradnl"/>
        </w:rPr>
        <w:t>Consideraciones</w:t>
      </w:r>
    </w:p>
    <w:p w14:paraId="408F382B" w14:textId="77777777" w:rsidR="00DE6178" w:rsidRPr="00EE7E31" w:rsidRDefault="00DE6178" w:rsidP="00DE6178">
      <w:pPr>
        <w:spacing w:line="276" w:lineRule="auto"/>
        <w:jc w:val="both"/>
        <w:rPr>
          <w:rFonts w:ascii="Arial" w:eastAsia="Calibri" w:hAnsi="Arial" w:cs="Arial"/>
          <w:color w:val="000000" w:themeColor="text1"/>
          <w:sz w:val="22"/>
          <w:lang w:val="es-ES_tradnl"/>
        </w:rPr>
      </w:pPr>
    </w:p>
    <w:p w14:paraId="516AA076" w14:textId="77777777" w:rsidR="00DE6178" w:rsidRPr="00EE7E31" w:rsidRDefault="00DE6178" w:rsidP="00DE6178">
      <w:pPr>
        <w:spacing w:after="120" w:line="276" w:lineRule="auto"/>
        <w:jc w:val="both"/>
        <w:rPr>
          <w:rFonts w:ascii="Arial" w:hAnsi="Arial" w:cs="Arial"/>
          <w:bCs/>
          <w:sz w:val="22"/>
          <w:lang w:val="es-ES_tradnl"/>
        </w:rPr>
      </w:pPr>
      <w:r w:rsidRPr="00EE7E31">
        <w:rPr>
          <w:rFonts w:ascii="Arial" w:eastAsia="Calibri" w:hAnsi="Arial" w:cs="Arial"/>
          <w:color w:val="000000" w:themeColor="text1"/>
          <w:sz w:val="22"/>
          <w:lang w:val="es-ES_tradnl"/>
        </w:rPr>
        <w:t xml:space="preserve">Como cuestión preliminar, </w:t>
      </w:r>
      <w:r w:rsidRPr="00EE7E31">
        <w:rPr>
          <w:rFonts w:ascii="Arial" w:hAnsi="Arial" w:cs="Arial"/>
          <w:bCs/>
          <w:sz w:val="22"/>
          <w:lang w:val="es-ES_tradnl"/>
        </w:rPr>
        <w:t>es bueno señalar que, 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029ABCB7" w14:textId="77777777" w:rsidR="00DE6178" w:rsidRPr="00EE7E31" w:rsidRDefault="00DE6178" w:rsidP="00DE6178">
      <w:pPr>
        <w:spacing w:after="120" w:line="276" w:lineRule="auto"/>
        <w:ind w:firstLine="708"/>
        <w:jc w:val="both"/>
        <w:rPr>
          <w:rFonts w:ascii="Arial" w:hAnsi="Arial" w:cs="Arial"/>
          <w:sz w:val="22"/>
          <w:lang w:val="es-ES_tradnl"/>
        </w:rPr>
      </w:pPr>
      <w:bookmarkStart w:id="2" w:name="_Hlk61701014"/>
      <w:bookmarkStart w:id="3" w:name="_Hlk62136649"/>
      <w:r w:rsidRPr="00EE7E31">
        <w:rPr>
          <w:rFonts w:ascii="Arial" w:hAnsi="Arial" w:cs="Arial"/>
          <w:sz w:val="22"/>
          <w:lang w:val="es-ES_tradnl"/>
        </w:rPr>
        <w:t xml:space="preserve">Es necesario tener en cuenta que </w:t>
      </w:r>
      <w:bookmarkStart w:id="4" w:name="_Hlk61026958"/>
      <w:r w:rsidRPr="00EE7E31">
        <w:rPr>
          <w:rFonts w:ascii="Arial" w:hAnsi="Arial" w:cs="Arial"/>
          <w:sz w:val="22"/>
          <w:lang w:val="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EE7E31">
        <w:rPr>
          <w:rFonts w:ascii="Arial" w:hAnsi="Arial" w:cs="Arial"/>
          <w:bCs/>
          <w:sz w:val="22"/>
          <w:lang w:val="es-ES_tradnl"/>
        </w:rPr>
        <w:t xml:space="preserve"> de todos los partícipes de la contratación estatal.</w:t>
      </w:r>
    </w:p>
    <w:p w14:paraId="054676E6" w14:textId="77777777" w:rsidR="00DE6178" w:rsidRPr="00EE7E31" w:rsidRDefault="00DE6178" w:rsidP="00DE6178">
      <w:pPr>
        <w:spacing w:after="120" w:line="276" w:lineRule="auto"/>
        <w:ind w:firstLine="708"/>
        <w:jc w:val="both"/>
        <w:rPr>
          <w:rFonts w:ascii="Arial" w:hAnsi="Arial" w:cs="Arial"/>
          <w:sz w:val="22"/>
          <w:lang w:val="es-ES_tradnl"/>
        </w:rPr>
      </w:pPr>
      <w:r w:rsidRPr="00EE7E31">
        <w:rPr>
          <w:rFonts w:ascii="Arial" w:hAnsi="Arial" w:cs="Arial"/>
          <w:sz w:val="22"/>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EE7E31">
        <w:rPr>
          <w:rFonts w:ascii="Arial" w:hAnsi="Arial" w:cs="Arial"/>
          <w:sz w:val="22"/>
          <w:vertAlign w:val="superscript"/>
          <w:lang w:val="es-ES_tradnl"/>
        </w:rPr>
        <w:footnoteReference w:id="1"/>
      </w:r>
      <w:r w:rsidRPr="00EE7E31">
        <w:rPr>
          <w:rFonts w:ascii="Arial" w:hAnsi="Arial" w:cs="Arial"/>
          <w:sz w:val="22"/>
          <w:lang w:val="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4"/>
      <w:r w:rsidRPr="00EE7E31">
        <w:rPr>
          <w:rFonts w:ascii="Arial" w:hAnsi="Arial" w:cs="Arial"/>
          <w:sz w:val="22"/>
          <w:lang w:val="es-ES_tradnl"/>
        </w:rPr>
        <w:t xml:space="preserve">. Por lo anterior, previo concepto de sus órganos asesores, la solución de este tipo de problemas corresponde a la entidad que adelanta el procedimiento de selección y, en caso de conflicto, a las autoridades judiciales, fiscales y disciplinarias. </w:t>
      </w:r>
      <w:bookmarkEnd w:id="2"/>
    </w:p>
    <w:bookmarkEnd w:id="3"/>
    <w:p w14:paraId="7B4C14CB" w14:textId="77777777" w:rsidR="00DE6178" w:rsidRPr="002703C9" w:rsidRDefault="00DE6178" w:rsidP="00DE6178">
      <w:pPr>
        <w:spacing w:after="120" w:line="276" w:lineRule="auto"/>
        <w:ind w:firstLine="708"/>
        <w:jc w:val="both"/>
        <w:rPr>
          <w:rFonts w:ascii="Arial" w:hAnsi="Arial" w:cs="Arial"/>
          <w:sz w:val="22"/>
          <w:lang w:val="es-ES_tradnl"/>
        </w:rPr>
      </w:pPr>
      <w:r w:rsidRPr="00EE7E31">
        <w:rPr>
          <w:rFonts w:ascii="Arial" w:eastAsia="Calibri" w:hAnsi="Arial" w:cs="Arial"/>
          <w:color w:val="000000" w:themeColor="text1"/>
          <w:sz w:val="22"/>
          <w:lang w:val="es-ES_tradnl"/>
        </w:rPr>
        <w:t>Sin perjuicio de lo anterior, la Agencia –dentro de los límites de sus atribuciones– resolverá la consulta conforme a las normas generales en materia de contratación estatal. Con este objetivo, p</w:t>
      </w:r>
      <w:r w:rsidRPr="00EE7E31">
        <w:rPr>
          <w:rFonts w:ascii="Arial" w:hAnsi="Arial" w:cs="Arial"/>
          <w:sz w:val="22"/>
          <w:lang w:val="es-ES_tradnl"/>
        </w:rPr>
        <w:t xml:space="preserve">ara responder el anterior cuestionamiento relacionado con la aplicación </w:t>
      </w:r>
      <w:r w:rsidRPr="00EE7E31">
        <w:rPr>
          <w:rFonts w:ascii="Arial" w:hAnsi="Arial" w:cs="Arial"/>
          <w:sz w:val="22"/>
          <w:lang w:val="es-ES_tradnl"/>
        </w:rPr>
        <w:lastRenderedPageBreak/>
        <w:t xml:space="preserve">de documentos tipo para la contratación de interventoría para la consultoría de estudios de ingeniería de infraestructura de transporte, se analizarán </w:t>
      </w:r>
      <w:r>
        <w:rPr>
          <w:rFonts w:ascii="Arial" w:hAnsi="Arial" w:cs="Arial"/>
          <w:sz w:val="22"/>
          <w:lang w:val="es-ES_tradnl"/>
        </w:rPr>
        <w:t xml:space="preserve">los siguientes temas: i) fundamento normativo de los documentos tipo adoptados hasta la actualidad; </w:t>
      </w:r>
      <w:proofErr w:type="spellStart"/>
      <w:r>
        <w:rPr>
          <w:rFonts w:ascii="Arial" w:hAnsi="Arial" w:cs="Arial"/>
          <w:sz w:val="22"/>
          <w:lang w:val="es-ES_tradnl"/>
        </w:rPr>
        <w:t>ii</w:t>
      </w:r>
      <w:proofErr w:type="spellEnd"/>
      <w:r>
        <w:rPr>
          <w:rFonts w:ascii="Arial" w:hAnsi="Arial" w:cs="Arial"/>
          <w:sz w:val="22"/>
          <w:lang w:val="es-ES_tradnl"/>
        </w:rPr>
        <w:t xml:space="preserve">) el alcance de la regla de la inalterabilidad de los documentos tipo, y </w:t>
      </w:r>
      <w:proofErr w:type="spellStart"/>
      <w:r>
        <w:rPr>
          <w:rFonts w:ascii="Arial" w:hAnsi="Arial" w:cs="Arial"/>
          <w:sz w:val="22"/>
          <w:lang w:val="es-ES_tradnl"/>
        </w:rPr>
        <w:t>iii</w:t>
      </w:r>
      <w:proofErr w:type="spellEnd"/>
      <w:r>
        <w:rPr>
          <w:rFonts w:ascii="Arial" w:hAnsi="Arial" w:cs="Arial"/>
          <w:sz w:val="22"/>
          <w:lang w:val="es-ES_tradnl"/>
        </w:rPr>
        <w:t xml:space="preserve">) </w:t>
      </w:r>
      <w:bookmarkStart w:id="5" w:name="_Hlk85536647"/>
      <w:r>
        <w:rPr>
          <w:rFonts w:ascii="Arial" w:hAnsi="Arial" w:cs="Arial"/>
          <w:sz w:val="22"/>
          <w:lang w:val="es-ES_tradnl"/>
        </w:rPr>
        <w:t>implementación y ámbito de aplicación de los d</w:t>
      </w:r>
      <w:r w:rsidRPr="00117337">
        <w:rPr>
          <w:rFonts w:ascii="Arial" w:hAnsi="Arial" w:cs="Arial"/>
          <w:sz w:val="22"/>
          <w:lang w:val="es-ES_tradnl"/>
        </w:rPr>
        <w:t>ocumentos tipo para los procesos de selección de concurso de méritos, para contratar la interventoría de obras públicas de infraestructura de transporte</w:t>
      </w:r>
      <w:r>
        <w:rPr>
          <w:rFonts w:ascii="Arial" w:hAnsi="Arial" w:cs="Arial"/>
          <w:sz w:val="22"/>
          <w:lang w:val="es-ES_tradnl"/>
        </w:rPr>
        <w:t>.</w:t>
      </w:r>
      <w:bookmarkEnd w:id="5"/>
    </w:p>
    <w:p w14:paraId="30C6AC45" w14:textId="77777777" w:rsidR="00DE6178" w:rsidRDefault="00DE6178" w:rsidP="00DE6178">
      <w:pPr>
        <w:spacing w:after="120" w:line="276" w:lineRule="auto"/>
        <w:ind w:firstLine="708"/>
        <w:jc w:val="both"/>
        <w:textAlignment w:val="baseline"/>
        <w:rPr>
          <w:rFonts w:ascii="Arial" w:eastAsia="Arial" w:hAnsi="Arial" w:cs="Arial"/>
          <w:sz w:val="22"/>
          <w:lang w:val="es-ES_tradnl"/>
        </w:rPr>
      </w:pPr>
      <w:r w:rsidRPr="00EE7E31">
        <w:rPr>
          <w:rFonts w:ascii="Arial" w:hAnsi="Arial" w:cs="Arial"/>
          <w:color w:val="000000" w:themeColor="text1"/>
          <w:sz w:val="22"/>
          <w:lang w:val="es-ES_tradnl"/>
        </w:rPr>
        <w:t xml:space="preserve">La Agencia Nacional de Contratación Pública – Colombia Compra Eficiente se pronunció sobre </w:t>
      </w:r>
      <w:r w:rsidRPr="00EE7E31">
        <w:rPr>
          <w:rFonts w:ascii="Arial" w:eastAsia="Arial" w:hAnsi="Arial" w:cs="Arial"/>
          <w:color w:val="000000"/>
          <w:sz w:val="22"/>
          <w:lang w:val="es-ES_tradnl"/>
        </w:rPr>
        <w:t>los pliegos de condiciones tipo en la contratación estatal, así como</w:t>
      </w:r>
      <w:r>
        <w:rPr>
          <w:rFonts w:ascii="Arial" w:eastAsia="Arial" w:hAnsi="Arial" w:cs="Arial"/>
          <w:color w:val="000000"/>
          <w:sz w:val="22"/>
          <w:lang w:val="es-ES_tradnl"/>
        </w:rPr>
        <w:t xml:space="preserve"> sobre</w:t>
      </w:r>
      <w:r w:rsidRPr="00EE7E31">
        <w:rPr>
          <w:rFonts w:ascii="Arial" w:eastAsia="Arial" w:hAnsi="Arial" w:cs="Arial"/>
          <w:color w:val="000000"/>
          <w:sz w:val="22"/>
          <w:lang w:val="es-ES_tradnl"/>
        </w:rPr>
        <w:t xml:space="preserve"> su inalterabilidad, entre otros, en los </w:t>
      </w:r>
      <w:r>
        <w:rPr>
          <w:rFonts w:ascii="Arial" w:eastAsia="Arial" w:hAnsi="Arial" w:cs="Arial"/>
          <w:color w:val="000000"/>
          <w:sz w:val="22"/>
          <w:lang w:val="es-ES_tradnl"/>
        </w:rPr>
        <w:t>c</w:t>
      </w:r>
      <w:r w:rsidRPr="00EE7E31">
        <w:rPr>
          <w:rFonts w:ascii="Arial" w:eastAsia="Arial" w:hAnsi="Arial" w:cs="Arial"/>
          <w:color w:val="000000"/>
          <w:sz w:val="22"/>
          <w:lang w:val="es-ES_tradnl"/>
        </w:rPr>
        <w:t xml:space="preserve">onceptos </w:t>
      </w:r>
      <w:r w:rsidRPr="00EE7E31">
        <w:rPr>
          <w:rFonts w:ascii="Arial" w:eastAsia="Arial" w:hAnsi="Arial" w:cs="Arial"/>
          <w:sz w:val="22"/>
          <w:lang w:val="es-ES_tradnl"/>
        </w:rPr>
        <w:t>C-294 del 18 de mayo de 2020, C-276 y C-277 del 26 de mayo de 2020, C</w:t>
      </w:r>
      <w:r>
        <w:rPr>
          <w:rFonts w:ascii="Arial" w:eastAsia="Arial" w:hAnsi="Arial" w:cs="Arial"/>
          <w:sz w:val="22"/>
          <w:lang w:val="es-ES_tradnl"/>
        </w:rPr>
        <w:t>-</w:t>
      </w:r>
      <w:r w:rsidRPr="00EE7E31">
        <w:rPr>
          <w:rFonts w:ascii="Arial" w:eastAsia="Arial" w:hAnsi="Arial" w:cs="Arial"/>
          <w:sz w:val="22"/>
          <w:lang w:val="es-ES_tradnl"/>
        </w:rPr>
        <w:t>380 y C</w:t>
      </w:r>
      <w:r>
        <w:rPr>
          <w:rFonts w:ascii="Arial" w:eastAsia="Arial" w:hAnsi="Arial" w:cs="Arial"/>
          <w:sz w:val="22"/>
          <w:lang w:val="es-ES_tradnl"/>
        </w:rPr>
        <w:t>-</w:t>
      </w:r>
      <w:r w:rsidRPr="00EE7E31">
        <w:rPr>
          <w:rFonts w:ascii="Arial" w:eastAsia="Arial" w:hAnsi="Arial" w:cs="Arial"/>
          <w:sz w:val="22"/>
          <w:lang w:val="es-ES_tradnl"/>
        </w:rPr>
        <w:t>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C-744 del 22 de diciembre de 2020</w:t>
      </w:r>
      <w:r>
        <w:rPr>
          <w:rFonts w:ascii="Arial" w:eastAsia="Arial" w:hAnsi="Arial" w:cs="Arial"/>
          <w:sz w:val="22"/>
          <w:lang w:val="es-ES_tradnl"/>
        </w:rPr>
        <w:t xml:space="preserve">, </w:t>
      </w:r>
      <w:r w:rsidRPr="00EE7E31">
        <w:rPr>
          <w:rFonts w:ascii="Arial" w:eastAsia="Arial" w:hAnsi="Arial" w:cs="Arial"/>
          <w:sz w:val="22"/>
          <w:lang w:val="es-ES_tradnl"/>
        </w:rPr>
        <w:t>C-031 de</w:t>
      </w:r>
      <w:r>
        <w:rPr>
          <w:rFonts w:ascii="Arial" w:eastAsia="Arial" w:hAnsi="Arial" w:cs="Arial"/>
          <w:sz w:val="22"/>
          <w:lang w:val="es-ES_tradnl"/>
        </w:rPr>
        <w:t>l 1</w:t>
      </w:r>
      <w:r w:rsidRPr="00EE7E31">
        <w:rPr>
          <w:rFonts w:ascii="Arial" w:eastAsia="Arial" w:hAnsi="Arial" w:cs="Arial"/>
          <w:sz w:val="22"/>
          <w:lang w:val="es-ES_tradnl"/>
        </w:rPr>
        <w:t xml:space="preserve"> de febrero de 2021</w:t>
      </w:r>
      <w:r>
        <w:rPr>
          <w:rFonts w:ascii="Arial" w:eastAsia="Arial" w:hAnsi="Arial" w:cs="Arial"/>
          <w:sz w:val="22"/>
          <w:lang w:val="es-ES_tradnl"/>
        </w:rPr>
        <w:t xml:space="preserve">, C-263 del 3 de junio de 2021, C-464 del 13 de septiembre de 2021 y C-531 del 27 de septiembre de 2021. </w:t>
      </w:r>
    </w:p>
    <w:p w14:paraId="50CB996C" w14:textId="77777777" w:rsidR="00DE6178" w:rsidRDefault="00DE6178" w:rsidP="00DE6178">
      <w:pPr>
        <w:spacing w:line="276" w:lineRule="auto"/>
        <w:ind w:firstLine="709"/>
        <w:jc w:val="both"/>
        <w:textAlignment w:val="baseline"/>
        <w:rPr>
          <w:rFonts w:ascii="Arial" w:hAnsi="Arial" w:cs="Arial"/>
          <w:sz w:val="22"/>
          <w:szCs w:val="22"/>
          <w:lang w:val="es-ES_tradnl"/>
        </w:rPr>
      </w:pPr>
      <w:r>
        <w:rPr>
          <w:rFonts w:ascii="Arial" w:eastAsia="Arial" w:hAnsi="Arial" w:cs="Arial"/>
          <w:sz w:val="22"/>
          <w:lang w:val="es-ES_tradnl"/>
        </w:rPr>
        <w:t xml:space="preserve">A su vez, en los conceptos C-332 del 7 de mayo de 2021 y C–402 del 19 de agosto de 2021, se hizo referencia, en particular, al fundamento normativo de los </w:t>
      </w:r>
      <w:r w:rsidRPr="00253A21">
        <w:rPr>
          <w:rFonts w:ascii="Arial" w:eastAsia="Arial" w:hAnsi="Arial" w:cs="Arial"/>
          <w:sz w:val="22"/>
          <w:lang w:val="es-ES_tradnl"/>
        </w:rPr>
        <w:t>documentos tipo para los procesos de selección de concurso de méritos, para contratar la interventoría de obras públicas de infraestructura de transporte</w:t>
      </w:r>
      <w:r>
        <w:rPr>
          <w:rFonts w:ascii="Arial" w:hAnsi="Arial" w:cs="Arial"/>
          <w:sz w:val="22"/>
          <w:szCs w:val="22"/>
          <w:lang w:val="es-ES_tradnl"/>
        </w:rPr>
        <w:t xml:space="preserve">. </w:t>
      </w:r>
      <w:r w:rsidRPr="00EE7E31">
        <w:rPr>
          <w:rFonts w:ascii="Arial" w:hAnsi="Arial" w:cs="Arial"/>
          <w:sz w:val="22"/>
          <w:szCs w:val="22"/>
          <w:lang w:val="es-ES_tradnl"/>
        </w:rPr>
        <w:t>En lo pertinente, las ideas expuestas en estos conceptos se reiteran y complementan a continuación.</w:t>
      </w:r>
    </w:p>
    <w:p w14:paraId="2DC9B394" w14:textId="77777777" w:rsidR="00DE6178" w:rsidRPr="006F6593" w:rsidRDefault="00DE6178" w:rsidP="00DE6178">
      <w:pPr>
        <w:spacing w:line="276" w:lineRule="auto"/>
        <w:ind w:firstLine="709"/>
        <w:jc w:val="both"/>
        <w:textAlignment w:val="baseline"/>
        <w:rPr>
          <w:rFonts w:ascii="Arial" w:eastAsia="Arial" w:hAnsi="Arial" w:cs="Arial"/>
          <w:sz w:val="22"/>
          <w:lang w:val="es-ES_tradnl"/>
        </w:rPr>
      </w:pPr>
    </w:p>
    <w:p w14:paraId="2DFB0B76" w14:textId="77777777" w:rsidR="00DE6178" w:rsidRPr="00EE7E31" w:rsidRDefault="00DE6178" w:rsidP="00DE6178">
      <w:pPr>
        <w:spacing w:line="276" w:lineRule="auto"/>
        <w:jc w:val="both"/>
        <w:rPr>
          <w:rFonts w:ascii="Arial" w:eastAsia="Arial" w:hAnsi="Arial" w:cs="Arial"/>
          <w:b/>
          <w:bCs/>
          <w:color w:val="000000"/>
          <w:sz w:val="22"/>
          <w:lang w:val="es-ES_tradnl"/>
        </w:rPr>
      </w:pPr>
      <w:r w:rsidRPr="00AB5927">
        <w:rPr>
          <w:rFonts w:ascii="Arial" w:eastAsia="Arial" w:hAnsi="Arial" w:cs="Arial"/>
          <w:b/>
          <w:bCs/>
          <w:color w:val="000000"/>
          <w:sz w:val="22"/>
          <w:lang w:val="es-ES_tradnl"/>
        </w:rPr>
        <w:t>2.1. Fundamento normativo de los documentos tipo</w:t>
      </w:r>
      <w:r w:rsidRPr="00EE7E31">
        <w:rPr>
          <w:rFonts w:ascii="Arial" w:eastAsia="Arial" w:hAnsi="Arial" w:cs="Arial"/>
          <w:b/>
          <w:bCs/>
          <w:color w:val="000000"/>
          <w:sz w:val="22"/>
          <w:lang w:val="es-ES_tradnl"/>
        </w:rPr>
        <w:t xml:space="preserve"> </w:t>
      </w:r>
    </w:p>
    <w:p w14:paraId="12F3676A" w14:textId="77777777" w:rsidR="00DE6178" w:rsidRPr="00EE7E31" w:rsidRDefault="00DE6178" w:rsidP="00DE6178">
      <w:pPr>
        <w:spacing w:line="276" w:lineRule="auto"/>
        <w:jc w:val="both"/>
        <w:rPr>
          <w:rFonts w:ascii="Arial" w:eastAsia="Arial" w:hAnsi="Arial" w:cs="Arial"/>
          <w:b/>
          <w:bCs/>
          <w:color w:val="000000"/>
          <w:sz w:val="22"/>
          <w:lang w:val="es-ES_tradnl"/>
        </w:rPr>
      </w:pPr>
    </w:p>
    <w:p w14:paraId="1ED3142B" w14:textId="77777777" w:rsidR="00DE6178" w:rsidRPr="00EE7E31" w:rsidRDefault="00DE6178" w:rsidP="00DE6178">
      <w:pPr>
        <w:spacing w:after="120" w:line="276" w:lineRule="auto"/>
        <w:jc w:val="both"/>
        <w:rPr>
          <w:rFonts w:ascii="Arial" w:eastAsia="Calibri" w:hAnsi="Arial" w:cs="Arial"/>
          <w:color w:val="000000"/>
          <w:sz w:val="22"/>
          <w:lang w:val="es-ES_tradnl"/>
        </w:rPr>
      </w:pPr>
      <w:r w:rsidRPr="00EE7E31">
        <w:rPr>
          <w:rFonts w:ascii="Arial" w:eastAsia="Calibri" w:hAnsi="Arial" w:cs="Arial"/>
          <w:color w:val="000000"/>
          <w:sz w:val="22"/>
          <w:lang w:val="es-ES_tradnl"/>
        </w:rPr>
        <w:t>La adopción de los documentos tipo obligatorios en el ordenamiento jurídico colombiano se incluyó por primera vez en el parágrafo 3 del artículo 2 de la Ley 1150 de 2007</w:t>
      </w:r>
      <w:r w:rsidRPr="00EE7E31">
        <w:rPr>
          <w:rStyle w:val="Refdenotaalpie"/>
          <w:rFonts w:ascii="Arial" w:eastAsia="Calibri" w:hAnsi="Arial" w:cs="Arial"/>
          <w:color w:val="000000"/>
          <w:sz w:val="22"/>
          <w:lang w:val="es-ES_tradnl"/>
        </w:rPr>
        <w:footnoteReference w:id="2"/>
      </w:r>
      <w:r w:rsidRPr="00EE7E31">
        <w:rPr>
          <w:rFonts w:ascii="Arial" w:eastAsia="Calibri" w:hAnsi="Arial" w:cs="Arial"/>
          <w:color w:val="000000"/>
          <w:sz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22B9741D" w14:textId="77777777" w:rsidR="00DE6178" w:rsidRPr="00EE7E31" w:rsidRDefault="00DE6178" w:rsidP="00DE6178">
      <w:pPr>
        <w:spacing w:line="276" w:lineRule="auto"/>
        <w:ind w:firstLine="708"/>
        <w:jc w:val="both"/>
        <w:rPr>
          <w:rFonts w:ascii="Arial" w:eastAsia="Calibri" w:hAnsi="Arial" w:cs="Arial"/>
          <w:color w:val="000000"/>
          <w:sz w:val="22"/>
          <w:lang w:val="es-ES_tradnl"/>
        </w:rPr>
      </w:pPr>
      <w:r w:rsidRPr="00EE7E31">
        <w:rPr>
          <w:rFonts w:ascii="Arial" w:eastAsia="Calibri" w:hAnsi="Arial" w:cs="Arial"/>
          <w:color w:val="000000"/>
          <w:sz w:val="22"/>
          <w:lang w:val="es-ES_tradnl"/>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3FA842BE" w14:textId="77777777" w:rsidR="00DE6178" w:rsidRPr="00EE7E31" w:rsidRDefault="00DE6178" w:rsidP="00DE6178">
      <w:pPr>
        <w:spacing w:before="120" w:after="120" w:line="276" w:lineRule="auto"/>
        <w:ind w:firstLine="708"/>
        <w:jc w:val="both"/>
        <w:rPr>
          <w:rFonts w:ascii="Arial" w:eastAsia="Calibri" w:hAnsi="Arial" w:cs="Arial"/>
          <w:color w:val="000000"/>
          <w:sz w:val="22"/>
          <w:lang w:val="es-ES_tradnl"/>
        </w:rPr>
      </w:pPr>
      <w:r w:rsidRPr="00EE7E31">
        <w:rPr>
          <w:rFonts w:ascii="Arial" w:eastAsia="Calibri" w:hAnsi="Arial" w:cs="Arial"/>
          <w:color w:val="000000"/>
          <w:sz w:val="22"/>
          <w:lang w:val="es-ES_tradnl"/>
        </w:rPr>
        <w:lastRenderedPageBreak/>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Estos debían ser aplicados por todas las entidades sometidas al Estatuto General de Contratación de la Administración Pública en los procesos de selección que adelantaran</w:t>
      </w:r>
      <w:r w:rsidRPr="00EE7E31">
        <w:rPr>
          <w:rStyle w:val="Refdenotaalpie"/>
          <w:rFonts w:ascii="Arial" w:eastAsia="Calibri" w:hAnsi="Arial" w:cs="Arial"/>
          <w:color w:val="000000"/>
          <w:sz w:val="22"/>
          <w:lang w:val="es-ES_tradnl"/>
        </w:rPr>
        <w:footnoteReference w:id="3"/>
      </w:r>
      <w:r w:rsidRPr="00EE7E31">
        <w:rPr>
          <w:rFonts w:ascii="Arial" w:eastAsia="Calibri" w:hAnsi="Arial" w:cs="Arial"/>
          <w:color w:val="000000"/>
          <w:sz w:val="22"/>
          <w:lang w:val="es-ES_tradnl"/>
        </w:rPr>
        <w:t>.</w:t>
      </w:r>
    </w:p>
    <w:p w14:paraId="3515546E" w14:textId="77777777" w:rsidR="00DE6178" w:rsidRPr="00EE7E31" w:rsidRDefault="00DE6178" w:rsidP="00DE6178">
      <w:pPr>
        <w:spacing w:before="120" w:after="120" w:line="276" w:lineRule="auto"/>
        <w:jc w:val="both"/>
        <w:rPr>
          <w:rFonts w:ascii="Arial" w:eastAsia="Calibri" w:hAnsi="Arial" w:cs="Arial"/>
          <w:color w:val="000000"/>
          <w:sz w:val="22"/>
          <w:lang w:val="es-ES_tradnl"/>
        </w:rPr>
      </w:pPr>
      <w:r w:rsidRPr="00EE7E31">
        <w:rPr>
          <w:rFonts w:ascii="Arial" w:eastAsia="Calibri" w:hAnsi="Arial" w:cs="Arial"/>
          <w:color w:val="000000"/>
          <w:sz w:val="22"/>
          <w:lang w:val="es-ES_tradnl"/>
        </w:rPr>
        <w:tab/>
        <w:t>Asimismo, señalaba que, dentro de los documentos tipo, el gobierno adoptaría</w:t>
      </w:r>
      <w:r>
        <w:rPr>
          <w:rFonts w:ascii="Arial" w:eastAsia="Calibri" w:hAnsi="Arial" w:cs="Arial"/>
          <w:color w:val="000000"/>
          <w:sz w:val="22"/>
          <w:lang w:val="es-ES_tradnl"/>
        </w:rPr>
        <w:t>,</w:t>
      </w:r>
      <w:r w:rsidRPr="00EE7E31">
        <w:rPr>
          <w:rFonts w:ascii="Arial" w:eastAsia="Calibri" w:hAnsi="Arial" w:cs="Arial"/>
          <w:color w:val="000000"/>
          <w:sz w:val="22"/>
          <w:lang w:val="es-ES_tradnl"/>
        </w:rPr>
        <w:t xml:space="preserve"> de manera general y con alcance obligatorio para todas las entidades</w:t>
      </w:r>
      <w:r>
        <w:rPr>
          <w:rFonts w:ascii="Arial" w:eastAsia="Calibri" w:hAnsi="Arial" w:cs="Arial"/>
          <w:color w:val="000000"/>
          <w:sz w:val="22"/>
          <w:lang w:val="es-ES_tradnl"/>
        </w:rPr>
        <w:t>,</w:t>
      </w:r>
      <w:r w:rsidRPr="00EE7E31">
        <w:rPr>
          <w:rFonts w:ascii="Arial" w:eastAsia="Calibri" w:hAnsi="Arial" w:cs="Arial"/>
          <w:color w:val="000000"/>
          <w:sz w:val="22"/>
          <w:lang w:val="es-ES_tradnl"/>
        </w:rPr>
        <w:t xml:space="preserve"> las condiciones habilitantes, así como los factores técnicos y económicos de escogencia, según correspondiera a cada modalidad de selección y la ponderación precisa y detallada de los mismos, teniendo en cuenta la naturaleza y cuantía de los contratos. Para la adopción de esta reglamentación</w:t>
      </w:r>
      <w:r>
        <w:rPr>
          <w:rFonts w:ascii="Arial" w:eastAsia="Calibri" w:hAnsi="Arial" w:cs="Arial"/>
          <w:color w:val="000000"/>
          <w:sz w:val="22"/>
          <w:lang w:val="es-ES_tradnl"/>
        </w:rPr>
        <w:t>,</w:t>
      </w:r>
      <w:r w:rsidRPr="00EE7E31">
        <w:rPr>
          <w:rFonts w:ascii="Arial" w:eastAsia="Calibri" w:hAnsi="Arial" w:cs="Arial"/>
          <w:color w:val="000000"/>
          <w:sz w:val="22"/>
          <w:lang w:val="es-ES_tradnl"/>
        </w:rPr>
        <w:t xml:space="preserve">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0E54DEE6" w14:textId="77777777" w:rsidR="00DE6178" w:rsidRPr="00EE7E31" w:rsidRDefault="00DE6178" w:rsidP="00DE6178">
      <w:pPr>
        <w:spacing w:before="120" w:after="120" w:line="276" w:lineRule="auto"/>
        <w:jc w:val="both"/>
        <w:rPr>
          <w:rFonts w:ascii="Arial" w:eastAsia="Calibri" w:hAnsi="Arial" w:cs="Arial"/>
          <w:color w:val="000000"/>
          <w:sz w:val="22"/>
          <w:lang w:val="es-ES_tradnl"/>
        </w:rPr>
      </w:pPr>
      <w:r w:rsidRPr="00EE7E31">
        <w:rPr>
          <w:rFonts w:ascii="Arial" w:eastAsia="Calibri" w:hAnsi="Arial" w:cs="Arial"/>
          <w:color w:val="000000"/>
          <w:sz w:val="22"/>
          <w:lang w:val="es-ES_tradnl"/>
        </w:rPr>
        <w:tab/>
        <w:t xml:space="preserve">De la norma descrita se concluía lo siguiente: i) la adopción de los documentos tipo estaba en cabeza del gobierno nacional; </w:t>
      </w:r>
      <w:proofErr w:type="spellStart"/>
      <w:r w:rsidRPr="00EE7E31">
        <w:rPr>
          <w:rFonts w:ascii="Arial" w:eastAsia="Calibri" w:hAnsi="Arial" w:cs="Arial"/>
          <w:color w:val="000000"/>
          <w:sz w:val="22"/>
          <w:lang w:val="es-ES_tradnl"/>
        </w:rPr>
        <w:t>ii</w:t>
      </w:r>
      <w:proofErr w:type="spellEnd"/>
      <w:r w:rsidRPr="00EE7E31">
        <w:rPr>
          <w:rFonts w:ascii="Arial" w:eastAsia="Calibri" w:hAnsi="Arial" w:cs="Arial"/>
          <w:color w:val="000000"/>
          <w:sz w:val="22"/>
          <w:lang w:val="es-ES_tradnl"/>
        </w:rPr>
        <w:t>) estos debían relacionarse con procesos de obra</w:t>
      </w:r>
      <w:r>
        <w:rPr>
          <w:rFonts w:ascii="Arial" w:eastAsia="Calibri" w:hAnsi="Arial" w:cs="Arial"/>
          <w:color w:val="000000"/>
          <w:sz w:val="22"/>
          <w:lang w:val="es-ES_tradnl"/>
        </w:rPr>
        <w:t>s</w:t>
      </w:r>
      <w:r w:rsidRPr="00EE7E31">
        <w:rPr>
          <w:rFonts w:ascii="Arial" w:eastAsia="Calibri" w:hAnsi="Arial" w:cs="Arial"/>
          <w:color w:val="000000"/>
          <w:sz w:val="22"/>
          <w:lang w:val="es-ES_tradnl"/>
        </w:rPr>
        <w:t xml:space="preserve"> públicas, interventoría para las obras públicas, interventoría para consultoría de estudios y diseños y, finalmente, consultoría en ingeniería para obras; </w:t>
      </w:r>
      <w:proofErr w:type="spellStart"/>
      <w:r w:rsidRPr="00EE7E31">
        <w:rPr>
          <w:rFonts w:ascii="Arial" w:eastAsia="Calibri" w:hAnsi="Arial" w:cs="Arial"/>
          <w:color w:val="000000"/>
          <w:sz w:val="22"/>
          <w:lang w:val="es-ES_tradnl"/>
        </w:rPr>
        <w:t>iii</w:t>
      </w:r>
      <w:proofErr w:type="spellEnd"/>
      <w:r w:rsidRPr="00EE7E31">
        <w:rPr>
          <w:rFonts w:ascii="Arial" w:eastAsia="Calibri" w:hAnsi="Arial" w:cs="Arial"/>
          <w:color w:val="000000"/>
          <w:sz w:val="22"/>
          <w:lang w:val="es-ES_tradnl"/>
        </w:rPr>
        <w:t xml:space="preserve">) eran de obligatorio cumplimiento por parte de todas las entidades sometidas al Estatuto General de Contratación de la Administración Pública; </w:t>
      </w:r>
      <w:proofErr w:type="spellStart"/>
      <w:r w:rsidRPr="00EE7E31">
        <w:rPr>
          <w:rFonts w:ascii="Arial" w:eastAsia="Calibri" w:hAnsi="Arial" w:cs="Arial"/>
          <w:color w:val="000000"/>
          <w:sz w:val="22"/>
          <w:lang w:val="es-ES_tradnl"/>
        </w:rPr>
        <w:t>iv</w:t>
      </w:r>
      <w:proofErr w:type="spellEnd"/>
      <w:r w:rsidRPr="00EE7E31">
        <w:rPr>
          <w:rFonts w:ascii="Arial" w:eastAsia="Calibri" w:hAnsi="Arial" w:cs="Arial"/>
          <w:color w:val="000000"/>
          <w:sz w:val="22"/>
          <w:lang w:val="es-ES_tradnl"/>
        </w:rPr>
        <w:t>)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w:t>
      </w:r>
      <w:r>
        <w:rPr>
          <w:rFonts w:ascii="Arial" w:eastAsia="Calibri" w:hAnsi="Arial" w:cs="Arial"/>
          <w:color w:val="000000"/>
          <w:sz w:val="22"/>
          <w:lang w:val="es-ES_tradnl"/>
        </w:rPr>
        <w:t>,</w:t>
      </w:r>
      <w:r w:rsidRPr="00EE7E31">
        <w:rPr>
          <w:rFonts w:ascii="Arial" w:eastAsia="Calibri" w:hAnsi="Arial" w:cs="Arial"/>
          <w:color w:val="000000"/>
          <w:sz w:val="22"/>
          <w:lang w:val="es-ES_tradnl"/>
        </w:rPr>
        <w:t xml:space="preserve"> por último, vi) los documentos tipo serían adoptados por categorías de acuerdo con la cuantía de la contratación. </w:t>
      </w:r>
    </w:p>
    <w:p w14:paraId="68F7D659" w14:textId="77777777" w:rsidR="00DE6178" w:rsidRPr="00EE7E31" w:rsidRDefault="00DE6178" w:rsidP="00DE6178">
      <w:pPr>
        <w:spacing w:before="120" w:after="120" w:line="276" w:lineRule="auto"/>
        <w:jc w:val="both"/>
        <w:rPr>
          <w:rFonts w:ascii="Arial" w:eastAsia="Calibri" w:hAnsi="Arial" w:cs="Arial"/>
          <w:color w:val="000000"/>
          <w:sz w:val="22"/>
          <w:lang w:val="es-ES_tradnl"/>
        </w:rPr>
      </w:pPr>
      <w:r w:rsidRPr="00EE7E31">
        <w:rPr>
          <w:rFonts w:ascii="Arial" w:eastAsia="Calibri" w:hAnsi="Arial" w:cs="Arial"/>
          <w:color w:val="000000"/>
          <w:sz w:val="22"/>
          <w:lang w:val="es-ES_tradnl"/>
        </w:rPr>
        <w:lastRenderedPageBreak/>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6" w:name="_Hlk48665985"/>
      <w:r w:rsidRPr="00EE7E31">
        <w:rPr>
          <w:rFonts w:ascii="Arial" w:eastAsia="Calibri" w:hAnsi="Arial" w:cs="Arial"/>
          <w:color w:val="000000"/>
          <w:sz w:val="22"/>
          <w:lang w:val="es-ES_tradnl"/>
        </w:rPr>
        <w:t>y los criterios de escogencia, elementos propios del procedimiento de selección del contratista, materia en la que existe reserva de ley y que no se encuentra atribuida a la regulación de las entidades territoriales</w:t>
      </w:r>
      <w:bookmarkEnd w:id="6"/>
      <w:r w:rsidRPr="00EE7E31">
        <w:rPr>
          <w:rFonts w:ascii="Arial" w:eastAsia="Calibri" w:hAnsi="Arial" w:cs="Arial"/>
          <w:color w:val="000000"/>
          <w:sz w:val="22"/>
          <w:lang w:val="es-ES_tradnl"/>
        </w:rPr>
        <w:t>. De igual manera, se establece que esta autonomía se garantiza con la identificación autónoma de sus necesidades y la configuración de los elementos del contrato</w:t>
      </w:r>
      <w:r w:rsidRPr="00EE7E31">
        <w:rPr>
          <w:rStyle w:val="Refdenotaalpie"/>
          <w:rFonts w:ascii="Arial" w:eastAsia="Calibri" w:hAnsi="Arial" w:cs="Arial"/>
          <w:color w:val="000000"/>
          <w:sz w:val="22"/>
          <w:lang w:val="es-ES_tradnl"/>
        </w:rPr>
        <w:footnoteReference w:id="4"/>
      </w:r>
      <w:r w:rsidRPr="00EE7E31">
        <w:rPr>
          <w:rFonts w:ascii="Arial" w:eastAsia="Calibri" w:hAnsi="Arial" w:cs="Arial"/>
          <w:color w:val="000000"/>
          <w:sz w:val="22"/>
          <w:lang w:val="es-ES_tradnl"/>
        </w:rPr>
        <w:t>.</w:t>
      </w:r>
    </w:p>
    <w:p w14:paraId="06E70866" w14:textId="77777777" w:rsidR="00DE6178" w:rsidRPr="00EE7E31" w:rsidRDefault="00DE6178" w:rsidP="00DE6178">
      <w:pPr>
        <w:spacing w:before="120" w:after="120" w:line="276" w:lineRule="auto"/>
        <w:jc w:val="both"/>
        <w:rPr>
          <w:rFonts w:ascii="Arial" w:eastAsia="Calibri" w:hAnsi="Arial" w:cs="Arial"/>
          <w:color w:val="000000"/>
          <w:sz w:val="22"/>
          <w:lang w:val="es-ES_tradnl"/>
        </w:rPr>
      </w:pPr>
      <w:r w:rsidRPr="00EE7E31">
        <w:rPr>
          <w:rFonts w:ascii="Arial" w:eastAsia="Calibri" w:hAnsi="Arial" w:cs="Arial"/>
          <w:color w:val="000000"/>
          <w:sz w:val="22"/>
          <w:lang w:val="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6839F264" w14:textId="77777777" w:rsidR="00DE6178" w:rsidRDefault="00DE6178" w:rsidP="00DE6178">
      <w:pPr>
        <w:spacing w:before="120" w:after="120" w:line="276" w:lineRule="auto"/>
        <w:jc w:val="both"/>
        <w:rPr>
          <w:rFonts w:ascii="Arial" w:eastAsia="Calibri" w:hAnsi="Arial" w:cs="Arial"/>
          <w:sz w:val="22"/>
          <w:szCs w:val="22"/>
          <w:lang w:val="es-ES_tradnl" w:eastAsia="en-US"/>
        </w:rPr>
      </w:pPr>
      <w:r w:rsidRPr="00EE7E31">
        <w:rPr>
          <w:rFonts w:ascii="Arial" w:eastAsia="Calibri" w:hAnsi="Arial" w:cs="Arial"/>
          <w:color w:val="000000"/>
          <w:sz w:val="22"/>
          <w:szCs w:val="22"/>
          <w:lang w:val="es-ES_tradnl"/>
        </w:rPr>
        <w:tab/>
      </w:r>
      <w:r w:rsidRPr="00EE7E31">
        <w:rPr>
          <w:rFonts w:ascii="Arial" w:eastAsia="Calibri" w:hAnsi="Arial" w:cs="Arial"/>
          <w:sz w:val="22"/>
          <w:szCs w:val="22"/>
          <w:lang w:val="es-ES_tradnl" w:eastAsia="en-U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1214CF28" w14:textId="77777777" w:rsidR="00DE6178" w:rsidRPr="00EE7E31" w:rsidRDefault="00DE6178" w:rsidP="00DE6178">
      <w:pPr>
        <w:spacing w:before="120" w:after="120" w:line="276" w:lineRule="auto"/>
        <w:jc w:val="both"/>
        <w:rPr>
          <w:rFonts w:ascii="Arial" w:eastAsia="Calibri" w:hAnsi="Arial" w:cs="Arial"/>
          <w:color w:val="000000"/>
          <w:sz w:val="22"/>
          <w:szCs w:val="22"/>
          <w:lang w:val="es-ES_tradnl"/>
        </w:rPr>
      </w:pPr>
      <w:r w:rsidRPr="00EE7E31">
        <w:rPr>
          <w:rFonts w:ascii="Arial" w:eastAsia="Calibri" w:hAnsi="Arial" w:cs="Arial"/>
          <w:sz w:val="22"/>
          <w:szCs w:val="22"/>
          <w:lang w:val="es-ES_tradnl" w:eastAsia="en-U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EE7E31" w:rsidDel="00A434AB">
        <w:rPr>
          <w:rFonts w:ascii="Arial" w:eastAsia="Calibri" w:hAnsi="Arial" w:cs="Arial"/>
          <w:sz w:val="22"/>
          <w:szCs w:val="22"/>
          <w:lang w:val="es-ES_tradnl" w:eastAsia="en-US"/>
        </w:rPr>
        <w:t xml:space="preserve"> </w:t>
      </w:r>
      <w:r w:rsidRPr="00EE7E31">
        <w:rPr>
          <w:rFonts w:ascii="Arial" w:eastAsia="Calibri" w:hAnsi="Arial" w:cs="Arial"/>
          <w:sz w:val="22"/>
          <w:szCs w:val="22"/>
          <w:lang w:val="es-ES_tradnl" w:eastAsia="en-US"/>
        </w:rPr>
        <w:t xml:space="preserve">de infraestructura de transporte que se surtieran por la modalidad de mínima cuantía. Estos documentos fueron implementados y desarrollados por la Agencia Nacional de Contratación Pública </w:t>
      </w:r>
      <w:bookmarkStart w:id="7" w:name="_Hlk37841850"/>
      <w:r w:rsidRPr="00EE7E31">
        <w:rPr>
          <w:rFonts w:ascii="Arial" w:eastAsia="Calibri" w:hAnsi="Arial" w:cs="Arial"/>
          <w:sz w:val="22"/>
          <w:szCs w:val="22"/>
          <w:lang w:val="es-ES_tradnl" w:eastAsia="en-US"/>
        </w:rPr>
        <w:t xml:space="preserve">– Colombia Compra Eficiente, </w:t>
      </w:r>
      <w:bookmarkEnd w:id="7"/>
      <w:r w:rsidRPr="00EE7E31">
        <w:rPr>
          <w:rFonts w:ascii="Arial" w:eastAsia="Calibri" w:hAnsi="Arial" w:cs="Arial"/>
          <w:sz w:val="22"/>
          <w:szCs w:val="22"/>
          <w:lang w:val="es-ES_tradnl" w:eastAsia="en-US"/>
        </w:rPr>
        <w:t xml:space="preserve">por medio de la Resolución 1798 de 1 de abril de </w:t>
      </w:r>
      <w:r w:rsidRPr="00EE7E31">
        <w:rPr>
          <w:rFonts w:ascii="Arial" w:eastAsia="Calibri" w:hAnsi="Arial" w:cs="Arial"/>
          <w:sz w:val="22"/>
          <w:szCs w:val="22"/>
          <w:lang w:val="es-ES_tradnl" w:eastAsia="en-US"/>
        </w:rPr>
        <w:lastRenderedPageBreak/>
        <w:t>2019 –derogada por la Resolución 045 del 14 de febrero de 2020–, la Resolución 044 del 14 de febrero de 2020 y la Resolución 094 del 21 de mayo de 2020.</w:t>
      </w:r>
    </w:p>
    <w:p w14:paraId="435BE96E" w14:textId="77777777" w:rsidR="00DE6178" w:rsidRPr="00EE7E31" w:rsidRDefault="00DE6178" w:rsidP="00DE6178">
      <w:pPr>
        <w:pStyle w:val="Normal11pt"/>
        <w:spacing w:before="120" w:line="276" w:lineRule="auto"/>
        <w:ind w:left="0" w:firstLine="709"/>
        <w:rPr>
          <w:rFonts w:eastAsia="Calibri"/>
          <w:color w:val="000000" w:themeColor="text1"/>
        </w:rPr>
      </w:pPr>
      <w:r w:rsidRPr="00EE7E31">
        <w:rPr>
          <w:rFonts w:eastAsia="Calibri"/>
          <w:color w:val="000000" w:themeColor="text1"/>
        </w:rPr>
        <w:t>Por otra parte</w:t>
      </w:r>
      <w:r w:rsidRPr="00EE7E31">
        <w:rPr>
          <w:rFonts w:eastAsia="Calibri"/>
          <w:i/>
          <w:iCs/>
          <w:color w:val="000000" w:themeColor="text1"/>
        </w:rPr>
        <w:t>,</w:t>
      </w:r>
      <w:r w:rsidRPr="00EE7E31">
        <w:rPr>
          <w:rFonts w:eastAsia="Calibri"/>
          <w:color w:val="000000" w:themeColor="text1"/>
        </w:rPr>
        <w:t xml:space="preserve"> </w:t>
      </w:r>
      <w:bookmarkStart w:id="8" w:name="_Hlk85633926"/>
      <w:r w:rsidRPr="00EE7E31">
        <w:rPr>
          <w:rFonts w:eastAsia="Calibri"/>
          <w:color w:val="000000" w:themeColor="text1"/>
        </w:rPr>
        <w:t xml:space="preserve">debe tenerse en cuenta que la Ley 2022 de 2020 fue sancionada por el Presidente de la República el 22 de julio del año pasado, </w:t>
      </w:r>
      <w:r>
        <w:rPr>
          <w:rFonts w:eastAsia="Calibri"/>
          <w:color w:val="000000" w:themeColor="text1"/>
        </w:rPr>
        <w:t>y</w:t>
      </w:r>
      <w:r w:rsidRPr="00EE7E31">
        <w:rPr>
          <w:rFonts w:eastAsia="Calibri"/>
          <w:color w:val="000000" w:themeColor="text1"/>
        </w:rPr>
        <w:t xml:space="preserv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EE7E31">
        <w:rPr>
          <w:rStyle w:val="Refdenotaalpie"/>
          <w:rFonts w:eastAsia="Calibri"/>
          <w:color w:val="000000" w:themeColor="text1"/>
        </w:rPr>
        <w:footnoteReference w:id="5"/>
      </w:r>
      <w:r w:rsidRPr="00EE7E31">
        <w:rPr>
          <w:rFonts w:eastAsia="Calibri"/>
          <w:color w:val="000000" w:themeColor="text1"/>
        </w:rPr>
        <w:t xml:space="preserv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bookmarkEnd w:id="8"/>
      <w:r w:rsidRPr="00EE7E31">
        <w:rPr>
          <w:rFonts w:eastAsia="Calibri"/>
          <w:color w:val="000000" w:themeColor="text1"/>
        </w:rPr>
        <w:t xml:space="preserve">Además,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3816E7C5" w14:textId="77777777" w:rsidR="00DE6178" w:rsidRPr="00EE7E31" w:rsidRDefault="00DE6178" w:rsidP="00DE6178">
      <w:pPr>
        <w:pStyle w:val="Normal11pt"/>
        <w:spacing w:before="120" w:line="276" w:lineRule="auto"/>
        <w:ind w:left="0" w:firstLine="709"/>
        <w:rPr>
          <w:rFonts w:eastAsia="Calibri"/>
          <w:color w:val="000000" w:themeColor="text1"/>
        </w:rPr>
      </w:pPr>
      <w:r w:rsidRPr="00EE7E31">
        <w:rPr>
          <w:rFonts w:eastAsia="Calibri"/>
          <w:color w:val="000000" w:themeColor="text1"/>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del 11 de diciembre de 2020, «Por la cual se adoptan los documentos tipo para los procesos de selección de concursos de méritos, para contratar la interventoría de obras públicas de infraestructura de transporte». Por otra parte, se expidió la Resolución 248 del 1° de diciembre de 2020, «Por la cual se adoptan los documentos tipo para los procesos de licitación pública para </w:t>
      </w:r>
      <w:r w:rsidRPr="00EE7E31">
        <w:rPr>
          <w:rFonts w:eastAsia="Calibri"/>
          <w:color w:val="000000" w:themeColor="text1"/>
        </w:rPr>
        <w:lastRenderedPageBreak/>
        <w:t>obras de infraestructura de agua potable y saneamiento básico», la Resolución 249 del 1° de diciembre de 2020, «Por la cual se adoptan los documentos tipo para los procesos de licitación pública para obras de infraestructura de agua potable y saneamiento básico en la modalidad llave en mano» y la Resolución 269 del 16 de diciembre de 2020, «Por la cual se adopta el documento tipo para los procesos de gestión catastral con enfoque multipropósito que se celebren a través de contratos interadministrativos».</w:t>
      </w:r>
    </w:p>
    <w:p w14:paraId="61C63CFE" w14:textId="77777777" w:rsidR="00DE6178" w:rsidRPr="00EE7E31" w:rsidRDefault="00DE6178" w:rsidP="00DE6178">
      <w:pPr>
        <w:pStyle w:val="Normal11pt"/>
        <w:spacing w:before="120" w:line="276" w:lineRule="auto"/>
        <w:ind w:left="0" w:firstLine="709"/>
        <w:rPr>
          <w:rFonts w:eastAsia="Calibri"/>
          <w:color w:val="000000" w:themeColor="text1"/>
        </w:rPr>
      </w:pPr>
      <w:r w:rsidRPr="00EE7E31">
        <w:rPr>
          <w:rFonts w:eastAsia="Calibri"/>
          <w:color w:val="000000" w:themeColor="text1"/>
        </w:rPr>
        <w:t xml:space="preserve">Asimismo, </w:t>
      </w:r>
      <w:r>
        <w:rPr>
          <w:rFonts w:eastAsia="Calibri"/>
          <w:color w:val="000000" w:themeColor="text1"/>
        </w:rPr>
        <w:t>este</w:t>
      </w:r>
      <w:r w:rsidRPr="00EE7E31">
        <w:rPr>
          <w:rFonts w:eastAsia="Calibri"/>
          <w:color w:val="000000" w:themeColor="text1"/>
        </w:rPr>
        <w:t xml:space="preserve"> </w:t>
      </w:r>
      <w:r>
        <w:rPr>
          <w:rFonts w:eastAsia="Calibri"/>
          <w:color w:val="000000" w:themeColor="text1"/>
        </w:rPr>
        <w:t>año</w:t>
      </w:r>
      <w:r w:rsidRPr="00EE7E31">
        <w:rPr>
          <w:rFonts w:eastAsia="Calibri"/>
          <w:color w:val="000000" w:themeColor="text1"/>
        </w:rPr>
        <w:t xml:space="preserve"> 2021 </w:t>
      </w:r>
      <w:r>
        <w:rPr>
          <w:rFonts w:eastAsia="Calibri"/>
          <w:color w:val="000000" w:themeColor="text1"/>
        </w:rPr>
        <w:t>la</w:t>
      </w:r>
      <w:r w:rsidRPr="00EE7E31">
        <w:rPr>
          <w:rFonts w:eastAsia="Calibri"/>
          <w:color w:val="000000" w:themeColor="text1"/>
        </w:rPr>
        <w:t xml:space="preserve"> Agencia expidió al Resolución 193 del 14 de julio de 2021, «Por la cual se adoptan los documentos tipo para los procesos de 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w:t>
      </w:r>
    </w:p>
    <w:p w14:paraId="0D1EC09B" w14:textId="77777777" w:rsidR="00DE6178" w:rsidRPr="00EE7E31" w:rsidRDefault="00DE6178" w:rsidP="00DE6178">
      <w:pPr>
        <w:pStyle w:val="Normal11pt"/>
        <w:spacing w:before="120" w:line="276" w:lineRule="auto"/>
        <w:ind w:left="0" w:firstLine="709"/>
        <w:rPr>
          <w:rFonts w:eastAsia="Calibri"/>
          <w:lang w:eastAsia="en-US"/>
        </w:rPr>
      </w:pPr>
      <w:r w:rsidRPr="00EE7E31">
        <w:rPr>
          <w:rFonts w:eastAsia="Calibri"/>
          <w:color w:val="000000" w:themeColor="text1"/>
        </w:rPr>
        <w:t xml:space="preserve">Es bueno destacar que la Agencia Nacional de Contratación Pública sigue avanzando en la </w:t>
      </w:r>
      <w:r>
        <w:rPr>
          <w:rFonts w:eastAsia="Calibri"/>
          <w:color w:val="000000" w:themeColor="text1"/>
        </w:rPr>
        <w:t>elaboración</w:t>
      </w:r>
      <w:r w:rsidRPr="00EE7E31">
        <w:rPr>
          <w:rFonts w:eastAsia="Calibri"/>
          <w:color w:val="000000" w:themeColor="text1"/>
        </w:rPr>
        <w:t xml:space="preserve"> de nuevos documentos tipo, conforme a las razones de oportunidad y conveniencia que justifican su expedición para cada sector, modalidad y objeto contractual. Debe tenerse en cuenta que estos exigen un minucioso desarrollo en el cual participan las entidades estatales, </w:t>
      </w:r>
      <w:r>
        <w:rPr>
          <w:rFonts w:eastAsia="Calibri"/>
          <w:color w:val="000000" w:themeColor="text1"/>
        </w:rPr>
        <w:t xml:space="preserve">las </w:t>
      </w:r>
      <w:r w:rsidRPr="00EE7E31">
        <w:rPr>
          <w:rFonts w:eastAsia="Calibri"/>
          <w:color w:val="000000" w:themeColor="text1"/>
        </w:rPr>
        <w:t xml:space="preserve">empresas, </w:t>
      </w:r>
      <w:r>
        <w:rPr>
          <w:rFonts w:eastAsia="Calibri"/>
          <w:color w:val="000000" w:themeColor="text1"/>
        </w:rPr>
        <w:t xml:space="preserve">los </w:t>
      </w:r>
      <w:r w:rsidRPr="00EE7E31">
        <w:rPr>
          <w:rFonts w:eastAsia="Calibri"/>
          <w:color w:val="000000" w:themeColor="text1"/>
        </w:rPr>
        <w:t xml:space="preserve">gremios y </w:t>
      </w:r>
      <w:r>
        <w:rPr>
          <w:rFonts w:eastAsia="Calibri"/>
          <w:color w:val="000000" w:themeColor="text1"/>
        </w:rPr>
        <w:t xml:space="preserve">la </w:t>
      </w:r>
      <w:r w:rsidRPr="00EE7E31">
        <w:rPr>
          <w:rFonts w:eastAsia="Calibri"/>
          <w:color w:val="000000" w:themeColor="text1"/>
        </w:rPr>
        <w:t>ciudadanía, con la finalidad</w:t>
      </w:r>
      <w:r>
        <w:rPr>
          <w:rFonts w:eastAsia="Calibri"/>
          <w:color w:val="000000" w:themeColor="text1"/>
        </w:rPr>
        <w:t xml:space="preserve"> de</w:t>
      </w:r>
      <w:r w:rsidRPr="00EE7E31">
        <w:rPr>
          <w:rFonts w:eastAsia="Calibri"/>
          <w:color w:val="000000" w:themeColor="text1"/>
        </w:rPr>
        <w:t xml:space="preserve"> que los documentos tipo que se expidan contengan las mejores prácticas contractuales que garanticen la adecuada aplicación de los principios de la contratación pública.</w:t>
      </w:r>
    </w:p>
    <w:p w14:paraId="6FCFB619" w14:textId="77777777" w:rsidR="00DE6178" w:rsidRPr="00EE7E31" w:rsidRDefault="00DE6178" w:rsidP="00DE6178">
      <w:pPr>
        <w:tabs>
          <w:tab w:val="left" w:pos="0"/>
        </w:tabs>
        <w:spacing w:line="276" w:lineRule="auto"/>
        <w:jc w:val="both"/>
        <w:rPr>
          <w:rFonts w:ascii="Arial" w:eastAsia="Calibri" w:hAnsi="Arial" w:cs="Arial"/>
          <w:b/>
          <w:color w:val="000000" w:themeColor="text1"/>
          <w:sz w:val="22"/>
          <w:lang w:val="es-ES_tradnl"/>
        </w:rPr>
      </w:pPr>
    </w:p>
    <w:p w14:paraId="0E89DB57" w14:textId="77777777" w:rsidR="00DE6178" w:rsidRPr="00EE7E31" w:rsidRDefault="00DE6178" w:rsidP="00DE6178">
      <w:pPr>
        <w:spacing w:line="276" w:lineRule="auto"/>
        <w:jc w:val="both"/>
        <w:rPr>
          <w:rFonts w:ascii="Arial" w:eastAsia="Arial" w:hAnsi="Arial" w:cs="Arial"/>
          <w:b/>
          <w:bCs/>
          <w:color w:val="000000"/>
          <w:sz w:val="22"/>
          <w:lang w:val="es-ES_tradnl"/>
        </w:rPr>
      </w:pPr>
      <w:r w:rsidRPr="00A12CDF">
        <w:rPr>
          <w:rFonts w:ascii="Arial" w:eastAsia="Arial" w:hAnsi="Arial" w:cs="Arial"/>
          <w:b/>
          <w:bCs/>
          <w:color w:val="000000"/>
          <w:sz w:val="22"/>
          <w:lang w:val="es-ES_tradnl"/>
        </w:rPr>
        <w:t>2.2. Alcance de la regla de la inalterabilidad de los documentos tipo</w:t>
      </w:r>
      <w:r w:rsidRPr="00EE7E31">
        <w:rPr>
          <w:rFonts w:ascii="Arial" w:eastAsia="Arial" w:hAnsi="Arial" w:cs="Arial"/>
          <w:b/>
          <w:bCs/>
          <w:color w:val="000000"/>
          <w:sz w:val="22"/>
          <w:lang w:val="es-ES_tradnl"/>
        </w:rPr>
        <w:t xml:space="preserve"> </w:t>
      </w:r>
    </w:p>
    <w:p w14:paraId="59B04EA1" w14:textId="77777777" w:rsidR="00DE6178" w:rsidRPr="00EE7E31" w:rsidRDefault="00DE6178" w:rsidP="00DE6178">
      <w:pPr>
        <w:tabs>
          <w:tab w:val="left" w:pos="0"/>
        </w:tabs>
        <w:jc w:val="both"/>
        <w:rPr>
          <w:rFonts w:ascii="Arial" w:eastAsia="Calibri" w:hAnsi="Arial" w:cs="Arial"/>
          <w:b/>
          <w:color w:val="000000" w:themeColor="text1"/>
          <w:sz w:val="22"/>
          <w:lang w:val="es-ES_tradnl"/>
        </w:rPr>
      </w:pPr>
    </w:p>
    <w:p w14:paraId="5BC54EE7" w14:textId="77777777" w:rsidR="00DE6178" w:rsidRPr="00EE7E31" w:rsidRDefault="00DE6178" w:rsidP="00DE6178">
      <w:pPr>
        <w:spacing w:line="276" w:lineRule="auto"/>
        <w:jc w:val="both"/>
        <w:rPr>
          <w:rFonts w:ascii="Arial" w:hAnsi="Arial" w:cs="Arial"/>
          <w:sz w:val="22"/>
          <w:shd w:val="clear" w:color="auto" w:fill="FFFFFF"/>
          <w:lang w:val="es-ES_tradnl"/>
        </w:rPr>
      </w:pPr>
      <w:r w:rsidRPr="00EE7E31">
        <w:rPr>
          <w:rFonts w:ascii="Arial" w:hAnsi="Arial" w:cs="Arial"/>
          <w:sz w:val="22"/>
          <w:shd w:val="clear" w:color="auto" w:fill="FFFFFF"/>
          <w:lang w:val="es-ES_tradnl"/>
        </w:rPr>
        <w:t>Todas las resoluciones</w:t>
      </w:r>
      <w:r w:rsidRPr="00EE7E31">
        <w:rPr>
          <w:rStyle w:val="Refdenotaalpie"/>
          <w:rFonts w:ascii="Arial" w:hAnsi="Arial" w:cs="Arial"/>
          <w:sz w:val="22"/>
          <w:shd w:val="clear" w:color="auto" w:fill="FFFFFF"/>
          <w:lang w:val="es-ES_tradnl"/>
        </w:rPr>
        <w:footnoteReference w:id="6"/>
      </w:r>
      <w:r w:rsidRPr="00EE7E31">
        <w:rPr>
          <w:rFonts w:ascii="Arial" w:hAnsi="Arial" w:cs="Arial"/>
          <w:sz w:val="22"/>
          <w:shd w:val="clear" w:color="auto" w:fill="FFFFFF"/>
          <w:lang w:val="es-ES_tradnl"/>
        </w:rPr>
        <w:t xml:space="preserve">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3B70DAA5" w14:textId="77777777" w:rsidR="00DE6178" w:rsidRDefault="00DE6178" w:rsidP="00DE6178">
      <w:pPr>
        <w:spacing w:before="120" w:after="120" w:line="276" w:lineRule="auto"/>
        <w:ind w:firstLine="709"/>
        <w:jc w:val="both"/>
        <w:rPr>
          <w:rFonts w:ascii="Arial" w:hAnsi="Arial" w:cs="Arial"/>
          <w:sz w:val="22"/>
          <w:szCs w:val="22"/>
          <w:shd w:val="clear" w:color="auto" w:fill="FFFFFF"/>
          <w:lang w:val="es-ES_tradnl"/>
        </w:rPr>
      </w:pPr>
      <w:r w:rsidRPr="00EE7E31">
        <w:rPr>
          <w:rFonts w:ascii="Arial" w:hAnsi="Arial" w:cs="Arial"/>
          <w:sz w:val="22"/>
          <w:szCs w:val="22"/>
          <w:shd w:val="clear" w:color="auto" w:fill="FFFFFF"/>
          <w:lang w:val="es-ES_tradnl"/>
        </w:rPr>
        <w:lastRenderedPageBreak/>
        <w:t xml:space="preserve">El fundamento legal vigente de la regla de la </w:t>
      </w:r>
      <w:r w:rsidRPr="00EE7E31">
        <w:rPr>
          <w:rFonts w:ascii="Arial" w:hAnsi="Arial" w:cs="Arial"/>
          <w:sz w:val="22"/>
          <w:shd w:val="clear" w:color="auto" w:fill="FFFFFF"/>
          <w:lang w:val="es-ES_tradnl"/>
        </w:rPr>
        <w:t xml:space="preserve">inalterabilidad </w:t>
      </w:r>
      <w:r w:rsidRPr="00EE7E31">
        <w:rPr>
          <w:rFonts w:ascii="Arial" w:hAnsi="Arial" w:cs="Arial"/>
          <w:sz w:val="22"/>
          <w:szCs w:val="22"/>
          <w:shd w:val="clear" w:color="auto" w:fill="FFFFFF"/>
          <w:lang w:val="es-ES_tradnl"/>
        </w:rPr>
        <w:t>se encuentra en el artículo 1 de la Ley 2022 de 2020, según el cual «</w:t>
      </w:r>
      <w:r w:rsidRPr="00EE7E31">
        <w:rPr>
          <w:rFonts w:ascii="Arial" w:hAnsi="Arial" w:cs="Arial"/>
          <w:sz w:val="22"/>
          <w:szCs w:val="22"/>
          <w:lang w:val="es-ES_tradnl"/>
        </w:rPr>
        <w:t xml:space="preserve">[…] </w:t>
      </w:r>
      <w:r w:rsidRPr="00EE7E31">
        <w:rPr>
          <w:rFonts w:ascii="Arial" w:hAnsi="Arial" w:cs="Arial"/>
          <w:sz w:val="22"/>
          <w:szCs w:val="22"/>
          <w:shd w:val="clear" w:color="auto" w:fill="FFFFFF"/>
          <w:lang w:val="es-ES_tradnl"/>
        </w:rPr>
        <w:t>serán de obligatorio cumplimiento en la actividad contractual de todas las entidades sometidas al Estatuto General de Contratación de la Administración Pública». Pero eso no significa que antes no rigiera, pues así también lo disponía el artículo 4 de la Ley 1882 de 2018. Incluso por vía reglamentaria también quedó consignado en su momento el carácter inmodificable de los pliegos tipo en el artículo 1 de los Decretos 342 de 2019 y 594 de 2020, que adicionaron, respectivamente, los artículos 2.2.1.2.6.1.4. y 2.2.1.2.6.3.4 al Decreto 1082 de 2015.</w:t>
      </w:r>
      <w:r>
        <w:rPr>
          <w:rFonts w:ascii="Arial" w:hAnsi="Arial" w:cs="Arial"/>
          <w:sz w:val="22"/>
          <w:szCs w:val="22"/>
          <w:shd w:val="clear" w:color="auto" w:fill="FFFFFF"/>
          <w:lang w:val="es-ES_tradnl"/>
        </w:rPr>
        <w:t xml:space="preserve"> De esta manera, a</w:t>
      </w:r>
      <w:r w:rsidRPr="00EE7E31">
        <w:rPr>
          <w:rFonts w:ascii="Arial" w:hAnsi="Arial" w:cs="Arial"/>
          <w:sz w:val="22"/>
          <w:szCs w:val="22"/>
          <w:shd w:val="clear" w:color="auto" w:fill="FFFFFF"/>
          <w:lang w:val="es-ES_tradnl"/>
        </w:rPr>
        <w:t xml:space="preserve">l estar vigente la regla de la inalterabilidad de los documentos tipo, estos no pueden ser modificados por las entidades públicas, salvo en los aspectos que los mismos documentos estandarizados por la Agencia Nacional de Contratación Pública – Colombia Compra Eficiente lo permitan, esto es, los aspectos entre corchetes y resaltados en gris. </w:t>
      </w:r>
    </w:p>
    <w:p w14:paraId="7380C6E7" w14:textId="77777777" w:rsidR="00DE6178" w:rsidRDefault="00DE6178" w:rsidP="00DE6178">
      <w:pPr>
        <w:spacing w:before="120" w:line="276" w:lineRule="auto"/>
        <w:ind w:firstLine="709"/>
        <w:jc w:val="both"/>
        <w:rPr>
          <w:rFonts w:ascii="Arial" w:hAnsi="Arial" w:cs="Arial"/>
          <w:sz w:val="22"/>
          <w:szCs w:val="22"/>
          <w:shd w:val="clear" w:color="auto" w:fill="FFFFFF"/>
          <w:lang w:val="es-ES_tradnl"/>
        </w:rPr>
      </w:pPr>
      <w:r>
        <w:rPr>
          <w:rFonts w:ascii="Arial" w:hAnsi="Arial" w:cs="Arial"/>
          <w:sz w:val="22"/>
          <w:szCs w:val="22"/>
          <w:shd w:val="clear" w:color="auto" w:fill="FFFFFF"/>
          <w:lang w:val="es-ES_tradnl"/>
        </w:rPr>
        <w:t xml:space="preserve">Esta prohibición la ratifica el artículo 3 de la Resolución 256 de 2020, mediante la cual se implementaron los documentos tipo para los procesos de selección de concurso de méritos, para contratar la interventoría de obras públicas de infraestructura de transporte, al disponer la inalterabilidad de los documentos tipo en los siguientes términos: </w:t>
      </w:r>
    </w:p>
    <w:p w14:paraId="2E5B7964" w14:textId="77777777" w:rsidR="00DE6178" w:rsidRPr="00A9576E" w:rsidRDefault="00DE6178" w:rsidP="00DE6178">
      <w:pPr>
        <w:spacing w:line="276" w:lineRule="auto"/>
        <w:ind w:firstLine="709"/>
        <w:jc w:val="both"/>
        <w:rPr>
          <w:rFonts w:ascii="Arial" w:hAnsi="Arial" w:cs="Arial"/>
          <w:sz w:val="18"/>
          <w:szCs w:val="18"/>
          <w:shd w:val="clear" w:color="auto" w:fill="FFFFFF"/>
          <w:lang w:val="es-ES_tradnl"/>
        </w:rPr>
      </w:pPr>
    </w:p>
    <w:p w14:paraId="064CB358" w14:textId="77777777" w:rsidR="00DE6178" w:rsidRPr="00B013C3" w:rsidRDefault="00DE6178" w:rsidP="00DE6178">
      <w:pPr>
        <w:ind w:left="709" w:right="709"/>
        <w:jc w:val="both"/>
        <w:rPr>
          <w:rFonts w:ascii="Arial" w:hAnsi="Arial" w:cs="Arial"/>
          <w:sz w:val="21"/>
          <w:szCs w:val="21"/>
          <w:shd w:val="clear" w:color="auto" w:fill="FFFFFF"/>
          <w:lang w:val="es-ES_tradnl"/>
        </w:rPr>
      </w:pPr>
      <w:r w:rsidRPr="00B013C3">
        <w:rPr>
          <w:rFonts w:ascii="Arial" w:hAnsi="Arial" w:cs="Arial"/>
          <w:sz w:val="21"/>
          <w:szCs w:val="21"/>
          <w:shd w:val="clear" w:color="auto" w:fill="FFFFFF"/>
          <w:lang w:val="es-ES_tradnl"/>
        </w:rPr>
        <w:t>Artículo 3. Inalterabilidad de los documentos tipo. De conformidad con el artículo 1 de la Ley 2022 de 2020, los documentos tipo son obligatorios en la actividad contractual de las entidades estatales sometidas al Estatuto General de Contratación de la Administración Pública, en consecuencia, las entidades estatales al adelantar sus procedimientos de selección solo podrán modificarlos en los aspectos en que los documentos tipo lo permitan.</w:t>
      </w:r>
    </w:p>
    <w:p w14:paraId="4788EB6B" w14:textId="77777777" w:rsidR="00DE6178" w:rsidRPr="00A9576E" w:rsidRDefault="00DE6178" w:rsidP="00DE6178">
      <w:pPr>
        <w:spacing w:line="276" w:lineRule="auto"/>
        <w:ind w:firstLine="709"/>
        <w:jc w:val="both"/>
        <w:rPr>
          <w:rFonts w:ascii="Arial" w:hAnsi="Arial" w:cs="Arial"/>
          <w:sz w:val="18"/>
          <w:szCs w:val="18"/>
          <w:shd w:val="clear" w:color="auto" w:fill="FFFFFF"/>
          <w:lang w:val="es-ES_tradnl"/>
        </w:rPr>
      </w:pPr>
    </w:p>
    <w:p w14:paraId="6ABC4767" w14:textId="77777777" w:rsidR="00DE6178" w:rsidRPr="00B013C3" w:rsidRDefault="00DE6178" w:rsidP="00DE6178">
      <w:pPr>
        <w:spacing w:line="276" w:lineRule="auto"/>
        <w:ind w:firstLine="709"/>
        <w:jc w:val="both"/>
        <w:rPr>
          <w:rFonts w:ascii="Arial" w:hAnsi="Arial" w:cs="Arial"/>
          <w:sz w:val="22"/>
          <w:szCs w:val="22"/>
          <w:shd w:val="clear" w:color="auto" w:fill="FFFFFF"/>
          <w:lang w:val="es-ES_tradnl"/>
        </w:rPr>
      </w:pPr>
      <w:r w:rsidRPr="00085F3B">
        <w:rPr>
          <w:rFonts w:ascii="Arial" w:hAnsi="Arial" w:cs="Arial"/>
          <w:bCs/>
          <w:sz w:val="22"/>
          <w:lang w:val="es-ES_tradnl"/>
        </w:rPr>
        <w:t xml:space="preserve">Además, las entidades estatales deben garantizar el </w:t>
      </w:r>
      <w:r w:rsidRPr="00085F3B">
        <w:rPr>
          <w:rFonts w:ascii="Arial" w:hAnsi="Arial" w:cs="Arial"/>
          <w:bCs/>
          <w:i/>
          <w:iCs/>
          <w:sz w:val="22"/>
          <w:lang w:val="es-ES_tradnl"/>
        </w:rPr>
        <w:t>principio de economía</w:t>
      </w:r>
      <w:r w:rsidRPr="00085F3B">
        <w:rPr>
          <w:rFonts w:ascii="Arial" w:hAnsi="Arial" w:cs="Arial"/>
          <w:bCs/>
          <w:sz w:val="22"/>
          <w:lang w:val="es-ES_tradnl"/>
        </w:rPr>
        <w:t>, del cual se desprende que no pueden exigir documentos o requisitos más allá de los que permitan la Constitución, la ley y los reglamentos. Este postulado ha encontrado eco no solo en la contratación estatal</w:t>
      </w:r>
      <w:r w:rsidRPr="00085F3B">
        <w:rPr>
          <w:rStyle w:val="Refdenotaalpie"/>
          <w:rFonts w:ascii="Arial" w:hAnsi="Arial" w:cs="Arial"/>
          <w:bCs/>
          <w:sz w:val="22"/>
          <w:lang w:val="es-ES_tradnl"/>
        </w:rPr>
        <w:footnoteReference w:id="7"/>
      </w:r>
      <w:r w:rsidRPr="00085F3B">
        <w:rPr>
          <w:rFonts w:ascii="Arial" w:hAnsi="Arial" w:cs="Arial"/>
          <w:bCs/>
          <w:sz w:val="22"/>
          <w:lang w:val="es-ES_tradnl"/>
        </w:rPr>
        <w:t xml:space="preserve"> sino además en la normativa </w:t>
      </w:r>
      <w:proofErr w:type="spellStart"/>
      <w:r w:rsidRPr="00085F3B">
        <w:rPr>
          <w:rFonts w:ascii="Arial" w:hAnsi="Arial" w:cs="Arial"/>
          <w:bCs/>
          <w:sz w:val="22"/>
          <w:lang w:val="es-ES_tradnl"/>
        </w:rPr>
        <w:t>antitrámites</w:t>
      </w:r>
      <w:proofErr w:type="spellEnd"/>
      <w:r w:rsidRPr="00085F3B">
        <w:rPr>
          <w:rFonts w:ascii="Arial" w:hAnsi="Arial" w:cs="Arial"/>
          <w:bCs/>
          <w:sz w:val="22"/>
          <w:lang w:val="es-ES_tradnl"/>
        </w:rPr>
        <w:t>, pues se inscribe dentro de la tendencia de simplificación y racionalización de los procedimientos administrativos</w:t>
      </w:r>
      <w:r w:rsidRPr="00085F3B">
        <w:rPr>
          <w:rStyle w:val="Refdenotaalpie"/>
          <w:rFonts w:ascii="Arial" w:hAnsi="Arial" w:cs="Arial"/>
          <w:bCs/>
          <w:sz w:val="22"/>
          <w:lang w:val="es-ES_tradnl"/>
        </w:rPr>
        <w:footnoteReference w:id="8"/>
      </w:r>
      <w:r w:rsidRPr="00085F3B">
        <w:rPr>
          <w:rFonts w:ascii="Arial" w:hAnsi="Arial" w:cs="Arial"/>
          <w:bCs/>
          <w:sz w:val="22"/>
          <w:lang w:val="es-ES_tradnl"/>
        </w:rPr>
        <w:t xml:space="preserve">. De </w:t>
      </w:r>
      <w:r w:rsidRPr="00085F3B">
        <w:rPr>
          <w:rFonts w:ascii="Arial" w:hAnsi="Arial" w:cs="Arial"/>
          <w:bCs/>
          <w:sz w:val="22"/>
          <w:lang w:val="es-ES_tradnl"/>
        </w:rPr>
        <w:lastRenderedPageBreak/>
        <w:t>ahí que cuando las autoridades solicitan la entrega de documentación innecesaria, menoscaban el principio de economía.</w:t>
      </w:r>
    </w:p>
    <w:p w14:paraId="540C2AF6" w14:textId="77777777" w:rsidR="00DE6178" w:rsidRDefault="00DE6178" w:rsidP="00DE6178">
      <w:pPr>
        <w:spacing w:before="120" w:line="276" w:lineRule="auto"/>
        <w:ind w:firstLine="709"/>
        <w:jc w:val="both"/>
        <w:rPr>
          <w:rFonts w:ascii="Arial" w:hAnsi="Arial" w:cs="Arial"/>
          <w:bCs/>
          <w:sz w:val="22"/>
        </w:rPr>
      </w:pPr>
      <w:r w:rsidRPr="00085F3B">
        <w:rPr>
          <w:rFonts w:ascii="Arial" w:hAnsi="Arial" w:cs="Arial"/>
          <w:bCs/>
          <w:sz w:val="22"/>
        </w:rPr>
        <w:t>Es de precisar que la entidad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parte de la entidad, pueden implicar modificaciones a los documentos tipo, las cuales deben ser adecuadas, proporcionales y consecuentes con su contenido, respetando el principio de inalterabilidad.</w:t>
      </w:r>
    </w:p>
    <w:p w14:paraId="71D8F276" w14:textId="77777777" w:rsidR="00DE6178" w:rsidRPr="00F04197" w:rsidRDefault="00DE6178" w:rsidP="00DE6178">
      <w:pPr>
        <w:spacing w:before="120" w:line="276" w:lineRule="auto"/>
        <w:ind w:firstLine="709"/>
        <w:jc w:val="both"/>
        <w:rPr>
          <w:rFonts w:ascii="Arial" w:hAnsi="Arial" w:cs="Arial"/>
          <w:sz w:val="22"/>
        </w:rPr>
      </w:pPr>
      <w:r>
        <w:rPr>
          <w:rFonts w:ascii="Arial" w:hAnsi="Arial" w:cs="Arial"/>
          <w:bCs/>
          <w:sz w:val="22"/>
        </w:rPr>
        <w:t xml:space="preserve">Además, el artículo 4 de la Resolución 256 de 2020 </w:t>
      </w:r>
      <w:bookmarkStart w:id="9" w:name="_Hlk85625815"/>
      <w:r>
        <w:rPr>
          <w:rFonts w:ascii="Arial" w:hAnsi="Arial" w:cs="Arial"/>
          <w:bCs/>
          <w:sz w:val="22"/>
        </w:rPr>
        <w:t>prevé los eventos en los que el objeto contractual incluye la interventoría a bienes o servicios adicionales a la obra pública de infraestructura de transporte</w:t>
      </w:r>
      <w:bookmarkEnd w:id="9"/>
      <w:r>
        <w:rPr>
          <w:rStyle w:val="Refdenotaalpie"/>
          <w:rFonts w:ascii="Arial" w:hAnsi="Arial" w:cs="Arial"/>
          <w:bCs/>
          <w:sz w:val="22"/>
        </w:rPr>
        <w:footnoteReference w:id="9"/>
      </w:r>
      <w:r>
        <w:rPr>
          <w:rFonts w:ascii="Arial" w:hAnsi="Arial" w:cs="Arial"/>
          <w:bCs/>
          <w:sz w:val="22"/>
        </w:rPr>
        <w:t>. En este caso, la entidad estatal puede complementar la experiencia adicional para evaluar la idoneidad respecto a la interventoría de bienes o servicios ajenos a la obra pública</w:t>
      </w:r>
      <w:r>
        <w:rPr>
          <w:rStyle w:val="Refdenotaalpie"/>
          <w:rFonts w:ascii="Arial" w:hAnsi="Arial" w:cs="Arial"/>
          <w:bCs/>
          <w:sz w:val="22"/>
        </w:rPr>
        <w:footnoteReference w:id="10"/>
      </w:r>
      <w:r>
        <w:rPr>
          <w:rFonts w:ascii="Arial" w:hAnsi="Arial" w:cs="Arial"/>
          <w:bCs/>
          <w:sz w:val="22"/>
        </w:rPr>
        <w:t xml:space="preserve">. </w:t>
      </w:r>
    </w:p>
    <w:p w14:paraId="2ADA8391" w14:textId="77777777" w:rsidR="00DE6178" w:rsidRPr="00B744A1" w:rsidRDefault="00DE6178" w:rsidP="00DE6178">
      <w:pPr>
        <w:spacing w:before="120" w:line="276" w:lineRule="auto"/>
        <w:ind w:firstLine="709"/>
        <w:jc w:val="both"/>
        <w:rPr>
          <w:rFonts w:ascii="Arial" w:hAnsi="Arial" w:cs="Arial"/>
          <w:bCs/>
          <w:sz w:val="22"/>
        </w:rPr>
      </w:pPr>
      <w:r w:rsidRPr="00085F3B">
        <w:rPr>
          <w:rFonts w:ascii="Arial" w:hAnsi="Arial" w:cs="Arial"/>
          <w:bCs/>
          <w:sz w:val="22"/>
        </w:rPr>
        <w:t>En suma, la regla general frente la aplicación de</w:t>
      </w:r>
      <w:r>
        <w:rPr>
          <w:rFonts w:ascii="Arial" w:hAnsi="Arial" w:cs="Arial"/>
          <w:bCs/>
          <w:sz w:val="22"/>
        </w:rPr>
        <w:t xml:space="preserve"> los documentos tipo </w:t>
      </w:r>
      <w:r w:rsidRPr="00085F3B">
        <w:rPr>
          <w:rFonts w:ascii="Arial" w:hAnsi="Arial" w:cs="Arial"/>
          <w:bCs/>
          <w:sz w:val="22"/>
        </w:rPr>
        <w:t>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w:t>
      </w:r>
      <w:r>
        <w:rPr>
          <w:rFonts w:ascii="Arial" w:hAnsi="Arial" w:cs="Arial"/>
          <w:bCs/>
          <w:sz w:val="22"/>
        </w:rPr>
        <w:t xml:space="preserve"> la interventoría a</w:t>
      </w:r>
      <w:r w:rsidRPr="00085F3B">
        <w:rPr>
          <w:rFonts w:ascii="Arial" w:hAnsi="Arial" w:cs="Arial"/>
          <w:bCs/>
          <w:sz w:val="22"/>
        </w:rPr>
        <w:t xml:space="preserve"> bienes o servicios ajenos a la obra pública de infraestructura de transporte, caso en el que se podrá incluir experiencia adicional de </w:t>
      </w:r>
      <w:r w:rsidRPr="00085F3B">
        <w:rPr>
          <w:rFonts w:ascii="Arial" w:hAnsi="Arial" w:cs="Arial"/>
          <w:bCs/>
          <w:sz w:val="22"/>
        </w:rPr>
        <w:lastRenderedPageBreak/>
        <w:t>manera excepcional; y, además, cuando el pliego tipo de forma expresa lo permita, es decir, en los aspectos incluidos en corchetes y resaltados en gris</w:t>
      </w:r>
      <w:r>
        <w:rPr>
          <w:rFonts w:ascii="Arial" w:hAnsi="Arial" w:cs="Arial"/>
          <w:bCs/>
          <w:sz w:val="22"/>
        </w:rPr>
        <w:t>.</w:t>
      </w:r>
    </w:p>
    <w:p w14:paraId="1BF61E54" w14:textId="77777777" w:rsidR="00DE6178" w:rsidRPr="00EE7E31" w:rsidRDefault="00DE6178" w:rsidP="00DE6178">
      <w:pPr>
        <w:jc w:val="both"/>
        <w:rPr>
          <w:rFonts w:ascii="Arial" w:hAnsi="Arial" w:cs="Arial"/>
          <w:sz w:val="22"/>
          <w:szCs w:val="22"/>
          <w:shd w:val="clear" w:color="auto" w:fill="FFFFFF"/>
          <w:lang w:val="es-ES_tradnl"/>
        </w:rPr>
      </w:pPr>
    </w:p>
    <w:p w14:paraId="4BF64F63" w14:textId="77777777" w:rsidR="00DE6178" w:rsidRDefault="00DE6178" w:rsidP="00DE6178">
      <w:pPr>
        <w:spacing w:line="276" w:lineRule="auto"/>
        <w:jc w:val="both"/>
        <w:rPr>
          <w:rFonts w:ascii="Arial" w:eastAsia="Calibri" w:hAnsi="Arial" w:cs="Arial"/>
          <w:b/>
          <w:bCs/>
          <w:color w:val="000000" w:themeColor="text1"/>
          <w:sz w:val="22"/>
          <w:lang w:val="es-ES_tradnl"/>
        </w:rPr>
      </w:pPr>
      <w:r w:rsidRPr="00EE7E31">
        <w:rPr>
          <w:rFonts w:ascii="Arial" w:eastAsia="Calibri" w:hAnsi="Arial" w:cs="Arial"/>
          <w:b/>
          <w:bCs/>
          <w:color w:val="000000" w:themeColor="text1"/>
          <w:sz w:val="22"/>
          <w:lang w:val="es-ES_tradnl"/>
        </w:rPr>
        <w:t xml:space="preserve">2.3. </w:t>
      </w:r>
      <w:r>
        <w:rPr>
          <w:rFonts w:ascii="Arial" w:eastAsia="Calibri" w:hAnsi="Arial" w:cs="Arial"/>
          <w:b/>
          <w:bCs/>
          <w:color w:val="000000" w:themeColor="text1"/>
          <w:sz w:val="22"/>
          <w:lang w:val="es-ES_tradnl"/>
        </w:rPr>
        <w:t>I</w:t>
      </w:r>
      <w:r w:rsidRPr="00C66472">
        <w:rPr>
          <w:rFonts w:ascii="Arial" w:eastAsia="Calibri" w:hAnsi="Arial" w:cs="Arial"/>
          <w:b/>
          <w:bCs/>
          <w:color w:val="000000" w:themeColor="text1"/>
          <w:sz w:val="22"/>
          <w:lang w:val="es-ES_tradnl"/>
        </w:rPr>
        <w:t>mplementación y ámbito de aplicación de los documentos tipo</w:t>
      </w:r>
      <w:r>
        <w:rPr>
          <w:rFonts w:ascii="Arial" w:eastAsia="Calibri" w:hAnsi="Arial" w:cs="Arial"/>
          <w:b/>
          <w:bCs/>
          <w:color w:val="000000" w:themeColor="text1"/>
          <w:sz w:val="22"/>
          <w:lang w:val="es-ES_tradnl"/>
        </w:rPr>
        <w:t xml:space="preserve"> </w:t>
      </w:r>
      <w:r w:rsidRPr="00C66472">
        <w:rPr>
          <w:rFonts w:ascii="Arial" w:eastAsia="Calibri" w:hAnsi="Arial" w:cs="Arial"/>
          <w:b/>
          <w:bCs/>
          <w:color w:val="000000" w:themeColor="text1"/>
          <w:sz w:val="22"/>
          <w:lang w:val="es-ES_tradnl"/>
        </w:rPr>
        <w:t>para contratar la interventoría de obras públicas de infraestructura de transporte</w:t>
      </w:r>
    </w:p>
    <w:p w14:paraId="43505EC2" w14:textId="77777777" w:rsidR="00DE6178" w:rsidRDefault="00DE6178" w:rsidP="00DE6178">
      <w:pPr>
        <w:spacing w:line="276" w:lineRule="auto"/>
        <w:jc w:val="both"/>
        <w:rPr>
          <w:rFonts w:ascii="Arial" w:eastAsia="Calibri" w:hAnsi="Arial" w:cs="Arial"/>
          <w:color w:val="000000"/>
          <w:sz w:val="22"/>
          <w:lang w:val="es-ES_tradnl" w:eastAsia="es-ES"/>
        </w:rPr>
      </w:pPr>
    </w:p>
    <w:p w14:paraId="7D50117D" w14:textId="77777777" w:rsidR="00DE6178" w:rsidRPr="00F80AFE" w:rsidRDefault="00DE6178" w:rsidP="00DE6178">
      <w:pPr>
        <w:spacing w:line="276" w:lineRule="auto"/>
        <w:jc w:val="both"/>
        <w:rPr>
          <w:rFonts w:ascii="Arial" w:eastAsia="Calibri" w:hAnsi="Arial" w:cs="Arial"/>
          <w:b/>
          <w:bCs/>
          <w:color w:val="000000" w:themeColor="text1"/>
          <w:sz w:val="22"/>
          <w:lang w:val="es-ES_tradnl"/>
        </w:rPr>
      </w:pPr>
      <w:r>
        <w:rPr>
          <w:rFonts w:ascii="Arial" w:eastAsia="Calibri" w:hAnsi="Arial" w:cs="Arial"/>
          <w:color w:val="000000"/>
          <w:sz w:val="22"/>
          <w:lang w:val="es-ES_tradnl" w:eastAsia="es-ES"/>
        </w:rPr>
        <w:t>L</w:t>
      </w:r>
      <w:r w:rsidRPr="0021701A">
        <w:rPr>
          <w:rFonts w:ascii="Arial" w:eastAsia="Calibri" w:hAnsi="Arial" w:cs="Arial"/>
          <w:color w:val="000000"/>
          <w:sz w:val="22"/>
          <w:lang w:val="es-ES_tradnl" w:eastAsia="es-ES"/>
        </w:rPr>
        <w:t>a Resolución 256 del 11 de diciembre de 2020, «</w:t>
      </w:r>
      <w:r>
        <w:rPr>
          <w:rFonts w:ascii="Arial" w:eastAsia="Calibri" w:hAnsi="Arial" w:cs="Arial"/>
          <w:color w:val="000000"/>
          <w:sz w:val="22"/>
          <w:lang w:val="es-ES_tradnl" w:eastAsia="es-ES"/>
        </w:rPr>
        <w:t>P</w:t>
      </w:r>
      <w:r w:rsidRPr="0021701A">
        <w:rPr>
          <w:rFonts w:ascii="Arial" w:eastAsia="Calibri" w:hAnsi="Arial" w:cs="Arial"/>
          <w:color w:val="000000"/>
          <w:sz w:val="22"/>
          <w:lang w:val="es-ES_tradnl" w:eastAsia="es-ES"/>
        </w:rPr>
        <w:t>or la cual se adoptan los documentos tipo para los procesos de selección de concursos de méritos, para contratar la interventoría de obras públicas de infraestructura de transporte» se adoptó en vigencia de la Ley 2022 de 2020. En tal sentido, este documento tipo</w:t>
      </w:r>
      <w:r w:rsidRPr="00EF2D2A">
        <w:rPr>
          <w:rFonts w:ascii="Arial" w:eastAsia="Calibri" w:hAnsi="Arial" w:cs="Arial"/>
          <w:color w:val="000000"/>
          <w:sz w:val="22"/>
          <w:lang w:val="es-ES_tradnl" w:eastAsia="es-ES"/>
        </w:rPr>
        <w:t xml:space="preserve"> </w:t>
      </w:r>
      <w:r w:rsidRPr="0021701A">
        <w:rPr>
          <w:rFonts w:ascii="Arial" w:eastAsia="Calibri" w:hAnsi="Arial" w:cs="Arial"/>
          <w:color w:val="000000"/>
          <w:sz w:val="22"/>
          <w:lang w:val="es-ES_tradnl" w:eastAsia="es-ES"/>
        </w:rPr>
        <w:t>resulta obligatorio para todas las entidades sometidas al Estatuto General de Contratación de la Administración Pública, que adelanten procesos de concursos de méritos para contratar la interventoría de cualquiera de los proyectos señalados en la «Matriz 1 – Experiencia». Lo anterior se deriva de lo dispuesto en el «documento base» del documento tipo de interventoría, al prescribir que:</w:t>
      </w:r>
    </w:p>
    <w:p w14:paraId="03BBE086" w14:textId="77777777" w:rsidR="00DE6178" w:rsidRPr="0021701A" w:rsidRDefault="00DE6178" w:rsidP="00DE6178">
      <w:pPr>
        <w:spacing w:line="276" w:lineRule="auto"/>
        <w:ind w:firstLine="709"/>
        <w:jc w:val="both"/>
        <w:rPr>
          <w:rFonts w:ascii="Arial" w:eastAsia="Calibri" w:hAnsi="Arial" w:cs="Arial"/>
          <w:color w:val="000000"/>
          <w:sz w:val="22"/>
          <w:lang w:val="es-ES_tradnl" w:eastAsia="es-ES"/>
        </w:rPr>
      </w:pPr>
    </w:p>
    <w:p w14:paraId="59A12EBF" w14:textId="77777777" w:rsidR="00DE6178" w:rsidRPr="0021701A" w:rsidRDefault="00DE6178" w:rsidP="00DE6178">
      <w:pPr>
        <w:ind w:left="709" w:right="709"/>
        <w:jc w:val="both"/>
        <w:rPr>
          <w:rFonts w:ascii="Arial" w:eastAsia="Calibri" w:hAnsi="Arial" w:cs="Arial"/>
          <w:color w:val="000000"/>
          <w:sz w:val="21"/>
          <w:szCs w:val="21"/>
          <w:lang w:val="es-ES_tradnl" w:eastAsia="es-ES"/>
        </w:rPr>
      </w:pPr>
      <w:r w:rsidRPr="0021701A">
        <w:rPr>
          <w:rFonts w:ascii="Arial" w:eastAsia="Calibri" w:hAnsi="Arial" w:cs="Arial"/>
          <w:color w:val="000000"/>
          <w:sz w:val="21"/>
          <w:szCs w:val="21"/>
          <w:lang w:val="es-ES_tradnl" w:eastAsia="es-ES"/>
        </w:rPr>
        <w:t>Este documento tipo aplica a los procesos de interventoría de obras públicas de infraestructuras de transporte celebrados en cualquiera de sus modalidades de selección, que correspondan con las actividades definidas en la Matriz 1 – Experiencia. En consecuencia, las actividades de infraestructura de transporte no contempladas en la Matriz 1 – Experiencia no tienen que aplicarlos; sin perjuicio de lo previsto en el artículo 4 de la resolución que adopta los documentos tipo de interventoría de obra pública de infraestructura de transporte.</w:t>
      </w:r>
    </w:p>
    <w:p w14:paraId="178B4CD3" w14:textId="77777777" w:rsidR="00DE6178" w:rsidRPr="0021701A" w:rsidRDefault="00DE6178" w:rsidP="00DE6178">
      <w:pPr>
        <w:spacing w:line="276" w:lineRule="auto"/>
        <w:jc w:val="both"/>
        <w:rPr>
          <w:rFonts w:ascii="Arial" w:eastAsia="Calibri" w:hAnsi="Arial" w:cs="Arial"/>
          <w:color w:val="000000"/>
          <w:sz w:val="22"/>
          <w:lang w:val="es-ES_tradnl" w:eastAsia="es-ES"/>
        </w:rPr>
      </w:pPr>
    </w:p>
    <w:p w14:paraId="560F02A8" w14:textId="77777777" w:rsidR="00DE6178" w:rsidRDefault="00DE6178" w:rsidP="00DE6178">
      <w:pPr>
        <w:spacing w:after="120" w:line="276" w:lineRule="auto"/>
        <w:ind w:firstLine="709"/>
        <w:jc w:val="both"/>
        <w:rPr>
          <w:rFonts w:ascii="Arial" w:eastAsia="Calibri" w:hAnsi="Arial" w:cs="Arial"/>
          <w:color w:val="000000"/>
          <w:sz w:val="22"/>
          <w:lang w:eastAsia="es-ES"/>
        </w:rPr>
      </w:pPr>
      <w:bookmarkStart w:id="10" w:name="_Hlk85634478"/>
      <w:r>
        <w:rPr>
          <w:rFonts w:ascii="Arial" w:eastAsia="Calibri" w:hAnsi="Arial" w:cs="Arial"/>
          <w:color w:val="000000"/>
          <w:sz w:val="22"/>
          <w:lang w:val="es-ES_tradnl" w:eastAsia="es-ES"/>
        </w:rPr>
        <w:t>De esta manera</w:t>
      </w:r>
      <w:r w:rsidRPr="0021701A">
        <w:rPr>
          <w:rFonts w:ascii="Arial" w:eastAsia="Calibri" w:hAnsi="Arial" w:cs="Arial"/>
          <w:color w:val="000000"/>
          <w:sz w:val="22"/>
          <w:lang w:val="es-ES_tradnl" w:eastAsia="es-ES"/>
        </w:rPr>
        <w:t>, siempre que se vaya a contratar la interventoría de alguno de los proyectos señalados en la «Matriz 1 – Experiencia» y la modalidad de selección aplicable sea el concurso de méritos, las entidades estatales deben aplicar este documento tipo, aca</w:t>
      </w:r>
      <w:r>
        <w:rPr>
          <w:rFonts w:ascii="Arial" w:eastAsia="Calibri" w:hAnsi="Arial" w:cs="Arial"/>
          <w:color w:val="000000"/>
          <w:sz w:val="22"/>
          <w:lang w:val="es-ES_tradnl" w:eastAsia="es-ES"/>
        </w:rPr>
        <w:t xml:space="preserve">tando su contenido, el cual es obligatorio. </w:t>
      </w:r>
      <w:r>
        <w:rPr>
          <w:rFonts w:ascii="Arial" w:eastAsia="Calibri" w:hAnsi="Arial" w:cs="Arial"/>
          <w:color w:val="000000"/>
          <w:sz w:val="22"/>
          <w:lang w:eastAsia="es-ES"/>
        </w:rPr>
        <w:t>En consecuencia, la «Matriz 1 – Experiencia», entre otras finalidades, sirve como criterio para establecer el ámbito de aplicación de los documentos tipo, en los términos explicados con anterioridad.</w:t>
      </w:r>
    </w:p>
    <w:bookmarkEnd w:id="10"/>
    <w:p w14:paraId="18E5D63A" w14:textId="77777777" w:rsidR="00DE6178" w:rsidRDefault="00DE6178" w:rsidP="00DE6178">
      <w:pPr>
        <w:spacing w:after="120" w:line="276" w:lineRule="auto"/>
        <w:ind w:firstLine="709"/>
        <w:jc w:val="both"/>
        <w:rPr>
          <w:rFonts w:ascii="Arial" w:eastAsia="Calibri" w:hAnsi="Arial" w:cs="Arial"/>
          <w:color w:val="000000"/>
          <w:sz w:val="22"/>
          <w:lang w:eastAsia="es-ES"/>
        </w:rPr>
      </w:pPr>
      <w:r w:rsidRPr="000D6195">
        <w:rPr>
          <w:rFonts w:ascii="Arial" w:eastAsia="Calibri" w:hAnsi="Arial" w:cs="Arial"/>
          <w:color w:val="000000"/>
          <w:sz w:val="22"/>
          <w:lang w:eastAsia="es-ES"/>
        </w:rPr>
        <w:t>Revisada la «Matriz 1 – Experiencia» de los referidos documentos tipo, se advierte que, en estricto sentido, no existe una actividad referida a «interventoría para consultoría de estudios y diseños para obras públicas», como la señalada por la peticionaria. En consecuencia, para ese tipo de actividades, las entidades estatales no se encuentran obligadas a aplicar los documentos tipo expedidos por esta Agencia.</w:t>
      </w:r>
    </w:p>
    <w:p w14:paraId="445837D3" w14:textId="77777777" w:rsidR="00DE6178" w:rsidRDefault="00DE6178" w:rsidP="00DE6178">
      <w:pPr>
        <w:spacing w:after="120" w:line="276" w:lineRule="auto"/>
        <w:ind w:firstLine="709"/>
        <w:jc w:val="both"/>
        <w:rPr>
          <w:rFonts w:ascii="Arial" w:eastAsia="Calibri" w:hAnsi="Arial" w:cs="Arial"/>
          <w:color w:val="000000"/>
          <w:sz w:val="22"/>
          <w:lang w:eastAsia="es-ES"/>
        </w:rPr>
      </w:pPr>
      <w:r>
        <w:rPr>
          <w:rFonts w:ascii="Arial" w:eastAsia="Calibri" w:hAnsi="Arial" w:cs="Arial"/>
          <w:color w:val="000000"/>
          <w:sz w:val="22"/>
          <w:lang w:eastAsia="es-ES"/>
        </w:rPr>
        <w:t xml:space="preserve">Asimismo, es bueno señalar que, de conformidad con lo dispuesto en el «documento base» de los documentos tipo de interventoría de obra pública de infraestructura de transporte, su uso no exime a las entidades de utilizar la normatividad y la jurisprudencia que resulte aplicable al respectivo proceso de contratación. También, dicho «documento base» establece que «[…] </w:t>
      </w:r>
      <w:r w:rsidRPr="00EF339D">
        <w:rPr>
          <w:rFonts w:ascii="Arial" w:eastAsia="Calibri" w:hAnsi="Arial" w:cs="Arial"/>
          <w:color w:val="000000"/>
          <w:sz w:val="22"/>
          <w:lang w:eastAsia="es-ES"/>
        </w:rPr>
        <w:t xml:space="preserve">este documento tipo no aplica a las interventorías de los </w:t>
      </w:r>
      <w:r w:rsidRPr="00EF339D">
        <w:rPr>
          <w:rFonts w:ascii="Arial" w:eastAsia="Calibri" w:hAnsi="Arial" w:cs="Arial"/>
          <w:color w:val="000000"/>
          <w:sz w:val="22"/>
          <w:lang w:eastAsia="es-ES"/>
        </w:rPr>
        <w:lastRenderedPageBreak/>
        <w:t>contratos de que trata la Ley 1508 de 2012, esto es, para la Asociaciones Público Privadas, debido a la naturaleza y especialidad de dichos contratos</w:t>
      </w:r>
      <w:r>
        <w:rPr>
          <w:rFonts w:ascii="Arial" w:eastAsia="Calibri" w:hAnsi="Arial" w:cs="Arial"/>
          <w:color w:val="000000"/>
          <w:sz w:val="22"/>
          <w:lang w:eastAsia="es-ES"/>
        </w:rPr>
        <w:t>»</w:t>
      </w:r>
    </w:p>
    <w:p w14:paraId="076281CE" w14:textId="77777777" w:rsidR="00DE6178" w:rsidRDefault="00DE6178" w:rsidP="00DE6178">
      <w:pPr>
        <w:spacing w:after="120" w:line="276" w:lineRule="auto"/>
        <w:ind w:firstLine="709"/>
        <w:jc w:val="both"/>
        <w:rPr>
          <w:rFonts w:ascii="Arial" w:eastAsia="Calibri" w:hAnsi="Arial" w:cs="Arial"/>
          <w:color w:val="000000"/>
          <w:sz w:val="22"/>
          <w:lang w:val="es-ES_tradnl" w:eastAsia="es-ES"/>
        </w:rPr>
      </w:pPr>
      <w:r w:rsidRPr="00A01CB0">
        <w:rPr>
          <w:rFonts w:ascii="Arial" w:eastAsia="Calibri" w:hAnsi="Arial" w:cs="Arial"/>
          <w:color w:val="000000"/>
          <w:sz w:val="22"/>
          <w:lang w:val="es-ES_tradnl" w:eastAsia="es-ES"/>
        </w:rPr>
        <w:t>En todo caso, debe destacarse que, sin perjuicio de la competencia de esta Agencia para la expedición de documentos tipos otorgada por la Ley 2022 de 2020, son las entidades estatales encargadas de aplicarlos quienes deben analizar el objeto que pretenden contratar</w:t>
      </w:r>
      <w:r>
        <w:rPr>
          <w:rFonts w:ascii="Arial" w:eastAsia="Calibri" w:hAnsi="Arial" w:cs="Arial"/>
          <w:color w:val="000000"/>
          <w:sz w:val="22"/>
          <w:lang w:val="es-ES_tradnl" w:eastAsia="es-ES"/>
        </w:rPr>
        <w:t>,</w:t>
      </w:r>
      <w:r w:rsidRPr="00A01CB0">
        <w:rPr>
          <w:rFonts w:ascii="Arial" w:eastAsia="Calibri" w:hAnsi="Arial" w:cs="Arial"/>
          <w:color w:val="000000"/>
          <w:sz w:val="22"/>
          <w:lang w:val="es-ES_tradnl" w:eastAsia="es-ES"/>
        </w:rPr>
        <w:t xml:space="preserve"> para determinar si el mismo es subsumible dentro de alguna actividad cobijada por un documento tipo. Al respecto, las especificaciones y particularidades del objeto a contratar, así como su relación de correspondencia con lo señalado en la </w:t>
      </w:r>
      <w:r>
        <w:rPr>
          <w:rFonts w:ascii="Arial" w:eastAsia="Calibri" w:hAnsi="Arial" w:cs="Arial"/>
          <w:color w:val="000000"/>
          <w:sz w:val="22"/>
          <w:lang w:val="es-ES_tradnl" w:eastAsia="es-ES"/>
        </w:rPr>
        <w:t>«Matriz 1 – Experiencia»</w:t>
      </w:r>
      <w:r w:rsidRPr="00A01CB0">
        <w:rPr>
          <w:rFonts w:ascii="Arial" w:eastAsia="Calibri" w:hAnsi="Arial" w:cs="Arial"/>
          <w:color w:val="000000"/>
          <w:sz w:val="22"/>
          <w:lang w:val="es-ES_tradnl" w:eastAsia="es-ES"/>
        </w:rPr>
        <w:t>, indicar</w:t>
      </w:r>
      <w:r>
        <w:rPr>
          <w:rFonts w:ascii="Arial" w:eastAsia="Calibri" w:hAnsi="Arial" w:cs="Arial"/>
          <w:color w:val="000000"/>
          <w:sz w:val="22"/>
          <w:lang w:val="es-ES_tradnl" w:eastAsia="es-ES"/>
        </w:rPr>
        <w:t>á</w:t>
      </w:r>
      <w:r w:rsidRPr="00A01CB0">
        <w:rPr>
          <w:rFonts w:ascii="Arial" w:eastAsia="Calibri" w:hAnsi="Arial" w:cs="Arial"/>
          <w:color w:val="000000"/>
          <w:sz w:val="22"/>
          <w:lang w:val="es-ES_tradnl" w:eastAsia="es-ES"/>
        </w:rPr>
        <w:t>n a la entidad estatal si resulta o no forzosa la aplicación del documento tipo.</w:t>
      </w:r>
      <w:r>
        <w:rPr>
          <w:rFonts w:ascii="Arial" w:eastAsia="Calibri" w:hAnsi="Arial" w:cs="Arial"/>
          <w:color w:val="000000"/>
          <w:sz w:val="22"/>
          <w:lang w:val="es-ES_tradnl" w:eastAsia="es-ES"/>
        </w:rPr>
        <w:t xml:space="preserve"> </w:t>
      </w:r>
    </w:p>
    <w:p w14:paraId="691A81BE" w14:textId="77777777" w:rsidR="00DE6178" w:rsidRPr="00FC2EA4" w:rsidRDefault="00DE6178" w:rsidP="00DE6178">
      <w:pPr>
        <w:spacing w:line="276" w:lineRule="auto"/>
        <w:ind w:firstLine="709"/>
        <w:jc w:val="both"/>
        <w:rPr>
          <w:rFonts w:ascii="Arial" w:eastAsia="Calibri" w:hAnsi="Arial" w:cs="Arial"/>
          <w:color w:val="000000"/>
          <w:sz w:val="22"/>
          <w:lang w:eastAsia="es-ES"/>
        </w:rPr>
      </w:pPr>
      <w:r>
        <w:rPr>
          <w:rFonts w:ascii="Arial" w:eastAsia="Calibri" w:hAnsi="Arial" w:cs="Arial"/>
          <w:color w:val="000000"/>
          <w:sz w:val="22"/>
          <w:lang w:val="es-ES_tradnl" w:eastAsia="es-ES"/>
        </w:rPr>
        <w:t xml:space="preserve">Como se explicó, de no ser subsumible el objeto a contratar en alguna de las actividades tipificadas en la referida matriz no resultara obligatoria la aplicación del documento tipo en el eventual proceso de contratación, sin embargo, ello no impedirá para que la entidad estatal en el marco de su autonomía, lo aplique en estos procedimientos, a modo de buena </w:t>
      </w:r>
      <w:proofErr w:type="spellStart"/>
      <w:r>
        <w:rPr>
          <w:rFonts w:ascii="Arial" w:eastAsia="Calibri" w:hAnsi="Arial" w:cs="Arial"/>
          <w:color w:val="000000"/>
          <w:sz w:val="22"/>
          <w:lang w:val="es-ES_tradnl" w:eastAsia="es-ES"/>
        </w:rPr>
        <w:t>practica</w:t>
      </w:r>
      <w:proofErr w:type="spellEnd"/>
      <w:r>
        <w:rPr>
          <w:rFonts w:ascii="Arial" w:eastAsia="Calibri" w:hAnsi="Arial" w:cs="Arial"/>
          <w:color w:val="000000"/>
          <w:sz w:val="22"/>
          <w:lang w:val="es-ES_tradnl" w:eastAsia="es-ES"/>
        </w:rPr>
        <w:t xml:space="preserve"> contractual. Al no resultar obligatoria la aplicación del documento tipo, la estructuración del proceso de contratación se hace a discreción de la entidad, por lo que esta puede incorporar los factores de evaluación, reglas, documentos, anexos, formatos, anexos y demás aspectos de los documentos tipo expedidos por esta Agencia, siempre que resulten adecuadas y proporcionales al objeto del contrato, así como a la respectiva modalidad de escogencia. En estos casos, no opera la regla de inalterabilidad, por lo que la entidad puede adecuar los componentes de los documentos tipo que incorpore en sus procesos en ejercicio de la referida discrecionalidad.     </w:t>
      </w:r>
    </w:p>
    <w:p w14:paraId="38F041EC" w14:textId="77777777" w:rsidR="00DE6178" w:rsidRPr="00EE7E31" w:rsidRDefault="00DE6178" w:rsidP="00DE6178">
      <w:pPr>
        <w:tabs>
          <w:tab w:val="left" w:pos="709"/>
        </w:tabs>
        <w:spacing w:line="276" w:lineRule="auto"/>
        <w:jc w:val="both"/>
        <w:rPr>
          <w:rFonts w:ascii="Arial" w:hAnsi="Arial" w:cs="Arial"/>
          <w:sz w:val="22"/>
          <w:szCs w:val="22"/>
          <w:lang w:val="es-ES_tradnl"/>
        </w:rPr>
      </w:pPr>
    </w:p>
    <w:p w14:paraId="741DC3C9" w14:textId="77777777" w:rsidR="00DE6178" w:rsidRPr="00EE7E31" w:rsidRDefault="00DE6178" w:rsidP="00DE6178">
      <w:pPr>
        <w:tabs>
          <w:tab w:val="left" w:pos="0"/>
        </w:tabs>
        <w:jc w:val="both"/>
        <w:rPr>
          <w:rFonts w:ascii="Arial" w:eastAsia="Calibri" w:hAnsi="Arial" w:cs="Arial"/>
          <w:b/>
          <w:color w:val="000000" w:themeColor="text1"/>
          <w:sz w:val="22"/>
          <w:lang w:val="es-ES_tradnl"/>
        </w:rPr>
      </w:pPr>
      <w:r w:rsidRPr="00EE7E31">
        <w:rPr>
          <w:rFonts w:ascii="Arial" w:eastAsia="Calibri" w:hAnsi="Arial" w:cs="Arial"/>
          <w:b/>
          <w:color w:val="000000" w:themeColor="text1"/>
          <w:sz w:val="22"/>
          <w:lang w:val="es-ES_tradnl"/>
        </w:rPr>
        <w:t>3. Respuesta</w:t>
      </w:r>
    </w:p>
    <w:p w14:paraId="34ECFA0B" w14:textId="77777777" w:rsidR="00DE6178" w:rsidRPr="00EE7E31" w:rsidRDefault="00DE6178" w:rsidP="00DE6178">
      <w:pPr>
        <w:tabs>
          <w:tab w:val="left" w:pos="0"/>
        </w:tabs>
        <w:ind w:left="709" w:right="709"/>
        <w:jc w:val="both"/>
        <w:rPr>
          <w:rFonts w:ascii="Arial" w:eastAsia="Calibri" w:hAnsi="Arial" w:cs="Arial"/>
          <w:color w:val="000000" w:themeColor="text1"/>
          <w:sz w:val="22"/>
          <w:lang w:val="es-ES_tradnl"/>
        </w:rPr>
      </w:pPr>
    </w:p>
    <w:p w14:paraId="024153F0" w14:textId="77777777" w:rsidR="00DE6178" w:rsidRDefault="00DE6178" w:rsidP="00DE6178">
      <w:pPr>
        <w:pStyle w:val="Default"/>
        <w:ind w:left="567" w:right="567"/>
        <w:jc w:val="both"/>
        <w:rPr>
          <w:color w:val="000000" w:themeColor="text1"/>
          <w:sz w:val="21"/>
          <w:szCs w:val="21"/>
          <w:lang w:val="es-ES_tradnl"/>
        </w:rPr>
      </w:pPr>
      <w:r w:rsidRPr="00EE7E31">
        <w:rPr>
          <w:color w:val="000000" w:themeColor="text1"/>
          <w:sz w:val="21"/>
          <w:szCs w:val="21"/>
          <w:lang w:val="es-ES_tradnl"/>
        </w:rPr>
        <w:t xml:space="preserve">«[…] según las matrices de experiencia el cual es la base para solicitar la experiencia de los posibles oferentes, no se evidencia matriz de experiencia para interventorías para las consultorías de estudios de ingeniería de infraestructura de transporte, por lo anterior se puede entender que aun [sic] NO es aplicable para este tipo de proceso. Dicho lo anterior y entendiendo que la matriz de experiencia contiene los rangos en los que se debe la entidad contratante solicitar la experiencia de los futuros oferentes les solicito me aclare como [sic] puede la entidad contratante adoptar el pliego tipo "EXPERIENCIA DE INTERVENTORIA A PROYECTOS DE CONSULTORÍA DE ESTUDIOS DE INGENIERÍA DE INFRAESTRUCTURA DE TRANSPORTE" si dentro de la matriz de experiencia, ningún </w:t>
      </w:r>
      <w:proofErr w:type="spellStart"/>
      <w:r w:rsidRPr="00EE7E31">
        <w:rPr>
          <w:color w:val="000000" w:themeColor="text1"/>
          <w:sz w:val="21"/>
          <w:szCs w:val="21"/>
          <w:lang w:val="es-ES_tradnl"/>
        </w:rPr>
        <w:t>titulo</w:t>
      </w:r>
      <w:proofErr w:type="spellEnd"/>
      <w:r w:rsidRPr="00EE7E31">
        <w:rPr>
          <w:color w:val="000000" w:themeColor="text1"/>
          <w:sz w:val="21"/>
          <w:szCs w:val="21"/>
          <w:lang w:val="es-ES_tradnl"/>
        </w:rPr>
        <w:t xml:space="preserve"> [sic] o capitulo [sic] que le permita a la entidad para un proceso determinado, esta consulta se realiza con el propósito de blindar los procedimientos administrativos contractuales de la entidad».</w:t>
      </w:r>
      <w:r w:rsidRPr="00EE7E31">
        <w:rPr>
          <w:color w:val="000000" w:themeColor="text1"/>
          <w:sz w:val="21"/>
          <w:szCs w:val="21"/>
          <w:lang w:val="es-ES_tradnl"/>
        </w:rPr>
        <w:tab/>
      </w:r>
    </w:p>
    <w:p w14:paraId="1F3DCCCC" w14:textId="77777777" w:rsidR="00DE6178" w:rsidRDefault="00DE6178" w:rsidP="00DE6178">
      <w:pPr>
        <w:pStyle w:val="Default"/>
        <w:spacing w:line="276" w:lineRule="auto"/>
        <w:ind w:left="709" w:right="709"/>
        <w:jc w:val="both"/>
        <w:rPr>
          <w:color w:val="000000" w:themeColor="text1"/>
          <w:sz w:val="21"/>
          <w:szCs w:val="21"/>
          <w:lang w:val="es-ES_tradnl"/>
        </w:rPr>
      </w:pPr>
    </w:p>
    <w:p w14:paraId="20E660D7" w14:textId="77777777" w:rsidR="00DE6178" w:rsidRPr="006C747A" w:rsidRDefault="00DE6178" w:rsidP="00DE6178">
      <w:pPr>
        <w:pStyle w:val="Default"/>
        <w:spacing w:after="120" w:line="276" w:lineRule="auto"/>
        <w:jc w:val="both"/>
        <w:rPr>
          <w:color w:val="000000" w:themeColor="text1"/>
          <w:sz w:val="22"/>
          <w:szCs w:val="22"/>
          <w:lang w:val="es-ES_tradnl"/>
        </w:rPr>
      </w:pPr>
      <w:r w:rsidRPr="00932D8A">
        <w:rPr>
          <w:color w:val="000000" w:themeColor="text1"/>
          <w:sz w:val="22"/>
          <w:szCs w:val="22"/>
          <w:lang w:val="es-ES_tradnl"/>
        </w:rPr>
        <w:t>Conforme a lo expuesto, los documentos tipo</w:t>
      </w:r>
      <w:r>
        <w:rPr>
          <w:color w:val="000000" w:themeColor="text1"/>
          <w:sz w:val="22"/>
          <w:szCs w:val="22"/>
          <w:lang w:val="es-ES_tradnl"/>
        </w:rPr>
        <w:t xml:space="preserve"> adoptados mediante la </w:t>
      </w:r>
      <w:r w:rsidRPr="00932D8A">
        <w:rPr>
          <w:color w:val="000000" w:themeColor="text1"/>
          <w:sz w:val="22"/>
          <w:szCs w:val="22"/>
          <w:lang w:val="es-ES_tradnl"/>
        </w:rPr>
        <w:t xml:space="preserve">Resolución 256 del 11 de diciembre de 2020 </w:t>
      </w:r>
      <w:r>
        <w:rPr>
          <w:color w:val="000000" w:themeColor="text1"/>
          <w:sz w:val="22"/>
          <w:szCs w:val="22"/>
          <w:lang w:val="es-ES_tradnl"/>
        </w:rPr>
        <w:t>aplican en</w:t>
      </w:r>
      <w:r w:rsidRPr="00932D8A">
        <w:rPr>
          <w:color w:val="000000" w:themeColor="text1"/>
          <w:sz w:val="22"/>
          <w:szCs w:val="22"/>
          <w:lang w:val="es-ES_tradnl"/>
        </w:rPr>
        <w:t xml:space="preserve"> los procesos de selección de concursos de méritos para contratar interventoría de obras públicas de infraestructura de transporte</w:t>
      </w:r>
      <w:r>
        <w:rPr>
          <w:color w:val="000000" w:themeColor="text1"/>
          <w:sz w:val="22"/>
          <w:szCs w:val="22"/>
          <w:lang w:val="es-ES_tradnl"/>
        </w:rPr>
        <w:t>.</w:t>
      </w:r>
      <w:r w:rsidRPr="00A9576E">
        <w:rPr>
          <w:color w:val="000000" w:themeColor="text1"/>
          <w:sz w:val="22"/>
          <w:szCs w:val="22"/>
          <w:lang w:val="es-ES_tradnl"/>
        </w:rPr>
        <w:t xml:space="preserve"> </w:t>
      </w:r>
      <w:r>
        <w:rPr>
          <w:color w:val="000000" w:themeColor="text1"/>
          <w:sz w:val="22"/>
          <w:szCs w:val="22"/>
          <w:lang w:val="es-ES_tradnl"/>
        </w:rPr>
        <w:t xml:space="preserve"> Su aplicación es </w:t>
      </w:r>
      <w:r w:rsidRPr="00932D8A">
        <w:rPr>
          <w:color w:val="000000" w:themeColor="text1"/>
          <w:sz w:val="22"/>
          <w:szCs w:val="22"/>
          <w:lang w:val="es-ES_tradnl"/>
        </w:rPr>
        <w:lastRenderedPageBreak/>
        <w:t>obligatori</w:t>
      </w:r>
      <w:r>
        <w:rPr>
          <w:color w:val="000000" w:themeColor="text1"/>
          <w:sz w:val="22"/>
          <w:szCs w:val="22"/>
          <w:lang w:val="es-ES_tradnl"/>
        </w:rPr>
        <w:t>a,</w:t>
      </w:r>
      <w:r w:rsidRPr="00932D8A">
        <w:rPr>
          <w:color w:val="000000" w:themeColor="text1"/>
          <w:sz w:val="22"/>
          <w:szCs w:val="22"/>
          <w:lang w:val="es-ES_tradnl"/>
        </w:rPr>
        <w:t xml:space="preserve"> para todas las entidades sometidas al Estatuto General de Contratación de la Administración Pública, que adelanten procesos de </w:t>
      </w:r>
      <w:r w:rsidRPr="006C747A">
        <w:rPr>
          <w:color w:val="000000" w:themeColor="text1"/>
          <w:sz w:val="22"/>
          <w:szCs w:val="22"/>
          <w:lang w:val="es-ES_tradnl"/>
        </w:rPr>
        <w:t>concursos de méritos para contratar la interventoría de cualquiera de los proyectos o actividades señalados en la «Matriz 1 – Experiencia» de esos documentos.</w:t>
      </w:r>
    </w:p>
    <w:p w14:paraId="411DE176" w14:textId="77777777" w:rsidR="00DE6178" w:rsidRDefault="00DE6178" w:rsidP="00DE6178">
      <w:pPr>
        <w:pStyle w:val="Default"/>
        <w:spacing w:after="120" w:line="276" w:lineRule="auto"/>
        <w:ind w:firstLine="709"/>
        <w:jc w:val="both"/>
        <w:rPr>
          <w:color w:val="000000" w:themeColor="text1"/>
          <w:sz w:val="22"/>
          <w:szCs w:val="22"/>
          <w:lang w:val="es-ES_tradnl"/>
        </w:rPr>
      </w:pPr>
      <w:r w:rsidRPr="006C747A">
        <w:rPr>
          <w:color w:val="000000" w:themeColor="text1"/>
          <w:sz w:val="22"/>
          <w:szCs w:val="22"/>
          <w:lang w:val="es-ES_tradnl"/>
        </w:rPr>
        <w:t xml:space="preserve">De esta forma, en relación con las actividades de infraestructura de transporte no contempladas en la </w:t>
      </w:r>
      <w:r>
        <w:rPr>
          <w:color w:val="000000" w:themeColor="text1"/>
          <w:sz w:val="22"/>
          <w:szCs w:val="22"/>
          <w:lang w:val="es-ES_tradnl"/>
        </w:rPr>
        <w:t>precitada matriz,</w:t>
      </w:r>
      <w:r w:rsidRPr="006C747A">
        <w:rPr>
          <w:color w:val="000000" w:themeColor="text1"/>
          <w:sz w:val="22"/>
          <w:szCs w:val="22"/>
          <w:lang w:val="es-ES_tradnl"/>
        </w:rPr>
        <w:t xml:space="preserve"> las entidades no tienen que aplicar los documentos tipo de interventoría de obra pública de infraestructura de transporte. Lo anterior, sin perjuicio de lo previsto en el artículo 4 de la resolución que adopta estos documentos tipo, el cual prevé los eventos en los que el objeto contractual incluye la interventoría a bienes o servicios adicionales a la obra pública de infraestructura de transporte y, en consecuencia, se deben aplicar los documentos tipo. </w:t>
      </w:r>
    </w:p>
    <w:p w14:paraId="325F3F0A" w14:textId="77777777" w:rsidR="00DE6178" w:rsidRDefault="00DE6178" w:rsidP="00DE6178">
      <w:pPr>
        <w:pStyle w:val="Default"/>
        <w:spacing w:line="276" w:lineRule="auto"/>
        <w:ind w:firstLine="709"/>
        <w:jc w:val="both"/>
        <w:rPr>
          <w:sz w:val="22"/>
          <w:lang w:val="es-ES_tradnl"/>
        </w:rPr>
      </w:pPr>
      <w:r>
        <w:rPr>
          <w:color w:val="000000" w:themeColor="text1"/>
          <w:sz w:val="22"/>
          <w:szCs w:val="22"/>
        </w:rPr>
        <w:t xml:space="preserve">Dentro de la «Matriz 1 – Experiencia» de los referidos documentos tipo, no existe ninguna actividad referida o asociada a «interventoría para consultoría de estudios y diseños para obras públicas», como la señalada por la peticionaria. En consecuencia, es posible concluir que para ese tipo de actividades las entidades estatales no se encuentran obligadas a aplicar los documentos tipo. </w:t>
      </w:r>
      <w:r w:rsidRPr="00E92FE5">
        <w:rPr>
          <w:color w:val="000000" w:themeColor="text1"/>
          <w:sz w:val="22"/>
          <w:szCs w:val="22"/>
        </w:rPr>
        <w:t>Sin embargo, cada entidad, de forma autónoma,</w:t>
      </w:r>
      <w:r>
        <w:rPr>
          <w:color w:val="000000" w:themeColor="text1"/>
          <w:sz w:val="22"/>
          <w:szCs w:val="22"/>
        </w:rPr>
        <w:t xml:space="preserve"> debe</w:t>
      </w:r>
      <w:r w:rsidRPr="00D83CCE">
        <w:rPr>
          <w:color w:val="000000" w:themeColor="text1"/>
          <w:sz w:val="22"/>
          <w:szCs w:val="22"/>
        </w:rPr>
        <w:t xml:space="preserve"> analizar el objeto que pretende contratar, para determinar si el mismo es subsumible dentro de alguna actividad cobijada por cada documento</w:t>
      </w:r>
      <w:r>
        <w:rPr>
          <w:color w:val="000000" w:themeColor="text1"/>
          <w:sz w:val="22"/>
          <w:szCs w:val="22"/>
        </w:rPr>
        <w:t xml:space="preserve"> tipo. Las entidades además </w:t>
      </w:r>
      <w:r w:rsidRPr="00D83CCE">
        <w:rPr>
          <w:color w:val="000000" w:themeColor="text1"/>
          <w:sz w:val="22"/>
          <w:szCs w:val="22"/>
        </w:rPr>
        <w:t>tienen</w:t>
      </w:r>
      <w:r w:rsidRPr="00E92FE5">
        <w:rPr>
          <w:color w:val="000000" w:themeColor="text1"/>
          <w:sz w:val="22"/>
          <w:szCs w:val="22"/>
        </w:rPr>
        <w:t xml:space="preserve"> la potestad de aplicar un documento tipo</w:t>
      </w:r>
      <w:r>
        <w:rPr>
          <w:color w:val="000000" w:themeColor="text1"/>
          <w:sz w:val="22"/>
          <w:szCs w:val="22"/>
        </w:rPr>
        <w:t>, reglas o componentes del mismo,</w:t>
      </w:r>
      <w:r w:rsidRPr="00E92FE5">
        <w:rPr>
          <w:color w:val="000000" w:themeColor="text1"/>
          <w:sz w:val="22"/>
          <w:szCs w:val="22"/>
        </w:rPr>
        <w:t xml:space="preserve"> a la contratación de un objeto que no se encuentre cobijado,</w:t>
      </w:r>
      <w:r>
        <w:rPr>
          <w:color w:val="000000" w:themeColor="text1"/>
          <w:sz w:val="22"/>
          <w:szCs w:val="22"/>
        </w:rPr>
        <w:t xml:space="preserve"> esto</w:t>
      </w:r>
      <w:r w:rsidRPr="00E92FE5">
        <w:rPr>
          <w:color w:val="000000" w:themeColor="text1"/>
          <w:sz w:val="22"/>
          <w:szCs w:val="22"/>
        </w:rPr>
        <w:t xml:space="preserve"> a modo de buena práctica contractual</w:t>
      </w:r>
      <w:r>
        <w:rPr>
          <w:color w:val="000000" w:themeColor="text1"/>
          <w:sz w:val="22"/>
          <w:szCs w:val="22"/>
        </w:rPr>
        <w:t xml:space="preserve">, evento en el cual no opera la regla de inalterabilidad al tener la entidad autonomía para la configuración del proceso de contratación. </w:t>
      </w:r>
    </w:p>
    <w:p w14:paraId="0B022DF0" w14:textId="77777777" w:rsidR="00DE6178" w:rsidRPr="00EE7E31" w:rsidRDefault="00DE6178" w:rsidP="00DE6178">
      <w:pPr>
        <w:jc w:val="both"/>
        <w:rPr>
          <w:rFonts w:ascii="Arial" w:hAnsi="Arial" w:cs="Arial"/>
          <w:sz w:val="22"/>
          <w:lang w:val="es-ES_tradnl"/>
        </w:rPr>
      </w:pPr>
    </w:p>
    <w:p w14:paraId="6DA918B7" w14:textId="77777777" w:rsidR="00DE6178" w:rsidRPr="00EE7E31" w:rsidRDefault="00DE6178" w:rsidP="00DE6178">
      <w:pPr>
        <w:spacing w:line="276" w:lineRule="auto"/>
        <w:jc w:val="both"/>
        <w:rPr>
          <w:rFonts w:ascii="Arial" w:eastAsia="Calibri" w:hAnsi="Arial" w:cs="Arial"/>
          <w:color w:val="000000" w:themeColor="text1"/>
          <w:sz w:val="22"/>
          <w:lang w:val="es-ES_tradnl"/>
        </w:rPr>
      </w:pPr>
      <w:r w:rsidRPr="00EE7E31">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0B261E18" w14:textId="77777777" w:rsidR="00DE6178" w:rsidRPr="00EE7E31" w:rsidRDefault="00DE6178" w:rsidP="00DE6178">
      <w:pPr>
        <w:spacing w:line="276" w:lineRule="auto"/>
        <w:jc w:val="both"/>
        <w:rPr>
          <w:color w:val="000000" w:themeColor="text1"/>
          <w:sz w:val="21"/>
          <w:szCs w:val="21"/>
          <w:lang w:val="es-ES_tradnl"/>
        </w:rPr>
      </w:pPr>
    </w:p>
    <w:p w14:paraId="505D2AB3" w14:textId="77777777" w:rsidR="00DE6178" w:rsidRPr="00EE7E31" w:rsidRDefault="00DE6178" w:rsidP="00DE6178">
      <w:pPr>
        <w:pStyle w:val="NormalWeb"/>
        <w:spacing w:before="0" w:beforeAutospacing="0" w:after="0" w:afterAutospacing="0" w:line="276" w:lineRule="auto"/>
        <w:jc w:val="both"/>
        <w:rPr>
          <w:rFonts w:ascii="Arial" w:hAnsi="Arial" w:cs="Arial"/>
          <w:color w:val="000000" w:themeColor="text1"/>
          <w:sz w:val="22"/>
          <w:szCs w:val="22"/>
          <w:lang w:val="es-ES_tradnl"/>
        </w:rPr>
      </w:pPr>
      <w:r w:rsidRPr="00EE7E31">
        <w:rPr>
          <w:rFonts w:ascii="Arial" w:hAnsi="Arial" w:cs="Arial"/>
          <w:color w:val="000000" w:themeColor="text1"/>
          <w:sz w:val="22"/>
          <w:szCs w:val="22"/>
          <w:lang w:val="es-ES_tradnl"/>
        </w:rPr>
        <w:t>Atentamente,</w:t>
      </w:r>
    </w:p>
    <w:p w14:paraId="213C06C5" w14:textId="724F57FA" w:rsidR="00DE6178" w:rsidRPr="00EE7E31" w:rsidRDefault="00DE6178" w:rsidP="00DE6178">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color w:val="000000" w:themeColor="text1"/>
          <w:sz w:val="22"/>
          <w:szCs w:val="22"/>
          <w:lang w:val="es-ES_tradnl"/>
        </w:rPr>
        <w:drawing>
          <wp:inline distT="0" distB="0" distL="0" distR="0" wp14:anchorId="37FBD1EA" wp14:editId="2FD3FAF5">
            <wp:extent cx="2514600" cy="1114425"/>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16DC8311" w14:textId="77777777" w:rsidR="00DE6178" w:rsidRPr="00EE7E31" w:rsidRDefault="00DE6178" w:rsidP="00DE6178">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62"/>
      </w:tblGrid>
      <w:tr w:rsidR="00DE6178" w:rsidRPr="00EE7E31" w14:paraId="15947FB0" w14:textId="77777777" w:rsidTr="00FB1DD3">
        <w:trPr>
          <w:trHeight w:val="136"/>
        </w:trPr>
        <w:tc>
          <w:tcPr>
            <w:tcW w:w="812" w:type="dxa"/>
            <w:vAlign w:val="center"/>
            <w:hideMark/>
          </w:tcPr>
          <w:p w14:paraId="249CF24D" w14:textId="77777777" w:rsidR="00DE6178" w:rsidRPr="00EE7E31" w:rsidRDefault="00DE6178" w:rsidP="00FB1DD3">
            <w:pPr>
              <w:jc w:val="both"/>
              <w:rPr>
                <w:rFonts w:ascii="Arial" w:hAnsi="Arial" w:cs="Arial"/>
                <w:color w:val="000000" w:themeColor="text1"/>
                <w:sz w:val="16"/>
                <w:szCs w:val="16"/>
                <w:lang w:val="es-ES_tradnl" w:eastAsia="es-ES"/>
              </w:rPr>
            </w:pPr>
            <w:r w:rsidRPr="00EE7E31">
              <w:rPr>
                <w:rFonts w:ascii="Arial" w:hAnsi="Arial" w:cs="Arial"/>
                <w:color w:val="000000" w:themeColor="text1"/>
                <w:sz w:val="16"/>
                <w:szCs w:val="16"/>
                <w:lang w:val="es-ES_tradnl" w:eastAsia="es-ES"/>
              </w:rPr>
              <w:t>Elaboró:</w:t>
            </w:r>
          </w:p>
        </w:tc>
        <w:tc>
          <w:tcPr>
            <w:tcW w:w="4362" w:type="dxa"/>
            <w:tcBorders>
              <w:top w:val="nil"/>
              <w:left w:val="nil"/>
              <w:bottom w:val="dotted" w:sz="4" w:space="0" w:color="7F7F7F" w:themeColor="text1" w:themeTint="80"/>
              <w:right w:val="nil"/>
            </w:tcBorders>
            <w:vAlign w:val="center"/>
            <w:hideMark/>
          </w:tcPr>
          <w:p w14:paraId="3408469F" w14:textId="77777777" w:rsidR="00DE6178" w:rsidRPr="00EE7E31" w:rsidRDefault="00DE6178" w:rsidP="00FB1DD3">
            <w:pPr>
              <w:jc w:val="both"/>
              <w:rPr>
                <w:rFonts w:ascii="Arial" w:hAnsi="Arial" w:cs="Arial"/>
                <w:color w:val="000000" w:themeColor="text1"/>
                <w:sz w:val="16"/>
                <w:szCs w:val="16"/>
                <w:lang w:val="es-ES_tradnl" w:eastAsia="es-ES"/>
              </w:rPr>
            </w:pPr>
            <w:r w:rsidRPr="00EE7E31">
              <w:rPr>
                <w:rFonts w:ascii="Arial" w:hAnsi="Arial" w:cs="Arial"/>
                <w:color w:val="000000" w:themeColor="text1"/>
                <w:sz w:val="16"/>
                <w:szCs w:val="16"/>
                <w:lang w:val="es-ES_tradnl" w:eastAsia="es-ES"/>
              </w:rPr>
              <w:t>Kevin Arlid Herrera Santa</w:t>
            </w:r>
          </w:p>
          <w:p w14:paraId="3C8A02A6" w14:textId="77777777" w:rsidR="00DE6178" w:rsidRPr="00EE7E31" w:rsidRDefault="00DE6178" w:rsidP="00FB1DD3">
            <w:pPr>
              <w:jc w:val="both"/>
              <w:rPr>
                <w:rFonts w:ascii="Arial" w:hAnsi="Arial" w:cs="Arial"/>
                <w:color w:val="000000" w:themeColor="text1"/>
                <w:sz w:val="16"/>
                <w:szCs w:val="16"/>
                <w:lang w:val="es-ES_tradnl" w:eastAsia="es-ES"/>
              </w:rPr>
            </w:pPr>
            <w:r w:rsidRPr="00EE7E31">
              <w:rPr>
                <w:rFonts w:ascii="Arial" w:hAnsi="Arial" w:cs="Arial"/>
                <w:color w:val="000000" w:themeColor="text1"/>
                <w:sz w:val="16"/>
                <w:szCs w:val="16"/>
                <w:lang w:val="es-ES_tradnl" w:eastAsia="es-ES"/>
              </w:rPr>
              <w:t>Analista T2 – 04 de la Subdirección de Gestión Contractual</w:t>
            </w:r>
          </w:p>
        </w:tc>
      </w:tr>
      <w:tr w:rsidR="00DE6178" w:rsidRPr="00EE7E31" w14:paraId="0526729B" w14:textId="77777777" w:rsidTr="00FB1DD3">
        <w:trPr>
          <w:trHeight w:val="281"/>
        </w:trPr>
        <w:tc>
          <w:tcPr>
            <w:tcW w:w="812" w:type="dxa"/>
            <w:vAlign w:val="center"/>
            <w:hideMark/>
          </w:tcPr>
          <w:p w14:paraId="7CF32D32" w14:textId="77777777" w:rsidR="00DE6178" w:rsidRPr="00EE7E31" w:rsidRDefault="00DE6178" w:rsidP="00FB1DD3">
            <w:pPr>
              <w:jc w:val="both"/>
              <w:rPr>
                <w:rFonts w:ascii="Arial" w:hAnsi="Arial" w:cs="Arial"/>
                <w:color w:val="000000" w:themeColor="text1"/>
                <w:sz w:val="16"/>
                <w:szCs w:val="16"/>
                <w:lang w:val="es-ES_tradnl" w:eastAsia="es-ES"/>
              </w:rPr>
            </w:pPr>
            <w:r w:rsidRPr="00EE7E31">
              <w:rPr>
                <w:rFonts w:ascii="Arial" w:hAnsi="Arial" w:cs="Arial"/>
                <w:color w:val="000000" w:themeColor="text1"/>
                <w:sz w:val="16"/>
                <w:szCs w:val="16"/>
                <w:lang w:val="es-ES_tradnl" w:eastAsia="es-ES"/>
              </w:rPr>
              <w:t>Revisó: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1819C217" w14:textId="77777777" w:rsidR="00DE6178" w:rsidRPr="00EE7E31" w:rsidRDefault="00DE6178" w:rsidP="00FB1DD3">
            <w:pPr>
              <w:rPr>
                <w:rFonts w:ascii="Arial" w:hAnsi="Arial" w:cs="Arial"/>
                <w:sz w:val="16"/>
                <w:szCs w:val="16"/>
                <w:lang w:val="es-ES_tradnl" w:eastAsia="es-ES"/>
              </w:rPr>
            </w:pPr>
            <w:r w:rsidRPr="00EE7E31">
              <w:rPr>
                <w:rFonts w:ascii="Arial" w:hAnsi="Arial" w:cs="Arial"/>
                <w:sz w:val="16"/>
                <w:szCs w:val="16"/>
                <w:lang w:val="es-ES_tradnl" w:eastAsia="es-ES"/>
              </w:rPr>
              <w:t>Alejandro Sarmiento Cantillo</w:t>
            </w:r>
          </w:p>
          <w:p w14:paraId="2F37A7A0" w14:textId="77777777" w:rsidR="00DE6178" w:rsidRPr="00EE7E31" w:rsidRDefault="00DE6178" w:rsidP="00FB1DD3">
            <w:pPr>
              <w:jc w:val="both"/>
              <w:rPr>
                <w:rFonts w:ascii="Arial" w:hAnsi="Arial" w:cs="Arial"/>
                <w:color w:val="000000" w:themeColor="text1"/>
                <w:sz w:val="16"/>
                <w:szCs w:val="16"/>
                <w:lang w:val="es-ES_tradnl" w:eastAsia="es-ES"/>
              </w:rPr>
            </w:pPr>
            <w:r w:rsidRPr="00EE7E31">
              <w:rPr>
                <w:rFonts w:ascii="Arial" w:hAnsi="Arial" w:cs="Arial"/>
                <w:color w:val="000000"/>
                <w:sz w:val="16"/>
                <w:szCs w:val="16"/>
                <w:shd w:val="clear" w:color="auto" w:fill="FFFFFF"/>
                <w:lang w:val="es-ES_tradnl"/>
              </w:rPr>
              <w:t>Gestor T1 – 11 de la </w:t>
            </w:r>
            <w:r w:rsidRPr="00EE7E31">
              <w:rPr>
                <w:rFonts w:ascii="Arial" w:hAnsi="Arial" w:cs="Arial"/>
                <w:color w:val="000000" w:themeColor="text1"/>
                <w:sz w:val="16"/>
                <w:szCs w:val="16"/>
                <w:lang w:val="es-ES_tradnl" w:eastAsia="es-ES"/>
              </w:rPr>
              <w:t>Subdirección de Gestión Contractual</w:t>
            </w:r>
          </w:p>
        </w:tc>
      </w:tr>
      <w:tr w:rsidR="00DE6178" w:rsidRPr="00EE7E31" w14:paraId="0E8C8778" w14:textId="77777777" w:rsidTr="00FB1DD3">
        <w:trPr>
          <w:trHeight w:val="256"/>
        </w:trPr>
        <w:tc>
          <w:tcPr>
            <w:tcW w:w="812" w:type="dxa"/>
            <w:vAlign w:val="center"/>
            <w:hideMark/>
          </w:tcPr>
          <w:p w14:paraId="2F0750BE" w14:textId="77777777" w:rsidR="00DE6178" w:rsidRPr="00EE7E31" w:rsidRDefault="00DE6178" w:rsidP="00FB1DD3">
            <w:pPr>
              <w:jc w:val="both"/>
              <w:rPr>
                <w:rFonts w:ascii="Arial" w:hAnsi="Arial" w:cs="Arial"/>
                <w:color w:val="000000" w:themeColor="text1"/>
                <w:sz w:val="16"/>
                <w:szCs w:val="16"/>
                <w:lang w:val="es-ES_tradnl" w:eastAsia="es-ES"/>
              </w:rPr>
            </w:pPr>
            <w:r w:rsidRPr="00EE7E31">
              <w:rPr>
                <w:rFonts w:ascii="Arial" w:hAnsi="Arial" w:cs="Arial"/>
                <w:color w:val="000000" w:themeColor="text1"/>
                <w:sz w:val="16"/>
                <w:szCs w:val="16"/>
                <w:lang w:val="es-ES_tradnl" w:eastAsia="es-ES"/>
              </w:rPr>
              <w:t>Aprobó: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46B157D9" w14:textId="77777777" w:rsidR="00DE6178" w:rsidRPr="00EE7E31" w:rsidRDefault="00DE6178" w:rsidP="00FB1DD3">
            <w:pPr>
              <w:jc w:val="both"/>
              <w:rPr>
                <w:rFonts w:ascii="Arial" w:hAnsi="Arial" w:cs="Arial"/>
                <w:color w:val="000000" w:themeColor="text1"/>
                <w:sz w:val="16"/>
                <w:szCs w:val="16"/>
                <w:lang w:val="es-ES_tradnl" w:eastAsia="es-ES"/>
              </w:rPr>
            </w:pPr>
            <w:r w:rsidRPr="00EE7E31">
              <w:rPr>
                <w:rFonts w:ascii="Arial" w:hAnsi="Arial" w:cs="Arial"/>
                <w:color w:val="000000" w:themeColor="text1"/>
                <w:sz w:val="16"/>
                <w:szCs w:val="16"/>
                <w:lang w:val="es-ES_tradnl" w:eastAsia="es-ES"/>
              </w:rPr>
              <w:t>Jorge Augusto Tirado Navarro</w:t>
            </w:r>
          </w:p>
          <w:p w14:paraId="1C83FCF8" w14:textId="77777777" w:rsidR="00DE6178" w:rsidRPr="00EE7E31" w:rsidRDefault="00DE6178" w:rsidP="00FB1DD3">
            <w:pPr>
              <w:jc w:val="both"/>
              <w:rPr>
                <w:rFonts w:ascii="Arial" w:hAnsi="Arial" w:cs="Arial"/>
                <w:color w:val="000000" w:themeColor="text1"/>
                <w:sz w:val="16"/>
                <w:szCs w:val="16"/>
                <w:lang w:val="es-ES_tradnl" w:eastAsia="es-ES"/>
              </w:rPr>
            </w:pPr>
            <w:r w:rsidRPr="00EE7E31">
              <w:rPr>
                <w:rFonts w:ascii="Arial" w:hAnsi="Arial" w:cs="Arial"/>
                <w:color w:val="000000" w:themeColor="text1"/>
                <w:sz w:val="16"/>
                <w:szCs w:val="16"/>
                <w:lang w:val="es-ES_tradnl" w:eastAsia="es-ES"/>
              </w:rPr>
              <w:t>Subdirector de Gestión Contractual ANCP – CCE</w:t>
            </w:r>
          </w:p>
        </w:tc>
      </w:tr>
    </w:tbl>
    <w:p w14:paraId="4035C41C" w14:textId="77777777" w:rsidR="00DE6178" w:rsidRPr="00EE7E31" w:rsidRDefault="00DE6178" w:rsidP="00DE6178">
      <w:pPr>
        <w:jc w:val="both"/>
        <w:rPr>
          <w:rFonts w:ascii="Arial" w:hAnsi="Arial" w:cs="Arial"/>
          <w:lang w:val="es-ES_tradnl"/>
        </w:rPr>
      </w:pPr>
    </w:p>
    <w:p w14:paraId="11297826" w14:textId="77777777" w:rsidR="00DE6178" w:rsidRDefault="00DE6178"/>
    <w:sectPr w:rsidR="00DE6178" w:rsidSect="005D791B">
      <w:headerReference w:type="default" r:id="rId9"/>
      <w:footerReference w:type="default" r:id="rId10"/>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D44B0" w14:textId="77777777" w:rsidR="0021105B" w:rsidRDefault="0021105B" w:rsidP="00DE6178">
      <w:r>
        <w:separator/>
      </w:r>
    </w:p>
  </w:endnote>
  <w:endnote w:type="continuationSeparator" w:id="0">
    <w:p w14:paraId="0ED642DD" w14:textId="77777777" w:rsidR="0021105B" w:rsidRDefault="0021105B" w:rsidP="00DE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FCEC" w14:textId="77777777" w:rsidR="008F4163" w:rsidRDefault="0021105B" w:rsidP="00322937">
    <w:pPr>
      <w:pStyle w:val="Sinespaciado"/>
      <w:jc w:val="right"/>
      <w:rPr>
        <w:rFonts w:ascii="Arial" w:hAnsi="Arial" w:cs="Arial"/>
        <w:sz w:val="18"/>
        <w:szCs w:val="18"/>
      </w:rPr>
    </w:pPr>
  </w:p>
  <w:p w14:paraId="715BA0CE" w14:textId="77777777" w:rsidR="008F4163" w:rsidRPr="008217B7" w:rsidRDefault="0021105B"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63350315" w14:textId="77777777" w:rsidR="008F4163" w:rsidRDefault="0021105B" w:rsidP="00322937">
    <w:pPr>
      <w:pStyle w:val="Piedepgina"/>
      <w:jc w:val="center"/>
      <w:rPr>
        <w:lang w:val="es-ES"/>
      </w:rPr>
    </w:pPr>
    <w:r>
      <w:rPr>
        <w:noProof/>
        <w:lang w:val="es-CO" w:eastAsia="es-CO"/>
      </w:rPr>
      <w:drawing>
        <wp:inline distT="0" distB="0" distL="0" distR="0" wp14:anchorId="22369B36" wp14:editId="23ED3D03">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03C42D66" w14:textId="77777777" w:rsidR="008F4163" w:rsidRDefault="0021105B" w:rsidP="007B0854">
    <w:pPr>
      <w:pStyle w:val="Piedepgina"/>
      <w:jc w:val="center"/>
      <w:rPr>
        <w:lang w:val="es-ES"/>
      </w:rPr>
    </w:pPr>
  </w:p>
  <w:p w14:paraId="180E63B2" w14:textId="77777777" w:rsidR="008F4163" w:rsidRPr="007B0854" w:rsidRDefault="0021105B"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7A5F5" w14:textId="77777777" w:rsidR="0021105B" w:rsidRDefault="0021105B" w:rsidP="00DE6178">
      <w:r>
        <w:separator/>
      </w:r>
    </w:p>
  </w:footnote>
  <w:footnote w:type="continuationSeparator" w:id="0">
    <w:p w14:paraId="77AA74A8" w14:textId="77777777" w:rsidR="0021105B" w:rsidRDefault="0021105B" w:rsidP="00DE6178">
      <w:r>
        <w:continuationSeparator/>
      </w:r>
    </w:p>
  </w:footnote>
  <w:footnote w:id="1">
    <w:p w14:paraId="1D7F30D7" w14:textId="77777777" w:rsidR="00DE6178" w:rsidRPr="00A9576E" w:rsidRDefault="00DE6178" w:rsidP="00DE6178">
      <w:pPr>
        <w:pStyle w:val="Textonotapie"/>
        <w:ind w:firstLine="708"/>
        <w:jc w:val="both"/>
        <w:rPr>
          <w:rFonts w:ascii="Arial" w:hAnsi="Arial" w:cs="Arial"/>
          <w:sz w:val="18"/>
          <w:szCs w:val="18"/>
          <w:lang w:val="es-ES"/>
        </w:rPr>
      </w:pPr>
      <w:r w:rsidRPr="00A9576E">
        <w:rPr>
          <w:rStyle w:val="Refdenotaalpie"/>
          <w:rFonts w:ascii="Arial" w:hAnsi="Arial" w:cs="Arial"/>
          <w:sz w:val="18"/>
          <w:szCs w:val="18"/>
        </w:rPr>
        <w:footnoteRef/>
      </w:r>
      <w:r w:rsidRPr="00A9576E">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A9576E">
        <w:rPr>
          <w:rFonts w:ascii="Arial" w:hAnsi="Arial" w:cs="Arial"/>
          <w:i/>
          <w:iCs/>
          <w:sz w:val="18"/>
          <w:szCs w:val="18"/>
        </w:rPr>
        <w:t xml:space="preserve">ibidem </w:t>
      </w:r>
      <w:r w:rsidRPr="00A9576E">
        <w:rPr>
          <w:rFonts w:ascii="Arial" w:hAnsi="Arial" w:cs="Arial"/>
          <w:sz w:val="18"/>
          <w:szCs w:val="18"/>
        </w:rPr>
        <w:t>señala, de manera precisa, las funciones de Colombia Compra Eficiente. Concretamente, el numeral 5º de este artículo establece que le corresponde a esta entidad: «[a]</w:t>
      </w:r>
      <w:proofErr w:type="spellStart"/>
      <w:r w:rsidRPr="00A9576E">
        <w:rPr>
          <w:rFonts w:ascii="Arial" w:hAnsi="Arial" w:cs="Arial"/>
          <w:sz w:val="18"/>
          <w:szCs w:val="18"/>
        </w:rPr>
        <w:t>bsolver</w:t>
      </w:r>
      <w:proofErr w:type="spellEnd"/>
      <w:r w:rsidRPr="00A9576E">
        <w:rPr>
          <w:rFonts w:ascii="Arial" w:hAnsi="Arial" w:cs="Arial"/>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A9576E">
        <w:rPr>
          <w:rFonts w:ascii="Arial" w:hAnsi="Arial" w:cs="Arial"/>
          <w:sz w:val="18"/>
          <w:szCs w:val="18"/>
        </w:rPr>
        <w:t>bsolver</w:t>
      </w:r>
      <w:proofErr w:type="spellEnd"/>
      <w:r w:rsidRPr="00A9576E">
        <w:rPr>
          <w:rFonts w:ascii="Arial" w:hAnsi="Arial" w:cs="Arial"/>
          <w:sz w:val="18"/>
          <w:szCs w:val="18"/>
        </w:rPr>
        <w:t xml:space="preserve"> consultas sobre la aplicación de normas de carácter general».</w:t>
      </w:r>
    </w:p>
  </w:footnote>
  <w:footnote w:id="2">
    <w:p w14:paraId="33817535" w14:textId="77777777" w:rsidR="00DE6178" w:rsidRPr="00A9576E" w:rsidRDefault="00DE6178" w:rsidP="00DE6178">
      <w:pPr>
        <w:pStyle w:val="Textonotapie"/>
        <w:ind w:firstLine="709"/>
        <w:jc w:val="both"/>
        <w:rPr>
          <w:rFonts w:ascii="Arial" w:hAnsi="Arial" w:cs="Arial"/>
          <w:color w:val="000000" w:themeColor="text1"/>
          <w:sz w:val="18"/>
          <w:szCs w:val="18"/>
          <w:lang w:val="es-CO"/>
        </w:rPr>
      </w:pPr>
      <w:r w:rsidRPr="00A9576E">
        <w:rPr>
          <w:rStyle w:val="Refdenotaalpie"/>
          <w:rFonts w:ascii="Arial" w:hAnsi="Arial" w:cs="Arial"/>
          <w:color w:val="000000" w:themeColor="text1"/>
          <w:sz w:val="18"/>
          <w:szCs w:val="18"/>
        </w:rPr>
        <w:footnoteRef/>
      </w:r>
      <w:r w:rsidRPr="00A9576E">
        <w:rPr>
          <w:rFonts w:ascii="Arial" w:hAnsi="Arial" w:cs="Arial"/>
          <w:color w:val="000000" w:themeColor="text1"/>
          <w:sz w:val="18"/>
          <w:szCs w:val="18"/>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3">
    <w:p w14:paraId="087A4893" w14:textId="77777777" w:rsidR="00DE6178" w:rsidRPr="00A9576E" w:rsidRDefault="00DE6178" w:rsidP="00DE6178">
      <w:pPr>
        <w:pStyle w:val="Textonotapie"/>
        <w:ind w:firstLine="709"/>
        <w:jc w:val="both"/>
        <w:rPr>
          <w:rFonts w:ascii="Arial" w:hAnsi="Arial" w:cs="Arial"/>
          <w:color w:val="000000" w:themeColor="text1"/>
          <w:sz w:val="18"/>
          <w:szCs w:val="18"/>
        </w:rPr>
      </w:pPr>
      <w:r w:rsidRPr="00A9576E">
        <w:rPr>
          <w:rStyle w:val="Refdenotaalpie"/>
          <w:rFonts w:ascii="Arial" w:hAnsi="Arial" w:cs="Arial"/>
          <w:color w:val="000000" w:themeColor="text1"/>
          <w:sz w:val="18"/>
          <w:szCs w:val="18"/>
        </w:rPr>
        <w:footnoteRef/>
      </w:r>
      <w:r w:rsidRPr="00A9576E">
        <w:rPr>
          <w:rFonts w:ascii="Arial" w:hAnsi="Arial" w:cs="Arial"/>
          <w:color w:val="000000" w:themeColor="text1"/>
          <w:sz w:val="18"/>
          <w:szCs w:val="18"/>
        </w:rPr>
        <w:t xml:space="preserve"> </w:t>
      </w:r>
      <w:r w:rsidRPr="00A9576E">
        <w:rPr>
          <w:rFonts w:ascii="Arial" w:hAnsi="Arial" w:cs="Arial"/>
          <w:color w:val="000000" w:themeColor="text1"/>
          <w:sz w:val="18"/>
          <w:szCs w:val="18"/>
          <w:lang w:val="es-CO"/>
        </w:rPr>
        <w:t xml:space="preserve">Ley 1882 de 2018: «Artículo 4. </w:t>
      </w:r>
      <w:r w:rsidRPr="00A9576E">
        <w:rPr>
          <w:rFonts w:ascii="Arial" w:hAnsi="Arial" w:cs="Arial"/>
          <w:color w:val="000000" w:themeColor="text1"/>
          <w:sz w:val="18"/>
          <w:szCs w:val="18"/>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563EEC78" w14:textId="77777777" w:rsidR="00DE6178" w:rsidRPr="00A9576E" w:rsidRDefault="00DE6178" w:rsidP="00DE6178">
      <w:pPr>
        <w:pStyle w:val="Textonotapie"/>
        <w:ind w:firstLine="709"/>
        <w:jc w:val="both"/>
        <w:rPr>
          <w:rFonts w:ascii="Arial" w:hAnsi="Arial" w:cs="Arial"/>
          <w:color w:val="000000" w:themeColor="text1"/>
          <w:sz w:val="18"/>
          <w:szCs w:val="18"/>
          <w:lang w:val="es-CO"/>
        </w:rPr>
      </w:pPr>
      <w:r w:rsidRPr="00A9576E">
        <w:rPr>
          <w:rFonts w:ascii="Arial" w:hAnsi="Arial" w:cs="Arial"/>
          <w:color w:val="000000" w:themeColor="text1"/>
          <w:sz w:val="18"/>
          <w:szCs w:val="18"/>
          <w:lang w:val="es-CO"/>
        </w:rPr>
        <w:t>»La facultad de adoptar documentos tipo la tendrá el Gobierno nacional, cuando lo considere necesario, en relación con otros contratos o procesos de selección.</w:t>
      </w:r>
    </w:p>
    <w:p w14:paraId="470292DB" w14:textId="77777777" w:rsidR="00DE6178" w:rsidRPr="00A9576E" w:rsidRDefault="00DE6178" w:rsidP="00DE6178">
      <w:pPr>
        <w:pStyle w:val="Textonotapie"/>
        <w:ind w:firstLine="709"/>
        <w:jc w:val="both"/>
        <w:rPr>
          <w:rFonts w:ascii="Arial" w:hAnsi="Arial" w:cs="Arial"/>
          <w:color w:val="000000" w:themeColor="text1"/>
          <w:sz w:val="18"/>
          <w:szCs w:val="18"/>
          <w:lang w:val="es-CO"/>
        </w:rPr>
      </w:pPr>
      <w:r w:rsidRPr="00A9576E">
        <w:rPr>
          <w:rFonts w:ascii="Arial" w:hAnsi="Arial" w:cs="Arial"/>
          <w:color w:val="000000" w:themeColor="text1"/>
          <w:sz w:val="18"/>
          <w:szCs w:val="18"/>
        </w:rPr>
        <w:t>»Los pliegos tipo se adoptarán por categorías de acuerdo con la cuantía de la contratación, según la reglamentación que expida el Gobierno nacional».</w:t>
      </w:r>
    </w:p>
  </w:footnote>
  <w:footnote w:id="4">
    <w:p w14:paraId="48C8BE8A" w14:textId="77777777" w:rsidR="00DE6178" w:rsidRPr="00A9576E" w:rsidRDefault="00DE6178" w:rsidP="00DE6178">
      <w:pPr>
        <w:pStyle w:val="Textonotapie"/>
        <w:ind w:firstLine="709"/>
        <w:jc w:val="both"/>
        <w:rPr>
          <w:rFonts w:ascii="Arial" w:hAnsi="Arial" w:cs="Arial"/>
          <w:color w:val="000000" w:themeColor="text1"/>
          <w:sz w:val="18"/>
          <w:szCs w:val="18"/>
        </w:rPr>
      </w:pPr>
      <w:r w:rsidRPr="00A9576E">
        <w:rPr>
          <w:rStyle w:val="Refdenotaalpie"/>
          <w:rFonts w:ascii="Arial" w:hAnsi="Arial" w:cs="Arial"/>
          <w:color w:val="000000" w:themeColor="text1"/>
          <w:sz w:val="18"/>
          <w:szCs w:val="18"/>
        </w:rPr>
        <w:footnoteRef/>
      </w:r>
      <w:r w:rsidRPr="00A9576E">
        <w:rPr>
          <w:rFonts w:ascii="Arial" w:hAnsi="Arial" w:cs="Arial"/>
          <w:color w:val="000000" w:themeColor="text1"/>
          <w:sz w:val="18"/>
          <w:szCs w:val="18"/>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5">
    <w:p w14:paraId="58428BF3" w14:textId="77777777" w:rsidR="00DE6178" w:rsidRPr="00A9576E" w:rsidRDefault="00DE6178" w:rsidP="00DE6178">
      <w:pPr>
        <w:pStyle w:val="Textonotapie"/>
        <w:ind w:firstLine="708"/>
        <w:jc w:val="both"/>
        <w:rPr>
          <w:rFonts w:ascii="Arial" w:hAnsi="Arial" w:cs="Arial"/>
          <w:color w:val="000000" w:themeColor="text1"/>
          <w:sz w:val="18"/>
          <w:szCs w:val="18"/>
        </w:rPr>
      </w:pPr>
      <w:r w:rsidRPr="00A9576E">
        <w:rPr>
          <w:rStyle w:val="Refdenotaalpie"/>
          <w:rFonts w:ascii="Arial" w:hAnsi="Arial" w:cs="Arial"/>
          <w:color w:val="000000" w:themeColor="text1"/>
          <w:sz w:val="18"/>
          <w:szCs w:val="18"/>
        </w:rPr>
        <w:footnoteRef/>
      </w:r>
      <w:r w:rsidRPr="00A9576E">
        <w:rPr>
          <w:rFonts w:ascii="Arial" w:hAnsi="Arial" w:cs="Arial"/>
          <w:color w:val="000000" w:themeColor="text1"/>
          <w:sz w:val="18"/>
          <w:szCs w:val="18"/>
        </w:rPr>
        <w:t xml:space="preserve"> «ARTÍCULO 1o. Modifíquese el artículo 4o de la Ley 1882 de 2018, el cual quedará así:</w:t>
      </w:r>
    </w:p>
    <w:p w14:paraId="0BFFBEA0" w14:textId="77777777" w:rsidR="00DE6178" w:rsidRPr="00A9576E" w:rsidRDefault="00DE6178" w:rsidP="00DE6178">
      <w:pPr>
        <w:pStyle w:val="Textonotapie"/>
        <w:ind w:firstLine="708"/>
        <w:jc w:val="both"/>
        <w:rPr>
          <w:rFonts w:ascii="Arial" w:hAnsi="Arial" w:cs="Arial"/>
          <w:color w:val="000000" w:themeColor="text1"/>
          <w:sz w:val="18"/>
          <w:szCs w:val="18"/>
        </w:rPr>
      </w:pPr>
      <w:r w:rsidRPr="00A9576E">
        <w:rPr>
          <w:rFonts w:ascii="Arial" w:hAnsi="Arial" w:cs="Arial"/>
          <w:color w:val="000000" w:themeColor="text1"/>
          <w:sz w:val="18"/>
          <w:szCs w:val="18"/>
        </w:rPr>
        <w:t>»Artículo 4o. Adiciónese el siguiente parágrafo al artículo 2o de la Ley 1150 de 2007.</w:t>
      </w:r>
    </w:p>
    <w:p w14:paraId="6D40AF54" w14:textId="77777777" w:rsidR="00DE6178" w:rsidRPr="00A9576E" w:rsidRDefault="00DE6178" w:rsidP="00DE6178">
      <w:pPr>
        <w:pStyle w:val="Textonotapie"/>
        <w:ind w:firstLine="708"/>
        <w:jc w:val="both"/>
        <w:rPr>
          <w:rFonts w:ascii="Arial" w:hAnsi="Arial" w:cs="Arial"/>
          <w:color w:val="000000" w:themeColor="text1"/>
          <w:sz w:val="18"/>
          <w:szCs w:val="18"/>
        </w:rPr>
      </w:pPr>
      <w:r w:rsidRPr="00A9576E">
        <w:rPr>
          <w:rFonts w:ascii="Arial" w:hAnsi="Arial" w:cs="Arial"/>
          <w:color w:val="000000" w:themeColor="text1"/>
          <w:sz w:val="18"/>
          <w:szCs w:val="18"/>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659313FD" w14:textId="77777777" w:rsidR="00DE6178" w:rsidRPr="00A9576E" w:rsidRDefault="00DE6178" w:rsidP="00DE6178">
      <w:pPr>
        <w:pStyle w:val="Textonotapie"/>
        <w:ind w:firstLine="708"/>
        <w:jc w:val="both"/>
        <w:rPr>
          <w:rFonts w:ascii="Arial" w:hAnsi="Arial" w:cs="Arial"/>
          <w:color w:val="000000" w:themeColor="text1"/>
          <w:sz w:val="18"/>
          <w:szCs w:val="18"/>
        </w:rPr>
      </w:pPr>
      <w:r w:rsidRPr="00A9576E">
        <w:rPr>
          <w:rFonts w:ascii="Arial" w:hAnsi="Arial" w:cs="Arial"/>
          <w:color w:val="000000" w:themeColor="text1"/>
          <w:sz w:val="18"/>
          <w:szCs w:val="18"/>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5672AF18" w14:textId="77777777" w:rsidR="00DE6178" w:rsidRPr="00A9576E" w:rsidRDefault="00DE6178" w:rsidP="00DE6178">
      <w:pPr>
        <w:pStyle w:val="Textonotapie"/>
        <w:ind w:firstLine="708"/>
        <w:jc w:val="both"/>
        <w:rPr>
          <w:rFonts w:ascii="Arial" w:hAnsi="Arial" w:cs="Arial"/>
          <w:color w:val="000000" w:themeColor="text1"/>
          <w:sz w:val="18"/>
          <w:szCs w:val="18"/>
        </w:rPr>
      </w:pPr>
      <w:r w:rsidRPr="00A9576E">
        <w:rPr>
          <w:rFonts w:ascii="Arial" w:hAnsi="Arial" w:cs="Arial"/>
          <w:color w:val="000000" w:themeColor="text1"/>
          <w:sz w:val="18"/>
          <w:szCs w:val="18"/>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08B411ED" w14:textId="77777777" w:rsidR="00DE6178" w:rsidRPr="00A9576E" w:rsidRDefault="00DE6178" w:rsidP="00DE6178">
      <w:pPr>
        <w:pStyle w:val="Textonotapie"/>
        <w:ind w:firstLine="708"/>
        <w:jc w:val="both"/>
        <w:rPr>
          <w:rFonts w:ascii="Arial" w:hAnsi="Arial" w:cs="Arial"/>
          <w:color w:val="000000" w:themeColor="text1"/>
          <w:sz w:val="18"/>
          <w:szCs w:val="18"/>
        </w:rPr>
      </w:pPr>
      <w:r w:rsidRPr="00A9576E">
        <w:rPr>
          <w:rFonts w:ascii="Arial" w:hAnsi="Arial" w:cs="Arial"/>
          <w:color w:val="000000" w:themeColor="text1"/>
          <w:sz w:val="18"/>
          <w:szCs w:val="18"/>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7F205B47" w14:textId="77777777" w:rsidR="00DE6178" w:rsidRPr="00A9576E" w:rsidRDefault="00DE6178" w:rsidP="00DE6178">
      <w:pPr>
        <w:pStyle w:val="Textonotapie"/>
        <w:ind w:firstLine="708"/>
        <w:jc w:val="both"/>
        <w:rPr>
          <w:rFonts w:ascii="Arial" w:hAnsi="Arial" w:cs="Arial"/>
          <w:color w:val="000000" w:themeColor="text1"/>
          <w:sz w:val="18"/>
          <w:szCs w:val="18"/>
          <w:lang w:val="es-CO"/>
        </w:rPr>
      </w:pPr>
      <w:r w:rsidRPr="00A9576E">
        <w:rPr>
          <w:rFonts w:ascii="Arial" w:hAnsi="Arial" w:cs="Arial"/>
          <w:color w:val="000000" w:themeColor="text1"/>
          <w:sz w:val="18"/>
          <w:szCs w:val="18"/>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175ABD1D" w14:textId="77777777" w:rsidR="00DE6178" w:rsidRPr="00A9576E" w:rsidRDefault="00DE6178" w:rsidP="00DE6178">
      <w:pPr>
        <w:pStyle w:val="Textonotapie"/>
        <w:ind w:firstLine="709"/>
        <w:jc w:val="both"/>
        <w:rPr>
          <w:rFonts w:ascii="Arial" w:hAnsi="Arial" w:cs="Arial"/>
          <w:color w:val="000000" w:themeColor="text1"/>
          <w:sz w:val="18"/>
          <w:szCs w:val="18"/>
          <w:lang w:val="es-ES"/>
        </w:rPr>
      </w:pPr>
      <w:r w:rsidRPr="00A9576E">
        <w:rPr>
          <w:rStyle w:val="Refdenotaalpie"/>
          <w:rFonts w:ascii="Arial" w:hAnsi="Arial" w:cs="Arial"/>
          <w:color w:val="000000" w:themeColor="text1"/>
          <w:sz w:val="18"/>
          <w:szCs w:val="18"/>
        </w:rPr>
        <w:footnoteRef/>
      </w:r>
      <w:r w:rsidRPr="00A9576E">
        <w:rPr>
          <w:rFonts w:ascii="Arial" w:hAnsi="Arial" w:cs="Arial"/>
          <w:color w:val="000000" w:themeColor="text1"/>
          <w:sz w:val="18"/>
          <w:szCs w:val="18"/>
        </w:rPr>
        <w:t xml:space="preserve"> </w:t>
      </w:r>
      <w:r w:rsidRPr="00A9576E">
        <w:rPr>
          <w:rFonts w:ascii="Arial" w:hAnsi="Arial" w:cs="Arial"/>
          <w:color w:val="000000"/>
          <w:sz w:val="18"/>
          <w:szCs w:val="18"/>
          <w:lang w:val="es-ES"/>
        </w:rPr>
        <w:t xml:space="preserve">En cuanto a las resoluciones vigentes, dicha regla se observa en el artículo 3 de las Resoluciones 240, 241, 248, 249, 256 y 269 de 2020, así como en las Resoluciones 193, 219 y 220 de 2021 y en el artículo 2 de la Resolución 094 de 2020. </w:t>
      </w:r>
    </w:p>
  </w:footnote>
  <w:footnote w:id="7">
    <w:p w14:paraId="0F15C101" w14:textId="77777777" w:rsidR="00DE6178" w:rsidRPr="00A9576E" w:rsidRDefault="00DE6178" w:rsidP="00DE6178">
      <w:pPr>
        <w:pStyle w:val="Textonotapie"/>
        <w:ind w:firstLine="709"/>
        <w:jc w:val="both"/>
        <w:rPr>
          <w:rFonts w:ascii="Arial" w:hAnsi="Arial" w:cs="Arial"/>
          <w:color w:val="000000" w:themeColor="text1"/>
          <w:sz w:val="18"/>
          <w:szCs w:val="18"/>
        </w:rPr>
      </w:pPr>
      <w:r w:rsidRPr="00A9576E">
        <w:rPr>
          <w:rStyle w:val="Refdenotaalpie"/>
          <w:rFonts w:ascii="Arial" w:hAnsi="Arial" w:cs="Arial"/>
          <w:color w:val="000000" w:themeColor="text1"/>
          <w:sz w:val="18"/>
          <w:szCs w:val="18"/>
        </w:rPr>
        <w:footnoteRef/>
      </w:r>
      <w:r w:rsidRPr="00A9576E">
        <w:rPr>
          <w:rFonts w:ascii="Arial" w:hAnsi="Arial" w:cs="Arial"/>
          <w:color w:val="000000" w:themeColor="text1"/>
          <w:sz w:val="18"/>
          <w:szCs w:val="18"/>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5099F112" w14:textId="77777777" w:rsidR="00DE6178" w:rsidRPr="00A9576E" w:rsidRDefault="00DE6178" w:rsidP="00DE6178">
      <w:pPr>
        <w:pStyle w:val="Textonotapie"/>
        <w:ind w:firstLine="709"/>
        <w:jc w:val="both"/>
        <w:rPr>
          <w:rFonts w:ascii="Arial" w:hAnsi="Arial" w:cs="Arial"/>
          <w:color w:val="000000" w:themeColor="text1"/>
          <w:sz w:val="18"/>
          <w:szCs w:val="18"/>
        </w:rPr>
      </w:pPr>
    </w:p>
  </w:footnote>
  <w:footnote w:id="8">
    <w:p w14:paraId="3CC211BC" w14:textId="77777777" w:rsidR="00DE6178" w:rsidRPr="00A9576E" w:rsidRDefault="00DE6178" w:rsidP="00DE6178">
      <w:pPr>
        <w:ind w:firstLine="709"/>
        <w:jc w:val="both"/>
        <w:rPr>
          <w:rFonts w:ascii="Arial" w:hAnsi="Arial" w:cs="Arial"/>
          <w:color w:val="000000" w:themeColor="text1"/>
          <w:sz w:val="18"/>
          <w:szCs w:val="18"/>
          <w:lang w:val="es-ES"/>
        </w:rPr>
      </w:pPr>
      <w:r w:rsidRPr="00A9576E">
        <w:rPr>
          <w:rStyle w:val="Refdenotaalpie"/>
          <w:rFonts w:ascii="Arial" w:hAnsi="Arial" w:cs="Arial"/>
          <w:color w:val="000000" w:themeColor="text1"/>
          <w:sz w:val="18"/>
          <w:szCs w:val="18"/>
        </w:rPr>
        <w:footnoteRef/>
      </w:r>
      <w:r w:rsidRPr="00A9576E">
        <w:rPr>
          <w:rFonts w:ascii="Arial" w:hAnsi="Arial" w:cs="Arial"/>
          <w:color w:val="000000" w:themeColor="text1"/>
          <w:sz w:val="18"/>
          <w:szCs w:val="18"/>
        </w:rPr>
        <w:t xml:space="preserve"> </w:t>
      </w:r>
      <w:r w:rsidRPr="00A9576E">
        <w:rPr>
          <w:rFonts w:ascii="Arial" w:hAnsi="Arial" w:cs="Arial"/>
          <w:color w:val="000000" w:themeColor="text1"/>
          <w:sz w:val="18"/>
          <w:szCs w:val="18"/>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footnote>
  <w:footnote w:id="9">
    <w:p w14:paraId="7C2F3D19" w14:textId="77777777" w:rsidR="00DE6178" w:rsidRPr="00A9576E" w:rsidRDefault="00DE6178" w:rsidP="00DE6178">
      <w:pPr>
        <w:pStyle w:val="Textonotapie"/>
        <w:ind w:firstLine="709"/>
        <w:jc w:val="both"/>
        <w:rPr>
          <w:rFonts w:ascii="Arial" w:hAnsi="Arial" w:cs="Arial"/>
          <w:sz w:val="18"/>
          <w:szCs w:val="18"/>
        </w:rPr>
      </w:pPr>
      <w:r w:rsidRPr="00A9576E">
        <w:rPr>
          <w:rStyle w:val="Refdenotaalpie"/>
          <w:rFonts w:ascii="Arial" w:hAnsi="Arial" w:cs="Arial"/>
          <w:sz w:val="18"/>
          <w:szCs w:val="18"/>
        </w:rPr>
        <w:footnoteRef/>
      </w:r>
      <w:r w:rsidRPr="00A9576E">
        <w:rPr>
          <w:rFonts w:ascii="Arial" w:hAnsi="Arial" w:cs="Arial"/>
          <w:sz w:val="18"/>
          <w:szCs w:val="18"/>
        </w:rPr>
        <w:t xml:space="preserve"> La norma dispone que: «Cuando el objeto contractual incluya la interventoría a obras, bienes o servicios adicionales a la de obra pública de infraestructura de transporte, la entidad estatal deberá aplicar los documentos tipo. Si de manera excepcional requiere incluir experiencia adicional para evaluar la idoneidad respecto de la interventoría de obras, bienes o servicios adicionales a la obra pública de infraestructura de transporte, deberá seguir los siguientes parámetros:</w:t>
      </w:r>
    </w:p>
    <w:p w14:paraId="3B47E630" w14:textId="77777777" w:rsidR="00DE6178" w:rsidRPr="00A9576E" w:rsidRDefault="00DE6178" w:rsidP="00DE6178">
      <w:pPr>
        <w:pStyle w:val="Textonotapie"/>
        <w:ind w:firstLine="709"/>
        <w:jc w:val="both"/>
        <w:rPr>
          <w:rFonts w:ascii="Arial" w:hAnsi="Arial" w:cs="Arial"/>
          <w:sz w:val="18"/>
          <w:szCs w:val="18"/>
        </w:rPr>
      </w:pPr>
      <w:r w:rsidRPr="00A9576E">
        <w:rPr>
          <w:rFonts w:ascii="Arial" w:hAnsi="Arial" w:cs="Arial"/>
          <w:sz w:val="18"/>
          <w:szCs w:val="18"/>
        </w:rPr>
        <w:t>»1. Demostrar en los estudios previos que ha verificado las condiciones de mercado para la interventoría de las obras, bienes o servicios adicionales al componente de obra pública de infraestructura de transporte, de tal manera que la experiencia adicional que se exija para dicha interventoría procure la pluralidad de oferentes y no limite la concurrencia al proceso de contratación.</w:t>
      </w:r>
    </w:p>
    <w:p w14:paraId="50568DE3" w14:textId="77777777" w:rsidR="00DE6178" w:rsidRPr="00A9576E" w:rsidRDefault="00DE6178" w:rsidP="00DE6178">
      <w:pPr>
        <w:pStyle w:val="Textonotapie"/>
        <w:ind w:firstLine="709"/>
        <w:jc w:val="both"/>
        <w:rPr>
          <w:rFonts w:ascii="Arial" w:hAnsi="Arial" w:cs="Arial"/>
          <w:sz w:val="18"/>
          <w:szCs w:val="18"/>
        </w:rPr>
      </w:pPr>
      <w:r w:rsidRPr="00A9576E">
        <w:rPr>
          <w:rFonts w:ascii="Arial" w:hAnsi="Arial" w:cs="Arial"/>
          <w:sz w:val="18"/>
          <w:szCs w:val="18"/>
        </w:rPr>
        <w:t>»2. Conservar los requisitos exigidos en los documentos tipo.</w:t>
      </w:r>
    </w:p>
    <w:p w14:paraId="238E1E20" w14:textId="77777777" w:rsidR="00DE6178" w:rsidRPr="00A9576E" w:rsidRDefault="00DE6178" w:rsidP="00DE6178">
      <w:pPr>
        <w:pStyle w:val="Textonotapie"/>
        <w:ind w:firstLine="709"/>
        <w:jc w:val="both"/>
        <w:rPr>
          <w:rFonts w:ascii="Arial" w:hAnsi="Arial" w:cs="Arial"/>
          <w:sz w:val="18"/>
          <w:szCs w:val="18"/>
        </w:rPr>
      </w:pPr>
      <w:r w:rsidRPr="00A9576E">
        <w:rPr>
          <w:rFonts w:ascii="Arial" w:hAnsi="Arial" w:cs="Arial"/>
          <w:sz w:val="18"/>
          <w:szCs w:val="18"/>
        </w:rPr>
        <w:t>»3. Abstenerse de pedir experiencia exclusiva con entidades estatales, experiencia previa en un territorio especifico, limitada en el tiempo o que incluya volúmenes o cantidades de obra específica.</w:t>
      </w:r>
    </w:p>
    <w:p w14:paraId="1E26713E" w14:textId="77777777" w:rsidR="00DE6178" w:rsidRPr="00A9576E" w:rsidRDefault="00DE6178" w:rsidP="00DE6178">
      <w:pPr>
        <w:pStyle w:val="Textonotapie"/>
        <w:ind w:firstLine="709"/>
        <w:jc w:val="both"/>
        <w:rPr>
          <w:rFonts w:ascii="Arial" w:hAnsi="Arial" w:cs="Arial"/>
          <w:sz w:val="18"/>
          <w:szCs w:val="18"/>
        </w:rPr>
      </w:pPr>
      <w:r w:rsidRPr="00A9576E">
        <w:rPr>
          <w:rFonts w:ascii="Arial" w:hAnsi="Arial" w:cs="Arial"/>
          <w:sz w:val="18"/>
          <w:szCs w:val="18"/>
        </w:rPr>
        <w:t>»4. Clasificar la experiencia requerida solo hasta el tercer nivel del Clasificador de Bienes y Servicios e incluir exclusivamente los códigos que estén relacionados directamente con el objeto a contratar.</w:t>
      </w:r>
    </w:p>
  </w:footnote>
  <w:footnote w:id="10">
    <w:p w14:paraId="43D3132B" w14:textId="77777777" w:rsidR="00DE6178" w:rsidRPr="00A9576E" w:rsidRDefault="00DE6178" w:rsidP="00DE6178">
      <w:pPr>
        <w:pStyle w:val="Textonotapie"/>
        <w:rPr>
          <w:sz w:val="18"/>
          <w:szCs w:val="18"/>
        </w:rPr>
      </w:pPr>
    </w:p>
    <w:p w14:paraId="13932294" w14:textId="77777777" w:rsidR="00DE6178" w:rsidRPr="00A9576E" w:rsidRDefault="00DE6178" w:rsidP="00DE6178">
      <w:pPr>
        <w:pStyle w:val="Textonotapie"/>
        <w:ind w:firstLine="708"/>
        <w:jc w:val="both"/>
        <w:rPr>
          <w:rFonts w:ascii="Arial" w:hAnsi="Arial" w:cs="Arial"/>
          <w:sz w:val="18"/>
          <w:szCs w:val="18"/>
        </w:rPr>
      </w:pPr>
      <w:r w:rsidRPr="00A9576E">
        <w:rPr>
          <w:rStyle w:val="Refdenotaalpie"/>
          <w:rFonts w:ascii="Arial" w:hAnsi="Arial" w:cs="Arial"/>
          <w:sz w:val="18"/>
          <w:szCs w:val="18"/>
        </w:rPr>
        <w:footnoteRef/>
      </w:r>
      <w:r w:rsidRPr="00A9576E">
        <w:rPr>
          <w:rFonts w:ascii="Arial" w:hAnsi="Arial" w:cs="Arial"/>
          <w:sz w:val="18"/>
          <w:szCs w:val="18"/>
        </w:rPr>
        <w:t xml:space="preserve"> En estos casos deben seguirse los siguientes parámetros: </w:t>
      </w:r>
      <w:r w:rsidRPr="00B078CB">
        <w:rPr>
          <w:rFonts w:ascii="Arial" w:hAnsi="Arial" w:cs="Arial"/>
          <w:sz w:val="18"/>
          <w:szCs w:val="18"/>
        </w:rPr>
        <w:t xml:space="preserve">no obstante, se deberán seguir los siguientes parámetros: i) demostrar en los estudios previos que ha verificado las condiciones de mercado para la interventoría de los bienes o servicios adicionales al componente de obra pública, de tal manera que la experiencia adicional que se exija para dicha interventoría procure la pluralidad de oferentes y no limite la concurrencia de proponentes al proceso de contratación; </w:t>
      </w:r>
      <w:proofErr w:type="spellStart"/>
      <w:r w:rsidRPr="00B078CB">
        <w:rPr>
          <w:rFonts w:ascii="Arial" w:hAnsi="Arial" w:cs="Arial"/>
          <w:sz w:val="18"/>
          <w:szCs w:val="18"/>
        </w:rPr>
        <w:t>ii</w:t>
      </w:r>
      <w:proofErr w:type="spellEnd"/>
      <w:r w:rsidRPr="00B078CB">
        <w:rPr>
          <w:rFonts w:ascii="Arial" w:hAnsi="Arial" w:cs="Arial"/>
          <w:sz w:val="18"/>
          <w:szCs w:val="18"/>
        </w:rPr>
        <w:t xml:space="preserve">) conservar los requisitos exigidos en los documentos tipo; </w:t>
      </w:r>
      <w:proofErr w:type="spellStart"/>
      <w:r w:rsidRPr="00B078CB">
        <w:rPr>
          <w:rFonts w:ascii="Arial" w:hAnsi="Arial" w:cs="Arial"/>
          <w:sz w:val="18"/>
          <w:szCs w:val="18"/>
        </w:rPr>
        <w:t>iii</w:t>
      </w:r>
      <w:proofErr w:type="spellEnd"/>
      <w:r w:rsidRPr="00B078CB">
        <w:rPr>
          <w:rFonts w:ascii="Arial" w:hAnsi="Arial" w:cs="Arial"/>
          <w:sz w:val="18"/>
          <w:szCs w:val="18"/>
        </w:rPr>
        <w:t xml:space="preserve">) abstenerse de pedir experiencia exclusiva con entidades estatales, experiencia previa en un territorio específico, limitada en el tiempo o que incluya volúmenes o cantidades de obra específica; </w:t>
      </w:r>
      <w:proofErr w:type="spellStart"/>
      <w:r w:rsidRPr="00B078CB">
        <w:rPr>
          <w:rFonts w:ascii="Arial" w:hAnsi="Arial" w:cs="Arial"/>
          <w:sz w:val="18"/>
          <w:szCs w:val="18"/>
        </w:rPr>
        <w:t>iv</w:t>
      </w:r>
      <w:proofErr w:type="spellEnd"/>
      <w:r w:rsidRPr="00B078CB">
        <w:rPr>
          <w:rFonts w:ascii="Arial" w:hAnsi="Arial" w:cs="Arial"/>
          <w:sz w:val="18"/>
          <w:szCs w:val="18"/>
        </w:rPr>
        <w:t>) clasificar la experiencia requerida solo hasta el tercer nivel del Clasificador de Bienes y Servicios e incluir exclusivamente los códigos que estén relacionados directamente con el objeto a contratar.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45F6" w14:textId="77777777" w:rsidR="008F4163" w:rsidRDefault="0021105B">
    <w:pPr>
      <w:pStyle w:val="Encabezado"/>
    </w:pPr>
    <w:r>
      <w:rPr>
        <w:noProof/>
        <w:lang w:val="es-CO" w:eastAsia="es-CO"/>
      </w:rPr>
      <w:drawing>
        <wp:anchor distT="0" distB="0" distL="114300" distR="114300" simplePos="0" relativeHeight="251659264" behindDoc="1" locked="0" layoutInCell="1" allowOverlap="1" wp14:anchorId="30AF49FE" wp14:editId="4FB65DBA">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78"/>
    <w:rsid w:val="0021105B"/>
    <w:rsid w:val="003B38BD"/>
    <w:rsid w:val="00DE61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A0D2"/>
  <w15:chartTrackingRefBased/>
  <w15:docId w15:val="{6B5FA593-9718-4AA6-AC04-4E047D09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178"/>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E617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DE6178"/>
    <w:rPr>
      <w:sz w:val="24"/>
      <w:lang w:val="es-MX"/>
    </w:rPr>
  </w:style>
  <w:style w:type="paragraph" w:styleId="Encabezado">
    <w:name w:val="header"/>
    <w:basedOn w:val="Normal"/>
    <w:link w:val="EncabezadoCar"/>
    <w:uiPriority w:val="99"/>
    <w:unhideWhenUsed/>
    <w:rsid w:val="00DE6178"/>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DE6178"/>
    <w:rPr>
      <w:sz w:val="24"/>
      <w:lang w:val="es-MX"/>
    </w:rPr>
  </w:style>
  <w:style w:type="table" w:styleId="Tablaconcuadrcula">
    <w:name w:val="Table Grid"/>
    <w:basedOn w:val="Tablanormal"/>
    <w:uiPriority w:val="59"/>
    <w:rsid w:val="00DE6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DE6178"/>
    <w:pPr>
      <w:ind w:left="720"/>
      <w:contextualSpacing/>
    </w:pPr>
    <w:rPr>
      <w:rFonts w:asciiTheme="minorHAnsi" w:eastAsiaTheme="minorHAnsi" w:hAnsiTheme="minorHAnsi" w:cstheme="minorBidi"/>
      <w:szCs w:val="22"/>
      <w:lang w:val="es-MX" w:eastAsia="en-US"/>
    </w:rPr>
  </w:style>
  <w:style w:type="paragraph" w:styleId="NormalWeb">
    <w:name w:val="Normal (Web)"/>
    <w:basedOn w:val="Normal"/>
    <w:link w:val="NormalWebCar"/>
    <w:uiPriority w:val="99"/>
    <w:unhideWhenUsed/>
    <w:rsid w:val="00DE6178"/>
    <w:pPr>
      <w:spacing w:before="100" w:beforeAutospacing="1" w:after="100" w:afterAutospacing="1"/>
    </w:pPr>
    <w:rPr>
      <w:lang w:eastAsia="es-CO"/>
    </w:rPr>
  </w:style>
  <w:style w:type="paragraph" w:styleId="Sinespaciado">
    <w:name w:val="No Spacing"/>
    <w:aliases w:val="No Indent"/>
    <w:uiPriority w:val="3"/>
    <w:qFormat/>
    <w:rsid w:val="00DE6178"/>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E617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E6178"/>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DE6178"/>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E6178"/>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DE6178"/>
    <w:rPr>
      <w:vertAlign w:val="superscript"/>
    </w:rPr>
  </w:style>
  <w:style w:type="paragraph" w:customStyle="1" w:styleId="Default">
    <w:name w:val="Default"/>
    <w:rsid w:val="00DE6178"/>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DE6178"/>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DE6178"/>
    <w:rPr>
      <w:rFonts w:ascii="Times New Roman" w:eastAsia="Times New Roman" w:hAnsi="Times New Roman" w:cs="Times New Roman"/>
      <w:sz w:val="24"/>
      <w:szCs w:val="24"/>
      <w:lang w:eastAsia="es-CO"/>
    </w:rPr>
  </w:style>
  <w:style w:type="paragraph" w:customStyle="1" w:styleId="Normal11pt">
    <w:name w:val="Normal + 11 pt"/>
    <w:aliases w:val="Negro,Justificado,Izquierda:  -0,95 cm,Derecha:  0,04 cm"/>
    <w:basedOn w:val="Normal"/>
    <w:uiPriority w:val="99"/>
    <w:rsid w:val="00DE6178"/>
    <w:pPr>
      <w:ind w:left="-540"/>
      <w:jc w:val="both"/>
    </w:pPr>
    <w:rPr>
      <w:rFonts w:ascii="Arial" w:hAnsi="Arial" w:cs="Arial"/>
      <w:color w:val="000000"/>
      <w:sz w:val="22"/>
      <w:szCs w:val="22"/>
      <w:lang w:val="es-ES_tradnl" w:eastAsia="es-ES"/>
    </w:rPr>
  </w:style>
  <w:style w:type="character" w:customStyle="1" w:styleId="apple-converted-space">
    <w:name w:val="apple-converted-space"/>
    <w:basedOn w:val="Fuentedeprrafopredeter"/>
    <w:rsid w:val="00DE6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9BFCD80-B1D4-46F0-B216-07E9A9249E58}"/>
</file>

<file path=customXml/itemProps2.xml><?xml version="1.0" encoding="utf-8"?>
<ds:datastoreItem xmlns:ds="http://schemas.openxmlformats.org/officeDocument/2006/customXml" ds:itemID="{D70DD746-6466-4B2D-B8E0-D9F3664AA440}"/>
</file>

<file path=customXml/itemProps3.xml><?xml version="1.0" encoding="utf-8"?>
<ds:datastoreItem xmlns:ds="http://schemas.openxmlformats.org/officeDocument/2006/customXml" ds:itemID="{0B09C7A9-42EE-4026-B238-3AB85930545D}"/>
</file>

<file path=docProps/app.xml><?xml version="1.0" encoding="utf-8"?>
<Properties xmlns="http://schemas.openxmlformats.org/officeDocument/2006/extended-properties" xmlns:vt="http://schemas.openxmlformats.org/officeDocument/2006/docPropsVTypes">
  <Template>Normal</Template>
  <TotalTime>5</TotalTime>
  <Pages>13</Pages>
  <Words>4835</Words>
  <Characters>26594</Characters>
  <Application>Microsoft Office Word</Application>
  <DocSecurity>0</DocSecurity>
  <Lines>221</Lines>
  <Paragraphs>62</Paragraphs>
  <ScaleCrop>false</ScaleCrop>
  <Company/>
  <LinksUpToDate>false</LinksUpToDate>
  <CharactersWithSpaces>31367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Kevin Arlid Herrera Santa</cp:lastModifiedBy>
  <cp:revision>2</cp:revision>
  <dcterms:created xsi:type="dcterms:W3CDTF">2021-11-23T21:06:00Z</dcterms:created>
  <dcterms:modified xsi:type="dcterms:W3CDTF">2021-11-23T21:11:00Z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