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B9D7" w14:textId="5B2A5E76" w:rsidR="0094115C" w:rsidRDefault="0094115C" w:rsidP="00AA7A60">
      <w:pPr>
        <w:jc w:val="right"/>
        <w:rPr>
          <w:rFonts w:ascii="Arial" w:hAnsi="Arial" w:cs="Arial"/>
          <w:b/>
          <w:color w:val="000000" w:themeColor="text1"/>
          <w:sz w:val="16"/>
          <w:szCs w:val="16"/>
          <w:lang w:val="es-ES_tradnl" w:eastAsia="es-ES"/>
        </w:rPr>
      </w:pPr>
      <w:bookmarkStart w:id="0" w:name="_Hlk28946138"/>
      <w:bookmarkStart w:id="1" w:name="_Hlk29548183"/>
      <w:r w:rsidRPr="0094115C">
        <w:rPr>
          <w:rFonts w:ascii="Arial" w:hAnsi="Arial" w:cs="Arial"/>
          <w:b/>
          <w:noProof/>
          <w:color w:val="000000" w:themeColor="text1"/>
          <w:sz w:val="16"/>
          <w:szCs w:val="16"/>
          <w:lang w:val="es-ES_tradnl" w:eastAsia="es-ES"/>
        </w:rPr>
        <w:drawing>
          <wp:inline distT="0" distB="0" distL="0" distR="0" wp14:anchorId="0FF83C8C" wp14:editId="3C965097">
            <wp:extent cx="2075180" cy="815975"/>
            <wp:effectExtent l="0" t="0" r="127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5180" cy="815975"/>
                    </a:xfrm>
                    <a:prstGeom prst="rect">
                      <a:avLst/>
                    </a:prstGeom>
                    <a:noFill/>
                    <a:ln>
                      <a:noFill/>
                    </a:ln>
                  </pic:spPr>
                </pic:pic>
              </a:graphicData>
            </a:graphic>
          </wp:inline>
        </w:drawing>
      </w:r>
    </w:p>
    <w:p w14:paraId="723CF8B8" w14:textId="77777777" w:rsidR="0094115C" w:rsidRDefault="0094115C" w:rsidP="00AA7A60">
      <w:pPr>
        <w:jc w:val="right"/>
        <w:rPr>
          <w:rFonts w:ascii="Arial" w:hAnsi="Arial" w:cs="Arial"/>
          <w:b/>
          <w:color w:val="000000" w:themeColor="text1"/>
          <w:sz w:val="16"/>
          <w:szCs w:val="16"/>
          <w:lang w:val="es-ES_tradnl" w:eastAsia="es-ES"/>
        </w:rPr>
      </w:pPr>
    </w:p>
    <w:p w14:paraId="3B60FF6F" w14:textId="77777777" w:rsidR="0094115C" w:rsidRDefault="0094115C" w:rsidP="00AA7A60">
      <w:pPr>
        <w:jc w:val="right"/>
        <w:rPr>
          <w:rFonts w:ascii="Arial" w:hAnsi="Arial" w:cs="Arial"/>
          <w:b/>
          <w:color w:val="000000" w:themeColor="text1"/>
          <w:sz w:val="16"/>
          <w:szCs w:val="16"/>
          <w:lang w:val="es-ES_tradnl" w:eastAsia="es-ES"/>
        </w:rPr>
      </w:pPr>
    </w:p>
    <w:p w14:paraId="5234B913" w14:textId="77777777" w:rsidR="0094115C" w:rsidRDefault="0094115C" w:rsidP="00AA7A60">
      <w:pPr>
        <w:jc w:val="right"/>
        <w:rPr>
          <w:rFonts w:ascii="Arial" w:hAnsi="Arial" w:cs="Arial"/>
          <w:b/>
          <w:color w:val="000000" w:themeColor="text1"/>
          <w:sz w:val="16"/>
          <w:szCs w:val="16"/>
          <w:lang w:val="es-ES_tradnl" w:eastAsia="es-ES"/>
        </w:rPr>
      </w:pPr>
    </w:p>
    <w:p w14:paraId="40EA575F" w14:textId="13342323" w:rsidR="00DD5B04" w:rsidRPr="008C036D" w:rsidRDefault="002411DE" w:rsidP="00AA7A60">
      <w:pPr>
        <w:jc w:val="right"/>
        <w:rPr>
          <w:rFonts w:ascii="Arial" w:eastAsia="Calibri" w:hAnsi="Arial" w:cs="Arial"/>
          <w:b/>
          <w:color w:val="000000" w:themeColor="text1"/>
          <w:sz w:val="20"/>
          <w:szCs w:val="20"/>
          <w:lang w:val="es-ES_tradnl"/>
        </w:rPr>
      </w:pPr>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FF10AF">
      <w:pPr>
        <w:jc w:val="both"/>
        <w:rPr>
          <w:rFonts w:ascii="Arial" w:eastAsia="Calibri" w:hAnsi="Arial" w:cs="Arial"/>
          <w:b/>
          <w:bCs/>
          <w:color w:val="000000" w:themeColor="text1"/>
          <w:sz w:val="22"/>
          <w:lang w:val="es-ES_tradnl"/>
        </w:rPr>
      </w:pPr>
    </w:p>
    <w:p w14:paraId="3E69AA90" w14:textId="7DC971D7" w:rsidR="00772972" w:rsidRDefault="0094115C" w:rsidP="00FF10AF">
      <w:pPr>
        <w:jc w:val="both"/>
        <w:rPr>
          <w:rFonts w:ascii="Arial" w:eastAsia="Calibri" w:hAnsi="Arial" w:cs="Arial"/>
          <w:color w:val="000000" w:themeColor="text1"/>
          <w:sz w:val="20"/>
          <w:szCs w:val="20"/>
          <w:lang w:val="es-ES_tradnl" w:eastAsia="en-US"/>
        </w:rPr>
      </w:pPr>
      <w:r>
        <w:rPr>
          <w:rFonts w:ascii="Arial" w:eastAsia="Calibri" w:hAnsi="Arial" w:cs="Arial"/>
          <w:color w:val="000000" w:themeColor="text1"/>
          <w:sz w:val="20"/>
          <w:szCs w:val="20"/>
          <w:lang w:val="es-ES_tradnl" w:eastAsia="en-US"/>
        </w:rPr>
        <w:t>Bogotá D.C. 22/03/2022</w:t>
      </w:r>
    </w:p>
    <w:p w14:paraId="342152DF" w14:textId="7D7501F6" w:rsidR="0094115C" w:rsidRDefault="0094115C" w:rsidP="00FF10AF">
      <w:pPr>
        <w:jc w:val="both"/>
        <w:rPr>
          <w:rFonts w:ascii="Arial" w:eastAsia="Calibri" w:hAnsi="Arial" w:cs="Arial"/>
          <w:color w:val="000000" w:themeColor="text1"/>
          <w:sz w:val="20"/>
          <w:szCs w:val="20"/>
          <w:lang w:val="es-ES_tradnl" w:eastAsia="en-US"/>
        </w:rPr>
      </w:pPr>
    </w:p>
    <w:p w14:paraId="0CD9291D" w14:textId="77777777" w:rsidR="0094115C" w:rsidRDefault="0094115C" w:rsidP="00FF10AF">
      <w:pPr>
        <w:jc w:val="both"/>
        <w:rPr>
          <w:rFonts w:ascii="Arial" w:eastAsia="Calibri" w:hAnsi="Arial" w:cs="Arial"/>
          <w:color w:val="000000" w:themeColor="text1"/>
          <w:sz w:val="20"/>
          <w:szCs w:val="20"/>
          <w:lang w:val="es-ES_tradnl" w:eastAsia="en-US"/>
        </w:rPr>
      </w:pPr>
    </w:p>
    <w:p w14:paraId="4C6C80B8" w14:textId="77777777" w:rsidR="00772972" w:rsidRPr="00F830B8" w:rsidRDefault="00772972" w:rsidP="00772972">
      <w:pPr>
        <w:jc w:val="both"/>
        <w:rPr>
          <w:rFonts w:ascii="Arial" w:eastAsia="Calibri" w:hAnsi="Arial" w:cs="Arial"/>
          <w:b/>
          <w:bCs/>
          <w:sz w:val="22"/>
          <w:szCs w:val="22"/>
        </w:rPr>
      </w:pPr>
      <w:r w:rsidRPr="00F830B8">
        <w:rPr>
          <w:rFonts w:ascii="Arial" w:eastAsia="Calibri" w:hAnsi="Arial" w:cs="Arial"/>
          <w:b/>
          <w:bCs/>
          <w:sz w:val="22"/>
          <w:szCs w:val="22"/>
        </w:rPr>
        <w:t>CAPACIDAD RESIDUAL – Definición</w:t>
      </w:r>
    </w:p>
    <w:p w14:paraId="7992EF74" w14:textId="77777777" w:rsidR="00772972" w:rsidRPr="00F830B8" w:rsidRDefault="00772972" w:rsidP="00772972">
      <w:pPr>
        <w:jc w:val="both"/>
        <w:rPr>
          <w:rFonts w:ascii="Arial" w:eastAsia="Calibri" w:hAnsi="Arial" w:cs="Arial"/>
          <w:b/>
          <w:sz w:val="20"/>
          <w:szCs w:val="20"/>
        </w:rPr>
      </w:pPr>
    </w:p>
    <w:p w14:paraId="14F930DA" w14:textId="77777777" w:rsidR="00772972" w:rsidRPr="00772972" w:rsidRDefault="00772972" w:rsidP="00772972">
      <w:pPr>
        <w:jc w:val="both"/>
        <w:rPr>
          <w:rFonts w:ascii="Arial" w:eastAsia="Calibri" w:hAnsi="Arial" w:cs="Arial"/>
          <w:bCs/>
          <w:sz w:val="20"/>
          <w:szCs w:val="20"/>
        </w:rPr>
      </w:pPr>
      <w:r w:rsidRPr="00F830B8">
        <w:rPr>
          <w:rFonts w:ascii="Arial" w:eastAsia="Calibri" w:hAnsi="Arial" w:cs="Arial"/>
          <w:bCs/>
          <w:sz w:val="20"/>
          <w:szCs w:val="20"/>
        </w:rPr>
        <w:t>La capacidad residual es una aptitud de los oferentes que tiene por finalidad cumplir de manera oportuna y a cabalidad el objeto de un contrato de obra, esto sin que los demás compromisos contractuales que ha adquirido afecten la habilidad de cumplir el objeto del contrato que está en proceso de selección. El Consejo de Estado la ha definido como «la diferencia que existe entre el potencial de contratación que se tiene y los compromisos que haya adquirido y que se encuentren en ejecución, para la fecha de presentación de la oferta». En atención a lo anterior, la capacidad residual hace referencia a la suficiencia que tiene el proponente para asumir nuevas obligaciones que se derivan del contrato objeto del proceso de contratación en relación con las obligaciones que ya ha adquirido simultáneamente.</w:t>
      </w:r>
    </w:p>
    <w:p w14:paraId="58C31E03" w14:textId="77777777" w:rsidR="00AD484C" w:rsidRPr="00AD484C" w:rsidRDefault="00AD484C" w:rsidP="00FF10AF">
      <w:pPr>
        <w:jc w:val="both"/>
        <w:rPr>
          <w:rFonts w:ascii="Arial" w:eastAsia="Calibri" w:hAnsi="Arial" w:cs="Arial"/>
          <w:color w:val="000000" w:themeColor="text1"/>
          <w:sz w:val="20"/>
          <w:szCs w:val="20"/>
          <w:lang w:val="es-ES" w:eastAsia="en-US"/>
        </w:rPr>
      </w:pPr>
    </w:p>
    <w:p w14:paraId="20BF08B9" w14:textId="77777777" w:rsidR="00772972" w:rsidRPr="00F830B8" w:rsidRDefault="00772972" w:rsidP="00772972">
      <w:pPr>
        <w:jc w:val="both"/>
        <w:rPr>
          <w:rFonts w:ascii="Arial" w:eastAsia="Calibri" w:hAnsi="Arial" w:cs="Arial"/>
          <w:b/>
          <w:sz w:val="22"/>
        </w:rPr>
      </w:pPr>
      <w:r w:rsidRPr="00F830B8">
        <w:rPr>
          <w:rFonts w:ascii="Arial" w:eastAsia="Calibri" w:hAnsi="Arial" w:cs="Arial"/>
          <w:b/>
          <w:sz w:val="22"/>
        </w:rPr>
        <w:t>CAPACIDAD RESIDUAL – Cálculo – Factores</w:t>
      </w:r>
    </w:p>
    <w:p w14:paraId="5BBE5641" w14:textId="77777777" w:rsidR="00772972" w:rsidRPr="00F830B8" w:rsidRDefault="00772972" w:rsidP="00772972">
      <w:pPr>
        <w:jc w:val="both"/>
        <w:rPr>
          <w:rFonts w:ascii="Arial" w:eastAsia="Calibri" w:hAnsi="Arial" w:cs="Arial"/>
          <w:b/>
          <w:sz w:val="20"/>
          <w:szCs w:val="20"/>
        </w:rPr>
      </w:pPr>
    </w:p>
    <w:p w14:paraId="2FFFEC88" w14:textId="77777777" w:rsidR="00772972" w:rsidRPr="00F830B8" w:rsidRDefault="00772972" w:rsidP="00772972">
      <w:pPr>
        <w:spacing w:after="120"/>
        <w:jc w:val="both"/>
        <w:rPr>
          <w:rFonts w:ascii="Arial" w:eastAsia="Calibri" w:hAnsi="Arial" w:cs="Arial"/>
          <w:bCs/>
          <w:sz w:val="20"/>
          <w:szCs w:val="20"/>
        </w:rPr>
      </w:pPr>
      <w:r w:rsidRPr="00F830B8">
        <w:rPr>
          <w:rFonts w:ascii="Arial" w:eastAsia="Calibri" w:hAnsi="Arial" w:cs="Arial"/>
          <w:bCs/>
          <w:sz w:val="20"/>
          <w:szCs w:val="20"/>
        </w:rPr>
        <w:t>La Ley 1150 de 2007 establece que la capacidad residual de los interesados en participar en procesos de selección para contratos de obra deberá ser igual o superior al que la entidad ha establecido en los pliegos de condiciones […].El artículo 2.2.1.1.1.6.3 del Decreto 1082 de 2015 estableció que las entidades estatales deberán calcular la capacidad residual conforme a la metodología definida por la Agencia Nacional de Contratación Pública – Colombia Compra Eficiente y precisó que para ello se debían tener en cuenta los factores de experiencia, capacidad financiera, capacidad técnica, capacidad de organización y los saldos de los contratos en ejecución.</w:t>
      </w:r>
    </w:p>
    <w:p w14:paraId="0821ECFC" w14:textId="77777777" w:rsidR="00772972" w:rsidRPr="00772972" w:rsidRDefault="00772972" w:rsidP="00772972">
      <w:pPr>
        <w:spacing w:after="120"/>
        <w:jc w:val="both"/>
        <w:rPr>
          <w:rFonts w:ascii="Arial" w:eastAsia="Calibri" w:hAnsi="Arial" w:cs="Arial"/>
          <w:bCs/>
          <w:sz w:val="20"/>
          <w:szCs w:val="20"/>
        </w:rPr>
      </w:pPr>
      <w:r w:rsidRPr="00F830B8">
        <w:rPr>
          <w:rFonts w:ascii="Arial" w:eastAsia="Calibri" w:hAnsi="Arial" w:cs="Arial"/>
          <w:bCs/>
          <w:sz w:val="20"/>
          <w:szCs w:val="20"/>
        </w:rPr>
        <w:t>De conformidad con lo anterior, la Agencia Nacional de Contratación Pública – Colombia Compra Eficiente expidió la Guía para Determinar y Verificar la Capacidad Residual del Proponente en los Procesos de Contratación de Obra Pública. […] La Agencia Nacional de Contratación Pública estableció como fórmula que las entidades estatales calculen la experiencia conforme a los cinco factores que deben ser tenidos en cuenta, así: Capacidad Residual del Proponente= Co*[(E+CT+CF) / 100] - SCE […] Conforme a lo anterior, es la entidad estatal quien debe calcular la capacidad residual, pero el proponente tiene como carga aportar los documentos para acreditar su capacidad residual.</w:t>
      </w:r>
    </w:p>
    <w:p w14:paraId="188D2F47" w14:textId="77777777" w:rsidR="00772972" w:rsidRPr="00772972" w:rsidRDefault="00772972" w:rsidP="00772972">
      <w:pPr>
        <w:jc w:val="both"/>
        <w:rPr>
          <w:rFonts w:ascii="Arial" w:eastAsia="Calibri" w:hAnsi="Arial" w:cs="Arial"/>
          <w:bCs/>
          <w:sz w:val="20"/>
          <w:szCs w:val="20"/>
        </w:rPr>
      </w:pPr>
    </w:p>
    <w:p w14:paraId="7B5B8551" w14:textId="77777777" w:rsidR="00772972" w:rsidRPr="00772972" w:rsidRDefault="00772972" w:rsidP="00772972">
      <w:pPr>
        <w:jc w:val="both"/>
        <w:rPr>
          <w:rFonts w:ascii="Arial" w:eastAsia="Calibri" w:hAnsi="Arial" w:cs="Arial"/>
          <w:b/>
          <w:bCs/>
          <w:sz w:val="22"/>
          <w:szCs w:val="22"/>
        </w:rPr>
      </w:pPr>
      <w:r w:rsidRPr="00772972">
        <w:rPr>
          <w:rFonts w:ascii="Arial" w:eastAsia="Calibri" w:hAnsi="Arial" w:cs="Arial"/>
          <w:b/>
          <w:bCs/>
          <w:sz w:val="22"/>
          <w:szCs w:val="22"/>
        </w:rPr>
        <w:t>CAPACIDAD RESIDUAL – Cálculo – Factores – Contratos de obra</w:t>
      </w:r>
    </w:p>
    <w:p w14:paraId="01165C0E" w14:textId="77777777" w:rsidR="00772972" w:rsidRPr="00772972" w:rsidRDefault="00772972" w:rsidP="00772972">
      <w:pPr>
        <w:jc w:val="both"/>
        <w:rPr>
          <w:rFonts w:ascii="Arial" w:eastAsia="Calibri" w:hAnsi="Arial" w:cs="Arial"/>
          <w:b/>
          <w:sz w:val="20"/>
          <w:szCs w:val="20"/>
        </w:rPr>
      </w:pPr>
    </w:p>
    <w:p w14:paraId="51D640A7" w14:textId="77777777" w:rsidR="00772972" w:rsidRPr="00772972" w:rsidRDefault="00772972" w:rsidP="00772972">
      <w:pPr>
        <w:jc w:val="both"/>
        <w:rPr>
          <w:rFonts w:ascii="Arial" w:eastAsia="Calibri" w:hAnsi="Arial" w:cs="Arial"/>
          <w:bCs/>
          <w:sz w:val="20"/>
          <w:szCs w:val="20"/>
        </w:rPr>
      </w:pPr>
      <w:r w:rsidRPr="00772972">
        <w:rPr>
          <w:rFonts w:ascii="Arial" w:eastAsia="Calibri" w:hAnsi="Arial" w:cs="Arial"/>
          <w:bCs/>
          <w:sz w:val="20"/>
          <w:szCs w:val="20"/>
        </w:rPr>
        <w:t xml:space="preserve">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w:t>
      </w:r>
      <w:r w:rsidRPr="00772972">
        <w:rPr>
          <w:rFonts w:ascii="Arial" w:eastAsia="Calibri" w:hAnsi="Arial" w:cs="Arial"/>
          <w:bCs/>
          <w:sz w:val="20"/>
          <w:szCs w:val="20"/>
        </w:rPr>
        <w:lastRenderedPageBreak/>
        <w:t>según se lee en la misma disposición, «[…] se deberá calcular mediante la evaluación de los siguientes factores: Experiencia (E), Capacidad Financiera (CF), Capacidad Técnica (CT), y Capacidad de Organización (CO)».</w:t>
      </w:r>
    </w:p>
    <w:p w14:paraId="237B3005" w14:textId="77777777" w:rsidR="00772972" w:rsidRPr="00772972" w:rsidRDefault="00772972" w:rsidP="00772972">
      <w:pPr>
        <w:jc w:val="both"/>
        <w:rPr>
          <w:rFonts w:ascii="Arial" w:eastAsia="Calibri" w:hAnsi="Arial" w:cs="Arial"/>
          <w:bCs/>
          <w:sz w:val="20"/>
          <w:szCs w:val="20"/>
        </w:rPr>
      </w:pPr>
    </w:p>
    <w:p w14:paraId="47EDFD98" w14:textId="77777777" w:rsidR="00772972" w:rsidRPr="00772972" w:rsidRDefault="00772972" w:rsidP="00772972">
      <w:pPr>
        <w:jc w:val="both"/>
        <w:rPr>
          <w:rFonts w:ascii="Arial" w:eastAsia="Calibri" w:hAnsi="Arial" w:cs="Arial"/>
          <w:b/>
          <w:bCs/>
          <w:sz w:val="22"/>
          <w:szCs w:val="22"/>
        </w:rPr>
      </w:pPr>
      <w:r w:rsidRPr="00772972">
        <w:rPr>
          <w:rFonts w:ascii="Arial" w:eastAsia="Calibri" w:hAnsi="Arial" w:cs="Arial"/>
          <w:b/>
          <w:bCs/>
          <w:sz w:val="22"/>
          <w:szCs w:val="22"/>
        </w:rPr>
        <w:t>CAPACIDAD RESIDUAL – Carga – Entidades públicas</w:t>
      </w:r>
    </w:p>
    <w:p w14:paraId="10267887" w14:textId="77777777" w:rsidR="00772972" w:rsidRPr="00772972" w:rsidRDefault="00772972" w:rsidP="00772972">
      <w:pPr>
        <w:jc w:val="both"/>
        <w:rPr>
          <w:rFonts w:ascii="Arial" w:eastAsia="Calibri" w:hAnsi="Arial" w:cs="Arial"/>
          <w:b/>
          <w:sz w:val="20"/>
          <w:szCs w:val="20"/>
        </w:rPr>
      </w:pPr>
    </w:p>
    <w:p w14:paraId="2EEA9162" w14:textId="77777777" w:rsidR="00772972" w:rsidRPr="00772972" w:rsidRDefault="00772972" w:rsidP="00772972">
      <w:pPr>
        <w:jc w:val="both"/>
        <w:rPr>
          <w:rFonts w:ascii="Arial" w:eastAsia="Calibri" w:hAnsi="Arial" w:cs="Arial"/>
          <w:bCs/>
          <w:sz w:val="19"/>
          <w:szCs w:val="19"/>
        </w:rPr>
      </w:pPr>
      <w:r w:rsidRPr="00772972">
        <w:rPr>
          <w:rFonts w:ascii="Arial" w:eastAsia="Calibri" w:hAnsi="Arial" w:cs="Arial"/>
          <w:bCs/>
          <w:sz w:val="20"/>
          <w:szCs w:val="20"/>
        </w:rPr>
        <w:t>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w:t>
      </w:r>
      <w:r w:rsidRPr="00772972">
        <w:rPr>
          <w:rFonts w:ascii="Arial" w:eastAsia="Calibri" w:hAnsi="Arial" w:cs="Arial"/>
          <w:bCs/>
          <w:sz w:val="19"/>
          <w:szCs w:val="19"/>
        </w:rPr>
        <w:t>.</w:t>
      </w:r>
    </w:p>
    <w:p w14:paraId="77D83B3C" w14:textId="77777777" w:rsidR="00772972" w:rsidRPr="00772972" w:rsidRDefault="00772972" w:rsidP="00772972">
      <w:pPr>
        <w:jc w:val="both"/>
        <w:rPr>
          <w:rFonts w:ascii="Arial" w:eastAsia="Calibri" w:hAnsi="Arial" w:cs="Arial"/>
          <w:bCs/>
          <w:sz w:val="20"/>
          <w:szCs w:val="20"/>
        </w:rPr>
      </w:pPr>
    </w:p>
    <w:p w14:paraId="3D655672" w14:textId="77777777" w:rsidR="00772972" w:rsidRPr="00772972" w:rsidRDefault="00772972" w:rsidP="00772972">
      <w:pPr>
        <w:jc w:val="both"/>
        <w:rPr>
          <w:rFonts w:ascii="Arial" w:eastAsia="Calibri" w:hAnsi="Arial" w:cs="Arial"/>
          <w:bCs/>
          <w:sz w:val="20"/>
          <w:szCs w:val="20"/>
        </w:rPr>
      </w:pPr>
    </w:p>
    <w:p w14:paraId="73B231BF" w14:textId="77777777" w:rsidR="00772972" w:rsidRPr="00772972" w:rsidRDefault="00772972" w:rsidP="00772972">
      <w:pPr>
        <w:autoSpaceDE w:val="0"/>
        <w:autoSpaceDN w:val="0"/>
        <w:adjustRightInd w:val="0"/>
        <w:jc w:val="both"/>
        <w:rPr>
          <w:rFonts w:ascii="Arial" w:eastAsia="Calibri" w:hAnsi="Arial" w:cs="Arial"/>
          <w:b/>
          <w:bCs/>
          <w:sz w:val="22"/>
          <w:szCs w:val="22"/>
        </w:rPr>
      </w:pPr>
      <w:r w:rsidRPr="00772972">
        <w:rPr>
          <w:rFonts w:ascii="Arial" w:eastAsia="Calibri" w:hAnsi="Arial" w:cs="Arial"/>
          <w:b/>
          <w:bCs/>
          <w:sz w:val="22"/>
          <w:szCs w:val="22"/>
        </w:rPr>
        <w:t xml:space="preserve">CAPACIDAD RESIDUAL – Proponente – Saldos – Contratos en Ejecución </w:t>
      </w:r>
    </w:p>
    <w:p w14:paraId="162B6087" w14:textId="77777777" w:rsidR="00772972" w:rsidRPr="00772972" w:rsidRDefault="00772972" w:rsidP="00772972">
      <w:pPr>
        <w:autoSpaceDE w:val="0"/>
        <w:autoSpaceDN w:val="0"/>
        <w:adjustRightInd w:val="0"/>
        <w:jc w:val="both"/>
        <w:rPr>
          <w:rFonts w:ascii="Arial" w:eastAsia="Calibri" w:hAnsi="Arial" w:cs="Arial"/>
          <w:b/>
          <w:sz w:val="22"/>
        </w:rPr>
      </w:pPr>
    </w:p>
    <w:p w14:paraId="1922E380" w14:textId="77777777" w:rsidR="00772972" w:rsidRPr="00772972" w:rsidRDefault="00772972" w:rsidP="00772972">
      <w:pPr>
        <w:jc w:val="both"/>
        <w:rPr>
          <w:rFonts w:ascii="Arial" w:hAnsi="Arial" w:cs="Arial"/>
          <w:sz w:val="20"/>
          <w:szCs w:val="20"/>
        </w:rPr>
      </w:pPr>
      <w:r w:rsidRPr="00772972">
        <w:rPr>
          <w:rFonts w:ascii="Arial" w:eastAsia="Arial," w:hAnsi="Arial" w:cs="Arial"/>
          <w:sz w:val="20"/>
          <w:szCs w:val="20"/>
        </w:rPr>
        <w:t xml:space="preserve">[…] </w:t>
      </w:r>
      <w:r w:rsidRPr="00772972">
        <w:rPr>
          <w:rFonts w:ascii="Arial" w:hAnsi="Arial" w:cs="Arial"/>
          <w:sz w:val="20"/>
          <w:szCs w:val="20"/>
        </w:rPr>
        <w:t>los saldos pendientes por ejecutar de los contratos suspendidos es una información que interesa para el cálculo del factor (SCE) «Saldos contratos en ejecución». Al respecto debe mencionarse que, si bien la suspensión de los contratos estatales no es un fenómeno en estricto sentido regulado por el Estatuto General de Contratación de la Administración Pública, los saldos de los contratos pendientes por ejecutar de los contratos afectados por el fenómeno de la suspensión es una información relevante para el cálculo de la capacidad residual del proponente (CRP).</w:t>
      </w:r>
    </w:p>
    <w:p w14:paraId="6A7E71C6" w14:textId="77777777" w:rsidR="00772972" w:rsidRPr="00772972" w:rsidRDefault="00772972" w:rsidP="00772972">
      <w:pPr>
        <w:jc w:val="both"/>
        <w:rPr>
          <w:rFonts w:ascii="Arial" w:hAnsi="Arial" w:cs="Arial"/>
          <w:sz w:val="20"/>
          <w:szCs w:val="20"/>
        </w:rPr>
      </w:pPr>
    </w:p>
    <w:p w14:paraId="0FDFB5B0" w14:textId="51818C7D" w:rsidR="00772972" w:rsidRPr="00772972" w:rsidRDefault="00772972" w:rsidP="00772972">
      <w:pPr>
        <w:jc w:val="both"/>
        <w:rPr>
          <w:rFonts w:ascii="Arial" w:hAnsi="Arial" w:cs="Arial"/>
          <w:sz w:val="20"/>
          <w:szCs w:val="20"/>
        </w:rPr>
      </w:pPr>
      <w:r w:rsidRPr="00772972">
        <w:rPr>
          <w:rFonts w:ascii="Arial" w:hAnsi="Arial" w:cs="Arial"/>
          <w:sz w:val="20"/>
          <w:szCs w:val="20"/>
        </w:rPr>
        <w:t xml:space="preserve">Tal relevancia surge en la medida en que la ejecución de los contratos en principio suspendidos puede, eventualmente, afectar la aptitud de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 Conforme a esto, en virtud de la competencia otorgada por el artículo 2.2.1.1.1.6.4 del Decreto 1082 de 2015 a esta Agencia para determinar la metodología para el </w:t>
      </w:r>
      <w:r w:rsidR="00C84A4E" w:rsidRPr="00772972">
        <w:rPr>
          <w:rFonts w:ascii="Arial" w:hAnsi="Arial" w:cs="Arial"/>
          <w:sz w:val="20"/>
          <w:szCs w:val="20"/>
        </w:rPr>
        <w:t>cálculo</w:t>
      </w:r>
      <w:r w:rsidRPr="00772972">
        <w:rPr>
          <w:rFonts w:ascii="Arial" w:hAnsi="Arial" w:cs="Arial"/>
          <w:sz w:val="20"/>
          <w:szCs w:val="20"/>
        </w:rPr>
        <w:t xml:space="preserve"> de la capacidad residual, en el marco de la expedición de la guía mencionada, se incluyó el saldo pendiente por ejecutar de los contratos suspendidos dentro del factor (SCE) «Saldos contratos en ejecución» en los términos antes precisados. </w:t>
      </w:r>
    </w:p>
    <w:p w14:paraId="1449E4FA" w14:textId="77777777" w:rsidR="00772972" w:rsidRPr="00772972" w:rsidRDefault="00772972" w:rsidP="00772972">
      <w:pPr>
        <w:ind w:right="49"/>
        <w:jc w:val="both"/>
        <w:rPr>
          <w:rFonts w:ascii="Arial" w:hAnsi="Arial" w:cs="Arial"/>
          <w:sz w:val="20"/>
          <w:szCs w:val="20"/>
        </w:rPr>
      </w:pPr>
    </w:p>
    <w:p w14:paraId="71E1FB99" w14:textId="77777777" w:rsidR="00772972" w:rsidRPr="00772972" w:rsidRDefault="00772972" w:rsidP="00772972">
      <w:pPr>
        <w:ind w:right="49"/>
        <w:jc w:val="both"/>
        <w:rPr>
          <w:rFonts w:ascii="Arial" w:hAnsi="Arial" w:cs="Arial"/>
          <w:sz w:val="20"/>
          <w:szCs w:val="20"/>
        </w:rPr>
      </w:pPr>
      <w:r w:rsidRPr="00772972">
        <w:rPr>
          <w:rFonts w:ascii="Arial" w:eastAsia="Calibri" w:hAnsi="Arial" w:cs="Arial"/>
          <w:b/>
          <w:bCs/>
          <w:sz w:val="22"/>
          <w:szCs w:val="22"/>
        </w:rPr>
        <w:t>CAPACIDAD RESIDUAL –Cálculo – Metodología – Guía – Aplicativo – Obligatoriedad</w:t>
      </w:r>
    </w:p>
    <w:p w14:paraId="057DFFF1" w14:textId="77777777" w:rsidR="00772972" w:rsidRPr="00772972" w:rsidRDefault="00772972" w:rsidP="00772972">
      <w:pPr>
        <w:ind w:right="49"/>
        <w:jc w:val="both"/>
        <w:rPr>
          <w:rFonts w:ascii="Arial" w:hAnsi="Arial" w:cs="Arial"/>
          <w:sz w:val="20"/>
          <w:szCs w:val="20"/>
        </w:rPr>
      </w:pPr>
    </w:p>
    <w:p w14:paraId="4DD06EA2" w14:textId="77777777" w:rsidR="00772972" w:rsidRPr="00772972" w:rsidRDefault="00772972" w:rsidP="00772972">
      <w:pPr>
        <w:ind w:right="49"/>
        <w:jc w:val="both"/>
        <w:rPr>
          <w:rFonts w:ascii="Arial" w:hAnsi="Arial" w:cs="Arial"/>
          <w:sz w:val="20"/>
          <w:szCs w:val="20"/>
        </w:rPr>
      </w:pPr>
      <w:r w:rsidRPr="00772972">
        <w:rPr>
          <w:rFonts w:ascii="Arial" w:hAnsi="Arial" w:cs="Arial"/>
          <w:sz w:val="20"/>
          <w:szCs w:val="20"/>
        </w:rPr>
        <w:t>Conforme a lo expuesto, el artículo 2.2.1.1.1.6.4 del Decreto 1082 de 2015 facultó a la Agencia Nacional de Contratación Pública – Colombia Compra Eficiente para establecer la metodología para el cálculo de la capacidad residual. Dicha competencia fue ejercida mediante la expedición de la «Guía para Determinar y Verificar la Capacidad Residual del Proponente en los Procesos de Contratación de Obra Pública», en la que se desarrolla una metodología que tiene en cuenta lo dispuesto en el parágrafo 1 del artículo 6 de la Ley 1150 de 2007 y el artículo 2.2.1.1.1.6.4 del Decreto 1082 de 2015, la cual resulta de obligatoria observancia tanto para entidades como oferentes en los procesos de selección de obra pública.</w:t>
      </w:r>
    </w:p>
    <w:p w14:paraId="50310B87" w14:textId="77777777" w:rsidR="00772972" w:rsidRPr="00772972" w:rsidRDefault="00772972" w:rsidP="00772972">
      <w:pPr>
        <w:ind w:right="49"/>
        <w:jc w:val="both"/>
        <w:rPr>
          <w:rFonts w:ascii="Arial" w:hAnsi="Arial" w:cs="Arial"/>
          <w:sz w:val="20"/>
          <w:szCs w:val="20"/>
        </w:rPr>
      </w:pPr>
    </w:p>
    <w:p w14:paraId="0494093F" w14:textId="77777777" w:rsidR="00772972" w:rsidRPr="00772972" w:rsidRDefault="00772972" w:rsidP="00772972">
      <w:pPr>
        <w:ind w:right="49"/>
        <w:jc w:val="both"/>
        <w:rPr>
          <w:rFonts w:ascii="Arial" w:hAnsi="Arial" w:cs="Arial"/>
          <w:sz w:val="20"/>
          <w:szCs w:val="20"/>
        </w:rPr>
      </w:pPr>
      <w:r w:rsidRPr="00772972">
        <w:rPr>
          <w:rFonts w:ascii="Arial" w:hAnsi="Arial" w:cs="Arial"/>
          <w:sz w:val="20"/>
          <w:szCs w:val="20"/>
        </w:rPr>
        <w:t xml:space="preserve">Para facilitar la aplicación de la metodología dispuesta en la referida guía, esta Agencia ha desarrollado una Aplicación para establecer la Capacidad Residual, que facilita determinar tanto la capacidad residual de los procesos de contratación, como la de los proponentes, sugiriendo si este último cumple con el requisito habilitante. Sin embargo, conforme a los establecido en el numeral 7 de la Circular Externa Única de Colombia Compra Eficiente, el mencionado aplicativo es un </w:t>
      </w:r>
      <w:r w:rsidRPr="00772972">
        <w:rPr>
          <w:rFonts w:ascii="Arial" w:hAnsi="Arial" w:cs="Arial"/>
          <w:sz w:val="20"/>
          <w:szCs w:val="20"/>
        </w:rPr>
        <w:lastRenderedPageBreak/>
        <w:t>instrumento de apoyo que no exime a las Entidades Estatales y a los proponentes de realizar el cálculo de la capacidad residual en los términos de la guía.</w:t>
      </w:r>
    </w:p>
    <w:p w14:paraId="75BB5455" w14:textId="1B8E5299" w:rsidR="00FF10AF" w:rsidRDefault="00FF10AF" w:rsidP="00201D6D">
      <w:pPr>
        <w:spacing w:after="120"/>
        <w:jc w:val="both"/>
        <w:rPr>
          <w:rFonts w:ascii="Arial" w:eastAsia="Arial" w:hAnsi="Arial" w:cs="Arial"/>
          <w:color w:val="000000" w:themeColor="text1"/>
          <w:sz w:val="20"/>
          <w:szCs w:val="20"/>
          <w:lang w:val="es-ES" w:eastAsia="es-ES" w:bidi="es-ES"/>
        </w:rPr>
      </w:pPr>
      <w:bookmarkStart w:id="2" w:name="_Hlk66173765"/>
    </w:p>
    <w:p w14:paraId="6C300317" w14:textId="77777777" w:rsidR="001C35E5" w:rsidRPr="00201D6D" w:rsidRDefault="001C35E5" w:rsidP="00201D6D">
      <w:pPr>
        <w:spacing w:after="120"/>
        <w:jc w:val="both"/>
        <w:rPr>
          <w:rFonts w:ascii="Arial" w:eastAsia="Arial" w:hAnsi="Arial" w:cs="Arial"/>
          <w:color w:val="000000" w:themeColor="text1"/>
          <w:sz w:val="20"/>
          <w:szCs w:val="20"/>
          <w:lang w:val="es-ES" w:eastAsia="es-ES" w:bidi="es-ES"/>
        </w:rPr>
      </w:pPr>
    </w:p>
    <w:p w14:paraId="664EE6C6" w14:textId="77777777" w:rsidR="00211CEF" w:rsidRDefault="00211CEF" w:rsidP="00211CEF">
      <w:pPr>
        <w:jc w:val="both"/>
        <w:rPr>
          <w:rFonts w:ascii="Arial" w:hAnsi="Arial" w:cs="Arial"/>
          <w:noProof/>
          <w:color w:val="000000" w:themeColor="text1"/>
          <w:sz w:val="22"/>
          <w:lang w:val="es-ES_tradnl"/>
        </w:rPr>
      </w:pPr>
    </w:p>
    <w:p w14:paraId="7B06711A" w14:textId="77777777" w:rsidR="00211CEF" w:rsidRDefault="00211CEF" w:rsidP="00211CEF">
      <w:pPr>
        <w:jc w:val="both"/>
        <w:rPr>
          <w:rFonts w:ascii="Arial" w:hAnsi="Arial" w:cs="Arial"/>
          <w:noProof/>
          <w:color w:val="000000" w:themeColor="text1"/>
          <w:sz w:val="22"/>
          <w:lang w:val="es-ES_tradnl"/>
        </w:rPr>
      </w:pPr>
    </w:p>
    <w:p w14:paraId="17E2BD29" w14:textId="77777777" w:rsidR="00211CEF" w:rsidRDefault="00211CEF" w:rsidP="00211CEF">
      <w:pPr>
        <w:jc w:val="both"/>
        <w:rPr>
          <w:rFonts w:ascii="Arial" w:hAnsi="Arial" w:cs="Arial"/>
          <w:noProof/>
          <w:color w:val="000000" w:themeColor="text1"/>
          <w:sz w:val="22"/>
          <w:lang w:val="es-ES_tradnl"/>
        </w:rPr>
      </w:pPr>
    </w:p>
    <w:p w14:paraId="6A6CDED3" w14:textId="77777777" w:rsidR="00211CEF" w:rsidRDefault="00211CEF" w:rsidP="00211CEF">
      <w:pPr>
        <w:jc w:val="both"/>
        <w:rPr>
          <w:rFonts w:ascii="Arial" w:hAnsi="Arial" w:cs="Arial"/>
          <w:noProof/>
          <w:color w:val="000000" w:themeColor="text1"/>
          <w:sz w:val="22"/>
          <w:lang w:val="es-ES_tradnl"/>
        </w:rPr>
      </w:pPr>
    </w:p>
    <w:p w14:paraId="264C4FE1" w14:textId="77777777" w:rsidR="00211CEF" w:rsidRDefault="00211CEF" w:rsidP="00211CEF">
      <w:pPr>
        <w:jc w:val="both"/>
        <w:rPr>
          <w:rFonts w:ascii="Arial" w:hAnsi="Arial" w:cs="Arial"/>
          <w:noProof/>
          <w:color w:val="000000" w:themeColor="text1"/>
          <w:sz w:val="22"/>
          <w:lang w:val="es-ES_tradnl"/>
        </w:rPr>
      </w:pPr>
    </w:p>
    <w:p w14:paraId="1D5B9B2B" w14:textId="1494440F" w:rsidR="00211CEF" w:rsidRDefault="00211CEF" w:rsidP="00211CEF">
      <w:pPr>
        <w:spacing w:line="276" w:lineRule="auto"/>
        <w:jc w:val="both"/>
        <w:rPr>
          <w:rFonts w:ascii="Arial" w:eastAsia="Calibri" w:hAnsi="Arial" w:cs="Arial"/>
          <w:noProof/>
          <w:color w:val="000000" w:themeColor="text1"/>
          <w:sz w:val="22"/>
          <w:szCs w:val="22"/>
          <w:lang w:val="es-ES_tradnl"/>
        </w:rPr>
      </w:pPr>
    </w:p>
    <w:p w14:paraId="1703C0EE" w14:textId="45B6FF66" w:rsidR="00B02865" w:rsidRDefault="00B02865" w:rsidP="00211CEF">
      <w:pPr>
        <w:spacing w:line="276" w:lineRule="auto"/>
        <w:jc w:val="both"/>
        <w:rPr>
          <w:rFonts w:ascii="Arial" w:eastAsia="Calibri" w:hAnsi="Arial" w:cs="Arial"/>
          <w:noProof/>
          <w:color w:val="000000" w:themeColor="text1"/>
          <w:sz w:val="22"/>
          <w:szCs w:val="22"/>
          <w:lang w:val="es-ES_tradnl"/>
        </w:rPr>
      </w:pPr>
    </w:p>
    <w:p w14:paraId="4E64C55A" w14:textId="77777777" w:rsidR="00B02865" w:rsidRPr="00D95E70" w:rsidRDefault="00B02865" w:rsidP="00211CEF">
      <w:pPr>
        <w:spacing w:line="276" w:lineRule="auto"/>
        <w:jc w:val="both"/>
        <w:rPr>
          <w:rFonts w:ascii="Arial" w:eastAsia="Calibri" w:hAnsi="Arial" w:cs="Arial"/>
          <w:noProof/>
          <w:color w:val="000000" w:themeColor="text1"/>
          <w:sz w:val="22"/>
          <w:szCs w:val="22"/>
          <w:lang w:val="es-ES_tradnl"/>
        </w:rPr>
      </w:pPr>
    </w:p>
    <w:p w14:paraId="66C7949E" w14:textId="3E03850F" w:rsidR="00513AA0" w:rsidRPr="00947A24" w:rsidRDefault="00B95C30" w:rsidP="00B95C30">
      <w:pPr>
        <w:jc w:val="both"/>
        <w:rPr>
          <w:rFonts w:ascii="Arial" w:eastAsia="Calibri" w:hAnsi="Arial" w:cs="Arial"/>
          <w:color w:val="000000" w:themeColor="text1"/>
          <w:sz w:val="22"/>
          <w:lang w:val="es-ES_tradnl"/>
        </w:rPr>
      </w:pPr>
      <w:bookmarkStart w:id="3" w:name="_Hlk74295142"/>
      <w:bookmarkEnd w:id="2"/>
      <w:r w:rsidRPr="00947A24">
        <w:rPr>
          <w:rFonts w:ascii="Arial" w:eastAsia="Calibri" w:hAnsi="Arial" w:cs="Arial"/>
          <w:color w:val="000000" w:themeColor="text1"/>
          <w:sz w:val="22"/>
          <w:lang w:val="es-ES_tradnl"/>
        </w:rPr>
        <w:t>Señor</w:t>
      </w:r>
      <w:r w:rsidR="00987111">
        <w:rPr>
          <w:rFonts w:ascii="Arial" w:eastAsia="Calibri" w:hAnsi="Arial" w:cs="Arial"/>
          <w:color w:val="000000" w:themeColor="text1"/>
          <w:sz w:val="22"/>
          <w:lang w:val="es-ES_tradnl"/>
        </w:rPr>
        <w:t>es</w:t>
      </w:r>
    </w:p>
    <w:p w14:paraId="500A557B" w14:textId="7D93049B" w:rsidR="005A5A85" w:rsidRPr="00947A24" w:rsidRDefault="00987111" w:rsidP="00987111">
      <w:pPr>
        <w:jc w:val="both"/>
        <w:rPr>
          <w:rFonts w:ascii="Arial" w:eastAsia="Calibri" w:hAnsi="Arial" w:cs="Arial"/>
          <w:b/>
          <w:bCs/>
          <w:color w:val="000000" w:themeColor="text1"/>
          <w:sz w:val="22"/>
          <w:lang w:val="es-ES_tradnl"/>
        </w:rPr>
      </w:pPr>
      <w:bookmarkStart w:id="4" w:name="_Hlk97562136"/>
      <w:r w:rsidRPr="00987111">
        <w:rPr>
          <w:rFonts w:ascii="Arial" w:eastAsia="Calibri" w:hAnsi="Arial" w:cs="Arial"/>
          <w:b/>
          <w:bCs/>
          <w:color w:val="000000" w:themeColor="text1"/>
          <w:sz w:val="22"/>
          <w:lang w:val="es-ES_tradnl"/>
        </w:rPr>
        <w:t>C</w:t>
      </w:r>
      <w:r>
        <w:rPr>
          <w:rFonts w:ascii="Arial" w:eastAsia="Calibri" w:hAnsi="Arial" w:cs="Arial"/>
          <w:b/>
          <w:bCs/>
          <w:color w:val="000000" w:themeColor="text1"/>
          <w:sz w:val="22"/>
          <w:lang w:val="es-ES_tradnl"/>
        </w:rPr>
        <w:t>onstrucción</w:t>
      </w:r>
      <w:r w:rsidRPr="00987111">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Innovación</w:t>
      </w:r>
      <w:r w:rsidRPr="00987111">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y</w:t>
      </w:r>
      <w:r w:rsidRPr="00987111">
        <w:rPr>
          <w:rFonts w:ascii="Arial" w:eastAsia="Calibri" w:hAnsi="Arial" w:cs="Arial"/>
          <w:b/>
          <w:bCs/>
          <w:color w:val="000000" w:themeColor="text1"/>
          <w:sz w:val="22"/>
          <w:lang w:val="es-ES_tradnl"/>
        </w:rPr>
        <w:t xml:space="preserve"> D</w:t>
      </w:r>
      <w:r>
        <w:rPr>
          <w:rFonts w:ascii="Arial" w:eastAsia="Calibri" w:hAnsi="Arial" w:cs="Arial"/>
          <w:b/>
          <w:bCs/>
          <w:color w:val="000000" w:themeColor="text1"/>
          <w:sz w:val="22"/>
          <w:lang w:val="es-ES_tradnl"/>
        </w:rPr>
        <w:t>esarrollo</w:t>
      </w:r>
      <w:r w:rsidRPr="00987111">
        <w:rPr>
          <w:rFonts w:ascii="Arial" w:eastAsia="Calibri" w:hAnsi="Arial" w:cs="Arial"/>
          <w:b/>
          <w:bCs/>
          <w:color w:val="000000" w:themeColor="text1"/>
          <w:sz w:val="22"/>
          <w:lang w:val="es-ES_tradnl"/>
        </w:rPr>
        <w:t xml:space="preserve"> T</w:t>
      </w:r>
      <w:r>
        <w:rPr>
          <w:rFonts w:ascii="Arial" w:eastAsia="Calibri" w:hAnsi="Arial" w:cs="Arial"/>
          <w:b/>
          <w:bCs/>
          <w:color w:val="000000" w:themeColor="text1"/>
          <w:sz w:val="22"/>
          <w:lang w:val="es-ES_tradnl"/>
        </w:rPr>
        <w:t>ecnológico</w:t>
      </w:r>
      <w:r w:rsidRPr="00987111">
        <w:rPr>
          <w:rFonts w:ascii="Arial" w:eastAsia="Calibri" w:hAnsi="Arial" w:cs="Arial"/>
          <w:b/>
          <w:bCs/>
          <w:color w:val="000000" w:themeColor="text1"/>
          <w:sz w:val="22"/>
          <w:lang w:val="es-ES_tradnl"/>
        </w:rPr>
        <w:t xml:space="preserve"> CIDTEC</w:t>
      </w:r>
      <w:r w:rsidR="00D4310E">
        <w:rPr>
          <w:rFonts w:ascii="Arial" w:eastAsia="Calibri" w:hAnsi="Arial" w:cs="Arial"/>
          <w:b/>
          <w:bCs/>
          <w:color w:val="000000" w:themeColor="text1"/>
          <w:sz w:val="22"/>
          <w:lang w:val="es-ES_tradnl"/>
        </w:rPr>
        <w:t xml:space="preserve"> </w:t>
      </w:r>
      <w:r w:rsidRPr="00987111">
        <w:rPr>
          <w:rFonts w:ascii="Arial" w:eastAsia="Calibri" w:hAnsi="Arial" w:cs="Arial"/>
          <w:b/>
          <w:bCs/>
          <w:color w:val="000000" w:themeColor="text1"/>
          <w:sz w:val="22"/>
          <w:lang w:val="es-ES_tradnl"/>
        </w:rPr>
        <w:t>S</w:t>
      </w:r>
      <w:r>
        <w:rPr>
          <w:rFonts w:ascii="Arial" w:eastAsia="Calibri" w:hAnsi="Arial" w:cs="Arial"/>
          <w:b/>
          <w:bCs/>
          <w:color w:val="000000" w:themeColor="text1"/>
          <w:sz w:val="22"/>
          <w:lang w:val="es-ES_tradnl"/>
        </w:rPr>
        <w:t>.</w:t>
      </w:r>
      <w:r w:rsidRPr="00987111">
        <w:rPr>
          <w:rFonts w:ascii="Arial" w:eastAsia="Calibri" w:hAnsi="Arial" w:cs="Arial"/>
          <w:b/>
          <w:bCs/>
          <w:color w:val="000000" w:themeColor="text1"/>
          <w:sz w:val="22"/>
          <w:lang w:val="es-ES_tradnl"/>
        </w:rPr>
        <w:t>A</w:t>
      </w:r>
      <w:r>
        <w:rPr>
          <w:rFonts w:ascii="Arial" w:eastAsia="Calibri" w:hAnsi="Arial" w:cs="Arial"/>
          <w:b/>
          <w:bCs/>
          <w:color w:val="000000" w:themeColor="text1"/>
          <w:sz w:val="22"/>
          <w:lang w:val="es-ES_tradnl"/>
        </w:rPr>
        <w:t>.</w:t>
      </w:r>
      <w:r w:rsidRPr="00987111">
        <w:rPr>
          <w:rFonts w:ascii="Arial" w:eastAsia="Calibri" w:hAnsi="Arial" w:cs="Arial"/>
          <w:b/>
          <w:bCs/>
          <w:color w:val="000000" w:themeColor="text1"/>
          <w:sz w:val="22"/>
          <w:lang w:val="es-ES_tradnl"/>
        </w:rPr>
        <w:t>S</w:t>
      </w:r>
      <w:r>
        <w:rPr>
          <w:rFonts w:ascii="Arial" w:eastAsia="Calibri" w:hAnsi="Arial" w:cs="Arial"/>
          <w:b/>
          <w:bCs/>
          <w:color w:val="000000" w:themeColor="text1"/>
          <w:sz w:val="22"/>
          <w:lang w:val="es-ES_tradnl"/>
        </w:rPr>
        <w:t>.</w:t>
      </w:r>
    </w:p>
    <w:bookmarkEnd w:id="4"/>
    <w:p w14:paraId="3C022EEC" w14:textId="21AE413F" w:rsidR="00735B49" w:rsidRPr="00947A24" w:rsidRDefault="00E51A42"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Yopal</w:t>
      </w:r>
      <w:r w:rsidR="00904AD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Casanare</w:t>
      </w:r>
    </w:p>
    <w:p w14:paraId="1C2ABD83" w14:textId="3DB4DD92" w:rsidR="00483B7D" w:rsidRDefault="00483B7D"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3CEE7B73"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 xml:space="preserve">Concepto C ‒ </w:t>
      </w:r>
      <w:r w:rsidR="002F766D">
        <w:rPr>
          <w:rFonts w:ascii="Arial" w:eastAsia="Calibri" w:hAnsi="Arial" w:cs="Arial"/>
          <w:b/>
          <w:bCs/>
          <w:color w:val="000000" w:themeColor="text1"/>
          <w:sz w:val="22"/>
          <w:lang w:val="es-ES_tradnl"/>
        </w:rPr>
        <w:t>104</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0028013" w:rsidR="00B95C30" w:rsidRPr="00FF10AF" w:rsidRDefault="005E17FA" w:rsidP="00FF10AF">
            <w:pPr>
              <w:pStyle w:val="Default"/>
              <w:jc w:val="both"/>
              <w:rPr>
                <w:rFonts w:eastAsia="Calibri"/>
                <w:bCs/>
                <w:color w:val="000000" w:themeColor="text1"/>
                <w:sz w:val="22"/>
                <w:szCs w:val="22"/>
                <w:lang w:val="es-ES"/>
              </w:rPr>
            </w:pPr>
            <w:r w:rsidRPr="005E17FA">
              <w:rPr>
                <w:bCs/>
                <w:sz w:val="22"/>
                <w:szCs w:val="22"/>
                <w:lang w:val="es-MX" w:eastAsia="es-ES"/>
              </w:rPr>
              <w:t>CAPACIDAD RESIDUAL – Definición / CAPACIDAD RESIDUAL – Cálculo – Factores / CAPACIDAD RESIDUAL – Cálculo – Factores – Contratos de obra / CAPACIDAD RESIDUAL – Carga – Entidades públicas / CAPACIDAD RESIDUAL – Proponente – Saldos – Contratos en Ejecución / CAPACIDAD RESIDUAL –Cálculo – Metodología – Guía – Aplicativo – Obligatoriedad</w:t>
            </w:r>
            <w:r w:rsidR="00F34684">
              <w:rPr>
                <w:rFonts w:eastAsia="Calibri"/>
                <w:bCs/>
                <w:color w:val="000000" w:themeColor="text1"/>
                <w:sz w:val="22"/>
                <w:szCs w:val="22"/>
                <w:lang w:val="es-MX"/>
              </w:rPr>
              <w:t>/</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26C42E6D"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P202</w:t>
            </w:r>
            <w:r w:rsidR="00323BC6">
              <w:rPr>
                <w:rFonts w:ascii="Arial" w:eastAsia="Calibri" w:hAnsi="Arial" w:cs="Arial"/>
                <w:color w:val="000000" w:themeColor="text1"/>
                <w:sz w:val="22"/>
                <w:lang w:val="es-ES_tradnl"/>
              </w:rPr>
              <w:t>2</w:t>
            </w:r>
            <w:r w:rsidR="00603DF6">
              <w:rPr>
                <w:rFonts w:ascii="Arial" w:eastAsia="Calibri" w:hAnsi="Arial" w:cs="Arial"/>
                <w:color w:val="000000" w:themeColor="text1"/>
                <w:sz w:val="22"/>
                <w:lang w:val="es-ES_tradnl"/>
              </w:rPr>
              <w:t>0208001215</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19B80603" w:rsidR="003C3339" w:rsidRPr="00E23980" w:rsidRDefault="003C3339" w:rsidP="0060507C">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60507C">
        <w:rPr>
          <w:rFonts w:ascii="Arial" w:eastAsia="Calibri" w:hAnsi="Arial" w:cs="Arial"/>
          <w:color w:val="000000" w:themeColor="text1"/>
          <w:sz w:val="22"/>
          <w:lang w:val="es-ES_tradnl"/>
        </w:rPr>
        <w:t>os</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señor</w:t>
      </w:r>
      <w:r w:rsidR="0060507C">
        <w:rPr>
          <w:rFonts w:ascii="Arial" w:eastAsia="Calibri" w:hAnsi="Arial" w:cs="Arial"/>
          <w:color w:val="000000" w:themeColor="text1"/>
          <w:sz w:val="22"/>
          <w:lang w:val="es-ES_tradnl"/>
        </w:rPr>
        <w:t>es</w:t>
      </w:r>
      <w:r w:rsidR="0060507C">
        <w:t xml:space="preserve"> </w:t>
      </w:r>
      <w:r w:rsidR="0060507C" w:rsidRPr="0060507C">
        <w:rPr>
          <w:rFonts w:ascii="Arial" w:eastAsia="Calibri" w:hAnsi="Arial" w:cs="Arial"/>
          <w:color w:val="000000" w:themeColor="text1"/>
          <w:sz w:val="22"/>
          <w:lang w:val="es-ES_tradnl"/>
        </w:rPr>
        <w:t>CIDTEC</w:t>
      </w:r>
      <w:r w:rsidR="00D4310E">
        <w:rPr>
          <w:rFonts w:ascii="Arial" w:eastAsia="Calibri" w:hAnsi="Arial" w:cs="Arial"/>
          <w:color w:val="000000" w:themeColor="text1"/>
          <w:sz w:val="22"/>
          <w:lang w:val="es-ES_tradnl"/>
        </w:rPr>
        <w:t xml:space="preserve"> </w:t>
      </w:r>
      <w:r w:rsidR="0060507C" w:rsidRPr="0060507C">
        <w:rPr>
          <w:rFonts w:ascii="Arial" w:eastAsia="Calibri" w:hAnsi="Arial" w:cs="Arial"/>
          <w:color w:val="000000" w:themeColor="text1"/>
          <w:sz w:val="22"/>
          <w:lang w:val="es-ES_tradnl"/>
        </w:rPr>
        <w:t>S.A.S.</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F0EA259"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02 de febrero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15273B68" w14:textId="11848C1C" w:rsidR="00827203" w:rsidRPr="000E4DFC" w:rsidRDefault="0013424D" w:rsidP="003C2BFF">
      <w:pPr>
        <w:spacing w:line="276" w:lineRule="auto"/>
        <w:jc w:val="both"/>
        <w:rPr>
          <w:rFonts w:ascii="Arial" w:hAnsi="Arial" w:cs="Arial"/>
          <w:color w:val="000000" w:themeColor="text1"/>
          <w:sz w:val="22"/>
          <w:szCs w:val="22"/>
          <w:lang w:val="es-ES_tradnl"/>
        </w:rPr>
      </w:pPr>
      <w:r w:rsidRPr="00BB2EF1">
        <w:rPr>
          <w:rFonts w:ascii="Arial" w:eastAsia="Calibri" w:hAnsi="Arial" w:cs="Arial"/>
          <w:sz w:val="22"/>
          <w:szCs w:val="22"/>
        </w:rPr>
        <w:t>U</w:t>
      </w:r>
      <w:r w:rsidR="00ED6DF0" w:rsidRPr="00BB2EF1">
        <w:rPr>
          <w:rFonts w:ascii="Arial" w:eastAsia="Calibri" w:hAnsi="Arial" w:cs="Arial"/>
          <w:sz w:val="22"/>
          <w:szCs w:val="22"/>
        </w:rPr>
        <w:t>sted</w:t>
      </w:r>
      <w:r w:rsidR="003C2BFF" w:rsidRPr="00BB2EF1">
        <w:rPr>
          <w:rFonts w:ascii="Arial" w:eastAsia="Calibri" w:hAnsi="Arial" w:cs="Arial"/>
          <w:sz w:val="22"/>
          <w:szCs w:val="22"/>
        </w:rPr>
        <w:t>es</w:t>
      </w:r>
      <w:r w:rsidR="00ED6DF0" w:rsidRPr="00BB2EF1">
        <w:rPr>
          <w:rFonts w:ascii="Arial" w:eastAsia="Calibri" w:hAnsi="Arial" w:cs="Arial"/>
          <w:sz w:val="22"/>
          <w:szCs w:val="22"/>
        </w:rPr>
        <w:t xml:space="preserve"> realiza</w:t>
      </w:r>
      <w:r w:rsidR="003C2BFF" w:rsidRPr="00BB2EF1">
        <w:rPr>
          <w:rFonts w:ascii="Arial" w:eastAsia="Calibri" w:hAnsi="Arial" w:cs="Arial"/>
          <w:sz w:val="22"/>
          <w:szCs w:val="22"/>
        </w:rPr>
        <w:t>n</w:t>
      </w:r>
      <w:r w:rsidR="00ED6DF0" w:rsidRPr="00BB2EF1">
        <w:rPr>
          <w:rFonts w:ascii="Arial" w:eastAsia="Calibri" w:hAnsi="Arial" w:cs="Arial"/>
          <w:sz w:val="22"/>
          <w:szCs w:val="22"/>
        </w:rPr>
        <w:t xml:space="preserve"> la siguiente </w:t>
      </w:r>
      <w:r w:rsidRPr="00BB2EF1">
        <w:rPr>
          <w:rFonts w:ascii="Arial" w:eastAsia="Calibri" w:hAnsi="Arial" w:cs="Arial"/>
          <w:sz w:val="22"/>
          <w:szCs w:val="22"/>
        </w:rPr>
        <w:t>consulta</w:t>
      </w:r>
      <w:r w:rsidR="00032FCA" w:rsidRPr="00BB2EF1">
        <w:rPr>
          <w:rFonts w:ascii="Arial" w:eastAsia="Calibri" w:hAnsi="Arial" w:cs="Arial"/>
          <w:color w:val="000000"/>
          <w:sz w:val="22"/>
          <w:szCs w:val="22"/>
          <w:lang w:eastAsia="es-MX"/>
        </w:rPr>
        <w:t>:</w:t>
      </w:r>
      <w:r w:rsidR="003C2BFF" w:rsidRPr="00BB2EF1">
        <w:rPr>
          <w:rFonts w:ascii="Arial" w:eastAsia="Calibri" w:hAnsi="Arial" w:cs="Arial"/>
          <w:color w:val="000000"/>
          <w:sz w:val="22"/>
          <w:szCs w:val="22"/>
          <w:lang w:eastAsia="es-MX"/>
        </w:rPr>
        <w:t xml:space="preserve"> </w:t>
      </w:r>
      <w:r w:rsidR="00382ADF" w:rsidRPr="00BB2EF1">
        <w:rPr>
          <w:rFonts w:ascii="Arial" w:hAnsi="Arial" w:cs="Arial"/>
          <w:color w:val="000000" w:themeColor="text1"/>
          <w:sz w:val="22"/>
          <w:szCs w:val="22"/>
          <w:lang w:val="es-ES_tradnl"/>
        </w:rPr>
        <w:t>«</w:t>
      </w:r>
      <w:bookmarkStart w:id="5" w:name="_Hlk97644277"/>
      <w:bookmarkStart w:id="6" w:name="_Hlk74989068"/>
      <w:r w:rsidR="003C2BFF" w:rsidRPr="000E4DFC">
        <w:rPr>
          <w:rFonts w:ascii="Arial" w:hAnsi="Arial" w:cs="Arial"/>
          <w:color w:val="000000" w:themeColor="text1"/>
          <w:sz w:val="22"/>
          <w:szCs w:val="22"/>
          <w:lang w:val="es-ES_tradnl"/>
        </w:rPr>
        <w:t>Para calcular la capacidad residual, específicamente en el saldo de contratos en ejecución (SCE) ¿Se debe incluir contratos de interventoría que tenga el proponente, a la hora de presentar un proceso de licitación pública o menor cuantía?</w:t>
      </w:r>
      <w:bookmarkEnd w:id="5"/>
      <w:r w:rsidR="00382ADF" w:rsidRPr="00BB2EF1">
        <w:rPr>
          <w:rFonts w:ascii="Arial" w:hAnsi="Arial" w:cs="Arial"/>
          <w:color w:val="000000" w:themeColor="text1"/>
          <w:sz w:val="22"/>
          <w:szCs w:val="22"/>
          <w:lang w:val="es-ES_tradnl"/>
        </w:rPr>
        <w:t>»</w:t>
      </w:r>
      <w:bookmarkEnd w:id="6"/>
      <w:r w:rsidR="00382ADF" w:rsidRPr="00BB2EF1">
        <w:rPr>
          <w:rFonts w:ascii="Arial" w:hAnsi="Arial" w:cs="Arial"/>
          <w:color w:val="000000" w:themeColor="text1"/>
          <w:sz w:val="22"/>
          <w:szCs w:val="22"/>
          <w:lang w:val="es-ES_tradnl"/>
        </w:rPr>
        <w:t xml:space="preserve">. </w:t>
      </w:r>
    </w:p>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77777777" w:rsidR="005C65DA" w:rsidRDefault="005C65DA" w:rsidP="005C65DA">
      <w:pPr>
        <w:spacing w:line="276" w:lineRule="auto"/>
        <w:jc w:val="both"/>
        <w:rPr>
          <w:rFonts w:ascii="Arial" w:eastAsia="Calibri" w:hAnsi="Arial" w:cs="Arial"/>
          <w:color w:val="000000" w:themeColor="text1"/>
          <w:sz w:val="22"/>
          <w:lang w:val="es-ES"/>
        </w:rPr>
      </w:pPr>
    </w:p>
    <w:p w14:paraId="3B318F82" w14:textId="14C4C6DC" w:rsidR="005C65DA" w:rsidRPr="009464E3" w:rsidRDefault="00034583" w:rsidP="005C65DA">
      <w:pPr>
        <w:spacing w:line="276" w:lineRule="auto"/>
        <w:jc w:val="both"/>
        <w:rPr>
          <w:rFonts w:ascii="Arial" w:eastAsia="Calibri" w:hAnsi="Arial" w:cs="Arial"/>
          <w:color w:val="000000" w:themeColor="text1"/>
          <w:sz w:val="22"/>
          <w:lang w:val="es-ES"/>
        </w:rPr>
      </w:pPr>
      <w:r w:rsidRPr="00034583">
        <w:rPr>
          <w:rFonts w:ascii="Arial" w:hAnsi="Arial" w:cs="Arial"/>
          <w:color w:val="000000" w:themeColor="text1"/>
          <w:sz w:val="22"/>
          <w:lang w:val="es-ES_tradnl"/>
        </w:rPr>
        <w:lastRenderedPageBreak/>
        <w:t>La Agencia Nacional de Contratación Pública − Colombia Compra Eficiente se ha pronunciado sobre la capacidad residual, y la forma como esta se debe acreditar, en los conceptos del 27 de agosto y el 20 y 26 de diciembre de 2019 −radicados Nos. 2201913000006275, 2201913000009465, 2201913000009642 y 2201913000009640−; así como en los conceptos C–022</w:t>
      </w:r>
      <w:r w:rsidR="00DC25EF">
        <w:rPr>
          <w:rFonts w:ascii="Arial" w:hAnsi="Arial" w:cs="Arial"/>
          <w:color w:val="000000" w:themeColor="text1"/>
          <w:sz w:val="22"/>
          <w:lang w:val="es-ES_tradnl"/>
        </w:rPr>
        <w:t xml:space="preserve"> del 20 de febrero de 2020</w:t>
      </w:r>
      <w:r w:rsidRPr="00034583">
        <w:rPr>
          <w:rFonts w:ascii="Arial" w:hAnsi="Arial" w:cs="Arial"/>
          <w:color w:val="000000" w:themeColor="text1"/>
          <w:sz w:val="22"/>
          <w:lang w:val="es-ES_tradnl"/>
        </w:rPr>
        <w:t>, C–089</w:t>
      </w:r>
      <w:r w:rsidR="00DC25EF">
        <w:rPr>
          <w:rFonts w:ascii="Arial" w:hAnsi="Arial" w:cs="Arial"/>
          <w:color w:val="000000" w:themeColor="text1"/>
          <w:sz w:val="22"/>
          <w:lang w:val="es-ES_tradnl"/>
        </w:rPr>
        <w:t xml:space="preserve"> del 4 de marzo de 2020</w:t>
      </w:r>
      <w:r w:rsidRPr="00034583">
        <w:rPr>
          <w:rFonts w:ascii="Arial" w:hAnsi="Arial" w:cs="Arial"/>
          <w:color w:val="000000" w:themeColor="text1"/>
          <w:sz w:val="22"/>
          <w:lang w:val="es-ES_tradnl"/>
        </w:rPr>
        <w:t>, C–112</w:t>
      </w:r>
      <w:r w:rsidR="00DC25EF">
        <w:rPr>
          <w:rFonts w:ascii="Arial" w:hAnsi="Arial" w:cs="Arial"/>
          <w:color w:val="000000" w:themeColor="text1"/>
          <w:sz w:val="22"/>
          <w:lang w:val="es-ES_tradnl"/>
        </w:rPr>
        <w:t xml:space="preserve"> del 16 de marzo de 2020</w:t>
      </w:r>
      <w:r w:rsidRPr="00034583">
        <w:rPr>
          <w:rFonts w:ascii="Arial" w:hAnsi="Arial" w:cs="Arial"/>
          <w:color w:val="000000" w:themeColor="text1"/>
          <w:sz w:val="22"/>
          <w:lang w:val="es-ES_tradnl"/>
        </w:rPr>
        <w:t xml:space="preserve">, </w:t>
      </w:r>
      <w:r w:rsidR="00DC25EF" w:rsidRPr="00DC25EF">
        <w:rPr>
          <w:rFonts w:ascii="Arial" w:hAnsi="Arial" w:cs="Arial"/>
          <w:color w:val="000000" w:themeColor="text1"/>
          <w:sz w:val="22"/>
          <w:lang w:val="es-ES_tradnl"/>
        </w:rPr>
        <w:t>C–222 del 29 de marzo de 2020</w:t>
      </w:r>
      <w:r w:rsidR="00DC25EF">
        <w:rPr>
          <w:rFonts w:ascii="Arial" w:hAnsi="Arial" w:cs="Arial"/>
          <w:color w:val="000000" w:themeColor="text1"/>
          <w:sz w:val="22"/>
          <w:lang w:val="es-ES_tradnl"/>
        </w:rPr>
        <w:t xml:space="preserve">, </w:t>
      </w:r>
      <w:r w:rsidRPr="00034583">
        <w:rPr>
          <w:rFonts w:ascii="Arial" w:hAnsi="Arial" w:cs="Arial"/>
          <w:color w:val="000000" w:themeColor="text1"/>
          <w:sz w:val="22"/>
          <w:lang w:val="es-ES_tradnl"/>
        </w:rPr>
        <w:t>C–133</w:t>
      </w:r>
      <w:r w:rsidR="00DC25EF">
        <w:rPr>
          <w:rFonts w:ascii="Arial" w:hAnsi="Arial" w:cs="Arial"/>
          <w:color w:val="000000" w:themeColor="text1"/>
          <w:sz w:val="22"/>
          <w:lang w:val="es-ES_tradnl"/>
        </w:rPr>
        <w:t xml:space="preserve"> del 30 de marzo de 2020</w:t>
      </w:r>
      <w:r w:rsidRPr="00034583">
        <w:rPr>
          <w:rFonts w:ascii="Arial" w:hAnsi="Arial" w:cs="Arial"/>
          <w:color w:val="000000" w:themeColor="text1"/>
          <w:sz w:val="22"/>
          <w:lang w:val="es-ES_tradnl"/>
        </w:rPr>
        <w:t>, C – 194</w:t>
      </w:r>
      <w:r w:rsidR="00DC25EF">
        <w:rPr>
          <w:rFonts w:ascii="Arial" w:hAnsi="Arial" w:cs="Arial"/>
          <w:color w:val="000000" w:themeColor="text1"/>
          <w:sz w:val="22"/>
          <w:lang w:val="es-ES_tradnl"/>
        </w:rPr>
        <w:t xml:space="preserve"> del 21 de abril</w:t>
      </w:r>
      <w:r w:rsidRPr="00034583">
        <w:rPr>
          <w:rFonts w:ascii="Arial" w:hAnsi="Arial" w:cs="Arial"/>
          <w:color w:val="000000" w:themeColor="text1"/>
          <w:sz w:val="22"/>
          <w:lang w:val="es-ES_tradnl"/>
        </w:rPr>
        <w:t xml:space="preserve"> de 2020, </w:t>
      </w:r>
      <w:r>
        <w:rPr>
          <w:rFonts w:ascii="Arial" w:hAnsi="Arial" w:cs="Arial"/>
          <w:color w:val="000000" w:themeColor="text1"/>
          <w:sz w:val="22"/>
          <w:lang w:val="es-ES_tradnl"/>
        </w:rPr>
        <w:t xml:space="preserve">, </w:t>
      </w:r>
      <w:r w:rsidRPr="00034583">
        <w:rPr>
          <w:rFonts w:ascii="Arial" w:hAnsi="Arial" w:cs="Arial"/>
          <w:color w:val="000000" w:themeColor="text1"/>
          <w:sz w:val="22"/>
          <w:lang w:val="es-ES_tradnl"/>
        </w:rPr>
        <w:t>C–326</w:t>
      </w:r>
      <w:r w:rsidR="00DC25EF">
        <w:rPr>
          <w:rFonts w:ascii="Arial" w:hAnsi="Arial" w:cs="Arial"/>
          <w:color w:val="000000" w:themeColor="text1"/>
          <w:sz w:val="22"/>
          <w:lang w:val="es-ES_tradnl"/>
        </w:rPr>
        <w:t xml:space="preserve"> del </w:t>
      </w:r>
      <w:r w:rsidR="004002E8">
        <w:rPr>
          <w:rFonts w:ascii="Arial" w:hAnsi="Arial" w:cs="Arial"/>
          <w:color w:val="000000" w:themeColor="text1"/>
          <w:sz w:val="22"/>
          <w:lang w:val="es-ES_tradnl"/>
        </w:rPr>
        <w:t>9 de junio</w:t>
      </w:r>
      <w:r w:rsidRPr="00034583">
        <w:rPr>
          <w:rFonts w:ascii="Arial" w:hAnsi="Arial" w:cs="Arial"/>
          <w:color w:val="000000" w:themeColor="text1"/>
          <w:sz w:val="22"/>
          <w:lang w:val="es-ES_tradnl"/>
        </w:rPr>
        <w:t xml:space="preserve"> de 2020, C-446 del 6 de julio de 2020</w:t>
      </w:r>
      <w:r w:rsidR="007A5B8C">
        <w:rPr>
          <w:rFonts w:ascii="Arial" w:hAnsi="Arial" w:cs="Arial"/>
          <w:color w:val="000000" w:themeColor="text1"/>
          <w:sz w:val="22"/>
          <w:lang w:val="es-ES_tradnl"/>
        </w:rPr>
        <w:t xml:space="preserve">, </w:t>
      </w:r>
      <w:r>
        <w:rPr>
          <w:rFonts w:ascii="Arial" w:hAnsi="Arial" w:cs="Arial"/>
          <w:color w:val="000000" w:themeColor="text1"/>
          <w:sz w:val="22"/>
          <w:lang w:val="es-ES_tradnl"/>
        </w:rPr>
        <w:t>C-045 del 5 de marzo de 2021</w:t>
      </w:r>
      <w:r w:rsidR="007A5B8C">
        <w:rPr>
          <w:rFonts w:ascii="Arial" w:hAnsi="Arial" w:cs="Arial"/>
          <w:color w:val="000000" w:themeColor="text1"/>
          <w:sz w:val="22"/>
          <w:lang w:val="es-ES_tradnl"/>
        </w:rPr>
        <w:t xml:space="preserve">, </w:t>
      </w:r>
      <w:r w:rsidR="00926E32">
        <w:rPr>
          <w:rFonts w:ascii="Arial" w:hAnsi="Arial" w:cs="Arial"/>
          <w:color w:val="000000" w:themeColor="text1"/>
          <w:sz w:val="22"/>
          <w:lang w:val="es-ES_tradnl"/>
        </w:rPr>
        <w:t xml:space="preserve">C-079 del </w:t>
      </w:r>
      <w:r w:rsidR="00183624">
        <w:rPr>
          <w:rFonts w:ascii="Arial" w:hAnsi="Arial" w:cs="Arial"/>
          <w:color w:val="000000" w:themeColor="text1"/>
          <w:sz w:val="22"/>
          <w:lang w:val="es-ES_tradnl"/>
        </w:rPr>
        <w:t>17 de marzo de 2021 y el</w:t>
      </w:r>
      <w:r w:rsidR="00183624" w:rsidRPr="00183624">
        <w:t xml:space="preserve"> </w:t>
      </w:r>
      <w:r w:rsidR="00183624" w:rsidRPr="00183624">
        <w:rPr>
          <w:rFonts w:ascii="Arial" w:hAnsi="Arial" w:cs="Arial"/>
          <w:color w:val="000000" w:themeColor="text1"/>
          <w:sz w:val="22"/>
          <w:lang w:val="es-ES_tradnl"/>
        </w:rPr>
        <w:t>C-003 del 25 de marzo de 202</w:t>
      </w:r>
      <w:r w:rsidR="00183624">
        <w:rPr>
          <w:rFonts w:ascii="Arial" w:hAnsi="Arial" w:cs="Arial"/>
          <w:color w:val="000000" w:themeColor="text1"/>
          <w:sz w:val="22"/>
          <w:lang w:val="es-ES_tradnl"/>
        </w:rPr>
        <w:t xml:space="preserve">1 </w:t>
      </w:r>
      <w:r w:rsidRPr="00034583">
        <w:rPr>
          <w:rFonts w:ascii="Arial" w:hAnsi="Arial" w:cs="Arial"/>
          <w:color w:val="000000" w:themeColor="text1"/>
          <w:sz w:val="22"/>
          <w:lang w:val="es-ES_tradnl"/>
        </w:rPr>
        <w:t xml:space="preserve">. </w:t>
      </w:r>
      <w:r w:rsidR="00EB36CC">
        <w:rPr>
          <w:rFonts w:ascii="Arial" w:hAnsi="Arial" w:cs="Arial"/>
          <w:color w:val="000000" w:themeColor="text1"/>
          <w:sz w:val="22"/>
          <w:lang w:val="es-ES_tradnl"/>
        </w:rPr>
        <w:t xml:space="preserve">Algunos de los argumentos expuestos en estos conceptos se retoman y </w:t>
      </w:r>
      <w:r w:rsidR="008F1171">
        <w:rPr>
          <w:rFonts w:ascii="Arial" w:hAnsi="Arial" w:cs="Arial"/>
          <w:color w:val="000000" w:themeColor="text1"/>
          <w:sz w:val="22"/>
          <w:lang w:val="es-ES_tradnl"/>
        </w:rPr>
        <w:t>complementan a continuación.</w:t>
      </w:r>
      <w:r w:rsidR="002A1A46" w:rsidRPr="00E07AAA" w:rsidDel="00034583">
        <w:rPr>
          <w:rFonts w:ascii="Arial" w:hAnsi="Arial" w:cs="Arial"/>
          <w:color w:val="000000" w:themeColor="text1"/>
          <w:sz w:val="22"/>
          <w:lang w:val="es-ES_tradnl"/>
        </w:rPr>
        <w:t xml:space="preserve"> </w:t>
      </w:r>
    </w:p>
    <w:p w14:paraId="798A65DE" w14:textId="14D3F935" w:rsidR="005B52BF" w:rsidRPr="005B52BF" w:rsidRDefault="005B52BF" w:rsidP="005B52BF">
      <w:pPr>
        <w:widowControl w:val="0"/>
        <w:autoSpaceDE w:val="0"/>
        <w:autoSpaceDN w:val="0"/>
        <w:spacing w:before="120" w:line="276" w:lineRule="auto"/>
        <w:ind w:right="51" w:firstLine="709"/>
        <w:jc w:val="both"/>
        <w:rPr>
          <w:rFonts w:ascii="Arial" w:eastAsia="Arial" w:hAnsi="Arial" w:cs="Arial"/>
          <w:sz w:val="22"/>
          <w:lang w:eastAsia="es-ES" w:bidi="es-ES"/>
        </w:rPr>
      </w:pPr>
      <w:r w:rsidRPr="00E857F6">
        <w:rPr>
          <w:rFonts w:ascii="Arial" w:eastAsia="Arial" w:hAnsi="Arial" w:cs="Arial"/>
          <w:sz w:val="22"/>
          <w:lang w:eastAsia="es-ES" w:bidi="es-ES"/>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w:t>
      </w:r>
      <w:r w:rsidRPr="00E857F6">
        <w:rPr>
          <w:rFonts w:ascii="Arial" w:eastAsia="Arial" w:hAnsi="Arial" w:cs="Arial"/>
          <w:sz w:val="22"/>
          <w:vertAlign w:val="superscript"/>
          <w:lang w:eastAsia="es-ES" w:bidi="es-ES"/>
        </w:rPr>
        <w:footnoteReference w:id="2"/>
      </w:r>
      <w:r w:rsidRPr="00E857F6">
        <w:rPr>
          <w:rFonts w:ascii="Arial" w:eastAsia="Arial" w:hAnsi="Arial" w:cs="Arial"/>
          <w:sz w:val="22"/>
          <w:lang w:eastAsia="es-ES" w:bidi="es-ES"/>
        </w:rPr>
        <w:t>. El Consejo de Estado ha definido la capacidad residual como «la diferencia que existe entre el potencial de contratación que se tiene y los compromisos que haya adquirido y que se encuentren en ejecución, para la fecha de presentación de la oferta»</w:t>
      </w:r>
      <w:r w:rsidRPr="00E857F6">
        <w:rPr>
          <w:rFonts w:ascii="Arial" w:eastAsia="Arial" w:hAnsi="Arial" w:cs="Arial"/>
          <w:sz w:val="22"/>
          <w:vertAlign w:val="superscript"/>
          <w:lang w:eastAsia="es-ES" w:bidi="es-ES"/>
        </w:rPr>
        <w:footnoteReference w:id="3"/>
      </w:r>
      <w:r w:rsidRPr="00E857F6">
        <w:rPr>
          <w:rFonts w:ascii="Arial" w:eastAsia="Arial" w:hAnsi="Arial" w:cs="Arial"/>
          <w:sz w:val="22"/>
          <w:lang w:eastAsia="es-ES" w:bidi="es-ES"/>
        </w:rPr>
        <w:t>.</w:t>
      </w:r>
      <w:r w:rsidR="009E70AB">
        <w:rPr>
          <w:rFonts w:ascii="Arial" w:eastAsia="Arial" w:hAnsi="Arial" w:cs="Arial"/>
          <w:sz w:val="22"/>
          <w:lang w:eastAsia="es-ES" w:bidi="es-ES"/>
        </w:rPr>
        <w:t xml:space="preserve"> </w:t>
      </w:r>
      <w:r w:rsidRPr="005B52BF">
        <w:rPr>
          <w:rFonts w:ascii="Arial" w:eastAsia="Arial" w:hAnsi="Arial" w:cs="Arial"/>
          <w:sz w:val="22"/>
          <w:lang w:eastAsia="es-ES" w:bidi="es-ES"/>
        </w:rPr>
        <w:t>Teniendo en cuenta lo dicho antes, la Agencia Nacional de Contratación Pública considera que la capacidad residual hace referencia a la suficiencia que se predica del proponente para asumir nuevas obligaciones que se derivan del contrato objeto del proceso de contratación, en relación con las obligaciones que ha adquirido simultáneamente.</w:t>
      </w:r>
    </w:p>
    <w:p w14:paraId="4D72F028" w14:textId="77777777" w:rsidR="005B52BF" w:rsidRPr="005B52BF" w:rsidRDefault="005B52BF" w:rsidP="005B52BF">
      <w:pPr>
        <w:widowControl w:val="0"/>
        <w:autoSpaceDE w:val="0"/>
        <w:autoSpaceDN w:val="0"/>
        <w:spacing w:before="120" w:line="276" w:lineRule="auto"/>
        <w:ind w:right="51" w:firstLine="709"/>
        <w:jc w:val="both"/>
        <w:rPr>
          <w:rFonts w:ascii="Arial" w:eastAsia="Arial" w:hAnsi="Arial" w:cs="Arial"/>
          <w:sz w:val="22"/>
          <w:lang w:eastAsia="es-ES" w:bidi="es-ES"/>
        </w:rPr>
      </w:pPr>
      <w:r w:rsidRPr="005B52BF">
        <w:rPr>
          <w:rFonts w:ascii="Arial" w:eastAsia="Arial" w:hAnsi="Arial" w:cs="Arial"/>
          <w:sz w:val="22"/>
          <w:lang w:eastAsia="es-ES" w:bidi="es-ES"/>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4D7407C5" w14:textId="77777777" w:rsidR="005B52BF" w:rsidRPr="005B52BF" w:rsidRDefault="005B52BF" w:rsidP="005B52BF">
      <w:pPr>
        <w:widowControl w:val="0"/>
        <w:autoSpaceDE w:val="0"/>
        <w:autoSpaceDN w:val="0"/>
        <w:ind w:right="49"/>
        <w:rPr>
          <w:rFonts w:ascii="Arial" w:eastAsia="Arial" w:hAnsi="Arial" w:cs="Arial"/>
          <w:sz w:val="22"/>
          <w:lang w:eastAsia="es-ES" w:bidi="es-ES"/>
        </w:rPr>
      </w:pPr>
    </w:p>
    <w:p w14:paraId="775AF737" w14:textId="77777777" w:rsidR="005B52BF" w:rsidRPr="005B52BF" w:rsidRDefault="005B52BF" w:rsidP="005B52BF">
      <w:pPr>
        <w:widowControl w:val="0"/>
        <w:autoSpaceDE w:val="0"/>
        <w:autoSpaceDN w:val="0"/>
        <w:ind w:left="709" w:right="758"/>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 xml:space="preserve">Artículo 6. De la verificación de las condiciones de los proponentes. Todas las personas naturales o jurídicas nacionales o extranjeras domiciliadas o con </w:t>
      </w:r>
      <w:r w:rsidRPr="005B52BF">
        <w:rPr>
          <w:rFonts w:ascii="Arial" w:eastAsia="Arial" w:hAnsi="Arial" w:cs="Arial"/>
          <w:sz w:val="21"/>
          <w:szCs w:val="21"/>
          <w:lang w:eastAsia="es-ES" w:bidi="es-ES"/>
        </w:rPr>
        <w:lastRenderedPageBreak/>
        <w:t>sucursal en Colombia, que aspiren a celebrar contratos con las entidades estatales, se inscribirán en el Registro único de Proponentes del Registro Único Empresarial de la Cámara de Comercio con jurisdicción en su domicilio</w:t>
      </w:r>
      <w:r w:rsidRPr="005B52BF">
        <w:rPr>
          <w:rFonts w:ascii="Arial" w:eastAsia="Arial" w:hAnsi="Arial" w:cs="Arial"/>
          <w:spacing w:val="-3"/>
          <w:sz w:val="21"/>
          <w:szCs w:val="21"/>
          <w:lang w:eastAsia="es-ES" w:bidi="es-ES"/>
        </w:rPr>
        <w:t xml:space="preserve"> </w:t>
      </w:r>
      <w:r w:rsidRPr="005B52BF">
        <w:rPr>
          <w:rFonts w:ascii="Arial" w:eastAsia="Arial" w:hAnsi="Arial" w:cs="Arial"/>
          <w:sz w:val="21"/>
          <w:szCs w:val="21"/>
          <w:lang w:eastAsia="es-ES" w:bidi="es-ES"/>
        </w:rPr>
        <w:t>principal.</w:t>
      </w:r>
    </w:p>
    <w:p w14:paraId="77CAF356" w14:textId="77777777" w:rsidR="005B52BF" w:rsidRPr="005B52BF" w:rsidRDefault="005B52BF" w:rsidP="005B52BF">
      <w:pPr>
        <w:widowControl w:val="0"/>
        <w:autoSpaceDE w:val="0"/>
        <w:autoSpaceDN w:val="0"/>
        <w:ind w:left="709" w:right="758"/>
        <w:rPr>
          <w:rFonts w:ascii="Arial" w:eastAsia="Arial" w:hAnsi="Arial" w:cs="Arial"/>
          <w:sz w:val="21"/>
          <w:szCs w:val="21"/>
          <w:lang w:eastAsia="es-ES" w:bidi="es-ES"/>
        </w:rPr>
      </w:pPr>
      <w:r w:rsidRPr="005B52BF">
        <w:rPr>
          <w:rFonts w:ascii="Arial" w:eastAsia="Arial" w:hAnsi="Arial" w:cs="Arial"/>
          <w:sz w:val="21"/>
          <w:szCs w:val="21"/>
          <w:lang w:eastAsia="es-ES" w:bidi="es-ES"/>
        </w:rPr>
        <w:t>(…)</w:t>
      </w:r>
    </w:p>
    <w:p w14:paraId="3FE61BE9" w14:textId="77777777" w:rsidR="005B52BF" w:rsidRPr="005B52BF" w:rsidRDefault="005B52BF" w:rsidP="005B52BF">
      <w:pPr>
        <w:widowControl w:val="0"/>
        <w:autoSpaceDE w:val="0"/>
        <w:autoSpaceDN w:val="0"/>
        <w:spacing w:before="2"/>
        <w:ind w:left="709" w:right="758"/>
        <w:rPr>
          <w:rFonts w:ascii="Arial" w:eastAsia="Arial" w:hAnsi="Arial" w:cs="Arial"/>
          <w:sz w:val="21"/>
          <w:szCs w:val="21"/>
          <w:lang w:eastAsia="es-ES" w:bidi="es-ES"/>
        </w:rPr>
      </w:pPr>
    </w:p>
    <w:p w14:paraId="79C9823F" w14:textId="77777777" w:rsidR="005B52BF" w:rsidRPr="005B52BF" w:rsidRDefault="005B52BF" w:rsidP="005B52BF">
      <w:pPr>
        <w:widowControl w:val="0"/>
        <w:autoSpaceDE w:val="0"/>
        <w:autoSpaceDN w:val="0"/>
        <w:ind w:left="709" w:right="758"/>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4296AB77" w14:textId="77777777" w:rsidR="005B52BF" w:rsidRPr="005B52BF" w:rsidRDefault="005B52BF" w:rsidP="005B52BF">
      <w:pPr>
        <w:widowControl w:val="0"/>
        <w:autoSpaceDE w:val="0"/>
        <w:autoSpaceDN w:val="0"/>
        <w:ind w:right="49"/>
        <w:rPr>
          <w:rFonts w:ascii="Arial" w:eastAsia="Arial" w:hAnsi="Arial" w:cs="Arial"/>
          <w:sz w:val="22"/>
          <w:lang w:eastAsia="es-ES" w:bidi="es-ES"/>
        </w:rPr>
      </w:pPr>
    </w:p>
    <w:p w14:paraId="293CC262" w14:textId="77777777" w:rsidR="005B52BF" w:rsidRPr="005B52BF" w:rsidRDefault="005B52BF" w:rsidP="005B52BF">
      <w:pPr>
        <w:widowControl w:val="0"/>
        <w:autoSpaceDE w:val="0"/>
        <w:autoSpaceDN w:val="0"/>
        <w:spacing w:before="1" w:line="276" w:lineRule="auto"/>
        <w:ind w:right="49" w:firstLine="708"/>
        <w:jc w:val="both"/>
        <w:rPr>
          <w:rFonts w:ascii="Arial" w:eastAsia="Arial" w:hAnsi="Arial" w:cs="Arial"/>
          <w:sz w:val="22"/>
          <w:lang w:eastAsia="es-ES" w:bidi="es-ES"/>
        </w:rPr>
      </w:pPr>
      <w:bookmarkStart w:id="7" w:name="_Hlk97644217"/>
      <w:r w:rsidRPr="00E857F6">
        <w:rPr>
          <w:rFonts w:ascii="Arial" w:eastAsia="Arial" w:hAnsi="Arial" w:cs="Arial"/>
          <w:sz w:val="22"/>
          <w:lang w:eastAsia="es-ES" w:bidi="es-ES"/>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bookmarkEnd w:id="7"/>
    <w:p w14:paraId="1AF9EE63" w14:textId="77777777" w:rsidR="005B52BF" w:rsidRPr="005B52BF" w:rsidRDefault="005B52BF" w:rsidP="005B52BF">
      <w:pPr>
        <w:widowControl w:val="0"/>
        <w:autoSpaceDE w:val="0"/>
        <w:autoSpaceDN w:val="0"/>
        <w:spacing w:before="120" w:line="276" w:lineRule="auto"/>
        <w:ind w:right="51" w:firstLine="709"/>
        <w:jc w:val="both"/>
        <w:rPr>
          <w:rFonts w:ascii="Arial" w:eastAsia="Arial" w:hAnsi="Arial" w:cs="Arial"/>
          <w:sz w:val="22"/>
          <w:lang w:eastAsia="es-ES" w:bidi="es-ES"/>
        </w:rPr>
      </w:pPr>
      <w:r w:rsidRPr="005B52BF">
        <w:rPr>
          <w:rFonts w:ascii="Arial" w:eastAsia="Arial" w:hAnsi="Arial" w:cs="Arial"/>
          <w:sz w:val="22"/>
          <w:lang w:eastAsia="es-ES" w:bidi="es-ES"/>
        </w:rPr>
        <w:t>El artículo 2.2.1.1.1.6.4 del Decreto 1082 de 2015, por su parte, establece que las entidades estatales deben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p>
    <w:p w14:paraId="013B1C11" w14:textId="77777777" w:rsidR="005B52BF" w:rsidRPr="005B52BF" w:rsidRDefault="005B52BF" w:rsidP="005B52BF">
      <w:pPr>
        <w:widowControl w:val="0"/>
        <w:autoSpaceDE w:val="0"/>
        <w:autoSpaceDN w:val="0"/>
        <w:spacing w:before="8"/>
        <w:ind w:right="49"/>
        <w:rPr>
          <w:rFonts w:ascii="Arial" w:eastAsia="Arial" w:hAnsi="Arial" w:cs="Arial"/>
          <w:sz w:val="21"/>
          <w:lang w:eastAsia="es-ES" w:bidi="es-ES"/>
        </w:rPr>
      </w:pPr>
    </w:p>
    <w:p w14:paraId="77CDD206" w14:textId="77777777" w:rsidR="00EC0733" w:rsidRDefault="005B52BF" w:rsidP="005B52BF">
      <w:pPr>
        <w:widowControl w:val="0"/>
        <w:autoSpaceDE w:val="0"/>
        <w:autoSpaceDN w:val="0"/>
        <w:ind w:left="709" w:right="760" w:firstLine="2"/>
        <w:rPr>
          <w:rFonts w:ascii="Arial" w:eastAsia="Arial" w:hAnsi="Arial" w:cs="Arial"/>
          <w:sz w:val="21"/>
          <w:szCs w:val="21"/>
          <w:lang w:eastAsia="es-ES" w:bidi="es-ES"/>
        </w:rPr>
      </w:pPr>
      <w:r w:rsidRPr="005B52BF">
        <w:rPr>
          <w:rFonts w:ascii="Arial" w:eastAsia="Arial" w:hAnsi="Arial" w:cs="Arial"/>
          <w:sz w:val="21"/>
          <w:szCs w:val="21"/>
          <w:lang w:eastAsia="es-ES" w:bidi="es-ES"/>
        </w:rPr>
        <w:t xml:space="preserve">Artículo 2.2.1.1.1.6.4. Capacidad Residual. El interesado en celebrar contratos de obra pública con Entidades Estatales debe acreditar su Capacidad Residual o K de Contratación con los siguientes documentos: </w:t>
      </w:r>
    </w:p>
    <w:p w14:paraId="0F3704CD" w14:textId="77777777" w:rsidR="00EC0733" w:rsidRDefault="00EC0733" w:rsidP="00EC0733">
      <w:pPr>
        <w:widowControl w:val="0"/>
        <w:autoSpaceDE w:val="0"/>
        <w:autoSpaceDN w:val="0"/>
        <w:ind w:left="709" w:right="760" w:firstLine="2"/>
        <w:rPr>
          <w:rFonts w:ascii="Arial" w:eastAsia="Arial" w:hAnsi="Arial" w:cs="Arial"/>
          <w:b/>
          <w:bCs/>
          <w:sz w:val="21"/>
          <w:szCs w:val="21"/>
          <w:lang w:eastAsia="es-ES" w:bidi="es-ES"/>
        </w:rPr>
      </w:pPr>
    </w:p>
    <w:p w14:paraId="40573C43" w14:textId="4EB4F565" w:rsidR="00EC0733" w:rsidRPr="00EC0733" w:rsidRDefault="00EC0733" w:rsidP="004D7FA9">
      <w:pPr>
        <w:widowControl w:val="0"/>
        <w:autoSpaceDE w:val="0"/>
        <w:autoSpaceDN w:val="0"/>
        <w:ind w:left="709" w:right="760" w:firstLine="2"/>
        <w:jc w:val="both"/>
        <w:rPr>
          <w:rFonts w:ascii="Arial" w:eastAsia="Arial" w:hAnsi="Arial" w:cs="Arial"/>
          <w:sz w:val="21"/>
          <w:szCs w:val="21"/>
          <w:lang w:eastAsia="es-ES" w:bidi="es-ES"/>
        </w:rPr>
      </w:pPr>
      <w:r w:rsidRPr="00EC0733">
        <w:rPr>
          <w:rFonts w:ascii="Arial" w:eastAsia="Arial" w:hAnsi="Arial" w:cs="Arial"/>
          <w:sz w:val="21"/>
          <w:szCs w:val="21"/>
          <w:lang w:eastAsia="es-ES" w:bidi="es-ES"/>
        </w:rPr>
        <w:t xml:space="preserve">1. La lista de los contratos de obras civiles en ejecución suscritos con Entidades Estatales y con entidades privadas, así como el valor y plazo de tales contratos, incluyendo contratos de concesión y los contratos de obra suscritos con concesionarios. </w:t>
      </w:r>
    </w:p>
    <w:p w14:paraId="4AF713A4" w14:textId="77777777" w:rsidR="00EC0733" w:rsidRPr="00EC0733" w:rsidRDefault="00EC0733" w:rsidP="004D7FA9">
      <w:pPr>
        <w:widowControl w:val="0"/>
        <w:autoSpaceDE w:val="0"/>
        <w:autoSpaceDN w:val="0"/>
        <w:ind w:left="709" w:right="760" w:firstLine="2"/>
        <w:jc w:val="both"/>
        <w:rPr>
          <w:rFonts w:ascii="Arial" w:eastAsia="Arial" w:hAnsi="Arial" w:cs="Arial"/>
          <w:sz w:val="21"/>
          <w:szCs w:val="21"/>
          <w:lang w:eastAsia="es-ES" w:bidi="es-ES"/>
        </w:rPr>
      </w:pPr>
    </w:p>
    <w:p w14:paraId="06762417" w14:textId="105CF11A" w:rsidR="00EC0733" w:rsidRDefault="00EC0733" w:rsidP="00EC0733">
      <w:pPr>
        <w:widowControl w:val="0"/>
        <w:autoSpaceDE w:val="0"/>
        <w:autoSpaceDN w:val="0"/>
        <w:ind w:left="709" w:right="760" w:firstLine="2"/>
        <w:jc w:val="both"/>
        <w:rPr>
          <w:rFonts w:ascii="Arial" w:eastAsia="Arial" w:hAnsi="Arial" w:cs="Arial"/>
          <w:sz w:val="21"/>
          <w:szCs w:val="21"/>
          <w:lang w:eastAsia="es-ES" w:bidi="es-ES"/>
        </w:rPr>
      </w:pPr>
      <w:r w:rsidRPr="00EC0733">
        <w:rPr>
          <w:rFonts w:ascii="Arial" w:eastAsia="Arial" w:hAnsi="Arial" w:cs="Arial"/>
          <w:sz w:val="21"/>
          <w:szCs w:val="21"/>
          <w:lang w:eastAsia="es-ES" w:bidi="es-ES"/>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89A3DE6" w14:textId="77777777" w:rsidR="002A17AB" w:rsidRDefault="002A17AB" w:rsidP="00EC0733">
      <w:pPr>
        <w:widowControl w:val="0"/>
        <w:autoSpaceDE w:val="0"/>
        <w:autoSpaceDN w:val="0"/>
        <w:ind w:left="709" w:right="760" w:firstLine="2"/>
        <w:jc w:val="both"/>
        <w:rPr>
          <w:rFonts w:ascii="Arial" w:eastAsia="Arial" w:hAnsi="Arial" w:cs="Arial"/>
          <w:sz w:val="21"/>
          <w:szCs w:val="21"/>
          <w:lang w:eastAsia="es-ES" w:bidi="es-ES"/>
        </w:rPr>
      </w:pPr>
    </w:p>
    <w:p w14:paraId="46889FD2" w14:textId="77777777" w:rsidR="002A17AB" w:rsidRPr="002A17AB" w:rsidRDefault="002A17AB" w:rsidP="002A17AB">
      <w:pPr>
        <w:widowControl w:val="0"/>
        <w:autoSpaceDE w:val="0"/>
        <w:autoSpaceDN w:val="0"/>
        <w:ind w:left="709" w:right="760" w:firstLine="2"/>
        <w:jc w:val="both"/>
        <w:rPr>
          <w:rFonts w:ascii="Arial" w:eastAsia="Arial" w:hAnsi="Arial" w:cs="Arial"/>
          <w:sz w:val="21"/>
          <w:szCs w:val="21"/>
          <w:lang w:eastAsia="es-ES" w:bidi="es-ES"/>
        </w:rPr>
      </w:pPr>
      <w:r w:rsidRPr="002A17AB">
        <w:rPr>
          <w:rFonts w:ascii="Arial" w:eastAsia="Arial" w:hAnsi="Arial" w:cs="Arial"/>
          <w:sz w:val="21"/>
          <w:szCs w:val="21"/>
          <w:lang w:eastAsia="es-ES" w:bidi="es-ES"/>
        </w:rPr>
        <w:t xml:space="preserve">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w:t>
      </w:r>
      <w:r w:rsidRPr="002A17AB">
        <w:rPr>
          <w:rFonts w:ascii="Arial" w:eastAsia="Arial" w:hAnsi="Arial" w:cs="Arial"/>
          <w:sz w:val="21"/>
          <w:szCs w:val="21"/>
          <w:lang w:eastAsia="es-ES" w:bidi="es-ES"/>
        </w:rPr>
        <w:lastRenderedPageBreak/>
        <w:t xml:space="preserve">proponente obtuvo el mayor ingreso operacional en los últimos cinco (5) años. </w:t>
      </w:r>
    </w:p>
    <w:p w14:paraId="08CE1A53" w14:textId="77777777" w:rsidR="00EC0733" w:rsidRDefault="00EC0733" w:rsidP="005B52BF">
      <w:pPr>
        <w:widowControl w:val="0"/>
        <w:autoSpaceDE w:val="0"/>
        <w:autoSpaceDN w:val="0"/>
        <w:ind w:left="709" w:right="760" w:firstLine="2"/>
        <w:rPr>
          <w:rFonts w:ascii="Arial" w:eastAsia="Arial" w:hAnsi="Arial" w:cs="Arial"/>
          <w:sz w:val="21"/>
          <w:szCs w:val="21"/>
          <w:lang w:eastAsia="es-ES" w:bidi="es-ES"/>
        </w:rPr>
      </w:pPr>
    </w:p>
    <w:p w14:paraId="53B07252" w14:textId="29AC9A6B" w:rsidR="005B52BF" w:rsidRPr="005B52BF" w:rsidRDefault="00EC0733" w:rsidP="005B52BF">
      <w:pPr>
        <w:widowControl w:val="0"/>
        <w:autoSpaceDE w:val="0"/>
        <w:autoSpaceDN w:val="0"/>
        <w:ind w:left="709" w:right="760" w:firstLine="2"/>
        <w:rPr>
          <w:rFonts w:ascii="Arial" w:eastAsia="Arial" w:hAnsi="Arial" w:cs="Arial"/>
          <w:sz w:val="21"/>
          <w:szCs w:val="21"/>
          <w:lang w:eastAsia="es-ES" w:bidi="es-ES"/>
        </w:rPr>
      </w:pPr>
      <w:r>
        <w:rPr>
          <w:rFonts w:ascii="Arial" w:eastAsia="Arial" w:hAnsi="Arial" w:cs="Arial"/>
          <w:sz w:val="21"/>
          <w:szCs w:val="21"/>
          <w:lang w:eastAsia="es-ES" w:bidi="es-ES"/>
        </w:rPr>
        <w:t>[</w:t>
      </w:r>
      <w:r w:rsidR="005B52BF" w:rsidRPr="005B52BF">
        <w:rPr>
          <w:rFonts w:ascii="Arial" w:eastAsia="Arial" w:hAnsi="Arial" w:cs="Arial"/>
          <w:sz w:val="21"/>
          <w:szCs w:val="21"/>
          <w:lang w:eastAsia="es-ES" w:bidi="es-ES"/>
        </w:rPr>
        <w:t>…</w:t>
      </w:r>
      <w:r>
        <w:rPr>
          <w:rFonts w:ascii="Arial" w:eastAsia="Arial" w:hAnsi="Arial" w:cs="Arial"/>
          <w:sz w:val="21"/>
          <w:szCs w:val="21"/>
          <w:lang w:eastAsia="es-ES" w:bidi="es-ES"/>
        </w:rPr>
        <w:t>]</w:t>
      </w:r>
    </w:p>
    <w:p w14:paraId="331E8BD5" w14:textId="77777777" w:rsidR="005B52BF" w:rsidRPr="005B52BF" w:rsidRDefault="005B52BF" w:rsidP="005B52BF">
      <w:pPr>
        <w:widowControl w:val="0"/>
        <w:autoSpaceDE w:val="0"/>
        <w:autoSpaceDN w:val="0"/>
        <w:ind w:left="709" w:right="760"/>
        <w:rPr>
          <w:rFonts w:ascii="Arial" w:eastAsia="Arial" w:hAnsi="Arial" w:cs="Arial"/>
          <w:sz w:val="21"/>
          <w:szCs w:val="21"/>
          <w:lang w:eastAsia="es-ES" w:bidi="es-ES"/>
        </w:rPr>
      </w:pPr>
    </w:p>
    <w:p w14:paraId="35E739BB" w14:textId="77777777" w:rsidR="005B52BF" w:rsidRPr="005B52BF" w:rsidRDefault="005B52BF" w:rsidP="005B52BF">
      <w:pPr>
        <w:widowControl w:val="0"/>
        <w:autoSpaceDE w:val="0"/>
        <w:autoSpaceDN w:val="0"/>
        <w:ind w:left="709" w:right="760" w:firstLine="2"/>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029E7C20" w14:textId="77777777" w:rsidR="005B52BF" w:rsidRPr="005B52BF" w:rsidRDefault="005B52BF" w:rsidP="005B52BF">
      <w:pPr>
        <w:widowControl w:val="0"/>
        <w:autoSpaceDE w:val="0"/>
        <w:autoSpaceDN w:val="0"/>
        <w:ind w:right="49"/>
        <w:rPr>
          <w:rFonts w:ascii="Arial" w:eastAsia="Arial" w:hAnsi="Arial" w:cs="Arial"/>
          <w:sz w:val="22"/>
          <w:lang w:eastAsia="es-ES" w:bidi="es-ES"/>
        </w:rPr>
      </w:pPr>
    </w:p>
    <w:p w14:paraId="150C8C27" w14:textId="128BDFA8" w:rsidR="005B52BF" w:rsidRPr="005B52BF" w:rsidRDefault="005B52BF" w:rsidP="005B52BF">
      <w:pPr>
        <w:widowControl w:val="0"/>
        <w:autoSpaceDE w:val="0"/>
        <w:autoSpaceDN w:val="0"/>
        <w:spacing w:line="276" w:lineRule="auto"/>
        <w:ind w:right="49" w:firstLine="709"/>
        <w:jc w:val="both"/>
        <w:rPr>
          <w:rFonts w:ascii="Arial" w:eastAsia="Arial" w:hAnsi="Arial" w:cs="Arial"/>
          <w:sz w:val="22"/>
          <w:lang w:eastAsia="es-ES" w:bidi="es-ES"/>
        </w:rPr>
      </w:pPr>
      <w:r w:rsidRPr="005B52BF">
        <w:rPr>
          <w:rFonts w:ascii="Arial" w:eastAsia="Arial" w:hAnsi="Arial" w:cs="Arial"/>
          <w:sz w:val="22"/>
          <w:lang w:eastAsia="es-ES" w:bidi="es-ES"/>
        </w:rPr>
        <w:t xml:space="preserve">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w:t>
      </w:r>
      <w:r w:rsidR="00B44944">
        <w:rPr>
          <w:rFonts w:ascii="Arial" w:eastAsia="Arial" w:hAnsi="Arial" w:cs="Arial"/>
          <w:sz w:val="22"/>
          <w:lang w:eastAsia="es-ES" w:bidi="es-ES"/>
        </w:rPr>
        <w:t xml:space="preserve">le </w:t>
      </w:r>
      <w:r w:rsidRPr="005B52BF">
        <w:rPr>
          <w:rFonts w:ascii="Arial" w:eastAsia="Arial" w:hAnsi="Arial" w:cs="Arial"/>
          <w:sz w:val="22"/>
          <w:lang w:eastAsia="es-ES" w:bidi="es-ES"/>
        </w:rPr>
        <w:t xml:space="preserve">corresponde, </w:t>
      </w:r>
      <w:r w:rsidR="00B44944">
        <w:rPr>
          <w:rFonts w:ascii="Arial" w:eastAsia="Arial" w:hAnsi="Arial" w:cs="Arial"/>
          <w:sz w:val="22"/>
          <w:lang w:eastAsia="es-ES" w:bidi="es-ES"/>
        </w:rPr>
        <w:t>en primer lugar</w:t>
      </w:r>
      <w:r w:rsidRPr="005B52BF">
        <w:rPr>
          <w:rFonts w:ascii="Arial" w:eastAsia="Arial" w:hAnsi="Arial" w:cs="Arial"/>
          <w:sz w:val="22"/>
          <w:lang w:eastAsia="es-ES" w:bidi="es-ES"/>
        </w:rPr>
        <w:t xml:space="preserve">, establecer la capacidad residual del proceso de contratación CRPC y, </w:t>
      </w:r>
      <w:r w:rsidR="00F652BC">
        <w:rPr>
          <w:rFonts w:ascii="Arial" w:eastAsia="Arial" w:hAnsi="Arial" w:cs="Arial"/>
          <w:sz w:val="22"/>
          <w:lang w:eastAsia="es-ES" w:bidi="es-ES"/>
        </w:rPr>
        <w:t xml:space="preserve">en </w:t>
      </w:r>
      <w:r w:rsidRPr="005B52BF">
        <w:rPr>
          <w:rFonts w:ascii="Arial" w:eastAsia="Arial" w:hAnsi="Arial" w:cs="Arial"/>
          <w:sz w:val="22"/>
          <w:lang w:eastAsia="es-ES" w:bidi="es-ES"/>
        </w:rPr>
        <w:t>segundo</w:t>
      </w:r>
      <w:r w:rsidR="00F652BC">
        <w:rPr>
          <w:rFonts w:ascii="Arial" w:eastAsia="Arial" w:hAnsi="Arial" w:cs="Arial"/>
          <w:sz w:val="22"/>
          <w:lang w:eastAsia="es-ES" w:bidi="es-ES"/>
        </w:rPr>
        <w:t xml:space="preserve"> término</w:t>
      </w:r>
      <w:r w:rsidRPr="005B52BF">
        <w:rPr>
          <w:rFonts w:ascii="Arial" w:eastAsia="Arial" w:hAnsi="Arial" w:cs="Arial"/>
          <w:sz w:val="22"/>
          <w:lang w:eastAsia="es-ES" w:bidi="es-ES"/>
        </w:rPr>
        <w:t>, determinar si los proponentes cumplen con la capacidad residual del proceso de contratación, claro está, teniendo en cuenta la siguiente información aportada por el proponente:</w:t>
      </w:r>
    </w:p>
    <w:p w14:paraId="1D697450" w14:textId="77777777" w:rsidR="005B52BF" w:rsidRPr="005B52BF" w:rsidRDefault="005B52BF" w:rsidP="005B52BF">
      <w:pPr>
        <w:widowControl w:val="0"/>
        <w:autoSpaceDE w:val="0"/>
        <w:autoSpaceDN w:val="0"/>
        <w:ind w:left="709" w:right="760"/>
        <w:jc w:val="both"/>
        <w:rPr>
          <w:rFonts w:ascii="Arial" w:eastAsia="Arial" w:hAnsi="Arial" w:cs="Arial"/>
          <w:sz w:val="21"/>
          <w:szCs w:val="21"/>
          <w:lang w:eastAsia="es-ES" w:bidi="es-ES"/>
        </w:rPr>
      </w:pPr>
    </w:p>
    <w:p w14:paraId="719FD7C2" w14:textId="77777777" w:rsidR="005B52BF" w:rsidRPr="005B52BF" w:rsidRDefault="005B52BF" w:rsidP="005B52BF">
      <w:pPr>
        <w:widowControl w:val="0"/>
        <w:numPr>
          <w:ilvl w:val="0"/>
          <w:numId w:val="32"/>
        </w:numPr>
        <w:tabs>
          <w:tab w:val="left" w:pos="993"/>
        </w:tabs>
        <w:autoSpaceDE w:val="0"/>
        <w:autoSpaceDN w:val="0"/>
        <w:ind w:left="709" w:right="760" w:firstLine="0"/>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La lista de los Contratos en Ejecución, así como el valor y plazo de tales contratos.</w:t>
      </w:r>
    </w:p>
    <w:p w14:paraId="1C251E3F" w14:textId="77777777" w:rsidR="005B52BF" w:rsidRPr="005B52BF" w:rsidRDefault="005B52BF" w:rsidP="005B52BF">
      <w:pPr>
        <w:widowControl w:val="0"/>
        <w:tabs>
          <w:tab w:val="left" w:pos="993"/>
        </w:tabs>
        <w:autoSpaceDE w:val="0"/>
        <w:autoSpaceDN w:val="0"/>
        <w:ind w:left="709" w:right="760"/>
        <w:jc w:val="both"/>
        <w:rPr>
          <w:rFonts w:ascii="Arial" w:eastAsia="Arial" w:hAnsi="Arial" w:cs="Arial"/>
          <w:sz w:val="21"/>
          <w:szCs w:val="21"/>
          <w:lang w:eastAsia="es-ES" w:bidi="es-ES"/>
        </w:rPr>
      </w:pPr>
    </w:p>
    <w:p w14:paraId="57061899" w14:textId="77777777" w:rsidR="005B52BF" w:rsidRPr="005B52BF" w:rsidRDefault="005B52BF" w:rsidP="005B52BF">
      <w:pPr>
        <w:widowControl w:val="0"/>
        <w:numPr>
          <w:ilvl w:val="0"/>
          <w:numId w:val="32"/>
        </w:numPr>
        <w:tabs>
          <w:tab w:val="left" w:pos="993"/>
        </w:tabs>
        <w:autoSpaceDE w:val="0"/>
        <w:autoSpaceDN w:val="0"/>
        <w:ind w:left="709" w:right="760" w:firstLine="0"/>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La lista de los Contratos en Ejecución, suscritos por sociedades, consorcios o uniones temporales, en los cuales el proponente tenga participación, así como el valor y plazo de tales contratos.</w:t>
      </w:r>
    </w:p>
    <w:p w14:paraId="1FEA8AE3" w14:textId="77777777" w:rsidR="005B52BF" w:rsidRPr="005B52BF" w:rsidRDefault="005B52BF" w:rsidP="005B52BF">
      <w:pPr>
        <w:widowControl w:val="0"/>
        <w:tabs>
          <w:tab w:val="left" w:pos="993"/>
        </w:tabs>
        <w:autoSpaceDE w:val="0"/>
        <w:autoSpaceDN w:val="0"/>
        <w:ind w:right="760"/>
        <w:jc w:val="both"/>
        <w:rPr>
          <w:rFonts w:ascii="Arial" w:eastAsia="Arial" w:hAnsi="Arial" w:cs="Arial"/>
          <w:sz w:val="21"/>
          <w:szCs w:val="21"/>
          <w:lang w:eastAsia="es-ES" w:bidi="es-ES"/>
        </w:rPr>
      </w:pPr>
    </w:p>
    <w:p w14:paraId="03DEF020" w14:textId="77777777" w:rsidR="005B52BF" w:rsidRPr="005B52BF" w:rsidRDefault="005B52BF" w:rsidP="005B52BF">
      <w:pPr>
        <w:widowControl w:val="0"/>
        <w:numPr>
          <w:ilvl w:val="0"/>
          <w:numId w:val="32"/>
        </w:numPr>
        <w:tabs>
          <w:tab w:val="left" w:pos="993"/>
        </w:tabs>
        <w:autoSpaceDE w:val="0"/>
        <w:autoSpaceDN w:val="0"/>
        <w:ind w:left="709" w:right="760" w:firstLine="0"/>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1AAE9DF2" w14:textId="77777777" w:rsidR="005B52BF" w:rsidRPr="005B52BF" w:rsidRDefault="005B52BF" w:rsidP="005B52BF">
      <w:pPr>
        <w:widowControl w:val="0"/>
        <w:autoSpaceDE w:val="0"/>
        <w:autoSpaceDN w:val="0"/>
        <w:spacing w:line="276" w:lineRule="auto"/>
        <w:ind w:right="51" w:firstLine="709"/>
        <w:jc w:val="both"/>
        <w:rPr>
          <w:rFonts w:ascii="Arial" w:eastAsia="Arial" w:hAnsi="Arial" w:cs="Arial"/>
          <w:sz w:val="22"/>
          <w:lang w:eastAsia="es-ES" w:bidi="es-ES"/>
        </w:rPr>
      </w:pPr>
    </w:p>
    <w:p w14:paraId="37EE07BC" w14:textId="36DB9DC9" w:rsidR="005B52BF" w:rsidRPr="005B52BF" w:rsidRDefault="00C970C5" w:rsidP="005B52BF">
      <w:pPr>
        <w:widowControl w:val="0"/>
        <w:autoSpaceDE w:val="0"/>
        <w:autoSpaceDN w:val="0"/>
        <w:spacing w:line="276" w:lineRule="auto"/>
        <w:ind w:right="51" w:firstLine="709"/>
        <w:jc w:val="both"/>
        <w:rPr>
          <w:rFonts w:ascii="Arial" w:eastAsia="Arial" w:hAnsi="Arial" w:cs="Arial"/>
          <w:sz w:val="22"/>
          <w:lang w:eastAsia="es-ES" w:bidi="es-ES"/>
        </w:rPr>
      </w:pPr>
      <w:r>
        <w:rPr>
          <w:rFonts w:ascii="Arial" w:eastAsia="Arial" w:hAnsi="Arial" w:cs="Arial"/>
          <w:sz w:val="22"/>
          <w:lang w:eastAsia="es-ES" w:bidi="es-ES"/>
        </w:rPr>
        <w:t>P</w:t>
      </w:r>
      <w:r w:rsidR="005B52BF" w:rsidRPr="005B52BF">
        <w:rPr>
          <w:rFonts w:ascii="Arial" w:eastAsia="Arial" w:hAnsi="Arial" w:cs="Arial"/>
          <w:sz w:val="22"/>
          <w:lang w:eastAsia="es-ES" w:bidi="es-ES"/>
        </w:rPr>
        <w:t xml:space="preserve">ara establecer la capacidad residual del proceso de contratación CRPC se debe determinar si el plazo del contrato es superior a </w:t>
      </w:r>
      <w:r>
        <w:rPr>
          <w:rFonts w:ascii="Arial" w:eastAsia="Arial" w:hAnsi="Arial" w:cs="Arial"/>
          <w:sz w:val="22"/>
          <w:lang w:eastAsia="es-ES" w:bidi="es-ES"/>
        </w:rPr>
        <w:t>12</w:t>
      </w:r>
      <w:r w:rsidR="005B52BF" w:rsidRPr="005B52BF">
        <w:rPr>
          <w:rFonts w:ascii="Arial" w:eastAsia="Arial" w:hAnsi="Arial" w:cs="Arial"/>
          <w:sz w:val="22"/>
          <w:lang w:eastAsia="es-ES" w:bidi="es-ES"/>
        </w:rPr>
        <w:t xml:space="preserv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1AB8154" w14:textId="7D64F8B1" w:rsidR="005B52BF" w:rsidRPr="005B52BF" w:rsidRDefault="005B52BF" w:rsidP="005B52BF">
      <w:pPr>
        <w:widowControl w:val="0"/>
        <w:autoSpaceDE w:val="0"/>
        <w:autoSpaceDN w:val="0"/>
        <w:spacing w:before="120" w:line="276" w:lineRule="auto"/>
        <w:ind w:right="51" w:firstLine="709"/>
        <w:jc w:val="both"/>
        <w:rPr>
          <w:rFonts w:ascii="Arial" w:eastAsia="Arial" w:hAnsi="Arial" w:cs="Arial"/>
          <w:sz w:val="22"/>
          <w:lang w:eastAsia="es-ES" w:bidi="es-ES"/>
        </w:rPr>
      </w:pPr>
      <w:r w:rsidRPr="005B52BF">
        <w:rPr>
          <w:rFonts w:ascii="Arial" w:eastAsia="Arial" w:hAnsi="Arial" w:cs="Arial"/>
          <w:sz w:val="22"/>
          <w:lang w:eastAsia="es-ES" w:bidi="es-ES"/>
        </w:rPr>
        <w:t xml:space="preserve">Para lo segundo, es decir,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w:t>
      </w:r>
      <w:r w:rsidRPr="005B52BF">
        <w:rPr>
          <w:rFonts w:ascii="Arial" w:eastAsia="Arial" w:hAnsi="Arial" w:cs="Arial"/>
          <w:sz w:val="22"/>
          <w:lang w:eastAsia="es-ES" w:bidi="es-ES"/>
        </w:rPr>
        <w:lastRenderedPageBreak/>
        <w:t>capacidad financiera «CF»; iii) capacidad técnica «CT», iv) capacidad de organización «CO»; y v) los saldos de los contratos en ejecución «SCE», y según la siguiente fórmula:</w:t>
      </w:r>
    </w:p>
    <w:p w14:paraId="6B8D38AC" w14:textId="77777777" w:rsidR="005B52BF" w:rsidRPr="005B52BF" w:rsidRDefault="005B52BF" w:rsidP="005B52BF">
      <w:pPr>
        <w:widowControl w:val="0"/>
        <w:tabs>
          <w:tab w:val="left" w:pos="709"/>
          <w:tab w:val="left" w:pos="8080"/>
        </w:tabs>
        <w:autoSpaceDE w:val="0"/>
        <w:autoSpaceDN w:val="0"/>
        <w:spacing w:before="10"/>
        <w:ind w:right="49"/>
        <w:rPr>
          <w:rFonts w:ascii="Arial" w:eastAsia="Arial" w:hAnsi="Arial" w:cs="Arial"/>
          <w:sz w:val="18"/>
          <w:lang w:eastAsia="es-ES" w:bidi="es-ES"/>
        </w:rPr>
      </w:pPr>
      <w:r w:rsidRPr="005B52BF">
        <w:rPr>
          <w:rFonts w:ascii="Arial" w:eastAsia="Arial" w:hAnsi="Arial" w:cs="Arial"/>
          <w:noProof/>
          <w:sz w:val="22"/>
        </w:rPr>
        <w:drawing>
          <wp:anchor distT="0" distB="0" distL="0" distR="0" simplePos="0" relativeHeight="251659264" behindDoc="0" locked="0" layoutInCell="1" allowOverlap="1" wp14:anchorId="51B18C75" wp14:editId="236645B0">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23C4116D" w14:textId="77777777" w:rsidR="005B52BF" w:rsidRPr="005B52BF" w:rsidRDefault="005B52BF" w:rsidP="005B52BF">
      <w:pPr>
        <w:widowControl w:val="0"/>
        <w:autoSpaceDE w:val="0"/>
        <w:autoSpaceDN w:val="0"/>
        <w:spacing w:before="120" w:line="276" w:lineRule="auto"/>
        <w:ind w:right="51" w:firstLine="709"/>
        <w:jc w:val="both"/>
        <w:rPr>
          <w:rFonts w:ascii="Arial" w:eastAsia="Arial" w:hAnsi="Arial" w:cs="Arial"/>
          <w:sz w:val="22"/>
          <w:lang w:eastAsia="es-ES" w:bidi="es-ES"/>
        </w:rPr>
      </w:pPr>
    </w:p>
    <w:p w14:paraId="33DD4EA7" w14:textId="77777777" w:rsidR="005B52BF" w:rsidRPr="005B52BF" w:rsidRDefault="005B52BF" w:rsidP="005B52BF">
      <w:pPr>
        <w:widowControl w:val="0"/>
        <w:autoSpaceDE w:val="0"/>
        <w:autoSpaceDN w:val="0"/>
        <w:spacing w:before="120" w:line="276" w:lineRule="auto"/>
        <w:ind w:right="51" w:firstLine="709"/>
        <w:jc w:val="both"/>
        <w:rPr>
          <w:rFonts w:ascii="Arial" w:eastAsia="Arial" w:hAnsi="Arial" w:cs="Arial"/>
          <w:sz w:val="22"/>
          <w:lang w:eastAsia="es-ES" w:bidi="es-ES"/>
        </w:rPr>
      </w:pPr>
      <w:r w:rsidRPr="005B52BF">
        <w:rPr>
          <w:rFonts w:ascii="Arial" w:eastAsia="Arial" w:hAnsi="Arial" w:cs="Arial"/>
          <w:sz w:val="22"/>
          <w:lang w:eastAsia="es-ES" w:bidi="es-ES"/>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4C1F1E28" w14:textId="77777777" w:rsidR="005B52BF" w:rsidRPr="005B52BF" w:rsidRDefault="005B52BF" w:rsidP="005B52BF">
      <w:pPr>
        <w:widowControl w:val="0"/>
        <w:numPr>
          <w:ilvl w:val="0"/>
          <w:numId w:val="33"/>
        </w:numPr>
        <w:tabs>
          <w:tab w:val="left" w:pos="993"/>
        </w:tabs>
        <w:autoSpaceDE w:val="0"/>
        <w:autoSpaceDN w:val="0"/>
        <w:spacing w:before="120" w:line="276" w:lineRule="auto"/>
        <w:ind w:left="0" w:right="51" w:firstLine="709"/>
        <w:jc w:val="both"/>
        <w:rPr>
          <w:rFonts w:ascii="Arial" w:eastAsia="Arial" w:hAnsi="Arial" w:cs="Arial"/>
          <w:i/>
          <w:iCs/>
          <w:sz w:val="22"/>
          <w:lang w:eastAsia="es-ES" w:bidi="es-ES"/>
        </w:rPr>
      </w:pPr>
      <w:r w:rsidRPr="005B52BF">
        <w:rPr>
          <w:rFonts w:ascii="Arial" w:eastAsia="Arial" w:hAnsi="Arial" w:cs="Arial"/>
          <w:i/>
          <w:iCs/>
          <w:sz w:val="22"/>
          <w:lang w:eastAsia="es-ES" w:bidi="es-ES"/>
        </w:rPr>
        <w:t>Capacidad financiera.</w:t>
      </w:r>
      <w:r w:rsidRPr="005B52BF">
        <w:rPr>
          <w:rFonts w:ascii="Arial" w:eastAsia="Arial" w:hAnsi="Arial" w:cs="Arial"/>
          <w:sz w:val="22"/>
          <w:lang w:eastAsia="es-ES" w:bidi="es-ES"/>
        </w:rPr>
        <w:t xml:space="preserve"> Se mide por el «índice de liquidez» y este, a su vez, corresponde al resultado de dividir el «activo corriente» sobre el «pasivo corriente». El resultado puede ser calificado entre 20 y cuarenta puntos, según se explica en la Guía.</w:t>
      </w:r>
    </w:p>
    <w:p w14:paraId="60D4B4ED" w14:textId="77777777" w:rsidR="005B52BF" w:rsidRPr="005B52BF" w:rsidRDefault="005B52BF" w:rsidP="005B52BF">
      <w:pPr>
        <w:widowControl w:val="0"/>
        <w:numPr>
          <w:ilvl w:val="0"/>
          <w:numId w:val="33"/>
        </w:numPr>
        <w:tabs>
          <w:tab w:val="left" w:pos="993"/>
        </w:tabs>
        <w:autoSpaceDE w:val="0"/>
        <w:autoSpaceDN w:val="0"/>
        <w:spacing w:before="120" w:line="276" w:lineRule="auto"/>
        <w:ind w:left="0" w:right="51" w:firstLine="709"/>
        <w:jc w:val="both"/>
        <w:rPr>
          <w:rFonts w:ascii="Arial" w:eastAsia="Arial" w:hAnsi="Arial" w:cs="Arial"/>
          <w:i/>
          <w:iCs/>
          <w:sz w:val="22"/>
          <w:lang w:eastAsia="es-ES" w:bidi="es-ES"/>
        </w:rPr>
      </w:pPr>
      <w:r w:rsidRPr="005B52BF">
        <w:rPr>
          <w:rFonts w:ascii="Arial" w:eastAsia="Arial" w:hAnsi="Arial" w:cs="Arial"/>
          <w:i/>
          <w:iCs/>
          <w:sz w:val="22"/>
          <w:lang w:eastAsia="es-ES" w:bidi="es-ES"/>
        </w:rPr>
        <w:t>Capacidad técnica</w:t>
      </w:r>
      <w:r w:rsidRPr="005B52BF">
        <w:rPr>
          <w:rFonts w:ascii="Arial" w:eastAsia="Arial" w:hAnsi="Arial" w:cs="Arial"/>
          <w:sz w:val="22"/>
          <w:lang w:eastAsia="es-ES" w:bidi="es-ES"/>
        </w:rPr>
        <w: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5B2DE47A" w14:textId="77777777" w:rsidR="005B52BF" w:rsidRPr="005B52BF" w:rsidRDefault="005B52BF" w:rsidP="005B52BF">
      <w:pPr>
        <w:widowControl w:val="0"/>
        <w:numPr>
          <w:ilvl w:val="0"/>
          <w:numId w:val="33"/>
        </w:numPr>
        <w:tabs>
          <w:tab w:val="left" w:pos="993"/>
        </w:tabs>
        <w:autoSpaceDE w:val="0"/>
        <w:autoSpaceDN w:val="0"/>
        <w:spacing w:before="120" w:line="276" w:lineRule="auto"/>
        <w:ind w:left="0" w:right="51" w:firstLine="709"/>
        <w:jc w:val="both"/>
        <w:rPr>
          <w:rFonts w:ascii="Arial" w:eastAsia="Arial" w:hAnsi="Arial" w:cs="Arial"/>
          <w:i/>
          <w:iCs/>
          <w:sz w:val="22"/>
          <w:lang w:eastAsia="es-ES" w:bidi="es-ES"/>
        </w:rPr>
      </w:pPr>
      <w:r w:rsidRPr="005B52BF">
        <w:rPr>
          <w:rFonts w:ascii="Arial" w:eastAsia="Arial" w:hAnsi="Arial" w:cs="Arial"/>
          <w:i/>
          <w:iCs/>
          <w:sz w:val="22"/>
          <w:lang w:eastAsia="es-ES" w:bidi="es-ES"/>
        </w:rPr>
        <w:t>Capacidad de organización</w:t>
      </w:r>
      <w:r w:rsidRPr="005B52BF">
        <w:rPr>
          <w:rFonts w:ascii="Arial" w:eastAsia="Arial" w:hAnsi="Arial" w:cs="Arial"/>
          <w:sz w:val="22"/>
          <w:lang w:eastAsia="es-ES" w:bidi="es-ES"/>
        </w:rPr>
        <w:t>. Corresponde a los ingresos operacionales, según el siguiente cuadro:</w:t>
      </w:r>
    </w:p>
    <w:p w14:paraId="0AA30A3E" w14:textId="77777777" w:rsidR="005B52BF" w:rsidRPr="005B52BF" w:rsidRDefault="005B52BF" w:rsidP="005B52BF">
      <w:pPr>
        <w:widowControl w:val="0"/>
        <w:tabs>
          <w:tab w:val="left" w:pos="993"/>
        </w:tabs>
        <w:autoSpaceDE w:val="0"/>
        <w:autoSpaceDN w:val="0"/>
        <w:spacing w:before="120" w:line="276" w:lineRule="auto"/>
        <w:ind w:left="709" w:right="51"/>
        <w:jc w:val="both"/>
        <w:rPr>
          <w:rFonts w:ascii="Arial" w:eastAsia="Arial" w:hAnsi="Arial" w:cs="Arial"/>
          <w:i/>
          <w:iCs/>
          <w:sz w:val="16"/>
          <w:szCs w:val="16"/>
          <w:lang w:eastAsia="es-ES" w:bidi="es-ES"/>
        </w:rPr>
      </w:pPr>
    </w:p>
    <w:tbl>
      <w:tblPr>
        <w:tblStyle w:val="Tablaconcuadrcula"/>
        <w:tblW w:w="7366" w:type="dxa"/>
        <w:tblInd w:w="709" w:type="dxa"/>
        <w:tblLook w:val="04A0" w:firstRow="1" w:lastRow="0" w:firstColumn="1" w:lastColumn="0" w:noHBand="0" w:noVBand="1"/>
      </w:tblPr>
      <w:tblGrid>
        <w:gridCol w:w="4053"/>
        <w:gridCol w:w="3313"/>
      </w:tblGrid>
      <w:tr w:rsidR="005B52BF" w:rsidRPr="005B52BF" w14:paraId="1F5B08BF" w14:textId="77777777" w:rsidTr="005B52BF">
        <w:tc>
          <w:tcPr>
            <w:tcW w:w="4053" w:type="dxa"/>
            <w:shd w:val="clear" w:color="auto" w:fill="D9D9D9"/>
          </w:tcPr>
          <w:p w14:paraId="2BCCB1E9" w14:textId="77777777" w:rsidR="005B52BF" w:rsidRPr="005B52BF" w:rsidRDefault="005B52BF" w:rsidP="005B52BF">
            <w:pPr>
              <w:widowControl w:val="0"/>
              <w:tabs>
                <w:tab w:val="left" w:pos="993"/>
              </w:tabs>
              <w:autoSpaceDE w:val="0"/>
              <w:autoSpaceDN w:val="0"/>
              <w:spacing w:before="120" w:line="276" w:lineRule="auto"/>
              <w:ind w:right="51"/>
              <w:jc w:val="center"/>
              <w:rPr>
                <w:rFonts w:ascii="Arial" w:eastAsia="Arial" w:hAnsi="Arial" w:cs="Arial"/>
                <w:b/>
                <w:bCs/>
                <w:sz w:val="21"/>
                <w:szCs w:val="21"/>
                <w:lang w:eastAsia="es-ES" w:bidi="es-ES"/>
              </w:rPr>
            </w:pPr>
            <w:r w:rsidRPr="005B52BF">
              <w:rPr>
                <w:rFonts w:ascii="Arial" w:eastAsia="Arial" w:hAnsi="Arial" w:cs="Arial"/>
                <w:b/>
                <w:bCs/>
                <w:sz w:val="21"/>
                <w:szCs w:val="21"/>
                <w:lang w:eastAsia="es-ES" w:bidi="es-ES"/>
              </w:rPr>
              <w:t>Años de información financiera</w:t>
            </w:r>
          </w:p>
        </w:tc>
        <w:tc>
          <w:tcPr>
            <w:tcW w:w="3313" w:type="dxa"/>
            <w:shd w:val="clear" w:color="auto" w:fill="D9D9D9"/>
          </w:tcPr>
          <w:p w14:paraId="66D1F2C3" w14:textId="77777777" w:rsidR="005B52BF" w:rsidRPr="005B52BF" w:rsidRDefault="005B52BF" w:rsidP="005B52BF">
            <w:pPr>
              <w:widowControl w:val="0"/>
              <w:tabs>
                <w:tab w:val="left" w:pos="993"/>
              </w:tabs>
              <w:autoSpaceDE w:val="0"/>
              <w:autoSpaceDN w:val="0"/>
              <w:spacing w:before="120" w:line="276" w:lineRule="auto"/>
              <w:ind w:right="51"/>
              <w:jc w:val="center"/>
              <w:rPr>
                <w:rFonts w:ascii="Arial" w:eastAsia="Arial" w:hAnsi="Arial" w:cs="Arial"/>
                <w:b/>
                <w:bCs/>
                <w:sz w:val="21"/>
                <w:szCs w:val="21"/>
                <w:lang w:eastAsia="es-ES" w:bidi="es-ES"/>
              </w:rPr>
            </w:pPr>
            <w:r w:rsidRPr="005B52BF">
              <w:rPr>
                <w:rFonts w:ascii="Arial" w:eastAsia="Arial" w:hAnsi="Arial" w:cs="Arial"/>
                <w:b/>
                <w:bCs/>
                <w:sz w:val="21"/>
                <w:szCs w:val="21"/>
                <w:lang w:eastAsia="es-ES" w:bidi="es-ES"/>
              </w:rPr>
              <w:t>Capacidad de organización</w:t>
            </w:r>
          </w:p>
        </w:tc>
      </w:tr>
      <w:tr w:rsidR="005B52BF" w:rsidRPr="005B52BF" w14:paraId="06C48BA6" w14:textId="77777777" w:rsidTr="006C55C8">
        <w:tc>
          <w:tcPr>
            <w:tcW w:w="4053" w:type="dxa"/>
          </w:tcPr>
          <w:p w14:paraId="026B3C11" w14:textId="77777777" w:rsidR="005B52BF" w:rsidRPr="005B52BF" w:rsidRDefault="005B52BF" w:rsidP="005B52BF">
            <w:pPr>
              <w:widowControl w:val="0"/>
              <w:tabs>
                <w:tab w:val="left" w:pos="993"/>
              </w:tabs>
              <w:autoSpaceDE w:val="0"/>
              <w:autoSpaceDN w:val="0"/>
              <w:spacing w:before="120" w:line="276" w:lineRule="auto"/>
              <w:ind w:right="51"/>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Cinco (5) años o más</w:t>
            </w:r>
          </w:p>
        </w:tc>
        <w:tc>
          <w:tcPr>
            <w:tcW w:w="3313" w:type="dxa"/>
          </w:tcPr>
          <w:p w14:paraId="66EBFFE3" w14:textId="77777777" w:rsidR="005B52BF" w:rsidRPr="005B52BF" w:rsidRDefault="005B52BF" w:rsidP="005B52BF">
            <w:pPr>
              <w:widowControl w:val="0"/>
              <w:tabs>
                <w:tab w:val="left" w:pos="993"/>
              </w:tabs>
              <w:autoSpaceDE w:val="0"/>
              <w:autoSpaceDN w:val="0"/>
              <w:spacing w:before="120" w:line="276" w:lineRule="auto"/>
              <w:ind w:right="51"/>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Mayor ingreso operacional de los últimos cinco años</w:t>
            </w:r>
          </w:p>
        </w:tc>
      </w:tr>
      <w:tr w:rsidR="005B52BF" w:rsidRPr="005B52BF" w14:paraId="3DE6EA8A" w14:textId="77777777" w:rsidTr="006C55C8">
        <w:tc>
          <w:tcPr>
            <w:tcW w:w="4053" w:type="dxa"/>
          </w:tcPr>
          <w:p w14:paraId="3D2E242A" w14:textId="77777777" w:rsidR="005B52BF" w:rsidRPr="005B52BF" w:rsidRDefault="005B52BF" w:rsidP="005B52BF">
            <w:pPr>
              <w:widowControl w:val="0"/>
              <w:tabs>
                <w:tab w:val="left" w:pos="993"/>
              </w:tabs>
              <w:autoSpaceDE w:val="0"/>
              <w:autoSpaceDN w:val="0"/>
              <w:spacing w:before="120" w:line="276" w:lineRule="auto"/>
              <w:ind w:right="51"/>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Entre uno (1) y cinco (5) años</w:t>
            </w:r>
          </w:p>
        </w:tc>
        <w:tc>
          <w:tcPr>
            <w:tcW w:w="3313" w:type="dxa"/>
          </w:tcPr>
          <w:p w14:paraId="2E2E3653" w14:textId="77777777" w:rsidR="005B52BF" w:rsidRPr="005B52BF" w:rsidRDefault="005B52BF" w:rsidP="005B52BF">
            <w:pPr>
              <w:widowControl w:val="0"/>
              <w:tabs>
                <w:tab w:val="left" w:pos="993"/>
              </w:tabs>
              <w:autoSpaceDE w:val="0"/>
              <w:autoSpaceDN w:val="0"/>
              <w:spacing w:before="120" w:line="276" w:lineRule="auto"/>
              <w:ind w:right="51"/>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Mayor ingreso operacional de los años de vida del oferente</w:t>
            </w:r>
          </w:p>
        </w:tc>
      </w:tr>
      <w:tr w:rsidR="005B52BF" w:rsidRPr="005B52BF" w14:paraId="7F6ADA74" w14:textId="77777777" w:rsidTr="006C55C8">
        <w:tc>
          <w:tcPr>
            <w:tcW w:w="4053" w:type="dxa"/>
          </w:tcPr>
          <w:p w14:paraId="5EC0888C" w14:textId="77777777" w:rsidR="005B52BF" w:rsidRPr="005B52BF" w:rsidRDefault="005B52BF" w:rsidP="005B52BF">
            <w:pPr>
              <w:widowControl w:val="0"/>
              <w:tabs>
                <w:tab w:val="left" w:pos="993"/>
              </w:tabs>
              <w:autoSpaceDE w:val="0"/>
              <w:autoSpaceDN w:val="0"/>
              <w:spacing w:before="120" w:line="276" w:lineRule="auto"/>
              <w:ind w:right="51"/>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Menos de un (1) año</w:t>
            </w:r>
          </w:p>
        </w:tc>
        <w:tc>
          <w:tcPr>
            <w:tcW w:w="3313" w:type="dxa"/>
          </w:tcPr>
          <w:p w14:paraId="1B434997" w14:textId="77777777" w:rsidR="005B52BF" w:rsidRPr="005B52BF" w:rsidRDefault="005B52BF" w:rsidP="005B52BF">
            <w:pPr>
              <w:widowControl w:val="0"/>
              <w:tabs>
                <w:tab w:val="left" w:pos="993"/>
              </w:tabs>
              <w:autoSpaceDE w:val="0"/>
              <w:autoSpaceDN w:val="0"/>
              <w:spacing w:before="120" w:line="276" w:lineRule="auto"/>
              <w:ind w:right="51"/>
              <w:jc w:val="both"/>
              <w:rPr>
                <w:rFonts w:ascii="Arial" w:eastAsia="Arial" w:hAnsi="Arial" w:cs="Arial"/>
                <w:sz w:val="21"/>
                <w:szCs w:val="21"/>
                <w:lang w:eastAsia="es-ES" w:bidi="es-ES"/>
              </w:rPr>
            </w:pPr>
            <w:r w:rsidRPr="005B52BF">
              <w:rPr>
                <w:rFonts w:ascii="Arial" w:eastAsia="Arial" w:hAnsi="Arial" w:cs="Arial"/>
                <w:sz w:val="21"/>
                <w:szCs w:val="21"/>
                <w:lang w:eastAsia="es-ES" w:bidi="es-ES"/>
              </w:rPr>
              <w:t>USD 125.000</w:t>
            </w:r>
          </w:p>
        </w:tc>
      </w:tr>
    </w:tbl>
    <w:p w14:paraId="414B819C" w14:textId="77777777" w:rsidR="005B52BF" w:rsidRPr="005B52BF" w:rsidRDefault="005B52BF" w:rsidP="005B52BF">
      <w:pPr>
        <w:widowControl w:val="0"/>
        <w:tabs>
          <w:tab w:val="left" w:pos="993"/>
        </w:tabs>
        <w:autoSpaceDE w:val="0"/>
        <w:autoSpaceDN w:val="0"/>
        <w:spacing w:before="120" w:line="276" w:lineRule="auto"/>
        <w:ind w:left="709" w:right="51"/>
        <w:jc w:val="both"/>
        <w:rPr>
          <w:rFonts w:ascii="Arial" w:eastAsia="Arial" w:hAnsi="Arial" w:cs="Arial"/>
          <w:i/>
          <w:iCs/>
          <w:sz w:val="16"/>
          <w:szCs w:val="16"/>
          <w:lang w:eastAsia="es-ES" w:bidi="es-ES"/>
        </w:rPr>
      </w:pPr>
    </w:p>
    <w:p w14:paraId="08B8260D" w14:textId="77777777" w:rsidR="005B52BF" w:rsidRPr="00E857F6" w:rsidRDefault="005B52BF" w:rsidP="005B52BF">
      <w:pPr>
        <w:widowControl w:val="0"/>
        <w:numPr>
          <w:ilvl w:val="0"/>
          <w:numId w:val="33"/>
        </w:numPr>
        <w:tabs>
          <w:tab w:val="left" w:pos="993"/>
        </w:tabs>
        <w:autoSpaceDE w:val="0"/>
        <w:autoSpaceDN w:val="0"/>
        <w:spacing w:before="120" w:line="276" w:lineRule="auto"/>
        <w:ind w:left="0" w:right="51" w:firstLine="709"/>
        <w:jc w:val="both"/>
        <w:rPr>
          <w:rFonts w:ascii="Arial" w:eastAsia="Arial" w:hAnsi="Arial" w:cs="Arial"/>
          <w:sz w:val="22"/>
          <w:lang w:eastAsia="es-ES" w:bidi="es-ES"/>
        </w:rPr>
      </w:pPr>
      <w:bookmarkStart w:id="8" w:name="_Hlk97644511"/>
      <w:r w:rsidRPr="00E857F6">
        <w:rPr>
          <w:rFonts w:ascii="Arial" w:eastAsia="Arial" w:hAnsi="Arial" w:cs="Arial"/>
          <w:i/>
          <w:iCs/>
          <w:sz w:val="22"/>
          <w:lang w:eastAsia="es-ES" w:bidi="es-ES"/>
        </w:rPr>
        <w:t>Saldos de los contratos en ejecución</w:t>
      </w:r>
      <w:r w:rsidRPr="00E857F6">
        <w:rPr>
          <w:rFonts w:ascii="Arial" w:eastAsia="Arial" w:hAnsi="Arial" w:cs="Arial"/>
          <w:sz w:val="22"/>
          <w:lang w:eastAsia="es-ES" w:bidi="es-ES"/>
        </w:rPr>
        <w:t xml:space="preserve">.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w:t>
      </w:r>
      <w:r w:rsidRPr="00E857F6">
        <w:rPr>
          <w:rFonts w:ascii="Arial" w:eastAsia="Arial" w:hAnsi="Arial" w:cs="Arial"/>
          <w:sz w:val="22"/>
          <w:lang w:eastAsia="es-ES" w:bidi="es-ES"/>
        </w:rPr>
        <w:lastRenderedPageBreak/>
        <w:t>es superior a 360 días, solo se tendrá en cuenta la proporción lineal de 12 meses</w:t>
      </w:r>
      <w:bookmarkEnd w:id="8"/>
      <w:r w:rsidRPr="00E857F6">
        <w:rPr>
          <w:rFonts w:ascii="Arial" w:eastAsia="Arial" w:hAnsi="Arial" w:cs="Arial"/>
          <w:sz w:val="22"/>
          <w:lang w:eastAsia="es-ES" w:bidi="es-ES"/>
        </w:rPr>
        <w:t>.</w:t>
      </w:r>
    </w:p>
    <w:p w14:paraId="1B98752D" w14:textId="77777777" w:rsidR="005B52BF" w:rsidRPr="005B52BF" w:rsidRDefault="005B52BF" w:rsidP="005B52BF">
      <w:pPr>
        <w:widowControl w:val="0"/>
        <w:numPr>
          <w:ilvl w:val="0"/>
          <w:numId w:val="33"/>
        </w:numPr>
        <w:tabs>
          <w:tab w:val="left" w:pos="993"/>
        </w:tabs>
        <w:autoSpaceDE w:val="0"/>
        <w:autoSpaceDN w:val="0"/>
        <w:spacing w:before="120" w:line="276" w:lineRule="auto"/>
        <w:ind w:left="0" w:right="51" w:firstLine="709"/>
        <w:jc w:val="both"/>
        <w:rPr>
          <w:rFonts w:ascii="Arial" w:eastAsia="Arial" w:hAnsi="Arial" w:cs="Arial"/>
          <w:sz w:val="22"/>
          <w:lang w:eastAsia="es-ES" w:bidi="es-ES"/>
        </w:rPr>
      </w:pPr>
      <w:r w:rsidRPr="005B52BF">
        <w:rPr>
          <w:rFonts w:ascii="Arial" w:eastAsia="Arial" w:hAnsi="Arial" w:cs="Arial"/>
          <w:i/>
          <w:iCs/>
          <w:sz w:val="22"/>
          <w:lang w:eastAsia="es-ES" w:bidi="es-ES"/>
        </w:rPr>
        <w:t>Experiencia</w:t>
      </w:r>
      <w:r w:rsidRPr="005B52BF">
        <w:rPr>
          <w:rFonts w:ascii="Arial" w:eastAsia="Arial" w:hAnsi="Arial" w:cs="Arial"/>
          <w:sz w:val="22"/>
          <w:lang w:eastAsia="es-ES" w:bidi="es-ES"/>
        </w:rPr>
        <w:t xml:space="preserve">. Para los efectos de la capacidad residual −no para la experiencia general que debe acreditar el contratista según la Matriz 1−,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4FD86B3B" w14:textId="7018226D" w:rsidR="005B52BF" w:rsidRPr="00E857F6" w:rsidRDefault="005B52BF" w:rsidP="005B52BF">
      <w:pPr>
        <w:spacing w:after="120" w:line="276" w:lineRule="auto"/>
        <w:ind w:firstLine="709"/>
        <w:jc w:val="both"/>
        <w:rPr>
          <w:rFonts w:ascii="Arial" w:hAnsi="Arial" w:cs="Arial"/>
          <w:sz w:val="22"/>
          <w:szCs w:val="22"/>
        </w:rPr>
      </w:pPr>
      <w:r w:rsidRPr="005B52BF">
        <w:rPr>
          <w:rFonts w:ascii="Arial" w:eastAsia="Arial" w:hAnsi="Arial" w:cs="Arial"/>
          <w:sz w:val="22"/>
          <w:lang w:eastAsia="es-ES" w:bidi="es-ES"/>
        </w:rPr>
        <w:t>Resulta del caso precisar que si bien es cierto que es la entidad estatal la que debe calcular la capacidad residual de los proponentes, también lo es que estos últimos, como ya se dijo, tienen como carga aportar los documentos para acreditar su capacidad residual</w:t>
      </w:r>
      <w:r w:rsidRPr="005B52BF">
        <w:rPr>
          <w:rFonts w:ascii="Arial" w:eastAsia="Arial" w:hAnsi="Arial" w:cs="Arial"/>
          <w:sz w:val="22"/>
          <w:vertAlign w:val="superscript"/>
          <w:lang w:eastAsia="es-ES" w:bidi="es-ES"/>
        </w:rPr>
        <w:footnoteReference w:id="4"/>
      </w:r>
      <w:r w:rsidRPr="005B52BF">
        <w:rPr>
          <w:rFonts w:ascii="Arial" w:eastAsia="Arial" w:hAnsi="Arial" w:cs="Arial"/>
          <w:sz w:val="22"/>
          <w:lang w:eastAsia="es-ES" w:bidi="es-ES"/>
        </w:rPr>
        <w:t xml:space="preserve">. </w:t>
      </w:r>
      <w:bookmarkStart w:id="9" w:name="_Hlk97644395"/>
      <w:r w:rsidRPr="00E857F6">
        <w:rPr>
          <w:rFonts w:ascii="Arial" w:hAnsi="Arial" w:cs="Arial"/>
          <w:sz w:val="22"/>
          <w:szCs w:val="22"/>
        </w:rPr>
        <w:t xml:space="preserve">Para acreditar el factor (SCE) «Saldos contratos en ejecución», como lo establece la </w:t>
      </w:r>
      <w:r w:rsidR="004D316E" w:rsidRPr="005B52BF">
        <w:rPr>
          <w:rFonts w:ascii="Arial" w:eastAsia="Arial" w:hAnsi="Arial" w:cs="Arial"/>
          <w:sz w:val="22"/>
          <w:lang w:eastAsia="es-ES" w:bidi="es-ES"/>
        </w:rPr>
        <w:t>«Guía para Determinar y Verificar la Capacidad Residual del Proponente en los Procesos de Contratación de Obra Pública»</w:t>
      </w:r>
      <w:r w:rsidRPr="00E857F6">
        <w:rPr>
          <w:rFonts w:ascii="Arial" w:hAnsi="Arial" w:cs="Arial"/>
          <w:sz w:val="22"/>
          <w:szCs w:val="22"/>
        </w:rPr>
        <w:t>, el proponente debe presentar la lista de Contratos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3C96A122" w14:textId="358869B8" w:rsidR="005B52BF" w:rsidRPr="005F0BF2" w:rsidRDefault="005B52BF" w:rsidP="005B52BF">
      <w:pPr>
        <w:spacing w:line="276" w:lineRule="auto"/>
        <w:ind w:firstLine="709"/>
        <w:jc w:val="both"/>
        <w:rPr>
          <w:rFonts w:ascii="Arial" w:hAnsi="Arial" w:cs="Arial"/>
          <w:i/>
          <w:iCs/>
          <w:sz w:val="22"/>
          <w:szCs w:val="22"/>
          <w:lang w:val="es-ES"/>
        </w:rPr>
      </w:pPr>
      <w:r w:rsidRPr="005F0BF2">
        <w:rPr>
          <w:rFonts w:ascii="Arial" w:hAnsi="Arial" w:cs="Arial"/>
          <w:sz w:val="22"/>
          <w:szCs w:val="22"/>
        </w:rPr>
        <w:t>La «</w:t>
      </w:r>
      <w:r w:rsidRPr="005F0BF2">
        <w:rPr>
          <w:rFonts w:ascii="Arial" w:hAnsi="Arial" w:cs="Arial"/>
          <w:sz w:val="22"/>
          <w:szCs w:val="22"/>
          <w:lang w:val="es-ES"/>
        </w:rPr>
        <w:t>Guía para Determinar y Verificar la Capacidad Residual del Proponente en los Procesos de Contratación de Obra Pública</w:t>
      </w:r>
      <w:r w:rsidRPr="005F0BF2">
        <w:rPr>
          <w:rFonts w:ascii="Arial" w:hAnsi="Arial" w:cs="Arial"/>
          <w:i/>
          <w:iCs/>
          <w:sz w:val="22"/>
          <w:szCs w:val="22"/>
          <w:lang w:val="es-ES"/>
        </w:rPr>
        <w:t>»</w:t>
      </w:r>
      <w:r w:rsidR="00EB36CC" w:rsidRPr="005F0BF2">
        <w:rPr>
          <w:rFonts w:ascii="Arial" w:hAnsi="Arial" w:cs="Arial"/>
          <w:sz w:val="22"/>
          <w:szCs w:val="22"/>
          <w:lang w:val="es-ES"/>
        </w:rPr>
        <w:t xml:space="preserve"> </w:t>
      </w:r>
      <w:r w:rsidR="004D316E" w:rsidRPr="005F0BF2">
        <w:rPr>
          <w:rFonts w:ascii="Arial" w:hAnsi="Arial" w:cs="Arial"/>
          <w:sz w:val="22"/>
          <w:szCs w:val="22"/>
          <w:lang w:val="es-ES"/>
        </w:rPr>
        <w:t>define los</w:t>
      </w:r>
      <w:r w:rsidR="004D316E" w:rsidRPr="005F0BF2">
        <w:rPr>
          <w:rFonts w:ascii="Arial" w:hAnsi="Arial" w:cs="Arial"/>
          <w:i/>
          <w:iCs/>
          <w:sz w:val="22"/>
          <w:szCs w:val="22"/>
          <w:lang w:val="es-ES"/>
        </w:rPr>
        <w:t xml:space="preserve"> </w:t>
      </w:r>
      <w:r w:rsidRPr="005F0BF2">
        <w:rPr>
          <w:rFonts w:ascii="Arial" w:hAnsi="Arial" w:cs="Arial"/>
          <w:i/>
          <w:iCs/>
          <w:sz w:val="22"/>
          <w:szCs w:val="22"/>
          <w:lang w:val="es-ES"/>
        </w:rPr>
        <w:t>Contratos en ejecución</w:t>
      </w:r>
      <w:r w:rsidRPr="005F0BF2">
        <w:rPr>
          <w:rFonts w:ascii="Arial" w:hAnsi="Arial" w:cs="Arial"/>
          <w:sz w:val="22"/>
          <w:szCs w:val="22"/>
          <w:lang w:val="es-ES"/>
        </w:rPr>
        <w:t xml:space="preserve"> </w:t>
      </w:r>
      <w:r w:rsidR="004D316E" w:rsidRPr="005F0BF2">
        <w:rPr>
          <w:rFonts w:ascii="Arial" w:hAnsi="Arial" w:cs="Arial"/>
          <w:sz w:val="22"/>
          <w:szCs w:val="22"/>
          <w:lang w:val="es-ES"/>
        </w:rPr>
        <w:t>en los siguientes términos</w:t>
      </w:r>
      <w:r w:rsidRPr="005F0BF2">
        <w:rPr>
          <w:rFonts w:ascii="Arial" w:hAnsi="Arial" w:cs="Arial"/>
          <w:sz w:val="22"/>
          <w:szCs w:val="22"/>
          <w:lang w:val="es-ES"/>
        </w:rPr>
        <w:t>:</w:t>
      </w:r>
      <w:r w:rsidRPr="005F0BF2">
        <w:rPr>
          <w:rFonts w:ascii="Arial" w:hAnsi="Arial" w:cs="Arial"/>
          <w:i/>
          <w:iCs/>
          <w:sz w:val="22"/>
          <w:szCs w:val="22"/>
          <w:lang w:val="es-ES"/>
        </w:rPr>
        <w:t xml:space="preserve"> </w:t>
      </w:r>
    </w:p>
    <w:p w14:paraId="79B06200" w14:textId="77777777" w:rsidR="005B52BF" w:rsidRPr="005F0BF2" w:rsidRDefault="005B52BF" w:rsidP="005B52BF">
      <w:pPr>
        <w:ind w:left="709" w:right="709"/>
        <w:jc w:val="both"/>
        <w:rPr>
          <w:rFonts w:ascii="Arial" w:hAnsi="Arial" w:cs="Arial"/>
          <w:sz w:val="21"/>
          <w:szCs w:val="21"/>
          <w:lang w:val="es-ES"/>
        </w:rPr>
      </w:pPr>
    </w:p>
    <w:p w14:paraId="7EAC933B" w14:textId="0D94B737" w:rsidR="005B52BF" w:rsidRPr="005F0BF2" w:rsidRDefault="005B52BF" w:rsidP="005B52BF">
      <w:pPr>
        <w:ind w:left="709" w:right="709"/>
        <w:jc w:val="both"/>
        <w:rPr>
          <w:rFonts w:ascii="Arial" w:hAnsi="Arial" w:cs="Arial"/>
          <w:sz w:val="21"/>
          <w:szCs w:val="21"/>
          <w:lang w:val="es-ES"/>
        </w:rPr>
      </w:pPr>
      <w:r w:rsidRPr="005F0BF2">
        <w:rPr>
          <w:rFonts w:ascii="Arial" w:hAnsi="Arial" w:cs="Arial"/>
          <w:sz w:val="21"/>
          <w:szCs w:val="21"/>
          <w:lang w:val="es-ES"/>
        </w:rPr>
        <w:lastRenderedPageBreak/>
        <w:t xml:space="preserve">Son los contratos que a la fecha de presentación de la oferta obligan al proponente con Entidades Estatales y con entidades privadas </w:t>
      </w:r>
      <w:r w:rsidRPr="005F0BF2">
        <w:rPr>
          <w:rFonts w:ascii="Arial" w:hAnsi="Arial" w:cs="Arial"/>
          <w:i/>
          <w:iCs/>
          <w:sz w:val="21"/>
          <w:szCs w:val="21"/>
          <w:u w:val="single"/>
          <w:lang w:val="es-ES"/>
        </w:rPr>
        <w:t>para ejecutar obras civiles, incluyendo la ejecución de obras civiles en los contratos de concesión y los contratos de obra suscritos con concesionarios,</w:t>
      </w:r>
      <w:r w:rsidRPr="005F0BF2">
        <w:rPr>
          <w:rFonts w:ascii="Arial" w:hAnsi="Arial" w:cs="Arial"/>
          <w:i/>
          <w:iCs/>
          <w:sz w:val="21"/>
          <w:szCs w:val="21"/>
          <w:lang w:val="es-ES"/>
        </w:rPr>
        <w:t xml:space="preserve"> </w:t>
      </w:r>
      <w:r w:rsidRPr="005F0BF2">
        <w:rPr>
          <w:rFonts w:ascii="Arial" w:hAnsi="Arial" w:cs="Arial"/>
          <w:i/>
          <w:iCs/>
          <w:sz w:val="21"/>
          <w:szCs w:val="21"/>
          <w:u w:val="single"/>
          <w:lang w:val="es-ES"/>
        </w:rPr>
        <w:t xml:space="preserve">incluyendo los contratos suspendidos y aquellos que no tengan acta de inicio. </w:t>
      </w:r>
      <w:r w:rsidRPr="005F0BF2">
        <w:rPr>
          <w:rFonts w:ascii="Arial" w:hAnsi="Arial" w:cs="Arial"/>
          <w:sz w:val="21"/>
          <w:szCs w:val="21"/>
          <w:lang w:val="es-ES"/>
        </w:rPr>
        <w:t xml:space="preserve">No se entenderán como contratos en ejecución los que se encuentren en liquidación. </w:t>
      </w:r>
      <w:r w:rsidR="004D316E" w:rsidRPr="005F0BF2">
        <w:rPr>
          <w:rFonts w:ascii="Arial" w:hAnsi="Arial" w:cs="Arial"/>
          <w:sz w:val="21"/>
          <w:szCs w:val="21"/>
          <w:lang w:val="es-ES"/>
        </w:rPr>
        <w:t xml:space="preserve">[Énfasis </w:t>
      </w:r>
      <w:r w:rsidRPr="005F0BF2">
        <w:rPr>
          <w:rFonts w:ascii="Arial" w:hAnsi="Arial" w:cs="Arial"/>
          <w:sz w:val="21"/>
          <w:szCs w:val="21"/>
          <w:lang w:val="es-ES"/>
        </w:rPr>
        <w:t>fuera del texto</w:t>
      </w:r>
      <w:r w:rsidR="004D316E" w:rsidRPr="005F0BF2">
        <w:rPr>
          <w:rFonts w:ascii="Arial" w:hAnsi="Arial" w:cs="Arial"/>
          <w:sz w:val="21"/>
          <w:szCs w:val="21"/>
          <w:lang w:val="es-ES"/>
        </w:rPr>
        <w:t>]</w:t>
      </w:r>
      <w:r w:rsidRPr="005F0BF2">
        <w:rPr>
          <w:rFonts w:ascii="Arial" w:hAnsi="Arial" w:cs="Arial"/>
          <w:sz w:val="21"/>
          <w:szCs w:val="21"/>
          <w:vertAlign w:val="superscript"/>
          <w:lang w:val="es-ES"/>
        </w:rPr>
        <w:footnoteReference w:id="5"/>
      </w:r>
      <w:r w:rsidRPr="005F0BF2">
        <w:rPr>
          <w:rFonts w:ascii="Arial" w:hAnsi="Arial" w:cs="Arial"/>
          <w:sz w:val="21"/>
          <w:szCs w:val="21"/>
          <w:lang w:val="es-ES"/>
        </w:rPr>
        <w:t>.</w:t>
      </w:r>
      <w:bookmarkEnd w:id="9"/>
    </w:p>
    <w:p w14:paraId="3D993ABD" w14:textId="77777777" w:rsidR="005B52BF" w:rsidRPr="005F0BF2" w:rsidRDefault="005B52BF" w:rsidP="005B52BF">
      <w:pPr>
        <w:ind w:left="709" w:right="709"/>
        <w:jc w:val="both"/>
        <w:rPr>
          <w:rFonts w:ascii="Arial" w:hAnsi="Arial" w:cs="Arial"/>
          <w:sz w:val="21"/>
          <w:szCs w:val="21"/>
        </w:rPr>
      </w:pPr>
    </w:p>
    <w:p w14:paraId="3A6F4BB0" w14:textId="77777777" w:rsidR="005B52BF" w:rsidRPr="00046469" w:rsidRDefault="005B52BF" w:rsidP="005B52BF">
      <w:pPr>
        <w:spacing w:after="120" w:line="276" w:lineRule="auto"/>
        <w:ind w:firstLine="709"/>
        <w:jc w:val="both"/>
        <w:rPr>
          <w:rFonts w:ascii="Arial" w:hAnsi="Arial" w:cs="Arial"/>
          <w:sz w:val="22"/>
          <w:szCs w:val="22"/>
        </w:rPr>
      </w:pPr>
      <w:r w:rsidRPr="00046469">
        <w:rPr>
          <w:rFonts w:ascii="Arial" w:hAnsi="Arial" w:cs="Arial"/>
          <w:sz w:val="22"/>
          <w:szCs w:val="22"/>
        </w:rPr>
        <w:t>Como se aprecia, los saldos pendientes por ejecutar de los contratos suspendidos es una información que interesa para el cálculo del factor (SCE) «Saldos contratos en ejecución». Al respecto debe mencionarse que, si bien la suspensión de los contratos estatales no es una institución regulada explícitamente en el Estatuto General de Contratación de la Administración Pública, los saldos de los contratos pendientes por ejecutar de los contratos afectados por una suspensión son una información relevante para calcular la capacidad residual del proponente (CRP).</w:t>
      </w:r>
    </w:p>
    <w:p w14:paraId="6C11CCFF" w14:textId="77777777" w:rsidR="00DB0B01" w:rsidRPr="00046469" w:rsidRDefault="00357010" w:rsidP="005B52BF">
      <w:pPr>
        <w:spacing w:after="120" w:line="276" w:lineRule="auto"/>
        <w:ind w:firstLine="709"/>
        <w:jc w:val="both"/>
        <w:rPr>
          <w:rFonts w:ascii="Arial" w:hAnsi="Arial" w:cs="Arial"/>
          <w:sz w:val="22"/>
          <w:szCs w:val="22"/>
        </w:rPr>
      </w:pPr>
      <w:r w:rsidRPr="00046469">
        <w:rPr>
          <w:rFonts w:ascii="Arial" w:hAnsi="Arial" w:cs="Arial"/>
          <w:sz w:val="22"/>
          <w:szCs w:val="22"/>
        </w:rPr>
        <w:t>De otra parte, conforme se desprende de la definición transcrita</w:t>
      </w:r>
      <w:r w:rsidR="00FB3228" w:rsidRPr="00046469">
        <w:rPr>
          <w:rFonts w:ascii="Arial" w:hAnsi="Arial" w:cs="Arial"/>
          <w:sz w:val="22"/>
          <w:szCs w:val="22"/>
        </w:rPr>
        <w:t xml:space="preserve">, la noción de </w:t>
      </w:r>
      <w:r w:rsidR="00FB3228" w:rsidRPr="00046469">
        <w:rPr>
          <w:rFonts w:ascii="Arial" w:hAnsi="Arial" w:cs="Arial"/>
          <w:i/>
          <w:iCs/>
          <w:sz w:val="22"/>
          <w:szCs w:val="22"/>
        </w:rPr>
        <w:t>Contratos en ejecución</w:t>
      </w:r>
      <w:r w:rsidR="00FB3228" w:rsidRPr="00046469">
        <w:rPr>
          <w:rFonts w:ascii="Arial" w:hAnsi="Arial" w:cs="Arial"/>
          <w:sz w:val="22"/>
          <w:szCs w:val="22"/>
        </w:rPr>
        <w:t xml:space="preserve"> solo comprende </w:t>
      </w:r>
      <w:r w:rsidR="004D6388" w:rsidRPr="00046469">
        <w:rPr>
          <w:rFonts w:ascii="Arial" w:hAnsi="Arial" w:cs="Arial"/>
          <w:sz w:val="22"/>
          <w:szCs w:val="22"/>
        </w:rPr>
        <w:t>objetos</w:t>
      </w:r>
      <w:r w:rsidR="00FB3228" w:rsidRPr="00046469">
        <w:rPr>
          <w:rFonts w:ascii="Arial" w:hAnsi="Arial" w:cs="Arial"/>
          <w:sz w:val="22"/>
          <w:szCs w:val="22"/>
        </w:rPr>
        <w:t xml:space="preserve"> que obliguen </w:t>
      </w:r>
      <w:r w:rsidR="000D55E2" w:rsidRPr="00046469">
        <w:rPr>
          <w:rFonts w:ascii="Arial" w:hAnsi="Arial" w:cs="Arial"/>
          <w:sz w:val="22"/>
          <w:szCs w:val="22"/>
        </w:rPr>
        <w:t>a los proponentes a la ejecución de obras civil</w:t>
      </w:r>
      <w:r w:rsidR="00CC7DCA" w:rsidRPr="00046469">
        <w:rPr>
          <w:rFonts w:ascii="Arial" w:hAnsi="Arial" w:cs="Arial"/>
          <w:sz w:val="22"/>
          <w:szCs w:val="22"/>
        </w:rPr>
        <w:t>es</w:t>
      </w:r>
      <w:r w:rsidR="000D55E2" w:rsidRPr="00046469">
        <w:rPr>
          <w:rFonts w:ascii="Arial" w:hAnsi="Arial" w:cs="Arial"/>
          <w:sz w:val="22"/>
          <w:szCs w:val="22"/>
        </w:rPr>
        <w:t>,</w:t>
      </w:r>
      <w:r w:rsidR="00CC7DCA" w:rsidRPr="00046469">
        <w:rPr>
          <w:rFonts w:ascii="Arial" w:hAnsi="Arial" w:cs="Arial"/>
          <w:sz w:val="22"/>
          <w:szCs w:val="22"/>
        </w:rPr>
        <w:t xml:space="preserve"> </w:t>
      </w:r>
      <w:r w:rsidR="00FE5A38" w:rsidRPr="00046469">
        <w:rPr>
          <w:rFonts w:ascii="Arial" w:hAnsi="Arial" w:cs="Arial"/>
          <w:sz w:val="22"/>
          <w:szCs w:val="22"/>
        </w:rPr>
        <w:t xml:space="preserve">involucrando las que </w:t>
      </w:r>
      <w:r w:rsidR="00B97EBF" w:rsidRPr="00046469">
        <w:rPr>
          <w:rFonts w:ascii="Arial" w:hAnsi="Arial" w:cs="Arial"/>
          <w:sz w:val="22"/>
          <w:szCs w:val="22"/>
        </w:rPr>
        <w:t>derivan de contratos de concesión y los contratados de obra</w:t>
      </w:r>
      <w:r w:rsidR="00FE5A38" w:rsidRPr="00046469">
        <w:rPr>
          <w:rFonts w:ascii="Arial" w:hAnsi="Arial" w:cs="Arial"/>
          <w:sz w:val="22"/>
          <w:szCs w:val="22"/>
        </w:rPr>
        <w:t xml:space="preserve"> </w:t>
      </w:r>
      <w:r w:rsidR="00B97EBF" w:rsidRPr="00046469">
        <w:rPr>
          <w:rFonts w:ascii="Arial" w:hAnsi="Arial" w:cs="Arial"/>
          <w:sz w:val="22"/>
          <w:szCs w:val="22"/>
        </w:rPr>
        <w:t xml:space="preserve">que </w:t>
      </w:r>
      <w:r w:rsidR="00FE5A38" w:rsidRPr="00046469">
        <w:rPr>
          <w:rFonts w:ascii="Arial" w:hAnsi="Arial" w:cs="Arial"/>
          <w:sz w:val="22"/>
          <w:szCs w:val="22"/>
        </w:rPr>
        <w:t>desarrollan en el marco de contratos con concesionarios</w:t>
      </w:r>
      <w:r w:rsidR="004B0479" w:rsidRPr="00046469">
        <w:rPr>
          <w:rFonts w:ascii="Arial" w:hAnsi="Arial" w:cs="Arial"/>
          <w:sz w:val="22"/>
          <w:szCs w:val="22"/>
        </w:rPr>
        <w:t xml:space="preserve">. </w:t>
      </w:r>
      <w:r w:rsidR="0082307A" w:rsidRPr="00046469">
        <w:rPr>
          <w:rFonts w:ascii="Arial" w:hAnsi="Arial" w:cs="Arial"/>
          <w:sz w:val="22"/>
          <w:szCs w:val="22"/>
        </w:rPr>
        <w:t xml:space="preserve">De acuerdo con esto, contratos cuya ejecución no supongan </w:t>
      </w:r>
      <w:r w:rsidR="00AC6EE5" w:rsidRPr="00046469">
        <w:rPr>
          <w:rFonts w:ascii="Arial" w:hAnsi="Arial" w:cs="Arial"/>
          <w:sz w:val="22"/>
          <w:szCs w:val="22"/>
        </w:rPr>
        <w:t xml:space="preserve">el desarrollo de trabajos materiales sobre bienes inmuebles no </w:t>
      </w:r>
      <w:r w:rsidR="00A432E9" w:rsidRPr="00046469">
        <w:rPr>
          <w:rFonts w:ascii="Arial" w:hAnsi="Arial" w:cs="Arial"/>
          <w:sz w:val="22"/>
          <w:szCs w:val="22"/>
        </w:rPr>
        <w:t xml:space="preserve">se encuentran dentro de la noción de </w:t>
      </w:r>
      <w:r w:rsidR="00A432E9" w:rsidRPr="00046469">
        <w:rPr>
          <w:rFonts w:ascii="Arial" w:hAnsi="Arial" w:cs="Arial"/>
          <w:i/>
          <w:iCs/>
          <w:sz w:val="22"/>
          <w:szCs w:val="22"/>
        </w:rPr>
        <w:t>Contratos en ejecución</w:t>
      </w:r>
      <w:r w:rsidR="00A432E9" w:rsidRPr="00046469">
        <w:rPr>
          <w:rFonts w:ascii="Arial" w:hAnsi="Arial" w:cs="Arial"/>
          <w:sz w:val="22"/>
          <w:szCs w:val="22"/>
        </w:rPr>
        <w:t xml:space="preserve">, por lo que no serían relevantes para el calculo de la capacidad residual de los proponentes. </w:t>
      </w:r>
    </w:p>
    <w:p w14:paraId="68C5F530" w14:textId="4A34B582" w:rsidR="00F80734" w:rsidRPr="00046469" w:rsidRDefault="00F80734" w:rsidP="00F80734">
      <w:pPr>
        <w:spacing w:line="276" w:lineRule="auto"/>
        <w:ind w:firstLine="708"/>
        <w:jc w:val="both"/>
        <w:rPr>
          <w:rFonts w:ascii="Arial" w:hAnsi="Arial" w:cs="Arial"/>
          <w:color w:val="000000"/>
          <w:sz w:val="22"/>
          <w:szCs w:val="22"/>
          <w:bdr w:val="none" w:sz="0" w:space="0" w:color="auto" w:frame="1"/>
          <w:lang w:val="es-MX"/>
        </w:rPr>
      </w:pPr>
      <w:r w:rsidRPr="00046469">
        <w:rPr>
          <w:rFonts w:ascii="Arial" w:hAnsi="Arial" w:cs="Arial"/>
          <w:color w:val="000000"/>
          <w:sz w:val="22"/>
          <w:szCs w:val="22"/>
          <w:bdr w:val="none" w:sz="0" w:space="0" w:color="auto" w:frame="1"/>
          <w:lang w:val="es-MX"/>
        </w:rPr>
        <w:t xml:space="preserve">Si bien en </w:t>
      </w:r>
      <w:r w:rsidR="00160DF9" w:rsidRPr="00046469">
        <w:rPr>
          <w:rFonts w:ascii="Arial" w:hAnsi="Arial" w:cs="Arial"/>
          <w:color w:val="000000"/>
          <w:sz w:val="22"/>
          <w:szCs w:val="22"/>
          <w:bdr w:val="none" w:sz="0" w:space="0" w:color="auto" w:frame="1"/>
          <w:lang w:val="es-MX"/>
        </w:rPr>
        <w:t>la Ley 80 de 1993 no se define el contrato de inte</w:t>
      </w:r>
      <w:r w:rsidR="0094648F" w:rsidRPr="00046469">
        <w:rPr>
          <w:rFonts w:ascii="Arial" w:hAnsi="Arial" w:cs="Arial"/>
          <w:color w:val="000000"/>
          <w:sz w:val="22"/>
          <w:szCs w:val="22"/>
          <w:bdr w:val="none" w:sz="0" w:space="0" w:color="auto" w:frame="1"/>
          <w:lang w:val="es-MX"/>
        </w:rPr>
        <w:t>rv</w:t>
      </w:r>
      <w:r w:rsidR="00160DF9" w:rsidRPr="00046469">
        <w:rPr>
          <w:rFonts w:ascii="Arial" w:hAnsi="Arial" w:cs="Arial"/>
          <w:color w:val="000000"/>
          <w:sz w:val="22"/>
          <w:szCs w:val="22"/>
          <w:bdr w:val="none" w:sz="0" w:space="0" w:color="auto" w:frame="1"/>
          <w:lang w:val="es-MX"/>
        </w:rPr>
        <w:t>entor</w:t>
      </w:r>
      <w:r w:rsidR="0094648F" w:rsidRPr="00046469">
        <w:rPr>
          <w:rFonts w:ascii="Arial" w:hAnsi="Arial" w:cs="Arial"/>
          <w:color w:val="000000"/>
          <w:sz w:val="22"/>
          <w:szCs w:val="22"/>
          <w:bdr w:val="none" w:sz="0" w:space="0" w:color="auto" w:frame="1"/>
          <w:lang w:val="es-MX"/>
        </w:rPr>
        <w:t>í</w:t>
      </w:r>
      <w:r w:rsidR="00160DF9" w:rsidRPr="00046469">
        <w:rPr>
          <w:rFonts w:ascii="Arial" w:hAnsi="Arial" w:cs="Arial"/>
          <w:color w:val="000000"/>
          <w:sz w:val="22"/>
          <w:szCs w:val="22"/>
          <w:bdr w:val="none" w:sz="0" w:space="0" w:color="auto" w:frame="1"/>
          <w:lang w:val="es-MX"/>
        </w:rPr>
        <w:t xml:space="preserve">a, </w:t>
      </w:r>
      <w:r w:rsidRPr="00046469">
        <w:rPr>
          <w:rFonts w:ascii="Arial" w:hAnsi="Arial" w:cs="Arial"/>
          <w:color w:val="000000"/>
          <w:sz w:val="22"/>
          <w:szCs w:val="22"/>
          <w:bdr w:val="none" w:sz="0" w:space="0" w:color="auto" w:frame="1"/>
          <w:lang w:val="es-MX"/>
        </w:rPr>
        <w:t xml:space="preserve">el legislador, en el segundo inciso del artículo 83 de la Ley 1474 de 2011, </w:t>
      </w:r>
      <w:r w:rsidR="0094648F" w:rsidRPr="00046469">
        <w:rPr>
          <w:rFonts w:ascii="Arial" w:hAnsi="Arial" w:cs="Arial"/>
          <w:color w:val="000000"/>
          <w:sz w:val="22"/>
          <w:szCs w:val="22"/>
          <w:bdr w:val="none" w:sz="0" w:space="0" w:color="auto" w:frame="1"/>
          <w:lang w:val="es-MX"/>
        </w:rPr>
        <w:t xml:space="preserve">lo </w:t>
      </w:r>
      <w:r w:rsidRPr="00046469">
        <w:rPr>
          <w:rFonts w:ascii="Arial" w:hAnsi="Arial" w:cs="Arial"/>
          <w:color w:val="000000"/>
          <w:sz w:val="22"/>
          <w:szCs w:val="22"/>
          <w:bdr w:val="none" w:sz="0" w:space="0" w:color="auto" w:frame="1"/>
          <w:lang w:val="es-MX"/>
        </w:rPr>
        <w:t>definió como uno de los mecanismos que pueden usar las entidades estatales para vigilar el contrato, en estos términos:  </w:t>
      </w:r>
    </w:p>
    <w:p w14:paraId="0D5C0F21" w14:textId="77777777" w:rsidR="00F80734" w:rsidRPr="00046469" w:rsidRDefault="00F80734" w:rsidP="00F80734">
      <w:pPr>
        <w:ind w:firstLine="708"/>
        <w:jc w:val="both"/>
        <w:rPr>
          <w:rFonts w:ascii="Arial" w:hAnsi="Arial" w:cs="Arial"/>
          <w:color w:val="201F1E"/>
          <w:sz w:val="22"/>
          <w:szCs w:val="22"/>
        </w:rPr>
      </w:pPr>
      <w:r w:rsidRPr="00046469">
        <w:rPr>
          <w:rFonts w:ascii="Arial" w:hAnsi="Arial" w:cs="Arial"/>
          <w:color w:val="000000"/>
          <w:sz w:val="22"/>
          <w:szCs w:val="22"/>
          <w:bdr w:val="none" w:sz="0" w:space="0" w:color="auto" w:frame="1"/>
          <w:lang w:val="es-MX"/>
        </w:rPr>
        <w:t> </w:t>
      </w:r>
    </w:p>
    <w:p w14:paraId="1FBD0C8D" w14:textId="77777777" w:rsidR="00F80734" w:rsidRPr="00046469" w:rsidRDefault="00F80734" w:rsidP="00F80734">
      <w:pPr>
        <w:ind w:left="709" w:right="709"/>
        <w:jc w:val="both"/>
        <w:rPr>
          <w:rFonts w:ascii="Arial" w:hAnsi="Arial" w:cs="Arial"/>
          <w:color w:val="201F1E"/>
          <w:sz w:val="21"/>
          <w:szCs w:val="21"/>
        </w:rPr>
      </w:pPr>
      <w:r w:rsidRPr="00046469">
        <w:rPr>
          <w:rFonts w:ascii="Arial" w:hAnsi="Arial" w:cs="Arial"/>
          <w:color w:val="000000"/>
          <w:sz w:val="21"/>
          <w:szCs w:val="21"/>
          <w:bdr w:val="none" w:sz="0" w:space="0" w:color="auto" w:frame="1"/>
          <w:lang w:val="es-MX"/>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w:t>
      </w:r>
    </w:p>
    <w:p w14:paraId="32975377" w14:textId="77777777" w:rsidR="00F80734" w:rsidRPr="00046469" w:rsidRDefault="00F80734" w:rsidP="00F80734">
      <w:pPr>
        <w:jc w:val="both"/>
        <w:rPr>
          <w:rFonts w:ascii="Arial" w:hAnsi="Arial" w:cs="Arial"/>
          <w:color w:val="201F1E"/>
          <w:sz w:val="22"/>
          <w:szCs w:val="22"/>
        </w:rPr>
      </w:pPr>
    </w:p>
    <w:p w14:paraId="7269D8B0" w14:textId="426402C4" w:rsidR="00F80734" w:rsidRPr="00046469" w:rsidRDefault="00F80734" w:rsidP="00F80734">
      <w:pPr>
        <w:spacing w:after="120" w:line="276" w:lineRule="auto"/>
        <w:ind w:firstLine="708"/>
        <w:jc w:val="both"/>
        <w:rPr>
          <w:rFonts w:ascii="Arial" w:hAnsi="Arial" w:cs="Arial"/>
          <w:color w:val="201F1E"/>
          <w:sz w:val="22"/>
          <w:szCs w:val="22"/>
        </w:rPr>
      </w:pPr>
      <w:r w:rsidRPr="00046469">
        <w:rPr>
          <w:rFonts w:ascii="Arial" w:hAnsi="Arial" w:cs="Arial"/>
          <w:color w:val="000000"/>
          <w:sz w:val="22"/>
          <w:szCs w:val="22"/>
          <w:bdr w:val="none" w:sz="0" w:space="0" w:color="auto" w:frame="1"/>
          <w:lang w:val="es-MX"/>
        </w:rPr>
        <w:lastRenderedPageBreak/>
        <w:t xml:space="preserve"> </w:t>
      </w:r>
      <w:r w:rsidR="00EB36CC" w:rsidRPr="00046469">
        <w:rPr>
          <w:rFonts w:ascii="Arial" w:hAnsi="Arial" w:cs="Arial"/>
          <w:color w:val="000000"/>
          <w:sz w:val="22"/>
          <w:szCs w:val="22"/>
          <w:bdr w:val="none" w:sz="0" w:space="0" w:color="auto" w:frame="1"/>
          <w:lang w:val="es-MX"/>
        </w:rPr>
        <w:t>E</w:t>
      </w:r>
      <w:r w:rsidRPr="00046469">
        <w:rPr>
          <w:rFonts w:ascii="Arial" w:hAnsi="Arial" w:cs="Arial"/>
          <w:color w:val="000000"/>
          <w:sz w:val="22"/>
          <w:szCs w:val="22"/>
          <w:bdr w:val="none" w:sz="0" w:space="0" w:color="auto" w:frame="1"/>
          <w:lang w:val="es-MX"/>
        </w:rPr>
        <w:t>s importante recordar que el medio adecuado para contratar la interventoría de los contratos estatales es el concurso de méritos, al tratarse de una especie del contrato de consultoría, según el inciso 2, numeral 2, del artículo 32 de la Ley 80 de 1993: «Son también contratos de consultoría los que tienen por objeto la interventoría […]». En este orden de ideas la interventoría podrá ser realizada por una «persona natural o jurídica contratada para tal fin por la Entidad Estatal», que según el artículo 83 de la Ley 1474 de 2011, se centrará en un seguimiento técnico de la correcta ejecución del contrato vigilado. Sin embargo, según el mismo artículo 83 de la Ley 1474 de 2011, la interventoría también puede referirse al seguimiento administrativo, financiero, contable o jurídico.  </w:t>
      </w:r>
    </w:p>
    <w:p w14:paraId="772F7035" w14:textId="65A68566" w:rsidR="00DE12BA" w:rsidRPr="004E16FF" w:rsidRDefault="00160DF9" w:rsidP="00551218">
      <w:pPr>
        <w:spacing w:after="120" w:line="276" w:lineRule="auto"/>
        <w:ind w:firstLine="709"/>
        <w:jc w:val="both"/>
        <w:rPr>
          <w:rFonts w:ascii="Arial" w:eastAsia="Arial" w:hAnsi="Arial" w:cs="Arial"/>
          <w:sz w:val="21"/>
          <w:szCs w:val="21"/>
          <w:lang w:eastAsia="es-ES" w:bidi="es-ES"/>
        </w:rPr>
      </w:pPr>
      <w:r w:rsidRPr="00046469">
        <w:rPr>
          <w:rFonts w:ascii="Arial" w:hAnsi="Arial" w:cs="Arial"/>
          <w:sz w:val="22"/>
          <w:szCs w:val="22"/>
        </w:rPr>
        <w:t>En todo caso, conforme surge de la</w:t>
      </w:r>
      <w:r w:rsidR="008D4FF1" w:rsidRPr="00046469">
        <w:rPr>
          <w:rFonts w:ascii="Arial" w:hAnsi="Arial" w:cs="Arial"/>
          <w:sz w:val="22"/>
          <w:szCs w:val="22"/>
        </w:rPr>
        <w:t xml:space="preserve"> definición legal de interventoría</w:t>
      </w:r>
      <w:r w:rsidR="00384C2B" w:rsidRPr="00046469">
        <w:rPr>
          <w:rFonts w:ascii="Arial" w:hAnsi="Arial" w:cs="Arial"/>
          <w:sz w:val="22"/>
          <w:szCs w:val="22"/>
        </w:rPr>
        <w:t xml:space="preserve">, es claro que el objeto de este tipo de contratos no supone la ejecución de obras civiles por parte del </w:t>
      </w:r>
      <w:r w:rsidR="00384C2B" w:rsidRPr="00551218">
        <w:rPr>
          <w:rFonts w:ascii="Arial" w:hAnsi="Arial" w:cs="Arial"/>
          <w:sz w:val="22"/>
          <w:szCs w:val="22"/>
        </w:rPr>
        <w:t xml:space="preserve">contratista, </w:t>
      </w:r>
      <w:r w:rsidR="008B37EE" w:rsidRPr="00551218">
        <w:rPr>
          <w:rFonts w:ascii="Arial" w:hAnsi="Arial" w:cs="Arial"/>
          <w:sz w:val="22"/>
          <w:szCs w:val="22"/>
        </w:rPr>
        <w:t xml:space="preserve">sino el seguimiento técnico </w:t>
      </w:r>
      <w:r w:rsidR="00FC73FC" w:rsidRPr="00551218">
        <w:rPr>
          <w:rFonts w:ascii="Arial" w:hAnsi="Arial" w:cs="Arial"/>
          <w:sz w:val="22"/>
          <w:szCs w:val="22"/>
        </w:rPr>
        <w:t>a</w:t>
      </w:r>
      <w:r w:rsidR="008B37EE" w:rsidRPr="00551218">
        <w:rPr>
          <w:rFonts w:ascii="Arial" w:hAnsi="Arial" w:cs="Arial"/>
          <w:sz w:val="22"/>
          <w:szCs w:val="22"/>
        </w:rPr>
        <w:t xml:space="preserve">l cumplimiento de un </w:t>
      </w:r>
      <w:r w:rsidR="009117A3" w:rsidRPr="00551218">
        <w:rPr>
          <w:rFonts w:ascii="Arial" w:hAnsi="Arial" w:cs="Arial"/>
          <w:sz w:val="22"/>
          <w:szCs w:val="22"/>
        </w:rPr>
        <w:t>contrato por parte de un tercero</w:t>
      </w:r>
      <w:r w:rsidR="00B000E6" w:rsidRPr="00551218">
        <w:rPr>
          <w:rStyle w:val="Refdenotaalpie"/>
          <w:rFonts w:ascii="Arial" w:hAnsi="Arial" w:cs="Arial"/>
          <w:sz w:val="22"/>
          <w:szCs w:val="22"/>
        </w:rPr>
        <w:footnoteReference w:id="6"/>
      </w:r>
      <w:r w:rsidR="009117A3" w:rsidRPr="00551218">
        <w:rPr>
          <w:rFonts w:ascii="Arial" w:hAnsi="Arial" w:cs="Arial"/>
          <w:sz w:val="22"/>
          <w:szCs w:val="22"/>
        </w:rPr>
        <w:t xml:space="preserve">. </w:t>
      </w:r>
      <w:r w:rsidR="008D4FF1" w:rsidRPr="00551218">
        <w:rPr>
          <w:rFonts w:ascii="Arial" w:hAnsi="Arial" w:cs="Arial"/>
          <w:sz w:val="22"/>
          <w:szCs w:val="22"/>
        </w:rPr>
        <w:t xml:space="preserve">  </w:t>
      </w:r>
      <w:r w:rsidR="00C81BF7" w:rsidRPr="00551218">
        <w:rPr>
          <w:rFonts w:ascii="Arial" w:hAnsi="Arial" w:cs="Arial"/>
          <w:sz w:val="22"/>
          <w:szCs w:val="22"/>
        </w:rPr>
        <w:t>En ese sentido, el objeto de esta modalidad contractual dista mucho de la ejecución de obras civiles</w:t>
      </w:r>
      <w:r w:rsidR="00A44B0F" w:rsidRPr="00551218">
        <w:rPr>
          <w:rFonts w:ascii="Arial" w:hAnsi="Arial" w:cs="Arial"/>
          <w:sz w:val="22"/>
          <w:szCs w:val="22"/>
        </w:rPr>
        <w:t xml:space="preserve">, respecto de las cuales, </w:t>
      </w:r>
      <w:r w:rsidR="00E26134" w:rsidRPr="00551218">
        <w:rPr>
          <w:rFonts w:ascii="Arial" w:hAnsi="Arial" w:cs="Arial"/>
          <w:sz w:val="22"/>
          <w:szCs w:val="22"/>
        </w:rPr>
        <w:t xml:space="preserve">solo en contratos de interventoría a obras </w:t>
      </w:r>
      <w:r w:rsidR="00E26134" w:rsidRPr="0022459D">
        <w:rPr>
          <w:rFonts w:ascii="Arial" w:hAnsi="Arial" w:cs="Arial"/>
          <w:sz w:val="22"/>
          <w:szCs w:val="22"/>
        </w:rPr>
        <w:t>públicas el interventor tendría la obligación de hacer el seguim</w:t>
      </w:r>
      <w:r w:rsidR="00E26134" w:rsidRPr="004E16FF">
        <w:rPr>
          <w:rFonts w:ascii="Arial" w:hAnsi="Arial" w:cs="Arial"/>
          <w:sz w:val="22"/>
          <w:szCs w:val="22"/>
        </w:rPr>
        <w:t>iento, m</w:t>
      </w:r>
      <w:r w:rsidR="00E757F9" w:rsidRPr="004E16FF">
        <w:rPr>
          <w:rFonts w:ascii="Arial" w:hAnsi="Arial" w:cs="Arial"/>
          <w:sz w:val="22"/>
          <w:szCs w:val="22"/>
        </w:rPr>
        <w:t>á</w:t>
      </w:r>
      <w:r w:rsidR="00E26134" w:rsidRPr="004E16FF">
        <w:rPr>
          <w:rFonts w:ascii="Arial" w:hAnsi="Arial" w:cs="Arial"/>
          <w:sz w:val="22"/>
          <w:szCs w:val="22"/>
        </w:rPr>
        <w:t>s no de ejecutar trabajos materiales</w:t>
      </w:r>
      <w:r w:rsidR="00915511" w:rsidRPr="004E16FF">
        <w:rPr>
          <w:rFonts w:ascii="Arial" w:hAnsi="Arial" w:cs="Arial"/>
          <w:sz w:val="22"/>
          <w:szCs w:val="22"/>
        </w:rPr>
        <w:t xml:space="preserve"> susceptibles de ser considerado</w:t>
      </w:r>
      <w:r w:rsidR="00E757F9" w:rsidRPr="004E16FF">
        <w:rPr>
          <w:rFonts w:ascii="Arial" w:hAnsi="Arial" w:cs="Arial"/>
          <w:sz w:val="22"/>
          <w:szCs w:val="22"/>
        </w:rPr>
        <w:t>s</w:t>
      </w:r>
      <w:r w:rsidR="00915511" w:rsidRPr="004E16FF">
        <w:rPr>
          <w:rFonts w:ascii="Arial" w:hAnsi="Arial" w:cs="Arial"/>
          <w:sz w:val="22"/>
          <w:szCs w:val="22"/>
        </w:rPr>
        <w:t xml:space="preserve"> una o</w:t>
      </w:r>
      <w:r w:rsidR="00B000E6" w:rsidRPr="004E16FF">
        <w:rPr>
          <w:rFonts w:ascii="Arial" w:hAnsi="Arial" w:cs="Arial"/>
          <w:sz w:val="22"/>
          <w:szCs w:val="22"/>
        </w:rPr>
        <w:t>bra civil</w:t>
      </w:r>
      <w:bookmarkStart w:id="10" w:name="_Hlk97644712"/>
      <w:r w:rsidR="006A671D" w:rsidRPr="004E16FF">
        <w:rPr>
          <w:rFonts w:ascii="Arial" w:eastAsia="Arial" w:hAnsi="Arial" w:cs="Arial"/>
          <w:sz w:val="21"/>
          <w:szCs w:val="21"/>
          <w:lang w:eastAsia="es-ES" w:bidi="es-ES"/>
        </w:rPr>
        <w:t>.</w:t>
      </w:r>
    </w:p>
    <w:p w14:paraId="3968102B" w14:textId="246E21EA" w:rsidR="005B52BF" w:rsidRPr="004E16FF" w:rsidRDefault="0077572C" w:rsidP="00551218">
      <w:pPr>
        <w:spacing w:line="276" w:lineRule="auto"/>
        <w:jc w:val="both"/>
        <w:rPr>
          <w:rFonts w:ascii="Arial" w:eastAsia="Calibri" w:hAnsi="Arial" w:cs="Arial"/>
          <w:color w:val="000000" w:themeColor="text1"/>
          <w:sz w:val="22"/>
          <w:lang w:val="es-ES"/>
        </w:rPr>
      </w:pPr>
      <w:r w:rsidRPr="004E16FF">
        <w:rPr>
          <w:rFonts w:ascii="Arial" w:eastAsia="Arial" w:hAnsi="Arial" w:cs="Arial"/>
          <w:sz w:val="21"/>
          <w:szCs w:val="21"/>
          <w:lang w:eastAsia="es-ES" w:bidi="es-ES"/>
        </w:rPr>
        <w:tab/>
      </w:r>
      <w:r w:rsidR="005B2ABA" w:rsidRPr="004E16FF">
        <w:rPr>
          <w:rFonts w:ascii="Arial" w:hAnsi="Arial" w:cs="Arial"/>
          <w:sz w:val="22"/>
          <w:szCs w:val="22"/>
          <w:lang w:val="es-ES"/>
        </w:rPr>
        <w:t xml:space="preserve">De acuerdo con lo anterior, resulta claro que </w:t>
      </w:r>
      <w:r w:rsidR="009837A1" w:rsidRPr="004E16FF">
        <w:rPr>
          <w:rFonts w:ascii="Arial" w:hAnsi="Arial" w:cs="Arial"/>
          <w:sz w:val="22"/>
          <w:szCs w:val="22"/>
          <w:lang w:val="es-ES"/>
        </w:rPr>
        <w:t xml:space="preserve">el </w:t>
      </w:r>
      <w:r w:rsidR="00311CA1" w:rsidRPr="004E16FF">
        <w:rPr>
          <w:rFonts w:ascii="Arial" w:hAnsi="Arial" w:cs="Arial"/>
          <w:sz w:val="22"/>
          <w:szCs w:val="22"/>
          <w:lang w:val="es-ES"/>
        </w:rPr>
        <w:t xml:space="preserve">objeto </w:t>
      </w:r>
      <w:r w:rsidR="009837A1" w:rsidRPr="004E16FF">
        <w:rPr>
          <w:rFonts w:ascii="Arial" w:hAnsi="Arial" w:cs="Arial"/>
          <w:sz w:val="22"/>
          <w:szCs w:val="22"/>
          <w:lang w:val="es-ES"/>
        </w:rPr>
        <w:t xml:space="preserve">del contrato de interventoría </w:t>
      </w:r>
      <w:r w:rsidR="00311CA1" w:rsidRPr="004E16FF">
        <w:rPr>
          <w:rFonts w:ascii="Arial" w:hAnsi="Arial" w:cs="Arial"/>
          <w:sz w:val="22"/>
          <w:szCs w:val="22"/>
          <w:lang w:val="es-ES"/>
        </w:rPr>
        <w:t xml:space="preserve">es la realización de un seguimiento técnico del proceso de ejecución de un contrato, </w:t>
      </w:r>
      <w:r w:rsidR="009837A1" w:rsidRPr="004E16FF">
        <w:rPr>
          <w:rFonts w:ascii="Arial" w:hAnsi="Arial" w:cs="Arial"/>
          <w:sz w:val="22"/>
          <w:szCs w:val="22"/>
          <w:lang w:val="es-ES"/>
        </w:rPr>
        <w:t xml:space="preserve">por lo que no es considerado un </w:t>
      </w:r>
      <w:r w:rsidR="009837A1" w:rsidRPr="004E16FF">
        <w:rPr>
          <w:rFonts w:ascii="Arial" w:hAnsi="Arial" w:cs="Arial"/>
          <w:i/>
          <w:iCs/>
          <w:sz w:val="22"/>
          <w:szCs w:val="22"/>
          <w:lang w:val="es-ES"/>
        </w:rPr>
        <w:t>Contrato en ejecución</w:t>
      </w:r>
      <w:r w:rsidR="009837A1" w:rsidRPr="004E16FF">
        <w:rPr>
          <w:rFonts w:ascii="Arial" w:hAnsi="Arial" w:cs="Arial"/>
          <w:sz w:val="22"/>
          <w:szCs w:val="22"/>
          <w:lang w:val="es-ES"/>
        </w:rPr>
        <w:t xml:space="preserve">, </w:t>
      </w:r>
      <w:r w:rsidR="00311CA1" w:rsidRPr="004E16FF">
        <w:rPr>
          <w:rFonts w:ascii="Arial" w:hAnsi="Arial" w:cs="Arial"/>
          <w:sz w:val="22"/>
          <w:szCs w:val="22"/>
          <w:lang w:val="es-ES"/>
        </w:rPr>
        <w:t xml:space="preserve"> para </w:t>
      </w:r>
      <w:r w:rsidR="009837A1" w:rsidRPr="004E16FF">
        <w:rPr>
          <w:rFonts w:ascii="Arial" w:hAnsi="Arial" w:cs="Arial"/>
          <w:sz w:val="22"/>
          <w:szCs w:val="22"/>
          <w:lang w:val="es-ES"/>
        </w:rPr>
        <w:t>efectos del</w:t>
      </w:r>
      <w:r w:rsidR="00311CA1" w:rsidRPr="004E16FF">
        <w:rPr>
          <w:rFonts w:ascii="Arial" w:hAnsi="Arial" w:cs="Arial"/>
          <w:sz w:val="22"/>
          <w:szCs w:val="22"/>
          <w:lang w:val="es-ES"/>
        </w:rPr>
        <w:t xml:space="preserve"> cálculo de la capacidad residual, debido a que </w:t>
      </w:r>
      <w:r w:rsidR="00452878" w:rsidRPr="004E16FF">
        <w:rPr>
          <w:rFonts w:ascii="Arial" w:hAnsi="Arial" w:cs="Arial"/>
          <w:sz w:val="22"/>
          <w:szCs w:val="22"/>
          <w:lang w:val="es-ES"/>
        </w:rPr>
        <w:t>no necesariamente comportan</w:t>
      </w:r>
      <w:r w:rsidR="009837A1" w:rsidRPr="004E16FF">
        <w:rPr>
          <w:rFonts w:ascii="Arial" w:hAnsi="Arial" w:cs="Arial"/>
          <w:sz w:val="22"/>
          <w:szCs w:val="22"/>
          <w:lang w:val="es-ES"/>
        </w:rPr>
        <w:t xml:space="preserve"> la ejecución de obras civiles, obligación propia de los</w:t>
      </w:r>
      <w:r w:rsidR="00452878" w:rsidRPr="004E16FF">
        <w:rPr>
          <w:rFonts w:ascii="Arial" w:hAnsi="Arial" w:cs="Arial"/>
          <w:sz w:val="22"/>
          <w:szCs w:val="22"/>
          <w:lang w:val="es-ES"/>
        </w:rPr>
        <w:t xml:space="preserve"> contrato</w:t>
      </w:r>
      <w:r w:rsidR="009837A1" w:rsidRPr="004E16FF">
        <w:rPr>
          <w:rFonts w:ascii="Arial" w:hAnsi="Arial" w:cs="Arial"/>
          <w:sz w:val="22"/>
          <w:szCs w:val="22"/>
          <w:lang w:val="es-ES"/>
        </w:rPr>
        <w:t>s</w:t>
      </w:r>
      <w:r w:rsidR="00452878" w:rsidRPr="004E16FF">
        <w:rPr>
          <w:rFonts w:ascii="Arial" w:hAnsi="Arial" w:cs="Arial"/>
          <w:sz w:val="22"/>
          <w:szCs w:val="22"/>
          <w:lang w:val="es-ES"/>
        </w:rPr>
        <w:t xml:space="preserve"> de obra</w:t>
      </w:r>
      <w:r w:rsidR="009837A1" w:rsidRPr="004E16FF">
        <w:rPr>
          <w:rFonts w:ascii="Arial" w:hAnsi="Arial" w:cs="Arial"/>
          <w:sz w:val="22"/>
          <w:szCs w:val="22"/>
          <w:lang w:val="es-ES"/>
        </w:rPr>
        <w:t>.</w:t>
      </w:r>
      <w:r w:rsidR="00ED2DAF" w:rsidRPr="004E16FF">
        <w:rPr>
          <w:rFonts w:ascii="Arial" w:hAnsi="Arial" w:cs="Arial"/>
          <w:sz w:val="22"/>
          <w:szCs w:val="22"/>
          <w:lang w:val="es-ES"/>
        </w:rPr>
        <w:t xml:space="preserve"> En ese sentido, los contratos de interventoría que </w:t>
      </w:r>
      <w:r w:rsidR="009C3051" w:rsidRPr="004E16FF">
        <w:rPr>
          <w:rFonts w:ascii="Arial" w:hAnsi="Arial" w:cs="Arial"/>
          <w:sz w:val="22"/>
          <w:szCs w:val="22"/>
          <w:lang w:val="es-ES"/>
        </w:rPr>
        <w:t xml:space="preserve">un proponente tiene en ejecución, no son una información relevante para el calculo de su capacidad residual, </w:t>
      </w:r>
      <w:r w:rsidR="005E43B0" w:rsidRPr="004E16FF">
        <w:rPr>
          <w:rFonts w:ascii="Arial" w:hAnsi="Arial" w:cs="Arial"/>
          <w:sz w:val="22"/>
          <w:szCs w:val="22"/>
          <w:lang w:val="es-ES"/>
        </w:rPr>
        <w:t xml:space="preserve">requisito habilitante propio de los contratos de obra, conforme se estableció </w:t>
      </w:r>
      <w:r w:rsidR="005E43B0" w:rsidRPr="004E16FF">
        <w:rPr>
          <w:rFonts w:ascii="Arial" w:hAnsi="Arial" w:cs="Arial"/>
          <w:i/>
          <w:iCs/>
          <w:sz w:val="22"/>
          <w:szCs w:val="22"/>
          <w:lang w:val="es-ES"/>
        </w:rPr>
        <w:t>supra.</w:t>
      </w:r>
      <w:bookmarkEnd w:id="10"/>
    </w:p>
    <w:p w14:paraId="31C28491" w14:textId="77777777" w:rsidR="00D41F04" w:rsidRPr="004E16FF" w:rsidRDefault="00D41F04" w:rsidP="004E16FF">
      <w:pPr>
        <w:jc w:val="both"/>
        <w:rPr>
          <w:rFonts w:ascii="Arial" w:eastAsia="Calibri" w:hAnsi="Arial" w:cs="Arial"/>
          <w:color w:val="000000"/>
          <w:sz w:val="22"/>
          <w:highlight w:val="yellow"/>
        </w:rPr>
      </w:pPr>
    </w:p>
    <w:p w14:paraId="37CA9805" w14:textId="3BF3C880" w:rsidR="00DD5B04" w:rsidRPr="004E16FF" w:rsidRDefault="004177A6" w:rsidP="00510DE9">
      <w:pPr>
        <w:tabs>
          <w:tab w:val="left" w:pos="0"/>
        </w:tabs>
        <w:jc w:val="both"/>
        <w:rPr>
          <w:rFonts w:ascii="Arial" w:eastAsia="Calibri" w:hAnsi="Arial" w:cs="Arial"/>
          <w:b/>
          <w:color w:val="000000" w:themeColor="text1"/>
          <w:sz w:val="22"/>
          <w:lang w:val="es-ES_tradnl"/>
        </w:rPr>
      </w:pPr>
      <w:r w:rsidRPr="004E16FF">
        <w:rPr>
          <w:rFonts w:ascii="Arial" w:eastAsia="Calibri" w:hAnsi="Arial" w:cs="Arial"/>
          <w:b/>
          <w:color w:val="000000" w:themeColor="text1"/>
          <w:sz w:val="22"/>
          <w:lang w:val="es-ES_tradnl"/>
        </w:rPr>
        <w:t>3</w:t>
      </w:r>
      <w:r w:rsidR="00B011A9" w:rsidRPr="004E16FF">
        <w:rPr>
          <w:rFonts w:ascii="Arial" w:eastAsia="Calibri" w:hAnsi="Arial" w:cs="Arial"/>
          <w:b/>
          <w:color w:val="000000" w:themeColor="text1"/>
          <w:sz w:val="22"/>
          <w:lang w:val="es-ES_tradnl"/>
        </w:rPr>
        <w:t xml:space="preserve">. </w:t>
      </w:r>
      <w:r w:rsidR="00DD5B04" w:rsidRPr="004E16FF">
        <w:rPr>
          <w:rFonts w:ascii="Arial" w:eastAsia="Calibri" w:hAnsi="Arial" w:cs="Arial"/>
          <w:b/>
          <w:color w:val="000000" w:themeColor="text1"/>
          <w:sz w:val="22"/>
          <w:lang w:val="es-ES_tradnl"/>
        </w:rPr>
        <w:t>Respuesta</w:t>
      </w:r>
    </w:p>
    <w:p w14:paraId="3C2B20C9" w14:textId="77777777" w:rsidR="007B18FD" w:rsidRPr="004E16FF" w:rsidRDefault="007B18FD" w:rsidP="00861F0F">
      <w:pPr>
        <w:tabs>
          <w:tab w:val="left" w:pos="0"/>
        </w:tabs>
        <w:spacing w:line="276" w:lineRule="auto"/>
        <w:jc w:val="both"/>
        <w:rPr>
          <w:rFonts w:ascii="Arial" w:eastAsia="Calibri" w:hAnsi="Arial" w:cs="Arial"/>
          <w:b/>
          <w:color w:val="000000" w:themeColor="text1"/>
          <w:sz w:val="22"/>
          <w:lang w:val="es-ES_tradnl"/>
        </w:rPr>
      </w:pPr>
    </w:p>
    <w:p w14:paraId="75EBC9F4" w14:textId="279FF952" w:rsidR="002D3987" w:rsidRPr="004E16FF" w:rsidRDefault="00864E11" w:rsidP="004E16FF">
      <w:pPr>
        <w:ind w:left="709" w:right="709"/>
        <w:jc w:val="both"/>
        <w:rPr>
          <w:rFonts w:ascii="Arial" w:hAnsi="Arial" w:cs="Arial"/>
          <w:color w:val="000000" w:themeColor="text1"/>
          <w:sz w:val="21"/>
          <w:szCs w:val="21"/>
        </w:rPr>
      </w:pPr>
      <w:r w:rsidRPr="004E16FF">
        <w:rPr>
          <w:rFonts w:ascii="Arial" w:hAnsi="Arial" w:cs="Arial"/>
          <w:color w:val="000000" w:themeColor="text1"/>
          <w:sz w:val="21"/>
          <w:szCs w:val="21"/>
          <w:lang w:val="es-ES_tradnl"/>
        </w:rPr>
        <w:t>«</w:t>
      </w:r>
      <w:r w:rsidR="00E465F8" w:rsidRPr="004E16FF">
        <w:rPr>
          <w:rFonts w:ascii="Arial" w:hAnsi="Arial" w:cs="Arial"/>
          <w:color w:val="000000" w:themeColor="text1"/>
          <w:sz w:val="21"/>
          <w:szCs w:val="21"/>
          <w:lang w:val="es-ES_tradnl"/>
        </w:rPr>
        <w:t xml:space="preserve">Para calcular la capacidad residual, específicamente en el saldo de contratos en ejecución (SCE) ¿Se debe incluir contratos de interventoría que tenga el </w:t>
      </w:r>
      <w:r w:rsidR="00E465F8" w:rsidRPr="004E16FF">
        <w:rPr>
          <w:rFonts w:ascii="Arial" w:hAnsi="Arial" w:cs="Arial"/>
          <w:color w:val="000000" w:themeColor="text1"/>
          <w:sz w:val="21"/>
          <w:szCs w:val="21"/>
          <w:lang w:val="es-ES_tradnl"/>
        </w:rPr>
        <w:lastRenderedPageBreak/>
        <w:t>proponente, a la hora de presentar un proceso de licitación pública o menor cuantía?</w:t>
      </w:r>
      <w:r w:rsidR="004366CF" w:rsidRPr="004E16FF">
        <w:rPr>
          <w:rFonts w:ascii="Arial" w:hAnsi="Arial" w:cs="Arial"/>
          <w:color w:val="000000" w:themeColor="text1"/>
          <w:sz w:val="21"/>
          <w:szCs w:val="21"/>
        </w:rPr>
        <w:t>»</w:t>
      </w:r>
    </w:p>
    <w:p w14:paraId="552A8908" w14:textId="77777777" w:rsidR="007C4B95" w:rsidRPr="004E16FF" w:rsidRDefault="007C4B95" w:rsidP="004E16FF">
      <w:pPr>
        <w:spacing w:line="276" w:lineRule="auto"/>
        <w:ind w:firstLine="709"/>
        <w:jc w:val="both"/>
        <w:rPr>
          <w:rFonts w:ascii="Arial" w:eastAsia="Calibri" w:hAnsi="Arial" w:cs="Arial"/>
          <w:sz w:val="22"/>
          <w:szCs w:val="22"/>
          <w:lang w:val="es-ES" w:eastAsia="en-US"/>
        </w:rPr>
      </w:pPr>
    </w:p>
    <w:p w14:paraId="085F408F" w14:textId="1D840A89" w:rsidR="0094315E" w:rsidRPr="004E16FF" w:rsidRDefault="007B0B03" w:rsidP="004E16FF">
      <w:pPr>
        <w:spacing w:after="120" w:line="276" w:lineRule="auto"/>
        <w:ind w:firstLine="709"/>
        <w:jc w:val="both"/>
        <w:rPr>
          <w:rFonts w:ascii="Arial" w:hAnsi="Arial" w:cs="Arial"/>
          <w:color w:val="000000"/>
          <w:sz w:val="22"/>
          <w:szCs w:val="22"/>
          <w:lang w:eastAsia="es-CO"/>
        </w:rPr>
      </w:pPr>
      <w:r w:rsidRPr="004E16FF">
        <w:rPr>
          <w:rFonts w:ascii="Arial" w:eastAsia="Calibri" w:hAnsi="Arial" w:cs="Arial"/>
          <w:sz w:val="22"/>
          <w:szCs w:val="22"/>
          <w:lang w:val="es-ES" w:eastAsia="en-US"/>
        </w:rPr>
        <w:t xml:space="preserve">De conformidad con el parágrafo 1 del artículo 6 de la Ley 1150 de 2007, </w:t>
      </w:r>
      <w:r w:rsidR="000721F3" w:rsidRPr="004E16FF">
        <w:rPr>
          <w:rFonts w:ascii="Arial" w:eastAsia="Calibri" w:hAnsi="Arial" w:cs="Arial"/>
          <w:sz w:val="22"/>
          <w:szCs w:val="22"/>
          <w:lang w:val="es-ES" w:eastAsia="en-US"/>
        </w:rPr>
        <w:t xml:space="preserve">Para poder participar en los procesos de selección de los contratos de obra, la capacidad residual del proponente o </w:t>
      </w:r>
      <w:r w:rsidR="000721F3" w:rsidRPr="004E16FF">
        <w:rPr>
          <w:rFonts w:ascii="Arial" w:eastAsia="Calibri" w:hAnsi="Arial" w:cs="Arial"/>
          <w:i/>
          <w:iCs/>
          <w:sz w:val="22"/>
          <w:szCs w:val="22"/>
          <w:lang w:val="es-ES" w:eastAsia="en-US"/>
        </w:rPr>
        <w:t xml:space="preserve">K </w:t>
      </w:r>
      <w:r w:rsidR="000721F3" w:rsidRPr="004E16FF">
        <w:rPr>
          <w:rFonts w:ascii="Arial" w:eastAsia="Calibri" w:hAnsi="Arial" w:cs="Arial"/>
          <w:sz w:val="22"/>
          <w:szCs w:val="22"/>
          <w:lang w:val="es-ES" w:eastAsia="en-US"/>
        </w:rPr>
        <w:t>de contratación deberá ser igual o superior al que la entidad haya establecido para el efecto en los pliegos de condiciones</w:t>
      </w:r>
      <w:r w:rsidR="00EC0733" w:rsidRPr="004E16FF">
        <w:rPr>
          <w:rFonts w:ascii="Arial" w:eastAsia="Calibri" w:hAnsi="Arial" w:cs="Arial"/>
          <w:sz w:val="22"/>
          <w:szCs w:val="22"/>
          <w:lang w:val="es-ES" w:eastAsia="en-US"/>
        </w:rPr>
        <w:t>, establiendo el deber del Gobierno Nacional de reglamentar la materia</w:t>
      </w:r>
      <w:r w:rsidR="000721F3" w:rsidRPr="004E16FF">
        <w:rPr>
          <w:rFonts w:ascii="Arial" w:eastAsia="Calibri" w:hAnsi="Arial" w:cs="Arial"/>
          <w:sz w:val="22"/>
          <w:szCs w:val="22"/>
          <w:lang w:val="es-ES" w:eastAsia="en-US"/>
        </w:rPr>
        <w:t xml:space="preserve">. La capacidad residual </w:t>
      </w:r>
      <w:r w:rsidR="0094315E" w:rsidRPr="004E16FF">
        <w:rPr>
          <w:rFonts w:ascii="Arial" w:eastAsia="Calibri" w:hAnsi="Arial" w:cs="Arial"/>
          <w:sz w:val="22"/>
          <w:szCs w:val="22"/>
          <w:lang w:val="es-ES" w:eastAsia="en-US"/>
        </w:rPr>
        <w:t xml:space="preserve">o </w:t>
      </w:r>
      <w:r w:rsidR="0094315E" w:rsidRPr="004E16FF">
        <w:rPr>
          <w:rFonts w:ascii="Arial" w:eastAsia="Calibri" w:hAnsi="Arial" w:cs="Arial"/>
          <w:i/>
          <w:iCs/>
          <w:sz w:val="22"/>
          <w:szCs w:val="22"/>
          <w:lang w:val="es-ES" w:eastAsia="en-US"/>
        </w:rPr>
        <w:t>K</w:t>
      </w:r>
      <w:r w:rsidR="0094315E" w:rsidRPr="004E16FF">
        <w:rPr>
          <w:rFonts w:ascii="Arial" w:eastAsia="Calibri" w:hAnsi="Arial" w:cs="Arial"/>
          <w:sz w:val="22"/>
          <w:szCs w:val="22"/>
          <w:lang w:val="es-ES" w:eastAsia="en-US"/>
        </w:rPr>
        <w:t xml:space="preserve"> de contratación </w:t>
      </w:r>
      <w:r w:rsidR="000721F3" w:rsidRPr="004E16FF">
        <w:rPr>
          <w:rFonts w:ascii="Arial" w:eastAsia="Calibri" w:hAnsi="Arial" w:cs="Arial"/>
          <w:sz w:val="22"/>
          <w:szCs w:val="22"/>
          <w:lang w:val="es-ES" w:eastAsia="en-US"/>
        </w:rPr>
        <w:t xml:space="preserve">es </w:t>
      </w:r>
      <w:r w:rsidR="0094315E" w:rsidRPr="004E16FF">
        <w:rPr>
          <w:rFonts w:ascii="Arial" w:eastAsia="Calibri" w:hAnsi="Arial" w:cs="Arial"/>
          <w:sz w:val="22"/>
          <w:szCs w:val="22"/>
          <w:lang w:val="es-ES" w:eastAsia="en-US"/>
        </w:rPr>
        <w:t>definida</w:t>
      </w:r>
      <w:r w:rsidR="000721F3" w:rsidRPr="004E16FF">
        <w:rPr>
          <w:rFonts w:ascii="Arial" w:eastAsia="Calibri" w:hAnsi="Arial" w:cs="Arial"/>
          <w:sz w:val="22"/>
          <w:szCs w:val="22"/>
          <w:lang w:val="es-ES" w:eastAsia="en-US"/>
        </w:rPr>
        <w:t xml:space="preserve"> por el</w:t>
      </w:r>
      <w:r w:rsidR="0094315E" w:rsidRPr="004E16FF">
        <w:rPr>
          <w:rFonts w:ascii="Arial" w:eastAsia="Calibri" w:hAnsi="Arial" w:cs="Arial"/>
          <w:sz w:val="22"/>
          <w:szCs w:val="22"/>
          <w:lang w:val="es-ES" w:eastAsia="en-US"/>
        </w:rPr>
        <w:t xml:space="preserve"> artículo 2.2.1.1.1.3.1 del Decreto 1082 de 2015 como la: «</w:t>
      </w:r>
      <w:r w:rsidR="0094315E" w:rsidRPr="004E16FF">
        <w:rPr>
          <w:rFonts w:ascii="Arial" w:hAnsi="Arial" w:cs="Arial"/>
          <w:color w:val="000000"/>
          <w:sz w:val="22"/>
          <w:szCs w:val="22"/>
          <w:lang w:eastAsia="es-CO"/>
        </w:rPr>
        <w:t>Aptitud de un oferente para cumplir oportuna y cabalmente con el objeto de un contrato de obra, sin que sus otros compromisos contractuales afecten su habilidad de cumplir con el contrato que está en proceso de selección». </w:t>
      </w:r>
    </w:p>
    <w:p w14:paraId="01D681F7" w14:textId="681AA75C" w:rsidR="00EC0733" w:rsidRPr="00EF59DF" w:rsidRDefault="0094315E" w:rsidP="00EF59DF">
      <w:pPr>
        <w:spacing w:after="120" w:line="276" w:lineRule="auto"/>
        <w:jc w:val="both"/>
        <w:rPr>
          <w:rFonts w:ascii="Arial" w:hAnsi="Arial" w:cs="Arial"/>
          <w:color w:val="000000"/>
          <w:sz w:val="22"/>
          <w:szCs w:val="22"/>
          <w:lang w:eastAsia="es-CO"/>
        </w:rPr>
      </w:pPr>
      <w:r w:rsidRPr="00EF59DF">
        <w:rPr>
          <w:rFonts w:ascii="Arial" w:hAnsi="Arial" w:cs="Arial"/>
          <w:color w:val="000000"/>
          <w:lang w:eastAsia="es-CO"/>
        </w:rPr>
        <w:t>  </w:t>
      </w:r>
      <w:r w:rsidRPr="00EF59DF">
        <w:rPr>
          <w:rFonts w:ascii="Arial" w:hAnsi="Arial" w:cs="Arial"/>
          <w:color w:val="000000"/>
          <w:lang w:eastAsia="es-CO"/>
        </w:rPr>
        <w:tab/>
      </w:r>
      <w:r w:rsidR="00787C9D" w:rsidRPr="00EF59DF">
        <w:rPr>
          <w:rFonts w:ascii="Arial" w:hAnsi="Arial" w:cs="Arial"/>
          <w:color w:val="000000"/>
          <w:sz w:val="22"/>
          <w:szCs w:val="22"/>
          <w:lang w:eastAsia="es-CO"/>
        </w:rPr>
        <w:t xml:space="preserve">De conformidad con el artículo </w:t>
      </w:r>
      <w:r w:rsidR="00EC0733" w:rsidRPr="00EF59DF">
        <w:rPr>
          <w:rFonts w:ascii="Arial" w:hAnsi="Arial" w:cs="Arial"/>
          <w:color w:val="000000"/>
          <w:sz w:val="22"/>
          <w:szCs w:val="22"/>
          <w:lang w:eastAsia="es-CO"/>
        </w:rPr>
        <w:t>2.2.1.1.1.6.4. </w:t>
      </w:r>
      <w:r w:rsidR="00787C9D" w:rsidRPr="00EF59DF">
        <w:rPr>
          <w:rFonts w:ascii="Arial" w:hAnsi="Arial" w:cs="Arial"/>
          <w:color w:val="000000"/>
          <w:sz w:val="22"/>
          <w:szCs w:val="22"/>
          <w:lang w:eastAsia="es-CO"/>
        </w:rPr>
        <w:t>del Decreto 1082 de 2015, para efectos acreditar su capacidad residual a los proponentes les corresponde reportar</w:t>
      </w:r>
      <w:r w:rsidR="0042743C" w:rsidRPr="00EF59DF">
        <w:rPr>
          <w:rFonts w:ascii="Arial" w:hAnsi="Arial" w:cs="Arial"/>
          <w:color w:val="000000"/>
          <w:sz w:val="22"/>
          <w:szCs w:val="22"/>
          <w:lang w:eastAsia="es-CO"/>
        </w:rPr>
        <w:t xml:space="preserve"> una lista de </w:t>
      </w:r>
      <w:r w:rsidR="00EC0733" w:rsidRPr="00EF59DF">
        <w:rPr>
          <w:rFonts w:ascii="Arial" w:hAnsi="Arial" w:cs="Arial"/>
          <w:color w:val="000000"/>
          <w:sz w:val="22"/>
          <w:szCs w:val="22"/>
          <w:lang w:eastAsia="es-CO"/>
        </w:rPr>
        <w:t>los contratos de obras civiles en ejecución suscritos con Entidades Estatales y con entidades privadas, así como el valor y plazo de tales contratos, incluyendo contratos de concesión y los contratos de obra suscritos con concesionarios.</w:t>
      </w:r>
      <w:r w:rsidR="0042743C" w:rsidRPr="00EF59DF">
        <w:rPr>
          <w:rFonts w:ascii="Arial" w:hAnsi="Arial" w:cs="Arial"/>
          <w:color w:val="000000"/>
          <w:sz w:val="22"/>
          <w:szCs w:val="22"/>
          <w:lang w:eastAsia="es-CO"/>
        </w:rPr>
        <w:t xml:space="preserve"> Así mismo la norma exige que se aporte una</w:t>
      </w:r>
      <w:r w:rsidR="00EC0733" w:rsidRPr="00EF59DF">
        <w:rPr>
          <w:rFonts w:ascii="Arial" w:hAnsi="Arial" w:cs="Arial"/>
          <w:color w:val="000000"/>
          <w:sz w:val="22"/>
          <w:szCs w:val="22"/>
          <w:lang w:eastAsia="es-CO"/>
        </w:rPr>
        <w:t xml:space="preserve">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 </w:t>
      </w:r>
    </w:p>
    <w:p w14:paraId="36CC1AAA" w14:textId="1CD157E6" w:rsidR="006D5250" w:rsidRPr="00EF59DF" w:rsidRDefault="00C44289" w:rsidP="00EF59DF">
      <w:pPr>
        <w:spacing w:after="120" w:line="276" w:lineRule="auto"/>
        <w:ind w:firstLine="708"/>
        <w:jc w:val="both"/>
        <w:rPr>
          <w:rFonts w:ascii="Arial" w:hAnsi="Arial" w:cs="Arial"/>
          <w:color w:val="000000"/>
          <w:sz w:val="22"/>
          <w:szCs w:val="22"/>
          <w:lang w:eastAsia="es-CO"/>
        </w:rPr>
      </w:pPr>
      <w:r w:rsidRPr="00EF59DF">
        <w:rPr>
          <w:rFonts w:ascii="Arial" w:hAnsi="Arial" w:cs="Arial"/>
          <w:color w:val="000000"/>
          <w:sz w:val="22"/>
          <w:szCs w:val="22"/>
          <w:lang w:eastAsia="es-CO"/>
        </w:rPr>
        <w:t>En concordancia con esto l</w:t>
      </w:r>
      <w:r w:rsidR="006D5250" w:rsidRPr="00EF59DF">
        <w:rPr>
          <w:rFonts w:ascii="Arial" w:hAnsi="Arial" w:cs="Arial"/>
          <w:color w:val="000000"/>
          <w:sz w:val="22"/>
          <w:szCs w:val="22"/>
          <w:lang w:eastAsia="es-CO"/>
        </w:rPr>
        <w:t>a «Guía para Determinar y Verificar la Capacidad Residual del Proponente en los Procesos de Contratación de Obra Pública»</w:t>
      </w:r>
      <w:r w:rsidRPr="00EF59DF">
        <w:rPr>
          <w:rFonts w:ascii="Arial" w:hAnsi="Arial" w:cs="Arial"/>
          <w:color w:val="000000"/>
          <w:sz w:val="22"/>
          <w:szCs w:val="22"/>
          <w:lang w:eastAsia="es-CO"/>
        </w:rPr>
        <w:t xml:space="preserve"> expedida por esta Agencia ha </w:t>
      </w:r>
      <w:r w:rsidR="006D5250" w:rsidRPr="00EF59DF">
        <w:rPr>
          <w:rFonts w:ascii="Arial" w:hAnsi="Arial" w:cs="Arial"/>
          <w:color w:val="000000"/>
          <w:sz w:val="22"/>
          <w:szCs w:val="22"/>
          <w:lang w:eastAsia="es-CO"/>
        </w:rPr>
        <w:t>defini</w:t>
      </w:r>
      <w:r w:rsidRPr="00EF59DF">
        <w:rPr>
          <w:rFonts w:ascii="Arial" w:hAnsi="Arial" w:cs="Arial"/>
          <w:color w:val="000000"/>
          <w:sz w:val="22"/>
          <w:szCs w:val="22"/>
          <w:lang w:eastAsia="es-CO"/>
        </w:rPr>
        <w:t xml:space="preserve">do los </w:t>
      </w:r>
      <w:r w:rsidR="006D5250" w:rsidRPr="00EF59DF">
        <w:rPr>
          <w:rFonts w:ascii="Arial" w:hAnsi="Arial" w:cs="Arial"/>
          <w:i/>
          <w:iCs/>
          <w:color w:val="000000"/>
          <w:sz w:val="22"/>
          <w:szCs w:val="22"/>
          <w:lang w:eastAsia="es-CO"/>
        </w:rPr>
        <w:t>Contratos en ejecución</w:t>
      </w:r>
      <w:r w:rsidRPr="00EF59DF">
        <w:rPr>
          <w:rFonts w:ascii="Arial" w:hAnsi="Arial" w:cs="Arial"/>
          <w:color w:val="000000"/>
          <w:sz w:val="22"/>
          <w:szCs w:val="22"/>
          <w:lang w:eastAsia="es-CO"/>
        </w:rPr>
        <w:t xml:space="preserve"> como lo que «[…]</w:t>
      </w:r>
      <w:r w:rsidR="006D5250" w:rsidRPr="00EF59DF">
        <w:rPr>
          <w:rFonts w:ascii="Arial" w:hAnsi="Arial" w:cs="Arial"/>
          <w:color w:val="000000"/>
          <w:sz w:val="22"/>
          <w:szCs w:val="22"/>
          <w:lang w:eastAsia="es-CO"/>
        </w:rPr>
        <w:t xml:space="preserv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w:t>
      </w:r>
      <w:r w:rsidR="007F2058" w:rsidRPr="00EF59DF">
        <w:rPr>
          <w:rFonts w:ascii="Arial" w:hAnsi="Arial" w:cs="Arial"/>
          <w:color w:val="000000"/>
          <w:sz w:val="22"/>
          <w:szCs w:val="22"/>
          <w:lang w:eastAsia="es-CO"/>
        </w:rPr>
        <w:t>».</w:t>
      </w:r>
    </w:p>
    <w:p w14:paraId="41D298E4" w14:textId="5190A1C3" w:rsidR="00E857F6" w:rsidRPr="006D5250" w:rsidRDefault="00CC7456" w:rsidP="00440C32">
      <w:pPr>
        <w:spacing w:line="276" w:lineRule="auto"/>
        <w:ind w:firstLine="708"/>
        <w:jc w:val="both"/>
        <w:rPr>
          <w:rFonts w:ascii="Arial" w:eastAsia="Calibri" w:hAnsi="Arial" w:cs="Arial"/>
          <w:sz w:val="22"/>
          <w:szCs w:val="22"/>
          <w:lang w:val="es-ES" w:eastAsia="en-US"/>
        </w:rPr>
      </w:pPr>
      <w:r w:rsidRPr="00EF59DF">
        <w:rPr>
          <w:rFonts w:ascii="Arial" w:hAnsi="Arial" w:cs="Arial"/>
          <w:color w:val="000000"/>
          <w:sz w:val="22"/>
          <w:szCs w:val="22"/>
          <w:lang w:eastAsia="es-CO"/>
        </w:rPr>
        <w:t xml:space="preserve">De </w:t>
      </w:r>
      <w:r w:rsidR="000C63DA" w:rsidRPr="00EF59DF">
        <w:rPr>
          <w:rFonts w:ascii="Arial" w:hAnsi="Arial" w:cs="Arial"/>
          <w:color w:val="000000"/>
          <w:sz w:val="22"/>
          <w:szCs w:val="22"/>
          <w:lang w:eastAsia="es-CO"/>
        </w:rPr>
        <w:t xml:space="preserve">conformidad con el artículo 83 de la Ley 1474 de 2011 </w:t>
      </w:r>
      <w:r w:rsidRPr="00EF59DF">
        <w:rPr>
          <w:rFonts w:ascii="Arial" w:hAnsi="Arial" w:cs="Arial"/>
          <w:color w:val="000000"/>
          <w:sz w:val="22"/>
          <w:szCs w:val="22"/>
          <w:lang w:eastAsia="es-CO"/>
        </w:rPr>
        <w:t xml:space="preserve">el objeto del contrato de interventoría es la realización de un seguimiento técnico del proceso de ejecución de un contrato, </w:t>
      </w:r>
      <w:r w:rsidR="000357F6" w:rsidRPr="00EF59DF">
        <w:rPr>
          <w:rFonts w:ascii="Arial" w:hAnsi="Arial" w:cs="Arial"/>
          <w:color w:val="000000"/>
          <w:sz w:val="22"/>
          <w:szCs w:val="22"/>
          <w:lang w:eastAsia="es-CO"/>
        </w:rPr>
        <w:t xml:space="preserve">lo no supone el desarrollo de obligaciones tendientes a la ejecución de obras civiles por parte del contratista. Esto </w:t>
      </w:r>
      <w:r w:rsidR="006E637A" w:rsidRPr="00EF59DF">
        <w:rPr>
          <w:rFonts w:ascii="Arial" w:hAnsi="Arial" w:cs="Arial"/>
          <w:color w:val="000000"/>
          <w:sz w:val="22"/>
          <w:szCs w:val="22"/>
          <w:lang w:eastAsia="es-CO"/>
        </w:rPr>
        <w:t xml:space="preserve">significa que los contratos de interventoría </w:t>
      </w:r>
      <w:r w:rsidR="00891EF4" w:rsidRPr="00EF59DF">
        <w:rPr>
          <w:rFonts w:ascii="Arial" w:hAnsi="Arial" w:cs="Arial"/>
          <w:color w:val="000000"/>
          <w:sz w:val="22"/>
          <w:szCs w:val="22"/>
          <w:lang w:eastAsia="es-CO"/>
        </w:rPr>
        <w:t xml:space="preserve">que un proponente tenga en </w:t>
      </w:r>
      <w:r w:rsidR="00A56EB8" w:rsidRPr="00EF59DF">
        <w:rPr>
          <w:rFonts w:ascii="Arial" w:hAnsi="Arial" w:cs="Arial"/>
          <w:color w:val="000000"/>
          <w:sz w:val="22"/>
          <w:szCs w:val="22"/>
          <w:lang w:eastAsia="es-CO"/>
        </w:rPr>
        <w:t>ejecución</w:t>
      </w:r>
      <w:r w:rsidR="00891EF4" w:rsidRPr="00EF59DF">
        <w:rPr>
          <w:rFonts w:ascii="Arial" w:hAnsi="Arial" w:cs="Arial"/>
          <w:color w:val="000000"/>
          <w:sz w:val="22"/>
          <w:szCs w:val="22"/>
          <w:lang w:eastAsia="es-CO"/>
        </w:rPr>
        <w:t xml:space="preserve"> no constituyen información relevante para el </w:t>
      </w:r>
      <w:r w:rsidR="00A56EB8" w:rsidRPr="00EF59DF">
        <w:rPr>
          <w:rFonts w:ascii="Arial" w:hAnsi="Arial" w:cs="Arial"/>
          <w:color w:val="000000"/>
          <w:sz w:val="22"/>
          <w:szCs w:val="22"/>
          <w:lang w:eastAsia="es-CO"/>
        </w:rPr>
        <w:t>cálculo</w:t>
      </w:r>
      <w:r w:rsidR="00891EF4" w:rsidRPr="00EF59DF">
        <w:rPr>
          <w:rFonts w:ascii="Arial" w:hAnsi="Arial" w:cs="Arial"/>
          <w:color w:val="000000"/>
          <w:sz w:val="22"/>
          <w:szCs w:val="22"/>
          <w:lang w:eastAsia="es-CO"/>
        </w:rPr>
        <w:t xml:space="preserve"> de la capacidad residual en</w:t>
      </w:r>
      <w:r w:rsidR="00333E87" w:rsidRPr="00EF59DF">
        <w:rPr>
          <w:rFonts w:ascii="Arial" w:hAnsi="Arial" w:cs="Arial"/>
          <w:color w:val="000000"/>
          <w:sz w:val="22"/>
          <w:szCs w:val="22"/>
          <w:lang w:eastAsia="es-CO"/>
        </w:rPr>
        <w:t xml:space="preserve"> el</w:t>
      </w:r>
      <w:r w:rsidR="00891EF4" w:rsidRPr="00EF59DF">
        <w:rPr>
          <w:rFonts w:ascii="Arial" w:hAnsi="Arial" w:cs="Arial"/>
          <w:color w:val="000000"/>
          <w:sz w:val="22"/>
          <w:szCs w:val="22"/>
          <w:lang w:eastAsia="es-CO"/>
        </w:rPr>
        <w:t xml:space="preserve"> marco de </w:t>
      </w:r>
      <w:r w:rsidR="00A56EB8" w:rsidRPr="00EF59DF">
        <w:rPr>
          <w:rFonts w:ascii="Arial" w:hAnsi="Arial" w:cs="Arial"/>
          <w:color w:val="000000"/>
          <w:sz w:val="22"/>
          <w:szCs w:val="22"/>
          <w:lang w:eastAsia="es-CO"/>
        </w:rPr>
        <w:t>contratos de obra pública,</w:t>
      </w:r>
      <w:r w:rsidR="00333E87" w:rsidRPr="00EF59DF">
        <w:rPr>
          <w:rFonts w:ascii="Arial" w:hAnsi="Arial" w:cs="Arial"/>
          <w:color w:val="000000"/>
          <w:sz w:val="22"/>
          <w:szCs w:val="22"/>
          <w:lang w:eastAsia="es-CO"/>
        </w:rPr>
        <w:t xml:space="preserve"> </w:t>
      </w:r>
      <w:r w:rsidR="00CD484B" w:rsidRPr="00EF59DF">
        <w:rPr>
          <w:rFonts w:ascii="Arial" w:hAnsi="Arial" w:cs="Arial"/>
          <w:color w:val="000000"/>
          <w:sz w:val="22"/>
          <w:szCs w:val="22"/>
          <w:lang w:eastAsia="es-CO"/>
        </w:rPr>
        <w:t>considerando que el artículo 2.2.1.1.1.6.4. del Decreto 1082 de 2015</w:t>
      </w:r>
      <w:r w:rsidR="00A56EB8" w:rsidRPr="00EF59DF">
        <w:rPr>
          <w:rFonts w:ascii="Arial" w:hAnsi="Arial" w:cs="Arial"/>
          <w:color w:val="000000"/>
          <w:sz w:val="22"/>
          <w:szCs w:val="22"/>
          <w:lang w:eastAsia="es-CO"/>
        </w:rPr>
        <w:t xml:space="preserve"> </w:t>
      </w:r>
      <w:r w:rsidR="00CD484B" w:rsidRPr="00EF59DF">
        <w:rPr>
          <w:rFonts w:ascii="Arial" w:hAnsi="Arial" w:cs="Arial"/>
          <w:color w:val="000000"/>
          <w:sz w:val="22"/>
          <w:szCs w:val="22"/>
          <w:lang w:eastAsia="es-CO"/>
        </w:rPr>
        <w:t xml:space="preserve">y la noción de </w:t>
      </w:r>
      <w:r w:rsidR="00CD484B" w:rsidRPr="00EF59DF">
        <w:rPr>
          <w:rFonts w:ascii="Arial" w:hAnsi="Arial" w:cs="Arial"/>
          <w:i/>
          <w:iCs/>
          <w:color w:val="000000"/>
          <w:sz w:val="22"/>
          <w:szCs w:val="22"/>
          <w:lang w:eastAsia="es-CO"/>
        </w:rPr>
        <w:t>Contratos en ejecución</w:t>
      </w:r>
      <w:r w:rsidR="00CD484B" w:rsidRPr="00EF59DF">
        <w:rPr>
          <w:rFonts w:ascii="Arial" w:hAnsi="Arial" w:cs="Arial"/>
          <w:color w:val="000000"/>
          <w:sz w:val="22"/>
          <w:szCs w:val="22"/>
          <w:lang w:eastAsia="es-CO"/>
        </w:rPr>
        <w:t xml:space="preserve"> establecida en la «Guía para Determinar y Verificar la Capacidad Residual del Proponente en los Procesos de Contratación de Obra Pública»</w:t>
      </w:r>
      <w:r w:rsidR="00C3430F" w:rsidRPr="00EF59DF">
        <w:rPr>
          <w:rFonts w:ascii="Arial" w:hAnsi="Arial" w:cs="Arial"/>
          <w:color w:val="000000"/>
          <w:sz w:val="22"/>
          <w:szCs w:val="22"/>
          <w:lang w:eastAsia="es-CO"/>
        </w:rPr>
        <w:t xml:space="preserve"> se refieren </w:t>
      </w:r>
      <w:r w:rsidR="00EB36CC" w:rsidRPr="00EF59DF">
        <w:rPr>
          <w:rFonts w:ascii="Arial" w:hAnsi="Arial" w:cs="Arial"/>
          <w:color w:val="000000"/>
          <w:sz w:val="22"/>
          <w:szCs w:val="22"/>
          <w:lang w:eastAsia="es-CO"/>
        </w:rPr>
        <w:t>exclusivamente a los</w:t>
      </w:r>
      <w:r w:rsidR="00C3430F" w:rsidRPr="00EF59DF">
        <w:rPr>
          <w:rFonts w:ascii="Arial" w:hAnsi="Arial" w:cs="Arial"/>
          <w:color w:val="000000"/>
          <w:sz w:val="22"/>
          <w:szCs w:val="22"/>
          <w:lang w:eastAsia="es-CO"/>
        </w:rPr>
        <w:t xml:space="preserve"> contratos que obliguen al proponente a la ejecución de obras </w:t>
      </w:r>
      <w:r w:rsidR="00C3430F" w:rsidRPr="00440C32">
        <w:rPr>
          <w:rFonts w:ascii="Arial" w:hAnsi="Arial" w:cs="Arial"/>
          <w:color w:val="000000"/>
          <w:sz w:val="22"/>
          <w:szCs w:val="22"/>
          <w:lang w:eastAsia="es-CO"/>
        </w:rPr>
        <w:t>civil</w:t>
      </w:r>
      <w:r w:rsidR="00E857F6" w:rsidRPr="00440C32">
        <w:rPr>
          <w:rFonts w:ascii="Arial" w:hAnsi="Arial" w:cs="Arial"/>
          <w:sz w:val="22"/>
          <w:szCs w:val="22"/>
          <w:lang w:val="es-ES"/>
        </w:rPr>
        <w:t>e</w:t>
      </w:r>
      <w:r w:rsidR="00EB36CC" w:rsidRPr="00440C32">
        <w:rPr>
          <w:rFonts w:ascii="Arial" w:hAnsi="Arial" w:cs="Arial"/>
          <w:sz w:val="22"/>
          <w:szCs w:val="22"/>
          <w:lang w:val="es-ES"/>
        </w:rPr>
        <w:t>s</w:t>
      </w:r>
      <w:r w:rsidR="007C4B95" w:rsidRPr="00440C32">
        <w:rPr>
          <w:rFonts w:ascii="Arial" w:hAnsi="Arial" w:cs="Arial"/>
          <w:sz w:val="22"/>
          <w:szCs w:val="22"/>
          <w:lang w:val="es-ES"/>
        </w:rPr>
        <w:t>.</w:t>
      </w:r>
    </w:p>
    <w:p w14:paraId="4A9159BB" w14:textId="77777777" w:rsidR="00332132" w:rsidRPr="00332132" w:rsidRDefault="00332132" w:rsidP="008F62BD">
      <w:pPr>
        <w:spacing w:before="120" w:line="276" w:lineRule="auto"/>
        <w:jc w:val="both"/>
        <w:rPr>
          <w:rFonts w:ascii="Arial" w:eastAsia="Calibri" w:hAnsi="Arial" w:cs="Arial"/>
          <w:sz w:val="22"/>
          <w:szCs w:val="22"/>
          <w:lang w:val="es-ES"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537D560B" w14:textId="5EE56B12" w:rsidR="003D607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71818395" w14:textId="6BA9B055" w:rsidR="00D40F8B" w:rsidRDefault="003D3349" w:rsidP="003D607B">
      <w:pPr>
        <w:pStyle w:val="NormalWeb"/>
        <w:spacing w:before="0" w:beforeAutospacing="0" w:after="0" w:afterAutospacing="0" w:line="276" w:lineRule="auto"/>
        <w:jc w:val="center"/>
        <w:rPr>
          <w:rFonts w:ascii="Arial" w:hAnsi="Arial" w:cs="Arial"/>
          <w:color w:val="000000" w:themeColor="text1"/>
          <w:sz w:val="22"/>
          <w:szCs w:val="22"/>
          <w:lang w:val="es-ES"/>
        </w:rPr>
      </w:pPr>
      <w:r w:rsidRPr="00570FD2">
        <w:rPr>
          <w:rFonts w:ascii="Arial" w:hAnsi="Arial" w:cs="Arial"/>
          <w:noProof/>
          <w:color w:val="000000" w:themeColor="text1"/>
          <w:sz w:val="22"/>
        </w:rPr>
        <w:drawing>
          <wp:inline distT="0" distB="0" distL="0" distR="0" wp14:anchorId="791881DC" wp14:editId="3C3AC95C">
            <wp:extent cx="2714625" cy="1152525"/>
            <wp:effectExtent l="0" t="0" r="9525"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CFF49BD" w14:textId="77777777" w:rsidR="003D607B" w:rsidRPr="003D607B" w:rsidRDefault="003D607B" w:rsidP="003D607B">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187508" w14:textId="489AA8E3" w:rsidR="00F830B8" w:rsidRPr="00F830B8" w:rsidRDefault="00F830B8" w:rsidP="00F830B8">
            <w:pPr>
              <w:rPr>
                <w:rFonts w:ascii="Arial" w:hAnsi="Arial" w:cs="Arial"/>
                <w:color w:val="000000" w:themeColor="text1"/>
                <w:sz w:val="16"/>
                <w:szCs w:val="16"/>
                <w:lang w:val="es-ES" w:eastAsia="es-ES"/>
              </w:rPr>
            </w:pPr>
            <w:r w:rsidRPr="00F830B8">
              <w:rPr>
                <w:rFonts w:ascii="Arial" w:hAnsi="Arial" w:cs="Arial"/>
                <w:color w:val="000000" w:themeColor="text1"/>
                <w:sz w:val="16"/>
                <w:szCs w:val="16"/>
                <w:lang w:val="es-ES" w:eastAsia="es-ES"/>
              </w:rPr>
              <w:t>Alejandro Sarmiento Cantillo</w:t>
            </w:r>
          </w:p>
          <w:p w14:paraId="130B3228" w14:textId="45BFC788" w:rsidR="00F83702" w:rsidRPr="00DC5823" w:rsidRDefault="00F830B8" w:rsidP="00F83702">
            <w:pPr>
              <w:jc w:val="both"/>
              <w:rPr>
                <w:rFonts w:ascii="Arial" w:hAnsi="Arial" w:cs="Arial"/>
                <w:color w:val="000000" w:themeColor="text1"/>
                <w:sz w:val="16"/>
                <w:szCs w:val="16"/>
                <w:lang w:val="es-ES" w:eastAsia="es-ES"/>
              </w:rPr>
            </w:pPr>
            <w:r w:rsidRPr="00F830B8">
              <w:rPr>
                <w:rFonts w:ascii="Arial" w:hAnsi="Arial" w:cs="Arial"/>
                <w:color w:val="000000" w:themeColor="text1"/>
                <w:sz w:val="16"/>
                <w:szCs w:val="16"/>
                <w:lang w:val="es-ES" w:eastAsia="es-ES"/>
              </w:rPr>
              <w:t>Gestor T1-1</w:t>
            </w:r>
            <w:r w:rsidR="00571380">
              <w:rPr>
                <w:rFonts w:ascii="Arial" w:hAnsi="Arial" w:cs="Arial"/>
                <w:color w:val="000000" w:themeColor="text1"/>
                <w:sz w:val="16"/>
                <w:szCs w:val="16"/>
                <w:lang w:val="es-ES" w:eastAsia="es-ES"/>
              </w:rPr>
              <w:t>5</w:t>
            </w:r>
            <w:r w:rsidRPr="00F830B8">
              <w:rPr>
                <w:rFonts w:ascii="Arial" w:hAnsi="Arial" w:cs="Arial"/>
                <w:color w:val="000000" w:themeColor="text1"/>
                <w:sz w:val="16"/>
                <w:szCs w:val="16"/>
                <w:lang w:val="es-ES" w:eastAsia="es-ES"/>
              </w:rPr>
              <w:t xml:space="preserve"> de la 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3"/>
    </w:tbl>
    <w:p w14:paraId="491DE49E" w14:textId="1AD8576B" w:rsidR="0072142B" w:rsidRDefault="0072142B" w:rsidP="00E56604">
      <w:pPr>
        <w:jc w:val="both"/>
        <w:rPr>
          <w:rFonts w:ascii="Arial" w:hAnsi="Arial" w:cs="Arial"/>
          <w:lang w:val="es-ES_tradnl"/>
        </w:rPr>
      </w:pPr>
    </w:p>
    <w:sectPr w:rsidR="0072142B"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7E39" w14:textId="77777777" w:rsidR="00EC64BF" w:rsidRDefault="00EC64BF">
      <w:r>
        <w:separator/>
      </w:r>
    </w:p>
  </w:endnote>
  <w:endnote w:type="continuationSeparator" w:id="0">
    <w:p w14:paraId="2BF73D34" w14:textId="77777777" w:rsidR="00EC64BF" w:rsidRDefault="00EC64BF">
      <w:r>
        <w:continuationSeparator/>
      </w:r>
    </w:p>
  </w:endnote>
  <w:endnote w:type="continuationNotice" w:id="1">
    <w:p w14:paraId="0FD26B82" w14:textId="77777777" w:rsidR="00EC64BF" w:rsidRDefault="00EC6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5F28" w14:textId="77777777" w:rsidR="00EC64BF" w:rsidRDefault="00EC64BF">
      <w:r>
        <w:separator/>
      </w:r>
    </w:p>
  </w:footnote>
  <w:footnote w:type="continuationSeparator" w:id="0">
    <w:p w14:paraId="54300FBC" w14:textId="77777777" w:rsidR="00EC64BF" w:rsidRDefault="00EC64BF">
      <w:r>
        <w:continuationSeparator/>
      </w:r>
    </w:p>
  </w:footnote>
  <w:footnote w:type="continuationNotice" w:id="1">
    <w:p w14:paraId="549DD18B" w14:textId="77777777" w:rsidR="00EC64BF" w:rsidRDefault="00EC64BF"/>
  </w:footnote>
  <w:footnote w:id="2">
    <w:p w14:paraId="258C3AF8" w14:textId="77777777" w:rsidR="005B52BF" w:rsidRPr="005B52BF" w:rsidRDefault="005B52BF" w:rsidP="005B52BF">
      <w:pPr>
        <w:ind w:right="49" w:firstLine="720"/>
        <w:jc w:val="both"/>
        <w:rPr>
          <w:rFonts w:ascii="Arial" w:hAnsi="Arial" w:cs="Arial"/>
          <w:color w:val="000000"/>
          <w:sz w:val="19"/>
          <w:szCs w:val="19"/>
        </w:rPr>
      </w:pPr>
      <w:r w:rsidRPr="005B52BF">
        <w:rPr>
          <w:rStyle w:val="Refdenotaalpie"/>
          <w:rFonts w:ascii="Arial" w:hAnsi="Arial" w:cs="Arial"/>
          <w:color w:val="000000"/>
          <w:sz w:val="19"/>
          <w:szCs w:val="19"/>
        </w:rPr>
        <w:footnoteRef/>
      </w:r>
      <w:r w:rsidRPr="005B52BF">
        <w:rPr>
          <w:rFonts w:ascii="Arial" w:hAnsi="Arial" w:cs="Arial"/>
          <w:color w:val="000000"/>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B52BF">
        <w:rPr>
          <w:rFonts w:ascii="Arial" w:hAnsi="Arial" w:cs="Arial"/>
          <w:color w:val="000000"/>
          <w:spacing w:val="-14"/>
          <w:sz w:val="19"/>
          <w:szCs w:val="19"/>
        </w:rPr>
        <w:t xml:space="preserve"> </w:t>
      </w:r>
      <w:r w:rsidRPr="005B52BF">
        <w:rPr>
          <w:rFonts w:ascii="Arial" w:hAnsi="Arial" w:cs="Arial"/>
          <w:color w:val="000000"/>
          <w:sz w:val="19"/>
          <w:szCs w:val="19"/>
        </w:rPr>
        <w:t>utilizados.</w:t>
      </w:r>
    </w:p>
    <w:p w14:paraId="0FBF0141" w14:textId="77777777" w:rsidR="005B52BF" w:rsidRPr="005B52BF" w:rsidRDefault="005B52BF" w:rsidP="005B52BF">
      <w:pPr>
        <w:ind w:right="49" w:firstLine="708"/>
        <w:jc w:val="both"/>
        <w:rPr>
          <w:rFonts w:ascii="Arial" w:hAnsi="Arial" w:cs="Arial"/>
          <w:color w:val="000000"/>
          <w:sz w:val="19"/>
          <w:szCs w:val="19"/>
        </w:rPr>
      </w:pPr>
      <w:r w:rsidRPr="005B52BF">
        <w:rPr>
          <w:rFonts w:ascii="Arial" w:hAnsi="Arial" w:cs="Arial"/>
          <w:color w:val="000000"/>
          <w:sz w:val="19"/>
          <w:szCs w:val="19"/>
        </w:rPr>
        <w:t>[…]</w:t>
      </w:r>
    </w:p>
    <w:p w14:paraId="2D9FE731" w14:textId="77777777" w:rsidR="005B52BF" w:rsidRPr="005B52BF" w:rsidRDefault="005B52BF" w:rsidP="005B52BF">
      <w:pPr>
        <w:ind w:right="49" w:firstLine="708"/>
        <w:jc w:val="both"/>
        <w:rPr>
          <w:rFonts w:ascii="Arial" w:hAnsi="Arial" w:cs="Arial"/>
          <w:color w:val="000000"/>
          <w:sz w:val="19"/>
          <w:szCs w:val="19"/>
        </w:rPr>
      </w:pPr>
      <w:r w:rsidRPr="005B52BF">
        <w:rPr>
          <w:rFonts w:ascii="Arial" w:hAnsi="Arial" w:cs="Arial"/>
          <w:color w:val="000000"/>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14:paraId="6A750EB3" w14:textId="77777777" w:rsidR="005B52BF" w:rsidRPr="005B52BF" w:rsidRDefault="005B52BF" w:rsidP="005B52BF">
      <w:pPr>
        <w:ind w:right="49" w:firstLine="708"/>
        <w:jc w:val="both"/>
        <w:rPr>
          <w:rFonts w:ascii="Arial" w:hAnsi="Arial" w:cs="Arial"/>
          <w:color w:val="000000"/>
          <w:sz w:val="19"/>
          <w:szCs w:val="19"/>
        </w:rPr>
      </w:pPr>
    </w:p>
  </w:footnote>
  <w:footnote w:id="3">
    <w:p w14:paraId="27C1E94E" w14:textId="77777777" w:rsidR="005B52BF" w:rsidRPr="005B52BF" w:rsidRDefault="005B52BF" w:rsidP="005B52BF">
      <w:pPr>
        <w:ind w:right="49" w:firstLine="720"/>
        <w:jc w:val="both"/>
        <w:rPr>
          <w:rFonts w:ascii="Arial" w:hAnsi="Arial" w:cs="Arial"/>
          <w:color w:val="000000"/>
          <w:sz w:val="19"/>
          <w:szCs w:val="19"/>
        </w:rPr>
      </w:pPr>
      <w:r w:rsidRPr="005B52BF">
        <w:rPr>
          <w:rStyle w:val="Refdenotaalpie"/>
          <w:rFonts w:ascii="Arial" w:hAnsi="Arial" w:cs="Arial"/>
          <w:color w:val="000000"/>
          <w:sz w:val="19"/>
          <w:szCs w:val="19"/>
        </w:rPr>
        <w:footnoteRef/>
      </w:r>
      <w:r w:rsidRPr="005B52BF">
        <w:rPr>
          <w:rFonts w:ascii="Arial" w:hAnsi="Arial" w:cs="Arial"/>
          <w:color w:val="000000"/>
          <w:sz w:val="19"/>
          <w:szCs w:val="19"/>
        </w:rPr>
        <w:t xml:space="preserve"> Consejo de Estado. Sección Tercera. Providencia del 26 de junio de 2003. Exp. 13.354. M.P. María Elena Giraldo Gómez.</w:t>
      </w:r>
    </w:p>
    <w:p w14:paraId="55202DFA" w14:textId="77777777" w:rsidR="005B52BF" w:rsidRPr="005B52BF" w:rsidRDefault="005B52BF" w:rsidP="005B52BF">
      <w:pPr>
        <w:pStyle w:val="Textonotapie"/>
        <w:ind w:right="49"/>
        <w:jc w:val="both"/>
        <w:rPr>
          <w:rFonts w:ascii="Arial" w:hAnsi="Arial" w:cs="Arial"/>
          <w:color w:val="000000"/>
          <w:sz w:val="19"/>
          <w:szCs w:val="19"/>
          <w:lang w:val="es-CO"/>
        </w:rPr>
      </w:pPr>
    </w:p>
  </w:footnote>
  <w:footnote w:id="4">
    <w:p w14:paraId="4E90A517" w14:textId="77777777" w:rsidR="005B52BF" w:rsidRPr="005B52BF" w:rsidRDefault="005B52BF" w:rsidP="005B52BF">
      <w:pPr>
        <w:ind w:right="49" w:firstLine="708"/>
        <w:jc w:val="both"/>
        <w:rPr>
          <w:rFonts w:ascii="Arial" w:hAnsi="Arial" w:cs="Arial"/>
          <w:color w:val="000000"/>
          <w:sz w:val="19"/>
          <w:szCs w:val="19"/>
        </w:rPr>
      </w:pPr>
      <w:r w:rsidRPr="005B52BF">
        <w:rPr>
          <w:rStyle w:val="Refdenotaalpie"/>
          <w:rFonts w:ascii="Arial" w:hAnsi="Arial" w:cs="Arial"/>
          <w:color w:val="000000"/>
          <w:sz w:val="19"/>
          <w:szCs w:val="19"/>
        </w:rPr>
        <w:footnoteRef/>
      </w:r>
      <w:r w:rsidRPr="005B52BF">
        <w:rPr>
          <w:rFonts w:ascii="Arial" w:hAnsi="Arial" w:cs="Arial"/>
          <w:color w:val="000000"/>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5B52BF">
        <w:rPr>
          <w:rFonts w:ascii="Arial" w:hAnsi="Arial" w:cs="Arial"/>
          <w:color w:val="000000"/>
          <w:spacing w:val="-3"/>
          <w:sz w:val="19"/>
          <w:szCs w:val="19"/>
        </w:rPr>
        <w:t xml:space="preserve"> </w:t>
      </w:r>
      <w:r w:rsidRPr="005B52BF">
        <w:rPr>
          <w:rFonts w:ascii="Arial" w:hAnsi="Arial" w:cs="Arial"/>
          <w:color w:val="000000"/>
          <w:sz w:val="19"/>
          <w:szCs w:val="19"/>
        </w:rPr>
        <w:t>documentos:</w:t>
      </w:r>
    </w:p>
    <w:p w14:paraId="1E1A31F5" w14:textId="77777777" w:rsidR="005B52BF" w:rsidRPr="005B52BF" w:rsidRDefault="005B52BF" w:rsidP="005B52BF">
      <w:pPr>
        <w:ind w:right="49" w:firstLine="708"/>
        <w:jc w:val="both"/>
        <w:rPr>
          <w:rFonts w:ascii="Arial" w:hAnsi="Arial" w:cs="Arial"/>
          <w:color w:val="000000"/>
          <w:sz w:val="19"/>
          <w:szCs w:val="19"/>
        </w:rPr>
      </w:pPr>
      <w:r w:rsidRPr="005B52BF">
        <w:rPr>
          <w:rFonts w:ascii="Arial" w:hAnsi="Arial" w:cs="Arial"/>
          <w:color w:val="000000"/>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5B52BF">
        <w:rPr>
          <w:rFonts w:ascii="Arial" w:hAnsi="Arial" w:cs="Arial"/>
          <w:color w:val="000000"/>
          <w:spacing w:val="-4"/>
          <w:sz w:val="19"/>
          <w:szCs w:val="19"/>
        </w:rPr>
        <w:t xml:space="preserve"> </w:t>
      </w:r>
      <w:r w:rsidRPr="005B52BF">
        <w:rPr>
          <w:rFonts w:ascii="Arial" w:hAnsi="Arial" w:cs="Arial"/>
          <w:color w:val="000000"/>
          <w:sz w:val="19"/>
          <w:szCs w:val="19"/>
        </w:rPr>
        <w:t>concesionarios.</w:t>
      </w:r>
    </w:p>
    <w:p w14:paraId="6DFB4C3B" w14:textId="77777777" w:rsidR="005B52BF" w:rsidRPr="005B52BF" w:rsidRDefault="005B52BF" w:rsidP="005B52BF">
      <w:pPr>
        <w:ind w:right="49" w:firstLine="708"/>
        <w:jc w:val="both"/>
        <w:rPr>
          <w:rFonts w:ascii="Arial" w:hAnsi="Arial" w:cs="Arial"/>
          <w:color w:val="000000"/>
          <w:sz w:val="19"/>
          <w:szCs w:val="19"/>
        </w:rPr>
      </w:pPr>
      <w:r w:rsidRPr="005B52BF">
        <w:rPr>
          <w:rFonts w:ascii="Arial" w:hAnsi="Arial" w:cs="Arial"/>
          <w:color w:val="000000"/>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CA87788" w14:textId="77777777" w:rsidR="005B52BF" w:rsidRPr="005B52BF" w:rsidRDefault="005B52BF" w:rsidP="005B52BF">
      <w:pPr>
        <w:ind w:right="49" w:firstLine="708"/>
        <w:jc w:val="both"/>
        <w:rPr>
          <w:rFonts w:ascii="Arial" w:hAnsi="Arial" w:cs="Arial"/>
          <w:color w:val="000000"/>
          <w:sz w:val="19"/>
          <w:szCs w:val="19"/>
        </w:rPr>
      </w:pPr>
      <w:r w:rsidRPr="005B52BF">
        <w:rPr>
          <w:rFonts w:ascii="Arial" w:hAnsi="Arial" w:cs="Arial"/>
          <w:color w:val="000000"/>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45FE7F3D" w14:textId="77777777" w:rsidR="005B52BF" w:rsidRPr="005B52BF" w:rsidRDefault="005B52BF" w:rsidP="005B52BF">
      <w:pPr>
        <w:pStyle w:val="Textonotapie"/>
        <w:ind w:right="49"/>
        <w:jc w:val="both"/>
        <w:rPr>
          <w:rFonts w:ascii="Arial" w:hAnsi="Arial" w:cs="Arial"/>
          <w:color w:val="000000"/>
          <w:sz w:val="19"/>
          <w:szCs w:val="19"/>
        </w:rPr>
      </w:pPr>
    </w:p>
  </w:footnote>
  <w:footnote w:id="5">
    <w:p w14:paraId="4F64110A" w14:textId="77777777" w:rsidR="005B52BF" w:rsidRPr="00EB4F7E" w:rsidRDefault="005B52BF" w:rsidP="005B52BF">
      <w:pPr>
        <w:pStyle w:val="Textonotapie"/>
        <w:ind w:firstLine="708"/>
        <w:jc w:val="both"/>
        <w:rPr>
          <w:lang w:val="es-CO"/>
        </w:rPr>
      </w:pPr>
      <w:r w:rsidRPr="00A16516">
        <w:rPr>
          <w:rStyle w:val="Refdenotaalpie"/>
          <w:rFonts w:ascii="Arial" w:hAnsi="Arial" w:cs="Arial"/>
          <w:sz w:val="19"/>
          <w:szCs w:val="19"/>
        </w:rPr>
        <w:footnoteRef/>
      </w:r>
      <w:r w:rsidRPr="00A16516">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Pág 4. Disponible en:</w:t>
      </w:r>
      <w:r>
        <w:rPr>
          <w:rFonts w:ascii="Arial" w:hAnsi="Arial" w:cs="Arial"/>
          <w:sz w:val="19"/>
          <w:szCs w:val="19"/>
        </w:rPr>
        <w:t xml:space="preserve"> </w:t>
      </w:r>
      <w:hyperlink r:id="rId1" w:history="1">
        <w:r w:rsidRPr="00046469">
          <w:rPr>
            <w:rStyle w:val="Hipervnculo"/>
            <w:rFonts w:ascii="Arial" w:hAnsi="Arial" w:cs="Arial"/>
            <w:color w:val="auto"/>
            <w:sz w:val="19"/>
            <w:szCs w:val="19"/>
          </w:rPr>
          <w:t>https://colombiacompra.gov.co/sites/cce_public/files/cce_documents/cce_guia_capacidad_residual.pdf</w:t>
        </w:r>
      </w:hyperlink>
      <w:r w:rsidRPr="00F20933">
        <w:t xml:space="preserve"> </w:t>
      </w:r>
    </w:p>
  </w:footnote>
  <w:footnote w:id="6">
    <w:p w14:paraId="13781615" w14:textId="69862906" w:rsidR="00B000E6" w:rsidRDefault="00B000E6" w:rsidP="00887F46">
      <w:pPr>
        <w:ind w:firstLine="709"/>
        <w:jc w:val="both"/>
      </w:pPr>
      <w:r w:rsidRPr="00887F46">
        <w:rPr>
          <w:rStyle w:val="Refdenotaalpie"/>
          <w:rFonts w:ascii="Arial" w:hAnsi="Arial" w:cs="Arial"/>
          <w:sz w:val="19"/>
          <w:szCs w:val="19"/>
        </w:rPr>
        <w:footnoteRef/>
      </w:r>
      <w:r w:rsidRPr="00887F46">
        <w:rPr>
          <w:rFonts w:ascii="Arial" w:hAnsi="Arial" w:cs="Arial"/>
          <w:sz w:val="19"/>
          <w:szCs w:val="19"/>
        </w:rPr>
        <w:t xml:space="preserve"> </w:t>
      </w:r>
      <w:r w:rsidRPr="00887F46">
        <w:rPr>
          <w:rFonts w:ascii="Arial" w:hAnsi="Arial" w:cs="Arial"/>
          <w:sz w:val="19"/>
          <w:szCs w:val="19"/>
          <w:lang w:val="es-ES"/>
        </w:rPr>
        <w:t xml:space="preserve">En concordancia con esto, en la «Guía para el Ejercicio de las Funciones de Supervisión e Interventoría de los contratos del Estado», esta Agencia ha definido la </w:t>
      </w:r>
      <w:r w:rsidR="008226D8" w:rsidRPr="00887F46">
        <w:rPr>
          <w:rFonts w:ascii="Arial" w:hAnsi="Arial" w:cs="Arial"/>
          <w:sz w:val="19"/>
          <w:szCs w:val="19"/>
          <w:lang w:val="es-ES"/>
        </w:rPr>
        <w:t>interventoría</w:t>
      </w:r>
      <w:r w:rsidRPr="00887F46">
        <w:rPr>
          <w:rFonts w:ascii="Arial" w:hAnsi="Arial" w:cs="Arial"/>
          <w:sz w:val="19"/>
          <w:szCs w:val="19"/>
          <w:lang w:val="es-ES"/>
        </w:rPr>
        <w:t xml:space="preserve"> </w:t>
      </w:r>
      <w:r w:rsidR="008226D8" w:rsidRPr="00887F46">
        <w:rPr>
          <w:rFonts w:ascii="Arial" w:hAnsi="Arial" w:cs="Arial"/>
          <w:sz w:val="19"/>
          <w:szCs w:val="19"/>
          <w:lang w:val="es-ES"/>
        </w:rPr>
        <w:t>como</w:t>
      </w:r>
      <w:r w:rsidRPr="00887F46">
        <w:rPr>
          <w:rFonts w:ascii="Arial" w:hAnsi="Arial" w:cs="Arial"/>
          <w:sz w:val="19"/>
          <w:szCs w:val="19"/>
          <w:lang w:val="es-ES"/>
        </w:rPr>
        <w:t xml:space="preserve">: </w:t>
      </w:r>
      <w:r w:rsidR="008226D8" w:rsidRPr="00887F46">
        <w:rPr>
          <w:rFonts w:ascii="Arial" w:eastAsia="Arial" w:hAnsi="Arial" w:cs="Arial"/>
          <w:sz w:val="19"/>
          <w:szCs w:val="19"/>
          <w:lang w:eastAsia="es-ES" w:bidi="es-ES"/>
        </w:rPr>
        <w:t>«[…] e</w:t>
      </w:r>
      <w:r w:rsidRPr="00887F46">
        <w:rPr>
          <w:rFonts w:ascii="Arial" w:eastAsia="Arial" w:hAnsi="Arial" w:cs="Arial"/>
          <w:sz w:val="19"/>
          <w:szCs w:val="19"/>
          <w:lang w:eastAsia="es-ES" w:bidi="es-ES"/>
        </w:rPr>
        <w:t>l seguimiento técnico a la ejecución de contratos de distintas tipologías, realizado por una persona natural o jurídica contratada para ese fin por la Entidad Estatal, en los siguientes casos: (i) cuando la ley ha establecido la obligación de contar con esta figura en determinados contratos, (ii) cuando el seguimiento del contrato requiera del conocimiento especializado en la materia objeto del mismo, o (iii) cuando la complejidad o la extensión del contrato lo justifique. No obstante, la Entidad Estatal puede determinar que la interventoría cubra no sólo acciones de carácter técnico, sino también administrativo, financiero, contable y/o jurídico. El contrato de interventoría es principal y autónomo y aunque el objeto del mismo supone la existencia de otro contrato respecto del cual se va a ejercer la vigilancia, el mismo es independiente de este último y, por lo tanto, su existencia no depende de la existencia del contrato vigilado».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196" w:hanging="360"/>
      </w:pPr>
      <w:rPr>
        <w:b/>
        <w:color w:val="000000" w:themeColor="text1"/>
      </w:rPr>
    </w:lvl>
    <w:lvl w:ilvl="1">
      <w:start w:val="2"/>
      <w:numFmt w:val="decimal"/>
      <w:isLgl/>
      <w:lvlText w:val="%1.%2"/>
      <w:lvlJc w:val="left"/>
      <w:pPr>
        <w:ind w:left="2836" w:hanging="360"/>
      </w:pPr>
    </w:lvl>
    <w:lvl w:ilvl="2">
      <w:start w:val="1"/>
      <w:numFmt w:val="decimal"/>
      <w:isLgl/>
      <w:lvlText w:val="%1.%2.%3"/>
      <w:lvlJc w:val="left"/>
      <w:pPr>
        <w:ind w:left="3556" w:hanging="720"/>
      </w:pPr>
    </w:lvl>
    <w:lvl w:ilvl="3">
      <w:start w:val="1"/>
      <w:numFmt w:val="decimal"/>
      <w:isLgl/>
      <w:lvlText w:val="%1.%2.%3.%4"/>
      <w:lvlJc w:val="left"/>
      <w:pPr>
        <w:ind w:left="3556" w:hanging="720"/>
      </w:pPr>
    </w:lvl>
    <w:lvl w:ilvl="4">
      <w:start w:val="1"/>
      <w:numFmt w:val="decimal"/>
      <w:isLgl/>
      <w:lvlText w:val="%1.%2.%3.%4.%5"/>
      <w:lvlJc w:val="left"/>
      <w:pPr>
        <w:ind w:left="3916" w:hanging="1080"/>
      </w:pPr>
    </w:lvl>
    <w:lvl w:ilvl="5">
      <w:start w:val="1"/>
      <w:numFmt w:val="decimal"/>
      <w:isLgl/>
      <w:lvlText w:val="%1.%2.%3.%4.%5.%6"/>
      <w:lvlJc w:val="left"/>
      <w:pPr>
        <w:ind w:left="3916" w:hanging="1080"/>
      </w:pPr>
    </w:lvl>
    <w:lvl w:ilvl="6">
      <w:start w:val="1"/>
      <w:numFmt w:val="decimal"/>
      <w:isLgl/>
      <w:lvlText w:val="%1.%2.%3.%4.%5.%6.%7"/>
      <w:lvlJc w:val="left"/>
      <w:pPr>
        <w:ind w:left="4276" w:hanging="1440"/>
      </w:pPr>
    </w:lvl>
    <w:lvl w:ilvl="7">
      <w:start w:val="1"/>
      <w:numFmt w:val="decimal"/>
      <w:isLgl/>
      <w:lvlText w:val="%1.%2.%3.%4.%5.%6.%7.%8"/>
      <w:lvlJc w:val="left"/>
      <w:pPr>
        <w:ind w:left="4276" w:hanging="1440"/>
      </w:pPr>
    </w:lvl>
    <w:lvl w:ilvl="8">
      <w:start w:val="1"/>
      <w:numFmt w:val="decimal"/>
      <w:isLgl/>
      <w:lvlText w:val="%1.%2.%3.%4.%5.%6.%7.%8.%9"/>
      <w:lvlJc w:val="left"/>
      <w:pPr>
        <w:ind w:left="4636"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7C4233"/>
    <w:multiLevelType w:val="hybridMultilevel"/>
    <w:tmpl w:val="6CDA6FB8"/>
    <w:lvl w:ilvl="0" w:tplc="893674DA">
      <w:start w:val="2"/>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4" w15:restartNumberingAfterBreak="0">
    <w:nsid w:val="60A27E04"/>
    <w:multiLevelType w:val="hybridMultilevel"/>
    <w:tmpl w:val="AB905834"/>
    <w:lvl w:ilvl="0" w:tplc="35E4F0D0">
      <w:start w:val="4"/>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7"/>
  </w:num>
  <w:num w:numId="3">
    <w:abstractNumId w:val="17"/>
  </w:num>
  <w:num w:numId="4">
    <w:abstractNumId w:val="20"/>
  </w:num>
  <w:num w:numId="5">
    <w:abstractNumId w:val="2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6"/>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8"/>
  </w:num>
  <w:num w:numId="19">
    <w:abstractNumId w:val="2"/>
  </w:num>
  <w:num w:numId="20">
    <w:abstractNumId w:val="31"/>
  </w:num>
  <w:num w:numId="21">
    <w:abstractNumId w:val="19"/>
  </w:num>
  <w:num w:numId="22">
    <w:abstractNumId w:val="5"/>
  </w:num>
  <w:num w:numId="23">
    <w:abstractNumId w:val="4"/>
  </w:num>
  <w:num w:numId="24">
    <w:abstractNumId w:val="22"/>
  </w:num>
  <w:num w:numId="25">
    <w:abstractNumId w:val="11"/>
  </w:num>
  <w:num w:numId="26">
    <w:abstractNumId w:val="29"/>
  </w:num>
  <w:num w:numId="27">
    <w:abstractNumId w:val="15"/>
  </w:num>
  <w:num w:numId="28">
    <w:abstractNumId w:val="25"/>
  </w:num>
  <w:num w:numId="29">
    <w:abstractNumId w:val="12"/>
  </w:num>
  <w:num w:numId="30">
    <w:abstractNumId w:val="32"/>
    <w:lvlOverride w:ilvl="0">
      <w:startOverride w:val="4"/>
    </w:lvlOverride>
    <w:lvlOverride w:ilvl="1"/>
    <w:lvlOverride w:ilvl="2"/>
    <w:lvlOverride w:ilvl="3"/>
    <w:lvlOverride w:ilvl="4"/>
    <w:lvlOverride w:ilvl="5"/>
    <w:lvlOverride w:ilvl="6"/>
    <w:lvlOverride w:ilvl="7"/>
    <w:lvlOverride w:ilvl="8"/>
  </w:num>
  <w:num w:numId="31">
    <w:abstractNumId w:val="8"/>
    <w:lvlOverride w:ilvl="0">
      <w:startOverride w:val="4"/>
    </w:lvlOverride>
    <w:lvlOverride w:ilvl="1"/>
    <w:lvlOverride w:ilvl="2"/>
    <w:lvlOverride w:ilvl="3"/>
    <w:lvlOverride w:ilvl="4"/>
    <w:lvlOverride w:ilvl="5"/>
    <w:lvlOverride w:ilvl="6"/>
    <w:lvlOverride w:ilvl="7"/>
    <w:lvlOverride w:ilvl="8"/>
  </w:num>
  <w:num w:numId="32">
    <w:abstractNumId w:val="26"/>
  </w:num>
  <w:num w:numId="33">
    <w:abstractNumId w:val="23"/>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ttachedTemplate r:id="rId1"/>
  <w:revisionView w:markup="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40"/>
    <w:rsid w:val="000165AC"/>
    <w:rsid w:val="00016651"/>
    <w:rsid w:val="000171A2"/>
    <w:rsid w:val="00017B65"/>
    <w:rsid w:val="00020158"/>
    <w:rsid w:val="000207E0"/>
    <w:rsid w:val="00020F8F"/>
    <w:rsid w:val="00021A95"/>
    <w:rsid w:val="0002256F"/>
    <w:rsid w:val="00023641"/>
    <w:rsid w:val="00023DAE"/>
    <w:rsid w:val="00024592"/>
    <w:rsid w:val="00024896"/>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583"/>
    <w:rsid w:val="00034651"/>
    <w:rsid w:val="000351F2"/>
    <w:rsid w:val="000357F6"/>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6469"/>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21F3"/>
    <w:rsid w:val="0007254F"/>
    <w:rsid w:val="00073C30"/>
    <w:rsid w:val="00074305"/>
    <w:rsid w:val="00074B2A"/>
    <w:rsid w:val="00075B3E"/>
    <w:rsid w:val="00075EE1"/>
    <w:rsid w:val="00076456"/>
    <w:rsid w:val="0007779B"/>
    <w:rsid w:val="000777E7"/>
    <w:rsid w:val="0007790A"/>
    <w:rsid w:val="0008017B"/>
    <w:rsid w:val="00080ACD"/>
    <w:rsid w:val="000811ED"/>
    <w:rsid w:val="00081284"/>
    <w:rsid w:val="00081D62"/>
    <w:rsid w:val="00082374"/>
    <w:rsid w:val="00082B74"/>
    <w:rsid w:val="00083099"/>
    <w:rsid w:val="00083EDC"/>
    <w:rsid w:val="00084B97"/>
    <w:rsid w:val="0008510E"/>
    <w:rsid w:val="000851FB"/>
    <w:rsid w:val="000856DE"/>
    <w:rsid w:val="00085F17"/>
    <w:rsid w:val="00085FB3"/>
    <w:rsid w:val="0008686B"/>
    <w:rsid w:val="00086B2A"/>
    <w:rsid w:val="00086ED2"/>
    <w:rsid w:val="000914D6"/>
    <w:rsid w:val="00091569"/>
    <w:rsid w:val="00092DCA"/>
    <w:rsid w:val="000942EB"/>
    <w:rsid w:val="00095B70"/>
    <w:rsid w:val="0009617E"/>
    <w:rsid w:val="000979CF"/>
    <w:rsid w:val="00097E84"/>
    <w:rsid w:val="000A03C8"/>
    <w:rsid w:val="000A05F2"/>
    <w:rsid w:val="000A06C4"/>
    <w:rsid w:val="000A0861"/>
    <w:rsid w:val="000A0ED1"/>
    <w:rsid w:val="000A12DB"/>
    <w:rsid w:val="000A17C8"/>
    <w:rsid w:val="000A20D7"/>
    <w:rsid w:val="000A2128"/>
    <w:rsid w:val="000A362F"/>
    <w:rsid w:val="000A3B49"/>
    <w:rsid w:val="000A455A"/>
    <w:rsid w:val="000A4ACD"/>
    <w:rsid w:val="000A5AAF"/>
    <w:rsid w:val="000A5F97"/>
    <w:rsid w:val="000A648E"/>
    <w:rsid w:val="000A73BB"/>
    <w:rsid w:val="000A7BE9"/>
    <w:rsid w:val="000A7EF4"/>
    <w:rsid w:val="000B02FD"/>
    <w:rsid w:val="000B0A15"/>
    <w:rsid w:val="000B103F"/>
    <w:rsid w:val="000B1437"/>
    <w:rsid w:val="000B1470"/>
    <w:rsid w:val="000B2B86"/>
    <w:rsid w:val="000B3051"/>
    <w:rsid w:val="000B325C"/>
    <w:rsid w:val="000B419B"/>
    <w:rsid w:val="000B4744"/>
    <w:rsid w:val="000B5781"/>
    <w:rsid w:val="000B585F"/>
    <w:rsid w:val="000B5B87"/>
    <w:rsid w:val="000B7033"/>
    <w:rsid w:val="000C0185"/>
    <w:rsid w:val="000C0F81"/>
    <w:rsid w:val="000C128D"/>
    <w:rsid w:val="000C17A3"/>
    <w:rsid w:val="000C1D4B"/>
    <w:rsid w:val="000C3260"/>
    <w:rsid w:val="000C3580"/>
    <w:rsid w:val="000C3803"/>
    <w:rsid w:val="000C3B77"/>
    <w:rsid w:val="000C454E"/>
    <w:rsid w:val="000C4D80"/>
    <w:rsid w:val="000C4F49"/>
    <w:rsid w:val="000C5861"/>
    <w:rsid w:val="000C639D"/>
    <w:rsid w:val="000C63DA"/>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55E2"/>
    <w:rsid w:val="000D6288"/>
    <w:rsid w:val="000D6CAF"/>
    <w:rsid w:val="000D7541"/>
    <w:rsid w:val="000D75E1"/>
    <w:rsid w:val="000D7604"/>
    <w:rsid w:val="000E22CF"/>
    <w:rsid w:val="000E2977"/>
    <w:rsid w:val="000E30AC"/>
    <w:rsid w:val="000E3B46"/>
    <w:rsid w:val="000E3C03"/>
    <w:rsid w:val="000E3DCC"/>
    <w:rsid w:val="000E3E11"/>
    <w:rsid w:val="000E4596"/>
    <w:rsid w:val="000E4DFC"/>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921"/>
    <w:rsid w:val="000F7E8F"/>
    <w:rsid w:val="000F7FBB"/>
    <w:rsid w:val="001000FB"/>
    <w:rsid w:val="0010231E"/>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954"/>
    <w:rsid w:val="00121BAB"/>
    <w:rsid w:val="00121E3C"/>
    <w:rsid w:val="00122B23"/>
    <w:rsid w:val="00122B7E"/>
    <w:rsid w:val="00123FB5"/>
    <w:rsid w:val="0012400F"/>
    <w:rsid w:val="001249DC"/>
    <w:rsid w:val="0012572D"/>
    <w:rsid w:val="00125BED"/>
    <w:rsid w:val="00125C59"/>
    <w:rsid w:val="00125D4F"/>
    <w:rsid w:val="00126A55"/>
    <w:rsid w:val="00127004"/>
    <w:rsid w:val="00127AF2"/>
    <w:rsid w:val="00127EDC"/>
    <w:rsid w:val="00127F6D"/>
    <w:rsid w:val="00130355"/>
    <w:rsid w:val="00131B5A"/>
    <w:rsid w:val="00131DA5"/>
    <w:rsid w:val="00132BA9"/>
    <w:rsid w:val="00132C30"/>
    <w:rsid w:val="00132EFD"/>
    <w:rsid w:val="00133321"/>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801"/>
    <w:rsid w:val="00153BFB"/>
    <w:rsid w:val="0015407E"/>
    <w:rsid w:val="0015448E"/>
    <w:rsid w:val="00154A6F"/>
    <w:rsid w:val="00155D08"/>
    <w:rsid w:val="00156BE5"/>
    <w:rsid w:val="00157232"/>
    <w:rsid w:val="00160401"/>
    <w:rsid w:val="00160D4E"/>
    <w:rsid w:val="00160DF9"/>
    <w:rsid w:val="00161E62"/>
    <w:rsid w:val="00161F1C"/>
    <w:rsid w:val="0016200B"/>
    <w:rsid w:val="00163D7A"/>
    <w:rsid w:val="00164281"/>
    <w:rsid w:val="001642EC"/>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13AF"/>
    <w:rsid w:val="001829CD"/>
    <w:rsid w:val="00182F01"/>
    <w:rsid w:val="00183624"/>
    <w:rsid w:val="00184F27"/>
    <w:rsid w:val="0018519B"/>
    <w:rsid w:val="00185AFE"/>
    <w:rsid w:val="00185E78"/>
    <w:rsid w:val="00187177"/>
    <w:rsid w:val="00187443"/>
    <w:rsid w:val="00187ABD"/>
    <w:rsid w:val="00190466"/>
    <w:rsid w:val="001904E3"/>
    <w:rsid w:val="0019087A"/>
    <w:rsid w:val="00191C5A"/>
    <w:rsid w:val="00191CEB"/>
    <w:rsid w:val="00191E63"/>
    <w:rsid w:val="00192D68"/>
    <w:rsid w:val="0019388B"/>
    <w:rsid w:val="00193B9A"/>
    <w:rsid w:val="0019432C"/>
    <w:rsid w:val="001946AE"/>
    <w:rsid w:val="001946D5"/>
    <w:rsid w:val="00194E8C"/>
    <w:rsid w:val="001962EC"/>
    <w:rsid w:val="001963DD"/>
    <w:rsid w:val="001965DB"/>
    <w:rsid w:val="00196DC9"/>
    <w:rsid w:val="0019789C"/>
    <w:rsid w:val="001A0236"/>
    <w:rsid w:val="001A0AF8"/>
    <w:rsid w:val="001A18D5"/>
    <w:rsid w:val="001A1D4A"/>
    <w:rsid w:val="001A2190"/>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681F"/>
    <w:rsid w:val="001C07C6"/>
    <w:rsid w:val="001C19CD"/>
    <w:rsid w:val="001C22D5"/>
    <w:rsid w:val="001C2515"/>
    <w:rsid w:val="001C2550"/>
    <w:rsid w:val="001C26FB"/>
    <w:rsid w:val="001C30CD"/>
    <w:rsid w:val="001C33C1"/>
    <w:rsid w:val="001C35E5"/>
    <w:rsid w:val="001C3E30"/>
    <w:rsid w:val="001C3E5C"/>
    <w:rsid w:val="001C5072"/>
    <w:rsid w:val="001C5B2A"/>
    <w:rsid w:val="001C600B"/>
    <w:rsid w:val="001C6407"/>
    <w:rsid w:val="001C6898"/>
    <w:rsid w:val="001C6DD8"/>
    <w:rsid w:val="001C7C7B"/>
    <w:rsid w:val="001D068D"/>
    <w:rsid w:val="001D0A71"/>
    <w:rsid w:val="001D0EF9"/>
    <w:rsid w:val="001D12D1"/>
    <w:rsid w:val="001D15DF"/>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BE3"/>
    <w:rsid w:val="00201D6D"/>
    <w:rsid w:val="00201F1E"/>
    <w:rsid w:val="0020299B"/>
    <w:rsid w:val="00202E44"/>
    <w:rsid w:val="00203097"/>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EF"/>
    <w:rsid w:val="0021201A"/>
    <w:rsid w:val="00213167"/>
    <w:rsid w:val="00213A1F"/>
    <w:rsid w:val="00213C63"/>
    <w:rsid w:val="00214502"/>
    <w:rsid w:val="00214580"/>
    <w:rsid w:val="00214741"/>
    <w:rsid w:val="0021539A"/>
    <w:rsid w:val="00215852"/>
    <w:rsid w:val="00215B8E"/>
    <w:rsid w:val="00216264"/>
    <w:rsid w:val="002176B6"/>
    <w:rsid w:val="0021792D"/>
    <w:rsid w:val="00217DB8"/>
    <w:rsid w:val="0022032A"/>
    <w:rsid w:val="00221427"/>
    <w:rsid w:val="002221CE"/>
    <w:rsid w:val="0022267B"/>
    <w:rsid w:val="00222BE8"/>
    <w:rsid w:val="00223102"/>
    <w:rsid w:val="002232CB"/>
    <w:rsid w:val="00224022"/>
    <w:rsid w:val="00224452"/>
    <w:rsid w:val="0022459D"/>
    <w:rsid w:val="002257D0"/>
    <w:rsid w:val="00226055"/>
    <w:rsid w:val="0022613F"/>
    <w:rsid w:val="00226236"/>
    <w:rsid w:val="00226BAE"/>
    <w:rsid w:val="00226DD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4CDC"/>
    <w:rsid w:val="00245718"/>
    <w:rsid w:val="00245E07"/>
    <w:rsid w:val="00247712"/>
    <w:rsid w:val="00250EC6"/>
    <w:rsid w:val="00251866"/>
    <w:rsid w:val="00251A9F"/>
    <w:rsid w:val="00252492"/>
    <w:rsid w:val="00252B35"/>
    <w:rsid w:val="0025316D"/>
    <w:rsid w:val="002532F4"/>
    <w:rsid w:val="00253A02"/>
    <w:rsid w:val="00253B81"/>
    <w:rsid w:val="00254746"/>
    <w:rsid w:val="00254EB9"/>
    <w:rsid w:val="002554DE"/>
    <w:rsid w:val="0025595F"/>
    <w:rsid w:val="00255E11"/>
    <w:rsid w:val="00255E82"/>
    <w:rsid w:val="00256835"/>
    <w:rsid w:val="002569BE"/>
    <w:rsid w:val="002569F0"/>
    <w:rsid w:val="00256ECF"/>
    <w:rsid w:val="00257730"/>
    <w:rsid w:val="00257999"/>
    <w:rsid w:val="002604AA"/>
    <w:rsid w:val="0026129B"/>
    <w:rsid w:val="00261560"/>
    <w:rsid w:val="00261715"/>
    <w:rsid w:val="00261910"/>
    <w:rsid w:val="00261CF9"/>
    <w:rsid w:val="00261EC0"/>
    <w:rsid w:val="0026231B"/>
    <w:rsid w:val="00263101"/>
    <w:rsid w:val="00263201"/>
    <w:rsid w:val="00263A37"/>
    <w:rsid w:val="002653A6"/>
    <w:rsid w:val="0026608D"/>
    <w:rsid w:val="002661F1"/>
    <w:rsid w:val="002663BA"/>
    <w:rsid w:val="00266CB5"/>
    <w:rsid w:val="002711A4"/>
    <w:rsid w:val="00271C2E"/>
    <w:rsid w:val="00271F13"/>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08"/>
    <w:rsid w:val="0029624A"/>
    <w:rsid w:val="00296922"/>
    <w:rsid w:val="00296A5E"/>
    <w:rsid w:val="00296A9F"/>
    <w:rsid w:val="00297098"/>
    <w:rsid w:val="002A05D4"/>
    <w:rsid w:val="002A09FF"/>
    <w:rsid w:val="002A0E60"/>
    <w:rsid w:val="002A17AB"/>
    <w:rsid w:val="002A1A46"/>
    <w:rsid w:val="002A1A58"/>
    <w:rsid w:val="002A1B02"/>
    <w:rsid w:val="002A1C05"/>
    <w:rsid w:val="002A1C53"/>
    <w:rsid w:val="002A28FC"/>
    <w:rsid w:val="002A2B44"/>
    <w:rsid w:val="002A2EA5"/>
    <w:rsid w:val="002A3D94"/>
    <w:rsid w:val="002A4736"/>
    <w:rsid w:val="002A4B1C"/>
    <w:rsid w:val="002A4CC8"/>
    <w:rsid w:val="002A6AFB"/>
    <w:rsid w:val="002A6D5F"/>
    <w:rsid w:val="002A733D"/>
    <w:rsid w:val="002A774A"/>
    <w:rsid w:val="002A7E5C"/>
    <w:rsid w:val="002A7EE9"/>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D7E"/>
    <w:rsid w:val="002E055C"/>
    <w:rsid w:val="002E1050"/>
    <w:rsid w:val="002E18E5"/>
    <w:rsid w:val="002E1953"/>
    <w:rsid w:val="002E2548"/>
    <w:rsid w:val="002E2D7D"/>
    <w:rsid w:val="002E34B4"/>
    <w:rsid w:val="002E3AB5"/>
    <w:rsid w:val="002E3D76"/>
    <w:rsid w:val="002E40A1"/>
    <w:rsid w:val="002E48EC"/>
    <w:rsid w:val="002E4B44"/>
    <w:rsid w:val="002E4ECB"/>
    <w:rsid w:val="002E4F23"/>
    <w:rsid w:val="002E6E2C"/>
    <w:rsid w:val="002E7847"/>
    <w:rsid w:val="002F0073"/>
    <w:rsid w:val="002F0618"/>
    <w:rsid w:val="002F240B"/>
    <w:rsid w:val="002F2F50"/>
    <w:rsid w:val="002F3601"/>
    <w:rsid w:val="002F45F6"/>
    <w:rsid w:val="002F6181"/>
    <w:rsid w:val="002F692F"/>
    <w:rsid w:val="002F705D"/>
    <w:rsid w:val="002F766D"/>
    <w:rsid w:val="002F7B66"/>
    <w:rsid w:val="00300CB4"/>
    <w:rsid w:val="00300E24"/>
    <w:rsid w:val="003020F3"/>
    <w:rsid w:val="003033BA"/>
    <w:rsid w:val="003041E4"/>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CA1"/>
    <w:rsid w:val="00311D52"/>
    <w:rsid w:val="00312190"/>
    <w:rsid w:val="0031232F"/>
    <w:rsid w:val="0031248D"/>
    <w:rsid w:val="003125E0"/>
    <w:rsid w:val="0031271D"/>
    <w:rsid w:val="00313447"/>
    <w:rsid w:val="00313748"/>
    <w:rsid w:val="00313EA3"/>
    <w:rsid w:val="00314DB0"/>
    <w:rsid w:val="00315457"/>
    <w:rsid w:val="003161A4"/>
    <w:rsid w:val="00316955"/>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7A5C"/>
    <w:rsid w:val="00330166"/>
    <w:rsid w:val="0033090C"/>
    <w:rsid w:val="0033092C"/>
    <w:rsid w:val="0033122A"/>
    <w:rsid w:val="003315AC"/>
    <w:rsid w:val="00331932"/>
    <w:rsid w:val="00332132"/>
    <w:rsid w:val="00333A88"/>
    <w:rsid w:val="00333E87"/>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33F4"/>
    <w:rsid w:val="003536F6"/>
    <w:rsid w:val="00353DD5"/>
    <w:rsid w:val="00353F2B"/>
    <w:rsid w:val="00355131"/>
    <w:rsid w:val="00356438"/>
    <w:rsid w:val="00357010"/>
    <w:rsid w:val="00361A59"/>
    <w:rsid w:val="00363348"/>
    <w:rsid w:val="00363857"/>
    <w:rsid w:val="00363D59"/>
    <w:rsid w:val="003640F7"/>
    <w:rsid w:val="00365D3A"/>
    <w:rsid w:val="003664FF"/>
    <w:rsid w:val="00366BD2"/>
    <w:rsid w:val="003670B8"/>
    <w:rsid w:val="003704A3"/>
    <w:rsid w:val="003706F2"/>
    <w:rsid w:val="00370951"/>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C2B"/>
    <w:rsid w:val="00384DF1"/>
    <w:rsid w:val="00384FF3"/>
    <w:rsid w:val="0038523D"/>
    <w:rsid w:val="00386456"/>
    <w:rsid w:val="003865A9"/>
    <w:rsid w:val="00387642"/>
    <w:rsid w:val="00390896"/>
    <w:rsid w:val="00390F32"/>
    <w:rsid w:val="0039135E"/>
    <w:rsid w:val="0039319C"/>
    <w:rsid w:val="00393CAE"/>
    <w:rsid w:val="003945DC"/>
    <w:rsid w:val="003945F4"/>
    <w:rsid w:val="00394EB5"/>
    <w:rsid w:val="003953B4"/>
    <w:rsid w:val="003954F4"/>
    <w:rsid w:val="0039615F"/>
    <w:rsid w:val="003962BA"/>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2BFF"/>
    <w:rsid w:val="003C3339"/>
    <w:rsid w:val="003C375A"/>
    <w:rsid w:val="003C3CBD"/>
    <w:rsid w:val="003C4D9F"/>
    <w:rsid w:val="003C6048"/>
    <w:rsid w:val="003C622C"/>
    <w:rsid w:val="003C73C7"/>
    <w:rsid w:val="003D02C1"/>
    <w:rsid w:val="003D050B"/>
    <w:rsid w:val="003D0B98"/>
    <w:rsid w:val="003D0C3C"/>
    <w:rsid w:val="003D0DE5"/>
    <w:rsid w:val="003D1351"/>
    <w:rsid w:val="003D1CCB"/>
    <w:rsid w:val="003D21C1"/>
    <w:rsid w:val="003D3349"/>
    <w:rsid w:val="003D3707"/>
    <w:rsid w:val="003D3B15"/>
    <w:rsid w:val="003D3B2E"/>
    <w:rsid w:val="003D484D"/>
    <w:rsid w:val="003D49CB"/>
    <w:rsid w:val="003D4BD6"/>
    <w:rsid w:val="003D607B"/>
    <w:rsid w:val="003D6B8F"/>
    <w:rsid w:val="003D7566"/>
    <w:rsid w:val="003E081D"/>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39A0"/>
    <w:rsid w:val="003F4599"/>
    <w:rsid w:val="003F45E1"/>
    <w:rsid w:val="003F4F6C"/>
    <w:rsid w:val="003F516A"/>
    <w:rsid w:val="003F559E"/>
    <w:rsid w:val="003F6181"/>
    <w:rsid w:val="003F7343"/>
    <w:rsid w:val="00400002"/>
    <w:rsid w:val="00400054"/>
    <w:rsid w:val="004002E8"/>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1FC7"/>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5C43"/>
    <w:rsid w:val="00426C69"/>
    <w:rsid w:val="004273FA"/>
    <w:rsid w:val="0042743C"/>
    <w:rsid w:val="00427C77"/>
    <w:rsid w:val="00430186"/>
    <w:rsid w:val="0043030F"/>
    <w:rsid w:val="00431802"/>
    <w:rsid w:val="0043269A"/>
    <w:rsid w:val="004333C2"/>
    <w:rsid w:val="00433ACB"/>
    <w:rsid w:val="00434787"/>
    <w:rsid w:val="004347DA"/>
    <w:rsid w:val="00434C13"/>
    <w:rsid w:val="004356C0"/>
    <w:rsid w:val="00436323"/>
    <w:rsid w:val="004366CF"/>
    <w:rsid w:val="0043683F"/>
    <w:rsid w:val="00436F40"/>
    <w:rsid w:val="004370FA"/>
    <w:rsid w:val="00440096"/>
    <w:rsid w:val="004403DD"/>
    <w:rsid w:val="00440C32"/>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78"/>
    <w:rsid w:val="004528CE"/>
    <w:rsid w:val="004529C6"/>
    <w:rsid w:val="00452EAD"/>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CC"/>
    <w:rsid w:val="00467ED6"/>
    <w:rsid w:val="00470A6A"/>
    <w:rsid w:val="00470D92"/>
    <w:rsid w:val="004710A2"/>
    <w:rsid w:val="004712D1"/>
    <w:rsid w:val="00471DF7"/>
    <w:rsid w:val="00471F6B"/>
    <w:rsid w:val="0047295C"/>
    <w:rsid w:val="00472D8E"/>
    <w:rsid w:val="004734CF"/>
    <w:rsid w:val="004737EC"/>
    <w:rsid w:val="00475C5A"/>
    <w:rsid w:val="00475C9C"/>
    <w:rsid w:val="0047676B"/>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34D2"/>
    <w:rsid w:val="004A4301"/>
    <w:rsid w:val="004A4B68"/>
    <w:rsid w:val="004A4E65"/>
    <w:rsid w:val="004A58EE"/>
    <w:rsid w:val="004A59B7"/>
    <w:rsid w:val="004A623B"/>
    <w:rsid w:val="004A6A04"/>
    <w:rsid w:val="004A6A52"/>
    <w:rsid w:val="004B0479"/>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200F"/>
    <w:rsid w:val="004D316E"/>
    <w:rsid w:val="004D31EE"/>
    <w:rsid w:val="004D3583"/>
    <w:rsid w:val="004D36AF"/>
    <w:rsid w:val="004D3BD1"/>
    <w:rsid w:val="004D4BA1"/>
    <w:rsid w:val="004D584D"/>
    <w:rsid w:val="004D6388"/>
    <w:rsid w:val="004D6826"/>
    <w:rsid w:val="004D688C"/>
    <w:rsid w:val="004D7FA9"/>
    <w:rsid w:val="004E023F"/>
    <w:rsid w:val="004E0742"/>
    <w:rsid w:val="004E0C64"/>
    <w:rsid w:val="004E0F6B"/>
    <w:rsid w:val="004E10ED"/>
    <w:rsid w:val="004E1545"/>
    <w:rsid w:val="004E16FF"/>
    <w:rsid w:val="004E1F1C"/>
    <w:rsid w:val="004E2A35"/>
    <w:rsid w:val="004E323D"/>
    <w:rsid w:val="004E40CE"/>
    <w:rsid w:val="004E518D"/>
    <w:rsid w:val="004E5736"/>
    <w:rsid w:val="004E5B36"/>
    <w:rsid w:val="004E6045"/>
    <w:rsid w:val="004E6DCE"/>
    <w:rsid w:val="004E6F43"/>
    <w:rsid w:val="004E7200"/>
    <w:rsid w:val="004F034D"/>
    <w:rsid w:val="004F091D"/>
    <w:rsid w:val="004F0960"/>
    <w:rsid w:val="004F0A5C"/>
    <w:rsid w:val="004F163F"/>
    <w:rsid w:val="004F18A0"/>
    <w:rsid w:val="004F1A08"/>
    <w:rsid w:val="004F2B64"/>
    <w:rsid w:val="004F3764"/>
    <w:rsid w:val="004F3EEF"/>
    <w:rsid w:val="004F431B"/>
    <w:rsid w:val="004F4A97"/>
    <w:rsid w:val="004F5930"/>
    <w:rsid w:val="004F5970"/>
    <w:rsid w:val="004F5F0C"/>
    <w:rsid w:val="004F6121"/>
    <w:rsid w:val="004F6161"/>
    <w:rsid w:val="004F66BC"/>
    <w:rsid w:val="004F6C26"/>
    <w:rsid w:val="004F6CC4"/>
    <w:rsid w:val="004F7AC9"/>
    <w:rsid w:val="0050062F"/>
    <w:rsid w:val="00500696"/>
    <w:rsid w:val="005012E2"/>
    <w:rsid w:val="0050160F"/>
    <w:rsid w:val="005027C1"/>
    <w:rsid w:val="0050284E"/>
    <w:rsid w:val="005031B3"/>
    <w:rsid w:val="005054CB"/>
    <w:rsid w:val="00505DCB"/>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E7"/>
    <w:rsid w:val="00524900"/>
    <w:rsid w:val="00524FD2"/>
    <w:rsid w:val="00525621"/>
    <w:rsid w:val="00526431"/>
    <w:rsid w:val="005265D8"/>
    <w:rsid w:val="00527E57"/>
    <w:rsid w:val="00530405"/>
    <w:rsid w:val="00530522"/>
    <w:rsid w:val="005305E5"/>
    <w:rsid w:val="00530CC5"/>
    <w:rsid w:val="00530F38"/>
    <w:rsid w:val="00531F26"/>
    <w:rsid w:val="0053277C"/>
    <w:rsid w:val="005327C0"/>
    <w:rsid w:val="00533101"/>
    <w:rsid w:val="00533CA9"/>
    <w:rsid w:val="005346AD"/>
    <w:rsid w:val="00534EFB"/>
    <w:rsid w:val="00534F60"/>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21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0E"/>
    <w:rsid w:val="00567AB8"/>
    <w:rsid w:val="0057041A"/>
    <w:rsid w:val="00570A26"/>
    <w:rsid w:val="00571380"/>
    <w:rsid w:val="0057221F"/>
    <w:rsid w:val="00572539"/>
    <w:rsid w:val="0057337D"/>
    <w:rsid w:val="00573386"/>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EB3"/>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2ABA"/>
    <w:rsid w:val="005B3621"/>
    <w:rsid w:val="005B3C76"/>
    <w:rsid w:val="005B4948"/>
    <w:rsid w:val="005B501D"/>
    <w:rsid w:val="005B5120"/>
    <w:rsid w:val="005B52BF"/>
    <w:rsid w:val="005B54CC"/>
    <w:rsid w:val="005B6C9C"/>
    <w:rsid w:val="005B6F58"/>
    <w:rsid w:val="005B74AD"/>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65DA"/>
    <w:rsid w:val="005C7F3E"/>
    <w:rsid w:val="005D036A"/>
    <w:rsid w:val="005D1051"/>
    <w:rsid w:val="005D1AD9"/>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7FA"/>
    <w:rsid w:val="005E1DBF"/>
    <w:rsid w:val="005E1F1D"/>
    <w:rsid w:val="005E273D"/>
    <w:rsid w:val="005E3278"/>
    <w:rsid w:val="005E337C"/>
    <w:rsid w:val="005E363B"/>
    <w:rsid w:val="005E43B0"/>
    <w:rsid w:val="005E76F1"/>
    <w:rsid w:val="005F0BF2"/>
    <w:rsid w:val="005F1D89"/>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13C9"/>
    <w:rsid w:val="006016EA"/>
    <w:rsid w:val="00602B45"/>
    <w:rsid w:val="00603499"/>
    <w:rsid w:val="006035F5"/>
    <w:rsid w:val="00603CC2"/>
    <w:rsid w:val="00603DF6"/>
    <w:rsid w:val="006047D1"/>
    <w:rsid w:val="006048E1"/>
    <w:rsid w:val="00604969"/>
    <w:rsid w:val="00604A55"/>
    <w:rsid w:val="0060507C"/>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719"/>
    <w:rsid w:val="006212C9"/>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1D5D"/>
    <w:rsid w:val="00642A32"/>
    <w:rsid w:val="006433D5"/>
    <w:rsid w:val="00645015"/>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F5"/>
    <w:rsid w:val="0068553E"/>
    <w:rsid w:val="00685E7B"/>
    <w:rsid w:val="00686551"/>
    <w:rsid w:val="0068730C"/>
    <w:rsid w:val="00687504"/>
    <w:rsid w:val="00687A14"/>
    <w:rsid w:val="00687A8C"/>
    <w:rsid w:val="00690839"/>
    <w:rsid w:val="006908DB"/>
    <w:rsid w:val="00690DE9"/>
    <w:rsid w:val="006914FE"/>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71D"/>
    <w:rsid w:val="006A6BF9"/>
    <w:rsid w:val="006A7CB5"/>
    <w:rsid w:val="006A7FD0"/>
    <w:rsid w:val="006B025C"/>
    <w:rsid w:val="006B2534"/>
    <w:rsid w:val="006B2B86"/>
    <w:rsid w:val="006B2CB2"/>
    <w:rsid w:val="006B30D3"/>
    <w:rsid w:val="006B347D"/>
    <w:rsid w:val="006B3E19"/>
    <w:rsid w:val="006B4488"/>
    <w:rsid w:val="006B47D2"/>
    <w:rsid w:val="006B67AC"/>
    <w:rsid w:val="006B786A"/>
    <w:rsid w:val="006B7E4E"/>
    <w:rsid w:val="006C003A"/>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5250"/>
    <w:rsid w:val="006D658F"/>
    <w:rsid w:val="006D69FA"/>
    <w:rsid w:val="006D6A12"/>
    <w:rsid w:val="006D712D"/>
    <w:rsid w:val="006D72B9"/>
    <w:rsid w:val="006D7687"/>
    <w:rsid w:val="006D7D1F"/>
    <w:rsid w:val="006D7D8A"/>
    <w:rsid w:val="006E0572"/>
    <w:rsid w:val="006E05D8"/>
    <w:rsid w:val="006E08EE"/>
    <w:rsid w:val="006E155A"/>
    <w:rsid w:val="006E259A"/>
    <w:rsid w:val="006E3452"/>
    <w:rsid w:val="006E39D1"/>
    <w:rsid w:val="006E3D9D"/>
    <w:rsid w:val="006E437F"/>
    <w:rsid w:val="006E4D5B"/>
    <w:rsid w:val="006E602F"/>
    <w:rsid w:val="006E637A"/>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673F"/>
    <w:rsid w:val="0070773F"/>
    <w:rsid w:val="00707ED3"/>
    <w:rsid w:val="007101B7"/>
    <w:rsid w:val="00710668"/>
    <w:rsid w:val="00710CEE"/>
    <w:rsid w:val="007110F4"/>
    <w:rsid w:val="007112B1"/>
    <w:rsid w:val="0071130F"/>
    <w:rsid w:val="00711AAB"/>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42B"/>
    <w:rsid w:val="0072168C"/>
    <w:rsid w:val="00721BFF"/>
    <w:rsid w:val="00722FD8"/>
    <w:rsid w:val="007236C4"/>
    <w:rsid w:val="00724635"/>
    <w:rsid w:val="0072554B"/>
    <w:rsid w:val="00725AFD"/>
    <w:rsid w:val="00726603"/>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101"/>
    <w:rsid w:val="00742332"/>
    <w:rsid w:val="00742886"/>
    <w:rsid w:val="00742DD2"/>
    <w:rsid w:val="007437C6"/>
    <w:rsid w:val="007439EE"/>
    <w:rsid w:val="007441A2"/>
    <w:rsid w:val="00744E80"/>
    <w:rsid w:val="00745035"/>
    <w:rsid w:val="0074506A"/>
    <w:rsid w:val="0074531C"/>
    <w:rsid w:val="00745547"/>
    <w:rsid w:val="007459D0"/>
    <w:rsid w:val="0074623A"/>
    <w:rsid w:val="00746420"/>
    <w:rsid w:val="00746E04"/>
    <w:rsid w:val="00746E08"/>
    <w:rsid w:val="00746E3D"/>
    <w:rsid w:val="00746FFE"/>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6ECC"/>
    <w:rsid w:val="007672F3"/>
    <w:rsid w:val="007677B5"/>
    <w:rsid w:val="007678B1"/>
    <w:rsid w:val="007708A8"/>
    <w:rsid w:val="007721DC"/>
    <w:rsid w:val="00772275"/>
    <w:rsid w:val="00772972"/>
    <w:rsid w:val="007734E4"/>
    <w:rsid w:val="0077380D"/>
    <w:rsid w:val="00773BC8"/>
    <w:rsid w:val="00773EDD"/>
    <w:rsid w:val="0077466F"/>
    <w:rsid w:val="007752B7"/>
    <w:rsid w:val="0077572C"/>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C9D"/>
    <w:rsid w:val="00787D90"/>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A5B8C"/>
    <w:rsid w:val="007A731E"/>
    <w:rsid w:val="007B0313"/>
    <w:rsid w:val="007B0341"/>
    <w:rsid w:val="007B0854"/>
    <w:rsid w:val="007B0B03"/>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4B95"/>
    <w:rsid w:val="007C55FF"/>
    <w:rsid w:val="007C5EEA"/>
    <w:rsid w:val="007C6339"/>
    <w:rsid w:val="007C6B17"/>
    <w:rsid w:val="007C76FB"/>
    <w:rsid w:val="007C7C43"/>
    <w:rsid w:val="007C7F0D"/>
    <w:rsid w:val="007D1134"/>
    <w:rsid w:val="007D23F7"/>
    <w:rsid w:val="007D2566"/>
    <w:rsid w:val="007D2C18"/>
    <w:rsid w:val="007D2D74"/>
    <w:rsid w:val="007D3395"/>
    <w:rsid w:val="007D3693"/>
    <w:rsid w:val="007D3C6D"/>
    <w:rsid w:val="007D44B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0F16"/>
    <w:rsid w:val="007F10CC"/>
    <w:rsid w:val="007F14D3"/>
    <w:rsid w:val="007F1D9D"/>
    <w:rsid w:val="007F1E28"/>
    <w:rsid w:val="007F1F63"/>
    <w:rsid w:val="007F2058"/>
    <w:rsid w:val="007F22A0"/>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80D"/>
    <w:rsid w:val="00815DA5"/>
    <w:rsid w:val="00816221"/>
    <w:rsid w:val="00817250"/>
    <w:rsid w:val="0081766B"/>
    <w:rsid w:val="00820705"/>
    <w:rsid w:val="00820CBF"/>
    <w:rsid w:val="00820FA8"/>
    <w:rsid w:val="008212FD"/>
    <w:rsid w:val="00821489"/>
    <w:rsid w:val="008217B7"/>
    <w:rsid w:val="0082239B"/>
    <w:rsid w:val="008226D8"/>
    <w:rsid w:val="0082292E"/>
    <w:rsid w:val="00822D06"/>
    <w:rsid w:val="0082307A"/>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E74"/>
    <w:rsid w:val="00836EAB"/>
    <w:rsid w:val="00837673"/>
    <w:rsid w:val="00837937"/>
    <w:rsid w:val="00837D82"/>
    <w:rsid w:val="00840893"/>
    <w:rsid w:val="00840E88"/>
    <w:rsid w:val="008423EC"/>
    <w:rsid w:val="00843060"/>
    <w:rsid w:val="0084332E"/>
    <w:rsid w:val="00843615"/>
    <w:rsid w:val="00843698"/>
    <w:rsid w:val="00843A4B"/>
    <w:rsid w:val="00843B57"/>
    <w:rsid w:val="00843B60"/>
    <w:rsid w:val="00843D33"/>
    <w:rsid w:val="00844D4F"/>
    <w:rsid w:val="00845AE3"/>
    <w:rsid w:val="00845BE3"/>
    <w:rsid w:val="008466A0"/>
    <w:rsid w:val="0084699B"/>
    <w:rsid w:val="00847535"/>
    <w:rsid w:val="008475AB"/>
    <w:rsid w:val="00847B6D"/>
    <w:rsid w:val="0085092D"/>
    <w:rsid w:val="00850D82"/>
    <w:rsid w:val="00850F79"/>
    <w:rsid w:val="0085100B"/>
    <w:rsid w:val="00851F66"/>
    <w:rsid w:val="0085304C"/>
    <w:rsid w:val="008548CA"/>
    <w:rsid w:val="0085629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50E3"/>
    <w:rsid w:val="008850EB"/>
    <w:rsid w:val="00886AED"/>
    <w:rsid w:val="00886DF2"/>
    <w:rsid w:val="00886FB9"/>
    <w:rsid w:val="00887080"/>
    <w:rsid w:val="00887C79"/>
    <w:rsid w:val="00887F46"/>
    <w:rsid w:val="00890C43"/>
    <w:rsid w:val="0089107B"/>
    <w:rsid w:val="008913CC"/>
    <w:rsid w:val="00891411"/>
    <w:rsid w:val="008914AE"/>
    <w:rsid w:val="00891838"/>
    <w:rsid w:val="008919CF"/>
    <w:rsid w:val="00891EF4"/>
    <w:rsid w:val="00891F84"/>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74F"/>
    <w:rsid w:val="00897875"/>
    <w:rsid w:val="00897B8F"/>
    <w:rsid w:val="008A00D8"/>
    <w:rsid w:val="008A00D9"/>
    <w:rsid w:val="008A01F6"/>
    <w:rsid w:val="008A07D5"/>
    <w:rsid w:val="008A2A23"/>
    <w:rsid w:val="008A2AF5"/>
    <w:rsid w:val="008A2B5A"/>
    <w:rsid w:val="008A3F9D"/>
    <w:rsid w:val="008A5474"/>
    <w:rsid w:val="008A586B"/>
    <w:rsid w:val="008A589A"/>
    <w:rsid w:val="008A5C9A"/>
    <w:rsid w:val="008A6144"/>
    <w:rsid w:val="008A6A55"/>
    <w:rsid w:val="008A6DF0"/>
    <w:rsid w:val="008A6F6E"/>
    <w:rsid w:val="008A7888"/>
    <w:rsid w:val="008A796E"/>
    <w:rsid w:val="008B0862"/>
    <w:rsid w:val="008B088C"/>
    <w:rsid w:val="008B1BF5"/>
    <w:rsid w:val="008B263F"/>
    <w:rsid w:val="008B2DB5"/>
    <w:rsid w:val="008B37EE"/>
    <w:rsid w:val="008B47A6"/>
    <w:rsid w:val="008B658E"/>
    <w:rsid w:val="008B65C2"/>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4FF1"/>
    <w:rsid w:val="008D5DA2"/>
    <w:rsid w:val="008D66CA"/>
    <w:rsid w:val="008D69B1"/>
    <w:rsid w:val="008D7338"/>
    <w:rsid w:val="008E0012"/>
    <w:rsid w:val="008E0CE3"/>
    <w:rsid w:val="008E0DF7"/>
    <w:rsid w:val="008E0FAD"/>
    <w:rsid w:val="008E1347"/>
    <w:rsid w:val="008E16E0"/>
    <w:rsid w:val="008E1C15"/>
    <w:rsid w:val="008E1C9A"/>
    <w:rsid w:val="008E27C0"/>
    <w:rsid w:val="008E28BD"/>
    <w:rsid w:val="008E38B4"/>
    <w:rsid w:val="008E3BA4"/>
    <w:rsid w:val="008E44AB"/>
    <w:rsid w:val="008E5179"/>
    <w:rsid w:val="008E5BCD"/>
    <w:rsid w:val="008E6598"/>
    <w:rsid w:val="008E7214"/>
    <w:rsid w:val="008E7348"/>
    <w:rsid w:val="008E7884"/>
    <w:rsid w:val="008E791C"/>
    <w:rsid w:val="008E7D6E"/>
    <w:rsid w:val="008F1056"/>
    <w:rsid w:val="008F1171"/>
    <w:rsid w:val="008F1858"/>
    <w:rsid w:val="008F2E8D"/>
    <w:rsid w:val="008F387B"/>
    <w:rsid w:val="008F3DD9"/>
    <w:rsid w:val="008F4814"/>
    <w:rsid w:val="008F4DA6"/>
    <w:rsid w:val="008F538E"/>
    <w:rsid w:val="008F5A20"/>
    <w:rsid w:val="008F5ABA"/>
    <w:rsid w:val="008F62BD"/>
    <w:rsid w:val="008F7905"/>
    <w:rsid w:val="008F7989"/>
    <w:rsid w:val="00902207"/>
    <w:rsid w:val="009026AF"/>
    <w:rsid w:val="009028E8"/>
    <w:rsid w:val="00902E5C"/>
    <w:rsid w:val="00903451"/>
    <w:rsid w:val="0090350D"/>
    <w:rsid w:val="009046E5"/>
    <w:rsid w:val="009047C5"/>
    <w:rsid w:val="00904AD2"/>
    <w:rsid w:val="00910683"/>
    <w:rsid w:val="00910E00"/>
    <w:rsid w:val="009116CE"/>
    <w:rsid w:val="00911714"/>
    <w:rsid w:val="009117A3"/>
    <w:rsid w:val="00911A5B"/>
    <w:rsid w:val="00913396"/>
    <w:rsid w:val="009136D4"/>
    <w:rsid w:val="00914B9A"/>
    <w:rsid w:val="00914C3F"/>
    <w:rsid w:val="00914F33"/>
    <w:rsid w:val="009153F6"/>
    <w:rsid w:val="00915511"/>
    <w:rsid w:val="00915863"/>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6C4"/>
    <w:rsid w:val="00925743"/>
    <w:rsid w:val="0092579F"/>
    <w:rsid w:val="00926E32"/>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115C"/>
    <w:rsid w:val="0094315E"/>
    <w:rsid w:val="009432DF"/>
    <w:rsid w:val="009444B4"/>
    <w:rsid w:val="00944644"/>
    <w:rsid w:val="009460F9"/>
    <w:rsid w:val="0094648F"/>
    <w:rsid w:val="009464E3"/>
    <w:rsid w:val="00946A24"/>
    <w:rsid w:val="009470D4"/>
    <w:rsid w:val="00947337"/>
    <w:rsid w:val="00947A24"/>
    <w:rsid w:val="0095048F"/>
    <w:rsid w:val="009512FA"/>
    <w:rsid w:val="00951E57"/>
    <w:rsid w:val="00953018"/>
    <w:rsid w:val="009533E2"/>
    <w:rsid w:val="00953554"/>
    <w:rsid w:val="0095385A"/>
    <w:rsid w:val="00953928"/>
    <w:rsid w:val="00953F56"/>
    <w:rsid w:val="00955E7D"/>
    <w:rsid w:val="00956226"/>
    <w:rsid w:val="0095780A"/>
    <w:rsid w:val="009579E4"/>
    <w:rsid w:val="00957AA4"/>
    <w:rsid w:val="00957ACB"/>
    <w:rsid w:val="00957F27"/>
    <w:rsid w:val="009604E6"/>
    <w:rsid w:val="009609F0"/>
    <w:rsid w:val="00960BDB"/>
    <w:rsid w:val="0096147D"/>
    <w:rsid w:val="0096183C"/>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94E"/>
    <w:rsid w:val="00974B58"/>
    <w:rsid w:val="009761ED"/>
    <w:rsid w:val="009801E7"/>
    <w:rsid w:val="0098022F"/>
    <w:rsid w:val="009810DE"/>
    <w:rsid w:val="009822D7"/>
    <w:rsid w:val="009827E6"/>
    <w:rsid w:val="00982F84"/>
    <w:rsid w:val="009837A1"/>
    <w:rsid w:val="00983883"/>
    <w:rsid w:val="0098427D"/>
    <w:rsid w:val="00984567"/>
    <w:rsid w:val="00985102"/>
    <w:rsid w:val="009865D5"/>
    <w:rsid w:val="00987111"/>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B5F"/>
    <w:rsid w:val="009A4D63"/>
    <w:rsid w:val="009A4DD2"/>
    <w:rsid w:val="009A5356"/>
    <w:rsid w:val="009A5468"/>
    <w:rsid w:val="009A5D99"/>
    <w:rsid w:val="009A608C"/>
    <w:rsid w:val="009A6CA7"/>
    <w:rsid w:val="009A6FDF"/>
    <w:rsid w:val="009A76D6"/>
    <w:rsid w:val="009B199E"/>
    <w:rsid w:val="009B2D60"/>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2CAA"/>
    <w:rsid w:val="009C3051"/>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E70AB"/>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3FE6"/>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E02"/>
    <w:rsid w:val="00A30F6A"/>
    <w:rsid w:val="00A31C3E"/>
    <w:rsid w:val="00A3421A"/>
    <w:rsid w:val="00A34538"/>
    <w:rsid w:val="00A34677"/>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6F3"/>
    <w:rsid w:val="00A42FDF"/>
    <w:rsid w:val="00A430A9"/>
    <w:rsid w:val="00A431FE"/>
    <w:rsid w:val="00A432E9"/>
    <w:rsid w:val="00A439E5"/>
    <w:rsid w:val="00A4497A"/>
    <w:rsid w:val="00A44B0F"/>
    <w:rsid w:val="00A44BE8"/>
    <w:rsid w:val="00A44C96"/>
    <w:rsid w:val="00A44F54"/>
    <w:rsid w:val="00A45F9B"/>
    <w:rsid w:val="00A46574"/>
    <w:rsid w:val="00A467C4"/>
    <w:rsid w:val="00A469F5"/>
    <w:rsid w:val="00A500B1"/>
    <w:rsid w:val="00A50C4D"/>
    <w:rsid w:val="00A5241B"/>
    <w:rsid w:val="00A52D3F"/>
    <w:rsid w:val="00A52EE5"/>
    <w:rsid w:val="00A53037"/>
    <w:rsid w:val="00A532B9"/>
    <w:rsid w:val="00A5351D"/>
    <w:rsid w:val="00A53E79"/>
    <w:rsid w:val="00A54031"/>
    <w:rsid w:val="00A5426D"/>
    <w:rsid w:val="00A54FC2"/>
    <w:rsid w:val="00A55122"/>
    <w:rsid w:val="00A56DC0"/>
    <w:rsid w:val="00A56DE7"/>
    <w:rsid w:val="00A56EB8"/>
    <w:rsid w:val="00A57EB2"/>
    <w:rsid w:val="00A6009E"/>
    <w:rsid w:val="00A604E5"/>
    <w:rsid w:val="00A60B1F"/>
    <w:rsid w:val="00A6191A"/>
    <w:rsid w:val="00A61C60"/>
    <w:rsid w:val="00A61DEB"/>
    <w:rsid w:val="00A62589"/>
    <w:rsid w:val="00A62C3A"/>
    <w:rsid w:val="00A63812"/>
    <w:rsid w:val="00A63DF7"/>
    <w:rsid w:val="00A64505"/>
    <w:rsid w:val="00A64DA9"/>
    <w:rsid w:val="00A668BA"/>
    <w:rsid w:val="00A66FA7"/>
    <w:rsid w:val="00A67E16"/>
    <w:rsid w:val="00A703CC"/>
    <w:rsid w:val="00A70413"/>
    <w:rsid w:val="00A70C5C"/>
    <w:rsid w:val="00A71EA7"/>
    <w:rsid w:val="00A730AD"/>
    <w:rsid w:val="00A73855"/>
    <w:rsid w:val="00A73D64"/>
    <w:rsid w:val="00A74216"/>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2F5D"/>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92"/>
    <w:rsid w:val="00AA08E7"/>
    <w:rsid w:val="00AA0A06"/>
    <w:rsid w:val="00AA0F25"/>
    <w:rsid w:val="00AA1351"/>
    <w:rsid w:val="00AA1C84"/>
    <w:rsid w:val="00AA3D7B"/>
    <w:rsid w:val="00AA42A0"/>
    <w:rsid w:val="00AA442B"/>
    <w:rsid w:val="00AA46A4"/>
    <w:rsid w:val="00AA5779"/>
    <w:rsid w:val="00AA58A1"/>
    <w:rsid w:val="00AA5E3C"/>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A0B"/>
    <w:rsid w:val="00AC2BEE"/>
    <w:rsid w:val="00AC2E53"/>
    <w:rsid w:val="00AC3904"/>
    <w:rsid w:val="00AC484F"/>
    <w:rsid w:val="00AC4B20"/>
    <w:rsid w:val="00AC56F2"/>
    <w:rsid w:val="00AC644E"/>
    <w:rsid w:val="00AC6886"/>
    <w:rsid w:val="00AC6EE5"/>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00E6"/>
    <w:rsid w:val="00B011A9"/>
    <w:rsid w:val="00B024ED"/>
    <w:rsid w:val="00B02865"/>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6B2F"/>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231"/>
    <w:rsid w:val="00B422C0"/>
    <w:rsid w:val="00B426CA"/>
    <w:rsid w:val="00B426E1"/>
    <w:rsid w:val="00B437F8"/>
    <w:rsid w:val="00B4387A"/>
    <w:rsid w:val="00B44260"/>
    <w:rsid w:val="00B44746"/>
    <w:rsid w:val="00B44854"/>
    <w:rsid w:val="00B44871"/>
    <w:rsid w:val="00B44944"/>
    <w:rsid w:val="00B458D0"/>
    <w:rsid w:val="00B4792C"/>
    <w:rsid w:val="00B50CAE"/>
    <w:rsid w:val="00B512AD"/>
    <w:rsid w:val="00B5196C"/>
    <w:rsid w:val="00B525CB"/>
    <w:rsid w:val="00B52697"/>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587B"/>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B8E"/>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97CE3"/>
    <w:rsid w:val="00B97EBF"/>
    <w:rsid w:val="00BA0C54"/>
    <w:rsid w:val="00BA1382"/>
    <w:rsid w:val="00BA15CC"/>
    <w:rsid w:val="00BA1C59"/>
    <w:rsid w:val="00BA20D8"/>
    <w:rsid w:val="00BA22FC"/>
    <w:rsid w:val="00BA2F30"/>
    <w:rsid w:val="00BA3FC5"/>
    <w:rsid w:val="00BA4771"/>
    <w:rsid w:val="00BA5027"/>
    <w:rsid w:val="00BA665B"/>
    <w:rsid w:val="00BA7370"/>
    <w:rsid w:val="00BA778B"/>
    <w:rsid w:val="00BB0888"/>
    <w:rsid w:val="00BB0DF1"/>
    <w:rsid w:val="00BB0E9B"/>
    <w:rsid w:val="00BB2841"/>
    <w:rsid w:val="00BB2EF1"/>
    <w:rsid w:val="00BB300F"/>
    <w:rsid w:val="00BB32C9"/>
    <w:rsid w:val="00BB35C5"/>
    <w:rsid w:val="00BB4C8E"/>
    <w:rsid w:val="00BB57ED"/>
    <w:rsid w:val="00BB65C3"/>
    <w:rsid w:val="00BB662E"/>
    <w:rsid w:val="00BB67A9"/>
    <w:rsid w:val="00BB6C01"/>
    <w:rsid w:val="00BB7942"/>
    <w:rsid w:val="00BB7CD1"/>
    <w:rsid w:val="00BC0F33"/>
    <w:rsid w:val="00BC10F9"/>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2B17"/>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6F8"/>
    <w:rsid w:val="00C0285F"/>
    <w:rsid w:val="00C02F35"/>
    <w:rsid w:val="00C03305"/>
    <w:rsid w:val="00C03515"/>
    <w:rsid w:val="00C03738"/>
    <w:rsid w:val="00C037A6"/>
    <w:rsid w:val="00C03BB5"/>
    <w:rsid w:val="00C043F5"/>
    <w:rsid w:val="00C044E3"/>
    <w:rsid w:val="00C04BDB"/>
    <w:rsid w:val="00C052C6"/>
    <w:rsid w:val="00C05A61"/>
    <w:rsid w:val="00C062A4"/>
    <w:rsid w:val="00C0633F"/>
    <w:rsid w:val="00C06BEF"/>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6C6"/>
    <w:rsid w:val="00C309E8"/>
    <w:rsid w:val="00C32017"/>
    <w:rsid w:val="00C325CD"/>
    <w:rsid w:val="00C3322E"/>
    <w:rsid w:val="00C337F5"/>
    <w:rsid w:val="00C33B90"/>
    <w:rsid w:val="00C3430F"/>
    <w:rsid w:val="00C345B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289"/>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374"/>
    <w:rsid w:val="00C55C32"/>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09C"/>
    <w:rsid w:val="00C733BA"/>
    <w:rsid w:val="00C74BAD"/>
    <w:rsid w:val="00C75803"/>
    <w:rsid w:val="00C75C25"/>
    <w:rsid w:val="00C760DC"/>
    <w:rsid w:val="00C8082B"/>
    <w:rsid w:val="00C81A88"/>
    <w:rsid w:val="00C81AEC"/>
    <w:rsid w:val="00C81BF7"/>
    <w:rsid w:val="00C81D46"/>
    <w:rsid w:val="00C820AD"/>
    <w:rsid w:val="00C821A4"/>
    <w:rsid w:val="00C82298"/>
    <w:rsid w:val="00C833B4"/>
    <w:rsid w:val="00C84284"/>
    <w:rsid w:val="00C84A4E"/>
    <w:rsid w:val="00C84E33"/>
    <w:rsid w:val="00C85FFC"/>
    <w:rsid w:val="00C861FC"/>
    <w:rsid w:val="00C86C87"/>
    <w:rsid w:val="00C9005E"/>
    <w:rsid w:val="00C90111"/>
    <w:rsid w:val="00C90252"/>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0C5"/>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456"/>
    <w:rsid w:val="00CC7DCA"/>
    <w:rsid w:val="00CD050A"/>
    <w:rsid w:val="00CD205D"/>
    <w:rsid w:val="00CD2A22"/>
    <w:rsid w:val="00CD2B50"/>
    <w:rsid w:val="00CD44CB"/>
    <w:rsid w:val="00CD4506"/>
    <w:rsid w:val="00CD484B"/>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338"/>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1F04"/>
    <w:rsid w:val="00D422DB"/>
    <w:rsid w:val="00D42AC2"/>
    <w:rsid w:val="00D4310E"/>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1C75"/>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1D8"/>
    <w:rsid w:val="00D97BD1"/>
    <w:rsid w:val="00DA06B8"/>
    <w:rsid w:val="00DA0EB6"/>
    <w:rsid w:val="00DA286D"/>
    <w:rsid w:val="00DA2969"/>
    <w:rsid w:val="00DA29B7"/>
    <w:rsid w:val="00DA4842"/>
    <w:rsid w:val="00DA4E75"/>
    <w:rsid w:val="00DA5989"/>
    <w:rsid w:val="00DA5AB1"/>
    <w:rsid w:val="00DA5F9D"/>
    <w:rsid w:val="00DA69B2"/>
    <w:rsid w:val="00DA7462"/>
    <w:rsid w:val="00DA7AD0"/>
    <w:rsid w:val="00DB02D7"/>
    <w:rsid w:val="00DB03CC"/>
    <w:rsid w:val="00DB0B01"/>
    <w:rsid w:val="00DB12D4"/>
    <w:rsid w:val="00DB14F0"/>
    <w:rsid w:val="00DB1745"/>
    <w:rsid w:val="00DB1AFF"/>
    <w:rsid w:val="00DB219A"/>
    <w:rsid w:val="00DB3165"/>
    <w:rsid w:val="00DB4292"/>
    <w:rsid w:val="00DB6E46"/>
    <w:rsid w:val="00DB7117"/>
    <w:rsid w:val="00DB7204"/>
    <w:rsid w:val="00DB7760"/>
    <w:rsid w:val="00DB7DD4"/>
    <w:rsid w:val="00DB7F21"/>
    <w:rsid w:val="00DC00B4"/>
    <w:rsid w:val="00DC0954"/>
    <w:rsid w:val="00DC1296"/>
    <w:rsid w:val="00DC15BA"/>
    <w:rsid w:val="00DC18CD"/>
    <w:rsid w:val="00DC1A68"/>
    <w:rsid w:val="00DC25EF"/>
    <w:rsid w:val="00DC30B8"/>
    <w:rsid w:val="00DC32C6"/>
    <w:rsid w:val="00DC478F"/>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59"/>
    <w:rsid w:val="00DD72A0"/>
    <w:rsid w:val="00DD735D"/>
    <w:rsid w:val="00DE0159"/>
    <w:rsid w:val="00DE064A"/>
    <w:rsid w:val="00DE082D"/>
    <w:rsid w:val="00DE12BA"/>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5600"/>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746D"/>
    <w:rsid w:val="00E2012A"/>
    <w:rsid w:val="00E205A2"/>
    <w:rsid w:val="00E20BA4"/>
    <w:rsid w:val="00E20C61"/>
    <w:rsid w:val="00E215BF"/>
    <w:rsid w:val="00E23137"/>
    <w:rsid w:val="00E23980"/>
    <w:rsid w:val="00E241E9"/>
    <w:rsid w:val="00E257C3"/>
    <w:rsid w:val="00E25CB3"/>
    <w:rsid w:val="00E25DA4"/>
    <w:rsid w:val="00E26134"/>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A28"/>
    <w:rsid w:val="00E37FCA"/>
    <w:rsid w:val="00E40430"/>
    <w:rsid w:val="00E40690"/>
    <w:rsid w:val="00E40AEB"/>
    <w:rsid w:val="00E4143A"/>
    <w:rsid w:val="00E424C8"/>
    <w:rsid w:val="00E4251D"/>
    <w:rsid w:val="00E4255B"/>
    <w:rsid w:val="00E43D00"/>
    <w:rsid w:val="00E445E4"/>
    <w:rsid w:val="00E457CB"/>
    <w:rsid w:val="00E45D47"/>
    <w:rsid w:val="00E45DE4"/>
    <w:rsid w:val="00E45E63"/>
    <w:rsid w:val="00E465F8"/>
    <w:rsid w:val="00E50A7B"/>
    <w:rsid w:val="00E50B0B"/>
    <w:rsid w:val="00E510FE"/>
    <w:rsid w:val="00E51A42"/>
    <w:rsid w:val="00E51E25"/>
    <w:rsid w:val="00E5205B"/>
    <w:rsid w:val="00E521AE"/>
    <w:rsid w:val="00E53BCA"/>
    <w:rsid w:val="00E53F02"/>
    <w:rsid w:val="00E54534"/>
    <w:rsid w:val="00E548C3"/>
    <w:rsid w:val="00E54F27"/>
    <w:rsid w:val="00E55FF1"/>
    <w:rsid w:val="00E56090"/>
    <w:rsid w:val="00E565B9"/>
    <w:rsid w:val="00E56604"/>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7F9"/>
    <w:rsid w:val="00E75B34"/>
    <w:rsid w:val="00E77AF5"/>
    <w:rsid w:val="00E8029A"/>
    <w:rsid w:val="00E8031E"/>
    <w:rsid w:val="00E803FE"/>
    <w:rsid w:val="00E80F98"/>
    <w:rsid w:val="00E823F9"/>
    <w:rsid w:val="00E82C1F"/>
    <w:rsid w:val="00E83671"/>
    <w:rsid w:val="00E83EFC"/>
    <w:rsid w:val="00E84A71"/>
    <w:rsid w:val="00E857F6"/>
    <w:rsid w:val="00E86556"/>
    <w:rsid w:val="00E86798"/>
    <w:rsid w:val="00E86D35"/>
    <w:rsid w:val="00E86DC2"/>
    <w:rsid w:val="00E86E32"/>
    <w:rsid w:val="00E8732E"/>
    <w:rsid w:val="00E9011F"/>
    <w:rsid w:val="00E906EB"/>
    <w:rsid w:val="00E9241E"/>
    <w:rsid w:val="00E92460"/>
    <w:rsid w:val="00E92E62"/>
    <w:rsid w:val="00E93804"/>
    <w:rsid w:val="00E93A86"/>
    <w:rsid w:val="00E94C47"/>
    <w:rsid w:val="00E95434"/>
    <w:rsid w:val="00E95F33"/>
    <w:rsid w:val="00E96467"/>
    <w:rsid w:val="00E966DA"/>
    <w:rsid w:val="00E96948"/>
    <w:rsid w:val="00E9737B"/>
    <w:rsid w:val="00E977DF"/>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8DC"/>
    <w:rsid w:val="00EA5C05"/>
    <w:rsid w:val="00EA63EF"/>
    <w:rsid w:val="00EA6750"/>
    <w:rsid w:val="00EB0A89"/>
    <w:rsid w:val="00EB1573"/>
    <w:rsid w:val="00EB1650"/>
    <w:rsid w:val="00EB1910"/>
    <w:rsid w:val="00EB1D24"/>
    <w:rsid w:val="00EB2A03"/>
    <w:rsid w:val="00EB2E97"/>
    <w:rsid w:val="00EB3416"/>
    <w:rsid w:val="00EB36CC"/>
    <w:rsid w:val="00EB4AE1"/>
    <w:rsid w:val="00EB52F4"/>
    <w:rsid w:val="00EB5694"/>
    <w:rsid w:val="00EB5779"/>
    <w:rsid w:val="00EB6098"/>
    <w:rsid w:val="00EB65ED"/>
    <w:rsid w:val="00EB67F1"/>
    <w:rsid w:val="00EB72CD"/>
    <w:rsid w:val="00EB749A"/>
    <w:rsid w:val="00EB76B6"/>
    <w:rsid w:val="00EB7D8A"/>
    <w:rsid w:val="00EC05E2"/>
    <w:rsid w:val="00EC0733"/>
    <w:rsid w:val="00EC08AF"/>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4BF"/>
    <w:rsid w:val="00EC6B3E"/>
    <w:rsid w:val="00EC73DE"/>
    <w:rsid w:val="00EC7637"/>
    <w:rsid w:val="00EC7CF2"/>
    <w:rsid w:val="00ED046B"/>
    <w:rsid w:val="00ED046C"/>
    <w:rsid w:val="00ED053A"/>
    <w:rsid w:val="00ED1F03"/>
    <w:rsid w:val="00ED2D27"/>
    <w:rsid w:val="00ED2DAF"/>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FB7"/>
    <w:rsid w:val="00EE62D9"/>
    <w:rsid w:val="00EE6A1A"/>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917"/>
    <w:rsid w:val="00EF427A"/>
    <w:rsid w:val="00EF45DF"/>
    <w:rsid w:val="00EF47EA"/>
    <w:rsid w:val="00EF4952"/>
    <w:rsid w:val="00EF498F"/>
    <w:rsid w:val="00EF4A42"/>
    <w:rsid w:val="00EF510C"/>
    <w:rsid w:val="00EF55C4"/>
    <w:rsid w:val="00EF5695"/>
    <w:rsid w:val="00EF57BC"/>
    <w:rsid w:val="00EF59DF"/>
    <w:rsid w:val="00EF59E5"/>
    <w:rsid w:val="00EF6784"/>
    <w:rsid w:val="00EF688A"/>
    <w:rsid w:val="00EF6A03"/>
    <w:rsid w:val="00EF6DC2"/>
    <w:rsid w:val="00EF7BF4"/>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7E5"/>
    <w:rsid w:val="00F20933"/>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4BB"/>
    <w:rsid w:val="00F33980"/>
    <w:rsid w:val="00F3399B"/>
    <w:rsid w:val="00F33C1A"/>
    <w:rsid w:val="00F33C29"/>
    <w:rsid w:val="00F3461B"/>
    <w:rsid w:val="00F34684"/>
    <w:rsid w:val="00F346ED"/>
    <w:rsid w:val="00F34945"/>
    <w:rsid w:val="00F34B5B"/>
    <w:rsid w:val="00F34E1E"/>
    <w:rsid w:val="00F353AD"/>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3EE"/>
    <w:rsid w:val="00F575E2"/>
    <w:rsid w:val="00F579FF"/>
    <w:rsid w:val="00F57B22"/>
    <w:rsid w:val="00F600E0"/>
    <w:rsid w:val="00F600FD"/>
    <w:rsid w:val="00F605EC"/>
    <w:rsid w:val="00F60F60"/>
    <w:rsid w:val="00F612CE"/>
    <w:rsid w:val="00F624A7"/>
    <w:rsid w:val="00F62AB6"/>
    <w:rsid w:val="00F652BC"/>
    <w:rsid w:val="00F65A3C"/>
    <w:rsid w:val="00F65BB9"/>
    <w:rsid w:val="00F65FFA"/>
    <w:rsid w:val="00F66282"/>
    <w:rsid w:val="00F67ACE"/>
    <w:rsid w:val="00F67D8B"/>
    <w:rsid w:val="00F67DED"/>
    <w:rsid w:val="00F70961"/>
    <w:rsid w:val="00F70A8F"/>
    <w:rsid w:val="00F71397"/>
    <w:rsid w:val="00F72389"/>
    <w:rsid w:val="00F72516"/>
    <w:rsid w:val="00F7294E"/>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0734"/>
    <w:rsid w:val="00F815AC"/>
    <w:rsid w:val="00F830B8"/>
    <w:rsid w:val="00F83702"/>
    <w:rsid w:val="00F83B33"/>
    <w:rsid w:val="00F83CAE"/>
    <w:rsid w:val="00F840BF"/>
    <w:rsid w:val="00F8415D"/>
    <w:rsid w:val="00F8427A"/>
    <w:rsid w:val="00F843DF"/>
    <w:rsid w:val="00F84899"/>
    <w:rsid w:val="00F84B77"/>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29F7"/>
    <w:rsid w:val="00F93DBC"/>
    <w:rsid w:val="00F93E41"/>
    <w:rsid w:val="00F94644"/>
    <w:rsid w:val="00F9537B"/>
    <w:rsid w:val="00F955F8"/>
    <w:rsid w:val="00F963FC"/>
    <w:rsid w:val="00F974F5"/>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228"/>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FDF"/>
    <w:rsid w:val="00FC5CF4"/>
    <w:rsid w:val="00FC6A39"/>
    <w:rsid w:val="00FC73FC"/>
    <w:rsid w:val="00FC79AB"/>
    <w:rsid w:val="00FC7BE7"/>
    <w:rsid w:val="00FC7DAC"/>
    <w:rsid w:val="00FD04AE"/>
    <w:rsid w:val="00FD1890"/>
    <w:rsid w:val="00FD1994"/>
    <w:rsid w:val="00FD2CA6"/>
    <w:rsid w:val="00FD3508"/>
    <w:rsid w:val="00FD393C"/>
    <w:rsid w:val="00FD43BB"/>
    <w:rsid w:val="00FD4AF3"/>
    <w:rsid w:val="00FD66E1"/>
    <w:rsid w:val="00FD6F72"/>
    <w:rsid w:val="00FD798D"/>
    <w:rsid w:val="00FD7FB9"/>
    <w:rsid w:val="00FE141E"/>
    <w:rsid w:val="00FE144E"/>
    <w:rsid w:val="00FE1768"/>
    <w:rsid w:val="00FE24F4"/>
    <w:rsid w:val="00FE2560"/>
    <w:rsid w:val="00FE35D0"/>
    <w:rsid w:val="00FE41AC"/>
    <w:rsid w:val="00FE42ED"/>
    <w:rsid w:val="00FE55A7"/>
    <w:rsid w:val="00FE55E6"/>
    <w:rsid w:val="00FE56D5"/>
    <w:rsid w:val="00FE5A38"/>
    <w:rsid w:val="00FE5C5A"/>
    <w:rsid w:val="00FE6432"/>
    <w:rsid w:val="00FE68CF"/>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6095"/>
    <w:rsid w:val="00FF62FE"/>
    <w:rsid w:val="00FF6553"/>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1007806">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3593">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298992">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6682801">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capacidad_resid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35</TotalTime>
  <Pages>12</Pages>
  <Words>4257</Words>
  <Characters>23419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alejandro murcia</cp:lastModifiedBy>
  <cp:revision>26</cp:revision>
  <cp:lastPrinted>2020-01-30T15:05:00Z</cp:lastPrinted>
  <dcterms:created xsi:type="dcterms:W3CDTF">2022-03-22T21:09:00Z</dcterms:created>
  <dcterms:modified xsi:type="dcterms:W3CDTF">2022-03-25T15:38:00Z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