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5EA4" w:rsidP="009D7FBD" w:rsidRDefault="00B85EA4" w14:paraId="5236452B" w14:textId="77777777">
      <w:pPr>
        <w:pStyle w:val="Textoindependiente"/>
        <w:ind w:right="102"/>
        <w:jc w:val="both"/>
        <w:rPr>
          <w:b/>
          <w:color w:val="000000" w:themeColor="text1"/>
        </w:rPr>
      </w:pPr>
      <w:bookmarkStart w:name="_Hlk28946138" w:id="0"/>
      <w:bookmarkStart w:name="_Hlk29548183" w:id="1"/>
    </w:p>
    <w:p w:rsidRPr="00532D3D" w:rsidR="009D7FBD" w:rsidP="009D7FBD" w:rsidRDefault="009D7FBD" w14:paraId="01452655" w14:textId="7B67A51D">
      <w:pPr>
        <w:pStyle w:val="Textoindependiente"/>
        <w:ind w:right="102"/>
        <w:jc w:val="both"/>
        <w:rPr>
          <w:b/>
          <w:color w:val="000000" w:themeColor="text1"/>
        </w:rPr>
      </w:pPr>
      <w:r w:rsidRPr="00532D3D">
        <w:rPr>
          <w:b/>
          <w:color w:val="000000" w:themeColor="text1"/>
        </w:rPr>
        <w:t xml:space="preserve">DECRETO 092 DE 2017 – Finalidad – Clases de contratos </w:t>
      </w:r>
    </w:p>
    <w:p w:rsidRPr="00532D3D" w:rsidR="009D7FBD" w:rsidP="009D7FBD" w:rsidRDefault="009D7FBD" w14:paraId="54DC3450" w14:textId="77777777">
      <w:pPr>
        <w:pStyle w:val="Textoindependiente"/>
        <w:ind w:right="102"/>
        <w:jc w:val="both"/>
        <w:rPr>
          <w:color w:val="000000" w:themeColor="text1"/>
          <w:sz w:val="20"/>
          <w:szCs w:val="20"/>
        </w:rPr>
      </w:pPr>
    </w:p>
    <w:p w:rsidR="009D7FBD" w:rsidP="00975518" w:rsidRDefault="00975518" w14:paraId="7FF85C6B" w14:textId="4D8F3950">
      <w:pPr>
        <w:jc w:val="both"/>
        <w:rPr>
          <w:rFonts w:ascii="Arial" w:hAnsi="Arial" w:eastAsia="Arial" w:cs="Arial"/>
          <w:color w:val="000000" w:themeColor="text1"/>
          <w:sz w:val="20"/>
          <w:szCs w:val="20"/>
          <w:lang w:val="es-ES"/>
        </w:rPr>
      </w:pPr>
      <w:r w:rsidRPr="00975518">
        <w:rPr>
          <w:rFonts w:ascii="Arial" w:hAnsi="Arial" w:eastAsia="Arial" w:cs="Arial"/>
          <w:color w:val="000000" w:themeColor="text1"/>
          <w:sz w:val="20"/>
          <w:szCs w:val="20"/>
          <w:lang w:val="es-ES"/>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rsidR="00975518" w:rsidP="00975518" w:rsidRDefault="00975518" w14:paraId="0A96811E" w14:textId="77777777">
      <w:pPr>
        <w:jc w:val="both"/>
        <w:rPr>
          <w:rFonts w:ascii="Arial" w:hAnsi="Arial" w:eastAsia="Calibri" w:cs="Arial"/>
          <w:b/>
          <w:color w:val="000000" w:themeColor="text1"/>
          <w:sz w:val="22"/>
        </w:rPr>
      </w:pPr>
    </w:p>
    <w:p w:rsidRPr="00162EE6" w:rsidR="009D7FBD" w:rsidP="009D7FBD" w:rsidRDefault="009D7FBD" w14:paraId="75FE61D0" w14:textId="77777777">
      <w:pPr>
        <w:jc w:val="both"/>
        <w:rPr>
          <w:rFonts w:ascii="Arial" w:hAnsi="Arial" w:eastAsia="Calibri" w:cs="Arial"/>
          <w:b/>
          <w:color w:val="000000" w:themeColor="text1"/>
          <w:sz w:val="22"/>
        </w:rPr>
      </w:pPr>
      <w:r w:rsidRPr="00162EE6">
        <w:rPr>
          <w:rFonts w:ascii="Arial" w:hAnsi="Arial" w:eastAsia="Calibri" w:cs="Arial"/>
          <w:b/>
          <w:color w:val="000000" w:themeColor="text1"/>
          <w:sz w:val="22"/>
        </w:rPr>
        <w:t>CONTRATACIÓN CON ESAL – Contrato de colaboración – Objeto</w:t>
      </w:r>
      <w:r>
        <w:rPr>
          <w:rFonts w:ascii="Arial" w:hAnsi="Arial" w:eastAsia="Calibri" w:cs="Arial"/>
          <w:b/>
          <w:color w:val="000000" w:themeColor="text1"/>
          <w:sz w:val="22"/>
        </w:rPr>
        <w:t xml:space="preserve"> – A</w:t>
      </w:r>
      <w:r w:rsidRPr="00162EE6">
        <w:rPr>
          <w:rFonts w:ascii="Arial" w:hAnsi="Arial" w:eastAsia="Calibri" w:cs="Arial"/>
          <w:b/>
          <w:color w:val="000000" w:themeColor="text1"/>
          <w:sz w:val="22"/>
        </w:rPr>
        <w:t xml:space="preserve">lcance </w:t>
      </w:r>
    </w:p>
    <w:p w:rsidRPr="00162EE6" w:rsidR="009D7FBD" w:rsidP="009D7FBD" w:rsidRDefault="009D7FBD" w14:paraId="3AFB6CF6" w14:textId="77777777">
      <w:pPr>
        <w:jc w:val="both"/>
        <w:rPr>
          <w:rFonts w:ascii="Arial" w:hAnsi="Arial" w:eastAsia="Calibri" w:cs="Arial"/>
          <w:bCs/>
          <w:color w:val="000000" w:themeColor="text1"/>
          <w:sz w:val="20"/>
          <w:szCs w:val="20"/>
        </w:rPr>
      </w:pPr>
    </w:p>
    <w:p w:rsidR="009D7FBD" w:rsidP="009D7FBD" w:rsidRDefault="00975518" w14:paraId="5F388C83" w14:textId="44D14AAE">
      <w:pPr>
        <w:jc w:val="both"/>
        <w:rPr>
          <w:rFonts w:ascii="Arial" w:hAnsi="Arial" w:cs="Arial"/>
          <w:color w:val="000000" w:themeColor="text1"/>
          <w:sz w:val="20"/>
          <w:szCs w:val="20"/>
        </w:rPr>
      </w:pPr>
      <w:r w:rsidRPr="00975518">
        <w:rPr>
          <w:rFonts w:ascii="Arial" w:hAnsi="Arial" w:cs="Arial"/>
          <w:color w:val="000000" w:themeColor="text1"/>
          <w:sz w:val="20"/>
          <w:szCs w:val="20"/>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00975518" w:rsidP="009D7FBD" w:rsidRDefault="00975518" w14:paraId="2C2ADB31" w14:textId="77777777">
      <w:pPr>
        <w:jc w:val="both"/>
        <w:rPr>
          <w:rFonts w:ascii="Arial" w:hAnsi="Arial" w:cs="Arial"/>
          <w:color w:val="000000" w:themeColor="text1"/>
          <w:sz w:val="21"/>
          <w:szCs w:val="21"/>
        </w:rPr>
      </w:pPr>
    </w:p>
    <w:p w:rsidR="009D7FBD" w:rsidP="009D7FBD" w:rsidRDefault="009D7FBD" w14:paraId="17735CAD" w14:textId="77777777">
      <w:pPr>
        <w:jc w:val="both"/>
        <w:rPr>
          <w:rFonts w:ascii="Arial" w:hAnsi="Arial" w:eastAsia="Calibri" w:cs="Arial"/>
          <w:b/>
          <w:color w:val="000000" w:themeColor="text1"/>
          <w:sz w:val="22"/>
        </w:rPr>
      </w:pPr>
      <w:r w:rsidRPr="00162EE6">
        <w:rPr>
          <w:rFonts w:ascii="Arial" w:hAnsi="Arial" w:eastAsia="Calibri" w:cs="Arial"/>
          <w:b/>
          <w:color w:val="000000" w:themeColor="text1"/>
          <w:sz w:val="22"/>
        </w:rPr>
        <w:t xml:space="preserve">CONTRATACIÓN CON ESAL – Contrato de </w:t>
      </w:r>
      <w:r>
        <w:rPr>
          <w:rFonts w:ascii="Arial" w:hAnsi="Arial" w:eastAsia="Calibri" w:cs="Arial"/>
          <w:b/>
          <w:color w:val="000000" w:themeColor="text1"/>
          <w:sz w:val="22"/>
        </w:rPr>
        <w:t xml:space="preserve">asociación </w:t>
      </w:r>
      <w:r w:rsidRPr="00162EE6">
        <w:rPr>
          <w:rFonts w:ascii="Arial" w:hAnsi="Arial" w:eastAsia="Calibri" w:cs="Arial"/>
          <w:b/>
          <w:color w:val="000000" w:themeColor="text1"/>
          <w:sz w:val="22"/>
        </w:rPr>
        <w:t>– Objeto</w:t>
      </w:r>
      <w:r>
        <w:rPr>
          <w:rFonts w:ascii="Arial" w:hAnsi="Arial" w:eastAsia="Calibri" w:cs="Arial"/>
          <w:b/>
          <w:color w:val="000000" w:themeColor="text1"/>
          <w:sz w:val="22"/>
        </w:rPr>
        <w:t xml:space="preserve"> – A</w:t>
      </w:r>
      <w:r w:rsidRPr="00162EE6">
        <w:rPr>
          <w:rFonts w:ascii="Arial" w:hAnsi="Arial" w:eastAsia="Calibri" w:cs="Arial"/>
          <w:b/>
          <w:color w:val="000000" w:themeColor="text1"/>
          <w:sz w:val="22"/>
        </w:rPr>
        <w:t xml:space="preserve">lcance </w:t>
      </w:r>
    </w:p>
    <w:p w:rsidR="009D7FBD" w:rsidP="009D7FBD" w:rsidRDefault="009D7FBD" w14:paraId="3FB71F95" w14:textId="77777777">
      <w:pPr>
        <w:jc w:val="both"/>
        <w:rPr>
          <w:rFonts w:ascii="Arial" w:hAnsi="Arial" w:eastAsia="Calibri" w:cs="Arial"/>
          <w:b/>
          <w:color w:val="000000" w:themeColor="text1"/>
          <w:sz w:val="22"/>
        </w:rPr>
      </w:pPr>
    </w:p>
    <w:p w:rsidRPr="00975518" w:rsidR="009D7FBD" w:rsidP="009D7FBD" w:rsidRDefault="00975518" w14:paraId="0643CEF2" w14:textId="1A67116D">
      <w:pPr>
        <w:jc w:val="both"/>
        <w:rPr>
          <w:rFonts w:ascii="Arial" w:hAnsi="Arial" w:cs="Arial"/>
          <w:color w:val="000000" w:themeColor="text1"/>
          <w:sz w:val="20"/>
          <w:szCs w:val="20"/>
        </w:rPr>
      </w:pPr>
      <w:r w:rsidRPr="00975518">
        <w:rPr>
          <w:rFonts w:ascii="Arial" w:hAnsi="Arial" w:cs="Arial"/>
          <w:color w:val="000000" w:themeColor="text1"/>
          <w:sz w:val="20"/>
          <w:szCs w:val="20"/>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75518">
        <w:rPr>
          <w:color w:val="000000" w:themeColor="text1"/>
          <w:sz w:val="20"/>
          <w:szCs w:val="20"/>
        </w:rPr>
        <w:footnoteReference w:id="1"/>
      </w:r>
      <w:r w:rsidRPr="00975518">
        <w:rPr>
          <w:rFonts w:ascii="Arial" w:hAnsi="Arial" w:cs="Arial"/>
          <w:color w:val="000000" w:themeColor="text1"/>
          <w:sz w:val="20"/>
          <w:szCs w:val="20"/>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Pr>
          <w:rFonts w:ascii="Arial" w:hAnsi="Arial" w:cs="Arial"/>
          <w:color w:val="000000" w:themeColor="text1"/>
          <w:sz w:val="20"/>
          <w:szCs w:val="20"/>
        </w:rPr>
        <w:t>.</w:t>
      </w:r>
    </w:p>
    <w:p w:rsidRPr="00162EE6" w:rsidR="00975518" w:rsidP="009D7FBD" w:rsidRDefault="00975518" w14:paraId="3A99B9E9" w14:textId="77777777">
      <w:pPr>
        <w:jc w:val="both"/>
        <w:rPr>
          <w:rFonts w:ascii="Arial" w:hAnsi="Arial" w:cs="Arial"/>
          <w:color w:val="000000" w:themeColor="text1"/>
          <w:sz w:val="20"/>
          <w:szCs w:val="20"/>
        </w:rPr>
      </w:pPr>
    </w:p>
    <w:p w:rsidRPr="00162EE6" w:rsidR="009D7FBD" w:rsidP="009D7FBD" w:rsidRDefault="009D7FBD" w14:paraId="7266D57B" w14:textId="77777777">
      <w:pPr>
        <w:jc w:val="both"/>
        <w:rPr>
          <w:rFonts w:ascii="Arial" w:hAnsi="Arial" w:eastAsia="Calibri" w:cs="Arial"/>
          <w:b/>
          <w:color w:val="000000" w:themeColor="text1"/>
          <w:sz w:val="22"/>
        </w:rPr>
      </w:pPr>
      <w:r w:rsidRPr="00162EE6">
        <w:rPr>
          <w:rFonts w:ascii="Arial" w:hAnsi="Arial" w:eastAsia="Calibri" w:cs="Arial"/>
          <w:b/>
          <w:color w:val="000000" w:themeColor="text1"/>
          <w:sz w:val="22"/>
        </w:rPr>
        <w:t>CONVENIOS DE ASOCIACIÓN –</w:t>
      </w:r>
      <w:r>
        <w:rPr>
          <w:rFonts w:ascii="Arial" w:hAnsi="Arial" w:eastAsia="Calibri" w:cs="Arial"/>
          <w:b/>
          <w:color w:val="000000" w:themeColor="text1"/>
          <w:sz w:val="22"/>
        </w:rPr>
        <w:t xml:space="preserve"> Multiplicidad de </w:t>
      </w:r>
      <w:r w:rsidRPr="00162EE6">
        <w:rPr>
          <w:rFonts w:ascii="Arial" w:hAnsi="Arial" w:eastAsia="Calibri" w:cs="Arial"/>
          <w:b/>
          <w:color w:val="000000" w:themeColor="text1"/>
          <w:sz w:val="22"/>
        </w:rPr>
        <w:t>sujetos –</w:t>
      </w:r>
      <w:r>
        <w:rPr>
          <w:rFonts w:ascii="Arial" w:hAnsi="Arial" w:eastAsia="Calibri" w:cs="Arial"/>
          <w:b/>
          <w:color w:val="000000" w:themeColor="text1"/>
          <w:sz w:val="22"/>
        </w:rPr>
        <w:t xml:space="preserve"> L</w:t>
      </w:r>
      <w:r w:rsidRPr="00162EE6">
        <w:rPr>
          <w:rFonts w:ascii="Arial" w:hAnsi="Arial" w:eastAsia="Calibri" w:cs="Arial"/>
          <w:b/>
          <w:color w:val="000000" w:themeColor="text1"/>
          <w:sz w:val="22"/>
        </w:rPr>
        <w:t>ímites legales</w:t>
      </w:r>
    </w:p>
    <w:p w:rsidRPr="00162EE6" w:rsidR="009D7FBD" w:rsidP="009D7FBD" w:rsidRDefault="009D7FBD" w14:paraId="6E18B908" w14:textId="77777777">
      <w:pPr>
        <w:jc w:val="both"/>
        <w:rPr>
          <w:rFonts w:ascii="Arial" w:hAnsi="Arial" w:cs="Arial"/>
          <w:color w:val="000000" w:themeColor="text1"/>
          <w:sz w:val="20"/>
          <w:szCs w:val="20"/>
        </w:rPr>
      </w:pPr>
    </w:p>
    <w:p w:rsidRPr="00162EE6" w:rsidR="009D7FBD" w:rsidP="009D7FBD" w:rsidRDefault="009D7FBD" w14:paraId="457F50BB" w14:textId="04D2FE5D">
      <w:pPr>
        <w:pStyle w:val="Sinespaciado"/>
        <w:jc w:val="both"/>
        <w:rPr>
          <w:rFonts w:ascii="Arial" w:hAnsi="Arial" w:cs="Arial"/>
          <w:color w:val="000000" w:themeColor="text1"/>
          <w:sz w:val="20"/>
          <w:szCs w:val="20"/>
        </w:rPr>
      </w:pPr>
      <w:r w:rsidRPr="00162EE6">
        <w:rPr>
          <w:rFonts w:ascii="Arial" w:hAnsi="Arial" w:cs="Arial"/>
          <w:color w:val="000000" w:themeColor="text1"/>
          <w:sz w:val="20"/>
          <w:szCs w:val="20"/>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w:t>
      </w:r>
      <w:r w:rsidRPr="00162EE6">
        <w:rPr>
          <w:rFonts w:ascii="Arial" w:hAnsi="Arial" w:cs="Arial"/>
          <w:color w:val="000000" w:themeColor="text1"/>
          <w:sz w:val="20"/>
          <w:szCs w:val="20"/>
        </w:rPr>
        <w:lastRenderedPageBreak/>
        <w:t xml:space="preserve">al inciso 2 del artículo 5 del Decreto </w:t>
      </w:r>
      <w:r w:rsidR="00085E6B">
        <w:rPr>
          <w:rFonts w:ascii="Arial" w:hAnsi="Arial" w:cs="Arial"/>
          <w:color w:val="000000" w:themeColor="text1"/>
          <w:sz w:val="20"/>
          <w:szCs w:val="20"/>
        </w:rPr>
        <w:t>0</w:t>
      </w:r>
      <w:r w:rsidRPr="00162EE6">
        <w:rPr>
          <w:rFonts w:ascii="Arial" w:hAnsi="Arial" w:cs="Arial"/>
          <w:color w:val="000000" w:themeColor="text1"/>
          <w:sz w:val="20"/>
          <w:szCs w:val="20"/>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009D7FBD" w:rsidP="009D7FBD" w:rsidRDefault="009D7FBD" w14:paraId="4048F445" w14:textId="77777777">
      <w:pPr>
        <w:pStyle w:val="Sinespaciado"/>
        <w:jc w:val="both"/>
        <w:rPr>
          <w:rFonts w:ascii="Arial" w:hAnsi="Arial" w:cs="Arial"/>
          <w:color w:val="000000" w:themeColor="text1"/>
          <w:sz w:val="20"/>
          <w:szCs w:val="20"/>
        </w:rPr>
      </w:pPr>
    </w:p>
    <w:p w:rsidRPr="00162EE6" w:rsidR="009D7FBD" w:rsidP="009D7FBD" w:rsidRDefault="009D7FBD" w14:paraId="49CFC8D7" w14:textId="2D74E4D7">
      <w:pPr>
        <w:jc w:val="both"/>
        <w:rPr>
          <w:rFonts w:ascii="Arial" w:hAnsi="Arial" w:eastAsia="Calibri" w:cs="Arial"/>
          <w:b/>
          <w:color w:val="000000" w:themeColor="text1"/>
          <w:sz w:val="22"/>
        </w:rPr>
      </w:pPr>
      <w:r w:rsidRPr="00162EE6">
        <w:rPr>
          <w:rFonts w:ascii="Arial" w:hAnsi="Arial" w:eastAsia="Calibri" w:cs="Arial"/>
          <w:b/>
          <w:color w:val="000000" w:themeColor="text1"/>
          <w:sz w:val="22"/>
        </w:rPr>
        <w:t xml:space="preserve">DECRETO </w:t>
      </w:r>
      <w:r w:rsidR="00085E6B">
        <w:rPr>
          <w:rFonts w:ascii="Arial" w:hAnsi="Arial" w:eastAsia="Calibri" w:cs="Arial"/>
          <w:b/>
          <w:color w:val="000000" w:themeColor="text1"/>
          <w:sz w:val="22"/>
        </w:rPr>
        <w:t>0</w:t>
      </w:r>
      <w:r w:rsidRPr="00162EE6">
        <w:rPr>
          <w:rFonts w:ascii="Arial" w:hAnsi="Arial" w:eastAsia="Calibri" w:cs="Arial"/>
          <w:b/>
          <w:color w:val="000000" w:themeColor="text1"/>
          <w:sz w:val="22"/>
        </w:rPr>
        <w:t>92 DE 2017 – Criterios –</w:t>
      </w:r>
      <w:r>
        <w:rPr>
          <w:rFonts w:ascii="Arial" w:hAnsi="Arial" w:eastAsia="Calibri" w:cs="Arial"/>
          <w:b/>
          <w:color w:val="000000" w:themeColor="text1"/>
          <w:sz w:val="22"/>
        </w:rPr>
        <w:t xml:space="preserve"> Aplicación </w:t>
      </w:r>
    </w:p>
    <w:p w:rsidRPr="00162EE6" w:rsidR="009D7FBD" w:rsidP="009D7FBD" w:rsidRDefault="009D7FBD" w14:paraId="4358CEC6" w14:textId="77777777">
      <w:pPr>
        <w:jc w:val="both"/>
        <w:rPr>
          <w:rFonts w:ascii="Arial" w:hAnsi="Arial" w:cs="Arial"/>
          <w:color w:val="000000" w:themeColor="text1"/>
          <w:sz w:val="21"/>
          <w:szCs w:val="21"/>
        </w:rPr>
      </w:pPr>
    </w:p>
    <w:p w:rsidRPr="00162EE6" w:rsidR="009D7FBD" w:rsidP="009D7FBD" w:rsidRDefault="009D7FBD" w14:paraId="410166A2" w14:textId="63AAD99C">
      <w:pPr>
        <w:jc w:val="both"/>
        <w:rPr>
          <w:rFonts w:ascii="Arial" w:hAnsi="Arial" w:cs="Arial"/>
          <w:color w:val="000000" w:themeColor="text1"/>
          <w:sz w:val="20"/>
          <w:szCs w:val="20"/>
        </w:rPr>
      </w:pPr>
      <w:r w:rsidRPr="00162EE6">
        <w:rPr>
          <w:rFonts w:ascii="Arial" w:hAnsi="Arial" w:cs="Arial"/>
          <w:color w:val="000000" w:themeColor="text1"/>
          <w:sz w:val="20"/>
          <w:szCs w:val="20"/>
        </w:rPr>
        <w:t xml:space="preserve">[…] </w:t>
      </w:r>
      <w:r w:rsidRPr="00975518" w:rsidR="00975518">
        <w:rPr>
          <w:rFonts w:ascii="Arial" w:hAnsi="Arial" w:cs="Arial"/>
          <w:color w:val="000000" w:themeColor="text1"/>
          <w:sz w:val="20"/>
          <w:szCs w:val="20"/>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Pr="00162EE6" w:rsidR="009D7FBD" w:rsidP="009D7FBD" w:rsidRDefault="009D7FBD" w14:paraId="6DCB337C" w14:textId="77777777">
      <w:pPr>
        <w:pStyle w:val="Sinespaciado"/>
        <w:jc w:val="both"/>
        <w:rPr>
          <w:rFonts w:ascii="Arial" w:hAnsi="Arial" w:cs="Arial"/>
          <w:color w:val="000000" w:themeColor="text1"/>
          <w:sz w:val="20"/>
          <w:szCs w:val="20"/>
        </w:rPr>
      </w:pPr>
    </w:p>
    <w:p w:rsidRPr="00532D3D" w:rsidR="009D7FBD" w:rsidP="009D7FBD" w:rsidRDefault="009D7FBD" w14:paraId="278305B3" w14:textId="77777777">
      <w:pPr>
        <w:pStyle w:val="Textoindependiente"/>
        <w:ind w:right="102"/>
        <w:jc w:val="both"/>
        <w:rPr>
          <w:b/>
          <w:bCs/>
          <w:color w:val="000000" w:themeColor="text1"/>
        </w:rPr>
      </w:pPr>
      <w:r w:rsidRPr="4F39698C">
        <w:rPr>
          <w:b/>
          <w:bCs/>
          <w:color w:val="000000" w:themeColor="text1"/>
        </w:rPr>
        <w:t>DECRETO 092 DE 2017 – Suspensión Provisional – Artículos suspendidos</w:t>
      </w:r>
    </w:p>
    <w:p w:rsidRPr="00532D3D" w:rsidR="009D7FBD" w:rsidP="009D7FBD" w:rsidRDefault="009D7FBD" w14:paraId="687E5BFF" w14:textId="77777777">
      <w:pPr>
        <w:pStyle w:val="Textoindependiente"/>
        <w:ind w:right="102"/>
        <w:jc w:val="both"/>
        <w:rPr>
          <w:b/>
          <w:color w:val="000000" w:themeColor="text1"/>
        </w:rPr>
      </w:pPr>
    </w:p>
    <w:p w:rsidR="009D7FBD" w:rsidP="009D7FBD" w:rsidRDefault="009D7FBD" w14:paraId="529C39C6" w14:textId="787BE8A4">
      <w:pPr>
        <w:pStyle w:val="Textoindependiente"/>
        <w:ind w:right="102"/>
        <w:jc w:val="both"/>
        <w:rPr>
          <w:color w:val="000000" w:themeColor="text1"/>
          <w:sz w:val="20"/>
          <w:szCs w:val="20"/>
        </w:rPr>
      </w:pPr>
      <w:r w:rsidRPr="00E754B8">
        <w:rPr>
          <w:color w:val="000000" w:themeColor="text1"/>
          <w:sz w:val="20"/>
          <w:szCs w:val="20"/>
        </w:rPr>
        <w:t xml:space="preserve">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w:t>
      </w:r>
      <w:r w:rsidR="00085E6B">
        <w:rPr>
          <w:color w:val="000000" w:themeColor="text1"/>
          <w:sz w:val="20"/>
          <w:szCs w:val="20"/>
        </w:rPr>
        <w:t>0</w:t>
      </w:r>
      <w:r w:rsidRPr="00E754B8">
        <w:rPr>
          <w:color w:val="000000" w:themeColor="text1"/>
          <w:sz w:val="20"/>
          <w:szCs w:val="20"/>
        </w:rPr>
        <w:t xml:space="preserve">92 de 2017. </w:t>
      </w:r>
      <w:r>
        <w:rPr>
          <w:color w:val="000000" w:themeColor="text1"/>
          <w:sz w:val="20"/>
          <w:szCs w:val="20"/>
        </w:rPr>
        <w:t xml:space="preserve">[…] </w:t>
      </w:r>
      <w:r w:rsidRPr="00B06F33">
        <w:rPr>
          <w:color w:val="000000" w:themeColor="text1"/>
          <w:sz w:val="20"/>
          <w:szCs w:val="20"/>
        </w:rPr>
        <w:t>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w:t>
      </w:r>
      <w:r>
        <w:rPr>
          <w:color w:val="000000" w:themeColor="text1"/>
          <w:sz w:val="20"/>
          <w:szCs w:val="20"/>
        </w:rPr>
        <w:t>. […]</w:t>
      </w:r>
    </w:p>
    <w:p w:rsidR="009D7FBD" w:rsidP="009D7FBD" w:rsidRDefault="009D7FBD" w14:paraId="4E614F99" w14:textId="77777777">
      <w:pPr>
        <w:pStyle w:val="Textoindependiente"/>
        <w:ind w:right="102"/>
        <w:jc w:val="both"/>
        <w:rPr>
          <w:color w:val="000000" w:themeColor="text1"/>
          <w:sz w:val="20"/>
          <w:szCs w:val="20"/>
        </w:rPr>
      </w:pPr>
    </w:p>
    <w:p w:rsidR="009D7FBD" w:rsidP="009D7FBD" w:rsidRDefault="009D7FBD" w14:paraId="0637854A" w14:textId="4498C1EE">
      <w:pPr>
        <w:jc w:val="both"/>
        <w:rPr>
          <w:rFonts w:ascii="Arial" w:hAnsi="Arial" w:eastAsia="Arial" w:cs="Arial"/>
          <w:color w:val="000000" w:themeColor="text1"/>
          <w:sz w:val="20"/>
          <w:szCs w:val="20"/>
          <w:lang w:val="es-ES"/>
        </w:rPr>
      </w:pPr>
      <w:r w:rsidRPr="00B06F33">
        <w:rPr>
          <w:rFonts w:ascii="Arial" w:hAnsi="Arial" w:eastAsia="Arial" w:cs="Arial"/>
          <w:color w:val="000000" w:themeColor="text1"/>
          <w:sz w:val="20"/>
          <w:szCs w:val="20"/>
          <w:lang w:val="es-ES"/>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sidR="00085E6B">
        <w:rPr>
          <w:rFonts w:ascii="Arial" w:hAnsi="Arial" w:eastAsia="Arial" w:cs="Arial"/>
          <w:color w:val="000000" w:themeColor="text1"/>
          <w:sz w:val="20"/>
          <w:szCs w:val="20"/>
          <w:lang w:val="es-ES"/>
        </w:rPr>
        <w:t>0</w:t>
      </w:r>
      <w:r w:rsidRPr="00B06F33">
        <w:rPr>
          <w:rFonts w:ascii="Arial" w:hAnsi="Arial" w:eastAsia="Arial" w:cs="Arial"/>
          <w:color w:val="000000" w:themeColor="text1"/>
          <w:sz w:val="20"/>
          <w:szCs w:val="20"/>
          <w:lang w:val="es-ES"/>
        </w:rPr>
        <w:t>92 de 2017.</w:t>
      </w:r>
      <w:r>
        <w:rPr>
          <w:rFonts w:ascii="Arial" w:hAnsi="Arial" w:eastAsia="Arial" w:cs="Arial"/>
          <w:color w:val="000000" w:themeColor="text1"/>
          <w:sz w:val="20"/>
          <w:szCs w:val="20"/>
          <w:lang w:val="es-ES"/>
        </w:rPr>
        <w:t xml:space="preserve"> […] </w:t>
      </w:r>
    </w:p>
    <w:p w:rsidR="009D7FBD" w:rsidP="009D7FBD" w:rsidRDefault="009D7FBD" w14:paraId="1B012028" w14:textId="77777777">
      <w:pPr>
        <w:jc w:val="both"/>
        <w:rPr>
          <w:rFonts w:ascii="Arial" w:hAnsi="Arial" w:eastAsia="Arial" w:cs="Arial"/>
          <w:color w:val="000000" w:themeColor="text1"/>
          <w:sz w:val="20"/>
          <w:szCs w:val="20"/>
          <w:lang w:val="es-ES"/>
        </w:rPr>
      </w:pPr>
    </w:p>
    <w:p w:rsidR="009D7FBD" w:rsidP="009D7FBD" w:rsidRDefault="00975518" w14:paraId="22246D1D" w14:textId="3DE05D2E">
      <w:pPr>
        <w:jc w:val="both"/>
        <w:rPr>
          <w:rFonts w:ascii="Arial" w:hAnsi="Arial" w:eastAsia="Arial" w:cs="Arial"/>
          <w:color w:val="000000" w:themeColor="text1"/>
          <w:sz w:val="20"/>
          <w:szCs w:val="20"/>
          <w:lang w:val="es-ES"/>
        </w:rPr>
      </w:pPr>
      <w:r w:rsidRPr="00975518">
        <w:rPr>
          <w:rFonts w:ascii="Arial" w:hAnsi="Arial" w:eastAsia="Arial" w:cs="Arial"/>
          <w:color w:val="000000" w:themeColor="text1"/>
          <w:sz w:val="20"/>
          <w:szCs w:val="20"/>
          <w:lang w:val="es-ES"/>
        </w:rPr>
        <w:t>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íbídem, claro está, siempre que se configuren los supuestos de aplicación de dicha normativa, esto es, siempre que exista más de una entidad sin ánimo de lucro de reconocida idoneidad.</w:t>
      </w:r>
    </w:p>
    <w:p w:rsidR="00975518" w:rsidP="009D7FBD" w:rsidRDefault="00975518" w14:paraId="63638E5E" w14:textId="77777777">
      <w:pPr>
        <w:jc w:val="both"/>
        <w:rPr>
          <w:rFonts w:ascii="Arial" w:hAnsi="Arial" w:eastAsia="Arial" w:cs="Arial"/>
          <w:color w:val="000000" w:themeColor="text1"/>
          <w:sz w:val="20"/>
          <w:szCs w:val="20"/>
          <w:lang w:val="es-ES"/>
        </w:rPr>
      </w:pPr>
    </w:p>
    <w:p w:rsidR="009D7FBD" w:rsidP="009D7FBD" w:rsidRDefault="009D7FBD" w14:paraId="6A7AB15F" w14:textId="77777777">
      <w:pPr>
        <w:jc w:val="both"/>
        <w:rPr>
          <w:rFonts w:ascii="Arial" w:hAnsi="Arial" w:eastAsia="Arial" w:cs="Arial"/>
          <w:b/>
          <w:bCs/>
          <w:color w:val="000000" w:themeColor="text1"/>
          <w:sz w:val="22"/>
          <w:lang w:val="es-ES"/>
        </w:rPr>
      </w:pPr>
      <w:r w:rsidRPr="009A58C8">
        <w:rPr>
          <w:rFonts w:ascii="Arial" w:hAnsi="Arial" w:eastAsia="Arial" w:cs="Arial"/>
          <w:b/>
          <w:bCs/>
          <w:color w:val="000000" w:themeColor="text1"/>
          <w:sz w:val="22"/>
          <w:lang w:val="es-ES"/>
        </w:rPr>
        <w:t>DECRETO 092 DE 2017 –</w:t>
      </w:r>
      <w:r>
        <w:rPr>
          <w:rFonts w:ascii="Arial" w:hAnsi="Arial" w:eastAsia="Arial" w:cs="Arial"/>
          <w:b/>
          <w:bCs/>
          <w:color w:val="000000" w:themeColor="text1"/>
          <w:sz w:val="22"/>
          <w:lang w:val="es-ES"/>
        </w:rPr>
        <w:t xml:space="preserve"> Normativa vigente </w:t>
      </w:r>
    </w:p>
    <w:p w:rsidR="009D7FBD" w:rsidP="009D7FBD" w:rsidRDefault="009D7FBD" w14:paraId="7FF3806B" w14:textId="77777777">
      <w:pPr>
        <w:jc w:val="both"/>
        <w:rPr>
          <w:rFonts w:ascii="Arial" w:hAnsi="Arial" w:eastAsia="Arial" w:cs="Arial"/>
          <w:b/>
          <w:bCs/>
          <w:color w:val="000000" w:themeColor="text1"/>
          <w:sz w:val="22"/>
          <w:lang w:val="es-ES"/>
        </w:rPr>
      </w:pPr>
    </w:p>
    <w:p w:rsidRPr="009A58C8" w:rsidR="009D7FBD" w:rsidP="009D7FBD" w:rsidRDefault="00975518" w14:paraId="01257E45" w14:textId="3354A619">
      <w:pPr>
        <w:jc w:val="both"/>
        <w:rPr>
          <w:rFonts w:ascii="Arial" w:hAnsi="Arial" w:eastAsia="Arial" w:cs="Arial"/>
          <w:b/>
          <w:bCs/>
          <w:color w:val="000000" w:themeColor="text1"/>
          <w:sz w:val="22"/>
          <w:lang w:val="es-ES"/>
        </w:rPr>
      </w:pPr>
      <w:r w:rsidRPr="00975518">
        <w:rPr>
          <w:rFonts w:ascii="Arial" w:hAnsi="Arial" w:cs="Arial"/>
          <w:color w:val="000000" w:themeColor="text1"/>
          <w:sz w:val="20"/>
          <w:szCs w:val="20"/>
        </w:rPr>
        <w:t xml:space="preserve">En este orden de ideas, la contratación con entidades sin ánimo de lucro se sigue rigiendo por el Decreto </w:t>
      </w:r>
      <w:r w:rsidR="00085E6B">
        <w:rPr>
          <w:rFonts w:ascii="Arial" w:hAnsi="Arial" w:cs="Arial"/>
          <w:color w:val="000000" w:themeColor="text1"/>
          <w:sz w:val="20"/>
          <w:szCs w:val="20"/>
        </w:rPr>
        <w:t>0</w:t>
      </w:r>
      <w:r w:rsidRPr="00975518">
        <w:rPr>
          <w:rFonts w:ascii="Arial" w:hAnsi="Arial" w:cs="Arial"/>
          <w:color w:val="000000" w:themeColor="text1"/>
          <w:sz w:val="20"/>
          <w:szCs w:val="20"/>
        </w:rPr>
        <w:t xml:space="preserve">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w:t>
      </w:r>
      <w:r w:rsidRPr="00975518">
        <w:rPr>
          <w:rFonts w:ascii="Arial" w:hAnsi="Arial" w:cs="Arial"/>
          <w:color w:val="000000" w:themeColor="text1"/>
          <w:sz w:val="20"/>
          <w:szCs w:val="20"/>
        </w:rPr>
        <w:lastRenderedPageBreak/>
        <w:t>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009D7FBD" w:rsidP="009D7FBD" w:rsidRDefault="009D7FBD" w14:paraId="53524EB3" w14:textId="77777777">
      <w:pPr>
        <w:rPr>
          <w:rFonts w:ascii="Arial" w:hAnsi="Arial" w:cs="Arial"/>
          <w:b/>
          <w:color w:val="000000" w:themeColor="text1"/>
          <w:sz w:val="16"/>
          <w:szCs w:val="16"/>
          <w:lang w:eastAsia="es-ES"/>
        </w:rPr>
      </w:pPr>
    </w:p>
    <w:p w:rsidR="00CF2D16" w:rsidRDefault="00CF2D16" w14:paraId="3FAD954B" w14:textId="1A1E863A">
      <w:pPr>
        <w:spacing w:after="200" w:line="276" w:lineRule="auto"/>
        <w:rPr>
          <w:rFonts w:ascii="Arial" w:hAnsi="Arial" w:cs="Arial"/>
          <w:b/>
          <w:color w:val="000000" w:themeColor="text1"/>
          <w:sz w:val="16"/>
          <w:szCs w:val="16"/>
          <w:lang w:eastAsia="es-ES"/>
        </w:rPr>
      </w:pPr>
      <w:r>
        <w:rPr>
          <w:rFonts w:ascii="Arial" w:hAnsi="Arial" w:cs="Arial"/>
          <w:b/>
          <w:color w:val="000000" w:themeColor="text1"/>
          <w:sz w:val="16"/>
          <w:szCs w:val="16"/>
          <w:lang w:eastAsia="es-ES"/>
        </w:rPr>
        <w:br w:type="page"/>
      </w:r>
    </w:p>
    <w:p w:rsidR="009D7FBD" w:rsidP="00C62A49" w:rsidRDefault="009D7FBD" w14:paraId="20101A7E" w14:textId="77777777">
      <w:pPr>
        <w:jc w:val="right"/>
        <w:rPr>
          <w:rFonts w:ascii="Arial" w:hAnsi="Arial" w:cs="Arial"/>
          <w:b/>
          <w:color w:val="000000" w:themeColor="text1"/>
          <w:sz w:val="16"/>
          <w:szCs w:val="16"/>
          <w:lang w:eastAsia="es-ES"/>
        </w:rPr>
      </w:pPr>
    </w:p>
    <w:p w:rsidRPr="00162EE6" w:rsidR="0034177C" w:rsidP="00C62A49" w:rsidRDefault="009F59C2" w14:paraId="182E957B" w14:textId="17A21287">
      <w:pPr>
        <w:jc w:val="right"/>
        <w:rPr>
          <w:rFonts w:ascii="Arial" w:hAnsi="Arial" w:cs="Arial"/>
          <w:b/>
          <w:color w:val="000000" w:themeColor="text1"/>
          <w:sz w:val="16"/>
          <w:szCs w:val="16"/>
          <w:lang w:eastAsia="es-ES"/>
        </w:rPr>
      </w:pPr>
      <w:r w:rsidRPr="00162EE6">
        <w:rPr>
          <w:rFonts w:ascii="Arial" w:hAnsi="Arial" w:cs="Arial"/>
          <w:b/>
          <w:color w:val="000000" w:themeColor="text1"/>
          <w:sz w:val="16"/>
          <w:szCs w:val="16"/>
          <w:lang w:eastAsia="es-ES"/>
        </w:rPr>
        <w:tab/>
      </w:r>
      <w:r w:rsidRPr="00162EE6" w:rsidR="0034177C">
        <w:rPr>
          <w:rFonts w:ascii="Arial" w:hAnsi="Arial" w:cs="Arial"/>
          <w:b/>
          <w:color w:val="000000" w:themeColor="text1"/>
          <w:sz w:val="16"/>
          <w:szCs w:val="16"/>
          <w:lang w:eastAsia="es-ES"/>
        </w:rPr>
        <w:t>CCE-DES-FM-17</w:t>
      </w:r>
    </w:p>
    <w:p w:rsidRPr="00D37026" w:rsidR="0034177C" w:rsidP="00C62A49" w:rsidRDefault="0034177C" w14:paraId="33FF83A2" w14:textId="648AD7D1">
      <w:pPr>
        <w:jc w:val="both"/>
        <w:rPr>
          <w:rFonts w:ascii="Arial" w:hAnsi="Arial" w:eastAsia="Calibri" w:cs="Arial"/>
          <w:b/>
          <w:color w:val="000000" w:themeColor="text1"/>
          <w:sz w:val="16"/>
          <w:szCs w:val="16"/>
        </w:rPr>
      </w:pPr>
    </w:p>
    <w:p w:rsidR="009D7FBD" w:rsidP="006626D4" w:rsidRDefault="009D7FBD" w14:paraId="7DF053E9" w14:textId="77777777">
      <w:pPr>
        <w:pStyle w:val="Default"/>
        <w:rPr>
          <w:color w:val="000000" w:themeColor="text1"/>
          <w:sz w:val="22"/>
          <w:szCs w:val="22"/>
        </w:rPr>
      </w:pPr>
    </w:p>
    <w:p w:rsidRPr="00162EE6" w:rsidR="006626D4" w:rsidP="006626D4" w:rsidRDefault="006626D4" w14:paraId="096F4D45" w14:textId="66576602">
      <w:pPr>
        <w:pStyle w:val="Default"/>
        <w:rPr>
          <w:color w:val="000000" w:themeColor="text1"/>
          <w:sz w:val="22"/>
          <w:szCs w:val="22"/>
        </w:rPr>
      </w:pPr>
      <w:r w:rsidRPr="0DDCC654" w:rsidR="006626D4">
        <w:rPr>
          <w:color w:val="000000" w:themeColor="text1" w:themeTint="FF" w:themeShade="FF"/>
          <w:sz w:val="22"/>
          <w:szCs w:val="22"/>
        </w:rPr>
        <w:t>Bogotá D.C., 22 de febrero de 2022</w:t>
      </w:r>
    </w:p>
    <w:p w:rsidR="008F5656" w:rsidP="0DDCC654" w:rsidRDefault="008F5656" w14:paraId="0DA2CEBD" w14:textId="5A896009">
      <w:pPr>
        <w:pStyle w:val="Normal"/>
        <w:jc w:val="right"/>
        <w:rPr>
          <w:sz w:val="24"/>
          <w:szCs w:val="24"/>
        </w:rPr>
      </w:pPr>
      <w:r w:rsidR="0DDCC654">
        <w:drawing>
          <wp:inline wp14:editId="22CE48C7" wp14:anchorId="35B923DE">
            <wp:extent cx="3286125" cy="1362075"/>
            <wp:effectExtent l="0" t="0" r="0" b="0"/>
            <wp:docPr id="1005629892" name="" title=""/>
            <wp:cNvGraphicFramePr>
              <a:graphicFrameLocks noChangeAspect="1"/>
            </wp:cNvGraphicFramePr>
            <a:graphic>
              <a:graphicData uri="http://schemas.openxmlformats.org/drawingml/2006/picture">
                <pic:pic>
                  <pic:nvPicPr>
                    <pic:cNvPr id="0" name=""/>
                    <pic:cNvPicPr/>
                  </pic:nvPicPr>
                  <pic:blipFill>
                    <a:blip r:embed="Rbdd8d381db4d4c3c">
                      <a:extLst>
                        <a:ext xmlns:a="http://schemas.openxmlformats.org/drawingml/2006/main" uri="{28A0092B-C50C-407E-A947-70E740481C1C}">
                          <a14:useLocalDpi val="0"/>
                        </a:ext>
                      </a:extLst>
                    </a:blip>
                    <a:stretch>
                      <a:fillRect/>
                    </a:stretch>
                  </pic:blipFill>
                  <pic:spPr>
                    <a:xfrm>
                      <a:off x="0" y="0"/>
                      <a:ext cx="3286125" cy="1362075"/>
                    </a:xfrm>
                    <a:prstGeom prst="rect">
                      <a:avLst/>
                    </a:prstGeom>
                  </pic:spPr>
                </pic:pic>
              </a:graphicData>
            </a:graphic>
          </wp:inline>
        </w:drawing>
      </w:r>
    </w:p>
    <w:p w:rsidRPr="00162EE6" w:rsidR="00C133B6" w:rsidP="00C133B6" w:rsidRDefault="00C133B6" w14:paraId="464D1D6C" w14:textId="77777777">
      <w:pPr>
        <w:rPr>
          <w:rFonts w:ascii="Arial" w:hAnsi="Arial" w:eastAsia="Calibri" w:cs="Arial"/>
          <w:color w:val="000000" w:themeColor="text1"/>
          <w:sz w:val="22"/>
        </w:rPr>
      </w:pPr>
      <w:r>
        <w:rPr>
          <w:rFonts w:ascii="Arial" w:hAnsi="Arial" w:eastAsia="Calibri" w:cs="Arial"/>
          <w:color w:val="000000" w:themeColor="text1"/>
          <w:sz w:val="22"/>
        </w:rPr>
        <w:t>Doctor</w:t>
      </w:r>
    </w:p>
    <w:p w:rsidRPr="008F5656" w:rsidR="00C133B6" w:rsidP="00C133B6" w:rsidRDefault="00C133B6" w14:paraId="176E8736" w14:textId="77777777">
      <w:pPr>
        <w:rPr>
          <w:rFonts w:ascii="Arial" w:hAnsi="Arial" w:eastAsia="Calibri" w:cs="Arial"/>
          <w:b/>
          <w:color w:val="000000" w:themeColor="text1"/>
          <w:sz w:val="22"/>
        </w:rPr>
      </w:pPr>
      <w:r w:rsidRPr="008F5656">
        <w:rPr>
          <w:rFonts w:ascii="Arial" w:hAnsi="Arial" w:eastAsia="Calibri" w:cs="Arial"/>
          <w:b/>
          <w:color w:val="000000" w:themeColor="text1"/>
          <w:sz w:val="22"/>
        </w:rPr>
        <w:t>Wyllan Orlando Peñaloza Albarracín</w:t>
      </w:r>
    </w:p>
    <w:p w:rsidR="00C133B6" w:rsidP="00C133B6" w:rsidRDefault="00C133B6" w14:paraId="0645E755" w14:textId="77777777">
      <w:pPr>
        <w:rPr>
          <w:rFonts w:ascii="Arial" w:hAnsi="Arial" w:eastAsia="Calibri" w:cs="Arial"/>
          <w:bCs/>
          <w:color w:val="000000" w:themeColor="text1"/>
          <w:sz w:val="22"/>
        </w:rPr>
      </w:pPr>
      <w:r>
        <w:rPr>
          <w:rFonts w:ascii="Arial" w:hAnsi="Arial" w:eastAsia="Calibri" w:cs="Arial"/>
          <w:bCs/>
          <w:color w:val="000000" w:themeColor="text1"/>
          <w:sz w:val="22"/>
        </w:rPr>
        <w:t>Busbanzá, Boyacá</w:t>
      </w:r>
    </w:p>
    <w:p w:rsidR="00C133B6" w:rsidP="00C133B6" w:rsidRDefault="00C133B6" w14:paraId="42C84AA5" w14:textId="77777777">
      <w:pPr>
        <w:rPr>
          <w:rFonts w:ascii="Arial" w:hAnsi="Arial" w:eastAsia="Calibri" w:cs="Arial"/>
          <w:bCs/>
          <w:color w:val="000000" w:themeColor="text1"/>
          <w:sz w:val="22"/>
        </w:rPr>
      </w:pPr>
    </w:p>
    <w:p w:rsidRPr="008F5656" w:rsidR="00C133B6" w:rsidP="00C133B6" w:rsidRDefault="00C133B6" w14:paraId="18E48093" w14:textId="77777777">
      <w:pPr>
        <w:rPr>
          <w:rFonts w:ascii="Arial" w:hAnsi="Arial" w:eastAsia="Calibri" w:cs="Arial"/>
          <w:bCs/>
          <w:color w:val="000000" w:themeColor="text1"/>
          <w:sz w:val="22"/>
        </w:rPr>
      </w:pPr>
    </w:p>
    <w:p w:rsidRPr="00162EE6" w:rsidR="00C133B6" w:rsidP="00C133B6" w:rsidRDefault="00C133B6" w14:paraId="112538B5" w14:textId="77777777">
      <w:pPr>
        <w:ind w:firstLine="2694"/>
        <w:rPr>
          <w:rFonts w:ascii="Arial" w:hAnsi="Arial" w:eastAsia="Calibri" w:cs="Arial"/>
          <w:b/>
          <w:color w:val="000000" w:themeColor="text1"/>
          <w:sz w:val="22"/>
        </w:rPr>
      </w:pPr>
      <w:r w:rsidRPr="00162EE6">
        <w:rPr>
          <w:rFonts w:ascii="Arial" w:hAnsi="Arial" w:eastAsia="Calibri" w:cs="Arial"/>
          <w:b/>
          <w:color w:val="000000" w:themeColor="text1"/>
          <w:sz w:val="22"/>
        </w:rPr>
        <w:t xml:space="preserve">Concepto C </w:t>
      </w:r>
      <w:r>
        <w:rPr>
          <w:rFonts w:ascii="Arial" w:hAnsi="Arial" w:eastAsia="Calibri" w:cs="Arial"/>
          <w:b/>
          <w:color w:val="000000" w:themeColor="text1"/>
          <w:sz w:val="22"/>
        </w:rPr>
        <w:t>–</w:t>
      </w:r>
      <w:r w:rsidRPr="00162EE6">
        <w:rPr>
          <w:rFonts w:ascii="Arial" w:hAnsi="Arial" w:eastAsia="Calibri" w:cs="Arial"/>
          <w:b/>
          <w:color w:val="000000" w:themeColor="text1"/>
          <w:sz w:val="22"/>
        </w:rPr>
        <w:t xml:space="preserve"> 0</w:t>
      </w:r>
      <w:r>
        <w:rPr>
          <w:rFonts w:ascii="Arial" w:hAnsi="Arial" w:eastAsia="Calibri" w:cs="Arial"/>
          <w:b/>
          <w:color w:val="000000" w:themeColor="text1"/>
          <w:sz w:val="22"/>
        </w:rPr>
        <w:t>21</w:t>
      </w:r>
      <w:r w:rsidRPr="00162EE6">
        <w:rPr>
          <w:rFonts w:ascii="Arial" w:hAnsi="Arial" w:eastAsia="Calibri" w:cs="Arial"/>
          <w:b/>
          <w:color w:val="000000" w:themeColor="text1"/>
          <w:sz w:val="22"/>
        </w:rPr>
        <w:t xml:space="preserve"> de 202</w:t>
      </w:r>
      <w:r>
        <w:rPr>
          <w:rFonts w:ascii="Arial" w:hAnsi="Arial" w:eastAsia="Calibri" w:cs="Arial"/>
          <w:b/>
          <w:color w:val="000000" w:themeColor="text1"/>
          <w:sz w:val="22"/>
        </w:rPr>
        <w:t>2</w:t>
      </w:r>
    </w:p>
    <w:p w:rsidRPr="00162EE6" w:rsidR="00C133B6" w:rsidP="00C133B6" w:rsidRDefault="00C133B6" w14:paraId="5BFD3F29" w14:textId="77777777">
      <w:pPr>
        <w:rPr>
          <w:rFonts w:ascii="Arial" w:hAnsi="Arial" w:eastAsia="Calibri" w:cs="Arial"/>
          <w:color w:val="000000" w:themeColor="text1"/>
          <w:sz w:val="22"/>
        </w:rPr>
      </w:pPr>
    </w:p>
    <w:tbl>
      <w:tblPr>
        <w:tblStyle w:val="Tablaconcuadrcula"/>
        <w:tblW w:w="8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51"/>
        <w:gridCol w:w="6149"/>
      </w:tblGrid>
      <w:tr w:rsidRPr="00162EE6" w:rsidR="00C133B6" w:rsidTr="00A53405" w14:paraId="06691F2C" w14:textId="77777777">
        <w:trPr>
          <w:trHeight w:val="1688"/>
        </w:trPr>
        <w:tc>
          <w:tcPr>
            <w:tcW w:w="2651" w:type="dxa"/>
            <w:hideMark/>
          </w:tcPr>
          <w:p w:rsidRPr="00162EE6" w:rsidR="00C133B6" w:rsidP="00A53405" w:rsidRDefault="00C133B6" w14:paraId="1D6CE5B5" w14:textId="77777777">
            <w:pPr>
              <w:rPr>
                <w:rFonts w:ascii="Arial" w:hAnsi="Arial" w:eastAsia="Calibri" w:cs="Arial"/>
                <w:color w:val="000000" w:themeColor="text1"/>
                <w:sz w:val="22"/>
              </w:rPr>
            </w:pPr>
            <w:r w:rsidRPr="00162EE6">
              <w:rPr>
                <w:rFonts w:ascii="Arial" w:hAnsi="Arial" w:eastAsia="Calibri" w:cs="Arial"/>
                <w:b/>
                <w:color w:val="000000" w:themeColor="text1"/>
                <w:sz w:val="22"/>
              </w:rPr>
              <w:t>Temas:</w:t>
            </w:r>
            <w:r w:rsidRPr="00162EE6">
              <w:rPr>
                <w:rFonts w:ascii="Arial" w:hAnsi="Arial" w:eastAsia="Calibri" w:cs="Arial"/>
                <w:color w:val="000000" w:themeColor="text1"/>
                <w:sz w:val="22"/>
              </w:rPr>
              <w:t xml:space="preserve">           </w:t>
            </w:r>
          </w:p>
          <w:p w:rsidRPr="00162EE6" w:rsidR="00C133B6" w:rsidP="00A53405" w:rsidRDefault="00C133B6" w14:paraId="75B5141D" w14:textId="77777777">
            <w:pPr>
              <w:rPr>
                <w:rFonts w:ascii="Arial" w:hAnsi="Arial" w:eastAsia="Calibri" w:cs="Arial"/>
                <w:color w:val="000000" w:themeColor="text1"/>
                <w:sz w:val="22"/>
              </w:rPr>
            </w:pPr>
            <w:r w:rsidRPr="00162EE6">
              <w:rPr>
                <w:rFonts w:ascii="Arial" w:hAnsi="Arial" w:eastAsia="Calibri" w:cs="Arial"/>
                <w:color w:val="000000" w:themeColor="text1"/>
                <w:sz w:val="22"/>
              </w:rPr>
              <w:t xml:space="preserve">                           </w:t>
            </w:r>
          </w:p>
        </w:tc>
        <w:tc>
          <w:tcPr>
            <w:tcW w:w="6149" w:type="dxa"/>
            <w:hideMark/>
          </w:tcPr>
          <w:p w:rsidRPr="0035109D" w:rsidR="00C133B6" w:rsidP="00A53405" w:rsidRDefault="00C133B6" w14:paraId="3ED181B0" w14:textId="77777777">
            <w:pPr>
              <w:pStyle w:val="Textoindependiente"/>
              <w:spacing w:after="120"/>
              <w:ind w:right="102"/>
              <w:jc w:val="both"/>
              <w:rPr>
                <w:bCs/>
                <w:color w:val="000000" w:themeColor="text1"/>
              </w:rPr>
            </w:pPr>
            <w:r w:rsidRPr="0035109D">
              <w:rPr>
                <w:bCs/>
                <w:color w:val="000000" w:themeColor="text1"/>
              </w:rPr>
              <w:t xml:space="preserve">DECRETO 092 DE 2017 – Finalidad – Clases de contratos / </w:t>
            </w:r>
            <w:r w:rsidRPr="0035109D">
              <w:rPr>
                <w:rFonts w:eastAsia="Calibri"/>
                <w:bCs/>
                <w:color w:val="000000" w:themeColor="text1"/>
              </w:rPr>
              <w:t>CONTRATACIÓN CON ESAL – Contrato de colaboración – Objeto – Alcance / CONTRATACIÓN CON ESAL – Contrato de asociación – Objeto – Alcance / CONVENIOS DE ASOCIACIÓN – Multiplicidad de sujetos – Límites legales</w:t>
            </w:r>
            <w:r w:rsidRPr="0035109D">
              <w:rPr>
                <w:rFonts w:eastAsiaTheme="minorHAnsi"/>
                <w:bCs/>
                <w:color w:val="000000" w:themeColor="text1"/>
                <w:sz w:val="20"/>
                <w:szCs w:val="20"/>
                <w:lang w:val="es-MX"/>
              </w:rPr>
              <w:t xml:space="preserve"> / </w:t>
            </w:r>
            <w:r>
              <w:rPr>
                <w:rFonts w:eastAsia="Calibri"/>
                <w:bCs/>
                <w:color w:val="000000" w:themeColor="text1"/>
              </w:rPr>
              <w:t>DECRETO 092</w:t>
            </w:r>
            <w:r w:rsidRPr="0035109D">
              <w:rPr>
                <w:rFonts w:eastAsia="Calibri"/>
                <w:bCs/>
                <w:color w:val="000000" w:themeColor="text1"/>
              </w:rPr>
              <w:t xml:space="preserve"> DE 2017 – Criterios – Aplicación </w:t>
            </w:r>
            <w:r w:rsidRPr="0035109D">
              <w:rPr>
                <w:rFonts w:eastAsiaTheme="minorHAnsi"/>
                <w:bCs/>
                <w:color w:val="000000" w:themeColor="text1"/>
                <w:sz w:val="20"/>
                <w:szCs w:val="20"/>
                <w:lang w:val="es-MX"/>
              </w:rPr>
              <w:t xml:space="preserve">/ </w:t>
            </w:r>
            <w:r w:rsidRPr="0035109D">
              <w:rPr>
                <w:bCs/>
                <w:color w:val="000000" w:themeColor="text1"/>
              </w:rPr>
              <w:t xml:space="preserve">DECRETO 092 DE 2017 – Suspensión Provisional – Artículos suspendidos / DECRETO 092 DE 2017 – Normativa vigente </w:t>
            </w:r>
          </w:p>
        </w:tc>
      </w:tr>
      <w:tr w:rsidRPr="00162EE6" w:rsidR="00C133B6" w:rsidTr="00A53405" w14:paraId="1B6E3C33" w14:textId="77777777">
        <w:trPr>
          <w:trHeight w:val="256"/>
        </w:trPr>
        <w:tc>
          <w:tcPr>
            <w:tcW w:w="2651" w:type="dxa"/>
          </w:tcPr>
          <w:p w:rsidRPr="00162EE6" w:rsidR="00C133B6" w:rsidP="00A53405" w:rsidRDefault="00C133B6" w14:paraId="09DD937C" w14:textId="77777777">
            <w:pPr>
              <w:rPr>
                <w:rFonts w:ascii="Arial" w:hAnsi="Arial" w:eastAsia="Calibri" w:cs="Arial"/>
                <w:b/>
                <w:color w:val="000000" w:themeColor="text1"/>
                <w:sz w:val="22"/>
              </w:rPr>
            </w:pPr>
            <w:r w:rsidRPr="00162EE6">
              <w:rPr>
                <w:rFonts w:ascii="Arial" w:hAnsi="Arial" w:eastAsia="Calibri" w:cs="Arial"/>
                <w:b/>
                <w:color w:val="000000" w:themeColor="text1"/>
                <w:sz w:val="22"/>
              </w:rPr>
              <w:t>Radicación:</w:t>
            </w:r>
            <w:r w:rsidRPr="00162EE6">
              <w:rPr>
                <w:rFonts w:ascii="Arial" w:hAnsi="Arial" w:eastAsia="Calibri" w:cs="Arial"/>
                <w:color w:val="000000" w:themeColor="text1"/>
                <w:sz w:val="22"/>
              </w:rPr>
              <w:t xml:space="preserve">                              </w:t>
            </w:r>
          </w:p>
        </w:tc>
        <w:tc>
          <w:tcPr>
            <w:tcW w:w="6149" w:type="dxa"/>
          </w:tcPr>
          <w:p w:rsidRPr="00162EE6" w:rsidR="00C133B6" w:rsidP="00A53405" w:rsidRDefault="00C133B6" w14:paraId="146FADE1" w14:textId="77777777">
            <w:pPr>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Respuesta a consulta </w:t>
            </w:r>
            <w:r w:rsidRPr="008F5656">
              <w:rPr>
                <w:rFonts w:ascii="Arial" w:hAnsi="Arial" w:eastAsia="Calibri" w:cs="Arial"/>
                <w:color w:val="000000" w:themeColor="text1"/>
                <w:sz w:val="22"/>
              </w:rPr>
              <w:t>P20220111000170</w:t>
            </w:r>
          </w:p>
        </w:tc>
      </w:tr>
    </w:tbl>
    <w:p w:rsidRPr="00162EE6" w:rsidR="00C133B6" w:rsidP="00C133B6" w:rsidRDefault="00C133B6" w14:paraId="6F08317D" w14:textId="77777777">
      <w:pPr>
        <w:rPr>
          <w:rFonts w:ascii="Arial" w:hAnsi="Arial" w:eastAsia="Calibri" w:cs="Arial"/>
          <w:color w:val="000000" w:themeColor="text1"/>
          <w:sz w:val="22"/>
        </w:rPr>
      </w:pPr>
    </w:p>
    <w:p w:rsidRPr="00162EE6" w:rsidR="00C133B6" w:rsidP="00C133B6" w:rsidRDefault="00C133B6" w14:paraId="285F74C2" w14:textId="77777777">
      <w:pPr>
        <w:rPr>
          <w:rFonts w:ascii="Arial" w:hAnsi="Arial" w:eastAsia="Calibri" w:cs="Arial"/>
          <w:color w:val="000000" w:themeColor="text1"/>
          <w:sz w:val="22"/>
        </w:rPr>
      </w:pPr>
    </w:p>
    <w:p w:rsidRPr="00162EE6" w:rsidR="00C133B6" w:rsidP="00C133B6" w:rsidRDefault="00C133B6" w14:paraId="710F0320" w14:textId="77777777">
      <w:pPr>
        <w:rPr>
          <w:rFonts w:ascii="Arial" w:hAnsi="Arial" w:eastAsia="Calibri" w:cs="Arial"/>
          <w:color w:val="000000" w:themeColor="text1"/>
          <w:sz w:val="22"/>
        </w:rPr>
      </w:pPr>
      <w:r w:rsidRPr="00162EE6">
        <w:rPr>
          <w:rFonts w:ascii="Arial" w:hAnsi="Arial" w:eastAsia="Calibri" w:cs="Arial"/>
          <w:color w:val="000000" w:themeColor="text1"/>
          <w:sz w:val="22"/>
        </w:rPr>
        <w:t xml:space="preserve">Estimado señor </w:t>
      </w:r>
      <w:r>
        <w:rPr>
          <w:rFonts w:ascii="Arial" w:hAnsi="Arial" w:eastAsia="Calibri" w:cs="Arial"/>
          <w:color w:val="000000" w:themeColor="text1"/>
          <w:sz w:val="22"/>
        </w:rPr>
        <w:t>Peñaloza,</w:t>
      </w:r>
    </w:p>
    <w:p w:rsidRPr="00162EE6" w:rsidR="00C133B6" w:rsidP="00C133B6" w:rsidRDefault="00C133B6" w14:paraId="67F7DBDB" w14:textId="77777777">
      <w:pPr>
        <w:rPr>
          <w:rFonts w:ascii="Arial" w:hAnsi="Arial" w:eastAsia="Calibri" w:cs="Arial"/>
          <w:color w:val="000000" w:themeColor="text1"/>
          <w:sz w:val="22"/>
        </w:rPr>
      </w:pPr>
    </w:p>
    <w:p w:rsidRPr="00162EE6" w:rsidR="00C133B6" w:rsidP="00C133B6" w:rsidRDefault="00C133B6" w14:paraId="2ABA5CDE" w14:textId="77777777">
      <w:pPr>
        <w:spacing w:line="276" w:lineRule="auto"/>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Pr>
          <w:rFonts w:ascii="Arial" w:hAnsi="Arial" w:eastAsia="Calibri" w:cs="Arial"/>
          <w:color w:val="000000" w:themeColor="text1"/>
          <w:sz w:val="22"/>
        </w:rPr>
        <w:t>11</w:t>
      </w:r>
      <w:r w:rsidRPr="00162EE6">
        <w:rPr>
          <w:rFonts w:ascii="Arial" w:hAnsi="Arial" w:eastAsia="Calibri" w:cs="Arial"/>
          <w:color w:val="000000" w:themeColor="text1"/>
          <w:sz w:val="22"/>
        </w:rPr>
        <w:t xml:space="preserve"> de </w:t>
      </w:r>
      <w:r>
        <w:rPr>
          <w:rFonts w:ascii="Arial" w:hAnsi="Arial" w:eastAsia="Calibri" w:cs="Arial"/>
          <w:color w:val="000000" w:themeColor="text1"/>
          <w:sz w:val="22"/>
        </w:rPr>
        <w:t xml:space="preserve">enero </w:t>
      </w:r>
      <w:r w:rsidRPr="00162EE6">
        <w:rPr>
          <w:rFonts w:ascii="Arial" w:hAnsi="Arial" w:eastAsia="Calibri" w:cs="Arial"/>
          <w:color w:val="000000" w:themeColor="text1"/>
          <w:sz w:val="22"/>
        </w:rPr>
        <w:t>de 202</w:t>
      </w:r>
      <w:r>
        <w:rPr>
          <w:rFonts w:ascii="Arial" w:hAnsi="Arial" w:eastAsia="Calibri" w:cs="Arial"/>
          <w:color w:val="000000" w:themeColor="text1"/>
          <w:sz w:val="22"/>
        </w:rPr>
        <w:t>2</w:t>
      </w:r>
      <w:r w:rsidRPr="00162EE6">
        <w:rPr>
          <w:rFonts w:ascii="Arial" w:hAnsi="Arial" w:eastAsia="Calibri" w:cs="Arial"/>
          <w:color w:val="000000" w:themeColor="text1"/>
          <w:sz w:val="22"/>
        </w:rPr>
        <w:t xml:space="preserve">. </w:t>
      </w:r>
    </w:p>
    <w:p w:rsidRPr="00162EE6" w:rsidR="00C133B6" w:rsidP="00C133B6" w:rsidRDefault="00C133B6" w14:paraId="4A89713C" w14:textId="77777777">
      <w:pPr>
        <w:spacing w:line="276" w:lineRule="auto"/>
        <w:jc w:val="both"/>
        <w:rPr>
          <w:rFonts w:ascii="Arial" w:hAnsi="Arial" w:eastAsia="Calibri" w:cs="Arial"/>
          <w:color w:val="000000" w:themeColor="text1"/>
          <w:sz w:val="22"/>
        </w:rPr>
      </w:pPr>
    </w:p>
    <w:p w:rsidRPr="00162EE6" w:rsidR="00C133B6" w:rsidP="00C133B6" w:rsidRDefault="00C133B6" w14:paraId="15C9FAAB"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162EE6">
        <w:rPr>
          <w:rFonts w:ascii="Arial" w:hAnsi="Arial" w:eastAsia="Calibri" w:cs="Arial"/>
          <w:b/>
          <w:color w:val="000000" w:themeColor="text1"/>
          <w:sz w:val="22"/>
        </w:rPr>
        <w:t xml:space="preserve">Problemas planteados </w:t>
      </w:r>
    </w:p>
    <w:p w:rsidRPr="00162EE6" w:rsidR="00C133B6" w:rsidP="00C133B6" w:rsidRDefault="00C133B6" w14:paraId="00A22CDE" w14:textId="77777777">
      <w:pPr>
        <w:tabs>
          <w:tab w:val="left" w:pos="426"/>
        </w:tabs>
        <w:spacing w:line="276" w:lineRule="auto"/>
        <w:jc w:val="both"/>
        <w:rPr>
          <w:rFonts w:ascii="Arial" w:hAnsi="Arial" w:eastAsia="Calibri" w:cs="Arial"/>
          <w:b/>
          <w:color w:val="000000" w:themeColor="text1"/>
          <w:sz w:val="22"/>
        </w:rPr>
      </w:pPr>
    </w:p>
    <w:p w:rsidRPr="00371735" w:rsidR="00C133B6" w:rsidP="00C133B6" w:rsidRDefault="00C133B6" w14:paraId="68A003B5" w14:textId="77777777">
      <w:pPr>
        <w:tabs>
          <w:tab w:val="left" w:pos="426"/>
        </w:tabs>
        <w:spacing w:line="276" w:lineRule="auto"/>
        <w:jc w:val="both"/>
        <w:rPr>
          <w:rFonts w:ascii="Arial" w:hAnsi="Arial" w:eastAsia="Calibri" w:cs="Arial"/>
          <w:color w:val="000000" w:themeColor="text1"/>
          <w:sz w:val="22"/>
        </w:rPr>
      </w:pPr>
      <w:r w:rsidRPr="002E285D">
        <w:rPr>
          <w:rFonts w:ascii="Arial" w:hAnsi="Arial" w:eastAsia="Calibri" w:cs="Arial"/>
          <w:color w:val="000000" w:themeColor="text1"/>
          <w:sz w:val="22"/>
        </w:rPr>
        <w:t xml:space="preserve">Usted realiza las siguientes preguntas: </w:t>
      </w:r>
      <w:bookmarkStart w:name="_Hlk96419248" w:id="2"/>
      <w:r w:rsidRPr="002E285D">
        <w:rPr>
          <w:rFonts w:ascii="Arial" w:hAnsi="Arial" w:eastAsia="Calibri" w:cs="Arial"/>
          <w:color w:val="000000" w:themeColor="text1"/>
          <w:sz w:val="22"/>
        </w:rPr>
        <w:t xml:space="preserve">i) </w:t>
      </w:r>
      <w:r w:rsidRPr="00371735">
        <w:rPr>
          <w:rFonts w:ascii="Arial" w:hAnsi="Arial" w:eastAsia="Calibri" w:cs="Arial"/>
          <w:color w:val="000000" w:themeColor="text1"/>
          <w:sz w:val="22"/>
        </w:rPr>
        <w:t>«En primer lugar, se puede contratar a través del decreto 092 de 2017, proyectos señalados en el plan de desarrollo» y ii) «Qué tipo de actividades se pueden contratar hoy a través de esta modalidad es decir con ESAL amparados en el Decreto 092 de 2017»</w:t>
      </w:r>
      <w:bookmarkEnd w:id="2"/>
      <w:r w:rsidRPr="00371735">
        <w:rPr>
          <w:rFonts w:ascii="Arial" w:hAnsi="Arial" w:eastAsia="Calibri" w:cs="Arial"/>
          <w:color w:val="000000" w:themeColor="text1"/>
          <w:sz w:val="22"/>
        </w:rPr>
        <w:t>.</w:t>
      </w:r>
    </w:p>
    <w:p w:rsidRPr="00162EE6" w:rsidR="00C133B6" w:rsidP="00C133B6" w:rsidRDefault="00C133B6" w14:paraId="5DBB2666" w14:textId="77777777">
      <w:pPr>
        <w:tabs>
          <w:tab w:val="left" w:pos="426"/>
        </w:tabs>
        <w:spacing w:line="276" w:lineRule="auto"/>
        <w:jc w:val="both"/>
        <w:rPr>
          <w:rFonts w:ascii="Arial" w:hAnsi="Arial" w:eastAsia="Calibri" w:cs="Arial"/>
          <w:color w:val="000000" w:themeColor="text1"/>
          <w:sz w:val="22"/>
        </w:rPr>
      </w:pPr>
    </w:p>
    <w:p w:rsidR="00C133B6" w:rsidP="00C133B6" w:rsidRDefault="00C133B6" w14:paraId="6FBCEEB8"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162EE6">
        <w:rPr>
          <w:rFonts w:ascii="Arial" w:hAnsi="Arial" w:eastAsia="Calibri" w:cs="Arial"/>
          <w:b/>
          <w:color w:val="000000" w:themeColor="text1"/>
          <w:sz w:val="22"/>
        </w:rPr>
        <w:t>Consideraciones</w:t>
      </w:r>
    </w:p>
    <w:p w:rsidRPr="00371735" w:rsidR="00C133B6" w:rsidP="00C133B6" w:rsidRDefault="00C133B6" w14:paraId="3E1EF69D" w14:textId="77777777">
      <w:pPr>
        <w:tabs>
          <w:tab w:val="left" w:pos="426"/>
        </w:tabs>
        <w:spacing w:line="276" w:lineRule="auto"/>
        <w:jc w:val="both"/>
        <w:rPr>
          <w:rFonts w:ascii="Arial" w:hAnsi="Arial" w:eastAsia="Calibri" w:cs="Arial"/>
          <w:b/>
          <w:color w:val="000000" w:themeColor="text1"/>
          <w:sz w:val="22"/>
        </w:rPr>
      </w:pPr>
    </w:p>
    <w:p w:rsidR="00C133B6" w:rsidP="00C133B6" w:rsidRDefault="00C133B6" w14:paraId="44E7C2EC" w14:textId="5174D05E">
      <w:pPr>
        <w:spacing w:after="120" w:line="276" w:lineRule="auto"/>
        <w:jc w:val="both"/>
        <w:rPr>
          <w:rFonts w:ascii="Arial" w:hAnsi="Arial" w:cs="Arial"/>
          <w:sz w:val="22"/>
        </w:rPr>
      </w:pPr>
      <w:r w:rsidRPr="00882568">
        <w:rPr>
          <w:rFonts w:ascii="Arial" w:hAnsi="Arial" w:cs="Arial"/>
          <w:sz w:val="22"/>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w:t>
      </w:r>
      <w:r w:rsidR="00085E6B">
        <w:rPr>
          <w:rFonts w:ascii="Arial" w:hAnsi="Arial" w:cs="Arial"/>
          <w:sz w:val="22"/>
        </w:rPr>
        <w:t>0</w:t>
      </w:r>
      <w:r w:rsidRPr="00882568">
        <w:rPr>
          <w:rFonts w:ascii="Arial" w:hAnsi="Arial" w:cs="Arial"/>
          <w:sz w:val="22"/>
        </w:rPr>
        <w:t xml:space="preserve">92 de 2017, en particular en los Conceptos 4201912000008310 del 26 de diciembre de 2019, 4201912000007899 del 27 de diciembre de 2019, </w:t>
      </w:r>
      <w:r w:rsidRPr="00882568">
        <w:rPr>
          <w:rFonts w:ascii="Arial" w:hAnsi="Arial" w:cs="Arial"/>
          <w:sz w:val="22"/>
        </w:rPr>
        <w:lastRenderedPageBreak/>
        <w:t xml:space="preserve">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y C- 537 del 27 de septiembre de 2021. </w:t>
      </w:r>
    </w:p>
    <w:p w:rsidR="00C133B6" w:rsidP="00C133B6" w:rsidRDefault="00C133B6" w14:paraId="0A2DA211" w14:textId="77777777">
      <w:pPr>
        <w:spacing w:line="276" w:lineRule="auto"/>
        <w:ind w:firstLine="708"/>
        <w:jc w:val="both"/>
        <w:rPr>
          <w:rFonts w:ascii="Arial" w:hAnsi="Arial" w:cs="Arial"/>
          <w:bCs/>
          <w:color w:val="000000" w:themeColor="text1"/>
          <w:sz w:val="22"/>
        </w:rPr>
      </w:pPr>
      <w:r>
        <w:rPr>
          <w:rFonts w:ascii="Arial" w:hAnsi="Arial" w:cs="Arial"/>
          <w:sz w:val="22"/>
        </w:rPr>
        <w:t xml:space="preserve">Adicionalmente, </w:t>
      </w:r>
      <w:r>
        <w:rPr>
          <w:rFonts w:ascii="Arial" w:hAnsi="Arial" w:cs="Arial"/>
          <w:color w:val="000000" w:themeColor="text1"/>
          <w:sz w:val="22"/>
        </w:rPr>
        <w:t>e</w:t>
      </w:r>
      <w:r w:rsidRPr="00162EE6">
        <w:rPr>
          <w:rFonts w:ascii="Arial" w:hAnsi="Arial" w:cs="Arial"/>
          <w:color w:val="000000" w:themeColor="text1"/>
          <w:sz w:val="22"/>
        </w:rPr>
        <w:t xml:space="preserve">sta entidad se pronunció respecto de la suspensión provisional del </w:t>
      </w:r>
      <w:r>
        <w:rPr>
          <w:rFonts w:ascii="Arial" w:hAnsi="Arial" w:cs="Arial"/>
          <w:color w:val="000000" w:themeColor="text1"/>
          <w:sz w:val="22"/>
        </w:rPr>
        <w:t>Decreto 092</w:t>
      </w:r>
      <w:r w:rsidRPr="00162EE6">
        <w:rPr>
          <w:rFonts w:ascii="Arial" w:hAnsi="Arial" w:cs="Arial"/>
          <w:color w:val="000000" w:themeColor="text1"/>
          <w:sz w:val="22"/>
        </w:rPr>
        <w:t xml:space="preserve"> de 2017, en el concepto No. </w:t>
      </w:r>
      <w:r w:rsidRPr="00162EE6">
        <w:rPr>
          <w:rFonts w:ascii="Arial" w:hAnsi="Arial" w:eastAsia="Calibri" w:cs="Arial"/>
          <w:color w:val="000000" w:themeColor="text1"/>
          <w:sz w:val="22"/>
        </w:rPr>
        <w:t>2201913000006512</w:t>
      </w:r>
      <w:r w:rsidRPr="00162EE6">
        <w:rPr>
          <w:rFonts w:ascii="Arial" w:hAnsi="Arial" w:cs="Arial"/>
          <w:color w:val="000000" w:themeColor="text1"/>
          <w:sz w:val="22"/>
        </w:rPr>
        <w:t xml:space="preserve"> del 3 de septiembre de 2019, cuyas consideraciones se reiteraron en los conceptos Nos. </w:t>
      </w:r>
      <w:r w:rsidRPr="00162EE6">
        <w:rPr>
          <w:rFonts w:ascii="Arial" w:hAnsi="Arial" w:eastAsia="Calibri" w:cs="Arial"/>
          <w:color w:val="000000" w:themeColor="text1"/>
          <w:sz w:val="22"/>
        </w:rPr>
        <w:t xml:space="preserve">2201913000006681 </w:t>
      </w:r>
      <w:r w:rsidRPr="00162EE6">
        <w:rPr>
          <w:rFonts w:ascii="Arial" w:hAnsi="Arial" w:cs="Arial"/>
          <w:color w:val="000000" w:themeColor="text1"/>
          <w:sz w:val="22"/>
        </w:rPr>
        <w:t xml:space="preserve">y 4201913000005551 del 9 de septiembre de 2019, 2201913000006843 del 16 de septiembre de 2019, </w:t>
      </w:r>
      <w:r w:rsidRPr="00162EE6">
        <w:rPr>
          <w:rFonts w:ascii="Arial" w:hAnsi="Arial" w:eastAsia="Calibri" w:cs="Arial"/>
          <w:color w:val="000000" w:themeColor="text1"/>
          <w:sz w:val="22"/>
        </w:rPr>
        <w:t>2201913000009198 del 12 de diciembre de 2019</w:t>
      </w:r>
      <w:r>
        <w:rPr>
          <w:rFonts w:ascii="Arial" w:hAnsi="Arial" w:eastAsia="Calibri" w:cs="Arial"/>
          <w:color w:val="000000" w:themeColor="text1"/>
          <w:sz w:val="22"/>
        </w:rPr>
        <w:t xml:space="preserve">, </w:t>
      </w:r>
      <w:r w:rsidRPr="00162EE6">
        <w:rPr>
          <w:rFonts w:ascii="Arial" w:hAnsi="Arial" w:eastAsia="Calibri" w:cs="Arial"/>
          <w:color w:val="000000" w:themeColor="text1"/>
          <w:sz w:val="22"/>
        </w:rPr>
        <w:t>2201913000009567 del 24 de diciembre de 2019</w:t>
      </w:r>
      <w:r>
        <w:rPr>
          <w:rFonts w:ascii="Arial" w:hAnsi="Arial" w:eastAsia="Calibri" w:cs="Arial"/>
          <w:color w:val="000000" w:themeColor="text1"/>
          <w:sz w:val="22"/>
        </w:rPr>
        <w:t xml:space="preserve">, </w:t>
      </w:r>
      <w:r w:rsidRPr="00382F0D">
        <w:rPr>
          <w:rFonts w:ascii="Arial" w:hAnsi="Arial" w:eastAsia="Calibri" w:cs="Arial"/>
          <w:color w:val="000000" w:themeColor="text1"/>
          <w:sz w:val="22"/>
        </w:rPr>
        <w:t>2202013000001579</w:t>
      </w:r>
      <w:r>
        <w:rPr>
          <w:rFonts w:ascii="Arial" w:hAnsi="Arial" w:eastAsia="Calibri" w:cs="Arial"/>
          <w:color w:val="000000" w:themeColor="text1"/>
          <w:sz w:val="22"/>
        </w:rPr>
        <w:t xml:space="preserve"> del 4 de marzo de 2020</w:t>
      </w:r>
      <w:r w:rsidRPr="00162EE6">
        <w:rPr>
          <w:rFonts w:ascii="Arial" w:hAnsi="Arial" w:eastAsia="Calibri" w:cs="Arial"/>
          <w:color w:val="000000" w:themeColor="text1"/>
          <w:sz w:val="22"/>
        </w:rPr>
        <w:t xml:space="preserve">. </w:t>
      </w:r>
      <w:r w:rsidRPr="00882568">
        <w:rPr>
          <w:rFonts w:ascii="Arial" w:hAnsi="Arial" w:cs="Arial"/>
          <w:sz w:val="22"/>
        </w:rPr>
        <w:t>Las tesis propuestas en tales conceptos se reiteran a continuación y se complementan en l</w:t>
      </w:r>
      <w:r w:rsidRPr="00882568">
        <w:rPr>
          <w:rFonts w:ascii="Arial" w:hAnsi="Arial" w:cs="Arial"/>
          <w:bCs/>
          <w:color w:val="000000" w:themeColor="text1"/>
          <w:sz w:val="22"/>
        </w:rPr>
        <w:t>o pertinente.</w:t>
      </w:r>
    </w:p>
    <w:p w:rsidR="00C133B6" w:rsidP="00C133B6" w:rsidRDefault="00C133B6" w14:paraId="13AF20D9" w14:textId="77777777">
      <w:pPr>
        <w:spacing w:line="276" w:lineRule="auto"/>
        <w:ind w:firstLine="708"/>
        <w:jc w:val="both"/>
        <w:rPr>
          <w:rFonts w:ascii="Arial" w:hAnsi="Arial" w:cs="Arial"/>
          <w:bCs/>
          <w:color w:val="000000" w:themeColor="text1"/>
          <w:sz w:val="22"/>
        </w:rPr>
      </w:pPr>
    </w:p>
    <w:p w:rsidR="00C133B6" w:rsidP="00C133B6" w:rsidRDefault="00C133B6" w14:paraId="408BE0ED" w14:textId="77777777">
      <w:pPr>
        <w:pStyle w:val="Sinespaciado"/>
        <w:tabs>
          <w:tab w:val="left" w:pos="426"/>
        </w:tabs>
        <w:spacing w:line="276" w:lineRule="auto"/>
        <w:jc w:val="both"/>
        <w:rPr>
          <w:rFonts w:ascii="Arial" w:hAnsi="Arial" w:cs="Arial"/>
          <w:b/>
          <w:bCs/>
          <w:color w:val="000000" w:themeColor="text1"/>
          <w:sz w:val="22"/>
        </w:rPr>
      </w:pPr>
      <w:r w:rsidRPr="00162EE6">
        <w:rPr>
          <w:rFonts w:ascii="Arial" w:hAnsi="Arial" w:cs="Arial"/>
          <w:b/>
          <w:bCs/>
          <w:color w:val="000000" w:themeColor="text1"/>
          <w:sz w:val="22"/>
        </w:rPr>
        <w:t>2.1.</w:t>
      </w:r>
      <w:r w:rsidRPr="00162EE6">
        <w:rPr>
          <w:rFonts w:ascii="Arial" w:hAnsi="Arial" w:cs="Arial"/>
          <w:b/>
          <w:bCs/>
          <w:color w:val="000000" w:themeColor="text1"/>
          <w:sz w:val="22"/>
        </w:rPr>
        <w:tab/>
      </w:r>
      <w:r>
        <w:rPr>
          <w:rFonts w:ascii="Arial" w:hAnsi="Arial" w:eastAsia="Calibri" w:cs="Arial"/>
          <w:b/>
          <w:bCs/>
          <w:sz w:val="22"/>
          <w:lang w:val="es-ES_tradnl"/>
        </w:rPr>
        <w:t>D</w:t>
      </w:r>
      <w:r w:rsidRPr="00B01474">
        <w:rPr>
          <w:rFonts w:ascii="Arial" w:hAnsi="Arial" w:eastAsia="Calibri" w:cs="Arial"/>
          <w:b/>
          <w:bCs/>
          <w:sz w:val="22"/>
          <w:lang w:val="es-ES_tradnl"/>
        </w:rPr>
        <w:t>iferencias entre los contratos de</w:t>
      </w:r>
      <w:r>
        <w:rPr>
          <w:rFonts w:ascii="Arial" w:hAnsi="Arial" w:eastAsia="Calibri" w:cs="Arial"/>
          <w:b/>
          <w:bCs/>
          <w:sz w:val="22"/>
          <w:lang w:val="es-ES_tradnl"/>
        </w:rPr>
        <w:t>l</w:t>
      </w:r>
      <w:r w:rsidRPr="00B01474">
        <w:rPr>
          <w:rFonts w:ascii="Arial" w:hAnsi="Arial" w:eastAsia="Calibri" w:cs="Arial"/>
          <w:b/>
          <w:bCs/>
          <w:sz w:val="22"/>
          <w:lang w:val="es-ES_tradnl"/>
        </w:rPr>
        <w:t xml:space="preserve"> </w:t>
      </w:r>
      <w:r w:rsidRPr="00162EE6">
        <w:rPr>
          <w:rFonts w:ascii="Arial" w:hAnsi="Arial" w:cs="Arial"/>
          <w:b/>
          <w:bCs/>
          <w:color w:val="000000" w:themeColor="text1"/>
          <w:sz w:val="22"/>
        </w:rPr>
        <w:t>artículo 355 de la Constitución Política y</w:t>
      </w:r>
      <w:r>
        <w:rPr>
          <w:rFonts w:ascii="Arial" w:hAnsi="Arial" w:cs="Arial"/>
          <w:b/>
          <w:bCs/>
          <w:color w:val="000000" w:themeColor="text1"/>
          <w:sz w:val="22"/>
        </w:rPr>
        <w:t xml:space="preserve"> los convenios de asociación del artículo</w:t>
      </w:r>
      <w:r w:rsidRPr="00162EE6">
        <w:rPr>
          <w:rFonts w:ascii="Arial" w:hAnsi="Arial" w:cs="Arial"/>
          <w:b/>
          <w:bCs/>
          <w:color w:val="000000" w:themeColor="text1"/>
          <w:sz w:val="22"/>
        </w:rPr>
        <w:t xml:space="preserve"> 96 de la Ley 489 de 1998</w:t>
      </w:r>
    </w:p>
    <w:p w:rsidR="00C133B6" w:rsidP="00C133B6" w:rsidRDefault="00C133B6" w14:paraId="5140B17F" w14:textId="77777777">
      <w:pPr>
        <w:pStyle w:val="Sinespaciado"/>
        <w:spacing w:line="276" w:lineRule="auto"/>
        <w:jc w:val="both"/>
        <w:rPr>
          <w:rFonts w:ascii="Arial" w:hAnsi="Arial" w:cs="Arial"/>
          <w:color w:val="000000" w:themeColor="text1"/>
          <w:sz w:val="22"/>
        </w:rPr>
      </w:pPr>
    </w:p>
    <w:p w:rsidRPr="00B01474" w:rsidR="00C133B6" w:rsidP="00C133B6" w:rsidRDefault="00C133B6" w14:paraId="39E64754" w14:textId="77777777">
      <w:pPr>
        <w:spacing w:line="276" w:lineRule="auto"/>
        <w:jc w:val="both"/>
        <w:rPr>
          <w:rFonts w:ascii="Arial" w:hAnsi="Arial" w:eastAsia="Calibri" w:cs="Arial"/>
          <w:bCs/>
          <w:sz w:val="22"/>
          <w:lang w:val="es-ES_tradnl"/>
        </w:rPr>
      </w:pPr>
      <w:r w:rsidRPr="00B01474">
        <w:rPr>
          <w:rFonts w:ascii="Arial" w:hAnsi="Arial" w:eastAsia="Calibri"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w:t>
      </w:r>
      <w:r>
        <w:rPr>
          <w:rFonts w:ascii="Arial" w:hAnsi="Arial" w:eastAsia="Calibri" w:cs="Arial"/>
          <w:bCs/>
          <w:sz w:val="22"/>
          <w:lang w:val="es-ES_tradnl"/>
        </w:rPr>
        <w:t>,</w:t>
      </w:r>
      <w:r w:rsidRPr="00B01474">
        <w:rPr>
          <w:rFonts w:ascii="Arial" w:hAnsi="Arial" w:eastAsia="Calibri" w:cs="Arial"/>
          <w:bCs/>
          <w:sz w:val="22"/>
          <w:lang w:val="es-ES_tradnl"/>
        </w:rPr>
        <w:t xml:space="preserve"> con sus propios recursos, contratar con ESAL con el fin de impulsar programas y actividades de interés público acordes con el plan nacional y los planes seccionales de desarrollo</w:t>
      </w:r>
      <w:r w:rsidRPr="00B01474">
        <w:rPr>
          <w:rStyle w:val="Refdenotaalpie"/>
          <w:rFonts w:ascii="Arial" w:hAnsi="Arial" w:cs="Arial"/>
          <w:sz w:val="22"/>
        </w:rPr>
        <w:footnoteReference w:id="2"/>
      </w:r>
      <w:r w:rsidRPr="00B01474">
        <w:rPr>
          <w:rFonts w:ascii="Arial" w:hAnsi="Arial" w:eastAsia="Calibri"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B01474">
        <w:rPr>
          <w:rStyle w:val="Refdenotaalpie"/>
          <w:rFonts w:ascii="Arial" w:hAnsi="Arial" w:eastAsia="Calibri" w:cs="Arial"/>
          <w:bCs/>
          <w:sz w:val="22"/>
          <w:lang w:val="es-ES_tradnl"/>
        </w:rPr>
        <w:footnoteReference w:id="3"/>
      </w:r>
      <w:r w:rsidRPr="00B01474">
        <w:rPr>
          <w:rFonts w:ascii="Arial" w:hAnsi="Arial" w:eastAsia="Calibri" w:cs="Arial"/>
          <w:bCs/>
          <w:sz w:val="22"/>
          <w:lang w:val="es-ES_tradnl"/>
        </w:rPr>
        <w:t>.</w:t>
      </w:r>
    </w:p>
    <w:p w:rsidRPr="00B16CEC" w:rsidR="00C133B6" w:rsidP="00C133B6" w:rsidRDefault="00C133B6" w14:paraId="524B3476" w14:textId="096A8456">
      <w:pPr>
        <w:spacing w:before="120" w:after="120" w:line="276" w:lineRule="auto"/>
        <w:ind w:firstLine="709"/>
        <w:jc w:val="both"/>
        <w:rPr>
          <w:rFonts w:ascii="Arial" w:hAnsi="Arial" w:eastAsia="Calibri" w:cs="Arial"/>
          <w:bCs/>
          <w:sz w:val="22"/>
          <w:lang w:val="es-ES_tradnl"/>
        </w:rPr>
      </w:pPr>
      <w:bookmarkStart w:name="_Hlk38819155" w:id="4"/>
      <w:r w:rsidRPr="00B01474">
        <w:rPr>
          <w:rFonts w:ascii="Arial" w:hAnsi="Arial" w:eastAsia="Calibri" w:cs="Arial"/>
          <w:bCs/>
          <w:sz w:val="22"/>
          <w:lang w:val="es-ES_tradnl"/>
        </w:rPr>
        <w:lastRenderedPageBreak/>
        <w:t xml:space="preserve">El Decreto </w:t>
      </w:r>
      <w:r w:rsidR="00085E6B">
        <w:rPr>
          <w:rFonts w:ascii="Arial" w:hAnsi="Arial" w:eastAsia="Calibri" w:cs="Arial"/>
          <w:bCs/>
          <w:sz w:val="22"/>
          <w:lang w:val="es-ES_tradnl"/>
        </w:rPr>
        <w:t>0</w:t>
      </w:r>
      <w:r w:rsidRPr="00B01474">
        <w:rPr>
          <w:rFonts w:ascii="Arial" w:hAnsi="Arial" w:eastAsia="Calibri" w:cs="Arial"/>
          <w:bCs/>
          <w:sz w:val="22"/>
          <w:lang w:val="es-ES_tradnl"/>
        </w:rPr>
        <w:t>92 de 2017</w:t>
      </w:r>
      <w:r>
        <w:rPr>
          <w:rFonts w:ascii="Arial" w:hAnsi="Arial" w:eastAsia="Calibri" w:cs="Arial"/>
          <w:bCs/>
          <w:sz w:val="22"/>
          <w:lang w:val="es-ES_tradnl"/>
        </w:rPr>
        <w:t xml:space="preserve"> </w:t>
      </w:r>
      <w:r w:rsidRPr="00B01474">
        <w:rPr>
          <w:rFonts w:ascii="Arial" w:hAnsi="Arial" w:eastAsia="Calibri" w:cs="Arial"/>
          <w:bCs/>
          <w:sz w:val="22"/>
          <w:lang w:val="es-ES_tradnl"/>
        </w:rPr>
        <w:t xml:space="preserve">dispone reglas para las contrataciones que realicen las entidades estatales con las ESAL. El Decreto regula dos (2) eventos: i) los contratos </w:t>
      </w:r>
      <w:r>
        <w:rPr>
          <w:rFonts w:ascii="Arial" w:hAnsi="Arial" w:eastAsia="Calibri" w:cs="Arial"/>
          <w:bCs/>
          <w:sz w:val="22"/>
          <w:lang w:val="es-ES_tradnl"/>
        </w:rPr>
        <w:t>del artículo 355 de la Constitución Política</w:t>
      </w:r>
      <w:r w:rsidRPr="00B01474">
        <w:rPr>
          <w:rFonts w:ascii="Arial" w:hAnsi="Arial" w:eastAsia="Calibri" w:cs="Arial"/>
          <w:bCs/>
          <w:sz w:val="22"/>
          <w:lang w:val="es-ES_tradnl"/>
        </w:rPr>
        <w:t xml:space="preserve">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4"/>
    </w:p>
    <w:p w:rsidRPr="00B01474" w:rsidR="00C133B6" w:rsidP="00C133B6" w:rsidRDefault="00C133B6" w14:paraId="2A286FA1" w14:textId="56639714">
      <w:pPr>
        <w:spacing w:before="120" w:after="120" w:line="276" w:lineRule="auto"/>
        <w:ind w:firstLine="709"/>
        <w:jc w:val="both"/>
        <w:rPr>
          <w:rFonts w:ascii="Arial" w:hAnsi="Arial" w:eastAsia="Calibri" w:cs="Arial"/>
          <w:bCs/>
          <w:sz w:val="22"/>
          <w:lang w:val="es-ES_tradnl"/>
        </w:rPr>
      </w:pPr>
      <w:bookmarkStart w:name="_Hlk95756032" w:id="5"/>
      <w:r w:rsidRPr="00B01474">
        <w:rPr>
          <w:rFonts w:ascii="Arial" w:hAnsi="Arial" w:eastAsia="Calibri" w:cs="Arial"/>
          <w:bCs/>
          <w:sz w:val="22"/>
          <w:lang w:val="es-ES_tradnl"/>
        </w:rPr>
        <w:t xml:space="preserve">Los </w:t>
      </w:r>
      <w:r w:rsidRPr="00B01474">
        <w:rPr>
          <w:rFonts w:ascii="Arial" w:hAnsi="Arial" w:eastAsia="Calibri" w:cs="Arial"/>
          <w:bCs/>
          <w:i/>
          <w:sz w:val="22"/>
          <w:lang w:val="es-ES_tradnl"/>
        </w:rPr>
        <w:t xml:space="preserve">contratos </w:t>
      </w:r>
      <w:r>
        <w:rPr>
          <w:rFonts w:ascii="Arial" w:hAnsi="Arial" w:eastAsia="Calibri" w:cs="Arial"/>
          <w:bCs/>
          <w:i/>
          <w:sz w:val="22"/>
          <w:lang w:val="es-ES_tradnl"/>
        </w:rPr>
        <w:t>del artículo 355 de la Constitución Política</w:t>
      </w:r>
      <w:r w:rsidRPr="00B01474">
        <w:rPr>
          <w:rFonts w:ascii="Arial" w:hAnsi="Arial" w:eastAsia="Calibri" w:cs="Arial"/>
          <w:bCs/>
          <w:sz w:val="22"/>
          <w:lang w:val="es-ES_tradnl"/>
        </w:rPr>
        <w:t xml:space="preserve"> tienen como objeto promover acciones de fomento social en beneficio de los sectores más desprotegidos de la población, siempre que estén previstas en los planes de desarrollo</w:t>
      </w:r>
      <w:r>
        <w:rPr>
          <w:rFonts w:ascii="Arial" w:hAnsi="Arial" w:eastAsia="Calibri" w:cs="Arial"/>
          <w:bCs/>
          <w:sz w:val="22"/>
          <w:lang w:val="es-ES_tradnl"/>
        </w:rPr>
        <w:t>,</w:t>
      </w:r>
      <w:r w:rsidRPr="00B01474">
        <w:rPr>
          <w:rFonts w:ascii="Arial" w:hAnsi="Arial" w:eastAsia="Calibri" w:cs="Arial"/>
          <w:bCs/>
          <w:sz w:val="22"/>
          <w:lang w:val="es-ES_tradnl"/>
        </w:rPr>
        <w:t xml:space="preserve">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w:t>
      </w:r>
      <w:r w:rsidR="00085E6B">
        <w:rPr>
          <w:rFonts w:ascii="Arial" w:hAnsi="Arial" w:eastAsia="Calibri" w:cs="Arial"/>
          <w:bCs/>
          <w:sz w:val="22"/>
          <w:lang w:val="es-ES_tradnl"/>
        </w:rPr>
        <w:t>0</w:t>
      </w:r>
      <w:r w:rsidRPr="00B01474">
        <w:rPr>
          <w:rFonts w:ascii="Arial" w:hAnsi="Arial" w:eastAsia="Calibri" w:cs="Arial"/>
          <w:bCs/>
          <w:sz w:val="22"/>
          <w:lang w:val="es-ES_tradnl"/>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w:t>
      </w:r>
      <w:r>
        <w:rPr>
          <w:rFonts w:ascii="Arial" w:hAnsi="Arial" w:eastAsia="Calibri" w:cs="Arial"/>
          <w:bCs/>
          <w:sz w:val="22"/>
          <w:lang w:val="es-ES_tradnl"/>
        </w:rPr>
        <w:t>Estatuto General de Contratación</w:t>
      </w:r>
      <w:r w:rsidRPr="00B01474">
        <w:rPr>
          <w:rFonts w:ascii="Arial" w:hAnsi="Arial" w:eastAsia="Calibri" w:cs="Arial"/>
          <w:bCs/>
          <w:sz w:val="22"/>
          <w:lang w:val="es-ES_tradnl"/>
        </w:rPr>
        <w:t>. Solo cuando se reúnan estas condiciones es procedente celebra</w:t>
      </w:r>
      <w:r>
        <w:rPr>
          <w:rFonts w:ascii="Arial" w:hAnsi="Arial" w:eastAsia="Calibri" w:cs="Arial"/>
          <w:bCs/>
          <w:sz w:val="22"/>
          <w:lang w:val="es-ES_tradnl"/>
        </w:rPr>
        <w:t>r</w:t>
      </w:r>
      <w:r w:rsidRPr="00B01474">
        <w:rPr>
          <w:rFonts w:ascii="Arial" w:hAnsi="Arial" w:eastAsia="Calibri" w:cs="Arial"/>
          <w:bCs/>
          <w:sz w:val="22"/>
          <w:lang w:val="es-ES_tradnl"/>
        </w:rPr>
        <w:t xml:space="preserve"> contratos </w:t>
      </w:r>
      <w:r>
        <w:rPr>
          <w:rFonts w:ascii="Arial" w:hAnsi="Arial" w:eastAsia="Calibri" w:cs="Arial"/>
          <w:bCs/>
          <w:sz w:val="22"/>
          <w:lang w:val="es-ES_tradnl"/>
        </w:rPr>
        <w:t>del artículo 355 de la Constitución Política</w:t>
      </w:r>
      <w:r w:rsidRPr="00B01474">
        <w:rPr>
          <w:rFonts w:ascii="Arial" w:hAnsi="Arial" w:eastAsia="Calibri" w:cs="Arial"/>
          <w:bCs/>
          <w:sz w:val="22"/>
          <w:lang w:val="es-ES_tradnl"/>
        </w:rPr>
        <w:t>; de lo contrario, se aplicarán las normas del Estatuto General de Contratación de la Administración Pública.</w:t>
      </w:r>
    </w:p>
    <w:bookmarkEnd w:id="5"/>
    <w:p w:rsidRPr="00B01474" w:rsidR="00C133B6" w:rsidP="00C133B6" w:rsidRDefault="00C133B6" w14:paraId="6C4F4861" w14:textId="77777777">
      <w:pPr>
        <w:spacing w:before="120" w:after="120" w:line="276" w:lineRule="auto"/>
        <w:ind w:firstLine="709"/>
        <w:jc w:val="both"/>
        <w:rPr>
          <w:rFonts w:ascii="Arial" w:hAnsi="Arial" w:eastAsia="Calibri" w:cs="Arial"/>
          <w:bCs/>
          <w:sz w:val="22"/>
          <w:lang w:val="es-ES_tradnl"/>
        </w:rPr>
      </w:pPr>
      <w:r w:rsidRPr="00B01474">
        <w:rPr>
          <w:rFonts w:ascii="Arial" w:hAnsi="Arial" w:eastAsia="Calibri" w:cs="Arial"/>
          <w:bCs/>
          <w:sz w:val="22"/>
          <w:lang w:val="es-ES_tradnl"/>
        </w:rPr>
        <w:t xml:space="preserve">De otro lado, los </w:t>
      </w:r>
      <w:r w:rsidRPr="00B01474">
        <w:rPr>
          <w:rFonts w:ascii="Arial" w:hAnsi="Arial" w:eastAsia="Calibri" w:cs="Arial"/>
          <w:bCs/>
          <w:i/>
          <w:sz w:val="22"/>
          <w:lang w:val="es-ES_tradnl"/>
        </w:rPr>
        <w:t>convenios de asociación</w:t>
      </w:r>
      <w:r w:rsidRPr="00B01474">
        <w:rPr>
          <w:rFonts w:ascii="Arial" w:hAnsi="Arial" w:eastAsia="Calibri" w:cs="Arial"/>
          <w:bCs/>
          <w:sz w:val="22"/>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B01474">
        <w:rPr>
          <w:rStyle w:val="Refdenotaalpie"/>
          <w:rFonts w:ascii="Arial" w:hAnsi="Arial" w:cs="Arial"/>
          <w:sz w:val="22"/>
        </w:rPr>
        <w:footnoteReference w:id="4"/>
      </w:r>
      <w:r w:rsidRPr="00B01474">
        <w:rPr>
          <w:rFonts w:ascii="Arial" w:hAnsi="Arial" w:eastAsia="Calibri" w:cs="Arial"/>
          <w:bCs/>
          <w:sz w:val="22"/>
          <w:lang w:val="es-ES_tradnl"/>
        </w:rPr>
        <w:t xml:space="preserve">. En estos convenios </w:t>
      </w:r>
      <w:r>
        <w:rPr>
          <w:rFonts w:ascii="Arial" w:hAnsi="Arial" w:eastAsia="Calibri" w:cs="Arial"/>
          <w:bCs/>
          <w:sz w:val="22"/>
          <w:lang w:val="es-ES_tradnl"/>
        </w:rPr>
        <w:t>existen</w:t>
      </w:r>
      <w:r w:rsidRPr="00B01474">
        <w:rPr>
          <w:rFonts w:ascii="Arial" w:hAnsi="Arial" w:eastAsia="Calibri" w:cs="Arial"/>
          <w:bCs/>
          <w:sz w:val="22"/>
          <w:lang w:val="es-ES_tradnl"/>
        </w:rPr>
        <w:t xml:space="preserve"> aportes dirigidos, </w:t>
      </w:r>
      <w:r>
        <w:rPr>
          <w:rFonts w:ascii="Arial" w:hAnsi="Arial" w:eastAsia="Calibri" w:cs="Arial"/>
          <w:bCs/>
          <w:sz w:val="22"/>
          <w:lang w:val="es-ES_tradnl"/>
        </w:rPr>
        <w:t>especialmente</w:t>
      </w:r>
      <w:r w:rsidRPr="00B01474">
        <w:rPr>
          <w:rFonts w:ascii="Arial" w:hAnsi="Arial" w:eastAsia="Calibri" w:cs="Arial"/>
          <w:bCs/>
          <w:sz w:val="22"/>
          <w:lang w:val="es-ES_tradnl"/>
        </w:rPr>
        <w:t>,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B01474">
        <w:rPr>
          <w:rStyle w:val="Refdenotaalpie"/>
          <w:rFonts w:ascii="Arial" w:hAnsi="Arial" w:cs="Arial"/>
          <w:sz w:val="22"/>
        </w:rPr>
        <w:footnoteReference w:id="5"/>
      </w:r>
      <w:r w:rsidRPr="00B01474">
        <w:rPr>
          <w:rFonts w:ascii="Arial" w:hAnsi="Arial" w:eastAsia="Calibri" w:cs="Arial"/>
          <w:bCs/>
          <w:sz w:val="22"/>
          <w:lang w:val="es-ES_tradnl"/>
        </w:rPr>
        <w:t>.</w:t>
      </w:r>
    </w:p>
    <w:p w:rsidRPr="00B01474" w:rsidR="00C133B6" w:rsidP="00C133B6" w:rsidRDefault="00C133B6" w14:paraId="3898A9B9" w14:textId="45A7D12D">
      <w:pPr>
        <w:spacing w:before="120" w:after="120" w:line="276" w:lineRule="auto"/>
        <w:ind w:firstLine="709"/>
        <w:jc w:val="both"/>
        <w:rPr>
          <w:rFonts w:ascii="Arial" w:hAnsi="Arial" w:eastAsia="Calibri" w:cs="Arial"/>
          <w:bCs/>
          <w:sz w:val="22"/>
        </w:rPr>
      </w:pPr>
      <w:r w:rsidRPr="00B01474">
        <w:rPr>
          <w:rFonts w:ascii="Arial" w:hAnsi="Arial" w:eastAsia="Calibri" w:cs="Arial"/>
          <w:bCs/>
          <w:sz w:val="22"/>
          <w:lang w:val="es-ES_tradnl"/>
        </w:rPr>
        <w:lastRenderedPageBreak/>
        <w:t>La normativa vigente no impide que varias entidades suscriban conjuntamente el convenio de asociación y tampoco que dos o más ESAL pueden hacerlo, a través de las figuras asociativas autorizadas por la ley, por ejemplo, como unión temporal o como consorcio</w:t>
      </w:r>
      <w:r w:rsidRPr="00B01474">
        <w:rPr>
          <w:rStyle w:val="Refdenotaalpie"/>
          <w:rFonts w:ascii="Arial" w:hAnsi="Arial" w:eastAsia="Calibri" w:cs="Arial"/>
          <w:sz w:val="22"/>
        </w:rPr>
        <w:footnoteReference w:id="6"/>
      </w:r>
      <w:r w:rsidRPr="00B01474">
        <w:rPr>
          <w:rFonts w:ascii="Arial" w:hAnsi="Arial" w:eastAsia="Calibri" w:cs="Arial"/>
          <w:bCs/>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w:t>
      </w:r>
      <w:r w:rsidR="00085E6B">
        <w:rPr>
          <w:rFonts w:ascii="Arial" w:hAnsi="Arial" w:eastAsia="Calibri" w:cs="Arial"/>
          <w:bCs/>
          <w:sz w:val="22"/>
        </w:rPr>
        <w:t>0</w:t>
      </w:r>
      <w:r w:rsidRPr="00B01474">
        <w:rPr>
          <w:rFonts w:ascii="Arial" w:hAnsi="Arial" w:eastAsia="Calibri" w:cs="Arial"/>
          <w:bCs/>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00C133B6" w:rsidP="00C133B6" w:rsidRDefault="00C133B6" w14:paraId="53B3FB0B" w14:textId="77777777">
      <w:pPr>
        <w:spacing w:before="120" w:after="120" w:line="276" w:lineRule="auto"/>
        <w:ind w:firstLine="709"/>
        <w:jc w:val="both"/>
      </w:pPr>
      <w:r w:rsidRPr="00162EE6">
        <w:rPr>
          <w:rFonts w:ascii="Arial" w:hAnsi="Arial" w:cs="Arial"/>
          <w:color w:val="000000" w:themeColor="text1"/>
          <w:sz w:val="22"/>
        </w:rPr>
        <w:t xml:space="preserve">La noción «seleccionar de forma objetiva», contenida en la disposición </w:t>
      </w:r>
      <w:r w:rsidRPr="00162EE6">
        <w:rPr>
          <w:rFonts w:ascii="Arial" w:hAnsi="Arial" w:cs="Arial"/>
          <w:i/>
          <w:iCs/>
          <w:color w:val="000000" w:themeColor="text1"/>
          <w:sz w:val="22"/>
        </w:rPr>
        <w:t xml:space="preserve">sub examine </w:t>
      </w:r>
      <w:r w:rsidRPr="00162EE6">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w:t>
      </w:r>
      <w:r>
        <w:rPr>
          <w:rFonts w:ascii="Arial" w:hAnsi="Arial" w:cs="Arial"/>
          <w:color w:val="000000" w:themeColor="text1"/>
          <w:sz w:val="22"/>
        </w:rPr>
        <w:t>Por ello, l</w:t>
      </w:r>
      <w:r w:rsidRPr="00162EE6">
        <w:rPr>
          <w:rFonts w:ascii="Arial" w:hAnsi="Arial" w:cs="Arial"/>
          <w:color w:val="000000" w:themeColor="text1"/>
          <w:sz w:val="22"/>
        </w:rPr>
        <w:t xml:space="preserve">a entidad puede tomar la decisión de acudir a los procesos de selección de contratistas que establece el Estatuto General de Contratación de la Administración Pública o, incluso, al trámite que regula el inciso 2 del artículo 2 del Decreto </w:t>
      </w:r>
      <w:r>
        <w:rPr>
          <w:rFonts w:ascii="Arial" w:hAnsi="Arial" w:cs="Arial"/>
          <w:color w:val="000000" w:themeColor="text1"/>
          <w:sz w:val="22"/>
        </w:rPr>
        <w:t>0</w:t>
      </w:r>
      <w:r w:rsidRPr="00162EE6">
        <w:rPr>
          <w:rFonts w:ascii="Arial" w:hAnsi="Arial" w:cs="Arial"/>
          <w:color w:val="000000" w:themeColor="text1"/>
          <w:sz w:val="22"/>
        </w:rPr>
        <w:t>92 de 2017.</w:t>
      </w:r>
    </w:p>
    <w:p w:rsidRPr="00162EE6" w:rsidR="00C133B6" w:rsidP="00C133B6" w:rsidRDefault="00C133B6" w14:paraId="3AB2B0DC" w14:textId="77777777">
      <w:pPr>
        <w:pStyle w:val="Sinespaciado"/>
        <w:spacing w:line="276" w:lineRule="auto"/>
        <w:ind w:firstLine="708"/>
        <w:jc w:val="both"/>
        <w:rPr>
          <w:rFonts w:ascii="Arial" w:hAnsi="Arial" w:cs="Arial"/>
          <w:color w:val="000000" w:themeColor="text1"/>
          <w:sz w:val="22"/>
        </w:rPr>
      </w:pPr>
      <w:r w:rsidRPr="00162EE6">
        <w:rPr>
          <w:rFonts w:ascii="Arial" w:hAnsi="Arial" w:cs="Arial"/>
          <w:color w:val="000000" w:themeColor="text1"/>
          <w:sz w:val="22"/>
        </w:rPr>
        <w:t xml:space="preserve">Es importante aclarar que los negocios jurídicos que regula el Decreto </w:t>
      </w:r>
      <w:r>
        <w:rPr>
          <w:rFonts w:ascii="Arial" w:hAnsi="Arial" w:cs="Arial"/>
          <w:color w:val="000000" w:themeColor="text1"/>
          <w:sz w:val="22"/>
        </w:rPr>
        <w:t>0</w:t>
      </w:r>
      <w:r w:rsidRPr="00162EE6">
        <w:rPr>
          <w:rFonts w:ascii="Arial" w:hAnsi="Arial" w:cs="Arial"/>
          <w:color w:val="000000" w:themeColor="text1"/>
          <w:sz w:val="22"/>
        </w:rPr>
        <w:t xml:space="preserve">92 de 2017 «[…] son esencialmente distintos a los contratos para la adquisición y aprovisionamiento de bienes, obras o servicios regulados por el estatuto de contratación y[, como tal,] no hacen parte del sistema de compra pública. […] De acuerdo con lo anterior, si la entidad estatal </w:t>
      </w:r>
      <w:r w:rsidRPr="00162EE6">
        <w:rPr>
          <w:rFonts w:ascii="Arial" w:hAnsi="Arial" w:cs="Arial"/>
          <w:color w:val="000000" w:themeColor="text1"/>
          <w:sz w:val="22"/>
        </w:rPr>
        <w:lastRenderedPageBreak/>
        <w:t xml:space="preserve">adquiere o se abastece de un bien, obra o servicio en un contrato conmutativo en el cual el proveedor es una [ESAL], debe aplicar el régimen contenido en las Leyes 80 de 1993 y 1150 de 2007, y no el Decreto </w:t>
      </w:r>
      <w:r>
        <w:rPr>
          <w:rFonts w:ascii="Arial" w:hAnsi="Arial" w:cs="Arial"/>
          <w:color w:val="000000" w:themeColor="text1"/>
          <w:sz w:val="22"/>
        </w:rPr>
        <w:t>0</w:t>
      </w:r>
      <w:r w:rsidRPr="00162EE6">
        <w:rPr>
          <w:rFonts w:ascii="Arial" w:hAnsi="Arial" w:cs="Arial"/>
          <w:color w:val="000000" w:themeColor="text1"/>
          <w:sz w:val="22"/>
        </w:rPr>
        <w:t>92 de 2017»</w:t>
      </w:r>
      <w:r w:rsidRPr="00162EE6">
        <w:rPr>
          <w:rStyle w:val="Refdenotaalpie"/>
          <w:rFonts w:ascii="Arial" w:hAnsi="Arial" w:cs="Arial"/>
          <w:color w:val="000000" w:themeColor="text1"/>
          <w:sz w:val="22"/>
        </w:rPr>
        <w:footnoteReference w:id="7"/>
      </w:r>
      <w:r w:rsidRPr="00162EE6">
        <w:rPr>
          <w:rFonts w:ascii="Arial" w:hAnsi="Arial" w:cs="Arial"/>
          <w:color w:val="000000" w:themeColor="text1"/>
          <w:sz w:val="22"/>
        </w:rPr>
        <w:t>. Así lo consideró la Sala de Consulta y Servicio Civil del Consejo de Estado</w:t>
      </w:r>
      <w:r w:rsidRPr="00162EE6">
        <w:rPr>
          <w:rStyle w:val="Refdenotaalpie"/>
          <w:rFonts w:ascii="Arial" w:hAnsi="Arial" w:cs="Arial"/>
          <w:color w:val="000000" w:themeColor="text1"/>
          <w:sz w:val="22"/>
        </w:rPr>
        <w:footnoteReference w:id="8"/>
      </w:r>
      <w:r w:rsidRPr="00162EE6">
        <w:rPr>
          <w:rFonts w:ascii="Arial" w:hAnsi="Arial" w:cs="Arial"/>
          <w:color w:val="000000" w:themeColor="text1"/>
          <w:sz w:val="22"/>
        </w:rPr>
        <w:t>:</w:t>
      </w:r>
    </w:p>
    <w:p w:rsidRPr="00162EE6" w:rsidR="00C133B6" w:rsidP="00C133B6" w:rsidRDefault="00C133B6" w14:paraId="7437B5EB" w14:textId="77777777">
      <w:pPr>
        <w:pStyle w:val="Sinespaciado"/>
        <w:spacing w:line="276" w:lineRule="auto"/>
        <w:jc w:val="both"/>
        <w:rPr>
          <w:rFonts w:ascii="Arial" w:hAnsi="Arial" w:cs="Arial"/>
          <w:color w:val="000000" w:themeColor="text1"/>
          <w:sz w:val="22"/>
        </w:rPr>
      </w:pPr>
    </w:p>
    <w:p w:rsidRPr="00162EE6" w:rsidR="00C133B6" w:rsidP="00C133B6" w:rsidRDefault="00C133B6" w14:paraId="184AFBF3" w14:textId="77777777">
      <w:pPr>
        <w:spacing w:after="120"/>
        <w:ind w:left="709"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162EE6" w:rsidR="00C133B6" w:rsidP="00C133B6" w:rsidRDefault="00C133B6" w14:paraId="0FB04B42" w14:textId="77777777">
      <w:pPr>
        <w:ind w:left="708"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rsidRPr="00162EE6" w:rsidR="00C133B6" w:rsidP="00C133B6" w:rsidRDefault="00C133B6" w14:paraId="7943DC5E" w14:textId="77777777">
      <w:pPr>
        <w:spacing w:line="276" w:lineRule="auto"/>
        <w:jc w:val="both"/>
        <w:rPr>
          <w:rFonts w:ascii="Arial" w:hAnsi="Arial" w:eastAsia="Calibri" w:cs="Arial"/>
          <w:color w:val="000000" w:themeColor="text1"/>
          <w:sz w:val="22"/>
        </w:rPr>
      </w:pPr>
    </w:p>
    <w:p w:rsidRPr="00162EE6" w:rsidR="00C133B6" w:rsidP="00C133B6" w:rsidRDefault="00C133B6" w14:paraId="3B6A0799" w14:textId="77777777">
      <w:pPr>
        <w:spacing w:line="276" w:lineRule="auto"/>
        <w:ind w:firstLine="708"/>
        <w:jc w:val="both"/>
        <w:rPr>
          <w:rFonts w:ascii="Arial" w:hAnsi="Arial" w:eastAsia="Calibri" w:cs="Arial"/>
          <w:color w:val="000000" w:themeColor="text1"/>
          <w:sz w:val="22"/>
        </w:rPr>
      </w:pPr>
      <w:bookmarkStart w:name="_Hlk95756200" w:id="6"/>
      <w:r w:rsidRPr="00162EE6">
        <w:rPr>
          <w:rFonts w:ascii="Arial" w:hAnsi="Arial" w:eastAsia="Calibri" w:cs="Arial"/>
          <w:color w:val="000000" w:themeColor="text1"/>
          <w:sz w:val="22"/>
        </w:rPr>
        <w:t>De acuerdo con lo anterior, no todas las actividades que las entidades estatales deben desarrollar para alcanzar sus objetivos misionales deben ejecutarse a través de la celebración de contratos de</w:t>
      </w:r>
      <w:r>
        <w:rPr>
          <w:rFonts w:ascii="Arial" w:hAnsi="Arial" w:eastAsia="Calibri" w:cs="Arial"/>
          <w:color w:val="000000" w:themeColor="text1"/>
          <w:sz w:val="22"/>
        </w:rPr>
        <w:t>l artículo 355 superior</w:t>
      </w:r>
      <w:r w:rsidRPr="00162EE6">
        <w:rPr>
          <w:rFonts w:ascii="Arial" w:hAnsi="Arial" w:eastAsia="Calibri" w:cs="Arial"/>
          <w:color w:val="000000" w:themeColor="text1"/>
          <w:sz w:val="22"/>
        </w:rPr>
        <w:t xml:space="preserve"> o convenios de asociación. Debe tenerse en cuenta que lo que determina la aplicación del Decreto </w:t>
      </w:r>
      <w:r>
        <w:rPr>
          <w:rFonts w:ascii="Arial" w:hAnsi="Arial" w:eastAsia="Calibri" w:cs="Arial"/>
          <w:color w:val="000000" w:themeColor="text1"/>
          <w:sz w:val="22"/>
        </w:rPr>
        <w:t>0</w:t>
      </w:r>
      <w:r w:rsidRPr="00162EE6">
        <w:rPr>
          <w:rFonts w:ascii="Arial" w:hAnsi="Arial" w:eastAsia="Calibri" w:cs="Arial"/>
          <w:color w:val="000000" w:themeColor="text1"/>
          <w:sz w:val="22"/>
        </w:rPr>
        <w:t xml:space="preserve">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6"/>
      <w:r w:rsidRPr="00162EE6">
        <w:rPr>
          <w:rFonts w:ascii="Arial" w:hAnsi="Arial" w:eastAsia="Calibri" w:cs="Arial"/>
          <w:color w:val="000000" w:themeColor="text1"/>
          <w:sz w:val="22"/>
        </w:rPr>
        <w:t>Así lo reconoció la Corte Constitucional en la sentencia C-287 del 18 de abril de 2012, en la que sostuvo lo siguiente:</w:t>
      </w:r>
    </w:p>
    <w:p w:rsidRPr="00162EE6" w:rsidR="00C133B6" w:rsidP="00C133B6" w:rsidRDefault="00C133B6" w14:paraId="6DB23F63" w14:textId="77777777">
      <w:pPr>
        <w:spacing w:line="276" w:lineRule="auto"/>
        <w:ind w:firstLine="708"/>
        <w:jc w:val="both"/>
        <w:rPr>
          <w:rFonts w:ascii="Arial" w:hAnsi="Arial" w:eastAsia="Calibri" w:cs="Arial"/>
          <w:color w:val="000000" w:themeColor="text1"/>
          <w:sz w:val="22"/>
        </w:rPr>
      </w:pPr>
    </w:p>
    <w:p w:rsidRPr="00162EE6" w:rsidR="00C133B6" w:rsidP="00C133B6" w:rsidRDefault="00C133B6" w14:paraId="6A36ABC1" w14:textId="77777777">
      <w:pPr>
        <w:ind w:left="709"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162EE6" w:rsidR="00C133B6" w:rsidP="00C133B6" w:rsidRDefault="00C133B6" w14:paraId="4E67EF71" w14:textId="77777777">
      <w:pPr>
        <w:ind w:left="709" w:right="709"/>
        <w:jc w:val="both"/>
        <w:rPr>
          <w:rFonts w:ascii="Arial" w:hAnsi="Arial" w:eastAsia="Calibri" w:cs="Arial"/>
          <w:color w:val="000000" w:themeColor="text1"/>
          <w:sz w:val="21"/>
          <w:szCs w:val="21"/>
        </w:rPr>
      </w:pPr>
    </w:p>
    <w:p w:rsidRPr="00382F0D" w:rsidR="00C133B6" w:rsidP="00C133B6" w:rsidRDefault="00C133B6" w14:paraId="0459A436" w14:textId="77777777">
      <w:pPr>
        <w:ind w:left="709" w:right="709"/>
        <w:jc w:val="both"/>
        <w:rPr>
          <w:rFonts w:ascii="Arial" w:hAnsi="Arial" w:eastAsia="Calibri" w:cs="Arial"/>
          <w:color w:val="000000" w:themeColor="text1"/>
          <w:sz w:val="21"/>
          <w:szCs w:val="21"/>
        </w:rPr>
      </w:pPr>
      <w:r w:rsidRPr="00162EE6">
        <w:rPr>
          <w:rFonts w:ascii="Arial" w:hAnsi="Arial" w:eastAsia="Calibri" w:cs="Arial"/>
          <w:i/>
          <w:iCs/>
          <w:color w:val="000000" w:themeColor="text1"/>
          <w:sz w:val="21"/>
          <w:szCs w:val="21"/>
        </w:rPr>
        <w:t xml:space="preserve">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w:t>
      </w:r>
      <w:r w:rsidRPr="00162EE6">
        <w:rPr>
          <w:rFonts w:ascii="Arial" w:hAnsi="Arial" w:eastAsia="Calibri" w:cs="Arial"/>
          <w:i/>
          <w:iCs/>
          <w:color w:val="000000" w:themeColor="text1"/>
          <w:sz w:val="21"/>
          <w:szCs w:val="21"/>
        </w:rPr>
        <w:lastRenderedPageBreak/>
        <w:t>obtención del fin deseado</w:t>
      </w:r>
      <w:r w:rsidRPr="00162EE6">
        <w:rPr>
          <w:rFonts w:ascii="Arial" w:hAnsi="Arial" w:eastAsia="Calibri"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rsidR="00C133B6" w:rsidP="00C133B6" w:rsidRDefault="00C133B6" w14:paraId="7DFD5D24" w14:textId="77777777">
      <w:pPr>
        <w:spacing w:line="276" w:lineRule="auto"/>
        <w:ind w:firstLine="709"/>
        <w:jc w:val="both"/>
        <w:rPr>
          <w:rFonts w:ascii="Arial" w:hAnsi="Arial" w:eastAsia="Calibri" w:cs="Arial"/>
          <w:color w:val="000000" w:themeColor="text1"/>
          <w:sz w:val="22"/>
        </w:rPr>
      </w:pPr>
    </w:p>
    <w:p w:rsidRPr="00162EE6" w:rsidR="00C133B6" w:rsidP="00C133B6" w:rsidRDefault="00C133B6" w14:paraId="7BEB30C0" w14:textId="77777777">
      <w:pPr>
        <w:spacing w:line="276" w:lineRule="auto"/>
        <w:ind w:firstLine="709"/>
        <w:jc w:val="both"/>
        <w:rPr>
          <w:rFonts w:ascii="Arial" w:hAnsi="Arial" w:eastAsia="Calibri" w:cs="Arial"/>
          <w:color w:val="000000" w:themeColor="text1"/>
          <w:sz w:val="22"/>
        </w:rPr>
      </w:pPr>
      <w:r w:rsidRPr="00162EE6">
        <w:rPr>
          <w:rFonts w:ascii="Arial" w:hAnsi="Arial" w:eastAsia="Calibri"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w:t>
      </w:r>
      <w:r>
        <w:rPr>
          <w:rFonts w:ascii="Arial" w:hAnsi="Arial" w:eastAsia="Calibri" w:cs="Arial"/>
          <w:color w:val="000000" w:themeColor="text1"/>
          <w:sz w:val="22"/>
        </w:rPr>
        <w:t xml:space="preserve"> De esta manera, ni los contratos del artículo 355 de la Constitución Política ni l</w:t>
      </w:r>
      <w:r w:rsidRPr="00162EE6">
        <w:rPr>
          <w:rFonts w:ascii="Arial" w:hAnsi="Arial" w:eastAsia="Calibri" w:cs="Arial"/>
          <w:color w:val="000000" w:themeColor="text1"/>
          <w:sz w:val="22"/>
        </w:rPr>
        <w:t>os convenios de asociación</w:t>
      </w:r>
      <w:r>
        <w:rPr>
          <w:rFonts w:ascii="Arial" w:hAnsi="Arial" w:eastAsia="Calibri" w:cs="Arial"/>
          <w:color w:val="000000" w:themeColor="text1"/>
          <w:sz w:val="22"/>
        </w:rPr>
        <w:t xml:space="preserve"> del artículo 96 de la Ley 489 de 1998</w:t>
      </w:r>
      <w:r w:rsidRPr="00162EE6">
        <w:rPr>
          <w:rFonts w:ascii="Arial" w:hAnsi="Arial" w:eastAsia="Calibri" w:cs="Arial"/>
          <w:color w:val="000000" w:themeColor="text1"/>
          <w:sz w:val="22"/>
        </w:rPr>
        <w:t xml:space="preserve"> </w:t>
      </w:r>
      <w:r>
        <w:rPr>
          <w:rFonts w:ascii="Arial" w:hAnsi="Arial" w:eastAsia="Calibri" w:cs="Arial"/>
          <w:color w:val="000000" w:themeColor="text1"/>
          <w:sz w:val="22"/>
        </w:rPr>
        <w:t>generan</w:t>
      </w:r>
      <w:r w:rsidRPr="00162EE6">
        <w:rPr>
          <w:rFonts w:ascii="Arial" w:hAnsi="Arial" w:eastAsia="Calibri" w:cs="Arial"/>
          <w:color w:val="000000" w:themeColor="text1"/>
          <w:sz w:val="22"/>
        </w:rPr>
        <w:t xml:space="preserve"> utilidades para la ESAL, pues en dicho caso se trataría de un contrato en el que se debe remunerar al contratista por los servicios prestados, el cual, por eso mismo, tiene un régimen legal distinto.</w:t>
      </w:r>
    </w:p>
    <w:p w:rsidRPr="00162EE6" w:rsidR="00C133B6" w:rsidP="00C133B6" w:rsidRDefault="00C133B6" w14:paraId="08BA2D90" w14:textId="77777777">
      <w:pPr>
        <w:spacing w:line="276" w:lineRule="auto"/>
        <w:jc w:val="both"/>
        <w:rPr>
          <w:rFonts w:ascii="Arial" w:hAnsi="Arial" w:cs="Arial"/>
          <w:b/>
          <w:bCs/>
          <w:color w:val="000000" w:themeColor="text1"/>
          <w:sz w:val="22"/>
        </w:rPr>
      </w:pPr>
    </w:p>
    <w:p w:rsidRPr="00162EE6" w:rsidR="00C133B6" w:rsidP="00C133B6" w:rsidRDefault="00C133B6" w14:paraId="6972B1DF" w14:textId="77777777">
      <w:pPr>
        <w:tabs>
          <w:tab w:val="left" w:pos="426"/>
        </w:tabs>
        <w:spacing w:line="276" w:lineRule="auto"/>
        <w:jc w:val="both"/>
        <w:rPr>
          <w:rFonts w:ascii="Arial" w:hAnsi="Arial" w:cs="Arial"/>
          <w:b/>
          <w:bCs/>
          <w:color w:val="000000" w:themeColor="text1"/>
          <w:sz w:val="22"/>
        </w:rPr>
      </w:pPr>
      <w:r w:rsidRPr="00162EE6">
        <w:rPr>
          <w:rFonts w:ascii="Arial" w:hAnsi="Arial" w:cs="Arial"/>
          <w:b/>
          <w:bCs/>
          <w:color w:val="000000" w:themeColor="text1"/>
          <w:sz w:val="22"/>
        </w:rPr>
        <w:t>2.</w:t>
      </w:r>
      <w:r>
        <w:rPr>
          <w:rFonts w:ascii="Arial" w:hAnsi="Arial" w:cs="Arial"/>
          <w:b/>
          <w:bCs/>
          <w:color w:val="000000" w:themeColor="text1"/>
          <w:sz w:val="22"/>
        </w:rPr>
        <w:t>2</w:t>
      </w:r>
      <w:r w:rsidRPr="00162EE6">
        <w:rPr>
          <w:rFonts w:ascii="Arial" w:hAnsi="Arial" w:cs="Arial"/>
          <w:b/>
          <w:bCs/>
          <w:color w:val="000000" w:themeColor="text1"/>
          <w:sz w:val="22"/>
        </w:rPr>
        <w:t>.</w:t>
      </w:r>
      <w:r w:rsidRPr="00162EE6">
        <w:rPr>
          <w:rFonts w:ascii="Arial" w:hAnsi="Arial" w:cs="Arial"/>
          <w:b/>
          <w:bCs/>
          <w:color w:val="000000" w:themeColor="text1"/>
          <w:sz w:val="22"/>
        </w:rPr>
        <w:tab/>
      </w:r>
      <w:r w:rsidRPr="00162EE6">
        <w:rPr>
          <w:rFonts w:ascii="Arial" w:hAnsi="Arial" w:cs="Arial"/>
          <w:b/>
          <w:bCs/>
          <w:color w:val="000000" w:themeColor="text1"/>
          <w:sz w:val="22"/>
        </w:rPr>
        <w:t xml:space="preserve">Suspensión provisional de algunas normas del </w:t>
      </w:r>
      <w:r>
        <w:rPr>
          <w:rFonts w:ascii="Arial" w:hAnsi="Arial" w:cs="Arial"/>
          <w:b/>
          <w:bCs/>
          <w:color w:val="000000" w:themeColor="text1"/>
          <w:sz w:val="22"/>
        </w:rPr>
        <w:t>Decreto 092</w:t>
      </w:r>
      <w:r w:rsidRPr="00162EE6">
        <w:rPr>
          <w:rFonts w:ascii="Arial" w:hAnsi="Arial" w:cs="Arial"/>
          <w:b/>
          <w:bCs/>
          <w:color w:val="000000" w:themeColor="text1"/>
          <w:sz w:val="22"/>
        </w:rPr>
        <w:t xml:space="preserve"> de 2017</w:t>
      </w:r>
    </w:p>
    <w:p w:rsidRPr="00162EE6" w:rsidR="00C133B6" w:rsidP="00C133B6" w:rsidRDefault="00C133B6" w14:paraId="701E9991" w14:textId="77777777">
      <w:pPr>
        <w:spacing w:line="276" w:lineRule="auto"/>
        <w:jc w:val="both"/>
        <w:rPr>
          <w:rFonts w:ascii="Arial" w:hAnsi="Arial" w:cs="Arial"/>
          <w:b/>
          <w:bCs/>
          <w:color w:val="000000" w:themeColor="text1"/>
          <w:sz w:val="22"/>
        </w:rPr>
      </w:pPr>
    </w:p>
    <w:p w:rsidRPr="00162EE6" w:rsidR="00C133B6" w:rsidP="00C133B6" w:rsidRDefault="00C133B6" w14:paraId="60F63C8B" w14:textId="77777777">
      <w:pPr>
        <w:spacing w:line="276" w:lineRule="auto"/>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w:t>
      </w:r>
      <w:r w:rsidRPr="00162EE6">
        <w:rPr>
          <w:rStyle w:val="Refdenotaalpie"/>
          <w:rFonts w:ascii="Arial" w:hAnsi="Arial" w:eastAsia="Calibri" w:cs="Arial"/>
          <w:color w:val="000000" w:themeColor="text1"/>
          <w:sz w:val="22"/>
        </w:rPr>
        <w:footnoteReference w:id="9"/>
      </w:r>
      <w:r w:rsidRPr="00162EE6">
        <w:rPr>
          <w:rFonts w:ascii="Arial" w:hAnsi="Arial" w:eastAsia="Calibri" w:cs="Arial"/>
          <w:color w:val="000000" w:themeColor="text1"/>
          <w:sz w:val="22"/>
        </w:rPr>
        <w:t xml:space="preserve">. </w:t>
      </w:r>
    </w:p>
    <w:p w:rsidRPr="00162EE6" w:rsidR="00C133B6" w:rsidP="00C133B6" w:rsidRDefault="00C133B6" w14:paraId="617D9DD9" w14:textId="77777777">
      <w:pPr>
        <w:spacing w:before="120" w:line="276" w:lineRule="auto"/>
        <w:ind w:firstLine="708"/>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La </w:t>
      </w:r>
      <w:r w:rsidRPr="00162EE6">
        <w:rPr>
          <w:rFonts w:ascii="Arial" w:hAnsi="Arial" w:eastAsia="Calibri" w:cs="Arial"/>
          <w:i/>
          <w:iCs/>
          <w:color w:val="000000" w:themeColor="text1"/>
          <w:sz w:val="22"/>
        </w:rPr>
        <w:t>primera</w:t>
      </w:r>
      <w:r w:rsidRPr="00162EE6">
        <w:rPr>
          <w:rFonts w:ascii="Arial" w:hAnsi="Arial" w:eastAsia="Calibri" w:cs="Arial"/>
          <w:color w:val="000000" w:themeColor="text1"/>
          <w:sz w:val="22"/>
        </w:rPr>
        <w:t xml:space="preserve"> norma que estudió el Consejo de Estado fue el inciso 2 del artículo 1 del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 el cual establece que la interpretación de las expresiones que se encuentran en mayúsculas en 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 se harían de conformidad con la guía que expida la Agencia Nacional de Contratación Pública</w:t>
      </w:r>
      <w:r w:rsidRPr="00162EE6">
        <w:rPr>
          <w:rStyle w:val="Refdenotaalpie"/>
          <w:rFonts w:ascii="Arial" w:hAnsi="Arial" w:eastAsia="Calibri" w:cs="Arial"/>
          <w:color w:val="000000" w:themeColor="text1"/>
          <w:sz w:val="22"/>
        </w:rPr>
        <w:footnoteReference w:id="10"/>
      </w:r>
      <w:r w:rsidRPr="00162EE6">
        <w:rPr>
          <w:rFonts w:ascii="Arial" w:hAnsi="Arial" w:eastAsia="Calibri" w:cs="Arial"/>
          <w:color w:val="000000" w:themeColor="text1"/>
          <w:sz w:val="22"/>
        </w:rPr>
        <w:t xml:space="preserve">. Señaló que esta disposición, así como el inciso segundo del artículo 3 del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w:t>
      </w:r>
      <w:r w:rsidRPr="00162EE6">
        <w:rPr>
          <w:rStyle w:val="Refdenotaalpie"/>
          <w:rFonts w:ascii="Arial" w:hAnsi="Arial" w:eastAsia="Calibri" w:cs="Arial"/>
          <w:color w:val="000000" w:themeColor="text1"/>
          <w:sz w:val="22"/>
        </w:rPr>
        <w:footnoteReference w:id="11"/>
      </w:r>
      <w:r w:rsidRPr="00162EE6">
        <w:rPr>
          <w:rFonts w:ascii="Arial" w:hAnsi="Arial" w:eastAsia="Calibri" w:cs="Arial"/>
          <w:color w:val="000000" w:themeColor="text1"/>
          <w:sz w:val="22"/>
        </w:rPr>
        <w:t xml:space="preserve">, exceden la potestad </w:t>
      </w:r>
      <w:r w:rsidRPr="00162EE6">
        <w:rPr>
          <w:rFonts w:ascii="Arial" w:hAnsi="Arial" w:eastAsia="Calibri" w:cs="Arial"/>
          <w:color w:val="000000" w:themeColor="text1"/>
          <w:sz w:val="22"/>
        </w:rPr>
        <w:lastRenderedPageBreak/>
        <w:t xml:space="preserve">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rsidRPr="00162EE6" w:rsidR="00C133B6" w:rsidP="00C133B6" w:rsidRDefault="00C133B6" w14:paraId="2B1D899D" w14:textId="77777777">
      <w:pPr>
        <w:spacing w:line="276" w:lineRule="auto"/>
        <w:jc w:val="both"/>
        <w:rPr>
          <w:rFonts w:ascii="Arial" w:hAnsi="Arial" w:eastAsia="Calibri" w:cs="Arial"/>
          <w:color w:val="000000" w:themeColor="text1"/>
          <w:sz w:val="22"/>
        </w:rPr>
      </w:pPr>
    </w:p>
    <w:p w:rsidR="00C133B6" w:rsidP="00C133B6" w:rsidRDefault="00C133B6" w14:paraId="27352893" w14:textId="77777777">
      <w:pPr>
        <w:tabs>
          <w:tab w:val="left" w:pos="8789"/>
        </w:tabs>
        <w:ind w:left="708"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8F5656" w:rsidR="00C133B6" w:rsidP="00C133B6" w:rsidRDefault="00C133B6" w14:paraId="3D624F64" w14:textId="77777777">
      <w:pPr>
        <w:tabs>
          <w:tab w:val="left" w:pos="8789"/>
        </w:tabs>
        <w:spacing w:line="276" w:lineRule="auto"/>
        <w:ind w:left="708" w:right="709"/>
        <w:jc w:val="both"/>
        <w:rPr>
          <w:rFonts w:ascii="Arial" w:hAnsi="Arial" w:eastAsia="Calibri" w:cs="Arial"/>
          <w:color w:val="000000" w:themeColor="text1"/>
          <w:sz w:val="21"/>
          <w:szCs w:val="21"/>
        </w:rPr>
      </w:pPr>
    </w:p>
    <w:p w:rsidRPr="00162EE6" w:rsidR="00C133B6" w:rsidP="00C133B6" w:rsidRDefault="00C133B6" w14:paraId="7F8C8DCF" w14:textId="77777777">
      <w:pPr>
        <w:spacing w:line="276" w:lineRule="auto"/>
        <w:ind w:firstLine="709"/>
        <w:jc w:val="both"/>
        <w:rPr>
          <w:rFonts w:ascii="Arial" w:hAnsi="Arial" w:eastAsia="Calibri" w:cs="Arial"/>
          <w:color w:val="000000" w:themeColor="text1"/>
          <w:sz w:val="22"/>
        </w:rPr>
      </w:pPr>
      <w:bookmarkStart w:name="_Hlk95756437" w:id="7"/>
      <w:r w:rsidRPr="00162EE6">
        <w:rPr>
          <w:rFonts w:ascii="Arial" w:hAnsi="Arial" w:eastAsia="Calibri" w:cs="Arial"/>
          <w:color w:val="000000" w:themeColor="text1"/>
          <w:sz w:val="22"/>
        </w:rPr>
        <w:t>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w:t>
      </w:r>
      <w:bookmarkEnd w:id="7"/>
      <w:r w:rsidRPr="00162EE6">
        <w:rPr>
          <w:rFonts w:ascii="Arial" w:hAnsi="Arial" w:eastAsia="Calibri" w:cs="Arial"/>
          <w:color w:val="000000" w:themeColor="text1"/>
          <w:sz w:val="22"/>
        </w:rPr>
        <w:t xml:space="preserve">. </w:t>
      </w:r>
    </w:p>
    <w:p w:rsidRPr="00162EE6" w:rsidR="00C133B6" w:rsidP="00C133B6" w:rsidRDefault="00C133B6" w14:paraId="4E294046" w14:textId="77777777">
      <w:pPr>
        <w:spacing w:before="120" w:line="276" w:lineRule="auto"/>
        <w:ind w:firstLine="709"/>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La </w:t>
      </w:r>
      <w:r w:rsidRPr="00162EE6">
        <w:rPr>
          <w:rFonts w:ascii="Arial" w:hAnsi="Arial" w:eastAsia="Calibri" w:cs="Arial"/>
          <w:i/>
          <w:iCs/>
          <w:color w:val="000000" w:themeColor="text1"/>
          <w:sz w:val="22"/>
        </w:rPr>
        <w:t>segunda</w:t>
      </w:r>
      <w:r w:rsidRPr="00162EE6">
        <w:rPr>
          <w:rFonts w:ascii="Arial" w:hAnsi="Arial" w:eastAsia="Calibri" w:cs="Arial"/>
          <w:color w:val="000000" w:themeColor="text1"/>
          <w:sz w:val="22"/>
        </w:rPr>
        <w:t xml:space="preserve"> norma que analizó el Consejo de Estado fue el literal a), del artículo 2, del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162EE6">
        <w:rPr>
          <w:rStyle w:val="Refdenotaalpie"/>
          <w:rFonts w:ascii="Arial" w:hAnsi="Arial" w:cs="Arial"/>
          <w:color w:val="000000" w:themeColor="text1"/>
          <w:sz w:val="22"/>
        </w:rPr>
        <w:footnoteReference w:id="12"/>
      </w:r>
      <w:r w:rsidRPr="00162EE6">
        <w:rPr>
          <w:rFonts w:ascii="Arial" w:hAnsi="Arial" w:eastAsia="Calibri" w:cs="Arial"/>
          <w:color w:val="000000" w:themeColor="text1"/>
          <w:sz w:val="22"/>
        </w:rPr>
        <w:t xml:space="preserve">. </w:t>
      </w:r>
      <w:bookmarkStart w:name="_Hlk95756502" w:id="8"/>
      <w:r w:rsidRPr="00162EE6">
        <w:rPr>
          <w:rFonts w:ascii="Arial" w:hAnsi="Arial" w:eastAsia="Calibri" w:cs="Arial"/>
          <w:color w:val="000000" w:themeColor="text1"/>
          <w:sz w:val="22"/>
        </w:rPr>
        <w:t xml:space="preserve">En relación con esta norma, encontró que el literal a) del </w:t>
      </w:r>
      <w:r w:rsidRPr="00162EE6">
        <w:rPr>
          <w:rFonts w:ascii="Arial" w:hAnsi="Arial" w:eastAsia="Calibri" w:cs="Arial"/>
          <w:color w:val="000000" w:themeColor="text1"/>
          <w:sz w:val="22"/>
        </w:rPr>
        <w:lastRenderedPageBreak/>
        <w:t>artículo 2 establece dos condiciones contrarias al artículo 355 de la Constitución Política: primero, que el objeto tenga que estar «directamente» en los planes de desarrollo –nacional o territorial</w:t>
      </w:r>
      <w:r>
        <w:rPr>
          <w:rFonts w:ascii="Arial" w:hAnsi="Arial" w:eastAsia="Calibri" w:cs="Arial"/>
          <w:color w:val="000000" w:themeColor="text1"/>
          <w:sz w:val="22"/>
        </w:rPr>
        <w:t>–</w:t>
      </w:r>
      <w:r w:rsidRPr="00162EE6">
        <w:rPr>
          <w:rFonts w:ascii="Arial" w:hAnsi="Arial" w:eastAsia="Calibri" w:cs="Arial"/>
          <w:color w:val="000000" w:themeColor="text1"/>
          <w:sz w:val="22"/>
        </w:rPr>
        <w:t xml:space="preserve">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8"/>
      <w:r w:rsidRPr="00162EE6">
        <w:rPr>
          <w:rFonts w:ascii="Arial" w:hAnsi="Arial" w:eastAsia="Calibri" w:cs="Arial"/>
          <w:color w:val="000000" w:themeColor="text1"/>
          <w:sz w:val="22"/>
        </w:rPr>
        <w:t xml:space="preserve">En relación con lo anterior, el auto del Consejo de Estado </w:t>
      </w:r>
      <w:r>
        <w:rPr>
          <w:rFonts w:ascii="Arial" w:hAnsi="Arial" w:eastAsia="Calibri" w:cs="Arial"/>
          <w:color w:val="000000" w:themeColor="text1"/>
          <w:sz w:val="22"/>
        </w:rPr>
        <w:t>explica que</w:t>
      </w:r>
      <w:r w:rsidRPr="00162EE6">
        <w:rPr>
          <w:rFonts w:ascii="Arial" w:hAnsi="Arial" w:eastAsia="Calibri" w:cs="Arial"/>
          <w:color w:val="000000" w:themeColor="text1"/>
          <w:sz w:val="22"/>
        </w:rPr>
        <w:t xml:space="preserve">: </w:t>
      </w:r>
    </w:p>
    <w:p w:rsidRPr="00162EE6" w:rsidR="00C133B6" w:rsidP="00C133B6" w:rsidRDefault="00C133B6" w14:paraId="1F93A3DC" w14:textId="77777777">
      <w:pPr>
        <w:spacing w:line="276" w:lineRule="auto"/>
        <w:jc w:val="both"/>
        <w:rPr>
          <w:rFonts w:ascii="Arial" w:hAnsi="Arial" w:eastAsia="Calibri" w:cs="Arial"/>
          <w:color w:val="000000" w:themeColor="text1"/>
          <w:sz w:val="22"/>
        </w:rPr>
      </w:pPr>
    </w:p>
    <w:p w:rsidRPr="00162EE6" w:rsidR="00C133B6" w:rsidP="00C133B6" w:rsidRDefault="00C133B6" w14:paraId="7E01EE02" w14:textId="77777777">
      <w:pPr>
        <w:ind w:left="708"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rsidRPr="00162EE6" w:rsidR="00C133B6" w:rsidP="00C133B6" w:rsidRDefault="00C133B6" w14:paraId="2B14C0AF" w14:textId="77777777">
      <w:pPr>
        <w:spacing w:line="276" w:lineRule="auto"/>
        <w:jc w:val="both"/>
        <w:rPr>
          <w:rFonts w:ascii="Arial" w:hAnsi="Arial" w:eastAsia="Calibri" w:cs="Arial"/>
          <w:color w:val="000000" w:themeColor="text1"/>
          <w:sz w:val="22"/>
        </w:rPr>
      </w:pPr>
    </w:p>
    <w:p w:rsidRPr="00162EE6" w:rsidR="00C133B6" w:rsidP="00C133B6" w:rsidRDefault="00C133B6" w14:paraId="5630BA16" w14:textId="77777777">
      <w:pPr>
        <w:spacing w:line="276" w:lineRule="auto"/>
        <w:ind w:firstLine="708"/>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162EE6" w:rsidR="00C133B6" w:rsidP="00C133B6" w:rsidRDefault="00C133B6" w14:paraId="265FC6E5" w14:textId="77777777">
      <w:pPr>
        <w:spacing w:line="276" w:lineRule="auto"/>
        <w:jc w:val="both"/>
        <w:rPr>
          <w:rFonts w:ascii="Arial" w:hAnsi="Arial" w:eastAsia="Calibri" w:cs="Arial"/>
          <w:color w:val="000000" w:themeColor="text1"/>
          <w:sz w:val="22"/>
        </w:rPr>
      </w:pPr>
    </w:p>
    <w:p w:rsidRPr="00162EE6" w:rsidR="00C133B6" w:rsidP="00C133B6" w:rsidRDefault="00C133B6" w14:paraId="435DFE0E" w14:textId="77777777">
      <w:pPr>
        <w:tabs>
          <w:tab w:val="left" w:pos="8080"/>
        </w:tabs>
        <w:ind w:left="708"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162EE6" w:rsidR="00C133B6" w:rsidP="00C133B6" w:rsidRDefault="00C133B6" w14:paraId="07E84824" w14:textId="77777777">
      <w:pPr>
        <w:spacing w:line="276" w:lineRule="auto"/>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 </w:t>
      </w:r>
    </w:p>
    <w:p w:rsidRPr="00162EE6" w:rsidR="00C133B6" w:rsidP="00C133B6" w:rsidRDefault="00C133B6" w14:paraId="75243383" w14:textId="77777777">
      <w:pPr>
        <w:spacing w:before="120" w:line="276" w:lineRule="auto"/>
        <w:ind w:firstLine="709"/>
        <w:jc w:val="both"/>
        <w:rPr>
          <w:rFonts w:ascii="Arial" w:hAnsi="Arial" w:eastAsia="Calibri" w:cs="Arial"/>
          <w:color w:val="000000" w:themeColor="text1"/>
          <w:sz w:val="22"/>
        </w:rPr>
      </w:pPr>
      <w:bookmarkStart w:name="_Hlk95756534" w:id="9"/>
      <w:r>
        <w:rPr>
          <w:rFonts w:ascii="Arial" w:hAnsi="Arial" w:eastAsia="Calibri" w:cs="Arial"/>
          <w:color w:val="000000" w:themeColor="text1"/>
          <w:sz w:val="22"/>
        </w:rPr>
        <w:t>Así las cosas,</w:t>
      </w:r>
      <w:r w:rsidRPr="00162EE6">
        <w:rPr>
          <w:rFonts w:ascii="Arial" w:hAnsi="Arial" w:eastAsia="Calibri" w:cs="Arial"/>
          <w:color w:val="000000" w:themeColor="text1"/>
          <w:sz w:val="22"/>
        </w:rPr>
        <w:t xml:space="preserve"> el Consejo de Estado suspendió provisionalmente el literal a), por lo cual el objeto de los contratos debe ser acorde con los planes nacionales o seccionales de desarrollo; y no necesariamente estar previstos directamente en ellos</w:t>
      </w:r>
      <w:r>
        <w:rPr>
          <w:rFonts w:ascii="Arial" w:hAnsi="Arial" w:eastAsia="Calibri" w:cs="Arial"/>
          <w:color w:val="000000" w:themeColor="text1"/>
          <w:sz w:val="22"/>
        </w:rPr>
        <w:t>.</w:t>
      </w:r>
      <w:r w:rsidRPr="00162EE6">
        <w:rPr>
          <w:rFonts w:ascii="Arial" w:hAnsi="Arial" w:eastAsia="Calibri" w:cs="Arial"/>
          <w:color w:val="000000" w:themeColor="text1"/>
          <w:sz w:val="22"/>
        </w:rPr>
        <w:t xml:space="preserve"> </w:t>
      </w:r>
      <w:r>
        <w:rPr>
          <w:rFonts w:ascii="Arial" w:hAnsi="Arial" w:eastAsia="Calibri" w:cs="Arial"/>
          <w:color w:val="000000" w:themeColor="text1"/>
          <w:sz w:val="22"/>
        </w:rPr>
        <w:t>Por lo demás,</w:t>
      </w:r>
      <w:r w:rsidRPr="00162EE6">
        <w:rPr>
          <w:rFonts w:ascii="Arial" w:hAnsi="Arial" w:eastAsia="Calibri" w:cs="Arial"/>
          <w:color w:val="000000" w:themeColor="text1"/>
          <w:sz w:val="22"/>
        </w:rPr>
        <w:t xml:space="preserve"> no solo se pueden celebrar contratos para los objetos específicos señalados en 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w:t>
      </w:r>
    </w:p>
    <w:bookmarkEnd w:id="9"/>
    <w:p w:rsidRPr="00162EE6" w:rsidR="00C133B6" w:rsidP="00C133B6" w:rsidRDefault="00C133B6" w14:paraId="08D92FC4" w14:textId="77777777">
      <w:pPr>
        <w:spacing w:before="120" w:line="276" w:lineRule="auto"/>
        <w:ind w:firstLine="709"/>
        <w:jc w:val="both"/>
        <w:rPr>
          <w:rFonts w:ascii="Arial" w:hAnsi="Arial" w:eastAsia="Calibri" w:cs="Arial"/>
          <w:color w:val="000000" w:themeColor="text1"/>
          <w:sz w:val="22"/>
        </w:rPr>
      </w:pPr>
      <w:r w:rsidRPr="00162EE6">
        <w:rPr>
          <w:rFonts w:ascii="Arial" w:hAnsi="Arial" w:eastAsia="Calibri" w:cs="Arial"/>
          <w:color w:val="000000" w:themeColor="text1"/>
          <w:sz w:val="22"/>
        </w:rPr>
        <w:lastRenderedPageBreak/>
        <w:t xml:space="preserve">El Consejo de Estado, en </w:t>
      </w:r>
      <w:r w:rsidRPr="00162EE6">
        <w:rPr>
          <w:rFonts w:ascii="Arial" w:hAnsi="Arial" w:eastAsia="Calibri" w:cs="Arial"/>
          <w:i/>
          <w:iCs/>
          <w:color w:val="000000" w:themeColor="text1"/>
          <w:sz w:val="22"/>
        </w:rPr>
        <w:t>tercer</w:t>
      </w:r>
      <w:r w:rsidRPr="00162EE6">
        <w:rPr>
          <w:rFonts w:ascii="Arial" w:hAnsi="Arial" w:eastAsia="Calibri" w:cs="Arial"/>
          <w:color w:val="000000" w:themeColor="text1"/>
          <w:sz w:val="22"/>
        </w:rPr>
        <w:t xml:space="preserve"> lugar, examinó el literal c) y el inciso 5 del artículo 2 del Decreto</w:t>
      </w:r>
      <w:r w:rsidRPr="00162EE6">
        <w:rPr>
          <w:rStyle w:val="Refdenotaalpie"/>
          <w:rFonts w:ascii="Arial" w:hAnsi="Arial" w:eastAsia="Calibri" w:cs="Arial"/>
          <w:color w:val="000000" w:themeColor="text1"/>
          <w:sz w:val="22"/>
        </w:rPr>
        <w:footnoteReference w:id="13"/>
      </w:r>
      <w:r w:rsidRPr="00162EE6">
        <w:rPr>
          <w:rFonts w:ascii="Arial" w:hAnsi="Arial" w:eastAsia="Calibri" w:cs="Arial"/>
          <w:color w:val="000000" w:themeColor="text1"/>
          <w:sz w:val="22"/>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rsidRPr="00162EE6" w:rsidR="00C133B6" w:rsidP="00C133B6" w:rsidRDefault="00C133B6" w14:paraId="0F0A1965" w14:textId="77777777">
      <w:pPr>
        <w:spacing w:line="276" w:lineRule="auto"/>
        <w:jc w:val="both"/>
        <w:rPr>
          <w:rFonts w:ascii="Arial" w:hAnsi="Arial" w:eastAsia="Calibri" w:cs="Arial"/>
          <w:color w:val="000000" w:themeColor="text1"/>
          <w:sz w:val="22"/>
        </w:rPr>
      </w:pPr>
    </w:p>
    <w:p w:rsidRPr="00162EE6" w:rsidR="00C133B6" w:rsidP="00C133B6" w:rsidRDefault="00C133B6" w14:paraId="117CEB18" w14:textId="77777777">
      <w:pPr>
        <w:ind w:left="708" w:right="709"/>
        <w:jc w:val="both"/>
        <w:rPr>
          <w:rFonts w:ascii="Arial" w:hAnsi="Arial" w:eastAsia="Calibri" w:cs="Arial"/>
          <w:color w:val="000000" w:themeColor="text1"/>
          <w:sz w:val="21"/>
          <w:szCs w:val="21"/>
        </w:rPr>
      </w:pPr>
      <w:r w:rsidRPr="00162EE6">
        <w:rPr>
          <w:rFonts w:ascii="Arial" w:hAnsi="Arial" w:eastAsia="Calibri"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rsidRPr="00162EE6" w:rsidR="00C133B6" w:rsidP="00C133B6" w:rsidRDefault="00C133B6" w14:paraId="0053C26D" w14:textId="77777777">
      <w:pPr>
        <w:spacing w:line="276" w:lineRule="auto"/>
        <w:jc w:val="both"/>
        <w:rPr>
          <w:rFonts w:ascii="Arial" w:hAnsi="Arial" w:eastAsia="Calibri" w:cs="Arial"/>
          <w:color w:val="000000" w:themeColor="text1"/>
          <w:sz w:val="22"/>
        </w:rPr>
      </w:pPr>
    </w:p>
    <w:p w:rsidRPr="00162EE6" w:rsidR="00C133B6" w:rsidP="00C133B6" w:rsidRDefault="00C133B6" w14:paraId="285686BF" w14:textId="77777777">
      <w:pPr>
        <w:spacing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Por tanto</w:t>
      </w:r>
      <w:r w:rsidRPr="00162EE6">
        <w:rPr>
          <w:rFonts w:ascii="Arial" w:hAnsi="Arial" w:eastAsia="Calibri" w:cs="Arial"/>
          <w:color w:val="000000" w:themeColor="text1"/>
          <w:sz w:val="22"/>
        </w:rPr>
        <w:t xml:space="preserve">, suspendió provisionalmente el literal c) y el inciso 5º del artículo 2 del Decreto </w:t>
      </w:r>
      <w:r>
        <w:rPr>
          <w:rFonts w:ascii="Arial" w:hAnsi="Arial" w:eastAsia="Calibri" w:cs="Arial"/>
          <w:color w:val="000000" w:themeColor="text1"/>
          <w:sz w:val="22"/>
        </w:rPr>
        <w:t>0</w:t>
      </w:r>
      <w:r w:rsidRPr="00162EE6">
        <w:rPr>
          <w:rFonts w:ascii="Arial" w:hAnsi="Arial" w:eastAsia="Calibri" w:cs="Arial"/>
          <w:color w:val="000000" w:themeColor="text1"/>
          <w:sz w:val="22"/>
        </w:rPr>
        <w:t>92 de 2017, razón por la cual los procesos de contratación con entidades privadas sin ánimo de lucro no quedan condicionados a la inexistencia de oferta en el mercado de bienes y servicios, ni a que la ESAL garantice la mejor oferta y la optimización de los recursos públicos</w:t>
      </w:r>
      <w:r>
        <w:rPr>
          <w:rFonts w:ascii="Arial" w:hAnsi="Arial" w:eastAsia="Calibri" w:cs="Arial"/>
          <w:color w:val="000000" w:themeColor="text1"/>
          <w:sz w:val="22"/>
        </w:rPr>
        <w:t>. Lo anterior, en la medida que</w:t>
      </w:r>
      <w:r w:rsidRPr="00162EE6">
        <w:rPr>
          <w:rFonts w:ascii="Arial" w:hAnsi="Arial" w:eastAsia="Calibri" w:cs="Arial"/>
          <w:color w:val="000000" w:themeColor="text1"/>
          <w:sz w:val="22"/>
        </w:rPr>
        <w:t xml:space="preserve"> estas condiciones son propias de la contratación del Estatuto General de Contratación de la Administración Pública</w:t>
      </w:r>
      <w:r>
        <w:rPr>
          <w:rFonts w:ascii="Arial" w:hAnsi="Arial" w:eastAsia="Calibri" w:cs="Arial"/>
          <w:color w:val="000000" w:themeColor="text1"/>
          <w:sz w:val="22"/>
        </w:rPr>
        <w:t>,</w:t>
      </w:r>
      <w:r w:rsidRPr="00162EE6">
        <w:rPr>
          <w:rFonts w:ascii="Arial" w:hAnsi="Arial" w:eastAsia="Calibri" w:cs="Arial"/>
          <w:color w:val="000000" w:themeColor="text1"/>
          <w:sz w:val="22"/>
        </w:rPr>
        <w:t xml:space="preserve"> no del régimen jurídico especial que establece el artículo 355 de la Constitución Política.</w:t>
      </w:r>
    </w:p>
    <w:p w:rsidRPr="00162EE6" w:rsidR="00C133B6" w:rsidP="00C133B6" w:rsidRDefault="00C133B6" w14:paraId="1A7C1B3E" w14:textId="77777777">
      <w:pPr>
        <w:spacing w:before="120" w:line="276" w:lineRule="auto"/>
        <w:ind w:firstLine="709"/>
        <w:jc w:val="both"/>
        <w:rPr>
          <w:rFonts w:ascii="Arial" w:hAnsi="Arial" w:eastAsia="Calibri" w:cs="Arial"/>
          <w:color w:val="000000" w:themeColor="text1"/>
          <w:sz w:val="22"/>
        </w:rPr>
      </w:pPr>
      <w:r w:rsidRPr="00162EE6">
        <w:rPr>
          <w:rFonts w:ascii="Arial" w:hAnsi="Arial" w:eastAsia="Calibri" w:cs="Arial"/>
          <w:color w:val="000000" w:themeColor="text1"/>
          <w:sz w:val="22"/>
        </w:rPr>
        <w:t xml:space="preserve">La </w:t>
      </w:r>
      <w:r w:rsidRPr="00162EE6">
        <w:rPr>
          <w:rFonts w:ascii="Arial" w:hAnsi="Arial" w:eastAsia="Calibri" w:cs="Arial"/>
          <w:i/>
          <w:iCs/>
          <w:color w:val="000000" w:themeColor="text1"/>
          <w:sz w:val="22"/>
        </w:rPr>
        <w:t>cuarta</w:t>
      </w:r>
      <w:r w:rsidRPr="00162EE6">
        <w:rPr>
          <w:rFonts w:ascii="Arial" w:hAnsi="Arial" w:eastAsia="Calibri" w:cs="Arial"/>
          <w:color w:val="000000" w:themeColor="text1"/>
          <w:sz w:val="22"/>
        </w:rPr>
        <w:t xml:space="preserve"> norma que estudió el Consejo de Estado fue el inciso final del artículo 4 del </w:t>
      </w:r>
      <w:r>
        <w:rPr>
          <w:rFonts w:ascii="Arial" w:hAnsi="Arial" w:eastAsia="Calibri" w:cs="Arial"/>
          <w:color w:val="000000" w:themeColor="text1"/>
          <w:sz w:val="22"/>
        </w:rPr>
        <w:t>Decreto 092</w:t>
      </w:r>
      <w:r w:rsidRPr="00162EE6">
        <w:rPr>
          <w:rFonts w:ascii="Arial" w:hAnsi="Arial" w:eastAsia="Calibri" w:cs="Arial"/>
          <w:color w:val="000000" w:themeColor="text1"/>
          <w:sz w:val="22"/>
        </w:rPr>
        <w:t xml:space="preserve">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162EE6">
        <w:rPr>
          <w:rStyle w:val="Refdenotaalpie"/>
          <w:rFonts w:ascii="Arial" w:hAnsi="Arial" w:eastAsia="Calibri" w:cs="Arial"/>
          <w:color w:val="000000" w:themeColor="text1"/>
          <w:sz w:val="22"/>
        </w:rPr>
        <w:footnoteReference w:id="14"/>
      </w:r>
      <w:r w:rsidRPr="00162EE6">
        <w:rPr>
          <w:rFonts w:ascii="Arial" w:hAnsi="Arial" w:eastAsia="Calibri" w:cs="Arial"/>
          <w:color w:val="000000" w:themeColor="text1"/>
          <w:sz w:val="22"/>
        </w:rPr>
        <w:t xml:space="preserve">. Para la Sala, esta norma vulnera el </w:t>
      </w:r>
      <w:r w:rsidRPr="00162EE6">
        <w:rPr>
          <w:rFonts w:ascii="Arial" w:hAnsi="Arial" w:eastAsia="Calibri" w:cs="Arial"/>
          <w:color w:val="000000" w:themeColor="text1"/>
          <w:sz w:val="22"/>
        </w:rPr>
        <w:lastRenderedPageBreak/>
        <w:t xml:space="preserve">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rsidRPr="00162EE6" w:rsidR="00C133B6" w:rsidP="00C133B6" w:rsidRDefault="00C133B6" w14:paraId="262DD0D3" w14:textId="77777777">
      <w:pPr>
        <w:spacing w:line="276" w:lineRule="auto"/>
        <w:jc w:val="both"/>
        <w:rPr>
          <w:rFonts w:ascii="Arial" w:hAnsi="Arial" w:eastAsia="Calibri" w:cs="Arial"/>
          <w:color w:val="000000" w:themeColor="text1"/>
          <w:sz w:val="22"/>
        </w:rPr>
      </w:pPr>
    </w:p>
    <w:p w:rsidRPr="00371735" w:rsidR="00C133B6" w:rsidP="00C133B6" w:rsidRDefault="00C133B6" w14:paraId="46B0E413" w14:textId="77777777">
      <w:pPr>
        <w:ind w:left="708" w:right="709"/>
        <w:jc w:val="both"/>
        <w:rPr>
          <w:rFonts w:ascii="Arial" w:hAnsi="Arial" w:eastAsia="Calibri" w:cs="Arial"/>
          <w:color w:val="000000" w:themeColor="text1"/>
          <w:sz w:val="21"/>
          <w:szCs w:val="21"/>
        </w:rPr>
      </w:pPr>
      <w:r w:rsidRPr="00371735">
        <w:rPr>
          <w:rFonts w:ascii="Arial" w:hAnsi="Arial" w:eastAsia="Calibri"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rsidRPr="00371735" w:rsidR="00C133B6" w:rsidP="00C133B6" w:rsidRDefault="00C133B6" w14:paraId="0B2A9A4D" w14:textId="77777777">
      <w:pPr>
        <w:spacing w:line="276" w:lineRule="auto"/>
        <w:ind w:firstLine="709"/>
        <w:jc w:val="both"/>
        <w:rPr>
          <w:rFonts w:ascii="Arial" w:hAnsi="Arial" w:eastAsia="Calibri" w:cs="Arial"/>
          <w:color w:val="000000" w:themeColor="text1"/>
          <w:sz w:val="22"/>
        </w:rPr>
      </w:pPr>
      <w:bookmarkStart w:name="_Hlk95756891" w:id="10"/>
    </w:p>
    <w:p w:rsidRPr="00371735" w:rsidR="00C133B6" w:rsidP="00C133B6" w:rsidRDefault="00C133B6" w14:paraId="7C6E36F0" w14:textId="77777777">
      <w:pPr>
        <w:spacing w:line="276" w:lineRule="auto"/>
        <w:ind w:firstLine="709"/>
        <w:jc w:val="both"/>
        <w:rPr>
          <w:rFonts w:ascii="Arial" w:hAnsi="Arial" w:eastAsia="Calibri" w:cs="Arial"/>
          <w:color w:val="000000" w:themeColor="text1"/>
          <w:sz w:val="22"/>
        </w:rPr>
      </w:pPr>
      <w:r w:rsidRPr="00371735">
        <w:rPr>
          <w:rFonts w:ascii="Arial" w:hAnsi="Arial" w:eastAsia="Calibri" w:cs="Arial"/>
          <w:color w:val="000000" w:themeColor="text1"/>
          <w:sz w:val="22"/>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0"/>
      <w:r w:rsidRPr="00371735">
        <w:rPr>
          <w:rFonts w:ascii="Arial" w:hAnsi="Arial" w:eastAsia="Calibri" w:cs="Arial"/>
          <w:color w:val="000000" w:themeColor="text1"/>
          <w:sz w:val="22"/>
        </w:rPr>
        <w:t xml:space="preserve">En estos procesos, entonces, se debe acudir a los criterios aplicables a los otros negocios jurídicos que regula el Decreto 092 de 2017, particularmente las exigencias del artículo 2 </w:t>
      </w:r>
      <w:r w:rsidRPr="00371735">
        <w:rPr>
          <w:rFonts w:ascii="Arial" w:hAnsi="Arial" w:eastAsia="Calibri" w:cs="Arial"/>
          <w:i/>
          <w:iCs/>
          <w:color w:val="000000" w:themeColor="text1"/>
          <w:sz w:val="22"/>
        </w:rPr>
        <w:t>ibidem</w:t>
      </w:r>
      <w:r w:rsidRPr="00371735">
        <w:rPr>
          <w:rFonts w:ascii="Arial" w:hAnsi="Arial" w:eastAsia="Calibri" w:cs="Arial"/>
          <w:color w:val="000000" w:themeColor="text1"/>
          <w:sz w:val="22"/>
        </w:rPr>
        <w:t xml:space="preserve">. Incluso, habría que tener en cuenta las exigencias del inciso 2 del artículo 4 </w:t>
      </w:r>
      <w:r w:rsidRPr="00371735">
        <w:rPr>
          <w:rFonts w:ascii="Arial" w:hAnsi="Arial" w:eastAsia="Calibri" w:cs="Arial"/>
          <w:i/>
          <w:iCs/>
          <w:color w:val="000000" w:themeColor="text1"/>
          <w:sz w:val="22"/>
        </w:rPr>
        <w:t>íbídem</w:t>
      </w:r>
      <w:r w:rsidRPr="00371735">
        <w:rPr>
          <w:rFonts w:ascii="Arial" w:hAnsi="Arial" w:eastAsia="Calibri" w:cs="Arial"/>
          <w:color w:val="000000" w:themeColor="text1"/>
          <w:sz w:val="22"/>
        </w:rPr>
        <w:t>, siempre que se configuren los supuestos de aplicación de dicha normativa, esto es, siempre que exista más de una entidad sin ánimo de lucro de reconocida idoneidad.</w:t>
      </w:r>
    </w:p>
    <w:p w:rsidRPr="00371735" w:rsidR="00C133B6" w:rsidP="00C133B6" w:rsidRDefault="00C133B6" w14:paraId="2B3E9385" w14:textId="77777777">
      <w:pPr>
        <w:spacing w:before="120" w:line="276" w:lineRule="auto"/>
        <w:ind w:firstLine="709"/>
        <w:jc w:val="both"/>
        <w:rPr>
          <w:rFonts w:ascii="Arial" w:hAnsi="Arial" w:eastAsia="Calibri" w:cs="Arial"/>
          <w:color w:val="000000" w:themeColor="text1"/>
          <w:sz w:val="22"/>
        </w:rPr>
      </w:pPr>
      <w:bookmarkStart w:name="_Hlk95757095" w:id="11"/>
      <w:r w:rsidRPr="00371735">
        <w:rPr>
          <w:rFonts w:ascii="Arial" w:hAnsi="Arial" w:eastAsia="Calibri" w:cs="Arial"/>
          <w:color w:val="000000" w:themeColor="text1"/>
          <w:sz w:val="22"/>
        </w:rPr>
        <w:t xml:space="preserve">Por último, en </w:t>
      </w:r>
      <w:r w:rsidRPr="00371735">
        <w:rPr>
          <w:rFonts w:ascii="Arial" w:hAnsi="Arial" w:eastAsia="Calibri" w:cs="Arial"/>
          <w:i/>
          <w:iCs/>
          <w:color w:val="000000" w:themeColor="text1"/>
          <w:sz w:val="22"/>
        </w:rPr>
        <w:t xml:space="preserve">quinto </w:t>
      </w:r>
      <w:r w:rsidRPr="00371735">
        <w:rPr>
          <w:rFonts w:ascii="Arial" w:hAnsi="Arial" w:eastAsia="Calibri" w:cs="Arial"/>
          <w:color w:val="000000" w:themeColor="text1"/>
          <w:sz w:val="22"/>
        </w:rPr>
        <w:t xml:space="preserve">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rsidRPr="00371735" w:rsidR="00C133B6" w:rsidP="00C133B6" w:rsidRDefault="00C133B6" w14:paraId="1AAE1263" w14:textId="77777777">
      <w:pPr>
        <w:spacing w:before="120" w:line="276" w:lineRule="auto"/>
        <w:ind w:firstLine="709"/>
        <w:jc w:val="both"/>
        <w:rPr>
          <w:rFonts w:ascii="Arial" w:hAnsi="Arial" w:eastAsia="Calibri" w:cs="Arial"/>
          <w:color w:val="000000" w:themeColor="text1"/>
          <w:sz w:val="22"/>
        </w:rPr>
      </w:pPr>
      <w:bookmarkStart w:name="_Hlk95757157" w:id="12"/>
      <w:bookmarkEnd w:id="11"/>
      <w:r w:rsidRPr="00371735">
        <w:rPr>
          <w:rFonts w:ascii="Arial" w:hAnsi="Arial" w:cs="Arial"/>
          <w:color w:val="000000" w:themeColor="text1"/>
          <w:sz w:val="22"/>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w:t>
      </w:r>
      <w:r w:rsidRPr="00371735">
        <w:rPr>
          <w:rFonts w:ascii="Arial" w:hAnsi="Arial" w:cs="Arial"/>
          <w:color w:val="000000" w:themeColor="text1"/>
          <w:sz w:val="22"/>
        </w:rPr>
        <w:lastRenderedPageBreak/>
        <w:t>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Pr="00371735" w:rsidR="00C133B6" w:rsidP="00C133B6" w:rsidRDefault="00C133B6" w14:paraId="230414DE" w14:textId="77777777">
      <w:pPr>
        <w:spacing w:before="120" w:line="276" w:lineRule="auto"/>
        <w:ind w:firstLine="709"/>
        <w:jc w:val="both"/>
        <w:rPr>
          <w:rFonts w:ascii="Arial" w:hAnsi="Arial" w:eastAsia="Calibri" w:cs="Arial"/>
          <w:color w:val="000000" w:themeColor="text1"/>
          <w:sz w:val="22"/>
        </w:rPr>
      </w:pPr>
      <w:r w:rsidRPr="00371735">
        <w:rPr>
          <w:rFonts w:ascii="Arial" w:hAnsi="Arial" w:eastAsia="Calibri" w:cs="Arial"/>
          <w:color w:val="000000" w:themeColor="text1"/>
          <w:sz w:val="22"/>
        </w:rPr>
        <w:t xml:space="preserve">Ahora, si se pretende realizar un </w:t>
      </w:r>
      <w:r w:rsidRPr="00371735">
        <w:rPr>
          <w:rFonts w:ascii="Arial" w:hAnsi="Arial" w:eastAsia="Calibri" w:cs="Arial"/>
          <w:i/>
          <w:iCs/>
          <w:color w:val="000000" w:themeColor="text1"/>
          <w:sz w:val="22"/>
        </w:rPr>
        <w:t>convenio de asociación</w:t>
      </w:r>
      <w:r w:rsidRPr="00371735">
        <w:rPr>
          <w:rFonts w:ascii="Arial" w:hAnsi="Arial" w:eastAsia="Calibri"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w:t>
      </w:r>
      <w:bookmarkEnd w:id="12"/>
      <w:r w:rsidRPr="00371735">
        <w:rPr>
          <w:rFonts w:ascii="Arial" w:hAnsi="Arial" w:eastAsia="Calibri" w:cs="Arial"/>
          <w:color w:val="000000" w:themeColor="text1"/>
          <w:sz w:val="22"/>
        </w:rPr>
        <w:t>deben estar sujetos a competencia, salvo en aquellos casos en que una entidad sin ánimo de lucro comprometa recursos en dinero por un valor igual o superior al 30% del valor total del convenio</w:t>
      </w:r>
      <w:r w:rsidRPr="00371735">
        <w:rPr>
          <w:rStyle w:val="Refdenotaalpie"/>
          <w:rFonts w:ascii="Arial" w:hAnsi="Arial" w:cs="Arial"/>
          <w:color w:val="000000" w:themeColor="text1"/>
          <w:sz w:val="20"/>
          <w:szCs w:val="20"/>
        </w:rPr>
        <w:footnoteReference w:id="15"/>
      </w:r>
      <w:r w:rsidRPr="00371735">
        <w:rPr>
          <w:rFonts w:ascii="Arial" w:hAnsi="Arial" w:eastAsia="Calibri" w:cs="Arial"/>
          <w:color w:val="000000" w:themeColor="text1"/>
          <w:sz w:val="22"/>
        </w:rPr>
        <w:t xml:space="preserve">, y siempre que la entidad estatal verifique previamente que no existe ninguna otra entidad sin ánimo de lucro que ofrezca aportes iguales o superiores al 30%. </w:t>
      </w:r>
      <w:r w:rsidRPr="00371735">
        <w:rPr>
          <w:rFonts w:ascii="Arial" w:hAnsi="Arial" w:eastAsia="Calibri" w:cs="Arial"/>
          <w:color w:val="000000"/>
          <w:sz w:val="22"/>
        </w:rPr>
        <w:t>Lo anterior sin perjuicio de las restricciones previstas en el artículo 33 de la Ley de Garantías durante el periodo preelectoral de las elecciones presidenciales para los procesos no competitivos</w:t>
      </w:r>
      <w:r w:rsidRPr="00371735">
        <w:rPr>
          <w:rFonts w:ascii="Arial" w:hAnsi="Arial" w:eastAsia="Calibri" w:cs="Arial"/>
          <w:color w:val="000000" w:themeColor="text1"/>
          <w:sz w:val="22"/>
        </w:rPr>
        <w:t>.</w:t>
      </w:r>
    </w:p>
    <w:p w:rsidRPr="00371735" w:rsidR="00C133B6" w:rsidP="00C133B6" w:rsidRDefault="00C133B6" w14:paraId="6EA14543" w14:textId="77777777">
      <w:pPr>
        <w:spacing w:before="120" w:line="276" w:lineRule="auto"/>
        <w:ind w:firstLine="709"/>
        <w:jc w:val="both"/>
        <w:rPr>
          <w:rFonts w:ascii="Arial" w:hAnsi="Arial" w:eastAsia="Calibri" w:cs="Arial"/>
          <w:color w:val="000000" w:themeColor="text1"/>
          <w:sz w:val="22"/>
        </w:rPr>
      </w:pPr>
      <w:r w:rsidRPr="00371735">
        <w:rPr>
          <w:rFonts w:ascii="Arial" w:hAnsi="Arial" w:eastAsia="Calibri" w:cs="Arial"/>
          <w:color w:val="000000" w:themeColor="text1"/>
          <w:sz w:val="22"/>
        </w:rPr>
        <w:t>Finalmente,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371735">
        <w:rPr>
          <w:rStyle w:val="Refdenotaalpie"/>
          <w:rFonts w:ascii="Arial" w:hAnsi="Arial" w:eastAsia="Calibri" w:cs="Arial"/>
          <w:color w:val="000000" w:themeColor="text1"/>
          <w:sz w:val="22"/>
        </w:rPr>
        <w:footnoteReference w:id="16"/>
      </w:r>
      <w:r w:rsidRPr="00371735">
        <w:rPr>
          <w:rFonts w:ascii="Arial" w:hAnsi="Arial" w:eastAsia="Calibri" w:cs="Arial"/>
          <w:color w:val="000000" w:themeColor="text1"/>
          <w:sz w:val="22"/>
        </w:rPr>
        <w:t xml:space="preserve">. </w:t>
      </w:r>
    </w:p>
    <w:p w:rsidRPr="00371735" w:rsidR="00C133B6" w:rsidP="00C133B6" w:rsidRDefault="00C133B6" w14:paraId="3BEB1985" w14:textId="77777777">
      <w:pPr>
        <w:spacing w:line="276" w:lineRule="auto"/>
        <w:ind w:right="709"/>
        <w:jc w:val="both"/>
        <w:rPr>
          <w:rFonts w:ascii="Arial" w:hAnsi="Arial" w:cs="Arial"/>
          <w:color w:val="000000" w:themeColor="text1"/>
          <w:sz w:val="21"/>
          <w:szCs w:val="21"/>
          <w:lang w:val="es-CO"/>
        </w:rPr>
      </w:pPr>
    </w:p>
    <w:p w:rsidRPr="00371735" w:rsidR="00C133B6" w:rsidP="00C133B6" w:rsidRDefault="00C133B6" w14:paraId="453ED8A9" w14:textId="77777777">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371735">
        <w:rPr>
          <w:rFonts w:ascii="Arial" w:hAnsi="Arial" w:cs="Arial"/>
          <w:b/>
          <w:bCs/>
          <w:color w:val="000000" w:themeColor="text1"/>
          <w:sz w:val="22"/>
          <w:lang w:val="es-CO"/>
        </w:rPr>
        <w:t xml:space="preserve">Respuesta </w:t>
      </w:r>
    </w:p>
    <w:p w:rsidRPr="00371735" w:rsidR="00C133B6" w:rsidP="00C133B6" w:rsidRDefault="00C133B6" w14:paraId="170AA0F7" w14:textId="77777777">
      <w:pPr>
        <w:jc w:val="both"/>
        <w:rPr>
          <w:rFonts w:ascii="Arial" w:hAnsi="Arial" w:cs="Arial"/>
          <w:color w:val="000000" w:themeColor="text1"/>
          <w:sz w:val="22"/>
          <w:lang w:val="es-CO"/>
        </w:rPr>
      </w:pPr>
    </w:p>
    <w:p w:rsidRPr="00371735" w:rsidR="00C133B6" w:rsidP="00C133B6" w:rsidRDefault="00C133B6" w14:paraId="0DCDE7D8" w14:textId="77777777">
      <w:pPr>
        <w:spacing w:after="120"/>
        <w:ind w:left="709" w:right="709"/>
        <w:jc w:val="both"/>
        <w:rPr>
          <w:rFonts w:ascii="Arial" w:hAnsi="Arial" w:eastAsia="Calibri" w:cs="Arial"/>
          <w:color w:val="000000" w:themeColor="text1"/>
          <w:sz w:val="21"/>
          <w:szCs w:val="21"/>
        </w:rPr>
      </w:pPr>
      <w:r w:rsidRPr="00371735">
        <w:rPr>
          <w:rFonts w:ascii="Arial" w:hAnsi="Arial" w:eastAsia="Calibri" w:cs="Arial"/>
          <w:color w:val="000000" w:themeColor="text1"/>
          <w:sz w:val="21"/>
          <w:szCs w:val="21"/>
        </w:rPr>
        <w:lastRenderedPageBreak/>
        <w:t>i) «En primer lugar, se puede contratar a través del decreto 092 de 2017, proyectos señalados en el plan de desarrollo».</w:t>
      </w:r>
    </w:p>
    <w:p w:rsidRPr="00371735" w:rsidR="00C133B6" w:rsidP="00C133B6" w:rsidRDefault="00C133B6" w14:paraId="2F440137" w14:textId="77777777">
      <w:pPr>
        <w:ind w:left="709" w:right="709"/>
        <w:jc w:val="both"/>
        <w:rPr>
          <w:rFonts w:ascii="Arial" w:hAnsi="Arial" w:eastAsia="Calibri" w:cs="Arial"/>
          <w:color w:val="000000" w:themeColor="text1"/>
          <w:sz w:val="21"/>
          <w:szCs w:val="21"/>
        </w:rPr>
      </w:pPr>
      <w:r w:rsidRPr="00371735">
        <w:rPr>
          <w:rFonts w:ascii="Arial" w:hAnsi="Arial" w:eastAsia="Calibri" w:cs="Arial"/>
          <w:color w:val="000000" w:themeColor="text1"/>
          <w:sz w:val="21"/>
          <w:szCs w:val="21"/>
        </w:rPr>
        <w:t>ii) «Qué tipo de actividades se pueden contratar hoy a través de esta modalidad es decir con ESAL amparados en el Decreto 092 de 2017».</w:t>
      </w:r>
    </w:p>
    <w:p w:rsidRPr="00371735" w:rsidR="00C133B6" w:rsidP="00C133B6" w:rsidRDefault="00C133B6" w14:paraId="5EEF7A36" w14:textId="77777777">
      <w:pPr>
        <w:spacing w:line="276" w:lineRule="auto"/>
        <w:ind w:left="709" w:right="709"/>
        <w:jc w:val="both"/>
        <w:rPr>
          <w:rFonts w:ascii="Arial" w:hAnsi="Arial" w:eastAsia="Calibri" w:cs="Arial"/>
          <w:color w:val="000000" w:themeColor="text1"/>
          <w:sz w:val="21"/>
          <w:szCs w:val="21"/>
        </w:rPr>
      </w:pPr>
    </w:p>
    <w:p w:rsidRPr="00371735" w:rsidR="00C133B6" w:rsidP="00C133B6" w:rsidRDefault="00C133B6" w14:paraId="243064A7" w14:textId="77777777">
      <w:pPr>
        <w:spacing w:line="276" w:lineRule="auto"/>
        <w:jc w:val="both"/>
        <w:rPr>
          <w:rFonts w:ascii="Arial" w:hAnsi="Arial" w:eastAsia="Calibri" w:cs="Arial"/>
          <w:color w:val="000000" w:themeColor="text1"/>
          <w:sz w:val="22"/>
        </w:rPr>
      </w:pPr>
      <w:r w:rsidRPr="00371735">
        <w:rPr>
          <w:rFonts w:ascii="Arial" w:hAnsi="Arial" w:cs="Arial"/>
          <w:color w:val="000000" w:themeColor="text1"/>
          <w:sz w:val="22"/>
        </w:rPr>
        <w:t>De acuerdo con las ideas expuestas en el presente concepto, la contratación con entidades sin ánimo de lucro se sigue rigiendo por el Decreto 092 de 2017, salvo lo que fue objeto de suspensión provisional por parte del Consejo de Estado.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Pr="00162EE6" w:rsidR="00C133B6" w:rsidP="00C133B6" w:rsidRDefault="00C133B6" w14:paraId="6F9217E2" w14:textId="77777777">
      <w:pPr>
        <w:spacing w:before="120" w:line="276" w:lineRule="auto"/>
        <w:ind w:firstLine="709"/>
        <w:jc w:val="both"/>
        <w:rPr>
          <w:rFonts w:ascii="Arial" w:hAnsi="Arial" w:eastAsia="Calibri" w:cs="Arial"/>
          <w:color w:val="000000" w:themeColor="text1"/>
          <w:sz w:val="22"/>
        </w:rPr>
      </w:pPr>
      <w:r w:rsidRPr="00371735">
        <w:rPr>
          <w:rFonts w:ascii="Arial" w:hAnsi="Arial" w:eastAsia="Calibri" w:cs="Arial"/>
          <w:color w:val="000000" w:themeColor="text1"/>
          <w:sz w:val="22"/>
        </w:rPr>
        <w:t xml:space="preserve">Ahora, si se pretende realizar un </w:t>
      </w:r>
      <w:r w:rsidRPr="00371735">
        <w:rPr>
          <w:rFonts w:ascii="Arial" w:hAnsi="Arial" w:eastAsia="Calibri" w:cs="Arial"/>
          <w:i/>
          <w:iCs/>
          <w:color w:val="000000" w:themeColor="text1"/>
          <w:sz w:val="22"/>
        </w:rPr>
        <w:t>convenio de asociación</w:t>
      </w:r>
      <w:r w:rsidRPr="00371735">
        <w:rPr>
          <w:rFonts w:ascii="Arial" w:hAnsi="Arial" w:eastAsia="Calibri"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deben estar sujetos a competencia, salvo en aquellos casos en que una entidad sin ánimo de lucro comprometa recursos en dinero por un valor igual o superior al 30% del valor total del convenio</w:t>
      </w:r>
      <w:r w:rsidRPr="00371735">
        <w:rPr>
          <w:rStyle w:val="Refdenotaalpie"/>
          <w:rFonts w:ascii="Arial" w:hAnsi="Arial" w:cs="Arial"/>
          <w:color w:val="000000" w:themeColor="text1"/>
          <w:sz w:val="20"/>
          <w:szCs w:val="20"/>
        </w:rPr>
        <w:footnoteReference w:id="17"/>
      </w:r>
      <w:r w:rsidRPr="00371735">
        <w:rPr>
          <w:rFonts w:ascii="Arial" w:hAnsi="Arial" w:eastAsia="Calibri" w:cs="Arial"/>
          <w:color w:val="000000" w:themeColor="text1"/>
          <w:sz w:val="22"/>
        </w:rPr>
        <w:t xml:space="preserve">, y siempre que la entidad estatal verifique previamente que no existe ninguna otra entidad sin ánimo de lucro que ofrezca aportes iguales o superiores al 30%. </w:t>
      </w:r>
      <w:r w:rsidRPr="00371735">
        <w:rPr>
          <w:rFonts w:ascii="Arial" w:hAnsi="Arial" w:eastAsia="Calibri" w:cs="Arial"/>
          <w:color w:val="000000"/>
          <w:sz w:val="22"/>
        </w:rPr>
        <w:t>Lo anterior sin perjuicio de las restricciones previstas en el artículo 33 de la Ley de Garantías durante el periodo preelectoral de las elecciones presidenciales para los procesos no competitivos.</w:t>
      </w:r>
    </w:p>
    <w:p w:rsidRPr="00162EE6" w:rsidR="00C133B6" w:rsidP="00C133B6" w:rsidRDefault="00C133B6" w14:paraId="52AB224D" w14:textId="77777777">
      <w:pPr>
        <w:spacing w:after="120" w:line="276" w:lineRule="auto"/>
        <w:jc w:val="both"/>
        <w:rPr>
          <w:rFonts w:ascii="Arial" w:hAnsi="Arial" w:eastAsia="Calibri" w:cs="Arial"/>
          <w:color w:val="000000" w:themeColor="text1"/>
          <w:sz w:val="22"/>
        </w:rPr>
      </w:pPr>
    </w:p>
    <w:p w:rsidRPr="00162EE6" w:rsidR="00C133B6" w:rsidP="00C133B6" w:rsidRDefault="00C133B6" w14:paraId="0A4FBEB7" w14:textId="77777777">
      <w:pPr>
        <w:spacing w:line="276" w:lineRule="auto"/>
        <w:jc w:val="both"/>
        <w:rPr>
          <w:rFonts w:ascii="Arial" w:hAnsi="Arial" w:eastAsia="Calibri" w:cs="Arial"/>
          <w:color w:val="000000" w:themeColor="text1"/>
          <w:sz w:val="22"/>
        </w:rPr>
      </w:pPr>
      <w:r w:rsidRPr="00162EE6">
        <w:rPr>
          <w:rFonts w:ascii="Arial" w:hAnsi="Arial" w:eastAsia="Calibri" w:cs="Arial"/>
          <w:color w:val="000000" w:themeColor="text1"/>
          <w:sz w:val="22"/>
        </w:rPr>
        <w:lastRenderedPageBreak/>
        <w:t>Este concepto tiene el alcance previsto en el artículo 28 del Código de Procedimiento Administrativo y de lo Contencioso Administrativo.</w:t>
      </w:r>
    </w:p>
    <w:p w:rsidR="00C133B6" w:rsidP="00C133B6" w:rsidRDefault="00C133B6" w14:paraId="305424AF" w14:textId="77777777">
      <w:pPr>
        <w:rPr>
          <w:noProof/>
          <w:szCs w:val="20"/>
          <w:lang w:val="en-US" w:eastAsia="es-CO"/>
        </w:rPr>
      </w:pPr>
    </w:p>
    <w:p w:rsidRPr="005641DC" w:rsidR="00C133B6" w:rsidP="00C133B6" w:rsidRDefault="00C133B6" w14:paraId="27101BE0"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641DC">
        <w:rPr>
          <w:rFonts w:ascii="Arial" w:hAnsi="Arial" w:cs="Arial"/>
          <w:color w:val="000000" w:themeColor="text1"/>
          <w:sz w:val="22"/>
          <w:szCs w:val="22"/>
          <w:lang w:val="es-ES_tradnl"/>
        </w:rPr>
        <w:t>Atentamente,</w:t>
      </w:r>
    </w:p>
    <w:p w:rsidRPr="005641DC" w:rsidR="00C133B6" w:rsidP="00C133B6" w:rsidRDefault="00C133B6" w14:paraId="300A3319" w14:textId="77777777">
      <w:pPr>
        <w:rPr>
          <w:rFonts w:ascii="Arial" w:hAnsi="Arial" w:cs="Arial"/>
          <w:sz w:val="22"/>
          <w:lang w:eastAsia="es-CO"/>
        </w:rPr>
      </w:pPr>
    </w:p>
    <w:p w:rsidRPr="005641DC" w:rsidR="00C133B6" w:rsidP="00C133B6" w:rsidRDefault="00C133B6" w14:paraId="12570DF1" w14:textId="222B0AFA">
      <w:pPr>
        <w:jc w:val="center"/>
        <w:rPr>
          <w:rFonts w:ascii="Arial" w:hAnsi="Arial" w:cs="Arial"/>
          <w:sz w:val="22"/>
          <w:lang w:eastAsia="es-CO"/>
        </w:rPr>
      </w:pPr>
      <w:r w:rsidRPr="005641DC">
        <w:rPr>
          <w:noProof/>
        </w:rPr>
        <w:t xml:space="preserve"> </w:t>
      </w:r>
      <w:r w:rsidR="00B72A12">
        <w:rPr>
          <w:noProof/>
        </w:rPr>
        <w:drawing>
          <wp:inline distT="0" distB="0" distL="0" distR="0" wp14:anchorId="6850D489" wp14:editId="7FF6830D">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rsidRPr="005641DC" w:rsidR="00C133B6" w:rsidP="00C133B6" w:rsidRDefault="00C133B6" w14:paraId="30BE9172" w14:textId="77777777">
      <w:pPr>
        <w:jc w:val="center"/>
        <w:rPr>
          <w:rFonts w:ascii="Arial" w:hAnsi="Arial" w:cs="Arial"/>
          <w:sz w:val="18"/>
          <w:szCs w:val="20"/>
          <w:lang w:eastAsia="es-CO"/>
        </w:rPr>
      </w:pPr>
    </w:p>
    <w:p w:rsidRPr="005641DC" w:rsidR="00C133B6" w:rsidP="00C133B6" w:rsidRDefault="00C133B6" w14:paraId="19DE936A" w14:textId="77777777">
      <w:pPr>
        <w:jc w:val="center"/>
        <w:rPr>
          <w:rFonts w:ascii="Arial" w:hAnsi="Arial" w:cs="Arial"/>
          <w:sz w:val="18"/>
          <w:szCs w:val="20"/>
          <w:lang w:eastAsia="es-CO"/>
        </w:rPr>
      </w:pP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2"/>
        <w:gridCol w:w="4794"/>
      </w:tblGrid>
      <w:tr w:rsidRPr="005641DC" w:rsidR="00C133B6" w:rsidTr="00A53405" w14:paraId="026CC13A" w14:textId="77777777">
        <w:trPr>
          <w:trHeight w:val="333"/>
        </w:trPr>
        <w:tc>
          <w:tcPr>
            <w:tcW w:w="882" w:type="dxa"/>
            <w:vAlign w:val="center"/>
            <w:hideMark/>
          </w:tcPr>
          <w:p w:rsidRPr="005641DC" w:rsidR="00C133B6" w:rsidP="00A53405" w:rsidRDefault="00C133B6" w14:paraId="0ACA0A8D" w14:textId="77777777">
            <w:pPr>
              <w:rPr>
                <w:rFonts w:ascii="Arial" w:hAnsi="Arial" w:cs="Arial"/>
                <w:sz w:val="16"/>
                <w:szCs w:val="16"/>
                <w:lang w:eastAsia="es-ES"/>
              </w:rPr>
            </w:pPr>
            <w:r w:rsidRPr="005641DC">
              <w:rPr>
                <w:rFonts w:ascii="Arial" w:hAnsi="Arial" w:cs="Arial"/>
                <w:sz w:val="16"/>
                <w:szCs w:val="16"/>
                <w:lang w:eastAsia="es-ES"/>
              </w:rPr>
              <w:t>Elaboró:</w:t>
            </w:r>
          </w:p>
        </w:tc>
        <w:tc>
          <w:tcPr>
            <w:tcW w:w="4794" w:type="dxa"/>
            <w:tcBorders>
              <w:top w:val="nil"/>
              <w:left w:val="nil"/>
              <w:bottom w:val="dotted" w:color="7F7F7F" w:themeColor="text1" w:themeTint="80" w:sz="4" w:space="0"/>
              <w:right w:val="nil"/>
            </w:tcBorders>
            <w:vAlign w:val="center"/>
            <w:hideMark/>
          </w:tcPr>
          <w:p w:rsidR="00C133B6" w:rsidP="00A53405" w:rsidRDefault="00C133B6" w14:paraId="040369D1" w14:textId="77777777">
            <w:pPr>
              <w:rPr>
                <w:rFonts w:ascii="Arial" w:hAnsi="Arial" w:cs="Arial"/>
                <w:sz w:val="16"/>
                <w:szCs w:val="16"/>
                <w:lang w:eastAsia="es-ES"/>
              </w:rPr>
            </w:pPr>
            <w:r w:rsidRPr="00642600">
              <w:rPr>
                <w:rFonts w:ascii="Arial" w:hAnsi="Arial" w:cs="Arial"/>
                <w:sz w:val="16"/>
                <w:szCs w:val="16"/>
                <w:lang w:eastAsia="es-ES"/>
              </w:rPr>
              <w:t>Nathalia Andrea Urrego Jiménez</w:t>
            </w:r>
          </w:p>
          <w:p w:rsidRPr="005641DC" w:rsidR="00C133B6" w:rsidP="00A53405" w:rsidRDefault="00C133B6" w14:paraId="11FF18F2" w14:textId="77777777">
            <w:pPr>
              <w:rPr>
                <w:rFonts w:ascii="Arial" w:hAnsi="Arial" w:cs="Arial"/>
                <w:sz w:val="16"/>
                <w:szCs w:val="16"/>
                <w:lang w:eastAsia="es-ES"/>
              </w:rPr>
            </w:pPr>
            <w:r w:rsidRPr="005641DC">
              <w:rPr>
                <w:rFonts w:ascii="Arial" w:hAnsi="Arial" w:cs="Arial"/>
                <w:sz w:val="16"/>
                <w:szCs w:val="16"/>
                <w:lang w:eastAsia="es-ES"/>
              </w:rPr>
              <w:t>Contratista de la Subdirección de Gestión Contractual</w:t>
            </w:r>
          </w:p>
        </w:tc>
      </w:tr>
      <w:tr w:rsidRPr="005641DC" w:rsidR="00C133B6" w:rsidTr="00A53405" w14:paraId="011B6D76" w14:textId="77777777">
        <w:trPr>
          <w:trHeight w:val="348"/>
        </w:trPr>
        <w:tc>
          <w:tcPr>
            <w:tcW w:w="882" w:type="dxa"/>
            <w:vAlign w:val="center"/>
            <w:hideMark/>
          </w:tcPr>
          <w:p w:rsidRPr="005641DC" w:rsidR="00C133B6" w:rsidP="00A53405" w:rsidRDefault="00C133B6" w14:paraId="213D8239" w14:textId="77777777">
            <w:pPr>
              <w:rPr>
                <w:rFonts w:ascii="Arial" w:hAnsi="Arial" w:cs="Arial"/>
                <w:sz w:val="16"/>
                <w:szCs w:val="16"/>
                <w:lang w:eastAsia="es-ES"/>
              </w:rPr>
            </w:pPr>
            <w:r w:rsidRPr="005641DC">
              <w:rPr>
                <w:rFonts w:ascii="Arial" w:hAnsi="Arial" w:cs="Arial"/>
                <w:sz w:val="16"/>
                <w:szCs w:val="16"/>
                <w:lang w:eastAsia="es-ES"/>
              </w:rPr>
              <w:t>Revisó:</w:t>
            </w:r>
          </w:p>
        </w:tc>
        <w:tc>
          <w:tcPr>
            <w:tcW w:w="4794" w:type="dxa"/>
            <w:tcBorders>
              <w:top w:val="dotted" w:color="7F7F7F" w:themeColor="text1" w:themeTint="80" w:sz="4" w:space="0"/>
              <w:left w:val="nil"/>
              <w:bottom w:val="dotted" w:color="7F7F7F" w:themeColor="text1" w:themeTint="80" w:sz="4" w:space="0"/>
              <w:right w:val="nil"/>
            </w:tcBorders>
            <w:vAlign w:val="center"/>
            <w:hideMark/>
          </w:tcPr>
          <w:p w:rsidRPr="005641DC" w:rsidR="00C133B6" w:rsidP="00A53405" w:rsidRDefault="00C133B6" w14:paraId="4FB9885E" w14:textId="77777777">
            <w:pPr>
              <w:rPr>
                <w:rFonts w:ascii="Arial" w:hAnsi="Arial" w:cs="Arial"/>
                <w:sz w:val="16"/>
                <w:szCs w:val="16"/>
                <w:lang w:eastAsia="es-ES"/>
              </w:rPr>
            </w:pPr>
            <w:r>
              <w:rPr>
                <w:rFonts w:ascii="Arial" w:hAnsi="Arial" w:cs="Arial"/>
                <w:sz w:val="16"/>
                <w:szCs w:val="16"/>
                <w:lang w:eastAsia="es-ES"/>
              </w:rPr>
              <w:t>Juan David Montoya Penagos</w:t>
            </w:r>
          </w:p>
          <w:p w:rsidRPr="005641DC" w:rsidR="00C133B6" w:rsidP="00A53405" w:rsidRDefault="00C133B6" w14:paraId="1BB16FD1" w14:textId="77777777">
            <w:pPr>
              <w:rPr>
                <w:rFonts w:ascii="Arial" w:hAnsi="Arial" w:cs="Arial"/>
                <w:sz w:val="14"/>
                <w:szCs w:val="14"/>
                <w:lang w:eastAsia="es-ES"/>
              </w:rPr>
            </w:pPr>
            <w:r>
              <w:rPr>
                <w:rFonts w:ascii="Arial" w:hAnsi="Arial" w:cs="Arial"/>
                <w:sz w:val="16"/>
                <w:szCs w:val="16"/>
                <w:lang w:eastAsia="es-ES"/>
              </w:rPr>
              <w:t>Gestor T1 Grado 15</w:t>
            </w:r>
            <w:r w:rsidRPr="005641DC">
              <w:rPr>
                <w:rFonts w:ascii="Arial" w:hAnsi="Arial" w:cs="Arial"/>
                <w:sz w:val="16"/>
                <w:szCs w:val="16"/>
                <w:lang w:eastAsia="es-ES"/>
              </w:rPr>
              <w:t xml:space="preserve"> de la Subdirección de Gestión Contractual </w:t>
            </w:r>
          </w:p>
        </w:tc>
      </w:tr>
      <w:tr w:rsidRPr="00CE44D5" w:rsidR="00C133B6" w:rsidTr="00A53405" w14:paraId="38DE8EAA" w14:textId="77777777">
        <w:trPr>
          <w:trHeight w:val="317"/>
        </w:trPr>
        <w:tc>
          <w:tcPr>
            <w:tcW w:w="882" w:type="dxa"/>
            <w:vAlign w:val="center"/>
            <w:hideMark/>
          </w:tcPr>
          <w:p w:rsidRPr="005641DC" w:rsidR="00C133B6" w:rsidP="00A53405" w:rsidRDefault="00C133B6" w14:paraId="1442F4C1" w14:textId="77777777">
            <w:pPr>
              <w:rPr>
                <w:rFonts w:ascii="Arial" w:hAnsi="Arial" w:cs="Arial"/>
                <w:sz w:val="16"/>
                <w:szCs w:val="16"/>
                <w:lang w:eastAsia="es-ES"/>
              </w:rPr>
            </w:pPr>
            <w:r w:rsidRPr="005641DC">
              <w:rPr>
                <w:rFonts w:ascii="Arial" w:hAnsi="Arial" w:cs="Arial"/>
                <w:sz w:val="16"/>
                <w:szCs w:val="16"/>
                <w:lang w:eastAsia="es-ES"/>
              </w:rPr>
              <w:t>Aprobó:</w:t>
            </w:r>
          </w:p>
        </w:tc>
        <w:tc>
          <w:tcPr>
            <w:tcW w:w="4794" w:type="dxa"/>
            <w:tcBorders>
              <w:top w:val="dotted" w:color="7F7F7F" w:themeColor="text1" w:themeTint="80" w:sz="4" w:space="0"/>
              <w:left w:val="nil"/>
              <w:bottom w:val="dotted" w:color="7F7F7F" w:themeColor="text1" w:themeTint="80" w:sz="4" w:space="0"/>
              <w:right w:val="nil"/>
            </w:tcBorders>
            <w:vAlign w:val="center"/>
            <w:hideMark/>
          </w:tcPr>
          <w:p w:rsidRPr="005641DC" w:rsidR="00C133B6" w:rsidP="00A53405" w:rsidRDefault="00C133B6" w14:paraId="67B43C05" w14:textId="77777777">
            <w:pPr>
              <w:rPr>
                <w:rFonts w:ascii="Arial" w:hAnsi="Arial" w:cs="Arial"/>
                <w:sz w:val="16"/>
                <w:szCs w:val="16"/>
                <w:lang w:eastAsia="es-ES"/>
              </w:rPr>
            </w:pPr>
            <w:r w:rsidRPr="005641DC">
              <w:rPr>
                <w:rFonts w:ascii="Arial" w:hAnsi="Arial" w:cs="Arial"/>
                <w:sz w:val="16"/>
                <w:szCs w:val="16"/>
                <w:lang w:eastAsia="es-ES"/>
              </w:rPr>
              <w:t>Jorge Augusto Tirado Navarro</w:t>
            </w:r>
          </w:p>
          <w:p w:rsidRPr="00CE44D5" w:rsidR="00C133B6" w:rsidP="00A53405" w:rsidRDefault="00C133B6" w14:paraId="086F8218" w14:textId="77777777">
            <w:pPr>
              <w:rPr>
                <w:rFonts w:ascii="Arial" w:hAnsi="Arial" w:cs="Arial"/>
                <w:sz w:val="16"/>
                <w:szCs w:val="16"/>
                <w:lang w:eastAsia="es-ES"/>
              </w:rPr>
            </w:pPr>
            <w:r w:rsidRPr="005641DC">
              <w:rPr>
                <w:rFonts w:ascii="Arial" w:hAnsi="Arial" w:cs="Arial"/>
                <w:sz w:val="16"/>
                <w:szCs w:val="16"/>
                <w:lang w:eastAsia="es-ES"/>
              </w:rPr>
              <w:t>Subdirector de Gestión Contractual ANCP – CCE</w:t>
            </w:r>
          </w:p>
        </w:tc>
      </w:tr>
    </w:tbl>
    <w:p w:rsidR="00C133B6" w:rsidP="00C133B6" w:rsidRDefault="00C133B6" w14:paraId="4D13CF39" w14:textId="77777777">
      <w:pPr>
        <w:pStyle w:val="NormalWeb"/>
        <w:spacing w:before="0" w:beforeAutospacing="0" w:after="0" w:afterAutospacing="0" w:line="276" w:lineRule="auto"/>
        <w:jc w:val="both"/>
        <w:rPr>
          <w:rFonts w:ascii="Arial" w:hAnsi="Arial" w:cs="Arial"/>
        </w:rPr>
      </w:pPr>
    </w:p>
    <w:p w:rsidRPr="00F00D3C" w:rsidR="00C133B6" w:rsidP="00C133B6" w:rsidRDefault="00C133B6" w14:paraId="0C0191C8" w14:textId="77777777">
      <w:pPr>
        <w:tabs>
          <w:tab w:val="left" w:pos="3795"/>
        </w:tabs>
        <w:rPr>
          <w:rFonts w:ascii="Arial" w:hAnsi="Arial" w:cs="Arial"/>
          <w:color w:val="000000" w:themeColor="text1"/>
        </w:rPr>
      </w:pPr>
    </w:p>
    <w:p w:rsidR="00C133B6" w:rsidP="00C133B6" w:rsidRDefault="00C133B6" w14:paraId="3342517E" w14:textId="77777777"/>
    <w:p w:rsidRPr="00162EE6" w:rsidR="00C133B6" w:rsidP="00C133B6" w:rsidRDefault="00C133B6" w14:paraId="123D0C38" w14:textId="77777777">
      <w:pPr>
        <w:rPr>
          <w:rFonts w:ascii="Arial" w:hAnsi="Arial" w:cs="Arial"/>
          <w:color w:val="000000" w:themeColor="text1"/>
          <w:sz w:val="20"/>
          <w:szCs w:val="20"/>
        </w:rPr>
      </w:pPr>
    </w:p>
    <w:p w:rsidRPr="00162EE6" w:rsidR="00C133B6" w:rsidP="00C133B6" w:rsidRDefault="00C133B6" w14:paraId="4B0A71B9" w14:textId="77777777">
      <w:pPr>
        <w:spacing w:line="276" w:lineRule="auto"/>
        <w:jc w:val="both"/>
        <w:rPr>
          <w:rFonts w:ascii="Arial" w:hAnsi="Arial" w:eastAsia="Calibri" w:cs="Arial"/>
          <w:b/>
          <w:color w:val="000000" w:themeColor="text1"/>
          <w:sz w:val="22"/>
        </w:rPr>
      </w:pPr>
    </w:p>
    <w:p w:rsidR="008F5656" w:rsidP="00A82DE0" w:rsidRDefault="008F5656" w14:paraId="29BB5165" w14:textId="77777777">
      <w:pPr>
        <w:rPr>
          <w:rFonts w:ascii="Arial" w:hAnsi="Arial" w:cs="Arial"/>
          <w:b/>
          <w:bCs/>
          <w:color w:val="000000" w:themeColor="text1"/>
          <w:sz w:val="22"/>
        </w:rPr>
      </w:pPr>
    </w:p>
    <w:bookmarkEnd w:id="0"/>
    <w:bookmarkEnd w:id="1"/>
    <w:sectPr w:rsidR="008F565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8D" w:rsidRDefault="005B468D" w14:paraId="423413FB" w14:textId="77777777">
      <w:r>
        <w:separator/>
      </w:r>
    </w:p>
  </w:endnote>
  <w:endnote w:type="continuationSeparator" w:id="0">
    <w:p w:rsidR="005B468D" w:rsidRDefault="005B468D" w14:paraId="1386C2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17B7" w:rsidP="00322937" w:rsidRDefault="008217B7" w14:paraId="62F02A34" w14:textId="77777777">
    <w:pPr>
      <w:pStyle w:val="Sinespaciado"/>
      <w:jc w:val="right"/>
      <w:rPr>
        <w:rFonts w:ascii="Arial" w:hAnsi="Arial" w:cs="Arial"/>
        <w:sz w:val="18"/>
        <w:szCs w:val="18"/>
      </w:rPr>
    </w:pPr>
  </w:p>
  <w:p w:rsidRPr="008217B7" w:rsidR="00FE42ED" w:rsidP="00FE42ED" w:rsidRDefault="008F538E" w14:paraId="7A3785F3" w14:textId="01C12C8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20</w:t>
    </w:r>
    <w:r w:rsidRPr="00084B97" w:rsidR="00FE42ED">
      <w:rPr>
        <w:rFonts w:ascii="Arial" w:hAnsi="Arial" w:cs="Arial"/>
        <w:b/>
        <w:bCs/>
        <w:color w:val="7F7F7F" w:themeColor="text1" w:themeTint="80"/>
        <w:sz w:val="16"/>
        <w:szCs w:val="16"/>
      </w:rPr>
      <w:fldChar w:fldCharType="end"/>
    </w:r>
  </w:p>
  <w:p w:rsidR="009047C5" w:rsidP="00322937" w:rsidRDefault="007B0854" w14:paraId="48FC6A04" w14:textId="5FD1A7C9">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322937" w:rsidP="007B0854" w:rsidRDefault="00322937" w14:paraId="5D0E988C" w14:textId="77777777">
    <w:pPr>
      <w:pStyle w:val="Piedepgina"/>
      <w:jc w:val="center"/>
      <w:rPr>
        <w:lang w:val="es-ES"/>
      </w:rPr>
    </w:pPr>
  </w:p>
  <w:p w:rsidRPr="00981CB1" w:rsidR="004A34D2" w:rsidP="007B0854" w:rsidRDefault="004A34D2" w14:paraId="6C0EFC49" w14:textId="77777777">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8D" w:rsidRDefault="005B468D" w14:paraId="42627CEF" w14:textId="77777777">
      <w:r>
        <w:separator/>
      </w:r>
    </w:p>
  </w:footnote>
  <w:footnote w:type="continuationSeparator" w:id="0">
    <w:p w:rsidR="005B468D" w:rsidRDefault="005B468D" w14:paraId="0C8DD957" w14:textId="77777777">
      <w:r>
        <w:continuationSeparator/>
      </w:r>
    </w:p>
  </w:footnote>
  <w:footnote w:id="1">
    <w:p w:rsidRPr="00B01474" w:rsidR="00975518" w:rsidP="00975518" w:rsidRDefault="00975518" w14:paraId="19A042CC" w14:textId="77777777">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Concepto del 3 de septiembre de 2019, con radicado No. 2201913000006512.</w:t>
      </w:r>
    </w:p>
    <w:p w:rsidRPr="00B01474" w:rsidR="00975518" w:rsidP="00975518" w:rsidRDefault="00975518" w14:paraId="342F53F7" w14:textId="77777777">
      <w:pPr>
        <w:pStyle w:val="Textonotapie"/>
        <w:ind w:firstLine="708"/>
        <w:jc w:val="both"/>
        <w:rPr>
          <w:rFonts w:ascii="Arial" w:hAnsi="Arial" w:cs="Arial"/>
          <w:sz w:val="19"/>
          <w:szCs w:val="19"/>
        </w:rPr>
      </w:pPr>
    </w:p>
  </w:footnote>
  <w:footnote w:id="2">
    <w:p w:rsidRPr="00B01474" w:rsidR="00C133B6" w:rsidP="00C133B6" w:rsidRDefault="00C133B6" w14:paraId="699AC906" w14:textId="77777777">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esta norma, consultar los conceptos del 8 de octubre de 2019, con radicado No. 2201913000007532, y del 20 de diciembre de 2019, con radicado No. 4201913000008240.</w:t>
      </w:r>
    </w:p>
    <w:p w:rsidRPr="00B01474" w:rsidR="00C133B6" w:rsidP="00C133B6" w:rsidRDefault="00C133B6" w14:paraId="721ECCCF" w14:textId="77777777">
      <w:pPr>
        <w:pStyle w:val="Textonotapie"/>
        <w:jc w:val="both"/>
        <w:rPr>
          <w:rFonts w:ascii="Arial" w:hAnsi="Arial" w:cs="Arial"/>
          <w:sz w:val="19"/>
          <w:szCs w:val="19"/>
          <w:lang w:val="es-ES"/>
        </w:rPr>
      </w:pPr>
    </w:p>
  </w:footnote>
  <w:footnote w:id="3">
    <w:p w:rsidRPr="00B01474" w:rsidR="00C133B6" w:rsidP="00C133B6" w:rsidRDefault="00C133B6" w14:paraId="22A4150A" w14:textId="77777777">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 xml:space="preserve">Al respecto, la </w:t>
      </w:r>
      <w:r>
        <w:rPr>
          <w:rFonts w:ascii="Arial" w:hAnsi="Arial" w:cs="Arial"/>
          <w:sz w:val="19"/>
          <w:szCs w:val="19"/>
        </w:rPr>
        <w:t>Ley 489 de 1998</w:t>
      </w:r>
      <w:r w:rsidRPr="00B01474">
        <w:rPr>
          <w:rFonts w:ascii="Arial" w:hAnsi="Arial" w:cs="Arial"/>
          <w:sz w:val="19"/>
          <w:szCs w:val="19"/>
        </w:rPr>
        <w:t xml:space="preserve"> dispone que «</w:t>
      </w:r>
      <w:r>
        <w:rPr>
          <w:rFonts w:ascii="Arial" w:hAnsi="Arial" w:cs="Arial"/>
          <w:sz w:val="19"/>
          <w:szCs w:val="19"/>
        </w:rPr>
        <w:t xml:space="preserve">Art. 96. </w:t>
      </w:r>
      <w:r w:rsidRPr="00B01474">
        <w:rPr>
          <w:rFonts w:ascii="Arial" w:hAnsi="Arial" w:cs="Arial"/>
          <w:sz w:val="19"/>
          <w:szCs w:val="19"/>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B01474" w:rsidR="00C133B6" w:rsidP="00C133B6" w:rsidRDefault="00C133B6" w14:paraId="0BC7F395" w14:textId="77777777">
      <w:pPr>
        <w:pStyle w:val="Textonotapie"/>
        <w:ind w:firstLine="708"/>
        <w:jc w:val="both"/>
        <w:rPr>
          <w:rFonts w:ascii="Arial" w:hAnsi="Arial" w:cs="Arial"/>
          <w:sz w:val="19"/>
          <w:szCs w:val="19"/>
        </w:rPr>
      </w:pPr>
      <w:r w:rsidRPr="00B01474">
        <w:rPr>
          <w:rFonts w:ascii="Arial" w:hAnsi="Arial" w:cs="Arial"/>
          <w:sz w:val="19"/>
          <w:szCs w:val="19"/>
        </w:rPr>
        <w:t xml:space="preserve">»Los convenios de asociación a que se refiere el presente artículo </w:t>
      </w:r>
      <w:bookmarkStart w:name="_Hlk36023315" w:id="3"/>
      <w:r w:rsidRPr="00B01474">
        <w:rPr>
          <w:rFonts w:ascii="Arial" w:hAnsi="Arial" w:cs="Arial"/>
          <w:sz w:val="19"/>
          <w:szCs w:val="19"/>
        </w:rPr>
        <w:t>se celebrarán de conformidad con lo dispuesto en el artículo 355 de la Constitución Política</w:t>
      </w:r>
      <w:bookmarkEnd w:id="3"/>
      <w:r w:rsidRPr="00B01474">
        <w:rPr>
          <w:rFonts w:ascii="Arial" w:hAnsi="Arial" w:cs="Arial"/>
          <w:sz w:val="19"/>
          <w:szCs w:val="19"/>
        </w:rPr>
        <w:t>, en ellos se determinará con precisión su objeto, término, obligaciones de las partes, aportes, coordinación y todos aquellos aspectos que se consideren pertinentes».</w:t>
      </w:r>
    </w:p>
    <w:p w:rsidRPr="00B01474" w:rsidR="00C133B6" w:rsidP="00C133B6" w:rsidRDefault="00C133B6" w14:paraId="10D85188" w14:textId="77777777">
      <w:pPr>
        <w:pStyle w:val="Textonotapie"/>
        <w:ind w:firstLine="708"/>
        <w:rPr>
          <w:lang w:val="es-ES"/>
        </w:rPr>
      </w:pPr>
      <w:r w:rsidRPr="00B01474">
        <w:t xml:space="preserve"> </w:t>
      </w:r>
    </w:p>
  </w:footnote>
  <w:footnote w:id="4">
    <w:p w:rsidRPr="00B01474" w:rsidR="00C133B6" w:rsidP="00C133B6" w:rsidRDefault="00C133B6" w14:paraId="55BC7CF0" w14:textId="77777777">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Concepto del 3 de septiembre de 2019, con radicado No. 2201913000006512.</w:t>
      </w:r>
    </w:p>
    <w:p w:rsidRPr="00B01474" w:rsidR="00C133B6" w:rsidP="00C133B6" w:rsidRDefault="00C133B6" w14:paraId="3B11D54F" w14:textId="77777777">
      <w:pPr>
        <w:pStyle w:val="Textonotapie"/>
        <w:ind w:firstLine="708"/>
        <w:jc w:val="both"/>
        <w:rPr>
          <w:rFonts w:ascii="Arial" w:hAnsi="Arial" w:cs="Arial"/>
          <w:sz w:val="19"/>
          <w:szCs w:val="19"/>
        </w:rPr>
      </w:pPr>
    </w:p>
  </w:footnote>
  <w:footnote w:id="5">
    <w:p w:rsidRPr="00B01474" w:rsidR="00C133B6" w:rsidP="00C133B6" w:rsidRDefault="00C133B6" w14:paraId="36311489" w14:textId="77777777">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la naturaleza de los convenios de asociación, se reitera lo expuesto en el concepto del 19 de noviembre de 2019, con radicado No. 2201913000008611.</w:t>
      </w:r>
    </w:p>
    <w:p w:rsidRPr="00B01474" w:rsidR="00C133B6" w:rsidP="00C133B6" w:rsidRDefault="00C133B6" w14:paraId="13EDA7A2" w14:textId="77777777">
      <w:pPr>
        <w:pStyle w:val="Textonotapie"/>
        <w:ind w:firstLine="708"/>
        <w:jc w:val="both"/>
        <w:rPr>
          <w:rFonts w:ascii="Arial" w:hAnsi="Arial" w:cs="Arial"/>
          <w:sz w:val="19"/>
          <w:szCs w:val="19"/>
        </w:rPr>
      </w:pPr>
    </w:p>
  </w:footnote>
  <w:footnote w:id="6">
    <w:p w:rsidRPr="00B01474" w:rsidR="00C133B6" w:rsidP="00C133B6" w:rsidRDefault="00C133B6" w14:paraId="1F44BFDB" w14:textId="77777777">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rsidRPr="00B01474" w:rsidR="00C133B6" w:rsidP="00C133B6" w:rsidRDefault="00C133B6" w14:paraId="2B80EB68" w14:textId="77777777">
      <w:pPr>
        <w:pStyle w:val="Textonotapie"/>
        <w:ind w:firstLine="708"/>
        <w:jc w:val="both"/>
        <w:rPr>
          <w:rFonts w:ascii="Arial" w:hAnsi="Arial" w:cs="Arial"/>
          <w:sz w:val="19"/>
          <w:szCs w:val="19"/>
        </w:rPr>
      </w:pPr>
    </w:p>
    <w:p w:rsidRPr="00B01474" w:rsidR="00C133B6" w:rsidP="00C133B6" w:rsidRDefault="00C133B6" w14:paraId="0BD3CD20" w14:textId="77777777">
      <w:pPr>
        <w:pStyle w:val="Textonotapie"/>
        <w:ind w:firstLine="708"/>
        <w:jc w:val="both"/>
        <w:rPr>
          <w:rFonts w:ascii="Arial" w:hAnsi="Arial" w:cs="Arial"/>
          <w:sz w:val="19"/>
          <w:szCs w:val="19"/>
          <w:lang w:val="es-ES"/>
        </w:rPr>
      </w:pPr>
    </w:p>
  </w:footnote>
  <w:footnote w:id="7">
    <w:p w:rsidRPr="00162EE6" w:rsidR="00C133B6" w:rsidP="00C133B6" w:rsidRDefault="00C133B6" w14:paraId="5770FE05"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Cfr. Concepto del 21 de agosto de 2019, dictado dentro del radicado No. 2201913000006047.</w:t>
      </w:r>
    </w:p>
    <w:p w:rsidRPr="00162EE6" w:rsidR="00C133B6" w:rsidP="00C133B6" w:rsidRDefault="00C133B6" w14:paraId="24CDE4E7" w14:textId="77777777">
      <w:pPr>
        <w:pStyle w:val="Textonotapie"/>
        <w:ind w:firstLine="708"/>
        <w:jc w:val="both"/>
        <w:rPr>
          <w:rFonts w:ascii="Arial" w:hAnsi="Arial" w:cs="Arial"/>
          <w:color w:val="000000" w:themeColor="text1"/>
          <w:sz w:val="19"/>
          <w:szCs w:val="19"/>
          <w:lang w:val="es-ES"/>
        </w:rPr>
      </w:pPr>
    </w:p>
  </w:footnote>
  <w:footnote w:id="8">
    <w:p w:rsidRPr="00162EE6" w:rsidR="00C133B6" w:rsidP="00C133B6" w:rsidRDefault="00C133B6" w14:paraId="09D338A7" w14:textId="77777777">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24 de febrero de 2005, con radicado No. 1626, C.P. Dra. Gloria Duque Hernández</w:t>
      </w:r>
    </w:p>
  </w:footnote>
  <w:footnote w:id="9">
    <w:p w:rsidRPr="00162EE6" w:rsidR="00C133B6" w:rsidP="00C133B6" w:rsidRDefault="00C133B6" w14:paraId="07312421"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rsidRPr="00162EE6" w:rsidR="00C133B6" w:rsidP="00C133B6" w:rsidRDefault="00C133B6" w14:paraId="0343C814" w14:textId="77777777">
      <w:pPr>
        <w:pStyle w:val="Textonotapie"/>
        <w:ind w:firstLine="708"/>
        <w:jc w:val="both"/>
        <w:rPr>
          <w:rFonts w:ascii="Arial" w:hAnsi="Arial" w:cs="Arial"/>
          <w:color w:val="000000" w:themeColor="text1"/>
          <w:sz w:val="19"/>
          <w:szCs w:val="19"/>
          <w:lang w:val="es-ES"/>
        </w:rPr>
      </w:pPr>
    </w:p>
  </w:footnote>
  <w:footnote w:id="10">
    <w:p w:rsidRPr="00162EE6" w:rsidR="00C133B6" w:rsidP="00C133B6" w:rsidRDefault="00C133B6" w14:paraId="5A5F62AF" w14:textId="77777777">
      <w:pPr>
        <w:pStyle w:val="Textonotapie"/>
        <w:ind w:firstLine="708"/>
        <w:jc w:val="both"/>
        <w:rPr>
          <w:rFonts w:ascii="Arial" w:hAnsi="Arial" w:eastAsia="Calibri"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hAnsi="Arial" w:eastAsia="Calibri"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Pr="00162EE6" w:rsidR="00C133B6" w:rsidP="00C133B6" w:rsidRDefault="00C133B6" w14:paraId="1859AEFE" w14:textId="77777777">
      <w:pPr>
        <w:pStyle w:val="Textonotapie"/>
        <w:ind w:firstLine="708"/>
        <w:jc w:val="both"/>
        <w:rPr>
          <w:rFonts w:ascii="Arial" w:hAnsi="Arial" w:cs="Arial"/>
          <w:color w:val="000000" w:themeColor="text1"/>
          <w:sz w:val="19"/>
          <w:szCs w:val="19"/>
          <w:lang w:val="es-ES"/>
        </w:rPr>
      </w:pPr>
    </w:p>
  </w:footnote>
  <w:footnote w:id="11">
    <w:p w:rsidR="00C133B6" w:rsidP="00C133B6" w:rsidRDefault="00C133B6" w14:paraId="439B0178"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hAnsi="Arial" w:eastAsia="Calibri" w:cs="Arial"/>
          <w:color w:val="000000" w:themeColor="text1"/>
          <w:sz w:val="19"/>
          <w:szCs w:val="19"/>
        </w:rPr>
        <w:t>Decreto 092 de 2017, artículo 3, inciso 2: «</w:t>
      </w:r>
      <w:r w:rsidRPr="00162EE6">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rsidRPr="00162EE6" w:rsidR="00C133B6" w:rsidP="00C133B6" w:rsidRDefault="00C133B6" w14:paraId="2C941F1A" w14:textId="77777777">
      <w:pPr>
        <w:pStyle w:val="Textonotapie"/>
        <w:ind w:firstLine="708"/>
        <w:jc w:val="both"/>
        <w:rPr>
          <w:rFonts w:ascii="Arial" w:hAnsi="Arial" w:cs="Arial"/>
          <w:color w:val="000000" w:themeColor="text1"/>
          <w:sz w:val="19"/>
          <w:szCs w:val="19"/>
          <w:lang w:val="es-ES"/>
        </w:rPr>
      </w:pPr>
    </w:p>
  </w:footnote>
  <w:footnote w:id="12">
    <w:p w:rsidRPr="00162EE6" w:rsidR="00C133B6" w:rsidP="00C133B6" w:rsidRDefault="00C133B6" w14:paraId="4979FF5D" w14:textId="77777777">
      <w:pPr>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162EE6" w:rsidR="00C133B6" w:rsidP="00C133B6" w:rsidRDefault="00C133B6" w14:paraId="6846613C" w14:textId="77777777">
      <w:pPr>
        <w:ind w:firstLine="708"/>
        <w:jc w:val="both"/>
        <w:rPr>
          <w:rFonts w:ascii="Arial" w:hAnsi="Arial" w:cs="Arial"/>
          <w:color w:val="000000" w:themeColor="text1"/>
          <w:sz w:val="19"/>
          <w:szCs w:val="19"/>
        </w:rPr>
      </w:pPr>
    </w:p>
  </w:footnote>
  <w:footnote w:id="13">
    <w:p w:rsidRPr="00162EE6" w:rsidR="00C133B6" w:rsidP="00C133B6" w:rsidRDefault="00C133B6" w14:paraId="6F0D1B74"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rsidRPr="00162EE6" w:rsidR="00C133B6" w:rsidP="00C133B6" w:rsidRDefault="00C133B6" w14:paraId="64E3171E" w14:textId="77777777">
      <w:pPr>
        <w:pStyle w:val="Textonotapie"/>
        <w:ind w:firstLine="708"/>
        <w:jc w:val="both"/>
        <w:rPr>
          <w:rFonts w:ascii="Arial" w:hAnsi="Arial" w:cs="Arial"/>
          <w:color w:val="000000" w:themeColor="text1"/>
          <w:sz w:val="19"/>
          <w:szCs w:val="19"/>
          <w:lang w:val="es-ES"/>
        </w:rPr>
      </w:pPr>
    </w:p>
  </w:footnote>
  <w:footnote w:id="14">
    <w:p w:rsidRPr="00162EE6" w:rsidR="00C133B6" w:rsidP="00C133B6" w:rsidRDefault="00C133B6" w14:paraId="76FABBFA" w14:textId="77777777">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5">
    <w:p w:rsidRPr="00162EE6" w:rsidR="00C133B6" w:rsidP="00C133B6" w:rsidRDefault="00C133B6" w14:paraId="0C0A5D1C"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Pr="00162EE6" w:rsidR="00C133B6" w:rsidP="00C133B6" w:rsidRDefault="00C133B6" w14:paraId="04A2B53F" w14:textId="77777777">
      <w:pPr>
        <w:pStyle w:val="Textonotapie"/>
        <w:jc w:val="both"/>
        <w:rPr>
          <w:rFonts w:ascii="Arial" w:hAnsi="Arial" w:cs="Arial"/>
          <w:color w:val="000000" w:themeColor="text1"/>
          <w:sz w:val="19"/>
          <w:szCs w:val="19"/>
          <w:lang w:val="es-ES"/>
        </w:rPr>
      </w:pPr>
    </w:p>
  </w:footnote>
  <w:footnote w:id="16">
    <w:p w:rsidRPr="00162EE6" w:rsidR="00C133B6" w:rsidP="00C133B6" w:rsidRDefault="00C133B6" w14:paraId="710FDC98"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rsidRPr="00162EE6" w:rsidR="00C133B6" w:rsidP="00C133B6" w:rsidRDefault="00C133B6" w14:paraId="088EA198" w14:textId="77777777">
      <w:pPr>
        <w:pStyle w:val="Textonotapie"/>
        <w:ind w:firstLine="708"/>
        <w:jc w:val="both"/>
        <w:rPr>
          <w:rFonts w:ascii="Arial" w:hAnsi="Arial" w:cs="Arial"/>
          <w:color w:val="000000" w:themeColor="text1"/>
          <w:sz w:val="19"/>
          <w:szCs w:val="19"/>
          <w:lang w:val="es-ES"/>
        </w:rPr>
      </w:pPr>
    </w:p>
  </w:footnote>
  <w:footnote w:id="17">
    <w:p w:rsidRPr="00162EE6" w:rsidR="00C133B6" w:rsidP="00C133B6" w:rsidRDefault="00C133B6" w14:paraId="62D9E6C2" w14:textId="777777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Pr="00162EE6" w:rsidR="00C133B6" w:rsidP="00C133B6" w:rsidRDefault="00C133B6" w14:paraId="5C769690" w14:textId="77777777">
      <w:pPr>
        <w:pStyle w:val="Textonotapie"/>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F846BE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1F7"/>
    <w:rsid w:val="00025A1A"/>
    <w:rsid w:val="00036413"/>
    <w:rsid w:val="00056935"/>
    <w:rsid w:val="00065732"/>
    <w:rsid w:val="0007342C"/>
    <w:rsid w:val="00076B79"/>
    <w:rsid w:val="000834C1"/>
    <w:rsid w:val="000838BB"/>
    <w:rsid w:val="00083CF2"/>
    <w:rsid w:val="00084B97"/>
    <w:rsid w:val="0008599F"/>
    <w:rsid w:val="00085E6B"/>
    <w:rsid w:val="00091BA7"/>
    <w:rsid w:val="000942EB"/>
    <w:rsid w:val="000967E9"/>
    <w:rsid w:val="000B103F"/>
    <w:rsid w:val="000B2A2A"/>
    <w:rsid w:val="000E18DA"/>
    <w:rsid w:val="000E5825"/>
    <w:rsid w:val="000E6959"/>
    <w:rsid w:val="000F14E8"/>
    <w:rsid w:val="000F20B9"/>
    <w:rsid w:val="00103915"/>
    <w:rsid w:val="00107833"/>
    <w:rsid w:val="00113AFA"/>
    <w:rsid w:val="00114677"/>
    <w:rsid w:val="0011596C"/>
    <w:rsid w:val="00122B23"/>
    <w:rsid w:val="001328DA"/>
    <w:rsid w:val="00137FFA"/>
    <w:rsid w:val="00141B04"/>
    <w:rsid w:val="00161425"/>
    <w:rsid w:val="00162EE6"/>
    <w:rsid w:val="00163404"/>
    <w:rsid w:val="001713FF"/>
    <w:rsid w:val="00182403"/>
    <w:rsid w:val="0018278A"/>
    <w:rsid w:val="001836DE"/>
    <w:rsid w:val="0018691C"/>
    <w:rsid w:val="00191193"/>
    <w:rsid w:val="001A0C43"/>
    <w:rsid w:val="001A22AE"/>
    <w:rsid w:val="001B0444"/>
    <w:rsid w:val="001B2548"/>
    <w:rsid w:val="001B5F5D"/>
    <w:rsid w:val="001C13B2"/>
    <w:rsid w:val="001C549E"/>
    <w:rsid w:val="001C5B1A"/>
    <w:rsid w:val="001D2C36"/>
    <w:rsid w:val="001E5499"/>
    <w:rsid w:val="00200E9B"/>
    <w:rsid w:val="0020632A"/>
    <w:rsid w:val="0020690C"/>
    <w:rsid w:val="002110EB"/>
    <w:rsid w:val="00211338"/>
    <w:rsid w:val="00222042"/>
    <w:rsid w:val="0022301C"/>
    <w:rsid w:val="0022368C"/>
    <w:rsid w:val="00223E31"/>
    <w:rsid w:val="0022518A"/>
    <w:rsid w:val="00234B84"/>
    <w:rsid w:val="00240B6D"/>
    <w:rsid w:val="002413F0"/>
    <w:rsid w:val="00261AD4"/>
    <w:rsid w:val="0026230D"/>
    <w:rsid w:val="00281E30"/>
    <w:rsid w:val="002A18A4"/>
    <w:rsid w:val="002A6545"/>
    <w:rsid w:val="002B7E62"/>
    <w:rsid w:val="002C0864"/>
    <w:rsid w:val="002C2D63"/>
    <w:rsid w:val="002C4C0C"/>
    <w:rsid w:val="002D22BC"/>
    <w:rsid w:val="002D6F8E"/>
    <w:rsid w:val="002E285D"/>
    <w:rsid w:val="002E3436"/>
    <w:rsid w:val="002E7439"/>
    <w:rsid w:val="003033BA"/>
    <w:rsid w:val="00316A10"/>
    <w:rsid w:val="00322937"/>
    <w:rsid w:val="00323474"/>
    <w:rsid w:val="00327C54"/>
    <w:rsid w:val="00335BA6"/>
    <w:rsid w:val="00336379"/>
    <w:rsid w:val="003373DB"/>
    <w:rsid w:val="0034177C"/>
    <w:rsid w:val="0034499E"/>
    <w:rsid w:val="0034680A"/>
    <w:rsid w:val="00347808"/>
    <w:rsid w:val="0035109D"/>
    <w:rsid w:val="00353DD5"/>
    <w:rsid w:val="00355363"/>
    <w:rsid w:val="003757C5"/>
    <w:rsid w:val="00382F0D"/>
    <w:rsid w:val="00386456"/>
    <w:rsid w:val="00391B30"/>
    <w:rsid w:val="003A017F"/>
    <w:rsid w:val="003A0878"/>
    <w:rsid w:val="003A2E9E"/>
    <w:rsid w:val="003A581E"/>
    <w:rsid w:val="003A66FD"/>
    <w:rsid w:val="003A6F22"/>
    <w:rsid w:val="003B451B"/>
    <w:rsid w:val="003E4DCB"/>
    <w:rsid w:val="003E54EB"/>
    <w:rsid w:val="003F2CA8"/>
    <w:rsid w:val="003F5F9D"/>
    <w:rsid w:val="00405F24"/>
    <w:rsid w:val="00410C5B"/>
    <w:rsid w:val="0041776B"/>
    <w:rsid w:val="00423F9F"/>
    <w:rsid w:val="00426758"/>
    <w:rsid w:val="0044037B"/>
    <w:rsid w:val="00440E9B"/>
    <w:rsid w:val="004422D6"/>
    <w:rsid w:val="00455E76"/>
    <w:rsid w:val="004562B5"/>
    <w:rsid w:val="004606AB"/>
    <w:rsid w:val="00461A7B"/>
    <w:rsid w:val="0049241A"/>
    <w:rsid w:val="004A1DAE"/>
    <w:rsid w:val="004A34D2"/>
    <w:rsid w:val="004B0A86"/>
    <w:rsid w:val="004C5013"/>
    <w:rsid w:val="004C77B0"/>
    <w:rsid w:val="004E2DDE"/>
    <w:rsid w:val="004E5107"/>
    <w:rsid w:val="004F6ADA"/>
    <w:rsid w:val="0051074C"/>
    <w:rsid w:val="00512984"/>
    <w:rsid w:val="00513AF2"/>
    <w:rsid w:val="00532E81"/>
    <w:rsid w:val="00534601"/>
    <w:rsid w:val="0054413A"/>
    <w:rsid w:val="005500E1"/>
    <w:rsid w:val="00554531"/>
    <w:rsid w:val="0055500F"/>
    <w:rsid w:val="005556D2"/>
    <w:rsid w:val="005564CA"/>
    <w:rsid w:val="0055668D"/>
    <w:rsid w:val="0056182B"/>
    <w:rsid w:val="00566FAC"/>
    <w:rsid w:val="005756AA"/>
    <w:rsid w:val="00582656"/>
    <w:rsid w:val="005931DB"/>
    <w:rsid w:val="005949CA"/>
    <w:rsid w:val="00596D67"/>
    <w:rsid w:val="005A3021"/>
    <w:rsid w:val="005A3A0C"/>
    <w:rsid w:val="005A690C"/>
    <w:rsid w:val="005B0316"/>
    <w:rsid w:val="005B4344"/>
    <w:rsid w:val="005B468D"/>
    <w:rsid w:val="005B6D84"/>
    <w:rsid w:val="005C02CC"/>
    <w:rsid w:val="005C6375"/>
    <w:rsid w:val="005C6B5E"/>
    <w:rsid w:val="005D13B5"/>
    <w:rsid w:val="005D4846"/>
    <w:rsid w:val="005D51FA"/>
    <w:rsid w:val="005D791B"/>
    <w:rsid w:val="005E04B0"/>
    <w:rsid w:val="005E0BCA"/>
    <w:rsid w:val="005E3BE3"/>
    <w:rsid w:val="005E6EAD"/>
    <w:rsid w:val="005E7A4E"/>
    <w:rsid w:val="00614817"/>
    <w:rsid w:val="00633DBF"/>
    <w:rsid w:val="00641E5D"/>
    <w:rsid w:val="00642600"/>
    <w:rsid w:val="006473BF"/>
    <w:rsid w:val="00647B6F"/>
    <w:rsid w:val="00650749"/>
    <w:rsid w:val="00652BC5"/>
    <w:rsid w:val="00655371"/>
    <w:rsid w:val="00655B5D"/>
    <w:rsid w:val="0066254E"/>
    <w:rsid w:val="006626D4"/>
    <w:rsid w:val="006673D0"/>
    <w:rsid w:val="006713B9"/>
    <w:rsid w:val="00673D28"/>
    <w:rsid w:val="006830FC"/>
    <w:rsid w:val="00691545"/>
    <w:rsid w:val="00694493"/>
    <w:rsid w:val="00697665"/>
    <w:rsid w:val="006A54E5"/>
    <w:rsid w:val="006A7CB5"/>
    <w:rsid w:val="006A7FD0"/>
    <w:rsid w:val="006B06BB"/>
    <w:rsid w:val="006B1EF1"/>
    <w:rsid w:val="006C3039"/>
    <w:rsid w:val="006D0903"/>
    <w:rsid w:val="006D7687"/>
    <w:rsid w:val="006D7C9A"/>
    <w:rsid w:val="006E0572"/>
    <w:rsid w:val="006F1414"/>
    <w:rsid w:val="00705631"/>
    <w:rsid w:val="007073C9"/>
    <w:rsid w:val="00711766"/>
    <w:rsid w:val="00715EAA"/>
    <w:rsid w:val="00716368"/>
    <w:rsid w:val="007369ED"/>
    <w:rsid w:val="00742DD2"/>
    <w:rsid w:val="00747C96"/>
    <w:rsid w:val="0075094E"/>
    <w:rsid w:val="007522E8"/>
    <w:rsid w:val="0075647A"/>
    <w:rsid w:val="007634AD"/>
    <w:rsid w:val="007733E4"/>
    <w:rsid w:val="0078122E"/>
    <w:rsid w:val="00794157"/>
    <w:rsid w:val="00795647"/>
    <w:rsid w:val="00796417"/>
    <w:rsid w:val="0079751C"/>
    <w:rsid w:val="007A219D"/>
    <w:rsid w:val="007A5B47"/>
    <w:rsid w:val="007B0854"/>
    <w:rsid w:val="007C1E1A"/>
    <w:rsid w:val="007C6A89"/>
    <w:rsid w:val="007C7A53"/>
    <w:rsid w:val="007E2796"/>
    <w:rsid w:val="007E403F"/>
    <w:rsid w:val="007F0A15"/>
    <w:rsid w:val="007F32D9"/>
    <w:rsid w:val="007F3A1C"/>
    <w:rsid w:val="007F6B46"/>
    <w:rsid w:val="007F72CB"/>
    <w:rsid w:val="008008E4"/>
    <w:rsid w:val="008160EE"/>
    <w:rsid w:val="008217B7"/>
    <w:rsid w:val="00822B6C"/>
    <w:rsid w:val="0083119B"/>
    <w:rsid w:val="00836EAB"/>
    <w:rsid w:val="00846496"/>
    <w:rsid w:val="00847D0E"/>
    <w:rsid w:val="0085092D"/>
    <w:rsid w:val="00850F79"/>
    <w:rsid w:val="008720CE"/>
    <w:rsid w:val="008735A6"/>
    <w:rsid w:val="0087580E"/>
    <w:rsid w:val="00885142"/>
    <w:rsid w:val="00895A32"/>
    <w:rsid w:val="0089774F"/>
    <w:rsid w:val="008B2419"/>
    <w:rsid w:val="008B633A"/>
    <w:rsid w:val="008C3D80"/>
    <w:rsid w:val="008D4DEA"/>
    <w:rsid w:val="008E0ABD"/>
    <w:rsid w:val="008E1C15"/>
    <w:rsid w:val="008E1EA7"/>
    <w:rsid w:val="008E3AEA"/>
    <w:rsid w:val="008E41D9"/>
    <w:rsid w:val="008E47EA"/>
    <w:rsid w:val="008F538E"/>
    <w:rsid w:val="008F5656"/>
    <w:rsid w:val="009047C5"/>
    <w:rsid w:val="00905EF7"/>
    <w:rsid w:val="00907028"/>
    <w:rsid w:val="009079FB"/>
    <w:rsid w:val="00912FD9"/>
    <w:rsid w:val="009229DE"/>
    <w:rsid w:val="009250AC"/>
    <w:rsid w:val="00930ECE"/>
    <w:rsid w:val="009410B4"/>
    <w:rsid w:val="00943AA6"/>
    <w:rsid w:val="009461A5"/>
    <w:rsid w:val="0095385A"/>
    <w:rsid w:val="009648E9"/>
    <w:rsid w:val="009649C6"/>
    <w:rsid w:val="009661FE"/>
    <w:rsid w:val="0097456B"/>
    <w:rsid w:val="00975518"/>
    <w:rsid w:val="00981CB1"/>
    <w:rsid w:val="009A3850"/>
    <w:rsid w:val="009A585B"/>
    <w:rsid w:val="009A784B"/>
    <w:rsid w:val="009B08AB"/>
    <w:rsid w:val="009B4D62"/>
    <w:rsid w:val="009D0FA5"/>
    <w:rsid w:val="009D3700"/>
    <w:rsid w:val="009D4B75"/>
    <w:rsid w:val="009D7FBD"/>
    <w:rsid w:val="009F05B8"/>
    <w:rsid w:val="009F59C2"/>
    <w:rsid w:val="00A13855"/>
    <w:rsid w:val="00A24560"/>
    <w:rsid w:val="00A320AA"/>
    <w:rsid w:val="00A34538"/>
    <w:rsid w:val="00A37650"/>
    <w:rsid w:val="00A37FB6"/>
    <w:rsid w:val="00A44B31"/>
    <w:rsid w:val="00A453DC"/>
    <w:rsid w:val="00A46832"/>
    <w:rsid w:val="00A63FBD"/>
    <w:rsid w:val="00A6479F"/>
    <w:rsid w:val="00A7620B"/>
    <w:rsid w:val="00A810C8"/>
    <w:rsid w:val="00A82DE0"/>
    <w:rsid w:val="00A84D11"/>
    <w:rsid w:val="00A86A50"/>
    <w:rsid w:val="00A90500"/>
    <w:rsid w:val="00A96E98"/>
    <w:rsid w:val="00AA08E7"/>
    <w:rsid w:val="00AA254B"/>
    <w:rsid w:val="00AA442B"/>
    <w:rsid w:val="00AA5D0D"/>
    <w:rsid w:val="00AA669D"/>
    <w:rsid w:val="00AB5925"/>
    <w:rsid w:val="00AB5B0B"/>
    <w:rsid w:val="00AC04FA"/>
    <w:rsid w:val="00AD5367"/>
    <w:rsid w:val="00AE4AF7"/>
    <w:rsid w:val="00AE5BA8"/>
    <w:rsid w:val="00AF5CAC"/>
    <w:rsid w:val="00B01C30"/>
    <w:rsid w:val="00B059A7"/>
    <w:rsid w:val="00B078FE"/>
    <w:rsid w:val="00B13EC0"/>
    <w:rsid w:val="00B16CEC"/>
    <w:rsid w:val="00B16DE9"/>
    <w:rsid w:val="00B2243D"/>
    <w:rsid w:val="00B22E22"/>
    <w:rsid w:val="00B339EB"/>
    <w:rsid w:val="00B34437"/>
    <w:rsid w:val="00B4592B"/>
    <w:rsid w:val="00B51A81"/>
    <w:rsid w:val="00B525CB"/>
    <w:rsid w:val="00B53EBB"/>
    <w:rsid w:val="00B63872"/>
    <w:rsid w:val="00B63CAB"/>
    <w:rsid w:val="00B63CB2"/>
    <w:rsid w:val="00B64599"/>
    <w:rsid w:val="00B64EDB"/>
    <w:rsid w:val="00B72A12"/>
    <w:rsid w:val="00B744C8"/>
    <w:rsid w:val="00B75211"/>
    <w:rsid w:val="00B81B3B"/>
    <w:rsid w:val="00B84012"/>
    <w:rsid w:val="00B85EA4"/>
    <w:rsid w:val="00B91B8E"/>
    <w:rsid w:val="00BA0531"/>
    <w:rsid w:val="00BA1F28"/>
    <w:rsid w:val="00BA7D6C"/>
    <w:rsid w:val="00BB7589"/>
    <w:rsid w:val="00BD249C"/>
    <w:rsid w:val="00BD51CC"/>
    <w:rsid w:val="00BD5C01"/>
    <w:rsid w:val="00BD62FE"/>
    <w:rsid w:val="00BD78FE"/>
    <w:rsid w:val="00BF45FB"/>
    <w:rsid w:val="00BF7276"/>
    <w:rsid w:val="00C11613"/>
    <w:rsid w:val="00C133B6"/>
    <w:rsid w:val="00C14C04"/>
    <w:rsid w:val="00C15E01"/>
    <w:rsid w:val="00C16A2E"/>
    <w:rsid w:val="00C24492"/>
    <w:rsid w:val="00C35C62"/>
    <w:rsid w:val="00C569EB"/>
    <w:rsid w:val="00C62A49"/>
    <w:rsid w:val="00C64292"/>
    <w:rsid w:val="00C67049"/>
    <w:rsid w:val="00C673F5"/>
    <w:rsid w:val="00C836D0"/>
    <w:rsid w:val="00C83735"/>
    <w:rsid w:val="00CA5D6A"/>
    <w:rsid w:val="00CB3DD3"/>
    <w:rsid w:val="00CB4A8B"/>
    <w:rsid w:val="00CC00CD"/>
    <w:rsid w:val="00CD2D04"/>
    <w:rsid w:val="00CD69CD"/>
    <w:rsid w:val="00CF2D16"/>
    <w:rsid w:val="00D01760"/>
    <w:rsid w:val="00D16E39"/>
    <w:rsid w:val="00D223B6"/>
    <w:rsid w:val="00D3269C"/>
    <w:rsid w:val="00D36885"/>
    <w:rsid w:val="00D37026"/>
    <w:rsid w:val="00D4596D"/>
    <w:rsid w:val="00D60327"/>
    <w:rsid w:val="00D608A0"/>
    <w:rsid w:val="00D626F6"/>
    <w:rsid w:val="00D72E9D"/>
    <w:rsid w:val="00D7475A"/>
    <w:rsid w:val="00D82CE5"/>
    <w:rsid w:val="00D86914"/>
    <w:rsid w:val="00D90E3C"/>
    <w:rsid w:val="00D90FEF"/>
    <w:rsid w:val="00DA5AB1"/>
    <w:rsid w:val="00DC62E5"/>
    <w:rsid w:val="00DC787B"/>
    <w:rsid w:val="00DD735D"/>
    <w:rsid w:val="00DE3119"/>
    <w:rsid w:val="00DE7A83"/>
    <w:rsid w:val="00DF236B"/>
    <w:rsid w:val="00E13AB8"/>
    <w:rsid w:val="00E14F15"/>
    <w:rsid w:val="00E170E8"/>
    <w:rsid w:val="00E25CB3"/>
    <w:rsid w:val="00E272ED"/>
    <w:rsid w:val="00E33B62"/>
    <w:rsid w:val="00E35CD0"/>
    <w:rsid w:val="00E4113D"/>
    <w:rsid w:val="00E4143A"/>
    <w:rsid w:val="00E44310"/>
    <w:rsid w:val="00E5025C"/>
    <w:rsid w:val="00E53154"/>
    <w:rsid w:val="00E53164"/>
    <w:rsid w:val="00E54256"/>
    <w:rsid w:val="00E6343A"/>
    <w:rsid w:val="00E641E5"/>
    <w:rsid w:val="00E64EED"/>
    <w:rsid w:val="00E74486"/>
    <w:rsid w:val="00E754B8"/>
    <w:rsid w:val="00E803FC"/>
    <w:rsid w:val="00E9640A"/>
    <w:rsid w:val="00EA24A4"/>
    <w:rsid w:val="00EE59B5"/>
    <w:rsid w:val="00F060DE"/>
    <w:rsid w:val="00F1135F"/>
    <w:rsid w:val="00F139AC"/>
    <w:rsid w:val="00F1676C"/>
    <w:rsid w:val="00F17F08"/>
    <w:rsid w:val="00F22B92"/>
    <w:rsid w:val="00F24D1B"/>
    <w:rsid w:val="00F365BF"/>
    <w:rsid w:val="00F36B49"/>
    <w:rsid w:val="00F4300A"/>
    <w:rsid w:val="00F43898"/>
    <w:rsid w:val="00F44331"/>
    <w:rsid w:val="00F539A8"/>
    <w:rsid w:val="00F57D33"/>
    <w:rsid w:val="00F62BB8"/>
    <w:rsid w:val="00F63B59"/>
    <w:rsid w:val="00F63D5E"/>
    <w:rsid w:val="00F66181"/>
    <w:rsid w:val="00F84899"/>
    <w:rsid w:val="00F859F0"/>
    <w:rsid w:val="00F93320"/>
    <w:rsid w:val="00F96961"/>
    <w:rsid w:val="00FA0E68"/>
    <w:rsid w:val="00FA4FCB"/>
    <w:rsid w:val="00FA5BD7"/>
    <w:rsid w:val="00FA7A3C"/>
    <w:rsid w:val="00FC3D49"/>
    <w:rsid w:val="00FD5779"/>
    <w:rsid w:val="00FE141E"/>
    <w:rsid w:val="00FE370A"/>
    <w:rsid w:val="00FE4021"/>
    <w:rsid w:val="00FE42ED"/>
    <w:rsid w:val="00FE60CF"/>
    <w:rsid w:val="00FF5B4F"/>
    <w:rsid w:val="0DDCC6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405F24"/>
    <w:pPr>
      <w:spacing w:after="160" w:line="240" w:lineRule="exact"/>
    </w:pPr>
    <w:rPr>
      <w:sz w:val="22"/>
      <w:vertAlign w:val="superscript"/>
      <w:lang w:val="es-CO"/>
    </w:rPr>
  </w:style>
  <w:style w:type="paragraph" w:styleId="Default" w:customStyle="1">
    <w:name w:val="Default"/>
    <w:rsid w:val="006626D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754B8"/>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E754B8"/>
    <w:rPr>
      <w:rFonts w:ascii="Arial" w:hAnsi="Arial" w:eastAsia="Arial" w:cs="Arial"/>
      <w:lang w:val="es-ES"/>
    </w:rPr>
  </w:style>
  <w:style w:type="character" w:styleId="NormalWebCar" w:customStyle="1">
    <w:name w:val="Normal (Web) Car"/>
    <w:link w:val="NormalWeb"/>
    <w:uiPriority w:val="99"/>
    <w:rsid w:val="009D7FBD"/>
    <w:rPr>
      <w:rFonts w:ascii="Times New Roman" w:hAnsi="Times New Roman" w:eastAsia="Times New Roman" w:cs="Times New Roman"/>
      <w:sz w:val="24"/>
      <w:szCs w:val="24"/>
      <w:lang w:eastAsia="es-CO"/>
    </w:rPr>
  </w:style>
  <w:style w:type="table" w:styleId="Tablaconcuadrcula2" w:customStyle="1">
    <w:name w:val="Tabla con cuadrícula2"/>
    <w:basedOn w:val="Tablanormal"/>
    <w:next w:val="Tablaconcuadrcula"/>
    <w:uiPriority w:val="59"/>
    <w:rsid w:val="009D7F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2E285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933922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6937294">
      <w:bodyDiv w:val="1"/>
      <w:marLeft w:val="0"/>
      <w:marRight w:val="0"/>
      <w:marTop w:val="0"/>
      <w:marBottom w:val="0"/>
      <w:divBdr>
        <w:top w:val="none" w:sz="0" w:space="0" w:color="auto"/>
        <w:left w:val="none" w:sz="0" w:space="0" w:color="auto"/>
        <w:bottom w:val="none" w:sz="0" w:space="0" w:color="auto"/>
        <w:right w:val="none" w:sz="0" w:space="0" w:color="auto"/>
      </w:divBdr>
    </w:div>
    <w:div w:id="837967795">
      <w:bodyDiv w:val="1"/>
      <w:marLeft w:val="0"/>
      <w:marRight w:val="0"/>
      <w:marTop w:val="0"/>
      <w:marBottom w:val="0"/>
      <w:divBdr>
        <w:top w:val="none" w:sz="0" w:space="0" w:color="auto"/>
        <w:left w:val="none" w:sz="0" w:space="0" w:color="auto"/>
        <w:bottom w:val="none" w:sz="0" w:space="0" w:color="auto"/>
        <w:right w:val="none" w:sz="0" w:space="0" w:color="auto"/>
      </w:divBdr>
    </w:div>
    <w:div w:id="910887421">
      <w:bodyDiv w:val="1"/>
      <w:marLeft w:val="0"/>
      <w:marRight w:val="0"/>
      <w:marTop w:val="0"/>
      <w:marBottom w:val="0"/>
      <w:divBdr>
        <w:top w:val="none" w:sz="0" w:space="0" w:color="auto"/>
        <w:left w:val="none" w:sz="0" w:space="0" w:color="auto"/>
        <w:bottom w:val="none" w:sz="0" w:space="0" w:color="auto"/>
        <w:right w:val="none" w:sz="0" w:space="0" w:color="auto"/>
      </w:divBdr>
    </w:div>
    <w:div w:id="1747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bdd8d381db4d4c3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105F4-C15D-40C9-BD7C-3F71DF59EB49}">
  <ds:schemaRefs>
    <ds:schemaRef ds:uri="http://schemas.openxmlformats.org/officeDocument/2006/bibliography"/>
  </ds:schemaRefs>
</ds:datastoreItem>
</file>

<file path=customXml/itemProps2.xml><?xml version="1.0" encoding="utf-8"?>
<ds:datastoreItem xmlns:ds="http://schemas.openxmlformats.org/officeDocument/2006/customXml" ds:itemID="{51F25D5E-9D4C-4CF3-93DD-5A12961BFA6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87FC5CA-FA09-41A6-AC10-0A8C451D0CD5}"/>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7</revision>
  <lastPrinted>2020-03-04T13:16:00.0000000Z</lastPrinted>
  <dcterms:created xsi:type="dcterms:W3CDTF">2022-02-22T19:40:00.0000000Z</dcterms:created>
  <dcterms:modified xsi:type="dcterms:W3CDTF">2022-03-25T21:23:36.8706838Z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