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5B9E7032" w:rsidR="005204A7" w:rsidRDefault="00782707"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0028617E">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Licitación Pública – Infraestructura de transporte – Versión 3 – Factores de calidad – </w:t>
      </w:r>
      <w:r w:rsidRPr="00782707">
        <w:rPr>
          <w:rFonts w:ascii="Arial" w:eastAsia="Calibri" w:hAnsi="Arial" w:cs="Arial"/>
          <w:b/>
          <w:color w:val="000000" w:themeColor="text1"/>
          <w:sz w:val="22"/>
        </w:rPr>
        <w:t>Resolución 116 de 2020</w:t>
      </w:r>
      <w:r>
        <w:rPr>
          <w:rFonts w:ascii="Arial" w:eastAsia="Calibri" w:hAnsi="Arial" w:cs="Arial"/>
          <w:b/>
          <w:color w:val="000000" w:themeColor="text1"/>
          <w:sz w:val="22"/>
        </w:rPr>
        <w:t xml:space="preserve"> – Derogatoria</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0225024A" w14:textId="199A4237" w:rsidR="00782707" w:rsidRPr="00782707" w:rsidRDefault="00782707" w:rsidP="00782707">
      <w:pPr>
        <w:spacing w:after="120"/>
        <w:jc w:val="both"/>
        <w:rPr>
          <w:rFonts w:ascii="Arial" w:eastAsia="Calibri" w:hAnsi="Arial" w:cs="Arial"/>
          <w:bCs/>
          <w:color w:val="000000" w:themeColor="text1"/>
          <w:sz w:val="20"/>
          <w:szCs w:val="20"/>
        </w:rPr>
      </w:pPr>
      <w:r w:rsidRPr="00782707">
        <w:rPr>
          <w:rFonts w:ascii="Arial" w:eastAsia="Calibri" w:hAnsi="Arial" w:cs="Arial"/>
          <w:bCs/>
          <w:color w:val="000000" w:themeColor="text1"/>
          <w:sz w:val="20"/>
          <w:szCs w:val="20"/>
        </w:rPr>
        <w:t>La última versión de los documentos tipo de licitación para obra pública de infraestructura de tra</w:t>
      </w:r>
      <w:r w:rsidR="005979C7">
        <w:rPr>
          <w:rFonts w:ascii="Arial" w:eastAsia="Calibri" w:hAnsi="Arial" w:cs="Arial"/>
          <w:bCs/>
          <w:color w:val="000000" w:themeColor="text1"/>
          <w:sz w:val="20"/>
          <w:szCs w:val="20"/>
        </w:rPr>
        <w:t>n</w:t>
      </w:r>
      <w:r w:rsidRPr="00782707">
        <w:rPr>
          <w:rFonts w:ascii="Arial" w:eastAsia="Calibri" w:hAnsi="Arial" w:cs="Arial"/>
          <w:bCs/>
          <w:color w:val="000000" w:themeColor="text1"/>
          <w:sz w:val="20"/>
          <w:szCs w:val="20"/>
        </w:rPr>
        <w:t xml:space="preserve">sporte adoptada mediante la Resolución No. 240 del 27 de noviembre de 2020, consagra factores de calidad para la evaluación de las propuestas. Al igual que en los documentos tipo adoptados mediante las Resoluciones No. 1798 del 1º de abril de 2019 y 045 del 14 de febrero de 2020, conserva la implementación del programa de gerencia de proyectos, la disponibilidad y condiciones funcionales de la maquinaria de obra y la presentación de un plan de calidad. </w:t>
      </w:r>
    </w:p>
    <w:p w14:paraId="7A416A87" w14:textId="60D58362" w:rsidR="005204A7" w:rsidRPr="006C15D5" w:rsidRDefault="00782707" w:rsidP="00782707">
      <w:pPr>
        <w:jc w:val="both"/>
        <w:rPr>
          <w:rFonts w:ascii="Arial" w:eastAsia="Calibri" w:hAnsi="Arial" w:cs="Arial"/>
          <w:bCs/>
          <w:color w:val="000000" w:themeColor="text1"/>
          <w:sz w:val="20"/>
          <w:szCs w:val="20"/>
        </w:rPr>
      </w:pPr>
      <w:r w:rsidRPr="00782707">
        <w:rPr>
          <w:rFonts w:ascii="Arial" w:eastAsia="Calibri" w:hAnsi="Arial" w:cs="Arial"/>
          <w:bCs/>
          <w:color w:val="000000" w:themeColor="text1"/>
          <w:sz w:val="20"/>
          <w:szCs w:val="20"/>
        </w:rPr>
        <w:t>No obstante, la segunda versión incluía la presentación de una garantía adicional o suplementaria, cuadrillas de trabajo adicional y mantenimiento rutinario adicional, los cuales fueron modificados por la Resolución 116 del 21 de julio de 2020. Actualmente, los «Documentos Tipo – Versión 3» de licitación para obra pública de infraestructura de transporte solo reproducen lo relacionado con la garantía adicional o complementaria, el cual se suma a los tres (3) factores de calidad mencionados en el párrafo precedente. Por tanto, en la medida que el artículo 6 de la Resolución No. 240 del 27 de noviembre de 2020 dispone que esta «[…] deroga la Resolución 045 de 2020 y sus modificaciones posteriores […]», se entiende que la Resolución 116 del 21 de julio de 2020 ha dejado de producir efectos.</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32E6AE9C" w:rsidR="005204A7" w:rsidRDefault="000E3983" w:rsidP="005204A7">
      <w:pPr>
        <w:jc w:val="both"/>
        <w:rPr>
          <w:rFonts w:ascii="Arial" w:eastAsia="Calibri" w:hAnsi="Arial" w:cs="Arial"/>
          <w:b/>
          <w:color w:val="000000" w:themeColor="text1"/>
          <w:sz w:val="22"/>
        </w:rPr>
      </w:pPr>
      <w:r w:rsidRPr="000E3983">
        <w:rPr>
          <w:rFonts w:ascii="Arial" w:eastAsia="Calibri" w:hAnsi="Arial" w:cs="Arial"/>
          <w:b/>
          <w:color w:val="000000" w:themeColor="text1"/>
          <w:sz w:val="22"/>
        </w:rPr>
        <w:t>FACTORES DE CALIDAD</w:t>
      </w:r>
      <w:r w:rsidR="0028617E">
        <w:rPr>
          <w:rFonts w:ascii="Arial" w:eastAsia="Calibri" w:hAnsi="Arial" w:cs="Arial"/>
          <w:b/>
          <w:color w:val="000000" w:themeColor="text1"/>
          <w:sz w:val="22"/>
        </w:rPr>
        <w:t xml:space="preserve"> – </w:t>
      </w:r>
      <w:bookmarkStart w:id="2" w:name="_Hlk63671473"/>
      <w:r>
        <w:rPr>
          <w:rFonts w:ascii="Arial" w:eastAsia="Calibri" w:hAnsi="Arial" w:cs="Arial"/>
          <w:b/>
          <w:color w:val="000000" w:themeColor="text1"/>
          <w:sz w:val="22"/>
        </w:rPr>
        <w:t xml:space="preserve">Garantía suplementaria o adicional </w:t>
      </w:r>
      <w:bookmarkEnd w:id="2"/>
      <w:r>
        <w:rPr>
          <w:rFonts w:ascii="Arial" w:eastAsia="Calibri" w:hAnsi="Arial" w:cs="Arial"/>
          <w:b/>
          <w:color w:val="000000" w:themeColor="text1"/>
          <w:sz w:val="22"/>
        </w:rPr>
        <w:t xml:space="preserve">– Póliza de seguro – Garantía comercial </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574027A2" w:rsidR="00295636" w:rsidRDefault="00F657F0" w:rsidP="005204A7">
      <w:pPr>
        <w:jc w:val="both"/>
        <w:rPr>
          <w:rFonts w:ascii="Arial" w:eastAsia="Calibri" w:hAnsi="Arial" w:cs="Arial"/>
          <w:color w:val="000000" w:themeColor="text1"/>
          <w:sz w:val="20"/>
          <w:szCs w:val="20"/>
        </w:rPr>
      </w:pPr>
      <w:r w:rsidRPr="00F657F0">
        <w:rPr>
          <w:rFonts w:ascii="Arial" w:eastAsia="Calibri" w:hAnsi="Arial" w:cs="Arial"/>
          <w:color w:val="000000" w:themeColor="text1"/>
          <w:sz w:val="20"/>
          <w:szCs w:val="20"/>
        </w:rPr>
        <w:t>El numeral 4.2.4 del documento base define el «Factor de Calidad – Garantía Suplementaria o Adicional», como aquella otorgada por el contratista, distinta a la legal, cuando amplíe o mejore gratuitamente la cobertura de esta, asociada a la estabilidad y calidad de la obra. En este sentido, el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r w:rsidR="0028617E">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1CDB5685" w14:textId="3DB14B6A" w:rsidR="005204A7" w:rsidRDefault="000E3983" w:rsidP="005204A7">
      <w:pPr>
        <w:jc w:val="both"/>
        <w:rPr>
          <w:rFonts w:ascii="Arial" w:eastAsia="Calibri" w:hAnsi="Arial" w:cs="Arial"/>
          <w:b/>
          <w:color w:val="000000" w:themeColor="text1"/>
          <w:sz w:val="22"/>
        </w:rPr>
      </w:pPr>
      <w:r w:rsidRPr="000E3983">
        <w:rPr>
          <w:rFonts w:ascii="Arial" w:eastAsia="Calibri" w:hAnsi="Arial" w:cs="Arial"/>
          <w:b/>
          <w:color w:val="000000" w:themeColor="text1"/>
          <w:sz w:val="22"/>
        </w:rPr>
        <w:t>GARANTÍA SUPLEMENTARIA O ADICIONAL</w:t>
      </w:r>
      <w:r w:rsidR="0028617E">
        <w:rPr>
          <w:rFonts w:ascii="Arial" w:eastAsia="Calibri" w:hAnsi="Arial" w:cs="Arial"/>
          <w:b/>
          <w:color w:val="000000" w:themeColor="text1"/>
          <w:sz w:val="22"/>
        </w:rPr>
        <w:t xml:space="preserve"> –</w:t>
      </w:r>
      <w:r w:rsidR="009961B3">
        <w:rPr>
          <w:rFonts w:ascii="Arial" w:eastAsia="Calibri" w:hAnsi="Arial" w:cs="Arial"/>
          <w:b/>
          <w:color w:val="000000" w:themeColor="text1"/>
          <w:sz w:val="22"/>
        </w:rPr>
        <w:t xml:space="preserve"> </w:t>
      </w:r>
      <w:r>
        <w:rPr>
          <w:rFonts w:ascii="Arial" w:eastAsia="Calibri" w:hAnsi="Arial" w:cs="Arial"/>
          <w:b/>
          <w:color w:val="000000" w:themeColor="text1"/>
          <w:sz w:val="22"/>
        </w:rPr>
        <w:t>Acreditación</w:t>
      </w:r>
      <w:r w:rsidR="00AD7459">
        <w:rPr>
          <w:rFonts w:ascii="Arial" w:eastAsia="Calibri" w:hAnsi="Arial" w:cs="Arial"/>
          <w:b/>
          <w:color w:val="000000" w:themeColor="text1"/>
          <w:sz w:val="22"/>
        </w:rPr>
        <w:t xml:space="preserve"> – Documento idóneo</w:t>
      </w:r>
      <w:r>
        <w:rPr>
          <w:rFonts w:ascii="Arial" w:eastAsia="Calibri" w:hAnsi="Arial" w:cs="Arial"/>
          <w:b/>
          <w:color w:val="000000" w:themeColor="text1"/>
          <w:sz w:val="22"/>
        </w:rPr>
        <w:t xml:space="preserve"> </w:t>
      </w:r>
      <w:r w:rsidR="009961B3">
        <w:rPr>
          <w:rFonts w:ascii="Arial" w:eastAsia="Calibri" w:hAnsi="Arial" w:cs="Arial"/>
          <w:b/>
          <w:color w:val="000000" w:themeColor="text1"/>
          <w:sz w:val="22"/>
        </w:rPr>
        <w:t xml:space="preserve"> </w:t>
      </w:r>
    </w:p>
    <w:p w14:paraId="6327B2C6" w14:textId="77777777" w:rsidR="0028617E" w:rsidRDefault="0028617E" w:rsidP="005204A7">
      <w:pPr>
        <w:jc w:val="both"/>
        <w:rPr>
          <w:rFonts w:ascii="Arial" w:eastAsia="Calibri" w:hAnsi="Arial" w:cs="Arial"/>
          <w:b/>
          <w:color w:val="000000" w:themeColor="text1"/>
          <w:sz w:val="20"/>
          <w:szCs w:val="20"/>
        </w:rPr>
      </w:pPr>
    </w:p>
    <w:p w14:paraId="54CE3779" w14:textId="49250064" w:rsidR="00F657F0" w:rsidRPr="00F657F0" w:rsidRDefault="00AD7459" w:rsidP="00F657F0">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F657F0" w:rsidRPr="00F657F0">
        <w:rPr>
          <w:rFonts w:ascii="Arial" w:eastAsia="Calibri" w:hAnsi="Arial" w:cs="Arial"/>
          <w:bCs/>
          <w:color w:val="000000" w:themeColor="text1"/>
          <w:sz w:val="20"/>
          <w:szCs w:val="20"/>
          <w:lang w:val="es-ES"/>
        </w:rPr>
        <w:t xml:space="preserve">respecto a la forma como se acredita el cumplimiento, el numeral 4.2.4 en el literal VIII) dispone que «La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De este modo, el interventor, durante la ejecución del contrato, verifica que el contratista aporte el documento que acredite el cumplimiento de otorgar la garantía suplementaria, cumpliendo el compromiso realizado por el proponente en el «Formato 7D – Garantía Suplementaria o Adicional». </w:t>
      </w:r>
    </w:p>
    <w:p w14:paraId="67B619AD" w14:textId="2082125C" w:rsidR="00295636" w:rsidRDefault="00F657F0" w:rsidP="00F657F0">
      <w:pPr>
        <w:spacing w:after="120"/>
        <w:jc w:val="both"/>
        <w:rPr>
          <w:rFonts w:ascii="Arial" w:eastAsia="Calibri" w:hAnsi="Arial" w:cs="Arial"/>
          <w:bCs/>
          <w:color w:val="000000" w:themeColor="text1"/>
          <w:sz w:val="20"/>
          <w:szCs w:val="20"/>
          <w:lang w:val="es-ES"/>
        </w:rPr>
      </w:pPr>
      <w:r w:rsidRPr="00F657F0">
        <w:rPr>
          <w:rFonts w:ascii="Arial" w:eastAsia="Calibri" w:hAnsi="Arial" w:cs="Arial"/>
          <w:bCs/>
          <w:color w:val="000000" w:themeColor="text1"/>
          <w:sz w:val="20"/>
          <w:szCs w:val="20"/>
          <w:lang w:val="es-ES"/>
        </w:rPr>
        <w:t xml:space="preserve">En todo caso, ¿cuál es el documento idóneo que se entrega al interventor para acreditar las condiciones de la garantía? El documento que se entrega varía si la garantía se otorga por medio de una póliza expedida por una aseguradora o directamente como una garantía comercial. En el primer supuesto, el documento que se presenta es la póliza. En el segundo, es decir, cuando se trata de una garantía comercial, el contratista entrega al interventor un documento que cumpla las condiciones mínimas previstas en el artículo 14 de la Ley 1480 de 2011, esto es: i) debe constar por </w:t>
      </w:r>
      <w:r w:rsidRPr="00F657F0">
        <w:rPr>
          <w:rFonts w:ascii="Arial" w:eastAsia="Calibri" w:hAnsi="Arial" w:cs="Arial"/>
          <w:bCs/>
          <w:color w:val="000000" w:themeColor="text1"/>
          <w:sz w:val="20"/>
          <w:szCs w:val="20"/>
          <w:lang w:val="es-ES"/>
        </w:rPr>
        <w:lastRenderedPageBreak/>
        <w:t xml:space="preserve">escrito, </w:t>
      </w:r>
      <w:proofErr w:type="spellStart"/>
      <w:r w:rsidRPr="00F657F0">
        <w:rPr>
          <w:rFonts w:ascii="Arial" w:eastAsia="Calibri" w:hAnsi="Arial" w:cs="Arial"/>
          <w:bCs/>
          <w:color w:val="000000" w:themeColor="text1"/>
          <w:sz w:val="20"/>
          <w:szCs w:val="20"/>
          <w:lang w:val="es-ES"/>
        </w:rPr>
        <w:t>ii</w:t>
      </w:r>
      <w:proofErr w:type="spellEnd"/>
      <w:r w:rsidRPr="00F657F0">
        <w:rPr>
          <w:rFonts w:ascii="Arial" w:eastAsia="Calibri" w:hAnsi="Arial" w:cs="Arial"/>
          <w:bCs/>
          <w:color w:val="000000" w:themeColor="text1"/>
          <w:sz w:val="20"/>
          <w:szCs w:val="20"/>
          <w:lang w:val="es-ES"/>
        </w:rPr>
        <w:t xml:space="preserve">) de fácil comprensión y </w:t>
      </w:r>
      <w:proofErr w:type="spellStart"/>
      <w:r w:rsidRPr="00F657F0">
        <w:rPr>
          <w:rFonts w:ascii="Arial" w:eastAsia="Calibri" w:hAnsi="Arial" w:cs="Arial"/>
          <w:bCs/>
          <w:color w:val="000000" w:themeColor="text1"/>
          <w:sz w:val="20"/>
          <w:szCs w:val="20"/>
          <w:lang w:val="es-ES"/>
        </w:rPr>
        <w:t>iii</w:t>
      </w:r>
      <w:proofErr w:type="spellEnd"/>
      <w:r w:rsidRPr="00F657F0">
        <w:rPr>
          <w:rFonts w:ascii="Arial" w:eastAsia="Calibri" w:hAnsi="Arial" w:cs="Arial"/>
          <w:bCs/>
          <w:color w:val="000000" w:themeColor="text1"/>
          <w:sz w:val="20"/>
          <w:szCs w:val="20"/>
          <w:lang w:val="es-ES"/>
        </w:rPr>
        <w:t>) con caracteres legibles a simple vista, donde se acredite el compromiso y la obligación que asume el contratista frente a la entidad respecto a la garantía adicional en relación con la estabilidad y calidad de la obra. En este último caso, dado que el interesado otorga directamente la garantía, ni la ley ni el pliego de condiciones exigen respaldo financiero, jurídico o técnico adicional, diferentes o superiores a los requisitos habilitantes exigidos en el procedimiento de selección, relacionados, entre otros, con la capacidad jurídica, la experiencia, la capacidad financiera y organizacional del proponente</w:t>
      </w:r>
      <w:r w:rsidR="000E3983" w:rsidRPr="000E3983">
        <w:rPr>
          <w:rFonts w:ascii="Arial" w:eastAsia="Calibri" w:hAnsi="Arial" w:cs="Arial"/>
          <w:bCs/>
          <w:color w:val="000000" w:themeColor="text1"/>
          <w:sz w:val="20"/>
          <w:szCs w:val="20"/>
          <w:lang w:val="es-ES"/>
        </w:rPr>
        <w:t>.</w:t>
      </w:r>
    </w:p>
    <w:p w14:paraId="4F5F72A1" w14:textId="77777777" w:rsidR="00A648E0" w:rsidRDefault="00A648E0" w:rsidP="00A648E0">
      <w:pPr>
        <w:jc w:val="both"/>
        <w:rPr>
          <w:rFonts w:ascii="Arial" w:eastAsia="Calibri" w:hAnsi="Arial" w:cs="Arial"/>
          <w:b/>
          <w:color w:val="000000" w:themeColor="text1"/>
          <w:sz w:val="22"/>
        </w:rPr>
      </w:pPr>
    </w:p>
    <w:p w14:paraId="5622F527" w14:textId="77C77DDB" w:rsidR="00282D8F" w:rsidRPr="00295636" w:rsidRDefault="000E3983" w:rsidP="00A648E0">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GARANTÍA COMERCIAL</w:t>
      </w:r>
      <w:r w:rsidR="009961B3">
        <w:rPr>
          <w:rFonts w:ascii="Arial" w:eastAsia="Calibri" w:hAnsi="Arial" w:cs="Arial"/>
          <w:b/>
          <w:color w:val="000000" w:themeColor="text1"/>
          <w:sz w:val="22"/>
        </w:rPr>
        <w:t xml:space="preserve"> – </w:t>
      </w:r>
      <w:r>
        <w:rPr>
          <w:rFonts w:ascii="Arial" w:eastAsia="Calibri" w:hAnsi="Arial" w:cs="Arial"/>
          <w:b/>
          <w:color w:val="000000" w:themeColor="text1"/>
          <w:sz w:val="22"/>
        </w:rPr>
        <w:t>Proceso de reorganización empresarial</w:t>
      </w:r>
      <w:r w:rsidR="009961B3">
        <w:rPr>
          <w:rFonts w:ascii="Arial" w:eastAsia="Calibri" w:hAnsi="Arial" w:cs="Arial"/>
          <w:b/>
          <w:color w:val="000000" w:themeColor="text1"/>
          <w:sz w:val="22"/>
        </w:rPr>
        <w:t xml:space="preserve"> </w:t>
      </w:r>
      <w:r w:rsidR="000D1766">
        <w:rPr>
          <w:rFonts w:ascii="Arial" w:eastAsia="Calibri" w:hAnsi="Arial" w:cs="Arial"/>
          <w:b/>
          <w:color w:val="000000" w:themeColor="text1"/>
          <w:sz w:val="22"/>
        </w:rPr>
        <w:t xml:space="preserve">– </w:t>
      </w:r>
      <w:r>
        <w:rPr>
          <w:rFonts w:ascii="Arial" w:eastAsia="Calibri" w:hAnsi="Arial" w:cs="Arial"/>
          <w:b/>
          <w:color w:val="000000" w:themeColor="text1"/>
          <w:sz w:val="22"/>
        </w:rPr>
        <w:t>Efectos</w:t>
      </w:r>
    </w:p>
    <w:p w14:paraId="4A61ECE4" w14:textId="77777777" w:rsidR="00A648E0" w:rsidRDefault="00A648E0" w:rsidP="005204A7">
      <w:pPr>
        <w:jc w:val="both"/>
        <w:rPr>
          <w:rFonts w:ascii="Arial" w:eastAsia="Calibri" w:hAnsi="Arial" w:cs="Arial"/>
          <w:bCs/>
          <w:color w:val="000000" w:themeColor="text1"/>
          <w:sz w:val="20"/>
          <w:szCs w:val="20"/>
          <w:lang w:val="es-ES"/>
        </w:rPr>
      </w:pPr>
      <w:bookmarkStart w:id="3" w:name="_Hlk50481752"/>
    </w:p>
    <w:p w14:paraId="6CDF2442" w14:textId="1E4B8128" w:rsidR="000E3983" w:rsidRDefault="000D1766" w:rsidP="000E3983">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A02C1A" w:rsidRPr="00A02C1A">
        <w:rPr>
          <w:rFonts w:ascii="Arial" w:eastAsia="Calibri" w:hAnsi="Arial" w:cs="Arial"/>
          <w:bCs/>
          <w:color w:val="000000" w:themeColor="text1"/>
          <w:sz w:val="20"/>
          <w:szCs w:val="20"/>
          <w:lang w:val="es-ES"/>
        </w:rPr>
        <w:t>si durante la vigencia de la garantía suplementaria el contratista entra en un proceso de reorganización empresarial, el hecho de que el factor de calidad se cumpla con una garantía comercial no elimina la efectividad del ofrecimiento. En efecto, a diferencia del proceso de liquidación obligatoria, el proceso de reorganización no busca repartir el patrimonio del deudor frente a los acreedores, sino la continuidad de la empresa como unidad de explotación económica. Por ello, el artículo 1, inciso segundo, de la Ley 1116 de 2006 dispone que «El proceso de reorganización pretende a través de un acuerdo, preservar empresas viables y normalizar sus relaciones comerciales y crediticias, mediante su reestructuración operacional, administrativa, de activos o pasivos»</w:t>
      </w:r>
      <w:r w:rsidR="000E3983" w:rsidRPr="000E3983">
        <w:rPr>
          <w:rFonts w:ascii="Arial" w:eastAsia="Calibri" w:hAnsi="Arial" w:cs="Arial"/>
          <w:bCs/>
          <w:color w:val="000000" w:themeColor="text1"/>
          <w:sz w:val="20"/>
          <w:szCs w:val="20"/>
          <w:lang w:val="es-ES"/>
        </w:rPr>
        <w:t>.</w:t>
      </w:r>
    </w:p>
    <w:p w14:paraId="45FE0EAF" w14:textId="2AA1E336" w:rsidR="000E3983" w:rsidRPr="000E3983" w:rsidRDefault="000E3983" w:rsidP="000E3983">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2B7F2513" w14:textId="7DD490E1" w:rsidR="006F67D8" w:rsidRDefault="00C76D1F" w:rsidP="000D1766">
      <w:pPr>
        <w:jc w:val="both"/>
        <w:rPr>
          <w:rFonts w:ascii="Arial" w:eastAsia="Calibri" w:hAnsi="Arial" w:cs="Arial"/>
          <w:bCs/>
          <w:color w:val="000000" w:themeColor="text1"/>
          <w:sz w:val="20"/>
          <w:szCs w:val="20"/>
          <w:lang w:val="es-ES"/>
        </w:rPr>
      </w:pPr>
      <w:r w:rsidRPr="00C76D1F">
        <w:rPr>
          <w:rFonts w:ascii="Arial" w:eastAsia="Calibri" w:hAnsi="Arial" w:cs="Arial"/>
          <w:bCs/>
          <w:color w:val="000000" w:themeColor="text1"/>
          <w:sz w:val="20"/>
          <w:szCs w:val="20"/>
          <w:lang w:val="es-ES"/>
        </w:rPr>
        <w:t>De esta manera, la efectividad de la garantía comercial está sujeta a las normas sobre la administración de los negocios de la persona en proceso de reorganización. Por tanto, conforme a lo dispuesto en los artículos 31 y siguientes de la Ley 1116 de 2006, la entidad contratante debe disponer las medidas necesarias para asegurar la efectividad del factor de calidad directamente ofrecido por el contratista dentro del «acuerdo de reorganización»</w:t>
      </w:r>
      <w:bookmarkEnd w:id="3"/>
      <w:r w:rsidR="000D1766" w:rsidRPr="000D1766">
        <w:rPr>
          <w:rFonts w:ascii="Arial" w:eastAsia="Calibri" w:hAnsi="Arial" w:cs="Arial"/>
          <w:bCs/>
          <w:color w:val="000000" w:themeColor="text1"/>
          <w:sz w:val="20"/>
          <w:szCs w:val="20"/>
          <w:lang w:val="es-ES"/>
        </w:rPr>
        <w:t xml:space="preserve">. </w:t>
      </w:r>
    </w:p>
    <w:p w14:paraId="610708E1" w14:textId="77777777" w:rsidR="006F67D8" w:rsidRDefault="006F67D8">
      <w:pPr>
        <w:spacing w:after="160" w:line="259" w:lineRule="auto"/>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br w:type="page"/>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6C2D1181" w14:textId="40A9A86B"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D277EC">
        <w:rPr>
          <w:rFonts w:ascii="Arial" w:hAnsi="Arial" w:cs="Arial"/>
          <w:b/>
          <w:color w:val="000000" w:themeColor="text1"/>
          <w:sz w:val="22"/>
        </w:rPr>
        <w:t>10/02/2021</w:t>
      </w:r>
    </w:p>
    <w:p w14:paraId="355C471E" w14:textId="77777777" w:rsidR="00387D0F" w:rsidRPr="00387D0F" w:rsidRDefault="00387D0F" w:rsidP="00387D0F">
      <w:pPr>
        <w:rPr>
          <w:rFonts w:ascii="Arial" w:hAnsi="Arial" w:cs="Arial"/>
          <w:b/>
          <w:sz w:val="22"/>
          <w:szCs w:val="20"/>
        </w:rPr>
      </w:pPr>
    </w:p>
    <w:p w14:paraId="12A234ED" w14:textId="51C46B3E" w:rsidR="00BE1E33" w:rsidRPr="006C15D5" w:rsidRDefault="001F6E10" w:rsidP="001F6E10">
      <w:pPr>
        <w:jc w:val="right"/>
        <w:rPr>
          <w:rFonts w:ascii="Arial" w:eastAsia="Calibri" w:hAnsi="Arial" w:cs="Arial"/>
          <w:color w:val="000000" w:themeColor="text1"/>
          <w:sz w:val="22"/>
        </w:rPr>
      </w:pPr>
      <w:r>
        <w:rPr>
          <w:noProof/>
        </w:rPr>
        <w:drawing>
          <wp:inline distT="0" distB="0" distL="0" distR="0" wp14:anchorId="7753193D" wp14:editId="49FC32B2">
            <wp:extent cx="2743200" cy="8096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743200" cy="809625"/>
                    </a:xfrm>
                    <a:prstGeom prst="rect">
                      <a:avLst/>
                    </a:prstGeom>
                  </pic:spPr>
                </pic:pic>
              </a:graphicData>
            </a:graphic>
          </wp:inline>
        </w:drawing>
      </w:r>
    </w:p>
    <w:p w14:paraId="73D51859" w14:textId="45B062FD"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r w:rsidR="00910C30">
        <w:rPr>
          <w:rFonts w:ascii="Arial" w:eastAsia="Calibri" w:hAnsi="Arial" w:cs="Arial"/>
          <w:color w:val="000000" w:themeColor="text1"/>
          <w:sz w:val="22"/>
        </w:rPr>
        <w:t>a</w:t>
      </w:r>
    </w:p>
    <w:p w14:paraId="215BF0F8" w14:textId="417DFB98" w:rsidR="00CF282F" w:rsidRDefault="00910C30" w:rsidP="00BE1E33">
      <w:pPr>
        <w:rPr>
          <w:rFonts w:ascii="Arial" w:eastAsia="Calibri" w:hAnsi="Arial" w:cs="Arial"/>
          <w:b/>
          <w:color w:val="000000" w:themeColor="text1"/>
          <w:sz w:val="22"/>
        </w:rPr>
      </w:pPr>
      <w:r w:rsidRPr="00910C30">
        <w:rPr>
          <w:rFonts w:ascii="Arial" w:eastAsia="Calibri" w:hAnsi="Arial" w:cs="Arial"/>
          <w:b/>
          <w:color w:val="000000" w:themeColor="text1"/>
          <w:sz w:val="22"/>
        </w:rPr>
        <w:t>Carolina Vega Sierra</w:t>
      </w:r>
    </w:p>
    <w:p w14:paraId="04EF8353" w14:textId="5FA0AC00" w:rsidR="00BE1E33" w:rsidRPr="006C15D5" w:rsidRDefault="00CF282F" w:rsidP="00BE1E33">
      <w:pPr>
        <w:rPr>
          <w:rFonts w:ascii="Arial" w:eastAsia="Calibri" w:hAnsi="Arial" w:cs="Arial"/>
          <w:color w:val="000000" w:themeColor="text1"/>
          <w:sz w:val="22"/>
        </w:rPr>
      </w:pPr>
      <w:r w:rsidRPr="00387D0F">
        <w:rPr>
          <w:rFonts w:ascii="Arial" w:hAnsi="Arial" w:cs="Arial"/>
          <w:sz w:val="22"/>
          <w:szCs w:val="20"/>
        </w:rPr>
        <w:t>Bogotá D.C.</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2A7A39D9"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551CCE">
        <w:rPr>
          <w:rFonts w:ascii="Arial" w:eastAsia="Calibri" w:hAnsi="Arial" w:cs="Arial"/>
          <w:b/>
          <w:color w:val="000000" w:themeColor="text1"/>
          <w:sz w:val="22"/>
        </w:rPr>
        <w:t>001</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w:t>
      </w:r>
      <w:r w:rsidR="00551CCE">
        <w:rPr>
          <w:rFonts w:ascii="Arial" w:eastAsia="Calibri" w:hAnsi="Arial" w:cs="Arial"/>
          <w:b/>
          <w:color w:val="000000" w:themeColor="text1"/>
          <w:sz w:val="22"/>
        </w:rPr>
        <w:t>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E1384D7" w:rsidR="00BE1E33" w:rsidRPr="006C15D5" w:rsidRDefault="00A34634">
            <w:pPr>
              <w:jc w:val="both"/>
              <w:rPr>
                <w:rFonts w:ascii="Arial" w:eastAsia="Calibri" w:hAnsi="Arial" w:cs="Arial"/>
                <w:color w:val="000000" w:themeColor="text1"/>
                <w:sz w:val="22"/>
              </w:rPr>
            </w:pPr>
            <w:r w:rsidRPr="00A34634">
              <w:rPr>
                <w:rFonts w:ascii="Arial" w:eastAsia="Calibri" w:hAnsi="Arial" w:cs="Arial"/>
                <w:color w:val="000000" w:themeColor="text1"/>
                <w:sz w:val="22"/>
              </w:rPr>
              <w:t>DOCUMENTOS TIPO – Licitación Pública – Infraestructura de transporte – Versión 3 – Factores de calidad – Resolución 116 de 2020 – Derogatoria</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A34634">
              <w:rPr>
                <w:rFonts w:ascii="Arial" w:eastAsia="Calibri" w:hAnsi="Arial" w:cs="Arial"/>
                <w:color w:val="000000" w:themeColor="text1"/>
                <w:sz w:val="22"/>
              </w:rPr>
              <w:t>FACTORES DE CALIDAD – Garantía suplementaria o adicional – Póliza de seguro – Garantía comercial</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A34634">
              <w:rPr>
                <w:rFonts w:ascii="Arial" w:eastAsia="Calibri" w:hAnsi="Arial" w:cs="Arial"/>
                <w:color w:val="000000" w:themeColor="text1"/>
                <w:sz w:val="22"/>
              </w:rPr>
              <w:t>GARANTÍA SUPLEMENTARIA O ADICIONAL – Acreditación – Documento idóneo</w:t>
            </w:r>
            <w:r w:rsidR="007C6431" w:rsidRPr="007C6431">
              <w:rPr>
                <w:rFonts w:ascii="Arial" w:eastAsia="Calibri" w:hAnsi="Arial" w:cs="Arial"/>
                <w:color w:val="000000" w:themeColor="text1"/>
                <w:sz w:val="22"/>
              </w:rPr>
              <w:t xml:space="preserve"> </w:t>
            </w:r>
            <w:r w:rsidR="007C6431">
              <w:rPr>
                <w:rFonts w:ascii="Arial" w:eastAsia="Calibri" w:hAnsi="Arial" w:cs="Arial"/>
                <w:color w:val="000000" w:themeColor="text1"/>
                <w:sz w:val="22"/>
              </w:rPr>
              <w:t xml:space="preserve">/ </w:t>
            </w:r>
            <w:r w:rsidRPr="00A34634">
              <w:rPr>
                <w:rFonts w:ascii="Arial" w:eastAsia="Calibri" w:hAnsi="Arial" w:cs="Arial"/>
                <w:color w:val="000000" w:themeColor="text1"/>
                <w:sz w:val="22"/>
              </w:rPr>
              <w:t>GARANTÍA COMERCIAL – Proceso de reorganización empresarial – Efectos</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06E9DAA3"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w:t>
            </w:r>
            <w:r w:rsidR="00551CCE">
              <w:rPr>
                <w:rFonts w:ascii="Arial" w:eastAsia="Calibri" w:hAnsi="Arial" w:cs="Arial"/>
                <w:color w:val="000000" w:themeColor="text1"/>
                <w:sz w:val="22"/>
              </w:rPr>
              <w:t xml:space="preserve"> la</w:t>
            </w:r>
            <w:r w:rsidRPr="006C15D5">
              <w:rPr>
                <w:rFonts w:ascii="Arial" w:eastAsia="Calibri" w:hAnsi="Arial" w:cs="Arial"/>
                <w:color w:val="000000" w:themeColor="text1"/>
                <w:sz w:val="22"/>
              </w:rPr>
              <w:t xml:space="preserve"> consulta </w:t>
            </w:r>
            <w:r w:rsidR="00B74A1E" w:rsidRPr="00B74A1E">
              <w:rPr>
                <w:rFonts w:ascii="Arial" w:eastAsia="Calibri" w:hAnsi="Arial" w:cs="Arial"/>
                <w:color w:val="000000" w:themeColor="text1"/>
                <w:sz w:val="22"/>
              </w:rPr>
              <w:t>P20201231000937</w:t>
            </w:r>
          </w:p>
        </w:tc>
      </w:tr>
    </w:tbl>
    <w:p w14:paraId="177F3517" w14:textId="77777777" w:rsidR="00BE1E33" w:rsidRPr="006C15D5" w:rsidRDefault="00BE1E33" w:rsidP="00B45C93">
      <w:pPr>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4F9CBBA5"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E06B3A">
        <w:rPr>
          <w:rFonts w:ascii="Arial" w:eastAsia="Calibri" w:hAnsi="Arial" w:cs="Arial"/>
          <w:color w:val="000000" w:themeColor="text1"/>
          <w:sz w:val="22"/>
        </w:rPr>
        <w:t>a</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E06B3A">
        <w:rPr>
          <w:rFonts w:ascii="Arial" w:eastAsia="Calibri" w:hAnsi="Arial" w:cs="Arial"/>
          <w:color w:val="000000" w:themeColor="text1"/>
          <w:sz w:val="22"/>
        </w:rPr>
        <w:t>a</w:t>
      </w:r>
      <w:r w:rsidR="008C3ACC">
        <w:rPr>
          <w:rFonts w:ascii="Arial" w:eastAsia="Calibri" w:hAnsi="Arial" w:cs="Arial"/>
          <w:color w:val="000000" w:themeColor="text1"/>
          <w:sz w:val="22"/>
        </w:rPr>
        <w:t xml:space="preserve"> </w:t>
      </w:r>
      <w:r w:rsidR="00E06B3A">
        <w:rPr>
          <w:rFonts w:ascii="Arial" w:eastAsia="Calibri" w:hAnsi="Arial" w:cs="Arial"/>
          <w:color w:val="000000" w:themeColor="text1"/>
          <w:sz w:val="22"/>
        </w:rPr>
        <w:t>Vega Sierra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2972B5F"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605159">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E06B3A">
        <w:rPr>
          <w:rFonts w:ascii="Arial" w:eastAsia="Calibri" w:hAnsi="Arial" w:cs="Arial"/>
          <w:color w:val="000000" w:themeColor="text1"/>
          <w:sz w:val="22"/>
        </w:rPr>
        <w:t>31 de diciembre de</w:t>
      </w:r>
      <w:r w:rsidRPr="006C15D5">
        <w:rPr>
          <w:rFonts w:ascii="Arial" w:eastAsia="Calibri" w:hAnsi="Arial" w:cs="Arial"/>
          <w:color w:val="000000" w:themeColor="text1"/>
          <w:sz w:val="22"/>
        </w:rPr>
        <w:t xml:space="preserv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BD63988" w14:textId="789DF180" w:rsidR="005D16F3" w:rsidRDefault="008F7DCE" w:rsidP="005D16F3">
      <w:pPr>
        <w:tabs>
          <w:tab w:val="left" w:pos="709"/>
        </w:tabs>
        <w:spacing w:after="120" w:line="276" w:lineRule="auto"/>
        <w:jc w:val="both"/>
        <w:rPr>
          <w:rFonts w:ascii="Arial" w:eastAsia="Calibri" w:hAnsi="Arial" w:cs="Arial"/>
          <w:color w:val="000000" w:themeColor="text1"/>
          <w:sz w:val="22"/>
        </w:rPr>
      </w:pPr>
      <w:bookmarkStart w:id="4" w:name="_Hlk63169498"/>
      <w:r>
        <w:rPr>
          <w:rFonts w:ascii="Arial" w:eastAsia="Calibri" w:hAnsi="Arial" w:cs="Arial"/>
          <w:color w:val="000000" w:themeColor="text1"/>
          <w:sz w:val="22"/>
        </w:rPr>
        <w:t xml:space="preserve">En relación </w:t>
      </w:r>
      <w:r w:rsidR="00753104">
        <w:rPr>
          <w:rFonts w:ascii="Arial" w:eastAsia="Calibri" w:hAnsi="Arial" w:cs="Arial"/>
          <w:color w:val="000000" w:themeColor="text1"/>
          <w:sz w:val="22"/>
        </w:rPr>
        <w:t>con</w:t>
      </w:r>
      <w:r w:rsidR="00E53AE5">
        <w:rPr>
          <w:rFonts w:ascii="Arial" w:eastAsia="Calibri" w:hAnsi="Arial" w:cs="Arial"/>
          <w:color w:val="000000" w:themeColor="text1"/>
          <w:sz w:val="22"/>
        </w:rPr>
        <w:t xml:space="preserve"> los «Documentos Tipo – Versión 3» de licitación para obra pública de </w:t>
      </w:r>
      <w:r>
        <w:rPr>
          <w:rFonts w:ascii="Arial" w:eastAsia="Calibri" w:hAnsi="Arial" w:cs="Arial"/>
          <w:color w:val="000000" w:themeColor="text1"/>
          <w:sz w:val="22"/>
        </w:rPr>
        <w:t>infraestructura de transporte</w:t>
      </w:r>
      <w:r w:rsidR="00E53AE5">
        <w:rPr>
          <w:rFonts w:ascii="Arial" w:eastAsia="Calibri" w:hAnsi="Arial" w:cs="Arial"/>
          <w:color w:val="000000" w:themeColor="text1"/>
          <w:sz w:val="22"/>
        </w:rPr>
        <w:t>,</w:t>
      </w:r>
      <w:r>
        <w:rPr>
          <w:rFonts w:ascii="Arial" w:eastAsia="Calibri" w:hAnsi="Arial" w:cs="Arial"/>
          <w:color w:val="000000" w:themeColor="text1"/>
          <w:sz w:val="22"/>
        </w:rPr>
        <w:t xml:space="preserve"> especialmente, sobre la garantía suplementaria o adicional prevista en el numeral 4.2.4 del pliego,</w:t>
      </w:r>
      <w:r w:rsidR="00E53AE5">
        <w:rPr>
          <w:rFonts w:ascii="Arial" w:eastAsia="Calibri" w:hAnsi="Arial" w:cs="Arial"/>
          <w:color w:val="000000" w:themeColor="text1"/>
          <w:sz w:val="22"/>
        </w:rPr>
        <w:t xml:space="preserve"> usted realiza las siguientes preguntas: </w:t>
      </w:r>
      <w:r>
        <w:rPr>
          <w:rFonts w:ascii="Arial" w:eastAsia="Calibri" w:hAnsi="Arial" w:cs="Arial"/>
          <w:color w:val="000000" w:themeColor="text1"/>
          <w:sz w:val="22"/>
        </w:rPr>
        <w:t xml:space="preserve">i) </w:t>
      </w:r>
      <w:bookmarkStart w:id="5" w:name="_Hlk63169467"/>
      <w:r>
        <w:rPr>
          <w:rFonts w:ascii="Arial" w:eastAsia="Calibri" w:hAnsi="Arial" w:cs="Arial"/>
          <w:color w:val="000000" w:themeColor="text1"/>
          <w:sz w:val="22"/>
        </w:rPr>
        <w:t>«</w:t>
      </w:r>
      <w:r w:rsidRPr="008F7DCE">
        <w:rPr>
          <w:rFonts w:ascii="Arial" w:eastAsia="Calibri" w:hAnsi="Arial" w:cs="Arial"/>
          <w:color w:val="000000" w:themeColor="text1"/>
          <w:sz w:val="22"/>
        </w:rPr>
        <w:t>Si la Entidad realiza los estudios técnicos que soportan unos tiempos de vigencia y durabilidad de las obras en condiciones normales de uso, ¿no se convertiría en una práctica inapropiada pedir y ofrecer más tiempo de respaldo?</w:t>
      </w:r>
      <w:r>
        <w:rPr>
          <w:rFonts w:ascii="Arial" w:eastAsia="Calibri" w:hAnsi="Arial" w:cs="Arial"/>
          <w:color w:val="000000" w:themeColor="text1"/>
          <w:sz w:val="22"/>
        </w:rPr>
        <w:t>»</w:t>
      </w:r>
      <w:bookmarkEnd w:id="4"/>
      <w:bookmarkEnd w:id="5"/>
      <w:r>
        <w:rPr>
          <w:rFonts w:ascii="Arial" w:eastAsia="Calibri" w:hAnsi="Arial" w:cs="Arial"/>
          <w:color w:val="000000" w:themeColor="text1"/>
          <w:sz w:val="22"/>
        </w:rPr>
        <w:t>, ii) «</w:t>
      </w:r>
      <w:r w:rsidRPr="008F7DCE">
        <w:rPr>
          <w:rFonts w:ascii="Arial" w:eastAsia="Calibri" w:hAnsi="Arial" w:cs="Arial"/>
          <w:color w:val="000000" w:themeColor="text1"/>
          <w:sz w:val="22"/>
        </w:rPr>
        <w:t>¿Es obligatorio para las aseguradoras brindar cobertura para la garantía suplementaria o adicional otorgada directamente por el Proponente?</w:t>
      </w:r>
      <w:r>
        <w:rPr>
          <w:rFonts w:ascii="Arial" w:eastAsia="Calibri" w:hAnsi="Arial" w:cs="Arial"/>
          <w:color w:val="000000" w:themeColor="text1"/>
          <w:sz w:val="22"/>
        </w:rPr>
        <w:t xml:space="preserve">», </w:t>
      </w:r>
      <w:bookmarkStart w:id="6" w:name="_Hlk63176099"/>
      <w:r>
        <w:rPr>
          <w:rFonts w:ascii="Arial" w:eastAsia="Calibri" w:hAnsi="Arial" w:cs="Arial"/>
          <w:color w:val="000000" w:themeColor="text1"/>
          <w:sz w:val="22"/>
        </w:rPr>
        <w:t>iii) «</w:t>
      </w:r>
      <w:r w:rsidRPr="008F7DCE">
        <w:rPr>
          <w:rFonts w:ascii="Arial" w:eastAsia="Calibri" w:hAnsi="Arial" w:cs="Arial"/>
          <w:color w:val="000000" w:themeColor="text1"/>
          <w:sz w:val="22"/>
        </w:rPr>
        <w:t>Si este ofrecimiento adicional es respaldado por una aseguradora. ¿En qué momento se</w:t>
      </w:r>
      <w:r>
        <w:rPr>
          <w:rFonts w:ascii="Arial" w:eastAsia="Calibri" w:hAnsi="Arial" w:cs="Arial"/>
          <w:color w:val="000000" w:themeColor="text1"/>
          <w:sz w:val="22"/>
        </w:rPr>
        <w:t xml:space="preserve"> </w:t>
      </w:r>
      <w:r w:rsidRPr="008F7DCE">
        <w:rPr>
          <w:rFonts w:ascii="Arial" w:eastAsia="Calibri" w:hAnsi="Arial" w:cs="Arial"/>
          <w:color w:val="000000" w:themeColor="text1"/>
          <w:sz w:val="22"/>
        </w:rPr>
        <w:t>entregaría la respectiva póliza?</w:t>
      </w:r>
      <w:r>
        <w:rPr>
          <w:rFonts w:ascii="Arial" w:eastAsia="Calibri" w:hAnsi="Arial" w:cs="Arial"/>
          <w:color w:val="000000" w:themeColor="text1"/>
          <w:sz w:val="22"/>
        </w:rPr>
        <w:t>»</w:t>
      </w:r>
      <w:bookmarkEnd w:id="6"/>
      <w:r>
        <w:rPr>
          <w:rFonts w:ascii="Arial" w:eastAsia="Calibri" w:hAnsi="Arial" w:cs="Arial"/>
          <w:color w:val="000000" w:themeColor="text1"/>
          <w:sz w:val="22"/>
        </w:rPr>
        <w:t xml:space="preserve">, </w:t>
      </w:r>
      <w:bookmarkStart w:id="7" w:name="_Hlk63250924"/>
      <w:proofErr w:type="spellStart"/>
      <w:r>
        <w:rPr>
          <w:rFonts w:ascii="Arial" w:eastAsia="Calibri" w:hAnsi="Arial" w:cs="Arial"/>
          <w:color w:val="000000" w:themeColor="text1"/>
          <w:sz w:val="22"/>
        </w:rPr>
        <w:t>iv</w:t>
      </w:r>
      <w:proofErr w:type="spellEnd"/>
      <w:r>
        <w:rPr>
          <w:rFonts w:ascii="Arial" w:eastAsia="Calibri" w:hAnsi="Arial" w:cs="Arial"/>
          <w:color w:val="000000" w:themeColor="text1"/>
          <w:sz w:val="22"/>
        </w:rPr>
        <w:t>) «</w:t>
      </w:r>
      <w:r w:rsidRPr="008F7DCE">
        <w:rPr>
          <w:rFonts w:ascii="Arial" w:eastAsia="Calibri" w:hAnsi="Arial" w:cs="Arial"/>
          <w:color w:val="000000" w:themeColor="text1"/>
          <w:sz w:val="22"/>
        </w:rPr>
        <w:t xml:space="preserve">¿En el evento en </w:t>
      </w:r>
      <w:r w:rsidRPr="008F7DCE">
        <w:rPr>
          <w:rFonts w:ascii="Arial" w:eastAsia="Calibri" w:hAnsi="Arial" w:cs="Arial"/>
          <w:color w:val="000000" w:themeColor="text1"/>
          <w:sz w:val="22"/>
        </w:rPr>
        <w:lastRenderedPageBreak/>
        <w:t>que la Aseguradora no otorgue cobertura a garantía suplementaria o adicional, le aplicaría la regla de responsabilidad solidaria?</w:t>
      </w:r>
      <w:r>
        <w:rPr>
          <w:rFonts w:ascii="Arial" w:eastAsia="Calibri" w:hAnsi="Arial" w:cs="Arial"/>
          <w:color w:val="000000" w:themeColor="text1"/>
          <w:sz w:val="22"/>
        </w:rPr>
        <w:t>»</w:t>
      </w:r>
      <w:bookmarkEnd w:id="7"/>
      <w:r w:rsidR="000E76F4">
        <w:rPr>
          <w:rFonts w:ascii="Arial" w:eastAsia="Calibri" w:hAnsi="Arial" w:cs="Arial"/>
          <w:color w:val="000000" w:themeColor="text1"/>
          <w:sz w:val="22"/>
        </w:rPr>
        <w:t xml:space="preserve">, </w:t>
      </w:r>
      <w:bookmarkStart w:id="8" w:name="_Hlk63667482"/>
      <w:r w:rsidR="000E76F4">
        <w:rPr>
          <w:rFonts w:ascii="Arial" w:eastAsia="Calibri" w:hAnsi="Arial" w:cs="Arial"/>
          <w:color w:val="000000" w:themeColor="text1"/>
          <w:sz w:val="22"/>
        </w:rPr>
        <w:t>v) «</w:t>
      </w:r>
      <w:r w:rsidR="000E76F4" w:rsidRPr="000E76F4">
        <w:rPr>
          <w:rFonts w:ascii="Arial" w:eastAsia="Calibri" w:hAnsi="Arial" w:cs="Arial"/>
          <w:color w:val="000000" w:themeColor="text1"/>
          <w:sz w:val="22"/>
        </w:rPr>
        <w:t>¿Qué ha previsto la Agencia para los eventos en que el proponente que otorga una garantía comercial para respaldar la garantía suplementaria o adicional entra en reorganización y se enfrenta ante la imposibilidad de cumplir con la misma?</w:t>
      </w:r>
      <w:r w:rsidR="005D16F3">
        <w:rPr>
          <w:rFonts w:ascii="Arial" w:eastAsia="Calibri" w:hAnsi="Arial" w:cs="Arial"/>
          <w:color w:val="000000" w:themeColor="text1"/>
          <w:sz w:val="22"/>
        </w:rPr>
        <w:t>»</w:t>
      </w:r>
      <w:bookmarkEnd w:id="8"/>
      <w:r w:rsidR="005D16F3">
        <w:rPr>
          <w:rFonts w:ascii="Arial" w:eastAsia="Calibri" w:hAnsi="Arial" w:cs="Arial"/>
          <w:color w:val="000000" w:themeColor="text1"/>
          <w:sz w:val="22"/>
        </w:rPr>
        <w:t>, vi) «</w:t>
      </w:r>
      <w:r w:rsidR="005D16F3" w:rsidRPr="005D16F3">
        <w:rPr>
          <w:rFonts w:ascii="Arial" w:eastAsia="Calibri" w:hAnsi="Arial" w:cs="Arial"/>
          <w:color w:val="000000" w:themeColor="text1"/>
          <w:sz w:val="22"/>
        </w:rPr>
        <w:t>¿cuál es la limitación de responsabilidad de cara a las aseguradoras y como estas Compañías pueden tener la certeza que no van a ser requeridos si el cliente no cumple con lo ofrecido en la garantía comercial, independientemente de la razón que lo lleve al incumplimiento?</w:t>
      </w:r>
      <w:r w:rsidR="005D16F3">
        <w:rPr>
          <w:rFonts w:ascii="Arial" w:eastAsia="Calibri" w:hAnsi="Arial" w:cs="Arial"/>
          <w:color w:val="000000" w:themeColor="text1"/>
          <w:sz w:val="22"/>
        </w:rPr>
        <w:t xml:space="preserve">», </w:t>
      </w:r>
      <w:bookmarkStart w:id="9" w:name="_Hlk63253788"/>
      <w:proofErr w:type="spellStart"/>
      <w:r w:rsidR="005D16F3">
        <w:rPr>
          <w:rFonts w:ascii="Arial" w:eastAsia="Calibri" w:hAnsi="Arial" w:cs="Arial"/>
          <w:color w:val="000000" w:themeColor="text1"/>
          <w:sz w:val="22"/>
        </w:rPr>
        <w:t>vii</w:t>
      </w:r>
      <w:proofErr w:type="spellEnd"/>
      <w:r w:rsidR="005D16F3">
        <w:rPr>
          <w:rFonts w:ascii="Arial" w:eastAsia="Calibri" w:hAnsi="Arial" w:cs="Arial"/>
          <w:color w:val="000000" w:themeColor="text1"/>
          <w:sz w:val="22"/>
        </w:rPr>
        <w:t>) «</w:t>
      </w:r>
      <w:r w:rsidR="005D16F3" w:rsidRPr="005D16F3">
        <w:rPr>
          <w:rFonts w:ascii="Arial" w:eastAsia="Calibri" w:hAnsi="Arial" w:cs="Arial"/>
          <w:color w:val="000000" w:themeColor="text1"/>
          <w:sz w:val="22"/>
        </w:rPr>
        <w:t>Para que la garantía suplementaria o adicional pueda ser ofrecida por el proponente a través de una garantía comercial, ¿este debe demostrar algún tipo de respaldo financiero, jurídico o técnico adicional?</w:t>
      </w:r>
      <w:r w:rsidR="005D16F3">
        <w:rPr>
          <w:rFonts w:ascii="Arial" w:eastAsia="Calibri" w:hAnsi="Arial" w:cs="Arial"/>
          <w:color w:val="000000" w:themeColor="text1"/>
          <w:sz w:val="22"/>
        </w:rPr>
        <w:t>»</w:t>
      </w:r>
      <w:bookmarkEnd w:id="9"/>
      <w:r w:rsidR="005D16F3">
        <w:rPr>
          <w:rFonts w:ascii="Arial" w:eastAsia="Calibri" w:hAnsi="Arial" w:cs="Arial"/>
          <w:color w:val="000000" w:themeColor="text1"/>
          <w:sz w:val="22"/>
        </w:rPr>
        <w:t xml:space="preserve">. </w:t>
      </w:r>
    </w:p>
    <w:p w14:paraId="199B2883" w14:textId="011BB10A" w:rsidR="00F103DC" w:rsidRPr="006C15D5" w:rsidRDefault="005D16F3" w:rsidP="00F103DC">
      <w:pPr>
        <w:tabs>
          <w:tab w:val="left" w:pos="709"/>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Finalmente, en relación con la derogatoria de los «Documentos Tipo – Versión 2» de licitación para obra pública de infraestructura de transporte, pregunta </w:t>
      </w:r>
      <w:bookmarkStart w:id="10" w:name="_Hlk63252766"/>
      <w:r>
        <w:rPr>
          <w:rFonts w:ascii="Arial" w:eastAsia="Calibri" w:hAnsi="Arial" w:cs="Arial"/>
          <w:color w:val="000000" w:themeColor="text1"/>
          <w:sz w:val="22"/>
        </w:rPr>
        <w:t>«</w:t>
      </w:r>
      <w:r w:rsidRPr="005D16F3">
        <w:rPr>
          <w:rFonts w:ascii="Arial" w:eastAsia="Calibri" w:hAnsi="Arial" w:cs="Arial"/>
          <w:color w:val="000000" w:themeColor="text1"/>
          <w:sz w:val="22"/>
        </w:rPr>
        <w:t>El artículo 6 de la Resolución No. 240 de 2020 reza: “La presente resolución rige a partir de su publicación, deroga la Resolución 045 de 2020 y sus modificaciones posteriores”, de acuerdo con lo anterior ¿ha de entenderse que deroga todas las disposiciones posteriores</w:t>
      </w:r>
      <w:r>
        <w:rPr>
          <w:rFonts w:ascii="Arial" w:eastAsia="Calibri" w:hAnsi="Arial" w:cs="Arial"/>
          <w:color w:val="000000" w:themeColor="text1"/>
          <w:sz w:val="22"/>
        </w:rPr>
        <w:t xml:space="preserve"> </w:t>
      </w:r>
      <w:r w:rsidRPr="005D16F3">
        <w:rPr>
          <w:rFonts w:ascii="Arial" w:eastAsia="Calibri" w:hAnsi="Arial" w:cs="Arial"/>
          <w:color w:val="000000" w:themeColor="text1"/>
          <w:sz w:val="22"/>
        </w:rPr>
        <w:t>que se han emitido con el fin de reglamentar los pliegos tipo incluida la resolución No. 116 de 2020, como modificatoria de la resolución 045 de 2020?</w:t>
      </w:r>
      <w:r>
        <w:rPr>
          <w:rFonts w:ascii="Arial" w:eastAsia="Calibri" w:hAnsi="Arial" w:cs="Arial"/>
          <w:color w:val="000000" w:themeColor="text1"/>
          <w:sz w:val="22"/>
        </w:rPr>
        <w:t>»</w:t>
      </w:r>
      <w:bookmarkEnd w:id="10"/>
      <w:r>
        <w:rPr>
          <w:rFonts w:ascii="Arial" w:eastAsia="Calibri" w:hAnsi="Arial" w:cs="Arial"/>
          <w:color w:val="000000" w:themeColor="text1"/>
          <w:sz w:val="22"/>
        </w:rPr>
        <w:t>.</w:t>
      </w:r>
      <w:r w:rsidR="008F7DCE" w:rsidRPr="008F7DCE">
        <w:rPr>
          <w:rFonts w:ascii="Arial" w:eastAsia="Calibri" w:hAnsi="Arial" w:cs="Arial"/>
          <w:color w:val="000000" w:themeColor="text1"/>
          <w:sz w:val="22"/>
        </w:rPr>
        <w:cr/>
      </w: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6CC1D200" w:rsidR="00491F16" w:rsidRDefault="00491F16" w:rsidP="00491F16">
      <w:pPr>
        <w:spacing w:line="276" w:lineRule="auto"/>
        <w:jc w:val="both"/>
        <w:rPr>
          <w:rFonts w:ascii="Arial" w:eastAsia="Calibri" w:hAnsi="Arial" w:cs="Arial"/>
          <w:color w:val="000000" w:themeColor="text1"/>
          <w:sz w:val="22"/>
        </w:rPr>
      </w:pPr>
    </w:p>
    <w:p w14:paraId="584A31B0" w14:textId="7FC1E0DF" w:rsidR="001130D4" w:rsidRPr="005E2234" w:rsidRDefault="0078305F" w:rsidP="005E2234">
      <w:pPr>
        <w:spacing w:after="120" w:line="276" w:lineRule="auto"/>
        <w:jc w:val="both"/>
        <w:rPr>
          <w:rFonts w:ascii="Arial" w:eastAsia="Calibri" w:hAnsi="Arial" w:cs="Arial"/>
          <w:color w:val="000000" w:themeColor="text1"/>
          <w:sz w:val="22"/>
        </w:rPr>
      </w:pPr>
      <w:r w:rsidRPr="0078305F">
        <w:rPr>
          <w:rFonts w:ascii="Arial" w:eastAsia="Calibri" w:hAnsi="Arial" w:cs="Arial"/>
          <w:color w:val="000000" w:themeColor="text1"/>
          <w:sz w:val="22"/>
        </w:rPr>
        <w:t xml:space="preserve">La Agencia Nacional de contratación Pública – Colombia Compra Eficiente se ha pronunciado en diferentes ocasiones sobre los factores de calidad en los documentos tipo, entre otros, en los </w:t>
      </w:r>
      <w:r>
        <w:rPr>
          <w:rFonts w:ascii="Arial" w:eastAsia="Calibri" w:hAnsi="Arial" w:cs="Arial"/>
          <w:color w:val="000000" w:themeColor="text1"/>
          <w:sz w:val="22"/>
        </w:rPr>
        <w:t>C</w:t>
      </w:r>
      <w:r w:rsidRPr="0078305F">
        <w:rPr>
          <w:rFonts w:ascii="Arial" w:eastAsia="Calibri" w:hAnsi="Arial" w:cs="Arial"/>
          <w:color w:val="000000" w:themeColor="text1"/>
          <w:sz w:val="22"/>
        </w:rPr>
        <w:t>onceptos C-019 del 14 de enero de 2020, C-030 del 28 de enero de 2020, C-026 del 11 de febrero de 2020, C-063 del 24 de febrero de 2020, C-137 del 26 de marzo de 2020, C-294 del 18 de mayo de 2020, C-276 y C-277 del 26 de mayo de 2020; C–380 y C–381 del 1 de junio de 2020; C-404 del 12 de junio de 2020, C-430 del 7 de julio de 2020, C-481 del 27 de julio de 2020 y C-478 del 30 de julio de 2020, C-540 del 19 de agosto de 2020, C-536 del 24 de agosto de 2020, C-520 del 25 de agosto de 2020, C-539 del 29 de agosto de 2020</w:t>
      </w:r>
      <w:r>
        <w:rPr>
          <w:rFonts w:ascii="Arial" w:eastAsia="Calibri" w:hAnsi="Arial" w:cs="Arial"/>
          <w:color w:val="000000" w:themeColor="text1"/>
          <w:sz w:val="22"/>
        </w:rPr>
        <w:t>,</w:t>
      </w:r>
      <w:r w:rsidRPr="0078305F">
        <w:rPr>
          <w:rFonts w:ascii="Arial" w:eastAsia="Calibri" w:hAnsi="Arial" w:cs="Arial"/>
          <w:color w:val="000000" w:themeColor="text1"/>
          <w:sz w:val="22"/>
        </w:rPr>
        <w:t xml:space="preserve"> C-631 del 2 de octubre de 2020</w:t>
      </w:r>
      <w:r>
        <w:rPr>
          <w:rFonts w:ascii="Arial" w:eastAsia="Calibri" w:hAnsi="Arial" w:cs="Arial"/>
          <w:color w:val="000000" w:themeColor="text1"/>
          <w:sz w:val="22"/>
        </w:rPr>
        <w:t xml:space="preserve"> y C-682 del 25 de noviembre de 2020</w:t>
      </w:r>
      <w:r w:rsidRPr="0078305F">
        <w:rPr>
          <w:rFonts w:ascii="Arial" w:eastAsia="Calibri" w:hAnsi="Arial" w:cs="Arial"/>
          <w:color w:val="000000" w:themeColor="text1"/>
          <w:sz w:val="22"/>
        </w:rPr>
        <w:t>. Las tesis desarrolladas en dichos conceptos se reiteran y amplían en lo pertinente</w:t>
      </w:r>
      <w:r>
        <w:rPr>
          <w:rFonts w:ascii="Arial" w:eastAsia="Calibri" w:hAnsi="Arial" w:cs="Arial"/>
          <w:color w:val="000000" w:themeColor="text1"/>
          <w:sz w:val="22"/>
        </w:rPr>
        <w:t>:</w:t>
      </w:r>
    </w:p>
    <w:p w14:paraId="71114FF0" w14:textId="5E77C804" w:rsidR="00CF048C" w:rsidRDefault="00E04FDA" w:rsidP="00CF048C">
      <w:pPr>
        <w:spacing w:after="120" w:line="276" w:lineRule="auto"/>
        <w:ind w:firstLine="708"/>
        <w:jc w:val="both"/>
        <w:rPr>
          <w:rFonts w:ascii="Arial" w:eastAsia="Calibri" w:hAnsi="Arial" w:cs="Arial"/>
          <w:color w:val="000000" w:themeColor="text1"/>
          <w:sz w:val="22"/>
        </w:rPr>
      </w:pPr>
      <w:bookmarkStart w:id="11" w:name="_Hlk63671153"/>
      <w:r>
        <w:rPr>
          <w:rFonts w:ascii="Arial" w:eastAsia="Calibri" w:hAnsi="Arial" w:cs="Arial"/>
          <w:color w:val="000000" w:themeColor="text1"/>
          <w:sz w:val="22"/>
        </w:rPr>
        <w:t>La última versión de los</w:t>
      </w:r>
      <w:r w:rsidR="004D0851">
        <w:rPr>
          <w:rFonts w:ascii="Arial" w:eastAsia="Calibri" w:hAnsi="Arial" w:cs="Arial"/>
          <w:color w:val="000000" w:themeColor="text1"/>
          <w:sz w:val="22"/>
        </w:rPr>
        <w:t xml:space="preserve"> </w:t>
      </w:r>
      <w:r w:rsidR="001130D4">
        <w:rPr>
          <w:rFonts w:ascii="Arial" w:eastAsia="Calibri" w:hAnsi="Arial" w:cs="Arial"/>
          <w:color w:val="000000" w:themeColor="text1"/>
          <w:sz w:val="22"/>
        </w:rPr>
        <w:t>documentos tipo</w:t>
      </w:r>
      <w:r w:rsidR="004D0851">
        <w:rPr>
          <w:rFonts w:ascii="Arial" w:eastAsia="Calibri" w:hAnsi="Arial" w:cs="Arial"/>
          <w:color w:val="000000" w:themeColor="text1"/>
          <w:sz w:val="22"/>
        </w:rPr>
        <w:t xml:space="preserve"> de licitación </w:t>
      </w:r>
      <w:r>
        <w:rPr>
          <w:rFonts w:ascii="Arial" w:eastAsia="Calibri" w:hAnsi="Arial" w:cs="Arial"/>
          <w:color w:val="000000" w:themeColor="text1"/>
          <w:sz w:val="22"/>
        </w:rPr>
        <w:t>para obra pública de infraestructura de tra</w:t>
      </w:r>
      <w:r w:rsidR="008B1C9D">
        <w:rPr>
          <w:rFonts w:ascii="Arial" w:eastAsia="Calibri" w:hAnsi="Arial" w:cs="Arial"/>
          <w:color w:val="000000" w:themeColor="text1"/>
          <w:sz w:val="22"/>
        </w:rPr>
        <w:t>n</w:t>
      </w:r>
      <w:r>
        <w:rPr>
          <w:rFonts w:ascii="Arial" w:eastAsia="Calibri" w:hAnsi="Arial" w:cs="Arial"/>
          <w:color w:val="000000" w:themeColor="text1"/>
          <w:sz w:val="22"/>
        </w:rPr>
        <w:t>sporte</w:t>
      </w:r>
      <w:r w:rsidR="004B0337">
        <w:rPr>
          <w:rFonts w:ascii="Arial" w:eastAsia="Calibri" w:hAnsi="Arial" w:cs="Arial"/>
          <w:color w:val="000000" w:themeColor="text1"/>
          <w:sz w:val="22"/>
        </w:rPr>
        <w:t xml:space="preserve"> </w:t>
      </w:r>
      <w:r w:rsidR="001130D4">
        <w:rPr>
          <w:rFonts w:ascii="Arial" w:eastAsia="Calibri" w:hAnsi="Arial" w:cs="Arial"/>
          <w:color w:val="000000" w:themeColor="text1"/>
          <w:sz w:val="22"/>
        </w:rPr>
        <w:t>adoptad</w:t>
      </w:r>
      <w:r>
        <w:rPr>
          <w:rFonts w:ascii="Arial" w:eastAsia="Calibri" w:hAnsi="Arial" w:cs="Arial"/>
          <w:color w:val="000000" w:themeColor="text1"/>
          <w:sz w:val="22"/>
        </w:rPr>
        <w:t>a</w:t>
      </w:r>
      <w:r w:rsidR="001130D4">
        <w:rPr>
          <w:rFonts w:ascii="Arial" w:eastAsia="Calibri" w:hAnsi="Arial" w:cs="Arial"/>
          <w:color w:val="000000" w:themeColor="text1"/>
          <w:sz w:val="22"/>
        </w:rPr>
        <w:t xml:space="preserve"> mediante la Resolución No. 240 del 27 de noviembre de 2020</w:t>
      </w:r>
      <w:r>
        <w:rPr>
          <w:rFonts w:ascii="Arial" w:eastAsia="Calibri" w:hAnsi="Arial" w:cs="Arial"/>
          <w:color w:val="000000" w:themeColor="text1"/>
          <w:sz w:val="22"/>
        </w:rPr>
        <w:t>,</w:t>
      </w:r>
      <w:r w:rsidR="004D0851">
        <w:rPr>
          <w:rFonts w:ascii="Arial" w:eastAsia="Calibri" w:hAnsi="Arial" w:cs="Arial"/>
          <w:color w:val="000000" w:themeColor="text1"/>
          <w:sz w:val="22"/>
        </w:rPr>
        <w:t xml:space="preserve"> consagra factores de calidad para la evaluación de las propuestas. Al igual que </w:t>
      </w:r>
      <w:r w:rsidR="001130D4">
        <w:rPr>
          <w:rFonts w:ascii="Arial" w:eastAsia="Calibri" w:hAnsi="Arial" w:cs="Arial"/>
          <w:color w:val="000000" w:themeColor="text1"/>
          <w:sz w:val="22"/>
        </w:rPr>
        <w:t xml:space="preserve">en los documentos tipo adoptados mediante las Resoluciones No. 1798 del 1º de abril de 2019 y </w:t>
      </w:r>
      <w:r>
        <w:rPr>
          <w:rFonts w:ascii="Arial" w:eastAsia="Calibri" w:hAnsi="Arial" w:cs="Arial"/>
          <w:color w:val="000000" w:themeColor="text1"/>
          <w:sz w:val="22"/>
        </w:rPr>
        <w:t>045 del 14 de febrero de 2020</w:t>
      </w:r>
      <w:r w:rsidR="004D0851">
        <w:rPr>
          <w:rFonts w:ascii="Arial" w:eastAsia="Calibri" w:hAnsi="Arial" w:cs="Arial"/>
          <w:color w:val="000000" w:themeColor="text1"/>
          <w:sz w:val="22"/>
        </w:rPr>
        <w:t xml:space="preserve">, </w:t>
      </w:r>
      <w:r w:rsidR="00211FAE">
        <w:rPr>
          <w:rFonts w:ascii="Arial" w:eastAsia="Calibri" w:hAnsi="Arial" w:cs="Arial"/>
          <w:color w:val="000000" w:themeColor="text1"/>
          <w:sz w:val="22"/>
        </w:rPr>
        <w:t>conserva</w:t>
      </w:r>
      <w:r w:rsidR="004D0851">
        <w:rPr>
          <w:rFonts w:ascii="Arial" w:eastAsia="Calibri" w:hAnsi="Arial" w:cs="Arial"/>
          <w:color w:val="000000" w:themeColor="text1"/>
          <w:sz w:val="22"/>
        </w:rPr>
        <w:t xml:space="preserve"> la </w:t>
      </w:r>
      <w:r w:rsidR="004D0851" w:rsidRPr="004D0851">
        <w:rPr>
          <w:rFonts w:ascii="Arial" w:eastAsia="Calibri" w:hAnsi="Arial" w:cs="Arial"/>
          <w:color w:val="000000" w:themeColor="text1"/>
          <w:sz w:val="22"/>
        </w:rPr>
        <w:t>implementación del programa de gerencia de proyectos</w:t>
      </w:r>
      <w:r w:rsidR="004D0851">
        <w:rPr>
          <w:rFonts w:ascii="Arial" w:eastAsia="Calibri" w:hAnsi="Arial" w:cs="Arial"/>
          <w:color w:val="000000" w:themeColor="text1"/>
          <w:sz w:val="22"/>
        </w:rPr>
        <w:t xml:space="preserve">, la </w:t>
      </w:r>
      <w:r w:rsidR="004D0851" w:rsidRPr="004D0851">
        <w:rPr>
          <w:rFonts w:ascii="Arial" w:eastAsia="Calibri" w:hAnsi="Arial" w:cs="Arial"/>
          <w:color w:val="000000" w:themeColor="text1"/>
          <w:sz w:val="22"/>
        </w:rPr>
        <w:t>disponibilidad y condiciones funcionales de la maquinaria de obra</w:t>
      </w:r>
      <w:r w:rsidR="004D0851">
        <w:rPr>
          <w:rFonts w:ascii="Arial" w:eastAsia="Calibri" w:hAnsi="Arial" w:cs="Arial"/>
          <w:color w:val="000000" w:themeColor="text1"/>
          <w:sz w:val="22"/>
        </w:rPr>
        <w:t xml:space="preserve"> y la </w:t>
      </w:r>
      <w:r w:rsidR="004D0851" w:rsidRPr="004D0851">
        <w:rPr>
          <w:rFonts w:ascii="Arial" w:eastAsia="Calibri" w:hAnsi="Arial" w:cs="Arial"/>
          <w:color w:val="000000" w:themeColor="text1"/>
          <w:sz w:val="22"/>
        </w:rPr>
        <w:t>presentación de un plan de calidad</w:t>
      </w:r>
      <w:r w:rsidR="004D0851">
        <w:rPr>
          <w:rFonts w:ascii="Arial" w:eastAsia="Calibri" w:hAnsi="Arial" w:cs="Arial"/>
          <w:color w:val="000000" w:themeColor="text1"/>
          <w:sz w:val="22"/>
        </w:rPr>
        <w:t xml:space="preserve">. </w:t>
      </w:r>
    </w:p>
    <w:p w14:paraId="194F9C31" w14:textId="185D8F85" w:rsidR="002705F8" w:rsidRDefault="004D0851" w:rsidP="006F411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No obstante, </w:t>
      </w:r>
      <w:r w:rsidR="00E04FDA">
        <w:rPr>
          <w:rFonts w:ascii="Arial" w:eastAsia="Calibri" w:hAnsi="Arial" w:cs="Arial"/>
          <w:color w:val="000000" w:themeColor="text1"/>
          <w:sz w:val="22"/>
        </w:rPr>
        <w:t>la segunda versión incluía</w:t>
      </w:r>
      <w:r w:rsidR="001130D4" w:rsidRPr="001130D4">
        <w:rPr>
          <w:rFonts w:ascii="Arial" w:eastAsia="Calibri" w:hAnsi="Arial" w:cs="Arial"/>
          <w:color w:val="000000" w:themeColor="text1"/>
          <w:sz w:val="22"/>
        </w:rPr>
        <w:t xml:space="preserve"> la presentación de una garantía adicional o suplementaria, cuadrillas de trabajo adicional y mantenimiento rutinario adicional</w:t>
      </w:r>
      <w:r w:rsidR="001130D4">
        <w:rPr>
          <w:rFonts w:ascii="Arial" w:eastAsia="Calibri" w:hAnsi="Arial" w:cs="Arial"/>
          <w:color w:val="000000" w:themeColor="text1"/>
          <w:sz w:val="22"/>
        </w:rPr>
        <w:t>,</w:t>
      </w:r>
      <w:r w:rsidR="0017049B">
        <w:rPr>
          <w:rFonts w:ascii="Arial" w:eastAsia="Calibri" w:hAnsi="Arial" w:cs="Arial"/>
          <w:color w:val="000000" w:themeColor="text1"/>
          <w:sz w:val="22"/>
        </w:rPr>
        <w:t xml:space="preserve"> </w:t>
      </w:r>
      <w:r w:rsidR="006F4112">
        <w:rPr>
          <w:rFonts w:ascii="Arial" w:eastAsia="Calibri" w:hAnsi="Arial" w:cs="Arial"/>
          <w:color w:val="000000" w:themeColor="text1"/>
          <w:sz w:val="22"/>
        </w:rPr>
        <w:t>los cuales</w:t>
      </w:r>
      <w:r w:rsidR="0017049B">
        <w:rPr>
          <w:rFonts w:ascii="Arial" w:eastAsia="Calibri" w:hAnsi="Arial" w:cs="Arial"/>
          <w:color w:val="000000" w:themeColor="text1"/>
          <w:sz w:val="22"/>
        </w:rPr>
        <w:t xml:space="preserve"> fueron modificados por la Resolución 116 de</w:t>
      </w:r>
      <w:r w:rsidR="00162700">
        <w:rPr>
          <w:rFonts w:ascii="Arial" w:eastAsia="Calibri" w:hAnsi="Arial" w:cs="Arial"/>
          <w:color w:val="000000" w:themeColor="text1"/>
          <w:sz w:val="22"/>
        </w:rPr>
        <w:t>l 21 de julio de</w:t>
      </w:r>
      <w:r w:rsidR="0017049B">
        <w:rPr>
          <w:rFonts w:ascii="Arial" w:eastAsia="Calibri" w:hAnsi="Arial" w:cs="Arial"/>
          <w:color w:val="000000" w:themeColor="text1"/>
          <w:sz w:val="22"/>
        </w:rPr>
        <w:t xml:space="preserve"> 2020.</w:t>
      </w:r>
      <w:r w:rsidR="001130D4">
        <w:rPr>
          <w:rFonts w:ascii="Arial" w:eastAsia="Calibri" w:hAnsi="Arial" w:cs="Arial"/>
          <w:color w:val="000000" w:themeColor="text1"/>
          <w:sz w:val="22"/>
        </w:rPr>
        <w:t xml:space="preserve"> </w:t>
      </w:r>
      <w:r w:rsidR="00CF048C">
        <w:rPr>
          <w:rFonts w:ascii="Arial" w:eastAsia="Calibri" w:hAnsi="Arial" w:cs="Arial"/>
          <w:color w:val="000000" w:themeColor="text1"/>
          <w:sz w:val="22"/>
        </w:rPr>
        <w:t>Actualmente, l</w:t>
      </w:r>
      <w:r w:rsidR="00E04FDA">
        <w:rPr>
          <w:rFonts w:ascii="Arial" w:eastAsia="Calibri" w:hAnsi="Arial" w:cs="Arial"/>
          <w:color w:val="000000" w:themeColor="text1"/>
          <w:sz w:val="22"/>
        </w:rPr>
        <w:t xml:space="preserve">os </w:t>
      </w:r>
      <w:r w:rsidR="002705F8">
        <w:rPr>
          <w:rFonts w:ascii="Arial" w:eastAsia="Calibri" w:hAnsi="Arial" w:cs="Arial"/>
          <w:color w:val="000000" w:themeColor="text1"/>
          <w:sz w:val="22"/>
        </w:rPr>
        <w:t>«Documentos Tipo</w:t>
      </w:r>
      <w:r w:rsidR="00E04FDA">
        <w:rPr>
          <w:rFonts w:ascii="Arial" w:eastAsia="Calibri" w:hAnsi="Arial" w:cs="Arial"/>
          <w:color w:val="000000" w:themeColor="text1"/>
          <w:sz w:val="22"/>
        </w:rPr>
        <w:t xml:space="preserve"> </w:t>
      </w:r>
      <w:r w:rsidR="002705F8">
        <w:rPr>
          <w:rFonts w:ascii="Arial" w:eastAsia="Calibri" w:hAnsi="Arial" w:cs="Arial"/>
          <w:color w:val="000000" w:themeColor="text1"/>
          <w:sz w:val="22"/>
        </w:rPr>
        <w:t xml:space="preserve">– Versión 3» </w:t>
      </w:r>
      <w:r w:rsidR="00E04FDA">
        <w:rPr>
          <w:rFonts w:ascii="Arial" w:eastAsia="Calibri" w:hAnsi="Arial" w:cs="Arial"/>
          <w:color w:val="000000" w:themeColor="text1"/>
          <w:sz w:val="22"/>
        </w:rPr>
        <w:t>de licitación</w:t>
      </w:r>
      <w:r w:rsidR="002705F8">
        <w:rPr>
          <w:rFonts w:ascii="Arial" w:eastAsia="Calibri" w:hAnsi="Arial" w:cs="Arial"/>
          <w:color w:val="000000" w:themeColor="text1"/>
          <w:sz w:val="22"/>
        </w:rPr>
        <w:t xml:space="preserve"> para</w:t>
      </w:r>
      <w:r w:rsidR="00E04FDA">
        <w:rPr>
          <w:rFonts w:ascii="Arial" w:eastAsia="Calibri" w:hAnsi="Arial" w:cs="Arial"/>
          <w:color w:val="000000" w:themeColor="text1"/>
          <w:sz w:val="22"/>
        </w:rPr>
        <w:t xml:space="preserve"> obra pública de infraestructura de transporte</w:t>
      </w:r>
      <w:r w:rsidR="00211FAE">
        <w:rPr>
          <w:rFonts w:ascii="Arial" w:eastAsia="Calibri" w:hAnsi="Arial" w:cs="Arial"/>
          <w:color w:val="000000" w:themeColor="text1"/>
          <w:sz w:val="22"/>
        </w:rPr>
        <w:t xml:space="preserve"> </w:t>
      </w:r>
      <w:r w:rsidR="00E04FDA">
        <w:rPr>
          <w:rFonts w:ascii="Arial" w:eastAsia="Calibri" w:hAnsi="Arial" w:cs="Arial"/>
          <w:color w:val="000000" w:themeColor="text1"/>
          <w:sz w:val="22"/>
        </w:rPr>
        <w:t xml:space="preserve">solo reproducen </w:t>
      </w:r>
      <w:r w:rsidR="00CF048C">
        <w:rPr>
          <w:rFonts w:ascii="Arial" w:eastAsia="Calibri" w:hAnsi="Arial" w:cs="Arial"/>
          <w:color w:val="000000" w:themeColor="text1"/>
          <w:sz w:val="22"/>
        </w:rPr>
        <w:t>lo relacionado con</w:t>
      </w:r>
      <w:r w:rsidR="002705F8">
        <w:rPr>
          <w:rFonts w:ascii="Arial" w:eastAsia="Calibri" w:hAnsi="Arial" w:cs="Arial"/>
          <w:color w:val="000000" w:themeColor="text1"/>
          <w:sz w:val="22"/>
        </w:rPr>
        <w:t xml:space="preserve"> la garantía adicional o complementaria</w:t>
      </w:r>
      <w:r w:rsidR="00211FAE">
        <w:rPr>
          <w:rFonts w:ascii="Arial" w:eastAsia="Calibri" w:hAnsi="Arial" w:cs="Arial"/>
          <w:color w:val="000000" w:themeColor="text1"/>
          <w:sz w:val="22"/>
        </w:rPr>
        <w:t>,</w:t>
      </w:r>
      <w:r w:rsidR="006F4112">
        <w:rPr>
          <w:rFonts w:ascii="Arial" w:eastAsia="Calibri" w:hAnsi="Arial" w:cs="Arial"/>
          <w:color w:val="000000" w:themeColor="text1"/>
          <w:sz w:val="22"/>
        </w:rPr>
        <w:t xml:space="preserve"> el cual se suma a los tres (3) factores de calidad mencionados en el párrafo precedente</w:t>
      </w:r>
      <w:r w:rsidR="001130D4" w:rsidRPr="001130D4">
        <w:rPr>
          <w:rFonts w:ascii="Arial" w:eastAsia="Calibri" w:hAnsi="Arial" w:cs="Arial"/>
          <w:color w:val="000000" w:themeColor="text1"/>
          <w:sz w:val="22"/>
        </w:rPr>
        <w:t>.</w:t>
      </w:r>
      <w:r w:rsidR="006F4112">
        <w:rPr>
          <w:rFonts w:ascii="Arial" w:eastAsia="Calibri" w:hAnsi="Arial" w:cs="Arial"/>
          <w:color w:val="000000" w:themeColor="text1"/>
          <w:sz w:val="22"/>
        </w:rPr>
        <w:t xml:space="preserve"> Por tanto, en la medida que el artículo 6 de la Resolución No. 240 del 27 de noviembre de 2020 dispone que esta «[…] </w:t>
      </w:r>
      <w:r w:rsidR="006F4112" w:rsidRPr="006F4112">
        <w:rPr>
          <w:rFonts w:ascii="Arial" w:eastAsia="Calibri" w:hAnsi="Arial" w:cs="Arial"/>
          <w:color w:val="000000" w:themeColor="text1"/>
          <w:sz w:val="22"/>
        </w:rPr>
        <w:t>deroga la</w:t>
      </w:r>
      <w:r w:rsidR="006F4112">
        <w:rPr>
          <w:rFonts w:ascii="Arial" w:eastAsia="Calibri" w:hAnsi="Arial" w:cs="Arial"/>
          <w:color w:val="000000" w:themeColor="text1"/>
          <w:sz w:val="22"/>
        </w:rPr>
        <w:t xml:space="preserve"> </w:t>
      </w:r>
      <w:r w:rsidR="006F4112" w:rsidRPr="006F4112">
        <w:rPr>
          <w:rFonts w:ascii="Arial" w:eastAsia="Calibri" w:hAnsi="Arial" w:cs="Arial"/>
          <w:color w:val="000000" w:themeColor="text1"/>
          <w:sz w:val="22"/>
        </w:rPr>
        <w:t>Resolución 045 de 2020 y sus modificaciones posteriore</w:t>
      </w:r>
      <w:r w:rsidR="006F4112">
        <w:rPr>
          <w:rFonts w:ascii="Arial" w:eastAsia="Calibri" w:hAnsi="Arial" w:cs="Arial"/>
          <w:color w:val="000000" w:themeColor="text1"/>
          <w:sz w:val="22"/>
        </w:rPr>
        <w:t>s</w:t>
      </w:r>
      <w:r w:rsidR="00FA790A">
        <w:rPr>
          <w:rFonts w:ascii="Arial" w:eastAsia="Calibri" w:hAnsi="Arial" w:cs="Arial"/>
          <w:color w:val="000000" w:themeColor="text1"/>
          <w:sz w:val="22"/>
        </w:rPr>
        <w:t xml:space="preserve"> […]</w:t>
      </w:r>
      <w:r w:rsidR="006F4112">
        <w:rPr>
          <w:rFonts w:ascii="Arial" w:eastAsia="Calibri" w:hAnsi="Arial" w:cs="Arial"/>
          <w:color w:val="000000" w:themeColor="text1"/>
          <w:sz w:val="22"/>
        </w:rPr>
        <w:t xml:space="preserve">», </w:t>
      </w:r>
      <w:r w:rsidR="00FD5837">
        <w:rPr>
          <w:rFonts w:ascii="Arial" w:eastAsia="Calibri" w:hAnsi="Arial" w:cs="Arial"/>
          <w:color w:val="000000" w:themeColor="text1"/>
          <w:sz w:val="22"/>
        </w:rPr>
        <w:t>se enti</w:t>
      </w:r>
      <w:r w:rsidR="00162700">
        <w:rPr>
          <w:rFonts w:ascii="Arial" w:eastAsia="Calibri" w:hAnsi="Arial" w:cs="Arial"/>
          <w:color w:val="000000" w:themeColor="text1"/>
          <w:sz w:val="22"/>
        </w:rPr>
        <w:t>ende que la Resolución 116 del 21 de julio de 2020 ha dejado de producir efectos.</w:t>
      </w:r>
      <w:bookmarkEnd w:id="11"/>
      <w:r w:rsidR="006F4112">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
    <w:p w14:paraId="1A48613E" w14:textId="2330DC94" w:rsidR="00211FAE" w:rsidRDefault="00162700" w:rsidP="00211FAE">
      <w:pPr>
        <w:spacing w:before="120" w:after="120" w:line="276" w:lineRule="auto"/>
        <w:ind w:firstLine="709"/>
        <w:jc w:val="both"/>
        <w:rPr>
          <w:rFonts w:ascii="Arial" w:hAnsi="Arial" w:cs="Arial"/>
          <w:sz w:val="22"/>
        </w:rPr>
      </w:pPr>
      <w:r>
        <w:rPr>
          <w:rFonts w:ascii="Arial" w:hAnsi="Arial" w:cs="Arial"/>
          <w:sz w:val="22"/>
        </w:rPr>
        <w:t>Respecto a los factores de calidad en la versión actualizada de los documentos tipo, e</w:t>
      </w:r>
      <w:r w:rsidR="00211FAE">
        <w:rPr>
          <w:rFonts w:ascii="Arial" w:hAnsi="Arial" w:cs="Arial"/>
          <w:sz w:val="22"/>
        </w:rPr>
        <w:t>l numeral 4.2 del documento base dispone</w:t>
      </w:r>
      <w:r w:rsidR="00211FAE" w:rsidRPr="0020296A">
        <w:rPr>
          <w:rFonts w:ascii="Arial" w:hAnsi="Arial" w:cs="Arial"/>
          <w:sz w:val="22"/>
        </w:rPr>
        <w:t xml:space="preserve"> que «De acuerdo con las características del objeto a contratar y con el principio de proporcionalidad y razonabilidad la Entidad debe elegir una o varias de las opciones previstas para otorgar el puntaje del factor de calidad</w:t>
      </w:r>
      <w:r w:rsidR="00211FAE">
        <w:rPr>
          <w:rFonts w:ascii="Arial" w:hAnsi="Arial" w:cs="Arial"/>
          <w:sz w:val="22"/>
        </w:rPr>
        <w:t xml:space="preserve"> […]</w:t>
      </w:r>
      <w:r w:rsidR="00211FAE" w:rsidRPr="0020296A">
        <w:rPr>
          <w:rFonts w:ascii="Arial" w:hAnsi="Arial" w:cs="Arial"/>
          <w:sz w:val="22"/>
        </w:rPr>
        <w:t xml:space="preserve">». En este sentido, la </w:t>
      </w:r>
      <w:r w:rsidR="00211FAE">
        <w:rPr>
          <w:rFonts w:ascii="Arial" w:hAnsi="Arial" w:cs="Arial"/>
          <w:sz w:val="22"/>
        </w:rPr>
        <w:t>e</w:t>
      </w:r>
      <w:r w:rsidR="00211FAE" w:rsidRPr="0020296A">
        <w:rPr>
          <w:rFonts w:ascii="Arial" w:hAnsi="Arial" w:cs="Arial"/>
          <w:sz w:val="22"/>
        </w:rPr>
        <w:t xml:space="preserve">ntidad debe valorar, frente a su necesidad y a los principios mencionados, </w:t>
      </w:r>
      <w:r w:rsidR="004B0337">
        <w:rPr>
          <w:rFonts w:ascii="Arial" w:hAnsi="Arial" w:cs="Arial"/>
          <w:sz w:val="22"/>
        </w:rPr>
        <w:t>qué</w:t>
      </w:r>
      <w:r w:rsidR="00211FAE" w:rsidRPr="0020296A">
        <w:rPr>
          <w:rFonts w:ascii="Arial" w:hAnsi="Arial" w:cs="Arial"/>
          <w:sz w:val="22"/>
        </w:rPr>
        <w:t xml:space="preserve"> factor</w:t>
      </w:r>
      <w:r w:rsidR="004B0337">
        <w:rPr>
          <w:rFonts w:ascii="Arial" w:hAnsi="Arial" w:cs="Arial"/>
          <w:sz w:val="22"/>
        </w:rPr>
        <w:t>es</w:t>
      </w:r>
      <w:r w:rsidR="00211FAE" w:rsidRPr="0020296A">
        <w:rPr>
          <w:rFonts w:ascii="Arial" w:hAnsi="Arial" w:cs="Arial"/>
          <w:sz w:val="22"/>
        </w:rPr>
        <w:t xml:space="preserve"> </w:t>
      </w:r>
      <w:r w:rsidR="004B0337">
        <w:rPr>
          <w:rFonts w:ascii="Arial" w:hAnsi="Arial" w:cs="Arial"/>
          <w:sz w:val="22"/>
        </w:rPr>
        <w:t>son pertinentes</w:t>
      </w:r>
      <w:r w:rsidR="00211FAE" w:rsidRPr="0020296A">
        <w:rPr>
          <w:rFonts w:ascii="Arial" w:hAnsi="Arial" w:cs="Arial"/>
          <w:sz w:val="22"/>
        </w:rPr>
        <w:t xml:space="preserve"> para asegurar mejor calidad en la obra pública contratada y, en todo caso, únicamente podrá exigir la acreditación de máximo tres de ellos, lo cual conserva el </w:t>
      </w:r>
      <w:r w:rsidR="00211FAE">
        <w:rPr>
          <w:rFonts w:ascii="Arial" w:hAnsi="Arial" w:cs="Arial"/>
          <w:sz w:val="22"/>
        </w:rPr>
        <w:t>límite</w:t>
      </w:r>
      <w:r w:rsidR="00211FAE" w:rsidRPr="0020296A">
        <w:rPr>
          <w:rFonts w:ascii="Arial" w:hAnsi="Arial" w:cs="Arial"/>
          <w:sz w:val="22"/>
        </w:rPr>
        <w:t xml:space="preserve"> establecido en la </w:t>
      </w:r>
      <w:r w:rsidR="00211FAE">
        <w:rPr>
          <w:rFonts w:ascii="Arial" w:hAnsi="Arial" w:cs="Arial"/>
          <w:sz w:val="22"/>
        </w:rPr>
        <w:t>primera y segunda versión de los documentos tipo de licitación para obra pública de infraestructura de transporte</w:t>
      </w:r>
      <w:r w:rsidR="00211FAE" w:rsidRPr="0020296A">
        <w:rPr>
          <w:rFonts w:ascii="Arial" w:hAnsi="Arial" w:cs="Arial"/>
          <w:sz w:val="22"/>
        </w:rPr>
        <w:t>.</w:t>
      </w:r>
    </w:p>
    <w:p w14:paraId="3F09338C" w14:textId="2031AADC" w:rsidR="00EC3A6B" w:rsidRDefault="00211FAE" w:rsidP="007D7CBC">
      <w:pPr>
        <w:spacing w:after="120" w:line="276" w:lineRule="auto"/>
        <w:ind w:firstLine="709"/>
        <w:jc w:val="both"/>
        <w:rPr>
          <w:rFonts w:ascii="Arial" w:eastAsia="Arial" w:hAnsi="Arial" w:cs="Arial"/>
          <w:sz w:val="22"/>
          <w:lang w:val="es-ES_tradnl"/>
        </w:rPr>
      </w:pPr>
      <w:r w:rsidRPr="00295CC5">
        <w:rPr>
          <w:rFonts w:ascii="Arial" w:eastAsia="Arial" w:hAnsi="Arial" w:cs="Arial"/>
          <w:sz w:val="22"/>
          <w:lang w:val="es-ES_tradnl"/>
        </w:rPr>
        <w:t xml:space="preserve">Adicionalmente, esta versión de los documentos tipo conserva el puntaje </w:t>
      </w:r>
      <w:r w:rsidR="004B0337">
        <w:rPr>
          <w:rFonts w:ascii="Arial" w:eastAsia="Arial" w:hAnsi="Arial" w:cs="Arial"/>
          <w:sz w:val="22"/>
          <w:lang w:val="es-ES_tradnl"/>
        </w:rPr>
        <w:t>de las versiones anteriores</w:t>
      </w:r>
      <w:r w:rsidRPr="00295CC5">
        <w:rPr>
          <w:rFonts w:ascii="Arial" w:eastAsia="Arial" w:hAnsi="Arial" w:cs="Arial"/>
          <w:sz w:val="22"/>
          <w:lang w:val="es-ES_tradnl"/>
        </w:rPr>
        <w:t xml:space="preserve">, de modo que no se alteró el total de los </w:t>
      </w:r>
      <w:r w:rsidR="004B0337">
        <w:rPr>
          <w:rFonts w:ascii="Arial" w:eastAsia="Arial" w:hAnsi="Arial" w:cs="Arial"/>
          <w:sz w:val="22"/>
          <w:lang w:val="es-ES_tradnl"/>
        </w:rPr>
        <w:t>diecinueve (</w:t>
      </w:r>
      <w:r w:rsidRPr="00295CC5">
        <w:rPr>
          <w:rFonts w:ascii="Arial" w:eastAsia="Arial" w:hAnsi="Arial" w:cs="Arial"/>
          <w:sz w:val="22"/>
          <w:lang w:val="es-ES_tradnl"/>
        </w:rPr>
        <w:t>19</w:t>
      </w:r>
      <w:r w:rsidR="004B0337">
        <w:rPr>
          <w:rFonts w:ascii="Arial" w:eastAsia="Arial" w:hAnsi="Arial" w:cs="Arial"/>
          <w:sz w:val="22"/>
          <w:lang w:val="es-ES_tradnl"/>
        </w:rPr>
        <w:t>)</w:t>
      </w:r>
      <w:r w:rsidRPr="00295CC5">
        <w:rPr>
          <w:rFonts w:ascii="Arial" w:eastAsia="Arial" w:hAnsi="Arial" w:cs="Arial"/>
          <w:sz w:val="22"/>
          <w:lang w:val="es-ES_tradnl"/>
        </w:rPr>
        <w:t xml:space="preserve"> puntos que puede otorgar la</w:t>
      </w:r>
      <w:r w:rsidRPr="0085790B">
        <w:rPr>
          <w:rFonts w:ascii="Arial" w:eastAsia="Arial" w:hAnsi="Arial" w:cs="Arial"/>
          <w:sz w:val="22"/>
          <w:lang w:val="es-ES_tradnl"/>
        </w:rPr>
        <w:t xml:space="preserve"> entidad por este criterio de evaluación. Estos </w:t>
      </w:r>
      <w:r w:rsidR="004B0337">
        <w:rPr>
          <w:rFonts w:ascii="Arial" w:eastAsia="Arial" w:hAnsi="Arial" w:cs="Arial"/>
          <w:sz w:val="22"/>
          <w:lang w:val="es-ES_tradnl"/>
        </w:rPr>
        <w:t>diecinueve (</w:t>
      </w:r>
      <w:r w:rsidR="004B0337" w:rsidRPr="00295CC5">
        <w:rPr>
          <w:rFonts w:ascii="Arial" w:eastAsia="Arial" w:hAnsi="Arial" w:cs="Arial"/>
          <w:sz w:val="22"/>
          <w:lang w:val="es-ES_tradnl"/>
        </w:rPr>
        <w:t>19</w:t>
      </w:r>
      <w:r w:rsidR="004B0337">
        <w:rPr>
          <w:rFonts w:ascii="Arial" w:eastAsia="Arial" w:hAnsi="Arial" w:cs="Arial"/>
          <w:sz w:val="22"/>
          <w:lang w:val="es-ES_tradnl"/>
        </w:rPr>
        <w:t>)</w:t>
      </w:r>
      <w:r w:rsidRPr="0085790B">
        <w:rPr>
          <w:rFonts w:ascii="Arial" w:eastAsia="Arial" w:hAnsi="Arial" w:cs="Arial"/>
          <w:sz w:val="22"/>
          <w:lang w:val="es-ES_tradnl"/>
        </w:rPr>
        <w:t xml:space="preserve"> puntos corresponderán al total de los que podrán asignarse como puntaje al rubro de factor de calidad</w:t>
      </w:r>
      <w:r w:rsidR="004B0337">
        <w:rPr>
          <w:rFonts w:ascii="Arial" w:eastAsia="Arial" w:hAnsi="Arial" w:cs="Arial"/>
          <w:sz w:val="22"/>
          <w:lang w:val="es-ES_tradnl"/>
        </w:rPr>
        <w:t>.</w:t>
      </w:r>
      <w:r w:rsidRPr="0085790B">
        <w:rPr>
          <w:rFonts w:ascii="Arial" w:eastAsia="Arial" w:hAnsi="Arial" w:cs="Arial"/>
          <w:sz w:val="22"/>
          <w:lang w:val="es-ES_tradnl"/>
        </w:rPr>
        <w:t xml:space="preserve"> </w:t>
      </w:r>
      <w:r w:rsidR="004B0337">
        <w:rPr>
          <w:rFonts w:ascii="Arial" w:eastAsia="Arial" w:hAnsi="Arial" w:cs="Arial"/>
          <w:sz w:val="22"/>
          <w:lang w:val="es-ES_tradnl"/>
        </w:rPr>
        <w:t>E</w:t>
      </w:r>
      <w:r w:rsidRPr="0085790B">
        <w:rPr>
          <w:rFonts w:ascii="Arial" w:eastAsia="Arial" w:hAnsi="Arial" w:cs="Arial"/>
          <w:sz w:val="22"/>
          <w:lang w:val="es-ES_tradnl"/>
        </w:rPr>
        <w:t xml:space="preserve">n caso de que </w:t>
      </w:r>
      <w:r w:rsidR="004B0337">
        <w:rPr>
          <w:rFonts w:ascii="Arial" w:eastAsia="Arial" w:hAnsi="Arial" w:cs="Arial"/>
          <w:sz w:val="22"/>
          <w:lang w:val="es-ES_tradnl"/>
        </w:rPr>
        <w:t xml:space="preserve">la entidad </w:t>
      </w:r>
      <w:r w:rsidRPr="0085790B">
        <w:rPr>
          <w:rFonts w:ascii="Arial" w:eastAsia="Arial" w:hAnsi="Arial" w:cs="Arial"/>
          <w:sz w:val="22"/>
          <w:lang w:val="es-ES_tradnl"/>
        </w:rPr>
        <w:t>opte por varios factores de calidad estos puntos debe</w:t>
      </w:r>
      <w:r>
        <w:rPr>
          <w:rFonts w:ascii="Arial" w:eastAsia="Arial" w:hAnsi="Arial" w:cs="Arial"/>
          <w:sz w:val="22"/>
          <w:lang w:val="es-ES_tradnl"/>
        </w:rPr>
        <w:t>n</w:t>
      </w:r>
      <w:r w:rsidRPr="0085790B">
        <w:rPr>
          <w:rFonts w:ascii="Arial" w:eastAsia="Arial" w:hAnsi="Arial" w:cs="Arial"/>
          <w:sz w:val="22"/>
          <w:lang w:val="es-ES_tradnl"/>
        </w:rPr>
        <w:t xml:space="preserve"> repart</w:t>
      </w:r>
      <w:r>
        <w:rPr>
          <w:rFonts w:ascii="Arial" w:eastAsia="Arial" w:hAnsi="Arial" w:cs="Arial"/>
          <w:sz w:val="22"/>
          <w:lang w:val="es-ES_tradnl"/>
        </w:rPr>
        <w:t>irse</w:t>
      </w:r>
      <w:r w:rsidRPr="0085790B">
        <w:rPr>
          <w:rFonts w:ascii="Arial" w:eastAsia="Arial" w:hAnsi="Arial" w:cs="Arial"/>
          <w:sz w:val="22"/>
          <w:lang w:val="es-ES_tradnl"/>
        </w:rPr>
        <w:t xml:space="preserve"> entre </w:t>
      </w:r>
      <w:r>
        <w:rPr>
          <w:rFonts w:ascii="Arial" w:eastAsia="Arial" w:hAnsi="Arial" w:cs="Arial"/>
          <w:sz w:val="22"/>
          <w:lang w:val="es-ES_tradnl"/>
        </w:rPr>
        <w:t>ellos</w:t>
      </w:r>
      <w:r w:rsidRPr="0085790B">
        <w:rPr>
          <w:rFonts w:ascii="Arial" w:eastAsia="Arial" w:hAnsi="Arial" w:cs="Arial"/>
          <w:sz w:val="22"/>
          <w:lang w:val="es-ES_tradnl"/>
        </w:rPr>
        <w:t xml:space="preserve">, de tal manera que la sumatoria de los factores escogidos por la entidad no sobrepase los </w:t>
      </w:r>
      <w:r w:rsidR="004B0337">
        <w:rPr>
          <w:rFonts w:ascii="Arial" w:eastAsia="Arial" w:hAnsi="Arial" w:cs="Arial"/>
          <w:sz w:val="22"/>
          <w:lang w:val="es-ES_tradnl"/>
        </w:rPr>
        <w:t>diecinueve (</w:t>
      </w:r>
      <w:r w:rsidR="004B0337" w:rsidRPr="00295CC5">
        <w:rPr>
          <w:rFonts w:ascii="Arial" w:eastAsia="Arial" w:hAnsi="Arial" w:cs="Arial"/>
          <w:sz w:val="22"/>
          <w:lang w:val="es-ES_tradnl"/>
        </w:rPr>
        <w:t>19</w:t>
      </w:r>
      <w:r w:rsidR="004B0337">
        <w:rPr>
          <w:rFonts w:ascii="Arial" w:eastAsia="Arial" w:hAnsi="Arial" w:cs="Arial"/>
          <w:sz w:val="22"/>
          <w:lang w:val="es-ES_tradnl"/>
        </w:rPr>
        <w:t>)</w:t>
      </w:r>
      <w:r w:rsidRPr="0085790B">
        <w:rPr>
          <w:rFonts w:ascii="Arial" w:eastAsia="Arial" w:hAnsi="Arial" w:cs="Arial"/>
          <w:sz w:val="22"/>
          <w:lang w:val="es-ES_tradnl"/>
        </w:rPr>
        <w:t xml:space="preserve"> puntos. </w:t>
      </w:r>
    </w:p>
    <w:p w14:paraId="76147EA8" w14:textId="35B88AFD" w:rsidR="007D7CBC" w:rsidRPr="00205DC0" w:rsidRDefault="007D7CBC" w:rsidP="007D7CBC">
      <w:pPr>
        <w:tabs>
          <w:tab w:val="left" w:pos="426"/>
        </w:tabs>
        <w:spacing w:after="120" w:line="276" w:lineRule="auto"/>
        <w:jc w:val="both"/>
        <w:rPr>
          <w:rFonts w:ascii="Arial" w:eastAsia="Calibri" w:hAnsi="Arial" w:cs="Arial"/>
          <w:color w:val="000000"/>
          <w:sz w:val="22"/>
        </w:rPr>
      </w:pPr>
      <w:r>
        <w:rPr>
          <w:rFonts w:ascii="Arial" w:eastAsia="Arial" w:hAnsi="Arial" w:cs="Arial"/>
          <w:sz w:val="22"/>
          <w:lang w:val="es-ES_tradnl"/>
        </w:rPr>
        <w:tab/>
      </w:r>
      <w:r>
        <w:rPr>
          <w:rFonts w:ascii="Arial" w:eastAsia="Arial" w:hAnsi="Arial" w:cs="Arial"/>
          <w:sz w:val="22"/>
          <w:lang w:val="es-ES_tradnl"/>
        </w:rPr>
        <w:tab/>
      </w:r>
      <w:bookmarkStart w:id="12" w:name="_Hlk63671358"/>
      <w:r w:rsidR="007E4BF1">
        <w:rPr>
          <w:rFonts w:ascii="Arial" w:eastAsia="Calibri" w:hAnsi="Arial" w:cs="Arial"/>
          <w:sz w:val="22"/>
          <w:szCs w:val="24"/>
          <w:lang w:eastAsia="es-ES_tradnl"/>
        </w:rPr>
        <w:t xml:space="preserve">El numeral 4.2.4 del documento base define el </w:t>
      </w:r>
      <w:r w:rsidR="004B0337">
        <w:rPr>
          <w:rFonts w:ascii="Arial" w:eastAsia="Arial" w:hAnsi="Arial" w:cs="Arial"/>
          <w:sz w:val="22"/>
          <w:lang w:val="es-ES_tradnl"/>
        </w:rPr>
        <w:t xml:space="preserve">«Factor de Calidad – Garantía </w:t>
      </w:r>
      <w:r>
        <w:rPr>
          <w:rFonts w:ascii="Arial" w:eastAsia="Arial" w:hAnsi="Arial" w:cs="Arial"/>
          <w:sz w:val="22"/>
          <w:lang w:val="es-ES_tradnl"/>
        </w:rPr>
        <w:t xml:space="preserve">Suplementaria o </w:t>
      </w:r>
      <w:r w:rsidR="004B0337">
        <w:rPr>
          <w:rFonts w:ascii="Arial" w:eastAsia="Arial" w:hAnsi="Arial" w:cs="Arial"/>
          <w:sz w:val="22"/>
          <w:lang w:val="es-ES_tradnl"/>
        </w:rPr>
        <w:t>Adicional»</w:t>
      </w:r>
      <w:r>
        <w:rPr>
          <w:rFonts w:ascii="Arial" w:eastAsia="Arial" w:hAnsi="Arial" w:cs="Arial"/>
          <w:sz w:val="22"/>
          <w:lang w:val="es-ES_tradnl"/>
        </w:rPr>
        <w:t xml:space="preserve">, </w:t>
      </w:r>
      <w:r>
        <w:rPr>
          <w:rFonts w:ascii="Arial" w:eastAsia="Calibri" w:hAnsi="Arial" w:cs="Arial"/>
          <w:sz w:val="22"/>
          <w:szCs w:val="24"/>
          <w:lang w:eastAsia="es-ES_tradnl"/>
        </w:rPr>
        <w:t xml:space="preserve">como </w:t>
      </w:r>
      <w:r w:rsidRPr="00205DC0">
        <w:rPr>
          <w:rFonts w:ascii="Arial" w:eastAsia="Calibri" w:hAnsi="Arial" w:cs="Arial"/>
          <w:sz w:val="22"/>
          <w:szCs w:val="24"/>
          <w:lang w:eastAsia="es-ES_tradnl"/>
        </w:rPr>
        <w:t xml:space="preserve">aquella otorgada por el contratista, distinta a la legal, cuando amplíe o mejore gratuitamente la cobertura de esta, asociada a la estabilidad y calidad de la obra. En este sentido, el proponente concederá la garantía adicional </w:t>
      </w:r>
      <w:r w:rsidR="007E4BF1">
        <w:rPr>
          <w:rFonts w:ascii="Arial" w:eastAsia="Calibri" w:hAnsi="Arial" w:cs="Arial"/>
          <w:sz w:val="22"/>
          <w:szCs w:val="24"/>
          <w:lang w:eastAsia="es-ES_tradnl"/>
        </w:rPr>
        <w:t>mediante</w:t>
      </w:r>
      <w:r w:rsidRPr="00205DC0">
        <w:rPr>
          <w:rFonts w:ascii="Arial" w:eastAsia="Calibri" w:hAnsi="Arial" w:cs="Arial"/>
          <w:sz w:val="22"/>
          <w:szCs w:val="24"/>
          <w:lang w:eastAsia="es-ES_tradnl"/>
        </w:rPr>
        <w:t xml:space="preserv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Pr>
          <w:rFonts w:ascii="Arial" w:eastAsia="Calibri" w:hAnsi="Arial" w:cs="Arial"/>
          <w:sz w:val="22"/>
          <w:szCs w:val="24"/>
          <w:lang w:eastAsia="es-ES_tradnl"/>
        </w:rPr>
        <w:t>, sin necesidad de acudir a una aseguradora</w:t>
      </w:r>
      <w:r w:rsidRPr="00205DC0">
        <w:rPr>
          <w:rFonts w:ascii="Arial" w:eastAsia="Calibri" w:hAnsi="Arial" w:cs="Arial"/>
          <w:sz w:val="22"/>
          <w:szCs w:val="24"/>
          <w:lang w:eastAsia="es-ES_tradnl"/>
        </w:rPr>
        <w:t>.</w:t>
      </w:r>
    </w:p>
    <w:bookmarkEnd w:id="12"/>
    <w:p w14:paraId="1440788D" w14:textId="527C966B" w:rsidR="00DE1E2D" w:rsidRDefault="00FF31F1" w:rsidP="00B13C66">
      <w:pPr>
        <w:spacing w:before="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El artículo 13 de l</w:t>
      </w:r>
      <w:r w:rsidR="007D7CBC" w:rsidRPr="00205DC0">
        <w:rPr>
          <w:rFonts w:ascii="Arial" w:eastAsia="Calibri" w:hAnsi="Arial" w:cs="Arial"/>
          <w:sz w:val="22"/>
          <w:szCs w:val="24"/>
          <w:lang w:eastAsia="es-ES_tradnl"/>
        </w:rPr>
        <w:t xml:space="preserve">a Ley 1480 de 2011 </w:t>
      </w:r>
      <w:r>
        <w:rPr>
          <w:rFonts w:ascii="Arial" w:eastAsia="Calibri" w:hAnsi="Arial" w:cs="Arial"/>
          <w:sz w:val="22"/>
          <w:szCs w:val="24"/>
          <w:lang w:eastAsia="es-ES_tradnl"/>
        </w:rPr>
        <w:t xml:space="preserve">dispone </w:t>
      </w:r>
      <w:r w:rsidR="007D7CBC" w:rsidRPr="00205DC0">
        <w:rPr>
          <w:rFonts w:ascii="Arial" w:eastAsia="Calibri" w:hAnsi="Arial" w:cs="Arial"/>
          <w:sz w:val="22"/>
          <w:szCs w:val="24"/>
          <w:lang w:eastAsia="es-ES_tradnl"/>
        </w:rPr>
        <w:t xml:space="preserve">que los productores y proveedores podrán otorgar garantías suplementarias a la legal, cuando amplíen o mejoren la cobertura de esta, de forma gratuita u onerosa. Asimismo, señala que también podrán otorgar este </w:t>
      </w:r>
      <w:r w:rsidR="007D7CBC" w:rsidRPr="00205DC0">
        <w:rPr>
          <w:rFonts w:ascii="Arial" w:eastAsia="Calibri" w:hAnsi="Arial" w:cs="Arial"/>
          <w:sz w:val="22"/>
          <w:szCs w:val="24"/>
          <w:lang w:eastAsia="es-ES_tradnl"/>
        </w:rPr>
        <w:lastRenderedPageBreak/>
        <w:t>tipo de garantías terceros especializados que cuenten con la infraestructura y recursos adecuados para cumplir con la garantía</w:t>
      </w:r>
      <w:r w:rsidR="007D7CBC" w:rsidRPr="00205DC0">
        <w:rPr>
          <w:rFonts w:ascii="Arial" w:eastAsia="Calibri" w:hAnsi="Arial" w:cs="Arial"/>
          <w:sz w:val="22"/>
          <w:szCs w:val="24"/>
          <w:vertAlign w:val="superscript"/>
          <w:lang w:eastAsia="es-ES_tradnl"/>
        </w:rPr>
        <w:footnoteReference w:id="1"/>
      </w:r>
      <w:r w:rsidR="007D7CBC" w:rsidRPr="00205DC0">
        <w:rPr>
          <w:rFonts w:ascii="Arial" w:eastAsia="Calibri" w:hAnsi="Arial" w:cs="Arial"/>
          <w:sz w:val="22"/>
          <w:szCs w:val="24"/>
          <w:lang w:eastAsia="es-ES_tradnl"/>
        </w:rPr>
        <w:t xml:space="preserve">. De este modo, </w:t>
      </w:r>
      <w:r w:rsidR="007E4BF1">
        <w:rPr>
          <w:rFonts w:ascii="Arial" w:eastAsia="Calibri" w:hAnsi="Arial" w:cs="Arial"/>
          <w:sz w:val="22"/>
          <w:szCs w:val="24"/>
          <w:lang w:eastAsia="es-ES_tradnl"/>
        </w:rPr>
        <w:t>esta</w:t>
      </w:r>
      <w:r w:rsidR="007E4BF1" w:rsidRPr="00205DC0">
        <w:rPr>
          <w:rFonts w:ascii="Arial" w:eastAsia="Calibri" w:hAnsi="Arial" w:cs="Arial"/>
          <w:sz w:val="22"/>
          <w:szCs w:val="24"/>
          <w:lang w:eastAsia="es-ES_tradnl"/>
        </w:rPr>
        <w:t xml:space="preserve"> </w:t>
      </w:r>
      <w:r w:rsidR="007D7CBC" w:rsidRPr="00205DC0">
        <w:rPr>
          <w:rFonts w:ascii="Arial" w:eastAsia="Calibri" w:hAnsi="Arial" w:cs="Arial"/>
          <w:sz w:val="22"/>
          <w:szCs w:val="24"/>
          <w:lang w:eastAsia="es-ES_tradnl"/>
        </w:rPr>
        <w:t xml:space="preserve">normativa también </w:t>
      </w:r>
      <w:r w:rsidR="007E4BF1">
        <w:rPr>
          <w:rFonts w:ascii="Arial" w:eastAsia="Calibri" w:hAnsi="Arial" w:cs="Arial"/>
          <w:sz w:val="22"/>
          <w:szCs w:val="24"/>
          <w:lang w:eastAsia="es-ES_tradnl"/>
        </w:rPr>
        <w:t>define</w:t>
      </w:r>
      <w:r w:rsidR="007D7CBC" w:rsidRPr="00205DC0">
        <w:rPr>
          <w:rFonts w:ascii="Arial" w:eastAsia="Calibri" w:hAnsi="Arial" w:cs="Arial"/>
          <w:sz w:val="22"/>
          <w:szCs w:val="24"/>
          <w:lang w:eastAsia="es-ES_tradnl"/>
        </w:rPr>
        <w:t xml:space="preserve"> las garantías suplementarias como aquellas que ofrecen los productores o proveedores de un bien o servicio, por el término adicional al previsto en la garantía legal.</w:t>
      </w:r>
      <w:r>
        <w:rPr>
          <w:rFonts w:ascii="Arial" w:eastAsia="Calibri" w:hAnsi="Arial" w:cs="Arial"/>
          <w:sz w:val="22"/>
          <w:szCs w:val="24"/>
          <w:lang w:eastAsia="es-ES_tradnl"/>
        </w:rPr>
        <w:t xml:space="preserve"> </w:t>
      </w:r>
    </w:p>
    <w:p w14:paraId="56BE34FE" w14:textId="10A358D9" w:rsidR="007237FC" w:rsidRDefault="007D7CBC" w:rsidP="00B13C66">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De esta manera, para </w:t>
      </w:r>
      <w:r>
        <w:rPr>
          <w:rFonts w:ascii="Arial" w:eastAsia="Calibri" w:hAnsi="Arial" w:cs="Arial"/>
          <w:sz w:val="22"/>
          <w:szCs w:val="24"/>
          <w:lang w:eastAsia="es-ES_tradnl"/>
        </w:rPr>
        <w:t>obtener el</w:t>
      </w:r>
      <w:r w:rsidRPr="00205DC0">
        <w:rPr>
          <w:rFonts w:ascii="Arial" w:eastAsia="Calibri" w:hAnsi="Arial" w:cs="Arial"/>
          <w:sz w:val="22"/>
          <w:szCs w:val="24"/>
          <w:lang w:eastAsia="es-ES_tradnl"/>
        </w:rPr>
        <w:t xml:space="preserve"> puntaje por concepto de la «Garantía </w:t>
      </w:r>
      <w:r w:rsidR="007237FC" w:rsidRPr="00205DC0">
        <w:rPr>
          <w:rFonts w:ascii="Arial" w:eastAsia="Calibri" w:hAnsi="Arial" w:cs="Arial"/>
          <w:sz w:val="22"/>
          <w:szCs w:val="24"/>
          <w:lang w:eastAsia="es-ES_tradnl"/>
        </w:rPr>
        <w:t xml:space="preserve">Suplementaria </w:t>
      </w:r>
      <w:r w:rsidR="007237FC">
        <w:rPr>
          <w:rFonts w:ascii="Arial" w:eastAsia="Calibri" w:hAnsi="Arial" w:cs="Arial"/>
          <w:sz w:val="22"/>
          <w:szCs w:val="24"/>
          <w:lang w:eastAsia="es-ES_tradnl"/>
        </w:rPr>
        <w:t>o</w:t>
      </w:r>
      <w:r w:rsidR="007237FC" w:rsidRPr="00205DC0">
        <w:rPr>
          <w:rFonts w:ascii="Arial" w:eastAsia="Calibri" w:hAnsi="Arial" w:cs="Arial"/>
          <w:sz w:val="22"/>
          <w:szCs w:val="24"/>
          <w:lang w:eastAsia="es-ES_tradnl"/>
        </w:rPr>
        <w:t xml:space="preserve"> Adicional</w:t>
      </w:r>
      <w:r w:rsidRPr="00205DC0">
        <w:rPr>
          <w:rFonts w:ascii="Arial" w:eastAsia="Calibri" w:hAnsi="Arial" w:cs="Arial"/>
          <w:sz w:val="22"/>
          <w:szCs w:val="24"/>
          <w:lang w:eastAsia="es-ES_tradnl"/>
        </w:rPr>
        <w:t xml:space="preserve">» no es necesario que </w:t>
      </w:r>
      <w:r>
        <w:rPr>
          <w:rFonts w:ascii="Arial" w:eastAsia="Calibri" w:hAnsi="Arial" w:cs="Arial"/>
          <w:sz w:val="22"/>
          <w:szCs w:val="24"/>
          <w:lang w:eastAsia="es-ES_tradnl"/>
        </w:rPr>
        <w:t xml:space="preserve">esta </w:t>
      </w:r>
      <w:r w:rsidRPr="00205DC0">
        <w:rPr>
          <w:rFonts w:ascii="Arial" w:eastAsia="Calibri" w:hAnsi="Arial" w:cs="Arial"/>
          <w:sz w:val="22"/>
          <w:szCs w:val="24"/>
          <w:lang w:eastAsia="es-ES_tradnl"/>
        </w:rPr>
        <w:t xml:space="preserve">sea </w:t>
      </w:r>
      <w:r w:rsidR="006E34B5">
        <w:rPr>
          <w:rFonts w:ascii="Arial" w:eastAsia="Calibri" w:hAnsi="Arial" w:cs="Arial"/>
          <w:sz w:val="22"/>
          <w:szCs w:val="24"/>
          <w:lang w:eastAsia="es-ES_tradnl"/>
        </w:rPr>
        <w:t>respaldada</w:t>
      </w:r>
      <w:r w:rsidRPr="00205DC0">
        <w:rPr>
          <w:rFonts w:ascii="Arial" w:eastAsia="Calibri" w:hAnsi="Arial" w:cs="Arial"/>
          <w:sz w:val="22"/>
          <w:szCs w:val="24"/>
          <w:lang w:eastAsia="es-ES_tradnl"/>
        </w:rPr>
        <w:t xml:space="preserve"> </w:t>
      </w:r>
      <w:r>
        <w:rPr>
          <w:rFonts w:ascii="Arial" w:eastAsia="Calibri" w:hAnsi="Arial" w:cs="Arial"/>
          <w:sz w:val="22"/>
          <w:szCs w:val="24"/>
          <w:lang w:eastAsia="es-ES_tradnl"/>
        </w:rPr>
        <w:t xml:space="preserve">necesariamente </w:t>
      </w:r>
      <w:r w:rsidRPr="00205DC0">
        <w:rPr>
          <w:rFonts w:ascii="Arial" w:eastAsia="Calibri" w:hAnsi="Arial" w:cs="Arial"/>
          <w:sz w:val="22"/>
          <w:szCs w:val="24"/>
          <w:lang w:eastAsia="es-ES_tradnl"/>
        </w:rPr>
        <w:t xml:space="preserve">por una aseguradora, sino que bastará la garantía comercial que ofrezca el propio contratista. </w:t>
      </w:r>
      <w:r w:rsidR="007237FC">
        <w:rPr>
          <w:rFonts w:ascii="Arial" w:eastAsia="Calibri" w:hAnsi="Arial" w:cs="Arial"/>
          <w:sz w:val="22"/>
          <w:szCs w:val="24"/>
          <w:lang w:eastAsia="es-ES_tradnl"/>
        </w:rPr>
        <w:t xml:space="preserve">Lo anterior significa que el ofrecimiento del factor de calidad no obliga </w:t>
      </w:r>
      <w:r w:rsidR="00B13C66">
        <w:rPr>
          <w:rFonts w:ascii="Arial" w:eastAsia="Calibri" w:hAnsi="Arial" w:cs="Arial"/>
          <w:sz w:val="22"/>
          <w:szCs w:val="24"/>
          <w:lang w:eastAsia="es-ES_tradnl"/>
        </w:rPr>
        <w:t>a la expedición de</w:t>
      </w:r>
      <w:r w:rsidR="007237FC">
        <w:rPr>
          <w:rFonts w:ascii="Arial" w:eastAsia="Calibri" w:hAnsi="Arial" w:cs="Arial"/>
          <w:sz w:val="22"/>
          <w:szCs w:val="24"/>
          <w:lang w:eastAsia="es-ES_tradnl"/>
        </w:rPr>
        <w:t xml:space="preserve"> la póliza respectiva</w:t>
      </w:r>
      <w:r w:rsidR="006E34B5">
        <w:rPr>
          <w:rFonts w:ascii="Arial" w:eastAsia="Calibri" w:hAnsi="Arial" w:cs="Arial"/>
          <w:sz w:val="22"/>
          <w:szCs w:val="24"/>
          <w:lang w:eastAsia="es-ES_tradnl"/>
        </w:rPr>
        <w:t xml:space="preserve"> para acreditar la cobertura</w:t>
      </w:r>
      <w:r w:rsidR="00B13C66">
        <w:rPr>
          <w:rFonts w:ascii="Arial" w:eastAsia="Calibri" w:hAnsi="Arial" w:cs="Arial"/>
          <w:sz w:val="22"/>
          <w:szCs w:val="24"/>
          <w:lang w:eastAsia="es-ES_tradnl"/>
        </w:rPr>
        <w:t xml:space="preserve">, toda vez que el proponente puede suscribir la garantía adicional por sí mismo, sin </w:t>
      </w:r>
      <w:r w:rsidR="00831294">
        <w:rPr>
          <w:rFonts w:ascii="Arial" w:eastAsia="Calibri" w:hAnsi="Arial" w:cs="Arial"/>
          <w:sz w:val="22"/>
          <w:szCs w:val="24"/>
          <w:lang w:eastAsia="es-ES_tradnl"/>
        </w:rPr>
        <w:t>la cobertura</w:t>
      </w:r>
      <w:r w:rsidR="00B13C66">
        <w:rPr>
          <w:rFonts w:ascii="Arial" w:eastAsia="Calibri" w:hAnsi="Arial" w:cs="Arial"/>
          <w:sz w:val="22"/>
          <w:szCs w:val="24"/>
          <w:lang w:eastAsia="es-ES_tradnl"/>
        </w:rPr>
        <w:t xml:space="preserve"> de un tercero. </w:t>
      </w:r>
      <w:r w:rsidR="008B1C9D">
        <w:rPr>
          <w:rFonts w:ascii="Arial" w:eastAsia="Calibri" w:hAnsi="Arial" w:cs="Arial"/>
          <w:sz w:val="22"/>
          <w:szCs w:val="24"/>
          <w:lang w:eastAsia="es-ES_tradnl"/>
        </w:rPr>
        <w:t>Por ello</w:t>
      </w:r>
      <w:r w:rsidR="00CE29C3">
        <w:rPr>
          <w:rFonts w:ascii="Arial" w:eastAsia="Calibri" w:hAnsi="Arial" w:cs="Arial"/>
          <w:sz w:val="22"/>
          <w:szCs w:val="24"/>
          <w:lang w:eastAsia="es-ES_tradnl"/>
        </w:rPr>
        <w:t xml:space="preserve">, </w:t>
      </w:r>
      <w:r w:rsidR="00CE29C3" w:rsidRPr="00CE29C3">
        <w:rPr>
          <w:rFonts w:ascii="Arial" w:eastAsia="Calibri" w:hAnsi="Arial" w:cs="Arial"/>
          <w:sz w:val="22"/>
          <w:szCs w:val="24"/>
          <w:lang w:eastAsia="es-ES_tradnl"/>
        </w:rPr>
        <w:t>las aseguradoras</w:t>
      </w:r>
      <w:r w:rsidR="00CE29C3">
        <w:rPr>
          <w:rFonts w:ascii="Arial" w:eastAsia="Calibri" w:hAnsi="Arial" w:cs="Arial"/>
          <w:sz w:val="22"/>
          <w:szCs w:val="24"/>
          <w:lang w:eastAsia="es-ES_tradnl"/>
        </w:rPr>
        <w:t xml:space="preserve"> no están obligadas a</w:t>
      </w:r>
      <w:r w:rsidR="00CE29C3" w:rsidRPr="00CE29C3">
        <w:rPr>
          <w:rFonts w:ascii="Arial" w:eastAsia="Calibri" w:hAnsi="Arial" w:cs="Arial"/>
          <w:sz w:val="22"/>
          <w:szCs w:val="24"/>
          <w:lang w:eastAsia="es-ES_tradnl"/>
        </w:rPr>
        <w:t xml:space="preserve"> brindar cobertura para la garantía suplementaria o adicional otorgada directamente por el </w:t>
      </w:r>
      <w:r w:rsidR="00CE29C3">
        <w:rPr>
          <w:rFonts w:ascii="Arial" w:eastAsia="Calibri" w:hAnsi="Arial" w:cs="Arial"/>
          <w:sz w:val="22"/>
          <w:szCs w:val="24"/>
          <w:lang w:eastAsia="es-ES_tradnl"/>
        </w:rPr>
        <w:t>p</w:t>
      </w:r>
      <w:r w:rsidR="00CE29C3" w:rsidRPr="00CE29C3">
        <w:rPr>
          <w:rFonts w:ascii="Arial" w:eastAsia="Calibri" w:hAnsi="Arial" w:cs="Arial"/>
          <w:sz w:val="22"/>
          <w:szCs w:val="24"/>
          <w:lang w:eastAsia="es-ES_tradnl"/>
        </w:rPr>
        <w:t>roponente</w:t>
      </w:r>
      <w:r w:rsidR="00CE29C3">
        <w:rPr>
          <w:rFonts w:ascii="Arial" w:eastAsia="Calibri" w:hAnsi="Arial" w:cs="Arial"/>
          <w:sz w:val="22"/>
          <w:szCs w:val="24"/>
          <w:lang w:eastAsia="es-ES_tradnl"/>
        </w:rPr>
        <w:t>.</w:t>
      </w:r>
    </w:p>
    <w:p w14:paraId="04FA2B5D" w14:textId="4AEC65B6" w:rsidR="00DE1E2D" w:rsidRDefault="00FA790A" w:rsidP="00B13C66">
      <w:pPr>
        <w:spacing w:before="120" w:line="276" w:lineRule="auto"/>
        <w:ind w:firstLine="709"/>
        <w:jc w:val="both"/>
        <w:rPr>
          <w:rFonts w:ascii="Arial" w:eastAsia="Calibri" w:hAnsi="Arial" w:cs="Arial"/>
          <w:color w:val="000000"/>
          <w:sz w:val="22"/>
        </w:rPr>
      </w:pPr>
      <w:r>
        <w:rPr>
          <w:rFonts w:ascii="Arial" w:eastAsia="Calibri" w:hAnsi="Arial" w:cs="Arial"/>
          <w:sz w:val="22"/>
          <w:szCs w:val="24"/>
          <w:lang w:eastAsia="es-ES_tradnl"/>
        </w:rPr>
        <w:t>A</w:t>
      </w:r>
      <w:r w:rsidR="00A30429">
        <w:rPr>
          <w:rFonts w:ascii="Arial" w:eastAsia="Calibri" w:hAnsi="Arial" w:cs="Arial"/>
          <w:sz w:val="22"/>
          <w:szCs w:val="24"/>
          <w:lang w:eastAsia="es-ES_tradnl"/>
        </w:rPr>
        <w:t>unque</w:t>
      </w:r>
      <w:r w:rsidR="00DE1E2D">
        <w:rPr>
          <w:rFonts w:ascii="Arial" w:eastAsia="Calibri" w:hAnsi="Arial" w:cs="Arial"/>
          <w:sz w:val="22"/>
          <w:szCs w:val="24"/>
          <w:lang w:eastAsia="es-ES_tradnl"/>
        </w:rPr>
        <w:t xml:space="preserve"> </w:t>
      </w:r>
      <w:r w:rsidR="00DE1E2D">
        <w:rPr>
          <w:rFonts w:ascii="Arial" w:eastAsia="Calibri" w:hAnsi="Arial" w:cs="Arial"/>
          <w:color w:val="000000"/>
          <w:sz w:val="22"/>
        </w:rPr>
        <w:t xml:space="preserve">el numeral 4.2.4 del documento base –en concordancia con el artículo 13, parágrafo 1, de la Ley 1480 de 2011– dispone que «[…] </w:t>
      </w:r>
      <w:r w:rsidR="00DE1E2D" w:rsidRPr="00DE1E2D">
        <w:rPr>
          <w:rFonts w:ascii="Arial" w:eastAsia="Calibri" w:hAnsi="Arial" w:cs="Arial"/>
          <w:color w:val="000000"/>
          <w:sz w:val="22"/>
        </w:rPr>
        <w:t>es aplicable la regla de responsabilidad solidaria, respecto de quienes hayan participado en la cadena de distribución con posterioridad a quien emitió la garantía suplementaria</w:t>
      </w:r>
      <w:r w:rsidR="00DE1E2D">
        <w:rPr>
          <w:rFonts w:ascii="Arial" w:eastAsia="Calibri" w:hAnsi="Arial" w:cs="Arial"/>
          <w:color w:val="000000"/>
          <w:sz w:val="22"/>
        </w:rPr>
        <w:t xml:space="preserve">», </w:t>
      </w:r>
      <w:r w:rsidR="00A30429">
        <w:rPr>
          <w:rFonts w:ascii="Arial" w:eastAsia="Calibri" w:hAnsi="Arial" w:cs="Arial"/>
          <w:color w:val="000000"/>
          <w:sz w:val="22"/>
        </w:rPr>
        <w:t xml:space="preserve">si no existe cobertura de la garantía adicional a través de la póliza, la aseguradora no está obligada a responder. Esto en la medida </w:t>
      </w:r>
      <w:proofErr w:type="gramStart"/>
      <w:r w:rsidR="00A30429">
        <w:rPr>
          <w:rFonts w:ascii="Arial" w:eastAsia="Calibri" w:hAnsi="Arial" w:cs="Arial"/>
          <w:color w:val="000000"/>
          <w:sz w:val="22"/>
        </w:rPr>
        <w:t>que</w:t>
      </w:r>
      <w:proofErr w:type="gramEnd"/>
      <w:r w:rsidR="00A30429">
        <w:rPr>
          <w:rFonts w:ascii="Arial" w:eastAsia="Calibri" w:hAnsi="Arial" w:cs="Arial"/>
          <w:color w:val="000000"/>
          <w:sz w:val="22"/>
        </w:rPr>
        <w:t xml:space="preserve"> si el factor de calidad fue ofrecido directamente por el proponente, es necesario aplicar el principio de relatividad</w:t>
      </w:r>
      <w:r w:rsidR="000E6890">
        <w:rPr>
          <w:rFonts w:ascii="Arial" w:eastAsia="Calibri" w:hAnsi="Arial" w:cs="Arial"/>
          <w:color w:val="000000"/>
          <w:sz w:val="22"/>
        </w:rPr>
        <w:t>, postulado según el cual el cumplimiento de las obligaciones corresponde al deudor sin afectar a terceros que no hayan prestado previamente su consentimiento</w:t>
      </w:r>
      <w:r w:rsidR="000E6890">
        <w:rPr>
          <w:rStyle w:val="Refdenotaalpie"/>
          <w:rFonts w:ascii="Arial" w:eastAsia="Calibri" w:hAnsi="Arial" w:cs="Arial"/>
          <w:color w:val="000000"/>
          <w:sz w:val="22"/>
        </w:rPr>
        <w:footnoteReference w:id="2"/>
      </w:r>
      <w:r w:rsidR="000E6890">
        <w:rPr>
          <w:rFonts w:ascii="Arial" w:eastAsia="Calibri" w:hAnsi="Arial" w:cs="Arial"/>
          <w:color w:val="000000"/>
          <w:sz w:val="22"/>
        </w:rPr>
        <w:t>.</w:t>
      </w:r>
      <w:r w:rsidR="00A30429">
        <w:rPr>
          <w:rFonts w:ascii="Arial" w:eastAsia="Calibri" w:hAnsi="Arial" w:cs="Arial"/>
          <w:color w:val="000000"/>
          <w:sz w:val="22"/>
        </w:rPr>
        <w:t xml:space="preserve">  </w:t>
      </w:r>
    </w:p>
    <w:p w14:paraId="4DE5FD67" w14:textId="4FA09A5C" w:rsidR="007D7CBC" w:rsidRPr="00205DC0" w:rsidRDefault="007D7CBC" w:rsidP="007D7CBC">
      <w:pPr>
        <w:spacing w:before="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De otro lado</w:t>
      </w:r>
      <w:r w:rsidRPr="00205DC0">
        <w:rPr>
          <w:rFonts w:ascii="Arial" w:eastAsia="Calibri" w:hAnsi="Arial" w:cs="Arial"/>
          <w:sz w:val="22"/>
          <w:szCs w:val="24"/>
          <w:lang w:eastAsia="es-ES_tradnl"/>
        </w:rPr>
        <w:t xml:space="preserve">, los </w:t>
      </w:r>
      <w:r w:rsidR="00CE4D62" w:rsidRPr="00205DC0">
        <w:rPr>
          <w:rFonts w:ascii="Arial" w:eastAsia="Calibri" w:hAnsi="Arial" w:cs="Arial"/>
          <w:sz w:val="22"/>
          <w:szCs w:val="24"/>
          <w:lang w:eastAsia="es-ES_tradnl"/>
        </w:rPr>
        <w:t xml:space="preserve">documentos tipo </w:t>
      </w:r>
      <w:r>
        <w:rPr>
          <w:rFonts w:ascii="Arial" w:eastAsia="Calibri" w:hAnsi="Arial" w:cs="Arial"/>
          <w:sz w:val="22"/>
          <w:szCs w:val="24"/>
          <w:lang w:eastAsia="es-ES_tradnl"/>
        </w:rPr>
        <w:t>establecen</w:t>
      </w:r>
      <w:r w:rsidRPr="00205DC0">
        <w:rPr>
          <w:rFonts w:ascii="Arial" w:eastAsia="Calibri" w:hAnsi="Arial" w:cs="Arial"/>
          <w:sz w:val="22"/>
          <w:szCs w:val="24"/>
          <w:lang w:eastAsia="es-ES_tradnl"/>
        </w:rPr>
        <w:t xml:space="preserve"> que la «</w:t>
      </w:r>
      <w:r w:rsidR="00FF31F1">
        <w:rPr>
          <w:rFonts w:ascii="Arial" w:eastAsia="Arial" w:hAnsi="Arial" w:cs="Arial"/>
          <w:sz w:val="22"/>
          <w:lang w:val="es-ES_tradnl"/>
        </w:rPr>
        <w:t>Garantía Suplementaria o Adicional»</w:t>
      </w:r>
      <w:r w:rsidRPr="00205DC0">
        <w:rPr>
          <w:rFonts w:ascii="Arial" w:eastAsia="Calibri" w:hAnsi="Arial" w:cs="Arial"/>
          <w:sz w:val="22"/>
          <w:szCs w:val="24"/>
          <w:lang w:eastAsia="es-ES_tradnl"/>
        </w:rPr>
        <w:t xml:space="preserve"> está asociada a la estabilidad y calidad de la obra</w:t>
      </w:r>
      <w:r>
        <w:rPr>
          <w:rFonts w:ascii="Arial" w:eastAsia="Calibri" w:hAnsi="Arial" w:cs="Arial"/>
          <w:sz w:val="22"/>
          <w:szCs w:val="24"/>
          <w:lang w:eastAsia="es-ES_tradnl"/>
        </w:rPr>
        <w:t>, y que</w:t>
      </w:r>
      <w:r w:rsidRPr="00205DC0">
        <w:rPr>
          <w:rFonts w:ascii="Arial" w:eastAsia="Calibri" w:hAnsi="Arial" w:cs="Arial"/>
          <w:sz w:val="22"/>
          <w:szCs w:val="24"/>
          <w:lang w:eastAsia="es-ES_tradnl"/>
        </w:rPr>
        <w:t xml:space="preserve"> el proponente ofertará la vigencia de la garantía adicional a partir del vencimiento del plazo del </w:t>
      </w:r>
      <w:r>
        <w:rPr>
          <w:rFonts w:ascii="Arial" w:eastAsia="Calibri" w:hAnsi="Arial" w:cs="Arial"/>
          <w:sz w:val="22"/>
          <w:szCs w:val="24"/>
          <w:lang w:eastAsia="es-ES_tradnl"/>
        </w:rPr>
        <w:t>a</w:t>
      </w:r>
      <w:r w:rsidRPr="00205DC0">
        <w:rPr>
          <w:rFonts w:ascii="Arial" w:eastAsia="Calibri" w:hAnsi="Arial" w:cs="Arial"/>
          <w:sz w:val="22"/>
          <w:szCs w:val="24"/>
          <w:lang w:eastAsia="es-ES_tradnl"/>
        </w:rPr>
        <w:t xml:space="preserve">mparo de </w:t>
      </w:r>
      <w:r>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stabilidad y </w:t>
      </w:r>
      <w:r>
        <w:rPr>
          <w:rFonts w:ascii="Arial" w:eastAsia="Calibri" w:hAnsi="Arial" w:cs="Arial"/>
          <w:sz w:val="22"/>
          <w:szCs w:val="24"/>
          <w:lang w:eastAsia="es-ES_tradnl"/>
        </w:rPr>
        <w:t>c</w:t>
      </w:r>
      <w:r w:rsidRPr="00205DC0">
        <w:rPr>
          <w:rFonts w:ascii="Arial" w:eastAsia="Calibri" w:hAnsi="Arial" w:cs="Arial"/>
          <w:sz w:val="22"/>
          <w:szCs w:val="24"/>
          <w:lang w:eastAsia="es-ES_tradnl"/>
        </w:rPr>
        <w:t xml:space="preserve">alidad de la </w:t>
      </w:r>
      <w:r>
        <w:rPr>
          <w:rFonts w:ascii="Arial" w:eastAsia="Calibri" w:hAnsi="Arial" w:cs="Arial"/>
          <w:sz w:val="22"/>
          <w:szCs w:val="24"/>
          <w:lang w:eastAsia="es-ES_tradnl"/>
        </w:rPr>
        <w:t>o</w:t>
      </w:r>
      <w:r w:rsidRPr="00205DC0">
        <w:rPr>
          <w:rFonts w:ascii="Arial" w:eastAsia="Calibri" w:hAnsi="Arial" w:cs="Arial"/>
          <w:sz w:val="22"/>
          <w:szCs w:val="24"/>
          <w:lang w:eastAsia="es-ES_tradnl"/>
        </w:rPr>
        <w:t xml:space="preserve">bra. </w:t>
      </w:r>
      <w:r>
        <w:rPr>
          <w:rFonts w:ascii="Arial" w:eastAsia="Calibri" w:hAnsi="Arial" w:cs="Arial"/>
          <w:sz w:val="22"/>
          <w:szCs w:val="24"/>
          <w:lang w:eastAsia="es-ES_tradnl"/>
        </w:rPr>
        <w:t>De conformidad con el</w:t>
      </w:r>
      <w:r w:rsidRPr="00205DC0">
        <w:rPr>
          <w:rFonts w:ascii="Arial" w:eastAsia="Calibri" w:hAnsi="Arial" w:cs="Arial"/>
          <w:sz w:val="22"/>
          <w:szCs w:val="24"/>
          <w:lang w:eastAsia="es-ES_tradnl"/>
        </w:rPr>
        <w:t xml:space="preserve"> Decreto 1082 de 2015 este amparo </w:t>
      </w:r>
      <w:r w:rsidRPr="00205DC0">
        <w:rPr>
          <w:rFonts w:ascii="Arial" w:eastAsia="Calibri" w:hAnsi="Arial" w:cs="Arial"/>
          <w:sz w:val="22"/>
          <w:szCs w:val="24"/>
          <w:lang w:eastAsia="es-ES_tradnl"/>
        </w:rPr>
        <w:lastRenderedPageBreak/>
        <w:t xml:space="preserve">cubre a la </w:t>
      </w:r>
      <w:r>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ntidad </w:t>
      </w:r>
      <w:r>
        <w:rPr>
          <w:rFonts w:ascii="Arial" w:eastAsia="Calibri" w:hAnsi="Arial" w:cs="Arial"/>
          <w:sz w:val="22"/>
          <w:szCs w:val="24"/>
          <w:lang w:eastAsia="es-ES_tradnl"/>
        </w:rPr>
        <w:t>e</w:t>
      </w:r>
      <w:r w:rsidRPr="00205DC0">
        <w:rPr>
          <w:rFonts w:ascii="Arial" w:eastAsia="Calibri" w:hAnsi="Arial" w:cs="Arial"/>
          <w:sz w:val="22"/>
          <w:szCs w:val="24"/>
          <w:lang w:eastAsia="es-ES_tradnl"/>
        </w:rPr>
        <w:t>statal de los perjuicios ocasionados por cualquier tipo de daño o deterioro, imputable al contratista, sufrido por la obra entregada a satisfacción</w:t>
      </w:r>
      <w:r w:rsidRPr="00205DC0">
        <w:rPr>
          <w:rFonts w:ascii="Arial" w:eastAsia="Calibri" w:hAnsi="Arial" w:cs="Arial"/>
          <w:sz w:val="22"/>
          <w:szCs w:val="24"/>
          <w:vertAlign w:val="superscript"/>
          <w:lang w:eastAsia="es-ES_tradnl"/>
        </w:rPr>
        <w:footnoteReference w:id="3"/>
      </w:r>
      <w:r w:rsidRPr="00205DC0">
        <w:rPr>
          <w:rFonts w:ascii="Arial" w:eastAsia="Calibri" w:hAnsi="Arial" w:cs="Arial"/>
          <w:sz w:val="22"/>
          <w:szCs w:val="24"/>
          <w:lang w:eastAsia="es-ES_tradnl"/>
        </w:rPr>
        <w:t>.</w:t>
      </w:r>
    </w:p>
    <w:p w14:paraId="5CAEE0D4" w14:textId="2DB4FBFB" w:rsidR="00B429D9" w:rsidRPr="00205DC0" w:rsidRDefault="007D7CBC" w:rsidP="00B429D9">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En este sentido, la «Garantía </w:t>
      </w:r>
      <w:r w:rsidR="00565224" w:rsidRPr="00205DC0">
        <w:rPr>
          <w:rFonts w:ascii="Arial" w:eastAsia="Calibri" w:hAnsi="Arial" w:cs="Arial"/>
          <w:sz w:val="22"/>
          <w:szCs w:val="24"/>
          <w:lang w:eastAsia="es-ES_tradnl"/>
        </w:rPr>
        <w:t>Suplementaria</w:t>
      </w:r>
      <w:r w:rsidR="00565224">
        <w:rPr>
          <w:rFonts w:ascii="Arial" w:eastAsia="Calibri" w:hAnsi="Arial" w:cs="Arial"/>
          <w:sz w:val="22"/>
          <w:szCs w:val="24"/>
          <w:lang w:eastAsia="es-ES_tradnl"/>
        </w:rPr>
        <w:t xml:space="preserve"> o</w:t>
      </w:r>
      <w:r w:rsidR="00565224" w:rsidRPr="00205DC0">
        <w:rPr>
          <w:rFonts w:ascii="Arial" w:eastAsia="Calibri" w:hAnsi="Arial" w:cs="Arial"/>
          <w:sz w:val="22"/>
          <w:szCs w:val="24"/>
          <w:lang w:eastAsia="es-ES_tradnl"/>
        </w:rPr>
        <w:t xml:space="preserve"> </w:t>
      </w:r>
      <w:r w:rsidR="00FF31F1" w:rsidRPr="00205DC0">
        <w:rPr>
          <w:rFonts w:ascii="Arial" w:eastAsia="Calibri" w:hAnsi="Arial" w:cs="Arial"/>
          <w:sz w:val="22"/>
          <w:szCs w:val="24"/>
          <w:lang w:eastAsia="es-ES_tradnl"/>
        </w:rPr>
        <w:t>Adicional</w:t>
      </w:r>
      <w:r w:rsidRPr="00205DC0">
        <w:rPr>
          <w:rFonts w:ascii="Arial" w:eastAsia="Calibri" w:hAnsi="Arial" w:cs="Arial"/>
          <w:sz w:val="22"/>
          <w:szCs w:val="24"/>
          <w:lang w:eastAsia="es-ES_tradnl"/>
        </w:rPr>
        <w:t xml:space="preserve">»,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w:t>
      </w:r>
      <w:r>
        <w:rPr>
          <w:rFonts w:ascii="Arial" w:eastAsia="Calibri" w:hAnsi="Arial" w:cs="Arial"/>
          <w:sz w:val="22"/>
          <w:szCs w:val="24"/>
          <w:lang w:eastAsia="es-ES_tradnl"/>
        </w:rPr>
        <w:t>no pudiendo ser esta última</w:t>
      </w:r>
      <w:r w:rsidR="00FF6110">
        <w:rPr>
          <w:rFonts w:ascii="Arial" w:eastAsia="Calibri" w:hAnsi="Arial" w:cs="Arial"/>
          <w:sz w:val="22"/>
          <w:szCs w:val="24"/>
          <w:lang w:eastAsia="es-ES_tradnl"/>
        </w:rPr>
        <w:t>, en principio,</w:t>
      </w:r>
      <w:r w:rsidRPr="00205DC0">
        <w:rPr>
          <w:rFonts w:ascii="Arial" w:eastAsia="Calibri" w:hAnsi="Arial" w:cs="Arial"/>
          <w:sz w:val="22"/>
          <w:szCs w:val="24"/>
          <w:lang w:eastAsia="es-ES_tradnl"/>
        </w:rPr>
        <w:t xml:space="preserve"> inferior a cinco (5) años</w:t>
      </w:r>
      <w:r>
        <w:rPr>
          <w:rFonts w:ascii="Arial" w:eastAsia="Calibri" w:hAnsi="Arial" w:cs="Arial"/>
          <w:sz w:val="22"/>
          <w:szCs w:val="24"/>
          <w:lang w:eastAsia="es-ES_tradnl"/>
        </w:rPr>
        <w:t>,</w:t>
      </w:r>
      <w:r w:rsidRPr="00205DC0">
        <w:rPr>
          <w:rFonts w:ascii="Arial" w:eastAsia="Calibri" w:hAnsi="Arial" w:cs="Arial"/>
          <w:sz w:val="22"/>
          <w:szCs w:val="24"/>
          <w:lang w:eastAsia="es-ES_tradnl"/>
        </w:rPr>
        <w:t xml:space="preserve"> contados a partir de la fecha en la cual la </w:t>
      </w:r>
      <w:r>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ntidad </w:t>
      </w:r>
      <w:r>
        <w:rPr>
          <w:rFonts w:ascii="Arial" w:eastAsia="Calibri" w:hAnsi="Arial" w:cs="Arial"/>
          <w:sz w:val="22"/>
          <w:szCs w:val="24"/>
          <w:lang w:eastAsia="es-ES_tradnl"/>
        </w:rPr>
        <w:t>e</w:t>
      </w:r>
      <w:r w:rsidRPr="00205DC0">
        <w:rPr>
          <w:rFonts w:ascii="Arial" w:eastAsia="Calibri" w:hAnsi="Arial" w:cs="Arial"/>
          <w:sz w:val="22"/>
          <w:szCs w:val="24"/>
          <w:lang w:eastAsia="es-ES_tradnl"/>
        </w:rPr>
        <w:t>statal recibe a satisfacción la obra</w:t>
      </w:r>
      <w:r w:rsidR="00B429D9" w:rsidRPr="00205DC0">
        <w:rPr>
          <w:rFonts w:ascii="Arial" w:eastAsia="Calibri" w:hAnsi="Arial" w:cs="Arial"/>
          <w:sz w:val="22"/>
          <w:szCs w:val="24"/>
          <w:vertAlign w:val="superscript"/>
          <w:lang w:eastAsia="es-ES_tradnl"/>
        </w:rPr>
        <w:footnoteReference w:id="4"/>
      </w:r>
      <w:r w:rsidRPr="00205DC0">
        <w:rPr>
          <w:rFonts w:ascii="Arial" w:eastAsia="Calibri" w:hAnsi="Arial" w:cs="Arial"/>
          <w:sz w:val="22"/>
          <w:szCs w:val="24"/>
          <w:lang w:eastAsia="es-ES_tradnl"/>
        </w:rPr>
        <w:t xml:space="preserve">. </w:t>
      </w:r>
    </w:p>
    <w:p w14:paraId="21380087" w14:textId="77777777" w:rsidR="00B429D9" w:rsidRDefault="00FF31F1" w:rsidP="00FF31F1">
      <w:pPr>
        <w:spacing w:before="120" w:after="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val="es-ES_tradnl" w:eastAsia="es-ES_tradnl"/>
        </w:rPr>
        <w:t>E</w:t>
      </w:r>
      <w:r w:rsidRPr="00FF31F1">
        <w:rPr>
          <w:rFonts w:ascii="Arial" w:eastAsia="Calibri" w:hAnsi="Arial" w:cs="Arial"/>
          <w:sz w:val="22"/>
          <w:szCs w:val="24"/>
          <w:lang w:val="es-ES_tradnl" w:eastAsia="es-ES_tradnl"/>
        </w:rPr>
        <w:t xml:space="preserve">l numeral 4.2.4 del documento base dispone que «Las entidades incluirán obligatoriamente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 </w:t>
      </w:r>
      <w:r w:rsidR="007D7CBC" w:rsidRPr="00205DC0">
        <w:rPr>
          <w:rFonts w:ascii="Arial" w:eastAsia="Calibri" w:hAnsi="Arial" w:cs="Arial"/>
          <w:sz w:val="22"/>
          <w:szCs w:val="24"/>
          <w:lang w:eastAsia="es-ES_tradnl"/>
        </w:rPr>
        <w:t xml:space="preserve">Asimismo, establece que la entidad otorgará el puntaje que determine para este factor de acuerdo con el número de meses que el proponente ofrezca como vigencia de la garantía adicional. </w:t>
      </w:r>
    </w:p>
    <w:p w14:paraId="627B3E06" w14:textId="6594255E" w:rsidR="007D7CBC" w:rsidRDefault="00B429D9" w:rsidP="00FF31F1">
      <w:pPr>
        <w:spacing w:before="120" w:after="120" w:line="276" w:lineRule="auto"/>
        <w:ind w:firstLine="709"/>
        <w:jc w:val="both"/>
        <w:rPr>
          <w:rFonts w:ascii="Arial" w:eastAsia="Calibri" w:hAnsi="Arial" w:cs="Arial"/>
          <w:sz w:val="22"/>
          <w:szCs w:val="24"/>
          <w:lang w:eastAsia="es-ES_tradnl"/>
        </w:rPr>
      </w:pPr>
      <w:r>
        <w:rPr>
          <w:rFonts w:ascii="Arial" w:eastAsia="Calibri" w:hAnsi="Arial" w:cs="Arial"/>
          <w:color w:val="000000" w:themeColor="text1"/>
          <w:sz w:val="22"/>
          <w:lang w:val="es-ES"/>
        </w:rPr>
        <w:t xml:space="preserve">De esta manera, si bien la entidad estima la vigencia de la garantía de calidad y estabilidad conforme al artículo </w:t>
      </w:r>
      <w:r w:rsidRPr="00565224">
        <w:rPr>
          <w:rFonts w:ascii="Arial" w:eastAsia="Calibri" w:hAnsi="Arial" w:cs="Arial"/>
          <w:color w:val="000000" w:themeColor="text1"/>
          <w:sz w:val="22"/>
          <w:lang w:val="es-ES"/>
        </w:rPr>
        <w:t>2.2.1.2.3.1.14</w:t>
      </w:r>
      <w:r>
        <w:rPr>
          <w:rFonts w:ascii="Arial" w:eastAsia="Calibri" w:hAnsi="Arial" w:cs="Arial"/>
          <w:color w:val="000000" w:themeColor="text1"/>
          <w:sz w:val="22"/>
          <w:lang w:val="es-ES"/>
        </w:rPr>
        <w:t xml:space="preserve"> del Decreto 1082 de 2015, es posible solicitar mayor tiempo de respaldo respecto a la durabilidad de las obras. Para estos efectos, en concordancia con el artículo </w:t>
      </w:r>
      <w:r>
        <w:rPr>
          <w:rFonts w:ascii="Arial" w:eastAsia="Calibri" w:hAnsi="Arial" w:cs="Arial"/>
          <w:sz w:val="22"/>
          <w:szCs w:val="24"/>
          <w:lang w:eastAsia="es-ES_tradnl"/>
        </w:rPr>
        <w:t>13 de l</w:t>
      </w:r>
      <w:r w:rsidRPr="00205DC0">
        <w:rPr>
          <w:rFonts w:ascii="Arial" w:eastAsia="Calibri" w:hAnsi="Arial" w:cs="Arial"/>
          <w:sz w:val="22"/>
          <w:szCs w:val="24"/>
          <w:lang w:eastAsia="es-ES_tradnl"/>
        </w:rPr>
        <w:t>a Ley 1480 de 2011</w:t>
      </w:r>
      <w:r>
        <w:rPr>
          <w:rFonts w:ascii="Arial" w:eastAsia="Calibri" w:hAnsi="Arial" w:cs="Arial"/>
          <w:sz w:val="22"/>
          <w:szCs w:val="24"/>
          <w:lang w:eastAsia="es-ES_tradnl"/>
        </w:rPr>
        <w:t>,</w:t>
      </w:r>
      <w:r>
        <w:rPr>
          <w:rFonts w:ascii="Arial" w:eastAsia="Calibri" w:hAnsi="Arial" w:cs="Arial"/>
          <w:color w:val="000000" w:themeColor="text1"/>
          <w:sz w:val="22"/>
          <w:lang w:val="es-ES"/>
        </w:rPr>
        <w:t xml:space="preserve"> el numeral 4.2.4 del documento base </w:t>
      </w:r>
      <w:r>
        <w:rPr>
          <w:rFonts w:ascii="Arial" w:eastAsia="Calibri" w:hAnsi="Arial" w:cs="Arial"/>
          <w:sz w:val="22"/>
          <w:szCs w:val="24"/>
          <w:lang w:eastAsia="es-ES_tradnl"/>
        </w:rPr>
        <w:t>regula el otorgamiento de</w:t>
      </w:r>
      <w:r w:rsidRPr="00205DC0">
        <w:rPr>
          <w:rFonts w:ascii="Arial" w:eastAsia="Calibri" w:hAnsi="Arial" w:cs="Arial"/>
          <w:sz w:val="22"/>
          <w:szCs w:val="24"/>
          <w:lang w:eastAsia="es-ES_tradnl"/>
        </w:rPr>
        <w:t xml:space="preserve"> garantías suplementarias a la legal, </w:t>
      </w:r>
      <w:r>
        <w:rPr>
          <w:rFonts w:ascii="Arial" w:eastAsia="Calibri" w:hAnsi="Arial" w:cs="Arial"/>
          <w:sz w:val="22"/>
          <w:szCs w:val="24"/>
          <w:lang w:eastAsia="es-ES_tradnl"/>
        </w:rPr>
        <w:t>ampliando y mejorando la cobertura del amparo anteriormente mencionado. E</w:t>
      </w:r>
      <w:r w:rsidRPr="00205DC0">
        <w:rPr>
          <w:rFonts w:ascii="Arial" w:eastAsia="Calibri" w:hAnsi="Arial" w:cs="Arial"/>
          <w:sz w:val="22"/>
          <w:szCs w:val="24"/>
          <w:lang w:eastAsia="es-ES_tradnl"/>
        </w:rPr>
        <w:t xml:space="preserve">ste criterio de asignación de puntaje </w:t>
      </w:r>
      <w:r>
        <w:rPr>
          <w:rFonts w:ascii="Arial" w:eastAsia="Calibri" w:hAnsi="Arial" w:cs="Arial"/>
          <w:sz w:val="22"/>
          <w:szCs w:val="24"/>
          <w:lang w:eastAsia="es-ES_tradnl"/>
        </w:rPr>
        <w:t xml:space="preserve">es apropiado, en la medida que </w:t>
      </w:r>
      <w:r w:rsidR="00FF6110">
        <w:rPr>
          <w:rFonts w:ascii="Arial" w:eastAsia="Calibri" w:hAnsi="Arial" w:cs="Arial"/>
          <w:sz w:val="22"/>
          <w:szCs w:val="24"/>
          <w:lang w:eastAsia="es-ES_tradnl"/>
        </w:rPr>
        <w:t>mediante</w:t>
      </w:r>
      <w:r>
        <w:rPr>
          <w:rFonts w:ascii="Arial" w:eastAsia="Calibri" w:hAnsi="Arial" w:cs="Arial"/>
          <w:sz w:val="22"/>
          <w:szCs w:val="24"/>
          <w:lang w:eastAsia="es-ES_tradnl"/>
        </w:rPr>
        <w:t xml:space="preserve"> este</w:t>
      </w:r>
      <w:r w:rsidRPr="00205DC0">
        <w:rPr>
          <w:rFonts w:ascii="Arial" w:eastAsia="Calibri" w:hAnsi="Arial" w:cs="Arial"/>
          <w:sz w:val="22"/>
          <w:szCs w:val="24"/>
          <w:lang w:eastAsia="es-ES_tradnl"/>
        </w:rPr>
        <w:t xml:space="preserve"> las entidades estatales cuent</w:t>
      </w:r>
      <w:r>
        <w:rPr>
          <w:rFonts w:ascii="Arial" w:eastAsia="Calibri" w:hAnsi="Arial" w:cs="Arial"/>
          <w:sz w:val="22"/>
          <w:szCs w:val="24"/>
          <w:lang w:eastAsia="es-ES_tradnl"/>
        </w:rPr>
        <w:t>a</w:t>
      </w:r>
      <w:r w:rsidRPr="00205DC0">
        <w:rPr>
          <w:rFonts w:ascii="Arial" w:eastAsia="Calibri" w:hAnsi="Arial" w:cs="Arial"/>
          <w:sz w:val="22"/>
          <w:szCs w:val="24"/>
          <w:lang w:eastAsia="es-ES_tradnl"/>
        </w:rPr>
        <w:t>n con una cobertura adicional a la prevista para la estabilidad y calidad</w:t>
      </w:r>
      <w:r>
        <w:rPr>
          <w:rFonts w:ascii="Arial" w:eastAsia="Calibri" w:hAnsi="Arial" w:cs="Arial"/>
          <w:sz w:val="22"/>
          <w:szCs w:val="24"/>
          <w:lang w:eastAsia="es-ES_tradnl"/>
        </w:rPr>
        <w:t xml:space="preserve"> de la obra</w:t>
      </w:r>
      <w:r w:rsidRPr="00205DC0">
        <w:rPr>
          <w:rFonts w:ascii="Arial" w:eastAsia="Calibri" w:hAnsi="Arial" w:cs="Arial"/>
          <w:sz w:val="22"/>
          <w:szCs w:val="24"/>
          <w:lang w:eastAsia="es-ES_tradnl"/>
        </w:rPr>
        <w:t>, situación que incide en la idoneidad y mejora de</w:t>
      </w:r>
      <w:r>
        <w:rPr>
          <w:rFonts w:ascii="Arial" w:eastAsia="Calibri" w:hAnsi="Arial" w:cs="Arial"/>
          <w:sz w:val="22"/>
          <w:szCs w:val="24"/>
          <w:lang w:eastAsia="es-ES_tradnl"/>
        </w:rPr>
        <w:t xml:space="preserve"> las</w:t>
      </w:r>
      <w:r w:rsidRPr="00205DC0">
        <w:rPr>
          <w:rFonts w:ascii="Arial" w:eastAsia="Calibri" w:hAnsi="Arial" w:cs="Arial"/>
          <w:sz w:val="22"/>
          <w:szCs w:val="24"/>
          <w:lang w:eastAsia="es-ES_tradnl"/>
        </w:rPr>
        <w:t xml:space="preserve"> condiciones </w:t>
      </w:r>
      <w:r>
        <w:rPr>
          <w:rFonts w:ascii="Arial" w:eastAsia="Calibri" w:hAnsi="Arial" w:cs="Arial"/>
          <w:sz w:val="22"/>
          <w:szCs w:val="24"/>
          <w:lang w:eastAsia="es-ES_tradnl"/>
        </w:rPr>
        <w:t>del objeto contractual</w:t>
      </w:r>
      <w:r w:rsidR="007D7CBC" w:rsidRPr="00205DC0">
        <w:rPr>
          <w:rFonts w:ascii="Arial" w:eastAsia="Calibri" w:hAnsi="Arial" w:cs="Arial"/>
          <w:sz w:val="22"/>
          <w:szCs w:val="24"/>
          <w:lang w:eastAsia="es-ES_tradnl"/>
        </w:rPr>
        <w:t xml:space="preserve">. </w:t>
      </w:r>
    </w:p>
    <w:p w14:paraId="503E8C4B" w14:textId="15E5606B" w:rsidR="00D2166F" w:rsidRDefault="007D7CBC" w:rsidP="007D7CBC">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rPr>
        <w:lastRenderedPageBreak/>
        <w:tab/>
      </w:r>
      <w:r>
        <w:rPr>
          <w:rFonts w:ascii="Arial" w:eastAsia="Calibri" w:hAnsi="Arial" w:cs="Arial"/>
          <w:color w:val="000000"/>
          <w:sz w:val="22"/>
        </w:rPr>
        <w:tab/>
        <w:t xml:space="preserve">Ahora bien, </w:t>
      </w:r>
      <w:bookmarkStart w:id="14" w:name="_Hlk63885631"/>
      <w:r>
        <w:rPr>
          <w:rFonts w:ascii="Arial" w:eastAsia="Calibri" w:hAnsi="Arial" w:cs="Arial"/>
          <w:color w:val="000000"/>
          <w:sz w:val="22"/>
        </w:rPr>
        <w:t xml:space="preserve">respecto a la forma como se acredita el cumplimiento, </w:t>
      </w:r>
      <w:bookmarkStart w:id="15" w:name="_Hlk63245809"/>
      <w:r>
        <w:rPr>
          <w:rFonts w:ascii="Arial" w:eastAsia="Calibri" w:hAnsi="Arial" w:cs="Arial"/>
          <w:color w:val="000000"/>
          <w:sz w:val="22"/>
        </w:rPr>
        <w:t xml:space="preserve">el numeral 4.2.4 en el literal VIII) </w:t>
      </w:r>
      <w:r w:rsidR="00A012EF">
        <w:rPr>
          <w:rFonts w:ascii="Arial" w:eastAsia="Calibri" w:hAnsi="Arial" w:cs="Arial"/>
          <w:color w:val="000000"/>
          <w:sz w:val="22"/>
        </w:rPr>
        <w:t>dispone</w:t>
      </w:r>
      <w:r>
        <w:rPr>
          <w:rFonts w:ascii="Arial" w:eastAsia="Calibri" w:hAnsi="Arial" w:cs="Arial"/>
          <w:color w:val="000000"/>
          <w:sz w:val="22"/>
        </w:rPr>
        <w:t xml:space="preserve"> que «</w:t>
      </w:r>
      <w:r w:rsidRPr="0016688E">
        <w:rPr>
          <w:rFonts w:ascii="Arial" w:eastAsia="Calibri" w:hAnsi="Arial" w:cs="Arial"/>
          <w:color w:val="000000"/>
          <w:sz w:val="22"/>
          <w:lang w:val="es-CO"/>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r>
        <w:rPr>
          <w:rFonts w:ascii="Arial" w:eastAsia="Calibri" w:hAnsi="Arial" w:cs="Arial"/>
          <w:color w:val="000000"/>
          <w:sz w:val="22"/>
          <w:lang w:val="es-CO"/>
        </w:rPr>
        <w:t xml:space="preserve">». De este modo, el interventor, durante la ejecución del contrato, verifica que el contratista aporte el documento que acredite el cumplimiento de otorgar la garantía suplementaria, cumpliendo el compromiso realizado por el proponente en el «Formato 7D – Garantía </w:t>
      </w:r>
      <w:r w:rsidR="00FF31F1">
        <w:rPr>
          <w:rFonts w:ascii="Arial" w:eastAsia="Calibri" w:hAnsi="Arial" w:cs="Arial"/>
          <w:color w:val="000000"/>
          <w:sz w:val="22"/>
          <w:lang w:val="es-CO"/>
        </w:rPr>
        <w:t>Suplementaria o Adicional</w:t>
      </w:r>
      <w:r>
        <w:rPr>
          <w:rFonts w:ascii="Arial" w:eastAsia="Calibri" w:hAnsi="Arial" w:cs="Arial"/>
          <w:color w:val="000000"/>
          <w:sz w:val="22"/>
          <w:lang w:val="es-CO"/>
        </w:rPr>
        <w:t>»</w:t>
      </w:r>
      <w:bookmarkEnd w:id="15"/>
      <w:r w:rsidR="00662074">
        <w:rPr>
          <w:rStyle w:val="Refdenotaalpie"/>
          <w:rFonts w:ascii="Arial" w:eastAsia="Calibri" w:hAnsi="Arial" w:cs="Arial"/>
          <w:color w:val="000000"/>
          <w:sz w:val="22"/>
          <w:lang w:val="es-CO"/>
        </w:rPr>
        <w:footnoteReference w:id="5"/>
      </w:r>
      <w:r>
        <w:rPr>
          <w:rFonts w:ascii="Arial" w:eastAsia="Calibri" w:hAnsi="Arial" w:cs="Arial"/>
          <w:color w:val="000000"/>
          <w:sz w:val="22"/>
          <w:lang w:val="es-CO"/>
        </w:rPr>
        <w:t>.</w:t>
      </w:r>
      <w:r w:rsidR="00D2166F">
        <w:rPr>
          <w:rFonts w:ascii="Arial" w:eastAsia="Calibri" w:hAnsi="Arial" w:cs="Arial"/>
          <w:color w:val="000000"/>
          <w:sz w:val="22"/>
          <w:lang w:val="es-CO"/>
        </w:rPr>
        <w:t xml:space="preserve"> </w:t>
      </w:r>
    </w:p>
    <w:p w14:paraId="0B6C3B9D" w14:textId="30A169DE" w:rsidR="007D7CBC" w:rsidRPr="00A012EF" w:rsidRDefault="00A012EF" w:rsidP="007D7CBC">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Pr>
          <w:rFonts w:ascii="Arial" w:eastAsia="Calibri" w:hAnsi="Arial" w:cs="Arial"/>
          <w:color w:val="000000"/>
          <w:sz w:val="22"/>
          <w:lang w:val="es-CO"/>
        </w:rPr>
        <w:tab/>
      </w:r>
      <w:r w:rsidR="00416464">
        <w:rPr>
          <w:rFonts w:ascii="Arial" w:eastAsia="Calibri" w:hAnsi="Arial" w:cs="Arial"/>
          <w:color w:val="000000"/>
          <w:sz w:val="22"/>
          <w:lang w:val="es-CO"/>
        </w:rPr>
        <w:t>En todo caso,</w:t>
      </w:r>
      <w:r w:rsidR="007D7CBC">
        <w:rPr>
          <w:rFonts w:ascii="Arial" w:eastAsia="Calibri" w:hAnsi="Arial" w:cs="Arial"/>
          <w:color w:val="000000"/>
          <w:sz w:val="22"/>
          <w:lang w:val="es-CO"/>
        </w:rPr>
        <w:t xml:space="preserve"> ¿cuál es el documento idóneo que se entrega al interventor para acreditar las condiciones de la garantía?</w:t>
      </w:r>
      <w:bookmarkStart w:id="16" w:name="_Hlk51857552"/>
      <w:r>
        <w:rPr>
          <w:rFonts w:ascii="Arial" w:eastAsia="Calibri" w:hAnsi="Arial" w:cs="Arial"/>
          <w:color w:val="000000"/>
          <w:sz w:val="22"/>
          <w:lang w:val="es-CO"/>
        </w:rPr>
        <w:t xml:space="preserve"> </w:t>
      </w:r>
      <w:r w:rsidR="007D7CBC" w:rsidRPr="008F2264">
        <w:rPr>
          <w:rFonts w:ascii="Arial" w:eastAsia="Calibri" w:hAnsi="Arial" w:cs="Arial"/>
          <w:color w:val="000000"/>
          <w:sz w:val="22"/>
        </w:rPr>
        <w:t xml:space="preserve">El documento que se entrega varía si la garantía se otorga por medio de una póliza expedida por una aseguradora o directamente como una garantía comercial. En el primer supuesto, el documento que se presenta es la póliza. En el segundo, es decir, </w:t>
      </w:r>
      <w:bookmarkStart w:id="17" w:name="_Hlk63254221"/>
      <w:r w:rsidR="007D7CBC" w:rsidRPr="008F2264">
        <w:rPr>
          <w:rFonts w:ascii="Arial" w:eastAsia="Calibri" w:hAnsi="Arial" w:cs="Arial"/>
          <w:color w:val="000000"/>
          <w:sz w:val="22"/>
        </w:rPr>
        <w:t>cuando se trata de una garantía comercial, el contratista entrega al interventor un documento que cumpla las condiciones mínimas previstas en el artículo 14 de la Ley 1480 de 2011, esto es: i) debe constar por escrito, ii) de fácil comprensión y iii) con caracteres legibles a simple vista, donde se acredite el compromiso y la obligación que asume el contratista frente a la entidad respecto a la garantía adicional en relación con la estabilidad y calidad de la obra</w:t>
      </w:r>
      <w:r w:rsidR="007D7CBC" w:rsidRPr="008F2264">
        <w:rPr>
          <w:rFonts w:ascii="Arial" w:hAnsi="Arial" w:cs="Arial"/>
          <w:sz w:val="22"/>
          <w:vertAlign w:val="superscript"/>
        </w:rPr>
        <w:footnoteReference w:id="6"/>
      </w:r>
      <w:r w:rsidR="007D7CBC" w:rsidRPr="008F2264">
        <w:rPr>
          <w:rFonts w:ascii="Arial" w:eastAsia="Calibri" w:hAnsi="Arial" w:cs="Arial"/>
          <w:color w:val="000000"/>
          <w:sz w:val="22"/>
        </w:rPr>
        <w:t>.</w:t>
      </w:r>
      <w:r w:rsidR="007F79A2">
        <w:rPr>
          <w:rFonts w:ascii="Arial" w:eastAsia="Calibri" w:hAnsi="Arial" w:cs="Arial"/>
          <w:color w:val="000000"/>
          <w:sz w:val="22"/>
        </w:rPr>
        <w:t xml:space="preserve"> En este último caso, </w:t>
      </w:r>
      <w:r w:rsidR="00B91814">
        <w:rPr>
          <w:rFonts w:ascii="Arial" w:eastAsia="Calibri" w:hAnsi="Arial" w:cs="Arial"/>
          <w:color w:val="000000"/>
          <w:sz w:val="22"/>
        </w:rPr>
        <w:t>d</w:t>
      </w:r>
      <w:r w:rsidR="00B91814" w:rsidRPr="00B91814">
        <w:rPr>
          <w:rFonts w:ascii="Arial" w:eastAsia="Calibri" w:hAnsi="Arial" w:cs="Arial"/>
          <w:color w:val="000000"/>
          <w:sz w:val="22"/>
        </w:rPr>
        <w:t>ado que el interesado otorga directamente la garantía, ni la ley ni el pliego de condiciones exigen respaldo financiero, jurídico o técnico adicional</w:t>
      </w:r>
      <w:r w:rsidR="00FF6110">
        <w:rPr>
          <w:rFonts w:ascii="Arial" w:eastAsia="Calibri" w:hAnsi="Arial" w:cs="Arial"/>
          <w:color w:val="000000"/>
          <w:sz w:val="22"/>
        </w:rPr>
        <w:t>, diferentes o superiores a los requisitos habilitantes exigidos en el procedimiento de selección, relacionados, entre otros, con la capacidad jurídica, la experiencia, la capacidad financiera y organizacional del proponente</w:t>
      </w:r>
      <w:bookmarkEnd w:id="14"/>
      <w:r w:rsidR="00FF6110">
        <w:rPr>
          <w:rFonts w:ascii="Arial" w:eastAsia="Calibri" w:hAnsi="Arial" w:cs="Arial"/>
          <w:color w:val="000000"/>
          <w:sz w:val="22"/>
        </w:rPr>
        <w:t>.</w:t>
      </w:r>
      <w:bookmarkEnd w:id="17"/>
    </w:p>
    <w:p w14:paraId="200692A0" w14:textId="43ACF3B1" w:rsidR="00F56EE8" w:rsidRDefault="007D7CBC" w:rsidP="007D7CBC">
      <w:pPr>
        <w:tabs>
          <w:tab w:val="left" w:pos="426"/>
        </w:tabs>
        <w:spacing w:before="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Pr>
          <w:rFonts w:ascii="Arial" w:eastAsia="Calibri" w:hAnsi="Arial" w:cs="Arial"/>
          <w:color w:val="000000"/>
          <w:sz w:val="22"/>
          <w:lang w:val="es-CO"/>
        </w:rPr>
        <w:tab/>
        <w:t xml:space="preserve">Conforme a lo anterior, la sola suscripción del </w:t>
      </w:r>
      <w:r>
        <w:rPr>
          <w:rFonts w:ascii="Arial" w:eastAsia="Calibri" w:hAnsi="Arial" w:cs="Arial"/>
          <w:color w:val="000000"/>
          <w:sz w:val="20"/>
          <w:szCs w:val="20"/>
          <w:lang w:val="es-CO"/>
        </w:rPr>
        <w:t>«</w:t>
      </w:r>
      <w:r>
        <w:rPr>
          <w:rFonts w:ascii="Arial" w:eastAsia="Calibri" w:hAnsi="Arial" w:cs="Arial"/>
          <w:color w:val="000000"/>
          <w:sz w:val="22"/>
          <w:lang w:val="es-CO"/>
        </w:rPr>
        <w:t xml:space="preserve">Formato 7D – Garantía </w:t>
      </w:r>
      <w:r w:rsidR="00416464">
        <w:rPr>
          <w:rFonts w:ascii="Arial" w:eastAsia="Calibri" w:hAnsi="Arial" w:cs="Arial"/>
          <w:color w:val="000000"/>
          <w:sz w:val="22"/>
          <w:lang w:val="es-CO"/>
        </w:rPr>
        <w:t>Suplementaria o Adicional</w:t>
      </w:r>
      <w:r>
        <w:rPr>
          <w:rFonts w:ascii="Arial" w:eastAsia="Calibri" w:hAnsi="Arial" w:cs="Arial"/>
          <w:color w:val="000000"/>
          <w:sz w:val="22"/>
          <w:lang w:val="es-CO"/>
        </w:rPr>
        <w:t xml:space="preserve">» compromete al contratista frente </w:t>
      </w:r>
      <w:r w:rsidR="00C15922">
        <w:rPr>
          <w:rFonts w:ascii="Arial" w:eastAsia="Calibri" w:hAnsi="Arial" w:cs="Arial"/>
          <w:color w:val="000000"/>
          <w:sz w:val="22"/>
          <w:lang w:val="es-CO"/>
        </w:rPr>
        <w:t xml:space="preserve">su </w:t>
      </w:r>
      <w:r>
        <w:rPr>
          <w:rFonts w:ascii="Arial" w:eastAsia="Calibri" w:hAnsi="Arial" w:cs="Arial"/>
          <w:color w:val="000000"/>
          <w:sz w:val="22"/>
          <w:lang w:val="es-CO"/>
        </w:rPr>
        <w:t>cumplimiento</w:t>
      </w:r>
      <w:r w:rsidR="007237FC">
        <w:rPr>
          <w:rFonts w:ascii="Arial" w:eastAsia="Calibri" w:hAnsi="Arial" w:cs="Arial"/>
          <w:color w:val="000000"/>
          <w:sz w:val="22"/>
          <w:lang w:val="es-CO"/>
        </w:rPr>
        <w:t>.</w:t>
      </w:r>
      <w:r>
        <w:rPr>
          <w:rFonts w:ascii="Arial" w:eastAsia="Calibri" w:hAnsi="Arial" w:cs="Arial"/>
          <w:color w:val="000000"/>
          <w:sz w:val="22"/>
          <w:lang w:val="es-CO"/>
        </w:rPr>
        <w:t xml:space="preserve"> </w:t>
      </w:r>
      <w:r w:rsidR="007237FC">
        <w:rPr>
          <w:rFonts w:ascii="Arial" w:eastAsia="Calibri" w:hAnsi="Arial" w:cs="Arial"/>
          <w:color w:val="000000"/>
          <w:sz w:val="22"/>
          <w:lang w:val="es-CO"/>
        </w:rPr>
        <w:t>P</w:t>
      </w:r>
      <w:r>
        <w:rPr>
          <w:rFonts w:ascii="Arial" w:eastAsia="Calibri" w:hAnsi="Arial" w:cs="Arial"/>
          <w:color w:val="000000"/>
          <w:sz w:val="22"/>
          <w:lang w:val="es-CO"/>
        </w:rPr>
        <w:t xml:space="preserve">or tanto, el interventor durante la ejecución del contrato </w:t>
      </w:r>
      <w:r w:rsidR="00C15922">
        <w:rPr>
          <w:rFonts w:ascii="Arial" w:eastAsia="Calibri" w:hAnsi="Arial" w:cs="Arial"/>
          <w:color w:val="000000"/>
          <w:sz w:val="22"/>
          <w:lang w:val="es-CO"/>
        </w:rPr>
        <w:t xml:space="preserve">debe </w:t>
      </w:r>
      <w:r>
        <w:rPr>
          <w:rFonts w:ascii="Arial" w:eastAsia="Calibri" w:hAnsi="Arial" w:cs="Arial"/>
          <w:color w:val="000000"/>
          <w:sz w:val="22"/>
          <w:lang w:val="es-CO"/>
        </w:rPr>
        <w:t>solicita</w:t>
      </w:r>
      <w:r w:rsidR="00C15922">
        <w:rPr>
          <w:rFonts w:ascii="Arial" w:eastAsia="Calibri" w:hAnsi="Arial" w:cs="Arial"/>
          <w:color w:val="000000"/>
          <w:sz w:val="22"/>
          <w:lang w:val="es-CO"/>
        </w:rPr>
        <w:t>r</w:t>
      </w:r>
      <w:r>
        <w:rPr>
          <w:rFonts w:ascii="Arial" w:eastAsia="Calibri" w:hAnsi="Arial" w:cs="Arial"/>
          <w:color w:val="000000"/>
          <w:sz w:val="22"/>
          <w:lang w:val="es-CO"/>
        </w:rPr>
        <w:t xml:space="preserve"> el documento idóneo que cumpla las condiciones por las cuáles fue objeto de </w:t>
      </w:r>
      <w:bookmarkEnd w:id="16"/>
      <w:r>
        <w:rPr>
          <w:rFonts w:ascii="Arial" w:eastAsia="Calibri" w:hAnsi="Arial" w:cs="Arial"/>
          <w:color w:val="000000"/>
          <w:sz w:val="22"/>
          <w:lang w:val="es-CO"/>
        </w:rPr>
        <w:t>puntuación el proponente</w:t>
      </w:r>
      <w:r w:rsidR="00416464">
        <w:rPr>
          <w:rFonts w:ascii="Arial" w:eastAsia="Calibri" w:hAnsi="Arial" w:cs="Arial"/>
          <w:color w:val="000000"/>
          <w:sz w:val="22"/>
          <w:lang w:val="es-CO"/>
        </w:rPr>
        <w:t xml:space="preserve">. </w:t>
      </w:r>
    </w:p>
    <w:p w14:paraId="178D09F3" w14:textId="07BD56E6" w:rsidR="005F2F28" w:rsidRDefault="00416464"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lang w:val="es-CO"/>
        </w:rPr>
        <w:tab/>
      </w:r>
      <w:r>
        <w:rPr>
          <w:rFonts w:ascii="Arial" w:eastAsia="Calibri" w:hAnsi="Arial" w:cs="Arial"/>
          <w:color w:val="000000"/>
          <w:sz w:val="22"/>
          <w:lang w:val="es-CO"/>
        </w:rPr>
        <w:tab/>
        <w:t xml:space="preserve">Para efectos de la consulta, es necesario tener en cuenta que –según </w:t>
      </w:r>
      <w:r>
        <w:rPr>
          <w:rFonts w:ascii="Arial" w:eastAsia="Calibri" w:hAnsi="Arial" w:cs="Arial"/>
          <w:color w:val="000000"/>
          <w:sz w:val="22"/>
        </w:rPr>
        <w:t xml:space="preserve">el numeral 4.2.4 del documento base– </w:t>
      </w:r>
      <w:r w:rsidR="00300778">
        <w:rPr>
          <w:rFonts w:ascii="Arial" w:eastAsia="Calibri" w:hAnsi="Arial" w:cs="Arial"/>
          <w:color w:val="000000"/>
          <w:sz w:val="22"/>
        </w:rPr>
        <w:t xml:space="preserve">«[…] </w:t>
      </w:r>
      <w:r w:rsidR="00300778" w:rsidRPr="00300778">
        <w:rPr>
          <w:rFonts w:ascii="Arial" w:eastAsia="Calibri" w:hAnsi="Arial" w:cs="Arial"/>
          <w:color w:val="000000"/>
          <w:sz w:val="22"/>
        </w:rPr>
        <w:t>la Garantía Suplementaria o Adicional se entiende posterior a la establecida para el Proceso en el Capítulo VII GARANTÍAS, y su plazo se contará una vez haya terminado el mínimo requerido para el proceso de selección</w:t>
      </w:r>
      <w:r w:rsidR="00300778">
        <w:rPr>
          <w:rFonts w:ascii="Arial" w:eastAsia="Calibri" w:hAnsi="Arial" w:cs="Arial"/>
          <w:color w:val="000000"/>
          <w:sz w:val="22"/>
        </w:rPr>
        <w:t xml:space="preserve">». Por </w:t>
      </w:r>
      <w:r w:rsidR="00300778">
        <w:rPr>
          <w:rFonts w:ascii="Arial" w:eastAsia="Calibri" w:hAnsi="Arial" w:cs="Arial"/>
          <w:color w:val="000000"/>
          <w:sz w:val="22"/>
        </w:rPr>
        <w:lastRenderedPageBreak/>
        <w:t xml:space="preserve">ello, en caso de que el contratista cumpla con el factor de calidad suscribiendo la póliza, no existe inconveniente de que una misma compañía de seguros la expida </w:t>
      </w:r>
      <w:r w:rsidR="00F56EE8">
        <w:rPr>
          <w:rFonts w:ascii="Arial" w:eastAsia="Calibri" w:hAnsi="Arial" w:cs="Arial"/>
          <w:color w:val="000000"/>
          <w:sz w:val="22"/>
        </w:rPr>
        <w:t>con una</w:t>
      </w:r>
      <w:r w:rsidR="00300778">
        <w:rPr>
          <w:rFonts w:ascii="Arial" w:eastAsia="Calibri" w:hAnsi="Arial" w:cs="Arial"/>
          <w:color w:val="000000"/>
          <w:sz w:val="22"/>
        </w:rPr>
        <w:t xml:space="preserve"> vigencia </w:t>
      </w:r>
      <w:r w:rsidR="00F56EE8">
        <w:rPr>
          <w:rFonts w:ascii="Arial" w:eastAsia="Calibri" w:hAnsi="Arial" w:cs="Arial"/>
          <w:color w:val="000000"/>
          <w:sz w:val="22"/>
        </w:rPr>
        <w:t>equivalente</w:t>
      </w:r>
      <w:r w:rsidR="00300778">
        <w:rPr>
          <w:rFonts w:ascii="Arial" w:eastAsia="Calibri" w:hAnsi="Arial" w:cs="Arial"/>
          <w:color w:val="000000"/>
          <w:sz w:val="22"/>
        </w:rPr>
        <w:t xml:space="preserve"> a la suma total del término de la garantía de estabilidad y calidad de la obra</w:t>
      </w:r>
      <w:r w:rsidR="00C15922">
        <w:rPr>
          <w:rFonts w:ascii="Arial" w:eastAsia="Calibri" w:hAnsi="Arial" w:cs="Arial"/>
          <w:color w:val="000000"/>
          <w:sz w:val="22"/>
        </w:rPr>
        <w:t>,</w:t>
      </w:r>
      <w:r w:rsidR="00300778">
        <w:rPr>
          <w:rFonts w:ascii="Arial" w:eastAsia="Calibri" w:hAnsi="Arial" w:cs="Arial"/>
          <w:color w:val="000000"/>
          <w:sz w:val="22"/>
        </w:rPr>
        <w:t xml:space="preserve"> m</w:t>
      </w:r>
      <w:r w:rsidR="00C15922">
        <w:rPr>
          <w:rFonts w:ascii="Arial" w:eastAsia="Calibri" w:hAnsi="Arial" w:cs="Arial"/>
          <w:color w:val="000000"/>
          <w:sz w:val="22"/>
        </w:rPr>
        <w:t>á</w:t>
      </w:r>
      <w:r w:rsidR="00300778">
        <w:rPr>
          <w:rFonts w:ascii="Arial" w:eastAsia="Calibri" w:hAnsi="Arial" w:cs="Arial"/>
          <w:color w:val="000000"/>
          <w:sz w:val="22"/>
        </w:rPr>
        <w:t xml:space="preserve">s </w:t>
      </w:r>
      <w:r w:rsidR="00F56EE8">
        <w:rPr>
          <w:rFonts w:ascii="Arial" w:eastAsia="Calibri" w:hAnsi="Arial" w:cs="Arial"/>
          <w:color w:val="000000"/>
          <w:sz w:val="22"/>
        </w:rPr>
        <w:t xml:space="preserve">el tiempo de la garantía suplementaria o adicional. </w:t>
      </w:r>
      <w:r w:rsidR="005F2F28">
        <w:rPr>
          <w:rFonts w:ascii="Arial" w:eastAsia="Calibri" w:hAnsi="Arial" w:cs="Arial"/>
          <w:color w:val="000000"/>
          <w:sz w:val="22"/>
        </w:rPr>
        <w:t>Aunque nada obsta para</w:t>
      </w:r>
      <w:r w:rsidR="00F56EE8">
        <w:rPr>
          <w:rFonts w:ascii="Arial" w:eastAsia="Calibri" w:hAnsi="Arial" w:cs="Arial"/>
          <w:color w:val="000000"/>
          <w:sz w:val="22"/>
        </w:rPr>
        <w:t xml:space="preserve"> que la garantía legal y la suplementaria se expidan por dos (2) aseguradoras diferentes, lo importante es que la configuración del siniestro en esta última permit</w:t>
      </w:r>
      <w:r w:rsidR="005D4D2D">
        <w:rPr>
          <w:rFonts w:ascii="Arial" w:eastAsia="Calibri" w:hAnsi="Arial" w:cs="Arial"/>
          <w:color w:val="000000"/>
          <w:sz w:val="22"/>
        </w:rPr>
        <w:t>a</w:t>
      </w:r>
      <w:r w:rsidR="00F56EE8">
        <w:rPr>
          <w:rFonts w:ascii="Arial" w:eastAsia="Calibri" w:hAnsi="Arial" w:cs="Arial"/>
          <w:color w:val="000000"/>
          <w:sz w:val="22"/>
        </w:rPr>
        <w:t xml:space="preserve"> acudir al garante de la obligación. En este evento, no </w:t>
      </w:r>
      <w:r w:rsidR="005F2F28">
        <w:rPr>
          <w:rFonts w:ascii="Arial" w:eastAsia="Calibri" w:hAnsi="Arial" w:cs="Arial"/>
          <w:color w:val="000000"/>
          <w:sz w:val="22"/>
        </w:rPr>
        <w:t xml:space="preserve">existe </w:t>
      </w:r>
      <w:r w:rsidR="00F56EE8" w:rsidRPr="00F56EE8">
        <w:rPr>
          <w:rFonts w:ascii="Arial" w:eastAsia="Calibri" w:hAnsi="Arial" w:cs="Arial"/>
          <w:color w:val="000000"/>
          <w:sz w:val="22"/>
        </w:rPr>
        <w:t>limitación de</w:t>
      </w:r>
      <w:r w:rsidR="00F56EE8">
        <w:rPr>
          <w:rFonts w:ascii="Arial" w:eastAsia="Calibri" w:hAnsi="Arial" w:cs="Arial"/>
          <w:color w:val="000000"/>
          <w:sz w:val="22"/>
        </w:rPr>
        <w:t xml:space="preserve"> la</w:t>
      </w:r>
      <w:r w:rsidR="00F56EE8" w:rsidRPr="00F56EE8">
        <w:rPr>
          <w:rFonts w:ascii="Arial" w:eastAsia="Calibri" w:hAnsi="Arial" w:cs="Arial"/>
          <w:color w:val="000000"/>
          <w:sz w:val="22"/>
        </w:rPr>
        <w:t xml:space="preserve"> responsabilidad de cara a las aseguradoras</w:t>
      </w:r>
      <w:r w:rsidR="00F56EE8">
        <w:rPr>
          <w:rFonts w:ascii="Arial" w:eastAsia="Calibri" w:hAnsi="Arial" w:cs="Arial"/>
          <w:color w:val="000000"/>
          <w:sz w:val="22"/>
        </w:rPr>
        <w:t>, ya que accedieron previamente a la expedición de la póliza conforme al principio de autonomía de la voluntad</w:t>
      </w:r>
      <w:r w:rsidR="00C15922">
        <w:rPr>
          <w:rFonts w:ascii="Arial" w:eastAsia="Calibri" w:hAnsi="Arial" w:cs="Arial"/>
          <w:color w:val="000000"/>
          <w:sz w:val="22"/>
        </w:rPr>
        <w:t>, para lo cual es determinante el momento en que ocurre el siniestro.</w:t>
      </w:r>
    </w:p>
    <w:p w14:paraId="211DE60C" w14:textId="4A758AEF" w:rsidR="00793850" w:rsidRDefault="005F2F28"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t xml:space="preserve">Por el contrario, </w:t>
      </w:r>
      <w:bookmarkStart w:id="18" w:name="_Hlk63423260"/>
      <w:r w:rsidR="0093046E" w:rsidRPr="0093046E">
        <w:rPr>
          <w:rFonts w:ascii="Arial" w:eastAsia="Calibri" w:hAnsi="Arial" w:cs="Arial"/>
          <w:color w:val="000000"/>
          <w:sz w:val="22"/>
        </w:rPr>
        <w:t xml:space="preserve">cuando el contratista </w:t>
      </w:r>
      <w:r w:rsidR="009B59F6">
        <w:rPr>
          <w:rFonts w:ascii="Arial" w:eastAsia="Calibri" w:hAnsi="Arial" w:cs="Arial"/>
          <w:color w:val="000000"/>
          <w:sz w:val="22"/>
        </w:rPr>
        <w:t xml:space="preserve">no </w:t>
      </w:r>
      <w:r w:rsidR="0093046E" w:rsidRPr="0093046E">
        <w:rPr>
          <w:rFonts w:ascii="Arial" w:eastAsia="Calibri" w:hAnsi="Arial" w:cs="Arial"/>
          <w:color w:val="000000"/>
          <w:sz w:val="22"/>
        </w:rPr>
        <w:t xml:space="preserve">acredita el cumplimiento del factor de calidad </w:t>
      </w:r>
      <w:r w:rsidR="00A71BB2">
        <w:rPr>
          <w:rFonts w:ascii="Arial" w:eastAsia="Calibri" w:hAnsi="Arial" w:cs="Arial"/>
          <w:color w:val="000000"/>
          <w:sz w:val="22"/>
        </w:rPr>
        <w:t>mediante</w:t>
      </w:r>
      <w:r w:rsidR="0093046E" w:rsidRPr="0093046E">
        <w:rPr>
          <w:rFonts w:ascii="Arial" w:eastAsia="Calibri" w:hAnsi="Arial" w:cs="Arial"/>
          <w:color w:val="000000"/>
          <w:sz w:val="22"/>
        </w:rPr>
        <w:t xml:space="preserve"> la</w:t>
      </w:r>
      <w:r w:rsidR="009B59F6">
        <w:rPr>
          <w:rFonts w:ascii="Arial" w:eastAsia="Calibri" w:hAnsi="Arial" w:cs="Arial"/>
          <w:color w:val="000000"/>
          <w:sz w:val="22"/>
        </w:rPr>
        <w:t xml:space="preserve"> entrega de la</w:t>
      </w:r>
      <w:r w:rsidR="0093046E" w:rsidRPr="0093046E">
        <w:rPr>
          <w:rFonts w:ascii="Arial" w:eastAsia="Calibri" w:hAnsi="Arial" w:cs="Arial"/>
          <w:color w:val="000000"/>
          <w:sz w:val="22"/>
        </w:rPr>
        <w:t xml:space="preserve"> garantía comercial, la entidad solo puede </w:t>
      </w:r>
      <w:r w:rsidR="00A07918">
        <w:rPr>
          <w:rFonts w:ascii="Arial" w:eastAsia="Calibri" w:hAnsi="Arial" w:cs="Arial"/>
          <w:color w:val="000000"/>
          <w:sz w:val="22"/>
        </w:rPr>
        <w:t xml:space="preserve">requerir </w:t>
      </w:r>
      <w:r w:rsidR="009B59F6">
        <w:rPr>
          <w:rFonts w:ascii="Arial" w:eastAsia="Calibri" w:hAnsi="Arial" w:cs="Arial"/>
          <w:color w:val="000000"/>
          <w:sz w:val="22"/>
        </w:rPr>
        <w:t xml:space="preserve">eventualmente </w:t>
      </w:r>
      <w:r w:rsidR="00A07918">
        <w:rPr>
          <w:rFonts w:ascii="Arial" w:eastAsia="Calibri" w:hAnsi="Arial" w:cs="Arial"/>
          <w:color w:val="000000"/>
          <w:sz w:val="22"/>
        </w:rPr>
        <w:t>a la aseguradora</w:t>
      </w:r>
      <w:r w:rsidR="0093046E" w:rsidRPr="0093046E">
        <w:rPr>
          <w:rFonts w:ascii="Arial" w:eastAsia="Calibri" w:hAnsi="Arial" w:cs="Arial"/>
          <w:color w:val="000000"/>
          <w:sz w:val="22"/>
        </w:rPr>
        <w:t xml:space="preserve"> </w:t>
      </w:r>
      <w:r w:rsidR="009B59F6">
        <w:rPr>
          <w:rFonts w:ascii="Arial" w:eastAsia="Calibri" w:hAnsi="Arial" w:cs="Arial"/>
          <w:color w:val="000000"/>
          <w:sz w:val="22"/>
        </w:rPr>
        <w:t xml:space="preserve">en relación con </w:t>
      </w:r>
      <w:r w:rsidR="0093046E" w:rsidRPr="0093046E">
        <w:rPr>
          <w:rFonts w:ascii="Arial" w:eastAsia="Calibri" w:hAnsi="Arial" w:cs="Arial"/>
          <w:color w:val="000000"/>
          <w:sz w:val="22"/>
        </w:rPr>
        <w:t>el siniestro de la garantía única de cumplimiento</w:t>
      </w:r>
      <w:r w:rsidR="00A07918">
        <w:rPr>
          <w:rFonts w:ascii="Arial" w:eastAsia="Calibri" w:hAnsi="Arial" w:cs="Arial"/>
          <w:color w:val="000000"/>
          <w:sz w:val="22"/>
        </w:rPr>
        <w:t xml:space="preserve">, </w:t>
      </w:r>
      <w:r w:rsidR="009B59F6">
        <w:rPr>
          <w:rFonts w:ascii="Arial" w:eastAsia="Calibri" w:hAnsi="Arial" w:cs="Arial"/>
          <w:color w:val="000000"/>
          <w:sz w:val="22"/>
        </w:rPr>
        <w:t>en cuanto al amparo de cumplimiento del contrato. E</w:t>
      </w:r>
      <w:r w:rsidR="00A76A88">
        <w:rPr>
          <w:rFonts w:ascii="Arial" w:eastAsia="Calibri" w:hAnsi="Arial" w:cs="Arial"/>
          <w:color w:val="000000"/>
          <w:sz w:val="22"/>
        </w:rPr>
        <w:t>sto</w:t>
      </w:r>
      <w:r w:rsidR="009B59F6">
        <w:rPr>
          <w:rFonts w:ascii="Arial" w:eastAsia="Calibri" w:hAnsi="Arial" w:cs="Arial"/>
          <w:color w:val="000000"/>
          <w:sz w:val="22"/>
        </w:rPr>
        <w:t xml:space="preserve"> sucede, por ejemplo,</w:t>
      </w:r>
      <w:r w:rsidR="00A76A88">
        <w:rPr>
          <w:rFonts w:ascii="Arial" w:eastAsia="Calibri" w:hAnsi="Arial" w:cs="Arial"/>
          <w:color w:val="000000"/>
          <w:sz w:val="22"/>
        </w:rPr>
        <w:t xml:space="preserve"> cuando el contratista, a pesar de obtener el puntaje adicional a través de la suscripción del «Formato 7D», no entrega el documento idóneo al interventor</w:t>
      </w:r>
      <w:r w:rsidR="009B59F6">
        <w:rPr>
          <w:rFonts w:ascii="Arial" w:eastAsia="Calibri" w:hAnsi="Arial" w:cs="Arial"/>
          <w:color w:val="000000"/>
          <w:sz w:val="22"/>
        </w:rPr>
        <w:t xml:space="preserve"> en los términos acordados, de acuerdo </w:t>
      </w:r>
      <w:r w:rsidR="00B66BC4">
        <w:rPr>
          <w:rFonts w:ascii="Arial" w:eastAsia="Calibri" w:hAnsi="Arial" w:cs="Arial"/>
          <w:color w:val="000000"/>
          <w:sz w:val="22"/>
        </w:rPr>
        <w:t>con</w:t>
      </w:r>
      <w:r w:rsidR="009B59F6">
        <w:rPr>
          <w:rFonts w:ascii="Arial" w:eastAsia="Calibri" w:hAnsi="Arial" w:cs="Arial"/>
          <w:color w:val="000000"/>
          <w:sz w:val="22"/>
        </w:rPr>
        <w:t xml:space="preserve"> lo indicado con anterioridad</w:t>
      </w:r>
      <w:r w:rsidR="00943A2C">
        <w:rPr>
          <w:rFonts w:ascii="Arial" w:eastAsia="Calibri" w:hAnsi="Arial" w:cs="Arial"/>
          <w:color w:val="000000"/>
          <w:sz w:val="22"/>
        </w:rPr>
        <w:t xml:space="preserve">. </w:t>
      </w:r>
      <w:r w:rsidR="009B59F6">
        <w:rPr>
          <w:rFonts w:ascii="Arial" w:eastAsia="Calibri" w:hAnsi="Arial" w:cs="Arial"/>
          <w:color w:val="000000"/>
          <w:sz w:val="22"/>
        </w:rPr>
        <w:t>En efecto</w:t>
      </w:r>
      <w:r w:rsidR="00943A2C">
        <w:rPr>
          <w:rFonts w:ascii="Arial" w:eastAsia="Calibri" w:hAnsi="Arial" w:cs="Arial"/>
          <w:color w:val="000000"/>
          <w:sz w:val="22"/>
        </w:rPr>
        <w:t>,</w:t>
      </w:r>
      <w:r w:rsidR="009B59F6">
        <w:rPr>
          <w:rFonts w:ascii="Arial" w:eastAsia="Calibri" w:hAnsi="Arial" w:cs="Arial"/>
          <w:color w:val="000000"/>
          <w:sz w:val="22"/>
        </w:rPr>
        <w:t xml:space="preserve"> en relación con este aspecto,</w:t>
      </w:r>
      <w:r w:rsidR="00943A2C">
        <w:rPr>
          <w:rFonts w:ascii="Arial" w:eastAsia="Calibri" w:hAnsi="Arial" w:cs="Arial"/>
          <w:color w:val="000000"/>
          <w:sz w:val="22"/>
        </w:rPr>
        <w:t xml:space="preserve"> la cláusula 15 del «Anexo 5 – Minuta del contrato» dispone </w:t>
      </w:r>
      <w:r w:rsidR="009B59F6">
        <w:rPr>
          <w:rFonts w:ascii="Arial" w:eastAsia="Calibri" w:hAnsi="Arial" w:cs="Arial"/>
          <w:color w:val="000000"/>
          <w:sz w:val="22"/>
        </w:rPr>
        <w:t>como una de las causales de multa que las entidades pueden incluir en sus contratos:</w:t>
      </w:r>
      <w:r w:rsidR="00943A2C">
        <w:rPr>
          <w:rFonts w:ascii="Arial" w:eastAsia="Calibri" w:hAnsi="Arial" w:cs="Arial"/>
          <w:color w:val="000000"/>
          <w:sz w:val="22"/>
        </w:rPr>
        <w:t xml:space="preserve"> «</w:t>
      </w:r>
      <w:r w:rsidR="00943A2C" w:rsidRPr="00943A2C">
        <w:rPr>
          <w:rFonts w:ascii="Arial" w:eastAsia="Calibri" w:hAnsi="Arial" w:cs="Arial"/>
          <w:color w:val="000000"/>
          <w:sz w:val="22"/>
        </w:rPr>
        <w:t xml:space="preserve">Por incumplir el ofrecimiento otorgado en cuanto al factor calidad, al Contratista se le impondrá una multa equivalente al </w:t>
      </w:r>
      <w:r w:rsidR="00943A2C" w:rsidRPr="00C76D1F">
        <w:rPr>
          <w:rFonts w:ascii="Arial" w:eastAsia="Calibri" w:hAnsi="Arial" w:cs="Arial"/>
          <w:color w:val="000000"/>
          <w:sz w:val="22"/>
          <w:highlight w:val="lightGray"/>
        </w:rPr>
        <w:t>[0,5%]</w:t>
      </w:r>
      <w:r w:rsidR="00943A2C" w:rsidRPr="00943A2C">
        <w:rPr>
          <w:rFonts w:ascii="Arial" w:eastAsia="Calibri" w:hAnsi="Arial" w:cs="Arial"/>
          <w:color w:val="000000"/>
          <w:sz w:val="22"/>
        </w:rPr>
        <w:t xml:space="preserve"> del valor del contrato, </w:t>
      </w:r>
      <w:r w:rsidR="00943A2C" w:rsidRPr="00C76D1F">
        <w:rPr>
          <w:rFonts w:ascii="Arial" w:eastAsia="Calibri" w:hAnsi="Arial" w:cs="Arial"/>
          <w:color w:val="000000"/>
          <w:sz w:val="22"/>
          <w:highlight w:val="lightGray"/>
        </w:rPr>
        <w:t>[por cada día calendario de atraso en el cumplimiento de dicha obligación]</w:t>
      </w:r>
      <w:r w:rsidR="00943A2C">
        <w:rPr>
          <w:rFonts w:ascii="Arial" w:eastAsia="Calibri" w:hAnsi="Arial" w:cs="Arial"/>
          <w:color w:val="000000"/>
          <w:sz w:val="22"/>
        </w:rPr>
        <w:t xml:space="preserve">». </w:t>
      </w:r>
    </w:p>
    <w:p w14:paraId="45456678" w14:textId="66587D28" w:rsidR="00A76A88" w:rsidRDefault="00793850"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sidR="00943A2C">
        <w:rPr>
          <w:rFonts w:ascii="Arial" w:eastAsia="Calibri" w:hAnsi="Arial" w:cs="Arial"/>
          <w:color w:val="000000"/>
          <w:sz w:val="22"/>
        </w:rPr>
        <w:t>Esta causal de multa</w:t>
      </w:r>
      <w:r>
        <w:rPr>
          <w:rFonts w:ascii="Arial" w:eastAsia="Calibri" w:hAnsi="Arial" w:cs="Arial"/>
          <w:color w:val="000000"/>
          <w:sz w:val="22"/>
        </w:rPr>
        <w:t xml:space="preserve"> también aplica</w:t>
      </w:r>
      <w:r w:rsidR="00943A2C">
        <w:rPr>
          <w:rFonts w:ascii="Arial" w:eastAsia="Calibri" w:hAnsi="Arial" w:cs="Arial"/>
          <w:color w:val="000000"/>
          <w:sz w:val="22"/>
        </w:rPr>
        <w:t xml:space="preserve"> </w:t>
      </w:r>
      <w:r w:rsidR="009B59F6">
        <w:rPr>
          <w:rFonts w:ascii="Arial" w:eastAsia="Calibri" w:hAnsi="Arial" w:cs="Arial"/>
          <w:color w:val="000000"/>
          <w:sz w:val="22"/>
        </w:rPr>
        <w:t>frente a otros de l</w:t>
      </w:r>
      <w:r w:rsidR="00B66BC4">
        <w:rPr>
          <w:rFonts w:ascii="Arial" w:eastAsia="Calibri" w:hAnsi="Arial" w:cs="Arial"/>
          <w:color w:val="000000"/>
          <w:sz w:val="22"/>
        </w:rPr>
        <w:t>o</w:t>
      </w:r>
      <w:r w:rsidR="009B59F6">
        <w:rPr>
          <w:rFonts w:ascii="Arial" w:eastAsia="Calibri" w:hAnsi="Arial" w:cs="Arial"/>
          <w:color w:val="000000"/>
          <w:sz w:val="22"/>
        </w:rPr>
        <w:t>s factores de calidad, por ejemplo, en relación con e</w:t>
      </w:r>
      <w:r w:rsidR="00943A2C">
        <w:rPr>
          <w:rFonts w:ascii="Arial" w:eastAsia="Calibri" w:hAnsi="Arial" w:cs="Arial"/>
          <w:color w:val="000000"/>
          <w:sz w:val="22"/>
        </w:rPr>
        <w:t xml:space="preserve">l incumplimiento en </w:t>
      </w:r>
      <w:r w:rsidR="00943A2C">
        <w:rPr>
          <w:rFonts w:ascii="Arial" w:eastAsia="Calibri" w:hAnsi="Arial" w:cs="Arial"/>
          <w:color w:val="000000" w:themeColor="text1"/>
          <w:sz w:val="22"/>
        </w:rPr>
        <w:t xml:space="preserve">la </w:t>
      </w:r>
      <w:r w:rsidR="00943A2C" w:rsidRPr="004D0851">
        <w:rPr>
          <w:rFonts w:ascii="Arial" w:eastAsia="Calibri" w:hAnsi="Arial" w:cs="Arial"/>
          <w:color w:val="000000" w:themeColor="text1"/>
          <w:sz w:val="22"/>
        </w:rPr>
        <w:t>implementación del programa de gerencia de proyectos</w:t>
      </w:r>
      <w:r w:rsidR="00943A2C">
        <w:rPr>
          <w:rFonts w:ascii="Arial" w:eastAsia="Calibri" w:hAnsi="Arial" w:cs="Arial"/>
          <w:color w:val="000000" w:themeColor="text1"/>
          <w:sz w:val="22"/>
        </w:rPr>
        <w:t xml:space="preserve">, la </w:t>
      </w:r>
      <w:r w:rsidR="00943A2C" w:rsidRPr="004D0851">
        <w:rPr>
          <w:rFonts w:ascii="Arial" w:eastAsia="Calibri" w:hAnsi="Arial" w:cs="Arial"/>
          <w:color w:val="000000" w:themeColor="text1"/>
          <w:sz w:val="22"/>
        </w:rPr>
        <w:t>disponibilidad y condiciones funcionales de la maquinaria de obra</w:t>
      </w:r>
      <w:r w:rsidR="00943A2C">
        <w:rPr>
          <w:rFonts w:ascii="Arial" w:eastAsia="Calibri" w:hAnsi="Arial" w:cs="Arial"/>
          <w:color w:val="000000" w:themeColor="text1"/>
          <w:sz w:val="22"/>
        </w:rPr>
        <w:t xml:space="preserve"> y la </w:t>
      </w:r>
      <w:r w:rsidR="00943A2C" w:rsidRPr="004D0851">
        <w:rPr>
          <w:rFonts w:ascii="Arial" w:eastAsia="Calibri" w:hAnsi="Arial" w:cs="Arial"/>
          <w:color w:val="000000" w:themeColor="text1"/>
          <w:sz w:val="22"/>
        </w:rPr>
        <w:t>presentación de</w:t>
      </w:r>
      <w:r>
        <w:rPr>
          <w:rFonts w:ascii="Arial" w:eastAsia="Calibri" w:hAnsi="Arial" w:cs="Arial"/>
          <w:color w:val="000000" w:themeColor="text1"/>
          <w:sz w:val="22"/>
        </w:rPr>
        <w:t>l</w:t>
      </w:r>
      <w:r w:rsidR="00943A2C" w:rsidRPr="004D0851">
        <w:rPr>
          <w:rFonts w:ascii="Arial" w:eastAsia="Calibri" w:hAnsi="Arial" w:cs="Arial"/>
          <w:color w:val="000000" w:themeColor="text1"/>
          <w:sz w:val="22"/>
        </w:rPr>
        <w:t xml:space="preserve"> plan de calidad</w:t>
      </w:r>
      <w:r w:rsidR="00943A2C" w:rsidRPr="00943A2C">
        <w:rPr>
          <w:rFonts w:ascii="Arial" w:eastAsia="Calibri" w:hAnsi="Arial" w:cs="Arial"/>
          <w:color w:val="000000"/>
          <w:sz w:val="22"/>
        </w:rPr>
        <w:t>.</w:t>
      </w:r>
      <w:r>
        <w:rPr>
          <w:rFonts w:ascii="Arial" w:eastAsia="Calibri" w:hAnsi="Arial" w:cs="Arial"/>
          <w:color w:val="000000"/>
          <w:sz w:val="22"/>
        </w:rPr>
        <w:t xml:space="preserve"> Esto en la medida que la acreditación del factor de calidad y su puesta </w:t>
      </w:r>
      <w:r w:rsidR="00B66BC4">
        <w:rPr>
          <w:rFonts w:ascii="Arial" w:eastAsia="Calibri" w:hAnsi="Arial" w:cs="Arial"/>
          <w:color w:val="000000"/>
          <w:sz w:val="22"/>
        </w:rPr>
        <w:t xml:space="preserve">en </w:t>
      </w:r>
      <w:r>
        <w:rPr>
          <w:rFonts w:ascii="Arial" w:eastAsia="Calibri" w:hAnsi="Arial" w:cs="Arial"/>
          <w:color w:val="000000"/>
          <w:sz w:val="22"/>
        </w:rPr>
        <w:t xml:space="preserve">marcha se realizan en la etapa de ejecución, </w:t>
      </w:r>
      <w:r w:rsidR="00B66BC4">
        <w:rPr>
          <w:rFonts w:ascii="Arial" w:eastAsia="Calibri" w:hAnsi="Arial" w:cs="Arial"/>
          <w:color w:val="000000"/>
          <w:sz w:val="22"/>
        </w:rPr>
        <w:t xml:space="preserve">al ser obligaciones contractuales, </w:t>
      </w:r>
      <w:r>
        <w:rPr>
          <w:rFonts w:ascii="Arial" w:eastAsia="Calibri" w:hAnsi="Arial" w:cs="Arial"/>
          <w:color w:val="000000"/>
          <w:sz w:val="22"/>
        </w:rPr>
        <w:t>lo que –al igual que</w:t>
      </w:r>
      <w:r w:rsidR="0073023C">
        <w:rPr>
          <w:rFonts w:ascii="Arial" w:eastAsia="Calibri" w:hAnsi="Arial" w:cs="Arial"/>
          <w:color w:val="000000"/>
          <w:sz w:val="22"/>
        </w:rPr>
        <w:t xml:space="preserve"> el</w:t>
      </w:r>
      <w:r>
        <w:rPr>
          <w:rFonts w:ascii="Arial" w:eastAsia="Calibri" w:hAnsi="Arial" w:cs="Arial"/>
          <w:color w:val="000000"/>
          <w:sz w:val="22"/>
        </w:rPr>
        <w:t xml:space="preserve"> supuesto planteado </w:t>
      </w:r>
      <w:r w:rsidR="005138FD">
        <w:rPr>
          <w:rFonts w:ascii="Arial" w:eastAsia="Calibri" w:hAnsi="Arial" w:cs="Arial"/>
          <w:color w:val="000000"/>
          <w:sz w:val="22"/>
        </w:rPr>
        <w:t>anteriormente</w:t>
      </w:r>
      <w:r>
        <w:rPr>
          <w:rFonts w:ascii="Arial" w:eastAsia="Calibri" w:hAnsi="Arial" w:cs="Arial"/>
          <w:color w:val="000000"/>
          <w:sz w:val="22"/>
        </w:rPr>
        <w:t xml:space="preserve">– permite </w:t>
      </w:r>
      <w:r w:rsidR="005138FD">
        <w:rPr>
          <w:rFonts w:ascii="Arial" w:eastAsia="Calibri" w:hAnsi="Arial" w:cs="Arial"/>
          <w:color w:val="000000"/>
          <w:sz w:val="22"/>
        </w:rPr>
        <w:t>la efectividad</w:t>
      </w:r>
      <w:r>
        <w:rPr>
          <w:rFonts w:ascii="Arial" w:eastAsia="Calibri" w:hAnsi="Arial" w:cs="Arial"/>
          <w:color w:val="000000"/>
          <w:sz w:val="22"/>
        </w:rPr>
        <w:t xml:space="preserve"> </w:t>
      </w:r>
      <w:r w:rsidR="005138FD">
        <w:rPr>
          <w:rFonts w:ascii="Arial" w:eastAsia="Calibri" w:hAnsi="Arial" w:cs="Arial"/>
          <w:color w:val="000000"/>
          <w:sz w:val="22"/>
        </w:rPr>
        <w:t>d</w:t>
      </w:r>
      <w:r>
        <w:rPr>
          <w:rFonts w:ascii="Arial" w:eastAsia="Calibri" w:hAnsi="Arial" w:cs="Arial"/>
          <w:color w:val="000000"/>
          <w:sz w:val="22"/>
        </w:rPr>
        <w:t>el amparo de cumplimiento para el pago de las sanciones pecuniarias</w:t>
      </w:r>
      <w:r w:rsidR="005138FD">
        <w:rPr>
          <w:rFonts w:ascii="Arial" w:eastAsia="Calibri" w:hAnsi="Arial" w:cs="Arial"/>
          <w:color w:val="000000"/>
          <w:sz w:val="22"/>
        </w:rPr>
        <w:t>, conforme al a</w:t>
      </w:r>
      <w:r w:rsidR="005138FD" w:rsidRPr="00793850">
        <w:rPr>
          <w:rFonts w:ascii="Arial" w:eastAsia="Calibri" w:hAnsi="Arial" w:cs="Arial"/>
          <w:color w:val="000000"/>
          <w:sz w:val="22"/>
        </w:rPr>
        <w:t>rtículo 2.2.1.2.3.1.7</w:t>
      </w:r>
      <w:r w:rsidR="005138FD">
        <w:rPr>
          <w:rFonts w:ascii="Arial" w:eastAsia="Calibri" w:hAnsi="Arial" w:cs="Arial"/>
          <w:color w:val="000000"/>
          <w:sz w:val="22"/>
        </w:rPr>
        <w:t>, numeral 3.4, del Decreto 1082 de 2015</w:t>
      </w:r>
      <w:r>
        <w:rPr>
          <w:rFonts w:ascii="Arial" w:eastAsia="Calibri" w:hAnsi="Arial" w:cs="Arial"/>
          <w:color w:val="000000"/>
          <w:sz w:val="22"/>
        </w:rPr>
        <w:t xml:space="preserve">.   </w:t>
      </w:r>
      <w:r w:rsidR="00943A2C">
        <w:rPr>
          <w:rFonts w:ascii="Arial" w:eastAsia="Calibri" w:hAnsi="Arial" w:cs="Arial"/>
          <w:color w:val="000000"/>
          <w:sz w:val="22"/>
        </w:rPr>
        <w:t xml:space="preserve"> </w:t>
      </w:r>
      <w:r w:rsidR="00A76A88">
        <w:rPr>
          <w:rFonts w:ascii="Arial" w:eastAsia="Calibri" w:hAnsi="Arial" w:cs="Arial"/>
          <w:color w:val="000000"/>
          <w:sz w:val="22"/>
        </w:rPr>
        <w:t xml:space="preserve"> </w:t>
      </w:r>
    </w:p>
    <w:p w14:paraId="1B9C6E69" w14:textId="2FFA68DB" w:rsidR="0093046E" w:rsidRDefault="00793850"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t xml:space="preserve">No obstante, si el contratista </w:t>
      </w:r>
      <w:r w:rsidR="005138FD">
        <w:rPr>
          <w:rFonts w:ascii="Arial" w:eastAsia="Calibri" w:hAnsi="Arial" w:cs="Arial"/>
          <w:color w:val="000000"/>
          <w:sz w:val="22"/>
        </w:rPr>
        <w:t>entrega oportunamente la garantía comercial,</w:t>
      </w:r>
      <w:r>
        <w:rPr>
          <w:rFonts w:ascii="Arial" w:eastAsia="Calibri" w:hAnsi="Arial" w:cs="Arial"/>
          <w:color w:val="000000"/>
          <w:sz w:val="22"/>
        </w:rPr>
        <w:t xml:space="preserve"> e</w:t>
      </w:r>
      <w:r w:rsidR="00A07918">
        <w:rPr>
          <w:rFonts w:ascii="Arial" w:eastAsia="Calibri" w:hAnsi="Arial" w:cs="Arial"/>
          <w:color w:val="000000"/>
          <w:sz w:val="22"/>
        </w:rPr>
        <w:t>n la medida</w:t>
      </w:r>
      <w:r w:rsidR="0093046E" w:rsidRPr="0093046E">
        <w:rPr>
          <w:rFonts w:ascii="Arial" w:eastAsia="Calibri" w:hAnsi="Arial" w:cs="Arial"/>
          <w:color w:val="000000"/>
          <w:sz w:val="22"/>
        </w:rPr>
        <w:t xml:space="preserve"> que </w:t>
      </w:r>
      <w:r w:rsidR="00782707">
        <w:rPr>
          <w:rFonts w:ascii="Arial" w:eastAsia="Calibri" w:hAnsi="Arial" w:cs="Arial"/>
          <w:color w:val="000000"/>
          <w:sz w:val="22"/>
        </w:rPr>
        <w:t>«Toda obligación, sea cual sea, no vincula más que al acreedor y al deudor designados por el contrato o la ley; no alcanza a terceros»</w:t>
      </w:r>
      <w:r w:rsidR="00782707">
        <w:rPr>
          <w:rStyle w:val="Refdenotaalpie"/>
          <w:rFonts w:ascii="Arial" w:eastAsia="Calibri" w:hAnsi="Arial" w:cs="Arial"/>
          <w:color w:val="000000"/>
          <w:sz w:val="22"/>
        </w:rPr>
        <w:footnoteReference w:id="7"/>
      </w:r>
      <w:r w:rsidR="0093046E" w:rsidRPr="0093046E">
        <w:rPr>
          <w:rFonts w:ascii="Arial" w:eastAsia="Calibri" w:hAnsi="Arial" w:cs="Arial"/>
          <w:color w:val="000000"/>
          <w:sz w:val="22"/>
        </w:rPr>
        <w:t xml:space="preserve">, la entidad contratante solo puede reclamar la cobertura de la «Garantía Suplementaria o Adicional» </w:t>
      </w:r>
      <w:r w:rsidR="005138FD">
        <w:rPr>
          <w:rFonts w:ascii="Arial" w:eastAsia="Calibri" w:hAnsi="Arial" w:cs="Arial"/>
          <w:color w:val="000000"/>
          <w:sz w:val="22"/>
        </w:rPr>
        <w:t>a quien la ofreció directamente</w:t>
      </w:r>
      <w:r w:rsidR="00782707">
        <w:rPr>
          <w:rFonts w:ascii="Arial" w:eastAsia="Calibri" w:hAnsi="Arial" w:cs="Arial"/>
          <w:color w:val="000000"/>
          <w:sz w:val="22"/>
        </w:rPr>
        <w:t xml:space="preserve">. </w:t>
      </w:r>
      <w:r w:rsidR="007F0547">
        <w:rPr>
          <w:rFonts w:ascii="Arial" w:eastAsia="Calibri" w:hAnsi="Arial" w:cs="Arial"/>
          <w:color w:val="000000"/>
          <w:sz w:val="22"/>
        </w:rPr>
        <w:t>D</w:t>
      </w:r>
      <w:r w:rsidR="0093046E" w:rsidRPr="0093046E">
        <w:rPr>
          <w:rFonts w:ascii="Arial" w:eastAsia="Calibri" w:hAnsi="Arial" w:cs="Arial"/>
          <w:color w:val="000000"/>
          <w:sz w:val="22"/>
        </w:rPr>
        <w:t xml:space="preserve">ado que carece de respaldo por parte de </w:t>
      </w:r>
      <w:r w:rsidR="00782707">
        <w:rPr>
          <w:rFonts w:ascii="Arial" w:eastAsia="Calibri" w:hAnsi="Arial" w:cs="Arial"/>
          <w:color w:val="000000"/>
          <w:sz w:val="22"/>
        </w:rPr>
        <w:t>una póliza</w:t>
      </w:r>
      <w:r w:rsidR="0093046E" w:rsidRPr="0093046E">
        <w:rPr>
          <w:rFonts w:ascii="Arial" w:eastAsia="Calibri" w:hAnsi="Arial" w:cs="Arial"/>
          <w:color w:val="000000"/>
          <w:sz w:val="22"/>
        </w:rPr>
        <w:t xml:space="preserve">, no es posible obligar </w:t>
      </w:r>
      <w:r w:rsidR="00A71BB2">
        <w:rPr>
          <w:rFonts w:ascii="Arial" w:eastAsia="Calibri" w:hAnsi="Arial" w:cs="Arial"/>
          <w:color w:val="000000"/>
          <w:sz w:val="22"/>
        </w:rPr>
        <w:lastRenderedPageBreak/>
        <w:t xml:space="preserve">a </w:t>
      </w:r>
      <w:r w:rsidR="0093046E" w:rsidRPr="0093046E">
        <w:rPr>
          <w:rFonts w:ascii="Arial" w:eastAsia="Calibri" w:hAnsi="Arial" w:cs="Arial"/>
          <w:color w:val="000000"/>
          <w:sz w:val="22"/>
        </w:rPr>
        <w:t>las aseguradoras a que respondan por la misma, especialmente, cuando no han prestado consentimiento para esta finalidad</w:t>
      </w:r>
      <w:r w:rsidR="007F0547">
        <w:rPr>
          <w:rFonts w:ascii="Arial" w:eastAsia="Calibri" w:hAnsi="Arial" w:cs="Arial"/>
          <w:color w:val="000000"/>
          <w:sz w:val="22"/>
        </w:rPr>
        <w:t>: las convenciones hechas entre otros, no pueden perjudicar ni aprovechar a los demás</w:t>
      </w:r>
      <w:r w:rsidR="007C7DC0">
        <w:rPr>
          <w:rFonts w:ascii="Arial" w:eastAsia="Calibri" w:hAnsi="Arial" w:cs="Arial"/>
          <w:color w:val="000000"/>
          <w:sz w:val="22"/>
        </w:rPr>
        <w:t>.</w:t>
      </w:r>
      <w:r w:rsidR="005138FD">
        <w:rPr>
          <w:rFonts w:ascii="Arial" w:eastAsia="Calibri" w:hAnsi="Arial" w:cs="Arial"/>
          <w:color w:val="000000"/>
          <w:sz w:val="22"/>
        </w:rPr>
        <w:t xml:space="preserve"> Incluso, a diferencia de las hipótesis de los dos (2) párrafos precedentes, tampoco es posible afectar el amparo de cumplimiento, ya que la vigencia de este factor de calidad es posterior al vencimiento del amparo de estabilidad de la obra. </w:t>
      </w:r>
    </w:p>
    <w:bookmarkEnd w:id="18"/>
    <w:p w14:paraId="3801503F" w14:textId="3F4A7544" w:rsidR="009A523A" w:rsidRDefault="0093046E"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t>Finalmente,</w:t>
      </w:r>
      <w:r w:rsidR="000637BE">
        <w:rPr>
          <w:rFonts w:ascii="Arial" w:eastAsia="Calibri" w:hAnsi="Arial" w:cs="Arial"/>
          <w:color w:val="000000"/>
          <w:sz w:val="22"/>
        </w:rPr>
        <w:t xml:space="preserve"> </w:t>
      </w:r>
      <w:bookmarkStart w:id="20" w:name="_Hlk63668186"/>
      <w:bookmarkStart w:id="21" w:name="_Hlk63671674"/>
      <w:r w:rsidR="000637BE">
        <w:rPr>
          <w:rFonts w:ascii="Arial" w:eastAsia="Calibri" w:hAnsi="Arial" w:cs="Arial"/>
          <w:color w:val="000000"/>
          <w:sz w:val="22"/>
        </w:rPr>
        <w:t xml:space="preserve">si durante la vigencia de la garantía suplementaria el contratista entra en un proceso de </w:t>
      </w:r>
      <w:r w:rsidR="00912D0F">
        <w:rPr>
          <w:rFonts w:ascii="Arial" w:eastAsia="Calibri" w:hAnsi="Arial" w:cs="Arial"/>
          <w:color w:val="000000"/>
          <w:sz w:val="22"/>
        </w:rPr>
        <w:t>reorganización empresarial, el hecho de que el factor de calidad se cumpla con una garantía comercial no elimina la efectividad del ofrecimiento. En efecto, a diferencia del proceso de liquidación obligatoria, el proceso de reorganización no busca repartir el patrimonio del deudor frente a los acreedores, sino la continuidad de la empresa como unidad de explotación económica</w:t>
      </w:r>
      <w:bookmarkEnd w:id="20"/>
      <w:r w:rsidR="00912D0F">
        <w:rPr>
          <w:rFonts w:ascii="Arial" w:eastAsia="Calibri" w:hAnsi="Arial" w:cs="Arial"/>
          <w:color w:val="000000"/>
          <w:sz w:val="22"/>
        </w:rPr>
        <w:t xml:space="preserve">. </w:t>
      </w:r>
      <w:r w:rsidR="00D92B39">
        <w:rPr>
          <w:rFonts w:ascii="Arial" w:eastAsia="Calibri" w:hAnsi="Arial" w:cs="Arial"/>
          <w:color w:val="000000"/>
          <w:sz w:val="22"/>
        </w:rPr>
        <w:t>Por ello</w:t>
      </w:r>
      <w:r w:rsidR="00912D0F">
        <w:rPr>
          <w:rFonts w:ascii="Arial" w:eastAsia="Calibri" w:hAnsi="Arial" w:cs="Arial"/>
          <w:color w:val="000000"/>
          <w:sz w:val="22"/>
        </w:rPr>
        <w:t>, el artículo 1</w:t>
      </w:r>
      <w:r w:rsidR="009A523A">
        <w:rPr>
          <w:rFonts w:ascii="Arial" w:eastAsia="Calibri" w:hAnsi="Arial" w:cs="Arial"/>
          <w:color w:val="000000"/>
          <w:sz w:val="22"/>
        </w:rPr>
        <w:t>, inciso segundo,</w:t>
      </w:r>
      <w:r w:rsidR="00912D0F">
        <w:rPr>
          <w:rFonts w:ascii="Arial" w:eastAsia="Calibri" w:hAnsi="Arial" w:cs="Arial"/>
          <w:color w:val="000000"/>
          <w:sz w:val="22"/>
        </w:rPr>
        <w:t xml:space="preserve"> de la Ley 1116 de 2006</w:t>
      </w:r>
      <w:r w:rsidR="009A523A">
        <w:rPr>
          <w:rFonts w:ascii="Arial" w:eastAsia="Calibri" w:hAnsi="Arial" w:cs="Arial"/>
          <w:color w:val="000000"/>
          <w:sz w:val="22"/>
        </w:rPr>
        <w:t xml:space="preserve"> dispone que «</w:t>
      </w:r>
      <w:r w:rsidR="009A523A" w:rsidRPr="009A523A">
        <w:rPr>
          <w:rFonts w:ascii="Arial" w:eastAsia="Calibri" w:hAnsi="Arial" w:cs="Arial"/>
          <w:color w:val="000000"/>
          <w:sz w:val="22"/>
        </w:rPr>
        <w:t>El proceso de reorganización pretende a través de un acuerdo, preservar empresas viables y normalizar sus relaciones comerciales y crediticias, mediante su reestructuración operacional, administrativa, de activos o pasivos</w:t>
      </w:r>
      <w:r w:rsidR="009A523A">
        <w:rPr>
          <w:rFonts w:ascii="Arial" w:eastAsia="Calibri" w:hAnsi="Arial" w:cs="Arial"/>
          <w:color w:val="000000"/>
          <w:sz w:val="22"/>
        </w:rPr>
        <w:t>»</w:t>
      </w:r>
      <w:r w:rsidR="009A523A" w:rsidRPr="009A523A">
        <w:rPr>
          <w:rFonts w:ascii="Arial" w:eastAsia="Calibri" w:hAnsi="Arial" w:cs="Arial"/>
          <w:color w:val="000000"/>
          <w:sz w:val="22"/>
        </w:rPr>
        <w:t>.</w:t>
      </w:r>
    </w:p>
    <w:p w14:paraId="0C26BD8C" w14:textId="4FE7C6CB" w:rsidR="00AE1386" w:rsidRDefault="009A523A"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t>Tratándose de la etapa de ejecución,</w:t>
      </w:r>
      <w:r w:rsidR="00A72618">
        <w:rPr>
          <w:rFonts w:ascii="Arial" w:eastAsia="Calibri" w:hAnsi="Arial" w:cs="Arial"/>
          <w:color w:val="000000"/>
          <w:sz w:val="22"/>
        </w:rPr>
        <w:t xml:space="preserve"> </w:t>
      </w:r>
      <w:r>
        <w:rPr>
          <w:rFonts w:ascii="Arial" w:eastAsia="Calibri" w:hAnsi="Arial" w:cs="Arial"/>
          <w:color w:val="000000"/>
          <w:sz w:val="22"/>
        </w:rPr>
        <w:t xml:space="preserve">el inicio del proceso de reorganización no implica </w:t>
      </w:r>
      <w:r w:rsidRPr="009A523A">
        <w:rPr>
          <w:rFonts w:ascii="Arial" w:eastAsia="Calibri" w:hAnsi="Arial" w:cs="Arial"/>
          <w:i/>
          <w:iCs/>
          <w:color w:val="000000"/>
          <w:sz w:val="22"/>
        </w:rPr>
        <w:t>per se</w:t>
      </w:r>
      <w:r>
        <w:rPr>
          <w:rFonts w:ascii="Arial" w:eastAsia="Calibri" w:hAnsi="Arial" w:cs="Arial"/>
          <w:color w:val="000000"/>
          <w:sz w:val="22"/>
        </w:rPr>
        <w:t xml:space="preserve"> un incumplimiento grave de las obligaciones que permita declarar </w:t>
      </w:r>
      <w:r w:rsidR="00A30C36">
        <w:rPr>
          <w:rFonts w:ascii="Arial" w:eastAsia="Calibri" w:hAnsi="Arial" w:cs="Arial"/>
          <w:color w:val="000000"/>
          <w:sz w:val="22"/>
        </w:rPr>
        <w:t>la caducidad</w:t>
      </w:r>
      <w:r>
        <w:rPr>
          <w:rFonts w:ascii="Arial" w:eastAsia="Calibri" w:hAnsi="Arial" w:cs="Arial"/>
          <w:color w:val="000000"/>
          <w:sz w:val="22"/>
        </w:rPr>
        <w:t xml:space="preserve">, pues esta situación no paraliza el desarrollo del objeto social del contratista. De hecho, es posible que las ejecute oportunamente pese </w:t>
      </w:r>
      <w:r w:rsidR="000D3EF7">
        <w:rPr>
          <w:rFonts w:ascii="Arial" w:eastAsia="Calibri" w:hAnsi="Arial" w:cs="Arial"/>
          <w:color w:val="000000"/>
          <w:sz w:val="22"/>
        </w:rPr>
        <w:t>al</w:t>
      </w:r>
      <w:r>
        <w:rPr>
          <w:rFonts w:ascii="Arial" w:eastAsia="Calibri" w:hAnsi="Arial" w:cs="Arial"/>
          <w:color w:val="000000"/>
          <w:sz w:val="22"/>
        </w:rPr>
        <w:t xml:space="preserve"> trámite</w:t>
      </w:r>
      <w:r w:rsidR="00A30C36">
        <w:rPr>
          <w:rFonts w:ascii="Arial" w:eastAsia="Calibri" w:hAnsi="Arial" w:cs="Arial"/>
          <w:color w:val="000000"/>
          <w:sz w:val="22"/>
        </w:rPr>
        <w:t>, razón por la que tampoco hay lugar a la terminación unilateral</w:t>
      </w:r>
      <w:r w:rsidR="00A30C36">
        <w:rPr>
          <w:rStyle w:val="Refdenotaalpie"/>
          <w:rFonts w:ascii="Arial" w:eastAsia="Calibri" w:hAnsi="Arial" w:cs="Arial"/>
          <w:color w:val="000000"/>
          <w:sz w:val="22"/>
        </w:rPr>
        <w:footnoteReference w:id="8"/>
      </w:r>
      <w:r w:rsidR="00A30C36">
        <w:rPr>
          <w:rFonts w:ascii="Arial" w:eastAsia="Calibri" w:hAnsi="Arial" w:cs="Arial"/>
          <w:color w:val="000000"/>
          <w:sz w:val="22"/>
        </w:rPr>
        <w:t xml:space="preserve">. </w:t>
      </w:r>
      <w:r w:rsidR="00DA32A1">
        <w:rPr>
          <w:rFonts w:ascii="Arial" w:eastAsia="Calibri" w:hAnsi="Arial" w:cs="Arial"/>
          <w:color w:val="000000"/>
          <w:sz w:val="22"/>
        </w:rPr>
        <w:t>De ahí que</w:t>
      </w:r>
      <w:r w:rsidR="00B30501">
        <w:rPr>
          <w:rFonts w:ascii="Arial" w:eastAsia="Calibri" w:hAnsi="Arial" w:cs="Arial"/>
          <w:color w:val="000000"/>
          <w:sz w:val="22"/>
        </w:rPr>
        <w:t xml:space="preserve"> la doctrina consider</w:t>
      </w:r>
      <w:r w:rsidR="00DA32A1">
        <w:rPr>
          <w:rFonts w:ascii="Arial" w:eastAsia="Calibri" w:hAnsi="Arial" w:cs="Arial"/>
          <w:color w:val="000000"/>
          <w:sz w:val="22"/>
        </w:rPr>
        <w:t>e</w:t>
      </w:r>
      <w:r w:rsidR="00B30501">
        <w:rPr>
          <w:rFonts w:ascii="Arial" w:eastAsia="Calibri" w:hAnsi="Arial" w:cs="Arial"/>
          <w:color w:val="000000"/>
          <w:sz w:val="22"/>
        </w:rPr>
        <w:t xml:space="preserve"> que</w:t>
      </w:r>
      <w:r w:rsidR="00C260BF">
        <w:rPr>
          <w:rFonts w:ascii="Arial" w:eastAsia="Calibri" w:hAnsi="Arial" w:cs="Arial"/>
          <w:color w:val="000000"/>
          <w:sz w:val="22"/>
        </w:rPr>
        <w:t xml:space="preserve"> «</w:t>
      </w:r>
      <w:r w:rsidR="00B30501">
        <w:rPr>
          <w:rFonts w:ascii="Arial" w:eastAsia="Calibri" w:hAnsi="Arial" w:cs="Arial"/>
          <w:color w:val="000000"/>
          <w:sz w:val="22"/>
        </w:rPr>
        <w:t>[…]</w:t>
      </w:r>
      <w:r w:rsidR="00C260BF">
        <w:rPr>
          <w:rFonts w:ascii="Arial" w:eastAsia="Calibri" w:hAnsi="Arial" w:cs="Arial"/>
          <w:color w:val="000000"/>
          <w:sz w:val="22"/>
        </w:rPr>
        <w:t xml:space="preserve"> el concordato [también conocido como «acuerdo de recuperación de los negocios del deudor»], antes que una medida de sanción, es un premio al comerciante cumplido que cesa o teme cesar en el cumplimiento de sus obligaciones mercantiles y donde el concordato se hace para prevenir la quiebra, pero la empresa continúa en pleno funcionamiento, y dispuesta a cumplir con sus obligaciones y a cancelar sus deudas […]»</w:t>
      </w:r>
      <w:r w:rsidR="00A72618">
        <w:rPr>
          <w:rStyle w:val="Refdenotaalpie"/>
          <w:rFonts w:ascii="Arial" w:eastAsia="Calibri" w:hAnsi="Arial" w:cs="Arial"/>
          <w:color w:val="000000"/>
          <w:sz w:val="22"/>
        </w:rPr>
        <w:footnoteReference w:id="9"/>
      </w:r>
      <w:r w:rsidR="00C260BF">
        <w:rPr>
          <w:rFonts w:ascii="Arial" w:eastAsia="Calibri" w:hAnsi="Arial" w:cs="Arial"/>
          <w:color w:val="000000"/>
          <w:sz w:val="22"/>
        </w:rPr>
        <w:t xml:space="preserve">. </w:t>
      </w:r>
    </w:p>
    <w:p w14:paraId="1140935C" w14:textId="79C91898" w:rsidR="0021202D" w:rsidRPr="00C260BF" w:rsidRDefault="00AE1386" w:rsidP="007D7CBC">
      <w:pPr>
        <w:tabs>
          <w:tab w:val="left" w:pos="426"/>
        </w:tabs>
        <w:spacing w:before="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sidR="003E07C6">
        <w:rPr>
          <w:rFonts w:ascii="Arial" w:eastAsia="Calibri" w:hAnsi="Arial" w:cs="Arial"/>
          <w:color w:val="000000"/>
          <w:sz w:val="22"/>
        </w:rPr>
        <w:t>De esta manera, la efectividad de la garantía comercial está sujeta</w:t>
      </w:r>
      <w:r w:rsidR="003E07C6" w:rsidRPr="003E07C6">
        <w:rPr>
          <w:rFonts w:ascii="Arial" w:eastAsia="Calibri" w:hAnsi="Arial" w:cs="Arial"/>
          <w:color w:val="000000"/>
          <w:sz w:val="22"/>
        </w:rPr>
        <w:t xml:space="preserve"> a las normas sobre </w:t>
      </w:r>
      <w:r w:rsidR="003E07C6">
        <w:rPr>
          <w:rFonts w:ascii="Arial" w:eastAsia="Calibri" w:hAnsi="Arial" w:cs="Arial"/>
          <w:color w:val="000000"/>
          <w:sz w:val="22"/>
        </w:rPr>
        <w:t xml:space="preserve">la </w:t>
      </w:r>
      <w:r w:rsidR="003E07C6" w:rsidRPr="003E07C6">
        <w:rPr>
          <w:rFonts w:ascii="Arial" w:eastAsia="Calibri" w:hAnsi="Arial" w:cs="Arial"/>
          <w:color w:val="000000"/>
          <w:sz w:val="22"/>
        </w:rPr>
        <w:t xml:space="preserve">administración de </w:t>
      </w:r>
      <w:r w:rsidR="003E07C6">
        <w:rPr>
          <w:rFonts w:ascii="Arial" w:eastAsia="Calibri" w:hAnsi="Arial" w:cs="Arial"/>
          <w:color w:val="000000"/>
          <w:sz w:val="22"/>
        </w:rPr>
        <w:t xml:space="preserve">los </w:t>
      </w:r>
      <w:r w:rsidR="003E07C6" w:rsidRPr="003E07C6">
        <w:rPr>
          <w:rFonts w:ascii="Arial" w:eastAsia="Calibri" w:hAnsi="Arial" w:cs="Arial"/>
          <w:color w:val="000000"/>
          <w:sz w:val="22"/>
        </w:rPr>
        <w:t xml:space="preserve">negocios </w:t>
      </w:r>
      <w:r w:rsidR="003E07C6">
        <w:rPr>
          <w:rFonts w:ascii="Arial" w:eastAsia="Calibri" w:hAnsi="Arial" w:cs="Arial"/>
          <w:color w:val="000000"/>
          <w:sz w:val="22"/>
        </w:rPr>
        <w:t>de la persona en proceso de reorganización</w:t>
      </w:r>
      <w:r w:rsidR="003E07C6" w:rsidRPr="003E07C6">
        <w:rPr>
          <w:rFonts w:ascii="Arial" w:eastAsia="Calibri" w:hAnsi="Arial" w:cs="Arial"/>
          <w:color w:val="000000"/>
          <w:sz w:val="22"/>
        </w:rPr>
        <w:t xml:space="preserve">. </w:t>
      </w:r>
      <w:r w:rsidR="003E07C6">
        <w:rPr>
          <w:rFonts w:ascii="Arial" w:eastAsia="Calibri" w:hAnsi="Arial" w:cs="Arial"/>
          <w:color w:val="000000"/>
          <w:sz w:val="22"/>
        </w:rPr>
        <w:t xml:space="preserve">Por tanto, </w:t>
      </w:r>
      <w:r w:rsidR="005253FF">
        <w:rPr>
          <w:rFonts w:ascii="Arial" w:eastAsia="Calibri" w:hAnsi="Arial" w:cs="Arial"/>
          <w:color w:val="000000"/>
          <w:sz w:val="22"/>
        </w:rPr>
        <w:t xml:space="preserve">conforme a lo dispuesto en los artículos 31 y siguientes de la Ley 1116 de 2006, </w:t>
      </w:r>
      <w:r w:rsidR="003E07C6">
        <w:rPr>
          <w:rFonts w:ascii="Arial" w:eastAsia="Calibri" w:hAnsi="Arial" w:cs="Arial"/>
          <w:color w:val="000000"/>
          <w:sz w:val="22"/>
        </w:rPr>
        <w:t>l</w:t>
      </w:r>
      <w:r w:rsidR="003E07C6" w:rsidRPr="003E07C6">
        <w:rPr>
          <w:rFonts w:ascii="Arial" w:eastAsia="Calibri" w:hAnsi="Arial" w:cs="Arial"/>
          <w:color w:val="000000"/>
          <w:sz w:val="22"/>
        </w:rPr>
        <w:t xml:space="preserve">a entidad </w:t>
      </w:r>
      <w:r w:rsidR="003E07C6">
        <w:rPr>
          <w:rFonts w:ascii="Arial" w:eastAsia="Calibri" w:hAnsi="Arial" w:cs="Arial"/>
          <w:color w:val="000000"/>
          <w:sz w:val="22"/>
        </w:rPr>
        <w:t>contratante debe disponer</w:t>
      </w:r>
      <w:r w:rsidR="003E07C6" w:rsidRPr="003E07C6">
        <w:rPr>
          <w:rFonts w:ascii="Arial" w:eastAsia="Calibri" w:hAnsi="Arial" w:cs="Arial"/>
          <w:color w:val="000000"/>
          <w:sz w:val="22"/>
        </w:rPr>
        <w:t xml:space="preserve"> las medidas necesarias para asegurar </w:t>
      </w:r>
      <w:r w:rsidR="003E07C6">
        <w:rPr>
          <w:rFonts w:ascii="Arial" w:eastAsia="Calibri" w:hAnsi="Arial" w:cs="Arial"/>
          <w:color w:val="000000"/>
          <w:sz w:val="22"/>
        </w:rPr>
        <w:t xml:space="preserve">la efectividad del factor de calidad directamente ofrecido por el contratista dentro del </w:t>
      </w:r>
      <w:r w:rsidR="005253FF">
        <w:rPr>
          <w:rFonts w:ascii="Arial" w:eastAsia="Calibri" w:hAnsi="Arial" w:cs="Arial"/>
          <w:color w:val="000000"/>
          <w:sz w:val="22"/>
        </w:rPr>
        <w:t>«acuerdo de reorganización»</w:t>
      </w:r>
      <w:r w:rsidR="003E07C6" w:rsidRPr="003E07C6">
        <w:rPr>
          <w:rFonts w:ascii="Arial" w:eastAsia="Calibri" w:hAnsi="Arial" w:cs="Arial"/>
          <w:color w:val="000000"/>
          <w:sz w:val="22"/>
        </w:rPr>
        <w:t>.</w:t>
      </w:r>
    </w:p>
    <w:bookmarkEnd w:id="21"/>
    <w:p w14:paraId="7415EC0F" w14:textId="77777777" w:rsidR="0096368F" w:rsidRPr="002E4348" w:rsidRDefault="0096368F" w:rsidP="0096368F">
      <w:pPr>
        <w:spacing w:line="276" w:lineRule="auto"/>
        <w:ind w:firstLine="709"/>
        <w:jc w:val="both"/>
        <w:rPr>
          <w:rFonts w:ascii="Arial" w:eastAsia="Calibri" w:hAnsi="Arial" w:cs="Arial"/>
          <w:color w:val="000000" w:themeColor="text1"/>
          <w:sz w:val="22"/>
          <w:lang w:val="es-ES"/>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lastRenderedPageBreak/>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0549DA3C" w:rsidR="00BE1E33" w:rsidRPr="006C15D5" w:rsidRDefault="002D2B71" w:rsidP="00856B64">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w:t>
      </w:r>
      <w:r w:rsidR="00565224" w:rsidRPr="00565224">
        <w:rPr>
          <w:rFonts w:ascii="Arial" w:eastAsia="Calibri" w:hAnsi="Arial" w:cs="Arial"/>
          <w:color w:val="000000" w:themeColor="text1"/>
          <w:sz w:val="21"/>
          <w:szCs w:val="21"/>
        </w:rPr>
        <w:t>En relación a los «Documentos Tipo – Versión 3» de licitación para obra pública de infraestructura de transporte, especialmente, sobre la garantía suplementaria o adicional prevista en el numeral 4.2.4 del pliego,</w:t>
      </w:r>
      <w:r w:rsidR="00565224">
        <w:rPr>
          <w:rFonts w:ascii="Arial" w:eastAsia="Calibri" w:hAnsi="Arial" w:cs="Arial"/>
          <w:color w:val="000000" w:themeColor="text1"/>
          <w:sz w:val="21"/>
          <w:szCs w:val="21"/>
        </w:rPr>
        <w:t xml:space="preserve"> </w:t>
      </w:r>
      <w:r w:rsidR="00565224" w:rsidRPr="00565224">
        <w:rPr>
          <w:rFonts w:ascii="Arial" w:eastAsia="Calibri" w:hAnsi="Arial" w:cs="Arial"/>
          <w:color w:val="000000" w:themeColor="text1"/>
          <w:sz w:val="21"/>
          <w:szCs w:val="21"/>
        </w:rPr>
        <w:t>«Si la Entidad realiza los estudios técnicos que soportan unos tiempos de vigencia y durabilidad de las obras en condiciones normales de uso, ¿no se convertiría en una práctica inapropiada pedir y ofrecer más tiempo de respaldo?»</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03C3D6DD" w14:textId="4260C4D5" w:rsidR="0096368F" w:rsidRDefault="0096368F" w:rsidP="007A5D42">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acuerdo con lo explicado en el presente concepto, </w:t>
      </w:r>
      <w:r w:rsidR="00565224">
        <w:rPr>
          <w:rFonts w:ascii="Arial" w:eastAsia="Calibri" w:hAnsi="Arial" w:cs="Arial"/>
          <w:color w:val="000000" w:themeColor="text1"/>
          <w:sz w:val="22"/>
          <w:lang w:val="es-ES"/>
        </w:rPr>
        <w:t xml:space="preserve">si bien la entidad estima la vigencia de la garantía de calidad y estabilidad conforme al artículo </w:t>
      </w:r>
      <w:r w:rsidR="00565224" w:rsidRPr="00565224">
        <w:rPr>
          <w:rFonts w:ascii="Arial" w:eastAsia="Calibri" w:hAnsi="Arial" w:cs="Arial"/>
          <w:color w:val="000000" w:themeColor="text1"/>
          <w:sz w:val="22"/>
          <w:lang w:val="es-ES"/>
        </w:rPr>
        <w:t>2.2.1.2.3.1.14</w:t>
      </w:r>
      <w:r w:rsidR="00565224">
        <w:rPr>
          <w:rFonts w:ascii="Arial" w:eastAsia="Calibri" w:hAnsi="Arial" w:cs="Arial"/>
          <w:color w:val="000000" w:themeColor="text1"/>
          <w:sz w:val="22"/>
          <w:lang w:val="es-ES"/>
        </w:rPr>
        <w:t xml:space="preserve"> del Decreto 1082 de 2015, </w:t>
      </w:r>
      <w:r w:rsidR="00695F37">
        <w:rPr>
          <w:rFonts w:ascii="Arial" w:eastAsia="Calibri" w:hAnsi="Arial" w:cs="Arial"/>
          <w:color w:val="000000" w:themeColor="text1"/>
          <w:sz w:val="22"/>
          <w:lang w:val="es-ES"/>
        </w:rPr>
        <w:t>es posible solicitar</w:t>
      </w:r>
      <w:r w:rsidR="00565224">
        <w:rPr>
          <w:rFonts w:ascii="Arial" w:eastAsia="Calibri" w:hAnsi="Arial" w:cs="Arial"/>
          <w:color w:val="000000" w:themeColor="text1"/>
          <w:sz w:val="22"/>
          <w:lang w:val="es-ES"/>
        </w:rPr>
        <w:t xml:space="preserve"> </w:t>
      </w:r>
      <w:r w:rsidR="006112D3">
        <w:rPr>
          <w:rFonts w:ascii="Arial" w:eastAsia="Calibri" w:hAnsi="Arial" w:cs="Arial"/>
          <w:color w:val="000000" w:themeColor="text1"/>
          <w:sz w:val="22"/>
          <w:lang w:val="es-ES"/>
        </w:rPr>
        <w:t>mayor tiempo de respaldo respecto a la durabilidad de las obras</w:t>
      </w:r>
      <w:r>
        <w:rPr>
          <w:rFonts w:ascii="Arial" w:eastAsia="Calibri" w:hAnsi="Arial" w:cs="Arial"/>
          <w:color w:val="000000" w:themeColor="text1"/>
          <w:sz w:val="22"/>
          <w:lang w:val="es-ES"/>
        </w:rPr>
        <w:t>.</w:t>
      </w:r>
      <w:r w:rsidR="006112D3">
        <w:rPr>
          <w:rFonts w:ascii="Arial" w:eastAsia="Calibri" w:hAnsi="Arial" w:cs="Arial"/>
          <w:color w:val="000000" w:themeColor="text1"/>
          <w:sz w:val="22"/>
          <w:lang w:val="es-ES"/>
        </w:rPr>
        <w:t xml:space="preserve"> Para estos efectos</w:t>
      </w:r>
      <w:r w:rsidR="00695F37">
        <w:rPr>
          <w:rFonts w:ascii="Arial" w:eastAsia="Calibri" w:hAnsi="Arial" w:cs="Arial"/>
          <w:color w:val="000000" w:themeColor="text1"/>
          <w:sz w:val="22"/>
          <w:lang w:val="es-ES"/>
        </w:rPr>
        <w:t xml:space="preserve">, en concordancia con el artículo </w:t>
      </w:r>
      <w:r w:rsidR="00695F37">
        <w:rPr>
          <w:rFonts w:ascii="Arial" w:eastAsia="Calibri" w:hAnsi="Arial" w:cs="Arial"/>
          <w:sz w:val="22"/>
          <w:szCs w:val="24"/>
          <w:lang w:eastAsia="es-ES_tradnl"/>
        </w:rPr>
        <w:t>13 de l</w:t>
      </w:r>
      <w:r w:rsidR="00695F37" w:rsidRPr="00205DC0">
        <w:rPr>
          <w:rFonts w:ascii="Arial" w:eastAsia="Calibri" w:hAnsi="Arial" w:cs="Arial"/>
          <w:sz w:val="22"/>
          <w:szCs w:val="24"/>
          <w:lang w:eastAsia="es-ES_tradnl"/>
        </w:rPr>
        <w:t>a Ley 1480 de 2011</w:t>
      </w:r>
      <w:r w:rsidR="00695F37">
        <w:rPr>
          <w:rFonts w:ascii="Arial" w:eastAsia="Calibri" w:hAnsi="Arial" w:cs="Arial"/>
          <w:sz w:val="22"/>
          <w:szCs w:val="24"/>
          <w:lang w:eastAsia="es-ES_tradnl"/>
        </w:rPr>
        <w:t>,</w:t>
      </w:r>
      <w:r w:rsidR="00695F37">
        <w:rPr>
          <w:rFonts w:ascii="Arial" w:eastAsia="Calibri" w:hAnsi="Arial" w:cs="Arial"/>
          <w:color w:val="000000" w:themeColor="text1"/>
          <w:sz w:val="22"/>
          <w:lang w:val="es-ES"/>
        </w:rPr>
        <w:t xml:space="preserve"> el numeral 4.2.4 del documento base </w:t>
      </w:r>
      <w:r w:rsidR="00695F37">
        <w:rPr>
          <w:rFonts w:ascii="Arial" w:eastAsia="Calibri" w:hAnsi="Arial" w:cs="Arial"/>
          <w:sz w:val="22"/>
          <w:szCs w:val="24"/>
          <w:lang w:eastAsia="es-ES_tradnl"/>
        </w:rPr>
        <w:t>regula el otorgamiento de</w:t>
      </w:r>
      <w:r w:rsidR="00695F37" w:rsidRPr="00205DC0">
        <w:rPr>
          <w:rFonts w:ascii="Arial" w:eastAsia="Calibri" w:hAnsi="Arial" w:cs="Arial"/>
          <w:sz w:val="22"/>
          <w:szCs w:val="24"/>
          <w:lang w:eastAsia="es-ES_tradnl"/>
        </w:rPr>
        <w:t xml:space="preserve"> garantías suplementarias a la </w:t>
      </w:r>
      <w:r w:rsidR="00DA32A1">
        <w:rPr>
          <w:rFonts w:ascii="Arial" w:eastAsia="Calibri" w:hAnsi="Arial" w:cs="Arial"/>
          <w:sz w:val="22"/>
          <w:szCs w:val="24"/>
          <w:lang w:eastAsia="es-ES_tradnl"/>
        </w:rPr>
        <w:t xml:space="preserve">exigida </w:t>
      </w:r>
      <w:r w:rsidR="00695F37" w:rsidRPr="00205DC0">
        <w:rPr>
          <w:rFonts w:ascii="Arial" w:eastAsia="Calibri" w:hAnsi="Arial" w:cs="Arial"/>
          <w:sz w:val="22"/>
          <w:szCs w:val="24"/>
          <w:lang w:eastAsia="es-ES_tradnl"/>
        </w:rPr>
        <w:t>legal</w:t>
      </w:r>
      <w:r w:rsidR="00DA32A1">
        <w:rPr>
          <w:rFonts w:ascii="Arial" w:eastAsia="Calibri" w:hAnsi="Arial" w:cs="Arial"/>
          <w:sz w:val="22"/>
          <w:szCs w:val="24"/>
          <w:lang w:eastAsia="es-ES_tradnl"/>
        </w:rPr>
        <w:t>mente</w:t>
      </w:r>
      <w:r w:rsidR="00695F37" w:rsidRPr="00205DC0">
        <w:rPr>
          <w:rFonts w:ascii="Arial" w:eastAsia="Calibri" w:hAnsi="Arial" w:cs="Arial"/>
          <w:sz w:val="22"/>
          <w:szCs w:val="24"/>
          <w:lang w:eastAsia="es-ES_tradnl"/>
        </w:rPr>
        <w:t xml:space="preserve">, </w:t>
      </w:r>
      <w:r w:rsidR="00695F37">
        <w:rPr>
          <w:rFonts w:ascii="Arial" w:eastAsia="Calibri" w:hAnsi="Arial" w:cs="Arial"/>
          <w:sz w:val="22"/>
          <w:szCs w:val="24"/>
          <w:lang w:eastAsia="es-ES_tradnl"/>
        </w:rPr>
        <w:t>ampliando y mejorando la cobertura del amparo anteriormente mencionado. E</w:t>
      </w:r>
      <w:r w:rsidR="00695F37" w:rsidRPr="00205DC0">
        <w:rPr>
          <w:rFonts w:ascii="Arial" w:eastAsia="Calibri" w:hAnsi="Arial" w:cs="Arial"/>
          <w:sz w:val="22"/>
          <w:szCs w:val="24"/>
          <w:lang w:eastAsia="es-ES_tradnl"/>
        </w:rPr>
        <w:t xml:space="preserve">ste criterio de asignación de puntaje </w:t>
      </w:r>
      <w:r w:rsidR="00695F37">
        <w:rPr>
          <w:rFonts w:ascii="Arial" w:eastAsia="Calibri" w:hAnsi="Arial" w:cs="Arial"/>
          <w:sz w:val="22"/>
          <w:szCs w:val="24"/>
          <w:lang w:eastAsia="es-ES_tradnl"/>
        </w:rPr>
        <w:t>es apropiado</w:t>
      </w:r>
      <w:r w:rsidR="00B429D9">
        <w:rPr>
          <w:rFonts w:ascii="Arial" w:eastAsia="Calibri" w:hAnsi="Arial" w:cs="Arial"/>
          <w:sz w:val="22"/>
          <w:szCs w:val="24"/>
          <w:lang w:eastAsia="es-ES_tradnl"/>
        </w:rPr>
        <w:t xml:space="preserve">, en la medida que </w:t>
      </w:r>
      <w:r w:rsidR="00A71BB2">
        <w:rPr>
          <w:rFonts w:ascii="Arial" w:eastAsia="Calibri" w:hAnsi="Arial" w:cs="Arial"/>
          <w:sz w:val="22"/>
          <w:szCs w:val="24"/>
          <w:lang w:eastAsia="es-ES_tradnl"/>
        </w:rPr>
        <w:t>mediante</w:t>
      </w:r>
      <w:r w:rsidR="00B429D9">
        <w:rPr>
          <w:rFonts w:ascii="Arial" w:eastAsia="Calibri" w:hAnsi="Arial" w:cs="Arial"/>
          <w:sz w:val="22"/>
          <w:szCs w:val="24"/>
          <w:lang w:eastAsia="es-ES_tradnl"/>
        </w:rPr>
        <w:t xml:space="preserve"> este</w:t>
      </w:r>
      <w:r w:rsidR="00695F37" w:rsidRPr="00205DC0">
        <w:rPr>
          <w:rFonts w:ascii="Arial" w:eastAsia="Calibri" w:hAnsi="Arial" w:cs="Arial"/>
          <w:sz w:val="22"/>
          <w:szCs w:val="24"/>
          <w:lang w:eastAsia="es-ES_tradnl"/>
        </w:rPr>
        <w:t xml:space="preserve"> las entidades estatales cuent</w:t>
      </w:r>
      <w:r w:rsidR="00B429D9">
        <w:rPr>
          <w:rFonts w:ascii="Arial" w:eastAsia="Calibri" w:hAnsi="Arial" w:cs="Arial"/>
          <w:sz w:val="22"/>
          <w:szCs w:val="24"/>
          <w:lang w:eastAsia="es-ES_tradnl"/>
        </w:rPr>
        <w:t>a</w:t>
      </w:r>
      <w:r w:rsidR="00695F37" w:rsidRPr="00205DC0">
        <w:rPr>
          <w:rFonts w:ascii="Arial" w:eastAsia="Calibri" w:hAnsi="Arial" w:cs="Arial"/>
          <w:sz w:val="22"/>
          <w:szCs w:val="24"/>
          <w:lang w:eastAsia="es-ES_tradnl"/>
        </w:rPr>
        <w:t>n con una cobertura adicional a la prevista para la estabilidad y calidad</w:t>
      </w:r>
      <w:r w:rsidR="00B429D9">
        <w:rPr>
          <w:rFonts w:ascii="Arial" w:eastAsia="Calibri" w:hAnsi="Arial" w:cs="Arial"/>
          <w:sz w:val="22"/>
          <w:szCs w:val="24"/>
          <w:lang w:eastAsia="es-ES_tradnl"/>
        </w:rPr>
        <w:t xml:space="preserve"> de la obra</w:t>
      </w:r>
      <w:r w:rsidR="00695F37" w:rsidRPr="00205DC0">
        <w:rPr>
          <w:rFonts w:ascii="Arial" w:eastAsia="Calibri" w:hAnsi="Arial" w:cs="Arial"/>
          <w:sz w:val="22"/>
          <w:szCs w:val="24"/>
          <w:lang w:eastAsia="es-ES_tradnl"/>
        </w:rPr>
        <w:t>, situación que incide en la idoneidad y mejora de</w:t>
      </w:r>
      <w:r w:rsidR="00B429D9">
        <w:rPr>
          <w:rFonts w:ascii="Arial" w:eastAsia="Calibri" w:hAnsi="Arial" w:cs="Arial"/>
          <w:sz w:val="22"/>
          <w:szCs w:val="24"/>
          <w:lang w:eastAsia="es-ES_tradnl"/>
        </w:rPr>
        <w:t xml:space="preserve"> las</w:t>
      </w:r>
      <w:r w:rsidR="00695F37" w:rsidRPr="00205DC0">
        <w:rPr>
          <w:rFonts w:ascii="Arial" w:eastAsia="Calibri" w:hAnsi="Arial" w:cs="Arial"/>
          <w:sz w:val="22"/>
          <w:szCs w:val="24"/>
          <w:lang w:eastAsia="es-ES_tradnl"/>
        </w:rPr>
        <w:t xml:space="preserve"> condiciones </w:t>
      </w:r>
      <w:r w:rsidR="00B429D9">
        <w:rPr>
          <w:rFonts w:ascii="Arial" w:eastAsia="Calibri" w:hAnsi="Arial" w:cs="Arial"/>
          <w:sz w:val="22"/>
          <w:szCs w:val="24"/>
          <w:lang w:eastAsia="es-ES_tradnl"/>
        </w:rPr>
        <w:t>del objeto contractual.</w:t>
      </w:r>
      <w:r w:rsidR="00695F37">
        <w:rPr>
          <w:rFonts w:ascii="Arial" w:eastAsia="Calibri" w:hAnsi="Arial" w:cs="Arial"/>
          <w:sz w:val="22"/>
          <w:szCs w:val="24"/>
          <w:lang w:eastAsia="es-ES_tradnl"/>
        </w:rPr>
        <w:t xml:space="preserve">  </w:t>
      </w:r>
      <w:r w:rsidR="00695F37">
        <w:rPr>
          <w:rFonts w:ascii="Arial" w:eastAsia="Calibri" w:hAnsi="Arial" w:cs="Arial"/>
          <w:color w:val="000000" w:themeColor="text1"/>
          <w:sz w:val="22"/>
          <w:lang w:val="es-ES"/>
        </w:rPr>
        <w:t xml:space="preserve"> </w:t>
      </w:r>
      <w:r w:rsidR="006112D3">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 </w:t>
      </w:r>
    </w:p>
    <w:p w14:paraId="18C2AC15" w14:textId="77777777" w:rsidR="00563974" w:rsidRDefault="00563974" w:rsidP="00563974">
      <w:pPr>
        <w:spacing w:line="276" w:lineRule="auto"/>
        <w:jc w:val="both"/>
        <w:rPr>
          <w:rFonts w:ascii="Arial" w:eastAsia="Calibri" w:hAnsi="Arial" w:cs="Arial"/>
          <w:color w:val="000000" w:themeColor="text1"/>
          <w:sz w:val="22"/>
        </w:rPr>
      </w:pPr>
    </w:p>
    <w:p w14:paraId="2E763DAE" w14:textId="558A882F" w:rsidR="005E2234" w:rsidRDefault="006D57BF" w:rsidP="005E2234">
      <w:pPr>
        <w:spacing w:after="120"/>
        <w:ind w:left="709" w:right="709"/>
        <w:jc w:val="both"/>
        <w:rPr>
          <w:rFonts w:ascii="Arial" w:eastAsia="Calibri" w:hAnsi="Arial" w:cs="Arial"/>
          <w:color w:val="000000" w:themeColor="text1"/>
          <w:sz w:val="21"/>
          <w:szCs w:val="21"/>
        </w:rPr>
      </w:pPr>
      <w:r w:rsidRPr="006D57BF">
        <w:rPr>
          <w:rFonts w:ascii="Arial" w:eastAsia="Calibri" w:hAnsi="Arial" w:cs="Arial"/>
          <w:color w:val="000000" w:themeColor="text1"/>
          <w:sz w:val="21"/>
          <w:szCs w:val="21"/>
        </w:rPr>
        <w:t xml:space="preserve">ii) «¿Es obligatorio para </w:t>
      </w:r>
      <w:bookmarkStart w:id="22" w:name="_Hlk63232222"/>
      <w:r w:rsidRPr="006D57BF">
        <w:rPr>
          <w:rFonts w:ascii="Arial" w:eastAsia="Calibri" w:hAnsi="Arial" w:cs="Arial"/>
          <w:color w:val="000000" w:themeColor="text1"/>
          <w:sz w:val="21"/>
          <w:szCs w:val="21"/>
        </w:rPr>
        <w:t>las aseguradoras brindar cobertura para la garantía suplementaria o adicional otorgada directamente por el Proponente</w:t>
      </w:r>
      <w:bookmarkEnd w:id="22"/>
      <w:r w:rsidRPr="006D57BF">
        <w:rPr>
          <w:rFonts w:ascii="Arial" w:eastAsia="Calibri" w:hAnsi="Arial" w:cs="Arial"/>
          <w:color w:val="000000" w:themeColor="text1"/>
          <w:sz w:val="21"/>
          <w:szCs w:val="21"/>
        </w:rPr>
        <w:t>?»</w:t>
      </w:r>
      <w:r w:rsidR="00563974" w:rsidRPr="007D6D97">
        <w:rPr>
          <w:rFonts w:ascii="Arial" w:eastAsia="Calibri" w:hAnsi="Arial" w:cs="Arial"/>
          <w:color w:val="000000" w:themeColor="text1"/>
          <w:sz w:val="21"/>
          <w:szCs w:val="21"/>
        </w:rPr>
        <w:t>.</w:t>
      </w:r>
    </w:p>
    <w:p w14:paraId="088A7F09" w14:textId="1058FEC2" w:rsidR="005E2234" w:rsidRDefault="005E2234" w:rsidP="00A13B60">
      <w:pPr>
        <w:ind w:left="709" w:right="709"/>
        <w:jc w:val="both"/>
        <w:rPr>
          <w:rFonts w:ascii="Arial" w:eastAsia="Calibri" w:hAnsi="Arial" w:cs="Arial"/>
          <w:color w:val="000000" w:themeColor="text1"/>
          <w:sz w:val="21"/>
          <w:szCs w:val="21"/>
        </w:rPr>
      </w:pPr>
      <w:proofErr w:type="spellStart"/>
      <w:r w:rsidRPr="005E2234">
        <w:rPr>
          <w:rFonts w:ascii="Arial" w:eastAsia="Calibri" w:hAnsi="Arial" w:cs="Arial"/>
          <w:color w:val="000000" w:themeColor="text1"/>
          <w:sz w:val="21"/>
          <w:szCs w:val="21"/>
        </w:rPr>
        <w:t>iv</w:t>
      </w:r>
      <w:proofErr w:type="spellEnd"/>
      <w:r w:rsidRPr="005E2234">
        <w:rPr>
          <w:rFonts w:ascii="Arial" w:eastAsia="Calibri" w:hAnsi="Arial" w:cs="Arial"/>
          <w:color w:val="000000" w:themeColor="text1"/>
          <w:sz w:val="21"/>
          <w:szCs w:val="21"/>
        </w:rPr>
        <w:t>) «¿En el evento en que la Aseguradora no otorgue cobertura a garantía suplementaria o adicional, le aplicaría la regla de responsabilidad solidaria?»</w:t>
      </w:r>
      <w:r>
        <w:rPr>
          <w:rFonts w:ascii="Arial" w:eastAsia="Calibri" w:hAnsi="Arial" w:cs="Arial"/>
          <w:color w:val="000000" w:themeColor="text1"/>
          <w:sz w:val="21"/>
          <w:szCs w:val="21"/>
        </w:rPr>
        <w:t>.</w:t>
      </w:r>
    </w:p>
    <w:p w14:paraId="54A2DF66" w14:textId="77777777" w:rsidR="00A13B60" w:rsidRPr="00B13C66" w:rsidRDefault="00A13B60" w:rsidP="00B13C66">
      <w:pPr>
        <w:spacing w:line="276" w:lineRule="auto"/>
        <w:ind w:left="709" w:right="709"/>
        <w:jc w:val="both"/>
        <w:rPr>
          <w:rFonts w:ascii="Arial" w:eastAsia="Calibri" w:hAnsi="Arial" w:cs="Arial"/>
          <w:color w:val="000000" w:themeColor="text1"/>
          <w:sz w:val="22"/>
        </w:rPr>
      </w:pPr>
    </w:p>
    <w:p w14:paraId="0F3D8D5A" w14:textId="36CF86A2" w:rsidR="00A13B60" w:rsidRDefault="00B13C66" w:rsidP="005E2234">
      <w:pPr>
        <w:spacing w:after="120" w:line="276" w:lineRule="auto"/>
        <w:jc w:val="both"/>
        <w:rPr>
          <w:rFonts w:ascii="Arial" w:eastAsia="Calibri" w:hAnsi="Arial" w:cs="Arial"/>
          <w:sz w:val="22"/>
          <w:szCs w:val="24"/>
          <w:lang w:eastAsia="es-ES_tradnl"/>
        </w:rPr>
      </w:pPr>
      <w:r>
        <w:rPr>
          <w:rFonts w:ascii="Arial" w:eastAsia="Calibri" w:hAnsi="Arial" w:cs="Arial"/>
          <w:sz w:val="22"/>
          <w:szCs w:val="24"/>
          <w:lang w:eastAsia="es-ES_tradnl"/>
        </w:rPr>
        <w:t xml:space="preserve">Conforme al numeral </w:t>
      </w:r>
      <w:r>
        <w:rPr>
          <w:rFonts w:ascii="Arial" w:eastAsia="Calibri" w:hAnsi="Arial" w:cs="Arial"/>
          <w:color w:val="000000" w:themeColor="text1"/>
          <w:sz w:val="22"/>
          <w:lang w:val="es-ES"/>
        </w:rPr>
        <w:t>4.2.4 del documento base</w:t>
      </w:r>
      <w:r w:rsidRPr="00205DC0">
        <w:rPr>
          <w:rFonts w:ascii="Arial" w:eastAsia="Calibri" w:hAnsi="Arial" w:cs="Arial"/>
          <w:sz w:val="22"/>
          <w:szCs w:val="24"/>
          <w:lang w:eastAsia="es-ES_tradnl"/>
        </w:rPr>
        <w:t xml:space="preserve">, para </w:t>
      </w:r>
      <w:r>
        <w:rPr>
          <w:rFonts w:ascii="Arial" w:eastAsia="Calibri" w:hAnsi="Arial" w:cs="Arial"/>
          <w:sz w:val="22"/>
          <w:szCs w:val="24"/>
          <w:lang w:eastAsia="es-ES_tradnl"/>
        </w:rPr>
        <w:t>obtener el</w:t>
      </w:r>
      <w:r w:rsidRPr="00205DC0">
        <w:rPr>
          <w:rFonts w:ascii="Arial" w:eastAsia="Calibri" w:hAnsi="Arial" w:cs="Arial"/>
          <w:sz w:val="22"/>
          <w:szCs w:val="24"/>
          <w:lang w:eastAsia="es-ES_tradnl"/>
        </w:rPr>
        <w:t xml:space="preserve"> puntaje por concepto de la «Garantía Suplementaria </w:t>
      </w:r>
      <w:r>
        <w:rPr>
          <w:rFonts w:ascii="Arial" w:eastAsia="Calibri" w:hAnsi="Arial" w:cs="Arial"/>
          <w:sz w:val="22"/>
          <w:szCs w:val="24"/>
          <w:lang w:eastAsia="es-ES_tradnl"/>
        </w:rPr>
        <w:t>o</w:t>
      </w:r>
      <w:r w:rsidRPr="00205DC0">
        <w:rPr>
          <w:rFonts w:ascii="Arial" w:eastAsia="Calibri" w:hAnsi="Arial" w:cs="Arial"/>
          <w:sz w:val="22"/>
          <w:szCs w:val="24"/>
          <w:lang w:eastAsia="es-ES_tradnl"/>
        </w:rPr>
        <w:t xml:space="preserve"> Adicional» no es necesario que </w:t>
      </w:r>
      <w:r>
        <w:rPr>
          <w:rFonts w:ascii="Arial" w:eastAsia="Calibri" w:hAnsi="Arial" w:cs="Arial"/>
          <w:sz w:val="22"/>
          <w:szCs w:val="24"/>
          <w:lang w:eastAsia="es-ES_tradnl"/>
        </w:rPr>
        <w:t xml:space="preserve">esta </w:t>
      </w:r>
      <w:r w:rsidRPr="00205DC0">
        <w:rPr>
          <w:rFonts w:ascii="Arial" w:eastAsia="Calibri" w:hAnsi="Arial" w:cs="Arial"/>
          <w:sz w:val="22"/>
          <w:szCs w:val="24"/>
          <w:lang w:eastAsia="es-ES_tradnl"/>
        </w:rPr>
        <w:t xml:space="preserve">sea </w:t>
      </w:r>
      <w:r w:rsidR="006E34B5">
        <w:rPr>
          <w:rFonts w:ascii="Arial" w:eastAsia="Calibri" w:hAnsi="Arial" w:cs="Arial"/>
          <w:sz w:val="22"/>
          <w:szCs w:val="24"/>
          <w:lang w:eastAsia="es-ES_tradnl"/>
        </w:rPr>
        <w:t>respaldada</w:t>
      </w:r>
      <w:r w:rsidRPr="00205DC0">
        <w:rPr>
          <w:rFonts w:ascii="Arial" w:eastAsia="Calibri" w:hAnsi="Arial" w:cs="Arial"/>
          <w:sz w:val="22"/>
          <w:szCs w:val="24"/>
          <w:lang w:eastAsia="es-ES_tradnl"/>
        </w:rPr>
        <w:t xml:space="preserve"> </w:t>
      </w:r>
      <w:r>
        <w:rPr>
          <w:rFonts w:ascii="Arial" w:eastAsia="Calibri" w:hAnsi="Arial" w:cs="Arial"/>
          <w:sz w:val="22"/>
          <w:szCs w:val="24"/>
          <w:lang w:eastAsia="es-ES_tradnl"/>
        </w:rPr>
        <w:t xml:space="preserve">necesariamente </w:t>
      </w:r>
      <w:r w:rsidRPr="00205DC0">
        <w:rPr>
          <w:rFonts w:ascii="Arial" w:eastAsia="Calibri" w:hAnsi="Arial" w:cs="Arial"/>
          <w:sz w:val="22"/>
          <w:szCs w:val="24"/>
          <w:lang w:eastAsia="es-ES_tradnl"/>
        </w:rPr>
        <w:t xml:space="preserve">por una aseguradora, sino que bastará la garantía comercial que ofrezca el propio contratista. </w:t>
      </w:r>
      <w:r>
        <w:rPr>
          <w:rFonts w:ascii="Arial" w:eastAsia="Calibri" w:hAnsi="Arial" w:cs="Arial"/>
          <w:sz w:val="22"/>
          <w:szCs w:val="24"/>
          <w:lang w:eastAsia="es-ES_tradnl"/>
        </w:rPr>
        <w:t xml:space="preserve">Lo anterior significa que el ofrecimiento del factor de calidad no obliga a la expedición de la póliza respectiva, toda vez que el proponente puede suscribir la garantía adicional por sí mismo, sin </w:t>
      </w:r>
      <w:r w:rsidR="00831294">
        <w:rPr>
          <w:rFonts w:ascii="Arial" w:eastAsia="Calibri" w:hAnsi="Arial" w:cs="Arial"/>
          <w:sz w:val="22"/>
          <w:szCs w:val="24"/>
          <w:lang w:eastAsia="es-ES_tradnl"/>
        </w:rPr>
        <w:t>la cobertura</w:t>
      </w:r>
      <w:r>
        <w:rPr>
          <w:rFonts w:ascii="Arial" w:eastAsia="Calibri" w:hAnsi="Arial" w:cs="Arial"/>
          <w:sz w:val="22"/>
          <w:szCs w:val="24"/>
          <w:lang w:eastAsia="es-ES_tradnl"/>
        </w:rPr>
        <w:t xml:space="preserve"> de un tercero</w:t>
      </w:r>
      <w:r w:rsidR="00A13B60">
        <w:rPr>
          <w:rFonts w:ascii="Arial" w:eastAsia="Calibri" w:hAnsi="Arial" w:cs="Arial"/>
          <w:sz w:val="22"/>
          <w:lang w:val="es-ES_tradnl"/>
        </w:rPr>
        <w:t>.</w:t>
      </w:r>
      <w:r w:rsidR="00CE29C3">
        <w:rPr>
          <w:rFonts w:ascii="Arial" w:eastAsia="Calibri" w:hAnsi="Arial" w:cs="Arial"/>
          <w:sz w:val="22"/>
          <w:lang w:val="es-ES_tradnl"/>
        </w:rPr>
        <w:t xml:space="preserve"> </w:t>
      </w:r>
      <w:r w:rsidR="00CE29C3">
        <w:rPr>
          <w:rFonts w:ascii="Arial" w:eastAsia="Calibri" w:hAnsi="Arial" w:cs="Arial"/>
          <w:sz w:val="22"/>
          <w:szCs w:val="24"/>
          <w:lang w:eastAsia="es-ES_tradnl"/>
        </w:rPr>
        <w:t xml:space="preserve">Es decir, </w:t>
      </w:r>
      <w:r w:rsidR="00CE29C3" w:rsidRPr="00CE29C3">
        <w:rPr>
          <w:rFonts w:ascii="Arial" w:eastAsia="Calibri" w:hAnsi="Arial" w:cs="Arial"/>
          <w:sz w:val="22"/>
          <w:szCs w:val="24"/>
          <w:lang w:eastAsia="es-ES_tradnl"/>
        </w:rPr>
        <w:t>las aseguradoras</w:t>
      </w:r>
      <w:r w:rsidR="00CE29C3">
        <w:rPr>
          <w:rFonts w:ascii="Arial" w:eastAsia="Calibri" w:hAnsi="Arial" w:cs="Arial"/>
          <w:sz w:val="22"/>
          <w:szCs w:val="24"/>
          <w:lang w:eastAsia="es-ES_tradnl"/>
        </w:rPr>
        <w:t xml:space="preserve"> no están obligadas a</w:t>
      </w:r>
      <w:r w:rsidR="00CE29C3" w:rsidRPr="00CE29C3">
        <w:rPr>
          <w:rFonts w:ascii="Arial" w:eastAsia="Calibri" w:hAnsi="Arial" w:cs="Arial"/>
          <w:sz w:val="22"/>
          <w:szCs w:val="24"/>
          <w:lang w:eastAsia="es-ES_tradnl"/>
        </w:rPr>
        <w:t xml:space="preserve"> brindar cobertura para la garantía suplementaria o adicional otorgada directamente por el </w:t>
      </w:r>
      <w:r w:rsidR="00CE29C3">
        <w:rPr>
          <w:rFonts w:ascii="Arial" w:eastAsia="Calibri" w:hAnsi="Arial" w:cs="Arial"/>
          <w:sz w:val="22"/>
          <w:szCs w:val="24"/>
          <w:lang w:eastAsia="es-ES_tradnl"/>
        </w:rPr>
        <w:t>p</w:t>
      </w:r>
      <w:r w:rsidR="00CE29C3" w:rsidRPr="00CE29C3">
        <w:rPr>
          <w:rFonts w:ascii="Arial" w:eastAsia="Calibri" w:hAnsi="Arial" w:cs="Arial"/>
          <w:sz w:val="22"/>
          <w:szCs w:val="24"/>
          <w:lang w:eastAsia="es-ES_tradnl"/>
        </w:rPr>
        <w:t>roponente</w:t>
      </w:r>
      <w:r w:rsidR="00CE29C3">
        <w:rPr>
          <w:rFonts w:ascii="Arial" w:eastAsia="Calibri" w:hAnsi="Arial" w:cs="Arial"/>
          <w:sz w:val="22"/>
          <w:szCs w:val="24"/>
          <w:lang w:eastAsia="es-ES_tradnl"/>
        </w:rPr>
        <w:t>.</w:t>
      </w:r>
    </w:p>
    <w:p w14:paraId="526CBEA8" w14:textId="155B8D6C" w:rsidR="005E2234" w:rsidRPr="00B13C66" w:rsidRDefault="00FA790A" w:rsidP="005E2234">
      <w:pPr>
        <w:spacing w:line="276" w:lineRule="auto"/>
        <w:ind w:firstLine="708"/>
        <w:jc w:val="both"/>
        <w:rPr>
          <w:rFonts w:ascii="Arial" w:eastAsia="Calibri" w:hAnsi="Arial" w:cs="Arial"/>
          <w:sz w:val="22"/>
          <w:szCs w:val="24"/>
          <w:lang w:eastAsia="es-ES_tradnl"/>
        </w:rPr>
      </w:pPr>
      <w:r>
        <w:rPr>
          <w:rFonts w:ascii="Arial" w:eastAsia="Calibri" w:hAnsi="Arial" w:cs="Arial"/>
          <w:sz w:val="22"/>
          <w:szCs w:val="24"/>
          <w:lang w:eastAsia="es-ES_tradnl"/>
        </w:rPr>
        <w:t>A</w:t>
      </w:r>
      <w:r w:rsidR="005E2234">
        <w:rPr>
          <w:rFonts w:ascii="Arial" w:eastAsia="Calibri" w:hAnsi="Arial" w:cs="Arial"/>
          <w:sz w:val="22"/>
          <w:szCs w:val="24"/>
          <w:lang w:eastAsia="es-ES_tradnl"/>
        </w:rPr>
        <w:t xml:space="preserve">unque </w:t>
      </w:r>
      <w:r w:rsidR="005E2234">
        <w:rPr>
          <w:rFonts w:ascii="Arial" w:eastAsia="Calibri" w:hAnsi="Arial" w:cs="Arial"/>
          <w:color w:val="000000"/>
          <w:sz w:val="22"/>
        </w:rPr>
        <w:t xml:space="preserve">el numeral 4.2.4 del documento base –en concordancia con el artículo 13, parágrafo 1, de la Ley 1480 de 2011– dispone que «[…] </w:t>
      </w:r>
      <w:r w:rsidR="005E2234" w:rsidRPr="00DE1E2D">
        <w:rPr>
          <w:rFonts w:ascii="Arial" w:eastAsia="Calibri" w:hAnsi="Arial" w:cs="Arial"/>
          <w:color w:val="000000"/>
          <w:sz w:val="22"/>
        </w:rPr>
        <w:t>es aplicable la regla de responsabilidad solidaria, respecto de quienes hayan participado en la cadena de distribución con posterioridad a quien emitió la garantía suplementaria</w:t>
      </w:r>
      <w:r w:rsidR="005E2234">
        <w:rPr>
          <w:rFonts w:ascii="Arial" w:eastAsia="Calibri" w:hAnsi="Arial" w:cs="Arial"/>
          <w:color w:val="000000"/>
          <w:sz w:val="22"/>
        </w:rPr>
        <w:t xml:space="preserve">», si no existe cobertura de la garantía adicional a través de la póliza, la aseguradora no está obligada a responder. Esto en la medida que si el factor de calidad fue ofrecido directamente por el proponente, es necesario aplicar el principio de relatividad, postulado según el cual el </w:t>
      </w:r>
      <w:r w:rsidR="005E2234">
        <w:rPr>
          <w:rFonts w:ascii="Arial" w:eastAsia="Calibri" w:hAnsi="Arial" w:cs="Arial"/>
          <w:color w:val="000000"/>
          <w:sz w:val="22"/>
        </w:rPr>
        <w:lastRenderedPageBreak/>
        <w:t>cumplimiento de las obligaciones corresponde al deudor sin afectar a terceros que no hayan prestado previamente su consentimiento</w:t>
      </w:r>
    </w:p>
    <w:p w14:paraId="3736D4B2" w14:textId="77777777" w:rsidR="008F0E10" w:rsidRPr="006C15D5" w:rsidRDefault="008F0E10" w:rsidP="008F0E10">
      <w:pPr>
        <w:spacing w:line="276" w:lineRule="auto"/>
        <w:ind w:right="709"/>
        <w:jc w:val="both"/>
        <w:rPr>
          <w:rFonts w:ascii="Arial" w:hAnsi="Arial" w:cs="Arial"/>
          <w:color w:val="000000" w:themeColor="text1"/>
          <w:sz w:val="21"/>
          <w:szCs w:val="21"/>
          <w:lang w:val="es-CO"/>
        </w:rPr>
      </w:pPr>
    </w:p>
    <w:p w14:paraId="4D8A7EE4" w14:textId="1BD8BFCC" w:rsidR="008F0E10" w:rsidRPr="006C15D5" w:rsidRDefault="00831294" w:rsidP="008F0E10">
      <w:pPr>
        <w:ind w:left="709" w:right="709"/>
        <w:jc w:val="both"/>
        <w:rPr>
          <w:rFonts w:ascii="Arial" w:eastAsia="Calibri" w:hAnsi="Arial" w:cs="Arial"/>
          <w:color w:val="000000" w:themeColor="text1"/>
          <w:sz w:val="21"/>
          <w:szCs w:val="21"/>
        </w:rPr>
      </w:pPr>
      <w:r w:rsidRPr="00831294">
        <w:rPr>
          <w:rFonts w:ascii="Arial" w:eastAsia="Calibri" w:hAnsi="Arial" w:cs="Arial"/>
          <w:color w:val="000000" w:themeColor="text1"/>
          <w:sz w:val="21"/>
          <w:szCs w:val="21"/>
        </w:rPr>
        <w:t>iii) «Si este ofrecimiento adicional es respaldado por una aseguradora. ¿En qué momento se entregaría la respectiva póliza?»</w:t>
      </w:r>
      <w:r w:rsidR="00603C7F" w:rsidRPr="00603C7F">
        <w:rPr>
          <w:rFonts w:ascii="Arial" w:eastAsia="Calibri" w:hAnsi="Arial" w:cs="Arial"/>
          <w:color w:val="000000" w:themeColor="text1"/>
          <w:sz w:val="21"/>
          <w:szCs w:val="21"/>
        </w:rPr>
        <w:t>.</w:t>
      </w:r>
    </w:p>
    <w:p w14:paraId="5532BC94" w14:textId="77777777" w:rsidR="008F0E10" w:rsidRDefault="008F0E10" w:rsidP="008F0E10">
      <w:pPr>
        <w:spacing w:line="276" w:lineRule="auto"/>
        <w:jc w:val="both"/>
        <w:rPr>
          <w:rFonts w:ascii="Arial" w:eastAsia="Calibri" w:hAnsi="Arial" w:cs="Arial"/>
          <w:color w:val="000000" w:themeColor="text1"/>
          <w:sz w:val="22"/>
        </w:rPr>
      </w:pPr>
    </w:p>
    <w:p w14:paraId="07023DDE" w14:textId="156C0A3B" w:rsidR="006A35E4" w:rsidRPr="00C76D1F" w:rsidRDefault="00A012EF" w:rsidP="003F17D5">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Sea que la «Garantía Suplementaria o Adicional» se allegue a través de una póliza de seguros o que el proponente la suscriba directamente </w:t>
      </w:r>
      <w:r w:rsidR="00EE02B4">
        <w:rPr>
          <w:rFonts w:ascii="Arial" w:eastAsia="Calibri" w:hAnsi="Arial" w:cs="Arial"/>
          <w:color w:val="000000" w:themeColor="text1"/>
          <w:sz w:val="22"/>
          <w:lang w:val="es-ES"/>
        </w:rPr>
        <w:t>mediante</w:t>
      </w:r>
      <w:r>
        <w:rPr>
          <w:rFonts w:ascii="Arial" w:eastAsia="Calibri" w:hAnsi="Arial" w:cs="Arial"/>
          <w:color w:val="000000" w:themeColor="text1"/>
          <w:sz w:val="22"/>
          <w:lang w:val="es-ES"/>
        </w:rPr>
        <w:t xml:space="preserve"> una garantía comercial, </w:t>
      </w:r>
      <w:r w:rsidRPr="00A012EF">
        <w:rPr>
          <w:rFonts w:ascii="Arial" w:eastAsia="Calibri" w:hAnsi="Arial" w:cs="Arial"/>
          <w:color w:val="000000" w:themeColor="text1"/>
          <w:sz w:val="22"/>
          <w:lang w:val="es-ES"/>
        </w:rPr>
        <w:t xml:space="preserve">el numeral 4.2.4 en el literal VIII) dispone que «La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w:t>
      </w:r>
      <w:r w:rsidR="00EE02B4">
        <w:rPr>
          <w:rFonts w:ascii="Arial" w:eastAsia="Calibri" w:hAnsi="Arial" w:cs="Arial"/>
          <w:color w:val="000000" w:themeColor="text1"/>
          <w:sz w:val="22"/>
          <w:lang w:val="es-ES"/>
        </w:rPr>
        <w:t xml:space="preserve">En armonía con lo anterior, </w:t>
      </w:r>
      <w:r w:rsidR="00EE02B4" w:rsidRPr="00C76D1F">
        <w:rPr>
          <w:rFonts w:ascii="Arial" w:eastAsia="Calibri" w:hAnsi="Arial" w:cs="Arial"/>
          <w:color w:val="000000" w:themeColor="text1"/>
          <w:sz w:val="22"/>
          <w:lang w:val="es-ES"/>
        </w:rPr>
        <w:t>la cláusula décim</w:t>
      </w:r>
      <w:r w:rsidR="00EE02B4">
        <w:rPr>
          <w:rFonts w:ascii="Arial" w:eastAsia="Calibri" w:hAnsi="Arial" w:cs="Arial"/>
          <w:color w:val="000000" w:themeColor="text1"/>
          <w:sz w:val="22"/>
          <w:lang w:val="es-ES"/>
        </w:rPr>
        <w:t>a</w:t>
      </w:r>
      <w:r w:rsidR="00EE02B4" w:rsidRPr="00C76D1F">
        <w:rPr>
          <w:rFonts w:ascii="Arial" w:eastAsia="Calibri" w:hAnsi="Arial" w:cs="Arial"/>
          <w:color w:val="000000" w:themeColor="text1"/>
          <w:sz w:val="22"/>
          <w:lang w:val="es-ES"/>
        </w:rPr>
        <w:t xml:space="preserve"> segunda obliga a la entidad contratante a «Fijar un cronograma con el Contratista para la ejecución del factor de calidad ofrecido en la etapa de selección que permita su implementación oportuna durante el desarrollo del contrato»</w:t>
      </w:r>
      <w:r w:rsidR="00EE02B4">
        <w:rPr>
          <w:rFonts w:ascii="Arial" w:eastAsia="Calibri" w:hAnsi="Arial" w:cs="Arial"/>
          <w:color w:val="000000" w:themeColor="text1"/>
          <w:sz w:val="22"/>
          <w:lang w:val="es-ES"/>
        </w:rPr>
        <w:t xml:space="preserve">. </w:t>
      </w:r>
      <w:r w:rsidRPr="00A012EF">
        <w:rPr>
          <w:rFonts w:ascii="Arial" w:eastAsia="Calibri" w:hAnsi="Arial" w:cs="Arial"/>
          <w:color w:val="000000" w:themeColor="text1"/>
          <w:sz w:val="22"/>
          <w:lang w:val="es-ES"/>
        </w:rPr>
        <w:t>De este modo, el interventor, durante la ejecución del contrato, verifica que el contratista aporte el documento que acredite el cumplimiento de otorgar la garantía suplementaria</w:t>
      </w:r>
      <w:r w:rsidR="00C14E7D" w:rsidRPr="00C76D1F">
        <w:rPr>
          <w:rFonts w:ascii="Arial" w:eastAsia="Calibri" w:hAnsi="Arial" w:cs="Arial"/>
          <w:color w:val="000000" w:themeColor="text1"/>
          <w:sz w:val="22"/>
          <w:lang w:val="es-ES"/>
        </w:rPr>
        <w:t xml:space="preserve">. </w:t>
      </w:r>
    </w:p>
    <w:p w14:paraId="5B19EE67" w14:textId="0CDBC0C2" w:rsidR="003B65F9" w:rsidRDefault="003B65F9" w:rsidP="003F17D5">
      <w:pPr>
        <w:spacing w:line="276" w:lineRule="auto"/>
        <w:jc w:val="both"/>
        <w:rPr>
          <w:rFonts w:ascii="Arial" w:eastAsia="Calibri" w:hAnsi="Arial" w:cs="Arial"/>
          <w:color w:val="000000" w:themeColor="text1"/>
          <w:sz w:val="22"/>
        </w:rPr>
      </w:pPr>
    </w:p>
    <w:p w14:paraId="657E960F" w14:textId="62C164DD" w:rsidR="003B65F9" w:rsidRPr="00510054" w:rsidRDefault="003B65F9" w:rsidP="00510054">
      <w:pPr>
        <w:ind w:left="709" w:right="709"/>
        <w:jc w:val="both"/>
        <w:rPr>
          <w:rFonts w:ascii="Arial" w:eastAsia="Calibri" w:hAnsi="Arial" w:cs="Arial"/>
          <w:color w:val="000000" w:themeColor="text1"/>
          <w:sz w:val="21"/>
          <w:szCs w:val="21"/>
        </w:rPr>
      </w:pPr>
      <w:r w:rsidRPr="00510054">
        <w:rPr>
          <w:rFonts w:ascii="Arial" w:eastAsia="Calibri" w:hAnsi="Arial" w:cs="Arial"/>
          <w:color w:val="000000" w:themeColor="text1"/>
          <w:sz w:val="21"/>
          <w:szCs w:val="21"/>
        </w:rPr>
        <w:t>v) «¿Qué ha previsto la Agencia para los eventos en que el proponente que otorga una garantía comercial para respaldar la garantía suplementaria o adicional entra en reorganización y se enfrenta ante la imposibilidad de cumplir con la misma?»</w:t>
      </w:r>
      <w:r w:rsidR="000E3983">
        <w:rPr>
          <w:rFonts w:ascii="Arial" w:eastAsia="Calibri" w:hAnsi="Arial" w:cs="Arial"/>
          <w:color w:val="000000" w:themeColor="text1"/>
          <w:sz w:val="21"/>
          <w:szCs w:val="21"/>
        </w:rPr>
        <w:t>.</w:t>
      </w:r>
    </w:p>
    <w:p w14:paraId="334A1250" w14:textId="7804DA72" w:rsidR="003B65F9" w:rsidRDefault="003B65F9" w:rsidP="003F17D5">
      <w:pPr>
        <w:spacing w:line="276" w:lineRule="auto"/>
        <w:jc w:val="both"/>
        <w:rPr>
          <w:rFonts w:ascii="Arial" w:eastAsia="Calibri" w:hAnsi="Arial" w:cs="Arial"/>
          <w:color w:val="000000" w:themeColor="text1"/>
          <w:sz w:val="22"/>
        </w:rPr>
      </w:pPr>
    </w:p>
    <w:p w14:paraId="718D00D0" w14:textId="722D9562" w:rsidR="00510054" w:rsidRDefault="00510054" w:rsidP="0051005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S</w:t>
      </w:r>
      <w:r w:rsidRPr="00510054">
        <w:rPr>
          <w:rFonts w:ascii="Arial" w:eastAsia="Calibri" w:hAnsi="Arial" w:cs="Arial"/>
          <w:color w:val="000000" w:themeColor="text1"/>
          <w:sz w:val="22"/>
        </w:rPr>
        <w:t>i durante la vigencia de la garantía suplementaria el contratista entra en un proceso de reorganización empresarial, el hecho de que el factor de calidad se cumpla con una garantía comercial no elimina la efectividad del ofrecimiento</w:t>
      </w:r>
      <w:r>
        <w:rPr>
          <w:rFonts w:ascii="Arial" w:eastAsia="Calibri" w:hAnsi="Arial" w:cs="Arial"/>
          <w:color w:val="000000" w:themeColor="text1"/>
          <w:sz w:val="22"/>
        </w:rPr>
        <w:t>.</w:t>
      </w:r>
      <w:r w:rsidRPr="003E07C6">
        <w:rPr>
          <w:rFonts w:ascii="Arial" w:eastAsia="Calibri" w:hAnsi="Arial" w:cs="Arial"/>
          <w:color w:val="000000"/>
          <w:sz w:val="22"/>
        </w:rPr>
        <w:t xml:space="preserve"> </w:t>
      </w:r>
      <w:r>
        <w:rPr>
          <w:rFonts w:ascii="Arial" w:eastAsia="Calibri" w:hAnsi="Arial" w:cs="Arial"/>
          <w:color w:val="000000"/>
          <w:sz w:val="22"/>
        </w:rPr>
        <w:t>Por tanto, conforme a lo dispuesto en los artículos 31 y siguientes de la Ley 1116 de 2006, l</w:t>
      </w:r>
      <w:r w:rsidRPr="003E07C6">
        <w:rPr>
          <w:rFonts w:ascii="Arial" w:eastAsia="Calibri" w:hAnsi="Arial" w:cs="Arial"/>
          <w:color w:val="000000"/>
          <w:sz w:val="22"/>
        </w:rPr>
        <w:t xml:space="preserve">a entidad </w:t>
      </w:r>
      <w:r>
        <w:rPr>
          <w:rFonts w:ascii="Arial" w:eastAsia="Calibri" w:hAnsi="Arial" w:cs="Arial"/>
          <w:color w:val="000000"/>
          <w:sz w:val="22"/>
        </w:rPr>
        <w:t>contratante debe disponer</w:t>
      </w:r>
      <w:r w:rsidRPr="003E07C6">
        <w:rPr>
          <w:rFonts w:ascii="Arial" w:eastAsia="Calibri" w:hAnsi="Arial" w:cs="Arial"/>
          <w:color w:val="000000"/>
          <w:sz w:val="22"/>
        </w:rPr>
        <w:t xml:space="preserve"> las medidas necesarias para asegurar </w:t>
      </w:r>
      <w:r>
        <w:rPr>
          <w:rFonts w:ascii="Arial" w:eastAsia="Calibri" w:hAnsi="Arial" w:cs="Arial"/>
          <w:color w:val="000000"/>
          <w:sz w:val="22"/>
        </w:rPr>
        <w:t>la efectividad del factor de calidad directamente ofrecido por el contratista dentro del «acuerdo de reorganización»</w:t>
      </w:r>
      <w:r w:rsidRPr="003E07C6">
        <w:rPr>
          <w:rFonts w:ascii="Arial" w:eastAsia="Calibri" w:hAnsi="Arial" w:cs="Arial"/>
          <w:color w:val="000000"/>
          <w:sz w:val="22"/>
        </w:rPr>
        <w:t>.</w:t>
      </w:r>
    </w:p>
    <w:p w14:paraId="7E545B00" w14:textId="2B3695EF" w:rsidR="003F17D5" w:rsidRDefault="003F17D5" w:rsidP="003F17D5">
      <w:pPr>
        <w:spacing w:line="276" w:lineRule="auto"/>
        <w:jc w:val="both"/>
        <w:rPr>
          <w:rFonts w:ascii="Arial" w:eastAsia="Calibri" w:hAnsi="Arial" w:cs="Arial"/>
          <w:color w:val="000000" w:themeColor="text1"/>
          <w:sz w:val="22"/>
        </w:rPr>
      </w:pPr>
    </w:p>
    <w:p w14:paraId="6822B93B" w14:textId="5A543152" w:rsidR="0093046E" w:rsidRPr="0093046E" w:rsidRDefault="0093046E" w:rsidP="0093046E">
      <w:pPr>
        <w:ind w:left="709" w:right="709"/>
        <w:jc w:val="both"/>
        <w:rPr>
          <w:rFonts w:ascii="Arial" w:eastAsia="Calibri" w:hAnsi="Arial" w:cs="Arial"/>
          <w:color w:val="000000" w:themeColor="text1"/>
          <w:sz w:val="21"/>
          <w:szCs w:val="21"/>
        </w:rPr>
      </w:pPr>
      <w:r w:rsidRPr="0093046E">
        <w:rPr>
          <w:rFonts w:ascii="Arial" w:eastAsia="Calibri" w:hAnsi="Arial" w:cs="Arial"/>
          <w:color w:val="000000" w:themeColor="text1"/>
          <w:sz w:val="21"/>
          <w:szCs w:val="21"/>
        </w:rPr>
        <w:t>vi) «¿cuál es la limitación de responsabilidad de cara a las aseguradoras y como estas Compañías pueden tener la certeza que no van a ser requeridos si el cliente no cumple con lo ofrecido en la garantía comercial, independientemente de la razón que lo lleve al incumplimiento?».</w:t>
      </w:r>
    </w:p>
    <w:p w14:paraId="3A7DA471" w14:textId="195F5ACE" w:rsidR="0093046E" w:rsidRDefault="0093046E" w:rsidP="003F17D5">
      <w:pPr>
        <w:spacing w:line="276" w:lineRule="auto"/>
        <w:jc w:val="both"/>
        <w:rPr>
          <w:rFonts w:ascii="Arial" w:eastAsia="Calibri" w:hAnsi="Arial" w:cs="Arial"/>
          <w:color w:val="000000" w:themeColor="text1"/>
          <w:sz w:val="22"/>
        </w:rPr>
      </w:pPr>
    </w:p>
    <w:p w14:paraId="7A2B56E4" w14:textId="2FD17706" w:rsidR="0093046E" w:rsidRDefault="0093046E" w:rsidP="003F17D5">
      <w:pPr>
        <w:spacing w:line="276" w:lineRule="auto"/>
        <w:jc w:val="both"/>
        <w:rPr>
          <w:rFonts w:ascii="Arial" w:eastAsia="Calibri" w:hAnsi="Arial" w:cs="Arial"/>
          <w:color w:val="000000" w:themeColor="text1"/>
          <w:sz w:val="22"/>
        </w:rPr>
      </w:pPr>
      <w:r>
        <w:rPr>
          <w:rFonts w:ascii="Arial" w:eastAsia="Calibri" w:hAnsi="Arial" w:cs="Arial"/>
          <w:color w:val="000000"/>
          <w:sz w:val="22"/>
        </w:rPr>
        <w:t xml:space="preserve">Conforme a la explicación precedente, </w:t>
      </w:r>
      <w:bookmarkStart w:id="23" w:name="_Hlk63344334"/>
      <w:r w:rsidR="00A07918" w:rsidRPr="00A07918">
        <w:rPr>
          <w:rFonts w:ascii="Arial" w:eastAsia="Calibri" w:hAnsi="Arial" w:cs="Arial"/>
          <w:color w:val="000000"/>
          <w:sz w:val="22"/>
        </w:rPr>
        <w:t xml:space="preserve">cuando el contratista acredita el cumplimiento del factor de calidad a través de la garantía comercial, la entidad solo puede requerir a la aseguradora por el siniestro de la garantía única de cumplimiento, pues corresponde a la garantía legal. </w:t>
      </w:r>
      <w:r w:rsidR="00A07918">
        <w:rPr>
          <w:rFonts w:ascii="Arial" w:eastAsia="Calibri" w:hAnsi="Arial" w:cs="Arial"/>
          <w:color w:val="000000"/>
          <w:sz w:val="22"/>
        </w:rPr>
        <w:t>En la medida</w:t>
      </w:r>
      <w:r w:rsidR="00A07918" w:rsidRPr="00A07918">
        <w:rPr>
          <w:rFonts w:ascii="Arial" w:eastAsia="Calibri" w:hAnsi="Arial" w:cs="Arial"/>
          <w:color w:val="000000"/>
          <w:sz w:val="22"/>
        </w:rPr>
        <w:t xml:space="preserve"> que –conforme al principio de relatividad, explicado </w:t>
      </w:r>
      <w:r w:rsidR="00A07918" w:rsidRPr="00A07918">
        <w:rPr>
          <w:rFonts w:ascii="Arial" w:eastAsia="Calibri" w:hAnsi="Arial" w:cs="Arial"/>
          <w:i/>
          <w:iCs/>
          <w:color w:val="000000"/>
          <w:sz w:val="22"/>
        </w:rPr>
        <w:t>ut supra</w:t>
      </w:r>
      <w:r w:rsidR="00A07918" w:rsidRPr="00A07918">
        <w:rPr>
          <w:rFonts w:ascii="Arial" w:eastAsia="Calibri" w:hAnsi="Arial" w:cs="Arial"/>
          <w:color w:val="000000"/>
          <w:sz w:val="22"/>
        </w:rPr>
        <w:t>– las obligaciones incumben a los interesados, la entidad contratante solo puede reclamar la cobertura de la «Garantía Suplementaria o Adicional» al contratista que la ofreció directamente</w:t>
      </w:r>
      <w:r w:rsidR="00A07918">
        <w:rPr>
          <w:rFonts w:ascii="Arial" w:eastAsia="Calibri" w:hAnsi="Arial" w:cs="Arial"/>
          <w:color w:val="000000"/>
          <w:sz w:val="22"/>
        </w:rPr>
        <w:t>: d</w:t>
      </w:r>
      <w:r w:rsidR="00A07918" w:rsidRPr="00A07918">
        <w:rPr>
          <w:rFonts w:ascii="Arial" w:eastAsia="Calibri" w:hAnsi="Arial" w:cs="Arial"/>
          <w:color w:val="000000"/>
          <w:sz w:val="22"/>
        </w:rPr>
        <w:t xml:space="preserve">ado que carece de respaldo por parte de un tercero, no es posible obligar </w:t>
      </w:r>
      <w:r w:rsidR="00591631">
        <w:rPr>
          <w:rFonts w:ascii="Arial" w:eastAsia="Calibri" w:hAnsi="Arial" w:cs="Arial"/>
          <w:color w:val="000000"/>
          <w:sz w:val="22"/>
        </w:rPr>
        <w:t xml:space="preserve">a </w:t>
      </w:r>
      <w:r w:rsidR="00A07918" w:rsidRPr="00A07918">
        <w:rPr>
          <w:rFonts w:ascii="Arial" w:eastAsia="Calibri" w:hAnsi="Arial" w:cs="Arial"/>
          <w:color w:val="000000"/>
          <w:sz w:val="22"/>
        </w:rPr>
        <w:lastRenderedPageBreak/>
        <w:t xml:space="preserve">las aseguradoras a que respondan por </w:t>
      </w:r>
      <w:r w:rsidR="00591631">
        <w:rPr>
          <w:rFonts w:ascii="Arial" w:eastAsia="Calibri" w:hAnsi="Arial" w:cs="Arial"/>
          <w:color w:val="000000"/>
          <w:sz w:val="22"/>
        </w:rPr>
        <w:t>dicha garantía</w:t>
      </w:r>
      <w:r w:rsidR="00A07918" w:rsidRPr="00A07918">
        <w:rPr>
          <w:rFonts w:ascii="Arial" w:eastAsia="Calibri" w:hAnsi="Arial" w:cs="Arial"/>
          <w:color w:val="000000"/>
          <w:sz w:val="22"/>
        </w:rPr>
        <w:t>, especialmente, cuando no han prestado consentimiento para esta finalidad.</w:t>
      </w:r>
      <w:bookmarkEnd w:id="23"/>
    </w:p>
    <w:p w14:paraId="7BA8E4D3" w14:textId="77777777" w:rsidR="0093046E" w:rsidRDefault="0093046E" w:rsidP="003F17D5">
      <w:pPr>
        <w:spacing w:line="276" w:lineRule="auto"/>
        <w:jc w:val="both"/>
        <w:rPr>
          <w:rFonts w:ascii="Arial" w:eastAsia="Calibri" w:hAnsi="Arial" w:cs="Arial"/>
          <w:color w:val="000000" w:themeColor="text1"/>
          <w:sz w:val="22"/>
        </w:rPr>
      </w:pPr>
    </w:p>
    <w:p w14:paraId="6512681D" w14:textId="0B8B5EA9" w:rsidR="007F79A2" w:rsidRDefault="007F79A2" w:rsidP="007F79A2">
      <w:pPr>
        <w:ind w:left="709" w:right="709"/>
        <w:jc w:val="both"/>
        <w:rPr>
          <w:rFonts w:ascii="Arial" w:eastAsia="Calibri" w:hAnsi="Arial" w:cs="Arial"/>
          <w:color w:val="000000" w:themeColor="text1"/>
          <w:sz w:val="21"/>
          <w:szCs w:val="21"/>
        </w:rPr>
      </w:pPr>
      <w:proofErr w:type="spellStart"/>
      <w:r w:rsidRPr="007F79A2">
        <w:rPr>
          <w:rFonts w:ascii="Arial" w:eastAsia="Calibri" w:hAnsi="Arial" w:cs="Arial"/>
          <w:color w:val="000000" w:themeColor="text1"/>
          <w:sz w:val="21"/>
          <w:szCs w:val="21"/>
        </w:rPr>
        <w:t>vii</w:t>
      </w:r>
      <w:proofErr w:type="spellEnd"/>
      <w:r w:rsidRPr="007F79A2">
        <w:rPr>
          <w:rFonts w:ascii="Arial" w:eastAsia="Calibri" w:hAnsi="Arial" w:cs="Arial"/>
          <w:color w:val="000000" w:themeColor="text1"/>
          <w:sz w:val="21"/>
          <w:szCs w:val="21"/>
        </w:rPr>
        <w:t>) «Para que la garantía suplementaria o adicional pueda ser ofrecida por el proponente a través de una garantía comercial, ¿este debe demostrar algún tipo de respaldo financiero, jurídico o técnico adicional?»</w:t>
      </w:r>
      <w:r>
        <w:rPr>
          <w:rFonts w:ascii="Arial" w:eastAsia="Calibri" w:hAnsi="Arial" w:cs="Arial"/>
          <w:color w:val="000000" w:themeColor="text1"/>
          <w:sz w:val="21"/>
          <w:szCs w:val="21"/>
        </w:rPr>
        <w:t>.</w:t>
      </w:r>
    </w:p>
    <w:p w14:paraId="083B83F7" w14:textId="6E42480F" w:rsidR="007F79A2" w:rsidRPr="007F79A2" w:rsidRDefault="007F79A2" w:rsidP="007F79A2">
      <w:pPr>
        <w:spacing w:line="276" w:lineRule="auto"/>
        <w:ind w:left="709" w:right="709"/>
        <w:jc w:val="both"/>
        <w:rPr>
          <w:rFonts w:ascii="Arial" w:eastAsia="Calibri" w:hAnsi="Arial" w:cs="Arial"/>
          <w:color w:val="000000" w:themeColor="text1"/>
          <w:sz w:val="22"/>
        </w:rPr>
      </w:pPr>
    </w:p>
    <w:p w14:paraId="2DCF7A16" w14:textId="47AC6194" w:rsidR="007F79A2" w:rsidRPr="007F79A2" w:rsidRDefault="007F79A2" w:rsidP="007F79A2">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C</w:t>
      </w:r>
      <w:r w:rsidRPr="007F79A2">
        <w:rPr>
          <w:rFonts w:ascii="Arial" w:eastAsia="Calibri" w:hAnsi="Arial" w:cs="Arial"/>
          <w:color w:val="000000" w:themeColor="text1"/>
          <w:sz w:val="22"/>
        </w:rPr>
        <w:t>uando se trat</w:t>
      </w:r>
      <w:r>
        <w:rPr>
          <w:rFonts w:ascii="Arial" w:eastAsia="Calibri" w:hAnsi="Arial" w:cs="Arial"/>
          <w:color w:val="000000" w:themeColor="text1"/>
          <w:sz w:val="22"/>
        </w:rPr>
        <w:t>e</w:t>
      </w:r>
      <w:r w:rsidRPr="007F79A2">
        <w:rPr>
          <w:rFonts w:ascii="Arial" w:eastAsia="Calibri" w:hAnsi="Arial" w:cs="Arial"/>
          <w:color w:val="000000" w:themeColor="text1"/>
          <w:sz w:val="22"/>
        </w:rPr>
        <w:t xml:space="preserve"> de una garantía comercial, el contratista </w:t>
      </w:r>
      <w:r>
        <w:rPr>
          <w:rFonts w:ascii="Arial" w:eastAsia="Calibri" w:hAnsi="Arial" w:cs="Arial"/>
          <w:color w:val="000000" w:themeColor="text1"/>
          <w:sz w:val="22"/>
        </w:rPr>
        <w:t>debe entregar un</w:t>
      </w:r>
      <w:r w:rsidRPr="007F79A2">
        <w:rPr>
          <w:rFonts w:ascii="Arial" w:eastAsia="Calibri" w:hAnsi="Arial" w:cs="Arial"/>
          <w:color w:val="000000" w:themeColor="text1"/>
          <w:sz w:val="22"/>
        </w:rPr>
        <w:t xml:space="preserve"> documento que cumpla las condiciones mínimas previstas en el artículo 14 de la Ley 1480 de 2011, esto es: i) debe constar por escrito, ii) de fácil comprensión y iii) con caracteres legibles a simple vista, donde se acredite el compromiso y la obligación que asume el contratista frente a la entidad respecto a la garantía adicional en relación con la estabilidad y calidad de la obra. </w:t>
      </w:r>
      <w:bookmarkStart w:id="24" w:name="_Hlk63254428"/>
      <w:r>
        <w:rPr>
          <w:rFonts w:ascii="Arial" w:eastAsia="Calibri" w:hAnsi="Arial" w:cs="Arial"/>
          <w:color w:val="000000" w:themeColor="text1"/>
          <w:sz w:val="22"/>
        </w:rPr>
        <w:t>D</w:t>
      </w:r>
      <w:r w:rsidRPr="007F79A2">
        <w:rPr>
          <w:rFonts w:ascii="Arial" w:eastAsia="Calibri" w:hAnsi="Arial" w:cs="Arial"/>
          <w:color w:val="000000" w:themeColor="text1"/>
          <w:sz w:val="22"/>
        </w:rPr>
        <w:t xml:space="preserve">ado que </w:t>
      </w:r>
      <w:r>
        <w:rPr>
          <w:rFonts w:ascii="Arial" w:eastAsia="Calibri" w:hAnsi="Arial" w:cs="Arial"/>
          <w:color w:val="000000" w:themeColor="text1"/>
          <w:sz w:val="22"/>
        </w:rPr>
        <w:t>el interesado otorga directamente la garantía</w:t>
      </w:r>
      <w:r w:rsidRPr="007F79A2">
        <w:rPr>
          <w:rFonts w:ascii="Arial" w:eastAsia="Calibri" w:hAnsi="Arial" w:cs="Arial"/>
          <w:color w:val="000000" w:themeColor="text1"/>
          <w:sz w:val="22"/>
        </w:rPr>
        <w:t xml:space="preserve">, </w:t>
      </w:r>
      <w:r w:rsidR="00B91814">
        <w:rPr>
          <w:rFonts w:ascii="Arial" w:eastAsia="Calibri" w:hAnsi="Arial" w:cs="Arial"/>
          <w:color w:val="000000" w:themeColor="text1"/>
          <w:sz w:val="22"/>
        </w:rPr>
        <w:t xml:space="preserve">ni </w:t>
      </w:r>
      <w:r w:rsidRPr="007F79A2">
        <w:rPr>
          <w:rFonts w:ascii="Arial" w:eastAsia="Calibri" w:hAnsi="Arial" w:cs="Arial"/>
          <w:color w:val="000000" w:themeColor="text1"/>
          <w:sz w:val="22"/>
        </w:rPr>
        <w:t>la ley n</w:t>
      </w:r>
      <w:r w:rsidR="00B91814">
        <w:rPr>
          <w:rFonts w:ascii="Arial" w:eastAsia="Calibri" w:hAnsi="Arial" w:cs="Arial"/>
          <w:color w:val="000000" w:themeColor="text1"/>
          <w:sz w:val="22"/>
        </w:rPr>
        <w:t>i el pliego de condiciones</w:t>
      </w:r>
      <w:r w:rsidRPr="007F79A2">
        <w:rPr>
          <w:rFonts w:ascii="Arial" w:eastAsia="Calibri" w:hAnsi="Arial" w:cs="Arial"/>
          <w:color w:val="000000" w:themeColor="text1"/>
          <w:sz w:val="22"/>
        </w:rPr>
        <w:t xml:space="preserve"> </w:t>
      </w:r>
      <w:r w:rsidR="00B91814">
        <w:rPr>
          <w:rFonts w:ascii="Arial" w:eastAsia="Calibri" w:hAnsi="Arial" w:cs="Arial"/>
          <w:color w:val="000000" w:themeColor="text1"/>
          <w:sz w:val="22"/>
        </w:rPr>
        <w:t>exigen</w:t>
      </w:r>
      <w:r w:rsidRPr="007F79A2">
        <w:rPr>
          <w:rFonts w:ascii="Arial" w:eastAsia="Calibri" w:hAnsi="Arial" w:cs="Arial"/>
          <w:color w:val="000000" w:themeColor="text1"/>
          <w:sz w:val="22"/>
        </w:rPr>
        <w:t xml:space="preserve"> respaldo financiero, jurídico o técnico adicional</w:t>
      </w:r>
      <w:bookmarkEnd w:id="24"/>
      <w:r w:rsidR="00A440EE">
        <w:rPr>
          <w:rFonts w:ascii="Arial" w:eastAsia="Calibri" w:hAnsi="Arial" w:cs="Arial"/>
          <w:color w:val="000000" w:themeColor="text1"/>
          <w:sz w:val="22"/>
        </w:rPr>
        <w:t xml:space="preserve">, </w:t>
      </w:r>
      <w:r w:rsidR="00A440EE">
        <w:rPr>
          <w:rFonts w:ascii="Arial" w:eastAsia="Calibri" w:hAnsi="Arial" w:cs="Arial"/>
          <w:color w:val="000000"/>
          <w:sz w:val="22"/>
        </w:rPr>
        <w:t>diferentes o superiores a los requisitos habilitantes exigidos en el procedimiento de selección, relacionados, entre otros, con la capacidad jurídica, la experiencia, la capacidad financiera y organizacional del proponente.</w:t>
      </w:r>
    </w:p>
    <w:p w14:paraId="324DE8DA" w14:textId="77777777" w:rsidR="007F79A2" w:rsidRPr="007F79A2" w:rsidRDefault="007F79A2" w:rsidP="007F79A2">
      <w:pPr>
        <w:spacing w:line="276" w:lineRule="auto"/>
        <w:ind w:left="709" w:right="709"/>
        <w:jc w:val="both"/>
        <w:rPr>
          <w:rFonts w:ascii="Arial" w:eastAsia="Calibri" w:hAnsi="Arial" w:cs="Arial"/>
          <w:color w:val="000000" w:themeColor="text1"/>
          <w:sz w:val="22"/>
        </w:rPr>
      </w:pPr>
    </w:p>
    <w:p w14:paraId="13D1E56B" w14:textId="0FA6829E" w:rsidR="003F17D5" w:rsidRDefault="00B91814" w:rsidP="00162700">
      <w:pPr>
        <w:ind w:left="709" w:right="709"/>
        <w:jc w:val="both"/>
        <w:rPr>
          <w:rFonts w:ascii="Arial" w:eastAsia="Calibri" w:hAnsi="Arial" w:cs="Arial"/>
          <w:color w:val="000000" w:themeColor="text1"/>
          <w:sz w:val="22"/>
        </w:rPr>
      </w:pPr>
      <w:proofErr w:type="spellStart"/>
      <w:r>
        <w:rPr>
          <w:rFonts w:ascii="Arial" w:eastAsia="Calibri" w:hAnsi="Arial" w:cs="Arial"/>
          <w:color w:val="000000" w:themeColor="text1"/>
          <w:sz w:val="21"/>
          <w:szCs w:val="21"/>
        </w:rPr>
        <w:t>viii</w:t>
      </w:r>
      <w:proofErr w:type="spellEnd"/>
      <w:r>
        <w:rPr>
          <w:rFonts w:ascii="Arial" w:eastAsia="Calibri" w:hAnsi="Arial" w:cs="Arial"/>
          <w:color w:val="000000" w:themeColor="text1"/>
          <w:sz w:val="21"/>
          <w:szCs w:val="21"/>
        </w:rPr>
        <w:t xml:space="preserve">) </w:t>
      </w:r>
      <w:r w:rsidR="00162700" w:rsidRPr="00162700">
        <w:rPr>
          <w:rFonts w:ascii="Arial" w:eastAsia="Calibri" w:hAnsi="Arial" w:cs="Arial"/>
          <w:color w:val="000000" w:themeColor="text1"/>
          <w:sz w:val="21"/>
          <w:szCs w:val="21"/>
        </w:rPr>
        <w:t>«El artículo 6 de la Resolución No. 240 de 2020 reza: “La presente resolución rige a partir de su publicación, deroga la Resolución 045 de 2020 y sus modificaciones posteriores”, de acuerdo con lo anterior ¿ha de entenderse que deroga todas las disposiciones posteriores que se han emitido con el fin de reglamentar los pliegos tipo incluida la resolución No. 116 de 2020, como modificatoria de la resolución 045 de 2020?»</w:t>
      </w:r>
      <w:r w:rsidR="003F17D5" w:rsidRPr="003F17D5">
        <w:rPr>
          <w:rFonts w:ascii="Arial" w:eastAsia="Calibri" w:hAnsi="Arial" w:cs="Arial"/>
          <w:color w:val="000000" w:themeColor="text1"/>
          <w:sz w:val="21"/>
          <w:szCs w:val="21"/>
        </w:rPr>
        <w:t>.</w:t>
      </w:r>
      <w:r w:rsidR="00AD6339">
        <w:rPr>
          <w:rFonts w:ascii="Arial" w:eastAsia="Calibri" w:hAnsi="Arial" w:cs="Arial"/>
          <w:color w:val="000000" w:themeColor="text1"/>
          <w:sz w:val="22"/>
        </w:rPr>
        <w:t xml:space="preserve"> </w:t>
      </w:r>
    </w:p>
    <w:p w14:paraId="36CB2B93" w14:textId="77777777" w:rsidR="003F17D5" w:rsidRDefault="003F17D5" w:rsidP="003F17D5">
      <w:pPr>
        <w:spacing w:line="276" w:lineRule="auto"/>
        <w:jc w:val="both"/>
        <w:rPr>
          <w:rFonts w:ascii="Arial" w:eastAsia="Calibri" w:hAnsi="Arial" w:cs="Arial"/>
          <w:color w:val="000000" w:themeColor="text1"/>
          <w:sz w:val="22"/>
        </w:rPr>
      </w:pPr>
    </w:p>
    <w:p w14:paraId="579634F6" w14:textId="77777777" w:rsidR="00162700" w:rsidRDefault="00162700" w:rsidP="00162700">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La última versión de los documentos tipo de licitación para obra pública de infraestructura de trasporte adoptada mediante la Resolución No. 240 del 27 de noviembre de 2020, conserva la </w:t>
      </w:r>
      <w:r w:rsidRPr="004D0851">
        <w:rPr>
          <w:rFonts w:ascii="Arial" w:eastAsia="Calibri" w:hAnsi="Arial" w:cs="Arial"/>
          <w:color w:val="000000" w:themeColor="text1"/>
          <w:sz w:val="22"/>
        </w:rPr>
        <w:t>implementación del programa de gerencia de proyectos</w:t>
      </w:r>
      <w:r>
        <w:rPr>
          <w:rFonts w:ascii="Arial" w:eastAsia="Calibri" w:hAnsi="Arial" w:cs="Arial"/>
          <w:color w:val="000000" w:themeColor="text1"/>
          <w:sz w:val="22"/>
        </w:rPr>
        <w:t xml:space="preserve">, la </w:t>
      </w:r>
      <w:r w:rsidRPr="004D0851">
        <w:rPr>
          <w:rFonts w:ascii="Arial" w:eastAsia="Calibri" w:hAnsi="Arial" w:cs="Arial"/>
          <w:color w:val="000000" w:themeColor="text1"/>
          <w:sz w:val="22"/>
        </w:rPr>
        <w:t>disponibilidad y condiciones funcionales de la maquinaria de obra</w:t>
      </w:r>
      <w:r>
        <w:rPr>
          <w:rFonts w:ascii="Arial" w:eastAsia="Calibri" w:hAnsi="Arial" w:cs="Arial"/>
          <w:color w:val="000000" w:themeColor="text1"/>
          <w:sz w:val="22"/>
        </w:rPr>
        <w:t xml:space="preserve"> y la </w:t>
      </w:r>
      <w:r w:rsidRPr="004D0851">
        <w:rPr>
          <w:rFonts w:ascii="Arial" w:eastAsia="Calibri" w:hAnsi="Arial" w:cs="Arial"/>
          <w:color w:val="000000" w:themeColor="text1"/>
          <w:sz w:val="22"/>
        </w:rPr>
        <w:t>presentación de un plan de calidad</w:t>
      </w:r>
      <w:r>
        <w:rPr>
          <w:rFonts w:ascii="Arial" w:eastAsia="Calibri" w:hAnsi="Arial" w:cs="Arial"/>
          <w:color w:val="000000" w:themeColor="text1"/>
          <w:sz w:val="22"/>
        </w:rPr>
        <w:t>. No obstante, la segunda versión incluía</w:t>
      </w:r>
      <w:r w:rsidRPr="001130D4">
        <w:rPr>
          <w:rFonts w:ascii="Arial" w:eastAsia="Calibri" w:hAnsi="Arial" w:cs="Arial"/>
          <w:color w:val="000000" w:themeColor="text1"/>
          <w:sz w:val="22"/>
        </w:rPr>
        <w:t xml:space="preserve"> la presentación de una garantía adicional o suplementaria, cuadrillas de trabajo adicional y mantenimiento rutinario adicional</w:t>
      </w:r>
      <w:r>
        <w:rPr>
          <w:rFonts w:ascii="Arial" w:eastAsia="Calibri" w:hAnsi="Arial" w:cs="Arial"/>
          <w:color w:val="000000" w:themeColor="text1"/>
          <w:sz w:val="22"/>
        </w:rPr>
        <w:t xml:space="preserve">, los cuales fueron modificados por la Resolución 116 del 21 de julio de 2020. </w:t>
      </w:r>
    </w:p>
    <w:p w14:paraId="05708BCC" w14:textId="274F3E1E" w:rsidR="00D14450" w:rsidRPr="009008B3" w:rsidRDefault="00162700" w:rsidP="00C76D1F">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Actualmente, los «Documentos Tipo – Versión 3» de licitación para obra pública de infraestructura de transporte solo reproducen lo relacionado con la garantía adicional o complementaria, el cual se suma a los tres (3) factores de calidad mencionados en el párrafo precedente</w:t>
      </w:r>
      <w:r w:rsidRPr="001130D4">
        <w:rPr>
          <w:rFonts w:ascii="Arial" w:eastAsia="Calibri" w:hAnsi="Arial" w:cs="Arial"/>
          <w:color w:val="000000" w:themeColor="text1"/>
          <w:sz w:val="22"/>
        </w:rPr>
        <w:t>.</w:t>
      </w:r>
      <w:r>
        <w:rPr>
          <w:rFonts w:ascii="Arial" w:eastAsia="Calibri" w:hAnsi="Arial" w:cs="Arial"/>
          <w:color w:val="000000" w:themeColor="text1"/>
          <w:sz w:val="22"/>
        </w:rPr>
        <w:t xml:space="preserve"> Por tanto, en la medida que el artículo 6 de la Resolución No. 240 del 27 de noviembre de 2020 dispone que esta «[…] </w:t>
      </w:r>
      <w:r w:rsidRPr="006F4112">
        <w:rPr>
          <w:rFonts w:ascii="Arial" w:eastAsia="Calibri" w:hAnsi="Arial" w:cs="Arial"/>
          <w:color w:val="000000" w:themeColor="text1"/>
          <w:sz w:val="22"/>
        </w:rPr>
        <w:t>deroga la</w:t>
      </w:r>
      <w:r>
        <w:rPr>
          <w:rFonts w:ascii="Arial" w:eastAsia="Calibri" w:hAnsi="Arial" w:cs="Arial"/>
          <w:color w:val="000000" w:themeColor="text1"/>
          <w:sz w:val="22"/>
        </w:rPr>
        <w:t xml:space="preserve"> </w:t>
      </w:r>
      <w:r w:rsidRPr="006F4112">
        <w:rPr>
          <w:rFonts w:ascii="Arial" w:eastAsia="Calibri" w:hAnsi="Arial" w:cs="Arial"/>
          <w:color w:val="000000" w:themeColor="text1"/>
          <w:sz w:val="22"/>
        </w:rPr>
        <w:t>Resolución 045 de 2020 y sus modificaciones posteriore</w:t>
      </w:r>
      <w:r>
        <w:rPr>
          <w:rFonts w:ascii="Arial" w:eastAsia="Calibri" w:hAnsi="Arial" w:cs="Arial"/>
          <w:color w:val="000000" w:themeColor="text1"/>
          <w:sz w:val="22"/>
        </w:rPr>
        <w:t>s</w:t>
      </w:r>
      <w:r w:rsidR="00FA790A">
        <w:rPr>
          <w:rFonts w:ascii="Arial" w:eastAsia="Calibri" w:hAnsi="Arial" w:cs="Arial"/>
          <w:color w:val="000000" w:themeColor="text1"/>
          <w:sz w:val="22"/>
        </w:rPr>
        <w:t xml:space="preserve"> […]</w:t>
      </w:r>
      <w:r>
        <w:rPr>
          <w:rFonts w:ascii="Arial" w:eastAsia="Calibri" w:hAnsi="Arial" w:cs="Arial"/>
          <w:color w:val="000000" w:themeColor="text1"/>
          <w:sz w:val="22"/>
        </w:rPr>
        <w:t>», se entiende que la Resolución 116 del 21 de julio de 2020 ha dejado de producir efectos</w:t>
      </w:r>
      <w:r w:rsidR="001D2BDC">
        <w:rPr>
          <w:rFonts w:ascii="Arial" w:eastAsia="Calibri" w:hAnsi="Arial" w:cs="Arial"/>
          <w:color w:val="000000" w:themeColor="text1"/>
          <w:sz w:val="22"/>
          <w:lang w:val="es-ES"/>
        </w:rPr>
        <w:t>.</w:t>
      </w:r>
    </w:p>
    <w:p w14:paraId="5B0B1E86" w14:textId="2A87AB85" w:rsidR="00185441" w:rsidRPr="00D14450" w:rsidRDefault="00B63732" w:rsidP="001D2BDC">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lastRenderedPageBreak/>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220067D" w:rsidR="00BE1E33" w:rsidRDefault="00D277EC" w:rsidP="00BE1E33">
      <w:pPr>
        <w:jc w:val="center"/>
        <w:rPr>
          <w:rFonts w:ascii="Arial" w:eastAsia="Times New Roman" w:hAnsi="Arial" w:cs="Arial"/>
          <w:color w:val="000000" w:themeColor="text1"/>
          <w:sz w:val="18"/>
          <w:szCs w:val="20"/>
          <w:lang w:eastAsia="es-CO"/>
        </w:rPr>
      </w:pPr>
      <w:r>
        <w:rPr>
          <w:noProof/>
        </w:rPr>
        <w:drawing>
          <wp:inline distT="0" distB="0" distL="0" distR="0" wp14:anchorId="1FE1CB3F" wp14:editId="343EE65C">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stretch>
                      <a:fillRect/>
                    </a:stretch>
                  </pic:blipFill>
                  <pic:spPr>
                    <a:xfrm>
                      <a:off x="0" y="0"/>
                      <a:ext cx="2514600" cy="111442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12613FD" w:rsidR="00982E99" w:rsidRPr="006C15D5" w:rsidRDefault="00CD169B" w:rsidP="00AC43E7">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T1-15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61E850" w14:textId="77777777" w:rsidR="00CD169B" w:rsidRPr="00CD169B" w:rsidRDefault="00CD169B" w:rsidP="00CD169B">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 xml:space="preserve">Sebastián Ramírez Grisales </w:t>
            </w:r>
          </w:p>
          <w:p w14:paraId="72718C99" w14:textId="261A3383" w:rsidR="00BE1E33" w:rsidRPr="006C15D5" w:rsidRDefault="00CD169B" w:rsidP="00CD169B">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T1-15 de la Subdirección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76E88C" w14:textId="77777777" w:rsidR="00CD169B" w:rsidRPr="00CD169B" w:rsidRDefault="00CD169B" w:rsidP="00CD169B">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75BC677C" w14:textId="66C41534" w:rsidR="00BE1E33" w:rsidRPr="006C15D5" w:rsidRDefault="00CD169B" w:rsidP="00CD169B">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8667" w14:textId="77777777" w:rsidR="00CC2905" w:rsidRDefault="00CC2905" w:rsidP="008C487C">
      <w:r>
        <w:separator/>
      </w:r>
    </w:p>
  </w:endnote>
  <w:endnote w:type="continuationSeparator" w:id="0">
    <w:p w14:paraId="600F518D" w14:textId="77777777" w:rsidR="00CC2905" w:rsidRDefault="00CC290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C4AD" w14:textId="77777777" w:rsidR="00CC2905" w:rsidRDefault="00CC2905" w:rsidP="008C487C">
      <w:r>
        <w:separator/>
      </w:r>
    </w:p>
  </w:footnote>
  <w:footnote w:type="continuationSeparator" w:id="0">
    <w:p w14:paraId="4C5E2D2A" w14:textId="77777777" w:rsidR="00CC2905" w:rsidRDefault="00CC2905" w:rsidP="008C487C">
      <w:r>
        <w:continuationSeparator/>
      </w:r>
    </w:p>
  </w:footnote>
  <w:footnote w:id="1">
    <w:p w14:paraId="5269B8D9" w14:textId="77777777" w:rsidR="007D7CBC" w:rsidRPr="007C72F3" w:rsidRDefault="007D7CBC" w:rsidP="007D7CBC">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3CE54AD4" w14:textId="77777777" w:rsidR="007D7CBC" w:rsidRPr="007C72F3" w:rsidRDefault="007D7CBC" w:rsidP="007D7CBC">
      <w:pPr>
        <w:pStyle w:val="Textonotapie"/>
        <w:ind w:firstLine="708"/>
        <w:jc w:val="both"/>
        <w:rPr>
          <w:rFonts w:ascii="Arial" w:hAnsi="Arial" w:cs="Arial"/>
          <w:sz w:val="19"/>
          <w:szCs w:val="19"/>
          <w:lang w:val="es-CO"/>
        </w:rPr>
      </w:pPr>
    </w:p>
  </w:footnote>
  <w:footnote w:id="2">
    <w:p w14:paraId="4C4AD40F" w14:textId="4CA7238F" w:rsidR="000E6890" w:rsidRDefault="000E6890" w:rsidP="000E6890">
      <w:pPr>
        <w:pStyle w:val="Textonotapie"/>
        <w:ind w:firstLine="708"/>
        <w:jc w:val="both"/>
        <w:rPr>
          <w:rFonts w:ascii="Arial" w:hAnsi="Arial" w:cs="Arial"/>
          <w:sz w:val="19"/>
          <w:szCs w:val="19"/>
        </w:rPr>
      </w:pPr>
      <w:r w:rsidRPr="000E6890">
        <w:rPr>
          <w:rStyle w:val="Refdenotaalpie"/>
          <w:rFonts w:ascii="Arial" w:hAnsi="Arial" w:cs="Arial"/>
          <w:sz w:val="19"/>
          <w:szCs w:val="19"/>
        </w:rPr>
        <w:footnoteRef/>
      </w:r>
      <w:r w:rsidRPr="000E6890">
        <w:rPr>
          <w:rFonts w:ascii="Arial" w:hAnsi="Arial" w:cs="Arial"/>
          <w:sz w:val="19"/>
          <w:szCs w:val="19"/>
        </w:rPr>
        <w:t xml:space="preserve"> </w:t>
      </w:r>
      <w:r w:rsidR="005E5602">
        <w:rPr>
          <w:rFonts w:ascii="Arial" w:hAnsi="Arial" w:cs="Arial"/>
          <w:sz w:val="19"/>
          <w:szCs w:val="19"/>
        </w:rPr>
        <w:t xml:space="preserve">Al respecto, la doctrina considera que «[…] salvo excepciones legales, [los </w:t>
      </w:r>
      <w:r w:rsidR="007750B4">
        <w:rPr>
          <w:rFonts w:ascii="Arial" w:hAnsi="Arial" w:cs="Arial"/>
          <w:sz w:val="19"/>
          <w:szCs w:val="19"/>
        </w:rPr>
        <w:t>actos jurídicos</w:t>
      </w:r>
      <w:r w:rsidR="005E5602">
        <w:rPr>
          <w:rFonts w:ascii="Arial" w:hAnsi="Arial" w:cs="Arial"/>
          <w:sz w:val="19"/>
          <w:szCs w:val="19"/>
        </w:rPr>
        <w:t xml:space="preserve">] no producen derechos y obligaciones para las personas enteramente ajenas a su celebración y que, además, no tienen vinculación alguna con las partes, o sea los terceros, en sentido estricto, </w:t>
      </w:r>
      <w:r w:rsidR="005E5602" w:rsidRPr="007750B4">
        <w:rPr>
          <w:rFonts w:ascii="Arial" w:hAnsi="Arial" w:cs="Arial"/>
          <w:i/>
          <w:iCs/>
          <w:sz w:val="19"/>
          <w:szCs w:val="19"/>
        </w:rPr>
        <w:t>a penitus extranei</w:t>
      </w:r>
      <w:r w:rsidR="005E5602">
        <w:rPr>
          <w:rFonts w:ascii="Arial" w:hAnsi="Arial" w:cs="Arial"/>
          <w:sz w:val="19"/>
          <w:szCs w:val="19"/>
        </w:rPr>
        <w:t>,</w:t>
      </w:r>
      <w:r w:rsidR="007750B4">
        <w:rPr>
          <w:rFonts w:ascii="Arial" w:hAnsi="Arial" w:cs="Arial"/>
          <w:sz w:val="19"/>
          <w:szCs w:val="19"/>
        </w:rPr>
        <w:t xml:space="preserve"> lo cual se justifica, ya que la participación voluntaria o consentimiento es un requisito esencial para la radicación subjetiva de los mencionados efectos de los actos jurídicos»</w:t>
      </w:r>
      <w:r w:rsidR="00D67E33">
        <w:rPr>
          <w:rFonts w:ascii="Arial" w:hAnsi="Arial" w:cs="Arial"/>
          <w:sz w:val="19"/>
          <w:szCs w:val="19"/>
        </w:rPr>
        <w:t xml:space="preserve"> (Cfr. </w:t>
      </w:r>
      <w:r w:rsidR="00D67E33" w:rsidRPr="00D67E33">
        <w:rPr>
          <w:rFonts w:ascii="Arial" w:hAnsi="Arial" w:cs="Arial"/>
          <w:sz w:val="19"/>
          <w:szCs w:val="19"/>
        </w:rPr>
        <w:t>OSPINA FERNÁNDEZ, Guillermo</w:t>
      </w:r>
      <w:r w:rsidR="00D67E33">
        <w:rPr>
          <w:rFonts w:ascii="Arial" w:hAnsi="Arial" w:cs="Arial"/>
          <w:sz w:val="19"/>
          <w:szCs w:val="19"/>
        </w:rPr>
        <w:t xml:space="preserve"> y </w:t>
      </w:r>
      <w:r w:rsidR="00D67E33" w:rsidRPr="00D67E33">
        <w:rPr>
          <w:rFonts w:ascii="Arial" w:hAnsi="Arial" w:cs="Arial"/>
          <w:sz w:val="19"/>
          <w:szCs w:val="19"/>
        </w:rPr>
        <w:t>OSPINA ACOSTA, Eduardo</w:t>
      </w:r>
      <w:r w:rsidR="00D67E33">
        <w:rPr>
          <w:rFonts w:ascii="Arial" w:hAnsi="Arial" w:cs="Arial"/>
          <w:sz w:val="19"/>
          <w:szCs w:val="19"/>
        </w:rPr>
        <w:t xml:space="preserve">. </w:t>
      </w:r>
      <w:r w:rsidR="00D67E33" w:rsidRPr="00D67E33">
        <w:rPr>
          <w:rFonts w:ascii="Arial" w:hAnsi="Arial" w:cs="Arial"/>
          <w:sz w:val="19"/>
          <w:szCs w:val="19"/>
        </w:rPr>
        <w:t>Teoría general del contrato y del negocio jurídico</w:t>
      </w:r>
      <w:r w:rsidR="00D67E33">
        <w:rPr>
          <w:rFonts w:ascii="Arial" w:hAnsi="Arial" w:cs="Arial"/>
          <w:sz w:val="19"/>
          <w:szCs w:val="19"/>
        </w:rPr>
        <w:t>. Quinta edición. Bogotá: Temis, 1998. pp. 358</w:t>
      </w:r>
      <w:r w:rsidR="005E2234">
        <w:rPr>
          <w:rFonts w:ascii="Arial" w:hAnsi="Arial" w:cs="Arial"/>
          <w:sz w:val="19"/>
          <w:szCs w:val="19"/>
        </w:rPr>
        <w:t>-359. Corchetes fuera de texto).</w:t>
      </w:r>
      <w:r w:rsidR="007750B4">
        <w:rPr>
          <w:rFonts w:ascii="Arial" w:hAnsi="Arial" w:cs="Arial"/>
          <w:sz w:val="19"/>
          <w:szCs w:val="19"/>
        </w:rPr>
        <w:t xml:space="preserve"> </w:t>
      </w:r>
      <w:r w:rsidR="005E5602">
        <w:rPr>
          <w:rFonts w:ascii="Arial" w:hAnsi="Arial" w:cs="Arial"/>
          <w:sz w:val="19"/>
          <w:szCs w:val="19"/>
        </w:rPr>
        <w:t xml:space="preserve">  </w:t>
      </w:r>
    </w:p>
    <w:p w14:paraId="32FEFA47" w14:textId="77777777" w:rsidR="005E5602" w:rsidRPr="000E6890" w:rsidRDefault="005E5602" w:rsidP="000E6890">
      <w:pPr>
        <w:pStyle w:val="Textonotapie"/>
        <w:ind w:firstLine="708"/>
        <w:jc w:val="both"/>
        <w:rPr>
          <w:rFonts w:ascii="Arial" w:hAnsi="Arial" w:cs="Arial"/>
          <w:sz w:val="19"/>
          <w:szCs w:val="19"/>
          <w:lang w:val="es-ES"/>
        </w:rPr>
      </w:pPr>
    </w:p>
  </w:footnote>
  <w:footnote w:id="3">
    <w:p w14:paraId="4374735E" w14:textId="77777777" w:rsidR="007D7CBC" w:rsidRPr="007C72F3" w:rsidRDefault="007D7CBC" w:rsidP="007D7CBC">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Decreto 1082 de 2015: «Artículo 2.2.1.2.3.1.7. Garantía de cumplimiento</w:t>
      </w:r>
      <w:r w:rsidRPr="007C72F3">
        <w:rPr>
          <w:rStyle w:val="nfasis"/>
          <w:rFonts w:ascii="Arial" w:hAnsi="Arial" w:cs="Arial"/>
          <w:sz w:val="19"/>
          <w:szCs w:val="19"/>
          <w:shd w:val="clear" w:color="auto" w:fill="FFFFFF"/>
        </w:rPr>
        <w:t xml:space="preserve">. </w:t>
      </w:r>
      <w:r w:rsidRPr="007C72F3">
        <w:rPr>
          <w:rFonts w:ascii="Arial" w:hAnsi="Arial" w:cs="Arial"/>
          <w:sz w:val="19"/>
          <w:szCs w:val="19"/>
          <w:shd w:val="clear" w:color="auto" w:fill="FFFFFF"/>
        </w:rPr>
        <w:t>La garantía de cumplimiento del contrato debe cubrir:</w:t>
      </w:r>
    </w:p>
    <w:p w14:paraId="657ABA82" w14:textId="77777777" w:rsidR="007D7CBC" w:rsidRPr="007C72F3" w:rsidRDefault="007D7CBC" w:rsidP="007D7CBC">
      <w:pPr>
        <w:pStyle w:val="Textonotapie"/>
        <w:ind w:firstLine="708"/>
        <w:jc w:val="both"/>
        <w:rPr>
          <w:rFonts w:ascii="Arial" w:hAnsi="Arial" w:cs="Arial"/>
          <w:color w:val="333333"/>
          <w:sz w:val="19"/>
          <w:szCs w:val="19"/>
          <w:shd w:val="clear" w:color="auto" w:fill="FFFFFF"/>
        </w:rPr>
      </w:pPr>
      <w:r w:rsidRPr="007C72F3">
        <w:rPr>
          <w:rFonts w:ascii="Arial" w:hAnsi="Arial" w:cs="Arial"/>
          <w:color w:val="333333"/>
          <w:sz w:val="19"/>
          <w:szCs w:val="19"/>
          <w:shd w:val="clear" w:color="auto" w:fill="FFFFFF"/>
        </w:rPr>
        <w:t>[…]</w:t>
      </w:r>
    </w:p>
    <w:p w14:paraId="3051F381" w14:textId="0A0A437A" w:rsidR="007D7CBC" w:rsidRDefault="007D7CBC" w:rsidP="007D7CBC">
      <w:pPr>
        <w:pStyle w:val="Textonotapie"/>
        <w:ind w:firstLine="708"/>
        <w:jc w:val="both"/>
        <w:rPr>
          <w:rFonts w:ascii="Arial" w:hAnsi="Arial" w:cs="Arial"/>
          <w:sz w:val="19"/>
          <w:szCs w:val="19"/>
          <w:shd w:val="clear" w:color="auto" w:fill="FFFFFF"/>
        </w:rPr>
      </w:pPr>
      <w:r w:rsidRPr="007C72F3">
        <w:rPr>
          <w:rFonts w:ascii="Arial" w:hAnsi="Arial" w:cs="Arial"/>
          <w:color w:val="333333"/>
          <w:sz w:val="19"/>
          <w:szCs w:val="19"/>
          <w:shd w:val="clear" w:color="auto" w:fill="FFFFFF"/>
        </w:rPr>
        <w:t>»</w:t>
      </w:r>
      <w:r w:rsidRPr="007C72F3">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p w14:paraId="46CB47DB" w14:textId="77777777" w:rsidR="00FF31F1" w:rsidRPr="007C72F3" w:rsidRDefault="00FF31F1" w:rsidP="007D7CBC">
      <w:pPr>
        <w:pStyle w:val="Textonotapie"/>
        <w:ind w:firstLine="708"/>
        <w:jc w:val="both"/>
        <w:rPr>
          <w:rFonts w:ascii="Arial" w:hAnsi="Arial" w:cs="Arial"/>
          <w:sz w:val="19"/>
          <w:szCs w:val="19"/>
          <w:lang w:val="es-CO"/>
        </w:rPr>
      </w:pPr>
    </w:p>
  </w:footnote>
  <w:footnote w:id="4">
    <w:p w14:paraId="7A8A23DF" w14:textId="77777777" w:rsidR="00B429D9" w:rsidRPr="007C72F3" w:rsidRDefault="00B429D9" w:rsidP="00B429D9">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shd w:val="clear" w:color="auto" w:fill="FFFFFF"/>
        </w:rPr>
        <w:t xml:space="preserve">Decreto 1082 de 2015: «Artículo </w:t>
      </w:r>
      <w:bookmarkStart w:id="13" w:name="_Hlk63169716"/>
      <w:r w:rsidRPr="007C72F3">
        <w:rPr>
          <w:rFonts w:ascii="Arial" w:hAnsi="Arial" w:cs="Arial"/>
          <w:sz w:val="19"/>
          <w:szCs w:val="19"/>
          <w:shd w:val="clear" w:color="auto" w:fill="FFFFFF"/>
        </w:rPr>
        <w:t>2.2.1.2.3.1.14</w:t>
      </w:r>
      <w:bookmarkEnd w:id="13"/>
      <w:r w:rsidRPr="007C72F3">
        <w:rPr>
          <w:rFonts w:ascii="Arial" w:hAnsi="Arial" w:cs="Arial"/>
          <w:sz w:val="19"/>
          <w:szCs w:val="19"/>
          <w:shd w:val="clear" w:color="auto" w:fill="FFFFFF"/>
        </w:rPr>
        <w:t>.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208F1BC6" w14:textId="77777777" w:rsidR="00B429D9" w:rsidRDefault="00B429D9" w:rsidP="00B429D9">
      <w:pPr>
        <w:pStyle w:val="Textonotapie"/>
        <w:ind w:firstLine="708"/>
        <w:jc w:val="both"/>
        <w:rPr>
          <w:rFonts w:ascii="Arial" w:hAnsi="Arial" w:cs="Arial"/>
          <w:sz w:val="19"/>
          <w:szCs w:val="19"/>
          <w:shd w:val="clear" w:color="auto" w:fill="FFFFFF"/>
        </w:rPr>
      </w:pPr>
      <w:r w:rsidRPr="007C72F3">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14:paraId="2D2934DA" w14:textId="77777777" w:rsidR="00B429D9" w:rsidRPr="007C72F3" w:rsidRDefault="00B429D9" w:rsidP="00B429D9">
      <w:pPr>
        <w:pStyle w:val="Textonotapie"/>
        <w:ind w:firstLine="708"/>
        <w:jc w:val="both"/>
        <w:rPr>
          <w:rFonts w:ascii="Arial" w:hAnsi="Arial" w:cs="Arial"/>
          <w:sz w:val="19"/>
          <w:szCs w:val="19"/>
          <w:shd w:val="clear" w:color="auto" w:fill="FFFFFF"/>
        </w:rPr>
      </w:pPr>
    </w:p>
  </w:footnote>
  <w:footnote w:id="5">
    <w:p w14:paraId="1FFA5312" w14:textId="77777777" w:rsidR="00FA790A" w:rsidRDefault="00662074" w:rsidP="00662074">
      <w:pPr>
        <w:pStyle w:val="Textonotapie"/>
        <w:ind w:firstLine="708"/>
        <w:jc w:val="both"/>
        <w:rPr>
          <w:rFonts w:ascii="Arial" w:hAnsi="Arial" w:cs="Arial"/>
          <w:sz w:val="19"/>
          <w:szCs w:val="19"/>
        </w:rPr>
      </w:pPr>
      <w:r w:rsidRPr="00662074">
        <w:rPr>
          <w:rStyle w:val="Refdenotaalpie"/>
          <w:rFonts w:ascii="Arial" w:hAnsi="Arial" w:cs="Arial"/>
          <w:sz w:val="19"/>
          <w:szCs w:val="19"/>
        </w:rPr>
        <w:footnoteRef/>
      </w:r>
      <w:r w:rsidRPr="00662074">
        <w:rPr>
          <w:rFonts w:ascii="Arial" w:hAnsi="Arial" w:cs="Arial"/>
          <w:sz w:val="19"/>
          <w:szCs w:val="19"/>
        </w:rPr>
        <w:t xml:space="preserve"> Conforme al «Anexo 5 – Minuta del Contrato», la cláusula novena obliga al contratista a «Acreditar el cumplimiento del factor de calidad ofrecido durante la fase de selección en los plazos acordados con la Entidad». Por su parte, la cláusula décimo segunda obliga a la entidad contratante a «Fijar un cronograma con el Contratista para la ejecución del factor de calidad ofrecido en la etapa de selección que permita su implementación oportuna durante el desarrollo del contrato».  </w:t>
      </w:r>
    </w:p>
    <w:p w14:paraId="1BB0B381" w14:textId="260EC723" w:rsidR="00662074" w:rsidRPr="00662074" w:rsidRDefault="00662074" w:rsidP="00662074">
      <w:pPr>
        <w:pStyle w:val="Textonotapie"/>
        <w:ind w:firstLine="708"/>
        <w:jc w:val="both"/>
        <w:rPr>
          <w:rFonts w:ascii="Arial" w:hAnsi="Arial" w:cs="Arial"/>
          <w:sz w:val="19"/>
          <w:szCs w:val="19"/>
          <w:lang w:val="es-ES"/>
        </w:rPr>
      </w:pPr>
      <w:r w:rsidRPr="00662074">
        <w:rPr>
          <w:rFonts w:ascii="Arial" w:hAnsi="Arial" w:cs="Arial"/>
          <w:sz w:val="19"/>
          <w:szCs w:val="19"/>
        </w:rPr>
        <w:t xml:space="preserve"> </w:t>
      </w:r>
    </w:p>
  </w:footnote>
  <w:footnote w:id="6">
    <w:p w14:paraId="561571FB" w14:textId="77777777" w:rsidR="007D7CBC" w:rsidRPr="007C72F3" w:rsidRDefault="007D7CBC" w:rsidP="007D7CBC">
      <w:pPr>
        <w:pStyle w:val="NormalWeb"/>
        <w:spacing w:before="0" w:beforeAutospacing="0" w:after="0" w:afterAutospacing="0"/>
        <w:ind w:firstLine="709"/>
        <w:jc w:val="both"/>
        <w:rPr>
          <w:rFonts w:ascii="Arial" w:hAnsi="Arial" w:cs="Arial"/>
          <w:color w:val="4B4949"/>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eastAsiaTheme="minorHAnsi" w:hAnsi="Arial" w:cs="Arial"/>
          <w:sz w:val="19"/>
          <w:szCs w:val="19"/>
          <w:shd w:val="clear" w:color="auto" w:fill="FFFFFF"/>
          <w:lang w:val="es-MX" w:eastAsia="en-US"/>
        </w:rPr>
        <w:t xml:space="preserve">Ley 1480 de 2011. «Artículo 14. Requisitos de la Garantía Suplementaria. Las garantías suplementarias deberán constar por escrito, ser de fácil comprensión y con caracteres legibles a simple vista». </w:t>
      </w:r>
    </w:p>
    <w:p w14:paraId="0FC27DF5" w14:textId="77777777" w:rsidR="007D7CBC" w:rsidRPr="007C72F3" w:rsidRDefault="007D7CBC" w:rsidP="007D7CBC">
      <w:pPr>
        <w:pStyle w:val="Textonotapie"/>
        <w:ind w:firstLine="708"/>
        <w:jc w:val="both"/>
        <w:rPr>
          <w:rFonts w:ascii="Arial" w:hAnsi="Arial" w:cs="Arial"/>
          <w:sz w:val="19"/>
          <w:szCs w:val="19"/>
          <w:lang w:val="es-CO"/>
        </w:rPr>
      </w:pPr>
    </w:p>
  </w:footnote>
  <w:footnote w:id="7">
    <w:p w14:paraId="3186C1C6" w14:textId="77777777" w:rsidR="00782707" w:rsidRDefault="00782707" w:rsidP="00782707">
      <w:pPr>
        <w:pStyle w:val="Textonotapie"/>
        <w:ind w:firstLine="708"/>
        <w:jc w:val="both"/>
        <w:rPr>
          <w:rFonts w:ascii="Arial" w:hAnsi="Arial" w:cs="Arial"/>
          <w:sz w:val="19"/>
          <w:szCs w:val="19"/>
        </w:rPr>
      </w:pPr>
      <w:r w:rsidRPr="00510054">
        <w:rPr>
          <w:rStyle w:val="Refdenotaalpie"/>
          <w:rFonts w:ascii="Arial" w:hAnsi="Arial" w:cs="Arial"/>
          <w:sz w:val="19"/>
          <w:szCs w:val="19"/>
        </w:rPr>
        <w:footnoteRef/>
      </w:r>
      <w:r>
        <w:rPr>
          <w:rFonts w:ascii="Arial" w:hAnsi="Arial" w:cs="Arial"/>
          <w:sz w:val="19"/>
          <w:szCs w:val="19"/>
        </w:rPr>
        <w:t xml:space="preserve"> </w:t>
      </w:r>
      <w:bookmarkStart w:id="19" w:name="_Hlk63670447"/>
      <w:r>
        <w:rPr>
          <w:rFonts w:ascii="Arial" w:hAnsi="Arial" w:cs="Arial"/>
          <w:sz w:val="19"/>
          <w:szCs w:val="19"/>
        </w:rPr>
        <w:t>MAZEUD, Henry</w:t>
      </w:r>
      <w:bookmarkEnd w:id="19"/>
      <w:r>
        <w:rPr>
          <w:rFonts w:ascii="Arial" w:hAnsi="Arial" w:cs="Arial"/>
          <w:sz w:val="19"/>
          <w:szCs w:val="19"/>
        </w:rPr>
        <w:t xml:space="preserve">, MAZEUD, León y </w:t>
      </w:r>
      <w:r w:rsidRPr="005E1201">
        <w:rPr>
          <w:rFonts w:ascii="Arial" w:hAnsi="Arial" w:cs="Arial"/>
          <w:sz w:val="19"/>
          <w:szCs w:val="19"/>
        </w:rPr>
        <w:t xml:space="preserve">MAZEUD, </w:t>
      </w:r>
      <w:r>
        <w:rPr>
          <w:rFonts w:ascii="Arial" w:hAnsi="Arial" w:cs="Arial"/>
          <w:sz w:val="19"/>
          <w:szCs w:val="19"/>
        </w:rPr>
        <w:t xml:space="preserve">Jean. Lecciones de derecho civil: cumplimiento, extinción y transmisión de las obligaciones. Parte II. Volumen III. Buenos Aires: Ediciones Jurídicas Europa-América, 1978. pp. 34-35.    </w:t>
      </w:r>
    </w:p>
    <w:p w14:paraId="19C498F5" w14:textId="77777777" w:rsidR="00782707" w:rsidRPr="00510054" w:rsidRDefault="00782707" w:rsidP="00782707">
      <w:pPr>
        <w:pStyle w:val="Textonotapie"/>
        <w:ind w:firstLine="708"/>
        <w:jc w:val="both"/>
        <w:rPr>
          <w:rFonts w:ascii="Arial" w:hAnsi="Arial" w:cs="Arial"/>
          <w:sz w:val="19"/>
          <w:szCs w:val="19"/>
          <w:lang w:val="es-ES"/>
        </w:rPr>
      </w:pPr>
    </w:p>
  </w:footnote>
  <w:footnote w:id="8">
    <w:p w14:paraId="24A85E21" w14:textId="7044920C" w:rsidR="00A30C36" w:rsidRDefault="00A30C36" w:rsidP="00B30501">
      <w:pPr>
        <w:pStyle w:val="Textonotapie"/>
        <w:ind w:firstLine="708"/>
        <w:jc w:val="both"/>
        <w:rPr>
          <w:rFonts w:ascii="Arial" w:hAnsi="Arial" w:cs="Arial"/>
          <w:sz w:val="19"/>
          <w:szCs w:val="19"/>
        </w:rPr>
      </w:pPr>
      <w:r w:rsidRPr="00A30C36">
        <w:rPr>
          <w:rStyle w:val="Refdenotaalpie"/>
          <w:rFonts w:ascii="Arial" w:hAnsi="Arial" w:cs="Arial"/>
          <w:sz w:val="19"/>
          <w:szCs w:val="19"/>
        </w:rPr>
        <w:footnoteRef/>
      </w:r>
      <w:r w:rsidRPr="00A30C36">
        <w:rPr>
          <w:rFonts w:ascii="Arial" w:hAnsi="Arial" w:cs="Arial"/>
          <w:sz w:val="19"/>
          <w:szCs w:val="19"/>
        </w:rPr>
        <w:t xml:space="preserve"> </w:t>
      </w:r>
      <w:r>
        <w:rPr>
          <w:rFonts w:ascii="Arial" w:hAnsi="Arial" w:cs="Arial"/>
          <w:sz w:val="19"/>
          <w:szCs w:val="19"/>
        </w:rPr>
        <w:t xml:space="preserve">El artículo </w:t>
      </w:r>
      <w:r w:rsidR="0071407F">
        <w:rPr>
          <w:rFonts w:ascii="Arial" w:hAnsi="Arial" w:cs="Arial"/>
          <w:sz w:val="19"/>
          <w:szCs w:val="19"/>
        </w:rPr>
        <w:t>21</w:t>
      </w:r>
      <w:r>
        <w:rPr>
          <w:rFonts w:ascii="Arial" w:hAnsi="Arial" w:cs="Arial"/>
          <w:sz w:val="19"/>
          <w:szCs w:val="19"/>
        </w:rPr>
        <w:t xml:space="preserve">, inciso </w:t>
      </w:r>
      <w:r w:rsidR="0071407F">
        <w:rPr>
          <w:rFonts w:ascii="Arial" w:hAnsi="Arial" w:cs="Arial"/>
          <w:sz w:val="19"/>
          <w:szCs w:val="19"/>
        </w:rPr>
        <w:t>primero</w:t>
      </w:r>
      <w:r>
        <w:rPr>
          <w:rFonts w:ascii="Arial" w:hAnsi="Arial" w:cs="Arial"/>
          <w:sz w:val="19"/>
          <w:szCs w:val="19"/>
        </w:rPr>
        <w:t xml:space="preserve">, de la Ley </w:t>
      </w:r>
      <w:r w:rsidR="0071407F">
        <w:rPr>
          <w:rFonts w:ascii="Arial" w:hAnsi="Arial" w:cs="Arial"/>
          <w:sz w:val="19"/>
          <w:szCs w:val="19"/>
        </w:rPr>
        <w:t>1116</w:t>
      </w:r>
      <w:r>
        <w:rPr>
          <w:rFonts w:ascii="Arial" w:hAnsi="Arial" w:cs="Arial"/>
          <w:sz w:val="19"/>
          <w:szCs w:val="19"/>
        </w:rPr>
        <w:t xml:space="preserve"> de </w:t>
      </w:r>
      <w:r w:rsidR="0071407F">
        <w:rPr>
          <w:rFonts w:ascii="Arial" w:hAnsi="Arial" w:cs="Arial"/>
          <w:sz w:val="19"/>
          <w:szCs w:val="19"/>
        </w:rPr>
        <w:t>2006</w:t>
      </w:r>
      <w:r>
        <w:rPr>
          <w:rFonts w:ascii="Arial" w:hAnsi="Arial" w:cs="Arial"/>
          <w:sz w:val="19"/>
          <w:szCs w:val="19"/>
        </w:rPr>
        <w:t xml:space="preserve"> dispone </w:t>
      </w:r>
      <w:r w:rsidR="004D2FFB">
        <w:rPr>
          <w:rFonts w:ascii="Arial" w:hAnsi="Arial" w:cs="Arial"/>
          <w:sz w:val="19"/>
          <w:szCs w:val="19"/>
        </w:rPr>
        <w:t>lo siguiente:</w:t>
      </w:r>
      <w:r>
        <w:rPr>
          <w:rFonts w:ascii="Arial" w:hAnsi="Arial" w:cs="Arial"/>
          <w:sz w:val="19"/>
          <w:szCs w:val="19"/>
        </w:rPr>
        <w:t xml:space="preserve"> «</w:t>
      </w:r>
      <w:r w:rsidR="0071407F" w:rsidRPr="0071407F">
        <w:rPr>
          <w:rFonts w:ascii="Arial" w:hAnsi="Arial" w:cs="Arial"/>
          <w:sz w:val="19"/>
          <w:szCs w:val="19"/>
        </w:rPr>
        <w:t>Por el hecho del inicio del proceso de reorganización no podrá decretarse al deudor la terminación unilateral de ningún contrato, incluidos los contratos de fiducia mercantil y encargos fiduciarios con fines diferentes a los de garantía. Tampoco podrá decretarse la caducidad administrativa, a no ser que el proceso de declaratoria de dicha caducidad haya sido iniciado con anterioridad a esa fecha</w:t>
      </w:r>
      <w:r>
        <w:rPr>
          <w:rFonts w:ascii="Arial" w:hAnsi="Arial" w:cs="Arial"/>
          <w:sz w:val="19"/>
          <w:szCs w:val="19"/>
        </w:rPr>
        <w:t>»</w:t>
      </w:r>
      <w:r w:rsidRPr="00A30C36">
        <w:rPr>
          <w:rFonts w:ascii="Arial" w:hAnsi="Arial" w:cs="Arial"/>
          <w:sz w:val="19"/>
          <w:szCs w:val="19"/>
        </w:rPr>
        <w:t>.</w:t>
      </w:r>
      <w:r>
        <w:rPr>
          <w:rFonts w:ascii="Arial" w:hAnsi="Arial" w:cs="Arial"/>
          <w:sz w:val="19"/>
          <w:szCs w:val="19"/>
        </w:rPr>
        <w:t xml:space="preserve"> </w:t>
      </w:r>
    </w:p>
    <w:p w14:paraId="11A3BC44" w14:textId="77777777" w:rsidR="00A71BB2" w:rsidRPr="00A30C36" w:rsidRDefault="00A71BB2" w:rsidP="00B30501">
      <w:pPr>
        <w:pStyle w:val="Textonotapie"/>
        <w:ind w:firstLine="708"/>
        <w:jc w:val="both"/>
        <w:rPr>
          <w:rFonts w:ascii="Arial" w:hAnsi="Arial" w:cs="Arial"/>
          <w:sz w:val="19"/>
          <w:szCs w:val="19"/>
        </w:rPr>
      </w:pPr>
    </w:p>
  </w:footnote>
  <w:footnote w:id="9">
    <w:p w14:paraId="652F7BC1" w14:textId="497D39B1" w:rsidR="00A72618" w:rsidRPr="00A72618" w:rsidRDefault="00A72618" w:rsidP="00A72618">
      <w:pPr>
        <w:pStyle w:val="Textonotapie"/>
        <w:ind w:firstLine="708"/>
        <w:jc w:val="both"/>
        <w:rPr>
          <w:rFonts w:ascii="Arial" w:hAnsi="Arial" w:cs="Arial"/>
          <w:sz w:val="19"/>
          <w:szCs w:val="19"/>
          <w:lang w:val="es-ES"/>
        </w:rPr>
      </w:pPr>
      <w:r w:rsidRPr="00A72618">
        <w:rPr>
          <w:rStyle w:val="Refdenotaalpie"/>
          <w:rFonts w:ascii="Arial" w:hAnsi="Arial" w:cs="Arial"/>
          <w:sz w:val="19"/>
          <w:szCs w:val="19"/>
        </w:rPr>
        <w:footnoteRef/>
      </w:r>
      <w:r w:rsidRPr="00A72618">
        <w:rPr>
          <w:rFonts w:ascii="Arial" w:hAnsi="Arial" w:cs="Arial"/>
          <w:sz w:val="19"/>
          <w:szCs w:val="19"/>
        </w:rPr>
        <w:t xml:space="preserve"> </w:t>
      </w:r>
      <w:r>
        <w:rPr>
          <w:rFonts w:ascii="Arial" w:hAnsi="Arial" w:cs="Arial"/>
          <w:sz w:val="19"/>
          <w:szCs w:val="19"/>
        </w:rPr>
        <w:t>PALACIO HINCAPIÉ, Juan Ángel. La contratación de las entidades estatales. Octava edición. Medellín: Librería Jurídica Sánchez R. SAS, 2020. pp.579-580.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3C6749" w:rsidRDefault="003C6749">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A9"/>
    <w:rsid w:val="00021180"/>
    <w:rsid w:val="00023057"/>
    <w:rsid w:val="00024771"/>
    <w:rsid w:val="0003091B"/>
    <w:rsid w:val="000324C9"/>
    <w:rsid w:val="000333A2"/>
    <w:rsid w:val="00034108"/>
    <w:rsid w:val="00034853"/>
    <w:rsid w:val="0003625C"/>
    <w:rsid w:val="00036E73"/>
    <w:rsid w:val="00037414"/>
    <w:rsid w:val="00040C88"/>
    <w:rsid w:val="00040D6E"/>
    <w:rsid w:val="00042C0C"/>
    <w:rsid w:val="000439E9"/>
    <w:rsid w:val="00043A4D"/>
    <w:rsid w:val="000445B5"/>
    <w:rsid w:val="00044FF2"/>
    <w:rsid w:val="000466AB"/>
    <w:rsid w:val="000466AC"/>
    <w:rsid w:val="00047050"/>
    <w:rsid w:val="00051D31"/>
    <w:rsid w:val="00053D7E"/>
    <w:rsid w:val="00054B43"/>
    <w:rsid w:val="00054E9A"/>
    <w:rsid w:val="000563ED"/>
    <w:rsid w:val="00056B40"/>
    <w:rsid w:val="00057B7C"/>
    <w:rsid w:val="00061E34"/>
    <w:rsid w:val="00061EE4"/>
    <w:rsid w:val="00062512"/>
    <w:rsid w:val="00062B0D"/>
    <w:rsid w:val="000637BE"/>
    <w:rsid w:val="0006519B"/>
    <w:rsid w:val="00065356"/>
    <w:rsid w:val="00072EB9"/>
    <w:rsid w:val="000757B4"/>
    <w:rsid w:val="000763E2"/>
    <w:rsid w:val="00076F69"/>
    <w:rsid w:val="00086A16"/>
    <w:rsid w:val="00091039"/>
    <w:rsid w:val="00091570"/>
    <w:rsid w:val="00091D8F"/>
    <w:rsid w:val="00091F2D"/>
    <w:rsid w:val="000929DE"/>
    <w:rsid w:val="00093E58"/>
    <w:rsid w:val="00095C76"/>
    <w:rsid w:val="00097CD6"/>
    <w:rsid w:val="000A1DBA"/>
    <w:rsid w:val="000A3B96"/>
    <w:rsid w:val="000A4C83"/>
    <w:rsid w:val="000A6338"/>
    <w:rsid w:val="000A6B6F"/>
    <w:rsid w:val="000A70D5"/>
    <w:rsid w:val="000B4A19"/>
    <w:rsid w:val="000C0E39"/>
    <w:rsid w:val="000C3BD4"/>
    <w:rsid w:val="000C3D66"/>
    <w:rsid w:val="000C4A2C"/>
    <w:rsid w:val="000C51AF"/>
    <w:rsid w:val="000C5830"/>
    <w:rsid w:val="000C5C37"/>
    <w:rsid w:val="000C79F1"/>
    <w:rsid w:val="000D088F"/>
    <w:rsid w:val="000D1766"/>
    <w:rsid w:val="000D3EF7"/>
    <w:rsid w:val="000E284C"/>
    <w:rsid w:val="000E3983"/>
    <w:rsid w:val="000E4A3C"/>
    <w:rsid w:val="000E57DB"/>
    <w:rsid w:val="000E5BB2"/>
    <w:rsid w:val="000E6867"/>
    <w:rsid w:val="000E6890"/>
    <w:rsid w:val="000E68C2"/>
    <w:rsid w:val="000E76F4"/>
    <w:rsid w:val="000F1B34"/>
    <w:rsid w:val="000F1E3D"/>
    <w:rsid w:val="000F211E"/>
    <w:rsid w:val="000F5340"/>
    <w:rsid w:val="00100AEC"/>
    <w:rsid w:val="00103CA7"/>
    <w:rsid w:val="001056C0"/>
    <w:rsid w:val="00105A2E"/>
    <w:rsid w:val="001072C4"/>
    <w:rsid w:val="00107607"/>
    <w:rsid w:val="00110B59"/>
    <w:rsid w:val="00112597"/>
    <w:rsid w:val="001130D4"/>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2F17"/>
    <w:rsid w:val="0015466A"/>
    <w:rsid w:val="00154EC0"/>
    <w:rsid w:val="001573F8"/>
    <w:rsid w:val="00162700"/>
    <w:rsid w:val="00162BA0"/>
    <w:rsid w:val="00163EED"/>
    <w:rsid w:val="00164E79"/>
    <w:rsid w:val="00166C81"/>
    <w:rsid w:val="0017049B"/>
    <w:rsid w:val="0017603D"/>
    <w:rsid w:val="001764B9"/>
    <w:rsid w:val="00181A3E"/>
    <w:rsid w:val="00183447"/>
    <w:rsid w:val="00185441"/>
    <w:rsid w:val="001865DB"/>
    <w:rsid w:val="00193C83"/>
    <w:rsid w:val="00194C50"/>
    <w:rsid w:val="00196FB5"/>
    <w:rsid w:val="001A0AEB"/>
    <w:rsid w:val="001B2E5D"/>
    <w:rsid w:val="001B53BD"/>
    <w:rsid w:val="001B5E36"/>
    <w:rsid w:val="001C1D25"/>
    <w:rsid w:val="001C2AE5"/>
    <w:rsid w:val="001D2BDC"/>
    <w:rsid w:val="001D38A0"/>
    <w:rsid w:val="001D5ECE"/>
    <w:rsid w:val="001D6647"/>
    <w:rsid w:val="001D7073"/>
    <w:rsid w:val="001D7420"/>
    <w:rsid w:val="001D7FD4"/>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6E10"/>
    <w:rsid w:val="001F6FBA"/>
    <w:rsid w:val="001F70F8"/>
    <w:rsid w:val="00200F92"/>
    <w:rsid w:val="002034AD"/>
    <w:rsid w:val="00203BF1"/>
    <w:rsid w:val="00203F46"/>
    <w:rsid w:val="002042F7"/>
    <w:rsid w:val="00207033"/>
    <w:rsid w:val="00210D66"/>
    <w:rsid w:val="00211C6F"/>
    <w:rsid w:val="00211FAE"/>
    <w:rsid w:val="0021202D"/>
    <w:rsid w:val="00212E91"/>
    <w:rsid w:val="00215245"/>
    <w:rsid w:val="00217339"/>
    <w:rsid w:val="00222204"/>
    <w:rsid w:val="0022306C"/>
    <w:rsid w:val="002239B4"/>
    <w:rsid w:val="00227C2D"/>
    <w:rsid w:val="00227D08"/>
    <w:rsid w:val="0023008F"/>
    <w:rsid w:val="0023088E"/>
    <w:rsid w:val="0023180C"/>
    <w:rsid w:val="00234C6C"/>
    <w:rsid w:val="0023576D"/>
    <w:rsid w:val="0023728A"/>
    <w:rsid w:val="00237522"/>
    <w:rsid w:val="002430D1"/>
    <w:rsid w:val="00244A28"/>
    <w:rsid w:val="002466F4"/>
    <w:rsid w:val="00247EBA"/>
    <w:rsid w:val="00250912"/>
    <w:rsid w:val="0025095A"/>
    <w:rsid w:val="00250A60"/>
    <w:rsid w:val="00251547"/>
    <w:rsid w:val="00251997"/>
    <w:rsid w:val="002532DE"/>
    <w:rsid w:val="00265031"/>
    <w:rsid w:val="0026520C"/>
    <w:rsid w:val="00266277"/>
    <w:rsid w:val="00270009"/>
    <w:rsid w:val="002705F8"/>
    <w:rsid w:val="002711ED"/>
    <w:rsid w:val="002723C7"/>
    <w:rsid w:val="00273277"/>
    <w:rsid w:val="00273DA3"/>
    <w:rsid w:val="002753B9"/>
    <w:rsid w:val="002807AD"/>
    <w:rsid w:val="00282D8F"/>
    <w:rsid w:val="00283163"/>
    <w:rsid w:val="0028325B"/>
    <w:rsid w:val="0028403E"/>
    <w:rsid w:val="00284C12"/>
    <w:rsid w:val="0028617E"/>
    <w:rsid w:val="00286834"/>
    <w:rsid w:val="00286FAD"/>
    <w:rsid w:val="00295636"/>
    <w:rsid w:val="002969F8"/>
    <w:rsid w:val="00296DBA"/>
    <w:rsid w:val="00297358"/>
    <w:rsid w:val="002A153A"/>
    <w:rsid w:val="002A29CE"/>
    <w:rsid w:val="002A2A80"/>
    <w:rsid w:val="002A6417"/>
    <w:rsid w:val="002A6631"/>
    <w:rsid w:val="002B282F"/>
    <w:rsid w:val="002B45AD"/>
    <w:rsid w:val="002B4B30"/>
    <w:rsid w:val="002B4F96"/>
    <w:rsid w:val="002B56DF"/>
    <w:rsid w:val="002B5F3C"/>
    <w:rsid w:val="002B79E1"/>
    <w:rsid w:val="002B7D1F"/>
    <w:rsid w:val="002C004E"/>
    <w:rsid w:val="002C1969"/>
    <w:rsid w:val="002C3CAC"/>
    <w:rsid w:val="002C441F"/>
    <w:rsid w:val="002C4D8A"/>
    <w:rsid w:val="002C7A63"/>
    <w:rsid w:val="002D06BB"/>
    <w:rsid w:val="002D2B71"/>
    <w:rsid w:val="002D413A"/>
    <w:rsid w:val="002D6514"/>
    <w:rsid w:val="002D7211"/>
    <w:rsid w:val="002E320B"/>
    <w:rsid w:val="002E4348"/>
    <w:rsid w:val="002E5AEA"/>
    <w:rsid w:val="002E67C5"/>
    <w:rsid w:val="002E7BC2"/>
    <w:rsid w:val="002F1C33"/>
    <w:rsid w:val="002F2416"/>
    <w:rsid w:val="002F2DB4"/>
    <w:rsid w:val="002F47DB"/>
    <w:rsid w:val="002F63BB"/>
    <w:rsid w:val="002F6C10"/>
    <w:rsid w:val="002F6DBB"/>
    <w:rsid w:val="002F701E"/>
    <w:rsid w:val="003001AC"/>
    <w:rsid w:val="00300778"/>
    <w:rsid w:val="00302F9F"/>
    <w:rsid w:val="00303EC5"/>
    <w:rsid w:val="00304386"/>
    <w:rsid w:val="00307469"/>
    <w:rsid w:val="00312203"/>
    <w:rsid w:val="00312A01"/>
    <w:rsid w:val="00312B8F"/>
    <w:rsid w:val="00322FD9"/>
    <w:rsid w:val="00326B54"/>
    <w:rsid w:val="0033366E"/>
    <w:rsid w:val="00334E97"/>
    <w:rsid w:val="0033718D"/>
    <w:rsid w:val="003373C2"/>
    <w:rsid w:val="003401FE"/>
    <w:rsid w:val="00340A7A"/>
    <w:rsid w:val="003417F0"/>
    <w:rsid w:val="00341835"/>
    <w:rsid w:val="00341ECA"/>
    <w:rsid w:val="00344791"/>
    <w:rsid w:val="00346ACB"/>
    <w:rsid w:val="00350A47"/>
    <w:rsid w:val="003535D2"/>
    <w:rsid w:val="00356B57"/>
    <w:rsid w:val="0036125C"/>
    <w:rsid w:val="00377CD3"/>
    <w:rsid w:val="00381DFA"/>
    <w:rsid w:val="003825A4"/>
    <w:rsid w:val="00387D0F"/>
    <w:rsid w:val="00390DCF"/>
    <w:rsid w:val="00396821"/>
    <w:rsid w:val="003A06BB"/>
    <w:rsid w:val="003A2944"/>
    <w:rsid w:val="003B0339"/>
    <w:rsid w:val="003B0DEF"/>
    <w:rsid w:val="003B65F9"/>
    <w:rsid w:val="003B689D"/>
    <w:rsid w:val="003B712F"/>
    <w:rsid w:val="003B7185"/>
    <w:rsid w:val="003C01B5"/>
    <w:rsid w:val="003C12E6"/>
    <w:rsid w:val="003C2074"/>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69A5"/>
    <w:rsid w:val="003D6FFB"/>
    <w:rsid w:val="003E07C6"/>
    <w:rsid w:val="003E14F9"/>
    <w:rsid w:val="003F17D5"/>
    <w:rsid w:val="003F309F"/>
    <w:rsid w:val="003F3119"/>
    <w:rsid w:val="003F4E8A"/>
    <w:rsid w:val="003F6D32"/>
    <w:rsid w:val="004077AE"/>
    <w:rsid w:val="00411760"/>
    <w:rsid w:val="004161D4"/>
    <w:rsid w:val="0041633C"/>
    <w:rsid w:val="00416464"/>
    <w:rsid w:val="00417723"/>
    <w:rsid w:val="0041784E"/>
    <w:rsid w:val="00417922"/>
    <w:rsid w:val="00417F88"/>
    <w:rsid w:val="004208F0"/>
    <w:rsid w:val="00421EA9"/>
    <w:rsid w:val="00424512"/>
    <w:rsid w:val="004266E5"/>
    <w:rsid w:val="00430B5A"/>
    <w:rsid w:val="00431C20"/>
    <w:rsid w:val="00432672"/>
    <w:rsid w:val="004344F0"/>
    <w:rsid w:val="00434F58"/>
    <w:rsid w:val="0044207D"/>
    <w:rsid w:val="004429ED"/>
    <w:rsid w:val="004439E2"/>
    <w:rsid w:val="0044462A"/>
    <w:rsid w:val="00447FE5"/>
    <w:rsid w:val="00451231"/>
    <w:rsid w:val="004526D3"/>
    <w:rsid w:val="00452E90"/>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739C"/>
    <w:rsid w:val="004A128C"/>
    <w:rsid w:val="004A1C13"/>
    <w:rsid w:val="004A1DD4"/>
    <w:rsid w:val="004A47B9"/>
    <w:rsid w:val="004A5E72"/>
    <w:rsid w:val="004A6EE1"/>
    <w:rsid w:val="004B0107"/>
    <w:rsid w:val="004B0337"/>
    <w:rsid w:val="004B07EC"/>
    <w:rsid w:val="004B1BEC"/>
    <w:rsid w:val="004B1BEE"/>
    <w:rsid w:val="004B2AB8"/>
    <w:rsid w:val="004B5B9E"/>
    <w:rsid w:val="004C0E5D"/>
    <w:rsid w:val="004C3F61"/>
    <w:rsid w:val="004D05B1"/>
    <w:rsid w:val="004D0851"/>
    <w:rsid w:val="004D1293"/>
    <w:rsid w:val="004D1ADE"/>
    <w:rsid w:val="004D2FFB"/>
    <w:rsid w:val="004D770C"/>
    <w:rsid w:val="004E0C01"/>
    <w:rsid w:val="004E0D21"/>
    <w:rsid w:val="004E1A93"/>
    <w:rsid w:val="004E370E"/>
    <w:rsid w:val="004E7442"/>
    <w:rsid w:val="004E7EAE"/>
    <w:rsid w:val="004F2563"/>
    <w:rsid w:val="004F31BC"/>
    <w:rsid w:val="004F4387"/>
    <w:rsid w:val="004F5D59"/>
    <w:rsid w:val="004F6F82"/>
    <w:rsid w:val="00506335"/>
    <w:rsid w:val="00510054"/>
    <w:rsid w:val="00510BF5"/>
    <w:rsid w:val="00510EDC"/>
    <w:rsid w:val="00513233"/>
    <w:rsid w:val="005138FD"/>
    <w:rsid w:val="005148D1"/>
    <w:rsid w:val="00515597"/>
    <w:rsid w:val="005204A7"/>
    <w:rsid w:val="00521BA7"/>
    <w:rsid w:val="005227FC"/>
    <w:rsid w:val="005237BA"/>
    <w:rsid w:val="00524924"/>
    <w:rsid w:val="005252E2"/>
    <w:rsid w:val="005253FF"/>
    <w:rsid w:val="00530C01"/>
    <w:rsid w:val="00535C6F"/>
    <w:rsid w:val="00535D5D"/>
    <w:rsid w:val="005379AD"/>
    <w:rsid w:val="00546920"/>
    <w:rsid w:val="0054785D"/>
    <w:rsid w:val="005505C3"/>
    <w:rsid w:val="005511D5"/>
    <w:rsid w:val="00551CCE"/>
    <w:rsid w:val="00552A39"/>
    <w:rsid w:val="0055492B"/>
    <w:rsid w:val="00554A31"/>
    <w:rsid w:val="005609D5"/>
    <w:rsid w:val="00563974"/>
    <w:rsid w:val="00565224"/>
    <w:rsid w:val="005678B1"/>
    <w:rsid w:val="005725CA"/>
    <w:rsid w:val="00575DC6"/>
    <w:rsid w:val="00575FF2"/>
    <w:rsid w:val="005760C8"/>
    <w:rsid w:val="00577CD4"/>
    <w:rsid w:val="005820AB"/>
    <w:rsid w:val="00582737"/>
    <w:rsid w:val="0058434B"/>
    <w:rsid w:val="00585FB5"/>
    <w:rsid w:val="00590EE1"/>
    <w:rsid w:val="00591586"/>
    <w:rsid w:val="00591631"/>
    <w:rsid w:val="005929DC"/>
    <w:rsid w:val="00592DB1"/>
    <w:rsid w:val="00595363"/>
    <w:rsid w:val="00595A2B"/>
    <w:rsid w:val="005979C7"/>
    <w:rsid w:val="005A006F"/>
    <w:rsid w:val="005A17D2"/>
    <w:rsid w:val="005A3C39"/>
    <w:rsid w:val="005A5E4A"/>
    <w:rsid w:val="005A7787"/>
    <w:rsid w:val="005A7E8F"/>
    <w:rsid w:val="005B5766"/>
    <w:rsid w:val="005B7357"/>
    <w:rsid w:val="005C1D36"/>
    <w:rsid w:val="005C5055"/>
    <w:rsid w:val="005C5B7C"/>
    <w:rsid w:val="005C673B"/>
    <w:rsid w:val="005D16F3"/>
    <w:rsid w:val="005D1E09"/>
    <w:rsid w:val="005D4CDB"/>
    <w:rsid w:val="005D4D2D"/>
    <w:rsid w:val="005D5105"/>
    <w:rsid w:val="005E1201"/>
    <w:rsid w:val="005E2234"/>
    <w:rsid w:val="005E247C"/>
    <w:rsid w:val="005E3D4F"/>
    <w:rsid w:val="005E5602"/>
    <w:rsid w:val="005E7BBC"/>
    <w:rsid w:val="005F029C"/>
    <w:rsid w:val="005F08FA"/>
    <w:rsid w:val="005F12C4"/>
    <w:rsid w:val="005F19B1"/>
    <w:rsid w:val="005F2F28"/>
    <w:rsid w:val="005F3319"/>
    <w:rsid w:val="005F4324"/>
    <w:rsid w:val="005F5D19"/>
    <w:rsid w:val="005F65B9"/>
    <w:rsid w:val="005F6CBF"/>
    <w:rsid w:val="006005DC"/>
    <w:rsid w:val="00600E42"/>
    <w:rsid w:val="006018AA"/>
    <w:rsid w:val="00603C7F"/>
    <w:rsid w:val="00604CF2"/>
    <w:rsid w:val="00605159"/>
    <w:rsid w:val="006100F4"/>
    <w:rsid w:val="006112D3"/>
    <w:rsid w:val="00612D14"/>
    <w:rsid w:val="006135E6"/>
    <w:rsid w:val="0061747D"/>
    <w:rsid w:val="00632E10"/>
    <w:rsid w:val="00632EA5"/>
    <w:rsid w:val="00635CBC"/>
    <w:rsid w:val="00637F5E"/>
    <w:rsid w:val="00644F52"/>
    <w:rsid w:val="006520A9"/>
    <w:rsid w:val="006525FD"/>
    <w:rsid w:val="00653B17"/>
    <w:rsid w:val="00654483"/>
    <w:rsid w:val="00655EAE"/>
    <w:rsid w:val="006563B5"/>
    <w:rsid w:val="0065701C"/>
    <w:rsid w:val="006604A6"/>
    <w:rsid w:val="00662074"/>
    <w:rsid w:val="00662792"/>
    <w:rsid w:val="00663193"/>
    <w:rsid w:val="00664620"/>
    <w:rsid w:val="00665944"/>
    <w:rsid w:val="00666E9D"/>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3EDB"/>
    <w:rsid w:val="00694209"/>
    <w:rsid w:val="00695F37"/>
    <w:rsid w:val="00697718"/>
    <w:rsid w:val="00697A99"/>
    <w:rsid w:val="006A0482"/>
    <w:rsid w:val="006A1226"/>
    <w:rsid w:val="006A172E"/>
    <w:rsid w:val="006A2035"/>
    <w:rsid w:val="006A3329"/>
    <w:rsid w:val="006A35E4"/>
    <w:rsid w:val="006A7743"/>
    <w:rsid w:val="006B13E2"/>
    <w:rsid w:val="006B150B"/>
    <w:rsid w:val="006B1785"/>
    <w:rsid w:val="006B317D"/>
    <w:rsid w:val="006B45AB"/>
    <w:rsid w:val="006B6C6A"/>
    <w:rsid w:val="006B7F25"/>
    <w:rsid w:val="006C15D5"/>
    <w:rsid w:val="006C1C02"/>
    <w:rsid w:val="006C234F"/>
    <w:rsid w:val="006C2D0C"/>
    <w:rsid w:val="006C3D0C"/>
    <w:rsid w:val="006C53D0"/>
    <w:rsid w:val="006C5955"/>
    <w:rsid w:val="006C5EBD"/>
    <w:rsid w:val="006D0131"/>
    <w:rsid w:val="006D12BD"/>
    <w:rsid w:val="006D1375"/>
    <w:rsid w:val="006D2335"/>
    <w:rsid w:val="006D2BE9"/>
    <w:rsid w:val="006D3570"/>
    <w:rsid w:val="006D3624"/>
    <w:rsid w:val="006D39A8"/>
    <w:rsid w:val="006D4391"/>
    <w:rsid w:val="006D519D"/>
    <w:rsid w:val="006D57BF"/>
    <w:rsid w:val="006E13EF"/>
    <w:rsid w:val="006E34B5"/>
    <w:rsid w:val="006E4EC6"/>
    <w:rsid w:val="006E4EE7"/>
    <w:rsid w:val="006E65C2"/>
    <w:rsid w:val="006F31BC"/>
    <w:rsid w:val="006F3802"/>
    <w:rsid w:val="006F39D0"/>
    <w:rsid w:val="006F3B66"/>
    <w:rsid w:val="006F4112"/>
    <w:rsid w:val="006F4E05"/>
    <w:rsid w:val="006F4E88"/>
    <w:rsid w:val="006F64D1"/>
    <w:rsid w:val="006F661B"/>
    <w:rsid w:val="006F67D8"/>
    <w:rsid w:val="006F7746"/>
    <w:rsid w:val="00700E33"/>
    <w:rsid w:val="00701284"/>
    <w:rsid w:val="00702DAA"/>
    <w:rsid w:val="0070582B"/>
    <w:rsid w:val="00707A9D"/>
    <w:rsid w:val="00711157"/>
    <w:rsid w:val="007119E2"/>
    <w:rsid w:val="0071407F"/>
    <w:rsid w:val="00714800"/>
    <w:rsid w:val="00715B7E"/>
    <w:rsid w:val="00715F0D"/>
    <w:rsid w:val="00717930"/>
    <w:rsid w:val="00720A28"/>
    <w:rsid w:val="00720EB0"/>
    <w:rsid w:val="0072152F"/>
    <w:rsid w:val="00721C21"/>
    <w:rsid w:val="007229FD"/>
    <w:rsid w:val="007237FC"/>
    <w:rsid w:val="00724CAB"/>
    <w:rsid w:val="0073023C"/>
    <w:rsid w:val="00730CDB"/>
    <w:rsid w:val="007323E9"/>
    <w:rsid w:val="00736945"/>
    <w:rsid w:val="00736C89"/>
    <w:rsid w:val="00741408"/>
    <w:rsid w:val="00741707"/>
    <w:rsid w:val="0074177D"/>
    <w:rsid w:val="00741965"/>
    <w:rsid w:val="0074421C"/>
    <w:rsid w:val="00745744"/>
    <w:rsid w:val="00745A21"/>
    <w:rsid w:val="007464B2"/>
    <w:rsid w:val="0075032A"/>
    <w:rsid w:val="00750C12"/>
    <w:rsid w:val="00752A7D"/>
    <w:rsid w:val="00753104"/>
    <w:rsid w:val="00754433"/>
    <w:rsid w:val="00755996"/>
    <w:rsid w:val="00763652"/>
    <w:rsid w:val="00763A36"/>
    <w:rsid w:val="00764602"/>
    <w:rsid w:val="00764BF7"/>
    <w:rsid w:val="00764EA5"/>
    <w:rsid w:val="007650D8"/>
    <w:rsid w:val="00766030"/>
    <w:rsid w:val="00766CBE"/>
    <w:rsid w:val="00767B80"/>
    <w:rsid w:val="00770D7D"/>
    <w:rsid w:val="00770E2C"/>
    <w:rsid w:val="00771030"/>
    <w:rsid w:val="00772497"/>
    <w:rsid w:val="007745AE"/>
    <w:rsid w:val="007750B4"/>
    <w:rsid w:val="007754C3"/>
    <w:rsid w:val="0077638E"/>
    <w:rsid w:val="007768FE"/>
    <w:rsid w:val="00780C18"/>
    <w:rsid w:val="00782707"/>
    <w:rsid w:val="0078305F"/>
    <w:rsid w:val="007902C3"/>
    <w:rsid w:val="00790BB8"/>
    <w:rsid w:val="00791377"/>
    <w:rsid w:val="007915BB"/>
    <w:rsid w:val="00793850"/>
    <w:rsid w:val="00795C86"/>
    <w:rsid w:val="007A01A1"/>
    <w:rsid w:val="007A45E7"/>
    <w:rsid w:val="007A5D42"/>
    <w:rsid w:val="007A73BE"/>
    <w:rsid w:val="007B1754"/>
    <w:rsid w:val="007B2589"/>
    <w:rsid w:val="007B4AAA"/>
    <w:rsid w:val="007B7D36"/>
    <w:rsid w:val="007C6431"/>
    <w:rsid w:val="007C6894"/>
    <w:rsid w:val="007C7DC0"/>
    <w:rsid w:val="007D02F0"/>
    <w:rsid w:val="007D3035"/>
    <w:rsid w:val="007D35C4"/>
    <w:rsid w:val="007D3B8C"/>
    <w:rsid w:val="007D5652"/>
    <w:rsid w:val="007D57EF"/>
    <w:rsid w:val="007D62C7"/>
    <w:rsid w:val="007D6B53"/>
    <w:rsid w:val="007D6D97"/>
    <w:rsid w:val="007D7CBC"/>
    <w:rsid w:val="007E001D"/>
    <w:rsid w:val="007E4BF1"/>
    <w:rsid w:val="007F0547"/>
    <w:rsid w:val="007F1B9C"/>
    <w:rsid w:val="007F2142"/>
    <w:rsid w:val="007F5F0C"/>
    <w:rsid w:val="007F6028"/>
    <w:rsid w:val="007F79A2"/>
    <w:rsid w:val="007F7AC6"/>
    <w:rsid w:val="008007EE"/>
    <w:rsid w:val="008012DE"/>
    <w:rsid w:val="00803061"/>
    <w:rsid w:val="008057D4"/>
    <w:rsid w:val="00807EEE"/>
    <w:rsid w:val="008103E9"/>
    <w:rsid w:val="00810BC7"/>
    <w:rsid w:val="00811DAC"/>
    <w:rsid w:val="0081297C"/>
    <w:rsid w:val="008135F4"/>
    <w:rsid w:val="00813893"/>
    <w:rsid w:val="00813F60"/>
    <w:rsid w:val="00814330"/>
    <w:rsid w:val="0082266E"/>
    <w:rsid w:val="008234E2"/>
    <w:rsid w:val="00824361"/>
    <w:rsid w:val="008250B0"/>
    <w:rsid w:val="00825FD3"/>
    <w:rsid w:val="00826793"/>
    <w:rsid w:val="00831294"/>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0B16"/>
    <w:rsid w:val="00871568"/>
    <w:rsid w:val="00872D25"/>
    <w:rsid w:val="008737E9"/>
    <w:rsid w:val="00874E17"/>
    <w:rsid w:val="0087510D"/>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1C9D"/>
    <w:rsid w:val="008B6430"/>
    <w:rsid w:val="008B727C"/>
    <w:rsid w:val="008B7A53"/>
    <w:rsid w:val="008C24B6"/>
    <w:rsid w:val="008C3ACC"/>
    <w:rsid w:val="008C487C"/>
    <w:rsid w:val="008C4C28"/>
    <w:rsid w:val="008D11E3"/>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030"/>
    <w:rsid w:val="008F67FD"/>
    <w:rsid w:val="008F6D40"/>
    <w:rsid w:val="008F7DCE"/>
    <w:rsid w:val="009006DE"/>
    <w:rsid w:val="009008B3"/>
    <w:rsid w:val="00903E02"/>
    <w:rsid w:val="00904226"/>
    <w:rsid w:val="00905A7E"/>
    <w:rsid w:val="00905B18"/>
    <w:rsid w:val="00905B2F"/>
    <w:rsid w:val="00910C30"/>
    <w:rsid w:val="00912D0F"/>
    <w:rsid w:val="009211CB"/>
    <w:rsid w:val="009231E0"/>
    <w:rsid w:val="00923548"/>
    <w:rsid w:val="00923B70"/>
    <w:rsid w:val="00925293"/>
    <w:rsid w:val="00926241"/>
    <w:rsid w:val="00926B0D"/>
    <w:rsid w:val="0093046E"/>
    <w:rsid w:val="00930B6C"/>
    <w:rsid w:val="00930E4B"/>
    <w:rsid w:val="00931485"/>
    <w:rsid w:val="00942C91"/>
    <w:rsid w:val="009436DA"/>
    <w:rsid w:val="00943862"/>
    <w:rsid w:val="00943A2C"/>
    <w:rsid w:val="0094508D"/>
    <w:rsid w:val="00945F32"/>
    <w:rsid w:val="00946E85"/>
    <w:rsid w:val="0094787E"/>
    <w:rsid w:val="00947C5C"/>
    <w:rsid w:val="009506A7"/>
    <w:rsid w:val="00950763"/>
    <w:rsid w:val="0095113A"/>
    <w:rsid w:val="00952E50"/>
    <w:rsid w:val="00954CF5"/>
    <w:rsid w:val="00955D20"/>
    <w:rsid w:val="00956630"/>
    <w:rsid w:val="009605FA"/>
    <w:rsid w:val="0096368F"/>
    <w:rsid w:val="0096646C"/>
    <w:rsid w:val="00967230"/>
    <w:rsid w:val="00970176"/>
    <w:rsid w:val="00972087"/>
    <w:rsid w:val="00972C13"/>
    <w:rsid w:val="0097420F"/>
    <w:rsid w:val="0097456D"/>
    <w:rsid w:val="00974A47"/>
    <w:rsid w:val="00976BF4"/>
    <w:rsid w:val="00980920"/>
    <w:rsid w:val="009812D7"/>
    <w:rsid w:val="00982E99"/>
    <w:rsid w:val="009841EF"/>
    <w:rsid w:val="00990391"/>
    <w:rsid w:val="00992151"/>
    <w:rsid w:val="009947D1"/>
    <w:rsid w:val="00994B40"/>
    <w:rsid w:val="00996159"/>
    <w:rsid w:val="009961B3"/>
    <w:rsid w:val="009A12B9"/>
    <w:rsid w:val="009A3AC9"/>
    <w:rsid w:val="009A4BF0"/>
    <w:rsid w:val="009A523A"/>
    <w:rsid w:val="009A5714"/>
    <w:rsid w:val="009A5DA7"/>
    <w:rsid w:val="009A6CAA"/>
    <w:rsid w:val="009B0B16"/>
    <w:rsid w:val="009B1AEC"/>
    <w:rsid w:val="009B326F"/>
    <w:rsid w:val="009B4506"/>
    <w:rsid w:val="009B59F6"/>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E6D8B"/>
    <w:rsid w:val="009F0069"/>
    <w:rsid w:val="009F2261"/>
    <w:rsid w:val="009F3537"/>
    <w:rsid w:val="009F6ADC"/>
    <w:rsid w:val="009F78A4"/>
    <w:rsid w:val="009F796E"/>
    <w:rsid w:val="00A00D59"/>
    <w:rsid w:val="00A012EF"/>
    <w:rsid w:val="00A02C1A"/>
    <w:rsid w:val="00A032F8"/>
    <w:rsid w:val="00A07918"/>
    <w:rsid w:val="00A10347"/>
    <w:rsid w:val="00A13B60"/>
    <w:rsid w:val="00A14C36"/>
    <w:rsid w:val="00A158AB"/>
    <w:rsid w:val="00A25657"/>
    <w:rsid w:val="00A30429"/>
    <w:rsid w:val="00A304BE"/>
    <w:rsid w:val="00A30C36"/>
    <w:rsid w:val="00A329B6"/>
    <w:rsid w:val="00A34634"/>
    <w:rsid w:val="00A367A1"/>
    <w:rsid w:val="00A40178"/>
    <w:rsid w:val="00A415D2"/>
    <w:rsid w:val="00A440EE"/>
    <w:rsid w:val="00A44EF8"/>
    <w:rsid w:val="00A460BA"/>
    <w:rsid w:val="00A46CF8"/>
    <w:rsid w:val="00A46FE1"/>
    <w:rsid w:val="00A510F6"/>
    <w:rsid w:val="00A54828"/>
    <w:rsid w:val="00A57F74"/>
    <w:rsid w:val="00A61A04"/>
    <w:rsid w:val="00A627B3"/>
    <w:rsid w:val="00A648E0"/>
    <w:rsid w:val="00A651C9"/>
    <w:rsid w:val="00A67D0F"/>
    <w:rsid w:val="00A70E2D"/>
    <w:rsid w:val="00A71BB2"/>
    <w:rsid w:val="00A72618"/>
    <w:rsid w:val="00A73161"/>
    <w:rsid w:val="00A740E7"/>
    <w:rsid w:val="00A74621"/>
    <w:rsid w:val="00A76A88"/>
    <w:rsid w:val="00A80739"/>
    <w:rsid w:val="00A83829"/>
    <w:rsid w:val="00A862C0"/>
    <w:rsid w:val="00A862CB"/>
    <w:rsid w:val="00A87EE1"/>
    <w:rsid w:val="00A9000F"/>
    <w:rsid w:val="00A906FE"/>
    <w:rsid w:val="00A91A20"/>
    <w:rsid w:val="00A9229F"/>
    <w:rsid w:val="00A94D81"/>
    <w:rsid w:val="00A95100"/>
    <w:rsid w:val="00A97A15"/>
    <w:rsid w:val="00AA0652"/>
    <w:rsid w:val="00AA1162"/>
    <w:rsid w:val="00AA2A39"/>
    <w:rsid w:val="00AA2C16"/>
    <w:rsid w:val="00AA501F"/>
    <w:rsid w:val="00AA5AEE"/>
    <w:rsid w:val="00AA615B"/>
    <w:rsid w:val="00AA6272"/>
    <w:rsid w:val="00AB0DED"/>
    <w:rsid w:val="00AB14AB"/>
    <w:rsid w:val="00AB45BD"/>
    <w:rsid w:val="00AB5263"/>
    <w:rsid w:val="00AB70E4"/>
    <w:rsid w:val="00AC0C81"/>
    <w:rsid w:val="00AC1B48"/>
    <w:rsid w:val="00AC29D6"/>
    <w:rsid w:val="00AC43E7"/>
    <w:rsid w:val="00AD1E1B"/>
    <w:rsid w:val="00AD4BD5"/>
    <w:rsid w:val="00AD54C3"/>
    <w:rsid w:val="00AD6339"/>
    <w:rsid w:val="00AD7459"/>
    <w:rsid w:val="00AD7725"/>
    <w:rsid w:val="00AE0018"/>
    <w:rsid w:val="00AE00EC"/>
    <w:rsid w:val="00AE0522"/>
    <w:rsid w:val="00AE1386"/>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7013"/>
    <w:rsid w:val="00B11F92"/>
    <w:rsid w:val="00B120A7"/>
    <w:rsid w:val="00B13C66"/>
    <w:rsid w:val="00B13C71"/>
    <w:rsid w:val="00B14450"/>
    <w:rsid w:val="00B1586E"/>
    <w:rsid w:val="00B16AAC"/>
    <w:rsid w:val="00B17BC5"/>
    <w:rsid w:val="00B2045A"/>
    <w:rsid w:val="00B20582"/>
    <w:rsid w:val="00B2158C"/>
    <w:rsid w:val="00B217CA"/>
    <w:rsid w:val="00B24E57"/>
    <w:rsid w:val="00B26584"/>
    <w:rsid w:val="00B30501"/>
    <w:rsid w:val="00B30A67"/>
    <w:rsid w:val="00B30D96"/>
    <w:rsid w:val="00B34281"/>
    <w:rsid w:val="00B3678E"/>
    <w:rsid w:val="00B3795F"/>
    <w:rsid w:val="00B4135D"/>
    <w:rsid w:val="00B42262"/>
    <w:rsid w:val="00B429D9"/>
    <w:rsid w:val="00B42B2C"/>
    <w:rsid w:val="00B45C93"/>
    <w:rsid w:val="00B5123E"/>
    <w:rsid w:val="00B51B58"/>
    <w:rsid w:val="00B522C4"/>
    <w:rsid w:val="00B52B0E"/>
    <w:rsid w:val="00B52FDB"/>
    <w:rsid w:val="00B5337D"/>
    <w:rsid w:val="00B533F4"/>
    <w:rsid w:val="00B54444"/>
    <w:rsid w:val="00B566A4"/>
    <w:rsid w:val="00B57FC4"/>
    <w:rsid w:val="00B600E1"/>
    <w:rsid w:val="00B604F8"/>
    <w:rsid w:val="00B62BEA"/>
    <w:rsid w:val="00B63732"/>
    <w:rsid w:val="00B64B90"/>
    <w:rsid w:val="00B65290"/>
    <w:rsid w:val="00B66BC4"/>
    <w:rsid w:val="00B70E26"/>
    <w:rsid w:val="00B71364"/>
    <w:rsid w:val="00B726D5"/>
    <w:rsid w:val="00B72758"/>
    <w:rsid w:val="00B7319C"/>
    <w:rsid w:val="00B74A1E"/>
    <w:rsid w:val="00B7517F"/>
    <w:rsid w:val="00B80E36"/>
    <w:rsid w:val="00B861DA"/>
    <w:rsid w:val="00B86CB5"/>
    <w:rsid w:val="00B86D58"/>
    <w:rsid w:val="00B8744D"/>
    <w:rsid w:val="00B8745F"/>
    <w:rsid w:val="00B9066A"/>
    <w:rsid w:val="00B90754"/>
    <w:rsid w:val="00B90BBE"/>
    <w:rsid w:val="00B91814"/>
    <w:rsid w:val="00B91B78"/>
    <w:rsid w:val="00B93013"/>
    <w:rsid w:val="00B936F7"/>
    <w:rsid w:val="00B9416B"/>
    <w:rsid w:val="00B9572C"/>
    <w:rsid w:val="00B95A93"/>
    <w:rsid w:val="00B9782C"/>
    <w:rsid w:val="00B97D95"/>
    <w:rsid w:val="00B97E3C"/>
    <w:rsid w:val="00BA0158"/>
    <w:rsid w:val="00BA04F9"/>
    <w:rsid w:val="00BA14F3"/>
    <w:rsid w:val="00BA7E78"/>
    <w:rsid w:val="00BB01BD"/>
    <w:rsid w:val="00BB0833"/>
    <w:rsid w:val="00BB0EA7"/>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36F7"/>
    <w:rsid w:val="00BE65AD"/>
    <w:rsid w:val="00BF19F3"/>
    <w:rsid w:val="00BF2443"/>
    <w:rsid w:val="00BF34FD"/>
    <w:rsid w:val="00BF39E3"/>
    <w:rsid w:val="00C01BC4"/>
    <w:rsid w:val="00C0550E"/>
    <w:rsid w:val="00C07755"/>
    <w:rsid w:val="00C07B5E"/>
    <w:rsid w:val="00C07C4E"/>
    <w:rsid w:val="00C10D3E"/>
    <w:rsid w:val="00C10DE8"/>
    <w:rsid w:val="00C12201"/>
    <w:rsid w:val="00C12946"/>
    <w:rsid w:val="00C12AD2"/>
    <w:rsid w:val="00C134EE"/>
    <w:rsid w:val="00C1405A"/>
    <w:rsid w:val="00C14E7D"/>
    <w:rsid w:val="00C14F61"/>
    <w:rsid w:val="00C15574"/>
    <w:rsid w:val="00C15922"/>
    <w:rsid w:val="00C2018B"/>
    <w:rsid w:val="00C2197A"/>
    <w:rsid w:val="00C260BF"/>
    <w:rsid w:val="00C30E1E"/>
    <w:rsid w:val="00C31412"/>
    <w:rsid w:val="00C362A0"/>
    <w:rsid w:val="00C365AF"/>
    <w:rsid w:val="00C367CD"/>
    <w:rsid w:val="00C42740"/>
    <w:rsid w:val="00C43C6C"/>
    <w:rsid w:val="00C4526C"/>
    <w:rsid w:val="00C50B1B"/>
    <w:rsid w:val="00C50C99"/>
    <w:rsid w:val="00C52801"/>
    <w:rsid w:val="00C5395E"/>
    <w:rsid w:val="00C53B7D"/>
    <w:rsid w:val="00C60C0C"/>
    <w:rsid w:val="00C61C54"/>
    <w:rsid w:val="00C6210F"/>
    <w:rsid w:val="00C65EA0"/>
    <w:rsid w:val="00C703AD"/>
    <w:rsid w:val="00C745C6"/>
    <w:rsid w:val="00C750BA"/>
    <w:rsid w:val="00C76D1F"/>
    <w:rsid w:val="00C7706E"/>
    <w:rsid w:val="00C77811"/>
    <w:rsid w:val="00C81AB7"/>
    <w:rsid w:val="00C826EF"/>
    <w:rsid w:val="00C8442D"/>
    <w:rsid w:val="00C85287"/>
    <w:rsid w:val="00C85FA6"/>
    <w:rsid w:val="00C9170B"/>
    <w:rsid w:val="00C95AC9"/>
    <w:rsid w:val="00C964DE"/>
    <w:rsid w:val="00C969C2"/>
    <w:rsid w:val="00C96F18"/>
    <w:rsid w:val="00CA270A"/>
    <w:rsid w:val="00CA304F"/>
    <w:rsid w:val="00CA4545"/>
    <w:rsid w:val="00CA51AC"/>
    <w:rsid w:val="00CA51DE"/>
    <w:rsid w:val="00CA5790"/>
    <w:rsid w:val="00CA634C"/>
    <w:rsid w:val="00CA652B"/>
    <w:rsid w:val="00CA75F5"/>
    <w:rsid w:val="00CA7BFF"/>
    <w:rsid w:val="00CB003C"/>
    <w:rsid w:val="00CB0C4E"/>
    <w:rsid w:val="00CB12E5"/>
    <w:rsid w:val="00CB59D4"/>
    <w:rsid w:val="00CC0C56"/>
    <w:rsid w:val="00CC11B6"/>
    <w:rsid w:val="00CC2905"/>
    <w:rsid w:val="00CC4245"/>
    <w:rsid w:val="00CC6782"/>
    <w:rsid w:val="00CD169B"/>
    <w:rsid w:val="00CD23FE"/>
    <w:rsid w:val="00CD319D"/>
    <w:rsid w:val="00CD33C1"/>
    <w:rsid w:val="00CE15BE"/>
    <w:rsid w:val="00CE29C3"/>
    <w:rsid w:val="00CE35D5"/>
    <w:rsid w:val="00CE4D62"/>
    <w:rsid w:val="00CE6E64"/>
    <w:rsid w:val="00CF048C"/>
    <w:rsid w:val="00CF09D9"/>
    <w:rsid w:val="00CF182A"/>
    <w:rsid w:val="00CF1BF9"/>
    <w:rsid w:val="00CF282F"/>
    <w:rsid w:val="00CF326B"/>
    <w:rsid w:val="00CF5CC1"/>
    <w:rsid w:val="00CF5FDD"/>
    <w:rsid w:val="00CF7D98"/>
    <w:rsid w:val="00D029D8"/>
    <w:rsid w:val="00D02A84"/>
    <w:rsid w:val="00D0300E"/>
    <w:rsid w:val="00D04CE5"/>
    <w:rsid w:val="00D054B2"/>
    <w:rsid w:val="00D0763E"/>
    <w:rsid w:val="00D11186"/>
    <w:rsid w:val="00D122AA"/>
    <w:rsid w:val="00D12644"/>
    <w:rsid w:val="00D134CC"/>
    <w:rsid w:val="00D142E0"/>
    <w:rsid w:val="00D14450"/>
    <w:rsid w:val="00D14C1E"/>
    <w:rsid w:val="00D20C1D"/>
    <w:rsid w:val="00D2166F"/>
    <w:rsid w:val="00D24682"/>
    <w:rsid w:val="00D24F06"/>
    <w:rsid w:val="00D25AEF"/>
    <w:rsid w:val="00D277EC"/>
    <w:rsid w:val="00D279FE"/>
    <w:rsid w:val="00D31785"/>
    <w:rsid w:val="00D32391"/>
    <w:rsid w:val="00D349EE"/>
    <w:rsid w:val="00D35298"/>
    <w:rsid w:val="00D36296"/>
    <w:rsid w:val="00D36DC3"/>
    <w:rsid w:val="00D4126F"/>
    <w:rsid w:val="00D418AD"/>
    <w:rsid w:val="00D42C1B"/>
    <w:rsid w:val="00D44227"/>
    <w:rsid w:val="00D45745"/>
    <w:rsid w:val="00D46629"/>
    <w:rsid w:val="00D51D54"/>
    <w:rsid w:val="00D527DA"/>
    <w:rsid w:val="00D54DF5"/>
    <w:rsid w:val="00D554BA"/>
    <w:rsid w:val="00D56D47"/>
    <w:rsid w:val="00D57835"/>
    <w:rsid w:val="00D60CF3"/>
    <w:rsid w:val="00D613F3"/>
    <w:rsid w:val="00D655FB"/>
    <w:rsid w:val="00D67E33"/>
    <w:rsid w:val="00D70FB4"/>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B39"/>
    <w:rsid w:val="00D92F6C"/>
    <w:rsid w:val="00D93514"/>
    <w:rsid w:val="00D93AED"/>
    <w:rsid w:val="00D94695"/>
    <w:rsid w:val="00D95879"/>
    <w:rsid w:val="00D97A6B"/>
    <w:rsid w:val="00DA2FA3"/>
    <w:rsid w:val="00DA32A1"/>
    <w:rsid w:val="00DA546F"/>
    <w:rsid w:val="00DA65B2"/>
    <w:rsid w:val="00DA7875"/>
    <w:rsid w:val="00DB0AD7"/>
    <w:rsid w:val="00DB751D"/>
    <w:rsid w:val="00DC09BD"/>
    <w:rsid w:val="00DC133D"/>
    <w:rsid w:val="00DC162E"/>
    <w:rsid w:val="00DC35CE"/>
    <w:rsid w:val="00DC3B1E"/>
    <w:rsid w:val="00DC432A"/>
    <w:rsid w:val="00DC496C"/>
    <w:rsid w:val="00DC4C93"/>
    <w:rsid w:val="00DC679E"/>
    <w:rsid w:val="00DD0E98"/>
    <w:rsid w:val="00DD14BC"/>
    <w:rsid w:val="00DD259F"/>
    <w:rsid w:val="00DD4D47"/>
    <w:rsid w:val="00DD565E"/>
    <w:rsid w:val="00DE1E2D"/>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4FDA"/>
    <w:rsid w:val="00E052D3"/>
    <w:rsid w:val="00E05344"/>
    <w:rsid w:val="00E05DA1"/>
    <w:rsid w:val="00E06B3A"/>
    <w:rsid w:val="00E104CD"/>
    <w:rsid w:val="00E1067F"/>
    <w:rsid w:val="00E111AA"/>
    <w:rsid w:val="00E137BB"/>
    <w:rsid w:val="00E15A72"/>
    <w:rsid w:val="00E16ABD"/>
    <w:rsid w:val="00E20266"/>
    <w:rsid w:val="00E205F2"/>
    <w:rsid w:val="00E235DD"/>
    <w:rsid w:val="00E23B80"/>
    <w:rsid w:val="00E261CD"/>
    <w:rsid w:val="00E30356"/>
    <w:rsid w:val="00E3199C"/>
    <w:rsid w:val="00E3352E"/>
    <w:rsid w:val="00E34732"/>
    <w:rsid w:val="00E40987"/>
    <w:rsid w:val="00E41E74"/>
    <w:rsid w:val="00E42D0B"/>
    <w:rsid w:val="00E43955"/>
    <w:rsid w:val="00E43A1A"/>
    <w:rsid w:val="00E441BF"/>
    <w:rsid w:val="00E5029D"/>
    <w:rsid w:val="00E51679"/>
    <w:rsid w:val="00E528C8"/>
    <w:rsid w:val="00E530E8"/>
    <w:rsid w:val="00E5311A"/>
    <w:rsid w:val="00E53AE5"/>
    <w:rsid w:val="00E54CD1"/>
    <w:rsid w:val="00E56980"/>
    <w:rsid w:val="00E56B59"/>
    <w:rsid w:val="00E6266E"/>
    <w:rsid w:val="00E62D29"/>
    <w:rsid w:val="00E64988"/>
    <w:rsid w:val="00E64A38"/>
    <w:rsid w:val="00E66FFF"/>
    <w:rsid w:val="00E719F6"/>
    <w:rsid w:val="00E725EE"/>
    <w:rsid w:val="00E72ACE"/>
    <w:rsid w:val="00E7345E"/>
    <w:rsid w:val="00E756AC"/>
    <w:rsid w:val="00E777CB"/>
    <w:rsid w:val="00E77EDC"/>
    <w:rsid w:val="00E8168D"/>
    <w:rsid w:val="00E8381A"/>
    <w:rsid w:val="00E847F2"/>
    <w:rsid w:val="00E86FB8"/>
    <w:rsid w:val="00E87596"/>
    <w:rsid w:val="00E87794"/>
    <w:rsid w:val="00E9480E"/>
    <w:rsid w:val="00E96422"/>
    <w:rsid w:val="00E97B21"/>
    <w:rsid w:val="00EA5A59"/>
    <w:rsid w:val="00EA62F1"/>
    <w:rsid w:val="00EA6693"/>
    <w:rsid w:val="00EB331D"/>
    <w:rsid w:val="00EB34E7"/>
    <w:rsid w:val="00EB3D8F"/>
    <w:rsid w:val="00EB6BD3"/>
    <w:rsid w:val="00EC3A6B"/>
    <w:rsid w:val="00EC3B89"/>
    <w:rsid w:val="00EC634C"/>
    <w:rsid w:val="00ED0FE3"/>
    <w:rsid w:val="00ED1DBA"/>
    <w:rsid w:val="00ED2910"/>
    <w:rsid w:val="00ED3F7E"/>
    <w:rsid w:val="00ED4715"/>
    <w:rsid w:val="00ED47DC"/>
    <w:rsid w:val="00ED7ACF"/>
    <w:rsid w:val="00EE02B4"/>
    <w:rsid w:val="00EE3B97"/>
    <w:rsid w:val="00EF02BC"/>
    <w:rsid w:val="00EF2CA6"/>
    <w:rsid w:val="00EF2D0D"/>
    <w:rsid w:val="00EF4EAB"/>
    <w:rsid w:val="00EF5B40"/>
    <w:rsid w:val="00EF7502"/>
    <w:rsid w:val="00F00432"/>
    <w:rsid w:val="00F02034"/>
    <w:rsid w:val="00F03884"/>
    <w:rsid w:val="00F03E21"/>
    <w:rsid w:val="00F0411C"/>
    <w:rsid w:val="00F041F6"/>
    <w:rsid w:val="00F046A8"/>
    <w:rsid w:val="00F103DC"/>
    <w:rsid w:val="00F117B1"/>
    <w:rsid w:val="00F128A4"/>
    <w:rsid w:val="00F134F9"/>
    <w:rsid w:val="00F15012"/>
    <w:rsid w:val="00F157AD"/>
    <w:rsid w:val="00F20979"/>
    <w:rsid w:val="00F21D1D"/>
    <w:rsid w:val="00F232CF"/>
    <w:rsid w:val="00F2461C"/>
    <w:rsid w:val="00F24C62"/>
    <w:rsid w:val="00F24FC8"/>
    <w:rsid w:val="00F2664F"/>
    <w:rsid w:val="00F26D0F"/>
    <w:rsid w:val="00F331F0"/>
    <w:rsid w:val="00F34138"/>
    <w:rsid w:val="00F35E57"/>
    <w:rsid w:val="00F36F83"/>
    <w:rsid w:val="00F44566"/>
    <w:rsid w:val="00F460A6"/>
    <w:rsid w:val="00F4673F"/>
    <w:rsid w:val="00F47ACE"/>
    <w:rsid w:val="00F47FCE"/>
    <w:rsid w:val="00F501D2"/>
    <w:rsid w:val="00F5266F"/>
    <w:rsid w:val="00F52BC9"/>
    <w:rsid w:val="00F540AD"/>
    <w:rsid w:val="00F557C0"/>
    <w:rsid w:val="00F56447"/>
    <w:rsid w:val="00F56A1D"/>
    <w:rsid w:val="00F56EE8"/>
    <w:rsid w:val="00F5798C"/>
    <w:rsid w:val="00F61A04"/>
    <w:rsid w:val="00F625EB"/>
    <w:rsid w:val="00F64055"/>
    <w:rsid w:val="00F6564C"/>
    <w:rsid w:val="00F657F0"/>
    <w:rsid w:val="00F65D1F"/>
    <w:rsid w:val="00F710C6"/>
    <w:rsid w:val="00F7142A"/>
    <w:rsid w:val="00F71E7D"/>
    <w:rsid w:val="00F722BD"/>
    <w:rsid w:val="00F72873"/>
    <w:rsid w:val="00F73620"/>
    <w:rsid w:val="00F758ED"/>
    <w:rsid w:val="00F81854"/>
    <w:rsid w:val="00F82ED9"/>
    <w:rsid w:val="00F85EEB"/>
    <w:rsid w:val="00F87415"/>
    <w:rsid w:val="00F91CF0"/>
    <w:rsid w:val="00F9481A"/>
    <w:rsid w:val="00F956D1"/>
    <w:rsid w:val="00F9687F"/>
    <w:rsid w:val="00F97F15"/>
    <w:rsid w:val="00FA08DE"/>
    <w:rsid w:val="00FA0CF5"/>
    <w:rsid w:val="00FA2D9D"/>
    <w:rsid w:val="00FA770D"/>
    <w:rsid w:val="00FA77B7"/>
    <w:rsid w:val="00FA790A"/>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5837"/>
    <w:rsid w:val="00FD6452"/>
    <w:rsid w:val="00FE2B90"/>
    <w:rsid w:val="00FF0A4E"/>
    <w:rsid w:val="00FF14A6"/>
    <w:rsid w:val="00FF285D"/>
    <w:rsid w:val="00FF31F1"/>
    <w:rsid w:val="00FF340F"/>
    <w:rsid w:val="00FF37A3"/>
    <w:rsid w:val="00FF3F9C"/>
    <w:rsid w:val="00FF6110"/>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D609E6BC-7B58-4438-BB6F-4E2117E05372}">
  <ds:schemaRefs>
    <ds:schemaRef ds:uri="http://schemas.openxmlformats.org/officeDocument/2006/bibliography"/>
  </ds:schemaRefs>
</ds:datastoreItem>
</file>

<file path=customXml/itemProps4.xml><?xml version="1.0" encoding="utf-8"?>
<ds:datastoreItem xmlns:ds="http://schemas.openxmlformats.org/officeDocument/2006/customXml" ds:itemID="{D7A850D8-3E4C-447F-8EBE-1D64D713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5325</Words>
  <Characters>29289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Liliana Patricia Sanguino Arenas</cp:lastModifiedBy>
  <cp:revision>41</cp:revision>
  <cp:lastPrinted>2020-03-17T17:42:00Z</cp:lastPrinted>
  <dcterms:created xsi:type="dcterms:W3CDTF">2021-02-09T22:16:00Z</dcterms:created>
  <dcterms:modified xsi:type="dcterms:W3CDTF">2022-03-26T18:38:00Z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