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C75C1" w:rsidR="002415B8" w:rsidP="008536BB" w:rsidRDefault="00B55C69" w14:paraId="363CAC71" w14:textId="5282EFA7">
      <w:pPr>
        <w:jc w:val="right"/>
        <w:rPr>
          <w:rFonts w:ascii="Arial" w:hAnsi="Arial" w:eastAsia="Calibri" w:cs="Arial"/>
          <w:b/>
          <w:color w:val="000000" w:themeColor="text1"/>
          <w:sz w:val="20"/>
          <w:szCs w:val="20"/>
          <w:lang w:val="es-ES_tradnl"/>
        </w:rPr>
      </w:pPr>
      <w:bookmarkStart w:name="_Hlk28946138" w:id="0"/>
      <w:bookmarkStart w:name="_Hlk29548183" w:id="1"/>
      <w:r w:rsidRPr="001C75C1">
        <w:rPr>
          <w:rFonts w:ascii="Arial" w:hAnsi="Arial" w:cs="Arial"/>
          <w:bCs/>
          <w:color w:val="000000" w:themeColor="text1"/>
          <w:sz w:val="16"/>
          <w:szCs w:val="16"/>
          <w:lang w:val="es-ES_tradnl" w:eastAsia="es-ES"/>
        </w:rPr>
        <w:t>CCE-DES-FM-17</w:t>
      </w:r>
      <w:bookmarkEnd w:id="0"/>
      <w:bookmarkEnd w:id="1"/>
    </w:p>
    <w:p w:rsidRPr="001C75C1" w:rsidR="00580772" w:rsidP="00E52CE7" w:rsidRDefault="00580772" w14:paraId="17A05F16" w14:textId="77777777">
      <w:pPr>
        <w:jc w:val="both"/>
        <w:rPr>
          <w:rFonts w:ascii="Arial" w:hAnsi="Arial" w:eastAsia="Calibri" w:cs="Arial"/>
          <w:b/>
          <w:color w:val="000000" w:themeColor="text1"/>
          <w:sz w:val="22"/>
          <w:lang w:val="es-ES_tradnl"/>
        </w:rPr>
      </w:pPr>
    </w:p>
    <w:p w:rsidRPr="001C75C1" w:rsidR="008A78D9" w:rsidP="008A78D9" w:rsidRDefault="008A78D9" w14:paraId="65D74FF6" w14:textId="77777777">
      <w:pPr>
        <w:jc w:val="both"/>
        <w:rPr>
          <w:rFonts w:ascii="Arial" w:hAnsi="Arial" w:eastAsia="Calibri" w:cs="Arial"/>
          <w:b/>
          <w:color w:val="000000" w:themeColor="text1"/>
          <w:sz w:val="22"/>
          <w:lang w:val="es-ES_tradnl"/>
        </w:rPr>
      </w:pPr>
      <w:r w:rsidRPr="001C75C1">
        <w:rPr>
          <w:rFonts w:ascii="Arial" w:hAnsi="Arial" w:eastAsia="Calibri" w:cs="Arial"/>
          <w:b/>
          <w:color w:val="000000" w:themeColor="text1"/>
          <w:sz w:val="22"/>
          <w:lang w:val="es-ES_tradnl"/>
        </w:rPr>
        <w:t>SELECCIÓN OBJETIVA – Contratación estatal – Concepto</w:t>
      </w:r>
    </w:p>
    <w:p w:rsidRPr="001C75C1" w:rsidR="008A78D9" w:rsidP="008A78D9" w:rsidRDefault="008A78D9" w14:paraId="10239046" w14:textId="77777777">
      <w:pPr>
        <w:jc w:val="both"/>
        <w:rPr>
          <w:rFonts w:ascii="Arial" w:hAnsi="Arial" w:eastAsia="Calibri" w:cs="Arial"/>
          <w:b/>
          <w:color w:val="000000" w:themeColor="text1"/>
          <w:sz w:val="22"/>
          <w:lang w:val="es-ES_tradnl"/>
        </w:rPr>
      </w:pPr>
    </w:p>
    <w:p w:rsidRPr="001C75C1" w:rsidR="008A78D9" w:rsidP="008A78D9" w:rsidRDefault="008A78D9" w14:paraId="3F62833B" w14:textId="28B43A4D">
      <w:pPr>
        <w:jc w:val="both"/>
        <w:rPr>
          <w:rFonts w:ascii="Arial" w:hAnsi="Arial" w:eastAsia="Calibri" w:cs="Arial"/>
          <w:color w:val="000000" w:themeColor="text1"/>
          <w:sz w:val="20"/>
          <w:szCs w:val="20"/>
          <w:lang w:val="es-ES_tradnl"/>
        </w:rPr>
      </w:pPr>
      <w:r w:rsidRPr="001C75C1">
        <w:rPr>
          <w:rFonts w:ascii="Arial" w:hAnsi="Arial" w:eastAsia="Calibri" w:cs="Arial"/>
          <w:color w:val="000000" w:themeColor="text1"/>
          <w:sz w:val="20"/>
          <w:szCs w:val="20"/>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1C75C1">
        <w:rPr>
          <w:rFonts w:ascii="Arial" w:hAnsi="Arial" w:eastAsia="Calibri" w:cs="Arial"/>
          <w:color w:val="000000" w:themeColor="text1"/>
          <w:sz w:val="20"/>
          <w:szCs w:val="20"/>
          <w:lang w:val="es-ES_tradnl"/>
        </w:rPr>
        <w:t>equivalentes,</w:t>
      </w:r>
      <w:proofErr w:type="gramEnd"/>
      <w:r w:rsidRPr="001C75C1">
        <w:rPr>
          <w:rFonts w:ascii="Arial" w:hAnsi="Arial" w:eastAsia="Calibri" w:cs="Arial"/>
          <w:color w:val="000000" w:themeColor="text1"/>
          <w:sz w:val="20"/>
          <w:szCs w:val="20"/>
          <w:lang w:val="es-ES_tradnl"/>
        </w:rPr>
        <w:t xml:space="preserve"> tendrán en cuenta criterios como la experiencia y la capacidad jurídica, financiera y de organización, entre otros elementos que garanticen la escogencia de la mejor opción de negocio para la entidad estatal.</w:t>
      </w:r>
    </w:p>
    <w:p w:rsidRPr="001C75C1" w:rsidR="008A78D9" w:rsidP="008A78D9" w:rsidRDefault="008A78D9" w14:paraId="415131F2" w14:textId="77777777">
      <w:pPr>
        <w:jc w:val="both"/>
        <w:rPr>
          <w:rFonts w:ascii="Arial" w:hAnsi="Arial" w:eastAsia="Calibri" w:cs="Arial"/>
          <w:b/>
          <w:color w:val="000000" w:themeColor="text1"/>
          <w:sz w:val="22"/>
          <w:lang w:val="es-ES_tradnl"/>
        </w:rPr>
      </w:pPr>
    </w:p>
    <w:p w:rsidRPr="001C75C1" w:rsidR="008A78D9" w:rsidP="008A78D9" w:rsidRDefault="008A78D9" w14:paraId="62F5DDA4" w14:textId="77777777">
      <w:pPr>
        <w:jc w:val="both"/>
        <w:rPr>
          <w:rFonts w:ascii="Arial" w:hAnsi="Arial" w:eastAsia="Calibri" w:cs="Arial"/>
          <w:b/>
          <w:color w:val="000000" w:themeColor="text1"/>
          <w:sz w:val="22"/>
          <w:lang w:val="es-ES_tradnl"/>
        </w:rPr>
      </w:pPr>
      <w:r w:rsidRPr="001C75C1">
        <w:rPr>
          <w:rFonts w:ascii="Arial" w:hAnsi="Arial" w:eastAsia="Calibri" w:cs="Arial"/>
          <w:b/>
          <w:color w:val="000000" w:themeColor="text1"/>
          <w:sz w:val="22"/>
          <w:lang w:val="es-ES_tradnl"/>
        </w:rPr>
        <w:t>EMPATE – Procedimiento de selección – Concepto</w:t>
      </w:r>
    </w:p>
    <w:p w:rsidRPr="001C75C1" w:rsidR="008A78D9" w:rsidP="008A78D9" w:rsidRDefault="008A78D9" w14:paraId="0D44B66C" w14:textId="77777777">
      <w:pPr>
        <w:jc w:val="both"/>
        <w:rPr>
          <w:rFonts w:ascii="Arial" w:hAnsi="Arial" w:eastAsia="Calibri" w:cs="Arial"/>
          <w:b/>
          <w:color w:val="000000" w:themeColor="text1"/>
          <w:sz w:val="22"/>
          <w:lang w:val="es-ES_tradnl"/>
        </w:rPr>
      </w:pPr>
    </w:p>
    <w:p w:rsidRPr="001C75C1" w:rsidR="008A78D9" w:rsidP="008A78D9" w:rsidRDefault="008A78D9" w14:paraId="2016F88C" w14:textId="77777777">
      <w:pPr>
        <w:jc w:val="both"/>
        <w:rPr>
          <w:rFonts w:ascii="Arial" w:hAnsi="Arial" w:cs="Arial"/>
          <w:noProof/>
          <w:color w:val="000000" w:themeColor="text1"/>
          <w:sz w:val="22"/>
          <w:lang w:val="es-ES_tradnl"/>
        </w:rPr>
      </w:pPr>
      <w:r w:rsidRPr="001C75C1">
        <w:rPr>
          <w:rFonts w:ascii="Arial" w:hAnsi="Arial" w:eastAsia="Calibri" w:cs="Arial"/>
          <w:color w:val="000000" w:themeColor="text1"/>
          <w:sz w:val="20"/>
          <w:szCs w:val="20"/>
          <w:lang w:val="es-ES_tradnl"/>
        </w:rPr>
        <w:t>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rsidRPr="001C75C1" w:rsidR="008A78D9" w:rsidP="008A78D9" w:rsidRDefault="008A78D9" w14:paraId="2C49C5E3" w14:textId="77777777">
      <w:pPr>
        <w:jc w:val="both"/>
        <w:rPr>
          <w:rFonts w:ascii="Arial" w:hAnsi="Arial" w:eastAsia="Calibri" w:cs="Arial"/>
          <w:b/>
          <w:color w:val="000000" w:themeColor="text1"/>
          <w:sz w:val="22"/>
          <w:lang w:val="es-ES_tradnl"/>
        </w:rPr>
      </w:pPr>
    </w:p>
    <w:p w:rsidRPr="001C75C1" w:rsidR="008A78D9" w:rsidP="008A78D9" w:rsidRDefault="008A78D9" w14:paraId="253963B1" w14:textId="77777777">
      <w:pPr>
        <w:jc w:val="both"/>
        <w:rPr>
          <w:rFonts w:ascii="Arial" w:hAnsi="Arial" w:eastAsia="Calibri" w:cs="Arial"/>
          <w:b/>
          <w:color w:val="000000" w:themeColor="text1"/>
          <w:sz w:val="22"/>
          <w:lang w:val="es-ES_tradnl"/>
        </w:rPr>
      </w:pPr>
      <w:r w:rsidRPr="001C75C1">
        <w:rPr>
          <w:rFonts w:ascii="Arial" w:hAnsi="Arial" w:eastAsia="Calibri" w:cs="Arial"/>
          <w:b/>
          <w:color w:val="000000" w:themeColor="text1"/>
          <w:sz w:val="22"/>
          <w:lang w:val="es-ES_tradnl"/>
        </w:rPr>
        <w:t>FACTORES DE DESEMPATE – Características – Límites</w:t>
      </w:r>
    </w:p>
    <w:p w:rsidRPr="001C75C1" w:rsidR="008A78D9" w:rsidP="008A78D9" w:rsidRDefault="008A78D9" w14:paraId="25B2490E" w14:textId="77777777">
      <w:pPr>
        <w:spacing w:line="276" w:lineRule="auto"/>
        <w:jc w:val="both"/>
        <w:rPr>
          <w:rFonts w:ascii="Arial" w:hAnsi="Arial" w:cs="Arial"/>
          <w:noProof/>
          <w:color w:val="000000" w:themeColor="text1"/>
          <w:sz w:val="22"/>
          <w:lang w:val="es-ES_tradnl"/>
        </w:rPr>
      </w:pPr>
    </w:p>
    <w:p w:rsidRPr="001C75C1" w:rsidR="00DC17C0" w:rsidP="00DC17C0" w:rsidRDefault="00DC17C0" w14:paraId="57D66E31" w14:textId="5DF848A0">
      <w:pPr>
        <w:jc w:val="both"/>
        <w:rPr>
          <w:rFonts w:ascii="Arial" w:hAnsi="Arial" w:eastAsia="Calibri" w:cs="Arial"/>
          <w:color w:val="000000" w:themeColor="text1"/>
          <w:sz w:val="20"/>
          <w:szCs w:val="20"/>
          <w:lang w:val="es-ES_tradnl"/>
        </w:rPr>
      </w:pPr>
      <w:r w:rsidRPr="001C75C1">
        <w:rPr>
          <w:rFonts w:ascii="Arial" w:hAnsi="Arial" w:eastAsia="Calibri" w:cs="Arial"/>
          <w:color w:val="000000" w:themeColor="text1"/>
          <w:sz w:val="20"/>
          <w:szCs w:val="20"/>
          <w:lang w:val="es-ES_tradnl"/>
        </w:rPr>
        <w:t xml:space="preserve">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 </w:t>
      </w:r>
    </w:p>
    <w:p w:rsidRPr="001C75C1" w:rsidR="00DC17C0" w:rsidP="00DC17C0" w:rsidRDefault="00DC17C0" w14:paraId="0E4D3DE7" w14:textId="77777777">
      <w:pPr>
        <w:jc w:val="both"/>
        <w:rPr>
          <w:rFonts w:ascii="Arial" w:hAnsi="Arial" w:eastAsia="Calibri" w:cs="Arial"/>
          <w:color w:val="000000" w:themeColor="text1"/>
          <w:sz w:val="20"/>
          <w:szCs w:val="20"/>
          <w:lang w:val="es-ES_tradnl"/>
        </w:rPr>
      </w:pPr>
    </w:p>
    <w:p w:rsidRPr="001C75C1" w:rsidR="008A78D9" w:rsidP="00DC17C0" w:rsidRDefault="00DC17C0" w14:paraId="205EC5B8" w14:textId="450EA5B7">
      <w:pPr>
        <w:jc w:val="both"/>
        <w:rPr>
          <w:rFonts w:ascii="Arial" w:hAnsi="Arial" w:eastAsia="Calibri" w:cs="Arial"/>
          <w:color w:val="000000" w:themeColor="text1"/>
          <w:sz w:val="20"/>
          <w:szCs w:val="20"/>
          <w:lang w:val="es-ES_tradnl"/>
        </w:rPr>
      </w:pPr>
      <w:r w:rsidRPr="001C75C1">
        <w:rPr>
          <w:rFonts w:ascii="Arial" w:hAnsi="Arial" w:eastAsia="Calibri" w:cs="Arial"/>
          <w:color w:val="000000" w:themeColor="text1"/>
          <w:sz w:val="20"/>
          <w:szCs w:val="20"/>
          <w:lang w:val="es-ES_tradnl"/>
        </w:rPr>
        <w:t xml:space="preserve">En tal sentido, la Corte Constitucional explica que cuando la ley establece factores de desempate obligatorios, las entidades estatales no pueden </w:t>
      </w:r>
      <w:proofErr w:type="spellStart"/>
      <w:r w:rsidRPr="001C75C1">
        <w:rPr>
          <w:rFonts w:ascii="Arial" w:hAnsi="Arial" w:eastAsia="Calibri" w:cs="Arial"/>
          <w:color w:val="000000" w:themeColor="text1"/>
          <w:sz w:val="20"/>
          <w:szCs w:val="20"/>
          <w:lang w:val="es-ES_tradnl"/>
        </w:rPr>
        <w:t>inaplicarlos</w:t>
      </w:r>
      <w:proofErr w:type="spellEnd"/>
      <w:r w:rsidRPr="001C75C1">
        <w:rPr>
          <w:rFonts w:ascii="Arial" w:hAnsi="Arial" w:eastAsia="Calibri" w:cs="Arial"/>
          <w:color w:val="000000" w:themeColor="text1"/>
          <w:sz w:val="20"/>
          <w:szCs w:val="20"/>
          <w:lang w:val="es-ES_tradnl"/>
        </w:rPr>
        <w:t>, porque ello podría vulnerar el principio de igualdad, especialmente, cuando algunos de estos criterios surgen como acciones afirmativas para ciertos sectores de la población. Más aún, el Consejo de Estado ha señalado que contrariar los factores de desempate genera la nulidad del contrato, conforme al artículo 44, inciso 1º de la Ley 80 de 1993.</w:t>
      </w:r>
    </w:p>
    <w:p w:rsidRPr="001C75C1" w:rsidR="008A78D9" w:rsidP="008A78D9" w:rsidRDefault="008A78D9" w14:paraId="6ED3EEFF" w14:textId="77777777">
      <w:pPr>
        <w:jc w:val="both"/>
        <w:rPr>
          <w:rFonts w:ascii="Arial" w:hAnsi="Arial" w:eastAsia="Calibri" w:cs="Arial"/>
          <w:color w:val="000000" w:themeColor="text1"/>
          <w:sz w:val="20"/>
          <w:szCs w:val="20"/>
          <w:lang w:val="es-ES_tradnl"/>
        </w:rPr>
      </w:pPr>
    </w:p>
    <w:p w:rsidRPr="001C75C1" w:rsidR="008A78D9" w:rsidP="008A78D9" w:rsidRDefault="008A78D9" w14:paraId="53848D98" w14:textId="77777777">
      <w:pPr>
        <w:jc w:val="both"/>
        <w:rPr>
          <w:rFonts w:ascii="Arial" w:hAnsi="Arial" w:eastAsia="Calibri" w:cs="Arial"/>
          <w:b/>
          <w:color w:val="000000" w:themeColor="text1"/>
          <w:sz w:val="22"/>
          <w:lang w:val="es-ES_tradnl"/>
        </w:rPr>
      </w:pPr>
    </w:p>
    <w:p w:rsidRPr="001C75C1" w:rsidR="000D299D" w:rsidP="008A78D9" w:rsidRDefault="000D299D" w14:paraId="6A63EF45" w14:textId="77777777">
      <w:pPr>
        <w:jc w:val="both"/>
        <w:rPr>
          <w:rFonts w:ascii="Arial" w:hAnsi="Arial" w:eastAsia="Calibri" w:cs="Arial"/>
          <w:b/>
          <w:color w:val="000000" w:themeColor="text1"/>
          <w:sz w:val="22"/>
          <w:lang w:val="es-ES_tradnl"/>
        </w:rPr>
      </w:pPr>
    </w:p>
    <w:p w:rsidRPr="001C75C1" w:rsidR="000D299D" w:rsidP="008A78D9" w:rsidRDefault="000D299D" w14:paraId="09E41090" w14:textId="77777777">
      <w:pPr>
        <w:jc w:val="both"/>
        <w:rPr>
          <w:rFonts w:ascii="Arial" w:hAnsi="Arial" w:eastAsia="Calibri" w:cs="Arial"/>
          <w:b/>
          <w:color w:val="000000" w:themeColor="text1"/>
          <w:sz w:val="22"/>
          <w:lang w:val="es-ES_tradnl"/>
        </w:rPr>
      </w:pPr>
    </w:p>
    <w:p w:rsidRPr="001C75C1" w:rsidR="008A78D9" w:rsidP="008A78D9" w:rsidRDefault="008A78D9" w14:paraId="1F38DBDC" w14:textId="16DF26E6">
      <w:pPr>
        <w:jc w:val="both"/>
        <w:rPr>
          <w:rFonts w:ascii="Arial" w:hAnsi="Arial" w:eastAsia="Calibri" w:cs="Arial"/>
          <w:b/>
          <w:color w:val="000000" w:themeColor="text1"/>
          <w:sz w:val="22"/>
          <w:lang w:val="es-ES_tradnl"/>
        </w:rPr>
      </w:pPr>
      <w:r w:rsidRPr="001C75C1">
        <w:rPr>
          <w:rFonts w:ascii="Arial" w:hAnsi="Arial" w:eastAsia="Calibri" w:cs="Arial"/>
          <w:b/>
          <w:color w:val="000000" w:themeColor="text1"/>
          <w:sz w:val="22"/>
          <w:lang w:val="es-ES_tradnl"/>
        </w:rPr>
        <w:lastRenderedPageBreak/>
        <w:t xml:space="preserve">LEY DE EMPRENDIMIENTO – Ley 2069 de 2020 – Vigencia </w:t>
      </w:r>
    </w:p>
    <w:p w:rsidRPr="001C75C1" w:rsidR="008A78D9" w:rsidP="008A78D9" w:rsidRDefault="008A78D9" w14:paraId="63574004" w14:textId="77777777">
      <w:pPr>
        <w:jc w:val="both"/>
        <w:rPr>
          <w:rFonts w:ascii="Arial" w:hAnsi="Arial" w:eastAsia="Calibri" w:cs="Arial"/>
          <w:b/>
          <w:color w:val="000000" w:themeColor="text1"/>
          <w:sz w:val="22"/>
          <w:lang w:val="es-ES_tradnl"/>
        </w:rPr>
      </w:pPr>
    </w:p>
    <w:p w:rsidRPr="001C75C1" w:rsidR="008A78D9" w:rsidP="008A78D9" w:rsidRDefault="008A78D9" w14:paraId="253FC307" w14:textId="2C7F89F9">
      <w:pPr>
        <w:jc w:val="both"/>
        <w:rPr>
          <w:rFonts w:ascii="Arial" w:hAnsi="Arial" w:eastAsia="Calibri" w:cs="Arial"/>
          <w:color w:val="000000" w:themeColor="text1"/>
          <w:sz w:val="20"/>
          <w:szCs w:val="20"/>
          <w:lang w:val="es-ES_tradnl"/>
        </w:rPr>
      </w:pPr>
      <w:r w:rsidRPr="001C75C1">
        <w:rPr>
          <w:rFonts w:ascii="Arial" w:hAnsi="Arial" w:eastAsia="Calibri" w:cs="Arial"/>
          <w:color w:val="000000" w:themeColor="text1"/>
          <w:sz w:val="20"/>
          <w:szCs w:val="20"/>
          <w:lang w:val="es-ES_tradnl"/>
        </w:rPr>
        <w:t xml:space="preserve">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w:t>
      </w:r>
    </w:p>
    <w:p w:rsidRPr="001C75C1" w:rsidR="008A78D9" w:rsidP="008A78D9" w:rsidRDefault="008A78D9" w14:paraId="1A29BAC3" w14:textId="77777777">
      <w:pPr>
        <w:jc w:val="both"/>
        <w:rPr>
          <w:rFonts w:ascii="Arial" w:hAnsi="Arial" w:eastAsia="Calibri" w:cs="Arial"/>
          <w:color w:val="000000" w:themeColor="text1"/>
          <w:sz w:val="20"/>
          <w:szCs w:val="20"/>
          <w:lang w:val="es-ES_tradnl"/>
        </w:rPr>
      </w:pPr>
    </w:p>
    <w:p w:rsidRPr="001C75C1" w:rsidR="008A78D9" w:rsidP="008A78D9" w:rsidRDefault="008A78D9" w14:paraId="4DEE8ECD" w14:textId="77777777">
      <w:pPr>
        <w:jc w:val="both"/>
        <w:rPr>
          <w:rFonts w:ascii="Arial" w:hAnsi="Arial" w:eastAsia="Calibri" w:cs="Arial"/>
          <w:color w:val="000000" w:themeColor="text1"/>
          <w:sz w:val="20"/>
          <w:szCs w:val="20"/>
          <w:lang w:val="es-ES_tradnl"/>
        </w:rPr>
      </w:pPr>
      <w:r w:rsidRPr="001C75C1">
        <w:rPr>
          <w:rFonts w:ascii="Arial" w:hAnsi="Arial" w:eastAsia="Calibri" w:cs="Arial"/>
          <w:color w:val="000000" w:themeColor="text1"/>
          <w:sz w:val="20"/>
          <w:szCs w:val="20"/>
          <w:lang w:val="es-ES_tradnl"/>
        </w:rPr>
        <w:t xml:space="preserve">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1C75C1">
        <w:rPr>
          <w:rFonts w:ascii="Arial" w:hAnsi="Arial" w:eastAsia="Calibri" w:cs="Arial"/>
          <w:color w:val="000000" w:themeColor="text1"/>
          <w:sz w:val="20"/>
          <w:szCs w:val="20"/>
          <w:lang w:val="es-ES_tradnl"/>
        </w:rPr>
        <w:t>de acuerdo a</w:t>
      </w:r>
      <w:proofErr w:type="gramEnd"/>
      <w:r w:rsidRPr="001C75C1">
        <w:rPr>
          <w:rFonts w:ascii="Arial" w:hAnsi="Arial" w:eastAsia="Calibri" w:cs="Arial"/>
          <w:color w:val="000000" w:themeColor="text1"/>
          <w:sz w:val="20"/>
          <w:szCs w:val="20"/>
          <w:lang w:val="es-ES_tradnl"/>
        </w:rPr>
        <w:t xml:space="preserve"> las realidades socioeconómicas de cada región». En desarrollo de esta finalidad, se establecen medidas de apoyo para las micro, pequeñas y medianas empresas –«</w:t>
      </w:r>
      <w:proofErr w:type="spellStart"/>
      <w:r w:rsidRPr="001C75C1">
        <w:rPr>
          <w:rFonts w:ascii="Arial" w:hAnsi="Arial" w:eastAsia="Calibri" w:cs="Arial"/>
          <w:color w:val="000000" w:themeColor="text1"/>
          <w:sz w:val="20"/>
          <w:szCs w:val="20"/>
          <w:lang w:val="es-ES_tradnl"/>
        </w:rPr>
        <w:t>mipymes</w:t>
      </w:r>
      <w:proofErr w:type="spellEnd"/>
      <w:r w:rsidRPr="001C75C1">
        <w:rPr>
          <w:rFonts w:ascii="Arial" w:hAnsi="Arial" w:eastAsia="Calibri" w:cs="Arial"/>
          <w:color w:val="000000" w:themeColor="text1"/>
          <w:sz w:val="20"/>
          <w:szCs w:val="20"/>
          <w:lang w:val="es-ES_tradnl"/>
        </w:rPr>
        <w:t>»–,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rsidRPr="001C75C1" w:rsidR="00D50113" w:rsidP="001D3EAE" w:rsidRDefault="00D50113" w14:paraId="5BA754DB" w14:textId="31970895">
      <w:pPr>
        <w:jc w:val="both"/>
        <w:rPr>
          <w:rFonts w:ascii="Arial" w:hAnsi="Arial" w:cs="Arial"/>
          <w:noProof/>
          <w:color w:val="000000" w:themeColor="text1"/>
          <w:sz w:val="20"/>
          <w:szCs w:val="20"/>
          <w:lang w:val="es-ES_tradnl"/>
        </w:rPr>
      </w:pPr>
    </w:p>
    <w:p w:rsidRPr="001C75C1" w:rsidR="00B5215E" w:rsidP="00B5215E" w:rsidRDefault="00B5215E" w14:paraId="2FCB849A" w14:textId="5DA517DC">
      <w:pPr>
        <w:jc w:val="both"/>
        <w:rPr>
          <w:rFonts w:ascii="Arial" w:hAnsi="Arial" w:eastAsia="Calibri" w:cs="Arial"/>
          <w:b/>
          <w:color w:val="000000" w:themeColor="text1"/>
          <w:sz w:val="22"/>
          <w:lang w:val="es-ES_tradnl"/>
        </w:rPr>
      </w:pPr>
      <w:r w:rsidRPr="001C75C1">
        <w:rPr>
          <w:rFonts w:ascii="Arial" w:hAnsi="Arial" w:eastAsia="Calibri" w:cs="Arial"/>
          <w:b/>
          <w:color w:val="000000" w:themeColor="text1"/>
          <w:sz w:val="22"/>
          <w:lang w:val="es-ES_tradnl"/>
        </w:rPr>
        <w:t>PARTICIPACIÓN MAYORITARIA – Ley 2069 – Artículo 35 – Numeral 2 – Interpretación</w:t>
      </w:r>
      <w:r w:rsidRPr="001C75C1" w:rsidR="00F37E5F">
        <w:rPr>
          <w:rFonts w:ascii="Arial" w:hAnsi="Arial" w:eastAsia="Calibri" w:cs="Arial"/>
          <w:b/>
          <w:color w:val="000000" w:themeColor="text1"/>
          <w:sz w:val="22"/>
          <w:lang w:val="es-ES_tradnl"/>
        </w:rPr>
        <w:t xml:space="preserve"> – Decreto 1860 de 2021</w:t>
      </w:r>
    </w:p>
    <w:p w:rsidRPr="001C75C1" w:rsidR="00B5215E" w:rsidP="001D3EAE" w:rsidRDefault="00B5215E" w14:paraId="0EDE569E" w14:textId="77777777">
      <w:pPr>
        <w:jc w:val="both"/>
        <w:rPr>
          <w:rFonts w:ascii="Arial" w:hAnsi="Arial" w:cs="Arial"/>
          <w:noProof/>
          <w:color w:val="000000" w:themeColor="text1"/>
          <w:sz w:val="20"/>
          <w:szCs w:val="20"/>
          <w:lang w:val="es-ES_tradnl"/>
        </w:rPr>
      </w:pPr>
    </w:p>
    <w:p w:rsidRPr="001C75C1" w:rsidR="00F85F51" w:rsidP="00F85F51" w:rsidRDefault="00F85F51" w14:paraId="17ED1F15" w14:textId="77777777">
      <w:pPr>
        <w:jc w:val="both"/>
        <w:rPr>
          <w:rFonts w:ascii="Arial" w:hAnsi="Arial" w:cs="Arial"/>
          <w:color w:val="000000" w:themeColor="text1"/>
          <w:sz w:val="20"/>
          <w:szCs w:val="20"/>
          <w:lang w:val="es-ES_tradnl"/>
        </w:rPr>
      </w:pPr>
      <w:r w:rsidRPr="001C75C1">
        <w:rPr>
          <w:rFonts w:ascii="Arial" w:hAnsi="Arial" w:eastAsia="Calibri" w:cs="Arial"/>
          <w:color w:val="000000" w:themeColor="text1"/>
          <w:sz w:val="20"/>
          <w:szCs w:val="20"/>
          <w:lang w:val="es-ES_tradnl"/>
        </w:rPr>
        <w:t>E</w:t>
      </w:r>
      <w:r w:rsidRPr="001C75C1">
        <w:rPr>
          <w:rFonts w:ascii="Arial" w:hAnsi="Arial" w:cs="Arial"/>
          <w:color w:val="000000" w:themeColor="text1"/>
          <w:sz w:val="20"/>
          <w:szCs w:val="20"/>
          <w:lang w:val="es-ES_tradnl"/>
        </w:rPr>
        <w:t xml:space="preserve">l artículo 35, numeral 2, de la Ley 2069 de 2020 utiliza un concepto jurídico indeterminado, cuando se refiere a la participación </w:t>
      </w:r>
      <w:r w:rsidRPr="001C75C1">
        <w:rPr>
          <w:rFonts w:ascii="Arial" w:hAnsi="Arial" w:cs="Arial"/>
          <w:i/>
          <w:iCs/>
          <w:color w:val="000000" w:themeColor="text1"/>
          <w:sz w:val="20"/>
          <w:szCs w:val="20"/>
          <w:lang w:val="es-ES_tradnl"/>
        </w:rPr>
        <w:t>mayoritaria</w:t>
      </w:r>
      <w:r w:rsidRPr="001C75C1">
        <w:rPr>
          <w:rFonts w:ascii="Arial" w:hAnsi="Arial" w:cs="Arial"/>
          <w:color w:val="000000" w:themeColor="text1"/>
          <w:sz w:val="20"/>
          <w:szCs w:val="20"/>
          <w:lang w:val="es-ES_tradnl"/>
        </w:rPr>
        <w:t xml:space="preserve"> de las mujeres cabeza de familia o mujeres víctimas de la violencia intrafamiliar en la persona jurídica o en el proponente plural. Sin embargo, esto lo aclaró el artículo 3 del Decreto 1860 de 2021, que adicionó el artículo 2.2.1.2.4.2.17. al Decreto 1082 de 2015, reglamentando así el artículo 35 de la Ley 2069 de 2020, frente al alcance de los factores de desempate. </w:t>
      </w:r>
    </w:p>
    <w:p w:rsidRPr="001C75C1" w:rsidR="00F85F51" w:rsidP="00F85F51" w:rsidRDefault="00F85F51" w14:paraId="40712BA7" w14:textId="77777777">
      <w:pPr>
        <w:jc w:val="both"/>
        <w:rPr>
          <w:rFonts w:ascii="Arial" w:hAnsi="Arial" w:cs="Arial"/>
          <w:color w:val="000000" w:themeColor="text1"/>
          <w:sz w:val="20"/>
          <w:szCs w:val="20"/>
          <w:lang w:val="es-ES_tradnl"/>
        </w:rPr>
      </w:pPr>
    </w:p>
    <w:p w:rsidRPr="001C75C1" w:rsidR="00F85F51" w:rsidP="00F85F51" w:rsidRDefault="00F85F51" w14:paraId="7ECE2D8F" w14:textId="330ACD42">
      <w:pPr>
        <w:jc w:val="both"/>
        <w:rPr>
          <w:rFonts w:ascii="Arial" w:hAnsi="Arial" w:cs="Arial"/>
          <w:sz w:val="20"/>
          <w:szCs w:val="20"/>
          <w:lang w:val="es-ES_tradnl"/>
        </w:rPr>
      </w:pPr>
      <w:r w:rsidRPr="001C75C1">
        <w:rPr>
          <w:rFonts w:ascii="Arial" w:hAnsi="Arial" w:cs="Arial"/>
          <w:color w:val="000000" w:themeColor="text1"/>
          <w:sz w:val="20"/>
          <w:szCs w:val="20"/>
          <w:lang w:val="es-ES_tradnl"/>
        </w:rPr>
        <w:t xml:space="preserve">Acorde con el artículo 2.2.1.2.4.2.17., </w:t>
      </w:r>
      <w:r w:rsidRPr="001C75C1">
        <w:rPr>
          <w:rFonts w:ascii="Arial" w:hAnsi="Arial" w:cs="Arial"/>
          <w:sz w:val="20"/>
          <w:szCs w:val="20"/>
          <w:lang w:val="es-ES_tradnl"/>
        </w:rPr>
        <w:t>se puede afirmar que por participación mayoritaria se entiende, verbigracia –pero no exclusivamente–, en las sociedades por acciones, la posición de un socio cuando tiene más del cincuenta por ciento (50%) de participación en la sociedad. Esto es lo que dice el tercer inciso del artículo mencionado con anterioridad, cuando dispone que «</w:t>
      </w:r>
      <w:r w:rsidRPr="001C75C1">
        <w:rPr>
          <w:rFonts w:ascii="Arial" w:hAnsi="Arial" w:cs="Arial"/>
          <w:color w:val="000000" w:themeColor="text1"/>
          <w:sz w:val="20"/>
          <w:szCs w:val="20"/>
        </w:rPr>
        <w:t xml:space="preserve">En el caso de las personas jurídicas se preferirá a aquellas en las que participen mayoritariamente mujeres cabeza de familia y/o mujeres víctimas de violencia intrafamiliar, para lo cual el representante legal o el revisor fiscal, según corresponda, presentará un certificado, mediante el cual acredita, bajo la gravedad de juramento, </w:t>
      </w:r>
      <w:r w:rsidRPr="001C75C1">
        <w:rPr>
          <w:rFonts w:ascii="Arial" w:hAnsi="Arial" w:cs="Arial"/>
          <w:i/>
          <w:iCs/>
          <w:color w:val="000000" w:themeColor="text1"/>
          <w:sz w:val="20"/>
          <w:szCs w:val="20"/>
        </w:rPr>
        <w:t>que más del cincuenta por ciento (50 %) de la composición accionaria o cuota parte</w:t>
      </w:r>
      <w:r w:rsidRPr="001C75C1">
        <w:rPr>
          <w:rFonts w:ascii="Arial" w:hAnsi="Arial" w:cs="Arial"/>
          <w:color w:val="000000" w:themeColor="text1"/>
          <w:sz w:val="20"/>
          <w:szCs w:val="20"/>
        </w:rPr>
        <w:t xml:space="preserve"> de la persona jurídica está constituida por mujeres cabeza de familia y/o mujeres víctimas de violencia intrafamiliar. […]» (Énfasis fuera de texto).</w:t>
      </w:r>
    </w:p>
    <w:p w:rsidRPr="001C75C1" w:rsidR="000E48D2" w:rsidP="000E48D2" w:rsidRDefault="000E48D2" w14:paraId="64505BA4" w14:textId="77777777">
      <w:pPr>
        <w:jc w:val="both"/>
        <w:rPr>
          <w:rFonts w:ascii="Arial" w:hAnsi="Arial" w:cs="Arial"/>
          <w:noProof/>
          <w:color w:val="000000" w:themeColor="text1"/>
          <w:sz w:val="20"/>
          <w:szCs w:val="20"/>
          <w:lang w:val="es-ES_tradnl"/>
        </w:rPr>
      </w:pPr>
    </w:p>
    <w:p w:rsidRPr="001C75C1" w:rsidR="000E48D2" w:rsidP="000E48D2" w:rsidRDefault="000E48D2" w14:paraId="063D2C17" w14:textId="77777777">
      <w:pPr>
        <w:jc w:val="both"/>
        <w:rPr>
          <w:rFonts w:ascii="Arial" w:hAnsi="Arial" w:cs="Arial"/>
          <w:noProof/>
          <w:color w:val="000000" w:themeColor="text1"/>
          <w:sz w:val="20"/>
          <w:szCs w:val="20"/>
          <w:lang w:val="es-ES_tradnl"/>
        </w:rPr>
      </w:pPr>
    </w:p>
    <w:p w:rsidRPr="001C75C1" w:rsidR="000E48D2" w:rsidP="000E48D2" w:rsidRDefault="000E48D2" w14:paraId="3B8F9D15" w14:textId="77777777">
      <w:pPr>
        <w:jc w:val="both"/>
        <w:rPr>
          <w:rFonts w:ascii="Arial" w:hAnsi="Arial" w:cs="Arial"/>
          <w:noProof/>
          <w:color w:val="000000" w:themeColor="text1"/>
          <w:sz w:val="20"/>
          <w:szCs w:val="20"/>
          <w:lang w:val="es-ES_tradnl"/>
        </w:rPr>
      </w:pPr>
    </w:p>
    <w:p w:rsidRPr="001C75C1" w:rsidR="000E48D2" w:rsidP="000E48D2" w:rsidRDefault="000E48D2" w14:paraId="3D0C39EC" w14:textId="77777777">
      <w:pPr>
        <w:jc w:val="both"/>
        <w:rPr>
          <w:rFonts w:ascii="Arial" w:hAnsi="Arial" w:cs="Arial"/>
          <w:noProof/>
          <w:color w:val="000000" w:themeColor="text1"/>
          <w:sz w:val="20"/>
          <w:szCs w:val="20"/>
          <w:lang w:val="es-ES_tradnl"/>
        </w:rPr>
      </w:pPr>
    </w:p>
    <w:p w:rsidRPr="001C75C1" w:rsidR="000E48D2" w:rsidP="000E48D2" w:rsidRDefault="000E48D2" w14:paraId="1EA9DEA6" w14:textId="77777777">
      <w:pPr>
        <w:jc w:val="both"/>
        <w:rPr>
          <w:rFonts w:ascii="Arial" w:hAnsi="Arial" w:cs="Arial"/>
          <w:noProof/>
          <w:color w:val="000000" w:themeColor="text1"/>
          <w:sz w:val="20"/>
          <w:szCs w:val="20"/>
          <w:lang w:val="es-ES_tradnl"/>
        </w:rPr>
      </w:pPr>
    </w:p>
    <w:p w:rsidRPr="001C75C1" w:rsidR="000E48D2" w:rsidP="000E48D2" w:rsidRDefault="000E48D2" w14:paraId="298C8378" w14:textId="77777777">
      <w:pPr>
        <w:jc w:val="both"/>
        <w:rPr>
          <w:rFonts w:ascii="Arial" w:hAnsi="Arial" w:cs="Arial"/>
          <w:noProof/>
          <w:color w:val="000000" w:themeColor="text1"/>
          <w:sz w:val="20"/>
          <w:szCs w:val="20"/>
          <w:lang w:val="es-ES_tradnl"/>
        </w:rPr>
      </w:pPr>
    </w:p>
    <w:p w:rsidRPr="001C75C1" w:rsidR="000E48D2" w:rsidP="000E48D2" w:rsidRDefault="000E48D2" w14:paraId="1EB155C3" w14:textId="77777777">
      <w:pPr>
        <w:jc w:val="both"/>
        <w:rPr>
          <w:rFonts w:ascii="Arial" w:hAnsi="Arial" w:cs="Arial"/>
          <w:noProof/>
          <w:color w:val="000000" w:themeColor="text1"/>
          <w:sz w:val="20"/>
          <w:szCs w:val="20"/>
          <w:lang w:val="es-ES_tradnl"/>
        </w:rPr>
      </w:pPr>
    </w:p>
    <w:p w:rsidRPr="001C75C1" w:rsidR="000E48D2" w:rsidP="000E48D2" w:rsidRDefault="000E48D2" w14:paraId="24639690" w14:textId="77777777">
      <w:pPr>
        <w:jc w:val="both"/>
        <w:rPr>
          <w:rFonts w:ascii="Arial" w:hAnsi="Arial" w:cs="Arial"/>
          <w:noProof/>
          <w:color w:val="000000" w:themeColor="text1"/>
          <w:sz w:val="20"/>
          <w:szCs w:val="20"/>
          <w:lang w:val="es-ES_tradnl"/>
        </w:rPr>
      </w:pPr>
    </w:p>
    <w:p w:rsidRPr="001C75C1" w:rsidR="000E48D2" w:rsidP="000E48D2" w:rsidRDefault="000E48D2" w14:paraId="119B8B17" w14:textId="77777777">
      <w:pPr>
        <w:jc w:val="both"/>
        <w:rPr>
          <w:rFonts w:ascii="Arial" w:hAnsi="Arial" w:cs="Arial"/>
          <w:noProof/>
          <w:color w:val="000000" w:themeColor="text1"/>
          <w:sz w:val="20"/>
          <w:szCs w:val="20"/>
          <w:lang w:val="es-ES_tradnl"/>
        </w:rPr>
      </w:pPr>
    </w:p>
    <w:p w:rsidRPr="001C75C1" w:rsidR="000E48D2" w:rsidP="000E48D2" w:rsidRDefault="000E48D2" w14:paraId="32DA15F7" w14:textId="77777777">
      <w:pPr>
        <w:jc w:val="both"/>
        <w:rPr>
          <w:rFonts w:ascii="Arial" w:hAnsi="Arial" w:cs="Arial"/>
          <w:noProof/>
          <w:color w:val="000000" w:themeColor="text1"/>
          <w:sz w:val="20"/>
          <w:szCs w:val="20"/>
          <w:lang w:val="es-ES_tradnl"/>
        </w:rPr>
      </w:pPr>
    </w:p>
    <w:p w:rsidRPr="001C75C1" w:rsidR="000E48D2" w:rsidP="000E48D2" w:rsidRDefault="000E48D2" w14:paraId="7D30F40D" w14:textId="77777777">
      <w:pPr>
        <w:jc w:val="both"/>
        <w:rPr>
          <w:rFonts w:ascii="Arial" w:hAnsi="Arial" w:cs="Arial"/>
          <w:noProof/>
          <w:color w:val="000000" w:themeColor="text1"/>
          <w:sz w:val="20"/>
          <w:szCs w:val="20"/>
          <w:lang w:val="es-ES_tradnl"/>
        </w:rPr>
      </w:pPr>
    </w:p>
    <w:p w:rsidRPr="001C75C1" w:rsidR="004912B3" w:rsidP="000E48D2" w:rsidRDefault="004912B3" w14:paraId="6B0DFB2A" w14:textId="4C45ED3B">
      <w:pPr>
        <w:jc w:val="both"/>
        <w:rPr>
          <w:rFonts w:ascii="Arial" w:hAnsi="Arial" w:cs="Arial"/>
          <w:noProof/>
          <w:color w:val="000000" w:themeColor="text1"/>
          <w:sz w:val="20"/>
          <w:szCs w:val="20"/>
          <w:lang w:val="es-ES_tradnl"/>
        </w:rPr>
      </w:pPr>
      <w:r w:rsidRPr="001C75C1">
        <w:rPr>
          <w:rFonts w:ascii="Arial" w:hAnsi="Arial" w:cs="Arial"/>
          <w:noProof/>
          <w:color w:val="000000" w:themeColor="text1"/>
          <w:sz w:val="22"/>
          <w:lang w:val="es-ES_tradnl"/>
        </w:rPr>
        <w:lastRenderedPageBreak/>
        <w:t xml:space="preserve">Bogotá D.C., </w:t>
      </w:r>
      <w:r w:rsidR="00CB764A">
        <w:rPr>
          <w:rFonts w:ascii="Arial" w:hAnsi="Arial" w:cs="Arial"/>
          <w:b/>
          <w:color w:val="000000" w:themeColor="text1"/>
          <w:sz w:val="22"/>
          <w:lang w:val="es-ES_tradnl"/>
        </w:rPr>
        <w:t>08/03/2022 07:03:</w:t>
      </w:r>
      <w:r w:rsidR="00AB2898">
        <w:rPr>
          <w:rFonts w:ascii="Arial" w:hAnsi="Arial" w:cs="Arial"/>
          <w:b/>
          <w:color w:val="000000" w:themeColor="text1"/>
          <w:sz w:val="22"/>
          <w:lang w:val="es-ES_tradnl"/>
        </w:rPr>
        <w:t>23</w:t>
      </w:r>
    </w:p>
    <w:p w:rsidRPr="001C75C1" w:rsidR="004912B3" w:rsidP="004912B3" w:rsidRDefault="004912B3" w14:paraId="126974D8" w14:textId="77777777">
      <w:pPr>
        <w:spacing w:line="276" w:lineRule="auto"/>
        <w:jc w:val="both"/>
        <w:rPr>
          <w:rFonts w:ascii="Arial" w:hAnsi="Arial" w:eastAsia="Calibri" w:cs="Arial"/>
          <w:noProof/>
          <w:color w:val="000000" w:themeColor="text1"/>
          <w:sz w:val="22"/>
          <w:szCs w:val="22"/>
          <w:lang w:val="es-ES_tradnl"/>
        </w:rPr>
      </w:pPr>
    </w:p>
    <w:p w:rsidR="00B90AF5" w:rsidP="00B90AF5" w:rsidRDefault="00B90AF5" w14:paraId="40833492" w14:textId="1675008E">
      <w:pPr>
        <w:jc w:val="right"/>
      </w:pPr>
      <w:r>
        <w:fldChar w:fldCharType="begin"/>
      </w:r>
      <w:r>
        <w:instrText xml:space="preserve"> INCLUDEPICTURE "/var/folders/z2/mpmwzz0s3w31yr1_fh2qtrr80000gn/T/com.microsoft.Word/WebArchiveCopyPasteTempFiles/page1image3981138336" \* MERGEFORMATINET </w:instrText>
      </w:r>
      <w:r>
        <w:fldChar w:fldCharType="separate"/>
      </w:r>
      <w:r>
        <w:rPr>
          <w:noProof/>
        </w:rPr>
        <w:drawing>
          <wp:inline distT="0" distB="0" distL="0" distR="0" wp14:anchorId="1B770839" wp14:editId="4DC4EAEA">
            <wp:extent cx="2398395" cy="609600"/>
            <wp:effectExtent l="0" t="0" r="1905" b="0"/>
            <wp:docPr id="1" name="Imagen 1" descr="page1image3981138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9811383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8395" cy="609600"/>
                    </a:xfrm>
                    <a:prstGeom prst="rect">
                      <a:avLst/>
                    </a:prstGeom>
                    <a:noFill/>
                    <a:ln>
                      <a:noFill/>
                    </a:ln>
                  </pic:spPr>
                </pic:pic>
              </a:graphicData>
            </a:graphic>
          </wp:inline>
        </w:drawing>
      </w:r>
      <w:r>
        <w:fldChar w:fldCharType="end"/>
      </w:r>
    </w:p>
    <w:p w:rsidRPr="001C75C1" w:rsidR="004912B3" w:rsidP="004912B3" w:rsidRDefault="004912B3" w14:paraId="0777CBBA" w14:textId="77777777">
      <w:pPr>
        <w:jc w:val="both"/>
        <w:rPr>
          <w:rFonts w:ascii="Arial" w:hAnsi="Arial" w:cs="Arial"/>
          <w:bCs/>
          <w:color w:val="000000" w:themeColor="text1"/>
          <w:sz w:val="22"/>
          <w:lang w:val="es-ES_tradnl"/>
        </w:rPr>
      </w:pPr>
    </w:p>
    <w:p w:rsidRPr="001C75C1" w:rsidR="00F45069" w:rsidP="00F45069" w:rsidRDefault="00F45069" w14:paraId="41396698" w14:textId="3D406921">
      <w:pPr>
        <w:jc w:val="right"/>
        <w:rPr>
          <w:rFonts w:ascii="Arial" w:hAnsi="Arial" w:cs="Arial"/>
          <w:lang w:val="es-ES_tradnl"/>
        </w:rPr>
      </w:pPr>
    </w:p>
    <w:p w:rsidRPr="001C75C1" w:rsidR="00B95C30" w:rsidP="00B66E42" w:rsidRDefault="00B95C30" w14:paraId="6A8A869B" w14:textId="77777777">
      <w:pPr>
        <w:jc w:val="right"/>
        <w:rPr>
          <w:rFonts w:ascii="Arial" w:hAnsi="Arial" w:cs="Arial"/>
          <w:b/>
          <w:color w:val="000000" w:themeColor="text1"/>
          <w:sz w:val="22"/>
          <w:lang w:val="es-ES_tradnl"/>
        </w:rPr>
      </w:pPr>
    </w:p>
    <w:p w:rsidRPr="001C75C1" w:rsidR="00B95C30" w:rsidP="00B95C30" w:rsidRDefault="00B95C30" w14:paraId="5F5AE9EF" w14:textId="42E91CA7">
      <w:pPr>
        <w:jc w:val="both"/>
        <w:rPr>
          <w:rFonts w:ascii="Arial" w:hAnsi="Arial" w:eastAsia="Calibri" w:cs="Arial"/>
          <w:color w:val="000000" w:themeColor="text1"/>
          <w:sz w:val="22"/>
          <w:lang w:val="es-ES_tradnl"/>
        </w:rPr>
      </w:pPr>
      <w:r w:rsidRPr="001C75C1">
        <w:rPr>
          <w:rFonts w:ascii="Arial" w:hAnsi="Arial" w:eastAsia="Calibri" w:cs="Arial"/>
          <w:color w:val="000000" w:themeColor="text1"/>
          <w:sz w:val="22"/>
          <w:lang w:val="es-ES_tradnl"/>
        </w:rPr>
        <w:t>Señor</w:t>
      </w:r>
      <w:r w:rsidRPr="001C75C1" w:rsidR="007831EE">
        <w:rPr>
          <w:rFonts w:ascii="Arial" w:hAnsi="Arial" w:eastAsia="Calibri" w:cs="Arial"/>
          <w:color w:val="000000" w:themeColor="text1"/>
          <w:sz w:val="22"/>
          <w:lang w:val="es-ES_tradnl"/>
        </w:rPr>
        <w:t>a</w:t>
      </w:r>
    </w:p>
    <w:p w:rsidRPr="001C75C1" w:rsidR="00C875EC" w:rsidP="00B95C30" w:rsidRDefault="007831EE" w14:paraId="6B9E9EA5" w14:textId="591230EF">
      <w:pPr>
        <w:jc w:val="both"/>
        <w:rPr>
          <w:rFonts w:ascii="Arial" w:hAnsi="Arial" w:eastAsia="Calibri" w:cs="Arial"/>
          <w:b/>
          <w:color w:val="000000" w:themeColor="text1"/>
          <w:sz w:val="22"/>
          <w:lang w:val="es-ES_tradnl"/>
        </w:rPr>
      </w:pPr>
      <w:r w:rsidRPr="001C75C1">
        <w:rPr>
          <w:rFonts w:ascii="Arial" w:hAnsi="Arial" w:eastAsia="Calibri" w:cs="Arial"/>
          <w:b/>
          <w:color w:val="000000" w:themeColor="text1"/>
          <w:sz w:val="22"/>
          <w:lang w:val="es-ES_tradnl"/>
        </w:rPr>
        <w:t>Sandra Milena Díaz Orjuela</w:t>
      </w:r>
    </w:p>
    <w:p w:rsidRPr="001C75C1" w:rsidR="00B95C30" w:rsidP="00B95C30" w:rsidRDefault="00D461B4" w14:paraId="3F3D1203" w14:textId="3CC99CC0">
      <w:pPr>
        <w:jc w:val="both"/>
        <w:rPr>
          <w:rFonts w:ascii="Arial" w:hAnsi="Arial" w:eastAsia="Calibri" w:cs="Arial"/>
          <w:color w:val="000000" w:themeColor="text1"/>
          <w:sz w:val="22"/>
          <w:lang w:val="es-ES_tradnl"/>
        </w:rPr>
      </w:pPr>
      <w:r w:rsidRPr="001C75C1">
        <w:rPr>
          <w:rFonts w:ascii="Arial" w:hAnsi="Arial" w:cs="Arial"/>
          <w:noProof/>
          <w:color w:val="000000" w:themeColor="text1"/>
          <w:sz w:val="22"/>
          <w:lang w:val="es-ES_tradnl"/>
        </w:rPr>
        <w:t>Bogotá D.C.</w:t>
      </w:r>
    </w:p>
    <w:p w:rsidRPr="001C75C1" w:rsidR="00B95C30" w:rsidP="00B95C30" w:rsidRDefault="00B95C30" w14:paraId="24E8D2A9" w14:textId="77777777">
      <w:pPr>
        <w:jc w:val="both"/>
        <w:rPr>
          <w:rFonts w:ascii="Arial" w:hAnsi="Arial" w:eastAsia="Calibri" w:cs="Arial"/>
          <w:color w:val="000000" w:themeColor="text1"/>
          <w:sz w:val="22"/>
          <w:lang w:val="es-ES_tradnl"/>
        </w:rPr>
      </w:pPr>
    </w:p>
    <w:p w:rsidRPr="001C75C1" w:rsidR="00B95C30" w:rsidP="00B95C30" w:rsidRDefault="00B95C30" w14:paraId="12E66182" w14:textId="51EB9CEA">
      <w:pPr>
        <w:jc w:val="center"/>
        <w:rPr>
          <w:rFonts w:ascii="Arial" w:hAnsi="Arial" w:eastAsia="Calibri" w:cs="Arial"/>
          <w:b/>
          <w:bCs/>
          <w:color w:val="000000" w:themeColor="text1"/>
          <w:sz w:val="22"/>
          <w:lang w:val="es-ES_tradnl"/>
        </w:rPr>
      </w:pPr>
      <w:r w:rsidRPr="001C75C1">
        <w:rPr>
          <w:rFonts w:ascii="Arial" w:hAnsi="Arial" w:eastAsia="Calibri" w:cs="Arial"/>
          <w:b/>
          <w:bCs/>
          <w:color w:val="000000" w:themeColor="text1"/>
          <w:sz w:val="22"/>
          <w:lang w:val="es-ES_tradnl"/>
        </w:rPr>
        <w:t xml:space="preserve">Concepto C ‒ </w:t>
      </w:r>
      <w:r w:rsidRPr="001C75C1" w:rsidR="00A246EE">
        <w:rPr>
          <w:rFonts w:ascii="Arial" w:hAnsi="Arial" w:eastAsia="Calibri" w:cs="Arial"/>
          <w:b/>
          <w:bCs/>
          <w:color w:val="000000" w:themeColor="text1"/>
          <w:sz w:val="22"/>
          <w:lang w:val="es-ES_tradnl"/>
        </w:rPr>
        <w:t>057</w:t>
      </w:r>
      <w:r w:rsidRPr="001C75C1">
        <w:rPr>
          <w:rFonts w:ascii="Arial" w:hAnsi="Arial" w:eastAsia="Calibri" w:cs="Arial"/>
          <w:b/>
          <w:bCs/>
          <w:color w:val="000000" w:themeColor="text1"/>
          <w:sz w:val="22"/>
          <w:lang w:val="es-ES_tradnl"/>
        </w:rPr>
        <w:t xml:space="preserve"> de 202</w:t>
      </w:r>
      <w:r w:rsidRPr="001C75C1" w:rsidR="009A5D43">
        <w:rPr>
          <w:rFonts w:ascii="Arial" w:hAnsi="Arial" w:eastAsia="Calibri" w:cs="Arial"/>
          <w:b/>
          <w:bCs/>
          <w:color w:val="000000" w:themeColor="text1"/>
          <w:sz w:val="22"/>
          <w:lang w:val="es-ES_tradnl"/>
        </w:rPr>
        <w:t>2</w:t>
      </w:r>
    </w:p>
    <w:p w:rsidRPr="001C75C1" w:rsidR="00B95C30" w:rsidP="00B95C30" w:rsidRDefault="00B95C30" w14:paraId="2B376FFA" w14:textId="77777777">
      <w:pPr>
        <w:jc w:val="both"/>
        <w:rPr>
          <w:rFonts w:ascii="Arial" w:hAnsi="Arial" w:eastAsia="Calibri" w:cs="Arial"/>
          <w:color w:val="000000" w:themeColor="text1"/>
          <w:sz w:val="22"/>
          <w:lang w:val="es-ES_tradnl"/>
        </w:rPr>
      </w:pPr>
    </w:p>
    <w:p w:rsidRPr="001C75C1" w:rsidR="00B95C30" w:rsidP="00B95C30" w:rsidRDefault="00B95C30" w14:paraId="08CF82B2" w14:textId="77777777">
      <w:pPr>
        <w:jc w:val="both"/>
        <w:rPr>
          <w:rFonts w:ascii="Arial" w:hAnsi="Arial" w:eastAsia="Calibri" w:cs="Arial"/>
          <w:color w:val="000000" w:themeColor="text1"/>
          <w:sz w:val="22"/>
          <w:lang w:val="es-ES_tradnl"/>
        </w:rPr>
      </w:pPr>
    </w:p>
    <w:p w:rsidRPr="001C75C1" w:rsidR="00B95C30" w:rsidP="00B95C30" w:rsidRDefault="00B95C30" w14:paraId="1BD594F9" w14:textId="77777777">
      <w:pPr>
        <w:jc w:val="both"/>
        <w:rPr>
          <w:rFonts w:ascii="Arial" w:hAnsi="Arial" w:eastAsia="Calibri" w:cs="Arial"/>
          <w:color w:val="000000" w:themeColor="text1"/>
          <w:sz w:val="22"/>
          <w:lang w:val="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1C75C1" w:rsidR="009342B6" w:rsidTr="00961A9D" w14:paraId="19DFC051" w14:textId="77777777">
        <w:tc>
          <w:tcPr>
            <w:tcW w:w="2689" w:type="dxa"/>
          </w:tcPr>
          <w:p w:rsidRPr="001C75C1" w:rsidR="00B95C30" w:rsidP="003D3D44" w:rsidRDefault="00B95C30" w14:paraId="6BC0D1AC" w14:textId="77777777">
            <w:pPr>
              <w:jc w:val="both"/>
              <w:rPr>
                <w:rFonts w:ascii="Arial" w:hAnsi="Arial" w:eastAsia="Calibri" w:cs="Arial"/>
                <w:color w:val="000000" w:themeColor="text1"/>
                <w:sz w:val="22"/>
                <w:lang w:val="es-ES_tradnl"/>
              </w:rPr>
            </w:pPr>
            <w:r w:rsidRPr="001C75C1">
              <w:rPr>
                <w:rFonts w:ascii="Arial" w:hAnsi="Arial" w:eastAsia="Calibri" w:cs="Arial"/>
                <w:b/>
                <w:color w:val="000000" w:themeColor="text1"/>
                <w:sz w:val="22"/>
                <w:lang w:val="es-ES_tradnl"/>
              </w:rPr>
              <w:t>Temas:</w:t>
            </w:r>
            <w:r w:rsidRPr="001C75C1">
              <w:rPr>
                <w:rFonts w:ascii="Arial" w:hAnsi="Arial" w:eastAsia="Calibri" w:cs="Arial"/>
                <w:color w:val="000000" w:themeColor="text1"/>
                <w:sz w:val="22"/>
                <w:lang w:val="es-ES_tradnl"/>
              </w:rPr>
              <w:t xml:space="preserve">                                      </w:t>
            </w:r>
          </w:p>
        </w:tc>
        <w:tc>
          <w:tcPr>
            <w:tcW w:w="6237" w:type="dxa"/>
            <w:shd w:val="clear" w:color="auto" w:fill="auto"/>
          </w:tcPr>
          <w:p w:rsidRPr="001C75C1" w:rsidR="00B95C30" w:rsidP="0038512F" w:rsidRDefault="00B020EB" w14:paraId="5F389CAF" w14:textId="018043E7">
            <w:pPr>
              <w:pStyle w:val="Sinespaciado"/>
              <w:jc w:val="both"/>
              <w:rPr>
                <w:rFonts w:ascii="Arial" w:hAnsi="Arial" w:cs="Arial"/>
                <w:bCs/>
                <w:color w:val="000000" w:themeColor="text1"/>
                <w:sz w:val="22"/>
                <w:lang w:val="es-ES_tradnl"/>
              </w:rPr>
            </w:pPr>
            <w:r w:rsidRPr="001C75C1">
              <w:rPr>
                <w:rFonts w:ascii="Arial" w:hAnsi="Arial" w:eastAsia="Calibri" w:cs="Arial"/>
                <w:color w:val="000000" w:themeColor="text1"/>
                <w:sz w:val="22"/>
                <w:lang w:val="es-ES_tradnl"/>
              </w:rPr>
              <w:t xml:space="preserve">SELECCIÓN OBJETIVA – Contratación estatal – Concepto / EMPATE – Procedimiento de selección – Concepto / FACTORES DE DESEMPATE – Características – Límites / LEY DE EMPRENDIMIENTO – Ley 2069 de 2020 – Vigencia / </w:t>
            </w:r>
            <w:r w:rsidRPr="001C75C1" w:rsidR="00961A9D">
              <w:rPr>
                <w:rFonts w:ascii="Arial" w:hAnsi="Arial" w:eastAsia="Calibri" w:cs="Arial"/>
                <w:color w:val="000000" w:themeColor="text1"/>
                <w:sz w:val="22"/>
                <w:lang w:val="es-ES_tradnl"/>
              </w:rPr>
              <w:t>PARTICIPACIÓN MAYORITARIA – Ley 2069 – Artículo 35 – Numeral 2 – Interpretación</w:t>
            </w:r>
            <w:r w:rsidRPr="001C75C1" w:rsidR="00F37E5F">
              <w:rPr>
                <w:rFonts w:ascii="Arial" w:hAnsi="Arial" w:eastAsia="Calibri" w:cs="Arial"/>
                <w:color w:val="000000" w:themeColor="text1"/>
                <w:sz w:val="22"/>
                <w:lang w:val="es-ES_tradnl"/>
              </w:rPr>
              <w:t xml:space="preserve"> – Decreto 1860 de 2021</w:t>
            </w:r>
            <w:r w:rsidRPr="001C75C1" w:rsidR="00F42B8C">
              <w:rPr>
                <w:rFonts w:ascii="Arial" w:hAnsi="Arial" w:eastAsia="Calibri" w:cs="Arial"/>
                <w:color w:val="000000" w:themeColor="text1"/>
                <w:sz w:val="22"/>
                <w:lang w:val="es-ES_tradnl"/>
              </w:rPr>
              <w:t xml:space="preserve">.        </w:t>
            </w:r>
          </w:p>
        </w:tc>
      </w:tr>
      <w:tr w:rsidRPr="001C75C1" w:rsidR="009342B6" w:rsidTr="003D3D44" w14:paraId="27CD52AB" w14:textId="77777777">
        <w:tc>
          <w:tcPr>
            <w:tcW w:w="2689" w:type="dxa"/>
          </w:tcPr>
          <w:p w:rsidRPr="001C75C1" w:rsidR="00B95C30" w:rsidP="003D3D44" w:rsidRDefault="00B95C30" w14:paraId="37E195A1" w14:textId="4C368209">
            <w:pPr>
              <w:spacing w:before="120"/>
              <w:jc w:val="both"/>
              <w:rPr>
                <w:rFonts w:ascii="Arial" w:hAnsi="Arial" w:eastAsia="Calibri" w:cs="Arial"/>
                <w:b/>
                <w:color w:val="000000" w:themeColor="text1"/>
                <w:sz w:val="22"/>
                <w:lang w:val="es-ES_tradnl"/>
              </w:rPr>
            </w:pPr>
            <w:r w:rsidRPr="001C75C1">
              <w:rPr>
                <w:rFonts w:ascii="Arial" w:hAnsi="Arial" w:eastAsia="Calibri" w:cs="Arial"/>
                <w:b/>
                <w:color w:val="000000" w:themeColor="text1"/>
                <w:sz w:val="22"/>
                <w:lang w:val="es-ES_tradnl"/>
              </w:rPr>
              <w:t>Radicación:</w:t>
            </w:r>
            <w:r w:rsidRPr="001C75C1">
              <w:rPr>
                <w:rFonts w:ascii="Arial" w:hAnsi="Arial" w:eastAsia="Calibri" w:cs="Arial"/>
                <w:color w:val="000000" w:themeColor="text1"/>
                <w:sz w:val="22"/>
                <w:lang w:val="es-ES_tradnl"/>
              </w:rPr>
              <w:t xml:space="preserve">                              </w:t>
            </w:r>
          </w:p>
        </w:tc>
        <w:tc>
          <w:tcPr>
            <w:tcW w:w="6237" w:type="dxa"/>
          </w:tcPr>
          <w:p w:rsidRPr="001C75C1" w:rsidR="00B95C30" w:rsidP="003D3D44" w:rsidRDefault="00B95C30" w14:paraId="64360FC9" w14:textId="5B718045">
            <w:pPr>
              <w:spacing w:before="120"/>
              <w:jc w:val="both"/>
              <w:rPr>
                <w:rFonts w:ascii="Arial" w:hAnsi="Arial" w:eastAsia="Calibri" w:cs="Arial"/>
                <w:color w:val="000000" w:themeColor="text1"/>
                <w:sz w:val="22"/>
                <w:lang w:val="es-ES_tradnl"/>
              </w:rPr>
            </w:pPr>
            <w:r w:rsidRPr="001C75C1">
              <w:rPr>
                <w:rFonts w:ascii="Arial" w:hAnsi="Arial" w:eastAsia="Calibri" w:cs="Arial"/>
                <w:color w:val="000000" w:themeColor="text1"/>
                <w:sz w:val="22"/>
                <w:lang w:val="es-ES_tradnl"/>
              </w:rPr>
              <w:t xml:space="preserve">Respuesta a consulta # </w:t>
            </w:r>
            <w:r w:rsidRPr="001C75C1" w:rsidR="000E18DB">
              <w:rPr>
                <w:rFonts w:ascii="Arial" w:hAnsi="Arial" w:eastAsia="Calibri" w:cs="Arial"/>
                <w:color w:val="000000" w:themeColor="text1"/>
                <w:sz w:val="22"/>
                <w:lang w:val="es-ES_tradnl"/>
              </w:rPr>
              <w:t>P20220125000602</w:t>
            </w:r>
          </w:p>
          <w:p w:rsidRPr="001C75C1" w:rsidR="00B95C30" w:rsidP="003D3D44" w:rsidRDefault="00B95C30" w14:paraId="09088B1B" w14:textId="77777777">
            <w:pPr>
              <w:spacing w:before="120"/>
              <w:jc w:val="both"/>
              <w:rPr>
                <w:rFonts w:ascii="Arial" w:hAnsi="Arial" w:eastAsia="Calibri" w:cs="Arial"/>
                <w:color w:val="000000" w:themeColor="text1"/>
                <w:sz w:val="22"/>
                <w:lang w:val="es-ES_tradnl"/>
              </w:rPr>
            </w:pPr>
            <w:r w:rsidRPr="001C75C1">
              <w:rPr>
                <w:rFonts w:ascii="Arial" w:hAnsi="Arial" w:eastAsia="Calibri" w:cs="Arial"/>
                <w:color w:val="000000" w:themeColor="text1"/>
                <w:sz w:val="22"/>
                <w:lang w:val="es-ES_tradnl"/>
              </w:rPr>
              <w:t xml:space="preserve"> </w:t>
            </w:r>
          </w:p>
        </w:tc>
      </w:tr>
    </w:tbl>
    <w:p w:rsidRPr="001C75C1" w:rsidR="003C3339" w:rsidP="003C3339" w:rsidRDefault="003C3339" w14:paraId="1CF4AEA0" w14:textId="1365DCBF">
      <w:pPr>
        <w:jc w:val="both"/>
        <w:rPr>
          <w:rFonts w:ascii="Arial" w:hAnsi="Arial" w:eastAsia="Calibri" w:cs="Arial"/>
          <w:color w:val="000000" w:themeColor="text1"/>
          <w:sz w:val="22"/>
          <w:lang w:val="es-ES_tradnl"/>
        </w:rPr>
      </w:pPr>
      <w:r w:rsidRPr="001C75C1">
        <w:rPr>
          <w:rFonts w:ascii="Arial" w:hAnsi="Arial" w:eastAsia="Calibri" w:cs="Arial"/>
          <w:color w:val="000000" w:themeColor="text1"/>
          <w:sz w:val="22"/>
          <w:lang w:val="es-ES_tradnl"/>
        </w:rPr>
        <w:t>Estimad</w:t>
      </w:r>
      <w:r w:rsidRPr="001C75C1" w:rsidR="003D522C">
        <w:rPr>
          <w:rFonts w:ascii="Arial" w:hAnsi="Arial" w:eastAsia="Calibri" w:cs="Arial"/>
          <w:color w:val="000000" w:themeColor="text1"/>
          <w:sz w:val="22"/>
          <w:lang w:val="es-ES_tradnl"/>
        </w:rPr>
        <w:t>a</w:t>
      </w:r>
      <w:r w:rsidRPr="001C75C1">
        <w:rPr>
          <w:rFonts w:ascii="Arial" w:hAnsi="Arial" w:eastAsia="Calibri" w:cs="Arial"/>
          <w:color w:val="000000" w:themeColor="text1"/>
          <w:sz w:val="22"/>
          <w:lang w:val="es-ES_tradnl"/>
        </w:rPr>
        <w:t xml:space="preserve"> </w:t>
      </w:r>
      <w:r w:rsidRPr="001C75C1" w:rsidR="00677E9C">
        <w:rPr>
          <w:rFonts w:ascii="Arial" w:hAnsi="Arial" w:eastAsia="Calibri" w:cs="Arial"/>
          <w:color w:val="000000" w:themeColor="text1"/>
          <w:sz w:val="22"/>
          <w:lang w:val="es-ES_tradnl"/>
        </w:rPr>
        <w:t>señor</w:t>
      </w:r>
      <w:r w:rsidRPr="001C75C1" w:rsidR="003D522C">
        <w:rPr>
          <w:rFonts w:ascii="Arial" w:hAnsi="Arial" w:eastAsia="Calibri" w:cs="Arial"/>
          <w:color w:val="000000" w:themeColor="text1"/>
          <w:sz w:val="22"/>
          <w:lang w:val="es-ES_tradnl"/>
        </w:rPr>
        <w:t>a</w:t>
      </w:r>
      <w:r w:rsidRPr="001C75C1" w:rsidR="00677E9C">
        <w:rPr>
          <w:rFonts w:ascii="Arial" w:hAnsi="Arial" w:eastAsia="Calibri" w:cs="Arial"/>
          <w:color w:val="000000" w:themeColor="text1"/>
          <w:sz w:val="22"/>
          <w:lang w:val="es-ES_tradnl"/>
        </w:rPr>
        <w:t xml:space="preserve"> </w:t>
      </w:r>
      <w:r w:rsidRPr="001C75C1" w:rsidR="003D522C">
        <w:rPr>
          <w:rFonts w:ascii="Arial" w:hAnsi="Arial" w:eastAsia="Calibri" w:cs="Arial"/>
          <w:color w:val="000000" w:themeColor="text1"/>
          <w:sz w:val="22"/>
          <w:lang w:val="es-ES_tradnl"/>
        </w:rPr>
        <w:t>Díaz</w:t>
      </w:r>
      <w:r w:rsidRPr="001C75C1">
        <w:rPr>
          <w:rFonts w:ascii="Arial" w:hAnsi="Arial" w:eastAsia="Calibri" w:cs="Arial"/>
          <w:color w:val="000000" w:themeColor="text1"/>
          <w:sz w:val="22"/>
          <w:lang w:val="es-ES_tradnl"/>
        </w:rPr>
        <w:t>:</w:t>
      </w:r>
    </w:p>
    <w:p w:rsidRPr="001C75C1" w:rsidR="00DD5B04" w:rsidP="00DF76A2" w:rsidRDefault="00DD5B04" w14:paraId="1EAE5543" w14:textId="77777777">
      <w:pPr>
        <w:jc w:val="both"/>
        <w:rPr>
          <w:rFonts w:ascii="Arial" w:hAnsi="Arial" w:eastAsia="Calibri" w:cs="Arial"/>
          <w:color w:val="000000" w:themeColor="text1"/>
          <w:sz w:val="22"/>
          <w:lang w:val="es-ES_tradnl"/>
        </w:rPr>
      </w:pPr>
    </w:p>
    <w:p w:rsidRPr="001C75C1" w:rsidR="00DD5B04" w:rsidP="00DF76A2" w:rsidRDefault="00DD5B04" w14:paraId="2109B2D3" w14:textId="3CBFC16B">
      <w:pPr>
        <w:spacing w:line="276" w:lineRule="auto"/>
        <w:jc w:val="both"/>
        <w:rPr>
          <w:rFonts w:ascii="Arial" w:hAnsi="Arial" w:eastAsia="Calibri" w:cs="Arial"/>
          <w:color w:val="000000" w:themeColor="text1"/>
          <w:sz w:val="22"/>
          <w:lang w:val="es-ES_tradnl"/>
        </w:rPr>
      </w:pPr>
      <w:r w:rsidRPr="001C75C1">
        <w:rPr>
          <w:rFonts w:ascii="Arial" w:hAnsi="Arial" w:eastAsia="Calibri" w:cs="Arial"/>
          <w:color w:val="000000" w:themeColor="text1"/>
          <w:sz w:val="22"/>
          <w:lang w:val="es-ES_tradnl"/>
        </w:rPr>
        <w:t>En ejercicio de la competencia otorgada por el numeral 8 del artículo 11 y el numeral 5 del artículo 3 del Decreto Ley 4170 de 2011,</w:t>
      </w:r>
      <w:r w:rsidRPr="001C75C1" w:rsidR="00AB1340">
        <w:rPr>
          <w:rFonts w:ascii="Arial" w:hAnsi="Arial" w:eastAsia="Calibri" w:cs="Arial"/>
          <w:color w:val="000000" w:themeColor="text1"/>
          <w:sz w:val="22"/>
          <w:lang w:val="es-ES_tradnl"/>
        </w:rPr>
        <w:t xml:space="preserve"> </w:t>
      </w:r>
      <w:r w:rsidRPr="001C75C1">
        <w:rPr>
          <w:rFonts w:ascii="Arial" w:hAnsi="Arial" w:eastAsia="Calibri" w:cs="Arial"/>
          <w:color w:val="000000" w:themeColor="text1"/>
          <w:sz w:val="22"/>
          <w:lang w:val="es-ES_tradnl"/>
        </w:rPr>
        <w:t>la Agencia Nacional de Contratación Pública ― Colombia Compra Eficiente</w:t>
      </w:r>
      <w:r w:rsidRPr="001C75C1" w:rsidR="008C3C57">
        <w:rPr>
          <w:rFonts w:ascii="Arial" w:hAnsi="Arial" w:eastAsia="Calibri" w:cs="Arial"/>
          <w:color w:val="000000" w:themeColor="text1"/>
          <w:sz w:val="22"/>
          <w:lang w:val="es-ES_tradnl"/>
        </w:rPr>
        <w:t xml:space="preserve"> </w:t>
      </w:r>
      <w:r w:rsidRPr="001C75C1">
        <w:rPr>
          <w:rFonts w:ascii="Arial" w:hAnsi="Arial" w:eastAsia="Calibri" w:cs="Arial"/>
          <w:color w:val="000000" w:themeColor="text1"/>
          <w:sz w:val="22"/>
          <w:lang w:val="es-ES_tradnl"/>
        </w:rPr>
        <w:t xml:space="preserve">responde su consulta del </w:t>
      </w:r>
      <w:r w:rsidRPr="001C75C1" w:rsidR="00A10171">
        <w:rPr>
          <w:rFonts w:ascii="Arial" w:hAnsi="Arial" w:eastAsia="Calibri" w:cs="Arial"/>
          <w:color w:val="000000" w:themeColor="text1"/>
          <w:sz w:val="22"/>
          <w:lang w:val="es-ES_tradnl"/>
        </w:rPr>
        <w:t xml:space="preserve">9 de diciembre de 2021, remitida a esta entidad por falta de competencia, por parte de </w:t>
      </w:r>
      <w:r w:rsidRPr="001C75C1" w:rsidR="000C3729">
        <w:rPr>
          <w:rFonts w:ascii="Arial" w:hAnsi="Arial" w:eastAsia="Calibri" w:cs="Arial"/>
          <w:color w:val="000000" w:themeColor="text1"/>
          <w:sz w:val="22"/>
          <w:lang w:val="es-ES_tradnl"/>
        </w:rPr>
        <w:t>la Superintendencia de Sociedades, mediante oficio con radicado No. 2022-01</w:t>
      </w:r>
      <w:r w:rsidRPr="001C75C1" w:rsidR="006933D6">
        <w:rPr>
          <w:rFonts w:ascii="Arial" w:hAnsi="Arial" w:eastAsia="Calibri" w:cs="Arial"/>
          <w:color w:val="000000" w:themeColor="text1"/>
          <w:sz w:val="22"/>
          <w:lang w:val="es-ES_tradnl"/>
        </w:rPr>
        <w:t>-020237 del 24 de enero de 2022</w:t>
      </w:r>
      <w:r w:rsidRPr="001C75C1" w:rsidR="008C3C57">
        <w:rPr>
          <w:rFonts w:ascii="Arial" w:hAnsi="Arial" w:eastAsia="Calibri" w:cs="Arial"/>
          <w:color w:val="000000" w:themeColor="text1"/>
          <w:sz w:val="22"/>
          <w:lang w:val="es-ES_tradnl"/>
        </w:rPr>
        <w:t>.</w:t>
      </w:r>
    </w:p>
    <w:p w:rsidRPr="001C75C1" w:rsidR="00DD5B04" w:rsidP="00DF76A2" w:rsidRDefault="00DD5B04" w14:paraId="0C1E0712" w14:textId="77777777">
      <w:pPr>
        <w:spacing w:line="276" w:lineRule="auto"/>
        <w:jc w:val="both"/>
        <w:rPr>
          <w:rFonts w:ascii="Arial" w:hAnsi="Arial" w:eastAsia="Calibri" w:cs="Arial"/>
          <w:b/>
          <w:color w:val="000000" w:themeColor="text1"/>
          <w:sz w:val="22"/>
          <w:lang w:val="es-ES_tradnl"/>
        </w:rPr>
      </w:pPr>
    </w:p>
    <w:p w:rsidRPr="001C75C1" w:rsidR="00DD5B04" w:rsidP="00DF76A2" w:rsidRDefault="00DD5B04" w14:paraId="7701FCC7" w14:textId="77777777">
      <w:pPr>
        <w:pStyle w:val="Prrafodelista"/>
        <w:numPr>
          <w:ilvl w:val="0"/>
          <w:numId w:val="8"/>
        </w:numPr>
        <w:tabs>
          <w:tab w:val="left" w:pos="0"/>
          <w:tab w:val="left" w:pos="142"/>
          <w:tab w:val="left" w:pos="284"/>
        </w:tabs>
        <w:spacing w:line="276" w:lineRule="auto"/>
        <w:ind w:left="0" w:firstLine="0"/>
        <w:jc w:val="both"/>
        <w:rPr>
          <w:rFonts w:ascii="Arial" w:hAnsi="Arial" w:eastAsia="Calibri" w:cs="Arial"/>
          <w:b/>
          <w:color w:val="000000" w:themeColor="text1"/>
          <w:sz w:val="22"/>
          <w:lang w:val="es-ES_tradnl"/>
        </w:rPr>
      </w:pPr>
      <w:r w:rsidRPr="001C75C1">
        <w:rPr>
          <w:rFonts w:ascii="Arial" w:hAnsi="Arial" w:eastAsia="Calibri" w:cs="Arial"/>
          <w:b/>
          <w:color w:val="000000" w:themeColor="text1"/>
          <w:sz w:val="22"/>
          <w:lang w:val="es-ES_tradnl"/>
        </w:rPr>
        <w:t xml:space="preserve">Problema planteado </w:t>
      </w:r>
    </w:p>
    <w:p w:rsidRPr="001C75C1" w:rsidR="00DD5B04" w:rsidP="00DF76A2" w:rsidRDefault="00DD5B04" w14:paraId="224B43D3" w14:textId="77777777">
      <w:pPr>
        <w:tabs>
          <w:tab w:val="left" w:pos="426"/>
        </w:tabs>
        <w:spacing w:line="276" w:lineRule="auto"/>
        <w:jc w:val="both"/>
        <w:rPr>
          <w:rFonts w:ascii="Arial" w:hAnsi="Arial" w:eastAsia="Calibri" w:cs="Arial"/>
          <w:b/>
          <w:color w:val="000000" w:themeColor="text1"/>
          <w:sz w:val="22"/>
          <w:lang w:val="es-ES_tradnl"/>
        </w:rPr>
      </w:pPr>
    </w:p>
    <w:p w:rsidRPr="001C75C1" w:rsidR="00487B8C" w:rsidP="00D658FC" w:rsidRDefault="00DD5B04" w14:paraId="23AB0EF4" w14:textId="1B8D5500">
      <w:pPr>
        <w:spacing w:line="276" w:lineRule="auto"/>
        <w:jc w:val="both"/>
        <w:rPr>
          <w:rFonts w:ascii="Arial" w:hAnsi="Arial" w:eastAsia="Calibri" w:cs="Arial"/>
          <w:color w:val="000000" w:themeColor="text1"/>
          <w:sz w:val="22"/>
          <w:lang w:val="es-ES_tradnl"/>
        </w:rPr>
      </w:pPr>
      <w:r w:rsidRPr="001C75C1">
        <w:rPr>
          <w:rFonts w:ascii="Arial" w:hAnsi="Arial" w:cs="Arial"/>
          <w:color w:val="000000" w:themeColor="text1"/>
          <w:sz w:val="22"/>
          <w:lang w:val="es-ES_tradnl"/>
        </w:rPr>
        <w:t xml:space="preserve">Usted </w:t>
      </w:r>
      <w:r w:rsidRPr="001C75C1" w:rsidR="00487B8C">
        <w:rPr>
          <w:rFonts w:ascii="Arial" w:hAnsi="Arial" w:cs="Arial"/>
          <w:color w:val="000000" w:themeColor="text1"/>
          <w:sz w:val="22"/>
          <w:lang w:val="es-ES_tradnl"/>
        </w:rPr>
        <w:t>realiza la siguiente consulta, en relación con la interpretación del</w:t>
      </w:r>
      <w:r w:rsidRPr="001C75C1" w:rsidR="002656D8">
        <w:rPr>
          <w:rFonts w:ascii="Arial" w:hAnsi="Arial" w:cs="Arial"/>
          <w:color w:val="000000" w:themeColor="text1"/>
          <w:sz w:val="22"/>
          <w:lang w:val="es-ES_tradnl"/>
        </w:rPr>
        <w:t xml:space="preserve"> factor de desempate consagrado en el artículo 35, numeral 2, de la Ley 2069 de 2020</w:t>
      </w:r>
      <w:r w:rsidRPr="001C75C1" w:rsidR="00D658FC">
        <w:rPr>
          <w:rFonts w:ascii="Arial" w:hAnsi="Arial" w:eastAsia="Calibri" w:cs="Arial"/>
          <w:color w:val="000000" w:themeColor="text1"/>
          <w:sz w:val="22"/>
          <w:lang w:val="es-ES_tradnl"/>
        </w:rPr>
        <w:t xml:space="preserve">: </w:t>
      </w:r>
    </w:p>
    <w:p w:rsidRPr="001C75C1" w:rsidR="00487B8C" w:rsidP="00D658FC" w:rsidRDefault="00487B8C" w14:paraId="0C8A1658" w14:textId="77777777">
      <w:pPr>
        <w:spacing w:line="276" w:lineRule="auto"/>
        <w:jc w:val="both"/>
        <w:rPr>
          <w:rFonts w:ascii="Arial" w:hAnsi="Arial" w:eastAsia="Calibri" w:cs="Arial"/>
          <w:color w:val="000000" w:themeColor="text1"/>
          <w:sz w:val="22"/>
          <w:lang w:val="es-ES_tradnl"/>
        </w:rPr>
      </w:pPr>
    </w:p>
    <w:p w:rsidRPr="001C75C1" w:rsidR="00B75972" w:rsidP="00553027" w:rsidRDefault="00553027" w14:paraId="0EF4AE16" w14:textId="749A8627">
      <w:pPr>
        <w:ind w:left="709" w:right="709"/>
        <w:jc w:val="both"/>
        <w:rPr>
          <w:rFonts w:ascii="Arial" w:hAnsi="Arial" w:eastAsia="Calibri" w:cs="Arial"/>
          <w:color w:val="000000" w:themeColor="text1"/>
          <w:sz w:val="21"/>
          <w:szCs w:val="21"/>
          <w:lang w:val="es-ES_tradnl"/>
        </w:rPr>
      </w:pPr>
      <w:r w:rsidRPr="001C75C1">
        <w:rPr>
          <w:rFonts w:ascii="Arial" w:hAnsi="Arial" w:eastAsia="Calibri" w:cs="Arial"/>
          <w:color w:val="000000" w:themeColor="text1"/>
          <w:sz w:val="21"/>
          <w:szCs w:val="21"/>
          <w:lang w:val="es-ES_tradnl"/>
        </w:rPr>
        <w:t xml:space="preserve">«Solicito de manera atenta se me indique cuál es el alcance que se debe dar al texto resaltado, en el sentido de determinar si esa participación mayoritaria corresponde necesariamente a una participación igual o superior al 51% de la </w:t>
      </w:r>
      <w:r w:rsidRPr="001C75C1" w:rsidR="000531F8">
        <w:rPr>
          <w:rFonts w:ascii="Arial" w:hAnsi="Arial" w:eastAsia="Calibri" w:cs="Arial"/>
          <w:color w:val="000000" w:themeColor="text1"/>
          <w:sz w:val="21"/>
          <w:szCs w:val="21"/>
          <w:lang w:val="es-ES_tradnl"/>
        </w:rPr>
        <w:t>composición</w:t>
      </w:r>
      <w:r w:rsidRPr="001C75C1">
        <w:rPr>
          <w:rFonts w:ascii="Arial" w:hAnsi="Arial" w:eastAsia="Calibri" w:cs="Arial"/>
          <w:color w:val="000000" w:themeColor="text1"/>
          <w:sz w:val="21"/>
          <w:szCs w:val="21"/>
          <w:lang w:val="es-ES_tradnl"/>
        </w:rPr>
        <w:t xml:space="preserve"> accionaria, o si debe entenderse como la </w:t>
      </w:r>
      <w:r w:rsidRPr="001C75C1" w:rsidR="000531F8">
        <w:rPr>
          <w:rFonts w:ascii="Arial" w:hAnsi="Arial" w:eastAsia="Calibri" w:cs="Arial"/>
          <w:color w:val="000000" w:themeColor="text1"/>
          <w:sz w:val="21"/>
          <w:szCs w:val="21"/>
          <w:lang w:val="es-ES_tradnl"/>
        </w:rPr>
        <w:t>participación</w:t>
      </w:r>
      <w:r w:rsidRPr="001C75C1">
        <w:rPr>
          <w:rFonts w:ascii="Arial" w:hAnsi="Arial" w:eastAsia="Calibri" w:cs="Arial"/>
          <w:color w:val="000000" w:themeColor="text1"/>
          <w:sz w:val="21"/>
          <w:szCs w:val="21"/>
          <w:lang w:val="es-ES_tradnl"/>
        </w:rPr>
        <w:t xml:space="preserve"> que implique el mayor </w:t>
      </w:r>
      <w:r w:rsidRPr="001C75C1" w:rsidR="000531F8">
        <w:rPr>
          <w:rFonts w:ascii="Arial" w:hAnsi="Arial" w:eastAsia="Calibri" w:cs="Arial"/>
          <w:color w:val="000000" w:themeColor="text1"/>
          <w:sz w:val="21"/>
          <w:szCs w:val="21"/>
          <w:lang w:val="es-ES_tradnl"/>
        </w:rPr>
        <w:t>número</w:t>
      </w:r>
      <w:r w:rsidRPr="001C75C1">
        <w:rPr>
          <w:rFonts w:ascii="Arial" w:hAnsi="Arial" w:eastAsia="Calibri" w:cs="Arial"/>
          <w:color w:val="000000" w:themeColor="text1"/>
          <w:sz w:val="21"/>
          <w:szCs w:val="21"/>
          <w:lang w:val="es-ES_tradnl"/>
        </w:rPr>
        <w:t xml:space="preserve"> de acciones dentro de la </w:t>
      </w:r>
      <w:r w:rsidRPr="001C75C1" w:rsidR="000531F8">
        <w:rPr>
          <w:rFonts w:ascii="Arial" w:hAnsi="Arial" w:eastAsia="Calibri" w:cs="Arial"/>
          <w:color w:val="000000" w:themeColor="text1"/>
          <w:sz w:val="21"/>
          <w:szCs w:val="21"/>
          <w:lang w:val="es-ES_tradnl"/>
        </w:rPr>
        <w:t>composición</w:t>
      </w:r>
      <w:r w:rsidRPr="001C75C1">
        <w:rPr>
          <w:rFonts w:ascii="Arial" w:hAnsi="Arial" w:eastAsia="Calibri" w:cs="Arial"/>
          <w:color w:val="000000" w:themeColor="text1"/>
          <w:sz w:val="21"/>
          <w:szCs w:val="21"/>
          <w:lang w:val="es-ES_tradnl"/>
        </w:rPr>
        <w:t xml:space="preserve"> accionaria, sin que necesariamente signifique que deba tener el 51% o </w:t>
      </w:r>
      <w:r w:rsidRPr="001C75C1" w:rsidR="000531F8">
        <w:rPr>
          <w:rFonts w:ascii="Arial" w:hAnsi="Arial" w:eastAsia="Calibri" w:cs="Arial"/>
          <w:color w:val="000000" w:themeColor="text1"/>
          <w:sz w:val="21"/>
          <w:szCs w:val="21"/>
          <w:lang w:val="es-ES_tradnl"/>
        </w:rPr>
        <w:t>más</w:t>
      </w:r>
      <w:r w:rsidRPr="001C75C1">
        <w:rPr>
          <w:rFonts w:ascii="Arial" w:hAnsi="Arial" w:eastAsia="Calibri" w:cs="Arial"/>
          <w:color w:val="000000" w:themeColor="text1"/>
          <w:sz w:val="21"/>
          <w:szCs w:val="21"/>
          <w:lang w:val="es-ES_tradnl"/>
        </w:rPr>
        <w:t xml:space="preserve"> de la </w:t>
      </w:r>
      <w:r w:rsidRPr="001C75C1" w:rsidR="000531F8">
        <w:rPr>
          <w:rFonts w:ascii="Arial" w:hAnsi="Arial" w:eastAsia="Calibri" w:cs="Arial"/>
          <w:color w:val="000000" w:themeColor="text1"/>
          <w:sz w:val="21"/>
          <w:szCs w:val="21"/>
          <w:lang w:val="es-ES_tradnl"/>
        </w:rPr>
        <w:t>participación»</w:t>
      </w:r>
      <w:r w:rsidRPr="001C75C1">
        <w:rPr>
          <w:rFonts w:ascii="Arial" w:hAnsi="Arial" w:eastAsia="Calibri" w:cs="Arial"/>
          <w:color w:val="000000" w:themeColor="text1"/>
          <w:sz w:val="21"/>
          <w:szCs w:val="21"/>
          <w:lang w:val="es-ES_tradnl"/>
        </w:rPr>
        <w:t>.</w:t>
      </w:r>
    </w:p>
    <w:p w:rsidRPr="001C75C1" w:rsidR="00553027" w:rsidP="00553027" w:rsidRDefault="00553027" w14:paraId="7DFB8F6B" w14:textId="46DEC789">
      <w:pPr>
        <w:ind w:right="709"/>
        <w:jc w:val="both"/>
        <w:rPr>
          <w:rFonts w:ascii="Arial" w:hAnsi="Arial" w:cs="Arial"/>
          <w:color w:val="000000" w:themeColor="text1"/>
          <w:sz w:val="22"/>
        </w:rPr>
      </w:pPr>
    </w:p>
    <w:p w:rsidRPr="001C75C1" w:rsidR="00AF374A" w:rsidP="00553027" w:rsidRDefault="00AF374A" w14:paraId="6B99A27E" w14:textId="77777777">
      <w:pPr>
        <w:ind w:right="709"/>
        <w:jc w:val="both"/>
        <w:rPr>
          <w:rFonts w:ascii="Arial" w:hAnsi="Arial" w:cs="Arial"/>
          <w:color w:val="000000" w:themeColor="text1"/>
          <w:sz w:val="22"/>
        </w:rPr>
      </w:pPr>
    </w:p>
    <w:p w:rsidRPr="001C75C1" w:rsidR="00DD5B04" w:rsidP="00DF76A2" w:rsidRDefault="00DD5B04" w14:paraId="124D2DCA" w14:textId="77777777">
      <w:pPr>
        <w:pStyle w:val="Prrafodelista"/>
        <w:numPr>
          <w:ilvl w:val="0"/>
          <w:numId w:val="8"/>
        </w:numPr>
        <w:tabs>
          <w:tab w:val="left" w:pos="0"/>
          <w:tab w:val="left" w:pos="284"/>
        </w:tabs>
        <w:ind w:left="0" w:firstLine="0"/>
        <w:jc w:val="both"/>
        <w:rPr>
          <w:rFonts w:ascii="Arial" w:hAnsi="Arial" w:eastAsia="Calibri" w:cs="Arial"/>
          <w:b/>
          <w:color w:val="000000" w:themeColor="text1"/>
          <w:sz w:val="22"/>
          <w:lang w:val="es-ES_tradnl"/>
        </w:rPr>
      </w:pPr>
      <w:r w:rsidRPr="001C75C1">
        <w:rPr>
          <w:rFonts w:ascii="Arial" w:hAnsi="Arial" w:eastAsia="Calibri" w:cs="Arial"/>
          <w:b/>
          <w:color w:val="000000" w:themeColor="text1"/>
          <w:sz w:val="22"/>
          <w:lang w:val="es-ES_tradnl"/>
        </w:rPr>
        <w:t>Consideraciones</w:t>
      </w:r>
    </w:p>
    <w:p w:rsidRPr="001C75C1" w:rsidR="00435703" w:rsidP="00DF76A2" w:rsidRDefault="00435703" w14:paraId="7D050D2E" w14:textId="4381E36A">
      <w:pPr>
        <w:spacing w:line="276" w:lineRule="auto"/>
        <w:jc w:val="both"/>
        <w:rPr>
          <w:rFonts w:ascii="Arial" w:hAnsi="Arial" w:eastAsia="Calibri" w:cs="Arial"/>
          <w:color w:val="000000" w:themeColor="text1"/>
          <w:sz w:val="22"/>
          <w:szCs w:val="22"/>
          <w:lang w:val="es-ES_tradnl"/>
        </w:rPr>
      </w:pPr>
    </w:p>
    <w:p w:rsidRPr="001C75C1" w:rsidR="009D1D53" w:rsidP="009D1D53" w:rsidRDefault="009D1D53" w14:paraId="7BBB1CC4" w14:textId="2546459C">
      <w:pPr>
        <w:spacing w:line="276" w:lineRule="auto"/>
        <w:jc w:val="both"/>
        <w:rPr>
          <w:rFonts w:ascii="Arial" w:hAnsi="Arial" w:eastAsia="Calibri" w:cs="Arial"/>
          <w:color w:val="000000" w:themeColor="text1"/>
          <w:sz w:val="22"/>
          <w:szCs w:val="22"/>
          <w:lang w:val="es-ES_tradnl"/>
        </w:rPr>
      </w:pPr>
      <w:r w:rsidRPr="001C75C1">
        <w:rPr>
          <w:rFonts w:ascii="Arial" w:hAnsi="Arial" w:eastAsia="Calibri" w:cs="Arial"/>
          <w:color w:val="000000" w:themeColor="text1"/>
          <w:sz w:val="22"/>
          <w:szCs w:val="22"/>
          <w:lang w:val="es-ES_tradnl"/>
        </w:rPr>
        <w:t>La Subdirección de Gestión Contractual responderá la consulta</w:t>
      </w:r>
      <w:r w:rsidRPr="001C75C1" w:rsidR="001F0C34">
        <w:rPr>
          <w:rFonts w:ascii="Arial" w:hAnsi="Arial" w:eastAsia="Calibri" w:cs="Arial"/>
          <w:color w:val="000000" w:themeColor="text1"/>
          <w:sz w:val="22"/>
          <w:szCs w:val="22"/>
          <w:lang w:val="es-ES_tradnl"/>
        </w:rPr>
        <w:t xml:space="preserve"> reiterando</w:t>
      </w:r>
      <w:r w:rsidRPr="001C75C1" w:rsidR="000A47CD">
        <w:rPr>
          <w:rFonts w:ascii="Arial" w:hAnsi="Arial" w:eastAsia="Calibri" w:cs="Arial"/>
          <w:color w:val="000000" w:themeColor="text1"/>
          <w:sz w:val="22"/>
          <w:szCs w:val="22"/>
          <w:lang w:val="es-ES_tradnl"/>
        </w:rPr>
        <w:t>,</w:t>
      </w:r>
      <w:r w:rsidRPr="001C75C1" w:rsidR="001F0C34">
        <w:rPr>
          <w:rFonts w:ascii="Arial" w:hAnsi="Arial" w:eastAsia="Calibri" w:cs="Arial"/>
          <w:color w:val="000000" w:themeColor="text1"/>
          <w:sz w:val="22"/>
          <w:szCs w:val="22"/>
          <w:lang w:val="es-ES_tradnl"/>
        </w:rPr>
        <w:t xml:space="preserve"> </w:t>
      </w:r>
      <w:r w:rsidRPr="001C75C1" w:rsidR="000D5C8B">
        <w:rPr>
          <w:rFonts w:ascii="Arial" w:hAnsi="Arial" w:eastAsia="Calibri" w:cs="Arial"/>
          <w:color w:val="000000" w:themeColor="text1"/>
          <w:sz w:val="22"/>
          <w:szCs w:val="22"/>
          <w:lang w:val="es-ES_tradnl"/>
        </w:rPr>
        <w:t>esencialmente</w:t>
      </w:r>
      <w:r w:rsidRPr="001C75C1" w:rsidR="000A47CD">
        <w:rPr>
          <w:rFonts w:ascii="Arial" w:hAnsi="Arial" w:eastAsia="Calibri" w:cs="Arial"/>
          <w:color w:val="000000" w:themeColor="text1"/>
          <w:sz w:val="22"/>
          <w:szCs w:val="22"/>
          <w:lang w:val="es-ES_tradnl"/>
        </w:rPr>
        <w:t>,</w:t>
      </w:r>
      <w:r w:rsidRPr="001C75C1" w:rsidR="000D5C8B">
        <w:rPr>
          <w:rFonts w:ascii="Arial" w:hAnsi="Arial" w:eastAsia="Calibri" w:cs="Arial"/>
          <w:color w:val="000000" w:themeColor="text1"/>
          <w:sz w:val="22"/>
          <w:szCs w:val="22"/>
          <w:lang w:val="es-ES_tradnl"/>
        </w:rPr>
        <w:t xml:space="preserve"> el contenido del concepto </w:t>
      </w:r>
      <w:r w:rsidRPr="001C75C1" w:rsidR="000D5C8B">
        <w:rPr>
          <w:rFonts w:ascii="Arial" w:hAnsi="Arial" w:cs="Arial"/>
          <w:color w:val="000000" w:themeColor="text1"/>
          <w:sz w:val="22"/>
          <w:lang w:val="es-ES_tradnl"/>
        </w:rPr>
        <w:t>C-338 del 12 de julio de 2021</w:t>
      </w:r>
      <w:r w:rsidRPr="001C75C1" w:rsidR="00864F5F">
        <w:rPr>
          <w:rFonts w:ascii="Arial" w:hAnsi="Arial" w:cs="Arial"/>
          <w:color w:val="000000" w:themeColor="text1"/>
          <w:sz w:val="22"/>
          <w:lang w:val="es-ES_tradnl"/>
        </w:rPr>
        <w:t xml:space="preserve"> e incluyendo un análisis especial de la forma como debe acreditarse el factor de desempate por el que se indaga.</w:t>
      </w:r>
      <w:r w:rsidRPr="001C75C1" w:rsidR="00864F5F">
        <w:rPr>
          <w:rFonts w:ascii="Arial" w:hAnsi="Arial" w:eastAsia="Calibri" w:cs="Arial"/>
          <w:color w:val="000000" w:themeColor="text1"/>
          <w:sz w:val="22"/>
          <w:szCs w:val="22"/>
          <w:lang w:val="es-ES_tradnl"/>
        </w:rPr>
        <w:t xml:space="preserve"> En tal sentido, se analizarán</w:t>
      </w:r>
      <w:r w:rsidRPr="001C75C1">
        <w:rPr>
          <w:rFonts w:ascii="Arial" w:hAnsi="Arial" w:eastAsia="Calibri" w:cs="Arial"/>
          <w:color w:val="000000" w:themeColor="text1"/>
          <w:sz w:val="22"/>
          <w:szCs w:val="22"/>
          <w:lang w:val="es-ES_tradnl"/>
        </w:rPr>
        <w:t xml:space="preserve"> los siguientes temas: i) definición de los criterios de desempate en la contratación estatal, ii)</w:t>
      </w:r>
      <w:r w:rsidRPr="001C75C1" w:rsidR="006401D8">
        <w:rPr>
          <w:rFonts w:ascii="Arial" w:hAnsi="Arial" w:eastAsia="Calibri" w:cs="Arial"/>
          <w:color w:val="000000" w:themeColor="text1"/>
          <w:sz w:val="22"/>
          <w:szCs w:val="22"/>
          <w:lang w:val="es-ES_tradnl"/>
        </w:rPr>
        <w:t xml:space="preserve"> </w:t>
      </w:r>
      <w:r w:rsidRPr="001C75C1">
        <w:rPr>
          <w:rFonts w:ascii="Arial" w:hAnsi="Arial" w:eastAsia="Calibri" w:cs="Arial"/>
          <w:color w:val="000000" w:themeColor="text1"/>
          <w:sz w:val="22"/>
          <w:szCs w:val="22"/>
          <w:lang w:val="es-ES_tradnl"/>
        </w:rPr>
        <w:t>ámbito de aplicación de la Ley 2069 de 2020</w:t>
      </w:r>
      <w:r w:rsidRPr="001C75C1" w:rsidR="006401D8">
        <w:rPr>
          <w:rFonts w:ascii="Arial" w:hAnsi="Arial" w:eastAsia="Calibri" w:cs="Arial"/>
          <w:color w:val="000000" w:themeColor="text1"/>
          <w:sz w:val="22"/>
          <w:szCs w:val="22"/>
          <w:lang w:val="es-ES_tradnl"/>
        </w:rPr>
        <w:t xml:space="preserve">, </w:t>
      </w:r>
      <w:r w:rsidRPr="001C75C1" w:rsidR="00985CE1">
        <w:rPr>
          <w:rFonts w:ascii="Arial" w:hAnsi="Arial" w:eastAsia="Calibri" w:cs="Arial"/>
          <w:color w:val="000000" w:themeColor="text1"/>
          <w:sz w:val="22"/>
          <w:szCs w:val="22"/>
          <w:lang w:val="es-ES_tradnl"/>
        </w:rPr>
        <w:t xml:space="preserve">y </w:t>
      </w:r>
      <w:r w:rsidRPr="001C75C1" w:rsidR="00BC39AB">
        <w:rPr>
          <w:rFonts w:ascii="Arial" w:hAnsi="Arial" w:eastAsia="Calibri" w:cs="Arial"/>
          <w:color w:val="000000" w:themeColor="text1"/>
          <w:sz w:val="22"/>
          <w:szCs w:val="22"/>
          <w:lang w:val="es-ES_tradnl"/>
        </w:rPr>
        <w:t>i</w:t>
      </w:r>
      <w:r w:rsidRPr="001C75C1" w:rsidR="00984C2C">
        <w:rPr>
          <w:rFonts w:ascii="Arial" w:hAnsi="Arial" w:eastAsia="Calibri" w:cs="Arial"/>
          <w:color w:val="000000" w:themeColor="text1"/>
          <w:sz w:val="22"/>
          <w:szCs w:val="22"/>
          <w:lang w:val="es-ES_tradnl"/>
        </w:rPr>
        <w:t>ii</w:t>
      </w:r>
      <w:r w:rsidRPr="001C75C1" w:rsidR="00985CE1">
        <w:rPr>
          <w:rFonts w:ascii="Arial" w:hAnsi="Arial" w:eastAsia="Calibri" w:cs="Arial"/>
          <w:color w:val="000000" w:themeColor="text1"/>
          <w:sz w:val="22"/>
          <w:szCs w:val="22"/>
          <w:lang w:val="es-ES_tradnl"/>
        </w:rPr>
        <w:t>)</w:t>
      </w:r>
      <w:r w:rsidRPr="001C75C1" w:rsidR="000F59E8">
        <w:rPr>
          <w:rFonts w:ascii="Arial" w:hAnsi="Arial" w:eastAsia="Calibri" w:cs="Arial"/>
          <w:color w:val="000000" w:themeColor="text1"/>
          <w:sz w:val="22"/>
          <w:szCs w:val="22"/>
          <w:lang w:val="es-ES_tradnl"/>
        </w:rPr>
        <w:t xml:space="preserve"> </w:t>
      </w:r>
      <w:r w:rsidRPr="001C75C1" w:rsidR="00984C2C">
        <w:rPr>
          <w:rFonts w:ascii="Arial" w:hAnsi="Arial" w:eastAsia="Calibri" w:cs="Arial"/>
          <w:color w:val="000000" w:themeColor="text1"/>
          <w:sz w:val="22"/>
          <w:szCs w:val="22"/>
          <w:lang w:val="es-ES_tradnl"/>
        </w:rPr>
        <w:t>alcance</w:t>
      </w:r>
      <w:r w:rsidRPr="001C75C1" w:rsidR="006E1D06">
        <w:rPr>
          <w:rFonts w:ascii="Arial" w:hAnsi="Arial" w:eastAsia="Calibri" w:cs="Arial"/>
          <w:color w:val="000000" w:themeColor="text1"/>
          <w:sz w:val="22"/>
          <w:szCs w:val="22"/>
          <w:lang w:val="es-ES_tradnl"/>
        </w:rPr>
        <w:t xml:space="preserve"> del</w:t>
      </w:r>
      <w:r w:rsidRPr="001C75C1" w:rsidR="008B7D5C">
        <w:rPr>
          <w:rFonts w:ascii="Arial" w:hAnsi="Arial" w:eastAsia="Calibri" w:cs="Arial"/>
          <w:color w:val="000000" w:themeColor="text1"/>
          <w:sz w:val="22"/>
          <w:szCs w:val="22"/>
          <w:lang w:val="es-ES_tradnl"/>
        </w:rPr>
        <w:t xml:space="preserve"> factor de desempate regulado en el</w:t>
      </w:r>
      <w:r w:rsidRPr="001C75C1" w:rsidR="006E1D06">
        <w:rPr>
          <w:rFonts w:ascii="Arial" w:hAnsi="Arial" w:eastAsia="Calibri" w:cs="Arial"/>
          <w:color w:val="000000" w:themeColor="text1"/>
          <w:sz w:val="22"/>
          <w:szCs w:val="22"/>
          <w:lang w:val="es-ES_tradnl"/>
        </w:rPr>
        <w:t xml:space="preserve"> numeral 2 del </w:t>
      </w:r>
      <w:r w:rsidRPr="001C75C1" w:rsidR="008B7D5C">
        <w:rPr>
          <w:rFonts w:ascii="Arial" w:hAnsi="Arial" w:eastAsia="Calibri" w:cs="Arial"/>
          <w:color w:val="000000" w:themeColor="text1"/>
          <w:sz w:val="22"/>
          <w:szCs w:val="22"/>
          <w:lang w:val="es-ES_tradnl"/>
        </w:rPr>
        <w:t>artículo 35 de la Ley 2069 de 2020</w:t>
      </w:r>
      <w:r w:rsidRPr="001C75C1" w:rsidR="00F917AC">
        <w:rPr>
          <w:rFonts w:ascii="Arial" w:hAnsi="Arial" w:eastAsia="Calibri" w:cs="Arial"/>
          <w:color w:val="000000" w:themeColor="text1"/>
          <w:sz w:val="22"/>
          <w:szCs w:val="22"/>
          <w:lang w:val="es-ES_tradnl"/>
        </w:rPr>
        <w:t>.</w:t>
      </w:r>
    </w:p>
    <w:p w:rsidRPr="001C75C1" w:rsidR="009D1D53" w:rsidP="009D1D53" w:rsidRDefault="009D1D53" w14:paraId="544B9598" w14:textId="0ECB184D">
      <w:pPr>
        <w:spacing w:before="120" w:line="276" w:lineRule="auto"/>
        <w:ind w:firstLine="709"/>
        <w:jc w:val="both"/>
        <w:rPr>
          <w:rFonts w:ascii="Arial" w:hAnsi="Arial" w:eastAsia="Calibri" w:cs="Arial"/>
          <w:color w:val="000000" w:themeColor="text1"/>
          <w:sz w:val="22"/>
          <w:szCs w:val="22"/>
          <w:lang w:val="es-ES_tradnl"/>
        </w:rPr>
      </w:pPr>
      <w:r w:rsidRPr="001C75C1">
        <w:rPr>
          <w:rFonts w:ascii="Arial" w:hAnsi="Arial" w:eastAsia="Calibri" w:cs="Arial"/>
          <w:color w:val="000000" w:themeColor="text1"/>
          <w:sz w:val="22"/>
          <w:szCs w:val="22"/>
          <w:lang w:val="es-ES_tradnl"/>
        </w:rPr>
        <w:t xml:space="preserve">Es importante destacar que la Agencia Nacional de Contratación Pública – Colombia Compra Eficiente se pronunció, en términos generales, sobre los factores de desempate en los procedimientos de contratación estatal, en los conceptos C-285 del 4 de mayo de 2020, C-481 del 27 de julio de 2020, C-514 y C-535 del 26 de agosto de 2020 y C-556 del 31 de agosto de 2020. De igual manera, </w:t>
      </w:r>
      <w:r w:rsidRPr="001C75C1" w:rsidR="004064D7">
        <w:rPr>
          <w:rFonts w:ascii="Arial" w:hAnsi="Arial" w:eastAsia="Calibri" w:cs="Arial"/>
          <w:color w:val="000000" w:themeColor="text1"/>
          <w:sz w:val="22"/>
          <w:szCs w:val="22"/>
          <w:lang w:val="es-ES_tradnl"/>
        </w:rPr>
        <w:t xml:space="preserve">estudió los factores de desempate del artículo 35 de la Ley 2069 de 2020 </w:t>
      </w:r>
      <w:r w:rsidRPr="001C75C1">
        <w:rPr>
          <w:rFonts w:ascii="Arial" w:hAnsi="Arial" w:eastAsia="Calibri" w:cs="Arial"/>
          <w:color w:val="000000" w:themeColor="text1"/>
          <w:sz w:val="22"/>
          <w:szCs w:val="22"/>
          <w:lang w:val="es-ES_tradnl"/>
        </w:rPr>
        <w:t>en los conceptos</w:t>
      </w:r>
      <w:r w:rsidRPr="001C75C1" w:rsidR="004064D7">
        <w:rPr>
          <w:rFonts w:ascii="Arial" w:hAnsi="Arial" w:eastAsia="Calibri" w:cs="Arial"/>
          <w:color w:val="000000" w:themeColor="text1"/>
          <w:sz w:val="22"/>
          <w:szCs w:val="22"/>
          <w:lang w:val="es-ES_tradnl"/>
        </w:rPr>
        <w:t>:</w:t>
      </w:r>
      <w:r w:rsidRPr="001C75C1" w:rsidR="00FD6609">
        <w:rPr>
          <w:rFonts w:ascii="Arial" w:hAnsi="Arial" w:eastAsia="Calibri" w:cs="Arial"/>
          <w:color w:val="000000" w:themeColor="text1"/>
          <w:sz w:val="22"/>
          <w:szCs w:val="22"/>
          <w:lang w:val="es-ES_tradnl"/>
        </w:rPr>
        <w:t xml:space="preserve">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w:t>
      </w:r>
      <w:r w:rsidRPr="001C75C1" w:rsidR="00DC3FCF">
        <w:rPr>
          <w:rFonts w:ascii="Arial" w:hAnsi="Arial" w:eastAsia="Calibri" w:cs="Arial"/>
          <w:color w:val="000000" w:themeColor="text1"/>
          <w:sz w:val="22"/>
          <w:szCs w:val="22"/>
          <w:lang w:val="es-ES_tradnl"/>
        </w:rPr>
        <w:t xml:space="preserve">, </w:t>
      </w:r>
      <w:r w:rsidRPr="001C75C1" w:rsidR="00FD6609">
        <w:rPr>
          <w:rFonts w:ascii="Arial" w:hAnsi="Arial" w:eastAsia="Calibri" w:cs="Arial"/>
          <w:color w:val="000000" w:themeColor="text1"/>
          <w:sz w:val="22"/>
          <w:szCs w:val="22"/>
          <w:lang w:val="es-ES_tradnl"/>
        </w:rPr>
        <w:t>C-221 del 18 de mayo de 2021</w:t>
      </w:r>
      <w:r w:rsidRPr="001C75C1" w:rsidR="005508B2">
        <w:rPr>
          <w:rFonts w:ascii="Arial" w:hAnsi="Arial" w:eastAsia="Calibri" w:cs="Arial"/>
          <w:color w:val="000000" w:themeColor="text1"/>
          <w:sz w:val="22"/>
          <w:szCs w:val="22"/>
          <w:lang w:val="es-ES_tradnl"/>
        </w:rPr>
        <w:t>,</w:t>
      </w:r>
      <w:r w:rsidRPr="001C75C1" w:rsidR="00DC6A2B">
        <w:rPr>
          <w:rFonts w:ascii="Arial" w:hAnsi="Arial" w:eastAsia="Calibri" w:cs="Arial"/>
          <w:color w:val="000000" w:themeColor="text1"/>
          <w:sz w:val="22"/>
          <w:szCs w:val="22"/>
          <w:lang w:val="es-ES_tradnl"/>
        </w:rPr>
        <w:t xml:space="preserve"> </w:t>
      </w:r>
      <w:r w:rsidRPr="001C75C1" w:rsidR="00DC3FCF">
        <w:rPr>
          <w:rFonts w:ascii="Arial" w:hAnsi="Arial" w:eastAsia="Calibri" w:cs="Arial"/>
          <w:color w:val="000000" w:themeColor="text1"/>
          <w:sz w:val="22"/>
          <w:szCs w:val="22"/>
          <w:lang w:val="es-ES_tradnl"/>
        </w:rPr>
        <w:t>C-239 del 25 de mayo de 2021</w:t>
      </w:r>
      <w:r w:rsidRPr="001C75C1" w:rsidR="005508B2">
        <w:rPr>
          <w:rFonts w:ascii="Arial" w:hAnsi="Arial" w:eastAsia="Calibri" w:cs="Arial"/>
          <w:color w:val="000000" w:themeColor="text1"/>
          <w:sz w:val="22"/>
          <w:szCs w:val="22"/>
          <w:lang w:val="es-ES_tradnl"/>
        </w:rPr>
        <w:t xml:space="preserve"> entre otros</w:t>
      </w:r>
      <w:r w:rsidRPr="001C75C1" w:rsidR="005508B2">
        <w:rPr>
          <w:rStyle w:val="Refdenotaalpie"/>
          <w:rFonts w:ascii="Arial" w:hAnsi="Arial" w:eastAsia="Calibri" w:cs="Arial"/>
        </w:rPr>
        <w:footnoteReference w:id="2"/>
      </w:r>
      <w:r w:rsidRPr="001C75C1" w:rsidR="00DC6A2B">
        <w:rPr>
          <w:rFonts w:ascii="Arial" w:hAnsi="Arial" w:eastAsia="Calibri" w:cs="Arial"/>
          <w:color w:val="000000" w:themeColor="text1"/>
          <w:sz w:val="22"/>
          <w:szCs w:val="22"/>
          <w:lang w:val="es-ES_tradnl"/>
        </w:rPr>
        <w:t xml:space="preserve">. </w:t>
      </w:r>
      <w:r w:rsidRPr="001C75C1">
        <w:rPr>
          <w:rFonts w:ascii="Arial" w:hAnsi="Arial" w:eastAsia="Calibri" w:cs="Arial"/>
          <w:color w:val="000000" w:themeColor="text1"/>
          <w:sz w:val="22"/>
          <w:szCs w:val="22"/>
          <w:lang w:val="es-ES_tradnl"/>
        </w:rPr>
        <w:t>Algunas de las consideraciones de estos conceptos se reiteran a continuación.</w:t>
      </w:r>
    </w:p>
    <w:p w:rsidRPr="001C75C1" w:rsidR="00095D3C" w:rsidP="004D1C27" w:rsidRDefault="00095D3C" w14:paraId="30BF18FD" w14:textId="5251E127">
      <w:pPr>
        <w:spacing w:line="276" w:lineRule="auto"/>
        <w:jc w:val="both"/>
        <w:rPr>
          <w:rFonts w:ascii="Arial" w:hAnsi="Arial" w:eastAsia="Calibri" w:cs="Arial"/>
          <w:b/>
          <w:color w:val="000000" w:themeColor="text1"/>
          <w:sz w:val="22"/>
          <w:lang w:val="es-ES_tradnl"/>
        </w:rPr>
      </w:pPr>
    </w:p>
    <w:p w:rsidRPr="001C75C1" w:rsidR="0000500B" w:rsidP="0000500B" w:rsidRDefault="0000500B" w14:paraId="2C11ECBF" w14:textId="77777777">
      <w:pPr>
        <w:spacing w:line="276" w:lineRule="auto"/>
        <w:jc w:val="both"/>
        <w:rPr>
          <w:rFonts w:ascii="Arial" w:hAnsi="Arial" w:eastAsia="Calibri" w:cs="Arial"/>
          <w:b/>
          <w:bCs/>
          <w:color w:val="000000" w:themeColor="text1"/>
          <w:sz w:val="22"/>
          <w:szCs w:val="22"/>
          <w:lang w:val="es-ES_tradnl"/>
        </w:rPr>
      </w:pPr>
      <w:r w:rsidRPr="001C75C1">
        <w:rPr>
          <w:rFonts w:ascii="Arial" w:hAnsi="Arial" w:eastAsia="Calibri" w:cs="Arial"/>
          <w:b/>
          <w:bCs/>
          <w:color w:val="000000" w:themeColor="text1"/>
          <w:sz w:val="22"/>
          <w:szCs w:val="22"/>
          <w:lang w:val="es-ES_tradnl"/>
        </w:rPr>
        <w:t>2.1. Factores de desempate en la contratación estatal: concepto y características</w:t>
      </w:r>
    </w:p>
    <w:p w:rsidRPr="001C75C1" w:rsidR="0000500B" w:rsidP="0000500B" w:rsidRDefault="0000500B" w14:paraId="46B41382" w14:textId="77777777">
      <w:pPr>
        <w:spacing w:line="276" w:lineRule="auto"/>
        <w:jc w:val="both"/>
        <w:rPr>
          <w:rFonts w:ascii="Arial" w:hAnsi="Arial" w:eastAsia="Calibri" w:cs="Arial"/>
          <w:color w:val="000000" w:themeColor="text1"/>
          <w:sz w:val="22"/>
          <w:szCs w:val="22"/>
          <w:lang w:val="es-ES_tradnl"/>
        </w:rPr>
      </w:pPr>
    </w:p>
    <w:p w:rsidRPr="001C75C1" w:rsidR="0000500B" w:rsidP="0000500B" w:rsidRDefault="0000500B" w14:paraId="055D3DF1" w14:textId="1E1AE0FD">
      <w:pPr>
        <w:spacing w:line="276" w:lineRule="auto"/>
        <w:jc w:val="both"/>
        <w:rPr>
          <w:rFonts w:ascii="Arial" w:hAnsi="Arial" w:eastAsia="Calibri" w:cs="Arial"/>
          <w:color w:val="000000" w:themeColor="text1"/>
          <w:sz w:val="22"/>
          <w:szCs w:val="22"/>
          <w:lang w:val="es-ES_tradnl"/>
        </w:rPr>
      </w:pPr>
      <w:r w:rsidRPr="001C75C1">
        <w:rPr>
          <w:rFonts w:ascii="Arial" w:hAnsi="Arial" w:eastAsia="Calibri" w:cs="Arial"/>
          <w:color w:val="000000" w:themeColor="text1"/>
          <w:sz w:val="22"/>
          <w:szCs w:val="22"/>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w:t>
      </w:r>
      <w:r w:rsidRPr="001C75C1">
        <w:rPr>
          <w:rFonts w:ascii="Arial" w:hAnsi="Arial" w:eastAsia="Calibri" w:cs="Arial"/>
          <w:color w:val="000000" w:themeColor="text1"/>
          <w:sz w:val="22"/>
          <w:szCs w:val="22"/>
          <w:lang w:val="es-ES_tradnl"/>
        </w:rPr>
        <w:lastRenderedPageBreak/>
        <w:t xml:space="preserve">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1C75C1">
        <w:rPr>
          <w:rFonts w:ascii="Arial" w:hAnsi="Arial" w:eastAsia="Calibri" w:cs="Arial"/>
          <w:color w:val="000000" w:themeColor="text1"/>
          <w:sz w:val="22"/>
          <w:szCs w:val="22"/>
          <w:lang w:val="es-ES_tradnl"/>
        </w:rPr>
        <w:t>equivalentes,</w:t>
      </w:r>
      <w:proofErr w:type="gramEnd"/>
      <w:r w:rsidRPr="001C75C1">
        <w:rPr>
          <w:rFonts w:ascii="Arial" w:hAnsi="Arial" w:eastAsia="Calibri" w:cs="Arial"/>
          <w:color w:val="000000" w:themeColor="text1"/>
          <w:sz w:val="22"/>
          <w:szCs w:val="22"/>
          <w:lang w:val="es-ES_tradnl"/>
        </w:rPr>
        <w:t xml:space="preserve"> tendrán en cuenta criterios como la experiencia y la capacidad jurídica, financiera y de organización, entre otros elementos que garanticen la escogencia de la mejor opción de negocio para la entidad estatal.</w:t>
      </w:r>
    </w:p>
    <w:p w:rsidRPr="001C75C1" w:rsidR="0000500B" w:rsidP="0000500B" w:rsidRDefault="0000500B" w14:paraId="651E069D" w14:textId="642DB590">
      <w:pPr>
        <w:spacing w:before="120" w:line="276" w:lineRule="auto"/>
        <w:ind w:firstLine="709"/>
        <w:jc w:val="both"/>
        <w:rPr>
          <w:rFonts w:ascii="Arial" w:hAnsi="Arial" w:eastAsia="Calibri" w:cs="Arial"/>
          <w:color w:val="000000" w:themeColor="text1"/>
          <w:sz w:val="22"/>
          <w:szCs w:val="22"/>
          <w:lang w:val="es-ES_tradnl"/>
        </w:rPr>
      </w:pPr>
      <w:r w:rsidRPr="001C75C1">
        <w:rPr>
          <w:rFonts w:ascii="Arial" w:hAnsi="Arial" w:eastAsia="Calibri" w:cs="Arial"/>
          <w:color w:val="000000" w:themeColor="text1"/>
          <w:sz w:val="22"/>
          <w:szCs w:val="22"/>
          <w:lang w:val="es-ES_tradnl"/>
        </w:rPr>
        <w:t xml:space="preserve">En esta perspectiva, los requisitos habilitantes o de participación, así como los criterios de evaluación o de calificación con puntos, son instrumentos por medio de los cuales se pretende </w:t>
      </w:r>
      <w:r w:rsidRPr="001C75C1" w:rsidR="00536902">
        <w:rPr>
          <w:rFonts w:ascii="Arial" w:hAnsi="Arial" w:eastAsia="Calibri" w:cs="Arial"/>
          <w:color w:val="000000" w:themeColor="text1"/>
          <w:sz w:val="22"/>
          <w:szCs w:val="22"/>
          <w:lang w:val="es-ES_tradnl"/>
        </w:rPr>
        <w:t xml:space="preserve">materializar </w:t>
      </w:r>
      <w:r w:rsidRPr="001C75C1">
        <w:rPr>
          <w:rFonts w:ascii="Arial" w:hAnsi="Arial" w:eastAsia="Calibri" w:cs="Arial"/>
          <w:color w:val="000000" w:themeColor="text1"/>
          <w:sz w:val="22"/>
          <w:szCs w:val="22"/>
          <w:lang w:val="es-ES_tradnl"/>
        </w:rPr>
        <w:t xml:space="preserve">el principio de selección objetiva en la contratación pública. Sin embargo, en algunas ocasiones, así se establezcan requisitos habilitantes y factores de calificación </w:t>
      </w:r>
      <w:r w:rsidRPr="001C75C1" w:rsidR="00047311">
        <w:rPr>
          <w:rFonts w:ascii="Arial" w:hAnsi="Arial" w:eastAsia="Calibri" w:cs="Arial"/>
          <w:color w:val="000000" w:themeColor="text1"/>
          <w:sz w:val="22"/>
          <w:szCs w:val="22"/>
          <w:lang w:val="es-ES_tradnl"/>
        </w:rPr>
        <w:t>id</w:t>
      </w:r>
      <w:r w:rsidRPr="001C75C1">
        <w:rPr>
          <w:rFonts w:ascii="Arial" w:hAnsi="Arial" w:eastAsia="Calibri" w:cs="Arial"/>
          <w:color w:val="000000" w:themeColor="text1"/>
          <w:sz w:val="22"/>
          <w:szCs w:val="22"/>
          <w:lang w:val="es-ES_tradnl"/>
        </w:rPr>
        <w:t>ó</w:t>
      </w:r>
      <w:r w:rsidRPr="001C75C1" w:rsidR="00047311">
        <w:rPr>
          <w:rFonts w:ascii="Arial" w:hAnsi="Arial" w:eastAsia="Calibri" w:cs="Arial"/>
          <w:color w:val="000000" w:themeColor="text1"/>
          <w:sz w:val="22"/>
          <w:szCs w:val="22"/>
          <w:lang w:val="es-ES_tradnl"/>
        </w:rPr>
        <w:t>neos</w:t>
      </w:r>
      <w:r w:rsidRPr="001C75C1">
        <w:rPr>
          <w:rFonts w:ascii="Arial" w:hAnsi="Arial" w:eastAsia="Calibri" w:cs="Arial"/>
          <w:color w:val="000000" w:themeColor="text1"/>
          <w:sz w:val="22"/>
          <w:szCs w:val="22"/>
          <w:lang w:val="es-ES_tradnl"/>
        </w:rPr>
        <w:t xml:space="preserve">,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w:t>
      </w:r>
      <w:r w:rsidRPr="001C75C1" w:rsidR="00536902">
        <w:rPr>
          <w:rFonts w:ascii="Arial" w:hAnsi="Arial" w:eastAsia="Calibri" w:cs="Arial"/>
          <w:color w:val="000000" w:themeColor="text1"/>
          <w:sz w:val="22"/>
          <w:szCs w:val="22"/>
          <w:lang w:val="es-ES_tradnl"/>
        </w:rPr>
        <w:t>equivalente</w:t>
      </w:r>
      <w:r w:rsidRPr="001C75C1">
        <w:rPr>
          <w:rFonts w:ascii="Arial" w:hAnsi="Arial" w:eastAsia="Calibri" w:cs="Arial"/>
          <w:color w:val="000000" w:themeColor="text1"/>
          <w:sz w:val="22"/>
          <w:szCs w:val="22"/>
          <w:lang w:val="es-ES_tradnl"/>
        </w:rPr>
        <w:t xml:space="preserve">, al ponderarse los criterios de calificación que, en principio, aplican al procedimiento de selección. </w:t>
      </w:r>
    </w:p>
    <w:p w:rsidRPr="001C75C1" w:rsidR="00B0749C" w:rsidP="00B0749C" w:rsidRDefault="00B0749C" w14:paraId="50A698A7" w14:textId="77777777">
      <w:pPr>
        <w:spacing w:before="120" w:line="276" w:lineRule="auto"/>
        <w:ind w:firstLine="709"/>
        <w:jc w:val="both"/>
        <w:rPr>
          <w:rFonts w:ascii="Arial" w:hAnsi="Arial" w:eastAsia="Calibri" w:cs="Arial"/>
          <w:color w:val="000000" w:themeColor="text1"/>
          <w:sz w:val="22"/>
          <w:szCs w:val="22"/>
          <w:lang w:val="es-ES_tradnl"/>
        </w:rPr>
      </w:pPr>
      <w:r w:rsidRPr="001C75C1">
        <w:rPr>
          <w:rFonts w:ascii="Arial" w:hAnsi="Arial" w:eastAsia="Calibri" w:cs="Arial"/>
          <w:color w:val="000000" w:themeColor="text1"/>
          <w:sz w:val="22"/>
          <w:szCs w:val="22"/>
          <w:lang w:val="es-ES_tradnl"/>
        </w:rPr>
        <w:t>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w:t>
      </w:r>
      <w:r w:rsidRPr="001C75C1">
        <w:rPr>
          <w:rStyle w:val="Refdenotaalpie"/>
          <w:rFonts w:ascii="Arial" w:hAnsi="Arial" w:cs="Arial"/>
        </w:rPr>
        <w:footnoteReference w:id="3"/>
      </w:r>
      <w:r w:rsidRPr="001C75C1">
        <w:rPr>
          <w:rFonts w:ascii="Arial" w:hAnsi="Arial" w:eastAsia="Calibri" w:cs="Arial"/>
          <w:color w:val="000000" w:themeColor="text1"/>
          <w:sz w:val="22"/>
          <w:szCs w:val="22"/>
          <w:lang w:val="es-ES_tradnl"/>
        </w:rPr>
        <w:t xml:space="preserve">. </w:t>
      </w:r>
    </w:p>
    <w:p w:rsidRPr="001C75C1" w:rsidR="00B0749C" w:rsidP="00B0749C" w:rsidRDefault="00B0749C" w14:paraId="223B25B2" w14:textId="77777777">
      <w:pPr>
        <w:spacing w:before="120" w:line="276" w:lineRule="auto"/>
        <w:ind w:firstLine="709"/>
        <w:jc w:val="both"/>
        <w:rPr>
          <w:rFonts w:ascii="Arial" w:hAnsi="Arial" w:eastAsia="Calibri" w:cs="Arial"/>
          <w:color w:val="000000" w:themeColor="text1"/>
          <w:sz w:val="22"/>
          <w:szCs w:val="22"/>
          <w:lang w:val="es-ES_tradnl"/>
        </w:rPr>
      </w:pPr>
      <w:r w:rsidRPr="001C75C1">
        <w:rPr>
          <w:rFonts w:ascii="Arial" w:hAnsi="Arial" w:eastAsia="Calibri" w:cs="Arial"/>
          <w:color w:val="000000" w:themeColor="text1"/>
          <w:sz w:val="22"/>
          <w:szCs w:val="22"/>
          <w:lang w:val="es-ES_tradnl"/>
        </w:rPr>
        <w:t xml:space="preserve">En tal sentido, la Corte Constitucional explica que cuando la ley establece factores de desempate obligatorios, las entidades estatales no pueden </w:t>
      </w:r>
      <w:proofErr w:type="spellStart"/>
      <w:r w:rsidRPr="001C75C1">
        <w:rPr>
          <w:rFonts w:ascii="Arial" w:hAnsi="Arial" w:eastAsia="Calibri" w:cs="Arial"/>
          <w:color w:val="000000" w:themeColor="text1"/>
          <w:sz w:val="22"/>
          <w:szCs w:val="22"/>
          <w:lang w:val="es-ES_tradnl"/>
        </w:rPr>
        <w:t>inaplicarlos</w:t>
      </w:r>
      <w:proofErr w:type="spellEnd"/>
      <w:r w:rsidRPr="001C75C1">
        <w:rPr>
          <w:rFonts w:ascii="Arial" w:hAnsi="Arial" w:eastAsia="Calibri" w:cs="Arial"/>
          <w:color w:val="000000" w:themeColor="text1"/>
          <w:sz w:val="22"/>
          <w:szCs w:val="22"/>
          <w:lang w:val="es-ES_tradnl"/>
        </w:rPr>
        <w:t>, porque ello podría vulnerar el principio de igualdad, especialmente, cuando algunos de estos criterios surgen como acciones afirmativas para ciertos sectores de la población</w:t>
      </w:r>
      <w:r w:rsidRPr="001C75C1">
        <w:rPr>
          <w:rStyle w:val="Refdenotaalpie"/>
          <w:rFonts w:ascii="Arial" w:hAnsi="Arial" w:eastAsia="Calibri" w:cs="Arial"/>
        </w:rPr>
        <w:footnoteReference w:id="4"/>
      </w:r>
      <w:r w:rsidRPr="001C75C1">
        <w:rPr>
          <w:rFonts w:ascii="Arial" w:hAnsi="Arial" w:eastAsia="Calibri" w:cs="Arial"/>
          <w:color w:val="000000" w:themeColor="text1"/>
          <w:sz w:val="22"/>
          <w:szCs w:val="22"/>
          <w:lang w:val="es-ES_tradnl"/>
        </w:rPr>
        <w:t xml:space="preserve">. Más aún, el </w:t>
      </w:r>
      <w:r w:rsidRPr="001C75C1">
        <w:rPr>
          <w:rFonts w:ascii="Arial" w:hAnsi="Arial" w:eastAsia="Calibri" w:cs="Arial"/>
          <w:color w:val="000000" w:themeColor="text1"/>
          <w:sz w:val="22"/>
          <w:szCs w:val="22"/>
          <w:lang w:val="es-ES_tradnl"/>
        </w:rPr>
        <w:lastRenderedPageBreak/>
        <w:t>Consejo de Estado ha señalado que contrariar los factores de desempate genera la nulidad del contrato, conforme al artículo 44, inciso 1º de la Ley 80 de 1993</w:t>
      </w:r>
      <w:r w:rsidRPr="001C75C1">
        <w:rPr>
          <w:rStyle w:val="Refdenotaalpie"/>
          <w:rFonts w:ascii="Arial" w:hAnsi="Arial" w:eastAsia="Calibri" w:cs="Arial"/>
        </w:rPr>
        <w:footnoteReference w:id="5"/>
      </w:r>
      <w:r w:rsidRPr="001C75C1">
        <w:rPr>
          <w:rFonts w:ascii="Arial" w:hAnsi="Arial" w:eastAsia="Calibri" w:cs="Arial"/>
          <w:color w:val="000000" w:themeColor="text1"/>
          <w:sz w:val="22"/>
          <w:szCs w:val="22"/>
          <w:lang w:val="es-ES_tradnl"/>
        </w:rPr>
        <w:t>.</w:t>
      </w:r>
    </w:p>
    <w:p w:rsidRPr="001C75C1" w:rsidR="0000500B" w:rsidP="0000500B" w:rsidRDefault="0000500B" w14:paraId="4CF237CD" w14:textId="77777777">
      <w:pPr>
        <w:spacing w:before="120" w:line="276" w:lineRule="auto"/>
        <w:ind w:firstLine="709"/>
        <w:jc w:val="both"/>
        <w:rPr>
          <w:rFonts w:ascii="Arial" w:hAnsi="Arial" w:eastAsia="Calibri" w:cs="Arial"/>
          <w:color w:val="000000" w:themeColor="text1"/>
          <w:sz w:val="22"/>
          <w:szCs w:val="22"/>
          <w:lang w:val="es-ES_tradnl"/>
        </w:rPr>
      </w:pPr>
      <w:r w:rsidRPr="001C75C1">
        <w:rPr>
          <w:rFonts w:ascii="Arial" w:hAnsi="Arial" w:eastAsia="Calibri" w:cs="Arial"/>
          <w:color w:val="000000" w:themeColor="text1"/>
          <w:sz w:val="22"/>
          <w:szCs w:val="22"/>
          <w:lang w:val="es-ES_tradnl"/>
        </w:rPr>
        <w:t xml:space="preserve">Ahora bien, en cumplimiento de los principios de reciprocidad y de </w:t>
      </w:r>
      <w:r w:rsidRPr="001C75C1">
        <w:rPr>
          <w:rFonts w:ascii="Arial" w:hAnsi="Arial" w:eastAsia="Calibri" w:cs="Arial"/>
          <w:i/>
          <w:iCs/>
          <w:color w:val="000000" w:themeColor="text1"/>
          <w:sz w:val="22"/>
          <w:szCs w:val="22"/>
          <w:lang w:val="es-ES_tradnl"/>
        </w:rPr>
        <w:t xml:space="preserve">pacta </w:t>
      </w:r>
      <w:proofErr w:type="spellStart"/>
      <w:r w:rsidRPr="001C75C1">
        <w:rPr>
          <w:rFonts w:ascii="Arial" w:hAnsi="Arial" w:eastAsia="Calibri" w:cs="Arial"/>
          <w:i/>
          <w:iCs/>
          <w:color w:val="000000" w:themeColor="text1"/>
          <w:sz w:val="22"/>
          <w:szCs w:val="22"/>
          <w:lang w:val="es-ES_tradnl"/>
        </w:rPr>
        <w:t>sunt</w:t>
      </w:r>
      <w:proofErr w:type="spellEnd"/>
      <w:r w:rsidRPr="001C75C1">
        <w:rPr>
          <w:rFonts w:ascii="Arial" w:hAnsi="Arial" w:eastAsia="Calibri" w:cs="Arial"/>
          <w:i/>
          <w:iCs/>
          <w:color w:val="000000" w:themeColor="text1"/>
          <w:sz w:val="22"/>
          <w:szCs w:val="22"/>
          <w:lang w:val="es-ES_tradnl"/>
        </w:rPr>
        <w:t xml:space="preserve"> </w:t>
      </w:r>
      <w:proofErr w:type="spellStart"/>
      <w:r w:rsidRPr="001C75C1">
        <w:rPr>
          <w:rFonts w:ascii="Arial" w:hAnsi="Arial" w:eastAsia="Calibri" w:cs="Arial"/>
          <w:i/>
          <w:iCs/>
          <w:color w:val="000000" w:themeColor="text1"/>
          <w:sz w:val="22"/>
          <w:szCs w:val="22"/>
          <w:lang w:val="es-ES_tradnl"/>
        </w:rPr>
        <w:t>servanda</w:t>
      </w:r>
      <w:proofErr w:type="spellEnd"/>
      <w:r w:rsidRPr="001C75C1">
        <w:rPr>
          <w:rFonts w:ascii="Arial" w:hAnsi="Arial" w:eastAsia="Calibri" w:cs="Arial"/>
          <w:color w:val="000000" w:themeColor="text1"/>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rsidRPr="001C75C1" w:rsidR="0000500B" w:rsidP="0000500B" w:rsidRDefault="0000500B" w14:paraId="03539568" w14:textId="77777777">
      <w:pPr>
        <w:spacing w:line="276" w:lineRule="auto"/>
        <w:rPr>
          <w:rFonts w:ascii="Arial" w:hAnsi="Arial" w:eastAsia="Calibri" w:cs="Arial"/>
          <w:color w:val="000000" w:themeColor="text1"/>
          <w:sz w:val="22"/>
          <w:szCs w:val="22"/>
          <w:lang w:val="es-ES_tradnl"/>
        </w:rPr>
      </w:pPr>
    </w:p>
    <w:p w:rsidRPr="001C75C1" w:rsidR="0000500B" w:rsidP="0000500B" w:rsidRDefault="0000500B" w14:paraId="389779C5" w14:textId="22E24AB8">
      <w:pPr>
        <w:spacing w:line="276" w:lineRule="auto"/>
        <w:jc w:val="both"/>
        <w:rPr>
          <w:rFonts w:ascii="Arial" w:hAnsi="Arial" w:eastAsia="Calibri" w:cs="Arial"/>
          <w:b/>
          <w:bCs/>
          <w:color w:val="000000" w:themeColor="text1"/>
          <w:sz w:val="22"/>
          <w:szCs w:val="22"/>
          <w:lang w:val="es-ES_tradnl"/>
        </w:rPr>
      </w:pPr>
      <w:r w:rsidRPr="001C75C1">
        <w:rPr>
          <w:rFonts w:ascii="Arial" w:hAnsi="Arial" w:eastAsia="Calibri" w:cs="Arial"/>
          <w:b/>
          <w:bCs/>
          <w:color w:val="000000" w:themeColor="text1"/>
          <w:sz w:val="22"/>
          <w:szCs w:val="22"/>
          <w:lang w:val="es-ES_tradnl"/>
        </w:rPr>
        <w:t xml:space="preserve">2.2. </w:t>
      </w:r>
      <w:r w:rsidRPr="001C75C1" w:rsidR="006401D8">
        <w:rPr>
          <w:rFonts w:ascii="Arial" w:hAnsi="Arial" w:eastAsia="Calibri" w:cs="Arial"/>
          <w:b/>
          <w:bCs/>
          <w:color w:val="000000" w:themeColor="text1"/>
          <w:sz w:val="22"/>
          <w:szCs w:val="22"/>
          <w:lang w:val="es-ES_tradnl"/>
        </w:rPr>
        <w:t>Á</w:t>
      </w:r>
      <w:r w:rsidRPr="001C75C1">
        <w:rPr>
          <w:rFonts w:ascii="Arial" w:hAnsi="Arial" w:eastAsia="Calibri" w:cs="Arial"/>
          <w:b/>
          <w:bCs/>
          <w:color w:val="000000" w:themeColor="text1"/>
          <w:sz w:val="22"/>
          <w:szCs w:val="22"/>
          <w:lang w:val="es-ES_tradnl"/>
        </w:rPr>
        <w:t>mbito de aplicación de la Ley 2069 de 2020</w:t>
      </w:r>
    </w:p>
    <w:p w:rsidRPr="001C75C1" w:rsidR="0000500B" w:rsidP="0000500B" w:rsidRDefault="0000500B" w14:paraId="26273CE2" w14:textId="77777777">
      <w:pPr>
        <w:spacing w:line="276" w:lineRule="auto"/>
        <w:jc w:val="both"/>
        <w:rPr>
          <w:rFonts w:ascii="Arial" w:hAnsi="Arial" w:eastAsia="Calibri" w:cs="Arial"/>
          <w:color w:val="000000" w:themeColor="text1"/>
          <w:sz w:val="22"/>
          <w:szCs w:val="22"/>
          <w:lang w:val="es-ES_tradnl"/>
        </w:rPr>
      </w:pPr>
    </w:p>
    <w:p w:rsidRPr="001C75C1" w:rsidR="0000500B" w:rsidP="0000500B" w:rsidRDefault="0000500B" w14:paraId="4A576B10" w14:textId="455A190B">
      <w:pPr>
        <w:spacing w:line="276" w:lineRule="auto"/>
        <w:jc w:val="both"/>
        <w:rPr>
          <w:rFonts w:ascii="Arial" w:hAnsi="Arial" w:eastAsia="Calibri" w:cs="Arial"/>
          <w:color w:val="000000" w:themeColor="text1"/>
          <w:sz w:val="22"/>
          <w:szCs w:val="22"/>
          <w:lang w:val="es-ES_tradnl"/>
        </w:rPr>
      </w:pPr>
      <w:r w:rsidRPr="001C75C1">
        <w:rPr>
          <w:rFonts w:ascii="Arial" w:hAnsi="Arial" w:eastAsia="Calibri" w:cs="Arial"/>
          <w:color w:val="000000" w:themeColor="text1"/>
          <w:sz w:val="22"/>
          <w:szCs w:val="22"/>
          <w:lang w:val="es-ES_tradnl"/>
        </w:rPr>
        <w:t xml:space="preserve">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w:t>
      </w:r>
    </w:p>
    <w:p w:rsidRPr="001C75C1" w:rsidR="0000500B" w:rsidP="00F94206" w:rsidRDefault="0000500B" w14:paraId="16B33129" w14:textId="1DAC657D">
      <w:pPr>
        <w:spacing w:before="120" w:line="276" w:lineRule="auto"/>
        <w:ind w:firstLine="709"/>
        <w:jc w:val="both"/>
        <w:rPr>
          <w:rFonts w:ascii="Arial" w:hAnsi="Arial" w:eastAsia="Calibri" w:cs="Arial"/>
          <w:color w:val="000000" w:themeColor="text1"/>
          <w:sz w:val="22"/>
          <w:szCs w:val="22"/>
          <w:lang w:val="es-ES_tradnl"/>
        </w:rPr>
      </w:pPr>
      <w:r w:rsidRPr="001C75C1">
        <w:rPr>
          <w:rFonts w:ascii="Arial" w:hAnsi="Arial" w:eastAsia="Calibri" w:cs="Arial"/>
          <w:color w:val="000000" w:themeColor="text1"/>
          <w:sz w:val="22"/>
          <w:szCs w:val="22"/>
          <w:lang w:val="es-ES_tradnl"/>
        </w:rPr>
        <w:t>En cuan</w:t>
      </w:r>
      <w:r w:rsidRPr="001C75C1" w:rsidR="00536902">
        <w:rPr>
          <w:rFonts w:ascii="Arial" w:hAnsi="Arial" w:eastAsia="Calibri" w:cs="Arial"/>
          <w:color w:val="000000" w:themeColor="text1"/>
          <w:sz w:val="22"/>
          <w:szCs w:val="22"/>
          <w:lang w:val="es-ES_tradnl"/>
        </w:rPr>
        <w:t>t</w:t>
      </w:r>
      <w:r w:rsidRPr="001C75C1">
        <w:rPr>
          <w:rFonts w:ascii="Arial" w:hAnsi="Arial" w:eastAsia="Calibri" w:cs="Arial"/>
          <w:color w:val="000000" w:themeColor="text1"/>
          <w:sz w:val="22"/>
          <w:szCs w:val="22"/>
          <w:lang w:val="es-ES_tradnl"/>
        </w:rPr>
        <w:t xml:space="preserve">o </w:t>
      </w:r>
      <w:r w:rsidRPr="001C75C1" w:rsidR="00F94206">
        <w:rPr>
          <w:rFonts w:ascii="Arial" w:hAnsi="Arial" w:eastAsia="Calibri" w:cs="Arial"/>
          <w:color w:val="000000" w:themeColor="text1"/>
          <w:sz w:val="22"/>
          <w:szCs w:val="22"/>
          <w:lang w:val="es-ES_tradnl"/>
        </w:rPr>
        <w:t xml:space="preserve">al </w:t>
      </w:r>
      <w:r w:rsidRPr="001C75C1">
        <w:rPr>
          <w:rFonts w:ascii="Arial" w:hAnsi="Arial" w:eastAsia="Calibri" w:cs="Arial"/>
          <w:color w:val="000000" w:themeColor="text1"/>
          <w:sz w:val="22"/>
          <w:szCs w:val="22"/>
          <w:lang w:val="es-ES_tradnl"/>
        </w:rPr>
        <w:t>contenido</w:t>
      </w:r>
      <w:r w:rsidRPr="001C75C1" w:rsidR="00F94206">
        <w:rPr>
          <w:rFonts w:ascii="Arial" w:hAnsi="Arial" w:eastAsia="Calibri" w:cs="Arial"/>
          <w:color w:val="000000" w:themeColor="text1"/>
          <w:sz w:val="22"/>
          <w:szCs w:val="22"/>
          <w:lang w:val="es-ES_tradnl"/>
        </w:rPr>
        <w:t xml:space="preserve"> de la Ley 2069 de 2020</w:t>
      </w:r>
      <w:r w:rsidRPr="001C75C1">
        <w:rPr>
          <w:rFonts w:ascii="Arial" w:hAnsi="Arial" w:eastAsia="Calibri" w:cs="Arial"/>
          <w:color w:val="000000" w:themeColor="text1"/>
          <w:sz w:val="22"/>
          <w:szCs w:val="22"/>
          <w:lang w:val="es-ES_tradnl"/>
        </w:rPr>
        <w:t xml:space="preserve">,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1C75C1">
        <w:rPr>
          <w:rFonts w:ascii="Arial" w:hAnsi="Arial" w:eastAsia="Calibri" w:cs="Arial"/>
          <w:color w:val="000000" w:themeColor="text1"/>
          <w:sz w:val="22"/>
          <w:szCs w:val="22"/>
          <w:lang w:val="es-ES_tradnl"/>
        </w:rPr>
        <w:t xml:space="preserve">de acuerdo </w:t>
      </w:r>
      <w:r w:rsidRPr="001C75C1" w:rsidR="00624505">
        <w:rPr>
          <w:rFonts w:ascii="Arial" w:hAnsi="Arial" w:eastAsia="Calibri" w:cs="Arial"/>
          <w:color w:val="000000" w:themeColor="text1"/>
          <w:sz w:val="22"/>
          <w:szCs w:val="22"/>
          <w:lang w:val="es-ES_tradnl"/>
        </w:rPr>
        <w:t>a</w:t>
      </w:r>
      <w:proofErr w:type="gramEnd"/>
      <w:r w:rsidRPr="001C75C1" w:rsidR="00624505">
        <w:rPr>
          <w:rFonts w:ascii="Arial" w:hAnsi="Arial" w:eastAsia="Calibri" w:cs="Arial"/>
          <w:color w:val="000000" w:themeColor="text1"/>
          <w:sz w:val="22"/>
          <w:szCs w:val="22"/>
          <w:lang w:val="es-ES_tradnl"/>
        </w:rPr>
        <w:t xml:space="preserve"> </w:t>
      </w:r>
      <w:r w:rsidRPr="001C75C1">
        <w:rPr>
          <w:rFonts w:ascii="Arial" w:hAnsi="Arial" w:eastAsia="Calibri" w:cs="Arial"/>
          <w:color w:val="000000" w:themeColor="text1"/>
          <w:sz w:val="22"/>
          <w:szCs w:val="22"/>
          <w:lang w:val="es-ES_tradnl"/>
        </w:rPr>
        <w:t>las realidades socioeconómicas de cada región». En desarrollo de esta finalidad, se establecen medidas de apoyo para las micro, pequeñas y medianas empresas –</w:t>
      </w:r>
      <w:proofErr w:type="spellStart"/>
      <w:r w:rsidRPr="001C75C1">
        <w:rPr>
          <w:rFonts w:ascii="Arial" w:hAnsi="Arial" w:eastAsia="Calibri" w:cs="Arial"/>
          <w:color w:val="000000" w:themeColor="text1"/>
          <w:sz w:val="22"/>
          <w:szCs w:val="22"/>
          <w:lang w:val="es-ES_tradnl"/>
        </w:rPr>
        <w:t>mipymes</w:t>
      </w:r>
      <w:proofErr w:type="spellEnd"/>
      <w:r w:rsidRPr="001C75C1">
        <w:rPr>
          <w:rFonts w:ascii="Arial" w:hAnsi="Arial" w:eastAsia="Calibri" w:cs="Arial"/>
          <w:color w:val="000000" w:themeColor="text1"/>
          <w:sz w:val="22"/>
          <w:szCs w:val="22"/>
          <w:lang w:val="es-ES_tradnl"/>
        </w:rPr>
        <w:t>–, mediante la racionalización y simplificación de los trámites y tarifas</w:t>
      </w:r>
      <w:r w:rsidRPr="001C75C1">
        <w:rPr>
          <w:rStyle w:val="Refdenotaalpie"/>
          <w:rFonts w:ascii="Arial" w:hAnsi="Arial" w:eastAsia="Calibri" w:cs="Arial"/>
        </w:rPr>
        <w:footnoteReference w:id="6"/>
      </w:r>
      <w:r w:rsidRPr="001C75C1">
        <w:rPr>
          <w:rFonts w:ascii="Arial" w:hAnsi="Arial" w:eastAsia="Calibri" w:cs="Arial"/>
          <w:color w:val="000000" w:themeColor="text1"/>
          <w:sz w:val="22"/>
          <w:szCs w:val="22"/>
          <w:lang w:val="es-ES_tradnl"/>
        </w:rPr>
        <w:t>, así como incentivos a favor de aquellas dentro del sistema de compras y contratación pública</w:t>
      </w:r>
      <w:r w:rsidRPr="001C75C1">
        <w:rPr>
          <w:rStyle w:val="Refdenotaalpie"/>
          <w:rFonts w:ascii="Arial" w:hAnsi="Arial" w:eastAsia="Calibri" w:cs="Arial"/>
        </w:rPr>
        <w:footnoteReference w:id="7"/>
      </w:r>
      <w:r w:rsidRPr="001C75C1">
        <w:rPr>
          <w:rFonts w:ascii="Arial" w:hAnsi="Arial" w:eastAsia="Calibri" w:cs="Arial"/>
          <w:color w:val="000000" w:themeColor="text1"/>
          <w:sz w:val="22"/>
          <w:szCs w:val="22"/>
          <w:lang w:val="es-ES_tradnl"/>
        </w:rPr>
        <w:t>. También se consagran mecanismos de acceso al financiamiento</w:t>
      </w:r>
      <w:r w:rsidRPr="001C75C1">
        <w:rPr>
          <w:rStyle w:val="Refdenotaalpie"/>
          <w:rFonts w:ascii="Arial" w:hAnsi="Arial" w:eastAsia="Calibri" w:cs="Arial"/>
        </w:rPr>
        <w:footnoteReference w:id="8"/>
      </w:r>
      <w:r w:rsidRPr="001C75C1">
        <w:rPr>
          <w:rFonts w:ascii="Arial" w:hAnsi="Arial" w:eastAsia="Calibri" w:cs="Arial"/>
          <w:color w:val="000000" w:themeColor="text1"/>
          <w:sz w:val="22"/>
          <w:szCs w:val="22"/>
          <w:lang w:val="es-ES_tradnl"/>
        </w:rPr>
        <w:t xml:space="preserve">, se unifican las fuentes de emprendimiento y de desarrollo empresarial, para fortalecer y promover los </w:t>
      </w:r>
      <w:r w:rsidRPr="001C75C1">
        <w:rPr>
          <w:rFonts w:ascii="Arial" w:hAnsi="Arial" w:eastAsia="Calibri" w:cs="Arial"/>
          <w:color w:val="000000" w:themeColor="text1"/>
          <w:sz w:val="22"/>
          <w:szCs w:val="22"/>
          <w:lang w:val="es-ES_tradnl"/>
        </w:rPr>
        <w:lastRenderedPageBreak/>
        <w:t>distintos sectores de la economía</w:t>
      </w:r>
      <w:r w:rsidRPr="001C75C1">
        <w:rPr>
          <w:rStyle w:val="Refdenotaalpie"/>
          <w:rFonts w:ascii="Arial" w:hAnsi="Arial" w:eastAsia="Calibri" w:cs="Arial"/>
        </w:rPr>
        <w:footnoteReference w:id="9"/>
      </w:r>
      <w:r w:rsidRPr="001C75C1">
        <w:rPr>
          <w:rFonts w:ascii="Arial" w:hAnsi="Arial" w:eastAsia="Calibri" w:cs="Arial"/>
          <w:color w:val="000000" w:themeColor="text1"/>
          <w:sz w:val="22"/>
          <w:szCs w:val="22"/>
          <w:lang w:val="es-ES_tradnl"/>
        </w:rPr>
        <w:t xml:space="preserve"> y se prevén medidas de educación para el emprendimiento y la innovación</w:t>
      </w:r>
      <w:r w:rsidRPr="001C75C1">
        <w:rPr>
          <w:rStyle w:val="Refdenotaalpie"/>
          <w:rFonts w:ascii="Arial" w:hAnsi="Arial" w:eastAsia="Calibri" w:cs="Arial"/>
        </w:rPr>
        <w:footnoteReference w:id="10"/>
      </w:r>
      <w:r w:rsidRPr="001C75C1">
        <w:rPr>
          <w:rFonts w:ascii="Arial" w:hAnsi="Arial" w:eastAsia="Calibri" w:cs="Arial"/>
          <w:color w:val="000000" w:themeColor="text1"/>
          <w:sz w:val="22"/>
          <w:szCs w:val="22"/>
          <w:lang w:val="es-ES_tradnl"/>
        </w:rPr>
        <w:t>.</w:t>
      </w:r>
    </w:p>
    <w:p w:rsidRPr="001C75C1" w:rsidR="0000500B" w:rsidP="0000500B" w:rsidRDefault="0000500B" w14:paraId="7371BE65" w14:textId="6713ED8E">
      <w:pPr>
        <w:spacing w:before="120" w:line="276" w:lineRule="auto"/>
        <w:ind w:firstLine="709"/>
        <w:jc w:val="both"/>
        <w:rPr>
          <w:rFonts w:ascii="Arial" w:hAnsi="Arial" w:eastAsia="Calibri" w:cs="Arial"/>
          <w:color w:val="000000" w:themeColor="text1"/>
          <w:sz w:val="22"/>
          <w:szCs w:val="22"/>
          <w:lang w:val="es-ES_tradnl"/>
        </w:rPr>
      </w:pPr>
      <w:r w:rsidRPr="001C75C1">
        <w:rPr>
          <w:rFonts w:ascii="Arial" w:hAnsi="Arial" w:eastAsia="Calibri" w:cs="Arial"/>
          <w:color w:val="000000" w:themeColor="text1"/>
          <w:sz w:val="22"/>
          <w:szCs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1C75C1">
        <w:rPr>
          <w:rFonts w:ascii="Arial" w:hAnsi="Arial" w:eastAsia="Calibri" w:cs="Arial"/>
          <w:color w:val="000000" w:themeColor="text1"/>
          <w:sz w:val="22"/>
          <w:szCs w:val="22"/>
          <w:lang w:val="es-ES_tradnl"/>
        </w:rPr>
        <w:t>mipymes</w:t>
      </w:r>
      <w:proofErr w:type="spellEnd"/>
      <w:r w:rsidRPr="001C75C1">
        <w:rPr>
          <w:rFonts w:ascii="Arial" w:hAnsi="Arial" w:eastAsia="Calibri" w:cs="Arial"/>
          <w:color w:val="000000" w:themeColor="text1"/>
          <w:sz w:val="22"/>
          <w:szCs w:val="22"/>
          <w:lang w:val="es-ES_tradnl"/>
        </w:rPr>
        <w:t xml:space="preserve"> en el procedimiento de mínima cuantía, ii) criterios diferenciales para </w:t>
      </w:r>
      <w:proofErr w:type="spellStart"/>
      <w:r w:rsidRPr="001C75C1">
        <w:rPr>
          <w:rFonts w:ascii="Arial" w:hAnsi="Arial" w:eastAsia="Calibri" w:cs="Arial"/>
          <w:color w:val="000000" w:themeColor="text1"/>
          <w:sz w:val="22"/>
          <w:szCs w:val="22"/>
          <w:lang w:val="es-ES_tradnl"/>
        </w:rPr>
        <w:t>mipymes</w:t>
      </w:r>
      <w:proofErr w:type="spellEnd"/>
      <w:r w:rsidRPr="001C75C1">
        <w:rPr>
          <w:rFonts w:ascii="Arial" w:hAnsi="Arial" w:eastAsia="Calibri" w:cs="Arial"/>
          <w:color w:val="000000" w:themeColor="text1"/>
          <w:sz w:val="22"/>
          <w:szCs w:val="22"/>
          <w:lang w:val="es-ES_tradnl"/>
        </w:rPr>
        <w:t xml:space="preserve"> en el sistema de compras públicas, iii) criterios diferenciales para emprendimientos y empresas de mujeres en el sistema de compras públicas, iv) promoción del acceso de las </w:t>
      </w:r>
      <w:proofErr w:type="spellStart"/>
      <w:r w:rsidRPr="001C75C1">
        <w:rPr>
          <w:rFonts w:ascii="Arial" w:hAnsi="Arial" w:eastAsia="Calibri" w:cs="Arial"/>
          <w:color w:val="000000" w:themeColor="text1"/>
          <w:sz w:val="22"/>
          <w:szCs w:val="22"/>
          <w:lang w:val="es-ES_tradnl"/>
        </w:rPr>
        <w:t>mipymes</w:t>
      </w:r>
      <w:proofErr w:type="spellEnd"/>
      <w:r w:rsidRPr="001C75C1">
        <w:rPr>
          <w:rFonts w:ascii="Arial" w:hAnsi="Arial" w:eastAsia="Calibri"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Ley, a </w:t>
      </w:r>
      <w:r w:rsidRPr="001C75C1" w:rsidR="0088321E">
        <w:rPr>
          <w:rFonts w:ascii="Arial" w:hAnsi="Arial" w:eastAsia="Calibri" w:cs="Arial"/>
          <w:color w:val="000000" w:themeColor="text1"/>
          <w:sz w:val="22"/>
          <w:szCs w:val="22"/>
          <w:lang w:val="es-ES_tradnl"/>
        </w:rPr>
        <w:t>continuación,</w:t>
      </w:r>
      <w:r w:rsidRPr="001C75C1">
        <w:rPr>
          <w:rFonts w:ascii="Arial" w:hAnsi="Arial" w:eastAsia="Calibri" w:cs="Arial"/>
          <w:color w:val="000000" w:themeColor="text1"/>
          <w:sz w:val="22"/>
          <w:szCs w:val="22"/>
          <w:lang w:val="es-ES_tradnl"/>
        </w:rPr>
        <w:t xml:space="preserve"> se estudiará el contenido y alcance de dicha norma.  </w:t>
      </w:r>
    </w:p>
    <w:p w:rsidRPr="001C75C1" w:rsidR="0000500B" w:rsidP="0000500B" w:rsidRDefault="0000500B" w14:paraId="6DA213FC" w14:textId="77777777">
      <w:pPr>
        <w:spacing w:line="276" w:lineRule="auto"/>
        <w:jc w:val="both"/>
        <w:rPr>
          <w:rFonts w:ascii="Arial" w:hAnsi="Arial" w:eastAsia="Calibri" w:cs="Arial"/>
          <w:color w:val="000000" w:themeColor="text1"/>
          <w:sz w:val="22"/>
          <w:szCs w:val="22"/>
          <w:lang w:val="es-ES_tradnl"/>
        </w:rPr>
      </w:pPr>
    </w:p>
    <w:p w:rsidRPr="001C75C1" w:rsidR="00D30596" w:rsidP="00D30596" w:rsidRDefault="00473A2E" w14:paraId="25F17B5B" w14:textId="36FD7DD7">
      <w:pPr>
        <w:spacing w:line="276" w:lineRule="auto"/>
        <w:jc w:val="both"/>
        <w:rPr>
          <w:rFonts w:ascii="Arial" w:hAnsi="Arial" w:eastAsia="Calibri" w:cs="Arial"/>
          <w:b/>
          <w:bCs/>
          <w:color w:val="000000" w:themeColor="text1"/>
          <w:sz w:val="22"/>
          <w:szCs w:val="22"/>
          <w:lang w:val="es-ES_tradnl"/>
        </w:rPr>
      </w:pPr>
      <w:r w:rsidRPr="001C75C1">
        <w:rPr>
          <w:rFonts w:ascii="Arial" w:hAnsi="Arial" w:eastAsia="Calibri" w:cs="Arial"/>
          <w:b/>
          <w:bCs/>
          <w:color w:val="000000" w:themeColor="text1"/>
          <w:sz w:val="22"/>
          <w:szCs w:val="22"/>
          <w:lang w:val="es-ES_tradnl"/>
        </w:rPr>
        <w:t xml:space="preserve">2.3. </w:t>
      </w:r>
      <w:r w:rsidRPr="001C75C1" w:rsidR="00DB7484">
        <w:rPr>
          <w:rFonts w:ascii="Arial" w:hAnsi="Arial" w:eastAsia="Calibri" w:cs="Arial"/>
          <w:b/>
          <w:bCs/>
          <w:color w:val="000000" w:themeColor="text1"/>
          <w:sz w:val="22"/>
          <w:szCs w:val="22"/>
          <w:lang w:val="es-ES_tradnl"/>
        </w:rPr>
        <w:t>Alcance</w:t>
      </w:r>
      <w:r w:rsidRPr="001C75C1" w:rsidR="00D30596">
        <w:rPr>
          <w:rFonts w:ascii="Arial" w:hAnsi="Arial" w:eastAsia="Calibri" w:cs="Arial"/>
          <w:b/>
          <w:bCs/>
          <w:color w:val="000000" w:themeColor="text1"/>
          <w:sz w:val="22"/>
          <w:szCs w:val="22"/>
          <w:lang w:val="es-ES_tradnl"/>
        </w:rPr>
        <w:t xml:space="preserve"> del factor de desempate regulado en el numeral 2 del artículo 35 de la Ley 2069 de 2020</w:t>
      </w:r>
    </w:p>
    <w:p w:rsidRPr="001C75C1" w:rsidR="00473A2E" w:rsidP="00473A2E" w:rsidRDefault="00473A2E" w14:paraId="15672F50" w14:textId="3C161E43">
      <w:pPr>
        <w:spacing w:line="276" w:lineRule="auto"/>
        <w:jc w:val="both"/>
        <w:rPr>
          <w:rFonts w:ascii="Arial" w:hAnsi="Arial" w:eastAsia="Calibri" w:cs="Arial"/>
          <w:color w:val="000000" w:themeColor="text1"/>
          <w:sz w:val="22"/>
          <w:szCs w:val="22"/>
          <w:lang w:val="es-ES_tradnl"/>
        </w:rPr>
      </w:pPr>
    </w:p>
    <w:p w:rsidRPr="001C75C1" w:rsidR="00D30596" w:rsidP="00DF5508" w:rsidRDefault="00473A2E" w14:paraId="6D3B21C9" w14:textId="6CF8962F">
      <w:pPr>
        <w:spacing w:line="276" w:lineRule="auto"/>
        <w:jc w:val="both"/>
        <w:rPr>
          <w:rFonts w:ascii="Arial" w:hAnsi="Arial" w:eastAsia="Calibri" w:cs="Arial"/>
          <w:color w:val="000000" w:themeColor="text1"/>
          <w:sz w:val="22"/>
          <w:szCs w:val="22"/>
          <w:lang w:val="es-ES_tradnl"/>
        </w:rPr>
      </w:pPr>
      <w:r w:rsidRPr="001C75C1">
        <w:rPr>
          <w:rFonts w:ascii="Arial" w:hAnsi="Arial" w:eastAsia="Calibri" w:cs="Arial"/>
          <w:color w:val="000000" w:themeColor="text1"/>
          <w:sz w:val="22"/>
          <w:szCs w:val="22"/>
          <w:lang w:val="es-ES_tradnl"/>
        </w:rPr>
        <w:t xml:space="preserve">El artículo 35 de la Ley 2069 de 2020 modifica la regulación de los factores de desempate en la contratación estatal. En consideración a que en la consulta se solicita que la Agencia Nacional de Contratación Pública – Colombia Compra Eficiente efectúe ciertas precisiones hermenéuticas sobre </w:t>
      </w:r>
      <w:r w:rsidRPr="001C75C1" w:rsidR="00D512A1">
        <w:rPr>
          <w:rFonts w:ascii="Arial" w:hAnsi="Arial" w:eastAsia="Calibri" w:cs="Arial"/>
          <w:color w:val="000000" w:themeColor="text1"/>
          <w:sz w:val="22"/>
          <w:szCs w:val="22"/>
          <w:lang w:val="es-ES_tradnl"/>
        </w:rPr>
        <w:t xml:space="preserve">algunos apartes normativos </w:t>
      </w:r>
      <w:r w:rsidRPr="001C75C1" w:rsidR="00775DEC">
        <w:rPr>
          <w:rFonts w:ascii="Arial" w:hAnsi="Arial" w:eastAsia="Calibri" w:cs="Arial"/>
          <w:color w:val="000000" w:themeColor="text1"/>
          <w:sz w:val="22"/>
          <w:szCs w:val="22"/>
          <w:lang w:val="es-ES_tradnl"/>
        </w:rPr>
        <w:t xml:space="preserve">de </w:t>
      </w:r>
      <w:r w:rsidRPr="001C75C1">
        <w:rPr>
          <w:rFonts w:ascii="Arial" w:hAnsi="Arial" w:eastAsia="Calibri" w:cs="Arial"/>
          <w:color w:val="000000" w:themeColor="text1"/>
          <w:sz w:val="22"/>
          <w:szCs w:val="22"/>
          <w:lang w:val="es-ES_tradnl"/>
        </w:rPr>
        <w:t xml:space="preserve">dicho artículo, la Subdirección de Gestión Contractual se pronunciará sobre el alcance que otorga a tales disposiciones, sin pasar por alto la </w:t>
      </w:r>
      <w:r w:rsidRPr="001C75C1" w:rsidR="0096071D">
        <w:rPr>
          <w:rFonts w:ascii="Arial" w:hAnsi="Arial" w:eastAsia="Calibri" w:cs="Arial"/>
          <w:color w:val="000000" w:themeColor="text1"/>
          <w:sz w:val="22"/>
          <w:szCs w:val="22"/>
          <w:lang w:val="es-ES_tradnl"/>
        </w:rPr>
        <w:t xml:space="preserve">relativa </w:t>
      </w:r>
      <w:r w:rsidRPr="001C75C1">
        <w:rPr>
          <w:rFonts w:ascii="Arial" w:hAnsi="Arial" w:eastAsia="Calibri" w:cs="Arial"/>
          <w:color w:val="000000" w:themeColor="text1"/>
          <w:sz w:val="22"/>
          <w:szCs w:val="22"/>
          <w:lang w:val="es-ES_tradnl"/>
        </w:rPr>
        <w:t>novedad de la Ley 2069 de 2020 –dada su reciente entrada en vigencia– y la ausencia de pronunciamientos jurisprudenciales o estudios doctrinarios sobre el tema, que seguramente contribuirán a decantar la interpretación de las normas en comento.</w:t>
      </w:r>
      <w:r w:rsidRPr="001C75C1" w:rsidR="00B83A32">
        <w:rPr>
          <w:rFonts w:ascii="Arial" w:hAnsi="Arial" w:eastAsia="Calibri" w:cs="Arial"/>
          <w:color w:val="000000" w:themeColor="text1"/>
          <w:sz w:val="22"/>
          <w:szCs w:val="22"/>
          <w:lang w:val="es-ES_tradnl"/>
        </w:rPr>
        <w:t xml:space="preserve"> Aún así, la expedición del Decreto </w:t>
      </w:r>
      <w:r w:rsidRPr="001C75C1" w:rsidR="009C0C1B">
        <w:rPr>
          <w:rFonts w:ascii="Arial" w:hAnsi="Arial" w:eastAsia="Calibri" w:cs="Arial"/>
          <w:color w:val="000000" w:themeColor="text1"/>
          <w:sz w:val="22"/>
          <w:szCs w:val="22"/>
          <w:lang w:val="es-ES_tradnl"/>
        </w:rPr>
        <w:t xml:space="preserve">1860 de 2021 –que reglamentó, entre otras disposiciones, los factores de desempate previstos en el artículo que se analizará– </w:t>
      </w:r>
      <w:r w:rsidRPr="001C75C1" w:rsidR="00460BDE">
        <w:rPr>
          <w:rFonts w:ascii="Arial" w:hAnsi="Arial" w:eastAsia="Calibri" w:cs="Arial"/>
          <w:color w:val="000000" w:themeColor="text1"/>
          <w:sz w:val="22"/>
          <w:szCs w:val="22"/>
          <w:lang w:val="es-ES_tradnl"/>
        </w:rPr>
        <w:t>dilucida</w:t>
      </w:r>
      <w:r w:rsidRPr="001C75C1" w:rsidR="009C0C1B">
        <w:rPr>
          <w:rFonts w:ascii="Arial" w:hAnsi="Arial" w:eastAsia="Calibri" w:cs="Arial"/>
          <w:color w:val="000000" w:themeColor="text1"/>
          <w:sz w:val="22"/>
          <w:szCs w:val="22"/>
          <w:lang w:val="es-ES_tradnl"/>
        </w:rPr>
        <w:t xml:space="preserve"> la interpretación de</w:t>
      </w:r>
      <w:r w:rsidRPr="001C75C1" w:rsidR="006B61AB">
        <w:rPr>
          <w:rFonts w:ascii="Arial" w:hAnsi="Arial" w:eastAsia="Calibri" w:cs="Arial"/>
          <w:color w:val="000000" w:themeColor="text1"/>
          <w:sz w:val="22"/>
          <w:szCs w:val="22"/>
          <w:lang w:val="es-ES_tradnl"/>
        </w:rPr>
        <w:t xml:space="preserve"> las disposiciones contenidas en la Ley 2069 de 2020 relativas a la contratación estatal, como se explicará </w:t>
      </w:r>
      <w:r w:rsidRPr="001C75C1" w:rsidR="008C5152">
        <w:rPr>
          <w:rFonts w:ascii="Arial" w:hAnsi="Arial" w:eastAsia="Calibri" w:cs="Arial"/>
          <w:color w:val="000000" w:themeColor="text1"/>
          <w:sz w:val="22"/>
          <w:szCs w:val="22"/>
          <w:lang w:val="es-ES_tradnl"/>
        </w:rPr>
        <w:t xml:space="preserve">en los siguientes </w:t>
      </w:r>
      <w:r w:rsidRPr="001C75C1" w:rsidR="005F3E34">
        <w:rPr>
          <w:rFonts w:ascii="Arial" w:hAnsi="Arial" w:eastAsia="Calibri" w:cs="Arial"/>
          <w:color w:val="000000" w:themeColor="text1"/>
          <w:sz w:val="22"/>
          <w:szCs w:val="22"/>
          <w:lang w:val="es-ES_tradnl"/>
        </w:rPr>
        <w:t>párrafos</w:t>
      </w:r>
      <w:r w:rsidRPr="001C75C1" w:rsidR="008C5152">
        <w:rPr>
          <w:rFonts w:ascii="Arial" w:hAnsi="Arial" w:eastAsia="Calibri" w:cs="Arial"/>
          <w:color w:val="000000" w:themeColor="text1"/>
          <w:sz w:val="22"/>
          <w:szCs w:val="22"/>
          <w:lang w:val="es-ES_tradnl"/>
        </w:rPr>
        <w:t xml:space="preserve"> de este concepto.</w:t>
      </w:r>
    </w:p>
    <w:p w:rsidRPr="001C75C1" w:rsidR="00FE655D" w:rsidP="00D30596" w:rsidRDefault="00FE655D" w14:paraId="3FC68BEC" w14:textId="71E159B3">
      <w:pPr>
        <w:spacing w:before="120" w:line="276" w:lineRule="auto"/>
        <w:ind w:firstLine="709"/>
        <w:jc w:val="both"/>
        <w:rPr>
          <w:rFonts w:ascii="Arial" w:hAnsi="Arial" w:eastAsia="Calibri" w:cs="Arial"/>
          <w:color w:val="000000" w:themeColor="text1"/>
          <w:sz w:val="22"/>
          <w:szCs w:val="22"/>
          <w:lang w:val="es-ES_tradnl"/>
        </w:rPr>
      </w:pPr>
      <w:r w:rsidRPr="001C75C1">
        <w:rPr>
          <w:rFonts w:ascii="Arial" w:hAnsi="Arial" w:cs="Arial"/>
          <w:color w:val="000000" w:themeColor="text1"/>
          <w:sz w:val="22"/>
          <w:szCs w:val="22"/>
          <w:lang w:val="es-ES_tradnl"/>
        </w:rPr>
        <w:t>El numeral 2 del artículo 35 de la Ley 2069 de 2020 establece</w:t>
      </w:r>
      <w:r w:rsidRPr="001C75C1" w:rsidR="00DF5508">
        <w:rPr>
          <w:rFonts w:ascii="Arial" w:hAnsi="Arial" w:cs="Arial"/>
          <w:color w:val="000000" w:themeColor="text1"/>
          <w:sz w:val="22"/>
          <w:szCs w:val="22"/>
          <w:lang w:val="es-ES_tradnl"/>
        </w:rPr>
        <w:t>:</w:t>
      </w:r>
    </w:p>
    <w:p w:rsidRPr="001C75C1" w:rsidR="00DF5508" w:rsidP="00DF5508" w:rsidRDefault="00DF5508" w14:paraId="1DB94A36" w14:textId="6860C91D">
      <w:pPr>
        <w:ind w:left="709" w:right="709"/>
        <w:jc w:val="both"/>
        <w:rPr>
          <w:rFonts w:ascii="Arial" w:hAnsi="Arial" w:cs="Arial"/>
          <w:color w:val="000000" w:themeColor="text1"/>
          <w:sz w:val="21"/>
          <w:szCs w:val="21"/>
          <w:lang w:val="es-ES_tradnl"/>
        </w:rPr>
      </w:pPr>
    </w:p>
    <w:p w:rsidRPr="001C75C1" w:rsidR="00DF5508" w:rsidP="00DF5508" w:rsidRDefault="00DF5508" w14:paraId="64105E86" w14:textId="6414D40D">
      <w:pPr>
        <w:ind w:left="709" w:right="709"/>
        <w:jc w:val="both"/>
        <w:rPr>
          <w:rFonts w:ascii="Arial" w:hAnsi="Arial" w:cs="Arial"/>
          <w:color w:val="000000" w:themeColor="text1"/>
          <w:sz w:val="21"/>
          <w:szCs w:val="21"/>
        </w:rPr>
      </w:pPr>
      <w:r w:rsidRPr="001C75C1">
        <w:rPr>
          <w:rFonts w:ascii="Arial" w:hAnsi="Arial" w:cs="Arial"/>
          <w:color w:val="000000" w:themeColor="text1"/>
          <w:sz w:val="21"/>
          <w:szCs w:val="21"/>
        </w:rPr>
        <w:t xml:space="preserve">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w:t>
      </w:r>
      <w:r w:rsidRPr="001C75C1">
        <w:rPr>
          <w:rFonts w:ascii="Arial" w:hAnsi="Arial" w:cs="Arial"/>
          <w:color w:val="000000" w:themeColor="text1"/>
          <w:sz w:val="21"/>
          <w:szCs w:val="21"/>
        </w:rPr>
        <w:lastRenderedPageBreak/>
        <w:t>Contratación de los patrimonios autónomos constituidos por Entidades Estatales, el contratante deberá utilizar las siguientes reglas de forma sucesiva y excluyente para seleccionar al oferente favorecido, respetando en todo caso los compromisos internacionales vigentes.</w:t>
      </w:r>
    </w:p>
    <w:p w:rsidRPr="001C75C1" w:rsidR="00DF5508" w:rsidP="00DF5508" w:rsidRDefault="00DF5508" w14:paraId="0A66E34C" w14:textId="77777777">
      <w:pPr>
        <w:ind w:left="709" w:right="709"/>
        <w:jc w:val="both"/>
        <w:rPr>
          <w:rFonts w:ascii="Arial" w:hAnsi="Arial" w:cs="Arial"/>
          <w:color w:val="000000" w:themeColor="text1"/>
          <w:sz w:val="21"/>
          <w:szCs w:val="21"/>
        </w:rPr>
      </w:pPr>
    </w:p>
    <w:p w:rsidRPr="001C75C1" w:rsidR="00DF5508" w:rsidP="00DF5508" w:rsidRDefault="00DF5508" w14:paraId="0E17D79C" w14:textId="7577A7A2">
      <w:pPr>
        <w:ind w:left="709" w:right="709"/>
        <w:jc w:val="both"/>
        <w:rPr>
          <w:rFonts w:ascii="Arial" w:hAnsi="Arial" w:cs="Arial"/>
          <w:color w:val="000000" w:themeColor="text1"/>
          <w:sz w:val="21"/>
          <w:szCs w:val="21"/>
        </w:rPr>
      </w:pPr>
      <w:r w:rsidRPr="001C75C1">
        <w:rPr>
          <w:rFonts w:ascii="Arial" w:hAnsi="Arial" w:cs="Arial"/>
          <w:color w:val="000000" w:themeColor="text1"/>
          <w:sz w:val="21"/>
          <w:szCs w:val="21"/>
        </w:rPr>
        <w:t>[…]</w:t>
      </w:r>
    </w:p>
    <w:p w:rsidRPr="001C75C1" w:rsidR="00DF5508" w:rsidP="00DF5508" w:rsidRDefault="00DF5508" w14:paraId="03A53327" w14:textId="77777777">
      <w:pPr>
        <w:ind w:left="709" w:right="709"/>
        <w:jc w:val="both"/>
        <w:rPr>
          <w:rFonts w:ascii="Arial" w:hAnsi="Arial" w:cs="Arial"/>
          <w:color w:val="000000" w:themeColor="text1"/>
          <w:sz w:val="21"/>
          <w:szCs w:val="21"/>
        </w:rPr>
      </w:pPr>
    </w:p>
    <w:p w:rsidRPr="001C75C1" w:rsidR="00DF5508" w:rsidP="00DF5508" w:rsidRDefault="00DF5508" w14:paraId="2BF0B62B" w14:textId="282A8E63">
      <w:pPr>
        <w:ind w:left="709" w:right="709"/>
        <w:jc w:val="both"/>
        <w:rPr>
          <w:rFonts w:ascii="Arial" w:hAnsi="Arial" w:cs="Arial"/>
          <w:color w:val="000000" w:themeColor="text1"/>
          <w:sz w:val="21"/>
          <w:szCs w:val="21"/>
        </w:rPr>
      </w:pPr>
      <w:r w:rsidRPr="001C75C1">
        <w:rPr>
          <w:rFonts w:ascii="Arial" w:hAnsi="Arial" w:cs="Arial"/>
          <w:color w:val="000000" w:themeColor="text1"/>
          <w:sz w:val="21"/>
          <w:szCs w:val="21"/>
        </w:rPr>
        <w:t>2. 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w:t>
      </w:r>
    </w:p>
    <w:p w:rsidRPr="001C75C1" w:rsidR="00DF5508" w:rsidP="00DF5508" w:rsidRDefault="00DF5508" w14:paraId="5079BFAD" w14:textId="77777777">
      <w:pPr>
        <w:ind w:left="709" w:right="709"/>
        <w:jc w:val="both"/>
        <w:rPr>
          <w:rFonts w:ascii="Arial" w:hAnsi="Arial" w:cs="Arial"/>
          <w:color w:val="000000" w:themeColor="text1"/>
          <w:sz w:val="21"/>
          <w:szCs w:val="21"/>
        </w:rPr>
      </w:pPr>
    </w:p>
    <w:p w:rsidRPr="001C75C1" w:rsidR="00646561" w:rsidP="008108ED" w:rsidRDefault="000C7D4D" w14:paraId="190C98A8" w14:textId="0FD1DA70">
      <w:pPr>
        <w:spacing w:before="120" w:line="276" w:lineRule="auto"/>
        <w:ind w:firstLine="709"/>
        <w:jc w:val="both"/>
        <w:rPr>
          <w:rFonts w:ascii="Arial" w:hAnsi="Arial" w:cs="Arial"/>
          <w:color w:val="000000" w:themeColor="text1"/>
          <w:sz w:val="22"/>
          <w:lang w:val="es-ES_tradnl"/>
        </w:rPr>
      </w:pPr>
      <w:r w:rsidRPr="001C75C1">
        <w:rPr>
          <w:rFonts w:ascii="Arial" w:hAnsi="Arial" w:eastAsia="Calibri" w:cs="Arial"/>
          <w:color w:val="000000" w:themeColor="text1"/>
          <w:sz w:val="22"/>
          <w:lang w:val="es-ES_tradnl"/>
        </w:rPr>
        <w:t xml:space="preserve">Como se observa, </w:t>
      </w:r>
      <w:r w:rsidRPr="001C75C1">
        <w:rPr>
          <w:rFonts w:ascii="Arial" w:hAnsi="Arial" w:cs="Arial"/>
          <w:color w:val="000000" w:themeColor="text1"/>
          <w:sz w:val="22"/>
          <w:lang w:val="es-ES_tradnl"/>
        </w:rPr>
        <w:t>e</w:t>
      </w:r>
      <w:r w:rsidRPr="001C75C1" w:rsidR="00646561">
        <w:rPr>
          <w:rFonts w:ascii="Arial" w:hAnsi="Arial" w:cs="Arial"/>
          <w:color w:val="000000" w:themeColor="text1"/>
          <w:sz w:val="22"/>
          <w:lang w:val="es-ES_tradnl"/>
        </w:rPr>
        <w:t xml:space="preserve">l artículo 35, numeral 2, de la Ley 2069 de 2020 utiliza un concepto jurídico indeterminado, cuando se refiere a la participación </w:t>
      </w:r>
      <w:r w:rsidRPr="001C75C1" w:rsidR="00646561">
        <w:rPr>
          <w:rFonts w:ascii="Arial" w:hAnsi="Arial" w:cs="Arial"/>
          <w:i/>
          <w:iCs/>
          <w:color w:val="000000" w:themeColor="text1"/>
          <w:sz w:val="22"/>
          <w:lang w:val="es-ES_tradnl"/>
        </w:rPr>
        <w:t>mayoritaria</w:t>
      </w:r>
      <w:r w:rsidRPr="001C75C1" w:rsidR="00646561">
        <w:rPr>
          <w:rFonts w:ascii="Arial" w:hAnsi="Arial" w:cs="Arial"/>
          <w:color w:val="000000" w:themeColor="text1"/>
          <w:sz w:val="22"/>
          <w:lang w:val="es-ES_tradnl"/>
        </w:rPr>
        <w:t xml:space="preserve"> de las mujeres cabeza de familia o mujeres víctimas de la violencia intrafamiliar en la persona jurídica o en el proponente plural. </w:t>
      </w:r>
      <w:r w:rsidRPr="001C75C1" w:rsidR="008108ED">
        <w:rPr>
          <w:rFonts w:ascii="Arial" w:hAnsi="Arial" w:cs="Arial"/>
          <w:color w:val="000000" w:themeColor="text1"/>
          <w:sz w:val="22"/>
          <w:lang w:val="es-ES_tradnl"/>
        </w:rPr>
        <w:t>Sin embargo, esto lo aclar</w:t>
      </w:r>
      <w:r w:rsidRPr="001C75C1" w:rsidR="00435454">
        <w:rPr>
          <w:rFonts w:ascii="Arial" w:hAnsi="Arial" w:cs="Arial"/>
          <w:color w:val="000000" w:themeColor="text1"/>
          <w:sz w:val="22"/>
          <w:lang w:val="es-ES_tradnl"/>
        </w:rPr>
        <w:t>ó</w:t>
      </w:r>
      <w:r w:rsidRPr="001C75C1" w:rsidR="008108ED">
        <w:rPr>
          <w:rFonts w:ascii="Arial" w:hAnsi="Arial" w:cs="Arial"/>
          <w:color w:val="000000" w:themeColor="text1"/>
          <w:sz w:val="22"/>
          <w:lang w:val="es-ES_tradnl"/>
        </w:rPr>
        <w:t xml:space="preserve"> el artículo </w:t>
      </w:r>
      <w:r w:rsidRPr="001C75C1" w:rsidR="005D09B1">
        <w:rPr>
          <w:rFonts w:ascii="Arial" w:hAnsi="Arial" w:cs="Arial"/>
          <w:color w:val="000000" w:themeColor="text1"/>
          <w:sz w:val="22"/>
          <w:lang w:val="es-ES_tradnl"/>
        </w:rPr>
        <w:t xml:space="preserve">3 del Decreto 1860 de 2021, que </w:t>
      </w:r>
      <w:r w:rsidRPr="001C75C1" w:rsidR="002445E6">
        <w:rPr>
          <w:rFonts w:ascii="Arial" w:hAnsi="Arial" w:cs="Arial"/>
          <w:color w:val="000000" w:themeColor="text1"/>
          <w:sz w:val="22"/>
          <w:lang w:val="es-ES_tradnl"/>
        </w:rPr>
        <w:t>adicionó el artículo</w:t>
      </w:r>
      <w:r w:rsidRPr="001C75C1" w:rsidR="007613CC">
        <w:rPr>
          <w:rFonts w:ascii="Arial" w:hAnsi="Arial" w:cs="Arial"/>
          <w:color w:val="000000" w:themeColor="text1"/>
          <w:sz w:val="22"/>
          <w:lang w:val="es-ES_tradnl"/>
        </w:rPr>
        <w:t xml:space="preserve"> 2.2.1.2.4.2.17. </w:t>
      </w:r>
      <w:r w:rsidRPr="001C75C1" w:rsidR="002445E6">
        <w:rPr>
          <w:rFonts w:ascii="Arial" w:hAnsi="Arial" w:cs="Arial"/>
          <w:color w:val="000000" w:themeColor="text1"/>
          <w:sz w:val="22"/>
          <w:lang w:val="es-ES_tradnl"/>
        </w:rPr>
        <w:t>al Decreto 1082 de 2015</w:t>
      </w:r>
      <w:r w:rsidRPr="001C75C1" w:rsidR="007613CC">
        <w:rPr>
          <w:rFonts w:ascii="Arial" w:hAnsi="Arial" w:cs="Arial"/>
          <w:color w:val="000000" w:themeColor="text1"/>
          <w:sz w:val="22"/>
          <w:lang w:val="es-ES_tradnl"/>
        </w:rPr>
        <w:t>, reglamentando así el artículo 35 de la Ley 2069 de 2020</w:t>
      </w:r>
      <w:r w:rsidRPr="001C75C1" w:rsidR="00830879">
        <w:rPr>
          <w:rFonts w:ascii="Arial" w:hAnsi="Arial" w:cs="Arial"/>
          <w:color w:val="000000" w:themeColor="text1"/>
          <w:sz w:val="22"/>
          <w:lang w:val="es-ES_tradnl"/>
        </w:rPr>
        <w:t xml:space="preserve">, frente al alcance de los factores de desempate. </w:t>
      </w:r>
      <w:r w:rsidRPr="001C75C1" w:rsidR="002964D5">
        <w:rPr>
          <w:rFonts w:ascii="Arial" w:hAnsi="Arial" w:cs="Arial"/>
          <w:color w:val="000000" w:themeColor="text1"/>
          <w:sz w:val="22"/>
          <w:lang w:val="es-ES_tradnl"/>
        </w:rPr>
        <w:t>E</w:t>
      </w:r>
      <w:r w:rsidRPr="001C75C1" w:rsidR="00830879">
        <w:rPr>
          <w:rFonts w:ascii="Arial" w:hAnsi="Arial" w:cs="Arial"/>
          <w:color w:val="000000" w:themeColor="text1"/>
          <w:sz w:val="22"/>
          <w:lang w:val="es-ES_tradnl"/>
        </w:rPr>
        <w:t>n lo pertinente</w:t>
      </w:r>
      <w:r w:rsidRPr="001C75C1" w:rsidR="007964CA">
        <w:rPr>
          <w:rFonts w:ascii="Arial" w:hAnsi="Arial" w:cs="Arial"/>
          <w:color w:val="000000" w:themeColor="text1"/>
          <w:sz w:val="22"/>
          <w:lang w:val="es-ES_tradnl"/>
        </w:rPr>
        <w:t xml:space="preserve"> –es decir, en relación con el factor de desempate consagrado en el artículo 35, numeral 2</w:t>
      </w:r>
      <w:r w:rsidRPr="001C75C1" w:rsidR="00E96315">
        <w:rPr>
          <w:rFonts w:ascii="Arial" w:hAnsi="Arial" w:cs="Arial"/>
          <w:color w:val="000000" w:themeColor="text1"/>
          <w:sz w:val="22"/>
          <w:lang w:val="es-ES_tradnl"/>
        </w:rPr>
        <w:t>,</w:t>
      </w:r>
      <w:r w:rsidRPr="001C75C1" w:rsidR="007964CA">
        <w:rPr>
          <w:rFonts w:ascii="Arial" w:hAnsi="Arial" w:cs="Arial"/>
          <w:color w:val="000000" w:themeColor="text1"/>
          <w:sz w:val="22"/>
          <w:lang w:val="es-ES_tradnl"/>
        </w:rPr>
        <w:t xml:space="preserve"> de la Ley 2069 de 2020, que es sobre el cual versa la presente consulta–</w:t>
      </w:r>
      <w:r w:rsidRPr="001C75C1" w:rsidR="00830879">
        <w:rPr>
          <w:rFonts w:ascii="Arial" w:hAnsi="Arial" w:cs="Arial"/>
          <w:color w:val="000000" w:themeColor="text1"/>
          <w:sz w:val="22"/>
          <w:lang w:val="es-ES_tradnl"/>
        </w:rPr>
        <w:t>, el referido artículo 2.2.1.2.4.2.17. dispone:</w:t>
      </w:r>
    </w:p>
    <w:p w:rsidRPr="001C75C1" w:rsidR="00E96315" w:rsidP="00E96315" w:rsidRDefault="00E96315" w14:paraId="3F54A820" w14:textId="77777777">
      <w:pPr>
        <w:ind w:left="709" w:right="709"/>
        <w:jc w:val="both"/>
        <w:rPr>
          <w:rFonts w:ascii="Arial" w:hAnsi="Arial" w:cs="Arial"/>
          <w:color w:val="000000" w:themeColor="text1"/>
          <w:sz w:val="21"/>
          <w:szCs w:val="21"/>
          <w:lang w:val="es-ES_tradnl"/>
        </w:rPr>
      </w:pPr>
    </w:p>
    <w:p w:rsidRPr="001C75C1" w:rsidR="00830879" w:rsidP="00E96315" w:rsidRDefault="00BF6327" w14:paraId="6CA3B6D5" w14:textId="38B97F47">
      <w:pPr>
        <w:ind w:left="709" w:right="709"/>
        <w:jc w:val="both"/>
        <w:rPr>
          <w:rFonts w:ascii="Arial" w:hAnsi="Arial" w:cs="Arial"/>
          <w:color w:val="000000" w:themeColor="text1"/>
          <w:sz w:val="21"/>
          <w:szCs w:val="21"/>
          <w:lang w:val="es-ES_tradnl"/>
        </w:rPr>
      </w:pPr>
      <w:r w:rsidRPr="001C75C1">
        <w:rPr>
          <w:rFonts w:ascii="Arial" w:hAnsi="Arial" w:cs="Arial"/>
          <w:color w:val="000000" w:themeColor="text1"/>
          <w:sz w:val="21"/>
          <w:szCs w:val="21"/>
          <w:lang w:val="es-ES_tradnl"/>
        </w:rPr>
        <w:t>En caso de empate en el puntaje total de dos o más ofertas en los Procesos de Contratación realizados con cargo a recursos públicos, en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las obligaciones contenidas en los Acuerdos Comerciales vigentes, especialmente en materia de trato nacional.</w:t>
      </w:r>
    </w:p>
    <w:p w:rsidRPr="001C75C1" w:rsidR="00E96315" w:rsidP="00E96315" w:rsidRDefault="00E96315" w14:paraId="203DA323" w14:textId="77777777">
      <w:pPr>
        <w:ind w:left="709" w:right="709"/>
        <w:jc w:val="both"/>
        <w:rPr>
          <w:rFonts w:ascii="Arial" w:hAnsi="Arial" w:cs="Arial"/>
          <w:color w:val="000000" w:themeColor="text1"/>
          <w:sz w:val="21"/>
          <w:szCs w:val="21"/>
          <w:lang w:val="es-ES_tradnl"/>
        </w:rPr>
      </w:pPr>
    </w:p>
    <w:p w:rsidRPr="001C75C1" w:rsidR="00BF6327" w:rsidP="00E96315" w:rsidRDefault="00BF6327" w14:paraId="4BCAF131" w14:textId="2DC2AB98">
      <w:pPr>
        <w:ind w:left="709" w:right="709"/>
        <w:jc w:val="both"/>
        <w:rPr>
          <w:rFonts w:ascii="Arial" w:hAnsi="Arial" w:cs="Arial"/>
          <w:color w:val="000000" w:themeColor="text1"/>
          <w:sz w:val="21"/>
          <w:szCs w:val="21"/>
          <w:lang w:val="es-ES_tradnl"/>
        </w:rPr>
      </w:pPr>
      <w:r w:rsidRPr="001C75C1">
        <w:rPr>
          <w:rFonts w:ascii="Arial" w:hAnsi="Arial" w:cs="Arial"/>
          <w:color w:val="000000" w:themeColor="text1"/>
          <w:sz w:val="21"/>
          <w:szCs w:val="21"/>
          <w:lang w:val="es-ES_tradnl"/>
        </w:rPr>
        <w:t>[…]</w:t>
      </w:r>
    </w:p>
    <w:p w:rsidRPr="001C75C1" w:rsidR="00E96315" w:rsidP="00E96315" w:rsidRDefault="00E96315" w14:paraId="0D20C1DC" w14:textId="77777777">
      <w:pPr>
        <w:ind w:left="709" w:right="709"/>
        <w:jc w:val="both"/>
        <w:rPr>
          <w:rFonts w:ascii="Arial" w:hAnsi="Arial" w:cs="Arial"/>
          <w:color w:val="000000" w:themeColor="text1"/>
          <w:sz w:val="21"/>
          <w:szCs w:val="21"/>
        </w:rPr>
      </w:pPr>
    </w:p>
    <w:p w:rsidRPr="001C75C1" w:rsidR="00E96315" w:rsidP="00154410" w:rsidRDefault="00E96315" w14:paraId="7D18196D" w14:textId="5799FE46">
      <w:pPr>
        <w:ind w:left="709" w:right="709"/>
        <w:jc w:val="both"/>
        <w:rPr>
          <w:rFonts w:ascii="Arial" w:hAnsi="Arial" w:cs="Arial"/>
          <w:color w:val="000000" w:themeColor="text1"/>
          <w:sz w:val="21"/>
          <w:szCs w:val="21"/>
        </w:rPr>
      </w:pPr>
      <w:r w:rsidRPr="001C75C1">
        <w:rPr>
          <w:rFonts w:ascii="Arial" w:hAnsi="Arial" w:cs="Arial"/>
          <w:color w:val="000000" w:themeColor="text1"/>
          <w:sz w:val="21"/>
          <w:szCs w:val="21"/>
        </w:rPr>
        <w:t>2. Preferir la propuesta de la mujer cabeza de familia. Su acreditación se realizará en los términos del parágrafo del artículo 2 de la Ley 82 de 1993, modificado por el artículo 1 de la Ley 1232 de 2008, o la norma que lo modifique, aclare, adicione o sustituya. Es decir, la condición de mujer cabeza de familia y la cesación de esta se otorgará desde el momento en que ocurra el respectivo evento y se declare ante un notario. En la declaración que se presente para acreditar la calidad de mujer cabeza de familia deberá verificarse que la misma dé cuenta del cumplimiento de los requisitos establecidos en el artículo 2 de la</w:t>
      </w:r>
      <w:r w:rsidRPr="001C75C1" w:rsidR="00154410">
        <w:rPr>
          <w:rFonts w:ascii="Arial" w:hAnsi="Arial" w:cs="Arial"/>
          <w:color w:val="000000" w:themeColor="text1"/>
          <w:sz w:val="21"/>
          <w:szCs w:val="21"/>
        </w:rPr>
        <w:t xml:space="preserve"> </w:t>
      </w:r>
      <w:r w:rsidRPr="001C75C1">
        <w:rPr>
          <w:rFonts w:ascii="Arial" w:hAnsi="Arial" w:cs="Arial"/>
          <w:color w:val="000000" w:themeColor="text1"/>
          <w:sz w:val="21"/>
          <w:szCs w:val="21"/>
        </w:rPr>
        <w:t>Ley 82 de 1993, modificado por el artículo 1 de la Ley 1232 de 2008.</w:t>
      </w:r>
    </w:p>
    <w:p w:rsidRPr="001C75C1" w:rsidR="00E96315" w:rsidP="00E96315" w:rsidRDefault="00E96315" w14:paraId="7A68D410" w14:textId="661B4E09">
      <w:pPr>
        <w:ind w:left="709" w:right="709"/>
        <w:jc w:val="both"/>
        <w:rPr>
          <w:rFonts w:ascii="Arial" w:hAnsi="Arial" w:cs="Arial"/>
          <w:color w:val="000000" w:themeColor="text1"/>
          <w:sz w:val="21"/>
          <w:szCs w:val="21"/>
        </w:rPr>
      </w:pPr>
      <w:r w:rsidRPr="001C75C1">
        <w:rPr>
          <w:rFonts w:ascii="Arial" w:hAnsi="Arial" w:cs="Arial"/>
          <w:color w:val="000000" w:themeColor="text1"/>
          <w:sz w:val="21"/>
          <w:szCs w:val="21"/>
        </w:rPr>
        <w:t xml:space="preserve">Igualmente, se preferirá la propuesta de la mujer víctima de violencia intrafamiliar, la cual acreditará dicha condición de conformidad con el artículo 21 </w:t>
      </w:r>
      <w:r w:rsidRPr="001C75C1">
        <w:rPr>
          <w:rFonts w:ascii="Arial" w:hAnsi="Arial" w:cs="Arial"/>
          <w:color w:val="000000" w:themeColor="text1"/>
          <w:sz w:val="21"/>
          <w:szCs w:val="21"/>
        </w:rPr>
        <w:lastRenderedPageBreak/>
        <w:t>de la Ley 1257 de 2008, esto es, cuando se profiera una medida de protección expedida por la autoridad competente. En virtud del artículo 16 de la Ley 1257 de 2008, la medida de protección la debe impartir el comisario de familia del lugar donde ocurrieron los hechos y, a falta de este, del juez civil municipal o promiscuo municipal, o la autoridad indígena en los casos de violencia intrafamiliar en las comunidades de esta naturaleza.</w:t>
      </w:r>
    </w:p>
    <w:p w:rsidRPr="001C75C1" w:rsidR="008B4215" w:rsidP="00E96315" w:rsidRDefault="008B4215" w14:paraId="0E9E0BE5" w14:textId="77777777">
      <w:pPr>
        <w:ind w:left="709" w:right="709"/>
        <w:jc w:val="both"/>
        <w:rPr>
          <w:rFonts w:ascii="Arial" w:hAnsi="Arial" w:cs="Arial"/>
          <w:color w:val="000000" w:themeColor="text1"/>
          <w:sz w:val="21"/>
          <w:szCs w:val="21"/>
        </w:rPr>
      </w:pPr>
    </w:p>
    <w:p w:rsidRPr="001C75C1" w:rsidR="00E96315" w:rsidP="00E96315" w:rsidRDefault="00E96315" w14:paraId="4D7E0ED7" w14:textId="591ED353">
      <w:pPr>
        <w:ind w:left="709" w:right="709"/>
        <w:jc w:val="both"/>
        <w:rPr>
          <w:rFonts w:ascii="Arial" w:hAnsi="Arial" w:cs="Arial"/>
          <w:color w:val="000000" w:themeColor="text1"/>
          <w:sz w:val="21"/>
          <w:szCs w:val="21"/>
        </w:rPr>
      </w:pPr>
      <w:r w:rsidRPr="001C75C1">
        <w:rPr>
          <w:rFonts w:ascii="Arial" w:hAnsi="Arial" w:cs="Arial"/>
          <w:color w:val="000000" w:themeColor="text1"/>
          <w:sz w:val="21"/>
          <w:szCs w:val="21"/>
        </w:rPr>
        <w:t>En el caso de las personas jurídicas se preferirá a aquellas en las que participen mayoritariamente mujeres cabeza de familia y/o mujeres víctimas de violencia intrafamiliar, para lo cual el representante legal o el revisor fiscal, según corresponda, presentará un certificado, mediante el cual acredita, bajo la gravedad de juramento, que más del cincuenta por ciento (50 %) de la composición accionaria o cuota parte de la persona jurídica está constituida por mujeres cabeza de familia y/o mujeres víctimas de violencia intrafamiliar. Además, deberá acreditar la condición indicada de cada una de las mujeres que participen en la sociedad, aportando los documentos de cada una de ellas, de acuerdo con los dos incisos anteriores.</w:t>
      </w:r>
    </w:p>
    <w:p w:rsidRPr="001C75C1" w:rsidR="002964D5" w:rsidP="00E96315" w:rsidRDefault="002964D5" w14:paraId="56010641" w14:textId="77777777">
      <w:pPr>
        <w:ind w:left="709" w:right="709"/>
        <w:jc w:val="both"/>
        <w:rPr>
          <w:rFonts w:ascii="Arial" w:hAnsi="Arial" w:cs="Arial"/>
          <w:color w:val="000000" w:themeColor="text1"/>
          <w:sz w:val="21"/>
          <w:szCs w:val="21"/>
        </w:rPr>
      </w:pPr>
    </w:p>
    <w:p w:rsidRPr="001C75C1" w:rsidR="00E96315" w:rsidP="00E96315" w:rsidRDefault="00E96315" w14:paraId="6059F25E" w14:textId="00B5B583">
      <w:pPr>
        <w:ind w:left="709" w:right="709"/>
        <w:jc w:val="both"/>
        <w:rPr>
          <w:rFonts w:ascii="Arial" w:hAnsi="Arial" w:cs="Arial"/>
          <w:color w:val="000000" w:themeColor="text1"/>
          <w:sz w:val="21"/>
          <w:szCs w:val="21"/>
        </w:rPr>
      </w:pPr>
      <w:r w:rsidRPr="001C75C1">
        <w:rPr>
          <w:rFonts w:ascii="Arial" w:hAnsi="Arial" w:cs="Arial"/>
          <w:color w:val="000000" w:themeColor="text1"/>
          <w:sz w:val="21"/>
          <w:szCs w:val="21"/>
        </w:rPr>
        <w:t>Finalmente, en el caso de los proponentes plurales, se preferirá la oferta cuando cada uno de los integrantes acredite alguna de las condiciones señaladas en los incisos anteriores de este numeral.</w:t>
      </w:r>
    </w:p>
    <w:p w:rsidRPr="001C75C1" w:rsidR="00E96315" w:rsidP="00E96315" w:rsidRDefault="00E96315" w14:paraId="3DE24762" w14:textId="77777777">
      <w:pPr>
        <w:ind w:left="709" w:right="709"/>
        <w:jc w:val="both"/>
        <w:rPr>
          <w:rFonts w:ascii="Arial" w:hAnsi="Arial" w:cs="Arial"/>
          <w:color w:val="000000" w:themeColor="text1"/>
          <w:sz w:val="21"/>
          <w:szCs w:val="21"/>
        </w:rPr>
      </w:pPr>
    </w:p>
    <w:p w:rsidRPr="001C75C1" w:rsidR="00830879" w:rsidP="008B4215" w:rsidRDefault="00E96315" w14:paraId="14F45C48" w14:textId="7073D545">
      <w:pPr>
        <w:ind w:left="709" w:right="709"/>
        <w:jc w:val="both"/>
        <w:rPr>
          <w:rFonts w:ascii="Arial" w:hAnsi="Arial" w:cs="Arial"/>
          <w:color w:val="000000" w:themeColor="text1"/>
          <w:sz w:val="21"/>
          <w:szCs w:val="21"/>
        </w:rPr>
      </w:pPr>
      <w:r w:rsidRPr="001C75C1">
        <w:rPr>
          <w:rFonts w:ascii="Arial" w:hAnsi="Arial" w:cs="Arial"/>
          <w:color w:val="000000" w:themeColor="text1"/>
          <w:sz w:val="21"/>
          <w:szCs w:val="21"/>
        </w:rPr>
        <w:t>De acuerdo con el artículo 5 de la Ley 1581 de 2012, el titular de la información de estos datos sensibles, como es el caso de las mujeres víctimas de violencia intrafamiliar, deberá autorizar de manera previa y expresa el tratamiento de esta información, en los términos del literal a) del artículo 6 de la precitada Ley, como requisito para el otorgamiento del criterio de desempate.</w:t>
      </w:r>
    </w:p>
    <w:p w:rsidRPr="001C75C1" w:rsidR="002964D5" w:rsidP="002964D5" w:rsidRDefault="002964D5" w14:paraId="13F5DF47" w14:textId="77777777">
      <w:pPr>
        <w:spacing w:line="276" w:lineRule="auto"/>
        <w:ind w:firstLine="709"/>
        <w:jc w:val="both"/>
        <w:rPr>
          <w:rFonts w:ascii="Arial" w:hAnsi="Arial" w:cs="Arial"/>
          <w:sz w:val="22"/>
          <w:lang w:val="es-ES_tradnl"/>
        </w:rPr>
      </w:pPr>
    </w:p>
    <w:p w:rsidRPr="001C75C1" w:rsidR="00271F33" w:rsidP="002964D5" w:rsidRDefault="008108ED" w14:paraId="7D9C0059" w14:textId="0C2403E6">
      <w:pPr>
        <w:spacing w:line="276" w:lineRule="auto"/>
        <w:ind w:firstLine="709"/>
        <w:jc w:val="both"/>
        <w:rPr>
          <w:rFonts w:ascii="Arial" w:hAnsi="Arial" w:cs="Arial"/>
          <w:sz w:val="22"/>
          <w:lang w:val="es-ES_tradnl"/>
        </w:rPr>
      </w:pPr>
      <w:r w:rsidRPr="001C75C1">
        <w:rPr>
          <w:rFonts w:ascii="Arial" w:hAnsi="Arial" w:cs="Arial"/>
          <w:sz w:val="22"/>
          <w:lang w:val="es-ES_tradnl"/>
        </w:rPr>
        <w:t>Por tanto</w:t>
      </w:r>
      <w:r w:rsidRPr="001C75C1" w:rsidR="00646561">
        <w:rPr>
          <w:rFonts w:ascii="Arial" w:hAnsi="Arial" w:cs="Arial"/>
          <w:sz w:val="22"/>
          <w:lang w:val="es-ES_tradnl"/>
        </w:rPr>
        <w:t xml:space="preserve">, </w:t>
      </w:r>
      <w:r w:rsidRPr="001C75C1" w:rsidR="006D22A9">
        <w:rPr>
          <w:rFonts w:ascii="Arial" w:hAnsi="Arial" w:cs="Arial"/>
          <w:sz w:val="22"/>
          <w:lang w:val="es-ES_tradnl"/>
        </w:rPr>
        <w:t>frente a</w:t>
      </w:r>
      <w:r w:rsidRPr="001C75C1" w:rsidR="00646561">
        <w:rPr>
          <w:rFonts w:ascii="Arial" w:hAnsi="Arial" w:cs="Arial"/>
          <w:sz w:val="22"/>
          <w:lang w:val="es-ES_tradnl"/>
        </w:rPr>
        <w:t xml:space="preserve"> la expresión «mayoritariamente»,</w:t>
      </w:r>
      <w:r w:rsidRPr="001C75C1" w:rsidR="00863B02">
        <w:rPr>
          <w:rFonts w:ascii="Arial" w:hAnsi="Arial" w:cs="Arial"/>
          <w:sz w:val="22"/>
          <w:lang w:val="es-ES_tradnl"/>
        </w:rPr>
        <w:t xml:space="preserve"> en concordancia con lo</w:t>
      </w:r>
      <w:r w:rsidRPr="001C75C1" w:rsidR="002964D5">
        <w:rPr>
          <w:rFonts w:ascii="Arial" w:hAnsi="Arial" w:cs="Arial"/>
          <w:sz w:val="22"/>
          <w:lang w:val="es-ES_tradnl"/>
        </w:rPr>
        <w:t xml:space="preserve"> que ya había</w:t>
      </w:r>
      <w:r w:rsidRPr="001C75C1" w:rsidR="00863B02">
        <w:rPr>
          <w:rFonts w:ascii="Arial" w:hAnsi="Arial" w:cs="Arial"/>
          <w:sz w:val="22"/>
          <w:lang w:val="es-ES_tradnl"/>
        </w:rPr>
        <w:t xml:space="preserve"> manifestado esta Subdirección</w:t>
      </w:r>
      <w:r w:rsidRPr="001C75C1" w:rsidR="004A2DDD">
        <w:rPr>
          <w:rFonts w:ascii="Arial" w:hAnsi="Arial" w:cs="Arial"/>
          <w:sz w:val="22"/>
          <w:lang w:val="es-ES_tradnl"/>
        </w:rPr>
        <w:t>, entre otros pronunciamientos,</w:t>
      </w:r>
      <w:r w:rsidRPr="001C75C1" w:rsidR="00863B02">
        <w:rPr>
          <w:rFonts w:ascii="Arial" w:hAnsi="Arial" w:cs="Arial"/>
          <w:sz w:val="22"/>
          <w:lang w:val="es-ES_tradnl"/>
        </w:rPr>
        <w:t xml:space="preserve"> en los conceptos C-272 y C-302 del 9 y el 24 de junio de 2021, respectivamente,</w:t>
      </w:r>
      <w:r w:rsidRPr="001C75C1" w:rsidR="00646561">
        <w:rPr>
          <w:rFonts w:ascii="Arial" w:hAnsi="Arial" w:cs="Arial"/>
          <w:sz w:val="22"/>
          <w:lang w:val="es-ES_tradnl"/>
        </w:rPr>
        <w:t xml:space="preserve"> debe decirse que, si bien </w:t>
      </w:r>
      <w:r w:rsidRPr="001C75C1" w:rsidR="00F378A2">
        <w:rPr>
          <w:rFonts w:ascii="Arial" w:hAnsi="Arial" w:cs="Arial"/>
          <w:sz w:val="22"/>
          <w:lang w:val="es-ES_tradnl"/>
        </w:rPr>
        <w:t>el artículo 35 de la Ley 2069 de 2020</w:t>
      </w:r>
      <w:r w:rsidRPr="001C75C1" w:rsidR="00646561">
        <w:rPr>
          <w:rFonts w:ascii="Arial" w:hAnsi="Arial" w:cs="Arial"/>
          <w:sz w:val="22"/>
          <w:lang w:val="es-ES_tradnl"/>
        </w:rPr>
        <w:t xml:space="preserve"> no definió lo que debe </w:t>
      </w:r>
      <w:r w:rsidRPr="001C75C1" w:rsidR="00F378A2">
        <w:rPr>
          <w:rFonts w:ascii="Arial" w:hAnsi="Arial" w:cs="Arial"/>
          <w:sz w:val="22"/>
          <w:lang w:val="es-ES_tradnl"/>
        </w:rPr>
        <w:t>interpretarse</w:t>
      </w:r>
      <w:r w:rsidRPr="001C75C1" w:rsidR="00646561">
        <w:rPr>
          <w:rFonts w:ascii="Arial" w:hAnsi="Arial" w:cs="Arial"/>
          <w:sz w:val="22"/>
          <w:lang w:val="es-ES_tradnl"/>
        </w:rPr>
        <w:t xml:space="preserve"> por «</w:t>
      </w:r>
      <w:r w:rsidRPr="001C75C1" w:rsidR="00863B02">
        <w:rPr>
          <w:rFonts w:ascii="Arial" w:hAnsi="Arial" w:cs="Arial"/>
          <w:sz w:val="22"/>
          <w:lang w:val="es-ES_tradnl"/>
        </w:rPr>
        <w:t>p</w:t>
      </w:r>
      <w:r w:rsidRPr="001C75C1" w:rsidR="00646561">
        <w:rPr>
          <w:rFonts w:ascii="Arial" w:hAnsi="Arial" w:cs="Arial"/>
          <w:sz w:val="22"/>
          <w:lang w:val="es-ES_tradnl"/>
        </w:rPr>
        <w:t>articipación mayoritaria», se puede afirmar –acorde con el derecho societario– que por esta se entiende</w:t>
      </w:r>
      <w:r w:rsidRPr="001C75C1" w:rsidR="003A4987">
        <w:rPr>
          <w:rFonts w:ascii="Arial" w:hAnsi="Arial" w:cs="Arial"/>
          <w:sz w:val="22"/>
          <w:lang w:val="es-ES_tradnl"/>
        </w:rPr>
        <w:t>, verbigracia</w:t>
      </w:r>
      <w:r w:rsidRPr="001C75C1" w:rsidR="00065C8D">
        <w:rPr>
          <w:rFonts w:ascii="Arial" w:hAnsi="Arial" w:cs="Arial"/>
          <w:sz w:val="22"/>
          <w:lang w:val="es-ES_tradnl"/>
        </w:rPr>
        <w:t xml:space="preserve"> –pero no exclusivamente–</w:t>
      </w:r>
      <w:r w:rsidRPr="001C75C1" w:rsidR="003A4987">
        <w:rPr>
          <w:rFonts w:ascii="Arial" w:hAnsi="Arial" w:cs="Arial"/>
          <w:sz w:val="22"/>
          <w:lang w:val="es-ES_tradnl"/>
        </w:rPr>
        <w:t>, en las sociedades por acciones,</w:t>
      </w:r>
      <w:r w:rsidRPr="001C75C1" w:rsidR="00646561">
        <w:rPr>
          <w:rFonts w:ascii="Arial" w:hAnsi="Arial" w:cs="Arial"/>
          <w:sz w:val="22"/>
          <w:lang w:val="es-ES_tradnl"/>
        </w:rPr>
        <w:t xml:space="preserve"> la posición de un socio cuando tiene más del cincuenta por ciento (50%) de participación en la sociedad. </w:t>
      </w:r>
      <w:r w:rsidRPr="001C75C1" w:rsidR="00154410">
        <w:rPr>
          <w:rFonts w:ascii="Arial" w:hAnsi="Arial" w:cs="Arial"/>
          <w:sz w:val="22"/>
          <w:lang w:val="es-ES_tradnl"/>
        </w:rPr>
        <w:t xml:space="preserve">Esto es lo que dice el </w:t>
      </w:r>
      <w:r w:rsidRPr="001C75C1" w:rsidR="00271F33">
        <w:rPr>
          <w:rFonts w:ascii="Arial" w:hAnsi="Arial" w:cs="Arial"/>
          <w:sz w:val="22"/>
          <w:lang w:val="es-ES_tradnl"/>
        </w:rPr>
        <w:t xml:space="preserve">tercer </w:t>
      </w:r>
      <w:r w:rsidRPr="001C75C1" w:rsidR="00154410">
        <w:rPr>
          <w:rFonts w:ascii="Arial" w:hAnsi="Arial" w:cs="Arial"/>
          <w:sz w:val="22"/>
          <w:lang w:val="es-ES_tradnl"/>
        </w:rPr>
        <w:t>inciso</w:t>
      </w:r>
      <w:r w:rsidRPr="001C75C1" w:rsidR="00271F33">
        <w:rPr>
          <w:rFonts w:ascii="Arial" w:hAnsi="Arial" w:cs="Arial"/>
          <w:sz w:val="22"/>
          <w:lang w:val="es-ES_tradnl"/>
        </w:rPr>
        <w:t xml:space="preserve"> del artículo citado con anterioridad, cuando dispone:</w:t>
      </w:r>
    </w:p>
    <w:p w:rsidRPr="001C75C1" w:rsidR="00271F33" w:rsidP="002964D5" w:rsidRDefault="00271F33" w14:paraId="275FFE0A" w14:textId="77777777">
      <w:pPr>
        <w:spacing w:line="276" w:lineRule="auto"/>
        <w:ind w:firstLine="709"/>
        <w:jc w:val="both"/>
        <w:rPr>
          <w:rFonts w:ascii="Arial" w:hAnsi="Arial" w:cs="Arial"/>
          <w:sz w:val="22"/>
          <w:lang w:val="es-ES_tradnl"/>
        </w:rPr>
      </w:pPr>
    </w:p>
    <w:p w:rsidRPr="001C75C1" w:rsidR="00154410" w:rsidP="00271F33" w:rsidRDefault="00271F33" w14:paraId="1C160523" w14:textId="276CE713">
      <w:pPr>
        <w:ind w:left="709" w:right="709"/>
        <w:jc w:val="both"/>
        <w:rPr>
          <w:rFonts w:ascii="Arial" w:hAnsi="Arial" w:cs="Arial"/>
          <w:color w:val="000000" w:themeColor="text1"/>
          <w:sz w:val="21"/>
          <w:szCs w:val="21"/>
        </w:rPr>
      </w:pPr>
      <w:r w:rsidRPr="001C75C1">
        <w:rPr>
          <w:rFonts w:ascii="Arial" w:hAnsi="Arial" w:cs="Arial"/>
          <w:color w:val="000000" w:themeColor="text1"/>
          <w:sz w:val="21"/>
          <w:szCs w:val="21"/>
        </w:rPr>
        <w:t xml:space="preserve">En el caso de las personas jurídicas se preferirá a aquellas en las que participen mayoritariamente mujeres cabeza de familia y/o mujeres víctimas de violencia intrafamiliar, para lo cual el representante legal o el revisor fiscal, según corresponda, presentará un certificado, mediante el cual acredita, bajo la gravedad de juramento, </w:t>
      </w:r>
      <w:r w:rsidRPr="001C75C1">
        <w:rPr>
          <w:rFonts w:ascii="Arial" w:hAnsi="Arial" w:cs="Arial"/>
          <w:i/>
          <w:iCs/>
          <w:color w:val="000000" w:themeColor="text1"/>
          <w:sz w:val="21"/>
          <w:szCs w:val="21"/>
        </w:rPr>
        <w:t>que más del cincuenta por ciento (50 %) de la composición accionaria o cuota parte</w:t>
      </w:r>
      <w:r w:rsidRPr="001C75C1">
        <w:rPr>
          <w:rFonts w:ascii="Arial" w:hAnsi="Arial" w:cs="Arial"/>
          <w:color w:val="000000" w:themeColor="text1"/>
          <w:sz w:val="21"/>
          <w:szCs w:val="21"/>
        </w:rPr>
        <w:t xml:space="preserve"> de la persona jurídica está constituida por mujeres cabeza de familia y/o mujeres víctimas de violencia intrafamiliar.</w:t>
      </w:r>
      <w:r w:rsidRPr="001C75C1" w:rsidR="007738CF">
        <w:rPr>
          <w:rFonts w:ascii="Arial" w:hAnsi="Arial" w:cs="Arial"/>
          <w:color w:val="000000" w:themeColor="text1"/>
          <w:sz w:val="21"/>
          <w:szCs w:val="21"/>
        </w:rPr>
        <w:t xml:space="preserve"> </w:t>
      </w:r>
      <w:r w:rsidRPr="001C75C1">
        <w:rPr>
          <w:rFonts w:ascii="Arial" w:hAnsi="Arial" w:cs="Arial"/>
          <w:color w:val="000000" w:themeColor="text1"/>
          <w:sz w:val="21"/>
          <w:szCs w:val="21"/>
        </w:rPr>
        <w:t xml:space="preserve">Además, deberá acreditar la condición indicada de cada una de las mujeres que </w:t>
      </w:r>
      <w:r w:rsidRPr="001C75C1">
        <w:rPr>
          <w:rFonts w:ascii="Arial" w:hAnsi="Arial" w:cs="Arial"/>
          <w:color w:val="000000" w:themeColor="text1"/>
          <w:sz w:val="21"/>
          <w:szCs w:val="21"/>
        </w:rPr>
        <w:lastRenderedPageBreak/>
        <w:t>participen en la sociedad, aportando los documentos de cada una de ellas, de acuerdo con los dos incisos anteriores.</w:t>
      </w:r>
      <w:r w:rsidRPr="001C75C1" w:rsidR="007738CF">
        <w:rPr>
          <w:rFonts w:ascii="Arial" w:hAnsi="Arial" w:cs="Arial"/>
          <w:color w:val="000000" w:themeColor="text1"/>
          <w:sz w:val="21"/>
          <w:szCs w:val="21"/>
        </w:rPr>
        <w:t xml:space="preserve"> (Énfasis fuera de texto).</w:t>
      </w:r>
    </w:p>
    <w:p w:rsidRPr="001C75C1" w:rsidR="00271F33" w:rsidP="002964D5" w:rsidRDefault="00271F33" w14:paraId="7E45599B" w14:textId="77777777">
      <w:pPr>
        <w:spacing w:line="276" w:lineRule="auto"/>
        <w:ind w:firstLine="709"/>
        <w:jc w:val="both"/>
        <w:rPr>
          <w:rFonts w:ascii="Arial" w:hAnsi="Arial" w:cs="Arial"/>
          <w:sz w:val="22"/>
          <w:lang w:val="es-ES_tradnl"/>
        </w:rPr>
      </w:pPr>
    </w:p>
    <w:p w:rsidRPr="001C75C1" w:rsidR="00065C8D" w:rsidP="00B03B87" w:rsidRDefault="00646561" w14:paraId="2BDFD65A" w14:textId="54B6F347">
      <w:pPr>
        <w:spacing w:line="276" w:lineRule="auto"/>
        <w:ind w:firstLine="709"/>
        <w:jc w:val="both"/>
        <w:rPr>
          <w:rFonts w:ascii="Arial" w:hAnsi="Arial" w:cs="Arial"/>
          <w:sz w:val="22"/>
          <w:lang w:val="es-ES_tradnl"/>
        </w:rPr>
      </w:pPr>
      <w:r w:rsidRPr="001C75C1">
        <w:rPr>
          <w:rFonts w:ascii="Arial" w:hAnsi="Arial" w:cs="Arial"/>
          <w:sz w:val="22"/>
          <w:lang w:val="es-ES_tradnl"/>
        </w:rPr>
        <w:t xml:space="preserve">Conforme a lo anterior, la expresión «mayoritariamente», contenida en el numeral 2 del artículo 35 de la </w:t>
      </w:r>
      <w:r w:rsidRPr="001C75C1" w:rsidR="00297AB0">
        <w:rPr>
          <w:rFonts w:ascii="Arial" w:hAnsi="Arial" w:cs="Arial"/>
          <w:sz w:val="22"/>
          <w:lang w:val="es-ES_tradnl"/>
        </w:rPr>
        <w:t>L</w:t>
      </w:r>
      <w:r w:rsidRPr="001C75C1">
        <w:rPr>
          <w:rFonts w:ascii="Arial" w:hAnsi="Arial" w:cs="Arial"/>
          <w:sz w:val="22"/>
          <w:lang w:val="es-ES_tradnl"/>
        </w:rPr>
        <w:t xml:space="preserve">ey 2069 de 2020 exige que las mujeres cabeza de familia o mujeres víctimas de la violencia intrafamiliar cuenten –singular o conjuntamente– con una participación superior al (50%) en la sociedad, para que esta pueda ser considerada como mayoritaria. </w:t>
      </w:r>
      <w:r w:rsidRPr="001C75C1" w:rsidR="00B03B87">
        <w:rPr>
          <w:rFonts w:ascii="Arial" w:hAnsi="Arial" w:cs="Arial"/>
          <w:sz w:val="22"/>
          <w:lang w:val="es-ES_tradnl"/>
        </w:rPr>
        <w:t xml:space="preserve">Además, se precisa que </w:t>
      </w:r>
      <w:r w:rsidRPr="001C75C1" w:rsidR="006B10EF">
        <w:rPr>
          <w:rFonts w:ascii="Arial" w:hAnsi="Arial" w:cs="Arial"/>
          <w:sz w:val="22"/>
          <w:lang w:val="es-ES_tradnl"/>
        </w:rPr>
        <w:t xml:space="preserve">el carácter </w:t>
      </w:r>
      <w:r w:rsidRPr="001C75C1" w:rsidR="006B10EF">
        <w:rPr>
          <w:rFonts w:ascii="Arial" w:hAnsi="Arial" w:cs="Arial"/>
          <w:i/>
          <w:iCs/>
          <w:sz w:val="22"/>
          <w:lang w:val="es-ES_tradnl"/>
        </w:rPr>
        <w:t>mayoritario</w:t>
      </w:r>
      <w:r w:rsidRPr="001C75C1" w:rsidR="006B10EF">
        <w:rPr>
          <w:rFonts w:ascii="Arial" w:hAnsi="Arial" w:cs="Arial"/>
          <w:sz w:val="22"/>
          <w:lang w:val="es-ES_tradnl"/>
        </w:rPr>
        <w:t xml:space="preserve"> de la </w:t>
      </w:r>
      <w:r w:rsidRPr="001C75C1" w:rsidR="006B10EF">
        <w:rPr>
          <w:rFonts w:ascii="Arial" w:hAnsi="Arial" w:cs="Arial"/>
          <w:i/>
          <w:iCs/>
          <w:sz w:val="22"/>
          <w:lang w:val="es-ES_tradnl"/>
        </w:rPr>
        <w:t>participación</w:t>
      </w:r>
      <w:r w:rsidRPr="001C75C1" w:rsidR="00065C8D">
        <w:rPr>
          <w:rFonts w:ascii="Arial" w:hAnsi="Arial" w:cs="Arial"/>
          <w:sz w:val="22"/>
          <w:lang w:val="es-ES_tradnl"/>
        </w:rPr>
        <w:t xml:space="preserve"> de la</w:t>
      </w:r>
      <w:r w:rsidRPr="001C75C1" w:rsidR="002E6BF3">
        <w:rPr>
          <w:rFonts w:ascii="Arial" w:hAnsi="Arial" w:cs="Arial"/>
          <w:sz w:val="22"/>
          <w:lang w:val="es-ES_tradnl"/>
        </w:rPr>
        <w:t>s</w:t>
      </w:r>
      <w:r w:rsidRPr="001C75C1" w:rsidR="00065C8D">
        <w:rPr>
          <w:rFonts w:ascii="Arial" w:hAnsi="Arial" w:cs="Arial"/>
          <w:sz w:val="22"/>
          <w:lang w:val="es-ES_tradnl"/>
        </w:rPr>
        <w:t xml:space="preserve"> mujer</w:t>
      </w:r>
      <w:r w:rsidRPr="001C75C1" w:rsidR="002E6BF3">
        <w:rPr>
          <w:rFonts w:ascii="Arial" w:hAnsi="Arial" w:cs="Arial"/>
          <w:sz w:val="22"/>
          <w:lang w:val="es-ES_tradnl"/>
        </w:rPr>
        <w:t>es</w:t>
      </w:r>
      <w:r w:rsidRPr="001C75C1" w:rsidR="00065C8D">
        <w:rPr>
          <w:rFonts w:ascii="Arial" w:hAnsi="Arial" w:cs="Arial"/>
          <w:sz w:val="22"/>
          <w:lang w:val="es-ES_tradnl"/>
        </w:rPr>
        <w:t xml:space="preserve"> cabeza de familia y de las mujeres víctimas de la violencia intrafamiliar no se predica exclusivamente de las sociedades por acciones, pues el artículo </w:t>
      </w:r>
      <w:r w:rsidRPr="001C75C1" w:rsidR="00DE40B0">
        <w:rPr>
          <w:rFonts w:ascii="Arial" w:hAnsi="Arial" w:cs="Arial"/>
          <w:sz w:val="22"/>
          <w:lang w:val="es-ES_tradnl"/>
        </w:rPr>
        <w:t xml:space="preserve">35, numeral 2, de la Ley 2069 de 2020, se refiere, de manera genérica, a la participación mayoritaria, en una </w:t>
      </w:r>
      <w:r w:rsidRPr="001C75C1" w:rsidR="00DE40B0">
        <w:rPr>
          <w:rFonts w:ascii="Arial" w:hAnsi="Arial" w:cs="Arial"/>
          <w:i/>
          <w:iCs/>
          <w:sz w:val="22"/>
          <w:lang w:val="es-ES_tradnl"/>
        </w:rPr>
        <w:t>persona jurídica</w:t>
      </w:r>
      <w:r w:rsidRPr="001C75C1" w:rsidR="00DE40B0">
        <w:rPr>
          <w:rFonts w:ascii="Arial" w:hAnsi="Arial" w:cs="Arial"/>
          <w:sz w:val="22"/>
          <w:lang w:val="es-ES_tradnl"/>
        </w:rPr>
        <w:t>, concepto que define el artículo 633 del Código Civil de la siguiente manera: «Se llama persona jurídica, una persona ficticia, capaz de ejercer derechos y contraer obligaciones civiles, y de ser representada judicial y extrajudicialmente»</w:t>
      </w:r>
      <w:r w:rsidRPr="001C75C1" w:rsidR="00222F7B">
        <w:rPr>
          <w:rFonts w:ascii="Arial" w:hAnsi="Arial" w:cs="Arial"/>
          <w:sz w:val="22"/>
          <w:lang w:val="es-ES_tradnl"/>
        </w:rPr>
        <w:t>. Esta norma señala</w:t>
      </w:r>
      <w:r w:rsidRPr="001C75C1" w:rsidR="00F94046">
        <w:rPr>
          <w:rFonts w:ascii="Arial" w:hAnsi="Arial" w:cs="Arial"/>
          <w:sz w:val="22"/>
          <w:lang w:val="es-ES_tradnl"/>
        </w:rPr>
        <w:t>,</w:t>
      </w:r>
      <w:r w:rsidRPr="001C75C1" w:rsidR="00222F7B">
        <w:rPr>
          <w:rFonts w:ascii="Arial" w:hAnsi="Arial" w:cs="Arial"/>
          <w:sz w:val="22"/>
          <w:lang w:val="es-ES_tradnl"/>
        </w:rPr>
        <w:t xml:space="preserve"> a su vez</w:t>
      </w:r>
      <w:r w:rsidRPr="001C75C1" w:rsidR="00F94046">
        <w:rPr>
          <w:rFonts w:ascii="Arial" w:hAnsi="Arial" w:cs="Arial"/>
          <w:sz w:val="22"/>
          <w:lang w:val="es-ES_tradnl"/>
        </w:rPr>
        <w:t>,</w:t>
      </w:r>
      <w:r w:rsidRPr="001C75C1" w:rsidR="00222F7B">
        <w:rPr>
          <w:rFonts w:ascii="Arial" w:hAnsi="Arial" w:cs="Arial"/>
          <w:sz w:val="22"/>
          <w:lang w:val="es-ES_tradnl"/>
        </w:rPr>
        <w:t xml:space="preserve"> que «Las personas jurídicas son de dos especies: corporaciones y fundaciones de beneficencia pública».</w:t>
      </w:r>
      <w:r w:rsidRPr="001C75C1" w:rsidR="00832464">
        <w:rPr>
          <w:rFonts w:ascii="Arial" w:hAnsi="Arial" w:cs="Arial"/>
          <w:color w:val="000000" w:themeColor="text1"/>
          <w:sz w:val="22"/>
        </w:rPr>
        <w:t xml:space="preserve"> </w:t>
      </w:r>
      <w:r w:rsidRPr="001C75C1" w:rsidR="007E60FB">
        <w:rPr>
          <w:rFonts w:ascii="Arial" w:hAnsi="Arial" w:cs="Arial"/>
          <w:color w:val="000000" w:themeColor="text1"/>
          <w:sz w:val="22"/>
        </w:rPr>
        <w:t>Por tanto, la participación mayoritaria puede ser medida en acciones o cuotas parte, según el tipo de sociedad.</w:t>
      </w:r>
    </w:p>
    <w:p w:rsidRPr="001C75C1" w:rsidR="0073746D" w:rsidP="004D1C27" w:rsidRDefault="0073746D" w14:paraId="303B20FD" w14:textId="77777777">
      <w:pPr>
        <w:spacing w:line="276" w:lineRule="auto"/>
        <w:jc w:val="both"/>
        <w:rPr>
          <w:rFonts w:ascii="Arial" w:hAnsi="Arial" w:cs="Arial"/>
          <w:color w:val="000000" w:themeColor="text1"/>
          <w:sz w:val="22"/>
          <w:szCs w:val="22"/>
        </w:rPr>
      </w:pPr>
    </w:p>
    <w:p w:rsidRPr="001C75C1" w:rsidR="00DD5B04" w:rsidP="004D1C27" w:rsidRDefault="004177A6" w14:paraId="37CA9805" w14:textId="0A56C02E">
      <w:pPr>
        <w:spacing w:line="276" w:lineRule="auto"/>
        <w:jc w:val="both"/>
        <w:rPr>
          <w:rFonts w:ascii="Arial" w:hAnsi="Arial" w:cs="Arial"/>
          <w:color w:val="000000" w:themeColor="text1"/>
          <w:sz w:val="22"/>
          <w:lang w:val="es-ES_tradnl"/>
        </w:rPr>
      </w:pPr>
      <w:r w:rsidRPr="001C75C1">
        <w:rPr>
          <w:rFonts w:ascii="Arial" w:hAnsi="Arial" w:eastAsia="Calibri" w:cs="Arial"/>
          <w:b/>
          <w:color w:val="000000" w:themeColor="text1"/>
          <w:sz w:val="22"/>
          <w:lang w:val="es-ES_tradnl"/>
        </w:rPr>
        <w:t>3</w:t>
      </w:r>
      <w:r w:rsidRPr="001C75C1" w:rsidR="00B011A9">
        <w:rPr>
          <w:rFonts w:ascii="Arial" w:hAnsi="Arial" w:eastAsia="Calibri" w:cs="Arial"/>
          <w:b/>
          <w:color w:val="000000" w:themeColor="text1"/>
          <w:sz w:val="22"/>
          <w:lang w:val="es-ES_tradnl"/>
        </w:rPr>
        <w:t xml:space="preserve">. </w:t>
      </w:r>
      <w:r w:rsidRPr="001C75C1" w:rsidR="00DD5B04">
        <w:rPr>
          <w:rFonts w:ascii="Arial" w:hAnsi="Arial" w:eastAsia="Calibri" w:cs="Arial"/>
          <w:b/>
          <w:color w:val="000000" w:themeColor="text1"/>
          <w:sz w:val="22"/>
          <w:lang w:val="es-ES_tradnl"/>
        </w:rPr>
        <w:t>Respuest</w:t>
      </w:r>
      <w:r w:rsidRPr="001C75C1" w:rsidR="00BF0E64">
        <w:rPr>
          <w:rFonts w:ascii="Arial" w:hAnsi="Arial" w:eastAsia="Calibri" w:cs="Arial"/>
          <w:b/>
          <w:color w:val="000000" w:themeColor="text1"/>
          <w:sz w:val="22"/>
          <w:lang w:val="es-ES_tradnl"/>
        </w:rPr>
        <w:t>a</w:t>
      </w:r>
    </w:p>
    <w:p w:rsidRPr="001C75C1" w:rsidR="00C4581D" w:rsidP="00510DE9" w:rsidRDefault="00C4581D" w14:paraId="0B74D5B8" w14:textId="59C73EB8">
      <w:pPr>
        <w:tabs>
          <w:tab w:val="left" w:pos="0"/>
        </w:tabs>
        <w:jc w:val="both"/>
        <w:rPr>
          <w:rFonts w:ascii="Arial" w:hAnsi="Arial" w:eastAsia="Calibri" w:cs="Arial"/>
          <w:color w:val="000000" w:themeColor="text1"/>
          <w:sz w:val="22"/>
          <w:lang w:val="es-ES_tradnl"/>
        </w:rPr>
      </w:pPr>
    </w:p>
    <w:p w:rsidRPr="001C75C1" w:rsidR="00081741" w:rsidP="00081741" w:rsidRDefault="00081741" w14:paraId="371473EE" w14:textId="77777777">
      <w:pPr>
        <w:ind w:left="709" w:right="709"/>
        <w:jc w:val="both"/>
        <w:rPr>
          <w:rFonts w:ascii="Arial" w:hAnsi="Arial" w:eastAsia="Calibri" w:cs="Arial"/>
          <w:color w:val="000000" w:themeColor="text1"/>
          <w:sz w:val="21"/>
          <w:szCs w:val="21"/>
          <w:lang w:val="es-ES_tradnl"/>
        </w:rPr>
      </w:pPr>
      <w:r w:rsidRPr="001C75C1">
        <w:rPr>
          <w:rFonts w:ascii="Arial" w:hAnsi="Arial" w:eastAsia="Calibri" w:cs="Arial"/>
          <w:color w:val="000000" w:themeColor="text1"/>
          <w:sz w:val="21"/>
          <w:szCs w:val="21"/>
          <w:lang w:val="es-ES_tradnl"/>
        </w:rPr>
        <w:t>«Solicito de manera atenta se me indique cuál es el alcance que se debe dar al texto resaltado, en el sentido de determinar si esa participación mayoritaria corresponde necesariamente a una participación igual o superior al 51% de la composición accionaria, o si debe entenderse como la participación que implique el mayor número de acciones dentro de la composición accionaria, sin que necesariamente signifique que deba tener el 51% o más de la participación».</w:t>
      </w:r>
    </w:p>
    <w:p w:rsidRPr="001C75C1" w:rsidR="00CE5168" w:rsidP="00EC3BC1" w:rsidRDefault="00CE5168" w14:paraId="0F196703" w14:textId="77777777">
      <w:pPr>
        <w:ind w:left="709" w:right="709"/>
        <w:jc w:val="both"/>
        <w:rPr>
          <w:rFonts w:ascii="Arial" w:hAnsi="Arial" w:cs="Arial"/>
          <w:color w:val="000000" w:themeColor="text1"/>
          <w:sz w:val="21"/>
          <w:szCs w:val="21"/>
          <w:lang w:val="es-ES_tradnl"/>
        </w:rPr>
      </w:pPr>
    </w:p>
    <w:p w:rsidRPr="001C75C1" w:rsidR="007C1E39" w:rsidP="00601FE7" w:rsidRDefault="00AC5918" w14:paraId="2959C2FF" w14:textId="77777777">
      <w:pPr>
        <w:spacing w:before="120" w:line="276" w:lineRule="auto"/>
        <w:jc w:val="both"/>
        <w:rPr>
          <w:rFonts w:ascii="Arial" w:hAnsi="Arial" w:cs="Arial"/>
          <w:color w:val="000000" w:themeColor="text1"/>
          <w:sz w:val="22"/>
          <w:szCs w:val="22"/>
          <w:lang w:val="es-ES_tradnl"/>
        </w:rPr>
      </w:pPr>
      <w:r w:rsidRPr="001C75C1">
        <w:rPr>
          <w:rFonts w:ascii="Arial" w:hAnsi="Arial" w:eastAsia="Calibri" w:cs="Arial"/>
          <w:color w:val="000000" w:themeColor="text1"/>
          <w:sz w:val="22"/>
          <w:szCs w:val="22"/>
          <w:lang w:val="es-ES_tradnl"/>
        </w:rPr>
        <w:t>E</w:t>
      </w:r>
      <w:r w:rsidRPr="001C75C1">
        <w:rPr>
          <w:rFonts w:ascii="Arial" w:hAnsi="Arial" w:cs="Arial"/>
          <w:color w:val="000000" w:themeColor="text1"/>
          <w:sz w:val="22"/>
          <w:szCs w:val="22"/>
          <w:lang w:val="es-ES_tradnl"/>
        </w:rPr>
        <w:t xml:space="preserve">l artículo 35, numeral 2, de la Ley 2069 de 2020 utiliza un concepto jurídico indeterminado, cuando se refiere a la participación </w:t>
      </w:r>
      <w:r w:rsidRPr="001C75C1">
        <w:rPr>
          <w:rFonts w:ascii="Arial" w:hAnsi="Arial" w:cs="Arial"/>
          <w:i/>
          <w:iCs/>
          <w:color w:val="000000" w:themeColor="text1"/>
          <w:sz w:val="22"/>
          <w:szCs w:val="22"/>
          <w:lang w:val="es-ES_tradnl"/>
        </w:rPr>
        <w:t>mayoritaria</w:t>
      </w:r>
      <w:r w:rsidRPr="001C75C1">
        <w:rPr>
          <w:rFonts w:ascii="Arial" w:hAnsi="Arial" w:cs="Arial"/>
          <w:color w:val="000000" w:themeColor="text1"/>
          <w:sz w:val="22"/>
          <w:szCs w:val="22"/>
          <w:lang w:val="es-ES_tradnl"/>
        </w:rPr>
        <w:t xml:space="preserve"> de las mujeres cabeza de familia o mujeres víctimas de la violencia intrafamiliar en la persona jurídica o en el proponente plural. Sin embargo, esto lo aclaró el artículo 3 del Decreto 1860 de 2021, que adicionó el artículo 2.2.1.2.4.2.17. al Decreto 1082 de 2015, reglamentando así el artículo 35 de la Ley 2069 de 2020, frente al alcance de los factores de desempate.</w:t>
      </w:r>
      <w:r w:rsidRPr="001C75C1" w:rsidR="00601FE7">
        <w:rPr>
          <w:rFonts w:ascii="Arial" w:hAnsi="Arial" w:cs="Arial"/>
          <w:color w:val="000000" w:themeColor="text1"/>
          <w:sz w:val="22"/>
          <w:szCs w:val="22"/>
          <w:lang w:val="es-ES_tradnl"/>
        </w:rPr>
        <w:t xml:space="preserve"> </w:t>
      </w:r>
    </w:p>
    <w:p w:rsidRPr="001C75C1" w:rsidR="00AC5918" w:rsidP="007C1E39" w:rsidRDefault="00601FE7" w14:paraId="11EEDCD1" w14:textId="6C5A8599">
      <w:pPr>
        <w:spacing w:before="120" w:line="276" w:lineRule="auto"/>
        <w:ind w:firstLine="709"/>
        <w:jc w:val="both"/>
        <w:rPr>
          <w:rFonts w:ascii="Arial" w:hAnsi="Arial" w:cs="Arial"/>
          <w:sz w:val="22"/>
          <w:szCs w:val="22"/>
          <w:lang w:val="es-ES_tradnl"/>
        </w:rPr>
      </w:pPr>
      <w:r w:rsidRPr="001C75C1">
        <w:rPr>
          <w:rFonts w:ascii="Arial" w:hAnsi="Arial" w:cs="Arial"/>
          <w:color w:val="000000" w:themeColor="text1"/>
          <w:sz w:val="22"/>
          <w:szCs w:val="22"/>
          <w:lang w:val="es-ES_tradnl"/>
        </w:rPr>
        <w:t xml:space="preserve">Acorde con el artículo 2.2.1.2.4.2.17., </w:t>
      </w:r>
      <w:r w:rsidRPr="001C75C1">
        <w:rPr>
          <w:rFonts w:ascii="Arial" w:hAnsi="Arial" w:cs="Arial"/>
          <w:sz w:val="22"/>
          <w:szCs w:val="22"/>
          <w:lang w:val="es-ES_tradnl"/>
        </w:rPr>
        <w:t>s</w:t>
      </w:r>
      <w:r w:rsidRPr="001C75C1" w:rsidR="00AC5918">
        <w:rPr>
          <w:rFonts w:ascii="Arial" w:hAnsi="Arial" w:cs="Arial"/>
          <w:sz w:val="22"/>
          <w:szCs w:val="22"/>
          <w:lang w:val="es-ES_tradnl"/>
        </w:rPr>
        <w:t xml:space="preserve">e puede afirmar que por </w:t>
      </w:r>
      <w:r w:rsidRPr="001C75C1">
        <w:rPr>
          <w:rFonts w:ascii="Arial" w:hAnsi="Arial" w:cs="Arial"/>
          <w:sz w:val="22"/>
          <w:szCs w:val="22"/>
          <w:lang w:val="es-ES_tradnl"/>
        </w:rPr>
        <w:t>participación mayoritaria</w:t>
      </w:r>
      <w:r w:rsidRPr="001C75C1" w:rsidR="00AC5918">
        <w:rPr>
          <w:rFonts w:ascii="Arial" w:hAnsi="Arial" w:cs="Arial"/>
          <w:sz w:val="22"/>
          <w:szCs w:val="22"/>
          <w:lang w:val="es-ES_tradnl"/>
        </w:rPr>
        <w:t xml:space="preserve"> se entiende, verbigracia –pero no exclusivamente–, en las sociedades por acciones, la posición de un socio cuando tiene más del cincuenta por ciento (50%) de participación en la sociedad. Esto es lo que </w:t>
      </w:r>
      <w:r w:rsidRPr="001C75C1" w:rsidR="002E6BF3">
        <w:rPr>
          <w:rFonts w:ascii="Arial" w:hAnsi="Arial" w:cs="Arial"/>
          <w:sz w:val="22"/>
          <w:szCs w:val="22"/>
          <w:lang w:val="es-ES_tradnl"/>
        </w:rPr>
        <w:t xml:space="preserve">establece </w:t>
      </w:r>
      <w:r w:rsidRPr="001C75C1" w:rsidR="00AC5918">
        <w:rPr>
          <w:rFonts w:ascii="Arial" w:hAnsi="Arial" w:cs="Arial"/>
          <w:sz w:val="22"/>
          <w:szCs w:val="22"/>
          <w:lang w:val="es-ES_tradnl"/>
        </w:rPr>
        <w:t xml:space="preserve">el tercer inciso del artículo </w:t>
      </w:r>
      <w:r w:rsidRPr="001C75C1" w:rsidR="00455D73">
        <w:rPr>
          <w:rFonts w:ascii="Arial" w:hAnsi="Arial" w:cs="Arial"/>
          <w:sz w:val="22"/>
          <w:szCs w:val="22"/>
          <w:lang w:val="es-ES_tradnl"/>
        </w:rPr>
        <w:t>mencionado</w:t>
      </w:r>
      <w:r w:rsidRPr="001C75C1" w:rsidR="00AC5918">
        <w:rPr>
          <w:rFonts w:ascii="Arial" w:hAnsi="Arial" w:cs="Arial"/>
          <w:sz w:val="22"/>
          <w:szCs w:val="22"/>
          <w:lang w:val="es-ES_tradnl"/>
        </w:rPr>
        <w:t xml:space="preserve"> cuando dispone</w:t>
      </w:r>
      <w:r w:rsidRPr="001C75C1">
        <w:rPr>
          <w:rFonts w:ascii="Arial" w:hAnsi="Arial" w:cs="Arial"/>
          <w:sz w:val="22"/>
          <w:szCs w:val="22"/>
          <w:lang w:val="es-ES_tradnl"/>
        </w:rPr>
        <w:t xml:space="preserve"> que «</w:t>
      </w:r>
      <w:r w:rsidRPr="001C75C1" w:rsidR="00AC5918">
        <w:rPr>
          <w:rFonts w:ascii="Arial" w:hAnsi="Arial" w:cs="Arial"/>
          <w:color w:val="000000" w:themeColor="text1"/>
          <w:sz w:val="22"/>
          <w:szCs w:val="22"/>
        </w:rPr>
        <w:t xml:space="preserve">En el caso de las personas jurídicas se preferirá a aquellas en las que participen mayoritariamente mujeres cabeza de familia y/o mujeres víctimas de violencia intrafamiliar, para lo cual el representante legal o el revisor fiscal, según corresponda, presentará un certificado, mediante el cual acredita, bajo la gravedad </w:t>
      </w:r>
      <w:r w:rsidRPr="001C75C1" w:rsidR="00AC5918">
        <w:rPr>
          <w:rFonts w:ascii="Arial" w:hAnsi="Arial" w:cs="Arial"/>
          <w:color w:val="000000" w:themeColor="text1"/>
          <w:sz w:val="22"/>
          <w:szCs w:val="22"/>
        </w:rPr>
        <w:lastRenderedPageBreak/>
        <w:t xml:space="preserve">de juramento, </w:t>
      </w:r>
      <w:r w:rsidRPr="001C75C1" w:rsidR="00AC5918">
        <w:rPr>
          <w:rFonts w:ascii="Arial" w:hAnsi="Arial" w:cs="Arial"/>
          <w:i/>
          <w:iCs/>
          <w:color w:val="000000" w:themeColor="text1"/>
          <w:sz w:val="22"/>
          <w:szCs w:val="22"/>
        </w:rPr>
        <w:t>que más del cincuenta por ciento (50 %) de la composición accionaria o cuota parte</w:t>
      </w:r>
      <w:r w:rsidRPr="001C75C1" w:rsidR="00AC5918">
        <w:rPr>
          <w:rFonts w:ascii="Arial" w:hAnsi="Arial" w:cs="Arial"/>
          <w:color w:val="000000" w:themeColor="text1"/>
          <w:sz w:val="22"/>
          <w:szCs w:val="22"/>
        </w:rPr>
        <w:t xml:space="preserve"> de la persona jurídica está constituida por mujeres cabeza de familia y/o mujeres víctimas de violencia intrafamiliar.</w:t>
      </w:r>
      <w:r w:rsidRPr="001C75C1">
        <w:rPr>
          <w:rFonts w:ascii="Arial" w:hAnsi="Arial" w:cs="Arial"/>
          <w:color w:val="000000" w:themeColor="text1"/>
          <w:sz w:val="22"/>
          <w:szCs w:val="22"/>
        </w:rPr>
        <w:t xml:space="preserve"> […]» </w:t>
      </w:r>
      <w:r w:rsidRPr="001C75C1" w:rsidR="00AC5918">
        <w:rPr>
          <w:rFonts w:ascii="Arial" w:hAnsi="Arial" w:cs="Arial"/>
          <w:color w:val="000000" w:themeColor="text1"/>
          <w:sz w:val="22"/>
          <w:szCs w:val="22"/>
        </w:rPr>
        <w:t>(Énfasis fuera de texto).</w:t>
      </w:r>
      <w:r w:rsidRPr="001C75C1" w:rsidR="002E6BF3">
        <w:rPr>
          <w:rFonts w:ascii="Arial" w:hAnsi="Arial" w:cs="Arial"/>
          <w:color w:val="000000" w:themeColor="text1"/>
          <w:sz w:val="22"/>
          <w:szCs w:val="22"/>
        </w:rPr>
        <w:t xml:space="preserve"> </w:t>
      </w:r>
      <w:r w:rsidRPr="001C75C1" w:rsidR="002E6BF3">
        <w:rPr>
          <w:rFonts w:ascii="Arial" w:hAnsi="Arial" w:cs="Arial"/>
          <w:sz w:val="22"/>
        </w:rPr>
        <w:t>De esta manera, la</w:t>
      </w:r>
      <w:r w:rsidRPr="001C75C1" w:rsidR="002E6BF3">
        <w:rPr>
          <w:rFonts w:ascii="Arial" w:hAnsi="Arial" w:cs="Arial"/>
          <w:sz w:val="22"/>
          <w:lang w:val="es-ES_tradnl"/>
        </w:rPr>
        <w:t xml:space="preserve"> expresión «mayoritariamente», contenida en el numeral 2 del artículo 35 de la Ley 2069 de 2020 exige que las mujeres cabeza de familia o mujeres víctimas de la violencia intrafamiliar cuenten –singular o conjuntamente– con una participación superior al (50%) en la sociedad, para que esta pueda ser considerada como mayoritaria.</w:t>
      </w:r>
    </w:p>
    <w:p w:rsidRPr="001C75C1" w:rsidR="00DE095E" w:rsidP="007C1E39" w:rsidRDefault="00DE095E" w14:paraId="24207BA3" w14:textId="77777777">
      <w:pPr>
        <w:spacing w:line="276" w:lineRule="auto"/>
        <w:jc w:val="both"/>
        <w:rPr>
          <w:rFonts w:ascii="Arial" w:hAnsi="Arial" w:cs="Arial"/>
          <w:color w:val="000000" w:themeColor="text1"/>
          <w:sz w:val="22"/>
          <w:lang w:val="es-ES_tradnl"/>
        </w:rPr>
      </w:pPr>
    </w:p>
    <w:p w:rsidRPr="001C75C1" w:rsidR="00DD5B04" w:rsidP="00297AB0" w:rsidRDefault="00DD5B04" w14:paraId="7B2C921D" w14:textId="2255A2B1">
      <w:pPr>
        <w:spacing w:line="276" w:lineRule="auto"/>
        <w:jc w:val="both"/>
        <w:rPr>
          <w:rFonts w:ascii="Arial" w:hAnsi="Arial" w:cs="Arial"/>
          <w:color w:val="000000" w:themeColor="text1"/>
          <w:sz w:val="22"/>
          <w:szCs w:val="22"/>
          <w:lang w:val="es-ES_tradnl"/>
        </w:rPr>
      </w:pPr>
      <w:r w:rsidRPr="001C75C1">
        <w:rPr>
          <w:rFonts w:ascii="Arial" w:hAnsi="Arial" w:cs="Arial"/>
          <w:color w:val="000000" w:themeColor="text1"/>
          <w:sz w:val="22"/>
          <w:lang w:val="es-ES_tradnl"/>
        </w:rPr>
        <w:t>Este concepto tiene el alcance previsto en el artículo 28 del Código de Procedimiento Administrativo y de lo Contencioso Administrativo.</w:t>
      </w:r>
    </w:p>
    <w:p w:rsidRPr="001C75C1" w:rsidR="00DD5B04" w:rsidP="00DF76A2" w:rsidRDefault="00DD5B04" w14:paraId="77EE5912" w14:textId="77777777">
      <w:pPr>
        <w:pStyle w:val="NormalWeb"/>
        <w:spacing w:before="0" w:beforeAutospacing="0" w:after="0" w:afterAutospacing="0" w:line="276" w:lineRule="auto"/>
        <w:jc w:val="both"/>
        <w:rPr>
          <w:rFonts w:ascii="Arial" w:hAnsi="Arial" w:cs="Arial"/>
          <w:color w:val="000000" w:themeColor="text1"/>
          <w:sz w:val="22"/>
          <w:szCs w:val="22"/>
          <w:lang w:val="es-ES_tradnl"/>
        </w:rPr>
      </w:pPr>
    </w:p>
    <w:p w:rsidRPr="001C75C1" w:rsidR="00DD5B04" w:rsidP="00DF76A2" w:rsidRDefault="00DD5B04" w14:paraId="0DDBEF2B" w14:textId="7B8CF213">
      <w:pPr>
        <w:pStyle w:val="NormalWeb"/>
        <w:spacing w:before="0" w:beforeAutospacing="0" w:after="0" w:afterAutospacing="0" w:line="276" w:lineRule="auto"/>
        <w:jc w:val="both"/>
        <w:rPr>
          <w:rFonts w:ascii="Arial" w:hAnsi="Arial" w:cs="Arial"/>
          <w:color w:val="000000" w:themeColor="text1"/>
          <w:sz w:val="22"/>
          <w:szCs w:val="22"/>
          <w:lang w:val="es-ES_tradnl"/>
        </w:rPr>
      </w:pPr>
      <w:r w:rsidRPr="001C75C1">
        <w:rPr>
          <w:rFonts w:ascii="Arial" w:hAnsi="Arial" w:cs="Arial"/>
          <w:color w:val="000000" w:themeColor="text1"/>
          <w:sz w:val="22"/>
          <w:szCs w:val="22"/>
          <w:lang w:val="es-ES_tradnl"/>
        </w:rPr>
        <w:t>Atentamente,</w:t>
      </w:r>
    </w:p>
    <w:p w:rsidRPr="001C75C1" w:rsidR="000B4C4E" w:rsidP="000B4C4E" w:rsidRDefault="000B4C4E" w14:paraId="0D1434B6" w14:textId="77777777">
      <w:pPr>
        <w:pStyle w:val="NormalWeb"/>
        <w:spacing w:before="0" w:beforeAutospacing="0" w:after="0" w:afterAutospacing="0" w:line="276" w:lineRule="auto"/>
        <w:jc w:val="both"/>
        <w:rPr>
          <w:rFonts w:ascii="Arial" w:hAnsi="Arial" w:cs="Arial"/>
          <w:color w:val="000000" w:themeColor="text1"/>
          <w:sz w:val="22"/>
          <w:szCs w:val="22"/>
          <w:lang w:val="es-ES_tradnl"/>
        </w:rPr>
      </w:pPr>
    </w:p>
    <w:p w:rsidRPr="001C75C1" w:rsidR="000B4C4E" w:rsidP="000B4C4E" w:rsidRDefault="000B4C4E" w14:paraId="5B36D559" w14:textId="77777777">
      <w:pPr>
        <w:pStyle w:val="NormalWeb"/>
        <w:spacing w:before="0" w:beforeAutospacing="0" w:after="0" w:afterAutospacing="0" w:line="276" w:lineRule="auto"/>
        <w:jc w:val="both"/>
        <w:rPr>
          <w:rFonts w:ascii="Arial" w:hAnsi="Arial" w:cs="Arial"/>
          <w:color w:val="000000" w:themeColor="text1"/>
          <w:sz w:val="22"/>
          <w:szCs w:val="22"/>
          <w:lang w:val="es-ES_tradnl"/>
        </w:rPr>
      </w:pPr>
    </w:p>
    <w:p w:rsidRPr="001C75C1" w:rsidR="000B4C4E" w:rsidP="0B9FEC3B" w:rsidRDefault="00FB7D3D" w14:paraId="61A3B01D" w14:textId="7EDCF769">
      <w:pPr>
        <w:pStyle w:val="NormalWeb"/>
        <w:spacing w:before="0" w:beforeAutospacing="off" w:after="0" w:afterAutospacing="off" w:line="276" w:lineRule="auto"/>
        <w:jc w:val="center"/>
      </w:pPr>
      <w:r w:rsidR="0B9FEC3B">
        <w:drawing>
          <wp:inline wp14:editId="72A41BF5" wp14:anchorId="36ACF414">
            <wp:extent cx="2714625" cy="1152525"/>
            <wp:effectExtent l="0" t="0" r="0" b="0"/>
            <wp:docPr id="1391354239" name="" descr="Texto&#10;&#10;Descripción generada automáticamente" title=""/>
            <wp:cNvGraphicFramePr>
              <a:graphicFrameLocks noChangeAspect="1"/>
            </wp:cNvGraphicFramePr>
            <a:graphic>
              <a:graphicData uri="http://schemas.openxmlformats.org/drawingml/2006/picture">
                <pic:pic>
                  <pic:nvPicPr>
                    <pic:cNvPr id="0" name=""/>
                    <pic:cNvPicPr/>
                  </pic:nvPicPr>
                  <pic:blipFill>
                    <a:blip r:embed="R6eb76d672d604362">
                      <a:extLst>
                        <a:ext xmlns:a="http://schemas.openxmlformats.org/drawingml/2006/main" uri="{28A0092B-C50C-407E-A947-70E740481C1C}">
                          <a14:useLocalDpi val="0"/>
                        </a:ext>
                      </a:extLst>
                    </a:blip>
                    <a:stretch>
                      <a:fillRect/>
                    </a:stretch>
                  </pic:blipFill>
                  <pic:spPr>
                    <a:xfrm>
                      <a:off x="0" y="0"/>
                      <a:ext cx="2714625" cy="1152525"/>
                    </a:xfrm>
                    <a:prstGeom prst="rect">
                      <a:avLst/>
                    </a:prstGeom>
                  </pic:spPr>
                </pic:pic>
              </a:graphicData>
            </a:graphic>
          </wp:inline>
        </w:drawing>
      </w:r>
    </w:p>
    <w:p w:rsidRPr="001C75C1" w:rsidR="000B4C4E" w:rsidP="000B4C4E" w:rsidRDefault="000B4C4E" w14:paraId="5FA8413E" w14:textId="77777777">
      <w:pPr>
        <w:jc w:val="center"/>
        <w:rPr>
          <w:rFonts w:ascii="Arial" w:hAnsi="Arial" w:cs="Arial"/>
          <w:color w:val="000000" w:themeColor="text1"/>
          <w:sz w:val="18"/>
          <w:szCs w:val="20"/>
          <w:lang w:val="es-ES_tradnl"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1C75C1" w:rsidR="000B4C4E" w:rsidTr="00F21FD8" w14:paraId="05479B1A" w14:textId="77777777">
        <w:trPr>
          <w:trHeight w:val="315"/>
        </w:trPr>
        <w:tc>
          <w:tcPr>
            <w:tcW w:w="812" w:type="dxa"/>
            <w:vAlign w:val="center"/>
            <w:hideMark/>
          </w:tcPr>
          <w:p w:rsidRPr="001C75C1" w:rsidR="000B4C4E" w:rsidP="00F21FD8" w:rsidRDefault="000B4C4E" w14:paraId="54DBD943" w14:textId="77777777">
            <w:pPr>
              <w:jc w:val="both"/>
              <w:rPr>
                <w:rFonts w:ascii="Arial" w:hAnsi="Arial" w:cs="Arial"/>
                <w:color w:val="000000" w:themeColor="text1"/>
                <w:sz w:val="16"/>
                <w:szCs w:val="16"/>
                <w:lang w:val="es-ES_tradnl" w:eastAsia="es-ES"/>
              </w:rPr>
            </w:pPr>
            <w:r w:rsidRPr="001C75C1">
              <w:rPr>
                <w:rFonts w:ascii="Arial" w:hAnsi="Arial" w:cs="Arial"/>
                <w:color w:val="000000" w:themeColor="text1"/>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Pr="001C75C1" w:rsidR="000B4C4E" w:rsidP="00F21FD8" w:rsidRDefault="000B4C4E" w14:paraId="112AD535" w14:textId="77777777">
            <w:pPr>
              <w:jc w:val="both"/>
              <w:rPr>
                <w:rFonts w:ascii="Arial" w:hAnsi="Arial" w:cs="Arial"/>
                <w:color w:val="000000" w:themeColor="text1"/>
                <w:sz w:val="16"/>
                <w:szCs w:val="16"/>
                <w:lang w:val="es-ES_tradnl" w:eastAsia="es-ES"/>
              </w:rPr>
            </w:pPr>
            <w:r w:rsidRPr="001C75C1">
              <w:rPr>
                <w:rFonts w:ascii="Arial" w:hAnsi="Arial" w:cs="Arial"/>
                <w:color w:val="000000" w:themeColor="text1"/>
                <w:sz w:val="16"/>
                <w:szCs w:val="16"/>
                <w:lang w:val="es-ES_tradnl" w:eastAsia="es-ES"/>
              </w:rPr>
              <w:t>Cristian Andrés Díaz Díez</w:t>
            </w:r>
          </w:p>
          <w:p w:rsidRPr="001C75C1" w:rsidR="000B4C4E" w:rsidP="00F21FD8" w:rsidRDefault="000B4C4E" w14:paraId="3341FB04" w14:textId="77777777">
            <w:pPr>
              <w:jc w:val="both"/>
              <w:rPr>
                <w:rFonts w:ascii="Arial" w:hAnsi="Arial" w:cs="Arial"/>
                <w:color w:val="000000" w:themeColor="text1"/>
                <w:sz w:val="16"/>
                <w:szCs w:val="16"/>
                <w:lang w:val="es-ES_tradnl" w:eastAsia="es-ES"/>
              </w:rPr>
            </w:pPr>
            <w:r w:rsidRPr="001C75C1">
              <w:rPr>
                <w:rFonts w:ascii="Arial" w:hAnsi="Arial" w:cs="Arial"/>
                <w:color w:val="000000" w:themeColor="text1"/>
                <w:sz w:val="16"/>
                <w:szCs w:val="16"/>
                <w:lang w:val="es-ES_tradnl" w:eastAsia="es-ES"/>
              </w:rPr>
              <w:t>Contratista de la Subdirección de Gestión Contractual</w:t>
            </w:r>
          </w:p>
        </w:tc>
      </w:tr>
      <w:tr w:rsidRPr="001C75C1" w:rsidR="000B4C4E" w:rsidTr="00F21FD8" w14:paraId="3CAB3781" w14:textId="77777777">
        <w:trPr>
          <w:trHeight w:val="330"/>
        </w:trPr>
        <w:tc>
          <w:tcPr>
            <w:tcW w:w="812" w:type="dxa"/>
            <w:vAlign w:val="center"/>
            <w:hideMark/>
          </w:tcPr>
          <w:p w:rsidRPr="001C75C1" w:rsidR="000B4C4E" w:rsidP="00F21FD8" w:rsidRDefault="000B4C4E" w14:paraId="2715F556" w14:textId="77777777">
            <w:pPr>
              <w:jc w:val="both"/>
              <w:rPr>
                <w:rFonts w:ascii="Arial" w:hAnsi="Arial" w:cs="Arial"/>
                <w:color w:val="000000" w:themeColor="text1"/>
                <w:sz w:val="16"/>
                <w:szCs w:val="16"/>
                <w:lang w:val="es-ES_tradnl" w:eastAsia="es-ES"/>
              </w:rPr>
            </w:pPr>
            <w:r w:rsidRPr="001C75C1">
              <w:rPr>
                <w:rFonts w:ascii="Arial" w:hAnsi="Arial" w:cs="Arial"/>
                <w:color w:val="000000" w:themeColor="text1"/>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1C75C1" w:rsidR="000B4C4E" w:rsidP="00F21FD8" w:rsidRDefault="000B4C4E" w14:paraId="1071A343" w14:textId="77777777">
            <w:pPr>
              <w:jc w:val="both"/>
              <w:rPr>
                <w:rFonts w:ascii="Arial" w:hAnsi="Arial" w:cs="Arial"/>
                <w:color w:val="000000" w:themeColor="text1"/>
                <w:sz w:val="16"/>
                <w:szCs w:val="16"/>
                <w:lang w:val="es-ES_tradnl" w:eastAsia="es-ES"/>
              </w:rPr>
            </w:pPr>
            <w:r w:rsidRPr="001C75C1">
              <w:rPr>
                <w:rFonts w:ascii="Arial" w:hAnsi="Arial" w:cs="Arial"/>
                <w:color w:val="000000" w:themeColor="text1"/>
                <w:sz w:val="16"/>
                <w:szCs w:val="16"/>
                <w:lang w:val="es-ES_tradnl" w:eastAsia="es-ES"/>
              </w:rPr>
              <w:t>Sebastián Ramírez Grisales</w:t>
            </w:r>
          </w:p>
          <w:p w:rsidRPr="001C75C1" w:rsidR="000B4C4E" w:rsidP="00F21FD8" w:rsidRDefault="000B4C4E" w14:paraId="7290EB99" w14:textId="77777777">
            <w:pPr>
              <w:jc w:val="both"/>
              <w:rPr>
                <w:rFonts w:ascii="Arial" w:hAnsi="Arial" w:cs="Arial"/>
                <w:color w:val="000000" w:themeColor="text1"/>
                <w:sz w:val="16"/>
                <w:szCs w:val="16"/>
                <w:lang w:val="es-ES_tradnl" w:eastAsia="es-ES"/>
              </w:rPr>
            </w:pPr>
            <w:r w:rsidRPr="001C75C1">
              <w:rPr>
                <w:rFonts w:ascii="Arial" w:hAnsi="Arial" w:cs="Arial"/>
                <w:color w:val="000000" w:themeColor="text1"/>
                <w:sz w:val="16"/>
                <w:szCs w:val="16"/>
                <w:lang w:val="es-ES_tradnl" w:eastAsia="es-ES"/>
              </w:rPr>
              <w:t xml:space="preserve">Contratista de la Subdirección de Gestión Contractual  </w:t>
            </w:r>
          </w:p>
        </w:tc>
      </w:tr>
      <w:tr w:rsidRPr="00D95E70" w:rsidR="000B4C4E" w:rsidTr="00F21FD8" w14:paraId="12904135" w14:textId="77777777">
        <w:trPr>
          <w:trHeight w:val="300"/>
        </w:trPr>
        <w:tc>
          <w:tcPr>
            <w:tcW w:w="812" w:type="dxa"/>
            <w:vAlign w:val="center"/>
            <w:hideMark/>
          </w:tcPr>
          <w:p w:rsidRPr="001C75C1" w:rsidR="000B4C4E" w:rsidP="00F21FD8" w:rsidRDefault="000B4C4E" w14:paraId="0F7D3180" w14:textId="77777777">
            <w:pPr>
              <w:jc w:val="both"/>
              <w:rPr>
                <w:rFonts w:ascii="Arial" w:hAnsi="Arial" w:cs="Arial"/>
                <w:color w:val="000000" w:themeColor="text1"/>
                <w:sz w:val="16"/>
                <w:szCs w:val="16"/>
                <w:lang w:val="es-ES_tradnl" w:eastAsia="es-ES"/>
              </w:rPr>
            </w:pPr>
            <w:r w:rsidRPr="001C75C1">
              <w:rPr>
                <w:rFonts w:ascii="Arial" w:hAnsi="Arial" w:cs="Arial"/>
                <w:color w:val="000000" w:themeColor="text1"/>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1C75C1" w:rsidR="000B4C4E" w:rsidP="00F21FD8" w:rsidRDefault="000B4C4E" w14:paraId="50E0A29D" w14:textId="77777777">
            <w:pPr>
              <w:jc w:val="both"/>
              <w:rPr>
                <w:rFonts w:ascii="Arial" w:hAnsi="Arial" w:cs="Arial"/>
                <w:color w:val="000000" w:themeColor="text1"/>
                <w:sz w:val="16"/>
                <w:szCs w:val="16"/>
                <w:lang w:val="es-ES_tradnl" w:eastAsia="es-ES"/>
              </w:rPr>
            </w:pPr>
            <w:r w:rsidRPr="001C75C1">
              <w:rPr>
                <w:rFonts w:ascii="Arial" w:hAnsi="Arial" w:cs="Arial"/>
                <w:color w:val="000000" w:themeColor="text1"/>
                <w:sz w:val="16"/>
                <w:szCs w:val="16"/>
                <w:lang w:val="es-ES_tradnl" w:eastAsia="es-ES"/>
              </w:rPr>
              <w:t>Jorge Augusto Tirado Navarro</w:t>
            </w:r>
          </w:p>
          <w:p w:rsidRPr="00D95E70" w:rsidR="000B4C4E" w:rsidP="00F21FD8" w:rsidRDefault="000B4C4E" w14:paraId="54CB33D4" w14:textId="77777777">
            <w:pPr>
              <w:jc w:val="both"/>
              <w:rPr>
                <w:rFonts w:ascii="Arial" w:hAnsi="Arial" w:cs="Arial"/>
                <w:color w:val="000000" w:themeColor="text1"/>
                <w:sz w:val="16"/>
                <w:szCs w:val="16"/>
                <w:lang w:val="es-ES_tradnl" w:eastAsia="es-ES"/>
              </w:rPr>
            </w:pPr>
            <w:r w:rsidRPr="001C75C1">
              <w:rPr>
                <w:rFonts w:ascii="Arial" w:hAnsi="Arial" w:cs="Arial"/>
                <w:color w:val="000000" w:themeColor="text1"/>
                <w:sz w:val="16"/>
                <w:szCs w:val="16"/>
                <w:lang w:val="es-ES_tradnl" w:eastAsia="es-ES"/>
              </w:rPr>
              <w:t>Subdirector de Gestión Contractual ANCP – CCE</w:t>
            </w:r>
          </w:p>
        </w:tc>
      </w:tr>
    </w:tbl>
    <w:p w:rsidRPr="00D95E70" w:rsidR="000B4C4E" w:rsidP="000B4C4E" w:rsidRDefault="000B4C4E" w14:paraId="43224507" w14:textId="77777777">
      <w:pPr>
        <w:rPr>
          <w:rFonts w:ascii="Arial" w:hAnsi="Arial" w:cs="Arial"/>
          <w:color w:val="000000" w:themeColor="text1"/>
          <w:lang w:val="es-ES_tradnl"/>
        </w:rPr>
      </w:pPr>
    </w:p>
    <w:p w:rsidRPr="00D95E70" w:rsidR="000B4C4E" w:rsidP="000B4C4E" w:rsidRDefault="000B4C4E" w14:paraId="14BEEEEB" w14:textId="77777777">
      <w:pPr>
        <w:tabs>
          <w:tab w:val="left" w:pos="3795"/>
        </w:tabs>
        <w:rPr>
          <w:rFonts w:ascii="Arial" w:hAnsi="Arial" w:cs="Arial"/>
          <w:color w:val="000000" w:themeColor="text1"/>
          <w:lang w:val="es-ES_tradnl"/>
        </w:rPr>
      </w:pPr>
      <w:r w:rsidRPr="00D95E70">
        <w:rPr>
          <w:rFonts w:ascii="Arial" w:hAnsi="Arial" w:cs="Arial"/>
          <w:color w:val="000000" w:themeColor="text1"/>
          <w:lang w:val="es-ES_tradnl"/>
        </w:rPr>
        <w:tab/>
      </w:r>
    </w:p>
    <w:p w:rsidRPr="00D95E70" w:rsidR="000B4C4E" w:rsidP="000B4C4E" w:rsidRDefault="000B4C4E" w14:paraId="7BE06AE2" w14:textId="77777777">
      <w:pPr>
        <w:jc w:val="both"/>
        <w:rPr>
          <w:rFonts w:ascii="Arial" w:hAnsi="Arial" w:cs="Arial"/>
          <w:lang w:val="es-ES_tradnl"/>
        </w:rPr>
      </w:pPr>
    </w:p>
    <w:p w:rsidRPr="00D95E70" w:rsidR="00746E08" w:rsidP="000B4C4E" w:rsidRDefault="00746E08" w14:paraId="35B56F46" w14:textId="77777777">
      <w:pPr>
        <w:pStyle w:val="NormalWeb"/>
        <w:spacing w:before="0" w:beforeAutospacing="0" w:after="0" w:afterAutospacing="0" w:line="276" w:lineRule="auto"/>
        <w:jc w:val="center"/>
        <w:rPr>
          <w:rFonts w:ascii="Arial" w:hAnsi="Arial" w:cs="Arial"/>
          <w:color w:val="000000" w:themeColor="text1"/>
          <w:lang w:val="es-ES_tradnl"/>
        </w:rPr>
      </w:pPr>
    </w:p>
    <w:sectPr w:rsidRPr="00D95E70" w:rsidR="00746E08" w:rsidSect="005D791B">
      <w:headerReference w:type="default" r:id="rId13"/>
      <w:footerReference w:type="default" r:id="rId14"/>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5107" w:rsidRDefault="00495107" w14:paraId="7851C449" w14:textId="77777777">
      <w:r>
        <w:separator/>
      </w:r>
    </w:p>
  </w:endnote>
  <w:endnote w:type="continuationSeparator" w:id="0">
    <w:p w:rsidR="00495107" w:rsidRDefault="00495107" w14:paraId="10F76F41" w14:textId="77777777">
      <w:r>
        <w:continuationSeparator/>
      </w:r>
    </w:p>
  </w:endnote>
  <w:endnote w:type="continuationNotice" w:id="1">
    <w:p w:rsidR="00495107" w:rsidRDefault="00495107" w14:paraId="15874B6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D3D44" w:rsidP="00322937" w:rsidRDefault="003D3D44" w14:paraId="62F02A34" w14:textId="77777777">
    <w:pPr>
      <w:pStyle w:val="Sinespaciado"/>
      <w:jc w:val="right"/>
      <w:rPr>
        <w:rFonts w:ascii="Arial" w:hAnsi="Arial" w:cs="Arial"/>
        <w:sz w:val="18"/>
        <w:szCs w:val="18"/>
      </w:rPr>
    </w:pPr>
  </w:p>
  <w:p w:rsidRPr="008217B7" w:rsidR="003D3D44" w:rsidP="00FE42ED" w:rsidRDefault="003D3D44" w14:paraId="7A3785F3" w14:textId="2EF2846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rsidR="003D3D44" w:rsidP="00322937" w:rsidRDefault="003D3D44" w14:paraId="48FC6A04" w14:textId="5FD1A7C9">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rsidR="003D3D44" w:rsidP="007B0854" w:rsidRDefault="003D3D44" w14:paraId="5D0E988C" w14:textId="77777777">
    <w:pPr>
      <w:pStyle w:val="Piedepgina"/>
      <w:jc w:val="center"/>
      <w:rPr>
        <w:lang w:val="es-ES"/>
      </w:rPr>
    </w:pPr>
  </w:p>
  <w:p w:rsidRPr="007B0854" w:rsidR="003D3D44" w:rsidP="007B0854" w:rsidRDefault="003D3D44"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5107" w:rsidRDefault="00495107" w14:paraId="4C8A43ED" w14:textId="77777777">
      <w:r>
        <w:separator/>
      </w:r>
    </w:p>
  </w:footnote>
  <w:footnote w:type="continuationSeparator" w:id="0">
    <w:p w:rsidR="00495107" w:rsidRDefault="00495107" w14:paraId="52540FD5" w14:textId="77777777">
      <w:r>
        <w:continuationSeparator/>
      </w:r>
    </w:p>
  </w:footnote>
  <w:footnote w:type="continuationNotice" w:id="1">
    <w:p w:rsidR="00495107" w:rsidRDefault="00495107" w14:paraId="064FEF80" w14:textId="77777777"/>
  </w:footnote>
  <w:footnote w:id="2">
    <w:p w:rsidRPr="00257AD6" w:rsidR="005508B2" w:rsidP="00714D20" w:rsidRDefault="005508B2" w14:paraId="20700D94" w14:textId="6D66BB23">
      <w:pPr>
        <w:pStyle w:val="Textonotapie"/>
        <w:ind w:firstLine="708"/>
        <w:jc w:val="both"/>
        <w:rPr>
          <w:rFonts w:ascii="Arial" w:hAnsi="Arial" w:cs="Arial"/>
          <w:sz w:val="19"/>
          <w:szCs w:val="19"/>
          <w:lang w:val="es-CO"/>
        </w:rPr>
      </w:pPr>
      <w:r w:rsidRPr="00257AD6">
        <w:rPr>
          <w:rStyle w:val="Refdenotaalpie"/>
          <w:rFonts w:ascii="Arial" w:hAnsi="Arial" w:cs="Arial"/>
        </w:rPr>
        <w:footnoteRef/>
      </w:r>
      <w:r w:rsidRPr="00257AD6">
        <w:rPr>
          <w:rFonts w:ascii="Arial" w:hAnsi="Arial" w:cs="Arial"/>
          <w:sz w:val="19"/>
          <w:szCs w:val="19"/>
        </w:rPr>
        <w:t xml:space="preserve"> </w:t>
      </w:r>
      <w:r w:rsidRPr="00257AD6">
        <w:rPr>
          <w:rFonts w:ascii="Arial" w:hAnsi="Arial" w:cs="Arial"/>
          <w:sz w:val="19"/>
          <w:szCs w:val="19"/>
          <w:lang w:val="es-CO"/>
        </w:rPr>
        <w:t>La Agencia tam</w:t>
      </w:r>
      <w:r w:rsidRPr="00257AD6" w:rsidR="00C562CD">
        <w:rPr>
          <w:rFonts w:ascii="Arial" w:hAnsi="Arial" w:cs="Arial"/>
          <w:sz w:val="19"/>
          <w:szCs w:val="19"/>
          <w:lang w:val="es-CO"/>
        </w:rPr>
        <w:t>bién se ha pronunciado sobre los factores de desempate introducidos por el artículo 35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w:t>
      </w:r>
      <w:r w:rsidRPr="00257AD6" w:rsidR="00714D20">
        <w:rPr>
          <w:rFonts w:ascii="Arial" w:hAnsi="Arial" w:cs="Arial"/>
          <w:sz w:val="19"/>
          <w:szCs w:val="19"/>
          <w:lang w:val="es-CO"/>
        </w:rPr>
        <w:t xml:space="preserve"> y</w:t>
      </w:r>
      <w:r w:rsidRPr="00257AD6" w:rsidR="00C562CD">
        <w:rPr>
          <w:rFonts w:ascii="Arial" w:hAnsi="Arial" w:cs="Arial"/>
          <w:sz w:val="19"/>
          <w:szCs w:val="19"/>
          <w:lang w:val="es-CO"/>
        </w:rPr>
        <w:t xml:space="preserve"> C-102 del 25 de marzo de 2020</w:t>
      </w:r>
      <w:r w:rsidRPr="00257AD6" w:rsidR="00714D20">
        <w:rPr>
          <w:rFonts w:ascii="Arial" w:hAnsi="Arial" w:cs="Arial"/>
          <w:sz w:val="19"/>
          <w:szCs w:val="19"/>
          <w:lang w:val="es-CO"/>
        </w:rPr>
        <w:t>.</w:t>
      </w:r>
    </w:p>
  </w:footnote>
  <w:footnote w:id="3">
    <w:p w:rsidRPr="00257AD6" w:rsidR="00B0749C" w:rsidP="007D7047" w:rsidRDefault="00B0749C" w14:paraId="5221EE23" w14:textId="77777777">
      <w:pPr>
        <w:pStyle w:val="Textonotapie"/>
        <w:ind w:firstLine="709"/>
        <w:jc w:val="both"/>
        <w:rPr>
          <w:rFonts w:ascii="Arial" w:hAnsi="Arial" w:cs="Arial"/>
          <w:sz w:val="19"/>
          <w:szCs w:val="19"/>
          <w:lang w:val="es-ES"/>
        </w:rPr>
      </w:pPr>
      <w:r w:rsidRPr="00257AD6">
        <w:rPr>
          <w:rStyle w:val="Refdenotaalpie"/>
          <w:rFonts w:ascii="Arial" w:hAnsi="Arial" w:cs="Arial"/>
        </w:rPr>
        <w:footnoteRef/>
      </w:r>
      <w:r w:rsidRPr="00257AD6">
        <w:rPr>
          <w:rFonts w:ascii="Arial" w:hAnsi="Arial" w:cs="Arial"/>
          <w:sz w:val="19"/>
          <w:szCs w:val="19"/>
        </w:rPr>
        <w:t xml:space="preserve"> </w:t>
      </w:r>
      <w:r w:rsidRPr="00257AD6">
        <w:rPr>
          <w:rFonts w:ascii="Arial" w:hAnsi="Arial" w:cs="Arial"/>
          <w:sz w:val="19"/>
          <w:szCs w:val="19"/>
          <w:lang w:val="es-ES"/>
        </w:rPr>
        <w:t>Consejo de Estado. Sección Tercera. Sentencia del 29 de octubre de 2.015. Consejera Ponente: Stella Conto Díaz Del Castillo. Expediente: 31.918.</w:t>
      </w:r>
    </w:p>
    <w:p w:rsidRPr="00257AD6" w:rsidR="00B0749C" w:rsidP="007D7047" w:rsidRDefault="00B0749C" w14:paraId="7AB991B3" w14:textId="77777777">
      <w:pPr>
        <w:pStyle w:val="Textonotapie"/>
        <w:ind w:firstLine="709"/>
        <w:jc w:val="both"/>
        <w:rPr>
          <w:rFonts w:ascii="Arial" w:hAnsi="Arial" w:cs="Arial"/>
          <w:sz w:val="19"/>
          <w:szCs w:val="19"/>
          <w:lang w:val="es-ES"/>
        </w:rPr>
      </w:pPr>
    </w:p>
  </w:footnote>
  <w:footnote w:id="4">
    <w:p w:rsidRPr="00257AD6" w:rsidR="00B0749C" w:rsidP="007D7047" w:rsidRDefault="00B0749C" w14:paraId="3C1769D4" w14:textId="77777777">
      <w:pPr>
        <w:pStyle w:val="Textonotapie"/>
        <w:ind w:firstLine="709"/>
        <w:jc w:val="both"/>
        <w:rPr>
          <w:rFonts w:ascii="Arial" w:hAnsi="Arial" w:cs="Arial"/>
          <w:sz w:val="19"/>
          <w:szCs w:val="19"/>
          <w:lang w:val="es-ES"/>
        </w:rPr>
      </w:pPr>
      <w:r w:rsidRPr="00257AD6">
        <w:rPr>
          <w:rStyle w:val="Refdenotaalpie"/>
          <w:rFonts w:ascii="Arial" w:hAnsi="Arial" w:cs="Arial"/>
        </w:rPr>
        <w:footnoteRef/>
      </w:r>
      <w:r w:rsidRPr="00257AD6">
        <w:rPr>
          <w:rFonts w:ascii="Arial" w:hAnsi="Arial" w:cs="Arial"/>
          <w:sz w:val="19"/>
          <w:szCs w:val="19"/>
        </w:rPr>
        <w:t xml:space="preserve"> </w:t>
      </w:r>
      <w:r w:rsidRPr="00257AD6">
        <w:rPr>
          <w:rFonts w:ascii="Arial" w:hAnsi="Arial" w:cs="Arial"/>
          <w:sz w:val="19"/>
          <w:szCs w:val="19"/>
          <w:lang w:val="es-ES"/>
        </w:rPr>
        <w:t>Corte Constitucional. Sentencia T-684A del 14 de septiembre de 2011. Magistrado Ponente: Mauricio González Cuervo.</w:t>
      </w:r>
    </w:p>
    <w:p w:rsidRPr="00257AD6" w:rsidR="00B0749C" w:rsidP="007D7047" w:rsidRDefault="00B0749C" w14:paraId="6943AFC6" w14:textId="77777777">
      <w:pPr>
        <w:pStyle w:val="Textonotapie"/>
        <w:ind w:firstLine="709"/>
        <w:jc w:val="both"/>
        <w:rPr>
          <w:rFonts w:ascii="Arial" w:hAnsi="Arial" w:cs="Arial"/>
          <w:sz w:val="19"/>
          <w:szCs w:val="19"/>
          <w:lang w:val="es-ES"/>
        </w:rPr>
      </w:pPr>
    </w:p>
  </w:footnote>
  <w:footnote w:id="5">
    <w:p w:rsidRPr="00257AD6" w:rsidR="00B0749C" w:rsidP="007D7047" w:rsidRDefault="00B0749C" w14:paraId="7950281F" w14:textId="79EA65AF">
      <w:pPr>
        <w:pStyle w:val="Textonotapie"/>
        <w:ind w:firstLine="709"/>
        <w:jc w:val="both"/>
        <w:rPr>
          <w:rFonts w:ascii="Arial" w:hAnsi="Arial" w:cs="Arial"/>
          <w:sz w:val="19"/>
          <w:szCs w:val="19"/>
          <w:lang w:val="es-ES"/>
        </w:rPr>
      </w:pPr>
      <w:r w:rsidRPr="00257AD6">
        <w:rPr>
          <w:rStyle w:val="Refdenotaalpie"/>
          <w:rFonts w:ascii="Arial" w:hAnsi="Arial" w:cs="Arial"/>
        </w:rPr>
        <w:footnoteRef/>
      </w:r>
      <w:r w:rsidRPr="00257AD6">
        <w:rPr>
          <w:rFonts w:ascii="Arial" w:hAnsi="Arial" w:cs="Arial"/>
          <w:sz w:val="19"/>
          <w:szCs w:val="19"/>
        </w:rPr>
        <w:t xml:space="preserve"> </w:t>
      </w:r>
      <w:r w:rsidRPr="00257AD6">
        <w:rPr>
          <w:rFonts w:ascii="Arial" w:hAnsi="Arial" w:cs="Arial"/>
          <w:sz w:val="19"/>
          <w:szCs w:val="19"/>
          <w:lang w:val="es-ES"/>
        </w:rPr>
        <w:t xml:space="preserve">Consejo de Estado. Sección Tercera. Sentencia del 6 de diciembre de 2.013. Consejera </w:t>
      </w:r>
      <w:proofErr w:type="spellStart"/>
      <w:r w:rsidRPr="00257AD6">
        <w:rPr>
          <w:rFonts w:ascii="Arial" w:hAnsi="Arial" w:cs="Arial"/>
          <w:sz w:val="19"/>
          <w:szCs w:val="19"/>
          <w:lang w:val="es-ES"/>
        </w:rPr>
        <w:t>Ponent</w:t>
      </w:r>
      <w:r w:rsidRPr="00257AD6" w:rsidR="00831E8B">
        <w:rPr>
          <w:rFonts w:ascii="Arial" w:hAnsi="Arial" w:cs="Arial"/>
          <w:sz w:val="19"/>
          <w:szCs w:val="19"/>
          <w:lang w:val="es-ES"/>
        </w:rPr>
        <w:t>g</w:t>
      </w:r>
      <w:r w:rsidRPr="00257AD6">
        <w:rPr>
          <w:rFonts w:ascii="Arial" w:hAnsi="Arial" w:cs="Arial"/>
          <w:sz w:val="19"/>
          <w:szCs w:val="19"/>
          <w:lang w:val="es-ES"/>
        </w:rPr>
        <w:t>e</w:t>
      </w:r>
      <w:proofErr w:type="spellEnd"/>
      <w:r w:rsidRPr="00257AD6">
        <w:rPr>
          <w:rFonts w:ascii="Arial" w:hAnsi="Arial" w:cs="Arial"/>
          <w:sz w:val="19"/>
          <w:szCs w:val="19"/>
          <w:lang w:val="es-ES"/>
        </w:rPr>
        <w:t xml:space="preserve">: Stella Conto Díaz Del Castillo. Expediente: 27.506. En efecto, el artículo 44, inciso 1º,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rsidRPr="00257AD6" w:rsidR="009F2C5C" w:rsidP="007D7047" w:rsidRDefault="009F2C5C" w14:paraId="304BE11D" w14:textId="77777777">
      <w:pPr>
        <w:pStyle w:val="Textonotapie"/>
        <w:ind w:firstLine="709"/>
        <w:jc w:val="both"/>
        <w:rPr>
          <w:rFonts w:ascii="Arial" w:hAnsi="Arial" w:cs="Arial"/>
          <w:sz w:val="19"/>
          <w:szCs w:val="19"/>
          <w:lang w:val="es-CO"/>
        </w:rPr>
      </w:pPr>
    </w:p>
  </w:footnote>
  <w:footnote w:id="6">
    <w:p w:rsidRPr="00257AD6" w:rsidR="0000500B" w:rsidP="007D7047" w:rsidRDefault="0000500B" w14:paraId="7E5E2C24" w14:textId="77777777">
      <w:pPr>
        <w:pStyle w:val="Textonotapie"/>
        <w:ind w:firstLine="709"/>
        <w:jc w:val="both"/>
        <w:rPr>
          <w:rFonts w:ascii="Arial" w:hAnsi="Arial" w:cs="Arial"/>
          <w:sz w:val="19"/>
          <w:szCs w:val="19"/>
          <w:lang w:val="es-ES"/>
        </w:rPr>
      </w:pPr>
      <w:r w:rsidRPr="00257AD6">
        <w:rPr>
          <w:rStyle w:val="Refdenotaalpie"/>
          <w:rFonts w:ascii="Arial" w:hAnsi="Arial" w:cs="Arial"/>
        </w:rPr>
        <w:footnoteRef/>
      </w:r>
      <w:r w:rsidRPr="00257AD6">
        <w:rPr>
          <w:rFonts w:ascii="Arial" w:hAnsi="Arial" w:cs="Arial"/>
          <w:sz w:val="19"/>
          <w:szCs w:val="19"/>
        </w:rPr>
        <w:t xml:space="preserve"> </w:t>
      </w:r>
      <w:r w:rsidRPr="00257AD6">
        <w:rPr>
          <w:rFonts w:ascii="Arial" w:hAnsi="Arial" w:cs="Arial"/>
          <w:sz w:val="19"/>
          <w:szCs w:val="19"/>
          <w:lang w:val="es-ES"/>
        </w:rPr>
        <w:t>Artículos 2 al 29.</w:t>
      </w:r>
    </w:p>
    <w:p w:rsidRPr="00257AD6" w:rsidR="0000500B" w:rsidP="007D7047" w:rsidRDefault="0000500B" w14:paraId="7DD04EFF" w14:textId="77777777">
      <w:pPr>
        <w:pStyle w:val="Textonotapie"/>
        <w:ind w:firstLine="709"/>
        <w:jc w:val="both"/>
        <w:rPr>
          <w:rFonts w:ascii="Arial" w:hAnsi="Arial" w:cs="Arial"/>
          <w:sz w:val="19"/>
          <w:szCs w:val="19"/>
          <w:lang w:val="es-ES"/>
        </w:rPr>
      </w:pPr>
    </w:p>
  </w:footnote>
  <w:footnote w:id="7">
    <w:p w:rsidRPr="00257AD6" w:rsidR="0000500B" w:rsidP="007D7047" w:rsidRDefault="0000500B" w14:paraId="3B737876" w14:textId="77777777">
      <w:pPr>
        <w:pStyle w:val="Textonotapie"/>
        <w:ind w:firstLine="709"/>
        <w:jc w:val="both"/>
        <w:rPr>
          <w:rFonts w:ascii="Arial" w:hAnsi="Arial" w:cs="Arial"/>
          <w:sz w:val="19"/>
          <w:szCs w:val="19"/>
          <w:lang w:val="es-ES"/>
        </w:rPr>
      </w:pPr>
      <w:r w:rsidRPr="00257AD6">
        <w:rPr>
          <w:rStyle w:val="Refdenotaalpie"/>
          <w:rFonts w:ascii="Arial" w:hAnsi="Arial" w:cs="Arial"/>
        </w:rPr>
        <w:footnoteRef/>
      </w:r>
      <w:r w:rsidRPr="00257AD6">
        <w:rPr>
          <w:rFonts w:ascii="Arial" w:hAnsi="Arial" w:cs="Arial"/>
          <w:sz w:val="19"/>
          <w:szCs w:val="19"/>
        </w:rPr>
        <w:t xml:space="preserve"> </w:t>
      </w:r>
      <w:r w:rsidRPr="00257AD6">
        <w:rPr>
          <w:rFonts w:ascii="Arial" w:hAnsi="Arial" w:cs="Arial"/>
          <w:sz w:val="19"/>
          <w:szCs w:val="19"/>
          <w:lang w:val="es-ES"/>
        </w:rPr>
        <w:t>Artículos 30 al 36.</w:t>
      </w:r>
    </w:p>
    <w:p w:rsidRPr="00257AD6" w:rsidR="0000500B" w:rsidP="007D7047" w:rsidRDefault="0000500B" w14:paraId="57E10907" w14:textId="77777777">
      <w:pPr>
        <w:pStyle w:val="Textonotapie"/>
        <w:ind w:firstLine="709"/>
        <w:jc w:val="both"/>
        <w:rPr>
          <w:rFonts w:ascii="Arial" w:hAnsi="Arial" w:cs="Arial"/>
          <w:sz w:val="19"/>
          <w:szCs w:val="19"/>
          <w:lang w:val="es-ES"/>
        </w:rPr>
      </w:pPr>
    </w:p>
  </w:footnote>
  <w:footnote w:id="8">
    <w:p w:rsidRPr="00257AD6" w:rsidR="0000500B" w:rsidP="007D7047" w:rsidRDefault="0000500B" w14:paraId="6F243A4A" w14:textId="77777777">
      <w:pPr>
        <w:pStyle w:val="Textonotapie"/>
        <w:ind w:firstLine="709"/>
        <w:jc w:val="both"/>
        <w:rPr>
          <w:rFonts w:ascii="Arial" w:hAnsi="Arial" w:cs="Arial"/>
          <w:sz w:val="19"/>
          <w:szCs w:val="19"/>
          <w:lang w:val="es-ES"/>
        </w:rPr>
      </w:pPr>
      <w:r w:rsidRPr="00257AD6">
        <w:rPr>
          <w:rStyle w:val="Refdenotaalpie"/>
          <w:rFonts w:ascii="Arial" w:hAnsi="Arial" w:cs="Arial"/>
        </w:rPr>
        <w:footnoteRef/>
      </w:r>
      <w:r w:rsidRPr="00257AD6">
        <w:rPr>
          <w:rFonts w:ascii="Arial" w:hAnsi="Arial" w:cs="Arial"/>
          <w:sz w:val="19"/>
          <w:szCs w:val="19"/>
        </w:rPr>
        <w:t xml:space="preserve"> </w:t>
      </w:r>
      <w:r w:rsidRPr="00257AD6">
        <w:rPr>
          <w:rFonts w:ascii="Arial" w:hAnsi="Arial" w:cs="Arial"/>
          <w:sz w:val="19"/>
          <w:szCs w:val="19"/>
          <w:lang w:val="es-ES"/>
        </w:rPr>
        <w:t>Artículos 37 al 45.</w:t>
      </w:r>
    </w:p>
    <w:p w:rsidRPr="00257AD6" w:rsidR="0000500B" w:rsidP="007D7047" w:rsidRDefault="0000500B" w14:paraId="5BDD2689" w14:textId="77777777">
      <w:pPr>
        <w:pStyle w:val="Textonotapie"/>
        <w:ind w:firstLine="709"/>
        <w:jc w:val="both"/>
        <w:rPr>
          <w:rFonts w:ascii="Arial" w:hAnsi="Arial" w:cs="Arial"/>
          <w:sz w:val="19"/>
          <w:szCs w:val="19"/>
          <w:lang w:val="es-ES"/>
        </w:rPr>
      </w:pPr>
    </w:p>
  </w:footnote>
  <w:footnote w:id="9">
    <w:p w:rsidRPr="00257AD6" w:rsidR="0000500B" w:rsidP="007D7047" w:rsidRDefault="0000500B" w14:paraId="4E1C4723" w14:textId="77777777">
      <w:pPr>
        <w:pStyle w:val="Textonotapie"/>
        <w:ind w:firstLine="709"/>
        <w:jc w:val="both"/>
        <w:rPr>
          <w:rFonts w:ascii="Arial" w:hAnsi="Arial" w:cs="Arial"/>
          <w:sz w:val="19"/>
          <w:szCs w:val="19"/>
          <w:lang w:val="es-ES"/>
        </w:rPr>
      </w:pPr>
      <w:r w:rsidRPr="00257AD6">
        <w:rPr>
          <w:rStyle w:val="Refdenotaalpie"/>
          <w:rFonts w:ascii="Arial" w:hAnsi="Arial" w:cs="Arial"/>
        </w:rPr>
        <w:footnoteRef/>
      </w:r>
      <w:r w:rsidRPr="00257AD6">
        <w:rPr>
          <w:rFonts w:ascii="Arial" w:hAnsi="Arial" w:cs="Arial"/>
          <w:sz w:val="19"/>
          <w:szCs w:val="19"/>
        </w:rPr>
        <w:t xml:space="preserve"> </w:t>
      </w:r>
      <w:r w:rsidRPr="00257AD6">
        <w:rPr>
          <w:rFonts w:ascii="Arial" w:hAnsi="Arial" w:cs="Arial"/>
          <w:sz w:val="19"/>
          <w:szCs w:val="19"/>
          <w:lang w:val="es-ES"/>
        </w:rPr>
        <w:t>Artículos 46 al 73.</w:t>
      </w:r>
    </w:p>
    <w:p w:rsidRPr="00257AD6" w:rsidR="0000500B" w:rsidP="007D7047" w:rsidRDefault="0000500B" w14:paraId="2DE1DCBD" w14:textId="77777777">
      <w:pPr>
        <w:pStyle w:val="Textonotapie"/>
        <w:ind w:firstLine="709"/>
        <w:jc w:val="both"/>
        <w:rPr>
          <w:rFonts w:ascii="Arial" w:hAnsi="Arial" w:cs="Arial"/>
          <w:sz w:val="19"/>
          <w:szCs w:val="19"/>
          <w:lang w:val="es-ES"/>
        </w:rPr>
      </w:pPr>
    </w:p>
  </w:footnote>
  <w:footnote w:id="10">
    <w:p w:rsidRPr="00257AD6" w:rsidR="0000500B" w:rsidP="007D7047" w:rsidRDefault="0000500B" w14:paraId="4CDDFC07" w14:textId="77777777">
      <w:pPr>
        <w:pStyle w:val="Textonotapie"/>
        <w:ind w:firstLine="709"/>
        <w:jc w:val="both"/>
        <w:rPr>
          <w:rFonts w:ascii="Arial" w:hAnsi="Arial" w:cs="Arial"/>
          <w:sz w:val="19"/>
          <w:szCs w:val="19"/>
          <w:lang w:val="es-ES"/>
        </w:rPr>
      </w:pPr>
      <w:r w:rsidRPr="00257AD6">
        <w:rPr>
          <w:rStyle w:val="Refdenotaalpie"/>
          <w:rFonts w:ascii="Arial" w:hAnsi="Arial" w:cs="Arial"/>
        </w:rPr>
        <w:footnoteRef/>
      </w:r>
      <w:r w:rsidRPr="00257AD6">
        <w:rPr>
          <w:rFonts w:ascii="Arial" w:hAnsi="Arial" w:cs="Arial"/>
          <w:sz w:val="19"/>
          <w:szCs w:val="19"/>
        </w:rPr>
        <w:t xml:space="preserve"> </w:t>
      </w:r>
      <w:r w:rsidRPr="00257AD6">
        <w:rPr>
          <w:rFonts w:ascii="Arial" w:hAnsi="Arial" w:cs="Arial"/>
          <w:sz w:val="19"/>
          <w:szCs w:val="19"/>
          <w:lang w:val="es-ES"/>
        </w:rPr>
        <w:t>Artículos 74 al 83.</w:t>
      </w:r>
    </w:p>
    <w:p w:rsidRPr="00257AD6" w:rsidR="0000500B" w:rsidP="007D7047" w:rsidRDefault="0000500B" w14:paraId="7B1A6950" w14:textId="77777777">
      <w:pPr>
        <w:pStyle w:val="Textonotapie"/>
        <w:ind w:firstLine="709"/>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D3D44" w:rsidRDefault="003D3D44" w14:paraId="6520770B" w14:textId="1A2BB94C">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C52488C8"/>
    <w:lvl w:ilvl="0">
      <w:start w:val="1"/>
      <w:numFmt w:val="decimal"/>
      <w:lvlText w:val="%1."/>
      <w:lvlJc w:val="left"/>
      <w:pPr>
        <w:ind w:left="6601" w:hanging="360"/>
      </w:pPr>
      <w:rPr>
        <w:b/>
        <w:color w:val="000000" w:themeColor="text1"/>
        <w:lang w:val="es-C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30F5570"/>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023316"/>
    <w:multiLevelType w:val="multilevel"/>
    <w:tmpl w:val="27FEB9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hint="default" w:ascii="Arial" w:hAnsi="Arial" w:eastAsia="Arial" w:cs="Arial"/>
        <w:b/>
        <w:bCs/>
        <w:color w:val="auto"/>
        <w:spacing w:val="-8"/>
        <w:w w:val="100"/>
        <w:sz w:val="22"/>
        <w:szCs w:val="22"/>
        <w:lang w:val="es-ES" w:eastAsia="en-US" w:bidi="ar-SA"/>
      </w:rPr>
    </w:lvl>
    <w:lvl w:ilvl="1">
      <w:start w:val="1"/>
      <w:numFmt w:val="decimal"/>
      <w:lvlText w:val="%1.%2"/>
      <w:lvlJc w:val="left"/>
      <w:pPr>
        <w:ind w:left="665" w:hanging="365"/>
      </w:pPr>
      <w:rPr>
        <w:rFonts w:hint="default" w:ascii="Arial" w:hAnsi="Arial" w:eastAsia="Arial" w:cs="Arial"/>
        <w:b/>
        <w:bCs/>
        <w:color w:val="auto"/>
        <w:spacing w:val="-1"/>
        <w:w w:val="100"/>
        <w:sz w:val="22"/>
        <w:szCs w:val="22"/>
        <w:lang w:val="es-ES" w:eastAsia="en-US" w:bidi="ar-SA"/>
      </w:rPr>
    </w:lvl>
    <w:lvl w:ilvl="2">
      <w:start w:val="1"/>
      <w:numFmt w:val="decimal"/>
      <w:lvlText w:val="%3)"/>
      <w:lvlJc w:val="left"/>
      <w:pPr>
        <w:ind w:left="1008" w:hanging="265"/>
      </w:pPr>
      <w:rPr>
        <w:rFonts w:hint="default" w:ascii="Arial" w:hAnsi="Arial" w:eastAsia="Arial" w:cs="Arial"/>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3"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6"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597D4B97"/>
    <w:multiLevelType w:val="multilevel"/>
    <w:tmpl w:val="576C41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hAnsi="Arial" w:eastAsia="Calibri"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hint="default" w:ascii="Arial" w:hAnsi="Arial" w:cs="Arial" w:eastAsiaTheme="minorHAnsi"/>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hint="default" w:ascii="Arial" w:hAnsi="Arial" w:cs="Arial" w:eastAsiaTheme="minorHAns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6"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2"/>
  </w:num>
  <w:num w:numId="2">
    <w:abstractNumId w:val="10"/>
  </w:num>
  <w:num w:numId="3">
    <w:abstractNumId w:val="15"/>
  </w:num>
  <w:num w:numId="4">
    <w:abstractNumId w:val="18"/>
  </w:num>
  <w:num w:numId="5">
    <w:abstractNumId w:val="2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0"/>
  </w:num>
  <w:num w:numId="9">
    <w:abstractNumId w:val="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9"/>
  </w:num>
  <w:num w:numId="1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6"/>
  </w:num>
  <w:num w:numId="19">
    <w:abstractNumId w:val="4"/>
  </w:num>
  <w:num w:numId="20">
    <w:abstractNumId w:val="25"/>
  </w:num>
  <w:num w:numId="21">
    <w:abstractNumId w:val="17"/>
  </w:num>
  <w:num w:numId="22">
    <w:abstractNumId w:val="7"/>
  </w:num>
  <w:num w:numId="23">
    <w:abstractNumId w:val="6"/>
  </w:num>
  <w:num w:numId="24">
    <w:abstractNumId w:val="23"/>
  </w:num>
  <w:num w:numId="25">
    <w:abstractNumId w:val="19"/>
  </w:num>
  <w:num w:numId="26">
    <w:abstractNumId w:val="26"/>
  </w:num>
  <w:num w:numId="27">
    <w:abstractNumId w:val="8"/>
  </w:num>
  <w:num w:numId="28">
    <w:abstractNumId w:val="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dirty"/>
  <w:attachedTemplate r:id="rId1"/>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FFD"/>
    <w:rsid w:val="00002027"/>
    <w:rsid w:val="000020FE"/>
    <w:rsid w:val="00002173"/>
    <w:rsid w:val="000023B3"/>
    <w:rsid w:val="00002F75"/>
    <w:rsid w:val="000031A8"/>
    <w:rsid w:val="00003C5C"/>
    <w:rsid w:val="000040D7"/>
    <w:rsid w:val="000041FC"/>
    <w:rsid w:val="00004556"/>
    <w:rsid w:val="00004E47"/>
    <w:rsid w:val="0000500B"/>
    <w:rsid w:val="000051AF"/>
    <w:rsid w:val="000051E0"/>
    <w:rsid w:val="000059D3"/>
    <w:rsid w:val="00005B6D"/>
    <w:rsid w:val="00005FC5"/>
    <w:rsid w:val="0000600A"/>
    <w:rsid w:val="00006081"/>
    <w:rsid w:val="0000656F"/>
    <w:rsid w:val="000073C0"/>
    <w:rsid w:val="00007564"/>
    <w:rsid w:val="00007750"/>
    <w:rsid w:val="000077FD"/>
    <w:rsid w:val="00007E37"/>
    <w:rsid w:val="0001061E"/>
    <w:rsid w:val="00010C40"/>
    <w:rsid w:val="000112B4"/>
    <w:rsid w:val="0001193D"/>
    <w:rsid w:val="00011DCC"/>
    <w:rsid w:val="00012532"/>
    <w:rsid w:val="00012B0A"/>
    <w:rsid w:val="00012B9E"/>
    <w:rsid w:val="00012FBA"/>
    <w:rsid w:val="0001318A"/>
    <w:rsid w:val="0001334C"/>
    <w:rsid w:val="00013C6B"/>
    <w:rsid w:val="0001406B"/>
    <w:rsid w:val="000143F8"/>
    <w:rsid w:val="00014624"/>
    <w:rsid w:val="00014AA8"/>
    <w:rsid w:val="00014AC3"/>
    <w:rsid w:val="00015B44"/>
    <w:rsid w:val="00015CEE"/>
    <w:rsid w:val="00016081"/>
    <w:rsid w:val="000165AC"/>
    <w:rsid w:val="00016651"/>
    <w:rsid w:val="00016FE3"/>
    <w:rsid w:val="000171A2"/>
    <w:rsid w:val="000177F7"/>
    <w:rsid w:val="00017B65"/>
    <w:rsid w:val="00020158"/>
    <w:rsid w:val="000207E0"/>
    <w:rsid w:val="000209E2"/>
    <w:rsid w:val="00020F8F"/>
    <w:rsid w:val="00021A95"/>
    <w:rsid w:val="0002256F"/>
    <w:rsid w:val="00023746"/>
    <w:rsid w:val="00023DAE"/>
    <w:rsid w:val="00024896"/>
    <w:rsid w:val="00024DA6"/>
    <w:rsid w:val="00024E4E"/>
    <w:rsid w:val="00025217"/>
    <w:rsid w:val="00025254"/>
    <w:rsid w:val="00025D0A"/>
    <w:rsid w:val="000263F0"/>
    <w:rsid w:val="00026407"/>
    <w:rsid w:val="00026608"/>
    <w:rsid w:val="00026BBB"/>
    <w:rsid w:val="00027787"/>
    <w:rsid w:val="000278D2"/>
    <w:rsid w:val="0003095C"/>
    <w:rsid w:val="00030BD4"/>
    <w:rsid w:val="00031158"/>
    <w:rsid w:val="00031278"/>
    <w:rsid w:val="00031364"/>
    <w:rsid w:val="000314BD"/>
    <w:rsid w:val="000315E1"/>
    <w:rsid w:val="00031DD6"/>
    <w:rsid w:val="00031FF6"/>
    <w:rsid w:val="0003236E"/>
    <w:rsid w:val="0003339A"/>
    <w:rsid w:val="0003370C"/>
    <w:rsid w:val="000341F2"/>
    <w:rsid w:val="000343F8"/>
    <w:rsid w:val="00035046"/>
    <w:rsid w:val="000351F2"/>
    <w:rsid w:val="00036518"/>
    <w:rsid w:val="00036E03"/>
    <w:rsid w:val="000406DB"/>
    <w:rsid w:val="0004094D"/>
    <w:rsid w:val="00041029"/>
    <w:rsid w:val="0004149B"/>
    <w:rsid w:val="00042342"/>
    <w:rsid w:val="00042961"/>
    <w:rsid w:val="00042C25"/>
    <w:rsid w:val="00042D03"/>
    <w:rsid w:val="00043086"/>
    <w:rsid w:val="000430A0"/>
    <w:rsid w:val="00043D3B"/>
    <w:rsid w:val="0004418C"/>
    <w:rsid w:val="00044204"/>
    <w:rsid w:val="000449D4"/>
    <w:rsid w:val="00044F06"/>
    <w:rsid w:val="00045A00"/>
    <w:rsid w:val="0004610D"/>
    <w:rsid w:val="000463B5"/>
    <w:rsid w:val="00046717"/>
    <w:rsid w:val="00046A63"/>
    <w:rsid w:val="00046C09"/>
    <w:rsid w:val="0004716A"/>
    <w:rsid w:val="00047311"/>
    <w:rsid w:val="00047385"/>
    <w:rsid w:val="000473E8"/>
    <w:rsid w:val="00047F84"/>
    <w:rsid w:val="000504DE"/>
    <w:rsid w:val="000504E2"/>
    <w:rsid w:val="00051074"/>
    <w:rsid w:val="000526F0"/>
    <w:rsid w:val="0005273D"/>
    <w:rsid w:val="00052B79"/>
    <w:rsid w:val="00052E2F"/>
    <w:rsid w:val="00052EA0"/>
    <w:rsid w:val="000531F8"/>
    <w:rsid w:val="000536A7"/>
    <w:rsid w:val="000536E3"/>
    <w:rsid w:val="00053896"/>
    <w:rsid w:val="0005463D"/>
    <w:rsid w:val="0005474D"/>
    <w:rsid w:val="00055CB9"/>
    <w:rsid w:val="00056CD0"/>
    <w:rsid w:val="00056F66"/>
    <w:rsid w:val="0005702F"/>
    <w:rsid w:val="00057887"/>
    <w:rsid w:val="00057B43"/>
    <w:rsid w:val="000601EE"/>
    <w:rsid w:val="0006089F"/>
    <w:rsid w:val="00061010"/>
    <w:rsid w:val="00061471"/>
    <w:rsid w:val="00061D06"/>
    <w:rsid w:val="00062CDD"/>
    <w:rsid w:val="000635D9"/>
    <w:rsid w:val="000640AF"/>
    <w:rsid w:val="00064940"/>
    <w:rsid w:val="00064CAE"/>
    <w:rsid w:val="00064DB7"/>
    <w:rsid w:val="00064FA7"/>
    <w:rsid w:val="00065195"/>
    <w:rsid w:val="0006533E"/>
    <w:rsid w:val="0006536C"/>
    <w:rsid w:val="00065C8D"/>
    <w:rsid w:val="000669CB"/>
    <w:rsid w:val="00066A59"/>
    <w:rsid w:val="00066E52"/>
    <w:rsid w:val="00070A09"/>
    <w:rsid w:val="00070AF1"/>
    <w:rsid w:val="000714DE"/>
    <w:rsid w:val="00071E45"/>
    <w:rsid w:val="0007254F"/>
    <w:rsid w:val="0007331E"/>
    <w:rsid w:val="00073C30"/>
    <w:rsid w:val="00074305"/>
    <w:rsid w:val="000744D0"/>
    <w:rsid w:val="00074B2A"/>
    <w:rsid w:val="00074EEE"/>
    <w:rsid w:val="000753D5"/>
    <w:rsid w:val="00075B3E"/>
    <w:rsid w:val="00076456"/>
    <w:rsid w:val="000767B5"/>
    <w:rsid w:val="00077173"/>
    <w:rsid w:val="0007719D"/>
    <w:rsid w:val="0007779B"/>
    <w:rsid w:val="000777E7"/>
    <w:rsid w:val="0007790A"/>
    <w:rsid w:val="00077CD9"/>
    <w:rsid w:val="00077E09"/>
    <w:rsid w:val="0008017B"/>
    <w:rsid w:val="000808C5"/>
    <w:rsid w:val="000809DA"/>
    <w:rsid w:val="00080ACD"/>
    <w:rsid w:val="000811ED"/>
    <w:rsid w:val="00081741"/>
    <w:rsid w:val="00081D62"/>
    <w:rsid w:val="00082303"/>
    <w:rsid w:val="00082B74"/>
    <w:rsid w:val="00083099"/>
    <w:rsid w:val="00083452"/>
    <w:rsid w:val="00083535"/>
    <w:rsid w:val="00083B4A"/>
    <w:rsid w:val="00083EDC"/>
    <w:rsid w:val="000842BE"/>
    <w:rsid w:val="00084B5A"/>
    <w:rsid w:val="00084B97"/>
    <w:rsid w:val="00084F34"/>
    <w:rsid w:val="0008510E"/>
    <w:rsid w:val="000852D8"/>
    <w:rsid w:val="000856DE"/>
    <w:rsid w:val="00085F17"/>
    <w:rsid w:val="00085FB0"/>
    <w:rsid w:val="00085FB3"/>
    <w:rsid w:val="00086092"/>
    <w:rsid w:val="000866F8"/>
    <w:rsid w:val="0008686B"/>
    <w:rsid w:val="00086B2A"/>
    <w:rsid w:val="00086BD1"/>
    <w:rsid w:val="00086ED2"/>
    <w:rsid w:val="000874F7"/>
    <w:rsid w:val="00087C89"/>
    <w:rsid w:val="00090A6A"/>
    <w:rsid w:val="00091354"/>
    <w:rsid w:val="000914D6"/>
    <w:rsid w:val="00091569"/>
    <w:rsid w:val="00092CDB"/>
    <w:rsid w:val="00092DCA"/>
    <w:rsid w:val="00092F40"/>
    <w:rsid w:val="00093085"/>
    <w:rsid w:val="00093D14"/>
    <w:rsid w:val="000941AF"/>
    <w:rsid w:val="000942EB"/>
    <w:rsid w:val="00095B70"/>
    <w:rsid w:val="00095D3C"/>
    <w:rsid w:val="0009617E"/>
    <w:rsid w:val="0009628D"/>
    <w:rsid w:val="0009670F"/>
    <w:rsid w:val="00097342"/>
    <w:rsid w:val="00097446"/>
    <w:rsid w:val="000979CF"/>
    <w:rsid w:val="00097FCD"/>
    <w:rsid w:val="000A03C8"/>
    <w:rsid w:val="000A05F2"/>
    <w:rsid w:val="000A06C4"/>
    <w:rsid w:val="000A0861"/>
    <w:rsid w:val="000A0ED1"/>
    <w:rsid w:val="000A12DB"/>
    <w:rsid w:val="000A1576"/>
    <w:rsid w:val="000A17C8"/>
    <w:rsid w:val="000A1B74"/>
    <w:rsid w:val="000A20D7"/>
    <w:rsid w:val="000A2128"/>
    <w:rsid w:val="000A2D7B"/>
    <w:rsid w:val="000A362F"/>
    <w:rsid w:val="000A3B49"/>
    <w:rsid w:val="000A47CD"/>
    <w:rsid w:val="000A47E6"/>
    <w:rsid w:val="000A52C0"/>
    <w:rsid w:val="000A5AAF"/>
    <w:rsid w:val="000A5E0E"/>
    <w:rsid w:val="000A5F97"/>
    <w:rsid w:val="000A63A0"/>
    <w:rsid w:val="000A648E"/>
    <w:rsid w:val="000A6DAD"/>
    <w:rsid w:val="000A738A"/>
    <w:rsid w:val="000A73BB"/>
    <w:rsid w:val="000A7A65"/>
    <w:rsid w:val="000A7EF4"/>
    <w:rsid w:val="000B0A15"/>
    <w:rsid w:val="000B103F"/>
    <w:rsid w:val="000B1437"/>
    <w:rsid w:val="000B1470"/>
    <w:rsid w:val="000B244D"/>
    <w:rsid w:val="000B2570"/>
    <w:rsid w:val="000B27DC"/>
    <w:rsid w:val="000B2991"/>
    <w:rsid w:val="000B2B86"/>
    <w:rsid w:val="000B3051"/>
    <w:rsid w:val="000B419B"/>
    <w:rsid w:val="000B4C4E"/>
    <w:rsid w:val="000B5781"/>
    <w:rsid w:val="000B5CB1"/>
    <w:rsid w:val="000B6C36"/>
    <w:rsid w:val="000B6D08"/>
    <w:rsid w:val="000C0185"/>
    <w:rsid w:val="000C0F81"/>
    <w:rsid w:val="000C128D"/>
    <w:rsid w:val="000C17A3"/>
    <w:rsid w:val="000C1D4B"/>
    <w:rsid w:val="000C1F42"/>
    <w:rsid w:val="000C2DC4"/>
    <w:rsid w:val="000C3260"/>
    <w:rsid w:val="000C3729"/>
    <w:rsid w:val="000C3B77"/>
    <w:rsid w:val="000C3F6D"/>
    <w:rsid w:val="000C49D9"/>
    <w:rsid w:val="000C4B90"/>
    <w:rsid w:val="000C4D09"/>
    <w:rsid w:val="000C4EA0"/>
    <w:rsid w:val="000C4F49"/>
    <w:rsid w:val="000C539B"/>
    <w:rsid w:val="000C582C"/>
    <w:rsid w:val="000C5861"/>
    <w:rsid w:val="000C5BDE"/>
    <w:rsid w:val="000C5C4C"/>
    <w:rsid w:val="000C639D"/>
    <w:rsid w:val="000C6946"/>
    <w:rsid w:val="000C6C31"/>
    <w:rsid w:val="000C6DBC"/>
    <w:rsid w:val="000C6F79"/>
    <w:rsid w:val="000C7476"/>
    <w:rsid w:val="000C7711"/>
    <w:rsid w:val="000C7AA2"/>
    <w:rsid w:val="000C7D4D"/>
    <w:rsid w:val="000D0462"/>
    <w:rsid w:val="000D053D"/>
    <w:rsid w:val="000D0ED2"/>
    <w:rsid w:val="000D1CEB"/>
    <w:rsid w:val="000D2563"/>
    <w:rsid w:val="000D25BF"/>
    <w:rsid w:val="000D299D"/>
    <w:rsid w:val="000D29EF"/>
    <w:rsid w:val="000D3282"/>
    <w:rsid w:val="000D3FDC"/>
    <w:rsid w:val="000D490B"/>
    <w:rsid w:val="000D4E38"/>
    <w:rsid w:val="000D4EBB"/>
    <w:rsid w:val="000D4EFA"/>
    <w:rsid w:val="000D50DB"/>
    <w:rsid w:val="000D5C8B"/>
    <w:rsid w:val="000D5EF9"/>
    <w:rsid w:val="000D6288"/>
    <w:rsid w:val="000D6B5E"/>
    <w:rsid w:val="000D7541"/>
    <w:rsid w:val="000D75E1"/>
    <w:rsid w:val="000D79F4"/>
    <w:rsid w:val="000E047D"/>
    <w:rsid w:val="000E0519"/>
    <w:rsid w:val="000E056A"/>
    <w:rsid w:val="000E0D5A"/>
    <w:rsid w:val="000E18DB"/>
    <w:rsid w:val="000E22CF"/>
    <w:rsid w:val="000E2977"/>
    <w:rsid w:val="000E2CC0"/>
    <w:rsid w:val="000E30AC"/>
    <w:rsid w:val="000E3B46"/>
    <w:rsid w:val="000E3E11"/>
    <w:rsid w:val="000E40A7"/>
    <w:rsid w:val="000E4596"/>
    <w:rsid w:val="000E48D2"/>
    <w:rsid w:val="000E5768"/>
    <w:rsid w:val="000E5843"/>
    <w:rsid w:val="000E5E20"/>
    <w:rsid w:val="000E6139"/>
    <w:rsid w:val="000E6BE1"/>
    <w:rsid w:val="000E6E63"/>
    <w:rsid w:val="000E7DC5"/>
    <w:rsid w:val="000E7E0B"/>
    <w:rsid w:val="000E7EA3"/>
    <w:rsid w:val="000F0136"/>
    <w:rsid w:val="000F078A"/>
    <w:rsid w:val="000F0FB9"/>
    <w:rsid w:val="000F122D"/>
    <w:rsid w:val="000F1450"/>
    <w:rsid w:val="000F14E8"/>
    <w:rsid w:val="000F1BBD"/>
    <w:rsid w:val="000F290F"/>
    <w:rsid w:val="000F3978"/>
    <w:rsid w:val="000F4403"/>
    <w:rsid w:val="000F4702"/>
    <w:rsid w:val="000F480B"/>
    <w:rsid w:val="000F4E17"/>
    <w:rsid w:val="000F59E8"/>
    <w:rsid w:val="000F5D2E"/>
    <w:rsid w:val="000F6578"/>
    <w:rsid w:val="000F70CF"/>
    <w:rsid w:val="000F7BF3"/>
    <w:rsid w:val="000F7D1B"/>
    <w:rsid w:val="000F7E8F"/>
    <w:rsid w:val="000F7FBB"/>
    <w:rsid w:val="001000FB"/>
    <w:rsid w:val="00100A9E"/>
    <w:rsid w:val="00100F6A"/>
    <w:rsid w:val="001021F3"/>
    <w:rsid w:val="00102605"/>
    <w:rsid w:val="00102686"/>
    <w:rsid w:val="00102745"/>
    <w:rsid w:val="00103348"/>
    <w:rsid w:val="0010361C"/>
    <w:rsid w:val="00103795"/>
    <w:rsid w:val="00103915"/>
    <w:rsid w:val="00103EA0"/>
    <w:rsid w:val="00104F1C"/>
    <w:rsid w:val="001051E5"/>
    <w:rsid w:val="00105A74"/>
    <w:rsid w:val="00105AB9"/>
    <w:rsid w:val="00105ACB"/>
    <w:rsid w:val="00105AEF"/>
    <w:rsid w:val="00105FA3"/>
    <w:rsid w:val="00106259"/>
    <w:rsid w:val="00106783"/>
    <w:rsid w:val="001068EB"/>
    <w:rsid w:val="00106F30"/>
    <w:rsid w:val="00107328"/>
    <w:rsid w:val="001078CE"/>
    <w:rsid w:val="00107FBF"/>
    <w:rsid w:val="00110289"/>
    <w:rsid w:val="00110F61"/>
    <w:rsid w:val="00110F7C"/>
    <w:rsid w:val="001111BD"/>
    <w:rsid w:val="0011165A"/>
    <w:rsid w:val="001116C6"/>
    <w:rsid w:val="00111B2B"/>
    <w:rsid w:val="00112774"/>
    <w:rsid w:val="00112B2E"/>
    <w:rsid w:val="00112B7F"/>
    <w:rsid w:val="00113003"/>
    <w:rsid w:val="00113062"/>
    <w:rsid w:val="00113657"/>
    <w:rsid w:val="00113705"/>
    <w:rsid w:val="00113975"/>
    <w:rsid w:val="00113CFC"/>
    <w:rsid w:val="00113FEA"/>
    <w:rsid w:val="00114003"/>
    <w:rsid w:val="00114049"/>
    <w:rsid w:val="00114631"/>
    <w:rsid w:val="00114A22"/>
    <w:rsid w:val="00114E9D"/>
    <w:rsid w:val="00115002"/>
    <w:rsid w:val="0011507B"/>
    <w:rsid w:val="0011627A"/>
    <w:rsid w:val="00116328"/>
    <w:rsid w:val="001163CF"/>
    <w:rsid w:val="001174C9"/>
    <w:rsid w:val="00117E69"/>
    <w:rsid w:val="00120409"/>
    <w:rsid w:val="001204D2"/>
    <w:rsid w:val="00120DA2"/>
    <w:rsid w:val="001210B5"/>
    <w:rsid w:val="00121103"/>
    <w:rsid w:val="001215B2"/>
    <w:rsid w:val="00121BAB"/>
    <w:rsid w:val="00121E3C"/>
    <w:rsid w:val="00122161"/>
    <w:rsid w:val="00122B23"/>
    <w:rsid w:val="00122B7E"/>
    <w:rsid w:val="00123FB5"/>
    <w:rsid w:val="0012400F"/>
    <w:rsid w:val="001249DC"/>
    <w:rsid w:val="0012572D"/>
    <w:rsid w:val="00125BED"/>
    <w:rsid w:val="00125C59"/>
    <w:rsid w:val="00125D4F"/>
    <w:rsid w:val="00125DDE"/>
    <w:rsid w:val="001266DB"/>
    <w:rsid w:val="00127004"/>
    <w:rsid w:val="00127AF2"/>
    <w:rsid w:val="00127DCB"/>
    <w:rsid w:val="00127EDC"/>
    <w:rsid w:val="00127F6D"/>
    <w:rsid w:val="00127FF6"/>
    <w:rsid w:val="00130355"/>
    <w:rsid w:val="00130365"/>
    <w:rsid w:val="0013158E"/>
    <w:rsid w:val="0013182D"/>
    <w:rsid w:val="00131B5A"/>
    <w:rsid w:val="00131CA8"/>
    <w:rsid w:val="0013237B"/>
    <w:rsid w:val="00132C30"/>
    <w:rsid w:val="00132EFD"/>
    <w:rsid w:val="00133AED"/>
    <w:rsid w:val="00134E09"/>
    <w:rsid w:val="00134E7E"/>
    <w:rsid w:val="00135DB9"/>
    <w:rsid w:val="001360C5"/>
    <w:rsid w:val="00136394"/>
    <w:rsid w:val="0013695C"/>
    <w:rsid w:val="00136BF7"/>
    <w:rsid w:val="001370C0"/>
    <w:rsid w:val="001378B9"/>
    <w:rsid w:val="00137FFA"/>
    <w:rsid w:val="00140109"/>
    <w:rsid w:val="00140157"/>
    <w:rsid w:val="0014029B"/>
    <w:rsid w:val="00140464"/>
    <w:rsid w:val="0014049C"/>
    <w:rsid w:val="001407A1"/>
    <w:rsid w:val="00140A4F"/>
    <w:rsid w:val="001413AB"/>
    <w:rsid w:val="00141DBF"/>
    <w:rsid w:val="0014275B"/>
    <w:rsid w:val="00142EFD"/>
    <w:rsid w:val="00142F55"/>
    <w:rsid w:val="0014430C"/>
    <w:rsid w:val="00144335"/>
    <w:rsid w:val="0014502F"/>
    <w:rsid w:val="00145282"/>
    <w:rsid w:val="001453B0"/>
    <w:rsid w:val="001454D9"/>
    <w:rsid w:val="00145D8E"/>
    <w:rsid w:val="00146083"/>
    <w:rsid w:val="001462F7"/>
    <w:rsid w:val="00146B92"/>
    <w:rsid w:val="00147046"/>
    <w:rsid w:val="00147BED"/>
    <w:rsid w:val="00147F35"/>
    <w:rsid w:val="00150005"/>
    <w:rsid w:val="00150520"/>
    <w:rsid w:val="0015053E"/>
    <w:rsid w:val="00150795"/>
    <w:rsid w:val="001518D7"/>
    <w:rsid w:val="00151AEB"/>
    <w:rsid w:val="00151B99"/>
    <w:rsid w:val="00151C1E"/>
    <w:rsid w:val="001521B2"/>
    <w:rsid w:val="00152EDD"/>
    <w:rsid w:val="00153451"/>
    <w:rsid w:val="00153491"/>
    <w:rsid w:val="0015361C"/>
    <w:rsid w:val="001536A6"/>
    <w:rsid w:val="0015372F"/>
    <w:rsid w:val="00153BFB"/>
    <w:rsid w:val="0015407E"/>
    <w:rsid w:val="00154410"/>
    <w:rsid w:val="0015448E"/>
    <w:rsid w:val="00154A6F"/>
    <w:rsid w:val="00155D08"/>
    <w:rsid w:val="00155F93"/>
    <w:rsid w:val="00156BE5"/>
    <w:rsid w:val="00157232"/>
    <w:rsid w:val="001603CE"/>
    <w:rsid w:val="00160401"/>
    <w:rsid w:val="001607BE"/>
    <w:rsid w:val="00160D4E"/>
    <w:rsid w:val="00160DF9"/>
    <w:rsid w:val="00161A20"/>
    <w:rsid w:val="00161DDA"/>
    <w:rsid w:val="00161E62"/>
    <w:rsid w:val="00161F1C"/>
    <w:rsid w:val="0016200B"/>
    <w:rsid w:val="00162013"/>
    <w:rsid w:val="0016229A"/>
    <w:rsid w:val="001627F3"/>
    <w:rsid w:val="00163D7A"/>
    <w:rsid w:val="00163E3A"/>
    <w:rsid w:val="00164281"/>
    <w:rsid w:val="00164FBF"/>
    <w:rsid w:val="001650F6"/>
    <w:rsid w:val="00165610"/>
    <w:rsid w:val="00165703"/>
    <w:rsid w:val="0016685F"/>
    <w:rsid w:val="0016712F"/>
    <w:rsid w:val="00167503"/>
    <w:rsid w:val="001676A9"/>
    <w:rsid w:val="00167895"/>
    <w:rsid w:val="00167A15"/>
    <w:rsid w:val="00167A50"/>
    <w:rsid w:val="00167DF5"/>
    <w:rsid w:val="00170001"/>
    <w:rsid w:val="00172198"/>
    <w:rsid w:val="001722A3"/>
    <w:rsid w:val="00172612"/>
    <w:rsid w:val="00172817"/>
    <w:rsid w:val="00172944"/>
    <w:rsid w:val="001734E3"/>
    <w:rsid w:val="00173F91"/>
    <w:rsid w:val="001742BF"/>
    <w:rsid w:val="001747DB"/>
    <w:rsid w:val="0017513B"/>
    <w:rsid w:val="00175E49"/>
    <w:rsid w:val="0017649F"/>
    <w:rsid w:val="001764FD"/>
    <w:rsid w:val="0017655D"/>
    <w:rsid w:val="00177F50"/>
    <w:rsid w:val="001802FF"/>
    <w:rsid w:val="001805C1"/>
    <w:rsid w:val="001807AC"/>
    <w:rsid w:val="001807B6"/>
    <w:rsid w:val="00180A2E"/>
    <w:rsid w:val="0018107C"/>
    <w:rsid w:val="001813AF"/>
    <w:rsid w:val="001829CD"/>
    <w:rsid w:val="00182BC4"/>
    <w:rsid w:val="00182F01"/>
    <w:rsid w:val="00183CAA"/>
    <w:rsid w:val="00183FCD"/>
    <w:rsid w:val="00184BDF"/>
    <w:rsid w:val="00184F27"/>
    <w:rsid w:val="0018519B"/>
    <w:rsid w:val="001853AC"/>
    <w:rsid w:val="00185966"/>
    <w:rsid w:val="00185A2D"/>
    <w:rsid w:val="00185AFE"/>
    <w:rsid w:val="00185BE0"/>
    <w:rsid w:val="00185E78"/>
    <w:rsid w:val="00187061"/>
    <w:rsid w:val="00187177"/>
    <w:rsid w:val="00187ABD"/>
    <w:rsid w:val="001904E3"/>
    <w:rsid w:val="0019087A"/>
    <w:rsid w:val="00191473"/>
    <w:rsid w:val="00191C5A"/>
    <w:rsid w:val="00191CEB"/>
    <w:rsid w:val="00191E63"/>
    <w:rsid w:val="00192531"/>
    <w:rsid w:val="0019258A"/>
    <w:rsid w:val="00192D68"/>
    <w:rsid w:val="00192DE3"/>
    <w:rsid w:val="0019388B"/>
    <w:rsid w:val="00193B9A"/>
    <w:rsid w:val="001940ED"/>
    <w:rsid w:val="00194335"/>
    <w:rsid w:val="001946AE"/>
    <w:rsid w:val="001946D5"/>
    <w:rsid w:val="00194804"/>
    <w:rsid w:val="00194DE7"/>
    <w:rsid w:val="00194E8C"/>
    <w:rsid w:val="00195B49"/>
    <w:rsid w:val="00195C5F"/>
    <w:rsid w:val="001962EC"/>
    <w:rsid w:val="0019638E"/>
    <w:rsid w:val="001963DD"/>
    <w:rsid w:val="001965DB"/>
    <w:rsid w:val="00196D01"/>
    <w:rsid w:val="00196DC9"/>
    <w:rsid w:val="00196E95"/>
    <w:rsid w:val="00196FB6"/>
    <w:rsid w:val="00197CF9"/>
    <w:rsid w:val="001A0236"/>
    <w:rsid w:val="001A0427"/>
    <w:rsid w:val="001A0930"/>
    <w:rsid w:val="001A0A2A"/>
    <w:rsid w:val="001A0AF8"/>
    <w:rsid w:val="001A15B9"/>
    <w:rsid w:val="001A18D5"/>
    <w:rsid w:val="001A19BA"/>
    <w:rsid w:val="001A1A38"/>
    <w:rsid w:val="001A1BE0"/>
    <w:rsid w:val="001A1D4A"/>
    <w:rsid w:val="001A3011"/>
    <w:rsid w:val="001A32CA"/>
    <w:rsid w:val="001A4331"/>
    <w:rsid w:val="001A476E"/>
    <w:rsid w:val="001A4A9B"/>
    <w:rsid w:val="001A4DAF"/>
    <w:rsid w:val="001A54CD"/>
    <w:rsid w:val="001A66DF"/>
    <w:rsid w:val="001A67D0"/>
    <w:rsid w:val="001A6863"/>
    <w:rsid w:val="001A7109"/>
    <w:rsid w:val="001A7591"/>
    <w:rsid w:val="001A75B1"/>
    <w:rsid w:val="001A7AA9"/>
    <w:rsid w:val="001A7B06"/>
    <w:rsid w:val="001A7EE8"/>
    <w:rsid w:val="001B0268"/>
    <w:rsid w:val="001B0366"/>
    <w:rsid w:val="001B0444"/>
    <w:rsid w:val="001B096B"/>
    <w:rsid w:val="001B0F9F"/>
    <w:rsid w:val="001B0FAA"/>
    <w:rsid w:val="001B123C"/>
    <w:rsid w:val="001B129B"/>
    <w:rsid w:val="001B1A0D"/>
    <w:rsid w:val="001B1BF1"/>
    <w:rsid w:val="001B1C97"/>
    <w:rsid w:val="001B2456"/>
    <w:rsid w:val="001B246B"/>
    <w:rsid w:val="001B255B"/>
    <w:rsid w:val="001B449C"/>
    <w:rsid w:val="001B4AA2"/>
    <w:rsid w:val="001B4ADE"/>
    <w:rsid w:val="001B4C14"/>
    <w:rsid w:val="001B5ABB"/>
    <w:rsid w:val="001B5EF8"/>
    <w:rsid w:val="001B615D"/>
    <w:rsid w:val="001B63A1"/>
    <w:rsid w:val="001C07C6"/>
    <w:rsid w:val="001C19CD"/>
    <w:rsid w:val="001C22D5"/>
    <w:rsid w:val="001C2394"/>
    <w:rsid w:val="001C2515"/>
    <w:rsid w:val="001C26FB"/>
    <w:rsid w:val="001C2BE4"/>
    <w:rsid w:val="001C33C1"/>
    <w:rsid w:val="001C3B31"/>
    <w:rsid w:val="001C3E30"/>
    <w:rsid w:val="001C3E5C"/>
    <w:rsid w:val="001C5072"/>
    <w:rsid w:val="001C5B2A"/>
    <w:rsid w:val="001C600B"/>
    <w:rsid w:val="001C6898"/>
    <w:rsid w:val="001C6DD8"/>
    <w:rsid w:val="001C6DFF"/>
    <w:rsid w:val="001C75C1"/>
    <w:rsid w:val="001C7C7B"/>
    <w:rsid w:val="001D068D"/>
    <w:rsid w:val="001D0BDE"/>
    <w:rsid w:val="001D0D77"/>
    <w:rsid w:val="001D0E93"/>
    <w:rsid w:val="001D0EC9"/>
    <w:rsid w:val="001D1014"/>
    <w:rsid w:val="001D12D1"/>
    <w:rsid w:val="001D1435"/>
    <w:rsid w:val="001D15DF"/>
    <w:rsid w:val="001D30F3"/>
    <w:rsid w:val="001D31A0"/>
    <w:rsid w:val="001D338E"/>
    <w:rsid w:val="001D3864"/>
    <w:rsid w:val="001D3EAE"/>
    <w:rsid w:val="001D4F13"/>
    <w:rsid w:val="001D56E9"/>
    <w:rsid w:val="001D5922"/>
    <w:rsid w:val="001D5EE1"/>
    <w:rsid w:val="001D62D4"/>
    <w:rsid w:val="001D653E"/>
    <w:rsid w:val="001D6CDD"/>
    <w:rsid w:val="001D718C"/>
    <w:rsid w:val="001D796A"/>
    <w:rsid w:val="001D7A16"/>
    <w:rsid w:val="001D7A84"/>
    <w:rsid w:val="001D7C79"/>
    <w:rsid w:val="001E003B"/>
    <w:rsid w:val="001E1050"/>
    <w:rsid w:val="001E12FF"/>
    <w:rsid w:val="001E1CC4"/>
    <w:rsid w:val="001E1D38"/>
    <w:rsid w:val="001E2737"/>
    <w:rsid w:val="001E28A0"/>
    <w:rsid w:val="001E2ECF"/>
    <w:rsid w:val="001E3F3C"/>
    <w:rsid w:val="001E4258"/>
    <w:rsid w:val="001E44EA"/>
    <w:rsid w:val="001E5AEF"/>
    <w:rsid w:val="001E5B65"/>
    <w:rsid w:val="001E5D6A"/>
    <w:rsid w:val="001E6A94"/>
    <w:rsid w:val="001E70FB"/>
    <w:rsid w:val="001E780A"/>
    <w:rsid w:val="001F0C34"/>
    <w:rsid w:val="001F0FA0"/>
    <w:rsid w:val="001F1349"/>
    <w:rsid w:val="001F1863"/>
    <w:rsid w:val="001F2356"/>
    <w:rsid w:val="001F25CA"/>
    <w:rsid w:val="001F2A68"/>
    <w:rsid w:val="001F2F56"/>
    <w:rsid w:val="001F38F9"/>
    <w:rsid w:val="001F3E63"/>
    <w:rsid w:val="001F4773"/>
    <w:rsid w:val="001F5008"/>
    <w:rsid w:val="001F5089"/>
    <w:rsid w:val="001F51A9"/>
    <w:rsid w:val="001F56AA"/>
    <w:rsid w:val="001F58AA"/>
    <w:rsid w:val="001F5A4E"/>
    <w:rsid w:val="001F5C3E"/>
    <w:rsid w:val="001F5EF6"/>
    <w:rsid w:val="001F657F"/>
    <w:rsid w:val="001F6FB6"/>
    <w:rsid w:val="001F72BB"/>
    <w:rsid w:val="001F7978"/>
    <w:rsid w:val="001F7A0E"/>
    <w:rsid w:val="0020022E"/>
    <w:rsid w:val="0020054E"/>
    <w:rsid w:val="00201260"/>
    <w:rsid w:val="00201AC4"/>
    <w:rsid w:val="00201BFF"/>
    <w:rsid w:val="00201F1E"/>
    <w:rsid w:val="0020299B"/>
    <w:rsid w:val="00202E44"/>
    <w:rsid w:val="002037AA"/>
    <w:rsid w:val="00203FE3"/>
    <w:rsid w:val="002042D8"/>
    <w:rsid w:val="00204515"/>
    <w:rsid w:val="00204A2E"/>
    <w:rsid w:val="00204BF5"/>
    <w:rsid w:val="00204E6B"/>
    <w:rsid w:val="00204EF3"/>
    <w:rsid w:val="002053EF"/>
    <w:rsid w:val="002058D4"/>
    <w:rsid w:val="0020632A"/>
    <w:rsid w:val="0020697F"/>
    <w:rsid w:val="00206EB3"/>
    <w:rsid w:val="0021090E"/>
    <w:rsid w:val="002110EB"/>
    <w:rsid w:val="00211338"/>
    <w:rsid w:val="00211388"/>
    <w:rsid w:val="0021148C"/>
    <w:rsid w:val="00211694"/>
    <w:rsid w:val="0021201A"/>
    <w:rsid w:val="002121B0"/>
    <w:rsid w:val="002122A5"/>
    <w:rsid w:val="00212DBE"/>
    <w:rsid w:val="00212F84"/>
    <w:rsid w:val="002138FE"/>
    <w:rsid w:val="00213A1F"/>
    <w:rsid w:val="00213C63"/>
    <w:rsid w:val="00214502"/>
    <w:rsid w:val="00214741"/>
    <w:rsid w:val="00214BB7"/>
    <w:rsid w:val="0021539A"/>
    <w:rsid w:val="00215852"/>
    <w:rsid w:val="002159CD"/>
    <w:rsid w:val="00215B8E"/>
    <w:rsid w:val="00216264"/>
    <w:rsid w:val="002176B6"/>
    <w:rsid w:val="0021792D"/>
    <w:rsid w:val="00217DB8"/>
    <w:rsid w:val="002202CE"/>
    <w:rsid w:val="0022032A"/>
    <w:rsid w:val="00221715"/>
    <w:rsid w:val="0022194E"/>
    <w:rsid w:val="002220B1"/>
    <w:rsid w:val="002221CE"/>
    <w:rsid w:val="00222BE8"/>
    <w:rsid w:val="00222F7B"/>
    <w:rsid w:val="00223102"/>
    <w:rsid w:val="002232CB"/>
    <w:rsid w:val="00224022"/>
    <w:rsid w:val="00224A66"/>
    <w:rsid w:val="00226055"/>
    <w:rsid w:val="0022613F"/>
    <w:rsid w:val="00226236"/>
    <w:rsid w:val="002269B2"/>
    <w:rsid w:val="002270C9"/>
    <w:rsid w:val="002274AD"/>
    <w:rsid w:val="00227A41"/>
    <w:rsid w:val="00227A8B"/>
    <w:rsid w:val="00227DB8"/>
    <w:rsid w:val="0023146B"/>
    <w:rsid w:val="00231548"/>
    <w:rsid w:val="002315A0"/>
    <w:rsid w:val="0023161C"/>
    <w:rsid w:val="00231748"/>
    <w:rsid w:val="00231AE0"/>
    <w:rsid w:val="00231BEE"/>
    <w:rsid w:val="00231EC7"/>
    <w:rsid w:val="0023246C"/>
    <w:rsid w:val="00232E08"/>
    <w:rsid w:val="00232E15"/>
    <w:rsid w:val="00233079"/>
    <w:rsid w:val="002335FE"/>
    <w:rsid w:val="00233607"/>
    <w:rsid w:val="0023382C"/>
    <w:rsid w:val="00233977"/>
    <w:rsid w:val="00233C58"/>
    <w:rsid w:val="00233C71"/>
    <w:rsid w:val="002345B6"/>
    <w:rsid w:val="002347A6"/>
    <w:rsid w:val="00234B84"/>
    <w:rsid w:val="00236016"/>
    <w:rsid w:val="002363AC"/>
    <w:rsid w:val="00237065"/>
    <w:rsid w:val="00237589"/>
    <w:rsid w:val="0023758D"/>
    <w:rsid w:val="002375A7"/>
    <w:rsid w:val="0023798D"/>
    <w:rsid w:val="0024019A"/>
    <w:rsid w:val="00241146"/>
    <w:rsid w:val="0024120F"/>
    <w:rsid w:val="0024131D"/>
    <w:rsid w:val="002415B8"/>
    <w:rsid w:val="00242D62"/>
    <w:rsid w:val="002430BF"/>
    <w:rsid w:val="002430D0"/>
    <w:rsid w:val="002431D7"/>
    <w:rsid w:val="002433AE"/>
    <w:rsid w:val="00244058"/>
    <w:rsid w:val="002445E6"/>
    <w:rsid w:val="0024489B"/>
    <w:rsid w:val="002450F5"/>
    <w:rsid w:val="00245718"/>
    <w:rsid w:val="00245E07"/>
    <w:rsid w:val="00245E42"/>
    <w:rsid w:val="00246AEC"/>
    <w:rsid w:val="00246D2A"/>
    <w:rsid w:val="00247712"/>
    <w:rsid w:val="00247874"/>
    <w:rsid w:val="00247E37"/>
    <w:rsid w:val="00247F95"/>
    <w:rsid w:val="002500ED"/>
    <w:rsid w:val="00250EC6"/>
    <w:rsid w:val="002515C7"/>
    <w:rsid w:val="00251866"/>
    <w:rsid w:val="00251A9F"/>
    <w:rsid w:val="002522CE"/>
    <w:rsid w:val="00252492"/>
    <w:rsid w:val="00252B35"/>
    <w:rsid w:val="00252EED"/>
    <w:rsid w:val="0025316D"/>
    <w:rsid w:val="00253951"/>
    <w:rsid w:val="00253A02"/>
    <w:rsid w:val="00253B81"/>
    <w:rsid w:val="00254292"/>
    <w:rsid w:val="002554DE"/>
    <w:rsid w:val="00255575"/>
    <w:rsid w:val="00255E11"/>
    <w:rsid w:val="00256835"/>
    <w:rsid w:val="002569F0"/>
    <w:rsid w:val="00256E1A"/>
    <w:rsid w:val="00256E30"/>
    <w:rsid w:val="00256ECF"/>
    <w:rsid w:val="002573FB"/>
    <w:rsid w:val="00257730"/>
    <w:rsid w:val="00257999"/>
    <w:rsid w:val="00257AD6"/>
    <w:rsid w:val="002604AA"/>
    <w:rsid w:val="00260AF8"/>
    <w:rsid w:val="0026129B"/>
    <w:rsid w:val="00261560"/>
    <w:rsid w:val="00261715"/>
    <w:rsid w:val="00261CF9"/>
    <w:rsid w:val="00261EC0"/>
    <w:rsid w:val="0026231B"/>
    <w:rsid w:val="002625AF"/>
    <w:rsid w:val="00262881"/>
    <w:rsid w:val="00263101"/>
    <w:rsid w:val="002631D1"/>
    <w:rsid w:val="00263201"/>
    <w:rsid w:val="00263224"/>
    <w:rsid w:val="002634CA"/>
    <w:rsid w:val="00263A37"/>
    <w:rsid w:val="0026478A"/>
    <w:rsid w:val="0026480D"/>
    <w:rsid w:val="002653A6"/>
    <w:rsid w:val="002656D8"/>
    <w:rsid w:val="00265D28"/>
    <w:rsid w:val="002661F1"/>
    <w:rsid w:val="00266AC9"/>
    <w:rsid w:val="00266DB6"/>
    <w:rsid w:val="002674E8"/>
    <w:rsid w:val="002706A0"/>
    <w:rsid w:val="00270802"/>
    <w:rsid w:val="002711A4"/>
    <w:rsid w:val="00271ECB"/>
    <w:rsid w:val="00271F13"/>
    <w:rsid w:val="00271F33"/>
    <w:rsid w:val="0027278E"/>
    <w:rsid w:val="00273F2E"/>
    <w:rsid w:val="0027482E"/>
    <w:rsid w:val="00274842"/>
    <w:rsid w:val="00274DB5"/>
    <w:rsid w:val="00275423"/>
    <w:rsid w:val="00275BB1"/>
    <w:rsid w:val="00275C6F"/>
    <w:rsid w:val="00277933"/>
    <w:rsid w:val="00277AB7"/>
    <w:rsid w:val="00277F8D"/>
    <w:rsid w:val="00277FA7"/>
    <w:rsid w:val="00280046"/>
    <w:rsid w:val="00280710"/>
    <w:rsid w:val="00280B4F"/>
    <w:rsid w:val="00280F3D"/>
    <w:rsid w:val="0028106A"/>
    <w:rsid w:val="00281EB4"/>
    <w:rsid w:val="0028308E"/>
    <w:rsid w:val="002834E9"/>
    <w:rsid w:val="00283975"/>
    <w:rsid w:val="00283A52"/>
    <w:rsid w:val="00283C5E"/>
    <w:rsid w:val="00283E26"/>
    <w:rsid w:val="0028428F"/>
    <w:rsid w:val="00284A01"/>
    <w:rsid w:val="00284CFC"/>
    <w:rsid w:val="00285832"/>
    <w:rsid w:val="00285969"/>
    <w:rsid w:val="00285D7C"/>
    <w:rsid w:val="00285E33"/>
    <w:rsid w:val="0028663B"/>
    <w:rsid w:val="00286878"/>
    <w:rsid w:val="00286CEC"/>
    <w:rsid w:val="002870F9"/>
    <w:rsid w:val="002871A9"/>
    <w:rsid w:val="00287505"/>
    <w:rsid w:val="00287D71"/>
    <w:rsid w:val="002900C0"/>
    <w:rsid w:val="00290781"/>
    <w:rsid w:val="00291608"/>
    <w:rsid w:val="00291784"/>
    <w:rsid w:val="002920DF"/>
    <w:rsid w:val="0029273C"/>
    <w:rsid w:val="002929BB"/>
    <w:rsid w:val="002940A1"/>
    <w:rsid w:val="00294368"/>
    <w:rsid w:val="00294514"/>
    <w:rsid w:val="00294B78"/>
    <w:rsid w:val="00295416"/>
    <w:rsid w:val="00295949"/>
    <w:rsid w:val="00295BAA"/>
    <w:rsid w:val="00296059"/>
    <w:rsid w:val="0029624A"/>
    <w:rsid w:val="002964D5"/>
    <w:rsid w:val="00296922"/>
    <w:rsid w:val="00297098"/>
    <w:rsid w:val="00297AB0"/>
    <w:rsid w:val="002A0512"/>
    <w:rsid w:val="002A05D4"/>
    <w:rsid w:val="002A06DB"/>
    <w:rsid w:val="002A09FF"/>
    <w:rsid w:val="002A0E60"/>
    <w:rsid w:val="002A1A58"/>
    <w:rsid w:val="002A1B02"/>
    <w:rsid w:val="002A1C53"/>
    <w:rsid w:val="002A233C"/>
    <w:rsid w:val="002A244B"/>
    <w:rsid w:val="002A28FC"/>
    <w:rsid w:val="002A2B44"/>
    <w:rsid w:val="002A2D8E"/>
    <w:rsid w:val="002A2EA5"/>
    <w:rsid w:val="002A3D94"/>
    <w:rsid w:val="002A4736"/>
    <w:rsid w:val="002A4A93"/>
    <w:rsid w:val="002A4B1C"/>
    <w:rsid w:val="002A4E9D"/>
    <w:rsid w:val="002A55FE"/>
    <w:rsid w:val="002A5F4B"/>
    <w:rsid w:val="002A6AFB"/>
    <w:rsid w:val="002A733D"/>
    <w:rsid w:val="002A774A"/>
    <w:rsid w:val="002A78F3"/>
    <w:rsid w:val="002A7E5C"/>
    <w:rsid w:val="002A7F6D"/>
    <w:rsid w:val="002B0AB4"/>
    <w:rsid w:val="002B1342"/>
    <w:rsid w:val="002B1F83"/>
    <w:rsid w:val="002B27C8"/>
    <w:rsid w:val="002B2A7F"/>
    <w:rsid w:val="002B330B"/>
    <w:rsid w:val="002B39BE"/>
    <w:rsid w:val="002B438C"/>
    <w:rsid w:val="002B48DB"/>
    <w:rsid w:val="002B4B34"/>
    <w:rsid w:val="002B51B0"/>
    <w:rsid w:val="002B541A"/>
    <w:rsid w:val="002B5EAB"/>
    <w:rsid w:val="002B6407"/>
    <w:rsid w:val="002B6416"/>
    <w:rsid w:val="002B6459"/>
    <w:rsid w:val="002B7014"/>
    <w:rsid w:val="002B73B0"/>
    <w:rsid w:val="002B7E7D"/>
    <w:rsid w:val="002C1C10"/>
    <w:rsid w:val="002C24B4"/>
    <w:rsid w:val="002C2629"/>
    <w:rsid w:val="002C2B3A"/>
    <w:rsid w:val="002C2B87"/>
    <w:rsid w:val="002C3CF4"/>
    <w:rsid w:val="002C4269"/>
    <w:rsid w:val="002C441A"/>
    <w:rsid w:val="002C4A73"/>
    <w:rsid w:val="002C4B84"/>
    <w:rsid w:val="002C4C0C"/>
    <w:rsid w:val="002C5016"/>
    <w:rsid w:val="002C55C3"/>
    <w:rsid w:val="002C5C2F"/>
    <w:rsid w:val="002C5D0F"/>
    <w:rsid w:val="002C60B9"/>
    <w:rsid w:val="002C6F77"/>
    <w:rsid w:val="002C704D"/>
    <w:rsid w:val="002C7FF3"/>
    <w:rsid w:val="002D0845"/>
    <w:rsid w:val="002D0933"/>
    <w:rsid w:val="002D0CE3"/>
    <w:rsid w:val="002D13CC"/>
    <w:rsid w:val="002D19BB"/>
    <w:rsid w:val="002D1A9B"/>
    <w:rsid w:val="002D20F8"/>
    <w:rsid w:val="002D22BD"/>
    <w:rsid w:val="002D22C5"/>
    <w:rsid w:val="002D3003"/>
    <w:rsid w:val="002D302A"/>
    <w:rsid w:val="002D3552"/>
    <w:rsid w:val="002D36C6"/>
    <w:rsid w:val="002D3749"/>
    <w:rsid w:val="002D37C1"/>
    <w:rsid w:val="002D3822"/>
    <w:rsid w:val="002D444B"/>
    <w:rsid w:val="002D4A45"/>
    <w:rsid w:val="002D4B42"/>
    <w:rsid w:val="002D4B43"/>
    <w:rsid w:val="002D56D7"/>
    <w:rsid w:val="002D5A10"/>
    <w:rsid w:val="002D5A1B"/>
    <w:rsid w:val="002D6332"/>
    <w:rsid w:val="002D65BC"/>
    <w:rsid w:val="002D6960"/>
    <w:rsid w:val="002D6A45"/>
    <w:rsid w:val="002D7FBB"/>
    <w:rsid w:val="002E002E"/>
    <w:rsid w:val="002E055C"/>
    <w:rsid w:val="002E0774"/>
    <w:rsid w:val="002E1050"/>
    <w:rsid w:val="002E107E"/>
    <w:rsid w:val="002E18E5"/>
    <w:rsid w:val="002E1953"/>
    <w:rsid w:val="002E1F57"/>
    <w:rsid w:val="002E2CB5"/>
    <w:rsid w:val="002E2D7D"/>
    <w:rsid w:val="002E2F06"/>
    <w:rsid w:val="002E32D0"/>
    <w:rsid w:val="002E372E"/>
    <w:rsid w:val="002E3B33"/>
    <w:rsid w:val="002E3D76"/>
    <w:rsid w:val="002E40A1"/>
    <w:rsid w:val="002E4857"/>
    <w:rsid w:val="002E48EC"/>
    <w:rsid w:val="002E4B44"/>
    <w:rsid w:val="002E4ECB"/>
    <w:rsid w:val="002E4EF3"/>
    <w:rsid w:val="002E4F23"/>
    <w:rsid w:val="002E635A"/>
    <w:rsid w:val="002E6686"/>
    <w:rsid w:val="002E6BF3"/>
    <w:rsid w:val="002E6D68"/>
    <w:rsid w:val="002E6FF3"/>
    <w:rsid w:val="002E72AB"/>
    <w:rsid w:val="002E77F0"/>
    <w:rsid w:val="002E7847"/>
    <w:rsid w:val="002E7F03"/>
    <w:rsid w:val="002F0073"/>
    <w:rsid w:val="002F1C3F"/>
    <w:rsid w:val="002F1C67"/>
    <w:rsid w:val="002F2319"/>
    <w:rsid w:val="002F240B"/>
    <w:rsid w:val="002F26B7"/>
    <w:rsid w:val="002F2F50"/>
    <w:rsid w:val="002F33EC"/>
    <w:rsid w:val="002F34E3"/>
    <w:rsid w:val="002F3601"/>
    <w:rsid w:val="002F3A37"/>
    <w:rsid w:val="002F3D33"/>
    <w:rsid w:val="002F3D4D"/>
    <w:rsid w:val="002F45F6"/>
    <w:rsid w:val="002F4B0A"/>
    <w:rsid w:val="002F4D3A"/>
    <w:rsid w:val="002F5A6F"/>
    <w:rsid w:val="002F692F"/>
    <w:rsid w:val="002F6E84"/>
    <w:rsid w:val="002F7B66"/>
    <w:rsid w:val="00300CB4"/>
    <w:rsid w:val="00300E24"/>
    <w:rsid w:val="00301290"/>
    <w:rsid w:val="00303333"/>
    <w:rsid w:val="003033BA"/>
    <w:rsid w:val="00303692"/>
    <w:rsid w:val="00303771"/>
    <w:rsid w:val="003039A9"/>
    <w:rsid w:val="00303BAF"/>
    <w:rsid w:val="00303C19"/>
    <w:rsid w:val="003043A3"/>
    <w:rsid w:val="003044AA"/>
    <w:rsid w:val="00304BD4"/>
    <w:rsid w:val="0030500A"/>
    <w:rsid w:val="003052EB"/>
    <w:rsid w:val="003056D2"/>
    <w:rsid w:val="00305CBF"/>
    <w:rsid w:val="00305FCB"/>
    <w:rsid w:val="003063C3"/>
    <w:rsid w:val="0030689D"/>
    <w:rsid w:val="0030691E"/>
    <w:rsid w:val="003069DC"/>
    <w:rsid w:val="00306B44"/>
    <w:rsid w:val="00307B79"/>
    <w:rsid w:val="00307BE8"/>
    <w:rsid w:val="00307C44"/>
    <w:rsid w:val="0031088E"/>
    <w:rsid w:val="00310D01"/>
    <w:rsid w:val="00311376"/>
    <w:rsid w:val="00311A1F"/>
    <w:rsid w:val="00311B47"/>
    <w:rsid w:val="00311D52"/>
    <w:rsid w:val="00312015"/>
    <w:rsid w:val="0031208F"/>
    <w:rsid w:val="00312190"/>
    <w:rsid w:val="00312368"/>
    <w:rsid w:val="003125E0"/>
    <w:rsid w:val="0031271D"/>
    <w:rsid w:val="003129FB"/>
    <w:rsid w:val="003132BB"/>
    <w:rsid w:val="00313337"/>
    <w:rsid w:val="00313447"/>
    <w:rsid w:val="00313748"/>
    <w:rsid w:val="00313CE3"/>
    <w:rsid w:val="00313EA3"/>
    <w:rsid w:val="0031418A"/>
    <w:rsid w:val="00315141"/>
    <w:rsid w:val="00315365"/>
    <w:rsid w:val="00315457"/>
    <w:rsid w:val="00315812"/>
    <w:rsid w:val="003161A4"/>
    <w:rsid w:val="00316955"/>
    <w:rsid w:val="0031720A"/>
    <w:rsid w:val="0031749B"/>
    <w:rsid w:val="003174E5"/>
    <w:rsid w:val="00317C9D"/>
    <w:rsid w:val="00317CD2"/>
    <w:rsid w:val="00317D99"/>
    <w:rsid w:val="0032078D"/>
    <w:rsid w:val="00320ADF"/>
    <w:rsid w:val="0032137B"/>
    <w:rsid w:val="00321BD6"/>
    <w:rsid w:val="00321F9D"/>
    <w:rsid w:val="00321FA3"/>
    <w:rsid w:val="003227D3"/>
    <w:rsid w:val="00322937"/>
    <w:rsid w:val="00323881"/>
    <w:rsid w:val="003247ED"/>
    <w:rsid w:val="003251A8"/>
    <w:rsid w:val="003254B1"/>
    <w:rsid w:val="00325D98"/>
    <w:rsid w:val="003260E8"/>
    <w:rsid w:val="0032682A"/>
    <w:rsid w:val="00326927"/>
    <w:rsid w:val="00327172"/>
    <w:rsid w:val="00327A5C"/>
    <w:rsid w:val="0033092C"/>
    <w:rsid w:val="0033122A"/>
    <w:rsid w:val="0033134D"/>
    <w:rsid w:val="003315AC"/>
    <w:rsid w:val="00331932"/>
    <w:rsid w:val="003319F8"/>
    <w:rsid w:val="00332382"/>
    <w:rsid w:val="00332453"/>
    <w:rsid w:val="0033251B"/>
    <w:rsid w:val="00332932"/>
    <w:rsid w:val="00332E7C"/>
    <w:rsid w:val="00332F8C"/>
    <w:rsid w:val="00332FCC"/>
    <w:rsid w:val="00333196"/>
    <w:rsid w:val="00333A88"/>
    <w:rsid w:val="00335B15"/>
    <w:rsid w:val="00335B21"/>
    <w:rsid w:val="00335D3F"/>
    <w:rsid w:val="00336104"/>
    <w:rsid w:val="00336155"/>
    <w:rsid w:val="003364C1"/>
    <w:rsid w:val="00336729"/>
    <w:rsid w:val="0033726D"/>
    <w:rsid w:val="00337A59"/>
    <w:rsid w:val="00337CA8"/>
    <w:rsid w:val="00340D3F"/>
    <w:rsid w:val="0034174B"/>
    <w:rsid w:val="0034177C"/>
    <w:rsid w:val="003420E9"/>
    <w:rsid w:val="00342345"/>
    <w:rsid w:val="00342C27"/>
    <w:rsid w:val="00342E16"/>
    <w:rsid w:val="003430C8"/>
    <w:rsid w:val="003432C8"/>
    <w:rsid w:val="003434B3"/>
    <w:rsid w:val="00343536"/>
    <w:rsid w:val="00343EFB"/>
    <w:rsid w:val="00344760"/>
    <w:rsid w:val="00344DA3"/>
    <w:rsid w:val="003452B5"/>
    <w:rsid w:val="003454E8"/>
    <w:rsid w:val="00345574"/>
    <w:rsid w:val="003456C1"/>
    <w:rsid w:val="0034591E"/>
    <w:rsid w:val="0034680A"/>
    <w:rsid w:val="00346C62"/>
    <w:rsid w:val="00347202"/>
    <w:rsid w:val="00347346"/>
    <w:rsid w:val="003475B7"/>
    <w:rsid w:val="0034778E"/>
    <w:rsid w:val="00347A5A"/>
    <w:rsid w:val="003501E2"/>
    <w:rsid w:val="00350799"/>
    <w:rsid w:val="0035087D"/>
    <w:rsid w:val="00351E10"/>
    <w:rsid w:val="003528F1"/>
    <w:rsid w:val="00352A71"/>
    <w:rsid w:val="003533F4"/>
    <w:rsid w:val="003536F6"/>
    <w:rsid w:val="00353765"/>
    <w:rsid w:val="0035388E"/>
    <w:rsid w:val="00353DD5"/>
    <w:rsid w:val="00355131"/>
    <w:rsid w:val="00355AEB"/>
    <w:rsid w:val="00355C52"/>
    <w:rsid w:val="00355F74"/>
    <w:rsid w:val="003560DB"/>
    <w:rsid w:val="003564DB"/>
    <w:rsid w:val="00356A69"/>
    <w:rsid w:val="00356CD9"/>
    <w:rsid w:val="00356F87"/>
    <w:rsid w:val="00357DFE"/>
    <w:rsid w:val="00360CF3"/>
    <w:rsid w:val="00361A59"/>
    <w:rsid w:val="00363348"/>
    <w:rsid w:val="0036366B"/>
    <w:rsid w:val="00363857"/>
    <w:rsid w:val="00363D59"/>
    <w:rsid w:val="003640F7"/>
    <w:rsid w:val="00364315"/>
    <w:rsid w:val="0036456E"/>
    <w:rsid w:val="003651A8"/>
    <w:rsid w:val="00365D3A"/>
    <w:rsid w:val="00366314"/>
    <w:rsid w:val="003663C3"/>
    <w:rsid w:val="003664FF"/>
    <w:rsid w:val="00366BD2"/>
    <w:rsid w:val="003670B8"/>
    <w:rsid w:val="00367519"/>
    <w:rsid w:val="00367562"/>
    <w:rsid w:val="00367A7A"/>
    <w:rsid w:val="00370263"/>
    <w:rsid w:val="00370488"/>
    <w:rsid w:val="003704A3"/>
    <w:rsid w:val="003706F2"/>
    <w:rsid w:val="0037124F"/>
    <w:rsid w:val="00371840"/>
    <w:rsid w:val="00371A1B"/>
    <w:rsid w:val="003722A9"/>
    <w:rsid w:val="003722B3"/>
    <w:rsid w:val="00372456"/>
    <w:rsid w:val="003724CE"/>
    <w:rsid w:val="0037252E"/>
    <w:rsid w:val="00372FC3"/>
    <w:rsid w:val="003731E4"/>
    <w:rsid w:val="0037379B"/>
    <w:rsid w:val="00373827"/>
    <w:rsid w:val="003738A4"/>
    <w:rsid w:val="0037401C"/>
    <w:rsid w:val="00374533"/>
    <w:rsid w:val="00374601"/>
    <w:rsid w:val="00374D49"/>
    <w:rsid w:val="00374E69"/>
    <w:rsid w:val="0037507B"/>
    <w:rsid w:val="00375179"/>
    <w:rsid w:val="00375627"/>
    <w:rsid w:val="003758A7"/>
    <w:rsid w:val="00375AC1"/>
    <w:rsid w:val="00375C7C"/>
    <w:rsid w:val="003766B4"/>
    <w:rsid w:val="00377027"/>
    <w:rsid w:val="00377135"/>
    <w:rsid w:val="0037757B"/>
    <w:rsid w:val="00377C94"/>
    <w:rsid w:val="00380272"/>
    <w:rsid w:val="003805DB"/>
    <w:rsid w:val="003811F4"/>
    <w:rsid w:val="0038152A"/>
    <w:rsid w:val="0038196F"/>
    <w:rsid w:val="00381E23"/>
    <w:rsid w:val="00382BAD"/>
    <w:rsid w:val="00382F03"/>
    <w:rsid w:val="003831EB"/>
    <w:rsid w:val="003835FD"/>
    <w:rsid w:val="00383695"/>
    <w:rsid w:val="00383BBC"/>
    <w:rsid w:val="00384BA6"/>
    <w:rsid w:val="00384DF1"/>
    <w:rsid w:val="00384FF3"/>
    <w:rsid w:val="0038512F"/>
    <w:rsid w:val="00385BC4"/>
    <w:rsid w:val="00385CB6"/>
    <w:rsid w:val="00386456"/>
    <w:rsid w:val="003865A9"/>
    <w:rsid w:val="0039092B"/>
    <w:rsid w:val="00390DB1"/>
    <w:rsid w:val="00390F32"/>
    <w:rsid w:val="0039135E"/>
    <w:rsid w:val="00391644"/>
    <w:rsid w:val="003916BF"/>
    <w:rsid w:val="00392289"/>
    <w:rsid w:val="00392F33"/>
    <w:rsid w:val="0039319C"/>
    <w:rsid w:val="00393577"/>
    <w:rsid w:val="00393CAE"/>
    <w:rsid w:val="00394194"/>
    <w:rsid w:val="0039458A"/>
    <w:rsid w:val="003945F4"/>
    <w:rsid w:val="00394849"/>
    <w:rsid w:val="00394EB5"/>
    <w:rsid w:val="00394F19"/>
    <w:rsid w:val="003953B4"/>
    <w:rsid w:val="0039615F"/>
    <w:rsid w:val="00396280"/>
    <w:rsid w:val="003966A0"/>
    <w:rsid w:val="00396A29"/>
    <w:rsid w:val="00396A6C"/>
    <w:rsid w:val="00397FF0"/>
    <w:rsid w:val="003A0878"/>
    <w:rsid w:val="003A1561"/>
    <w:rsid w:val="003A166B"/>
    <w:rsid w:val="003A196E"/>
    <w:rsid w:val="003A1D25"/>
    <w:rsid w:val="003A204F"/>
    <w:rsid w:val="003A22A2"/>
    <w:rsid w:val="003A2447"/>
    <w:rsid w:val="003A2632"/>
    <w:rsid w:val="003A2AA1"/>
    <w:rsid w:val="003A2E9D"/>
    <w:rsid w:val="003A31A5"/>
    <w:rsid w:val="003A329A"/>
    <w:rsid w:val="003A3491"/>
    <w:rsid w:val="003A3603"/>
    <w:rsid w:val="003A3851"/>
    <w:rsid w:val="003A39DD"/>
    <w:rsid w:val="003A4199"/>
    <w:rsid w:val="003A4987"/>
    <w:rsid w:val="003A4A8E"/>
    <w:rsid w:val="003A563C"/>
    <w:rsid w:val="003A5643"/>
    <w:rsid w:val="003A581E"/>
    <w:rsid w:val="003A6160"/>
    <w:rsid w:val="003A65A5"/>
    <w:rsid w:val="003A72F5"/>
    <w:rsid w:val="003A73EE"/>
    <w:rsid w:val="003A78E5"/>
    <w:rsid w:val="003A7C8D"/>
    <w:rsid w:val="003B0341"/>
    <w:rsid w:val="003B0A10"/>
    <w:rsid w:val="003B1E57"/>
    <w:rsid w:val="003B2870"/>
    <w:rsid w:val="003B29D4"/>
    <w:rsid w:val="003B2B6C"/>
    <w:rsid w:val="003B2C8A"/>
    <w:rsid w:val="003B2EF3"/>
    <w:rsid w:val="003B4A4D"/>
    <w:rsid w:val="003B4DA9"/>
    <w:rsid w:val="003B534F"/>
    <w:rsid w:val="003B5391"/>
    <w:rsid w:val="003B58CE"/>
    <w:rsid w:val="003B65D7"/>
    <w:rsid w:val="003B65E0"/>
    <w:rsid w:val="003B6BD4"/>
    <w:rsid w:val="003B6E98"/>
    <w:rsid w:val="003B6F4D"/>
    <w:rsid w:val="003B6FE7"/>
    <w:rsid w:val="003B700B"/>
    <w:rsid w:val="003C0D1F"/>
    <w:rsid w:val="003C116A"/>
    <w:rsid w:val="003C1AF4"/>
    <w:rsid w:val="003C1C9C"/>
    <w:rsid w:val="003C1CB8"/>
    <w:rsid w:val="003C22DA"/>
    <w:rsid w:val="003C2546"/>
    <w:rsid w:val="003C2550"/>
    <w:rsid w:val="003C287F"/>
    <w:rsid w:val="003C3339"/>
    <w:rsid w:val="003C375A"/>
    <w:rsid w:val="003C3F0B"/>
    <w:rsid w:val="003C4D9F"/>
    <w:rsid w:val="003C5247"/>
    <w:rsid w:val="003C622C"/>
    <w:rsid w:val="003C64C7"/>
    <w:rsid w:val="003C6505"/>
    <w:rsid w:val="003C65A6"/>
    <w:rsid w:val="003C65C3"/>
    <w:rsid w:val="003C6CDC"/>
    <w:rsid w:val="003C73C7"/>
    <w:rsid w:val="003C7CFB"/>
    <w:rsid w:val="003C7E50"/>
    <w:rsid w:val="003D0236"/>
    <w:rsid w:val="003D050B"/>
    <w:rsid w:val="003D0B98"/>
    <w:rsid w:val="003D0C38"/>
    <w:rsid w:val="003D0C3C"/>
    <w:rsid w:val="003D0DE5"/>
    <w:rsid w:val="003D1351"/>
    <w:rsid w:val="003D1958"/>
    <w:rsid w:val="003D21C1"/>
    <w:rsid w:val="003D3B15"/>
    <w:rsid w:val="003D3B2E"/>
    <w:rsid w:val="003D3D44"/>
    <w:rsid w:val="003D4101"/>
    <w:rsid w:val="003D484D"/>
    <w:rsid w:val="003D49CB"/>
    <w:rsid w:val="003D522C"/>
    <w:rsid w:val="003D58ED"/>
    <w:rsid w:val="003D6937"/>
    <w:rsid w:val="003D6B8F"/>
    <w:rsid w:val="003D6DE0"/>
    <w:rsid w:val="003D7566"/>
    <w:rsid w:val="003D7836"/>
    <w:rsid w:val="003D7FB3"/>
    <w:rsid w:val="003E0224"/>
    <w:rsid w:val="003E09BB"/>
    <w:rsid w:val="003E0D76"/>
    <w:rsid w:val="003E159D"/>
    <w:rsid w:val="003E198A"/>
    <w:rsid w:val="003E20EA"/>
    <w:rsid w:val="003E210C"/>
    <w:rsid w:val="003E284B"/>
    <w:rsid w:val="003E290D"/>
    <w:rsid w:val="003E2A8F"/>
    <w:rsid w:val="003E2F55"/>
    <w:rsid w:val="003E3239"/>
    <w:rsid w:val="003E32C3"/>
    <w:rsid w:val="003E34DB"/>
    <w:rsid w:val="003E3833"/>
    <w:rsid w:val="003E3AF9"/>
    <w:rsid w:val="003E4170"/>
    <w:rsid w:val="003E4A70"/>
    <w:rsid w:val="003E4C48"/>
    <w:rsid w:val="003E4CD9"/>
    <w:rsid w:val="003E52C2"/>
    <w:rsid w:val="003E54B3"/>
    <w:rsid w:val="003E5780"/>
    <w:rsid w:val="003E5B9F"/>
    <w:rsid w:val="003E6072"/>
    <w:rsid w:val="003E6AB6"/>
    <w:rsid w:val="003E6E0B"/>
    <w:rsid w:val="003E71CD"/>
    <w:rsid w:val="003E72F0"/>
    <w:rsid w:val="003E7890"/>
    <w:rsid w:val="003E78DA"/>
    <w:rsid w:val="003E7A8B"/>
    <w:rsid w:val="003E7CFD"/>
    <w:rsid w:val="003E7FC9"/>
    <w:rsid w:val="003F060E"/>
    <w:rsid w:val="003F0F7F"/>
    <w:rsid w:val="003F110C"/>
    <w:rsid w:val="003F115C"/>
    <w:rsid w:val="003F155A"/>
    <w:rsid w:val="003F16E9"/>
    <w:rsid w:val="003F1EA8"/>
    <w:rsid w:val="003F22FB"/>
    <w:rsid w:val="003F300D"/>
    <w:rsid w:val="003F391F"/>
    <w:rsid w:val="003F3E7D"/>
    <w:rsid w:val="003F4599"/>
    <w:rsid w:val="003F45E1"/>
    <w:rsid w:val="003F4B32"/>
    <w:rsid w:val="003F4B90"/>
    <w:rsid w:val="003F4F6C"/>
    <w:rsid w:val="003F559E"/>
    <w:rsid w:val="003F6181"/>
    <w:rsid w:val="003F6BFC"/>
    <w:rsid w:val="003F7343"/>
    <w:rsid w:val="003F77C5"/>
    <w:rsid w:val="003F7E51"/>
    <w:rsid w:val="00400002"/>
    <w:rsid w:val="00400054"/>
    <w:rsid w:val="0040025E"/>
    <w:rsid w:val="004016A3"/>
    <w:rsid w:val="00401B31"/>
    <w:rsid w:val="0040202B"/>
    <w:rsid w:val="0040279A"/>
    <w:rsid w:val="00402DE1"/>
    <w:rsid w:val="00402EEB"/>
    <w:rsid w:val="004037C2"/>
    <w:rsid w:val="00403DF5"/>
    <w:rsid w:val="00404041"/>
    <w:rsid w:val="004047DF"/>
    <w:rsid w:val="00404B43"/>
    <w:rsid w:val="00404BB0"/>
    <w:rsid w:val="00404C61"/>
    <w:rsid w:val="00405487"/>
    <w:rsid w:val="0040576E"/>
    <w:rsid w:val="00405B8A"/>
    <w:rsid w:val="00405CE5"/>
    <w:rsid w:val="0040602B"/>
    <w:rsid w:val="004064D7"/>
    <w:rsid w:val="00406DF5"/>
    <w:rsid w:val="00406F35"/>
    <w:rsid w:val="004079F3"/>
    <w:rsid w:val="00407A7A"/>
    <w:rsid w:val="00407ABC"/>
    <w:rsid w:val="00407F1E"/>
    <w:rsid w:val="00410497"/>
    <w:rsid w:val="004107C1"/>
    <w:rsid w:val="00410A88"/>
    <w:rsid w:val="00410D18"/>
    <w:rsid w:val="00411317"/>
    <w:rsid w:val="00411692"/>
    <w:rsid w:val="00411A9E"/>
    <w:rsid w:val="0041259F"/>
    <w:rsid w:val="00412B4D"/>
    <w:rsid w:val="00412C51"/>
    <w:rsid w:val="00413262"/>
    <w:rsid w:val="0041329C"/>
    <w:rsid w:val="00413920"/>
    <w:rsid w:val="004139F4"/>
    <w:rsid w:val="00413DC6"/>
    <w:rsid w:val="00413FFA"/>
    <w:rsid w:val="00414229"/>
    <w:rsid w:val="00414246"/>
    <w:rsid w:val="004147A0"/>
    <w:rsid w:val="00414D9A"/>
    <w:rsid w:val="00415194"/>
    <w:rsid w:val="00415393"/>
    <w:rsid w:val="00415816"/>
    <w:rsid w:val="00415B88"/>
    <w:rsid w:val="00415D32"/>
    <w:rsid w:val="004160A2"/>
    <w:rsid w:val="0041640B"/>
    <w:rsid w:val="0041690A"/>
    <w:rsid w:val="00416CB0"/>
    <w:rsid w:val="004170D7"/>
    <w:rsid w:val="004177A6"/>
    <w:rsid w:val="00417C23"/>
    <w:rsid w:val="00417EFD"/>
    <w:rsid w:val="004200EE"/>
    <w:rsid w:val="004209D2"/>
    <w:rsid w:val="00420D6E"/>
    <w:rsid w:val="0042158C"/>
    <w:rsid w:val="004215F7"/>
    <w:rsid w:val="00421BD2"/>
    <w:rsid w:val="00421E00"/>
    <w:rsid w:val="00421FCB"/>
    <w:rsid w:val="00422029"/>
    <w:rsid w:val="0042259B"/>
    <w:rsid w:val="0042288C"/>
    <w:rsid w:val="00422DCA"/>
    <w:rsid w:val="00423562"/>
    <w:rsid w:val="004236BF"/>
    <w:rsid w:val="00423BE1"/>
    <w:rsid w:val="00423F9F"/>
    <w:rsid w:val="00424AB2"/>
    <w:rsid w:val="00424E3A"/>
    <w:rsid w:val="004254D2"/>
    <w:rsid w:val="00425C43"/>
    <w:rsid w:val="00426149"/>
    <w:rsid w:val="004273FA"/>
    <w:rsid w:val="004275A7"/>
    <w:rsid w:val="004278E1"/>
    <w:rsid w:val="00430186"/>
    <w:rsid w:val="00430682"/>
    <w:rsid w:val="00431017"/>
    <w:rsid w:val="00431C0B"/>
    <w:rsid w:val="00431EBD"/>
    <w:rsid w:val="0043269A"/>
    <w:rsid w:val="00432A42"/>
    <w:rsid w:val="00432E89"/>
    <w:rsid w:val="004333C2"/>
    <w:rsid w:val="0043448A"/>
    <w:rsid w:val="00434787"/>
    <w:rsid w:val="00434C13"/>
    <w:rsid w:val="00434C2C"/>
    <w:rsid w:val="004351CF"/>
    <w:rsid w:val="00435454"/>
    <w:rsid w:val="0043550E"/>
    <w:rsid w:val="00435703"/>
    <w:rsid w:val="00435BD5"/>
    <w:rsid w:val="00435FAF"/>
    <w:rsid w:val="004360EB"/>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4D"/>
    <w:rsid w:val="00442EB9"/>
    <w:rsid w:val="0044358F"/>
    <w:rsid w:val="0044374D"/>
    <w:rsid w:val="00443B55"/>
    <w:rsid w:val="00443D27"/>
    <w:rsid w:val="0044415B"/>
    <w:rsid w:val="004445D9"/>
    <w:rsid w:val="00444FE0"/>
    <w:rsid w:val="0044500B"/>
    <w:rsid w:val="00445B5B"/>
    <w:rsid w:val="00446037"/>
    <w:rsid w:val="00446268"/>
    <w:rsid w:val="0044642F"/>
    <w:rsid w:val="0044772C"/>
    <w:rsid w:val="0044785E"/>
    <w:rsid w:val="00447D53"/>
    <w:rsid w:val="00450846"/>
    <w:rsid w:val="00451A52"/>
    <w:rsid w:val="0045271D"/>
    <w:rsid w:val="00452755"/>
    <w:rsid w:val="00452803"/>
    <w:rsid w:val="004528A9"/>
    <w:rsid w:val="004529C6"/>
    <w:rsid w:val="00452AE6"/>
    <w:rsid w:val="00452EAD"/>
    <w:rsid w:val="004533D1"/>
    <w:rsid w:val="004534D1"/>
    <w:rsid w:val="004537A6"/>
    <w:rsid w:val="00454548"/>
    <w:rsid w:val="00454598"/>
    <w:rsid w:val="00454717"/>
    <w:rsid w:val="00454AFE"/>
    <w:rsid w:val="00455004"/>
    <w:rsid w:val="00455047"/>
    <w:rsid w:val="00455111"/>
    <w:rsid w:val="00455354"/>
    <w:rsid w:val="0045558D"/>
    <w:rsid w:val="00455B70"/>
    <w:rsid w:val="00455BD3"/>
    <w:rsid w:val="00455D73"/>
    <w:rsid w:val="00455E1C"/>
    <w:rsid w:val="00455E24"/>
    <w:rsid w:val="00456970"/>
    <w:rsid w:val="00456BB1"/>
    <w:rsid w:val="00456CD4"/>
    <w:rsid w:val="00456DDB"/>
    <w:rsid w:val="0045700E"/>
    <w:rsid w:val="00457031"/>
    <w:rsid w:val="00460915"/>
    <w:rsid w:val="00460946"/>
    <w:rsid w:val="00460BDE"/>
    <w:rsid w:val="00460CCD"/>
    <w:rsid w:val="004614A9"/>
    <w:rsid w:val="00461E97"/>
    <w:rsid w:val="0046268F"/>
    <w:rsid w:val="0046284F"/>
    <w:rsid w:val="00462B10"/>
    <w:rsid w:val="00462C04"/>
    <w:rsid w:val="0046320A"/>
    <w:rsid w:val="004632E2"/>
    <w:rsid w:val="00463473"/>
    <w:rsid w:val="004638E2"/>
    <w:rsid w:val="00463B45"/>
    <w:rsid w:val="00464030"/>
    <w:rsid w:val="00464487"/>
    <w:rsid w:val="004647F8"/>
    <w:rsid w:val="004647FB"/>
    <w:rsid w:val="00464E4B"/>
    <w:rsid w:val="00465347"/>
    <w:rsid w:val="00465677"/>
    <w:rsid w:val="00465D72"/>
    <w:rsid w:val="00466616"/>
    <w:rsid w:val="00466A0C"/>
    <w:rsid w:val="00466A53"/>
    <w:rsid w:val="0046700B"/>
    <w:rsid w:val="004673A8"/>
    <w:rsid w:val="0046753A"/>
    <w:rsid w:val="00467D4E"/>
    <w:rsid w:val="0047098A"/>
    <w:rsid w:val="00470A6A"/>
    <w:rsid w:val="00470D73"/>
    <w:rsid w:val="00470D92"/>
    <w:rsid w:val="00471305"/>
    <w:rsid w:val="00471D8F"/>
    <w:rsid w:val="00471DF7"/>
    <w:rsid w:val="00472148"/>
    <w:rsid w:val="004734CF"/>
    <w:rsid w:val="004734E9"/>
    <w:rsid w:val="004737EA"/>
    <w:rsid w:val="00473A2E"/>
    <w:rsid w:val="004742F0"/>
    <w:rsid w:val="00475424"/>
    <w:rsid w:val="00475C5A"/>
    <w:rsid w:val="00475C9C"/>
    <w:rsid w:val="004760A5"/>
    <w:rsid w:val="0047676B"/>
    <w:rsid w:val="0047773C"/>
    <w:rsid w:val="00477C5F"/>
    <w:rsid w:val="00480050"/>
    <w:rsid w:val="0048011C"/>
    <w:rsid w:val="004808DE"/>
    <w:rsid w:val="00480CDC"/>
    <w:rsid w:val="00481AC4"/>
    <w:rsid w:val="00481DC1"/>
    <w:rsid w:val="00482490"/>
    <w:rsid w:val="00482507"/>
    <w:rsid w:val="0048268A"/>
    <w:rsid w:val="00482DE8"/>
    <w:rsid w:val="004835CA"/>
    <w:rsid w:val="004836F8"/>
    <w:rsid w:val="004836FE"/>
    <w:rsid w:val="0048444F"/>
    <w:rsid w:val="00484F0F"/>
    <w:rsid w:val="00484F40"/>
    <w:rsid w:val="0048540C"/>
    <w:rsid w:val="004861B4"/>
    <w:rsid w:val="00486BD0"/>
    <w:rsid w:val="00486D00"/>
    <w:rsid w:val="00487263"/>
    <w:rsid w:val="0048734F"/>
    <w:rsid w:val="00487532"/>
    <w:rsid w:val="00487B8C"/>
    <w:rsid w:val="00487F69"/>
    <w:rsid w:val="00487FE0"/>
    <w:rsid w:val="0049029D"/>
    <w:rsid w:val="0049030C"/>
    <w:rsid w:val="004903C0"/>
    <w:rsid w:val="0049114B"/>
    <w:rsid w:val="004912A8"/>
    <w:rsid w:val="004912B3"/>
    <w:rsid w:val="00491577"/>
    <w:rsid w:val="0049196A"/>
    <w:rsid w:val="0049196E"/>
    <w:rsid w:val="00491B54"/>
    <w:rsid w:val="0049241A"/>
    <w:rsid w:val="00492C1F"/>
    <w:rsid w:val="00492E4C"/>
    <w:rsid w:val="00493664"/>
    <w:rsid w:val="00493E04"/>
    <w:rsid w:val="004940E3"/>
    <w:rsid w:val="00494C65"/>
    <w:rsid w:val="00495107"/>
    <w:rsid w:val="004951A1"/>
    <w:rsid w:val="0049530F"/>
    <w:rsid w:val="004957D0"/>
    <w:rsid w:val="00496160"/>
    <w:rsid w:val="00496664"/>
    <w:rsid w:val="00496786"/>
    <w:rsid w:val="0049695B"/>
    <w:rsid w:val="00496B9C"/>
    <w:rsid w:val="00496D8F"/>
    <w:rsid w:val="00497463"/>
    <w:rsid w:val="00497610"/>
    <w:rsid w:val="004978F6"/>
    <w:rsid w:val="004A054C"/>
    <w:rsid w:val="004A08D1"/>
    <w:rsid w:val="004A16C1"/>
    <w:rsid w:val="004A1CE2"/>
    <w:rsid w:val="004A2823"/>
    <w:rsid w:val="004A2DDD"/>
    <w:rsid w:val="004A3044"/>
    <w:rsid w:val="004A33AC"/>
    <w:rsid w:val="004A34D2"/>
    <w:rsid w:val="004A3CF6"/>
    <w:rsid w:val="004A4301"/>
    <w:rsid w:val="004A4D93"/>
    <w:rsid w:val="004A58EE"/>
    <w:rsid w:val="004A59B7"/>
    <w:rsid w:val="004A6051"/>
    <w:rsid w:val="004A623B"/>
    <w:rsid w:val="004A6A04"/>
    <w:rsid w:val="004A6A52"/>
    <w:rsid w:val="004B0A44"/>
    <w:rsid w:val="004B0F0B"/>
    <w:rsid w:val="004B11B7"/>
    <w:rsid w:val="004B2111"/>
    <w:rsid w:val="004B2113"/>
    <w:rsid w:val="004B2197"/>
    <w:rsid w:val="004B28E0"/>
    <w:rsid w:val="004B298A"/>
    <w:rsid w:val="004B31C6"/>
    <w:rsid w:val="004B34C4"/>
    <w:rsid w:val="004B50CB"/>
    <w:rsid w:val="004B578D"/>
    <w:rsid w:val="004B5BE7"/>
    <w:rsid w:val="004B5E2D"/>
    <w:rsid w:val="004B6394"/>
    <w:rsid w:val="004B652A"/>
    <w:rsid w:val="004B66CD"/>
    <w:rsid w:val="004B6B5D"/>
    <w:rsid w:val="004B6C07"/>
    <w:rsid w:val="004B74D3"/>
    <w:rsid w:val="004B788E"/>
    <w:rsid w:val="004B7E5D"/>
    <w:rsid w:val="004C072C"/>
    <w:rsid w:val="004C1B39"/>
    <w:rsid w:val="004C2180"/>
    <w:rsid w:val="004C22F7"/>
    <w:rsid w:val="004C2B27"/>
    <w:rsid w:val="004C3219"/>
    <w:rsid w:val="004C38BD"/>
    <w:rsid w:val="004C3929"/>
    <w:rsid w:val="004C3BDA"/>
    <w:rsid w:val="004C47DF"/>
    <w:rsid w:val="004C4DED"/>
    <w:rsid w:val="004C5212"/>
    <w:rsid w:val="004C580A"/>
    <w:rsid w:val="004C5E63"/>
    <w:rsid w:val="004C5EF0"/>
    <w:rsid w:val="004C5FEC"/>
    <w:rsid w:val="004C63DB"/>
    <w:rsid w:val="004C64C9"/>
    <w:rsid w:val="004C7226"/>
    <w:rsid w:val="004C74C9"/>
    <w:rsid w:val="004C78C3"/>
    <w:rsid w:val="004C7915"/>
    <w:rsid w:val="004C79BC"/>
    <w:rsid w:val="004C7D70"/>
    <w:rsid w:val="004D02F9"/>
    <w:rsid w:val="004D03FE"/>
    <w:rsid w:val="004D0446"/>
    <w:rsid w:val="004D06A3"/>
    <w:rsid w:val="004D0D3C"/>
    <w:rsid w:val="004D0F95"/>
    <w:rsid w:val="004D106A"/>
    <w:rsid w:val="004D1335"/>
    <w:rsid w:val="004D1C27"/>
    <w:rsid w:val="004D1C7E"/>
    <w:rsid w:val="004D245A"/>
    <w:rsid w:val="004D26E3"/>
    <w:rsid w:val="004D31EE"/>
    <w:rsid w:val="004D36AF"/>
    <w:rsid w:val="004D3BD1"/>
    <w:rsid w:val="004D4512"/>
    <w:rsid w:val="004D4720"/>
    <w:rsid w:val="004D4BA1"/>
    <w:rsid w:val="004D4EC1"/>
    <w:rsid w:val="004D536E"/>
    <w:rsid w:val="004D584D"/>
    <w:rsid w:val="004D5A7E"/>
    <w:rsid w:val="004D5C0E"/>
    <w:rsid w:val="004D5CD1"/>
    <w:rsid w:val="004D6120"/>
    <w:rsid w:val="004D62A3"/>
    <w:rsid w:val="004D6826"/>
    <w:rsid w:val="004D6D7F"/>
    <w:rsid w:val="004E023F"/>
    <w:rsid w:val="004E038F"/>
    <w:rsid w:val="004E0546"/>
    <w:rsid w:val="004E0742"/>
    <w:rsid w:val="004E0C64"/>
    <w:rsid w:val="004E0F6B"/>
    <w:rsid w:val="004E10F5"/>
    <w:rsid w:val="004E1545"/>
    <w:rsid w:val="004E1C3E"/>
    <w:rsid w:val="004E1E1A"/>
    <w:rsid w:val="004E1F1C"/>
    <w:rsid w:val="004E2A35"/>
    <w:rsid w:val="004E2ED3"/>
    <w:rsid w:val="004E40CE"/>
    <w:rsid w:val="004E4C2E"/>
    <w:rsid w:val="004E5736"/>
    <w:rsid w:val="004E58ED"/>
    <w:rsid w:val="004E5A3C"/>
    <w:rsid w:val="004E5AA8"/>
    <w:rsid w:val="004E5B36"/>
    <w:rsid w:val="004E5D5D"/>
    <w:rsid w:val="004E5E11"/>
    <w:rsid w:val="004E6045"/>
    <w:rsid w:val="004E6F43"/>
    <w:rsid w:val="004E702F"/>
    <w:rsid w:val="004E7200"/>
    <w:rsid w:val="004E7412"/>
    <w:rsid w:val="004E787E"/>
    <w:rsid w:val="004F0960"/>
    <w:rsid w:val="004F0A5C"/>
    <w:rsid w:val="004F0F12"/>
    <w:rsid w:val="004F163F"/>
    <w:rsid w:val="004F18A0"/>
    <w:rsid w:val="004F1A08"/>
    <w:rsid w:val="004F2764"/>
    <w:rsid w:val="004F2B64"/>
    <w:rsid w:val="004F31B8"/>
    <w:rsid w:val="004F375E"/>
    <w:rsid w:val="004F3764"/>
    <w:rsid w:val="004F3C90"/>
    <w:rsid w:val="004F3DB4"/>
    <w:rsid w:val="004F3E42"/>
    <w:rsid w:val="004F3EEF"/>
    <w:rsid w:val="004F3FB1"/>
    <w:rsid w:val="004F5180"/>
    <w:rsid w:val="004F57C9"/>
    <w:rsid w:val="004F5930"/>
    <w:rsid w:val="004F5970"/>
    <w:rsid w:val="004F5F0C"/>
    <w:rsid w:val="004F5F46"/>
    <w:rsid w:val="004F6121"/>
    <w:rsid w:val="004F6161"/>
    <w:rsid w:val="004F66BC"/>
    <w:rsid w:val="004F6B63"/>
    <w:rsid w:val="004F6C26"/>
    <w:rsid w:val="004F7AC9"/>
    <w:rsid w:val="0050030B"/>
    <w:rsid w:val="005005F2"/>
    <w:rsid w:val="0050062F"/>
    <w:rsid w:val="00500E74"/>
    <w:rsid w:val="005010D3"/>
    <w:rsid w:val="005010EC"/>
    <w:rsid w:val="0050112F"/>
    <w:rsid w:val="0050160F"/>
    <w:rsid w:val="0050284E"/>
    <w:rsid w:val="00502993"/>
    <w:rsid w:val="00502AF3"/>
    <w:rsid w:val="00502FCD"/>
    <w:rsid w:val="0050306F"/>
    <w:rsid w:val="00504DF9"/>
    <w:rsid w:val="00505DCB"/>
    <w:rsid w:val="00505DE1"/>
    <w:rsid w:val="0050703E"/>
    <w:rsid w:val="005075CA"/>
    <w:rsid w:val="00507B06"/>
    <w:rsid w:val="00507BF1"/>
    <w:rsid w:val="005100E0"/>
    <w:rsid w:val="0051047A"/>
    <w:rsid w:val="0051074C"/>
    <w:rsid w:val="00510DE9"/>
    <w:rsid w:val="00510F21"/>
    <w:rsid w:val="005111E2"/>
    <w:rsid w:val="00511231"/>
    <w:rsid w:val="00512250"/>
    <w:rsid w:val="00512C4F"/>
    <w:rsid w:val="00513042"/>
    <w:rsid w:val="0051329D"/>
    <w:rsid w:val="0051334F"/>
    <w:rsid w:val="00513399"/>
    <w:rsid w:val="00513658"/>
    <w:rsid w:val="00513AF2"/>
    <w:rsid w:val="00514575"/>
    <w:rsid w:val="00514C03"/>
    <w:rsid w:val="00514D67"/>
    <w:rsid w:val="0051522A"/>
    <w:rsid w:val="00515515"/>
    <w:rsid w:val="0051635C"/>
    <w:rsid w:val="00516C5B"/>
    <w:rsid w:val="00517612"/>
    <w:rsid w:val="00517C1A"/>
    <w:rsid w:val="00517CFB"/>
    <w:rsid w:val="00517F85"/>
    <w:rsid w:val="00520235"/>
    <w:rsid w:val="00520899"/>
    <w:rsid w:val="00520922"/>
    <w:rsid w:val="005209FC"/>
    <w:rsid w:val="005211D3"/>
    <w:rsid w:val="00521A30"/>
    <w:rsid w:val="005221D1"/>
    <w:rsid w:val="005224E5"/>
    <w:rsid w:val="00523903"/>
    <w:rsid w:val="005239B6"/>
    <w:rsid w:val="00523C45"/>
    <w:rsid w:val="00524165"/>
    <w:rsid w:val="005246E7"/>
    <w:rsid w:val="00524B08"/>
    <w:rsid w:val="00524C38"/>
    <w:rsid w:val="00524FBF"/>
    <w:rsid w:val="00524FD2"/>
    <w:rsid w:val="00525621"/>
    <w:rsid w:val="005257E5"/>
    <w:rsid w:val="00526431"/>
    <w:rsid w:val="00527015"/>
    <w:rsid w:val="005270E8"/>
    <w:rsid w:val="005272BA"/>
    <w:rsid w:val="00527532"/>
    <w:rsid w:val="00527703"/>
    <w:rsid w:val="0052773D"/>
    <w:rsid w:val="00527DEB"/>
    <w:rsid w:val="00527E57"/>
    <w:rsid w:val="00527F2C"/>
    <w:rsid w:val="00530405"/>
    <w:rsid w:val="00530522"/>
    <w:rsid w:val="005305E5"/>
    <w:rsid w:val="00530CBA"/>
    <w:rsid w:val="00530F38"/>
    <w:rsid w:val="00531F26"/>
    <w:rsid w:val="00532299"/>
    <w:rsid w:val="0053277C"/>
    <w:rsid w:val="005327C0"/>
    <w:rsid w:val="00532E9B"/>
    <w:rsid w:val="00533101"/>
    <w:rsid w:val="005335B4"/>
    <w:rsid w:val="00533CA9"/>
    <w:rsid w:val="00533D28"/>
    <w:rsid w:val="00534503"/>
    <w:rsid w:val="005346AD"/>
    <w:rsid w:val="005346BC"/>
    <w:rsid w:val="00534EFB"/>
    <w:rsid w:val="00534F60"/>
    <w:rsid w:val="005357F1"/>
    <w:rsid w:val="00536053"/>
    <w:rsid w:val="005365B2"/>
    <w:rsid w:val="005365FF"/>
    <w:rsid w:val="00536801"/>
    <w:rsid w:val="00536902"/>
    <w:rsid w:val="00536985"/>
    <w:rsid w:val="005369E6"/>
    <w:rsid w:val="00536BE1"/>
    <w:rsid w:val="005371AC"/>
    <w:rsid w:val="00537672"/>
    <w:rsid w:val="0053772F"/>
    <w:rsid w:val="00537B77"/>
    <w:rsid w:val="005403D6"/>
    <w:rsid w:val="00540C4C"/>
    <w:rsid w:val="00541469"/>
    <w:rsid w:val="00541571"/>
    <w:rsid w:val="005419F8"/>
    <w:rsid w:val="00541B1F"/>
    <w:rsid w:val="00541F92"/>
    <w:rsid w:val="0054275A"/>
    <w:rsid w:val="005427F8"/>
    <w:rsid w:val="005428B8"/>
    <w:rsid w:val="00542BD7"/>
    <w:rsid w:val="00543084"/>
    <w:rsid w:val="0054321E"/>
    <w:rsid w:val="00543314"/>
    <w:rsid w:val="00543584"/>
    <w:rsid w:val="00543A9E"/>
    <w:rsid w:val="0054413A"/>
    <w:rsid w:val="00544288"/>
    <w:rsid w:val="005446BB"/>
    <w:rsid w:val="005448C8"/>
    <w:rsid w:val="00544A5A"/>
    <w:rsid w:val="00544DA5"/>
    <w:rsid w:val="00544F43"/>
    <w:rsid w:val="005457D9"/>
    <w:rsid w:val="00545E30"/>
    <w:rsid w:val="00545EA3"/>
    <w:rsid w:val="00546C9B"/>
    <w:rsid w:val="00547BF6"/>
    <w:rsid w:val="00547CDD"/>
    <w:rsid w:val="00547FB3"/>
    <w:rsid w:val="00550760"/>
    <w:rsid w:val="005508B2"/>
    <w:rsid w:val="00551098"/>
    <w:rsid w:val="00551598"/>
    <w:rsid w:val="0055162B"/>
    <w:rsid w:val="00551BFF"/>
    <w:rsid w:val="00551C3A"/>
    <w:rsid w:val="00551D68"/>
    <w:rsid w:val="00551DFF"/>
    <w:rsid w:val="005525C9"/>
    <w:rsid w:val="00552B3E"/>
    <w:rsid w:val="00553027"/>
    <w:rsid w:val="00553730"/>
    <w:rsid w:val="00554D57"/>
    <w:rsid w:val="005551AA"/>
    <w:rsid w:val="0055583B"/>
    <w:rsid w:val="0055636A"/>
    <w:rsid w:val="0055642A"/>
    <w:rsid w:val="005564CA"/>
    <w:rsid w:val="00556827"/>
    <w:rsid w:val="005568DA"/>
    <w:rsid w:val="005568EA"/>
    <w:rsid w:val="00557140"/>
    <w:rsid w:val="00557984"/>
    <w:rsid w:val="00560677"/>
    <w:rsid w:val="00560C87"/>
    <w:rsid w:val="00560F51"/>
    <w:rsid w:val="00561249"/>
    <w:rsid w:val="0056132A"/>
    <w:rsid w:val="0056182B"/>
    <w:rsid w:val="00561AF3"/>
    <w:rsid w:val="00561D48"/>
    <w:rsid w:val="00561D6D"/>
    <w:rsid w:val="00561E0B"/>
    <w:rsid w:val="00562141"/>
    <w:rsid w:val="005624BB"/>
    <w:rsid w:val="0056296E"/>
    <w:rsid w:val="00562D86"/>
    <w:rsid w:val="00563784"/>
    <w:rsid w:val="00563AFC"/>
    <w:rsid w:val="00564704"/>
    <w:rsid w:val="00564712"/>
    <w:rsid w:val="0056524A"/>
    <w:rsid w:val="005654BB"/>
    <w:rsid w:val="005657A8"/>
    <w:rsid w:val="00565952"/>
    <w:rsid w:val="00565F6E"/>
    <w:rsid w:val="00566866"/>
    <w:rsid w:val="00566E76"/>
    <w:rsid w:val="005670A5"/>
    <w:rsid w:val="00567285"/>
    <w:rsid w:val="00567723"/>
    <w:rsid w:val="0056772D"/>
    <w:rsid w:val="00567AB8"/>
    <w:rsid w:val="005707E3"/>
    <w:rsid w:val="00570A26"/>
    <w:rsid w:val="00570CFD"/>
    <w:rsid w:val="00571872"/>
    <w:rsid w:val="0057221F"/>
    <w:rsid w:val="00572539"/>
    <w:rsid w:val="00573355"/>
    <w:rsid w:val="0057337D"/>
    <w:rsid w:val="00573504"/>
    <w:rsid w:val="0057381D"/>
    <w:rsid w:val="00573BA3"/>
    <w:rsid w:val="00573C8C"/>
    <w:rsid w:val="005745F3"/>
    <w:rsid w:val="00574708"/>
    <w:rsid w:val="00574D81"/>
    <w:rsid w:val="005756AA"/>
    <w:rsid w:val="0057696F"/>
    <w:rsid w:val="00576A75"/>
    <w:rsid w:val="005774FE"/>
    <w:rsid w:val="0058040C"/>
    <w:rsid w:val="00580772"/>
    <w:rsid w:val="00580D22"/>
    <w:rsid w:val="00580D6D"/>
    <w:rsid w:val="005813DE"/>
    <w:rsid w:val="00581796"/>
    <w:rsid w:val="00581B45"/>
    <w:rsid w:val="00582480"/>
    <w:rsid w:val="00582805"/>
    <w:rsid w:val="0058290E"/>
    <w:rsid w:val="00582CAB"/>
    <w:rsid w:val="00582D08"/>
    <w:rsid w:val="00582E21"/>
    <w:rsid w:val="00582FA6"/>
    <w:rsid w:val="005834E2"/>
    <w:rsid w:val="0058351E"/>
    <w:rsid w:val="0058375E"/>
    <w:rsid w:val="0058378C"/>
    <w:rsid w:val="0058385E"/>
    <w:rsid w:val="00584233"/>
    <w:rsid w:val="005842D0"/>
    <w:rsid w:val="005845FB"/>
    <w:rsid w:val="00584860"/>
    <w:rsid w:val="005855AE"/>
    <w:rsid w:val="00585829"/>
    <w:rsid w:val="00585CA8"/>
    <w:rsid w:val="00586412"/>
    <w:rsid w:val="005864B9"/>
    <w:rsid w:val="005866C4"/>
    <w:rsid w:val="00586BD3"/>
    <w:rsid w:val="00587229"/>
    <w:rsid w:val="0059077C"/>
    <w:rsid w:val="00590F1A"/>
    <w:rsid w:val="005914AF"/>
    <w:rsid w:val="00591C03"/>
    <w:rsid w:val="00591D97"/>
    <w:rsid w:val="00591D9E"/>
    <w:rsid w:val="00591E2A"/>
    <w:rsid w:val="005923C4"/>
    <w:rsid w:val="00592981"/>
    <w:rsid w:val="00593945"/>
    <w:rsid w:val="00593EA2"/>
    <w:rsid w:val="00593F75"/>
    <w:rsid w:val="005940A0"/>
    <w:rsid w:val="0059429A"/>
    <w:rsid w:val="00594462"/>
    <w:rsid w:val="00594CBE"/>
    <w:rsid w:val="00595322"/>
    <w:rsid w:val="00596AF7"/>
    <w:rsid w:val="00596CCE"/>
    <w:rsid w:val="005A1976"/>
    <w:rsid w:val="005A2120"/>
    <w:rsid w:val="005A2501"/>
    <w:rsid w:val="005A2C80"/>
    <w:rsid w:val="005A3066"/>
    <w:rsid w:val="005A3B35"/>
    <w:rsid w:val="005A3C4B"/>
    <w:rsid w:val="005A3E5A"/>
    <w:rsid w:val="005A43F3"/>
    <w:rsid w:val="005A485D"/>
    <w:rsid w:val="005A496F"/>
    <w:rsid w:val="005A4A56"/>
    <w:rsid w:val="005A4B38"/>
    <w:rsid w:val="005A5608"/>
    <w:rsid w:val="005A5A3D"/>
    <w:rsid w:val="005A5F0E"/>
    <w:rsid w:val="005A6035"/>
    <w:rsid w:val="005A6073"/>
    <w:rsid w:val="005A6375"/>
    <w:rsid w:val="005A6B75"/>
    <w:rsid w:val="005A6E00"/>
    <w:rsid w:val="005A718A"/>
    <w:rsid w:val="005A7752"/>
    <w:rsid w:val="005A7885"/>
    <w:rsid w:val="005B0293"/>
    <w:rsid w:val="005B10DC"/>
    <w:rsid w:val="005B12B2"/>
    <w:rsid w:val="005B143B"/>
    <w:rsid w:val="005B1565"/>
    <w:rsid w:val="005B19BD"/>
    <w:rsid w:val="005B1E45"/>
    <w:rsid w:val="005B21C4"/>
    <w:rsid w:val="005B2A28"/>
    <w:rsid w:val="005B2E64"/>
    <w:rsid w:val="005B3621"/>
    <w:rsid w:val="005B3CD9"/>
    <w:rsid w:val="005B48A8"/>
    <w:rsid w:val="005B4948"/>
    <w:rsid w:val="005B501D"/>
    <w:rsid w:val="005B54CC"/>
    <w:rsid w:val="005B660E"/>
    <w:rsid w:val="005B74AD"/>
    <w:rsid w:val="005B7B3E"/>
    <w:rsid w:val="005B7E96"/>
    <w:rsid w:val="005C0429"/>
    <w:rsid w:val="005C084F"/>
    <w:rsid w:val="005C0968"/>
    <w:rsid w:val="005C0EE9"/>
    <w:rsid w:val="005C16A8"/>
    <w:rsid w:val="005C1716"/>
    <w:rsid w:val="005C1954"/>
    <w:rsid w:val="005C1C0B"/>
    <w:rsid w:val="005C2011"/>
    <w:rsid w:val="005C2085"/>
    <w:rsid w:val="005C3EA3"/>
    <w:rsid w:val="005C4434"/>
    <w:rsid w:val="005C44DE"/>
    <w:rsid w:val="005C4825"/>
    <w:rsid w:val="005C5011"/>
    <w:rsid w:val="005C5241"/>
    <w:rsid w:val="005C529E"/>
    <w:rsid w:val="005C57BA"/>
    <w:rsid w:val="005C5C52"/>
    <w:rsid w:val="005C5D3D"/>
    <w:rsid w:val="005C5EC1"/>
    <w:rsid w:val="005C5F05"/>
    <w:rsid w:val="005C6186"/>
    <w:rsid w:val="005C74FF"/>
    <w:rsid w:val="005C7713"/>
    <w:rsid w:val="005C7E45"/>
    <w:rsid w:val="005C7F3E"/>
    <w:rsid w:val="005D06D3"/>
    <w:rsid w:val="005D09B1"/>
    <w:rsid w:val="005D0C3B"/>
    <w:rsid w:val="005D1051"/>
    <w:rsid w:val="005D1606"/>
    <w:rsid w:val="005D2044"/>
    <w:rsid w:val="005D2917"/>
    <w:rsid w:val="005D2EB2"/>
    <w:rsid w:val="005D2F48"/>
    <w:rsid w:val="005D399C"/>
    <w:rsid w:val="005D3B32"/>
    <w:rsid w:val="005D3BD0"/>
    <w:rsid w:val="005D4643"/>
    <w:rsid w:val="005D464B"/>
    <w:rsid w:val="005D466F"/>
    <w:rsid w:val="005D49F0"/>
    <w:rsid w:val="005D5125"/>
    <w:rsid w:val="005D51F7"/>
    <w:rsid w:val="005D51FA"/>
    <w:rsid w:val="005D53E8"/>
    <w:rsid w:val="005D5702"/>
    <w:rsid w:val="005D5A9D"/>
    <w:rsid w:val="005D6441"/>
    <w:rsid w:val="005D6651"/>
    <w:rsid w:val="005D6675"/>
    <w:rsid w:val="005D691D"/>
    <w:rsid w:val="005D6A72"/>
    <w:rsid w:val="005D6E87"/>
    <w:rsid w:val="005D6F38"/>
    <w:rsid w:val="005D7279"/>
    <w:rsid w:val="005D791B"/>
    <w:rsid w:val="005D7CF2"/>
    <w:rsid w:val="005D7E2D"/>
    <w:rsid w:val="005D7F92"/>
    <w:rsid w:val="005D7FCC"/>
    <w:rsid w:val="005E0CDD"/>
    <w:rsid w:val="005E0D7B"/>
    <w:rsid w:val="005E1595"/>
    <w:rsid w:val="005E182D"/>
    <w:rsid w:val="005E1F1D"/>
    <w:rsid w:val="005E273D"/>
    <w:rsid w:val="005E30AC"/>
    <w:rsid w:val="005E3278"/>
    <w:rsid w:val="005E3456"/>
    <w:rsid w:val="005E363B"/>
    <w:rsid w:val="005E3736"/>
    <w:rsid w:val="005E5BD6"/>
    <w:rsid w:val="005E5BEC"/>
    <w:rsid w:val="005E72A0"/>
    <w:rsid w:val="005F1793"/>
    <w:rsid w:val="005F1FA9"/>
    <w:rsid w:val="005F287D"/>
    <w:rsid w:val="005F305B"/>
    <w:rsid w:val="005F3081"/>
    <w:rsid w:val="005F3361"/>
    <w:rsid w:val="005F37FE"/>
    <w:rsid w:val="005F3B47"/>
    <w:rsid w:val="005F3B58"/>
    <w:rsid w:val="005F3E34"/>
    <w:rsid w:val="005F4481"/>
    <w:rsid w:val="005F47AC"/>
    <w:rsid w:val="005F49AF"/>
    <w:rsid w:val="005F4A58"/>
    <w:rsid w:val="005F54DF"/>
    <w:rsid w:val="005F5888"/>
    <w:rsid w:val="005F5984"/>
    <w:rsid w:val="005F5EAB"/>
    <w:rsid w:val="005F6CE2"/>
    <w:rsid w:val="005F6F24"/>
    <w:rsid w:val="005F72E9"/>
    <w:rsid w:val="005F780B"/>
    <w:rsid w:val="005F7FA1"/>
    <w:rsid w:val="00600473"/>
    <w:rsid w:val="00600897"/>
    <w:rsid w:val="00600B65"/>
    <w:rsid w:val="0060139A"/>
    <w:rsid w:val="006013C9"/>
    <w:rsid w:val="006014A1"/>
    <w:rsid w:val="00601C0D"/>
    <w:rsid w:val="00601FE7"/>
    <w:rsid w:val="00602310"/>
    <w:rsid w:val="00602B45"/>
    <w:rsid w:val="006032AB"/>
    <w:rsid w:val="00603499"/>
    <w:rsid w:val="006035F5"/>
    <w:rsid w:val="00603CC2"/>
    <w:rsid w:val="006047D1"/>
    <w:rsid w:val="00604A55"/>
    <w:rsid w:val="00604D4E"/>
    <w:rsid w:val="00604E3E"/>
    <w:rsid w:val="00604EFB"/>
    <w:rsid w:val="00605AC3"/>
    <w:rsid w:val="006061E2"/>
    <w:rsid w:val="00606908"/>
    <w:rsid w:val="00607996"/>
    <w:rsid w:val="00607A37"/>
    <w:rsid w:val="00607E0A"/>
    <w:rsid w:val="00607E9F"/>
    <w:rsid w:val="0061085E"/>
    <w:rsid w:val="0061132D"/>
    <w:rsid w:val="00611398"/>
    <w:rsid w:val="0061148A"/>
    <w:rsid w:val="006118BD"/>
    <w:rsid w:val="00611EAA"/>
    <w:rsid w:val="00612322"/>
    <w:rsid w:val="006123C0"/>
    <w:rsid w:val="00612600"/>
    <w:rsid w:val="00612DF1"/>
    <w:rsid w:val="00613191"/>
    <w:rsid w:val="006133F9"/>
    <w:rsid w:val="006134B3"/>
    <w:rsid w:val="00613DE1"/>
    <w:rsid w:val="0061401F"/>
    <w:rsid w:val="00614166"/>
    <w:rsid w:val="0061418E"/>
    <w:rsid w:val="00614817"/>
    <w:rsid w:val="006149CC"/>
    <w:rsid w:val="006157A9"/>
    <w:rsid w:val="0061591D"/>
    <w:rsid w:val="00615ED0"/>
    <w:rsid w:val="0061604C"/>
    <w:rsid w:val="00616C2B"/>
    <w:rsid w:val="00616D7F"/>
    <w:rsid w:val="006172EC"/>
    <w:rsid w:val="0061750A"/>
    <w:rsid w:val="00617721"/>
    <w:rsid w:val="006178D1"/>
    <w:rsid w:val="00620719"/>
    <w:rsid w:val="006212C9"/>
    <w:rsid w:val="00621A88"/>
    <w:rsid w:val="00621BCE"/>
    <w:rsid w:val="00621D0C"/>
    <w:rsid w:val="00622470"/>
    <w:rsid w:val="00622725"/>
    <w:rsid w:val="0062296B"/>
    <w:rsid w:val="006231AA"/>
    <w:rsid w:val="00623482"/>
    <w:rsid w:val="0062386C"/>
    <w:rsid w:val="00623AC2"/>
    <w:rsid w:val="00623EBC"/>
    <w:rsid w:val="00624505"/>
    <w:rsid w:val="0062452A"/>
    <w:rsid w:val="006258DA"/>
    <w:rsid w:val="006266D7"/>
    <w:rsid w:val="006267F1"/>
    <w:rsid w:val="00626D42"/>
    <w:rsid w:val="00626EE3"/>
    <w:rsid w:val="006271CF"/>
    <w:rsid w:val="006274AD"/>
    <w:rsid w:val="00627519"/>
    <w:rsid w:val="00627532"/>
    <w:rsid w:val="00627918"/>
    <w:rsid w:val="006302AA"/>
    <w:rsid w:val="006310C3"/>
    <w:rsid w:val="0063161E"/>
    <w:rsid w:val="00631660"/>
    <w:rsid w:val="00631908"/>
    <w:rsid w:val="00631BB5"/>
    <w:rsid w:val="00631C45"/>
    <w:rsid w:val="00631DD0"/>
    <w:rsid w:val="00632241"/>
    <w:rsid w:val="00633178"/>
    <w:rsid w:val="00633DBF"/>
    <w:rsid w:val="00634122"/>
    <w:rsid w:val="00634261"/>
    <w:rsid w:val="0063548C"/>
    <w:rsid w:val="00635E32"/>
    <w:rsid w:val="006360FC"/>
    <w:rsid w:val="006364DB"/>
    <w:rsid w:val="006365DE"/>
    <w:rsid w:val="00636BE4"/>
    <w:rsid w:val="00636F88"/>
    <w:rsid w:val="0063732C"/>
    <w:rsid w:val="00637802"/>
    <w:rsid w:val="00637836"/>
    <w:rsid w:val="00637A42"/>
    <w:rsid w:val="00637C26"/>
    <w:rsid w:val="00637F44"/>
    <w:rsid w:val="00640084"/>
    <w:rsid w:val="006401D8"/>
    <w:rsid w:val="00641078"/>
    <w:rsid w:val="00641242"/>
    <w:rsid w:val="00642188"/>
    <w:rsid w:val="006424AA"/>
    <w:rsid w:val="00642A32"/>
    <w:rsid w:val="006433D5"/>
    <w:rsid w:val="00643412"/>
    <w:rsid w:val="00644224"/>
    <w:rsid w:val="00645554"/>
    <w:rsid w:val="00645C53"/>
    <w:rsid w:val="00645CEB"/>
    <w:rsid w:val="00645E6E"/>
    <w:rsid w:val="00646561"/>
    <w:rsid w:val="00646A8B"/>
    <w:rsid w:val="00646B20"/>
    <w:rsid w:val="00646D0F"/>
    <w:rsid w:val="00646FB0"/>
    <w:rsid w:val="0064763F"/>
    <w:rsid w:val="00647A36"/>
    <w:rsid w:val="00647DCC"/>
    <w:rsid w:val="00647EFA"/>
    <w:rsid w:val="00647F14"/>
    <w:rsid w:val="00650027"/>
    <w:rsid w:val="00651501"/>
    <w:rsid w:val="00651B9C"/>
    <w:rsid w:val="00651C47"/>
    <w:rsid w:val="00651C9A"/>
    <w:rsid w:val="006520AC"/>
    <w:rsid w:val="00652E70"/>
    <w:rsid w:val="0065339A"/>
    <w:rsid w:val="00653469"/>
    <w:rsid w:val="006534ED"/>
    <w:rsid w:val="00653D0C"/>
    <w:rsid w:val="006543A4"/>
    <w:rsid w:val="00654A38"/>
    <w:rsid w:val="00655301"/>
    <w:rsid w:val="00655316"/>
    <w:rsid w:val="00655371"/>
    <w:rsid w:val="00655507"/>
    <w:rsid w:val="00656320"/>
    <w:rsid w:val="00656C4B"/>
    <w:rsid w:val="006572FE"/>
    <w:rsid w:val="006573EA"/>
    <w:rsid w:val="00657795"/>
    <w:rsid w:val="0066073F"/>
    <w:rsid w:val="006608ED"/>
    <w:rsid w:val="00660D2A"/>
    <w:rsid w:val="00661029"/>
    <w:rsid w:val="0066135A"/>
    <w:rsid w:val="00661A38"/>
    <w:rsid w:val="00662188"/>
    <w:rsid w:val="0066272D"/>
    <w:rsid w:val="0066293A"/>
    <w:rsid w:val="00662E58"/>
    <w:rsid w:val="00662F39"/>
    <w:rsid w:val="0066339A"/>
    <w:rsid w:val="006635A0"/>
    <w:rsid w:val="00664351"/>
    <w:rsid w:val="00664668"/>
    <w:rsid w:val="0066495B"/>
    <w:rsid w:val="00664DFB"/>
    <w:rsid w:val="00665875"/>
    <w:rsid w:val="00665968"/>
    <w:rsid w:val="00665BF7"/>
    <w:rsid w:val="00666027"/>
    <w:rsid w:val="00666178"/>
    <w:rsid w:val="0066639E"/>
    <w:rsid w:val="00666473"/>
    <w:rsid w:val="00666C72"/>
    <w:rsid w:val="00666D6C"/>
    <w:rsid w:val="00666E6C"/>
    <w:rsid w:val="0066707F"/>
    <w:rsid w:val="00667ED8"/>
    <w:rsid w:val="00670298"/>
    <w:rsid w:val="0067064C"/>
    <w:rsid w:val="00670B20"/>
    <w:rsid w:val="00670E12"/>
    <w:rsid w:val="00670F27"/>
    <w:rsid w:val="006712A4"/>
    <w:rsid w:val="00672E80"/>
    <w:rsid w:val="0067333F"/>
    <w:rsid w:val="006739E4"/>
    <w:rsid w:val="00673ECF"/>
    <w:rsid w:val="0067426B"/>
    <w:rsid w:val="00674A1B"/>
    <w:rsid w:val="00674A7D"/>
    <w:rsid w:val="00674F1C"/>
    <w:rsid w:val="006754F8"/>
    <w:rsid w:val="00675BD6"/>
    <w:rsid w:val="00676118"/>
    <w:rsid w:val="00676127"/>
    <w:rsid w:val="00676AED"/>
    <w:rsid w:val="00677E9C"/>
    <w:rsid w:val="00677F26"/>
    <w:rsid w:val="006800EE"/>
    <w:rsid w:val="006802A7"/>
    <w:rsid w:val="0068118C"/>
    <w:rsid w:val="006811C9"/>
    <w:rsid w:val="006812CE"/>
    <w:rsid w:val="006826C1"/>
    <w:rsid w:val="00682C89"/>
    <w:rsid w:val="006832B8"/>
    <w:rsid w:val="0068331A"/>
    <w:rsid w:val="006837B2"/>
    <w:rsid w:val="00683800"/>
    <w:rsid w:val="006839E9"/>
    <w:rsid w:val="00684459"/>
    <w:rsid w:val="00684462"/>
    <w:rsid w:val="00684C8A"/>
    <w:rsid w:val="00684CF5"/>
    <w:rsid w:val="0068525C"/>
    <w:rsid w:val="0068553E"/>
    <w:rsid w:val="00685AB6"/>
    <w:rsid w:val="00685E7B"/>
    <w:rsid w:val="00686551"/>
    <w:rsid w:val="00686B53"/>
    <w:rsid w:val="00686BD1"/>
    <w:rsid w:val="00686CAB"/>
    <w:rsid w:val="00686E4D"/>
    <w:rsid w:val="0068717F"/>
    <w:rsid w:val="0068719A"/>
    <w:rsid w:val="0068730C"/>
    <w:rsid w:val="00687504"/>
    <w:rsid w:val="00687A14"/>
    <w:rsid w:val="00687A8C"/>
    <w:rsid w:val="00690839"/>
    <w:rsid w:val="006908DB"/>
    <w:rsid w:val="00690DE9"/>
    <w:rsid w:val="00690E5E"/>
    <w:rsid w:val="006912E8"/>
    <w:rsid w:val="00691712"/>
    <w:rsid w:val="00691B25"/>
    <w:rsid w:val="00691DE9"/>
    <w:rsid w:val="00691EAA"/>
    <w:rsid w:val="00692245"/>
    <w:rsid w:val="00692FFA"/>
    <w:rsid w:val="006933D6"/>
    <w:rsid w:val="0069361D"/>
    <w:rsid w:val="00693772"/>
    <w:rsid w:val="00693984"/>
    <w:rsid w:val="00693B77"/>
    <w:rsid w:val="00694160"/>
    <w:rsid w:val="006943FB"/>
    <w:rsid w:val="006959A5"/>
    <w:rsid w:val="00695C0C"/>
    <w:rsid w:val="00696736"/>
    <w:rsid w:val="00696A05"/>
    <w:rsid w:val="00697385"/>
    <w:rsid w:val="00697443"/>
    <w:rsid w:val="00697665"/>
    <w:rsid w:val="006979BF"/>
    <w:rsid w:val="00697C9A"/>
    <w:rsid w:val="00697E68"/>
    <w:rsid w:val="00697FC1"/>
    <w:rsid w:val="006A0274"/>
    <w:rsid w:val="006A0F2B"/>
    <w:rsid w:val="006A103E"/>
    <w:rsid w:val="006A1595"/>
    <w:rsid w:val="006A1D0E"/>
    <w:rsid w:val="006A27BC"/>
    <w:rsid w:val="006A2A43"/>
    <w:rsid w:val="006A2BF1"/>
    <w:rsid w:val="006A2C3A"/>
    <w:rsid w:val="006A2D6A"/>
    <w:rsid w:val="006A2F9A"/>
    <w:rsid w:val="006A34E4"/>
    <w:rsid w:val="006A3A5A"/>
    <w:rsid w:val="006A4043"/>
    <w:rsid w:val="006A44CF"/>
    <w:rsid w:val="006A457D"/>
    <w:rsid w:val="006A4C06"/>
    <w:rsid w:val="006A4C33"/>
    <w:rsid w:val="006A55EE"/>
    <w:rsid w:val="006A575B"/>
    <w:rsid w:val="006A592F"/>
    <w:rsid w:val="006A59DE"/>
    <w:rsid w:val="006A6023"/>
    <w:rsid w:val="006A618F"/>
    <w:rsid w:val="006A64C6"/>
    <w:rsid w:val="006A6655"/>
    <w:rsid w:val="006A6BF9"/>
    <w:rsid w:val="006A70D3"/>
    <w:rsid w:val="006A7CB5"/>
    <w:rsid w:val="006A7FD0"/>
    <w:rsid w:val="006B00E4"/>
    <w:rsid w:val="006B025C"/>
    <w:rsid w:val="006B08ED"/>
    <w:rsid w:val="006B10EF"/>
    <w:rsid w:val="006B1E76"/>
    <w:rsid w:val="006B1ED3"/>
    <w:rsid w:val="006B2534"/>
    <w:rsid w:val="006B2CB2"/>
    <w:rsid w:val="006B308B"/>
    <w:rsid w:val="006B347D"/>
    <w:rsid w:val="006B3E19"/>
    <w:rsid w:val="006B4488"/>
    <w:rsid w:val="006B49FC"/>
    <w:rsid w:val="006B4F10"/>
    <w:rsid w:val="006B50C4"/>
    <w:rsid w:val="006B525D"/>
    <w:rsid w:val="006B53AE"/>
    <w:rsid w:val="006B58B4"/>
    <w:rsid w:val="006B61AB"/>
    <w:rsid w:val="006B67AC"/>
    <w:rsid w:val="006B6DB3"/>
    <w:rsid w:val="006B786A"/>
    <w:rsid w:val="006B793B"/>
    <w:rsid w:val="006B7A03"/>
    <w:rsid w:val="006B7A67"/>
    <w:rsid w:val="006B7D67"/>
    <w:rsid w:val="006B7E4E"/>
    <w:rsid w:val="006C003A"/>
    <w:rsid w:val="006C023B"/>
    <w:rsid w:val="006C074F"/>
    <w:rsid w:val="006C08E4"/>
    <w:rsid w:val="006C107C"/>
    <w:rsid w:val="006C1EA0"/>
    <w:rsid w:val="006C2454"/>
    <w:rsid w:val="006C2551"/>
    <w:rsid w:val="006C37CA"/>
    <w:rsid w:val="006C40D2"/>
    <w:rsid w:val="006C4BBD"/>
    <w:rsid w:val="006C4C26"/>
    <w:rsid w:val="006C5B15"/>
    <w:rsid w:val="006C5D00"/>
    <w:rsid w:val="006C5D32"/>
    <w:rsid w:val="006C5DCB"/>
    <w:rsid w:val="006C6475"/>
    <w:rsid w:val="006C6D58"/>
    <w:rsid w:val="006C70C4"/>
    <w:rsid w:val="006C724E"/>
    <w:rsid w:val="006C741F"/>
    <w:rsid w:val="006D04DA"/>
    <w:rsid w:val="006D10F6"/>
    <w:rsid w:val="006D1544"/>
    <w:rsid w:val="006D165A"/>
    <w:rsid w:val="006D1688"/>
    <w:rsid w:val="006D1DD3"/>
    <w:rsid w:val="006D1FF3"/>
    <w:rsid w:val="006D22A9"/>
    <w:rsid w:val="006D22C7"/>
    <w:rsid w:val="006D2C65"/>
    <w:rsid w:val="006D2DE3"/>
    <w:rsid w:val="006D32C6"/>
    <w:rsid w:val="006D33C6"/>
    <w:rsid w:val="006D3491"/>
    <w:rsid w:val="006D360E"/>
    <w:rsid w:val="006D3697"/>
    <w:rsid w:val="006D39D2"/>
    <w:rsid w:val="006D3DF0"/>
    <w:rsid w:val="006D3F2A"/>
    <w:rsid w:val="006D4370"/>
    <w:rsid w:val="006D46A3"/>
    <w:rsid w:val="006D62E0"/>
    <w:rsid w:val="006D658F"/>
    <w:rsid w:val="006D6A12"/>
    <w:rsid w:val="006D6FA2"/>
    <w:rsid w:val="006D712D"/>
    <w:rsid w:val="006D7687"/>
    <w:rsid w:val="006D7689"/>
    <w:rsid w:val="006D7D1F"/>
    <w:rsid w:val="006D7D8A"/>
    <w:rsid w:val="006D7DE7"/>
    <w:rsid w:val="006E0079"/>
    <w:rsid w:val="006E02C4"/>
    <w:rsid w:val="006E0572"/>
    <w:rsid w:val="006E05D8"/>
    <w:rsid w:val="006E08EE"/>
    <w:rsid w:val="006E155A"/>
    <w:rsid w:val="006E1D06"/>
    <w:rsid w:val="006E2C34"/>
    <w:rsid w:val="006E359B"/>
    <w:rsid w:val="006E39D1"/>
    <w:rsid w:val="006E3B05"/>
    <w:rsid w:val="006E437F"/>
    <w:rsid w:val="006E4D5B"/>
    <w:rsid w:val="006E602F"/>
    <w:rsid w:val="006E6720"/>
    <w:rsid w:val="006E6D00"/>
    <w:rsid w:val="006E6F90"/>
    <w:rsid w:val="006E7275"/>
    <w:rsid w:val="006E77B8"/>
    <w:rsid w:val="006E7E0B"/>
    <w:rsid w:val="006F0497"/>
    <w:rsid w:val="006F0FB1"/>
    <w:rsid w:val="006F13BA"/>
    <w:rsid w:val="006F15CC"/>
    <w:rsid w:val="006F15F6"/>
    <w:rsid w:val="006F1F32"/>
    <w:rsid w:val="006F2F3D"/>
    <w:rsid w:val="006F36EA"/>
    <w:rsid w:val="006F4147"/>
    <w:rsid w:val="006F4315"/>
    <w:rsid w:val="006F4834"/>
    <w:rsid w:val="006F4CB0"/>
    <w:rsid w:val="006F4F78"/>
    <w:rsid w:val="006F547E"/>
    <w:rsid w:val="006F5CCF"/>
    <w:rsid w:val="006F5F09"/>
    <w:rsid w:val="006F625D"/>
    <w:rsid w:val="006F64B5"/>
    <w:rsid w:val="006F65A9"/>
    <w:rsid w:val="006F6F04"/>
    <w:rsid w:val="006F71F5"/>
    <w:rsid w:val="00700301"/>
    <w:rsid w:val="00700610"/>
    <w:rsid w:val="00700652"/>
    <w:rsid w:val="00700B9C"/>
    <w:rsid w:val="0070138A"/>
    <w:rsid w:val="0070157E"/>
    <w:rsid w:val="00701867"/>
    <w:rsid w:val="007024EF"/>
    <w:rsid w:val="007030D4"/>
    <w:rsid w:val="00703279"/>
    <w:rsid w:val="007039CE"/>
    <w:rsid w:val="00703B19"/>
    <w:rsid w:val="00703B61"/>
    <w:rsid w:val="00703E11"/>
    <w:rsid w:val="00704102"/>
    <w:rsid w:val="0070437C"/>
    <w:rsid w:val="0070461C"/>
    <w:rsid w:val="00704C48"/>
    <w:rsid w:val="00704D4B"/>
    <w:rsid w:val="00704DFE"/>
    <w:rsid w:val="00705631"/>
    <w:rsid w:val="00705818"/>
    <w:rsid w:val="00705F62"/>
    <w:rsid w:val="0070773F"/>
    <w:rsid w:val="007078BD"/>
    <w:rsid w:val="00707ED3"/>
    <w:rsid w:val="007101B7"/>
    <w:rsid w:val="00710501"/>
    <w:rsid w:val="00710668"/>
    <w:rsid w:val="007110F4"/>
    <w:rsid w:val="007112B1"/>
    <w:rsid w:val="0071130F"/>
    <w:rsid w:val="0071208D"/>
    <w:rsid w:val="00712714"/>
    <w:rsid w:val="007129AB"/>
    <w:rsid w:val="00712B63"/>
    <w:rsid w:val="00713526"/>
    <w:rsid w:val="00713799"/>
    <w:rsid w:val="00713FC5"/>
    <w:rsid w:val="00714835"/>
    <w:rsid w:val="00714D20"/>
    <w:rsid w:val="00714DCA"/>
    <w:rsid w:val="00715447"/>
    <w:rsid w:val="00715BBF"/>
    <w:rsid w:val="00715C29"/>
    <w:rsid w:val="00715CBD"/>
    <w:rsid w:val="00715EAA"/>
    <w:rsid w:val="00716CAD"/>
    <w:rsid w:val="00716F18"/>
    <w:rsid w:val="00717363"/>
    <w:rsid w:val="00717786"/>
    <w:rsid w:val="00717ACB"/>
    <w:rsid w:val="0072123A"/>
    <w:rsid w:val="0072138B"/>
    <w:rsid w:val="00721BFF"/>
    <w:rsid w:val="007227C8"/>
    <w:rsid w:val="0072291F"/>
    <w:rsid w:val="00723475"/>
    <w:rsid w:val="007235BD"/>
    <w:rsid w:val="007236C4"/>
    <w:rsid w:val="00723948"/>
    <w:rsid w:val="0072406F"/>
    <w:rsid w:val="007242A2"/>
    <w:rsid w:val="00724635"/>
    <w:rsid w:val="00724F21"/>
    <w:rsid w:val="00725134"/>
    <w:rsid w:val="0072554B"/>
    <w:rsid w:val="00725AFD"/>
    <w:rsid w:val="00726603"/>
    <w:rsid w:val="00726CED"/>
    <w:rsid w:val="007270EF"/>
    <w:rsid w:val="0072760C"/>
    <w:rsid w:val="00727B1D"/>
    <w:rsid w:val="00727DDC"/>
    <w:rsid w:val="007302AE"/>
    <w:rsid w:val="00730CD6"/>
    <w:rsid w:val="00730F74"/>
    <w:rsid w:val="0073114B"/>
    <w:rsid w:val="00732151"/>
    <w:rsid w:val="00732842"/>
    <w:rsid w:val="00732C4B"/>
    <w:rsid w:val="007339EC"/>
    <w:rsid w:val="00733B26"/>
    <w:rsid w:val="007341F8"/>
    <w:rsid w:val="00734236"/>
    <w:rsid w:val="00734952"/>
    <w:rsid w:val="00734990"/>
    <w:rsid w:val="00734FF5"/>
    <w:rsid w:val="007351F2"/>
    <w:rsid w:val="007356B8"/>
    <w:rsid w:val="00735B78"/>
    <w:rsid w:val="00735DA7"/>
    <w:rsid w:val="007368B4"/>
    <w:rsid w:val="0073746D"/>
    <w:rsid w:val="007378E0"/>
    <w:rsid w:val="00737C51"/>
    <w:rsid w:val="00737D92"/>
    <w:rsid w:val="00740529"/>
    <w:rsid w:val="00740876"/>
    <w:rsid w:val="00740F0D"/>
    <w:rsid w:val="00741247"/>
    <w:rsid w:val="00741358"/>
    <w:rsid w:val="00741626"/>
    <w:rsid w:val="00742332"/>
    <w:rsid w:val="00742886"/>
    <w:rsid w:val="00742DD2"/>
    <w:rsid w:val="00742F60"/>
    <w:rsid w:val="00743521"/>
    <w:rsid w:val="007437C6"/>
    <w:rsid w:val="007438E6"/>
    <w:rsid w:val="007441A2"/>
    <w:rsid w:val="00744767"/>
    <w:rsid w:val="00744E80"/>
    <w:rsid w:val="00745035"/>
    <w:rsid w:val="0074531C"/>
    <w:rsid w:val="00745547"/>
    <w:rsid w:val="007459D0"/>
    <w:rsid w:val="0074608B"/>
    <w:rsid w:val="0074614C"/>
    <w:rsid w:val="0074623A"/>
    <w:rsid w:val="00746420"/>
    <w:rsid w:val="00746638"/>
    <w:rsid w:val="007466BA"/>
    <w:rsid w:val="007469A8"/>
    <w:rsid w:val="00746A60"/>
    <w:rsid w:val="00746CAE"/>
    <w:rsid w:val="00746E04"/>
    <w:rsid w:val="00746E08"/>
    <w:rsid w:val="00746E3D"/>
    <w:rsid w:val="007473B9"/>
    <w:rsid w:val="0074740B"/>
    <w:rsid w:val="00747C96"/>
    <w:rsid w:val="00750075"/>
    <w:rsid w:val="007502EC"/>
    <w:rsid w:val="00750382"/>
    <w:rsid w:val="0075041E"/>
    <w:rsid w:val="0075094E"/>
    <w:rsid w:val="00750FA8"/>
    <w:rsid w:val="00750FB5"/>
    <w:rsid w:val="0075125D"/>
    <w:rsid w:val="007520F0"/>
    <w:rsid w:val="007522E8"/>
    <w:rsid w:val="00752A4F"/>
    <w:rsid w:val="00753BAC"/>
    <w:rsid w:val="00754A0B"/>
    <w:rsid w:val="00754DFE"/>
    <w:rsid w:val="007552DB"/>
    <w:rsid w:val="00755B08"/>
    <w:rsid w:val="00755DD0"/>
    <w:rsid w:val="0075647A"/>
    <w:rsid w:val="00756613"/>
    <w:rsid w:val="00756A2F"/>
    <w:rsid w:val="007573E1"/>
    <w:rsid w:val="0075749E"/>
    <w:rsid w:val="00757660"/>
    <w:rsid w:val="00757722"/>
    <w:rsid w:val="00757B2D"/>
    <w:rsid w:val="00757BAD"/>
    <w:rsid w:val="00757D62"/>
    <w:rsid w:val="00760021"/>
    <w:rsid w:val="00760561"/>
    <w:rsid w:val="00760867"/>
    <w:rsid w:val="00760E9E"/>
    <w:rsid w:val="00760EB6"/>
    <w:rsid w:val="007613CC"/>
    <w:rsid w:val="007616DB"/>
    <w:rsid w:val="00761AB7"/>
    <w:rsid w:val="00761CE6"/>
    <w:rsid w:val="0076228A"/>
    <w:rsid w:val="00762440"/>
    <w:rsid w:val="00762499"/>
    <w:rsid w:val="007629B7"/>
    <w:rsid w:val="00762E60"/>
    <w:rsid w:val="007634AD"/>
    <w:rsid w:val="0076445F"/>
    <w:rsid w:val="00764EC5"/>
    <w:rsid w:val="007651B3"/>
    <w:rsid w:val="00765F28"/>
    <w:rsid w:val="00766E2E"/>
    <w:rsid w:val="00766ECC"/>
    <w:rsid w:val="007672F3"/>
    <w:rsid w:val="007676EE"/>
    <w:rsid w:val="007677B5"/>
    <w:rsid w:val="007678B1"/>
    <w:rsid w:val="007708A8"/>
    <w:rsid w:val="00770D6E"/>
    <w:rsid w:val="0077184A"/>
    <w:rsid w:val="00772100"/>
    <w:rsid w:val="00772275"/>
    <w:rsid w:val="007734CC"/>
    <w:rsid w:val="007734E4"/>
    <w:rsid w:val="0077380D"/>
    <w:rsid w:val="007738CF"/>
    <w:rsid w:val="00773BC8"/>
    <w:rsid w:val="0077466F"/>
    <w:rsid w:val="0077507F"/>
    <w:rsid w:val="007752B7"/>
    <w:rsid w:val="00775597"/>
    <w:rsid w:val="007757DC"/>
    <w:rsid w:val="0077591D"/>
    <w:rsid w:val="007759A8"/>
    <w:rsid w:val="00775C27"/>
    <w:rsid w:val="00775D98"/>
    <w:rsid w:val="00775DEC"/>
    <w:rsid w:val="0077644C"/>
    <w:rsid w:val="00776FE5"/>
    <w:rsid w:val="00777101"/>
    <w:rsid w:val="007774E7"/>
    <w:rsid w:val="0077768C"/>
    <w:rsid w:val="00777696"/>
    <w:rsid w:val="00777FF4"/>
    <w:rsid w:val="00780251"/>
    <w:rsid w:val="007804FE"/>
    <w:rsid w:val="00780AFD"/>
    <w:rsid w:val="00780F32"/>
    <w:rsid w:val="0078122E"/>
    <w:rsid w:val="00781939"/>
    <w:rsid w:val="00781BB2"/>
    <w:rsid w:val="00781C5D"/>
    <w:rsid w:val="00781D29"/>
    <w:rsid w:val="00781DCF"/>
    <w:rsid w:val="007825EF"/>
    <w:rsid w:val="0078286B"/>
    <w:rsid w:val="00782D2C"/>
    <w:rsid w:val="00782F57"/>
    <w:rsid w:val="00782FC2"/>
    <w:rsid w:val="007831EE"/>
    <w:rsid w:val="0078328D"/>
    <w:rsid w:val="0078347A"/>
    <w:rsid w:val="007842D6"/>
    <w:rsid w:val="00784FC4"/>
    <w:rsid w:val="00785353"/>
    <w:rsid w:val="00785A12"/>
    <w:rsid w:val="00785BBB"/>
    <w:rsid w:val="00786937"/>
    <w:rsid w:val="00786B4D"/>
    <w:rsid w:val="00786FAD"/>
    <w:rsid w:val="00787005"/>
    <w:rsid w:val="00787D90"/>
    <w:rsid w:val="00787F5E"/>
    <w:rsid w:val="00790164"/>
    <w:rsid w:val="0079075B"/>
    <w:rsid w:val="00790A24"/>
    <w:rsid w:val="00790A37"/>
    <w:rsid w:val="00790A60"/>
    <w:rsid w:val="0079146D"/>
    <w:rsid w:val="00791C32"/>
    <w:rsid w:val="00791FF0"/>
    <w:rsid w:val="007923D0"/>
    <w:rsid w:val="00792E15"/>
    <w:rsid w:val="007930D3"/>
    <w:rsid w:val="0079381F"/>
    <w:rsid w:val="00793A57"/>
    <w:rsid w:val="00793B2E"/>
    <w:rsid w:val="007948F5"/>
    <w:rsid w:val="00795647"/>
    <w:rsid w:val="007956C2"/>
    <w:rsid w:val="00795DA1"/>
    <w:rsid w:val="007963F6"/>
    <w:rsid w:val="007964CA"/>
    <w:rsid w:val="007968B8"/>
    <w:rsid w:val="00796905"/>
    <w:rsid w:val="00796AFE"/>
    <w:rsid w:val="00796DC8"/>
    <w:rsid w:val="00796E80"/>
    <w:rsid w:val="0079744F"/>
    <w:rsid w:val="007979AD"/>
    <w:rsid w:val="00797A9C"/>
    <w:rsid w:val="007A00FA"/>
    <w:rsid w:val="007A0EAB"/>
    <w:rsid w:val="007A0FEC"/>
    <w:rsid w:val="007A11E4"/>
    <w:rsid w:val="007A2341"/>
    <w:rsid w:val="007A2754"/>
    <w:rsid w:val="007A297E"/>
    <w:rsid w:val="007A35E5"/>
    <w:rsid w:val="007A38A1"/>
    <w:rsid w:val="007A3BBE"/>
    <w:rsid w:val="007A4766"/>
    <w:rsid w:val="007A504E"/>
    <w:rsid w:val="007A5747"/>
    <w:rsid w:val="007A5947"/>
    <w:rsid w:val="007A5C22"/>
    <w:rsid w:val="007A5DB2"/>
    <w:rsid w:val="007A5DB3"/>
    <w:rsid w:val="007A6DF8"/>
    <w:rsid w:val="007A6FA8"/>
    <w:rsid w:val="007A717B"/>
    <w:rsid w:val="007A71D0"/>
    <w:rsid w:val="007B0313"/>
    <w:rsid w:val="007B0854"/>
    <w:rsid w:val="007B0E48"/>
    <w:rsid w:val="007B1162"/>
    <w:rsid w:val="007B1A0E"/>
    <w:rsid w:val="007B1C00"/>
    <w:rsid w:val="007B1D1B"/>
    <w:rsid w:val="007B303E"/>
    <w:rsid w:val="007B32C0"/>
    <w:rsid w:val="007B32F7"/>
    <w:rsid w:val="007B3659"/>
    <w:rsid w:val="007B374D"/>
    <w:rsid w:val="007B38B5"/>
    <w:rsid w:val="007B3BF3"/>
    <w:rsid w:val="007B431B"/>
    <w:rsid w:val="007B4558"/>
    <w:rsid w:val="007B456A"/>
    <w:rsid w:val="007B4632"/>
    <w:rsid w:val="007B46A2"/>
    <w:rsid w:val="007B4828"/>
    <w:rsid w:val="007B4B2D"/>
    <w:rsid w:val="007B4B99"/>
    <w:rsid w:val="007B4BA9"/>
    <w:rsid w:val="007B4D4A"/>
    <w:rsid w:val="007B513D"/>
    <w:rsid w:val="007B53DA"/>
    <w:rsid w:val="007B53DB"/>
    <w:rsid w:val="007B5428"/>
    <w:rsid w:val="007B59B7"/>
    <w:rsid w:val="007B5F71"/>
    <w:rsid w:val="007B6C64"/>
    <w:rsid w:val="007B6EC8"/>
    <w:rsid w:val="007B6F81"/>
    <w:rsid w:val="007B7EA2"/>
    <w:rsid w:val="007C097D"/>
    <w:rsid w:val="007C0AF2"/>
    <w:rsid w:val="007C11CE"/>
    <w:rsid w:val="007C1672"/>
    <w:rsid w:val="007C1E39"/>
    <w:rsid w:val="007C1EDC"/>
    <w:rsid w:val="007C312A"/>
    <w:rsid w:val="007C34A9"/>
    <w:rsid w:val="007C3570"/>
    <w:rsid w:val="007C3BFC"/>
    <w:rsid w:val="007C3F3B"/>
    <w:rsid w:val="007C4241"/>
    <w:rsid w:val="007C425E"/>
    <w:rsid w:val="007C55FF"/>
    <w:rsid w:val="007C59E6"/>
    <w:rsid w:val="007C5A27"/>
    <w:rsid w:val="007C5E8F"/>
    <w:rsid w:val="007C6339"/>
    <w:rsid w:val="007C6A4D"/>
    <w:rsid w:val="007C753F"/>
    <w:rsid w:val="007C790C"/>
    <w:rsid w:val="007C7C43"/>
    <w:rsid w:val="007C7F0D"/>
    <w:rsid w:val="007D06E3"/>
    <w:rsid w:val="007D0D79"/>
    <w:rsid w:val="007D0E8D"/>
    <w:rsid w:val="007D1134"/>
    <w:rsid w:val="007D17F0"/>
    <w:rsid w:val="007D20BB"/>
    <w:rsid w:val="007D23F7"/>
    <w:rsid w:val="007D2566"/>
    <w:rsid w:val="007D2C18"/>
    <w:rsid w:val="007D2D74"/>
    <w:rsid w:val="007D3693"/>
    <w:rsid w:val="007D3C20"/>
    <w:rsid w:val="007D3C6D"/>
    <w:rsid w:val="007D3EE2"/>
    <w:rsid w:val="007D42D3"/>
    <w:rsid w:val="007D4754"/>
    <w:rsid w:val="007D481A"/>
    <w:rsid w:val="007D4ED0"/>
    <w:rsid w:val="007D5648"/>
    <w:rsid w:val="007D58C5"/>
    <w:rsid w:val="007D5DE8"/>
    <w:rsid w:val="007D7047"/>
    <w:rsid w:val="007D7CFC"/>
    <w:rsid w:val="007E021D"/>
    <w:rsid w:val="007E0812"/>
    <w:rsid w:val="007E18DF"/>
    <w:rsid w:val="007E2C36"/>
    <w:rsid w:val="007E2E07"/>
    <w:rsid w:val="007E3309"/>
    <w:rsid w:val="007E350D"/>
    <w:rsid w:val="007E3A0A"/>
    <w:rsid w:val="007E3ACA"/>
    <w:rsid w:val="007E496E"/>
    <w:rsid w:val="007E564D"/>
    <w:rsid w:val="007E5C4A"/>
    <w:rsid w:val="007E5F2E"/>
    <w:rsid w:val="007E60FB"/>
    <w:rsid w:val="007E637F"/>
    <w:rsid w:val="007E64D4"/>
    <w:rsid w:val="007E66E9"/>
    <w:rsid w:val="007E69F2"/>
    <w:rsid w:val="007E7432"/>
    <w:rsid w:val="007E74BF"/>
    <w:rsid w:val="007F14D3"/>
    <w:rsid w:val="007F16C0"/>
    <w:rsid w:val="007F1D9D"/>
    <w:rsid w:val="007F1E28"/>
    <w:rsid w:val="007F1F63"/>
    <w:rsid w:val="007F22A0"/>
    <w:rsid w:val="007F2903"/>
    <w:rsid w:val="007F2F90"/>
    <w:rsid w:val="007F3320"/>
    <w:rsid w:val="007F3471"/>
    <w:rsid w:val="007F369E"/>
    <w:rsid w:val="007F3A8F"/>
    <w:rsid w:val="007F3AC1"/>
    <w:rsid w:val="007F3B1B"/>
    <w:rsid w:val="007F4976"/>
    <w:rsid w:val="007F4B92"/>
    <w:rsid w:val="007F52AF"/>
    <w:rsid w:val="007F5A56"/>
    <w:rsid w:val="007F616E"/>
    <w:rsid w:val="007F6790"/>
    <w:rsid w:val="007F6B46"/>
    <w:rsid w:val="007F6D56"/>
    <w:rsid w:val="007F72CB"/>
    <w:rsid w:val="007F736A"/>
    <w:rsid w:val="007F7635"/>
    <w:rsid w:val="007F785F"/>
    <w:rsid w:val="007F7961"/>
    <w:rsid w:val="007F7AF6"/>
    <w:rsid w:val="007F7E36"/>
    <w:rsid w:val="00800E6D"/>
    <w:rsid w:val="008014D9"/>
    <w:rsid w:val="0080150F"/>
    <w:rsid w:val="0080153A"/>
    <w:rsid w:val="00801913"/>
    <w:rsid w:val="00801A2A"/>
    <w:rsid w:val="00801C48"/>
    <w:rsid w:val="00801E04"/>
    <w:rsid w:val="00802041"/>
    <w:rsid w:val="008022C9"/>
    <w:rsid w:val="00802605"/>
    <w:rsid w:val="00802ED9"/>
    <w:rsid w:val="00802F9E"/>
    <w:rsid w:val="00803700"/>
    <w:rsid w:val="0080375D"/>
    <w:rsid w:val="00803D9D"/>
    <w:rsid w:val="0080543F"/>
    <w:rsid w:val="008059C6"/>
    <w:rsid w:val="00805AD7"/>
    <w:rsid w:val="00805BD6"/>
    <w:rsid w:val="00805DE3"/>
    <w:rsid w:val="00806079"/>
    <w:rsid w:val="00807C35"/>
    <w:rsid w:val="00807CAC"/>
    <w:rsid w:val="00807F35"/>
    <w:rsid w:val="00807F69"/>
    <w:rsid w:val="008100F7"/>
    <w:rsid w:val="00810206"/>
    <w:rsid w:val="008108ED"/>
    <w:rsid w:val="00811898"/>
    <w:rsid w:val="00811AC2"/>
    <w:rsid w:val="00811CDC"/>
    <w:rsid w:val="008124D8"/>
    <w:rsid w:val="0081250A"/>
    <w:rsid w:val="008127B1"/>
    <w:rsid w:val="0081389E"/>
    <w:rsid w:val="00813A7B"/>
    <w:rsid w:val="00813F04"/>
    <w:rsid w:val="008140B3"/>
    <w:rsid w:val="0081513E"/>
    <w:rsid w:val="00815DA5"/>
    <w:rsid w:val="00816169"/>
    <w:rsid w:val="00816221"/>
    <w:rsid w:val="00816551"/>
    <w:rsid w:val="00816AD6"/>
    <w:rsid w:val="00817063"/>
    <w:rsid w:val="0081766B"/>
    <w:rsid w:val="008178B7"/>
    <w:rsid w:val="008179A1"/>
    <w:rsid w:val="008179E1"/>
    <w:rsid w:val="00817D12"/>
    <w:rsid w:val="00820037"/>
    <w:rsid w:val="00820705"/>
    <w:rsid w:val="00820842"/>
    <w:rsid w:val="00820BA7"/>
    <w:rsid w:val="00820CBF"/>
    <w:rsid w:val="00820DBC"/>
    <w:rsid w:val="00820E59"/>
    <w:rsid w:val="00820FA8"/>
    <w:rsid w:val="008211FE"/>
    <w:rsid w:val="008212FD"/>
    <w:rsid w:val="00821489"/>
    <w:rsid w:val="008217B7"/>
    <w:rsid w:val="00821D43"/>
    <w:rsid w:val="00822257"/>
    <w:rsid w:val="0082239B"/>
    <w:rsid w:val="0082279D"/>
    <w:rsid w:val="0082292E"/>
    <w:rsid w:val="00822D06"/>
    <w:rsid w:val="00822EC4"/>
    <w:rsid w:val="0082348D"/>
    <w:rsid w:val="008236BE"/>
    <w:rsid w:val="00823FEA"/>
    <w:rsid w:val="008241CE"/>
    <w:rsid w:val="00824953"/>
    <w:rsid w:val="00825240"/>
    <w:rsid w:val="0082532C"/>
    <w:rsid w:val="00825595"/>
    <w:rsid w:val="00825B43"/>
    <w:rsid w:val="00826F71"/>
    <w:rsid w:val="00827818"/>
    <w:rsid w:val="00827CC0"/>
    <w:rsid w:val="00830879"/>
    <w:rsid w:val="00830D29"/>
    <w:rsid w:val="00831026"/>
    <w:rsid w:val="0083119B"/>
    <w:rsid w:val="00831BAE"/>
    <w:rsid w:val="00831E8B"/>
    <w:rsid w:val="00832216"/>
    <w:rsid w:val="00832464"/>
    <w:rsid w:val="0083261D"/>
    <w:rsid w:val="00832CD0"/>
    <w:rsid w:val="00832F8C"/>
    <w:rsid w:val="00833430"/>
    <w:rsid w:val="0083382A"/>
    <w:rsid w:val="00834128"/>
    <w:rsid w:val="0083417F"/>
    <w:rsid w:val="00834A0D"/>
    <w:rsid w:val="00835143"/>
    <w:rsid w:val="0083569B"/>
    <w:rsid w:val="00835741"/>
    <w:rsid w:val="008364D6"/>
    <w:rsid w:val="008366F2"/>
    <w:rsid w:val="00836E74"/>
    <w:rsid w:val="00836EAB"/>
    <w:rsid w:val="00836FDF"/>
    <w:rsid w:val="008375B1"/>
    <w:rsid w:val="00837673"/>
    <w:rsid w:val="00837937"/>
    <w:rsid w:val="00837D82"/>
    <w:rsid w:val="00840893"/>
    <w:rsid w:val="00840E3B"/>
    <w:rsid w:val="00840E88"/>
    <w:rsid w:val="00840EAE"/>
    <w:rsid w:val="008410D3"/>
    <w:rsid w:val="0084120E"/>
    <w:rsid w:val="008422B3"/>
    <w:rsid w:val="008423EC"/>
    <w:rsid w:val="008426F8"/>
    <w:rsid w:val="008429A6"/>
    <w:rsid w:val="0084302D"/>
    <w:rsid w:val="00843615"/>
    <w:rsid w:val="00843698"/>
    <w:rsid w:val="00843A4B"/>
    <w:rsid w:val="00843B57"/>
    <w:rsid w:val="00843B60"/>
    <w:rsid w:val="00843D33"/>
    <w:rsid w:val="008440DF"/>
    <w:rsid w:val="00844421"/>
    <w:rsid w:val="008444F0"/>
    <w:rsid w:val="008447D8"/>
    <w:rsid w:val="00844CA4"/>
    <w:rsid w:val="00844D4F"/>
    <w:rsid w:val="00845AE3"/>
    <w:rsid w:val="008466A0"/>
    <w:rsid w:val="00847535"/>
    <w:rsid w:val="00847B6D"/>
    <w:rsid w:val="008508A8"/>
    <w:rsid w:val="0085092D"/>
    <w:rsid w:val="00850C79"/>
    <w:rsid w:val="00850D82"/>
    <w:rsid w:val="00850F44"/>
    <w:rsid w:val="00850F79"/>
    <w:rsid w:val="0085100B"/>
    <w:rsid w:val="008515C0"/>
    <w:rsid w:val="00851FA9"/>
    <w:rsid w:val="0085218B"/>
    <w:rsid w:val="00852329"/>
    <w:rsid w:val="008527D3"/>
    <w:rsid w:val="00852C43"/>
    <w:rsid w:val="00852FDC"/>
    <w:rsid w:val="0085304C"/>
    <w:rsid w:val="008536BB"/>
    <w:rsid w:val="00853A3C"/>
    <w:rsid w:val="008548CA"/>
    <w:rsid w:val="008549B4"/>
    <w:rsid w:val="00856B9F"/>
    <w:rsid w:val="00856C06"/>
    <w:rsid w:val="008578B1"/>
    <w:rsid w:val="0085790B"/>
    <w:rsid w:val="008579B9"/>
    <w:rsid w:val="00857C95"/>
    <w:rsid w:val="00857E78"/>
    <w:rsid w:val="00860AEF"/>
    <w:rsid w:val="00860B18"/>
    <w:rsid w:val="00860D5E"/>
    <w:rsid w:val="0086122C"/>
    <w:rsid w:val="00861310"/>
    <w:rsid w:val="008617C3"/>
    <w:rsid w:val="00861E75"/>
    <w:rsid w:val="00861F53"/>
    <w:rsid w:val="0086289E"/>
    <w:rsid w:val="008629CB"/>
    <w:rsid w:val="0086336D"/>
    <w:rsid w:val="0086394E"/>
    <w:rsid w:val="00863A41"/>
    <w:rsid w:val="00863B02"/>
    <w:rsid w:val="00863F8A"/>
    <w:rsid w:val="00863FE3"/>
    <w:rsid w:val="00864241"/>
    <w:rsid w:val="0086468A"/>
    <w:rsid w:val="00864F5F"/>
    <w:rsid w:val="00864FA1"/>
    <w:rsid w:val="008650BE"/>
    <w:rsid w:val="00865AE0"/>
    <w:rsid w:val="0086633B"/>
    <w:rsid w:val="00866495"/>
    <w:rsid w:val="00866881"/>
    <w:rsid w:val="00866931"/>
    <w:rsid w:val="008673F2"/>
    <w:rsid w:val="00867512"/>
    <w:rsid w:val="008678A3"/>
    <w:rsid w:val="00867C13"/>
    <w:rsid w:val="00867C1D"/>
    <w:rsid w:val="0087033C"/>
    <w:rsid w:val="00870B93"/>
    <w:rsid w:val="00871064"/>
    <w:rsid w:val="008715ED"/>
    <w:rsid w:val="008717D8"/>
    <w:rsid w:val="00871E3C"/>
    <w:rsid w:val="008721FA"/>
    <w:rsid w:val="00872CC1"/>
    <w:rsid w:val="00872F97"/>
    <w:rsid w:val="00873731"/>
    <w:rsid w:val="00874607"/>
    <w:rsid w:val="00874915"/>
    <w:rsid w:val="00874B89"/>
    <w:rsid w:val="00874C78"/>
    <w:rsid w:val="00875403"/>
    <w:rsid w:val="00875434"/>
    <w:rsid w:val="00875B74"/>
    <w:rsid w:val="00875C1F"/>
    <w:rsid w:val="00875FDC"/>
    <w:rsid w:val="00876215"/>
    <w:rsid w:val="0087646C"/>
    <w:rsid w:val="00876815"/>
    <w:rsid w:val="00877932"/>
    <w:rsid w:val="008808C7"/>
    <w:rsid w:val="0088103E"/>
    <w:rsid w:val="0088106B"/>
    <w:rsid w:val="0088107D"/>
    <w:rsid w:val="00881475"/>
    <w:rsid w:val="00881E64"/>
    <w:rsid w:val="00882A31"/>
    <w:rsid w:val="00882AA7"/>
    <w:rsid w:val="00882D24"/>
    <w:rsid w:val="00882E39"/>
    <w:rsid w:val="0088321E"/>
    <w:rsid w:val="00884978"/>
    <w:rsid w:val="008850EB"/>
    <w:rsid w:val="00885228"/>
    <w:rsid w:val="00886114"/>
    <w:rsid w:val="00886C32"/>
    <w:rsid w:val="00886DF2"/>
    <w:rsid w:val="00886FB9"/>
    <w:rsid w:val="00887057"/>
    <w:rsid w:val="00887080"/>
    <w:rsid w:val="00887C79"/>
    <w:rsid w:val="00887E72"/>
    <w:rsid w:val="00887EC5"/>
    <w:rsid w:val="008907B7"/>
    <w:rsid w:val="0089107B"/>
    <w:rsid w:val="008913CC"/>
    <w:rsid w:val="008914AE"/>
    <w:rsid w:val="008919CF"/>
    <w:rsid w:val="00891F84"/>
    <w:rsid w:val="00891FD5"/>
    <w:rsid w:val="0089276F"/>
    <w:rsid w:val="008928EC"/>
    <w:rsid w:val="00892E5D"/>
    <w:rsid w:val="008935CF"/>
    <w:rsid w:val="00894233"/>
    <w:rsid w:val="0089436B"/>
    <w:rsid w:val="00894436"/>
    <w:rsid w:val="0089494C"/>
    <w:rsid w:val="00894BB1"/>
    <w:rsid w:val="008951D0"/>
    <w:rsid w:val="00895386"/>
    <w:rsid w:val="00895828"/>
    <w:rsid w:val="0089582D"/>
    <w:rsid w:val="008959C6"/>
    <w:rsid w:val="00895E8C"/>
    <w:rsid w:val="0089606D"/>
    <w:rsid w:val="00896129"/>
    <w:rsid w:val="00896316"/>
    <w:rsid w:val="0089774F"/>
    <w:rsid w:val="00897875"/>
    <w:rsid w:val="00897B8F"/>
    <w:rsid w:val="008A00D9"/>
    <w:rsid w:val="008A07D5"/>
    <w:rsid w:val="008A15D3"/>
    <w:rsid w:val="008A1705"/>
    <w:rsid w:val="008A1E94"/>
    <w:rsid w:val="008A1FB7"/>
    <w:rsid w:val="008A229A"/>
    <w:rsid w:val="008A2667"/>
    <w:rsid w:val="008A2A23"/>
    <w:rsid w:val="008A2AF5"/>
    <w:rsid w:val="008A2B5A"/>
    <w:rsid w:val="008A2C47"/>
    <w:rsid w:val="008A3954"/>
    <w:rsid w:val="008A3F9D"/>
    <w:rsid w:val="008A4B42"/>
    <w:rsid w:val="008A5474"/>
    <w:rsid w:val="008A5C9A"/>
    <w:rsid w:val="008A6005"/>
    <w:rsid w:val="008A614F"/>
    <w:rsid w:val="008A61DD"/>
    <w:rsid w:val="008A6A55"/>
    <w:rsid w:val="008A6DF0"/>
    <w:rsid w:val="008A6F6E"/>
    <w:rsid w:val="008A73C4"/>
    <w:rsid w:val="008A768D"/>
    <w:rsid w:val="008A7888"/>
    <w:rsid w:val="008A78D9"/>
    <w:rsid w:val="008A796E"/>
    <w:rsid w:val="008B020E"/>
    <w:rsid w:val="008B0783"/>
    <w:rsid w:val="008B0862"/>
    <w:rsid w:val="008B088C"/>
    <w:rsid w:val="008B0991"/>
    <w:rsid w:val="008B1303"/>
    <w:rsid w:val="008B1BF5"/>
    <w:rsid w:val="008B263F"/>
    <w:rsid w:val="008B2686"/>
    <w:rsid w:val="008B3045"/>
    <w:rsid w:val="008B3AFB"/>
    <w:rsid w:val="008B4215"/>
    <w:rsid w:val="008B44F6"/>
    <w:rsid w:val="008B47A6"/>
    <w:rsid w:val="008B5416"/>
    <w:rsid w:val="008B56B9"/>
    <w:rsid w:val="008B6416"/>
    <w:rsid w:val="008B672C"/>
    <w:rsid w:val="008B74F7"/>
    <w:rsid w:val="008B7D5C"/>
    <w:rsid w:val="008C065F"/>
    <w:rsid w:val="008C0743"/>
    <w:rsid w:val="008C0B4C"/>
    <w:rsid w:val="008C0D9F"/>
    <w:rsid w:val="008C1140"/>
    <w:rsid w:val="008C11F0"/>
    <w:rsid w:val="008C1DBA"/>
    <w:rsid w:val="008C24E7"/>
    <w:rsid w:val="008C2500"/>
    <w:rsid w:val="008C2CAC"/>
    <w:rsid w:val="008C2E00"/>
    <w:rsid w:val="008C3095"/>
    <w:rsid w:val="008C3B1E"/>
    <w:rsid w:val="008C3C57"/>
    <w:rsid w:val="008C3E2A"/>
    <w:rsid w:val="008C45BD"/>
    <w:rsid w:val="008C4B19"/>
    <w:rsid w:val="008C5152"/>
    <w:rsid w:val="008C515F"/>
    <w:rsid w:val="008C5207"/>
    <w:rsid w:val="008C606E"/>
    <w:rsid w:val="008C62D4"/>
    <w:rsid w:val="008C6B89"/>
    <w:rsid w:val="008C6CBF"/>
    <w:rsid w:val="008C7436"/>
    <w:rsid w:val="008D0571"/>
    <w:rsid w:val="008D1002"/>
    <w:rsid w:val="008D18AA"/>
    <w:rsid w:val="008D1A2A"/>
    <w:rsid w:val="008D1ADE"/>
    <w:rsid w:val="008D35D9"/>
    <w:rsid w:val="008D3B85"/>
    <w:rsid w:val="008D462D"/>
    <w:rsid w:val="008D47E6"/>
    <w:rsid w:val="008D4998"/>
    <w:rsid w:val="008D560B"/>
    <w:rsid w:val="008D6084"/>
    <w:rsid w:val="008D64AC"/>
    <w:rsid w:val="008D66CA"/>
    <w:rsid w:val="008D69B1"/>
    <w:rsid w:val="008D7338"/>
    <w:rsid w:val="008D785E"/>
    <w:rsid w:val="008E0012"/>
    <w:rsid w:val="008E0DF7"/>
    <w:rsid w:val="008E0FAD"/>
    <w:rsid w:val="008E11E4"/>
    <w:rsid w:val="008E1252"/>
    <w:rsid w:val="008E1347"/>
    <w:rsid w:val="008E16E0"/>
    <w:rsid w:val="008E1C15"/>
    <w:rsid w:val="008E1C9A"/>
    <w:rsid w:val="008E28BD"/>
    <w:rsid w:val="008E2CA4"/>
    <w:rsid w:val="008E30C4"/>
    <w:rsid w:val="008E38B4"/>
    <w:rsid w:val="008E3BA4"/>
    <w:rsid w:val="008E3FF3"/>
    <w:rsid w:val="008E44AB"/>
    <w:rsid w:val="008E5179"/>
    <w:rsid w:val="008E57FE"/>
    <w:rsid w:val="008E5FA3"/>
    <w:rsid w:val="008E6226"/>
    <w:rsid w:val="008E6401"/>
    <w:rsid w:val="008E6598"/>
    <w:rsid w:val="008E67DF"/>
    <w:rsid w:val="008E6C60"/>
    <w:rsid w:val="008E6CC2"/>
    <w:rsid w:val="008E7214"/>
    <w:rsid w:val="008E7884"/>
    <w:rsid w:val="008E7D6E"/>
    <w:rsid w:val="008F1056"/>
    <w:rsid w:val="008F2E8D"/>
    <w:rsid w:val="008F32BA"/>
    <w:rsid w:val="008F361D"/>
    <w:rsid w:val="008F387B"/>
    <w:rsid w:val="008F3952"/>
    <w:rsid w:val="008F3B97"/>
    <w:rsid w:val="008F3DD9"/>
    <w:rsid w:val="008F4814"/>
    <w:rsid w:val="008F4DA6"/>
    <w:rsid w:val="008F538E"/>
    <w:rsid w:val="008F59C9"/>
    <w:rsid w:val="008F5A20"/>
    <w:rsid w:val="008F5ABA"/>
    <w:rsid w:val="008F6642"/>
    <w:rsid w:val="008F673D"/>
    <w:rsid w:val="008F6833"/>
    <w:rsid w:val="008F71AB"/>
    <w:rsid w:val="008F7905"/>
    <w:rsid w:val="008F7989"/>
    <w:rsid w:val="00901F1D"/>
    <w:rsid w:val="009020B3"/>
    <w:rsid w:val="009028E8"/>
    <w:rsid w:val="00902E5C"/>
    <w:rsid w:val="0090363E"/>
    <w:rsid w:val="009046E5"/>
    <w:rsid w:val="009047C5"/>
    <w:rsid w:val="00907FF6"/>
    <w:rsid w:val="00910683"/>
    <w:rsid w:val="00910A6E"/>
    <w:rsid w:val="00910E00"/>
    <w:rsid w:val="009116CE"/>
    <w:rsid w:val="00911714"/>
    <w:rsid w:val="00911B04"/>
    <w:rsid w:val="00911D04"/>
    <w:rsid w:val="00911EFF"/>
    <w:rsid w:val="009123AE"/>
    <w:rsid w:val="009136D4"/>
    <w:rsid w:val="009142A8"/>
    <w:rsid w:val="0091498A"/>
    <w:rsid w:val="00914B9A"/>
    <w:rsid w:val="00914C3F"/>
    <w:rsid w:val="00914F33"/>
    <w:rsid w:val="00915611"/>
    <w:rsid w:val="00915FCE"/>
    <w:rsid w:val="00916AFE"/>
    <w:rsid w:val="00916FC8"/>
    <w:rsid w:val="009170D3"/>
    <w:rsid w:val="0091759C"/>
    <w:rsid w:val="00920026"/>
    <w:rsid w:val="009203E2"/>
    <w:rsid w:val="0092064C"/>
    <w:rsid w:val="00920F61"/>
    <w:rsid w:val="00921304"/>
    <w:rsid w:val="00921395"/>
    <w:rsid w:val="00921805"/>
    <w:rsid w:val="00921BFC"/>
    <w:rsid w:val="00921E63"/>
    <w:rsid w:val="00923396"/>
    <w:rsid w:val="00923534"/>
    <w:rsid w:val="00923607"/>
    <w:rsid w:val="00923F56"/>
    <w:rsid w:val="00925346"/>
    <w:rsid w:val="00925743"/>
    <w:rsid w:val="0092579F"/>
    <w:rsid w:val="00927E8D"/>
    <w:rsid w:val="00927F23"/>
    <w:rsid w:val="009306F5"/>
    <w:rsid w:val="009307CD"/>
    <w:rsid w:val="0093120B"/>
    <w:rsid w:val="00931215"/>
    <w:rsid w:val="00931365"/>
    <w:rsid w:val="00931451"/>
    <w:rsid w:val="009314FA"/>
    <w:rsid w:val="0093194F"/>
    <w:rsid w:val="00931BF3"/>
    <w:rsid w:val="00931C55"/>
    <w:rsid w:val="00933333"/>
    <w:rsid w:val="0093349A"/>
    <w:rsid w:val="009338BA"/>
    <w:rsid w:val="00933B54"/>
    <w:rsid w:val="00933FCB"/>
    <w:rsid w:val="009342B6"/>
    <w:rsid w:val="00934537"/>
    <w:rsid w:val="00934865"/>
    <w:rsid w:val="00934CEC"/>
    <w:rsid w:val="00934E69"/>
    <w:rsid w:val="00935504"/>
    <w:rsid w:val="00935CCA"/>
    <w:rsid w:val="00935E70"/>
    <w:rsid w:val="0093609A"/>
    <w:rsid w:val="0093644A"/>
    <w:rsid w:val="00936C41"/>
    <w:rsid w:val="00937401"/>
    <w:rsid w:val="009375AD"/>
    <w:rsid w:val="009376FB"/>
    <w:rsid w:val="00937D6B"/>
    <w:rsid w:val="00937F58"/>
    <w:rsid w:val="00940477"/>
    <w:rsid w:val="0094070C"/>
    <w:rsid w:val="00940876"/>
    <w:rsid w:val="00940A53"/>
    <w:rsid w:val="00940F3C"/>
    <w:rsid w:val="009410E0"/>
    <w:rsid w:val="009413C0"/>
    <w:rsid w:val="009415BB"/>
    <w:rsid w:val="00941FA9"/>
    <w:rsid w:val="00944489"/>
    <w:rsid w:val="009444B4"/>
    <w:rsid w:val="00944644"/>
    <w:rsid w:val="00944C27"/>
    <w:rsid w:val="00946603"/>
    <w:rsid w:val="00946A24"/>
    <w:rsid w:val="00946AA7"/>
    <w:rsid w:val="009470D4"/>
    <w:rsid w:val="00947337"/>
    <w:rsid w:val="009476D7"/>
    <w:rsid w:val="00947E6E"/>
    <w:rsid w:val="00950ABC"/>
    <w:rsid w:val="009512FA"/>
    <w:rsid w:val="009516A9"/>
    <w:rsid w:val="00951ADD"/>
    <w:rsid w:val="00951E57"/>
    <w:rsid w:val="00952505"/>
    <w:rsid w:val="00953018"/>
    <w:rsid w:val="009533E2"/>
    <w:rsid w:val="00953554"/>
    <w:rsid w:val="0095385A"/>
    <w:rsid w:val="00953F49"/>
    <w:rsid w:val="00955021"/>
    <w:rsid w:val="00955216"/>
    <w:rsid w:val="009564AC"/>
    <w:rsid w:val="0095780A"/>
    <w:rsid w:val="009578C3"/>
    <w:rsid w:val="009579E4"/>
    <w:rsid w:val="00957AA4"/>
    <w:rsid w:val="00957ACB"/>
    <w:rsid w:val="00957CC5"/>
    <w:rsid w:val="00957F27"/>
    <w:rsid w:val="00960156"/>
    <w:rsid w:val="00960198"/>
    <w:rsid w:val="0096071D"/>
    <w:rsid w:val="00960BDB"/>
    <w:rsid w:val="00960D2E"/>
    <w:rsid w:val="0096105C"/>
    <w:rsid w:val="0096147D"/>
    <w:rsid w:val="00961A54"/>
    <w:rsid w:val="00961A9D"/>
    <w:rsid w:val="00961D53"/>
    <w:rsid w:val="00961E5F"/>
    <w:rsid w:val="009625C6"/>
    <w:rsid w:val="009627F8"/>
    <w:rsid w:val="009629B5"/>
    <w:rsid w:val="00962A50"/>
    <w:rsid w:val="0096331E"/>
    <w:rsid w:val="0096409A"/>
    <w:rsid w:val="00964138"/>
    <w:rsid w:val="0096470D"/>
    <w:rsid w:val="009648D6"/>
    <w:rsid w:val="00964B3F"/>
    <w:rsid w:val="00964C98"/>
    <w:rsid w:val="00965DAF"/>
    <w:rsid w:val="00965DF2"/>
    <w:rsid w:val="009661D7"/>
    <w:rsid w:val="00966246"/>
    <w:rsid w:val="009710E5"/>
    <w:rsid w:val="00971441"/>
    <w:rsid w:val="009715D4"/>
    <w:rsid w:val="0097179A"/>
    <w:rsid w:val="0097224B"/>
    <w:rsid w:val="009732A4"/>
    <w:rsid w:val="009739A8"/>
    <w:rsid w:val="00973C05"/>
    <w:rsid w:val="0097494E"/>
    <w:rsid w:val="00974999"/>
    <w:rsid w:val="00974B58"/>
    <w:rsid w:val="00975445"/>
    <w:rsid w:val="009761ED"/>
    <w:rsid w:val="0097769A"/>
    <w:rsid w:val="00977B94"/>
    <w:rsid w:val="00980206"/>
    <w:rsid w:val="0098022F"/>
    <w:rsid w:val="00980E44"/>
    <w:rsid w:val="00980EAB"/>
    <w:rsid w:val="009810DE"/>
    <w:rsid w:val="00981B91"/>
    <w:rsid w:val="00981DFC"/>
    <w:rsid w:val="009822D7"/>
    <w:rsid w:val="009827E6"/>
    <w:rsid w:val="00982F84"/>
    <w:rsid w:val="00983661"/>
    <w:rsid w:val="0098427D"/>
    <w:rsid w:val="00984567"/>
    <w:rsid w:val="00984B16"/>
    <w:rsid w:val="00984C2C"/>
    <w:rsid w:val="00985102"/>
    <w:rsid w:val="009854BC"/>
    <w:rsid w:val="00985CE1"/>
    <w:rsid w:val="00985D73"/>
    <w:rsid w:val="00985DF5"/>
    <w:rsid w:val="00985E57"/>
    <w:rsid w:val="0098606C"/>
    <w:rsid w:val="009865D5"/>
    <w:rsid w:val="00986DF4"/>
    <w:rsid w:val="009876F2"/>
    <w:rsid w:val="00987C77"/>
    <w:rsid w:val="00987FED"/>
    <w:rsid w:val="00990345"/>
    <w:rsid w:val="00990395"/>
    <w:rsid w:val="009903A7"/>
    <w:rsid w:val="0099042D"/>
    <w:rsid w:val="00990701"/>
    <w:rsid w:val="0099119C"/>
    <w:rsid w:val="0099137A"/>
    <w:rsid w:val="0099211C"/>
    <w:rsid w:val="0099349E"/>
    <w:rsid w:val="00993B78"/>
    <w:rsid w:val="00993DBE"/>
    <w:rsid w:val="00994022"/>
    <w:rsid w:val="00994C7D"/>
    <w:rsid w:val="00995119"/>
    <w:rsid w:val="0099531F"/>
    <w:rsid w:val="009953AD"/>
    <w:rsid w:val="0099583D"/>
    <w:rsid w:val="00995B3A"/>
    <w:rsid w:val="00996020"/>
    <w:rsid w:val="00996992"/>
    <w:rsid w:val="00996E1E"/>
    <w:rsid w:val="00997148"/>
    <w:rsid w:val="00997392"/>
    <w:rsid w:val="0099747C"/>
    <w:rsid w:val="0099771C"/>
    <w:rsid w:val="009A01E4"/>
    <w:rsid w:val="009A0917"/>
    <w:rsid w:val="009A0A33"/>
    <w:rsid w:val="009A0F66"/>
    <w:rsid w:val="009A1351"/>
    <w:rsid w:val="009A20F2"/>
    <w:rsid w:val="009A2435"/>
    <w:rsid w:val="009A254A"/>
    <w:rsid w:val="009A35DC"/>
    <w:rsid w:val="009A38AB"/>
    <w:rsid w:val="009A39DD"/>
    <w:rsid w:val="009A3D47"/>
    <w:rsid w:val="009A40FB"/>
    <w:rsid w:val="009A4D63"/>
    <w:rsid w:val="009A5356"/>
    <w:rsid w:val="009A5468"/>
    <w:rsid w:val="009A5D43"/>
    <w:rsid w:val="009A5D99"/>
    <w:rsid w:val="009A5E8A"/>
    <w:rsid w:val="009A608C"/>
    <w:rsid w:val="009A6F49"/>
    <w:rsid w:val="009A6FDF"/>
    <w:rsid w:val="009A715F"/>
    <w:rsid w:val="009A76D6"/>
    <w:rsid w:val="009B011D"/>
    <w:rsid w:val="009B073C"/>
    <w:rsid w:val="009B0B78"/>
    <w:rsid w:val="009B2374"/>
    <w:rsid w:val="009B2466"/>
    <w:rsid w:val="009B2A8C"/>
    <w:rsid w:val="009B2E29"/>
    <w:rsid w:val="009B3163"/>
    <w:rsid w:val="009B422F"/>
    <w:rsid w:val="009B46BC"/>
    <w:rsid w:val="009B484A"/>
    <w:rsid w:val="009B4D1A"/>
    <w:rsid w:val="009B4D85"/>
    <w:rsid w:val="009B502F"/>
    <w:rsid w:val="009B558B"/>
    <w:rsid w:val="009B55F9"/>
    <w:rsid w:val="009B5F29"/>
    <w:rsid w:val="009B6A34"/>
    <w:rsid w:val="009B6D21"/>
    <w:rsid w:val="009B6DCD"/>
    <w:rsid w:val="009B707D"/>
    <w:rsid w:val="009B78ED"/>
    <w:rsid w:val="009C0C1B"/>
    <w:rsid w:val="009C17D3"/>
    <w:rsid w:val="009C181C"/>
    <w:rsid w:val="009C1A44"/>
    <w:rsid w:val="009C1C7F"/>
    <w:rsid w:val="009C1EC7"/>
    <w:rsid w:val="009C28A2"/>
    <w:rsid w:val="009C2C1F"/>
    <w:rsid w:val="009C2CC3"/>
    <w:rsid w:val="009C3239"/>
    <w:rsid w:val="009C37CE"/>
    <w:rsid w:val="009C3828"/>
    <w:rsid w:val="009C3AD3"/>
    <w:rsid w:val="009C3AF4"/>
    <w:rsid w:val="009C3D2C"/>
    <w:rsid w:val="009C3EE3"/>
    <w:rsid w:val="009C4987"/>
    <w:rsid w:val="009C4FDE"/>
    <w:rsid w:val="009C523F"/>
    <w:rsid w:val="009C59BF"/>
    <w:rsid w:val="009C5E4F"/>
    <w:rsid w:val="009C5F64"/>
    <w:rsid w:val="009C5F82"/>
    <w:rsid w:val="009C60EA"/>
    <w:rsid w:val="009C6BFC"/>
    <w:rsid w:val="009C70F8"/>
    <w:rsid w:val="009C72FA"/>
    <w:rsid w:val="009C74DF"/>
    <w:rsid w:val="009C75FC"/>
    <w:rsid w:val="009C78A3"/>
    <w:rsid w:val="009C7E68"/>
    <w:rsid w:val="009D00D7"/>
    <w:rsid w:val="009D0156"/>
    <w:rsid w:val="009D02A7"/>
    <w:rsid w:val="009D05DA"/>
    <w:rsid w:val="009D07AE"/>
    <w:rsid w:val="009D0DD7"/>
    <w:rsid w:val="009D11F6"/>
    <w:rsid w:val="009D1780"/>
    <w:rsid w:val="009D1A14"/>
    <w:rsid w:val="009D1D53"/>
    <w:rsid w:val="009D1E2A"/>
    <w:rsid w:val="009D1F8D"/>
    <w:rsid w:val="009D1FA0"/>
    <w:rsid w:val="009D265C"/>
    <w:rsid w:val="009D2B31"/>
    <w:rsid w:val="009D2BDF"/>
    <w:rsid w:val="009D3736"/>
    <w:rsid w:val="009D3C84"/>
    <w:rsid w:val="009D4529"/>
    <w:rsid w:val="009D604F"/>
    <w:rsid w:val="009D61BB"/>
    <w:rsid w:val="009D6410"/>
    <w:rsid w:val="009D68BB"/>
    <w:rsid w:val="009D6CF5"/>
    <w:rsid w:val="009D6F72"/>
    <w:rsid w:val="009D70C2"/>
    <w:rsid w:val="009D7ADB"/>
    <w:rsid w:val="009D7B33"/>
    <w:rsid w:val="009E02D9"/>
    <w:rsid w:val="009E06C3"/>
    <w:rsid w:val="009E0703"/>
    <w:rsid w:val="009E1035"/>
    <w:rsid w:val="009E16DA"/>
    <w:rsid w:val="009E1CD4"/>
    <w:rsid w:val="009E1EE4"/>
    <w:rsid w:val="009E2084"/>
    <w:rsid w:val="009E2391"/>
    <w:rsid w:val="009E2771"/>
    <w:rsid w:val="009E2EF9"/>
    <w:rsid w:val="009E34A5"/>
    <w:rsid w:val="009E4648"/>
    <w:rsid w:val="009E476A"/>
    <w:rsid w:val="009E4E05"/>
    <w:rsid w:val="009E56FF"/>
    <w:rsid w:val="009E5A77"/>
    <w:rsid w:val="009E5CB1"/>
    <w:rsid w:val="009E5E56"/>
    <w:rsid w:val="009E61EA"/>
    <w:rsid w:val="009E6343"/>
    <w:rsid w:val="009E68BC"/>
    <w:rsid w:val="009E6990"/>
    <w:rsid w:val="009E6B66"/>
    <w:rsid w:val="009E6FEE"/>
    <w:rsid w:val="009F00B9"/>
    <w:rsid w:val="009F060F"/>
    <w:rsid w:val="009F0781"/>
    <w:rsid w:val="009F0850"/>
    <w:rsid w:val="009F1BDF"/>
    <w:rsid w:val="009F1EAE"/>
    <w:rsid w:val="009F292B"/>
    <w:rsid w:val="009F2C5C"/>
    <w:rsid w:val="009F369D"/>
    <w:rsid w:val="009F36FE"/>
    <w:rsid w:val="009F3924"/>
    <w:rsid w:val="009F452A"/>
    <w:rsid w:val="009F4990"/>
    <w:rsid w:val="009F4F25"/>
    <w:rsid w:val="009F59C2"/>
    <w:rsid w:val="009F5A5A"/>
    <w:rsid w:val="009F7235"/>
    <w:rsid w:val="009F7263"/>
    <w:rsid w:val="009F76EA"/>
    <w:rsid w:val="009F78EB"/>
    <w:rsid w:val="009F7E7D"/>
    <w:rsid w:val="009F7F32"/>
    <w:rsid w:val="009F7FEB"/>
    <w:rsid w:val="00A003D5"/>
    <w:rsid w:val="00A005CD"/>
    <w:rsid w:val="00A0156A"/>
    <w:rsid w:val="00A01852"/>
    <w:rsid w:val="00A0188B"/>
    <w:rsid w:val="00A01D27"/>
    <w:rsid w:val="00A01E73"/>
    <w:rsid w:val="00A023E7"/>
    <w:rsid w:val="00A02B88"/>
    <w:rsid w:val="00A03160"/>
    <w:rsid w:val="00A036AC"/>
    <w:rsid w:val="00A0374B"/>
    <w:rsid w:val="00A03C54"/>
    <w:rsid w:val="00A03DE5"/>
    <w:rsid w:val="00A041BC"/>
    <w:rsid w:val="00A0447F"/>
    <w:rsid w:val="00A046D2"/>
    <w:rsid w:val="00A04A54"/>
    <w:rsid w:val="00A05B4B"/>
    <w:rsid w:val="00A05D44"/>
    <w:rsid w:val="00A05E75"/>
    <w:rsid w:val="00A06267"/>
    <w:rsid w:val="00A06428"/>
    <w:rsid w:val="00A066C3"/>
    <w:rsid w:val="00A06754"/>
    <w:rsid w:val="00A069E0"/>
    <w:rsid w:val="00A06E4A"/>
    <w:rsid w:val="00A06EE8"/>
    <w:rsid w:val="00A070E9"/>
    <w:rsid w:val="00A078FB"/>
    <w:rsid w:val="00A10171"/>
    <w:rsid w:val="00A102BF"/>
    <w:rsid w:val="00A1036D"/>
    <w:rsid w:val="00A1069F"/>
    <w:rsid w:val="00A107F8"/>
    <w:rsid w:val="00A10AAD"/>
    <w:rsid w:val="00A10ACA"/>
    <w:rsid w:val="00A10D08"/>
    <w:rsid w:val="00A11215"/>
    <w:rsid w:val="00A11E78"/>
    <w:rsid w:val="00A12355"/>
    <w:rsid w:val="00A127D2"/>
    <w:rsid w:val="00A12C0C"/>
    <w:rsid w:val="00A13CF5"/>
    <w:rsid w:val="00A143EC"/>
    <w:rsid w:val="00A149E8"/>
    <w:rsid w:val="00A149F3"/>
    <w:rsid w:val="00A1500F"/>
    <w:rsid w:val="00A15621"/>
    <w:rsid w:val="00A15670"/>
    <w:rsid w:val="00A157A0"/>
    <w:rsid w:val="00A1585B"/>
    <w:rsid w:val="00A15AAB"/>
    <w:rsid w:val="00A15C19"/>
    <w:rsid w:val="00A15FE9"/>
    <w:rsid w:val="00A16052"/>
    <w:rsid w:val="00A16809"/>
    <w:rsid w:val="00A17769"/>
    <w:rsid w:val="00A17EA2"/>
    <w:rsid w:val="00A20264"/>
    <w:rsid w:val="00A20997"/>
    <w:rsid w:val="00A213DD"/>
    <w:rsid w:val="00A21454"/>
    <w:rsid w:val="00A216CE"/>
    <w:rsid w:val="00A22025"/>
    <w:rsid w:val="00A22498"/>
    <w:rsid w:val="00A22571"/>
    <w:rsid w:val="00A2298D"/>
    <w:rsid w:val="00A24560"/>
    <w:rsid w:val="00A246EE"/>
    <w:rsid w:val="00A25B0F"/>
    <w:rsid w:val="00A25BBB"/>
    <w:rsid w:val="00A270CE"/>
    <w:rsid w:val="00A27207"/>
    <w:rsid w:val="00A27FB6"/>
    <w:rsid w:val="00A30121"/>
    <w:rsid w:val="00A30368"/>
    <w:rsid w:val="00A3043A"/>
    <w:rsid w:val="00A30E02"/>
    <w:rsid w:val="00A30F6A"/>
    <w:rsid w:val="00A31C3E"/>
    <w:rsid w:val="00A31E2B"/>
    <w:rsid w:val="00A32D39"/>
    <w:rsid w:val="00A33239"/>
    <w:rsid w:val="00A33662"/>
    <w:rsid w:val="00A3391E"/>
    <w:rsid w:val="00A34538"/>
    <w:rsid w:val="00A34677"/>
    <w:rsid w:val="00A3535E"/>
    <w:rsid w:val="00A3540F"/>
    <w:rsid w:val="00A35630"/>
    <w:rsid w:val="00A35914"/>
    <w:rsid w:val="00A35A0D"/>
    <w:rsid w:val="00A36189"/>
    <w:rsid w:val="00A37551"/>
    <w:rsid w:val="00A37A2D"/>
    <w:rsid w:val="00A37E73"/>
    <w:rsid w:val="00A37FB6"/>
    <w:rsid w:val="00A409E2"/>
    <w:rsid w:val="00A4104A"/>
    <w:rsid w:val="00A41081"/>
    <w:rsid w:val="00A411CA"/>
    <w:rsid w:val="00A4195B"/>
    <w:rsid w:val="00A42080"/>
    <w:rsid w:val="00A42096"/>
    <w:rsid w:val="00A426F3"/>
    <w:rsid w:val="00A42E8D"/>
    <w:rsid w:val="00A42FDF"/>
    <w:rsid w:val="00A430A9"/>
    <w:rsid w:val="00A431FE"/>
    <w:rsid w:val="00A439E5"/>
    <w:rsid w:val="00A43C00"/>
    <w:rsid w:val="00A4497A"/>
    <w:rsid w:val="00A44BE8"/>
    <w:rsid w:val="00A44C96"/>
    <w:rsid w:val="00A44CDD"/>
    <w:rsid w:val="00A44F54"/>
    <w:rsid w:val="00A45346"/>
    <w:rsid w:val="00A458E6"/>
    <w:rsid w:val="00A45EC5"/>
    <w:rsid w:val="00A45F9B"/>
    <w:rsid w:val="00A46574"/>
    <w:rsid w:val="00A46C68"/>
    <w:rsid w:val="00A475BC"/>
    <w:rsid w:val="00A4771A"/>
    <w:rsid w:val="00A500B1"/>
    <w:rsid w:val="00A52A53"/>
    <w:rsid w:val="00A52EE5"/>
    <w:rsid w:val="00A53037"/>
    <w:rsid w:val="00A532B9"/>
    <w:rsid w:val="00A5351D"/>
    <w:rsid w:val="00A53E79"/>
    <w:rsid w:val="00A54031"/>
    <w:rsid w:val="00A5426D"/>
    <w:rsid w:val="00A5463D"/>
    <w:rsid w:val="00A5471D"/>
    <w:rsid w:val="00A548FA"/>
    <w:rsid w:val="00A54FC2"/>
    <w:rsid w:val="00A55122"/>
    <w:rsid w:val="00A55CEA"/>
    <w:rsid w:val="00A56A62"/>
    <w:rsid w:val="00A56BBF"/>
    <w:rsid w:val="00A56DE7"/>
    <w:rsid w:val="00A579F1"/>
    <w:rsid w:val="00A57DDD"/>
    <w:rsid w:val="00A57EB2"/>
    <w:rsid w:val="00A6009E"/>
    <w:rsid w:val="00A60265"/>
    <w:rsid w:val="00A60B1F"/>
    <w:rsid w:val="00A60B4A"/>
    <w:rsid w:val="00A611CC"/>
    <w:rsid w:val="00A613E5"/>
    <w:rsid w:val="00A6160B"/>
    <w:rsid w:val="00A6195E"/>
    <w:rsid w:val="00A61993"/>
    <w:rsid w:val="00A61C60"/>
    <w:rsid w:val="00A62589"/>
    <w:rsid w:val="00A62AD0"/>
    <w:rsid w:val="00A62C3A"/>
    <w:rsid w:val="00A6319C"/>
    <w:rsid w:val="00A63812"/>
    <w:rsid w:val="00A63DF7"/>
    <w:rsid w:val="00A6454D"/>
    <w:rsid w:val="00A645A3"/>
    <w:rsid w:val="00A64F18"/>
    <w:rsid w:val="00A64F2F"/>
    <w:rsid w:val="00A65505"/>
    <w:rsid w:val="00A65AA4"/>
    <w:rsid w:val="00A65C5E"/>
    <w:rsid w:val="00A6611E"/>
    <w:rsid w:val="00A6634D"/>
    <w:rsid w:val="00A668BA"/>
    <w:rsid w:val="00A66FA7"/>
    <w:rsid w:val="00A67E16"/>
    <w:rsid w:val="00A67E2C"/>
    <w:rsid w:val="00A67EB1"/>
    <w:rsid w:val="00A700E4"/>
    <w:rsid w:val="00A703CC"/>
    <w:rsid w:val="00A7074F"/>
    <w:rsid w:val="00A70C5C"/>
    <w:rsid w:val="00A710A2"/>
    <w:rsid w:val="00A71859"/>
    <w:rsid w:val="00A719D1"/>
    <w:rsid w:val="00A71EA7"/>
    <w:rsid w:val="00A730AD"/>
    <w:rsid w:val="00A73855"/>
    <w:rsid w:val="00A73D64"/>
    <w:rsid w:val="00A74216"/>
    <w:rsid w:val="00A7434D"/>
    <w:rsid w:val="00A744B4"/>
    <w:rsid w:val="00A751E3"/>
    <w:rsid w:val="00A7524A"/>
    <w:rsid w:val="00A75504"/>
    <w:rsid w:val="00A75FD7"/>
    <w:rsid w:val="00A7685B"/>
    <w:rsid w:val="00A769F6"/>
    <w:rsid w:val="00A76EA6"/>
    <w:rsid w:val="00A77168"/>
    <w:rsid w:val="00A7723B"/>
    <w:rsid w:val="00A7793C"/>
    <w:rsid w:val="00A77D21"/>
    <w:rsid w:val="00A77E3B"/>
    <w:rsid w:val="00A77FDE"/>
    <w:rsid w:val="00A80085"/>
    <w:rsid w:val="00A803AC"/>
    <w:rsid w:val="00A8043B"/>
    <w:rsid w:val="00A80DA0"/>
    <w:rsid w:val="00A81323"/>
    <w:rsid w:val="00A820CB"/>
    <w:rsid w:val="00A82342"/>
    <w:rsid w:val="00A83BEE"/>
    <w:rsid w:val="00A83BEF"/>
    <w:rsid w:val="00A84443"/>
    <w:rsid w:val="00A8487F"/>
    <w:rsid w:val="00A849A3"/>
    <w:rsid w:val="00A84A0E"/>
    <w:rsid w:val="00A861C8"/>
    <w:rsid w:val="00A863CA"/>
    <w:rsid w:val="00A86817"/>
    <w:rsid w:val="00A86E0B"/>
    <w:rsid w:val="00A874BB"/>
    <w:rsid w:val="00A87CE5"/>
    <w:rsid w:val="00A90C54"/>
    <w:rsid w:val="00A90F12"/>
    <w:rsid w:val="00A915BD"/>
    <w:rsid w:val="00A91DAA"/>
    <w:rsid w:val="00A927DA"/>
    <w:rsid w:val="00A93101"/>
    <w:rsid w:val="00A93A76"/>
    <w:rsid w:val="00A9413E"/>
    <w:rsid w:val="00A94281"/>
    <w:rsid w:val="00A94293"/>
    <w:rsid w:val="00A9496E"/>
    <w:rsid w:val="00A949F0"/>
    <w:rsid w:val="00A94BDE"/>
    <w:rsid w:val="00A94FCA"/>
    <w:rsid w:val="00A95E4C"/>
    <w:rsid w:val="00A9647B"/>
    <w:rsid w:val="00A964C9"/>
    <w:rsid w:val="00A96568"/>
    <w:rsid w:val="00A96C60"/>
    <w:rsid w:val="00A970FA"/>
    <w:rsid w:val="00A97367"/>
    <w:rsid w:val="00A9740B"/>
    <w:rsid w:val="00A9758E"/>
    <w:rsid w:val="00A9766C"/>
    <w:rsid w:val="00A976D3"/>
    <w:rsid w:val="00A977F8"/>
    <w:rsid w:val="00A979DB"/>
    <w:rsid w:val="00A97C93"/>
    <w:rsid w:val="00A97E85"/>
    <w:rsid w:val="00AA08E7"/>
    <w:rsid w:val="00AA0A06"/>
    <w:rsid w:val="00AA1351"/>
    <w:rsid w:val="00AA184C"/>
    <w:rsid w:val="00AA1C84"/>
    <w:rsid w:val="00AA1E7E"/>
    <w:rsid w:val="00AA20FA"/>
    <w:rsid w:val="00AA3230"/>
    <w:rsid w:val="00AA3D7B"/>
    <w:rsid w:val="00AA42A0"/>
    <w:rsid w:val="00AA442B"/>
    <w:rsid w:val="00AA4629"/>
    <w:rsid w:val="00AA46A4"/>
    <w:rsid w:val="00AA568B"/>
    <w:rsid w:val="00AA5779"/>
    <w:rsid w:val="00AA58A1"/>
    <w:rsid w:val="00AA59B5"/>
    <w:rsid w:val="00AA5A8C"/>
    <w:rsid w:val="00AA61C7"/>
    <w:rsid w:val="00AA669D"/>
    <w:rsid w:val="00AA66ED"/>
    <w:rsid w:val="00AA6B59"/>
    <w:rsid w:val="00AA6BE1"/>
    <w:rsid w:val="00AA7416"/>
    <w:rsid w:val="00AA7A60"/>
    <w:rsid w:val="00AA7B42"/>
    <w:rsid w:val="00AB041C"/>
    <w:rsid w:val="00AB0538"/>
    <w:rsid w:val="00AB1340"/>
    <w:rsid w:val="00AB14E8"/>
    <w:rsid w:val="00AB1B1D"/>
    <w:rsid w:val="00AB1FB2"/>
    <w:rsid w:val="00AB2000"/>
    <w:rsid w:val="00AB2216"/>
    <w:rsid w:val="00AB2898"/>
    <w:rsid w:val="00AB3202"/>
    <w:rsid w:val="00AB358D"/>
    <w:rsid w:val="00AB37A1"/>
    <w:rsid w:val="00AB3BAD"/>
    <w:rsid w:val="00AB3CFD"/>
    <w:rsid w:val="00AB4244"/>
    <w:rsid w:val="00AB49BC"/>
    <w:rsid w:val="00AB4C02"/>
    <w:rsid w:val="00AB4DEE"/>
    <w:rsid w:val="00AB4E32"/>
    <w:rsid w:val="00AB5999"/>
    <w:rsid w:val="00AB5C19"/>
    <w:rsid w:val="00AB67A0"/>
    <w:rsid w:val="00AB724B"/>
    <w:rsid w:val="00AB726C"/>
    <w:rsid w:val="00AB72B4"/>
    <w:rsid w:val="00AC02AA"/>
    <w:rsid w:val="00AC0537"/>
    <w:rsid w:val="00AC07E3"/>
    <w:rsid w:val="00AC0A84"/>
    <w:rsid w:val="00AC1508"/>
    <w:rsid w:val="00AC15E4"/>
    <w:rsid w:val="00AC1957"/>
    <w:rsid w:val="00AC24CE"/>
    <w:rsid w:val="00AC2A0B"/>
    <w:rsid w:val="00AC2BEE"/>
    <w:rsid w:val="00AC2E53"/>
    <w:rsid w:val="00AC35E4"/>
    <w:rsid w:val="00AC39C5"/>
    <w:rsid w:val="00AC484F"/>
    <w:rsid w:val="00AC4B20"/>
    <w:rsid w:val="00AC4BE9"/>
    <w:rsid w:val="00AC56F2"/>
    <w:rsid w:val="00AC5918"/>
    <w:rsid w:val="00AC71C3"/>
    <w:rsid w:val="00AC7212"/>
    <w:rsid w:val="00AC749A"/>
    <w:rsid w:val="00AC7862"/>
    <w:rsid w:val="00AC7B88"/>
    <w:rsid w:val="00AD0547"/>
    <w:rsid w:val="00AD09F7"/>
    <w:rsid w:val="00AD11E3"/>
    <w:rsid w:val="00AD1EFA"/>
    <w:rsid w:val="00AD2072"/>
    <w:rsid w:val="00AD2DBD"/>
    <w:rsid w:val="00AD2FBF"/>
    <w:rsid w:val="00AD314B"/>
    <w:rsid w:val="00AD340E"/>
    <w:rsid w:val="00AD3A38"/>
    <w:rsid w:val="00AD3E34"/>
    <w:rsid w:val="00AD455D"/>
    <w:rsid w:val="00AD463C"/>
    <w:rsid w:val="00AD4F60"/>
    <w:rsid w:val="00AD5044"/>
    <w:rsid w:val="00AD5114"/>
    <w:rsid w:val="00AD55D5"/>
    <w:rsid w:val="00AD6236"/>
    <w:rsid w:val="00AD69D5"/>
    <w:rsid w:val="00AD6B97"/>
    <w:rsid w:val="00AD6FD3"/>
    <w:rsid w:val="00AD7619"/>
    <w:rsid w:val="00AD7770"/>
    <w:rsid w:val="00AE0F6B"/>
    <w:rsid w:val="00AE1356"/>
    <w:rsid w:val="00AE1772"/>
    <w:rsid w:val="00AE1990"/>
    <w:rsid w:val="00AE1D23"/>
    <w:rsid w:val="00AE20E5"/>
    <w:rsid w:val="00AE21E3"/>
    <w:rsid w:val="00AE24E4"/>
    <w:rsid w:val="00AE25C0"/>
    <w:rsid w:val="00AE25E8"/>
    <w:rsid w:val="00AE2AD4"/>
    <w:rsid w:val="00AE2CA7"/>
    <w:rsid w:val="00AE2D1B"/>
    <w:rsid w:val="00AE2F1D"/>
    <w:rsid w:val="00AE36C5"/>
    <w:rsid w:val="00AE487E"/>
    <w:rsid w:val="00AE48DF"/>
    <w:rsid w:val="00AE4C4D"/>
    <w:rsid w:val="00AE4C81"/>
    <w:rsid w:val="00AE586F"/>
    <w:rsid w:val="00AE6582"/>
    <w:rsid w:val="00AE6A6B"/>
    <w:rsid w:val="00AE6AE9"/>
    <w:rsid w:val="00AE6DC5"/>
    <w:rsid w:val="00AE7686"/>
    <w:rsid w:val="00AE78BE"/>
    <w:rsid w:val="00AE799A"/>
    <w:rsid w:val="00AF041E"/>
    <w:rsid w:val="00AF0E81"/>
    <w:rsid w:val="00AF117A"/>
    <w:rsid w:val="00AF16CA"/>
    <w:rsid w:val="00AF186E"/>
    <w:rsid w:val="00AF19DF"/>
    <w:rsid w:val="00AF1D41"/>
    <w:rsid w:val="00AF26CF"/>
    <w:rsid w:val="00AF344D"/>
    <w:rsid w:val="00AF374A"/>
    <w:rsid w:val="00AF3806"/>
    <w:rsid w:val="00AF39B3"/>
    <w:rsid w:val="00AF3C61"/>
    <w:rsid w:val="00AF3E1D"/>
    <w:rsid w:val="00AF4402"/>
    <w:rsid w:val="00AF450F"/>
    <w:rsid w:val="00AF4639"/>
    <w:rsid w:val="00AF4BCA"/>
    <w:rsid w:val="00AF4E92"/>
    <w:rsid w:val="00AF554B"/>
    <w:rsid w:val="00AF5C9B"/>
    <w:rsid w:val="00AF5CED"/>
    <w:rsid w:val="00AF5D53"/>
    <w:rsid w:val="00AF5E2D"/>
    <w:rsid w:val="00AF644B"/>
    <w:rsid w:val="00AF69EB"/>
    <w:rsid w:val="00AF6C51"/>
    <w:rsid w:val="00AF6CA6"/>
    <w:rsid w:val="00AF6EB6"/>
    <w:rsid w:val="00AF7488"/>
    <w:rsid w:val="00AF7796"/>
    <w:rsid w:val="00AF7E9B"/>
    <w:rsid w:val="00B00199"/>
    <w:rsid w:val="00B00421"/>
    <w:rsid w:val="00B01078"/>
    <w:rsid w:val="00B011A7"/>
    <w:rsid w:val="00B011A9"/>
    <w:rsid w:val="00B01BAF"/>
    <w:rsid w:val="00B01C36"/>
    <w:rsid w:val="00B020EB"/>
    <w:rsid w:val="00B024ED"/>
    <w:rsid w:val="00B026B8"/>
    <w:rsid w:val="00B02EB3"/>
    <w:rsid w:val="00B02FCB"/>
    <w:rsid w:val="00B033F8"/>
    <w:rsid w:val="00B03B87"/>
    <w:rsid w:val="00B03C1E"/>
    <w:rsid w:val="00B04400"/>
    <w:rsid w:val="00B04835"/>
    <w:rsid w:val="00B0515B"/>
    <w:rsid w:val="00B05A55"/>
    <w:rsid w:val="00B05DE1"/>
    <w:rsid w:val="00B06595"/>
    <w:rsid w:val="00B06798"/>
    <w:rsid w:val="00B0749C"/>
    <w:rsid w:val="00B10109"/>
    <w:rsid w:val="00B10720"/>
    <w:rsid w:val="00B10776"/>
    <w:rsid w:val="00B1085E"/>
    <w:rsid w:val="00B10FD1"/>
    <w:rsid w:val="00B119AE"/>
    <w:rsid w:val="00B1219D"/>
    <w:rsid w:val="00B12469"/>
    <w:rsid w:val="00B12735"/>
    <w:rsid w:val="00B12F44"/>
    <w:rsid w:val="00B13C48"/>
    <w:rsid w:val="00B13E35"/>
    <w:rsid w:val="00B13EC0"/>
    <w:rsid w:val="00B14102"/>
    <w:rsid w:val="00B144EA"/>
    <w:rsid w:val="00B14D32"/>
    <w:rsid w:val="00B1554C"/>
    <w:rsid w:val="00B1557C"/>
    <w:rsid w:val="00B155DC"/>
    <w:rsid w:val="00B15766"/>
    <w:rsid w:val="00B15E4A"/>
    <w:rsid w:val="00B1666A"/>
    <w:rsid w:val="00B1686D"/>
    <w:rsid w:val="00B16BF7"/>
    <w:rsid w:val="00B17129"/>
    <w:rsid w:val="00B1741D"/>
    <w:rsid w:val="00B17447"/>
    <w:rsid w:val="00B1771D"/>
    <w:rsid w:val="00B17B91"/>
    <w:rsid w:val="00B20209"/>
    <w:rsid w:val="00B203C9"/>
    <w:rsid w:val="00B2088D"/>
    <w:rsid w:val="00B208FF"/>
    <w:rsid w:val="00B20943"/>
    <w:rsid w:val="00B21093"/>
    <w:rsid w:val="00B21FD5"/>
    <w:rsid w:val="00B22E22"/>
    <w:rsid w:val="00B22F5F"/>
    <w:rsid w:val="00B231D9"/>
    <w:rsid w:val="00B23813"/>
    <w:rsid w:val="00B23EDB"/>
    <w:rsid w:val="00B23FD9"/>
    <w:rsid w:val="00B24591"/>
    <w:rsid w:val="00B245D5"/>
    <w:rsid w:val="00B245EF"/>
    <w:rsid w:val="00B24C36"/>
    <w:rsid w:val="00B24F94"/>
    <w:rsid w:val="00B25126"/>
    <w:rsid w:val="00B25A52"/>
    <w:rsid w:val="00B25FC3"/>
    <w:rsid w:val="00B26737"/>
    <w:rsid w:val="00B27875"/>
    <w:rsid w:val="00B27BB5"/>
    <w:rsid w:val="00B3008D"/>
    <w:rsid w:val="00B30A94"/>
    <w:rsid w:val="00B30E11"/>
    <w:rsid w:val="00B30EAE"/>
    <w:rsid w:val="00B30EEB"/>
    <w:rsid w:val="00B31423"/>
    <w:rsid w:val="00B319B1"/>
    <w:rsid w:val="00B321C1"/>
    <w:rsid w:val="00B323E0"/>
    <w:rsid w:val="00B32DC0"/>
    <w:rsid w:val="00B330FD"/>
    <w:rsid w:val="00B3346C"/>
    <w:rsid w:val="00B335E1"/>
    <w:rsid w:val="00B335E4"/>
    <w:rsid w:val="00B33920"/>
    <w:rsid w:val="00B33C23"/>
    <w:rsid w:val="00B34408"/>
    <w:rsid w:val="00B345B4"/>
    <w:rsid w:val="00B348B1"/>
    <w:rsid w:val="00B34A28"/>
    <w:rsid w:val="00B34B38"/>
    <w:rsid w:val="00B35046"/>
    <w:rsid w:val="00B355C6"/>
    <w:rsid w:val="00B35B6A"/>
    <w:rsid w:val="00B35BFD"/>
    <w:rsid w:val="00B35C51"/>
    <w:rsid w:val="00B35DAA"/>
    <w:rsid w:val="00B364FF"/>
    <w:rsid w:val="00B36D2B"/>
    <w:rsid w:val="00B37657"/>
    <w:rsid w:val="00B378BF"/>
    <w:rsid w:val="00B37AFD"/>
    <w:rsid w:val="00B37B07"/>
    <w:rsid w:val="00B4046F"/>
    <w:rsid w:val="00B406B3"/>
    <w:rsid w:val="00B40A36"/>
    <w:rsid w:val="00B40DCB"/>
    <w:rsid w:val="00B40F77"/>
    <w:rsid w:val="00B41A2A"/>
    <w:rsid w:val="00B41D39"/>
    <w:rsid w:val="00B41FD1"/>
    <w:rsid w:val="00B422C0"/>
    <w:rsid w:val="00B426CA"/>
    <w:rsid w:val="00B426E1"/>
    <w:rsid w:val="00B42973"/>
    <w:rsid w:val="00B42F6D"/>
    <w:rsid w:val="00B43449"/>
    <w:rsid w:val="00B4364A"/>
    <w:rsid w:val="00B4387A"/>
    <w:rsid w:val="00B43AFE"/>
    <w:rsid w:val="00B43DA1"/>
    <w:rsid w:val="00B43EAC"/>
    <w:rsid w:val="00B43F98"/>
    <w:rsid w:val="00B44281"/>
    <w:rsid w:val="00B44746"/>
    <w:rsid w:val="00B44854"/>
    <w:rsid w:val="00B44BA5"/>
    <w:rsid w:val="00B44FF6"/>
    <w:rsid w:val="00B458D0"/>
    <w:rsid w:val="00B4595C"/>
    <w:rsid w:val="00B4661B"/>
    <w:rsid w:val="00B46915"/>
    <w:rsid w:val="00B4792C"/>
    <w:rsid w:val="00B5054D"/>
    <w:rsid w:val="00B50CAE"/>
    <w:rsid w:val="00B50E01"/>
    <w:rsid w:val="00B512AD"/>
    <w:rsid w:val="00B5196C"/>
    <w:rsid w:val="00B5215E"/>
    <w:rsid w:val="00B525CB"/>
    <w:rsid w:val="00B52697"/>
    <w:rsid w:val="00B52AE8"/>
    <w:rsid w:val="00B52FA2"/>
    <w:rsid w:val="00B54D8F"/>
    <w:rsid w:val="00B55857"/>
    <w:rsid w:val="00B55C69"/>
    <w:rsid w:val="00B56851"/>
    <w:rsid w:val="00B569D4"/>
    <w:rsid w:val="00B56BA8"/>
    <w:rsid w:val="00B56D48"/>
    <w:rsid w:val="00B56D6E"/>
    <w:rsid w:val="00B572D9"/>
    <w:rsid w:val="00B572F7"/>
    <w:rsid w:val="00B57B9D"/>
    <w:rsid w:val="00B57DAF"/>
    <w:rsid w:val="00B60094"/>
    <w:rsid w:val="00B6022C"/>
    <w:rsid w:val="00B60C16"/>
    <w:rsid w:val="00B614F8"/>
    <w:rsid w:val="00B61994"/>
    <w:rsid w:val="00B61FD4"/>
    <w:rsid w:val="00B62655"/>
    <w:rsid w:val="00B62880"/>
    <w:rsid w:val="00B63872"/>
    <w:rsid w:val="00B63CB2"/>
    <w:rsid w:val="00B63D3B"/>
    <w:rsid w:val="00B64246"/>
    <w:rsid w:val="00B6429B"/>
    <w:rsid w:val="00B64EDB"/>
    <w:rsid w:val="00B65938"/>
    <w:rsid w:val="00B65C8A"/>
    <w:rsid w:val="00B65CE2"/>
    <w:rsid w:val="00B660AD"/>
    <w:rsid w:val="00B66109"/>
    <w:rsid w:val="00B66349"/>
    <w:rsid w:val="00B66CB4"/>
    <w:rsid w:val="00B66E42"/>
    <w:rsid w:val="00B67903"/>
    <w:rsid w:val="00B67FBF"/>
    <w:rsid w:val="00B70832"/>
    <w:rsid w:val="00B70C7C"/>
    <w:rsid w:val="00B71376"/>
    <w:rsid w:val="00B71617"/>
    <w:rsid w:val="00B716D7"/>
    <w:rsid w:val="00B72110"/>
    <w:rsid w:val="00B72B91"/>
    <w:rsid w:val="00B72D2E"/>
    <w:rsid w:val="00B73019"/>
    <w:rsid w:val="00B7315F"/>
    <w:rsid w:val="00B7323A"/>
    <w:rsid w:val="00B7353B"/>
    <w:rsid w:val="00B737FB"/>
    <w:rsid w:val="00B73E5D"/>
    <w:rsid w:val="00B73EF3"/>
    <w:rsid w:val="00B7423D"/>
    <w:rsid w:val="00B74D05"/>
    <w:rsid w:val="00B75893"/>
    <w:rsid w:val="00B75972"/>
    <w:rsid w:val="00B766DC"/>
    <w:rsid w:val="00B76F9D"/>
    <w:rsid w:val="00B777FA"/>
    <w:rsid w:val="00B77850"/>
    <w:rsid w:val="00B7796B"/>
    <w:rsid w:val="00B80C72"/>
    <w:rsid w:val="00B81964"/>
    <w:rsid w:val="00B81E6F"/>
    <w:rsid w:val="00B82123"/>
    <w:rsid w:val="00B8225B"/>
    <w:rsid w:val="00B825BB"/>
    <w:rsid w:val="00B82BB5"/>
    <w:rsid w:val="00B83182"/>
    <w:rsid w:val="00B8385B"/>
    <w:rsid w:val="00B839F0"/>
    <w:rsid w:val="00B83A32"/>
    <w:rsid w:val="00B851E4"/>
    <w:rsid w:val="00B854CE"/>
    <w:rsid w:val="00B85681"/>
    <w:rsid w:val="00B857EB"/>
    <w:rsid w:val="00B86162"/>
    <w:rsid w:val="00B86877"/>
    <w:rsid w:val="00B8695D"/>
    <w:rsid w:val="00B86A0C"/>
    <w:rsid w:val="00B86E66"/>
    <w:rsid w:val="00B873BA"/>
    <w:rsid w:val="00B8746F"/>
    <w:rsid w:val="00B8760D"/>
    <w:rsid w:val="00B87706"/>
    <w:rsid w:val="00B87CE0"/>
    <w:rsid w:val="00B90A49"/>
    <w:rsid w:val="00B90A73"/>
    <w:rsid w:val="00B90ABE"/>
    <w:rsid w:val="00B90AF5"/>
    <w:rsid w:val="00B91162"/>
    <w:rsid w:val="00B91B8E"/>
    <w:rsid w:val="00B91EE1"/>
    <w:rsid w:val="00B92531"/>
    <w:rsid w:val="00B925CF"/>
    <w:rsid w:val="00B92618"/>
    <w:rsid w:val="00B92751"/>
    <w:rsid w:val="00B92B69"/>
    <w:rsid w:val="00B92CC6"/>
    <w:rsid w:val="00B92E63"/>
    <w:rsid w:val="00B935C9"/>
    <w:rsid w:val="00B93A1A"/>
    <w:rsid w:val="00B93E3D"/>
    <w:rsid w:val="00B947BB"/>
    <w:rsid w:val="00B94BD9"/>
    <w:rsid w:val="00B95464"/>
    <w:rsid w:val="00B958A1"/>
    <w:rsid w:val="00B95C30"/>
    <w:rsid w:val="00B95D2F"/>
    <w:rsid w:val="00B95E3D"/>
    <w:rsid w:val="00B964EB"/>
    <w:rsid w:val="00B9691F"/>
    <w:rsid w:val="00B96EEC"/>
    <w:rsid w:val="00B97392"/>
    <w:rsid w:val="00B976C7"/>
    <w:rsid w:val="00BA01DF"/>
    <w:rsid w:val="00BA0A1D"/>
    <w:rsid w:val="00BA0B40"/>
    <w:rsid w:val="00BA0C54"/>
    <w:rsid w:val="00BA1382"/>
    <w:rsid w:val="00BA15E3"/>
    <w:rsid w:val="00BA1A8C"/>
    <w:rsid w:val="00BA20D8"/>
    <w:rsid w:val="00BA22FC"/>
    <w:rsid w:val="00BA2C2A"/>
    <w:rsid w:val="00BA2F30"/>
    <w:rsid w:val="00BA31B1"/>
    <w:rsid w:val="00BA3982"/>
    <w:rsid w:val="00BA3F29"/>
    <w:rsid w:val="00BA42AF"/>
    <w:rsid w:val="00BA43B8"/>
    <w:rsid w:val="00BA4771"/>
    <w:rsid w:val="00BA5027"/>
    <w:rsid w:val="00BA59F2"/>
    <w:rsid w:val="00BA6147"/>
    <w:rsid w:val="00BA665B"/>
    <w:rsid w:val="00BA686B"/>
    <w:rsid w:val="00BA6913"/>
    <w:rsid w:val="00BA6B3E"/>
    <w:rsid w:val="00BA6BF1"/>
    <w:rsid w:val="00BA6FE8"/>
    <w:rsid w:val="00BA732D"/>
    <w:rsid w:val="00BA7370"/>
    <w:rsid w:val="00BA778B"/>
    <w:rsid w:val="00BB04A0"/>
    <w:rsid w:val="00BB0888"/>
    <w:rsid w:val="00BB0DF1"/>
    <w:rsid w:val="00BB0E9B"/>
    <w:rsid w:val="00BB1251"/>
    <w:rsid w:val="00BB1F02"/>
    <w:rsid w:val="00BB2268"/>
    <w:rsid w:val="00BB244D"/>
    <w:rsid w:val="00BB2841"/>
    <w:rsid w:val="00BB2A74"/>
    <w:rsid w:val="00BB300F"/>
    <w:rsid w:val="00BB32C9"/>
    <w:rsid w:val="00BB35C5"/>
    <w:rsid w:val="00BB4293"/>
    <w:rsid w:val="00BB48C1"/>
    <w:rsid w:val="00BB4C8E"/>
    <w:rsid w:val="00BB57ED"/>
    <w:rsid w:val="00BB5DD6"/>
    <w:rsid w:val="00BB65C3"/>
    <w:rsid w:val="00BB662E"/>
    <w:rsid w:val="00BB6721"/>
    <w:rsid w:val="00BB67A9"/>
    <w:rsid w:val="00BB68DA"/>
    <w:rsid w:val="00BB6C01"/>
    <w:rsid w:val="00BB70D5"/>
    <w:rsid w:val="00BB748C"/>
    <w:rsid w:val="00BB7942"/>
    <w:rsid w:val="00BB7CD1"/>
    <w:rsid w:val="00BC088F"/>
    <w:rsid w:val="00BC0F33"/>
    <w:rsid w:val="00BC14A7"/>
    <w:rsid w:val="00BC17CC"/>
    <w:rsid w:val="00BC2898"/>
    <w:rsid w:val="00BC2928"/>
    <w:rsid w:val="00BC296E"/>
    <w:rsid w:val="00BC29BD"/>
    <w:rsid w:val="00BC2BB1"/>
    <w:rsid w:val="00BC2E8F"/>
    <w:rsid w:val="00BC34A3"/>
    <w:rsid w:val="00BC39AB"/>
    <w:rsid w:val="00BC3FF9"/>
    <w:rsid w:val="00BC4112"/>
    <w:rsid w:val="00BC4834"/>
    <w:rsid w:val="00BC4A97"/>
    <w:rsid w:val="00BC4E15"/>
    <w:rsid w:val="00BC520E"/>
    <w:rsid w:val="00BC5A25"/>
    <w:rsid w:val="00BC5FDD"/>
    <w:rsid w:val="00BC68B4"/>
    <w:rsid w:val="00BC69D0"/>
    <w:rsid w:val="00BC6C0E"/>
    <w:rsid w:val="00BD0140"/>
    <w:rsid w:val="00BD02CC"/>
    <w:rsid w:val="00BD0611"/>
    <w:rsid w:val="00BD088E"/>
    <w:rsid w:val="00BD0F18"/>
    <w:rsid w:val="00BD115F"/>
    <w:rsid w:val="00BD2063"/>
    <w:rsid w:val="00BD332F"/>
    <w:rsid w:val="00BD33D9"/>
    <w:rsid w:val="00BD38AE"/>
    <w:rsid w:val="00BD38C5"/>
    <w:rsid w:val="00BD3DEA"/>
    <w:rsid w:val="00BD3E97"/>
    <w:rsid w:val="00BD3EDB"/>
    <w:rsid w:val="00BD40E4"/>
    <w:rsid w:val="00BD48E5"/>
    <w:rsid w:val="00BD525B"/>
    <w:rsid w:val="00BD52FE"/>
    <w:rsid w:val="00BD57BF"/>
    <w:rsid w:val="00BD59CA"/>
    <w:rsid w:val="00BD62CF"/>
    <w:rsid w:val="00BD654F"/>
    <w:rsid w:val="00BD674B"/>
    <w:rsid w:val="00BD67B2"/>
    <w:rsid w:val="00BD68E2"/>
    <w:rsid w:val="00BD6B1B"/>
    <w:rsid w:val="00BD76E5"/>
    <w:rsid w:val="00BD78FE"/>
    <w:rsid w:val="00BD7C55"/>
    <w:rsid w:val="00BD7D10"/>
    <w:rsid w:val="00BD7E2E"/>
    <w:rsid w:val="00BE0149"/>
    <w:rsid w:val="00BE0767"/>
    <w:rsid w:val="00BE12D7"/>
    <w:rsid w:val="00BE1372"/>
    <w:rsid w:val="00BE1775"/>
    <w:rsid w:val="00BE18DA"/>
    <w:rsid w:val="00BE26C0"/>
    <w:rsid w:val="00BE3116"/>
    <w:rsid w:val="00BE3442"/>
    <w:rsid w:val="00BE37CD"/>
    <w:rsid w:val="00BE42D6"/>
    <w:rsid w:val="00BE47B2"/>
    <w:rsid w:val="00BE48C7"/>
    <w:rsid w:val="00BE4C4F"/>
    <w:rsid w:val="00BE4F66"/>
    <w:rsid w:val="00BE522D"/>
    <w:rsid w:val="00BE5238"/>
    <w:rsid w:val="00BE6074"/>
    <w:rsid w:val="00BE60CE"/>
    <w:rsid w:val="00BE6860"/>
    <w:rsid w:val="00BE6938"/>
    <w:rsid w:val="00BE6EDD"/>
    <w:rsid w:val="00BE7257"/>
    <w:rsid w:val="00BE7302"/>
    <w:rsid w:val="00BF020D"/>
    <w:rsid w:val="00BF0609"/>
    <w:rsid w:val="00BF0E64"/>
    <w:rsid w:val="00BF0EE8"/>
    <w:rsid w:val="00BF131B"/>
    <w:rsid w:val="00BF1C07"/>
    <w:rsid w:val="00BF1DD2"/>
    <w:rsid w:val="00BF22BF"/>
    <w:rsid w:val="00BF23A3"/>
    <w:rsid w:val="00BF2A7E"/>
    <w:rsid w:val="00BF3331"/>
    <w:rsid w:val="00BF3521"/>
    <w:rsid w:val="00BF3A45"/>
    <w:rsid w:val="00BF436F"/>
    <w:rsid w:val="00BF4484"/>
    <w:rsid w:val="00BF519C"/>
    <w:rsid w:val="00BF5C05"/>
    <w:rsid w:val="00BF5CB4"/>
    <w:rsid w:val="00BF6327"/>
    <w:rsid w:val="00BF6FC6"/>
    <w:rsid w:val="00BF7562"/>
    <w:rsid w:val="00BF77A5"/>
    <w:rsid w:val="00BF7C52"/>
    <w:rsid w:val="00BF7D44"/>
    <w:rsid w:val="00BF7F99"/>
    <w:rsid w:val="00C005C5"/>
    <w:rsid w:val="00C00713"/>
    <w:rsid w:val="00C009A0"/>
    <w:rsid w:val="00C00FC7"/>
    <w:rsid w:val="00C01E3D"/>
    <w:rsid w:val="00C01F74"/>
    <w:rsid w:val="00C02558"/>
    <w:rsid w:val="00C0285F"/>
    <w:rsid w:val="00C02A1D"/>
    <w:rsid w:val="00C02F35"/>
    <w:rsid w:val="00C0304B"/>
    <w:rsid w:val="00C03305"/>
    <w:rsid w:val="00C03515"/>
    <w:rsid w:val="00C03738"/>
    <w:rsid w:val="00C037A6"/>
    <w:rsid w:val="00C039F8"/>
    <w:rsid w:val="00C043F5"/>
    <w:rsid w:val="00C044E3"/>
    <w:rsid w:val="00C04549"/>
    <w:rsid w:val="00C04607"/>
    <w:rsid w:val="00C04BDB"/>
    <w:rsid w:val="00C052C6"/>
    <w:rsid w:val="00C05A61"/>
    <w:rsid w:val="00C05AD5"/>
    <w:rsid w:val="00C05FEE"/>
    <w:rsid w:val="00C06CCF"/>
    <w:rsid w:val="00C0794D"/>
    <w:rsid w:val="00C10B33"/>
    <w:rsid w:val="00C10E78"/>
    <w:rsid w:val="00C1159D"/>
    <w:rsid w:val="00C118E1"/>
    <w:rsid w:val="00C11E32"/>
    <w:rsid w:val="00C1233E"/>
    <w:rsid w:val="00C1233F"/>
    <w:rsid w:val="00C123F6"/>
    <w:rsid w:val="00C1272B"/>
    <w:rsid w:val="00C12FB3"/>
    <w:rsid w:val="00C138BC"/>
    <w:rsid w:val="00C13D85"/>
    <w:rsid w:val="00C14639"/>
    <w:rsid w:val="00C14E14"/>
    <w:rsid w:val="00C14E82"/>
    <w:rsid w:val="00C14FF6"/>
    <w:rsid w:val="00C151ED"/>
    <w:rsid w:val="00C15A85"/>
    <w:rsid w:val="00C1637C"/>
    <w:rsid w:val="00C1641B"/>
    <w:rsid w:val="00C165FC"/>
    <w:rsid w:val="00C176D5"/>
    <w:rsid w:val="00C17B49"/>
    <w:rsid w:val="00C17D24"/>
    <w:rsid w:val="00C2082C"/>
    <w:rsid w:val="00C20CC6"/>
    <w:rsid w:val="00C20E1E"/>
    <w:rsid w:val="00C20EB0"/>
    <w:rsid w:val="00C21004"/>
    <w:rsid w:val="00C21005"/>
    <w:rsid w:val="00C2136E"/>
    <w:rsid w:val="00C220B6"/>
    <w:rsid w:val="00C22D7C"/>
    <w:rsid w:val="00C22DDE"/>
    <w:rsid w:val="00C23028"/>
    <w:rsid w:val="00C2338B"/>
    <w:rsid w:val="00C233CE"/>
    <w:rsid w:val="00C237DD"/>
    <w:rsid w:val="00C238F4"/>
    <w:rsid w:val="00C23A99"/>
    <w:rsid w:val="00C23FBF"/>
    <w:rsid w:val="00C245EE"/>
    <w:rsid w:val="00C24AE1"/>
    <w:rsid w:val="00C24B8D"/>
    <w:rsid w:val="00C24BD7"/>
    <w:rsid w:val="00C24EF2"/>
    <w:rsid w:val="00C24FD5"/>
    <w:rsid w:val="00C25813"/>
    <w:rsid w:val="00C26BAB"/>
    <w:rsid w:val="00C26D76"/>
    <w:rsid w:val="00C27143"/>
    <w:rsid w:val="00C272CE"/>
    <w:rsid w:val="00C27490"/>
    <w:rsid w:val="00C27712"/>
    <w:rsid w:val="00C27D37"/>
    <w:rsid w:val="00C30038"/>
    <w:rsid w:val="00C30658"/>
    <w:rsid w:val="00C309E8"/>
    <w:rsid w:val="00C32017"/>
    <w:rsid w:val="00C32571"/>
    <w:rsid w:val="00C325CD"/>
    <w:rsid w:val="00C3322E"/>
    <w:rsid w:val="00C33548"/>
    <w:rsid w:val="00C337F5"/>
    <w:rsid w:val="00C33B90"/>
    <w:rsid w:val="00C34161"/>
    <w:rsid w:val="00C34A09"/>
    <w:rsid w:val="00C34B5F"/>
    <w:rsid w:val="00C358D4"/>
    <w:rsid w:val="00C36462"/>
    <w:rsid w:val="00C365C6"/>
    <w:rsid w:val="00C366F4"/>
    <w:rsid w:val="00C36785"/>
    <w:rsid w:val="00C3711C"/>
    <w:rsid w:val="00C37256"/>
    <w:rsid w:val="00C379A2"/>
    <w:rsid w:val="00C37A7B"/>
    <w:rsid w:val="00C37FAA"/>
    <w:rsid w:val="00C37FFE"/>
    <w:rsid w:val="00C40B50"/>
    <w:rsid w:val="00C4104A"/>
    <w:rsid w:val="00C419E3"/>
    <w:rsid w:val="00C419F4"/>
    <w:rsid w:val="00C41E6A"/>
    <w:rsid w:val="00C42247"/>
    <w:rsid w:val="00C439BE"/>
    <w:rsid w:val="00C44622"/>
    <w:rsid w:val="00C4494B"/>
    <w:rsid w:val="00C4539B"/>
    <w:rsid w:val="00C45466"/>
    <w:rsid w:val="00C455C1"/>
    <w:rsid w:val="00C4581D"/>
    <w:rsid w:val="00C4654F"/>
    <w:rsid w:val="00C47120"/>
    <w:rsid w:val="00C4719C"/>
    <w:rsid w:val="00C47472"/>
    <w:rsid w:val="00C500F0"/>
    <w:rsid w:val="00C504A7"/>
    <w:rsid w:val="00C506C9"/>
    <w:rsid w:val="00C50A16"/>
    <w:rsid w:val="00C50AFD"/>
    <w:rsid w:val="00C51C9A"/>
    <w:rsid w:val="00C52128"/>
    <w:rsid w:val="00C52C68"/>
    <w:rsid w:val="00C52D98"/>
    <w:rsid w:val="00C52DA1"/>
    <w:rsid w:val="00C533F2"/>
    <w:rsid w:val="00C53B0C"/>
    <w:rsid w:val="00C53C3B"/>
    <w:rsid w:val="00C53D24"/>
    <w:rsid w:val="00C54640"/>
    <w:rsid w:val="00C547A6"/>
    <w:rsid w:val="00C54A3A"/>
    <w:rsid w:val="00C55B52"/>
    <w:rsid w:val="00C55C32"/>
    <w:rsid w:val="00C55E16"/>
    <w:rsid w:val="00C562CD"/>
    <w:rsid w:val="00C56976"/>
    <w:rsid w:val="00C56A67"/>
    <w:rsid w:val="00C56CC2"/>
    <w:rsid w:val="00C56F14"/>
    <w:rsid w:val="00C5702C"/>
    <w:rsid w:val="00C57498"/>
    <w:rsid w:val="00C5763C"/>
    <w:rsid w:val="00C57724"/>
    <w:rsid w:val="00C5780C"/>
    <w:rsid w:val="00C5796B"/>
    <w:rsid w:val="00C612C4"/>
    <w:rsid w:val="00C6187C"/>
    <w:rsid w:val="00C618A5"/>
    <w:rsid w:val="00C619A1"/>
    <w:rsid w:val="00C62370"/>
    <w:rsid w:val="00C629F2"/>
    <w:rsid w:val="00C62BBB"/>
    <w:rsid w:val="00C62C63"/>
    <w:rsid w:val="00C6305F"/>
    <w:rsid w:val="00C6325B"/>
    <w:rsid w:val="00C63BD7"/>
    <w:rsid w:val="00C63E99"/>
    <w:rsid w:val="00C64924"/>
    <w:rsid w:val="00C649B8"/>
    <w:rsid w:val="00C64A64"/>
    <w:rsid w:val="00C65151"/>
    <w:rsid w:val="00C657F4"/>
    <w:rsid w:val="00C6598D"/>
    <w:rsid w:val="00C660FE"/>
    <w:rsid w:val="00C66119"/>
    <w:rsid w:val="00C66292"/>
    <w:rsid w:val="00C6636F"/>
    <w:rsid w:val="00C66D0A"/>
    <w:rsid w:val="00C66F21"/>
    <w:rsid w:val="00C672A3"/>
    <w:rsid w:val="00C672F1"/>
    <w:rsid w:val="00C673D0"/>
    <w:rsid w:val="00C6742E"/>
    <w:rsid w:val="00C67ABF"/>
    <w:rsid w:val="00C67B0B"/>
    <w:rsid w:val="00C70012"/>
    <w:rsid w:val="00C70671"/>
    <w:rsid w:val="00C708AA"/>
    <w:rsid w:val="00C70DEC"/>
    <w:rsid w:val="00C71E2A"/>
    <w:rsid w:val="00C71ED0"/>
    <w:rsid w:val="00C72FB8"/>
    <w:rsid w:val="00C733BA"/>
    <w:rsid w:val="00C73A34"/>
    <w:rsid w:val="00C7403A"/>
    <w:rsid w:val="00C75671"/>
    <w:rsid w:val="00C7595C"/>
    <w:rsid w:val="00C760DC"/>
    <w:rsid w:val="00C774EF"/>
    <w:rsid w:val="00C8082B"/>
    <w:rsid w:val="00C81A88"/>
    <w:rsid w:val="00C81AE5"/>
    <w:rsid w:val="00C81D46"/>
    <w:rsid w:val="00C82298"/>
    <w:rsid w:val="00C822B3"/>
    <w:rsid w:val="00C833B4"/>
    <w:rsid w:val="00C84284"/>
    <w:rsid w:val="00C84E33"/>
    <w:rsid w:val="00C85D99"/>
    <w:rsid w:val="00C85FCD"/>
    <w:rsid w:val="00C85FFC"/>
    <w:rsid w:val="00C861FC"/>
    <w:rsid w:val="00C86BF5"/>
    <w:rsid w:val="00C86C87"/>
    <w:rsid w:val="00C875EC"/>
    <w:rsid w:val="00C9005E"/>
    <w:rsid w:val="00C90111"/>
    <w:rsid w:val="00C9038E"/>
    <w:rsid w:val="00C9077B"/>
    <w:rsid w:val="00C90CA9"/>
    <w:rsid w:val="00C90F88"/>
    <w:rsid w:val="00C915F2"/>
    <w:rsid w:val="00C917B1"/>
    <w:rsid w:val="00C9193C"/>
    <w:rsid w:val="00C91B77"/>
    <w:rsid w:val="00C920E2"/>
    <w:rsid w:val="00C92576"/>
    <w:rsid w:val="00C92A40"/>
    <w:rsid w:val="00C92DD4"/>
    <w:rsid w:val="00C93765"/>
    <w:rsid w:val="00C93804"/>
    <w:rsid w:val="00C93877"/>
    <w:rsid w:val="00C93D8C"/>
    <w:rsid w:val="00C93E07"/>
    <w:rsid w:val="00C946CC"/>
    <w:rsid w:val="00C94D3B"/>
    <w:rsid w:val="00C950BD"/>
    <w:rsid w:val="00C959BD"/>
    <w:rsid w:val="00C95D64"/>
    <w:rsid w:val="00C95DFE"/>
    <w:rsid w:val="00C95F44"/>
    <w:rsid w:val="00C96A6D"/>
    <w:rsid w:val="00C96D1B"/>
    <w:rsid w:val="00C97106"/>
    <w:rsid w:val="00C978D4"/>
    <w:rsid w:val="00CA0031"/>
    <w:rsid w:val="00CA0413"/>
    <w:rsid w:val="00CA043A"/>
    <w:rsid w:val="00CA0E51"/>
    <w:rsid w:val="00CA1691"/>
    <w:rsid w:val="00CA257C"/>
    <w:rsid w:val="00CA2738"/>
    <w:rsid w:val="00CA2D2E"/>
    <w:rsid w:val="00CA2F26"/>
    <w:rsid w:val="00CA339E"/>
    <w:rsid w:val="00CA3C3A"/>
    <w:rsid w:val="00CA41E7"/>
    <w:rsid w:val="00CA4A99"/>
    <w:rsid w:val="00CA5520"/>
    <w:rsid w:val="00CA5812"/>
    <w:rsid w:val="00CA5BD4"/>
    <w:rsid w:val="00CA5C14"/>
    <w:rsid w:val="00CA5C62"/>
    <w:rsid w:val="00CA7500"/>
    <w:rsid w:val="00CA76FC"/>
    <w:rsid w:val="00CA7E7B"/>
    <w:rsid w:val="00CB0028"/>
    <w:rsid w:val="00CB0236"/>
    <w:rsid w:val="00CB0DC1"/>
    <w:rsid w:val="00CB1278"/>
    <w:rsid w:val="00CB144F"/>
    <w:rsid w:val="00CB1969"/>
    <w:rsid w:val="00CB19E3"/>
    <w:rsid w:val="00CB1DC1"/>
    <w:rsid w:val="00CB29D5"/>
    <w:rsid w:val="00CB2C3A"/>
    <w:rsid w:val="00CB2D38"/>
    <w:rsid w:val="00CB4137"/>
    <w:rsid w:val="00CB4A29"/>
    <w:rsid w:val="00CB4BF5"/>
    <w:rsid w:val="00CB52D0"/>
    <w:rsid w:val="00CB5302"/>
    <w:rsid w:val="00CB5578"/>
    <w:rsid w:val="00CB5671"/>
    <w:rsid w:val="00CB591C"/>
    <w:rsid w:val="00CB5943"/>
    <w:rsid w:val="00CB61B3"/>
    <w:rsid w:val="00CB6F83"/>
    <w:rsid w:val="00CB72AE"/>
    <w:rsid w:val="00CB764A"/>
    <w:rsid w:val="00CB7AC3"/>
    <w:rsid w:val="00CC00CD"/>
    <w:rsid w:val="00CC0579"/>
    <w:rsid w:val="00CC0AF3"/>
    <w:rsid w:val="00CC0BC6"/>
    <w:rsid w:val="00CC0E68"/>
    <w:rsid w:val="00CC1588"/>
    <w:rsid w:val="00CC1780"/>
    <w:rsid w:val="00CC194E"/>
    <w:rsid w:val="00CC1A50"/>
    <w:rsid w:val="00CC1ED2"/>
    <w:rsid w:val="00CC21AC"/>
    <w:rsid w:val="00CC232E"/>
    <w:rsid w:val="00CC2514"/>
    <w:rsid w:val="00CC2B1A"/>
    <w:rsid w:val="00CC2D34"/>
    <w:rsid w:val="00CC2F69"/>
    <w:rsid w:val="00CC315F"/>
    <w:rsid w:val="00CC3D38"/>
    <w:rsid w:val="00CC40C3"/>
    <w:rsid w:val="00CC4E5D"/>
    <w:rsid w:val="00CC50AE"/>
    <w:rsid w:val="00CC5FFE"/>
    <w:rsid w:val="00CC61B7"/>
    <w:rsid w:val="00CC61CA"/>
    <w:rsid w:val="00CC6382"/>
    <w:rsid w:val="00CC64DE"/>
    <w:rsid w:val="00CC69EC"/>
    <w:rsid w:val="00CC6DF1"/>
    <w:rsid w:val="00CC71D3"/>
    <w:rsid w:val="00CC743D"/>
    <w:rsid w:val="00CC7A62"/>
    <w:rsid w:val="00CD050A"/>
    <w:rsid w:val="00CD0A48"/>
    <w:rsid w:val="00CD1017"/>
    <w:rsid w:val="00CD205D"/>
    <w:rsid w:val="00CD2A22"/>
    <w:rsid w:val="00CD2B50"/>
    <w:rsid w:val="00CD2FD9"/>
    <w:rsid w:val="00CD3172"/>
    <w:rsid w:val="00CD4357"/>
    <w:rsid w:val="00CD43B3"/>
    <w:rsid w:val="00CD4506"/>
    <w:rsid w:val="00CD520A"/>
    <w:rsid w:val="00CD520B"/>
    <w:rsid w:val="00CD592E"/>
    <w:rsid w:val="00CD5982"/>
    <w:rsid w:val="00CD5A1A"/>
    <w:rsid w:val="00CD5A3C"/>
    <w:rsid w:val="00CD6988"/>
    <w:rsid w:val="00CD76F8"/>
    <w:rsid w:val="00CD7EFA"/>
    <w:rsid w:val="00CE020E"/>
    <w:rsid w:val="00CE02C2"/>
    <w:rsid w:val="00CE0566"/>
    <w:rsid w:val="00CE070B"/>
    <w:rsid w:val="00CE1030"/>
    <w:rsid w:val="00CE1CD4"/>
    <w:rsid w:val="00CE1E29"/>
    <w:rsid w:val="00CE207C"/>
    <w:rsid w:val="00CE2761"/>
    <w:rsid w:val="00CE28FC"/>
    <w:rsid w:val="00CE2ED5"/>
    <w:rsid w:val="00CE314E"/>
    <w:rsid w:val="00CE3D5C"/>
    <w:rsid w:val="00CE3E09"/>
    <w:rsid w:val="00CE3E14"/>
    <w:rsid w:val="00CE44C7"/>
    <w:rsid w:val="00CE4DF7"/>
    <w:rsid w:val="00CE5168"/>
    <w:rsid w:val="00CE53CC"/>
    <w:rsid w:val="00CE559D"/>
    <w:rsid w:val="00CE6103"/>
    <w:rsid w:val="00CE65A7"/>
    <w:rsid w:val="00CE68FE"/>
    <w:rsid w:val="00CE69CC"/>
    <w:rsid w:val="00CE6EC4"/>
    <w:rsid w:val="00CE7F26"/>
    <w:rsid w:val="00CF06C4"/>
    <w:rsid w:val="00CF0A8D"/>
    <w:rsid w:val="00CF1226"/>
    <w:rsid w:val="00CF16CF"/>
    <w:rsid w:val="00CF1ABB"/>
    <w:rsid w:val="00CF1E1D"/>
    <w:rsid w:val="00CF23A0"/>
    <w:rsid w:val="00CF24FE"/>
    <w:rsid w:val="00CF287F"/>
    <w:rsid w:val="00CF35D0"/>
    <w:rsid w:val="00CF3B57"/>
    <w:rsid w:val="00CF3DD5"/>
    <w:rsid w:val="00CF42D1"/>
    <w:rsid w:val="00CF441E"/>
    <w:rsid w:val="00CF481B"/>
    <w:rsid w:val="00CF4AF7"/>
    <w:rsid w:val="00CF4D20"/>
    <w:rsid w:val="00CF6295"/>
    <w:rsid w:val="00CF6507"/>
    <w:rsid w:val="00CF70C2"/>
    <w:rsid w:val="00CF73F8"/>
    <w:rsid w:val="00CF75C1"/>
    <w:rsid w:val="00CF7928"/>
    <w:rsid w:val="00CF7CA2"/>
    <w:rsid w:val="00D00471"/>
    <w:rsid w:val="00D00684"/>
    <w:rsid w:val="00D00911"/>
    <w:rsid w:val="00D00A8E"/>
    <w:rsid w:val="00D00DE0"/>
    <w:rsid w:val="00D00F79"/>
    <w:rsid w:val="00D012BF"/>
    <w:rsid w:val="00D01760"/>
    <w:rsid w:val="00D02380"/>
    <w:rsid w:val="00D030BD"/>
    <w:rsid w:val="00D0368E"/>
    <w:rsid w:val="00D0393E"/>
    <w:rsid w:val="00D03AC3"/>
    <w:rsid w:val="00D03D2D"/>
    <w:rsid w:val="00D03E7B"/>
    <w:rsid w:val="00D0401A"/>
    <w:rsid w:val="00D0469C"/>
    <w:rsid w:val="00D046C1"/>
    <w:rsid w:val="00D0472C"/>
    <w:rsid w:val="00D047E0"/>
    <w:rsid w:val="00D04AB6"/>
    <w:rsid w:val="00D04B9F"/>
    <w:rsid w:val="00D04E8D"/>
    <w:rsid w:val="00D04FFB"/>
    <w:rsid w:val="00D053CF"/>
    <w:rsid w:val="00D055FE"/>
    <w:rsid w:val="00D058E9"/>
    <w:rsid w:val="00D0612A"/>
    <w:rsid w:val="00D0643F"/>
    <w:rsid w:val="00D06BAD"/>
    <w:rsid w:val="00D06E6B"/>
    <w:rsid w:val="00D07315"/>
    <w:rsid w:val="00D07F2D"/>
    <w:rsid w:val="00D1060D"/>
    <w:rsid w:val="00D10E7C"/>
    <w:rsid w:val="00D10EE5"/>
    <w:rsid w:val="00D11182"/>
    <w:rsid w:val="00D1137B"/>
    <w:rsid w:val="00D11807"/>
    <w:rsid w:val="00D11DB3"/>
    <w:rsid w:val="00D12D82"/>
    <w:rsid w:val="00D12F77"/>
    <w:rsid w:val="00D1306E"/>
    <w:rsid w:val="00D134CD"/>
    <w:rsid w:val="00D14860"/>
    <w:rsid w:val="00D14B5F"/>
    <w:rsid w:val="00D14E13"/>
    <w:rsid w:val="00D14F23"/>
    <w:rsid w:val="00D157B8"/>
    <w:rsid w:val="00D160F6"/>
    <w:rsid w:val="00D1612B"/>
    <w:rsid w:val="00D16740"/>
    <w:rsid w:val="00D16A8B"/>
    <w:rsid w:val="00D16E39"/>
    <w:rsid w:val="00D172A4"/>
    <w:rsid w:val="00D17951"/>
    <w:rsid w:val="00D17AD8"/>
    <w:rsid w:val="00D17F91"/>
    <w:rsid w:val="00D2104A"/>
    <w:rsid w:val="00D21BB5"/>
    <w:rsid w:val="00D21FFC"/>
    <w:rsid w:val="00D223B6"/>
    <w:rsid w:val="00D223B7"/>
    <w:rsid w:val="00D223E8"/>
    <w:rsid w:val="00D224E1"/>
    <w:rsid w:val="00D227ED"/>
    <w:rsid w:val="00D22DC8"/>
    <w:rsid w:val="00D22F86"/>
    <w:rsid w:val="00D24626"/>
    <w:rsid w:val="00D2477B"/>
    <w:rsid w:val="00D247F4"/>
    <w:rsid w:val="00D24BBC"/>
    <w:rsid w:val="00D24FE1"/>
    <w:rsid w:val="00D2522A"/>
    <w:rsid w:val="00D2531C"/>
    <w:rsid w:val="00D2553E"/>
    <w:rsid w:val="00D25CFA"/>
    <w:rsid w:val="00D25F7C"/>
    <w:rsid w:val="00D26853"/>
    <w:rsid w:val="00D2737C"/>
    <w:rsid w:val="00D2742F"/>
    <w:rsid w:val="00D2754F"/>
    <w:rsid w:val="00D277C5"/>
    <w:rsid w:val="00D279D9"/>
    <w:rsid w:val="00D30596"/>
    <w:rsid w:val="00D312DC"/>
    <w:rsid w:val="00D31B84"/>
    <w:rsid w:val="00D31C6A"/>
    <w:rsid w:val="00D31EDF"/>
    <w:rsid w:val="00D31F0A"/>
    <w:rsid w:val="00D31FF9"/>
    <w:rsid w:val="00D32149"/>
    <w:rsid w:val="00D32256"/>
    <w:rsid w:val="00D323A1"/>
    <w:rsid w:val="00D32634"/>
    <w:rsid w:val="00D32A27"/>
    <w:rsid w:val="00D32ABC"/>
    <w:rsid w:val="00D339D4"/>
    <w:rsid w:val="00D33FA4"/>
    <w:rsid w:val="00D341C9"/>
    <w:rsid w:val="00D34B25"/>
    <w:rsid w:val="00D34F4E"/>
    <w:rsid w:val="00D357F3"/>
    <w:rsid w:val="00D357FA"/>
    <w:rsid w:val="00D35C0E"/>
    <w:rsid w:val="00D36415"/>
    <w:rsid w:val="00D373A8"/>
    <w:rsid w:val="00D3749D"/>
    <w:rsid w:val="00D379A5"/>
    <w:rsid w:val="00D37A67"/>
    <w:rsid w:val="00D401BE"/>
    <w:rsid w:val="00D4043A"/>
    <w:rsid w:val="00D40DB0"/>
    <w:rsid w:val="00D41093"/>
    <w:rsid w:val="00D410DC"/>
    <w:rsid w:val="00D416D5"/>
    <w:rsid w:val="00D41858"/>
    <w:rsid w:val="00D422DB"/>
    <w:rsid w:val="00D42303"/>
    <w:rsid w:val="00D42314"/>
    <w:rsid w:val="00D42AC2"/>
    <w:rsid w:val="00D4313A"/>
    <w:rsid w:val="00D4367C"/>
    <w:rsid w:val="00D44498"/>
    <w:rsid w:val="00D4485F"/>
    <w:rsid w:val="00D4498E"/>
    <w:rsid w:val="00D4515F"/>
    <w:rsid w:val="00D451E8"/>
    <w:rsid w:val="00D46185"/>
    <w:rsid w:val="00D461B4"/>
    <w:rsid w:val="00D466C9"/>
    <w:rsid w:val="00D4691E"/>
    <w:rsid w:val="00D47275"/>
    <w:rsid w:val="00D50113"/>
    <w:rsid w:val="00D5030F"/>
    <w:rsid w:val="00D50689"/>
    <w:rsid w:val="00D51064"/>
    <w:rsid w:val="00D512A1"/>
    <w:rsid w:val="00D517F6"/>
    <w:rsid w:val="00D51E15"/>
    <w:rsid w:val="00D5210F"/>
    <w:rsid w:val="00D52B7E"/>
    <w:rsid w:val="00D52E2F"/>
    <w:rsid w:val="00D52F59"/>
    <w:rsid w:val="00D53445"/>
    <w:rsid w:val="00D53DD0"/>
    <w:rsid w:val="00D53E3E"/>
    <w:rsid w:val="00D53EF8"/>
    <w:rsid w:val="00D542CB"/>
    <w:rsid w:val="00D54620"/>
    <w:rsid w:val="00D54FEE"/>
    <w:rsid w:val="00D55904"/>
    <w:rsid w:val="00D5616F"/>
    <w:rsid w:val="00D57940"/>
    <w:rsid w:val="00D6015F"/>
    <w:rsid w:val="00D60327"/>
    <w:rsid w:val="00D61384"/>
    <w:rsid w:val="00D6140F"/>
    <w:rsid w:val="00D61526"/>
    <w:rsid w:val="00D61F81"/>
    <w:rsid w:val="00D620DD"/>
    <w:rsid w:val="00D6276C"/>
    <w:rsid w:val="00D62BE6"/>
    <w:rsid w:val="00D63766"/>
    <w:rsid w:val="00D63912"/>
    <w:rsid w:val="00D63923"/>
    <w:rsid w:val="00D6451B"/>
    <w:rsid w:val="00D64B57"/>
    <w:rsid w:val="00D651A1"/>
    <w:rsid w:val="00D658FC"/>
    <w:rsid w:val="00D65DEA"/>
    <w:rsid w:val="00D66579"/>
    <w:rsid w:val="00D672E1"/>
    <w:rsid w:val="00D676D3"/>
    <w:rsid w:val="00D67B06"/>
    <w:rsid w:val="00D67BC7"/>
    <w:rsid w:val="00D67DAF"/>
    <w:rsid w:val="00D70009"/>
    <w:rsid w:val="00D701F1"/>
    <w:rsid w:val="00D705D3"/>
    <w:rsid w:val="00D70E00"/>
    <w:rsid w:val="00D70F7C"/>
    <w:rsid w:val="00D715AC"/>
    <w:rsid w:val="00D71661"/>
    <w:rsid w:val="00D71818"/>
    <w:rsid w:val="00D71851"/>
    <w:rsid w:val="00D718CF"/>
    <w:rsid w:val="00D71A81"/>
    <w:rsid w:val="00D71ACF"/>
    <w:rsid w:val="00D728F5"/>
    <w:rsid w:val="00D72E9D"/>
    <w:rsid w:val="00D730CD"/>
    <w:rsid w:val="00D73249"/>
    <w:rsid w:val="00D73419"/>
    <w:rsid w:val="00D73CA9"/>
    <w:rsid w:val="00D74DB9"/>
    <w:rsid w:val="00D751B7"/>
    <w:rsid w:val="00D7524B"/>
    <w:rsid w:val="00D7533E"/>
    <w:rsid w:val="00D75396"/>
    <w:rsid w:val="00D759C0"/>
    <w:rsid w:val="00D75E99"/>
    <w:rsid w:val="00D765CE"/>
    <w:rsid w:val="00D76659"/>
    <w:rsid w:val="00D766C7"/>
    <w:rsid w:val="00D76901"/>
    <w:rsid w:val="00D7692B"/>
    <w:rsid w:val="00D772D0"/>
    <w:rsid w:val="00D7734F"/>
    <w:rsid w:val="00D80002"/>
    <w:rsid w:val="00D8044C"/>
    <w:rsid w:val="00D805D6"/>
    <w:rsid w:val="00D8075E"/>
    <w:rsid w:val="00D80860"/>
    <w:rsid w:val="00D80D4C"/>
    <w:rsid w:val="00D8184D"/>
    <w:rsid w:val="00D81A7B"/>
    <w:rsid w:val="00D8223C"/>
    <w:rsid w:val="00D8234D"/>
    <w:rsid w:val="00D82B57"/>
    <w:rsid w:val="00D82CE5"/>
    <w:rsid w:val="00D830CF"/>
    <w:rsid w:val="00D8318E"/>
    <w:rsid w:val="00D831E3"/>
    <w:rsid w:val="00D8342C"/>
    <w:rsid w:val="00D852EE"/>
    <w:rsid w:val="00D85494"/>
    <w:rsid w:val="00D85501"/>
    <w:rsid w:val="00D8582C"/>
    <w:rsid w:val="00D858B1"/>
    <w:rsid w:val="00D858B3"/>
    <w:rsid w:val="00D85A9A"/>
    <w:rsid w:val="00D85D61"/>
    <w:rsid w:val="00D8616D"/>
    <w:rsid w:val="00D86363"/>
    <w:rsid w:val="00D8641F"/>
    <w:rsid w:val="00D866CA"/>
    <w:rsid w:val="00D869B7"/>
    <w:rsid w:val="00D8711B"/>
    <w:rsid w:val="00D87384"/>
    <w:rsid w:val="00D87AE8"/>
    <w:rsid w:val="00D9052A"/>
    <w:rsid w:val="00D90683"/>
    <w:rsid w:val="00D90B2A"/>
    <w:rsid w:val="00D91000"/>
    <w:rsid w:val="00D91391"/>
    <w:rsid w:val="00D91483"/>
    <w:rsid w:val="00D915C8"/>
    <w:rsid w:val="00D9310B"/>
    <w:rsid w:val="00D931F3"/>
    <w:rsid w:val="00D93726"/>
    <w:rsid w:val="00D93F3E"/>
    <w:rsid w:val="00D9405B"/>
    <w:rsid w:val="00D94942"/>
    <w:rsid w:val="00D95145"/>
    <w:rsid w:val="00D951DA"/>
    <w:rsid w:val="00D95360"/>
    <w:rsid w:val="00D95DFB"/>
    <w:rsid w:val="00D95E03"/>
    <w:rsid w:val="00D95E70"/>
    <w:rsid w:val="00D962C1"/>
    <w:rsid w:val="00D96594"/>
    <w:rsid w:val="00D967CB"/>
    <w:rsid w:val="00D968D4"/>
    <w:rsid w:val="00D96EE0"/>
    <w:rsid w:val="00D97871"/>
    <w:rsid w:val="00D97ACE"/>
    <w:rsid w:val="00D97BD1"/>
    <w:rsid w:val="00D97D05"/>
    <w:rsid w:val="00D97DAD"/>
    <w:rsid w:val="00DA06B8"/>
    <w:rsid w:val="00DA14A9"/>
    <w:rsid w:val="00DA2164"/>
    <w:rsid w:val="00DA2471"/>
    <w:rsid w:val="00DA2616"/>
    <w:rsid w:val="00DA2862"/>
    <w:rsid w:val="00DA286D"/>
    <w:rsid w:val="00DA2969"/>
    <w:rsid w:val="00DA29B7"/>
    <w:rsid w:val="00DA337C"/>
    <w:rsid w:val="00DA385C"/>
    <w:rsid w:val="00DA39B1"/>
    <w:rsid w:val="00DA4842"/>
    <w:rsid w:val="00DA4F7B"/>
    <w:rsid w:val="00DA5989"/>
    <w:rsid w:val="00DA5AB1"/>
    <w:rsid w:val="00DA5F94"/>
    <w:rsid w:val="00DA5F9D"/>
    <w:rsid w:val="00DA5FFB"/>
    <w:rsid w:val="00DA69B2"/>
    <w:rsid w:val="00DA6DD7"/>
    <w:rsid w:val="00DA6E8A"/>
    <w:rsid w:val="00DA7462"/>
    <w:rsid w:val="00DA7AD0"/>
    <w:rsid w:val="00DB02D7"/>
    <w:rsid w:val="00DB03CC"/>
    <w:rsid w:val="00DB12D4"/>
    <w:rsid w:val="00DB14F0"/>
    <w:rsid w:val="00DB1745"/>
    <w:rsid w:val="00DB19BB"/>
    <w:rsid w:val="00DB1AFF"/>
    <w:rsid w:val="00DB219A"/>
    <w:rsid w:val="00DB23DD"/>
    <w:rsid w:val="00DB288B"/>
    <w:rsid w:val="00DB3165"/>
    <w:rsid w:val="00DB3D80"/>
    <w:rsid w:val="00DB4128"/>
    <w:rsid w:val="00DB4292"/>
    <w:rsid w:val="00DB4FF9"/>
    <w:rsid w:val="00DB5023"/>
    <w:rsid w:val="00DB532F"/>
    <w:rsid w:val="00DB5CA4"/>
    <w:rsid w:val="00DB629E"/>
    <w:rsid w:val="00DB6381"/>
    <w:rsid w:val="00DB6A01"/>
    <w:rsid w:val="00DB6E46"/>
    <w:rsid w:val="00DB7117"/>
    <w:rsid w:val="00DB7484"/>
    <w:rsid w:val="00DB7760"/>
    <w:rsid w:val="00DB7DD4"/>
    <w:rsid w:val="00DC00B4"/>
    <w:rsid w:val="00DC0954"/>
    <w:rsid w:val="00DC0DF8"/>
    <w:rsid w:val="00DC15BA"/>
    <w:rsid w:val="00DC17C0"/>
    <w:rsid w:val="00DC18CD"/>
    <w:rsid w:val="00DC1A68"/>
    <w:rsid w:val="00DC1E82"/>
    <w:rsid w:val="00DC29F6"/>
    <w:rsid w:val="00DC30B8"/>
    <w:rsid w:val="00DC3786"/>
    <w:rsid w:val="00DC3EAB"/>
    <w:rsid w:val="00DC3FCF"/>
    <w:rsid w:val="00DC478F"/>
    <w:rsid w:val="00DC537E"/>
    <w:rsid w:val="00DC62E5"/>
    <w:rsid w:val="00DC669F"/>
    <w:rsid w:val="00DC6A2B"/>
    <w:rsid w:val="00DC6B20"/>
    <w:rsid w:val="00DC6D70"/>
    <w:rsid w:val="00DC6F33"/>
    <w:rsid w:val="00DC7349"/>
    <w:rsid w:val="00DD09B4"/>
    <w:rsid w:val="00DD131D"/>
    <w:rsid w:val="00DD14D8"/>
    <w:rsid w:val="00DD1599"/>
    <w:rsid w:val="00DD1B03"/>
    <w:rsid w:val="00DD1E43"/>
    <w:rsid w:val="00DD2A62"/>
    <w:rsid w:val="00DD2C78"/>
    <w:rsid w:val="00DD2D97"/>
    <w:rsid w:val="00DD2F2F"/>
    <w:rsid w:val="00DD2F7A"/>
    <w:rsid w:val="00DD3885"/>
    <w:rsid w:val="00DD5808"/>
    <w:rsid w:val="00DD5946"/>
    <w:rsid w:val="00DD5B04"/>
    <w:rsid w:val="00DD5DAE"/>
    <w:rsid w:val="00DD5EC6"/>
    <w:rsid w:val="00DD605F"/>
    <w:rsid w:val="00DD6141"/>
    <w:rsid w:val="00DD72A0"/>
    <w:rsid w:val="00DD735D"/>
    <w:rsid w:val="00DD7751"/>
    <w:rsid w:val="00DE0159"/>
    <w:rsid w:val="00DE064A"/>
    <w:rsid w:val="00DE082D"/>
    <w:rsid w:val="00DE095E"/>
    <w:rsid w:val="00DE1410"/>
    <w:rsid w:val="00DE14A6"/>
    <w:rsid w:val="00DE20C6"/>
    <w:rsid w:val="00DE3119"/>
    <w:rsid w:val="00DE3E3B"/>
    <w:rsid w:val="00DE3FB3"/>
    <w:rsid w:val="00DE3FF0"/>
    <w:rsid w:val="00DE40B0"/>
    <w:rsid w:val="00DE4105"/>
    <w:rsid w:val="00DE41C4"/>
    <w:rsid w:val="00DE5189"/>
    <w:rsid w:val="00DE7108"/>
    <w:rsid w:val="00DE73C5"/>
    <w:rsid w:val="00DE78D1"/>
    <w:rsid w:val="00DE78FF"/>
    <w:rsid w:val="00DF0263"/>
    <w:rsid w:val="00DF084C"/>
    <w:rsid w:val="00DF0D9C"/>
    <w:rsid w:val="00DF0EB4"/>
    <w:rsid w:val="00DF158B"/>
    <w:rsid w:val="00DF193C"/>
    <w:rsid w:val="00DF1D63"/>
    <w:rsid w:val="00DF1E36"/>
    <w:rsid w:val="00DF236B"/>
    <w:rsid w:val="00DF2919"/>
    <w:rsid w:val="00DF2A91"/>
    <w:rsid w:val="00DF3889"/>
    <w:rsid w:val="00DF39E3"/>
    <w:rsid w:val="00DF3CC9"/>
    <w:rsid w:val="00DF3F66"/>
    <w:rsid w:val="00DF4021"/>
    <w:rsid w:val="00DF4436"/>
    <w:rsid w:val="00DF4451"/>
    <w:rsid w:val="00DF49FF"/>
    <w:rsid w:val="00DF4FFB"/>
    <w:rsid w:val="00DF5015"/>
    <w:rsid w:val="00DF5236"/>
    <w:rsid w:val="00DF5508"/>
    <w:rsid w:val="00DF5A69"/>
    <w:rsid w:val="00DF651F"/>
    <w:rsid w:val="00DF6F43"/>
    <w:rsid w:val="00DF752F"/>
    <w:rsid w:val="00DF76A2"/>
    <w:rsid w:val="00DF76B4"/>
    <w:rsid w:val="00DF7B87"/>
    <w:rsid w:val="00E00B7A"/>
    <w:rsid w:val="00E01FDD"/>
    <w:rsid w:val="00E02186"/>
    <w:rsid w:val="00E023E5"/>
    <w:rsid w:val="00E026BB"/>
    <w:rsid w:val="00E027C5"/>
    <w:rsid w:val="00E03124"/>
    <w:rsid w:val="00E031C3"/>
    <w:rsid w:val="00E03951"/>
    <w:rsid w:val="00E03DB8"/>
    <w:rsid w:val="00E03F17"/>
    <w:rsid w:val="00E0408F"/>
    <w:rsid w:val="00E041F0"/>
    <w:rsid w:val="00E0420C"/>
    <w:rsid w:val="00E04230"/>
    <w:rsid w:val="00E044A8"/>
    <w:rsid w:val="00E04DD9"/>
    <w:rsid w:val="00E04EDD"/>
    <w:rsid w:val="00E055C2"/>
    <w:rsid w:val="00E05E70"/>
    <w:rsid w:val="00E064BC"/>
    <w:rsid w:val="00E065C9"/>
    <w:rsid w:val="00E07225"/>
    <w:rsid w:val="00E076B4"/>
    <w:rsid w:val="00E07B55"/>
    <w:rsid w:val="00E07F43"/>
    <w:rsid w:val="00E10579"/>
    <w:rsid w:val="00E109DD"/>
    <w:rsid w:val="00E11229"/>
    <w:rsid w:val="00E114CA"/>
    <w:rsid w:val="00E11FE2"/>
    <w:rsid w:val="00E1393E"/>
    <w:rsid w:val="00E1397F"/>
    <w:rsid w:val="00E13AB8"/>
    <w:rsid w:val="00E1482E"/>
    <w:rsid w:val="00E14B0F"/>
    <w:rsid w:val="00E153AE"/>
    <w:rsid w:val="00E158AD"/>
    <w:rsid w:val="00E15AB1"/>
    <w:rsid w:val="00E16382"/>
    <w:rsid w:val="00E1699C"/>
    <w:rsid w:val="00E16E75"/>
    <w:rsid w:val="00E1714E"/>
    <w:rsid w:val="00E1746D"/>
    <w:rsid w:val="00E17AFA"/>
    <w:rsid w:val="00E2012A"/>
    <w:rsid w:val="00E205A2"/>
    <w:rsid w:val="00E20BA4"/>
    <w:rsid w:val="00E21CBC"/>
    <w:rsid w:val="00E2302A"/>
    <w:rsid w:val="00E23137"/>
    <w:rsid w:val="00E233B2"/>
    <w:rsid w:val="00E23980"/>
    <w:rsid w:val="00E241E9"/>
    <w:rsid w:val="00E245D8"/>
    <w:rsid w:val="00E24F05"/>
    <w:rsid w:val="00E257C3"/>
    <w:rsid w:val="00E25CB3"/>
    <w:rsid w:val="00E25DA4"/>
    <w:rsid w:val="00E26237"/>
    <w:rsid w:val="00E26CB8"/>
    <w:rsid w:val="00E26D16"/>
    <w:rsid w:val="00E26FCF"/>
    <w:rsid w:val="00E27165"/>
    <w:rsid w:val="00E272B1"/>
    <w:rsid w:val="00E275D9"/>
    <w:rsid w:val="00E27720"/>
    <w:rsid w:val="00E27801"/>
    <w:rsid w:val="00E27802"/>
    <w:rsid w:val="00E27988"/>
    <w:rsid w:val="00E3044A"/>
    <w:rsid w:val="00E30E49"/>
    <w:rsid w:val="00E314A5"/>
    <w:rsid w:val="00E3174A"/>
    <w:rsid w:val="00E31A4A"/>
    <w:rsid w:val="00E31B8B"/>
    <w:rsid w:val="00E3223E"/>
    <w:rsid w:val="00E32AE4"/>
    <w:rsid w:val="00E3344A"/>
    <w:rsid w:val="00E33B29"/>
    <w:rsid w:val="00E33B62"/>
    <w:rsid w:val="00E3403D"/>
    <w:rsid w:val="00E344BD"/>
    <w:rsid w:val="00E34964"/>
    <w:rsid w:val="00E34E6C"/>
    <w:rsid w:val="00E353E2"/>
    <w:rsid w:val="00E36345"/>
    <w:rsid w:val="00E368BD"/>
    <w:rsid w:val="00E36C86"/>
    <w:rsid w:val="00E36CEB"/>
    <w:rsid w:val="00E36D6F"/>
    <w:rsid w:val="00E37387"/>
    <w:rsid w:val="00E37595"/>
    <w:rsid w:val="00E37A28"/>
    <w:rsid w:val="00E40430"/>
    <w:rsid w:val="00E40690"/>
    <w:rsid w:val="00E40AEB"/>
    <w:rsid w:val="00E40B4D"/>
    <w:rsid w:val="00E410AD"/>
    <w:rsid w:val="00E4143A"/>
    <w:rsid w:val="00E424C8"/>
    <w:rsid w:val="00E4251D"/>
    <w:rsid w:val="00E43D00"/>
    <w:rsid w:val="00E443B4"/>
    <w:rsid w:val="00E445E4"/>
    <w:rsid w:val="00E457CB"/>
    <w:rsid w:val="00E45D47"/>
    <w:rsid w:val="00E45D70"/>
    <w:rsid w:val="00E45DE4"/>
    <w:rsid w:val="00E45E63"/>
    <w:rsid w:val="00E462F0"/>
    <w:rsid w:val="00E466F8"/>
    <w:rsid w:val="00E46BBC"/>
    <w:rsid w:val="00E4759C"/>
    <w:rsid w:val="00E50A7B"/>
    <w:rsid w:val="00E50B0B"/>
    <w:rsid w:val="00E510FE"/>
    <w:rsid w:val="00E51129"/>
    <w:rsid w:val="00E516C7"/>
    <w:rsid w:val="00E51E25"/>
    <w:rsid w:val="00E5205B"/>
    <w:rsid w:val="00E521AE"/>
    <w:rsid w:val="00E52212"/>
    <w:rsid w:val="00E52639"/>
    <w:rsid w:val="00E529A3"/>
    <w:rsid w:val="00E52CE7"/>
    <w:rsid w:val="00E5375E"/>
    <w:rsid w:val="00E53A21"/>
    <w:rsid w:val="00E53BCA"/>
    <w:rsid w:val="00E53DE2"/>
    <w:rsid w:val="00E53F02"/>
    <w:rsid w:val="00E54534"/>
    <w:rsid w:val="00E54722"/>
    <w:rsid w:val="00E548C3"/>
    <w:rsid w:val="00E54C5A"/>
    <w:rsid w:val="00E54F27"/>
    <w:rsid w:val="00E55E1C"/>
    <w:rsid w:val="00E55FF1"/>
    <w:rsid w:val="00E56090"/>
    <w:rsid w:val="00E565B9"/>
    <w:rsid w:val="00E56E7B"/>
    <w:rsid w:val="00E5733B"/>
    <w:rsid w:val="00E5756C"/>
    <w:rsid w:val="00E57811"/>
    <w:rsid w:val="00E5798B"/>
    <w:rsid w:val="00E57CD6"/>
    <w:rsid w:val="00E601BE"/>
    <w:rsid w:val="00E60B5F"/>
    <w:rsid w:val="00E613AE"/>
    <w:rsid w:val="00E61429"/>
    <w:rsid w:val="00E61ABB"/>
    <w:rsid w:val="00E61FD7"/>
    <w:rsid w:val="00E620B6"/>
    <w:rsid w:val="00E623E6"/>
    <w:rsid w:val="00E630C0"/>
    <w:rsid w:val="00E63107"/>
    <w:rsid w:val="00E6312C"/>
    <w:rsid w:val="00E634E6"/>
    <w:rsid w:val="00E63DCE"/>
    <w:rsid w:val="00E64304"/>
    <w:rsid w:val="00E6453E"/>
    <w:rsid w:val="00E64700"/>
    <w:rsid w:val="00E64854"/>
    <w:rsid w:val="00E65074"/>
    <w:rsid w:val="00E6526E"/>
    <w:rsid w:val="00E654CD"/>
    <w:rsid w:val="00E65E70"/>
    <w:rsid w:val="00E66087"/>
    <w:rsid w:val="00E66A24"/>
    <w:rsid w:val="00E66D79"/>
    <w:rsid w:val="00E66FF9"/>
    <w:rsid w:val="00E6706F"/>
    <w:rsid w:val="00E67587"/>
    <w:rsid w:val="00E67856"/>
    <w:rsid w:val="00E679C8"/>
    <w:rsid w:val="00E701D9"/>
    <w:rsid w:val="00E70314"/>
    <w:rsid w:val="00E724E7"/>
    <w:rsid w:val="00E72B41"/>
    <w:rsid w:val="00E7336C"/>
    <w:rsid w:val="00E7347B"/>
    <w:rsid w:val="00E73792"/>
    <w:rsid w:val="00E73B62"/>
    <w:rsid w:val="00E73D03"/>
    <w:rsid w:val="00E74040"/>
    <w:rsid w:val="00E7471C"/>
    <w:rsid w:val="00E7498A"/>
    <w:rsid w:val="00E7514E"/>
    <w:rsid w:val="00E7642B"/>
    <w:rsid w:val="00E76537"/>
    <w:rsid w:val="00E76E5D"/>
    <w:rsid w:val="00E76E62"/>
    <w:rsid w:val="00E774EE"/>
    <w:rsid w:val="00E77784"/>
    <w:rsid w:val="00E77937"/>
    <w:rsid w:val="00E77AF5"/>
    <w:rsid w:val="00E818F2"/>
    <w:rsid w:val="00E81925"/>
    <w:rsid w:val="00E823F9"/>
    <w:rsid w:val="00E82AC8"/>
    <w:rsid w:val="00E82C1F"/>
    <w:rsid w:val="00E83671"/>
    <w:rsid w:val="00E8373D"/>
    <w:rsid w:val="00E840EE"/>
    <w:rsid w:val="00E8416F"/>
    <w:rsid w:val="00E84A71"/>
    <w:rsid w:val="00E85170"/>
    <w:rsid w:val="00E8542B"/>
    <w:rsid w:val="00E85915"/>
    <w:rsid w:val="00E86556"/>
    <w:rsid w:val="00E86754"/>
    <w:rsid w:val="00E86D35"/>
    <w:rsid w:val="00E86DC2"/>
    <w:rsid w:val="00E86E32"/>
    <w:rsid w:val="00E86F2E"/>
    <w:rsid w:val="00E8732E"/>
    <w:rsid w:val="00E8744A"/>
    <w:rsid w:val="00E87E9C"/>
    <w:rsid w:val="00E87FCA"/>
    <w:rsid w:val="00E9011F"/>
    <w:rsid w:val="00E906EB"/>
    <w:rsid w:val="00E90A66"/>
    <w:rsid w:val="00E919FB"/>
    <w:rsid w:val="00E9241E"/>
    <w:rsid w:val="00E92460"/>
    <w:rsid w:val="00E92751"/>
    <w:rsid w:val="00E92BE9"/>
    <w:rsid w:val="00E92E62"/>
    <w:rsid w:val="00E93804"/>
    <w:rsid w:val="00E9429D"/>
    <w:rsid w:val="00E94F0F"/>
    <w:rsid w:val="00E95434"/>
    <w:rsid w:val="00E96315"/>
    <w:rsid w:val="00E96467"/>
    <w:rsid w:val="00E966DA"/>
    <w:rsid w:val="00E96948"/>
    <w:rsid w:val="00E96D89"/>
    <w:rsid w:val="00E97132"/>
    <w:rsid w:val="00E9737B"/>
    <w:rsid w:val="00E97790"/>
    <w:rsid w:val="00E97967"/>
    <w:rsid w:val="00E97A3F"/>
    <w:rsid w:val="00E97A7C"/>
    <w:rsid w:val="00E97F0A"/>
    <w:rsid w:val="00EA0100"/>
    <w:rsid w:val="00EA0BCE"/>
    <w:rsid w:val="00EA1155"/>
    <w:rsid w:val="00EA2744"/>
    <w:rsid w:val="00EA37B9"/>
    <w:rsid w:val="00EA37F2"/>
    <w:rsid w:val="00EA39F7"/>
    <w:rsid w:val="00EA3DC2"/>
    <w:rsid w:val="00EA434E"/>
    <w:rsid w:val="00EA4757"/>
    <w:rsid w:val="00EA4FCD"/>
    <w:rsid w:val="00EA5051"/>
    <w:rsid w:val="00EA560B"/>
    <w:rsid w:val="00EA5669"/>
    <w:rsid w:val="00EA56A9"/>
    <w:rsid w:val="00EA5CC6"/>
    <w:rsid w:val="00EA63EF"/>
    <w:rsid w:val="00EA6D1E"/>
    <w:rsid w:val="00EA7420"/>
    <w:rsid w:val="00EB0A89"/>
    <w:rsid w:val="00EB1573"/>
    <w:rsid w:val="00EB1910"/>
    <w:rsid w:val="00EB227B"/>
    <w:rsid w:val="00EB2D83"/>
    <w:rsid w:val="00EB2E97"/>
    <w:rsid w:val="00EB3416"/>
    <w:rsid w:val="00EB48E9"/>
    <w:rsid w:val="00EB4AE1"/>
    <w:rsid w:val="00EB52F4"/>
    <w:rsid w:val="00EB53B9"/>
    <w:rsid w:val="00EB5694"/>
    <w:rsid w:val="00EB5779"/>
    <w:rsid w:val="00EB5D2F"/>
    <w:rsid w:val="00EB66C3"/>
    <w:rsid w:val="00EB67F1"/>
    <w:rsid w:val="00EB72CD"/>
    <w:rsid w:val="00EB749A"/>
    <w:rsid w:val="00EB76B6"/>
    <w:rsid w:val="00EB7D8A"/>
    <w:rsid w:val="00EC05E2"/>
    <w:rsid w:val="00EC08AC"/>
    <w:rsid w:val="00EC09AB"/>
    <w:rsid w:val="00EC0B18"/>
    <w:rsid w:val="00EC0E84"/>
    <w:rsid w:val="00EC16E2"/>
    <w:rsid w:val="00EC1BA3"/>
    <w:rsid w:val="00EC1CE7"/>
    <w:rsid w:val="00EC26F1"/>
    <w:rsid w:val="00EC2989"/>
    <w:rsid w:val="00EC3135"/>
    <w:rsid w:val="00EC3BC1"/>
    <w:rsid w:val="00EC3C94"/>
    <w:rsid w:val="00EC44DF"/>
    <w:rsid w:val="00EC4FB9"/>
    <w:rsid w:val="00EC5393"/>
    <w:rsid w:val="00EC5741"/>
    <w:rsid w:val="00EC5C42"/>
    <w:rsid w:val="00EC5DA3"/>
    <w:rsid w:val="00EC6014"/>
    <w:rsid w:val="00EC6656"/>
    <w:rsid w:val="00EC6B3E"/>
    <w:rsid w:val="00EC73DE"/>
    <w:rsid w:val="00EC74B0"/>
    <w:rsid w:val="00EC7637"/>
    <w:rsid w:val="00EC7CF2"/>
    <w:rsid w:val="00ED046C"/>
    <w:rsid w:val="00ED053A"/>
    <w:rsid w:val="00ED1220"/>
    <w:rsid w:val="00ED15DF"/>
    <w:rsid w:val="00ED1F03"/>
    <w:rsid w:val="00ED2932"/>
    <w:rsid w:val="00ED2D27"/>
    <w:rsid w:val="00ED3173"/>
    <w:rsid w:val="00ED3347"/>
    <w:rsid w:val="00ED3441"/>
    <w:rsid w:val="00ED3860"/>
    <w:rsid w:val="00ED3954"/>
    <w:rsid w:val="00ED40F2"/>
    <w:rsid w:val="00ED43A2"/>
    <w:rsid w:val="00ED4862"/>
    <w:rsid w:val="00ED4967"/>
    <w:rsid w:val="00ED5140"/>
    <w:rsid w:val="00ED538C"/>
    <w:rsid w:val="00ED5771"/>
    <w:rsid w:val="00ED587F"/>
    <w:rsid w:val="00ED5964"/>
    <w:rsid w:val="00ED6147"/>
    <w:rsid w:val="00ED623F"/>
    <w:rsid w:val="00ED6397"/>
    <w:rsid w:val="00ED63A5"/>
    <w:rsid w:val="00ED6828"/>
    <w:rsid w:val="00ED69BA"/>
    <w:rsid w:val="00ED6D1A"/>
    <w:rsid w:val="00ED6D86"/>
    <w:rsid w:val="00ED6FDE"/>
    <w:rsid w:val="00ED7177"/>
    <w:rsid w:val="00ED72E9"/>
    <w:rsid w:val="00ED732E"/>
    <w:rsid w:val="00ED77F0"/>
    <w:rsid w:val="00ED7C60"/>
    <w:rsid w:val="00ED7FBC"/>
    <w:rsid w:val="00EE0253"/>
    <w:rsid w:val="00EE0297"/>
    <w:rsid w:val="00EE0915"/>
    <w:rsid w:val="00EE1258"/>
    <w:rsid w:val="00EE13DA"/>
    <w:rsid w:val="00EE1668"/>
    <w:rsid w:val="00EE1EDB"/>
    <w:rsid w:val="00EE2255"/>
    <w:rsid w:val="00EE24E2"/>
    <w:rsid w:val="00EE366D"/>
    <w:rsid w:val="00EE444A"/>
    <w:rsid w:val="00EE4B63"/>
    <w:rsid w:val="00EE4BA1"/>
    <w:rsid w:val="00EE4CDF"/>
    <w:rsid w:val="00EE5454"/>
    <w:rsid w:val="00EE59B5"/>
    <w:rsid w:val="00EE5FB7"/>
    <w:rsid w:val="00EE6783"/>
    <w:rsid w:val="00EE7B54"/>
    <w:rsid w:val="00EE7C47"/>
    <w:rsid w:val="00EE7C88"/>
    <w:rsid w:val="00EE7C8B"/>
    <w:rsid w:val="00EF0209"/>
    <w:rsid w:val="00EF05C0"/>
    <w:rsid w:val="00EF0EA4"/>
    <w:rsid w:val="00EF1E97"/>
    <w:rsid w:val="00EF1FAB"/>
    <w:rsid w:val="00EF21E6"/>
    <w:rsid w:val="00EF2388"/>
    <w:rsid w:val="00EF2436"/>
    <w:rsid w:val="00EF2547"/>
    <w:rsid w:val="00EF26E2"/>
    <w:rsid w:val="00EF296B"/>
    <w:rsid w:val="00EF2B2B"/>
    <w:rsid w:val="00EF2E1C"/>
    <w:rsid w:val="00EF2FD6"/>
    <w:rsid w:val="00EF326A"/>
    <w:rsid w:val="00EF38B3"/>
    <w:rsid w:val="00EF3ECF"/>
    <w:rsid w:val="00EF427A"/>
    <w:rsid w:val="00EF45DF"/>
    <w:rsid w:val="00EF4701"/>
    <w:rsid w:val="00EF477D"/>
    <w:rsid w:val="00EF4840"/>
    <w:rsid w:val="00EF4952"/>
    <w:rsid w:val="00EF498F"/>
    <w:rsid w:val="00EF4A42"/>
    <w:rsid w:val="00EF510C"/>
    <w:rsid w:val="00EF55C4"/>
    <w:rsid w:val="00EF57BC"/>
    <w:rsid w:val="00EF6784"/>
    <w:rsid w:val="00EF688A"/>
    <w:rsid w:val="00EF6A03"/>
    <w:rsid w:val="00EF6DC2"/>
    <w:rsid w:val="00EF71C9"/>
    <w:rsid w:val="00EF71F7"/>
    <w:rsid w:val="00EF7506"/>
    <w:rsid w:val="00EF7BF4"/>
    <w:rsid w:val="00F0012F"/>
    <w:rsid w:val="00F0030F"/>
    <w:rsid w:val="00F00674"/>
    <w:rsid w:val="00F01657"/>
    <w:rsid w:val="00F01E67"/>
    <w:rsid w:val="00F02680"/>
    <w:rsid w:val="00F02744"/>
    <w:rsid w:val="00F02BFD"/>
    <w:rsid w:val="00F02D25"/>
    <w:rsid w:val="00F03C3D"/>
    <w:rsid w:val="00F0435D"/>
    <w:rsid w:val="00F04580"/>
    <w:rsid w:val="00F04888"/>
    <w:rsid w:val="00F04A37"/>
    <w:rsid w:val="00F04C44"/>
    <w:rsid w:val="00F04ECA"/>
    <w:rsid w:val="00F04F8B"/>
    <w:rsid w:val="00F05724"/>
    <w:rsid w:val="00F06E19"/>
    <w:rsid w:val="00F06E9C"/>
    <w:rsid w:val="00F06F84"/>
    <w:rsid w:val="00F07616"/>
    <w:rsid w:val="00F076E7"/>
    <w:rsid w:val="00F07AA1"/>
    <w:rsid w:val="00F07CCE"/>
    <w:rsid w:val="00F105AE"/>
    <w:rsid w:val="00F10618"/>
    <w:rsid w:val="00F1108B"/>
    <w:rsid w:val="00F114FA"/>
    <w:rsid w:val="00F11768"/>
    <w:rsid w:val="00F11951"/>
    <w:rsid w:val="00F11E77"/>
    <w:rsid w:val="00F11EE5"/>
    <w:rsid w:val="00F12256"/>
    <w:rsid w:val="00F12262"/>
    <w:rsid w:val="00F12564"/>
    <w:rsid w:val="00F12AF8"/>
    <w:rsid w:val="00F12C52"/>
    <w:rsid w:val="00F13E62"/>
    <w:rsid w:val="00F148B7"/>
    <w:rsid w:val="00F14943"/>
    <w:rsid w:val="00F14EA9"/>
    <w:rsid w:val="00F15505"/>
    <w:rsid w:val="00F15BFF"/>
    <w:rsid w:val="00F168A8"/>
    <w:rsid w:val="00F16D7C"/>
    <w:rsid w:val="00F16E4F"/>
    <w:rsid w:val="00F17244"/>
    <w:rsid w:val="00F17280"/>
    <w:rsid w:val="00F17500"/>
    <w:rsid w:val="00F203EF"/>
    <w:rsid w:val="00F213A0"/>
    <w:rsid w:val="00F21C94"/>
    <w:rsid w:val="00F21D54"/>
    <w:rsid w:val="00F21D6D"/>
    <w:rsid w:val="00F21EF4"/>
    <w:rsid w:val="00F23113"/>
    <w:rsid w:val="00F23255"/>
    <w:rsid w:val="00F23393"/>
    <w:rsid w:val="00F23759"/>
    <w:rsid w:val="00F24644"/>
    <w:rsid w:val="00F24EF4"/>
    <w:rsid w:val="00F25947"/>
    <w:rsid w:val="00F262D6"/>
    <w:rsid w:val="00F26F33"/>
    <w:rsid w:val="00F2748A"/>
    <w:rsid w:val="00F2798C"/>
    <w:rsid w:val="00F27A2B"/>
    <w:rsid w:val="00F300A8"/>
    <w:rsid w:val="00F302C6"/>
    <w:rsid w:val="00F30400"/>
    <w:rsid w:val="00F3079E"/>
    <w:rsid w:val="00F31BEF"/>
    <w:rsid w:val="00F33262"/>
    <w:rsid w:val="00F33968"/>
    <w:rsid w:val="00F3399B"/>
    <w:rsid w:val="00F33F4B"/>
    <w:rsid w:val="00F346ED"/>
    <w:rsid w:val="00F34945"/>
    <w:rsid w:val="00F34E1E"/>
    <w:rsid w:val="00F3570C"/>
    <w:rsid w:val="00F363A4"/>
    <w:rsid w:val="00F36765"/>
    <w:rsid w:val="00F368FF"/>
    <w:rsid w:val="00F36A09"/>
    <w:rsid w:val="00F37068"/>
    <w:rsid w:val="00F378A2"/>
    <w:rsid w:val="00F37D3C"/>
    <w:rsid w:val="00F37DDE"/>
    <w:rsid w:val="00F37E5F"/>
    <w:rsid w:val="00F37F3F"/>
    <w:rsid w:val="00F40992"/>
    <w:rsid w:val="00F40F5D"/>
    <w:rsid w:val="00F40F72"/>
    <w:rsid w:val="00F40FD8"/>
    <w:rsid w:val="00F41596"/>
    <w:rsid w:val="00F41C33"/>
    <w:rsid w:val="00F41D8B"/>
    <w:rsid w:val="00F42121"/>
    <w:rsid w:val="00F424B3"/>
    <w:rsid w:val="00F428B1"/>
    <w:rsid w:val="00F428B4"/>
    <w:rsid w:val="00F42B8C"/>
    <w:rsid w:val="00F42F69"/>
    <w:rsid w:val="00F4345D"/>
    <w:rsid w:val="00F4387B"/>
    <w:rsid w:val="00F448EE"/>
    <w:rsid w:val="00F4505A"/>
    <w:rsid w:val="00F45069"/>
    <w:rsid w:val="00F451D4"/>
    <w:rsid w:val="00F45921"/>
    <w:rsid w:val="00F45B14"/>
    <w:rsid w:val="00F45B91"/>
    <w:rsid w:val="00F45E78"/>
    <w:rsid w:val="00F46639"/>
    <w:rsid w:val="00F46DBB"/>
    <w:rsid w:val="00F46EC3"/>
    <w:rsid w:val="00F476FD"/>
    <w:rsid w:val="00F47716"/>
    <w:rsid w:val="00F50183"/>
    <w:rsid w:val="00F50D92"/>
    <w:rsid w:val="00F5160A"/>
    <w:rsid w:val="00F51765"/>
    <w:rsid w:val="00F51A51"/>
    <w:rsid w:val="00F51BC6"/>
    <w:rsid w:val="00F51CB4"/>
    <w:rsid w:val="00F52236"/>
    <w:rsid w:val="00F52324"/>
    <w:rsid w:val="00F52950"/>
    <w:rsid w:val="00F52C9D"/>
    <w:rsid w:val="00F533F1"/>
    <w:rsid w:val="00F53A40"/>
    <w:rsid w:val="00F5417E"/>
    <w:rsid w:val="00F55679"/>
    <w:rsid w:val="00F56091"/>
    <w:rsid w:val="00F561E3"/>
    <w:rsid w:val="00F565E6"/>
    <w:rsid w:val="00F56AFA"/>
    <w:rsid w:val="00F56FEA"/>
    <w:rsid w:val="00F56FFA"/>
    <w:rsid w:val="00F575E2"/>
    <w:rsid w:val="00F579FF"/>
    <w:rsid w:val="00F600E0"/>
    <w:rsid w:val="00F605EC"/>
    <w:rsid w:val="00F60A75"/>
    <w:rsid w:val="00F60F60"/>
    <w:rsid w:val="00F612CE"/>
    <w:rsid w:val="00F6133C"/>
    <w:rsid w:val="00F623D7"/>
    <w:rsid w:val="00F624A7"/>
    <w:rsid w:val="00F62AB6"/>
    <w:rsid w:val="00F63CAC"/>
    <w:rsid w:val="00F64933"/>
    <w:rsid w:val="00F64DBA"/>
    <w:rsid w:val="00F65A3C"/>
    <w:rsid w:val="00F65CF6"/>
    <w:rsid w:val="00F65D0E"/>
    <w:rsid w:val="00F66282"/>
    <w:rsid w:val="00F6639E"/>
    <w:rsid w:val="00F670E9"/>
    <w:rsid w:val="00F6792A"/>
    <w:rsid w:val="00F67AF1"/>
    <w:rsid w:val="00F67D8B"/>
    <w:rsid w:val="00F701C5"/>
    <w:rsid w:val="00F70961"/>
    <w:rsid w:val="00F70A8F"/>
    <w:rsid w:val="00F70E36"/>
    <w:rsid w:val="00F71397"/>
    <w:rsid w:val="00F717DE"/>
    <w:rsid w:val="00F72283"/>
    <w:rsid w:val="00F72389"/>
    <w:rsid w:val="00F72516"/>
    <w:rsid w:val="00F72FB4"/>
    <w:rsid w:val="00F735A5"/>
    <w:rsid w:val="00F735E5"/>
    <w:rsid w:val="00F73720"/>
    <w:rsid w:val="00F738D1"/>
    <w:rsid w:val="00F73E80"/>
    <w:rsid w:val="00F7469C"/>
    <w:rsid w:val="00F7492E"/>
    <w:rsid w:val="00F74945"/>
    <w:rsid w:val="00F749A3"/>
    <w:rsid w:val="00F74AE8"/>
    <w:rsid w:val="00F76C11"/>
    <w:rsid w:val="00F77021"/>
    <w:rsid w:val="00F7724A"/>
    <w:rsid w:val="00F77E61"/>
    <w:rsid w:val="00F77E9A"/>
    <w:rsid w:val="00F80221"/>
    <w:rsid w:val="00F8037F"/>
    <w:rsid w:val="00F80C81"/>
    <w:rsid w:val="00F81229"/>
    <w:rsid w:val="00F81265"/>
    <w:rsid w:val="00F815AC"/>
    <w:rsid w:val="00F8187D"/>
    <w:rsid w:val="00F82784"/>
    <w:rsid w:val="00F82912"/>
    <w:rsid w:val="00F83A43"/>
    <w:rsid w:val="00F83B33"/>
    <w:rsid w:val="00F83CAE"/>
    <w:rsid w:val="00F840BF"/>
    <w:rsid w:val="00F8427A"/>
    <w:rsid w:val="00F843DF"/>
    <w:rsid w:val="00F84899"/>
    <w:rsid w:val="00F85585"/>
    <w:rsid w:val="00F8570C"/>
    <w:rsid w:val="00F859F0"/>
    <w:rsid w:val="00F85CC1"/>
    <w:rsid w:val="00F85F51"/>
    <w:rsid w:val="00F8661E"/>
    <w:rsid w:val="00F86B5D"/>
    <w:rsid w:val="00F86BC0"/>
    <w:rsid w:val="00F875E1"/>
    <w:rsid w:val="00F87634"/>
    <w:rsid w:val="00F87C13"/>
    <w:rsid w:val="00F87C5A"/>
    <w:rsid w:val="00F87E29"/>
    <w:rsid w:val="00F87F18"/>
    <w:rsid w:val="00F87F68"/>
    <w:rsid w:val="00F90178"/>
    <w:rsid w:val="00F90C4D"/>
    <w:rsid w:val="00F9167D"/>
    <w:rsid w:val="00F917AC"/>
    <w:rsid w:val="00F91CB2"/>
    <w:rsid w:val="00F91E38"/>
    <w:rsid w:val="00F9232A"/>
    <w:rsid w:val="00F927E8"/>
    <w:rsid w:val="00F9289C"/>
    <w:rsid w:val="00F9374A"/>
    <w:rsid w:val="00F9375C"/>
    <w:rsid w:val="00F93973"/>
    <w:rsid w:val="00F93DBC"/>
    <w:rsid w:val="00F93E41"/>
    <w:rsid w:val="00F93F18"/>
    <w:rsid w:val="00F94046"/>
    <w:rsid w:val="00F94206"/>
    <w:rsid w:val="00F94644"/>
    <w:rsid w:val="00F952E4"/>
    <w:rsid w:val="00F9537B"/>
    <w:rsid w:val="00F9576A"/>
    <w:rsid w:val="00F963FC"/>
    <w:rsid w:val="00F97CF1"/>
    <w:rsid w:val="00F97DC9"/>
    <w:rsid w:val="00FA015F"/>
    <w:rsid w:val="00FA0160"/>
    <w:rsid w:val="00FA0FAC"/>
    <w:rsid w:val="00FA10F7"/>
    <w:rsid w:val="00FA1DA2"/>
    <w:rsid w:val="00FA1E83"/>
    <w:rsid w:val="00FA3414"/>
    <w:rsid w:val="00FA347A"/>
    <w:rsid w:val="00FA3CDE"/>
    <w:rsid w:val="00FA40FC"/>
    <w:rsid w:val="00FA49B7"/>
    <w:rsid w:val="00FA5043"/>
    <w:rsid w:val="00FA6416"/>
    <w:rsid w:val="00FA6D7A"/>
    <w:rsid w:val="00FA6F8B"/>
    <w:rsid w:val="00FA727C"/>
    <w:rsid w:val="00FA738C"/>
    <w:rsid w:val="00FA7A30"/>
    <w:rsid w:val="00FA7C5F"/>
    <w:rsid w:val="00FA7C8E"/>
    <w:rsid w:val="00FA7C9A"/>
    <w:rsid w:val="00FB033F"/>
    <w:rsid w:val="00FB04B3"/>
    <w:rsid w:val="00FB12E3"/>
    <w:rsid w:val="00FB1570"/>
    <w:rsid w:val="00FB193B"/>
    <w:rsid w:val="00FB1FBC"/>
    <w:rsid w:val="00FB27B7"/>
    <w:rsid w:val="00FB28F1"/>
    <w:rsid w:val="00FB35E3"/>
    <w:rsid w:val="00FB4C98"/>
    <w:rsid w:val="00FB4CE3"/>
    <w:rsid w:val="00FB5634"/>
    <w:rsid w:val="00FB583C"/>
    <w:rsid w:val="00FB5B54"/>
    <w:rsid w:val="00FB630E"/>
    <w:rsid w:val="00FB648A"/>
    <w:rsid w:val="00FB64BD"/>
    <w:rsid w:val="00FB6738"/>
    <w:rsid w:val="00FB691B"/>
    <w:rsid w:val="00FB6BE6"/>
    <w:rsid w:val="00FB6D4B"/>
    <w:rsid w:val="00FB731C"/>
    <w:rsid w:val="00FB7628"/>
    <w:rsid w:val="00FB7D3A"/>
    <w:rsid w:val="00FB7D3D"/>
    <w:rsid w:val="00FC038F"/>
    <w:rsid w:val="00FC05A0"/>
    <w:rsid w:val="00FC07E8"/>
    <w:rsid w:val="00FC0811"/>
    <w:rsid w:val="00FC1196"/>
    <w:rsid w:val="00FC15EB"/>
    <w:rsid w:val="00FC162C"/>
    <w:rsid w:val="00FC18DC"/>
    <w:rsid w:val="00FC1A35"/>
    <w:rsid w:val="00FC1ABF"/>
    <w:rsid w:val="00FC2466"/>
    <w:rsid w:val="00FC2477"/>
    <w:rsid w:val="00FC28D0"/>
    <w:rsid w:val="00FC2AC4"/>
    <w:rsid w:val="00FC2CAC"/>
    <w:rsid w:val="00FC2F73"/>
    <w:rsid w:val="00FC3A9B"/>
    <w:rsid w:val="00FC3AE1"/>
    <w:rsid w:val="00FC3DFC"/>
    <w:rsid w:val="00FC3EF4"/>
    <w:rsid w:val="00FC431B"/>
    <w:rsid w:val="00FC434C"/>
    <w:rsid w:val="00FC472C"/>
    <w:rsid w:val="00FC4F59"/>
    <w:rsid w:val="00FC4FDF"/>
    <w:rsid w:val="00FC516E"/>
    <w:rsid w:val="00FC5CF4"/>
    <w:rsid w:val="00FC5D64"/>
    <w:rsid w:val="00FC6A39"/>
    <w:rsid w:val="00FC7176"/>
    <w:rsid w:val="00FC76A9"/>
    <w:rsid w:val="00FC79AB"/>
    <w:rsid w:val="00FC7ADA"/>
    <w:rsid w:val="00FC7BE7"/>
    <w:rsid w:val="00FC7D25"/>
    <w:rsid w:val="00FC7DAC"/>
    <w:rsid w:val="00FD005D"/>
    <w:rsid w:val="00FD023A"/>
    <w:rsid w:val="00FD0360"/>
    <w:rsid w:val="00FD04AE"/>
    <w:rsid w:val="00FD0DFA"/>
    <w:rsid w:val="00FD128D"/>
    <w:rsid w:val="00FD1890"/>
    <w:rsid w:val="00FD1994"/>
    <w:rsid w:val="00FD1E2E"/>
    <w:rsid w:val="00FD2389"/>
    <w:rsid w:val="00FD3508"/>
    <w:rsid w:val="00FD393C"/>
    <w:rsid w:val="00FD3AFF"/>
    <w:rsid w:val="00FD43BB"/>
    <w:rsid w:val="00FD48CD"/>
    <w:rsid w:val="00FD4AF3"/>
    <w:rsid w:val="00FD5C35"/>
    <w:rsid w:val="00FD6609"/>
    <w:rsid w:val="00FD6B36"/>
    <w:rsid w:val="00FD6CEC"/>
    <w:rsid w:val="00FD70A8"/>
    <w:rsid w:val="00FD798D"/>
    <w:rsid w:val="00FD7D3C"/>
    <w:rsid w:val="00FE141E"/>
    <w:rsid w:val="00FE144E"/>
    <w:rsid w:val="00FE1768"/>
    <w:rsid w:val="00FE24F4"/>
    <w:rsid w:val="00FE2560"/>
    <w:rsid w:val="00FE29AD"/>
    <w:rsid w:val="00FE35D0"/>
    <w:rsid w:val="00FE42ED"/>
    <w:rsid w:val="00FE4E06"/>
    <w:rsid w:val="00FE55A7"/>
    <w:rsid w:val="00FE5C5A"/>
    <w:rsid w:val="00FE6432"/>
    <w:rsid w:val="00FE655D"/>
    <w:rsid w:val="00FE66E4"/>
    <w:rsid w:val="00FE72A0"/>
    <w:rsid w:val="00FE76F7"/>
    <w:rsid w:val="00FE76F9"/>
    <w:rsid w:val="00FF0050"/>
    <w:rsid w:val="00FF0075"/>
    <w:rsid w:val="00FF045F"/>
    <w:rsid w:val="00FF0FA2"/>
    <w:rsid w:val="00FF13D4"/>
    <w:rsid w:val="00FF1D1B"/>
    <w:rsid w:val="00FF2053"/>
    <w:rsid w:val="00FF38ED"/>
    <w:rsid w:val="00FF3B37"/>
    <w:rsid w:val="00FF3C0B"/>
    <w:rsid w:val="00FF3CC7"/>
    <w:rsid w:val="00FF3D6F"/>
    <w:rsid w:val="00FF4489"/>
    <w:rsid w:val="00FF47A2"/>
    <w:rsid w:val="00FF4BD8"/>
    <w:rsid w:val="00FF4D11"/>
    <w:rsid w:val="00FF5214"/>
    <w:rsid w:val="00FF596E"/>
    <w:rsid w:val="00FF5B59"/>
    <w:rsid w:val="00FF5BFD"/>
    <w:rsid w:val="00FF6095"/>
    <w:rsid w:val="00FF62FE"/>
    <w:rsid w:val="00FF6553"/>
    <w:rsid w:val="00FF7086"/>
    <w:rsid w:val="00FF7A39"/>
    <w:rsid w:val="0B9FEC3B"/>
    <w:rsid w:val="6163D46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90AF5"/>
    <w:pPr>
      <w:spacing w:after="0" w:line="240" w:lineRule="auto"/>
    </w:pPr>
    <w:rPr>
      <w:rFonts w:ascii="Times New Roman" w:hAnsi="Times New Roman" w:eastAsia="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hAnsi="Arial" w:eastAsia="Arial" w:cs="Arial"/>
      <w:b/>
      <w:bCs/>
      <w:sz w:val="22"/>
      <w:szCs w:val="22"/>
      <w:lang w:val="es-ES" w:eastAsia="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hAnsiTheme="minorHAnsi" w:eastAsiaTheme="minorHAnsi" w:cstheme="minorBidi"/>
      <w:szCs w:val="22"/>
      <w:lang w:val="es-MX" w:eastAsia="en-US"/>
    </w:r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eastAsiaTheme="minorHAnsi"/>
      <w:sz w:val="16"/>
      <w:szCs w:val="16"/>
      <w:lang w:val="es-MX" w:eastAsia="en-US"/>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hAnsiTheme="minorHAnsi" w:eastAsiaTheme="minorHAnsi" w:cstheme="minorBidi"/>
      <w:szCs w:val="22"/>
      <w:lang w:val="es-MX" w:eastAsia="en-US"/>
    </w:r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hAnsiTheme="minorHAnsi" w:eastAsia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hAnsiTheme="minorHAnsi" w:eastAsiaTheme="minorHAnsi" w:cstheme="minorBidi"/>
      <w:sz w:val="20"/>
      <w:szCs w:val="20"/>
      <w:lang w:val="es-MX" w:eastAsia="en-US"/>
    </w:rPr>
  </w:style>
  <w:style w:type="character" w:styleId="TextocomentarioCar" w:customStyle="1">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hAnsiTheme="minorHAnsi" w:eastAsiaTheme="minorHAnsi" w:cstheme="minorBidi"/>
      <w:sz w:val="20"/>
      <w:szCs w:val="20"/>
      <w:lang w:val="es-MX" w:eastAsia="en-US"/>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hAnsiTheme="minorHAnsi" w:eastAsiaTheme="minorEastAsia" w:cstheme="minorBidi"/>
      <w:sz w:val="22"/>
      <w:szCs w:val="22"/>
      <w:lang w:eastAsia="es-CO"/>
    </w:rPr>
  </w:style>
  <w:style w:type="character" w:styleId="TextoindependienteCar" w:customStyle="1">
    <w:name w:val="Texto independiente Car"/>
    <w:basedOn w:val="Fuentedeprrafopredeter"/>
    <w:link w:val="Textoindependiente"/>
    <w:uiPriority w:val="99"/>
    <w:rsid w:val="00F1108B"/>
    <w:rPr>
      <w:rFonts w:eastAsiaTheme="minorEastAsia"/>
      <w:lang w:eastAsia="es-CO"/>
    </w:rPr>
  </w:style>
  <w:style w:type="character" w:styleId="Mencinsinresolver1" w:customStyle="1">
    <w:name w:val="Mención sin resolver1"/>
    <w:basedOn w:val="Fuentedeprrafopredeter"/>
    <w:uiPriority w:val="99"/>
    <w:semiHidden/>
    <w:unhideWhenUsed/>
    <w:rsid w:val="00247712"/>
    <w:rPr>
      <w:color w:val="605E5C"/>
      <w:shd w:val="clear" w:color="auto" w:fill="E1DFDD"/>
    </w:rPr>
  </w:style>
  <w:style w:type="character" w:styleId="Mencinsinresolver2" w:customStyle="1">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styleId="Default" w:customStyle="1">
    <w:name w:val="Default"/>
    <w:rsid w:val="008919CF"/>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DD5B04"/>
    <w:pPr>
      <w:spacing w:before="100" w:beforeAutospacing="1" w:after="100" w:afterAutospacing="1"/>
    </w:pPr>
    <w:rPr>
      <w:lang w:eastAsia="es-CO"/>
    </w:rPr>
  </w:style>
  <w:style w:type="character" w:styleId="textrun" w:customStyle="1">
    <w:name w:val="textrun"/>
    <w:basedOn w:val="Fuentedeprrafopredeter"/>
    <w:rsid w:val="00DD5B04"/>
  </w:style>
  <w:style w:type="character" w:styleId="normaltextrun" w:customStyle="1">
    <w:name w:val="normaltextrun"/>
    <w:basedOn w:val="Fuentedeprrafopredeter"/>
    <w:rsid w:val="00DD5B04"/>
  </w:style>
  <w:style w:type="character" w:styleId="eop" w:customStyle="1">
    <w:name w:val="eop"/>
    <w:basedOn w:val="Fuentedeprrafopredeter"/>
    <w:rsid w:val="00DD5B04"/>
  </w:style>
  <w:style w:type="character" w:styleId="spellingerror" w:customStyle="1">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styleId="Ttulo1Car" w:customStyle="1">
    <w:name w:val="Título 1 Car"/>
    <w:basedOn w:val="Fuentedeprrafopredeter"/>
    <w:link w:val="Ttulo1"/>
    <w:uiPriority w:val="1"/>
    <w:rsid w:val="006D712D"/>
    <w:rPr>
      <w:rFonts w:ascii="Arial" w:hAnsi="Arial" w:eastAsia="Arial" w:cs="Arial"/>
      <w:b/>
      <w:bCs/>
      <w:lang w:val="es-ES"/>
    </w:rPr>
  </w:style>
  <w:style w:type="paragraph" w:styleId="Appelnotedebasde" w:customStyle="1">
    <w:name w:val="Appel note de bas de..."/>
    <w:basedOn w:val="Normal"/>
    <w:link w:val="Refdenotaalpie"/>
    <w:uiPriority w:val="99"/>
    <w:rsid w:val="00477C5F"/>
    <w:pPr>
      <w:spacing w:after="160" w:line="240" w:lineRule="exact"/>
    </w:pPr>
    <w:rPr>
      <w:rFonts w:asciiTheme="minorHAnsi" w:hAnsiTheme="minorHAnsi" w:eastAsia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hAnsiTheme="minorHAnsi" w:eastAsiaTheme="minorHAnsi" w:cstheme="minorBidi"/>
      <w:szCs w:val="22"/>
      <w:lang w:val="es-MX" w:eastAsia="en-US"/>
    </w:rPr>
  </w:style>
  <w:style w:type="character" w:styleId="SangradetextonormalCar" w:customStyle="1">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styleId="NormalWebCar" w:customStyle="1">
    <w:name w:val="Normal (Web) Car"/>
    <w:link w:val="NormalWeb"/>
    <w:uiPriority w:val="99"/>
    <w:rsid w:val="00F3570C"/>
    <w:rPr>
      <w:rFonts w:ascii="Times New Roman" w:hAnsi="Times New Roman" w:eastAsia="Times New Roman" w:cs="Times New Roman"/>
      <w:sz w:val="24"/>
      <w:szCs w:val="24"/>
      <w:lang w:eastAsia="es-CO"/>
    </w:rPr>
  </w:style>
  <w:style w:type="character" w:styleId="baj" w:customStyle="1">
    <w:name w:val="b_aj"/>
    <w:basedOn w:val="Fuentedeprrafopredeter"/>
    <w:rsid w:val="00470D73"/>
  </w:style>
  <w:style w:type="paragraph" w:styleId="Cuadrculamedia1-nfasis21" w:customStyle="1">
    <w:name w:val="Cuadrícula media 1 - Énfasis 21"/>
    <w:basedOn w:val="Normal"/>
    <w:uiPriority w:val="34"/>
    <w:qFormat/>
    <w:rsid w:val="003F155A"/>
    <w:pPr>
      <w:spacing w:after="160" w:line="259" w:lineRule="auto"/>
      <w:ind w:left="720"/>
      <w:contextualSpacing/>
    </w:pPr>
    <w:rPr>
      <w:rFonts w:ascii="Calibri" w:hAnsi="Calibri" w:eastAsia="Calibri"/>
      <w:sz w:val="22"/>
      <w:szCs w:val="22"/>
      <w:lang w:eastAsia="en-US"/>
    </w:rPr>
  </w:style>
  <w:style w:type="paragraph" w:styleId="Normal11pt" w:customStyle="1">
    <w:name w:val="Normal + 11 pt"/>
    <w:aliases w:val="Negro,Justificado,Izquierda:  -0,95 cm,Derecha:  0,04 cm"/>
    <w:basedOn w:val="Normal"/>
    <w:uiPriority w:val="99"/>
    <w:rsid w:val="00937F58"/>
    <w:pPr>
      <w:ind w:left="-540"/>
      <w:jc w:val="both"/>
    </w:pPr>
    <w:rPr>
      <w:rFonts w:ascii="Arial" w:hAnsi="Arial" w:cs="Arial"/>
      <w:color w:val="000000"/>
      <w:sz w:val="22"/>
      <w:szCs w:val="22"/>
      <w:lang w:val="es-ES_tradnl" w:eastAsia="es-ES"/>
    </w:rPr>
  </w:style>
  <w:style w:type="numbering" w:styleId="111111">
    <w:name w:val="Outline List 2"/>
    <w:basedOn w:val="Sinlista"/>
    <w:uiPriority w:val="99"/>
    <w:semiHidden/>
    <w:unhideWhenUsed/>
    <w:rsid w:val="00E17AFA"/>
    <w:pPr>
      <w:numPr>
        <w:numId w:val="29"/>
      </w:numPr>
    </w:pPr>
  </w:style>
  <w:style w:type="paragraph" w:styleId="HTMLconformatoprevio">
    <w:name w:val="HTML Preformatted"/>
    <w:basedOn w:val="Normal"/>
    <w:link w:val="HTMLconformatoprevioCar"/>
    <w:uiPriority w:val="99"/>
    <w:semiHidden/>
    <w:unhideWhenUsed/>
    <w:rsid w:val="006F6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conformatoprevioCar" w:customStyle="1">
    <w:name w:val="HTML con formato previo Car"/>
    <w:basedOn w:val="Fuentedeprrafopredeter"/>
    <w:link w:val="HTMLconformatoprevio"/>
    <w:uiPriority w:val="99"/>
    <w:semiHidden/>
    <w:rsid w:val="006F64B5"/>
    <w:rPr>
      <w:rFonts w:ascii="Courier New" w:hAnsi="Courier New" w:eastAsia="Times New Roman" w:cs="Courier New"/>
      <w:sz w:val="20"/>
      <w:szCs w:val="20"/>
      <w:lang w:eastAsia="es-ES_tradnl"/>
    </w:rPr>
  </w:style>
  <w:style w:type="character" w:styleId="Refdenotaalfinal">
    <w:name w:val="endnote reference"/>
    <w:basedOn w:val="Fuentedeprrafopredeter"/>
    <w:uiPriority w:val="99"/>
    <w:semiHidden/>
    <w:unhideWhenUsed/>
    <w:rsid w:val="004912B3"/>
    <w:rPr>
      <w:vertAlign w:val="superscript"/>
    </w:rPr>
  </w:style>
  <w:style w:type="paragraph" w:styleId="Revisin">
    <w:name w:val="Revision"/>
    <w:hidden/>
    <w:uiPriority w:val="99"/>
    <w:semiHidden/>
    <w:rsid w:val="006D165A"/>
    <w:pPr>
      <w:spacing w:after="0" w:line="240" w:lineRule="auto"/>
    </w:pPr>
    <w:rPr>
      <w:rFonts w:ascii="Times New Roman" w:hAnsi="Times New Roman" w:eastAsia="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9160">
      <w:bodyDiv w:val="1"/>
      <w:marLeft w:val="0"/>
      <w:marRight w:val="0"/>
      <w:marTop w:val="0"/>
      <w:marBottom w:val="0"/>
      <w:divBdr>
        <w:top w:val="none" w:sz="0" w:space="0" w:color="auto"/>
        <w:left w:val="none" w:sz="0" w:space="0" w:color="auto"/>
        <w:bottom w:val="none" w:sz="0" w:space="0" w:color="auto"/>
        <w:right w:val="none" w:sz="0" w:space="0" w:color="auto"/>
      </w:divBdr>
    </w:div>
    <w:div w:id="58673589">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0005835">
      <w:bodyDiv w:val="1"/>
      <w:marLeft w:val="0"/>
      <w:marRight w:val="0"/>
      <w:marTop w:val="0"/>
      <w:marBottom w:val="0"/>
      <w:divBdr>
        <w:top w:val="none" w:sz="0" w:space="0" w:color="auto"/>
        <w:left w:val="none" w:sz="0" w:space="0" w:color="auto"/>
        <w:bottom w:val="none" w:sz="0" w:space="0" w:color="auto"/>
        <w:right w:val="none" w:sz="0" w:space="0" w:color="auto"/>
      </w:divBdr>
      <w:divsChild>
        <w:div w:id="763763083">
          <w:marLeft w:val="0"/>
          <w:marRight w:val="0"/>
          <w:marTop w:val="0"/>
          <w:marBottom w:val="0"/>
          <w:divBdr>
            <w:top w:val="none" w:sz="0" w:space="0" w:color="auto"/>
            <w:left w:val="none" w:sz="0" w:space="0" w:color="auto"/>
            <w:bottom w:val="none" w:sz="0" w:space="0" w:color="auto"/>
            <w:right w:val="none" w:sz="0" w:space="0" w:color="auto"/>
          </w:divBdr>
          <w:divsChild>
            <w:div w:id="1275402606">
              <w:marLeft w:val="0"/>
              <w:marRight w:val="0"/>
              <w:marTop w:val="0"/>
              <w:marBottom w:val="0"/>
              <w:divBdr>
                <w:top w:val="none" w:sz="0" w:space="0" w:color="auto"/>
                <w:left w:val="none" w:sz="0" w:space="0" w:color="auto"/>
                <w:bottom w:val="none" w:sz="0" w:space="0" w:color="auto"/>
                <w:right w:val="none" w:sz="0" w:space="0" w:color="auto"/>
              </w:divBdr>
              <w:divsChild>
                <w:div w:id="1182431883">
                  <w:marLeft w:val="0"/>
                  <w:marRight w:val="0"/>
                  <w:marTop w:val="0"/>
                  <w:marBottom w:val="0"/>
                  <w:divBdr>
                    <w:top w:val="none" w:sz="0" w:space="0" w:color="auto"/>
                    <w:left w:val="none" w:sz="0" w:space="0" w:color="auto"/>
                    <w:bottom w:val="none" w:sz="0" w:space="0" w:color="auto"/>
                    <w:right w:val="none" w:sz="0" w:space="0" w:color="auto"/>
                  </w:divBdr>
                  <w:divsChild>
                    <w:div w:id="11096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4789">
      <w:bodyDiv w:val="1"/>
      <w:marLeft w:val="0"/>
      <w:marRight w:val="0"/>
      <w:marTop w:val="0"/>
      <w:marBottom w:val="0"/>
      <w:divBdr>
        <w:top w:val="none" w:sz="0" w:space="0" w:color="auto"/>
        <w:left w:val="none" w:sz="0" w:space="0" w:color="auto"/>
        <w:bottom w:val="none" w:sz="0" w:space="0" w:color="auto"/>
        <w:right w:val="none" w:sz="0" w:space="0" w:color="auto"/>
      </w:divBdr>
    </w:div>
    <w:div w:id="93325160">
      <w:bodyDiv w:val="1"/>
      <w:marLeft w:val="0"/>
      <w:marRight w:val="0"/>
      <w:marTop w:val="0"/>
      <w:marBottom w:val="0"/>
      <w:divBdr>
        <w:top w:val="none" w:sz="0" w:space="0" w:color="auto"/>
        <w:left w:val="none" w:sz="0" w:space="0" w:color="auto"/>
        <w:bottom w:val="none" w:sz="0" w:space="0" w:color="auto"/>
        <w:right w:val="none" w:sz="0" w:space="0" w:color="auto"/>
      </w:divBdr>
      <w:divsChild>
        <w:div w:id="640772504">
          <w:marLeft w:val="0"/>
          <w:marRight w:val="0"/>
          <w:marTop w:val="0"/>
          <w:marBottom w:val="0"/>
          <w:divBdr>
            <w:top w:val="none" w:sz="0" w:space="0" w:color="auto"/>
            <w:left w:val="none" w:sz="0" w:space="0" w:color="auto"/>
            <w:bottom w:val="none" w:sz="0" w:space="0" w:color="auto"/>
            <w:right w:val="none" w:sz="0" w:space="0" w:color="auto"/>
          </w:divBdr>
          <w:divsChild>
            <w:div w:id="1065565699">
              <w:marLeft w:val="0"/>
              <w:marRight w:val="0"/>
              <w:marTop w:val="0"/>
              <w:marBottom w:val="0"/>
              <w:divBdr>
                <w:top w:val="none" w:sz="0" w:space="0" w:color="auto"/>
                <w:left w:val="none" w:sz="0" w:space="0" w:color="auto"/>
                <w:bottom w:val="none" w:sz="0" w:space="0" w:color="auto"/>
                <w:right w:val="none" w:sz="0" w:space="0" w:color="auto"/>
              </w:divBdr>
              <w:divsChild>
                <w:div w:id="156109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4384">
      <w:bodyDiv w:val="1"/>
      <w:marLeft w:val="0"/>
      <w:marRight w:val="0"/>
      <w:marTop w:val="0"/>
      <w:marBottom w:val="0"/>
      <w:divBdr>
        <w:top w:val="none" w:sz="0" w:space="0" w:color="auto"/>
        <w:left w:val="none" w:sz="0" w:space="0" w:color="auto"/>
        <w:bottom w:val="none" w:sz="0" w:space="0" w:color="auto"/>
        <w:right w:val="none" w:sz="0" w:space="0" w:color="auto"/>
      </w:divBdr>
    </w:div>
    <w:div w:id="102893522">
      <w:bodyDiv w:val="1"/>
      <w:marLeft w:val="0"/>
      <w:marRight w:val="0"/>
      <w:marTop w:val="0"/>
      <w:marBottom w:val="0"/>
      <w:divBdr>
        <w:top w:val="none" w:sz="0" w:space="0" w:color="auto"/>
        <w:left w:val="none" w:sz="0" w:space="0" w:color="auto"/>
        <w:bottom w:val="none" w:sz="0" w:space="0" w:color="auto"/>
        <w:right w:val="none" w:sz="0" w:space="0" w:color="auto"/>
      </w:divBdr>
      <w:divsChild>
        <w:div w:id="532960165">
          <w:marLeft w:val="0"/>
          <w:marRight w:val="0"/>
          <w:marTop w:val="0"/>
          <w:marBottom w:val="0"/>
          <w:divBdr>
            <w:top w:val="none" w:sz="0" w:space="0" w:color="auto"/>
            <w:left w:val="none" w:sz="0" w:space="0" w:color="auto"/>
            <w:bottom w:val="none" w:sz="0" w:space="0" w:color="auto"/>
            <w:right w:val="none" w:sz="0" w:space="0" w:color="auto"/>
          </w:divBdr>
          <w:divsChild>
            <w:div w:id="25982521">
              <w:marLeft w:val="0"/>
              <w:marRight w:val="0"/>
              <w:marTop w:val="0"/>
              <w:marBottom w:val="0"/>
              <w:divBdr>
                <w:top w:val="none" w:sz="0" w:space="0" w:color="auto"/>
                <w:left w:val="none" w:sz="0" w:space="0" w:color="auto"/>
                <w:bottom w:val="none" w:sz="0" w:space="0" w:color="auto"/>
                <w:right w:val="none" w:sz="0" w:space="0" w:color="auto"/>
              </w:divBdr>
              <w:divsChild>
                <w:div w:id="21408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19318">
      <w:bodyDiv w:val="1"/>
      <w:marLeft w:val="0"/>
      <w:marRight w:val="0"/>
      <w:marTop w:val="0"/>
      <w:marBottom w:val="0"/>
      <w:divBdr>
        <w:top w:val="none" w:sz="0" w:space="0" w:color="auto"/>
        <w:left w:val="none" w:sz="0" w:space="0" w:color="auto"/>
        <w:bottom w:val="none" w:sz="0" w:space="0" w:color="auto"/>
        <w:right w:val="none" w:sz="0" w:space="0" w:color="auto"/>
      </w:divBdr>
    </w:div>
    <w:div w:id="10750456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59273195">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0268394">
      <w:bodyDiv w:val="1"/>
      <w:marLeft w:val="0"/>
      <w:marRight w:val="0"/>
      <w:marTop w:val="0"/>
      <w:marBottom w:val="0"/>
      <w:divBdr>
        <w:top w:val="none" w:sz="0" w:space="0" w:color="auto"/>
        <w:left w:val="none" w:sz="0" w:space="0" w:color="auto"/>
        <w:bottom w:val="none" w:sz="0" w:space="0" w:color="auto"/>
        <w:right w:val="none" w:sz="0" w:space="0" w:color="auto"/>
      </w:divBdr>
    </w:div>
    <w:div w:id="190265909">
      <w:bodyDiv w:val="1"/>
      <w:marLeft w:val="0"/>
      <w:marRight w:val="0"/>
      <w:marTop w:val="0"/>
      <w:marBottom w:val="0"/>
      <w:divBdr>
        <w:top w:val="none" w:sz="0" w:space="0" w:color="auto"/>
        <w:left w:val="none" w:sz="0" w:space="0" w:color="auto"/>
        <w:bottom w:val="none" w:sz="0" w:space="0" w:color="auto"/>
        <w:right w:val="none" w:sz="0" w:space="0" w:color="auto"/>
      </w:divBdr>
      <w:divsChild>
        <w:div w:id="1724526222">
          <w:marLeft w:val="0"/>
          <w:marRight w:val="0"/>
          <w:marTop w:val="0"/>
          <w:marBottom w:val="0"/>
          <w:divBdr>
            <w:top w:val="none" w:sz="0" w:space="0" w:color="auto"/>
            <w:left w:val="none" w:sz="0" w:space="0" w:color="auto"/>
            <w:bottom w:val="none" w:sz="0" w:space="0" w:color="auto"/>
            <w:right w:val="none" w:sz="0" w:space="0" w:color="auto"/>
          </w:divBdr>
          <w:divsChild>
            <w:div w:id="915014215">
              <w:marLeft w:val="0"/>
              <w:marRight w:val="0"/>
              <w:marTop w:val="0"/>
              <w:marBottom w:val="0"/>
              <w:divBdr>
                <w:top w:val="none" w:sz="0" w:space="0" w:color="auto"/>
                <w:left w:val="none" w:sz="0" w:space="0" w:color="auto"/>
                <w:bottom w:val="none" w:sz="0" w:space="0" w:color="auto"/>
                <w:right w:val="none" w:sz="0" w:space="0" w:color="auto"/>
              </w:divBdr>
              <w:divsChild>
                <w:div w:id="16355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02455">
      <w:bodyDiv w:val="1"/>
      <w:marLeft w:val="0"/>
      <w:marRight w:val="0"/>
      <w:marTop w:val="0"/>
      <w:marBottom w:val="0"/>
      <w:divBdr>
        <w:top w:val="none" w:sz="0" w:space="0" w:color="auto"/>
        <w:left w:val="none" w:sz="0" w:space="0" w:color="auto"/>
        <w:bottom w:val="none" w:sz="0" w:space="0" w:color="auto"/>
        <w:right w:val="none" w:sz="0" w:space="0" w:color="auto"/>
      </w:divBdr>
      <w:divsChild>
        <w:div w:id="2123958927">
          <w:marLeft w:val="0"/>
          <w:marRight w:val="0"/>
          <w:marTop w:val="0"/>
          <w:marBottom w:val="0"/>
          <w:divBdr>
            <w:top w:val="none" w:sz="0" w:space="0" w:color="auto"/>
            <w:left w:val="none" w:sz="0" w:space="0" w:color="auto"/>
            <w:bottom w:val="none" w:sz="0" w:space="0" w:color="auto"/>
            <w:right w:val="none" w:sz="0" w:space="0" w:color="auto"/>
          </w:divBdr>
          <w:divsChild>
            <w:div w:id="13575507">
              <w:marLeft w:val="0"/>
              <w:marRight w:val="0"/>
              <w:marTop w:val="0"/>
              <w:marBottom w:val="0"/>
              <w:divBdr>
                <w:top w:val="none" w:sz="0" w:space="0" w:color="auto"/>
                <w:left w:val="none" w:sz="0" w:space="0" w:color="auto"/>
                <w:bottom w:val="none" w:sz="0" w:space="0" w:color="auto"/>
                <w:right w:val="none" w:sz="0" w:space="0" w:color="auto"/>
              </w:divBdr>
              <w:divsChild>
                <w:div w:id="3752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5728">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09193269">
      <w:bodyDiv w:val="1"/>
      <w:marLeft w:val="0"/>
      <w:marRight w:val="0"/>
      <w:marTop w:val="0"/>
      <w:marBottom w:val="0"/>
      <w:divBdr>
        <w:top w:val="none" w:sz="0" w:space="0" w:color="auto"/>
        <w:left w:val="none" w:sz="0" w:space="0" w:color="auto"/>
        <w:bottom w:val="none" w:sz="0" w:space="0" w:color="auto"/>
        <w:right w:val="none" w:sz="0" w:space="0" w:color="auto"/>
      </w:divBdr>
    </w:div>
    <w:div w:id="209610504">
      <w:bodyDiv w:val="1"/>
      <w:marLeft w:val="0"/>
      <w:marRight w:val="0"/>
      <w:marTop w:val="0"/>
      <w:marBottom w:val="0"/>
      <w:divBdr>
        <w:top w:val="none" w:sz="0" w:space="0" w:color="auto"/>
        <w:left w:val="none" w:sz="0" w:space="0" w:color="auto"/>
        <w:bottom w:val="none" w:sz="0" w:space="0" w:color="auto"/>
        <w:right w:val="none" w:sz="0" w:space="0" w:color="auto"/>
      </w:divBdr>
    </w:div>
    <w:div w:id="217058509">
      <w:bodyDiv w:val="1"/>
      <w:marLeft w:val="0"/>
      <w:marRight w:val="0"/>
      <w:marTop w:val="0"/>
      <w:marBottom w:val="0"/>
      <w:divBdr>
        <w:top w:val="none" w:sz="0" w:space="0" w:color="auto"/>
        <w:left w:val="none" w:sz="0" w:space="0" w:color="auto"/>
        <w:bottom w:val="none" w:sz="0" w:space="0" w:color="auto"/>
        <w:right w:val="none" w:sz="0" w:space="0" w:color="auto"/>
      </w:divBdr>
      <w:divsChild>
        <w:div w:id="1559898235">
          <w:marLeft w:val="0"/>
          <w:marRight w:val="0"/>
          <w:marTop w:val="0"/>
          <w:marBottom w:val="0"/>
          <w:divBdr>
            <w:top w:val="none" w:sz="0" w:space="0" w:color="auto"/>
            <w:left w:val="none" w:sz="0" w:space="0" w:color="auto"/>
            <w:bottom w:val="none" w:sz="0" w:space="0" w:color="auto"/>
            <w:right w:val="none" w:sz="0" w:space="0" w:color="auto"/>
          </w:divBdr>
          <w:divsChild>
            <w:div w:id="1991131413">
              <w:marLeft w:val="0"/>
              <w:marRight w:val="0"/>
              <w:marTop w:val="0"/>
              <w:marBottom w:val="0"/>
              <w:divBdr>
                <w:top w:val="none" w:sz="0" w:space="0" w:color="auto"/>
                <w:left w:val="none" w:sz="0" w:space="0" w:color="auto"/>
                <w:bottom w:val="none" w:sz="0" w:space="0" w:color="auto"/>
                <w:right w:val="none" w:sz="0" w:space="0" w:color="auto"/>
              </w:divBdr>
              <w:divsChild>
                <w:div w:id="18095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4776">
      <w:bodyDiv w:val="1"/>
      <w:marLeft w:val="0"/>
      <w:marRight w:val="0"/>
      <w:marTop w:val="0"/>
      <w:marBottom w:val="0"/>
      <w:divBdr>
        <w:top w:val="none" w:sz="0" w:space="0" w:color="auto"/>
        <w:left w:val="none" w:sz="0" w:space="0" w:color="auto"/>
        <w:bottom w:val="none" w:sz="0" w:space="0" w:color="auto"/>
        <w:right w:val="none" w:sz="0" w:space="0" w:color="auto"/>
      </w:divBdr>
    </w:div>
    <w:div w:id="229049057">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13654">
      <w:bodyDiv w:val="1"/>
      <w:marLeft w:val="0"/>
      <w:marRight w:val="0"/>
      <w:marTop w:val="0"/>
      <w:marBottom w:val="0"/>
      <w:divBdr>
        <w:top w:val="none" w:sz="0" w:space="0" w:color="auto"/>
        <w:left w:val="none" w:sz="0" w:space="0" w:color="auto"/>
        <w:bottom w:val="none" w:sz="0" w:space="0" w:color="auto"/>
        <w:right w:val="none" w:sz="0" w:space="0" w:color="auto"/>
      </w:divBdr>
      <w:divsChild>
        <w:div w:id="1850023288">
          <w:marLeft w:val="0"/>
          <w:marRight w:val="0"/>
          <w:marTop w:val="0"/>
          <w:marBottom w:val="0"/>
          <w:divBdr>
            <w:top w:val="none" w:sz="0" w:space="0" w:color="auto"/>
            <w:left w:val="none" w:sz="0" w:space="0" w:color="auto"/>
            <w:bottom w:val="none" w:sz="0" w:space="0" w:color="auto"/>
            <w:right w:val="none" w:sz="0" w:space="0" w:color="auto"/>
          </w:divBdr>
          <w:divsChild>
            <w:div w:id="1358389911">
              <w:marLeft w:val="0"/>
              <w:marRight w:val="0"/>
              <w:marTop w:val="0"/>
              <w:marBottom w:val="0"/>
              <w:divBdr>
                <w:top w:val="none" w:sz="0" w:space="0" w:color="auto"/>
                <w:left w:val="none" w:sz="0" w:space="0" w:color="auto"/>
                <w:bottom w:val="none" w:sz="0" w:space="0" w:color="auto"/>
                <w:right w:val="none" w:sz="0" w:space="0" w:color="auto"/>
              </w:divBdr>
              <w:divsChild>
                <w:div w:id="77817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2083250">
      <w:bodyDiv w:val="1"/>
      <w:marLeft w:val="0"/>
      <w:marRight w:val="0"/>
      <w:marTop w:val="0"/>
      <w:marBottom w:val="0"/>
      <w:divBdr>
        <w:top w:val="none" w:sz="0" w:space="0" w:color="auto"/>
        <w:left w:val="none" w:sz="0" w:space="0" w:color="auto"/>
        <w:bottom w:val="none" w:sz="0" w:space="0" w:color="auto"/>
        <w:right w:val="none" w:sz="0" w:space="0" w:color="auto"/>
      </w:divBdr>
    </w:div>
    <w:div w:id="257300905">
      <w:bodyDiv w:val="1"/>
      <w:marLeft w:val="0"/>
      <w:marRight w:val="0"/>
      <w:marTop w:val="0"/>
      <w:marBottom w:val="0"/>
      <w:divBdr>
        <w:top w:val="none" w:sz="0" w:space="0" w:color="auto"/>
        <w:left w:val="none" w:sz="0" w:space="0" w:color="auto"/>
        <w:bottom w:val="none" w:sz="0" w:space="0" w:color="auto"/>
        <w:right w:val="none" w:sz="0" w:space="0" w:color="auto"/>
      </w:divBdr>
      <w:divsChild>
        <w:div w:id="314071473">
          <w:marLeft w:val="0"/>
          <w:marRight w:val="0"/>
          <w:marTop w:val="0"/>
          <w:marBottom w:val="0"/>
          <w:divBdr>
            <w:top w:val="none" w:sz="0" w:space="0" w:color="auto"/>
            <w:left w:val="none" w:sz="0" w:space="0" w:color="auto"/>
            <w:bottom w:val="none" w:sz="0" w:space="0" w:color="auto"/>
            <w:right w:val="none" w:sz="0" w:space="0" w:color="auto"/>
          </w:divBdr>
          <w:divsChild>
            <w:div w:id="139927240">
              <w:marLeft w:val="0"/>
              <w:marRight w:val="0"/>
              <w:marTop w:val="0"/>
              <w:marBottom w:val="0"/>
              <w:divBdr>
                <w:top w:val="none" w:sz="0" w:space="0" w:color="auto"/>
                <w:left w:val="none" w:sz="0" w:space="0" w:color="auto"/>
                <w:bottom w:val="none" w:sz="0" w:space="0" w:color="auto"/>
                <w:right w:val="none" w:sz="0" w:space="0" w:color="auto"/>
              </w:divBdr>
              <w:divsChild>
                <w:div w:id="1229000288">
                  <w:marLeft w:val="0"/>
                  <w:marRight w:val="0"/>
                  <w:marTop w:val="0"/>
                  <w:marBottom w:val="0"/>
                  <w:divBdr>
                    <w:top w:val="none" w:sz="0" w:space="0" w:color="auto"/>
                    <w:left w:val="none" w:sz="0" w:space="0" w:color="auto"/>
                    <w:bottom w:val="none" w:sz="0" w:space="0" w:color="auto"/>
                    <w:right w:val="none" w:sz="0" w:space="0" w:color="auto"/>
                  </w:divBdr>
                </w:div>
              </w:divsChild>
            </w:div>
            <w:div w:id="2043941189">
              <w:marLeft w:val="0"/>
              <w:marRight w:val="0"/>
              <w:marTop w:val="0"/>
              <w:marBottom w:val="0"/>
              <w:divBdr>
                <w:top w:val="none" w:sz="0" w:space="0" w:color="auto"/>
                <w:left w:val="none" w:sz="0" w:space="0" w:color="auto"/>
                <w:bottom w:val="none" w:sz="0" w:space="0" w:color="auto"/>
                <w:right w:val="none" w:sz="0" w:space="0" w:color="auto"/>
              </w:divBdr>
              <w:divsChild>
                <w:div w:id="1983074471">
                  <w:marLeft w:val="0"/>
                  <w:marRight w:val="0"/>
                  <w:marTop w:val="0"/>
                  <w:marBottom w:val="0"/>
                  <w:divBdr>
                    <w:top w:val="none" w:sz="0" w:space="0" w:color="auto"/>
                    <w:left w:val="none" w:sz="0" w:space="0" w:color="auto"/>
                    <w:bottom w:val="none" w:sz="0" w:space="0" w:color="auto"/>
                    <w:right w:val="none" w:sz="0" w:space="0" w:color="auto"/>
                  </w:divBdr>
                  <w:divsChild>
                    <w:div w:id="38869340">
                      <w:marLeft w:val="0"/>
                      <w:marRight w:val="0"/>
                      <w:marTop w:val="0"/>
                      <w:marBottom w:val="0"/>
                      <w:divBdr>
                        <w:top w:val="none" w:sz="0" w:space="0" w:color="auto"/>
                        <w:left w:val="none" w:sz="0" w:space="0" w:color="auto"/>
                        <w:bottom w:val="none" w:sz="0" w:space="0" w:color="auto"/>
                        <w:right w:val="none" w:sz="0" w:space="0" w:color="auto"/>
                      </w:divBdr>
                    </w:div>
                  </w:divsChild>
                </w:div>
                <w:div w:id="890313453">
                  <w:marLeft w:val="0"/>
                  <w:marRight w:val="0"/>
                  <w:marTop w:val="0"/>
                  <w:marBottom w:val="0"/>
                  <w:divBdr>
                    <w:top w:val="none" w:sz="0" w:space="0" w:color="auto"/>
                    <w:left w:val="none" w:sz="0" w:space="0" w:color="auto"/>
                    <w:bottom w:val="none" w:sz="0" w:space="0" w:color="auto"/>
                    <w:right w:val="none" w:sz="0" w:space="0" w:color="auto"/>
                  </w:divBdr>
                  <w:divsChild>
                    <w:div w:id="1100489014">
                      <w:marLeft w:val="0"/>
                      <w:marRight w:val="0"/>
                      <w:marTop w:val="0"/>
                      <w:marBottom w:val="0"/>
                      <w:divBdr>
                        <w:top w:val="none" w:sz="0" w:space="0" w:color="auto"/>
                        <w:left w:val="none" w:sz="0" w:space="0" w:color="auto"/>
                        <w:bottom w:val="none" w:sz="0" w:space="0" w:color="auto"/>
                        <w:right w:val="none" w:sz="0" w:space="0" w:color="auto"/>
                      </w:divBdr>
                    </w:div>
                  </w:divsChild>
                </w:div>
                <w:div w:id="1292050457">
                  <w:marLeft w:val="0"/>
                  <w:marRight w:val="0"/>
                  <w:marTop w:val="0"/>
                  <w:marBottom w:val="0"/>
                  <w:divBdr>
                    <w:top w:val="none" w:sz="0" w:space="0" w:color="auto"/>
                    <w:left w:val="none" w:sz="0" w:space="0" w:color="auto"/>
                    <w:bottom w:val="none" w:sz="0" w:space="0" w:color="auto"/>
                    <w:right w:val="none" w:sz="0" w:space="0" w:color="auto"/>
                  </w:divBdr>
                  <w:divsChild>
                    <w:div w:id="1956592683">
                      <w:marLeft w:val="0"/>
                      <w:marRight w:val="0"/>
                      <w:marTop w:val="0"/>
                      <w:marBottom w:val="0"/>
                      <w:divBdr>
                        <w:top w:val="none" w:sz="0" w:space="0" w:color="auto"/>
                        <w:left w:val="none" w:sz="0" w:space="0" w:color="auto"/>
                        <w:bottom w:val="none" w:sz="0" w:space="0" w:color="auto"/>
                        <w:right w:val="none" w:sz="0" w:space="0" w:color="auto"/>
                      </w:divBdr>
                    </w:div>
                  </w:divsChild>
                </w:div>
                <w:div w:id="1777142146">
                  <w:marLeft w:val="0"/>
                  <w:marRight w:val="0"/>
                  <w:marTop w:val="0"/>
                  <w:marBottom w:val="0"/>
                  <w:divBdr>
                    <w:top w:val="none" w:sz="0" w:space="0" w:color="auto"/>
                    <w:left w:val="none" w:sz="0" w:space="0" w:color="auto"/>
                    <w:bottom w:val="none" w:sz="0" w:space="0" w:color="auto"/>
                    <w:right w:val="none" w:sz="0" w:space="0" w:color="auto"/>
                  </w:divBdr>
                  <w:divsChild>
                    <w:div w:id="2104372800">
                      <w:marLeft w:val="0"/>
                      <w:marRight w:val="0"/>
                      <w:marTop w:val="0"/>
                      <w:marBottom w:val="0"/>
                      <w:divBdr>
                        <w:top w:val="none" w:sz="0" w:space="0" w:color="auto"/>
                        <w:left w:val="none" w:sz="0" w:space="0" w:color="auto"/>
                        <w:bottom w:val="none" w:sz="0" w:space="0" w:color="auto"/>
                        <w:right w:val="none" w:sz="0" w:space="0" w:color="auto"/>
                      </w:divBdr>
                    </w:div>
                  </w:divsChild>
                </w:div>
                <w:div w:id="886799111">
                  <w:marLeft w:val="0"/>
                  <w:marRight w:val="0"/>
                  <w:marTop w:val="0"/>
                  <w:marBottom w:val="0"/>
                  <w:divBdr>
                    <w:top w:val="none" w:sz="0" w:space="0" w:color="auto"/>
                    <w:left w:val="none" w:sz="0" w:space="0" w:color="auto"/>
                    <w:bottom w:val="none" w:sz="0" w:space="0" w:color="auto"/>
                    <w:right w:val="none" w:sz="0" w:space="0" w:color="auto"/>
                  </w:divBdr>
                  <w:divsChild>
                    <w:div w:id="11955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2305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953258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561941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16037482">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5327726">
      <w:bodyDiv w:val="1"/>
      <w:marLeft w:val="0"/>
      <w:marRight w:val="0"/>
      <w:marTop w:val="0"/>
      <w:marBottom w:val="0"/>
      <w:divBdr>
        <w:top w:val="none" w:sz="0" w:space="0" w:color="auto"/>
        <w:left w:val="none" w:sz="0" w:space="0" w:color="auto"/>
        <w:bottom w:val="none" w:sz="0" w:space="0" w:color="auto"/>
        <w:right w:val="none" w:sz="0" w:space="0" w:color="auto"/>
      </w:divBdr>
    </w:div>
    <w:div w:id="330911902">
      <w:bodyDiv w:val="1"/>
      <w:marLeft w:val="0"/>
      <w:marRight w:val="0"/>
      <w:marTop w:val="0"/>
      <w:marBottom w:val="0"/>
      <w:divBdr>
        <w:top w:val="none" w:sz="0" w:space="0" w:color="auto"/>
        <w:left w:val="none" w:sz="0" w:space="0" w:color="auto"/>
        <w:bottom w:val="none" w:sz="0" w:space="0" w:color="auto"/>
        <w:right w:val="none" w:sz="0" w:space="0" w:color="auto"/>
      </w:divBdr>
    </w:div>
    <w:div w:id="332951409">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5574301">
      <w:bodyDiv w:val="1"/>
      <w:marLeft w:val="0"/>
      <w:marRight w:val="0"/>
      <w:marTop w:val="0"/>
      <w:marBottom w:val="0"/>
      <w:divBdr>
        <w:top w:val="none" w:sz="0" w:space="0" w:color="auto"/>
        <w:left w:val="none" w:sz="0" w:space="0" w:color="auto"/>
        <w:bottom w:val="none" w:sz="0" w:space="0" w:color="auto"/>
        <w:right w:val="none" w:sz="0" w:space="0" w:color="auto"/>
      </w:divBdr>
    </w:div>
    <w:div w:id="335693006">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4233084">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83268">
      <w:bodyDiv w:val="1"/>
      <w:marLeft w:val="0"/>
      <w:marRight w:val="0"/>
      <w:marTop w:val="0"/>
      <w:marBottom w:val="0"/>
      <w:divBdr>
        <w:top w:val="none" w:sz="0" w:space="0" w:color="auto"/>
        <w:left w:val="none" w:sz="0" w:space="0" w:color="auto"/>
        <w:bottom w:val="none" w:sz="0" w:space="0" w:color="auto"/>
        <w:right w:val="none" w:sz="0" w:space="0" w:color="auto"/>
      </w:divBdr>
    </w:div>
    <w:div w:id="418258151">
      <w:bodyDiv w:val="1"/>
      <w:marLeft w:val="0"/>
      <w:marRight w:val="0"/>
      <w:marTop w:val="0"/>
      <w:marBottom w:val="0"/>
      <w:divBdr>
        <w:top w:val="none" w:sz="0" w:space="0" w:color="auto"/>
        <w:left w:val="none" w:sz="0" w:space="0" w:color="auto"/>
        <w:bottom w:val="none" w:sz="0" w:space="0" w:color="auto"/>
        <w:right w:val="none" w:sz="0" w:space="0" w:color="auto"/>
      </w:divBdr>
    </w:div>
    <w:div w:id="421948413">
      <w:bodyDiv w:val="1"/>
      <w:marLeft w:val="0"/>
      <w:marRight w:val="0"/>
      <w:marTop w:val="0"/>
      <w:marBottom w:val="0"/>
      <w:divBdr>
        <w:top w:val="none" w:sz="0" w:space="0" w:color="auto"/>
        <w:left w:val="none" w:sz="0" w:space="0" w:color="auto"/>
        <w:bottom w:val="none" w:sz="0" w:space="0" w:color="auto"/>
        <w:right w:val="none" w:sz="0" w:space="0" w:color="auto"/>
      </w:divBdr>
    </w:div>
    <w:div w:id="426731129">
      <w:bodyDiv w:val="1"/>
      <w:marLeft w:val="0"/>
      <w:marRight w:val="0"/>
      <w:marTop w:val="0"/>
      <w:marBottom w:val="0"/>
      <w:divBdr>
        <w:top w:val="none" w:sz="0" w:space="0" w:color="auto"/>
        <w:left w:val="none" w:sz="0" w:space="0" w:color="auto"/>
        <w:bottom w:val="none" w:sz="0" w:space="0" w:color="auto"/>
        <w:right w:val="none" w:sz="0" w:space="0" w:color="auto"/>
      </w:divBdr>
    </w:div>
    <w:div w:id="427431524">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846707">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3529198">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2896448">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502724">
      <w:bodyDiv w:val="1"/>
      <w:marLeft w:val="0"/>
      <w:marRight w:val="0"/>
      <w:marTop w:val="0"/>
      <w:marBottom w:val="0"/>
      <w:divBdr>
        <w:top w:val="none" w:sz="0" w:space="0" w:color="auto"/>
        <w:left w:val="none" w:sz="0" w:space="0" w:color="auto"/>
        <w:bottom w:val="none" w:sz="0" w:space="0" w:color="auto"/>
        <w:right w:val="none" w:sz="0" w:space="0" w:color="auto"/>
      </w:divBdr>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604105">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49612195">
      <w:bodyDiv w:val="1"/>
      <w:marLeft w:val="0"/>
      <w:marRight w:val="0"/>
      <w:marTop w:val="0"/>
      <w:marBottom w:val="0"/>
      <w:divBdr>
        <w:top w:val="none" w:sz="0" w:space="0" w:color="auto"/>
        <w:left w:val="none" w:sz="0" w:space="0" w:color="auto"/>
        <w:bottom w:val="none" w:sz="0" w:space="0" w:color="auto"/>
        <w:right w:val="none" w:sz="0" w:space="0" w:color="auto"/>
      </w:divBdr>
      <w:divsChild>
        <w:div w:id="769012334">
          <w:marLeft w:val="0"/>
          <w:marRight w:val="0"/>
          <w:marTop w:val="0"/>
          <w:marBottom w:val="0"/>
          <w:divBdr>
            <w:top w:val="none" w:sz="0" w:space="0" w:color="auto"/>
            <w:left w:val="none" w:sz="0" w:space="0" w:color="auto"/>
            <w:bottom w:val="none" w:sz="0" w:space="0" w:color="auto"/>
            <w:right w:val="none" w:sz="0" w:space="0" w:color="auto"/>
          </w:divBdr>
          <w:divsChild>
            <w:div w:id="553351835">
              <w:marLeft w:val="0"/>
              <w:marRight w:val="0"/>
              <w:marTop w:val="0"/>
              <w:marBottom w:val="0"/>
              <w:divBdr>
                <w:top w:val="none" w:sz="0" w:space="0" w:color="auto"/>
                <w:left w:val="none" w:sz="0" w:space="0" w:color="auto"/>
                <w:bottom w:val="none" w:sz="0" w:space="0" w:color="auto"/>
                <w:right w:val="none" w:sz="0" w:space="0" w:color="auto"/>
              </w:divBdr>
              <w:divsChild>
                <w:div w:id="1933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130673">
          <w:marLeft w:val="0"/>
          <w:marRight w:val="0"/>
          <w:marTop w:val="0"/>
          <w:marBottom w:val="0"/>
          <w:divBdr>
            <w:top w:val="none" w:sz="0" w:space="0" w:color="auto"/>
            <w:left w:val="none" w:sz="0" w:space="0" w:color="auto"/>
            <w:bottom w:val="none" w:sz="0" w:space="0" w:color="auto"/>
            <w:right w:val="none" w:sz="0" w:space="0" w:color="auto"/>
          </w:divBdr>
          <w:divsChild>
            <w:div w:id="909005811">
              <w:marLeft w:val="0"/>
              <w:marRight w:val="0"/>
              <w:marTop w:val="0"/>
              <w:marBottom w:val="0"/>
              <w:divBdr>
                <w:top w:val="none" w:sz="0" w:space="0" w:color="auto"/>
                <w:left w:val="none" w:sz="0" w:space="0" w:color="auto"/>
                <w:bottom w:val="none" w:sz="0" w:space="0" w:color="auto"/>
                <w:right w:val="none" w:sz="0" w:space="0" w:color="auto"/>
              </w:divBdr>
              <w:divsChild>
                <w:div w:id="10293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493387">
      <w:bodyDiv w:val="1"/>
      <w:marLeft w:val="0"/>
      <w:marRight w:val="0"/>
      <w:marTop w:val="0"/>
      <w:marBottom w:val="0"/>
      <w:divBdr>
        <w:top w:val="none" w:sz="0" w:space="0" w:color="auto"/>
        <w:left w:val="none" w:sz="0" w:space="0" w:color="auto"/>
        <w:bottom w:val="none" w:sz="0" w:space="0" w:color="auto"/>
        <w:right w:val="none" w:sz="0" w:space="0" w:color="auto"/>
      </w:divBdr>
      <w:divsChild>
        <w:div w:id="298262778">
          <w:marLeft w:val="0"/>
          <w:marRight w:val="0"/>
          <w:marTop w:val="0"/>
          <w:marBottom w:val="0"/>
          <w:divBdr>
            <w:top w:val="none" w:sz="0" w:space="0" w:color="auto"/>
            <w:left w:val="none" w:sz="0" w:space="0" w:color="auto"/>
            <w:bottom w:val="none" w:sz="0" w:space="0" w:color="auto"/>
            <w:right w:val="none" w:sz="0" w:space="0" w:color="auto"/>
          </w:divBdr>
          <w:divsChild>
            <w:div w:id="1028213796">
              <w:marLeft w:val="0"/>
              <w:marRight w:val="0"/>
              <w:marTop w:val="0"/>
              <w:marBottom w:val="0"/>
              <w:divBdr>
                <w:top w:val="none" w:sz="0" w:space="0" w:color="auto"/>
                <w:left w:val="none" w:sz="0" w:space="0" w:color="auto"/>
                <w:bottom w:val="none" w:sz="0" w:space="0" w:color="auto"/>
                <w:right w:val="none" w:sz="0" w:space="0" w:color="auto"/>
              </w:divBdr>
              <w:divsChild>
                <w:div w:id="1352607621">
                  <w:marLeft w:val="0"/>
                  <w:marRight w:val="0"/>
                  <w:marTop w:val="0"/>
                  <w:marBottom w:val="0"/>
                  <w:divBdr>
                    <w:top w:val="none" w:sz="0" w:space="0" w:color="auto"/>
                    <w:left w:val="none" w:sz="0" w:space="0" w:color="auto"/>
                    <w:bottom w:val="none" w:sz="0" w:space="0" w:color="auto"/>
                    <w:right w:val="none" w:sz="0" w:space="0" w:color="auto"/>
                  </w:divBdr>
                  <w:divsChild>
                    <w:div w:id="13321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5334123">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7205174">
      <w:bodyDiv w:val="1"/>
      <w:marLeft w:val="0"/>
      <w:marRight w:val="0"/>
      <w:marTop w:val="0"/>
      <w:marBottom w:val="0"/>
      <w:divBdr>
        <w:top w:val="none" w:sz="0" w:space="0" w:color="auto"/>
        <w:left w:val="none" w:sz="0" w:space="0" w:color="auto"/>
        <w:bottom w:val="none" w:sz="0" w:space="0" w:color="auto"/>
        <w:right w:val="none" w:sz="0" w:space="0" w:color="auto"/>
      </w:divBdr>
      <w:divsChild>
        <w:div w:id="2020306756">
          <w:marLeft w:val="0"/>
          <w:marRight w:val="0"/>
          <w:marTop w:val="0"/>
          <w:marBottom w:val="0"/>
          <w:divBdr>
            <w:top w:val="none" w:sz="0" w:space="0" w:color="auto"/>
            <w:left w:val="none" w:sz="0" w:space="0" w:color="auto"/>
            <w:bottom w:val="none" w:sz="0" w:space="0" w:color="auto"/>
            <w:right w:val="none" w:sz="0" w:space="0" w:color="auto"/>
          </w:divBdr>
          <w:divsChild>
            <w:div w:id="549995204">
              <w:marLeft w:val="0"/>
              <w:marRight w:val="0"/>
              <w:marTop w:val="0"/>
              <w:marBottom w:val="0"/>
              <w:divBdr>
                <w:top w:val="none" w:sz="0" w:space="0" w:color="auto"/>
                <w:left w:val="none" w:sz="0" w:space="0" w:color="auto"/>
                <w:bottom w:val="none" w:sz="0" w:space="0" w:color="auto"/>
                <w:right w:val="none" w:sz="0" w:space="0" w:color="auto"/>
              </w:divBdr>
              <w:divsChild>
                <w:div w:id="10021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2932395">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081743">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718950">
      <w:bodyDiv w:val="1"/>
      <w:marLeft w:val="0"/>
      <w:marRight w:val="0"/>
      <w:marTop w:val="0"/>
      <w:marBottom w:val="0"/>
      <w:divBdr>
        <w:top w:val="none" w:sz="0" w:space="0" w:color="auto"/>
        <w:left w:val="none" w:sz="0" w:space="0" w:color="auto"/>
        <w:bottom w:val="none" w:sz="0" w:space="0" w:color="auto"/>
        <w:right w:val="none" w:sz="0" w:space="0" w:color="auto"/>
      </w:divBdr>
      <w:divsChild>
        <w:div w:id="592713484">
          <w:marLeft w:val="0"/>
          <w:marRight w:val="0"/>
          <w:marTop w:val="0"/>
          <w:marBottom w:val="0"/>
          <w:divBdr>
            <w:top w:val="none" w:sz="0" w:space="0" w:color="auto"/>
            <w:left w:val="none" w:sz="0" w:space="0" w:color="auto"/>
            <w:bottom w:val="none" w:sz="0" w:space="0" w:color="auto"/>
            <w:right w:val="none" w:sz="0" w:space="0" w:color="auto"/>
          </w:divBdr>
          <w:divsChild>
            <w:div w:id="1785151563">
              <w:marLeft w:val="0"/>
              <w:marRight w:val="0"/>
              <w:marTop w:val="0"/>
              <w:marBottom w:val="0"/>
              <w:divBdr>
                <w:top w:val="none" w:sz="0" w:space="0" w:color="auto"/>
                <w:left w:val="none" w:sz="0" w:space="0" w:color="auto"/>
                <w:bottom w:val="none" w:sz="0" w:space="0" w:color="auto"/>
                <w:right w:val="none" w:sz="0" w:space="0" w:color="auto"/>
              </w:divBdr>
              <w:divsChild>
                <w:div w:id="13609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3001256">
      <w:bodyDiv w:val="1"/>
      <w:marLeft w:val="0"/>
      <w:marRight w:val="0"/>
      <w:marTop w:val="0"/>
      <w:marBottom w:val="0"/>
      <w:divBdr>
        <w:top w:val="none" w:sz="0" w:space="0" w:color="auto"/>
        <w:left w:val="none" w:sz="0" w:space="0" w:color="auto"/>
        <w:bottom w:val="none" w:sz="0" w:space="0" w:color="auto"/>
        <w:right w:val="none" w:sz="0" w:space="0" w:color="auto"/>
      </w:divBdr>
    </w:div>
    <w:div w:id="69835963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6150852">
      <w:bodyDiv w:val="1"/>
      <w:marLeft w:val="0"/>
      <w:marRight w:val="0"/>
      <w:marTop w:val="0"/>
      <w:marBottom w:val="0"/>
      <w:divBdr>
        <w:top w:val="none" w:sz="0" w:space="0" w:color="auto"/>
        <w:left w:val="none" w:sz="0" w:space="0" w:color="auto"/>
        <w:bottom w:val="none" w:sz="0" w:space="0" w:color="auto"/>
        <w:right w:val="none" w:sz="0" w:space="0" w:color="auto"/>
      </w:divBdr>
      <w:divsChild>
        <w:div w:id="293566977">
          <w:marLeft w:val="0"/>
          <w:marRight w:val="0"/>
          <w:marTop w:val="0"/>
          <w:marBottom w:val="0"/>
          <w:divBdr>
            <w:top w:val="none" w:sz="0" w:space="0" w:color="auto"/>
            <w:left w:val="none" w:sz="0" w:space="0" w:color="auto"/>
            <w:bottom w:val="none" w:sz="0" w:space="0" w:color="auto"/>
            <w:right w:val="none" w:sz="0" w:space="0" w:color="auto"/>
          </w:divBdr>
          <w:divsChild>
            <w:div w:id="723479737">
              <w:marLeft w:val="0"/>
              <w:marRight w:val="0"/>
              <w:marTop w:val="0"/>
              <w:marBottom w:val="0"/>
              <w:divBdr>
                <w:top w:val="none" w:sz="0" w:space="0" w:color="auto"/>
                <w:left w:val="none" w:sz="0" w:space="0" w:color="auto"/>
                <w:bottom w:val="none" w:sz="0" w:space="0" w:color="auto"/>
                <w:right w:val="none" w:sz="0" w:space="0" w:color="auto"/>
              </w:divBdr>
              <w:divsChild>
                <w:div w:id="182828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269704">
      <w:bodyDiv w:val="1"/>
      <w:marLeft w:val="0"/>
      <w:marRight w:val="0"/>
      <w:marTop w:val="0"/>
      <w:marBottom w:val="0"/>
      <w:divBdr>
        <w:top w:val="none" w:sz="0" w:space="0" w:color="auto"/>
        <w:left w:val="none" w:sz="0" w:space="0" w:color="auto"/>
        <w:bottom w:val="none" w:sz="0" w:space="0" w:color="auto"/>
        <w:right w:val="none" w:sz="0" w:space="0" w:color="auto"/>
      </w:divBdr>
      <w:divsChild>
        <w:div w:id="1909270632">
          <w:marLeft w:val="0"/>
          <w:marRight w:val="0"/>
          <w:marTop w:val="0"/>
          <w:marBottom w:val="0"/>
          <w:divBdr>
            <w:top w:val="none" w:sz="0" w:space="0" w:color="auto"/>
            <w:left w:val="none" w:sz="0" w:space="0" w:color="auto"/>
            <w:bottom w:val="none" w:sz="0" w:space="0" w:color="auto"/>
            <w:right w:val="none" w:sz="0" w:space="0" w:color="auto"/>
          </w:divBdr>
          <w:divsChild>
            <w:div w:id="63921588">
              <w:marLeft w:val="0"/>
              <w:marRight w:val="0"/>
              <w:marTop w:val="0"/>
              <w:marBottom w:val="0"/>
              <w:divBdr>
                <w:top w:val="none" w:sz="0" w:space="0" w:color="auto"/>
                <w:left w:val="none" w:sz="0" w:space="0" w:color="auto"/>
                <w:bottom w:val="none" w:sz="0" w:space="0" w:color="auto"/>
                <w:right w:val="none" w:sz="0" w:space="0" w:color="auto"/>
              </w:divBdr>
              <w:divsChild>
                <w:div w:id="49696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82165">
          <w:marLeft w:val="0"/>
          <w:marRight w:val="0"/>
          <w:marTop w:val="0"/>
          <w:marBottom w:val="0"/>
          <w:divBdr>
            <w:top w:val="none" w:sz="0" w:space="0" w:color="auto"/>
            <w:left w:val="none" w:sz="0" w:space="0" w:color="auto"/>
            <w:bottom w:val="none" w:sz="0" w:space="0" w:color="auto"/>
            <w:right w:val="none" w:sz="0" w:space="0" w:color="auto"/>
          </w:divBdr>
          <w:divsChild>
            <w:div w:id="23673178">
              <w:marLeft w:val="0"/>
              <w:marRight w:val="0"/>
              <w:marTop w:val="0"/>
              <w:marBottom w:val="0"/>
              <w:divBdr>
                <w:top w:val="none" w:sz="0" w:space="0" w:color="auto"/>
                <w:left w:val="none" w:sz="0" w:space="0" w:color="auto"/>
                <w:bottom w:val="none" w:sz="0" w:space="0" w:color="auto"/>
                <w:right w:val="none" w:sz="0" w:space="0" w:color="auto"/>
              </w:divBdr>
              <w:divsChild>
                <w:div w:id="6260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3626664">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66538989">
      <w:bodyDiv w:val="1"/>
      <w:marLeft w:val="0"/>
      <w:marRight w:val="0"/>
      <w:marTop w:val="0"/>
      <w:marBottom w:val="0"/>
      <w:divBdr>
        <w:top w:val="none" w:sz="0" w:space="0" w:color="auto"/>
        <w:left w:val="none" w:sz="0" w:space="0" w:color="auto"/>
        <w:bottom w:val="none" w:sz="0" w:space="0" w:color="auto"/>
        <w:right w:val="none" w:sz="0" w:space="0" w:color="auto"/>
      </w:divBdr>
    </w:div>
    <w:div w:id="778767226">
      <w:bodyDiv w:val="1"/>
      <w:marLeft w:val="0"/>
      <w:marRight w:val="0"/>
      <w:marTop w:val="0"/>
      <w:marBottom w:val="0"/>
      <w:divBdr>
        <w:top w:val="none" w:sz="0" w:space="0" w:color="auto"/>
        <w:left w:val="none" w:sz="0" w:space="0" w:color="auto"/>
        <w:bottom w:val="none" w:sz="0" w:space="0" w:color="auto"/>
        <w:right w:val="none" w:sz="0" w:space="0" w:color="auto"/>
      </w:divBdr>
    </w:div>
    <w:div w:id="784075727">
      <w:bodyDiv w:val="1"/>
      <w:marLeft w:val="0"/>
      <w:marRight w:val="0"/>
      <w:marTop w:val="0"/>
      <w:marBottom w:val="0"/>
      <w:divBdr>
        <w:top w:val="none" w:sz="0" w:space="0" w:color="auto"/>
        <w:left w:val="none" w:sz="0" w:space="0" w:color="auto"/>
        <w:bottom w:val="none" w:sz="0" w:space="0" w:color="auto"/>
        <w:right w:val="none" w:sz="0" w:space="0" w:color="auto"/>
      </w:divBdr>
      <w:divsChild>
        <w:div w:id="1422146355">
          <w:marLeft w:val="0"/>
          <w:marRight w:val="0"/>
          <w:marTop w:val="0"/>
          <w:marBottom w:val="0"/>
          <w:divBdr>
            <w:top w:val="none" w:sz="0" w:space="0" w:color="auto"/>
            <w:left w:val="none" w:sz="0" w:space="0" w:color="auto"/>
            <w:bottom w:val="none" w:sz="0" w:space="0" w:color="auto"/>
            <w:right w:val="none" w:sz="0" w:space="0" w:color="auto"/>
          </w:divBdr>
          <w:divsChild>
            <w:div w:id="1420909987">
              <w:marLeft w:val="0"/>
              <w:marRight w:val="0"/>
              <w:marTop w:val="0"/>
              <w:marBottom w:val="0"/>
              <w:divBdr>
                <w:top w:val="none" w:sz="0" w:space="0" w:color="auto"/>
                <w:left w:val="none" w:sz="0" w:space="0" w:color="auto"/>
                <w:bottom w:val="none" w:sz="0" w:space="0" w:color="auto"/>
                <w:right w:val="none" w:sz="0" w:space="0" w:color="auto"/>
              </w:divBdr>
              <w:divsChild>
                <w:div w:id="5741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67781">
      <w:bodyDiv w:val="1"/>
      <w:marLeft w:val="0"/>
      <w:marRight w:val="0"/>
      <w:marTop w:val="0"/>
      <w:marBottom w:val="0"/>
      <w:divBdr>
        <w:top w:val="none" w:sz="0" w:space="0" w:color="auto"/>
        <w:left w:val="none" w:sz="0" w:space="0" w:color="auto"/>
        <w:bottom w:val="none" w:sz="0" w:space="0" w:color="auto"/>
        <w:right w:val="none" w:sz="0" w:space="0" w:color="auto"/>
      </w:divBdr>
      <w:divsChild>
        <w:div w:id="295532407">
          <w:marLeft w:val="0"/>
          <w:marRight w:val="0"/>
          <w:marTop w:val="0"/>
          <w:marBottom w:val="0"/>
          <w:divBdr>
            <w:top w:val="none" w:sz="0" w:space="0" w:color="auto"/>
            <w:left w:val="none" w:sz="0" w:space="0" w:color="auto"/>
            <w:bottom w:val="none" w:sz="0" w:space="0" w:color="auto"/>
            <w:right w:val="none" w:sz="0" w:space="0" w:color="auto"/>
          </w:divBdr>
          <w:divsChild>
            <w:div w:id="1240865657">
              <w:marLeft w:val="0"/>
              <w:marRight w:val="0"/>
              <w:marTop w:val="0"/>
              <w:marBottom w:val="0"/>
              <w:divBdr>
                <w:top w:val="none" w:sz="0" w:space="0" w:color="auto"/>
                <w:left w:val="none" w:sz="0" w:space="0" w:color="auto"/>
                <w:bottom w:val="none" w:sz="0" w:space="0" w:color="auto"/>
                <w:right w:val="none" w:sz="0" w:space="0" w:color="auto"/>
              </w:divBdr>
              <w:divsChild>
                <w:div w:id="18504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16995879">
      <w:bodyDiv w:val="1"/>
      <w:marLeft w:val="0"/>
      <w:marRight w:val="0"/>
      <w:marTop w:val="0"/>
      <w:marBottom w:val="0"/>
      <w:divBdr>
        <w:top w:val="none" w:sz="0" w:space="0" w:color="auto"/>
        <w:left w:val="none" w:sz="0" w:space="0" w:color="auto"/>
        <w:bottom w:val="none" w:sz="0" w:space="0" w:color="auto"/>
        <w:right w:val="none" w:sz="0" w:space="0" w:color="auto"/>
      </w:divBdr>
      <w:divsChild>
        <w:div w:id="307054694">
          <w:marLeft w:val="0"/>
          <w:marRight w:val="0"/>
          <w:marTop w:val="0"/>
          <w:marBottom w:val="0"/>
          <w:divBdr>
            <w:top w:val="none" w:sz="0" w:space="0" w:color="auto"/>
            <w:left w:val="none" w:sz="0" w:space="0" w:color="auto"/>
            <w:bottom w:val="none" w:sz="0" w:space="0" w:color="auto"/>
            <w:right w:val="none" w:sz="0" w:space="0" w:color="auto"/>
          </w:divBdr>
          <w:divsChild>
            <w:div w:id="237786832">
              <w:marLeft w:val="0"/>
              <w:marRight w:val="0"/>
              <w:marTop w:val="0"/>
              <w:marBottom w:val="0"/>
              <w:divBdr>
                <w:top w:val="none" w:sz="0" w:space="0" w:color="auto"/>
                <w:left w:val="none" w:sz="0" w:space="0" w:color="auto"/>
                <w:bottom w:val="none" w:sz="0" w:space="0" w:color="auto"/>
                <w:right w:val="none" w:sz="0" w:space="0" w:color="auto"/>
              </w:divBdr>
              <w:divsChild>
                <w:div w:id="5432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48076">
          <w:marLeft w:val="0"/>
          <w:marRight w:val="0"/>
          <w:marTop w:val="0"/>
          <w:marBottom w:val="0"/>
          <w:divBdr>
            <w:top w:val="none" w:sz="0" w:space="0" w:color="auto"/>
            <w:left w:val="none" w:sz="0" w:space="0" w:color="auto"/>
            <w:bottom w:val="none" w:sz="0" w:space="0" w:color="auto"/>
            <w:right w:val="none" w:sz="0" w:space="0" w:color="auto"/>
          </w:divBdr>
          <w:divsChild>
            <w:div w:id="1905681204">
              <w:marLeft w:val="0"/>
              <w:marRight w:val="0"/>
              <w:marTop w:val="0"/>
              <w:marBottom w:val="0"/>
              <w:divBdr>
                <w:top w:val="none" w:sz="0" w:space="0" w:color="auto"/>
                <w:left w:val="none" w:sz="0" w:space="0" w:color="auto"/>
                <w:bottom w:val="none" w:sz="0" w:space="0" w:color="auto"/>
                <w:right w:val="none" w:sz="0" w:space="0" w:color="auto"/>
              </w:divBdr>
              <w:divsChild>
                <w:div w:id="4982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5172285">
      <w:bodyDiv w:val="1"/>
      <w:marLeft w:val="0"/>
      <w:marRight w:val="0"/>
      <w:marTop w:val="0"/>
      <w:marBottom w:val="0"/>
      <w:divBdr>
        <w:top w:val="none" w:sz="0" w:space="0" w:color="auto"/>
        <w:left w:val="none" w:sz="0" w:space="0" w:color="auto"/>
        <w:bottom w:val="none" w:sz="0" w:space="0" w:color="auto"/>
        <w:right w:val="none" w:sz="0" w:space="0" w:color="auto"/>
      </w:divBdr>
    </w:div>
    <w:div w:id="86718301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5452350">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4342266">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44380757">
      <w:bodyDiv w:val="1"/>
      <w:marLeft w:val="0"/>
      <w:marRight w:val="0"/>
      <w:marTop w:val="0"/>
      <w:marBottom w:val="0"/>
      <w:divBdr>
        <w:top w:val="none" w:sz="0" w:space="0" w:color="auto"/>
        <w:left w:val="none" w:sz="0" w:space="0" w:color="auto"/>
        <w:bottom w:val="none" w:sz="0" w:space="0" w:color="auto"/>
        <w:right w:val="none" w:sz="0" w:space="0" w:color="auto"/>
      </w:divBdr>
      <w:divsChild>
        <w:div w:id="1773741020">
          <w:marLeft w:val="0"/>
          <w:marRight w:val="0"/>
          <w:marTop w:val="0"/>
          <w:marBottom w:val="0"/>
          <w:divBdr>
            <w:top w:val="none" w:sz="0" w:space="0" w:color="auto"/>
            <w:left w:val="none" w:sz="0" w:space="0" w:color="auto"/>
            <w:bottom w:val="none" w:sz="0" w:space="0" w:color="auto"/>
            <w:right w:val="none" w:sz="0" w:space="0" w:color="auto"/>
          </w:divBdr>
        </w:div>
      </w:divsChild>
    </w:div>
    <w:div w:id="950168181">
      <w:bodyDiv w:val="1"/>
      <w:marLeft w:val="0"/>
      <w:marRight w:val="0"/>
      <w:marTop w:val="0"/>
      <w:marBottom w:val="0"/>
      <w:divBdr>
        <w:top w:val="none" w:sz="0" w:space="0" w:color="auto"/>
        <w:left w:val="none" w:sz="0" w:space="0" w:color="auto"/>
        <w:bottom w:val="none" w:sz="0" w:space="0" w:color="auto"/>
        <w:right w:val="none" w:sz="0" w:space="0" w:color="auto"/>
      </w:divBdr>
      <w:divsChild>
        <w:div w:id="23798918">
          <w:marLeft w:val="0"/>
          <w:marRight w:val="0"/>
          <w:marTop w:val="0"/>
          <w:marBottom w:val="0"/>
          <w:divBdr>
            <w:top w:val="none" w:sz="0" w:space="0" w:color="auto"/>
            <w:left w:val="none" w:sz="0" w:space="0" w:color="auto"/>
            <w:bottom w:val="none" w:sz="0" w:space="0" w:color="auto"/>
            <w:right w:val="none" w:sz="0" w:space="0" w:color="auto"/>
          </w:divBdr>
          <w:divsChild>
            <w:div w:id="1974939615">
              <w:marLeft w:val="0"/>
              <w:marRight w:val="0"/>
              <w:marTop w:val="0"/>
              <w:marBottom w:val="0"/>
              <w:divBdr>
                <w:top w:val="none" w:sz="0" w:space="0" w:color="auto"/>
                <w:left w:val="none" w:sz="0" w:space="0" w:color="auto"/>
                <w:bottom w:val="none" w:sz="0" w:space="0" w:color="auto"/>
                <w:right w:val="none" w:sz="0" w:space="0" w:color="auto"/>
              </w:divBdr>
              <w:divsChild>
                <w:div w:id="42022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8143220">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5402143">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3722940">
      <w:bodyDiv w:val="1"/>
      <w:marLeft w:val="0"/>
      <w:marRight w:val="0"/>
      <w:marTop w:val="0"/>
      <w:marBottom w:val="0"/>
      <w:divBdr>
        <w:top w:val="none" w:sz="0" w:space="0" w:color="auto"/>
        <w:left w:val="none" w:sz="0" w:space="0" w:color="auto"/>
        <w:bottom w:val="none" w:sz="0" w:space="0" w:color="auto"/>
        <w:right w:val="none" w:sz="0" w:space="0" w:color="auto"/>
      </w:divBdr>
      <w:divsChild>
        <w:div w:id="184365488">
          <w:marLeft w:val="0"/>
          <w:marRight w:val="0"/>
          <w:marTop w:val="0"/>
          <w:marBottom w:val="0"/>
          <w:divBdr>
            <w:top w:val="none" w:sz="0" w:space="0" w:color="auto"/>
            <w:left w:val="none" w:sz="0" w:space="0" w:color="auto"/>
            <w:bottom w:val="none" w:sz="0" w:space="0" w:color="auto"/>
            <w:right w:val="none" w:sz="0" w:space="0" w:color="auto"/>
          </w:divBdr>
          <w:divsChild>
            <w:div w:id="1422988793">
              <w:marLeft w:val="0"/>
              <w:marRight w:val="0"/>
              <w:marTop w:val="0"/>
              <w:marBottom w:val="0"/>
              <w:divBdr>
                <w:top w:val="none" w:sz="0" w:space="0" w:color="auto"/>
                <w:left w:val="none" w:sz="0" w:space="0" w:color="auto"/>
                <w:bottom w:val="none" w:sz="0" w:space="0" w:color="auto"/>
                <w:right w:val="none" w:sz="0" w:space="0" w:color="auto"/>
              </w:divBdr>
              <w:divsChild>
                <w:div w:id="11201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sChild>
        <w:div w:id="802963909">
          <w:marLeft w:val="0"/>
          <w:marRight w:val="0"/>
          <w:marTop w:val="0"/>
          <w:marBottom w:val="0"/>
          <w:divBdr>
            <w:top w:val="none" w:sz="0" w:space="0" w:color="auto"/>
            <w:left w:val="none" w:sz="0" w:space="0" w:color="auto"/>
            <w:bottom w:val="none" w:sz="0" w:space="0" w:color="auto"/>
            <w:right w:val="none" w:sz="0" w:space="0" w:color="auto"/>
          </w:divBdr>
          <w:divsChild>
            <w:div w:id="383720271">
              <w:marLeft w:val="0"/>
              <w:marRight w:val="0"/>
              <w:marTop w:val="0"/>
              <w:marBottom w:val="0"/>
              <w:divBdr>
                <w:top w:val="none" w:sz="0" w:space="0" w:color="auto"/>
                <w:left w:val="none" w:sz="0" w:space="0" w:color="auto"/>
                <w:bottom w:val="none" w:sz="0" w:space="0" w:color="auto"/>
                <w:right w:val="none" w:sz="0" w:space="0" w:color="auto"/>
              </w:divBdr>
              <w:divsChild>
                <w:div w:id="1227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08873764">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4163111">
      <w:bodyDiv w:val="1"/>
      <w:marLeft w:val="0"/>
      <w:marRight w:val="0"/>
      <w:marTop w:val="0"/>
      <w:marBottom w:val="0"/>
      <w:divBdr>
        <w:top w:val="none" w:sz="0" w:space="0" w:color="auto"/>
        <w:left w:val="none" w:sz="0" w:space="0" w:color="auto"/>
        <w:bottom w:val="none" w:sz="0" w:space="0" w:color="auto"/>
        <w:right w:val="none" w:sz="0" w:space="0" w:color="auto"/>
      </w:divBdr>
      <w:divsChild>
        <w:div w:id="442268762">
          <w:marLeft w:val="0"/>
          <w:marRight w:val="0"/>
          <w:marTop w:val="0"/>
          <w:marBottom w:val="0"/>
          <w:divBdr>
            <w:top w:val="none" w:sz="0" w:space="0" w:color="auto"/>
            <w:left w:val="none" w:sz="0" w:space="0" w:color="auto"/>
            <w:bottom w:val="none" w:sz="0" w:space="0" w:color="auto"/>
            <w:right w:val="none" w:sz="0" w:space="0" w:color="auto"/>
          </w:divBdr>
          <w:divsChild>
            <w:div w:id="249394915">
              <w:marLeft w:val="0"/>
              <w:marRight w:val="0"/>
              <w:marTop w:val="0"/>
              <w:marBottom w:val="0"/>
              <w:divBdr>
                <w:top w:val="none" w:sz="0" w:space="0" w:color="auto"/>
                <w:left w:val="none" w:sz="0" w:space="0" w:color="auto"/>
                <w:bottom w:val="none" w:sz="0" w:space="0" w:color="auto"/>
                <w:right w:val="none" w:sz="0" w:space="0" w:color="auto"/>
              </w:divBdr>
              <w:divsChild>
                <w:div w:id="67634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015828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8168">
      <w:bodyDiv w:val="1"/>
      <w:marLeft w:val="0"/>
      <w:marRight w:val="0"/>
      <w:marTop w:val="0"/>
      <w:marBottom w:val="0"/>
      <w:divBdr>
        <w:top w:val="none" w:sz="0" w:space="0" w:color="auto"/>
        <w:left w:val="none" w:sz="0" w:space="0" w:color="auto"/>
        <w:bottom w:val="none" w:sz="0" w:space="0" w:color="auto"/>
        <w:right w:val="none" w:sz="0" w:space="0" w:color="auto"/>
      </w:divBdr>
      <w:divsChild>
        <w:div w:id="1211109042">
          <w:marLeft w:val="0"/>
          <w:marRight w:val="0"/>
          <w:marTop w:val="0"/>
          <w:marBottom w:val="0"/>
          <w:divBdr>
            <w:top w:val="none" w:sz="0" w:space="0" w:color="auto"/>
            <w:left w:val="none" w:sz="0" w:space="0" w:color="auto"/>
            <w:bottom w:val="none" w:sz="0" w:space="0" w:color="auto"/>
            <w:right w:val="none" w:sz="0" w:space="0" w:color="auto"/>
          </w:divBdr>
          <w:divsChild>
            <w:div w:id="812061829">
              <w:marLeft w:val="0"/>
              <w:marRight w:val="0"/>
              <w:marTop w:val="0"/>
              <w:marBottom w:val="0"/>
              <w:divBdr>
                <w:top w:val="none" w:sz="0" w:space="0" w:color="auto"/>
                <w:left w:val="none" w:sz="0" w:space="0" w:color="auto"/>
                <w:bottom w:val="none" w:sz="0" w:space="0" w:color="auto"/>
                <w:right w:val="none" w:sz="0" w:space="0" w:color="auto"/>
              </w:divBdr>
              <w:divsChild>
                <w:div w:id="17832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3495195">
      <w:bodyDiv w:val="1"/>
      <w:marLeft w:val="0"/>
      <w:marRight w:val="0"/>
      <w:marTop w:val="0"/>
      <w:marBottom w:val="0"/>
      <w:divBdr>
        <w:top w:val="none" w:sz="0" w:space="0" w:color="auto"/>
        <w:left w:val="none" w:sz="0" w:space="0" w:color="auto"/>
        <w:bottom w:val="none" w:sz="0" w:space="0" w:color="auto"/>
        <w:right w:val="none" w:sz="0" w:space="0" w:color="auto"/>
      </w:divBdr>
      <w:divsChild>
        <w:div w:id="430053026">
          <w:marLeft w:val="0"/>
          <w:marRight w:val="0"/>
          <w:marTop w:val="0"/>
          <w:marBottom w:val="0"/>
          <w:divBdr>
            <w:top w:val="none" w:sz="0" w:space="0" w:color="auto"/>
            <w:left w:val="none" w:sz="0" w:space="0" w:color="auto"/>
            <w:bottom w:val="none" w:sz="0" w:space="0" w:color="auto"/>
            <w:right w:val="none" w:sz="0" w:space="0" w:color="auto"/>
          </w:divBdr>
          <w:divsChild>
            <w:div w:id="208104036">
              <w:marLeft w:val="0"/>
              <w:marRight w:val="0"/>
              <w:marTop w:val="0"/>
              <w:marBottom w:val="0"/>
              <w:divBdr>
                <w:top w:val="none" w:sz="0" w:space="0" w:color="auto"/>
                <w:left w:val="none" w:sz="0" w:space="0" w:color="auto"/>
                <w:bottom w:val="none" w:sz="0" w:space="0" w:color="auto"/>
                <w:right w:val="none" w:sz="0" w:space="0" w:color="auto"/>
              </w:divBdr>
              <w:divsChild>
                <w:div w:id="20051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81507928">
      <w:bodyDiv w:val="1"/>
      <w:marLeft w:val="0"/>
      <w:marRight w:val="0"/>
      <w:marTop w:val="0"/>
      <w:marBottom w:val="0"/>
      <w:divBdr>
        <w:top w:val="none" w:sz="0" w:space="0" w:color="auto"/>
        <w:left w:val="none" w:sz="0" w:space="0" w:color="auto"/>
        <w:bottom w:val="none" w:sz="0" w:space="0" w:color="auto"/>
        <w:right w:val="none" w:sz="0" w:space="0" w:color="auto"/>
      </w:divBdr>
    </w:div>
    <w:div w:id="1182429496">
      <w:bodyDiv w:val="1"/>
      <w:marLeft w:val="0"/>
      <w:marRight w:val="0"/>
      <w:marTop w:val="0"/>
      <w:marBottom w:val="0"/>
      <w:divBdr>
        <w:top w:val="none" w:sz="0" w:space="0" w:color="auto"/>
        <w:left w:val="none" w:sz="0" w:space="0" w:color="auto"/>
        <w:bottom w:val="none" w:sz="0" w:space="0" w:color="auto"/>
        <w:right w:val="none" w:sz="0" w:space="0" w:color="auto"/>
      </w:divBdr>
    </w:div>
    <w:div w:id="1189443421">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186503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5988133">
      <w:bodyDiv w:val="1"/>
      <w:marLeft w:val="0"/>
      <w:marRight w:val="0"/>
      <w:marTop w:val="0"/>
      <w:marBottom w:val="0"/>
      <w:divBdr>
        <w:top w:val="none" w:sz="0" w:space="0" w:color="auto"/>
        <w:left w:val="none" w:sz="0" w:space="0" w:color="auto"/>
        <w:bottom w:val="none" w:sz="0" w:space="0" w:color="auto"/>
        <w:right w:val="none" w:sz="0" w:space="0" w:color="auto"/>
      </w:divBdr>
    </w:div>
    <w:div w:id="125477556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4968335">
      <w:bodyDiv w:val="1"/>
      <w:marLeft w:val="0"/>
      <w:marRight w:val="0"/>
      <w:marTop w:val="0"/>
      <w:marBottom w:val="0"/>
      <w:divBdr>
        <w:top w:val="none" w:sz="0" w:space="0" w:color="auto"/>
        <w:left w:val="none" w:sz="0" w:space="0" w:color="auto"/>
        <w:bottom w:val="none" w:sz="0" w:space="0" w:color="auto"/>
        <w:right w:val="none" w:sz="0" w:space="0" w:color="auto"/>
      </w:divBdr>
      <w:divsChild>
        <w:div w:id="2080713536">
          <w:marLeft w:val="0"/>
          <w:marRight w:val="0"/>
          <w:marTop w:val="0"/>
          <w:marBottom w:val="0"/>
          <w:divBdr>
            <w:top w:val="none" w:sz="0" w:space="0" w:color="auto"/>
            <w:left w:val="none" w:sz="0" w:space="0" w:color="auto"/>
            <w:bottom w:val="none" w:sz="0" w:space="0" w:color="auto"/>
            <w:right w:val="none" w:sz="0" w:space="0" w:color="auto"/>
          </w:divBdr>
          <w:divsChild>
            <w:div w:id="243338054">
              <w:marLeft w:val="0"/>
              <w:marRight w:val="0"/>
              <w:marTop w:val="0"/>
              <w:marBottom w:val="0"/>
              <w:divBdr>
                <w:top w:val="none" w:sz="0" w:space="0" w:color="auto"/>
                <w:left w:val="none" w:sz="0" w:space="0" w:color="auto"/>
                <w:bottom w:val="none" w:sz="0" w:space="0" w:color="auto"/>
                <w:right w:val="none" w:sz="0" w:space="0" w:color="auto"/>
              </w:divBdr>
              <w:divsChild>
                <w:div w:id="33777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3351">
      <w:bodyDiv w:val="1"/>
      <w:marLeft w:val="0"/>
      <w:marRight w:val="0"/>
      <w:marTop w:val="0"/>
      <w:marBottom w:val="0"/>
      <w:divBdr>
        <w:top w:val="none" w:sz="0" w:space="0" w:color="auto"/>
        <w:left w:val="none" w:sz="0" w:space="0" w:color="auto"/>
        <w:bottom w:val="none" w:sz="0" w:space="0" w:color="auto"/>
        <w:right w:val="none" w:sz="0" w:space="0" w:color="auto"/>
      </w:divBdr>
    </w:div>
    <w:div w:id="1313947318">
      <w:bodyDiv w:val="1"/>
      <w:marLeft w:val="0"/>
      <w:marRight w:val="0"/>
      <w:marTop w:val="0"/>
      <w:marBottom w:val="0"/>
      <w:divBdr>
        <w:top w:val="none" w:sz="0" w:space="0" w:color="auto"/>
        <w:left w:val="none" w:sz="0" w:space="0" w:color="auto"/>
        <w:bottom w:val="none" w:sz="0" w:space="0" w:color="auto"/>
        <w:right w:val="none" w:sz="0" w:space="0" w:color="auto"/>
      </w:divBdr>
    </w:div>
    <w:div w:id="1316107953">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882345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5009050">
      <w:bodyDiv w:val="1"/>
      <w:marLeft w:val="0"/>
      <w:marRight w:val="0"/>
      <w:marTop w:val="0"/>
      <w:marBottom w:val="0"/>
      <w:divBdr>
        <w:top w:val="none" w:sz="0" w:space="0" w:color="auto"/>
        <w:left w:val="none" w:sz="0" w:space="0" w:color="auto"/>
        <w:bottom w:val="none" w:sz="0" w:space="0" w:color="auto"/>
        <w:right w:val="none" w:sz="0" w:space="0" w:color="auto"/>
      </w:divBdr>
      <w:divsChild>
        <w:div w:id="391272046">
          <w:marLeft w:val="0"/>
          <w:marRight w:val="0"/>
          <w:marTop w:val="0"/>
          <w:marBottom w:val="0"/>
          <w:divBdr>
            <w:top w:val="none" w:sz="0" w:space="0" w:color="auto"/>
            <w:left w:val="none" w:sz="0" w:space="0" w:color="auto"/>
            <w:bottom w:val="none" w:sz="0" w:space="0" w:color="auto"/>
            <w:right w:val="none" w:sz="0" w:space="0" w:color="auto"/>
          </w:divBdr>
          <w:divsChild>
            <w:div w:id="28797870">
              <w:marLeft w:val="0"/>
              <w:marRight w:val="0"/>
              <w:marTop w:val="0"/>
              <w:marBottom w:val="0"/>
              <w:divBdr>
                <w:top w:val="none" w:sz="0" w:space="0" w:color="auto"/>
                <w:left w:val="none" w:sz="0" w:space="0" w:color="auto"/>
                <w:bottom w:val="none" w:sz="0" w:space="0" w:color="auto"/>
                <w:right w:val="none" w:sz="0" w:space="0" w:color="auto"/>
              </w:divBdr>
              <w:divsChild>
                <w:div w:id="9305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714898">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5109071">
      <w:bodyDiv w:val="1"/>
      <w:marLeft w:val="0"/>
      <w:marRight w:val="0"/>
      <w:marTop w:val="0"/>
      <w:marBottom w:val="0"/>
      <w:divBdr>
        <w:top w:val="none" w:sz="0" w:space="0" w:color="auto"/>
        <w:left w:val="none" w:sz="0" w:space="0" w:color="auto"/>
        <w:bottom w:val="none" w:sz="0" w:space="0" w:color="auto"/>
        <w:right w:val="none" w:sz="0" w:space="0" w:color="auto"/>
      </w:divBdr>
      <w:divsChild>
        <w:div w:id="855462666">
          <w:marLeft w:val="0"/>
          <w:marRight w:val="0"/>
          <w:marTop w:val="0"/>
          <w:marBottom w:val="0"/>
          <w:divBdr>
            <w:top w:val="none" w:sz="0" w:space="0" w:color="auto"/>
            <w:left w:val="none" w:sz="0" w:space="0" w:color="auto"/>
            <w:bottom w:val="none" w:sz="0" w:space="0" w:color="auto"/>
            <w:right w:val="none" w:sz="0" w:space="0" w:color="auto"/>
          </w:divBdr>
        </w:div>
      </w:divsChild>
    </w:div>
    <w:div w:id="1358771283">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41595">
      <w:bodyDiv w:val="1"/>
      <w:marLeft w:val="0"/>
      <w:marRight w:val="0"/>
      <w:marTop w:val="0"/>
      <w:marBottom w:val="0"/>
      <w:divBdr>
        <w:top w:val="none" w:sz="0" w:space="0" w:color="auto"/>
        <w:left w:val="none" w:sz="0" w:space="0" w:color="auto"/>
        <w:bottom w:val="none" w:sz="0" w:space="0" w:color="auto"/>
        <w:right w:val="none" w:sz="0" w:space="0" w:color="auto"/>
      </w:divBdr>
      <w:divsChild>
        <w:div w:id="2105297757">
          <w:marLeft w:val="0"/>
          <w:marRight w:val="0"/>
          <w:marTop w:val="0"/>
          <w:marBottom w:val="0"/>
          <w:divBdr>
            <w:top w:val="none" w:sz="0" w:space="0" w:color="auto"/>
            <w:left w:val="none" w:sz="0" w:space="0" w:color="auto"/>
            <w:bottom w:val="none" w:sz="0" w:space="0" w:color="auto"/>
            <w:right w:val="none" w:sz="0" w:space="0" w:color="auto"/>
          </w:divBdr>
          <w:divsChild>
            <w:div w:id="1312759413">
              <w:marLeft w:val="0"/>
              <w:marRight w:val="0"/>
              <w:marTop w:val="0"/>
              <w:marBottom w:val="0"/>
              <w:divBdr>
                <w:top w:val="none" w:sz="0" w:space="0" w:color="auto"/>
                <w:left w:val="none" w:sz="0" w:space="0" w:color="auto"/>
                <w:bottom w:val="none" w:sz="0" w:space="0" w:color="auto"/>
                <w:right w:val="none" w:sz="0" w:space="0" w:color="auto"/>
              </w:divBdr>
              <w:divsChild>
                <w:div w:id="10494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0760865">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3982075">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5894170">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036390">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2164866">
      <w:bodyDiv w:val="1"/>
      <w:marLeft w:val="0"/>
      <w:marRight w:val="0"/>
      <w:marTop w:val="0"/>
      <w:marBottom w:val="0"/>
      <w:divBdr>
        <w:top w:val="none" w:sz="0" w:space="0" w:color="auto"/>
        <w:left w:val="none" w:sz="0" w:space="0" w:color="auto"/>
        <w:bottom w:val="none" w:sz="0" w:space="0" w:color="auto"/>
        <w:right w:val="none" w:sz="0" w:space="0" w:color="auto"/>
      </w:divBdr>
      <w:divsChild>
        <w:div w:id="296760689">
          <w:marLeft w:val="0"/>
          <w:marRight w:val="0"/>
          <w:marTop w:val="0"/>
          <w:marBottom w:val="0"/>
          <w:divBdr>
            <w:top w:val="none" w:sz="0" w:space="0" w:color="auto"/>
            <w:left w:val="none" w:sz="0" w:space="0" w:color="auto"/>
            <w:bottom w:val="none" w:sz="0" w:space="0" w:color="auto"/>
            <w:right w:val="none" w:sz="0" w:space="0" w:color="auto"/>
          </w:divBdr>
          <w:divsChild>
            <w:div w:id="1073745745">
              <w:marLeft w:val="0"/>
              <w:marRight w:val="0"/>
              <w:marTop w:val="0"/>
              <w:marBottom w:val="0"/>
              <w:divBdr>
                <w:top w:val="none" w:sz="0" w:space="0" w:color="auto"/>
                <w:left w:val="none" w:sz="0" w:space="0" w:color="auto"/>
                <w:bottom w:val="none" w:sz="0" w:space="0" w:color="auto"/>
                <w:right w:val="none" w:sz="0" w:space="0" w:color="auto"/>
              </w:divBdr>
              <w:divsChild>
                <w:div w:id="259144006">
                  <w:marLeft w:val="0"/>
                  <w:marRight w:val="0"/>
                  <w:marTop w:val="0"/>
                  <w:marBottom w:val="0"/>
                  <w:divBdr>
                    <w:top w:val="none" w:sz="0" w:space="0" w:color="auto"/>
                    <w:left w:val="none" w:sz="0" w:space="0" w:color="auto"/>
                    <w:bottom w:val="none" w:sz="0" w:space="0" w:color="auto"/>
                    <w:right w:val="none" w:sz="0" w:space="0" w:color="auto"/>
                  </w:divBdr>
                  <w:divsChild>
                    <w:div w:id="5022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290846">
      <w:bodyDiv w:val="1"/>
      <w:marLeft w:val="0"/>
      <w:marRight w:val="0"/>
      <w:marTop w:val="0"/>
      <w:marBottom w:val="0"/>
      <w:divBdr>
        <w:top w:val="none" w:sz="0" w:space="0" w:color="auto"/>
        <w:left w:val="none" w:sz="0" w:space="0" w:color="auto"/>
        <w:bottom w:val="none" w:sz="0" w:space="0" w:color="auto"/>
        <w:right w:val="none" w:sz="0" w:space="0" w:color="auto"/>
      </w:divBdr>
    </w:div>
    <w:div w:id="1530412025">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6309266">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7140971">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6209857">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3070907">
      <w:bodyDiv w:val="1"/>
      <w:marLeft w:val="0"/>
      <w:marRight w:val="0"/>
      <w:marTop w:val="0"/>
      <w:marBottom w:val="0"/>
      <w:divBdr>
        <w:top w:val="none" w:sz="0" w:space="0" w:color="auto"/>
        <w:left w:val="none" w:sz="0" w:space="0" w:color="auto"/>
        <w:bottom w:val="none" w:sz="0" w:space="0" w:color="auto"/>
        <w:right w:val="none" w:sz="0" w:space="0" w:color="auto"/>
      </w:divBdr>
    </w:div>
    <w:div w:id="1625236667">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47393420">
      <w:bodyDiv w:val="1"/>
      <w:marLeft w:val="0"/>
      <w:marRight w:val="0"/>
      <w:marTop w:val="0"/>
      <w:marBottom w:val="0"/>
      <w:divBdr>
        <w:top w:val="none" w:sz="0" w:space="0" w:color="auto"/>
        <w:left w:val="none" w:sz="0" w:space="0" w:color="auto"/>
        <w:bottom w:val="none" w:sz="0" w:space="0" w:color="auto"/>
        <w:right w:val="none" w:sz="0" w:space="0" w:color="auto"/>
      </w:divBdr>
      <w:divsChild>
        <w:div w:id="867252968">
          <w:marLeft w:val="0"/>
          <w:marRight w:val="0"/>
          <w:marTop w:val="0"/>
          <w:marBottom w:val="0"/>
          <w:divBdr>
            <w:top w:val="none" w:sz="0" w:space="0" w:color="auto"/>
            <w:left w:val="none" w:sz="0" w:space="0" w:color="auto"/>
            <w:bottom w:val="none" w:sz="0" w:space="0" w:color="auto"/>
            <w:right w:val="none" w:sz="0" w:space="0" w:color="auto"/>
          </w:divBdr>
          <w:divsChild>
            <w:div w:id="1451439246">
              <w:marLeft w:val="0"/>
              <w:marRight w:val="0"/>
              <w:marTop w:val="0"/>
              <w:marBottom w:val="0"/>
              <w:divBdr>
                <w:top w:val="none" w:sz="0" w:space="0" w:color="auto"/>
                <w:left w:val="none" w:sz="0" w:space="0" w:color="auto"/>
                <w:bottom w:val="none" w:sz="0" w:space="0" w:color="auto"/>
                <w:right w:val="none" w:sz="0" w:space="0" w:color="auto"/>
              </w:divBdr>
              <w:divsChild>
                <w:div w:id="18115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76146">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69071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3968461">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202">
      <w:bodyDiv w:val="1"/>
      <w:marLeft w:val="0"/>
      <w:marRight w:val="0"/>
      <w:marTop w:val="0"/>
      <w:marBottom w:val="0"/>
      <w:divBdr>
        <w:top w:val="none" w:sz="0" w:space="0" w:color="auto"/>
        <w:left w:val="none" w:sz="0" w:space="0" w:color="auto"/>
        <w:bottom w:val="none" w:sz="0" w:space="0" w:color="auto"/>
        <w:right w:val="none" w:sz="0" w:space="0" w:color="auto"/>
      </w:divBdr>
      <w:divsChild>
        <w:div w:id="1548105905">
          <w:marLeft w:val="0"/>
          <w:marRight w:val="0"/>
          <w:marTop w:val="0"/>
          <w:marBottom w:val="0"/>
          <w:divBdr>
            <w:top w:val="none" w:sz="0" w:space="0" w:color="auto"/>
            <w:left w:val="none" w:sz="0" w:space="0" w:color="auto"/>
            <w:bottom w:val="none" w:sz="0" w:space="0" w:color="auto"/>
            <w:right w:val="none" w:sz="0" w:space="0" w:color="auto"/>
          </w:divBdr>
          <w:divsChild>
            <w:div w:id="1053508095">
              <w:marLeft w:val="0"/>
              <w:marRight w:val="0"/>
              <w:marTop w:val="0"/>
              <w:marBottom w:val="0"/>
              <w:divBdr>
                <w:top w:val="none" w:sz="0" w:space="0" w:color="auto"/>
                <w:left w:val="none" w:sz="0" w:space="0" w:color="auto"/>
                <w:bottom w:val="none" w:sz="0" w:space="0" w:color="auto"/>
                <w:right w:val="none" w:sz="0" w:space="0" w:color="auto"/>
              </w:divBdr>
              <w:divsChild>
                <w:div w:id="10954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66588">
      <w:bodyDiv w:val="1"/>
      <w:marLeft w:val="0"/>
      <w:marRight w:val="0"/>
      <w:marTop w:val="0"/>
      <w:marBottom w:val="0"/>
      <w:divBdr>
        <w:top w:val="none" w:sz="0" w:space="0" w:color="auto"/>
        <w:left w:val="none" w:sz="0" w:space="0" w:color="auto"/>
        <w:bottom w:val="none" w:sz="0" w:space="0" w:color="auto"/>
        <w:right w:val="none" w:sz="0" w:space="0" w:color="auto"/>
      </w:divBdr>
    </w:div>
    <w:div w:id="1710837825">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835866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1450">
      <w:bodyDiv w:val="1"/>
      <w:marLeft w:val="0"/>
      <w:marRight w:val="0"/>
      <w:marTop w:val="0"/>
      <w:marBottom w:val="0"/>
      <w:divBdr>
        <w:top w:val="none" w:sz="0" w:space="0" w:color="auto"/>
        <w:left w:val="none" w:sz="0" w:space="0" w:color="auto"/>
        <w:bottom w:val="none" w:sz="0" w:space="0" w:color="auto"/>
        <w:right w:val="none" w:sz="0" w:space="0" w:color="auto"/>
      </w:divBdr>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513686">
      <w:bodyDiv w:val="1"/>
      <w:marLeft w:val="0"/>
      <w:marRight w:val="0"/>
      <w:marTop w:val="0"/>
      <w:marBottom w:val="0"/>
      <w:divBdr>
        <w:top w:val="none" w:sz="0" w:space="0" w:color="auto"/>
        <w:left w:val="none" w:sz="0" w:space="0" w:color="auto"/>
        <w:bottom w:val="none" w:sz="0" w:space="0" w:color="auto"/>
        <w:right w:val="none" w:sz="0" w:space="0" w:color="auto"/>
      </w:divBdr>
      <w:divsChild>
        <w:div w:id="2009480472">
          <w:marLeft w:val="0"/>
          <w:marRight w:val="0"/>
          <w:marTop w:val="0"/>
          <w:marBottom w:val="0"/>
          <w:divBdr>
            <w:top w:val="none" w:sz="0" w:space="0" w:color="auto"/>
            <w:left w:val="none" w:sz="0" w:space="0" w:color="auto"/>
            <w:bottom w:val="none" w:sz="0" w:space="0" w:color="auto"/>
            <w:right w:val="none" w:sz="0" w:space="0" w:color="auto"/>
          </w:divBdr>
        </w:div>
        <w:div w:id="1856729652">
          <w:marLeft w:val="0"/>
          <w:marRight w:val="0"/>
          <w:marTop w:val="0"/>
          <w:marBottom w:val="0"/>
          <w:divBdr>
            <w:top w:val="none" w:sz="0" w:space="0" w:color="auto"/>
            <w:left w:val="none" w:sz="0" w:space="0" w:color="auto"/>
            <w:bottom w:val="none" w:sz="0" w:space="0" w:color="auto"/>
            <w:right w:val="none" w:sz="0" w:space="0" w:color="auto"/>
          </w:divBdr>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1440094">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3356704">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7890926">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1239229">
      <w:bodyDiv w:val="1"/>
      <w:marLeft w:val="0"/>
      <w:marRight w:val="0"/>
      <w:marTop w:val="0"/>
      <w:marBottom w:val="0"/>
      <w:divBdr>
        <w:top w:val="none" w:sz="0" w:space="0" w:color="auto"/>
        <w:left w:val="none" w:sz="0" w:space="0" w:color="auto"/>
        <w:bottom w:val="none" w:sz="0" w:space="0" w:color="auto"/>
        <w:right w:val="none" w:sz="0" w:space="0" w:color="auto"/>
      </w:divBdr>
    </w:div>
    <w:div w:id="1886211031">
      <w:bodyDiv w:val="1"/>
      <w:marLeft w:val="0"/>
      <w:marRight w:val="0"/>
      <w:marTop w:val="0"/>
      <w:marBottom w:val="0"/>
      <w:divBdr>
        <w:top w:val="none" w:sz="0" w:space="0" w:color="auto"/>
        <w:left w:val="none" w:sz="0" w:space="0" w:color="auto"/>
        <w:bottom w:val="none" w:sz="0" w:space="0" w:color="auto"/>
        <w:right w:val="none" w:sz="0" w:space="0" w:color="auto"/>
      </w:divBdr>
    </w:div>
    <w:div w:id="1892300800">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1645719">
      <w:bodyDiv w:val="1"/>
      <w:marLeft w:val="0"/>
      <w:marRight w:val="0"/>
      <w:marTop w:val="0"/>
      <w:marBottom w:val="0"/>
      <w:divBdr>
        <w:top w:val="none" w:sz="0" w:space="0" w:color="auto"/>
        <w:left w:val="none" w:sz="0" w:space="0" w:color="auto"/>
        <w:bottom w:val="none" w:sz="0" w:space="0" w:color="auto"/>
        <w:right w:val="none" w:sz="0" w:space="0" w:color="auto"/>
      </w:divBdr>
      <w:divsChild>
        <w:div w:id="2043360423">
          <w:marLeft w:val="0"/>
          <w:marRight w:val="0"/>
          <w:marTop w:val="0"/>
          <w:marBottom w:val="0"/>
          <w:divBdr>
            <w:top w:val="none" w:sz="0" w:space="0" w:color="auto"/>
            <w:left w:val="none" w:sz="0" w:space="0" w:color="auto"/>
            <w:bottom w:val="none" w:sz="0" w:space="0" w:color="auto"/>
            <w:right w:val="none" w:sz="0" w:space="0" w:color="auto"/>
          </w:divBdr>
          <w:divsChild>
            <w:div w:id="1639845949">
              <w:marLeft w:val="0"/>
              <w:marRight w:val="0"/>
              <w:marTop w:val="0"/>
              <w:marBottom w:val="0"/>
              <w:divBdr>
                <w:top w:val="none" w:sz="0" w:space="0" w:color="auto"/>
                <w:left w:val="none" w:sz="0" w:space="0" w:color="auto"/>
                <w:bottom w:val="none" w:sz="0" w:space="0" w:color="auto"/>
                <w:right w:val="none" w:sz="0" w:space="0" w:color="auto"/>
              </w:divBdr>
              <w:divsChild>
                <w:div w:id="131472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1715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7972508">
      <w:bodyDiv w:val="1"/>
      <w:marLeft w:val="0"/>
      <w:marRight w:val="0"/>
      <w:marTop w:val="0"/>
      <w:marBottom w:val="0"/>
      <w:divBdr>
        <w:top w:val="none" w:sz="0" w:space="0" w:color="auto"/>
        <w:left w:val="none" w:sz="0" w:space="0" w:color="auto"/>
        <w:bottom w:val="none" w:sz="0" w:space="0" w:color="auto"/>
        <w:right w:val="none" w:sz="0" w:space="0" w:color="auto"/>
      </w:divBdr>
    </w:div>
    <w:div w:id="1994260761">
      <w:bodyDiv w:val="1"/>
      <w:marLeft w:val="0"/>
      <w:marRight w:val="0"/>
      <w:marTop w:val="0"/>
      <w:marBottom w:val="0"/>
      <w:divBdr>
        <w:top w:val="none" w:sz="0" w:space="0" w:color="auto"/>
        <w:left w:val="none" w:sz="0" w:space="0" w:color="auto"/>
        <w:bottom w:val="none" w:sz="0" w:space="0" w:color="auto"/>
        <w:right w:val="none" w:sz="0" w:space="0" w:color="auto"/>
      </w:divBdr>
      <w:divsChild>
        <w:div w:id="104422062">
          <w:marLeft w:val="0"/>
          <w:marRight w:val="0"/>
          <w:marTop w:val="0"/>
          <w:marBottom w:val="0"/>
          <w:divBdr>
            <w:top w:val="none" w:sz="0" w:space="0" w:color="auto"/>
            <w:left w:val="none" w:sz="0" w:space="0" w:color="auto"/>
            <w:bottom w:val="none" w:sz="0" w:space="0" w:color="auto"/>
            <w:right w:val="none" w:sz="0" w:space="0" w:color="auto"/>
          </w:divBdr>
          <w:divsChild>
            <w:div w:id="391932008">
              <w:marLeft w:val="0"/>
              <w:marRight w:val="0"/>
              <w:marTop w:val="0"/>
              <w:marBottom w:val="0"/>
              <w:divBdr>
                <w:top w:val="none" w:sz="0" w:space="0" w:color="auto"/>
                <w:left w:val="none" w:sz="0" w:space="0" w:color="auto"/>
                <w:bottom w:val="none" w:sz="0" w:space="0" w:color="auto"/>
                <w:right w:val="none" w:sz="0" w:space="0" w:color="auto"/>
              </w:divBdr>
              <w:divsChild>
                <w:div w:id="54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55870">
      <w:bodyDiv w:val="1"/>
      <w:marLeft w:val="0"/>
      <w:marRight w:val="0"/>
      <w:marTop w:val="0"/>
      <w:marBottom w:val="0"/>
      <w:divBdr>
        <w:top w:val="none" w:sz="0" w:space="0" w:color="auto"/>
        <w:left w:val="none" w:sz="0" w:space="0" w:color="auto"/>
        <w:bottom w:val="none" w:sz="0" w:space="0" w:color="auto"/>
        <w:right w:val="none" w:sz="0" w:space="0" w:color="auto"/>
      </w:divBdr>
      <w:divsChild>
        <w:div w:id="214782564">
          <w:marLeft w:val="0"/>
          <w:marRight w:val="0"/>
          <w:marTop w:val="0"/>
          <w:marBottom w:val="0"/>
          <w:divBdr>
            <w:top w:val="none" w:sz="0" w:space="0" w:color="auto"/>
            <w:left w:val="none" w:sz="0" w:space="0" w:color="auto"/>
            <w:bottom w:val="none" w:sz="0" w:space="0" w:color="auto"/>
            <w:right w:val="none" w:sz="0" w:space="0" w:color="auto"/>
          </w:divBdr>
        </w:div>
      </w:divsChild>
    </w:div>
    <w:div w:id="2007128560">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486071">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5916025">
      <w:bodyDiv w:val="1"/>
      <w:marLeft w:val="0"/>
      <w:marRight w:val="0"/>
      <w:marTop w:val="0"/>
      <w:marBottom w:val="0"/>
      <w:divBdr>
        <w:top w:val="none" w:sz="0" w:space="0" w:color="auto"/>
        <w:left w:val="none" w:sz="0" w:space="0" w:color="auto"/>
        <w:bottom w:val="none" w:sz="0" w:space="0" w:color="auto"/>
        <w:right w:val="none" w:sz="0" w:space="0" w:color="auto"/>
      </w:divBdr>
      <w:divsChild>
        <w:div w:id="783884610">
          <w:marLeft w:val="0"/>
          <w:marRight w:val="0"/>
          <w:marTop w:val="0"/>
          <w:marBottom w:val="0"/>
          <w:divBdr>
            <w:top w:val="none" w:sz="0" w:space="0" w:color="auto"/>
            <w:left w:val="none" w:sz="0" w:space="0" w:color="auto"/>
            <w:bottom w:val="none" w:sz="0" w:space="0" w:color="auto"/>
            <w:right w:val="none" w:sz="0" w:space="0" w:color="auto"/>
          </w:divBdr>
          <w:divsChild>
            <w:div w:id="1107458244">
              <w:marLeft w:val="0"/>
              <w:marRight w:val="0"/>
              <w:marTop w:val="0"/>
              <w:marBottom w:val="0"/>
              <w:divBdr>
                <w:top w:val="none" w:sz="0" w:space="0" w:color="auto"/>
                <w:left w:val="none" w:sz="0" w:space="0" w:color="auto"/>
                <w:bottom w:val="none" w:sz="0" w:space="0" w:color="auto"/>
                <w:right w:val="none" w:sz="0" w:space="0" w:color="auto"/>
              </w:divBdr>
              <w:divsChild>
                <w:div w:id="159128880">
                  <w:marLeft w:val="0"/>
                  <w:marRight w:val="0"/>
                  <w:marTop w:val="0"/>
                  <w:marBottom w:val="0"/>
                  <w:divBdr>
                    <w:top w:val="none" w:sz="0" w:space="0" w:color="auto"/>
                    <w:left w:val="none" w:sz="0" w:space="0" w:color="auto"/>
                    <w:bottom w:val="none" w:sz="0" w:space="0" w:color="auto"/>
                    <w:right w:val="none" w:sz="0" w:space="0" w:color="auto"/>
                  </w:divBdr>
                  <w:divsChild>
                    <w:div w:id="668993830">
                      <w:marLeft w:val="0"/>
                      <w:marRight w:val="0"/>
                      <w:marTop w:val="0"/>
                      <w:marBottom w:val="0"/>
                      <w:divBdr>
                        <w:top w:val="none" w:sz="0" w:space="0" w:color="auto"/>
                        <w:left w:val="none" w:sz="0" w:space="0" w:color="auto"/>
                        <w:bottom w:val="none" w:sz="0" w:space="0" w:color="auto"/>
                        <w:right w:val="none" w:sz="0" w:space="0" w:color="auto"/>
                      </w:divBdr>
                      <w:divsChild>
                        <w:div w:id="1273974727">
                          <w:marLeft w:val="0"/>
                          <w:marRight w:val="0"/>
                          <w:marTop w:val="0"/>
                          <w:marBottom w:val="0"/>
                          <w:divBdr>
                            <w:top w:val="none" w:sz="0" w:space="0" w:color="auto"/>
                            <w:left w:val="none" w:sz="0" w:space="0" w:color="auto"/>
                            <w:bottom w:val="none" w:sz="0" w:space="0" w:color="auto"/>
                            <w:right w:val="none" w:sz="0" w:space="0" w:color="auto"/>
                          </w:divBdr>
                          <w:divsChild>
                            <w:div w:id="64645695">
                              <w:marLeft w:val="0"/>
                              <w:marRight w:val="0"/>
                              <w:marTop w:val="0"/>
                              <w:marBottom w:val="0"/>
                              <w:divBdr>
                                <w:top w:val="none" w:sz="0" w:space="0" w:color="auto"/>
                                <w:left w:val="none" w:sz="0" w:space="0" w:color="auto"/>
                                <w:bottom w:val="none" w:sz="0" w:space="0" w:color="auto"/>
                                <w:right w:val="none" w:sz="0" w:space="0" w:color="auto"/>
                              </w:divBdr>
                            </w:div>
                            <w:div w:id="190261289">
                              <w:marLeft w:val="0"/>
                              <w:marRight w:val="0"/>
                              <w:marTop w:val="0"/>
                              <w:marBottom w:val="0"/>
                              <w:divBdr>
                                <w:top w:val="none" w:sz="0" w:space="0" w:color="auto"/>
                                <w:left w:val="none" w:sz="0" w:space="0" w:color="auto"/>
                                <w:bottom w:val="none" w:sz="0" w:space="0" w:color="auto"/>
                                <w:right w:val="none" w:sz="0" w:space="0" w:color="auto"/>
                              </w:divBdr>
                            </w:div>
                            <w:div w:id="770782831">
                              <w:marLeft w:val="0"/>
                              <w:marRight w:val="0"/>
                              <w:marTop w:val="0"/>
                              <w:marBottom w:val="0"/>
                              <w:divBdr>
                                <w:top w:val="none" w:sz="0" w:space="0" w:color="auto"/>
                                <w:left w:val="none" w:sz="0" w:space="0" w:color="auto"/>
                                <w:bottom w:val="none" w:sz="0" w:space="0" w:color="auto"/>
                                <w:right w:val="none" w:sz="0" w:space="0" w:color="auto"/>
                              </w:divBdr>
                            </w:div>
                            <w:div w:id="13923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185568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4766162">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51148703">
      <w:bodyDiv w:val="1"/>
      <w:marLeft w:val="0"/>
      <w:marRight w:val="0"/>
      <w:marTop w:val="0"/>
      <w:marBottom w:val="0"/>
      <w:divBdr>
        <w:top w:val="none" w:sz="0" w:space="0" w:color="auto"/>
        <w:left w:val="none" w:sz="0" w:space="0" w:color="auto"/>
        <w:bottom w:val="none" w:sz="0" w:space="0" w:color="auto"/>
        <w:right w:val="none" w:sz="0" w:space="0" w:color="auto"/>
      </w:divBdr>
    </w:div>
    <w:div w:id="205245763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652150">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4592887">
      <w:bodyDiv w:val="1"/>
      <w:marLeft w:val="0"/>
      <w:marRight w:val="0"/>
      <w:marTop w:val="0"/>
      <w:marBottom w:val="0"/>
      <w:divBdr>
        <w:top w:val="none" w:sz="0" w:space="0" w:color="auto"/>
        <w:left w:val="none" w:sz="0" w:space="0" w:color="auto"/>
        <w:bottom w:val="none" w:sz="0" w:space="0" w:color="auto"/>
        <w:right w:val="none" w:sz="0" w:space="0" w:color="auto"/>
      </w:divBdr>
      <w:divsChild>
        <w:div w:id="294869055">
          <w:marLeft w:val="0"/>
          <w:marRight w:val="0"/>
          <w:marTop w:val="0"/>
          <w:marBottom w:val="0"/>
          <w:divBdr>
            <w:top w:val="none" w:sz="0" w:space="0" w:color="auto"/>
            <w:left w:val="none" w:sz="0" w:space="0" w:color="auto"/>
            <w:bottom w:val="none" w:sz="0" w:space="0" w:color="auto"/>
            <w:right w:val="none" w:sz="0" w:space="0" w:color="auto"/>
          </w:divBdr>
          <w:divsChild>
            <w:div w:id="1265723173">
              <w:marLeft w:val="0"/>
              <w:marRight w:val="0"/>
              <w:marTop w:val="0"/>
              <w:marBottom w:val="0"/>
              <w:divBdr>
                <w:top w:val="none" w:sz="0" w:space="0" w:color="auto"/>
                <w:left w:val="none" w:sz="0" w:space="0" w:color="auto"/>
                <w:bottom w:val="none" w:sz="0" w:space="0" w:color="auto"/>
                <w:right w:val="none" w:sz="0" w:space="0" w:color="auto"/>
              </w:divBdr>
              <w:divsChild>
                <w:div w:id="101503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401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4.png" Id="R6eb76d672d604362"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646AD42D-83BE-4135-9BC3-FB7134B3F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C:\Users\ximena.cabezas\AppData\Local\Microsoft\Windows\INetCache\Content.Outlook\N37DCYCK\Respuesta a consultas.dotm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Liliana Patricia Sanguino Arenas</lastModifiedBy>
  <revision>9</revision>
  <lastPrinted>2020-01-30T15:05:00.0000000Z</lastPrinted>
  <dcterms:created xsi:type="dcterms:W3CDTF">2022-03-08T01:55:00.0000000Z</dcterms:created>
  <dcterms:modified xsi:type="dcterms:W3CDTF">2022-03-29T03:30:36.5224506Z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