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5747B6" w:rsidRDefault="00714833"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r w:rsidRPr="005747B6">
        <w:rPr>
          <w:rFonts w:ascii="Arial" w:eastAsia="Calibri" w:hAnsi="Arial" w:cs="Arial"/>
          <w:b/>
          <w:bCs/>
          <w:sz w:val="22"/>
        </w:rPr>
        <w:t>LEY DE GARANTÍAS ELECTORALES ‒</w:t>
      </w:r>
      <w:bookmarkEnd w:id="0"/>
      <w:r w:rsidRPr="005747B6">
        <w:rPr>
          <w:rFonts w:ascii="Arial" w:eastAsia="Calibri" w:hAnsi="Arial" w:cs="Arial"/>
          <w:b/>
          <w:bCs/>
          <w:sz w:val="22"/>
        </w:rPr>
        <w:t xml:space="preserve"> Tipos de restricciones </w:t>
      </w:r>
      <w:bookmarkStart w:id="3" w:name="_Hlk77157034"/>
      <w:r w:rsidRPr="005747B6">
        <w:rPr>
          <w:rFonts w:ascii="Arial" w:eastAsia="Calibri" w:hAnsi="Arial" w:cs="Arial"/>
          <w:b/>
          <w:bCs/>
          <w:sz w:val="22"/>
        </w:rPr>
        <w:t xml:space="preserve">‒ </w:t>
      </w:r>
      <w:bookmarkStart w:id="4" w:name="_Hlk77153098"/>
      <w:bookmarkEnd w:id="3"/>
      <w:r w:rsidRPr="005747B6">
        <w:rPr>
          <w:rFonts w:ascii="Arial" w:eastAsia="Calibri" w:hAnsi="Arial" w:cs="Arial"/>
          <w:b/>
          <w:bCs/>
          <w:sz w:val="22"/>
        </w:rPr>
        <w:t xml:space="preserve">Ámbito temporal </w:t>
      </w:r>
      <w:bookmarkEnd w:id="4"/>
    </w:p>
    <w:p w14:paraId="7413A20D" w14:textId="77777777" w:rsidR="00714833" w:rsidRPr="00BB761E" w:rsidRDefault="00714833" w:rsidP="00714833">
      <w:pPr>
        <w:tabs>
          <w:tab w:val="left" w:pos="426"/>
        </w:tabs>
        <w:spacing w:after="0" w:line="240" w:lineRule="auto"/>
        <w:rPr>
          <w:rFonts w:ascii="Arial" w:eastAsia="Calibri" w:hAnsi="Arial" w:cs="Arial"/>
          <w:b/>
          <w:bCs/>
          <w:sz w:val="20"/>
          <w:szCs w:val="20"/>
        </w:rPr>
      </w:pPr>
    </w:p>
    <w:bookmarkEnd w:id="1"/>
    <w:p w14:paraId="303CAF7B" w14:textId="489C4D91" w:rsidR="00714833" w:rsidRPr="00BB761E" w:rsidRDefault="00714833" w:rsidP="00714833">
      <w:pPr>
        <w:tabs>
          <w:tab w:val="left" w:pos="426"/>
        </w:tabs>
        <w:spacing w:after="0" w:line="240" w:lineRule="auto"/>
        <w:rPr>
          <w:rFonts w:ascii="Arial" w:eastAsia="Calibri" w:hAnsi="Arial" w:cs="Arial"/>
          <w:noProof/>
          <w:sz w:val="20"/>
          <w:szCs w:val="20"/>
          <w:lang w:val="es-ES_tradnl"/>
        </w:rPr>
      </w:pPr>
      <w:r w:rsidRPr="00BB761E">
        <w:rPr>
          <w:rFonts w:ascii="Arial" w:eastAsia="Calibri" w:hAnsi="Arial" w:cs="Arial"/>
          <w:noProof/>
          <w:sz w:val="20"/>
          <w:szCs w:val="20"/>
          <w:lang w:val="es-ES_tradnl"/>
        </w:rPr>
        <w:t>[…]</w:t>
      </w:r>
      <w:r w:rsidR="00750C77" w:rsidRPr="00750C77">
        <w:rPr>
          <w:rFonts w:ascii="Arial" w:eastAsia="Calibri" w:hAnsi="Arial" w:cs="Arial"/>
          <w:noProof/>
          <w:sz w:val="20"/>
          <w:szCs w:val="20"/>
          <w:lang w:val="es-ES_tradnl"/>
        </w:rPr>
        <w:t xml:space="preserve">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BB761E"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5747B6" w:rsidRDefault="00714833" w:rsidP="00714833">
      <w:pPr>
        <w:tabs>
          <w:tab w:val="left" w:pos="426"/>
        </w:tabs>
        <w:spacing w:after="0" w:line="240" w:lineRule="auto"/>
        <w:rPr>
          <w:rFonts w:ascii="Arial" w:eastAsia="Calibri" w:hAnsi="Arial" w:cs="Arial"/>
          <w:b/>
          <w:bCs/>
          <w:sz w:val="22"/>
        </w:rPr>
      </w:pPr>
      <w:bookmarkStart w:id="5" w:name="_Hlk77165666"/>
      <w:r w:rsidRPr="005747B6">
        <w:rPr>
          <w:rFonts w:ascii="Arial" w:eastAsia="Calibri" w:hAnsi="Arial" w:cs="Arial"/>
          <w:b/>
          <w:bCs/>
          <w:sz w:val="22"/>
        </w:rPr>
        <w:t xml:space="preserve">LEY DE GARANTÍAS ELECTORALES ─ Prohibición ‒ </w:t>
      </w:r>
      <w:bookmarkEnd w:id="5"/>
      <w:r w:rsidRPr="005747B6">
        <w:rPr>
          <w:rFonts w:ascii="Arial" w:eastAsia="Calibri" w:hAnsi="Arial" w:cs="Arial"/>
          <w:b/>
          <w:bCs/>
          <w:sz w:val="22"/>
        </w:rPr>
        <w:t>Contratación directa ‒ Alcance</w:t>
      </w:r>
      <w:r w:rsidR="00AC1839" w:rsidRPr="005747B6">
        <w:rPr>
          <w:rFonts w:ascii="Arial" w:eastAsia="Calibri" w:hAnsi="Arial" w:cs="Arial"/>
          <w:b/>
          <w:bCs/>
          <w:sz w:val="22"/>
        </w:rPr>
        <w:t xml:space="preserve"> – </w:t>
      </w:r>
      <w:r w:rsidR="00AC1839" w:rsidRPr="005747B6">
        <w:rPr>
          <w:rFonts w:ascii="Arial" w:eastAsia="Times New Roman" w:hAnsi="Arial" w:cs="Arial"/>
          <w:b/>
          <w:bCs/>
          <w:sz w:val="22"/>
          <w:lang w:val="es-CO" w:eastAsia="es-CO"/>
        </w:rPr>
        <w:t>Excepciones</w:t>
      </w:r>
      <w:r w:rsidRPr="005747B6">
        <w:rPr>
          <w:rFonts w:ascii="Arial" w:eastAsia="Calibri" w:hAnsi="Arial" w:cs="Arial"/>
          <w:b/>
          <w:bCs/>
          <w:sz w:val="22"/>
        </w:rPr>
        <w:t xml:space="preserve"> </w:t>
      </w:r>
    </w:p>
    <w:p w14:paraId="17331853" w14:textId="77777777" w:rsidR="00714833" w:rsidRPr="00BB761E" w:rsidRDefault="00714833" w:rsidP="00714833">
      <w:pPr>
        <w:tabs>
          <w:tab w:val="left" w:pos="426"/>
        </w:tabs>
        <w:spacing w:after="0" w:line="240" w:lineRule="auto"/>
        <w:rPr>
          <w:rFonts w:ascii="Arial" w:eastAsia="Calibri" w:hAnsi="Arial" w:cs="Arial"/>
          <w:noProof/>
          <w:sz w:val="20"/>
          <w:szCs w:val="20"/>
        </w:rPr>
      </w:pPr>
    </w:p>
    <w:p w14:paraId="39562481" w14:textId="592FBAFE" w:rsidR="00714833" w:rsidRPr="00BB761E" w:rsidRDefault="00714833" w:rsidP="00AC1839">
      <w:pPr>
        <w:tabs>
          <w:tab w:val="left" w:pos="426"/>
        </w:tabs>
        <w:spacing w:after="0" w:line="240" w:lineRule="auto"/>
        <w:rPr>
          <w:rFonts w:ascii="Arial" w:eastAsia="Times New Roman" w:hAnsi="Arial" w:cs="Arial"/>
          <w:sz w:val="20"/>
          <w:szCs w:val="20"/>
          <w:lang w:eastAsia="es-ES"/>
        </w:rPr>
      </w:pPr>
      <w:r w:rsidRPr="00BB761E">
        <w:rPr>
          <w:rFonts w:ascii="Arial" w:eastAsia="Calibri" w:hAnsi="Arial" w:cs="Arial"/>
          <w:noProof/>
          <w:sz w:val="20"/>
          <w:szCs w:val="20"/>
        </w:rPr>
        <w:t xml:space="preserve">[…] </w:t>
      </w:r>
      <w:r w:rsidR="00750C77" w:rsidRPr="00750C77">
        <w:rPr>
          <w:rFonts w:ascii="Arial" w:eastAsia="Calibri" w:hAnsi="Arial" w:cs="Arial"/>
          <w:noProof/>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16C63032" w14:textId="77777777" w:rsidR="00856468" w:rsidRPr="00BB761E"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199B1451" w:rsidR="00714833" w:rsidRPr="00BB761E" w:rsidRDefault="00714833" w:rsidP="00714833">
      <w:pPr>
        <w:tabs>
          <w:tab w:val="left" w:pos="426"/>
        </w:tabs>
        <w:spacing w:after="0" w:line="240" w:lineRule="auto"/>
        <w:rPr>
          <w:rFonts w:ascii="Arial" w:hAnsi="Arial" w:cs="Arial"/>
          <w:sz w:val="20"/>
          <w:szCs w:val="20"/>
        </w:rPr>
      </w:pPr>
      <w:r w:rsidRPr="00BB761E">
        <w:rPr>
          <w:rFonts w:ascii="Arial" w:eastAsia="Times New Roman" w:hAnsi="Arial" w:cs="Arial"/>
          <w:sz w:val="20"/>
          <w:szCs w:val="20"/>
          <w:lang w:val="es-CO" w:eastAsia="x-none"/>
        </w:rPr>
        <w:t xml:space="preserve">[…] </w:t>
      </w:r>
      <w:r w:rsidR="00750C77" w:rsidRPr="00750C77">
        <w:rPr>
          <w:rFonts w:ascii="Arial" w:eastAsia="Times New Roman" w:hAnsi="Arial" w:cs="Arial"/>
          <w:sz w:val="20"/>
          <w:szCs w:val="20"/>
          <w:lang w:val="es-CO"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21730C7"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5747B6" w:rsidRDefault="00714833" w:rsidP="00714833">
      <w:pPr>
        <w:spacing w:after="0" w:line="240" w:lineRule="auto"/>
        <w:rPr>
          <w:rFonts w:ascii="Arial" w:eastAsia="Times New Roman" w:hAnsi="Arial" w:cs="Arial"/>
          <w:b/>
          <w:sz w:val="22"/>
          <w:lang w:val="es-ES" w:eastAsia="es-CO"/>
        </w:rPr>
      </w:pPr>
      <w:r w:rsidRPr="005747B6">
        <w:rPr>
          <w:rFonts w:ascii="Arial" w:eastAsia="Times New Roman" w:hAnsi="Arial" w:cs="Arial"/>
          <w:b/>
          <w:bCs/>
          <w:sz w:val="22"/>
          <w:lang w:val="es-CO" w:eastAsia="es-CO"/>
        </w:rPr>
        <w:t xml:space="preserve">LEY DE GARANTÍAS ELECTORALES </w:t>
      </w:r>
      <w:bookmarkStart w:id="6" w:name="_Hlk77166669"/>
      <w:r w:rsidRPr="005747B6">
        <w:rPr>
          <w:rFonts w:ascii="Arial" w:eastAsia="Times New Roman" w:hAnsi="Arial" w:cs="Arial"/>
          <w:b/>
          <w:bCs/>
          <w:sz w:val="22"/>
          <w:lang w:val="es-CO" w:eastAsia="es-CO"/>
        </w:rPr>
        <w:t>‒</w:t>
      </w:r>
      <w:bookmarkEnd w:id="6"/>
      <w:r w:rsidRPr="005747B6">
        <w:rPr>
          <w:rFonts w:ascii="Arial" w:eastAsia="Times New Roman" w:hAnsi="Arial" w:cs="Arial"/>
          <w:b/>
          <w:bCs/>
          <w:sz w:val="22"/>
          <w:lang w:val="es-CO" w:eastAsia="es-CO"/>
        </w:rPr>
        <w:t xml:space="preserve"> </w:t>
      </w:r>
      <w:r w:rsidRPr="005747B6">
        <w:rPr>
          <w:rFonts w:ascii="Arial" w:eastAsia="Times New Roman" w:hAnsi="Arial" w:cs="Arial"/>
          <w:b/>
          <w:sz w:val="22"/>
          <w:lang w:val="es-ES" w:eastAsia="es-CO"/>
        </w:rPr>
        <w:t xml:space="preserve">Prohibición del artículo 33 </w:t>
      </w:r>
      <w:r w:rsidRPr="005747B6">
        <w:rPr>
          <w:rFonts w:ascii="Arial" w:eastAsia="Times New Roman" w:hAnsi="Arial" w:cs="Arial"/>
          <w:b/>
          <w:bCs/>
          <w:sz w:val="22"/>
          <w:lang w:val="es-CO" w:eastAsia="es-CO"/>
        </w:rPr>
        <w:t>‒ Destinatarios</w:t>
      </w:r>
    </w:p>
    <w:p w14:paraId="0DB44496"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p w14:paraId="57B7D4EE" w14:textId="08AECB8D" w:rsidR="00714833" w:rsidRPr="00BB761E" w:rsidRDefault="00750C77" w:rsidP="00714833">
      <w:pPr>
        <w:tabs>
          <w:tab w:val="left" w:pos="426"/>
        </w:tabs>
        <w:spacing w:after="0" w:line="240" w:lineRule="auto"/>
        <w:rPr>
          <w:rFonts w:ascii="Arial" w:eastAsia="Calibri" w:hAnsi="Arial" w:cs="Arial"/>
          <w:noProof/>
          <w:sz w:val="20"/>
          <w:szCs w:val="20"/>
          <w:lang w:val="es-CO"/>
        </w:rPr>
      </w:pPr>
      <w:r w:rsidRPr="00750C77">
        <w:rPr>
          <w:rFonts w:ascii="Arial" w:eastAsia="Calibri" w:hAnsi="Arial" w:cs="Arial"/>
          <w:noProof/>
          <w:sz w:val="20"/>
          <w:szCs w:val="20"/>
          <w:lang w:val="es-CO"/>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Pr>
          <w:rFonts w:ascii="Arial" w:eastAsia="Calibri" w:hAnsi="Arial" w:cs="Arial"/>
          <w:noProof/>
          <w:sz w:val="20"/>
          <w:szCs w:val="20"/>
          <w:lang w:val="es-CO"/>
        </w:rPr>
        <w:t xml:space="preserve"> […]</w:t>
      </w:r>
    </w:p>
    <w:p w14:paraId="42708F45"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bookmarkEnd w:id="2"/>
    <w:p w14:paraId="22C3EDAD" w14:textId="7A54A643" w:rsidR="00714833" w:rsidRDefault="00E12E91" w:rsidP="00E12E91">
      <w:pPr>
        <w:tabs>
          <w:tab w:val="left" w:pos="426"/>
        </w:tabs>
        <w:spacing w:after="0" w:line="240" w:lineRule="auto"/>
        <w:rPr>
          <w:rFonts w:ascii="Arial" w:eastAsia="Calibri" w:hAnsi="Arial" w:cs="Arial"/>
          <w:b/>
          <w:bCs/>
          <w:sz w:val="22"/>
        </w:rPr>
      </w:pPr>
      <w:r w:rsidRPr="005747B6">
        <w:rPr>
          <w:rFonts w:ascii="Arial" w:eastAsia="Calibri" w:hAnsi="Arial" w:cs="Arial"/>
          <w:b/>
          <w:bCs/>
          <w:sz w:val="22"/>
        </w:rPr>
        <w:t xml:space="preserve">EMPRESAS DE SERVICIOS PÚBLICOS DOMICILIARIOS – Régimen jurídico </w:t>
      </w:r>
      <w:r w:rsidR="006433CA" w:rsidRPr="005747B6">
        <w:rPr>
          <w:rFonts w:ascii="Arial" w:eastAsia="Calibri" w:hAnsi="Arial" w:cs="Arial"/>
          <w:b/>
          <w:bCs/>
          <w:sz w:val="22"/>
        </w:rPr>
        <w:t>–</w:t>
      </w:r>
      <w:r w:rsidRPr="005747B6">
        <w:rPr>
          <w:rFonts w:ascii="Arial" w:eastAsia="Calibri" w:hAnsi="Arial" w:cs="Arial"/>
          <w:b/>
          <w:bCs/>
          <w:sz w:val="22"/>
        </w:rPr>
        <w:t xml:space="preserve"> </w:t>
      </w:r>
      <w:r w:rsidR="006433CA" w:rsidRPr="005747B6">
        <w:rPr>
          <w:rFonts w:ascii="Arial" w:eastAsia="Calibri" w:hAnsi="Arial" w:cs="Arial"/>
          <w:b/>
          <w:bCs/>
          <w:sz w:val="22"/>
        </w:rPr>
        <w:t xml:space="preserve">Entidades descentralizadas </w:t>
      </w:r>
      <w:r w:rsidR="00E41DED" w:rsidRPr="005747B6">
        <w:rPr>
          <w:rFonts w:ascii="Arial" w:eastAsia="Calibri" w:hAnsi="Arial" w:cs="Arial"/>
          <w:b/>
          <w:bCs/>
          <w:sz w:val="22"/>
        </w:rPr>
        <w:t>–</w:t>
      </w:r>
      <w:r w:rsidR="006433CA" w:rsidRPr="005747B6">
        <w:rPr>
          <w:rFonts w:ascii="Arial" w:eastAsia="Calibri" w:hAnsi="Arial" w:cs="Arial"/>
          <w:b/>
          <w:bCs/>
          <w:sz w:val="22"/>
        </w:rPr>
        <w:t xml:space="preserve"> </w:t>
      </w:r>
      <w:r w:rsidR="00E41DED" w:rsidRPr="005747B6">
        <w:rPr>
          <w:rFonts w:ascii="Arial" w:eastAsia="Calibri" w:hAnsi="Arial" w:cs="Arial"/>
          <w:b/>
          <w:bCs/>
          <w:sz w:val="22"/>
        </w:rPr>
        <w:t>Oficiales, mixtas y privadas</w:t>
      </w:r>
    </w:p>
    <w:p w14:paraId="1C7B5459" w14:textId="425FA57C" w:rsidR="005747B6" w:rsidRDefault="005747B6" w:rsidP="00E12E91">
      <w:pPr>
        <w:tabs>
          <w:tab w:val="left" w:pos="426"/>
        </w:tabs>
        <w:spacing w:after="0" w:line="240" w:lineRule="auto"/>
        <w:rPr>
          <w:rFonts w:ascii="Arial" w:eastAsia="Calibri" w:hAnsi="Arial" w:cs="Arial"/>
          <w:b/>
          <w:bCs/>
          <w:sz w:val="22"/>
        </w:rPr>
      </w:pPr>
    </w:p>
    <w:p w14:paraId="6A5C6700" w14:textId="1E5D1E8B" w:rsidR="005747B6" w:rsidRPr="002E2589" w:rsidRDefault="00750C77" w:rsidP="00E12E91">
      <w:pPr>
        <w:tabs>
          <w:tab w:val="left" w:pos="426"/>
        </w:tabs>
        <w:spacing w:after="0" w:line="240" w:lineRule="auto"/>
        <w:rPr>
          <w:rFonts w:ascii="Arial" w:eastAsia="Calibri" w:hAnsi="Arial" w:cs="Arial"/>
          <w:sz w:val="20"/>
          <w:szCs w:val="20"/>
        </w:rPr>
      </w:pPr>
      <w:r w:rsidRPr="00750C77">
        <w:rPr>
          <w:rFonts w:ascii="Arial" w:eastAsia="Calibri" w:hAnsi="Arial" w:cs="Arial"/>
          <w:sz w:val="20"/>
          <w:szCs w:val="20"/>
        </w:rPr>
        <w:t>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En desarrollo de esta habilitación superior, el Congreso de la República dispuso, en el artículo 15 de la Ley 142 de 1994, 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48D2306D" w14:textId="0E7BA72C" w:rsidR="009313E2" w:rsidRPr="002E2589" w:rsidRDefault="00C4574C" w:rsidP="00E12E91">
      <w:pPr>
        <w:tabs>
          <w:tab w:val="left" w:pos="426"/>
        </w:tabs>
        <w:spacing w:after="0" w:line="240" w:lineRule="auto"/>
        <w:rPr>
          <w:rFonts w:ascii="Arial" w:eastAsia="Calibri" w:hAnsi="Arial" w:cs="Arial"/>
          <w:sz w:val="20"/>
          <w:szCs w:val="20"/>
        </w:rPr>
      </w:pPr>
      <w:r>
        <w:rPr>
          <w:rFonts w:ascii="Arial" w:eastAsia="Calibri" w:hAnsi="Arial" w:cs="Arial"/>
          <w:sz w:val="20"/>
          <w:szCs w:val="20"/>
        </w:rPr>
        <w:t>[…]</w:t>
      </w:r>
    </w:p>
    <w:p w14:paraId="0C85973C" w14:textId="290C1846" w:rsidR="009313E2" w:rsidRPr="002E2589" w:rsidRDefault="009313E2" w:rsidP="009313E2">
      <w:pPr>
        <w:tabs>
          <w:tab w:val="left" w:pos="426"/>
        </w:tabs>
        <w:spacing w:after="0" w:line="240" w:lineRule="auto"/>
        <w:rPr>
          <w:rFonts w:ascii="Arial" w:eastAsia="Calibri" w:hAnsi="Arial" w:cs="Arial"/>
          <w:sz w:val="20"/>
          <w:szCs w:val="20"/>
        </w:rPr>
      </w:pPr>
      <w:r w:rsidRPr="002E2589">
        <w:rPr>
          <w:rFonts w:ascii="Arial" w:eastAsia="Calibri" w:hAnsi="Arial" w:cs="Arial"/>
          <w:sz w:val="20"/>
          <w:szCs w:val="20"/>
        </w:rPr>
        <w:t xml:space="preserve">[…] </w:t>
      </w:r>
      <w:r w:rsidR="00C4574C" w:rsidRPr="00C4574C">
        <w:rPr>
          <w:rFonts w:ascii="Arial" w:eastAsia="Calibri" w:hAnsi="Arial" w:cs="Arial"/>
          <w:sz w:val="20"/>
          <w:szCs w:val="20"/>
        </w:rPr>
        <w:t>la Corte Constitucional determinó que tanto las empresas de servicios públicos mixtas como las privadas hacían parte de la Rama Ejecutiva, toda vez que el literal g) del artículo 38 de la Ley 489 de 1998 aplica a «g) Las demás entidades administrativas nacionales con personería jurídica que cree, organice o autorice la ley para que formen parte de la Rama Ejecutiva del Poder Público».</w:t>
      </w:r>
    </w:p>
    <w:p w14:paraId="712A748A" w14:textId="77777777" w:rsidR="002E2589" w:rsidRPr="002E2589" w:rsidRDefault="002E2589" w:rsidP="009313E2">
      <w:pPr>
        <w:tabs>
          <w:tab w:val="left" w:pos="426"/>
        </w:tabs>
        <w:spacing w:after="0" w:line="240" w:lineRule="auto"/>
        <w:rPr>
          <w:rFonts w:ascii="Arial" w:eastAsia="Calibri" w:hAnsi="Arial" w:cs="Arial"/>
          <w:sz w:val="20"/>
          <w:szCs w:val="20"/>
        </w:rPr>
      </w:pPr>
    </w:p>
    <w:p w14:paraId="11D2A0E5" w14:textId="1316C1D4" w:rsidR="00E41DED" w:rsidRPr="002E2589" w:rsidRDefault="00C4574C" w:rsidP="009313E2">
      <w:pPr>
        <w:tabs>
          <w:tab w:val="left" w:pos="426"/>
        </w:tabs>
        <w:spacing w:after="0" w:line="240" w:lineRule="auto"/>
        <w:rPr>
          <w:rFonts w:ascii="Arial" w:eastAsia="Calibri" w:hAnsi="Arial" w:cs="Arial"/>
          <w:sz w:val="20"/>
          <w:szCs w:val="20"/>
        </w:rPr>
      </w:pPr>
      <w:r w:rsidRPr="00C4574C">
        <w:rPr>
          <w:rFonts w:ascii="Arial" w:eastAsia="Calibri" w:hAnsi="Arial" w:cs="Arial"/>
          <w:sz w:val="20"/>
          <w:szCs w:val="20"/>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Pr>
          <w:rFonts w:ascii="Arial" w:eastAsia="Calibri" w:hAnsi="Arial" w:cs="Arial"/>
          <w:sz w:val="20"/>
          <w:szCs w:val="20"/>
        </w:rPr>
        <w:t>. […]</w:t>
      </w:r>
    </w:p>
    <w:p w14:paraId="541EC81F" w14:textId="77777777" w:rsidR="00E41DED" w:rsidRPr="00E41DED" w:rsidRDefault="00E41DED" w:rsidP="00E12E91">
      <w:pPr>
        <w:tabs>
          <w:tab w:val="left" w:pos="426"/>
        </w:tabs>
        <w:spacing w:after="0" w:line="240" w:lineRule="auto"/>
        <w:rPr>
          <w:rFonts w:ascii="Arial" w:eastAsia="Times New Roman" w:hAnsi="Arial" w:cs="Arial"/>
          <w:sz w:val="20"/>
          <w:szCs w:val="20"/>
          <w:lang w:eastAsia="es-CO"/>
        </w:rPr>
      </w:pPr>
    </w:p>
    <w:p w14:paraId="14152CFE" w14:textId="52E61E7A" w:rsidR="00A31AAB" w:rsidRDefault="00A31AAB" w:rsidP="00E7700C">
      <w:pPr>
        <w:spacing w:after="120"/>
        <w:contextualSpacing/>
        <w:rPr>
          <w:rFonts w:ascii="Arial" w:eastAsia="Calibri" w:hAnsi="Arial" w:cs="Arial"/>
          <w:b/>
          <w:bCs/>
          <w:sz w:val="22"/>
        </w:rPr>
      </w:pPr>
    </w:p>
    <w:p w14:paraId="5207C4F0" w14:textId="3A26337F" w:rsidR="00C8577F" w:rsidRPr="0061564E" w:rsidRDefault="00CC4A96" w:rsidP="000E190F">
      <w:pPr>
        <w:rPr>
          <w:rFonts w:ascii="Arial" w:eastAsia="Calibri" w:hAnsi="Arial" w:cs="Arial"/>
          <w:b/>
          <w:bCs/>
          <w:sz w:val="22"/>
        </w:rPr>
      </w:pPr>
      <w:r>
        <w:rPr>
          <w:rFonts w:ascii="Arial" w:eastAsia="Calibri" w:hAnsi="Arial" w:cs="Arial"/>
          <w:b/>
          <w:bCs/>
          <w:sz w:val="22"/>
        </w:rPr>
        <w:br w:type="page"/>
      </w:r>
    </w:p>
    <w:p w14:paraId="1F53C937" w14:textId="66007D7C" w:rsidR="00152CA8" w:rsidRPr="000E190F" w:rsidRDefault="00152CA8" w:rsidP="00E7700C">
      <w:pPr>
        <w:spacing w:after="0"/>
        <w:jc w:val="right"/>
        <w:rPr>
          <w:rFonts w:ascii="Arial" w:eastAsia="Calibri" w:hAnsi="Arial" w:cs="Arial"/>
          <w:b/>
          <w:bCs/>
          <w:sz w:val="16"/>
          <w:szCs w:val="16"/>
          <w:lang w:val="es-CO"/>
        </w:rPr>
      </w:pPr>
      <w:bookmarkStart w:id="7" w:name="_Hlk29890381"/>
      <w:bookmarkEnd w:id="7"/>
      <w:r w:rsidRPr="000E190F">
        <w:rPr>
          <w:rFonts w:ascii="Arial" w:eastAsia="Times New Roman" w:hAnsi="Arial" w:cs="Arial"/>
          <w:b/>
          <w:bCs/>
          <w:sz w:val="16"/>
          <w:szCs w:val="16"/>
          <w:lang w:val="es-CO" w:eastAsia="es-ES"/>
        </w:rPr>
        <w:lastRenderedPageBreak/>
        <w:t>CCE-DES-FM-17</w:t>
      </w:r>
    </w:p>
    <w:p w14:paraId="745983A2" w14:textId="5702C196" w:rsidR="002B72C0" w:rsidRPr="00446B03" w:rsidRDefault="002B72C0" w:rsidP="000641BE">
      <w:pPr>
        <w:tabs>
          <w:tab w:val="left" w:pos="3374"/>
        </w:tabs>
        <w:spacing w:after="0" w:line="240" w:lineRule="auto"/>
        <w:rPr>
          <w:rFonts w:ascii="Arial" w:hAnsi="Arial" w:cs="Arial"/>
          <w:sz w:val="22"/>
        </w:rPr>
      </w:pPr>
    </w:p>
    <w:p w14:paraId="1FC98D95" w14:textId="2928ABF7" w:rsidR="002B72C0" w:rsidRPr="00446B03" w:rsidRDefault="002B72C0" w:rsidP="009F596F">
      <w:pPr>
        <w:tabs>
          <w:tab w:val="left" w:pos="3374"/>
        </w:tabs>
        <w:spacing w:after="0" w:line="240" w:lineRule="auto"/>
        <w:jc w:val="right"/>
        <w:rPr>
          <w:rFonts w:ascii="Arial" w:hAnsi="Arial" w:cs="Arial"/>
          <w:sz w:val="22"/>
        </w:rPr>
      </w:pPr>
    </w:p>
    <w:p w14:paraId="6412DF6F" w14:textId="77777777" w:rsidR="009F596F" w:rsidRDefault="009F596F" w:rsidP="009F596F">
      <w:pPr>
        <w:tabs>
          <w:tab w:val="left" w:pos="3374"/>
        </w:tabs>
        <w:spacing w:after="0" w:line="240" w:lineRule="auto"/>
        <w:jc w:val="right"/>
        <w:rPr>
          <w:rFonts w:ascii="Arial" w:hAnsi="Arial" w:cs="Arial"/>
          <w:sz w:val="22"/>
        </w:rPr>
      </w:pPr>
    </w:p>
    <w:p w14:paraId="3A62A060" w14:textId="7552477F" w:rsidR="009F596F" w:rsidRDefault="006F6508" w:rsidP="009F596F">
      <w:pPr>
        <w:tabs>
          <w:tab w:val="left" w:pos="3374"/>
        </w:tabs>
        <w:spacing w:after="0" w:line="240" w:lineRule="auto"/>
        <w:jc w:val="right"/>
        <w:rPr>
          <w:rFonts w:ascii="Arial" w:hAnsi="Arial" w:cs="Arial"/>
          <w:sz w:val="22"/>
        </w:rPr>
      </w:pPr>
      <w:r>
        <w:rPr>
          <w:rFonts w:ascii="Arial" w:hAnsi="Arial" w:cs="Arial"/>
          <w:noProof/>
          <w:sz w:val="22"/>
        </w:rPr>
        <w:drawing>
          <wp:inline distT="0" distB="0" distL="0" distR="0" wp14:anchorId="708DC493" wp14:editId="6BB11E03">
            <wp:extent cx="2766645" cy="74930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784782" cy="754212"/>
                    </a:xfrm>
                    <a:prstGeom prst="rect">
                      <a:avLst/>
                    </a:prstGeom>
                  </pic:spPr>
                </pic:pic>
              </a:graphicData>
            </a:graphic>
          </wp:inline>
        </w:drawing>
      </w:r>
    </w:p>
    <w:p w14:paraId="4E17CCE0" w14:textId="024EFD29" w:rsidR="00303D47" w:rsidRDefault="00303D47" w:rsidP="000641BE">
      <w:pPr>
        <w:spacing w:after="0" w:line="240" w:lineRule="auto"/>
        <w:rPr>
          <w:rFonts w:ascii="Arial" w:hAnsi="Arial" w:cs="Arial"/>
          <w:sz w:val="22"/>
        </w:rPr>
      </w:pPr>
    </w:p>
    <w:p w14:paraId="2B52CA10" w14:textId="77777777" w:rsidR="00450488" w:rsidRPr="00446B03" w:rsidRDefault="00450488" w:rsidP="000641BE">
      <w:pPr>
        <w:spacing w:after="0" w:line="240" w:lineRule="auto"/>
        <w:rPr>
          <w:rFonts w:ascii="Arial" w:eastAsia="Calibri" w:hAnsi="Arial" w:cs="Arial"/>
          <w:noProof/>
          <w:sz w:val="22"/>
          <w:lang w:val="es-ES_tradnl"/>
        </w:rPr>
      </w:pPr>
    </w:p>
    <w:p w14:paraId="6A81B1B9" w14:textId="1FD67B90" w:rsidR="00303D47" w:rsidRPr="00446B03" w:rsidRDefault="00303D47" w:rsidP="007C38F3">
      <w:pPr>
        <w:spacing w:after="0" w:line="240" w:lineRule="auto"/>
        <w:jc w:val="right"/>
        <w:rPr>
          <w:rFonts w:ascii="Arial" w:eastAsia="Calibri" w:hAnsi="Arial" w:cs="Arial"/>
          <w:sz w:val="22"/>
          <w:lang w:val="es-CO"/>
        </w:rPr>
      </w:pPr>
    </w:p>
    <w:p w14:paraId="0C04D954" w14:textId="649451B9" w:rsidR="00E206ED" w:rsidRPr="00446B03" w:rsidRDefault="00AF7FCE" w:rsidP="000641BE">
      <w:pPr>
        <w:spacing w:after="0" w:line="240" w:lineRule="auto"/>
        <w:rPr>
          <w:rFonts w:ascii="Arial" w:eastAsia="Calibri" w:hAnsi="Arial" w:cs="Arial"/>
          <w:sz w:val="22"/>
          <w:lang w:val="es-CO"/>
        </w:rPr>
      </w:pPr>
      <w:bookmarkStart w:id="8" w:name="_Hlk96417464"/>
      <w:r>
        <w:rPr>
          <w:rFonts w:ascii="Arial" w:eastAsia="Calibri" w:hAnsi="Arial" w:cs="Arial"/>
          <w:sz w:val="22"/>
          <w:lang w:val="es-CO"/>
        </w:rPr>
        <w:t>Señor</w:t>
      </w:r>
      <w:r w:rsidR="00CA6A3C">
        <w:rPr>
          <w:rFonts w:ascii="Arial" w:eastAsia="Calibri" w:hAnsi="Arial" w:cs="Arial"/>
          <w:sz w:val="22"/>
          <w:lang w:val="es-CO"/>
        </w:rPr>
        <w:t>es</w:t>
      </w:r>
    </w:p>
    <w:p w14:paraId="69FEA94F" w14:textId="5FE4DE81" w:rsidR="0098054E" w:rsidRPr="00446B03" w:rsidRDefault="00450488" w:rsidP="000641BE">
      <w:pPr>
        <w:spacing w:after="0" w:line="240" w:lineRule="auto"/>
        <w:rPr>
          <w:rFonts w:ascii="Arial" w:eastAsia="Calibri" w:hAnsi="Arial" w:cs="Arial"/>
          <w:b/>
          <w:sz w:val="22"/>
          <w:lang w:val="es-CO"/>
        </w:rPr>
      </w:pPr>
      <w:r>
        <w:rPr>
          <w:rFonts w:ascii="Arial" w:eastAsia="Calibri" w:hAnsi="Arial" w:cs="Arial"/>
          <w:b/>
          <w:sz w:val="22"/>
          <w:lang w:val="es-CO"/>
        </w:rPr>
        <w:t>Empresa de Servicios Públicos de Santa Marta –ESSMAR E.S.P.–</w:t>
      </w:r>
    </w:p>
    <w:p w14:paraId="72352372" w14:textId="24A02980" w:rsidR="00303D47" w:rsidRDefault="00450488">
      <w:pPr>
        <w:spacing w:after="0" w:line="240" w:lineRule="auto"/>
        <w:rPr>
          <w:rFonts w:ascii="Arial" w:eastAsia="Calibri" w:hAnsi="Arial" w:cs="Arial"/>
          <w:sz w:val="22"/>
          <w:lang w:val="es-CO"/>
        </w:rPr>
      </w:pPr>
      <w:r>
        <w:rPr>
          <w:rFonts w:ascii="Arial" w:eastAsia="Calibri" w:hAnsi="Arial" w:cs="Arial"/>
          <w:sz w:val="22"/>
          <w:lang w:val="es-CO"/>
        </w:rPr>
        <w:t>Santa Marta, Magdalena</w:t>
      </w:r>
    </w:p>
    <w:p w14:paraId="6AC2AE5F" w14:textId="77777777" w:rsidR="00975490" w:rsidRPr="00446B03" w:rsidRDefault="00975490" w:rsidP="00975490">
      <w:pPr>
        <w:spacing w:after="0" w:line="240" w:lineRule="auto"/>
        <w:rPr>
          <w:rFonts w:ascii="Arial" w:eastAsia="Calibri" w:hAnsi="Arial" w:cs="Arial"/>
          <w:sz w:val="22"/>
          <w:lang w:val="es-CO"/>
        </w:rPr>
      </w:pPr>
    </w:p>
    <w:p w14:paraId="20C73A65" w14:textId="77777777" w:rsidR="002B72C0" w:rsidRPr="00446B03" w:rsidRDefault="002B72C0" w:rsidP="000641BE">
      <w:pPr>
        <w:spacing w:after="0" w:line="240" w:lineRule="auto"/>
        <w:rPr>
          <w:rFonts w:ascii="Arial" w:eastAsia="Calibri" w:hAnsi="Arial" w:cs="Arial"/>
          <w:sz w:val="22"/>
          <w:lang w:val="es-CO"/>
        </w:rPr>
      </w:pPr>
    </w:p>
    <w:p w14:paraId="6316E3D6" w14:textId="6EEABAB6"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6B7542">
        <w:rPr>
          <w:rFonts w:ascii="Arial" w:eastAsia="Calibri" w:hAnsi="Arial" w:cs="Arial"/>
          <w:b/>
          <w:sz w:val="22"/>
          <w:lang w:val="es-CO"/>
        </w:rPr>
        <w:t>163</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A77440D" w14:textId="3EB52C1C" w:rsidR="00AC1839" w:rsidRPr="0076459E" w:rsidRDefault="00AC1839" w:rsidP="003630B0">
            <w:pPr>
              <w:spacing w:after="120"/>
              <w:ind w:right="703"/>
              <w:jc w:val="both"/>
              <w:rPr>
                <w:rFonts w:ascii="Arial" w:eastAsia="Calibri" w:hAnsi="Arial" w:cs="Arial"/>
                <w:bCs/>
                <w:sz w:val="22"/>
              </w:rPr>
            </w:pPr>
            <w:r w:rsidRPr="002E2589">
              <w:rPr>
                <w:rFonts w:ascii="Arial" w:eastAsia="Calibri" w:hAnsi="Arial" w:cs="Arial"/>
                <w:bCs/>
                <w:sz w:val="22"/>
              </w:rPr>
              <w:t xml:space="preserve">LEY DE GARANTÍAS ELECTORALES ‒ Tipos de restricciones ‒ Ámbito temporal / LEY DE GARANTÍAS ELECTORALES ─ Prohibición ‒ Contratación directa ‒ Alcance – Excepciones / LEY DE GARANTÍAS ELECTORALES ‒ Prohibición del artículo 33 ‒ Destinatarios / </w:t>
            </w:r>
            <w:r w:rsidR="002E2589" w:rsidRPr="002E2589">
              <w:rPr>
                <w:rFonts w:ascii="Arial" w:eastAsia="Calibri" w:hAnsi="Arial" w:cs="Arial"/>
                <w:bCs/>
                <w:sz w:val="22"/>
              </w:rPr>
              <w:t>EMPRESAS DE SERVICIOS PÚBLICOS DOMICILIARIOS – Régimen jurídico – Entidades descentralizadas – Oficiales, mixtas y privadas</w:t>
            </w:r>
          </w:p>
          <w:p w14:paraId="641BBBD5" w14:textId="7C7AA2BA" w:rsidR="00714833" w:rsidRPr="0076459E" w:rsidRDefault="00714833" w:rsidP="000641BE">
            <w:pPr>
              <w:spacing w:after="120"/>
              <w:rPr>
                <w:rFonts w:ascii="Arial" w:eastAsia="Calibri" w:hAnsi="Arial" w:cs="Arial"/>
                <w:bCs/>
                <w:sz w:val="22"/>
              </w:rPr>
            </w:pP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28432560"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6B7542" w:rsidRPr="006B7542">
              <w:rPr>
                <w:rFonts w:ascii="Arial" w:eastAsia="Calibri" w:hAnsi="Arial" w:cs="Arial"/>
                <w:noProof/>
                <w:sz w:val="22"/>
                <w:lang w:val="es-ES_tradnl"/>
              </w:rPr>
              <w:t>P20220221001716</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4FA84829"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975490">
        <w:rPr>
          <w:rFonts w:ascii="Arial" w:eastAsia="Calibri" w:hAnsi="Arial" w:cs="Arial"/>
          <w:sz w:val="22"/>
          <w:lang w:val="es-CO"/>
        </w:rPr>
        <w:t>o</w:t>
      </w:r>
      <w:r w:rsidR="004F248A">
        <w:rPr>
          <w:rFonts w:ascii="Arial" w:eastAsia="Calibri" w:hAnsi="Arial" w:cs="Arial"/>
          <w:sz w:val="22"/>
          <w:lang w:val="es-CO"/>
        </w:rPr>
        <w:t>s</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4F248A">
        <w:rPr>
          <w:rFonts w:ascii="Arial" w:eastAsia="Calibri" w:hAnsi="Arial" w:cs="Arial"/>
          <w:sz w:val="22"/>
          <w:lang w:val="es-CO"/>
        </w:rPr>
        <w:t>es</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6BF20A1B"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450488">
        <w:rPr>
          <w:rFonts w:ascii="Arial" w:eastAsia="Calibri" w:hAnsi="Arial" w:cs="Arial"/>
          <w:sz w:val="22"/>
          <w:lang w:val="es-CO"/>
        </w:rPr>
        <w:t>21</w:t>
      </w:r>
      <w:r w:rsidR="00975490">
        <w:rPr>
          <w:rFonts w:ascii="Arial" w:eastAsia="Calibri" w:hAnsi="Arial" w:cs="Arial"/>
          <w:sz w:val="22"/>
          <w:lang w:val="es-CO"/>
        </w:rPr>
        <w:t xml:space="preserve"> de </w:t>
      </w:r>
      <w:r w:rsidR="00450488">
        <w:rPr>
          <w:rFonts w:ascii="Arial" w:eastAsia="Calibri" w:hAnsi="Arial" w:cs="Arial"/>
          <w:sz w:val="22"/>
          <w:lang w:val="es-CO"/>
        </w:rPr>
        <w:t>febrero</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4F248A">
        <w:rPr>
          <w:rFonts w:ascii="Arial" w:eastAsia="Calibri" w:hAnsi="Arial" w:cs="Arial"/>
          <w:sz w:val="22"/>
          <w:lang w:val="es-CO"/>
        </w:rPr>
        <w:t>2</w:t>
      </w:r>
      <w:r w:rsidRPr="00446B03">
        <w:rPr>
          <w:rFonts w:ascii="Arial" w:eastAsia="Calibri" w:hAnsi="Arial" w:cs="Arial"/>
          <w:sz w:val="22"/>
          <w:lang w:val="es-CO"/>
        </w:rPr>
        <w:t xml:space="preserve">. </w:t>
      </w:r>
      <w:r w:rsidR="00450488">
        <w:rPr>
          <w:rFonts w:ascii="Arial" w:eastAsia="Calibri" w:hAnsi="Arial" w:cs="Arial"/>
          <w:sz w:val="22"/>
          <w:lang w:val="es-CO"/>
        </w:rPr>
        <w:t xml:space="preserve">Esta consulta fue devuelta por el Departamento Administrativo de la Presidencia de la República, mediante oficio con radicado No. OFI22-00015388 / IDM 13010000 de la misma fecha.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548B1F23" w14:textId="64CFE7B2" w:rsidR="00802EDD" w:rsidRDefault="000C165F" w:rsidP="001F4316">
      <w:pPr>
        <w:pStyle w:val="NormalWeb"/>
        <w:spacing w:before="0" w:beforeAutospacing="0" w:after="0" w:afterAutospacing="0"/>
        <w:rPr>
          <w:rFonts w:ascii="Arial" w:hAnsi="Arial" w:cs="Arial"/>
          <w:sz w:val="22"/>
        </w:rPr>
      </w:pPr>
      <w:bookmarkStart w:id="9" w:name="_Hlk58917991"/>
      <w:bookmarkStart w:id="10" w:name="_Hlk56103000"/>
      <w:r>
        <w:rPr>
          <w:rFonts w:ascii="Arial" w:hAnsi="Arial" w:cs="Arial"/>
          <w:sz w:val="22"/>
        </w:rPr>
        <w:lastRenderedPageBreak/>
        <w:t>En relación con la</w:t>
      </w:r>
      <w:r w:rsidR="00346489">
        <w:rPr>
          <w:rFonts w:ascii="Arial" w:hAnsi="Arial" w:cs="Arial"/>
          <w:sz w:val="22"/>
        </w:rPr>
        <w:t xml:space="preserve"> restricción a la contratación directa </w:t>
      </w:r>
      <w:r w:rsidR="00736574">
        <w:rPr>
          <w:rFonts w:ascii="Arial" w:hAnsi="Arial" w:cs="Arial"/>
          <w:sz w:val="22"/>
        </w:rPr>
        <w:t>de la Ley 996 de 2005</w:t>
      </w:r>
      <w:r w:rsidR="00F6156F" w:rsidRPr="00E23478">
        <w:rPr>
          <w:rFonts w:ascii="Arial" w:hAnsi="Arial" w:cs="Arial"/>
          <w:sz w:val="22"/>
        </w:rPr>
        <w:t xml:space="preserve"> </w:t>
      </w:r>
      <w:r w:rsidR="000D561F">
        <w:rPr>
          <w:rFonts w:ascii="Arial" w:hAnsi="Arial" w:cs="Arial"/>
          <w:sz w:val="22"/>
        </w:rPr>
        <w:t xml:space="preserve">–Ley de Garantías Electorales– y la Circular </w:t>
      </w:r>
      <w:r w:rsidR="00802EDD" w:rsidRPr="00802EDD">
        <w:rPr>
          <w:rFonts w:ascii="Arial" w:hAnsi="Arial" w:cs="Arial"/>
          <w:sz w:val="22"/>
        </w:rPr>
        <w:t>Conjunta 100-006 del 2021</w:t>
      </w:r>
      <w:r w:rsidR="00B7491F">
        <w:rPr>
          <w:rFonts w:ascii="Arial" w:hAnsi="Arial" w:cs="Arial"/>
          <w:sz w:val="22"/>
        </w:rPr>
        <w:t xml:space="preserve"> –</w:t>
      </w:r>
      <w:r w:rsidR="00802EDD" w:rsidRPr="00802EDD">
        <w:rPr>
          <w:rFonts w:ascii="Arial" w:hAnsi="Arial" w:cs="Arial"/>
          <w:sz w:val="22"/>
        </w:rPr>
        <w:t>proferida por el Departamento Administrativo de la Presidencia de la República, en coordinación con el Departamento Administrativo de la Función Pública</w:t>
      </w:r>
      <w:r w:rsidR="00B7491F">
        <w:rPr>
          <w:rFonts w:ascii="Arial" w:hAnsi="Arial" w:cs="Arial"/>
          <w:sz w:val="22"/>
        </w:rPr>
        <w:t>–,</w:t>
      </w:r>
      <w:r w:rsidR="00145117">
        <w:rPr>
          <w:rFonts w:ascii="Arial" w:hAnsi="Arial" w:cs="Arial"/>
          <w:sz w:val="22"/>
        </w:rPr>
        <w:t xml:space="preserve"> tratándose de Empresas</w:t>
      </w:r>
      <w:r w:rsidR="000B732C">
        <w:rPr>
          <w:rFonts w:ascii="Arial" w:hAnsi="Arial" w:cs="Arial"/>
          <w:sz w:val="22"/>
        </w:rPr>
        <w:t xml:space="preserve"> Prestadoras</w:t>
      </w:r>
      <w:r w:rsidR="00145117">
        <w:rPr>
          <w:rFonts w:ascii="Arial" w:hAnsi="Arial" w:cs="Arial"/>
          <w:sz w:val="22"/>
        </w:rPr>
        <w:t xml:space="preserve"> de Servicios Públicos Domiciliarios,</w:t>
      </w:r>
      <w:r w:rsidR="00B7491F">
        <w:rPr>
          <w:rFonts w:ascii="Arial" w:hAnsi="Arial" w:cs="Arial"/>
          <w:sz w:val="22"/>
        </w:rPr>
        <w:t xml:space="preserve"> usted realiza las siguientes preguntas:</w:t>
      </w:r>
    </w:p>
    <w:p w14:paraId="7151EDC3" w14:textId="6F1B34BE" w:rsidR="00B7491F" w:rsidRDefault="00B7491F" w:rsidP="001F4316">
      <w:pPr>
        <w:pStyle w:val="NormalWeb"/>
        <w:spacing w:before="0" w:beforeAutospacing="0" w:after="0" w:afterAutospacing="0"/>
        <w:rPr>
          <w:rFonts w:ascii="Arial" w:hAnsi="Arial" w:cs="Arial"/>
          <w:sz w:val="22"/>
        </w:rPr>
      </w:pPr>
    </w:p>
    <w:p w14:paraId="01C3543D" w14:textId="4F82D0F1" w:rsidR="00B7491F" w:rsidRPr="00BB2ABF" w:rsidRDefault="003C5250" w:rsidP="00BB2ABF">
      <w:pPr>
        <w:pStyle w:val="NormalWeb"/>
        <w:spacing w:before="0" w:beforeAutospacing="0" w:after="0" w:afterAutospacing="0" w:line="240" w:lineRule="auto"/>
        <w:ind w:left="709" w:right="709"/>
        <w:rPr>
          <w:rFonts w:ascii="Arial" w:hAnsi="Arial" w:cs="Arial"/>
          <w:sz w:val="21"/>
          <w:szCs w:val="21"/>
        </w:rPr>
      </w:pPr>
      <w:r w:rsidRPr="00BB2ABF">
        <w:rPr>
          <w:rFonts w:ascii="Arial" w:hAnsi="Arial" w:cs="Arial"/>
          <w:sz w:val="21"/>
          <w:szCs w:val="21"/>
        </w:rPr>
        <w:t>«</w:t>
      </w:r>
      <w:r w:rsidR="000F5C31">
        <w:rPr>
          <w:rFonts w:ascii="Arial" w:hAnsi="Arial" w:cs="Arial"/>
          <w:sz w:val="21"/>
          <w:szCs w:val="21"/>
        </w:rPr>
        <w:t xml:space="preserve">i) </w:t>
      </w:r>
      <w:r w:rsidRPr="00BB2ABF">
        <w:rPr>
          <w:rFonts w:ascii="Arial" w:hAnsi="Arial" w:cs="Arial"/>
          <w:sz w:val="21"/>
          <w:szCs w:val="21"/>
        </w:rPr>
        <w:t xml:space="preserve">¿Se hace necesario acogerse a </w:t>
      </w:r>
      <w:r w:rsidR="00D24E70" w:rsidRPr="00BB2ABF">
        <w:rPr>
          <w:rFonts w:ascii="Arial" w:hAnsi="Arial" w:cs="Arial"/>
          <w:sz w:val="21"/>
          <w:szCs w:val="21"/>
        </w:rPr>
        <w:t xml:space="preserve">dichas actuaciones o existen algunas condiciones </w:t>
      </w:r>
      <w:r w:rsidR="000B732C" w:rsidRPr="00BB2ABF">
        <w:rPr>
          <w:rFonts w:ascii="Arial" w:hAnsi="Arial" w:cs="Arial"/>
          <w:sz w:val="21"/>
          <w:szCs w:val="21"/>
        </w:rPr>
        <w:t>especiales</w:t>
      </w:r>
      <w:r w:rsidR="00D24E70" w:rsidRPr="00BB2ABF">
        <w:rPr>
          <w:rFonts w:ascii="Arial" w:hAnsi="Arial" w:cs="Arial"/>
          <w:sz w:val="21"/>
          <w:szCs w:val="21"/>
        </w:rPr>
        <w:t xml:space="preserve"> para dichas empresas</w:t>
      </w:r>
      <w:r w:rsidR="00970968" w:rsidRPr="00BB2ABF">
        <w:rPr>
          <w:rFonts w:ascii="Arial" w:hAnsi="Arial" w:cs="Arial"/>
          <w:sz w:val="21"/>
          <w:szCs w:val="21"/>
        </w:rPr>
        <w:t>?»</w:t>
      </w:r>
    </w:p>
    <w:p w14:paraId="59D9DB67" w14:textId="609E4E42" w:rsidR="00970968" w:rsidRPr="00BB2ABF" w:rsidRDefault="00970968" w:rsidP="00BB2ABF">
      <w:pPr>
        <w:pStyle w:val="NormalWeb"/>
        <w:spacing w:before="0" w:beforeAutospacing="0" w:after="0" w:afterAutospacing="0" w:line="240" w:lineRule="auto"/>
        <w:ind w:left="709" w:right="709"/>
        <w:rPr>
          <w:rFonts w:ascii="Arial" w:hAnsi="Arial" w:cs="Arial"/>
          <w:sz w:val="21"/>
          <w:szCs w:val="21"/>
        </w:rPr>
      </w:pPr>
    </w:p>
    <w:p w14:paraId="342D2F17" w14:textId="707BE884" w:rsidR="00970968" w:rsidRPr="00BB2ABF" w:rsidRDefault="000F5C31" w:rsidP="00BB2ABF">
      <w:pPr>
        <w:pStyle w:val="NormalWeb"/>
        <w:spacing w:before="0" w:beforeAutospacing="0" w:after="0" w:afterAutospacing="0" w:line="240" w:lineRule="auto"/>
        <w:ind w:left="709" w:right="709"/>
        <w:rPr>
          <w:rFonts w:ascii="Arial" w:hAnsi="Arial" w:cs="Arial"/>
          <w:sz w:val="21"/>
          <w:szCs w:val="21"/>
        </w:rPr>
      </w:pPr>
      <w:r>
        <w:rPr>
          <w:rFonts w:ascii="Arial" w:hAnsi="Arial" w:cs="Arial"/>
          <w:sz w:val="21"/>
          <w:szCs w:val="21"/>
        </w:rPr>
        <w:t xml:space="preserve">ii) </w:t>
      </w:r>
      <w:r w:rsidR="00150D98" w:rsidRPr="00BB2ABF">
        <w:rPr>
          <w:rFonts w:ascii="Arial" w:hAnsi="Arial" w:cs="Arial"/>
          <w:sz w:val="21"/>
          <w:szCs w:val="21"/>
        </w:rPr>
        <w:t>¿A qué entidades aplica la restricción para celebrar contratos en la modalidad de contratación directa?»</w:t>
      </w:r>
    </w:p>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9"/>
    <w:bookmarkEnd w:id="10"/>
    <w:p w14:paraId="509ED1DE" w14:textId="5430079E" w:rsidR="005027F0"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2. </w:t>
      </w:r>
      <w:r w:rsidR="00990612" w:rsidRPr="00446B03">
        <w:rPr>
          <w:rFonts w:ascii="Arial" w:eastAsia="Calibri" w:hAnsi="Arial" w:cs="Arial"/>
          <w:b/>
          <w:sz w:val="22"/>
          <w:lang w:val="es-CO"/>
        </w:rPr>
        <w:t>Consideraciones</w:t>
      </w:r>
    </w:p>
    <w:p w14:paraId="33526695" w14:textId="77777777" w:rsidR="005027F0" w:rsidRPr="00446B03" w:rsidRDefault="005027F0" w:rsidP="00750C77">
      <w:pPr>
        <w:tabs>
          <w:tab w:val="left" w:pos="426"/>
        </w:tabs>
        <w:spacing w:after="0" w:line="240" w:lineRule="auto"/>
        <w:ind w:firstLine="709"/>
        <w:rPr>
          <w:rFonts w:ascii="Arial" w:eastAsia="Calibri" w:hAnsi="Arial" w:cs="Arial"/>
          <w:bCs/>
          <w:sz w:val="22"/>
          <w:lang w:val="es-CO"/>
        </w:rPr>
      </w:pPr>
    </w:p>
    <w:p w14:paraId="03F23685" w14:textId="3DC028E2" w:rsidR="00561BAA" w:rsidRPr="00162BC5" w:rsidRDefault="00561BAA" w:rsidP="00750C77">
      <w:pPr>
        <w:spacing w:after="120"/>
        <w:rPr>
          <w:rFonts w:ascii="Arial" w:hAnsi="Arial" w:cs="Arial"/>
          <w:sz w:val="22"/>
          <w:lang w:val="es-ES"/>
        </w:rPr>
      </w:pPr>
      <w:bookmarkStart w:id="11" w:name="_Hlk96420298"/>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bookmarkStart w:id="12" w:name="_Hlk61701014"/>
      <w:bookmarkStart w:id="13" w:name="_Hlk62136649"/>
      <w:r w:rsidR="00C9655E">
        <w:rPr>
          <w:rFonts w:ascii="Arial" w:hAnsi="Arial" w:cs="Arial"/>
          <w:sz w:val="22"/>
          <w:lang w:val="es-ES"/>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4"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7E224FC0" w14:textId="0FED4484" w:rsidR="00561BAA" w:rsidRDefault="00561BAA" w:rsidP="00561BAA">
      <w:pPr>
        <w:spacing w:after="120"/>
        <w:ind w:firstLine="708"/>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w:t>
      </w:r>
      <w:r w:rsidRPr="00162BC5">
        <w:rPr>
          <w:rFonts w:ascii="Arial" w:hAnsi="Arial" w:cs="Arial"/>
          <w:sz w:val="22"/>
          <w:lang w:val="es-ES"/>
        </w:rPr>
        <w:lastRenderedPageBreak/>
        <w:t xml:space="preserve">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r w:rsidR="00C81F85" w:rsidRPr="00162BC5">
        <w:rPr>
          <w:rFonts w:ascii="Arial" w:hAnsi="Arial" w:cs="Arial"/>
          <w:sz w:val="22"/>
          <w:lang w:val="es-ES"/>
        </w:rPr>
        <w:t>que,</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14"/>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2"/>
    </w:p>
    <w:bookmarkEnd w:id="13"/>
    <w:p w14:paraId="77DC9D0B" w14:textId="1C6A2A56" w:rsidR="00561BAA" w:rsidRDefault="00561BAA" w:rsidP="00561BAA">
      <w:pPr>
        <w:spacing w:after="120"/>
        <w:ind w:firstLine="708"/>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5" w:name="_Hlk61025408"/>
      <w:r>
        <w:rPr>
          <w:rFonts w:ascii="Arial" w:eastAsia="Calibri" w:hAnsi="Arial" w:cs="Arial"/>
          <w:color w:val="000000" w:themeColor="text1"/>
          <w:sz w:val="22"/>
          <w:lang w:val="es-ES"/>
        </w:rPr>
        <w:t>haciendo abstracción del caso particular expuesto por el peticionario</w:t>
      </w:r>
      <w:bookmarkEnd w:id="15"/>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Pr="004438F4">
        <w:rPr>
          <w:rFonts w:ascii="Arial" w:eastAsia="Calibri" w:hAnsi="Arial" w:cs="Arial"/>
          <w:bCs/>
          <w:sz w:val="22"/>
          <w:lang w:val="es-CO"/>
        </w:rPr>
        <w:t xml:space="preserve"> </w:t>
      </w:r>
      <w:r w:rsidR="00B44082" w:rsidRPr="00B44082">
        <w:rPr>
          <w:rFonts w:ascii="Arial" w:eastAsia="Calibri" w:hAnsi="Arial" w:cs="Arial"/>
          <w:bCs/>
          <w:sz w:val="22"/>
          <w:lang w:val="es-CO"/>
        </w:rPr>
        <w:t>i) definición y finalidad de la Ley de Garantías Electorales, ii) restricciones para elecciones presidenciales, iii) destinatarios de la prohibición del artículo 33 de la Ley 996 de 2005</w:t>
      </w:r>
      <w:r w:rsidR="001A3145">
        <w:rPr>
          <w:rFonts w:ascii="Arial" w:eastAsia="Calibri" w:hAnsi="Arial" w:cs="Arial"/>
          <w:bCs/>
          <w:sz w:val="22"/>
          <w:lang w:val="es-CO"/>
        </w:rPr>
        <w:t xml:space="preserve">, y </w:t>
      </w:r>
      <w:r w:rsidR="00E65D44">
        <w:rPr>
          <w:rFonts w:ascii="Arial" w:eastAsia="Calibri" w:hAnsi="Arial" w:cs="Arial"/>
          <w:bCs/>
          <w:sz w:val="22"/>
          <w:lang w:val="es-CO"/>
        </w:rPr>
        <w:t>iv</w:t>
      </w:r>
      <w:r w:rsidR="007314E1">
        <w:rPr>
          <w:rFonts w:ascii="Arial" w:eastAsia="Calibri" w:hAnsi="Arial" w:cs="Arial"/>
          <w:bCs/>
          <w:sz w:val="22"/>
          <w:lang w:val="es-CO"/>
        </w:rPr>
        <w:t xml:space="preserve">) </w:t>
      </w:r>
      <w:r w:rsidR="00EB4844">
        <w:rPr>
          <w:rFonts w:ascii="Arial" w:eastAsia="Calibri" w:hAnsi="Arial" w:cs="Arial"/>
          <w:bCs/>
          <w:sz w:val="22"/>
          <w:lang w:val="es-CO"/>
        </w:rPr>
        <w:t>n</w:t>
      </w:r>
      <w:r w:rsidR="00EB4844" w:rsidRPr="00EB4844">
        <w:rPr>
          <w:rFonts w:ascii="Arial" w:eastAsia="Calibri" w:hAnsi="Arial" w:cs="Arial"/>
          <w:bCs/>
          <w:sz w:val="22"/>
          <w:lang w:val="es-CO"/>
        </w:rPr>
        <w:t>aturaleza y régimen jurídico de las Empresas Prestadoras de Servicios Públicos Domiciliarios</w:t>
      </w:r>
      <w:r w:rsidR="00EB4844" w:rsidRPr="00EB4844" w:rsidDel="00EB4844">
        <w:rPr>
          <w:rFonts w:ascii="Arial" w:eastAsia="Calibri" w:hAnsi="Arial" w:cs="Arial"/>
          <w:bCs/>
          <w:sz w:val="22"/>
          <w:lang w:val="es-CO"/>
        </w:rPr>
        <w:t xml:space="preserve"> </w:t>
      </w:r>
    </w:p>
    <w:p w14:paraId="1B0A4F73" w14:textId="230E47A2" w:rsidR="008F39BD" w:rsidRPr="00D959D5" w:rsidRDefault="008F39BD" w:rsidP="00D959D5">
      <w:pPr>
        <w:spacing w:after="0"/>
        <w:ind w:firstLine="709"/>
        <w:rPr>
          <w:rFonts w:ascii="Arial" w:hAnsi="Arial" w:cs="Arial"/>
          <w:bCs/>
          <w:sz w:val="22"/>
        </w:rPr>
      </w:pPr>
      <w:bookmarkStart w:id="16" w:name="_Hlk96420693"/>
      <w:bookmarkEnd w:id="11"/>
      <w:r w:rsidRPr="00446B03">
        <w:rPr>
          <w:rFonts w:ascii="Arial" w:eastAsia="Calibri" w:hAnsi="Arial" w:cs="Arial"/>
          <w:bCs/>
          <w:sz w:val="22"/>
          <w:lang w:val="es-CO"/>
        </w:rPr>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2201913000006283 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w:t>
      </w:r>
      <w:r w:rsidR="005C4C81">
        <w:rPr>
          <w:rFonts w:ascii="Arial" w:eastAsia="Calibri" w:hAnsi="Arial" w:cs="Arial"/>
          <w:bCs/>
          <w:sz w:val="22"/>
          <w:lang w:val="es-CO"/>
        </w:rPr>
        <w:lastRenderedPageBreak/>
        <w:t>de 2021</w:t>
      </w:r>
      <w:r w:rsidR="003630B0">
        <w:rPr>
          <w:rFonts w:ascii="Arial" w:eastAsia="Calibri" w:hAnsi="Arial" w:cs="Arial"/>
          <w:bCs/>
          <w:sz w:val="22"/>
          <w:lang w:val="es-CO"/>
        </w:rPr>
        <w:t>,</w:t>
      </w:r>
      <w:r w:rsidR="001B4317">
        <w:rPr>
          <w:rFonts w:ascii="Arial" w:eastAsia="Calibri" w:hAnsi="Arial" w:cs="Arial"/>
          <w:bCs/>
          <w:sz w:val="22"/>
          <w:lang w:val="es-CO"/>
        </w:rPr>
        <w:t xml:space="preserve"> C-674 del 6 de diciembre de 2021,</w:t>
      </w:r>
      <w:r w:rsidR="003630B0">
        <w:rPr>
          <w:rFonts w:ascii="Arial" w:eastAsia="Calibri" w:hAnsi="Arial" w:cs="Arial"/>
          <w:bCs/>
          <w:sz w:val="22"/>
          <w:lang w:val="es-CO"/>
        </w:rPr>
        <w:t xml:space="preserve"> C-</w:t>
      </w:r>
      <w:r w:rsidR="00975490">
        <w:rPr>
          <w:rFonts w:ascii="Arial" w:eastAsia="Calibri" w:hAnsi="Arial" w:cs="Arial"/>
          <w:bCs/>
          <w:sz w:val="22"/>
          <w:lang w:val="es-CO"/>
        </w:rPr>
        <w:t>677 del 4 de diciembre de 2021</w:t>
      </w:r>
      <w:r w:rsidR="0043733A">
        <w:rPr>
          <w:rFonts w:ascii="Arial" w:eastAsia="Calibri" w:hAnsi="Arial" w:cs="Arial"/>
          <w:bCs/>
          <w:sz w:val="22"/>
          <w:lang w:val="es-CO"/>
        </w:rPr>
        <w:t>,</w:t>
      </w:r>
      <w:r w:rsidR="00975490">
        <w:rPr>
          <w:rFonts w:ascii="Arial" w:eastAsia="Calibri" w:hAnsi="Arial" w:cs="Arial"/>
          <w:bCs/>
          <w:sz w:val="22"/>
          <w:lang w:val="es-CO"/>
        </w:rPr>
        <w:t xml:space="preserve"> C-695 del 22 de diciembre de 2021</w:t>
      </w:r>
      <w:r w:rsidR="0043733A">
        <w:rPr>
          <w:rFonts w:ascii="Arial" w:eastAsia="Calibri" w:hAnsi="Arial" w:cs="Arial"/>
          <w:bCs/>
          <w:sz w:val="22"/>
          <w:lang w:val="es-CO"/>
        </w:rPr>
        <w:t xml:space="preserve">, </w:t>
      </w:r>
      <w:r w:rsidR="00910AEB">
        <w:rPr>
          <w:rFonts w:ascii="Arial" w:eastAsia="Calibri" w:hAnsi="Arial" w:cs="Arial"/>
          <w:bCs/>
          <w:sz w:val="22"/>
          <w:lang w:val="es-CO"/>
        </w:rPr>
        <w:t xml:space="preserve">C-699 del 6 de enero de 2022, </w:t>
      </w:r>
      <w:r w:rsidR="0099511A">
        <w:rPr>
          <w:rFonts w:ascii="Arial" w:eastAsia="Calibri" w:hAnsi="Arial" w:cs="Arial"/>
          <w:bCs/>
          <w:sz w:val="22"/>
          <w:lang w:val="es-CO"/>
        </w:rPr>
        <w:t xml:space="preserve">C-700 del 6 de enero de 2021, </w:t>
      </w:r>
      <w:r w:rsidR="0043733A">
        <w:rPr>
          <w:rFonts w:ascii="Arial" w:eastAsia="Calibri" w:hAnsi="Arial" w:cs="Arial"/>
          <w:bCs/>
          <w:sz w:val="22"/>
          <w:lang w:val="es-CO"/>
        </w:rPr>
        <w:t>C-</w:t>
      </w:r>
      <w:r w:rsidR="00E8088A">
        <w:rPr>
          <w:rFonts w:ascii="Arial" w:eastAsia="Calibri" w:hAnsi="Arial" w:cs="Arial"/>
          <w:bCs/>
          <w:sz w:val="22"/>
          <w:lang w:val="es-CO"/>
        </w:rPr>
        <w:t>723 del 28 de diciembre de 2021</w:t>
      </w:r>
      <w:r w:rsidR="00A550A5">
        <w:rPr>
          <w:rFonts w:ascii="Arial" w:eastAsia="Calibri" w:hAnsi="Arial" w:cs="Arial"/>
          <w:bCs/>
          <w:sz w:val="22"/>
          <w:lang w:val="es-CO"/>
        </w:rPr>
        <w:t xml:space="preserve">, </w:t>
      </w:r>
      <w:r w:rsidR="00B42AFD">
        <w:rPr>
          <w:rFonts w:ascii="Arial" w:eastAsia="Calibri" w:hAnsi="Arial" w:cs="Arial"/>
          <w:bCs/>
          <w:sz w:val="22"/>
          <w:lang w:val="es-CO"/>
        </w:rPr>
        <w:t xml:space="preserve">C-715 del 21 de enero de 2022, </w:t>
      </w:r>
      <w:r w:rsidR="00A550A5">
        <w:rPr>
          <w:rFonts w:ascii="Arial" w:eastAsia="Calibri" w:hAnsi="Arial" w:cs="Arial"/>
          <w:bCs/>
          <w:sz w:val="22"/>
          <w:lang w:val="es-CO"/>
        </w:rPr>
        <w:t>C-718 del 24 de enero de 2022</w:t>
      </w:r>
      <w:r w:rsidR="00135C58">
        <w:rPr>
          <w:rFonts w:ascii="Arial" w:eastAsia="Calibri" w:hAnsi="Arial" w:cs="Arial"/>
          <w:bCs/>
          <w:sz w:val="22"/>
          <w:lang w:val="es-CO"/>
        </w:rPr>
        <w:t>,</w:t>
      </w:r>
      <w:r w:rsidR="00A2451D">
        <w:rPr>
          <w:rFonts w:ascii="Arial" w:eastAsia="Calibri" w:hAnsi="Arial" w:cs="Arial"/>
          <w:bCs/>
          <w:sz w:val="22"/>
          <w:lang w:val="es-CO"/>
        </w:rPr>
        <w:t xml:space="preserve"> </w:t>
      </w:r>
      <w:r w:rsidR="00135C58">
        <w:rPr>
          <w:rFonts w:ascii="Arial" w:eastAsia="Calibri" w:hAnsi="Arial" w:cs="Arial"/>
          <w:bCs/>
          <w:sz w:val="22"/>
          <w:lang w:val="es-CO"/>
        </w:rPr>
        <w:t xml:space="preserve">C-726 del 24 de enero de 2022, C-002 del 15 de febrero de 2022 y C-116 del 18 de febrero de 2022.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bookmarkEnd w:id="16"/>
    <w:p w14:paraId="1AB4C719" w14:textId="77777777" w:rsidR="005027F0" w:rsidRPr="00446B03"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2"/>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3"/>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lastRenderedPageBreak/>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D836BC4"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4"/>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7" w:name="_Hlk78818186"/>
      <w:r w:rsidRPr="00446B03">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46B03">
        <w:rPr>
          <w:rFonts w:ascii="Arial" w:eastAsia="Times New Roman" w:hAnsi="Arial" w:cs="Arial"/>
          <w:bCs/>
          <w:sz w:val="22"/>
          <w:lang w:eastAsia="es-CO"/>
        </w:rPr>
        <w:t xml:space="preserve"> </w:t>
      </w:r>
      <w:bookmarkEnd w:id="17"/>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lastRenderedPageBreak/>
        <w:t>La jurisprudencia de la Corte Constitucional</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6"/>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7"/>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115BAA3B"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18"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las restricciones 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8"/>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w:t>
      </w:r>
      <w:r w:rsidR="0022085C" w:rsidRPr="00446B03">
        <w:rPr>
          <w:rFonts w:ascii="Arial" w:eastAsia="Calibri" w:hAnsi="Arial" w:cs="Arial"/>
          <w:sz w:val="22"/>
          <w:lang w:val="es-CO"/>
        </w:rPr>
        <w:lastRenderedPageBreak/>
        <w:t>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8"/>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9"/>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446B03">
        <w:rPr>
          <w:rFonts w:ascii="Arial" w:eastAsia="Arial" w:hAnsi="Arial" w:cs="Arial"/>
          <w:sz w:val="21"/>
          <w:szCs w:val="21"/>
          <w:lang w:val="es-ES" w:eastAsia="es-ES" w:bidi="es-ES"/>
        </w:rPr>
        <w:t>se integran parcialmente</w:t>
      </w:r>
      <w:bookmarkEnd w:id="21"/>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w:t>
      </w:r>
      <w:r w:rsidRPr="00446B03">
        <w:rPr>
          <w:rFonts w:ascii="Arial" w:eastAsia="Arial" w:hAnsi="Arial" w:cs="Arial"/>
          <w:sz w:val="21"/>
          <w:szCs w:val="21"/>
          <w:lang w:val="es-ES" w:eastAsia="es-ES" w:bidi="es-ES"/>
        </w:rPr>
        <w:lastRenderedPageBreak/>
        <w:t xml:space="preserve">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0"/>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De conformidad con lo anterior</w:t>
      </w:r>
      <w:bookmarkStart w:id="22" w:name="_Hlk99438241"/>
      <w:r w:rsidRPr="00446B03">
        <w:rPr>
          <w:rFonts w:ascii="Arial" w:eastAsia="Arial" w:hAnsi="Arial" w:cs="Arial"/>
          <w:sz w:val="22"/>
          <w:lang w:val="es-ES" w:eastAsia="es-ES" w:bidi="es-ES"/>
        </w:rPr>
        <w:t xml:space="preserve">, </w:t>
      </w:r>
      <w:bookmarkStart w:id="23" w:name="_Hlk77236420"/>
      <w:bookmarkStart w:id="24" w:name="_Hlk78818435"/>
      <w:bookmarkStart w:id="25"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Pr="00446B03">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DF3E38" w:rsidRPr="00446B03">
        <w:rPr>
          <w:rFonts w:ascii="Arial" w:eastAsia="Arial" w:hAnsi="Arial" w:cs="Arial"/>
          <w:sz w:val="22"/>
          <w:lang w:val="es-ES" w:eastAsia="es-ES" w:bidi="es-ES"/>
        </w:rPr>
        <w:t xml:space="preserve">, también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r w:rsidR="00F10F67" w:rsidRPr="00446B03">
        <w:rPr>
          <w:rFonts w:ascii="Arial" w:eastAsia="Arial" w:hAnsi="Arial" w:cs="Arial"/>
          <w:sz w:val="22"/>
          <w:lang w:val="es-ES" w:eastAsia="es-ES" w:bidi="es-ES"/>
        </w:rPr>
        <w:t>el cual</w:t>
      </w:r>
      <w:r w:rsidRPr="00446B03">
        <w:rPr>
          <w:rFonts w:ascii="Arial" w:eastAsia="Arial" w:hAnsi="Arial" w:cs="Arial"/>
          <w:sz w:val="22"/>
          <w:lang w:val="es-ES" w:eastAsia="es-ES" w:bidi="es-ES"/>
        </w:rPr>
        <w:t xml:space="preserve"> debe aplicarse respecto de cualquier tipo de </w:t>
      </w:r>
      <w:r w:rsidR="00F10F67" w:rsidRPr="00446B03">
        <w:rPr>
          <w:rFonts w:ascii="Arial" w:eastAsia="Arial" w:hAnsi="Arial" w:cs="Arial"/>
          <w:sz w:val="22"/>
          <w:lang w:val="es-ES" w:eastAsia="es-ES" w:bidi="es-ES"/>
        </w:rPr>
        <w:t>contienda electoral</w:t>
      </w:r>
      <w:r w:rsidRPr="00446B03">
        <w:rPr>
          <w:rFonts w:ascii="Arial" w:eastAsia="Arial" w:hAnsi="Arial" w:cs="Arial"/>
          <w:sz w:val="22"/>
          <w:lang w:val="es-ES" w:eastAsia="es-ES" w:bidi="es-ES"/>
        </w:rPr>
        <w:t>, y que prohíbe la celebración de convenios 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23"/>
    </w:p>
    <w:bookmarkEnd w:id="22"/>
    <w:bookmarkEnd w:id="24"/>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Presidente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Presidente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25"/>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Presidente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estando en ejercicio 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w:t>
      </w:r>
      <w:r w:rsidR="00A95D9F" w:rsidRPr="00446B03">
        <w:rPr>
          <w:rFonts w:ascii="Arial" w:eastAsia="Arial" w:hAnsi="Arial" w:cs="Arial"/>
          <w:sz w:val="22"/>
          <w:lang w:val="es-ES" w:eastAsia="es-ES" w:bidi="es-ES"/>
        </w:rPr>
        <w:lastRenderedPageBreak/>
        <w:t>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E7700C">
      <w:pPr>
        <w:spacing w:after="0"/>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E7700C">
      <w:pPr>
        <w:spacing w:after="0"/>
        <w:rPr>
          <w:rFonts w:ascii="Arial" w:eastAsia="Times New Roman" w:hAnsi="Arial" w:cs="Arial"/>
          <w:bCs/>
          <w:sz w:val="22"/>
          <w:lang w:eastAsia="x-none"/>
        </w:rPr>
      </w:pPr>
    </w:p>
    <w:p w14:paraId="7E852C96" w14:textId="0FE77B43" w:rsidR="00DB61B2" w:rsidRPr="00446B03" w:rsidRDefault="00DB61B2" w:rsidP="00E7700C">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26" w:name="_Hlk75628761"/>
      <w:r w:rsidRPr="00446B03">
        <w:rPr>
          <w:rFonts w:ascii="Arial" w:eastAsia="Times New Roman" w:hAnsi="Arial" w:cs="Arial"/>
          <w:bCs/>
          <w:sz w:val="22"/>
          <w:lang w:eastAsia="x-none"/>
        </w:rPr>
        <w:t xml:space="preserve">en el artículo 33 de la ley 996 de 2005 </w:t>
      </w:r>
      <w:bookmarkEnd w:id="26"/>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1"/>
      </w:r>
      <w:r w:rsidRPr="00446B03">
        <w:rPr>
          <w:rFonts w:ascii="Arial" w:hAnsi="Arial" w:cs="Arial"/>
          <w:sz w:val="21"/>
          <w:szCs w:val="21"/>
        </w:rPr>
        <w:t>.</w:t>
      </w:r>
    </w:p>
    <w:p w14:paraId="054DAA8C" w14:textId="14BE792C"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que para los efectos de la ley de garantías, y dada su finalidad, el enunciado ´contratación directa´ es sinónimo </w:t>
      </w:r>
      <w:bookmarkStart w:id="29" w:name="_Hlk75741738"/>
      <w:r w:rsidRPr="00446B03">
        <w:rPr>
          <w:rFonts w:ascii="Arial" w:hAnsi="Arial" w:cs="Arial"/>
          <w:sz w:val="21"/>
          <w:szCs w:val="21"/>
        </w:rPr>
        <w:t xml:space="preserve">de cualquier sistema que no implique convocatoria pública y posibilidad de pluralidad de oferentes, </w:t>
      </w:r>
      <w:bookmarkEnd w:id="29"/>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2"/>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3"/>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446B03" w:rsidRDefault="00DB61B2" w:rsidP="00E7700C">
      <w:pPr>
        <w:spacing w:after="120"/>
        <w:ind w:firstLine="708"/>
        <w:rPr>
          <w:rFonts w:ascii="Arial" w:eastAsia="Times New Roman" w:hAnsi="Arial" w:cs="Arial"/>
          <w:bCs/>
          <w:sz w:val="22"/>
          <w:lang w:val="es-CO" w:eastAsia="x-none"/>
        </w:rPr>
      </w:pPr>
      <w:bookmarkStart w:id="31" w:name="_Hlk94521748"/>
      <w:r w:rsidRPr="00446B03">
        <w:rPr>
          <w:rFonts w:ascii="Arial" w:eastAsia="Times New Roman" w:hAnsi="Arial" w:cs="Arial"/>
          <w:sz w:val="22"/>
          <w:lang w:val="es-CO" w:eastAsia="x-none"/>
        </w:rPr>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32"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33" w:name="_Hlk74294635"/>
      <w:r w:rsidRPr="00446B03">
        <w:rPr>
          <w:rFonts w:ascii="Arial" w:eastAsia="Times New Roman" w:hAnsi="Arial" w:cs="Arial"/>
          <w:sz w:val="19"/>
          <w:szCs w:val="19"/>
          <w:lang w:val="es-CO" w:eastAsia="en-GB"/>
        </w:rPr>
        <w:t>«</w:t>
      </w:r>
      <w:bookmarkEnd w:id="33"/>
      <w:r w:rsidRPr="00446B03">
        <w:rPr>
          <w:rFonts w:ascii="Arial" w:eastAsia="Times New Roman" w:hAnsi="Arial" w:cs="Arial"/>
          <w:sz w:val="22"/>
          <w:lang w:val="es-CO" w:eastAsia="x-none"/>
        </w:rPr>
        <w:t>cualquier sistema que no implique convocatoria pública y posibilidad de pluralidad de oferentes</w:t>
      </w:r>
      <w:bookmarkStart w:id="34" w:name="_Hlk74404754"/>
      <w:r w:rsidRPr="00446B03">
        <w:rPr>
          <w:rFonts w:ascii="Arial" w:eastAsia="Times New Roman" w:hAnsi="Arial" w:cs="Arial"/>
          <w:sz w:val="22"/>
          <w:lang w:val="es-CO" w:eastAsia="en-GB"/>
        </w:rPr>
        <w:t>»</w:t>
      </w:r>
      <w:bookmarkEnd w:id="34"/>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1"/>
      <w:bookmarkEnd w:id="32"/>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xml:space="preserve">. </w:t>
      </w:r>
    </w:p>
    <w:p w14:paraId="2F4008CF" w14:textId="41B1B3C0"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eastAsia="Times New Roman" w:hAnsi="Arial" w:cs="Arial"/>
          <w:sz w:val="22"/>
          <w:vertAlign w:val="superscript"/>
          <w:lang w:val="en-GB" w:eastAsia="x-none"/>
        </w:rPr>
        <w:footnoteReference w:id="16"/>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36" w:name="_Hlk75636073"/>
      <w:r w:rsidR="008C6B51" w:rsidRPr="00446B03">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6"/>
      <w:r w:rsidR="008C6B51" w:rsidRPr="00446B03">
        <w:rPr>
          <w:rFonts w:ascii="Arial" w:eastAsia="Times New Roman" w:hAnsi="Arial" w:cs="Arial"/>
          <w:sz w:val="22"/>
          <w:vertAlign w:val="superscript"/>
          <w:lang w:val="es-CO" w:eastAsia="x-none"/>
        </w:rPr>
        <w:footnoteReference w:id="17"/>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lastRenderedPageBreak/>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37"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8"/>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37"/>
    <w:p w14:paraId="0B41E164" w14:textId="31952722"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8"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8"/>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w:t>
      </w:r>
      <w:r w:rsidRPr="00446B03">
        <w:rPr>
          <w:rFonts w:ascii="Arial" w:eastAsia="Times New Roman" w:hAnsi="Arial" w:cs="Arial"/>
          <w:bCs/>
          <w:sz w:val="22"/>
          <w:lang w:eastAsia="x-none"/>
        </w:rPr>
        <w:lastRenderedPageBreak/>
        <w:t>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p w14:paraId="1244CE42" w14:textId="3381626D"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39" w:name="_Hlk74309042"/>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39"/>
      <w:r w:rsidR="00402FD5"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40"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41" w:name="_Hlk74309060"/>
      <w:r w:rsidR="00402FD5" w:rsidRPr="00446B03">
        <w:rPr>
          <w:rFonts w:ascii="Arial" w:eastAsia="Times New Roman" w:hAnsi="Arial" w:cs="Arial"/>
          <w:bCs/>
          <w:sz w:val="22"/>
          <w:lang w:eastAsia="x-none"/>
        </w:rPr>
        <w:t>»</w:t>
      </w:r>
      <w:bookmarkEnd w:id="41"/>
      <w:r w:rsidR="00856B57" w:rsidRPr="00446B03">
        <w:rPr>
          <w:rStyle w:val="Refdenotaalpie"/>
          <w:rFonts w:ascii="Arial" w:hAnsi="Arial" w:cs="Arial"/>
          <w:sz w:val="22"/>
        </w:rPr>
        <w:footnoteReference w:id="19"/>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2" w:name="_Hlk75783800"/>
      <w:bookmarkEnd w:id="40"/>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bookmarkStart w:id="43" w:name="_Hlk99438356"/>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l vocablo</w:t>
      </w:r>
      <w:r w:rsidR="00940714" w:rsidRPr="00446B03">
        <w:rPr>
          <w:rFonts w:ascii="Arial" w:eastAsia="Times New Roman" w:hAnsi="Arial" w:cs="Arial"/>
          <w:bCs/>
          <w:sz w:val="22"/>
          <w:lang w:eastAsia="x-none"/>
        </w:rPr>
        <w:t xml:space="preserve"> </w:t>
      </w:r>
      <w:bookmarkStart w:id="44" w:name="_Hlk75632581"/>
      <w:r w:rsidR="005E06A4" w:rsidRPr="00446B03">
        <w:rPr>
          <w:rFonts w:ascii="Arial" w:eastAsia="Times New Roman" w:hAnsi="Arial" w:cs="Arial"/>
          <w:bCs/>
          <w:sz w:val="22"/>
          <w:lang w:eastAsia="x-none"/>
        </w:rPr>
        <w:t>«</w:t>
      </w:r>
      <w:bookmarkEnd w:id="44"/>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2"/>
      <w:r w:rsidR="007B0F2D" w:rsidRPr="00446B03">
        <w:rPr>
          <w:rFonts w:ascii="Arial" w:eastAsia="Times New Roman" w:hAnsi="Arial" w:cs="Arial"/>
          <w:bCs/>
          <w:sz w:val="22"/>
          <w:lang w:eastAsia="x-none"/>
        </w:rPr>
        <w:t xml:space="preserve">, e incluso si las entidades estatales tienen régimen especial de contratación y están exceptuadas del ámbito de aplicación del Estatuto General de Contratación de la Administración </w:t>
      </w:r>
      <w:r w:rsidR="007B0F2D" w:rsidRPr="00446B03">
        <w:rPr>
          <w:rFonts w:ascii="Arial" w:eastAsia="Times New Roman" w:hAnsi="Arial" w:cs="Arial"/>
          <w:bCs/>
          <w:sz w:val="22"/>
          <w:lang w:eastAsia="x-none"/>
        </w:rPr>
        <w:lastRenderedPageBreak/>
        <w:t>Pública.</w:t>
      </w:r>
      <w:r w:rsidR="00856B57" w:rsidRPr="00446B03">
        <w:rPr>
          <w:rFonts w:ascii="Arial" w:eastAsia="Times New Roman" w:hAnsi="Arial" w:cs="Arial"/>
          <w:bCs/>
          <w:sz w:val="22"/>
          <w:lang w:eastAsia="x-none"/>
        </w:rPr>
        <w:t xml:space="preserve"> </w:t>
      </w:r>
      <w:bookmarkEnd w:id="43"/>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45"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46"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6"/>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20"/>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7" w:name="_Hlk75635823"/>
      <w:r w:rsidR="00182C6C" w:rsidRPr="00446B03">
        <w:rPr>
          <w:rFonts w:ascii="Arial" w:eastAsia="Times New Roman" w:hAnsi="Arial" w:cs="Arial"/>
          <w:bCs/>
          <w:sz w:val="22"/>
          <w:lang w:eastAsia="x-none"/>
        </w:rPr>
        <w:t>»</w:t>
      </w:r>
      <w:bookmarkStart w:id="48" w:name="_Hlk75758868"/>
      <w:bookmarkStart w:id="49" w:name="_Hlk75741220"/>
      <w:bookmarkEnd w:id="47"/>
      <w:r w:rsidR="00182C6C" w:rsidRPr="00446B03">
        <w:rPr>
          <w:rStyle w:val="Refdenotaalpie"/>
          <w:rFonts w:ascii="Arial" w:hAnsi="Arial" w:cs="Arial"/>
        </w:rPr>
        <w:footnoteReference w:id="21"/>
      </w:r>
      <w:bookmarkEnd w:id="48"/>
      <w:bookmarkEnd w:id="49"/>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51" w:name="_Hlk75811446"/>
      <w:r w:rsidRPr="00446B03">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w:t>
      </w:r>
      <w:r w:rsidRPr="00446B03">
        <w:rPr>
          <w:rFonts w:ascii="Arial" w:hAnsi="Arial" w:cs="Arial"/>
          <w:sz w:val="21"/>
          <w:szCs w:val="21"/>
        </w:rPr>
        <w:lastRenderedPageBreak/>
        <w:t>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1"/>
      <w:r w:rsidRPr="00446B03">
        <w:rPr>
          <w:rStyle w:val="Refdenotaalpie"/>
          <w:rFonts w:ascii="Arial" w:hAnsi="Arial" w:cs="Arial"/>
        </w:rPr>
        <w:footnoteReference w:id="22"/>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52"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2"/>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3"/>
      </w:r>
      <w:r w:rsidR="004E638B" w:rsidRPr="00446B03">
        <w:rPr>
          <w:rFonts w:ascii="Arial" w:hAnsi="Arial" w:cs="Arial"/>
          <w:sz w:val="22"/>
        </w:rPr>
        <w:t>.</w:t>
      </w:r>
    </w:p>
    <w:p w14:paraId="3511C4DF" w14:textId="5269C208" w:rsidR="00A50F5C" w:rsidRPr="00446B03" w:rsidRDefault="004E638B" w:rsidP="00E7700C">
      <w:pPr>
        <w:spacing w:after="0"/>
        <w:ind w:firstLine="708"/>
        <w:rPr>
          <w:rFonts w:ascii="Arial" w:eastAsia="Times New Roman" w:hAnsi="Arial" w:cs="Arial"/>
          <w:bCs/>
          <w:sz w:val="22"/>
          <w:lang w:eastAsia="x-none"/>
        </w:rPr>
      </w:pPr>
      <w:bookmarkStart w:id="53" w:name="_Hlk77237229"/>
      <w:bookmarkEnd w:id="45"/>
      <w:r w:rsidRPr="00446B03">
        <w:rPr>
          <w:rFonts w:ascii="Arial" w:hAnsi="Arial" w:cs="Arial"/>
          <w:sz w:val="22"/>
        </w:rPr>
        <w:t>P</w:t>
      </w:r>
      <w:r w:rsidR="007B0F2D" w:rsidRPr="00446B03">
        <w:rPr>
          <w:rFonts w:ascii="Arial" w:hAnsi="Arial" w:cs="Arial"/>
          <w:sz w:val="22"/>
        </w:rPr>
        <w:t>or lo tanto, la restricción prevista en la Ley 996 de 200</w:t>
      </w:r>
      <w:bookmarkStart w:id="54"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w:t>
      </w:r>
      <w:r w:rsidR="00FF6577">
        <w:rPr>
          <w:rFonts w:ascii="Arial" w:eastAsia="Times New Roman" w:hAnsi="Arial" w:cs="Arial"/>
          <w:bCs/>
          <w:sz w:val="22"/>
          <w:lang w:eastAsia="x-none"/>
        </w:rPr>
        <w:t>d</w:t>
      </w:r>
      <w:r w:rsidR="00A50F5C" w:rsidRPr="00446B03">
        <w:rPr>
          <w:rFonts w:ascii="Arial" w:eastAsia="Times New Roman" w:hAnsi="Arial" w:cs="Arial"/>
          <w:bCs/>
          <w:sz w:val="22"/>
          <w:lang w:eastAsia="x-none"/>
        </w:rPr>
        <w:t xml:space="preserve">erecho </w:t>
      </w:r>
      <w:r w:rsidR="00FF6577">
        <w:rPr>
          <w:rFonts w:ascii="Arial" w:eastAsia="Times New Roman" w:hAnsi="Arial" w:cs="Arial"/>
          <w:bCs/>
          <w:sz w:val="22"/>
          <w:lang w:eastAsia="x-none"/>
        </w:rPr>
        <w:t>p</w:t>
      </w:r>
      <w:r w:rsidR="00A50F5C" w:rsidRPr="00446B03">
        <w:rPr>
          <w:rFonts w:ascii="Arial" w:eastAsia="Times New Roman" w:hAnsi="Arial" w:cs="Arial"/>
          <w:bCs/>
          <w:sz w:val="22"/>
          <w:lang w:eastAsia="x-none"/>
        </w:rPr>
        <w:t>rivado.</w:t>
      </w:r>
    </w:p>
    <w:bookmarkEnd w:id="53"/>
    <w:bookmarkEnd w:id="54"/>
    <w:p w14:paraId="2EB2320D" w14:textId="77777777" w:rsidR="00264924" w:rsidRPr="00CB58CF" w:rsidRDefault="00264924" w:rsidP="002C734A">
      <w:pPr>
        <w:spacing w:after="0"/>
        <w:rPr>
          <w:rFonts w:ascii="Times New Roman" w:eastAsia="Times New Roman" w:hAnsi="Times New Roman" w:cs="Times New Roman"/>
          <w:szCs w:val="24"/>
          <w:lang w:val="es-CO" w:eastAsia="es-ES_tradnl"/>
        </w:rPr>
      </w:pPr>
    </w:p>
    <w:p w14:paraId="240364CE" w14:textId="7DCEC9D9" w:rsidR="00D3745B" w:rsidRDefault="009918D4" w:rsidP="00567724">
      <w:pPr>
        <w:spacing w:after="0"/>
        <w:rPr>
          <w:rFonts w:ascii="Arial" w:eastAsia="Calibri" w:hAnsi="Arial" w:cs="Arial"/>
          <w:b/>
          <w:sz w:val="22"/>
          <w:lang w:val="es-CO"/>
        </w:rPr>
      </w:pPr>
      <w:r>
        <w:rPr>
          <w:rFonts w:ascii="Arial" w:eastAsia="Calibri" w:hAnsi="Arial" w:cs="Arial"/>
          <w:b/>
          <w:sz w:val="22"/>
          <w:lang w:val="es-CO"/>
        </w:rPr>
        <w:t>2.</w:t>
      </w:r>
      <w:r w:rsidR="00E225E8">
        <w:rPr>
          <w:rFonts w:ascii="Arial" w:eastAsia="Calibri" w:hAnsi="Arial" w:cs="Arial"/>
          <w:b/>
          <w:sz w:val="22"/>
          <w:lang w:val="es-CO"/>
        </w:rPr>
        <w:t>4</w:t>
      </w:r>
      <w:r>
        <w:rPr>
          <w:rFonts w:ascii="Arial" w:eastAsia="Calibri" w:hAnsi="Arial" w:cs="Arial"/>
          <w:b/>
          <w:sz w:val="22"/>
          <w:lang w:val="es-CO"/>
        </w:rPr>
        <w:t xml:space="preserve">. </w:t>
      </w:r>
      <w:r w:rsidR="00EB4844">
        <w:rPr>
          <w:rFonts w:ascii="Arial" w:eastAsia="Calibri" w:hAnsi="Arial" w:cs="Arial"/>
          <w:b/>
          <w:sz w:val="22"/>
          <w:lang w:val="es-CO"/>
        </w:rPr>
        <w:t xml:space="preserve">Naturaleza y régimen jurídico de las </w:t>
      </w:r>
      <w:r>
        <w:rPr>
          <w:rFonts w:ascii="Arial" w:eastAsia="Calibri" w:hAnsi="Arial" w:cs="Arial"/>
          <w:b/>
          <w:sz w:val="22"/>
          <w:lang w:val="es-CO"/>
        </w:rPr>
        <w:t>Empresas Prestadoras de Servicios Públicos Domiciliarios</w:t>
      </w:r>
    </w:p>
    <w:p w14:paraId="2961B445" w14:textId="370946F0" w:rsidR="00567724" w:rsidRDefault="00567724" w:rsidP="00567724">
      <w:pPr>
        <w:spacing w:after="0"/>
        <w:rPr>
          <w:rFonts w:ascii="Arial" w:eastAsia="Calibri" w:hAnsi="Arial" w:cs="Arial"/>
          <w:b/>
          <w:sz w:val="22"/>
          <w:lang w:val="es-CO"/>
        </w:rPr>
      </w:pPr>
    </w:p>
    <w:p w14:paraId="113A672F" w14:textId="77777777" w:rsidR="00567724" w:rsidRPr="00567724" w:rsidRDefault="00567724" w:rsidP="00567724">
      <w:pPr>
        <w:spacing w:after="120"/>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lastRenderedPageBreak/>
        <w:t>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En desarrollo de esta habilitación superior, el Congreso de la República dispuso, en el artículo 15 de la Ley 142 de 1994, 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08951EEA" w14:textId="1E863329" w:rsidR="00567724" w:rsidRPr="00567724" w:rsidRDefault="00567724" w:rsidP="00567724">
      <w:pPr>
        <w:spacing w:after="0"/>
        <w:ind w:firstLine="709"/>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t>Por su parte, el artículo 14 de la Ley 142 de 1994 contiene las definiciones para la correcta aplicación e interpretación del régimen de servicios públicos domiciliarios. Esta norma define las empresas de servicios públicos oficial, mixta y</w:t>
      </w:r>
      <w:r w:rsidR="00E50053">
        <w:rPr>
          <w:rFonts w:ascii="Arial" w:eastAsia="Times New Roman" w:hAnsi="Arial" w:cs="Arial"/>
          <w:color w:val="1A1A1A"/>
          <w:sz w:val="22"/>
          <w:szCs w:val="24"/>
          <w:lang w:val="es-CO" w:eastAsia="es-ES_tradnl"/>
        </w:rPr>
        <w:t xml:space="preserve"> </w:t>
      </w:r>
      <w:r w:rsidRPr="00567724">
        <w:rPr>
          <w:rFonts w:ascii="Arial" w:eastAsia="Times New Roman" w:hAnsi="Arial" w:cs="Arial"/>
          <w:color w:val="1A1A1A"/>
          <w:sz w:val="22"/>
          <w:szCs w:val="24"/>
          <w:lang w:val="es-CO" w:eastAsia="es-ES_tradnl"/>
        </w:rPr>
        <w:t xml:space="preserve">privada, en los siguientes términos: </w:t>
      </w:r>
    </w:p>
    <w:p w14:paraId="5BCFAA42" w14:textId="77777777" w:rsidR="00567724" w:rsidRPr="00567724" w:rsidRDefault="00567724" w:rsidP="00567724">
      <w:pPr>
        <w:spacing w:after="0" w:line="240" w:lineRule="auto"/>
        <w:rPr>
          <w:rFonts w:ascii="Arial" w:eastAsia="Times New Roman" w:hAnsi="Arial" w:cs="Arial"/>
          <w:color w:val="1A1A1A"/>
          <w:sz w:val="22"/>
          <w:szCs w:val="24"/>
          <w:lang w:val="es-CO" w:eastAsia="es-ES_tradnl"/>
        </w:rPr>
      </w:pPr>
    </w:p>
    <w:p w14:paraId="48C3891B" w14:textId="77777777" w:rsidR="00567724" w:rsidRPr="00567724" w:rsidRDefault="00567724" w:rsidP="00567724">
      <w:pPr>
        <w:spacing w:after="0" w:line="240" w:lineRule="auto"/>
        <w:ind w:left="709" w:right="474"/>
        <w:rPr>
          <w:rFonts w:ascii="Arial" w:eastAsia="Times New Roman" w:hAnsi="Arial" w:cs="Arial"/>
          <w:color w:val="1A1A1A"/>
          <w:sz w:val="21"/>
          <w:szCs w:val="21"/>
          <w:lang w:val="es-CO" w:eastAsia="es-ES_tradnl"/>
        </w:rPr>
      </w:pPr>
      <w:r w:rsidRPr="00567724">
        <w:rPr>
          <w:rFonts w:ascii="Arial" w:eastAsia="Times New Roman" w:hAnsi="Arial" w:cs="Arial"/>
          <w:color w:val="1A1A1A"/>
          <w:sz w:val="21"/>
          <w:szCs w:val="21"/>
          <w:lang w:val="es-CO" w:eastAsia="es-ES_tradnl"/>
        </w:rPr>
        <w:t>14.5. Empresa de servicios públicos oficial. Es aquella en cuyo capital la Nación, las entidades territoriales, o las entidades descentralizadas de aquella o estas tienen el 100% de los aportes.</w:t>
      </w:r>
    </w:p>
    <w:p w14:paraId="106FB690" w14:textId="77777777" w:rsidR="00567724" w:rsidRPr="00567724" w:rsidRDefault="00567724" w:rsidP="00567724">
      <w:pPr>
        <w:spacing w:before="120" w:after="120" w:line="240" w:lineRule="auto"/>
        <w:ind w:left="709" w:right="474"/>
        <w:rPr>
          <w:rFonts w:ascii="Arial" w:eastAsia="Times New Roman" w:hAnsi="Arial" w:cs="Arial"/>
          <w:color w:val="1A1A1A"/>
          <w:sz w:val="21"/>
          <w:szCs w:val="21"/>
          <w:lang w:val="es-CO" w:eastAsia="es-ES_tradnl"/>
        </w:rPr>
      </w:pPr>
      <w:r w:rsidRPr="00567724">
        <w:rPr>
          <w:rFonts w:ascii="Arial" w:eastAsia="Times New Roman" w:hAnsi="Arial" w:cs="Arial"/>
          <w:color w:val="1A1A1A"/>
          <w:sz w:val="21"/>
          <w:szCs w:val="21"/>
          <w:lang w:val="es-CO" w:eastAsia="es-ES_tradnl"/>
        </w:rPr>
        <w:t>14.6. Empresa de servicios públicos mixta. Es aquella en cuyo capital la Nación, las entidades territoriales, o las entidades descentralizadas de aquella o éstas tienen aportes iguales o superiores al 50%. </w:t>
      </w:r>
    </w:p>
    <w:p w14:paraId="28BB7F6A" w14:textId="77777777" w:rsidR="00567724" w:rsidRPr="00567724" w:rsidRDefault="00567724" w:rsidP="00567724">
      <w:pPr>
        <w:spacing w:before="120" w:after="0" w:line="240" w:lineRule="auto"/>
        <w:ind w:left="709" w:right="474"/>
        <w:rPr>
          <w:rFonts w:ascii="Arial" w:eastAsia="Times New Roman" w:hAnsi="Arial" w:cs="Arial"/>
          <w:color w:val="1A1A1A"/>
          <w:sz w:val="21"/>
          <w:szCs w:val="21"/>
          <w:lang w:val="es-CO" w:eastAsia="es-ES_tradnl"/>
        </w:rPr>
      </w:pPr>
      <w:r w:rsidRPr="00567724">
        <w:rPr>
          <w:rFonts w:ascii="Arial" w:eastAsia="Times New Roman" w:hAnsi="Arial" w:cs="Arial"/>
          <w:color w:val="1A1A1A"/>
          <w:sz w:val="21"/>
          <w:szCs w:val="21"/>
          <w:lang w:val="es-CO"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3C13DBD3" w14:textId="77777777" w:rsidR="00567724" w:rsidRPr="00567724" w:rsidRDefault="00567724" w:rsidP="00567724">
      <w:pPr>
        <w:spacing w:after="0" w:line="240" w:lineRule="auto"/>
        <w:rPr>
          <w:rFonts w:ascii="Arial" w:eastAsia="Times New Roman" w:hAnsi="Arial" w:cs="Arial"/>
          <w:color w:val="1A1A1A"/>
          <w:sz w:val="22"/>
          <w:szCs w:val="24"/>
          <w:lang w:val="es-CO" w:eastAsia="es-ES_tradnl"/>
        </w:rPr>
      </w:pPr>
    </w:p>
    <w:p w14:paraId="60E51115" w14:textId="77777777" w:rsidR="00567724" w:rsidRPr="00567724" w:rsidRDefault="00567724" w:rsidP="00567724">
      <w:pPr>
        <w:spacing w:after="120"/>
        <w:ind w:firstLine="708"/>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t xml:space="preserve">A su turno, el artículo 17 de la ley citada señala que «las empresas de servicios públicos son sociedades por acciones cuyo objeto es la prestación de los servicios públicos de que trata esta ley». </w:t>
      </w:r>
    </w:p>
    <w:p w14:paraId="4ECD2DE4" w14:textId="77777777" w:rsidR="00567724" w:rsidRPr="00567724" w:rsidRDefault="00567724" w:rsidP="00567724">
      <w:pPr>
        <w:spacing w:before="120" w:after="120"/>
        <w:ind w:firstLine="708"/>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t xml:space="preserve">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w:t>
      </w:r>
      <w:r w:rsidRPr="00567724">
        <w:rPr>
          <w:rFonts w:ascii="Arial" w:eastAsia="Times New Roman" w:hAnsi="Arial" w:cs="Arial"/>
          <w:color w:val="1A1A1A"/>
          <w:sz w:val="22"/>
          <w:szCs w:val="24"/>
          <w:lang w:val="es-CO" w:eastAsia="es-ES_tradnl"/>
        </w:rPr>
        <w:lastRenderedPageBreak/>
        <w:t>descentralizadas del orden nacional, se refirió únicamente a las empresas oficiales de servicios públicos, esto es, aquellas en las que la participación del Estado es del 100%</w:t>
      </w:r>
      <w:r w:rsidRPr="00567724">
        <w:rPr>
          <w:rFonts w:ascii="Arial" w:eastAsia="Times New Roman" w:hAnsi="Arial" w:cs="Arial"/>
          <w:color w:val="1A1A1A"/>
          <w:sz w:val="22"/>
          <w:szCs w:val="24"/>
          <w:vertAlign w:val="superscript"/>
          <w:lang w:val="es-CO" w:eastAsia="es-ES_tradnl"/>
        </w:rPr>
        <w:footnoteReference w:id="24"/>
      </w:r>
      <w:r w:rsidRPr="00567724">
        <w:rPr>
          <w:rFonts w:ascii="Arial" w:eastAsia="Times New Roman" w:hAnsi="Arial" w:cs="Arial"/>
          <w:color w:val="1A1A1A"/>
          <w:sz w:val="22"/>
          <w:szCs w:val="24"/>
          <w:lang w:val="es-CO" w:eastAsia="es-ES_tradnl"/>
        </w:rPr>
        <w:t xml:space="preserve">. </w:t>
      </w:r>
    </w:p>
    <w:p w14:paraId="306666CF" w14:textId="77777777" w:rsidR="00567724" w:rsidRPr="00567724" w:rsidRDefault="00567724" w:rsidP="00567724">
      <w:pPr>
        <w:spacing w:before="120" w:after="120"/>
        <w:ind w:firstLine="708"/>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t xml:space="preserve">Lo anterior llevó a pensar que el legislador excluyó de la Rama Ejecutiva a las empresas de servicios públicos mixtas –capital público superior al 50%– y las privadas –capital público inferior al 50%–. Sin embargo, la Corte Constitucional determinó que tanto las empresas de servicios públicos mixtas como las privadas hacían parte de la Rama Ejecutiva, toda vez que el literal g) del artículo 38 de la Ley 489 de 1998 aplica a «g) Las demás entidades administrativas nacionales con personería jurídica que cree, organice o autorice la ley para que formen parte de la Rama Ejecutiva del Poder Público». </w:t>
      </w:r>
    </w:p>
    <w:p w14:paraId="6382EB03" w14:textId="77777777" w:rsidR="00567724" w:rsidRPr="00567724" w:rsidRDefault="00567724" w:rsidP="00567724">
      <w:pPr>
        <w:spacing w:before="120" w:after="120"/>
        <w:ind w:firstLine="709"/>
        <w:rPr>
          <w:rFonts w:ascii="Arial" w:eastAsia="Times New Roman" w:hAnsi="Arial" w:cs="Arial"/>
          <w:color w:val="1A1A1A"/>
          <w:sz w:val="21"/>
          <w:szCs w:val="21"/>
          <w:lang w:val="es-CO" w:eastAsia="es-CO"/>
        </w:rPr>
      </w:pPr>
      <w:r w:rsidRPr="00567724">
        <w:rPr>
          <w:rFonts w:ascii="Arial" w:eastAsia="Times New Roman" w:hAnsi="Arial" w:cs="Arial"/>
          <w:color w:val="1A1A1A"/>
          <w:sz w:val="22"/>
          <w:szCs w:val="24"/>
          <w:lang w:val="es-CO"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567724">
        <w:rPr>
          <w:rFonts w:ascii="Arial" w:eastAsia="Times New Roman" w:hAnsi="Arial" w:cs="Arial"/>
          <w:color w:val="1A1A1A"/>
          <w:sz w:val="22"/>
          <w:szCs w:val="24"/>
          <w:vertAlign w:val="superscript"/>
          <w:lang w:val="es-CO" w:eastAsia="es-ES_tradnl"/>
        </w:rPr>
        <w:footnoteReference w:id="25"/>
      </w:r>
      <w:r w:rsidRPr="00567724">
        <w:rPr>
          <w:rFonts w:ascii="Arial" w:eastAsia="Times New Roman" w:hAnsi="Arial" w:cs="Arial"/>
          <w:color w:val="1A1A1A"/>
          <w:sz w:val="22"/>
          <w:szCs w:val="24"/>
          <w:lang w:val="es-CO" w:eastAsia="es-ES_tradnl"/>
        </w:rPr>
        <w:t xml:space="preserve">. En esta providencia también aclaró que las empresas prestadoras de servicios públicos, de carácter mixto o privado, no son empresas de economía mixta. La anterior conclusión fue fundamentada sobre la idea </w:t>
      </w:r>
      <w:r w:rsidRPr="00567724">
        <w:rPr>
          <w:rFonts w:ascii="Arial" w:eastAsia="Times New Roman" w:hAnsi="Arial" w:cs="Arial"/>
          <w:color w:val="1A1A1A"/>
          <w:sz w:val="22"/>
          <w:szCs w:val="24"/>
          <w:lang w:val="es-CO" w:eastAsia="es-ES_tradnl"/>
        </w:rPr>
        <w:lastRenderedPageBreak/>
        <w:t>del carácter o naturaleza especial que la Constitución otorgó a las empresas de servicios públicos</w:t>
      </w:r>
      <w:r w:rsidRPr="00567724">
        <w:rPr>
          <w:rFonts w:ascii="Arial" w:eastAsia="Times New Roman" w:hAnsi="Arial" w:cs="Arial"/>
          <w:color w:val="1A1A1A"/>
          <w:sz w:val="21"/>
          <w:szCs w:val="21"/>
          <w:vertAlign w:val="superscript"/>
          <w:lang w:val="es-CO" w:eastAsia="es-CO"/>
        </w:rPr>
        <w:footnoteReference w:id="26"/>
      </w:r>
      <w:r w:rsidRPr="00567724">
        <w:rPr>
          <w:rFonts w:ascii="Arial" w:eastAsia="Times New Roman" w:hAnsi="Arial" w:cs="Arial"/>
          <w:color w:val="1A1A1A"/>
          <w:sz w:val="21"/>
          <w:szCs w:val="21"/>
          <w:lang w:val="es-CO" w:eastAsia="es-CO"/>
        </w:rPr>
        <w:t>.</w:t>
      </w:r>
    </w:p>
    <w:p w14:paraId="307ECDCC" w14:textId="77777777" w:rsidR="00567724" w:rsidRPr="00567724" w:rsidRDefault="00567724" w:rsidP="00567724">
      <w:pPr>
        <w:spacing w:after="120"/>
        <w:ind w:firstLine="708"/>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6B8FF80F" w14:textId="072254DA" w:rsidR="00567724" w:rsidRPr="00FA4CD3" w:rsidRDefault="00567724" w:rsidP="00FA4CD3">
      <w:pPr>
        <w:spacing w:after="0"/>
        <w:ind w:firstLine="709"/>
        <w:rPr>
          <w:rFonts w:ascii="Arial" w:eastAsia="Times New Roman" w:hAnsi="Arial" w:cs="Arial"/>
          <w:color w:val="1A1A1A"/>
          <w:sz w:val="22"/>
          <w:szCs w:val="24"/>
          <w:lang w:val="es-CO" w:eastAsia="es-ES_tradnl"/>
        </w:rPr>
      </w:pPr>
      <w:r w:rsidRPr="00567724">
        <w:rPr>
          <w:rFonts w:ascii="Arial" w:eastAsia="Times New Roman" w:hAnsi="Arial" w:cs="Arial"/>
          <w:color w:val="1A1A1A"/>
          <w:sz w:val="22"/>
          <w:szCs w:val="24"/>
          <w:lang w:val="es-CO" w:eastAsia="es-ES_tradnl"/>
        </w:rPr>
        <w:t>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w:t>
      </w:r>
      <w:r w:rsidRPr="00567724">
        <w:rPr>
          <w:rFonts w:ascii="Arial" w:eastAsia="Times New Roman" w:hAnsi="Arial" w:cs="Arial"/>
          <w:color w:val="1A1A1A"/>
          <w:sz w:val="22"/>
          <w:szCs w:val="24"/>
          <w:vertAlign w:val="superscript"/>
          <w:lang w:val="es-CO" w:eastAsia="es-ES_tradnl"/>
        </w:rPr>
        <w:footnoteReference w:id="27"/>
      </w:r>
      <w:r w:rsidRPr="00567724">
        <w:rPr>
          <w:rFonts w:ascii="Arial" w:eastAsia="Times New Roman" w:hAnsi="Arial" w:cs="Arial"/>
          <w:color w:val="1A1A1A"/>
          <w:sz w:val="22"/>
          <w:szCs w:val="24"/>
          <w:lang w:val="es-CO" w:eastAsia="es-ES_tradnl"/>
        </w:rPr>
        <w:t>.</w:t>
      </w:r>
    </w:p>
    <w:p w14:paraId="225D0B6B" w14:textId="77777777" w:rsidR="00FA4CD3" w:rsidRDefault="00FA4CD3" w:rsidP="00FA4CD3">
      <w:pPr>
        <w:spacing w:after="0"/>
        <w:rPr>
          <w:rFonts w:ascii="Arial" w:eastAsia="Calibri" w:hAnsi="Arial" w:cs="Arial"/>
          <w:b/>
          <w:sz w:val="22"/>
          <w:lang w:val="es-CO"/>
        </w:rPr>
      </w:pPr>
    </w:p>
    <w:p w14:paraId="52ACB68C" w14:textId="7B41B22B" w:rsidR="001C1A26" w:rsidRPr="00567724" w:rsidRDefault="00231E50" w:rsidP="00FA4CD3">
      <w:pPr>
        <w:spacing w:after="0"/>
        <w:rPr>
          <w:rFonts w:ascii="Arial" w:eastAsia="Times New Roman" w:hAnsi="Arial" w:cs="Arial"/>
          <w:color w:val="1A1A1A"/>
          <w:sz w:val="22"/>
          <w:szCs w:val="24"/>
          <w:lang w:val="es-CO" w:eastAsia="es-ES_tradnl"/>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599CA1F9" w14:textId="012287A4" w:rsidR="00155C28" w:rsidRPr="00BB2ABF" w:rsidRDefault="00155C28" w:rsidP="00155C28">
      <w:pPr>
        <w:pStyle w:val="NormalWeb"/>
        <w:spacing w:before="0" w:beforeAutospacing="0" w:after="0" w:afterAutospacing="0" w:line="240" w:lineRule="auto"/>
        <w:ind w:left="709" w:right="709"/>
        <w:rPr>
          <w:rFonts w:ascii="Arial" w:hAnsi="Arial" w:cs="Arial"/>
          <w:sz w:val="21"/>
          <w:szCs w:val="21"/>
        </w:rPr>
      </w:pPr>
      <w:bookmarkStart w:id="55" w:name="_Hlk57650395"/>
      <w:r w:rsidRPr="00BB2ABF">
        <w:rPr>
          <w:rFonts w:ascii="Arial" w:hAnsi="Arial" w:cs="Arial"/>
          <w:sz w:val="21"/>
          <w:szCs w:val="21"/>
        </w:rPr>
        <w:t>«</w:t>
      </w:r>
      <w:r w:rsidR="00EB4844" w:rsidRPr="00EB4844">
        <w:rPr>
          <w:rFonts w:ascii="Arial" w:hAnsi="Arial" w:cs="Arial"/>
          <w:sz w:val="21"/>
          <w:szCs w:val="21"/>
        </w:rPr>
        <w:t xml:space="preserve"> </w:t>
      </w:r>
      <w:r w:rsidR="00EB4844" w:rsidRPr="00BB2ABF">
        <w:rPr>
          <w:rFonts w:ascii="Arial" w:hAnsi="Arial" w:cs="Arial"/>
          <w:sz w:val="21"/>
          <w:szCs w:val="21"/>
        </w:rPr>
        <w:t>i)</w:t>
      </w:r>
      <w:r w:rsidR="00EB4844">
        <w:rPr>
          <w:rFonts w:ascii="Arial" w:hAnsi="Arial" w:cs="Arial"/>
          <w:sz w:val="21"/>
          <w:szCs w:val="21"/>
        </w:rPr>
        <w:t xml:space="preserve"> </w:t>
      </w:r>
      <w:r w:rsidRPr="00BB2ABF">
        <w:rPr>
          <w:rFonts w:ascii="Arial" w:hAnsi="Arial" w:cs="Arial"/>
          <w:sz w:val="21"/>
          <w:szCs w:val="21"/>
        </w:rPr>
        <w:t>¿Se hace necesario acogerse a dichas actuaciones o existen algunas condiciones especiales para dichas empresas?»</w:t>
      </w:r>
    </w:p>
    <w:p w14:paraId="68FEB18F" w14:textId="77777777" w:rsidR="00155C28" w:rsidRPr="00BB2ABF" w:rsidRDefault="00155C28" w:rsidP="00155C28">
      <w:pPr>
        <w:pStyle w:val="NormalWeb"/>
        <w:spacing w:before="0" w:beforeAutospacing="0" w:after="0" w:afterAutospacing="0" w:line="240" w:lineRule="auto"/>
        <w:ind w:left="709" w:right="709"/>
        <w:rPr>
          <w:rFonts w:ascii="Arial" w:hAnsi="Arial" w:cs="Arial"/>
          <w:sz w:val="21"/>
          <w:szCs w:val="21"/>
        </w:rPr>
      </w:pPr>
    </w:p>
    <w:p w14:paraId="763D804E" w14:textId="24BA5128" w:rsidR="001C1A26" w:rsidRPr="00155C28" w:rsidRDefault="00155C28" w:rsidP="00155C28">
      <w:pPr>
        <w:pStyle w:val="NormalWeb"/>
        <w:spacing w:before="0" w:beforeAutospacing="0" w:after="0" w:afterAutospacing="0" w:line="240" w:lineRule="auto"/>
        <w:ind w:left="709" w:right="709"/>
        <w:rPr>
          <w:rFonts w:ascii="Arial" w:hAnsi="Arial" w:cs="Arial"/>
          <w:sz w:val="21"/>
          <w:szCs w:val="21"/>
        </w:rPr>
      </w:pPr>
      <w:r w:rsidRPr="00BB2ABF">
        <w:rPr>
          <w:rFonts w:ascii="Arial" w:hAnsi="Arial" w:cs="Arial"/>
          <w:sz w:val="21"/>
          <w:szCs w:val="21"/>
        </w:rPr>
        <w:t>«</w:t>
      </w:r>
      <w:r w:rsidR="00EB4844" w:rsidRPr="00EB4844">
        <w:rPr>
          <w:rFonts w:ascii="Arial" w:hAnsi="Arial" w:cs="Arial"/>
          <w:sz w:val="21"/>
          <w:szCs w:val="21"/>
        </w:rPr>
        <w:t xml:space="preserve"> </w:t>
      </w:r>
      <w:r w:rsidR="00EB4844" w:rsidRPr="00BB2ABF">
        <w:rPr>
          <w:rFonts w:ascii="Arial" w:hAnsi="Arial" w:cs="Arial"/>
          <w:sz w:val="21"/>
          <w:szCs w:val="21"/>
        </w:rPr>
        <w:t>ii)</w:t>
      </w:r>
      <w:r w:rsidRPr="00BB2ABF">
        <w:rPr>
          <w:rFonts w:ascii="Arial" w:hAnsi="Arial" w:cs="Arial"/>
          <w:sz w:val="21"/>
          <w:szCs w:val="21"/>
        </w:rPr>
        <w:t>¿A qué entidades aplica la restricción para celebrar contratos en la modalidad de contratación directa?»</w:t>
      </w:r>
    </w:p>
    <w:p w14:paraId="6C647347" w14:textId="77777777" w:rsidR="00C7127A" w:rsidRPr="000641BE" w:rsidRDefault="00C7127A" w:rsidP="000641BE">
      <w:pPr>
        <w:spacing w:after="0"/>
        <w:ind w:right="709"/>
        <w:rPr>
          <w:rFonts w:ascii="Arial" w:eastAsia="Times New Roman" w:hAnsi="Arial" w:cs="Arial"/>
          <w:sz w:val="22"/>
          <w:lang w:val="es-CO" w:eastAsia="es-ES_tradnl"/>
        </w:rPr>
      </w:pPr>
    </w:p>
    <w:p w14:paraId="30CA834F" w14:textId="0DD864AF" w:rsidR="008C5A47" w:rsidRDefault="009C7648" w:rsidP="000D7AF8">
      <w:pPr>
        <w:spacing w:after="120"/>
        <w:rPr>
          <w:rFonts w:ascii="Arial" w:eastAsia="Calibri" w:hAnsi="Arial" w:cs="Arial"/>
          <w:bCs/>
          <w:color w:val="000000" w:themeColor="text1"/>
          <w:sz w:val="22"/>
          <w:lang w:val="es-ES_tradnl"/>
        </w:rPr>
      </w:pPr>
      <w:r w:rsidRPr="00C86594">
        <w:rPr>
          <w:rFonts w:ascii="Arial" w:eastAsia="Times New Roman" w:hAnsi="Arial" w:cs="Arial"/>
          <w:bCs/>
          <w:sz w:val="22"/>
          <w:lang w:eastAsia="es-CO"/>
        </w:rPr>
        <w:t xml:space="preserve">De acuerdo con la explicación precedente, </w:t>
      </w:r>
      <w:r w:rsidR="000D7AF8" w:rsidRPr="00C86594">
        <w:rPr>
          <w:rFonts w:ascii="Arial" w:eastAsia="Calibri" w:hAnsi="Arial" w:cs="Arial"/>
          <w:bCs/>
          <w:color w:val="000000" w:themeColor="text1"/>
          <w:sz w:val="22"/>
          <w:lang w:val="es-ES_tradnl"/>
        </w:rPr>
        <w:t xml:space="preserve">de la Ley 996 de 2005 se derivan dos prohibiciones diferentes aplicables a periodos preelectorales distintos. </w:t>
      </w:r>
      <w:r w:rsidR="00876D8A" w:rsidRPr="00C86594">
        <w:rPr>
          <w:rFonts w:ascii="Arial" w:eastAsia="Calibri" w:hAnsi="Arial" w:cs="Arial"/>
          <w:bCs/>
          <w:color w:val="000000" w:themeColor="text1"/>
          <w:sz w:val="22"/>
          <w:lang w:val="es-ES_tradnl"/>
        </w:rPr>
        <w:t>U</w:t>
      </w:r>
      <w:r w:rsidR="000D7AF8" w:rsidRPr="00C86594">
        <w:rPr>
          <w:rFonts w:ascii="Arial" w:eastAsia="Calibri" w:hAnsi="Arial" w:cs="Arial"/>
          <w:bCs/>
          <w:color w:val="000000" w:themeColor="text1"/>
          <w:sz w:val="22"/>
          <w:lang w:val="es-ES_tradnl"/>
        </w:rPr>
        <w:t>na es la prohibición que se deriva de lo establecido en el artículo 33, respecto a las elecciones presidenciales</w:t>
      </w:r>
      <w:r w:rsidR="008D0F55">
        <w:rPr>
          <w:rFonts w:ascii="Arial" w:eastAsia="Calibri" w:hAnsi="Arial" w:cs="Arial"/>
          <w:bCs/>
          <w:color w:val="000000" w:themeColor="text1"/>
          <w:sz w:val="22"/>
          <w:lang w:val="es-ES_tradnl"/>
        </w:rPr>
        <w:t xml:space="preserve">, </w:t>
      </w:r>
      <w:r w:rsidR="000D7AF8" w:rsidRPr="00C86594">
        <w:rPr>
          <w:rFonts w:ascii="Arial" w:eastAsia="Calibri" w:hAnsi="Arial" w:cs="Arial"/>
          <w:bCs/>
          <w:color w:val="000000" w:themeColor="text1"/>
          <w:sz w:val="22"/>
          <w:lang w:val="es-ES_tradnl"/>
        </w:rPr>
        <w:t>y otra la originada en el parágrafo del artículo 38 que aplica frente</w:t>
      </w:r>
      <w:r w:rsidR="002B0F8F" w:rsidRPr="00C86594">
        <w:rPr>
          <w:rFonts w:ascii="Arial" w:eastAsia="Calibri" w:hAnsi="Arial" w:cs="Arial"/>
          <w:bCs/>
          <w:color w:val="000000" w:themeColor="text1"/>
          <w:sz w:val="22"/>
          <w:lang w:val="es-ES_tradnl"/>
        </w:rPr>
        <w:t xml:space="preserve"> a</w:t>
      </w:r>
      <w:r w:rsidR="000D7AF8" w:rsidRPr="00C86594">
        <w:rPr>
          <w:rFonts w:ascii="Arial" w:eastAsia="Calibri" w:hAnsi="Arial" w:cs="Arial"/>
          <w:bCs/>
          <w:color w:val="000000" w:themeColor="text1"/>
          <w:sz w:val="22"/>
          <w:lang w:val="es-ES_tradnl"/>
        </w:rPr>
        <w:t xml:space="preserve"> elecciones para cualquier cargo de elección popular, lo que también incluye las presidenciales.</w:t>
      </w:r>
      <w:r w:rsidR="008C5A47">
        <w:rPr>
          <w:rFonts w:ascii="Arial" w:eastAsia="Calibri" w:hAnsi="Arial" w:cs="Arial"/>
          <w:bCs/>
          <w:color w:val="000000" w:themeColor="text1"/>
          <w:sz w:val="22"/>
          <w:lang w:val="es-ES_tradnl"/>
        </w:rPr>
        <w:t xml:space="preserve"> </w:t>
      </w:r>
      <w:r w:rsidR="00B52778">
        <w:rPr>
          <w:rFonts w:ascii="Arial" w:eastAsia="Calibri" w:hAnsi="Arial" w:cs="Arial"/>
          <w:bCs/>
          <w:color w:val="000000" w:themeColor="text1"/>
          <w:sz w:val="22"/>
          <w:lang w:val="es-ES_tradnl"/>
        </w:rPr>
        <w:t>Particularmente, la</w:t>
      </w:r>
      <w:r w:rsidR="000D7AF8" w:rsidRPr="00C86594">
        <w:rPr>
          <w:rFonts w:ascii="Arial" w:eastAsia="Calibri" w:hAnsi="Arial" w:cs="Arial"/>
          <w:bCs/>
          <w:color w:val="000000" w:themeColor="text1"/>
          <w:sz w:val="22"/>
          <w:lang w:val="es-ES_tradnl"/>
        </w:rPr>
        <w:t xml:space="preserve"> restricción del artículo 33 prohíbe la contratación directa por parte de todos los entes del Estado, durante los</w:t>
      </w:r>
      <w:r w:rsidR="002A6A61" w:rsidRPr="00C86594">
        <w:rPr>
          <w:rFonts w:ascii="Arial" w:eastAsia="Calibri" w:hAnsi="Arial" w:cs="Arial"/>
          <w:bCs/>
          <w:color w:val="000000" w:themeColor="text1"/>
          <w:sz w:val="22"/>
          <w:lang w:val="es-ES_tradnl"/>
        </w:rPr>
        <w:t xml:space="preserve"> cuatro</w:t>
      </w:r>
      <w:r w:rsidR="000D7AF8" w:rsidRPr="00C86594">
        <w:rPr>
          <w:rFonts w:ascii="Arial" w:eastAsia="Calibri" w:hAnsi="Arial" w:cs="Arial"/>
          <w:bCs/>
          <w:color w:val="000000" w:themeColor="text1"/>
          <w:sz w:val="22"/>
          <w:lang w:val="es-ES_tradnl"/>
        </w:rPr>
        <w:t xml:space="preserve"> </w:t>
      </w:r>
      <w:r w:rsidR="002A6A61" w:rsidRPr="00C86594">
        <w:rPr>
          <w:rFonts w:ascii="Arial" w:eastAsia="Calibri" w:hAnsi="Arial" w:cs="Arial"/>
          <w:bCs/>
          <w:color w:val="000000" w:themeColor="text1"/>
          <w:sz w:val="22"/>
          <w:lang w:val="es-ES_tradnl"/>
        </w:rPr>
        <w:t>(</w:t>
      </w:r>
      <w:r w:rsidR="000D7AF8" w:rsidRPr="00C86594">
        <w:rPr>
          <w:rFonts w:ascii="Arial" w:eastAsia="Calibri" w:hAnsi="Arial" w:cs="Arial"/>
          <w:bCs/>
          <w:color w:val="000000" w:themeColor="text1"/>
          <w:sz w:val="22"/>
          <w:lang w:val="es-ES_tradnl"/>
        </w:rPr>
        <w:t>4</w:t>
      </w:r>
      <w:r w:rsidR="002A6A61" w:rsidRPr="00C86594">
        <w:rPr>
          <w:rFonts w:ascii="Arial" w:eastAsia="Calibri" w:hAnsi="Arial" w:cs="Arial"/>
          <w:bCs/>
          <w:color w:val="000000" w:themeColor="text1"/>
          <w:sz w:val="22"/>
          <w:lang w:val="es-ES_tradnl"/>
        </w:rPr>
        <w:t>)</w:t>
      </w:r>
      <w:r w:rsidR="000D7AF8" w:rsidRPr="00C86594">
        <w:rPr>
          <w:rFonts w:ascii="Arial" w:eastAsia="Calibri" w:hAnsi="Arial" w:cs="Arial"/>
          <w:bCs/>
          <w:color w:val="000000" w:themeColor="text1"/>
          <w:sz w:val="22"/>
          <w:lang w:val="es-ES_tradnl"/>
        </w:rPr>
        <w:t xml:space="preserve"> meses anteriores a la elección presidencial y hasta la realización de la elección en la segunda vuelta, en caso de que se presente. </w:t>
      </w:r>
    </w:p>
    <w:p w14:paraId="1FD95C29" w14:textId="331B1391" w:rsidR="000D7AF8" w:rsidRPr="00C86594" w:rsidRDefault="000D7AF8" w:rsidP="00750C77">
      <w:pPr>
        <w:spacing w:after="120"/>
        <w:ind w:firstLine="708"/>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ES_tradnl"/>
        </w:rPr>
        <w:t>Sin perjuicio de lo anterior, el inciso segundo de dicha disposición establece algunas excepciones a esta prohibición</w:t>
      </w:r>
      <w:r w:rsidR="00727B79" w:rsidRPr="00C86594">
        <w:rPr>
          <w:rFonts w:ascii="Arial" w:eastAsia="Calibri" w:hAnsi="Arial" w:cs="Arial"/>
          <w:bCs/>
          <w:color w:val="000000" w:themeColor="text1"/>
          <w:sz w:val="22"/>
          <w:lang w:val="es-ES_tradnl"/>
        </w:rPr>
        <w:t xml:space="preserve">, </w:t>
      </w:r>
      <w:r w:rsidR="00486C79" w:rsidRPr="00C86594">
        <w:rPr>
          <w:rFonts w:ascii="Arial" w:eastAsia="Calibri" w:hAnsi="Arial" w:cs="Arial"/>
          <w:bCs/>
          <w:color w:val="000000" w:themeColor="text1"/>
          <w:sz w:val="22"/>
          <w:lang w:val="es-ES_tradnl"/>
        </w:rPr>
        <w:t xml:space="preserve">en los siguientes términos: </w:t>
      </w:r>
      <w:r w:rsidRPr="00C86594">
        <w:rPr>
          <w:rFonts w:ascii="Arial" w:eastAsia="Calibri" w:hAnsi="Arial" w:cs="Arial"/>
          <w:bCs/>
          <w:color w:val="000000" w:themeColor="text1"/>
          <w:sz w:val="22"/>
          <w:lang w:val="es-ES_tradnl"/>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727B79" w:rsidRPr="00C86594">
        <w:rPr>
          <w:rFonts w:ascii="Arial" w:eastAsia="Calibri" w:hAnsi="Arial" w:cs="Arial"/>
          <w:bCs/>
          <w:color w:val="000000" w:themeColor="text1"/>
          <w:sz w:val="22"/>
          <w:lang w:val="es-ES_tradnl"/>
        </w:rPr>
        <w:t xml:space="preserve"> </w:t>
      </w:r>
      <w:r w:rsidR="00727B79" w:rsidRPr="00C86594">
        <w:rPr>
          <w:rFonts w:ascii="Arial" w:eastAsia="Times New Roman" w:hAnsi="Arial" w:cs="Arial"/>
          <w:bCs/>
          <w:sz w:val="22"/>
          <w:lang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1E6256" w:rsidRPr="00C86594">
        <w:rPr>
          <w:rFonts w:ascii="Arial" w:eastAsia="Times New Roman" w:hAnsi="Arial" w:cs="Arial"/>
          <w:bCs/>
          <w:sz w:val="22"/>
          <w:lang w:eastAsia="es-CO"/>
        </w:rPr>
        <w:t>.</w:t>
      </w:r>
    </w:p>
    <w:p w14:paraId="6FD24D96" w14:textId="299308DB" w:rsidR="00A4289E" w:rsidRPr="00B52778" w:rsidRDefault="00727B79" w:rsidP="00B52778">
      <w:pPr>
        <w:spacing w:after="120"/>
        <w:ind w:firstLine="709"/>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CO"/>
        </w:rPr>
        <w:t>Por lo demás</w:t>
      </w:r>
      <w:r w:rsidR="00562ECF" w:rsidRPr="00C86594">
        <w:rPr>
          <w:rFonts w:ascii="Arial" w:eastAsia="Calibri" w:hAnsi="Arial" w:cs="Arial"/>
          <w:bCs/>
          <w:color w:val="000000" w:themeColor="text1"/>
          <w:sz w:val="22"/>
          <w:lang w:val="es-CO"/>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535F77C8" w14:textId="3C1B9D3F" w:rsidR="0020791A" w:rsidRPr="00A05663" w:rsidDel="009C7648" w:rsidRDefault="007540FF" w:rsidP="00750C77">
      <w:pPr>
        <w:spacing w:after="0"/>
        <w:ind w:firstLine="709"/>
        <w:rPr>
          <w:rFonts w:ascii="Arial" w:eastAsia="Times New Roman" w:hAnsi="Arial" w:cs="Arial"/>
          <w:bCs/>
          <w:sz w:val="22"/>
          <w:lang w:eastAsia="es-CO"/>
        </w:rPr>
      </w:pPr>
      <w:r>
        <w:rPr>
          <w:rFonts w:ascii="Arial" w:eastAsia="Times New Roman" w:hAnsi="Arial" w:cs="Arial"/>
          <w:bCs/>
          <w:sz w:val="22"/>
          <w:lang w:eastAsia="es-CO"/>
        </w:rPr>
        <w:t>Conforme a lo anterior</w:t>
      </w:r>
      <w:r w:rsidR="00B80D6E">
        <w:rPr>
          <w:rFonts w:ascii="Arial" w:eastAsia="Times New Roman" w:hAnsi="Arial" w:cs="Arial"/>
          <w:bCs/>
          <w:sz w:val="22"/>
          <w:lang w:eastAsia="es-CO"/>
        </w:rPr>
        <w:t xml:space="preserve">, teniendo en cuenta que la prohibición de contratación directa de que trata el artículo </w:t>
      </w:r>
      <w:r w:rsidR="00F86251">
        <w:rPr>
          <w:rFonts w:ascii="Arial" w:eastAsia="Times New Roman" w:hAnsi="Arial" w:cs="Arial"/>
          <w:bCs/>
          <w:sz w:val="22"/>
          <w:lang w:eastAsia="es-CO"/>
        </w:rPr>
        <w:t>precitado</w:t>
      </w:r>
      <w:r w:rsidR="00EC25F9">
        <w:rPr>
          <w:rFonts w:ascii="Arial" w:eastAsia="Times New Roman" w:hAnsi="Arial" w:cs="Arial"/>
          <w:bCs/>
          <w:sz w:val="22"/>
          <w:lang w:eastAsia="es-CO"/>
        </w:rPr>
        <w:t xml:space="preserve"> se extiende a todos los entes del Estado</w:t>
      </w:r>
      <w:r w:rsidR="00E71F29">
        <w:rPr>
          <w:rFonts w:ascii="Arial" w:eastAsia="Times New Roman" w:hAnsi="Arial" w:cs="Arial"/>
          <w:bCs/>
          <w:sz w:val="22"/>
          <w:lang w:eastAsia="es-CO"/>
        </w:rPr>
        <w:t xml:space="preserve">, </w:t>
      </w:r>
      <w:r>
        <w:rPr>
          <w:rFonts w:ascii="Arial" w:eastAsia="Times New Roman" w:hAnsi="Arial" w:cs="Arial"/>
          <w:bCs/>
          <w:sz w:val="22"/>
          <w:lang w:eastAsia="es-CO"/>
        </w:rPr>
        <w:lastRenderedPageBreak/>
        <w:t xml:space="preserve">resulta forzoso concluir que </w:t>
      </w:r>
      <w:r w:rsidR="00E71F29">
        <w:rPr>
          <w:rFonts w:ascii="Arial" w:eastAsia="Times New Roman" w:hAnsi="Arial" w:cs="Arial"/>
          <w:bCs/>
          <w:sz w:val="22"/>
          <w:lang w:eastAsia="es-CO"/>
        </w:rPr>
        <w:t>esta</w:t>
      </w:r>
      <w:r>
        <w:rPr>
          <w:rFonts w:ascii="Arial" w:eastAsia="Times New Roman" w:hAnsi="Arial" w:cs="Arial"/>
          <w:bCs/>
          <w:sz w:val="22"/>
          <w:lang w:eastAsia="es-CO"/>
        </w:rPr>
        <w:t xml:space="preserve"> también </w:t>
      </w:r>
      <w:r w:rsidR="00E71F29">
        <w:rPr>
          <w:rFonts w:ascii="Arial" w:eastAsia="Times New Roman" w:hAnsi="Arial" w:cs="Arial"/>
          <w:bCs/>
          <w:sz w:val="22"/>
          <w:lang w:eastAsia="es-CO"/>
        </w:rPr>
        <w:t xml:space="preserve"> es aplicable a las empresas de servicios públicos domiciliarios</w:t>
      </w:r>
      <w:r w:rsidR="00020052">
        <w:rPr>
          <w:rFonts w:ascii="Arial" w:eastAsia="Times New Roman" w:hAnsi="Arial" w:cs="Arial"/>
          <w:bCs/>
          <w:sz w:val="22"/>
          <w:lang w:eastAsia="es-CO"/>
        </w:rPr>
        <w:t xml:space="preserve"> de carácter oficial, privado y mixto</w:t>
      </w:r>
      <w:r w:rsidR="00FC47E4">
        <w:rPr>
          <w:rFonts w:ascii="Arial" w:eastAsia="Times New Roman" w:hAnsi="Arial" w:cs="Arial"/>
          <w:bCs/>
          <w:sz w:val="22"/>
          <w:lang w:eastAsia="es-CO"/>
        </w:rPr>
        <w:t xml:space="preserve">, </w:t>
      </w:r>
      <w:r w:rsidR="00AA276C">
        <w:rPr>
          <w:rFonts w:ascii="Arial" w:eastAsia="Times New Roman" w:hAnsi="Arial" w:cs="Arial"/>
          <w:bCs/>
          <w:sz w:val="22"/>
          <w:lang w:eastAsia="es-CO"/>
        </w:rPr>
        <w:t xml:space="preserve">dada su especial naturaleza jurídica </w:t>
      </w:r>
      <w:r w:rsidR="00941468">
        <w:rPr>
          <w:rFonts w:ascii="Arial" w:eastAsia="Times New Roman" w:hAnsi="Arial" w:cs="Arial"/>
          <w:bCs/>
          <w:sz w:val="22"/>
          <w:lang w:eastAsia="es-CO"/>
        </w:rPr>
        <w:t xml:space="preserve">que las vincula a </w:t>
      </w:r>
      <w:r w:rsidR="0037088E">
        <w:rPr>
          <w:rFonts w:ascii="Arial" w:eastAsia="Times New Roman" w:hAnsi="Arial" w:cs="Arial"/>
          <w:bCs/>
          <w:sz w:val="22"/>
          <w:lang w:eastAsia="es-CO"/>
        </w:rPr>
        <w:t xml:space="preserve">la Rama Ejecutiva del Poder Público, </w:t>
      </w:r>
      <w:r w:rsidR="00CB04DC">
        <w:rPr>
          <w:rFonts w:ascii="Arial" w:eastAsia="Times New Roman" w:hAnsi="Arial" w:cs="Arial"/>
          <w:bCs/>
          <w:sz w:val="22"/>
          <w:lang w:eastAsia="es-CO"/>
        </w:rPr>
        <w:t xml:space="preserve">en los términos expuestos en este concepto. </w:t>
      </w:r>
      <w:r w:rsidR="0037088E">
        <w:rPr>
          <w:rFonts w:ascii="Arial" w:eastAsia="Times New Roman" w:hAnsi="Arial" w:cs="Arial"/>
          <w:bCs/>
          <w:sz w:val="22"/>
          <w:lang w:eastAsia="es-CO"/>
        </w:rPr>
        <w:t xml:space="preserve"> </w:t>
      </w:r>
      <w:r w:rsidR="00FE10C4">
        <w:rPr>
          <w:rFonts w:ascii="Arial" w:eastAsia="Times New Roman" w:hAnsi="Arial" w:cs="Arial"/>
          <w:bCs/>
          <w:sz w:val="22"/>
          <w:lang w:eastAsia="es-CO"/>
        </w:rPr>
        <w:t xml:space="preserve">Esto supone que </w:t>
      </w:r>
      <w:r w:rsidR="006078ED">
        <w:rPr>
          <w:rFonts w:ascii="Arial" w:eastAsia="Times New Roman" w:hAnsi="Arial" w:cs="Arial"/>
          <w:bCs/>
          <w:sz w:val="22"/>
          <w:lang w:eastAsia="es-CO"/>
        </w:rPr>
        <w:t>tales</w:t>
      </w:r>
      <w:r w:rsidR="00FE10C4">
        <w:rPr>
          <w:rFonts w:ascii="Arial" w:eastAsia="Times New Roman" w:hAnsi="Arial" w:cs="Arial"/>
          <w:bCs/>
          <w:sz w:val="22"/>
          <w:lang w:eastAsia="es-CO"/>
        </w:rPr>
        <w:t xml:space="preserve"> entidades, independientemente de estar</w:t>
      </w:r>
      <w:r w:rsidR="000B670A">
        <w:rPr>
          <w:rFonts w:ascii="Arial" w:eastAsia="Times New Roman" w:hAnsi="Arial" w:cs="Arial"/>
          <w:bCs/>
          <w:sz w:val="22"/>
          <w:lang w:eastAsia="es-CO"/>
        </w:rPr>
        <w:t xml:space="preserve"> exceptuadas</w:t>
      </w:r>
      <w:r w:rsidR="006078ED">
        <w:rPr>
          <w:rFonts w:ascii="Arial" w:eastAsia="Times New Roman" w:hAnsi="Arial" w:cs="Arial"/>
          <w:bCs/>
          <w:sz w:val="22"/>
          <w:lang w:eastAsia="es-CO"/>
        </w:rPr>
        <w:t xml:space="preserve"> </w:t>
      </w:r>
      <w:r w:rsidR="000B670A">
        <w:rPr>
          <w:rFonts w:ascii="Arial" w:eastAsia="Times New Roman" w:hAnsi="Arial" w:cs="Arial"/>
          <w:bCs/>
          <w:sz w:val="22"/>
          <w:lang w:eastAsia="es-CO"/>
        </w:rPr>
        <w:t>del Estatuto General de Contratación de la Administración Pública</w:t>
      </w:r>
      <w:r w:rsidR="00694207">
        <w:rPr>
          <w:rFonts w:ascii="Arial" w:eastAsia="Times New Roman" w:hAnsi="Arial" w:cs="Arial"/>
          <w:bCs/>
          <w:sz w:val="22"/>
          <w:lang w:eastAsia="es-CO"/>
        </w:rPr>
        <w:t xml:space="preserve">, </w:t>
      </w:r>
      <w:r w:rsidR="006078ED">
        <w:rPr>
          <w:rFonts w:ascii="Arial" w:eastAsia="Times New Roman" w:hAnsi="Arial" w:cs="Arial"/>
          <w:bCs/>
          <w:sz w:val="22"/>
          <w:lang w:eastAsia="es-CO"/>
        </w:rPr>
        <w:t>al estar cobijadas por la restricción</w:t>
      </w:r>
      <w:r w:rsidR="00F75CF0">
        <w:rPr>
          <w:rFonts w:ascii="Arial" w:eastAsia="Times New Roman" w:hAnsi="Arial" w:cs="Arial"/>
          <w:bCs/>
          <w:sz w:val="22"/>
          <w:lang w:eastAsia="es-CO"/>
        </w:rPr>
        <w:t>,</w:t>
      </w:r>
      <w:r w:rsidR="00694207">
        <w:rPr>
          <w:rFonts w:ascii="Arial" w:eastAsia="Times New Roman" w:hAnsi="Arial" w:cs="Arial"/>
          <w:bCs/>
          <w:sz w:val="22"/>
          <w:lang w:eastAsia="es-CO"/>
        </w:rPr>
        <w:t xml:space="preserve"> tienen restringida la celebración de contratos en el marco de modalidades de escogencia de proveedores en las que no exista pluralidad de oferentes</w:t>
      </w:r>
      <w:r w:rsidR="00F75CF0">
        <w:rPr>
          <w:rFonts w:ascii="Arial" w:eastAsia="Times New Roman" w:hAnsi="Arial" w:cs="Arial"/>
          <w:bCs/>
          <w:sz w:val="22"/>
          <w:lang w:eastAsia="es-CO"/>
        </w:rPr>
        <w:t xml:space="preserve">, durante los cuatro (4) meses previos a las elecciones presidenciales. Esto sin perjuicio de </w:t>
      </w:r>
      <w:r w:rsidR="00EA2B44">
        <w:rPr>
          <w:rFonts w:ascii="Arial" w:eastAsia="Times New Roman" w:hAnsi="Arial" w:cs="Arial"/>
          <w:bCs/>
          <w:sz w:val="22"/>
          <w:lang w:eastAsia="es-CO"/>
        </w:rPr>
        <w:t>la posibilidad de que se celebren contratos de manera directa</w:t>
      </w:r>
      <w:r w:rsidR="003E217D">
        <w:rPr>
          <w:rFonts w:ascii="Arial" w:eastAsia="Times New Roman" w:hAnsi="Arial" w:cs="Arial"/>
          <w:bCs/>
          <w:sz w:val="22"/>
          <w:lang w:eastAsia="es-CO"/>
        </w:rPr>
        <w:t xml:space="preserve"> al amparo de alguna de</w:t>
      </w:r>
      <w:r w:rsidR="00694207">
        <w:rPr>
          <w:rFonts w:ascii="Arial" w:eastAsia="Times New Roman" w:hAnsi="Arial" w:cs="Arial"/>
          <w:bCs/>
          <w:sz w:val="22"/>
          <w:lang w:eastAsia="es-CO"/>
        </w:rPr>
        <w:t xml:space="preserve"> </w:t>
      </w:r>
      <w:r w:rsidR="003E217D">
        <w:rPr>
          <w:rFonts w:ascii="Arial" w:eastAsia="Times New Roman" w:hAnsi="Arial" w:cs="Arial"/>
          <w:bCs/>
          <w:sz w:val="22"/>
          <w:lang w:eastAsia="es-CO"/>
        </w:rPr>
        <w:t xml:space="preserve">las mencionadas restricciones o tras </w:t>
      </w:r>
      <w:r w:rsidR="001868E5">
        <w:rPr>
          <w:rFonts w:ascii="Arial" w:eastAsia="Times New Roman" w:hAnsi="Arial" w:cs="Arial"/>
          <w:bCs/>
          <w:sz w:val="22"/>
          <w:lang w:eastAsia="es-CO"/>
        </w:rPr>
        <w:t>el adelantamiento de procedimientos con convocatorias públicas</w:t>
      </w:r>
      <w:r w:rsidR="000131DE">
        <w:rPr>
          <w:rFonts w:ascii="Arial" w:eastAsia="Times New Roman" w:hAnsi="Arial" w:cs="Arial"/>
          <w:bCs/>
          <w:sz w:val="22"/>
          <w:lang w:eastAsia="es-CO"/>
        </w:rPr>
        <w:t>.</w:t>
      </w:r>
      <w:r w:rsidR="001868E5">
        <w:rPr>
          <w:rFonts w:ascii="Arial" w:eastAsia="Times New Roman" w:hAnsi="Arial" w:cs="Arial"/>
          <w:bCs/>
          <w:sz w:val="22"/>
          <w:lang w:eastAsia="es-CO"/>
        </w:rPr>
        <w:t xml:space="preserve"> </w:t>
      </w:r>
      <w:r w:rsidR="00694207">
        <w:rPr>
          <w:rFonts w:ascii="Arial" w:eastAsia="Times New Roman" w:hAnsi="Arial" w:cs="Arial"/>
          <w:bCs/>
          <w:sz w:val="22"/>
          <w:lang w:eastAsia="es-CO"/>
        </w:rPr>
        <w:t xml:space="preserve"> </w:t>
      </w:r>
    </w:p>
    <w:p w14:paraId="49890576" w14:textId="7A93631A" w:rsidR="00126204" w:rsidRPr="00CA2874" w:rsidRDefault="00126204" w:rsidP="00C86594">
      <w:pPr>
        <w:spacing w:after="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ab/>
      </w:r>
    </w:p>
    <w:p w14:paraId="7C3F01A6" w14:textId="66DB2C67" w:rsidR="00113653" w:rsidRDefault="00506085" w:rsidP="00113653">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183B8C22" w:rsidR="009F596F" w:rsidRPr="00446B03" w:rsidRDefault="00E36E2E" w:rsidP="00113653">
      <w:pPr>
        <w:jc w:val="center"/>
        <w:rPr>
          <w:rFonts w:ascii="Arial" w:eastAsia="Times New Roman" w:hAnsi="Arial" w:cs="Arial"/>
          <w:color w:val="000000" w:themeColor="text1"/>
          <w:sz w:val="18"/>
          <w:szCs w:val="20"/>
          <w:lang w:eastAsia="es-CO"/>
        </w:rPr>
      </w:pPr>
      <w:r>
        <w:rPr>
          <w:rFonts w:ascii="Arial" w:hAnsi="Arial" w:cs="Arial"/>
          <w:noProof/>
          <w:color w:val="000000" w:themeColor="text1"/>
          <w:lang w:val="es-ES_tradnl"/>
        </w:rPr>
        <w:drawing>
          <wp:inline distT="0" distB="0" distL="0" distR="0" wp14:anchorId="3F7BB038" wp14:editId="07243335">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C86594">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1ACF0ACE" w14:textId="636C66B3" w:rsidR="00A4289E" w:rsidRDefault="006A592F"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Kevin Arlid Herrera Santa</w:t>
            </w:r>
          </w:p>
          <w:p w14:paraId="3F63272B" w14:textId="0E97DC2B" w:rsidR="00843449" w:rsidRPr="004B28F8" w:rsidRDefault="00A4289E" w:rsidP="00C86594">
            <w:pPr>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Analista T2-0</w:t>
            </w:r>
            <w:r w:rsidR="006A592F">
              <w:rPr>
                <w:rFonts w:ascii="Arial" w:eastAsia="Times New Roman" w:hAnsi="Arial" w:cs="Arial"/>
                <w:color w:val="000000" w:themeColor="text1"/>
                <w:sz w:val="16"/>
                <w:szCs w:val="16"/>
                <w:lang w:val="es-CO" w:eastAsia="es-ES"/>
              </w:rPr>
              <w:t>4</w:t>
            </w:r>
            <w:r w:rsidRPr="00A4289E">
              <w:rPr>
                <w:rFonts w:ascii="Arial" w:eastAsia="Times New Roman" w:hAnsi="Arial" w:cs="Arial"/>
                <w:color w:val="000000" w:themeColor="text1"/>
                <w:sz w:val="16"/>
                <w:szCs w:val="16"/>
                <w:lang w:val="es-CO" w:eastAsia="es-ES"/>
              </w:rPr>
              <w:t xml:space="preserve">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03785AD" w:rsidR="00843449" w:rsidRPr="00446B03" w:rsidRDefault="00F91CB9"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Alejandro Sarmiento Cantillo</w:t>
            </w:r>
          </w:p>
          <w:p w14:paraId="30332C7A"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Subdirector de Gestión Contractual ANCP – CCE</w:t>
            </w:r>
          </w:p>
        </w:tc>
      </w:tr>
      <w:bookmarkEnd w:id="8"/>
      <w:bookmarkEnd w:id="55"/>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37A7" w14:textId="77777777" w:rsidR="00C1126A" w:rsidRDefault="00C1126A">
      <w:r>
        <w:separator/>
      </w:r>
    </w:p>
  </w:endnote>
  <w:endnote w:type="continuationSeparator" w:id="0">
    <w:p w14:paraId="62B88E30" w14:textId="77777777" w:rsidR="00C1126A" w:rsidRDefault="00C1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2D5A" w14:textId="77777777" w:rsidR="00C1126A" w:rsidRDefault="00C1126A">
      <w:r>
        <w:separator/>
      </w:r>
    </w:p>
  </w:footnote>
  <w:footnote w:type="continuationSeparator" w:id="0">
    <w:p w14:paraId="1C37659B" w14:textId="77777777" w:rsidR="00C1126A" w:rsidRDefault="00C1126A">
      <w:r>
        <w:continuationSeparator/>
      </w:r>
    </w:p>
  </w:footnote>
  <w:footnote w:id="1">
    <w:p w14:paraId="6581AD9F" w14:textId="77777777" w:rsidR="00561BAA" w:rsidRPr="00750C77" w:rsidRDefault="00561BAA" w:rsidP="00750C77">
      <w:pPr>
        <w:pStyle w:val="Textonotapie"/>
        <w:spacing w:after="0" w:line="240" w:lineRule="auto"/>
        <w:ind w:firstLine="708"/>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50C77">
        <w:rPr>
          <w:rFonts w:ascii="Arial" w:hAnsi="Arial" w:cs="Arial"/>
          <w:i/>
          <w:iCs/>
          <w:sz w:val="18"/>
          <w:szCs w:val="18"/>
        </w:rPr>
        <w:t xml:space="preserve">ibidem </w:t>
      </w:r>
      <w:r w:rsidRPr="00750C77">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750C77" w:rsidRDefault="00E008F1"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El artículo 127 de la Consti</w:t>
      </w:r>
      <w:r w:rsidR="00296D38" w:rsidRPr="00750C77">
        <w:rPr>
          <w:rFonts w:ascii="Arial" w:hAnsi="Arial" w:cs="Arial"/>
          <w:sz w:val="18"/>
          <w:szCs w:val="18"/>
        </w:rPr>
        <w:t>tu</w:t>
      </w:r>
      <w:r w:rsidRPr="00750C77">
        <w:rPr>
          <w:rFonts w:ascii="Arial" w:hAnsi="Arial" w:cs="Arial"/>
          <w:sz w:val="18"/>
          <w:szCs w:val="18"/>
        </w:rPr>
        <w:t>ción Política señala:</w:t>
      </w:r>
      <w:r w:rsidR="00F555DB" w:rsidRPr="00750C77">
        <w:rPr>
          <w:rFonts w:ascii="Arial" w:hAnsi="Arial" w:cs="Arial"/>
          <w:sz w:val="18"/>
          <w:szCs w:val="18"/>
        </w:rPr>
        <w:t xml:space="preserve"> </w:t>
      </w:r>
      <w:r w:rsidRPr="00750C77">
        <w:rPr>
          <w:rFonts w:ascii="Arial" w:hAnsi="Arial" w:cs="Arial"/>
          <w:sz w:val="18"/>
          <w:szCs w:val="18"/>
        </w:rPr>
        <w:t xml:space="preserve">«Los servidores públicos no podrán celebrar, por si o por interpuesta persona, o en representación de otro, contrato alguno con entidades </w:t>
      </w:r>
      <w:r w:rsidR="00F27A52" w:rsidRPr="00750C77">
        <w:rPr>
          <w:rFonts w:ascii="Arial" w:hAnsi="Arial" w:cs="Arial"/>
          <w:sz w:val="18"/>
          <w:szCs w:val="18"/>
        </w:rPr>
        <w:t>públicas</w:t>
      </w:r>
      <w:r w:rsidRPr="00750C77">
        <w:rPr>
          <w:rFonts w:ascii="Arial" w:hAnsi="Arial" w:cs="Arial"/>
          <w:sz w:val="18"/>
          <w:szCs w:val="18"/>
        </w:rPr>
        <w:t xml:space="preserve"> o con personas privadas que manejen o administren recursos públicos, salvo las excepciones legales. </w:t>
      </w:r>
    </w:p>
    <w:p w14:paraId="35B133A8" w14:textId="105BD0B7" w:rsidR="00CB33DA" w:rsidRPr="00750C77" w:rsidRDefault="00A923B7" w:rsidP="00EC380A">
      <w:pPr>
        <w:pStyle w:val="Textonotapie"/>
        <w:spacing w:after="0" w:line="240" w:lineRule="auto"/>
        <w:ind w:firstLine="709"/>
        <w:rPr>
          <w:rFonts w:ascii="Arial" w:hAnsi="Arial" w:cs="Arial"/>
          <w:sz w:val="18"/>
          <w:szCs w:val="18"/>
        </w:rPr>
      </w:pPr>
      <w:r w:rsidRPr="00750C77">
        <w:rPr>
          <w:rFonts w:ascii="Arial" w:hAnsi="Arial" w:cs="Arial"/>
          <w:sz w:val="18"/>
          <w:szCs w:val="18"/>
        </w:rPr>
        <w:t>»A</w:t>
      </w:r>
      <w:r w:rsidR="00E008F1" w:rsidRPr="00750C77">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750C77">
        <w:rPr>
          <w:rFonts w:ascii="Arial" w:hAnsi="Arial" w:cs="Arial"/>
          <w:sz w:val="18"/>
          <w:szCs w:val="18"/>
        </w:rPr>
        <w:t>Constitución.</w:t>
      </w:r>
      <w:r w:rsidR="00F91CA6" w:rsidRPr="00750C77">
        <w:rPr>
          <w:rFonts w:ascii="Arial" w:hAnsi="Arial" w:cs="Arial"/>
          <w:sz w:val="18"/>
          <w:szCs w:val="18"/>
        </w:rPr>
        <w:t xml:space="preserve"> </w:t>
      </w:r>
      <w:r w:rsidRPr="00750C77">
        <w:rPr>
          <w:rFonts w:ascii="Arial" w:hAnsi="Arial" w:cs="Arial"/>
          <w:sz w:val="18"/>
          <w:szCs w:val="18"/>
        </w:rPr>
        <w:t>Los</w:t>
      </w:r>
      <w:r w:rsidR="00E008F1" w:rsidRPr="00750C77">
        <w:rPr>
          <w:rFonts w:ascii="Arial" w:hAnsi="Arial" w:cs="Arial"/>
          <w:sz w:val="18"/>
          <w:szCs w:val="18"/>
        </w:rPr>
        <w:t xml:space="preserve"> empleados no contemplados en esta prohibición solo podrán participar en dichas actividades y controversias en las condicione</w:t>
      </w:r>
      <w:r w:rsidR="00296D38" w:rsidRPr="00750C77">
        <w:rPr>
          <w:rFonts w:ascii="Arial" w:hAnsi="Arial" w:cs="Arial"/>
          <w:sz w:val="18"/>
          <w:szCs w:val="18"/>
        </w:rPr>
        <w:t>s que señale la Ley Estatutaria</w:t>
      </w:r>
      <w:r w:rsidR="00E008F1" w:rsidRPr="00750C77">
        <w:rPr>
          <w:rFonts w:ascii="Arial" w:hAnsi="Arial" w:cs="Arial"/>
          <w:sz w:val="18"/>
          <w:szCs w:val="18"/>
        </w:rPr>
        <w:t>».</w:t>
      </w:r>
    </w:p>
  </w:footnote>
  <w:footnote w:id="3">
    <w:p w14:paraId="5CECD26A" w14:textId="715F878A" w:rsidR="006A049D" w:rsidRDefault="007A1418"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Gaceta del Congreso de la República No. 71 del 2005.</w:t>
      </w:r>
    </w:p>
    <w:p w14:paraId="78DFBF07" w14:textId="77777777" w:rsidR="00CB33DA" w:rsidRPr="00750C77" w:rsidRDefault="00CB33DA" w:rsidP="00750C77">
      <w:pPr>
        <w:pStyle w:val="Textonotapie"/>
        <w:spacing w:after="0" w:line="240" w:lineRule="auto"/>
        <w:ind w:firstLine="709"/>
        <w:rPr>
          <w:rFonts w:ascii="Arial" w:hAnsi="Arial" w:cs="Arial"/>
          <w:sz w:val="18"/>
          <w:szCs w:val="18"/>
        </w:rPr>
      </w:pPr>
    </w:p>
  </w:footnote>
  <w:footnote w:id="4">
    <w:p w14:paraId="2D822DE1" w14:textId="77777777" w:rsidR="009F3083" w:rsidRPr="00750C77" w:rsidRDefault="009F3083"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Corte Constitucional, Sentencia C- 1153 de 2005, M.P. Marco Gerardo Monroy Cabra.</w:t>
      </w:r>
    </w:p>
  </w:footnote>
  <w:footnote w:id="5">
    <w:p w14:paraId="16C8143B" w14:textId="075CC6FE" w:rsidR="0062127B" w:rsidRPr="00750C77" w:rsidRDefault="001F55B5"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750C77" w:rsidRDefault="001F55B5" w:rsidP="00750C77">
      <w:pPr>
        <w:pStyle w:val="Textonotapie"/>
        <w:spacing w:after="0" w:line="240" w:lineRule="auto"/>
        <w:ind w:firstLine="709"/>
        <w:rPr>
          <w:rFonts w:ascii="Arial" w:hAnsi="Arial" w:cs="Arial"/>
          <w:sz w:val="18"/>
          <w:szCs w:val="18"/>
          <w:lang w:val="es-CO"/>
        </w:rPr>
      </w:pPr>
      <w:r w:rsidRPr="00750C77">
        <w:rPr>
          <w:rStyle w:val="Refdenotaalpie"/>
          <w:rFonts w:ascii="Arial" w:hAnsi="Arial" w:cs="Arial"/>
          <w:sz w:val="18"/>
          <w:szCs w:val="18"/>
        </w:rPr>
        <w:footnoteRef/>
      </w:r>
      <w:r w:rsidRPr="00750C77">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750C77" w:rsidRDefault="00883662"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de </w:t>
      </w:r>
      <w:r w:rsidR="00A923B7" w:rsidRPr="00750C77">
        <w:rPr>
          <w:rFonts w:ascii="Arial" w:hAnsi="Arial" w:cs="Arial"/>
          <w:sz w:val="18"/>
          <w:szCs w:val="18"/>
        </w:rPr>
        <w:t>fecha 24</w:t>
      </w:r>
      <w:r w:rsidRPr="00750C77">
        <w:rPr>
          <w:rFonts w:ascii="Arial" w:hAnsi="Arial" w:cs="Arial"/>
          <w:sz w:val="18"/>
          <w:szCs w:val="18"/>
        </w:rPr>
        <w:t xml:space="preserve"> de julio de 2013, radicado 2166, Consejero Ponente</w:t>
      </w:r>
      <w:r w:rsidR="00C579C6" w:rsidRPr="00750C77">
        <w:rPr>
          <w:rFonts w:ascii="Arial" w:hAnsi="Arial" w:cs="Arial"/>
          <w:sz w:val="18"/>
          <w:szCs w:val="18"/>
        </w:rPr>
        <w:t>:</w:t>
      </w:r>
      <w:r w:rsidRPr="00750C77">
        <w:rPr>
          <w:rFonts w:ascii="Arial" w:hAnsi="Arial" w:cs="Arial"/>
          <w:sz w:val="18"/>
          <w:szCs w:val="18"/>
        </w:rPr>
        <w:t xml:space="preserve"> Álvaro Namén Vargas.  </w:t>
      </w:r>
    </w:p>
  </w:footnote>
  <w:footnote w:id="8">
    <w:p w14:paraId="775A205E" w14:textId="77777777" w:rsidR="0022085C" w:rsidRPr="00750C77" w:rsidRDefault="0022085C" w:rsidP="00750C77">
      <w:pPr>
        <w:spacing w:after="0" w:line="240" w:lineRule="auto"/>
        <w:ind w:firstLine="709"/>
        <w:rPr>
          <w:rFonts w:ascii="Arial" w:eastAsia="Times New Roman"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19" w:name="33"/>
      <w:r w:rsidRPr="00750C77">
        <w:rPr>
          <w:rFonts w:ascii="Arial" w:eastAsia="Calibri" w:hAnsi="Arial" w:cs="Arial"/>
          <w:bCs/>
          <w:color w:val="000000"/>
          <w:sz w:val="18"/>
          <w:szCs w:val="18"/>
        </w:rPr>
        <w:t>«</w:t>
      </w:r>
      <w:r w:rsidRPr="00750C77">
        <w:rPr>
          <w:rFonts w:ascii="Arial" w:eastAsia="Times New Roman" w:hAnsi="Arial" w:cs="Arial"/>
          <w:sz w:val="18"/>
          <w:szCs w:val="18"/>
        </w:rPr>
        <w:t>Artículo 33. Restricciones a la contratación pública.</w:t>
      </w:r>
      <w:bookmarkEnd w:id="19"/>
      <w:r w:rsidRPr="00750C77">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750C77" w:rsidRDefault="00A923B7" w:rsidP="00750C77">
      <w:pPr>
        <w:spacing w:after="0" w:line="240" w:lineRule="auto"/>
        <w:ind w:firstLine="709"/>
        <w:rPr>
          <w:rFonts w:ascii="Arial" w:eastAsia="Times New Roman" w:hAnsi="Arial" w:cs="Arial"/>
          <w:sz w:val="18"/>
          <w:szCs w:val="18"/>
        </w:rPr>
      </w:pPr>
      <w:r w:rsidRPr="00750C77">
        <w:rPr>
          <w:rFonts w:ascii="Arial" w:eastAsia="Calibri" w:hAnsi="Arial" w:cs="Arial"/>
          <w:bCs/>
          <w:color w:val="000000"/>
          <w:sz w:val="18"/>
          <w:szCs w:val="18"/>
        </w:rPr>
        <w:t>»</w:t>
      </w:r>
      <w:r w:rsidRPr="00750C77">
        <w:rPr>
          <w:rFonts w:ascii="Arial" w:eastAsia="Times New Roman" w:hAnsi="Arial" w:cs="Arial"/>
          <w:sz w:val="18"/>
          <w:szCs w:val="18"/>
        </w:rPr>
        <w:t xml:space="preserve"> Queda</w:t>
      </w:r>
      <w:r w:rsidR="0022085C" w:rsidRPr="00750C77">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750C77">
        <w:rPr>
          <w:rFonts w:ascii="Arial" w:eastAsia="Calibri" w:hAnsi="Arial" w:cs="Arial"/>
          <w:bCs/>
          <w:color w:val="000000"/>
          <w:sz w:val="18"/>
          <w:szCs w:val="18"/>
        </w:rPr>
        <w:t>»</w:t>
      </w:r>
      <w:r w:rsidR="0022085C" w:rsidRPr="00750C77">
        <w:rPr>
          <w:rFonts w:ascii="Arial" w:eastAsia="Times New Roman" w:hAnsi="Arial" w:cs="Arial"/>
          <w:sz w:val="18"/>
          <w:szCs w:val="18"/>
        </w:rPr>
        <w:t>.</w:t>
      </w:r>
    </w:p>
  </w:footnote>
  <w:footnote w:id="9">
    <w:p w14:paraId="79A56581" w14:textId="77777777" w:rsidR="0022085C" w:rsidRPr="00750C77" w:rsidRDefault="0022085C" w:rsidP="00750C77">
      <w:pPr>
        <w:pStyle w:val="NormalWeb"/>
        <w:spacing w:before="0" w:beforeAutospacing="0" w:after="0" w:afterAutospacing="0" w:line="240" w:lineRule="auto"/>
        <w:ind w:firstLine="709"/>
        <w:rPr>
          <w:rFonts w:ascii="Arial" w:hAnsi="Arial" w:cs="Arial"/>
          <w:sz w:val="18"/>
          <w:szCs w:val="18"/>
          <w:lang w:val="es-MX"/>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20" w:name="38"/>
      <w:r w:rsidRPr="00750C77">
        <w:rPr>
          <w:rFonts w:ascii="Arial" w:eastAsia="Calibri" w:hAnsi="Arial" w:cs="Arial"/>
          <w:bCs/>
          <w:color w:val="000000"/>
          <w:sz w:val="18"/>
          <w:szCs w:val="18"/>
        </w:rPr>
        <w:t>«</w:t>
      </w:r>
      <w:r w:rsidRPr="00750C77">
        <w:rPr>
          <w:rFonts w:ascii="Arial" w:hAnsi="Arial" w:cs="Arial"/>
          <w:sz w:val="18"/>
          <w:szCs w:val="18"/>
          <w:lang w:val="es-MX"/>
        </w:rPr>
        <w:t>Artículo 38. Prohibiciones para los servidores públicos. A los empleados del Estado les está prohibido:</w:t>
      </w:r>
      <w:bookmarkEnd w:id="20"/>
    </w:p>
    <w:p w14:paraId="5933F9A0" w14:textId="77777777" w:rsidR="0022085C" w:rsidRPr="00750C77" w:rsidRDefault="0022085C" w:rsidP="00750C77">
      <w:pPr>
        <w:pStyle w:val="NormalWeb"/>
        <w:spacing w:before="0" w:beforeAutospacing="0" w:after="0" w:afterAutospacing="0" w:line="240" w:lineRule="auto"/>
        <w:ind w:firstLine="709"/>
        <w:rPr>
          <w:rFonts w:ascii="Arial" w:hAnsi="Arial" w:cs="Arial"/>
          <w:sz w:val="18"/>
          <w:szCs w:val="18"/>
          <w:lang w:val="es-MX"/>
        </w:rPr>
      </w:pPr>
      <w:r w:rsidRPr="00750C77">
        <w:rPr>
          <w:rFonts w:ascii="Arial" w:eastAsia="Calibri" w:hAnsi="Arial" w:cs="Arial"/>
          <w:bCs/>
          <w:color w:val="000000"/>
          <w:sz w:val="18"/>
          <w:szCs w:val="18"/>
        </w:rPr>
        <w:t>»</w:t>
      </w:r>
      <w:r w:rsidRPr="00750C77">
        <w:rPr>
          <w:rFonts w:ascii="Arial" w:hAnsi="Arial" w:cs="Arial"/>
          <w:sz w:val="18"/>
          <w:szCs w:val="18"/>
          <w:lang w:val="es-MX"/>
        </w:rPr>
        <w:t xml:space="preserve"> […]</w:t>
      </w:r>
    </w:p>
    <w:p w14:paraId="2231133F" w14:textId="06B9F71B" w:rsidR="0022085C" w:rsidRPr="00750C77" w:rsidRDefault="00A923B7" w:rsidP="00750C77">
      <w:pPr>
        <w:pStyle w:val="NormalWeb"/>
        <w:spacing w:before="0" w:beforeAutospacing="0" w:after="0" w:afterAutospacing="0" w:line="240" w:lineRule="auto"/>
        <w:ind w:firstLine="709"/>
        <w:rPr>
          <w:rFonts w:ascii="Arial" w:hAnsi="Arial" w:cs="Arial"/>
          <w:sz w:val="18"/>
          <w:szCs w:val="18"/>
          <w:lang w:val="es-MX"/>
        </w:rPr>
      </w:pPr>
      <w:r w:rsidRPr="00750C77">
        <w:rPr>
          <w:rFonts w:ascii="Arial" w:eastAsia="Calibri" w:hAnsi="Arial" w:cs="Arial"/>
          <w:bCs/>
          <w:color w:val="000000"/>
          <w:sz w:val="18"/>
          <w:szCs w:val="18"/>
        </w:rPr>
        <w:t>»</w:t>
      </w:r>
      <w:r w:rsidRPr="00750C77">
        <w:rPr>
          <w:rStyle w:val="baj"/>
          <w:rFonts w:ascii="Arial" w:hAnsi="Arial" w:cs="Arial"/>
          <w:sz w:val="18"/>
          <w:szCs w:val="18"/>
          <w:lang w:val="es-MX"/>
        </w:rPr>
        <w:t xml:space="preserve"> Parágrafo</w:t>
      </w:r>
      <w:r w:rsidR="0022085C" w:rsidRPr="00750C77">
        <w:rPr>
          <w:rStyle w:val="baj"/>
          <w:rFonts w:ascii="Arial" w:hAnsi="Arial" w:cs="Arial"/>
          <w:sz w:val="18"/>
          <w:szCs w:val="18"/>
          <w:lang w:val="es-MX"/>
        </w:rPr>
        <w:t>.</w:t>
      </w:r>
      <w:r w:rsidR="0022085C" w:rsidRPr="00750C77">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750C77">
        <w:rPr>
          <w:rFonts w:ascii="Arial" w:eastAsia="Calibri" w:hAnsi="Arial" w:cs="Arial"/>
          <w:bCs/>
          <w:color w:val="000000"/>
          <w:sz w:val="18"/>
          <w:szCs w:val="18"/>
        </w:rPr>
        <w:t>»</w:t>
      </w:r>
      <w:r w:rsidR="0022085C" w:rsidRPr="00750C77">
        <w:rPr>
          <w:rFonts w:ascii="Arial" w:hAnsi="Arial" w:cs="Arial"/>
          <w:sz w:val="18"/>
          <w:szCs w:val="18"/>
          <w:lang w:val="es-MX"/>
        </w:rPr>
        <w:t>.</w:t>
      </w:r>
    </w:p>
  </w:footnote>
  <w:footnote w:id="10">
    <w:p w14:paraId="7BDEC286" w14:textId="0D4AB978" w:rsidR="0022085C" w:rsidRPr="00750C77" w:rsidRDefault="0022085C" w:rsidP="00750C77">
      <w:pPr>
        <w:spacing w:after="0" w:line="240" w:lineRule="auto"/>
        <w:ind w:left="100" w:right="244" w:firstLine="709"/>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413E2E84" w14:textId="0E791128" w:rsidR="000E33BC" w:rsidRDefault="00DB61B2" w:rsidP="00750C77">
      <w:pPr>
        <w:pStyle w:val="Textonotapie"/>
        <w:spacing w:after="0" w:line="240" w:lineRule="auto"/>
        <w:ind w:right="51"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27" w:name="_Hlk74272731"/>
      <w:r w:rsidRPr="00750C77">
        <w:rPr>
          <w:rFonts w:ascii="Arial" w:hAnsi="Arial" w:cs="Arial"/>
          <w:sz w:val="18"/>
          <w:szCs w:val="18"/>
        </w:rPr>
        <w:t>«</w:t>
      </w:r>
      <w:bookmarkEnd w:id="27"/>
      <w:r w:rsidRPr="00750C77">
        <w:rPr>
          <w:rFonts w:ascii="Arial" w:hAnsi="Arial" w:cs="Arial"/>
          <w:sz w:val="18"/>
          <w:szCs w:val="18"/>
          <w:lang w:val="es-ES"/>
        </w:rPr>
        <w:t xml:space="preserve">[25] </w:t>
      </w:r>
      <w:r w:rsidRPr="00750C77">
        <w:rPr>
          <w:rFonts w:ascii="Arial" w:hAnsi="Arial" w:cs="Arial"/>
          <w:sz w:val="18"/>
          <w:szCs w:val="18"/>
        </w:rPr>
        <w:t>Cfr. Consejo de Estado. Sección Tercera. Sentencia de 3 de diciembre de 2007. Radicados: 24.715, 25.206, 25.409, 24.524, 27.834, 25.410, 26.105, 28.244, 31.447 -acumulados-</w:t>
      </w:r>
      <w:bookmarkStart w:id="28" w:name="_Hlk74271358"/>
      <w:r w:rsidRPr="00750C77">
        <w:rPr>
          <w:rFonts w:ascii="Arial" w:hAnsi="Arial" w:cs="Arial"/>
          <w:sz w:val="18"/>
          <w:szCs w:val="18"/>
        </w:rPr>
        <w:t>»</w:t>
      </w:r>
      <w:bookmarkEnd w:id="28"/>
      <w:r w:rsidRPr="00750C77">
        <w:rPr>
          <w:rFonts w:ascii="Arial" w:hAnsi="Arial" w:cs="Arial"/>
          <w:sz w:val="18"/>
          <w:szCs w:val="18"/>
        </w:rPr>
        <w:t>.</w:t>
      </w:r>
    </w:p>
    <w:p w14:paraId="5593D74A" w14:textId="77777777" w:rsidR="00CB33DA" w:rsidRPr="00750C77" w:rsidRDefault="00CB33DA" w:rsidP="00750C77">
      <w:pPr>
        <w:pStyle w:val="Textonotapie"/>
        <w:spacing w:after="0" w:line="240" w:lineRule="auto"/>
        <w:ind w:right="51" w:firstLine="709"/>
        <w:rPr>
          <w:rFonts w:ascii="Arial" w:hAnsi="Arial" w:cs="Arial"/>
          <w:sz w:val="18"/>
          <w:szCs w:val="18"/>
        </w:rPr>
      </w:pPr>
    </w:p>
  </w:footnote>
  <w:footnote w:id="12">
    <w:p w14:paraId="4285AEFA" w14:textId="4874F93C" w:rsidR="000E33BC" w:rsidRPr="00750C77" w:rsidRDefault="00DB61B2" w:rsidP="00750C77">
      <w:pPr>
        <w:pStyle w:val="Textonotapie"/>
        <w:spacing w:after="0" w:line="240" w:lineRule="auto"/>
        <w:ind w:right="51"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30" w:name="_Hlk74294506"/>
      <w:r w:rsidRPr="00750C77">
        <w:rPr>
          <w:rFonts w:ascii="Arial" w:hAnsi="Arial" w:cs="Arial"/>
          <w:sz w:val="18"/>
          <w:szCs w:val="18"/>
        </w:rPr>
        <w:t>«</w:t>
      </w:r>
      <w:r w:rsidRPr="00750C77">
        <w:rPr>
          <w:rFonts w:ascii="Arial" w:hAnsi="Arial" w:cs="Arial"/>
          <w:sz w:val="18"/>
          <w:szCs w:val="18"/>
          <w:lang w:val="es-ES"/>
        </w:rPr>
        <w:t xml:space="preserve">[26] </w:t>
      </w:r>
      <w:bookmarkEnd w:id="30"/>
      <w:r w:rsidRPr="00750C77">
        <w:rPr>
          <w:rFonts w:ascii="Arial" w:hAnsi="Arial" w:cs="Arial"/>
          <w:sz w:val="18"/>
          <w:szCs w:val="18"/>
        </w:rPr>
        <w:t>Al respecto ver el concepto 1712 de 2 de febrero de 2006. Consejo de Estado Sala de Consulta y Servicio Civil».</w:t>
      </w:r>
    </w:p>
  </w:footnote>
  <w:footnote w:id="13">
    <w:p w14:paraId="38B6337A" w14:textId="77777777" w:rsidR="007701D9" w:rsidRPr="00750C77" w:rsidRDefault="007701D9"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4">
    <w:p w14:paraId="7DFB921A" w14:textId="2614D9BC" w:rsidR="00CB33DA" w:rsidRPr="00750C77" w:rsidRDefault="00DB61B2" w:rsidP="005E19AD">
      <w:pPr>
        <w:pStyle w:val="Textonotapie"/>
        <w:spacing w:after="0" w:line="240" w:lineRule="auto"/>
        <w:ind w:firstLine="709"/>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w:t>
      </w:r>
      <w:r w:rsidRPr="00750C77">
        <w:rPr>
          <w:rFonts w:ascii="Arial" w:hAnsi="Arial" w:cs="Arial"/>
          <w:sz w:val="18"/>
          <w:szCs w:val="18"/>
          <w:lang w:val="es-ES"/>
        </w:rPr>
        <w:t xml:space="preserve">Artículo 2. </w:t>
      </w:r>
    </w:p>
  </w:footnote>
  <w:footnote w:id="15">
    <w:p w14:paraId="637EAAE1" w14:textId="77777777" w:rsidR="00CB33DA" w:rsidRDefault="00CB33DA" w:rsidP="005E19AD">
      <w:pPr>
        <w:pStyle w:val="Textonotapie"/>
        <w:spacing w:after="0" w:line="240" w:lineRule="auto"/>
        <w:rPr>
          <w:rFonts w:ascii="Arial" w:hAnsi="Arial" w:cs="Arial"/>
          <w:sz w:val="18"/>
          <w:szCs w:val="18"/>
        </w:rPr>
      </w:pPr>
    </w:p>
    <w:p w14:paraId="63F8641B" w14:textId="7FE3DC12" w:rsidR="000E33BC" w:rsidRPr="00750C77" w:rsidRDefault="00DB61B2" w:rsidP="00750C77">
      <w:pPr>
        <w:pStyle w:val="Textonotapie"/>
        <w:spacing w:after="0" w:line="240" w:lineRule="auto"/>
        <w:ind w:firstLine="709"/>
        <w:rPr>
          <w:rFonts w:ascii="Arial" w:hAnsi="Arial" w:cs="Arial"/>
          <w:sz w:val="18"/>
          <w:szCs w:val="18"/>
          <w:lang w:val="es-ES"/>
        </w:rPr>
      </w:pPr>
      <w:r w:rsidRPr="00750C77">
        <w:rPr>
          <w:rStyle w:val="Refdenotaalpie"/>
          <w:rFonts w:ascii="Arial" w:hAnsi="Arial" w:cs="Arial"/>
          <w:sz w:val="18"/>
          <w:szCs w:val="18"/>
        </w:rPr>
        <w:footnoteRef/>
      </w:r>
      <w:r w:rsidRPr="00750C77">
        <w:rPr>
          <w:rFonts w:ascii="Arial" w:hAnsi="Arial" w:cs="Arial"/>
          <w:sz w:val="18"/>
          <w:szCs w:val="18"/>
        </w:rPr>
        <w:t xml:space="preserve"> </w:t>
      </w:r>
      <w:r w:rsidRPr="00750C77">
        <w:rPr>
          <w:rFonts w:ascii="Arial" w:hAnsi="Arial" w:cs="Arial"/>
          <w:i/>
          <w:sz w:val="18"/>
          <w:szCs w:val="18"/>
          <w:lang w:val="es-ES"/>
        </w:rPr>
        <w:t>Ídem</w:t>
      </w:r>
      <w:r w:rsidRPr="00750C77">
        <w:rPr>
          <w:rFonts w:ascii="Arial" w:hAnsi="Arial" w:cs="Arial"/>
          <w:sz w:val="18"/>
          <w:szCs w:val="18"/>
          <w:lang w:val="es-ES"/>
        </w:rPr>
        <w:t>.</w:t>
      </w:r>
    </w:p>
  </w:footnote>
  <w:footnote w:id="16">
    <w:p w14:paraId="1BE330B3" w14:textId="77777777" w:rsidR="00CB33DA" w:rsidRDefault="00CB33DA" w:rsidP="005E19AD">
      <w:pPr>
        <w:pStyle w:val="Textonotapie"/>
        <w:spacing w:after="0" w:line="240" w:lineRule="auto"/>
        <w:rPr>
          <w:rFonts w:ascii="Arial" w:hAnsi="Arial" w:cs="Arial"/>
          <w:sz w:val="18"/>
          <w:szCs w:val="18"/>
        </w:rPr>
      </w:pPr>
    </w:p>
    <w:p w14:paraId="726E5571" w14:textId="04E9E42C" w:rsidR="000E33BC" w:rsidRPr="00750C77" w:rsidRDefault="00DB61B2" w:rsidP="00750C77">
      <w:pPr>
        <w:pStyle w:val="Textonotapie"/>
        <w:spacing w:after="0" w:line="240" w:lineRule="auto"/>
        <w:ind w:firstLine="709"/>
        <w:rPr>
          <w:rFonts w:ascii="Arial" w:hAnsi="Arial" w:cs="Arial"/>
          <w:sz w:val="18"/>
          <w:szCs w:val="18"/>
          <w:lang w:val="es-ES"/>
        </w:rPr>
      </w:pPr>
      <w:r w:rsidRPr="00750C77">
        <w:rPr>
          <w:rStyle w:val="Refdenotaalpie"/>
          <w:rFonts w:ascii="Arial" w:hAnsi="Arial" w:cs="Arial"/>
          <w:sz w:val="18"/>
          <w:szCs w:val="18"/>
        </w:rPr>
        <w:footnoteRef/>
      </w:r>
      <w:r w:rsidRPr="00750C77">
        <w:rPr>
          <w:rStyle w:val="Refdenotaalpie"/>
          <w:rFonts w:ascii="Arial" w:hAnsi="Arial" w:cs="Arial"/>
          <w:sz w:val="18"/>
          <w:szCs w:val="18"/>
        </w:rPr>
        <w:t xml:space="preserve"> </w:t>
      </w:r>
      <w:bookmarkStart w:id="35" w:name="_Hlk74297130"/>
      <w:r w:rsidRPr="00750C77">
        <w:rPr>
          <w:rFonts w:ascii="Arial" w:hAnsi="Arial" w:cs="Arial"/>
          <w:sz w:val="18"/>
          <w:szCs w:val="18"/>
          <w:lang w:val="es-ES"/>
        </w:rPr>
        <w:t>«</w:t>
      </w:r>
      <w:bookmarkEnd w:id="35"/>
      <w:r w:rsidRPr="00750C77">
        <w:rPr>
          <w:rFonts w:ascii="Arial" w:hAnsi="Arial" w:cs="Arial"/>
          <w:sz w:val="18"/>
          <w:szCs w:val="18"/>
          <w:lang w:val="es-ES"/>
        </w:rPr>
        <w:t>[…] A este respecto, cabe recordar que el artículo 860 del Código de Comercio regula la licitación en el derecho privado»</w:t>
      </w:r>
      <w:r w:rsidR="000E33BC" w:rsidRPr="00750C77">
        <w:rPr>
          <w:rFonts w:ascii="Arial" w:hAnsi="Arial" w:cs="Arial"/>
          <w:sz w:val="18"/>
          <w:szCs w:val="18"/>
          <w:lang w:val="es-ES"/>
        </w:rPr>
        <w:t>.</w:t>
      </w:r>
      <w:r w:rsidRPr="00750C77">
        <w:rPr>
          <w:rFonts w:ascii="Arial" w:hAnsi="Arial" w:cs="Arial"/>
          <w:sz w:val="18"/>
          <w:szCs w:val="18"/>
          <w:lang w:val="es-ES"/>
        </w:rPr>
        <w:t xml:space="preserve"> </w:t>
      </w:r>
    </w:p>
  </w:footnote>
  <w:footnote w:id="17">
    <w:p w14:paraId="3DE7C088" w14:textId="5139953C" w:rsidR="00856B57" w:rsidRPr="00750C77" w:rsidRDefault="008C6B51" w:rsidP="00750C77">
      <w:pPr>
        <w:shd w:val="clear" w:color="auto" w:fill="FFFFFF"/>
        <w:spacing w:after="0" w:line="240" w:lineRule="auto"/>
        <w:ind w:firstLine="709"/>
        <w:rPr>
          <w:rFonts w:ascii="Arial" w:hAnsi="Arial" w:cs="Arial"/>
          <w:sz w:val="18"/>
          <w:szCs w:val="18"/>
          <w:lang w:val="es-ES"/>
        </w:rPr>
      </w:pPr>
      <w:r w:rsidRPr="00750C77">
        <w:rPr>
          <w:rStyle w:val="Refdenotaalpie"/>
          <w:rFonts w:ascii="Arial" w:hAnsi="Arial" w:cs="Arial"/>
          <w:sz w:val="18"/>
          <w:szCs w:val="18"/>
        </w:rPr>
        <w:footnoteRef/>
      </w:r>
      <w:r w:rsidRPr="00750C77">
        <w:rPr>
          <w:rStyle w:val="Refdenotaalpie"/>
          <w:rFonts w:ascii="Arial" w:hAnsi="Arial" w:cs="Arial"/>
          <w:sz w:val="18"/>
          <w:szCs w:val="18"/>
        </w:rPr>
        <w:t xml:space="preserve"> </w:t>
      </w:r>
      <w:r w:rsidRPr="00750C77">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8">
    <w:p w14:paraId="49A02CDD" w14:textId="70865DBB" w:rsidR="00F61159" w:rsidRPr="00750C77" w:rsidRDefault="00F61159"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del 08 de mayo de 2018. Exp. 2.382. C.P. Álvaro Namén Vargas.</w:t>
      </w:r>
    </w:p>
  </w:footnote>
  <w:footnote w:id="19">
    <w:p w14:paraId="14F5FB64" w14:textId="77777777" w:rsidR="00856B57" w:rsidRPr="00750C77" w:rsidRDefault="00856B57" w:rsidP="00750C77">
      <w:pPr>
        <w:pStyle w:val="Textonotapie"/>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449C88E0" w14:textId="08F1D9D4" w:rsidR="00CB33DA" w:rsidRPr="00750C77" w:rsidRDefault="00856B57" w:rsidP="005E19AD">
      <w:pPr>
        <w:spacing w:after="0" w:line="240" w:lineRule="auto"/>
        <w:ind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750C77" w:rsidRDefault="00182C6C" w:rsidP="00750C77">
      <w:pPr>
        <w:pStyle w:val="Textonotapie"/>
        <w:spacing w:after="0" w:line="240" w:lineRule="auto"/>
        <w:ind w:right="51"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w:t>
      </w:r>
      <w:bookmarkStart w:id="50" w:name="_Hlk75633115"/>
      <w:r w:rsidR="00204F6E" w:rsidRPr="00750C77">
        <w:rPr>
          <w:rFonts w:ascii="Arial" w:hAnsi="Arial" w:cs="Arial"/>
          <w:sz w:val="18"/>
          <w:szCs w:val="18"/>
        </w:rPr>
        <w:t xml:space="preserve">Consejo de Estado. Sala de Consulta y Servicio Civil. Concepto </w:t>
      </w:r>
      <w:bookmarkEnd w:id="50"/>
      <w:r w:rsidR="00204F6E" w:rsidRPr="00750C77">
        <w:rPr>
          <w:rFonts w:ascii="Arial" w:hAnsi="Arial" w:cs="Arial"/>
          <w:sz w:val="18"/>
          <w:szCs w:val="18"/>
        </w:rPr>
        <w:t>de 6 de abril de 2006. Radicación Número:</w:t>
      </w:r>
      <w:r w:rsidR="00D07F68" w:rsidRPr="00750C77">
        <w:rPr>
          <w:rFonts w:ascii="Arial" w:hAnsi="Arial" w:cs="Arial"/>
          <w:sz w:val="18"/>
          <w:szCs w:val="18"/>
        </w:rPr>
        <w:t xml:space="preserve"> </w:t>
      </w:r>
      <w:r w:rsidR="00204F6E" w:rsidRPr="00750C77">
        <w:rPr>
          <w:rFonts w:ascii="Arial" w:hAnsi="Arial" w:cs="Arial"/>
          <w:sz w:val="18"/>
          <w:szCs w:val="18"/>
        </w:rPr>
        <w:t>11001-03-06-000-2006-00038-00(1738). Consejero Ponente: Enrique José Arboleda Perdomo</w:t>
      </w:r>
      <w:r w:rsidR="00D07F68" w:rsidRPr="00750C77">
        <w:rPr>
          <w:rFonts w:ascii="Arial" w:hAnsi="Arial" w:cs="Arial"/>
          <w:sz w:val="18"/>
          <w:szCs w:val="18"/>
        </w:rPr>
        <w:t>:</w:t>
      </w:r>
      <w:r w:rsidR="00D07F68" w:rsidRPr="00750C77">
        <w:rPr>
          <w:rFonts w:ascii="Arial" w:eastAsia="Times New Roman" w:hAnsi="Arial" w:cs="Arial"/>
          <w:bCs/>
          <w:sz w:val="18"/>
          <w:szCs w:val="18"/>
          <w:lang w:eastAsia="x-none"/>
        </w:rPr>
        <w:t xml:space="preserve"> «</w:t>
      </w:r>
      <w:r w:rsidR="00D07F68" w:rsidRPr="00750C77">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750C77">
        <w:rPr>
          <w:rFonts w:ascii="Arial" w:eastAsia="Times New Roman" w:hAnsi="Arial" w:cs="Arial"/>
          <w:bCs/>
          <w:sz w:val="18"/>
          <w:szCs w:val="18"/>
          <w:lang w:eastAsia="x-none"/>
        </w:rPr>
        <w:t>»</w:t>
      </w:r>
      <w:r w:rsidR="004E638B" w:rsidRPr="00750C77">
        <w:rPr>
          <w:rFonts w:ascii="Arial" w:eastAsia="Times New Roman" w:hAnsi="Arial" w:cs="Arial"/>
          <w:bCs/>
          <w:sz w:val="18"/>
          <w:szCs w:val="18"/>
          <w:lang w:eastAsia="x-none"/>
        </w:rPr>
        <w:t>.</w:t>
      </w:r>
    </w:p>
  </w:footnote>
  <w:footnote w:id="22">
    <w:p w14:paraId="69B97040" w14:textId="413E51A6" w:rsidR="00CB33DA" w:rsidRPr="00750C77" w:rsidRDefault="003D73F1" w:rsidP="005E19AD">
      <w:pPr>
        <w:pStyle w:val="Textonotapie"/>
        <w:spacing w:after="0" w:line="240" w:lineRule="auto"/>
        <w:ind w:right="51"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004E638B" w:rsidRPr="00750C77">
        <w:rPr>
          <w:rFonts w:ascii="Arial" w:hAnsi="Arial" w:cs="Arial"/>
          <w:sz w:val="18"/>
          <w:szCs w:val="18"/>
        </w:rPr>
        <w:t>.</w:t>
      </w:r>
    </w:p>
  </w:footnote>
  <w:footnote w:id="23">
    <w:p w14:paraId="5BA39CA3" w14:textId="77777777" w:rsidR="003D73F1" w:rsidRPr="00750C77" w:rsidRDefault="003D73F1" w:rsidP="00750C77">
      <w:pPr>
        <w:pStyle w:val="Textonotapie"/>
        <w:spacing w:after="0" w:line="240" w:lineRule="auto"/>
        <w:ind w:right="51" w:firstLine="709"/>
        <w:rPr>
          <w:rFonts w:ascii="Arial" w:hAnsi="Arial" w:cs="Arial"/>
          <w:sz w:val="18"/>
          <w:szCs w:val="18"/>
        </w:rPr>
      </w:pPr>
      <w:r w:rsidRPr="00750C77">
        <w:rPr>
          <w:rStyle w:val="Refdenotaalpie"/>
          <w:rFonts w:ascii="Arial" w:hAnsi="Arial" w:cs="Arial"/>
          <w:sz w:val="18"/>
          <w:szCs w:val="18"/>
        </w:rPr>
        <w:footnoteRef/>
      </w:r>
      <w:r w:rsidRPr="00750C77">
        <w:rPr>
          <w:rFonts w:ascii="Arial" w:hAnsi="Arial" w:cs="Arial"/>
          <w:sz w:val="18"/>
          <w:szCs w:val="18"/>
        </w:rPr>
        <w:t xml:space="preserve"> Consejo de Estado. Sala de Consulta y Servicio Civil, ídem.</w:t>
      </w:r>
    </w:p>
  </w:footnote>
  <w:footnote w:id="24">
    <w:p w14:paraId="6EE022E5" w14:textId="4F5AD533" w:rsidR="00567724" w:rsidRPr="00C9655E" w:rsidRDefault="00567724" w:rsidP="00750C77">
      <w:pPr>
        <w:pStyle w:val="Textonotapie"/>
        <w:spacing w:line="240" w:lineRule="auto"/>
        <w:ind w:firstLine="708"/>
        <w:rPr>
          <w:rFonts w:ascii="Arial" w:hAnsi="Arial" w:cs="Arial"/>
          <w:color w:val="000000"/>
          <w:sz w:val="18"/>
          <w:szCs w:val="18"/>
        </w:rPr>
      </w:pPr>
      <w:r w:rsidRPr="00C9655E">
        <w:rPr>
          <w:rStyle w:val="Refdenotaalpie"/>
          <w:rFonts w:ascii="Arial" w:hAnsi="Arial" w:cs="Arial"/>
          <w:color w:val="000000"/>
          <w:sz w:val="18"/>
          <w:szCs w:val="18"/>
        </w:rPr>
        <w:footnoteRef/>
      </w:r>
      <w:r w:rsidRPr="00C9655E">
        <w:rPr>
          <w:rFonts w:ascii="Arial" w:hAnsi="Arial" w:cs="Arial"/>
          <w:color w:val="000000"/>
          <w:sz w:val="18"/>
          <w:szCs w:val="18"/>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C9655E">
        <w:rPr>
          <w:rFonts w:ascii="Arial" w:hAnsi="Arial" w:cs="Arial"/>
          <w:bCs/>
          <w:i/>
          <w:iCs/>
          <w:color w:val="000000"/>
          <w:sz w:val="18"/>
          <w:szCs w:val="18"/>
        </w:rPr>
        <w:t>las empresas oficiales de servicios públicos</w:t>
      </w:r>
      <w:r w:rsidRPr="00C9655E">
        <w:rPr>
          <w:rFonts w:ascii="Arial" w:hAnsi="Arial" w:cs="Arial"/>
          <w:color w:val="000000"/>
          <w:sz w:val="18"/>
          <w:szCs w:val="18"/>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footnote>
  <w:footnote w:id="25">
    <w:p w14:paraId="67360A20" w14:textId="163AC21F" w:rsidR="00567724" w:rsidRPr="00C9655E" w:rsidRDefault="00567724" w:rsidP="00750C77">
      <w:pPr>
        <w:pStyle w:val="Textonotapie"/>
        <w:spacing w:line="240" w:lineRule="auto"/>
        <w:ind w:firstLine="708"/>
        <w:rPr>
          <w:rFonts w:ascii="Arial" w:hAnsi="Arial" w:cs="Arial"/>
          <w:color w:val="000000"/>
          <w:sz w:val="18"/>
          <w:szCs w:val="18"/>
        </w:rPr>
      </w:pPr>
      <w:r w:rsidRPr="00C9655E">
        <w:rPr>
          <w:rStyle w:val="Refdenotaalpie"/>
          <w:rFonts w:ascii="Arial" w:hAnsi="Arial" w:cs="Arial"/>
          <w:color w:val="000000"/>
          <w:sz w:val="18"/>
          <w:szCs w:val="18"/>
        </w:rPr>
        <w:footnoteRef/>
      </w:r>
      <w:r w:rsidRPr="00C9655E">
        <w:rPr>
          <w:rFonts w:ascii="Arial" w:hAnsi="Arial" w:cs="Arial"/>
          <w:color w:val="000000"/>
          <w:sz w:val="18"/>
          <w:szCs w:val="18"/>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footnote>
  <w:footnote w:id="26">
    <w:p w14:paraId="7656750F" w14:textId="52DC8919" w:rsidR="00567724" w:rsidRPr="00C9655E" w:rsidRDefault="00567724" w:rsidP="00750C77">
      <w:pPr>
        <w:pStyle w:val="Textonotapie"/>
        <w:spacing w:line="240" w:lineRule="auto"/>
        <w:ind w:firstLine="708"/>
        <w:rPr>
          <w:rFonts w:ascii="Arial" w:hAnsi="Arial" w:cs="Arial"/>
          <w:color w:val="000000"/>
          <w:sz w:val="18"/>
          <w:szCs w:val="18"/>
        </w:rPr>
      </w:pPr>
      <w:r w:rsidRPr="00C9655E">
        <w:rPr>
          <w:rStyle w:val="Refdenotaalpie"/>
          <w:rFonts w:ascii="Arial" w:hAnsi="Arial" w:cs="Arial"/>
          <w:color w:val="000000"/>
          <w:sz w:val="18"/>
          <w:szCs w:val="18"/>
        </w:rPr>
        <w:footnoteRef/>
      </w:r>
      <w:r w:rsidRPr="00C9655E">
        <w:rPr>
          <w:rFonts w:ascii="Arial" w:hAnsi="Arial" w:cs="Arial"/>
          <w:i/>
          <w:color w:val="000000"/>
          <w:sz w:val="18"/>
          <w:szCs w:val="18"/>
        </w:rPr>
        <w:t xml:space="preserve"> </w:t>
      </w:r>
      <w:r w:rsidRPr="00C9655E">
        <w:rPr>
          <w:rFonts w:ascii="Arial" w:hAnsi="Arial" w:cs="Arial"/>
          <w:i/>
          <w:iCs/>
          <w:color w:val="000000"/>
          <w:sz w:val="18"/>
          <w:szCs w:val="18"/>
        </w:rPr>
        <w:t>Ibídem.</w:t>
      </w:r>
      <w:r w:rsidRPr="00C9655E">
        <w:rPr>
          <w:rFonts w:ascii="Arial" w:hAnsi="Arial" w:cs="Arial"/>
          <w:color w:val="000000"/>
          <w:sz w:val="18"/>
          <w:szCs w:val="18"/>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footnote>
  <w:footnote w:id="27">
    <w:p w14:paraId="6DD5C1EC" w14:textId="77777777" w:rsidR="00567724" w:rsidRPr="00C9655E" w:rsidRDefault="00567724" w:rsidP="00750C77">
      <w:pPr>
        <w:pStyle w:val="Textonotapie"/>
        <w:spacing w:line="240" w:lineRule="auto"/>
        <w:ind w:firstLine="708"/>
        <w:rPr>
          <w:rFonts w:ascii="Arial" w:hAnsi="Arial" w:cs="Arial"/>
          <w:sz w:val="18"/>
          <w:szCs w:val="18"/>
        </w:rPr>
      </w:pPr>
      <w:r w:rsidRPr="00C9655E">
        <w:rPr>
          <w:rStyle w:val="Refdenotaalpie"/>
          <w:rFonts w:ascii="Arial" w:hAnsi="Arial" w:cs="Arial"/>
          <w:sz w:val="18"/>
          <w:szCs w:val="18"/>
        </w:rPr>
        <w:footnoteRef/>
      </w:r>
      <w:r w:rsidRPr="00C9655E">
        <w:rPr>
          <w:rFonts w:ascii="Arial" w:hAnsi="Arial" w:cs="Arial"/>
          <w:sz w:val="18"/>
          <w:szCs w:val="18"/>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C7D7624" w14:textId="77777777" w:rsidR="00567724" w:rsidRPr="00C9655E" w:rsidRDefault="00567724" w:rsidP="00750C77">
      <w:pPr>
        <w:pStyle w:val="Textonotapie"/>
        <w:spacing w:line="240" w:lineRule="auto"/>
        <w:ind w:firstLine="708"/>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3ED07E65"/>
    <w:multiLevelType w:val="hybridMultilevel"/>
    <w:tmpl w:val="02467D26"/>
    <w:lvl w:ilvl="0" w:tplc="107CD8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22"/>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6"/>
    <w:lvlOverride w:ilvl="0">
      <w:startOverride w:val="1"/>
    </w:lvlOverride>
  </w:num>
  <w:num w:numId="10">
    <w:abstractNumId w:val="26"/>
  </w:num>
  <w:num w:numId="11">
    <w:abstractNumId w:val="7"/>
  </w:num>
  <w:num w:numId="12">
    <w:abstractNumId w:val="2"/>
  </w:num>
  <w:num w:numId="13">
    <w:abstractNumId w:val="4"/>
  </w:num>
  <w:num w:numId="14">
    <w:abstractNumId w:val="21"/>
  </w:num>
  <w:num w:numId="15">
    <w:abstractNumId w:val="13"/>
  </w:num>
  <w:num w:numId="16">
    <w:abstractNumId w:val="10"/>
  </w:num>
  <w:num w:numId="17">
    <w:abstractNumId w:val="14"/>
  </w:num>
  <w:num w:numId="18">
    <w:abstractNumId w:val="17"/>
  </w:num>
  <w:num w:numId="19">
    <w:abstractNumId w:val="5"/>
  </w:num>
  <w:num w:numId="20">
    <w:abstractNumId w:val="28"/>
  </w:num>
  <w:num w:numId="21">
    <w:abstractNumId w:val="23"/>
  </w:num>
  <w:num w:numId="22">
    <w:abstractNumId w:val="19"/>
  </w:num>
  <w:num w:numId="23">
    <w:abstractNumId w:val="18"/>
  </w:num>
  <w:num w:numId="24">
    <w:abstractNumId w:val="8"/>
  </w:num>
  <w:num w:numId="25">
    <w:abstractNumId w:val="20"/>
  </w:num>
  <w:num w:numId="26">
    <w:abstractNumId w:val="1"/>
  </w:num>
  <w:num w:numId="27">
    <w:abstractNumId w:val="12"/>
  </w:num>
  <w:num w:numId="28">
    <w:abstractNumId w:val="27"/>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1DE"/>
    <w:rsid w:val="000136DC"/>
    <w:rsid w:val="0001574B"/>
    <w:rsid w:val="000165EE"/>
    <w:rsid w:val="00016F33"/>
    <w:rsid w:val="00016FAC"/>
    <w:rsid w:val="0001726A"/>
    <w:rsid w:val="0001794A"/>
    <w:rsid w:val="0001795B"/>
    <w:rsid w:val="00020052"/>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2DA6"/>
    <w:rsid w:val="000B3893"/>
    <w:rsid w:val="000B3F99"/>
    <w:rsid w:val="000B41CF"/>
    <w:rsid w:val="000B4FC6"/>
    <w:rsid w:val="000B53D0"/>
    <w:rsid w:val="000B60FA"/>
    <w:rsid w:val="000B670A"/>
    <w:rsid w:val="000B680C"/>
    <w:rsid w:val="000B707E"/>
    <w:rsid w:val="000B732C"/>
    <w:rsid w:val="000C00B6"/>
    <w:rsid w:val="000C0B7C"/>
    <w:rsid w:val="000C165F"/>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61F"/>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5C31"/>
    <w:rsid w:val="000F6869"/>
    <w:rsid w:val="000F6890"/>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5C58"/>
    <w:rsid w:val="00137BA1"/>
    <w:rsid w:val="00137FFA"/>
    <w:rsid w:val="00140015"/>
    <w:rsid w:val="001406ED"/>
    <w:rsid w:val="00141C42"/>
    <w:rsid w:val="00141E84"/>
    <w:rsid w:val="00141F99"/>
    <w:rsid w:val="001420C8"/>
    <w:rsid w:val="001425C5"/>
    <w:rsid w:val="001448B5"/>
    <w:rsid w:val="00145117"/>
    <w:rsid w:val="0014582F"/>
    <w:rsid w:val="00145AAA"/>
    <w:rsid w:val="00146E1D"/>
    <w:rsid w:val="00147605"/>
    <w:rsid w:val="001509CD"/>
    <w:rsid w:val="00150D98"/>
    <w:rsid w:val="00151D31"/>
    <w:rsid w:val="001520A3"/>
    <w:rsid w:val="00152609"/>
    <w:rsid w:val="00152C65"/>
    <w:rsid w:val="00152CA8"/>
    <w:rsid w:val="0015382E"/>
    <w:rsid w:val="00154879"/>
    <w:rsid w:val="00154A20"/>
    <w:rsid w:val="001550CF"/>
    <w:rsid w:val="001554A4"/>
    <w:rsid w:val="00155C28"/>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8E5"/>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145"/>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0791A"/>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08B"/>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34A"/>
    <w:rsid w:val="002C7E7F"/>
    <w:rsid w:val="002D0C96"/>
    <w:rsid w:val="002D2D19"/>
    <w:rsid w:val="002D3456"/>
    <w:rsid w:val="002D4BB3"/>
    <w:rsid w:val="002D5D70"/>
    <w:rsid w:val="002D6942"/>
    <w:rsid w:val="002D7A44"/>
    <w:rsid w:val="002D7E62"/>
    <w:rsid w:val="002D7F92"/>
    <w:rsid w:val="002E0633"/>
    <w:rsid w:val="002E0A18"/>
    <w:rsid w:val="002E0F40"/>
    <w:rsid w:val="002E1964"/>
    <w:rsid w:val="002E19A5"/>
    <w:rsid w:val="002E1E7E"/>
    <w:rsid w:val="002E2589"/>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489"/>
    <w:rsid w:val="0034680A"/>
    <w:rsid w:val="00347661"/>
    <w:rsid w:val="003478E7"/>
    <w:rsid w:val="00350095"/>
    <w:rsid w:val="003509BB"/>
    <w:rsid w:val="00350DCD"/>
    <w:rsid w:val="00350FF0"/>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B93"/>
    <w:rsid w:val="00366C32"/>
    <w:rsid w:val="00367ACD"/>
    <w:rsid w:val="0037088E"/>
    <w:rsid w:val="0037099D"/>
    <w:rsid w:val="00372A55"/>
    <w:rsid w:val="003735C0"/>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5250"/>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217D"/>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6B03"/>
    <w:rsid w:val="00446CAA"/>
    <w:rsid w:val="00447095"/>
    <w:rsid w:val="00447483"/>
    <w:rsid w:val="00450488"/>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569"/>
    <w:rsid w:val="004878C1"/>
    <w:rsid w:val="00487986"/>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0BA"/>
    <w:rsid w:val="005268C9"/>
    <w:rsid w:val="0052715F"/>
    <w:rsid w:val="00527CC7"/>
    <w:rsid w:val="005305AF"/>
    <w:rsid w:val="00533367"/>
    <w:rsid w:val="0053363E"/>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1BAA"/>
    <w:rsid w:val="005620AD"/>
    <w:rsid w:val="005626E7"/>
    <w:rsid w:val="00562D14"/>
    <w:rsid w:val="00562ECF"/>
    <w:rsid w:val="00563DEE"/>
    <w:rsid w:val="00564281"/>
    <w:rsid w:val="00566EEE"/>
    <w:rsid w:val="00567724"/>
    <w:rsid w:val="00567CF6"/>
    <w:rsid w:val="00570BD6"/>
    <w:rsid w:val="00571897"/>
    <w:rsid w:val="005722C5"/>
    <w:rsid w:val="00572788"/>
    <w:rsid w:val="005731B5"/>
    <w:rsid w:val="0057389B"/>
    <w:rsid w:val="00573D85"/>
    <w:rsid w:val="0057417D"/>
    <w:rsid w:val="005747B6"/>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4D3"/>
    <w:rsid w:val="005C39A3"/>
    <w:rsid w:val="005C3C95"/>
    <w:rsid w:val="005C3CCE"/>
    <w:rsid w:val="005C4308"/>
    <w:rsid w:val="005C4C81"/>
    <w:rsid w:val="005C5026"/>
    <w:rsid w:val="005C51A7"/>
    <w:rsid w:val="005C5A22"/>
    <w:rsid w:val="005C5B5C"/>
    <w:rsid w:val="005C6D84"/>
    <w:rsid w:val="005C7C5E"/>
    <w:rsid w:val="005D064A"/>
    <w:rsid w:val="005D1CE8"/>
    <w:rsid w:val="005D1E83"/>
    <w:rsid w:val="005D29B5"/>
    <w:rsid w:val="005D3445"/>
    <w:rsid w:val="005D37F7"/>
    <w:rsid w:val="005D3807"/>
    <w:rsid w:val="005D474D"/>
    <w:rsid w:val="005D552E"/>
    <w:rsid w:val="005D5C5D"/>
    <w:rsid w:val="005D7F00"/>
    <w:rsid w:val="005E0385"/>
    <w:rsid w:val="005E06A4"/>
    <w:rsid w:val="005E19AD"/>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14B"/>
    <w:rsid w:val="006044E9"/>
    <w:rsid w:val="00604737"/>
    <w:rsid w:val="006078ED"/>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3CA"/>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BB0"/>
    <w:rsid w:val="00693CC2"/>
    <w:rsid w:val="00694207"/>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592F"/>
    <w:rsid w:val="006A64A9"/>
    <w:rsid w:val="006A7FD0"/>
    <w:rsid w:val="006B161A"/>
    <w:rsid w:val="006B2195"/>
    <w:rsid w:val="006B34D7"/>
    <w:rsid w:val="006B4C1B"/>
    <w:rsid w:val="006B5004"/>
    <w:rsid w:val="006B5571"/>
    <w:rsid w:val="006B55C5"/>
    <w:rsid w:val="006B748C"/>
    <w:rsid w:val="006B7542"/>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4F9E"/>
    <w:rsid w:val="006F514F"/>
    <w:rsid w:val="006F5461"/>
    <w:rsid w:val="006F6508"/>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17B01"/>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14E1"/>
    <w:rsid w:val="00734D43"/>
    <w:rsid w:val="007357B0"/>
    <w:rsid w:val="00735A39"/>
    <w:rsid w:val="00736574"/>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0C77"/>
    <w:rsid w:val="00751EE7"/>
    <w:rsid w:val="00752568"/>
    <w:rsid w:val="00752CB1"/>
    <w:rsid w:val="007540FF"/>
    <w:rsid w:val="0075455D"/>
    <w:rsid w:val="00754621"/>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0E5C"/>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B64EC"/>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2EDD"/>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5A47"/>
    <w:rsid w:val="008C6600"/>
    <w:rsid w:val="008C6B51"/>
    <w:rsid w:val="008D0F55"/>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C9B"/>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3E2"/>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1468"/>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06DD"/>
    <w:rsid w:val="00961FA1"/>
    <w:rsid w:val="00962034"/>
    <w:rsid w:val="00962A37"/>
    <w:rsid w:val="00964C6F"/>
    <w:rsid w:val="00965849"/>
    <w:rsid w:val="00970217"/>
    <w:rsid w:val="00970968"/>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18D4"/>
    <w:rsid w:val="0099511A"/>
    <w:rsid w:val="00995247"/>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039"/>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3305"/>
    <w:rsid w:val="00A95B45"/>
    <w:rsid w:val="00A95D9F"/>
    <w:rsid w:val="00A97342"/>
    <w:rsid w:val="00AA03C4"/>
    <w:rsid w:val="00AA077E"/>
    <w:rsid w:val="00AA18DB"/>
    <w:rsid w:val="00AA195D"/>
    <w:rsid w:val="00AA1C27"/>
    <w:rsid w:val="00AA276C"/>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525"/>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4082"/>
    <w:rsid w:val="00B46798"/>
    <w:rsid w:val="00B46BC7"/>
    <w:rsid w:val="00B50315"/>
    <w:rsid w:val="00B512C3"/>
    <w:rsid w:val="00B513FE"/>
    <w:rsid w:val="00B51451"/>
    <w:rsid w:val="00B5146F"/>
    <w:rsid w:val="00B515CA"/>
    <w:rsid w:val="00B51689"/>
    <w:rsid w:val="00B5178D"/>
    <w:rsid w:val="00B525CB"/>
    <w:rsid w:val="00B52778"/>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491F"/>
    <w:rsid w:val="00B754CA"/>
    <w:rsid w:val="00B75BAA"/>
    <w:rsid w:val="00B75C7C"/>
    <w:rsid w:val="00B77ADE"/>
    <w:rsid w:val="00B77C1C"/>
    <w:rsid w:val="00B77D93"/>
    <w:rsid w:val="00B80316"/>
    <w:rsid w:val="00B80794"/>
    <w:rsid w:val="00B80D4A"/>
    <w:rsid w:val="00B80D60"/>
    <w:rsid w:val="00B80D6E"/>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2ABF"/>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C7B4D"/>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2772"/>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126A"/>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93D"/>
    <w:rsid w:val="00C43FAA"/>
    <w:rsid w:val="00C44120"/>
    <w:rsid w:val="00C445C0"/>
    <w:rsid w:val="00C44882"/>
    <w:rsid w:val="00C4553B"/>
    <w:rsid w:val="00C4574C"/>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1F85"/>
    <w:rsid w:val="00C82037"/>
    <w:rsid w:val="00C8219B"/>
    <w:rsid w:val="00C821FE"/>
    <w:rsid w:val="00C82754"/>
    <w:rsid w:val="00C8292A"/>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55E"/>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4DC"/>
    <w:rsid w:val="00CB084F"/>
    <w:rsid w:val="00CB127A"/>
    <w:rsid w:val="00CB1B38"/>
    <w:rsid w:val="00CB1D4D"/>
    <w:rsid w:val="00CB21C6"/>
    <w:rsid w:val="00CB22AF"/>
    <w:rsid w:val="00CB33DA"/>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A4F"/>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4E70"/>
    <w:rsid w:val="00D250D0"/>
    <w:rsid w:val="00D25B15"/>
    <w:rsid w:val="00D30416"/>
    <w:rsid w:val="00D31F4A"/>
    <w:rsid w:val="00D32C9D"/>
    <w:rsid w:val="00D3549C"/>
    <w:rsid w:val="00D356F9"/>
    <w:rsid w:val="00D35D5C"/>
    <w:rsid w:val="00D361D0"/>
    <w:rsid w:val="00D37454"/>
    <w:rsid w:val="00D3745B"/>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59D5"/>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B3"/>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2E91"/>
    <w:rsid w:val="00E13AB8"/>
    <w:rsid w:val="00E13FD3"/>
    <w:rsid w:val="00E14299"/>
    <w:rsid w:val="00E144AB"/>
    <w:rsid w:val="00E17C49"/>
    <w:rsid w:val="00E17EE1"/>
    <w:rsid w:val="00E206ED"/>
    <w:rsid w:val="00E21256"/>
    <w:rsid w:val="00E21494"/>
    <w:rsid w:val="00E217A5"/>
    <w:rsid w:val="00E21B32"/>
    <w:rsid w:val="00E225E8"/>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2E"/>
    <w:rsid w:val="00E36E37"/>
    <w:rsid w:val="00E36FBA"/>
    <w:rsid w:val="00E37D12"/>
    <w:rsid w:val="00E37E82"/>
    <w:rsid w:val="00E40158"/>
    <w:rsid w:val="00E41A26"/>
    <w:rsid w:val="00E41DED"/>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0053"/>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5D44"/>
    <w:rsid w:val="00E66E98"/>
    <w:rsid w:val="00E6724C"/>
    <w:rsid w:val="00E67E83"/>
    <w:rsid w:val="00E7057D"/>
    <w:rsid w:val="00E71AEB"/>
    <w:rsid w:val="00E71F29"/>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2B44"/>
    <w:rsid w:val="00EA3483"/>
    <w:rsid w:val="00EA6BEE"/>
    <w:rsid w:val="00EA704D"/>
    <w:rsid w:val="00EA79EB"/>
    <w:rsid w:val="00EB0DF1"/>
    <w:rsid w:val="00EB2EE1"/>
    <w:rsid w:val="00EB3AB3"/>
    <w:rsid w:val="00EB3CB7"/>
    <w:rsid w:val="00EB3FEC"/>
    <w:rsid w:val="00EB4844"/>
    <w:rsid w:val="00EB5145"/>
    <w:rsid w:val="00EB7836"/>
    <w:rsid w:val="00EB7E20"/>
    <w:rsid w:val="00EC25F9"/>
    <w:rsid w:val="00EC2A8B"/>
    <w:rsid w:val="00EC380A"/>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67"/>
    <w:rsid w:val="00F112AA"/>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5CF0"/>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6251"/>
    <w:rsid w:val="00F8789E"/>
    <w:rsid w:val="00F91CA6"/>
    <w:rsid w:val="00F91CB9"/>
    <w:rsid w:val="00F92E29"/>
    <w:rsid w:val="00F93448"/>
    <w:rsid w:val="00FA06A3"/>
    <w:rsid w:val="00FA0AD1"/>
    <w:rsid w:val="00FA2ACB"/>
    <w:rsid w:val="00FA310C"/>
    <w:rsid w:val="00FA3B5A"/>
    <w:rsid w:val="00FA40C0"/>
    <w:rsid w:val="00FA4A30"/>
    <w:rsid w:val="00FA4B7C"/>
    <w:rsid w:val="00FA4CD3"/>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47E4"/>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0C4"/>
    <w:rsid w:val="00FE125A"/>
    <w:rsid w:val="00FE141E"/>
    <w:rsid w:val="00FE1AF1"/>
    <w:rsid w:val="00FE24F4"/>
    <w:rsid w:val="00FE2A33"/>
    <w:rsid w:val="00FE46AA"/>
    <w:rsid w:val="00FE5ECC"/>
    <w:rsid w:val="00FE65B4"/>
    <w:rsid w:val="00FE674D"/>
    <w:rsid w:val="00FF0907"/>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21</Pages>
  <Words>6784</Words>
  <Characters>37316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Kevin Arlid Herrera Santa</cp:lastModifiedBy>
  <cp:revision>6</cp:revision>
  <dcterms:created xsi:type="dcterms:W3CDTF">2022-03-29T15:01:00Z</dcterms:created>
  <dcterms:modified xsi:type="dcterms:W3CDTF">2022-03-29T15:09:00Z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