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D47C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D47C6">
        <w:rPr>
          <w:rFonts w:ascii="Arial" w:hAnsi="Arial" w:cs="Arial"/>
          <w:bCs/>
          <w:color w:val="000000" w:themeColor="text1"/>
          <w:sz w:val="16"/>
          <w:szCs w:val="16"/>
          <w:lang w:val="es-ES_tradnl" w:eastAsia="es-ES"/>
        </w:rPr>
        <w:t>CCE-DES-FM-17</w:t>
      </w:r>
      <w:bookmarkEnd w:id="0"/>
      <w:bookmarkEnd w:id="1"/>
    </w:p>
    <w:p w14:paraId="55FBD910" w14:textId="77777777" w:rsidR="008536BB" w:rsidRPr="00AD47C6"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AD47C6"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AD47C6">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AD47C6"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AD47C6"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AD47C6">
        <w:rPr>
          <w:rFonts w:ascii="Arial" w:hAnsi="Arial" w:cs="Arial"/>
          <w:bCs/>
          <w:color w:val="000000" w:themeColor="text1"/>
          <w:sz w:val="20"/>
          <w:szCs w:val="20"/>
          <w:lang w:val="es-ES_tradnl" w:eastAsia="es-CO"/>
        </w:rPr>
        <w:t xml:space="preserve">[…] la Ley 996 de 2005 </w:t>
      </w:r>
      <w:r w:rsidRPr="00AD47C6">
        <w:rPr>
          <w:rFonts w:ascii="Arial" w:eastAsia="Calibri" w:hAnsi="Arial" w:cs="Arial"/>
          <w:color w:val="000000" w:themeColor="text1"/>
          <w:sz w:val="20"/>
          <w:szCs w:val="20"/>
          <w:lang w:val="es-ES_tradnl" w:eastAsia="en-US"/>
        </w:rPr>
        <w:t>«</w:t>
      </w:r>
      <w:r w:rsidRPr="00AD47C6">
        <w:rPr>
          <w:rStyle w:val="Textoennegrita"/>
          <w:rFonts w:ascii="Arial" w:hAnsi="Arial" w:cs="Arial"/>
          <w:b w:val="0"/>
          <w:bCs w:val="0"/>
          <w:color w:val="000000" w:themeColor="text1"/>
          <w:sz w:val="20"/>
          <w:szCs w:val="20"/>
          <w:shd w:val="clear" w:color="auto" w:fill="FFFFFF"/>
          <w:lang w:val="es-ES_tradnl"/>
        </w:rPr>
        <w:t>Por</w:t>
      </w:r>
      <w:r w:rsidRPr="00AD47C6">
        <w:rPr>
          <w:rStyle w:val="Textoennegrita"/>
          <w:rFonts w:ascii="Arial" w:hAnsi="Arial" w:cs="Arial"/>
          <w:b w:val="0"/>
          <w:color w:val="000000" w:themeColor="text1"/>
          <w:sz w:val="20"/>
          <w:szCs w:val="20"/>
          <w:shd w:val="clear" w:color="auto" w:fill="FFFFFF"/>
          <w:lang w:val="es-ES_tradnl"/>
        </w:rPr>
        <w:t xml:space="preserve"> medio de la cual se reglamenta la elección de </w:t>
      </w:r>
      <w:proofErr w:type="gramStart"/>
      <w:r w:rsidRPr="00AD47C6">
        <w:rPr>
          <w:rStyle w:val="Textoennegrita"/>
          <w:rFonts w:ascii="Arial" w:hAnsi="Arial" w:cs="Arial"/>
          <w:b w:val="0"/>
          <w:color w:val="000000" w:themeColor="text1"/>
          <w:sz w:val="20"/>
          <w:szCs w:val="20"/>
          <w:shd w:val="clear" w:color="auto" w:fill="FFFFFF"/>
          <w:lang w:val="es-ES_tradnl"/>
        </w:rPr>
        <w:t>Presidente</w:t>
      </w:r>
      <w:proofErr w:type="gramEnd"/>
      <w:r w:rsidRPr="00AD47C6">
        <w:rPr>
          <w:rStyle w:val="Textoennegrita"/>
          <w:rFonts w:ascii="Arial" w:hAnsi="Arial" w:cs="Arial"/>
          <w:b w:val="0"/>
          <w:color w:val="000000" w:themeColor="text1"/>
          <w:sz w:val="20"/>
          <w:szCs w:val="20"/>
          <w:shd w:val="clear" w:color="auto" w:fill="FFFFFF"/>
          <w:lang w:val="es-ES_tradnl"/>
        </w:rPr>
        <w:t xml:space="preserve"> de la República, de conformidad con el artículo 152 literal f) de la Constitución Política de Colombia, y de acuerdo con lo establecido en el Acto Legislativo 02 de 2004, y se dictan otras disposiciones</w:t>
      </w:r>
      <w:r w:rsidRPr="00AD47C6">
        <w:rPr>
          <w:rFonts w:ascii="Arial" w:eastAsia="Calibri" w:hAnsi="Arial" w:cs="Arial"/>
          <w:bCs/>
          <w:color w:val="000000" w:themeColor="text1"/>
          <w:sz w:val="20"/>
          <w:szCs w:val="20"/>
          <w:lang w:val="es-ES_tradnl" w:eastAsia="en-US"/>
        </w:rPr>
        <w:t>»,</w:t>
      </w:r>
      <w:r w:rsidRPr="00AD47C6">
        <w:rPr>
          <w:rStyle w:val="Textoennegrita"/>
          <w:rFonts w:ascii="Arial" w:hAnsi="Arial" w:cs="Arial"/>
          <w:color w:val="000000" w:themeColor="text1"/>
          <w:sz w:val="20"/>
          <w:szCs w:val="20"/>
          <w:shd w:val="clear" w:color="auto" w:fill="FFFFFF"/>
          <w:lang w:val="es-ES_tradnl"/>
        </w:rPr>
        <w:t xml:space="preserve"> </w:t>
      </w:r>
      <w:r w:rsidRPr="00AD47C6">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AD47C6"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AD47C6"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AD47C6">
        <w:rPr>
          <w:rFonts w:ascii="Arial" w:eastAsia="Calibri" w:hAnsi="Arial" w:cs="Arial"/>
          <w:b/>
          <w:bCs/>
          <w:color w:val="000000" w:themeColor="text1"/>
          <w:sz w:val="22"/>
          <w:szCs w:val="22"/>
          <w:lang w:val="es-ES_tradnl" w:eastAsia="en-US"/>
        </w:rPr>
        <w:t>LEY DE GARANTÍAS ELECTORALES ‒</w:t>
      </w:r>
      <w:bookmarkEnd w:id="2"/>
      <w:r w:rsidRPr="00AD47C6">
        <w:rPr>
          <w:rFonts w:ascii="Arial" w:eastAsia="Calibri" w:hAnsi="Arial" w:cs="Arial"/>
          <w:b/>
          <w:bCs/>
          <w:color w:val="000000" w:themeColor="text1"/>
          <w:sz w:val="22"/>
          <w:szCs w:val="22"/>
          <w:lang w:val="es-ES_tradnl" w:eastAsia="en-US"/>
        </w:rPr>
        <w:t xml:space="preserve"> Restricciones </w:t>
      </w:r>
      <w:bookmarkStart w:id="4" w:name="_Hlk77157034"/>
      <w:r w:rsidRPr="00AD47C6">
        <w:rPr>
          <w:rFonts w:ascii="Arial" w:eastAsia="Calibri" w:hAnsi="Arial" w:cs="Arial"/>
          <w:b/>
          <w:bCs/>
          <w:color w:val="000000" w:themeColor="text1"/>
          <w:sz w:val="22"/>
          <w:szCs w:val="22"/>
          <w:lang w:val="es-ES_tradnl" w:eastAsia="en-US"/>
        </w:rPr>
        <w:t xml:space="preserve">‒ </w:t>
      </w:r>
      <w:bookmarkEnd w:id="4"/>
      <w:r w:rsidRPr="00AD47C6">
        <w:rPr>
          <w:rFonts w:ascii="Arial" w:eastAsia="Calibri" w:hAnsi="Arial" w:cs="Arial"/>
          <w:b/>
          <w:bCs/>
          <w:color w:val="000000" w:themeColor="text1"/>
          <w:sz w:val="22"/>
          <w:szCs w:val="22"/>
          <w:lang w:val="es-ES_tradnl" w:eastAsia="en-US"/>
        </w:rPr>
        <w:t>Contratación</w:t>
      </w:r>
      <w:bookmarkStart w:id="5" w:name="_Hlk77153098"/>
      <w:r w:rsidRPr="00AD47C6">
        <w:rPr>
          <w:rFonts w:ascii="Arial" w:eastAsia="Calibri" w:hAnsi="Arial" w:cs="Arial"/>
          <w:b/>
          <w:bCs/>
          <w:color w:val="000000" w:themeColor="text1"/>
          <w:sz w:val="22"/>
          <w:szCs w:val="22"/>
          <w:lang w:val="es-ES_tradnl" w:eastAsia="en-US"/>
        </w:rPr>
        <w:t xml:space="preserve"> ‒ Tipos de elección</w:t>
      </w:r>
      <w:bookmarkEnd w:id="5"/>
      <w:r w:rsidRPr="00AD47C6">
        <w:rPr>
          <w:rFonts w:ascii="Arial" w:eastAsia="Calibri" w:hAnsi="Arial" w:cs="Arial"/>
          <w:b/>
          <w:bCs/>
          <w:color w:val="000000" w:themeColor="text1"/>
          <w:sz w:val="22"/>
          <w:szCs w:val="22"/>
          <w:lang w:val="es-ES_tradnl" w:eastAsia="en-US"/>
        </w:rPr>
        <w:t xml:space="preserve"> </w:t>
      </w:r>
    </w:p>
    <w:p w14:paraId="5DD8B328" w14:textId="77777777" w:rsidR="00D92C14" w:rsidRPr="00AD47C6"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AD47C6" w:rsidRDefault="00D92C14" w:rsidP="00D92C14">
      <w:pPr>
        <w:spacing w:after="120"/>
        <w:jc w:val="both"/>
        <w:rPr>
          <w:rFonts w:ascii="Arial" w:eastAsia="Arial" w:hAnsi="Arial" w:cs="Arial"/>
          <w:color w:val="000000" w:themeColor="text1"/>
          <w:sz w:val="20"/>
          <w:szCs w:val="20"/>
          <w:lang w:val="es-ES_tradnl" w:eastAsia="es-ES" w:bidi="es-ES"/>
        </w:rPr>
      </w:pPr>
      <w:r w:rsidRPr="00AD47C6">
        <w:rPr>
          <w:rFonts w:ascii="Arial" w:hAnsi="Arial" w:cs="Arial"/>
          <w:bCs/>
          <w:color w:val="000000" w:themeColor="text1"/>
          <w:sz w:val="20"/>
          <w:szCs w:val="20"/>
          <w:lang w:val="es-ES_tradnl" w:eastAsia="es-CO"/>
        </w:rPr>
        <w:t xml:space="preserve">La </w:t>
      </w:r>
      <w:r w:rsidRPr="00AD47C6">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AD47C6">
        <w:rPr>
          <w:rFonts w:ascii="Arial" w:eastAsia="Arial" w:hAnsi="Arial" w:cs="Arial"/>
          <w:color w:val="000000" w:themeColor="text1"/>
          <w:sz w:val="20"/>
          <w:szCs w:val="20"/>
          <w:lang w:val="es-ES_tradnl" w:eastAsia="es-ES" w:bidi="es-ES"/>
        </w:rPr>
        <w:t xml:space="preserve"> </w:t>
      </w:r>
      <w:r w:rsidRPr="00AD47C6">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AD47C6">
        <w:rPr>
          <w:rFonts w:ascii="Arial" w:eastAsia="Calibri" w:hAnsi="Arial" w:cs="Arial"/>
          <w:bCs/>
          <w:color w:val="000000" w:themeColor="text1"/>
          <w:sz w:val="20"/>
          <w:szCs w:val="20"/>
          <w:lang w:val="es-ES_tradnl" w:eastAsia="en-US"/>
        </w:rPr>
        <w:t xml:space="preserve">«[…] </w:t>
      </w:r>
      <w:r w:rsidRPr="00AD47C6">
        <w:rPr>
          <w:rFonts w:ascii="Arial" w:eastAsia="Calibri" w:hAnsi="Arial" w:cs="Arial"/>
          <w:color w:val="000000" w:themeColor="text1"/>
          <w:sz w:val="20"/>
          <w:szCs w:val="20"/>
          <w:lang w:val="es-ES_tradnl" w:eastAsia="en-US"/>
        </w:rPr>
        <w:t>la contratación directa por parte de todos los entes del Estado</w:t>
      </w:r>
      <w:r w:rsidRPr="00AD47C6">
        <w:rPr>
          <w:rFonts w:ascii="Arial" w:eastAsia="Calibri" w:hAnsi="Arial" w:cs="Arial"/>
          <w:bCs/>
          <w:color w:val="000000" w:themeColor="text1"/>
          <w:sz w:val="20"/>
          <w:szCs w:val="20"/>
          <w:lang w:val="es-ES_tradnl" w:eastAsia="en-US"/>
        </w:rPr>
        <w:t>»</w:t>
      </w:r>
      <w:r w:rsidRPr="00AD47C6">
        <w:rPr>
          <w:rFonts w:ascii="Arial" w:eastAsia="Calibri" w:hAnsi="Arial" w:cs="Arial"/>
          <w:color w:val="000000" w:themeColor="text1"/>
          <w:sz w:val="20"/>
          <w:szCs w:val="20"/>
          <w:lang w:val="es-ES_tradnl" w:eastAsia="en-US"/>
        </w:rPr>
        <w:t xml:space="preserve"> durante los cuatro (4) meses anteriores a las elecciones presidenciales, salvo </w:t>
      </w:r>
      <w:r w:rsidRPr="00AD47C6">
        <w:rPr>
          <w:rFonts w:ascii="Arial" w:eastAsia="Calibri" w:hAnsi="Arial" w:cs="Arial"/>
          <w:bCs/>
          <w:color w:val="000000" w:themeColor="text1"/>
          <w:sz w:val="20"/>
          <w:szCs w:val="20"/>
          <w:lang w:val="es-ES_tradnl" w:eastAsia="en-US"/>
        </w:rPr>
        <w:t xml:space="preserve">«[…] </w:t>
      </w:r>
      <w:r w:rsidRPr="00AD47C6">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D47C6">
        <w:rPr>
          <w:rFonts w:ascii="Arial" w:eastAsia="Calibri" w:hAnsi="Arial" w:cs="Arial"/>
          <w:bCs/>
          <w:color w:val="000000" w:themeColor="text1"/>
          <w:sz w:val="20"/>
          <w:szCs w:val="20"/>
          <w:lang w:val="es-ES_tradnl" w:eastAsia="en-US"/>
        </w:rPr>
        <w:t>»</w:t>
      </w:r>
      <w:r w:rsidRPr="00AD47C6">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AD47C6">
        <w:rPr>
          <w:rFonts w:ascii="Arial" w:eastAsia="Calibri" w:hAnsi="Arial" w:cs="Arial"/>
          <w:bCs/>
          <w:color w:val="000000" w:themeColor="text1"/>
          <w:sz w:val="20"/>
          <w:szCs w:val="20"/>
          <w:lang w:val="es-ES_tradnl" w:eastAsia="en-US"/>
        </w:rPr>
        <w:t xml:space="preserve">«[…] </w:t>
      </w:r>
      <w:r w:rsidRPr="00AD47C6">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47C6">
        <w:rPr>
          <w:rFonts w:ascii="Arial" w:eastAsia="Calibri" w:hAnsi="Arial" w:cs="Arial"/>
          <w:bCs/>
          <w:color w:val="000000" w:themeColor="text1"/>
          <w:sz w:val="20"/>
          <w:szCs w:val="20"/>
          <w:lang w:val="es-ES_tradnl" w:eastAsia="en-US"/>
        </w:rPr>
        <w:t>»</w:t>
      </w:r>
      <w:r w:rsidRPr="00AD47C6">
        <w:rPr>
          <w:rFonts w:ascii="Arial" w:eastAsia="Calibri" w:hAnsi="Arial" w:cs="Arial"/>
          <w:color w:val="000000" w:themeColor="text1"/>
          <w:sz w:val="20"/>
          <w:szCs w:val="20"/>
          <w:lang w:val="es-ES_tradnl" w:eastAsia="en-US"/>
        </w:rPr>
        <w:t>.</w:t>
      </w:r>
      <w:r w:rsidRPr="00AD47C6">
        <w:rPr>
          <w:rFonts w:ascii="Arial" w:eastAsia="Calibri" w:hAnsi="Arial" w:cs="Arial"/>
          <w:noProof/>
          <w:color w:val="000000" w:themeColor="text1"/>
          <w:sz w:val="20"/>
          <w:szCs w:val="20"/>
          <w:lang w:val="es-ES_tradnl" w:eastAsia="en-US"/>
        </w:rPr>
        <w:t>.</w:t>
      </w:r>
    </w:p>
    <w:p w14:paraId="0EF6CDE8" w14:textId="77777777" w:rsidR="00A9366B" w:rsidRPr="00AD47C6"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AD47C6" w:rsidRDefault="00D92C14" w:rsidP="00D92C14">
      <w:pPr>
        <w:tabs>
          <w:tab w:val="left" w:pos="426"/>
        </w:tabs>
        <w:jc w:val="both"/>
        <w:rPr>
          <w:rFonts w:ascii="Arial" w:eastAsia="Calibri" w:hAnsi="Arial" w:cs="Arial"/>
          <w:b/>
          <w:bCs/>
          <w:sz w:val="22"/>
          <w:szCs w:val="22"/>
          <w:lang w:val="es-ES_tradnl" w:eastAsia="en-US"/>
        </w:rPr>
      </w:pPr>
      <w:r w:rsidRPr="00AD47C6">
        <w:rPr>
          <w:rFonts w:ascii="Arial" w:eastAsia="Calibri" w:hAnsi="Arial" w:cs="Arial"/>
          <w:b/>
          <w:bCs/>
          <w:sz w:val="22"/>
          <w:szCs w:val="22"/>
          <w:lang w:val="es-ES_tradnl" w:eastAsia="en-US"/>
        </w:rPr>
        <w:t xml:space="preserve">LEY DE GARANTÍAS ELECTORALES ─ Prohibición artículo 33 ‒ </w:t>
      </w:r>
      <w:bookmarkEnd w:id="6"/>
      <w:r w:rsidRPr="00AD47C6">
        <w:rPr>
          <w:rFonts w:ascii="Arial" w:eastAsia="Calibri" w:hAnsi="Arial" w:cs="Arial"/>
          <w:b/>
          <w:bCs/>
          <w:sz w:val="22"/>
          <w:szCs w:val="22"/>
          <w:lang w:val="es-ES_tradnl" w:eastAsia="en-US"/>
        </w:rPr>
        <w:t xml:space="preserve">Contratación directa ‒ Alcance </w:t>
      </w:r>
    </w:p>
    <w:p w14:paraId="5CB8E594" w14:textId="77777777" w:rsidR="00D92C14" w:rsidRPr="00AD47C6"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AD47C6" w:rsidRDefault="00D92C14" w:rsidP="00D92C14">
      <w:pPr>
        <w:jc w:val="both"/>
        <w:rPr>
          <w:rFonts w:ascii="Arial" w:hAnsi="Arial" w:cs="Arial"/>
          <w:bCs/>
          <w:sz w:val="20"/>
          <w:szCs w:val="20"/>
          <w:lang w:val="es-ES_tradnl" w:eastAsia="x-none"/>
        </w:rPr>
      </w:pPr>
      <w:r w:rsidRPr="00AD47C6">
        <w:rPr>
          <w:rFonts w:ascii="Arial" w:eastAsia="Calibri" w:hAnsi="Arial" w:cs="Arial"/>
          <w:noProof/>
          <w:sz w:val="20"/>
          <w:szCs w:val="20"/>
          <w:lang w:val="es-ES_tradnl" w:eastAsia="en-US"/>
        </w:rPr>
        <w:t xml:space="preserve">[…] </w:t>
      </w:r>
      <w:r w:rsidRPr="00AD47C6">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AD47C6">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AD47C6">
        <w:rPr>
          <w:rFonts w:ascii="Arial" w:hAnsi="Arial" w:cs="Arial"/>
          <w:sz w:val="20"/>
          <w:szCs w:val="20"/>
          <w:vertAlign w:val="superscript"/>
          <w:lang w:val="es-ES_tradnl" w:eastAsia="x-none"/>
        </w:rPr>
        <w:t xml:space="preserve">. </w:t>
      </w:r>
      <w:r w:rsidRPr="00AD47C6">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AD47C6">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AD47C6" w:rsidRDefault="00D92C14" w:rsidP="00D92C14">
      <w:pPr>
        <w:jc w:val="both"/>
        <w:rPr>
          <w:rFonts w:ascii="Arial" w:hAnsi="Arial" w:cs="Arial"/>
          <w:b/>
          <w:bCs/>
          <w:sz w:val="20"/>
          <w:szCs w:val="20"/>
          <w:lang w:val="es-ES_tradnl" w:eastAsia="es-ES"/>
        </w:rPr>
      </w:pPr>
    </w:p>
    <w:p w14:paraId="5CC1D062" w14:textId="77777777" w:rsidR="00D92C14" w:rsidRPr="00AD47C6" w:rsidRDefault="00D92C14" w:rsidP="00D92C14">
      <w:pPr>
        <w:shd w:val="clear" w:color="auto" w:fill="FFFFFF"/>
        <w:jc w:val="both"/>
        <w:rPr>
          <w:rFonts w:ascii="Arial" w:hAnsi="Arial" w:cs="Arial"/>
          <w:b/>
          <w:bCs/>
          <w:sz w:val="22"/>
          <w:szCs w:val="22"/>
          <w:lang w:val="es-ES_tradnl" w:eastAsia="es-CO"/>
        </w:rPr>
      </w:pPr>
      <w:r w:rsidRPr="00AD47C6">
        <w:rPr>
          <w:rFonts w:ascii="Arial" w:hAnsi="Arial" w:cs="Arial"/>
          <w:b/>
          <w:bCs/>
          <w:sz w:val="22"/>
          <w:szCs w:val="22"/>
          <w:lang w:val="es-ES_tradnl" w:eastAsia="es-CO"/>
        </w:rPr>
        <w:t xml:space="preserve">LEY DE GARANTÍAS ELECTORALES </w:t>
      </w:r>
      <w:bookmarkStart w:id="7" w:name="_Hlk77022358"/>
      <w:r w:rsidRPr="00AD47C6">
        <w:rPr>
          <w:rFonts w:ascii="Arial" w:hAnsi="Arial" w:cs="Arial"/>
          <w:b/>
          <w:bCs/>
          <w:sz w:val="22"/>
          <w:szCs w:val="22"/>
          <w:lang w:val="es-ES_tradnl" w:eastAsia="es-CO"/>
        </w:rPr>
        <w:t>‒</w:t>
      </w:r>
      <w:bookmarkEnd w:id="7"/>
      <w:r w:rsidRPr="00AD47C6">
        <w:rPr>
          <w:rFonts w:ascii="Arial" w:hAnsi="Arial" w:cs="Arial"/>
          <w:b/>
          <w:bCs/>
          <w:sz w:val="22"/>
          <w:szCs w:val="22"/>
          <w:lang w:val="es-ES_tradnl" w:eastAsia="es-CO"/>
        </w:rPr>
        <w:t xml:space="preserve"> Excepciones</w:t>
      </w:r>
      <w:r w:rsidRPr="00AD47C6">
        <w:rPr>
          <w:rFonts w:ascii="Arial" w:hAnsi="Arial" w:cs="Arial"/>
          <w:b/>
          <w:sz w:val="22"/>
          <w:szCs w:val="22"/>
          <w:lang w:val="es-ES_tradnl" w:eastAsia="es-CO"/>
        </w:rPr>
        <w:t xml:space="preserve"> </w:t>
      </w:r>
    </w:p>
    <w:p w14:paraId="12642EB9" w14:textId="77777777" w:rsidR="00D92C14" w:rsidRPr="00AD47C6"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AD47C6" w:rsidRDefault="00D92C14" w:rsidP="00D92C14">
      <w:pPr>
        <w:tabs>
          <w:tab w:val="left" w:pos="426"/>
        </w:tabs>
        <w:jc w:val="both"/>
        <w:rPr>
          <w:rFonts w:ascii="Arial" w:eastAsia="Calibri" w:hAnsi="Arial" w:cs="Arial"/>
          <w:sz w:val="20"/>
          <w:szCs w:val="20"/>
          <w:lang w:val="es-ES_tradnl" w:eastAsia="en-US"/>
        </w:rPr>
      </w:pPr>
      <w:r w:rsidRPr="00AD47C6">
        <w:rPr>
          <w:rFonts w:ascii="Arial" w:hAnsi="Arial" w:cs="Arial"/>
          <w:sz w:val="20"/>
          <w:szCs w:val="20"/>
          <w:lang w:val="es-ES_tradnl" w:eastAsia="x-none"/>
        </w:rPr>
        <w:t xml:space="preserve">[…] </w:t>
      </w:r>
      <w:r w:rsidRPr="00AD47C6">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AD47C6"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AD47C6" w:rsidRDefault="00D92C14" w:rsidP="00D92C14">
      <w:pPr>
        <w:jc w:val="both"/>
        <w:rPr>
          <w:rFonts w:ascii="Arial" w:hAnsi="Arial" w:cs="Arial"/>
          <w:b/>
          <w:sz w:val="22"/>
          <w:szCs w:val="22"/>
          <w:lang w:val="es-ES_tradnl" w:eastAsia="es-CO"/>
        </w:rPr>
      </w:pPr>
      <w:r w:rsidRPr="00AD47C6">
        <w:rPr>
          <w:rFonts w:ascii="Arial" w:hAnsi="Arial" w:cs="Arial"/>
          <w:b/>
          <w:bCs/>
          <w:sz w:val="22"/>
          <w:szCs w:val="22"/>
          <w:lang w:val="es-ES_tradnl" w:eastAsia="es-CO"/>
        </w:rPr>
        <w:t xml:space="preserve">LEY DE GARANTÍAS ELECTORALES </w:t>
      </w:r>
      <w:bookmarkStart w:id="8" w:name="_Hlk77166669"/>
      <w:r w:rsidRPr="00AD47C6">
        <w:rPr>
          <w:rFonts w:ascii="Arial" w:hAnsi="Arial" w:cs="Arial"/>
          <w:b/>
          <w:bCs/>
          <w:sz w:val="22"/>
          <w:szCs w:val="22"/>
          <w:lang w:val="es-ES_tradnl" w:eastAsia="es-CO"/>
        </w:rPr>
        <w:t>‒</w:t>
      </w:r>
      <w:bookmarkEnd w:id="8"/>
      <w:r w:rsidRPr="00AD47C6">
        <w:rPr>
          <w:rFonts w:ascii="Arial" w:hAnsi="Arial" w:cs="Arial"/>
          <w:b/>
          <w:bCs/>
          <w:sz w:val="22"/>
          <w:szCs w:val="22"/>
          <w:lang w:val="es-ES_tradnl" w:eastAsia="es-CO"/>
        </w:rPr>
        <w:t xml:space="preserve"> </w:t>
      </w:r>
      <w:r w:rsidRPr="00AD47C6">
        <w:rPr>
          <w:rFonts w:ascii="Arial" w:hAnsi="Arial" w:cs="Arial"/>
          <w:b/>
          <w:sz w:val="22"/>
          <w:szCs w:val="22"/>
          <w:lang w:val="es-ES_tradnl" w:eastAsia="es-CO"/>
        </w:rPr>
        <w:t xml:space="preserve">Prohibición del artículo 33 </w:t>
      </w:r>
      <w:r w:rsidRPr="00AD47C6">
        <w:rPr>
          <w:rFonts w:ascii="Arial" w:hAnsi="Arial" w:cs="Arial"/>
          <w:b/>
          <w:bCs/>
          <w:sz w:val="22"/>
          <w:szCs w:val="22"/>
          <w:lang w:val="es-ES_tradnl" w:eastAsia="es-CO"/>
        </w:rPr>
        <w:t>‒ Destinatarios</w:t>
      </w:r>
    </w:p>
    <w:p w14:paraId="435877BF" w14:textId="77777777" w:rsidR="00D92C14" w:rsidRPr="00AD47C6"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AD47C6" w:rsidRDefault="00D92C14" w:rsidP="00D92C14">
      <w:pPr>
        <w:tabs>
          <w:tab w:val="left" w:pos="426"/>
        </w:tabs>
        <w:jc w:val="both"/>
        <w:rPr>
          <w:rFonts w:ascii="Arial" w:hAnsi="Arial" w:cs="Arial"/>
          <w:bCs/>
          <w:sz w:val="20"/>
          <w:szCs w:val="20"/>
          <w:lang w:val="es-ES_tradnl" w:eastAsia="x-none"/>
        </w:rPr>
      </w:pPr>
      <w:r w:rsidRPr="00AD47C6">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D47C6">
        <w:rPr>
          <w:rFonts w:ascii="Arial" w:eastAsia="Calibri" w:hAnsi="Arial" w:cs="Arial"/>
          <w:sz w:val="20"/>
          <w:szCs w:val="20"/>
          <w:lang w:val="es-ES_tradnl" w:eastAsia="en-US"/>
        </w:rPr>
        <w:t xml:space="preserve"> </w:t>
      </w:r>
      <w:r w:rsidRPr="00AD47C6">
        <w:rPr>
          <w:rFonts w:ascii="Arial" w:hAnsi="Arial" w:cs="Arial"/>
          <w:bCs/>
          <w:sz w:val="20"/>
          <w:szCs w:val="20"/>
          <w:lang w:val="es-ES_tradnl" w:eastAsia="x-none"/>
        </w:rPr>
        <w:t>En efecto, tal como lo ha sostenido el Consejo de Estado, el vocablo «todos» utilizado por el legislador comprende</w:t>
      </w:r>
      <w:r w:rsidRPr="00AD47C6">
        <w:rPr>
          <w:rFonts w:ascii="Arial" w:eastAsia="Calibri" w:hAnsi="Arial" w:cs="Arial"/>
          <w:sz w:val="20"/>
          <w:szCs w:val="20"/>
          <w:lang w:val="es-ES_tradnl" w:eastAsia="en-US"/>
        </w:rPr>
        <w:t xml:space="preserve"> </w:t>
      </w:r>
      <w:r w:rsidRPr="00AD47C6">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7460EF" w14:textId="0525B2F0" w:rsidR="0038333E" w:rsidRPr="00AD47C6"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2830DF68" w14:textId="77777777" w:rsidR="005943D4" w:rsidRPr="00AD47C6" w:rsidRDefault="005943D4" w:rsidP="005943D4">
      <w:pPr>
        <w:jc w:val="both"/>
        <w:rPr>
          <w:rFonts w:ascii="Arial" w:eastAsia="Calibri" w:hAnsi="Arial" w:cs="Arial"/>
          <w:b/>
          <w:color w:val="000000" w:themeColor="text1"/>
          <w:sz w:val="22"/>
          <w:szCs w:val="22"/>
        </w:rPr>
      </w:pPr>
      <w:r w:rsidRPr="00AD47C6">
        <w:rPr>
          <w:rFonts w:ascii="Arial" w:eastAsia="Calibri" w:hAnsi="Arial" w:cs="Arial"/>
          <w:b/>
          <w:color w:val="000000" w:themeColor="text1"/>
          <w:sz w:val="22"/>
          <w:szCs w:val="22"/>
        </w:rPr>
        <w:t xml:space="preserve">ORGANISMOS INTERNACIONALES – Ley de garantías electorales – Restricción – Contratación Directa – Artículo 33 – Organismos internacionales –  Alcance </w:t>
      </w:r>
    </w:p>
    <w:p w14:paraId="75F77325" w14:textId="77777777" w:rsidR="005943D4" w:rsidRPr="00AD47C6" w:rsidRDefault="005943D4" w:rsidP="005943D4">
      <w:pPr>
        <w:jc w:val="both"/>
        <w:rPr>
          <w:rFonts w:ascii="Arial" w:eastAsia="Calibri" w:hAnsi="Arial" w:cs="Arial"/>
          <w:color w:val="000000" w:themeColor="text1"/>
          <w:sz w:val="20"/>
          <w:szCs w:val="20"/>
        </w:rPr>
      </w:pPr>
    </w:p>
    <w:p w14:paraId="4F0987FE" w14:textId="5B0155C6" w:rsidR="006A39CC" w:rsidRPr="00AD47C6" w:rsidRDefault="005943D4" w:rsidP="005943D4">
      <w:pPr>
        <w:jc w:val="both"/>
        <w:rPr>
          <w:rFonts w:ascii="Arial" w:hAnsi="Arial" w:cs="Arial"/>
          <w:bCs/>
          <w:color w:val="000000"/>
          <w:sz w:val="20"/>
          <w:szCs w:val="20"/>
          <w:lang w:eastAsia="es-CO"/>
        </w:rPr>
      </w:pPr>
      <w:r w:rsidRPr="00AD47C6">
        <w:rPr>
          <w:rFonts w:ascii="Arial" w:eastAsia="Calibri" w:hAnsi="Arial" w:cs="Arial"/>
          <w:color w:val="000000" w:themeColor="text1"/>
          <w:sz w:val="20"/>
          <w:szCs w:val="20"/>
        </w:rPr>
        <w:t xml:space="preserve">Ahora bien, para la restricción del artículo 33 de la </w:t>
      </w:r>
      <w:r w:rsidRPr="00AD47C6">
        <w:rPr>
          <w:rFonts w:ascii="Arial" w:hAnsi="Arial" w:cs="Arial"/>
          <w:bCs/>
          <w:color w:val="000000"/>
          <w:sz w:val="20"/>
          <w:szCs w:val="20"/>
          <w:lang w:eastAsia="es-CO"/>
        </w:rPr>
        <w:t xml:space="preserve">Ley 996 de 2005 es necesario considerar que </w:t>
      </w:r>
      <w:r w:rsidRPr="00AD47C6">
        <w:rPr>
          <w:rFonts w:ascii="Arial" w:eastAsia="Calibri" w:hAnsi="Arial" w:cs="Arial"/>
          <w:sz w:val="20"/>
          <w:szCs w:val="20"/>
          <w:lang w:val="es-ES"/>
        </w:rPr>
        <w:t>el artículo 20 de la Ley 1150 de 2007</w:t>
      </w:r>
      <w:r w:rsidRPr="00AD47C6">
        <w:rPr>
          <w:rFonts w:ascii="Arial" w:hAnsi="Arial" w:cs="Arial"/>
          <w:bCs/>
          <w:color w:val="000000"/>
          <w:sz w:val="20"/>
          <w:szCs w:val="20"/>
          <w:lang w:eastAsia="es-CO"/>
        </w:rPr>
        <w:t xml:space="preserve">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 </w:t>
      </w:r>
    </w:p>
    <w:p w14:paraId="5E7D2828" w14:textId="77777777" w:rsidR="006A39CC" w:rsidRPr="00AD47C6" w:rsidRDefault="006A39CC" w:rsidP="005943D4">
      <w:pPr>
        <w:jc w:val="both"/>
        <w:rPr>
          <w:rFonts w:ascii="Arial" w:hAnsi="Arial" w:cs="Arial"/>
          <w:bCs/>
          <w:color w:val="000000"/>
          <w:sz w:val="20"/>
          <w:szCs w:val="20"/>
          <w:lang w:eastAsia="es-CO"/>
        </w:rPr>
      </w:pPr>
    </w:p>
    <w:p w14:paraId="4BBD4C3F" w14:textId="3BB3096B" w:rsidR="005943D4" w:rsidRPr="00AD47C6" w:rsidRDefault="005943D4" w:rsidP="005943D4">
      <w:pPr>
        <w:jc w:val="both"/>
        <w:rPr>
          <w:rFonts w:ascii="Arial" w:hAnsi="Arial" w:cs="Arial"/>
          <w:bCs/>
          <w:color w:val="000000"/>
          <w:sz w:val="20"/>
          <w:szCs w:val="20"/>
          <w:lang w:eastAsia="es-CO"/>
        </w:rPr>
      </w:pPr>
      <w:r w:rsidRPr="00AD47C6">
        <w:rPr>
          <w:rFonts w:ascii="Arial" w:hAnsi="Arial" w:cs="Arial"/>
          <w:bCs/>
          <w:color w:val="000000"/>
          <w:sz w:val="20"/>
          <w:szCs w:val="20"/>
          <w:lang w:eastAsia="es-CO"/>
        </w:rPr>
        <w:t xml:space="preserve">Pese a lo anterior, la prohibición de contratación directa del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w:t>
      </w:r>
      <w:r w:rsidRPr="00AD47C6">
        <w:rPr>
          <w:rFonts w:ascii="Arial" w:hAnsi="Arial" w:cs="Arial"/>
          <w:bCs/>
          <w:color w:val="000000"/>
          <w:sz w:val="20"/>
          <w:szCs w:val="20"/>
          <w:lang w:eastAsia="es-CO"/>
        </w:rPr>
        <w:lastRenderedPageBreak/>
        <w:t xml:space="preserve">se prescinde de la licitación o concurso, </w:t>
      </w:r>
      <w:r w:rsidRPr="00AD47C6">
        <w:rPr>
          <w:rFonts w:ascii="Arial" w:hAnsi="Arial" w:cs="Arial"/>
          <w:bCs/>
          <w:i/>
          <w:iCs/>
          <w:color w:val="000000"/>
          <w:sz w:val="20"/>
          <w:szCs w:val="2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AD47C6">
        <w:rPr>
          <w:rFonts w:ascii="Arial" w:hAnsi="Arial" w:cs="Arial"/>
          <w:bCs/>
          <w:color w:val="000000"/>
          <w:sz w:val="20"/>
          <w:szCs w:val="20"/>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14:paraId="23B81988" w14:textId="77777777" w:rsidR="006A103E" w:rsidRPr="00AD47C6" w:rsidRDefault="006A103E" w:rsidP="00B95C30">
      <w:pPr>
        <w:spacing w:line="276" w:lineRule="auto"/>
        <w:jc w:val="both"/>
        <w:rPr>
          <w:rFonts w:ascii="Arial" w:hAnsi="Arial" w:cs="Arial"/>
          <w:noProof/>
          <w:color w:val="000000" w:themeColor="text1"/>
          <w:sz w:val="22"/>
        </w:rPr>
      </w:pPr>
    </w:p>
    <w:p w14:paraId="7F141346" w14:textId="77777777" w:rsidR="006A103E" w:rsidRPr="00AD47C6" w:rsidRDefault="006A103E" w:rsidP="00B95C30">
      <w:pPr>
        <w:spacing w:line="276" w:lineRule="auto"/>
        <w:jc w:val="both"/>
        <w:rPr>
          <w:rFonts w:ascii="Arial" w:hAnsi="Arial" w:cs="Arial"/>
          <w:noProof/>
          <w:color w:val="000000" w:themeColor="text1"/>
          <w:sz w:val="22"/>
          <w:lang w:val="es-ES_tradnl"/>
        </w:rPr>
      </w:pPr>
    </w:p>
    <w:p w14:paraId="5BB376F6" w14:textId="77777777" w:rsidR="007440CB" w:rsidRPr="00AD47C6"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AD47C6"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AD47C6" w:rsidRDefault="008815D1" w:rsidP="003A68F4">
      <w:pPr>
        <w:spacing w:line="276" w:lineRule="auto"/>
        <w:jc w:val="both"/>
        <w:rPr>
          <w:rFonts w:ascii="Arial" w:hAnsi="Arial" w:cs="Arial"/>
          <w:noProof/>
          <w:color w:val="000000" w:themeColor="text1"/>
          <w:sz w:val="22"/>
          <w:lang w:val="es-ES_tradnl"/>
        </w:rPr>
      </w:pPr>
    </w:p>
    <w:p w14:paraId="63A9610A" w14:textId="77777777" w:rsidR="000844E7" w:rsidRPr="00AD47C6" w:rsidRDefault="000844E7" w:rsidP="003A68F4">
      <w:pPr>
        <w:spacing w:line="276" w:lineRule="auto"/>
        <w:jc w:val="both"/>
        <w:rPr>
          <w:rFonts w:ascii="Arial" w:hAnsi="Arial" w:cs="Arial"/>
          <w:noProof/>
          <w:color w:val="000000" w:themeColor="text1"/>
          <w:sz w:val="22"/>
          <w:lang w:val="es-ES_tradnl"/>
        </w:rPr>
      </w:pPr>
    </w:p>
    <w:p w14:paraId="403322F1" w14:textId="77777777" w:rsidR="000844E7" w:rsidRPr="00AD47C6" w:rsidRDefault="000844E7" w:rsidP="003A68F4">
      <w:pPr>
        <w:spacing w:line="276" w:lineRule="auto"/>
        <w:jc w:val="both"/>
        <w:rPr>
          <w:rFonts w:ascii="Arial" w:hAnsi="Arial" w:cs="Arial"/>
          <w:noProof/>
          <w:color w:val="000000" w:themeColor="text1"/>
          <w:sz w:val="22"/>
          <w:lang w:val="es-ES_tradnl"/>
        </w:rPr>
      </w:pPr>
    </w:p>
    <w:p w14:paraId="4805AD08" w14:textId="77777777" w:rsidR="000844E7" w:rsidRPr="00AD47C6" w:rsidRDefault="000844E7" w:rsidP="003A68F4">
      <w:pPr>
        <w:spacing w:line="276" w:lineRule="auto"/>
        <w:jc w:val="both"/>
        <w:rPr>
          <w:rFonts w:ascii="Arial" w:hAnsi="Arial" w:cs="Arial"/>
          <w:noProof/>
          <w:color w:val="000000" w:themeColor="text1"/>
          <w:sz w:val="22"/>
          <w:lang w:val="es-ES_tradnl"/>
        </w:rPr>
      </w:pPr>
    </w:p>
    <w:p w14:paraId="5772C873" w14:textId="77777777" w:rsidR="000844E7" w:rsidRPr="00AD47C6" w:rsidRDefault="000844E7" w:rsidP="003A68F4">
      <w:pPr>
        <w:spacing w:line="276" w:lineRule="auto"/>
        <w:jc w:val="both"/>
        <w:rPr>
          <w:rFonts w:ascii="Arial" w:hAnsi="Arial" w:cs="Arial"/>
          <w:noProof/>
          <w:color w:val="000000" w:themeColor="text1"/>
          <w:sz w:val="22"/>
          <w:lang w:val="es-ES_tradnl"/>
        </w:rPr>
      </w:pPr>
    </w:p>
    <w:p w14:paraId="0F18F87B" w14:textId="77777777" w:rsidR="000844E7" w:rsidRPr="00AD47C6" w:rsidRDefault="000844E7" w:rsidP="003A68F4">
      <w:pPr>
        <w:spacing w:line="276" w:lineRule="auto"/>
        <w:jc w:val="both"/>
        <w:rPr>
          <w:rFonts w:ascii="Arial" w:hAnsi="Arial" w:cs="Arial"/>
          <w:noProof/>
          <w:color w:val="000000" w:themeColor="text1"/>
          <w:sz w:val="22"/>
          <w:lang w:val="es-ES_tradnl"/>
        </w:rPr>
      </w:pPr>
    </w:p>
    <w:p w14:paraId="7635F7F1" w14:textId="77777777" w:rsidR="003B1DAF" w:rsidRPr="00AD47C6" w:rsidRDefault="003B1DAF" w:rsidP="003A68F4">
      <w:pPr>
        <w:spacing w:line="276" w:lineRule="auto"/>
        <w:jc w:val="both"/>
        <w:rPr>
          <w:rFonts w:ascii="Arial" w:hAnsi="Arial" w:cs="Arial"/>
          <w:noProof/>
          <w:color w:val="000000" w:themeColor="text1"/>
          <w:sz w:val="22"/>
          <w:lang w:val="es-ES_tradnl"/>
        </w:rPr>
      </w:pPr>
    </w:p>
    <w:p w14:paraId="6AFE8D23" w14:textId="77777777" w:rsidR="00F6478E" w:rsidRPr="00AD47C6" w:rsidRDefault="00F6478E" w:rsidP="00DF7420">
      <w:pPr>
        <w:spacing w:line="276" w:lineRule="auto"/>
        <w:jc w:val="both"/>
        <w:rPr>
          <w:rFonts w:ascii="Arial" w:hAnsi="Arial" w:cs="Arial"/>
          <w:noProof/>
          <w:color w:val="000000" w:themeColor="text1"/>
          <w:sz w:val="22"/>
          <w:lang w:val="es-ES_tradnl"/>
        </w:rPr>
      </w:pPr>
    </w:p>
    <w:p w14:paraId="76385708" w14:textId="77777777" w:rsidR="00767AF9" w:rsidRPr="00AD47C6" w:rsidRDefault="00767AF9" w:rsidP="001C661B">
      <w:pPr>
        <w:spacing w:line="276" w:lineRule="auto"/>
        <w:jc w:val="both"/>
        <w:rPr>
          <w:rFonts w:ascii="Arial" w:hAnsi="Arial" w:cs="Arial"/>
          <w:noProof/>
          <w:color w:val="000000" w:themeColor="text1"/>
          <w:sz w:val="22"/>
          <w:lang w:val="es-ES_tradnl"/>
        </w:rPr>
      </w:pPr>
    </w:p>
    <w:p w14:paraId="14B80882"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5A88213B"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5DF38B4F"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64E5493C"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2623284D"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4EF0A6D7"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296BA60A"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64CAA1BD"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73CCD006"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51CAD26A"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5E30D9AE"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2D9C5F9E"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02FBBE1E"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71785AC6"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639E579E"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6A9BE833"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66AF0AC1"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7DAEBED3" w14:textId="77777777" w:rsidR="001E2880" w:rsidRPr="00AD47C6" w:rsidRDefault="001E2880" w:rsidP="001C661B">
      <w:pPr>
        <w:spacing w:line="276" w:lineRule="auto"/>
        <w:jc w:val="both"/>
        <w:rPr>
          <w:rFonts w:ascii="Arial" w:hAnsi="Arial" w:cs="Arial"/>
          <w:noProof/>
          <w:color w:val="000000" w:themeColor="text1"/>
          <w:sz w:val="22"/>
          <w:lang w:val="es-ES_tradnl"/>
        </w:rPr>
      </w:pPr>
    </w:p>
    <w:p w14:paraId="26522C48" w14:textId="77777777" w:rsidR="00593C7A" w:rsidRPr="00AD47C6" w:rsidRDefault="00593C7A" w:rsidP="001C661B">
      <w:pPr>
        <w:spacing w:line="276" w:lineRule="auto"/>
        <w:jc w:val="both"/>
        <w:rPr>
          <w:rFonts w:ascii="Arial" w:hAnsi="Arial" w:cs="Arial"/>
          <w:noProof/>
          <w:color w:val="000000" w:themeColor="text1"/>
          <w:sz w:val="22"/>
          <w:lang w:val="es-ES_tradnl"/>
        </w:rPr>
      </w:pPr>
    </w:p>
    <w:p w14:paraId="05B49C96" w14:textId="77777777" w:rsidR="00593C7A" w:rsidRPr="00AD47C6" w:rsidRDefault="00593C7A" w:rsidP="001C661B">
      <w:pPr>
        <w:spacing w:line="276" w:lineRule="auto"/>
        <w:jc w:val="both"/>
        <w:rPr>
          <w:rFonts w:ascii="Arial" w:hAnsi="Arial" w:cs="Arial"/>
          <w:noProof/>
          <w:color w:val="000000" w:themeColor="text1"/>
          <w:sz w:val="22"/>
          <w:lang w:val="es-ES_tradnl"/>
        </w:rPr>
      </w:pPr>
    </w:p>
    <w:p w14:paraId="65263653" w14:textId="77777777" w:rsidR="00593C7A" w:rsidRPr="00AD47C6" w:rsidRDefault="00593C7A" w:rsidP="001C661B">
      <w:pPr>
        <w:spacing w:line="276" w:lineRule="auto"/>
        <w:jc w:val="both"/>
        <w:rPr>
          <w:rFonts w:ascii="Arial" w:hAnsi="Arial" w:cs="Arial"/>
          <w:noProof/>
          <w:color w:val="000000" w:themeColor="text1"/>
          <w:sz w:val="22"/>
          <w:lang w:val="es-ES_tradnl"/>
        </w:rPr>
      </w:pPr>
    </w:p>
    <w:p w14:paraId="687D77F2" w14:textId="77777777" w:rsidR="00937969" w:rsidRPr="00AD47C6" w:rsidRDefault="00937969" w:rsidP="001C661B">
      <w:pPr>
        <w:spacing w:line="276" w:lineRule="auto"/>
        <w:jc w:val="both"/>
        <w:rPr>
          <w:rFonts w:ascii="Arial" w:hAnsi="Arial" w:cs="Arial"/>
          <w:noProof/>
          <w:color w:val="000000" w:themeColor="text1"/>
          <w:sz w:val="22"/>
          <w:lang w:val="es-ES_tradnl"/>
        </w:rPr>
      </w:pPr>
    </w:p>
    <w:p w14:paraId="3BAC8A47" w14:textId="77777777" w:rsidR="00937969" w:rsidRPr="00AD47C6" w:rsidRDefault="00937969" w:rsidP="001C661B">
      <w:pPr>
        <w:spacing w:line="276" w:lineRule="auto"/>
        <w:jc w:val="both"/>
        <w:rPr>
          <w:rFonts w:ascii="Arial" w:hAnsi="Arial" w:cs="Arial"/>
          <w:noProof/>
          <w:color w:val="000000" w:themeColor="text1"/>
          <w:sz w:val="22"/>
          <w:lang w:val="es-ES_tradnl"/>
        </w:rPr>
      </w:pPr>
    </w:p>
    <w:p w14:paraId="1E4BA16B" w14:textId="77777777" w:rsidR="00937969" w:rsidRPr="00AD47C6" w:rsidRDefault="00937969" w:rsidP="001C661B">
      <w:pPr>
        <w:spacing w:line="276" w:lineRule="auto"/>
        <w:jc w:val="both"/>
        <w:rPr>
          <w:rFonts w:ascii="Arial" w:hAnsi="Arial" w:cs="Arial"/>
          <w:noProof/>
          <w:color w:val="000000" w:themeColor="text1"/>
          <w:sz w:val="22"/>
          <w:lang w:val="es-ES_tradnl"/>
        </w:rPr>
      </w:pPr>
    </w:p>
    <w:p w14:paraId="28D35FFE" w14:textId="76424961" w:rsidR="001C661B" w:rsidRPr="00AD47C6" w:rsidRDefault="001C661B" w:rsidP="001C661B">
      <w:pPr>
        <w:spacing w:line="276" w:lineRule="auto"/>
        <w:jc w:val="both"/>
        <w:rPr>
          <w:rFonts w:ascii="Arial" w:hAnsi="Arial" w:cs="Arial"/>
          <w:b/>
          <w:color w:val="000000" w:themeColor="text1"/>
          <w:sz w:val="22"/>
          <w:lang w:val="es-ES_tradnl"/>
        </w:rPr>
      </w:pPr>
      <w:r w:rsidRPr="00AD47C6">
        <w:rPr>
          <w:rFonts w:ascii="Arial" w:hAnsi="Arial" w:cs="Arial"/>
          <w:noProof/>
          <w:color w:val="000000" w:themeColor="text1"/>
          <w:sz w:val="22"/>
          <w:lang w:val="es-ES_tradnl"/>
        </w:rPr>
        <w:t xml:space="preserve">Bogotá D.C., </w:t>
      </w:r>
      <w:r w:rsidR="00765545">
        <w:rPr>
          <w:rFonts w:ascii="Arial" w:hAnsi="Arial" w:cs="Arial"/>
          <w:b/>
          <w:color w:val="000000" w:themeColor="text1"/>
          <w:sz w:val="22"/>
          <w:lang w:val="es-ES_tradnl"/>
        </w:rPr>
        <w:t>29/03/2022</w:t>
      </w:r>
      <w:r w:rsidR="00FA654C">
        <w:rPr>
          <w:rFonts w:ascii="Arial" w:hAnsi="Arial" w:cs="Arial"/>
          <w:b/>
          <w:color w:val="000000" w:themeColor="text1"/>
          <w:sz w:val="22"/>
          <w:lang w:val="es-ES_tradnl"/>
        </w:rPr>
        <w:t xml:space="preserve"> 09:32:39</w:t>
      </w:r>
    </w:p>
    <w:p w14:paraId="50165522" w14:textId="77777777" w:rsidR="001C661B" w:rsidRPr="00AD47C6" w:rsidRDefault="001C661B" w:rsidP="001C661B">
      <w:pPr>
        <w:spacing w:line="276" w:lineRule="auto"/>
        <w:jc w:val="both"/>
        <w:rPr>
          <w:rFonts w:ascii="Arial" w:eastAsia="Calibri" w:hAnsi="Arial" w:cs="Arial"/>
          <w:noProof/>
          <w:color w:val="000000" w:themeColor="text1"/>
          <w:sz w:val="22"/>
          <w:szCs w:val="22"/>
          <w:lang w:val="es-ES_tradnl"/>
        </w:rPr>
      </w:pPr>
    </w:p>
    <w:p w14:paraId="2C7139F0" w14:textId="7386D734" w:rsidR="00765545" w:rsidRDefault="00765545" w:rsidP="00765545">
      <w:pPr>
        <w:jc w:val="right"/>
      </w:pPr>
      <w:r>
        <w:fldChar w:fldCharType="begin"/>
      </w:r>
      <w:r>
        <w:instrText xml:space="preserve"> INCLUDEPICTURE "/var/folders/z2/mpmwzz0s3w31yr1_fh2qtrr80000gn/T/com.microsoft.Word/WebArchiveCopyPasteTempFiles/page1image320082736" \* MERGEFORMATINET </w:instrText>
      </w:r>
      <w:r>
        <w:fldChar w:fldCharType="separate"/>
      </w:r>
      <w:r>
        <w:rPr>
          <w:noProof/>
        </w:rPr>
        <w:drawing>
          <wp:inline distT="0" distB="0" distL="0" distR="0" wp14:anchorId="3FB561AF" wp14:editId="6DF53889">
            <wp:extent cx="2404745" cy="609600"/>
            <wp:effectExtent l="0" t="0" r="0" b="0"/>
            <wp:docPr id="1" name="Imagen 1" descr="page1image32008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00827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r>
        <w:fldChar w:fldCharType="end"/>
      </w:r>
    </w:p>
    <w:p w14:paraId="628CB3E2" w14:textId="567C4B1B" w:rsidR="00DF7420" w:rsidRPr="00AD47C6" w:rsidRDefault="00DF7420" w:rsidP="00DF7420">
      <w:pPr>
        <w:jc w:val="both"/>
        <w:rPr>
          <w:rFonts w:ascii="Arial" w:hAnsi="Arial" w:cs="Arial"/>
          <w:bCs/>
          <w:color w:val="000000" w:themeColor="text1"/>
          <w:sz w:val="22"/>
          <w:lang w:val="es-ES_tradnl"/>
        </w:rPr>
      </w:pPr>
    </w:p>
    <w:p w14:paraId="795A1E5A" w14:textId="77777777" w:rsidR="00937969" w:rsidRPr="00AD47C6" w:rsidRDefault="00937969" w:rsidP="00DF7420">
      <w:pPr>
        <w:jc w:val="both"/>
        <w:rPr>
          <w:rFonts w:ascii="Arial" w:hAnsi="Arial" w:cs="Arial"/>
          <w:bCs/>
          <w:color w:val="000000" w:themeColor="text1"/>
          <w:sz w:val="22"/>
          <w:lang w:val="es-ES_tradnl"/>
        </w:rPr>
      </w:pPr>
    </w:p>
    <w:p w14:paraId="0BABB61F" w14:textId="77777777" w:rsidR="00D63A42" w:rsidRPr="00AD47C6" w:rsidRDefault="00D63A42" w:rsidP="00D63A42">
      <w:pPr>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Doctora</w:t>
      </w:r>
    </w:p>
    <w:p w14:paraId="557675C3" w14:textId="4B7FD504" w:rsidR="00D63A42" w:rsidRPr="00AD47C6" w:rsidRDefault="000057BD" w:rsidP="00D63A42">
      <w:pPr>
        <w:rPr>
          <w:rFonts w:ascii="Arial" w:eastAsia="Calibri" w:hAnsi="Arial" w:cs="Arial"/>
          <w:b/>
          <w:color w:val="000000" w:themeColor="text1"/>
          <w:sz w:val="22"/>
          <w:lang w:val="es-ES_tradnl"/>
        </w:rPr>
      </w:pPr>
      <w:r w:rsidRPr="00AD47C6">
        <w:rPr>
          <w:rFonts w:ascii="Arial" w:eastAsia="Calibri" w:hAnsi="Arial" w:cs="Arial"/>
          <w:b/>
          <w:color w:val="000000" w:themeColor="text1"/>
          <w:sz w:val="22"/>
          <w:lang w:val="es-ES_tradnl"/>
        </w:rPr>
        <w:t>María Amalia Fernández Velasco</w:t>
      </w:r>
    </w:p>
    <w:p w14:paraId="3C90A404" w14:textId="4D88FE87" w:rsidR="00D63A42" w:rsidRPr="00AD47C6" w:rsidRDefault="000057BD" w:rsidP="00D63A42">
      <w:pPr>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Jefe</w:t>
      </w:r>
      <w:r w:rsidR="008B5E48" w:rsidRPr="00AD47C6">
        <w:rPr>
          <w:rFonts w:ascii="Arial" w:eastAsia="Calibri" w:hAnsi="Arial" w:cs="Arial"/>
          <w:color w:val="000000" w:themeColor="text1"/>
          <w:sz w:val="22"/>
          <w:lang w:val="es-ES_tradnl"/>
        </w:rPr>
        <w:t xml:space="preserve"> Oficina Asesora Jurídica</w:t>
      </w:r>
    </w:p>
    <w:p w14:paraId="1B9950B2" w14:textId="55EEBEAC" w:rsidR="008B5E48" w:rsidRPr="00AD47C6" w:rsidRDefault="008B5E48" w:rsidP="00D63A42">
      <w:pPr>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Unidad Nacional para la Gestión del Riesgo de Desastres</w:t>
      </w:r>
    </w:p>
    <w:p w14:paraId="13F0EFB1" w14:textId="075666B7" w:rsidR="00D63A42" w:rsidRPr="00AD47C6" w:rsidRDefault="00D63A42" w:rsidP="00D63A42">
      <w:pPr>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Bogotá D.C.</w:t>
      </w:r>
    </w:p>
    <w:p w14:paraId="0A3EDA97" w14:textId="3B537491" w:rsidR="00DF7420" w:rsidRPr="00AD47C6" w:rsidRDefault="00DF7420" w:rsidP="00DF7420">
      <w:pPr>
        <w:jc w:val="both"/>
        <w:rPr>
          <w:rFonts w:ascii="Arial" w:eastAsia="Calibri" w:hAnsi="Arial" w:cs="Arial"/>
          <w:color w:val="000000" w:themeColor="text1"/>
          <w:sz w:val="22"/>
          <w:lang w:val="es-ES_tradnl"/>
        </w:rPr>
      </w:pPr>
    </w:p>
    <w:p w14:paraId="24E8D2A9" w14:textId="77777777" w:rsidR="00B95C30" w:rsidRPr="00AD47C6" w:rsidRDefault="00B95C30" w:rsidP="00B95C30">
      <w:pPr>
        <w:jc w:val="both"/>
        <w:rPr>
          <w:rFonts w:ascii="Arial" w:eastAsia="Calibri" w:hAnsi="Arial" w:cs="Arial"/>
          <w:color w:val="000000" w:themeColor="text1"/>
          <w:sz w:val="22"/>
          <w:lang w:val="es-ES_tradnl"/>
        </w:rPr>
      </w:pPr>
    </w:p>
    <w:p w14:paraId="12E66182" w14:textId="41202A79" w:rsidR="00B95C30" w:rsidRPr="00AD47C6" w:rsidRDefault="008815D1" w:rsidP="00B06C81">
      <w:pPr>
        <w:rPr>
          <w:rFonts w:ascii="Arial" w:eastAsia="Calibri" w:hAnsi="Arial" w:cs="Arial"/>
          <w:b/>
          <w:bCs/>
          <w:color w:val="000000" w:themeColor="text1"/>
          <w:sz w:val="22"/>
          <w:lang w:val="es-ES_tradnl"/>
        </w:rPr>
      </w:pPr>
      <w:r w:rsidRPr="00AD47C6">
        <w:rPr>
          <w:rFonts w:ascii="Arial" w:eastAsia="Calibri" w:hAnsi="Arial" w:cs="Arial"/>
          <w:b/>
          <w:bCs/>
          <w:color w:val="000000" w:themeColor="text1"/>
          <w:sz w:val="22"/>
          <w:lang w:val="es-ES_tradnl"/>
        </w:rPr>
        <w:t xml:space="preserve">                                            </w:t>
      </w:r>
      <w:r w:rsidR="00B95C30" w:rsidRPr="00AD47C6">
        <w:rPr>
          <w:rFonts w:ascii="Arial" w:eastAsia="Calibri" w:hAnsi="Arial" w:cs="Arial"/>
          <w:b/>
          <w:bCs/>
          <w:color w:val="000000" w:themeColor="text1"/>
          <w:sz w:val="22"/>
          <w:lang w:val="es-ES_tradnl"/>
        </w:rPr>
        <w:t xml:space="preserve">Concepto C ‒ </w:t>
      </w:r>
      <w:r w:rsidR="00800B4D" w:rsidRPr="00AD47C6">
        <w:rPr>
          <w:rFonts w:ascii="Arial" w:eastAsia="Calibri" w:hAnsi="Arial" w:cs="Arial"/>
          <w:b/>
          <w:bCs/>
          <w:color w:val="000000" w:themeColor="text1"/>
          <w:sz w:val="22"/>
          <w:lang w:val="es-ES_tradnl"/>
        </w:rPr>
        <w:t>246</w:t>
      </w:r>
      <w:r w:rsidR="001429DA" w:rsidRPr="00AD47C6">
        <w:rPr>
          <w:rFonts w:ascii="Arial" w:eastAsia="Calibri" w:hAnsi="Arial" w:cs="Arial"/>
          <w:b/>
          <w:bCs/>
          <w:color w:val="000000" w:themeColor="text1"/>
          <w:sz w:val="22"/>
          <w:lang w:val="es-ES_tradnl"/>
        </w:rPr>
        <w:t xml:space="preserve"> </w:t>
      </w:r>
      <w:r w:rsidR="00B95C30" w:rsidRPr="00AD47C6">
        <w:rPr>
          <w:rFonts w:ascii="Arial" w:eastAsia="Calibri" w:hAnsi="Arial" w:cs="Arial"/>
          <w:b/>
          <w:bCs/>
          <w:color w:val="000000" w:themeColor="text1"/>
          <w:sz w:val="22"/>
          <w:lang w:val="es-ES_tradnl"/>
        </w:rPr>
        <w:t>de 202</w:t>
      </w:r>
      <w:r w:rsidR="00A40781" w:rsidRPr="00AD47C6">
        <w:rPr>
          <w:rFonts w:ascii="Arial" w:eastAsia="Calibri" w:hAnsi="Arial" w:cs="Arial"/>
          <w:b/>
          <w:bCs/>
          <w:color w:val="000000" w:themeColor="text1"/>
          <w:sz w:val="22"/>
          <w:lang w:val="es-ES_tradnl"/>
        </w:rPr>
        <w:t>2</w:t>
      </w:r>
    </w:p>
    <w:p w14:paraId="1BD594F9" w14:textId="77777777" w:rsidR="00B95C30" w:rsidRPr="00AD47C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D47C6" w14:paraId="19DFC051" w14:textId="77777777" w:rsidTr="0015145A">
        <w:tc>
          <w:tcPr>
            <w:tcW w:w="2689" w:type="dxa"/>
          </w:tcPr>
          <w:p w14:paraId="6BC0D1AC" w14:textId="77777777" w:rsidR="00B95C30" w:rsidRPr="00AD47C6" w:rsidRDefault="00B95C30" w:rsidP="0015145A">
            <w:pPr>
              <w:jc w:val="both"/>
              <w:rPr>
                <w:rFonts w:ascii="Arial" w:eastAsia="Calibri" w:hAnsi="Arial" w:cs="Arial"/>
                <w:color w:val="000000" w:themeColor="text1"/>
                <w:sz w:val="22"/>
                <w:lang w:val="es-ES_tradnl"/>
              </w:rPr>
            </w:pPr>
            <w:r w:rsidRPr="00AD47C6">
              <w:rPr>
                <w:rFonts w:ascii="Arial" w:eastAsia="Calibri" w:hAnsi="Arial" w:cs="Arial"/>
                <w:b/>
                <w:color w:val="000000" w:themeColor="text1"/>
                <w:sz w:val="22"/>
                <w:lang w:val="es-ES_tradnl"/>
              </w:rPr>
              <w:t>Temas:</w:t>
            </w:r>
            <w:r w:rsidRPr="00AD47C6">
              <w:rPr>
                <w:rFonts w:ascii="Arial" w:eastAsia="Calibri" w:hAnsi="Arial" w:cs="Arial"/>
                <w:color w:val="000000" w:themeColor="text1"/>
                <w:sz w:val="22"/>
                <w:lang w:val="es-ES_tradnl"/>
              </w:rPr>
              <w:t xml:space="preserve">                                      </w:t>
            </w:r>
          </w:p>
        </w:tc>
        <w:tc>
          <w:tcPr>
            <w:tcW w:w="6237" w:type="dxa"/>
          </w:tcPr>
          <w:p w14:paraId="5F389CAF" w14:textId="604A2F7B" w:rsidR="00B95C30" w:rsidRPr="00AD47C6" w:rsidRDefault="002043FB" w:rsidP="0038512F">
            <w:pPr>
              <w:pStyle w:val="Sinespaciado"/>
              <w:jc w:val="both"/>
              <w:rPr>
                <w:rFonts w:ascii="Arial" w:hAnsi="Arial" w:cs="Arial"/>
                <w:bCs/>
                <w:sz w:val="22"/>
                <w:lang w:val="es-CO"/>
              </w:rPr>
            </w:pPr>
            <w:r w:rsidRPr="00AD47C6">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AD47C6">
              <w:rPr>
                <w:rFonts w:ascii="Arial" w:eastAsia="Calibri" w:hAnsi="Arial" w:cs="Arial"/>
                <w:bCs/>
                <w:sz w:val="22"/>
                <w:lang w:val="es-ES_tradnl"/>
              </w:rPr>
              <w:t xml:space="preserve">LEY DE GARANTÍAS ELECTORALES ─ Prohibición artículo 33 ‒ Contratación directa ‒ Alcance / </w:t>
            </w:r>
            <w:r w:rsidRPr="00AD47C6">
              <w:rPr>
                <w:rFonts w:ascii="Arial" w:hAnsi="Arial" w:cs="Arial"/>
                <w:bCs/>
                <w:sz w:val="22"/>
                <w:lang w:val="es-ES_tradnl" w:eastAsia="es-CO"/>
              </w:rPr>
              <w:t>LEY DE GARANTÍAS ELECTORALES ‒ Excepciones</w:t>
            </w:r>
            <w:r w:rsidRPr="00AD47C6">
              <w:rPr>
                <w:rFonts w:ascii="Arial" w:hAnsi="Arial" w:cs="Arial"/>
                <w:sz w:val="22"/>
                <w:lang w:val="es-ES_tradnl" w:eastAsia="es-CO"/>
              </w:rPr>
              <w:t xml:space="preserve"> / </w:t>
            </w:r>
            <w:r w:rsidRPr="00AD47C6">
              <w:rPr>
                <w:rFonts w:ascii="Arial" w:hAnsi="Arial" w:cs="Arial"/>
                <w:bCs/>
                <w:sz w:val="22"/>
                <w:lang w:val="es-ES_tradnl" w:eastAsia="es-CO"/>
              </w:rPr>
              <w:t xml:space="preserve">LEY DE GARANTÍAS ELECTORALES ‒ </w:t>
            </w:r>
            <w:r w:rsidRPr="00AD47C6">
              <w:rPr>
                <w:rFonts w:ascii="Arial" w:hAnsi="Arial" w:cs="Arial"/>
                <w:sz w:val="22"/>
                <w:lang w:val="es-ES_tradnl" w:eastAsia="es-CO"/>
              </w:rPr>
              <w:t xml:space="preserve">Prohibición del artículo 33 </w:t>
            </w:r>
            <w:r w:rsidRPr="00AD47C6">
              <w:rPr>
                <w:rFonts w:ascii="Arial" w:hAnsi="Arial" w:cs="Arial"/>
                <w:bCs/>
                <w:sz w:val="22"/>
                <w:lang w:val="es-ES_tradnl" w:eastAsia="es-CO"/>
              </w:rPr>
              <w:t>‒ Destinatarios</w:t>
            </w:r>
            <w:r w:rsidR="00987872" w:rsidRPr="00AD47C6">
              <w:rPr>
                <w:rFonts w:ascii="Arial" w:hAnsi="Arial" w:cs="Arial"/>
                <w:bCs/>
                <w:sz w:val="22"/>
                <w:lang w:val="es-ES_tradnl" w:eastAsia="es-CO"/>
              </w:rPr>
              <w:t xml:space="preserve"> / </w:t>
            </w:r>
            <w:r w:rsidR="00593C7A" w:rsidRPr="00AD47C6">
              <w:rPr>
                <w:rFonts w:ascii="Arial" w:hAnsi="Arial" w:cs="Arial"/>
                <w:bCs/>
                <w:sz w:val="22"/>
                <w:lang w:val="es-ES_tradnl" w:eastAsia="es-CO"/>
              </w:rPr>
              <w:t>ORGANISMOS INTERNACIONALES – Ley de garantías electorales – Restricción – Contratación Directa – Artículo 33 – Organismos internacionales – Alcance</w:t>
            </w:r>
          </w:p>
        </w:tc>
      </w:tr>
      <w:tr w:rsidR="00B95C30" w:rsidRPr="00AD47C6" w14:paraId="27CD52AB" w14:textId="77777777" w:rsidTr="0015145A">
        <w:tc>
          <w:tcPr>
            <w:tcW w:w="2689" w:type="dxa"/>
          </w:tcPr>
          <w:p w14:paraId="37E195A1" w14:textId="4C368209" w:rsidR="00B95C30" w:rsidRPr="00AD47C6" w:rsidRDefault="00B95C30" w:rsidP="0015145A">
            <w:pPr>
              <w:spacing w:before="120"/>
              <w:jc w:val="both"/>
              <w:rPr>
                <w:rFonts w:ascii="Arial" w:eastAsia="Calibri" w:hAnsi="Arial" w:cs="Arial"/>
                <w:b/>
                <w:color w:val="000000" w:themeColor="text1"/>
                <w:sz w:val="22"/>
                <w:lang w:val="es-ES_tradnl"/>
              </w:rPr>
            </w:pPr>
            <w:r w:rsidRPr="00AD47C6">
              <w:rPr>
                <w:rFonts w:ascii="Arial" w:eastAsia="Calibri" w:hAnsi="Arial" w:cs="Arial"/>
                <w:b/>
                <w:color w:val="000000" w:themeColor="text1"/>
                <w:sz w:val="22"/>
                <w:lang w:val="es-ES_tradnl"/>
              </w:rPr>
              <w:t>Radicación:</w:t>
            </w:r>
            <w:r w:rsidRPr="00AD47C6">
              <w:rPr>
                <w:rFonts w:ascii="Arial" w:eastAsia="Calibri" w:hAnsi="Arial" w:cs="Arial"/>
                <w:color w:val="000000" w:themeColor="text1"/>
                <w:sz w:val="22"/>
                <w:lang w:val="es-ES_tradnl"/>
              </w:rPr>
              <w:t xml:space="preserve">                              </w:t>
            </w:r>
          </w:p>
        </w:tc>
        <w:tc>
          <w:tcPr>
            <w:tcW w:w="6237" w:type="dxa"/>
          </w:tcPr>
          <w:p w14:paraId="09088B1B" w14:textId="6DD2A433" w:rsidR="00B95C30" w:rsidRPr="00AD47C6" w:rsidRDefault="00B95C30" w:rsidP="0015145A">
            <w:pPr>
              <w:spacing w:before="120"/>
              <w:jc w:val="both"/>
              <w:rPr>
                <w:rFonts w:ascii="Arial" w:eastAsia="Calibri" w:hAnsi="Arial" w:cs="Arial"/>
                <w:color w:val="000000" w:themeColor="text1"/>
                <w:sz w:val="22"/>
              </w:rPr>
            </w:pPr>
            <w:r w:rsidRPr="00AD47C6">
              <w:rPr>
                <w:rFonts w:ascii="Arial" w:eastAsia="Calibri" w:hAnsi="Arial" w:cs="Arial"/>
                <w:color w:val="000000" w:themeColor="text1"/>
                <w:sz w:val="22"/>
                <w:lang w:val="es-ES_tradnl"/>
              </w:rPr>
              <w:t>Respuesta a consulta</w:t>
            </w:r>
            <w:r w:rsidR="00680297" w:rsidRPr="00AD47C6">
              <w:rPr>
                <w:rFonts w:ascii="Arial" w:eastAsia="Calibri" w:hAnsi="Arial" w:cs="Arial"/>
                <w:color w:val="000000" w:themeColor="text1"/>
                <w:sz w:val="22"/>
                <w:lang w:val="es-ES_tradnl"/>
              </w:rPr>
              <w:t xml:space="preserve"> </w:t>
            </w:r>
            <w:r w:rsidRPr="00AD47C6">
              <w:rPr>
                <w:rFonts w:ascii="Arial" w:eastAsia="Calibri" w:hAnsi="Arial" w:cs="Arial"/>
                <w:color w:val="000000" w:themeColor="text1"/>
                <w:sz w:val="22"/>
                <w:lang w:val="es-ES_tradnl"/>
              </w:rPr>
              <w:t xml:space="preserve"># </w:t>
            </w:r>
            <w:r w:rsidR="00FD4343" w:rsidRPr="00AD47C6">
              <w:rPr>
                <w:rFonts w:ascii="Arial" w:eastAsia="Calibri" w:hAnsi="Arial" w:cs="Arial"/>
                <w:color w:val="000000" w:themeColor="text1"/>
                <w:sz w:val="22"/>
                <w:lang w:val="es-ES_tradnl"/>
              </w:rPr>
              <w:t>P20220315002583</w:t>
            </w:r>
            <w:r w:rsidR="00767AF9" w:rsidRPr="00AD47C6">
              <w:rPr>
                <w:rFonts w:ascii="Arial" w:eastAsia="Calibri" w:hAnsi="Arial" w:cs="Arial"/>
                <w:color w:val="000000" w:themeColor="text1"/>
                <w:sz w:val="22"/>
                <w:lang w:val="es-ES_tradnl"/>
              </w:rPr>
              <w:t>.</w:t>
            </w:r>
          </w:p>
        </w:tc>
      </w:tr>
    </w:tbl>
    <w:p w14:paraId="1BBCEF05" w14:textId="77777777" w:rsidR="008815D1" w:rsidRPr="00AD47C6" w:rsidRDefault="008815D1" w:rsidP="003C3339">
      <w:pPr>
        <w:jc w:val="both"/>
        <w:rPr>
          <w:rFonts w:ascii="Arial" w:eastAsia="Calibri" w:hAnsi="Arial" w:cs="Arial"/>
          <w:color w:val="000000" w:themeColor="text1"/>
          <w:sz w:val="22"/>
          <w:lang w:val="es-ES_tradnl"/>
        </w:rPr>
      </w:pPr>
    </w:p>
    <w:p w14:paraId="4F7A4DD4" w14:textId="77777777" w:rsidR="008815D1" w:rsidRPr="00AD47C6" w:rsidRDefault="008815D1" w:rsidP="003C3339">
      <w:pPr>
        <w:jc w:val="both"/>
        <w:rPr>
          <w:rFonts w:ascii="Arial" w:eastAsia="Calibri" w:hAnsi="Arial" w:cs="Arial"/>
          <w:color w:val="000000" w:themeColor="text1"/>
          <w:sz w:val="22"/>
          <w:lang w:val="es-ES_tradnl"/>
        </w:rPr>
      </w:pPr>
    </w:p>
    <w:p w14:paraId="40F93D15" w14:textId="652CFA0B" w:rsidR="003A74FC" w:rsidRPr="00AD47C6" w:rsidRDefault="003A74FC" w:rsidP="003A74FC">
      <w:pPr>
        <w:spacing w:before="12" w:line="276" w:lineRule="auto"/>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 xml:space="preserve">Estimada Doctora </w:t>
      </w:r>
      <w:r w:rsidR="0078022F" w:rsidRPr="00AD47C6">
        <w:rPr>
          <w:rFonts w:ascii="Arial" w:eastAsia="Calibri" w:hAnsi="Arial" w:cs="Arial"/>
          <w:color w:val="000000" w:themeColor="text1"/>
          <w:sz w:val="22"/>
          <w:lang w:val="es-ES_tradnl"/>
        </w:rPr>
        <w:t>Fernández</w:t>
      </w:r>
      <w:r w:rsidRPr="00AD47C6">
        <w:rPr>
          <w:rFonts w:ascii="Arial" w:eastAsia="Calibri" w:hAnsi="Arial" w:cs="Arial"/>
          <w:color w:val="000000" w:themeColor="text1"/>
          <w:sz w:val="22"/>
          <w:lang w:val="es-ES_tradnl"/>
        </w:rPr>
        <w:t>:</w:t>
      </w:r>
    </w:p>
    <w:p w14:paraId="1EAE5543" w14:textId="77777777" w:rsidR="00DD5B04" w:rsidRPr="00AD47C6" w:rsidRDefault="00DD5B04" w:rsidP="00DF76A2">
      <w:pPr>
        <w:jc w:val="both"/>
        <w:rPr>
          <w:rFonts w:ascii="Arial" w:eastAsia="Calibri" w:hAnsi="Arial" w:cs="Arial"/>
          <w:color w:val="000000" w:themeColor="text1"/>
          <w:sz w:val="22"/>
          <w:lang w:val="es-ES_tradnl"/>
        </w:rPr>
      </w:pPr>
    </w:p>
    <w:p w14:paraId="2109B2D3" w14:textId="2DA0A57B" w:rsidR="00DD5B04" w:rsidRPr="00AD47C6" w:rsidRDefault="00DD5B04" w:rsidP="00DF76A2">
      <w:pPr>
        <w:spacing w:line="276" w:lineRule="auto"/>
        <w:jc w:val="both"/>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D47C6">
        <w:rPr>
          <w:rFonts w:ascii="Arial" w:eastAsia="Calibri" w:hAnsi="Arial" w:cs="Arial"/>
          <w:color w:val="000000" w:themeColor="text1"/>
          <w:sz w:val="22"/>
          <w:lang w:val="es-ES_tradnl"/>
        </w:rPr>
        <w:t xml:space="preserve"> </w:t>
      </w:r>
      <w:r w:rsidRPr="00AD47C6">
        <w:rPr>
          <w:rFonts w:ascii="Arial" w:eastAsia="Calibri" w:hAnsi="Arial" w:cs="Arial"/>
          <w:color w:val="000000" w:themeColor="text1"/>
          <w:sz w:val="22"/>
          <w:lang w:val="es-ES_tradnl"/>
        </w:rPr>
        <w:t xml:space="preserve">responde su consulta del </w:t>
      </w:r>
      <w:r w:rsidR="0078022F" w:rsidRPr="00AD47C6">
        <w:rPr>
          <w:rFonts w:ascii="Arial" w:eastAsia="Calibri" w:hAnsi="Arial" w:cs="Arial"/>
          <w:color w:val="000000" w:themeColor="text1"/>
          <w:sz w:val="22"/>
          <w:lang w:val="es-ES_tradnl"/>
        </w:rPr>
        <w:t>15</w:t>
      </w:r>
      <w:r w:rsidR="00FD4AF3" w:rsidRPr="00AD47C6">
        <w:rPr>
          <w:rFonts w:ascii="Arial" w:eastAsia="Calibri" w:hAnsi="Arial" w:cs="Arial"/>
          <w:color w:val="000000" w:themeColor="text1"/>
          <w:sz w:val="22"/>
          <w:lang w:val="es-ES_tradnl"/>
        </w:rPr>
        <w:t xml:space="preserve"> de </w:t>
      </w:r>
      <w:r w:rsidR="00DF7420" w:rsidRPr="00AD47C6">
        <w:rPr>
          <w:rFonts w:ascii="Arial" w:eastAsia="Calibri" w:hAnsi="Arial" w:cs="Arial"/>
          <w:color w:val="000000" w:themeColor="text1"/>
          <w:sz w:val="22"/>
          <w:lang w:val="es-ES_tradnl"/>
        </w:rPr>
        <w:t>marzo</w:t>
      </w:r>
      <w:r w:rsidRPr="00AD47C6">
        <w:rPr>
          <w:rFonts w:ascii="Arial" w:eastAsia="Calibri" w:hAnsi="Arial" w:cs="Arial"/>
          <w:color w:val="000000" w:themeColor="text1"/>
          <w:sz w:val="22"/>
          <w:lang w:val="es-ES_tradnl"/>
        </w:rPr>
        <w:t xml:space="preserve"> del</w:t>
      </w:r>
      <w:r w:rsidR="007E74BF" w:rsidRPr="00AD47C6">
        <w:rPr>
          <w:rFonts w:ascii="Arial" w:eastAsia="Calibri" w:hAnsi="Arial" w:cs="Arial"/>
          <w:color w:val="000000" w:themeColor="text1"/>
          <w:sz w:val="22"/>
          <w:lang w:val="es-ES_tradnl"/>
        </w:rPr>
        <w:t xml:space="preserve"> </w:t>
      </w:r>
      <w:r w:rsidRPr="00AD47C6">
        <w:rPr>
          <w:rFonts w:ascii="Arial" w:eastAsia="Calibri" w:hAnsi="Arial" w:cs="Arial"/>
          <w:color w:val="000000" w:themeColor="text1"/>
          <w:sz w:val="22"/>
          <w:lang w:val="es-ES_tradnl"/>
        </w:rPr>
        <w:t>202</w:t>
      </w:r>
      <w:r w:rsidR="00FF5DBF" w:rsidRPr="00AD47C6">
        <w:rPr>
          <w:rFonts w:ascii="Arial" w:eastAsia="Calibri" w:hAnsi="Arial" w:cs="Arial"/>
          <w:color w:val="000000" w:themeColor="text1"/>
          <w:sz w:val="22"/>
          <w:lang w:val="es-ES_tradnl"/>
        </w:rPr>
        <w:t>2</w:t>
      </w:r>
      <w:r w:rsidR="008C3C57" w:rsidRPr="00AD47C6">
        <w:rPr>
          <w:rFonts w:ascii="Arial" w:eastAsia="Calibri" w:hAnsi="Arial" w:cs="Arial"/>
          <w:color w:val="000000" w:themeColor="text1"/>
          <w:sz w:val="22"/>
          <w:lang w:val="es-ES_tradnl"/>
        </w:rPr>
        <w:t>.</w:t>
      </w:r>
    </w:p>
    <w:p w14:paraId="0C1E0712" w14:textId="77777777" w:rsidR="00DD5B04" w:rsidRPr="00AD47C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D47C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D47C6">
        <w:rPr>
          <w:rFonts w:ascii="Arial" w:eastAsia="Calibri" w:hAnsi="Arial" w:cs="Arial"/>
          <w:b/>
          <w:color w:val="000000" w:themeColor="text1"/>
          <w:sz w:val="22"/>
          <w:lang w:val="es-ES_tradnl"/>
        </w:rPr>
        <w:t xml:space="preserve">Problema planteado </w:t>
      </w:r>
    </w:p>
    <w:p w14:paraId="224B43D3" w14:textId="77777777" w:rsidR="00DD5B04" w:rsidRPr="00AD47C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0D982D65" w:rsidR="00443B55" w:rsidRPr="00AD47C6" w:rsidRDefault="00DD5B04" w:rsidP="0099583D">
      <w:pPr>
        <w:spacing w:line="276" w:lineRule="auto"/>
        <w:jc w:val="both"/>
        <w:rPr>
          <w:rFonts w:ascii="Arial" w:hAnsi="Arial" w:cs="Arial"/>
          <w:color w:val="000000" w:themeColor="text1"/>
          <w:sz w:val="22"/>
          <w:lang w:val="es-ES_tradnl"/>
        </w:rPr>
      </w:pPr>
      <w:r w:rsidRPr="00AD47C6">
        <w:rPr>
          <w:rFonts w:ascii="Arial" w:hAnsi="Arial" w:cs="Arial"/>
          <w:color w:val="000000" w:themeColor="text1"/>
          <w:sz w:val="22"/>
          <w:lang w:val="es-ES_tradnl"/>
        </w:rPr>
        <w:t xml:space="preserve">Usted </w:t>
      </w:r>
      <w:r w:rsidR="00937969" w:rsidRPr="00AD47C6">
        <w:rPr>
          <w:rFonts w:ascii="Arial" w:hAnsi="Arial" w:cs="Arial"/>
          <w:color w:val="000000" w:themeColor="text1"/>
          <w:sz w:val="22"/>
          <w:lang w:val="es-ES_tradnl"/>
        </w:rPr>
        <w:t xml:space="preserve">realiza </w:t>
      </w:r>
      <w:r w:rsidR="006D46A3" w:rsidRPr="00AD47C6">
        <w:rPr>
          <w:rFonts w:ascii="Arial" w:hAnsi="Arial" w:cs="Arial"/>
          <w:color w:val="000000" w:themeColor="text1"/>
          <w:sz w:val="22"/>
          <w:lang w:val="es-ES_tradnl"/>
        </w:rPr>
        <w:t xml:space="preserve">la siguiente </w:t>
      </w:r>
      <w:r w:rsidR="00B46915" w:rsidRPr="00AD47C6">
        <w:rPr>
          <w:rFonts w:ascii="Arial" w:hAnsi="Arial" w:cs="Arial"/>
          <w:color w:val="000000" w:themeColor="text1"/>
          <w:sz w:val="22"/>
          <w:lang w:val="es-ES_tradnl"/>
        </w:rPr>
        <w:t>consulta</w:t>
      </w:r>
      <w:r w:rsidR="00B422C0" w:rsidRPr="00AD47C6">
        <w:rPr>
          <w:rFonts w:ascii="Arial" w:hAnsi="Arial" w:cs="Arial"/>
          <w:color w:val="000000" w:themeColor="text1"/>
          <w:sz w:val="22"/>
          <w:lang w:val="es-ES_tradnl"/>
        </w:rPr>
        <w:t>:</w:t>
      </w:r>
      <w:r w:rsidR="007E18DF" w:rsidRPr="00AD47C6">
        <w:rPr>
          <w:rFonts w:ascii="Arial" w:hAnsi="Arial" w:cs="Arial"/>
          <w:color w:val="000000" w:themeColor="text1"/>
          <w:sz w:val="22"/>
          <w:lang w:val="es-ES_tradnl"/>
        </w:rPr>
        <w:t xml:space="preserve"> </w:t>
      </w:r>
    </w:p>
    <w:p w14:paraId="559EE20C" w14:textId="77777777" w:rsidR="00443B55" w:rsidRPr="00AD47C6" w:rsidRDefault="00443B55" w:rsidP="00E965BC">
      <w:pPr>
        <w:jc w:val="both"/>
        <w:rPr>
          <w:rFonts w:ascii="Arial" w:hAnsi="Arial" w:cs="Arial"/>
          <w:color w:val="000000" w:themeColor="text1"/>
          <w:sz w:val="22"/>
          <w:lang w:val="es-ES_tradnl"/>
        </w:rPr>
      </w:pPr>
    </w:p>
    <w:p w14:paraId="5DF3862D" w14:textId="5021E61E" w:rsidR="00A77879" w:rsidRPr="00AD47C6" w:rsidRDefault="00F40FD8" w:rsidP="00AD47C6">
      <w:pPr>
        <w:spacing w:after="120"/>
        <w:ind w:left="709" w:right="709"/>
        <w:jc w:val="both"/>
        <w:rPr>
          <w:rFonts w:ascii="Arial" w:hAnsi="Arial" w:cs="Arial"/>
          <w:color w:val="000000" w:themeColor="text1"/>
          <w:sz w:val="21"/>
          <w:szCs w:val="21"/>
          <w:lang w:val="es-ES_tradnl"/>
        </w:rPr>
      </w:pPr>
      <w:r w:rsidRPr="00AD47C6">
        <w:rPr>
          <w:rFonts w:ascii="Arial" w:hAnsi="Arial" w:cs="Arial"/>
          <w:color w:val="000000" w:themeColor="text1"/>
          <w:sz w:val="21"/>
          <w:szCs w:val="21"/>
          <w:lang w:val="es-ES_tradnl"/>
        </w:rPr>
        <w:t>«</w:t>
      </w:r>
      <w:r w:rsidR="00F44F44" w:rsidRPr="00AD47C6">
        <w:rPr>
          <w:rFonts w:ascii="Arial" w:hAnsi="Arial" w:cs="Arial"/>
          <w:color w:val="000000" w:themeColor="text1"/>
          <w:sz w:val="21"/>
          <w:szCs w:val="21"/>
          <w:lang w:val="es-ES_tradnl"/>
        </w:rPr>
        <w:t>¿</w:t>
      </w:r>
      <w:r w:rsidR="005A11F8" w:rsidRPr="00AD47C6">
        <w:rPr>
          <w:rFonts w:ascii="Arial" w:hAnsi="Arial" w:cs="Arial"/>
          <w:color w:val="000000" w:themeColor="text1"/>
          <w:sz w:val="21"/>
          <w:szCs w:val="21"/>
          <w:lang w:val="es-ES_tradnl"/>
        </w:rPr>
        <w:t>Cuál es el alcance de la prohibición contenida en el artículo 33 de la Ley 996 de 2005</w:t>
      </w:r>
      <w:r w:rsidR="00F44F44" w:rsidRPr="00AD47C6">
        <w:rPr>
          <w:rFonts w:ascii="Arial" w:hAnsi="Arial" w:cs="Arial"/>
          <w:color w:val="000000" w:themeColor="text1"/>
          <w:sz w:val="21"/>
          <w:szCs w:val="21"/>
          <w:lang w:val="es-ES_tradnl"/>
        </w:rPr>
        <w:t>, respecto del régimen de contratación excepcional contemplado en el artículo 20 de la Ley 1150 de 2007?</w:t>
      </w:r>
    </w:p>
    <w:p w14:paraId="25FB7975" w14:textId="0B1DC2A4" w:rsidR="00B73525" w:rsidRPr="00AD47C6" w:rsidRDefault="00537EA2" w:rsidP="00AD47C6">
      <w:pPr>
        <w:spacing w:after="120"/>
        <w:ind w:left="709" w:right="709"/>
        <w:jc w:val="both"/>
        <w:rPr>
          <w:rFonts w:ascii="Arial" w:hAnsi="Arial" w:cs="Arial"/>
          <w:color w:val="000000" w:themeColor="text1"/>
          <w:sz w:val="21"/>
          <w:szCs w:val="21"/>
          <w:lang w:val="es-ES_tradnl"/>
        </w:rPr>
      </w:pPr>
      <w:proofErr w:type="gramStart"/>
      <w:r w:rsidRPr="00AD47C6">
        <w:rPr>
          <w:rFonts w:ascii="Arial" w:hAnsi="Arial" w:cs="Arial"/>
          <w:color w:val="000000" w:themeColor="text1"/>
          <w:sz w:val="21"/>
          <w:szCs w:val="21"/>
          <w:lang w:val="es-ES_tradnl"/>
        </w:rPr>
        <w:lastRenderedPageBreak/>
        <w:t>»</w:t>
      </w:r>
      <w:r w:rsidR="00A77879" w:rsidRPr="00AD47C6">
        <w:rPr>
          <w:rFonts w:ascii="Arial" w:hAnsi="Arial" w:cs="Arial"/>
          <w:color w:val="000000" w:themeColor="text1"/>
          <w:sz w:val="21"/>
          <w:szCs w:val="21"/>
          <w:lang w:val="es-ES_tradnl"/>
        </w:rPr>
        <w:t>En</w:t>
      </w:r>
      <w:proofErr w:type="gramEnd"/>
      <w:r w:rsidR="00A77879" w:rsidRPr="00AD47C6">
        <w:rPr>
          <w:rFonts w:ascii="Arial" w:hAnsi="Arial" w:cs="Arial"/>
          <w:color w:val="000000" w:themeColor="text1"/>
          <w:sz w:val="21"/>
          <w:szCs w:val="21"/>
          <w:lang w:val="es-ES_tradnl"/>
        </w:rPr>
        <w:t xml:space="preserve"> otras palabras, ¿la prohibición de contratación directa establecido en la </w:t>
      </w:r>
      <w:r w:rsidR="00C86C93" w:rsidRPr="00AD47C6">
        <w:rPr>
          <w:rFonts w:ascii="Arial" w:hAnsi="Arial" w:cs="Arial"/>
          <w:color w:val="000000" w:themeColor="text1"/>
          <w:sz w:val="21"/>
          <w:szCs w:val="21"/>
          <w:lang w:val="es-ES_tradnl"/>
        </w:rPr>
        <w:t>“Ley de Garantías Electorales” resulta aplicable a la contratación sometida a los reglamentos de los organismos</w:t>
      </w:r>
      <w:r w:rsidR="00665DF9" w:rsidRPr="00AD47C6">
        <w:rPr>
          <w:rFonts w:ascii="Arial" w:hAnsi="Arial" w:cs="Arial"/>
          <w:color w:val="000000" w:themeColor="text1"/>
          <w:sz w:val="21"/>
          <w:szCs w:val="21"/>
          <w:lang w:val="es-ES_tradnl"/>
        </w:rPr>
        <w:t xml:space="preserve"> de cooperación, asistencia o ayuda internacional, en otros</w:t>
      </w:r>
      <w:r w:rsidR="0039514F" w:rsidRPr="00AD47C6">
        <w:rPr>
          <w:rFonts w:ascii="Arial" w:hAnsi="Arial" w:cs="Arial"/>
          <w:color w:val="000000" w:themeColor="text1"/>
          <w:sz w:val="21"/>
          <w:szCs w:val="21"/>
          <w:lang w:val="es-ES_tradnl"/>
        </w:rPr>
        <w:t>,</w:t>
      </w:r>
      <w:r w:rsidR="00665DF9" w:rsidRPr="00AD47C6">
        <w:rPr>
          <w:rFonts w:ascii="Arial" w:hAnsi="Arial" w:cs="Arial"/>
          <w:color w:val="000000" w:themeColor="text1"/>
          <w:sz w:val="21"/>
          <w:szCs w:val="21"/>
          <w:lang w:val="es-ES_tradnl"/>
        </w:rPr>
        <w:t xml:space="preserve"> (sic)</w:t>
      </w:r>
      <w:r w:rsidR="0039514F" w:rsidRPr="00AD47C6">
        <w:rPr>
          <w:rFonts w:ascii="Arial" w:hAnsi="Arial" w:cs="Arial"/>
          <w:color w:val="000000" w:themeColor="text1"/>
          <w:sz w:val="21"/>
          <w:szCs w:val="21"/>
          <w:lang w:val="es-ES_tradnl"/>
        </w:rPr>
        <w:t xml:space="preserve"> </w:t>
      </w:r>
      <w:r w:rsidR="00665DF9" w:rsidRPr="00AD47C6">
        <w:rPr>
          <w:rFonts w:ascii="Arial" w:hAnsi="Arial" w:cs="Arial"/>
          <w:color w:val="000000" w:themeColor="text1"/>
          <w:sz w:val="21"/>
          <w:szCs w:val="21"/>
          <w:lang w:val="es-ES_tradnl"/>
        </w:rPr>
        <w:t>los reglamentos</w:t>
      </w:r>
      <w:r w:rsidR="0039514F" w:rsidRPr="00AD47C6">
        <w:rPr>
          <w:rFonts w:ascii="Arial" w:hAnsi="Arial" w:cs="Arial"/>
          <w:color w:val="000000" w:themeColor="text1"/>
          <w:sz w:val="21"/>
          <w:szCs w:val="21"/>
          <w:lang w:val="es-ES_tradnl"/>
        </w:rPr>
        <w:t xml:space="preserve"> de la banca mu</w:t>
      </w:r>
      <w:r w:rsidR="003661AF" w:rsidRPr="00AD47C6">
        <w:rPr>
          <w:rFonts w:ascii="Arial" w:hAnsi="Arial" w:cs="Arial"/>
          <w:color w:val="000000" w:themeColor="text1"/>
          <w:sz w:val="21"/>
          <w:szCs w:val="21"/>
          <w:lang w:val="es-ES_tradnl"/>
        </w:rPr>
        <w:t>l</w:t>
      </w:r>
      <w:r w:rsidR="0039514F" w:rsidRPr="00AD47C6">
        <w:rPr>
          <w:rFonts w:ascii="Arial" w:hAnsi="Arial" w:cs="Arial"/>
          <w:color w:val="000000" w:themeColor="text1"/>
          <w:sz w:val="21"/>
          <w:szCs w:val="21"/>
          <w:lang w:val="es-ES_tradnl"/>
        </w:rPr>
        <w:t>tilateral?</w:t>
      </w:r>
    </w:p>
    <w:p w14:paraId="6FFFA01A" w14:textId="1CBE0FA8" w:rsidR="004A6334" w:rsidRPr="00AD47C6" w:rsidRDefault="00537EA2" w:rsidP="00972490">
      <w:pPr>
        <w:ind w:left="709" w:right="709"/>
        <w:jc w:val="both"/>
        <w:rPr>
          <w:rFonts w:ascii="Arial" w:hAnsi="Arial" w:cs="Arial"/>
          <w:color w:val="000000" w:themeColor="text1"/>
          <w:sz w:val="21"/>
          <w:szCs w:val="21"/>
          <w:lang w:val="es-ES_tradnl"/>
        </w:rPr>
      </w:pPr>
      <w:proofErr w:type="gramStart"/>
      <w:r w:rsidRPr="00AD47C6">
        <w:rPr>
          <w:rFonts w:ascii="Arial" w:hAnsi="Arial" w:cs="Arial"/>
          <w:color w:val="000000" w:themeColor="text1"/>
          <w:sz w:val="21"/>
          <w:szCs w:val="21"/>
          <w:lang w:val="es-ES_tradnl"/>
        </w:rPr>
        <w:t>»</w:t>
      </w:r>
      <w:r w:rsidR="00B73525" w:rsidRPr="00AD47C6">
        <w:rPr>
          <w:rFonts w:ascii="Arial" w:hAnsi="Arial" w:cs="Arial"/>
          <w:color w:val="000000" w:themeColor="text1"/>
          <w:sz w:val="21"/>
          <w:szCs w:val="21"/>
          <w:lang w:val="es-ES_tradnl"/>
        </w:rPr>
        <w:t>Vale</w:t>
      </w:r>
      <w:proofErr w:type="gramEnd"/>
      <w:r w:rsidR="00B73525" w:rsidRPr="00AD47C6">
        <w:rPr>
          <w:rFonts w:ascii="Arial" w:hAnsi="Arial" w:cs="Arial"/>
          <w:color w:val="000000" w:themeColor="text1"/>
          <w:sz w:val="21"/>
          <w:szCs w:val="21"/>
          <w:lang w:val="es-ES_tradnl"/>
        </w:rPr>
        <w:t xml:space="preserve"> la pena señalar que, Colombia Compra Eficiente se pronunció sobre la materia objeto de consulta en los conceptos C-296 y C-559, ambos de 2021. No obstante, </w:t>
      </w:r>
      <w:r w:rsidR="003C3F06" w:rsidRPr="00AD47C6">
        <w:rPr>
          <w:rFonts w:ascii="Arial" w:hAnsi="Arial" w:cs="Arial"/>
          <w:color w:val="000000" w:themeColor="text1"/>
          <w:sz w:val="21"/>
          <w:szCs w:val="21"/>
          <w:lang w:val="es-ES_tradnl"/>
        </w:rPr>
        <w:t>en el concepto C-296 se afirmó que la prohibición del artículo 33 de la Ley 996 se extiende al régimen de contratación contemplado en el artículo 20 de la Ley 1150 de 2007</w:t>
      </w:r>
      <w:r w:rsidR="00876C0C" w:rsidRPr="00AD47C6">
        <w:rPr>
          <w:rFonts w:ascii="Arial" w:hAnsi="Arial" w:cs="Arial"/>
          <w:color w:val="000000" w:themeColor="text1"/>
          <w:sz w:val="21"/>
          <w:szCs w:val="21"/>
          <w:lang w:val="es-ES_tradnl"/>
        </w:rPr>
        <w:t>. Mientras que en el concepto C-559 se afirmó que la mencionada prohibición no se extiende al régimen de contratación establecido en el artículo 20</w:t>
      </w:r>
      <w:r w:rsidR="00192DF7" w:rsidRPr="00AD47C6">
        <w:rPr>
          <w:rFonts w:ascii="Arial" w:hAnsi="Arial" w:cs="Arial"/>
          <w:color w:val="000000" w:themeColor="text1"/>
          <w:sz w:val="21"/>
          <w:szCs w:val="21"/>
          <w:lang w:val="es-ES_tradnl"/>
        </w:rPr>
        <w:t>»</w:t>
      </w:r>
      <w:r w:rsidR="0063143E" w:rsidRPr="00AD47C6">
        <w:rPr>
          <w:rFonts w:ascii="Arial" w:hAnsi="Arial" w:cs="Arial"/>
          <w:color w:val="000000" w:themeColor="text1"/>
          <w:sz w:val="21"/>
          <w:szCs w:val="21"/>
          <w:lang w:val="es-ES_tradnl"/>
        </w:rPr>
        <w:t>.</w:t>
      </w:r>
    </w:p>
    <w:p w14:paraId="45F2BEC6" w14:textId="77777777" w:rsidR="00A62DB2" w:rsidRPr="00AD47C6" w:rsidRDefault="00A62DB2" w:rsidP="00AD47C6">
      <w:pPr>
        <w:spacing w:line="276" w:lineRule="auto"/>
        <w:jc w:val="both"/>
        <w:rPr>
          <w:rFonts w:ascii="Arial" w:hAnsi="Arial" w:cs="Arial"/>
          <w:color w:val="000000" w:themeColor="text1"/>
          <w:sz w:val="22"/>
          <w:lang w:val="es-ES_tradnl"/>
        </w:rPr>
      </w:pPr>
    </w:p>
    <w:p w14:paraId="4E86570E" w14:textId="77777777" w:rsidR="000A0DF7" w:rsidRPr="00AD47C6"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D47C6">
        <w:rPr>
          <w:rFonts w:ascii="Arial" w:eastAsia="Calibri" w:hAnsi="Arial" w:cs="Arial"/>
          <w:b/>
          <w:color w:val="000000" w:themeColor="text1"/>
          <w:sz w:val="22"/>
          <w:lang w:val="es-ES_tradnl"/>
        </w:rPr>
        <w:t>Consideraciones</w:t>
      </w:r>
    </w:p>
    <w:p w14:paraId="7B1C37D1" w14:textId="77777777" w:rsidR="00AF09A9" w:rsidRPr="00AD47C6" w:rsidRDefault="00AF09A9" w:rsidP="00AF09A9">
      <w:pPr>
        <w:spacing w:line="276" w:lineRule="auto"/>
        <w:jc w:val="both"/>
        <w:rPr>
          <w:rFonts w:ascii="Arial" w:eastAsia="Calibri" w:hAnsi="Arial" w:cs="Arial"/>
          <w:color w:val="000000" w:themeColor="text1"/>
          <w:sz w:val="22"/>
          <w:lang w:val="es-ES_tradnl"/>
        </w:rPr>
      </w:pPr>
    </w:p>
    <w:p w14:paraId="319747B7" w14:textId="0C0692C3" w:rsidR="00597B2F" w:rsidRPr="00AD47C6" w:rsidRDefault="00937969" w:rsidP="00AF09A9">
      <w:pPr>
        <w:spacing w:line="276" w:lineRule="auto"/>
        <w:jc w:val="both"/>
        <w:rPr>
          <w:rFonts w:ascii="Arial" w:eastAsia="Calibri" w:hAnsi="Arial" w:cs="Arial"/>
          <w:color w:val="000000" w:themeColor="text1"/>
          <w:sz w:val="22"/>
          <w:lang w:val="es-ES_tradnl"/>
        </w:rPr>
      </w:pPr>
      <w:r w:rsidRPr="00AD47C6">
        <w:rPr>
          <w:rFonts w:ascii="Arial" w:eastAsia="Calibri" w:hAnsi="Arial" w:cs="Arial"/>
          <w:color w:val="000000" w:themeColor="text1"/>
          <w:sz w:val="22"/>
          <w:lang w:val="es-ES_tradnl"/>
        </w:rPr>
        <w:t>Teniendo en cuenta</w:t>
      </w:r>
      <w:r w:rsidR="0090648C" w:rsidRPr="00AD47C6">
        <w:rPr>
          <w:rFonts w:ascii="Arial" w:eastAsia="Calibri" w:hAnsi="Arial" w:cs="Arial"/>
          <w:color w:val="000000" w:themeColor="text1"/>
          <w:sz w:val="22"/>
          <w:lang w:val="es-ES_tradnl"/>
        </w:rPr>
        <w:t xml:space="preserve"> que la consulta se relaciona con la aplicación de la Ley 996 de 2005 y que sobre este tema la Agencia Nacional de Contratación Pública – Colombia Compra Eficiente ha desarrollado una completa línea conceptual, consideramos oportuno reiterar la tesis sostenida en tales conceptos, sobre la aplicación de las restricciones contenidas en dicha Ley a la celebración </w:t>
      </w:r>
      <w:r w:rsidR="0090648C" w:rsidRPr="00AD47C6">
        <w:rPr>
          <w:rFonts w:ascii="Arial" w:eastAsia="Calibri" w:hAnsi="Arial" w:cs="Arial"/>
          <w:i/>
          <w:iCs/>
          <w:color w:val="000000" w:themeColor="text1"/>
          <w:sz w:val="22"/>
          <w:lang w:val="es-ES_tradnl"/>
        </w:rPr>
        <w:t>directa</w:t>
      </w:r>
      <w:r w:rsidR="0090648C" w:rsidRPr="00AD47C6">
        <w:rPr>
          <w:rFonts w:ascii="Arial" w:eastAsia="Calibri" w:hAnsi="Arial" w:cs="Arial"/>
          <w:color w:val="000000" w:themeColor="text1"/>
          <w:sz w:val="22"/>
          <w:lang w:val="es-ES_tradnl"/>
        </w:rPr>
        <w:t xml:space="preserve"> de </w:t>
      </w:r>
      <w:r w:rsidR="00A02BB5" w:rsidRPr="00AD47C6">
        <w:rPr>
          <w:rFonts w:ascii="Arial" w:hAnsi="Arial" w:cs="Arial"/>
          <w:color w:val="000000" w:themeColor="text1"/>
          <w:sz w:val="21"/>
          <w:szCs w:val="21"/>
          <w:lang w:val="es-ES_tradnl"/>
        </w:rPr>
        <w:t>contratos con los organismos de cooperación, asistencia o ayuda internacional</w:t>
      </w:r>
      <w:r w:rsidR="0090648C" w:rsidRPr="00AD47C6">
        <w:rPr>
          <w:rFonts w:ascii="Arial" w:eastAsia="Calibri" w:hAnsi="Arial" w:cs="Arial"/>
          <w:color w:val="000000" w:themeColor="text1"/>
          <w:sz w:val="22"/>
          <w:lang w:val="es-ES_tradnl"/>
        </w:rPr>
        <w:t>. Esto en la medida en que la Ley de Garantías Electorales tiene una aplicación transversal, que no distingue el régimen jurídico contractual</w:t>
      </w:r>
      <w:r w:rsidR="00D57907" w:rsidRPr="00AD47C6">
        <w:rPr>
          <w:rFonts w:ascii="Arial" w:eastAsia="Calibri" w:hAnsi="Arial" w:cs="Arial"/>
          <w:color w:val="000000" w:themeColor="text1"/>
          <w:sz w:val="22"/>
          <w:lang w:val="es-ES_tradnl"/>
        </w:rPr>
        <w:t>. A</w:t>
      </w:r>
      <w:r w:rsidR="00DB23BE" w:rsidRPr="00AD47C6">
        <w:rPr>
          <w:rFonts w:ascii="Arial" w:eastAsia="Calibri" w:hAnsi="Arial" w:cs="Arial"/>
          <w:color w:val="000000" w:themeColor="text1"/>
          <w:sz w:val="22"/>
          <w:lang w:val="es-ES_tradnl"/>
        </w:rPr>
        <w:t xml:space="preserve">demás, es una Ley estatutaria, </w:t>
      </w:r>
      <w:r w:rsidR="00D57907" w:rsidRPr="00AD47C6">
        <w:rPr>
          <w:rFonts w:ascii="Arial" w:eastAsia="Calibri" w:hAnsi="Arial" w:cs="Arial"/>
          <w:color w:val="000000" w:themeColor="text1"/>
          <w:sz w:val="22"/>
          <w:lang w:val="es-ES_tradnl"/>
        </w:rPr>
        <w:t>por lo que</w:t>
      </w:r>
      <w:r w:rsidR="00DB23BE" w:rsidRPr="00AD47C6">
        <w:rPr>
          <w:rFonts w:ascii="Arial" w:eastAsia="Calibri" w:hAnsi="Arial" w:cs="Arial"/>
          <w:color w:val="000000" w:themeColor="text1"/>
          <w:sz w:val="22"/>
          <w:lang w:val="es-ES_tradnl"/>
        </w:rPr>
        <w:t xml:space="preserve"> goza de jerarquía normativa</w:t>
      </w:r>
      <w:r w:rsidR="00D15CC9" w:rsidRPr="00AD47C6">
        <w:rPr>
          <w:rFonts w:ascii="Arial" w:eastAsia="Calibri" w:hAnsi="Arial" w:cs="Arial"/>
          <w:color w:val="000000" w:themeColor="text1"/>
          <w:sz w:val="22"/>
          <w:lang w:val="es-ES_tradnl"/>
        </w:rPr>
        <w:t xml:space="preserve"> superior</w:t>
      </w:r>
      <w:r w:rsidR="0090648C" w:rsidRPr="00AD47C6">
        <w:rPr>
          <w:rFonts w:ascii="Arial" w:eastAsia="Calibri" w:hAnsi="Arial" w:cs="Arial"/>
          <w:color w:val="000000" w:themeColor="text1"/>
          <w:sz w:val="22"/>
          <w:lang w:val="es-ES_tradnl"/>
        </w:rPr>
        <w:t>.</w:t>
      </w:r>
      <w:r w:rsidR="00264676" w:rsidRPr="00AD47C6">
        <w:rPr>
          <w:rFonts w:ascii="Arial" w:eastAsia="Calibri" w:hAnsi="Arial" w:cs="Arial"/>
          <w:color w:val="000000" w:themeColor="text1"/>
          <w:sz w:val="22"/>
          <w:lang w:val="es-ES_tradnl"/>
        </w:rPr>
        <w:t xml:space="preserve"> </w:t>
      </w:r>
      <w:r w:rsidR="00D57907" w:rsidRPr="00AD47C6">
        <w:rPr>
          <w:rFonts w:ascii="Arial" w:eastAsia="Calibri" w:hAnsi="Arial" w:cs="Arial"/>
          <w:color w:val="000000" w:themeColor="text1"/>
          <w:sz w:val="22"/>
          <w:lang w:val="es-ES_tradnl"/>
        </w:rPr>
        <w:t>En este contexto</w:t>
      </w:r>
      <w:r w:rsidR="0090648C" w:rsidRPr="00AD47C6">
        <w:rPr>
          <w:rFonts w:ascii="Arial" w:eastAsia="Calibri" w:hAnsi="Arial" w:cs="Arial"/>
          <w:color w:val="000000" w:themeColor="text1"/>
          <w:sz w:val="22"/>
          <w:lang w:val="es-ES_tradnl"/>
        </w:rPr>
        <w:t>, no puede aducirse que las prohibiciones que aquella consagra solo ri</w:t>
      </w:r>
      <w:r w:rsidR="00992DF9" w:rsidRPr="00AD47C6">
        <w:rPr>
          <w:rFonts w:ascii="Arial" w:eastAsia="Calibri" w:hAnsi="Arial" w:cs="Arial"/>
          <w:color w:val="000000" w:themeColor="text1"/>
          <w:sz w:val="22"/>
          <w:lang w:val="es-ES_tradnl"/>
        </w:rPr>
        <w:t>ge</w:t>
      </w:r>
      <w:r w:rsidR="0090648C" w:rsidRPr="00AD47C6">
        <w:rPr>
          <w:rFonts w:ascii="Arial" w:eastAsia="Calibri" w:hAnsi="Arial" w:cs="Arial"/>
          <w:color w:val="000000" w:themeColor="text1"/>
          <w:sz w:val="22"/>
          <w:lang w:val="es-ES_tradnl"/>
        </w:rPr>
        <w:t>n para la actividad contractual sujeta a las disposiciones normativas del Estatuto General de Contratación de la Administración Pública.</w:t>
      </w:r>
    </w:p>
    <w:p w14:paraId="0B1F1C1E" w14:textId="09A92BA6" w:rsidR="0090648C" w:rsidRPr="00AD47C6" w:rsidRDefault="00D15CC9" w:rsidP="00597B2F">
      <w:pPr>
        <w:spacing w:before="120" w:line="276" w:lineRule="auto"/>
        <w:ind w:firstLine="709"/>
        <w:jc w:val="both"/>
        <w:rPr>
          <w:rFonts w:ascii="Arial" w:eastAsia="Calibri" w:hAnsi="Arial" w:cs="Arial"/>
          <w:color w:val="000000" w:themeColor="text1"/>
          <w:sz w:val="22"/>
          <w:lang w:val="es-ES_tradnl"/>
        </w:rPr>
      </w:pPr>
      <w:r w:rsidRPr="00AD47C6">
        <w:rPr>
          <w:rFonts w:ascii="Arial" w:eastAsia="Calibri" w:hAnsi="Arial" w:cs="Arial"/>
          <w:color w:val="000000" w:themeColor="text1"/>
          <w:sz w:val="22"/>
          <w:szCs w:val="22"/>
          <w:lang w:val="es-ES_tradnl"/>
        </w:rPr>
        <w:t>Por ello, p</w:t>
      </w:r>
      <w:r w:rsidR="00AE534E" w:rsidRPr="00AD47C6">
        <w:rPr>
          <w:rFonts w:ascii="Arial" w:eastAsia="Calibri" w:hAnsi="Arial" w:cs="Arial"/>
          <w:color w:val="000000" w:themeColor="text1"/>
          <w:sz w:val="22"/>
          <w:szCs w:val="22"/>
          <w:lang w:val="es-ES_tradnl"/>
        </w:rPr>
        <w:t xml:space="preserve">ara responder </w:t>
      </w:r>
      <w:r w:rsidR="00992DF9" w:rsidRPr="00AD47C6">
        <w:rPr>
          <w:rFonts w:ascii="Arial" w:eastAsia="Calibri" w:hAnsi="Arial" w:cs="Arial"/>
          <w:color w:val="000000" w:themeColor="text1"/>
          <w:sz w:val="22"/>
          <w:szCs w:val="22"/>
          <w:lang w:val="es-ES_tradnl"/>
        </w:rPr>
        <w:t>su</w:t>
      </w:r>
      <w:r w:rsidR="00AE534E" w:rsidRPr="00AD47C6">
        <w:rPr>
          <w:rFonts w:ascii="Arial" w:eastAsia="Calibri" w:hAnsi="Arial" w:cs="Arial"/>
          <w:color w:val="000000" w:themeColor="text1"/>
          <w:sz w:val="22"/>
          <w:szCs w:val="22"/>
          <w:lang w:val="es-ES_tradnl"/>
        </w:rPr>
        <w:t xml:space="preserve"> consulta, </w:t>
      </w:r>
      <w:r w:rsidR="007A4947" w:rsidRPr="00AD47C6">
        <w:rPr>
          <w:rFonts w:ascii="Arial" w:eastAsia="Calibri" w:hAnsi="Arial" w:cs="Arial"/>
          <w:color w:val="000000" w:themeColor="text1"/>
          <w:sz w:val="22"/>
          <w:szCs w:val="22"/>
          <w:lang w:val="es-ES_tradnl"/>
        </w:rPr>
        <w:t>se analizarán</w:t>
      </w:r>
      <w:r w:rsidR="000A0DF7" w:rsidRPr="00AD47C6">
        <w:rPr>
          <w:rFonts w:ascii="Arial" w:eastAsia="Calibri" w:hAnsi="Arial" w:cs="Arial"/>
          <w:color w:val="000000" w:themeColor="text1"/>
          <w:sz w:val="22"/>
          <w:szCs w:val="22"/>
          <w:lang w:val="es-ES_tradnl"/>
        </w:rPr>
        <w:t xml:space="preserve"> los</w:t>
      </w:r>
      <w:r w:rsidR="00EF44A6" w:rsidRPr="00AD47C6">
        <w:rPr>
          <w:rFonts w:ascii="Arial" w:eastAsia="Calibri" w:hAnsi="Arial" w:cs="Arial"/>
          <w:color w:val="000000" w:themeColor="text1"/>
          <w:sz w:val="22"/>
          <w:szCs w:val="22"/>
          <w:lang w:val="es-ES_tradnl"/>
        </w:rPr>
        <w:t xml:space="preserve"> siguientes temas:</w:t>
      </w:r>
      <w:r w:rsidR="000A0DF7" w:rsidRPr="00AD47C6">
        <w:rPr>
          <w:rFonts w:ascii="Arial" w:eastAsia="Calibri" w:hAnsi="Arial" w:cs="Arial"/>
          <w:color w:val="000000" w:themeColor="text1"/>
          <w:sz w:val="22"/>
          <w:szCs w:val="22"/>
          <w:lang w:val="es-ES_tradnl"/>
        </w:rPr>
        <w:t xml:space="preserve"> </w:t>
      </w:r>
      <w:r w:rsidR="00EF44A6" w:rsidRPr="00AD47C6">
        <w:rPr>
          <w:rFonts w:ascii="Arial" w:eastAsia="Calibri" w:hAnsi="Arial" w:cs="Arial"/>
          <w:color w:val="000000" w:themeColor="text1"/>
          <w:sz w:val="22"/>
          <w:szCs w:val="22"/>
          <w:lang w:val="es-ES_tradnl"/>
        </w:rPr>
        <w:t xml:space="preserve">i) </w:t>
      </w:r>
      <w:r w:rsidR="00FC3830" w:rsidRPr="00AD47C6">
        <w:rPr>
          <w:rFonts w:ascii="Arial" w:eastAsia="Calibri" w:hAnsi="Arial" w:cs="Arial"/>
          <w:color w:val="000000" w:themeColor="text1"/>
          <w:sz w:val="22"/>
          <w:szCs w:val="22"/>
          <w:lang w:val="es-ES_tradnl"/>
        </w:rPr>
        <w:t xml:space="preserve">alcance de las </w:t>
      </w:r>
      <w:r w:rsidR="00EE2295" w:rsidRPr="00AD47C6">
        <w:rPr>
          <w:rFonts w:ascii="Arial" w:eastAsia="Calibri" w:hAnsi="Arial" w:cs="Arial"/>
          <w:color w:val="000000" w:themeColor="text1"/>
          <w:sz w:val="22"/>
          <w:szCs w:val="22"/>
          <w:lang w:val="es-ES_tradnl"/>
        </w:rPr>
        <w:t>restricciones establecidas en</w:t>
      </w:r>
      <w:r w:rsidR="008B1475" w:rsidRPr="00AD47C6">
        <w:rPr>
          <w:rFonts w:ascii="Arial" w:eastAsia="Calibri" w:hAnsi="Arial" w:cs="Arial"/>
          <w:color w:val="000000" w:themeColor="text1"/>
          <w:sz w:val="22"/>
          <w:szCs w:val="22"/>
          <w:lang w:val="es-ES_tradnl"/>
        </w:rPr>
        <w:t xml:space="preserve"> la Ley</w:t>
      </w:r>
      <w:r w:rsidR="00EE2295" w:rsidRPr="00AD47C6">
        <w:rPr>
          <w:rFonts w:ascii="Arial" w:eastAsia="Calibri" w:hAnsi="Arial" w:cs="Arial"/>
          <w:color w:val="000000" w:themeColor="text1"/>
          <w:sz w:val="22"/>
          <w:szCs w:val="22"/>
          <w:lang w:val="es-ES_tradnl"/>
        </w:rPr>
        <w:t xml:space="preserve"> 996 de 2005</w:t>
      </w:r>
      <w:r w:rsidR="008B1475" w:rsidRPr="00AD47C6">
        <w:rPr>
          <w:rFonts w:ascii="Arial" w:eastAsia="Calibri" w:hAnsi="Arial" w:cs="Arial"/>
          <w:color w:val="000000" w:themeColor="text1"/>
          <w:sz w:val="22"/>
          <w:szCs w:val="22"/>
          <w:lang w:val="es-ES_tradnl"/>
        </w:rPr>
        <w:t xml:space="preserve"> </w:t>
      </w:r>
      <w:r w:rsidR="00EE2295" w:rsidRPr="00AD47C6">
        <w:rPr>
          <w:rFonts w:ascii="Arial" w:eastAsia="Calibri" w:hAnsi="Arial" w:cs="Arial"/>
          <w:color w:val="000000" w:themeColor="text1"/>
          <w:sz w:val="22"/>
          <w:szCs w:val="22"/>
          <w:lang w:val="es-ES_tradnl"/>
        </w:rPr>
        <w:t xml:space="preserve">–más conocida </w:t>
      </w:r>
      <w:r w:rsidR="00025E0C" w:rsidRPr="00AD47C6">
        <w:rPr>
          <w:rFonts w:ascii="Arial" w:eastAsia="Calibri" w:hAnsi="Arial" w:cs="Arial"/>
          <w:color w:val="000000" w:themeColor="text1"/>
          <w:sz w:val="22"/>
          <w:szCs w:val="22"/>
          <w:lang w:val="es-ES_tradnl"/>
        </w:rPr>
        <w:t xml:space="preserve">como </w:t>
      </w:r>
      <w:r w:rsidR="002D57DB" w:rsidRPr="00AD47C6">
        <w:rPr>
          <w:rFonts w:ascii="Arial" w:eastAsia="Calibri" w:hAnsi="Arial" w:cs="Arial"/>
          <w:color w:val="000000" w:themeColor="text1"/>
          <w:sz w:val="22"/>
          <w:szCs w:val="22"/>
          <w:lang w:val="es-ES_tradnl"/>
        </w:rPr>
        <w:t>«</w:t>
      </w:r>
      <w:r w:rsidR="004A2A99" w:rsidRPr="00AD47C6">
        <w:rPr>
          <w:rFonts w:ascii="Arial" w:eastAsia="Calibri" w:hAnsi="Arial" w:cs="Arial"/>
          <w:color w:val="000000" w:themeColor="text1"/>
          <w:sz w:val="22"/>
          <w:szCs w:val="22"/>
          <w:lang w:val="es-ES_tradnl"/>
        </w:rPr>
        <w:t xml:space="preserve">Ley </w:t>
      </w:r>
      <w:r w:rsidR="008B1475" w:rsidRPr="00AD47C6">
        <w:rPr>
          <w:rFonts w:ascii="Arial" w:eastAsia="Calibri" w:hAnsi="Arial" w:cs="Arial"/>
          <w:color w:val="000000" w:themeColor="text1"/>
          <w:sz w:val="22"/>
          <w:szCs w:val="22"/>
          <w:lang w:val="es-ES_tradnl"/>
        </w:rPr>
        <w:t>de Garantías Electorales</w:t>
      </w:r>
      <w:r w:rsidR="002D57DB" w:rsidRPr="00AD47C6">
        <w:rPr>
          <w:rFonts w:ascii="Arial" w:eastAsia="Calibri" w:hAnsi="Arial" w:cs="Arial"/>
          <w:color w:val="000000" w:themeColor="text1"/>
          <w:sz w:val="22"/>
          <w:szCs w:val="22"/>
          <w:lang w:val="es-ES_tradnl"/>
        </w:rPr>
        <w:t>»</w:t>
      </w:r>
      <w:r w:rsidR="004A2A99" w:rsidRPr="00AD47C6">
        <w:rPr>
          <w:rFonts w:ascii="Arial" w:eastAsia="Calibri" w:hAnsi="Arial" w:cs="Arial"/>
          <w:color w:val="000000" w:themeColor="text1"/>
          <w:sz w:val="22"/>
          <w:szCs w:val="22"/>
          <w:lang w:val="es-ES_tradnl"/>
        </w:rPr>
        <w:t>–, ii)</w:t>
      </w:r>
      <w:r w:rsidR="00DD4EE3" w:rsidRPr="00AD47C6">
        <w:rPr>
          <w:rFonts w:ascii="Arial" w:eastAsia="Calibri" w:hAnsi="Arial" w:cs="Arial"/>
          <w:color w:val="000000" w:themeColor="text1"/>
          <w:sz w:val="22"/>
          <w:szCs w:val="22"/>
          <w:lang w:val="es-ES_tradnl"/>
        </w:rPr>
        <w:t xml:space="preserve"> </w:t>
      </w:r>
      <w:r w:rsidR="00A12DED" w:rsidRPr="00AD47C6">
        <w:rPr>
          <w:rFonts w:ascii="Arial" w:eastAsia="Calibri" w:hAnsi="Arial" w:cs="Arial"/>
          <w:color w:val="000000" w:themeColor="text1"/>
          <w:sz w:val="22"/>
          <w:szCs w:val="22"/>
          <w:lang w:val="es-ES_tradnl"/>
        </w:rPr>
        <w:t>restricciones especiales aplicables</w:t>
      </w:r>
      <w:r w:rsidR="001251F7" w:rsidRPr="00AD47C6">
        <w:rPr>
          <w:rFonts w:ascii="Arial" w:eastAsia="Calibri" w:hAnsi="Arial" w:cs="Arial"/>
          <w:color w:val="000000" w:themeColor="text1"/>
          <w:sz w:val="22"/>
          <w:szCs w:val="22"/>
          <w:lang w:val="es-ES_tradnl"/>
        </w:rPr>
        <w:t xml:space="preserve"> </w:t>
      </w:r>
      <w:r w:rsidR="009312BE" w:rsidRPr="00AD47C6">
        <w:rPr>
          <w:rFonts w:ascii="Arial" w:eastAsia="Calibri" w:hAnsi="Arial" w:cs="Arial"/>
          <w:color w:val="000000" w:themeColor="text1"/>
          <w:sz w:val="22"/>
          <w:szCs w:val="22"/>
          <w:lang w:val="es-ES_tradnl"/>
        </w:rPr>
        <w:t>de cara a</w:t>
      </w:r>
      <w:r w:rsidR="001251F7" w:rsidRPr="00AD47C6">
        <w:rPr>
          <w:rFonts w:ascii="Arial" w:eastAsia="Calibri" w:hAnsi="Arial" w:cs="Arial"/>
          <w:color w:val="000000" w:themeColor="text1"/>
          <w:sz w:val="22"/>
          <w:szCs w:val="22"/>
          <w:lang w:val="es-ES_tradnl"/>
        </w:rPr>
        <w:t xml:space="preserve"> las</w:t>
      </w:r>
      <w:r w:rsidR="00A12DED" w:rsidRPr="00AD47C6">
        <w:rPr>
          <w:rFonts w:ascii="Arial" w:eastAsia="Calibri" w:hAnsi="Arial" w:cs="Arial"/>
          <w:color w:val="000000" w:themeColor="text1"/>
          <w:sz w:val="22"/>
          <w:szCs w:val="22"/>
          <w:lang w:val="es-ES_tradnl"/>
        </w:rPr>
        <w:t xml:space="preserve"> elecciones presidenciales</w:t>
      </w:r>
      <w:r w:rsidR="001251F7" w:rsidRPr="00AD47C6">
        <w:rPr>
          <w:rFonts w:ascii="Arial" w:eastAsia="Calibri" w:hAnsi="Arial" w:cs="Arial"/>
          <w:color w:val="000000" w:themeColor="text1"/>
          <w:sz w:val="22"/>
          <w:szCs w:val="22"/>
          <w:lang w:val="es-ES_tradnl"/>
        </w:rPr>
        <w:t xml:space="preserve">, </w:t>
      </w:r>
      <w:r w:rsidR="00DD4EE3" w:rsidRPr="00AD47C6">
        <w:rPr>
          <w:rFonts w:ascii="Arial" w:hAnsi="Arial" w:cs="Arial"/>
          <w:sz w:val="22"/>
          <w:szCs w:val="22"/>
          <w:lang w:val="es-ES_tradnl" w:eastAsia="es-CO"/>
        </w:rPr>
        <w:t>y</w:t>
      </w:r>
      <w:r w:rsidR="00372051" w:rsidRPr="00AD47C6">
        <w:rPr>
          <w:rFonts w:ascii="Arial" w:hAnsi="Arial" w:cs="Arial"/>
          <w:sz w:val="22"/>
          <w:szCs w:val="22"/>
          <w:lang w:val="es-ES_tradnl" w:eastAsia="es-CO"/>
        </w:rPr>
        <w:t xml:space="preserve"> </w:t>
      </w:r>
      <w:r w:rsidR="005F581C" w:rsidRPr="00AD47C6">
        <w:rPr>
          <w:rFonts w:ascii="Arial" w:hAnsi="Arial" w:cs="Arial"/>
          <w:sz w:val="22"/>
          <w:szCs w:val="22"/>
          <w:lang w:val="es-ES_tradnl" w:eastAsia="es-CO"/>
        </w:rPr>
        <w:t>ii</w:t>
      </w:r>
      <w:r w:rsidR="00DD4EE3" w:rsidRPr="00AD47C6">
        <w:rPr>
          <w:rFonts w:ascii="Arial" w:hAnsi="Arial" w:cs="Arial"/>
          <w:sz w:val="22"/>
          <w:szCs w:val="22"/>
          <w:lang w:val="es-ES_tradnl" w:eastAsia="es-CO"/>
        </w:rPr>
        <w:t xml:space="preserve">i) </w:t>
      </w:r>
      <w:r w:rsidR="001C55F2" w:rsidRPr="00AD47C6">
        <w:rPr>
          <w:rFonts w:ascii="Arial" w:hAnsi="Arial" w:cs="Arial"/>
          <w:sz w:val="22"/>
          <w:szCs w:val="22"/>
          <w:lang w:val="es-ES_tradnl" w:eastAsia="es-CO"/>
        </w:rPr>
        <w:t>aplicación</w:t>
      </w:r>
      <w:r w:rsidR="00DD4EE3" w:rsidRPr="00AD47C6">
        <w:rPr>
          <w:rFonts w:ascii="Arial" w:hAnsi="Arial" w:cs="Arial"/>
          <w:sz w:val="22"/>
          <w:szCs w:val="22"/>
          <w:lang w:val="es-ES_tradnl" w:eastAsia="es-CO"/>
        </w:rPr>
        <w:t xml:space="preserve"> de la Ley de Garantías</w:t>
      </w:r>
      <w:r w:rsidR="001C55F2" w:rsidRPr="00AD47C6">
        <w:rPr>
          <w:rFonts w:ascii="Arial" w:hAnsi="Arial" w:cs="Arial"/>
          <w:sz w:val="22"/>
          <w:szCs w:val="22"/>
          <w:lang w:val="es-ES_tradnl" w:eastAsia="es-CO"/>
        </w:rPr>
        <w:t xml:space="preserve"> Electorales</w:t>
      </w:r>
      <w:r w:rsidR="00DD4EE3" w:rsidRPr="00AD47C6">
        <w:rPr>
          <w:rFonts w:ascii="Arial" w:hAnsi="Arial" w:cs="Arial"/>
          <w:sz w:val="22"/>
          <w:szCs w:val="22"/>
          <w:lang w:val="es-ES_tradnl" w:eastAsia="es-CO"/>
        </w:rPr>
        <w:t xml:space="preserve"> </w:t>
      </w:r>
      <w:r w:rsidR="001C55F2" w:rsidRPr="00AD47C6">
        <w:rPr>
          <w:rFonts w:ascii="Arial" w:hAnsi="Arial" w:cs="Arial"/>
          <w:sz w:val="22"/>
          <w:szCs w:val="22"/>
          <w:lang w:val="es-ES_tradnl" w:eastAsia="es-CO"/>
        </w:rPr>
        <w:t>a</w:t>
      </w:r>
      <w:r w:rsidR="00DD4EE3" w:rsidRPr="00AD47C6">
        <w:rPr>
          <w:rFonts w:ascii="Arial" w:hAnsi="Arial" w:cs="Arial"/>
          <w:sz w:val="22"/>
          <w:szCs w:val="22"/>
          <w:lang w:val="es-ES_tradnl" w:eastAsia="es-CO"/>
        </w:rPr>
        <w:t xml:space="preserve"> </w:t>
      </w:r>
      <w:r w:rsidR="001C55F2" w:rsidRPr="00AD47C6">
        <w:rPr>
          <w:rFonts w:ascii="Arial" w:hAnsi="Arial" w:cs="Arial"/>
          <w:sz w:val="22"/>
          <w:szCs w:val="22"/>
          <w:lang w:val="es-ES_tradnl" w:eastAsia="es-CO"/>
        </w:rPr>
        <w:t xml:space="preserve">la </w:t>
      </w:r>
      <w:r w:rsidR="001C55F2" w:rsidRPr="00AD47C6">
        <w:rPr>
          <w:rFonts w:ascii="Arial" w:hAnsi="Arial" w:cs="Arial"/>
          <w:color w:val="000000" w:themeColor="text1"/>
          <w:sz w:val="21"/>
          <w:szCs w:val="21"/>
          <w:lang w:val="es-ES_tradnl"/>
        </w:rPr>
        <w:t>contratación</w:t>
      </w:r>
      <w:r w:rsidR="00EB7A21" w:rsidRPr="00AD47C6">
        <w:rPr>
          <w:rFonts w:ascii="Arial" w:hAnsi="Arial" w:cs="Arial"/>
          <w:color w:val="000000" w:themeColor="text1"/>
          <w:sz w:val="21"/>
          <w:szCs w:val="21"/>
          <w:lang w:val="es-ES_tradnl"/>
        </w:rPr>
        <w:t xml:space="preserve"> directa</w:t>
      </w:r>
      <w:r w:rsidR="001C55F2" w:rsidRPr="00AD47C6">
        <w:rPr>
          <w:rFonts w:ascii="Arial" w:hAnsi="Arial" w:cs="Arial"/>
          <w:color w:val="000000" w:themeColor="text1"/>
          <w:sz w:val="21"/>
          <w:szCs w:val="21"/>
          <w:lang w:val="es-ES_tradnl"/>
        </w:rPr>
        <w:t xml:space="preserve"> sometida a los reglamentos de los organismos de cooperación, asistencia o ayuda internacional</w:t>
      </w:r>
      <w:r w:rsidR="00DD4EE3" w:rsidRPr="00AD47C6">
        <w:rPr>
          <w:rFonts w:ascii="Arial" w:hAnsi="Arial" w:cs="Arial"/>
          <w:sz w:val="22"/>
          <w:szCs w:val="22"/>
          <w:lang w:val="es-ES_tradnl" w:eastAsia="es-CO"/>
        </w:rPr>
        <w:t xml:space="preserve">. </w:t>
      </w:r>
    </w:p>
    <w:p w14:paraId="5623771A" w14:textId="5CA9C280" w:rsidR="0081166C" w:rsidRPr="00AD47C6" w:rsidRDefault="008A34D3" w:rsidP="00F61FE6">
      <w:pPr>
        <w:spacing w:before="120" w:line="276" w:lineRule="auto"/>
        <w:ind w:firstLine="709"/>
        <w:jc w:val="both"/>
        <w:rPr>
          <w:rFonts w:ascii="Arial" w:hAnsi="Arial" w:cs="Arial"/>
          <w:color w:val="000000" w:themeColor="text1"/>
          <w:sz w:val="22"/>
          <w:szCs w:val="22"/>
        </w:rPr>
      </w:pPr>
      <w:r w:rsidRPr="00AD47C6">
        <w:rPr>
          <w:rFonts w:ascii="Arial" w:eastAsia="Calibri" w:hAnsi="Arial" w:cs="Arial"/>
          <w:color w:val="000000" w:themeColor="text1"/>
          <w:sz w:val="22"/>
          <w:szCs w:val="22"/>
          <w:lang w:val="es-ES_tradnl"/>
        </w:rPr>
        <w:t>E</w:t>
      </w:r>
      <w:r w:rsidR="00A62DB2" w:rsidRPr="00AD47C6">
        <w:rPr>
          <w:rFonts w:ascii="Arial" w:eastAsia="Calibri" w:hAnsi="Arial" w:cs="Arial"/>
          <w:color w:val="000000" w:themeColor="text1"/>
          <w:sz w:val="22"/>
          <w:szCs w:val="22"/>
          <w:lang w:val="es-ES_tradnl"/>
        </w:rPr>
        <w:t xml:space="preserve">sta Agencia </w:t>
      </w:r>
      <w:r w:rsidR="00A62DB2" w:rsidRPr="00AD47C6">
        <w:rPr>
          <w:rFonts w:ascii="Arial" w:hAnsi="Arial" w:cs="Arial"/>
          <w:color w:val="000000" w:themeColor="text1"/>
          <w:sz w:val="22"/>
          <w:szCs w:val="22"/>
          <w:shd w:val="clear" w:color="auto" w:fill="FFFFFF"/>
        </w:rPr>
        <w:t xml:space="preserve">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C-381 del 2 de agosto de 2021, C-391 del 11 de agosto de 2021, C-396 del 13 de agosto de 2021, C-401 del 10 de </w:t>
      </w:r>
      <w:r w:rsidR="00A62DB2" w:rsidRPr="00AD47C6">
        <w:rPr>
          <w:rFonts w:ascii="Arial" w:hAnsi="Arial" w:cs="Arial"/>
          <w:color w:val="000000" w:themeColor="text1"/>
          <w:sz w:val="22"/>
          <w:szCs w:val="22"/>
          <w:shd w:val="clear" w:color="auto" w:fill="FFFFFF"/>
        </w:rPr>
        <w:lastRenderedPageBreak/>
        <w:t>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C-695 del 22 de diciembre de 2021,  C-723 del 28 de diciembre de 2021, C-726 de 24 de enero de 2022</w:t>
      </w:r>
      <w:r w:rsidR="005F5F93" w:rsidRPr="00AD47C6">
        <w:rPr>
          <w:rFonts w:ascii="Arial" w:hAnsi="Arial" w:cs="Arial"/>
          <w:color w:val="000000" w:themeColor="text1"/>
          <w:sz w:val="22"/>
          <w:szCs w:val="22"/>
          <w:shd w:val="clear" w:color="auto" w:fill="FFFFFF"/>
        </w:rPr>
        <w:t xml:space="preserve">, </w:t>
      </w:r>
      <w:r w:rsidR="00A62DB2" w:rsidRPr="00AD47C6">
        <w:rPr>
          <w:rFonts w:ascii="Arial" w:hAnsi="Arial" w:cs="Arial"/>
          <w:color w:val="000000" w:themeColor="text1"/>
          <w:sz w:val="22"/>
          <w:szCs w:val="22"/>
          <w:shd w:val="clear" w:color="auto" w:fill="FFFFFF"/>
        </w:rPr>
        <w:t>C-037 de 21 de enero de 2022</w:t>
      </w:r>
      <w:r w:rsidR="00825136" w:rsidRPr="00AD47C6">
        <w:rPr>
          <w:rFonts w:ascii="Arial" w:hAnsi="Arial" w:cs="Arial"/>
          <w:color w:val="000000" w:themeColor="text1"/>
          <w:sz w:val="22"/>
          <w:szCs w:val="22"/>
          <w:shd w:val="clear" w:color="auto" w:fill="FFFFFF"/>
        </w:rPr>
        <w:t xml:space="preserve"> y C-216 del 9 de marzo de 2022</w:t>
      </w:r>
      <w:r w:rsidR="00A62DB2" w:rsidRPr="00AD47C6">
        <w:rPr>
          <w:rStyle w:val="Refdenotaalpie"/>
          <w:rFonts w:ascii="Arial" w:eastAsia="Calibri" w:hAnsi="Arial" w:cs="Arial"/>
          <w:sz w:val="22"/>
          <w:szCs w:val="22"/>
        </w:rPr>
        <w:footnoteReference w:id="2"/>
      </w:r>
      <w:r w:rsidR="00A62DB2" w:rsidRPr="00AD47C6">
        <w:rPr>
          <w:rFonts w:ascii="Arial" w:eastAsia="Calibri" w:hAnsi="Arial" w:cs="Arial"/>
          <w:color w:val="000000" w:themeColor="text1"/>
          <w:sz w:val="22"/>
          <w:szCs w:val="22"/>
          <w:lang w:val="es-ES_tradnl"/>
        </w:rPr>
        <w:t xml:space="preserve">. </w:t>
      </w:r>
      <w:r w:rsidR="00F61FE6" w:rsidRPr="00AD47C6">
        <w:rPr>
          <w:rFonts w:ascii="Arial" w:eastAsia="Calibri" w:hAnsi="Arial" w:cs="Arial"/>
          <w:color w:val="000000" w:themeColor="text1"/>
          <w:sz w:val="22"/>
          <w:szCs w:val="22"/>
        </w:rPr>
        <w:t xml:space="preserve">Dichos conceptos serán reiterados y complementados, en lo pertinente, efectuando algunas precisiones sobre los Conceptos </w:t>
      </w:r>
      <w:r w:rsidR="00F61FE6" w:rsidRPr="00AD47C6">
        <w:rPr>
          <w:rFonts w:ascii="Arial" w:eastAsia="Calibri" w:hAnsi="Arial" w:cs="Arial"/>
          <w:bCs/>
          <w:color w:val="000000" w:themeColor="text1"/>
          <w:sz w:val="22"/>
          <w:szCs w:val="22"/>
        </w:rPr>
        <w:t>C-296 del 22 de junio</w:t>
      </w:r>
      <w:r w:rsidR="00F61FE6" w:rsidRPr="00AD47C6">
        <w:rPr>
          <w:rFonts w:ascii="Arial" w:eastAsia="Calibri" w:hAnsi="Arial" w:cs="Arial"/>
          <w:color w:val="000000" w:themeColor="text1"/>
          <w:sz w:val="22"/>
          <w:szCs w:val="22"/>
        </w:rPr>
        <w:t xml:space="preserve"> de 2021 y C-559 del 31 de agosto de 2021.</w:t>
      </w:r>
    </w:p>
    <w:p w14:paraId="7DD6DDA5" w14:textId="77777777" w:rsidR="000A0DF7" w:rsidRPr="00AD47C6"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AD47C6" w:rsidRDefault="000A0DF7" w:rsidP="000A0DF7">
      <w:pPr>
        <w:tabs>
          <w:tab w:val="left" w:pos="426"/>
        </w:tabs>
        <w:spacing w:line="276" w:lineRule="auto"/>
        <w:jc w:val="both"/>
        <w:rPr>
          <w:rFonts w:ascii="Arial" w:eastAsia="Calibri" w:hAnsi="Arial" w:cs="Arial"/>
          <w:b/>
          <w:bCs/>
          <w:sz w:val="22"/>
          <w:szCs w:val="22"/>
          <w:lang w:val="es-ES_tradnl" w:eastAsia="en-US"/>
        </w:rPr>
      </w:pPr>
      <w:r w:rsidRPr="00AD47C6">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AD47C6"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AD47C6" w:rsidRDefault="000A0DF7" w:rsidP="000A0DF7">
      <w:pPr>
        <w:tabs>
          <w:tab w:val="left" w:pos="426"/>
        </w:tabs>
        <w:spacing w:after="120" w:line="276" w:lineRule="auto"/>
        <w:jc w:val="both"/>
        <w:rPr>
          <w:rFonts w:ascii="Arial" w:hAnsi="Arial" w:cs="Arial"/>
          <w:bCs/>
          <w:sz w:val="22"/>
          <w:szCs w:val="22"/>
          <w:lang w:val="es-ES_tradnl" w:eastAsia="es-CO"/>
        </w:rPr>
      </w:pPr>
      <w:r w:rsidRPr="00AD47C6">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AD47C6">
        <w:rPr>
          <w:rFonts w:ascii="Arial" w:eastAsia="Calibri" w:hAnsi="Arial" w:cs="Arial"/>
          <w:bCs/>
          <w:i/>
          <w:iCs/>
          <w:sz w:val="22"/>
          <w:szCs w:val="22"/>
          <w:lang w:val="es-ES_tradnl" w:eastAsia="en-US"/>
        </w:rPr>
        <w:t xml:space="preserve">. </w:t>
      </w:r>
      <w:r w:rsidRPr="00AD47C6">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AD47C6">
        <w:rPr>
          <w:rFonts w:ascii="Arial" w:eastAsia="Calibri" w:hAnsi="Arial" w:cs="Arial"/>
          <w:bCs/>
          <w:sz w:val="22"/>
          <w:szCs w:val="22"/>
          <w:lang w:val="es-ES_tradnl" w:eastAsia="en-US"/>
        </w:rPr>
        <w:t>,</w:t>
      </w:r>
      <w:r w:rsidRPr="00AD47C6">
        <w:rPr>
          <w:rFonts w:ascii="Arial" w:eastAsia="Calibri" w:hAnsi="Arial" w:cs="Arial"/>
          <w:bCs/>
          <w:sz w:val="22"/>
          <w:szCs w:val="22"/>
          <w:lang w:val="es-ES_tradnl" w:eastAsia="en-US"/>
        </w:rPr>
        <w:t xml:space="preserve"> en cuanto a aspectos políticos</w:t>
      </w:r>
      <w:r w:rsidR="00B24DE5" w:rsidRPr="00AD47C6">
        <w:rPr>
          <w:rFonts w:ascii="Arial" w:eastAsia="Calibri" w:hAnsi="Arial" w:cs="Arial"/>
          <w:bCs/>
          <w:sz w:val="22"/>
          <w:szCs w:val="22"/>
          <w:lang w:val="es-ES_tradnl" w:eastAsia="en-US"/>
        </w:rPr>
        <w:t xml:space="preserve">, </w:t>
      </w:r>
      <w:r w:rsidRPr="00AD47C6">
        <w:rPr>
          <w:rFonts w:ascii="Arial" w:eastAsia="Calibri" w:hAnsi="Arial" w:cs="Arial"/>
          <w:bCs/>
          <w:sz w:val="22"/>
          <w:szCs w:val="22"/>
          <w:lang w:val="es-ES_tradnl" w:eastAsia="en-US"/>
        </w:rPr>
        <w:t>establece restricciones a ciertos empleados del Estado, incluso en época no electoral</w:t>
      </w:r>
      <w:r w:rsidRPr="00AD47C6">
        <w:rPr>
          <w:rStyle w:val="Refdenotaalpie"/>
          <w:rFonts w:ascii="Arial" w:eastAsia="Calibri" w:hAnsi="Arial" w:cs="Arial"/>
          <w:sz w:val="22"/>
          <w:szCs w:val="22"/>
        </w:rPr>
        <w:footnoteReference w:id="3"/>
      </w:r>
      <w:r w:rsidRPr="00AD47C6">
        <w:rPr>
          <w:rFonts w:ascii="Arial" w:eastAsia="Calibri" w:hAnsi="Arial" w:cs="Arial"/>
          <w:bCs/>
          <w:sz w:val="22"/>
          <w:szCs w:val="22"/>
          <w:lang w:val="es-ES_tradnl" w:eastAsia="en-US"/>
        </w:rPr>
        <w:t xml:space="preserve">. </w:t>
      </w:r>
    </w:p>
    <w:p w14:paraId="3C018A04" w14:textId="77777777" w:rsidR="000A0DF7" w:rsidRPr="00AD47C6" w:rsidRDefault="000A0DF7" w:rsidP="000A0DF7">
      <w:pPr>
        <w:tabs>
          <w:tab w:val="left" w:pos="426"/>
        </w:tabs>
        <w:spacing w:line="276" w:lineRule="auto"/>
        <w:ind w:firstLine="709"/>
        <w:jc w:val="both"/>
        <w:rPr>
          <w:rFonts w:ascii="Arial" w:hAnsi="Arial" w:cs="Arial"/>
          <w:bCs/>
          <w:sz w:val="22"/>
          <w:szCs w:val="22"/>
          <w:lang w:val="es-ES_tradnl" w:eastAsia="es-CO"/>
        </w:rPr>
      </w:pPr>
      <w:r w:rsidRPr="00AD47C6">
        <w:rPr>
          <w:rFonts w:ascii="Arial" w:hAnsi="Arial" w:cs="Arial"/>
          <w:bCs/>
          <w:sz w:val="22"/>
          <w:szCs w:val="22"/>
          <w:lang w:val="es-ES_tradnl" w:eastAsia="es-CO"/>
        </w:rPr>
        <w:t xml:space="preserve">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w:t>
      </w:r>
      <w:r w:rsidRPr="00AD47C6">
        <w:rPr>
          <w:rFonts w:ascii="Arial" w:hAnsi="Arial" w:cs="Arial"/>
          <w:bCs/>
          <w:sz w:val="22"/>
          <w:szCs w:val="22"/>
          <w:lang w:val="es-ES_tradnl" w:eastAsia="es-CO"/>
        </w:rPr>
        <w:lastRenderedPageBreak/>
        <w:t>garantías en la elección presidencial</w:t>
      </w:r>
      <w:r w:rsidRPr="00AD47C6">
        <w:rPr>
          <w:rStyle w:val="Refdenotaalpie"/>
          <w:rFonts w:ascii="Arial" w:hAnsi="Arial" w:cs="Arial"/>
          <w:sz w:val="22"/>
          <w:szCs w:val="22"/>
        </w:rPr>
        <w:footnoteReference w:id="4"/>
      </w:r>
      <w:r w:rsidRPr="00AD47C6">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AD47C6">
        <w:rPr>
          <w:rFonts w:ascii="Arial" w:eastAsia="Calibri" w:hAnsi="Arial" w:cs="Arial"/>
          <w:noProof/>
          <w:sz w:val="22"/>
          <w:szCs w:val="22"/>
          <w:lang w:val="es-ES_tradnl" w:eastAsia="en-US"/>
        </w:rPr>
        <w:t xml:space="preserve"> </w:t>
      </w:r>
      <w:r w:rsidRPr="00AD47C6">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AD47C6" w:rsidRDefault="000A0DF7" w:rsidP="000A0DF7">
      <w:pPr>
        <w:ind w:right="709"/>
        <w:jc w:val="both"/>
        <w:rPr>
          <w:rFonts w:ascii="Arial" w:hAnsi="Arial" w:cs="Arial"/>
          <w:sz w:val="21"/>
          <w:szCs w:val="21"/>
          <w:lang w:val="es-ES_tradnl" w:eastAsia="es-CO"/>
        </w:rPr>
      </w:pPr>
    </w:p>
    <w:p w14:paraId="21DCAA2C" w14:textId="77777777" w:rsidR="000A0DF7" w:rsidRPr="00AD47C6" w:rsidRDefault="000A0DF7" w:rsidP="000A0DF7">
      <w:pPr>
        <w:ind w:left="709" w:right="709"/>
        <w:jc w:val="both"/>
        <w:rPr>
          <w:rFonts w:ascii="Arial" w:hAnsi="Arial" w:cs="Arial"/>
          <w:bCs/>
          <w:sz w:val="21"/>
          <w:szCs w:val="21"/>
          <w:lang w:val="es-ES_tradnl" w:eastAsia="es-CO"/>
        </w:rPr>
      </w:pPr>
      <w:r w:rsidRPr="00AD47C6">
        <w:rPr>
          <w:rFonts w:ascii="Arial" w:hAnsi="Arial" w:cs="Arial"/>
          <w:sz w:val="21"/>
          <w:szCs w:val="21"/>
          <w:lang w:val="es-ES_tradnl" w:eastAsia="es-CO"/>
        </w:rPr>
        <w:t xml:space="preserve">[…] </w:t>
      </w:r>
      <w:r w:rsidRPr="00AD47C6">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AD47C6" w:rsidRDefault="000A0DF7" w:rsidP="000A0DF7">
      <w:pPr>
        <w:spacing w:after="120"/>
        <w:ind w:left="709" w:right="709"/>
        <w:jc w:val="both"/>
        <w:rPr>
          <w:rFonts w:ascii="Arial" w:hAnsi="Arial" w:cs="Arial"/>
          <w:bCs/>
          <w:sz w:val="21"/>
          <w:szCs w:val="21"/>
          <w:lang w:val="es-ES_tradnl" w:eastAsia="es-CO"/>
        </w:rPr>
      </w:pPr>
      <w:r w:rsidRPr="00AD47C6">
        <w:rPr>
          <w:rFonts w:ascii="Arial" w:hAnsi="Arial" w:cs="Arial"/>
          <w:bCs/>
          <w:sz w:val="21"/>
          <w:szCs w:val="21"/>
          <w:lang w:val="es-ES_tradnl" w:eastAsia="es-CO"/>
        </w:rPr>
        <w:t xml:space="preserve">[…] </w:t>
      </w:r>
    </w:p>
    <w:p w14:paraId="289824E8" w14:textId="77777777" w:rsidR="000A0DF7" w:rsidRPr="00AD47C6" w:rsidRDefault="000A0DF7" w:rsidP="000A0DF7">
      <w:pPr>
        <w:ind w:left="709" w:right="709"/>
        <w:jc w:val="both"/>
        <w:rPr>
          <w:rFonts w:ascii="Arial" w:hAnsi="Arial" w:cs="Arial"/>
          <w:bCs/>
          <w:sz w:val="21"/>
          <w:szCs w:val="21"/>
          <w:lang w:val="es-ES_tradnl" w:eastAsia="es-CO"/>
        </w:rPr>
      </w:pPr>
      <w:r w:rsidRPr="00AD47C6">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AD47C6">
        <w:rPr>
          <w:rStyle w:val="Refdenotaalpie"/>
          <w:rFonts w:eastAsiaTheme="minorHAnsi"/>
        </w:rPr>
        <w:footnoteReference w:id="5"/>
      </w:r>
    </w:p>
    <w:p w14:paraId="6FCC9605" w14:textId="77777777" w:rsidR="000A0DF7" w:rsidRPr="00AD47C6"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AD47C6" w:rsidRDefault="000A0DF7" w:rsidP="000A0DF7">
      <w:pPr>
        <w:spacing w:line="276" w:lineRule="auto"/>
        <w:ind w:firstLine="709"/>
        <w:jc w:val="both"/>
        <w:rPr>
          <w:rFonts w:ascii="Arial" w:hAnsi="Arial" w:cs="Arial"/>
          <w:bCs/>
          <w:sz w:val="22"/>
          <w:szCs w:val="22"/>
          <w:lang w:val="es-ES_tradnl" w:eastAsia="es-CO"/>
        </w:rPr>
      </w:pPr>
      <w:r w:rsidRPr="00AD47C6">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AD47C6"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AD47C6" w:rsidRDefault="000A0DF7" w:rsidP="000A0DF7">
      <w:pPr>
        <w:spacing w:after="120"/>
        <w:ind w:left="709" w:right="709"/>
        <w:jc w:val="both"/>
        <w:rPr>
          <w:rFonts w:ascii="Arial" w:hAnsi="Arial" w:cs="Arial"/>
          <w:bCs/>
          <w:sz w:val="21"/>
          <w:szCs w:val="21"/>
          <w:lang w:val="es-ES_tradnl" w:eastAsia="es-CO"/>
        </w:rPr>
      </w:pPr>
      <w:r w:rsidRPr="00AD47C6">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AD47C6">
        <w:rPr>
          <w:rFonts w:ascii="Arial" w:hAnsi="Arial" w:cs="Arial"/>
          <w:bCs/>
          <w:sz w:val="21"/>
          <w:szCs w:val="21"/>
          <w:lang w:val="es-ES_tradnl" w:eastAsia="es-CO"/>
        </w:rPr>
        <w:t>legis</w:t>
      </w:r>
      <w:proofErr w:type="spellEnd"/>
      <w:r w:rsidRPr="00AD47C6">
        <w:rPr>
          <w:rFonts w:ascii="Arial"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AD47C6" w:rsidRDefault="000A0DF7" w:rsidP="000A0DF7">
      <w:pPr>
        <w:ind w:left="709" w:right="709"/>
        <w:jc w:val="both"/>
        <w:rPr>
          <w:rFonts w:ascii="Arial" w:hAnsi="Arial" w:cs="Arial"/>
          <w:bCs/>
          <w:sz w:val="21"/>
          <w:szCs w:val="21"/>
          <w:lang w:val="es-ES_tradnl" w:eastAsia="es-CO"/>
        </w:rPr>
      </w:pPr>
      <w:r w:rsidRPr="00AD47C6">
        <w:rPr>
          <w:rFonts w:ascii="Arial" w:hAnsi="Arial" w:cs="Arial"/>
          <w:bCs/>
          <w:sz w:val="21"/>
          <w:szCs w:val="21"/>
          <w:lang w:val="es-ES_tradnl" w:eastAsia="es-CO"/>
        </w:rPr>
        <w:lastRenderedPageBreak/>
        <w:t>La jurisprudencia de la Corte Constitucional</w:t>
      </w:r>
      <w:r w:rsidRPr="00AD47C6">
        <w:rPr>
          <w:rStyle w:val="Refdenotaalpie"/>
          <w:rFonts w:ascii="Arial" w:hAnsi="Arial" w:cs="Arial"/>
          <w:sz w:val="21"/>
          <w:szCs w:val="21"/>
        </w:rPr>
        <w:footnoteReference w:id="6"/>
      </w:r>
      <w:r w:rsidRPr="00AD47C6">
        <w:rPr>
          <w:rFonts w:ascii="Arial" w:hAnsi="Arial" w:cs="Arial"/>
          <w:bCs/>
          <w:sz w:val="21"/>
          <w:szCs w:val="21"/>
          <w:lang w:val="es-ES_tradnl" w:eastAsia="es-CO"/>
        </w:rPr>
        <w:t> y del Consejo de Estado</w:t>
      </w:r>
      <w:r w:rsidRPr="00AD47C6">
        <w:rPr>
          <w:rStyle w:val="Refdenotaalpie"/>
          <w:rFonts w:ascii="Arial" w:hAnsi="Arial" w:cs="Arial"/>
          <w:sz w:val="21"/>
          <w:szCs w:val="21"/>
        </w:rPr>
        <w:footnoteReference w:id="7"/>
      </w:r>
      <w:r w:rsidRPr="00AD47C6">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AD47C6">
        <w:rPr>
          <w:rStyle w:val="Refdenotaalpie"/>
          <w:rFonts w:ascii="Arial" w:hAnsi="Arial" w:cs="Arial"/>
          <w:sz w:val="21"/>
          <w:szCs w:val="21"/>
        </w:rPr>
        <w:footnoteReference w:id="8"/>
      </w:r>
      <w:r w:rsidRPr="00AD47C6">
        <w:rPr>
          <w:rFonts w:ascii="Arial" w:hAnsi="Arial" w:cs="Arial"/>
          <w:bCs/>
          <w:sz w:val="21"/>
          <w:szCs w:val="21"/>
          <w:lang w:val="es-ES_tradnl" w:eastAsia="es-CO"/>
        </w:rPr>
        <w:t>.</w:t>
      </w:r>
    </w:p>
    <w:p w14:paraId="163DEDFF" w14:textId="77777777" w:rsidR="000A0DF7" w:rsidRPr="00AD47C6"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AD47C6" w:rsidRDefault="000A0DF7" w:rsidP="000A0DF7">
      <w:pPr>
        <w:spacing w:after="120" w:line="276" w:lineRule="auto"/>
        <w:jc w:val="both"/>
        <w:rPr>
          <w:rFonts w:ascii="Arial" w:eastAsia="Arial" w:hAnsi="Arial" w:cs="Arial"/>
          <w:sz w:val="22"/>
          <w:szCs w:val="22"/>
          <w:lang w:val="es-ES_tradnl" w:eastAsia="es-ES" w:bidi="es-ES"/>
        </w:rPr>
      </w:pPr>
      <w:r w:rsidRPr="00AD47C6">
        <w:rPr>
          <w:rFonts w:ascii="Arial" w:hAnsi="Arial" w:cs="Arial"/>
          <w:bCs/>
          <w:sz w:val="22"/>
          <w:szCs w:val="22"/>
          <w:lang w:val="es-ES_tradnl" w:eastAsia="es-CO"/>
        </w:rPr>
        <w:tab/>
        <w:t>De</w:t>
      </w:r>
      <w:r w:rsidRPr="00AD47C6">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AD47C6" w:rsidRDefault="000A0DF7" w:rsidP="000A0DF7">
      <w:pPr>
        <w:spacing w:after="120" w:line="276" w:lineRule="auto"/>
        <w:ind w:firstLine="708"/>
        <w:jc w:val="both"/>
        <w:rPr>
          <w:rFonts w:ascii="Arial" w:eastAsia="Calibri" w:hAnsi="Arial" w:cs="Arial"/>
          <w:sz w:val="22"/>
          <w:szCs w:val="22"/>
          <w:lang w:val="es-ES_tradnl" w:eastAsia="en-US"/>
        </w:rPr>
      </w:pPr>
      <w:r w:rsidRPr="00AD47C6">
        <w:rPr>
          <w:rFonts w:ascii="Arial" w:eastAsia="Calibri" w:hAnsi="Arial" w:cs="Arial"/>
          <w:sz w:val="22"/>
          <w:szCs w:val="22"/>
          <w:lang w:val="es-ES_tradnl" w:eastAsia="en-US"/>
        </w:rPr>
        <w:t xml:space="preserve">Por un lado, el artículo 33 de la Ley 996 de 2005 prohíbe </w:t>
      </w:r>
      <w:r w:rsidRPr="00AD47C6">
        <w:rPr>
          <w:rFonts w:ascii="Arial" w:eastAsia="Calibri" w:hAnsi="Arial" w:cs="Arial"/>
          <w:bCs/>
          <w:sz w:val="22"/>
          <w:szCs w:val="22"/>
          <w:lang w:val="es-ES_tradnl" w:eastAsia="en-US"/>
        </w:rPr>
        <w:t xml:space="preserve">«[…] </w:t>
      </w:r>
      <w:r w:rsidRPr="00AD47C6">
        <w:rPr>
          <w:rFonts w:ascii="Arial" w:eastAsia="Calibri" w:hAnsi="Arial" w:cs="Arial"/>
          <w:sz w:val="22"/>
          <w:szCs w:val="22"/>
          <w:lang w:val="es-ES_tradnl" w:eastAsia="en-US"/>
        </w:rPr>
        <w:t>la contratación directa por parte de todos los entes del Estado</w:t>
      </w:r>
      <w:r w:rsidRPr="00AD47C6">
        <w:rPr>
          <w:rFonts w:ascii="Arial" w:eastAsia="Calibri" w:hAnsi="Arial" w:cs="Arial"/>
          <w:bCs/>
          <w:sz w:val="22"/>
          <w:szCs w:val="22"/>
          <w:lang w:val="es-ES_tradnl" w:eastAsia="en-US"/>
        </w:rPr>
        <w:t>»</w:t>
      </w:r>
      <w:r w:rsidRPr="00AD47C6">
        <w:rPr>
          <w:rFonts w:ascii="Arial" w:eastAsia="Calibri" w:hAnsi="Arial" w:cs="Arial"/>
          <w:sz w:val="22"/>
          <w:szCs w:val="22"/>
          <w:lang w:val="es-ES_tradnl" w:eastAsia="en-US"/>
        </w:rPr>
        <w:t xml:space="preserve"> durante los cuatro (4) meses anteriores a las elecciones presidenciales, salvo </w:t>
      </w:r>
      <w:r w:rsidRPr="00AD47C6">
        <w:rPr>
          <w:rFonts w:ascii="Arial" w:eastAsia="Calibri" w:hAnsi="Arial" w:cs="Arial"/>
          <w:bCs/>
          <w:sz w:val="22"/>
          <w:szCs w:val="22"/>
          <w:lang w:val="es-ES_tradnl" w:eastAsia="en-US"/>
        </w:rPr>
        <w:t xml:space="preserve">«[…] </w:t>
      </w:r>
      <w:r w:rsidRPr="00AD47C6">
        <w:rPr>
          <w:rFonts w:ascii="Arial" w:eastAsia="Calibri" w:hAnsi="Arial" w:cs="Arial"/>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AD47C6">
        <w:rPr>
          <w:rFonts w:ascii="Arial" w:eastAsia="Calibri" w:hAnsi="Arial" w:cs="Arial"/>
          <w:sz w:val="22"/>
          <w:szCs w:val="22"/>
          <w:lang w:val="es-ES_tradnl" w:eastAsia="en-US"/>
        </w:rPr>
        <w:lastRenderedPageBreak/>
        <w:t>sido objeto de atentados, acciones terroristas, desastres naturales o casos de fuerza mayor, y los que deban realizar las entidades sanitarias y hospitalarias</w:t>
      </w:r>
      <w:r w:rsidRPr="00AD47C6">
        <w:rPr>
          <w:rFonts w:ascii="Arial" w:eastAsia="Calibri" w:hAnsi="Arial" w:cs="Arial"/>
          <w:bCs/>
          <w:sz w:val="22"/>
          <w:szCs w:val="22"/>
          <w:lang w:val="es-ES_tradnl" w:eastAsia="en-US"/>
        </w:rPr>
        <w:t>»</w:t>
      </w:r>
      <w:r w:rsidRPr="00AD47C6">
        <w:rPr>
          <w:rStyle w:val="Refdenotaalpie"/>
          <w:rFonts w:ascii="Arial" w:eastAsia="Calibri" w:hAnsi="Arial" w:cs="Arial"/>
          <w:sz w:val="22"/>
          <w:szCs w:val="22"/>
        </w:rPr>
        <w:footnoteReference w:id="9"/>
      </w:r>
      <w:r w:rsidRPr="00AD47C6">
        <w:rPr>
          <w:rFonts w:ascii="Arial" w:eastAsia="Calibri" w:hAnsi="Arial" w:cs="Arial"/>
          <w:sz w:val="22"/>
          <w:szCs w:val="22"/>
          <w:lang w:val="es-ES_tradnl" w:eastAsia="en-US"/>
        </w:rPr>
        <w:t>.</w:t>
      </w:r>
    </w:p>
    <w:p w14:paraId="6CD813E3" w14:textId="3EEDB6E3" w:rsidR="000A0DF7" w:rsidRPr="00AD47C6"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AD47C6">
        <w:rPr>
          <w:rFonts w:ascii="Arial" w:eastAsia="Calibri" w:hAnsi="Arial" w:cs="Arial"/>
          <w:sz w:val="22"/>
          <w:szCs w:val="22"/>
          <w:lang w:val="es-ES_tradnl" w:eastAsia="en-US"/>
        </w:rPr>
        <w:t xml:space="preserve">Por otro lado, el parágrafo del artículo 38 de la Ley 996 de 2005 </w:t>
      </w:r>
      <w:r w:rsidR="00201FED" w:rsidRPr="00AD47C6">
        <w:rPr>
          <w:rFonts w:ascii="Arial" w:eastAsia="Calibri" w:hAnsi="Arial" w:cs="Arial"/>
          <w:sz w:val="22"/>
          <w:szCs w:val="22"/>
          <w:lang w:val="es-ES_tradnl" w:eastAsia="en-US"/>
        </w:rPr>
        <w:t xml:space="preserve">–modificado transitoriamente por el artículo 124 de la Ley </w:t>
      </w:r>
      <w:r w:rsidR="00C04FE1" w:rsidRPr="00AD47C6">
        <w:rPr>
          <w:rFonts w:ascii="Arial" w:eastAsia="Calibri" w:hAnsi="Arial" w:cs="Arial"/>
          <w:sz w:val="22"/>
          <w:szCs w:val="22"/>
          <w:lang w:val="es-ES_tradnl" w:eastAsia="en-US"/>
        </w:rPr>
        <w:t xml:space="preserve">2159 de 2021– </w:t>
      </w:r>
      <w:r w:rsidRPr="00AD47C6">
        <w:rPr>
          <w:rFonts w:ascii="Arial" w:eastAsia="Calibri" w:hAnsi="Arial" w:cs="Arial"/>
          <w:sz w:val="22"/>
          <w:szCs w:val="22"/>
          <w:lang w:val="es-ES_tradnl" w:eastAsia="en-US"/>
        </w:rPr>
        <w:t xml:space="preserve">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AD47C6">
        <w:rPr>
          <w:rFonts w:ascii="Arial" w:eastAsia="Calibri" w:hAnsi="Arial" w:cs="Arial"/>
          <w:bCs/>
          <w:sz w:val="22"/>
          <w:szCs w:val="22"/>
          <w:lang w:val="es-ES_tradnl" w:eastAsia="en-US"/>
        </w:rPr>
        <w:t xml:space="preserve">«[…] </w:t>
      </w:r>
      <w:r w:rsidRPr="00AD47C6">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47C6">
        <w:rPr>
          <w:rFonts w:ascii="Arial" w:eastAsia="Calibri" w:hAnsi="Arial" w:cs="Arial"/>
          <w:bCs/>
          <w:sz w:val="22"/>
          <w:szCs w:val="22"/>
          <w:lang w:val="es-ES_tradnl" w:eastAsia="en-US"/>
        </w:rPr>
        <w:t>»</w:t>
      </w:r>
      <w:r w:rsidRPr="00AD47C6">
        <w:rPr>
          <w:rStyle w:val="Refdenotaalpie"/>
          <w:rFonts w:ascii="Arial" w:eastAsia="Calibri" w:hAnsi="Arial" w:cs="Arial"/>
          <w:sz w:val="22"/>
          <w:szCs w:val="22"/>
        </w:rPr>
        <w:footnoteReference w:id="10"/>
      </w:r>
      <w:r w:rsidRPr="00AD47C6">
        <w:rPr>
          <w:rFonts w:ascii="Arial" w:eastAsia="Calibri" w:hAnsi="Arial" w:cs="Arial"/>
          <w:sz w:val="22"/>
          <w:szCs w:val="22"/>
          <w:lang w:val="es-ES_tradnl" w:eastAsia="en-US"/>
        </w:rPr>
        <w:t>.</w:t>
      </w:r>
      <w:r w:rsidRPr="00AD47C6">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AD47C6"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AD47C6"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AD47C6">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AD47C6">
        <w:rPr>
          <w:rFonts w:ascii="Arial" w:eastAsia="Arial" w:hAnsi="Arial" w:cs="Arial"/>
          <w:bCs/>
          <w:sz w:val="21"/>
          <w:szCs w:val="21"/>
          <w:lang w:val="es-ES_tradnl" w:eastAsia="es-ES" w:bidi="es-ES"/>
        </w:rPr>
        <w:t xml:space="preserve">En cambio, para </w:t>
      </w:r>
      <w:r w:rsidRPr="00AD47C6">
        <w:rPr>
          <w:rFonts w:ascii="Arial" w:eastAsia="Arial" w:hAnsi="Arial" w:cs="Arial"/>
          <w:bCs/>
          <w:sz w:val="21"/>
          <w:szCs w:val="21"/>
          <w:lang w:val="es-ES_tradnl" w:eastAsia="es-ES" w:bidi="es-ES"/>
        </w:rPr>
        <w:lastRenderedPageBreak/>
        <w:t xml:space="preserve">elecciones en general, excluyendo las correspondientes a </w:t>
      </w:r>
      <w:proofErr w:type="gramStart"/>
      <w:r w:rsidRPr="00AD47C6">
        <w:rPr>
          <w:rFonts w:ascii="Arial" w:eastAsia="Arial" w:hAnsi="Arial" w:cs="Arial"/>
          <w:bCs/>
          <w:sz w:val="21"/>
          <w:szCs w:val="21"/>
          <w:lang w:val="es-ES_tradnl" w:eastAsia="es-ES" w:bidi="es-ES"/>
        </w:rPr>
        <w:t>Presidente</w:t>
      </w:r>
      <w:proofErr w:type="gramEnd"/>
      <w:r w:rsidRPr="00AD47C6">
        <w:rPr>
          <w:rFonts w:ascii="Arial" w:eastAsia="Arial" w:hAnsi="Arial" w:cs="Arial"/>
          <w:bCs/>
          <w:sz w:val="21"/>
          <w:szCs w:val="21"/>
          <w:lang w:val="es-ES_tradnl" w:eastAsia="es-ES" w:bidi="es-ES"/>
        </w:rPr>
        <w:t xml:space="preserve"> de la República, a las autoridades territoriales allí mencionadas sólo se aplican las restricciones contenidas en el parágrafo del artículo 38</w:t>
      </w:r>
      <w:r w:rsidRPr="00AD47C6">
        <w:rPr>
          <w:rStyle w:val="Refdenotaalpie"/>
          <w:rFonts w:ascii="Arial" w:eastAsia="Arial" w:hAnsi="Arial" w:cs="Arial"/>
          <w:sz w:val="21"/>
          <w:szCs w:val="21"/>
        </w:rPr>
        <w:footnoteReference w:id="11"/>
      </w:r>
      <w:r w:rsidRPr="00AD47C6">
        <w:rPr>
          <w:rFonts w:ascii="Arial" w:eastAsia="Arial" w:hAnsi="Arial" w:cs="Arial"/>
          <w:bCs/>
          <w:sz w:val="21"/>
          <w:szCs w:val="21"/>
          <w:lang w:val="es-ES_tradnl" w:eastAsia="es-ES" w:bidi="es-ES"/>
        </w:rPr>
        <w:t>.</w:t>
      </w:r>
    </w:p>
    <w:p w14:paraId="5D00DD54" w14:textId="77777777" w:rsidR="000A0DF7" w:rsidRPr="00AD47C6"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AD47C6" w:rsidRDefault="000A0DF7" w:rsidP="000A0DF7">
      <w:pPr>
        <w:spacing w:after="120" w:line="276" w:lineRule="auto"/>
        <w:ind w:firstLine="709"/>
        <w:jc w:val="both"/>
        <w:rPr>
          <w:rFonts w:ascii="Arial" w:eastAsia="Arial" w:hAnsi="Arial" w:cs="Arial"/>
          <w:sz w:val="22"/>
          <w:szCs w:val="22"/>
          <w:lang w:val="es-ES_tradnl" w:eastAsia="es-ES" w:bidi="es-ES"/>
        </w:rPr>
      </w:pPr>
      <w:r w:rsidRPr="00AD47C6">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AD47C6">
        <w:rPr>
          <w:rFonts w:ascii="Arial" w:eastAsia="Arial" w:hAnsi="Arial" w:cs="Arial"/>
          <w:i/>
          <w:iCs/>
          <w:sz w:val="22"/>
          <w:szCs w:val="22"/>
          <w:lang w:val="es-ES_tradnl" w:eastAsia="es-ES" w:bidi="es-ES"/>
        </w:rPr>
        <w:t>En primer lugar</w:t>
      </w:r>
      <w:r w:rsidRPr="00AD47C6">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AD47C6">
        <w:rPr>
          <w:rFonts w:ascii="Arial" w:eastAsia="Arial" w:hAnsi="Arial" w:cs="Arial"/>
          <w:i/>
          <w:iCs/>
          <w:sz w:val="22"/>
          <w:szCs w:val="22"/>
          <w:lang w:val="es-ES_tradnl" w:eastAsia="es-ES" w:bidi="es-ES"/>
        </w:rPr>
        <w:t>En segundo lugar</w:t>
      </w:r>
      <w:r w:rsidRPr="00AD47C6">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AD47C6" w:rsidRDefault="000A0DF7" w:rsidP="000A0DF7">
      <w:pPr>
        <w:spacing w:after="120" w:line="276" w:lineRule="auto"/>
        <w:ind w:firstLine="709"/>
        <w:jc w:val="both"/>
        <w:rPr>
          <w:rFonts w:ascii="Arial" w:eastAsia="Arial" w:hAnsi="Arial" w:cs="Arial"/>
          <w:sz w:val="22"/>
          <w:szCs w:val="22"/>
          <w:lang w:val="es-ES_tradnl" w:eastAsia="es-ES" w:bidi="es-ES"/>
        </w:rPr>
      </w:pPr>
      <w:r w:rsidRPr="00AD47C6">
        <w:rPr>
          <w:rFonts w:ascii="Arial" w:eastAsia="Arial" w:hAnsi="Arial" w:cs="Arial"/>
          <w:sz w:val="22"/>
          <w:szCs w:val="22"/>
          <w:lang w:val="es-ES_tradnl" w:eastAsia="es-ES" w:bidi="es-ES"/>
        </w:rPr>
        <w:t xml:space="preserve">Ambas restricciones no son excluyentes, lo que permite concluir que en el período preelectoral para elección de </w:t>
      </w:r>
      <w:proofErr w:type="gramStart"/>
      <w:r w:rsidRPr="00AD47C6">
        <w:rPr>
          <w:rFonts w:ascii="Arial" w:eastAsia="Arial" w:hAnsi="Arial" w:cs="Arial"/>
          <w:sz w:val="22"/>
          <w:szCs w:val="22"/>
          <w:lang w:val="es-ES_tradnl" w:eastAsia="es-ES" w:bidi="es-ES"/>
        </w:rPr>
        <w:t>Presidente</w:t>
      </w:r>
      <w:proofErr w:type="gramEnd"/>
      <w:r w:rsidRPr="00AD47C6">
        <w:rPr>
          <w:rFonts w:ascii="Arial" w:eastAsia="Arial" w:hAnsi="Arial" w:cs="Arial"/>
          <w:sz w:val="22"/>
          <w:szCs w:val="22"/>
          <w:lang w:val="es-ES_tradnl"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AD47C6">
        <w:rPr>
          <w:rFonts w:ascii="Arial" w:eastAsia="Arial" w:hAnsi="Arial" w:cs="Arial"/>
          <w:sz w:val="22"/>
          <w:szCs w:val="22"/>
          <w:lang w:val="es-ES_tradnl" w:eastAsia="es-ES" w:bidi="es-ES"/>
        </w:rPr>
        <w:t>Presidente</w:t>
      </w:r>
      <w:proofErr w:type="gramEnd"/>
      <w:r w:rsidRPr="00AD47C6">
        <w:rPr>
          <w:rFonts w:ascii="Arial" w:eastAsia="Arial" w:hAnsi="Arial" w:cs="Arial"/>
          <w:sz w:val="22"/>
          <w:szCs w:val="22"/>
          <w:lang w:val="es-ES_tradnl" w:eastAsia="es-ES" w:bidi="es-ES"/>
        </w:rPr>
        <w:t xml:space="preserve"> de la República, las autoridades allí mencionadas s</w:t>
      </w:r>
      <w:r w:rsidR="00B1029D" w:rsidRPr="00AD47C6">
        <w:rPr>
          <w:rFonts w:ascii="Arial" w:eastAsia="Arial" w:hAnsi="Arial" w:cs="Arial"/>
          <w:sz w:val="22"/>
          <w:szCs w:val="22"/>
          <w:lang w:val="es-ES_tradnl" w:eastAsia="es-ES" w:bidi="es-ES"/>
        </w:rPr>
        <w:t>o</w:t>
      </w:r>
      <w:r w:rsidRPr="00AD47C6">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AD47C6" w:rsidRDefault="000A0DF7" w:rsidP="000A0DF7">
      <w:pPr>
        <w:spacing w:line="276" w:lineRule="auto"/>
        <w:ind w:firstLine="708"/>
        <w:jc w:val="both"/>
        <w:rPr>
          <w:rFonts w:ascii="Arial" w:eastAsia="Arial" w:hAnsi="Arial" w:cs="Arial"/>
          <w:sz w:val="22"/>
          <w:szCs w:val="22"/>
          <w:lang w:val="es-ES_tradnl" w:eastAsia="es-ES" w:bidi="es-ES"/>
        </w:rPr>
      </w:pPr>
      <w:r w:rsidRPr="00AD47C6">
        <w:rPr>
          <w:rFonts w:ascii="Arial" w:eastAsia="Arial" w:hAnsi="Arial" w:cs="Arial"/>
          <w:sz w:val="22"/>
          <w:szCs w:val="22"/>
          <w:lang w:val="es-ES_tradnl" w:eastAsia="es-ES" w:bidi="es-ES"/>
        </w:rPr>
        <w:t xml:space="preserve">La Corte Constitucional, en la Sentencia C-1153 del 11 de noviembre de 2005, señaló que, para que la garantía sea plena, era necesario que la prohibición se aplicara para el </w:t>
      </w:r>
      <w:proofErr w:type="gramStart"/>
      <w:r w:rsidRPr="00AD47C6">
        <w:rPr>
          <w:rFonts w:ascii="Arial" w:eastAsia="Arial" w:hAnsi="Arial" w:cs="Arial"/>
          <w:sz w:val="22"/>
          <w:szCs w:val="22"/>
          <w:lang w:val="es-ES_tradnl" w:eastAsia="es-ES" w:bidi="es-ES"/>
        </w:rPr>
        <w:t>Presidente</w:t>
      </w:r>
      <w:proofErr w:type="gramEnd"/>
      <w:r w:rsidRPr="00AD47C6">
        <w:rPr>
          <w:rFonts w:ascii="Arial" w:eastAsia="Arial" w:hAnsi="Arial" w:cs="Arial"/>
          <w:sz w:val="22"/>
          <w:szCs w:val="22"/>
          <w:lang w:val="es-ES_tradnl"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AD47C6" w:rsidRDefault="000A0DF7" w:rsidP="00C762D5">
      <w:pPr>
        <w:spacing w:line="276" w:lineRule="auto"/>
        <w:jc w:val="both"/>
        <w:rPr>
          <w:rFonts w:ascii="Arial" w:eastAsia="Arial" w:hAnsi="Arial" w:cs="Arial"/>
          <w:sz w:val="22"/>
          <w:szCs w:val="22"/>
          <w:lang w:val="es-ES_tradnl" w:eastAsia="es-ES" w:bidi="es-ES"/>
        </w:rPr>
      </w:pPr>
    </w:p>
    <w:p w14:paraId="293A280B" w14:textId="2B66EFA1" w:rsidR="000A0DF7" w:rsidRPr="00AD47C6" w:rsidRDefault="000A0DF7" w:rsidP="000A0DF7">
      <w:pPr>
        <w:spacing w:line="276" w:lineRule="auto"/>
        <w:jc w:val="both"/>
        <w:rPr>
          <w:rFonts w:ascii="Arial" w:hAnsi="Arial" w:cs="Arial"/>
          <w:b/>
          <w:sz w:val="22"/>
          <w:szCs w:val="22"/>
          <w:lang w:val="es-ES_tradnl" w:eastAsia="es-CO"/>
        </w:rPr>
      </w:pPr>
      <w:r w:rsidRPr="00AD47C6">
        <w:rPr>
          <w:rFonts w:ascii="Arial" w:hAnsi="Arial" w:cs="Arial"/>
          <w:b/>
          <w:sz w:val="22"/>
          <w:szCs w:val="22"/>
          <w:lang w:val="es-ES_tradnl" w:eastAsia="es-CO"/>
        </w:rPr>
        <w:lastRenderedPageBreak/>
        <w:t xml:space="preserve">2.2. </w:t>
      </w:r>
      <w:r w:rsidRPr="00AD47C6">
        <w:rPr>
          <w:rFonts w:ascii="Arial" w:hAnsi="Arial" w:cs="Arial"/>
          <w:b/>
          <w:bCs/>
          <w:sz w:val="22"/>
          <w:szCs w:val="22"/>
          <w:lang w:val="es-ES_tradnl" w:eastAsia="es-CO"/>
        </w:rPr>
        <w:t>Restricciones en elecciones presidenciales</w:t>
      </w:r>
      <w:r w:rsidR="00B1029D" w:rsidRPr="00AD47C6">
        <w:rPr>
          <w:rFonts w:ascii="Arial" w:hAnsi="Arial" w:cs="Arial"/>
          <w:b/>
          <w:bCs/>
          <w:sz w:val="22"/>
          <w:szCs w:val="22"/>
          <w:lang w:val="es-ES_tradnl" w:eastAsia="es-CO"/>
        </w:rPr>
        <w:t>: prohibición del artículo 33 de la Ley 996 de 2005</w:t>
      </w:r>
    </w:p>
    <w:p w14:paraId="371F0A02" w14:textId="77777777" w:rsidR="000A0DF7" w:rsidRPr="00AD47C6" w:rsidRDefault="000A0DF7" w:rsidP="000A0DF7">
      <w:pPr>
        <w:spacing w:line="276" w:lineRule="auto"/>
        <w:jc w:val="both"/>
        <w:rPr>
          <w:rFonts w:ascii="Arial" w:hAnsi="Arial" w:cs="Arial"/>
          <w:bCs/>
          <w:sz w:val="22"/>
          <w:szCs w:val="22"/>
          <w:lang w:val="es-ES_tradnl" w:eastAsia="x-none"/>
        </w:rPr>
      </w:pPr>
    </w:p>
    <w:p w14:paraId="3CCFCAAA" w14:textId="77777777" w:rsidR="000A0DF7" w:rsidRPr="00AD47C6" w:rsidRDefault="000A0DF7" w:rsidP="000A0DF7">
      <w:pPr>
        <w:spacing w:line="276" w:lineRule="auto"/>
        <w:jc w:val="both"/>
        <w:rPr>
          <w:rFonts w:ascii="Arial" w:hAnsi="Arial" w:cs="Arial"/>
          <w:bCs/>
          <w:sz w:val="22"/>
          <w:szCs w:val="22"/>
          <w:lang w:val="es-ES_tradnl" w:eastAsia="es-CO"/>
        </w:rPr>
      </w:pPr>
      <w:r w:rsidRPr="00AD47C6">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AD47C6">
        <w:rPr>
          <w:rFonts w:ascii="Arial" w:eastAsia="Calibri" w:hAnsi="Arial" w:cs="Arial"/>
          <w:bCs/>
          <w:sz w:val="20"/>
          <w:szCs w:val="20"/>
          <w:lang w:val="es-ES_tradnl" w:eastAsia="en-US"/>
        </w:rPr>
        <w:t>«</w:t>
      </w:r>
      <w:r w:rsidRPr="00AD47C6">
        <w:rPr>
          <w:rFonts w:ascii="Arial" w:hAnsi="Arial" w:cs="Arial"/>
          <w:bCs/>
          <w:sz w:val="22"/>
          <w:szCs w:val="22"/>
          <w:lang w:val="es-ES_tradnl" w:eastAsia="x-none"/>
        </w:rPr>
        <w:t>queda prohibida la contratación directa</w:t>
      </w:r>
      <w:r w:rsidRPr="00AD47C6">
        <w:rPr>
          <w:rFonts w:ascii="Arial" w:eastAsiaTheme="minorHAnsi" w:hAnsi="Arial" w:cs="Arial"/>
          <w:sz w:val="20"/>
          <w:szCs w:val="20"/>
          <w:lang w:val="es-ES_tradnl" w:eastAsia="en-US"/>
        </w:rPr>
        <w:t>»</w:t>
      </w:r>
      <w:r w:rsidRPr="00AD47C6">
        <w:rPr>
          <w:rFonts w:ascii="Arial" w:hAnsi="Arial" w:cs="Arial"/>
          <w:bCs/>
          <w:sz w:val="22"/>
          <w:szCs w:val="22"/>
          <w:lang w:val="es-ES_tradnl" w:eastAsia="x-none"/>
        </w:rPr>
        <w:t xml:space="preserve">. </w:t>
      </w:r>
      <w:r w:rsidRPr="00AD47C6">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AD47C6"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AD47C6" w:rsidRDefault="000A0DF7" w:rsidP="000A0DF7">
      <w:pPr>
        <w:spacing w:after="120"/>
        <w:ind w:left="709" w:right="709"/>
        <w:jc w:val="both"/>
        <w:rPr>
          <w:rFonts w:ascii="Arial" w:eastAsiaTheme="minorHAnsi" w:hAnsi="Arial" w:cs="Arial"/>
          <w:sz w:val="21"/>
          <w:szCs w:val="21"/>
          <w:lang w:val="es-ES_tradnl" w:eastAsia="en-US"/>
        </w:rPr>
      </w:pPr>
      <w:r w:rsidRPr="00AD47C6">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AD47C6">
        <w:rPr>
          <w:rStyle w:val="Refdenotaalpie"/>
          <w:rFonts w:ascii="Arial" w:hAnsi="Arial" w:cs="Arial"/>
          <w:sz w:val="21"/>
          <w:szCs w:val="21"/>
        </w:rPr>
        <w:footnoteReference w:id="12"/>
      </w:r>
      <w:r w:rsidRPr="00AD47C6">
        <w:rPr>
          <w:rFonts w:ascii="Arial" w:eastAsiaTheme="minorHAnsi" w:hAnsi="Arial" w:cs="Arial"/>
          <w:sz w:val="21"/>
          <w:szCs w:val="21"/>
          <w:lang w:val="es-ES_tradnl" w:eastAsia="en-US"/>
        </w:rPr>
        <w:t>.</w:t>
      </w:r>
    </w:p>
    <w:p w14:paraId="52C9341C" w14:textId="77777777" w:rsidR="000A0DF7" w:rsidRPr="00AD47C6" w:rsidRDefault="000A0DF7" w:rsidP="000A0DF7">
      <w:pPr>
        <w:ind w:left="708" w:right="709"/>
        <w:jc w:val="both"/>
        <w:rPr>
          <w:rFonts w:ascii="Arial" w:eastAsiaTheme="minorHAnsi" w:hAnsi="Arial" w:cs="Arial"/>
          <w:sz w:val="21"/>
          <w:szCs w:val="21"/>
          <w:lang w:val="es-ES_tradnl" w:eastAsia="en-US"/>
        </w:rPr>
      </w:pPr>
      <w:r w:rsidRPr="00AD47C6">
        <w:rPr>
          <w:rFonts w:ascii="Arial" w:eastAsiaTheme="minorHAnsi" w:hAnsi="Arial" w:cs="Arial"/>
          <w:sz w:val="21"/>
          <w:szCs w:val="21"/>
          <w:lang w:val="es-ES_tradnl" w:eastAsia="en-US"/>
        </w:rPr>
        <w:t xml:space="preserve">Esta Sala ha entendido </w:t>
      </w:r>
      <w:proofErr w:type="gramStart"/>
      <w:r w:rsidRPr="00AD47C6">
        <w:rPr>
          <w:rFonts w:ascii="Arial" w:eastAsiaTheme="minorHAnsi" w:hAnsi="Arial" w:cs="Arial"/>
          <w:sz w:val="21"/>
          <w:szCs w:val="21"/>
          <w:lang w:val="es-ES_tradnl" w:eastAsia="en-US"/>
        </w:rPr>
        <w:t>que</w:t>
      </w:r>
      <w:proofErr w:type="gramEnd"/>
      <w:r w:rsidRPr="00AD47C6">
        <w:rPr>
          <w:rFonts w:ascii="Arial" w:eastAsiaTheme="minorHAnsi" w:hAnsi="Arial" w:cs="Arial"/>
          <w:sz w:val="21"/>
          <w:szCs w:val="21"/>
          <w:lang w:val="es-ES_tradnl"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AD47C6">
        <w:rPr>
          <w:rStyle w:val="Refdenotaalpie"/>
          <w:rFonts w:ascii="Arial" w:hAnsi="Arial" w:cs="Arial"/>
          <w:sz w:val="21"/>
          <w:szCs w:val="21"/>
        </w:rPr>
        <w:footnoteReference w:id="13"/>
      </w:r>
      <w:r w:rsidRPr="00AD47C6">
        <w:rPr>
          <w:rFonts w:ascii="Arial" w:hAnsi="Arial" w:cs="Arial"/>
          <w:sz w:val="21"/>
          <w:szCs w:val="21"/>
          <w:vertAlign w:val="superscript"/>
          <w:lang w:val="es-ES_tradnl" w:eastAsia="en-US"/>
        </w:rPr>
        <w:t>.</w:t>
      </w:r>
      <w:r w:rsidRPr="00AD47C6">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AD47C6">
        <w:rPr>
          <w:rStyle w:val="Refdenotaalpie"/>
          <w:rFonts w:ascii="Arial" w:hAnsi="Arial" w:cs="Arial"/>
          <w:sz w:val="21"/>
          <w:szCs w:val="21"/>
        </w:rPr>
        <w:footnoteReference w:id="14"/>
      </w:r>
      <w:r w:rsidRPr="00AD47C6">
        <w:rPr>
          <w:rFonts w:ascii="Arial" w:eastAsiaTheme="minorHAnsi" w:hAnsi="Arial" w:cs="Arial"/>
          <w:sz w:val="21"/>
          <w:szCs w:val="21"/>
          <w:lang w:val="es-ES_tradnl" w:eastAsia="en-US"/>
        </w:rPr>
        <w:t xml:space="preserve"> .</w:t>
      </w:r>
    </w:p>
    <w:p w14:paraId="0BE0F269" w14:textId="77777777" w:rsidR="000A0DF7" w:rsidRPr="00AD47C6"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62E380EF" w:rsidR="000A0DF7" w:rsidRPr="00AD47C6" w:rsidRDefault="00B1029D" w:rsidP="000A0DF7">
      <w:pPr>
        <w:spacing w:after="120" w:line="276" w:lineRule="auto"/>
        <w:ind w:firstLine="708"/>
        <w:jc w:val="both"/>
        <w:rPr>
          <w:rFonts w:ascii="Arial" w:hAnsi="Arial" w:cs="Arial"/>
          <w:bCs/>
          <w:sz w:val="22"/>
          <w:szCs w:val="22"/>
          <w:lang w:val="es-ES_tradnl" w:eastAsia="x-none"/>
        </w:rPr>
      </w:pPr>
      <w:r w:rsidRPr="00AD47C6">
        <w:rPr>
          <w:rFonts w:ascii="Arial" w:hAnsi="Arial" w:cs="Arial"/>
          <w:sz w:val="22"/>
          <w:szCs w:val="22"/>
          <w:lang w:val="es-ES_tradnl" w:eastAsia="x-none"/>
        </w:rPr>
        <w:t xml:space="preserve">De acuerdo con el citado concepto, la prohibición del artículo 33 de la Ley de Garantías Electorales se refiere a </w:t>
      </w:r>
      <w:r w:rsidRPr="00AD47C6">
        <w:rPr>
          <w:rFonts w:ascii="Arial" w:hAnsi="Arial" w:cs="Arial"/>
          <w:sz w:val="19"/>
          <w:szCs w:val="19"/>
          <w:lang w:val="es-ES_tradnl" w:eastAsia="en-GB"/>
        </w:rPr>
        <w:t>«</w:t>
      </w:r>
      <w:r w:rsidRPr="00AD47C6">
        <w:rPr>
          <w:rFonts w:ascii="Arial" w:hAnsi="Arial" w:cs="Arial"/>
          <w:sz w:val="22"/>
          <w:szCs w:val="22"/>
          <w:lang w:val="es-ES_tradnl" w:eastAsia="x-none"/>
        </w:rPr>
        <w:t>cualquier sistema que no implique convocatoria pública y posibilidad de pluralidad de oferentes</w:t>
      </w:r>
      <w:r w:rsidRPr="00AD47C6">
        <w:rPr>
          <w:rFonts w:ascii="Arial" w:hAnsi="Arial" w:cs="Arial"/>
          <w:sz w:val="22"/>
          <w:szCs w:val="22"/>
          <w:lang w:val="es-ES_tradnl" w:eastAsia="en-GB"/>
        </w:rPr>
        <w:t>»</w:t>
      </w:r>
      <w:r w:rsidRPr="00AD47C6">
        <w:rPr>
          <w:rFonts w:ascii="Arial"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w:t>
      </w:r>
      <w:r w:rsidRPr="00AD47C6">
        <w:rPr>
          <w:rFonts w:ascii="Arial" w:hAnsi="Arial" w:cs="Arial"/>
          <w:sz w:val="22"/>
          <w:szCs w:val="22"/>
          <w:lang w:val="es-ES_tradnl" w:eastAsia="x-none"/>
        </w:rPr>
        <w:lastRenderedPageBreak/>
        <w:t>entre otras reformas, introdujo la selección abreviada, rediseñó el concurso de méritos</w:t>
      </w:r>
      <w:r w:rsidRPr="00AD47C6">
        <w:rPr>
          <w:rStyle w:val="Refdenotaalpie"/>
          <w:rFonts w:ascii="Arial" w:hAnsi="Arial" w:cs="Arial"/>
          <w:sz w:val="22"/>
          <w:szCs w:val="22"/>
        </w:rPr>
        <w:footnoteReference w:id="15"/>
      </w:r>
      <w:r w:rsidRPr="00AD47C6">
        <w:rPr>
          <w:rFonts w:ascii="Arial" w:hAnsi="Arial" w:cs="Arial"/>
          <w:sz w:val="22"/>
          <w:szCs w:val="22"/>
          <w:lang w:val="es-ES_tradnl" w:eastAsia="x-none"/>
        </w:rPr>
        <w:t xml:space="preserve"> y sistematizó las causales de contratación directa</w:t>
      </w:r>
      <w:r w:rsidRPr="00AD47C6">
        <w:rPr>
          <w:rStyle w:val="Refdenotaalpie"/>
          <w:rFonts w:ascii="Arial" w:hAnsi="Arial" w:cs="Arial"/>
          <w:sz w:val="22"/>
          <w:szCs w:val="22"/>
        </w:rPr>
        <w:footnoteReference w:id="16"/>
      </w:r>
      <w:r w:rsidRPr="00AD47C6">
        <w:rPr>
          <w:rFonts w:ascii="Arial" w:hAnsi="Arial" w:cs="Arial"/>
          <w:sz w:val="22"/>
          <w:szCs w:val="22"/>
          <w:lang w:val="es-ES_tradnl" w:eastAsia="x-none"/>
        </w:rPr>
        <w:t xml:space="preserve">, </w:t>
      </w:r>
      <w:r w:rsidRPr="00AD47C6">
        <w:rPr>
          <w:rFonts w:ascii="Arial" w:eastAsiaTheme="minorHAnsi" w:hAnsi="Arial" w:cs="Arial"/>
          <w:color w:val="000000" w:themeColor="text1"/>
          <w:sz w:val="22"/>
          <w:szCs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AD47C6" w:rsidRDefault="000A0DF7" w:rsidP="000A0DF7">
      <w:pPr>
        <w:spacing w:after="120" w:line="276" w:lineRule="auto"/>
        <w:ind w:firstLine="708"/>
        <w:jc w:val="both"/>
        <w:rPr>
          <w:rFonts w:ascii="Arial" w:hAnsi="Arial" w:cs="Arial"/>
          <w:sz w:val="22"/>
          <w:szCs w:val="22"/>
          <w:lang w:val="es-ES_tradnl" w:eastAsia="x-none"/>
        </w:rPr>
      </w:pPr>
      <w:r w:rsidRPr="00AD47C6">
        <w:rPr>
          <w:rFonts w:ascii="Arial" w:hAnsi="Arial" w:cs="Arial"/>
          <w:sz w:val="22"/>
          <w:szCs w:val="22"/>
          <w:lang w:val="es-ES_tradnl" w:eastAsia="x-none"/>
        </w:rPr>
        <w:t xml:space="preserve">De esta forma, con fundamento en la evolución de la normativa sobre la contratación pública, se ha depurado la noción de </w:t>
      </w:r>
      <w:r w:rsidRPr="00AD47C6">
        <w:rPr>
          <w:rFonts w:ascii="Arial" w:hAnsi="Arial" w:cs="Arial"/>
          <w:sz w:val="22"/>
          <w:szCs w:val="22"/>
          <w:lang w:val="es-ES_tradnl" w:eastAsia="en-GB"/>
        </w:rPr>
        <w:t>«</w:t>
      </w:r>
      <w:r w:rsidRPr="00AD47C6">
        <w:rPr>
          <w:rFonts w:ascii="Arial" w:hAnsi="Arial" w:cs="Arial"/>
          <w:sz w:val="22"/>
          <w:szCs w:val="22"/>
          <w:lang w:val="es-ES_tradnl" w:eastAsia="x-none"/>
        </w:rPr>
        <w:t>contratación directa</w:t>
      </w:r>
      <w:r w:rsidRPr="00AD47C6">
        <w:rPr>
          <w:rFonts w:ascii="Arial" w:hAnsi="Arial" w:cs="Arial"/>
          <w:sz w:val="22"/>
          <w:szCs w:val="22"/>
          <w:lang w:val="es-ES_tradnl" w:eastAsia="en-GB"/>
        </w:rPr>
        <w:t>»</w:t>
      </w:r>
      <w:r w:rsidRPr="00AD47C6">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AD47C6">
        <w:rPr>
          <w:rStyle w:val="Refdenotaalpie"/>
          <w:rFonts w:ascii="Arial" w:hAnsi="Arial" w:cs="Arial"/>
          <w:sz w:val="22"/>
          <w:szCs w:val="22"/>
        </w:rPr>
        <w:footnoteReference w:id="17"/>
      </w:r>
      <w:r w:rsidRPr="00AD47C6">
        <w:rPr>
          <w:rFonts w:ascii="Arial" w:hAnsi="Arial" w:cs="Arial"/>
          <w:sz w:val="22"/>
          <w:szCs w:val="22"/>
          <w:lang w:val="es-ES_tradnl" w:eastAsia="x-none"/>
        </w:rPr>
        <w:t>, han establecido sistemas de contratación que implican convocatoria pública y participación de varios oferentes</w:t>
      </w:r>
      <w:r w:rsidRPr="00AD47C6">
        <w:rPr>
          <w:rFonts w:ascii="Arial" w:hAnsi="Arial" w:cs="Arial"/>
          <w:sz w:val="22"/>
          <w:szCs w:val="22"/>
          <w:lang w:val="es-ES_tradnl" w:eastAsia="en-GB"/>
        </w:rPr>
        <w:t>»</w:t>
      </w:r>
      <w:r w:rsidRPr="00AD47C6">
        <w:rPr>
          <w:rFonts w:ascii="Arial" w:hAnsi="Arial" w:cs="Arial"/>
          <w:sz w:val="22"/>
          <w:szCs w:val="22"/>
          <w:lang w:val="es-ES_tradnl" w:eastAsia="x-none"/>
        </w:rPr>
        <w:t xml:space="preserve">. </w:t>
      </w:r>
    </w:p>
    <w:p w14:paraId="2D174A26" w14:textId="77777777" w:rsidR="000A0DF7" w:rsidRPr="00AD47C6" w:rsidRDefault="000A0DF7" w:rsidP="000A0DF7">
      <w:pPr>
        <w:spacing w:after="120" w:line="276" w:lineRule="auto"/>
        <w:ind w:firstLine="708"/>
        <w:jc w:val="both"/>
        <w:rPr>
          <w:rFonts w:ascii="Arial" w:hAnsi="Arial" w:cs="Arial"/>
          <w:bCs/>
          <w:sz w:val="22"/>
          <w:szCs w:val="22"/>
          <w:lang w:val="es-ES_tradnl" w:eastAsia="es-CO"/>
        </w:rPr>
      </w:pPr>
      <w:r w:rsidRPr="00AD47C6">
        <w:rPr>
          <w:rFonts w:ascii="Arial" w:hAnsi="Arial" w:cs="Arial"/>
          <w:bCs/>
          <w:sz w:val="22"/>
          <w:szCs w:val="22"/>
          <w:lang w:val="es-ES_tradnl" w:eastAsia="x-none"/>
        </w:rPr>
        <w:t>E</w:t>
      </w:r>
      <w:r w:rsidRPr="00AD47C6">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AD47C6">
        <w:rPr>
          <w:rStyle w:val="Refdenotaalpie"/>
          <w:rFonts w:ascii="Arial" w:hAnsi="Arial" w:cs="Arial"/>
          <w:sz w:val="22"/>
          <w:szCs w:val="22"/>
        </w:rPr>
        <w:footnoteReference w:id="18"/>
      </w:r>
      <w:r w:rsidRPr="00AD47C6">
        <w:rPr>
          <w:rFonts w:ascii="Arial" w:hAnsi="Arial" w:cs="Arial"/>
          <w:sz w:val="22"/>
          <w:szCs w:val="22"/>
          <w:lang w:val="es-ES_tradnl" w:eastAsia="x-none"/>
        </w:rPr>
        <w:t xml:space="preserve">. </w:t>
      </w:r>
    </w:p>
    <w:p w14:paraId="718461F4" w14:textId="4CD64DBB" w:rsidR="000A0DF7" w:rsidRPr="00AD47C6" w:rsidRDefault="000A0DF7" w:rsidP="000A0DF7">
      <w:pPr>
        <w:spacing w:after="120" w:line="276" w:lineRule="auto"/>
        <w:ind w:firstLine="708"/>
        <w:jc w:val="both"/>
        <w:rPr>
          <w:rFonts w:ascii="Arial" w:hAnsi="Arial" w:cs="Arial"/>
          <w:bCs/>
          <w:sz w:val="22"/>
          <w:szCs w:val="22"/>
          <w:lang w:val="es-ES_tradnl" w:eastAsia="es-CO"/>
        </w:rPr>
      </w:pPr>
      <w:r w:rsidRPr="00AD47C6">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AD47C6">
        <w:rPr>
          <w:rFonts w:ascii="Arial" w:hAnsi="Arial" w:cs="Arial"/>
          <w:bCs/>
          <w:sz w:val="22"/>
          <w:szCs w:val="22"/>
          <w:lang w:val="es-ES_tradnl" w:eastAsia="es-CO"/>
        </w:rPr>
        <w:t>g</w:t>
      </w:r>
      <w:r w:rsidRPr="00AD47C6">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AD47C6" w:rsidRDefault="000A0DF7" w:rsidP="000A0DF7">
      <w:pPr>
        <w:spacing w:after="120" w:line="276" w:lineRule="auto"/>
        <w:ind w:firstLine="708"/>
        <w:jc w:val="both"/>
        <w:rPr>
          <w:rFonts w:ascii="Arial" w:hAnsi="Arial" w:cs="Arial"/>
          <w:bCs/>
          <w:sz w:val="22"/>
          <w:szCs w:val="22"/>
          <w:lang w:val="es-ES_tradnl" w:eastAsia="x-none"/>
        </w:rPr>
      </w:pPr>
      <w:r w:rsidRPr="00AD47C6">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w:t>
      </w:r>
      <w:r w:rsidRPr="00AD47C6">
        <w:rPr>
          <w:rFonts w:ascii="Arial" w:hAnsi="Arial" w:cs="Arial"/>
          <w:bCs/>
          <w:sz w:val="22"/>
          <w:szCs w:val="22"/>
          <w:lang w:val="es-ES_tradnl" w:eastAsia="x-none"/>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AD47C6">
        <w:rPr>
          <w:rStyle w:val="Refdenotaalpie"/>
          <w:rFonts w:ascii="Arial" w:hAnsi="Arial" w:cs="Arial"/>
          <w:sz w:val="22"/>
          <w:szCs w:val="22"/>
        </w:rPr>
        <w:footnoteReference w:id="19"/>
      </w:r>
      <w:r w:rsidRPr="00AD47C6">
        <w:rPr>
          <w:rFonts w:ascii="Arial" w:hAnsi="Arial" w:cs="Arial"/>
          <w:bCs/>
          <w:sz w:val="22"/>
          <w:szCs w:val="22"/>
          <w:lang w:val="es-ES_tradnl" w:eastAsia="x-none"/>
        </w:rPr>
        <w:t>.</w:t>
      </w:r>
      <w:r w:rsidRPr="00AD47C6">
        <w:rPr>
          <w:rFonts w:ascii="Arial" w:hAnsi="Arial" w:cs="Arial"/>
          <w:sz w:val="22"/>
          <w:szCs w:val="22"/>
          <w:vertAlign w:val="superscript"/>
          <w:lang w:val="es-ES_tradnl" w:eastAsia="x-none"/>
        </w:rPr>
        <w:t xml:space="preserve"> </w:t>
      </w:r>
    </w:p>
    <w:p w14:paraId="0FF3EDA2" w14:textId="6E962F8D" w:rsidR="000A0DF7" w:rsidRPr="00AD47C6" w:rsidRDefault="000A0DF7" w:rsidP="000A0DF7">
      <w:pPr>
        <w:spacing w:after="120" w:line="276" w:lineRule="auto"/>
        <w:ind w:firstLine="708"/>
        <w:jc w:val="both"/>
        <w:rPr>
          <w:rFonts w:ascii="Arial" w:hAnsi="Arial" w:cs="Arial"/>
          <w:sz w:val="22"/>
          <w:szCs w:val="22"/>
          <w:lang w:val="es-ES_tradnl" w:eastAsia="x-none"/>
        </w:rPr>
      </w:pPr>
      <w:r w:rsidRPr="00AD47C6">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AD47C6">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AD47C6">
        <w:rPr>
          <w:rFonts w:ascii="Arial" w:hAnsi="Arial" w:cs="Arial"/>
          <w:sz w:val="22"/>
          <w:szCs w:val="22"/>
          <w:lang w:val="es-ES_tradnl" w:eastAsia="x-none"/>
        </w:rPr>
        <w:t>,</w:t>
      </w:r>
      <w:r w:rsidRPr="00AD47C6">
        <w:rPr>
          <w:rFonts w:ascii="Arial" w:hAnsi="Arial" w:cs="Arial"/>
          <w:sz w:val="22"/>
          <w:szCs w:val="22"/>
          <w:lang w:val="es-ES_tradnl" w:eastAsia="x-none"/>
        </w:rPr>
        <w:t xml:space="preserve"> la selección abreviada</w:t>
      </w:r>
      <w:r w:rsidR="00B1029D" w:rsidRPr="00AD47C6">
        <w:rPr>
          <w:rFonts w:ascii="Arial" w:hAnsi="Arial" w:cs="Arial"/>
          <w:sz w:val="22"/>
          <w:szCs w:val="22"/>
          <w:lang w:val="es-ES_tradnl" w:eastAsia="x-none"/>
        </w:rPr>
        <w:t xml:space="preserve"> y la mínima cuantía</w:t>
      </w:r>
      <w:r w:rsidRPr="00AD47C6">
        <w:rPr>
          <w:rFonts w:ascii="Arial" w:hAnsi="Arial" w:cs="Arial"/>
          <w:sz w:val="22"/>
          <w:szCs w:val="22"/>
          <w:lang w:val="es-ES_tradnl" w:eastAsia="x-none"/>
        </w:rPr>
        <w:t xml:space="preserve">, razón por la cual en ese período preelectoral de que trata la disposición las entidades públicas </w:t>
      </w:r>
      <w:r w:rsidR="00181B85" w:rsidRPr="00AD47C6">
        <w:rPr>
          <w:rFonts w:ascii="Arial" w:hAnsi="Arial" w:cs="Arial"/>
          <w:sz w:val="22"/>
          <w:szCs w:val="22"/>
          <w:lang w:val="es-ES_tradnl" w:eastAsia="x-none"/>
        </w:rPr>
        <w:t>pueden</w:t>
      </w:r>
      <w:r w:rsidR="00B1029D" w:rsidRPr="00AD47C6">
        <w:rPr>
          <w:rFonts w:ascii="Arial" w:hAnsi="Arial" w:cs="Arial"/>
          <w:sz w:val="22"/>
          <w:szCs w:val="22"/>
          <w:lang w:val="es-ES_tradnl" w:eastAsia="x-none"/>
        </w:rPr>
        <w:t xml:space="preserve"> </w:t>
      </w:r>
      <w:r w:rsidRPr="00AD47C6">
        <w:rPr>
          <w:rFonts w:ascii="Arial" w:hAnsi="Arial" w:cs="Arial"/>
          <w:sz w:val="22"/>
          <w:szCs w:val="22"/>
          <w:lang w:val="es-ES_tradnl" w:eastAsia="x-none"/>
        </w:rPr>
        <w:t xml:space="preserve">seguir contratando bajo estos </w:t>
      </w:r>
      <w:r w:rsidR="004C033C" w:rsidRPr="00AD47C6">
        <w:rPr>
          <w:rFonts w:ascii="Arial" w:hAnsi="Arial" w:cs="Arial"/>
          <w:sz w:val="22"/>
          <w:szCs w:val="22"/>
          <w:lang w:val="es-ES_tradnl" w:eastAsia="x-none"/>
        </w:rPr>
        <w:t>procedimientos</w:t>
      </w:r>
      <w:r w:rsidRPr="00AD47C6">
        <w:rPr>
          <w:rFonts w:ascii="Arial" w:hAnsi="Arial" w:cs="Arial"/>
          <w:sz w:val="22"/>
          <w:szCs w:val="22"/>
          <w:lang w:val="es-ES_tradnl" w:eastAsia="x-none"/>
        </w:rPr>
        <w:t>.</w:t>
      </w:r>
    </w:p>
    <w:p w14:paraId="1BF02803" w14:textId="3338257F" w:rsidR="000A0DF7" w:rsidRPr="00AD47C6" w:rsidRDefault="000A0DF7" w:rsidP="000A0DF7">
      <w:pPr>
        <w:spacing w:after="120" w:line="276" w:lineRule="auto"/>
        <w:ind w:firstLine="708"/>
        <w:jc w:val="both"/>
        <w:rPr>
          <w:rFonts w:ascii="Arial" w:hAnsi="Arial" w:cs="Arial"/>
          <w:bCs/>
          <w:sz w:val="22"/>
          <w:szCs w:val="22"/>
          <w:lang w:val="es-ES_tradnl" w:eastAsia="x-none"/>
        </w:rPr>
      </w:pPr>
      <w:r w:rsidRPr="00AD47C6">
        <w:rPr>
          <w:rFonts w:ascii="Arial" w:hAnsi="Arial"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AD47C6">
        <w:rPr>
          <w:rFonts w:ascii="Arial" w:hAnsi="Arial" w:cs="Arial"/>
          <w:bCs/>
          <w:sz w:val="22"/>
          <w:szCs w:val="22"/>
          <w:lang w:val="es-ES_tradnl" w:eastAsia="es-CO"/>
        </w:rPr>
        <w:t>entrada en vigencia</w:t>
      </w:r>
      <w:proofErr w:type="gramEnd"/>
      <w:r w:rsidRPr="00AD47C6">
        <w:rPr>
          <w:rFonts w:ascii="Arial" w:hAnsi="Arial" w:cs="Arial"/>
          <w:bCs/>
          <w:sz w:val="22"/>
          <w:szCs w:val="22"/>
          <w:lang w:val="es-ES_tradnl" w:eastAsia="es-CO"/>
        </w:rPr>
        <w:t xml:space="preserve"> de las prohibiciones anotadas, así como la cesión de los mismos, pueden tener lugar en el período de aplicación de la Ley de Garantías</w:t>
      </w:r>
      <w:r w:rsidR="00577458" w:rsidRPr="00AD47C6">
        <w:rPr>
          <w:rStyle w:val="Refdenotaalpie"/>
          <w:rFonts w:ascii="Arial" w:hAnsi="Arial" w:cs="Arial"/>
          <w:sz w:val="22"/>
          <w:szCs w:val="22"/>
        </w:rPr>
        <w:footnoteReference w:id="20"/>
      </w:r>
      <w:r w:rsidR="00A4495C" w:rsidRPr="00AD47C6">
        <w:rPr>
          <w:rFonts w:ascii="Arial" w:hAnsi="Arial" w:cs="Arial"/>
          <w:bCs/>
          <w:sz w:val="22"/>
          <w:szCs w:val="22"/>
          <w:lang w:val="es-ES_tradnl" w:eastAsia="es-CO"/>
        </w:rPr>
        <w:t>. Esto</w:t>
      </w:r>
      <w:r w:rsidRPr="00AD47C6">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AD47C6" w:rsidRDefault="000A0DF7" w:rsidP="000A0DF7">
      <w:pPr>
        <w:spacing w:after="120" w:line="276" w:lineRule="auto"/>
        <w:ind w:firstLine="708"/>
        <w:jc w:val="both"/>
        <w:rPr>
          <w:rFonts w:ascii="Arial" w:hAnsi="Arial" w:cs="Arial"/>
          <w:bCs/>
          <w:sz w:val="22"/>
          <w:szCs w:val="22"/>
          <w:lang w:val="es-ES_tradnl" w:eastAsia="es-CO"/>
        </w:rPr>
      </w:pPr>
      <w:r w:rsidRPr="00AD47C6">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AD47C6">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AD47C6" w:rsidRDefault="000A0DF7" w:rsidP="00025E0C">
      <w:pPr>
        <w:spacing w:line="276" w:lineRule="auto"/>
        <w:ind w:firstLine="708"/>
        <w:jc w:val="both"/>
        <w:rPr>
          <w:rFonts w:ascii="Arial" w:hAnsi="Arial" w:cs="Arial"/>
          <w:bCs/>
          <w:sz w:val="22"/>
          <w:szCs w:val="22"/>
          <w:lang w:val="es-ES_tradnl" w:eastAsia="x-none"/>
        </w:rPr>
      </w:pPr>
      <w:r w:rsidRPr="00AD47C6">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AD47C6">
        <w:rPr>
          <w:rFonts w:ascii="Arial" w:hAnsi="Arial" w:cs="Arial"/>
          <w:bCs/>
          <w:sz w:val="22"/>
          <w:szCs w:val="22"/>
          <w:lang w:val="es-ES_tradnl" w:eastAsia="x-none"/>
        </w:rPr>
        <w:lastRenderedPageBreak/>
        <w:t>ejecutivo, como son los inmersos en las excepciones para la prohibición de contratación»</w:t>
      </w:r>
      <w:r w:rsidRPr="00AD47C6">
        <w:rPr>
          <w:rStyle w:val="Refdenotaalpie"/>
          <w:rFonts w:ascii="Arial" w:eastAsiaTheme="minorHAnsi" w:hAnsi="Arial" w:cs="Arial"/>
          <w:sz w:val="22"/>
          <w:szCs w:val="22"/>
        </w:rPr>
        <w:footnoteReference w:id="21"/>
      </w:r>
      <w:r w:rsidRPr="00AD47C6">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AD47C6" w:rsidRDefault="000A0DF7" w:rsidP="00025E0C">
      <w:pPr>
        <w:spacing w:before="120" w:line="276" w:lineRule="auto"/>
        <w:ind w:firstLine="709"/>
        <w:jc w:val="both"/>
        <w:rPr>
          <w:rFonts w:ascii="Arial" w:hAnsi="Arial" w:cs="Arial"/>
          <w:bCs/>
          <w:sz w:val="22"/>
          <w:szCs w:val="22"/>
          <w:lang w:val="es-ES_tradnl" w:eastAsia="x-none"/>
        </w:rPr>
      </w:pPr>
      <w:r w:rsidRPr="00AD47C6">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D47C6">
        <w:rPr>
          <w:rFonts w:ascii="Arial" w:eastAsiaTheme="minorHAnsi" w:hAnsi="Arial" w:cs="Arial"/>
          <w:sz w:val="22"/>
          <w:szCs w:val="22"/>
          <w:lang w:val="es-ES_tradnl" w:eastAsia="en-US"/>
        </w:rPr>
        <w:t xml:space="preserve"> </w:t>
      </w:r>
      <w:r w:rsidRPr="00AD47C6">
        <w:rPr>
          <w:rFonts w:ascii="Arial" w:hAnsi="Arial" w:cs="Arial"/>
          <w:bCs/>
          <w:sz w:val="22"/>
          <w:szCs w:val="22"/>
          <w:lang w:val="es-ES_tradnl" w:eastAsia="x-none"/>
        </w:rPr>
        <w:t>En efecto, tal como lo ha sostenido el Consejo de Estado, el vocablo «todos» utilizado por el legislador comprende</w:t>
      </w:r>
      <w:r w:rsidRPr="00AD47C6">
        <w:rPr>
          <w:rFonts w:ascii="Arial" w:eastAsiaTheme="minorHAnsi" w:hAnsi="Arial" w:cs="Arial"/>
          <w:sz w:val="22"/>
          <w:szCs w:val="22"/>
          <w:lang w:val="es-ES_tradnl" w:eastAsia="en-US"/>
        </w:rPr>
        <w:t xml:space="preserve"> </w:t>
      </w:r>
      <w:r w:rsidRPr="00AD47C6">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AD47C6">
        <w:rPr>
          <w:rFonts w:ascii="Arial" w:hAnsi="Arial" w:cs="Arial"/>
          <w:bCs/>
          <w:sz w:val="22"/>
          <w:szCs w:val="22"/>
          <w:lang w:val="es-ES_tradnl" w:eastAsia="x-none"/>
        </w:rPr>
        <w:t>La Sala de Consulta y Servicio Civil de</w:t>
      </w:r>
      <w:r w:rsidRPr="00AD47C6">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AD47C6"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AD47C6" w:rsidRDefault="000A0DF7" w:rsidP="000A0DF7">
      <w:pPr>
        <w:ind w:left="708" w:right="709"/>
        <w:jc w:val="both"/>
        <w:rPr>
          <w:rFonts w:ascii="Arial" w:hAnsi="Arial" w:cs="Arial"/>
          <w:bCs/>
          <w:sz w:val="21"/>
          <w:szCs w:val="21"/>
          <w:lang w:val="es-ES_tradnl" w:eastAsia="es-CO"/>
        </w:rPr>
      </w:pPr>
      <w:r w:rsidRPr="00AD47C6">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AD47C6">
        <w:rPr>
          <w:rStyle w:val="Refdenotaalpie"/>
          <w:rFonts w:ascii="Arial" w:hAnsi="Arial" w:cs="Arial"/>
          <w:sz w:val="21"/>
          <w:szCs w:val="21"/>
        </w:rPr>
        <w:footnoteReference w:id="22"/>
      </w:r>
      <w:r w:rsidRPr="00AD47C6">
        <w:rPr>
          <w:rFonts w:ascii="Arial" w:hAnsi="Arial" w:cs="Arial"/>
          <w:bCs/>
          <w:sz w:val="21"/>
          <w:szCs w:val="21"/>
          <w:lang w:val="es-ES_tradnl" w:eastAsia="x-none"/>
        </w:rPr>
        <w:t>.</w:t>
      </w:r>
      <w:r w:rsidRPr="00AD47C6">
        <w:rPr>
          <w:rFonts w:ascii="Arial" w:hAnsi="Arial" w:cs="Arial"/>
          <w:bCs/>
          <w:sz w:val="21"/>
          <w:szCs w:val="21"/>
          <w:lang w:val="es-ES_tradnl" w:eastAsia="es-CO"/>
        </w:rPr>
        <w:t xml:space="preserve"> </w:t>
      </w:r>
    </w:p>
    <w:p w14:paraId="0E6617E8" w14:textId="77777777" w:rsidR="000A0DF7" w:rsidRPr="00AD47C6" w:rsidRDefault="000A0DF7" w:rsidP="000A0DF7">
      <w:pPr>
        <w:spacing w:line="276" w:lineRule="auto"/>
        <w:ind w:firstLine="708"/>
        <w:jc w:val="both"/>
        <w:rPr>
          <w:rFonts w:ascii="Arial" w:hAnsi="Arial" w:cs="Arial"/>
          <w:bCs/>
          <w:sz w:val="22"/>
          <w:szCs w:val="22"/>
          <w:lang w:val="es-ES_tradnl" w:eastAsia="es-CO"/>
        </w:rPr>
      </w:pPr>
    </w:p>
    <w:p w14:paraId="05998FAF" w14:textId="77777777" w:rsidR="000A0DF7" w:rsidRPr="00AD47C6" w:rsidRDefault="000A0DF7" w:rsidP="000A0DF7">
      <w:pPr>
        <w:spacing w:line="276" w:lineRule="auto"/>
        <w:ind w:firstLine="708"/>
        <w:jc w:val="both"/>
        <w:rPr>
          <w:rFonts w:ascii="Arial" w:hAnsi="Arial" w:cs="Arial"/>
          <w:bCs/>
          <w:sz w:val="22"/>
          <w:szCs w:val="22"/>
          <w:lang w:val="es-ES_tradnl" w:eastAsia="x-none"/>
        </w:rPr>
      </w:pPr>
      <w:r w:rsidRPr="00AD47C6">
        <w:rPr>
          <w:rFonts w:ascii="Arial" w:eastAsiaTheme="minorHAnsi" w:hAnsi="Arial" w:cs="Arial"/>
          <w:sz w:val="22"/>
          <w:szCs w:val="22"/>
          <w:lang w:val="es-ES_tradnl" w:eastAsia="en-US"/>
        </w:rPr>
        <w:t xml:space="preserve">Por lo tanto, la restricción prevista en la Ley 996 de 2005, </w:t>
      </w:r>
      <w:r w:rsidRPr="00AD47C6">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w:t>
      </w:r>
      <w:r w:rsidRPr="00AD47C6">
        <w:rPr>
          <w:rFonts w:ascii="Arial" w:hAnsi="Arial" w:cs="Arial"/>
          <w:bCs/>
          <w:sz w:val="22"/>
          <w:szCs w:val="22"/>
          <w:lang w:val="es-ES_tradnl" w:eastAsia="x-none"/>
        </w:rPr>
        <w:lastRenderedPageBreak/>
        <w:t>los electores y alterar la voluntad popular en las contiendas electorales, se puede presentar tanto en la contratación regulada por la Ley 80 de 1993 como en la regida por normas especiales.</w:t>
      </w:r>
    </w:p>
    <w:p w14:paraId="3A7441E0" w14:textId="391CC3FD" w:rsidR="000A0DF7" w:rsidRPr="00AD47C6" w:rsidRDefault="000A0DF7" w:rsidP="000A0DF7">
      <w:pPr>
        <w:tabs>
          <w:tab w:val="left" w:pos="426"/>
        </w:tabs>
        <w:spacing w:line="276" w:lineRule="auto"/>
        <w:jc w:val="both"/>
        <w:rPr>
          <w:rFonts w:ascii="Arial" w:hAnsi="Arial" w:cs="Arial"/>
          <w:bCs/>
          <w:sz w:val="22"/>
          <w:szCs w:val="22"/>
          <w:lang w:val="es-ES_tradnl" w:eastAsia="es-CO"/>
        </w:rPr>
      </w:pPr>
    </w:p>
    <w:p w14:paraId="148F77A4" w14:textId="299723FD" w:rsidR="00711612" w:rsidRPr="00AD47C6" w:rsidRDefault="00711612" w:rsidP="00711612">
      <w:pPr>
        <w:spacing w:line="276" w:lineRule="auto"/>
        <w:jc w:val="both"/>
        <w:rPr>
          <w:rFonts w:ascii="Arial" w:eastAsia="Calibri" w:hAnsi="Arial" w:cs="Arial"/>
          <w:b/>
          <w:bCs/>
          <w:color w:val="000000" w:themeColor="text1"/>
          <w:sz w:val="22"/>
        </w:rPr>
      </w:pPr>
      <w:r w:rsidRPr="00AD47C6">
        <w:rPr>
          <w:rFonts w:ascii="Arial" w:eastAsia="Calibri" w:hAnsi="Arial" w:cs="Arial"/>
          <w:b/>
          <w:bCs/>
          <w:color w:val="000000" w:themeColor="text1"/>
          <w:sz w:val="22"/>
        </w:rPr>
        <w:t>2.3. Contratos con organismos internacionales y restricciones de la Ley de Garantías</w:t>
      </w:r>
      <w:r w:rsidR="00EB7A21" w:rsidRPr="00AD47C6">
        <w:rPr>
          <w:rFonts w:ascii="Arial" w:eastAsia="Calibri" w:hAnsi="Arial" w:cs="Arial"/>
          <w:b/>
          <w:bCs/>
          <w:color w:val="000000" w:themeColor="text1"/>
          <w:sz w:val="22"/>
        </w:rPr>
        <w:t xml:space="preserve"> para la contratación directa</w:t>
      </w:r>
    </w:p>
    <w:p w14:paraId="5EED8619" w14:textId="77777777" w:rsidR="00711612" w:rsidRPr="00AD47C6" w:rsidRDefault="00711612" w:rsidP="00711612">
      <w:pPr>
        <w:spacing w:line="276" w:lineRule="auto"/>
        <w:jc w:val="both"/>
        <w:rPr>
          <w:rFonts w:ascii="Arial" w:eastAsia="Calibri" w:hAnsi="Arial" w:cs="Arial"/>
          <w:b/>
          <w:bCs/>
          <w:color w:val="000000" w:themeColor="text1"/>
          <w:sz w:val="22"/>
        </w:rPr>
      </w:pPr>
    </w:p>
    <w:p w14:paraId="593E5DC6" w14:textId="77777777" w:rsidR="00711612" w:rsidRPr="00AD47C6" w:rsidRDefault="00711612" w:rsidP="00711612">
      <w:pPr>
        <w:spacing w:after="120" w:line="276" w:lineRule="auto"/>
        <w:jc w:val="both"/>
        <w:rPr>
          <w:rFonts w:ascii="Arial" w:hAnsi="Arial" w:cs="Arial"/>
          <w:sz w:val="22"/>
          <w:szCs w:val="22"/>
          <w:lang w:val="es-ES" w:eastAsia="en-US"/>
        </w:rPr>
      </w:pPr>
      <w:r w:rsidRPr="00AD47C6">
        <w:rPr>
          <w:rFonts w:ascii="Arial" w:hAnsi="Arial" w:cs="Arial"/>
          <w:sz w:val="22"/>
          <w:szCs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AD47C6">
        <w:rPr>
          <w:rStyle w:val="Refdenotaalpie"/>
          <w:rFonts w:ascii="Arial" w:hAnsi="Arial" w:cs="Arial"/>
          <w:sz w:val="22"/>
          <w:szCs w:val="22"/>
        </w:rPr>
        <w:footnoteReference w:id="23"/>
      </w:r>
      <w:r w:rsidRPr="00AD47C6">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A0EA0D3" w14:textId="07F1C65E" w:rsidR="00711612" w:rsidRPr="00AD47C6" w:rsidRDefault="00711612" w:rsidP="00742316">
      <w:pPr>
        <w:pStyle w:val="Prrafodelista"/>
        <w:snapToGrid w:val="0"/>
        <w:spacing w:before="120" w:after="120" w:line="276" w:lineRule="auto"/>
        <w:ind w:left="0" w:firstLine="709"/>
        <w:jc w:val="both"/>
        <w:rPr>
          <w:rFonts w:ascii="Arial" w:eastAsia="Calibri" w:hAnsi="Arial" w:cs="Arial"/>
          <w:sz w:val="22"/>
        </w:rPr>
      </w:pPr>
      <w:r w:rsidRPr="00AD47C6">
        <w:rPr>
          <w:rFonts w:ascii="Arial" w:eastAsia="Calibri" w:hAnsi="Arial" w:cs="Arial"/>
          <w:sz w:val="22"/>
        </w:rPr>
        <w:t>El artículo 13 de la Ley 80 de 1993 regula de forma general el régimen aplicable a los contratos que celebren las entidades referidas en el artículo segundo del estatuto</w:t>
      </w:r>
      <w:r w:rsidRPr="00AD47C6">
        <w:rPr>
          <w:rStyle w:val="Refdenotaalpie"/>
          <w:rFonts w:ascii="Arial" w:hAnsi="Arial" w:cs="Arial"/>
          <w:sz w:val="22"/>
        </w:rPr>
        <w:footnoteReference w:id="24"/>
      </w:r>
      <w:r w:rsidRPr="00AD47C6">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w:t>
      </w:r>
      <w:r w:rsidR="009B6E80" w:rsidRPr="00AD47C6">
        <w:rPr>
          <w:rFonts w:ascii="Arial" w:eastAsia="Calibri" w:hAnsi="Arial" w:cs="Arial"/>
          <w:sz w:val="22"/>
        </w:rPr>
        <w:t>General de Contratación de la Administración Pública</w:t>
      </w:r>
      <w:r w:rsidRPr="00AD47C6">
        <w:rPr>
          <w:rFonts w:ascii="Arial" w:eastAsia="Calibri" w:hAnsi="Arial" w:cs="Arial"/>
          <w:sz w:val="22"/>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6153B633" w14:textId="77777777" w:rsidR="00742316" w:rsidRPr="00AD47C6" w:rsidRDefault="00742316" w:rsidP="00742316">
      <w:pPr>
        <w:pStyle w:val="Prrafodelista"/>
        <w:snapToGrid w:val="0"/>
        <w:spacing w:before="120" w:after="120" w:line="276" w:lineRule="auto"/>
        <w:ind w:left="0" w:firstLine="709"/>
        <w:jc w:val="both"/>
        <w:rPr>
          <w:rFonts w:ascii="Arial" w:eastAsia="Calibri" w:hAnsi="Arial" w:cs="Arial"/>
          <w:sz w:val="12"/>
          <w:szCs w:val="12"/>
        </w:rPr>
      </w:pPr>
    </w:p>
    <w:p w14:paraId="2E3C8C0E" w14:textId="3A1A3A9E" w:rsidR="00711612" w:rsidRPr="00AD47C6" w:rsidRDefault="00711612" w:rsidP="00711612">
      <w:pPr>
        <w:pStyle w:val="Prrafodelista"/>
        <w:snapToGrid w:val="0"/>
        <w:spacing w:line="276" w:lineRule="auto"/>
        <w:ind w:left="0" w:firstLine="709"/>
        <w:jc w:val="both"/>
        <w:rPr>
          <w:rFonts w:ascii="Arial" w:eastAsia="Calibri" w:hAnsi="Arial" w:cs="Arial"/>
          <w:sz w:val="22"/>
        </w:rPr>
      </w:pPr>
      <w:r w:rsidRPr="00AD47C6">
        <w:rPr>
          <w:rFonts w:ascii="Arial" w:eastAsia="Calibri" w:hAnsi="Arial" w:cs="Arial"/>
          <w:sz w:val="22"/>
        </w:rPr>
        <w:t>Nótese c</w:t>
      </w:r>
      <w:r w:rsidR="001E04D8" w:rsidRPr="00AD47C6">
        <w:rPr>
          <w:rFonts w:ascii="Arial" w:eastAsia="Calibri" w:hAnsi="Arial" w:cs="Arial"/>
          <w:sz w:val="22"/>
        </w:rPr>
        <w:t>ó</w:t>
      </w:r>
      <w:r w:rsidRPr="00AD47C6">
        <w:rPr>
          <w:rFonts w:ascii="Arial" w:eastAsia="Calibri" w:hAnsi="Arial" w:cs="Arial"/>
          <w:sz w:val="22"/>
        </w:rPr>
        <w:t xml:space="preserve">mo el artículo citado permite que las entidades estatales no se rijan siempre por la normativa colombiana, permitiendo, en algunos casos, la aplicación de la ley extranjera. Además de los supuestos anteriores, el Consejo de Estado explica, en general, </w:t>
      </w:r>
      <w:r w:rsidRPr="00AD47C6">
        <w:rPr>
          <w:rFonts w:ascii="Arial" w:eastAsia="Calibri" w:hAnsi="Arial" w:cs="Arial"/>
          <w:sz w:val="22"/>
        </w:rPr>
        <w:lastRenderedPageBreak/>
        <w:t xml:space="preserve">los </w:t>
      </w:r>
      <w:r w:rsidR="00DA7FAB" w:rsidRPr="00AD47C6">
        <w:rPr>
          <w:rFonts w:ascii="Arial" w:eastAsia="Calibri" w:hAnsi="Arial" w:cs="Arial"/>
          <w:sz w:val="22"/>
        </w:rPr>
        <w:t xml:space="preserve">siguientes </w:t>
      </w:r>
      <w:r w:rsidRPr="00AD47C6">
        <w:rPr>
          <w:rFonts w:ascii="Arial" w:eastAsia="Calibri" w:hAnsi="Arial" w:cs="Arial"/>
          <w:sz w:val="22"/>
        </w:rPr>
        <w:t>escenarios</w:t>
      </w:r>
      <w:r w:rsidR="00DA7FAB" w:rsidRPr="00AD47C6">
        <w:rPr>
          <w:rFonts w:ascii="Arial" w:eastAsia="Calibri" w:hAnsi="Arial" w:cs="Arial"/>
          <w:sz w:val="22"/>
        </w:rPr>
        <w:t xml:space="preserve">, en los cuales </w:t>
      </w:r>
      <w:r w:rsidRPr="00AD47C6">
        <w:rPr>
          <w:rFonts w:ascii="Arial" w:eastAsia="Calibri" w:hAnsi="Arial" w:cs="Arial"/>
          <w:sz w:val="22"/>
        </w:rPr>
        <w:t>el régimen jurídico puede ser uno diferente al prescrito en el derecho nacional, pese a tratarse de contratos sometidos</w:t>
      </w:r>
      <w:r w:rsidR="00DA7FAB" w:rsidRPr="00AD47C6">
        <w:rPr>
          <w:rFonts w:ascii="Arial" w:eastAsia="Calibri" w:hAnsi="Arial" w:cs="Arial"/>
          <w:sz w:val="22"/>
        </w:rPr>
        <w:t>,</w:t>
      </w:r>
      <w:r w:rsidRPr="00AD47C6">
        <w:rPr>
          <w:rFonts w:ascii="Arial" w:eastAsia="Calibri" w:hAnsi="Arial" w:cs="Arial"/>
          <w:sz w:val="22"/>
        </w:rPr>
        <w:t xml:space="preserve"> en principio</w:t>
      </w:r>
      <w:r w:rsidR="00DA7FAB" w:rsidRPr="00AD47C6">
        <w:rPr>
          <w:rFonts w:ascii="Arial" w:eastAsia="Calibri" w:hAnsi="Arial" w:cs="Arial"/>
          <w:sz w:val="22"/>
        </w:rPr>
        <w:t>,</w:t>
      </w:r>
      <w:r w:rsidRPr="00AD47C6">
        <w:rPr>
          <w:rFonts w:ascii="Arial" w:eastAsia="Calibri" w:hAnsi="Arial" w:cs="Arial"/>
          <w:sz w:val="22"/>
        </w:rPr>
        <w:t xml:space="preserve"> a la Ley 80 de 1993:</w:t>
      </w:r>
    </w:p>
    <w:p w14:paraId="63D5C0E9" w14:textId="77777777" w:rsidR="00711612" w:rsidRPr="00AD47C6" w:rsidRDefault="00711612" w:rsidP="00711612">
      <w:pPr>
        <w:pStyle w:val="Prrafodelista"/>
        <w:snapToGrid w:val="0"/>
        <w:spacing w:line="276" w:lineRule="auto"/>
        <w:ind w:left="0" w:firstLine="709"/>
        <w:jc w:val="both"/>
        <w:rPr>
          <w:rFonts w:ascii="Arial" w:eastAsia="Calibri" w:hAnsi="Arial" w:cs="Arial"/>
          <w:sz w:val="22"/>
        </w:rPr>
      </w:pPr>
    </w:p>
    <w:p w14:paraId="1A56A3F5" w14:textId="77777777" w:rsidR="00711612" w:rsidRPr="00AD47C6" w:rsidRDefault="00711612" w:rsidP="00711612">
      <w:pPr>
        <w:pStyle w:val="Prrafodelista"/>
        <w:ind w:left="709" w:right="709"/>
        <w:jc w:val="both"/>
        <w:rPr>
          <w:rFonts w:ascii="Arial" w:eastAsia="MS Mincho" w:hAnsi="Arial" w:cs="Arial"/>
          <w:sz w:val="21"/>
          <w:szCs w:val="21"/>
          <w:lang w:eastAsia="es-ES"/>
        </w:rPr>
      </w:pPr>
      <w:r w:rsidRPr="00AD47C6">
        <w:rPr>
          <w:rFonts w:ascii="Arial" w:eastAsia="MS Mincho" w:hAnsi="Arial" w:cs="Arial"/>
          <w:sz w:val="21"/>
          <w:szCs w:val="21"/>
          <w:lang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AD47C6">
        <w:rPr>
          <w:rStyle w:val="Refdenotaalpie"/>
          <w:rFonts w:ascii="Arial" w:hAnsi="Arial" w:cs="Arial"/>
          <w:sz w:val="21"/>
          <w:szCs w:val="21"/>
        </w:rPr>
        <w:footnoteReference w:id="25"/>
      </w:r>
      <w:r w:rsidRPr="00AD47C6">
        <w:rPr>
          <w:rFonts w:ascii="Arial" w:eastAsia="MS Mincho" w:hAnsi="Arial" w:cs="Arial"/>
          <w:sz w:val="21"/>
          <w:szCs w:val="21"/>
          <w:lang w:eastAsia="es-ES"/>
        </w:rPr>
        <w:t xml:space="preserve">. </w:t>
      </w:r>
    </w:p>
    <w:p w14:paraId="08DCA468" w14:textId="77777777" w:rsidR="00711612" w:rsidRPr="00AD47C6" w:rsidRDefault="00711612" w:rsidP="00711612">
      <w:pPr>
        <w:pStyle w:val="Prrafodelista"/>
        <w:spacing w:before="120" w:line="276" w:lineRule="auto"/>
        <w:ind w:left="851" w:right="709"/>
        <w:jc w:val="both"/>
        <w:rPr>
          <w:rFonts w:ascii="Arial" w:eastAsia="Calibri" w:hAnsi="Arial" w:cs="Arial"/>
          <w:sz w:val="22"/>
        </w:rPr>
      </w:pPr>
    </w:p>
    <w:p w14:paraId="139BD851" w14:textId="272717F2" w:rsidR="00711612" w:rsidRPr="00AD47C6" w:rsidRDefault="00711612" w:rsidP="00711612">
      <w:pPr>
        <w:spacing w:line="276" w:lineRule="auto"/>
        <w:ind w:firstLine="709"/>
        <w:jc w:val="both"/>
        <w:rPr>
          <w:rFonts w:ascii="Arial" w:eastAsia="Calibri" w:hAnsi="Arial" w:cs="Arial"/>
          <w:sz w:val="22"/>
          <w:lang w:val="es-ES"/>
        </w:rPr>
      </w:pPr>
      <w:r w:rsidRPr="00AD47C6">
        <w:rPr>
          <w:rFonts w:ascii="Arial" w:eastAsia="Calibri" w:hAnsi="Arial" w:cs="Arial"/>
          <w:sz w:val="22"/>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w:t>
      </w:r>
      <w:r w:rsidRPr="00AD47C6">
        <w:rPr>
          <w:rFonts w:ascii="Arial" w:eastAsia="Calibri" w:hAnsi="Arial" w:cs="Arial"/>
          <w:sz w:val="22"/>
          <w:szCs w:val="22"/>
          <w:lang w:val="es-ES"/>
        </w:rPr>
        <w:t>distinto al del Estatuto General de Contratación de la Administración Pública –en adelante EGCAP–</w:t>
      </w:r>
      <w:r w:rsidRPr="00AD47C6">
        <w:rPr>
          <w:rStyle w:val="Refdenotaalpie"/>
          <w:rFonts w:ascii="Arial" w:eastAsia="Calibri" w:hAnsi="Arial" w:cs="Arial"/>
          <w:sz w:val="22"/>
          <w:szCs w:val="22"/>
        </w:rPr>
        <w:footnoteReference w:id="26"/>
      </w:r>
      <w:r w:rsidRPr="00AD47C6">
        <w:rPr>
          <w:rFonts w:ascii="Arial" w:eastAsia="Calibri" w:hAnsi="Arial" w:cs="Arial"/>
          <w:sz w:val="22"/>
          <w:szCs w:val="22"/>
          <w:lang w:val="es-ES"/>
        </w:rPr>
        <w:t>. Sin embargo, el artículo 20 de la Ley 1150 de 2007 modificó el régimen contractual aplicable a los contratos o convenios suscritos con organismos internacionales, estableciendo, para algunos</w:t>
      </w:r>
      <w:r w:rsidRPr="00AD47C6">
        <w:rPr>
          <w:rFonts w:ascii="Arial" w:eastAsia="Calibri" w:hAnsi="Arial" w:cs="Arial"/>
          <w:sz w:val="22"/>
          <w:lang w:val="es-ES"/>
        </w:rPr>
        <w:t xml:space="preserve">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5CC6472F" w14:textId="77777777" w:rsidR="00711612" w:rsidRPr="00AD47C6" w:rsidRDefault="00711612" w:rsidP="00711612">
      <w:pPr>
        <w:spacing w:before="120" w:after="120" w:line="276" w:lineRule="auto"/>
        <w:ind w:firstLine="709"/>
        <w:jc w:val="both"/>
        <w:rPr>
          <w:rFonts w:ascii="Arial" w:eastAsia="Calibri" w:hAnsi="Arial" w:cs="Arial"/>
          <w:sz w:val="22"/>
          <w:szCs w:val="22"/>
          <w:lang w:val="es-ES"/>
        </w:rPr>
      </w:pPr>
      <w:r w:rsidRPr="00AD47C6">
        <w:rPr>
          <w:rFonts w:ascii="Arial" w:eastAsia="Calibri" w:hAnsi="Arial" w:cs="Arial"/>
          <w:sz w:val="22"/>
          <w:lang w:val="es-ES"/>
        </w:rPr>
        <w:t xml:space="preserve">Para comprender el alcance del régimen aplicable a los contratos o convenios que se suscriban con organismos internacionales, de acuerdo con la financiación de estos, </w:t>
      </w:r>
      <w:r w:rsidRPr="00AD47C6">
        <w:rPr>
          <w:rFonts w:ascii="Arial" w:eastAsia="Calibri" w:hAnsi="Arial" w:cs="Arial"/>
          <w:sz w:val="22"/>
          <w:lang w:val="es-ES"/>
        </w:rPr>
        <w:lastRenderedPageBreak/>
        <w:t xml:space="preserve">resulta necesario analizar el artículo 20 de la </w:t>
      </w:r>
      <w:r w:rsidRPr="00AD47C6">
        <w:rPr>
          <w:rFonts w:ascii="Arial" w:eastAsia="Calibri" w:hAnsi="Arial" w:cs="Arial"/>
          <w:sz w:val="22"/>
          <w:szCs w:val="22"/>
          <w:lang w:val="es-ES"/>
        </w:rPr>
        <w:t>Ley 1150 de 2007</w:t>
      </w:r>
      <w:r w:rsidRPr="00AD47C6">
        <w:rPr>
          <w:rStyle w:val="Refdenotaalpie"/>
          <w:rFonts w:ascii="Arial" w:eastAsia="Calibri" w:hAnsi="Arial" w:cs="Arial"/>
          <w:sz w:val="22"/>
          <w:szCs w:val="22"/>
        </w:rPr>
        <w:footnoteReference w:id="27"/>
      </w:r>
      <w:r w:rsidRPr="00AD47C6">
        <w:rPr>
          <w:rFonts w:ascii="Arial" w:eastAsia="Calibri" w:hAnsi="Arial" w:cs="Arial"/>
          <w:sz w:val="22"/>
          <w:szCs w:val="22"/>
          <w:lang w:val="es-ES"/>
        </w:rPr>
        <w:t xml:space="preserve">. De conformidad con este artículo, en lo que tiene que ver con el </w:t>
      </w:r>
      <w:r w:rsidRPr="00AD47C6">
        <w:rPr>
          <w:rFonts w:ascii="Arial" w:eastAsia="Calibri" w:hAnsi="Arial" w:cs="Arial"/>
          <w:i/>
          <w:iCs/>
          <w:sz w:val="22"/>
          <w:szCs w:val="22"/>
          <w:lang w:val="es-ES"/>
        </w:rPr>
        <w:t>inciso primero</w:t>
      </w:r>
      <w:r w:rsidRPr="00AD47C6">
        <w:rPr>
          <w:rFonts w:ascii="Arial" w:eastAsia="Calibri" w:hAnsi="Arial"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3DA5B2E9" w14:textId="77777777" w:rsidR="00711612" w:rsidRPr="00AD47C6" w:rsidRDefault="00711612" w:rsidP="00711612">
      <w:pPr>
        <w:spacing w:before="120" w:line="276" w:lineRule="auto"/>
        <w:ind w:firstLine="709"/>
        <w:jc w:val="both"/>
        <w:rPr>
          <w:rFonts w:ascii="Arial" w:eastAsia="Calibri" w:hAnsi="Arial" w:cs="Arial"/>
          <w:sz w:val="22"/>
          <w:szCs w:val="22"/>
          <w:lang w:val="es-ES"/>
        </w:rPr>
      </w:pPr>
      <w:r w:rsidRPr="00AD47C6">
        <w:rPr>
          <w:rFonts w:ascii="Arial" w:eastAsia="Calibri" w:hAnsi="Arial" w:cs="Arial"/>
          <w:sz w:val="22"/>
          <w:szCs w:val="22"/>
          <w:lang w:val="es-ES"/>
        </w:rPr>
        <w:t xml:space="preserve">Por otro lado, la norma establece un segundo criterio, en el </w:t>
      </w:r>
      <w:r w:rsidRPr="00AD47C6">
        <w:rPr>
          <w:rFonts w:ascii="Arial" w:eastAsia="Calibri" w:hAnsi="Arial" w:cs="Arial"/>
          <w:i/>
          <w:iCs/>
          <w:sz w:val="22"/>
          <w:szCs w:val="22"/>
          <w:lang w:val="es-ES"/>
        </w:rPr>
        <w:t>inciso segundo,</w:t>
      </w:r>
      <w:r w:rsidRPr="00AD47C6">
        <w:rPr>
          <w:rFonts w:ascii="Arial" w:eastAsia="Calibri" w:hAnsi="Arial"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18CD7082" w14:textId="77777777" w:rsidR="00711612" w:rsidRPr="00AD47C6" w:rsidRDefault="00711612" w:rsidP="00711612">
      <w:pPr>
        <w:spacing w:line="276" w:lineRule="auto"/>
        <w:ind w:firstLine="709"/>
        <w:jc w:val="both"/>
        <w:rPr>
          <w:rFonts w:ascii="Arial" w:eastAsia="Calibri" w:hAnsi="Arial" w:cs="Arial"/>
          <w:sz w:val="22"/>
          <w:lang w:val="es-ES"/>
        </w:rPr>
      </w:pPr>
    </w:p>
    <w:p w14:paraId="1C61F93B" w14:textId="77777777" w:rsidR="00711612" w:rsidRPr="00AD47C6" w:rsidRDefault="00711612" w:rsidP="00711612">
      <w:pPr>
        <w:pStyle w:val="Prrafodelista"/>
        <w:numPr>
          <w:ilvl w:val="0"/>
          <w:numId w:val="28"/>
        </w:numPr>
        <w:spacing w:after="200" w:line="276" w:lineRule="auto"/>
        <w:ind w:left="1134" w:right="709" w:hanging="141"/>
        <w:jc w:val="both"/>
        <w:rPr>
          <w:rFonts w:ascii="Arial" w:eastAsia="Calibri" w:hAnsi="Arial" w:cs="Arial"/>
          <w:sz w:val="22"/>
        </w:rPr>
      </w:pPr>
      <w:r w:rsidRPr="00AD47C6">
        <w:rPr>
          <w:rFonts w:ascii="Arial" w:eastAsia="Calibri" w:hAnsi="Arial" w:cs="Arial"/>
          <w:sz w:val="22"/>
        </w:rPr>
        <w:t xml:space="preserve">Desarrollo de programas de promoción, prevención y atención en salud. </w:t>
      </w:r>
    </w:p>
    <w:p w14:paraId="75A30347" w14:textId="77777777" w:rsidR="00711612" w:rsidRPr="00AD47C6" w:rsidRDefault="00711612" w:rsidP="00711612">
      <w:pPr>
        <w:pStyle w:val="Prrafodelista"/>
        <w:numPr>
          <w:ilvl w:val="0"/>
          <w:numId w:val="28"/>
        </w:numPr>
        <w:spacing w:line="276" w:lineRule="auto"/>
        <w:ind w:left="1134" w:right="709" w:hanging="141"/>
        <w:jc w:val="both"/>
        <w:rPr>
          <w:rFonts w:ascii="Arial" w:hAnsi="Arial" w:cs="Arial"/>
          <w:sz w:val="22"/>
        </w:rPr>
      </w:pPr>
      <w:r w:rsidRPr="00AD47C6">
        <w:rPr>
          <w:rFonts w:ascii="Arial" w:hAnsi="Arial" w:cs="Arial"/>
          <w:sz w:val="22"/>
        </w:rPr>
        <w:t>Contratos y convenios necesarios para la operación de la OIT.</w:t>
      </w:r>
    </w:p>
    <w:p w14:paraId="09C1B980" w14:textId="77777777" w:rsidR="00711612" w:rsidRPr="00AD47C6" w:rsidRDefault="00711612" w:rsidP="00711612">
      <w:pPr>
        <w:pStyle w:val="Prrafodelista"/>
        <w:numPr>
          <w:ilvl w:val="0"/>
          <w:numId w:val="28"/>
        </w:numPr>
        <w:spacing w:line="276" w:lineRule="auto"/>
        <w:ind w:left="1134" w:right="709" w:hanging="141"/>
        <w:jc w:val="both"/>
        <w:rPr>
          <w:rFonts w:ascii="Arial" w:hAnsi="Arial" w:cs="Arial"/>
          <w:sz w:val="22"/>
        </w:rPr>
      </w:pPr>
      <w:r w:rsidRPr="00AD47C6">
        <w:rPr>
          <w:rFonts w:ascii="Arial" w:hAnsi="Arial" w:cs="Arial"/>
          <w:sz w:val="22"/>
        </w:rPr>
        <w:t>Contratos y convenios que se ejecuten en desarrollo del sistema integrado de monitoreo de cultivos ilícitos.</w:t>
      </w:r>
    </w:p>
    <w:p w14:paraId="67F61CF8" w14:textId="77777777" w:rsidR="00711612" w:rsidRPr="00AD47C6" w:rsidRDefault="00711612" w:rsidP="00711612">
      <w:pPr>
        <w:pStyle w:val="Prrafodelista"/>
        <w:numPr>
          <w:ilvl w:val="0"/>
          <w:numId w:val="28"/>
        </w:numPr>
        <w:spacing w:line="276" w:lineRule="auto"/>
        <w:ind w:left="1134" w:right="709" w:hanging="141"/>
        <w:jc w:val="both"/>
        <w:rPr>
          <w:rFonts w:ascii="Arial" w:hAnsi="Arial" w:cs="Arial"/>
          <w:sz w:val="22"/>
        </w:rPr>
      </w:pPr>
      <w:r w:rsidRPr="00AD47C6">
        <w:rPr>
          <w:rFonts w:ascii="Arial" w:hAnsi="Arial" w:cs="Arial"/>
          <w:sz w:val="22"/>
        </w:rPr>
        <w:lastRenderedPageBreak/>
        <w:t>Contratos y convenios para la operación del programa mundial de alimentos.</w:t>
      </w:r>
    </w:p>
    <w:p w14:paraId="67C23C25" w14:textId="77777777" w:rsidR="00711612" w:rsidRPr="00AD47C6" w:rsidRDefault="00711612" w:rsidP="00711612">
      <w:pPr>
        <w:pStyle w:val="Prrafodelista"/>
        <w:numPr>
          <w:ilvl w:val="0"/>
          <w:numId w:val="28"/>
        </w:numPr>
        <w:spacing w:line="276" w:lineRule="auto"/>
        <w:ind w:left="1134" w:right="709" w:hanging="141"/>
        <w:jc w:val="both"/>
        <w:rPr>
          <w:rFonts w:ascii="Arial" w:hAnsi="Arial" w:cs="Arial"/>
          <w:sz w:val="22"/>
        </w:rPr>
      </w:pPr>
      <w:r w:rsidRPr="00AD47C6">
        <w:rPr>
          <w:rFonts w:ascii="Arial" w:hAnsi="Arial" w:cs="Arial"/>
          <w:sz w:val="22"/>
        </w:rPr>
        <w:t>Contratos y convenios para el desarrollo de programas de apoyo educativo a población desplazada y vulnerable adelantados por la Unesco y la OIM.</w:t>
      </w:r>
    </w:p>
    <w:p w14:paraId="218A406B" w14:textId="77777777" w:rsidR="00711612" w:rsidRPr="00AD47C6" w:rsidRDefault="00711612" w:rsidP="00711612">
      <w:pPr>
        <w:pStyle w:val="Prrafodelista"/>
        <w:numPr>
          <w:ilvl w:val="0"/>
          <w:numId w:val="28"/>
        </w:numPr>
        <w:spacing w:line="276" w:lineRule="auto"/>
        <w:ind w:left="1134" w:right="709" w:hanging="141"/>
        <w:jc w:val="both"/>
        <w:rPr>
          <w:rFonts w:ascii="Arial" w:hAnsi="Arial" w:cs="Arial"/>
          <w:sz w:val="22"/>
        </w:rPr>
      </w:pPr>
      <w:r w:rsidRPr="00AD47C6">
        <w:rPr>
          <w:rFonts w:ascii="Arial" w:hAnsi="Arial" w:cs="Arial"/>
          <w:sz w:val="22"/>
        </w:rPr>
        <w:t xml:space="preserve">Los contratos o convenios financiados con fondos de los organismos multilaterales de crédito y entes gubernamentales extranjeros. </w:t>
      </w:r>
    </w:p>
    <w:p w14:paraId="4FD60EB4" w14:textId="77777777" w:rsidR="00711612" w:rsidRPr="00AD47C6" w:rsidRDefault="00711612" w:rsidP="00711612">
      <w:pPr>
        <w:pStyle w:val="Prrafodelista"/>
        <w:ind w:left="1429"/>
        <w:jc w:val="both"/>
        <w:rPr>
          <w:rFonts w:ascii="Arial" w:hAnsi="Arial" w:cs="Arial"/>
          <w:sz w:val="22"/>
        </w:rPr>
      </w:pPr>
    </w:p>
    <w:p w14:paraId="61FEF451" w14:textId="43DE63ED" w:rsidR="00711612" w:rsidRPr="00AD47C6" w:rsidRDefault="00711612" w:rsidP="00711612">
      <w:pPr>
        <w:spacing w:line="276" w:lineRule="auto"/>
        <w:ind w:firstLine="709"/>
        <w:jc w:val="both"/>
        <w:rPr>
          <w:rFonts w:ascii="Arial" w:eastAsia="Calibri" w:hAnsi="Arial" w:cs="Arial"/>
          <w:sz w:val="22"/>
          <w:lang w:val="es-ES"/>
        </w:rPr>
      </w:pPr>
      <w:r w:rsidRPr="00AD47C6">
        <w:rPr>
          <w:rFonts w:ascii="Arial" w:eastAsia="Calibri" w:hAnsi="Arial" w:cs="Arial"/>
          <w:sz w:val="22"/>
          <w:lang w:val="es-ES"/>
        </w:rPr>
        <w:t>En los supuestos anteriores, regulados en el inciso segundo del artículo 20, independiente</w:t>
      </w:r>
      <w:r w:rsidR="001D5C5C" w:rsidRPr="00AD47C6">
        <w:rPr>
          <w:rFonts w:ascii="Arial" w:eastAsia="Calibri" w:hAnsi="Arial" w:cs="Arial"/>
          <w:sz w:val="22"/>
          <w:lang w:val="es-ES"/>
        </w:rPr>
        <w:t>mente</w:t>
      </w:r>
      <w:r w:rsidRPr="00AD47C6">
        <w:rPr>
          <w:rFonts w:ascii="Arial" w:eastAsia="Calibri" w:hAnsi="Arial" w:cs="Arial"/>
          <w:sz w:val="22"/>
          <w:lang w:val="es-ES"/>
        </w:rPr>
        <w:t xml:space="preserv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0CEFBAF8" w14:textId="77777777" w:rsidR="00711612" w:rsidRPr="00AD47C6" w:rsidRDefault="00711612" w:rsidP="00711612">
      <w:pPr>
        <w:spacing w:line="276" w:lineRule="auto"/>
        <w:ind w:firstLine="709"/>
        <w:jc w:val="both"/>
        <w:rPr>
          <w:rFonts w:ascii="Arial" w:eastAsia="Calibri" w:hAnsi="Arial" w:cs="Arial"/>
          <w:sz w:val="22"/>
          <w:lang w:val="es-ES"/>
        </w:rPr>
      </w:pPr>
    </w:p>
    <w:p w14:paraId="63E47304" w14:textId="77777777" w:rsidR="00711612" w:rsidRPr="00AD47C6" w:rsidRDefault="00711612" w:rsidP="00711612">
      <w:pPr>
        <w:ind w:left="709" w:right="709"/>
        <w:jc w:val="both"/>
        <w:rPr>
          <w:rFonts w:ascii="Arial" w:eastAsia="Calibri" w:hAnsi="Arial" w:cs="Arial"/>
          <w:sz w:val="21"/>
          <w:szCs w:val="21"/>
          <w:lang w:val="es-ES"/>
        </w:rPr>
      </w:pPr>
      <w:r w:rsidRPr="00AD47C6">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4E1D3FC3" w14:textId="77777777" w:rsidR="00711612" w:rsidRPr="00AD47C6" w:rsidRDefault="00711612" w:rsidP="00711612">
      <w:pPr>
        <w:ind w:left="709" w:right="709"/>
        <w:jc w:val="both"/>
        <w:rPr>
          <w:rFonts w:ascii="Arial" w:eastAsia="Calibri" w:hAnsi="Arial" w:cs="Arial"/>
          <w:sz w:val="21"/>
          <w:szCs w:val="21"/>
          <w:lang w:val="es-ES"/>
        </w:rPr>
      </w:pPr>
    </w:p>
    <w:p w14:paraId="5323F77A" w14:textId="3E3778CD" w:rsidR="00711612" w:rsidRPr="00AD47C6" w:rsidRDefault="00711612" w:rsidP="00711612">
      <w:pPr>
        <w:spacing w:after="120" w:line="276" w:lineRule="auto"/>
        <w:ind w:firstLine="709"/>
        <w:jc w:val="both"/>
        <w:rPr>
          <w:rFonts w:ascii="Arial" w:eastAsiaTheme="minorHAnsi" w:hAnsi="Arial" w:cs="Arial"/>
          <w:sz w:val="22"/>
          <w:szCs w:val="22"/>
          <w:lang w:val="es-MX"/>
        </w:rPr>
      </w:pPr>
      <w:r w:rsidRPr="00AD47C6">
        <w:rPr>
          <w:rFonts w:ascii="Arial" w:eastAsia="Calibri" w:hAnsi="Arial" w:cs="Arial"/>
          <w:sz w:val="22"/>
          <w:lang w:val="es-ES"/>
        </w:rPr>
        <w:t>De otra parte, en relación con los contratos del inciso primero d</w:t>
      </w:r>
      <w:bookmarkStart w:id="9" w:name="_Hlk75245970"/>
      <w:r w:rsidRPr="00AD47C6">
        <w:rPr>
          <w:rFonts w:ascii="Arial" w:eastAsia="Calibri" w:hAnsi="Arial" w:cs="Arial"/>
          <w:sz w:val="22"/>
          <w:lang w:val="es-ES"/>
        </w:rPr>
        <w:t>el artículo 20 de la Ley 1150 de 2007</w:t>
      </w:r>
      <w:bookmarkEnd w:id="9"/>
      <w:r w:rsidRPr="00AD47C6">
        <w:rPr>
          <w:rFonts w:ascii="Arial" w:eastAsia="Calibri" w:hAnsi="Arial" w:cs="Arial"/>
          <w:sz w:val="22"/>
          <w:lang w:val="es-ES"/>
        </w:rPr>
        <w:t>, conviene mencionar que dentro de la ejecución del contrato o convenio pueden presentarse situaciones en las que el porcentaje de los aportes sea modificado, en virtud de su adición o no ejecución en los términos pactados, por lo que</w:t>
      </w:r>
      <w:r w:rsidR="00407F98" w:rsidRPr="00AD47C6">
        <w:rPr>
          <w:rFonts w:ascii="Arial" w:eastAsia="Calibri" w:hAnsi="Arial" w:cs="Arial"/>
          <w:sz w:val="22"/>
          <w:lang w:val="es-ES"/>
        </w:rPr>
        <w:t>,</w:t>
      </w:r>
      <w:r w:rsidRPr="00AD47C6">
        <w:rPr>
          <w:rFonts w:ascii="Arial" w:eastAsia="Calibri" w:hAnsi="Arial" w:cs="Arial"/>
          <w:sz w:val="22"/>
          <w:lang w:val="es-ES"/>
        </w:rPr>
        <w:t xml:space="preserve"> previendo este escenario</w:t>
      </w:r>
      <w:r w:rsidR="00407F98" w:rsidRPr="00AD47C6">
        <w:rPr>
          <w:rFonts w:ascii="Arial" w:eastAsia="Calibri" w:hAnsi="Arial" w:cs="Arial"/>
          <w:sz w:val="22"/>
          <w:lang w:val="es-ES"/>
        </w:rPr>
        <w:t>,</w:t>
      </w:r>
      <w:r w:rsidRPr="00AD47C6">
        <w:rPr>
          <w:rFonts w:ascii="Arial" w:eastAsia="Calibri" w:hAnsi="Arial" w:cs="Arial"/>
          <w:sz w:val="22"/>
          <w:lang w:val="es-ES"/>
        </w:rPr>
        <w:t xml:space="preserve">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w:t>
      </w:r>
      <w:r w:rsidRPr="00AD47C6">
        <w:rPr>
          <w:rFonts w:ascii="Arial" w:eastAsia="Calibri" w:hAnsi="Arial" w:cs="Arial"/>
          <w:sz w:val="22"/>
          <w:szCs w:val="22"/>
          <w:lang w:val="es-ES"/>
        </w:rPr>
        <w:lastRenderedPageBreak/>
        <w:t>si el aporte es inferior»</w:t>
      </w:r>
      <w:r w:rsidRPr="00AD47C6">
        <w:rPr>
          <w:rStyle w:val="Refdenotaalpie"/>
          <w:rFonts w:ascii="Arial" w:eastAsia="Calibri" w:hAnsi="Arial" w:cs="Arial"/>
          <w:sz w:val="22"/>
          <w:szCs w:val="22"/>
        </w:rPr>
        <w:footnoteReference w:id="28"/>
      </w:r>
      <w:r w:rsidRPr="00AD47C6">
        <w:rPr>
          <w:rFonts w:ascii="Arial" w:eastAsia="Calibri" w:hAnsi="Arial" w:cs="Arial"/>
          <w:sz w:val="22"/>
          <w:szCs w:val="22"/>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AD47C6">
        <w:rPr>
          <w:rFonts w:ascii="Arial" w:hAnsi="Arial" w:cs="Arial"/>
          <w:sz w:val="22"/>
          <w:szCs w:val="22"/>
        </w:rPr>
        <w:t xml:space="preserve">. </w:t>
      </w:r>
    </w:p>
    <w:p w14:paraId="25D9E2C8" w14:textId="77777777" w:rsidR="00711612" w:rsidRPr="00AD47C6" w:rsidRDefault="00711612" w:rsidP="00711612">
      <w:pPr>
        <w:spacing w:line="276" w:lineRule="auto"/>
        <w:ind w:firstLine="709"/>
        <w:jc w:val="both"/>
        <w:rPr>
          <w:rFonts w:ascii="Arial" w:hAnsi="Arial" w:cs="Arial"/>
          <w:bCs/>
          <w:color w:val="000000"/>
          <w:sz w:val="22"/>
          <w:lang w:eastAsia="es-CO"/>
        </w:rPr>
      </w:pPr>
      <w:r w:rsidRPr="00AD47C6">
        <w:rPr>
          <w:rFonts w:ascii="Arial" w:eastAsia="Calibri" w:hAnsi="Arial" w:cs="Arial"/>
          <w:color w:val="000000" w:themeColor="text1"/>
          <w:sz w:val="22"/>
        </w:rPr>
        <w:t xml:space="preserve">Ahora bien, para la restricción del artículo 33 de la </w:t>
      </w:r>
      <w:r w:rsidRPr="00AD47C6">
        <w:rPr>
          <w:rFonts w:ascii="Arial" w:hAnsi="Arial" w:cs="Arial"/>
          <w:bCs/>
          <w:color w:val="000000"/>
          <w:sz w:val="22"/>
          <w:lang w:eastAsia="es-CO"/>
        </w:rPr>
        <w:t xml:space="preserve">Ley 996 de 2005 es necesario considerar que </w:t>
      </w:r>
      <w:r w:rsidRPr="00AD47C6">
        <w:rPr>
          <w:rFonts w:ascii="Arial" w:eastAsia="Calibri" w:hAnsi="Arial" w:cs="Arial"/>
          <w:sz w:val="22"/>
          <w:lang w:val="es-ES"/>
        </w:rPr>
        <w:t>el artículo 20 de la Ley 1150 de 2007</w:t>
      </w:r>
      <w:r w:rsidRPr="00AD47C6">
        <w:rPr>
          <w:rFonts w:ascii="Arial" w:hAnsi="Arial" w:cs="Arial"/>
          <w:bCs/>
          <w:color w:val="000000"/>
          <w:sz w:val="22"/>
          <w:lang w:eastAsia="es-CO"/>
        </w:rPr>
        <w:t xml:space="preserve"> consagra un régimen jurídico que exceptúa la aplicación del Estatuto General de </w:t>
      </w:r>
      <w:r w:rsidRPr="00AD47C6">
        <w:rPr>
          <w:rFonts w:ascii="Arial" w:hAnsi="Arial" w:cs="Arial"/>
          <w:bCs/>
          <w:color w:val="000000"/>
          <w:sz w:val="22"/>
          <w:szCs w:val="22"/>
          <w:lang w:eastAsia="es-CO"/>
        </w:rPr>
        <w:t>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AD47C6">
        <w:rPr>
          <w:rStyle w:val="Refdenotaalpie"/>
          <w:rFonts w:ascii="Arial" w:hAnsi="Arial" w:cs="Arial"/>
          <w:sz w:val="22"/>
          <w:szCs w:val="22"/>
        </w:rPr>
        <w:footnoteReference w:id="29"/>
      </w:r>
      <w:r w:rsidRPr="00AD47C6">
        <w:rPr>
          <w:rFonts w:ascii="Arial" w:hAnsi="Arial" w:cs="Arial"/>
          <w:bCs/>
          <w:color w:val="000000"/>
          <w:sz w:val="22"/>
          <w:szCs w:val="22"/>
          <w:lang w:eastAsia="es-CO"/>
        </w:rPr>
        <w:t>. Para la doctrina, esta excepción se consagra de acuerdo con el objeto del contrato celebrado, por</w:t>
      </w:r>
      <w:r w:rsidRPr="00AD47C6">
        <w:rPr>
          <w:rFonts w:ascii="Arial" w:hAnsi="Arial" w:cs="Arial"/>
          <w:bCs/>
          <w:color w:val="000000"/>
          <w:sz w:val="22"/>
          <w:lang w:eastAsia="es-CO"/>
        </w:rPr>
        <w:t xml:space="preserve"> lo que no se realiza en consideración al sector específico al que pertenece la entidad, la </w:t>
      </w:r>
      <w:r w:rsidRPr="00AD47C6">
        <w:rPr>
          <w:rFonts w:ascii="Arial" w:hAnsi="Arial" w:cs="Arial"/>
          <w:bCs/>
          <w:color w:val="000000"/>
          <w:sz w:val="22"/>
          <w:lang w:eastAsia="es-CO"/>
        </w:rPr>
        <w:lastRenderedPageBreak/>
        <w:t>asignación de un esquema legal propio a esta o por la naturaleza del fondo encargado de administrar recursos públicos. Por ello, explica que:</w:t>
      </w:r>
    </w:p>
    <w:p w14:paraId="32DDD5DE" w14:textId="77777777" w:rsidR="00711612" w:rsidRPr="00AD47C6" w:rsidRDefault="00711612" w:rsidP="00711612">
      <w:pPr>
        <w:spacing w:line="276" w:lineRule="auto"/>
        <w:ind w:firstLine="709"/>
        <w:jc w:val="both"/>
        <w:rPr>
          <w:rFonts w:ascii="Arial" w:hAnsi="Arial" w:cs="Arial"/>
          <w:bCs/>
          <w:color w:val="000000"/>
          <w:sz w:val="22"/>
          <w:lang w:eastAsia="es-CO"/>
        </w:rPr>
      </w:pPr>
    </w:p>
    <w:p w14:paraId="03627CDE" w14:textId="77777777" w:rsidR="00711612" w:rsidRPr="00AD47C6" w:rsidRDefault="00711612" w:rsidP="00711612">
      <w:pPr>
        <w:ind w:left="709" w:right="709"/>
        <w:jc w:val="both"/>
        <w:rPr>
          <w:rFonts w:ascii="Arial" w:hAnsi="Arial" w:cs="Arial"/>
          <w:bCs/>
          <w:color w:val="000000"/>
          <w:sz w:val="21"/>
          <w:szCs w:val="21"/>
          <w:lang w:eastAsia="es-CO"/>
        </w:rPr>
      </w:pPr>
      <w:r w:rsidRPr="00AD47C6">
        <w:rPr>
          <w:rFonts w:ascii="Arial" w:hAnsi="Arial" w:cs="Arial"/>
          <w:bCs/>
          <w:color w:val="000000"/>
          <w:sz w:val="21"/>
          <w:szCs w:val="21"/>
          <w:lang w:eastAsia="es-CO"/>
        </w:rPr>
        <w:t>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reglas de selección del régimen general de contratación. Lo usual es que en los casos excepcionales la selección sea directa o por lo menos con menos exigencias</w:t>
      </w:r>
      <w:r w:rsidRPr="00AD47C6">
        <w:rPr>
          <w:rStyle w:val="Refdenotaalpie"/>
          <w:rFonts w:ascii="Arial" w:hAnsi="Arial" w:cs="Arial"/>
          <w:sz w:val="21"/>
          <w:szCs w:val="21"/>
        </w:rPr>
        <w:footnoteReference w:id="30"/>
      </w:r>
      <w:r w:rsidRPr="00AD47C6">
        <w:rPr>
          <w:rFonts w:ascii="Arial" w:hAnsi="Arial" w:cs="Arial"/>
          <w:bCs/>
          <w:color w:val="000000"/>
          <w:sz w:val="21"/>
          <w:szCs w:val="21"/>
          <w:lang w:eastAsia="es-CO"/>
        </w:rPr>
        <w:t>.</w:t>
      </w:r>
    </w:p>
    <w:p w14:paraId="745D149B" w14:textId="77777777" w:rsidR="00711612" w:rsidRPr="00AD47C6" w:rsidRDefault="00711612" w:rsidP="00711612">
      <w:pPr>
        <w:spacing w:line="276" w:lineRule="auto"/>
        <w:ind w:left="709" w:right="709"/>
        <w:jc w:val="both"/>
        <w:rPr>
          <w:rFonts w:ascii="Arial" w:hAnsi="Arial" w:cs="Arial"/>
          <w:bCs/>
          <w:color w:val="000000"/>
          <w:sz w:val="22"/>
          <w:lang w:eastAsia="es-CO"/>
        </w:rPr>
      </w:pPr>
    </w:p>
    <w:p w14:paraId="31EC74D9" w14:textId="42C2337F" w:rsidR="00711612" w:rsidRPr="00AD47C6" w:rsidRDefault="00711612" w:rsidP="00711612">
      <w:pPr>
        <w:spacing w:after="120" w:line="276" w:lineRule="auto"/>
        <w:ind w:firstLine="708"/>
        <w:jc w:val="both"/>
        <w:rPr>
          <w:rFonts w:ascii="Arial" w:hAnsi="Arial" w:cs="Arial"/>
          <w:bCs/>
          <w:color w:val="000000"/>
          <w:sz w:val="22"/>
          <w:szCs w:val="22"/>
          <w:lang w:eastAsia="es-CO"/>
        </w:rPr>
      </w:pPr>
      <w:r w:rsidRPr="00AD47C6">
        <w:rPr>
          <w:rFonts w:ascii="Arial" w:hAnsi="Arial" w:cs="Arial"/>
          <w:bCs/>
          <w:color w:val="000000"/>
          <w:sz w:val="22"/>
          <w:lang w:eastAsia="es-CO"/>
        </w:rPr>
        <w:t xml:space="preserve">Pese a lo anterior, la prohibición de contratación directa de la Ley de Garantías es independiente del régimen contractual. Así la Sala de </w:t>
      </w:r>
      <w:r w:rsidRPr="00AD47C6">
        <w:rPr>
          <w:rFonts w:ascii="Arial" w:hAnsi="Arial" w:cs="Arial"/>
          <w:bCs/>
          <w:color w:val="000000"/>
          <w:sz w:val="22"/>
          <w:szCs w:val="22"/>
          <w:lang w:eastAsia="es-CO"/>
        </w:rPr>
        <w:t xml:space="preserve">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AD47C6">
        <w:rPr>
          <w:rFonts w:ascii="Arial" w:hAnsi="Arial" w:cs="Arial"/>
          <w:bCs/>
          <w:i/>
          <w:iCs/>
          <w:color w:val="000000"/>
          <w:sz w:val="22"/>
          <w:szCs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AD47C6">
        <w:rPr>
          <w:rFonts w:ascii="Arial" w:hAnsi="Arial" w:cs="Arial"/>
          <w:bCs/>
          <w:color w:val="000000"/>
          <w:sz w:val="22"/>
          <w:szCs w:val="22"/>
          <w:lang w:eastAsia="es-CO"/>
        </w:rPr>
        <w:t>»</w:t>
      </w:r>
      <w:r w:rsidRPr="00AD47C6">
        <w:rPr>
          <w:rStyle w:val="Refdenotaalpie"/>
          <w:rFonts w:ascii="Arial" w:hAnsi="Arial" w:cs="Arial"/>
          <w:sz w:val="22"/>
          <w:szCs w:val="22"/>
        </w:rPr>
        <w:footnoteReference w:id="31"/>
      </w:r>
      <w:r w:rsidRPr="00AD47C6">
        <w:rPr>
          <w:rFonts w:ascii="Arial" w:hAnsi="Arial" w:cs="Arial"/>
          <w:bCs/>
          <w:color w:val="000000"/>
          <w:sz w:val="22"/>
          <w:szCs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14:paraId="4A170797" w14:textId="25147665" w:rsidR="001A66F1" w:rsidRPr="00AD47C6" w:rsidRDefault="003B06E2" w:rsidP="00711612">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Por tales razones</w:t>
      </w:r>
      <w:r w:rsidR="0063502A" w:rsidRPr="00AD47C6">
        <w:rPr>
          <w:rFonts w:ascii="Arial" w:hAnsi="Arial" w:cs="Arial"/>
          <w:bCs/>
          <w:color w:val="000000"/>
          <w:sz w:val="22"/>
          <w:lang w:eastAsia="es-CO"/>
        </w:rPr>
        <w:t xml:space="preserve">, se aclara </w:t>
      </w:r>
      <w:r w:rsidR="00215C93" w:rsidRPr="00AD47C6">
        <w:rPr>
          <w:rFonts w:ascii="Arial" w:hAnsi="Arial" w:cs="Arial"/>
          <w:bCs/>
          <w:color w:val="000000"/>
          <w:sz w:val="22"/>
          <w:lang w:eastAsia="es-CO"/>
        </w:rPr>
        <w:t>C</w:t>
      </w:r>
      <w:r w:rsidR="0063502A" w:rsidRPr="00AD47C6">
        <w:rPr>
          <w:rFonts w:ascii="Arial" w:hAnsi="Arial" w:cs="Arial"/>
          <w:bCs/>
          <w:color w:val="000000"/>
          <w:sz w:val="22"/>
          <w:lang w:eastAsia="es-CO"/>
        </w:rPr>
        <w:t xml:space="preserve">oncepto C-559 del </w:t>
      </w:r>
      <w:r w:rsidR="0049015B" w:rsidRPr="00AD47C6">
        <w:rPr>
          <w:rFonts w:ascii="Arial" w:hAnsi="Arial" w:cs="Arial"/>
          <w:bCs/>
          <w:color w:val="000000"/>
          <w:sz w:val="22"/>
          <w:lang w:eastAsia="es-CO"/>
        </w:rPr>
        <w:t>31 de agosto de 2021</w:t>
      </w:r>
      <w:r w:rsidR="007D449A" w:rsidRPr="00AD47C6">
        <w:rPr>
          <w:rFonts w:ascii="Arial" w:hAnsi="Arial" w:cs="Arial"/>
          <w:bCs/>
          <w:color w:val="000000"/>
          <w:sz w:val="22"/>
          <w:lang w:eastAsia="es-CO"/>
        </w:rPr>
        <w:t xml:space="preserve">, </w:t>
      </w:r>
      <w:r w:rsidR="000764F1" w:rsidRPr="00AD47C6">
        <w:rPr>
          <w:rFonts w:ascii="Arial" w:hAnsi="Arial" w:cs="Arial"/>
          <w:bCs/>
          <w:color w:val="000000"/>
          <w:sz w:val="22"/>
          <w:lang w:eastAsia="es-CO"/>
        </w:rPr>
        <w:t xml:space="preserve">armonizándolo </w:t>
      </w:r>
      <w:r w:rsidR="007D449A" w:rsidRPr="00AD47C6">
        <w:rPr>
          <w:rFonts w:ascii="Arial" w:hAnsi="Arial" w:cs="Arial"/>
          <w:bCs/>
          <w:color w:val="000000"/>
          <w:sz w:val="22"/>
          <w:lang w:eastAsia="es-CO"/>
        </w:rPr>
        <w:t xml:space="preserve">con el </w:t>
      </w:r>
      <w:r w:rsidR="00215C93" w:rsidRPr="00AD47C6">
        <w:rPr>
          <w:rFonts w:ascii="Arial" w:hAnsi="Arial" w:cs="Arial"/>
          <w:bCs/>
          <w:color w:val="000000"/>
          <w:sz w:val="22"/>
          <w:lang w:eastAsia="es-CO"/>
        </w:rPr>
        <w:t>C</w:t>
      </w:r>
      <w:r w:rsidR="007D449A" w:rsidRPr="00AD47C6">
        <w:rPr>
          <w:rFonts w:ascii="Arial" w:hAnsi="Arial" w:cs="Arial"/>
          <w:bCs/>
          <w:color w:val="000000"/>
          <w:sz w:val="22"/>
          <w:lang w:eastAsia="es-CO"/>
        </w:rPr>
        <w:t xml:space="preserve">oncepto C-296 del </w:t>
      </w:r>
      <w:r w:rsidR="00612570" w:rsidRPr="00AD47C6">
        <w:rPr>
          <w:rFonts w:ascii="Arial" w:hAnsi="Arial" w:cs="Arial"/>
          <w:bCs/>
          <w:color w:val="000000"/>
          <w:sz w:val="22"/>
          <w:lang w:eastAsia="es-CO"/>
        </w:rPr>
        <w:t xml:space="preserve">22 de junio del mismo año, para precisar que </w:t>
      </w:r>
      <w:r w:rsidR="00265A92" w:rsidRPr="00AD47C6">
        <w:rPr>
          <w:rFonts w:ascii="Arial" w:hAnsi="Arial" w:cs="Arial"/>
          <w:bCs/>
          <w:color w:val="000000"/>
          <w:sz w:val="22"/>
          <w:lang w:eastAsia="es-CO"/>
        </w:rPr>
        <w:t xml:space="preserve">la </w:t>
      </w:r>
      <w:bookmarkStart w:id="10" w:name="_Hlk98782207"/>
      <w:r w:rsidR="00265A92" w:rsidRPr="00AD47C6">
        <w:rPr>
          <w:rFonts w:ascii="Arial" w:hAnsi="Arial" w:cs="Arial"/>
          <w:bCs/>
          <w:color w:val="000000"/>
          <w:sz w:val="22"/>
          <w:lang w:eastAsia="es-CO"/>
        </w:rPr>
        <w:t xml:space="preserve">prohibición de </w:t>
      </w:r>
      <w:r w:rsidR="00E87A3E" w:rsidRPr="00AD47C6">
        <w:rPr>
          <w:rFonts w:ascii="Arial" w:hAnsi="Arial" w:cs="Arial"/>
          <w:bCs/>
          <w:color w:val="000000"/>
          <w:sz w:val="22"/>
          <w:lang w:eastAsia="es-CO"/>
        </w:rPr>
        <w:t>contrata</w:t>
      </w:r>
      <w:r w:rsidR="001114F9" w:rsidRPr="00AD47C6">
        <w:rPr>
          <w:rFonts w:ascii="Arial" w:hAnsi="Arial" w:cs="Arial"/>
          <w:bCs/>
          <w:color w:val="000000"/>
          <w:sz w:val="22"/>
          <w:lang w:eastAsia="es-CO"/>
        </w:rPr>
        <w:t>ción</w:t>
      </w:r>
      <w:r w:rsidR="00E87A3E" w:rsidRPr="00AD47C6">
        <w:rPr>
          <w:rFonts w:ascii="Arial" w:hAnsi="Arial" w:cs="Arial"/>
          <w:bCs/>
          <w:color w:val="000000"/>
          <w:sz w:val="22"/>
          <w:lang w:eastAsia="es-CO"/>
        </w:rPr>
        <w:t xml:space="preserve"> directa</w:t>
      </w:r>
      <w:r w:rsidR="00215C93" w:rsidRPr="00AD47C6">
        <w:rPr>
          <w:rFonts w:ascii="Arial" w:hAnsi="Arial" w:cs="Arial"/>
          <w:bCs/>
          <w:color w:val="000000"/>
          <w:sz w:val="22"/>
          <w:lang w:eastAsia="es-CO"/>
        </w:rPr>
        <w:t xml:space="preserve"> d</w:t>
      </w:r>
      <w:r w:rsidR="00265A92" w:rsidRPr="00AD47C6">
        <w:rPr>
          <w:rFonts w:ascii="Arial" w:hAnsi="Arial" w:cs="Arial"/>
          <w:bCs/>
          <w:color w:val="000000"/>
          <w:sz w:val="22"/>
          <w:lang w:eastAsia="es-CO"/>
        </w:rPr>
        <w:t xml:space="preserve">el artículo 33 de la Ley 996 de 2005 </w:t>
      </w:r>
      <w:r w:rsidR="00600ABC" w:rsidRPr="00AD47C6">
        <w:rPr>
          <w:rFonts w:ascii="Arial" w:hAnsi="Arial" w:cs="Arial"/>
          <w:bCs/>
          <w:color w:val="000000"/>
          <w:sz w:val="22"/>
          <w:lang w:eastAsia="es-CO"/>
        </w:rPr>
        <w:t xml:space="preserve">aplica </w:t>
      </w:r>
      <w:r w:rsidR="00265A92" w:rsidRPr="00AD47C6">
        <w:rPr>
          <w:rFonts w:ascii="Arial" w:hAnsi="Arial" w:cs="Arial"/>
          <w:bCs/>
          <w:color w:val="000000"/>
          <w:sz w:val="22"/>
          <w:lang w:eastAsia="es-CO"/>
        </w:rPr>
        <w:t xml:space="preserve">con </w:t>
      </w:r>
      <w:r w:rsidR="001114F9" w:rsidRPr="00AD47C6">
        <w:rPr>
          <w:rFonts w:ascii="Arial" w:hAnsi="Arial" w:cs="Arial"/>
          <w:bCs/>
          <w:color w:val="000000"/>
          <w:sz w:val="22"/>
          <w:lang w:eastAsia="es-CO"/>
        </w:rPr>
        <w:t xml:space="preserve">independencia </w:t>
      </w:r>
      <w:r w:rsidR="00265A92" w:rsidRPr="00AD47C6">
        <w:rPr>
          <w:rFonts w:ascii="Arial" w:hAnsi="Arial" w:cs="Arial"/>
          <w:bCs/>
          <w:color w:val="000000"/>
          <w:sz w:val="22"/>
          <w:lang w:eastAsia="es-CO"/>
        </w:rPr>
        <w:t>del régimen jurídico del contrato</w:t>
      </w:r>
      <w:r w:rsidR="00BD5790" w:rsidRPr="00AD47C6">
        <w:rPr>
          <w:rFonts w:ascii="Arial" w:hAnsi="Arial" w:cs="Arial"/>
          <w:bCs/>
          <w:color w:val="000000"/>
          <w:sz w:val="22"/>
          <w:lang w:eastAsia="es-CO"/>
        </w:rPr>
        <w:t xml:space="preserve">. </w:t>
      </w:r>
      <w:bookmarkStart w:id="11" w:name="_Hlk98782113"/>
      <w:r w:rsidR="00BD5790" w:rsidRPr="00AD47C6">
        <w:rPr>
          <w:rFonts w:ascii="Arial" w:hAnsi="Arial" w:cs="Arial"/>
          <w:bCs/>
          <w:color w:val="000000"/>
          <w:sz w:val="22"/>
          <w:lang w:eastAsia="es-CO"/>
        </w:rPr>
        <w:t xml:space="preserve">En tal sentido, </w:t>
      </w:r>
      <w:r w:rsidR="00BF2480" w:rsidRPr="00AD47C6">
        <w:rPr>
          <w:rFonts w:ascii="Arial" w:hAnsi="Arial" w:cs="Arial"/>
          <w:bCs/>
          <w:color w:val="000000"/>
          <w:sz w:val="22"/>
          <w:lang w:eastAsia="es-CO"/>
        </w:rPr>
        <w:t xml:space="preserve">salvo que ingrese en alguna de las excepciones establecidas en el segundo inciso </w:t>
      </w:r>
      <w:r w:rsidR="001114F9" w:rsidRPr="00AD47C6">
        <w:rPr>
          <w:rFonts w:ascii="Arial" w:hAnsi="Arial" w:cs="Arial"/>
          <w:bCs/>
          <w:color w:val="000000"/>
          <w:sz w:val="22"/>
          <w:lang w:eastAsia="es-CO"/>
        </w:rPr>
        <w:t>de la disposición citada, esta restricción también aplica a</w:t>
      </w:r>
      <w:r w:rsidR="00BD5790" w:rsidRPr="00AD47C6">
        <w:rPr>
          <w:rFonts w:ascii="Arial" w:hAnsi="Arial" w:cs="Arial"/>
          <w:bCs/>
          <w:color w:val="000000"/>
          <w:sz w:val="22"/>
          <w:lang w:eastAsia="es-CO"/>
        </w:rPr>
        <w:t xml:space="preserve"> la celebración de contratos con organismos internacionales, </w:t>
      </w:r>
      <w:r w:rsidR="00BD5790" w:rsidRPr="00AD47C6">
        <w:rPr>
          <w:rFonts w:ascii="Arial" w:hAnsi="Arial" w:cs="Arial"/>
          <w:bCs/>
          <w:color w:val="000000"/>
          <w:sz w:val="22"/>
          <w:lang w:eastAsia="es-CO"/>
        </w:rPr>
        <w:lastRenderedPageBreak/>
        <w:t>a</w:t>
      </w:r>
      <w:r w:rsidR="00FE765C" w:rsidRPr="00AD47C6">
        <w:rPr>
          <w:rFonts w:ascii="Arial" w:hAnsi="Arial" w:cs="Arial"/>
          <w:bCs/>
          <w:color w:val="000000"/>
          <w:sz w:val="22"/>
          <w:lang w:eastAsia="es-CO"/>
        </w:rPr>
        <w:t>u</w:t>
      </w:r>
      <w:r w:rsidR="00BD5790" w:rsidRPr="00AD47C6">
        <w:rPr>
          <w:rFonts w:ascii="Arial" w:hAnsi="Arial" w:cs="Arial"/>
          <w:bCs/>
          <w:color w:val="000000"/>
          <w:sz w:val="22"/>
          <w:lang w:eastAsia="es-CO"/>
        </w:rPr>
        <w:t>n cuando se presenten los</w:t>
      </w:r>
      <w:r w:rsidR="00FE765C" w:rsidRPr="00AD47C6">
        <w:rPr>
          <w:rFonts w:ascii="Arial" w:hAnsi="Arial" w:cs="Arial"/>
          <w:bCs/>
          <w:color w:val="000000"/>
          <w:sz w:val="22"/>
          <w:lang w:eastAsia="es-CO"/>
        </w:rPr>
        <w:t xml:space="preserve"> supuestos indicados en el artículo 20 de la Ley 1150 de 2007</w:t>
      </w:r>
      <w:r w:rsidR="00103CD5" w:rsidRPr="00AD47C6">
        <w:rPr>
          <w:rFonts w:ascii="Arial" w:hAnsi="Arial" w:cs="Arial"/>
          <w:bCs/>
          <w:color w:val="000000"/>
          <w:sz w:val="22"/>
          <w:lang w:eastAsia="es-CO"/>
        </w:rPr>
        <w:t>,</w:t>
      </w:r>
      <w:r w:rsidR="00FE765C" w:rsidRPr="00AD47C6">
        <w:rPr>
          <w:rFonts w:ascii="Arial" w:hAnsi="Arial" w:cs="Arial"/>
          <w:bCs/>
          <w:color w:val="000000"/>
          <w:sz w:val="22"/>
          <w:lang w:eastAsia="es-CO"/>
        </w:rPr>
        <w:t xml:space="preserve"> en los cuales </w:t>
      </w:r>
      <w:r w:rsidR="002A624E" w:rsidRPr="00AD47C6">
        <w:rPr>
          <w:rFonts w:ascii="Arial" w:hAnsi="Arial" w:cs="Arial"/>
          <w:bCs/>
          <w:color w:val="000000"/>
          <w:sz w:val="22"/>
          <w:lang w:eastAsia="es-CO"/>
        </w:rPr>
        <w:t>dichos contratos se pueden someter a los reglamentos</w:t>
      </w:r>
      <w:r w:rsidR="00CC3877" w:rsidRPr="00AD47C6">
        <w:rPr>
          <w:rFonts w:ascii="Arial" w:hAnsi="Arial" w:cs="Arial"/>
          <w:bCs/>
          <w:color w:val="000000"/>
          <w:sz w:val="22"/>
          <w:lang w:eastAsia="es-CO"/>
        </w:rPr>
        <w:t xml:space="preserve"> de tales organizaciones.</w:t>
      </w:r>
      <w:r w:rsidR="006C2518" w:rsidRPr="00AD47C6">
        <w:rPr>
          <w:rFonts w:ascii="Arial" w:hAnsi="Arial" w:cs="Arial"/>
          <w:bCs/>
          <w:color w:val="000000"/>
          <w:sz w:val="22"/>
          <w:lang w:eastAsia="es-CO"/>
        </w:rPr>
        <w:t xml:space="preserve"> </w:t>
      </w:r>
      <w:r w:rsidR="00215C93" w:rsidRPr="00AD47C6">
        <w:rPr>
          <w:rFonts w:ascii="Arial" w:hAnsi="Arial" w:cs="Arial"/>
          <w:bCs/>
          <w:color w:val="000000"/>
          <w:sz w:val="22"/>
          <w:lang w:eastAsia="es-CO"/>
        </w:rPr>
        <w:t>E</w:t>
      </w:r>
      <w:r w:rsidR="006C2518" w:rsidRPr="00AD47C6">
        <w:rPr>
          <w:rFonts w:ascii="Arial" w:hAnsi="Arial" w:cs="Arial"/>
          <w:bCs/>
          <w:color w:val="000000"/>
          <w:sz w:val="22"/>
          <w:lang w:eastAsia="es-CO"/>
        </w:rPr>
        <w:t>sta conclusión se apoya en los siguientes argumentos</w:t>
      </w:r>
      <w:bookmarkEnd w:id="10"/>
      <w:bookmarkEnd w:id="11"/>
      <w:r w:rsidR="006C2518" w:rsidRPr="00AD47C6">
        <w:rPr>
          <w:rFonts w:ascii="Arial" w:hAnsi="Arial" w:cs="Arial"/>
          <w:bCs/>
          <w:color w:val="000000"/>
          <w:sz w:val="22"/>
          <w:lang w:eastAsia="es-CO"/>
        </w:rPr>
        <w:t xml:space="preserve">: </w:t>
      </w:r>
    </w:p>
    <w:p w14:paraId="0C29E45A" w14:textId="6DE613F6" w:rsidR="001A66F1" w:rsidRPr="00AD47C6" w:rsidRDefault="006C2518" w:rsidP="00711612">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i)</w:t>
      </w:r>
      <w:r w:rsidR="00F041DE" w:rsidRPr="00AD47C6">
        <w:rPr>
          <w:rFonts w:ascii="Arial" w:hAnsi="Arial" w:cs="Arial"/>
          <w:bCs/>
          <w:color w:val="000000"/>
          <w:sz w:val="22"/>
          <w:lang w:eastAsia="es-CO"/>
        </w:rPr>
        <w:t xml:space="preserve"> </w:t>
      </w:r>
      <w:r w:rsidR="001A66F1" w:rsidRPr="00AD47C6">
        <w:rPr>
          <w:rFonts w:ascii="Arial" w:hAnsi="Arial" w:cs="Arial"/>
          <w:bCs/>
          <w:color w:val="000000"/>
          <w:sz w:val="22"/>
          <w:lang w:eastAsia="es-CO"/>
        </w:rPr>
        <w:t>E</w:t>
      </w:r>
      <w:r w:rsidR="00405184" w:rsidRPr="00AD47C6">
        <w:rPr>
          <w:rFonts w:ascii="Arial" w:hAnsi="Arial" w:cs="Arial"/>
          <w:bCs/>
          <w:color w:val="000000"/>
          <w:sz w:val="22"/>
          <w:lang w:eastAsia="es-CO"/>
        </w:rPr>
        <w:t>l</w:t>
      </w:r>
      <w:r w:rsidR="00B87F13" w:rsidRPr="00AD47C6">
        <w:rPr>
          <w:rFonts w:ascii="Arial" w:hAnsi="Arial" w:cs="Arial"/>
          <w:bCs/>
          <w:color w:val="000000"/>
          <w:sz w:val="22"/>
          <w:lang w:eastAsia="es-CO"/>
        </w:rPr>
        <w:t xml:space="preserve"> artículo 33</w:t>
      </w:r>
      <w:r w:rsidR="00405184" w:rsidRPr="00AD47C6">
        <w:rPr>
          <w:rFonts w:ascii="Arial" w:hAnsi="Arial" w:cs="Arial"/>
          <w:bCs/>
          <w:color w:val="000000"/>
          <w:sz w:val="22"/>
          <w:lang w:eastAsia="es-CO"/>
        </w:rPr>
        <w:t xml:space="preserve"> de la Ley 996 de 2005</w:t>
      </w:r>
      <w:r w:rsidR="00F041DE" w:rsidRPr="00AD47C6">
        <w:rPr>
          <w:rFonts w:ascii="Arial" w:hAnsi="Arial" w:cs="Arial"/>
          <w:bCs/>
          <w:color w:val="000000"/>
          <w:sz w:val="22"/>
          <w:lang w:eastAsia="es-CO"/>
        </w:rPr>
        <w:t xml:space="preserve"> </w:t>
      </w:r>
      <w:r w:rsidR="003031F6" w:rsidRPr="00AD47C6">
        <w:rPr>
          <w:rFonts w:ascii="Arial" w:hAnsi="Arial" w:cs="Arial"/>
          <w:bCs/>
          <w:color w:val="000000"/>
          <w:sz w:val="22"/>
          <w:lang w:eastAsia="es-CO"/>
        </w:rPr>
        <w:t>debe aplicarse, como lo indica su primer inciso, a «todos los entes del Estado»</w:t>
      </w:r>
      <w:r w:rsidR="001A66F1" w:rsidRPr="00AD47C6">
        <w:rPr>
          <w:rFonts w:ascii="Arial" w:hAnsi="Arial" w:cs="Arial"/>
          <w:bCs/>
          <w:color w:val="000000"/>
          <w:sz w:val="22"/>
          <w:lang w:eastAsia="es-CO"/>
        </w:rPr>
        <w:t>.</w:t>
      </w:r>
      <w:r w:rsidR="00926203" w:rsidRPr="00AD47C6">
        <w:rPr>
          <w:rFonts w:ascii="Arial" w:hAnsi="Arial" w:cs="Arial"/>
          <w:bCs/>
          <w:color w:val="000000"/>
          <w:sz w:val="22"/>
          <w:lang w:eastAsia="es-CO"/>
        </w:rPr>
        <w:t xml:space="preserve"> Este criterio orgánico reviste importancia, porque permite argumentar que a pesar de que una entidad estatal celebre un contrato con un organismo internacional de cooperación, ayuda o asistencia, aquella no muta su naturaleza</w:t>
      </w:r>
      <w:r w:rsidR="0040798E" w:rsidRPr="00AD47C6">
        <w:rPr>
          <w:rFonts w:ascii="Arial" w:hAnsi="Arial" w:cs="Arial"/>
          <w:bCs/>
          <w:color w:val="000000"/>
          <w:sz w:val="22"/>
          <w:lang w:eastAsia="es-CO"/>
        </w:rPr>
        <w:t xml:space="preserve"> jurídica –no deja de ser una entidad estatal–</w:t>
      </w:r>
      <w:r w:rsidR="00A23387" w:rsidRPr="00AD47C6">
        <w:rPr>
          <w:rFonts w:ascii="Arial" w:hAnsi="Arial" w:cs="Arial"/>
          <w:bCs/>
          <w:color w:val="000000"/>
          <w:sz w:val="22"/>
          <w:lang w:eastAsia="es-CO"/>
        </w:rPr>
        <w:t xml:space="preserve"> y, por tanto, continúa siendo destinataria de la Ley de Garantías Electorales.</w:t>
      </w:r>
      <w:r w:rsidR="00926203" w:rsidRPr="00AD47C6">
        <w:rPr>
          <w:rFonts w:ascii="Arial" w:hAnsi="Arial" w:cs="Arial"/>
          <w:bCs/>
          <w:color w:val="000000"/>
          <w:sz w:val="22"/>
          <w:lang w:eastAsia="es-CO"/>
        </w:rPr>
        <w:t xml:space="preserve"> </w:t>
      </w:r>
      <w:r w:rsidR="00C815E1" w:rsidRPr="00AD47C6">
        <w:rPr>
          <w:rFonts w:ascii="Arial" w:hAnsi="Arial" w:cs="Arial"/>
          <w:bCs/>
          <w:color w:val="000000"/>
          <w:sz w:val="22"/>
          <w:lang w:eastAsia="es-CO"/>
        </w:rPr>
        <w:t xml:space="preserve"> </w:t>
      </w:r>
    </w:p>
    <w:p w14:paraId="1C870B37" w14:textId="77777777" w:rsidR="00A23387" w:rsidRPr="00AD47C6" w:rsidRDefault="00C815E1" w:rsidP="00711612">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ii) </w:t>
      </w:r>
      <w:r w:rsidR="001A66F1" w:rsidRPr="00AD47C6">
        <w:rPr>
          <w:rFonts w:ascii="Arial" w:hAnsi="Arial" w:cs="Arial"/>
          <w:bCs/>
          <w:color w:val="000000"/>
          <w:sz w:val="22"/>
          <w:lang w:eastAsia="es-CO"/>
        </w:rPr>
        <w:t>L</w:t>
      </w:r>
      <w:r w:rsidRPr="00AD47C6">
        <w:rPr>
          <w:rFonts w:ascii="Arial" w:hAnsi="Arial" w:cs="Arial"/>
          <w:bCs/>
          <w:color w:val="000000"/>
          <w:sz w:val="22"/>
          <w:lang w:eastAsia="es-CO"/>
        </w:rPr>
        <w:t>a proscripción de la contratación directa indicada en dicho artículo no diferencia régimen contractual</w:t>
      </w:r>
      <w:r w:rsidR="006B1686" w:rsidRPr="00AD47C6">
        <w:rPr>
          <w:rFonts w:ascii="Arial" w:hAnsi="Arial" w:cs="Arial"/>
          <w:bCs/>
          <w:color w:val="000000"/>
          <w:sz w:val="22"/>
          <w:lang w:eastAsia="es-CO"/>
        </w:rPr>
        <w:t xml:space="preserve">, ni indica que solo se </w:t>
      </w:r>
      <w:r w:rsidR="005A0E70" w:rsidRPr="00AD47C6">
        <w:rPr>
          <w:rFonts w:ascii="Arial" w:hAnsi="Arial" w:cs="Arial"/>
          <w:bCs/>
          <w:color w:val="000000"/>
          <w:sz w:val="22"/>
          <w:lang w:eastAsia="es-CO"/>
        </w:rPr>
        <w:t>aplica</w:t>
      </w:r>
      <w:r w:rsidR="006B1686" w:rsidRPr="00AD47C6">
        <w:rPr>
          <w:rFonts w:ascii="Arial" w:hAnsi="Arial" w:cs="Arial"/>
          <w:bCs/>
          <w:color w:val="000000"/>
          <w:sz w:val="22"/>
          <w:lang w:eastAsia="es-CO"/>
        </w:rPr>
        <w:t xml:space="preserve"> a la contratación directa sometida al Estatuto General de Contratación de la Administración Pública, razón por la cual </w:t>
      </w:r>
      <w:r w:rsidR="005A0E70" w:rsidRPr="00AD47C6">
        <w:rPr>
          <w:rFonts w:ascii="Arial" w:hAnsi="Arial" w:cs="Arial"/>
          <w:bCs/>
          <w:color w:val="000000"/>
          <w:sz w:val="22"/>
          <w:lang w:eastAsia="es-CO"/>
        </w:rPr>
        <w:t>la prohibición incluye</w:t>
      </w:r>
      <w:r w:rsidR="006B1686" w:rsidRPr="00AD47C6">
        <w:rPr>
          <w:rFonts w:ascii="Arial" w:hAnsi="Arial" w:cs="Arial"/>
          <w:bCs/>
          <w:color w:val="000000"/>
          <w:sz w:val="22"/>
          <w:lang w:eastAsia="es-CO"/>
        </w:rPr>
        <w:t xml:space="preserve"> cualquier contratación directa, así esté sujeta a un régimen excepcional –como el del artículo 20 de la Ley 1150 de 2007–</w:t>
      </w:r>
      <w:r w:rsidR="00A23387" w:rsidRPr="00AD47C6">
        <w:rPr>
          <w:rFonts w:ascii="Arial" w:hAnsi="Arial" w:cs="Arial"/>
          <w:bCs/>
          <w:color w:val="000000"/>
          <w:sz w:val="22"/>
          <w:lang w:eastAsia="es-CO"/>
        </w:rPr>
        <w:t>.</w:t>
      </w:r>
      <w:r w:rsidR="006B1686" w:rsidRPr="00AD47C6">
        <w:rPr>
          <w:rFonts w:ascii="Arial" w:hAnsi="Arial" w:cs="Arial"/>
          <w:bCs/>
          <w:color w:val="000000"/>
          <w:sz w:val="22"/>
          <w:lang w:eastAsia="es-CO"/>
        </w:rPr>
        <w:t xml:space="preserve"> </w:t>
      </w:r>
    </w:p>
    <w:p w14:paraId="5C8A609F" w14:textId="77777777" w:rsidR="00B91C7C" w:rsidRPr="00AD47C6" w:rsidRDefault="005A0E70" w:rsidP="00711612">
      <w:pPr>
        <w:spacing w:after="120" w:line="276" w:lineRule="auto"/>
        <w:ind w:firstLine="708"/>
        <w:jc w:val="both"/>
        <w:rPr>
          <w:rFonts w:ascii="Arial" w:hAnsi="Arial" w:cs="Arial"/>
          <w:bCs/>
          <w:color w:val="000000"/>
          <w:sz w:val="22"/>
          <w:szCs w:val="22"/>
          <w:lang w:eastAsia="es-CO"/>
        </w:rPr>
      </w:pPr>
      <w:r w:rsidRPr="00AD47C6">
        <w:rPr>
          <w:rFonts w:ascii="Arial" w:hAnsi="Arial" w:cs="Arial"/>
          <w:bCs/>
          <w:color w:val="000000"/>
          <w:sz w:val="22"/>
          <w:lang w:eastAsia="es-CO"/>
        </w:rPr>
        <w:t>iii)</w:t>
      </w:r>
      <w:r w:rsidR="001A66F1" w:rsidRPr="00AD47C6">
        <w:rPr>
          <w:rFonts w:ascii="Arial" w:hAnsi="Arial" w:cs="Arial"/>
          <w:bCs/>
          <w:color w:val="000000"/>
          <w:sz w:val="22"/>
          <w:lang w:eastAsia="es-CO"/>
        </w:rPr>
        <w:t xml:space="preserve"> </w:t>
      </w:r>
      <w:r w:rsidR="00DB37F3" w:rsidRPr="00AD47C6">
        <w:rPr>
          <w:rFonts w:ascii="Arial" w:hAnsi="Arial" w:cs="Arial"/>
          <w:bCs/>
          <w:color w:val="000000"/>
          <w:sz w:val="22"/>
          <w:lang w:eastAsia="es-CO"/>
        </w:rPr>
        <w:t>Los</w:t>
      </w:r>
      <w:r w:rsidR="00A23387" w:rsidRPr="00AD47C6">
        <w:rPr>
          <w:rFonts w:ascii="Arial" w:hAnsi="Arial" w:cs="Arial"/>
          <w:bCs/>
          <w:color w:val="000000"/>
          <w:sz w:val="22"/>
          <w:lang w:eastAsia="es-CO"/>
        </w:rPr>
        <w:t xml:space="preserve"> artículo</w:t>
      </w:r>
      <w:r w:rsidR="00DB37F3" w:rsidRPr="00AD47C6">
        <w:rPr>
          <w:rFonts w:ascii="Arial" w:hAnsi="Arial" w:cs="Arial"/>
          <w:bCs/>
          <w:color w:val="000000"/>
          <w:sz w:val="22"/>
          <w:lang w:eastAsia="es-CO"/>
        </w:rPr>
        <w:t>s 13 de la Ley 80 de 1993,</w:t>
      </w:r>
      <w:r w:rsidR="00A23387" w:rsidRPr="00AD47C6">
        <w:rPr>
          <w:rFonts w:ascii="Arial" w:hAnsi="Arial" w:cs="Arial"/>
          <w:bCs/>
          <w:color w:val="000000"/>
          <w:sz w:val="22"/>
          <w:lang w:eastAsia="es-CO"/>
        </w:rPr>
        <w:t xml:space="preserve"> 20 de la Ley 1150 de 2007 y </w:t>
      </w:r>
      <w:r w:rsidR="00DB37F3" w:rsidRPr="00AD47C6">
        <w:rPr>
          <w:rFonts w:ascii="Arial" w:hAnsi="Arial" w:cs="Arial"/>
          <w:bCs/>
          <w:color w:val="000000"/>
          <w:sz w:val="22"/>
          <w:lang w:eastAsia="es-CO"/>
        </w:rPr>
        <w:t xml:space="preserve">2.2.1.2.4.4.1 del Decreto 1082 de 2015 </w:t>
      </w:r>
      <w:r w:rsidR="00DB37F3" w:rsidRPr="00AD47C6">
        <w:rPr>
          <w:rFonts w:ascii="Arial" w:hAnsi="Arial" w:cs="Arial"/>
          <w:bCs/>
          <w:i/>
          <w:iCs/>
          <w:color w:val="000000"/>
          <w:sz w:val="22"/>
          <w:lang w:eastAsia="es-CO"/>
        </w:rPr>
        <w:t xml:space="preserve">no </w:t>
      </w:r>
      <w:r w:rsidR="001E35FA" w:rsidRPr="00AD47C6">
        <w:rPr>
          <w:rFonts w:ascii="Arial" w:hAnsi="Arial" w:cs="Arial"/>
          <w:bCs/>
          <w:i/>
          <w:iCs/>
          <w:color w:val="000000"/>
          <w:sz w:val="22"/>
          <w:lang w:eastAsia="es-CO"/>
        </w:rPr>
        <w:t>establecen una excepción en bloque de todo el ordenamiento jurídico colombiano</w:t>
      </w:r>
      <w:r w:rsidR="001E35FA" w:rsidRPr="00AD47C6">
        <w:rPr>
          <w:rFonts w:ascii="Arial" w:hAnsi="Arial" w:cs="Arial"/>
          <w:bCs/>
          <w:color w:val="000000"/>
          <w:sz w:val="22"/>
          <w:lang w:eastAsia="es-CO"/>
        </w:rPr>
        <w:t xml:space="preserve"> para los supuestos en los cuales </w:t>
      </w:r>
      <w:r w:rsidR="00572996" w:rsidRPr="00AD47C6">
        <w:rPr>
          <w:rFonts w:ascii="Arial" w:hAnsi="Arial" w:cs="Arial"/>
          <w:bCs/>
          <w:color w:val="000000"/>
          <w:sz w:val="22"/>
          <w:lang w:eastAsia="es-CO"/>
        </w:rPr>
        <w:t>se pueden aplicar</w:t>
      </w:r>
      <w:r w:rsidR="001E35FA" w:rsidRPr="00AD47C6">
        <w:rPr>
          <w:rFonts w:ascii="Arial" w:hAnsi="Arial" w:cs="Arial"/>
          <w:bCs/>
          <w:color w:val="000000"/>
          <w:sz w:val="22"/>
          <w:lang w:eastAsia="es-CO"/>
        </w:rPr>
        <w:t xml:space="preserve"> los </w:t>
      </w:r>
      <w:r w:rsidR="009F6FED" w:rsidRPr="00AD47C6">
        <w:rPr>
          <w:rFonts w:ascii="Arial" w:hAnsi="Arial" w:cs="Arial"/>
          <w:bCs/>
          <w:color w:val="000000"/>
          <w:sz w:val="22"/>
          <w:lang w:eastAsia="es-CO"/>
        </w:rPr>
        <w:t>reglamentos de los organismos de cooperación, ayuda o asistencia internacionales.</w:t>
      </w:r>
      <w:r w:rsidR="00572996" w:rsidRPr="00AD47C6">
        <w:rPr>
          <w:rFonts w:ascii="Arial" w:hAnsi="Arial" w:cs="Arial"/>
          <w:bCs/>
          <w:color w:val="000000"/>
          <w:sz w:val="22"/>
          <w:lang w:eastAsia="es-CO"/>
        </w:rPr>
        <w:t xml:space="preserve"> Por una parte, lo que es posible someter a dichos reglamentos son </w:t>
      </w:r>
      <w:r w:rsidR="00572996" w:rsidRPr="00AD47C6">
        <w:rPr>
          <w:rFonts w:ascii="Arial" w:hAnsi="Arial" w:cs="Arial"/>
          <w:bCs/>
          <w:i/>
          <w:iCs/>
          <w:color w:val="000000"/>
          <w:sz w:val="22"/>
          <w:lang w:eastAsia="es-CO"/>
        </w:rPr>
        <w:t>los contratos</w:t>
      </w:r>
      <w:r w:rsidR="003C087C" w:rsidRPr="00AD47C6">
        <w:rPr>
          <w:rFonts w:ascii="Arial" w:hAnsi="Arial" w:cs="Arial"/>
          <w:bCs/>
          <w:i/>
          <w:iCs/>
          <w:color w:val="000000"/>
          <w:sz w:val="22"/>
          <w:lang w:eastAsia="es-CO"/>
        </w:rPr>
        <w:t xml:space="preserve"> o convenios</w:t>
      </w:r>
      <w:r w:rsidR="00A22644" w:rsidRPr="00AD47C6">
        <w:rPr>
          <w:rFonts w:ascii="Arial" w:hAnsi="Arial" w:cs="Arial"/>
          <w:bCs/>
          <w:color w:val="000000"/>
          <w:sz w:val="22"/>
          <w:lang w:eastAsia="es-CO"/>
        </w:rPr>
        <w:t xml:space="preserve"> –esto es lo que se interpreta a partir de una lectura atenta de </w:t>
      </w:r>
      <w:r w:rsidR="00A22644" w:rsidRPr="00AD47C6">
        <w:rPr>
          <w:rFonts w:ascii="Arial" w:hAnsi="Arial" w:cs="Arial"/>
          <w:bCs/>
          <w:color w:val="000000"/>
          <w:sz w:val="22"/>
          <w:szCs w:val="22"/>
          <w:lang w:eastAsia="es-CO"/>
        </w:rPr>
        <w:t>las normas en comento–</w:t>
      </w:r>
      <w:r w:rsidR="001F3F86" w:rsidRPr="00AD47C6">
        <w:rPr>
          <w:rFonts w:ascii="Arial" w:hAnsi="Arial" w:cs="Arial"/>
          <w:bCs/>
          <w:color w:val="000000"/>
          <w:sz w:val="22"/>
          <w:szCs w:val="22"/>
          <w:lang w:eastAsia="es-CO"/>
        </w:rPr>
        <w:t xml:space="preserve">. </w:t>
      </w:r>
    </w:p>
    <w:p w14:paraId="55F34BF3" w14:textId="27680210" w:rsidR="008E4FB1" w:rsidRPr="00AD47C6" w:rsidRDefault="00B91C7C" w:rsidP="00711612">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szCs w:val="22"/>
          <w:lang w:eastAsia="es-CO"/>
        </w:rPr>
        <w:t>P</w:t>
      </w:r>
      <w:r w:rsidR="001F3F86" w:rsidRPr="00AD47C6">
        <w:rPr>
          <w:rFonts w:ascii="Arial" w:hAnsi="Arial" w:cs="Arial"/>
          <w:bCs/>
          <w:color w:val="000000"/>
          <w:sz w:val="22"/>
          <w:szCs w:val="22"/>
          <w:lang w:eastAsia="es-CO"/>
        </w:rPr>
        <w:t xml:space="preserve">or otra parte, el hecho de que los contratos o convenios se sometan a los reglamentos de dichos organismos </w:t>
      </w:r>
      <w:r w:rsidR="00045668" w:rsidRPr="00AD47C6">
        <w:rPr>
          <w:rFonts w:ascii="Arial" w:hAnsi="Arial" w:cs="Arial"/>
          <w:bCs/>
          <w:color w:val="000000"/>
          <w:sz w:val="22"/>
          <w:szCs w:val="22"/>
          <w:lang w:eastAsia="es-CO"/>
        </w:rPr>
        <w:t>no obsta para que las entidades estatales colombianas que los celebr</w:t>
      </w:r>
      <w:r w:rsidR="00D2098B" w:rsidRPr="00AD47C6">
        <w:rPr>
          <w:rFonts w:ascii="Arial" w:hAnsi="Arial" w:cs="Arial"/>
          <w:bCs/>
          <w:color w:val="000000"/>
          <w:sz w:val="22"/>
          <w:szCs w:val="22"/>
          <w:lang w:eastAsia="es-CO"/>
        </w:rPr>
        <w:t>e</w:t>
      </w:r>
      <w:r w:rsidR="00045668" w:rsidRPr="00AD47C6">
        <w:rPr>
          <w:rFonts w:ascii="Arial" w:hAnsi="Arial" w:cs="Arial"/>
          <w:bCs/>
          <w:color w:val="000000"/>
          <w:sz w:val="22"/>
          <w:szCs w:val="22"/>
          <w:lang w:eastAsia="es-CO"/>
        </w:rPr>
        <w:t xml:space="preserve">n deban continuar rigiéndose, en todo lo demás, </w:t>
      </w:r>
      <w:r w:rsidR="00D2098B" w:rsidRPr="00AD47C6">
        <w:rPr>
          <w:rFonts w:ascii="Arial" w:hAnsi="Arial" w:cs="Arial"/>
          <w:bCs/>
          <w:color w:val="000000"/>
          <w:sz w:val="22"/>
          <w:szCs w:val="22"/>
          <w:lang w:eastAsia="es-CO"/>
        </w:rPr>
        <w:t>por</w:t>
      </w:r>
      <w:r w:rsidR="00045668" w:rsidRPr="00AD47C6">
        <w:rPr>
          <w:rFonts w:ascii="Arial" w:hAnsi="Arial" w:cs="Arial"/>
          <w:bCs/>
          <w:color w:val="000000"/>
          <w:sz w:val="22"/>
          <w:szCs w:val="22"/>
          <w:lang w:eastAsia="es-CO"/>
        </w:rPr>
        <w:t xml:space="preserve"> las disposiciones normativas colombianas</w:t>
      </w:r>
      <w:r w:rsidRPr="00AD47C6">
        <w:rPr>
          <w:rFonts w:ascii="Arial" w:hAnsi="Arial" w:cs="Arial"/>
          <w:bCs/>
          <w:color w:val="000000"/>
          <w:sz w:val="22"/>
          <w:szCs w:val="22"/>
          <w:lang w:eastAsia="es-CO"/>
        </w:rPr>
        <w:t>. Lo anterior teniendo en cuenta que, a</w:t>
      </w:r>
      <w:r w:rsidR="002E273B" w:rsidRPr="00AD47C6">
        <w:rPr>
          <w:rFonts w:ascii="Arial" w:hAnsi="Arial" w:cs="Arial"/>
          <w:bCs/>
          <w:color w:val="000000"/>
          <w:sz w:val="22"/>
          <w:szCs w:val="22"/>
          <w:lang w:eastAsia="es-CO"/>
        </w:rPr>
        <w:t xml:space="preserve"> título enunciativo</w:t>
      </w:r>
      <w:r w:rsidRPr="00AD47C6">
        <w:rPr>
          <w:rFonts w:ascii="Arial" w:hAnsi="Arial" w:cs="Arial"/>
          <w:bCs/>
          <w:color w:val="000000"/>
          <w:sz w:val="22"/>
          <w:szCs w:val="22"/>
          <w:lang w:eastAsia="es-CO"/>
        </w:rPr>
        <w:t>, estas disposiciones regulan aspectos como</w:t>
      </w:r>
      <w:r w:rsidR="00045668" w:rsidRPr="00AD47C6">
        <w:rPr>
          <w:rFonts w:ascii="Arial" w:hAnsi="Arial" w:cs="Arial"/>
          <w:bCs/>
          <w:color w:val="000000"/>
          <w:sz w:val="22"/>
          <w:szCs w:val="22"/>
          <w:lang w:eastAsia="es-CO"/>
        </w:rPr>
        <w:t xml:space="preserve">: </w:t>
      </w:r>
      <w:r w:rsidR="002E273B" w:rsidRPr="00AD47C6">
        <w:rPr>
          <w:rFonts w:ascii="Arial" w:hAnsi="Arial" w:cs="Arial"/>
          <w:bCs/>
          <w:color w:val="000000"/>
          <w:sz w:val="22"/>
          <w:szCs w:val="22"/>
          <w:lang w:eastAsia="es-CO"/>
        </w:rPr>
        <w:t xml:space="preserve">a) </w:t>
      </w:r>
      <w:r w:rsidR="00E4640D" w:rsidRPr="00AD47C6">
        <w:rPr>
          <w:rFonts w:ascii="Arial" w:hAnsi="Arial" w:cs="Arial"/>
          <w:bCs/>
          <w:color w:val="000000"/>
          <w:sz w:val="22"/>
          <w:szCs w:val="22"/>
          <w:lang w:eastAsia="es-CO"/>
        </w:rPr>
        <w:t>los principios de la función administrativa y de la gestión fiscal</w:t>
      </w:r>
      <w:r w:rsidR="00331646" w:rsidRPr="00AD47C6">
        <w:rPr>
          <w:rFonts w:ascii="Arial" w:hAnsi="Arial" w:cs="Arial"/>
          <w:bCs/>
          <w:color w:val="000000"/>
          <w:sz w:val="22"/>
          <w:szCs w:val="22"/>
          <w:lang w:eastAsia="es-CO"/>
        </w:rPr>
        <w:t xml:space="preserve"> –consagrados, respectivamente, en los artículos 209 y 267 de la Constitución Política–,</w:t>
      </w:r>
      <w:r w:rsidR="0098433F" w:rsidRPr="00AD47C6">
        <w:rPr>
          <w:rFonts w:ascii="Arial" w:hAnsi="Arial" w:cs="Arial"/>
          <w:bCs/>
          <w:color w:val="000000"/>
          <w:sz w:val="22"/>
          <w:szCs w:val="22"/>
          <w:lang w:eastAsia="es-CO"/>
        </w:rPr>
        <w:t xml:space="preserve"> </w:t>
      </w:r>
      <w:r w:rsidR="002E273B" w:rsidRPr="00AD47C6">
        <w:rPr>
          <w:rFonts w:ascii="Arial" w:hAnsi="Arial" w:cs="Arial"/>
          <w:bCs/>
          <w:color w:val="000000"/>
          <w:sz w:val="22"/>
          <w:szCs w:val="22"/>
          <w:lang w:eastAsia="es-CO"/>
        </w:rPr>
        <w:t xml:space="preserve">b) </w:t>
      </w:r>
      <w:r w:rsidR="0098433F" w:rsidRPr="00AD47C6">
        <w:rPr>
          <w:rFonts w:ascii="Arial" w:hAnsi="Arial" w:cs="Arial"/>
          <w:bCs/>
          <w:color w:val="000000"/>
          <w:sz w:val="22"/>
          <w:szCs w:val="22"/>
          <w:lang w:eastAsia="es-CO"/>
        </w:rPr>
        <w:t>la obligación de publicar en el SECOP la contratación</w:t>
      </w:r>
      <w:r w:rsidR="0098433F" w:rsidRPr="00AD47C6">
        <w:rPr>
          <w:rStyle w:val="Refdenotaalpie"/>
          <w:rFonts w:ascii="Arial" w:hAnsi="Arial" w:cs="Arial"/>
          <w:sz w:val="22"/>
          <w:szCs w:val="22"/>
        </w:rPr>
        <w:footnoteReference w:id="32"/>
      </w:r>
      <w:r w:rsidR="002E273B" w:rsidRPr="00AD47C6">
        <w:rPr>
          <w:rFonts w:ascii="Arial" w:hAnsi="Arial" w:cs="Arial"/>
          <w:bCs/>
          <w:color w:val="000000"/>
          <w:sz w:val="22"/>
          <w:szCs w:val="22"/>
          <w:lang w:eastAsia="es-CO"/>
        </w:rPr>
        <w:t>,</w:t>
      </w:r>
      <w:r w:rsidR="00331646" w:rsidRPr="00AD47C6">
        <w:rPr>
          <w:rFonts w:ascii="Arial" w:hAnsi="Arial" w:cs="Arial"/>
          <w:bCs/>
          <w:color w:val="000000"/>
          <w:sz w:val="22"/>
          <w:szCs w:val="22"/>
          <w:lang w:eastAsia="es-CO"/>
        </w:rPr>
        <w:t xml:space="preserve"> </w:t>
      </w:r>
      <w:r w:rsidR="002E273B" w:rsidRPr="00AD47C6">
        <w:rPr>
          <w:rFonts w:ascii="Arial" w:hAnsi="Arial" w:cs="Arial"/>
          <w:bCs/>
          <w:color w:val="000000"/>
          <w:sz w:val="22"/>
          <w:szCs w:val="22"/>
          <w:lang w:eastAsia="es-CO"/>
        </w:rPr>
        <w:t xml:space="preserve">c) </w:t>
      </w:r>
      <w:r w:rsidR="00331646" w:rsidRPr="00AD47C6">
        <w:rPr>
          <w:rFonts w:ascii="Arial" w:hAnsi="Arial" w:cs="Arial"/>
          <w:bCs/>
          <w:color w:val="000000"/>
          <w:sz w:val="22"/>
          <w:szCs w:val="22"/>
          <w:lang w:eastAsia="es-CO"/>
        </w:rPr>
        <w:t>las normas presupuestales</w:t>
      </w:r>
      <w:r w:rsidR="00331646" w:rsidRPr="00AD47C6">
        <w:rPr>
          <w:rStyle w:val="Refdenotaalpie"/>
          <w:rFonts w:ascii="Arial" w:hAnsi="Arial" w:cs="Arial"/>
          <w:sz w:val="22"/>
          <w:szCs w:val="22"/>
        </w:rPr>
        <w:footnoteReference w:id="33"/>
      </w:r>
      <w:r w:rsidR="00331646" w:rsidRPr="00AD47C6">
        <w:rPr>
          <w:rFonts w:ascii="Arial" w:hAnsi="Arial" w:cs="Arial"/>
          <w:bCs/>
          <w:color w:val="000000"/>
          <w:sz w:val="22"/>
          <w:szCs w:val="22"/>
          <w:lang w:eastAsia="es-CO"/>
        </w:rPr>
        <w:t xml:space="preserve">, </w:t>
      </w:r>
      <w:r w:rsidR="002E273B" w:rsidRPr="00AD47C6">
        <w:rPr>
          <w:rFonts w:ascii="Arial" w:hAnsi="Arial" w:cs="Arial"/>
          <w:bCs/>
          <w:color w:val="000000"/>
          <w:sz w:val="22"/>
          <w:szCs w:val="22"/>
          <w:lang w:eastAsia="es-CO"/>
        </w:rPr>
        <w:t xml:space="preserve">d) </w:t>
      </w:r>
      <w:r w:rsidR="00045668" w:rsidRPr="00AD47C6">
        <w:rPr>
          <w:rFonts w:ascii="Arial" w:hAnsi="Arial" w:cs="Arial"/>
          <w:bCs/>
          <w:color w:val="000000"/>
          <w:sz w:val="22"/>
          <w:szCs w:val="22"/>
          <w:lang w:eastAsia="es-CO"/>
        </w:rPr>
        <w:t xml:space="preserve">el régimen de prohibiciones de los </w:t>
      </w:r>
      <w:r w:rsidR="00E4640D" w:rsidRPr="00AD47C6">
        <w:rPr>
          <w:rFonts w:ascii="Arial" w:hAnsi="Arial" w:cs="Arial"/>
          <w:bCs/>
          <w:color w:val="000000"/>
          <w:sz w:val="22"/>
          <w:szCs w:val="22"/>
          <w:lang w:eastAsia="es-CO"/>
        </w:rPr>
        <w:t xml:space="preserve">órganos del Estado y de los </w:t>
      </w:r>
      <w:r w:rsidR="00045668" w:rsidRPr="00AD47C6">
        <w:rPr>
          <w:rFonts w:ascii="Arial" w:hAnsi="Arial" w:cs="Arial"/>
          <w:bCs/>
          <w:color w:val="000000"/>
          <w:sz w:val="22"/>
          <w:szCs w:val="22"/>
          <w:lang w:eastAsia="es-CO"/>
        </w:rPr>
        <w:t>servidores públicos</w:t>
      </w:r>
      <w:r w:rsidR="00E4640D" w:rsidRPr="00AD47C6">
        <w:rPr>
          <w:rFonts w:ascii="Arial" w:hAnsi="Arial" w:cs="Arial"/>
          <w:bCs/>
          <w:color w:val="000000"/>
          <w:sz w:val="22"/>
          <w:szCs w:val="22"/>
          <w:lang w:eastAsia="es-CO"/>
        </w:rPr>
        <w:t xml:space="preserve"> –en el cual se incluye la Ley de Garantías Electorales</w:t>
      </w:r>
      <w:r w:rsidR="002E273B" w:rsidRPr="00AD47C6">
        <w:rPr>
          <w:rFonts w:ascii="Arial" w:hAnsi="Arial" w:cs="Arial"/>
          <w:bCs/>
          <w:color w:val="000000"/>
          <w:sz w:val="22"/>
          <w:szCs w:val="22"/>
          <w:lang w:eastAsia="es-CO"/>
        </w:rPr>
        <w:t xml:space="preserve"> y el régimen de </w:t>
      </w:r>
      <w:r w:rsidR="002E273B" w:rsidRPr="00AD47C6">
        <w:rPr>
          <w:rFonts w:ascii="Arial" w:hAnsi="Arial" w:cs="Arial"/>
          <w:bCs/>
          <w:color w:val="000000"/>
          <w:sz w:val="22"/>
          <w:szCs w:val="22"/>
          <w:lang w:eastAsia="es-CO"/>
        </w:rPr>
        <w:lastRenderedPageBreak/>
        <w:t>inhabilidades e incompatibilidades</w:t>
      </w:r>
      <w:r w:rsidR="00E4640D" w:rsidRPr="00AD47C6">
        <w:rPr>
          <w:rFonts w:ascii="Arial" w:hAnsi="Arial" w:cs="Arial"/>
          <w:bCs/>
          <w:color w:val="000000"/>
          <w:sz w:val="22"/>
          <w:szCs w:val="22"/>
          <w:lang w:eastAsia="es-CO"/>
        </w:rPr>
        <w:t>–</w:t>
      </w:r>
      <w:r w:rsidR="002E273B" w:rsidRPr="00AD47C6">
        <w:rPr>
          <w:rFonts w:ascii="Arial" w:hAnsi="Arial" w:cs="Arial"/>
          <w:bCs/>
          <w:color w:val="000000"/>
          <w:sz w:val="22"/>
          <w:szCs w:val="22"/>
          <w:lang w:eastAsia="es-CO"/>
        </w:rPr>
        <w:t>. En consecuencia, el hecho de que un contrato se rija por el reglamento de un organismo de cooperación, ayuda o asistencia internacional</w:t>
      </w:r>
      <w:r w:rsidR="002E273B" w:rsidRPr="00AD47C6">
        <w:rPr>
          <w:rFonts w:ascii="Arial" w:hAnsi="Arial" w:cs="Arial"/>
          <w:bCs/>
          <w:color w:val="000000"/>
          <w:sz w:val="22"/>
          <w:lang w:eastAsia="es-CO"/>
        </w:rPr>
        <w:t xml:space="preserve"> no exime a la entidad estatal colombiana de acatar las restricciones de la Ley 996 de 2005, porque estas prohibiciones no tienen que ver con el régimen sustantivo del contrato en el que </w:t>
      </w:r>
      <w:r w:rsidR="004711D0" w:rsidRPr="00AD47C6">
        <w:rPr>
          <w:rFonts w:ascii="Arial" w:hAnsi="Arial" w:cs="Arial"/>
          <w:bCs/>
          <w:color w:val="000000"/>
          <w:sz w:val="22"/>
          <w:lang w:eastAsia="es-CO"/>
        </w:rPr>
        <w:t xml:space="preserve">se </w:t>
      </w:r>
      <w:r w:rsidR="002E273B" w:rsidRPr="00AD47C6">
        <w:rPr>
          <w:rFonts w:ascii="Arial" w:hAnsi="Arial" w:cs="Arial"/>
          <w:bCs/>
          <w:color w:val="000000"/>
          <w:sz w:val="22"/>
          <w:lang w:eastAsia="es-CO"/>
        </w:rPr>
        <w:t xml:space="preserve">aplica la excepción al EGCAP, sino </w:t>
      </w:r>
      <w:r w:rsidR="003B27C9" w:rsidRPr="00AD47C6">
        <w:rPr>
          <w:rFonts w:ascii="Arial" w:hAnsi="Arial" w:cs="Arial"/>
          <w:bCs/>
          <w:color w:val="000000"/>
          <w:sz w:val="22"/>
          <w:lang w:eastAsia="es-CO"/>
        </w:rPr>
        <w:t xml:space="preserve">con disposiciones transversales </w:t>
      </w:r>
      <w:r w:rsidR="008E4FB1" w:rsidRPr="00AD47C6">
        <w:rPr>
          <w:rFonts w:ascii="Arial" w:hAnsi="Arial" w:cs="Arial"/>
          <w:bCs/>
          <w:color w:val="000000"/>
          <w:sz w:val="22"/>
          <w:lang w:eastAsia="es-CO"/>
        </w:rPr>
        <w:t>consagradas en el ordenamiento jurídico en materia de garantías electorales.</w:t>
      </w:r>
    </w:p>
    <w:p w14:paraId="237EC97E" w14:textId="0B4F0A88" w:rsidR="0063502A" w:rsidRPr="00AD47C6" w:rsidRDefault="008E4FB1" w:rsidP="00711612">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iv) </w:t>
      </w:r>
      <w:r w:rsidR="007D584A" w:rsidRPr="00AD47C6">
        <w:rPr>
          <w:rFonts w:ascii="Arial" w:hAnsi="Arial" w:cs="Arial"/>
          <w:bCs/>
          <w:color w:val="000000"/>
          <w:sz w:val="22"/>
          <w:lang w:eastAsia="es-CO"/>
        </w:rPr>
        <w:t xml:space="preserve">Además, la Ley 996 de 2005 es una </w:t>
      </w:r>
      <w:r w:rsidR="00C924EF" w:rsidRPr="00AD47C6">
        <w:rPr>
          <w:rFonts w:ascii="Arial" w:hAnsi="Arial" w:cs="Arial"/>
          <w:bCs/>
          <w:color w:val="000000"/>
          <w:sz w:val="22"/>
          <w:lang w:eastAsia="es-CO"/>
        </w:rPr>
        <w:t>le</w:t>
      </w:r>
      <w:r w:rsidR="00F22216" w:rsidRPr="00AD47C6">
        <w:rPr>
          <w:rFonts w:ascii="Arial" w:hAnsi="Arial" w:cs="Arial"/>
          <w:bCs/>
          <w:color w:val="000000"/>
          <w:sz w:val="22"/>
          <w:lang w:eastAsia="es-CO"/>
        </w:rPr>
        <w:t>y</w:t>
      </w:r>
      <w:r w:rsidR="00C924EF" w:rsidRPr="00AD47C6">
        <w:rPr>
          <w:rFonts w:ascii="Arial" w:hAnsi="Arial" w:cs="Arial"/>
          <w:bCs/>
          <w:color w:val="000000"/>
          <w:sz w:val="22"/>
          <w:lang w:eastAsia="es-CO"/>
        </w:rPr>
        <w:t xml:space="preserve"> estatutaria</w:t>
      </w:r>
      <w:r w:rsidR="00F22216" w:rsidRPr="00AD47C6">
        <w:rPr>
          <w:rFonts w:ascii="Arial" w:hAnsi="Arial" w:cs="Arial"/>
          <w:bCs/>
          <w:color w:val="000000"/>
          <w:sz w:val="22"/>
          <w:lang w:eastAsia="es-CO"/>
        </w:rPr>
        <w:t xml:space="preserve"> –que integra el bloque de constitucionalidad–</w:t>
      </w:r>
      <w:r w:rsidR="00F17D82" w:rsidRPr="00AD47C6">
        <w:rPr>
          <w:rFonts w:ascii="Arial" w:hAnsi="Arial" w:cs="Arial"/>
          <w:bCs/>
          <w:color w:val="000000"/>
          <w:sz w:val="22"/>
          <w:lang w:eastAsia="es-CO"/>
        </w:rPr>
        <w:t xml:space="preserve"> y, en este sentido, ante las dudas hermenéuticas que se susciten </w:t>
      </w:r>
      <w:r w:rsidR="00E00A74" w:rsidRPr="00AD47C6">
        <w:rPr>
          <w:rFonts w:ascii="Arial" w:hAnsi="Arial" w:cs="Arial"/>
          <w:bCs/>
          <w:color w:val="000000"/>
          <w:sz w:val="22"/>
          <w:lang w:eastAsia="es-CO"/>
        </w:rPr>
        <w:t>frente a su aplicación</w:t>
      </w:r>
      <w:r w:rsidR="00363725" w:rsidRPr="00AD47C6">
        <w:rPr>
          <w:rFonts w:ascii="Arial" w:hAnsi="Arial" w:cs="Arial"/>
          <w:bCs/>
          <w:color w:val="000000"/>
          <w:sz w:val="22"/>
          <w:lang w:eastAsia="es-CO"/>
        </w:rPr>
        <w:t xml:space="preserve"> –</w:t>
      </w:r>
      <w:r w:rsidR="00E00A74" w:rsidRPr="00AD47C6">
        <w:rPr>
          <w:rFonts w:ascii="Arial" w:hAnsi="Arial" w:cs="Arial"/>
          <w:bCs/>
          <w:color w:val="000000"/>
          <w:sz w:val="22"/>
          <w:lang w:eastAsia="es-CO"/>
        </w:rPr>
        <w:t xml:space="preserve">por su aparente contradicción </w:t>
      </w:r>
      <w:r w:rsidR="00C924EF" w:rsidRPr="00AD47C6">
        <w:rPr>
          <w:rFonts w:ascii="Arial" w:hAnsi="Arial" w:cs="Arial"/>
          <w:bCs/>
          <w:color w:val="000000"/>
          <w:sz w:val="22"/>
          <w:lang w:eastAsia="es-CO"/>
        </w:rPr>
        <w:t>con otras leyes</w:t>
      </w:r>
      <w:r w:rsidR="00363725" w:rsidRPr="00AD47C6">
        <w:rPr>
          <w:rFonts w:ascii="Arial" w:hAnsi="Arial" w:cs="Arial"/>
          <w:bCs/>
          <w:color w:val="000000"/>
          <w:sz w:val="22"/>
          <w:lang w:eastAsia="es-CO"/>
        </w:rPr>
        <w:t>–</w:t>
      </w:r>
      <w:r w:rsidR="004A0381" w:rsidRPr="00AD47C6">
        <w:rPr>
          <w:rFonts w:ascii="Arial" w:hAnsi="Arial" w:cs="Arial"/>
          <w:bCs/>
          <w:color w:val="000000"/>
          <w:sz w:val="22"/>
          <w:lang w:eastAsia="es-CO"/>
        </w:rPr>
        <w:t xml:space="preserve"> el operador jurídico debe privilegiar</w:t>
      </w:r>
      <w:r w:rsidR="00F22216" w:rsidRPr="00AD47C6">
        <w:rPr>
          <w:rFonts w:ascii="Arial" w:hAnsi="Arial" w:cs="Arial"/>
          <w:bCs/>
          <w:color w:val="000000"/>
          <w:sz w:val="22"/>
          <w:lang w:eastAsia="es-CO"/>
        </w:rPr>
        <w:t xml:space="preserve"> la </w:t>
      </w:r>
      <w:r w:rsidR="00382529" w:rsidRPr="00AD47C6">
        <w:rPr>
          <w:rFonts w:ascii="Arial" w:hAnsi="Arial" w:cs="Arial"/>
          <w:bCs/>
          <w:color w:val="000000"/>
          <w:sz w:val="22"/>
          <w:lang w:eastAsia="es-CO"/>
        </w:rPr>
        <w:t xml:space="preserve">vigencia de la </w:t>
      </w:r>
      <w:r w:rsidR="00382529" w:rsidRPr="00AD47C6">
        <w:rPr>
          <w:rFonts w:ascii="Arial" w:hAnsi="Arial" w:cs="Arial"/>
          <w:bCs/>
          <w:color w:val="000000"/>
          <w:sz w:val="22"/>
          <w:szCs w:val="22"/>
          <w:lang w:eastAsia="es-CO"/>
        </w:rPr>
        <w:t xml:space="preserve">ley estatutaria. </w:t>
      </w:r>
      <w:r w:rsidR="00B73A3E" w:rsidRPr="00AD47C6">
        <w:rPr>
          <w:rFonts w:ascii="Arial" w:hAnsi="Arial" w:cs="Arial"/>
          <w:bCs/>
          <w:color w:val="000000"/>
          <w:sz w:val="22"/>
          <w:szCs w:val="22"/>
          <w:lang w:eastAsia="es-CO"/>
        </w:rPr>
        <w:t>En efecto, la Corte Constitucional ha explicado que uno de los argumentos hermenéuticos que</w:t>
      </w:r>
      <w:r w:rsidR="00015D13" w:rsidRPr="00AD47C6">
        <w:rPr>
          <w:rFonts w:ascii="Arial" w:hAnsi="Arial" w:cs="Arial"/>
          <w:bCs/>
          <w:color w:val="000000"/>
          <w:sz w:val="22"/>
          <w:szCs w:val="22"/>
          <w:lang w:eastAsia="es-CO"/>
        </w:rPr>
        <w:t xml:space="preserve"> deben tenerse en cuenta en la aplicación de las leyes  es «</w:t>
      </w:r>
      <w:r w:rsidR="00B73A3E" w:rsidRPr="00AD47C6">
        <w:rPr>
          <w:rFonts w:ascii="Arial" w:hAnsi="Arial" w:cs="Arial"/>
          <w:bCs/>
          <w:color w:val="000000"/>
          <w:sz w:val="22"/>
          <w:szCs w:val="22"/>
          <w:lang w:eastAsia="es-CO"/>
        </w:rPr>
        <w:t xml:space="preserve">el criterio jerárquico, según el cual la norma superior prima o prevalece sobre la inferior </w:t>
      </w:r>
      <w:r w:rsidR="00B73A3E" w:rsidRPr="00AD47C6">
        <w:rPr>
          <w:rFonts w:ascii="Arial" w:hAnsi="Arial" w:cs="Arial"/>
          <w:bCs/>
          <w:i/>
          <w:iCs/>
          <w:color w:val="000000"/>
          <w:sz w:val="22"/>
          <w:szCs w:val="22"/>
          <w:lang w:eastAsia="es-CO"/>
        </w:rPr>
        <w:t>(</w:t>
      </w:r>
      <w:proofErr w:type="spellStart"/>
      <w:r w:rsidR="00B73A3E" w:rsidRPr="00AD47C6">
        <w:rPr>
          <w:rFonts w:ascii="Arial" w:hAnsi="Arial" w:cs="Arial"/>
          <w:bCs/>
          <w:i/>
          <w:iCs/>
          <w:color w:val="000000"/>
          <w:sz w:val="22"/>
          <w:szCs w:val="22"/>
          <w:lang w:eastAsia="es-CO"/>
        </w:rPr>
        <w:t>lex</w:t>
      </w:r>
      <w:proofErr w:type="spellEnd"/>
      <w:r w:rsidR="00B73A3E" w:rsidRPr="00AD47C6">
        <w:rPr>
          <w:rFonts w:ascii="Arial" w:hAnsi="Arial" w:cs="Arial"/>
          <w:bCs/>
          <w:i/>
          <w:iCs/>
          <w:color w:val="000000"/>
          <w:sz w:val="22"/>
          <w:szCs w:val="22"/>
          <w:lang w:eastAsia="es-CO"/>
        </w:rPr>
        <w:t xml:space="preserve"> superior </w:t>
      </w:r>
      <w:proofErr w:type="spellStart"/>
      <w:r w:rsidR="00B73A3E" w:rsidRPr="00AD47C6">
        <w:rPr>
          <w:rFonts w:ascii="Arial" w:hAnsi="Arial" w:cs="Arial"/>
          <w:bCs/>
          <w:i/>
          <w:iCs/>
          <w:color w:val="000000"/>
          <w:sz w:val="22"/>
          <w:szCs w:val="22"/>
          <w:lang w:eastAsia="es-CO"/>
        </w:rPr>
        <w:t>derogat</w:t>
      </w:r>
      <w:proofErr w:type="spellEnd"/>
      <w:r w:rsidR="00B73A3E" w:rsidRPr="00AD47C6">
        <w:rPr>
          <w:rFonts w:ascii="Arial" w:hAnsi="Arial" w:cs="Arial"/>
          <w:bCs/>
          <w:i/>
          <w:iCs/>
          <w:color w:val="000000"/>
          <w:sz w:val="22"/>
          <w:szCs w:val="22"/>
          <w:lang w:eastAsia="es-CO"/>
        </w:rPr>
        <w:t xml:space="preserve"> </w:t>
      </w:r>
      <w:proofErr w:type="spellStart"/>
      <w:r w:rsidR="00B73A3E" w:rsidRPr="00AD47C6">
        <w:rPr>
          <w:rFonts w:ascii="Arial" w:hAnsi="Arial" w:cs="Arial"/>
          <w:bCs/>
          <w:i/>
          <w:iCs/>
          <w:color w:val="000000"/>
          <w:sz w:val="22"/>
          <w:szCs w:val="22"/>
          <w:lang w:eastAsia="es-CO"/>
        </w:rPr>
        <w:t>inferiori</w:t>
      </w:r>
      <w:proofErr w:type="spellEnd"/>
      <w:r w:rsidR="00B73A3E" w:rsidRPr="00AD47C6">
        <w:rPr>
          <w:rFonts w:ascii="Arial" w:hAnsi="Arial" w:cs="Arial"/>
          <w:bCs/>
          <w:i/>
          <w:iCs/>
          <w:color w:val="000000"/>
          <w:sz w:val="22"/>
          <w:szCs w:val="22"/>
          <w:lang w:eastAsia="es-CO"/>
        </w:rPr>
        <w:t>)</w:t>
      </w:r>
      <w:r w:rsidR="00015D13" w:rsidRPr="00AD47C6">
        <w:rPr>
          <w:rFonts w:ascii="Arial" w:hAnsi="Arial" w:cs="Arial"/>
          <w:bCs/>
          <w:color w:val="000000"/>
          <w:sz w:val="22"/>
          <w:szCs w:val="22"/>
          <w:lang w:eastAsia="es-CO"/>
        </w:rPr>
        <w:t>»</w:t>
      </w:r>
      <w:r w:rsidR="003F0F73" w:rsidRPr="00AD47C6">
        <w:rPr>
          <w:rStyle w:val="Refdenotaalpie"/>
          <w:rFonts w:ascii="Arial" w:hAnsi="Arial" w:cs="Arial"/>
          <w:sz w:val="22"/>
          <w:szCs w:val="22"/>
        </w:rPr>
        <w:footnoteReference w:id="34"/>
      </w:r>
      <w:r w:rsidR="00015D13" w:rsidRPr="00AD47C6">
        <w:rPr>
          <w:rFonts w:ascii="Arial" w:hAnsi="Arial" w:cs="Arial"/>
          <w:bCs/>
          <w:color w:val="000000"/>
          <w:sz w:val="22"/>
          <w:szCs w:val="22"/>
          <w:lang w:eastAsia="es-CO"/>
        </w:rPr>
        <w:t xml:space="preserve"> y que</w:t>
      </w:r>
      <w:r w:rsidR="003B07F6" w:rsidRPr="00AD47C6">
        <w:rPr>
          <w:rFonts w:ascii="Arial" w:hAnsi="Arial" w:cs="Arial"/>
          <w:bCs/>
          <w:color w:val="000000"/>
          <w:sz w:val="22"/>
          <w:szCs w:val="22"/>
          <w:lang w:eastAsia="es-CO"/>
        </w:rPr>
        <w:t>,</w:t>
      </w:r>
      <w:r w:rsidR="00015D13" w:rsidRPr="00AD47C6">
        <w:rPr>
          <w:rFonts w:ascii="Arial" w:hAnsi="Arial" w:cs="Arial"/>
          <w:bCs/>
          <w:color w:val="000000"/>
          <w:sz w:val="22"/>
          <w:szCs w:val="22"/>
          <w:lang w:eastAsia="es-CO"/>
        </w:rPr>
        <w:t xml:space="preserve"> </w:t>
      </w:r>
      <w:r w:rsidR="009C4384" w:rsidRPr="00AD47C6">
        <w:rPr>
          <w:rFonts w:ascii="Arial" w:hAnsi="Arial" w:cs="Arial"/>
          <w:bCs/>
          <w:color w:val="000000"/>
          <w:sz w:val="22"/>
          <w:szCs w:val="22"/>
          <w:lang w:eastAsia="es-CO"/>
        </w:rPr>
        <w:t xml:space="preserve">por ello, «entre preceptos de distinta jerarquía, como ocurre entre una la ley ordinaria y una ley estatutaria, o entre la Constitución y la ley en general, </w:t>
      </w:r>
      <w:r w:rsidR="003F0F73" w:rsidRPr="00AD47C6">
        <w:rPr>
          <w:rFonts w:ascii="Arial" w:hAnsi="Arial" w:cs="Arial"/>
          <w:bCs/>
          <w:color w:val="000000"/>
          <w:sz w:val="22"/>
          <w:szCs w:val="22"/>
          <w:lang w:eastAsia="es-CO"/>
        </w:rPr>
        <w:t>[…]</w:t>
      </w:r>
      <w:r w:rsidR="009C4384" w:rsidRPr="00AD47C6">
        <w:rPr>
          <w:rFonts w:ascii="Arial" w:hAnsi="Arial" w:cs="Arial"/>
          <w:bCs/>
          <w:color w:val="000000"/>
          <w:sz w:val="22"/>
          <w:szCs w:val="22"/>
          <w:lang w:eastAsia="es-CO"/>
        </w:rPr>
        <w:t xml:space="preserve"> es claro que prevalece y se aplica siempre la norma superior</w:t>
      </w:r>
      <w:r w:rsidR="003F0F73" w:rsidRPr="00AD47C6">
        <w:rPr>
          <w:rFonts w:ascii="Arial" w:hAnsi="Arial" w:cs="Arial"/>
          <w:bCs/>
          <w:color w:val="000000"/>
          <w:sz w:val="22"/>
          <w:szCs w:val="22"/>
          <w:lang w:eastAsia="es-CO"/>
        </w:rPr>
        <w:t>»</w:t>
      </w:r>
      <w:r w:rsidR="003B07F6" w:rsidRPr="00AD47C6">
        <w:rPr>
          <w:rStyle w:val="Refdenotaalpie"/>
          <w:rFonts w:ascii="Arial" w:hAnsi="Arial" w:cs="Arial"/>
          <w:sz w:val="22"/>
          <w:szCs w:val="22"/>
        </w:rPr>
        <w:footnoteReference w:id="35"/>
      </w:r>
      <w:r w:rsidR="009C4384" w:rsidRPr="00AD47C6">
        <w:rPr>
          <w:rFonts w:ascii="Arial" w:hAnsi="Arial" w:cs="Arial"/>
          <w:bCs/>
          <w:color w:val="000000"/>
          <w:sz w:val="22"/>
          <w:szCs w:val="22"/>
          <w:lang w:eastAsia="es-CO"/>
        </w:rPr>
        <w:t>.</w:t>
      </w:r>
      <w:r w:rsidR="003B06E2" w:rsidRPr="00AD47C6">
        <w:rPr>
          <w:rFonts w:ascii="Arial" w:hAnsi="Arial" w:cs="Arial"/>
          <w:bCs/>
          <w:color w:val="000000"/>
          <w:sz w:val="22"/>
          <w:szCs w:val="22"/>
          <w:lang w:eastAsia="es-CO"/>
        </w:rPr>
        <w:t xml:space="preserve"> En consecuencia, el artículo 20 de la Ley 1150 de 2007 no implica una derogatoria de l</w:t>
      </w:r>
      <w:r w:rsidR="003B06E2" w:rsidRPr="00AD47C6">
        <w:rPr>
          <w:rFonts w:ascii="Arial" w:hAnsi="Arial" w:cs="Arial"/>
          <w:bCs/>
          <w:color w:val="000000"/>
          <w:sz w:val="22"/>
          <w:lang w:eastAsia="es-CO"/>
        </w:rPr>
        <w:t>o establecido en el artículo 33 de la Ley 996 de 2005, porque aquella es una ley ordinaria y esta una ley estatutaria.</w:t>
      </w:r>
    </w:p>
    <w:p w14:paraId="725D3A9C" w14:textId="77777777" w:rsidR="00EB7A21" w:rsidRPr="00AD47C6" w:rsidRDefault="00FF1F26" w:rsidP="00FF1F2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v) En línea con lo anterior, si la Ley 996 de 2005 se aplica también </w:t>
      </w:r>
      <w:r w:rsidR="00A07799" w:rsidRPr="00AD47C6">
        <w:rPr>
          <w:rFonts w:ascii="Arial" w:hAnsi="Arial" w:cs="Arial"/>
          <w:bCs/>
          <w:color w:val="000000"/>
          <w:sz w:val="22"/>
          <w:lang w:eastAsia="es-CO"/>
        </w:rPr>
        <w:t xml:space="preserve">a la contratación con organismos internacionales a la que se refiere el artículo 20 de la Ley 1150 de 2007, deben interpretarse restrictivamente las excepciones a la prohibición de contratar directamente consagradas en el artículo 33 de </w:t>
      </w:r>
      <w:r w:rsidR="001A3137" w:rsidRPr="00AD47C6">
        <w:rPr>
          <w:rFonts w:ascii="Arial" w:hAnsi="Arial" w:cs="Arial"/>
          <w:bCs/>
          <w:color w:val="000000"/>
          <w:sz w:val="22"/>
          <w:lang w:eastAsia="es-CO"/>
        </w:rPr>
        <w:t xml:space="preserve">Ley de Garantías Electorales. </w:t>
      </w:r>
      <w:r w:rsidR="004D052E" w:rsidRPr="00AD47C6">
        <w:rPr>
          <w:rFonts w:ascii="Arial" w:hAnsi="Arial" w:cs="Arial"/>
          <w:bCs/>
          <w:color w:val="000000"/>
          <w:sz w:val="22"/>
          <w:lang w:eastAsia="es-CO"/>
        </w:rPr>
        <w:t>A partir d</w:t>
      </w:r>
      <w:r w:rsidR="001A3137" w:rsidRPr="00AD47C6">
        <w:rPr>
          <w:rFonts w:ascii="Arial" w:hAnsi="Arial" w:cs="Arial"/>
          <w:bCs/>
          <w:color w:val="000000"/>
          <w:sz w:val="22"/>
          <w:lang w:eastAsia="es-CO"/>
        </w:rPr>
        <w:t xml:space="preserve">e </w:t>
      </w:r>
      <w:r w:rsidR="003D6823" w:rsidRPr="00AD47C6">
        <w:rPr>
          <w:rFonts w:ascii="Arial" w:hAnsi="Arial" w:cs="Arial"/>
          <w:bCs/>
          <w:color w:val="000000"/>
          <w:sz w:val="22"/>
          <w:lang w:eastAsia="es-CO"/>
        </w:rPr>
        <w:t>esto</w:t>
      </w:r>
      <w:r w:rsidR="001A3137" w:rsidRPr="00AD47C6">
        <w:rPr>
          <w:rFonts w:ascii="Arial" w:hAnsi="Arial" w:cs="Arial"/>
          <w:bCs/>
          <w:color w:val="000000"/>
          <w:sz w:val="22"/>
          <w:lang w:eastAsia="es-CO"/>
        </w:rPr>
        <w:t xml:space="preserve"> se concluye que la contratación directa con un organismo internacional no es, </w:t>
      </w:r>
      <w:r w:rsidR="001A3137" w:rsidRPr="00AD47C6">
        <w:rPr>
          <w:rFonts w:ascii="Arial" w:hAnsi="Arial" w:cs="Arial"/>
          <w:bCs/>
          <w:i/>
          <w:iCs/>
          <w:color w:val="000000"/>
          <w:sz w:val="22"/>
          <w:lang w:eastAsia="es-CO"/>
        </w:rPr>
        <w:t>en sí misma</w:t>
      </w:r>
      <w:r w:rsidR="003D6823" w:rsidRPr="00AD47C6">
        <w:rPr>
          <w:rFonts w:ascii="Arial" w:hAnsi="Arial" w:cs="Arial"/>
          <w:bCs/>
          <w:i/>
          <w:iCs/>
          <w:color w:val="000000"/>
          <w:sz w:val="22"/>
          <w:lang w:eastAsia="es-CO"/>
        </w:rPr>
        <w:t xml:space="preserve"> considerada</w:t>
      </w:r>
      <w:r w:rsidR="003D6823" w:rsidRPr="00AD47C6">
        <w:rPr>
          <w:rFonts w:ascii="Arial" w:hAnsi="Arial" w:cs="Arial"/>
          <w:bCs/>
          <w:color w:val="000000"/>
          <w:sz w:val="22"/>
          <w:lang w:eastAsia="es-CO"/>
        </w:rPr>
        <w:t xml:space="preserve"> –o por esa sola circunstancia–,</w:t>
      </w:r>
      <w:r w:rsidR="001A3137" w:rsidRPr="00AD47C6">
        <w:rPr>
          <w:rFonts w:ascii="Arial" w:hAnsi="Arial" w:cs="Arial"/>
          <w:bCs/>
          <w:color w:val="000000"/>
          <w:sz w:val="22"/>
          <w:lang w:eastAsia="es-CO"/>
        </w:rPr>
        <w:t xml:space="preserve"> una</w:t>
      </w:r>
      <w:r w:rsidR="00CA6ABB" w:rsidRPr="00AD47C6">
        <w:rPr>
          <w:rFonts w:ascii="Arial" w:hAnsi="Arial" w:cs="Arial"/>
          <w:bCs/>
          <w:color w:val="000000"/>
          <w:sz w:val="22"/>
          <w:lang w:eastAsia="es-CO"/>
        </w:rPr>
        <w:t xml:space="preserve"> contratación que ingres</w:t>
      </w:r>
      <w:r w:rsidR="00A0374D" w:rsidRPr="00AD47C6">
        <w:rPr>
          <w:rFonts w:ascii="Arial" w:hAnsi="Arial" w:cs="Arial"/>
          <w:bCs/>
          <w:color w:val="000000"/>
          <w:sz w:val="22"/>
          <w:lang w:eastAsia="es-CO"/>
        </w:rPr>
        <w:t>a</w:t>
      </w:r>
      <w:r w:rsidR="00CA6ABB" w:rsidRPr="00AD47C6">
        <w:rPr>
          <w:rFonts w:ascii="Arial" w:hAnsi="Arial" w:cs="Arial"/>
          <w:bCs/>
          <w:color w:val="000000"/>
          <w:sz w:val="22"/>
          <w:lang w:eastAsia="es-CO"/>
        </w:rPr>
        <w:t xml:space="preserve"> </w:t>
      </w:r>
      <w:r w:rsidR="004D052E" w:rsidRPr="00AD47C6">
        <w:rPr>
          <w:rFonts w:ascii="Arial" w:hAnsi="Arial" w:cs="Arial"/>
          <w:bCs/>
          <w:color w:val="000000"/>
          <w:sz w:val="22"/>
          <w:lang w:eastAsia="es-CO"/>
        </w:rPr>
        <w:t>en</w:t>
      </w:r>
      <w:r w:rsidR="00CA6ABB" w:rsidRPr="00AD47C6">
        <w:rPr>
          <w:rFonts w:ascii="Arial" w:hAnsi="Arial" w:cs="Arial"/>
          <w:bCs/>
          <w:color w:val="000000"/>
          <w:sz w:val="22"/>
          <w:lang w:eastAsia="es-CO"/>
        </w:rPr>
        <w:t xml:space="preserve"> las excepciones a la prohibición</w:t>
      </w:r>
      <w:r w:rsidR="002B03E6" w:rsidRPr="00AD47C6">
        <w:rPr>
          <w:rFonts w:ascii="Arial" w:hAnsi="Arial" w:cs="Arial"/>
          <w:bCs/>
          <w:color w:val="000000"/>
          <w:sz w:val="22"/>
          <w:lang w:eastAsia="es-CO"/>
        </w:rPr>
        <w:t xml:space="preserve"> de celebrar</w:t>
      </w:r>
      <w:r w:rsidR="00104FD0" w:rsidRPr="00AD47C6">
        <w:rPr>
          <w:rFonts w:ascii="Arial" w:hAnsi="Arial" w:cs="Arial"/>
          <w:bCs/>
          <w:color w:val="000000"/>
          <w:sz w:val="22"/>
          <w:lang w:eastAsia="es-CO"/>
        </w:rPr>
        <w:t xml:space="preserve"> contratos que no estén precedidos de un procedimiento plural «Durante los cuatro (4) meses anteriores a la elección presidencial y hasta la realización de la elección en la segunda vuelta, si fuere el caso»</w:t>
      </w:r>
      <w:r w:rsidR="00CA6ABB" w:rsidRPr="00AD47C6">
        <w:rPr>
          <w:rFonts w:ascii="Arial" w:hAnsi="Arial" w:cs="Arial"/>
          <w:bCs/>
          <w:color w:val="000000"/>
          <w:sz w:val="22"/>
          <w:lang w:eastAsia="es-CO"/>
        </w:rPr>
        <w:t xml:space="preserve">. </w:t>
      </w:r>
    </w:p>
    <w:p w14:paraId="7253CB56" w14:textId="5C23F322" w:rsidR="00FF1F26" w:rsidRPr="00AD47C6" w:rsidRDefault="00CA6ABB" w:rsidP="00AD47C6">
      <w:pPr>
        <w:spacing w:line="276" w:lineRule="auto"/>
        <w:ind w:firstLine="708"/>
        <w:jc w:val="both"/>
        <w:rPr>
          <w:rFonts w:ascii="Arial" w:hAnsi="Arial" w:cs="Arial"/>
          <w:bCs/>
          <w:i/>
          <w:iCs/>
          <w:color w:val="000000"/>
          <w:sz w:val="22"/>
          <w:lang w:eastAsia="es-CO"/>
        </w:rPr>
      </w:pPr>
      <w:r w:rsidRPr="00AD47C6">
        <w:rPr>
          <w:rFonts w:ascii="Arial" w:hAnsi="Arial" w:cs="Arial"/>
          <w:bCs/>
          <w:color w:val="000000"/>
          <w:sz w:val="22"/>
          <w:lang w:eastAsia="es-CO"/>
        </w:rPr>
        <w:t xml:space="preserve">Cada entidad estatal debe </w:t>
      </w:r>
      <w:r w:rsidR="004D052E" w:rsidRPr="00AD47C6">
        <w:rPr>
          <w:rFonts w:ascii="Arial" w:hAnsi="Arial" w:cs="Arial"/>
          <w:bCs/>
          <w:color w:val="000000"/>
          <w:sz w:val="22"/>
          <w:lang w:eastAsia="es-CO"/>
        </w:rPr>
        <w:t>analizar</w:t>
      </w:r>
      <w:r w:rsidRPr="00AD47C6">
        <w:rPr>
          <w:rFonts w:ascii="Arial" w:hAnsi="Arial" w:cs="Arial"/>
          <w:bCs/>
          <w:color w:val="000000"/>
          <w:sz w:val="22"/>
          <w:lang w:eastAsia="es-CO"/>
        </w:rPr>
        <w:t xml:space="preserve"> en el caso concreto</w:t>
      </w:r>
      <w:r w:rsidR="00C055AB" w:rsidRPr="00AD47C6">
        <w:rPr>
          <w:rFonts w:ascii="Arial" w:hAnsi="Arial" w:cs="Arial"/>
          <w:bCs/>
          <w:color w:val="000000"/>
          <w:sz w:val="22"/>
          <w:lang w:eastAsia="es-CO"/>
        </w:rPr>
        <w:t xml:space="preserve"> </w:t>
      </w:r>
      <w:r w:rsidRPr="00AD47C6">
        <w:rPr>
          <w:rFonts w:ascii="Arial" w:hAnsi="Arial" w:cs="Arial"/>
          <w:bCs/>
          <w:color w:val="000000"/>
          <w:sz w:val="22"/>
          <w:lang w:eastAsia="es-CO"/>
        </w:rPr>
        <w:t>si se presenta o no el supuesto que habilite la contratación directa, respetando el carácter taxativo de las excepciones señaladas en el segundo inciso</w:t>
      </w:r>
      <w:r w:rsidR="00D83B40" w:rsidRPr="00AD47C6">
        <w:rPr>
          <w:rFonts w:ascii="Arial" w:hAnsi="Arial" w:cs="Arial"/>
          <w:bCs/>
          <w:color w:val="000000"/>
          <w:sz w:val="22"/>
          <w:lang w:eastAsia="es-CO"/>
        </w:rPr>
        <w:t xml:space="preserve"> del referido artículo 33.</w:t>
      </w:r>
      <w:r w:rsidR="00EA75FD" w:rsidRPr="00AD47C6">
        <w:rPr>
          <w:rFonts w:ascii="Arial" w:hAnsi="Arial" w:cs="Arial"/>
          <w:bCs/>
          <w:color w:val="000000"/>
          <w:sz w:val="22"/>
          <w:lang w:eastAsia="es-CO"/>
        </w:rPr>
        <w:t xml:space="preserve"> </w:t>
      </w:r>
      <w:r w:rsidR="00A35E2B" w:rsidRPr="00AD47C6">
        <w:rPr>
          <w:rFonts w:ascii="Arial" w:hAnsi="Arial" w:cs="Arial"/>
          <w:bCs/>
          <w:color w:val="000000"/>
          <w:sz w:val="22"/>
          <w:szCs w:val="22"/>
          <w:lang w:eastAsia="es-CO"/>
        </w:rPr>
        <w:t>En efecto, e</w:t>
      </w:r>
      <w:r w:rsidR="00EA75FD" w:rsidRPr="00AD47C6">
        <w:rPr>
          <w:rFonts w:ascii="Arial" w:hAnsi="Arial" w:cs="Arial"/>
          <w:bCs/>
          <w:color w:val="000000"/>
          <w:sz w:val="22"/>
          <w:szCs w:val="22"/>
          <w:lang w:eastAsia="es-CO"/>
        </w:rPr>
        <w:t>s posible que</w:t>
      </w:r>
      <w:r w:rsidR="00A35E2B" w:rsidRPr="00AD47C6">
        <w:rPr>
          <w:rFonts w:ascii="Arial" w:hAnsi="Arial" w:cs="Arial"/>
          <w:bCs/>
          <w:color w:val="000000"/>
          <w:sz w:val="22"/>
          <w:szCs w:val="22"/>
          <w:lang w:eastAsia="es-CO"/>
        </w:rPr>
        <w:t xml:space="preserve"> </w:t>
      </w:r>
      <w:r w:rsidR="00F855A1" w:rsidRPr="00AD47C6">
        <w:rPr>
          <w:rFonts w:ascii="Arial" w:hAnsi="Arial" w:cs="Arial"/>
          <w:bCs/>
          <w:color w:val="000000"/>
          <w:sz w:val="22"/>
          <w:szCs w:val="22"/>
          <w:lang w:eastAsia="es-CO"/>
        </w:rPr>
        <w:t>el contrato que se pretenda celebrar con el organismo internacional de cooperación, ayuda o asistencia ingrese e</w:t>
      </w:r>
      <w:r w:rsidR="0054745E" w:rsidRPr="00AD47C6">
        <w:rPr>
          <w:rFonts w:ascii="Arial" w:hAnsi="Arial" w:cs="Arial"/>
          <w:bCs/>
          <w:color w:val="000000"/>
          <w:sz w:val="22"/>
          <w:szCs w:val="22"/>
          <w:lang w:eastAsia="es-CO"/>
        </w:rPr>
        <w:t xml:space="preserve">n alguna de las excepciones </w:t>
      </w:r>
      <w:r w:rsidR="00A35E2B" w:rsidRPr="00AD47C6">
        <w:rPr>
          <w:rFonts w:ascii="Arial" w:hAnsi="Arial" w:cs="Arial"/>
          <w:bCs/>
          <w:color w:val="000000"/>
          <w:sz w:val="22"/>
          <w:szCs w:val="22"/>
          <w:lang w:eastAsia="es-CO"/>
        </w:rPr>
        <w:t>indicadas en dicho inciso; es decir, que se refiera «</w:t>
      </w:r>
      <w:r w:rsidR="00A35E2B" w:rsidRPr="00AD47C6">
        <w:rPr>
          <w:rFonts w:ascii="Arial" w:hAnsi="Arial" w:cs="Arial"/>
          <w:sz w:val="22"/>
          <w:szCs w:val="22"/>
        </w:rPr>
        <w:t xml:space="preserve">[…] </w:t>
      </w:r>
      <w:r w:rsidR="00A35E2B" w:rsidRPr="00AD47C6">
        <w:rPr>
          <w:rFonts w:ascii="Arial" w:hAnsi="Arial" w:cs="Arial"/>
          <w:bCs/>
          <w:color w:val="000000"/>
          <w:sz w:val="22"/>
          <w:szCs w:val="22"/>
          <w:lang w:eastAsia="es-CO"/>
        </w:rPr>
        <w:t xml:space="preserve">a la defensa y seguridad del Estado, los contratos de crédito público, los requeridos para cubrir las emergencias educativas, sanitarias y desastres, así como </w:t>
      </w:r>
      <w:r w:rsidR="00A35E2B" w:rsidRPr="00AD47C6">
        <w:rPr>
          <w:rFonts w:ascii="Arial" w:hAnsi="Arial" w:cs="Arial"/>
          <w:bCs/>
          <w:color w:val="000000"/>
          <w:sz w:val="22"/>
          <w:szCs w:val="22"/>
          <w:lang w:eastAsia="es-CO"/>
        </w:rPr>
        <w:lastRenderedPageBreak/>
        <w:t>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D2205F" w:rsidRPr="00AD47C6">
        <w:rPr>
          <w:rFonts w:ascii="Arial" w:hAnsi="Arial" w:cs="Arial"/>
          <w:bCs/>
          <w:color w:val="000000"/>
          <w:sz w:val="22"/>
          <w:szCs w:val="22"/>
          <w:lang w:eastAsia="es-CO"/>
        </w:rPr>
        <w:t>»</w:t>
      </w:r>
      <w:r w:rsidR="00A35E2B" w:rsidRPr="00AD47C6">
        <w:rPr>
          <w:rFonts w:ascii="Arial" w:hAnsi="Arial" w:cs="Arial"/>
          <w:bCs/>
          <w:color w:val="000000"/>
          <w:sz w:val="22"/>
          <w:szCs w:val="22"/>
          <w:lang w:eastAsia="es-CO"/>
        </w:rPr>
        <w:t>.</w:t>
      </w:r>
      <w:r w:rsidR="00D2205F" w:rsidRPr="00AD47C6">
        <w:rPr>
          <w:rFonts w:ascii="Arial" w:hAnsi="Arial" w:cs="Arial"/>
          <w:bCs/>
          <w:color w:val="000000"/>
          <w:sz w:val="22"/>
          <w:szCs w:val="22"/>
          <w:lang w:eastAsia="es-CO"/>
        </w:rPr>
        <w:t xml:space="preserve"> </w:t>
      </w:r>
      <w:r w:rsidR="00606DB8" w:rsidRPr="00AD47C6">
        <w:rPr>
          <w:rFonts w:ascii="Arial" w:hAnsi="Arial" w:cs="Arial"/>
          <w:bCs/>
          <w:color w:val="000000"/>
          <w:sz w:val="22"/>
          <w:szCs w:val="22"/>
          <w:lang w:eastAsia="es-CO"/>
        </w:rPr>
        <w:t>Por tanto, s</w:t>
      </w:r>
      <w:r w:rsidR="00D2205F" w:rsidRPr="00AD47C6">
        <w:rPr>
          <w:rFonts w:ascii="Arial" w:hAnsi="Arial" w:cs="Arial"/>
          <w:bCs/>
          <w:color w:val="000000"/>
          <w:sz w:val="22"/>
          <w:szCs w:val="22"/>
          <w:lang w:eastAsia="es-CO"/>
        </w:rPr>
        <w:t>olo en este caso la contratación directa será admisible para celebrar tales contratos</w:t>
      </w:r>
      <w:r w:rsidR="000764F1" w:rsidRPr="00AD47C6">
        <w:rPr>
          <w:rFonts w:ascii="Arial" w:hAnsi="Arial" w:cs="Arial"/>
          <w:bCs/>
          <w:color w:val="000000"/>
          <w:sz w:val="22"/>
          <w:szCs w:val="22"/>
          <w:lang w:eastAsia="es-CO"/>
        </w:rPr>
        <w:t>,</w:t>
      </w:r>
      <w:r w:rsidR="00D2205F" w:rsidRPr="00AD47C6">
        <w:rPr>
          <w:rFonts w:ascii="Arial" w:hAnsi="Arial" w:cs="Arial"/>
          <w:bCs/>
          <w:color w:val="000000"/>
          <w:sz w:val="22"/>
          <w:szCs w:val="22"/>
          <w:lang w:eastAsia="es-CO"/>
        </w:rPr>
        <w:t xml:space="preserve"> en vigencia de la prohibición general del artículo 33 de la Ley 996 de 2005. </w:t>
      </w:r>
      <w:r w:rsidR="00EA75FD" w:rsidRPr="00AD47C6">
        <w:rPr>
          <w:rFonts w:ascii="Arial" w:hAnsi="Arial" w:cs="Arial"/>
          <w:bCs/>
          <w:color w:val="000000"/>
          <w:sz w:val="22"/>
          <w:szCs w:val="22"/>
          <w:lang w:eastAsia="es-CO"/>
        </w:rPr>
        <w:t xml:space="preserve"> </w:t>
      </w:r>
    </w:p>
    <w:p w14:paraId="3ED84034" w14:textId="77777777" w:rsidR="004F0A4B" w:rsidRPr="00AD47C6" w:rsidRDefault="004F0A4B" w:rsidP="000A0DF7">
      <w:pPr>
        <w:tabs>
          <w:tab w:val="left" w:pos="0"/>
        </w:tabs>
        <w:jc w:val="both"/>
        <w:rPr>
          <w:rFonts w:ascii="Arial" w:eastAsia="Calibri" w:hAnsi="Arial" w:cs="Arial"/>
          <w:b/>
          <w:sz w:val="22"/>
        </w:rPr>
      </w:pPr>
    </w:p>
    <w:p w14:paraId="05F5364A" w14:textId="16BCE618" w:rsidR="000A0DF7" w:rsidRPr="00AD47C6" w:rsidRDefault="000A0DF7" w:rsidP="000A0DF7">
      <w:pPr>
        <w:tabs>
          <w:tab w:val="left" w:pos="0"/>
        </w:tabs>
        <w:jc w:val="both"/>
        <w:rPr>
          <w:rFonts w:ascii="Arial" w:eastAsia="Calibri" w:hAnsi="Arial" w:cs="Arial"/>
          <w:b/>
          <w:sz w:val="22"/>
          <w:lang w:val="es-ES_tradnl"/>
        </w:rPr>
      </w:pPr>
      <w:r w:rsidRPr="00AD47C6">
        <w:rPr>
          <w:rFonts w:ascii="Arial" w:eastAsia="Calibri" w:hAnsi="Arial" w:cs="Arial"/>
          <w:b/>
          <w:sz w:val="22"/>
          <w:lang w:val="es-ES_tradnl"/>
        </w:rPr>
        <w:t>3. Respuesta</w:t>
      </w:r>
    </w:p>
    <w:p w14:paraId="2B3071BA" w14:textId="77777777" w:rsidR="000A0DF7" w:rsidRPr="00AD47C6" w:rsidRDefault="000A0DF7" w:rsidP="000A0DF7">
      <w:pPr>
        <w:tabs>
          <w:tab w:val="left" w:pos="0"/>
        </w:tabs>
        <w:jc w:val="both"/>
        <w:rPr>
          <w:rFonts w:ascii="Arial" w:eastAsia="Calibri" w:hAnsi="Arial" w:cs="Arial"/>
          <w:sz w:val="21"/>
          <w:szCs w:val="21"/>
          <w:lang w:val="es-ES_tradnl"/>
        </w:rPr>
      </w:pPr>
    </w:p>
    <w:p w14:paraId="0E6A4A7C" w14:textId="0EC7D8A1" w:rsidR="00537EA2" w:rsidRPr="00AD47C6" w:rsidRDefault="00537EA2" w:rsidP="00AD47C6">
      <w:pPr>
        <w:spacing w:after="120"/>
        <w:ind w:left="709" w:right="709"/>
        <w:jc w:val="both"/>
        <w:rPr>
          <w:rFonts w:ascii="Arial" w:hAnsi="Arial" w:cs="Arial"/>
          <w:color w:val="000000" w:themeColor="text1"/>
          <w:sz w:val="21"/>
          <w:szCs w:val="21"/>
          <w:lang w:val="es-ES_tradnl"/>
        </w:rPr>
      </w:pPr>
      <w:r w:rsidRPr="00AD47C6">
        <w:rPr>
          <w:rFonts w:ascii="Arial" w:hAnsi="Arial" w:cs="Arial"/>
          <w:color w:val="000000" w:themeColor="text1"/>
          <w:sz w:val="21"/>
          <w:szCs w:val="21"/>
          <w:lang w:val="es-ES_tradnl"/>
        </w:rPr>
        <w:t>«¿Cuál es el alcance de la prohibición contenida en el artículo 33 de la Ley 996 de 2005, respecto del régimen de contratación excepcional contemplado en el artículo 20 de la Ley 1150 de 2007?</w:t>
      </w:r>
    </w:p>
    <w:p w14:paraId="16990356" w14:textId="2D6CF587" w:rsidR="00537EA2" w:rsidRPr="00AD47C6" w:rsidRDefault="00537EA2" w:rsidP="00272434">
      <w:pPr>
        <w:ind w:left="709" w:right="709"/>
        <w:jc w:val="both"/>
        <w:rPr>
          <w:rFonts w:ascii="Arial" w:hAnsi="Arial" w:cs="Arial"/>
          <w:color w:val="000000" w:themeColor="text1"/>
          <w:sz w:val="21"/>
          <w:szCs w:val="21"/>
          <w:lang w:val="es-ES_tradnl"/>
        </w:rPr>
      </w:pPr>
      <w:proofErr w:type="gramStart"/>
      <w:r w:rsidRPr="00AD47C6">
        <w:rPr>
          <w:rFonts w:ascii="Arial" w:hAnsi="Arial" w:cs="Arial"/>
          <w:color w:val="000000" w:themeColor="text1"/>
          <w:sz w:val="21"/>
          <w:szCs w:val="21"/>
          <w:lang w:val="es-ES_tradnl"/>
        </w:rPr>
        <w:t>»En</w:t>
      </w:r>
      <w:proofErr w:type="gramEnd"/>
      <w:r w:rsidRPr="00AD47C6">
        <w:rPr>
          <w:rFonts w:ascii="Arial" w:hAnsi="Arial" w:cs="Arial"/>
          <w:color w:val="000000" w:themeColor="text1"/>
          <w:sz w:val="21"/>
          <w:szCs w:val="21"/>
          <w:lang w:val="es-ES_tradnl"/>
        </w:rPr>
        <w:t xml:space="preserve"> otras palabras, ¿la prohibición de contratación directa establecido en la “Ley de Garantías Electorales” resulta aplicable a la contratación sometida a los reglamentos de los organismos de cooperación, asistencia o ayuda internacional, en otros, (sic) los reglamentos de la banca multilateral?</w:t>
      </w:r>
      <w:r w:rsidR="00A40776" w:rsidRPr="00AD47C6">
        <w:rPr>
          <w:rFonts w:ascii="Arial" w:hAnsi="Arial" w:cs="Arial"/>
          <w:color w:val="000000" w:themeColor="text1"/>
          <w:sz w:val="21"/>
          <w:szCs w:val="21"/>
          <w:lang w:val="es-ES_tradnl"/>
        </w:rPr>
        <w:t>».</w:t>
      </w:r>
    </w:p>
    <w:p w14:paraId="33628E63" w14:textId="24394B7E" w:rsidR="00537EA2" w:rsidRPr="00AD47C6" w:rsidRDefault="00537EA2" w:rsidP="00537EA2">
      <w:pPr>
        <w:ind w:left="709" w:right="709"/>
        <w:jc w:val="both"/>
        <w:rPr>
          <w:rFonts w:ascii="Arial" w:hAnsi="Arial" w:cs="Arial"/>
          <w:color w:val="000000" w:themeColor="text1"/>
          <w:sz w:val="21"/>
          <w:szCs w:val="21"/>
          <w:lang w:val="es-ES_tradnl"/>
        </w:rPr>
      </w:pPr>
      <w:r w:rsidRPr="00AD47C6">
        <w:rPr>
          <w:rFonts w:ascii="Arial" w:hAnsi="Arial" w:cs="Arial"/>
          <w:color w:val="000000" w:themeColor="text1"/>
          <w:sz w:val="21"/>
          <w:szCs w:val="21"/>
          <w:lang w:val="es-ES_tradnl"/>
        </w:rPr>
        <w:t>[…]</w:t>
      </w:r>
    </w:p>
    <w:p w14:paraId="39AC92C4" w14:textId="77777777" w:rsidR="00303974" w:rsidRPr="00AD47C6" w:rsidRDefault="00303974" w:rsidP="00303974">
      <w:pPr>
        <w:spacing w:line="276" w:lineRule="auto"/>
        <w:jc w:val="both"/>
        <w:rPr>
          <w:rFonts w:ascii="Arial" w:hAnsi="Arial" w:cs="Arial"/>
          <w:color w:val="000000" w:themeColor="text1"/>
          <w:sz w:val="22"/>
          <w:szCs w:val="22"/>
          <w:lang w:val="es-ES_tradnl"/>
        </w:rPr>
      </w:pPr>
    </w:p>
    <w:p w14:paraId="525C7D3A" w14:textId="3BF5C4F5" w:rsidR="00117276" w:rsidRPr="00AD47C6" w:rsidRDefault="00117276" w:rsidP="00117276">
      <w:pPr>
        <w:spacing w:after="120" w:line="276" w:lineRule="auto"/>
        <w:jc w:val="both"/>
        <w:rPr>
          <w:rFonts w:ascii="Arial" w:hAnsi="Arial" w:cs="Arial"/>
          <w:bCs/>
          <w:color w:val="000000"/>
          <w:sz w:val="22"/>
          <w:lang w:eastAsia="es-CO"/>
        </w:rPr>
      </w:pPr>
      <w:r w:rsidRPr="00AD47C6">
        <w:rPr>
          <w:rFonts w:ascii="Arial" w:hAnsi="Arial" w:cs="Arial"/>
          <w:bCs/>
          <w:color w:val="000000"/>
          <w:sz w:val="22"/>
          <w:lang w:eastAsia="es-CO"/>
        </w:rPr>
        <w:t xml:space="preserve">La </w:t>
      </w:r>
      <w:r w:rsidR="00A40776" w:rsidRPr="00AD47C6">
        <w:rPr>
          <w:rFonts w:ascii="Arial" w:hAnsi="Arial" w:cs="Arial"/>
          <w:bCs/>
          <w:color w:val="000000"/>
          <w:sz w:val="22"/>
          <w:lang w:eastAsia="es-CO"/>
        </w:rPr>
        <w:t xml:space="preserve">prohibición de contratación directa del artículo 33 de la Ley 996 de 2005 </w:t>
      </w:r>
      <w:r w:rsidR="00600ABC" w:rsidRPr="00AD47C6">
        <w:rPr>
          <w:rFonts w:ascii="Arial" w:hAnsi="Arial" w:cs="Arial"/>
          <w:bCs/>
          <w:color w:val="000000"/>
          <w:sz w:val="22"/>
          <w:lang w:eastAsia="es-CO"/>
        </w:rPr>
        <w:t>aplica</w:t>
      </w:r>
      <w:r w:rsidR="00A40776" w:rsidRPr="00AD47C6">
        <w:rPr>
          <w:rFonts w:ascii="Arial" w:hAnsi="Arial" w:cs="Arial"/>
          <w:bCs/>
          <w:color w:val="000000"/>
          <w:sz w:val="22"/>
          <w:lang w:eastAsia="es-CO"/>
        </w:rPr>
        <w:t xml:space="preserve"> con independencia del régimen jurídico del contrato. 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w:t>
      </w:r>
      <w:r w:rsidRPr="00AD47C6">
        <w:rPr>
          <w:rFonts w:ascii="Arial" w:hAnsi="Arial" w:cs="Arial"/>
          <w:bCs/>
          <w:color w:val="000000"/>
          <w:sz w:val="22"/>
          <w:lang w:eastAsia="es-CO"/>
        </w:rPr>
        <w:t xml:space="preserve">: </w:t>
      </w:r>
    </w:p>
    <w:p w14:paraId="4A95164B" w14:textId="77777777" w:rsidR="003B07F6" w:rsidRPr="00AD47C6" w:rsidRDefault="003B07F6" w:rsidP="003B07F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14:paraId="5485298A" w14:textId="77777777" w:rsidR="003B07F6" w:rsidRPr="00AD47C6" w:rsidRDefault="003B07F6" w:rsidP="003B07F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ii) La proscripción de la contratación directa indicada en dicho artículo no diferencia régimen contractual, ni indica que solo se aplica a la contratación directa sometida al Estatuto General de Contratación de la Administración Pública, razón por la cual la prohibición incluye cualquier contratación directa, así esté sujeta a un régimen excepcional –como el del artículo 20 de la Ley 1150 de 2007–. </w:t>
      </w:r>
    </w:p>
    <w:p w14:paraId="0C478339" w14:textId="77777777" w:rsidR="00272434" w:rsidRPr="00AD47C6" w:rsidRDefault="003B07F6" w:rsidP="003B07F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iii) Los artículos 13 de la Ley 80 de 1993, 20 de la Ley 1150 de 2007 y 2.2.1.2.4.4.1 del Decreto 1082 de 2015 </w:t>
      </w:r>
      <w:r w:rsidRPr="00AD47C6">
        <w:rPr>
          <w:rFonts w:ascii="Arial" w:hAnsi="Arial" w:cs="Arial"/>
          <w:bCs/>
          <w:i/>
          <w:iCs/>
          <w:color w:val="000000"/>
          <w:sz w:val="22"/>
          <w:lang w:eastAsia="es-CO"/>
        </w:rPr>
        <w:t>no establecen una excepción en bloque de todo el ordenamiento jurídico colombiano</w:t>
      </w:r>
      <w:r w:rsidRPr="00AD47C6">
        <w:rPr>
          <w:rFonts w:ascii="Arial" w:hAnsi="Arial" w:cs="Arial"/>
          <w:bCs/>
          <w:color w:val="000000"/>
          <w:sz w:val="22"/>
          <w:lang w:eastAsia="es-CO"/>
        </w:rPr>
        <w:t xml:space="preserve"> para los supuestos en los cuales se pueden aplicar los reglamentos de los organismos de cooperación, ayuda o asistencia internacionales. Por una parte, lo que </w:t>
      </w:r>
      <w:r w:rsidRPr="00AD47C6">
        <w:rPr>
          <w:rFonts w:ascii="Arial" w:hAnsi="Arial" w:cs="Arial"/>
          <w:bCs/>
          <w:color w:val="000000"/>
          <w:sz w:val="22"/>
          <w:lang w:eastAsia="es-CO"/>
        </w:rPr>
        <w:lastRenderedPageBreak/>
        <w:t xml:space="preserve">es posible someter a dichos reglamentos son </w:t>
      </w:r>
      <w:r w:rsidRPr="00AD47C6">
        <w:rPr>
          <w:rFonts w:ascii="Arial" w:hAnsi="Arial" w:cs="Arial"/>
          <w:bCs/>
          <w:i/>
          <w:iCs/>
          <w:color w:val="000000"/>
          <w:sz w:val="22"/>
          <w:lang w:eastAsia="es-CO"/>
        </w:rPr>
        <w:t>los contratos o convenios</w:t>
      </w:r>
      <w:r w:rsidRPr="00AD47C6">
        <w:rPr>
          <w:rFonts w:ascii="Arial" w:hAnsi="Arial" w:cs="Arial"/>
          <w:bCs/>
          <w:color w:val="000000"/>
          <w:sz w:val="22"/>
          <w:lang w:eastAsia="es-CO"/>
        </w:rPr>
        <w:t xml:space="preserve"> –esto es lo que se interpreta a partir de una lectura atenta de las normas en comento–. </w:t>
      </w:r>
    </w:p>
    <w:p w14:paraId="13977B5C" w14:textId="332AD312" w:rsidR="003B07F6" w:rsidRPr="00AD47C6" w:rsidRDefault="00272434" w:rsidP="003B07F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P</w:t>
      </w:r>
      <w:r w:rsidR="003B07F6" w:rsidRPr="00AD47C6">
        <w:rPr>
          <w:rFonts w:ascii="Arial" w:hAnsi="Arial" w:cs="Arial"/>
          <w:bCs/>
          <w:color w:val="000000"/>
          <w:sz w:val="22"/>
          <w:lang w:eastAsia="es-CO"/>
        </w:rPr>
        <w:t>or otra parte, el hecho de que los contratos o convenios se sometan a los reglamentos de dichos organismos no obsta para que las entidades estatales colombianas que los celebren deban continuar rigiéndose, en todo lo demás, por las disposiciones normativas colombianas</w:t>
      </w:r>
      <w:r w:rsidR="00030A6E" w:rsidRPr="00AD47C6">
        <w:rPr>
          <w:rFonts w:ascii="Arial" w:hAnsi="Arial" w:cs="Arial"/>
          <w:bCs/>
          <w:color w:val="000000"/>
          <w:sz w:val="22"/>
          <w:szCs w:val="22"/>
          <w:lang w:eastAsia="es-CO"/>
        </w:rPr>
        <w:t>. Lo anterior teniendo en cuenta que, a título enunciativo, estas disposiciones regulan aspectos como:</w:t>
      </w:r>
      <w:r w:rsidR="003B07F6" w:rsidRPr="00AD47C6">
        <w:rPr>
          <w:rFonts w:ascii="Arial" w:hAnsi="Arial" w:cs="Arial"/>
          <w:bCs/>
          <w:color w:val="000000"/>
          <w:sz w:val="22"/>
          <w:lang w:eastAsia="es-CO"/>
        </w:rPr>
        <w:t xml:space="preserve"> a) los principios de la función administrativa y de la gestión fiscal –consagrados, respectivamente, en los artículos 209 y 267 de la Constitución Política–, b) la obligación de publicar en el SECOP la contratación, c) las normas presupuestales, d) el régimen de prohibiciones de los órganos del Estado y de los servidores públicos –en el cual se incluye la Ley de Garantías Electorales y el régimen de inhabilidades e incompatibilidades–. En consecuencia, el hecho de que un contrato se rija por el reglamento de un organismo de cooperación, ayuda o asistencia internacional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14:paraId="2CAA06F5" w14:textId="77777777" w:rsidR="005A70A9" w:rsidRPr="00AD47C6" w:rsidRDefault="003B07F6" w:rsidP="00AD47C6">
      <w:pPr>
        <w:spacing w:before="120" w:after="120" w:line="276" w:lineRule="auto"/>
        <w:ind w:firstLine="709"/>
        <w:jc w:val="both"/>
        <w:rPr>
          <w:rFonts w:ascii="Arial" w:hAnsi="Arial" w:cs="Arial"/>
          <w:color w:val="000000" w:themeColor="text1"/>
          <w:sz w:val="22"/>
          <w:szCs w:val="22"/>
          <w:lang w:val="es-ES_tradnl"/>
        </w:rPr>
      </w:pPr>
      <w:r w:rsidRPr="00AD47C6">
        <w:rPr>
          <w:rFonts w:ascii="Arial" w:hAnsi="Arial" w:cs="Arial"/>
          <w:bCs/>
          <w:color w:val="000000"/>
          <w:sz w:val="22"/>
          <w:lang w:eastAsia="es-CO"/>
        </w:rPr>
        <w:t xml:space="preserve">iv) Además, la Ley 996 de 2005 es una ley estatutaria –que integra el bloque de constitucionalidad– y, en este sentido, ante las dudas hermenéuticas que se susciten frente a su aplicación –por su aparente contradicción con otras leyes– el operador jurídico debe privilegiar la vigencia de la ley estatutaria. En efecto, la Corte Constitucional ha explicado que uno de los argumentos hermenéuticos que deben tenerse en cuenta en la aplicación de las leyes  es «el criterio jerárquico, según el cual la norma superior prima o prevalece sobre la inferior </w:t>
      </w:r>
      <w:r w:rsidRPr="00AD47C6">
        <w:rPr>
          <w:rFonts w:ascii="Arial" w:hAnsi="Arial" w:cs="Arial"/>
          <w:bCs/>
          <w:i/>
          <w:iCs/>
          <w:color w:val="000000"/>
          <w:sz w:val="22"/>
          <w:lang w:eastAsia="es-CO"/>
        </w:rPr>
        <w:t>(</w:t>
      </w:r>
      <w:proofErr w:type="spellStart"/>
      <w:r w:rsidRPr="00AD47C6">
        <w:rPr>
          <w:rFonts w:ascii="Arial" w:hAnsi="Arial" w:cs="Arial"/>
          <w:bCs/>
          <w:i/>
          <w:iCs/>
          <w:color w:val="000000"/>
          <w:sz w:val="22"/>
          <w:lang w:eastAsia="es-CO"/>
        </w:rPr>
        <w:t>lex</w:t>
      </w:r>
      <w:proofErr w:type="spellEnd"/>
      <w:r w:rsidRPr="00AD47C6">
        <w:rPr>
          <w:rFonts w:ascii="Arial" w:hAnsi="Arial" w:cs="Arial"/>
          <w:bCs/>
          <w:i/>
          <w:iCs/>
          <w:color w:val="000000"/>
          <w:sz w:val="22"/>
          <w:lang w:eastAsia="es-CO"/>
        </w:rPr>
        <w:t xml:space="preserve"> superior </w:t>
      </w:r>
      <w:proofErr w:type="spellStart"/>
      <w:r w:rsidRPr="00AD47C6">
        <w:rPr>
          <w:rFonts w:ascii="Arial" w:hAnsi="Arial" w:cs="Arial"/>
          <w:bCs/>
          <w:i/>
          <w:iCs/>
          <w:color w:val="000000"/>
          <w:sz w:val="22"/>
          <w:lang w:eastAsia="es-CO"/>
        </w:rPr>
        <w:t>derogat</w:t>
      </w:r>
      <w:proofErr w:type="spellEnd"/>
      <w:r w:rsidRPr="00AD47C6">
        <w:rPr>
          <w:rFonts w:ascii="Arial" w:hAnsi="Arial" w:cs="Arial"/>
          <w:bCs/>
          <w:i/>
          <w:iCs/>
          <w:color w:val="000000"/>
          <w:sz w:val="22"/>
          <w:lang w:eastAsia="es-CO"/>
        </w:rPr>
        <w:t xml:space="preserve"> </w:t>
      </w:r>
      <w:proofErr w:type="spellStart"/>
      <w:r w:rsidRPr="00AD47C6">
        <w:rPr>
          <w:rFonts w:ascii="Arial" w:hAnsi="Arial" w:cs="Arial"/>
          <w:bCs/>
          <w:i/>
          <w:iCs/>
          <w:color w:val="000000"/>
          <w:sz w:val="22"/>
          <w:lang w:eastAsia="es-CO"/>
        </w:rPr>
        <w:t>inferiori</w:t>
      </w:r>
      <w:proofErr w:type="spellEnd"/>
      <w:r w:rsidRPr="00AD47C6">
        <w:rPr>
          <w:rFonts w:ascii="Arial" w:hAnsi="Arial" w:cs="Arial"/>
          <w:bCs/>
          <w:i/>
          <w:iCs/>
          <w:color w:val="000000"/>
          <w:sz w:val="22"/>
          <w:lang w:eastAsia="es-CO"/>
        </w:rPr>
        <w:t>)</w:t>
      </w:r>
      <w:r w:rsidRPr="00AD47C6">
        <w:rPr>
          <w:rFonts w:ascii="Arial" w:hAnsi="Arial" w:cs="Arial"/>
          <w:bCs/>
          <w:color w:val="000000"/>
          <w:sz w:val="22"/>
          <w:lang w:eastAsia="es-CO"/>
        </w:rPr>
        <w:t>»</w:t>
      </w:r>
      <w:r w:rsidRPr="00AD47C6">
        <w:rPr>
          <w:rStyle w:val="Refdenotaalpie"/>
        </w:rPr>
        <w:footnoteReference w:id="36"/>
      </w:r>
      <w:r w:rsidRPr="00AD47C6">
        <w:rPr>
          <w:rFonts w:ascii="Arial" w:hAnsi="Arial" w:cs="Arial"/>
          <w:bCs/>
          <w:color w:val="000000"/>
          <w:sz w:val="22"/>
          <w:lang w:eastAsia="es-CO"/>
        </w:rPr>
        <w:t xml:space="preserve"> y que, por ello, «entre preceptos de distinta jerarquía, como ocurre entre una la ley ordinaria y una ley estatutaria, o entre la Constitución y la ley en general, […] es claro que prevalece y se aplica siempre la norma superior»</w:t>
      </w:r>
      <w:r w:rsidRPr="00AD47C6">
        <w:rPr>
          <w:rStyle w:val="Refdenotaalpie"/>
        </w:rPr>
        <w:footnoteReference w:id="37"/>
      </w:r>
      <w:r w:rsidRPr="00AD47C6">
        <w:rPr>
          <w:rFonts w:ascii="Arial" w:hAnsi="Arial" w:cs="Arial"/>
          <w:bCs/>
          <w:color w:val="000000"/>
          <w:sz w:val="22"/>
          <w:lang w:eastAsia="es-CO"/>
        </w:rPr>
        <w:t>. En consecuencia, el artículo 20 de la Ley 1150 de 2007 no implica una derogatoria de lo establecido en el artículo 33 de la Ley 996 de 2005, porque aquella es una ley ordinaria y esta una ley estatutaria.</w:t>
      </w:r>
      <w:r w:rsidR="00DB24BE" w:rsidRPr="00AD47C6">
        <w:rPr>
          <w:rFonts w:ascii="Arial" w:hAnsi="Arial" w:cs="Arial"/>
          <w:color w:val="000000" w:themeColor="text1"/>
          <w:sz w:val="22"/>
          <w:szCs w:val="22"/>
          <w:lang w:val="es-ES_tradnl"/>
        </w:rPr>
        <w:t xml:space="preserve"> </w:t>
      </w:r>
    </w:p>
    <w:p w14:paraId="554E5FEA" w14:textId="77777777" w:rsidR="00030A6E" w:rsidRPr="00AD47C6" w:rsidRDefault="005A70A9" w:rsidP="00117276">
      <w:pPr>
        <w:spacing w:after="120" w:line="276" w:lineRule="auto"/>
        <w:ind w:firstLine="708"/>
        <w:jc w:val="both"/>
        <w:rPr>
          <w:rFonts w:ascii="Arial" w:hAnsi="Arial" w:cs="Arial"/>
          <w:bCs/>
          <w:color w:val="000000"/>
          <w:sz w:val="22"/>
          <w:lang w:eastAsia="es-CO"/>
        </w:rPr>
      </w:pPr>
      <w:r w:rsidRPr="00AD47C6">
        <w:rPr>
          <w:rFonts w:ascii="Arial" w:hAnsi="Arial" w:cs="Arial"/>
          <w:bCs/>
          <w:color w:val="000000"/>
          <w:sz w:val="22"/>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w:t>
      </w:r>
      <w:r w:rsidRPr="00AD47C6">
        <w:rPr>
          <w:rFonts w:ascii="Arial" w:hAnsi="Arial" w:cs="Arial"/>
          <w:bCs/>
          <w:color w:val="000000"/>
          <w:sz w:val="22"/>
          <w:lang w:eastAsia="es-CO"/>
        </w:rPr>
        <w:lastRenderedPageBreak/>
        <w:t xml:space="preserve">esto se concluye que la contratación directa con un organismo internacional no es, </w:t>
      </w:r>
      <w:r w:rsidRPr="00AD47C6">
        <w:rPr>
          <w:rFonts w:ascii="Arial" w:hAnsi="Arial" w:cs="Arial"/>
          <w:bCs/>
          <w:i/>
          <w:iCs/>
          <w:color w:val="000000"/>
          <w:sz w:val="22"/>
          <w:lang w:eastAsia="es-CO"/>
        </w:rPr>
        <w:t>en sí misma considerada</w:t>
      </w:r>
      <w:r w:rsidRPr="00AD47C6">
        <w:rPr>
          <w:rFonts w:ascii="Arial" w:hAnsi="Arial" w:cs="Arial"/>
          <w:bCs/>
          <w:color w:val="000000"/>
          <w:sz w:val="22"/>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14:paraId="725C35EA" w14:textId="0CF0267E" w:rsidR="00EC5C4B" w:rsidRPr="00AD47C6" w:rsidRDefault="005A70A9" w:rsidP="00117276">
      <w:pPr>
        <w:spacing w:after="120" w:line="276" w:lineRule="auto"/>
        <w:ind w:firstLine="708"/>
        <w:jc w:val="both"/>
        <w:rPr>
          <w:rFonts w:ascii="Arial" w:hAnsi="Arial" w:cs="Arial"/>
          <w:bCs/>
          <w:color w:val="000000"/>
          <w:sz w:val="22"/>
          <w:szCs w:val="22"/>
          <w:lang w:eastAsia="es-CO"/>
        </w:rPr>
      </w:pPr>
      <w:r w:rsidRPr="00AD47C6">
        <w:rPr>
          <w:rFonts w:ascii="Arial" w:hAnsi="Arial" w:cs="Arial"/>
          <w:bCs/>
          <w:color w:val="000000"/>
          <w:sz w:val="22"/>
          <w:lang w:eastAsia="es-CO"/>
        </w:rPr>
        <w:t xml:space="preserve">Cada entidad estatal debe analizar en el caso concreto si se presenta o no el supuesto que habilite la contratación directa, respetando el carácter taxativo de las excepciones señaladas en el segundo inciso del referido artículo 33. </w:t>
      </w:r>
      <w:r w:rsidR="00117276" w:rsidRPr="00AD47C6">
        <w:rPr>
          <w:rFonts w:ascii="Arial" w:hAnsi="Arial" w:cs="Arial"/>
          <w:bCs/>
          <w:color w:val="000000"/>
          <w:sz w:val="22"/>
          <w:szCs w:val="22"/>
          <w:lang w:eastAsia="es-CO"/>
        </w:rPr>
        <w:t>En efecto, es posible que el contrato que se pretenda celebrar con el organismo internacional de cooperación, ayuda o asistencia ingrese en alguna de las excepciones indicadas en dicho inciso; es decir, que se refiera «</w:t>
      </w:r>
      <w:r w:rsidR="00117276" w:rsidRPr="00AD47C6">
        <w:rPr>
          <w:rFonts w:ascii="Arial" w:hAnsi="Arial" w:cs="Arial"/>
          <w:sz w:val="22"/>
          <w:szCs w:val="22"/>
        </w:rPr>
        <w:t xml:space="preserve">[…] </w:t>
      </w:r>
      <w:r w:rsidR="00117276" w:rsidRPr="00AD47C6">
        <w:rPr>
          <w:rFonts w:ascii="Arial" w:hAnsi="Arial" w:cs="Arial"/>
          <w:bCs/>
          <w:color w:val="000000"/>
          <w:sz w:val="22"/>
          <w:szCs w:val="22"/>
          <w:lang w:eastAsia="es-CO"/>
        </w:rPr>
        <w:t xml:space="preserve">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00606DB8" w:rsidRPr="00AD47C6">
        <w:rPr>
          <w:rFonts w:ascii="Arial" w:hAnsi="Arial" w:cs="Arial"/>
          <w:bCs/>
          <w:color w:val="000000"/>
          <w:sz w:val="22"/>
          <w:szCs w:val="22"/>
          <w:lang w:eastAsia="es-CO"/>
        </w:rPr>
        <w:t>Por tanto, s</w:t>
      </w:r>
      <w:r w:rsidR="00117276" w:rsidRPr="00AD47C6">
        <w:rPr>
          <w:rFonts w:ascii="Arial" w:hAnsi="Arial" w:cs="Arial"/>
          <w:bCs/>
          <w:color w:val="000000"/>
          <w:sz w:val="22"/>
          <w:szCs w:val="22"/>
          <w:lang w:eastAsia="es-CO"/>
        </w:rPr>
        <w:t xml:space="preserve">olo en este caso la contratación directa será admisible para celebrar tales contratos, en vigencia de la prohibición general del artículo 33 de la Ley 996 de 2005. </w:t>
      </w:r>
    </w:p>
    <w:p w14:paraId="0AE4245A" w14:textId="4CAAB60D" w:rsidR="00117276" w:rsidRPr="00AD47C6" w:rsidRDefault="00EC5C4B" w:rsidP="00117276">
      <w:pPr>
        <w:spacing w:after="120" w:line="276" w:lineRule="auto"/>
        <w:ind w:firstLine="708"/>
        <w:jc w:val="both"/>
        <w:rPr>
          <w:rFonts w:ascii="Arial" w:hAnsi="Arial" w:cs="Arial"/>
          <w:bCs/>
          <w:i/>
          <w:iCs/>
          <w:color w:val="000000"/>
          <w:sz w:val="22"/>
          <w:lang w:eastAsia="es-CO"/>
        </w:rPr>
      </w:pPr>
      <w:r w:rsidRPr="00AD47C6">
        <w:rPr>
          <w:rFonts w:ascii="Arial" w:hAnsi="Arial" w:cs="Arial"/>
          <w:bCs/>
          <w:color w:val="000000"/>
          <w:sz w:val="22"/>
          <w:szCs w:val="22"/>
          <w:lang w:eastAsia="es-CO"/>
        </w:rPr>
        <w:t>De cualquier manera, se reitera que es cada entidad pública la que, en ejercicio de su competencia y previa valoración de los elementos fácticos y jurídicos, debe determinar si</w:t>
      </w:r>
      <w:r w:rsidR="00FC7C3E" w:rsidRPr="00AD47C6">
        <w:rPr>
          <w:rFonts w:ascii="Arial" w:hAnsi="Arial" w:cs="Arial"/>
          <w:bCs/>
          <w:color w:val="000000"/>
          <w:sz w:val="22"/>
          <w:szCs w:val="22"/>
          <w:lang w:eastAsia="es-CO"/>
        </w:rPr>
        <w:t xml:space="preserve"> –</w:t>
      </w:r>
      <w:r w:rsidR="00AC6F34" w:rsidRPr="00AD47C6">
        <w:rPr>
          <w:rFonts w:ascii="Arial" w:hAnsi="Arial" w:cs="Arial"/>
          <w:bCs/>
          <w:color w:val="000000"/>
          <w:sz w:val="22"/>
          <w:szCs w:val="22"/>
          <w:lang w:eastAsia="es-CO"/>
        </w:rPr>
        <w:t xml:space="preserve">aplicando el régimen de excepción </w:t>
      </w:r>
      <w:r w:rsidR="00AC6F34" w:rsidRPr="00AD47C6">
        <w:rPr>
          <w:rFonts w:ascii="Arial" w:hAnsi="Arial" w:cs="Arial"/>
          <w:bCs/>
          <w:i/>
          <w:iCs/>
          <w:color w:val="000000"/>
          <w:sz w:val="22"/>
          <w:szCs w:val="22"/>
          <w:lang w:eastAsia="es-CO"/>
        </w:rPr>
        <w:t>parcial</w:t>
      </w:r>
      <w:r w:rsidR="00614771" w:rsidRPr="00AD47C6">
        <w:rPr>
          <w:rFonts w:ascii="Arial" w:hAnsi="Arial" w:cs="Arial"/>
          <w:bCs/>
          <w:color w:val="000000"/>
          <w:sz w:val="22"/>
          <w:szCs w:val="22"/>
          <w:lang w:eastAsia="es-CO"/>
        </w:rPr>
        <w:t>,</w:t>
      </w:r>
      <w:r w:rsidR="00AC6F34" w:rsidRPr="00AD47C6">
        <w:rPr>
          <w:rFonts w:ascii="Arial" w:hAnsi="Arial" w:cs="Arial"/>
          <w:bCs/>
          <w:color w:val="000000"/>
          <w:sz w:val="22"/>
          <w:szCs w:val="22"/>
          <w:lang w:eastAsia="es-CO"/>
        </w:rPr>
        <w:t xml:space="preserve"> permitido por el artículo 20 de la Ley 1150 de 2007</w:t>
      </w:r>
      <w:r w:rsidR="00FC7C3E" w:rsidRPr="00AD47C6">
        <w:rPr>
          <w:rFonts w:ascii="Arial" w:hAnsi="Arial" w:cs="Arial"/>
          <w:bCs/>
          <w:color w:val="000000"/>
          <w:sz w:val="22"/>
          <w:szCs w:val="22"/>
          <w:lang w:eastAsia="es-CO"/>
        </w:rPr>
        <w:t>–</w:t>
      </w:r>
      <w:r w:rsidR="00AC6F34" w:rsidRPr="00AD47C6">
        <w:rPr>
          <w:rFonts w:ascii="Arial" w:hAnsi="Arial" w:cs="Arial"/>
          <w:bCs/>
          <w:color w:val="000000"/>
          <w:sz w:val="22"/>
          <w:szCs w:val="22"/>
          <w:lang w:eastAsia="es-CO"/>
        </w:rPr>
        <w:t xml:space="preserve"> la contratación que busca celebrar se adecua a las causales taxativas que la eximen de </w:t>
      </w:r>
      <w:r w:rsidR="00685DD1" w:rsidRPr="00AD47C6">
        <w:rPr>
          <w:rFonts w:ascii="Arial" w:hAnsi="Arial" w:cs="Arial"/>
          <w:bCs/>
          <w:color w:val="000000"/>
          <w:sz w:val="22"/>
          <w:szCs w:val="22"/>
          <w:lang w:eastAsia="es-CO"/>
        </w:rPr>
        <w:t xml:space="preserve">aplicar la prohibición del artículo 33 de la Ley 996 de 2005. Al tratarse de un análisis que se debe realizar en </w:t>
      </w:r>
      <w:r w:rsidR="00D812F4" w:rsidRPr="00AD47C6">
        <w:rPr>
          <w:rFonts w:ascii="Arial" w:hAnsi="Arial" w:cs="Arial"/>
          <w:bCs/>
          <w:color w:val="000000"/>
          <w:sz w:val="22"/>
          <w:szCs w:val="22"/>
          <w:lang w:eastAsia="es-CO"/>
        </w:rPr>
        <w:t>cada caso</w:t>
      </w:r>
      <w:r w:rsidR="006442BC" w:rsidRPr="00AD47C6">
        <w:rPr>
          <w:rFonts w:ascii="Arial" w:hAnsi="Arial" w:cs="Arial"/>
          <w:bCs/>
          <w:color w:val="000000"/>
          <w:sz w:val="22"/>
          <w:szCs w:val="22"/>
          <w:lang w:eastAsia="es-CO"/>
        </w:rPr>
        <w:t xml:space="preserve"> concreto</w:t>
      </w:r>
      <w:r w:rsidR="00D812F4" w:rsidRPr="00AD47C6">
        <w:rPr>
          <w:rFonts w:ascii="Arial" w:hAnsi="Arial" w:cs="Arial"/>
          <w:bCs/>
          <w:color w:val="000000"/>
          <w:sz w:val="22"/>
          <w:szCs w:val="22"/>
          <w:lang w:eastAsia="es-CO"/>
        </w:rPr>
        <w:t>,</w:t>
      </w:r>
      <w:r w:rsidR="00FC7C3E" w:rsidRPr="00AD47C6">
        <w:rPr>
          <w:rFonts w:ascii="Arial" w:hAnsi="Arial" w:cs="Arial"/>
          <w:bCs/>
          <w:color w:val="000000"/>
          <w:sz w:val="22"/>
          <w:szCs w:val="22"/>
          <w:lang w:eastAsia="es-CO"/>
        </w:rPr>
        <w:t xml:space="preserve"> </w:t>
      </w:r>
      <w:r w:rsidR="00D812F4" w:rsidRPr="00AD47C6">
        <w:rPr>
          <w:rFonts w:ascii="Arial" w:hAnsi="Arial" w:cs="Arial"/>
          <w:bCs/>
          <w:color w:val="000000"/>
          <w:sz w:val="22"/>
          <w:szCs w:val="22"/>
          <w:lang w:eastAsia="es-CO"/>
        </w:rPr>
        <w:t xml:space="preserve">la Agencia, por vía consultiva, </w:t>
      </w:r>
      <w:r w:rsidR="00FC7C3E" w:rsidRPr="00AD47C6">
        <w:rPr>
          <w:rFonts w:ascii="Arial" w:hAnsi="Arial" w:cs="Arial"/>
          <w:bCs/>
          <w:color w:val="000000"/>
          <w:sz w:val="22"/>
          <w:szCs w:val="22"/>
          <w:lang w:eastAsia="es-CO"/>
        </w:rPr>
        <w:t xml:space="preserve">no puede </w:t>
      </w:r>
      <w:r w:rsidR="00D812F4" w:rsidRPr="00AD47C6">
        <w:rPr>
          <w:rFonts w:ascii="Arial" w:hAnsi="Arial" w:cs="Arial"/>
          <w:bCs/>
          <w:color w:val="000000"/>
          <w:sz w:val="22"/>
          <w:szCs w:val="22"/>
          <w:lang w:eastAsia="es-CO"/>
        </w:rPr>
        <w:t>definir un criterio universal y absoluto, sino que brinda elementos hermenéuticos</w:t>
      </w:r>
      <w:r w:rsidR="006442BC" w:rsidRPr="00AD47C6">
        <w:rPr>
          <w:rFonts w:ascii="Arial" w:hAnsi="Arial" w:cs="Arial"/>
          <w:bCs/>
          <w:color w:val="000000"/>
          <w:sz w:val="22"/>
          <w:szCs w:val="22"/>
          <w:lang w:eastAsia="es-CO"/>
        </w:rPr>
        <w:t xml:space="preserve"> de carácter general</w:t>
      </w:r>
      <w:r w:rsidR="00D812F4" w:rsidRPr="00AD47C6">
        <w:rPr>
          <w:rFonts w:ascii="Arial" w:hAnsi="Arial" w:cs="Arial"/>
          <w:bCs/>
          <w:color w:val="000000"/>
          <w:sz w:val="22"/>
          <w:szCs w:val="22"/>
          <w:lang w:eastAsia="es-CO"/>
        </w:rPr>
        <w:t xml:space="preserve"> para que los partícipes del sistema de compras y contratación pública adopten la decisión </w:t>
      </w:r>
      <w:r w:rsidR="006442BC" w:rsidRPr="00AD47C6">
        <w:rPr>
          <w:rFonts w:ascii="Arial" w:hAnsi="Arial" w:cs="Arial"/>
          <w:bCs/>
          <w:color w:val="000000"/>
          <w:sz w:val="22"/>
          <w:szCs w:val="22"/>
          <w:lang w:eastAsia="es-CO"/>
        </w:rPr>
        <w:t>que corresponda</w:t>
      </w:r>
      <w:r w:rsidR="00030A6E" w:rsidRPr="00AD47C6">
        <w:rPr>
          <w:rFonts w:ascii="Arial" w:hAnsi="Arial" w:cs="Arial"/>
          <w:bCs/>
          <w:color w:val="000000"/>
          <w:sz w:val="22"/>
          <w:szCs w:val="22"/>
          <w:lang w:eastAsia="es-CO"/>
        </w:rPr>
        <w:t xml:space="preserve">, lo cual </w:t>
      </w:r>
      <w:r w:rsidR="00AD2AF9" w:rsidRPr="00AD47C6">
        <w:rPr>
          <w:rFonts w:ascii="Arial" w:hAnsi="Arial" w:cs="Arial"/>
          <w:bCs/>
          <w:color w:val="000000"/>
          <w:sz w:val="22"/>
          <w:szCs w:val="22"/>
          <w:lang w:eastAsia="es-CO"/>
        </w:rPr>
        <w:t>es</w:t>
      </w:r>
      <w:r w:rsidR="00B243CA" w:rsidRPr="00AD47C6">
        <w:rPr>
          <w:rFonts w:ascii="Arial" w:hAnsi="Arial" w:cs="Arial"/>
          <w:bCs/>
          <w:color w:val="000000"/>
          <w:sz w:val="22"/>
          <w:szCs w:val="22"/>
          <w:lang w:eastAsia="es-CO"/>
        </w:rPr>
        <w:t xml:space="preserve"> </w:t>
      </w:r>
      <w:r w:rsidR="00AD2AF9" w:rsidRPr="00AD47C6">
        <w:rPr>
          <w:rFonts w:ascii="Arial" w:hAnsi="Arial" w:cs="Arial"/>
          <w:bCs/>
          <w:color w:val="000000"/>
          <w:sz w:val="22"/>
          <w:szCs w:val="22"/>
          <w:lang w:eastAsia="es-CO"/>
        </w:rPr>
        <w:t>acorde con el principio de juridicidad.</w:t>
      </w:r>
    </w:p>
    <w:p w14:paraId="5A3547D5" w14:textId="3D20AEFC" w:rsidR="003B07F6" w:rsidRPr="00AD47C6" w:rsidRDefault="00DB24BE" w:rsidP="00AD2AF9">
      <w:pPr>
        <w:spacing w:before="120" w:line="276" w:lineRule="auto"/>
        <w:jc w:val="both"/>
        <w:rPr>
          <w:rFonts w:ascii="Arial" w:hAnsi="Arial" w:cs="Arial"/>
          <w:color w:val="000000" w:themeColor="text1"/>
          <w:sz w:val="22"/>
          <w:szCs w:val="22"/>
          <w:lang w:val="es-ES_tradnl"/>
        </w:rPr>
      </w:pPr>
      <w:r w:rsidRPr="00AD47C6">
        <w:rPr>
          <w:rFonts w:ascii="Arial" w:hAnsi="Arial" w:cs="Arial"/>
          <w:color w:val="000000" w:themeColor="text1"/>
          <w:sz w:val="22"/>
          <w:szCs w:val="22"/>
          <w:lang w:val="es-ES_tradnl"/>
        </w:rPr>
        <w:t xml:space="preserve"> </w:t>
      </w:r>
      <w:r w:rsidR="001176F2" w:rsidRPr="00AD47C6">
        <w:rPr>
          <w:rFonts w:ascii="Arial" w:hAnsi="Arial" w:cs="Arial"/>
          <w:bCs/>
          <w:sz w:val="22"/>
          <w:szCs w:val="22"/>
          <w:lang w:val="es-ES_tradnl" w:eastAsia="es-CO"/>
        </w:rPr>
        <w:t xml:space="preserve"> </w:t>
      </w:r>
    </w:p>
    <w:p w14:paraId="0A7BABD1" w14:textId="06071ECD" w:rsidR="000A0DF7" w:rsidRPr="00AD47C6" w:rsidRDefault="000A0DF7" w:rsidP="00BD6A55">
      <w:pPr>
        <w:spacing w:after="120" w:line="276" w:lineRule="auto"/>
        <w:jc w:val="both"/>
        <w:rPr>
          <w:rFonts w:ascii="Arial" w:hAnsi="Arial" w:cs="Arial"/>
          <w:color w:val="000000"/>
          <w:sz w:val="22"/>
          <w:szCs w:val="22"/>
          <w:bdr w:val="none" w:sz="0" w:space="0" w:color="auto" w:frame="1"/>
          <w:lang w:val="es-ES_tradnl"/>
        </w:rPr>
      </w:pPr>
      <w:r w:rsidRPr="00AD47C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AD47C6"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AD47C6"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D47C6">
        <w:rPr>
          <w:rFonts w:ascii="Arial" w:hAnsi="Arial" w:cs="Arial"/>
          <w:color w:val="000000" w:themeColor="text1"/>
          <w:sz w:val="22"/>
          <w:szCs w:val="22"/>
          <w:lang w:val="es-ES_tradnl"/>
        </w:rPr>
        <w:t>Atentamente,</w:t>
      </w:r>
    </w:p>
    <w:p w14:paraId="63C9E481" w14:textId="77777777" w:rsidR="004A33AD" w:rsidRPr="00AD47C6"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AD47C6"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79BB1D2C" w:rsidR="00A542A7" w:rsidRPr="00AD47C6" w:rsidRDefault="004370FB" w:rsidP="004370FB">
      <w:pPr>
        <w:pStyle w:val="NormalWeb"/>
        <w:spacing w:before="0" w:beforeAutospacing="0" w:after="0" w:afterAutospacing="0" w:line="276" w:lineRule="auto"/>
        <w:jc w:val="center"/>
        <w:rPr>
          <w:rFonts w:ascii="Arial" w:hAnsi="Arial" w:cs="Arial"/>
          <w:color w:val="000000" w:themeColor="text1"/>
          <w:lang w:val="es-ES_tradnl"/>
        </w:rPr>
      </w:pPr>
      <w:r>
        <w:rPr>
          <w:noProof/>
        </w:rPr>
        <w:lastRenderedPageBreak/>
        <w:drawing>
          <wp:inline distT="0" distB="0" distL="0" distR="0" wp14:anchorId="1A5B2CCE" wp14:editId="36D28C37">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92E98C2" w14:textId="77777777" w:rsidR="00A542A7" w:rsidRPr="00AD47C6"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2A7" w:rsidRPr="00AD47C6" w14:paraId="758CE8A0" w14:textId="77777777" w:rsidTr="008928C2">
        <w:trPr>
          <w:trHeight w:val="315"/>
        </w:trPr>
        <w:tc>
          <w:tcPr>
            <w:tcW w:w="812" w:type="dxa"/>
            <w:vAlign w:val="center"/>
            <w:hideMark/>
          </w:tcPr>
          <w:p w14:paraId="7BA706A4"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Cristian Andrés Díaz Díez</w:t>
            </w:r>
          </w:p>
          <w:p w14:paraId="6A6310EB"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Contratista de la Subdirección de Gestión Contractual</w:t>
            </w:r>
          </w:p>
        </w:tc>
      </w:tr>
      <w:tr w:rsidR="00A542A7" w:rsidRPr="00AD47C6" w14:paraId="172E9935" w14:textId="77777777" w:rsidTr="008928C2">
        <w:trPr>
          <w:trHeight w:val="330"/>
        </w:trPr>
        <w:tc>
          <w:tcPr>
            <w:tcW w:w="812" w:type="dxa"/>
            <w:vAlign w:val="center"/>
            <w:hideMark/>
          </w:tcPr>
          <w:p w14:paraId="39C5397D"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3B3185"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Juan David Montoya Penagos</w:t>
            </w:r>
          </w:p>
          <w:p w14:paraId="1FE7B59A" w14:textId="77777777" w:rsidR="00A542A7" w:rsidRPr="00AD47C6" w:rsidRDefault="00A542A7" w:rsidP="008928C2">
            <w:pPr>
              <w:jc w:val="both"/>
              <w:rPr>
                <w:rFonts w:ascii="Arial" w:hAnsi="Arial" w:cs="Arial"/>
                <w:color w:val="000000" w:themeColor="text1"/>
                <w:sz w:val="16"/>
                <w:szCs w:val="16"/>
                <w:lang w:eastAsia="es-ES"/>
              </w:rPr>
            </w:pPr>
            <w:r w:rsidRPr="00AD47C6">
              <w:rPr>
                <w:rFonts w:ascii="Arial" w:hAnsi="Arial" w:cs="Arial"/>
                <w:color w:val="000000" w:themeColor="text1"/>
                <w:sz w:val="16"/>
                <w:szCs w:val="16"/>
                <w:lang w:val="es-ES_tradnl" w:eastAsia="es-ES"/>
              </w:rPr>
              <w:t>Gestor T1-15 de la Subdirección de Gestión Contractual</w:t>
            </w:r>
          </w:p>
        </w:tc>
      </w:tr>
      <w:tr w:rsidR="00A542A7" w:rsidRPr="00B00C57" w14:paraId="76747564" w14:textId="77777777" w:rsidTr="008928C2">
        <w:trPr>
          <w:trHeight w:val="300"/>
        </w:trPr>
        <w:tc>
          <w:tcPr>
            <w:tcW w:w="812" w:type="dxa"/>
            <w:vAlign w:val="center"/>
            <w:hideMark/>
          </w:tcPr>
          <w:p w14:paraId="71B84BEF"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AD47C6"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Jorge Augusto Tirado Navarro</w:t>
            </w:r>
          </w:p>
          <w:p w14:paraId="08747335" w14:textId="77777777" w:rsidR="00A542A7" w:rsidRPr="00B00C57" w:rsidRDefault="00A542A7" w:rsidP="008928C2">
            <w:pPr>
              <w:jc w:val="both"/>
              <w:rPr>
                <w:rFonts w:ascii="Arial" w:hAnsi="Arial" w:cs="Arial"/>
                <w:color w:val="000000" w:themeColor="text1"/>
                <w:sz w:val="16"/>
                <w:szCs w:val="16"/>
                <w:lang w:val="es-ES_tradnl" w:eastAsia="es-ES"/>
              </w:rPr>
            </w:pPr>
            <w:r w:rsidRPr="00AD47C6">
              <w:rPr>
                <w:rFonts w:ascii="Arial" w:hAnsi="Arial" w:cs="Arial"/>
                <w:color w:val="000000" w:themeColor="text1"/>
                <w:sz w:val="16"/>
                <w:szCs w:val="16"/>
                <w:lang w:val="es-ES_tradnl" w:eastAsia="es-ES"/>
              </w:rPr>
              <w:t>Subdirector de Gestión Contractual ANCP – CCE</w:t>
            </w:r>
          </w:p>
        </w:tc>
      </w:tr>
    </w:tbl>
    <w:p w14:paraId="6CC885EC" w14:textId="77777777" w:rsidR="00A542A7" w:rsidRPr="00B00C57" w:rsidRDefault="00A542A7" w:rsidP="00A542A7">
      <w:pPr>
        <w:rPr>
          <w:rFonts w:ascii="Arial" w:hAnsi="Arial" w:cs="Arial"/>
          <w:color w:val="000000" w:themeColor="text1"/>
          <w:lang w:val="es-ES_tradnl"/>
        </w:rPr>
      </w:pPr>
    </w:p>
    <w:p w14:paraId="60A4FBE6" w14:textId="77777777" w:rsidR="004A33AD" w:rsidRPr="00711612" w:rsidRDefault="004A33AD" w:rsidP="004A33AD">
      <w:pPr>
        <w:jc w:val="both"/>
        <w:rPr>
          <w:rFonts w:ascii="Arial" w:hAnsi="Arial" w:cs="Arial"/>
          <w:lang w:val="es-ES_tradnl"/>
        </w:rPr>
      </w:pPr>
    </w:p>
    <w:p w14:paraId="35B56F46" w14:textId="77777777" w:rsidR="00746E08" w:rsidRPr="00711612"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71161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2D8D" w14:textId="77777777" w:rsidR="00431683" w:rsidRDefault="00431683">
      <w:r>
        <w:separator/>
      </w:r>
    </w:p>
  </w:endnote>
  <w:endnote w:type="continuationSeparator" w:id="0">
    <w:p w14:paraId="2E748DED" w14:textId="77777777" w:rsidR="00431683" w:rsidRDefault="00431683">
      <w:r>
        <w:continuationSeparator/>
      </w:r>
    </w:p>
  </w:endnote>
  <w:endnote w:type="continuationNotice" w:id="1">
    <w:p w14:paraId="5D8BFC24" w14:textId="77777777" w:rsidR="00431683" w:rsidRDefault="0043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7A2" w14:textId="77777777" w:rsidR="00431683" w:rsidRDefault="00431683">
      <w:r>
        <w:separator/>
      </w:r>
    </w:p>
  </w:footnote>
  <w:footnote w:type="continuationSeparator" w:id="0">
    <w:p w14:paraId="1C0B54BD" w14:textId="77777777" w:rsidR="00431683" w:rsidRDefault="00431683">
      <w:r>
        <w:continuationSeparator/>
      </w:r>
    </w:p>
  </w:footnote>
  <w:footnote w:type="continuationNotice" w:id="1">
    <w:p w14:paraId="229D1AA6" w14:textId="77777777" w:rsidR="00431683" w:rsidRDefault="00431683"/>
  </w:footnote>
  <w:footnote w:id="2">
    <w:p w14:paraId="4BCB3030" w14:textId="77777777" w:rsidR="00A62DB2" w:rsidRPr="00AD47C6" w:rsidRDefault="00A62DB2" w:rsidP="003B07F6">
      <w:pPr>
        <w:pStyle w:val="Textonotapie"/>
        <w:ind w:firstLine="709"/>
        <w:jc w:val="both"/>
        <w:rPr>
          <w:rFonts w:ascii="Arial" w:hAnsi="Arial" w:cs="Arial"/>
          <w:color w:val="000000" w:themeColor="text1"/>
          <w:sz w:val="19"/>
          <w:szCs w:val="19"/>
          <w:lang w:val="es-ES"/>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lang w:val="es-ES"/>
        </w:rPr>
        <w:t xml:space="preserve">Los cuales usted puede consultar en el siguiente sitio web: </w:t>
      </w:r>
      <w:hyperlink r:id="rId1" w:history="1">
        <w:r w:rsidRPr="00AD47C6">
          <w:rPr>
            <w:rStyle w:val="Hipervnculo"/>
            <w:rFonts w:ascii="Arial" w:hAnsi="Arial" w:cs="Arial"/>
            <w:color w:val="000000" w:themeColor="text1"/>
            <w:sz w:val="19"/>
            <w:szCs w:val="19"/>
            <w:u w:val="none"/>
            <w:lang w:val="es-ES"/>
          </w:rPr>
          <w:t>https://relatoria.colombiacompra.gov.co/busqueda/conceptos</w:t>
        </w:r>
      </w:hyperlink>
    </w:p>
  </w:footnote>
  <w:footnote w:id="3">
    <w:p w14:paraId="70689536" w14:textId="77777777" w:rsidR="0015145A" w:rsidRPr="00AD47C6" w:rsidRDefault="0015145A" w:rsidP="003B07F6">
      <w:pPr>
        <w:pStyle w:val="Textonotapie"/>
        <w:ind w:firstLine="709"/>
        <w:jc w:val="both"/>
        <w:rPr>
          <w:rFonts w:ascii="Arial" w:hAnsi="Arial" w:cs="Arial"/>
          <w:color w:val="000000" w:themeColor="text1"/>
          <w:sz w:val="19"/>
          <w:szCs w:val="19"/>
        </w:rPr>
      </w:pPr>
    </w:p>
    <w:p w14:paraId="08FF955D" w14:textId="75CDBA14"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4">
    <w:p w14:paraId="3D86A115" w14:textId="5EFBF1BF"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Gaceta del Congreso de la República No. 71 del 2005.</w:t>
      </w:r>
    </w:p>
    <w:p w14:paraId="02761883"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5">
    <w:p w14:paraId="70DE744C" w14:textId="7966173E"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Corte Constitucional</w:t>
      </w:r>
      <w:r w:rsidR="00B1029D" w:rsidRPr="00AD47C6">
        <w:rPr>
          <w:rFonts w:ascii="Arial" w:hAnsi="Arial" w:cs="Arial"/>
          <w:color w:val="000000" w:themeColor="text1"/>
          <w:sz w:val="19"/>
          <w:szCs w:val="19"/>
        </w:rPr>
        <w:t>.</w:t>
      </w:r>
      <w:r w:rsidRPr="00AD47C6">
        <w:rPr>
          <w:rFonts w:ascii="Arial" w:hAnsi="Arial" w:cs="Arial"/>
          <w:color w:val="000000" w:themeColor="text1"/>
          <w:sz w:val="19"/>
          <w:szCs w:val="19"/>
        </w:rPr>
        <w:t xml:space="preserve"> Sentencia C- 1153 de 2005, M.P. Marco Gerardo Monroy Cabra.</w:t>
      </w:r>
    </w:p>
    <w:p w14:paraId="5A57FC91"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6">
    <w:p w14:paraId="2120875D"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7">
    <w:p w14:paraId="2B3023B7" w14:textId="178F22B5" w:rsidR="0015145A" w:rsidRPr="00AD47C6" w:rsidRDefault="0015145A" w:rsidP="003B07F6">
      <w:pPr>
        <w:pStyle w:val="Textonotapie"/>
        <w:ind w:firstLine="709"/>
        <w:jc w:val="both"/>
        <w:rPr>
          <w:rFonts w:ascii="Arial" w:hAnsi="Arial" w:cs="Arial"/>
          <w:color w:val="000000" w:themeColor="text1"/>
          <w:sz w:val="19"/>
          <w:szCs w:val="19"/>
          <w:lang w:val="es-CO"/>
        </w:rPr>
      </w:pPr>
      <w:r w:rsidRPr="00AD47C6">
        <w:rPr>
          <w:rStyle w:val="Refdenotaalpie"/>
        </w:rPr>
        <w:footnoteRef/>
      </w:r>
      <w:r w:rsidRPr="00AD47C6">
        <w:rPr>
          <w:rFonts w:ascii="Arial" w:hAnsi="Arial" w:cs="Arial"/>
          <w:color w:val="000000" w:themeColor="text1"/>
          <w:sz w:val="19"/>
          <w:szCs w:val="19"/>
          <w:lang w:val="es-CO"/>
        </w:rPr>
        <w:t xml:space="preserve"> </w:t>
      </w:r>
      <w:r w:rsidRPr="00AD47C6">
        <w:rPr>
          <w:rFonts w:ascii="Arial" w:hAnsi="Arial" w:cs="Arial"/>
          <w:color w:val="000000" w:themeColor="text1"/>
          <w:sz w:val="19"/>
          <w:szCs w:val="19"/>
          <w:lang w:val="es-CO"/>
        </w:rPr>
        <w:t>Consejo de Estado</w:t>
      </w:r>
      <w:r w:rsidR="00B1029D" w:rsidRPr="00AD47C6">
        <w:rPr>
          <w:rFonts w:ascii="Arial" w:hAnsi="Arial" w:cs="Arial"/>
          <w:color w:val="000000" w:themeColor="text1"/>
          <w:sz w:val="19"/>
          <w:szCs w:val="19"/>
          <w:lang w:val="es-CO"/>
        </w:rPr>
        <w:t>.</w:t>
      </w:r>
      <w:r w:rsidRPr="00AD47C6">
        <w:rPr>
          <w:rFonts w:ascii="Arial" w:hAnsi="Arial" w:cs="Arial"/>
          <w:color w:val="000000" w:themeColor="text1"/>
          <w:sz w:val="19"/>
          <w:szCs w:val="19"/>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AD47C6" w:rsidRDefault="0015145A" w:rsidP="003B07F6">
      <w:pPr>
        <w:pStyle w:val="Textonotapie"/>
        <w:ind w:firstLine="709"/>
        <w:jc w:val="both"/>
        <w:rPr>
          <w:rFonts w:ascii="Arial" w:hAnsi="Arial" w:cs="Arial"/>
          <w:color w:val="000000" w:themeColor="text1"/>
          <w:sz w:val="19"/>
          <w:szCs w:val="19"/>
          <w:lang w:val="es-CO"/>
        </w:rPr>
      </w:pPr>
    </w:p>
  </w:footnote>
  <w:footnote w:id="8">
    <w:p w14:paraId="000F2381"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Consejo de Estado, Sala de Consulta y Servicio Civil de fecha 24 de julio de 2013, radicado 2166, </w:t>
      </w:r>
      <w:r w:rsidRPr="00AD47C6">
        <w:rPr>
          <w:rFonts w:ascii="Arial" w:hAnsi="Arial" w:cs="Arial"/>
          <w:color w:val="000000" w:themeColor="text1"/>
          <w:sz w:val="19"/>
          <w:szCs w:val="19"/>
        </w:rPr>
        <w:t xml:space="preserve">Consejero Ponente: Álvaro Namén Vargas.  </w:t>
      </w:r>
    </w:p>
  </w:footnote>
  <w:footnote w:id="9">
    <w:p w14:paraId="5FD1B6A5" w14:textId="77777777" w:rsidR="0015145A" w:rsidRPr="00AD47C6" w:rsidRDefault="0015145A" w:rsidP="003B07F6">
      <w:pPr>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4C16F1AE" w:rsidR="0015145A" w:rsidRPr="00AD47C6" w:rsidRDefault="0015145A" w:rsidP="003B07F6">
      <w:pPr>
        <w:ind w:firstLine="709"/>
        <w:jc w:val="both"/>
        <w:rPr>
          <w:rFonts w:ascii="Arial" w:hAnsi="Arial" w:cs="Arial"/>
          <w:color w:val="000000" w:themeColor="text1"/>
          <w:sz w:val="19"/>
          <w:szCs w:val="19"/>
        </w:rPr>
      </w:pP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rPr>
        <w:t>.</w:t>
      </w:r>
    </w:p>
    <w:p w14:paraId="68C81580" w14:textId="77777777" w:rsidR="0015145A" w:rsidRPr="00AD47C6" w:rsidRDefault="0015145A" w:rsidP="003B07F6">
      <w:pPr>
        <w:ind w:firstLine="709"/>
        <w:jc w:val="both"/>
        <w:rPr>
          <w:rFonts w:ascii="Arial" w:hAnsi="Arial" w:cs="Arial"/>
          <w:color w:val="000000" w:themeColor="text1"/>
          <w:sz w:val="19"/>
          <w:szCs w:val="19"/>
        </w:rPr>
      </w:pPr>
    </w:p>
  </w:footnote>
  <w:footnote w:id="10">
    <w:p w14:paraId="5EEDC13D" w14:textId="77777777" w:rsidR="0015145A" w:rsidRPr="00AD47C6" w:rsidRDefault="0015145A" w:rsidP="003B07F6">
      <w:pPr>
        <w:pStyle w:val="NormalWeb"/>
        <w:spacing w:before="0" w:beforeAutospacing="0" w:after="0" w:afterAutospacing="0"/>
        <w:ind w:firstLine="709"/>
        <w:jc w:val="both"/>
        <w:rPr>
          <w:rFonts w:ascii="Arial" w:hAnsi="Arial" w:cs="Arial"/>
          <w:color w:val="000000" w:themeColor="text1"/>
          <w:sz w:val="19"/>
          <w:szCs w:val="19"/>
          <w:lang w:val="es-MX"/>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lang w:val="es-MX"/>
        </w:rPr>
        <w:t>Artículo 38. Prohibiciones para los servidores públicos. A los empleados del Estado les está prohibido:</w:t>
      </w:r>
    </w:p>
    <w:p w14:paraId="621B3705" w14:textId="77777777" w:rsidR="0015145A" w:rsidRPr="00AD47C6" w:rsidRDefault="0015145A" w:rsidP="003B07F6">
      <w:pPr>
        <w:pStyle w:val="NormalWeb"/>
        <w:spacing w:before="0" w:beforeAutospacing="0" w:after="0" w:afterAutospacing="0"/>
        <w:ind w:firstLine="709"/>
        <w:jc w:val="both"/>
        <w:rPr>
          <w:rFonts w:ascii="Arial" w:hAnsi="Arial" w:cs="Arial"/>
          <w:color w:val="000000" w:themeColor="text1"/>
          <w:sz w:val="19"/>
          <w:szCs w:val="19"/>
          <w:lang w:val="es-MX"/>
        </w:rPr>
      </w:pP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lang w:val="es-MX"/>
        </w:rPr>
        <w:t xml:space="preserve"> […]</w:t>
      </w:r>
    </w:p>
    <w:p w14:paraId="491AB04E" w14:textId="77777777" w:rsidR="0015145A" w:rsidRPr="00AD47C6" w:rsidRDefault="0015145A" w:rsidP="003B07F6">
      <w:pPr>
        <w:ind w:firstLine="709"/>
        <w:jc w:val="both"/>
        <w:rPr>
          <w:rFonts w:ascii="Arial" w:hAnsi="Arial" w:cs="Arial"/>
          <w:color w:val="000000" w:themeColor="text1"/>
          <w:sz w:val="19"/>
          <w:szCs w:val="19"/>
          <w:lang w:val="es-MX"/>
        </w:rPr>
      </w:pPr>
      <w:r w:rsidRPr="00AD47C6">
        <w:rPr>
          <w:rFonts w:ascii="Arial" w:eastAsia="Calibri" w:hAnsi="Arial" w:cs="Arial"/>
          <w:color w:val="000000" w:themeColor="text1"/>
          <w:sz w:val="19"/>
          <w:szCs w:val="19"/>
        </w:rPr>
        <w:t>»</w:t>
      </w:r>
      <w:r w:rsidRPr="00AD47C6">
        <w:rPr>
          <w:rStyle w:val="baj"/>
          <w:rFonts w:ascii="Arial" w:hAnsi="Arial" w:cs="Arial"/>
          <w:color w:val="000000" w:themeColor="text1"/>
          <w:sz w:val="19"/>
          <w:szCs w:val="19"/>
          <w:lang w:val="es-MX"/>
        </w:rPr>
        <w:t xml:space="preserve"> Parágrafo.</w:t>
      </w:r>
      <w:r w:rsidRPr="00AD47C6">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47C6">
        <w:rPr>
          <w:rFonts w:ascii="Arial" w:eastAsia="Calibri" w:hAnsi="Arial" w:cs="Arial"/>
          <w:color w:val="000000" w:themeColor="text1"/>
          <w:sz w:val="19"/>
          <w:szCs w:val="19"/>
        </w:rPr>
        <w:t>»</w:t>
      </w:r>
      <w:r w:rsidRPr="00AD47C6">
        <w:rPr>
          <w:rFonts w:ascii="Arial" w:hAnsi="Arial" w:cs="Arial"/>
          <w:color w:val="000000" w:themeColor="text1"/>
          <w:sz w:val="19"/>
          <w:szCs w:val="19"/>
          <w:lang w:val="es-MX"/>
        </w:rPr>
        <w:t>.</w:t>
      </w:r>
    </w:p>
    <w:p w14:paraId="1FEA72FC" w14:textId="77777777" w:rsidR="0015145A" w:rsidRPr="00AD47C6" w:rsidRDefault="0015145A" w:rsidP="003B07F6">
      <w:pPr>
        <w:ind w:firstLine="709"/>
        <w:jc w:val="both"/>
        <w:rPr>
          <w:rFonts w:ascii="Arial" w:hAnsi="Arial" w:cs="Arial"/>
          <w:color w:val="000000" w:themeColor="text1"/>
          <w:sz w:val="19"/>
          <w:szCs w:val="19"/>
          <w:lang w:val="es-MX"/>
        </w:rPr>
      </w:pPr>
    </w:p>
  </w:footnote>
  <w:footnote w:id="11">
    <w:p w14:paraId="0049EE70" w14:textId="77777777" w:rsidR="0015145A" w:rsidRPr="00AD47C6" w:rsidRDefault="0015145A" w:rsidP="003B07F6">
      <w:pPr>
        <w:ind w:firstLine="709"/>
        <w:jc w:val="both"/>
        <w:rPr>
          <w:rFonts w:ascii="Arial" w:hAnsi="Arial" w:cs="Arial"/>
          <w:color w:val="000000" w:themeColor="text1"/>
          <w:sz w:val="19"/>
          <w:szCs w:val="19"/>
          <w:lang w:val="es-ES"/>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Consejo de Estado. Sala de Consulta y Servicio Civil. Concepto del 17 de febrero de 2015. C.P. William Zambrano Cetina. Radicación No. 11001-03-06-000-2015-00164-00(2269).</w:t>
      </w:r>
    </w:p>
  </w:footnote>
  <w:footnote w:id="12">
    <w:p w14:paraId="2F4CFDB4"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w:t>
      </w:r>
      <w:r w:rsidRPr="00AD47C6">
        <w:rPr>
          <w:rFonts w:ascii="Arial" w:hAnsi="Arial" w:cs="Arial"/>
          <w:color w:val="000000" w:themeColor="text1"/>
          <w:sz w:val="19"/>
          <w:szCs w:val="19"/>
          <w:lang w:val="es-ES"/>
        </w:rPr>
        <w:t xml:space="preserve">[25] </w:t>
      </w:r>
      <w:r w:rsidRPr="00AD47C6">
        <w:rPr>
          <w:rFonts w:ascii="Arial" w:hAnsi="Arial" w:cs="Arial"/>
          <w:color w:val="000000" w:themeColor="text1"/>
          <w:sz w:val="19"/>
          <w:szCs w:val="19"/>
        </w:rPr>
        <w:t>Cfr. Consejo de Estado. Sección Tercera. Sentencia de 3 de diciembre de 2007. Radicados: 24.715, 25.206, 25.409, 24.524, 27.834, 25.410, 26.105, 28.244, 31.447 -acumulados-».</w:t>
      </w:r>
    </w:p>
    <w:p w14:paraId="37ADB304"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13">
    <w:p w14:paraId="1DB97367"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w:t>
      </w:r>
      <w:r w:rsidRPr="00AD47C6">
        <w:rPr>
          <w:rFonts w:ascii="Arial" w:hAnsi="Arial" w:cs="Arial"/>
          <w:color w:val="000000" w:themeColor="text1"/>
          <w:sz w:val="19"/>
          <w:szCs w:val="19"/>
          <w:lang w:val="es-ES"/>
        </w:rPr>
        <w:t xml:space="preserve">[26] </w:t>
      </w:r>
      <w:r w:rsidRPr="00AD47C6">
        <w:rPr>
          <w:rFonts w:ascii="Arial" w:hAnsi="Arial" w:cs="Arial"/>
          <w:color w:val="000000" w:themeColor="text1"/>
          <w:sz w:val="19"/>
          <w:szCs w:val="19"/>
        </w:rPr>
        <w:t>Al respecto ver el concepto 1712 de 2 de febrero de 2006. Consejo de Estado Sala de Consulta y Servicio Civil».</w:t>
      </w:r>
    </w:p>
    <w:p w14:paraId="6E8CECD0"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14">
    <w:p w14:paraId="2F65E2D2" w14:textId="77777777"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Consejo de Estado. Sala de Consulta y Servicio Civil. Concepto del 2 de septiembre de 2013. Radicación número: 11001-03-06-000-2013-00412-00 (2168). </w:t>
      </w:r>
      <w:r w:rsidRPr="00AD47C6">
        <w:rPr>
          <w:rFonts w:ascii="Arial" w:hAnsi="Arial" w:cs="Arial"/>
          <w:color w:val="000000" w:themeColor="text1"/>
          <w:sz w:val="19"/>
          <w:szCs w:val="19"/>
        </w:rPr>
        <w:t>Consejero Ponente: Álvaro Namén Vargas.</w:t>
      </w:r>
    </w:p>
    <w:p w14:paraId="72BB647C"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15">
    <w:p w14:paraId="675DABFF" w14:textId="77777777" w:rsidR="00B1029D" w:rsidRPr="00AD47C6" w:rsidRDefault="00B1029D" w:rsidP="003B07F6">
      <w:pPr>
        <w:pStyle w:val="Textonotapie"/>
        <w:ind w:firstLine="709"/>
        <w:jc w:val="both"/>
        <w:rPr>
          <w:rFonts w:ascii="Arial" w:hAnsi="Arial" w:cs="Arial"/>
          <w:color w:val="000000" w:themeColor="text1"/>
          <w:sz w:val="19"/>
          <w:szCs w:val="19"/>
          <w:lang w:val="es-ES"/>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lang w:val="es-ES"/>
        </w:rPr>
        <w:t xml:space="preserve">Artículo 2. </w:t>
      </w:r>
    </w:p>
    <w:p w14:paraId="0F9C546B" w14:textId="77777777" w:rsidR="00B1029D" w:rsidRPr="00AD47C6" w:rsidRDefault="00B1029D" w:rsidP="003B07F6">
      <w:pPr>
        <w:pStyle w:val="Textonotapie"/>
        <w:ind w:firstLine="709"/>
        <w:jc w:val="both"/>
        <w:rPr>
          <w:rFonts w:ascii="Arial" w:hAnsi="Arial" w:cs="Arial"/>
          <w:color w:val="000000" w:themeColor="text1"/>
          <w:sz w:val="19"/>
          <w:szCs w:val="19"/>
          <w:lang w:val="es-ES"/>
        </w:rPr>
      </w:pPr>
    </w:p>
  </w:footnote>
  <w:footnote w:id="16">
    <w:p w14:paraId="7B5F4D3B" w14:textId="77777777" w:rsidR="00B1029D" w:rsidRPr="00AD47C6" w:rsidRDefault="00B1029D" w:rsidP="003B07F6">
      <w:pPr>
        <w:pStyle w:val="Textonotapie"/>
        <w:ind w:firstLine="709"/>
        <w:jc w:val="both"/>
        <w:rPr>
          <w:rFonts w:ascii="Arial" w:hAnsi="Arial" w:cs="Arial"/>
          <w:color w:val="000000" w:themeColor="text1"/>
          <w:sz w:val="19"/>
          <w:szCs w:val="19"/>
          <w:lang w:val="es-ES"/>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i/>
          <w:color w:val="000000" w:themeColor="text1"/>
          <w:sz w:val="19"/>
          <w:szCs w:val="19"/>
          <w:lang w:val="es-ES"/>
        </w:rPr>
        <w:t>Ídem</w:t>
      </w:r>
      <w:r w:rsidRPr="00AD47C6">
        <w:rPr>
          <w:rFonts w:ascii="Arial" w:hAnsi="Arial" w:cs="Arial"/>
          <w:color w:val="000000" w:themeColor="text1"/>
          <w:sz w:val="19"/>
          <w:szCs w:val="19"/>
          <w:lang w:val="es-ES"/>
        </w:rPr>
        <w:t>.</w:t>
      </w:r>
    </w:p>
    <w:p w14:paraId="1222D1C3" w14:textId="77777777" w:rsidR="00B1029D" w:rsidRPr="00AD47C6" w:rsidRDefault="00B1029D" w:rsidP="003B07F6">
      <w:pPr>
        <w:pStyle w:val="Textonotapie"/>
        <w:ind w:firstLine="709"/>
        <w:jc w:val="both"/>
        <w:rPr>
          <w:rFonts w:ascii="Arial" w:hAnsi="Arial" w:cs="Arial"/>
          <w:color w:val="000000" w:themeColor="text1"/>
          <w:sz w:val="19"/>
          <w:szCs w:val="19"/>
          <w:lang w:val="es-ES"/>
        </w:rPr>
      </w:pPr>
    </w:p>
  </w:footnote>
  <w:footnote w:id="17">
    <w:p w14:paraId="3C630D01" w14:textId="77777777" w:rsidR="0015145A" w:rsidRPr="00AD47C6" w:rsidRDefault="0015145A" w:rsidP="003B07F6">
      <w:pPr>
        <w:pStyle w:val="Textonotapie"/>
        <w:ind w:firstLine="709"/>
        <w:jc w:val="both"/>
        <w:rPr>
          <w:rFonts w:ascii="Arial" w:hAnsi="Arial" w:cs="Arial"/>
          <w:color w:val="000000" w:themeColor="text1"/>
          <w:sz w:val="19"/>
          <w:szCs w:val="19"/>
          <w:lang w:val="es-ES"/>
        </w:rPr>
      </w:pPr>
      <w:r w:rsidRPr="00AD47C6">
        <w:rPr>
          <w:rStyle w:val="Refdenotaalpie"/>
        </w:rPr>
        <w:footnoteRef/>
      </w:r>
      <w:r w:rsidRPr="00AD47C6">
        <w:rPr>
          <w:rStyle w:val="Refdenotaalpie"/>
          <w:rFonts w:ascii="Arial" w:hAnsi="Arial" w:cs="Arial"/>
          <w:color w:val="000000" w:themeColor="text1"/>
          <w:sz w:val="19"/>
          <w:szCs w:val="19"/>
        </w:rPr>
        <w:t xml:space="preserve"> </w:t>
      </w:r>
      <w:r w:rsidRPr="00AD47C6">
        <w:rPr>
          <w:rFonts w:ascii="Arial" w:hAnsi="Arial" w:cs="Arial"/>
          <w:color w:val="000000" w:themeColor="text1"/>
          <w:sz w:val="19"/>
          <w:szCs w:val="19"/>
          <w:lang w:val="es-ES"/>
        </w:rPr>
        <w:t xml:space="preserve">«[…] A este respecto, cabe recordar que el artículo 860 del Código de Comercio regula la licitación en el derecho privado». </w:t>
      </w:r>
    </w:p>
    <w:p w14:paraId="3EF6A319" w14:textId="77777777" w:rsidR="0015145A" w:rsidRPr="00AD47C6" w:rsidRDefault="0015145A" w:rsidP="003B07F6">
      <w:pPr>
        <w:pStyle w:val="Textonotapie"/>
        <w:ind w:firstLine="709"/>
        <w:jc w:val="both"/>
        <w:rPr>
          <w:rFonts w:ascii="Arial" w:hAnsi="Arial" w:cs="Arial"/>
          <w:color w:val="000000" w:themeColor="text1"/>
          <w:sz w:val="19"/>
          <w:szCs w:val="19"/>
          <w:lang w:val="es-ES"/>
        </w:rPr>
      </w:pPr>
    </w:p>
  </w:footnote>
  <w:footnote w:id="18">
    <w:p w14:paraId="0AEF54F6" w14:textId="4404C804" w:rsidR="0015145A" w:rsidRPr="00AD47C6" w:rsidRDefault="0015145A" w:rsidP="003B07F6">
      <w:pPr>
        <w:shd w:val="clear" w:color="auto" w:fill="FFFFFF"/>
        <w:ind w:firstLine="709"/>
        <w:jc w:val="both"/>
        <w:rPr>
          <w:rFonts w:ascii="Arial" w:hAnsi="Arial" w:cs="Arial"/>
          <w:color w:val="000000" w:themeColor="text1"/>
          <w:sz w:val="19"/>
          <w:szCs w:val="19"/>
          <w:lang w:val="es-ES"/>
        </w:rPr>
      </w:pPr>
      <w:r w:rsidRPr="00AD47C6">
        <w:rPr>
          <w:rStyle w:val="Refdenotaalpie"/>
        </w:rPr>
        <w:footnoteRef/>
      </w:r>
      <w:r w:rsidRPr="00AD47C6">
        <w:rPr>
          <w:rStyle w:val="Refdenotaalpie"/>
          <w:rFonts w:ascii="Arial" w:hAnsi="Arial" w:cs="Arial"/>
          <w:color w:val="000000" w:themeColor="text1"/>
          <w:sz w:val="19"/>
          <w:szCs w:val="19"/>
        </w:rPr>
        <w:t xml:space="preserve"> </w:t>
      </w:r>
      <w:r w:rsidRPr="00AD47C6">
        <w:rPr>
          <w:rFonts w:ascii="Arial" w:hAnsi="Arial" w:cs="Arial"/>
          <w:color w:val="000000" w:themeColor="text1"/>
          <w:sz w:val="19"/>
          <w:szCs w:val="19"/>
          <w:lang w:val="es-ES"/>
        </w:rPr>
        <w:t xml:space="preserve">Consejo de Estado. Sala de Consulta y Servicio Civil, Concepto de 8 de mayo de 2018. Radicación Número: 11001-03-06-000-2018-00095-00(2382). Consejero Ponente: Álvaro </w:t>
      </w:r>
      <w:proofErr w:type="spellStart"/>
      <w:r w:rsidRPr="00AD47C6">
        <w:rPr>
          <w:rFonts w:ascii="Arial" w:hAnsi="Arial" w:cs="Arial"/>
          <w:color w:val="000000" w:themeColor="text1"/>
          <w:sz w:val="19"/>
          <w:szCs w:val="19"/>
          <w:lang w:val="es-ES"/>
        </w:rPr>
        <w:t>Namén</w:t>
      </w:r>
      <w:proofErr w:type="spellEnd"/>
      <w:r w:rsidRPr="00AD47C6">
        <w:rPr>
          <w:rFonts w:ascii="Arial" w:hAnsi="Arial" w:cs="Arial"/>
          <w:color w:val="000000" w:themeColor="text1"/>
          <w:sz w:val="19"/>
          <w:szCs w:val="19"/>
          <w:lang w:val="es-ES"/>
        </w:rPr>
        <w:t xml:space="preserve"> Vargas.</w:t>
      </w:r>
    </w:p>
  </w:footnote>
  <w:footnote w:id="19">
    <w:p w14:paraId="1A9B0DCD" w14:textId="5733175F"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Consejo de Estado. Sala de Consulta y Servicio Civil. Concepto del 08 de mayo de 2018. </w:t>
      </w:r>
      <w:r w:rsidRPr="00AD47C6">
        <w:rPr>
          <w:rFonts w:ascii="Arial" w:hAnsi="Arial" w:cs="Arial"/>
          <w:color w:val="000000" w:themeColor="text1"/>
          <w:sz w:val="19"/>
          <w:szCs w:val="19"/>
        </w:rPr>
        <w:t>Exp. 2.382. C.P. Álvaro Namén Vargas.</w:t>
      </w:r>
    </w:p>
    <w:p w14:paraId="5E1468E2"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20">
    <w:p w14:paraId="0C034C89" w14:textId="31002C90"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Cfr. Concepto C-757 del 30 de diciembre de 2021.</w:t>
      </w:r>
    </w:p>
  </w:footnote>
  <w:footnote w:id="21">
    <w:p w14:paraId="496D404C" w14:textId="6B92591B" w:rsidR="0015145A" w:rsidRPr="00AD47C6" w:rsidRDefault="0015145A"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AD47C6" w:rsidRDefault="0015145A" w:rsidP="003B07F6">
      <w:pPr>
        <w:pStyle w:val="Textonotapie"/>
        <w:ind w:firstLine="709"/>
        <w:jc w:val="both"/>
        <w:rPr>
          <w:rFonts w:ascii="Arial" w:hAnsi="Arial" w:cs="Arial"/>
          <w:color w:val="000000" w:themeColor="text1"/>
          <w:sz w:val="19"/>
          <w:szCs w:val="19"/>
        </w:rPr>
      </w:pPr>
    </w:p>
  </w:footnote>
  <w:footnote w:id="22">
    <w:p w14:paraId="1B7FF0C3" w14:textId="3A86F7B8" w:rsidR="0015145A" w:rsidRPr="00AD47C6" w:rsidRDefault="0015145A" w:rsidP="003B07F6">
      <w:pPr>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AD47C6" w:rsidRDefault="0015145A" w:rsidP="003B07F6">
      <w:pPr>
        <w:ind w:firstLine="709"/>
        <w:jc w:val="both"/>
        <w:rPr>
          <w:rFonts w:ascii="Arial" w:hAnsi="Arial" w:cs="Arial"/>
          <w:color w:val="000000" w:themeColor="text1"/>
          <w:sz w:val="19"/>
          <w:szCs w:val="19"/>
        </w:rPr>
      </w:pPr>
    </w:p>
  </w:footnote>
  <w:footnote w:id="23">
    <w:p w14:paraId="2FB375C9" w14:textId="77777777" w:rsidR="00711612" w:rsidRPr="00AD47C6" w:rsidRDefault="00711612" w:rsidP="003B07F6">
      <w:pPr>
        <w:pStyle w:val="Textonotapie"/>
        <w:ind w:firstLine="709"/>
        <w:jc w:val="both"/>
        <w:rPr>
          <w:rFonts w:ascii="Arial" w:hAnsi="Arial" w:cs="Arial"/>
          <w:color w:val="000000" w:themeColor="text1"/>
          <w:sz w:val="19"/>
          <w:szCs w:val="19"/>
          <w:lang w:val="es-CO"/>
        </w:rPr>
      </w:pPr>
      <w:r w:rsidRPr="00AD47C6">
        <w:rPr>
          <w:rStyle w:val="Refdenotaalpie"/>
        </w:rPr>
        <w:footnoteRef/>
      </w:r>
      <w:r w:rsidRPr="00AD47C6">
        <w:rPr>
          <w:rFonts w:ascii="Arial" w:hAnsi="Arial" w:cs="Arial"/>
          <w:color w:val="000000" w:themeColor="text1"/>
          <w:sz w:val="19"/>
          <w:szCs w:val="19"/>
          <w:lang w:val="es-CO"/>
        </w:rPr>
        <w:t xml:space="preserve"> </w:t>
      </w:r>
      <w:r w:rsidRPr="00AD47C6">
        <w:rPr>
          <w:rFonts w:ascii="Arial" w:hAnsi="Arial" w:cs="Arial"/>
          <w:color w:val="000000" w:themeColor="text1"/>
          <w:sz w:val="19"/>
          <w:szCs w:val="19"/>
          <w:lang w:val="es-CO"/>
        </w:rPr>
        <w:t>FIGUEROA U. Organismos internacionales. 2ª edición. Santiago de Chile: Editorial RIL editores, 2010.</w:t>
      </w:r>
    </w:p>
    <w:p w14:paraId="12BA6675" w14:textId="77777777" w:rsidR="00711612" w:rsidRPr="00AD47C6" w:rsidRDefault="00711612" w:rsidP="003B07F6">
      <w:pPr>
        <w:pStyle w:val="Textonotapie"/>
        <w:ind w:firstLine="709"/>
        <w:jc w:val="both"/>
        <w:rPr>
          <w:rFonts w:ascii="Arial" w:hAnsi="Arial" w:cs="Arial"/>
          <w:color w:val="000000" w:themeColor="text1"/>
          <w:sz w:val="19"/>
          <w:szCs w:val="19"/>
          <w:lang w:val="es-CO"/>
        </w:rPr>
      </w:pPr>
    </w:p>
  </w:footnote>
  <w:footnote w:id="24">
    <w:p w14:paraId="13F95718"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Ley 80 de 1993: «Artículo 13. De la normatividad aplicable a los contratos estatales. Los contratos que celebren las entidades a que se refiere el artículo </w:t>
      </w:r>
      <w:hyperlink r:id="rId2" w:anchor="2" w:history="1">
        <w:r w:rsidRPr="00AD47C6">
          <w:rPr>
            <w:rStyle w:val="Hipervnculo"/>
            <w:rFonts w:ascii="Arial" w:hAnsi="Arial" w:cs="Arial"/>
            <w:color w:val="000000" w:themeColor="text1"/>
            <w:sz w:val="19"/>
            <w:szCs w:val="19"/>
            <w:u w:val="none"/>
          </w:rPr>
          <w:t>2</w:t>
        </w:r>
      </w:hyperlink>
      <w:r w:rsidRPr="00AD47C6">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5F8EFD39"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0B9554D1"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contratos que se celebren en Colombia y deban ejecutarse o cumplirse en el extranjero, podrán someterse a la ley extranjera».</w:t>
      </w:r>
    </w:p>
    <w:p w14:paraId="7AE398FC" w14:textId="77777777" w:rsidR="00711612" w:rsidRPr="00AD47C6" w:rsidRDefault="00711612" w:rsidP="003B07F6">
      <w:pPr>
        <w:pStyle w:val="Textonotapie"/>
        <w:ind w:firstLine="709"/>
        <w:jc w:val="both"/>
        <w:rPr>
          <w:rFonts w:ascii="Arial" w:hAnsi="Arial" w:cs="Arial"/>
          <w:color w:val="000000" w:themeColor="text1"/>
          <w:sz w:val="19"/>
          <w:szCs w:val="19"/>
        </w:rPr>
      </w:pPr>
    </w:p>
  </w:footnote>
  <w:footnote w:id="25">
    <w:p w14:paraId="0870EB32" w14:textId="77777777" w:rsidR="00711612" w:rsidRPr="00AD47C6" w:rsidRDefault="00711612" w:rsidP="003B07F6">
      <w:pPr>
        <w:pStyle w:val="Textonotapie"/>
        <w:ind w:firstLine="709"/>
        <w:jc w:val="both"/>
        <w:rPr>
          <w:rFonts w:ascii="Arial" w:hAnsi="Arial" w:cs="Arial"/>
          <w:color w:val="000000" w:themeColor="text1"/>
          <w:sz w:val="19"/>
          <w:szCs w:val="19"/>
          <w:lang w:val="es-ES_tradnl"/>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Consejo de Estado. Sección Tercera, Subsección C. Sentencia del 26 de noviembre de 2015. </w:t>
      </w:r>
      <w:proofErr w:type="spellStart"/>
      <w:r w:rsidRPr="00AD47C6">
        <w:rPr>
          <w:rFonts w:ascii="Arial" w:hAnsi="Arial" w:cs="Arial"/>
          <w:color w:val="000000" w:themeColor="text1"/>
          <w:sz w:val="19"/>
          <w:szCs w:val="19"/>
          <w:lang w:val="es-ES_tradnl"/>
        </w:rPr>
        <w:t>Exp</w:t>
      </w:r>
      <w:proofErr w:type="spellEnd"/>
      <w:r w:rsidRPr="00AD47C6">
        <w:rPr>
          <w:rFonts w:ascii="Arial" w:hAnsi="Arial" w:cs="Arial"/>
          <w:color w:val="000000" w:themeColor="text1"/>
          <w:sz w:val="19"/>
          <w:szCs w:val="19"/>
          <w:lang w:val="es-ES_tradnl"/>
        </w:rPr>
        <w:t xml:space="preserve">. </w:t>
      </w:r>
      <w:r w:rsidRPr="00AD47C6">
        <w:rPr>
          <w:rFonts w:ascii="Arial" w:hAnsi="Arial" w:cs="Arial"/>
          <w:color w:val="000000" w:themeColor="text1"/>
          <w:sz w:val="19"/>
          <w:szCs w:val="19"/>
          <w:lang w:val="es-CO"/>
        </w:rPr>
        <w:t xml:space="preserve">54.069. C.P Jaime Orlando Santofimio Gamboa. </w:t>
      </w:r>
    </w:p>
    <w:p w14:paraId="6EFB8326" w14:textId="77777777" w:rsidR="00711612" w:rsidRPr="00AD47C6" w:rsidRDefault="00711612" w:rsidP="003B07F6">
      <w:pPr>
        <w:pStyle w:val="Textonotapie"/>
        <w:ind w:firstLine="709"/>
        <w:jc w:val="both"/>
        <w:rPr>
          <w:rFonts w:ascii="Arial" w:hAnsi="Arial" w:cs="Arial"/>
          <w:color w:val="000000" w:themeColor="text1"/>
          <w:sz w:val="19"/>
          <w:szCs w:val="19"/>
        </w:rPr>
      </w:pPr>
    </w:p>
  </w:footnote>
  <w:footnote w:id="26">
    <w:p w14:paraId="41E34C87" w14:textId="77777777" w:rsidR="00711612" w:rsidRPr="00AD47C6" w:rsidRDefault="00711612" w:rsidP="003B07F6">
      <w:pPr>
        <w:pStyle w:val="Textonotapie"/>
        <w:ind w:firstLine="709"/>
        <w:jc w:val="both"/>
        <w:rPr>
          <w:rFonts w:ascii="Arial" w:hAnsi="Arial" w:cs="Arial"/>
          <w:color w:val="000000" w:themeColor="text1"/>
          <w:sz w:val="19"/>
          <w:szCs w:val="19"/>
          <w:lang w:eastAsia="es-CO"/>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47FBBD78" w14:textId="77777777" w:rsidR="00711612" w:rsidRPr="00AD47C6" w:rsidRDefault="00711612" w:rsidP="003B07F6">
      <w:pPr>
        <w:pStyle w:val="Textonotapie"/>
        <w:ind w:firstLine="709"/>
        <w:jc w:val="both"/>
        <w:rPr>
          <w:rFonts w:ascii="Arial" w:hAnsi="Arial" w:cs="Arial"/>
          <w:color w:val="000000" w:themeColor="text1"/>
          <w:sz w:val="19"/>
          <w:szCs w:val="19"/>
          <w:lang w:val="es-CO"/>
        </w:rPr>
      </w:pPr>
    </w:p>
  </w:footnote>
  <w:footnote w:id="27">
    <w:p w14:paraId="1FA08A0D"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6CDCC5F3"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6CA2E214"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3FC7FB32"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w:t>
      </w:r>
      <w:r w:rsidRPr="00AD47C6">
        <w:rPr>
          <w:rStyle w:val="baj"/>
          <w:rFonts w:ascii="Arial" w:hAnsi="Arial" w:cs="Arial"/>
          <w:color w:val="000000" w:themeColor="text1"/>
          <w:sz w:val="19"/>
          <w:szCs w:val="19"/>
        </w:rPr>
        <w:t>PARÁGRAFO 1o.</w:t>
      </w:r>
      <w:r w:rsidRPr="00AD47C6">
        <w:rPr>
          <w:rFonts w:ascii="Arial" w:hAnsi="Arial" w:cs="Arial"/>
          <w:color w:val="000000" w:themeColor="text1"/>
          <w:sz w:val="19"/>
          <w:szCs w:val="19"/>
        </w:rPr>
        <w:t> Los contratos o acuerdos celebrados con personas extranjeras de derecho público, podrán someterse a las reglas de tales organismos.</w:t>
      </w:r>
    </w:p>
    <w:p w14:paraId="75FC9696"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w:t>
      </w:r>
      <w:r w:rsidRPr="00AD47C6">
        <w:rPr>
          <w:rStyle w:val="baj"/>
          <w:rFonts w:ascii="Arial" w:hAnsi="Arial" w:cs="Arial"/>
          <w:color w:val="000000" w:themeColor="text1"/>
          <w:sz w:val="19"/>
          <w:szCs w:val="19"/>
        </w:rPr>
        <w:t>PARÁGRAFO 2o.</w:t>
      </w:r>
      <w:r w:rsidRPr="00AD47C6">
        <w:rPr>
          <w:rFonts w:ascii="Arial" w:hAnsi="Arial" w:cs="Arial"/>
          <w:color w:val="000000" w:themeColor="text1"/>
          <w:sz w:val="19"/>
          <w:szCs w:val="19"/>
        </w:rPr>
        <w:t xml:space="preserve"> Las entidades estatales tendrán la obligación de reportar la información a los organismos de control y al </w:t>
      </w:r>
      <w:proofErr w:type="spellStart"/>
      <w:r w:rsidRPr="00AD47C6">
        <w:rPr>
          <w:rFonts w:ascii="Arial" w:hAnsi="Arial" w:cs="Arial"/>
          <w:color w:val="000000" w:themeColor="text1"/>
          <w:sz w:val="19"/>
          <w:szCs w:val="19"/>
        </w:rPr>
        <w:t>Secop</w:t>
      </w:r>
      <w:proofErr w:type="spellEnd"/>
      <w:r w:rsidRPr="00AD47C6">
        <w:rPr>
          <w:rFonts w:ascii="Arial" w:hAnsi="Arial" w:cs="Arial"/>
          <w:color w:val="000000" w:themeColor="text1"/>
          <w:sz w:val="19"/>
          <w:szCs w:val="19"/>
        </w:rPr>
        <w:t xml:space="preserve"> relativa a la ejecución de los contratos a los que se refiere el presente artículo.</w:t>
      </w:r>
    </w:p>
    <w:p w14:paraId="7629E822" w14:textId="77777777" w:rsidR="00711612" w:rsidRPr="00AD47C6" w:rsidRDefault="00711612" w:rsidP="003B07F6">
      <w:pPr>
        <w:pStyle w:val="NormalWeb"/>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w:t>
      </w:r>
      <w:r w:rsidRPr="00AD47C6">
        <w:rPr>
          <w:rStyle w:val="baj"/>
          <w:rFonts w:ascii="Arial" w:hAnsi="Arial" w:cs="Arial"/>
          <w:color w:val="000000" w:themeColor="text1"/>
          <w:sz w:val="19"/>
          <w:szCs w:val="19"/>
        </w:rPr>
        <w:t>PARÁGRAFO 3o.</w:t>
      </w:r>
      <w:r w:rsidRPr="00AD47C6">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40BB5311" w14:textId="77777777" w:rsidR="00711612" w:rsidRPr="00AD47C6" w:rsidRDefault="00711612" w:rsidP="003B07F6">
      <w:pPr>
        <w:pStyle w:val="Textonotapie"/>
        <w:ind w:firstLine="709"/>
        <w:jc w:val="both"/>
        <w:rPr>
          <w:rFonts w:ascii="Arial" w:hAnsi="Arial" w:cs="Arial"/>
          <w:color w:val="000000" w:themeColor="text1"/>
          <w:sz w:val="19"/>
          <w:szCs w:val="19"/>
        </w:rPr>
      </w:pPr>
    </w:p>
  </w:footnote>
  <w:footnote w:id="28">
    <w:p w14:paraId="6D6E909C"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 xml:space="preserve">Decreto 1082 de 2015. «Artículo </w:t>
      </w:r>
      <w:r w:rsidRPr="00AD47C6">
        <w:rPr>
          <w:rStyle w:val="Textoennegrita"/>
          <w:rFonts w:ascii="Arial" w:hAnsi="Arial" w:cs="Arial"/>
          <w:b w:val="0"/>
          <w:bCs w:val="0"/>
          <w:color w:val="000000" w:themeColor="text1"/>
          <w:sz w:val="19"/>
          <w:szCs w:val="19"/>
        </w:rPr>
        <w:t>2.2.1.2.4.4.1. </w:t>
      </w:r>
      <w:r w:rsidRPr="00AD47C6">
        <w:rPr>
          <w:rStyle w:val="nfasis"/>
          <w:rFonts w:ascii="Arial" w:hAnsi="Arial" w:cs="Arial"/>
          <w:color w:val="000000" w:themeColor="text1"/>
          <w:sz w:val="19"/>
          <w:szCs w:val="19"/>
        </w:rPr>
        <w:t>Régimen aplicable a los contratos o convenios de cooperación Internacional. </w:t>
      </w:r>
      <w:r w:rsidRPr="00AD47C6">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45AE9DEB"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w:t>
      </w:r>
      <w:r w:rsidRPr="00AD47C6">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D47C6">
        <w:rPr>
          <w:rFonts w:ascii="Arial" w:hAnsi="Arial" w:cs="Arial"/>
          <w:color w:val="000000" w:themeColor="text1"/>
          <w:sz w:val="19"/>
          <w:szCs w:val="19"/>
        </w:rPr>
        <w:t>.</w:t>
      </w:r>
    </w:p>
    <w:p w14:paraId="56ED13EA"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6021E627"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0F874076"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3" w:history="1">
        <w:r w:rsidRPr="00AD47C6">
          <w:rPr>
            <w:rStyle w:val="Hipervnculo"/>
            <w:rFonts w:ascii="Arial" w:hAnsi="Arial" w:cs="Arial"/>
            <w:color w:val="000000" w:themeColor="text1"/>
            <w:sz w:val="19"/>
            <w:szCs w:val="19"/>
            <w:u w:val="none"/>
          </w:rPr>
          <w:t>Ley 1150 de 2007</w:t>
        </w:r>
      </w:hyperlink>
      <w:r w:rsidRPr="00AD47C6">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4" w:history="1">
        <w:r w:rsidRPr="00AD47C6">
          <w:rPr>
            <w:rStyle w:val="Hipervnculo"/>
            <w:rFonts w:ascii="Arial" w:hAnsi="Arial" w:cs="Arial"/>
            <w:color w:val="000000" w:themeColor="text1"/>
            <w:sz w:val="19"/>
            <w:szCs w:val="19"/>
            <w:u w:val="none"/>
          </w:rPr>
          <w:t> Ley 1150 de 2007</w:t>
        </w:r>
      </w:hyperlink>
      <w:r w:rsidRPr="00AD47C6">
        <w:rPr>
          <w:rFonts w:ascii="Arial" w:hAnsi="Arial" w:cs="Arial"/>
          <w:color w:val="000000" w:themeColor="text1"/>
          <w:sz w:val="19"/>
          <w:szCs w:val="19"/>
        </w:rPr>
        <w:t>.</w:t>
      </w:r>
    </w:p>
    <w:p w14:paraId="52C09D9F" w14:textId="77777777" w:rsidR="00711612" w:rsidRPr="00AD47C6" w:rsidRDefault="00711612" w:rsidP="003B07F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D47C6">
        <w:rPr>
          <w:rFonts w:ascii="Arial" w:hAnsi="Arial" w:cs="Arial"/>
          <w:color w:val="000000" w:themeColor="text1"/>
          <w:sz w:val="19"/>
          <w:szCs w:val="19"/>
        </w:rPr>
        <w:t>»Los contratos con personas extranjeras de derecho público se deben celebrar y ejecutar según se acuerde entre las partes».</w:t>
      </w:r>
    </w:p>
    <w:p w14:paraId="426BC3CA" w14:textId="77777777" w:rsidR="00711612" w:rsidRPr="00AD47C6" w:rsidRDefault="00711612" w:rsidP="003B07F6">
      <w:pPr>
        <w:pStyle w:val="Textonotapie"/>
        <w:ind w:firstLine="709"/>
        <w:jc w:val="both"/>
        <w:rPr>
          <w:rFonts w:ascii="Arial" w:hAnsi="Arial" w:cs="Arial"/>
          <w:color w:val="000000" w:themeColor="text1"/>
          <w:sz w:val="19"/>
          <w:szCs w:val="19"/>
        </w:rPr>
      </w:pPr>
    </w:p>
  </w:footnote>
  <w:footnote w:id="29">
    <w:p w14:paraId="3B42ECDB" w14:textId="77777777" w:rsidR="00711612" w:rsidRPr="00AD47C6" w:rsidRDefault="00711612"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JOJOA BOLAÑOS, Alexander. Los regímenes exceptuados en los contratos estatales. Bogotá: Grupo Editorial Ibáñez, 2012. p. 138 y ss.</w:t>
      </w:r>
    </w:p>
    <w:p w14:paraId="11856A8C" w14:textId="77777777" w:rsidR="00711612" w:rsidRPr="00AD47C6" w:rsidRDefault="00711612" w:rsidP="003B07F6">
      <w:pPr>
        <w:pStyle w:val="Textonotapie"/>
        <w:ind w:firstLine="709"/>
        <w:jc w:val="both"/>
        <w:rPr>
          <w:rFonts w:ascii="Arial" w:hAnsi="Arial" w:cs="Arial"/>
          <w:color w:val="000000" w:themeColor="text1"/>
          <w:sz w:val="19"/>
          <w:szCs w:val="19"/>
          <w:lang w:val="es-ES"/>
        </w:rPr>
      </w:pPr>
    </w:p>
  </w:footnote>
  <w:footnote w:id="30">
    <w:p w14:paraId="4655404B" w14:textId="77777777" w:rsidR="00711612" w:rsidRPr="00AD47C6" w:rsidRDefault="00711612" w:rsidP="003B07F6">
      <w:pPr>
        <w:pStyle w:val="Textonotapie"/>
        <w:ind w:firstLine="709"/>
        <w:jc w:val="both"/>
        <w:rPr>
          <w:rFonts w:ascii="Arial" w:hAnsi="Arial" w:cs="Arial"/>
          <w:color w:val="000000" w:themeColor="text1"/>
          <w:sz w:val="19"/>
          <w:szCs w:val="19"/>
          <w:lang w:val="es-CO"/>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BARRETO MORENO, Antonio Alejandro. El derecho de la compra pública: estudio jurídico de un mercado imperfecto. Bogotá: Legis, 2019. pp. 247 y 248. En este sentido, DÀVILA VINUEZA agrega que «</w:t>
      </w:r>
      <w:r w:rsidRPr="00AD47C6">
        <w:rPr>
          <w:rFonts w:ascii="Arial" w:hAnsi="Arial" w:cs="Arial"/>
          <w:color w:val="000000" w:themeColor="text1"/>
          <w:sz w:val="19"/>
          <w:szCs w:val="19"/>
          <w:lang w:val="es-CO"/>
        </w:rPr>
        <w:t xml:space="preserve">La modificación insertada [por el artículo 20 de la Ley 1150 de 2007] es muy clara en el sentido de que se admite contratar con organismos de cooperación, asistencia o ayuda internacionales de manera directa para que se ejecute un contrato no sometido a la Ley 80 sino a sus reglamentos internos, si y solo sí los recursos provenientes para su pago, sean del propio organismo en por lo menos más del 50% de su valor. Con tal fin, se deben cuantificar moneda colombiana incluso los aportes que se hagan en especie» (Cfr. </w:t>
      </w:r>
      <w:r w:rsidRPr="00AD47C6">
        <w:rPr>
          <w:rFonts w:ascii="Arial" w:hAnsi="Arial" w:cs="Arial"/>
          <w:color w:val="000000" w:themeColor="text1"/>
          <w:sz w:val="19"/>
          <w:szCs w:val="19"/>
        </w:rPr>
        <w:t>DÀVILA VINUEZA, Luis Guillermo. Régimen jurídico de la contratación estatal. Tercera edición. Bogotá: Legis, 2016.</w:t>
      </w:r>
      <w:r w:rsidRPr="00AD47C6">
        <w:rPr>
          <w:rFonts w:ascii="Arial" w:hAnsi="Arial" w:cs="Arial"/>
          <w:color w:val="000000" w:themeColor="text1"/>
          <w:sz w:val="19"/>
          <w:szCs w:val="19"/>
          <w:lang w:val="es-CO"/>
        </w:rPr>
        <w:t xml:space="preserve"> p. 59. Corchetes fuera de texto).</w:t>
      </w:r>
    </w:p>
    <w:p w14:paraId="4F90695E" w14:textId="77777777" w:rsidR="00711612" w:rsidRPr="00AD47C6" w:rsidRDefault="00711612" w:rsidP="003B07F6">
      <w:pPr>
        <w:pStyle w:val="Textonotapie"/>
        <w:ind w:firstLine="709"/>
        <w:jc w:val="both"/>
        <w:rPr>
          <w:rFonts w:ascii="Arial" w:hAnsi="Arial" w:cs="Arial"/>
          <w:color w:val="000000" w:themeColor="text1"/>
          <w:sz w:val="19"/>
          <w:szCs w:val="19"/>
          <w:lang w:val="es-ES"/>
        </w:rPr>
      </w:pPr>
    </w:p>
  </w:footnote>
  <w:footnote w:id="31">
    <w:p w14:paraId="7227191B" w14:textId="77777777" w:rsidR="00711612" w:rsidRPr="00AD47C6" w:rsidRDefault="00711612" w:rsidP="003B07F6">
      <w:pPr>
        <w:pStyle w:val="Textonotapie"/>
        <w:ind w:firstLine="709"/>
        <w:jc w:val="both"/>
        <w:rPr>
          <w:rFonts w:ascii="Arial" w:hAnsi="Arial" w:cs="Arial"/>
          <w:color w:val="000000" w:themeColor="text1"/>
          <w:sz w:val="19"/>
          <w:szCs w:val="19"/>
        </w:rPr>
      </w:pPr>
      <w:r w:rsidRPr="00AD47C6">
        <w:rPr>
          <w:rStyle w:val="Refdenotaalpie"/>
        </w:rPr>
        <w:footnoteRef/>
      </w:r>
      <w:r w:rsidRPr="00AD47C6">
        <w:rPr>
          <w:rFonts w:ascii="Arial" w:hAnsi="Arial" w:cs="Arial"/>
          <w:color w:val="000000" w:themeColor="text1"/>
          <w:sz w:val="19"/>
          <w:szCs w:val="19"/>
        </w:rPr>
        <w:t xml:space="preserve"> </w:t>
      </w:r>
      <w:r w:rsidRPr="00AD47C6">
        <w:rPr>
          <w:rFonts w:ascii="Arial" w:hAnsi="Arial" w:cs="Arial"/>
          <w:color w:val="000000" w:themeColor="text1"/>
          <w:sz w:val="19"/>
          <w:szCs w:val="19"/>
        </w:rPr>
        <w:t>CONSEJO DE ESTADO. Sala de Consulta y Servicio Civil. Concepto del 27 de abril de 2006. Rad:1712. C.P. Enrique José Arboleda Perdomo.</w:t>
      </w:r>
    </w:p>
    <w:p w14:paraId="60FB1878" w14:textId="77777777" w:rsidR="00711612" w:rsidRPr="00AD47C6" w:rsidRDefault="00711612" w:rsidP="003B07F6">
      <w:pPr>
        <w:pStyle w:val="Textonotapie"/>
        <w:ind w:firstLine="709"/>
        <w:jc w:val="both"/>
        <w:rPr>
          <w:rFonts w:ascii="Arial" w:hAnsi="Arial" w:cs="Arial"/>
          <w:color w:val="000000" w:themeColor="text1"/>
          <w:sz w:val="19"/>
          <w:szCs w:val="19"/>
        </w:rPr>
      </w:pPr>
    </w:p>
  </w:footnote>
  <w:footnote w:id="32">
    <w:p w14:paraId="3E9BDDAB" w14:textId="28B74D5B" w:rsidR="002F71C9" w:rsidRPr="00AD47C6" w:rsidRDefault="0098433F" w:rsidP="003B07F6">
      <w:pPr>
        <w:ind w:firstLine="709"/>
        <w:jc w:val="both"/>
        <w:rPr>
          <w:rFonts w:ascii="Arial" w:eastAsiaTheme="minorHAnsi" w:hAnsi="Arial" w:cs="Arial"/>
          <w:sz w:val="19"/>
          <w:szCs w:val="19"/>
          <w:lang w:val="es-ES" w:eastAsia="en-US"/>
        </w:rPr>
      </w:pPr>
      <w:r w:rsidRPr="00AD47C6">
        <w:rPr>
          <w:rStyle w:val="Refdenotaalpie"/>
        </w:rPr>
        <w:footnoteRef/>
      </w:r>
      <w:r w:rsidRPr="00AD47C6">
        <w:rPr>
          <w:rFonts w:ascii="Arial" w:hAnsi="Arial" w:cs="Arial"/>
          <w:sz w:val="19"/>
          <w:szCs w:val="19"/>
        </w:rPr>
        <w:t xml:space="preserve"> </w:t>
      </w:r>
      <w:r w:rsidR="002F71C9" w:rsidRPr="00AD47C6">
        <w:rPr>
          <w:rFonts w:ascii="Arial" w:hAnsi="Arial" w:cs="Arial"/>
          <w:sz w:val="19"/>
          <w:szCs w:val="19"/>
          <w:lang w:val="es-ES"/>
        </w:rPr>
        <w:t>En efecto, el parágrafo 2 del artículo 20 de la Ley 1150 de 2007 dispone que «</w:t>
      </w:r>
      <w:r w:rsidR="002F71C9" w:rsidRPr="00AD47C6">
        <w:rPr>
          <w:rFonts w:ascii="Arial" w:eastAsiaTheme="minorHAnsi" w:hAnsi="Arial" w:cs="Arial"/>
          <w:sz w:val="19"/>
          <w:szCs w:val="19"/>
          <w:lang w:val="es-ES" w:eastAsia="en-US"/>
        </w:rPr>
        <w:t xml:space="preserve">Las entidades estatales tendrán la obligación de reportar la información a los organismos de control y al </w:t>
      </w:r>
      <w:proofErr w:type="spellStart"/>
      <w:r w:rsidR="002F71C9" w:rsidRPr="00AD47C6">
        <w:rPr>
          <w:rFonts w:ascii="Arial" w:eastAsiaTheme="minorHAnsi" w:hAnsi="Arial" w:cs="Arial"/>
          <w:sz w:val="19"/>
          <w:szCs w:val="19"/>
          <w:lang w:val="es-ES" w:eastAsia="en-US"/>
        </w:rPr>
        <w:t>Secop</w:t>
      </w:r>
      <w:proofErr w:type="spellEnd"/>
      <w:r w:rsidR="002F71C9" w:rsidRPr="00AD47C6">
        <w:rPr>
          <w:rFonts w:ascii="Arial" w:eastAsiaTheme="minorHAnsi" w:hAnsi="Arial" w:cs="Arial"/>
          <w:sz w:val="19"/>
          <w:szCs w:val="19"/>
          <w:lang w:val="es-ES" w:eastAsia="en-US"/>
        </w:rPr>
        <w:t xml:space="preserve"> relativa a la ejecución de los contratos a los que se refiere el presente artículo».</w:t>
      </w:r>
    </w:p>
    <w:p w14:paraId="28676843" w14:textId="7C93CFEB" w:rsidR="0098433F" w:rsidRPr="00AD47C6" w:rsidRDefault="0098433F" w:rsidP="003B07F6">
      <w:pPr>
        <w:pStyle w:val="Textonotapie"/>
        <w:ind w:firstLine="709"/>
        <w:jc w:val="both"/>
        <w:rPr>
          <w:rFonts w:ascii="Arial" w:hAnsi="Arial" w:cs="Arial"/>
          <w:sz w:val="19"/>
          <w:szCs w:val="19"/>
          <w:lang w:val="es-CO"/>
        </w:rPr>
      </w:pPr>
    </w:p>
  </w:footnote>
  <w:footnote w:id="33">
    <w:p w14:paraId="33D99C9A" w14:textId="6CD62F79" w:rsidR="00A72D67" w:rsidRPr="00AD47C6" w:rsidRDefault="00331646" w:rsidP="003B07F6">
      <w:pPr>
        <w:ind w:firstLine="709"/>
        <w:jc w:val="both"/>
        <w:rPr>
          <w:rFonts w:ascii="Arial" w:eastAsiaTheme="minorHAnsi" w:hAnsi="Arial" w:cs="Arial"/>
          <w:sz w:val="19"/>
          <w:szCs w:val="19"/>
          <w:lang w:val="es-MX" w:eastAsia="en-US"/>
        </w:rPr>
      </w:pPr>
      <w:r w:rsidRPr="00AD47C6">
        <w:rPr>
          <w:rStyle w:val="Refdenotaalpie"/>
        </w:rPr>
        <w:footnoteRef/>
      </w:r>
      <w:r w:rsidRPr="00AD47C6">
        <w:rPr>
          <w:rFonts w:ascii="Arial" w:hAnsi="Arial" w:cs="Arial"/>
          <w:sz w:val="19"/>
          <w:szCs w:val="19"/>
        </w:rPr>
        <w:t xml:space="preserve"> </w:t>
      </w:r>
      <w:r w:rsidR="00A72D67" w:rsidRPr="00AD47C6">
        <w:rPr>
          <w:rFonts w:ascii="Arial" w:hAnsi="Arial" w:cs="Arial"/>
          <w:sz w:val="19"/>
          <w:szCs w:val="19"/>
        </w:rPr>
        <w:t>No en vano, el parágrafo 3 del artículo 20 de la Ley 1150 de 2007 establece que «</w:t>
      </w:r>
      <w:r w:rsidR="00A72D67" w:rsidRPr="00AD47C6">
        <w:rPr>
          <w:rFonts w:ascii="Arial" w:eastAsiaTheme="minorHAnsi" w:hAnsi="Arial" w:cs="Arial"/>
          <w:sz w:val="19"/>
          <w:szCs w:val="19"/>
          <w:lang w:val="es-MX" w:eastAsia="en-US"/>
        </w:rPr>
        <w:t>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6928202F" w14:textId="3E599DD5" w:rsidR="00331646" w:rsidRPr="00AD47C6" w:rsidRDefault="00331646" w:rsidP="003B07F6">
      <w:pPr>
        <w:pStyle w:val="Textonotapie"/>
        <w:ind w:firstLine="709"/>
        <w:jc w:val="both"/>
        <w:rPr>
          <w:rFonts w:ascii="Arial" w:hAnsi="Arial" w:cs="Arial"/>
          <w:sz w:val="19"/>
          <w:szCs w:val="19"/>
          <w:lang w:val="es-CO"/>
        </w:rPr>
      </w:pPr>
    </w:p>
  </w:footnote>
  <w:footnote w:id="34">
    <w:p w14:paraId="5804DCF1" w14:textId="31650BD7" w:rsidR="00592CF1" w:rsidRPr="00AD47C6" w:rsidRDefault="003F0F73" w:rsidP="003B07F6">
      <w:pPr>
        <w:ind w:firstLine="709"/>
        <w:jc w:val="both"/>
        <w:rPr>
          <w:rFonts w:ascii="Arial" w:eastAsiaTheme="minorHAnsi" w:hAnsi="Arial" w:cs="Arial"/>
          <w:sz w:val="19"/>
          <w:szCs w:val="19"/>
          <w:lang w:val="es-MX" w:eastAsia="en-US"/>
        </w:rPr>
      </w:pPr>
      <w:r w:rsidRPr="00AD47C6">
        <w:rPr>
          <w:rStyle w:val="Refdenotaalpie"/>
        </w:rPr>
        <w:footnoteRef/>
      </w:r>
      <w:r w:rsidRPr="00AD47C6">
        <w:rPr>
          <w:rFonts w:ascii="Arial" w:hAnsi="Arial" w:cs="Arial"/>
          <w:sz w:val="19"/>
          <w:szCs w:val="19"/>
        </w:rPr>
        <w:t xml:space="preserve"> </w:t>
      </w:r>
      <w:r w:rsidRPr="00AD47C6">
        <w:rPr>
          <w:rFonts w:ascii="Arial" w:hAnsi="Arial" w:cs="Arial"/>
          <w:sz w:val="19"/>
          <w:szCs w:val="19"/>
        </w:rPr>
        <w:t>Sentencia C-</w:t>
      </w:r>
      <w:r w:rsidR="00930C37" w:rsidRPr="00AD47C6">
        <w:rPr>
          <w:rFonts w:ascii="Arial" w:hAnsi="Arial" w:cs="Arial"/>
          <w:sz w:val="19"/>
          <w:szCs w:val="19"/>
        </w:rPr>
        <w:t xml:space="preserve">439 de 2016. M.P.: </w:t>
      </w:r>
      <w:r w:rsidR="00930C37" w:rsidRPr="00AD47C6">
        <w:rPr>
          <w:rFonts w:ascii="Arial" w:eastAsiaTheme="minorHAnsi" w:hAnsi="Arial" w:cs="Arial"/>
          <w:sz w:val="19"/>
          <w:szCs w:val="19"/>
          <w:lang w:val="es-MX" w:eastAsia="en-US"/>
        </w:rPr>
        <w:t>Luis Guillermo Guerrero Pérez.</w:t>
      </w:r>
      <w:r w:rsidR="00FC3A5F" w:rsidRPr="00AD47C6">
        <w:rPr>
          <w:rFonts w:ascii="Arial" w:eastAsiaTheme="minorHAnsi" w:hAnsi="Arial" w:cs="Arial"/>
          <w:sz w:val="19"/>
          <w:szCs w:val="19"/>
          <w:lang w:val="es-MX" w:eastAsia="en-US"/>
        </w:rPr>
        <w:t xml:space="preserve"> Así también lo indicó la Corte </w:t>
      </w:r>
      <w:r w:rsidR="00592CF1" w:rsidRPr="00AD47C6">
        <w:rPr>
          <w:rFonts w:ascii="Arial" w:eastAsiaTheme="minorHAnsi" w:hAnsi="Arial" w:cs="Arial"/>
          <w:sz w:val="19"/>
          <w:szCs w:val="19"/>
          <w:lang w:val="es-MX" w:eastAsia="en-US"/>
        </w:rPr>
        <w:t>C</w:t>
      </w:r>
      <w:r w:rsidR="00FC3A5F" w:rsidRPr="00AD47C6">
        <w:rPr>
          <w:rFonts w:ascii="Arial" w:eastAsiaTheme="minorHAnsi" w:hAnsi="Arial" w:cs="Arial"/>
          <w:sz w:val="19"/>
          <w:szCs w:val="19"/>
          <w:lang w:val="es-MX" w:eastAsia="en-US"/>
        </w:rPr>
        <w:t xml:space="preserve">onstitucional en la </w:t>
      </w:r>
      <w:r w:rsidR="009E453C" w:rsidRPr="00AD47C6">
        <w:rPr>
          <w:rFonts w:ascii="Arial" w:eastAsiaTheme="minorHAnsi" w:hAnsi="Arial" w:cs="Arial"/>
          <w:sz w:val="19"/>
          <w:szCs w:val="19"/>
          <w:lang w:val="es-MX" w:eastAsia="en-US"/>
        </w:rPr>
        <w:t xml:space="preserve">Sentencia </w:t>
      </w:r>
      <w:r w:rsidR="00F65BA3" w:rsidRPr="00AD47C6">
        <w:rPr>
          <w:rFonts w:ascii="Arial" w:eastAsiaTheme="minorHAnsi" w:hAnsi="Arial" w:cs="Arial"/>
          <w:sz w:val="19"/>
          <w:szCs w:val="19"/>
          <w:lang w:val="es-MX" w:eastAsia="en-US"/>
        </w:rPr>
        <w:t>C-339 de 2002</w:t>
      </w:r>
      <w:r w:rsidR="00592CF1" w:rsidRPr="00AD47C6">
        <w:rPr>
          <w:rFonts w:ascii="Arial" w:eastAsiaTheme="minorHAnsi" w:hAnsi="Arial" w:cs="Arial"/>
          <w:sz w:val="19"/>
          <w:szCs w:val="19"/>
          <w:lang w:val="es-MX" w:eastAsia="en-US"/>
        </w:rPr>
        <w:t>, M.P.: Jaime Araujo Rentería.</w:t>
      </w:r>
    </w:p>
    <w:p w14:paraId="388C55F4" w14:textId="79F9C1C5" w:rsidR="003F0F73" w:rsidRPr="00AD47C6" w:rsidRDefault="003F0F73" w:rsidP="003B07F6">
      <w:pPr>
        <w:pStyle w:val="Textonotapie"/>
        <w:ind w:firstLine="709"/>
        <w:jc w:val="both"/>
        <w:rPr>
          <w:rFonts w:ascii="Arial" w:hAnsi="Arial" w:cs="Arial"/>
          <w:sz w:val="19"/>
          <w:szCs w:val="19"/>
        </w:rPr>
      </w:pPr>
    </w:p>
  </w:footnote>
  <w:footnote w:id="35">
    <w:p w14:paraId="1163A27E" w14:textId="0C29EC46" w:rsidR="003B07F6" w:rsidRPr="00AD47C6" w:rsidRDefault="003B07F6" w:rsidP="003B07F6">
      <w:pPr>
        <w:pStyle w:val="Textonotapie"/>
        <w:ind w:firstLine="709"/>
        <w:jc w:val="both"/>
        <w:rPr>
          <w:rFonts w:ascii="Arial" w:hAnsi="Arial" w:cs="Arial"/>
          <w:sz w:val="19"/>
          <w:szCs w:val="19"/>
        </w:rPr>
      </w:pPr>
      <w:r w:rsidRPr="00AD47C6">
        <w:rPr>
          <w:rStyle w:val="Refdenotaalpie"/>
        </w:rPr>
        <w:footnoteRef/>
      </w:r>
      <w:r w:rsidRPr="00AD47C6">
        <w:rPr>
          <w:rFonts w:ascii="Arial" w:hAnsi="Arial" w:cs="Arial"/>
          <w:sz w:val="19"/>
          <w:szCs w:val="19"/>
        </w:rPr>
        <w:t xml:space="preserve"> </w:t>
      </w:r>
      <w:r w:rsidRPr="00AD47C6">
        <w:rPr>
          <w:rFonts w:ascii="Arial" w:hAnsi="Arial" w:cs="Arial"/>
          <w:sz w:val="19"/>
          <w:szCs w:val="19"/>
        </w:rPr>
        <w:t>Ibíd.</w:t>
      </w:r>
    </w:p>
    <w:p w14:paraId="3F59E018" w14:textId="77777777" w:rsidR="003B07F6" w:rsidRPr="00AD47C6" w:rsidRDefault="003B07F6" w:rsidP="003B07F6">
      <w:pPr>
        <w:pStyle w:val="Textonotapie"/>
        <w:ind w:firstLine="709"/>
        <w:jc w:val="both"/>
        <w:rPr>
          <w:rFonts w:ascii="Arial" w:hAnsi="Arial" w:cs="Arial"/>
          <w:sz w:val="19"/>
          <w:szCs w:val="19"/>
        </w:rPr>
      </w:pPr>
    </w:p>
  </w:footnote>
  <w:footnote w:id="36">
    <w:p w14:paraId="7716FA29" w14:textId="77777777" w:rsidR="003B07F6" w:rsidRPr="00AD47C6" w:rsidRDefault="003B07F6" w:rsidP="003B07F6">
      <w:pPr>
        <w:ind w:firstLine="709"/>
        <w:jc w:val="both"/>
        <w:rPr>
          <w:rFonts w:ascii="Arial" w:eastAsiaTheme="minorHAnsi" w:hAnsi="Arial" w:cs="Arial"/>
          <w:sz w:val="19"/>
          <w:szCs w:val="19"/>
          <w:lang w:val="es-MX" w:eastAsia="en-US"/>
        </w:rPr>
      </w:pPr>
      <w:r w:rsidRPr="00AD47C6">
        <w:rPr>
          <w:rStyle w:val="Refdenotaalpie"/>
        </w:rPr>
        <w:footnoteRef/>
      </w:r>
      <w:r w:rsidRPr="00AD47C6">
        <w:rPr>
          <w:rFonts w:ascii="Arial" w:hAnsi="Arial" w:cs="Arial"/>
          <w:sz w:val="19"/>
          <w:szCs w:val="19"/>
        </w:rPr>
        <w:t xml:space="preserve"> </w:t>
      </w:r>
      <w:r w:rsidRPr="00AD47C6">
        <w:rPr>
          <w:rFonts w:ascii="Arial" w:hAnsi="Arial" w:cs="Arial"/>
          <w:sz w:val="19"/>
          <w:szCs w:val="19"/>
        </w:rPr>
        <w:t xml:space="preserve">Sentencia C-439 de 2016. M.P.: </w:t>
      </w:r>
      <w:r w:rsidRPr="00AD47C6">
        <w:rPr>
          <w:rFonts w:ascii="Arial" w:eastAsiaTheme="minorHAnsi" w:hAnsi="Arial" w:cs="Arial"/>
          <w:sz w:val="19"/>
          <w:szCs w:val="19"/>
          <w:lang w:val="es-MX" w:eastAsia="en-US"/>
        </w:rPr>
        <w:t>Luis Guillermo Guerrero Pérez. Así también lo indicó la Corte Constitucional en la Sentencia C-339 de 2002, M.P.: Jaime Araujo Rentería.</w:t>
      </w:r>
    </w:p>
    <w:p w14:paraId="4787EFD4" w14:textId="77777777" w:rsidR="003B07F6" w:rsidRPr="00AD47C6" w:rsidRDefault="003B07F6" w:rsidP="003B07F6">
      <w:pPr>
        <w:ind w:firstLine="709"/>
        <w:jc w:val="both"/>
        <w:rPr>
          <w:rFonts w:ascii="Arial" w:eastAsiaTheme="minorHAnsi" w:hAnsi="Arial" w:cs="Arial"/>
          <w:sz w:val="19"/>
          <w:szCs w:val="19"/>
          <w:lang w:eastAsia="en-US"/>
        </w:rPr>
      </w:pPr>
    </w:p>
    <w:p w14:paraId="45087873" w14:textId="77777777" w:rsidR="003B07F6" w:rsidRPr="00AD47C6" w:rsidRDefault="003B07F6" w:rsidP="003B07F6">
      <w:pPr>
        <w:pStyle w:val="Textonotapie"/>
        <w:ind w:firstLine="709"/>
        <w:jc w:val="both"/>
        <w:rPr>
          <w:rFonts w:ascii="Arial" w:hAnsi="Arial" w:cs="Arial"/>
          <w:sz w:val="19"/>
          <w:szCs w:val="19"/>
        </w:rPr>
      </w:pPr>
    </w:p>
  </w:footnote>
  <w:footnote w:id="37">
    <w:p w14:paraId="7101A4D9" w14:textId="77777777" w:rsidR="003B07F6" w:rsidRDefault="003B07F6" w:rsidP="003B07F6">
      <w:pPr>
        <w:pStyle w:val="Textonotapie"/>
        <w:ind w:firstLine="709"/>
        <w:jc w:val="both"/>
        <w:rPr>
          <w:rFonts w:ascii="Arial" w:hAnsi="Arial" w:cs="Arial"/>
          <w:sz w:val="19"/>
          <w:szCs w:val="19"/>
        </w:rPr>
      </w:pPr>
      <w:r w:rsidRPr="00AD47C6">
        <w:rPr>
          <w:rStyle w:val="Refdenotaalpie"/>
        </w:rPr>
        <w:footnoteRef/>
      </w:r>
      <w:r w:rsidRPr="00AD47C6">
        <w:rPr>
          <w:rFonts w:ascii="Arial" w:hAnsi="Arial" w:cs="Arial"/>
          <w:sz w:val="19"/>
          <w:szCs w:val="19"/>
        </w:rPr>
        <w:t xml:space="preserve"> </w:t>
      </w:r>
      <w:r w:rsidRPr="00AD47C6">
        <w:rPr>
          <w:rFonts w:ascii="Arial" w:hAnsi="Arial" w:cs="Arial"/>
          <w:sz w:val="19"/>
          <w:szCs w:val="19"/>
        </w:rPr>
        <w:t>Ibíd.</w:t>
      </w:r>
    </w:p>
    <w:p w14:paraId="671E0733" w14:textId="77777777" w:rsidR="003B07F6" w:rsidRPr="003B07F6" w:rsidRDefault="003B07F6" w:rsidP="003B07F6">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7BD"/>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5D13"/>
    <w:rsid w:val="00016081"/>
    <w:rsid w:val="000165AC"/>
    <w:rsid w:val="00016651"/>
    <w:rsid w:val="00016739"/>
    <w:rsid w:val="000168A1"/>
    <w:rsid w:val="000171A2"/>
    <w:rsid w:val="00017B65"/>
    <w:rsid w:val="00020158"/>
    <w:rsid w:val="000207E0"/>
    <w:rsid w:val="000209E2"/>
    <w:rsid w:val="00020F8F"/>
    <w:rsid w:val="00021464"/>
    <w:rsid w:val="0002147E"/>
    <w:rsid w:val="000215A6"/>
    <w:rsid w:val="00021A95"/>
    <w:rsid w:val="00022223"/>
    <w:rsid w:val="0002256F"/>
    <w:rsid w:val="00023DAE"/>
    <w:rsid w:val="0002427B"/>
    <w:rsid w:val="0002465F"/>
    <w:rsid w:val="00024896"/>
    <w:rsid w:val="00025483"/>
    <w:rsid w:val="00025600"/>
    <w:rsid w:val="00025D0A"/>
    <w:rsid w:val="00025E0C"/>
    <w:rsid w:val="000263A5"/>
    <w:rsid w:val="000263F0"/>
    <w:rsid w:val="00026407"/>
    <w:rsid w:val="00026608"/>
    <w:rsid w:val="00027787"/>
    <w:rsid w:val="000278D2"/>
    <w:rsid w:val="00030A6E"/>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5668"/>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64F1"/>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BB9"/>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CD5"/>
    <w:rsid w:val="00103EA0"/>
    <w:rsid w:val="00104F1C"/>
    <w:rsid w:val="00104FD0"/>
    <w:rsid w:val="001051E5"/>
    <w:rsid w:val="00105A74"/>
    <w:rsid w:val="00105ACB"/>
    <w:rsid w:val="00105AEF"/>
    <w:rsid w:val="00106259"/>
    <w:rsid w:val="001068EB"/>
    <w:rsid w:val="0010741E"/>
    <w:rsid w:val="001078CE"/>
    <w:rsid w:val="0011044C"/>
    <w:rsid w:val="00110F61"/>
    <w:rsid w:val="001111BD"/>
    <w:rsid w:val="00111325"/>
    <w:rsid w:val="001114F9"/>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276"/>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D7A"/>
    <w:rsid w:val="00164281"/>
    <w:rsid w:val="00164ACE"/>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1B85"/>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AA2"/>
    <w:rsid w:val="001B4ADE"/>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5072"/>
    <w:rsid w:val="001C55F2"/>
    <w:rsid w:val="001C5B2A"/>
    <w:rsid w:val="001C600B"/>
    <w:rsid w:val="001C6306"/>
    <w:rsid w:val="001C65AA"/>
    <w:rsid w:val="001C661B"/>
    <w:rsid w:val="001C6898"/>
    <w:rsid w:val="001C6DD8"/>
    <w:rsid w:val="001C702D"/>
    <w:rsid w:val="001C7C7B"/>
    <w:rsid w:val="001D068D"/>
    <w:rsid w:val="001D12D1"/>
    <w:rsid w:val="001D15DF"/>
    <w:rsid w:val="001D2973"/>
    <w:rsid w:val="001D2B74"/>
    <w:rsid w:val="001D30F3"/>
    <w:rsid w:val="001D31A0"/>
    <w:rsid w:val="001D338E"/>
    <w:rsid w:val="001D426C"/>
    <w:rsid w:val="001D56E9"/>
    <w:rsid w:val="001D5C5C"/>
    <w:rsid w:val="001D5EE1"/>
    <w:rsid w:val="001D70EF"/>
    <w:rsid w:val="001D796A"/>
    <w:rsid w:val="001D7A84"/>
    <w:rsid w:val="001D7C79"/>
    <w:rsid w:val="001E003B"/>
    <w:rsid w:val="001E04D8"/>
    <w:rsid w:val="001E1CC4"/>
    <w:rsid w:val="001E1D38"/>
    <w:rsid w:val="001E2880"/>
    <w:rsid w:val="001E28A0"/>
    <w:rsid w:val="001E35FA"/>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3F86"/>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1FED"/>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5C93"/>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A02"/>
    <w:rsid w:val="00253A8F"/>
    <w:rsid w:val="00253B81"/>
    <w:rsid w:val="002542EE"/>
    <w:rsid w:val="002547CB"/>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676"/>
    <w:rsid w:val="0026478A"/>
    <w:rsid w:val="0026480D"/>
    <w:rsid w:val="00264A13"/>
    <w:rsid w:val="002653A6"/>
    <w:rsid w:val="00265A92"/>
    <w:rsid w:val="00265F9D"/>
    <w:rsid w:val="00265FD3"/>
    <w:rsid w:val="002661F1"/>
    <w:rsid w:val="00266209"/>
    <w:rsid w:val="00266DB6"/>
    <w:rsid w:val="002710FA"/>
    <w:rsid w:val="002711A4"/>
    <w:rsid w:val="00271F13"/>
    <w:rsid w:val="00272434"/>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5D8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885"/>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24E"/>
    <w:rsid w:val="002A6AFB"/>
    <w:rsid w:val="002A733D"/>
    <w:rsid w:val="002A774A"/>
    <w:rsid w:val="002A78F3"/>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73B"/>
    <w:rsid w:val="002E2CB5"/>
    <w:rsid w:val="002E2D7D"/>
    <w:rsid w:val="002E32D0"/>
    <w:rsid w:val="002E3D76"/>
    <w:rsid w:val="002E40A1"/>
    <w:rsid w:val="002E48EC"/>
    <w:rsid w:val="002E4AC6"/>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1C9"/>
    <w:rsid w:val="002F7B66"/>
    <w:rsid w:val="00300CB4"/>
    <w:rsid w:val="00300E24"/>
    <w:rsid w:val="00302ED6"/>
    <w:rsid w:val="003031F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646"/>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529"/>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14F"/>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06E2"/>
    <w:rsid w:val="003B07F6"/>
    <w:rsid w:val="003B1AF1"/>
    <w:rsid w:val="003B1DAF"/>
    <w:rsid w:val="003B1E57"/>
    <w:rsid w:val="003B27C9"/>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87C"/>
    <w:rsid w:val="003C095A"/>
    <w:rsid w:val="003C0D1F"/>
    <w:rsid w:val="003C116A"/>
    <w:rsid w:val="003C1AF4"/>
    <w:rsid w:val="003C1C9C"/>
    <w:rsid w:val="003C1CB8"/>
    <w:rsid w:val="003C22DA"/>
    <w:rsid w:val="003C2550"/>
    <w:rsid w:val="003C287F"/>
    <w:rsid w:val="003C31A1"/>
    <w:rsid w:val="003C3339"/>
    <w:rsid w:val="003C375A"/>
    <w:rsid w:val="003C3F06"/>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823"/>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7DE"/>
    <w:rsid w:val="003E6AB6"/>
    <w:rsid w:val="003E6E0B"/>
    <w:rsid w:val="003E71CD"/>
    <w:rsid w:val="003E72F0"/>
    <w:rsid w:val="003E78DA"/>
    <w:rsid w:val="003E7A8B"/>
    <w:rsid w:val="003F060E"/>
    <w:rsid w:val="003F0F73"/>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184"/>
    <w:rsid w:val="00405487"/>
    <w:rsid w:val="00405B8A"/>
    <w:rsid w:val="0040602B"/>
    <w:rsid w:val="00406359"/>
    <w:rsid w:val="00406599"/>
    <w:rsid w:val="00406DF5"/>
    <w:rsid w:val="00406F35"/>
    <w:rsid w:val="0040798E"/>
    <w:rsid w:val="00407A7A"/>
    <w:rsid w:val="00407ABC"/>
    <w:rsid w:val="00407F1E"/>
    <w:rsid w:val="00407F98"/>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683"/>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370FB"/>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1D0"/>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D18"/>
    <w:rsid w:val="004861B4"/>
    <w:rsid w:val="00486BD0"/>
    <w:rsid w:val="00486D00"/>
    <w:rsid w:val="00487263"/>
    <w:rsid w:val="0048734F"/>
    <w:rsid w:val="004877B4"/>
    <w:rsid w:val="0048785D"/>
    <w:rsid w:val="0049015B"/>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8E1"/>
    <w:rsid w:val="00493E04"/>
    <w:rsid w:val="004940E3"/>
    <w:rsid w:val="00494269"/>
    <w:rsid w:val="0049530F"/>
    <w:rsid w:val="00496664"/>
    <w:rsid w:val="00496786"/>
    <w:rsid w:val="0049695B"/>
    <w:rsid w:val="00496D8F"/>
    <w:rsid w:val="00497463"/>
    <w:rsid w:val="004A0381"/>
    <w:rsid w:val="004A054C"/>
    <w:rsid w:val="004A08D1"/>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52E"/>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37EA2"/>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167"/>
    <w:rsid w:val="0054745E"/>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996"/>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2CF1"/>
    <w:rsid w:val="00593C7A"/>
    <w:rsid w:val="00593EA2"/>
    <w:rsid w:val="00593F75"/>
    <w:rsid w:val="005940A0"/>
    <w:rsid w:val="0059429A"/>
    <w:rsid w:val="005943D4"/>
    <w:rsid w:val="00594462"/>
    <w:rsid w:val="00594CBE"/>
    <w:rsid w:val="00594DE2"/>
    <w:rsid w:val="005950CB"/>
    <w:rsid w:val="00596AF7"/>
    <w:rsid w:val="00596CCE"/>
    <w:rsid w:val="00597B2F"/>
    <w:rsid w:val="005A0E70"/>
    <w:rsid w:val="005A11F8"/>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0A9"/>
    <w:rsid w:val="005A718A"/>
    <w:rsid w:val="005A7209"/>
    <w:rsid w:val="005A7752"/>
    <w:rsid w:val="005A7885"/>
    <w:rsid w:val="005B02BA"/>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772"/>
    <w:rsid w:val="005E1F1D"/>
    <w:rsid w:val="005E273D"/>
    <w:rsid w:val="005E2FD1"/>
    <w:rsid w:val="005E3278"/>
    <w:rsid w:val="005E3365"/>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CE2"/>
    <w:rsid w:val="005F6F24"/>
    <w:rsid w:val="005F72E9"/>
    <w:rsid w:val="005F765D"/>
    <w:rsid w:val="005F76AE"/>
    <w:rsid w:val="005F7797"/>
    <w:rsid w:val="005F780B"/>
    <w:rsid w:val="00600473"/>
    <w:rsid w:val="00600ABC"/>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6DB8"/>
    <w:rsid w:val="00607996"/>
    <w:rsid w:val="00607A37"/>
    <w:rsid w:val="00607E0A"/>
    <w:rsid w:val="00607E9F"/>
    <w:rsid w:val="0061085E"/>
    <w:rsid w:val="00611398"/>
    <w:rsid w:val="00612322"/>
    <w:rsid w:val="006123C0"/>
    <w:rsid w:val="00612570"/>
    <w:rsid w:val="00612DF1"/>
    <w:rsid w:val="006130D4"/>
    <w:rsid w:val="00613191"/>
    <w:rsid w:val="006133F9"/>
    <w:rsid w:val="006134B3"/>
    <w:rsid w:val="00613DE1"/>
    <w:rsid w:val="0061401F"/>
    <w:rsid w:val="00614166"/>
    <w:rsid w:val="00614771"/>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02A"/>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2BC"/>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39F4"/>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5DF9"/>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DD1"/>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9CC"/>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1686"/>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18"/>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612"/>
    <w:rsid w:val="007119F3"/>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04EF"/>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2D7"/>
    <w:rsid w:val="00734952"/>
    <w:rsid w:val="00734990"/>
    <w:rsid w:val="00734FF5"/>
    <w:rsid w:val="00735B78"/>
    <w:rsid w:val="00735DA7"/>
    <w:rsid w:val="007368B4"/>
    <w:rsid w:val="007370F9"/>
    <w:rsid w:val="007378E0"/>
    <w:rsid w:val="00737D92"/>
    <w:rsid w:val="00740529"/>
    <w:rsid w:val="00740876"/>
    <w:rsid w:val="00741358"/>
    <w:rsid w:val="00741626"/>
    <w:rsid w:val="0074231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805"/>
    <w:rsid w:val="00763E0E"/>
    <w:rsid w:val="0076445F"/>
    <w:rsid w:val="00764EC5"/>
    <w:rsid w:val="00765545"/>
    <w:rsid w:val="00765BCA"/>
    <w:rsid w:val="00766A4A"/>
    <w:rsid w:val="00766ECC"/>
    <w:rsid w:val="007672F3"/>
    <w:rsid w:val="007677B5"/>
    <w:rsid w:val="007678B1"/>
    <w:rsid w:val="00767AF9"/>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2F"/>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2EE"/>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B4D"/>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36"/>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815"/>
    <w:rsid w:val="00876C0C"/>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4D3"/>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5E48"/>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4FB1"/>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8E8"/>
    <w:rsid w:val="00902E5C"/>
    <w:rsid w:val="00902F36"/>
    <w:rsid w:val="0090363E"/>
    <w:rsid w:val="009046E5"/>
    <w:rsid w:val="009047C5"/>
    <w:rsid w:val="00904DFE"/>
    <w:rsid w:val="0090648C"/>
    <w:rsid w:val="0090675B"/>
    <w:rsid w:val="00906ECE"/>
    <w:rsid w:val="0090700A"/>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4E7A"/>
    <w:rsid w:val="00925346"/>
    <w:rsid w:val="00925743"/>
    <w:rsid w:val="0092579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969"/>
    <w:rsid w:val="00937D6B"/>
    <w:rsid w:val="00940477"/>
    <w:rsid w:val="00940876"/>
    <w:rsid w:val="00940A53"/>
    <w:rsid w:val="00940F3C"/>
    <w:rsid w:val="009410E0"/>
    <w:rsid w:val="00941FA9"/>
    <w:rsid w:val="00942089"/>
    <w:rsid w:val="00943D84"/>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8022F"/>
    <w:rsid w:val="009808BE"/>
    <w:rsid w:val="00980EAB"/>
    <w:rsid w:val="00980F26"/>
    <w:rsid w:val="00981042"/>
    <w:rsid w:val="009810DE"/>
    <w:rsid w:val="00981B91"/>
    <w:rsid w:val="00981DFC"/>
    <w:rsid w:val="009822D7"/>
    <w:rsid w:val="009827E6"/>
    <w:rsid w:val="00982F84"/>
    <w:rsid w:val="0098427D"/>
    <w:rsid w:val="0098433F"/>
    <w:rsid w:val="00984567"/>
    <w:rsid w:val="00984E90"/>
    <w:rsid w:val="00985102"/>
    <w:rsid w:val="009854BC"/>
    <w:rsid w:val="00985D08"/>
    <w:rsid w:val="0098606C"/>
    <w:rsid w:val="009865D5"/>
    <w:rsid w:val="00986DF4"/>
    <w:rsid w:val="00986E96"/>
    <w:rsid w:val="009876F2"/>
    <w:rsid w:val="00987872"/>
    <w:rsid w:val="00987C77"/>
    <w:rsid w:val="00987FED"/>
    <w:rsid w:val="00990345"/>
    <w:rsid w:val="00990701"/>
    <w:rsid w:val="00990E2B"/>
    <w:rsid w:val="0099119C"/>
    <w:rsid w:val="0099137A"/>
    <w:rsid w:val="009917A5"/>
    <w:rsid w:val="00992043"/>
    <w:rsid w:val="0099211C"/>
    <w:rsid w:val="00992DF9"/>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384"/>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4A5"/>
    <w:rsid w:val="009E35FE"/>
    <w:rsid w:val="009E41A0"/>
    <w:rsid w:val="009E453C"/>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4F9"/>
    <w:rsid w:val="009F59C2"/>
    <w:rsid w:val="009F6FED"/>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2BB5"/>
    <w:rsid w:val="00A03160"/>
    <w:rsid w:val="00A036AC"/>
    <w:rsid w:val="00A0374D"/>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79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644"/>
    <w:rsid w:val="00A2298D"/>
    <w:rsid w:val="00A23387"/>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5E2B"/>
    <w:rsid w:val="00A36189"/>
    <w:rsid w:val="00A37E73"/>
    <w:rsid w:val="00A37FB6"/>
    <w:rsid w:val="00A4077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2D67"/>
    <w:rsid w:val="00A730AD"/>
    <w:rsid w:val="00A73741"/>
    <w:rsid w:val="00A73855"/>
    <w:rsid w:val="00A73D64"/>
    <w:rsid w:val="00A74216"/>
    <w:rsid w:val="00A744B4"/>
    <w:rsid w:val="00A751E3"/>
    <w:rsid w:val="00A75504"/>
    <w:rsid w:val="00A75FD7"/>
    <w:rsid w:val="00A76357"/>
    <w:rsid w:val="00A77168"/>
    <w:rsid w:val="00A7723B"/>
    <w:rsid w:val="00A77879"/>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6F34"/>
    <w:rsid w:val="00AC71C3"/>
    <w:rsid w:val="00AC7AC6"/>
    <w:rsid w:val="00AD09F7"/>
    <w:rsid w:val="00AD1EFA"/>
    <w:rsid w:val="00AD2072"/>
    <w:rsid w:val="00AD2AF9"/>
    <w:rsid w:val="00AD2DBD"/>
    <w:rsid w:val="00AD2FBF"/>
    <w:rsid w:val="00AD31F5"/>
    <w:rsid w:val="00AD33AC"/>
    <w:rsid w:val="00AD340E"/>
    <w:rsid w:val="00AD455D"/>
    <w:rsid w:val="00AD463C"/>
    <w:rsid w:val="00AD47C6"/>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9A9"/>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591"/>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3CA"/>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688"/>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0D5"/>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25"/>
    <w:rsid w:val="00B7353B"/>
    <w:rsid w:val="00B737FB"/>
    <w:rsid w:val="00B73A3E"/>
    <w:rsid w:val="00B73E5D"/>
    <w:rsid w:val="00B73EF3"/>
    <w:rsid w:val="00B7423D"/>
    <w:rsid w:val="00B74D05"/>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F13"/>
    <w:rsid w:val="00B90A49"/>
    <w:rsid w:val="00B90A73"/>
    <w:rsid w:val="00B90CC5"/>
    <w:rsid w:val="00B90E0D"/>
    <w:rsid w:val="00B91B8E"/>
    <w:rsid w:val="00B91C7C"/>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B43"/>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790"/>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480"/>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4FE1"/>
    <w:rsid w:val="00C052C6"/>
    <w:rsid w:val="00C055AB"/>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1FF"/>
    <w:rsid w:val="00C762D5"/>
    <w:rsid w:val="00C767D6"/>
    <w:rsid w:val="00C76931"/>
    <w:rsid w:val="00C802F2"/>
    <w:rsid w:val="00C8082B"/>
    <w:rsid w:val="00C812CE"/>
    <w:rsid w:val="00C815E1"/>
    <w:rsid w:val="00C81A88"/>
    <w:rsid w:val="00C81D46"/>
    <w:rsid w:val="00C82298"/>
    <w:rsid w:val="00C82A80"/>
    <w:rsid w:val="00C833B4"/>
    <w:rsid w:val="00C838B0"/>
    <w:rsid w:val="00C83D95"/>
    <w:rsid w:val="00C84284"/>
    <w:rsid w:val="00C84B35"/>
    <w:rsid w:val="00C84E33"/>
    <w:rsid w:val="00C85FFC"/>
    <w:rsid w:val="00C861FC"/>
    <w:rsid w:val="00C86C87"/>
    <w:rsid w:val="00C86C93"/>
    <w:rsid w:val="00C87F29"/>
    <w:rsid w:val="00C9005E"/>
    <w:rsid w:val="00C90111"/>
    <w:rsid w:val="00C9038E"/>
    <w:rsid w:val="00C9077B"/>
    <w:rsid w:val="00C90CA9"/>
    <w:rsid w:val="00C90F88"/>
    <w:rsid w:val="00C915F2"/>
    <w:rsid w:val="00C917B1"/>
    <w:rsid w:val="00C9193C"/>
    <w:rsid w:val="00C91AB6"/>
    <w:rsid w:val="00C91B77"/>
    <w:rsid w:val="00C920E2"/>
    <w:rsid w:val="00C924EF"/>
    <w:rsid w:val="00C926E0"/>
    <w:rsid w:val="00C93765"/>
    <w:rsid w:val="00C93877"/>
    <w:rsid w:val="00C93D8C"/>
    <w:rsid w:val="00C93E07"/>
    <w:rsid w:val="00C946CC"/>
    <w:rsid w:val="00C959BD"/>
    <w:rsid w:val="00C95DFE"/>
    <w:rsid w:val="00C95F44"/>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6ABB"/>
    <w:rsid w:val="00CA6DBF"/>
    <w:rsid w:val="00CA76FC"/>
    <w:rsid w:val="00CA781A"/>
    <w:rsid w:val="00CA7E7B"/>
    <w:rsid w:val="00CB0236"/>
    <w:rsid w:val="00CB1969"/>
    <w:rsid w:val="00CB19E3"/>
    <w:rsid w:val="00CB1B20"/>
    <w:rsid w:val="00CB2AE8"/>
    <w:rsid w:val="00CB2C3A"/>
    <w:rsid w:val="00CB2D38"/>
    <w:rsid w:val="00CB375A"/>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877"/>
    <w:rsid w:val="00CC390A"/>
    <w:rsid w:val="00CC3D38"/>
    <w:rsid w:val="00CC40C3"/>
    <w:rsid w:val="00CC4E5D"/>
    <w:rsid w:val="00CC50AE"/>
    <w:rsid w:val="00CC5FFE"/>
    <w:rsid w:val="00CC61B7"/>
    <w:rsid w:val="00CC61CA"/>
    <w:rsid w:val="00CC69EC"/>
    <w:rsid w:val="00CC71D3"/>
    <w:rsid w:val="00CC7414"/>
    <w:rsid w:val="00CC743D"/>
    <w:rsid w:val="00CC7A62"/>
    <w:rsid w:val="00CD0392"/>
    <w:rsid w:val="00CD050A"/>
    <w:rsid w:val="00CD1017"/>
    <w:rsid w:val="00CD205D"/>
    <w:rsid w:val="00CD2A22"/>
    <w:rsid w:val="00CD2B50"/>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070"/>
    <w:rsid w:val="00CE4176"/>
    <w:rsid w:val="00CE44C7"/>
    <w:rsid w:val="00CE53B7"/>
    <w:rsid w:val="00CE53CC"/>
    <w:rsid w:val="00CE65A7"/>
    <w:rsid w:val="00CE68FE"/>
    <w:rsid w:val="00CE697B"/>
    <w:rsid w:val="00CE69CC"/>
    <w:rsid w:val="00CE6A78"/>
    <w:rsid w:val="00CE6EC4"/>
    <w:rsid w:val="00CE7F26"/>
    <w:rsid w:val="00CF0A8D"/>
    <w:rsid w:val="00CF1226"/>
    <w:rsid w:val="00CF12D4"/>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5CC9"/>
    <w:rsid w:val="00D160F6"/>
    <w:rsid w:val="00D16740"/>
    <w:rsid w:val="00D16A8B"/>
    <w:rsid w:val="00D16E39"/>
    <w:rsid w:val="00D172A4"/>
    <w:rsid w:val="00D1771A"/>
    <w:rsid w:val="00D17951"/>
    <w:rsid w:val="00D17AD8"/>
    <w:rsid w:val="00D207C8"/>
    <w:rsid w:val="00D2098B"/>
    <w:rsid w:val="00D2104A"/>
    <w:rsid w:val="00D21BB5"/>
    <w:rsid w:val="00D21FFC"/>
    <w:rsid w:val="00D2205F"/>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3452"/>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07"/>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42C"/>
    <w:rsid w:val="00D83B40"/>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A7FAB"/>
    <w:rsid w:val="00DB02D7"/>
    <w:rsid w:val="00DB03CC"/>
    <w:rsid w:val="00DB12D4"/>
    <w:rsid w:val="00DB14F0"/>
    <w:rsid w:val="00DB1745"/>
    <w:rsid w:val="00DB19BB"/>
    <w:rsid w:val="00DB1AFF"/>
    <w:rsid w:val="00DB219A"/>
    <w:rsid w:val="00DB23BE"/>
    <w:rsid w:val="00DB24BE"/>
    <w:rsid w:val="00DB3165"/>
    <w:rsid w:val="00DB37F3"/>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A74"/>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40D"/>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2EFE"/>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87A3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A75FD"/>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A21"/>
    <w:rsid w:val="00EB7D8A"/>
    <w:rsid w:val="00EC05E2"/>
    <w:rsid w:val="00EC08AC"/>
    <w:rsid w:val="00EC0E84"/>
    <w:rsid w:val="00EC16E2"/>
    <w:rsid w:val="00EC1CE7"/>
    <w:rsid w:val="00EC2510"/>
    <w:rsid w:val="00EC26F1"/>
    <w:rsid w:val="00EC3C94"/>
    <w:rsid w:val="00EC44DF"/>
    <w:rsid w:val="00EC4FB9"/>
    <w:rsid w:val="00EC5393"/>
    <w:rsid w:val="00EC5741"/>
    <w:rsid w:val="00EC5C4B"/>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5BC"/>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1DE"/>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17D82"/>
    <w:rsid w:val="00F204CC"/>
    <w:rsid w:val="00F213A0"/>
    <w:rsid w:val="00F21D54"/>
    <w:rsid w:val="00F21EF4"/>
    <w:rsid w:val="00F22216"/>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4F44"/>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1FE6"/>
    <w:rsid w:val="00F624A7"/>
    <w:rsid w:val="00F62AB6"/>
    <w:rsid w:val="00F6478E"/>
    <w:rsid w:val="00F65A3C"/>
    <w:rsid w:val="00F65BA3"/>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4C"/>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C3E"/>
    <w:rsid w:val="00FC7DAC"/>
    <w:rsid w:val="00FC7F00"/>
    <w:rsid w:val="00FD005D"/>
    <w:rsid w:val="00FD023A"/>
    <w:rsid w:val="00FD04AE"/>
    <w:rsid w:val="00FD0CCF"/>
    <w:rsid w:val="00FD0DFA"/>
    <w:rsid w:val="00FD128D"/>
    <w:rsid w:val="00FD1606"/>
    <w:rsid w:val="00FD1890"/>
    <w:rsid w:val="00FD1994"/>
    <w:rsid w:val="00FD29F3"/>
    <w:rsid w:val="00FD31DC"/>
    <w:rsid w:val="00FD3508"/>
    <w:rsid w:val="00FD393C"/>
    <w:rsid w:val="00FD3AFF"/>
    <w:rsid w:val="00FD4343"/>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5C"/>
    <w:rsid w:val="00FE76F9"/>
    <w:rsid w:val="00FE784E"/>
    <w:rsid w:val="00FF0050"/>
    <w:rsid w:val="00FF045F"/>
    <w:rsid w:val="00FF13D4"/>
    <w:rsid w:val="00FF1F26"/>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54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5158847">
      <w:bodyDiv w:val="1"/>
      <w:marLeft w:val="0"/>
      <w:marRight w:val="0"/>
      <w:marTop w:val="0"/>
      <w:marBottom w:val="0"/>
      <w:divBdr>
        <w:top w:val="none" w:sz="0" w:space="0" w:color="auto"/>
        <w:left w:val="none" w:sz="0" w:space="0" w:color="auto"/>
        <w:bottom w:val="none" w:sz="0" w:space="0" w:color="auto"/>
        <w:right w:val="none" w:sz="0" w:space="0" w:color="auto"/>
      </w:divBdr>
      <w:divsChild>
        <w:div w:id="14009837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249</TotalTime>
  <Pages>26</Pages>
  <Words>9242</Words>
  <Characters>50836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229</cp:revision>
  <cp:lastPrinted>2020-01-30T15:05:00Z</cp:lastPrinted>
  <dcterms:created xsi:type="dcterms:W3CDTF">2022-03-08T15:13:00Z</dcterms:created>
  <dcterms:modified xsi:type="dcterms:W3CDTF">2022-03-29T14:35:00Z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