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5F55" w14:textId="77777777" w:rsidR="00D73348" w:rsidRPr="00D22117" w:rsidRDefault="00DA2883">
      <w:pPr>
        <w:spacing w:after="0" w:line="240" w:lineRule="auto"/>
        <w:rPr>
          <w:rFonts w:ascii="Arial" w:eastAsia="Arial" w:hAnsi="Arial" w:cs="Arial"/>
          <w:b/>
          <w:sz w:val="20"/>
          <w:szCs w:val="20"/>
        </w:rPr>
      </w:pPr>
      <w:bookmarkStart w:id="0" w:name="_gjdgxs" w:colFirst="0" w:colLast="0"/>
      <w:bookmarkEnd w:id="0"/>
      <w:r w:rsidRPr="00D22117">
        <w:rPr>
          <w:rFonts w:ascii="Arial" w:eastAsia="Arial" w:hAnsi="Arial" w:cs="Arial"/>
          <w:b/>
          <w:sz w:val="20"/>
          <w:szCs w:val="20"/>
        </w:rPr>
        <w:t>LEY DE GARANTÍAS ELECTORALES – Finalidad</w:t>
      </w:r>
    </w:p>
    <w:p w14:paraId="146AF4B5" w14:textId="77777777" w:rsidR="00D73348" w:rsidRPr="00D22117" w:rsidRDefault="00D73348">
      <w:pPr>
        <w:spacing w:after="0" w:line="240" w:lineRule="auto"/>
        <w:rPr>
          <w:rFonts w:ascii="Arial" w:eastAsia="Arial" w:hAnsi="Arial" w:cs="Arial"/>
          <w:sz w:val="20"/>
          <w:szCs w:val="20"/>
        </w:rPr>
      </w:pPr>
    </w:p>
    <w:p w14:paraId="663A7967" w14:textId="770BD907" w:rsidR="00D73348" w:rsidRPr="00D22117" w:rsidRDefault="00D40E64">
      <w:pPr>
        <w:tabs>
          <w:tab w:val="left" w:pos="426"/>
        </w:tabs>
        <w:spacing w:after="0" w:line="240" w:lineRule="auto"/>
        <w:rPr>
          <w:rFonts w:ascii="Arial" w:eastAsia="Arial" w:hAnsi="Arial" w:cs="Arial"/>
          <w:sz w:val="20"/>
          <w:szCs w:val="20"/>
        </w:rPr>
      </w:pPr>
      <w:bookmarkStart w:id="1" w:name="_30j0zll" w:colFirst="0" w:colLast="0"/>
      <w:bookmarkEnd w:id="1"/>
      <w:r>
        <w:rPr>
          <w:rFonts w:ascii="Arial" w:eastAsia="Arial" w:hAnsi="Arial" w:cs="Arial"/>
          <w:sz w:val="20"/>
          <w:szCs w:val="20"/>
        </w:rPr>
        <w:t>L</w:t>
      </w:r>
      <w:r w:rsidR="00DA2883" w:rsidRPr="00D22117">
        <w:rPr>
          <w:rFonts w:ascii="Arial" w:eastAsia="Arial" w:hAnsi="Arial" w:cs="Arial"/>
          <w:sz w:val="20"/>
          <w:szCs w:val="20"/>
        </w:rPr>
        <w:t>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6C50405A" w14:textId="77777777" w:rsidR="00D73348" w:rsidRPr="00D22117" w:rsidRDefault="00D73348">
      <w:pPr>
        <w:tabs>
          <w:tab w:val="left" w:pos="426"/>
        </w:tabs>
        <w:spacing w:after="0" w:line="240" w:lineRule="auto"/>
        <w:rPr>
          <w:rFonts w:ascii="Arial" w:eastAsia="Arial" w:hAnsi="Arial" w:cs="Arial"/>
          <w:sz w:val="20"/>
          <w:szCs w:val="20"/>
        </w:rPr>
      </w:pPr>
      <w:bookmarkStart w:id="2" w:name="_1fob9te" w:colFirst="0" w:colLast="0"/>
      <w:bookmarkEnd w:id="2"/>
    </w:p>
    <w:p w14:paraId="1607C1A3" w14:textId="77777777" w:rsidR="00D73348" w:rsidRPr="00D22117" w:rsidRDefault="00DA2883">
      <w:pPr>
        <w:tabs>
          <w:tab w:val="left" w:pos="426"/>
        </w:tabs>
        <w:spacing w:after="0" w:line="240" w:lineRule="auto"/>
        <w:rPr>
          <w:rFonts w:ascii="Arial" w:eastAsia="Arial" w:hAnsi="Arial" w:cs="Arial"/>
          <w:b/>
          <w:sz w:val="20"/>
          <w:szCs w:val="20"/>
        </w:rPr>
      </w:pPr>
      <w:bookmarkStart w:id="3" w:name="_3znysh7" w:colFirst="0" w:colLast="0"/>
      <w:bookmarkStart w:id="4" w:name="_2et92p0" w:colFirst="0" w:colLast="0"/>
      <w:bookmarkEnd w:id="3"/>
      <w:bookmarkEnd w:id="4"/>
      <w:r w:rsidRPr="00D22117">
        <w:rPr>
          <w:rFonts w:ascii="Arial" w:eastAsia="Arial" w:hAnsi="Arial" w:cs="Arial"/>
          <w:b/>
          <w:sz w:val="20"/>
          <w:szCs w:val="20"/>
        </w:rPr>
        <w:t xml:space="preserve">LEY DE GARANTÍAS ELECTORALES ─ Prohibición ‒ Contratación directa ‒ Alcance </w:t>
      </w:r>
    </w:p>
    <w:p w14:paraId="429C4389" w14:textId="77777777" w:rsidR="00D73348" w:rsidRPr="00D22117" w:rsidRDefault="00D73348">
      <w:pPr>
        <w:tabs>
          <w:tab w:val="left" w:pos="426"/>
        </w:tabs>
        <w:spacing w:after="0" w:line="240" w:lineRule="auto"/>
        <w:rPr>
          <w:rFonts w:ascii="Arial" w:eastAsia="Arial" w:hAnsi="Arial" w:cs="Arial"/>
          <w:sz w:val="20"/>
          <w:szCs w:val="20"/>
        </w:rPr>
      </w:pPr>
    </w:p>
    <w:p w14:paraId="7FD7B6E2" w14:textId="19EB9D77" w:rsidR="00D73348" w:rsidRDefault="00DA2883">
      <w:pPr>
        <w:tabs>
          <w:tab w:val="left" w:pos="426"/>
        </w:tabs>
        <w:spacing w:after="0" w:line="240" w:lineRule="auto"/>
        <w:rPr>
          <w:rFonts w:ascii="Arial" w:eastAsia="Arial" w:hAnsi="Arial" w:cs="Arial"/>
          <w:sz w:val="20"/>
          <w:szCs w:val="20"/>
        </w:rPr>
      </w:pPr>
      <w:r w:rsidRPr="00D22117">
        <w:rPr>
          <w:rFonts w:ascii="Arial" w:eastAsia="Arial" w:hAnsi="Arial" w:cs="Arial"/>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7F04B00C" w14:textId="0DB68996" w:rsidR="00D40E64" w:rsidRDefault="00D40E64">
      <w:pPr>
        <w:tabs>
          <w:tab w:val="left" w:pos="426"/>
        </w:tabs>
        <w:spacing w:after="0" w:line="240" w:lineRule="auto"/>
        <w:rPr>
          <w:rFonts w:ascii="Arial" w:eastAsia="Arial" w:hAnsi="Arial" w:cs="Arial"/>
          <w:sz w:val="20"/>
          <w:szCs w:val="20"/>
        </w:rPr>
      </w:pPr>
    </w:p>
    <w:p w14:paraId="39DF424B" w14:textId="670C7E0A" w:rsidR="00D40E64" w:rsidRDefault="00D40E64" w:rsidP="00D40E64">
      <w:pPr>
        <w:tabs>
          <w:tab w:val="left" w:pos="426"/>
        </w:tabs>
        <w:spacing w:after="0" w:line="240" w:lineRule="auto"/>
        <w:rPr>
          <w:rFonts w:ascii="Arial" w:eastAsia="Arial" w:hAnsi="Arial" w:cs="Arial"/>
          <w:sz w:val="20"/>
          <w:szCs w:val="20"/>
        </w:rPr>
      </w:pPr>
      <w:r>
        <w:rPr>
          <w:rFonts w:ascii="Arial" w:eastAsia="Arial" w:hAnsi="Arial" w:cs="Arial"/>
          <w:sz w:val="20"/>
          <w:szCs w:val="20"/>
        </w:rPr>
        <w:t>[…]</w:t>
      </w:r>
      <w:r w:rsidRPr="00D40E64">
        <w:rPr>
          <w:rFonts w:ascii="Arial" w:eastAsia="Arial" w:hAnsi="Arial" w:cs="Arial"/>
          <w:sz w:val="20"/>
          <w:szCs w:val="20"/>
        </w:rPr>
        <w:t xml:space="preserve"> el artículo 33 de la Ley 996 de 20</w:t>
      </w:r>
      <w:r>
        <w:rPr>
          <w:rFonts w:ascii="Arial" w:eastAsia="Arial" w:hAnsi="Arial" w:cs="Arial"/>
          <w:sz w:val="20"/>
          <w:szCs w:val="20"/>
        </w:rPr>
        <w:t xml:space="preserve">05 prohíbe la modalidad de </w:t>
      </w:r>
      <w:r w:rsidRPr="00D40E64">
        <w:rPr>
          <w:rFonts w:ascii="Arial" w:eastAsia="Arial" w:hAnsi="Arial" w:cs="Arial"/>
          <w:sz w:val="20"/>
          <w:szCs w:val="20"/>
        </w:rPr>
        <w:t>contratación directa por parte de todos los entes del Estado durante los cuatro (4) meses anteriores a las elecciones presidenciales, salvo las e</w:t>
      </w:r>
      <w:r>
        <w:rPr>
          <w:rFonts w:ascii="Arial" w:eastAsia="Arial" w:hAnsi="Arial" w:cs="Arial"/>
          <w:sz w:val="20"/>
          <w:szCs w:val="20"/>
        </w:rPr>
        <w:t xml:space="preserve">xcepciones allí contempladas.  </w:t>
      </w:r>
      <w:r w:rsidRPr="00D40E64">
        <w:rPr>
          <w:rFonts w:ascii="Arial" w:eastAsia="Arial" w:hAnsi="Arial" w:cs="Arial"/>
          <w:sz w:val="20"/>
          <w:szCs w:val="20"/>
        </w:rPr>
        <w:t>Esto implica que, durante este lapso, ningún ente del Estado pueda realizar la selección de contratistas mediante la modalidad de contratación directa regulada en el numeral 4 del artículo 2 de la Ley 1150 de 2007 que contempla actualmente once causales, o, en el caso de los entes estatales exceptuados del Estatuto General de Contratación de la Administración Pública, no podrán adelantar la contratación directa estipulada en sus manuales de contratación.</w:t>
      </w:r>
    </w:p>
    <w:p w14:paraId="44FF0360" w14:textId="77777777" w:rsidR="00D40E64" w:rsidRDefault="00D40E64" w:rsidP="00D40E64">
      <w:pPr>
        <w:tabs>
          <w:tab w:val="left" w:pos="426"/>
        </w:tabs>
        <w:spacing w:after="0" w:line="240" w:lineRule="auto"/>
        <w:rPr>
          <w:rFonts w:ascii="Arial" w:eastAsia="Arial" w:hAnsi="Arial" w:cs="Arial"/>
          <w:sz w:val="20"/>
          <w:szCs w:val="20"/>
        </w:rPr>
      </w:pPr>
    </w:p>
    <w:p w14:paraId="1EB2634C" w14:textId="629074E2" w:rsidR="00D73348" w:rsidRDefault="00DA2883">
      <w:pPr>
        <w:spacing w:after="0" w:line="240" w:lineRule="auto"/>
        <w:rPr>
          <w:rFonts w:ascii="Arial" w:eastAsia="Arial" w:hAnsi="Arial" w:cs="Arial"/>
          <w:b/>
          <w:sz w:val="20"/>
          <w:szCs w:val="20"/>
        </w:rPr>
      </w:pPr>
      <w:bookmarkStart w:id="5" w:name="_tyjcwt" w:colFirst="0" w:colLast="0"/>
      <w:bookmarkStart w:id="6" w:name="_3dy6vkm" w:colFirst="0" w:colLast="0"/>
      <w:bookmarkEnd w:id="5"/>
      <w:bookmarkEnd w:id="6"/>
      <w:r w:rsidRPr="00D22117">
        <w:rPr>
          <w:rFonts w:ascii="Arial" w:eastAsia="Arial" w:hAnsi="Arial" w:cs="Arial"/>
          <w:b/>
          <w:sz w:val="20"/>
          <w:szCs w:val="20"/>
        </w:rPr>
        <w:t>LEY DE GARANTÍAS ELECTORALES ‒ Proh</w:t>
      </w:r>
      <w:r w:rsidR="00D40E64">
        <w:rPr>
          <w:rFonts w:ascii="Arial" w:eastAsia="Arial" w:hAnsi="Arial" w:cs="Arial"/>
          <w:b/>
          <w:sz w:val="20"/>
          <w:szCs w:val="20"/>
        </w:rPr>
        <w:t>ibición del artículo 38</w:t>
      </w:r>
      <w:r w:rsidRPr="00D22117">
        <w:rPr>
          <w:rFonts w:ascii="Arial" w:eastAsia="Arial" w:hAnsi="Arial" w:cs="Arial"/>
          <w:b/>
          <w:sz w:val="20"/>
          <w:szCs w:val="20"/>
        </w:rPr>
        <w:t xml:space="preserve"> de la Ley de garantías ‒ Destinatarios</w:t>
      </w:r>
    </w:p>
    <w:p w14:paraId="756FF270" w14:textId="5E92F936" w:rsidR="00D40E64" w:rsidRDefault="00D40E64">
      <w:pPr>
        <w:spacing w:after="0" w:line="240" w:lineRule="auto"/>
        <w:rPr>
          <w:rFonts w:ascii="Arial" w:eastAsia="Arial" w:hAnsi="Arial" w:cs="Arial"/>
          <w:b/>
          <w:sz w:val="20"/>
          <w:szCs w:val="20"/>
        </w:rPr>
      </w:pPr>
    </w:p>
    <w:p w14:paraId="73EB1E90" w14:textId="74436D09" w:rsidR="00D40E64" w:rsidRDefault="00D40E64" w:rsidP="00D40E64">
      <w:pPr>
        <w:tabs>
          <w:tab w:val="left" w:pos="426"/>
        </w:tabs>
        <w:spacing w:after="0" w:line="240" w:lineRule="auto"/>
        <w:rPr>
          <w:rFonts w:ascii="Arial" w:eastAsia="Arial" w:hAnsi="Arial" w:cs="Arial"/>
          <w:sz w:val="20"/>
          <w:szCs w:val="20"/>
        </w:rPr>
      </w:pPr>
      <w:r>
        <w:rPr>
          <w:rFonts w:ascii="Arial" w:eastAsia="Arial" w:hAnsi="Arial" w:cs="Arial"/>
          <w:sz w:val="20"/>
          <w:szCs w:val="20"/>
        </w:rPr>
        <w:t xml:space="preserve">[…] </w:t>
      </w:r>
      <w:r w:rsidRPr="00D40E64">
        <w:rPr>
          <w:rFonts w:ascii="Arial" w:eastAsia="Arial" w:hAnsi="Arial" w:cs="Arial"/>
          <w:sz w:val="20"/>
          <w:szCs w:val="20"/>
        </w:rPr>
        <w:t>el parágrafo del artículo 38 de la Ley 996 de 2005 prevé una restricción aplicable respecto de cualquier tipo de contienda electoral, incluidas las elecciones presidenciales, que prohíbe a los gobernadores, alcaldes municipales o distritales, secretarios, gerentes y directores de entidades descentralizadas del orden municipal, departamental o distrital celebrar convenios interadministrativos para la ejecución de recursos públicos dentro de los cuatro (4) meses anteriores a la respectiva jornada de votaciones .</w:t>
      </w:r>
    </w:p>
    <w:p w14:paraId="476F718C" w14:textId="77777777" w:rsidR="00D40E64" w:rsidRPr="00D22117" w:rsidRDefault="00D40E64" w:rsidP="00D40E64">
      <w:pPr>
        <w:spacing w:after="0" w:line="240" w:lineRule="auto"/>
        <w:rPr>
          <w:rFonts w:ascii="Arial" w:eastAsia="Arial" w:hAnsi="Arial" w:cs="Arial"/>
          <w:b/>
          <w:sz w:val="20"/>
          <w:szCs w:val="20"/>
        </w:rPr>
      </w:pPr>
    </w:p>
    <w:p w14:paraId="43B9FD7A" w14:textId="4C5F885B" w:rsidR="00D73348" w:rsidRPr="00D22117" w:rsidRDefault="00D40E64" w:rsidP="00D40E64">
      <w:pPr>
        <w:tabs>
          <w:tab w:val="left" w:pos="426"/>
        </w:tabs>
        <w:spacing w:after="0" w:line="240" w:lineRule="auto"/>
        <w:rPr>
          <w:rFonts w:ascii="Arial" w:eastAsia="Arial" w:hAnsi="Arial" w:cs="Arial"/>
          <w:b/>
          <w:sz w:val="20"/>
          <w:szCs w:val="20"/>
        </w:rPr>
      </w:pPr>
      <w:r>
        <w:rPr>
          <w:rFonts w:ascii="Arial" w:eastAsia="Arial" w:hAnsi="Arial" w:cs="Arial"/>
          <w:b/>
          <w:sz w:val="20"/>
          <w:szCs w:val="20"/>
        </w:rPr>
        <w:t xml:space="preserve">LEY DE GARANTÍAS ELECTORALES </w:t>
      </w:r>
      <w:r w:rsidR="00060AA0">
        <w:rPr>
          <w:rFonts w:ascii="Arial" w:eastAsia="Arial" w:hAnsi="Arial" w:cs="Arial"/>
          <w:b/>
          <w:sz w:val="20"/>
          <w:szCs w:val="20"/>
        </w:rPr>
        <w:t>– Convenios o</w:t>
      </w:r>
      <w:r w:rsidR="00DA2883" w:rsidRPr="00D22117">
        <w:rPr>
          <w:rFonts w:ascii="Arial" w:eastAsia="Arial" w:hAnsi="Arial" w:cs="Arial"/>
          <w:b/>
          <w:sz w:val="20"/>
          <w:szCs w:val="20"/>
        </w:rPr>
        <w:t xml:space="preserve"> contratos interadministrativos</w:t>
      </w:r>
      <w:r w:rsidRPr="00D22117">
        <w:rPr>
          <w:rFonts w:ascii="Arial" w:eastAsia="Arial" w:hAnsi="Arial" w:cs="Arial"/>
          <w:b/>
          <w:color w:val="000000"/>
          <w:sz w:val="20"/>
          <w:szCs w:val="20"/>
        </w:rPr>
        <w:t>– Criterio orgánico</w:t>
      </w:r>
    </w:p>
    <w:p w14:paraId="513E1413" w14:textId="77777777" w:rsidR="00D73348" w:rsidRPr="00D22117" w:rsidRDefault="00D73348">
      <w:pPr>
        <w:tabs>
          <w:tab w:val="left" w:pos="426"/>
        </w:tabs>
        <w:spacing w:after="0" w:line="240" w:lineRule="auto"/>
        <w:rPr>
          <w:rFonts w:ascii="Arial" w:eastAsia="Arial" w:hAnsi="Arial" w:cs="Arial"/>
          <w:sz w:val="20"/>
          <w:szCs w:val="20"/>
        </w:rPr>
      </w:pPr>
    </w:p>
    <w:p w14:paraId="5595062D" w14:textId="77777777" w:rsidR="00D73348" w:rsidRPr="00D22117" w:rsidRDefault="00DA2883">
      <w:pPr>
        <w:tabs>
          <w:tab w:val="left" w:pos="426"/>
        </w:tabs>
        <w:spacing w:after="0" w:line="240" w:lineRule="auto"/>
        <w:rPr>
          <w:rFonts w:ascii="Arial" w:eastAsia="Arial" w:hAnsi="Arial" w:cs="Arial"/>
          <w:sz w:val="20"/>
          <w:szCs w:val="20"/>
        </w:rPr>
      </w:pPr>
      <w:r w:rsidRPr="00D22117">
        <w:rPr>
          <w:rFonts w:ascii="Arial" w:eastAsia="Arial"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50DD0715" w14:textId="77777777" w:rsidR="00D73348" w:rsidRPr="00D22117" w:rsidRDefault="00D73348">
      <w:pPr>
        <w:spacing w:after="0" w:line="240" w:lineRule="auto"/>
        <w:rPr>
          <w:rFonts w:ascii="Arial" w:eastAsia="Arial" w:hAnsi="Arial" w:cs="Arial"/>
          <w:color w:val="000000"/>
          <w:sz w:val="20"/>
          <w:szCs w:val="20"/>
        </w:rPr>
      </w:pPr>
    </w:p>
    <w:p w14:paraId="4A657FD4" w14:textId="77777777" w:rsidR="00D73348" w:rsidRPr="00D22117" w:rsidRDefault="00DA2883">
      <w:pPr>
        <w:spacing w:after="0" w:line="240" w:lineRule="auto"/>
        <w:rPr>
          <w:rFonts w:ascii="Arial" w:eastAsia="Arial" w:hAnsi="Arial" w:cs="Arial"/>
          <w:color w:val="000000"/>
          <w:sz w:val="20"/>
          <w:szCs w:val="20"/>
        </w:rPr>
      </w:pPr>
      <w:r w:rsidRPr="00D22117">
        <w:rPr>
          <w:rFonts w:ascii="Arial" w:eastAsia="Arial" w:hAnsi="Arial" w:cs="Arial"/>
          <w:color w:val="000000"/>
          <w:sz w:val="20"/>
          <w:szCs w:val="20"/>
        </w:rPr>
        <w:lastRenderedPageBreak/>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32E5C1A2" w14:textId="77777777" w:rsidR="00D73348" w:rsidRPr="00D22117" w:rsidRDefault="00D73348">
      <w:pPr>
        <w:spacing w:after="0" w:line="240" w:lineRule="auto"/>
        <w:rPr>
          <w:rFonts w:ascii="Arial" w:eastAsia="Arial" w:hAnsi="Arial" w:cs="Arial"/>
          <w:color w:val="000000"/>
          <w:sz w:val="20"/>
          <w:szCs w:val="20"/>
        </w:rPr>
      </w:pPr>
    </w:p>
    <w:p w14:paraId="3342209F" w14:textId="46D4B936" w:rsidR="00D73348" w:rsidRPr="00D22117" w:rsidRDefault="00060AA0">
      <w:pPr>
        <w:spacing w:after="0" w:line="240" w:lineRule="auto"/>
        <w:rPr>
          <w:rFonts w:ascii="Arial" w:eastAsia="Arial" w:hAnsi="Arial" w:cs="Arial"/>
          <w:b/>
          <w:color w:val="000000"/>
          <w:sz w:val="20"/>
          <w:szCs w:val="20"/>
        </w:rPr>
      </w:pPr>
      <w:bookmarkStart w:id="7" w:name="_1t3h5sf" w:colFirst="0" w:colLast="0"/>
      <w:bookmarkEnd w:id="7"/>
      <w:r>
        <w:rPr>
          <w:rFonts w:ascii="Arial" w:eastAsia="Arial" w:hAnsi="Arial" w:cs="Arial"/>
          <w:b/>
          <w:color w:val="000000"/>
          <w:sz w:val="20"/>
          <w:szCs w:val="20"/>
        </w:rPr>
        <w:t xml:space="preserve">CONTRATOS O </w:t>
      </w:r>
      <w:r w:rsidR="00DA2883" w:rsidRPr="00D22117">
        <w:rPr>
          <w:rFonts w:ascii="Arial" w:eastAsia="Arial" w:hAnsi="Arial" w:cs="Arial"/>
          <w:b/>
          <w:color w:val="000000"/>
          <w:sz w:val="20"/>
          <w:szCs w:val="20"/>
        </w:rPr>
        <w:t>CONVENIOS INTERADMINISTRATIVOS – Entidades con régimen especial de contratación – Procedencia</w:t>
      </w:r>
    </w:p>
    <w:p w14:paraId="0AEA3328" w14:textId="77777777" w:rsidR="00D73348" w:rsidRPr="00D22117" w:rsidRDefault="00D73348">
      <w:pPr>
        <w:spacing w:after="0" w:line="240" w:lineRule="auto"/>
        <w:rPr>
          <w:rFonts w:ascii="Arial" w:eastAsia="Arial" w:hAnsi="Arial" w:cs="Arial"/>
          <w:color w:val="000000"/>
          <w:sz w:val="20"/>
          <w:szCs w:val="20"/>
        </w:rPr>
      </w:pPr>
    </w:p>
    <w:p w14:paraId="55B92C45" w14:textId="77777777" w:rsidR="00D73348" w:rsidRPr="00D22117" w:rsidRDefault="00DA2883">
      <w:pPr>
        <w:tabs>
          <w:tab w:val="left" w:pos="426"/>
        </w:tabs>
        <w:spacing w:after="0" w:line="240" w:lineRule="auto"/>
        <w:rPr>
          <w:rFonts w:ascii="Arial" w:eastAsia="Arial" w:hAnsi="Arial" w:cs="Arial"/>
          <w:sz w:val="20"/>
          <w:szCs w:val="20"/>
        </w:rPr>
      </w:pPr>
      <w:r w:rsidRPr="00D22117">
        <w:rPr>
          <w:rFonts w:ascii="Arial" w:eastAsia="Arial" w:hAnsi="Arial" w:cs="Arial"/>
          <w:color w:val="000000"/>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3BE42962" w14:textId="77777777" w:rsidR="00D73348" w:rsidRPr="00D22117" w:rsidRDefault="00D73348">
      <w:pPr>
        <w:spacing w:after="0" w:line="240" w:lineRule="auto"/>
        <w:rPr>
          <w:rFonts w:ascii="Arial" w:eastAsia="Arial" w:hAnsi="Arial" w:cs="Arial"/>
          <w:b/>
          <w:color w:val="000000"/>
          <w:sz w:val="20"/>
          <w:szCs w:val="20"/>
        </w:rPr>
      </w:pPr>
    </w:p>
    <w:p w14:paraId="0FB3D0AF" w14:textId="576ACE8F" w:rsidR="000627C0" w:rsidRPr="00D22117" w:rsidRDefault="000627C0">
      <w:pPr>
        <w:spacing w:after="0" w:line="240" w:lineRule="auto"/>
        <w:rPr>
          <w:rFonts w:ascii="Arial" w:eastAsia="Arial" w:hAnsi="Arial" w:cs="Arial"/>
          <w:b/>
          <w:sz w:val="20"/>
          <w:szCs w:val="20"/>
        </w:rPr>
      </w:pPr>
      <w:bookmarkStart w:id="8" w:name="_4d34og8" w:colFirst="0" w:colLast="0"/>
      <w:bookmarkEnd w:id="8"/>
      <w:r w:rsidRPr="00D22117">
        <w:rPr>
          <w:rFonts w:ascii="Arial" w:eastAsia="Arial" w:hAnsi="Arial" w:cs="Arial"/>
          <w:b/>
          <w:sz w:val="20"/>
          <w:szCs w:val="20"/>
        </w:rPr>
        <w:t xml:space="preserve">LEY DE GARANTÍAS </w:t>
      </w:r>
      <w:r w:rsidR="00660657" w:rsidRPr="00D22117">
        <w:rPr>
          <w:rFonts w:ascii="Arial" w:eastAsia="Arial" w:hAnsi="Arial" w:cs="Arial"/>
          <w:b/>
          <w:sz w:val="20"/>
          <w:szCs w:val="20"/>
        </w:rPr>
        <w:t>ELECTORALES -</w:t>
      </w:r>
      <w:r w:rsidRPr="00D22117">
        <w:rPr>
          <w:rFonts w:ascii="Arial" w:eastAsia="Arial" w:hAnsi="Arial" w:cs="Arial"/>
          <w:b/>
          <w:sz w:val="20"/>
          <w:szCs w:val="20"/>
        </w:rPr>
        <w:t xml:space="preserve"> Prohibición </w:t>
      </w:r>
      <w:r w:rsidR="00D22117" w:rsidRPr="00D22117">
        <w:rPr>
          <w:rFonts w:ascii="Arial" w:eastAsia="Arial" w:hAnsi="Arial" w:cs="Arial"/>
          <w:b/>
          <w:sz w:val="20"/>
          <w:szCs w:val="20"/>
        </w:rPr>
        <w:t>–</w:t>
      </w:r>
      <w:r w:rsidRPr="00D22117">
        <w:rPr>
          <w:rFonts w:ascii="Arial" w:eastAsia="Arial" w:hAnsi="Arial" w:cs="Arial"/>
          <w:b/>
          <w:sz w:val="20"/>
          <w:szCs w:val="20"/>
        </w:rPr>
        <w:t xml:space="preserve"> Celebrac</w:t>
      </w:r>
      <w:r w:rsidR="00D22117" w:rsidRPr="00D22117">
        <w:rPr>
          <w:rFonts w:ascii="Arial" w:eastAsia="Arial" w:hAnsi="Arial" w:cs="Arial"/>
          <w:b/>
          <w:sz w:val="20"/>
          <w:szCs w:val="20"/>
        </w:rPr>
        <w:t>ión de convenios o contratos interadministr</w:t>
      </w:r>
      <w:r w:rsidR="00D8785D">
        <w:rPr>
          <w:rFonts w:ascii="Arial" w:eastAsia="Arial" w:hAnsi="Arial" w:cs="Arial"/>
          <w:b/>
          <w:sz w:val="20"/>
          <w:szCs w:val="20"/>
        </w:rPr>
        <w:t xml:space="preserve">ativos – Contrato de donación </w:t>
      </w:r>
    </w:p>
    <w:p w14:paraId="3E945675" w14:textId="77777777" w:rsidR="000627C0" w:rsidRPr="00D22117" w:rsidRDefault="000627C0">
      <w:pPr>
        <w:spacing w:after="0" w:line="240" w:lineRule="auto"/>
        <w:rPr>
          <w:rFonts w:ascii="Arial" w:eastAsia="Arial" w:hAnsi="Arial" w:cs="Arial"/>
          <w:b/>
          <w:sz w:val="20"/>
          <w:szCs w:val="20"/>
        </w:rPr>
      </w:pPr>
    </w:p>
    <w:p w14:paraId="4E0583EC" w14:textId="2817DD97" w:rsidR="00D8785D" w:rsidRDefault="00D22117" w:rsidP="00D22117">
      <w:pPr>
        <w:widowControl w:val="0"/>
        <w:spacing w:after="120" w:line="240" w:lineRule="auto"/>
        <w:rPr>
          <w:rFonts w:ascii="Arial" w:eastAsia="Arial" w:hAnsi="Arial" w:cs="Arial"/>
          <w:color w:val="000000"/>
          <w:sz w:val="20"/>
          <w:szCs w:val="20"/>
        </w:rPr>
      </w:pPr>
      <w:r w:rsidRPr="00D22117">
        <w:rPr>
          <w:rFonts w:ascii="Arial" w:eastAsia="Arial" w:hAnsi="Arial" w:cs="Arial"/>
          <w:color w:val="000000"/>
          <w:sz w:val="20"/>
          <w:szCs w:val="20"/>
        </w:rPr>
        <w:t xml:space="preserve">[…] </w:t>
      </w:r>
      <w:r w:rsidR="007B6327" w:rsidRPr="007B6327">
        <w:rPr>
          <w:rFonts w:ascii="Arial" w:eastAsia="Arial" w:hAnsi="Arial" w:cs="Arial"/>
          <w:color w:val="000000"/>
          <w:sz w:val="20"/>
          <w:szCs w:val="20"/>
        </w:rPr>
        <w:t>la celebración de un contrato de donación se constituye como un verdadero acto traslaticio del dominio , y en consecuencia, como la expresión «ejecución de recursos públicos» del parágrafo del artículo 38 de la Ley 996 de 2005 no solo se entiende a los recursos que integran el ciclo presupuestal de la entidad, sino también los bienes fiscales de los que puede disponer la entidad que se entregan a título gratuito, dicho acto se encuentra restringido durante la ley de garantías, porque con ello podría influenciarse la intención de voto de quien recibe el bien.</w:t>
      </w:r>
      <w:r w:rsidR="000627C0" w:rsidRPr="00D22117">
        <w:rPr>
          <w:rFonts w:ascii="Arial" w:eastAsia="Arial" w:hAnsi="Arial" w:cs="Arial"/>
          <w:color w:val="000000"/>
          <w:sz w:val="20"/>
          <w:szCs w:val="20"/>
        </w:rPr>
        <w:t xml:space="preserve"> </w:t>
      </w:r>
    </w:p>
    <w:p w14:paraId="715A39D5" w14:textId="77777777" w:rsidR="008A1E76" w:rsidRDefault="008A1E76"/>
    <w:p w14:paraId="513B6D8D" w14:textId="77777777" w:rsidR="00B24711" w:rsidRDefault="00B24711" w:rsidP="00D733F7">
      <w:pPr>
        <w:widowControl w:val="0"/>
        <w:spacing w:after="120"/>
        <w:ind w:firstLine="720"/>
      </w:pPr>
    </w:p>
    <w:p w14:paraId="2FA74352" w14:textId="77777777" w:rsidR="00B24711" w:rsidRDefault="00B24711" w:rsidP="00D733F7">
      <w:pPr>
        <w:widowControl w:val="0"/>
        <w:spacing w:after="120"/>
        <w:ind w:firstLine="720"/>
      </w:pPr>
    </w:p>
    <w:p w14:paraId="36CA68CC" w14:textId="77777777" w:rsidR="00B24711" w:rsidRDefault="00B24711" w:rsidP="00D733F7">
      <w:pPr>
        <w:widowControl w:val="0"/>
        <w:spacing w:after="120"/>
        <w:ind w:firstLine="720"/>
      </w:pPr>
    </w:p>
    <w:p w14:paraId="0700879B" w14:textId="77777777" w:rsidR="00B24711" w:rsidRDefault="00B24711" w:rsidP="00D733F7">
      <w:pPr>
        <w:widowControl w:val="0"/>
        <w:spacing w:after="120"/>
        <w:ind w:firstLine="720"/>
      </w:pPr>
    </w:p>
    <w:p w14:paraId="1989B7D2" w14:textId="77777777" w:rsidR="00B24711" w:rsidRDefault="00B24711" w:rsidP="00D733F7">
      <w:pPr>
        <w:widowControl w:val="0"/>
        <w:spacing w:after="120"/>
        <w:ind w:firstLine="720"/>
      </w:pPr>
    </w:p>
    <w:p w14:paraId="3FE734DB" w14:textId="77777777" w:rsidR="00B24711" w:rsidRDefault="00B24711" w:rsidP="00D733F7">
      <w:pPr>
        <w:widowControl w:val="0"/>
        <w:spacing w:after="120"/>
        <w:ind w:firstLine="720"/>
      </w:pPr>
    </w:p>
    <w:p w14:paraId="2157F583" w14:textId="77777777" w:rsidR="00B24711" w:rsidRDefault="00B24711" w:rsidP="00D733F7">
      <w:pPr>
        <w:widowControl w:val="0"/>
        <w:spacing w:after="120"/>
        <w:ind w:firstLine="720"/>
      </w:pPr>
    </w:p>
    <w:p w14:paraId="5BBA67F5" w14:textId="77777777" w:rsidR="00B24711" w:rsidRDefault="00B24711" w:rsidP="00D733F7">
      <w:pPr>
        <w:widowControl w:val="0"/>
        <w:spacing w:after="120"/>
        <w:ind w:firstLine="720"/>
      </w:pPr>
    </w:p>
    <w:p w14:paraId="2430BDC0" w14:textId="13841171" w:rsidR="00697DB3" w:rsidRDefault="00697DB3" w:rsidP="004B0F6F">
      <w:pPr>
        <w:widowControl w:val="0"/>
        <w:spacing w:after="120"/>
        <w:rPr>
          <w:rFonts w:ascii="Arial" w:hAnsi="Arial" w:cs="Arial"/>
          <w:sz w:val="22"/>
        </w:rPr>
      </w:pPr>
      <w:r w:rsidRPr="004B0F6F">
        <w:rPr>
          <w:rFonts w:ascii="Arial" w:hAnsi="Arial" w:cs="Arial"/>
          <w:b/>
          <w:noProof/>
          <w:sz w:val="22"/>
        </w:rPr>
        <w:lastRenderedPageBreak/>
        <w:drawing>
          <wp:anchor distT="0" distB="0" distL="114300" distR="114300" simplePos="0" relativeHeight="251659264" behindDoc="1" locked="0" layoutInCell="1" allowOverlap="1" wp14:anchorId="490BE0B5" wp14:editId="170E8146">
            <wp:simplePos x="0" y="0"/>
            <wp:positionH relativeFrom="column">
              <wp:posOffset>3444240</wp:posOffset>
            </wp:positionH>
            <wp:positionV relativeFrom="paragraph">
              <wp:posOffset>-1125220</wp:posOffset>
            </wp:positionV>
            <wp:extent cx="2667000" cy="1143000"/>
            <wp:effectExtent l="0" t="0" r="0" b="0"/>
            <wp:wrapNone/>
            <wp:docPr id="3" name="Imagen 3"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ódigo QR&#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667000" cy="1143000"/>
                    </a:xfrm>
                    <a:prstGeom prst="rect">
                      <a:avLst/>
                    </a:prstGeom>
                  </pic:spPr>
                </pic:pic>
              </a:graphicData>
            </a:graphic>
          </wp:anchor>
        </w:drawing>
      </w:r>
    </w:p>
    <w:p w14:paraId="12777168" w14:textId="77777777" w:rsidR="00697DB3" w:rsidRDefault="00697DB3" w:rsidP="004B0F6F">
      <w:pPr>
        <w:widowControl w:val="0"/>
        <w:spacing w:after="120"/>
        <w:rPr>
          <w:rFonts w:ascii="ArialMT" w:hAnsi="ArialMT" w:cs="ArialMT"/>
          <w:color w:val="4E4D4D"/>
          <w:sz w:val="22"/>
          <w:szCs w:val="22"/>
          <w:lang w:val="es-CO"/>
        </w:rPr>
      </w:pPr>
      <w:r>
        <w:rPr>
          <w:rFonts w:ascii="ArialMT" w:hAnsi="ArialMT" w:cs="ArialMT"/>
          <w:color w:val="4E4D4D"/>
          <w:sz w:val="22"/>
          <w:szCs w:val="22"/>
          <w:lang w:val="es-CO"/>
        </w:rPr>
        <w:t>Bogotá, 07 Marzo 2022</w:t>
      </w:r>
    </w:p>
    <w:p w14:paraId="21638712" w14:textId="005686A1" w:rsidR="00E37156" w:rsidRDefault="00E37156" w:rsidP="004B0F6F">
      <w:pPr>
        <w:widowControl w:val="0"/>
        <w:spacing w:after="120"/>
        <w:rPr>
          <w:rFonts w:ascii="Arial" w:hAnsi="Arial" w:cs="Arial"/>
          <w:b/>
          <w:sz w:val="22"/>
        </w:rPr>
      </w:pPr>
      <w:r>
        <w:rPr>
          <w:rFonts w:ascii="Arial" w:hAnsi="Arial" w:cs="Arial"/>
          <w:b/>
          <w:sz w:val="22"/>
        </w:rPr>
        <w:t xml:space="preserve">               </w:t>
      </w:r>
    </w:p>
    <w:p w14:paraId="4F5CAECE" w14:textId="016151DB" w:rsidR="00D73348" w:rsidRPr="00660657" w:rsidRDefault="00660657">
      <w:pPr>
        <w:spacing w:after="0"/>
        <w:rPr>
          <w:rFonts w:ascii="Arial" w:eastAsia="Arial" w:hAnsi="Arial" w:cs="Arial"/>
        </w:rPr>
      </w:pPr>
      <w:r w:rsidRPr="00660657">
        <w:rPr>
          <w:rFonts w:ascii="Arial" w:eastAsia="Arial" w:hAnsi="Arial" w:cs="Arial"/>
          <w:sz w:val="22"/>
          <w:szCs w:val="22"/>
        </w:rPr>
        <w:t>Señor</w:t>
      </w:r>
    </w:p>
    <w:p w14:paraId="31AAF44C" w14:textId="5BAE3075" w:rsidR="00D73348" w:rsidRPr="00660657" w:rsidRDefault="00660657">
      <w:pPr>
        <w:spacing w:after="0"/>
        <w:rPr>
          <w:rFonts w:ascii="Arial" w:eastAsia="Arial" w:hAnsi="Arial" w:cs="Arial"/>
          <w:b/>
          <w:sz w:val="22"/>
          <w:szCs w:val="22"/>
        </w:rPr>
      </w:pPr>
      <w:r w:rsidRPr="00660657">
        <w:rPr>
          <w:rFonts w:ascii="Arial" w:eastAsia="Arial" w:hAnsi="Arial" w:cs="Arial"/>
          <w:b/>
          <w:sz w:val="22"/>
          <w:szCs w:val="22"/>
        </w:rPr>
        <w:t>Marlon Augusto Cabrera Daza</w:t>
      </w:r>
    </w:p>
    <w:p w14:paraId="066ACAD3" w14:textId="4E2D28B2" w:rsidR="00D73348" w:rsidRPr="00D22117" w:rsidRDefault="00660657">
      <w:pPr>
        <w:spacing w:after="0"/>
        <w:rPr>
          <w:rFonts w:ascii="Arial" w:eastAsia="Arial" w:hAnsi="Arial" w:cs="Arial"/>
          <w:sz w:val="22"/>
          <w:szCs w:val="22"/>
        </w:rPr>
      </w:pPr>
      <w:r w:rsidRPr="00660657">
        <w:rPr>
          <w:rFonts w:ascii="Arial" w:eastAsia="Arial" w:hAnsi="Arial" w:cs="Arial"/>
          <w:sz w:val="22"/>
          <w:szCs w:val="22"/>
        </w:rPr>
        <w:t>marloncabrera76</w:t>
      </w:r>
      <w:r w:rsidR="00DA2883" w:rsidRPr="00660657">
        <w:rPr>
          <w:rFonts w:ascii="Arial" w:eastAsia="Arial" w:hAnsi="Arial" w:cs="Arial"/>
          <w:sz w:val="22"/>
          <w:szCs w:val="22"/>
        </w:rPr>
        <w:t>@hotmail.com</w:t>
      </w:r>
      <w:r w:rsidR="00DA2883" w:rsidRPr="00D22117">
        <w:rPr>
          <w:rFonts w:ascii="Arial" w:eastAsia="Arial" w:hAnsi="Arial" w:cs="Arial"/>
          <w:sz w:val="22"/>
          <w:szCs w:val="22"/>
        </w:rPr>
        <w:t xml:space="preserve"> </w:t>
      </w:r>
    </w:p>
    <w:p w14:paraId="49F3B181" w14:textId="77777777" w:rsidR="00D73348" w:rsidRPr="00D22117" w:rsidRDefault="00D73348">
      <w:pPr>
        <w:spacing w:after="0"/>
        <w:rPr>
          <w:rFonts w:ascii="Arial" w:eastAsia="Arial" w:hAnsi="Arial" w:cs="Arial"/>
        </w:rPr>
      </w:pPr>
    </w:p>
    <w:p w14:paraId="24ED8C30" w14:textId="77777777" w:rsidR="00D73348" w:rsidRPr="00D22117" w:rsidRDefault="00D73348">
      <w:pPr>
        <w:spacing w:after="0"/>
        <w:rPr>
          <w:rFonts w:ascii="Arial" w:eastAsia="Arial" w:hAnsi="Arial" w:cs="Arial"/>
        </w:rPr>
      </w:pPr>
    </w:p>
    <w:p w14:paraId="4827DD9C" w14:textId="77777777" w:rsidR="00D73348" w:rsidRPr="00D22117" w:rsidRDefault="00D73348">
      <w:pPr>
        <w:spacing w:after="0"/>
        <w:rPr>
          <w:rFonts w:ascii="Arial" w:eastAsia="Arial" w:hAnsi="Arial" w:cs="Arial"/>
        </w:rPr>
      </w:pPr>
    </w:p>
    <w:p w14:paraId="3C6D9126" w14:textId="61DFAAA2" w:rsidR="00D73348" w:rsidRPr="00D22117" w:rsidRDefault="00DA2883">
      <w:pPr>
        <w:spacing w:after="0"/>
        <w:rPr>
          <w:rFonts w:ascii="Arial" w:eastAsia="Arial" w:hAnsi="Arial" w:cs="Arial"/>
        </w:rPr>
      </w:pPr>
      <w:r w:rsidRPr="00D22117">
        <w:rPr>
          <w:rFonts w:ascii="Arial" w:eastAsia="Arial" w:hAnsi="Arial" w:cs="Arial"/>
          <w:sz w:val="22"/>
          <w:szCs w:val="22"/>
        </w:rPr>
        <w:t xml:space="preserve">                                            </w:t>
      </w:r>
      <w:r w:rsidRPr="00D22117">
        <w:rPr>
          <w:rFonts w:ascii="Arial" w:eastAsia="Arial" w:hAnsi="Arial" w:cs="Arial"/>
          <w:b/>
          <w:sz w:val="22"/>
          <w:szCs w:val="22"/>
        </w:rPr>
        <w:t xml:space="preserve">Concepto C </w:t>
      </w:r>
      <w:r w:rsidRPr="00DF3166">
        <w:rPr>
          <w:rFonts w:ascii="Arial" w:eastAsia="Arial" w:hAnsi="Arial" w:cs="Arial"/>
          <w:b/>
          <w:sz w:val="22"/>
          <w:szCs w:val="22"/>
        </w:rPr>
        <w:t xml:space="preserve">– </w:t>
      </w:r>
      <w:r w:rsidR="00DF3166" w:rsidRPr="00DF3166">
        <w:rPr>
          <w:rFonts w:ascii="Arial" w:eastAsia="Arial" w:hAnsi="Arial" w:cs="Arial"/>
          <w:b/>
          <w:sz w:val="22"/>
          <w:szCs w:val="22"/>
        </w:rPr>
        <w:t>05</w:t>
      </w:r>
      <w:r w:rsidRPr="00DF3166">
        <w:rPr>
          <w:rFonts w:ascii="Arial" w:eastAsia="Arial" w:hAnsi="Arial" w:cs="Arial"/>
          <w:b/>
          <w:sz w:val="22"/>
          <w:szCs w:val="22"/>
        </w:rPr>
        <w:t>5</w:t>
      </w:r>
      <w:r w:rsidRPr="00D22117">
        <w:rPr>
          <w:rFonts w:ascii="Arial" w:eastAsia="Arial" w:hAnsi="Arial" w:cs="Arial"/>
          <w:b/>
          <w:sz w:val="22"/>
          <w:szCs w:val="22"/>
        </w:rPr>
        <w:t xml:space="preserve"> de 2022</w:t>
      </w:r>
      <w:r w:rsidRPr="00D22117">
        <w:rPr>
          <w:rFonts w:ascii="Arial" w:eastAsia="Arial" w:hAnsi="Arial" w:cs="Arial"/>
          <w:sz w:val="22"/>
          <w:szCs w:val="22"/>
        </w:rPr>
        <w:t xml:space="preserve"> </w:t>
      </w:r>
    </w:p>
    <w:p w14:paraId="526632B9" w14:textId="77777777" w:rsidR="00D73348" w:rsidRPr="00D22117" w:rsidRDefault="00D73348">
      <w:pPr>
        <w:spacing w:after="0"/>
        <w:rPr>
          <w:rFonts w:ascii="Arial" w:eastAsia="Arial" w:hAnsi="Arial" w:cs="Arial"/>
        </w:rPr>
      </w:pPr>
    </w:p>
    <w:tbl>
      <w:tblPr>
        <w:tblStyle w:val="a"/>
        <w:tblW w:w="0" w:type="auto"/>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D73348" w:rsidRPr="00E37156" w14:paraId="7B131E97" w14:textId="77777777">
        <w:trPr>
          <w:trHeight w:val="485"/>
        </w:trPr>
        <w:tc>
          <w:tcPr>
            <w:tcW w:w="4419" w:type="dxa"/>
          </w:tcPr>
          <w:p w14:paraId="35B4CDD5" w14:textId="77777777" w:rsidR="00D73348" w:rsidRPr="00D22117" w:rsidRDefault="00DA2883">
            <w:pPr>
              <w:spacing w:line="276" w:lineRule="auto"/>
              <w:rPr>
                <w:rFonts w:ascii="Arial" w:eastAsia="Arial" w:hAnsi="Arial" w:cs="Arial"/>
              </w:rPr>
            </w:pPr>
            <w:r w:rsidRPr="00D22117">
              <w:rPr>
                <w:rFonts w:ascii="Arial" w:eastAsia="Arial" w:hAnsi="Arial" w:cs="Arial"/>
                <w:b/>
                <w:sz w:val="22"/>
                <w:szCs w:val="22"/>
              </w:rPr>
              <w:t>Temas:</w:t>
            </w:r>
            <w:r w:rsidRPr="00D22117">
              <w:rPr>
                <w:rFonts w:ascii="Arial" w:eastAsia="Arial" w:hAnsi="Arial" w:cs="Arial"/>
                <w:sz w:val="22"/>
                <w:szCs w:val="22"/>
              </w:rPr>
              <w:t xml:space="preserve">        </w:t>
            </w:r>
          </w:p>
        </w:tc>
        <w:tc>
          <w:tcPr>
            <w:tcW w:w="4419" w:type="dxa"/>
          </w:tcPr>
          <w:p w14:paraId="2E728989" w14:textId="30AB27FB" w:rsidR="00D73348" w:rsidRPr="00E37156" w:rsidRDefault="00DA2883" w:rsidP="00060AA0">
            <w:pPr>
              <w:spacing w:before="0"/>
              <w:jc w:val="both"/>
            </w:pPr>
            <w:r w:rsidRPr="00E37156">
              <w:rPr>
                <w:rFonts w:ascii="Arial" w:eastAsia="Arial" w:hAnsi="Arial" w:cs="Arial"/>
                <w:sz w:val="22"/>
                <w:szCs w:val="22"/>
              </w:rPr>
              <w:t>LEY DE GARANTÍAS ELECTORALES – Finalidad / LEY DE GARANTÍAS ELECTORALES ─ Prohibición ‒ Contratación directa ‒ Alcance / LEY DE GARANTÍAS ELECTORAL</w:t>
            </w:r>
            <w:r w:rsidR="00060AA0">
              <w:rPr>
                <w:rFonts w:ascii="Arial" w:eastAsia="Arial" w:hAnsi="Arial" w:cs="Arial"/>
                <w:sz w:val="22"/>
                <w:szCs w:val="22"/>
              </w:rPr>
              <w:t>ES ‒ Prohibición del artículo 38</w:t>
            </w:r>
            <w:r w:rsidRPr="00E37156">
              <w:rPr>
                <w:rFonts w:ascii="Arial" w:eastAsia="Arial" w:hAnsi="Arial" w:cs="Arial"/>
                <w:sz w:val="22"/>
                <w:szCs w:val="22"/>
              </w:rPr>
              <w:t xml:space="preserve"> de la Ley de garantías ‒ Destinatarios </w:t>
            </w:r>
            <w:r w:rsidR="00060AA0">
              <w:rPr>
                <w:rFonts w:ascii="Arial" w:eastAsia="Arial" w:hAnsi="Arial" w:cs="Arial"/>
                <w:sz w:val="22"/>
                <w:szCs w:val="22"/>
              </w:rPr>
              <w:t>/ LEY DE GARANTÍAS ELECTORALES – Convenios o</w:t>
            </w:r>
            <w:r w:rsidRPr="00E37156">
              <w:rPr>
                <w:rFonts w:ascii="Arial" w:eastAsia="Arial" w:hAnsi="Arial" w:cs="Arial"/>
                <w:sz w:val="22"/>
                <w:szCs w:val="22"/>
              </w:rPr>
              <w:t xml:space="preserve"> contratos interadministrativos</w:t>
            </w:r>
            <w:r w:rsidR="00060AA0">
              <w:rPr>
                <w:rFonts w:ascii="Arial" w:eastAsia="Arial" w:hAnsi="Arial" w:cs="Arial"/>
                <w:sz w:val="22"/>
                <w:szCs w:val="22"/>
              </w:rPr>
              <w:t xml:space="preserve"> – Criterio orgánico</w:t>
            </w:r>
            <w:r w:rsidRPr="00E37156">
              <w:rPr>
                <w:rFonts w:ascii="Arial" w:eastAsia="Arial" w:hAnsi="Arial" w:cs="Arial"/>
                <w:sz w:val="22"/>
                <w:szCs w:val="22"/>
              </w:rPr>
              <w:t xml:space="preserve"> / CONTRATOS Y CONVENIOS INTERADMINISTRATIVOS – Definición – Criterio orgánico / CONTRATOS Y CONVENIOS INTERADMINISTRATIVOS – Entidades con régimen especial de contrata</w:t>
            </w:r>
            <w:r w:rsidR="00060AA0">
              <w:rPr>
                <w:rFonts w:ascii="Arial" w:eastAsia="Arial" w:hAnsi="Arial" w:cs="Arial"/>
                <w:sz w:val="22"/>
                <w:szCs w:val="22"/>
              </w:rPr>
              <w:t xml:space="preserve">ción – Procedencia </w:t>
            </w:r>
            <w:r w:rsidRPr="00E37156">
              <w:rPr>
                <w:rFonts w:ascii="Arial" w:eastAsia="Arial" w:hAnsi="Arial" w:cs="Arial"/>
                <w:sz w:val="22"/>
                <w:szCs w:val="22"/>
              </w:rPr>
              <w:t xml:space="preserve">/ </w:t>
            </w:r>
            <w:r w:rsidR="00D22117" w:rsidRPr="00E37156">
              <w:rPr>
                <w:rFonts w:ascii="Arial" w:eastAsia="Arial" w:hAnsi="Arial" w:cs="Arial"/>
                <w:sz w:val="22"/>
                <w:szCs w:val="22"/>
              </w:rPr>
              <w:t xml:space="preserve">LEY DE GARANTÍAS ELECTORALES – Prohibición – Celebración de contratos y convenios interadministrativos – Contrato de donación </w:t>
            </w:r>
          </w:p>
        </w:tc>
      </w:tr>
      <w:tr w:rsidR="00D73348" w:rsidRPr="00D22117" w14:paraId="756836D2" w14:textId="77777777">
        <w:tc>
          <w:tcPr>
            <w:tcW w:w="4419" w:type="dxa"/>
          </w:tcPr>
          <w:p w14:paraId="27896E2F" w14:textId="77777777" w:rsidR="00D73348" w:rsidRPr="00D22117" w:rsidRDefault="00DA2883">
            <w:pPr>
              <w:spacing w:line="276" w:lineRule="auto"/>
              <w:rPr>
                <w:rFonts w:ascii="Arial" w:eastAsia="Arial" w:hAnsi="Arial" w:cs="Arial"/>
              </w:rPr>
            </w:pPr>
            <w:r w:rsidRPr="00D22117">
              <w:rPr>
                <w:rFonts w:ascii="Arial" w:eastAsia="Arial" w:hAnsi="Arial" w:cs="Arial"/>
                <w:b/>
                <w:sz w:val="22"/>
                <w:szCs w:val="22"/>
              </w:rPr>
              <w:t>Radicación:</w:t>
            </w:r>
            <w:r w:rsidRPr="00D22117">
              <w:rPr>
                <w:rFonts w:ascii="Arial" w:eastAsia="Arial" w:hAnsi="Arial" w:cs="Arial"/>
                <w:sz w:val="22"/>
                <w:szCs w:val="22"/>
              </w:rPr>
              <w:t xml:space="preserve">                              </w:t>
            </w:r>
          </w:p>
        </w:tc>
        <w:tc>
          <w:tcPr>
            <w:tcW w:w="4419" w:type="dxa"/>
          </w:tcPr>
          <w:p w14:paraId="5E54C721" w14:textId="43FE48B3" w:rsidR="00D73348" w:rsidRPr="00D22117" w:rsidRDefault="00DA2883">
            <w:pPr>
              <w:spacing w:line="276" w:lineRule="auto"/>
              <w:jc w:val="both"/>
              <w:rPr>
                <w:rFonts w:ascii="Arial" w:eastAsia="Arial" w:hAnsi="Arial" w:cs="Arial"/>
              </w:rPr>
            </w:pPr>
            <w:r w:rsidRPr="00D22117">
              <w:rPr>
                <w:rFonts w:ascii="Arial" w:eastAsia="Arial" w:hAnsi="Arial" w:cs="Arial"/>
                <w:sz w:val="22"/>
                <w:szCs w:val="22"/>
              </w:rPr>
              <w:t xml:space="preserve">Respuesta a consulta </w:t>
            </w:r>
            <w:r w:rsidR="00660657" w:rsidRPr="00660657">
              <w:rPr>
                <w:rFonts w:ascii="Arial" w:eastAsia="Arial" w:hAnsi="Arial" w:cs="Arial"/>
                <w:sz w:val="22"/>
                <w:szCs w:val="22"/>
              </w:rPr>
              <w:t>P20220125000579</w:t>
            </w:r>
          </w:p>
        </w:tc>
      </w:tr>
    </w:tbl>
    <w:p w14:paraId="3A0BFD77" w14:textId="77777777" w:rsidR="00D73348" w:rsidRPr="00D22117" w:rsidRDefault="00D73348">
      <w:pPr>
        <w:spacing w:after="0"/>
        <w:rPr>
          <w:rFonts w:ascii="Arial" w:eastAsia="Arial" w:hAnsi="Arial" w:cs="Arial"/>
        </w:rPr>
      </w:pPr>
    </w:p>
    <w:p w14:paraId="79079CB6" w14:textId="77777777" w:rsidR="00D73348" w:rsidRPr="00D22117" w:rsidRDefault="00D73348">
      <w:pPr>
        <w:spacing w:after="0"/>
        <w:rPr>
          <w:rFonts w:ascii="Arial" w:eastAsia="Arial" w:hAnsi="Arial" w:cs="Arial"/>
        </w:rPr>
      </w:pPr>
    </w:p>
    <w:p w14:paraId="3DB14AD6" w14:textId="77777777" w:rsidR="00FB55CF" w:rsidRDefault="00FB55CF">
      <w:pPr>
        <w:rPr>
          <w:rFonts w:ascii="Arial" w:eastAsia="Arial" w:hAnsi="Arial" w:cs="Arial"/>
          <w:sz w:val="22"/>
          <w:szCs w:val="22"/>
        </w:rPr>
      </w:pPr>
    </w:p>
    <w:p w14:paraId="3413F432" w14:textId="132CEDF3" w:rsidR="00D73348" w:rsidRPr="00D22117" w:rsidRDefault="00660657">
      <w:pPr>
        <w:rPr>
          <w:color w:val="000000"/>
          <w:sz w:val="22"/>
          <w:szCs w:val="22"/>
        </w:rPr>
      </w:pPr>
      <w:r w:rsidRPr="00660657">
        <w:rPr>
          <w:rFonts w:ascii="Arial" w:eastAsia="Arial" w:hAnsi="Arial" w:cs="Arial"/>
          <w:sz w:val="22"/>
          <w:szCs w:val="22"/>
        </w:rPr>
        <w:t>Estimado señor Cabrera</w:t>
      </w:r>
      <w:r w:rsidR="00DA2883" w:rsidRPr="00660657">
        <w:rPr>
          <w:rFonts w:ascii="Arial" w:eastAsia="Arial" w:hAnsi="Arial" w:cs="Arial"/>
          <w:sz w:val="22"/>
          <w:szCs w:val="22"/>
        </w:rPr>
        <w:t>:</w:t>
      </w:r>
    </w:p>
    <w:p w14:paraId="7C8BE239" w14:textId="77777777" w:rsidR="00D73348" w:rsidRPr="00D22117" w:rsidRDefault="00D73348">
      <w:pPr>
        <w:spacing w:after="0"/>
        <w:rPr>
          <w:rFonts w:ascii="Arial" w:eastAsia="Arial" w:hAnsi="Arial" w:cs="Arial"/>
          <w:sz w:val="22"/>
          <w:szCs w:val="22"/>
        </w:rPr>
      </w:pPr>
    </w:p>
    <w:p w14:paraId="1D72B087" w14:textId="506FED65" w:rsidR="00D73348" w:rsidRPr="00D22117" w:rsidRDefault="00DA2883">
      <w:pPr>
        <w:spacing w:after="0"/>
        <w:ind w:right="51"/>
        <w:rPr>
          <w:rFonts w:ascii="Arial" w:eastAsia="Arial" w:hAnsi="Arial" w:cs="Arial"/>
          <w:sz w:val="22"/>
          <w:szCs w:val="22"/>
        </w:rPr>
      </w:pPr>
      <w:r w:rsidRPr="00D22117">
        <w:rPr>
          <w:rFonts w:ascii="Arial" w:eastAsia="Arial" w:hAnsi="Arial" w:cs="Arial"/>
          <w:sz w:val="22"/>
          <w:szCs w:val="22"/>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F30F23" w:rsidRPr="00F30F23">
        <w:rPr>
          <w:rFonts w:ascii="Arial" w:eastAsia="Arial" w:hAnsi="Arial" w:cs="Arial"/>
          <w:sz w:val="22"/>
          <w:szCs w:val="22"/>
        </w:rPr>
        <w:t>25 de enero de 2022</w:t>
      </w:r>
      <w:r w:rsidRPr="00F30F23">
        <w:rPr>
          <w:rFonts w:ascii="Arial" w:eastAsia="Arial" w:hAnsi="Arial" w:cs="Arial"/>
          <w:sz w:val="22"/>
          <w:szCs w:val="22"/>
        </w:rPr>
        <w:t>.</w:t>
      </w:r>
      <w:r w:rsidRPr="00D22117">
        <w:rPr>
          <w:rFonts w:ascii="Arial" w:eastAsia="Arial" w:hAnsi="Arial" w:cs="Arial"/>
          <w:sz w:val="22"/>
          <w:szCs w:val="22"/>
        </w:rPr>
        <w:t xml:space="preserve"> </w:t>
      </w:r>
    </w:p>
    <w:p w14:paraId="53EADC6B" w14:textId="77777777" w:rsidR="00D73348" w:rsidRPr="00D22117" w:rsidRDefault="00D73348">
      <w:pPr>
        <w:spacing w:after="0"/>
        <w:rPr>
          <w:rFonts w:ascii="Arial" w:eastAsia="Arial" w:hAnsi="Arial" w:cs="Arial"/>
          <w:sz w:val="22"/>
          <w:szCs w:val="22"/>
        </w:rPr>
      </w:pPr>
    </w:p>
    <w:p w14:paraId="7416E99B" w14:textId="77777777" w:rsidR="00D73348" w:rsidRPr="00D22117" w:rsidRDefault="00DA2883">
      <w:pPr>
        <w:tabs>
          <w:tab w:val="left" w:pos="284"/>
        </w:tabs>
        <w:spacing w:after="0"/>
        <w:rPr>
          <w:rFonts w:ascii="Arial" w:eastAsia="Arial" w:hAnsi="Arial" w:cs="Arial"/>
          <w:b/>
          <w:sz w:val="22"/>
          <w:szCs w:val="22"/>
        </w:rPr>
      </w:pPr>
      <w:r w:rsidRPr="00D22117">
        <w:rPr>
          <w:rFonts w:ascii="Arial" w:eastAsia="Arial" w:hAnsi="Arial" w:cs="Arial"/>
          <w:b/>
          <w:sz w:val="22"/>
          <w:szCs w:val="22"/>
        </w:rPr>
        <w:t xml:space="preserve">1. Problema planteado </w:t>
      </w:r>
    </w:p>
    <w:p w14:paraId="2E0CDF5D" w14:textId="77777777" w:rsidR="00D73348" w:rsidRPr="00D22117" w:rsidRDefault="00D73348">
      <w:pPr>
        <w:pBdr>
          <w:top w:val="nil"/>
          <w:left w:val="nil"/>
          <w:bottom w:val="nil"/>
          <w:right w:val="nil"/>
          <w:between w:val="nil"/>
        </w:pBdr>
        <w:tabs>
          <w:tab w:val="left" w:pos="284"/>
        </w:tabs>
        <w:spacing w:after="0"/>
        <w:rPr>
          <w:rFonts w:ascii="Arial" w:eastAsia="Arial" w:hAnsi="Arial" w:cs="Arial"/>
          <w:b/>
          <w:color w:val="000000"/>
          <w:sz w:val="22"/>
          <w:szCs w:val="22"/>
        </w:rPr>
      </w:pPr>
    </w:p>
    <w:p w14:paraId="3EE1B698" w14:textId="5590B920" w:rsidR="00D73348" w:rsidRDefault="00E37156">
      <w:pPr>
        <w:pBdr>
          <w:top w:val="nil"/>
          <w:left w:val="nil"/>
          <w:bottom w:val="nil"/>
          <w:right w:val="nil"/>
          <w:between w:val="nil"/>
        </w:pBdr>
        <w:tabs>
          <w:tab w:val="left" w:pos="284"/>
        </w:tabs>
        <w:spacing w:after="0"/>
        <w:rPr>
          <w:rFonts w:ascii="Arial" w:eastAsia="Arial" w:hAnsi="Arial" w:cs="Arial"/>
          <w:color w:val="000000"/>
          <w:sz w:val="22"/>
          <w:szCs w:val="22"/>
        </w:rPr>
      </w:pPr>
      <w:r>
        <w:rPr>
          <w:rFonts w:ascii="Arial" w:eastAsia="Arial" w:hAnsi="Arial" w:cs="Arial"/>
          <w:color w:val="000000"/>
          <w:sz w:val="22"/>
          <w:szCs w:val="22"/>
        </w:rPr>
        <w:t>Respecto de la donación de bienes ent</w:t>
      </w:r>
      <w:r w:rsidR="00FB55CF">
        <w:rPr>
          <w:rFonts w:ascii="Arial" w:eastAsia="Arial" w:hAnsi="Arial" w:cs="Arial"/>
          <w:color w:val="000000"/>
          <w:sz w:val="22"/>
          <w:szCs w:val="22"/>
        </w:rPr>
        <w:t>r</w:t>
      </w:r>
      <w:r>
        <w:rPr>
          <w:rFonts w:ascii="Arial" w:eastAsia="Arial" w:hAnsi="Arial" w:cs="Arial"/>
          <w:color w:val="000000"/>
          <w:sz w:val="22"/>
          <w:szCs w:val="22"/>
        </w:rPr>
        <w:t>e entidades territoriales</w:t>
      </w:r>
      <w:r w:rsidR="00B24711">
        <w:rPr>
          <w:rFonts w:ascii="Arial" w:eastAsia="Arial" w:hAnsi="Arial" w:cs="Arial"/>
          <w:color w:val="000000"/>
          <w:sz w:val="22"/>
          <w:szCs w:val="22"/>
        </w:rPr>
        <w:t>,</w:t>
      </w:r>
      <w:r>
        <w:rPr>
          <w:rFonts w:ascii="Arial" w:eastAsia="Arial" w:hAnsi="Arial" w:cs="Arial"/>
          <w:color w:val="000000"/>
          <w:sz w:val="22"/>
          <w:szCs w:val="22"/>
        </w:rPr>
        <w:t xml:space="preserve"> usted plantea el siguiente interrogante</w:t>
      </w:r>
      <w:r w:rsidR="00DA2883" w:rsidRPr="00D22117">
        <w:rPr>
          <w:rFonts w:ascii="Arial" w:eastAsia="Arial" w:hAnsi="Arial" w:cs="Arial"/>
          <w:color w:val="000000"/>
          <w:sz w:val="22"/>
          <w:szCs w:val="22"/>
        </w:rPr>
        <w:t>:</w:t>
      </w:r>
    </w:p>
    <w:p w14:paraId="5E7B840A" w14:textId="77777777" w:rsidR="00E37156" w:rsidRPr="00D22117" w:rsidRDefault="00E37156">
      <w:pPr>
        <w:pBdr>
          <w:top w:val="nil"/>
          <w:left w:val="nil"/>
          <w:bottom w:val="nil"/>
          <w:right w:val="nil"/>
          <w:between w:val="nil"/>
        </w:pBdr>
        <w:tabs>
          <w:tab w:val="left" w:pos="284"/>
        </w:tabs>
        <w:spacing w:after="0"/>
        <w:rPr>
          <w:rFonts w:ascii="Arial" w:eastAsia="Arial" w:hAnsi="Arial" w:cs="Arial"/>
          <w:color w:val="000000"/>
          <w:sz w:val="22"/>
          <w:szCs w:val="22"/>
        </w:rPr>
      </w:pPr>
    </w:p>
    <w:p w14:paraId="174C46B6" w14:textId="0D9EC5C3" w:rsidR="00D73348" w:rsidRPr="00D22117" w:rsidRDefault="00E37156" w:rsidP="00E37156">
      <w:pPr>
        <w:pBdr>
          <w:top w:val="nil"/>
          <w:left w:val="nil"/>
          <w:bottom w:val="nil"/>
          <w:right w:val="nil"/>
          <w:between w:val="nil"/>
        </w:pBdr>
        <w:spacing w:line="240" w:lineRule="auto"/>
        <w:ind w:left="709" w:right="709"/>
        <w:rPr>
          <w:rFonts w:ascii="Times New Roman" w:eastAsia="Times New Roman" w:hAnsi="Times New Roman" w:cs="Times New Roman"/>
        </w:rPr>
      </w:pPr>
      <w:r w:rsidRPr="00E37156">
        <w:rPr>
          <w:rFonts w:ascii="Arial" w:eastAsia="Arial" w:hAnsi="Arial" w:cs="Arial"/>
          <w:color w:val="000000"/>
          <w:sz w:val="21"/>
          <w:szCs w:val="21"/>
        </w:rPr>
        <w:t>«Comedidamente me permito presentar petición de consulta, referente a si la donación de un bien mueble por parte de una entidad territorial a una corporación del mismo nivel, se encuentra entre las restr</w:t>
      </w:r>
      <w:r>
        <w:rPr>
          <w:rFonts w:ascii="Arial" w:eastAsia="Arial" w:hAnsi="Arial" w:cs="Arial"/>
          <w:color w:val="000000"/>
          <w:sz w:val="21"/>
          <w:szCs w:val="21"/>
        </w:rPr>
        <w:t>icciones de la ley de garantías</w:t>
      </w:r>
      <w:r w:rsidRPr="00E37156">
        <w:rPr>
          <w:rFonts w:ascii="Arial" w:eastAsia="Arial" w:hAnsi="Arial" w:cs="Arial"/>
          <w:color w:val="000000"/>
          <w:sz w:val="21"/>
          <w:szCs w:val="21"/>
        </w:rPr>
        <w:t>.</w:t>
      </w:r>
      <w:r w:rsidR="00DA2883" w:rsidRPr="00D22117">
        <w:rPr>
          <w:rFonts w:ascii="Arial" w:eastAsia="Arial" w:hAnsi="Arial" w:cs="Arial"/>
          <w:color w:val="000000"/>
          <w:sz w:val="21"/>
          <w:szCs w:val="21"/>
        </w:rPr>
        <w:t>»</w:t>
      </w:r>
    </w:p>
    <w:p w14:paraId="64417886" w14:textId="77777777" w:rsidR="00D73348" w:rsidRPr="00D22117" w:rsidRDefault="00D73348">
      <w:pPr>
        <w:tabs>
          <w:tab w:val="left" w:pos="426"/>
        </w:tabs>
        <w:spacing w:after="0"/>
        <w:rPr>
          <w:rFonts w:ascii="Arial" w:eastAsia="Arial" w:hAnsi="Arial" w:cs="Arial"/>
          <w:sz w:val="22"/>
          <w:szCs w:val="22"/>
        </w:rPr>
      </w:pPr>
    </w:p>
    <w:p w14:paraId="3EB9A6AA" w14:textId="77777777" w:rsidR="00D73348" w:rsidRPr="00D22117" w:rsidRDefault="00DA2883">
      <w:pPr>
        <w:tabs>
          <w:tab w:val="left" w:pos="284"/>
        </w:tabs>
        <w:spacing w:after="0"/>
        <w:rPr>
          <w:rFonts w:ascii="Arial" w:eastAsia="Arial" w:hAnsi="Arial" w:cs="Arial"/>
          <w:b/>
          <w:sz w:val="22"/>
          <w:szCs w:val="22"/>
        </w:rPr>
      </w:pPr>
      <w:r w:rsidRPr="00D22117">
        <w:rPr>
          <w:rFonts w:ascii="Arial" w:eastAsia="Arial" w:hAnsi="Arial" w:cs="Arial"/>
          <w:b/>
          <w:sz w:val="22"/>
          <w:szCs w:val="22"/>
        </w:rPr>
        <w:t>2. Consideraciones</w:t>
      </w:r>
    </w:p>
    <w:p w14:paraId="733B9681" w14:textId="77777777" w:rsidR="00D73348" w:rsidRPr="00D22117" w:rsidRDefault="00D73348">
      <w:pPr>
        <w:tabs>
          <w:tab w:val="left" w:pos="426"/>
        </w:tabs>
        <w:spacing w:after="0"/>
        <w:ind w:firstLine="709"/>
        <w:rPr>
          <w:rFonts w:ascii="Arial" w:eastAsia="Arial" w:hAnsi="Arial" w:cs="Arial"/>
          <w:sz w:val="22"/>
          <w:szCs w:val="22"/>
        </w:rPr>
      </w:pPr>
    </w:p>
    <w:p w14:paraId="20268202" w14:textId="6ECD56B7" w:rsidR="00817CCB" w:rsidRDefault="00817CCB" w:rsidP="00A83ECE">
      <w:pPr>
        <w:spacing w:after="120"/>
        <w:rPr>
          <w:rFonts w:ascii="Arial" w:eastAsia="Arial" w:hAnsi="Arial" w:cs="Arial"/>
          <w:sz w:val="22"/>
          <w:szCs w:val="22"/>
        </w:rPr>
      </w:pPr>
      <w:r>
        <w:rPr>
          <w:rFonts w:ascii="Arial" w:eastAsia="Arial" w:hAnsi="Arial" w:cs="Arial"/>
          <w:sz w:val="22"/>
          <w:szCs w:val="22"/>
        </w:rPr>
        <w:t xml:space="preserve">En relación con la consulta planteada, lo primero que hay que </w:t>
      </w:r>
      <w:r w:rsidR="00F723BA">
        <w:rPr>
          <w:rFonts w:ascii="Arial" w:eastAsia="Arial" w:hAnsi="Arial" w:cs="Arial"/>
          <w:sz w:val="22"/>
          <w:szCs w:val="22"/>
        </w:rPr>
        <w:t>advertir</w:t>
      </w:r>
      <w:r>
        <w:rPr>
          <w:rFonts w:ascii="Arial" w:eastAsia="Arial" w:hAnsi="Arial" w:cs="Arial"/>
          <w:sz w:val="22"/>
          <w:szCs w:val="22"/>
        </w:rPr>
        <w:t xml:space="preserve"> es la existencia de dos escenarios</w:t>
      </w:r>
      <w:r w:rsidR="006B7C33">
        <w:rPr>
          <w:rFonts w:ascii="Arial" w:eastAsia="Arial" w:hAnsi="Arial" w:cs="Arial"/>
          <w:sz w:val="22"/>
          <w:szCs w:val="22"/>
        </w:rPr>
        <w:t xml:space="preserve"> derivados de su lectura</w:t>
      </w:r>
      <w:r>
        <w:rPr>
          <w:rFonts w:ascii="Arial" w:eastAsia="Arial" w:hAnsi="Arial" w:cs="Arial"/>
          <w:sz w:val="22"/>
          <w:szCs w:val="22"/>
        </w:rPr>
        <w:t xml:space="preserve">: el primero, </w:t>
      </w:r>
      <w:r w:rsidR="00F723BA">
        <w:rPr>
          <w:rFonts w:ascii="Arial" w:eastAsia="Arial" w:hAnsi="Arial" w:cs="Arial"/>
          <w:sz w:val="22"/>
          <w:szCs w:val="22"/>
        </w:rPr>
        <w:t>entendiendo que se está preguntando por la donación entre una entidad estatal y una corporación privada; y, el segundo, en el que se está indagando por la viabilidad de una donación entre dos entidades públicas.</w:t>
      </w:r>
    </w:p>
    <w:p w14:paraId="5BF7C030" w14:textId="09C28813" w:rsidR="0086569B" w:rsidRDefault="00F723BA" w:rsidP="00F723BA">
      <w:pPr>
        <w:tabs>
          <w:tab w:val="left" w:pos="426"/>
        </w:tabs>
        <w:spacing w:after="120"/>
        <w:rPr>
          <w:rFonts w:ascii="Arial" w:hAnsi="Arial" w:cs="Arial"/>
          <w:sz w:val="22"/>
          <w:szCs w:val="22"/>
        </w:rPr>
      </w:pPr>
      <w:r>
        <w:rPr>
          <w:rFonts w:ascii="Arial" w:hAnsi="Arial" w:cs="Arial"/>
          <w:sz w:val="22"/>
          <w:szCs w:val="22"/>
        </w:rPr>
        <w:tab/>
      </w:r>
      <w:r>
        <w:rPr>
          <w:rFonts w:ascii="Arial" w:hAnsi="Arial" w:cs="Arial"/>
          <w:sz w:val="22"/>
          <w:szCs w:val="22"/>
        </w:rPr>
        <w:tab/>
        <w:t>E</w:t>
      </w:r>
      <w:r w:rsidRPr="0077535A">
        <w:rPr>
          <w:rFonts w:ascii="Arial" w:hAnsi="Arial" w:cs="Arial"/>
          <w:sz w:val="22"/>
          <w:szCs w:val="22"/>
        </w:rPr>
        <w:t xml:space="preserve">n el </w:t>
      </w:r>
      <w:r>
        <w:rPr>
          <w:rFonts w:ascii="Arial" w:hAnsi="Arial" w:cs="Arial"/>
          <w:sz w:val="22"/>
          <w:szCs w:val="22"/>
        </w:rPr>
        <w:t>primer escenario, ha</w:t>
      </w:r>
      <w:r w:rsidR="006B7C33">
        <w:rPr>
          <w:rFonts w:ascii="Arial" w:hAnsi="Arial" w:cs="Arial"/>
          <w:sz w:val="22"/>
          <w:szCs w:val="22"/>
        </w:rPr>
        <w:t>y</w:t>
      </w:r>
      <w:r>
        <w:rPr>
          <w:rFonts w:ascii="Arial" w:hAnsi="Arial" w:cs="Arial"/>
          <w:sz w:val="22"/>
          <w:szCs w:val="22"/>
        </w:rPr>
        <w:t xml:space="preserve"> </w:t>
      </w:r>
      <w:r w:rsidR="0086569B">
        <w:rPr>
          <w:rFonts w:ascii="Arial" w:hAnsi="Arial" w:cs="Arial"/>
          <w:sz w:val="22"/>
          <w:szCs w:val="22"/>
        </w:rPr>
        <w:t xml:space="preserve">que reiterar que, por regla general, </w:t>
      </w:r>
      <w:r w:rsidRPr="0077535A">
        <w:rPr>
          <w:rFonts w:ascii="Arial" w:hAnsi="Arial" w:cs="Arial"/>
          <w:sz w:val="22"/>
          <w:szCs w:val="22"/>
        </w:rPr>
        <w:t xml:space="preserve">la donación de bienes del Estado a personas naturales o jurídicas de derecho privado se encuentra prohibida </w:t>
      </w:r>
      <w:r w:rsidR="0086569B">
        <w:rPr>
          <w:rFonts w:ascii="Arial" w:hAnsi="Arial" w:cs="Arial"/>
          <w:sz w:val="22"/>
          <w:szCs w:val="22"/>
        </w:rPr>
        <w:t>por</w:t>
      </w:r>
      <w:r w:rsidRPr="0077535A">
        <w:rPr>
          <w:rFonts w:ascii="Arial" w:hAnsi="Arial" w:cs="Arial"/>
          <w:sz w:val="22"/>
          <w:szCs w:val="22"/>
        </w:rPr>
        <w:t xml:space="preserve"> el artículo 355 de la Constitución Política de 1991</w:t>
      </w:r>
      <w:r w:rsidRPr="0077535A">
        <w:rPr>
          <w:rStyle w:val="Refdenotaalpie"/>
          <w:rFonts w:ascii="Arial" w:hAnsi="Arial" w:cs="Arial"/>
          <w:sz w:val="22"/>
          <w:szCs w:val="22"/>
        </w:rPr>
        <w:footnoteReference w:id="1"/>
      </w:r>
      <w:r w:rsidR="0086569B">
        <w:rPr>
          <w:rFonts w:ascii="Arial" w:hAnsi="Arial" w:cs="Arial"/>
          <w:sz w:val="22"/>
          <w:szCs w:val="22"/>
        </w:rPr>
        <w:t>. Por tanto,</w:t>
      </w:r>
      <w:r w:rsidRPr="0077535A">
        <w:rPr>
          <w:rFonts w:ascii="Arial" w:hAnsi="Arial" w:cs="Arial"/>
          <w:sz w:val="22"/>
          <w:szCs w:val="22"/>
        </w:rPr>
        <w:t xml:space="preserve"> independientemente de la vigencia de la Ley de Garantías</w:t>
      </w:r>
      <w:r w:rsidR="0086569B">
        <w:rPr>
          <w:rFonts w:ascii="Arial" w:hAnsi="Arial" w:cs="Arial"/>
          <w:sz w:val="22"/>
          <w:szCs w:val="22"/>
        </w:rPr>
        <w:t>,</w:t>
      </w:r>
      <w:r w:rsidRPr="0077535A">
        <w:rPr>
          <w:rFonts w:ascii="Arial" w:hAnsi="Arial" w:cs="Arial"/>
          <w:sz w:val="22"/>
          <w:szCs w:val="22"/>
        </w:rPr>
        <w:t xml:space="preserve"> no se podría</w:t>
      </w:r>
      <w:r w:rsidR="000E4FF7">
        <w:rPr>
          <w:rFonts w:ascii="Arial" w:hAnsi="Arial" w:cs="Arial"/>
          <w:sz w:val="22"/>
          <w:szCs w:val="22"/>
        </w:rPr>
        <w:t>, en principio,</w:t>
      </w:r>
      <w:r w:rsidRPr="0077535A">
        <w:rPr>
          <w:rFonts w:ascii="Arial" w:hAnsi="Arial" w:cs="Arial"/>
          <w:sz w:val="22"/>
          <w:szCs w:val="22"/>
        </w:rPr>
        <w:t xml:space="preserve"> adelantar la donación de una entidad estatal a una corporación privada. </w:t>
      </w:r>
    </w:p>
    <w:p w14:paraId="37E61FFD" w14:textId="7CBF9527" w:rsidR="00F723BA" w:rsidRPr="003C73C0" w:rsidRDefault="0086569B" w:rsidP="003C73C0">
      <w:pPr>
        <w:tabs>
          <w:tab w:val="left" w:pos="426"/>
        </w:tabs>
        <w:spacing w:after="120"/>
        <w:rPr>
          <w:rFonts w:ascii="Arial" w:hAnsi="Arial" w:cs="Arial"/>
          <w:sz w:val="22"/>
          <w:szCs w:val="22"/>
        </w:rPr>
      </w:pPr>
      <w:r>
        <w:rPr>
          <w:rFonts w:ascii="Arial" w:hAnsi="Arial" w:cs="Arial"/>
          <w:sz w:val="22"/>
          <w:szCs w:val="22"/>
        </w:rPr>
        <w:tab/>
      </w:r>
      <w:r>
        <w:rPr>
          <w:rFonts w:ascii="Arial" w:hAnsi="Arial" w:cs="Arial"/>
          <w:sz w:val="22"/>
          <w:szCs w:val="22"/>
        </w:rPr>
        <w:tab/>
      </w:r>
      <w:r w:rsidR="00F723BA" w:rsidRPr="0077535A">
        <w:rPr>
          <w:rFonts w:ascii="Arial" w:hAnsi="Arial" w:cs="Arial"/>
          <w:color w:val="000000" w:themeColor="text1"/>
          <w:sz w:val="22"/>
          <w:szCs w:val="22"/>
        </w:rPr>
        <w:t>Del mismo modo, se debe tener en cuenta que</w:t>
      </w:r>
      <w:r>
        <w:rPr>
          <w:rFonts w:ascii="Arial" w:hAnsi="Arial" w:cs="Arial"/>
          <w:color w:val="000000" w:themeColor="text1"/>
          <w:sz w:val="22"/>
          <w:szCs w:val="22"/>
        </w:rPr>
        <w:t>,</w:t>
      </w:r>
      <w:r w:rsidR="00F723BA" w:rsidRPr="0077535A">
        <w:rPr>
          <w:rFonts w:ascii="Arial" w:hAnsi="Arial" w:cs="Arial"/>
          <w:color w:val="000000" w:themeColor="text1"/>
          <w:sz w:val="22"/>
          <w:szCs w:val="22"/>
        </w:rPr>
        <w:t xml:space="preserve"> en desarrollo del inciso segundo del artículo 355 de la Constitución Política, el Gobierno </w:t>
      </w:r>
      <w:r>
        <w:rPr>
          <w:rFonts w:ascii="Arial" w:hAnsi="Arial" w:cs="Arial"/>
          <w:color w:val="000000" w:themeColor="text1"/>
          <w:sz w:val="22"/>
          <w:szCs w:val="22"/>
        </w:rPr>
        <w:t>N</w:t>
      </w:r>
      <w:r w:rsidR="00F723BA" w:rsidRPr="0077535A">
        <w:rPr>
          <w:rFonts w:ascii="Arial" w:hAnsi="Arial" w:cs="Arial"/>
          <w:color w:val="000000" w:themeColor="text1"/>
          <w:sz w:val="22"/>
          <w:szCs w:val="22"/>
        </w:rPr>
        <w:t xml:space="preserve">acional expidió el Decreto </w:t>
      </w:r>
      <w:r w:rsidR="006B7C33">
        <w:rPr>
          <w:rFonts w:ascii="Arial" w:hAnsi="Arial" w:cs="Arial"/>
          <w:color w:val="000000" w:themeColor="text1"/>
          <w:sz w:val="22"/>
          <w:szCs w:val="22"/>
        </w:rPr>
        <w:t>0</w:t>
      </w:r>
      <w:r w:rsidR="00F723BA" w:rsidRPr="0077535A">
        <w:rPr>
          <w:rFonts w:ascii="Arial" w:hAnsi="Arial" w:cs="Arial"/>
          <w:color w:val="000000" w:themeColor="text1"/>
          <w:sz w:val="22"/>
          <w:szCs w:val="22"/>
        </w:rPr>
        <w:t xml:space="preserve">92 de 2017, </w:t>
      </w:r>
      <w:r>
        <w:rPr>
          <w:rFonts w:ascii="Arial" w:hAnsi="Arial" w:cs="Arial"/>
          <w:color w:val="000000" w:themeColor="text1"/>
          <w:sz w:val="22"/>
          <w:szCs w:val="22"/>
        </w:rPr>
        <w:t>el cual</w:t>
      </w:r>
      <w:r w:rsidR="00F723BA" w:rsidRPr="0077535A">
        <w:rPr>
          <w:rFonts w:ascii="Arial" w:hAnsi="Arial" w:cs="Arial"/>
          <w:color w:val="000000" w:themeColor="text1"/>
          <w:sz w:val="22"/>
          <w:szCs w:val="22"/>
        </w:rPr>
        <w:t xml:space="preserve"> dispone las reglas para las contrataciones que realicen las entidades estatales con las entidades sin ánimo de lucro</w:t>
      </w:r>
      <w:r>
        <w:rPr>
          <w:rFonts w:ascii="Arial" w:hAnsi="Arial" w:cs="Arial"/>
          <w:color w:val="000000" w:themeColor="text1"/>
          <w:sz w:val="22"/>
          <w:szCs w:val="22"/>
        </w:rPr>
        <w:t>.</w:t>
      </w:r>
      <w:r w:rsidR="00F723BA" w:rsidRPr="0077535A">
        <w:rPr>
          <w:rFonts w:ascii="Arial" w:hAnsi="Arial" w:cs="Arial"/>
          <w:color w:val="000000" w:themeColor="text1"/>
          <w:sz w:val="22"/>
          <w:szCs w:val="22"/>
        </w:rPr>
        <w:t xml:space="preserve"> </w:t>
      </w:r>
      <w:r>
        <w:rPr>
          <w:rFonts w:ascii="Arial" w:hAnsi="Arial" w:cs="Arial"/>
          <w:color w:val="000000" w:themeColor="text1"/>
          <w:sz w:val="22"/>
          <w:szCs w:val="22"/>
        </w:rPr>
        <w:t>E</w:t>
      </w:r>
      <w:r w:rsidR="00F723BA" w:rsidRPr="0077535A">
        <w:rPr>
          <w:rFonts w:ascii="Arial" w:hAnsi="Arial" w:cs="Arial"/>
          <w:color w:val="000000" w:themeColor="text1"/>
          <w:sz w:val="22"/>
          <w:szCs w:val="22"/>
        </w:rPr>
        <w:t xml:space="preserve">n tal sentido, si se dieran los supuestos de los </w:t>
      </w:r>
      <w:r w:rsidR="00F723BA" w:rsidRPr="0077535A">
        <w:rPr>
          <w:rFonts w:ascii="Arial" w:hAnsi="Arial" w:cs="Arial"/>
          <w:color w:val="000000" w:themeColor="text1"/>
          <w:sz w:val="22"/>
          <w:szCs w:val="22"/>
        </w:rPr>
        <w:lastRenderedPageBreak/>
        <w:t xml:space="preserve">convenios de asociación previstos en el artículo 5 del Decreto </w:t>
      </w:r>
      <w:r>
        <w:rPr>
          <w:rFonts w:ascii="Arial" w:hAnsi="Arial" w:cs="Arial"/>
          <w:color w:val="000000" w:themeColor="text1"/>
          <w:sz w:val="22"/>
          <w:szCs w:val="22"/>
        </w:rPr>
        <w:t>0</w:t>
      </w:r>
      <w:r w:rsidR="00F723BA" w:rsidRPr="0077535A">
        <w:rPr>
          <w:rFonts w:ascii="Arial" w:hAnsi="Arial" w:cs="Arial"/>
          <w:color w:val="000000" w:themeColor="text1"/>
          <w:sz w:val="22"/>
          <w:szCs w:val="22"/>
        </w:rPr>
        <w:t>92 de 2017, celebrados entre las entidades públicas y las entidades sin ánimo de lucro, la prohibición de contratación directa del artículo 33 de la Ley de Garantías Electorales aplica frente a los procedimientos no competitivos del reglamento citado. Lo anterior</w:t>
      </w:r>
      <w:r>
        <w:rPr>
          <w:rFonts w:ascii="Arial" w:hAnsi="Arial" w:cs="Arial"/>
          <w:color w:val="000000" w:themeColor="text1"/>
          <w:sz w:val="22"/>
          <w:szCs w:val="22"/>
        </w:rPr>
        <w:t>,</w:t>
      </w:r>
      <w:r w:rsidR="00F723BA" w:rsidRPr="0077535A">
        <w:rPr>
          <w:rFonts w:ascii="Arial" w:hAnsi="Arial" w:cs="Arial"/>
          <w:color w:val="000000" w:themeColor="text1"/>
          <w:sz w:val="22"/>
          <w:szCs w:val="22"/>
        </w:rPr>
        <w:t xml:space="preserve"> </w:t>
      </w:r>
      <w:r>
        <w:rPr>
          <w:rFonts w:ascii="Arial" w:hAnsi="Arial" w:cs="Arial"/>
          <w:color w:val="000000" w:themeColor="text1"/>
          <w:sz w:val="22"/>
          <w:szCs w:val="22"/>
        </w:rPr>
        <w:t>toda vez</w:t>
      </w:r>
      <w:r w:rsidR="00F723BA" w:rsidRPr="0077535A">
        <w:rPr>
          <w:rFonts w:ascii="Arial" w:hAnsi="Arial" w:cs="Arial"/>
          <w:color w:val="000000" w:themeColor="text1"/>
          <w:sz w:val="22"/>
          <w:szCs w:val="22"/>
        </w:rPr>
        <w:t xml:space="preserve"> que, para efectos de la Ley de Garantías Electorales, </w:t>
      </w:r>
      <w:r w:rsidR="00F723BA" w:rsidRPr="0077535A">
        <w:rPr>
          <w:rFonts w:ascii="Arial" w:hAnsi="Arial" w:cs="Arial"/>
          <w:color w:val="000000" w:themeColor="text1"/>
          <w:sz w:val="22"/>
          <w:szCs w:val="22"/>
          <w:lang w:val="es-CO"/>
        </w:rPr>
        <w:t>siempre que un proceso de contratación d</w:t>
      </w:r>
      <w:r>
        <w:rPr>
          <w:rFonts w:ascii="Arial" w:hAnsi="Arial" w:cs="Arial"/>
          <w:color w:val="000000" w:themeColor="text1"/>
          <w:sz w:val="22"/>
          <w:szCs w:val="22"/>
          <w:lang w:val="es-CO"/>
        </w:rPr>
        <w:t>é</w:t>
      </w:r>
      <w:r w:rsidR="00F723BA" w:rsidRPr="0077535A">
        <w:rPr>
          <w:rFonts w:ascii="Arial" w:hAnsi="Arial" w:cs="Arial"/>
          <w:color w:val="000000" w:themeColor="text1"/>
          <w:sz w:val="22"/>
          <w:szCs w:val="22"/>
          <w:lang w:val="es-CO"/>
        </w:rPr>
        <w:t xml:space="preserve"> lugar a la selección del contratista con ausencia de convocatoria pública y sin la necesidad de contar con varios oferentes que compitan por </w:t>
      </w:r>
      <w:r w:rsidR="001C50CD">
        <w:rPr>
          <w:rFonts w:ascii="Arial" w:hAnsi="Arial" w:cs="Arial"/>
          <w:color w:val="000000" w:themeColor="text1"/>
          <w:sz w:val="22"/>
          <w:szCs w:val="22"/>
          <w:lang w:val="es-CO"/>
        </w:rPr>
        <w:t>presentar</w:t>
      </w:r>
      <w:r w:rsidR="001C50CD" w:rsidRPr="0077535A">
        <w:rPr>
          <w:rFonts w:ascii="Arial" w:hAnsi="Arial" w:cs="Arial"/>
          <w:color w:val="000000" w:themeColor="text1"/>
          <w:sz w:val="22"/>
          <w:szCs w:val="22"/>
          <w:lang w:val="es-CO"/>
        </w:rPr>
        <w:t xml:space="preserve"> </w:t>
      </w:r>
      <w:r w:rsidR="00F723BA" w:rsidRPr="0077535A">
        <w:rPr>
          <w:rFonts w:ascii="Arial" w:hAnsi="Arial" w:cs="Arial"/>
          <w:color w:val="000000" w:themeColor="text1"/>
          <w:sz w:val="22"/>
          <w:szCs w:val="22"/>
          <w:lang w:val="es-CO"/>
        </w:rPr>
        <w:t>la mejor oferta, esto es, por implicar materialmente una selección directa del contratista, aplicará la restricción prevista en el artículo 33 de la Ley 996 de 2005 para la contratación directa. De esta manera, la prohibición aplicará independientemente del régimen de contratación, a menos que el contrato se enmarque en alguna de las excepciones establecidas en el inciso segundo de la misma disposición.</w:t>
      </w:r>
      <w:r w:rsidR="00F723BA" w:rsidRPr="0077535A">
        <w:rPr>
          <w:rStyle w:val="Refdenotaalpie"/>
          <w:rFonts w:ascii="Arial" w:hAnsi="Arial" w:cs="Arial"/>
          <w:color w:val="000000" w:themeColor="text1"/>
          <w:sz w:val="22"/>
          <w:szCs w:val="22"/>
          <w:lang w:val="es-CO"/>
        </w:rPr>
        <w:footnoteReference w:id="2"/>
      </w:r>
    </w:p>
    <w:p w14:paraId="7D953DAE" w14:textId="794D4641" w:rsidR="00AB5798" w:rsidRDefault="0012599F" w:rsidP="006C766E">
      <w:pPr>
        <w:tabs>
          <w:tab w:val="left" w:pos="426"/>
        </w:tabs>
        <w:spacing w:after="120"/>
        <w:rPr>
          <w:rFonts w:ascii="Arial" w:hAnsi="Arial" w:cs="Arial"/>
          <w:sz w:val="22"/>
        </w:rPr>
      </w:pPr>
      <w:r>
        <w:rPr>
          <w:rFonts w:ascii="Arial" w:eastAsia="Arial" w:hAnsi="Arial" w:cs="Arial"/>
          <w:sz w:val="22"/>
          <w:szCs w:val="22"/>
        </w:rPr>
        <w:tab/>
      </w:r>
      <w:r w:rsidR="006D0F41">
        <w:rPr>
          <w:rFonts w:ascii="Arial" w:eastAsia="Arial" w:hAnsi="Arial" w:cs="Arial"/>
          <w:sz w:val="22"/>
          <w:szCs w:val="22"/>
        </w:rPr>
        <w:t xml:space="preserve">Ahora bien, si </w:t>
      </w:r>
      <w:r w:rsidR="003C1B61">
        <w:rPr>
          <w:rFonts w:ascii="Arial" w:eastAsia="Arial" w:hAnsi="Arial" w:cs="Arial"/>
          <w:sz w:val="22"/>
          <w:szCs w:val="22"/>
        </w:rPr>
        <w:t>la consulta se trata d</w:t>
      </w:r>
      <w:r w:rsidR="006D0F41">
        <w:rPr>
          <w:rFonts w:ascii="Arial" w:eastAsia="Arial" w:hAnsi="Arial" w:cs="Arial"/>
          <w:sz w:val="22"/>
          <w:szCs w:val="22"/>
        </w:rPr>
        <w:t>el segundo evento</w:t>
      </w:r>
      <w:r w:rsidR="003C1B61">
        <w:rPr>
          <w:rFonts w:ascii="Arial" w:eastAsia="Arial" w:hAnsi="Arial" w:cs="Arial"/>
          <w:sz w:val="22"/>
          <w:szCs w:val="22"/>
        </w:rPr>
        <w:t xml:space="preserve">, </w:t>
      </w:r>
      <w:r w:rsidR="006D0F41">
        <w:rPr>
          <w:rFonts w:ascii="Arial" w:eastAsia="Arial" w:hAnsi="Arial" w:cs="Arial"/>
          <w:sz w:val="22"/>
          <w:szCs w:val="22"/>
        </w:rPr>
        <w:t xml:space="preserve">es decir de la donación de bienes entre entidades públicas en vigencia de la Ley </w:t>
      </w:r>
      <w:r w:rsidR="00253075">
        <w:rPr>
          <w:rFonts w:ascii="Arial" w:eastAsia="Arial" w:hAnsi="Arial" w:cs="Arial"/>
          <w:sz w:val="22"/>
          <w:szCs w:val="22"/>
        </w:rPr>
        <w:t xml:space="preserve">996 de 2005 o Ley </w:t>
      </w:r>
      <w:r w:rsidR="006D0F41">
        <w:rPr>
          <w:rFonts w:ascii="Arial" w:eastAsia="Arial" w:hAnsi="Arial" w:cs="Arial"/>
          <w:sz w:val="22"/>
          <w:szCs w:val="22"/>
        </w:rPr>
        <w:t xml:space="preserve">de Garantías, </w:t>
      </w:r>
      <w:r w:rsidR="0065780B">
        <w:rPr>
          <w:rFonts w:ascii="Arial" w:eastAsia="Arial" w:hAnsi="Arial" w:cs="Arial"/>
          <w:sz w:val="22"/>
          <w:szCs w:val="22"/>
        </w:rPr>
        <w:t xml:space="preserve">como </w:t>
      </w:r>
      <w:r w:rsidR="00EB1119">
        <w:rPr>
          <w:rFonts w:ascii="Arial" w:eastAsia="Arial" w:hAnsi="Arial" w:cs="Arial"/>
          <w:sz w:val="22"/>
          <w:szCs w:val="22"/>
        </w:rPr>
        <w:t xml:space="preserve">efectivamente </w:t>
      </w:r>
      <w:r w:rsidR="0065780B">
        <w:rPr>
          <w:rFonts w:ascii="Arial" w:eastAsia="Arial" w:hAnsi="Arial" w:cs="Arial"/>
          <w:sz w:val="22"/>
          <w:szCs w:val="22"/>
        </w:rPr>
        <w:t>parece desprenderse de la pr</w:t>
      </w:r>
      <w:r w:rsidR="0049068C">
        <w:rPr>
          <w:rFonts w:ascii="Arial" w:eastAsia="Arial" w:hAnsi="Arial" w:cs="Arial"/>
          <w:sz w:val="22"/>
          <w:szCs w:val="22"/>
        </w:rPr>
        <w:t xml:space="preserve">egunta, </w:t>
      </w:r>
      <w:r w:rsidR="006D0F41">
        <w:rPr>
          <w:rFonts w:ascii="Arial" w:eastAsia="Arial" w:hAnsi="Arial" w:cs="Arial"/>
          <w:sz w:val="22"/>
          <w:szCs w:val="22"/>
        </w:rPr>
        <w:t>conviene resaltar que l</w:t>
      </w:r>
      <w:r w:rsidR="00DA2883" w:rsidRPr="00D22117">
        <w:rPr>
          <w:rFonts w:ascii="Arial" w:eastAsia="Arial" w:hAnsi="Arial" w:cs="Arial"/>
          <w:sz w:val="22"/>
          <w:szCs w:val="22"/>
        </w:rPr>
        <w:t xml:space="preserve">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w:t>
      </w:r>
      <w:r w:rsidR="00DA2883" w:rsidRPr="00D22117">
        <w:rPr>
          <w:rFonts w:ascii="Arial" w:eastAsia="Arial" w:hAnsi="Arial" w:cs="Arial"/>
          <w:sz w:val="22"/>
          <w:szCs w:val="22"/>
        </w:rPr>
        <w:lastRenderedPageBreak/>
        <w:t>2021, C-550 del 5 de octubre de 2021, C-557 del 7 de octubre de 2021, C-563 del 8 de octubre de 2021, C-606 del 3 de noviembre de 2021, C-614 del 2 de noviembre de 2021, C-633 del 11 de noviembre de 2021, C-6</w:t>
      </w:r>
      <w:r w:rsidR="00E37156">
        <w:rPr>
          <w:rFonts w:ascii="Arial" w:eastAsia="Arial" w:hAnsi="Arial" w:cs="Arial"/>
          <w:sz w:val="22"/>
          <w:szCs w:val="22"/>
        </w:rPr>
        <w:t xml:space="preserve">34 del 11 de noviembre de 2021, </w:t>
      </w:r>
      <w:r w:rsidR="00DA2883" w:rsidRPr="00D22117">
        <w:rPr>
          <w:rFonts w:ascii="Arial" w:eastAsia="Arial" w:hAnsi="Arial" w:cs="Arial"/>
          <w:sz w:val="22"/>
          <w:szCs w:val="22"/>
        </w:rPr>
        <w:t xml:space="preserve"> C-636 del 16 de noviembre de 2021</w:t>
      </w:r>
      <w:r w:rsidR="00E37156">
        <w:rPr>
          <w:rFonts w:ascii="Arial" w:eastAsia="Arial" w:hAnsi="Arial" w:cs="Arial"/>
          <w:sz w:val="22"/>
          <w:szCs w:val="22"/>
        </w:rPr>
        <w:t xml:space="preserve"> y C-</w:t>
      </w:r>
      <w:r w:rsidR="00AB5798">
        <w:rPr>
          <w:rFonts w:ascii="Arial" w:eastAsia="Arial" w:hAnsi="Arial" w:cs="Arial"/>
          <w:sz w:val="22"/>
          <w:szCs w:val="22"/>
        </w:rPr>
        <w:t>715 del 21 de enero de 2022</w:t>
      </w:r>
      <w:r w:rsidR="00DA2883" w:rsidRPr="00D22117">
        <w:rPr>
          <w:rFonts w:ascii="Arial" w:eastAsia="Arial" w:hAnsi="Arial" w:cs="Arial"/>
          <w:sz w:val="22"/>
          <w:szCs w:val="22"/>
        </w:rPr>
        <w:t xml:space="preserve">. En el mismo sentido, </w:t>
      </w:r>
      <w:r w:rsidR="00DA2883" w:rsidRPr="00E367EF">
        <w:rPr>
          <w:rFonts w:ascii="Arial" w:eastAsia="Arial" w:hAnsi="Arial" w:cs="Arial"/>
          <w:color w:val="000000"/>
          <w:sz w:val="22"/>
          <w:szCs w:val="22"/>
        </w:rPr>
        <w:t>en el concepto con C-677 de 2021 se refirió a los alcances de la modificación re</w:t>
      </w:r>
      <w:r w:rsidR="006D0F41">
        <w:rPr>
          <w:rFonts w:ascii="Arial" w:eastAsia="Arial" w:hAnsi="Arial" w:cs="Arial"/>
          <w:color w:val="000000"/>
          <w:sz w:val="22"/>
          <w:szCs w:val="22"/>
        </w:rPr>
        <w:t>alizada por la Ley 2159 de 2021 al parágrafo del artículo 38 de la Ley 996 de 2005, por lo cual, l</w:t>
      </w:r>
      <w:r w:rsidR="00AB5798" w:rsidRPr="00591F55">
        <w:rPr>
          <w:rFonts w:ascii="Arial" w:hAnsi="Arial" w:cs="Arial"/>
          <w:sz w:val="22"/>
        </w:rPr>
        <w:t xml:space="preserve">as tesis expuestas en </w:t>
      </w:r>
      <w:r w:rsidR="00AB5798">
        <w:rPr>
          <w:rFonts w:ascii="Arial" w:hAnsi="Arial" w:cs="Arial"/>
          <w:sz w:val="22"/>
        </w:rPr>
        <w:t xml:space="preserve">estos </w:t>
      </w:r>
      <w:r w:rsidR="00AB5798" w:rsidRPr="00591F55">
        <w:rPr>
          <w:rFonts w:ascii="Arial" w:hAnsi="Arial" w:cs="Arial"/>
          <w:sz w:val="22"/>
        </w:rPr>
        <w:t>conceptos se reiteran a continuación</w:t>
      </w:r>
      <w:r w:rsidR="00AB5798">
        <w:rPr>
          <w:rFonts w:ascii="Arial" w:hAnsi="Arial" w:cs="Arial"/>
          <w:sz w:val="22"/>
        </w:rPr>
        <w:t xml:space="preserve"> y se complementan en lo</w:t>
      </w:r>
      <w:r w:rsidR="006D0F41">
        <w:rPr>
          <w:rFonts w:ascii="Arial" w:hAnsi="Arial" w:cs="Arial"/>
          <w:sz w:val="22"/>
        </w:rPr>
        <w:t xml:space="preserve"> pertinente.</w:t>
      </w:r>
    </w:p>
    <w:p w14:paraId="76336D55" w14:textId="5CC9E4D7" w:rsidR="0049068C" w:rsidRDefault="0049068C" w:rsidP="0049068C">
      <w:pPr>
        <w:spacing w:after="120"/>
        <w:ind w:firstLine="720"/>
        <w:rPr>
          <w:rFonts w:ascii="Arial" w:eastAsia="Arial" w:hAnsi="Arial" w:cs="Arial"/>
          <w:sz w:val="22"/>
          <w:szCs w:val="22"/>
        </w:rPr>
      </w:pPr>
      <w:r w:rsidRPr="00F30F23">
        <w:rPr>
          <w:rFonts w:ascii="Arial" w:eastAsia="Arial" w:hAnsi="Arial" w:cs="Arial"/>
          <w:sz w:val="22"/>
          <w:szCs w:val="22"/>
        </w:rPr>
        <w:t>Para resolver los problemas planteados</w:t>
      </w:r>
      <w:r>
        <w:rPr>
          <w:rFonts w:ascii="Arial" w:eastAsia="Arial" w:hAnsi="Arial" w:cs="Arial"/>
          <w:sz w:val="22"/>
          <w:szCs w:val="22"/>
        </w:rPr>
        <w:t xml:space="preserve"> en </w:t>
      </w:r>
      <w:r w:rsidR="00F772BD">
        <w:rPr>
          <w:rFonts w:ascii="Arial" w:eastAsia="Arial" w:hAnsi="Arial" w:cs="Arial"/>
          <w:sz w:val="22"/>
          <w:szCs w:val="22"/>
        </w:rPr>
        <w:t xml:space="preserve">el </w:t>
      </w:r>
      <w:r>
        <w:rPr>
          <w:rFonts w:ascii="Arial" w:eastAsia="Arial" w:hAnsi="Arial" w:cs="Arial"/>
          <w:sz w:val="22"/>
          <w:szCs w:val="22"/>
        </w:rPr>
        <w:t>último evento</w:t>
      </w:r>
      <w:r w:rsidRPr="00F30F23">
        <w:rPr>
          <w:rFonts w:ascii="Arial" w:eastAsia="Arial" w:hAnsi="Arial" w:cs="Arial"/>
          <w:sz w:val="22"/>
          <w:szCs w:val="22"/>
        </w:rPr>
        <w:t>, la Agencia analizará</w:t>
      </w:r>
      <w:r w:rsidRPr="00F30F23">
        <w:rPr>
          <w:rFonts w:ascii="Arial" w:eastAsia="Arial" w:hAnsi="Arial" w:cs="Arial"/>
          <w:color w:val="000000"/>
          <w:sz w:val="22"/>
          <w:szCs w:val="22"/>
        </w:rPr>
        <w:t xml:space="preserve"> los siguientes temas:</w:t>
      </w:r>
      <w:r w:rsidRPr="00F30F23">
        <w:rPr>
          <w:rFonts w:ascii="Arial" w:eastAsia="Arial" w:hAnsi="Arial" w:cs="Arial"/>
          <w:sz w:val="22"/>
          <w:szCs w:val="22"/>
        </w:rPr>
        <w:t xml:space="preserve"> i</w:t>
      </w:r>
      <w:r>
        <w:rPr>
          <w:rFonts w:ascii="Arial" w:eastAsia="Arial" w:hAnsi="Arial" w:cs="Arial"/>
          <w:sz w:val="22"/>
          <w:szCs w:val="22"/>
        </w:rPr>
        <w:t xml:space="preserve">) </w:t>
      </w:r>
      <w:r w:rsidRPr="00F30F23">
        <w:rPr>
          <w:rFonts w:ascii="Arial" w:eastAsia="Arial" w:hAnsi="Arial" w:cs="Arial"/>
          <w:sz w:val="22"/>
          <w:szCs w:val="22"/>
        </w:rPr>
        <w:t xml:space="preserve">Definición y finalidad de la Ley de Garantías Electorales, donde se expondrán las restricciones en materia contractual establecidas en dicha Ley; ii) Restricciones para la celebración de contratos y convenios interadministrativos en los comicios para cargos de elección popular y iii) </w:t>
      </w:r>
      <w:r w:rsidR="002D7A72">
        <w:rPr>
          <w:rFonts w:ascii="Arial" w:eastAsia="Arial" w:hAnsi="Arial" w:cs="Arial"/>
          <w:sz w:val="22"/>
          <w:szCs w:val="22"/>
        </w:rPr>
        <w:t>e</w:t>
      </w:r>
      <w:r w:rsidRPr="002E2E90">
        <w:rPr>
          <w:rFonts w:ascii="Arial" w:eastAsia="Arial" w:hAnsi="Arial" w:cs="Arial"/>
          <w:sz w:val="22"/>
          <w:szCs w:val="22"/>
        </w:rPr>
        <w:t>l contrato de donación de bienes entre entidades públicas y sus restricciones en vigencia de la Ley 996 de 2005.</w:t>
      </w:r>
      <w:r w:rsidRPr="00D22117">
        <w:rPr>
          <w:rFonts w:ascii="Arial" w:eastAsia="Arial" w:hAnsi="Arial" w:cs="Arial"/>
          <w:sz w:val="22"/>
          <w:szCs w:val="22"/>
        </w:rPr>
        <w:t xml:space="preserve"> </w:t>
      </w:r>
      <w:r>
        <w:rPr>
          <w:rFonts w:ascii="Arial" w:eastAsia="Arial" w:hAnsi="Arial" w:cs="Arial"/>
          <w:sz w:val="22"/>
          <w:szCs w:val="22"/>
        </w:rPr>
        <w:t xml:space="preserve"> </w:t>
      </w:r>
    </w:p>
    <w:p w14:paraId="2F75379A" w14:textId="77777777" w:rsidR="0049068C" w:rsidRDefault="0049068C" w:rsidP="00A83ECE">
      <w:pPr>
        <w:tabs>
          <w:tab w:val="left" w:pos="426"/>
        </w:tabs>
        <w:spacing w:after="0"/>
        <w:rPr>
          <w:rFonts w:ascii="Arial" w:hAnsi="Arial" w:cs="Arial"/>
          <w:sz w:val="22"/>
        </w:rPr>
      </w:pPr>
    </w:p>
    <w:p w14:paraId="30B4DDE7" w14:textId="77777777" w:rsidR="00D73348" w:rsidRPr="00D22117" w:rsidRDefault="00DA2883">
      <w:pPr>
        <w:tabs>
          <w:tab w:val="left" w:pos="426"/>
        </w:tabs>
        <w:spacing w:after="0"/>
        <w:rPr>
          <w:rFonts w:ascii="Arial" w:eastAsia="Arial" w:hAnsi="Arial" w:cs="Arial"/>
          <w:b/>
          <w:sz w:val="22"/>
          <w:szCs w:val="22"/>
        </w:rPr>
      </w:pPr>
      <w:r w:rsidRPr="00D22117">
        <w:rPr>
          <w:rFonts w:ascii="Arial" w:eastAsia="Arial" w:hAnsi="Arial" w:cs="Arial"/>
          <w:b/>
          <w:sz w:val="22"/>
          <w:szCs w:val="22"/>
        </w:rPr>
        <w:t>2.1. Definición y finalidad de la Ley de Garantías Electorales: alcance de las restricciones</w:t>
      </w:r>
    </w:p>
    <w:p w14:paraId="25B1B811" w14:textId="77777777" w:rsidR="00D73348" w:rsidRPr="00D22117" w:rsidRDefault="00D73348">
      <w:pPr>
        <w:tabs>
          <w:tab w:val="left" w:pos="426"/>
        </w:tabs>
        <w:spacing w:after="0"/>
        <w:ind w:firstLine="709"/>
        <w:rPr>
          <w:rFonts w:ascii="Arial" w:eastAsia="Arial" w:hAnsi="Arial" w:cs="Arial"/>
          <w:sz w:val="22"/>
          <w:szCs w:val="22"/>
        </w:rPr>
      </w:pPr>
    </w:p>
    <w:p w14:paraId="0BA18B14" w14:textId="485CE6B2" w:rsidR="00E03A73" w:rsidRPr="007377E5" w:rsidRDefault="00E03A73" w:rsidP="00E03A73">
      <w:pPr>
        <w:tabs>
          <w:tab w:val="left" w:pos="426"/>
        </w:tabs>
        <w:spacing w:after="120"/>
        <w:rPr>
          <w:rFonts w:ascii="Arial" w:hAnsi="Arial" w:cs="Arial"/>
          <w:bCs/>
          <w:sz w:val="22"/>
          <w:lang w:val="es-CO"/>
        </w:rPr>
      </w:pPr>
      <w:r w:rsidRPr="007377E5">
        <w:rPr>
          <w:rFonts w:ascii="Arial" w:hAnsi="Arial" w:cs="Arial"/>
          <w:bCs/>
          <w:sz w:val="22"/>
          <w:lang w:val="es-CO"/>
        </w:rPr>
        <w:t xml:space="preserve">El ordenamiento jurídico colombiano contempla normas claras para evitar la obtención de beneficios personales en asuntos propios de la administración pública, </w:t>
      </w:r>
      <w:r>
        <w:rPr>
          <w:rFonts w:ascii="Arial" w:hAnsi="Arial" w:cs="Arial"/>
          <w:bCs/>
          <w:i/>
          <w:iCs/>
          <w:sz w:val="22"/>
          <w:lang w:val="es-CO"/>
        </w:rPr>
        <w:t>verbi</w:t>
      </w:r>
      <w:r w:rsidRPr="007377E5">
        <w:rPr>
          <w:rFonts w:ascii="Arial" w:hAnsi="Arial" w:cs="Arial"/>
          <w:bCs/>
          <w:i/>
          <w:iCs/>
          <w:sz w:val="22"/>
          <w:lang w:val="es-CO"/>
        </w:rPr>
        <w:t>gracia</w:t>
      </w:r>
      <w:r w:rsidRPr="007377E5">
        <w:rPr>
          <w:rFonts w:ascii="Arial" w:hAnsi="Arial" w:cs="Arial"/>
          <w:bCs/>
          <w:sz w:val="22"/>
          <w:lang w:val="es-CO"/>
        </w:rPr>
        <w:t>, el artículo 127 de la Constitución Política establece una prohibición contractual a los servidores públicos y, en cuanto a aspectos políticos, establece restricciones a ciertos empleados del Estado, incluso en época no electoral</w:t>
      </w:r>
      <w:r w:rsidRPr="007377E5">
        <w:rPr>
          <w:rStyle w:val="Refdenotaalpie"/>
          <w:rFonts w:ascii="Arial" w:hAnsi="Arial" w:cs="Arial"/>
          <w:bCs/>
          <w:sz w:val="22"/>
          <w:lang w:val="es-CO"/>
        </w:rPr>
        <w:footnoteReference w:id="3"/>
      </w:r>
      <w:r w:rsidRPr="007377E5">
        <w:rPr>
          <w:rFonts w:ascii="Arial" w:hAnsi="Arial" w:cs="Arial"/>
          <w:bCs/>
          <w:sz w:val="22"/>
          <w:lang w:val="es-CO"/>
        </w:rPr>
        <w:t xml:space="preserve">. </w:t>
      </w:r>
    </w:p>
    <w:p w14:paraId="622AD040" w14:textId="3C81C3AA" w:rsidR="00E03A73" w:rsidRPr="007377E5" w:rsidRDefault="00E03A73" w:rsidP="00E03A73">
      <w:pPr>
        <w:tabs>
          <w:tab w:val="left" w:pos="426"/>
        </w:tabs>
        <w:spacing w:before="120"/>
        <w:rPr>
          <w:rFonts w:ascii="Arial" w:eastAsia="Times New Roman" w:hAnsi="Arial" w:cs="Arial"/>
          <w:sz w:val="21"/>
          <w:szCs w:val="21"/>
          <w:lang w:val="es-ES" w:eastAsia="es-CO"/>
        </w:rPr>
      </w:pPr>
      <w:r w:rsidRPr="007377E5">
        <w:rPr>
          <w:rFonts w:ascii="Arial" w:eastAsia="Times New Roman" w:hAnsi="Arial" w:cs="Arial"/>
          <w:bCs/>
          <w:color w:val="000000"/>
          <w:sz w:val="22"/>
          <w:lang w:val="es-CO" w:eastAsia="es-CO"/>
        </w:rPr>
        <w:tab/>
      </w:r>
      <w:r w:rsidRPr="007377E5">
        <w:rPr>
          <w:rFonts w:ascii="Arial" w:eastAsia="Times New Roman" w:hAnsi="Arial" w:cs="Arial"/>
          <w:bCs/>
          <w:color w:val="000000"/>
          <w:sz w:val="22"/>
          <w:lang w:val="es-CO" w:eastAsia="es-CO"/>
        </w:rPr>
        <w:tab/>
        <w:t>En el mismo sentido</w:t>
      </w:r>
      <w:r w:rsidRPr="007377E5">
        <w:rPr>
          <w:rFonts w:ascii="Arial" w:eastAsia="Times New Roman" w:hAnsi="Arial" w:cs="Arial"/>
          <w:bCs/>
          <w:color w:val="000000"/>
          <w:sz w:val="22"/>
          <w:lang w:eastAsia="es-CO"/>
        </w:rPr>
        <w:t xml:space="preserve">, la Ley 996 de 2005 se suma al andamiaje de orden constitucional y legal que se ha ocupado de evitar la injerencia inadecuada de intereses particulares en el ejercicio de la función pública. Esta Ley, como consta en la Gaceta del Congreso de la República No. 71 del 2005, tiene como propósito evitar cualquier tipo de </w:t>
      </w:r>
      <w:r w:rsidRPr="007377E5">
        <w:rPr>
          <w:rFonts w:ascii="Arial" w:eastAsia="Times New Roman" w:hAnsi="Arial" w:cs="Arial"/>
          <w:bCs/>
          <w:color w:val="000000"/>
          <w:sz w:val="22"/>
          <w:lang w:eastAsia="es-CO"/>
        </w:rPr>
        <w:lastRenderedPageBreak/>
        <w:t>arbitrariedad, de ventaja injustificada, de uso irregular de los recursos del Estado en las campañas o falta de garantías en la elección presidencial. Ello, introduciendo en el ordenamiento jurídico limitaciones para realizar nombramientos, postulaciones, contrataciones o cualquier otro tipo de actividad que implique destinación de recursos públicos bajo el devenir propio de las entidades estatales.</w:t>
      </w:r>
      <w:r w:rsidRPr="007377E5">
        <w:rPr>
          <w:rFonts w:ascii="Arial" w:hAnsi="Arial" w:cs="Arial"/>
          <w:noProof/>
          <w:sz w:val="22"/>
          <w:lang w:val="es-ES_tradnl"/>
        </w:rPr>
        <w:t xml:space="preserve"> </w:t>
      </w:r>
      <w:r w:rsidRPr="007377E5">
        <w:rPr>
          <w:rFonts w:ascii="Arial" w:eastAsia="Times New Roman" w:hAnsi="Arial" w:cs="Arial"/>
          <w:bCs/>
          <w:color w:val="000000"/>
          <w:sz w:val="22"/>
          <w:lang w:eastAsia="es-CO"/>
        </w:rPr>
        <w:t>En armonía con lo anterior, la Corte Constitucional ha abordado la definición y señalado los propósitos de una ley de garantías, así:</w:t>
      </w:r>
    </w:p>
    <w:p w14:paraId="1DA7A0C9" w14:textId="77777777" w:rsidR="0012599F" w:rsidRPr="0012599F" w:rsidRDefault="0012599F" w:rsidP="0012599F">
      <w:pPr>
        <w:spacing w:after="0" w:line="240" w:lineRule="auto"/>
        <w:ind w:left="709" w:right="709"/>
        <w:rPr>
          <w:sz w:val="21"/>
          <w:szCs w:val="21"/>
        </w:rPr>
      </w:pPr>
      <w:r w:rsidRPr="0012599F">
        <w:rPr>
          <w:rFonts w:ascii="Arial" w:eastAsia="Arial" w:hAnsi="Arial" w:cs="Arial"/>
          <w:sz w:val="21"/>
          <w:szCs w:val="21"/>
        </w:rPr>
        <w:t>[…] la definición de reglas claras que permitan acceder a los canales de expresión democrática de manera efectiva e igualitaria. El objetivo de una ley de garantías es definir esas reglas.</w:t>
      </w:r>
    </w:p>
    <w:p w14:paraId="42CFF797" w14:textId="77777777" w:rsidR="0012599F" w:rsidRPr="0012599F" w:rsidRDefault="0012599F" w:rsidP="0012599F">
      <w:pPr>
        <w:spacing w:after="120" w:line="240" w:lineRule="auto"/>
        <w:ind w:left="709" w:right="709"/>
        <w:rPr>
          <w:sz w:val="21"/>
          <w:szCs w:val="21"/>
        </w:rPr>
      </w:pPr>
      <w:r w:rsidRPr="0012599F">
        <w:rPr>
          <w:rFonts w:ascii="Arial" w:eastAsia="Arial" w:hAnsi="Arial" w:cs="Arial"/>
          <w:sz w:val="21"/>
          <w:szCs w:val="21"/>
        </w:rPr>
        <w:t xml:space="preserve">[…] </w:t>
      </w:r>
    </w:p>
    <w:p w14:paraId="3F5A3B04" w14:textId="77777777" w:rsidR="0012599F" w:rsidRPr="0012599F" w:rsidRDefault="0012599F" w:rsidP="0012599F">
      <w:pPr>
        <w:spacing w:after="0" w:line="240" w:lineRule="auto"/>
        <w:ind w:left="709" w:right="709"/>
        <w:rPr>
          <w:sz w:val="21"/>
          <w:szCs w:val="21"/>
        </w:rPr>
      </w:pPr>
      <w:r w:rsidRPr="0012599F">
        <w:rPr>
          <w:rFonts w:ascii="Arial" w:eastAsia="Arial" w:hAnsi="Arial" w:cs="Arial"/>
          <w:sz w:val="21"/>
          <w:szCs w:val="21"/>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12599F">
        <w:rPr>
          <w:rFonts w:ascii="Arial" w:eastAsia="Arial" w:hAnsi="Arial" w:cs="Arial"/>
          <w:sz w:val="21"/>
          <w:szCs w:val="21"/>
          <w:vertAlign w:val="superscript"/>
        </w:rPr>
        <w:footnoteReference w:id="4"/>
      </w:r>
    </w:p>
    <w:p w14:paraId="0E414D92" w14:textId="77777777" w:rsidR="00E03A73" w:rsidRPr="0012599F" w:rsidRDefault="00E03A73">
      <w:pPr>
        <w:tabs>
          <w:tab w:val="left" w:pos="426"/>
        </w:tabs>
        <w:spacing w:after="120"/>
        <w:rPr>
          <w:rFonts w:ascii="Arial" w:eastAsia="Arial" w:hAnsi="Arial" w:cs="Arial"/>
          <w:sz w:val="21"/>
          <w:szCs w:val="21"/>
        </w:rPr>
      </w:pPr>
    </w:p>
    <w:p w14:paraId="14D28DE3" w14:textId="5D0D802C" w:rsidR="00D73348" w:rsidRPr="00D22117" w:rsidRDefault="00DA2883">
      <w:pPr>
        <w:spacing w:after="0"/>
        <w:ind w:firstLine="709"/>
        <w:rPr>
          <w:rFonts w:ascii="Arial" w:eastAsia="Arial" w:hAnsi="Arial" w:cs="Arial"/>
          <w:sz w:val="22"/>
          <w:szCs w:val="22"/>
        </w:rPr>
      </w:pPr>
      <w:bookmarkStart w:id="9" w:name="_17dp8vu" w:colFirst="0" w:colLast="0"/>
      <w:bookmarkEnd w:id="9"/>
      <w:r w:rsidRPr="00D22117">
        <w:rPr>
          <w:rFonts w:ascii="Arial" w:eastAsia="Arial" w:hAnsi="Arial" w:cs="Arial"/>
          <w:sz w:val="22"/>
          <w:szCs w:val="22"/>
        </w:rPr>
        <w:t>En este contexto, la Ley de Garantías Electorales establece el marco jurídico para el desarrollo de las elecciones, procurando condiciones de igualdad y transparencia para los aspirantes</w:t>
      </w:r>
      <w:r w:rsidR="00405CE1">
        <w:rPr>
          <w:rFonts w:ascii="Arial" w:eastAsia="Arial" w:hAnsi="Arial" w:cs="Arial"/>
          <w:sz w:val="22"/>
          <w:szCs w:val="22"/>
        </w:rPr>
        <w:t>.</w:t>
      </w:r>
      <w:r w:rsidRPr="00D22117">
        <w:rPr>
          <w:rFonts w:ascii="Arial" w:eastAsia="Arial" w:hAnsi="Arial" w:cs="Arial"/>
          <w:sz w:val="22"/>
          <w:szCs w:val="22"/>
        </w:rPr>
        <w:t xml:space="preserve"> </w:t>
      </w:r>
      <w:r w:rsidR="00405CE1">
        <w:rPr>
          <w:rFonts w:ascii="Arial" w:eastAsia="Arial" w:hAnsi="Arial" w:cs="Arial"/>
          <w:sz w:val="22"/>
          <w:szCs w:val="22"/>
        </w:rPr>
        <w:t>P</w:t>
      </w:r>
      <w:r w:rsidRPr="00D22117">
        <w:rPr>
          <w:rFonts w:ascii="Arial" w:eastAsia="Arial" w:hAnsi="Arial" w:cs="Arial"/>
          <w:sz w:val="22"/>
          <w:szCs w:val="22"/>
        </w:rPr>
        <w:t>aralelamente</w:t>
      </w:r>
      <w:r w:rsidR="00405CE1">
        <w:rPr>
          <w:rFonts w:ascii="Arial" w:eastAsia="Arial" w:hAnsi="Arial" w:cs="Arial"/>
          <w:sz w:val="22"/>
          <w:szCs w:val="22"/>
        </w:rPr>
        <w:t>,</w:t>
      </w:r>
      <w:r w:rsidRPr="00D22117">
        <w:rPr>
          <w:rFonts w:ascii="Arial" w:eastAsia="Arial" w:hAnsi="Arial" w:cs="Arial"/>
          <w:sz w:val="22"/>
          <w:szCs w:val="22"/>
        </w:rPr>
        <w:t xml:space="preserve"> se incluyen </w:t>
      </w:r>
      <w:r w:rsidR="00405CE1">
        <w:rPr>
          <w:rFonts w:ascii="Arial" w:eastAsia="Arial" w:hAnsi="Arial" w:cs="Arial"/>
          <w:sz w:val="22"/>
          <w:szCs w:val="22"/>
        </w:rPr>
        <w:t xml:space="preserve">en la citada norma </w:t>
      </w:r>
      <w:r w:rsidRPr="00D22117">
        <w:rPr>
          <w:rFonts w:ascii="Arial" w:eastAsia="Arial" w:hAnsi="Arial" w:cs="Arial"/>
          <w:sz w:val="22"/>
          <w:szCs w:val="22"/>
        </w:rPr>
        <w:t>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6C99FC41" w14:textId="77777777" w:rsidR="00D73348" w:rsidRPr="00D22117" w:rsidRDefault="00D73348">
      <w:pPr>
        <w:spacing w:after="0"/>
        <w:ind w:firstLine="709"/>
        <w:rPr>
          <w:rFonts w:ascii="Arial" w:eastAsia="Arial" w:hAnsi="Arial" w:cs="Arial"/>
          <w:sz w:val="22"/>
          <w:szCs w:val="22"/>
        </w:rPr>
      </w:pPr>
    </w:p>
    <w:p w14:paraId="6A6F2BB1" w14:textId="77777777" w:rsidR="00D73348" w:rsidRPr="00D22117" w:rsidRDefault="00DA2883">
      <w:pPr>
        <w:spacing w:after="120" w:line="240" w:lineRule="auto"/>
        <w:ind w:left="709" w:right="709"/>
      </w:pPr>
      <w:r w:rsidRPr="00D22117">
        <w:rPr>
          <w:rFonts w:ascii="Arial" w:eastAsia="Arial" w:hAnsi="Arial" w:cs="Arial"/>
          <w:sz w:val="21"/>
          <w:szCs w:val="21"/>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w:t>
      </w:r>
      <w:r w:rsidRPr="00D22117">
        <w:rPr>
          <w:rFonts w:ascii="Arial" w:eastAsia="Arial" w:hAnsi="Arial" w:cs="Arial"/>
          <w:sz w:val="21"/>
          <w:szCs w:val="21"/>
        </w:rPr>
        <w:lastRenderedPageBreak/>
        <w:t>conjunto de disposiciones que integran un régimen jurídico imperativo y de orden público, razón por la cual no son disponibles ni pueden ser derogadas, modificadas, ampliadas o adicionadas por acuerdo o convenio o acto unilateral.</w:t>
      </w:r>
    </w:p>
    <w:p w14:paraId="45EC1CA9" w14:textId="77777777" w:rsidR="00D73348" w:rsidRPr="00D22117" w:rsidRDefault="00DA2883">
      <w:pPr>
        <w:spacing w:after="0" w:line="240" w:lineRule="auto"/>
        <w:ind w:left="709" w:right="709"/>
      </w:pPr>
      <w:r w:rsidRPr="00D22117">
        <w:rPr>
          <w:rFonts w:ascii="Arial" w:eastAsia="Arial" w:hAnsi="Arial" w:cs="Arial"/>
          <w:sz w:val="21"/>
          <w:szCs w:val="21"/>
        </w:rPr>
        <w:t>La jurisprudencia de la Corte Constitucional</w:t>
      </w:r>
      <w:r w:rsidRPr="00D22117">
        <w:rPr>
          <w:rFonts w:ascii="Arial" w:eastAsia="Arial" w:hAnsi="Arial" w:cs="Arial"/>
          <w:sz w:val="21"/>
          <w:szCs w:val="21"/>
          <w:vertAlign w:val="superscript"/>
        </w:rPr>
        <w:footnoteReference w:id="5"/>
      </w:r>
      <w:r w:rsidRPr="00D22117">
        <w:rPr>
          <w:rFonts w:ascii="Arial" w:eastAsia="Arial" w:hAnsi="Arial" w:cs="Arial"/>
          <w:sz w:val="21"/>
          <w:szCs w:val="21"/>
        </w:rPr>
        <w:t> y del Consejo de Estado</w:t>
      </w:r>
      <w:r w:rsidRPr="00D22117">
        <w:rPr>
          <w:rFonts w:ascii="Arial" w:eastAsia="Arial" w:hAnsi="Arial" w:cs="Arial"/>
          <w:sz w:val="21"/>
          <w:szCs w:val="21"/>
          <w:vertAlign w:val="superscript"/>
        </w:rPr>
        <w:footnoteReference w:id="6"/>
      </w:r>
      <w:r w:rsidRPr="00D22117">
        <w:rPr>
          <w:rFonts w:ascii="Arial" w:eastAsia="Arial" w:hAnsi="Arial" w:cs="Arial"/>
          <w:sz w:val="21"/>
          <w:szCs w:val="21"/>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D22117">
        <w:rPr>
          <w:rFonts w:ascii="Arial" w:eastAsia="Arial" w:hAnsi="Arial" w:cs="Arial"/>
          <w:sz w:val="22"/>
          <w:szCs w:val="22"/>
          <w:vertAlign w:val="superscript"/>
        </w:rPr>
        <w:footnoteReference w:id="7"/>
      </w:r>
      <w:r w:rsidRPr="00D22117">
        <w:rPr>
          <w:rFonts w:ascii="Arial" w:eastAsia="Arial" w:hAnsi="Arial" w:cs="Arial"/>
          <w:sz w:val="21"/>
          <w:szCs w:val="21"/>
        </w:rPr>
        <w:t>.</w:t>
      </w:r>
    </w:p>
    <w:p w14:paraId="0E1466CD" w14:textId="77777777" w:rsidR="00D73348" w:rsidRPr="00D22117" w:rsidRDefault="00D73348">
      <w:pPr>
        <w:spacing w:after="0"/>
        <w:ind w:right="709"/>
        <w:rPr>
          <w:rFonts w:ascii="Arial" w:eastAsia="Arial" w:hAnsi="Arial" w:cs="Arial"/>
          <w:sz w:val="21"/>
          <w:szCs w:val="21"/>
        </w:rPr>
      </w:pPr>
    </w:p>
    <w:p w14:paraId="3FB86D10" w14:textId="2F0B054B" w:rsidR="00D73348" w:rsidRPr="00D22117" w:rsidRDefault="00DA2883">
      <w:pPr>
        <w:spacing w:after="120"/>
        <w:rPr>
          <w:rFonts w:ascii="Arial" w:eastAsia="Arial" w:hAnsi="Arial" w:cs="Arial"/>
          <w:sz w:val="22"/>
          <w:szCs w:val="22"/>
        </w:rPr>
      </w:pPr>
      <w:bookmarkStart w:id="10" w:name="_3rdcrjn" w:colFirst="0" w:colLast="0"/>
      <w:bookmarkEnd w:id="10"/>
      <w:r w:rsidRPr="00D22117">
        <w:rPr>
          <w:rFonts w:ascii="Arial" w:eastAsia="Arial" w:hAnsi="Arial" w:cs="Arial"/>
          <w:sz w:val="22"/>
          <w:szCs w:val="22"/>
        </w:rPr>
        <w:tab/>
        <w:t xml:space="preserve">De conformidad con lo anterior, la Ley de Garantías Electorales fijó una serie de regulaciones y prohibiciones dirigidas a los servidores públicos. Específicamente, las restricciones consagradas en </w:t>
      </w:r>
      <w:r w:rsidR="00405CE1">
        <w:rPr>
          <w:rFonts w:ascii="Arial" w:eastAsia="Arial" w:hAnsi="Arial" w:cs="Arial"/>
          <w:sz w:val="22"/>
          <w:szCs w:val="22"/>
        </w:rPr>
        <w:t>dicha</w:t>
      </w:r>
      <w:r w:rsidRPr="00D22117">
        <w:rPr>
          <w:rFonts w:ascii="Arial" w:eastAsia="Arial" w:hAnsi="Arial" w:cs="Arial"/>
          <w:sz w:val="22"/>
          <w:szCs w:val="22"/>
        </w:rPr>
        <w:t xml:space="preserve"> ley </w:t>
      </w:r>
      <w:r w:rsidR="006E5DB4">
        <w:rPr>
          <w:rFonts w:ascii="Arial" w:eastAsia="Arial" w:hAnsi="Arial" w:cs="Arial"/>
          <w:sz w:val="22"/>
          <w:szCs w:val="22"/>
        </w:rPr>
        <w:t>aluden</w:t>
      </w:r>
      <w:r w:rsidRPr="00D22117">
        <w:rPr>
          <w:rFonts w:ascii="Arial" w:eastAsia="Arial" w:hAnsi="Arial" w:cs="Arial"/>
          <w:sz w:val="22"/>
          <w:szCs w:val="22"/>
        </w:rPr>
        <w:t xml:space="preserve"> a dos (2) tipos de campañas electorales claramente diferenciadas: las presidenciales y las demás que se adelanten para la elección de los demás cargos de elección popular, tanto a nivel nacional como a nivel territorial.</w:t>
      </w:r>
      <w:r w:rsidR="00A0483F">
        <w:rPr>
          <w:rStyle w:val="Refdenotaalpie"/>
          <w:rFonts w:ascii="Arial" w:eastAsia="Arial" w:hAnsi="Arial" w:cs="Arial"/>
          <w:sz w:val="22"/>
          <w:szCs w:val="22"/>
        </w:rPr>
        <w:footnoteReference w:id="8"/>
      </w:r>
    </w:p>
    <w:p w14:paraId="213CC732" w14:textId="387A82DC" w:rsidR="00D73348" w:rsidRDefault="00405CE1" w:rsidP="00E03A73">
      <w:pPr>
        <w:spacing w:after="120"/>
        <w:ind w:firstLine="708"/>
        <w:rPr>
          <w:rFonts w:ascii="Arial" w:eastAsia="Arial" w:hAnsi="Arial" w:cs="Arial"/>
          <w:sz w:val="22"/>
          <w:szCs w:val="22"/>
        </w:rPr>
      </w:pPr>
      <w:r>
        <w:rPr>
          <w:rFonts w:ascii="Arial" w:eastAsia="Arial" w:hAnsi="Arial" w:cs="Arial"/>
          <w:sz w:val="22"/>
          <w:szCs w:val="22"/>
        </w:rPr>
        <w:lastRenderedPageBreak/>
        <w:t>En ese sentido, p</w:t>
      </w:r>
      <w:r w:rsidR="00DA2883" w:rsidRPr="00D22117">
        <w:rPr>
          <w:rFonts w:ascii="Arial" w:eastAsia="Arial" w:hAnsi="Arial" w:cs="Arial"/>
          <w:sz w:val="22"/>
          <w:szCs w:val="22"/>
        </w:rPr>
        <w:t>or un lado, el artículo 33 de la Ley 996 de 2005 pro</w:t>
      </w:r>
      <w:r w:rsidR="00E03A73">
        <w:rPr>
          <w:rFonts w:ascii="Arial" w:eastAsia="Arial" w:hAnsi="Arial" w:cs="Arial"/>
          <w:sz w:val="22"/>
          <w:szCs w:val="22"/>
        </w:rPr>
        <w:t xml:space="preserve">híbe </w:t>
      </w:r>
      <w:r w:rsidR="00DA2883" w:rsidRPr="00D22117">
        <w:rPr>
          <w:rFonts w:ascii="Arial" w:eastAsia="Arial" w:hAnsi="Arial" w:cs="Arial"/>
          <w:sz w:val="22"/>
          <w:szCs w:val="22"/>
        </w:rPr>
        <w:t>la</w:t>
      </w:r>
      <w:r w:rsidR="00E03A73">
        <w:rPr>
          <w:rFonts w:ascii="Arial" w:eastAsia="Arial" w:hAnsi="Arial" w:cs="Arial"/>
          <w:sz w:val="22"/>
          <w:szCs w:val="22"/>
        </w:rPr>
        <w:t xml:space="preserve"> modalidad de </w:t>
      </w:r>
      <w:r w:rsidR="00DA2883" w:rsidRPr="00D22117">
        <w:rPr>
          <w:rFonts w:ascii="Arial" w:eastAsia="Arial" w:hAnsi="Arial" w:cs="Arial"/>
          <w:sz w:val="22"/>
          <w:szCs w:val="22"/>
        </w:rPr>
        <w:t xml:space="preserve"> </w:t>
      </w:r>
      <w:r w:rsidR="00DA2883" w:rsidRPr="00E367EF">
        <w:rPr>
          <w:rFonts w:ascii="Arial" w:eastAsia="Arial" w:hAnsi="Arial" w:cs="Arial"/>
          <w:sz w:val="22"/>
          <w:szCs w:val="22"/>
        </w:rPr>
        <w:t>contratación directa</w:t>
      </w:r>
      <w:r w:rsidR="00DA2883" w:rsidRPr="00D22117">
        <w:rPr>
          <w:rFonts w:ascii="Arial" w:eastAsia="Arial" w:hAnsi="Arial" w:cs="Arial"/>
          <w:sz w:val="22"/>
          <w:szCs w:val="22"/>
        </w:rPr>
        <w:t xml:space="preserve"> por parte de </w:t>
      </w:r>
      <w:r w:rsidR="00DA2883" w:rsidRPr="00E30218">
        <w:rPr>
          <w:rFonts w:ascii="Arial" w:eastAsia="Arial" w:hAnsi="Arial" w:cs="Arial"/>
          <w:i/>
          <w:sz w:val="22"/>
          <w:szCs w:val="22"/>
        </w:rPr>
        <w:t>todos</w:t>
      </w:r>
      <w:r w:rsidR="00DA2883" w:rsidRPr="00D22117">
        <w:rPr>
          <w:rFonts w:ascii="Arial" w:eastAsia="Arial" w:hAnsi="Arial" w:cs="Arial"/>
          <w:sz w:val="22"/>
          <w:szCs w:val="22"/>
        </w:rPr>
        <w:t xml:space="preserve"> los entes del Estado durante los cuatro (4) meses anteriores a las elecciones presidenciales, salvo</w:t>
      </w:r>
      <w:r w:rsidR="00E03A73">
        <w:rPr>
          <w:rFonts w:ascii="Arial" w:eastAsia="Arial" w:hAnsi="Arial" w:cs="Arial"/>
          <w:sz w:val="22"/>
          <w:szCs w:val="22"/>
        </w:rPr>
        <w:t xml:space="preserve"> las excepciones allí contempladas.</w:t>
      </w:r>
      <w:r w:rsidR="00DA2883" w:rsidRPr="00D22117">
        <w:rPr>
          <w:rFonts w:ascii="Arial" w:eastAsia="Arial" w:hAnsi="Arial" w:cs="Arial"/>
          <w:sz w:val="22"/>
          <w:szCs w:val="22"/>
          <w:vertAlign w:val="superscript"/>
        </w:rPr>
        <w:footnoteReference w:id="9"/>
      </w:r>
      <w:r w:rsidR="00E03A73">
        <w:rPr>
          <w:rFonts w:ascii="Arial" w:eastAsia="Arial" w:hAnsi="Arial" w:cs="Arial"/>
          <w:sz w:val="22"/>
          <w:szCs w:val="22"/>
        </w:rPr>
        <w:t xml:space="preserve">  E</w:t>
      </w:r>
      <w:r w:rsidR="00E30218">
        <w:rPr>
          <w:rFonts w:ascii="Arial" w:eastAsia="Arial" w:hAnsi="Arial" w:cs="Arial"/>
          <w:sz w:val="22"/>
          <w:szCs w:val="22"/>
        </w:rPr>
        <w:t>st</w:t>
      </w:r>
      <w:r w:rsidR="00E03A73">
        <w:rPr>
          <w:rFonts w:ascii="Arial" w:eastAsia="Arial" w:hAnsi="Arial" w:cs="Arial"/>
          <w:sz w:val="22"/>
          <w:szCs w:val="22"/>
        </w:rPr>
        <w:t>o implica que</w:t>
      </w:r>
      <w:r>
        <w:rPr>
          <w:rFonts w:ascii="Arial" w:eastAsia="Arial" w:hAnsi="Arial" w:cs="Arial"/>
          <w:sz w:val="22"/>
          <w:szCs w:val="22"/>
        </w:rPr>
        <w:t>,</w:t>
      </w:r>
      <w:r w:rsidR="00E03A73">
        <w:rPr>
          <w:rFonts w:ascii="Arial" w:eastAsia="Arial" w:hAnsi="Arial" w:cs="Arial"/>
          <w:sz w:val="22"/>
          <w:szCs w:val="22"/>
        </w:rPr>
        <w:t xml:space="preserve"> </w:t>
      </w:r>
      <w:r w:rsidR="00E30218">
        <w:rPr>
          <w:rFonts w:ascii="Arial" w:eastAsia="Arial" w:hAnsi="Arial" w:cs="Arial"/>
          <w:sz w:val="22"/>
          <w:szCs w:val="22"/>
        </w:rPr>
        <w:t>durante este lapso, ningún ente del Estado pueda realizar la selección de cont</w:t>
      </w:r>
      <w:r w:rsidR="00477563">
        <w:rPr>
          <w:rFonts w:ascii="Arial" w:eastAsia="Arial" w:hAnsi="Arial" w:cs="Arial"/>
          <w:sz w:val="22"/>
          <w:szCs w:val="22"/>
        </w:rPr>
        <w:t>ratistas mediante la modalidad de contratación directa</w:t>
      </w:r>
      <w:r w:rsidR="00E30218">
        <w:rPr>
          <w:rFonts w:ascii="Arial" w:eastAsia="Arial" w:hAnsi="Arial" w:cs="Arial"/>
          <w:sz w:val="22"/>
          <w:szCs w:val="22"/>
        </w:rPr>
        <w:t xml:space="preserve"> regulada en el numeral 4 del artículo 2 de la Ley 1150 de 2007</w:t>
      </w:r>
      <w:r>
        <w:rPr>
          <w:rFonts w:ascii="Arial" w:eastAsia="Arial" w:hAnsi="Arial" w:cs="Arial"/>
          <w:sz w:val="22"/>
          <w:szCs w:val="22"/>
        </w:rPr>
        <w:t>,</w:t>
      </w:r>
      <w:r w:rsidR="00E30218">
        <w:rPr>
          <w:rFonts w:ascii="Arial" w:eastAsia="Arial" w:hAnsi="Arial" w:cs="Arial"/>
          <w:sz w:val="22"/>
          <w:szCs w:val="22"/>
        </w:rPr>
        <w:t xml:space="preserve"> que contempla </w:t>
      </w:r>
      <w:r w:rsidR="00E30218" w:rsidRPr="00253075">
        <w:rPr>
          <w:rFonts w:ascii="Arial" w:eastAsia="Arial" w:hAnsi="Arial" w:cs="Arial"/>
          <w:sz w:val="22"/>
          <w:szCs w:val="22"/>
        </w:rPr>
        <w:t>actualmente once causales</w:t>
      </w:r>
      <w:r w:rsidR="00253075" w:rsidRPr="007377E5">
        <w:rPr>
          <w:rStyle w:val="Refdenotaalpie"/>
          <w:rFonts w:ascii="Arial" w:eastAsia="Times New Roman" w:hAnsi="Arial" w:cs="Arial"/>
          <w:bCs/>
          <w:color w:val="000000" w:themeColor="text1"/>
          <w:sz w:val="22"/>
        </w:rPr>
        <w:footnoteReference w:id="10"/>
      </w:r>
      <w:r>
        <w:rPr>
          <w:rFonts w:ascii="Arial" w:eastAsia="Arial" w:hAnsi="Arial" w:cs="Arial"/>
          <w:sz w:val="22"/>
          <w:szCs w:val="22"/>
        </w:rPr>
        <w:t>;</w:t>
      </w:r>
      <w:r w:rsidR="00E30218">
        <w:rPr>
          <w:rFonts w:ascii="Arial" w:eastAsia="Arial" w:hAnsi="Arial" w:cs="Arial"/>
          <w:sz w:val="22"/>
          <w:szCs w:val="22"/>
        </w:rPr>
        <w:t xml:space="preserve"> o</w:t>
      </w:r>
      <w:r w:rsidR="00253075">
        <w:rPr>
          <w:rFonts w:ascii="Arial" w:eastAsia="Arial" w:hAnsi="Arial" w:cs="Arial"/>
          <w:sz w:val="22"/>
          <w:szCs w:val="22"/>
        </w:rPr>
        <w:t>, en</w:t>
      </w:r>
      <w:r w:rsidR="00E30218">
        <w:rPr>
          <w:rFonts w:ascii="Arial" w:eastAsia="Arial" w:hAnsi="Arial" w:cs="Arial"/>
          <w:sz w:val="22"/>
          <w:szCs w:val="22"/>
        </w:rPr>
        <w:t xml:space="preserve"> el caso de los entes </w:t>
      </w:r>
      <w:r w:rsidR="00477563">
        <w:rPr>
          <w:rFonts w:ascii="Arial" w:eastAsia="Arial" w:hAnsi="Arial" w:cs="Arial"/>
          <w:sz w:val="22"/>
          <w:szCs w:val="22"/>
        </w:rPr>
        <w:t xml:space="preserve">estatales </w:t>
      </w:r>
      <w:r w:rsidR="00E30218">
        <w:rPr>
          <w:rFonts w:ascii="Arial" w:eastAsia="Arial" w:hAnsi="Arial" w:cs="Arial"/>
          <w:sz w:val="22"/>
          <w:szCs w:val="22"/>
        </w:rPr>
        <w:t xml:space="preserve">exceptuados del Estatuto General de </w:t>
      </w:r>
      <w:r w:rsidR="00E30218">
        <w:rPr>
          <w:rFonts w:ascii="Arial" w:eastAsia="Arial" w:hAnsi="Arial" w:cs="Arial"/>
          <w:sz w:val="22"/>
          <w:szCs w:val="22"/>
        </w:rPr>
        <w:lastRenderedPageBreak/>
        <w:t>Contratación de la Administración Pública,</w:t>
      </w:r>
      <w:r w:rsidR="00477563">
        <w:rPr>
          <w:rFonts w:ascii="Arial" w:eastAsia="Arial" w:hAnsi="Arial" w:cs="Arial"/>
          <w:sz w:val="22"/>
          <w:szCs w:val="22"/>
        </w:rPr>
        <w:t xml:space="preserve"> no podrán adelantar</w:t>
      </w:r>
      <w:r w:rsidR="00E30218">
        <w:rPr>
          <w:rFonts w:ascii="Arial" w:eastAsia="Arial" w:hAnsi="Arial" w:cs="Arial"/>
          <w:sz w:val="22"/>
          <w:szCs w:val="22"/>
        </w:rPr>
        <w:t xml:space="preserve"> la contratación directa estipulada en sus manuales de contratación.</w:t>
      </w:r>
    </w:p>
    <w:p w14:paraId="0A955AA5" w14:textId="07253E26" w:rsidR="00A0483F" w:rsidRPr="009B1715" w:rsidRDefault="00477563" w:rsidP="00A0483F">
      <w:pPr>
        <w:spacing w:after="120"/>
        <w:ind w:firstLine="709"/>
        <w:rPr>
          <w:rFonts w:ascii="Arial" w:eastAsia="Arial" w:hAnsi="Arial" w:cs="Arial"/>
          <w:sz w:val="22"/>
          <w:szCs w:val="22"/>
          <w:u w:val="single"/>
        </w:rPr>
      </w:pPr>
      <w:r>
        <w:rPr>
          <w:rFonts w:ascii="Arial" w:eastAsia="Arial" w:hAnsi="Arial" w:cs="Arial"/>
          <w:sz w:val="22"/>
          <w:szCs w:val="22"/>
        </w:rPr>
        <w:t>Cabe destacar que e</w:t>
      </w:r>
      <w:r w:rsidR="00A0483F" w:rsidRPr="009B1715">
        <w:rPr>
          <w:rFonts w:ascii="Arial" w:eastAsia="Arial" w:hAnsi="Arial" w:cs="Arial"/>
          <w:sz w:val="22"/>
          <w:szCs w:val="22"/>
        </w:rPr>
        <w:t xml:space="preserve">l artículo 33 de la Ley 996 de 2005 señala expresamente a los destinatarios de la prohibición, en el sentido de que son «todos los entes del Estado», expresión que contempla a los diferentes organismos o entidades autorizadas por la ley para suscribir contratos, </w:t>
      </w:r>
      <w:r w:rsidR="00A0483F" w:rsidRPr="009B1715">
        <w:rPr>
          <w:rFonts w:ascii="Arial" w:hAnsi="Arial" w:cs="Arial"/>
          <w:color w:val="000000" w:themeColor="text1"/>
          <w:sz w:val="22"/>
        </w:rPr>
        <w:t>sin importar su régimen jurídico, forma de organización o naturaleza, pertenencia</w:t>
      </w:r>
      <w:r w:rsidR="00A0483F" w:rsidRPr="00146827">
        <w:rPr>
          <w:rFonts w:ascii="Arial" w:hAnsi="Arial" w:cs="Arial"/>
          <w:color w:val="000000" w:themeColor="text1"/>
          <w:sz w:val="22"/>
        </w:rPr>
        <w:t xml:space="preserve"> a una u otra rama del poder público o su autonomía</w:t>
      </w:r>
      <w:r w:rsidR="00A0483F">
        <w:rPr>
          <w:rFonts w:ascii="Arial" w:hAnsi="Arial" w:cs="Arial"/>
          <w:color w:val="000000" w:themeColor="text1"/>
          <w:sz w:val="22"/>
        </w:rPr>
        <w:t xml:space="preserve">.  </w:t>
      </w:r>
    </w:p>
    <w:p w14:paraId="4FCBCF38" w14:textId="47A4F75D" w:rsidR="00671E45" w:rsidRDefault="00DA2883" w:rsidP="00A0483F">
      <w:pPr>
        <w:spacing w:after="120"/>
        <w:ind w:firstLine="709"/>
        <w:rPr>
          <w:rFonts w:ascii="Arial" w:eastAsia="Arial" w:hAnsi="Arial" w:cs="Arial"/>
          <w:sz w:val="22"/>
          <w:szCs w:val="22"/>
        </w:rPr>
      </w:pPr>
      <w:r w:rsidRPr="00D22117">
        <w:rPr>
          <w:rFonts w:ascii="Arial" w:eastAsia="Arial" w:hAnsi="Arial" w:cs="Arial"/>
          <w:sz w:val="22"/>
          <w:szCs w:val="22"/>
        </w:rPr>
        <w:t xml:space="preserve">Por otro lado, el parágrafo del artículo 38 de la Ley 996 de 2005 prevé una restricción aplicable respecto de cualquier tipo de contienda electoral, </w:t>
      </w:r>
      <w:r w:rsidR="00671E45">
        <w:rPr>
          <w:rFonts w:ascii="Arial" w:eastAsia="Arial" w:hAnsi="Arial" w:cs="Arial"/>
          <w:sz w:val="22"/>
          <w:szCs w:val="22"/>
        </w:rPr>
        <w:t xml:space="preserve">incluidas las elecciones presidenciales, </w:t>
      </w:r>
      <w:r w:rsidRPr="00D22117">
        <w:rPr>
          <w:rFonts w:ascii="Arial" w:eastAsia="Arial" w:hAnsi="Arial" w:cs="Arial"/>
          <w:sz w:val="22"/>
          <w:szCs w:val="22"/>
        </w:rPr>
        <w:t>que prohíbe a los gobernadores, alcaldes municipales o distritales, secretarios, gerentes y directores de entidades descentralizadas del orden municipal,</w:t>
      </w:r>
      <w:r w:rsidR="00E30218">
        <w:rPr>
          <w:rFonts w:ascii="Arial" w:eastAsia="Arial" w:hAnsi="Arial" w:cs="Arial"/>
          <w:sz w:val="22"/>
          <w:szCs w:val="22"/>
        </w:rPr>
        <w:t xml:space="preserve"> departamental o distrital</w:t>
      </w:r>
      <w:r w:rsidR="00DE6C0F">
        <w:rPr>
          <w:rFonts w:ascii="Arial" w:eastAsia="Arial" w:hAnsi="Arial" w:cs="Arial"/>
          <w:sz w:val="22"/>
          <w:szCs w:val="22"/>
        </w:rPr>
        <w:t>,</w:t>
      </w:r>
      <w:r w:rsidR="00E30218">
        <w:rPr>
          <w:rFonts w:ascii="Arial" w:eastAsia="Arial" w:hAnsi="Arial" w:cs="Arial"/>
          <w:sz w:val="22"/>
          <w:szCs w:val="22"/>
        </w:rPr>
        <w:t xml:space="preserve"> </w:t>
      </w:r>
      <w:r w:rsidRPr="00D22117">
        <w:rPr>
          <w:rFonts w:ascii="Arial" w:eastAsia="Arial" w:hAnsi="Arial" w:cs="Arial"/>
          <w:sz w:val="22"/>
          <w:szCs w:val="22"/>
        </w:rPr>
        <w:t xml:space="preserve">celebrar </w:t>
      </w:r>
      <w:r w:rsidRPr="00E367EF">
        <w:rPr>
          <w:rFonts w:ascii="Arial" w:eastAsia="Arial" w:hAnsi="Arial" w:cs="Arial"/>
          <w:sz w:val="22"/>
          <w:szCs w:val="22"/>
        </w:rPr>
        <w:t>convenios interadministrativos</w:t>
      </w:r>
      <w:r w:rsidRPr="00D22117">
        <w:rPr>
          <w:rFonts w:ascii="Arial" w:eastAsia="Arial" w:hAnsi="Arial" w:cs="Arial"/>
          <w:sz w:val="22"/>
          <w:szCs w:val="22"/>
        </w:rPr>
        <w:t xml:space="preserve"> para la ejecución de recursos públicos</w:t>
      </w:r>
      <w:r w:rsidR="00A0483F">
        <w:rPr>
          <w:rFonts w:ascii="Arial" w:eastAsia="Arial" w:hAnsi="Arial" w:cs="Arial"/>
          <w:sz w:val="22"/>
          <w:szCs w:val="22"/>
        </w:rPr>
        <w:t xml:space="preserve"> </w:t>
      </w:r>
      <w:r w:rsidR="00A0483F" w:rsidRPr="00D22117">
        <w:rPr>
          <w:rFonts w:ascii="Arial" w:eastAsia="Arial" w:hAnsi="Arial" w:cs="Arial"/>
          <w:sz w:val="22"/>
          <w:szCs w:val="22"/>
        </w:rPr>
        <w:t>dentro de los cuatro (4) meses anteriores a la r</w:t>
      </w:r>
      <w:r w:rsidR="00A0483F">
        <w:rPr>
          <w:rFonts w:ascii="Arial" w:eastAsia="Arial" w:hAnsi="Arial" w:cs="Arial"/>
          <w:sz w:val="22"/>
          <w:szCs w:val="22"/>
        </w:rPr>
        <w:t>espectiva jornada de votaciones</w:t>
      </w:r>
      <w:r w:rsidRPr="00DF3166">
        <w:rPr>
          <w:rFonts w:ascii="Arial" w:eastAsia="Arial" w:hAnsi="Arial" w:cs="Arial"/>
          <w:sz w:val="19"/>
          <w:szCs w:val="19"/>
          <w:vertAlign w:val="superscript"/>
        </w:rPr>
        <w:footnoteReference w:id="11"/>
      </w:r>
      <w:r w:rsidRPr="00DF3166">
        <w:rPr>
          <w:rFonts w:ascii="Arial" w:eastAsia="Arial" w:hAnsi="Arial" w:cs="Arial"/>
          <w:sz w:val="22"/>
          <w:szCs w:val="22"/>
        </w:rPr>
        <w:t>.</w:t>
      </w:r>
      <w:r w:rsidRPr="00D22117">
        <w:rPr>
          <w:rFonts w:ascii="Arial" w:eastAsia="Arial" w:hAnsi="Arial" w:cs="Arial"/>
          <w:sz w:val="22"/>
          <w:szCs w:val="22"/>
        </w:rPr>
        <w:t xml:space="preserve"> </w:t>
      </w:r>
    </w:p>
    <w:p w14:paraId="72EB799E" w14:textId="001547D6" w:rsidR="004E767E" w:rsidRDefault="00477563" w:rsidP="004E767E">
      <w:pPr>
        <w:spacing w:after="120"/>
        <w:ind w:firstLine="709"/>
        <w:rPr>
          <w:rFonts w:ascii="Arial" w:eastAsia="Arial" w:hAnsi="Arial" w:cs="Arial"/>
          <w:sz w:val="22"/>
          <w:szCs w:val="22"/>
          <w:lang w:val="es-CO"/>
        </w:rPr>
      </w:pPr>
      <w:bookmarkStart w:id="14" w:name="_lnxbz9" w:colFirst="0" w:colLast="0"/>
      <w:bookmarkEnd w:id="14"/>
      <w:r w:rsidRPr="00477563">
        <w:rPr>
          <w:rFonts w:ascii="Arial" w:eastAsia="Arial" w:hAnsi="Arial" w:cs="Arial"/>
          <w:sz w:val="22"/>
          <w:szCs w:val="22"/>
        </w:rPr>
        <w:t>De hecho</w:t>
      </w:r>
      <w:r w:rsidR="009B1715" w:rsidRPr="00477563">
        <w:rPr>
          <w:rFonts w:ascii="Arial" w:eastAsia="Arial" w:hAnsi="Arial" w:cs="Arial"/>
          <w:sz w:val="22"/>
          <w:szCs w:val="22"/>
        </w:rPr>
        <w:t>,</w:t>
      </w:r>
      <w:r w:rsidR="004E767E" w:rsidRPr="00477563">
        <w:rPr>
          <w:rFonts w:ascii="Arial" w:eastAsia="Arial" w:hAnsi="Arial" w:cs="Arial"/>
          <w:sz w:val="22"/>
          <w:szCs w:val="22"/>
          <w:lang w:val="es-CO"/>
        </w:rPr>
        <w:t xml:space="preserve"> </w:t>
      </w:r>
      <w:r w:rsidRPr="00477563">
        <w:rPr>
          <w:rFonts w:ascii="Arial" w:eastAsia="Arial" w:hAnsi="Arial" w:cs="Arial"/>
          <w:sz w:val="22"/>
          <w:szCs w:val="22"/>
          <w:lang w:val="es-CO"/>
        </w:rPr>
        <w:t>conviene</w:t>
      </w:r>
      <w:r>
        <w:rPr>
          <w:rFonts w:ascii="Arial" w:eastAsia="Arial" w:hAnsi="Arial" w:cs="Arial"/>
          <w:sz w:val="22"/>
          <w:szCs w:val="22"/>
          <w:lang w:val="es-CO"/>
        </w:rPr>
        <w:t xml:space="preserve"> resaltar que </w:t>
      </w:r>
      <w:r w:rsidR="00253075">
        <w:rPr>
          <w:rFonts w:ascii="Arial" w:eastAsia="Arial" w:hAnsi="Arial" w:cs="Arial"/>
          <w:sz w:val="22"/>
          <w:szCs w:val="22"/>
          <w:lang w:val="es-CO"/>
        </w:rPr>
        <w:t>este artículo</w:t>
      </w:r>
      <w:r w:rsidR="004E767E" w:rsidRPr="004E767E">
        <w:rPr>
          <w:rFonts w:ascii="Arial" w:eastAsia="Arial" w:hAnsi="Arial" w:cs="Arial"/>
          <w:sz w:val="22"/>
          <w:szCs w:val="22"/>
          <w:lang w:val="es-CO"/>
        </w:rPr>
        <w:t xml:space="preserve"> estableció una lista taxativa de los sujetos frente a los que recae la prohibición en comento</w:t>
      </w:r>
      <w:r>
        <w:rPr>
          <w:rFonts w:ascii="Arial" w:eastAsia="Arial" w:hAnsi="Arial" w:cs="Arial"/>
          <w:sz w:val="22"/>
          <w:szCs w:val="22"/>
          <w:lang w:val="es-CO"/>
        </w:rPr>
        <w:t>, e</w:t>
      </w:r>
      <w:r w:rsidR="004E767E" w:rsidRPr="004E767E">
        <w:rPr>
          <w:rFonts w:ascii="Arial" w:eastAsia="Arial" w:hAnsi="Arial" w:cs="Arial"/>
          <w:sz w:val="22"/>
          <w:szCs w:val="22"/>
          <w:lang w:val="es-CO"/>
        </w:rPr>
        <w:t>s decir, que no aplica a todos los entes del Estado, como ocurre con</w:t>
      </w:r>
      <w:r>
        <w:rPr>
          <w:rFonts w:ascii="Arial" w:eastAsia="Arial" w:hAnsi="Arial" w:cs="Arial"/>
          <w:sz w:val="22"/>
          <w:szCs w:val="22"/>
          <w:lang w:val="es-CO"/>
        </w:rPr>
        <w:t xml:space="preserve"> la restricción del artículo 33, sino únicamente a los sujetos señalados en el parágrafo del artículo 38. </w:t>
      </w:r>
      <w:r w:rsidR="00223C44">
        <w:rPr>
          <w:rFonts w:ascii="Arial" w:eastAsia="Arial" w:hAnsi="Arial" w:cs="Arial"/>
          <w:sz w:val="22"/>
          <w:szCs w:val="22"/>
          <w:lang w:val="es-CO"/>
        </w:rPr>
        <w:t xml:space="preserve"> E</w:t>
      </w:r>
      <w:r w:rsidR="004E767E" w:rsidRPr="004E767E">
        <w:rPr>
          <w:rFonts w:ascii="Arial" w:eastAsia="Arial" w:hAnsi="Arial" w:cs="Arial"/>
          <w:sz w:val="22"/>
          <w:szCs w:val="22"/>
          <w:lang w:val="es-CO"/>
        </w:rPr>
        <w:t>l objeto de la restricción en este caso no es la modalidad de selección del contratista, sino un tipo de contrato: el convenio o contrato interadministrativo para la</w:t>
      </w:r>
      <w:r>
        <w:rPr>
          <w:rFonts w:ascii="Arial" w:eastAsia="Arial" w:hAnsi="Arial" w:cs="Arial"/>
          <w:sz w:val="22"/>
          <w:szCs w:val="22"/>
          <w:lang w:val="es-CO"/>
        </w:rPr>
        <w:t xml:space="preserve"> ejecución de recursos públicos, cualquiera que sea la modalidad de selección del contratista.</w:t>
      </w:r>
    </w:p>
    <w:p w14:paraId="157AF09B" w14:textId="5313EB5B" w:rsidR="00BE20F1" w:rsidRPr="00E367EF" w:rsidRDefault="00BE20F1" w:rsidP="00BE20F1">
      <w:pPr>
        <w:shd w:val="clear" w:color="auto" w:fill="FFFFFF"/>
        <w:spacing w:after="0"/>
        <w:ind w:firstLine="709"/>
        <w:rPr>
          <w:rFonts w:ascii="Arial" w:eastAsia="Arial" w:hAnsi="Arial" w:cs="Arial"/>
          <w:sz w:val="22"/>
          <w:szCs w:val="22"/>
        </w:rPr>
      </w:pPr>
      <w:r w:rsidRPr="00E367EF">
        <w:rPr>
          <w:rFonts w:ascii="Arial" w:eastAsia="Arial" w:hAnsi="Arial" w:cs="Arial"/>
          <w:sz w:val="22"/>
          <w:szCs w:val="22"/>
          <w:lang w:val="es-CO"/>
        </w:rPr>
        <w:t xml:space="preserve">Por otra parte, </w:t>
      </w:r>
      <w:r w:rsidR="00223C44">
        <w:rPr>
          <w:rFonts w:ascii="Arial" w:eastAsia="Arial" w:hAnsi="Arial" w:cs="Arial"/>
          <w:sz w:val="22"/>
          <w:szCs w:val="22"/>
          <w:lang w:val="es-CO"/>
        </w:rPr>
        <w:t xml:space="preserve"> respecto de los comicios del año 2022</w:t>
      </w:r>
      <w:r w:rsidR="00DE6C0F">
        <w:rPr>
          <w:rFonts w:ascii="Arial" w:eastAsia="Arial" w:hAnsi="Arial" w:cs="Arial"/>
          <w:sz w:val="22"/>
          <w:szCs w:val="22"/>
          <w:lang w:val="es-CO"/>
        </w:rPr>
        <w:t>,</w:t>
      </w:r>
      <w:r w:rsidR="00223C44">
        <w:rPr>
          <w:rFonts w:ascii="Arial" w:eastAsia="Arial" w:hAnsi="Arial" w:cs="Arial"/>
          <w:sz w:val="22"/>
          <w:szCs w:val="22"/>
          <w:lang w:val="es-CO"/>
        </w:rPr>
        <w:t xml:space="preserve"> </w:t>
      </w:r>
      <w:r w:rsidR="00223C44" w:rsidRPr="00E367EF">
        <w:rPr>
          <w:rFonts w:ascii="Arial" w:eastAsia="Arial" w:hAnsi="Arial" w:cs="Arial"/>
          <w:sz w:val="22"/>
          <w:szCs w:val="22"/>
          <w:lang w:val="es-CO"/>
        </w:rPr>
        <w:t>es pertinente tener en cuenta</w:t>
      </w:r>
      <w:r w:rsidR="00223C44">
        <w:rPr>
          <w:rFonts w:ascii="Arial" w:eastAsia="Arial" w:hAnsi="Arial" w:cs="Arial"/>
          <w:sz w:val="22"/>
          <w:szCs w:val="22"/>
          <w:lang w:val="es-CO"/>
        </w:rPr>
        <w:t xml:space="preserve"> </w:t>
      </w:r>
      <w:r w:rsidRPr="00E367EF">
        <w:rPr>
          <w:rFonts w:ascii="Arial" w:eastAsia="Arial" w:hAnsi="Arial" w:cs="Arial"/>
          <w:sz w:val="22"/>
          <w:szCs w:val="22"/>
        </w:rPr>
        <w:t xml:space="preserve"> la modificación realizada al parágrafo del artículo 38 de la Ley 996 de 2005 por el artículo </w:t>
      </w:r>
      <w:r w:rsidRPr="00E367EF">
        <w:rPr>
          <w:rFonts w:ascii="Arial" w:eastAsia="Arial" w:hAnsi="Arial" w:cs="Arial"/>
          <w:sz w:val="22"/>
          <w:szCs w:val="22"/>
        </w:rPr>
        <w:lastRenderedPageBreak/>
        <w:t xml:space="preserve">124 de la Ley 2159 de 2021, </w:t>
      </w:r>
      <w:r w:rsidR="00223C44">
        <w:rPr>
          <w:rFonts w:ascii="Arial" w:eastAsia="Arial" w:hAnsi="Arial" w:cs="Arial"/>
          <w:sz w:val="22"/>
          <w:szCs w:val="22"/>
        </w:rPr>
        <w:t>mediante la</w:t>
      </w:r>
      <w:r w:rsidRPr="00E367EF">
        <w:rPr>
          <w:rFonts w:ascii="Arial" w:eastAsia="Arial" w:hAnsi="Arial" w:cs="Arial"/>
          <w:sz w:val="22"/>
          <w:szCs w:val="22"/>
        </w:rPr>
        <w:t xml:space="preserve"> cual se decreta el Presupuesto de Rentas y Recursos de Capital y Ley de Apropiaciones para la vigencia fiscal del 1 de enero al 31 de diciembre de 2022 –Ley Anual del Presupuesto–</w:t>
      </w:r>
      <w:r w:rsidRPr="00E367EF">
        <w:rPr>
          <w:rFonts w:ascii="Arial" w:eastAsia="Arial" w:hAnsi="Arial" w:cs="Arial"/>
          <w:sz w:val="22"/>
          <w:szCs w:val="22"/>
          <w:vertAlign w:val="superscript"/>
        </w:rPr>
        <w:footnoteReference w:id="12"/>
      </w:r>
      <w:r w:rsidRPr="00E367EF">
        <w:rPr>
          <w:rFonts w:ascii="Arial" w:eastAsia="Arial" w:hAnsi="Arial" w:cs="Arial"/>
          <w:sz w:val="22"/>
          <w:szCs w:val="22"/>
        </w:rPr>
        <w:t>. Frente a este particular, se recomienda revisar el análisis efectuado por esta Agencia en los conceptos C-674 del 6 de diciembre de 2021, C-699 del 6 de enero de 202</w:t>
      </w:r>
      <w:r w:rsidR="00E367EF" w:rsidRPr="00E367EF">
        <w:rPr>
          <w:rFonts w:ascii="Arial" w:eastAsia="Arial" w:hAnsi="Arial" w:cs="Arial"/>
          <w:sz w:val="22"/>
          <w:szCs w:val="22"/>
        </w:rPr>
        <w:t>2</w:t>
      </w:r>
      <w:r w:rsidRPr="00E367EF">
        <w:rPr>
          <w:rFonts w:ascii="Arial" w:eastAsia="Arial" w:hAnsi="Arial" w:cs="Arial"/>
          <w:sz w:val="22"/>
          <w:szCs w:val="22"/>
        </w:rPr>
        <w:t xml:space="preserve"> y C- </w:t>
      </w:r>
      <w:r w:rsidR="00E367EF" w:rsidRPr="00E367EF">
        <w:rPr>
          <w:rFonts w:ascii="Arial" w:eastAsia="Arial" w:hAnsi="Arial" w:cs="Arial"/>
          <w:sz w:val="22"/>
          <w:szCs w:val="22"/>
        </w:rPr>
        <w:t>715 del 21 de enero de 2022</w:t>
      </w:r>
      <w:r w:rsidRPr="00E367EF">
        <w:rPr>
          <w:rFonts w:ascii="Arial" w:eastAsia="Arial" w:hAnsi="Arial" w:cs="Arial"/>
          <w:sz w:val="22"/>
          <w:szCs w:val="22"/>
        </w:rPr>
        <w:t xml:space="preserve">, los cuales se encuentran publicados en la Relatoría </w:t>
      </w:r>
      <w:r w:rsidR="00E367EF">
        <w:rPr>
          <w:rFonts w:ascii="Arial" w:eastAsia="Arial" w:hAnsi="Arial" w:cs="Arial"/>
          <w:sz w:val="22"/>
          <w:szCs w:val="22"/>
        </w:rPr>
        <w:t xml:space="preserve">de Conceptos </w:t>
      </w:r>
      <w:r w:rsidRPr="00E367EF">
        <w:rPr>
          <w:rFonts w:ascii="Arial" w:eastAsia="Arial" w:hAnsi="Arial" w:cs="Arial"/>
          <w:sz w:val="22"/>
          <w:szCs w:val="22"/>
        </w:rPr>
        <w:t>de Colombia Compra Eficiente</w:t>
      </w:r>
      <w:r w:rsidRPr="00E367EF">
        <w:rPr>
          <w:rStyle w:val="Refdenotaalpie"/>
          <w:rFonts w:ascii="Arial" w:eastAsia="Arial" w:hAnsi="Arial" w:cs="Arial"/>
          <w:sz w:val="22"/>
          <w:szCs w:val="22"/>
        </w:rPr>
        <w:footnoteReference w:id="13"/>
      </w:r>
      <w:r w:rsidR="00C310E9">
        <w:rPr>
          <w:rFonts w:ascii="Arial" w:eastAsia="Arial" w:hAnsi="Arial" w:cs="Arial"/>
          <w:sz w:val="22"/>
          <w:szCs w:val="22"/>
        </w:rPr>
        <w:t>.</w:t>
      </w:r>
    </w:p>
    <w:p w14:paraId="65170B8A" w14:textId="6D43D850" w:rsidR="00BE20F1" w:rsidRPr="00E367EF" w:rsidRDefault="00BE20F1" w:rsidP="00BE20F1">
      <w:pPr>
        <w:shd w:val="clear" w:color="auto" w:fill="FFFFFF"/>
        <w:spacing w:after="0"/>
        <w:ind w:firstLine="709"/>
        <w:rPr>
          <w:rFonts w:ascii="Arial" w:eastAsia="Arial" w:hAnsi="Arial" w:cs="Arial"/>
          <w:sz w:val="22"/>
          <w:szCs w:val="22"/>
        </w:rPr>
      </w:pPr>
    </w:p>
    <w:p w14:paraId="47818021" w14:textId="561EE188" w:rsidR="00BE20F1" w:rsidRPr="00D22117" w:rsidRDefault="00223C44" w:rsidP="00BE20F1">
      <w:pPr>
        <w:shd w:val="clear" w:color="auto" w:fill="FFFFFF"/>
        <w:spacing w:after="120"/>
        <w:ind w:firstLine="708"/>
      </w:pPr>
      <w:r>
        <w:rPr>
          <w:rFonts w:ascii="Arial" w:eastAsia="Arial" w:hAnsi="Arial" w:cs="Arial"/>
          <w:sz w:val="22"/>
          <w:szCs w:val="22"/>
        </w:rPr>
        <w:t>Sobre este aspecto</w:t>
      </w:r>
      <w:r w:rsidR="00A0483F">
        <w:rPr>
          <w:rFonts w:ascii="Arial" w:eastAsia="Arial" w:hAnsi="Arial" w:cs="Arial"/>
          <w:sz w:val="22"/>
          <w:szCs w:val="22"/>
        </w:rPr>
        <w:t>, e</w:t>
      </w:r>
      <w:r w:rsidR="00BE20F1" w:rsidRPr="00E367EF">
        <w:rPr>
          <w:rFonts w:ascii="Arial" w:eastAsia="Arial" w:hAnsi="Arial" w:cs="Arial"/>
          <w:sz w:val="22"/>
          <w:szCs w:val="22"/>
        </w:rPr>
        <w:t>s importante destacar que el artículo 124 de la Ley 2159 de 2021</w:t>
      </w:r>
      <w:r w:rsidR="00253075">
        <w:rPr>
          <w:rFonts w:ascii="Arial" w:eastAsia="Arial" w:hAnsi="Arial" w:cs="Arial"/>
          <w:sz w:val="22"/>
          <w:szCs w:val="22"/>
        </w:rPr>
        <w:t xml:space="preserve"> </w:t>
      </w:r>
      <w:r w:rsidR="00BE20F1" w:rsidRPr="00D22117">
        <w:rPr>
          <w:rFonts w:ascii="Arial" w:eastAsia="Arial" w:hAnsi="Arial" w:cs="Arial"/>
          <w:sz w:val="22"/>
          <w:szCs w:val="22"/>
        </w:rPr>
        <w:t xml:space="preserve">consagra una autorización </w:t>
      </w:r>
      <w:r w:rsidR="00BE20F1">
        <w:rPr>
          <w:rFonts w:ascii="Arial" w:eastAsia="Arial" w:hAnsi="Arial" w:cs="Arial"/>
          <w:sz w:val="22"/>
          <w:szCs w:val="22"/>
        </w:rPr>
        <w:t xml:space="preserve">para la celebración de convenios o contratos interadministrativos </w:t>
      </w:r>
      <w:r w:rsidR="00BE20F1" w:rsidRPr="00212E78">
        <w:rPr>
          <w:rFonts w:ascii="Arial" w:eastAsia="Arial" w:hAnsi="Arial" w:cs="Arial"/>
          <w:sz w:val="22"/>
          <w:szCs w:val="22"/>
        </w:rPr>
        <w:t>entre entes del orden nacional y entidades territoriales</w:t>
      </w:r>
      <w:r w:rsidR="00BE20F1">
        <w:rPr>
          <w:rFonts w:ascii="Arial" w:eastAsia="Arial" w:hAnsi="Arial" w:cs="Arial"/>
          <w:sz w:val="22"/>
          <w:szCs w:val="22"/>
        </w:rPr>
        <w:t>,</w:t>
      </w:r>
      <w:r w:rsidR="00BE20F1" w:rsidRPr="00212E78">
        <w:rPr>
          <w:rFonts w:ascii="Arial" w:eastAsia="Arial" w:hAnsi="Arial" w:cs="Arial"/>
          <w:sz w:val="22"/>
          <w:szCs w:val="22"/>
        </w:rPr>
        <w:t xml:space="preserve"> dentro de la vigencia fiscal del año</w:t>
      </w:r>
      <w:r w:rsidR="00BE20F1">
        <w:rPr>
          <w:rFonts w:ascii="Arial" w:eastAsia="Arial" w:hAnsi="Arial" w:cs="Arial"/>
          <w:sz w:val="22"/>
          <w:szCs w:val="22"/>
        </w:rPr>
        <w:t xml:space="preserve"> 2022</w:t>
      </w:r>
      <w:r w:rsidR="00DE6C0F">
        <w:rPr>
          <w:rFonts w:ascii="Arial" w:eastAsia="Arial" w:hAnsi="Arial" w:cs="Arial"/>
          <w:sz w:val="22"/>
          <w:szCs w:val="22"/>
        </w:rPr>
        <w:t xml:space="preserve">. Igualmente, el mencionado artículo prevé una autorización </w:t>
      </w:r>
      <w:r w:rsidR="00BE20F1" w:rsidRPr="00212E78">
        <w:rPr>
          <w:rFonts w:ascii="Arial" w:eastAsia="Arial" w:hAnsi="Arial" w:cs="Arial"/>
          <w:sz w:val="22"/>
          <w:szCs w:val="22"/>
        </w:rPr>
        <w:t>para la ejecución de programas o proyectos correspondientes al P</w:t>
      </w:r>
      <w:r w:rsidR="00BE20F1">
        <w:rPr>
          <w:rFonts w:ascii="Arial" w:eastAsia="Arial" w:hAnsi="Arial" w:cs="Arial"/>
          <w:sz w:val="22"/>
          <w:szCs w:val="22"/>
        </w:rPr>
        <w:t>resupuesto General de la Nación</w:t>
      </w:r>
      <w:r w:rsidR="00DE6C0F">
        <w:rPr>
          <w:rFonts w:ascii="Arial" w:eastAsia="Arial" w:hAnsi="Arial" w:cs="Arial"/>
          <w:sz w:val="22"/>
          <w:szCs w:val="22"/>
        </w:rPr>
        <w:t>.</w:t>
      </w:r>
      <w:r w:rsidR="00BE20F1">
        <w:rPr>
          <w:rFonts w:ascii="Arial" w:eastAsia="Arial" w:hAnsi="Arial" w:cs="Arial"/>
          <w:sz w:val="22"/>
          <w:szCs w:val="22"/>
        </w:rPr>
        <w:t xml:space="preserve"> </w:t>
      </w:r>
      <w:r w:rsidR="00DE6C0F">
        <w:rPr>
          <w:rFonts w:ascii="Arial" w:eastAsia="Arial" w:hAnsi="Arial" w:cs="Arial"/>
          <w:sz w:val="22"/>
          <w:szCs w:val="22"/>
        </w:rPr>
        <w:t>L</w:t>
      </w:r>
      <w:r w:rsidR="00BE20F1">
        <w:rPr>
          <w:rFonts w:ascii="Arial" w:eastAsia="Arial" w:hAnsi="Arial" w:cs="Arial"/>
          <w:sz w:val="22"/>
          <w:szCs w:val="22"/>
        </w:rPr>
        <w:t>o</w:t>
      </w:r>
      <w:r w:rsidR="00DE6C0F">
        <w:rPr>
          <w:rFonts w:ascii="Arial" w:eastAsia="Arial" w:hAnsi="Arial" w:cs="Arial"/>
          <w:sz w:val="22"/>
          <w:szCs w:val="22"/>
        </w:rPr>
        <w:t xml:space="preserve"> anterior</w:t>
      </w:r>
      <w:r w:rsidR="00BE20F1">
        <w:rPr>
          <w:rFonts w:ascii="Arial" w:eastAsia="Arial" w:hAnsi="Arial" w:cs="Arial"/>
          <w:sz w:val="22"/>
          <w:szCs w:val="22"/>
        </w:rPr>
        <w:t xml:space="preserve"> </w:t>
      </w:r>
      <w:r w:rsidR="0049089C">
        <w:rPr>
          <w:rFonts w:ascii="Arial" w:eastAsia="Arial" w:hAnsi="Arial" w:cs="Arial"/>
          <w:sz w:val="22"/>
          <w:szCs w:val="22"/>
        </w:rPr>
        <w:t>representa</w:t>
      </w:r>
      <w:r w:rsidR="00BE20F1">
        <w:rPr>
          <w:rFonts w:ascii="Arial" w:eastAsia="Arial" w:hAnsi="Arial" w:cs="Arial"/>
          <w:sz w:val="22"/>
          <w:szCs w:val="22"/>
        </w:rPr>
        <w:t xml:space="preserve"> una modificación temporal y transitoria del </w:t>
      </w:r>
      <w:r w:rsidR="00BE20F1" w:rsidRPr="00F66C91">
        <w:rPr>
          <w:rFonts w:ascii="Arial" w:eastAsia="Arial" w:hAnsi="Arial" w:cs="Arial"/>
          <w:sz w:val="22"/>
          <w:szCs w:val="22"/>
        </w:rPr>
        <w:t>parágrafo del artículo 38 de la Ley 996 de 2005</w:t>
      </w:r>
      <w:r w:rsidR="00BE20F1">
        <w:rPr>
          <w:rFonts w:ascii="Arial" w:eastAsia="Arial" w:hAnsi="Arial" w:cs="Arial"/>
          <w:sz w:val="22"/>
          <w:szCs w:val="22"/>
        </w:rPr>
        <w:t>, en la medida en que solo aplica para la vigencia fiscal 2022, y opera únicamente</w:t>
      </w:r>
      <w:r w:rsidR="00BE20F1" w:rsidRPr="00D22117">
        <w:rPr>
          <w:rFonts w:ascii="Arial" w:eastAsia="Arial" w:hAnsi="Arial" w:cs="Arial"/>
          <w:sz w:val="22"/>
          <w:szCs w:val="22"/>
        </w:rPr>
        <w:t xml:space="preserve"> frente al parágrafo del artículo 38</w:t>
      </w:r>
      <w:r w:rsidR="00BE20F1" w:rsidRPr="00212E78">
        <w:rPr>
          <w:rFonts w:ascii="Arial" w:eastAsia="Arial" w:hAnsi="Arial" w:cs="Arial"/>
          <w:sz w:val="22"/>
          <w:szCs w:val="22"/>
        </w:rPr>
        <w:t xml:space="preserve"> </w:t>
      </w:r>
      <w:r w:rsidR="00BE20F1">
        <w:rPr>
          <w:rFonts w:ascii="Arial" w:eastAsia="Arial" w:hAnsi="Arial" w:cs="Arial"/>
          <w:sz w:val="22"/>
          <w:szCs w:val="22"/>
        </w:rPr>
        <w:t>de la Ley 996 de 2005</w:t>
      </w:r>
      <w:r w:rsidR="00BE20F1" w:rsidRPr="00D22117">
        <w:rPr>
          <w:rFonts w:ascii="Arial" w:eastAsia="Arial" w:hAnsi="Arial" w:cs="Arial"/>
          <w:sz w:val="22"/>
          <w:szCs w:val="22"/>
        </w:rPr>
        <w:t>, y no en relación con las prohibiciones del artículo 33</w:t>
      </w:r>
      <w:r w:rsidR="00BE20F1">
        <w:rPr>
          <w:rFonts w:ascii="Arial" w:eastAsia="Arial" w:hAnsi="Arial" w:cs="Arial"/>
          <w:sz w:val="22"/>
          <w:szCs w:val="22"/>
        </w:rPr>
        <w:t xml:space="preserve"> </w:t>
      </w:r>
      <w:r w:rsidR="00BE20F1" w:rsidRPr="00212E78">
        <w:rPr>
          <w:rFonts w:ascii="Arial" w:eastAsia="Arial" w:hAnsi="Arial" w:cs="Arial"/>
          <w:i/>
          <w:sz w:val="22"/>
          <w:szCs w:val="22"/>
        </w:rPr>
        <w:t>ibídem</w:t>
      </w:r>
      <w:r w:rsidR="00BE20F1">
        <w:rPr>
          <w:rFonts w:ascii="Arial" w:eastAsia="Arial" w:hAnsi="Arial" w:cs="Arial"/>
          <w:sz w:val="22"/>
          <w:szCs w:val="22"/>
        </w:rPr>
        <w:t xml:space="preserve">, las cuales </w:t>
      </w:r>
      <w:r w:rsidR="00BE20F1" w:rsidRPr="00D22117">
        <w:rPr>
          <w:rFonts w:ascii="Arial" w:eastAsia="Arial" w:hAnsi="Arial" w:cs="Arial"/>
          <w:sz w:val="22"/>
          <w:szCs w:val="22"/>
        </w:rPr>
        <w:t>resultan ser</w:t>
      </w:r>
      <w:r w:rsidR="00BE20F1">
        <w:rPr>
          <w:rFonts w:ascii="Arial" w:eastAsia="Arial" w:hAnsi="Arial" w:cs="Arial"/>
          <w:sz w:val="22"/>
          <w:szCs w:val="22"/>
        </w:rPr>
        <w:t xml:space="preserve"> distintas, aunque concurrentes</w:t>
      </w:r>
      <w:r w:rsidR="00BE20F1" w:rsidRPr="00D22117">
        <w:rPr>
          <w:rFonts w:ascii="Arial" w:eastAsia="Arial" w:hAnsi="Arial" w:cs="Arial"/>
          <w:sz w:val="22"/>
          <w:szCs w:val="22"/>
        </w:rPr>
        <w:t xml:space="preserve"> a las del parágrafo</w:t>
      </w:r>
      <w:r w:rsidR="00BE20F1">
        <w:rPr>
          <w:rFonts w:ascii="Arial" w:eastAsia="Arial" w:hAnsi="Arial" w:cs="Arial"/>
          <w:sz w:val="22"/>
          <w:szCs w:val="22"/>
        </w:rPr>
        <w:t xml:space="preserve"> en mención</w:t>
      </w:r>
      <w:r w:rsidR="0049089C">
        <w:rPr>
          <w:rFonts w:ascii="Arial" w:eastAsia="Arial" w:hAnsi="Arial" w:cs="Arial"/>
          <w:sz w:val="22"/>
          <w:szCs w:val="22"/>
        </w:rPr>
        <w:t>.</w:t>
      </w:r>
      <w:r w:rsidR="00BE20F1" w:rsidRPr="00D22117">
        <w:rPr>
          <w:rFonts w:ascii="Arial" w:eastAsia="Arial" w:hAnsi="Arial" w:cs="Arial"/>
          <w:sz w:val="22"/>
          <w:szCs w:val="22"/>
        </w:rPr>
        <w:t xml:space="preserve"> </w:t>
      </w:r>
      <w:r w:rsidR="0049089C">
        <w:rPr>
          <w:rFonts w:ascii="Arial" w:eastAsia="Arial" w:hAnsi="Arial" w:cs="Arial"/>
          <w:sz w:val="22"/>
          <w:szCs w:val="22"/>
        </w:rPr>
        <w:t>P</w:t>
      </w:r>
      <w:r w:rsidR="00BE20F1" w:rsidRPr="00D22117">
        <w:rPr>
          <w:rFonts w:ascii="Arial" w:eastAsia="Arial" w:hAnsi="Arial" w:cs="Arial"/>
          <w:sz w:val="22"/>
          <w:szCs w:val="22"/>
        </w:rPr>
        <w:t xml:space="preserve">or </w:t>
      </w:r>
      <w:r w:rsidR="0049089C">
        <w:rPr>
          <w:rFonts w:ascii="Arial" w:eastAsia="Arial" w:hAnsi="Arial" w:cs="Arial"/>
          <w:sz w:val="22"/>
          <w:szCs w:val="22"/>
        </w:rPr>
        <w:t>tal razón</w:t>
      </w:r>
      <w:r w:rsidR="00BE20F1" w:rsidRPr="00D22117">
        <w:rPr>
          <w:rFonts w:ascii="Arial" w:eastAsia="Arial" w:hAnsi="Arial" w:cs="Arial"/>
          <w:sz w:val="22"/>
          <w:szCs w:val="22"/>
        </w:rPr>
        <w:t xml:space="preserve">, las restricciones a la contratación directa dentro del período preelectoral </w:t>
      </w:r>
      <w:r w:rsidR="00BE20F1">
        <w:rPr>
          <w:rFonts w:ascii="Arial" w:eastAsia="Arial" w:hAnsi="Arial" w:cs="Arial"/>
          <w:sz w:val="22"/>
          <w:szCs w:val="22"/>
        </w:rPr>
        <w:t>referente</w:t>
      </w:r>
      <w:r w:rsidR="00C924F7">
        <w:rPr>
          <w:rFonts w:ascii="Arial" w:eastAsia="Arial" w:hAnsi="Arial" w:cs="Arial"/>
          <w:sz w:val="22"/>
          <w:szCs w:val="22"/>
        </w:rPr>
        <w:t>s</w:t>
      </w:r>
      <w:r w:rsidR="00BE20F1">
        <w:rPr>
          <w:rFonts w:ascii="Arial" w:eastAsia="Arial" w:hAnsi="Arial" w:cs="Arial"/>
          <w:sz w:val="22"/>
          <w:szCs w:val="22"/>
        </w:rPr>
        <w:t xml:space="preserve"> a la elección del Presidente y Vicepresidente de la República</w:t>
      </w:r>
      <w:r w:rsidR="00BE20F1" w:rsidRPr="00D22117">
        <w:rPr>
          <w:rFonts w:ascii="Arial" w:eastAsia="Arial" w:hAnsi="Arial" w:cs="Arial"/>
          <w:sz w:val="22"/>
          <w:szCs w:val="22"/>
        </w:rPr>
        <w:t xml:space="preserve"> se mantienen invariables a partir de la publicación de la Ley </w:t>
      </w:r>
      <w:r w:rsidR="00BE20F1">
        <w:rPr>
          <w:rFonts w:ascii="Arial" w:eastAsia="Arial" w:hAnsi="Arial" w:cs="Arial"/>
          <w:sz w:val="22"/>
          <w:szCs w:val="22"/>
        </w:rPr>
        <w:t>2159 de 2021</w:t>
      </w:r>
      <w:r w:rsidR="00BE20F1" w:rsidRPr="00D22117">
        <w:rPr>
          <w:rFonts w:ascii="Arial" w:eastAsia="Arial" w:hAnsi="Arial" w:cs="Arial"/>
          <w:sz w:val="22"/>
          <w:szCs w:val="22"/>
        </w:rPr>
        <w:t>.</w:t>
      </w:r>
    </w:p>
    <w:p w14:paraId="4E1D4156" w14:textId="3E38D0F5" w:rsidR="00BE20F1" w:rsidRPr="00426413" w:rsidRDefault="00BE20F1" w:rsidP="00BE20F1">
      <w:pPr>
        <w:shd w:val="clear" w:color="auto" w:fill="FFFFFF"/>
        <w:spacing w:after="0"/>
        <w:ind w:firstLine="708"/>
        <w:rPr>
          <w:rFonts w:ascii="Arial" w:eastAsia="Arial" w:hAnsi="Arial" w:cs="Arial"/>
          <w:sz w:val="22"/>
          <w:szCs w:val="22"/>
        </w:rPr>
      </w:pPr>
      <w:r w:rsidRPr="00D22117">
        <w:rPr>
          <w:rFonts w:ascii="Arial" w:eastAsia="Arial" w:hAnsi="Arial" w:cs="Arial"/>
          <w:sz w:val="22"/>
          <w:szCs w:val="22"/>
        </w:rPr>
        <w:t xml:space="preserve">En opinión de esta Agencia, </w:t>
      </w:r>
      <w:r>
        <w:rPr>
          <w:rFonts w:ascii="Arial" w:eastAsia="Arial" w:hAnsi="Arial" w:cs="Arial"/>
          <w:sz w:val="22"/>
          <w:szCs w:val="22"/>
        </w:rPr>
        <w:t>siempre que se cumplan</w:t>
      </w:r>
      <w:r w:rsidRPr="00D22117">
        <w:rPr>
          <w:rFonts w:ascii="Arial" w:eastAsia="Arial" w:hAnsi="Arial" w:cs="Arial"/>
          <w:sz w:val="22"/>
          <w:szCs w:val="22"/>
        </w:rPr>
        <w:t xml:space="preserve"> los requisitos establecidos en el artíc</w:t>
      </w:r>
      <w:r>
        <w:rPr>
          <w:rFonts w:ascii="Arial" w:eastAsia="Arial" w:hAnsi="Arial" w:cs="Arial"/>
          <w:sz w:val="22"/>
          <w:szCs w:val="22"/>
        </w:rPr>
        <w:t xml:space="preserve">ulo 124 de la Ley 2159 de 2021 </w:t>
      </w:r>
      <w:r w:rsidRPr="00D22117">
        <w:rPr>
          <w:rFonts w:ascii="Arial" w:eastAsia="Arial" w:hAnsi="Arial" w:cs="Arial"/>
          <w:sz w:val="22"/>
          <w:szCs w:val="22"/>
        </w:rPr>
        <w:t xml:space="preserve">se podrán celebrar convenios y </w:t>
      </w:r>
      <w:r>
        <w:rPr>
          <w:rFonts w:ascii="Arial" w:eastAsia="Arial" w:hAnsi="Arial" w:cs="Arial"/>
          <w:sz w:val="22"/>
          <w:szCs w:val="22"/>
        </w:rPr>
        <w:t xml:space="preserve">contratos interadministrativos </w:t>
      </w:r>
      <w:r w:rsidRPr="00D22117">
        <w:rPr>
          <w:rFonts w:ascii="Arial" w:eastAsia="Arial" w:hAnsi="Arial" w:cs="Arial"/>
          <w:sz w:val="22"/>
          <w:szCs w:val="22"/>
        </w:rPr>
        <w:t xml:space="preserve">entre entidades </w:t>
      </w:r>
      <w:r>
        <w:rPr>
          <w:rFonts w:ascii="Arial" w:eastAsia="Arial" w:hAnsi="Arial" w:cs="Arial"/>
          <w:sz w:val="22"/>
          <w:szCs w:val="22"/>
        </w:rPr>
        <w:t xml:space="preserve">estatales </w:t>
      </w:r>
      <w:r w:rsidRPr="00D22117">
        <w:rPr>
          <w:rFonts w:ascii="Arial" w:eastAsia="Arial" w:hAnsi="Arial" w:cs="Arial"/>
          <w:sz w:val="22"/>
          <w:szCs w:val="22"/>
        </w:rPr>
        <w:t>del orden nacional y territorial a través de modalidades de selección que impliquen convocatoria pública</w:t>
      </w:r>
      <w:r w:rsidR="0049089C">
        <w:rPr>
          <w:rFonts w:ascii="Arial" w:eastAsia="Arial" w:hAnsi="Arial" w:cs="Arial"/>
          <w:sz w:val="22"/>
          <w:szCs w:val="22"/>
        </w:rPr>
        <w:t>.</w:t>
      </w:r>
      <w:r w:rsidRPr="000B00A6">
        <w:rPr>
          <w:rFonts w:ascii="Arial" w:eastAsia="Arial" w:hAnsi="Arial" w:cs="Arial"/>
          <w:sz w:val="22"/>
          <w:szCs w:val="22"/>
        </w:rPr>
        <w:t xml:space="preserve"> </w:t>
      </w:r>
      <w:r w:rsidR="0049089C">
        <w:rPr>
          <w:rFonts w:ascii="Arial" w:eastAsia="Arial" w:hAnsi="Arial" w:cs="Arial"/>
          <w:sz w:val="22"/>
          <w:szCs w:val="22"/>
        </w:rPr>
        <w:t>E</w:t>
      </w:r>
      <w:r w:rsidRPr="00805620">
        <w:rPr>
          <w:rFonts w:ascii="Arial" w:eastAsia="Arial" w:hAnsi="Arial" w:cs="Arial"/>
          <w:sz w:val="22"/>
          <w:szCs w:val="22"/>
        </w:rPr>
        <w:t>sto</w:t>
      </w:r>
      <w:r w:rsidR="0049089C">
        <w:rPr>
          <w:rFonts w:ascii="Arial" w:eastAsia="Arial" w:hAnsi="Arial" w:cs="Arial"/>
          <w:sz w:val="22"/>
          <w:szCs w:val="22"/>
        </w:rPr>
        <w:t>,</w:t>
      </w:r>
      <w:r w:rsidRPr="00805620">
        <w:rPr>
          <w:rFonts w:ascii="Arial" w:eastAsia="Arial" w:hAnsi="Arial" w:cs="Arial"/>
          <w:sz w:val="22"/>
          <w:szCs w:val="22"/>
        </w:rPr>
        <w:t xml:space="preserve"> por cuanto, se</w:t>
      </w:r>
      <w:r w:rsidRPr="000B00A6">
        <w:rPr>
          <w:rFonts w:ascii="Arial" w:eastAsia="Arial" w:hAnsi="Arial" w:cs="Arial"/>
          <w:sz w:val="22"/>
          <w:szCs w:val="22"/>
        </w:rPr>
        <w:t xml:space="preserve"> insiste, la prohibición de la modalidad de contratación directa del artículo 33 de la Ley de Garantías permanece incólume ante la modificación que realiza la Ley del Presupuesto.</w:t>
      </w:r>
      <w:r>
        <w:rPr>
          <w:rFonts w:ascii="Arial" w:eastAsia="Arial" w:hAnsi="Arial" w:cs="Arial"/>
          <w:sz w:val="22"/>
          <w:szCs w:val="22"/>
        </w:rPr>
        <w:t xml:space="preserve"> Conviene aclarar que n</w:t>
      </w:r>
      <w:r w:rsidRPr="00D22117">
        <w:rPr>
          <w:rFonts w:ascii="Arial" w:eastAsia="Arial" w:hAnsi="Arial" w:cs="Arial"/>
          <w:sz w:val="22"/>
          <w:szCs w:val="22"/>
        </w:rPr>
        <w:t>o</w:t>
      </w:r>
      <w:r>
        <w:rPr>
          <w:rFonts w:ascii="Arial" w:eastAsia="Arial" w:hAnsi="Arial" w:cs="Arial"/>
          <w:sz w:val="22"/>
          <w:szCs w:val="22"/>
        </w:rPr>
        <w:t xml:space="preserve"> sucederá lo mismo para la celebración de convenios o contratos interadministrativos </w:t>
      </w:r>
      <w:r w:rsidRPr="00D22117">
        <w:rPr>
          <w:rFonts w:ascii="Arial" w:eastAsia="Arial" w:hAnsi="Arial" w:cs="Arial"/>
          <w:sz w:val="22"/>
          <w:szCs w:val="22"/>
        </w:rPr>
        <w:t xml:space="preserve">entre entidades del orden territorial, en cuyo caso aplicará la prohibición plena </w:t>
      </w:r>
      <w:r>
        <w:rPr>
          <w:rFonts w:ascii="Arial" w:eastAsia="Arial" w:hAnsi="Arial" w:cs="Arial"/>
          <w:sz w:val="22"/>
          <w:szCs w:val="22"/>
        </w:rPr>
        <w:t xml:space="preserve">del parágrafo 38 de la </w:t>
      </w:r>
      <w:r w:rsidRPr="00805620">
        <w:rPr>
          <w:rFonts w:ascii="Arial" w:eastAsia="Arial" w:hAnsi="Arial" w:cs="Arial"/>
          <w:sz w:val="22"/>
          <w:szCs w:val="22"/>
        </w:rPr>
        <w:t>Ley 996 de</w:t>
      </w:r>
      <w:r>
        <w:rPr>
          <w:rFonts w:ascii="Arial" w:eastAsia="Arial" w:hAnsi="Arial" w:cs="Arial"/>
          <w:sz w:val="22"/>
          <w:szCs w:val="22"/>
        </w:rPr>
        <w:t xml:space="preserve"> 2005 respecto de la celebración de este tipo de contratos.</w:t>
      </w:r>
      <w:r w:rsidRPr="00D22117">
        <w:rPr>
          <w:rFonts w:ascii="Arial" w:eastAsia="Arial" w:hAnsi="Arial" w:cs="Arial"/>
          <w:sz w:val="22"/>
          <w:szCs w:val="22"/>
        </w:rPr>
        <w:t xml:space="preserve"> </w:t>
      </w:r>
    </w:p>
    <w:p w14:paraId="1136670B" w14:textId="77777777" w:rsidR="00D73348" w:rsidRPr="00D22117" w:rsidRDefault="00D73348">
      <w:pPr>
        <w:spacing w:after="0"/>
        <w:rPr>
          <w:rFonts w:ascii="Arial" w:eastAsia="Arial" w:hAnsi="Arial" w:cs="Arial"/>
          <w:sz w:val="22"/>
          <w:szCs w:val="22"/>
        </w:rPr>
      </w:pPr>
    </w:p>
    <w:p w14:paraId="6F1BBA21" w14:textId="093B4629" w:rsidR="00D73348" w:rsidRDefault="00DA2883">
      <w:pPr>
        <w:spacing w:after="0"/>
        <w:rPr>
          <w:rFonts w:ascii="Arial" w:eastAsia="Arial" w:hAnsi="Arial" w:cs="Arial"/>
          <w:b/>
          <w:sz w:val="22"/>
          <w:szCs w:val="22"/>
        </w:rPr>
      </w:pPr>
      <w:r w:rsidRPr="00D22117">
        <w:rPr>
          <w:rFonts w:ascii="Arial" w:eastAsia="Arial" w:hAnsi="Arial" w:cs="Arial"/>
          <w:b/>
          <w:sz w:val="22"/>
          <w:szCs w:val="22"/>
        </w:rPr>
        <w:lastRenderedPageBreak/>
        <w:t xml:space="preserve">2.2. Restricciones para la celebración de contratos y convenios interadministrativos en los comicios para cargos de elección popular </w:t>
      </w:r>
    </w:p>
    <w:p w14:paraId="51D02F6C" w14:textId="77777777" w:rsidR="006B2825" w:rsidRDefault="006B2825">
      <w:pPr>
        <w:tabs>
          <w:tab w:val="left" w:pos="426"/>
        </w:tabs>
        <w:spacing w:after="120"/>
        <w:rPr>
          <w:rFonts w:ascii="Arial" w:hAnsi="Arial" w:cs="Arial"/>
          <w:bCs/>
          <w:sz w:val="22"/>
        </w:rPr>
      </w:pPr>
    </w:p>
    <w:p w14:paraId="3F3BAB5D" w14:textId="24B52B1C" w:rsidR="00854F69" w:rsidRPr="00223C44" w:rsidRDefault="00223C44" w:rsidP="00854F69">
      <w:pPr>
        <w:tabs>
          <w:tab w:val="left" w:pos="426"/>
        </w:tabs>
        <w:spacing w:after="120"/>
        <w:rPr>
          <w:rFonts w:ascii="Arial" w:eastAsia="Arial" w:hAnsi="Arial" w:cs="Arial"/>
          <w:sz w:val="22"/>
          <w:szCs w:val="22"/>
        </w:rPr>
      </w:pPr>
      <w:bookmarkStart w:id="15" w:name="_35nkun2" w:colFirst="0" w:colLast="0"/>
      <w:bookmarkEnd w:id="15"/>
      <w:r>
        <w:rPr>
          <w:rFonts w:ascii="Arial" w:eastAsia="Arial" w:hAnsi="Arial" w:cs="Arial"/>
          <w:sz w:val="22"/>
          <w:szCs w:val="22"/>
        </w:rPr>
        <w:t>L</w:t>
      </w:r>
      <w:r w:rsidRPr="00D22117">
        <w:rPr>
          <w:rFonts w:ascii="Arial" w:eastAsia="Arial" w:hAnsi="Arial" w:cs="Arial"/>
          <w:sz w:val="22"/>
          <w:szCs w:val="22"/>
        </w:rPr>
        <w:t>a Ley 996 de 2005</w:t>
      </w:r>
      <w:r>
        <w:rPr>
          <w:rFonts w:ascii="Arial" w:eastAsia="Arial" w:hAnsi="Arial" w:cs="Arial"/>
          <w:sz w:val="22"/>
          <w:szCs w:val="22"/>
        </w:rPr>
        <w:t xml:space="preserve"> contempla dos restricciones </w:t>
      </w:r>
      <w:r w:rsidR="004B158C">
        <w:rPr>
          <w:rFonts w:ascii="Arial" w:eastAsia="Arial" w:hAnsi="Arial" w:cs="Arial"/>
          <w:sz w:val="22"/>
          <w:szCs w:val="22"/>
        </w:rPr>
        <w:t xml:space="preserve">que afectan la celebración </w:t>
      </w:r>
      <w:r>
        <w:rPr>
          <w:rFonts w:ascii="Arial" w:hAnsi="Arial" w:cs="Arial"/>
          <w:bCs/>
          <w:sz w:val="22"/>
        </w:rPr>
        <w:t>de contratos</w:t>
      </w:r>
      <w:r w:rsidR="00705F75">
        <w:rPr>
          <w:rFonts w:ascii="Arial" w:hAnsi="Arial" w:cs="Arial"/>
          <w:bCs/>
          <w:sz w:val="22"/>
        </w:rPr>
        <w:t xml:space="preserve"> o </w:t>
      </w:r>
      <w:r w:rsidR="00825AAA">
        <w:rPr>
          <w:rFonts w:ascii="Arial" w:hAnsi="Arial" w:cs="Arial"/>
          <w:bCs/>
          <w:sz w:val="22"/>
        </w:rPr>
        <w:t>convenios interadministrativos</w:t>
      </w:r>
      <w:r w:rsidR="004B158C">
        <w:rPr>
          <w:rFonts w:ascii="Arial" w:hAnsi="Arial" w:cs="Arial"/>
          <w:bCs/>
          <w:sz w:val="22"/>
        </w:rPr>
        <w:t xml:space="preserve"> durante las etapas preelectorales</w:t>
      </w:r>
      <w:r w:rsidR="00974101">
        <w:rPr>
          <w:rFonts w:ascii="Arial" w:hAnsi="Arial" w:cs="Arial"/>
          <w:bCs/>
          <w:sz w:val="22"/>
        </w:rPr>
        <w:t>.</w:t>
      </w:r>
      <w:r>
        <w:rPr>
          <w:rFonts w:ascii="Arial" w:hAnsi="Arial" w:cs="Arial"/>
          <w:bCs/>
          <w:sz w:val="22"/>
        </w:rPr>
        <w:t xml:space="preserve"> </w:t>
      </w:r>
      <w:r w:rsidR="00974101">
        <w:rPr>
          <w:rFonts w:ascii="Arial" w:hAnsi="Arial" w:cs="Arial"/>
          <w:bCs/>
          <w:sz w:val="22"/>
        </w:rPr>
        <w:t>P</w:t>
      </w:r>
      <w:r w:rsidR="00705F75">
        <w:rPr>
          <w:rFonts w:ascii="Arial" w:hAnsi="Arial" w:cs="Arial"/>
          <w:bCs/>
          <w:sz w:val="22"/>
        </w:rPr>
        <w:t>or un lado, el</w:t>
      </w:r>
      <w:r w:rsidR="00DA2883" w:rsidRPr="00D22117">
        <w:rPr>
          <w:rFonts w:ascii="Arial" w:eastAsia="Arial" w:hAnsi="Arial" w:cs="Arial"/>
          <w:sz w:val="22"/>
          <w:szCs w:val="22"/>
        </w:rPr>
        <w:t xml:space="preserve"> parágrafo del artículo 38 </w:t>
      </w:r>
      <w:r w:rsidR="00705F75" w:rsidRPr="00D22117">
        <w:rPr>
          <w:rFonts w:ascii="Arial" w:eastAsia="Arial" w:hAnsi="Arial" w:cs="Arial"/>
          <w:sz w:val="22"/>
          <w:szCs w:val="22"/>
        </w:rPr>
        <w:t xml:space="preserve">prohíbe a los alcaldes, gobernadores, secretarios, gerentes y directores de las entidades del orden municipal, departamental </w:t>
      </w:r>
      <w:r w:rsidR="004B158C">
        <w:rPr>
          <w:rFonts w:ascii="Arial" w:eastAsia="Arial" w:hAnsi="Arial" w:cs="Arial"/>
          <w:sz w:val="22"/>
          <w:szCs w:val="22"/>
        </w:rPr>
        <w:t>o distrital celebrar convenios o</w:t>
      </w:r>
      <w:r w:rsidR="00705F75" w:rsidRPr="00D22117">
        <w:rPr>
          <w:rFonts w:ascii="Arial" w:eastAsia="Arial" w:hAnsi="Arial" w:cs="Arial"/>
          <w:sz w:val="22"/>
          <w:szCs w:val="22"/>
        </w:rPr>
        <w:t xml:space="preserve"> </w:t>
      </w:r>
      <w:r w:rsidR="00705F75" w:rsidRPr="004B158C">
        <w:rPr>
          <w:rFonts w:ascii="Arial" w:eastAsia="Arial" w:hAnsi="Arial" w:cs="Arial"/>
          <w:i/>
          <w:sz w:val="22"/>
          <w:szCs w:val="22"/>
        </w:rPr>
        <w:t>contratos interadministrativos</w:t>
      </w:r>
      <w:r w:rsidR="00705F75" w:rsidRPr="00D22117">
        <w:rPr>
          <w:rFonts w:ascii="Arial" w:eastAsia="Arial" w:hAnsi="Arial" w:cs="Arial"/>
          <w:sz w:val="22"/>
          <w:szCs w:val="22"/>
        </w:rPr>
        <w:t xml:space="preserve"> para la</w:t>
      </w:r>
      <w:r w:rsidR="00705F75">
        <w:rPr>
          <w:rFonts w:ascii="Arial" w:eastAsia="Arial" w:hAnsi="Arial" w:cs="Arial"/>
          <w:sz w:val="22"/>
          <w:szCs w:val="22"/>
        </w:rPr>
        <w:t xml:space="preserve"> ejecución de recursos públicos.</w:t>
      </w:r>
      <w:r w:rsidR="00705F75" w:rsidRPr="00D22117">
        <w:rPr>
          <w:rFonts w:ascii="Arial" w:eastAsia="Arial" w:hAnsi="Arial" w:cs="Arial"/>
          <w:sz w:val="22"/>
          <w:szCs w:val="22"/>
        </w:rPr>
        <w:t xml:space="preserve"> En este sentido, si una o ambas partes de la relación contractual es una entidad de aquellas descritas en el parágrafo</w:t>
      </w:r>
      <w:r w:rsidR="000C65BF">
        <w:rPr>
          <w:rFonts w:ascii="Arial" w:eastAsia="Arial" w:hAnsi="Arial" w:cs="Arial"/>
          <w:iCs/>
          <w:sz w:val="22"/>
          <w:szCs w:val="22"/>
        </w:rPr>
        <w:t xml:space="preserve"> citado</w:t>
      </w:r>
      <w:r w:rsidR="00705F75" w:rsidRPr="00D22117">
        <w:rPr>
          <w:rFonts w:ascii="Arial" w:eastAsia="Arial" w:hAnsi="Arial" w:cs="Arial"/>
          <w:sz w:val="22"/>
          <w:szCs w:val="22"/>
        </w:rPr>
        <w:t>, no podrá celebrar tales convenios o contratos durante la aplicación de la ley de garantías</w:t>
      </w:r>
      <w:r w:rsidR="000C65BF">
        <w:rPr>
          <w:rFonts w:ascii="Arial" w:eastAsia="Arial" w:hAnsi="Arial" w:cs="Arial"/>
          <w:sz w:val="22"/>
          <w:szCs w:val="22"/>
        </w:rPr>
        <w:t>. Ello,</w:t>
      </w:r>
      <w:r w:rsidR="00705F75" w:rsidRPr="00D22117">
        <w:rPr>
          <w:rFonts w:ascii="Arial" w:eastAsia="Arial" w:hAnsi="Arial" w:cs="Arial"/>
          <w:sz w:val="22"/>
          <w:szCs w:val="22"/>
        </w:rPr>
        <w:t xml:space="preserve"> toda vez que la citada disposición hace referencia a dicha tipología contractual sin que el legislador hubiere contemplado excepción alguna frente a la modalidad de selección o naturaleza de su objeto</w:t>
      </w:r>
      <w:r w:rsidR="00705F75" w:rsidRPr="00D22117">
        <w:rPr>
          <w:rFonts w:ascii="Arial" w:eastAsia="Arial" w:hAnsi="Arial" w:cs="Arial"/>
          <w:sz w:val="22"/>
          <w:szCs w:val="22"/>
          <w:vertAlign w:val="superscript"/>
        </w:rPr>
        <w:footnoteReference w:id="14"/>
      </w:r>
      <w:r w:rsidR="00705F75" w:rsidRPr="00D22117">
        <w:rPr>
          <w:rFonts w:ascii="Arial" w:eastAsia="Arial" w:hAnsi="Arial" w:cs="Arial"/>
          <w:sz w:val="22"/>
          <w:szCs w:val="22"/>
        </w:rPr>
        <w:t xml:space="preserve">. </w:t>
      </w:r>
      <w:r w:rsidR="000C65BF">
        <w:rPr>
          <w:rFonts w:ascii="Arial" w:eastAsia="Arial" w:hAnsi="Arial" w:cs="Arial"/>
          <w:sz w:val="22"/>
          <w:szCs w:val="22"/>
        </w:rPr>
        <w:t>Esta</w:t>
      </w:r>
      <w:r w:rsidRPr="00223C44">
        <w:rPr>
          <w:rFonts w:ascii="Arial" w:eastAsia="Arial" w:hAnsi="Arial" w:cs="Arial"/>
          <w:sz w:val="22"/>
          <w:szCs w:val="22"/>
        </w:rPr>
        <w:t xml:space="preserve"> restricción aplica durante cualquier contienda electoral</w:t>
      </w:r>
      <w:r w:rsidRPr="00223C44">
        <w:rPr>
          <w:rStyle w:val="Refdenotaalpie"/>
          <w:rFonts w:ascii="Arial" w:eastAsia="Arial" w:hAnsi="Arial" w:cs="Arial"/>
          <w:sz w:val="22"/>
          <w:szCs w:val="22"/>
        </w:rPr>
        <w:footnoteReference w:id="15"/>
      </w:r>
      <w:r>
        <w:rPr>
          <w:rFonts w:ascii="Arial" w:eastAsia="Arial" w:hAnsi="Arial" w:cs="Arial"/>
          <w:sz w:val="22"/>
          <w:szCs w:val="22"/>
        </w:rPr>
        <w:t>, y l</w:t>
      </w:r>
      <w:r w:rsidR="00854F69" w:rsidRPr="00D22117">
        <w:rPr>
          <w:rFonts w:ascii="Arial" w:eastAsia="Arial" w:hAnsi="Arial" w:cs="Arial"/>
          <w:sz w:val="22"/>
          <w:szCs w:val="22"/>
        </w:rPr>
        <w:t xml:space="preserve">os convenios o contratos interadministrativos que </w:t>
      </w:r>
      <w:r w:rsidR="00854F69">
        <w:rPr>
          <w:rFonts w:ascii="Arial" w:eastAsia="Arial" w:hAnsi="Arial" w:cs="Arial"/>
          <w:sz w:val="22"/>
          <w:szCs w:val="22"/>
        </w:rPr>
        <w:t xml:space="preserve">allí </w:t>
      </w:r>
      <w:r w:rsidR="00854F69" w:rsidRPr="00D22117">
        <w:rPr>
          <w:rFonts w:ascii="Arial" w:eastAsia="Arial" w:hAnsi="Arial" w:cs="Arial"/>
          <w:sz w:val="22"/>
          <w:szCs w:val="22"/>
        </w:rPr>
        <w:t xml:space="preserve">se restringen son únicamente aquellos en que se dispone la </w:t>
      </w:r>
      <w:r w:rsidR="00854F69" w:rsidRPr="006B2825">
        <w:rPr>
          <w:rFonts w:ascii="Arial" w:eastAsia="Arial" w:hAnsi="Arial" w:cs="Arial"/>
          <w:i/>
          <w:sz w:val="22"/>
          <w:szCs w:val="22"/>
        </w:rPr>
        <w:t>ejecución de recursos públicos</w:t>
      </w:r>
      <w:r w:rsidR="00854F69" w:rsidRPr="00D22117">
        <w:rPr>
          <w:rFonts w:ascii="Arial" w:eastAsia="Arial" w:hAnsi="Arial" w:cs="Arial"/>
          <w:sz w:val="22"/>
          <w:szCs w:val="22"/>
        </w:rPr>
        <w:t>, para evitar que mediante la suscripción de estos se comprometa el erario con fines políticos o partidistas</w:t>
      </w:r>
      <w:r w:rsidR="00854F69" w:rsidRPr="00D22117">
        <w:rPr>
          <w:rFonts w:ascii="Arial" w:eastAsia="Arial" w:hAnsi="Arial" w:cs="Arial"/>
          <w:sz w:val="22"/>
          <w:szCs w:val="22"/>
          <w:vertAlign w:val="superscript"/>
        </w:rPr>
        <w:footnoteReference w:id="16"/>
      </w:r>
      <w:r w:rsidR="00854F69" w:rsidRPr="00D22117">
        <w:rPr>
          <w:rFonts w:ascii="Arial" w:eastAsia="Arial" w:hAnsi="Arial" w:cs="Arial"/>
          <w:sz w:val="22"/>
          <w:szCs w:val="22"/>
        </w:rPr>
        <w:t>.</w:t>
      </w:r>
      <w:r w:rsidR="00854F69" w:rsidRPr="00D22117">
        <w:rPr>
          <w:rFonts w:ascii="Arial" w:eastAsia="Arial" w:hAnsi="Arial" w:cs="Arial"/>
        </w:rPr>
        <w:t xml:space="preserve"> </w:t>
      </w:r>
      <w:r w:rsidR="007F1123">
        <w:rPr>
          <w:rFonts w:ascii="Arial" w:eastAsia="Arial" w:hAnsi="Arial" w:cs="Arial"/>
        </w:rPr>
        <w:t xml:space="preserve"> </w:t>
      </w:r>
      <w:r>
        <w:rPr>
          <w:rFonts w:ascii="Arial" w:eastAsia="Arial" w:hAnsi="Arial" w:cs="Arial"/>
        </w:rPr>
        <w:t xml:space="preserve"> </w:t>
      </w:r>
    </w:p>
    <w:p w14:paraId="216CD985" w14:textId="1E21797E" w:rsidR="00380422" w:rsidRPr="00D13CAA" w:rsidRDefault="00CB5A3A" w:rsidP="00380422">
      <w:pPr>
        <w:tabs>
          <w:tab w:val="left" w:pos="426"/>
        </w:tabs>
        <w:spacing w:after="120"/>
        <w:rPr>
          <w:rFonts w:ascii="Arial" w:eastAsia="Times New Roman" w:hAnsi="Arial" w:cs="Arial"/>
          <w:bCs/>
          <w:color w:val="000000" w:themeColor="text1"/>
          <w:sz w:val="22"/>
        </w:rPr>
      </w:pPr>
      <w:r>
        <w:rPr>
          <w:rFonts w:ascii="Arial" w:eastAsia="Arial" w:hAnsi="Arial" w:cs="Arial"/>
          <w:sz w:val="22"/>
          <w:szCs w:val="22"/>
        </w:rPr>
        <w:lastRenderedPageBreak/>
        <w:tab/>
      </w:r>
      <w:r w:rsidR="00705F75" w:rsidRPr="007F1123">
        <w:rPr>
          <w:rFonts w:ascii="Arial" w:eastAsia="Arial" w:hAnsi="Arial" w:cs="Arial"/>
          <w:sz w:val="22"/>
          <w:szCs w:val="22"/>
        </w:rPr>
        <w:t>P</w:t>
      </w:r>
      <w:r w:rsidR="00854F69" w:rsidRPr="007F1123">
        <w:rPr>
          <w:rFonts w:ascii="Arial" w:eastAsia="Arial" w:hAnsi="Arial" w:cs="Arial"/>
          <w:sz w:val="22"/>
          <w:szCs w:val="22"/>
        </w:rPr>
        <w:t>or otro lado</w:t>
      </w:r>
      <w:r w:rsidR="00380422" w:rsidRPr="007F1123">
        <w:rPr>
          <w:rFonts w:ascii="Arial" w:eastAsia="Arial" w:hAnsi="Arial" w:cs="Arial"/>
          <w:sz w:val="22"/>
          <w:szCs w:val="22"/>
        </w:rPr>
        <w:t xml:space="preserve">, </w:t>
      </w:r>
      <w:r w:rsidR="00380422" w:rsidRPr="007F1123">
        <w:rPr>
          <w:rFonts w:ascii="Arial" w:eastAsia="Times New Roman" w:hAnsi="Arial" w:cs="Arial"/>
          <w:bCs/>
          <w:color w:val="000000" w:themeColor="text1"/>
          <w:sz w:val="22"/>
        </w:rPr>
        <w:t>el art</w:t>
      </w:r>
      <w:r>
        <w:rPr>
          <w:rFonts w:ascii="Arial" w:eastAsia="Times New Roman" w:hAnsi="Arial" w:cs="Arial"/>
          <w:bCs/>
          <w:color w:val="000000" w:themeColor="text1"/>
          <w:sz w:val="22"/>
        </w:rPr>
        <w:t>ículo 33 de la L</w:t>
      </w:r>
      <w:r w:rsidR="00380422" w:rsidRPr="007F1123">
        <w:rPr>
          <w:rFonts w:ascii="Arial" w:eastAsia="Times New Roman" w:hAnsi="Arial" w:cs="Arial"/>
          <w:bCs/>
          <w:color w:val="000000" w:themeColor="text1"/>
          <w:sz w:val="22"/>
        </w:rPr>
        <w:t xml:space="preserve">ey en comento, prohíbe a </w:t>
      </w:r>
      <w:r w:rsidR="000C65BF" w:rsidRPr="007F1123">
        <w:rPr>
          <w:rFonts w:ascii="Arial" w:hAnsi="Arial" w:cs="Arial"/>
          <w:bCs/>
          <w:sz w:val="22"/>
          <w:lang w:val="es-ES"/>
        </w:rPr>
        <w:t>todos</w:t>
      </w:r>
      <w:r w:rsidR="00380422" w:rsidRPr="007F1123">
        <w:rPr>
          <w:rFonts w:ascii="Arial" w:hAnsi="Arial" w:cs="Arial"/>
          <w:bCs/>
          <w:sz w:val="22"/>
          <w:lang w:val="es-ES"/>
        </w:rPr>
        <w:t xml:space="preserve"> los entes del Estado la selección de contratistas mediante la modalidad de </w:t>
      </w:r>
      <w:r w:rsidR="00380422" w:rsidRPr="007F1123">
        <w:rPr>
          <w:rFonts w:ascii="Arial" w:hAnsi="Arial" w:cs="Arial"/>
          <w:bCs/>
          <w:i/>
          <w:sz w:val="22"/>
          <w:lang w:val="es-ES"/>
        </w:rPr>
        <w:t>contratación directa</w:t>
      </w:r>
      <w:r w:rsidR="00380422" w:rsidRPr="007F1123">
        <w:rPr>
          <w:rFonts w:ascii="Arial" w:hAnsi="Arial" w:cs="Arial"/>
          <w:bCs/>
          <w:sz w:val="22"/>
          <w:lang w:val="es-ES"/>
        </w:rPr>
        <w:t>, salvo l</w:t>
      </w:r>
      <w:r>
        <w:rPr>
          <w:rFonts w:ascii="Arial" w:hAnsi="Arial" w:cs="Arial"/>
          <w:bCs/>
          <w:sz w:val="22"/>
          <w:lang w:val="es-ES"/>
        </w:rPr>
        <w:t>as excepciones consagradas en este mismo artículo</w:t>
      </w:r>
      <w:r w:rsidR="00380422" w:rsidRPr="007F1123">
        <w:rPr>
          <w:rStyle w:val="Refdenotaalpie"/>
          <w:rFonts w:ascii="Arial" w:hAnsi="Arial" w:cs="Arial"/>
          <w:bCs/>
          <w:sz w:val="22"/>
          <w:lang w:val="es-ES"/>
        </w:rPr>
        <w:footnoteReference w:id="17"/>
      </w:r>
      <w:r w:rsidR="00215E7F">
        <w:rPr>
          <w:rFonts w:ascii="Arial" w:hAnsi="Arial" w:cs="Arial"/>
          <w:bCs/>
          <w:sz w:val="22"/>
          <w:lang w:val="es-ES"/>
        </w:rPr>
        <w:t>,</w:t>
      </w:r>
      <w:r w:rsidR="00380422" w:rsidRPr="007F1123">
        <w:rPr>
          <w:rFonts w:ascii="Arial" w:hAnsi="Arial" w:cs="Arial"/>
          <w:bCs/>
          <w:sz w:val="22"/>
          <w:lang w:val="es-ES"/>
        </w:rPr>
        <w:t xml:space="preserve"> durante el periodo preelectoral del Presidente y Vicepresidente de la República</w:t>
      </w:r>
      <w:r w:rsidR="007F1123" w:rsidRPr="007F1123">
        <w:rPr>
          <w:rFonts w:ascii="Arial" w:hAnsi="Arial" w:cs="Arial"/>
          <w:bCs/>
          <w:sz w:val="22"/>
          <w:lang w:val="es-ES"/>
        </w:rPr>
        <w:t>.</w:t>
      </w:r>
      <w:r w:rsidR="00380422" w:rsidRPr="007F1123">
        <w:rPr>
          <w:rFonts w:ascii="Arial" w:hAnsi="Arial" w:cs="Arial"/>
          <w:bCs/>
          <w:sz w:val="22"/>
          <w:lang w:val="es-ES"/>
        </w:rPr>
        <w:t xml:space="preserve"> Esta última prohibición implica que </w:t>
      </w:r>
      <w:r>
        <w:rPr>
          <w:rFonts w:ascii="Arial" w:hAnsi="Arial" w:cs="Arial"/>
          <w:bCs/>
          <w:sz w:val="22"/>
          <w:lang w:val="es-ES"/>
        </w:rPr>
        <w:t>ningún ente del Estado pueda</w:t>
      </w:r>
      <w:r w:rsidR="00380422" w:rsidRPr="007F1123">
        <w:rPr>
          <w:rFonts w:ascii="Arial" w:hAnsi="Arial" w:cs="Arial"/>
          <w:bCs/>
          <w:sz w:val="22"/>
          <w:lang w:val="es-ES"/>
        </w:rPr>
        <w:t xml:space="preserve"> celebrar de manera directa los contratos </w:t>
      </w:r>
      <w:r>
        <w:rPr>
          <w:rFonts w:ascii="Arial" w:hAnsi="Arial" w:cs="Arial"/>
          <w:bCs/>
          <w:sz w:val="22"/>
          <w:lang w:val="es-ES"/>
        </w:rPr>
        <w:t>relacionados</w:t>
      </w:r>
      <w:r w:rsidR="007F1123" w:rsidRPr="007F1123">
        <w:rPr>
          <w:rFonts w:ascii="Arial" w:hAnsi="Arial" w:cs="Arial"/>
          <w:bCs/>
          <w:sz w:val="22"/>
          <w:lang w:val="es-ES"/>
        </w:rPr>
        <w:t xml:space="preserve"> en</w:t>
      </w:r>
      <w:r>
        <w:rPr>
          <w:rFonts w:ascii="Arial" w:hAnsi="Arial" w:cs="Arial"/>
          <w:bCs/>
          <w:sz w:val="22"/>
          <w:lang w:val="es-ES"/>
        </w:rPr>
        <w:t xml:space="preserve"> </w:t>
      </w:r>
      <w:r w:rsidR="007F1123" w:rsidRPr="007F1123">
        <w:rPr>
          <w:rFonts w:ascii="Arial" w:hAnsi="Arial" w:cs="Arial"/>
          <w:bCs/>
          <w:sz w:val="22"/>
          <w:lang w:val="es-ES"/>
        </w:rPr>
        <w:t xml:space="preserve">el numeral 4 del artículo 2 de la Ley 1150 de 2007, </w:t>
      </w:r>
      <w:r>
        <w:rPr>
          <w:rFonts w:ascii="Arial" w:hAnsi="Arial" w:cs="Arial"/>
          <w:bCs/>
          <w:sz w:val="22"/>
          <w:lang w:val="es-ES"/>
        </w:rPr>
        <w:t xml:space="preserve">entre los que se encuentran </w:t>
      </w:r>
      <w:r w:rsidRPr="007F1123">
        <w:rPr>
          <w:rFonts w:ascii="Arial" w:hAnsi="Arial" w:cs="Arial"/>
          <w:bCs/>
          <w:sz w:val="22"/>
          <w:lang w:val="es-ES"/>
        </w:rPr>
        <w:t>los contratos o convenios interadministrativo</w:t>
      </w:r>
      <w:r>
        <w:rPr>
          <w:rFonts w:ascii="Arial" w:hAnsi="Arial" w:cs="Arial"/>
          <w:bCs/>
          <w:sz w:val="22"/>
          <w:lang w:val="es-ES"/>
        </w:rPr>
        <w:t xml:space="preserve">s (descritos </w:t>
      </w:r>
      <w:r w:rsidR="00121C2F">
        <w:rPr>
          <w:rFonts w:ascii="Arial" w:hAnsi="Arial" w:cs="Arial"/>
          <w:bCs/>
          <w:sz w:val="22"/>
          <w:lang w:val="es-ES"/>
        </w:rPr>
        <w:t>en el literal c</w:t>
      </w:r>
      <w:r w:rsidRPr="007F1123">
        <w:rPr>
          <w:rFonts w:ascii="Arial" w:hAnsi="Arial" w:cs="Arial"/>
          <w:bCs/>
          <w:sz w:val="22"/>
          <w:lang w:val="es-ES"/>
        </w:rPr>
        <w:t xml:space="preserve"> </w:t>
      </w:r>
      <w:r>
        <w:rPr>
          <w:rFonts w:ascii="Arial" w:hAnsi="Arial" w:cs="Arial"/>
          <w:bCs/>
          <w:sz w:val="22"/>
          <w:lang w:val="es-ES"/>
        </w:rPr>
        <w:t xml:space="preserve">de este numeral) </w:t>
      </w:r>
      <w:r w:rsidRPr="007F1123">
        <w:rPr>
          <w:rFonts w:ascii="Arial" w:hAnsi="Arial" w:cs="Arial"/>
          <w:bCs/>
          <w:sz w:val="22"/>
          <w:lang w:val="es-ES"/>
        </w:rPr>
        <w:t>durante</w:t>
      </w:r>
      <w:r w:rsidR="00380422" w:rsidRPr="007F1123">
        <w:rPr>
          <w:rFonts w:ascii="Arial" w:hAnsi="Arial" w:cs="Arial"/>
          <w:bCs/>
          <w:sz w:val="22"/>
          <w:lang w:val="es-ES"/>
        </w:rPr>
        <w:t xml:space="preserve"> el per</w:t>
      </w:r>
      <w:r w:rsidR="00604EFC">
        <w:rPr>
          <w:rFonts w:ascii="Arial" w:hAnsi="Arial" w:cs="Arial"/>
          <w:bCs/>
          <w:sz w:val="22"/>
          <w:lang w:val="es-ES"/>
        </w:rPr>
        <w:t>í</w:t>
      </w:r>
      <w:r w:rsidR="00380422" w:rsidRPr="007F1123">
        <w:rPr>
          <w:rFonts w:ascii="Arial" w:hAnsi="Arial" w:cs="Arial"/>
          <w:bCs/>
          <w:sz w:val="22"/>
          <w:lang w:val="es-ES"/>
        </w:rPr>
        <w:t xml:space="preserve">odo antes </w:t>
      </w:r>
      <w:r w:rsidR="00380422" w:rsidRPr="00CB5A3A">
        <w:rPr>
          <w:rFonts w:ascii="Arial" w:hAnsi="Arial" w:cs="Arial"/>
          <w:bCs/>
          <w:sz w:val="22"/>
          <w:lang w:val="es-ES"/>
        </w:rPr>
        <w:t>mencionado</w:t>
      </w:r>
      <w:r w:rsidRPr="00CB5A3A">
        <w:rPr>
          <w:rFonts w:ascii="Arial" w:hAnsi="Arial" w:cs="Arial"/>
          <w:bCs/>
          <w:sz w:val="22"/>
          <w:lang w:val="es-ES"/>
        </w:rPr>
        <w:t>.</w:t>
      </w:r>
      <w:r w:rsidR="00604EFC">
        <w:rPr>
          <w:rFonts w:ascii="Arial" w:hAnsi="Arial" w:cs="Arial"/>
          <w:bCs/>
          <w:sz w:val="22"/>
          <w:lang w:val="es-ES"/>
        </w:rPr>
        <w:t xml:space="preserve"> </w:t>
      </w:r>
      <w:r w:rsidR="002F649E">
        <w:rPr>
          <w:rFonts w:ascii="Arial" w:hAnsi="Arial" w:cs="Arial"/>
          <w:bCs/>
          <w:sz w:val="22"/>
          <w:lang w:val="es-ES"/>
        </w:rPr>
        <w:t>T</w:t>
      </w:r>
      <w:r w:rsidR="00604EFC">
        <w:rPr>
          <w:rFonts w:ascii="Arial" w:hAnsi="Arial" w:cs="Arial"/>
          <w:bCs/>
          <w:sz w:val="22"/>
          <w:lang w:val="es-ES"/>
        </w:rPr>
        <w:t>ampoco podrán celebrar contratos que no estén precedidos por procedimientos de convocatoria plural</w:t>
      </w:r>
      <w:r w:rsidR="0063155D">
        <w:rPr>
          <w:rFonts w:ascii="Arial" w:hAnsi="Arial" w:cs="Arial"/>
          <w:bCs/>
          <w:sz w:val="22"/>
          <w:lang w:val="es-ES"/>
        </w:rPr>
        <w:t xml:space="preserve">, pues la contratación directa no solo se celebra en virtud de las causales del referido artículo, </w:t>
      </w:r>
      <w:r w:rsidR="002F649E">
        <w:rPr>
          <w:rFonts w:ascii="Arial" w:hAnsi="Arial" w:cs="Arial"/>
          <w:bCs/>
          <w:sz w:val="22"/>
          <w:lang w:val="es-ES"/>
        </w:rPr>
        <w:t>sino que</w:t>
      </w:r>
      <w:r w:rsidR="0063155D">
        <w:rPr>
          <w:rFonts w:ascii="Arial" w:hAnsi="Arial" w:cs="Arial"/>
          <w:bCs/>
          <w:sz w:val="22"/>
          <w:lang w:val="es-ES"/>
        </w:rPr>
        <w:t xml:space="preserve"> puede suceder que una entidad</w:t>
      </w:r>
      <w:r w:rsidR="002F649E">
        <w:rPr>
          <w:rFonts w:ascii="Arial" w:hAnsi="Arial" w:cs="Arial"/>
          <w:bCs/>
          <w:sz w:val="22"/>
          <w:lang w:val="es-ES"/>
        </w:rPr>
        <w:t xml:space="preserve"> estatal</w:t>
      </w:r>
      <w:r w:rsidR="0063155D">
        <w:rPr>
          <w:rFonts w:ascii="Arial" w:hAnsi="Arial" w:cs="Arial"/>
          <w:bCs/>
          <w:sz w:val="22"/>
          <w:lang w:val="es-ES"/>
        </w:rPr>
        <w:t xml:space="preserve"> pretenda </w:t>
      </w:r>
      <w:r w:rsidR="00C02189">
        <w:rPr>
          <w:rFonts w:ascii="Arial" w:hAnsi="Arial" w:cs="Arial"/>
          <w:bCs/>
          <w:sz w:val="22"/>
          <w:lang w:val="es-ES"/>
        </w:rPr>
        <w:t>adelantar dicho trámite</w:t>
      </w:r>
      <w:r w:rsidR="002F649E">
        <w:rPr>
          <w:rFonts w:ascii="Arial" w:hAnsi="Arial" w:cs="Arial"/>
          <w:bCs/>
          <w:sz w:val="22"/>
          <w:lang w:val="es-ES"/>
        </w:rPr>
        <w:t xml:space="preserve"> a partir de un régimen especial de contratación.</w:t>
      </w:r>
      <w:r w:rsidR="0047064C">
        <w:rPr>
          <w:rFonts w:ascii="Arial" w:hAnsi="Arial" w:cs="Arial"/>
          <w:bCs/>
          <w:sz w:val="22"/>
          <w:lang w:val="es-ES"/>
        </w:rPr>
        <w:t xml:space="preserve"> Así que, independientemente de la denominación que tenga el procedimiento contractual, si no garantiza la libre concurrencia será de contratación directa</w:t>
      </w:r>
      <w:r w:rsidR="00C02189">
        <w:rPr>
          <w:rFonts w:ascii="Arial" w:hAnsi="Arial" w:cs="Arial"/>
          <w:bCs/>
          <w:sz w:val="22"/>
          <w:lang w:val="es-ES"/>
        </w:rPr>
        <w:t xml:space="preserve"> </w:t>
      </w:r>
      <w:r w:rsidR="00C83499">
        <w:rPr>
          <w:rFonts w:ascii="Arial" w:hAnsi="Arial" w:cs="Arial"/>
          <w:bCs/>
          <w:sz w:val="22"/>
          <w:lang w:val="es-ES"/>
        </w:rPr>
        <w:t>y</w:t>
      </w:r>
      <w:r w:rsidR="00A44D72">
        <w:rPr>
          <w:rFonts w:ascii="Arial" w:hAnsi="Arial" w:cs="Arial"/>
          <w:bCs/>
          <w:sz w:val="22"/>
          <w:lang w:val="es-ES"/>
        </w:rPr>
        <w:t>,</w:t>
      </w:r>
      <w:r w:rsidR="00C83499">
        <w:rPr>
          <w:rFonts w:ascii="Arial" w:hAnsi="Arial" w:cs="Arial"/>
          <w:bCs/>
          <w:sz w:val="22"/>
          <w:lang w:val="es-ES"/>
        </w:rPr>
        <w:t xml:space="preserve"> en consecuencia</w:t>
      </w:r>
      <w:r w:rsidR="00A44D72">
        <w:rPr>
          <w:rFonts w:ascii="Arial" w:hAnsi="Arial" w:cs="Arial"/>
          <w:bCs/>
          <w:sz w:val="22"/>
          <w:lang w:val="es-ES"/>
        </w:rPr>
        <w:t>,</w:t>
      </w:r>
      <w:r w:rsidR="00C83499">
        <w:rPr>
          <w:rFonts w:ascii="Arial" w:hAnsi="Arial" w:cs="Arial"/>
          <w:bCs/>
          <w:sz w:val="22"/>
          <w:lang w:val="es-ES"/>
        </w:rPr>
        <w:t xml:space="preserve"> le aplicará</w:t>
      </w:r>
      <w:r w:rsidR="00A44D72">
        <w:rPr>
          <w:rFonts w:ascii="Arial" w:hAnsi="Arial" w:cs="Arial"/>
          <w:bCs/>
          <w:sz w:val="22"/>
          <w:lang w:val="es-ES"/>
        </w:rPr>
        <w:t>n</w:t>
      </w:r>
      <w:r w:rsidR="00C83499">
        <w:rPr>
          <w:rFonts w:ascii="Arial" w:hAnsi="Arial" w:cs="Arial"/>
          <w:bCs/>
          <w:sz w:val="22"/>
          <w:lang w:val="es-ES"/>
        </w:rPr>
        <w:t>, en principio,</w:t>
      </w:r>
      <w:r w:rsidR="00C02189">
        <w:rPr>
          <w:rFonts w:ascii="Arial" w:hAnsi="Arial" w:cs="Arial"/>
          <w:bCs/>
          <w:sz w:val="22"/>
          <w:lang w:val="es-ES"/>
        </w:rPr>
        <w:t xml:space="preserve"> </w:t>
      </w:r>
      <w:r w:rsidR="00A44D72">
        <w:rPr>
          <w:rFonts w:ascii="Arial" w:hAnsi="Arial" w:cs="Arial"/>
          <w:bCs/>
          <w:sz w:val="22"/>
          <w:lang w:val="es-ES"/>
        </w:rPr>
        <w:t>las restricciones d</w:t>
      </w:r>
      <w:r w:rsidR="00C02189">
        <w:rPr>
          <w:rFonts w:ascii="Arial" w:hAnsi="Arial" w:cs="Arial"/>
          <w:bCs/>
          <w:sz w:val="22"/>
          <w:lang w:val="es-ES"/>
        </w:rPr>
        <w:t>el artículo 33 de la Ley 996 de 2005</w:t>
      </w:r>
      <w:r w:rsidR="00C83499">
        <w:rPr>
          <w:rFonts w:ascii="Arial" w:hAnsi="Arial" w:cs="Arial"/>
          <w:bCs/>
          <w:sz w:val="22"/>
          <w:lang w:val="es-ES"/>
        </w:rPr>
        <w:t>, salvo las excepciones que en este se encuentran previstas.</w:t>
      </w:r>
      <w:r w:rsidR="0063155D">
        <w:rPr>
          <w:rFonts w:ascii="Arial" w:hAnsi="Arial" w:cs="Arial"/>
          <w:bCs/>
          <w:sz w:val="22"/>
          <w:lang w:val="es-ES"/>
        </w:rPr>
        <w:t xml:space="preserve"> </w:t>
      </w:r>
    </w:p>
    <w:p w14:paraId="07CE5DFC" w14:textId="081C3B53" w:rsidR="00D73348" w:rsidRPr="00D22117" w:rsidRDefault="00DA2883">
      <w:pPr>
        <w:widowControl w:val="0"/>
        <w:pBdr>
          <w:top w:val="nil"/>
          <w:left w:val="nil"/>
          <w:bottom w:val="nil"/>
          <w:right w:val="nil"/>
          <w:between w:val="nil"/>
        </w:pBdr>
        <w:spacing w:after="120"/>
        <w:ind w:firstLine="707"/>
        <w:rPr>
          <w:rFonts w:ascii="Arial" w:eastAsia="Arial" w:hAnsi="Arial" w:cs="Arial"/>
          <w:color w:val="000000"/>
          <w:sz w:val="22"/>
          <w:szCs w:val="22"/>
        </w:rPr>
      </w:pPr>
      <w:bookmarkStart w:id="16" w:name="_1ksv4uv" w:colFirst="0" w:colLast="0"/>
      <w:bookmarkEnd w:id="16"/>
      <w:r w:rsidRPr="00D22117">
        <w:rPr>
          <w:rFonts w:ascii="Arial" w:eastAsia="Arial" w:hAnsi="Arial" w:cs="Arial"/>
          <w:color w:val="000000"/>
          <w:sz w:val="22"/>
          <w:szCs w:val="22"/>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D22117">
        <w:rPr>
          <w:rFonts w:ascii="Arial" w:eastAsia="Arial" w:hAnsi="Arial" w:cs="Arial"/>
          <w:color w:val="000000"/>
          <w:sz w:val="22"/>
          <w:szCs w:val="22"/>
          <w:vertAlign w:val="superscript"/>
        </w:rPr>
        <w:footnoteReference w:id="18"/>
      </w:r>
      <w:r w:rsidRPr="00D22117">
        <w:rPr>
          <w:rFonts w:ascii="Arial" w:eastAsia="Arial" w:hAnsi="Arial" w:cs="Arial"/>
          <w:color w:val="000000"/>
          <w:sz w:val="22"/>
          <w:szCs w:val="22"/>
        </w:rPr>
        <w:t xml:space="preserve">.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w:t>
      </w:r>
      <w:r w:rsidR="00805620">
        <w:rPr>
          <w:rFonts w:ascii="Arial" w:eastAsia="Arial" w:hAnsi="Arial" w:cs="Arial"/>
          <w:color w:val="000000"/>
          <w:sz w:val="22"/>
          <w:szCs w:val="22"/>
        </w:rPr>
        <w:t xml:space="preserve"> </w:t>
      </w:r>
      <w:r w:rsidRPr="00D22117">
        <w:rPr>
          <w:rFonts w:ascii="Arial" w:eastAsia="Arial" w:hAnsi="Arial" w:cs="Arial"/>
          <w:color w:val="000000"/>
          <w:sz w:val="22"/>
          <w:szCs w:val="22"/>
        </w:rPr>
        <w:t>Es decir, los contratos o convenios interadministrativos están determinados por un criterio orgánico, pues es necesario que los extremos de la relación contractual sean entidades estatales.</w:t>
      </w:r>
    </w:p>
    <w:p w14:paraId="12F84B91" w14:textId="77777777" w:rsidR="00D73348" w:rsidRPr="00D22117" w:rsidRDefault="00DA2883">
      <w:pPr>
        <w:widowControl w:val="0"/>
        <w:pBdr>
          <w:top w:val="nil"/>
          <w:left w:val="nil"/>
          <w:bottom w:val="nil"/>
          <w:right w:val="nil"/>
          <w:between w:val="nil"/>
        </w:pBdr>
        <w:spacing w:before="117" w:after="120"/>
        <w:ind w:firstLine="707"/>
        <w:rPr>
          <w:rFonts w:ascii="Arial" w:eastAsia="Arial" w:hAnsi="Arial" w:cs="Arial"/>
          <w:color w:val="000000"/>
          <w:sz w:val="22"/>
          <w:szCs w:val="22"/>
        </w:rPr>
      </w:pPr>
      <w:bookmarkStart w:id="17" w:name="_44sinio" w:colFirst="0" w:colLast="0"/>
      <w:bookmarkEnd w:id="17"/>
      <w:r w:rsidRPr="00D22117">
        <w:rPr>
          <w:rFonts w:ascii="Arial" w:eastAsia="Arial" w:hAnsi="Arial" w:cs="Arial"/>
          <w:color w:val="000000"/>
          <w:sz w:val="22"/>
          <w:szCs w:val="22"/>
        </w:rPr>
        <w:lastRenderedPageBreak/>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5A77A3EF" w14:textId="70CB9DD5" w:rsidR="00D73348" w:rsidRPr="00D22117" w:rsidRDefault="00DA2883">
      <w:pPr>
        <w:widowControl w:val="0"/>
        <w:pBdr>
          <w:top w:val="nil"/>
          <w:left w:val="nil"/>
          <w:bottom w:val="nil"/>
          <w:right w:val="nil"/>
          <w:between w:val="nil"/>
        </w:pBdr>
        <w:spacing w:before="121" w:after="120"/>
        <w:ind w:firstLine="707"/>
        <w:rPr>
          <w:rFonts w:ascii="Arial" w:eastAsia="Arial" w:hAnsi="Arial" w:cs="Arial"/>
          <w:color w:val="000000"/>
          <w:sz w:val="22"/>
          <w:szCs w:val="22"/>
        </w:rPr>
      </w:pPr>
      <w:r w:rsidRPr="00D22117">
        <w:rPr>
          <w:rFonts w:ascii="Arial" w:eastAsia="Arial" w:hAnsi="Arial" w:cs="Arial"/>
          <w:color w:val="000000"/>
          <w:sz w:val="22"/>
          <w:szCs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D22117">
        <w:rPr>
          <w:rFonts w:ascii="Arial" w:eastAsia="Arial" w:hAnsi="Arial" w:cs="Arial"/>
          <w:color w:val="000000"/>
          <w:sz w:val="22"/>
          <w:szCs w:val="22"/>
          <w:vertAlign w:val="superscript"/>
        </w:rPr>
        <w:footnoteReference w:id="19"/>
      </w:r>
      <w:r w:rsidRPr="00D22117">
        <w:rPr>
          <w:rFonts w:ascii="Arial" w:eastAsia="Arial" w:hAnsi="Arial" w:cs="Arial"/>
          <w:color w:val="000000"/>
          <w:sz w:val="22"/>
          <w:szCs w:val="22"/>
        </w:rPr>
        <w:t>. Nótese que, en este caso, lo que cambia es la modalidad de selección y no la naturaleza de contrato interadministrativo.</w:t>
      </w:r>
      <w:r w:rsidR="008A624D">
        <w:rPr>
          <w:rStyle w:val="Refdenotaalpie"/>
          <w:rFonts w:ascii="Arial" w:eastAsia="Arial" w:hAnsi="Arial" w:cs="Arial"/>
          <w:color w:val="000000"/>
          <w:sz w:val="22"/>
          <w:szCs w:val="22"/>
        </w:rPr>
        <w:footnoteReference w:id="20"/>
      </w:r>
    </w:p>
    <w:p w14:paraId="045428D3" w14:textId="6C8A9556" w:rsidR="00D73348" w:rsidRPr="00D22117" w:rsidRDefault="00156D16">
      <w:pPr>
        <w:widowControl w:val="0"/>
        <w:pBdr>
          <w:top w:val="nil"/>
          <w:left w:val="nil"/>
          <w:bottom w:val="nil"/>
          <w:right w:val="nil"/>
          <w:between w:val="nil"/>
        </w:pBdr>
        <w:spacing w:before="122" w:after="120"/>
        <w:ind w:firstLine="708"/>
        <w:rPr>
          <w:rFonts w:ascii="Arial" w:eastAsia="Arial" w:hAnsi="Arial" w:cs="Arial"/>
          <w:color w:val="000000"/>
          <w:sz w:val="22"/>
          <w:szCs w:val="22"/>
        </w:rPr>
      </w:pPr>
      <w:r>
        <w:rPr>
          <w:rFonts w:ascii="Arial" w:eastAsia="Arial" w:hAnsi="Arial" w:cs="Arial"/>
          <w:color w:val="000000"/>
          <w:sz w:val="22"/>
          <w:szCs w:val="22"/>
        </w:rPr>
        <w:t>Conviene</w:t>
      </w:r>
      <w:r w:rsidR="00DA2883" w:rsidRPr="00D22117">
        <w:rPr>
          <w:rFonts w:ascii="Arial" w:eastAsia="Arial" w:hAnsi="Arial" w:cs="Arial"/>
          <w:color w:val="000000"/>
          <w:sz w:val="22"/>
          <w:szCs w:val="22"/>
        </w:rPr>
        <w:t xml:space="preserve"> destacar que el Decreto 1082 de 2015 dispone que los convenios o contratos interadministrativos, </w:t>
      </w:r>
      <w:r w:rsidR="00DA2883" w:rsidRPr="00CB5A3A">
        <w:rPr>
          <w:rFonts w:ascii="Arial" w:eastAsia="Arial" w:hAnsi="Arial" w:cs="Arial"/>
          <w:color w:val="000000"/>
          <w:sz w:val="22"/>
          <w:szCs w:val="22"/>
        </w:rPr>
        <w:t>así denominados</w:t>
      </w:r>
      <w:r w:rsidR="00DA2883" w:rsidRPr="00D22117">
        <w:rPr>
          <w:rFonts w:ascii="Arial" w:eastAsia="Arial" w:hAnsi="Arial" w:cs="Arial"/>
          <w:color w:val="000000"/>
          <w:sz w:val="22"/>
          <w:szCs w:val="22"/>
        </w:rPr>
        <w:t xml:space="preserve"> en el artículo 2.2.1.2.1.4.4, se contratan directamente, por lo que no hay lugar a dudas que representan lo mismo en la medida en que concurran entidades estatales en el acuerdo de voluntades. </w:t>
      </w:r>
    </w:p>
    <w:p w14:paraId="1BBDE4C9" w14:textId="0FE5EFCF" w:rsidR="00D73348" w:rsidRPr="00D22117" w:rsidRDefault="00DA2883" w:rsidP="00A21BFD">
      <w:pPr>
        <w:widowControl w:val="0"/>
        <w:pBdr>
          <w:top w:val="nil"/>
          <w:left w:val="nil"/>
          <w:bottom w:val="nil"/>
          <w:right w:val="nil"/>
          <w:between w:val="nil"/>
        </w:pBdr>
        <w:spacing w:after="120"/>
        <w:ind w:firstLine="708"/>
        <w:rPr>
          <w:rFonts w:ascii="Arial" w:eastAsia="Arial" w:hAnsi="Arial" w:cs="Arial"/>
          <w:color w:val="000000"/>
          <w:sz w:val="22"/>
          <w:szCs w:val="22"/>
        </w:rPr>
      </w:pPr>
      <w:bookmarkStart w:id="18" w:name="_2jxsxqh" w:colFirst="0" w:colLast="0"/>
      <w:bookmarkEnd w:id="18"/>
      <w:r w:rsidRPr="00D22117">
        <w:rPr>
          <w:rFonts w:ascii="Arial" w:eastAsia="Arial" w:hAnsi="Arial" w:cs="Arial"/>
          <w:color w:val="000000"/>
          <w:sz w:val="22"/>
          <w:szCs w:val="22"/>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w:t>
      </w:r>
      <w:r w:rsidR="00185DEA">
        <w:rPr>
          <w:rFonts w:ascii="Arial" w:eastAsia="Arial" w:hAnsi="Arial" w:cs="Arial"/>
          <w:color w:val="000000"/>
          <w:sz w:val="22"/>
          <w:szCs w:val="22"/>
        </w:rPr>
        <w:t>,</w:t>
      </w:r>
      <w:r w:rsidRPr="00D22117">
        <w:rPr>
          <w:rFonts w:ascii="Arial" w:eastAsia="Arial" w:hAnsi="Arial" w:cs="Arial"/>
          <w:color w:val="000000"/>
          <w:sz w:val="22"/>
          <w:szCs w:val="22"/>
        </w:rPr>
        <w:t xml:space="preserve"> los asimila para efectos de aplicar las disposiciones que tangencialmente se refieren a uno u otro vocablo, por ejemplo, para la </w:t>
      </w:r>
      <w:r w:rsidRPr="00D22117">
        <w:rPr>
          <w:rFonts w:ascii="Arial" w:eastAsia="Arial" w:hAnsi="Arial" w:cs="Arial"/>
          <w:color w:val="000000"/>
          <w:sz w:val="22"/>
          <w:szCs w:val="22"/>
        </w:rPr>
        <w:lastRenderedPageBreak/>
        <w:t>aplicación de la Ley de Garantías. En este sentido, la Circular, refiriéndose al parágrafo del artículo 38 de la Ley 996 de 2005, expresa:</w:t>
      </w:r>
    </w:p>
    <w:p w14:paraId="6E3CDA27" w14:textId="77777777" w:rsidR="00D73348" w:rsidRPr="00D22117" w:rsidRDefault="00DA2883">
      <w:pPr>
        <w:spacing w:after="120" w:line="240" w:lineRule="auto"/>
        <w:ind w:left="709" w:right="709"/>
      </w:pPr>
      <w:r w:rsidRPr="00D22117">
        <w:rPr>
          <w:rFonts w:ascii="Arial" w:eastAsia="Arial" w:hAnsi="Arial" w:cs="Arial"/>
          <w:sz w:val="21"/>
          <w:szCs w:val="21"/>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F8A0CFE" w14:textId="77777777" w:rsidR="00D73348" w:rsidRPr="00D22117" w:rsidRDefault="00DA2883">
      <w:pPr>
        <w:spacing w:after="120" w:line="240" w:lineRule="auto"/>
        <w:ind w:left="709" w:right="709"/>
      </w:pPr>
      <w:bookmarkStart w:id="19" w:name="_z337ya" w:colFirst="0" w:colLast="0"/>
      <w:bookmarkEnd w:id="19"/>
      <w:r w:rsidRPr="00D22117">
        <w:rPr>
          <w:rFonts w:ascii="Arial" w:eastAsia="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E214BCE" w14:textId="77777777" w:rsidR="00D73348" w:rsidRPr="00D22117" w:rsidRDefault="00DA2883">
      <w:pPr>
        <w:spacing w:after="0" w:line="240" w:lineRule="auto"/>
        <w:ind w:left="709" w:right="709"/>
      </w:pPr>
      <w:r w:rsidRPr="00D22117">
        <w:rPr>
          <w:rFonts w:ascii="Arial" w:eastAsia="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3E660E61" w14:textId="77777777" w:rsidR="00D73348" w:rsidRPr="00D22117" w:rsidRDefault="00D73348">
      <w:pPr>
        <w:widowControl w:val="0"/>
        <w:pBdr>
          <w:top w:val="nil"/>
          <w:left w:val="nil"/>
          <w:bottom w:val="nil"/>
          <w:right w:val="nil"/>
          <w:between w:val="nil"/>
        </w:pBdr>
        <w:spacing w:before="3" w:after="0"/>
        <w:rPr>
          <w:rFonts w:ascii="Arial" w:eastAsia="Arial" w:hAnsi="Arial" w:cs="Arial"/>
          <w:color w:val="000000"/>
          <w:sz w:val="22"/>
          <w:szCs w:val="22"/>
        </w:rPr>
      </w:pPr>
    </w:p>
    <w:p w14:paraId="6C427255" w14:textId="032D9C2A" w:rsidR="00D73348" w:rsidRPr="00D22117" w:rsidRDefault="00DA2883">
      <w:pPr>
        <w:widowControl w:val="0"/>
        <w:pBdr>
          <w:top w:val="nil"/>
          <w:left w:val="nil"/>
          <w:bottom w:val="nil"/>
          <w:right w:val="nil"/>
          <w:between w:val="nil"/>
        </w:pBdr>
        <w:spacing w:after="120"/>
        <w:rPr>
          <w:rFonts w:ascii="Arial" w:eastAsia="Arial" w:hAnsi="Arial" w:cs="Arial"/>
          <w:color w:val="000000"/>
          <w:sz w:val="22"/>
          <w:szCs w:val="22"/>
        </w:rPr>
      </w:pPr>
      <w:r w:rsidRPr="00156D16">
        <w:rPr>
          <w:rFonts w:ascii="Arial" w:eastAsia="Arial" w:hAnsi="Arial" w:cs="Arial"/>
          <w:color w:val="000000"/>
          <w:sz w:val="22"/>
          <w:szCs w:val="22"/>
        </w:rPr>
        <w:t>Teniendo en cuenta lo anterior, se reitera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w:t>
      </w:r>
      <w:r w:rsidR="00156D16">
        <w:rPr>
          <w:rFonts w:ascii="Arial" w:eastAsia="Arial" w:hAnsi="Arial" w:cs="Arial"/>
          <w:color w:val="000000"/>
          <w:sz w:val="22"/>
          <w:szCs w:val="22"/>
        </w:rPr>
        <w:t xml:space="preserve"> Electorales</w:t>
      </w:r>
      <w:r w:rsidRPr="00156D16">
        <w:rPr>
          <w:rFonts w:ascii="Arial" w:eastAsia="Arial" w:hAnsi="Arial" w:cs="Arial"/>
          <w:color w:val="000000"/>
          <w:sz w:val="22"/>
          <w:szCs w:val="22"/>
        </w:rPr>
        <w:t xml:space="preserve">. </w:t>
      </w:r>
      <w:r w:rsidR="00185DEA">
        <w:rPr>
          <w:rFonts w:ascii="Arial" w:eastAsia="Arial" w:hAnsi="Arial" w:cs="Arial"/>
          <w:color w:val="000000"/>
          <w:sz w:val="22"/>
          <w:szCs w:val="22"/>
        </w:rPr>
        <w:t>En ese entendido</w:t>
      </w:r>
      <w:r w:rsidRPr="00156D16">
        <w:rPr>
          <w:rFonts w:ascii="Arial" w:eastAsia="Arial" w:hAnsi="Arial" w:cs="Arial"/>
          <w:color w:val="000000"/>
          <w:sz w:val="22"/>
          <w:szCs w:val="22"/>
        </w:rPr>
        <w:t>, las referencias realizadas por el legislador a estos términos deben asimilarse, salvo que de su contenido se logre inferir que se le quiere otorgar un contenido en particular, pues como se expresó, el legislador utiliza estos conceptos de forma indistinta.</w:t>
      </w:r>
    </w:p>
    <w:p w14:paraId="0091A6EE" w14:textId="42922AC8" w:rsidR="006211D4" w:rsidRDefault="00D21FE8" w:rsidP="00A83ECE">
      <w:pPr>
        <w:widowControl w:val="0"/>
        <w:pBdr>
          <w:top w:val="nil"/>
          <w:left w:val="nil"/>
          <w:bottom w:val="nil"/>
          <w:right w:val="nil"/>
          <w:between w:val="nil"/>
        </w:pBdr>
        <w:spacing w:after="0"/>
        <w:ind w:firstLine="709"/>
        <w:rPr>
          <w:rFonts w:ascii="Arial" w:eastAsia="Arial" w:hAnsi="Arial" w:cs="Arial"/>
          <w:color w:val="000000"/>
          <w:sz w:val="22"/>
          <w:szCs w:val="22"/>
        </w:rPr>
      </w:pPr>
      <w:r w:rsidRPr="00D22117">
        <w:rPr>
          <w:rFonts w:ascii="Arial" w:eastAsia="Arial" w:hAnsi="Arial" w:cs="Arial"/>
          <w:color w:val="000000"/>
          <w:sz w:val="22"/>
          <w:szCs w:val="22"/>
        </w:rPr>
        <w:lastRenderedPageBreak/>
        <w:t>En t</w:t>
      </w:r>
      <w:r w:rsidR="00A21BFD">
        <w:rPr>
          <w:rFonts w:ascii="Arial" w:eastAsia="Arial" w:hAnsi="Arial" w:cs="Arial"/>
          <w:color w:val="000000"/>
          <w:sz w:val="22"/>
          <w:szCs w:val="22"/>
        </w:rPr>
        <w:t>odo caso, es</w:t>
      </w:r>
      <w:r w:rsidR="00121C2F">
        <w:rPr>
          <w:rFonts w:ascii="Arial" w:eastAsia="Arial" w:hAnsi="Arial" w:cs="Arial"/>
          <w:color w:val="000000"/>
          <w:sz w:val="22"/>
          <w:szCs w:val="22"/>
        </w:rPr>
        <w:t xml:space="preserve"> importante mencionar </w:t>
      </w:r>
      <w:r w:rsidRPr="00D22117">
        <w:rPr>
          <w:rFonts w:ascii="Arial" w:eastAsia="Arial" w:hAnsi="Arial" w:cs="Arial"/>
          <w:color w:val="000000"/>
          <w:sz w:val="22"/>
          <w:szCs w:val="22"/>
        </w:rPr>
        <w:t>que</w:t>
      </w:r>
      <w:r w:rsidR="00550475">
        <w:rPr>
          <w:rFonts w:ascii="Arial" w:eastAsia="Arial" w:hAnsi="Arial" w:cs="Arial"/>
          <w:color w:val="000000"/>
          <w:sz w:val="22"/>
          <w:szCs w:val="22"/>
        </w:rPr>
        <w:t>,</w:t>
      </w:r>
      <w:r w:rsidRPr="00D22117">
        <w:rPr>
          <w:rFonts w:ascii="Arial" w:eastAsia="Arial" w:hAnsi="Arial" w:cs="Arial"/>
          <w:color w:val="000000"/>
          <w:sz w:val="22"/>
          <w:szCs w:val="22"/>
        </w:rPr>
        <w:t xml:space="preserve"> </w:t>
      </w:r>
      <w:r>
        <w:rPr>
          <w:rFonts w:ascii="Arial" w:eastAsia="Arial" w:hAnsi="Arial" w:cs="Arial"/>
          <w:color w:val="000000"/>
          <w:sz w:val="22"/>
          <w:szCs w:val="22"/>
        </w:rPr>
        <w:t xml:space="preserve">para el caso particular de los comicios que se desarrollarán en el país en el año 2022, debido la modificación parcial del artículo 124 de la Ley 2159 de 2021 respecto del parágrafo del artículo 38 de la Ley 996 de 2005, </w:t>
      </w:r>
      <w:r w:rsidR="00A21BFD" w:rsidRPr="00A21BFD">
        <w:rPr>
          <w:rFonts w:ascii="Arial" w:eastAsia="Arial" w:hAnsi="Arial" w:cs="Arial"/>
          <w:color w:val="000000"/>
          <w:sz w:val="22"/>
          <w:szCs w:val="22"/>
        </w:rPr>
        <w:t xml:space="preserve">los </w:t>
      </w:r>
      <w:r w:rsidRPr="00A21BFD">
        <w:rPr>
          <w:rFonts w:ascii="Arial" w:eastAsia="Arial" w:hAnsi="Arial" w:cs="Arial"/>
          <w:color w:val="000000"/>
          <w:sz w:val="22"/>
          <w:szCs w:val="22"/>
        </w:rPr>
        <w:t xml:space="preserve">entes territoriales </w:t>
      </w:r>
      <w:r w:rsidR="00A21BFD" w:rsidRPr="00A21BFD">
        <w:rPr>
          <w:rFonts w:ascii="Arial" w:eastAsia="Arial" w:hAnsi="Arial" w:cs="Arial"/>
          <w:color w:val="000000"/>
          <w:sz w:val="22"/>
          <w:szCs w:val="22"/>
        </w:rPr>
        <w:t>allí relacionados</w:t>
      </w:r>
      <w:r w:rsidR="00A21BFD">
        <w:rPr>
          <w:rFonts w:ascii="Arial" w:eastAsia="Arial" w:hAnsi="Arial" w:cs="Arial"/>
          <w:color w:val="000000"/>
          <w:sz w:val="22"/>
          <w:szCs w:val="22"/>
        </w:rPr>
        <w:t xml:space="preserve"> </w:t>
      </w:r>
      <w:r>
        <w:rPr>
          <w:rFonts w:ascii="Arial" w:eastAsia="Arial" w:hAnsi="Arial" w:cs="Arial"/>
          <w:color w:val="000000"/>
          <w:sz w:val="22"/>
          <w:szCs w:val="22"/>
        </w:rPr>
        <w:t>tienen autorización legal</w:t>
      </w:r>
      <w:r w:rsidR="00654A73">
        <w:rPr>
          <w:rFonts w:ascii="Arial" w:eastAsia="Arial" w:hAnsi="Arial" w:cs="Arial"/>
          <w:color w:val="000000"/>
          <w:sz w:val="22"/>
          <w:szCs w:val="22"/>
        </w:rPr>
        <w:t>, en la actualidad,</w:t>
      </w:r>
      <w:r>
        <w:rPr>
          <w:rFonts w:ascii="Arial" w:eastAsia="Arial" w:hAnsi="Arial" w:cs="Arial"/>
          <w:color w:val="000000"/>
          <w:sz w:val="22"/>
          <w:szCs w:val="22"/>
        </w:rPr>
        <w:t xml:space="preserve"> para celebrar </w:t>
      </w:r>
      <w:r w:rsidR="00121C2F">
        <w:rPr>
          <w:rFonts w:ascii="Arial" w:eastAsia="Arial" w:hAnsi="Arial" w:cs="Arial"/>
          <w:color w:val="000000"/>
          <w:sz w:val="22"/>
          <w:szCs w:val="22"/>
        </w:rPr>
        <w:t xml:space="preserve">convenios o </w:t>
      </w:r>
      <w:r>
        <w:rPr>
          <w:rFonts w:ascii="Arial" w:eastAsia="Arial" w:hAnsi="Arial" w:cs="Arial"/>
          <w:color w:val="000000"/>
          <w:sz w:val="22"/>
          <w:szCs w:val="22"/>
        </w:rPr>
        <w:t>contratos interadministrativos con entes del orden naciona</w:t>
      </w:r>
      <w:r w:rsidR="001328BF">
        <w:rPr>
          <w:rFonts w:ascii="Arial" w:eastAsia="Arial" w:hAnsi="Arial" w:cs="Arial"/>
          <w:color w:val="000000"/>
          <w:sz w:val="22"/>
          <w:szCs w:val="22"/>
        </w:rPr>
        <w:t xml:space="preserve">l, </w:t>
      </w:r>
      <w:r w:rsidR="001328BF" w:rsidRPr="00212E78">
        <w:rPr>
          <w:rFonts w:ascii="Arial" w:eastAsia="Arial" w:hAnsi="Arial" w:cs="Arial"/>
          <w:sz w:val="22"/>
          <w:szCs w:val="22"/>
        </w:rPr>
        <w:t>para la ejecución de programas o proyectos correspondientes al P</w:t>
      </w:r>
      <w:r w:rsidR="001328BF">
        <w:rPr>
          <w:rFonts w:ascii="Arial" w:eastAsia="Arial" w:hAnsi="Arial" w:cs="Arial"/>
          <w:sz w:val="22"/>
          <w:szCs w:val="22"/>
        </w:rPr>
        <w:t>resupuesto General de la Nación</w:t>
      </w:r>
      <w:r w:rsidR="00A21BFD">
        <w:rPr>
          <w:rFonts w:ascii="Arial" w:eastAsia="Arial" w:hAnsi="Arial" w:cs="Arial"/>
          <w:sz w:val="22"/>
          <w:szCs w:val="22"/>
        </w:rPr>
        <w:t xml:space="preserve">, </w:t>
      </w:r>
      <w:r w:rsidR="00550475">
        <w:rPr>
          <w:rFonts w:ascii="Arial" w:eastAsia="Arial" w:hAnsi="Arial" w:cs="Arial"/>
          <w:sz w:val="22"/>
          <w:szCs w:val="22"/>
        </w:rPr>
        <w:t>pero</w:t>
      </w:r>
      <w:r w:rsidR="00A21BFD">
        <w:rPr>
          <w:rFonts w:ascii="Arial" w:eastAsia="Arial" w:hAnsi="Arial" w:cs="Arial"/>
          <w:sz w:val="22"/>
          <w:szCs w:val="22"/>
        </w:rPr>
        <w:t xml:space="preserve"> a través de modali</w:t>
      </w:r>
      <w:r w:rsidR="00121C2F">
        <w:rPr>
          <w:rFonts w:ascii="Arial" w:eastAsia="Arial" w:hAnsi="Arial" w:cs="Arial"/>
          <w:sz w:val="22"/>
          <w:szCs w:val="22"/>
        </w:rPr>
        <w:t>dades de selección competitivas,</w:t>
      </w:r>
      <w:r w:rsidR="00A21BFD">
        <w:rPr>
          <w:rStyle w:val="Refdenotaalpie"/>
          <w:rFonts w:ascii="Arial" w:eastAsia="Arial" w:hAnsi="Arial" w:cs="Arial"/>
          <w:sz w:val="22"/>
          <w:szCs w:val="22"/>
        </w:rPr>
        <w:footnoteReference w:id="21"/>
      </w:r>
      <w:r w:rsidR="00121C2F">
        <w:rPr>
          <w:rFonts w:ascii="Arial" w:eastAsia="Arial" w:hAnsi="Arial" w:cs="Arial"/>
          <w:sz w:val="22"/>
          <w:szCs w:val="22"/>
        </w:rPr>
        <w:t xml:space="preserve"> debido a la restricción de la contratación directa que consagra el artículo 33 de la Ley 996 de 2005.</w:t>
      </w:r>
    </w:p>
    <w:p w14:paraId="54FEE7A6" w14:textId="77777777" w:rsidR="00654A73" w:rsidRDefault="00654A73" w:rsidP="00A83ECE">
      <w:pPr>
        <w:tabs>
          <w:tab w:val="left" w:pos="426"/>
        </w:tabs>
        <w:spacing w:after="0"/>
        <w:rPr>
          <w:rFonts w:ascii="Arial" w:hAnsi="Arial" w:cs="Arial"/>
          <w:b/>
          <w:bCs/>
          <w:sz w:val="22"/>
        </w:rPr>
      </w:pPr>
    </w:p>
    <w:p w14:paraId="59C1CCFC" w14:textId="24B87F78" w:rsidR="002E2E90" w:rsidRDefault="00364F9C" w:rsidP="00A83ECE">
      <w:pPr>
        <w:tabs>
          <w:tab w:val="left" w:pos="426"/>
        </w:tabs>
        <w:spacing w:after="0"/>
        <w:rPr>
          <w:rFonts w:ascii="Arial" w:hAnsi="Arial" w:cs="Arial"/>
          <w:b/>
          <w:bCs/>
          <w:sz w:val="22"/>
        </w:rPr>
      </w:pPr>
      <w:r w:rsidRPr="00C2522E">
        <w:rPr>
          <w:rFonts w:ascii="Arial" w:hAnsi="Arial" w:cs="Arial"/>
          <w:b/>
          <w:bCs/>
          <w:sz w:val="22"/>
        </w:rPr>
        <w:t>2.3.</w:t>
      </w:r>
      <w:r w:rsidR="00C2522E" w:rsidRPr="00C2522E">
        <w:rPr>
          <w:rFonts w:ascii="Arial" w:hAnsi="Arial" w:cs="Arial"/>
          <w:b/>
          <w:bCs/>
          <w:sz w:val="22"/>
        </w:rPr>
        <w:t xml:space="preserve"> El contrato de donación de bienes entre entidades públicas </w:t>
      </w:r>
      <w:r w:rsidR="002E2E90" w:rsidRPr="002E2E90">
        <w:rPr>
          <w:rFonts w:ascii="Arial" w:hAnsi="Arial" w:cs="Arial"/>
          <w:b/>
          <w:bCs/>
          <w:sz w:val="22"/>
        </w:rPr>
        <w:t>y sus restricciones en vigencia de la Ley 996 de 2005</w:t>
      </w:r>
    </w:p>
    <w:p w14:paraId="761658A2" w14:textId="77777777" w:rsidR="00654A73" w:rsidRDefault="00654A73" w:rsidP="00A83ECE">
      <w:pPr>
        <w:widowControl w:val="0"/>
        <w:spacing w:after="0"/>
        <w:rPr>
          <w:rFonts w:ascii="Arial" w:hAnsi="Arial" w:cs="Arial"/>
          <w:color w:val="000000" w:themeColor="text1"/>
          <w:sz w:val="22"/>
          <w:szCs w:val="22"/>
          <w:lang w:val="es-ES"/>
        </w:rPr>
      </w:pPr>
    </w:p>
    <w:p w14:paraId="17F9F8C7" w14:textId="228FE0F7" w:rsidR="007521DD" w:rsidRPr="007521DD" w:rsidRDefault="007521DD" w:rsidP="00A83ECE">
      <w:pPr>
        <w:widowControl w:val="0"/>
        <w:spacing w:after="120"/>
        <w:rPr>
          <w:rFonts w:ascii="Arial" w:hAnsi="Arial" w:cs="Arial"/>
          <w:color w:val="000000" w:themeColor="text1"/>
          <w:sz w:val="22"/>
          <w:szCs w:val="22"/>
        </w:rPr>
      </w:pPr>
      <w:r>
        <w:rPr>
          <w:rFonts w:ascii="Arial" w:eastAsia="Arial" w:hAnsi="Arial" w:cs="Arial"/>
          <w:color w:val="000000"/>
          <w:sz w:val="22"/>
          <w:szCs w:val="22"/>
        </w:rPr>
        <w:t>Cuando</w:t>
      </w:r>
      <w:r w:rsidRPr="0031596B">
        <w:rPr>
          <w:rFonts w:ascii="Arial" w:eastAsia="Arial" w:hAnsi="Arial" w:cs="Arial"/>
          <w:color w:val="000000"/>
          <w:sz w:val="22"/>
          <w:szCs w:val="22"/>
        </w:rPr>
        <w:t xml:space="preserve"> las partes que intervienen en un contrato de donación son entidades públicas, este acto adquiere la connotación de convenio o</w:t>
      </w:r>
      <w:r>
        <w:rPr>
          <w:rFonts w:ascii="Arial" w:eastAsia="Arial" w:hAnsi="Arial" w:cs="Arial"/>
          <w:color w:val="000000"/>
          <w:sz w:val="22"/>
          <w:szCs w:val="22"/>
        </w:rPr>
        <w:t xml:space="preserve"> contrato interadministrativo por la naturaleza de las partes, conforme con e</w:t>
      </w:r>
      <w:r w:rsidRPr="0031596B">
        <w:rPr>
          <w:rFonts w:ascii="Arial" w:eastAsia="Arial" w:hAnsi="Arial" w:cs="Arial"/>
          <w:color w:val="000000"/>
          <w:sz w:val="22"/>
          <w:szCs w:val="22"/>
        </w:rPr>
        <w:t>l criterio orgánico que ya se mencionó en el numeral anterior.</w:t>
      </w:r>
    </w:p>
    <w:p w14:paraId="2EA8C1F8" w14:textId="17FEE1BA" w:rsidR="00C2522E" w:rsidRDefault="001328BF" w:rsidP="00C2522E">
      <w:pPr>
        <w:widowControl w:val="0"/>
        <w:spacing w:after="120"/>
        <w:ind w:firstLine="720"/>
        <w:rPr>
          <w:rFonts w:ascii="Arial" w:eastAsia="Arial" w:hAnsi="Arial" w:cs="Arial"/>
          <w:color w:val="000000"/>
          <w:sz w:val="22"/>
          <w:szCs w:val="22"/>
        </w:rPr>
      </w:pPr>
      <w:r>
        <w:rPr>
          <w:rFonts w:ascii="Arial" w:eastAsia="Arial" w:hAnsi="Arial" w:cs="Arial"/>
          <w:color w:val="000000"/>
          <w:sz w:val="22"/>
          <w:szCs w:val="22"/>
        </w:rPr>
        <w:t>Por otra parte</w:t>
      </w:r>
      <w:r w:rsidR="00C2522E" w:rsidRPr="00D22117">
        <w:rPr>
          <w:rFonts w:ascii="Arial" w:eastAsia="Arial" w:hAnsi="Arial" w:cs="Arial"/>
          <w:color w:val="000000"/>
          <w:sz w:val="22"/>
          <w:szCs w:val="22"/>
        </w:rPr>
        <w:t>, el Código Civil</w:t>
      </w:r>
      <w:r w:rsidR="00C2522E">
        <w:rPr>
          <w:rFonts w:ascii="Arial" w:eastAsia="Arial" w:hAnsi="Arial" w:cs="Arial"/>
          <w:color w:val="000000"/>
          <w:sz w:val="22"/>
          <w:szCs w:val="22"/>
        </w:rPr>
        <w:t xml:space="preserve"> colombiano</w:t>
      </w:r>
      <w:r w:rsidR="00C2522E" w:rsidRPr="00D22117">
        <w:rPr>
          <w:rFonts w:ascii="Arial" w:eastAsia="Arial" w:hAnsi="Arial" w:cs="Arial"/>
          <w:color w:val="000000"/>
          <w:sz w:val="22"/>
          <w:szCs w:val="22"/>
        </w:rPr>
        <w:t xml:space="preserve"> define la donación como «un acto por el cual una persona transfiere, gratuita e irrevocablemente, una parte de sus bienes a otra persona que la acepta»</w:t>
      </w:r>
      <w:r w:rsidR="00C2522E" w:rsidRPr="00D22117">
        <w:rPr>
          <w:rFonts w:ascii="Arial" w:eastAsia="Arial" w:hAnsi="Arial" w:cs="Arial"/>
          <w:color w:val="4E4D4D"/>
          <w:sz w:val="22"/>
          <w:szCs w:val="22"/>
          <w:vertAlign w:val="superscript"/>
        </w:rPr>
        <w:footnoteReference w:id="22"/>
      </w:r>
      <w:r w:rsidR="00C2522E">
        <w:rPr>
          <w:rFonts w:ascii="Arial" w:eastAsia="Arial" w:hAnsi="Arial" w:cs="Arial"/>
          <w:color w:val="000000"/>
          <w:sz w:val="22"/>
          <w:szCs w:val="22"/>
        </w:rPr>
        <w:t>.</w:t>
      </w:r>
    </w:p>
    <w:p w14:paraId="1B262641" w14:textId="0F6C50B8" w:rsidR="00C2522E" w:rsidRDefault="00C2522E" w:rsidP="00C2522E">
      <w:pPr>
        <w:widowControl w:val="0"/>
        <w:spacing w:after="120"/>
        <w:ind w:firstLine="720"/>
        <w:rPr>
          <w:rFonts w:ascii="Arial" w:eastAsia="Arial" w:hAnsi="Arial" w:cs="Arial"/>
          <w:color w:val="000000"/>
          <w:sz w:val="22"/>
          <w:szCs w:val="22"/>
        </w:rPr>
      </w:pPr>
      <w:r>
        <w:rPr>
          <w:rFonts w:ascii="Arial" w:eastAsia="Arial" w:hAnsi="Arial" w:cs="Arial"/>
          <w:color w:val="000000"/>
          <w:sz w:val="22"/>
          <w:szCs w:val="22"/>
        </w:rPr>
        <w:t>L</w:t>
      </w:r>
      <w:r w:rsidRPr="00D22117">
        <w:rPr>
          <w:rFonts w:ascii="Arial" w:eastAsia="Arial" w:hAnsi="Arial" w:cs="Arial"/>
          <w:color w:val="000000"/>
          <w:sz w:val="22"/>
          <w:szCs w:val="22"/>
        </w:rPr>
        <w:t>a Sección Tercera del Consejo de Estado, en sentencia del 25 de mayo de 2016 sostuvo</w:t>
      </w:r>
      <w:r w:rsidR="000161C9">
        <w:rPr>
          <w:rFonts w:ascii="Arial" w:eastAsia="Arial" w:hAnsi="Arial" w:cs="Arial"/>
          <w:color w:val="000000"/>
          <w:sz w:val="22"/>
          <w:szCs w:val="22"/>
        </w:rPr>
        <w:t>,</w:t>
      </w:r>
      <w:r w:rsidRPr="00D22117">
        <w:rPr>
          <w:rFonts w:ascii="Arial" w:eastAsia="Arial" w:hAnsi="Arial" w:cs="Arial"/>
          <w:color w:val="000000"/>
          <w:sz w:val="22"/>
          <w:szCs w:val="22"/>
        </w:rPr>
        <w:t xml:space="preserve"> respecto de la definición de la donación del Código Civil, que era naturalmente imprecisa toda vez que la donación es un verdadero «contrato» y no solo un acto</w:t>
      </w:r>
      <w:r w:rsidR="00550475">
        <w:rPr>
          <w:rFonts w:ascii="Arial" w:eastAsia="Arial" w:hAnsi="Arial" w:cs="Arial"/>
          <w:color w:val="000000"/>
          <w:sz w:val="22"/>
          <w:szCs w:val="22"/>
        </w:rPr>
        <w:t>.</w:t>
      </w:r>
      <w:r w:rsidRPr="00D22117">
        <w:rPr>
          <w:rFonts w:ascii="Arial" w:eastAsia="Arial" w:hAnsi="Arial" w:cs="Arial"/>
          <w:color w:val="000000"/>
          <w:sz w:val="22"/>
          <w:szCs w:val="22"/>
        </w:rPr>
        <w:t xml:space="preserve"> </w:t>
      </w:r>
      <w:r w:rsidR="00550475">
        <w:rPr>
          <w:rFonts w:ascii="Arial" w:eastAsia="Arial" w:hAnsi="Arial" w:cs="Arial"/>
          <w:color w:val="000000"/>
          <w:sz w:val="22"/>
          <w:szCs w:val="22"/>
        </w:rPr>
        <w:t>L</w:t>
      </w:r>
      <w:r w:rsidRPr="00D22117">
        <w:rPr>
          <w:rFonts w:ascii="Arial" w:eastAsia="Arial" w:hAnsi="Arial" w:cs="Arial"/>
          <w:color w:val="000000"/>
          <w:sz w:val="22"/>
          <w:szCs w:val="22"/>
        </w:rPr>
        <w:t>o anterior</w:t>
      </w:r>
      <w:r w:rsidR="00550475">
        <w:rPr>
          <w:rFonts w:ascii="Arial" w:eastAsia="Arial" w:hAnsi="Arial" w:cs="Arial"/>
          <w:color w:val="000000"/>
          <w:sz w:val="22"/>
          <w:szCs w:val="22"/>
        </w:rPr>
        <w:t>, en razón a que</w:t>
      </w:r>
      <w:r w:rsidRPr="00D22117">
        <w:rPr>
          <w:rFonts w:ascii="Arial" w:eastAsia="Arial" w:hAnsi="Arial" w:cs="Arial"/>
          <w:color w:val="000000"/>
          <w:sz w:val="22"/>
          <w:szCs w:val="22"/>
        </w:rPr>
        <w:t xml:space="preserve"> para el perfeccionamiento del «contrato» concurre i) la voluntad dispositiva de la persona que pretende entregar parte de su patrimonio –donante– y ii) la aceptación de quien recibirá el beneficio económico –donatario–</w:t>
      </w:r>
      <w:r w:rsidRPr="00D22117">
        <w:rPr>
          <w:rFonts w:ascii="Arial" w:eastAsia="Arial" w:hAnsi="Arial" w:cs="Arial"/>
          <w:color w:val="4E4D4D"/>
          <w:sz w:val="22"/>
          <w:szCs w:val="22"/>
          <w:vertAlign w:val="superscript"/>
        </w:rPr>
        <w:footnoteReference w:id="23"/>
      </w:r>
      <w:r w:rsidRPr="00D22117">
        <w:rPr>
          <w:rFonts w:ascii="Arial" w:eastAsia="Arial" w:hAnsi="Arial" w:cs="Arial"/>
          <w:color w:val="000000"/>
          <w:sz w:val="22"/>
          <w:szCs w:val="22"/>
        </w:rPr>
        <w:t>.</w:t>
      </w:r>
    </w:p>
    <w:p w14:paraId="5E64DB08" w14:textId="6B029120" w:rsidR="00CF120A" w:rsidRDefault="00F266BD" w:rsidP="00C2522E">
      <w:pPr>
        <w:widowControl w:val="0"/>
        <w:spacing w:after="120"/>
        <w:ind w:firstLine="720"/>
        <w:rPr>
          <w:rFonts w:ascii="Arial" w:eastAsia="Arial" w:hAnsi="Arial" w:cs="Arial"/>
          <w:color w:val="000000"/>
          <w:sz w:val="22"/>
          <w:szCs w:val="22"/>
          <w:lang w:val="es-ES"/>
        </w:rPr>
      </w:pPr>
      <w:r>
        <w:rPr>
          <w:rFonts w:ascii="Arial" w:eastAsia="Arial" w:hAnsi="Arial" w:cs="Arial"/>
          <w:color w:val="000000"/>
          <w:sz w:val="22"/>
          <w:szCs w:val="22"/>
        </w:rPr>
        <w:lastRenderedPageBreak/>
        <w:t>T</w:t>
      </w:r>
      <w:r w:rsidR="00D73634">
        <w:rPr>
          <w:rFonts w:ascii="Arial" w:eastAsia="Arial" w:hAnsi="Arial" w:cs="Arial"/>
          <w:color w:val="000000"/>
          <w:sz w:val="22"/>
          <w:szCs w:val="22"/>
          <w:lang w:val="es-ES"/>
        </w:rPr>
        <w:t>eniendo</w:t>
      </w:r>
      <w:r w:rsidR="003E4316">
        <w:rPr>
          <w:rFonts w:ascii="Arial" w:eastAsia="Arial" w:hAnsi="Arial" w:cs="Arial"/>
          <w:color w:val="000000"/>
          <w:sz w:val="22"/>
          <w:szCs w:val="22"/>
          <w:lang w:val="es-ES"/>
        </w:rPr>
        <w:t xml:space="preserve"> en cuenta que la principal característica del contrato de donación es la gratuidad, </w:t>
      </w:r>
      <w:r w:rsidR="00CF120A">
        <w:rPr>
          <w:rFonts w:ascii="Arial" w:eastAsia="Arial" w:hAnsi="Arial" w:cs="Arial"/>
          <w:color w:val="000000"/>
          <w:sz w:val="22"/>
          <w:szCs w:val="22"/>
          <w:lang w:val="es-ES"/>
        </w:rPr>
        <w:t>para determinar</w:t>
      </w:r>
      <w:r w:rsidR="00CF120A" w:rsidRPr="00CF120A">
        <w:rPr>
          <w:rFonts w:ascii="Arial" w:eastAsia="Arial" w:hAnsi="Arial" w:cs="Arial"/>
          <w:color w:val="000000"/>
          <w:sz w:val="22"/>
          <w:szCs w:val="22"/>
          <w:lang w:val="es-ES"/>
        </w:rPr>
        <w:t xml:space="preserve"> si es posible que una entidad enajene bienes muebles a título gratuito con otra entidad estatal </w:t>
      </w:r>
      <w:r w:rsidR="007521DD">
        <w:rPr>
          <w:rFonts w:ascii="Arial" w:eastAsia="Arial" w:hAnsi="Arial" w:cs="Arial"/>
          <w:color w:val="000000"/>
          <w:sz w:val="22"/>
          <w:szCs w:val="22"/>
          <w:lang w:val="es-ES"/>
        </w:rPr>
        <w:t>durante la vigencia de las restricciones de la Ley 996 de 2005</w:t>
      </w:r>
      <w:r w:rsidR="003E4316">
        <w:rPr>
          <w:rFonts w:ascii="Arial" w:eastAsia="Arial" w:hAnsi="Arial" w:cs="Arial"/>
          <w:color w:val="000000"/>
          <w:sz w:val="22"/>
          <w:szCs w:val="22"/>
          <w:lang w:val="es-ES"/>
        </w:rPr>
        <w:t xml:space="preserve">, se </w:t>
      </w:r>
      <w:r w:rsidR="007521DD">
        <w:rPr>
          <w:rFonts w:ascii="Arial" w:eastAsia="Arial" w:hAnsi="Arial" w:cs="Arial"/>
          <w:color w:val="000000"/>
          <w:sz w:val="22"/>
          <w:szCs w:val="22"/>
          <w:lang w:val="es-ES"/>
        </w:rPr>
        <w:t>analizará</w:t>
      </w:r>
      <w:r w:rsidR="003E4316">
        <w:rPr>
          <w:rFonts w:ascii="Arial" w:eastAsia="Arial" w:hAnsi="Arial" w:cs="Arial"/>
          <w:color w:val="000000"/>
          <w:sz w:val="22"/>
          <w:szCs w:val="22"/>
          <w:lang w:val="es-ES"/>
        </w:rPr>
        <w:t xml:space="preserve"> si la </w:t>
      </w:r>
      <w:r w:rsidR="00D03541">
        <w:rPr>
          <w:rFonts w:ascii="Arial" w:eastAsia="Arial" w:hAnsi="Arial" w:cs="Arial"/>
          <w:color w:val="000000"/>
          <w:sz w:val="22"/>
          <w:szCs w:val="22"/>
          <w:lang w:val="es-ES"/>
        </w:rPr>
        <w:t>«</w:t>
      </w:r>
      <w:r w:rsidR="003E4316">
        <w:rPr>
          <w:rFonts w:ascii="Arial" w:eastAsia="Arial" w:hAnsi="Arial" w:cs="Arial"/>
          <w:color w:val="000000"/>
          <w:sz w:val="22"/>
          <w:szCs w:val="22"/>
          <w:lang w:val="es-ES"/>
        </w:rPr>
        <w:t>ejecución de recursos públicos</w:t>
      </w:r>
      <w:r w:rsidR="00D03541">
        <w:rPr>
          <w:rFonts w:ascii="Arial" w:eastAsia="Arial" w:hAnsi="Arial" w:cs="Arial"/>
          <w:color w:val="000000"/>
          <w:sz w:val="22"/>
          <w:szCs w:val="22"/>
          <w:lang w:val="es-ES"/>
        </w:rPr>
        <w:t>»</w:t>
      </w:r>
      <w:r w:rsidR="003E4316">
        <w:rPr>
          <w:rFonts w:ascii="Arial" w:eastAsia="Arial" w:hAnsi="Arial" w:cs="Arial"/>
          <w:color w:val="000000"/>
          <w:sz w:val="22"/>
          <w:szCs w:val="22"/>
          <w:lang w:val="es-ES"/>
        </w:rPr>
        <w:t xml:space="preserve"> que señala el parágrafo del artículo 38 de la Ley 996 de 2005 respecto de los contratos interadministrativos,</w:t>
      </w:r>
      <w:r w:rsidR="00CF120A" w:rsidRPr="00CF120A">
        <w:rPr>
          <w:rFonts w:ascii="Arial" w:eastAsia="Arial" w:hAnsi="Arial" w:cs="Arial"/>
          <w:color w:val="000000"/>
          <w:sz w:val="22"/>
          <w:szCs w:val="22"/>
          <w:lang w:val="es-ES"/>
        </w:rPr>
        <w:t xml:space="preserve"> incluye la entrega de bienes a título gratuito, o si se entiende de forma restringida a la ejecución de recursos que hacen parte del ciclo presupuestal de una entidad estatal.</w:t>
      </w:r>
    </w:p>
    <w:p w14:paraId="0AB85276" w14:textId="376D722F" w:rsidR="003E4316" w:rsidRPr="00D22117" w:rsidRDefault="003E4316" w:rsidP="003E4316">
      <w:pPr>
        <w:widowControl w:val="0"/>
        <w:pBdr>
          <w:top w:val="nil"/>
          <w:left w:val="nil"/>
          <w:bottom w:val="nil"/>
          <w:right w:val="nil"/>
          <w:between w:val="nil"/>
        </w:pBdr>
        <w:spacing w:after="120"/>
        <w:ind w:firstLine="709"/>
      </w:pPr>
      <w:r w:rsidRPr="000C5022">
        <w:rPr>
          <w:rFonts w:ascii="Arial" w:eastAsia="Arial" w:hAnsi="Arial" w:cs="Arial"/>
          <w:color w:val="000000"/>
          <w:sz w:val="22"/>
          <w:szCs w:val="22"/>
        </w:rPr>
        <w:t xml:space="preserve">En relación con este asunto, es importante señalar que este tema </w:t>
      </w:r>
      <w:r w:rsidR="00A10378">
        <w:rPr>
          <w:rFonts w:ascii="Arial" w:eastAsia="Arial" w:hAnsi="Arial" w:cs="Arial"/>
          <w:color w:val="000000"/>
          <w:sz w:val="22"/>
          <w:szCs w:val="22"/>
        </w:rPr>
        <w:t xml:space="preserve">fue abordado por parte de esta Agencia </w:t>
      </w:r>
      <w:r w:rsidRPr="000C5022">
        <w:rPr>
          <w:rFonts w:ascii="Arial" w:eastAsia="Arial" w:hAnsi="Arial" w:cs="Arial"/>
          <w:color w:val="000000"/>
          <w:sz w:val="22"/>
          <w:szCs w:val="22"/>
        </w:rPr>
        <w:t>en los conceptos 420191300004738  del 28 de agosto de 2019 –radicado de salida 2201913000006306–; 4201913000005789 del 7 de octubre de 2019 –radicado de salida 2201913000007428; 4201913000006036 del 17 de octubre de 2019 –radicado de salida 2201913000007760–; y 4201912000006293 del 6 de noviembre de 2019 –radicado de salida 2201913000008259–</w:t>
      </w:r>
      <w:r w:rsidRPr="000C5022">
        <w:rPr>
          <w:rFonts w:ascii="Arial" w:eastAsia="Arial" w:hAnsi="Arial" w:cs="Arial"/>
          <w:color w:val="000000"/>
          <w:sz w:val="22"/>
          <w:szCs w:val="22"/>
          <w:vertAlign w:val="superscript"/>
        </w:rPr>
        <w:footnoteReference w:id="24"/>
      </w:r>
      <w:r w:rsidRPr="000C5022">
        <w:rPr>
          <w:rFonts w:ascii="Arial" w:eastAsia="Arial" w:hAnsi="Arial" w:cs="Arial"/>
          <w:color w:val="000000"/>
          <w:sz w:val="22"/>
          <w:szCs w:val="22"/>
        </w:rPr>
        <w:t>.</w:t>
      </w:r>
      <w:r w:rsidR="00A10378">
        <w:rPr>
          <w:rFonts w:ascii="Arial" w:eastAsia="Arial" w:hAnsi="Arial" w:cs="Arial"/>
          <w:color w:val="000000"/>
          <w:sz w:val="22"/>
          <w:szCs w:val="22"/>
        </w:rPr>
        <w:t xml:space="preserve"> </w:t>
      </w:r>
    </w:p>
    <w:p w14:paraId="5C402BE4" w14:textId="4C01EADD" w:rsidR="003E4316" w:rsidRPr="00D22117" w:rsidRDefault="003E4316" w:rsidP="003E4316">
      <w:pPr>
        <w:widowControl w:val="0"/>
        <w:spacing w:after="120"/>
        <w:ind w:firstLine="709"/>
        <w:rPr>
          <w:color w:val="000000"/>
        </w:rPr>
      </w:pPr>
      <w:r w:rsidRPr="00D22117">
        <w:rPr>
          <w:rFonts w:ascii="Arial" w:eastAsia="Arial" w:hAnsi="Arial" w:cs="Arial"/>
          <w:color w:val="000000"/>
          <w:sz w:val="22"/>
          <w:szCs w:val="22"/>
        </w:rPr>
        <w:t>Como se indicó en los conceptos citados, en el ordenamiento jurídico no hay norma que defina el alcance de la expresión «recursos públicos», es decir, la disposición analizada no define de forma precisa si se refiere exclusivamente a la ejecución de recursos públicos en dinero o también se refiere a la entrega de bienes muebles o inmuebles a título gratuito</w:t>
      </w:r>
      <w:r w:rsidR="00BB49A0">
        <w:rPr>
          <w:rFonts w:ascii="Arial" w:eastAsia="Arial" w:hAnsi="Arial" w:cs="Arial"/>
          <w:color w:val="000000"/>
          <w:sz w:val="22"/>
          <w:szCs w:val="22"/>
        </w:rPr>
        <w:t xml:space="preserve"> </w:t>
      </w:r>
      <w:r w:rsidRPr="00D22117">
        <w:rPr>
          <w:rFonts w:ascii="Arial" w:eastAsia="Arial" w:hAnsi="Arial" w:cs="Arial"/>
          <w:color w:val="000000"/>
          <w:sz w:val="22"/>
          <w:szCs w:val="22"/>
        </w:rPr>
        <w:t>que pertenezcan al Estado, los cuales serían recursos públicos.</w:t>
      </w:r>
    </w:p>
    <w:p w14:paraId="303DB1F7" w14:textId="19B6F42F" w:rsidR="007D6158" w:rsidRPr="00D22117" w:rsidRDefault="005B0DA4" w:rsidP="007D6158">
      <w:pPr>
        <w:widowControl w:val="0"/>
        <w:spacing w:after="120"/>
        <w:ind w:firstLine="709"/>
        <w:rPr>
          <w:color w:val="000000"/>
        </w:rPr>
      </w:pPr>
      <w:r w:rsidRPr="005B0DA4">
        <w:rPr>
          <w:rFonts w:ascii="Arial" w:eastAsia="Arial" w:hAnsi="Arial" w:cs="Arial"/>
          <w:color w:val="000000"/>
          <w:sz w:val="22"/>
          <w:szCs w:val="22"/>
        </w:rPr>
        <w:t>La Corte Constitucional y el Consejo de Estado se han pronunciado sobre la situación en la cual en el ordenamiento se encuentran normas cuyo alcance no está determinado con exactitud en la ley</w:t>
      </w:r>
      <w:r w:rsidRPr="00D22117">
        <w:rPr>
          <w:rFonts w:ascii="Arial" w:eastAsia="Arial" w:hAnsi="Arial" w:cs="Arial"/>
          <w:color w:val="4E4D4D"/>
          <w:sz w:val="22"/>
          <w:szCs w:val="22"/>
          <w:vertAlign w:val="superscript"/>
        </w:rPr>
        <w:footnoteReference w:id="25"/>
      </w:r>
      <w:r w:rsidRPr="005B0DA4">
        <w:rPr>
          <w:rFonts w:ascii="Arial" w:eastAsia="Arial" w:hAnsi="Arial" w:cs="Arial"/>
          <w:color w:val="000000"/>
          <w:sz w:val="22"/>
          <w:szCs w:val="22"/>
        </w:rPr>
        <w:t>.</w:t>
      </w:r>
      <w:r>
        <w:rPr>
          <w:rFonts w:ascii="Arial" w:eastAsia="Arial" w:hAnsi="Arial" w:cs="Arial"/>
          <w:color w:val="000000"/>
          <w:sz w:val="22"/>
          <w:szCs w:val="22"/>
        </w:rPr>
        <w:t xml:space="preserve"> </w:t>
      </w:r>
      <w:r w:rsidR="007D6158" w:rsidRPr="00D22117">
        <w:rPr>
          <w:rFonts w:ascii="Arial" w:eastAsia="Arial" w:hAnsi="Arial" w:cs="Arial"/>
          <w:color w:val="000000"/>
          <w:sz w:val="22"/>
          <w:szCs w:val="22"/>
        </w:rPr>
        <w:t xml:space="preserve">Refiriéndose a los conceptos jurídicos </w:t>
      </w:r>
      <w:r w:rsidR="007D6158" w:rsidRPr="00D22117">
        <w:rPr>
          <w:rFonts w:ascii="Arial" w:eastAsia="Arial" w:hAnsi="Arial" w:cs="Arial"/>
          <w:color w:val="000000"/>
          <w:sz w:val="22"/>
          <w:szCs w:val="22"/>
        </w:rPr>
        <w:lastRenderedPageBreak/>
        <w:t>indeterminados, la doctrina explica que deben ser interpretados por el destinatario de la norma, quien debe precisarlo</w:t>
      </w:r>
      <w:r w:rsidR="008D5BE8">
        <w:rPr>
          <w:rFonts w:ascii="Arial" w:eastAsia="Arial" w:hAnsi="Arial" w:cs="Arial"/>
          <w:color w:val="000000"/>
          <w:sz w:val="22"/>
          <w:szCs w:val="22"/>
        </w:rPr>
        <w:t>s</w:t>
      </w:r>
      <w:r w:rsidR="007D6158" w:rsidRPr="00D22117">
        <w:rPr>
          <w:rFonts w:ascii="Arial" w:eastAsia="Arial" w:hAnsi="Arial" w:cs="Arial"/>
          <w:color w:val="000000"/>
          <w:sz w:val="22"/>
          <w:szCs w:val="22"/>
        </w:rPr>
        <w:t>, de acuerdo con las circunstancias concretas que pesan sobre él</w:t>
      </w:r>
      <w:r w:rsidR="007D6158" w:rsidRPr="00D22117">
        <w:rPr>
          <w:rFonts w:ascii="Arial" w:eastAsia="Arial" w:hAnsi="Arial" w:cs="Arial"/>
          <w:color w:val="4E4D4D"/>
          <w:sz w:val="22"/>
          <w:szCs w:val="22"/>
          <w:vertAlign w:val="superscript"/>
        </w:rPr>
        <w:footnoteReference w:id="26"/>
      </w:r>
      <w:r w:rsidR="007D6158" w:rsidRPr="00D22117">
        <w:rPr>
          <w:rFonts w:ascii="Arial" w:eastAsia="Arial" w:hAnsi="Arial" w:cs="Arial"/>
          <w:color w:val="000000"/>
          <w:sz w:val="22"/>
          <w:szCs w:val="22"/>
        </w:rPr>
        <w:t xml:space="preserve">. </w:t>
      </w:r>
      <w:r>
        <w:rPr>
          <w:rFonts w:ascii="Arial" w:eastAsia="Arial" w:hAnsi="Arial" w:cs="Arial"/>
          <w:color w:val="000000"/>
          <w:sz w:val="22"/>
          <w:szCs w:val="22"/>
        </w:rPr>
        <w:t xml:space="preserve"> </w:t>
      </w:r>
      <w:r w:rsidR="007D6158" w:rsidRPr="00D22117">
        <w:rPr>
          <w:rFonts w:ascii="Arial" w:eastAsia="Arial" w:hAnsi="Arial" w:cs="Arial"/>
          <w:color w:val="000000"/>
          <w:sz w:val="22"/>
          <w:szCs w:val="22"/>
        </w:rPr>
        <w:t>Por tanto, ante la</w:t>
      </w:r>
      <w:r w:rsidR="007D6158" w:rsidRPr="00D22117">
        <w:rPr>
          <w:rFonts w:ascii="Arial" w:eastAsia="Arial" w:hAnsi="Arial" w:cs="Arial"/>
          <w:color w:val="000000"/>
          <w:sz w:val="20"/>
          <w:szCs w:val="20"/>
        </w:rPr>
        <w:t xml:space="preserve"> </w:t>
      </w:r>
      <w:r w:rsidR="007D6158" w:rsidRPr="00D22117">
        <w:rPr>
          <w:rFonts w:ascii="Arial" w:eastAsia="Arial" w:hAnsi="Arial" w:cs="Arial"/>
          <w:color w:val="000000"/>
          <w:sz w:val="22"/>
          <w:szCs w:val="22"/>
        </w:rPr>
        <w:t>existencia de conceptos jurídicos indeterminados</w:t>
      </w:r>
      <w:r w:rsidR="00BB49A0">
        <w:rPr>
          <w:rFonts w:ascii="Arial" w:eastAsia="Arial" w:hAnsi="Arial" w:cs="Arial"/>
          <w:color w:val="000000"/>
          <w:sz w:val="22"/>
          <w:szCs w:val="22"/>
        </w:rPr>
        <w:t>,</w:t>
      </w:r>
      <w:r w:rsidR="007D6158" w:rsidRPr="00D22117">
        <w:rPr>
          <w:rFonts w:ascii="Arial" w:eastAsia="Arial" w:hAnsi="Arial" w:cs="Arial"/>
          <w:color w:val="000000"/>
          <w:sz w:val="22"/>
          <w:szCs w:val="22"/>
        </w:rPr>
        <w:t xml:space="preserve"> el intérprete determinará el alcance del concepto de acuerdo con las circunstancias específicas de cada caso.</w:t>
      </w:r>
    </w:p>
    <w:p w14:paraId="49E12FAA" w14:textId="1B417D73" w:rsidR="007D6158" w:rsidRPr="00D22117" w:rsidRDefault="007D6158" w:rsidP="007D6158">
      <w:pPr>
        <w:widowControl w:val="0"/>
        <w:spacing w:after="120"/>
        <w:ind w:firstLine="709"/>
        <w:rPr>
          <w:color w:val="000000"/>
        </w:rPr>
      </w:pPr>
      <w:r w:rsidRPr="00D22117">
        <w:rPr>
          <w:rFonts w:ascii="Arial" w:eastAsia="Arial" w:hAnsi="Arial" w:cs="Arial"/>
          <w:color w:val="000000"/>
          <w:sz w:val="22"/>
          <w:szCs w:val="22"/>
        </w:rPr>
        <w:t>Conforme a lo anterior, para dotar de contenido la expresión «recursos públicos» y determinar si es posible celebrar un contrato de donación durante la vigencia de la Ley de Garantías</w:t>
      </w:r>
      <w:r w:rsidR="005B0DA4">
        <w:rPr>
          <w:rFonts w:ascii="Arial" w:eastAsia="Arial" w:hAnsi="Arial" w:cs="Arial"/>
          <w:color w:val="000000"/>
          <w:sz w:val="22"/>
          <w:szCs w:val="22"/>
        </w:rPr>
        <w:t xml:space="preserve"> Electorales</w:t>
      </w:r>
      <w:r w:rsidRPr="00D22117">
        <w:rPr>
          <w:rFonts w:ascii="Arial" w:eastAsia="Arial" w:hAnsi="Arial" w:cs="Arial"/>
          <w:color w:val="000000"/>
          <w:sz w:val="22"/>
          <w:szCs w:val="22"/>
        </w:rPr>
        <w:t xml:space="preserve">, concretamente, frente a la prohibición del parágrafo del artículo 38, se acudirá a </w:t>
      </w:r>
      <w:r>
        <w:rPr>
          <w:rFonts w:ascii="Arial" w:eastAsia="Arial" w:hAnsi="Arial" w:cs="Arial"/>
          <w:color w:val="000000"/>
          <w:sz w:val="22"/>
          <w:szCs w:val="22"/>
        </w:rPr>
        <w:t>la exposición de motivos de la L</w:t>
      </w:r>
      <w:r w:rsidRPr="00D22117">
        <w:rPr>
          <w:rFonts w:ascii="Arial" w:eastAsia="Arial" w:hAnsi="Arial" w:cs="Arial"/>
          <w:color w:val="000000"/>
          <w:sz w:val="22"/>
          <w:szCs w:val="22"/>
        </w:rPr>
        <w:t>ey para determinar si la entrega de un bien a título gratuito se enmarca en la ejecución de «recursos públicos».</w:t>
      </w:r>
    </w:p>
    <w:p w14:paraId="5EEE6BEA" w14:textId="77777777" w:rsidR="007D6158" w:rsidRPr="00D22117" w:rsidRDefault="007D6158" w:rsidP="007D6158">
      <w:pPr>
        <w:widowControl w:val="0"/>
        <w:spacing w:after="120"/>
        <w:ind w:firstLine="709"/>
        <w:rPr>
          <w:color w:val="000000"/>
        </w:rPr>
      </w:pPr>
      <w:r w:rsidRPr="00D22117">
        <w:rPr>
          <w:rFonts w:ascii="Arial" w:eastAsia="Arial" w:hAnsi="Arial" w:cs="Arial"/>
          <w:color w:val="000000"/>
          <w:sz w:val="22"/>
          <w:szCs w:val="22"/>
        </w:rPr>
        <w:t>La Ley 996 de 2005, de acuerdo con la Gaceta No. 71 del 2005</w:t>
      </w:r>
      <w:r w:rsidRPr="00D22117">
        <w:rPr>
          <w:rFonts w:ascii="Arial" w:eastAsia="Arial" w:hAnsi="Arial" w:cs="Arial"/>
          <w:color w:val="4E4D4D"/>
          <w:sz w:val="22"/>
          <w:szCs w:val="22"/>
          <w:vertAlign w:val="superscript"/>
        </w:rPr>
        <w:footnoteReference w:id="27"/>
      </w:r>
      <w:r w:rsidRPr="00D22117">
        <w:rPr>
          <w:rFonts w:ascii="Arial" w:eastAsia="Arial" w:hAnsi="Arial" w:cs="Arial"/>
          <w:color w:val="000000"/>
          <w:sz w:val="22"/>
          <w:szCs w:val="22"/>
        </w:rPr>
        <w:t xml:space="preserve">, tiene como propósito evitar cualquier tipo de arbitrariedad, de ventaja injustificada, de uso irregular de los recursos del Estado en las campañas o falta de garantías en la elección presidencial. Ahora, en las Gacetas del Congreso de la República No. 71, 231, 312 y 362 del año 2005, si bien se fijaron prohibiciones a los servidores públicos, no se incluyó la prohibición de celebrar convenios o contratos interadministrativos cuatro meses antes a cualquier elección. En efecto, esta prohibición se incorporó en la Gaceta No. 35 de 2006, en la cual se publicó la Ley 996 de 2005, sin embargo, no se explicó el alcance de la expresión «ejecución de recursos públicos». Por su parte, la Gaceta No. 71 del 2 de marzo de 2005 señalaba que este proyecto de ley buscaba impedir que el cargo de una persona se utilizara </w:t>
      </w:r>
      <w:r w:rsidRPr="00D22117">
        <w:rPr>
          <w:rFonts w:ascii="Arial" w:eastAsia="Arial" w:hAnsi="Arial" w:cs="Arial"/>
          <w:color w:val="000000"/>
          <w:sz w:val="22"/>
          <w:szCs w:val="22"/>
        </w:rPr>
        <w:lastRenderedPageBreak/>
        <w:t>para promover una candidatura o ejercer presión sobre los subordinados para determinar su voluntad de elección.</w:t>
      </w:r>
    </w:p>
    <w:p w14:paraId="7BAEE412" w14:textId="6DD5F179" w:rsidR="007D6158" w:rsidRPr="00D22117" w:rsidRDefault="007D6158" w:rsidP="007D6158">
      <w:pPr>
        <w:widowControl w:val="0"/>
        <w:spacing w:after="120"/>
        <w:ind w:firstLine="709"/>
        <w:rPr>
          <w:color w:val="000000"/>
        </w:rPr>
      </w:pPr>
      <w:r w:rsidRPr="00D22117">
        <w:rPr>
          <w:rFonts w:ascii="Arial" w:eastAsia="Arial" w:hAnsi="Arial" w:cs="Arial"/>
          <w:color w:val="000000"/>
          <w:sz w:val="22"/>
          <w:szCs w:val="22"/>
        </w:rPr>
        <w:t>Por estas consideraciones, como se explicó anteriormente, el proyecto de ley estatutaria aborda la participación de los servidores públicos en política estableciendo unas prohibiciones aplicables a los servidores públicos no considerados en el inciso seg</w:t>
      </w:r>
      <w:r>
        <w:rPr>
          <w:rFonts w:ascii="Arial" w:eastAsia="Arial" w:hAnsi="Arial" w:cs="Arial"/>
          <w:color w:val="000000"/>
          <w:sz w:val="22"/>
          <w:szCs w:val="22"/>
        </w:rPr>
        <w:t>undo del artículo 127 de la</w:t>
      </w:r>
      <w:r w:rsidRPr="00D22117">
        <w:rPr>
          <w:rFonts w:ascii="Arial" w:eastAsia="Arial" w:hAnsi="Arial" w:cs="Arial"/>
          <w:color w:val="000000"/>
          <w:sz w:val="22"/>
          <w:szCs w:val="22"/>
        </w:rPr>
        <w:t xml:space="preserve"> Constitución</w:t>
      </w:r>
      <w:r>
        <w:rPr>
          <w:rFonts w:ascii="Arial" w:eastAsia="Arial" w:hAnsi="Arial" w:cs="Arial"/>
          <w:color w:val="000000"/>
          <w:sz w:val="22"/>
          <w:szCs w:val="22"/>
        </w:rPr>
        <w:t xml:space="preserve"> Política de 1991</w:t>
      </w:r>
      <w:r w:rsidRPr="00D22117">
        <w:rPr>
          <w:rFonts w:ascii="Arial" w:eastAsia="Arial" w:hAnsi="Arial" w:cs="Arial"/>
          <w:color w:val="000000"/>
          <w:sz w:val="22"/>
          <w:szCs w:val="22"/>
        </w:rPr>
        <w:t>. De esta forma</w:t>
      </w:r>
      <w:r w:rsidR="00BB49A0">
        <w:rPr>
          <w:rFonts w:ascii="Arial" w:eastAsia="Arial" w:hAnsi="Arial" w:cs="Arial"/>
          <w:color w:val="000000"/>
          <w:sz w:val="22"/>
          <w:szCs w:val="22"/>
        </w:rPr>
        <w:t>,</w:t>
      </w:r>
      <w:r w:rsidRPr="00D22117">
        <w:rPr>
          <w:rFonts w:ascii="Arial" w:eastAsia="Arial" w:hAnsi="Arial" w:cs="Arial"/>
          <w:color w:val="000000"/>
          <w:sz w:val="22"/>
          <w:szCs w:val="22"/>
        </w:rPr>
        <w:t xml:space="preserve"> se busca impedir que el cargo que se ostente sea utilizado para promover una candidatura o ejercer presión sobre los subordinados para determinar su voluntad de elección. </w:t>
      </w:r>
    </w:p>
    <w:p w14:paraId="7F706E3C" w14:textId="77777777" w:rsidR="007D6158" w:rsidRPr="00D22117" w:rsidRDefault="007D6158" w:rsidP="007D6158">
      <w:pPr>
        <w:widowControl w:val="0"/>
        <w:spacing w:after="120"/>
        <w:ind w:firstLine="709"/>
        <w:rPr>
          <w:color w:val="000000"/>
        </w:rPr>
      </w:pPr>
      <w:r w:rsidRPr="00D22117">
        <w:rPr>
          <w:rFonts w:ascii="Arial" w:eastAsia="Arial" w:hAnsi="Arial" w:cs="Arial"/>
          <w:color w:val="000000"/>
          <w:sz w:val="22"/>
          <w:szCs w:val="22"/>
        </w:rPr>
        <w:t>En este sentido, el objetivo de la Ley 996 de 2005 es evitar que un funcionario público que se encuentra en campaña electoral o apoyando alguna candidatura, haga uso de su cargo para influenciar a terceros para que voten de una determinada forma, es decir, que afecte la intención de voto.</w:t>
      </w:r>
    </w:p>
    <w:p w14:paraId="174202FD" w14:textId="7C1960CF" w:rsidR="007D6158" w:rsidRPr="00D22117" w:rsidRDefault="007D6158" w:rsidP="007D6158">
      <w:pPr>
        <w:widowControl w:val="0"/>
        <w:spacing w:after="120"/>
        <w:ind w:firstLine="709"/>
        <w:rPr>
          <w:color w:val="000000"/>
        </w:rPr>
      </w:pPr>
      <w:r w:rsidRPr="00D22117">
        <w:rPr>
          <w:rFonts w:ascii="Arial" w:eastAsia="Arial" w:hAnsi="Arial" w:cs="Arial"/>
          <w:color w:val="000000"/>
          <w:sz w:val="22"/>
          <w:szCs w:val="22"/>
        </w:rPr>
        <w:t>De acuerdo con el debate legislativo, se afecta el voto de una persona no solo con la entrega de dinero público</w:t>
      </w:r>
      <w:r w:rsidR="00BB49A0">
        <w:rPr>
          <w:rFonts w:ascii="Arial" w:eastAsia="Arial" w:hAnsi="Arial" w:cs="Arial"/>
          <w:color w:val="000000"/>
          <w:sz w:val="22"/>
          <w:szCs w:val="22"/>
        </w:rPr>
        <w:t>,</w:t>
      </w:r>
      <w:r w:rsidRPr="00D22117">
        <w:rPr>
          <w:rFonts w:ascii="Arial" w:eastAsia="Arial" w:hAnsi="Arial" w:cs="Arial"/>
          <w:color w:val="000000"/>
          <w:sz w:val="22"/>
          <w:szCs w:val="22"/>
        </w:rPr>
        <w:t xml:space="preserve"> sino con la entrega de bienes del Estado. Es así como el artículo 3 del Proyecto de Ley Estatutaria </w:t>
      </w:r>
      <w:r>
        <w:rPr>
          <w:rFonts w:ascii="Arial" w:eastAsia="Arial" w:hAnsi="Arial" w:cs="Arial"/>
          <w:color w:val="000000"/>
          <w:sz w:val="22"/>
          <w:szCs w:val="22"/>
        </w:rPr>
        <w:t>Número 216 de 2005 prohibió al P</w:t>
      </w:r>
      <w:r w:rsidRPr="00D22117">
        <w:rPr>
          <w:rFonts w:ascii="Arial" w:eastAsia="Arial" w:hAnsi="Arial" w:cs="Arial"/>
          <w:color w:val="000000"/>
          <w:sz w:val="22"/>
          <w:szCs w:val="22"/>
        </w:rPr>
        <w:t xml:space="preserve">residente, en la campaña presidencial, «entregar personalmente subsidios del Estado o cualquier otro dinero del Estado o producto de donaciones de terceros al Gobierno Nacional». Sin embargo, posteriormente, la Gaceta del Congreso No. 231 del 5 de mayo de 2005 cambió el sentido de la prohibición, incluyendo que el </w:t>
      </w:r>
      <w:r w:rsidR="00BB49A0">
        <w:rPr>
          <w:rFonts w:ascii="Arial" w:eastAsia="Arial" w:hAnsi="Arial" w:cs="Arial"/>
          <w:color w:val="000000"/>
          <w:sz w:val="22"/>
          <w:szCs w:val="22"/>
        </w:rPr>
        <w:t>P</w:t>
      </w:r>
      <w:r w:rsidRPr="00D22117">
        <w:rPr>
          <w:rFonts w:ascii="Arial" w:eastAsia="Arial" w:hAnsi="Arial" w:cs="Arial"/>
          <w:color w:val="000000"/>
          <w:sz w:val="22"/>
          <w:szCs w:val="22"/>
        </w:rPr>
        <w:t xml:space="preserve">residente no podrá: «Entregar personalmente recursos </w:t>
      </w:r>
      <w:r w:rsidRPr="00D22117">
        <w:rPr>
          <w:rFonts w:ascii="Arial" w:eastAsia="Arial" w:hAnsi="Arial" w:cs="Arial"/>
          <w:i/>
          <w:color w:val="000000"/>
          <w:sz w:val="22"/>
          <w:szCs w:val="22"/>
        </w:rPr>
        <w:t xml:space="preserve">o bienes estatales </w:t>
      </w:r>
      <w:r w:rsidRPr="00D22117">
        <w:rPr>
          <w:rFonts w:ascii="Arial" w:eastAsia="Arial" w:hAnsi="Arial" w:cs="Arial"/>
          <w:color w:val="000000"/>
          <w:sz w:val="22"/>
          <w:szCs w:val="22"/>
        </w:rPr>
        <w:t>o cualquier otra suma de dinero proveniente del erario o producto de donaciones de terceros al Gobierno Nacional». En este sentido, si el presidente se encuentra en campaña presidencial no podrá entregar personalmente recursos o bienes estatales o cualquier otra suma de dinero proveniente del erario porque este tipo de conductas afectan la voluntad de elección de terceros.</w:t>
      </w:r>
    </w:p>
    <w:p w14:paraId="5A795BE1" w14:textId="77777777" w:rsidR="007D6158" w:rsidRPr="00D22117" w:rsidRDefault="007D6158" w:rsidP="007D6158">
      <w:pPr>
        <w:widowControl w:val="0"/>
        <w:spacing w:after="120"/>
        <w:ind w:firstLine="709"/>
        <w:rPr>
          <w:color w:val="000000"/>
        </w:rPr>
      </w:pPr>
      <w:r w:rsidRPr="00D22117">
        <w:rPr>
          <w:rFonts w:ascii="Arial" w:eastAsia="Arial" w:hAnsi="Arial" w:cs="Arial"/>
          <w:color w:val="000000"/>
          <w:sz w:val="22"/>
          <w:szCs w:val="22"/>
        </w:rPr>
        <w:t>Siguiendo la consideración anterior, si el parágrafo del artículo 38 de la Ley 996 de 2005 prohíbe a los gobernadores, alcaldes municipales y/o distritales, secretarios, gerentes y directores de entidades descentralizadas del orden municipal, departamental o distrital celebrar contratos o convenios interadministrativos para la ejecución de recursos públicos, se debe entender por «ejecución de recursos públicos», de acuerdo con el propósito de la norma, evitar que un funcionario use su cargo para influir en la intención de voto de un tercero, y por lo tanto la ejecución de recursos públicos no se debe entender de forma restringida a la entrega de dineros públicos, sino también la entrega de bienes del Estado para su uso.</w:t>
      </w:r>
    </w:p>
    <w:p w14:paraId="7CC6BAE0" w14:textId="0CF6AEE6" w:rsidR="007D6158" w:rsidRPr="00D22117" w:rsidRDefault="007D6158" w:rsidP="007D6158">
      <w:pPr>
        <w:widowControl w:val="0"/>
        <w:spacing w:after="120"/>
        <w:ind w:firstLine="709"/>
        <w:rPr>
          <w:color w:val="000000"/>
        </w:rPr>
      </w:pPr>
      <w:r w:rsidRPr="00D22117">
        <w:rPr>
          <w:rFonts w:ascii="Arial" w:eastAsia="Arial" w:hAnsi="Arial" w:cs="Arial"/>
          <w:color w:val="000000"/>
          <w:sz w:val="22"/>
          <w:szCs w:val="22"/>
        </w:rPr>
        <w:t xml:space="preserve">De esta manera, explicado que el término «ejecución de recursos públicos» incluye </w:t>
      </w:r>
      <w:r w:rsidRPr="00D22117">
        <w:rPr>
          <w:rFonts w:ascii="Arial" w:eastAsia="Arial" w:hAnsi="Arial" w:cs="Arial"/>
          <w:color w:val="000000"/>
          <w:sz w:val="22"/>
          <w:szCs w:val="22"/>
        </w:rPr>
        <w:lastRenderedPageBreak/>
        <w:t xml:space="preserve">no solo la entrega de recursos que hacen parte del ciclo presupuestal de la entidad, sino también la entrega de bienes de dominio público, </w:t>
      </w:r>
      <w:r w:rsidR="00A10378">
        <w:rPr>
          <w:rFonts w:ascii="Arial" w:eastAsia="Arial" w:hAnsi="Arial" w:cs="Arial"/>
          <w:color w:val="000000"/>
          <w:sz w:val="22"/>
          <w:szCs w:val="22"/>
        </w:rPr>
        <w:t xml:space="preserve">conviene precisar </w:t>
      </w:r>
      <w:r w:rsidRPr="00D22117">
        <w:rPr>
          <w:rFonts w:ascii="Arial" w:eastAsia="Arial" w:hAnsi="Arial" w:cs="Arial"/>
          <w:color w:val="000000"/>
          <w:sz w:val="22"/>
          <w:szCs w:val="22"/>
        </w:rPr>
        <w:t>cuáles son los bienes que se pueden entregar o disponer de ellos por par</w:t>
      </w:r>
      <w:r w:rsidR="00A10378">
        <w:rPr>
          <w:rFonts w:ascii="Arial" w:eastAsia="Arial" w:hAnsi="Arial" w:cs="Arial"/>
          <w:color w:val="000000"/>
          <w:sz w:val="22"/>
          <w:szCs w:val="22"/>
        </w:rPr>
        <w:t>te de los funcionarios públicos.</w:t>
      </w:r>
    </w:p>
    <w:p w14:paraId="574D14C6" w14:textId="4E65408C" w:rsidR="007D6158" w:rsidRPr="00D22117" w:rsidRDefault="007D6158" w:rsidP="00060A65">
      <w:pPr>
        <w:widowControl w:val="0"/>
        <w:spacing w:after="120"/>
        <w:ind w:firstLine="709"/>
        <w:rPr>
          <w:color w:val="000000"/>
        </w:rPr>
      </w:pPr>
      <w:r w:rsidRPr="00D22117">
        <w:rPr>
          <w:rFonts w:ascii="Arial" w:eastAsia="Arial" w:hAnsi="Arial" w:cs="Arial"/>
          <w:color w:val="000000"/>
          <w:sz w:val="22"/>
          <w:szCs w:val="22"/>
        </w:rPr>
        <w:t>Los bienes de dominio público, de acuerdo con</w:t>
      </w:r>
      <w:r w:rsidR="00A10378">
        <w:rPr>
          <w:rFonts w:ascii="Arial" w:eastAsia="Arial" w:hAnsi="Arial" w:cs="Arial"/>
          <w:color w:val="000000"/>
          <w:sz w:val="22"/>
          <w:szCs w:val="22"/>
        </w:rPr>
        <w:t xml:space="preserve"> lo señalado por</w:t>
      </w:r>
      <w:r w:rsidRPr="00D22117">
        <w:rPr>
          <w:rFonts w:ascii="Arial" w:eastAsia="Arial" w:hAnsi="Arial" w:cs="Arial"/>
          <w:color w:val="000000"/>
          <w:sz w:val="22"/>
          <w:szCs w:val="22"/>
        </w:rPr>
        <w:t xml:space="preserve"> la Corte Consti</w:t>
      </w:r>
      <w:r w:rsidR="00A10378">
        <w:rPr>
          <w:rFonts w:ascii="Arial" w:eastAsia="Arial" w:hAnsi="Arial" w:cs="Arial"/>
          <w:color w:val="000000"/>
          <w:sz w:val="22"/>
          <w:szCs w:val="22"/>
        </w:rPr>
        <w:t xml:space="preserve">tucional </w:t>
      </w:r>
      <w:r w:rsidRPr="00D22117">
        <w:rPr>
          <w:rFonts w:ascii="Arial" w:eastAsia="Arial" w:hAnsi="Arial" w:cs="Arial"/>
          <w:color w:val="000000"/>
          <w:sz w:val="22"/>
          <w:szCs w:val="22"/>
        </w:rPr>
        <w:t>en la sentencia C-183 de 2003, son «el conjunto de bienes que la administración afecta al uso directo de la comunidad o que lo utiliza para servir a la sociedad»</w:t>
      </w:r>
      <w:r w:rsidR="00A10378" w:rsidRPr="00D22117">
        <w:rPr>
          <w:rFonts w:ascii="Arial" w:eastAsia="Arial" w:hAnsi="Arial" w:cs="Arial"/>
          <w:color w:val="4E4D4D"/>
          <w:sz w:val="22"/>
          <w:szCs w:val="22"/>
          <w:vertAlign w:val="superscript"/>
        </w:rPr>
        <w:footnoteReference w:id="28"/>
      </w:r>
      <w:r w:rsidRPr="00D22117">
        <w:rPr>
          <w:rFonts w:ascii="Arial" w:eastAsia="Arial" w:hAnsi="Arial" w:cs="Arial"/>
          <w:color w:val="000000"/>
          <w:sz w:val="22"/>
          <w:szCs w:val="22"/>
        </w:rPr>
        <w:t>. Dentro de esta categoría se encuentran los bienes fiscales y los bienes de uso públ</w:t>
      </w:r>
      <w:r w:rsidR="00060A65">
        <w:rPr>
          <w:rFonts w:ascii="Arial" w:eastAsia="Arial" w:hAnsi="Arial" w:cs="Arial"/>
          <w:color w:val="000000"/>
          <w:sz w:val="22"/>
          <w:szCs w:val="22"/>
        </w:rPr>
        <w:t xml:space="preserve">ico, siendo </w:t>
      </w:r>
      <w:r w:rsidR="00A10378">
        <w:rPr>
          <w:rFonts w:ascii="Arial" w:eastAsia="Arial" w:hAnsi="Arial" w:cs="Arial"/>
          <w:color w:val="000000"/>
          <w:sz w:val="22"/>
          <w:szCs w:val="22"/>
        </w:rPr>
        <w:t>l</w:t>
      </w:r>
      <w:r w:rsidR="00060A65">
        <w:rPr>
          <w:rFonts w:ascii="Arial" w:eastAsia="Arial" w:hAnsi="Arial" w:cs="Arial"/>
          <w:color w:val="000000"/>
          <w:sz w:val="22"/>
          <w:szCs w:val="22"/>
        </w:rPr>
        <w:t xml:space="preserve">os bienes fiscales aquellos que </w:t>
      </w:r>
      <w:r w:rsidRPr="00D22117">
        <w:rPr>
          <w:rFonts w:ascii="Arial" w:eastAsia="Arial" w:hAnsi="Arial" w:cs="Arial"/>
          <w:color w:val="000000"/>
          <w:sz w:val="22"/>
          <w:szCs w:val="22"/>
        </w:rPr>
        <w:t>están destinados a la prestación de servicios públicos que la Administración utiliza de forma inmediata, como los edificios donde funcionan las oficinas públicas</w:t>
      </w:r>
      <w:r w:rsidR="00060A65">
        <w:rPr>
          <w:rStyle w:val="Refdenotaalpie"/>
          <w:rFonts w:ascii="Arial" w:eastAsia="Arial" w:hAnsi="Arial" w:cs="Arial"/>
          <w:color w:val="000000"/>
          <w:sz w:val="22"/>
          <w:szCs w:val="22"/>
        </w:rPr>
        <w:footnoteReference w:id="29"/>
      </w:r>
      <w:r w:rsidRPr="00D22117">
        <w:rPr>
          <w:rFonts w:ascii="Arial" w:eastAsia="Arial" w:hAnsi="Arial" w:cs="Arial"/>
          <w:color w:val="000000"/>
          <w:sz w:val="22"/>
          <w:szCs w:val="22"/>
        </w:rPr>
        <w:t>. A su vez, el Consejo de Estado</w:t>
      </w:r>
      <w:r w:rsidRPr="00D22117">
        <w:rPr>
          <w:rFonts w:ascii="Arial" w:eastAsia="Arial" w:hAnsi="Arial" w:cs="Arial"/>
          <w:color w:val="4E4D4D"/>
          <w:sz w:val="22"/>
          <w:szCs w:val="22"/>
          <w:vertAlign w:val="superscript"/>
        </w:rPr>
        <w:footnoteReference w:id="30"/>
      </w:r>
      <w:r w:rsidRPr="00D22117">
        <w:rPr>
          <w:rFonts w:ascii="Arial" w:eastAsia="Arial" w:hAnsi="Arial" w:cs="Arial"/>
          <w:color w:val="000000"/>
          <w:sz w:val="22"/>
          <w:szCs w:val="22"/>
        </w:rPr>
        <w:t xml:space="preserve"> los define como </w:t>
      </w:r>
      <w:r w:rsidR="00060A65" w:rsidRPr="00060A65">
        <w:rPr>
          <w:rFonts w:ascii="Arial" w:eastAsia="Arial" w:hAnsi="Arial" w:cs="Arial"/>
          <w:color w:val="000000"/>
          <w:sz w:val="22"/>
          <w:szCs w:val="22"/>
        </w:rPr>
        <w:t xml:space="preserve"> </w:t>
      </w:r>
      <w:r w:rsidR="00060A65">
        <w:rPr>
          <w:rFonts w:ascii="Arial" w:eastAsia="Arial" w:hAnsi="Arial" w:cs="Arial"/>
          <w:color w:val="000000"/>
          <w:sz w:val="22"/>
          <w:szCs w:val="22"/>
        </w:rPr>
        <w:t>«</w:t>
      </w:r>
      <w:r w:rsidR="00060A65" w:rsidRPr="00060A65">
        <w:rPr>
          <w:rFonts w:ascii="Arial" w:eastAsia="Arial" w:hAnsi="Arial" w:cs="Arial"/>
          <w:color w:val="000000"/>
          <w:sz w:val="22"/>
          <w:szCs w:val="22"/>
        </w:rPr>
        <w:t>aquellos que pertenecen 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 propiedad».</w:t>
      </w:r>
      <w:r w:rsidRPr="00D22117">
        <w:rPr>
          <w:rFonts w:ascii="Arial" w:eastAsia="Arial" w:hAnsi="Arial" w:cs="Arial"/>
          <w:color w:val="000000"/>
          <w:sz w:val="22"/>
          <w:szCs w:val="22"/>
        </w:rPr>
        <w:t xml:space="preserve"> De esta forma, sobre los bienes fiscales, a pesar de estar destinados a la prestación de servicios públicos, las entidades estatales tienen la facultad de disponer de ellos a través de un acto jurídico como la compraventa, la donación, el arriendo, entre otros.</w:t>
      </w:r>
    </w:p>
    <w:p w14:paraId="4322D59C" w14:textId="1D6A282F" w:rsidR="007D6158" w:rsidRPr="00F64473" w:rsidRDefault="00060A65" w:rsidP="00F64473">
      <w:pPr>
        <w:widowControl w:val="0"/>
        <w:spacing w:after="120"/>
        <w:ind w:firstLine="709"/>
        <w:rPr>
          <w:rFonts w:ascii="Arial" w:eastAsia="Arial" w:hAnsi="Arial" w:cs="Arial"/>
          <w:color w:val="000000"/>
          <w:sz w:val="22"/>
          <w:szCs w:val="22"/>
        </w:rPr>
      </w:pPr>
      <w:r>
        <w:rPr>
          <w:rFonts w:ascii="Arial" w:eastAsia="Arial" w:hAnsi="Arial" w:cs="Arial"/>
          <w:color w:val="000000"/>
          <w:sz w:val="22"/>
          <w:szCs w:val="22"/>
        </w:rPr>
        <w:t>Por su parte, los bienes de uso público</w:t>
      </w:r>
      <w:r w:rsidRPr="00060A65">
        <w:rPr>
          <w:rFonts w:ascii="Arial" w:eastAsia="Arial" w:hAnsi="Arial" w:cs="Arial"/>
          <w:color w:val="000000"/>
          <w:sz w:val="22"/>
          <w:szCs w:val="22"/>
        </w:rPr>
        <w:t xml:space="preserve"> </w:t>
      </w:r>
      <w:r w:rsidR="00F64473">
        <w:rPr>
          <w:rFonts w:ascii="Arial" w:eastAsia="Arial" w:hAnsi="Arial" w:cs="Arial"/>
          <w:color w:val="000000"/>
          <w:sz w:val="22"/>
          <w:szCs w:val="22"/>
        </w:rPr>
        <w:t>de acuerdo con la definición de la Corte Constitucional</w:t>
      </w:r>
      <w:r w:rsidR="00934051">
        <w:rPr>
          <w:rFonts w:ascii="Arial" w:eastAsia="Arial" w:hAnsi="Arial" w:cs="Arial"/>
          <w:color w:val="000000"/>
          <w:sz w:val="22"/>
          <w:szCs w:val="22"/>
        </w:rPr>
        <w:t>,</w:t>
      </w:r>
      <w:r w:rsidR="00F64473">
        <w:rPr>
          <w:rFonts w:ascii="Arial" w:eastAsia="Arial" w:hAnsi="Arial" w:cs="Arial"/>
          <w:color w:val="000000"/>
          <w:sz w:val="22"/>
          <w:szCs w:val="22"/>
        </w:rPr>
        <w:t xml:space="preserve"> </w:t>
      </w:r>
      <w:r w:rsidRPr="00D22117">
        <w:rPr>
          <w:rFonts w:ascii="Arial" w:eastAsia="Arial" w:hAnsi="Arial" w:cs="Arial"/>
          <w:color w:val="000000"/>
          <w:sz w:val="22"/>
          <w:szCs w:val="22"/>
        </w:rPr>
        <w:t xml:space="preserve">son bienes que pertenecen al Estado, destinados al uso común de todos los </w:t>
      </w:r>
      <w:r w:rsidRPr="00D22117">
        <w:rPr>
          <w:rFonts w:ascii="Arial" w:eastAsia="Arial" w:hAnsi="Arial" w:cs="Arial"/>
          <w:color w:val="000000"/>
          <w:sz w:val="22"/>
          <w:szCs w:val="22"/>
        </w:rPr>
        <w:lastRenderedPageBreak/>
        <w:t>habitantes, y se encuentran por fuera del comercio</w:t>
      </w:r>
      <w:r w:rsidRPr="00D22117">
        <w:rPr>
          <w:rFonts w:ascii="Arial" w:eastAsia="Arial" w:hAnsi="Arial" w:cs="Arial"/>
          <w:color w:val="4E4D4D"/>
          <w:sz w:val="22"/>
          <w:szCs w:val="22"/>
          <w:vertAlign w:val="superscript"/>
        </w:rPr>
        <w:footnoteReference w:id="31"/>
      </w:r>
      <w:r w:rsidR="00F64473">
        <w:rPr>
          <w:rFonts w:ascii="Arial" w:eastAsia="Arial" w:hAnsi="Arial" w:cs="Arial"/>
          <w:color w:val="000000"/>
          <w:sz w:val="22"/>
          <w:szCs w:val="22"/>
        </w:rPr>
        <w:t>.  En igual sentido, el Consejo de Estado los define como «</w:t>
      </w:r>
      <w:r w:rsidR="00F64473" w:rsidRPr="00F64473">
        <w:rPr>
          <w:rFonts w:ascii="Arial" w:eastAsia="Arial" w:hAnsi="Arial" w:cs="Arial"/>
          <w:color w:val="000000"/>
          <w:sz w:val="22"/>
          <w:szCs w:val="22"/>
        </w:rPr>
        <w:t>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r w:rsidR="00F64473">
        <w:rPr>
          <w:rFonts w:ascii="Arial" w:eastAsia="Arial" w:hAnsi="Arial" w:cs="Arial"/>
          <w:color w:val="000000"/>
          <w:sz w:val="22"/>
          <w:szCs w:val="22"/>
        </w:rPr>
        <w:t xml:space="preserve">». </w:t>
      </w:r>
      <w:r w:rsidR="007D6158" w:rsidRPr="00D22117">
        <w:rPr>
          <w:rFonts w:ascii="Arial" w:eastAsia="Arial" w:hAnsi="Arial" w:cs="Arial"/>
          <w:color w:val="000000"/>
          <w:sz w:val="22"/>
          <w:szCs w:val="22"/>
        </w:rPr>
        <w:t>Por tanto, como los bienes de uso público están destinados al uso de los habitantes de un territorio el Estado, no puede disponer de ellos por encontrarse fuera del comercio.</w:t>
      </w:r>
    </w:p>
    <w:p w14:paraId="2F17E3AB" w14:textId="0C944714" w:rsidR="00F64473" w:rsidRDefault="00F64473" w:rsidP="00F64473">
      <w:pPr>
        <w:widowControl w:val="0"/>
        <w:spacing w:after="120"/>
        <w:ind w:firstLine="709"/>
        <w:rPr>
          <w:rFonts w:ascii="Arial" w:eastAsia="Arial" w:hAnsi="Arial" w:cs="Arial"/>
          <w:color w:val="000000"/>
          <w:sz w:val="22"/>
          <w:szCs w:val="22"/>
        </w:rPr>
      </w:pPr>
      <w:r>
        <w:rPr>
          <w:rFonts w:ascii="Arial" w:eastAsia="Arial" w:hAnsi="Arial" w:cs="Arial"/>
          <w:color w:val="000000"/>
          <w:sz w:val="22"/>
          <w:szCs w:val="22"/>
        </w:rPr>
        <w:t>En síntesis</w:t>
      </w:r>
      <w:r w:rsidR="007D6158" w:rsidRPr="00D22117">
        <w:rPr>
          <w:rFonts w:ascii="Arial" w:eastAsia="Arial" w:hAnsi="Arial" w:cs="Arial"/>
          <w:color w:val="000000"/>
          <w:sz w:val="22"/>
          <w:szCs w:val="22"/>
        </w:rPr>
        <w:t xml:space="preserve">, </w:t>
      </w:r>
      <w:r w:rsidRPr="00F64473">
        <w:rPr>
          <w:rFonts w:ascii="Arial" w:eastAsia="Arial" w:hAnsi="Arial" w:cs="Arial"/>
          <w:color w:val="000000"/>
          <w:sz w:val="22"/>
          <w:szCs w:val="22"/>
        </w:rPr>
        <w:t xml:space="preserve">los bienes del Estado se dividen en bienes fiscales y de uso público. Los bienes de uso público se encuentran fuera del comercio y las entidades estatales no pueden disponer de ellos; </w:t>
      </w:r>
      <w:r w:rsidR="00934051">
        <w:rPr>
          <w:rFonts w:ascii="Arial" w:eastAsia="Arial" w:hAnsi="Arial" w:cs="Arial"/>
          <w:color w:val="000000"/>
          <w:sz w:val="22"/>
          <w:szCs w:val="22"/>
        </w:rPr>
        <w:t>mientras que</w:t>
      </w:r>
      <w:r w:rsidRPr="00F64473">
        <w:rPr>
          <w:rFonts w:ascii="Arial" w:eastAsia="Arial" w:hAnsi="Arial" w:cs="Arial"/>
          <w:color w:val="000000"/>
          <w:sz w:val="22"/>
          <w:szCs w:val="22"/>
        </w:rPr>
        <w:t xml:space="preserve"> los fiscales son susceptibles de disposición por parte de las entidades estatales. En este sentido, las entidades pueden disponer de los bienes fiscales, entre otras</w:t>
      </w:r>
      <w:r w:rsidR="00934051">
        <w:rPr>
          <w:rFonts w:ascii="Arial" w:eastAsia="Arial" w:hAnsi="Arial" w:cs="Arial"/>
          <w:color w:val="000000"/>
          <w:sz w:val="22"/>
          <w:szCs w:val="22"/>
        </w:rPr>
        <w:t>,</w:t>
      </w:r>
      <w:r w:rsidRPr="00F64473">
        <w:rPr>
          <w:rFonts w:ascii="Arial" w:eastAsia="Arial" w:hAnsi="Arial" w:cs="Arial"/>
          <w:color w:val="000000"/>
          <w:sz w:val="22"/>
          <w:szCs w:val="22"/>
        </w:rPr>
        <w:t xml:space="preserve"> a través de la enajenación de bienes muebles a título gratuito entre entidades estatales y de esta forma harían parte del concepto de ejecución de recursos públicos de la Ley 996 de 2005.</w:t>
      </w:r>
    </w:p>
    <w:p w14:paraId="21965951" w14:textId="228E9890" w:rsidR="00C2522E" w:rsidRDefault="00F64473" w:rsidP="00F64473">
      <w:pPr>
        <w:widowControl w:val="0"/>
        <w:spacing w:after="120"/>
        <w:ind w:firstLine="709"/>
        <w:rPr>
          <w:rFonts w:ascii="Arial" w:eastAsia="Arial" w:hAnsi="Arial" w:cs="Arial"/>
          <w:color w:val="000000"/>
          <w:sz w:val="22"/>
          <w:szCs w:val="22"/>
        </w:rPr>
      </w:pPr>
      <w:r>
        <w:rPr>
          <w:rFonts w:ascii="Arial" w:eastAsia="Arial" w:hAnsi="Arial" w:cs="Arial"/>
          <w:color w:val="000000"/>
          <w:sz w:val="22"/>
          <w:szCs w:val="22"/>
        </w:rPr>
        <w:t>De tal manera que l</w:t>
      </w:r>
      <w:r w:rsidR="00C2522E" w:rsidRPr="00D22117">
        <w:rPr>
          <w:rFonts w:ascii="Arial" w:eastAsia="Arial" w:hAnsi="Arial" w:cs="Arial"/>
          <w:color w:val="000000"/>
          <w:sz w:val="22"/>
          <w:szCs w:val="22"/>
        </w:rPr>
        <w:t>a celebración de un contrato de donación se constituye como un verdadero acto traslaticio del dominio</w:t>
      </w:r>
      <w:r w:rsidR="00C2522E" w:rsidRPr="00D22117">
        <w:rPr>
          <w:rFonts w:ascii="Arial" w:eastAsia="Arial" w:hAnsi="Arial" w:cs="Arial"/>
          <w:color w:val="4E4D4D"/>
          <w:sz w:val="22"/>
          <w:szCs w:val="22"/>
          <w:vertAlign w:val="superscript"/>
        </w:rPr>
        <w:footnoteReference w:id="32"/>
      </w:r>
      <w:r w:rsidR="003E4316">
        <w:rPr>
          <w:rFonts w:ascii="Arial" w:eastAsia="Arial" w:hAnsi="Arial" w:cs="Arial"/>
          <w:color w:val="000000"/>
          <w:sz w:val="22"/>
          <w:szCs w:val="22"/>
        </w:rPr>
        <w:t>,</w:t>
      </w:r>
      <w:r w:rsidR="00C2522E" w:rsidRPr="00D22117">
        <w:rPr>
          <w:rFonts w:ascii="Arial" w:eastAsia="Arial" w:hAnsi="Arial" w:cs="Arial"/>
          <w:color w:val="000000"/>
          <w:sz w:val="22"/>
          <w:szCs w:val="22"/>
        </w:rPr>
        <w:t xml:space="preserve"> y en consecuencia</w:t>
      </w:r>
      <w:r w:rsidR="003E4316">
        <w:rPr>
          <w:rFonts w:ascii="Arial" w:eastAsia="Arial" w:hAnsi="Arial" w:cs="Arial"/>
          <w:color w:val="000000"/>
          <w:sz w:val="22"/>
          <w:szCs w:val="22"/>
        </w:rPr>
        <w:t>,</w:t>
      </w:r>
      <w:r w:rsidR="00C2522E" w:rsidRPr="00D22117">
        <w:rPr>
          <w:rFonts w:ascii="Arial" w:eastAsia="Arial" w:hAnsi="Arial" w:cs="Arial"/>
          <w:color w:val="000000"/>
          <w:sz w:val="22"/>
          <w:szCs w:val="22"/>
        </w:rPr>
        <w:t xml:space="preserve"> como la expresión «ejecución de recursos públicos» del parágrafo del artículo 38 de la Ley 996 de 2005 no solo se entiende a los recursos que integran el ciclo presupuestal de la entidad, sino también los bienes fiscales de los que puede disponer la entidad que se entregan a título gratuito, </w:t>
      </w:r>
      <w:r w:rsidR="007D6158">
        <w:rPr>
          <w:rFonts w:ascii="Arial" w:eastAsia="Arial" w:hAnsi="Arial" w:cs="Arial"/>
          <w:color w:val="000000"/>
          <w:sz w:val="22"/>
          <w:szCs w:val="22"/>
        </w:rPr>
        <w:t xml:space="preserve">dicho acto se encuentra </w:t>
      </w:r>
      <w:r w:rsidR="007D6158" w:rsidRPr="003D1F79">
        <w:rPr>
          <w:rFonts w:ascii="Arial" w:eastAsia="Arial" w:hAnsi="Arial" w:cs="Arial"/>
          <w:color w:val="000000"/>
          <w:sz w:val="22"/>
          <w:szCs w:val="22"/>
        </w:rPr>
        <w:t xml:space="preserve">restringido durante la ley de garantías, </w:t>
      </w:r>
      <w:r w:rsidR="00C2522E" w:rsidRPr="003D1F79">
        <w:rPr>
          <w:rFonts w:ascii="Arial" w:eastAsia="Arial" w:hAnsi="Arial" w:cs="Arial"/>
          <w:color w:val="000000"/>
          <w:sz w:val="22"/>
          <w:szCs w:val="22"/>
        </w:rPr>
        <w:t>porque con ello</w:t>
      </w:r>
      <w:r w:rsidR="00C2522E" w:rsidRPr="00D22117">
        <w:rPr>
          <w:rFonts w:ascii="Arial" w:eastAsia="Arial" w:hAnsi="Arial" w:cs="Arial"/>
          <w:color w:val="000000"/>
          <w:sz w:val="22"/>
          <w:szCs w:val="22"/>
        </w:rPr>
        <w:t xml:space="preserve"> podría influenciarse la intención de voto de quien recibe el bien.</w:t>
      </w:r>
    </w:p>
    <w:p w14:paraId="537F8196" w14:textId="69A96310" w:rsidR="004E76FD" w:rsidRPr="00D22117" w:rsidRDefault="00CD6189" w:rsidP="00F64473">
      <w:pPr>
        <w:widowControl w:val="0"/>
        <w:spacing w:after="120"/>
        <w:ind w:firstLine="709"/>
        <w:rPr>
          <w:rFonts w:ascii="Arial" w:eastAsia="Arial" w:hAnsi="Arial" w:cs="Arial"/>
          <w:color w:val="000000"/>
          <w:sz w:val="22"/>
          <w:szCs w:val="22"/>
        </w:rPr>
      </w:pPr>
      <w:r>
        <w:rPr>
          <w:rFonts w:ascii="Arial" w:eastAsia="Arial" w:hAnsi="Arial" w:cs="Arial"/>
          <w:color w:val="000000"/>
          <w:sz w:val="22"/>
          <w:szCs w:val="22"/>
        </w:rPr>
        <w:t>Más aún</w:t>
      </w:r>
      <w:r w:rsidR="004E76FD">
        <w:rPr>
          <w:rFonts w:ascii="Arial" w:eastAsia="Arial" w:hAnsi="Arial" w:cs="Arial"/>
          <w:color w:val="000000"/>
          <w:sz w:val="22"/>
          <w:szCs w:val="22"/>
        </w:rPr>
        <w:t xml:space="preserve">, en la actualidad las entidades estatales no pueden celebrar contratos de donación entre ellas </w:t>
      </w:r>
      <w:r w:rsidR="004E76FD" w:rsidRPr="00A83ECE">
        <w:rPr>
          <w:rFonts w:ascii="Arial" w:eastAsia="Arial" w:hAnsi="Arial" w:cs="Arial"/>
          <w:i/>
          <w:iCs/>
          <w:color w:val="000000"/>
          <w:sz w:val="22"/>
          <w:szCs w:val="22"/>
        </w:rPr>
        <w:t>de manera directa</w:t>
      </w:r>
      <w:r w:rsidR="004E76FD">
        <w:rPr>
          <w:rFonts w:ascii="Arial" w:eastAsia="Arial" w:hAnsi="Arial" w:cs="Arial"/>
          <w:color w:val="000000"/>
          <w:sz w:val="22"/>
          <w:szCs w:val="22"/>
        </w:rPr>
        <w:t>, porque esto lo prohíbe el artículo 33 de la Ley 996 de 2005.</w:t>
      </w:r>
      <w:r w:rsidR="00B374C9">
        <w:rPr>
          <w:rFonts w:ascii="Arial" w:eastAsia="Arial" w:hAnsi="Arial" w:cs="Arial"/>
          <w:color w:val="000000"/>
          <w:sz w:val="22"/>
          <w:szCs w:val="22"/>
        </w:rPr>
        <w:t xml:space="preserve"> En otras palabras, al ser el contrato interadministrativo una causal de contratación </w:t>
      </w:r>
      <w:r w:rsidR="00B374C9">
        <w:rPr>
          <w:rFonts w:ascii="Arial" w:eastAsia="Arial" w:hAnsi="Arial" w:cs="Arial"/>
          <w:color w:val="000000"/>
          <w:sz w:val="22"/>
          <w:szCs w:val="22"/>
        </w:rPr>
        <w:lastRenderedPageBreak/>
        <w:t xml:space="preserve">directa, en los términos del artículo 2, numeral 4, literal </w:t>
      </w:r>
      <w:r w:rsidR="00792AD2">
        <w:rPr>
          <w:rFonts w:ascii="Arial" w:eastAsia="Arial" w:hAnsi="Arial" w:cs="Arial"/>
          <w:color w:val="000000"/>
          <w:sz w:val="22"/>
          <w:szCs w:val="22"/>
        </w:rPr>
        <w:t>c)</w:t>
      </w:r>
      <w:r w:rsidR="00C97E00">
        <w:rPr>
          <w:rFonts w:ascii="Arial" w:eastAsia="Arial" w:hAnsi="Arial" w:cs="Arial"/>
          <w:color w:val="000000"/>
          <w:sz w:val="22"/>
          <w:szCs w:val="22"/>
        </w:rPr>
        <w:t>,</w:t>
      </w:r>
      <w:r w:rsidR="00792AD2">
        <w:rPr>
          <w:rFonts w:ascii="Arial" w:eastAsia="Arial" w:hAnsi="Arial" w:cs="Arial"/>
          <w:color w:val="000000"/>
          <w:sz w:val="22"/>
          <w:szCs w:val="22"/>
        </w:rPr>
        <w:t xml:space="preserve"> de la Ley 1150 de 2007</w:t>
      </w:r>
      <w:r w:rsidR="00C97E00">
        <w:rPr>
          <w:rFonts w:ascii="Arial" w:eastAsia="Arial" w:hAnsi="Arial" w:cs="Arial"/>
          <w:color w:val="000000"/>
          <w:sz w:val="22"/>
          <w:szCs w:val="22"/>
        </w:rPr>
        <w:t xml:space="preserve">, si dos o más entidades públicas celebran entre ellas un contrato que tiene por objeto una donación, incurren en una circunstancia de </w:t>
      </w:r>
      <w:r w:rsidR="00C97E00" w:rsidRPr="00A83ECE">
        <w:rPr>
          <w:rFonts w:ascii="Arial" w:eastAsia="Arial" w:hAnsi="Arial" w:cs="Arial"/>
          <w:i/>
          <w:iCs/>
          <w:color w:val="000000"/>
          <w:sz w:val="22"/>
          <w:szCs w:val="22"/>
        </w:rPr>
        <w:t>contratación directa</w:t>
      </w:r>
      <w:r w:rsidR="00C97E00">
        <w:rPr>
          <w:rFonts w:ascii="Arial" w:eastAsia="Arial" w:hAnsi="Arial" w:cs="Arial"/>
          <w:color w:val="000000"/>
          <w:sz w:val="22"/>
          <w:szCs w:val="22"/>
        </w:rPr>
        <w:t>, activándose así la prohibición contenida en el artículo 33 de la Ley de Garantías Electorales, salvo que se presente alguna de las excepciones que la misma norma establece.</w:t>
      </w:r>
      <w:r w:rsidR="00DB451F">
        <w:rPr>
          <w:rFonts w:ascii="Arial" w:eastAsia="Arial" w:hAnsi="Arial" w:cs="Arial"/>
          <w:color w:val="000000"/>
          <w:sz w:val="22"/>
          <w:szCs w:val="22"/>
        </w:rPr>
        <w:t xml:space="preserve"> Esto también se predica de las donaciones que pretendan hacer, de manera directa, las entidades públicas que se amparan en un régimen especial de contratación.</w:t>
      </w:r>
    </w:p>
    <w:p w14:paraId="72166C7C" w14:textId="48246196" w:rsidR="00D73348" w:rsidRDefault="00DA2883">
      <w:pPr>
        <w:spacing w:after="0"/>
        <w:rPr>
          <w:rFonts w:ascii="Arial" w:eastAsia="Arial" w:hAnsi="Arial" w:cs="Arial"/>
          <w:b/>
          <w:sz w:val="22"/>
          <w:szCs w:val="22"/>
        </w:rPr>
      </w:pPr>
      <w:bookmarkStart w:id="20" w:name="_2bn6wsx" w:colFirst="0" w:colLast="0"/>
      <w:bookmarkEnd w:id="20"/>
      <w:r w:rsidRPr="00D22117">
        <w:rPr>
          <w:rFonts w:ascii="Arial" w:eastAsia="Arial" w:hAnsi="Arial" w:cs="Arial"/>
          <w:b/>
          <w:sz w:val="22"/>
          <w:szCs w:val="22"/>
        </w:rPr>
        <w:t>3. Respuesta</w:t>
      </w:r>
    </w:p>
    <w:p w14:paraId="36C09AA0" w14:textId="77777777" w:rsidR="00F8003F" w:rsidRPr="00D22117" w:rsidRDefault="00F8003F">
      <w:pPr>
        <w:spacing w:after="0"/>
        <w:rPr>
          <w:rFonts w:ascii="Arial" w:eastAsia="Arial" w:hAnsi="Arial" w:cs="Arial"/>
          <w:b/>
          <w:sz w:val="22"/>
          <w:szCs w:val="22"/>
        </w:rPr>
      </w:pPr>
    </w:p>
    <w:p w14:paraId="21747702" w14:textId="3C4E42C5" w:rsidR="00F8003F" w:rsidRDefault="00F8003F" w:rsidP="00F8003F">
      <w:pPr>
        <w:pBdr>
          <w:top w:val="nil"/>
          <w:left w:val="nil"/>
          <w:bottom w:val="nil"/>
          <w:right w:val="nil"/>
          <w:between w:val="nil"/>
        </w:pBdr>
        <w:spacing w:line="240" w:lineRule="auto"/>
        <w:ind w:left="709" w:right="709"/>
        <w:rPr>
          <w:rFonts w:ascii="Arial" w:eastAsia="Arial" w:hAnsi="Arial" w:cs="Arial"/>
          <w:color w:val="000000"/>
          <w:sz w:val="21"/>
          <w:szCs w:val="21"/>
        </w:rPr>
      </w:pPr>
      <w:r w:rsidRPr="00F8003F">
        <w:rPr>
          <w:rFonts w:ascii="Arial" w:eastAsia="Arial" w:hAnsi="Arial" w:cs="Arial"/>
          <w:color w:val="000000"/>
          <w:sz w:val="21"/>
          <w:szCs w:val="21"/>
        </w:rPr>
        <w:t>«Comedidamente me permito presentar petición de consulta, referente a si la donación de un bien mueble por parte de una entidad territorial a una corporación del mismo nivel, se encuentra entre las restricciones de la ley de garantías».</w:t>
      </w:r>
    </w:p>
    <w:p w14:paraId="320E8B12" w14:textId="5DCD6462" w:rsidR="00F30F23" w:rsidRDefault="00997026" w:rsidP="00A83ECE">
      <w:pPr>
        <w:pBdr>
          <w:top w:val="nil"/>
          <w:left w:val="nil"/>
          <w:bottom w:val="nil"/>
          <w:right w:val="nil"/>
          <w:between w:val="nil"/>
        </w:pBdr>
        <w:spacing w:after="120"/>
        <w:ind w:left="100" w:right="102"/>
        <w:rPr>
          <w:rFonts w:ascii="Arial" w:eastAsia="Arial" w:hAnsi="Arial" w:cs="Arial"/>
          <w:color w:val="000000"/>
          <w:sz w:val="22"/>
          <w:szCs w:val="22"/>
        </w:rPr>
      </w:pPr>
      <w:r>
        <w:rPr>
          <w:rFonts w:ascii="Arial" w:eastAsia="Arial" w:hAnsi="Arial" w:cs="Arial"/>
          <w:color w:val="000000"/>
          <w:sz w:val="22"/>
          <w:szCs w:val="22"/>
        </w:rPr>
        <w:t>De conformidad con las consid</w:t>
      </w:r>
      <w:r w:rsidR="005B0DA4">
        <w:rPr>
          <w:rFonts w:ascii="Arial" w:eastAsia="Arial" w:hAnsi="Arial" w:cs="Arial"/>
          <w:color w:val="000000"/>
          <w:sz w:val="22"/>
          <w:szCs w:val="22"/>
        </w:rPr>
        <w:t xml:space="preserve">eraciones expuestas, </w:t>
      </w:r>
      <w:r>
        <w:rPr>
          <w:rFonts w:ascii="Arial" w:eastAsia="Arial" w:hAnsi="Arial" w:cs="Arial"/>
          <w:color w:val="000000"/>
          <w:sz w:val="22"/>
          <w:szCs w:val="22"/>
        </w:rPr>
        <w:t xml:space="preserve">siempre que se cumplan </w:t>
      </w:r>
      <w:r w:rsidRPr="00D22117">
        <w:rPr>
          <w:rFonts w:ascii="Arial" w:eastAsia="Arial" w:hAnsi="Arial" w:cs="Arial"/>
          <w:color w:val="000000"/>
          <w:sz w:val="22"/>
          <w:szCs w:val="22"/>
        </w:rPr>
        <w:t>los presupuestos de la prohibición del parágrafo del artículo 38</w:t>
      </w:r>
      <w:r w:rsidR="000E01E9" w:rsidRPr="000E01E9">
        <w:rPr>
          <w:rFonts w:ascii="Arial" w:eastAsia="Arial" w:hAnsi="Arial" w:cs="Arial"/>
          <w:color w:val="000000"/>
          <w:sz w:val="22"/>
          <w:szCs w:val="22"/>
        </w:rPr>
        <w:t xml:space="preserve"> </w:t>
      </w:r>
      <w:r w:rsidR="000E01E9">
        <w:rPr>
          <w:rFonts w:ascii="Arial" w:eastAsia="Arial" w:hAnsi="Arial" w:cs="Arial"/>
          <w:color w:val="000000"/>
          <w:sz w:val="22"/>
          <w:szCs w:val="22"/>
        </w:rPr>
        <w:t>de la Ley 996 de 2005</w:t>
      </w:r>
      <w:r w:rsidRPr="00D22117">
        <w:rPr>
          <w:rFonts w:ascii="Arial" w:eastAsia="Arial" w:hAnsi="Arial" w:cs="Arial"/>
          <w:color w:val="000000"/>
          <w:sz w:val="22"/>
          <w:szCs w:val="22"/>
        </w:rPr>
        <w:t>, independientemente del objeto contractual que se celebre</w:t>
      </w:r>
      <w:r>
        <w:rPr>
          <w:rFonts w:ascii="Arial" w:eastAsia="Arial" w:hAnsi="Arial" w:cs="Arial"/>
          <w:color w:val="000000"/>
          <w:sz w:val="22"/>
          <w:szCs w:val="22"/>
        </w:rPr>
        <w:t>,</w:t>
      </w:r>
      <w:r w:rsidRPr="00D22117">
        <w:rPr>
          <w:rFonts w:ascii="Arial" w:eastAsia="Arial" w:hAnsi="Arial" w:cs="Arial"/>
          <w:color w:val="000000"/>
          <w:sz w:val="22"/>
          <w:szCs w:val="22"/>
        </w:rPr>
        <w:t xml:space="preserve"> se incurrirá en la prohibición</w:t>
      </w:r>
      <w:r w:rsidR="00473C20">
        <w:rPr>
          <w:rFonts w:ascii="Arial" w:eastAsia="Arial" w:hAnsi="Arial" w:cs="Arial"/>
          <w:color w:val="000000"/>
          <w:sz w:val="22"/>
          <w:szCs w:val="22"/>
        </w:rPr>
        <w:t xml:space="preserve"> allí prevista. Por tanto, esto también aplica para las donaciones que pretendan efectuarse a través de contratos o convenios interadministrativos, </w:t>
      </w:r>
      <w:r w:rsidRPr="00D22117">
        <w:rPr>
          <w:rFonts w:ascii="Arial" w:eastAsia="Arial" w:hAnsi="Arial" w:cs="Arial"/>
          <w:color w:val="000000"/>
          <w:sz w:val="22"/>
          <w:szCs w:val="22"/>
        </w:rPr>
        <w:t>bajo e</w:t>
      </w:r>
      <w:r>
        <w:rPr>
          <w:rFonts w:ascii="Arial" w:eastAsia="Arial" w:hAnsi="Arial" w:cs="Arial"/>
          <w:color w:val="000000"/>
          <w:sz w:val="22"/>
          <w:szCs w:val="22"/>
        </w:rPr>
        <w:t>l entendimiento de que en dicho contrato</w:t>
      </w:r>
      <w:r w:rsidRPr="00D22117">
        <w:rPr>
          <w:rFonts w:ascii="Arial" w:eastAsia="Arial" w:hAnsi="Arial" w:cs="Arial"/>
          <w:color w:val="000000"/>
          <w:sz w:val="22"/>
          <w:szCs w:val="22"/>
        </w:rPr>
        <w:t xml:space="preserve"> también se </w:t>
      </w:r>
      <w:r w:rsidR="00473C20">
        <w:rPr>
          <w:rFonts w:ascii="Arial" w:eastAsia="Arial" w:hAnsi="Arial" w:cs="Arial"/>
          <w:color w:val="000000"/>
          <w:sz w:val="22"/>
          <w:szCs w:val="22"/>
        </w:rPr>
        <w:t>ejecutan</w:t>
      </w:r>
      <w:r w:rsidRPr="00D22117">
        <w:rPr>
          <w:rFonts w:ascii="Arial" w:eastAsia="Arial" w:hAnsi="Arial" w:cs="Arial"/>
          <w:color w:val="000000"/>
          <w:sz w:val="22"/>
          <w:szCs w:val="22"/>
        </w:rPr>
        <w:t xml:space="preserve"> recursos públicos. Lo anterior</w:t>
      </w:r>
      <w:r w:rsidR="000E01E9">
        <w:rPr>
          <w:rFonts w:ascii="Arial" w:eastAsia="Arial" w:hAnsi="Arial" w:cs="Arial"/>
          <w:color w:val="000000"/>
          <w:sz w:val="22"/>
          <w:szCs w:val="22"/>
        </w:rPr>
        <w:t>,</w:t>
      </w:r>
      <w:r w:rsidRPr="00D22117">
        <w:rPr>
          <w:rFonts w:ascii="Arial" w:eastAsia="Arial" w:hAnsi="Arial" w:cs="Arial"/>
          <w:color w:val="000000"/>
          <w:sz w:val="22"/>
          <w:szCs w:val="22"/>
        </w:rPr>
        <w:t xml:space="preserve"> siempre que se trate de un contrato</w:t>
      </w:r>
      <w:r w:rsidR="000E01E9">
        <w:rPr>
          <w:rFonts w:ascii="Arial" w:eastAsia="Arial" w:hAnsi="Arial" w:cs="Arial"/>
          <w:color w:val="000000"/>
          <w:sz w:val="22"/>
          <w:szCs w:val="22"/>
        </w:rPr>
        <w:t xml:space="preserve"> o convenio interadministrativo</w:t>
      </w:r>
      <w:r w:rsidRPr="00D22117">
        <w:rPr>
          <w:rFonts w:ascii="Arial" w:eastAsia="Arial" w:hAnsi="Arial" w:cs="Arial"/>
          <w:color w:val="000000"/>
          <w:sz w:val="22"/>
          <w:szCs w:val="22"/>
        </w:rPr>
        <w:t xml:space="preserve"> que sea celebrado entre entidades públicas</w:t>
      </w:r>
      <w:r w:rsidR="000E01E9">
        <w:rPr>
          <w:rFonts w:ascii="Arial" w:eastAsia="Arial" w:hAnsi="Arial" w:cs="Arial"/>
          <w:color w:val="000000"/>
          <w:sz w:val="22"/>
          <w:szCs w:val="22"/>
        </w:rPr>
        <w:t>,</w:t>
      </w:r>
      <w:r w:rsidRPr="00D22117">
        <w:rPr>
          <w:rFonts w:ascii="Arial" w:eastAsia="Arial" w:hAnsi="Arial" w:cs="Arial"/>
          <w:color w:val="000000"/>
          <w:sz w:val="22"/>
          <w:szCs w:val="22"/>
        </w:rPr>
        <w:t xml:space="preserve"> y cuando alguna de ellas sea de las enlistadas en el parágra</w:t>
      </w:r>
      <w:r>
        <w:rPr>
          <w:rFonts w:ascii="Arial" w:eastAsia="Arial" w:hAnsi="Arial" w:cs="Arial"/>
          <w:color w:val="000000"/>
          <w:sz w:val="22"/>
          <w:szCs w:val="22"/>
        </w:rPr>
        <w:t>fo del artículo 38</w:t>
      </w:r>
      <w:r w:rsidR="000E01E9">
        <w:rPr>
          <w:rFonts w:ascii="Arial" w:eastAsia="Arial" w:hAnsi="Arial" w:cs="Arial"/>
          <w:color w:val="000000"/>
          <w:sz w:val="22"/>
          <w:szCs w:val="22"/>
        </w:rPr>
        <w:t>.</w:t>
      </w:r>
    </w:p>
    <w:p w14:paraId="24F7C93D" w14:textId="0090AE5D" w:rsidR="00BE4B36" w:rsidRPr="00D22117" w:rsidRDefault="00BE4B36" w:rsidP="00BE4B36">
      <w:pPr>
        <w:widowControl w:val="0"/>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Más aún, en la actualidad las entidades estatales no pueden celebrar contratos de donación entre ellas </w:t>
      </w:r>
      <w:r w:rsidRPr="00C31E67">
        <w:rPr>
          <w:rFonts w:ascii="Arial" w:eastAsia="Arial" w:hAnsi="Arial" w:cs="Arial"/>
          <w:i/>
          <w:iCs/>
          <w:color w:val="000000"/>
          <w:sz w:val="22"/>
          <w:szCs w:val="22"/>
        </w:rPr>
        <w:t>de manera directa</w:t>
      </w:r>
      <w:r>
        <w:rPr>
          <w:rFonts w:ascii="Arial" w:eastAsia="Arial" w:hAnsi="Arial" w:cs="Arial"/>
          <w:color w:val="000000"/>
          <w:sz w:val="22"/>
          <w:szCs w:val="22"/>
        </w:rPr>
        <w:t xml:space="preserve">, porque esto lo prohíbe el artículo 33 de la Ley 996 de 2005. En otras palabras, al ser el contrato interadministrativo una causal de contratación directa, en los términos del artículo 2, numeral 4, literal c), de la Ley 1150 de 2007, si dos o más entidades públicas celebran entre ellas un contrato que tiene por objeto una donación, incurren en una circunstancia de </w:t>
      </w:r>
      <w:r w:rsidRPr="00C31E67">
        <w:rPr>
          <w:rFonts w:ascii="Arial" w:eastAsia="Arial" w:hAnsi="Arial" w:cs="Arial"/>
          <w:i/>
          <w:iCs/>
          <w:color w:val="000000"/>
          <w:sz w:val="22"/>
          <w:szCs w:val="22"/>
        </w:rPr>
        <w:t>contratación directa</w:t>
      </w:r>
      <w:r>
        <w:rPr>
          <w:rFonts w:ascii="Arial" w:eastAsia="Arial" w:hAnsi="Arial" w:cs="Arial"/>
          <w:color w:val="000000"/>
          <w:sz w:val="22"/>
          <w:szCs w:val="22"/>
        </w:rPr>
        <w:t>, activándose así la prohibición contenida en el artículo 33 de la Ley de Garantías Electorales, salvo que se presente alguna de las excepciones que la misma norma establece.</w:t>
      </w:r>
      <w:r w:rsidR="00DB451F">
        <w:rPr>
          <w:rFonts w:ascii="Arial" w:eastAsia="Arial" w:hAnsi="Arial" w:cs="Arial"/>
          <w:color w:val="000000"/>
          <w:sz w:val="22"/>
          <w:szCs w:val="22"/>
        </w:rPr>
        <w:t xml:space="preserve"> Esto también se predica de las donaciones que pretendan hacer, de manera directa, las entidades públicas que se amparan en un régimen especial de contratación. </w:t>
      </w:r>
    </w:p>
    <w:p w14:paraId="7CF54105" w14:textId="77777777" w:rsidR="00F30F23" w:rsidRPr="008601C2" w:rsidRDefault="00F30F23" w:rsidP="00F30F23">
      <w:pPr>
        <w:pStyle w:val="Textoindependiente"/>
        <w:spacing w:before="4"/>
        <w:rPr>
          <w:sz w:val="25"/>
        </w:rPr>
      </w:pPr>
    </w:p>
    <w:p w14:paraId="4DE608CC" w14:textId="77777777" w:rsidR="00D73348" w:rsidRPr="00D22117" w:rsidRDefault="00DA2883">
      <w:pPr>
        <w:spacing w:after="0"/>
        <w:rPr>
          <w:rFonts w:ascii="Arial" w:eastAsia="Arial" w:hAnsi="Arial" w:cs="Arial"/>
        </w:rPr>
      </w:pPr>
      <w:r w:rsidRPr="00D22117">
        <w:rPr>
          <w:rFonts w:ascii="Arial" w:eastAsia="Arial" w:hAnsi="Arial" w:cs="Arial"/>
          <w:sz w:val="22"/>
          <w:szCs w:val="22"/>
        </w:rPr>
        <w:t>Este concepto tiene el alcance previsto en el artículo 28 del Código de Procedimiento Administrativo y de lo Contencioso Administrativo.</w:t>
      </w:r>
    </w:p>
    <w:p w14:paraId="0CEC5992" w14:textId="77777777" w:rsidR="00D73348" w:rsidRPr="00D22117" w:rsidRDefault="00DA2883">
      <w:pPr>
        <w:spacing w:after="120"/>
        <w:rPr>
          <w:rFonts w:ascii="Arial" w:eastAsia="Arial" w:hAnsi="Arial" w:cs="Arial"/>
          <w:sz w:val="22"/>
          <w:szCs w:val="22"/>
        </w:rPr>
      </w:pPr>
      <w:r w:rsidRPr="00D22117">
        <w:rPr>
          <w:noProof/>
          <w:lang w:val="en-US" w:eastAsia="en-US"/>
        </w:rPr>
        <mc:AlternateContent>
          <mc:Choice Requires="wps">
            <w:drawing>
              <wp:anchor distT="0" distB="0" distL="114300" distR="114300" simplePos="0" relativeHeight="251658240" behindDoc="0" locked="0" layoutInCell="1" hidden="0" allowOverlap="1" wp14:anchorId="4E419AD4" wp14:editId="45DDA59C">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434340</wp:posOffset>
                </wp:positionH>
                <wp:positionV relativeFrom="paragraph">
                  <wp:posOffset>10160</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686300" cy="9526"/>
                        </a:xfrm>
                        <a:prstGeom prst="rect"/>
                        <a:ln/>
                      </pic:spPr>
                    </pic:pic>
                  </a:graphicData>
                </a:graphic>
              </wp:anchor>
            </w:drawing>
          </mc:Fallback>
        </mc:AlternateContent>
      </w:r>
    </w:p>
    <w:p w14:paraId="6234F93F" w14:textId="77777777" w:rsidR="00D73348" w:rsidRPr="00D22117" w:rsidRDefault="00DA2883">
      <w:pPr>
        <w:rPr>
          <w:rFonts w:ascii="Arial" w:eastAsia="Arial" w:hAnsi="Arial" w:cs="Arial"/>
          <w:sz w:val="22"/>
          <w:szCs w:val="22"/>
        </w:rPr>
      </w:pPr>
      <w:r w:rsidRPr="00D22117">
        <w:rPr>
          <w:rFonts w:ascii="Arial" w:eastAsia="Arial" w:hAnsi="Arial" w:cs="Arial"/>
          <w:sz w:val="22"/>
          <w:szCs w:val="22"/>
        </w:rPr>
        <w:lastRenderedPageBreak/>
        <w:t>Atentamente,</w:t>
      </w:r>
    </w:p>
    <w:p w14:paraId="254AE378" w14:textId="2B2B39D6" w:rsidR="00D73348" w:rsidRPr="00D22117" w:rsidRDefault="008A1E76">
      <w:pPr>
        <w:jc w:val="center"/>
        <w:rPr>
          <w:rFonts w:ascii="Arial" w:eastAsia="Arial" w:hAnsi="Arial" w:cs="Arial"/>
          <w:color w:val="000000"/>
          <w:sz w:val="18"/>
          <w:szCs w:val="18"/>
        </w:rPr>
      </w:pPr>
      <w:r>
        <w:rPr>
          <w:noProof/>
          <w:lang w:val="en-US" w:eastAsia="en-US"/>
        </w:rPr>
        <w:drawing>
          <wp:inline distT="0" distB="0" distL="0" distR="0" wp14:anchorId="34568ED3" wp14:editId="74DB3F68">
            <wp:extent cx="2528136" cy="1113134"/>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28136" cy="1113134"/>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D73348" w:rsidRPr="00D22117" w14:paraId="436FF6A3" w14:textId="77777777">
        <w:trPr>
          <w:trHeight w:val="315"/>
        </w:trPr>
        <w:tc>
          <w:tcPr>
            <w:tcW w:w="812" w:type="dxa"/>
            <w:vAlign w:val="center"/>
          </w:tcPr>
          <w:p w14:paraId="4505368E" w14:textId="77777777" w:rsidR="00D73348" w:rsidRPr="00D22117" w:rsidRDefault="00DA2883" w:rsidP="00981BE3">
            <w:pPr>
              <w:spacing w:before="0"/>
            </w:pPr>
            <w:r w:rsidRPr="00D22117">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740AB5C2" w14:textId="6EB52B5A" w:rsidR="00D73348" w:rsidRPr="00D22117" w:rsidRDefault="00F8003F" w:rsidP="00981BE3">
            <w:pPr>
              <w:spacing w:before="0"/>
            </w:pPr>
            <w:r>
              <w:rPr>
                <w:rFonts w:ascii="Arial" w:eastAsia="Arial" w:hAnsi="Arial" w:cs="Arial"/>
                <w:color w:val="000000"/>
                <w:sz w:val="16"/>
                <w:szCs w:val="16"/>
              </w:rPr>
              <w:t>Guillermo Escolar Flórez</w:t>
            </w:r>
          </w:p>
          <w:p w14:paraId="59EBBAF4" w14:textId="77777777" w:rsidR="00D73348" w:rsidRPr="00D22117" w:rsidRDefault="00DA2883" w:rsidP="00981BE3">
            <w:pPr>
              <w:spacing w:before="0"/>
            </w:pPr>
            <w:r w:rsidRPr="00D22117">
              <w:rPr>
                <w:rFonts w:ascii="Arial" w:eastAsia="Arial" w:hAnsi="Arial" w:cs="Arial"/>
                <w:color w:val="000000"/>
                <w:sz w:val="16"/>
                <w:szCs w:val="16"/>
              </w:rPr>
              <w:t>Contratista de la Subdirección de Gestión Contractual</w:t>
            </w:r>
          </w:p>
        </w:tc>
      </w:tr>
      <w:tr w:rsidR="00D73348" w:rsidRPr="00D22117" w14:paraId="0D354D56" w14:textId="77777777">
        <w:trPr>
          <w:trHeight w:val="330"/>
        </w:trPr>
        <w:tc>
          <w:tcPr>
            <w:tcW w:w="812" w:type="dxa"/>
            <w:vAlign w:val="center"/>
          </w:tcPr>
          <w:p w14:paraId="39559672" w14:textId="77777777" w:rsidR="00D73348" w:rsidRPr="00D22117" w:rsidRDefault="00DA2883" w:rsidP="00981BE3">
            <w:pPr>
              <w:spacing w:before="0"/>
            </w:pPr>
            <w:r w:rsidRPr="00D22117">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237954FA" w14:textId="6722AF9D" w:rsidR="00D73348" w:rsidRPr="00527754" w:rsidRDefault="00660657" w:rsidP="00981BE3">
            <w:pPr>
              <w:spacing w:before="0"/>
            </w:pPr>
            <w:r w:rsidRPr="00527754">
              <w:rPr>
                <w:rFonts w:ascii="Arial" w:eastAsia="Arial" w:hAnsi="Arial" w:cs="Arial"/>
                <w:color w:val="000000"/>
                <w:sz w:val="16"/>
                <w:szCs w:val="16"/>
              </w:rPr>
              <w:t xml:space="preserve">Cristian </w:t>
            </w:r>
            <w:r w:rsidR="00864D50">
              <w:rPr>
                <w:rFonts w:ascii="Arial" w:eastAsia="Arial" w:hAnsi="Arial" w:cs="Arial"/>
                <w:color w:val="000000"/>
                <w:sz w:val="16"/>
                <w:szCs w:val="16"/>
              </w:rPr>
              <w:t xml:space="preserve">Andrés </w:t>
            </w:r>
            <w:r w:rsidRPr="00527754">
              <w:rPr>
                <w:rFonts w:ascii="Arial" w:eastAsia="Arial" w:hAnsi="Arial" w:cs="Arial"/>
                <w:color w:val="000000"/>
                <w:sz w:val="16"/>
                <w:szCs w:val="16"/>
              </w:rPr>
              <w:t>Díaz</w:t>
            </w:r>
            <w:r w:rsidR="00864D50">
              <w:rPr>
                <w:rFonts w:ascii="Arial" w:eastAsia="Arial" w:hAnsi="Arial" w:cs="Arial"/>
                <w:color w:val="000000"/>
                <w:sz w:val="16"/>
                <w:szCs w:val="16"/>
              </w:rPr>
              <w:t xml:space="preserve"> Díaz</w:t>
            </w:r>
          </w:p>
          <w:p w14:paraId="00BDD231" w14:textId="48B27256" w:rsidR="00D73348" w:rsidRPr="00527754" w:rsidRDefault="00DA2883" w:rsidP="00981BE3">
            <w:pPr>
              <w:spacing w:before="0"/>
            </w:pPr>
            <w:r w:rsidRPr="00527754">
              <w:rPr>
                <w:rFonts w:ascii="Arial" w:eastAsia="Arial" w:hAnsi="Arial" w:cs="Arial"/>
                <w:color w:val="000000"/>
                <w:sz w:val="16"/>
                <w:szCs w:val="16"/>
              </w:rPr>
              <w:t>Contratista de la Subdirección de Gestión Contractual</w:t>
            </w:r>
          </w:p>
        </w:tc>
      </w:tr>
      <w:tr w:rsidR="00D73348" w14:paraId="332F3FDA" w14:textId="77777777">
        <w:trPr>
          <w:trHeight w:val="300"/>
        </w:trPr>
        <w:tc>
          <w:tcPr>
            <w:tcW w:w="812" w:type="dxa"/>
            <w:vAlign w:val="center"/>
          </w:tcPr>
          <w:p w14:paraId="50E4A42C" w14:textId="77777777" w:rsidR="00D73348" w:rsidRPr="00D22117" w:rsidRDefault="00DA2883" w:rsidP="00981BE3">
            <w:pPr>
              <w:spacing w:before="0"/>
            </w:pPr>
            <w:r w:rsidRPr="00D22117">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E7B1FB5" w14:textId="77777777" w:rsidR="00D73348" w:rsidRPr="00D22117" w:rsidRDefault="00DA2883" w:rsidP="00981BE3">
            <w:pPr>
              <w:spacing w:before="0"/>
            </w:pPr>
            <w:r w:rsidRPr="00D22117">
              <w:rPr>
                <w:rFonts w:ascii="Arial" w:eastAsia="Arial" w:hAnsi="Arial" w:cs="Arial"/>
                <w:color w:val="000000"/>
                <w:sz w:val="16"/>
                <w:szCs w:val="16"/>
              </w:rPr>
              <w:t>Jorge Augusto Tirado Navarro</w:t>
            </w:r>
          </w:p>
          <w:p w14:paraId="047C64AF" w14:textId="77777777" w:rsidR="00D73348" w:rsidRPr="00981BE3" w:rsidRDefault="00DA2883" w:rsidP="00981BE3">
            <w:pPr>
              <w:spacing w:before="0"/>
            </w:pPr>
            <w:r w:rsidRPr="00D22117">
              <w:rPr>
                <w:rFonts w:ascii="Arial" w:eastAsia="Arial" w:hAnsi="Arial" w:cs="Arial"/>
                <w:color w:val="000000"/>
                <w:sz w:val="16"/>
                <w:szCs w:val="16"/>
              </w:rPr>
              <w:t>Subdirector de Gestión Contractual ANCP – CCE</w:t>
            </w:r>
          </w:p>
        </w:tc>
      </w:tr>
    </w:tbl>
    <w:p w14:paraId="36B16377" w14:textId="77777777" w:rsidR="00D73348" w:rsidRDefault="00D73348">
      <w:pPr>
        <w:spacing w:after="120"/>
        <w:rPr>
          <w:rFonts w:ascii="Arial" w:eastAsia="Arial" w:hAnsi="Arial" w:cs="Arial"/>
          <w:b/>
          <w:sz w:val="20"/>
          <w:szCs w:val="20"/>
        </w:rPr>
      </w:pPr>
    </w:p>
    <w:sectPr w:rsidR="00D73348" w:rsidSect="00981BE3">
      <w:headerReference w:type="default" r:id="rId14"/>
      <w:footerReference w:type="default" r:id="rId15"/>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45A3" w14:textId="77777777" w:rsidR="00B66C83" w:rsidRDefault="00B66C83">
      <w:pPr>
        <w:spacing w:after="0" w:line="240" w:lineRule="auto"/>
      </w:pPr>
      <w:r>
        <w:separator/>
      </w:r>
    </w:p>
  </w:endnote>
  <w:endnote w:type="continuationSeparator" w:id="0">
    <w:p w14:paraId="60FFE0B0" w14:textId="77777777" w:rsidR="00B66C83" w:rsidRDefault="00B6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listo MT"/>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6B79" w14:textId="77777777" w:rsidR="00253075" w:rsidRDefault="00253075">
    <w:pPr>
      <w:pBdr>
        <w:top w:val="nil"/>
        <w:left w:val="nil"/>
        <w:bottom w:val="nil"/>
        <w:right w:val="nil"/>
        <w:between w:val="nil"/>
      </w:pBdr>
      <w:spacing w:after="0" w:line="240" w:lineRule="auto"/>
      <w:rPr>
        <w:rFonts w:ascii="Arial" w:eastAsia="Arial" w:hAnsi="Arial" w:cs="Arial"/>
        <w:color w:val="000000"/>
        <w:sz w:val="18"/>
        <w:szCs w:val="18"/>
      </w:rPr>
    </w:pPr>
  </w:p>
  <w:p w14:paraId="5DC9020F" w14:textId="243DF1A8" w:rsidR="00253075" w:rsidRDefault="00253075">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470FE9">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470FE9">
      <w:rPr>
        <w:rFonts w:ascii="Arial" w:eastAsia="Arial" w:hAnsi="Arial" w:cs="Arial"/>
        <w:b/>
        <w:noProof/>
        <w:color w:val="7F7F7F"/>
        <w:sz w:val="16"/>
        <w:szCs w:val="16"/>
      </w:rPr>
      <w:t>1</w:t>
    </w:r>
    <w:r>
      <w:rPr>
        <w:rFonts w:ascii="Arial" w:eastAsia="Arial" w:hAnsi="Arial" w:cs="Arial"/>
        <w:b/>
        <w:color w:val="7F7F7F"/>
        <w:sz w:val="16"/>
        <w:szCs w:val="16"/>
      </w:rPr>
      <w:fldChar w:fldCharType="end"/>
    </w:r>
  </w:p>
  <w:p w14:paraId="0360D218" w14:textId="77777777" w:rsidR="00253075" w:rsidRDefault="0025307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E63D38B" wp14:editId="16B7532A">
          <wp:extent cx="4241994" cy="59516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346891A0" w14:textId="77777777" w:rsidR="00253075" w:rsidRDefault="00253075">
    <w:pPr>
      <w:pBdr>
        <w:top w:val="nil"/>
        <w:left w:val="nil"/>
        <w:bottom w:val="nil"/>
        <w:right w:val="nil"/>
        <w:between w:val="nil"/>
      </w:pBdr>
      <w:tabs>
        <w:tab w:val="center" w:pos="4419"/>
        <w:tab w:val="right" w:pos="8838"/>
      </w:tabs>
      <w:spacing w:line="120" w:lineRule="auto"/>
      <w:rPr>
        <w:color w:val="000000"/>
      </w:rPr>
    </w:pPr>
  </w:p>
  <w:p w14:paraId="2AA775BA" w14:textId="77777777" w:rsidR="00253075" w:rsidRDefault="00253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0150" w14:textId="77777777" w:rsidR="00B66C83" w:rsidRDefault="00B66C83">
      <w:pPr>
        <w:spacing w:after="0" w:line="240" w:lineRule="auto"/>
      </w:pPr>
      <w:r>
        <w:separator/>
      </w:r>
    </w:p>
  </w:footnote>
  <w:footnote w:type="continuationSeparator" w:id="0">
    <w:p w14:paraId="43229625" w14:textId="77777777" w:rsidR="00B66C83" w:rsidRDefault="00B66C83">
      <w:pPr>
        <w:spacing w:after="0" w:line="240" w:lineRule="auto"/>
      </w:pPr>
      <w:r>
        <w:continuationSeparator/>
      </w:r>
    </w:p>
  </w:footnote>
  <w:footnote w:id="1">
    <w:p w14:paraId="596116EC" w14:textId="77777777" w:rsidR="00F723BA" w:rsidRPr="002E2E90" w:rsidRDefault="00F723BA" w:rsidP="00F723BA">
      <w:pPr>
        <w:pStyle w:val="Textonotapie"/>
        <w:jc w:val="both"/>
        <w:rPr>
          <w:rFonts w:ascii="Arial" w:hAnsi="Arial" w:cs="Arial"/>
          <w:sz w:val="19"/>
          <w:szCs w:val="19"/>
        </w:rPr>
      </w:pPr>
      <w:r>
        <w:rPr>
          <w:rStyle w:val="Refdenotaalpie"/>
        </w:rPr>
        <w:footnoteRef/>
      </w:r>
      <w:r>
        <w:t xml:space="preserve"> </w:t>
      </w:r>
      <w:r>
        <w:rPr>
          <w:rFonts w:ascii="Arial" w:hAnsi="Arial" w:cs="Arial"/>
          <w:sz w:val="19"/>
          <w:szCs w:val="19"/>
        </w:rPr>
        <w:t>Constitución Política de 1991. A</w:t>
      </w:r>
      <w:r w:rsidRPr="002E2E90">
        <w:rPr>
          <w:rFonts w:ascii="Arial" w:hAnsi="Arial" w:cs="Arial"/>
          <w:sz w:val="19"/>
          <w:szCs w:val="19"/>
        </w:rPr>
        <w:t>rtículo 355—Ninguna de las ramas u órganos del poder público podrá decretar auxilios o donaciones en favor de personas naturales o jurídicas de derecho privado.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footnote>
  <w:footnote w:id="2">
    <w:p w14:paraId="7CB953D7" w14:textId="77777777" w:rsidR="00F723BA" w:rsidRPr="00D51EB0" w:rsidRDefault="00F723BA" w:rsidP="00F723BA">
      <w:pPr>
        <w:pStyle w:val="Textonotapie"/>
        <w:jc w:val="both"/>
        <w:rPr>
          <w:rFonts w:ascii="Arial" w:hAnsi="Arial" w:cs="Arial"/>
          <w:sz w:val="19"/>
          <w:szCs w:val="19"/>
        </w:rPr>
      </w:pPr>
      <w:r>
        <w:rPr>
          <w:rStyle w:val="Refdenotaalpie"/>
        </w:rPr>
        <w:footnoteRef/>
      </w:r>
      <w:r>
        <w:t xml:space="preserve"> </w:t>
      </w:r>
      <w:r w:rsidRPr="00253075">
        <w:rPr>
          <w:rFonts w:ascii="Arial" w:hAnsi="Arial" w:cs="Arial"/>
          <w:sz w:val="19"/>
          <w:szCs w:val="19"/>
        </w:rPr>
        <w:t xml:space="preserve">Para ampliar este tema se recomienda revisar el concepto </w:t>
      </w:r>
      <w:r w:rsidRPr="00253075">
        <w:rPr>
          <w:rFonts w:ascii="Arial" w:hAnsi="Arial" w:cs="Arial"/>
          <w:sz w:val="19"/>
          <w:szCs w:val="19"/>
          <w:shd w:val="clear" w:color="auto" w:fill="FFFFFF"/>
        </w:rPr>
        <w:t xml:space="preserve">C-670 del 28 de diciembre de 2021 publicado en la Relatoría </w:t>
      </w:r>
      <w:r w:rsidRPr="00253075">
        <w:rPr>
          <w:rFonts w:ascii="Arial" w:hAnsi="Arial" w:cs="Arial"/>
          <w:color w:val="000000"/>
          <w:sz w:val="19"/>
          <w:szCs w:val="19"/>
        </w:rPr>
        <w:t xml:space="preserve">de la Agencia Nacional de Contratación Pública – Colombia Compra Eficiente en el siguiente enlace: </w:t>
      </w:r>
      <w:hyperlink r:id="rId1" w:history="1">
        <w:r w:rsidRPr="00253075">
          <w:rPr>
            <w:rFonts w:ascii="Arial" w:hAnsi="Arial" w:cs="Arial"/>
            <w:color w:val="000000"/>
            <w:sz w:val="19"/>
            <w:szCs w:val="19"/>
          </w:rPr>
          <w:t>https://relatoria.colombiacompra.gov.co/busqueda/conceptos</w:t>
        </w:r>
      </w:hyperlink>
    </w:p>
    <w:p w14:paraId="6CD265D3" w14:textId="77777777" w:rsidR="00F723BA" w:rsidRPr="0012599F" w:rsidRDefault="00F723BA" w:rsidP="00F723BA">
      <w:pPr>
        <w:pStyle w:val="Textonotapie"/>
      </w:pPr>
    </w:p>
  </w:footnote>
  <w:footnote w:id="3">
    <w:p w14:paraId="09D8405F" w14:textId="77777777" w:rsidR="00253075" w:rsidRPr="00602C2B" w:rsidRDefault="00253075" w:rsidP="00E03A73">
      <w:pPr>
        <w:pStyle w:val="Textonotapie"/>
        <w:ind w:firstLine="709"/>
        <w:jc w:val="both"/>
        <w:rPr>
          <w:rFonts w:ascii="Arial" w:hAnsi="Arial" w:cs="Arial"/>
          <w:sz w:val="19"/>
          <w:szCs w:val="19"/>
        </w:rPr>
      </w:pPr>
      <w:r w:rsidRPr="00602C2B">
        <w:rPr>
          <w:rStyle w:val="Refdenotaalpie"/>
          <w:rFonts w:ascii="Arial" w:hAnsi="Arial" w:cs="Arial"/>
          <w:sz w:val="19"/>
          <w:szCs w:val="19"/>
        </w:rPr>
        <w:footnoteRef/>
      </w:r>
      <w:r w:rsidRPr="00602C2B">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82A32E9" w14:textId="41F6CC1D" w:rsidR="00253075" w:rsidRPr="00602C2B" w:rsidRDefault="004B158C" w:rsidP="00E03A73">
      <w:pPr>
        <w:pStyle w:val="Textonotapie"/>
        <w:tabs>
          <w:tab w:val="left" w:pos="0"/>
        </w:tabs>
        <w:ind w:firstLine="709"/>
        <w:jc w:val="both"/>
        <w:rPr>
          <w:rFonts w:ascii="Arial" w:hAnsi="Arial" w:cs="Arial"/>
          <w:sz w:val="19"/>
          <w:szCs w:val="19"/>
        </w:rPr>
      </w:pPr>
      <w:r w:rsidRPr="00602C2B">
        <w:rPr>
          <w:rFonts w:ascii="Arial" w:hAnsi="Arial" w:cs="Arial"/>
          <w:sz w:val="19"/>
          <w:szCs w:val="19"/>
        </w:rPr>
        <w:t>» A</w:t>
      </w:r>
      <w:r w:rsidR="00253075" w:rsidRPr="00602C2B">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602C2B">
        <w:rPr>
          <w:rFonts w:ascii="Arial" w:hAnsi="Arial" w:cs="Arial"/>
          <w:sz w:val="19"/>
          <w:szCs w:val="19"/>
        </w:rPr>
        <w:t>Constitución.» Los</w:t>
      </w:r>
      <w:r w:rsidR="00253075" w:rsidRPr="00602C2B">
        <w:rPr>
          <w:rFonts w:ascii="Arial" w:hAnsi="Arial" w:cs="Arial"/>
          <w:sz w:val="19"/>
          <w:szCs w:val="19"/>
        </w:rPr>
        <w:t xml:space="preserve"> empleados no contemplados en esta prohibición solo podrán participar en dichas actividades y controversias en las condiciones que señale la Ley Estatutaria».</w:t>
      </w:r>
    </w:p>
    <w:p w14:paraId="15EFE98B" w14:textId="77777777" w:rsidR="00253075" w:rsidRPr="00602C2B" w:rsidRDefault="00253075" w:rsidP="00E03A73">
      <w:pPr>
        <w:pStyle w:val="Textonotapie"/>
        <w:ind w:firstLine="709"/>
        <w:jc w:val="both"/>
        <w:rPr>
          <w:rFonts w:ascii="Arial" w:hAnsi="Arial" w:cs="Arial"/>
          <w:sz w:val="19"/>
          <w:szCs w:val="19"/>
        </w:rPr>
      </w:pPr>
    </w:p>
  </w:footnote>
  <w:footnote w:id="4">
    <w:p w14:paraId="0396D628" w14:textId="77777777" w:rsidR="00253075" w:rsidRDefault="00253075" w:rsidP="0012599F">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C- 1153 de 2005, M.P. Marco Gerardo Monroy Cabra.</w:t>
      </w:r>
    </w:p>
  </w:footnote>
  <w:footnote w:id="5">
    <w:p w14:paraId="2A5EA3BC" w14:textId="77777777" w:rsidR="00253075" w:rsidRPr="00D51EB0" w:rsidRDefault="00253075">
      <w:pPr>
        <w:pBdr>
          <w:top w:val="nil"/>
          <w:left w:val="nil"/>
          <w:bottom w:val="nil"/>
          <w:right w:val="nil"/>
          <w:between w:val="nil"/>
        </w:pBdr>
        <w:spacing w:after="0" w:line="240" w:lineRule="auto"/>
        <w:ind w:firstLine="709"/>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0BBC35F2" w14:textId="77777777" w:rsidR="00253075" w:rsidRPr="00D51EB0" w:rsidRDefault="00253075">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6">
    <w:p w14:paraId="4E6E45CD" w14:textId="77777777" w:rsidR="00253075" w:rsidRPr="00D51EB0" w:rsidRDefault="00253075">
      <w:pPr>
        <w:pBdr>
          <w:top w:val="nil"/>
          <w:left w:val="nil"/>
          <w:bottom w:val="nil"/>
          <w:right w:val="nil"/>
          <w:between w:val="nil"/>
        </w:pBdr>
        <w:spacing w:after="0" w:line="240" w:lineRule="auto"/>
        <w:ind w:firstLine="709"/>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778AED9" w14:textId="77777777" w:rsidR="00253075" w:rsidRPr="00D51EB0" w:rsidRDefault="00253075">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7">
    <w:p w14:paraId="6BD8B1D1" w14:textId="77777777" w:rsidR="00253075" w:rsidRPr="00D51EB0" w:rsidRDefault="00253075">
      <w:pPr>
        <w:pBdr>
          <w:top w:val="nil"/>
          <w:left w:val="nil"/>
          <w:bottom w:val="nil"/>
          <w:right w:val="nil"/>
          <w:between w:val="nil"/>
        </w:pBdr>
        <w:spacing w:after="0" w:line="240" w:lineRule="auto"/>
        <w:ind w:firstLine="709"/>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Consejo de Estado, Sala de Consulta y Servicio Civil de fecha 24 de julio de 2013, radicado 2166, Consejero Ponente: Álvaro Namén Vargas.  </w:t>
      </w:r>
    </w:p>
  </w:footnote>
  <w:footnote w:id="8">
    <w:p w14:paraId="2ABB15A3" w14:textId="1E4E3E1A" w:rsidR="00253075" w:rsidRPr="00A0483F" w:rsidRDefault="00253075" w:rsidP="00253075">
      <w:pPr>
        <w:widowControl w:val="0"/>
        <w:spacing w:after="0" w:line="240" w:lineRule="auto"/>
        <w:ind w:right="113" w:firstLine="708"/>
        <w:rPr>
          <w:rFonts w:ascii="Arial" w:eastAsia="Arial" w:hAnsi="Arial" w:cs="Arial"/>
          <w:sz w:val="19"/>
          <w:szCs w:val="19"/>
        </w:rPr>
      </w:pPr>
      <w:r w:rsidRPr="00A0483F">
        <w:rPr>
          <w:rStyle w:val="Refdenotaalpie"/>
          <w:rFonts w:ascii="Arial" w:hAnsi="Arial" w:cs="Arial"/>
          <w:sz w:val="19"/>
          <w:szCs w:val="19"/>
        </w:rPr>
        <w:footnoteRef/>
      </w:r>
      <w:r w:rsidRPr="00A0483F">
        <w:rPr>
          <w:rFonts w:ascii="Arial" w:hAnsi="Arial" w:cs="Arial"/>
          <w:sz w:val="19"/>
          <w:szCs w:val="19"/>
        </w:rPr>
        <w:t xml:space="preserve"> </w:t>
      </w:r>
      <w:r w:rsidRPr="00A0483F">
        <w:rPr>
          <w:rFonts w:ascii="Arial" w:eastAsia="Arial" w:hAnsi="Arial" w:cs="Arial"/>
          <w:sz w:val="19"/>
          <w:szCs w:val="19"/>
        </w:rPr>
        <w:t xml:space="preserve">La Sala de Consulta y Servicio Civil del Consejo de Estado </w:t>
      </w:r>
      <w:r w:rsidRPr="00A0483F">
        <w:rPr>
          <w:rFonts w:ascii="Arial" w:eastAsia="Arial" w:hAnsi="Arial" w:cs="Arial"/>
          <w:color w:val="000000"/>
          <w:sz w:val="19"/>
          <w:szCs w:val="19"/>
        </w:rPr>
        <w:t xml:space="preserve">en el Concepto del 17 de febrero de 2015. </w:t>
      </w:r>
      <w:r w:rsidRPr="00253075">
        <w:rPr>
          <w:rFonts w:ascii="Arial" w:eastAsia="Arial" w:hAnsi="Arial" w:cs="Arial"/>
          <w:color w:val="000000"/>
          <w:sz w:val="19"/>
          <w:szCs w:val="19"/>
        </w:rPr>
        <w:t>C.P. William Zambrano Cetina. Radicación No. 1100</w:t>
      </w:r>
      <w:r>
        <w:rPr>
          <w:rFonts w:ascii="Arial" w:eastAsia="Arial" w:hAnsi="Arial" w:cs="Arial"/>
          <w:color w:val="000000"/>
          <w:sz w:val="19"/>
          <w:szCs w:val="19"/>
        </w:rPr>
        <w:t xml:space="preserve">1-03-06-000-2015-00164-00(2269), </w:t>
      </w:r>
      <w:r w:rsidRPr="00A0483F">
        <w:rPr>
          <w:rFonts w:ascii="Arial" w:eastAsia="Arial" w:hAnsi="Arial" w:cs="Arial"/>
          <w:sz w:val="19"/>
          <w:szCs w:val="19"/>
        </w:rPr>
        <w:t>ha aclarado la distinción en la aplicación de las prohibiciones de la Ley 996 de 2005, dependiendo del tipo de elección que se trate. Al respecto, considera que:</w:t>
      </w:r>
      <w:bookmarkStart w:id="11" w:name="_26in1rg" w:colFirst="0" w:colLast="0"/>
      <w:bookmarkEnd w:id="11"/>
      <w:r w:rsidRPr="00A0483F">
        <w:rPr>
          <w:rFonts w:ascii="Arial" w:eastAsia="Arial" w:hAnsi="Arial" w:cs="Arial"/>
          <w:sz w:val="19"/>
          <w:szCs w:val="19"/>
        </w:rPr>
        <w:t xml:space="preserve"> 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p>
    <w:p w14:paraId="0E6718B4" w14:textId="77777777" w:rsidR="00253075" w:rsidRPr="00A0483F" w:rsidRDefault="00253075" w:rsidP="00253075">
      <w:pPr>
        <w:widowControl w:val="0"/>
        <w:spacing w:after="0" w:line="240" w:lineRule="auto"/>
        <w:ind w:right="113" w:firstLine="708"/>
        <w:rPr>
          <w:lang w:val="es-ES"/>
        </w:rPr>
      </w:pPr>
    </w:p>
  </w:footnote>
  <w:footnote w:id="9">
    <w:p w14:paraId="732A89D8" w14:textId="77777777" w:rsidR="00253075" w:rsidRPr="00D51EB0" w:rsidRDefault="00253075">
      <w:pPr>
        <w:spacing w:after="0" w:line="240" w:lineRule="auto"/>
        <w:ind w:firstLine="709"/>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w:t>
      </w:r>
      <w:bookmarkStart w:id="12" w:name="qsh70q" w:colFirst="0" w:colLast="0"/>
      <w:bookmarkEnd w:id="12"/>
      <w:r w:rsidRPr="00D51EB0">
        <w:rPr>
          <w:rFonts w:ascii="Arial" w:eastAsia="Arial" w:hAnsi="Arial" w:cs="Arial"/>
          <w:color w:val="000000"/>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41F72B77" w14:textId="77777777" w:rsidR="00253075" w:rsidRPr="00D51EB0" w:rsidRDefault="00253075">
      <w:pPr>
        <w:spacing w:after="0" w:line="240" w:lineRule="auto"/>
        <w:ind w:firstLine="709"/>
        <w:rPr>
          <w:rFonts w:ascii="Arial" w:eastAsia="Arial" w:hAnsi="Arial" w:cs="Arial"/>
          <w:color w:val="000000"/>
          <w:sz w:val="19"/>
          <w:szCs w:val="19"/>
        </w:rPr>
      </w:pPr>
      <w:r w:rsidRPr="00D51EB0">
        <w:rPr>
          <w:rFonts w:ascii="Arial" w:eastAsia="Arial" w:hAnsi="Arial" w:cs="Arial"/>
          <w:color w:val="000000"/>
          <w:sz w:val="19"/>
          <w:szCs w:val="19"/>
        </w:rP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10">
    <w:p w14:paraId="68C86AA3" w14:textId="77777777" w:rsidR="00253075" w:rsidRPr="00602C2B" w:rsidRDefault="00253075" w:rsidP="00253075">
      <w:pPr>
        <w:pStyle w:val="Textonotapie"/>
        <w:jc w:val="both"/>
        <w:rPr>
          <w:rFonts w:ascii="Arial" w:hAnsi="Arial" w:cs="Arial"/>
          <w:sz w:val="19"/>
          <w:szCs w:val="19"/>
        </w:rPr>
      </w:pPr>
    </w:p>
    <w:p w14:paraId="6BAFCD8C" w14:textId="77777777" w:rsidR="00253075" w:rsidRPr="00602C2B" w:rsidRDefault="00253075" w:rsidP="00253075">
      <w:pPr>
        <w:pStyle w:val="Textonotapie"/>
        <w:ind w:firstLine="708"/>
        <w:jc w:val="both"/>
        <w:rPr>
          <w:rFonts w:ascii="Arial" w:hAnsi="Arial" w:cs="Arial"/>
          <w:sz w:val="19"/>
          <w:szCs w:val="19"/>
        </w:rPr>
      </w:pPr>
      <w:r w:rsidRPr="00602C2B">
        <w:rPr>
          <w:rStyle w:val="Refdenotaalpie"/>
          <w:rFonts w:ascii="Arial" w:hAnsi="Arial" w:cs="Arial"/>
          <w:sz w:val="19"/>
          <w:szCs w:val="19"/>
        </w:rPr>
        <w:footnoteRef/>
      </w:r>
      <w:r w:rsidRPr="00602C2B">
        <w:rPr>
          <w:rFonts w:ascii="Arial" w:hAnsi="Arial" w:cs="Arial"/>
          <w:sz w:val="19"/>
          <w:szCs w:val="19"/>
        </w:rPr>
        <w:t xml:space="preserve"> «4. Contratación directa. La modalidad de selección de contratación directa, solamente procederá en los siguientes casos:</w:t>
      </w:r>
    </w:p>
    <w:p w14:paraId="526D67FF" w14:textId="77777777" w:rsidR="00253075" w:rsidRPr="00602C2B" w:rsidRDefault="00253075" w:rsidP="00253075">
      <w:pPr>
        <w:pStyle w:val="Textonotapie"/>
        <w:ind w:firstLine="708"/>
        <w:jc w:val="both"/>
        <w:rPr>
          <w:rFonts w:ascii="Arial" w:hAnsi="Arial" w:cs="Arial"/>
          <w:sz w:val="19"/>
          <w:szCs w:val="19"/>
        </w:rPr>
      </w:pPr>
      <w:r w:rsidRPr="00602C2B">
        <w:rPr>
          <w:rFonts w:ascii="Arial" w:hAnsi="Arial" w:cs="Arial"/>
          <w:color w:val="000000" w:themeColor="text1"/>
          <w:sz w:val="19"/>
          <w:szCs w:val="19"/>
        </w:rPr>
        <w:t xml:space="preserve">» </w:t>
      </w:r>
      <w:r w:rsidRPr="00602C2B">
        <w:rPr>
          <w:rFonts w:ascii="Arial" w:hAnsi="Arial" w:cs="Arial"/>
          <w:sz w:val="19"/>
          <w:szCs w:val="19"/>
        </w:rPr>
        <w:t>a) Urgencia manifiesta;</w:t>
      </w:r>
    </w:p>
    <w:p w14:paraId="4A3B9075" w14:textId="77777777" w:rsidR="00253075" w:rsidRPr="00602C2B" w:rsidRDefault="00253075" w:rsidP="00253075">
      <w:pPr>
        <w:pStyle w:val="Textonotapie"/>
        <w:ind w:firstLine="708"/>
        <w:jc w:val="both"/>
        <w:rPr>
          <w:rFonts w:ascii="Arial" w:hAnsi="Arial" w:cs="Arial"/>
          <w:sz w:val="19"/>
          <w:szCs w:val="19"/>
        </w:rPr>
      </w:pPr>
      <w:r w:rsidRPr="00602C2B">
        <w:rPr>
          <w:rFonts w:ascii="Arial" w:hAnsi="Arial" w:cs="Arial"/>
          <w:color w:val="000000" w:themeColor="text1"/>
          <w:sz w:val="19"/>
          <w:szCs w:val="19"/>
        </w:rPr>
        <w:t xml:space="preserve">» </w:t>
      </w:r>
      <w:r w:rsidRPr="00602C2B">
        <w:rPr>
          <w:rFonts w:ascii="Arial" w:hAnsi="Arial" w:cs="Arial"/>
          <w:sz w:val="19"/>
          <w:szCs w:val="19"/>
        </w:rPr>
        <w:t>b) Contratación de empréstitos;</w:t>
      </w:r>
    </w:p>
    <w:p w14:paraId="6A21A4C7" w14:textId="77777777" w:rsidR="00253075" w:rsidRPr="00602C2B" w:rsidRDefault="00253075" w:rsidP="00253075">
      <w:pPr>
        <w:pStyle w:val="Textonotapie"/>
        <w:ind w:firstLine="708"/>
        <w:jc w:val="both"/>
        <w:rPr>
          <w:rFonts w:ascii="Arial" w:hAnsi="Arial" w:cs="Arial"/>
          <w:sz w:val="19"/>
          <w:szCs w:val="19"/>
        </w:rPr>
      </w:pPr>
      <w:r w:rsidRPr="00602C2B">
        <w:rPr>
          <w:rFonts w:ascii="Arial" w:hAnsi="Arial" w:cs="Arial"/>
          <w:color w:val="000000" w:themeColor="text1"/>
          <w:sz w:val="19"/>
          <w:szCs w:val="19"/>
        </w:rPr>
        <w:t xml:space="preserve">» </w:t>
      </w:r>
      <w:r w:rsidRPr="00602C2B">
        <w:rPr>
          <w:rFonts w:ascii="Arial" w:hAnsi="Arial" w:cs="Arial"/>
          <w:sz w:val="19"/>
          <w:szCs w:val="19"/>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14:paraId="27BB630D" w14:textId="77777777" w:rsidR="00253075" w:rsidRPr="00602C2B" w:rsidRDefault="00253075" w:rsidP="00253075">
      <w:pPr>
        <w:pStyle w:val="Textonotapie"/>
        <w:ind w:firstLine="708"/>
        <w:jc w:val="both"/>
        <w:rPr>
          <w:rFonts w:ascii="Arial" w:hAnsi="Arial" w:cs="Arial"/>
          <w:sz w:val="19"/>
          <w:szCs w:val="19"/>
        </w:rPr>
      </w:pPr>
      <w:r w:rsidRPr="00602C2B">
        <w:rPr>
          <w:rFonts w:ascii="Arial" w:hAnsi="Arial" w:cs="Arial"/>
          <w:sz w:val="19"/>
          <w:szCs w:val="19"/>
        </w:rPr>
        <w:t xml:space="preserve"> […]</w:t>
      </w:r>
    </w:p>
    <w:p w14:paraId="5AD3ADC2" w14:textId="77777777" w:rsidR="00253075" w:rsidRPr="00602C2B" w:rsidRDefault="00253075" w:rsidP="00253075">
      <w:pPr>
        <w:pStyle w:val="Textonotapie"/>
        <w:ind w:firstLine="708"/>
        <w:jc w:val="both"/>
        <w:rPr>
          <w:rFonts w:ascii="Arial" w:hAnsi="Arial" w:cs="Arial"/>
          <w:sz w:val="19"/>
          <w:szCs w:val="19"/>
        </w:rPr>
      </w:pPr>
      <w:r w:rsidRPr="00602C2B">
        <w:rPr>
          <w:rFonts w:ascii="Arial" w:hAnsi="Arial" w:cs="Arial"/>
          <w:color w:val="000000" w:themeColor="text1"/>
          <w:sz w:val="19"/>
          <w:szCs w:val="19"/>
        </w:rPr>
        <w:t xml:space="preserve">» </w:t>
      </w:r>
      <w:r w:rsidRPr="00602C2B">
        <w:rPr>
          <w:rFonts w:ascii="Arial" w:hAnsi="Arial" w:cs="Arial"/>
          <w:sz w:val="19"/>
          <w:szCs w:val="19"/>
        </w:rPr>
        <w:t>d) La contratación de bienes y servicios en el sector Defensa que necesiten reserva para su adquisición;</w:t>
      </w:r>
    </w:p>
    <w:p w14:paraId="05BDC29F" w14:textId="77777777" w:rsidR="00253075" w:rsidRPr="00602C2B" w:rsidRDefault="00253075" w:rsidP="00253075">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e) Los contratos para el desarrollo de actividades científicas y tecnológicas;</w:t>
      </w:r>
    </w:p>
    <w:p w14:paraId="5BE00AC1" w14:textId="77777777" w:rsidR="00253075" w:rsidRPr="00602C2B" w:rsidRDefault="00253075" w:rsidP="00253075">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f)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w:t>
      </w:r>
    </w:p>
    <w:p w14:paraId="3D096268" w14:textId="77777777" w:rsidR="00253075" w:rsidRPr="00602C2B" w:rsidRDefault="00253075" w:rsidP="00253075">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g) Cuando no exista pluralidad de oferentes en el mercado;</w:t>
      </w:r>
    </w:p>
    <w:p w14:paraId="2C1116E2" w14:textId="77777777" w:rsidR="00253075" w:rsidRPr="00602C2B" w:rsidRDefault="00253075" w:rsidP="00253075">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h) Para la prestación de servicios profesionales y de apoyo a la gestión, o para la ejecución de trabajos artísticos que sólo puedan encomendarse a determinadas personas naturales;</w:t>
      </w:r>
    </w:p>
    <w:p w14:paraId="26A7B38B" w14:textId="77777777" w:rsidR="00253075" w:rsidRPr="00602C2B" w:rsidRDefault="00253075" w:rsidP="00253075">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i) El arrendamiento o adquisición de inmuebles.</w:t>
      </w:r>
    </w:p>
    <w:p w14:paraId="0A9FB45D" w14:textId="77777777" w:rsidR="00253075" w:rsidRPr="00602C2B" w:rsidRDefault="00253075" w:rsidP="00253075">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j) &lt;Literal adicionado por el artículo 125 de la Ley 1753 de 2015. El nuevo texto es el siguiente:&gt; La contratación de bienes y servicios de la Dirección Nacional de Inteligencia (DNI), que requieran reserva para su adquisición.</w:t>
      </w:r>
    </w:p>
    <w:p w14:paraId="2BD71799" w14:textId="77777777" w:rsidR="00253075" w:rsidRPr="00602C2B" w:rsidRDefault="00253075" w:rsidP="00253075">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k) &lt;Literal adicionado por el artículo 82 de la Ley 2080 de 2021. El nuevo texto es el siguiente:&gt; La selección de peritos expertos o asesores técnicos para presentar o contradecir el dictamen pericial en procesos judiciales.</w:t>
      </w:r>
    </w:p>
    <w:p w14:paraId="75B10AD1" w14:textId="77777777" w:rsidR="00253075" w:rsidRPr="00602C2B" w:rsidRDefault="00253075" w:rsidP="00253075">
      <w:pPr>
        <w:pStyle w:val="Textonotapie"/>
        <w:jc w:val="both"/>
        <w:rPr>
          <w:rFonts w:ascii="Arial" w:hAnsi="Arial" w:cs="Arial"/>
          <w:sz w:val="19"/>
          <w:szCs w:val="19"/>
          <w:lang w:val="es-CO"/>
        </w:rPr>
      </w:pPr>
    </w:p>
  </w:footnote>
  <w:footnote w:id="11">
    <w:p w14:paraId="424B41C8" w14:textId="77777777" w:rsidR="00253075" w:rsidRPr="00D51EB0" w:rsidRDefault="00253075">
      <w:pPr>
        <w:pBdr>
          <w:top w:val="nil"/>
          <w:left w:val="nil"/>
          <w:bottom w:val="nil"/>
          <w:right w:val="nil"/>
          <w:between w:val="nil"/>
        </w:pBdr>
        <w:spacing w:after="0" w:line="240" w:lineRule="auto"/>
        <w:ind w:firstLine="709"/>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w:t>
      </w:r>
      <w:bookmarkStart w:id="13" w:name="3as4poj" w:colFirst="0" w:colLast="0"/>
      <w:bookmarkEnd w:id="13"/>
      <w:r w:rsidRPr="00D51EB0">
        <w:rPr>
          <w:rFonts w:ascii="Arial" w:eastAsia="Arial" w:hAnsi="Arial" w:cs="Arial"/>
          <w:color w:val="000000"/>
          <w:sz w:val="19"/>
          <w:szCs w:val="19"/>
        </w:rPr>
        <w:t>«Artículo 38. Prohibiciones para los servidores públicos. A los empleados del Estado les está prohibido:</w:t>
      </w:r>
    </w:p>
    <w:p w14:paraId="5C276F6B" w14:textId="77777777" w:rsidR="00253075" w:rsidRPr="00D51EB0" w:rsidRDefault="00253075">
      <w:pPr>
        <w:pBdr>
          <w:top w:val="nil"/>
          <w:left w:val="nil"/>
          <w:bottom w:val="nil"/>
          <w:right w:val="nil"/>
          <w:between w:val="nil"/>
        </w:pBdr>
        <w:spacing w:after="0" w:line="240" w:lineRule="auto"/>
        <w:ind w:firstLine="709"/>
        <w:rPr>
          <w:rFonts w:ascii="Arial" w:eastAsia="Arial" w:hAnsi="Arial" w:cs="Arial"/>
          <w:color w:val="000000"/>
          <w:sz w:val="19"/>
          <w:szCs w:val="19"/>
        </w:rPr>
      </w:pPr>
      <w:r w:rsidRPr="00D51EB0">
        <w:rPr>
          <w:rFonts w:ascii="Arial" w:eastAsia="Arial" w:hAnsi="Arial" w:cs="Arial"/>
          <w:color w:val="000000"/>
          <w:sz w:val="19"/>
          <w:szCs w:val="19"/>
        </w:rPr>
        <w:t>» […]</w:t>
      </w:r>
    </w:p>
    <w:p w14:paraId="6FEA4CEF" w14:textId="77777777" w:rsidR="00253075" w:rsidRPr="00D51EB0" w:rsidRDefault="00253075">
      <w:pPr>
        <w:pBdr>
          <w:top w:val="nil"/>
          <w:left w:val="nil"/>
          <w:bottom w:val="nil"/>
          <w:right w:val="nil"/>
          <w:between w:val="nil"/>
        </w:pBdr>
        <w:spacing w:after="0" w:line="240" w:lineRule="auto"/>
        <w:ind w:firstLine="709"/>
        <w:rPr>
          <w:rFonts w:ascii="Arial" w:eastAsia="Arial" w:hAnsi="Arial" w:cs="Arial"/>
          <w:color w:val="000000"/>
          <w:sz w:val="19"/>
          <w:szCs w:val="19"/>
        </w:rPr>
      </w:pPr>
      <w:r w:rsidRPr="00D51EB0">
        <w:rPr>
          <w:rFonts w:ascii="Arial" w:eastAsia="Arial" w:hAnsi="Arial" w:cs="Arial"/>
          <w:color w:val="000000"/>
          <w:sz w:val="19"/>
          <w:szCs w:val="19"/>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0A9670B4" w14:textId="77777777" w:rsidR="00253075" w:rsidRPr="00D51EB0" w:rsidRDefault="00253075">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2">
    <w:p w14:paraId="286D3071" w14:textId="77777777" w:rsidR="00253075" w:rsidRPr="00D51EB0" w:rsidRDefault="00253075" w:rsidP="00253075">
      <w:pPr>
        <w:pBdr>
          <w:top w:val="nil"/>
          <w:left w:val="nil"/>
          <w:bottom w:val="nil"/>
          <w:right w:val="nil"/>
          <w:between w:val="nil"/>
        </w:pBdr>
        <w:spacing w:after="0" w:line="240" w:lineRule="auto"/>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Correspondiente al Proyecto de Ley 158/21 Cámara y 096/2021 Senado, cuyo texto definitivo fue aprobado en plenaria del Senado de la República el día 19 de octubre de 2021, según la Gaceta del Congreso de la República No. 1496. </w:t>
      </w:r>
    </w:p>
  </w:footnote>
  <w:footnote w:id="13">
    <w:p w14:paraId="7FE8397C" w14:textId="2021C548" w:rsidR="00253075" w:rsidRPr="00D51EB0" w:rsidRDefault="00253075" w:rsidP="00E367EF">
      <w:pPr>
        <w:pStyle w:val="Textonotapie"/>
        <w:rPr>
          <w:rFonts w:ascii="Arial" w:hAnsi="Arial" w:cs="Arial"/>
          <w:sz w:val="19"/>
          <w:szCs w:val="19"/>
        </w:rPr>
      </w:pPr>
      <w:r w:rsidRPr="00D51EB0">
        <w:rPr>
          <w:rStyle w:val="Refdenotaalpie"/>
          <w:rFonts w:ascii="Arial" w:hAnsi="Arial" w:cs="Arial"/>
          <w:sz w:val="19"/>
          <w:szCs w:val="19"/>
        </w:rPr>
        <w:footnoteRef/>
      </w:r>
      <w:r w:rsidRPr="00D51EB0">
        <w:rPr>
          <w:rFonts w:ascii="Arial" w:hAnsi="Arial" w:cs="Arial"/>
          <w:sz w:val="19"/>
          <w:szCs w:val="19"/>
        </w:rPr>
        <w:t xml:space="preserve"> </w:t>
      </w:r>
      <w:r w:rsidRPr="00D51EB0">
        <w:rPr>
          <w:rFonts w:ascii="Arial" w:hAnsi="Arial" w:cs="Arial"/>
          <w:color w:val="000000"/>
          <w:sz w:val="19"/>
          <w:szCs w:val="19"/>
        </w:rPr>
        <w:t xml:space="preserve">Relatoría de la Agencia Nacional de Contratación Pública – Colombia Compra Eficiente. </w:t>
      </w:r>
      <w:hyperlink r:id="rId2" w:history="1">
        <w:r w:rsidRPr="00D51EB0">
          <w:rPr>
            <w:rFonts w:ascii="Arial" w:hAnsi="Arial" w:cs="Arial"/>
            <w:color w:val="000000"/>
            <w:sz w:val="19"/>
            <w:szCs w:val="19"/>
          </w:rPr>
          <w:t>https://relatoria.colombiacompra.gov.co/busqueda/conceptos</w:t>
        </w:r>
      </w:hyperlink>
    </w:p>
  </w:footnote>
  <w:footnote w:id="14">
    <w:p w14:paraId="44EDF283" w14:textId="77777777" w:rsidR="00253075" w:rsidRPr="00D51EB0" w:rsidRDefault="00253075" w:rsidP="0057487F">
      <w:pPr>
        <w:pBdr>
          <w:top w:val="nil"/>
          <w:left w:val="nil"/>
          <w:bottom w:val="nil"/>
          <w:right w:val="nil"/>
          <w:between w:val="nil"/>
        </w:pBdr>
        <w:spacing w:after="0" w:line="240" w:lineRule="auto"/>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15">
    <w:p w14:paraId="6C25AE39" w14:textId="191ED0CE" w:rsidR="00253075" w:rsidRDefault="00253075" w:rsidP="0057487F">
      <w:pPr>
        <w:tabs>
          <w:tab w:val="left" w:pos="426"/>
        </w:tabs>
        <w:spacing w:after="120" w:line="240" w:lineRule="auto"/>
        <w:rPr>
          <w:rFonts w:ascii="Arial" w:eastAsia="Times New Roman" w:hAnsi="Arial" w:cs="Arial"/>
          <w:bCs/>
          <w:color w:val="000000" w:themeColor="text1"/>
          <w:sz w:val="22"/>
        </w:rPr>
      </w:pPr>
      <w:r w:rsidRPr="0057487F">
        <w:rPr>
          <w:rStyle w:val="Refdenotaalpie"/>
          <w:rFonts w:ascii="Arial" w:hAnsi="Arial" w:cs="Arial"/>
          <w:sz w:val="19"/>
          <w:szCs w:val="19"/>
        </w:rPr>
        <w:footnoteRef/>
      </w:r>
      <w:r>
        <w:t xml:space="preserve"> </w:t>
      </w:r>
      <w:r w:rsidR="00121C2F">
        <w:rPr>
          <w:rFonts w:ascii="Arial" w:hAnsi="Arial" w:cs="Arial"/>
          <w:bCs/>
          <w:sz w:val="19"/>
          <w:szCs w:val="19"/>
        </w:rPr>
        <w:t>De acuerdo con esto, pa</w:t>
      </w:r>
      <w:r w:rsidRPr="0057487F">
        <w:rPr>
          <w:rFonts w:ascii="Arial" w:hAnsi="Arial" w:cs="Arial"/>
          <w:bCs/>
          <w:sz w:val="19"/>
          <w:szCs w:val="19"/>
        </w:rPr>
        <w:t>ra la época electoral que se avecina l</w:t>
      </w:r>
      <w:r w:rsidRPr="0057487F">
        <w:rPr>
          <w:rFonts w:ascii="Arial" w:eastAsia="Times New Roman" w:hAnsi="Arial" w:cs="Arial"/>
          <w:bCs/>
          <w:color w:val="000000" w:themeColor="text1"/>
          <w:sz w:val="19"/>
          <w:szCs w:val="19"/>
        </w:rPr>
        <w:t xml:space="preserve">os gobernadores, alcaldes, secretarios, gerentes y directores de entidades de orden municipal, departamental o distrital, no podrán celebrar </w:t>
      </w:r>
      <w:r w:rsidRPr="0057487F">
        <w:rPr>
          <w:rFonts w:ascii="Arial" w:eastAsia="Times New Roman" w:hAnsi="Arial" w:cs="Arial"/>
          <w:bCs/>
          <w:i/>
          <w:color w:val="000000" w:themeColor="text1"/>
          <w:sz w:val="19"/>
          <w:szCs w:val="19"/>
        </w:rPr>
        <w:t>contratos o convenios interadministrativos</w:t>
      </w:r>
      <w:r w:rsidRPr="0057487F">
        <w:rPr>
          <w:rFonts w:ascii="Arial" w:eastAsia="Times New Roman" w:hAnsi="Arial" w:cs="Arial"/>
          <w:bCs/>
          <w:color w:val="000000" w:themeColor="text1"/>
          <w:sz w:val="19"/>
          <w:szCs w:val="19"/>
        </w:rPr>
        <w:t xml:space="preserve"> en los que se ejecuten recursos públicos, cualquiera que sea la modalidad de selección que se adopte, </w:t>
      </w:r>
      <w:r w:rsidRPr="0057487F">
        <w:rPr>
          <w:rFonts w:ascii="Arial" w:eastAsia="Times New Roman" w:hAnsi="Arial" w:cs="Arial"/>
          <w:bCs/>
          <w:color w:val="FF0000"/>
          <w:sz w:val="19"/>
          <w:szCs w:val="19"/>
        </w:rPr>
        <w:t xml:space="preserve"> </w:t>
      </w:r>
      <w:r w:rsidRPr="0057487F">
        <w:rPr>
          <w:rFonts w:ascii="Arial" w:eastAsia="Times New Roman" w:hAnsi="Arial" w:cs="Arial"/>
          <w:bCs/>
          <w:color w:val="000000" w:themeColor="text1"/>
          <w:sz w:val="19"/>
          <w:szCs w:val="19"/>
        </w:rPr>
        <w:t>en el periodo  comprendido entre el 13 de noviembre de 2021  y el 29 de mayo de 2022 o hasta la realización de la segunda vuelta electoral si fuere el caso, toda vez que la restricción del artículo 38 de Ley 996 de 2005, para estos sujetos específicos, comprende los dos comicios que se  desarrollarán durante este año, es decir, el de la elección del Congreso de la República, cuyo periodo de restricción comprende del 13 de noviembre de 2021 al 13 de marzo de 2022; y el de la elección del Presidente y Vicepresidente de la República, cuyo periodo de restricción comprende del 29 de enero de 2022 hasta el 29 de mayo de 2022 o hasta la realización de la segunda vuelta electoral, si fuere el caso.</w:t>
      </w:r>
      <w:r w:rsidRPr="00ED398C">
        <w:rPr>
          <w:rFonts w:ascii="Arial" w:eastAsia="Times New Roman" w:hAnsi="Arial" w:cs="Arial"/>
          <w:bCs/>
          <w:color w:val="000000" w:themeColor="text1"/>
          <w:sz w:val="22"/>
        </w:rPr>
        <w:t xml:space="preserve">  </w:t>
      </w:r>
    </w:p>
    <w:p w14:paraId="7979EFBA" w14:textId="56F667B1" w:rsidR="00253075" w:rsidRPr="00825AAA" w:rsidRDefault="00253075" w:rsidP="00121C2F">
      <w:pPr>
        <w:tabs>
          <w:tab w:val="left" w:pos="426"/>
        </w:tabs>
        <w:spacing w:after="120" w:line="240" w:lineRule="auto"/>
      </w:pPr>
      <w:r w:rsidRPr="00825AAA">
        <w:rPr>
          <w:rFonts w:ascii="Arial" w:eastAsia="Times New Roman" w:hAnsi="Arial" w:cs="Arial"/>
          <w:bCs/>
          <w:color w:val="000000" w:themeColor="text1"/>
          <w:sz w:val="19"/>
          <w:szCs w:val="19"/>
        </w:rPr>
        <w:t xml:space="preserve">Cabe precisar que dicha restricción no aplica si se trata de convenios o contratos interadministrativos celebrados con entidades del orden nacional de conformidad con los requisitos del artículo 124 de la Ley 2159 de 2021, con la aclaración de que, si se adelantan dentro del lapso del 29 de enero al 29 de mayo de 2022, o hasta la realización de la segunda vuelta electoral, deben llevarse </w:t>
      </w:r>
      <w:r w:rsidRPr="00825AAA">
        <w:rPr>
          <w:rFonts w:ascii="Arial" w:eastAsia="Arial" w:hAnsi="Arial" w:cs="Arial"/>
          <w:sz w:val="19"/>
          <w:szCs w:val="19"/>
        </w:rPr>
        <w:t>a cabo a través de modalidades de selección que impliquen convocatoria pública.</w:t>
      </w:r>
      <w:r w:rsidRPr="00825AAA">
        <w:rPr>
          <w:rFonts w:ascii="Arial" w:eastAsia="Times New Roman" w:hAnsi="Arial" w:cs="Arial"/>
          <w:bCs/>
          <w:color w:val="000000" w:themeColor="text1"/>
          <w:sz w:val="19"/>
          <w:szCs w:val="19"/>
        </w:rPr>
        <w:t xml:space="preserve">  </w:t>
      </w:r>
    </w:p>
  </w:footnote>
  <w:footnote w:id="16">
    <w:p w14:paraId="6F29E733" w14:textId="77777777" w:rsidR="00253075" w:rsidRPr="00D51EB0" w:rsidRDefault="00253075" w:rsidP="00121C2F">
      <w:pPr>
        <w:pBdr>
          <w:top w:val="nil"/>
          <w:left w:val="nil"/>
          <w:bottom w:val="nil"/>
          <w:right w:val="nil"/>
          <w:between w:val="nil"/>
        </w:pBdr>
        <w:spacing w:after="0" w:line="240" w:lineRule="auto"/>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Consejo de Estado. Sala de Consulta y Servicio Civil. Concepto de 20 de febrero de2006. Radicación 11001-03-06-000-2006-00023-00(1724). Consejero Ponente: Flavio Augusto Rodríguez Arce.</w:t>
      </w:r>
    </w:p>
    <w:p w14:paraId="359781B8" w14:textId="77777777" w:rsidR="00253075" w:rsidRPr="00D51EB0" w:rsidRDefault="00253075" w:rsidP="00854F69">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7">
    <w:p w14:paraId="67E17AE9" w14:textId="77777777" w:rsidR="00253075" w:rsidRPr="00390B9F" w:rsidRDefault="00253075" w:rsidP="00121C2F">
      <w:pPr>
        <w:pStyle w:val="Textonotapie"/>
        <w:jc w:val="both"/>
        <w:rPr>
          <w:rFonts w:ascii="Arial" w:hAnsi="Arial" w:cs="Arial"/>
          <w:sz w:val="19"/>
          <w:szCs w:val="19"/>
        </w:rPr>
      </w:pPr>
      <w:r w:rsidRPr="00390B9F">
        <w:rPr>
          <w:rStyle w:val="Refdenotaalpie"/>
          <w:rFonts w:ascii="Arial" w:hAnsi="Arial" w:cs="Arial"/>
          <w:sz w:val="19"/>
          <w:szCs w:val="19"/>
        </w:rPr>
        <w:footnoteRef/>
      </w:r>
      <w:r w:rsidRPr="00390B9F">
        <w:rPr>
          <w:rFonts w:ascii="Arial" w:hAnsi="Arial" w:cs="Arial"/>
          <w:sz w:val="19"/>
          <w:szCs w:val="19"/>
        </w:rPr>
        <w:t xml:space="preserve"> «</w:t>
      </w:r>
      <w:r w:rsidRPr="00913B94">
        <w:rPr>
          <w:rFonts w:ascii="Arial" w:hAnsi="Arial" w:cs="Arial"/>
          <w:sz w:val="19"/>
          <w:szCs w:val="19"/>
        </w:rPr>
        <w:t>Queda exceptuado lo referente a la defensa y seguridad del Estado, los contratos de crédito público, los requeridos para cubrir las emergencias educativas,</w:t>
      </w:r>
      <w:r w:rsidRPr="00390B9F">
        <w:rPr>
          <w:rFonts w:ascii="Arial" w:hAnsi="Arial" w:cs="Arial"/>
          <w:sz w:val="19"/>
          <w:szCs w:val="19"/>
        </w:rPr>
        <w:t xml:space="preserve">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18">
    <w:p w14:paraId="6004D6E6" w14:textId="77777777" w:rsidR="00253075" w:rsidRPr="00D51EB0" w:rsidRDefault="00253075" w:rsidP="00121C2F">
      <w:pPr>
        <w:spacing w:after="0" w:line="240" w:lineRule="auto"/>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B52580" w14:textId="3D0DA0E5" w:rsidR="00253075" w:rsidRPr="00D51EB0" w:rsidRDefault="00253075" w:rsidP="00121C2F">
      <w:pPr>
        <w:spacing w:after="0" w:line="240" w:lineRule="auto"/>
        <w:rPr>
          <w:rFonts w:ascii="Arial" w:eastAsia="Arial" w:hAnsi="Arial" w:cs="Arial"/>
          <w:color w:val="000000"/>
          <w:sz w:val="19"/>
          <w:szCs w:val="19"/>
        </w:rPr>
      </w:pPr>
      <w:r w:rsidRPr="00D51EB0">
        <w:rPr>
          <w:rFonts w:ascii="Arial" w:eastAsia="Arial" w:hAnsi="Arial" w:cs="Arial"/>
          <w:color w:val="000000"/>
          <w:sz w:val="19"/>
          <w:szCs w:val="19"/>
        </w:rPr>
        <w:t>»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19">
    <w:p w14:paraId="246C6137" w14:textId="77777777" w:rsidR="00253075" w:rsidRPr="00D51EB0" w:rsidRDefault="00253075">
      <w:pPr>
        <w:spacing w:after="0" w:line="240" w:lineRule="auto"/>
        <w:ind w:firstLine="709"/>
        <w:rPr>
          <w:rFonts w:ascii="Arial" w:eastAsia="Arial" w:hAnsi="Arial" w:cs="Arial"/>
          <w:color w:val="000000"/>
          <w:sz w:val="19"/>
          <w:szCs w:val="19"/>
        </w:rPr>
      </w:pPr>
      <w:r w:rsidRPr="00D51EB0">
        <w:rPr>
          <w:rFonts w:ascii="Arial" w:hAnsi="Arial" w:cs="Arial"/>
          <w:sz w:val="19"/>
          <w:szCs w:val="19"/>
          <w:vertAlign w:val="superscript"/>
        </w:rPr>
        <w:footnoteRef/>
      </w:r>
      <w:r w:rsidRPr="00D51EB0">
        <w:rPr>
          <w:rFonts w:ascii="Arial" w:eastAsia="Arial" w:hAnsi="Arial" w:cs="Arial"/>
          <w:color w:val="000000"/>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CDA39EB" w14:textId="77777777" w:rsidR="00253075" w:rsidRDefault="00253075">
      <w:pPr>
        <w:spacing w:after="0" w:line="240" w:lineRule="auto"/>
        <w:ind w:firstLine="709"/>
        <w:rPr>
          <w:rFonts w:ascii="Arial" w:eastAsia="Arial" w:hAnsi="Arial" w:cs="Arial"/>
          <w:color w:val="000000"/>
          <w:sz w:val="19"/>
          <w:szCs w:val="19"/>
        </w:rPr>
      </w:pPr>
    </w:p>
  </w:footnote>
  <w:footnote w:id="20">
    <w:p w14:paraId="4E72D722" w14:textId="77DC9A63" w:rsidR="00253075" w:rsidRPr="00121C2F" w:rsidRDefault="00253075" w:rsidP="00121C2F">
      <w:pPr>
        <w:pStyle w:val="Textonotapie"/>
        <w:jc w:val="both"/>
        <w:rPr>
          <w:sz w:val="19"/>
          <w:szCs w:val="19"/>
          <w:lang w:val="es-ES"/>
        </w:rPr>
      </w:pPr>
      <w:r>
        <w:rPr>
          <w:rStyle w:val="Refdenotaalpie"/>
        </w:rPr>
        <w:footnoteRef/>
      </w:r>
      <w:r>
        <w:t xml:space="preserve"> </w:t>
      </w:r>
      <w:r w:rsidRPr="00121C2F">
        <w:rPr>
          <w:rFonts w:ascii="Arial" w:eastAsia="Arial" w:hAnsi="Arial" w:cs="Arial"/>
          <w:color w:val="000000"/>
          <w:sz w:val="19"/>
          <w:szCs w:val="19"/>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w:t>
      </w:r>
    </w:p>
  </w:footnote>
  <w:footnote w:id="21">
    <w:p w14:paraId="44FE5F92" w14:textId="4588CC4E" w:rsidR="00253075" w:rsidRDefault="00253075">
      <w:pPr>
        <w:pStyle w:val="Textonotapie"/>
        <w:rPr>
          <w:rFonts w:ascii="Arial" w:hAnsi="Arial" w:cs="Arial"/>
          <w:sz w:val="19"/>
          <w:szCs w:val="19"/>
        </w:rPr>
      </w:pPr>
      <w:r w:rsidRPr="00121C2F">
        <w:rPr>
          <w:rStyle w:val="Refdenotaalpie"/>
          <w:rFonts w:ascii="Arial" w:hAnsi="Arial" w:cs="Arial"/>
          <w:sz w:val="19"/>
          <w:szCs w:val="19"/>
        </w:rPr>
        <w:footnoteRef/>
      </w:r>
      <w:r w:rsidRPr="00121C2F">
        <w:rPr>
          <w:rFonts w:ascii="Arial" w:hAnsi="Arial" w:cs="Arial"/>
          <w:sz w:val="19"/>
          <w:szCs w:val="19"/>
        </w:rPr>
        <w:t xml:space="preserve"> Licitación pública, selección abreviada, concurso de méritos y mínima cuantía.</w:t>
      </w:r>
    </w:p>
    <w:p w14:paraId="2C12B59D" w14:textId="77777777" w:rsidR="00121C2F" w:rsidRPr="00121C2F" w:rsidRDefault="00121C2F">
      <w:pPr>
        <w:pStyle w:val="Textonotapie"/>
        <w:rPr>
          <w:rFonts w:ascii="Arial" w:hAnsi="Arial" w:cs="Arial"/>
          <w:sz w:val="19"/>
          <w:szCs w:val="19"/>
        </w:rPr>
      </w:pPr>
    </w:p>
  </w:footnote>
  <w:footnote w:id="22">
    <w:p w14:paraId="00407A5F" w14:textId="639265F5" w:rsidR="00253075" w:rsidRDefault="00253075" w:rsidP="00C2522E">
      <w:pPr>
        <w:pBdr>
          <w:top w:val="nil"/>
          <w:left w:val="nil"/>
          <w:bottom w:val="nil"/>
          <w:right w:val="nil"/>
          <w:between w:val="nil"/>
        </w:pBdr>
        <w:spacing w:after="0" w:line="240" w:lineRule="auto"/>
        <w:jc w:val="left"/>
        <w:rPr>
          <w:rFonts w:ascii="Arial" w:hAnsi="Arial" w:cs="Arial"/>
          <w:sz w:val="19"/>
          <w:szCs w:val="19"/>
        </w:rPr>
      </w:pPr>
      <w:r w:rsidRPr="00891002">
        <w:rPr>
          <w:rFonts w:ascii="Arial" w:hAnsi="Arial" w:cs="Arial"/>
          <w:sz w:val="19"/>
          <w:szCs w:val="19"/>
          <w:vertAlign w:val="superscript"/>
        </w:rPr>
        <w:footnoteRef/>
      </w:r>
      <w:r w:rsidRPr="00891002">
        <w:rPr>
          <w:rFonts w:ascii="Arial" w:hAnsi="Arial" w:cs="Arial"/>
          <w:sz w:val="19"/>
          <w:szCs w:val="19"/>
        </w:rPr>
        <w:t xml:space="preserve"> Código Civil</w:t>
      </w:r>
      <w:r w:rsidRPr="00891002">
        <w:rPr>
          <w:rFonts w:ascii="Arial" w:eastAsia="Arial" w:hAnsi="Arial" w:cs="Arial"/>
          <w:sz w:val="19"/>
          <w:szCs w:val="19"/>
        </w:rPr>
        <w:t>:</w:t>
      </w:r>
      <w:r w:rsidRPr="00891002">
        <w:rPr>
          <w:rFonts w:ascii="Arial" w:hAnsi="Arial" w:cs="Arial"/>
          <w:sz w:val="19"/>
          <w:szCs w:val="19"/>
        </w:rPr>
        <w:t xml:space="preserve"> </w:t>
      </w:r>
      <w:r w:rsidRPr="00891002">
        <w:rPr>
          <w:rFonts w:ascii="Arial" w:eastAsia="Arial" w:hAnsi="Arial" w:cs="Arial"/>
          <w:sz w:val="19"/>
          <w:szCs w:val="19"/>
        </w:rPr>
        <w:t>«</w:t>
      </w:r>
      <w:r w:rsidRPr="00891002">
        <w:rPr>
          <w:rFonts w:ascii="Arial" w:hAnsi="Arial" w:cs="Arial"/>
          <w:sz w:val="19"/>
          <w:szCs w:val="19"/>
        </w:rPr>
        <w:t>Artículo 1443, La donación entre vivos es un acto por el cual una persona transfiere, gratuita e irrevocablemente, una parte de sus bienes a otra persona que la acepta</w:t>
      </w:r>
      <w:r w:rsidRPr="00891002">
        <w:rPr>
          <w:rFonts w:ascii="Arial" w:eastAsia="Arial" w:hAnsi="Arial" w:cs="Arial"/>
          <w:sz w:val="19"/>
          <w:szCs w:val="19"/>
        </w:rPr>
        <w:t>»</w:t>
      </w:r>
      <w:r w:rsidRPr="00891002">
        <w:rPr>
          <w:rFonts w:ascii="Arial" w:hAnsi="Arial" w:cs="Arial"/>
          <w:sz w:val="19"/>
          <w:szCs w:val="19"/>
        </w:rPr>
        <w:t>.</w:t>
      </w:r>
    </w:p>
    <w:p w14:paraId="025E5B66" w14:textId="77777777" w:rsidR="00253075" w:rsidRPr="00891002" w:rsidRDefault="00253075" w:rsidP="00C2522E">
      <w:pPr>
        <w:pBdr>
          <w:top w:val="nil"/>
          <w:left w:val="nil"/>
          <w:bottom w:val="nil"/>
          <w:right w:val="nil"/>
          <w:between w:val="nil"/>
        </w:pBdr>
        <w:spacing w:after="0" w:line="240" w:lineRule="auto"/>
        <w:jc w:val="left"/>
        <w:rPr>
          <w:rFonts w:ascii="Arial" w:hAnsi="Arial" w:cs="Arial"/>
          <w:sz w:val="19"/>
          <w:szCs w:val="19"/>
        </w:rPr>
      </w:pPr>
    </w:p>
  </w:footnote>
  <w:footnote w:id="23">
    <w:p w14:paraId="4788E8AD" w14:textId="6101085E" w:rsidR="00253075" w:rsidRPr="00891002" w:rsidRDefault="00253075" w:rsidP="00D51EB0">
      <w:pPr>
        <w:pBdr>
          <w:top w:val="nil"/>
          <w:left w:val="nil"/>
          <w:bottom w:val="nil"/>
          <w:right w:val="nil"/>
          <w:between w:val="nil"/>
        </w:pBdr>
        <w:spacing w:after="0" w:line="240" w:lineRule="auto"/>
        <w:ind w:firstLine="707"/>
        <w:rPr>
          <w:rFonts w:ascii="Arial" w:eastAsia="Arial" w:hAnsi="Arial" w:cs="Arial"/>
          <w:sz w:val="19"/>
          <w:szCs w:val="19"/>
        </w:rPr>
      </w:pPr>
      <w:r w:rsidRPr="00891002">
        <w:rPr>
          <w:rFonts w:ascii="Arial" w:hAnsi="Arial" w:cs="Arial"/>
          <w:sz w:val="19"/>
          <w:szCs w:val="19"/>
          <w:vertAlign w:val="superscript"/>
        </w:rPr>
        <w:footnoteRef/>
      </w:r>
      <w:r w:rsidRPr="00891002">
        <w:rPr>
          <w:rFonts w:ascii="Arial" w:hAnsi="Arial" w:cs="Arial"/>
          <w:sz w:val="19"/>
          <w:szCs w:val="19"/>
        </w:rPr>
        <w:t xml:space="preserve"> Consejo de Estado</w:t>
      </w:r>
      <w:r w:rsidRPr="00891002">
        <w:rPr>
          <w:rFonts w:ascii="Arial" w:eastAsia="Arial" w:hAnsi="Arial" w:cs="Arial"/>
          <w:sz w:val="19"/>
          <w:szCs w:val="19"/>
        </w:rPr>
        <w:t>.</w:t>
      </w:r>
      <w:r w:rsidRPr="00891002">
        <w:rPr>
          <w:rFonts w:ascii="Arial" w:hAnsi="Arial" w:cs="Arial"/>
          <w:sz w:val="19"/>
          <w:szCs w:val="19"/>
        </w:rPr>
        <w:t xml:space="preserve"> Sección Tercera</w:t>
      </w:r>
      <w:r w:rsidRPr="00891002">
        <w:rPr>
          <w:rFonts w:ascii="Arial" w:eastAsia="Arial" w:hAnsi="Arial" w:cs="Arial"/>
          <w:sz w:val="19"/>
          <w:szCs w:val="19"/>
        </w:rPr>
        <w:t>.</w:t>
      </w:r>
      <w:r w:rsidRPr="00891002">
        <w:rPr>
          <w:rFonts w:ascii="Arial" w:hAnsi="Arial" w:cs="Arial"/>
          <w:sz w:val="19"/>
          <w:szCs w:val="19"/>
        </w:rPr>
        <w:t xml:space="preserve"> Subsección A</w:t>
      </w:r>
      <w:r w:rsidRPr="00891002">
        <w:rPr>
          <w:rFonts w:ascii="Arial" w:eastAsia="Arial" w:hAnsi="Arial" w:cs="Arial"/>
          <w:sz w:val="19"/>
          <w:szCs w:val="19"/>
        </w:rPr>
        <w:t>.</w:t>
      </w:r>
      <w:r w:rsidRPr="00891002">
        <w:rPr>
          <w:rFonts w:ascii="Arial" w:hAnsi="Arial" w:cs="Arial"/>
          <w:sz w:val="19"/>
          <w:szCs w:val="19"/>
        </w:rPr>
        <w:t xml:space="preserve"> </w:t>
      </w:r>
      <w:r w:rsidRPr="00891002">
        <w:rPr>
          <w:rFonts w:ascii="Arial" w:eastAsia="Arial" w:hAnsi="Arial" w:cs="Arial"/>
          <w:sz w:val="19"/>
          <w:szCs w:val="19"/>
        </w:rPr>
        <w:t>S</w:t>
      </w:r>
      <w:r w:rsidRPr="00891002">
        <w:rPr>
          <w:rFonts w:ascii="Arial" w:hAnsi="Arial" w:cs="Arial"/>
          <w:sz w:val="19"/>
          <w:szCs w:val="19"/>
        </w:rPr>
        <w:t>entencia del 25 de mayo de 2016</w:t>
      </w:r>
      <w:r w:rsidRPr="00891002">
        <w:rPr>
          <w:rFonts w:ascii="Arial" w:eastAsia="Arial" w:hAnsi="Arial" w:cs="Arial"/>
          <w:sz w:val="19"/>
          <w:szCs w:val="19"/>
        </w:rPr>
        <w:t>.</w:t>
      </w:r>
      <w:r w:rsidRPr="00891002">
        <w:rPr>
          <w:rFonts w:ascii="Arial" w:hAnsi="Arial" w:cs="Arial"/>
          <w:sz w:val="19"/>
          <w:szCs w:val="19"/>
        </w:rPr>
        <w:t xml:space="preserve"> radicado: 52001-23-31-000- 2011-00297-01(AP)</w:t>
      </w:r>
      <w:r w:rsidRPr="00891002">
        <w:rPr>
          <w:rFonts w:ascii="Arial" w:eastAsia="Arial" w:hAnsi="Arial" w:cs="Arial"/>
          <w:sz w:val="19"/>
          <w:szCs w:val="19"/>
        </w:rPr>
        <w:t>. C.P. Hernán Andrade Rincón</w:t>
      </w:r>
      <w:r w:rsidRPr="00891002">
        <w:rPr>
          <w:rFonts w:ascii="Arial" w:hAnsi="Arial" w:cs="Arial"/>
          <w:sz w:val="19"/>
          <w:szCs w:val="19"/>
        </w:rPr>
        <w:t xml:space="preserve">: </w:t>
      </w:r>
      <w:r w:rsidRPr="00891002">
        <w:rPr>
          <w:rFonts w:ascii="Arial" w:eastAsia="Arial" w:hAnsi="Arial" w:cs="Arial"/>
          <w:sz w:val="19"/>
          <w:szCs w:val="19"/>
        </w:rPr>
        <w:t>«</w:t>
      </w:r>
      <w:r w:rsidRPr="00891002">
        <w:rPr>
          <w:rFonts w:ascii="Arial" w:hAnsi="Arial" w:cs="Arial"/>
          <w:sz w:val="19"/>
          <w:szCs w:val="19"/>
        </w:rPr>
        <w:t>Al momento de su conceptualización la donación corrió igual fortuna, pues el artículo 1443 del Código Civil la define como el acto por el cual una persona transfiere, gratuita e irrevocablemente, una parte de sus bienes a otra que la acepta, lo que resulta de suyo impreciso, en tanto se está ante un verdadero contrato y no un mero acto, pues a él no solo concurre la voluntad dispositiva de aquel que pretende desprenderse de parte de su patrimonio, sino que requiere, para su perfeccionamiento, la aceptación de quien recibirá el beneficio económico: donante y donatario han de participar en la formación del acto mediante el concurso de sus voluntades en torno de la prestación que constituye el objeto de la relación negocial. El contrato de donación, en últimas, constituirá el título traslaticio del dominio, tal como lo previene el artículo 745 del Código Civil</w:t>
      </w:r>
      <w:r w:rsidRPr="00891002">
        <w:rPr>
          <w:rFonts w:ascii="Arial" w:eastAsia="Arial" w:hAnsi="Arial" w:cs="Arial"/>
          <w:sz w:val="19"/>
          <w:szCs w:val="19"/>
        </w:rPr>
        <w:t>»</w:t>
      </w:r>
      <w:r w:rsidRPr="00891002">
        <w:rPr>
          <w:rFonts w:ascii="Arial" w:hAnsi="Arial" w:cs="Arial"/>
          <w:sz w:val="19"/>
          <w:szCs w:val="19"/>
        </w:rPr>
        <w:t>.</w:t>
      </w:r>
    </w:p>
    <w:p w14:paraId="6A531474" w14:textId="77777777" w:rsidR="00253075" w:rsidRPr="00891002" w:rsidRDefault="00253075" w:rsidP="00D51EB0">
      <w:pPr>
        <w:pBdr>
          <w:top w:val="nil"/>
          <w:left w:val="nil"/>
          <w:bottom w:val="nil"/>
          <w:right w:val="nil"/>
          <w:between w:val="nil"/>
        </w:pBdr>
        <w:spacing w:after="0" w:line="240" w:lineRule="auto"/>
        <w:rPr>
          <w:rFonts w:ascii="Arial" w:hAnsi="Arial" w:cs="Arial"/>
          <w:sz w:val="19"/>
          <w:szCs w:val="19"/>
        </w:rPr>
      </w:pPr>
    </w:p>
  </w:footnote>
  <w:footnote w:id="24">
    <w:p w14:paraId="24E0BE6B" w14:textId="738A2CEF" w:rsidR="00253075" w:rsidRPr="00891002" w:rsidRDefault="00253075" w:rsidP="00D51EB0">
      <w:pPr>
        <w:pBdr>
          <w:top w:val="nil"/>
          <w:left w:val="nil"/>
          <w:bottom w:val="nil"/>
          <w:right w:val="nil"/>
          <w:between w:val="nil"/>
        </w:pBdr>
        <w:spacing w:after="0" w:line="240" w:lineRule="auto"/>
        <w:ind w:firstLine="707"/>
        <w:rPr>
          <w:rFonts w:ascii="Arial" w:hAnsi="Arial" w:cs="Arial"/>
          <w:sz w:val="19"/>
          <w:szCs w:val="19"/>
        </w:rPr>
      </w:pPr>
      <w:r w:rsidRPr="00891002">
        <w:rPr>
          <w:rFonts w:ascii="Arial" w:hAnsi="Arial" w:cs="Arial"/>
          <w:sz w:val="19"/>
          <w:szCs w:val="19"/>
          <w:vertAlign w:val="superscript"/>
        </w:rPr>
        <w:footnoteRef/>
      </w:r>
      <w:r w:rsidRPr="00891002">
        <w:rPr>
          <w:rFonts w:ascii="Arial" w:hAnsi="Arial" w:cs="Arial"/>
          <w:sz w:val="19"/>
          <w:szCs w:val="19"/>
        </w:rPr>
        <w:t xml:space="preserve"> Para mayor claridad se remite al peticionario a los conceptos indicados,</w:t>
      </w:r>
      <w:r w:rsidR="005B0DA4">
        <w:rPr>
          <w:rFonts w:ascii="Arial" w:hAnsi="Arial" w:cs="Arial"/>
          <w:sz w:val="19"/>
          <w:szCs w:val="19"/>
        </w:rPr>
        <w:t xml:space="preserve"> los cuales se pueden descargar en la Relatoría de </w:t>
      </w:r>
      <w:r w:rsidRPr="00891002">
        <w:rPr>
          <w:rFonts w:ascii="Arial" w:hAnsi="Arial" w:cs="Arial"/>
          <w:sz w:val="19"/>
          <w:szCs w:val="19"/>
        </w:rPr>
        <w:t>concepto</w:t>
      </w:r>
      <w:r w:rsidR="005B0DA4">
        <w:rPr>
          <w:rFonts w:ascii="Arial" w:hAnsi="Arial" w:cs="Arial"/>
          <w:sz w:val="19"/>
          <w:szCs w:val="19"/>
        </w:rPr>
        <w:t>s</w:t>
      </w:r>
      <w:r w:rsidRPr="00891002">
        <w:rPr>
          <w:rFonts w:ascii="Arial" w:hAnsi="Arial" w:cs="Arial"/>
          <w:sz w:val="19"/>
          <w:szCs w:val="19"/>
        </w:rPr>
        <w:t xml:space="preserve"> de la Agencia Nacional de Contratación Pública – Colombia Compra Eficiente, disponibles en el siguiente enlace: </w:t>
      </w:r>
      <w:hyperlink r:id="rId3" w:history="1">
        <w:r w:rsidRPr="00891002">
          <w:rPr>
            <w:rFonts w:ascii="Arial" w:hAnsi="Arial" w:cs="Arial"/>
            <w:sz w:val="19"/>
            <w:szCs w:val="19"/>
          </w:rPr>
          <w:t>https://relatoria.colombiacompra.gov.co/busqueda/conceptos</w:t>
        </w:r>
      </w:hyperlink>
      <w:r w:rsidRPr="00891002">
        <w:rPr>
          <w:rFonts w:ascii="Arial" w:hAnsi="Arial" w:cs="Arial"/>
          <w:sz w:val="19"/>
          <w:szCs w:val="19"/>
        </w:rPr>
        <w:t xml:space="preserve"> </w:t>
      </w:r>
    </w:p>
    <w:p w14:paraId="5CF5DA9F" w14:textId="77777777" w:rsidR="00253075" w:rsidRPr="00891002" w:rsidRDefault="00253075" w:rsidP="00D51EB0">
      <w:pPr>
        <w:pBdr>
          <w:top w:val="nil"/>
          <w:left w:val="nil"/>
          <w:bottom w:val="nil"/>
          <w:right w:val="nil"/>
          <w:between w:val="nil"/>
        </w:pBdr>
        <w:spacing w:after="0" w:line="240" w:lineRule="auto"/>
        <w:rPr>
          <w:rFonts w:ascii="Arial" w:hAnsi="Arial" w:cs="Arial"/>
          <w:sz w:val="19"/>
          <w:szCs w:val="19"/>
        </w:rPr>
      </w:pPr>
    </w:p>
  </w:footnote>
  <w:footnote w:id="25">
    <w:p w14:paraId="796DEFD9" w14:textId="77777777" w:rsidR="005B0DA4" w:rsidRPr="00D51EB0" w:rsidRDefault="005B0DA4" w:rsidP="005B0DA4">
      <w:pPr>
        <w:pBdr>
          <w:top w:val="nil"/>
          <w:left w:val="nil"/>
          <w:bottom w:val="nil"/>
          <w:right w:val="nil"/>
          <w:between w:val="nil"/>
        </w:pBdr>
        <w:spacing w:before="7" w:after="120" w:line="240" w:lineRule="auto"/>
        <w:rPr>
          <w:rFonts w:ascii="Arial" w:eastAsia="Cambria" w:hAnsi="Arial" w:cs="Arial"/>
          <w:sz w:val="19"/>
          <w:szCs w:val="19"/>
        </w:rPr>
      </w:pPr>
      <w:r w:rsidRPr="00D51EB0">
        <w:rPr>
          <w:rFonts w:ascii="Arial" w:hAnsi="Arial" w:cs="Arial"/>
          <w:sz w:val="19"/>
          <w:szCs w:val="19"/>
          <w:vertAlign w:val="superscript"/>
        </w:rPr>
        <w:footnoteRef/>
      </w:r>
      <w:r w:rsidRPr="00D51EB0">
        <w:rPr>
          <w:rFonts w:ascii="Arial" w:eastAsia="Cambria" w:hAnsi="Arial" w:cs="Arial"/>
          <w:sz w:val="19"/>
          <w:szCs w:val="19"/>
        </w:rPr>
        <w:t xml:space="preserve"> Corte Constitucional. Sala Plena. Magistrado Ponente: Mauricio González Cuervo. Sentencia C-435 de 10 de julio de 2010.</w:t>
      </w:r>
      <w:r w:rsidRPr="00D51EB0">
        <w:rPr>
          <w:rFonts w:ascii="Arial" w:eastAsia="Arial" w:hAnsi="Arial" w:cs="Arial"/>
          <w:sz w:val="19"/>
          <w:szCs w:val="19"/>
        </w:rPr>
        <w:t xml:space="preserve"> </w:t>
      </w:r>
      <w:r w:rsidRPr="00D51EB0">
        <w:rPr>
          <w:rFonts w:ascii="Arial" w:eastAsia="Cambria" w:hAnsi="Arial" w:cs="Arial"/>
          <w:sz w:val="19"/>
          <w:szCs w:val="19"/>
        </w:rPr>
        <w:t>Dichos conceptos son aquellos en los que el sentido para la aplicación de la norma, no se encuentra determinado con exactitud en la ley.</w:t>
      </w:r>
      <w:r w:rsidRPr="00D51EB0">
        <w:rPr>
          <w:rFonts w:ascii="Arial" w:eastAsia="Arial" w:hAnsi="Arial" w:cs="Arial"/>
          <w:sz w:val="19"/>
          <w:szCs w:val="19"/>
        </w:rPr>
        <w:t xml:space="preserve"> </w:t>
      </w:r>
    </w:p>
    <w:p w14:paraId="0E893E0D" w14:textId="4A012F44" w:rsidR="005B0DA4" w:rsidRPr="00D51EB0" w:rsidRDefault="005B0DA4" w:rsidP="005B0DA4">
      <w:pPr>
        <w:spacing w:line="240" w:lineRule="auto"/>
        <w:ind w:right="308"/>
        <w:rPr>
          <w:rFonts w:ascii="Arial" w:hAnsi="Arial" w:cs="Arial"/>
          <w:sz w:val="19"/>
          <w:szCs w:val="19"/>
        </w:rPr>
      </w:pPr>
      <w:r w:rsidRPr="00D51EB0">
        <w:rPr>
          <w:rFonts w:ascii="Arial" w:hAnsi="Arial" w:cs="Arial"/>
          <w:sz w:val="19"/>
          <w:szCs w:val="19"/>
        </w:rPr>
        <w:t>Consejo de Estado. Sala de lo Contencioso Administrativo. Sección Segunda. Subsección A. Consejero Ponente: William Hernández Gómez. Bogotá, D.C., 10 de mayo de 2018. Radicación número: 11001-03-25- 000-2011-00502-00(1.938-11).</w:t>
      </w:r>
      <w:r w:rsidRPr="00D51EB0">
        <w:rPr>
          <w:rFonts w:ascii="Arial" w:eastAsia="Arial" w:hAnsi="Arial" w:cs="Arial"/>
          <w:sz w:val="19"/>
          <w:szCs w:val="19"/>
        </w:rPr>
        <w:t xml:space="preserve"> «[…] </w:t>
      </w:r>
      <w:r w:rsidRPr="00D51EB0">
        <w:rPr>
          <w:rFonts w:ascii="Arial" w:hAnsi="Arial" w:cs="Arial"/>
          <w:sz w:val="19"/>
          <w:szCs w:val="19"/>
        </w:rPr>
        <w:t>Conviene aclarar que los conceptos jurídicos indeterminados, entendidos como aquellos conceptos de valor o de experiencia utilizados por el legislador, que limitan o restringen el alcance de los derechos y de las obligaciones que asumen los particulares o las autoridades públicas</w:t>
      </w:r>
      <w:r w:rsidRPr="00D51EB0">
        <w:rPr>
          <w:rFonts w:ascii="Arial" w:eastAsia="Arial" w:hAnsi="Arial" w:cs="Arial"/>
          <w:sz w:val="19"/>
          <w:szCs w:val="19"/>
        </w:rPr>
        <w:t>»</w:t>
      </w:r>
      <w:r w:rsidRPr="00D51EB0">
        <w:rPr>
          <w:rFonts w:ascii="Arial" w:hAnsi="Arial" w:cs="Arial"/>
          <w:sz w:val="19"/>
          <w:szCs w:val="19"/>
        </w:rPr>
        <w:t>.</w:t>
      </w:r>
    </w:p>
  </w:footnote>
  <w:footnote w:id="26">
    <w:p w14:paraId="65F5947C" w14:textId="7BC3EE80" w:rsidR="00253075" w:rsidRPr="00D51EB0" w:rsidRDefault="00253075" w:rsidP="005B0DA4">
      <w:pPr>
        <w:spacing w:before="87" w:line="240" w:lineRule="auto"/>
        <w:ind w:right="306"/>
        <w:rPr>
          <w:rFonts w:ascii="Arial" w:hAnsi="Arial" w:cs="Arial"/>
          <w:sz w:val="19"/>
          <w:szCs w:val="19"/>
        </w:rPr>
      </w:pPr>
      <w:r w:rsidRPr="00D51EB0">
        <w:rPr>
          <w:rFonts w:ascii="Arial" w:hAnsi="Arial" w:cs="Arial"/>
          <w:sz w:val="19"/>
          <w:szCs w:val="19"/>
          <w:vertAlign w:val="superscript"/>
        </w:rPr>
        <w:footnoteRef/>
      </w:r>
      <w:r w:rsidRPr="00D51EB0">
        <w:rPr>
          <w:rFonts w:ascii="Arial" w:hAnsi="Arial" w:cs="Arial"/>
          <w:sz w:val="19"/>
          <w:szCs w:val="19"/>
        </w:rPr>
        <w:t xml:space="preserve"> Ara Pinilla, I., Presupuestos y posibilidades de la doctrina de los conceptos jurídicos indeterminados</w:t>
      </w:r>
      <w:r w:rsidRPr="00D51EB0">
        <w:rPr>
          <w:rFonts w:ascii="Arial" w:eastAsia="Arial" w:hAnsi="Arial" w:cs="Arial"/>
          <w:sz w:val="19"/>
          <w:szCs w:val="19"/>
        </w:rPr>
        <w:t>.</w:t>
      </w:r>
      <w:r w:rsidRPr="00D51EB0">
        <w:rPr>
          <w:rFonts w:ascii="Arial" w:hAnsi="Arial" w:cs="Arial"/>
          <w:sz w:val="19"/>
          <w:szCs w:val="19"/>
        </w:rPr>
        <w:t xml:space="preserve"> Revista crítica de derecho administrativo, 90/2014, p. 112. </w:t>
      </w:r>
      <w:r w:rsidRPr="00D51EB0">
        <w:rPr>
          <w:rFonts w:ascii="Arial" w:eastAsia="Arial" w:hAnsi="Arial" w:cs="Arial"/>
          <w:sz w:val="19"/>
          <w:szCs w:val="19"/>
        </w:rPr>
        <w:t>«L</w:t>
      </w:r>
      <w:r w:rsidRPr="00D51EB0">
        <w:rPr>
          <w:rFonts w:ascii="Arial" w:hAnsi="Arial" w:cs="Arial"/>
          <w:sz w:val="19"/>
          <w:szCs w:val="19"/>
        </w:rPr>
        <w:t>os conceptos jurídicos indeterminados no son sino términos jurídicos abiertos que han de ser precisados en los actos de aplicación del derecho que los contiene y, por consiguiente, perfilados por un operador jurídico que es distinto al de su creación</w:t>
      </w:r>
      <w:r w:rsidRPr="00D51EB0">
        <w:rPr>
          <w:rFonts w:ascii="Arial" w:eastAsia="Arial" w:hAnsi="Arial" w:cs="Arial"/>
          <w:sz w:val="19"/>
          <w:szCs w:val="19"/>
        </w:rPr>
        <w:t>»</w:t>
      </w:r>
      <w:r w:rsidRPr="00D51EB0">
        <w:rPr>
          <w:rFonts w:ascii="Arial" w:hAnsi="Arial" w:cs="Arial"/>
          <w:sz w:val="19"/>
          <w:szCs w:val="19"/>
        </w:rPr>
        <w:t>.</w:t>
      </w:r>
    </w:p>
  </w:footnote>
  <w:footnote w:id="27">
    <w:p w14:paraId="5B3B3F6A" w14:textId="77777777" w:rsidR="00253075" w:rsidRPr="00D51EB0" w:rsidRDefault="00253075" w:rsidP="00891002">
      <w:pPr>
        <w:pBdr>
          <w:top w:val="nil"/>
          <w:left w:val="nil"/>
          <w:bottom w:val="nil"/>
          <w:right w:val="nil"/>
          <w:between w:val="nil"/>
        </w:pBdr>
        <w:spacing w:after="0" w:line="240" w:lineRule="auto"/>
        <w:rPr>
          <w:rFonts w:ascii="Arial" w:hAnsi="Arial" w:cs="Arial"/>
          <w:sz w:val="19"/>
          <w:szCs w:val="19"/>
        </w:rPr>
      </w:pPr>
      <w:r w:rsidRPr="00D51EB0">
        <w:rPr>
          <w:rFonts w:ascii="Arial" w:hAnsi="Arial" w:cs="Arial"/>
          <w:sz w:val="19"/>
          <w:szCs w:val="19"/>
          <w:vertAlign w:val="superscript"/>
        </w:rPr>
        <w:footnoteRef/>
      </w:r>
      <w:r w:rsidRPr="00D51EB0">
        <w:rPr>
          <w:rFonts w:ascii="Arial" w:hAnsi="Arial" w:cs="Arial"/>
          <w:sz w:val="19"/>
          <w:szCs w:val="19"/>
        </w:rPr>
        <w:t xml:space="preserve"> Gaceta 71 de 2005. Proyecto de Ley Número 216 de 2005, </w:t>
      </w:r>
      <w:r w:rsidRPr="00D51EB0">
        <w:rPr>
          <w:rFonts w:ascii="Arial" w:eastAsia="Arial" w:hAnsi="Arial" w:cs="Arial"/>
          <w:sz w:val="19"/>
          <w:szCs w:val="19"/>
        </w:rPr>
        <w:t>«</w:t>
      </w:r>
      <w:r w:rsidRPr="00D51EB0">
        <w:rPr>
          <w:rFonts w:ascii="Arial" w:hAnsi="Arial" w:cs="Arial"/>
          <w:sz w:val="19"/>
          <w:szCs w:val="19"/>
        </w:rPr>
        <w:t>por medio del cual se regula la igualdad entre los candidatos a la Presidencia de la República y las demás materias que establece el Acto Legislativo No. 02 de 2004</w:t>
      </w:r>
      <w:r w:rsidRPr="00D51EB0">
        <w:rPr>
          <w:rFonts w:ascii="Arial" w:eastAsia="Arial" w:hAnsi="Arial" w:cs="Arial"/>
          <w:sz w:val="19"/>
          <w:szCs w:val="19"/>
        </w:rPr>
        <w:t>»</w:t>
      </w:r>
      <w:r w:rsidRPr="00D51EB0">
        <w:rPr>
          <w:rFonts w:ascii="Arial" w:hAnsi="Arial" w:cs="Arial"/>
          <w:sz w:val="19"/>
          <w:szCs w:val="19"/>
        </w:rPr>
        <w:t xml:space="preserve">. Exposición de motivos: </w:t>
      </w:r>
      <w:r w:rsidRPr="00D51EB0">
        <w:rPr>
          <w:rFonts w:ascii="Arial" w:eastAsia="Arial" w:hAnsi="Arial" w:cs="Arial"/>
          <w:sz w:val="19"/>
          <w:szCs w:val="19"/>
        </w:rPr>
        <w:t>«</w:t>
      </w:r>
      <w:r w:rsidRPr="00D51EB0">
        <w:rPr>
          <w:rFonts w:ascii="Arial" w:hAnsi="Arial" w:cs="Arial"/>
          <w:sz w:val="19"/>
          <w:szCs w:val="19"/>
        </w:rPr>
        <w:t>Es claro que en una campaña electoral en la cual el Presidente en ejercicio aparezca como candidato, deben ofrecerse todas las garantías de igualdad posibles entre candidatos, y por ello la figura de la reelección presidencial debe ir acompañada de previsiones suficientes que eviten cualquier tipo de arbitrariedad, de ventaja injustificada, de uso irregular de los recursos del Estado en las campañas o falta de garantías en la elección. Y así lo contempla este proyecto de ley estatutaria el cual esperamos sirva de punto de partida para una discusión que deberá buscar el máximo consenso posible entre las fuerzas políticas representadas en el Congreso de la República</w:t>
      </w:r>
      <w:r w:rsidRPr="00D51EB0">
        <w:rPr>
          <w:rFonts w:ascii="Arial" w:eastAsia="Arial" w:hAnsi="Arial" w:cs="Arial"/>
          <w:sz w:val="19"/>
          <w:szCs w:val="19"/>
        </w:rPr>
        <w:t>»</w:t>
      </w:r>
      <w:r w:rsidRPr="00D51EB0">
        <w:rPr>
          <w:rFonts w:ascii="Arial" w:hAnsi="Arial" w:cs="Arial"/>
          <w:sz w:val="19"/>
          <w:szCs w:val="19"/>
        </w:rPr>
        <w:t>.</w:t>
      </w:r>
    </w:p>
  </w:footnote>
  <w:footnote w:id="28">
    <w:p w14:paraId="565803AB" w14:textId="345C3249" w:rsidR="00253075" w:rsidRPr="00D51EB0" w:rsidRDefault="00253075" w:rsidP="005B0DA4">
      <w:pPr>
        <w:spacing w:line="240" w:lineRule="auto"/>
        <w:ind w:right="357"/>
        <w:rPr>
          <w:rFonts w:ascii="Arial" w:hAnsi="Arial" w:cs="Arial"/>
          <w:sz w:val="19"/>
          <w:szCs w:val="19"/>
        </w:rPr>
      </w:pPr>
      <w:r w:rsidRPr="00D51EB0">
        <w:rPr>
          <w:rFonts w:ascii="Arial" w:hAnsi="Arial" w:cs="Arial"/>
          <w:sz w:val="19"/>
          <w:szCs w:val="19"/>
          <w:vertAlign w:val="superscript"/>
        </w:rPr>
        <w:footnoteRef/>
      </w:r>
      <w:r w:rsidRPr="00D51EB0">
        <w:rPr>
          <w:rFonts w:ascii="Arial" w:hAnsi="Arial" w:cs="Arial"/>
          <w:sz w:val="19"/>
          <w:szCs w:val="19"/>
        </w:rPr>
        <w:t xml:space="preserve"> Corte Constitucional. Sala Plena. Magistrado Ponente: Alfredo Beltrán Sierra. Sentencia C-183 de 2003. </w:t>
      </w:r>
    </w:p>
  </w:footnote>
  <w:footnote w:id="29">
    <w:p w14:paraId="79BC4508" w14:textId="6B68BAF7" w:rsidR="00253075" w:rsidRPr="005B0DA4" w:rsidRDefault="00253075" w:rsidP="00060A65">
      <w:pPr>
        <w:spacing w:line="240" w:lineRule="auto"/>
        <w:ind w:right="357"/>
        <w:rPr>
          <w:sz w:val="19"/>
          <w:szCs w:val="19"/>
        </w:rPr>
      </w:pPr>
      <w:r>
        <w:rPr>
          <w:rStyle w:val="Refdenotaalpie"/>
        </w:rPr>
        <w:footnoteRef/>
      </w:r>
      <w:r>
        <w:t xml:space="preserve"> </w:t>
      </w:r>
      <w:r w:rsidRPr="005B0DA4">
        <w:rPr>
          <w:rFonts w:ascii="Arial" w:hAnsi="Arial" w:cs="Arial"/>
          <w:sz w:val="19"/>
          <w:szCs w:val="19"/>
          <w:lang w:val="es-ES"/>
        </w:rPr>
        <w:t xml:space="preserve">Ibídem. </w:t>
      </w:r>
      <w:r w:rsidRPr="005B0DA4">
        <w:rPr>
          <w:rFonts w:ascii="Arial" w:eastAsia="Arial" w:hAnsi="Arial" w:cs="Arial"/>
          <w:sz w:val="19"/>
          <w:szCs w:val="19"/>
        </w:rPr>
        <w:t>«[</w:t>
      </w:r>
      <w:r w:rsidRPr="005B0DA4">
        <w:rPr>
          <w:rFonts w:ascii="Arial" w:hAnsi="Arial" w:cs="Arial"/>
          <w:sz w:val="19"/>
          <w:szCs w:val="19"/>
        </w:rPr>
        <w:t>…</w:t>
      </w:r>
      <w:r w:rsidRPr="005B0DA4">
        <w:rPr>
          <w:rFonts w:ascii="Arial" w:eastAsia="Arial" w:hAnsi="Arial" w:cs="Arial"/>
          <w:sz w:val="19"/>
          <w:szCs w:val="19"/>
        </w:rPr>
        <w:t xml:space="preserve">] </w:t>
      </w:r>
      <w:r w:rsidRPr="005B0DA4">
        <w:rPr>
          <w:rFonts w:ascii="Arial" w:hAnsi="Arial" w:cs="Arial"/>
          <w:sz w:val="19"/>
          <w:szCs w:val="19"/>
        </w:rPr>
        <w:t>Los bienes fiscales o patrimoniales se encuentran destinados a la prestación de servicios públicos que la administración utiliza de forma inmediata, como por ejemplo los edificios en que funcionan las oficinas públicas. Dentro de esta clase de bienes, también se encuentra lo que se denomina bienes fiscales adjudicables, que son aquellos que la Nación puede traspasar a los particulares que cumplan con las exigencias establecidas en la ley, como es el caso de los bienes baldíos</w:t>
      </w:r>
      <w:r w:rsidRPr="005B0DA4">
        <w:rPr>
          <w:rFonts w:ascii="Arial" w:eastAsia="Arial" w:hAnsi="Arial" w:cs="Arial"/>
          <w:sz w:val="19"/>
          <w:szCs w:val="19"/>
        </w:rPr>
        <w:t>»</w:t>
      </w:r>
      <w:r w:rsidRPr="005B0DA4">
        <w:rPr>
          <w:rFonts w:ascii="Arial" w:hAnsi="Arial" w:cs="Arial"/>
          <w:sz w:val="19"/>
          <w:szCs w:val="19"/>
        </w:rPr>
        <w:t>.</w:t>
      </w:r>
    </w:p>
  </w:footnote>
  <w:footnote w:id="30">
    <w:p w14:paraId="3598FBF4" w14:textId="1358CB17" w:rsidR="00253075" w:rsidRPr="00D51EB0" w:rsidRDefault="00253075" w:rsidP="00060A65">
      <w:pPr>
        <w:spacing w:line="240" w:lineRule="auto"/>
        <w:rPr>
          <w:rFonts w:ascii="Arial" w:hAnsi="Arial" w:cs="Arial"/>
          <w:sz w:val="19"/>
          <w:szCs w:val="19"/>
        </w:rPr>
      </w:pPr>
      <w:r w:rsidRPr="00D51EB0">
        <w:rPr>
          <w:rFonts w:ascii="Arial" w:hAnsi="Arial" w:cs="Arial"/>
          <w:sz w:val="19"/>
          <w:szCs w:val="19"/>
          <w:vertAlign w:val="superscript"/>
        </w:rPr>
        <w:footnoteRef/>
      </w:r>
      <w:r w:rsidRPr="00D51EB0">
        <w:rPr>
          <w:rFonts w:ascii="Arial" w:hAnsi="Arial" w:cs="Arial"/>
          <w:sz w:val="19"/>
          <w:szCs w:val="19"/>
        </w:rPr>
        <w:t xml:space="preserve"> Consejo de Estado. Sección Tercera. </w:t>
      </w:r>
      <w:r w:rsidRPr="00D51EB0">
        <w:rPr>
          <w:rFonts w:ascii="Arial" w:eastAsia="Arial" w:hAnsi="Arial" w:cs="Arial"/>
          <w:sz w:val="19"/>
          <w:szCs w:val="19"/>
        </w:rPr>
        <w:t xml:space="preserve">Providencia del 30 de abril de 2012. </w:t>
      </w:r>
      <w:r w:rsidRPr="00D51EB0">
        <w:rPr>
          <w:rFonts w:ascii="Arial" w:hAnsi="Arial" w:cs="Arial"/>
          <w:sz w:val="19"/>
          <w:szCs w:val="19"/>
        </w:rPr>
        <w:t xml:space="preserve">Radicación número: 25000-23-26-000-1995-00704-00(21.699). </w:t>
      </w:r>
      <w:r w:rsidRPr="00D51EB0">
        <w:rPr>
          <w:rFonts w:ascii="Arial" w:eastAsia="Arial" w:hAnsi="Arial" w:cs="Arial"/>
          <w:sz w:val="19"/>
          <w:szCs w:val="19"/>
        </w:rPr>
        <w:t>M.P. Ruth Stella Correa Palacio.</w:t>
      </w:r>
    </w:p>
  </w:footnote>
  <w:footnote w:id="31">
    <w:p w14:paraId="2C86327D" w14:textId="77777777" w:rsidR="00253075" w:rsidRPr="00D51EB0" w:rsidRDefault="00253075" w:rsidP="005B0DA4">
      <w:pPr>
        <w:pBdr>
          <w:top w:val="nil"/>
          <w:left w:val="nil"/>
          <w:bottom w:val="nil"/>
          <w:right w:val="nil"/>
          <w:between w:val="nil"/>
        </w:pBdr>
        <w:spacing w:after="0" w:line="240" w:lineRule="auto"/>
        <w:rPr>
          <w:rFonts w:ascii="Arial" w:eastAsia="Arial" w:hAnsi="Arial" w:cs="Arial"/>
          <w:sz w:val="19"/>
          <w:szCs w:val="19"/>
        </w:rPr>
      </w:pPr>
      <w:r w:rsidRPr="00D51EB0">
        <w:rPr>
          <w:rFonts w:ascii="Arial" w:hAnsi="Arial" w:cs="Arial"/>
          <w:sz w:val="19"/>
          <w:szCs w:val="19"/>
          <w:vertAlign w:val="superscript"/>
        </w:rPr>
        <w:footnoteRef/>
      </w:r>
      <w:r w:rsidRPr="00D51EB0">
        <w:rPr>
          <w:rFonts w:ascii="Arial" w:hAnsi="Arial" w:cs="Arial"/>
          <w:sz w:val="19"/>
          <w:szCs w:val="19"/>
        </w:rPr>
        <w:t xml:space="preserve"> Corte Constitucional, sentencia C-183 de 2003: </w:t>
      </w:r>
      <w:r w:rsidRPr="00D51EB0">
        <w:rPr>
          <w:rFonts w:ascii="Arial" w:eastAsia="Arial" w:hAnsi="Arial" w:cs="Arial"/>
          <w:sz w:val="19"/>
          <w:szCs w:val="19"/>
        </w:rPr>
        <w:t>«</w:t>
      </w:r>
      <w:r w:rsidRPr="00D51EB0">
        <w:rPr>
          <w:rFonts w:ascii="Arial" w:hAnsi="Arial" w:cs="Arial"/>
          <w:sz w:val="19"/>
          <w:szCs w:val="19"/>
        </w:rPr>
        <w:t>Ahora, los bienes de uso público propiamente dicho, que pueden ser por naturaleza o por el destino jurídico, se caracterizan por pertenecer al Estado o a otros entes estatales, estar destinados al uso común de todos los habitantes, y por encontrarse fuera del comercio, ser imprescriptibles e inembargables. Están definidos en la ley como aquellos que “su uso pertenece a todos los habitantes de un Territorio, como el de calles, plazas, puentes y caminos, se llaman bienes de la Unión o de uso público o bienes públicos del Territorio” (art. 674 C.C.)</w:t>
      </w:r>
      <w:r w:rsidRPr="00D51EB0">
        <w:rPr>
          <w:rFonts w:ascii="Arial" w:eastAsia="Arial" w:hAnsi="Arial" w:cs="Arial"/>
          <w:sz w:val="19"/>
          <w:szCs w:val="19"/>
        </w:rPr>
        <w:t>»</w:t>
      </w:r>
      <w:r w:rsidRPr="00D51EB0">
        <w:rPr>
          <w:rFonts w:ascii="Arial" w:hAnsi="Arial" w:cs="Arial"/>
          <w:sz w:val="19"/>
          <w:szCs w:val="19"/>
        </w:rPr>
        <w:t>.</w:t>
      </w:r>
    </w:p>
    <w:p w14:paraId="334B9F8E" w14:textId="77777777" w:rsidR="00253075" w:rsidRPr="00D51EB0" w:rsidRDefault="00253075" w:rsidP="00060A65">
      <w:pPr>
        <w:pBdr>
          <w:top w:val="nil"/>
          <w:left w:val="nil"/>
          <w:bottom w:val="nil"/>
          <w:right w:val="nil"/>
          <w:between w:val="nil"/>
        </w:pBdr>
        <w:spacing w:after="0" w:line="240" w:lineRule="auto"/>
        <w:jc w:val="left"/>
        <w:rPr>
          <w:rFonts w:ascii="Arial" w:hAnsi="Arial" w:cs="Arial"/>
          <w:sz w:val="19"/>
          <w:szCs w:val="19"/>
        </w:rPr>
      </w:pPr>
    </w:p>
  </w:footnote>
  <w:footnote w:id="32">
    <w:p w14:paraId="5E9B367F" w14:textId="77777777" w:rsidR="005B0DA4" w:rsidRDefault="00253075" w:rsidP="005B0DA4">
      <w:pPr>
        <w:spacing w:before="1" w:after="0" w:line="254" w:lineRule="auto"/>
        <w:ind w:right="309"/>
        <w:rPr>
          <w:rFonts w:ascii="Arial" w:hAnsi="Arial" w:cs="Arial"/>
          <w:sz w:val="19"/>
          <w:szCs w:val="19"/>
        </w:rPr>
      </w:pPr>
      <w:r w:rsidRPr="00D51EB0">
        <w:rPr>
          <w:rFonts w:ascii="Arial" w:hAnsi="Arial" w:cs="Arial"/>
          <w:sz w:val="19"/>
          <w:szCs w:val="19"/>
          <w:vertAlign w:val="superscript"/>
        </w:rPr>
        <w:footnoteRef/>
      </w:r>
      <w:r w:rsidRPr="00D51EB0">
        <w:rPr>
          <w:rFonts w:ascii="Arial" w:hAnsi="Arial" w:cs="Arial"/>
          <w:sz w:val="19"/>
          <w:szCs w:val="19"/>
        </w:rPr>
        <w:t xml:space="preserve"> Código Civil</w:t>
      </w:r>
      <w:r w:rsidRPr="00D51EB0">
        <w:rPr>
          <w:rFonts w:ascii="Arial" w:eastAsia="Arial" w:hAnsi="Arial" w:cs="Arial"/>
          <w:sz w:val="19"/>
          <w:szCs w:val="19"/>
        </w:rPr>
        <w:t>: «</w:t>
      </w:r>
      <w:r w:rsidRPr="00D51EB0">
        <w:rPr>
          <w:rFonts w:ascii="Arial" w:hAnsi="Arial" w:cs="Arial"/>
          <w:sz w:val="19"/>
          <w:szCs w:val="19"/>
        </w:rPr>
        <w:t>Artículo 745. Para que valga la tradición se requiere un título traslaticio de dominio, como el de venta, permuta, donación, etc.</w:t>
      </w:r>
    </w:p>
    <w:p w14:paraId="3360DEA5" w14:textId="60D175A5" w:rsidR="00253075" w:rsidRPr="00D51EB0" w:rsidRDefault="00253075" w:rsidP="005B0DA4">
      <w:pPr>
        <w:spacing w:before="1" w:after="0" w:line="254" w:lineRule="auto"/>
        <w:ind w:right="309"/>
        <w:rPr>
          <w:rFonts w:ascii="Arial" w:hAnsi="Arial" w:cs="Arial"/>
          <w:sz w:val="19"/>
          <w:szCs w:val="19"/>
        </w:rPr>
      </w:pPr>
      <w:r w:rsidRPr="00D51EB0">
        <w:rPr>
          <w:rFonts w:ascii="Arial" w:eastAsia="Arial" w:hAnsi="Arial" w:cs="Arial"/>
          <w:sz w:val="19"/>
          <w:szCs w:val="19"/>
        </w:rPr>
        <w:t>»</w:t>
      </w:r>
      <w:r w:rsidRPr="00D51EB0">
        <w:rPr>
          <w:rFonts w:ascii="Arial" w:hAnsi="Arial" w:cs="Arial"/>
          <w:sz w:val="19"/>
          <w:szCs w:val="19"/>
        </w:rPr>
        <w:t xml:space="preserve"> Se requiere, además que el título sea válido respecto de la persona a quien se confiere. Aso el título de donación irrevocable no transfiere el dominio entre cónyuges</w:t>
      </w:r>
      <w:r w:rsidRPr="00D51EB0">
        <w:rPr>
          <w:rFonts w:ascii="Arial" w:eastAsia="Arial" w:hAnsi="Arial" w:cs="Arial"/>
          <w:sz w:val="19"/>
          <w:szCs w:val="19"/>
        </w:rPr>
        <w:t>»</w:t>
      </w:r>
      <w:r w:rsidRPr="00D51EB0">
        <w:rPr>
          <w:rFonts w:ascii="Arial" w:hAnsi="Arial" w:cs="Arial"/>
          <w:sz w:val="19"/>
          <w:szCs w:val="19"/>
        </w:rPr>
        <w:t>.</w:t>
      </w:r>
    </w:p>
    <w:p w14:paraId="264A24A7" w14:textId="77777777" w:rsidR="00253075" w:rsidRPr="00D51EB0" w:rsidRDefault="00253075" w:rsidP="00891002">
      <w:pPr>
        <w:pBdr>
          <w:top w:val="nil"/>
          <w:left w:val="nil"/>
          <w:bottom w:val="nil"/>
          <w:right w:val="nil"/>
          <w:between w:val="nil"/>
        </w:pBdr>
        <w:spacing w:after="0" w:line="240" w:lineRule="auto"/>
        <w:jc w:val="left"/>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28" w14:textId="77777777" w:rsidR="00253075" w:rsidRDefault="00253075">
    <w:pPr>
      <w:pBdr>
        <w:top w:val="nil"/>
        <w:left w:val="nil"/>
        <w:bottom w:val="nil"/>
        <w:right w:val="nil"/>
        <w:between w:val="nil"/>
      </w:pBdr>
      <w:tabs>
        <w:tab w:val="center" w:pos="4252"/>
        <w:tab w:val="right" w:pos="8504"/>
      </w:tabs>
      <w:rPr>
        <w:color w:val="000000"/>
      </w:rPr>
    </w:pPr>
    <w:r>
      <w:rPr>
        <w:noProof/>
        <w:lang w:val="en-US" w:eastAsia="en-US"/>
      </w:rPr>
      <w:drawing>
        <wp:anchor distT="0" distB="0" distL="114300" distR="114300" simplePos="0" relativeHeight="251658240" behindDoc="0" locked="0" layoutInCell="1" hidden="0" allowOverlap="1" wp14:anchorId="7911BA15" wp14:editId="381CA7F2">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2B4A3FD5" w14:textId="77777777" w:rsidR="00253075" w:rsidRDefault="00253075">
    <w:pPr>
      <w:pBdr>
        <w:top w:val="nil"/>
        <w:left w:val="nil"/>
        <w:bottom w:val="nil"/>
        <w:right w:val="nil"/>
        <w:between w:val="nil"/>
      </w:pBdr>
      <w:tabs>
        <w:tab w:val="center" w:pos="4252"/>
        <w:tab w:val="right" w:pos="8504"/>
      </w:tabs>
      <w:spacing w:after="0"/>
      <w:rPr>
        <w:color w:val="000000"/>
      </w:rPr>
    </w:pPr>
  </w:p>
  <w:p w14:paraId="5A7F8740" w14:textId="77777777" w:rsidR="00253075" w:rsidRDefault="00253075">
    <w:pPr>
      <w:pBdr>
        <w:top w:val="nil"/>
        <w:left w:val="nil"/>
        <w:bottom w:val="nil"/>
        <w:right w:val="nil"/>
        <w:between w:val="nil"/>
      </w:pBdr>
      <w:tabs>
        <w:tab w:val="center" w:pos="4252"/>
        <w:tab w:val="right" w:pos="8504"/>
      </w:tabs>
      <w:rPr>
        <w:color w:val="000000"/>
      </w:rPr>
    </w:pPr>
  </w:p>
  <w:p w14:paraId="697476EB" w14:textId="77777777" w:rsidR="00253075" w:rsidRDefault="00253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48"/>
    <w:rsid w:val="000161C9"/>
    <w:rsid w:val="00060A65"/>
    <w:rsid w:val="00060AA0"/>
    <w:rsid w:val="000627C0"/>
    <w:rsid w:val="00066EEC"/>
    <w:rsid w:val="000B00A6"/>
    <w:rsid w:val="000C5022"/>
    <w:rsid w:val="000C65BF"/>
    <w:rsid w:val="000E01E9"/>
    <w:rsid w:val="000E4FF7"/>
    <w:rsid w:val="001036A5"/>
    <w:rsid w:val="00121C2F"/>
    <w:rsid w:val="00122327"/>
    <w:rsid w:val="0012599F"/>
    <w:rsid w:val="001328BF"/>
    <w:rsid w:val="001515C9"/>
    <w:rsid w:val="00156D16"/>
    <w:rsid w:val="00172B82"/>
    <w:rsid w:val="001839A8"/>
    <w:rsid w:val="00185DEA"/>
    <w:rsid w:val="00196345"/>
    <w:rsid w:val="001A55B6"/>
    <w:rsid w:val="001C50CD"/>
    <w:rsid w:val="001F6DF9"/>
    <w:rsid w:val="00212E78"/>
    <w:rsid w:val="00215E7F"/>
    <w:rsid w:val="00223C44"/>
    <w:rsid w:val="00253075"/>
    <w:rsid w:val="0026495C"/>
    <w:rsid w:val="002917B1"/>
    <w:rsid w:val="002D7A72"/>
    <w:rsid w:val="002E2E90"/>
    <w:rsid w:val="002F649E"/>
    <w:rsid w:val="002F69BB"/>
    <w:rsid w:val="0031596B"/>
    <w:rsid w:val="00320EB4"/>
    <w:rsid w:val="00364F9C"/>
    <w:rsid w:val="00380422"/>
    <w:rsid w:val="003935F3"/>
    <w:rsid w:val="003C1B61"/>
    <w:rsid w:val="003C5F56"/>
    <w:rsid w:val="003C73C0"/>
    <w:rsid w:val="003D1F79"/>
    <w:rsid w:val="003E4316"/>
    <w:rsid w:val="00405CE1"/>
    <w:rsid w:val="00426413"/>
    <w:rsid w:val="00452F48"/>
    <w:rsid w:val="0047064C"/>
    <w:rsid w:val="00470FE9"/>
    <w:rsid w:val="00473C20"/>
    <w:rsid w:val="00477563"/>
    <w:rsid w:val="0049068C"/>
    <w:rsid w:val="0049089C"/>
    <w:rsid w:val="004A3061"/>
    <w:rsid w:val="004B0F6F"/>
    <w:rsid w:val="004B158C"/>
    <w:rsid w:val="004E767E"/>
    <w:rsid w:val="004E76FD"/>
    <w:rsid w:val="004F73F0"/>
    <w:rsid w:val="00527754"/>
    <w:rsid w:val="00550475"/>
    <w:rsid w:val="0057487F"/>
    <w:rsid w:val="005B0DA4"/>
    <w:rsid w:val="005E6546"/>
    <w:rsid w:val="00604EFC"/>
    <w:rsid w:val="006211D4"/>
    <w:rsid w:val="0063155D"/>
    <w:rsid w:val="00654A73"/>
    <w:rsid w:val="0065780B"/>
    <w:rsid w:val="00660657"/>
    <w:rsid w:val="00671E45"/>
    <w:rsid w:val="00681FE4"/>
    <w:rsid w:val="00696478"/>
    <w:rsid w:val="00697DB3"/>
    <w:rsid w:val="006B2825"/>
    <w:rsid w:val="006B7C33"/>
    <w:rsid w:val="006C766E"/>
    <w:rsid w:val="006D0F41"/>
    <w:rsid w:val="006E0355"/>
    <w:rsid w:val="006E5DB4"/>
    <w:rsid w:val="00705F75"/>
    <w:rsid w:val="007360AD"/>
    <w:rsid w:val="007521DD"/>
    <w:rsid w:val="0077050C"/>
    <w:rsid w:val="00776090"/>
    <w:rsid w:val="00780FEE"/>
    <w:rsid w:val="007821C2"/>
    <w:rsid w:val="00792AD2"/>
    <w:rsid w:val="007A5FD3"/>
    <w:rsid w:val="007B6327"/>
    <w:rsid w:val="007C78BD"/>
    <w:rsid w:val="007D6158"/>
    <w:rsid w:val="007F1123"/>
    <w:rsid w:val="00805620"/>
    <w:rsid w:val="00816672"/>
    <w:rsid w:val="00817CCB"/>
    <w:rsid w:val="00825AAA"/>
    <w:rsid w:val="00833FBA"/>
    <w:rsid w:val="00854F69"/>
    <w:rsid w:val="00861304"/>
    <w:rsid w:val="00864D50"/>
    <w:rsid w:val="0086569B"/>
    <w:rsid w:val="008854FD"/>
    <w:rsid w:val="00891002"/>
    <w:rsid w:val="008A1E76"/>
    <w:rsid w:val="008A624D"/>
    <w:rsid w:val="008C3B41"/>
    <w:rsid w:val="008D5BE8"/>
    <w:rsid w:val="008F523C"/>
    <w:rsid w:val="00900BC5"/>
    <w:rsid w:val="009202BB"/>
    <w:rsid w:val="00934051"/>
    <w:rsid w:val="00974101"/>
    <w:rsid w:val="00981BE3"/>
    <w:rsid w:val="00997026"/>
    <w:rsid w:val="009A1C50"/>
    <w:rsid w:val="009B1715"/>
    <w:rsid w:val="009E046C"/>
    <w:rsid w:val="009F4AE4"/>
    <w:rsid w:val="00A0483F"/>
    <w:rsid w:val="00A10378"/>
    <w:rsid w:val="00A21BFD"/>
    <w:rsid w:val="00A31E2B"/>
    <w:rsid w:val="00A44D72"/>
    <w:rsid w:val="00A83ECE"/>
    <w:rsid w:val="00A93068"/>
    <w:rsid w:val="00AA20FA"/>
    <w:rsid w:val="00AB5798"/>
    <w:rsid w:val="00B072C9"/>
    <w:rsid w:val="00B20966"/>
    <w:rsid w:val="00B24711"/>
    <w:rsid w:val="00B374C9"/>
    <w:rsid w:val="00B53224"/>
    <w:rsid w:val="00B66C83"/>
    <w:rsid w:val="00B95824"/>
    <w:rsid w:val="00BB49A0"/>
    <w:rsid w:val="00BC5A82"/>
    <w:rsid w:val="00BE20F1"/>
    <w:rsid w:val="00BE4B36"/>
    <w:rsid w:val="00BF17F7"/>
    <w:rsid w:val="00C02189"/>
    <w:rsid w:val="00C2522E"/>
    <w:rsid w:val="00C310E9"/>
    <w:rsid w:val="00C32C78"/>
    <w:rsid w:val="00C36620"/>
    <w:rsid w:val="00C71350"/>
    <w:rsid w:val="00C83499"/>
    <w:rsid w:val="00C924F7"/>
    <w:rsid w:val="00C97E00"/>
    <w:rsid w:val="00CB5A3A"/>
    <w:rsid w:val="00CD6189"/>
    <w:rsid w:val="00CF120A"/>
    <w:rsid w:val="00CF7C6C"/>
    <w:rsid w:val="00D03541"/>
    <w:rsid w:val="00D13BAD"/>
    <w:rsid w:val="00D13CAA"/>
    <w:rsid w:val="00D21FE8"/>
    <w:rsid w:val="00D22117"/>
    <w:rsid w:val="00D405B3"/>
    <w:rsid w:val="00D40E64"/>
    <w:rsid w:val="00D46DBE"/>
    <w:rsid w:val="00D51EB0"/>
    <w:rsid w:val="00D73348"/>
    <w:rsid w:val="00D733F7"/>
    <w:rsid w:val="00D73634"/>
    <w:rsid w:val="00D8785D"/>
    <w:rsid w:val="00DA2883"/>
    <w:rsid w:val="00DB451F"/>
    <w:rsid w:val="00DE6C0F"/>
    <w:rsid w:val="00DF3166"/>
    <w:rsid w:val="00E03A73"/>
    <w:rsid w:val="00E2001F"/>
    <w:rsid w:val="00E30218"/>
    <w:rsid w:val="00E367EF"/>
    <w:rsid w:val="00E37156"/>
    <w:rsid w:val="00EB1119"/>
    <w:rsid w:val="00ED0565"/>
    <w:rsid w:val="00ED398C"/>
    <w:rsid w:val="00F13AE8"/>
    <w:rsid w:val="00F152F4"/>
    <w:rsid w:val="00F266BD"/>
    <w:rsid w:val="00F30F23"/>
    <w:rsid w:val="00F347E8"/>
    <w:rsid w:val="00F545A4"/>
    <w:rsid w:val="00F60B67"/>
    <w:rsid w:val="00F6189B"/>
    <w:rsid w:val="00F62101"/>
    <w:rsid w:val="00F64473"/>
    <w:rsid w:val="00F66C91"/>
    <w:rsid w:val="00F723BA"/>
    <w:rsid w:val="00F772BD"/>
    <w:rsid w:val="00F8003F"/>
    <w:rsid w:val="00F94E3C"/>
    <w:rsid w:val="00FB55CF"/>
    <w:rsid w:val="00FF0B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7FBB"/>
  <w15:docId w15:val="{E6845EB0-BC12-5C44-B6C7-E6EE3F9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61"/>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61"/>
    <w:pPr>
      <w:spacing w:after="0" w:line="240" w:lineRule="auto"/>
      <w:jc w:val="left"/>
    </w:pPr>
    <w:rPr>
      <w:sz w:val="20"/>
      <w:szCs w:val="20"/>
    </w:rPr>
  </w:style>
  <w:style w:type="character" w:customStyle="1" w:styleId="TextonotapieCar1">
    <w:name w:val="Texto nota pie Car1"/>
    <w:basedOn w:val="Fuentedeprrafopredeter"/>
    <w:uiPriority w:val="99"/>
    <w:semiHidden/>
    <w:rsid w:val="004A306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61"/>
    <w:rPr>
      <w:vertAlign w:val="superscript"/>
    </w:rPr>
  </w:style>
  <w:style w:type="paragraph" w:customStyle="1" w:styleId="Appelnotedebasde">
    <w:name w:val="Appel note de bas de..."/>
    <w:basedOn w:val="Normal"/>
    <w:link w:val="Refdenotaalpie"/>
    <w:uiPriority w:val="99"/>
    <w:rsid w:val="004A3061"/>
    <w:pPr>
      <w:spacing w:after="160" w:line="240" w:lineRule="exact"/>
      <w:jc w:val="left"/>
    </w:pPr>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7821C2"/>
    <w:pPr>
      <w:spacing w:after="160" w:line="259" w:lineRule="auto"/>
      <w:ind w:left="720"/>
      <w:contextualSpacing/>
      <w:jc w:val="left"/>
    </w:pPr>
    <w:rPr>
      <w:rFonts w:asciiTheme="minorHAnsi" w:eastAsiaTheme="minorHAnsi" w:hAnsiTheme="minorHAnsi" w:cstheme="minorBidi"/>
      <w:sz w:val="22"/>
      <w:szCs w:val="22"/>
      <w:lang w:val="es-CO" w:eastAsia="en-US"/>
    </w:rPr>
  </w:style>
  <w:style w:type="paragraph" w:styleId="NormalWeb">
    <w:name w:val="Normal (Web)"/>
    <w:basedOn w:val="Normal"/>
    <w:uiPriority w:val="99"/>
    <w:unhideWhenUsed/>
    <w:rsid w:val="007821C2"/>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7821C2"/>
    <w:rPr>
      <w:rFonts w:asciiTheme="minorHAnsi" w:eastAsiaTheme="minorHAnsi" w:hAnsiTheme="minorHAnsi" w:cstheme="minorBidi"/>
      <w:sz w:val="22"/>
      <w:szCs w:val="22"/>
      <w:lang w:val="es-CO" w:eastAsia="en-US"/>
    </w:rPr>
  </w:style>
  <w:style w:type="character" w:styleId="Textoennegrita">
    <w:name w:val="Strong"/>
    <w:basedOn w:val="Fuentedeprrafopredeter"/>
    <w:uiPriority w:val="22"/>
    <w:qFormat/>
    <w:rsid w:val="007821C2"/>
    <w:rPr>
      <w:b/>
      <w:bCs/>
    </w:rPr>
  </w:style>
  <w:style w:type="character" w:styleId="nfasis">
    <w:name w:val="Emphasis"/>
    <w:basedOn w:val="Fuentedeprrafopredeter"/>
    <w:uiPriority w:val="20"/>
    <w:qFormat/>
    <w:rsid w:val="007821C2"/>
    <w:rPr>
      <w:i/>
      <w:iCs/>
    </w:rPr>
  </w:style>
  <w:style w:type="paragraph" w:styleId="Textoindependiente">
    <w:name w:val="Body Text"/>
    <w:basedOn w:val="Normal"/>
    <w:link w:val="TextoindependienteCar"/>
    <w:uiPriority w:val="1"/>
    <w:qFormat/>
    <w:rsid w:val="00F30F23"/>
    <w:pPr>
      <w:widowControl w:val="0"/>
      <w:autoSpaceDE w:val="0"/>
      <w:autoSpaceDN w:val="0"/>
      <w:spacing w:after="0" w:line="240" w:lineRule="auto"/>
      <w:jc w:val="left"/>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F30F23"/>
    <w:rPr>
      <w:rFonts w:ascii="Arial" w:eastAsia="Arial" w:hAnsi="Arial" w:cs="Arial"/>
      <w:sz w:val="22"/>
      <w:szCs w:val="22"/>
      <w:lang w:val="es-ES" w:eastAsia="en-US"/>
    </w:rPr>
  </w:style>
  <w:style w:type="paragraph" w:styleId="Revisin">
    <w:name w:val="Revision"/>
    <w:hidden/>
    <w:uiPriority w:val="99"/>
    <w:semiHidden/>
    <w:rsid w:val="00B24711"/>
    <w:pPr>
      <w:spacing w:after="0" w:line="240" w:lineRule="auto"/>
      <w:jc w:val="left"/>
    </w:pPr>
  </w:style>
  <w:style w:type="paragraph" w:styleId="Textodeglobo">
    <w:name w:val="Balloon Text"/>
    <w:basedOn w:val="Normal"/>
    <w:link w:val="TextodegloboCar"/>
    <w:uiPriority w:val="99"/>
    <w:semiHidden/>
    <w:unhideWhenUsed/>
    <w:rsid w:val="00864D5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64D50"/>
    <w:rPr>
      <w:rFonts w:ascii="Times New Roman" w:hAnsi="Times New Roman" w:cs="Times New Roman"/>
      <w:sz w:val="18"/>
      <w:szCs w:val="18"/>
    </w:rPr>
  </w:style>
  <w:style w:type="paragraph" w:styleId="Encabezado">
    <w:name w:val="header"/>
    <w:basedOn w:val="Normal"/>
    <w:link w:val="EncabezadoCar"/>
    <w:uiPriority w:val="99"/>
    <w:unhideWhenUsed/>
    <w:rsid w:val="00D405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5B3"/>
  </w:style>
  <w:style w:type="paragraph" w:styleId="Piedepgina">
    <w:name w:val="footer"/>
    <w:basedOn w:val="Normal"/>
    <w:link w:val="PiedepginaCar"/>
    <w:uiPriority w:val="99"/>
    <w:unhideWhenUsed/>
    <w:rsid w:val="00D405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busqueda/conceptos" TargetMode="External"/><Relationship Id="rId2" Type="http://schemas.openxmlformats.org/officeDocument/2006/relationships/hyperlink" Target="https://relatoria.colombiacompra.gov.co/busqueda/concepto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6A48D55-A746-4B59-92E5-D378008B1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D4080-7CB3-2146-808F-27B1E3C91558}">
  <ds:schemaRefs>
    <ds:schemaRef ds:uri="http://schemas.openxmlformats.org/officeDocument/2006/bibliography"/>
  </ds:schemaRefs>
</ds:datastoreItem>
</file>

<file path=customXml/itemProps3.xml><?xml version="1.0" encoding="utf-8"?>
<ds:datastoreItem xmlns:ds="http://schemas.openxmlformats.org/officeDocument/2006/customXml" ds:itemID="{E6364813-D425-44B0-8B1B-DB8C6BD93036}">
  <ds:schemaRefs>
    <ds:schemaRef ds:uri="http://schemas.microsoft.com/sharepoint/v3/contenttype/forms"/>
  </ds:schemaRefs>
</ds:datastoreItem>
</file>

<file path=customXml/itemProps4.xml><?xml version="1.0" encoding="utf-8"?>
<ds:datastoreItem xmlns:ds="http://schemas.openxmlformats.org/officeDocument/2006/customXml" ds:itemID="{0D999A47-4B44-4060-B1A1-85F2CEC8B8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6815</Words>
  <Characters>37484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MORALES</dc:creator>
  <cp:lastModifiedBy>Andrea Ramírez Castañeda</cp:lastModifiedBy>
  <cp:revision>6</cp:revision>
  <dcterms:created xsi:type="dcterms:W3CDTF">2022-02-18T01:28:00Z</dcterms:created>
  <dcterms:modified xsi:type="dcterms:W3CDTF">2022-03-29T19:33:00Z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